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7.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header3.xml" ContentType="application/vnd.openxmlformats-officedocument.wordprocessingml.header+xml"/>
  <Override PartName="/word/header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footer11.xml" ContentType="application/vnd.openxmlformats-officedocument.wordprocessingml.footer+xml"/>
  <Override PartName="/word/charts/chart15.xml" ContentType="application/vnd.openxmlformats-officedocument.drawingml.chart+xml"/>
  <Override PartName="/word/drawings/drawing1.xml" ContentType="application/vnd.openxmlformats-officedocument.drawingml.chartshapes+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2.xml" ContentType="application/vnd.openxmlformats-officedocument.drawingml.chartshapes+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footer12.xml" ContentType="application/vnd.openxmlformats-officedocument.wordprocessingml.footer+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footer1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F16C0B" w14:textId="77777777" w:rsidR="00D22647" w:rsidRDefault="0021716C" w:rsidP="00E47EE9">
      <w:pPr>
        <w:pStyle w:val="Heading1"/>
        <w:jc w:val="center"/>
        <w:rPr>
          <w:noProof/>
        </w:rPr>
      </w:pPr>
      <w:bookmarkStart w:id="0" w:name="_Toc84290980"/>
      <w:r>
        <w:t>Bu</w:t>
      </w:r>
      <w:r w:rsidR="005F3FB2">
        <w:t>d</w:t>
      </w:r>
      <w:r>
        <w:t xml:space="preserve">get </w:t>
      </w:r>
      <w:r w:rsidRPr="005F3FB2">
        <w:t>Outlook</w:t>
      </w:r>
      <w:bookmarkEnd w:id="0"/>
      <w:r>
        <w:fldChar w:fldCharType="begin"/>
      </w:r>
      <w:r>
        <w:instrText xml:space="preserve"> TOC \o "1-2" \h \z \u </w:instrText>
      </w:r>
      <w:r>
        <w:fldChar w:fldCharType="separate"/>
      </w:r>
    </w:p>
    <w:p w14:paraId="27CADBD5" w14:textId="0EDE6F44" w:rsidR="00D22647" w:rsidRDefault="00D22647">
      <w:pPr>
        <w:pStyle w:val="TOC1"/>
        <w:tabs>
          <w:tab w:val="left" w:pos="1100"/>
          <w:tab w:val="right" w:leader="dot" w:pos="9016"/>
        </w:tabs>
        <w:rPr>
          <w:rFonts w:eastAsiaTheme="minorEastAsia"/>
          <w:noProof/>
          <w:lang w:eastAsia="en-AU"/>
        </w:rPr>
      </w:pPr>
    </w:p>
    <w:p w14:paraId="2C603B58" w14:textId="7461D7D1" w:rsidR="00D22647" w:rsidRDefault="00FB4E5C">
      <w:pPr>
        <w:pStyle w:val="TOC2"/>
        <w:tabs>
          <w:tab w:val="left" w:pos="880"/>
          <w:tab w:val="right" w:leader="dot" w:pos="9016"/>
        </w:tabs>
        <w:rPr>
          <w:rFonts w:eastAsiaTheme="minorEastAsia"/>
          <w:noProof/>
          <w:lang w:eastAsia="en-AU"/>
        </w:rPr>
      </w:pPr>
      <w:hyperlink w:anchor="_Toc84290981" w:history="1">
        <w:r w:rsidR="00D22647" w:rsidRPr="001A1859">
          <w:rPr>
            <w:rStyle w:val="Hyperlink"/>
            <w:noProof/>
          </w:rPr>
          <w:t>3.1</w:t>
        </w:r>
        <w:r w:rsidR="00D22647">
          <w:rPr>
            <w:rFonts w:eastAsiaTheme="minorEastAsia"/>
            <w:noProof/>
            <w:lang w:eastAsia="en-AU"/>
          </w:rPr>
          <w:tab/>
        </w:r>
        <w:r w:rsidR="00D22647" w:rsidRPr="001A1859">
          <w:rPr>
            <w:rStyle w:val="Hyperlink"/>
            <w:noProof/>
          </w:rPr>
          <w:t>Budget Outlook</w:t>
        </w:r>
        <w:r w:rsidR="00D22647">
          <w:rPr>
            <w:noProof/>
            <w:webHidden/>
          </w:rPr>
          <w:tab/>
        </w:r>
        <w:r w:rsidR="00D22647">
          <w:rPr>
            <w:noProof/>
            <w:webHidden/>
          </w:rPr>
          <w:fldChar w:fldCharType="begin"/>
        </w:r>
        <w:r w:rsidR="00D22647">
          <w:rPr>
            <w:noProof/>
            <w:webHidden/>
          </w:rPr>
          <w:instrText xml:space="preserve"> PAGEREF _Toc84290981 \h </w:instrText>
        </w:r>
        <w:r w:rsidR="00D22647">
          <w:rPr>
            <w:noProof/>
            <w:webHidden/>
          </w:rPr>
        </w:r>
        <w:r w:rsidR="00D22647">
          <w:rPr>
            <w:noProof/>
            <w:webHidden/>
          </w:rPr>
          <w:fldChar w:fldCharType="separate"/>
        </w:r>
        <w:r w:rsidR="00F12A80">
          <w:rPr>
            <w:noProof/>
            <w:webHidden/>
          </w:rPr>
          <w:t>45</w:t>
        </w:r>
        <w:r w:rsidR="00D22647">
          <w:rPr>
            <w:noProof/>
            <w:webHidden/>
          </w:rPr>
          <w:fldChar w:fldCharType="end"/>
        </w:r>
      </w:hyperlink>
    </w:p>
    <w:p w14:paraId="02D164F5" w14:textId="549CE16C" w:rsidR="00D22647" w:rsidRDefault="00FB4E5C">
      <w:pPr>
        <w:pStyle w:val="TOC2"/>
        <w:tabs>
          <w:tab w:val="left" w:pos="880"/>
          <w:tab w:val="right" w:leader="dot" w:pos="9016"/>
        </w:tabs>
        <w:rPr>
          <w:rFonts w:eastAsiaTheme="minorEastAsia"/>
          <w:noProof/>
          <w:lang w:eastAsia="en-AU"/>
        </w:rPr>
      </w:pPr>
      <w:hyperlink w:anchor="_Toc84290982" w:history="1">
        <w:r w:rsidR="00D22647" w:rsidRPr="001A1859">
          <w:rPr>
            <w:rStyle w:val="Hyperlink"/>
            <w:noProof/>
          </w:rPr>
          <w:t>3.2</w:t>
        </w:r>
        <w:r w:rsidR="00D22647">
          <w:rPr>
            <w:rFonts w:eastAsiaTheme="minorEastAsia"/>
            <w:noProof/>
            <w:lang w:eastAsia="en-AU"/>
          </w:rPr>
          <w:tab/>
        </w:r>
        <w:r w:rsidR="00D22647" w:rsidRPr="001A1859">
          <w:rPr>
            <w:rStyle w:val="Hyperlink"/>
            <w:noProof/>
          </w:rPr>
          <w:t xml:space="preserve">Fiscal Strategy and </w:t>
        </w:r>
        <w:r w:rsidR="0090497E">
          <w:rPr>
            <w:rStyle w:val="Hyperlink"/>
            <w:noProof/>
          </w:rPr>
          <w:t>W</w:t>
        </w:r>
        <w:r w:rsidR="00D22647" w:rsidRPr="001A1859">
          <w:rPr>
            <w:rStyle w:val="Hyperlink"/>
            <w:noProof/>
          </w:rPr>
          <w:t xml:space="preserve">ellbeing </w:t>
        </w:r>
        <w:r w:rsidR="0090497E">
          <w:rPr>
            <w:rStyle w:val="Hyperlink"/>
            <w:noProof/>
          </w:rPr>
          <w:t>I</w:t>
        </w:r>
        <w:r w:rsidR="00D22647" w:rsidRPr="001A1859">
          <w:rPr>
            <w:rStyle w:val="Hyperlink"/>
            <w:noProof/>
          </w:rPr>
          <w:t>nitiatives</w:t>
        </w:r>
        <w:r w:rsidR="00D22647">
          <w:rPr>
            <w:noProof/>
            <w:webHidden/>
          </w:rPr>
          <w:tab/>
        </w:r>
        <w:r w:rsidR="00D22647">
          <w:rPr>
            <w:noProof/>
            <w:webHidden/>
          </w:rPr>
          <w:fldChar w:fldCharType="begin"/>
        </w:r>
        <w:r w:rsidR="00D22647">
          <w:rPr>
            <w:noProof/>
            <w:webHidden/>
          </w:rPr>
          <w:instrText xml:space="preserve"> PAGEREF _Toc84290982 \h </w:instrText>
        </w:r>
        <w:r w:rsidR="00D22647">
          <w:rPr>
            <w:noProof/>
            <w:webHidden/>
          </w:rPr>
        </w:r>
        <w:r w:rsidR="00D22647">
          <w:rPr>
            <w:noProof/>
            <w:webHidden/>
          </w:rPr>
          <w:fldChar w:fldCharType="separate"/>
        </w:r>
        <w:r w:rsidR="00F12A80">
          <w:rPr>
            <w:noProof/>
            <w:webHidden/>
          </w:rPr>
          <w:t>53</w:t>
        </w:r>
        <w:r w:rsidR="00D22647">
          <w:rPr>
            <w:noProof/>
            <w:webHidden/>
          </w:rPr>
          <w:fldChar w:fldCharType="end"/>
        </w:r>
      </w:hyperlink>
    </w:p>
    <w:p w14:paraId="680449C7" w14:textId="5A35B767" w:rsidR="00D22647" w:rsidRDefault="00FB4E5C">
      <w:pPr>
        <w:pStyle w:val="TOC2"/>
        <w:tabs>
          <w:tab w:val="left" w:pos="880"/>
          <w:tab w:val="right" w:leader="dot" w:pos="9016"/>
        </w:tabs>
        <w:rPr>
          <w:rFonts w:eastAsiaTheme="minorEastAsia"/>
          <w:noProof/>
          <w:lang w:eastAsia="en-AU"/>
        </w:rPr>
      </w:pPr>
      <w:hyperlink w:anchor="_Toc84290988" w:history="1">
        <w:r w:rsidR="00D22647" w:rsidRPr="001A1859">
          <w:rPr>
            <w:rStyle w:val="Hyperlink"/>
            <w:noProof/>
          </w:rPr>
          <w:t>3.3</w:t>
        </w:r>
        <w:r w:rsidR="00D22647">
          <w:rPr>
            <w:rFonts w:eastAsiaTheme="minorEastAsia"/>
            <w:noProof/>
            <w:lang w:eastAsia="en-AU"/>
          </w:rPr>
          <w:tab/>
        </w:r>
        <w:r w:rsidR="00D22647" w:rsidRPr="001A1859">
          <w:rPr>
            <w:rStyle w:val="Hyperlink"/>
            <w:noProof/>
          </w:rPr>
          <w:t>Cost of Living Statement</w:t>
        </w:r>
        <w:r w:rsidR="00D22647">
          <w:rPr>
            <w:noProof/>
            <w:webHidden/>
          </w:rPr>
          <w:tab/>
        </w:r>
        <w:r w:rsidR="00E47EE9">
          <w:rPr>
            <w:noProof/>
            <w:webHidden/>
          </w:rPr>
          <w:t>219</w:t>
        </w:r>
      </w:hyperlink>
    </w:p>
    <w:p w14:paraId="078F3D0D" w14:textId="6375417F" w:rsidR="00D22647" w:rsidRDefault="00FB4E5C">
      <w:pPr>
        <w:pStyle w:val="TOC2"/>
        <w:tabs>
          <w:tab w:val="left" w:pos="880"/>
          <w:tab w:val="right" w:leader="dot" w:pos="9016"/>
        </w:tabs>
        <w:rPr>
          <w:rFonts w:eastAsiaTheme="minorEastAsia"/>
          <w:noProof/>
          <w:lang w:eastAsia="en-AU"/>
        </w:rPr>
      </w:pPr>
      <w:hyperlink w:anchor="_Toc84290989" w:history="1">
        <w:r w:rsidR="00D22647" w:rsidRPr="001A1859">
          <w:rPr>
            <w:rStyle w:val="Hyperlink"/>
            <w:noProof/>
          </w:rPr>
          <w:t>3.4</w:t>
        </w:r>
        <w:r w:rsidR="00D22647">
          <w:rPr>
            <w:rFonts w:eastAsiaTheme="minorEastAsia"/>
            <w:noProof/>
            <w:lang w:eastAsia="en-AU"/>
          </w:rPr>
          <w:tab/>
        </w:r>
        <w:r w:rsidR="00D22647" w:rsidRPr="001A1859">
          <w:rPr>
            <w:rStyle w:val="Hyperlink"/>
            <w:noProof/>
          </w:rPr>
          <w:t>Expenses</w:t>
        </w:r>
        <w:r w:rsidR="00D22647">
          <w:rPr>
            <w:noProof/>
            <w:webHidden/>
          </w:rPr>
          <w:tab/>
        </w:r>
        <w:r w:rsidR="00D22647">
          <w:rPr>
            <w:noProof/>
            <w:webHidden/>
          </w:rPr>
          <w:fldChar w:fldCharType="begin"/>
        </w:r>
        <w:r w:rsidR="00D22647">
          <w:rPr>
            <w:noProof/>
            <w:webHidden/>
          </w:rPr>
          <w:instrText xml:space="preserve"> PAGEREF _Toc84290989 \h </w:instrText>
        </w:r>
        <w:r w:rsidR="00D22647">
          <w:rPr>
            <w:noProof/>
            <w:webHidden/>
          </w:rPr>
        </w:r>
        <w:r w:rsidR="00D22647">
          <w:rPr>
            <w:noProof/>
            <w:webHidden/>
          </w:rPr>
          <w:fldChar w:fldCharType="separate"/>
        </w:r>
        <w:r w:rsidR="00F12A80">
          <w:rPr>
            <w:noProof/>
            <w:webHidden/>
          </w:rPr>
          <w:t>229</w:t>
        </w:r>
        <w:r w:rsidR="00D22647">
          <w:rPr>
            <w:noProof/>
            <w:webHidden/>
          </w:rPr>
          <w:fldChar w:fldCharType="end"/>
        </w:r>
      </w:hyperlink>
    </w:p>
    <w:p w14:paraId="1D25C277" w14:textId="5A8753FB" w:rsidR="00D22647" w:rsidRDefault="00FB4E5C">
      <w:pPr>
        <w:pStyle w:val="TOC2"/>
        <w:tabs>
          <w:tab w:val="left" w:pos="880"/>
          <w:tab w:val="right" w:leader="dot" w:pos="9016"/>
        </w:tabs>
        <w:rPr>
          <w:rFonts w:eastAsiaTheme="minorEastAsia"/>
          <w:noProof/>
          <w:lang w:eastAsia="en-AU"/>
        </w:rPr>
      </w:pPr>
      <w:hyperlink w:anchor="_Toc84290990" w:history="1">
        <w:r w:rsidR="00D22647" w:rsidRPr="001A1859">
          <w:rPr>
            <w:rStyle w:val="Hyperlink"/>
            <w:noProof/>
          </w:rPr>
          <w:t>3.5</w:t>
        </w:r>
        <w:r w:rsidR="00D22647">
          <w:rPr>
            <w:rFonts w:eastAsiaTheme="minorEastAsia"/>
            <w:noProof/>
            <w:lang w:eastAsia="en-AU"/>
          </w:rPr>
          <w:tab/>
        </w:r>
        <w:r w:rsidR="00D22647" w:rsidRPr="001A1859">
          <w:rPr>
            <w:rStyle w:val="Hyperlink"/>
            <w:noProof/>
          </w:rPr>
          <w:t>Revenue</w:t>
        </w:r>
        <w:r w:rsidR="00D22647">
          <w:rPr>
            <w:noProof/>
            <w:webHidden/>
          </w:rPr>
          <w:tab/>
        </w:r>
        <w:r w:rsidR="00D22647">
          <w:rPr>
            <w:noProof/>
            <w:webHidden/>
          </w:rPr>
          <w:fldChar w:fldCharType="begin"/>
        </w:r>
        <w:r w:rsidR="00D22647">
          <w:rPr>
            <w:noProof/>
            <w:webHidden/>
          </w:rPr>
          <w:instrText xml:space="preserve"> PAGEREF _Toc84290990 \h </w:instrText>
        </w:r>
        <w:r w:rsidR="00D22647">
          <w:rPr>
            <w:noProof/>
            <w:webHidden/>
          </w:rPr>
        </w:r>
        <w:r w:rsidR="00D22647">
          <w:rPr>
            <w:noProof/>
            <w:webHidden/>
          </w:rPr>
          <w:fldChar w:fldCharType="separate"/>
        </w:r>
        <w:r w:rsidR="00F12A80">
          <w:rPr>
            <w:noProof/>
            <w:webHidden/>
          </w:rPr>
          <w:t>237</w:t>
        </w:r>
        <w:r w:rsidR="00D22647">
          <w:rPr>
            <w:noProof/>
            <w:webHidden/>
          </w:rPr>
          <w:fldChar w:fldCharType="end"/>
        </w:r>
      </w:hyperlink>
    </w:p>
    <w:p w14:paraId="4CA1FF2F" w14:textId="6363400C" w:rsidR="00D22647" w:rsidRDefault="00FB4E5C">
      <w:pPr>
        <w:pStyle w:val="TOC2"/>
        <w:tabs>
          <w:tab w:val="left" w:pos="880"/>
          <w:tab w:val="right" w:leader="dot" w:pos="9016"/>
        </w:tabs>
        <w:rPr>
          <w:rFonts w:eastAsiaTheme="minorEastAsia"/>
          <w:noProof/>
          <w:lang w:eastAsia="en-AU"/>
        </w:rPr>
      </w:pPr>
      <w:hyperlink w:anchor="_Toc84290991" w:history="1">
        <w:r w:rsidR="00D22647" w:rsidRPr="001A1859">
          <w:rPr>
            <w:rStyle w:val="Hyperlink"/>
            <w:noProof/>
          </w:rPr>
          <w:t>3.6</w:t>
        </w:r>
        <w:r w:rsidR="00D22647">
          <w:rPr>
            <w:rFonts w:eastAsiaTheme="minorEastAsia"/>
            <w:noProof/>
            <w:lang w:eastAsia="en-AU"/>
          </w:rPr>
          <w:tab/>
        </w:r>
        <w:r w:rsidR="00D22647" w:rsidRPr="001A1859">
          <w:rPr>
            <w:rStyle w:val="Hyperlink"/>
            <w:noProof/>
          </w:rPr>
          <w:t>Federal Financial Relations</w:t>
        </w:r>
        <w:r w:rsidR="00D22647">
          <w:rPr>
            <w:noProof/>
            <w:webHidden/>
          </w:rPr>
          <w:tab/>
        </w:r>
        <w:r w:rsidR="00D22647">
          <w:rPr>
            <w:noProof/>
            <w:webHidden/>
          </w:rPr>
          <w:fldChar w:fldCharType="begin"/>
        </w:r>
        <w:r w:rsidR="00D22647">
          <w:rPr>
            <w:noProof/>
            <w:webHidden/>
          </w:rPr>
          <w:instrText xml:space="preserve"> PAGEREF _Toc84290991 \h </w:instrText>
        </w:r>
        <w:r w:rsidR="00D22647">
          <w:rPr>
            <w:noProof/>
            <w:webHidden/>
          </w:rPr>
        </w:r>
        <w:r w:rsidR="00D22647">
          <w:rPr>
            <w:noProof/>
            <w:webHidden/>
          </w:rPr>
          <w:fldChar w:fldCharType="separate"/>
        </w:r>
        <w:r w:rsidR="00F12A80">
          <w:rPr>
            <w:noProof/>
            <w:webHidden/>
          </w:rPr>
          <w:t>263</w:t>
        </w:r>
        <w:r w:rsidR="00D22647">
          <w:rPr>
            <w:noProof/>
            <w:webHidden/>
          </w:rPr>
          <w:fldChar w:fldCharType="end"/>
        </w:r>
      </w:hyperlink>
    </w:p>
    <w:p w14:paraId="7DC79180" w14:textId="2FE6AE46" w:rsidR="00D22647" w:rsidRDefault="00FB4E5C">
      <w:pPr>
        <w:pStyle w:val="TOC2"/>
        <w:tabs>
          <w:tab w:val="left" w:pos="880"/>
          <w:tab w:val="right" w:leader="dot" w:pos="9016"/>
        </w:tabs>
        <w:rPr>
          <w:rFonts w:eastAsiaTheme="minorEastAsia"/>
          <w:noProof/>
          <w:lang w:eastAsia="en-AU"/>
        </w:rPr>
      </w:pPr>
      <w:hyperlink w:anchor="_Toc84290992" w:history="1">
        <w:r w:rsidR="00D22647" w:rsidRPr="001A1859">
          <w:rPr>
            <w:rStyle w:val="Hyperlink"/>
            <w:noProof/>
          </w:rPr>
          <w:t>3.7</w:t>
        </w:r>
        <w:r w:rsidR="00D22647">
          <w:rPr>
            <w:rFonts w:eastAsiaTheme="minorEastAsia"/>
            <w:noProof/>
            <w:lang w:eastAsia="en-AU"/>
          </w:rPr>
          <w:tab/>
        </w:r>
        <w:r w:rsidR="00D22647" w:rsidRPr="001A1859">
          <w:rPr>
            <w:rStyle w:val="Hyperlink"/>
            <w:noProof/>
          </w:rPr>
          <w:t>Infrastructure and Capital</w:t>
        </w:r>
        <w:r w:rsidR="00D22647">
          <w:rPr>
            <w:noProof/>
            <w:webHidden/>
          </w:rPr>
          <w:tab/>
        </w:r>
        <w:r w:rsidR="00D22647">
          <w:rPr>
            <w:noProof/>
            <w:webHidden/>
          </w:rPr>
          <w:fldChar w:fldCharType="begin"/>
        </w:r>
        <w:r w:rsidR="00D22647">
          <w:rPr>
            <w:noProof/>
            <w:webHidden/>
          </w:rPr>
          <w:instrText xml:space="preserve"> PAGEREF _Toc84290992 \h </w:instrText>
        </w:r>
        <w:r w:rsidR="00D22647">
          <w:rPr>
            <w:noProof/>
            <w:webHidden/>
          </w:rPr>
        </w:r>
        <w:r w:rsidR="00D22647">
          <w:rPr>
            <w:noProof/>
            <w:webHidden/>
          </w:rPr>
          <w:fldChar w:fldCharType="separate"/>
        </w:r>
        <w:r w:rsidR="00F12A80">
          <w:rPr>
            <w:noProof/>
            <w:webHidden/>
          </w:rPr>
          <w:t>279</w:t>
        </w:r>
        <w:r w:rsidR="00D22647">
          <w:rPr>
            <w:noProof/>
            <w:webHidden/>
          </w:rPr>
          <w:fldChar w:fldCharType="end"/>
        </w:r>
      </w:hyperlink>
    </w:p>
    <w:p w14:paraId="03A0F7C2" w14:textId="21701706" w:rsidR="00D22647" w:rsidRDefault="00FB4E5C">
      <w:pPr>
        <w:pStyle w:val="TOC2"/>
        <w:tabs>
          <w:tab w:val="left" w:pos="880"/>
          <w:tab w:val="right" w:leader="dot" w:pos="9016"/>
        </w:tabs>
        <w:rPr>
          <w:rFonts w:eastAsiaTheme="minorEastAsia"/>
          <w:noProof/>
          <w:lang w:eastAsia="en-AU"/>
        </w:rPr>
      </w:pPr>
      <w:hyperlink w:anchor="_Toc84290994" w:history="1">
        <w:r w:rsidR="00D22647" w:rsidRPr="001A1859">
          <w:rPr>
            <w:rStyle w:val="Hyperlink"/>
            <w:noProof/>
          </w:rPr>
          <w:t>3.8</w:t>
        </w:r>
        <w:r w:rsidR="00D22647">
          <w:rPr>
            <w:rFonts w:eastAsiaTheme="minorEastAsia"/>
            <w:noProof/>
            <w:lang w:eastAsia="en-AU"/>
          </w:rPr>
          <w:tab/>
        </w:r>
        <w:r w:rsidR="00D22647" w:rsidRPr="001A1859">
          <w:rPr>
            <w:rStyle w:val="Hyperlink"/>
            <w:noProof/>
          </w:rPr>
          <w:t>Key Balance Sheet Metrics</w:t>
        </w:r>
        <w:r w:rsidR="00D22647">
          <w:rPr>
            <w:noProof/>
            <w:webHidden/>
          </w:rPr>
          <w:tab/>
        </w:r>
        <w:r w:rsidR="00D22647">
          <w:rPr>
            <w:noProof/>
            <w:webHidden/>
          </w:rPr>
          <w:fldChar w:fldCharType="begin"/>
        </w:r>
        <w:r w:rsidR="00D22647">
          <w:rPr>
            <w:noProof/>
            <w:webHidden/>
          </w:rPr>
          <w:instrText xml:space="preserve"> PAGEREF _Toc84290994 \h </w:instrText>
        </w:r>
        <w:r w:rsidR="00D22647">
          <w:rPr>
            <w:noProof/>
            <w:webHidden/>
          </w:rPr>
        </w:r>
        <w:r w:rsidR="00D22647">
          <w:rPr>
            <w:noProof/>
            <w:webHidden/>
          </w:rPr>
          <w:fldChar w:fldCharType="separate"/>
        </w:r>
        <w:r w:rsidR="00F12A80">
          <w:rPr>
            <w:noProof/>
            <w:webHidden/>
          </w:rPr>
          <w:t>295</w:t>
        </w:r>
        <w:r w:rsidR="00D22647">
          <w:rPr>
            <w:noProof/>
            <w:webHidden/>
          </w:rPr>
          <w:fldChar w:fldCharType="end"/>
        </w:r>
      </w:hyperlink>
    </w:p>
    <w:p w14:paraId="456E437B" w14:textId="77777777" w:rsidR="0021716C" w:rsidRDefault="0021716C" w:rsidP="0021716C">
      <w:pPr>
        <w:pStyle w:val="BCoversheetHeading1"/>
      </w:pPr>
      <w:r>
        <w:fldChar w:fldCharType="end"/>
      </w:r>
    </w:p>
    <w:p w14:paraId="321F9B1A" w14:textId="77777777" w:rsidR="0021716C" w:rsidRDefault="0021716C" w:rsidP="0021716C">
      <w:pPr>
        <w:rPr>
          <w:rFonts w:ascii="Calibri" w:hAnsi="Calibri"/>
          <w:b/>
          <w:sz w:val="36"/>
        </w:rPr>
      </w:pPr>
      <w:r>
        <w:br w:type="page"/>
      </w:r>
    </w:p>
    <w:p w14:paraId="4808D1FE" w14:textId="018E10FC" w:rsidR="0021716C" w:rsidRDefault="0021716C" w:rsidP="0021716C">
      <w:pPr>
        <w:pStyle w:val="Heading2"/>
        <w:sectPr w:rsidR="0021716C" w:rsidSect="006C2922">
          <w:footerReference w:type="default" r:id="rId11"/>
          <w:pgSz w:w="11906" w:h="16838" w:code="9"/>
          <w:pgMar w:top="1151" w:right="1440" w:bottom="1729" w:left="1440" w:header="720" w:footer="720" w:gutter="0"/>
          <w:pgNumType w:start="43"/>
          <w:cols w:space="708"/>
          <w:docGrid w:linePitch="360"/>
        </w:sectPr>
      </w:pPr>
      <w:r>
        <w:lastRenderedPageBreak/>
        <w:br w:type="page"/>
      </w:r>
    </w:p>
    <w:p w14:paraId="6C261515" w14:textId="14CE43B9" w:rsidR="00AE55CE" w:rsidRPr="00930757" w:rsidRDefault="00AF6D55" w:rsidP="00CF0E2D">
      <w:pPr>
        <w:pStyle w:val="Heading2"/>
        <w:numPr>
          <w:ilvl w:val="1"/>
          <w:numId w:val="9"/>
        </w:numPr>
      </w:pPr>
      <w:bookmarkStart w:id="1" w:name="_Toc84290981"/>
      <w:r>
        <w:lastRenderedPageBreak/>
        <w:t>Budget Outlook</w:t>
      </w:r>
      <w:bookmarkEnd w:id="1"/>
    </w:p>
    <w:p w14:paraId="064BFE03" w14:textId="2D1C60BE" w:rsidR="00907A70" w:rsidRPr="00930757" w:rsidRDefault="00A50BEA" w:rsidP="00930757">
      <w:pPr>
        <w:pStyle w:val="Heading3"/>
      </w:pPr>
      <w:r>
        <w:t>Getting Canberra’s economy moving again</w:t>
      </w:r>
    </w:p>
    <w:p w14:paraId="4AA484A6" w14:textId="77777777" w:rsidR="00A50BEA" w:rsidRDefault="00A50BEA" w:rsidP="00EB1151">
      <w:pPr>
        <w:pStyle w:val="Bbodytext"/>
        <w:keepNext/>
        <w:keepLines/>
        <w:rPr>
          <w:szCs w:val="24"/>
        </w:rPr>
      </w:pPr>
      <w:r>
        <w:rPr>
          <w:szCs w:val="24"/>
        </w:rPr>
        <w:t>T</w:t>
      </w:r>
      <w:r w:rsidRPr="35D64318">
        <w:rPr>
          <w:szCs w:val="24"/>
        </w:rPr>
        <w:t xml:space="preserve">he COVID-19 pandemic </w:t>
      </w:r>
      <w:r>
        <w:rPr>
          <w:szCs w:val="24"/>
        </w:rPr>
        <w:t>is</w:t>
      </w:r>
      <w:r w:rsidRPr="35D64318">
        <w:rPr>
          <w:szCs w:val="24"/>
        </w:rPr>
        <w:t xml:space="preserve"> the most significant </w:t>
      </w:r>
      <w:r>
        <w:rPr>
          <w:szCs w:val="24"/>
        </w:rPr>
        <w:t xml:space="preserve">shock </w:t>
      </w:r>
      <w:r w:rsidRPr="35D64318">
        <w:rPr>
          <w:szCs w:val="24"/>
        </w:rPr>
        <w:t xml:space="preserve">faced in the Territory’s history. </w:t>
      </w:r>
    </w:p>
    <w:p w14:paraId="6EE6CE3F" w14:textId="6FF58804" w:rsidR="004A6029" w:rsidRDefault="004A6029" w:rsidP="00EB1151">
      <w:pPr>
        <w:spacing w:line="240" w:lineRule="auto"/>
        <w:rPr>
          <w:sz w:val="24"/>
          <w:szCs w:val="24"/>
        </w:rPr>
      </w:pPr>
      <w:r>
        <w:rPr>
          <w:sz w:val="24"/>
          <w:szCs w:val="24"/>
        </w:rPr>
        <w:t xml:space="preserve">The 2021-22 Budget responds to the immediate health and economic emergencies, begins delivering on our commitments and lays the groundwork for a rapid and sustained economic and jobs recovery. </w:t>
      </w:r>
    </w:p>
    <w:p w14:paraId="3C205E00" w14:textId="284B6177" w:rsidR="006E223A" w:rsidRPr="007E350D" w:rsidRDefault="005F6F12" w:rsidP="00EB1151">
      <w:pPr>
        <w:spacing w:line="240" w:lineRule="auto"/>
        <w:rPr>
          <w:sz w:val="24"/>
          <w:szCs w:val="24"/>
        </w:rPr>
      </w:pPr>
      <w:r>
        <w:rPr>
          <w:sz w:val="24"/>
          <w:szCs w:val="24"/>
        </w:rPr>
        <w:t>O</w:t>
      </w:r>
      <w:r w:rsidR="006E223A">
        <w:rPr>
          <w:sz w:val="24"/>
          <w:szCs w:val="24"/>
        </w:rPr>
        <w:t xml:space="preserve">ur response to the pandemic </w:t>
      </w:r>
      <w:r w:rsidR="00D67F1C">
        <w:rPr>
          <w:sz w:val="24"/>
          <w:szCs w:val="24"/>
        </w:rPr>
        <w:t>recognises</w:t>
      </w:r>
      <w:r w:rsidR="006E223A">
        <w:rPr>
          <w:sz w:val="24"/>
          <w:szCs w:val="24"/>
        </w:rPr>
        <w:t xml:space="preserve"> that we do not have the </w:t>
      </w:r>
      <w:r w:rsidR="009625A3">
        <w:rPr>
          <w:sz w:val="24"/>
          <w:szCs w:val="24"/>
        </w:rPr>
        <w:t xml:space="preserve">fiscal </w:t>
      </w:r>
      <w:r w:rsidR="006E223A">
        <w:rPr>
          <w:sz w:val="24"/>
          <w:szCs w:val="24"/>
        </w:rPr>
        <w:t xml:space="preserve">capacity to </w:t>
      </w:r>
      <w:r w:rsidR="00F156F2">
        <w:rPr>
          <w:sz w:val="24"/>
          <w:szCs w:val="24"/>
        </w:rPr>
        <w:t>fully</w:t>
      </w:r>
      <w:r w:rsidR="00F657EF">
        <w:rPr>
          <w:sz w:val="24"/>
          <w:szCs w:val="24"/>
        </w:rPr>
        <w:t xml:space="preserve"> </w:t>
      </w:r>
      <w:r w:rsidR="005F4E22">
        <w:rPr>
          <w:sz w:val="24"/>
          <w:szCs w:val="24"/>
        </w:rPr>
        <w:t xml:space="preserve">insulate our economy </w:t>
      </w:r>
      <w:r w:rsidR="009625A3">
        <w:rPr>
          <w:sz w:val="24"/>
          <w:szCs w:val="24"/>
        </w:rPr>
        <w:t xml:space="preserve">and community </w:t>
      </w:r>
      <w:r w:rsidR="005F4E22">
        <w:rPr>
          <w:sz w:val="24"/>
          <w:szCs w:val="24"/>
        </w:rPr>
        <w:t>from the</w:t>
      </w:r>
      <w:r w:rsidR="006E223A">
        <w:rPr>
          <w:sz w:val="24"/>
          <w:szCs w:val="24"/>
        </w:rPr>
        <w:t xml:space="preserve"> effects of the pandemic</w:t>
      </w:r>
      <w:r w:rsidR="009625A3">
        <w:rPr>
          <w:sz w:val="24"/>
          <w:szCs w:val="24"/>
        </w:rPr>
        <w:t>.</w:t>
      </w:r>
      <w:r w:rsidR="007F4541">
        <w:rPr>
          <w:sz w:val="24"/>
          <w:szCs w:val="24"/>
        </w:rPr>
        <w:t xml:space="preserve"> </w:t>
      </w:r>
      <w:r w:rsidR="00F77396">
        <w:rPr>
          <w:sz w:val="24"/>
          <w:szCs w:val="24"/>
        </w:rPr>
        <w:t xml:space="preserve">In addition to </w:t>
      </w:r>
      <w:r w:rsidR="003C4125">
        <w:rPr>
          <w:sz w:val="24"/>
          <w:szCs w:val="24"/>
        </w:rPr>
        <w:t>the necessary expenditure on our public health response</w:t>
      </w:r>
      <w:r w:rsidR="006E223A">
        <w:rPr>
          <w:sz w:val="24"/>
          <w:szCs w:val="24"/>
        </w:rPr>
        <w:t xml:space="preserve"> through the provision of targeted supports and productivity-boosting investments, we </w:t>
      </w:r>
      <w:r w:rsidR="00204529">
        <w:rPr>
          <w:sz w:val="24"/>
          <w:szCs w:val="24"/>
        </w:rPr>
        <w:t xml:space="preserve">are ensuring that business and the community are able to recover and rebuild from the </w:t>
      </w:r>
      <w:r w:rsidR="008C2CE8">
        <w:rPr>
          <w:sz w:val="24"/>
          <w:szCs w:val="24"/>
        </w:rPr>
        <w:t>challenging impacts of the pandemic</w:t>
      </w:r>
      <w:r w:rsidR="00B20ECA">
        <w:rPr>
          <w:sz w:val="24"/>
          <w:szCs w:val="24"/>
        </w:rPr>
        <w:t>.</w:t>
      </w:r>
    </w:p>
    <w:p w14:paraId="175F9077" w14:textId="06FEDDF7" w:rsidR="009F47CB" w:rsidRDefault="006E223A" w:rsidP="00EB1151">
      <w:pPr>
        <w:spacing w:line="240" w:lineRule="auto"/>
        <w:rPr>
          <w:sz w:val="24"/>
          <w:szCs w:val="24"/>
        </w:rPr>
      </w:pPr>
      <w:r w:rsidRPr="00662AB5">
        <w:rPr>
          <w:b/>
          <w:bCs/>
          <w:sz w:val="24"/>
          <w:szCs w:val="24"/>
        </w:rPr>
        <w:t xml:space="preserve">Our pathway out of the pandemic is </w:t>
      </w:r>
      <w:r w:rsidR="002E6509" w:rsidRPr="00662AB5">
        <w:rPr>
          <w:b/>
          <w:bCs/>
          <w:sz w:val="24"/>
          <w:szCs w:val="24"/>
        </w:rPr>
        <w:t xml:space="preserve">through </w:t>
      </w:r>
      <w:r w:rsidRPr="00662AB5">
        <w:rPr>
          <w:b/>
          <w:bCs/>
          <w:sz w:val="24"/>
          <w:szCs w:val="24"/>
        </w:rPr>
        <w:t xml:space="preserve">high rates of vaccination delivered </w:t>
      </w:r>
      <w:r w:rsidR="002E6509" w:rsidRPr="00662AB5">
        <w:rPr>
          <w:b/>
          <w:bCs/>
          <w:sz w:val="24"/>
          <w:szCs w:val="24"/>
        </w:rPr>
        <w:t xml:space="preserve">by </w:t>
      </w:r>
      <w:r w:rsidRPr="00662AB5">
        <w:rPr>
          <w:b/>
          <w:bCs/>
          <w:sz w:val="24"/>
          <w:szCs w:val="24"/>
        </w:rPr>
        <w:t>a safe and accessible program, coupled with a responsive testing regime that can</w:t>
      </w:r>
      <w:r w:rsidR="0022492F" w:rsidRPr="00662AB5">
        <w:rPr>
          <w:b/>
          <w:bCs/>
          <w:sz w:val="24"/>
          <w:szCs w:val="24"/>
        </w:rPr>
        <w:t xml:space="preserve"> trace and isolate</w:t>
      </w:r>
      <w:r w:rsidRPr="00662AB5">
        <w:rPr>
          <w:b/>
          <w:bCs/>
          <w:sz w:val="24"/>
          <w:szCs w:val="24"/>
        </w:rPr>
        <w:t xml:space="preserve"> </w:t>
      </w:r>
      <w:r w:rsidR="0022492F" w:rsidRPr="00662AB5">
        <w:rPr>
          <w:b/>
          <w:bCs/>
          <w:sz w:val="24"/>
          <w:szCs w:val="24"/>
        </w:rPr>
        <w:t>cases</w:t>
      </w:r>
      <w:r w:rsidRPr="00662AB5">
        <w:rPr>
          <w:b/>
          <w:bCs/>
          <w:sz w:val="24"/>
          <w:szCs w:val="24"/>
        </w:rPr>
        <w:t xml:space="preserve"> quickly.</w:t>
      </w:r>
      <w:r w:rsidR="009145C7">
        <w:rPr>
          <w:sz w:val="24"/>
          <w:szCs w:val="24"/>
        </w:rPr>
        <w:t xml:space="preserve"> </w:t>
      </w:r>
    </w:p>
    <w:p w14:paraId="11E0E3AC" w14:textId="50CB9FB4" w:rsidR="006E223A" w:rsidRDefault="00B46348" w:rsidP="00EB1151">
      <w:pPr>
        <w:spacing w:line="240" w:lineRule="auto"/>
        <w:rPr>
          <w:sz w:val="24"/>
          <w:szCs w:val="24"/>
        </w:rPr>
      </w:pPr>
      <w:r>
        <w:rPr>
          <w:sz w:val="24"/>
          <w:szCs w:val="24"/>
        </w:rPr>
        <w:t>Building on th</w:t>
      </w:r>
      <w:r w:rsidR="00690A44">
        <w:rPr>
          <w:sz w:val="24"/>
          <w:szCs w:val="24"/>
        </w:rPr>
        <w:t>e</w:t>
      </w:r>
      <w:r>
        <w:rPr>
          <w:sz w:val="24"/>
          <w:szCs w:val="24"/>
        </w:rPr>
        <w:t xml:space="preserve"> health pathway, t</w:t>
      </w:r>
      <w:r w:rsidR="00D84CC4">
        <w:rPr>
          <w:sz w:val="24"/>
          <w:szCs w:val="24"/>
        </w:rPr>
        <w:t xml:space="preserve">his Budget </w:t>
      </w:r>
      <w:r>
        <w:rPr>
          <w:sz w:val="24"/>
          <w:szCs w:val="24"/>
        </w:rPr>
        <w:t>further develops</w:t>
      </w:r>
      <w:r w:rsidR="007F4541">
        <w:rPr>
          <w:sz w:val="24"/>
          <w:szCs w:val="24"/>
        </w:rPr>
        <w:t xml:space="preserve"> </w:t>
      </w:r>
      <w:r w:rsidR="00564071">
        <w:rPr>
          <w:sz w:val="24"/>
          <w:szCs w:val="24"/>
        </w:rPr>
        <w:t xml:space="preserve">the pathway out for </w:t>
      </w:r>
      <w:r w:rsidR="0071061D">
        <w:rPr>
          <w:sz w:val="24"/>
          <w:szCs w:val="24"/>
        </w:rPr>
        <w:t xml:space="preserve">the economy, business and jobs </w:t>
      </w:r>
      <w:r w:rsidR="00E77E6E">
        <w:rPr>
          <w:sz w:val="24"/>
          <w:szCs w:val="24"/>
        </w:rPr>
        <w:t xml:space="preserve">with a </w:t>
      </w:r>
      <w:r w:rsidR="00D10566">
        <w:rPr>
          <w:sz w:val="24"/>
          <w:szCs w:val="24"/>
        </w:rPr>
        <w:t>focus on</w:t>
      </w:r>
      <w:r w:rsidR="000F4522">
        <w:rPr>
          <w:sz w:val="24"/>
          <w:szCs w:val="24"/>
        </w:rPr>
        <w:t xml:space="preserve"> further investments</w:t>
      </w:r>
      <w:r w:rsidR="00EC52A5">
        <w:rPr>
          <w:sz w:val="24"/>
          <w:szCs w:val="24"/>
        </w:rPr>
        <w:t xml:space="preserve"> to enable us to emerge in a strong position and take advantage of the opportunities that a post-COVID-19 world offers.</w:t>
      </w:r>
      <w:r w:rsidR="00A33FDB">
        <w:rPr>
          <w:sz w:val="24"/>
          <w:szCs w:val="24"/>
        </w:rPr>
        <w:t xml:space="preserve"> </w:t>
      </w:r>
      <w:r w:rsidR="00A33FDB" w:rsidRPr="00662AB5">
        <w:rPr>
          <w:b/>
          <w:bCs/>
          <w:sz w:val="24"/>
          <w:szCs w:val="24"/>
        </w:rPr>
        <w:t>This budget</w:t>
      </w:r>
      <w:r w:rsidR="00195B58" w:rsidRPr="00662AB5">
        <w:rPr>
          <w:b/>
          <w:bCs/>
          <w:sz w:val="24"/>
          <w:szCs w:val="24"/>
        </w:rPr>
        <w:t xml:space="preserve"> not only invests in the immediate response, but </w:t>
      </w:r>
      <w:r w:rsidR="006411FB" w:rsidRPr="00662AB5">
        <w:rPr>
          <w:b/>
          <w:bCs/>
          <w:sz w:val="24"/>
          <w:szCs w:val="24"/>
        </w:rPr>
        <w:t>also the future wellbeing of Canberrans.</w:t>
      </w:r>
    </w:p>
    <w:p w14:paraId="75CA808D" w14:textId="77777777" w:rsidR="00A50BEA" w:rsidRDefault="006E223A" w:rsidP="00EB1151">
      <w:pPr>
        <w:spacing w:line="240" w:lineRule="auto"/>
        <w:rPr>
          <w:sz w:val="24"/>
          <w:szCs w:val="24"/>
        </w:rPr>
      </w:pPr>
      <w:r>
        <w:rPr>
          <w:sz w:val="24"/>
          <w:szCs w:val="24"/>
        </w:rPr>
        <w:t>T</w:t>
      </w:r>
      <w:r w:rsidRPr="006D433D">
        <w:rPr>
          <w:sz w:val="24"/>
          <w:szCs w:val="24"/>
        </w:rPr>
        <w:t xml:space="preserve">he estimates </w:t>
      </w:r>
      <w:r>
        <w:rPr>
          <w:sz w:val="24"/>
          <w:szCs w:val="24"/>
        </w:rPr>
        <w:t>presented</w:t>
      </w:r>
      <w:r w:rsidRPr="006D433D">
        <w:rPr>
          <w:sz w:val="24"/>
          <w:szCs w:val="24"/>
        </w:rPr>
        <w:t xml:space="preserve"> in this </w:t>
      </w:r>
      <w:r>
        <w:rPr>
          <w:sz w:val="24"/>
          <w:szCs w:val="24"/>
        </w:rPr>
        <w:t>Budget</w:t>
      </w:r>
      <w:r w:rsidRPr="006D433D">
        <w:rPr>
          <w:sz w:val="24"/>
          <w:szCs w:val="24"/>
        </w:rPr>
        <w:t xml:space="preserve"> indicate that the </w:t>
      </w:r>
      <w:r w:rsidR="00714967">
        <w:rPr>
          <w:sz w:val="24"/>
          <w:szCs w:val="24"/>
        </w:rPr>
        <w:t>fiscal pos</w:t>
      </w:r>
      <w:r w:rsidR="00556E65">
        <w:rPr>
          <w:sz w:val="24"/>
          <w:szCs w:val="24"/>
        </w:rPr>
        <w:t>i</w:t>
      </w:r>
      <w:r w:rsidR="00714967">
        <w:rPr>
          <w:sz w:val="24"/>
          <w:szCs w:val="24"/>
        </w:rPr>
        <w:t>tion</w:t>
      </w:r>
      <w:r w:rsidR="00714967" w:rsidRPr="006D433D">
        <w:rPr>
          <w:sz w:val="24"/>
          <w:szCs w:val="24"/>
        </w:rPr>
        <w:t xml:space="preserve"> </w:t>
      </w:r>
      <w:r w:rsidRPr="006D433D">
        <w:rPr>
          <w:sz w:val="24"/>
          <w:szCs w:val="24"/>
        </w:rPr>
        <w:t>will remain in deficit over the forward estimates period</w:t>
      </w:r>
      <w:r>
        <w:rPr>
          <w:sz w:val="24"/>
          <w:szCs w:val="24"/>
        </w:rPr>
        <w:t xml:space="preserve">, and that the deficit </w:t>
      </w:r>
      <w:r w:rsidR="00714967">
        <w:rPr>
          <w:sz w:val="24"/>
          <w:szCs w:val="24"/>
        </w:rPr>
        <w:t xml:space="preserve">has </w:t>
      </w:r>
      <w:r w:rsidR="00CD50AB">
        <w:rPr>
          <w:sz w:val="24"/>
          <w:szCs w:val="24"/>
        </w:rPr>
        <w:t xml:space="preserve">increased </w:t>
      </w:r>
      <w:r w:rsidR="00714967">
        <w:rPr>
          <w:sz w:val="24"/>
          <w:szCs w:val="24"/>
        </w:rPr>
        <w:t xml:space="preserve">further </w:t>
      </w:r>
      <w:r w:rsidR="003F7258">
        <w:rPr>
          <w:sz w:val="24"/>
          <w:szCs w:val="24"/>
        </w:rPr>
        <w:t>from</w:t>
      </w:r>
      <w:r w:rsidR="00635926">
        <w:rPr>
          <w:sz w:val="24"/>
          <w:szCs w:val="24"/>
        </w:rPr>
        <w:t xml:space="preserve"> </w:t>
      </w:r>
      <w:r>
        <w:rPr>
          <w:sz w:val="24"/>
          <w:szCs w:val="24"/>
        </w:rPr>
        <w:t>2020-21 as a consequence of the Government’s ongoing and expanded support efforts</w:t>
      </w:r>
      <w:r w:rsidR="008E747F">
        <w:rPr>
          <w:sz w:val="24"/>
          <w:szCs w:val="24"/>
        </w:rPr>
        <w:t xml:space="preserve"> </w:t>
      </w:r>
      <w:r>
        <w:rPr>
          <w:sz w:val="24"/>
          <w:szCs w:val="24"/>
        </w:rPr>
        <w:t xml:space="preserve">in response to the Delta variant (both in the </w:t>
      </w:r>
      <w:r w:rsidR="005013FC">
        <w:rPr>
          <w:sz w:val="24"/>
          <w:szCs w:val="24"/>
        </w:rPr>
        <w:t>Territory and</w:t>
      </w:r>
      <w:r>
        <w:rPr>
          <w:sz w:val="24"/>
          <w:szCs w:val="24"/>
        </w:rPr>
        <w:t xml:space="preserve"> surrounding regional New South Wales).</w:t>
      </w:r>
      <w:r w:rsidRPr="006D433D">
        <w:rPr>
          <w:sz w:val="24"/>
          <w:szCs w:val="24"/>
        </w:rPr>
        <w:t xml:space="preserve"> </w:t>
      </w:r>
    </w:p>
    <w:p w14:paraId="41E8FC2A" w14:textId="5B35387D" w:rsidR="008026E1" w:rsidRDefault="00A50BEA" w:rsidP="00EB1151">
      <w:pPr>
        <w:spacing w:line="240" w:lineRule="auto"/>
        <w:rPr>
          <w:sz w:val="24"/>
          <w:szCs w:val="24"/>
        </w:rPr>
      </w:pPr>
      <w:r>
        <w:rPr>
          <w:sz w:val="24"/>
          <w:szCs w:val="24"/>
        </w:rPr>
        <w:t>There is still considerable uncertainty, t</w:t>
      </w:r>
      <w:r w:rsidRPr="35D64318">
        <w:rPr>
          <w:sz w:val="24"/>
          <w:szCs w:val="24"/>
        </w:rPr>
        <w:t xml:space="preserve">his means we will have to be flexible in our fiscal response and there </w:t>
      </w:r>
      <w:r>
        <w:rPr>
          <w:sz w:val="24"/>
          <w:szCs w:val="24"/>
        </w:rPr>
        <w:t>remains a considerable</w:t>
      </w:r>
      <w:r w:rsidRPr="35D64318">
        <w:rPr>
          <w:sz w:val="24"/>
          <w:szCs w:val="24"/>
        </w:rPr>
        <w:t xml:space="preserve"> degree of uncertainty associated with our economic and fiscal outlook for the foreseeable future.</w:t>
      </w:r>
    </w:p>
    <w:p w14:paraId="7B8AF108" w14:textId="30EFD6FA" w:rsidR="006E223A" w:rsidRPr="00B31D68" w:rsidRDefault="006E223A" w:rsidP="00EB1151">
      <w:pPr>
        <w:keepLines/>
        <w:spacing w:line="240" w:lineRule="auto"/>
        <w:rPr>
          <w:sz w:val="24"/>
          <w:szCs w:val="24"/>
        </w:rPr>
      </w:pPr>
      <w:r w:rsidRPr="006D433D">
        <w:rPr>
          <w:sz w:val="24"/>
          <w:szCs w:val="24"/>
        </w:rPr>
        <w:t xml:space="preserve">As outlined in further detail </w:t>
      </w:r>
      <w:r>
        <w:rPr>
          <w:sz w:val="24"/>
          <w:szCs w:val="24"/>
        </w:rPr>
        <w:t xml:space="preserve">in </w:t>
      </w:r>
      <w:r w:rsidR="00F304D2">
        <w:rPr>
          <w:sz w:val="24"/>
          <w:szCs w:val="24"/>
        </w:rPr>
        <w:t>Chapter 2.2</w:t>
      </w:r>
      <w:r w:rsidRPr="006D433D">
        <w:rPr>
          <w:sz w:val="24"/>
          <w:szCs w:val="24"/>
        </w:rPr>
        <w:t xml:space="preserve">, these estimates </w:t>
      </w:r>
      <w:r w:rsidR="005F0EA3" w:rsidRPr="006D433D">
        <w:rPr>
          <w:sz w:val="24"/>
          <w:szCs w:val="24"/>
        </w:rPr>
        <w:t>assume</w:t>
      </w:r>
      <w:r>
        <w:rPr>
          <w:sz w:val="24"/>
          <w:szCs w:val="24"/>
        </w:rPr>
        <w:t xml:space="preserve"> a</w:t>
      </w:r>
      <w:r w:rsidRPr="006D433D">
        <w:rPr>
          <w:sz w:val="24"/>
          <w:szCs w:val="24"/>
        </w:rPr>
        <w:t xml:space="preserve"> relatively rapid</w:t>
      </w:r>
      <w:r>
        <w:rPr>
          <w:sz w:val="24"/>
          <w:szCs w:val="24"/>
        </w:rPr>
        <w:t xml:space="preserve"> economic</w:t>
      </w:r>
      <w:r w:rsidRPr="006D433D">
        <w:rPr>
          <w:sz w:val="24"/>
          <w:szCs w:val="24"/>
        </w:rPr>
        <w:t xml:space="preserve"> recovery</w:t>
      </w:r>
      <w:r>
        <w:rPr>
          <w:sz w:val="24"/>
          <w:szCs w:val="24"/>
        </w:rPr>
        <w:t xml:space="preserve"> as restrictions are eased</w:t>
      </w:r>
      <w:r w:rsidR="00ED6D89">
        <w:rPr>
          <w:sz w:val="24"/>
          <w:szCs w:val="24"/>
        </w:rPr>
        <w:t>.</w:t>
      </w:r>
      <w:r w:rsidRPr="006D433D">
        <w:rPr>
          <w:sz w:val="24"/>
          <w:szCs w:val="24"/>
        </w:rPr>
        <w:t xml:space="preserve"> </w:t>
      </w:r>
      <w:r w:rsidR="005F0EA3">
        <w:rPr>
          <w:sz w:val="24"/>
          <w:szCs w:val="24"/>
        </w:rPr>
        <w:t>H</w:t>
      </w:r>
      <w:r w:rsidR="005F0EA3" w:rsidRPr="006D433D">
        <w:rPr>
          <w:sz w:val="24"/>
          <w:szCs w:val="24"/>
        </w:rPr>
        <w:t>owever</w:t>
      </w:r>
      <w:r w:rsidRPr="006D433D">
        <w:rPr>
          <w:sz w:val="24"/>
          <w:szCs w:val="24"/>
        </w:rPr>
        <w:t xml:space="preserve">, </w:t>
      </w:r>
      <w:r w:rsidR="005F0EA3">
        <w:rPr>
          <w:sz w:val="24"/>
          <w:szCs w:val="24"/>
        </w:rPr>
        <w:t>noting</w:t>
      </w:r>
      <w:r>
        <w:rPr>
          <w:sz w:val="24"/>
          <w:szCs w:val="24"/>
        </w:rPr>
        <w:t xml:space="preserve"> the uncertainties </w:t>
      </w:r>
      <w:r w:rsidR="005F0EA3">
        <w:rPr>
          <w:sz w:val="24"/>
          <w:szCs w:val="24"/>
        </w:rPr>
        <w:t xml:space="preserve">outlined </w:t>
      </w:r>
      <w:r w:rsidR="00F304D2">
        <w:rPr>
          <w:sz w:val="24"/>
          <w:szCs w:val="24"/>
        </w:rPr>
        <w:t xml:space="preserve">in </w:t>
      </w:r>
      <w:r w:rsidR="004A6029">
        <w:rPr>
          <w:sz w:val="24"/>
          <w:szCs w:val="24"/>
        </w:rPr>
        <w:t>this Budget</w:t>
      </w:r>
      <w:r>
        <w:rPr>
          <w:sz w:val="24"/>
          <w:szCs w:val="24"/>
        </w:rPr>
        <w:t xml:space="preserve">, additional expenditure may be </w:t>
      </w:r>
      <w:r w:rsidR="007D71B6">
        <w:rPr>
          <w:sz w:val="24"/>
          <w:szCs w:val="24"/>
        </w:rPr>
        <w:t xml:space="preserve">necessary </w:t>
      </w:r>
      <w:r>
        <w:rPr>
          <w:sz w:val="24"/>
          <w:szCs w:val="24"/>
        </w:rPr>
        <w:t xml:space="preserve">should </w:t>
      </w:r>
      <w:r w:rsidR="005E65A5">
        <w:rPr>
          <w:sz w:val="24"/>
          <w:szCs w:val="24"/>
        </w:rPr>
        <w:t xml:space="preserve">public health </w:t>
      </w:r>
      <w:r>
        <w:rPr>
          <w:sz w:val="24"/>
          <w:szCs w:val="24"/>
        </w:rPr>
        <w:t xml:space="preserve">circumstances </w:t>
      </w:r>
      <w:r w:rsidR="007D71B6">
        <w:rPr>
          <w:sz w:val="24"/>
          <w:szCs w:val="24"/>
        </w:rPr>
        <w:t>change</w:t>
      </w:r>
      <w:r w:rsidRPr="006D433D">
        <w:rPr>
          <w:sz w:val="24"/>
          <w:szCs w:val="24"/>
        </w:rPr>
        <w:t xml:space="preserve">. </w:t>
      </w:r>
    </w:p>
    <w:p w14:paraId="4883FDF4" w14:textId="77777777" w:rsidR="00203750" w:rsidRDefault="00203750" w:rsidP="006D3E6C">
      <w:pPr>
        <w:pStyle w:val="Heading4"/>
      </w:pPr>
      <w:r>
        <w:t>Headline Net Operating Balance</w:t>
      </w:r>
    </w:p>
    <w:p w14:paraId="0AB24339" w14:textId="59A96C3C" w:rsidR="00203750" w:rsidRDefault="00203750" w:rsidP="006D3E6C">
      <w:pPr>
        <w:pStyle w:val="Bbodytext"/>
      </w:pPr>
      <w:r w:rsidRPr="002E7EC5">
        <w:t xml:space="preserve">The General Government Sector (GGS) Headline Net Operating Balance (HNOB) is forecast to be in deficit by </w:t>
      </w:r>
      <w:r w:rsidRPr="00C315CA">
        <w:t>$</w:t>
      </w:r>
      <w:r w:rsidR="00616609" w:rsidRPr="00C315CA">
        <w:t xml:space="preserve">951.5 </w:t>
      </w:r>
      <w:r w:rsidRPr="00C315CA">
        <w:t>million</w:t>
      </w:r>
      <w:r w:rsidRPr="002E7EC5">
        <w:t xml:space="preserve"> in 202</w:t>
      </w:r>
      <w:r w:rsidR="003D399D" w:rsidRPr="002E7EC5">
        <w:t>1</w:t>
      </w:r>
      <w:r w:rsidRPr="002E7EC5">
        <w:t>-2</w:t>
      </w:r>
      <w:r w:rsidR="003D399D" w:rsidRPr="002E7EC5">
        <w:t>2</w:t>
      </w:r>
      <w:r w:rsidRPr="002E7EC5">
        <w:t xml:space="preserve">. This deficit </w:t>
      </w:r>
      <w:r w:rsidRPr="00C315CA">
        <w:t>is $</w:t>
      </w:r>
      <w:r w:rsidR="006354D7" w:rsidRPr="00C315CA">
        <w:t>476.</w:t>
      </w:r>
      <w:r w:rsidR="00D95FE2" w:rsidRPr="00C315CA">
        <w:t>7</w:t>
      </w:r>
      <w:r w:rsidRPr="00C315CA">
        <w:t xml:space="preserve"> million</w:t>
      </w:r>
      <w:r w:rsidRPr="002E7EC5">
        <w:t xml:space="preserve"> </w:t>
      </w:r>
      <w:r w:rsidR="006354D7" w:rsidRPr="002E7EC5">
        <w:t>higher</w:t>
      </w:r>
      <w:r w:rsidRPr="002E7EC5">
        <w:t xml:space="preserve"> than the forecast published in the </w:t>
      </w:r>
      <w:r w:rsidR="000A2A88" w:rsidRPr="002E7EC5">
        <w:t>2020-21 Budget</w:t>
      </w:r>
      <w:r w:rsidRPr="002E7EC5">
        <w:t xml:space="preserve">, primarily as a result </w:t>
      </w:r>
      <w:r w:rsidRPr="002E7EC5" w:rsidDel="00846D9B">
        <w:t xml:space="preserve">of </w:t>
      </w:r>
      <w:r w:rsidR="00846D9B" w:rsidRPr="002E7EC5">
        <w:t xml:space="preserve">the </w:t>
      </w:r>
      <w:r w:rsidR="007D71B6">
        <w:t xml:space="preserve">public </w:t>
      </w:r>
      <w:r w:rsidR="002E7EC5" w:rsidRPr="002E7EC5">
        <w:t>health</w:t>
      </w:r>
      <w:r w:rsidR="007D71B6">
        <w:t xml:space="preserve"> response and the provision of</w:t>
      </w:r>
      <w:r w:rsidR="002E7EC5" w:rsidRPr="002E7EC5">
        <w:t xml:space="preserve"> economic and financial supports to the ACT community </w:t>
      </w:r>
      <w:r w:rsidR="007D71B6">
        <w:t xml:space="preserve">and business </w:t>
      </w:r>
      <w:r w:rsidR="002E7EC5" w:rsidRPr="002E7EC5">
        <w:t xml:space="preserve">in response to the </w:t>
      </w:r>
      <w:r w:rsidR="00332A8D">
        <w:t>COVID-19</w:t>
      </w:r>
      <w:r w:rsidR="00332A8D" w:rsidRPr="002E7EC5">
        <w:t xml:space="preserve"> </w:t>
      </w:r>
      <w:r w:rsidR="002E7EC5" w:rsidRPr="002E7EC5">
        <w:t>pandemic.</w:t>
      </w:r>
    </w:p>
    <w:p w14:paraId="73C9A36B" w14:textId="21CE4D95" w:rsidR="00203750" w:rsidRDefault="00203750" w:rsidP="006D3E6C">
      <w:pPr>
        <w:pStyle w:val="Bbodytext"/>
      </w:pPr>
      <w:r>
        <w:t>Further details are provided in the</w:t>
      </w:r>
      <w:r w:rsidR="00564DD6">
        <w:t xml:space="preserve"> Expenses and</w:t>
      </w:r>
      <w:r>
        <w:t xml:space="preserve"> Revenue chapter</w:t>
      </w:r>
      <w:r w:rsidR="00564DD6">
        <w:t>s</w:t>
      </w:r>
      <w:r>
        <w:t xml:space="preserve"> (Chapter</w:t>
      </w:r>
      <w:r w:rsidR="0030789B">
        <w:t>s</w:t>
      </w:r>
      <w:r>
        <w:t xml:space="preserve"> 3.</w:t>
      </w:r>
      <w:r w:rsidR="0030789B">
        <w:t>4 and 3.5</w:t>
      </w:r>
      <w:r w:rsidR="00961BC0">
        <w:t>,</w:t>
      </w:r>
      <w:r w:rsidR="0030789B">
        <w:t xml:space="preserve"> respectively</w:t>
      </w:r>
      <w:r>
        <w:t xml:space="preserve">) and the Revenue and Expenses section of this </w:t>
      </w:r>
      <w:r w:rsidR="00A20055">
        <w:t>c</w:t>
      </w:r>
      <w:r>
        <w:t>hapter.</w:t>
      </w:r>
    </w:p>
    <w:p w14:paraId="17262DBF" w14:textId="0948A56F" w:rsidR="00203750" w:rsidRDefault="00203750" w:rsidP="006D3E6C">
      <w:pPr>
        <w:pStyle w:val="Bbodytext"/>
      </w:pPr>
      <w:r>
        <w:lastRenderedPageBreak/>
        <w:t>Table 3.1.1 provides a summary of total revenue and expenses across the budget and forward estimates, as well as the HNOB.</w:t>
      </w:r>
    </w:p>
    <w:p w14:paraId="42FF375D" w14:textId="16B96AD4" w:rsidR="00221ADD" w:rsidRDefault="00CB3AC5" w:rsidP="00CB3AC5">
      <w:pPr>
        <w:pStyle w:val="Caption"/>
        <w:rPr>
          <w:noProof/>
        </w:rPr>
      </w:pPr>
      <w:r w:rsidRPr="00111524">
        <w:t xml:space="preserve">Table </w:t>
      </w:r>
      <w:r>
        <w:fldChar w:fldCharType="begin"/>
      </w:r>
      <w:r>
        <w:instrText>STYLEREF 2 \s</w:instrText>
      </w:r>
      <w:r>
        <w:fldChar w:fldCharType="separate"/>
      </w:r>
      <w:r w:rsidR="00F12A80">
        <w:rPr>
          <w:noProof/>
        </w:rPr>
        <w:t>3.1</w:t>
      </w:r>
      <w:r>
        <w:fldChar w:fldCharType="end"/>
      </w:r>
      <w:r w:rsidRPr="00111524">
        <w:t>.</w:t>
      </w:r>
      <w:r>
        <w:fldChar w:fldCharType="begin"/>
      </w:r>
      <w:r>
        <w:instrText>SEQ Table \* ARABIC \s 2</w:instrText>
      </w:r>
      <w:r>
        <w:fldChar w:fldCharType="separate"/>
      </w:r>
      <w:r w:rsidR="00F12A80">
        <w:rPr>
          <w:noProof/>
        </w:rPr>
        <w:t>1</w:t>
      </w:r>
      <w:r>
        <w:fldChar w:fldCharType="end"/>
      </w:r>
      <w:r w:rsidR="00FE20A8">
        <w:rPr>
          <w:noProof/>
        </w:rPr>
        <w:t>: General Government Sector Headline Net Operating Balance</w:t>
      </w:r>
    </w:p>
    <w:tbl>
      <w:tblPr>
        <w:tblW w:w="5000" w:type="pct"/>
        <w:tblBorders>
          <w:top w:val="single" w:sz="4" w:space="0" w:color="auto"/>
          <w:bottom w:val="single" w:sz="4" w:space="0" w:color="auto"/>
          <w:insideH w:val="single" w:sz="4" w:space="0" w:color="auto"/>
        </w:tblBorders>
        <w:tblCellMar>
          <w:left w:w="85" w:type="dxa"/>
        </w:tblCellMar>
        <w:tblLook w:val="04A0" w:firstRow="1" w:lastRow="0" w:firstColumn="1" w:lastColumn="0" w:noHBand="0" w:noVBand="1"/>
      </w:tblPr>
      <w:tblGrid>
        <w:gridCol w:w="2371"/>
        <w:gridCol w:w="1012"/>
        <w:gridCol w:w="1187"/>
        <w:gridCol w:w="1012"/>
        <w:gridCol w:w="1148"/>
        <w:gridCol w:w="1148"/>
        <w:gridCol w:w="1148"/>
      </w:tblGrid>
      <w:tr w:rsidR="007A3E8A" w:rsidRPr="008F5D57" w14:paraId="48D6A489" w14:textId="77777777" w:rsidTr="005857E1">
        <w:trPr>
          <w:trHeight w:val="156"/>
        </w:trPr>
        <w:tc>
          <w:tcPr>
            <w:tcW w:w="1593" w:type="pct"/>
            <w:tcBorders>
              <w:bottom w:val="single" w:sz="4" w:space="0" w:color="auto"/>
            </w:tcBorders>
            <w:shd w:val="clear" w:color="auto" w:fill="472D8C"/>
          </w:tcPr>
          <w:p w14:paraId="4F9C64BC" w14:textId="77777777" w:rsidR="007A3E8A" w:rsidRPr="00111524" w:rsidRDefault="007A3E8A" w:rsidP="00DB3369">
            <w:pPr>
              <w:rPr>
                <w:rFonts w:cs="Calibri"/>
                <w:b/>
                <w:color w:val="FFFFFF" w:themeColor="background1"/>
                <w:sz w:val="20"/>
              </w:rPr>
            </w:pPr>
          </w:p>
        </w:tc>
        <w:tc>
          <w:tcPr>
            <w:tcW w:w="568" w:type="pct"/>
            <w:tcBorders>
              <w:bottom w:val="single" w:sz="4" w:space="0" w:color="auto"/>
            </w:tcBorders>
            <w:shd w:val="clear" w:color="auto" w:fill="472D8C"/>
          </w:tcPr>
          <w:p w14:paraId="6C822415" w14:textId="77777777" w:rsidR="00AD052A" w:rsidRDefault="007A3E8A" w:rsidP="00DB3369">
            <w:pPr>
              <w:pStyle w:val="BTableHeadingRowRightAligned"/>
              <w:rPr>
                <w:color w:val="FFFFFF" w:themeColor="background1"/>
              </w:rPr>
            </w:pPr>
            <w:r>
              <w:rPr>
                <w:color w:val="FFFFFF" w:themeColor="background1"/>
              </w:rPr>
              <w:t>2020-21 Budget</w:t>
            </w:r>
            <w:r>
              <w:rPr>
                <w:color w:val="FFFFFF" w:themeColor="background1"/>
              </w:rPr>
              <w:br/>
            </w:r>
          </w:p>
          <w:p w14:paraId="76CACDA3" w14:textId="634516A2" w:rsidR="007A3E8A" w:rsidRPr="00111524" w:rsidRDefault="007A3E8A" w:rsidP="00DB3369">
            <w:pPr>
              <w:pStyle w:val="BTableHeadingRowRightAligned"/>
              <w:rPr>
                <w:color w:val="FFFFFF" w:themeColor="background1"/>
              </w:rPr>
            </w:pPr>
            <w:r>
              <w:rPr>
                <w:color w:val="FFFFFF" w:themeColor="background1"/>
              </w:rPr>
              <w:t>$m</w:t>
            </w:r>
          </w:p>
        </w:tc>
        <w:tc>
          <w:tcPr>
            <w:tcW w:w="609" w:type="pct"/>
            <w:tcBorders>
              <w:bottom w:val="single" w:sz="4" w:space="0" w:color="auto"/>
            </w:tcBorders>
            <w:shd w:val="clear" w:color="auto" w:fill="472D8C"/>
          </w:tcPr>
          <w:p w14:paraId="3DD14ED2" w14:textId="53E7984E" w:rsidR="007A3E8A" w:rsidRPr="00111524" w:rsidRDefault="007A3E8A" w:rsidP="00DB3369">
            <w:pPr>
              <w:pStyle w:val="BTableHeadingRowRightAligned"/>
              <w:rPr>
                <w:color w:val="FFFFFF" w:themeColor="background1"/>
              </w:rPr>
            </w:pPr>
            <w:r w:rsidRPr="00111524">
              <w:rPr>
                <w:color w:val="FFFFFF" w:themeColor="background1"/>
              </w:rPr>
              <w:t>2020-21</w:t>
            </w:r>
            <w:r>
              <w:rPr>
                <w:color w:val="FFFFFF" w:themeColor="background1"/>
              </w:rPr>
              <w:br/>
              <w:t>Interim Outcome</w:t>
            </w:r>
            <w:r>
              <w:rPr>
                <w:color w:val="FFFFFF" w:themeColor="background1"/>
              </w:rPr>
              <w:br/>
              <w:t>$m</w:t>
            </w:r>
          </w:p>
        </w:tc>
        <w:tc>
          <w:tcPr>
            <w:tcW w:w="526" w:type="pct"/>
            <w:tcBorders>
              <w:bottom w:val="single" w:sz="4" w:space="0" w:color="auto"/>
            </w:tcBorders>
            <w:shd w:val="clear" w:color="auto" w:fill="472D8C"/>
          </w:tcPr>
          <w:p w14:paraId="77841B1F" w14:textId="77777777" w:rsidR="00AD052A" w:rsidRDefault="007A3E8A" w:rsidP="00DB3369">
            <w:pPr>
              <w:pStyle w:val="BTableHeadingRowRightAligned"/>
              <w:rPr>
                <w:color w:val="FFFFFF" w:themeColor="background1"/>
              </w:rPr>
            </w:pPr>
            <w:r>
              <w:rPr>
                <w:color w:val="FFFFFF" w:themeColor="background1"/>
              </w:rPr>
              <w:t xml:space="preserve">2021-22 </w:t>
            </w:r>
            <w:r>
              <w:rPr>
                <w:color w:val="FFFFFF" w:themeColor="background1"/>
              </w:rPr>
              <w:br/>
              <w:t>Budget</w:t>
            </w:r>
            <w:r>
              <w:rPr>
                <w:color w:val="FFFFFF" w:themeColor="background1"/>
              </w:rPr>
              <w:br/>
            </w:r>
          </w:p>
          <w:p w14:paraId="21C9B5EB" w14:textId="57AF34A9" w:rsidR="007A3E8A" w:rsidRPr="00111524" w:rsidRDefault="007A3E8A" w:rsidP="00DB3369">
            <w:pPr>
              <w:pStyle w:val="BTableHeadingRowRightAligned"/>
              <w:rPr>
                <w:color w:val="FFFFFF" w:themeColor="background1"/>
              </w:rPr>
            </w:pPr>
            <w:r>
              <w:rPr>
                <w:color w:val="FFFFFF" w:themeColor="background1"/>
              </w:rPr>
              <w:t>$m</w:t>
            </w:r>
          </w:p>
        </w:tc>
        <w:tc>
          <w:tcPr>
            <w:tcW w:w="568" w:type="pct"/>
            <w:tcBorders>
              <w:bottom w:val="single" w:sz="4" w:space="0" w:color="auto"/>
            </w:tcBorders>
            <w:shd w:val="clear" w:color="auto" w:fill="472D8C"/>
          </w:tcPr>
          <w:p w14:paraId="1151FAB4" w14:textId="77777777" w:rsidR="00AD052A" w:rsidRDefault="007A3E8A" w:rsidP="00DB3369">
            <w:pPr>
              <w:pStyle w:val="BTableHeadingRowRightAligned"/>
              <w:rPr>
                <w:color w:val="FFFFFF" w:themeColor="background1"/>
              </w:rPr>
            </w:pPr>
            <w:r>
              <w:rPr>
                <w:color w:val="FFFFFF" w:themeColor="background1"/>
              </w:rPr>
              <w:t>2022-23</w:t>
            </w:r>
            <w:r>
              <w:rPr>
                <w:color w:val="FFFFFF" w:themeColor="background1"/>
              </w:rPr>
              <w:br/>
              <w:t>Estimate</w:t>
            </w:r>
            <w:r>
              <w:rPr>
                <w:color w:val="FFFFFF" w:themeColor="background1"/>
              </w:rPr>
              <w:br/>
            </w:r>
          </w:p>
          <w:p w14:paraId="5254B3DD" w14:textId="22116B66" w:rsidR="007A3E8A" w:rsidRPr="00111524" w:rsidRDefault="007A3E8A" w:rsidP="00DB3369">
            <w:pPr>
              <w:pStyle w:val="BTableHeadingRowRightAligned"/>
              <w:rPr>
                <w:color w:val="FFFFFF" w:themeColor="background1"/>
              </w:rPr>
            </w:pPr>
            <w:r>
              <w:rPr>
                <w:color w:val="FFFFFF" w:themeColor="background1"/>
              </w:rPr>
              <w:t>$m</w:t>
            </w:r>
          </w:p>
        </w:tc>
        <w:tc>
          <w:tcPr>
            <w:tcW w:w="568" w:type="pct"/>
            <w:tcBorders>
              <w:bottom w:val="single" w:sz="4" w:space="0" w:color="auto"/>
            </w:tcBorders>
            <w:shd w:val="clear" w:color="auto" w:fill="472D8C"/>
          </w:tcPr>
          <w:p w14:paraId="0311652D" w14:textId="77777777" w:rsidR="00AD052A" w:rsidRDefault="007A3E8A" w:rsidP="00DB3369">
            <w:pPr>
              <w:pStyle w:val="BTableHeadingRowRightAligned"/>
              <w:rPr>
                <w:color w:val="FFFFFF" w:themeColor="background1"/>
              </w:rPr>
            </w:pPr>
            <w:r>
              <w:rPr>
                <w:color w:val="FFFFFF" w:themeColor="background1"/>
              </w:rPr>
              <w:t>2023-24</w:t>
            </w:r>
            <w:r>
              <w:rPr>
                <w:color w:val="FFFFFF" w:themeColor="background1"/>
              </w:rPr>
              <w:br/>
              <w:t>Estimate</w:t>
            </w:r>
            <w:r>
              <w:rPr>
                <w:color w:val="FFFFFF" w:themeColor="background1"/>
              </w:rPr>
              <w:br/>
            </w:r>
          </w:p>
          <w:p w14:paraId="168507AB" w14:textId="110B8C48" w:rsidR="007A3E8A" w:rsidRPr="00111524" w:rsidRDefault="007A3E8A" w:rsidP="00DB3369">
            <w:pPr>
              <w:pStyle w:val="BTableHeadingRowRightAligned"/>
              <w:rPr>
                <w:color w:val="FFFFFF" w:themeColor="background1"/>
              </w:rPr>
            </w:pPr>
            <w:r>
              <w:rPr>
                <w:color w:val="FFFFFF" w:themeColor="background1"/>
              </w:rPr>
              <w:t>$m</w:t>
            </w:r>
          </w:p>
        </w:tc>
        <w:tc>
          <w:tcPr>
            <w:tcW w:w="568" w:type="pct"/>
            <w:tcBorders>
              <w:bottom w:val="single" w:sz="4" w:space="0" w:color="auto"/>
            </w:tcBorders>
            <w:shd w:val="clear" w:color="auto" w:fill="472D8C"/>
          </w:tcPr>
          <w:p w14:paraId="6DDA3A3B" w14:textId="77777777" w:rsidR="00AD052A" w:rsidRDefault="007A3E8A" w:rsidP="00DB3369">
            <w:pPr>
              <w:pStyle w:val="BTableHeadingRowRightAligned"/>
              <w:rPr>
                <w:color w:val="FFFFFF" w:themeColor="background1"/>
              </w:rPr>
            </w:pPr>
            <w:r>
              <w:rPr>
                <w:color w:val="FFFFFF" w:themeColor="background1"/>
              </w:rPr>
              <w:t>2024-25</w:t>
            </w:r>
            <w:r>
              <w:rPr>
                <w:color w:val="FFFFFF" w:themeColor="background1"/>
              </w:rPr>
              <w:br/>
              <w:t>Estimate</w:t>
            </w:r>
            <w:r>
              <w:rPr>
                <w:color w:val="FFFFFF" w:themeColor="background1"/>
              </w:rPr>
              <w:br/>
            </w:r>
          </w:p>
          <w:p w14:paraId="0883F18F" w14:textId="4D63199B" w:rsidR="007A3E8A" w:rsidRPr="00111524" w:rsidRDefault="007A3E8A" w:rsidP="00DB3369">
            <w:pPr>
              <w:pStyle w:val="BTableHeadingRowRightAligned"/>
              <w:rPr>
                <w:color w:val="FFFFFF" w:themeColor="background1"/>
              </w:rPr>
            </w:pPr>
            <w:r>
              <w:rPr>
                <w:color w:val="FFFFFF" w:themeColor="background1"/>
              </w:rPr>
              <w:t>$m</w:t>
            </w:r>
          </w:p>
        </w:tc>
      </w:tr>
      <w:tr w:rsidR="007A3E8A" w:rsidRPr="00337DC9" w14:paraId="14B81D13" w14:textId="77777777" w:rsidTr="005857E1">
        <w:trPr>
          <w:trHeight w:val="257"/>
        </w:trPr>
        <w:tc>
          <w:tcPr>
            <w:tcW w:w="1593" w:type="pct"/>
            <w:tcBorders>
              <w:top w:val="nil"/>
              <w:bottom w:val="nil"/>
            </w:tcBorders>
          </w:tcPr>
          <w:p w14:paraId="6D72EE57" w14:textId="635C8BD1" w:rsidR="007A3E8A" w:rsidRPr="00EC74DB" w:rsidRDefault="007A3E8A" w:rsidP="003E0892">
            <w:pPr>
              <w:pStyle w:val="Btabletextunbold"/>
            </w:pPr>
            <w:r>
              <w:t>Revenue</w:t>
            </w:r>
          </w:p>
        </w:tc>
        <w:tc>
          <w:tcPr>
            <w:tcW w:w="568" w:type="pct"/>
            <w:tcBorders>
              <w:bottom w:val="nil"/>
            </w:tcBorders>
          </w:tcPr>
          <w:p w14:paraId="288411EF" w14:textId="6D314E57" w:rsidR="007A3E8A" w:rsidRDefault="00DB4816" w:rsidP="00DB3369">
            <w:pPr>
              <w:pStyle w:val="Btablefigureunbold"/>
            </w:pPr>
            <w:r>
              <w:t>5,981.1</w:t>
            </w:r>
          </w:p>
        </w:tc>
        <w:tc>
          <w:tcPr>
            <w:tcW w:w="609" w:type="pct"/>
            <w:tcBorders>
              <w:bottom w:val="nil"/>
            </w:tcBorders>
          </w:tcPr>
          <w:p w14:paraId="6D2E5FE3" w14:textId="2F8BFD60" w:rsidR="007A3E8A" w:rsidRPr="00EC74DB" w:rsidRDefault="007A3E8A" w:rsidP="00DB3369">
            <w:pPr>
              <w:pStyle w:val="Btablefigureunbold"/>
            </w:pPr>
            <w:r>
              <w:t>6,307.5</w:t>
            </w:r>
          </w:p>
        </w:tc>
        <w:tc>
          <w:tcPr>
            <w:tcW w:w="526" w:type="pct"/>
            <w:tcBorders>
              <w:bottom w:val="nil"/>
            </w:tcBorders>
            <w:shd w:val="clear" w:color="auto" w:fill="auto"/>
          </w:tcPr>
          <w:p w14:paraId="2721710A" w14:textId="23F900EA" w:rsidR="007A3E8A" w:rsidRPr="00C315CA" w:rsidRDefault="007A3E8A" w:rsidP="00DB3369">
            <w:pPr>
              <w:pStyle w:val="Btablefigureunbold"/>
            </w:pPr>
            <w:r w:rsidRPr="00C315CA">
              <w:t>6,597.1</w:t>
            </w:r>
          </w:p>
        </w:tc>
        <w:tc>
          <w:tcPr>
            <w:tcW w:w="568" w:type="pct"/>
            <w:tcBorders>
              <w:bottom w:val="nil"/>
            </w:tcBorders>
            <w:shd w:val="clear" w:color="472D8C" w:fill="auto"/>
          </w:tcPr>
          <w:p w14:paraId="48FA63ED" w14:textId="33D886DC" w:rsidR="007A3E8A" w:rsidRPr="00111524" w:rsidRDefault="007A3E8A" w:rsidP="00DB3369">
            <w:pPr>
              <w:pStyle w:val="Btablefigureunbold"/>
              <w:rPr>
                <w:color w:val="000000"/>
              </w:rPr>
            </w:pPr>
            <w:r>
              <w:rPr>
                <w:color w:val="000000"/>
              </w:rPr>
              <w:t>6,541.7</w:t>
            </w:r>
          </w:p>
        </w:tc>
        <w:tc>
          <w:tcPr>
            <w:tcW w:w="568" w:type="pct"/>
            <w:tcBorders>
              <w:bottom w:val="nil"/>
            </w:tcBorders>
            <w:shd w:val="clear" w:color="auto" w:fill="auto"/>
          </w:tcPr>
          <w:p w14:paraId="48D84607" w14:textId="7434EE94" w:rsidR="007A3E8A" w:rsidRPr="00EC74DB" w:rsidRDefault="007A3E8A" w:rsidP="00DB3369">
            <w:pPr>
              <w:pStyle w:val="Btablefigureunbold"/>
            </w:pPr>
            <w:r>
              <w:t>6,696.3</w:t>
            </w:r>
          </w:p>
        </w:tc>
        <w:tc>
          <w:tcPr>
            <w:tcW w:w="568" w:type="pct"/>
            <w:tcBorders>
              <w:bottom w:val="nil"/>
            </w:tcBorders>
          </w:tcPr>
          <w:p w14:paraId="2C034699" w14:textId="7D2241BB" w:rsidR="007A3E8A" w:rsidRPr="00EC74DB" w:rsidRDefault="007A3E8A" w:rsidP="00DB3369">
            <w:pPr>
              <w:pStyle w:val="Btablefigureunbold"/>
            </w:pPr>
            <w:r>
              <w:t>6,952.6</w:t>
            </w:r>
          </w:p>
        </w:tc>
      </w:tr>
      <w:tr w:rsidR="007A3E8A" w:rsidRPr="00337DC9" w14:paraId="1CA25B42" w14:textId="77777777" w:rsidTr="005857E1">
        <w:trPr>
          <w:trHeight w:val="270"/>
        </w:trPr>
        <w:tc>
          <w:tcPr>
            <w:tcW w:w="1593" w:type="pct"/>
            <w:tcBorders>
              <w:top w:val="nil"/>
              <w:bottom w:val="nil"/>
            </w:tcBorders>
          </w:tcPr>
          <w:p w14:paraId="76400BEF" w14:textId="716E96BD" w:rsidR="007A3E8A" w:rsidRPr="00EC74DB" w:rsidRDefault="007A3E8A" w:rsidP="00DB3369">
            <w:pPr>
              <w:pStyle w:val="Btabletextunbold"/>
            </w:pPr>
            <w:r>
              <w:t>Expenses</w:t>
            </w:r>
          </w:p>
        </w:tc>
        <w:tc>
          <w:tcPr>
            <w:tcW w:w="568" w:type="pct"/>
            <w:tcBorders>
              <w:top w:val="nil"/>
              <w:bottom w:val="nil"/>
            </w:tcBorders>
          </w:tcPr>
          <w:p w14:paraId="43E8808E" w14:textId="7570386B" w:rsidR="007A3E8A" w:rsidRPr="00E32DC8" w:rsidRDefault="00DB4816" w:rsidP="00DB3369">
            <w:pPr>
              <w:pStyle w:val="Btablefigureunbold"/>
            </w:pPr>
            <w:r>
              <w:t>6,749.7</w:t>
            </w:r>
          </w:p>
        </w:tc>
        <w:tc>
          <w:tcPr>
            <w:tcW w:w="609" w:type="pct"/>
            <w:tcBorders>
              <w:top w:val="nil"/>
              <w:bottom w:val="nil"/>
            </w:tcBorders>
          </w:tcPr>
          <w:p w14:paraId="1216CC35" w14:textId="215B3AB9" w:rsidR="007A3E8A" w:rsidRPr="00E32DC8" w:rsidRDefault="007A3E8A" w:rsidP="00DB3369">
            <w:pPr>
              <w:pStyle w:val="Btablefigureunbold"/>
            </w:pPr>
            <w:r w:rsidRPr="00E32DC8">
              <w:t>6,794.1</w:t>
            </w:r>
          </w:p>
        </w:tc>
        <w:tc>
          <w:tcPr>
            <w:tcW w:w="526" w:type="pct"/>
            <w:tcBorders>
              <w:top w:val="nil"/>
              <w:bottom w:val="nil"/>
            </w:tcBorders>
            <w:shd w:val="clear" w:color="auto" w:fill="auto"/>
          </w:tcPr>
          <w:p w14:paraId="0FA4D4D0" w14:textId="27B719EB" w:rsidR="007A3E8A" w:rsidRPr="00C315CA" w:rsidRDefault="007A3E8A" w:rsidP="00DB3369">
            <w:pPr>
              <w:pStyle w:val="BTablefigureBold"/>
              <w:rPr>
                <w:b w:val="0"/>
              </w:rPr>
            </w:pPr>
            <w:r w:rsidRPr="00C315CA">
              <w:rPr>
                <w:b w:val="0"/>
              </w:rPr>
              <w:t>7,764.7</w:t>
            </w:r>
          </w:p>
        </w:tc>
        <w:tc>
          <w:tcPr>
            <w:tcW w:w="568" w:type="pct"/>
            <w:tcBorders>
              <w:top w:val="nil"/>
              <w:bottom w:val="nil"/>
            </w:tcBorders>
            <w:shd w:val="clear" w:color="472D8C" w:fill="auto"/>
          </w:tcPr>
          <w:p w14:paraId="4184F4F2" w14:textId="366A22D7" w:rsidR="007A3E8A" w:rsidRPr="00E32DC8" w:rsidRDefault="007A3E8A" w:rsidP="00DB3369">
            <w:pPr>
              <w:pStyle w:val="Btablefigureunbold"/>
              <w:rPr>
                <w:color w:val="000000"/>
              </w:rPr>
            </w:pPr>
            <w:r w:rsidRPr="00E32DC8">
              <w:rPr>
                <w:color w:val="000000"/>
              </w:rPr>
              <w:t>7,337.3</w:t>
            </w:r>
          </w:p>
        </w:tc>
        <w:tc>
          <w:tcPr>
            <w:tcW w:w="568" w:type="pct"/>
            <w:tcBorders>
              <w:top w:val="nil"/>
              <w:bottom w:val="nil"/>
            </w:tcBorders>
            <w:shd w:val="clear" w:color="auto" w:fill="auto"/>
          </w:tcPr>
          <w:p w14:paraId="24B5C966" w14:textId="20C75D1C" w:rsidR="007A3E8A" w:rsidRPr="00EC74DB" w:rsidRDefault="007A3E8A" w:rsidP="00DB3369">
            <w:pPr>
              <w:pStyle w:val="Btablefigureunbold"/>
            </w:pPr>
            <w:r>
              <w:t>7,474.4</w:t>
            </w:r>
          </w:p>
        </w:tc>
        <w:tc>
          <w:tcPr>
            <w:tcW w:w="568" w:type="pct"/>
            <w:tcBorders>
              <w:top w:val="nil"/>
              <w:bottom w:val="nil"/>
            </w:tcBorders>
          </w:tcPr>
          <w:p w14:paraId="6CFC0D97" w14:textId="1B4BCE32" w:rsidR="007A3E8A" w:rsidRPr="00EC74DB" w:rsidRDefault="007A3E8A" w:rsidP="00DB3369">
            <w:pPr>
              <w:pStyle w:val="Btablefigureunbold"/>
            </w:pPr>
            <w:r>
              <w:t>7,692.0</w:t>
            </w:r>
          </w:p>
        </w:tc>
      </w:tr>
      <w:tr w:rsidR="007A3E8A" w:rsidRPr="00337DC9" w14:paraId="679EA06E" w14:textId="77777777" w:rsidTr="005857E1">
        <w:trPr>
          <w:trHeight w:val="270"/>
        </w:trPr>
        <w:tc>
          <w:tcPr>
            <w:tcW w:w="1593" w:type="pct"/>
            <w:tcBorders>
              <w:top w:val="nil"/>
              <w:bottom w:val="single" w:sz="4" w:space="0" w:color="auto"/>
            </w:tcBorders>
          </w:tcPr>
          <w:p w14:paraId="1B93C121" w14:textId="17C70866" w:rsidR="007A3E8A" w:rsidRDefault="007A3E8A" w:rsidP="00DB3369">
            <w:pPr>
              <w:pStyle w:val="Btabletextunbold"/>
            </w:pPr>
            <w:r>
              <w:t>Superannuation return adjustment</w:t>
            </w:r>
          </w:p>
        </w:tc>
        <w:tc>
          <w:tcPr>
            <w:tcW w:w="568" w:type="pct"/>
            <w:tcBorders>
              <w:top w:val="nil"/>
              <w:bottom w:val="single" w:sz="4" w:space="0" w:color="auto"/>
            </w:tcBorders>
          </w:tcPr>
          <w:p w14:paraId="57312CCB" w14:textId="1620C438" w:rsidR="007A3E8A" w:rsidRPr="00E32DC8" w:rsidRDefault="00DB4816" w:rsidP="00DB3369">
            <w:pPr>
              <w:pStyle w:val="Btablefigureunbold"/>
            </w:pPr>
            <w:r>
              <w:t>165.6</w:t>
            </w:r>
          </w:p>
        </w:tc>
        <w:tc>
          <w:tcPr>
            <w:tcW w:w="609" w:type="pct"/>
            <w:tcBorders>
              <w:top w:val="nil"/>
              <w:bottom w:val="single" w:sz="4" w:space="0" w:color="auto"/>
            </w:tcBorders>
          </w:tcPr>
          <w:p w14:paraId="0E64D3C7" w14:textId="3D614216" w:rsidR="007A3E8A" w:rsidRPr="00E32DC8" w:rsidRDefault="007A3E8A" w:rsidP="00DB3369">
            <w:pPr>
              <w:pStyle w:val="Btablefigureunbold"/>
            </w:pPr>
            <w:r w:rsidRPr="00E32DC8">
              <w:t>123.5</w:t>
            </w:r>
          </w:p>
        </w:tc>
        <w:tc>
          <w:tcPr>
            <w:tcW w:w="526" w:type="pct"/>
            <w:tcBorders>
              <w:top w:val="nil"/>
              <w:bottom w:val="single" w:sz="4" w:space="0" w:color="auto"/>
            </w:tcBorders>
            <w:shd w:val="clear" w:color="auto" w:fill="auto"/>
          </w:tcPr>
          <w:p w14:paraId="4D1D2307" w14:textId="2114EC25" w:rsidR="007A3E8A" w:rsidRPr="00C315CA" w:rsidRDefault="007A3E8A" w:rsidP="00DB3369">
            <w:pPr>
              <w:pStyle w:val="BTablefigureBold"/>
              <w:rPr>
                <w:b w:val="0"/>
              </w:rPr>
            </w:pPr>
            <w:r w:rsidRPr="00C315CA">
              <w:rPr>
                <w:b w:val="0"/>
              </w:rPr>
              <w:t>216.1</w:t>
            </w:r>
          </w:p>
        </w:tc>
        <w:tc>
          <w:tcPr>
            <w:tcW w:w="568" w:type="pct"/>
            <w:tcBorders>
              <w:top w:val="nil"/>
              <w:bottom w:val="single" w:sz="4" w:space="0" w:color="auto"/>
            </w:tcBorders>
            <w:shd w:val="clear" w:color="472D8C" w:fill="auto"/>
          </w:tcPr>
          <w:p w14:paraId="71D5A40C" w14:textId="7C11BAC6" w:rsidR="007A3E8A" w:rsidRPr="00E32DC8" w:rsidRDefault="007A3E8A" w:rsidP="00DB3369">
            <w:pPr>
              <w:pStyle w:val="Btablefigureunbold"/>
              <w:rPr>
                <w:color w:val="000000"/>
              </w:rPr>
            </w:pPr>
            <w:r w:rsidRPr="00E32DC8">
              <w:rPr>
                <w:color w:val="000000"/>
              </w:rPr>
              <w:t>231.4</w:t>
            </w:r>
          </w:p>
        </w:tc>
        <w:tc>
          <w:tcPr>
            <w:tcW w:w="568" w:type="pct"/>
            <w:tcBorders>
              <w:top w:val="nil"/>
              <w:bottom w:val="single" w:sz="4" w:space="0" w:color="auto"/>
            </w:tcBorders>
            <w:shd w:val="clear" w:color="auto" w:fill="auto"/>
          </w:tcPr>
          <w:p w14:paraId="2C035EC4" w14:textId="7D116E8C" w:rsidR="007A3E8A" w:rsidRPr="00EC74DB" w:rsidRDefault="007A3E8A" w:rsidP="00DB3369">
            <w:pPr>
              <w:pStyle w:val="Btablefigureunbold"/>
            </w:pPr>
            <w:r>
              <w:t>247.7</w:t>
            </w:r>
          </w:p>
        </w:tc>
        <w:tc>
          <w:tcPr>
            <w:tcW w:w="568" w:type="pct"/>
            <w:tcBorders>
              <w:top w:val="nil"/>
              <w:bottom w:val="single" w:sz="4" w:space="0" w:color="auto"/>
            </w:tcBorders>
          </w:tcPr>
          <w:p w14:paraId="1857492A" w14:textId="68FF9700" w:rsidR="007A3E8A" w:rsidRPr="00EC74DB" w:rsidRDefault="007A3E8A" w:rsidP="00DB3369">
            <w:pPr>
              <w:pStyle w:val="Btablefigureunbold"/>
            </w:pPr>
            <w:r>
              <w:t>265.3</w:t>
            </w:r>
          </w:p>
        </w:tc>
      </w:tr>
      <w:tr w:rsidR="007A3E8A" w:rsidRPr="00337DC9" w14:paraId="0B0BB561" w14:textId="77777777" w:rsidTr="005857E1">
        <w:trPr>
          <w:trHeight w:val="270"/>
        </w:trPr>
        <w:tc>
          <w:tcPr>
            <w:tcW w:w="1593" w:type="pct"/>
            <w:tcBorders>
              <w:top w:val="single" w:sz="4" w:space="0" w:color="auto"/>
              <w:bottom w:val="single" w:sz="4" w:space="0" w:color="auto"/>
            </w:tcBorders>
          </w:tcPr>
          <w:p w14:paraId="4B7D8370" w14:textId="48AEBCE1" w:rsidR="007A3E8A" w:rsidRPr="00EA689F" w:rsidRDefault="007A3E8A" w:rsidP="006F1C49">
            <w:pPr>
              <w:pStyle w:val="Btabletextbold"/>
              <w:rPr>
                <w:color w:val="472D8C"/>
              </w:rPr>
            </w:pPr>
            <w:r w:rsidRPr="00EA689F">
              <w:rPr>
                <w:color w:val="472D8C"/>
              </w:rPr>
              <w:t xml:space="preserve">HEADLINE NET OPERATING BALANCE </w:t>
            </w:r>
          </w:p>
        </w:tc>
        <w:tc>
          <w:tcPr>
            <w:tcW w:w="568" w:type="pct"/>
            <w:tcBorders>
              <w:top w:val="single" w:sz="4" w:space="0" w:color="auto"/>
              <w:bottom w:val="single" w:sz="4" w:space="0" w:color="auto"/>
            </w:tcBorders>
          </w:tcPr>
          <w:p w14:paraId="63AB7874" w14:textId="0D778F85" w:rsidR="007A3E8A" w:rsidRPr="00EA689F" w:rsidRDefault="00DB4816" w:rsidP="00DB3369">
            <w:pPr>
              <w:pStyle w:val="Btablefigureunbold"/>
              <w:rPr>
                <w:b/>
                <w:color w:val="472D8C"/>
              </w:rPr>
            </w:pPr>
            <w:r w:rsidRPr="00EA689F">
              <w:rPr>
                <w:b/>
                <w:color w:val="472D8C"/>
              </w:rPr>
              <w:t>-603.1</w:t>
            </w:r>
          </w:p>
        </w:tc>
        <w:tc>
          <w:tcPr>
            <w:tcW w:w="609" w:type="pct"/>
            <w:tcBorders>
              <w:top w:val="single" w:sz="4" w:space="0" w:color="auto"/>
              <w:bottom w:val="single" w:sz="4" w:space="0" w:color="auto"/>
            </w:tcBorders>
          </w:tcPr>
          <w:p w14:paraId="2928339C" w14:textId="4637BF1C" w:rsidR="007A3E8A" w:rsidRPr="00EA689F" w:rsidRDefault="007A3E8A" w:rsidP="00DB3369">
            <w:pPr>
              <w:pStyle w:val="Btablefigureunbold"/>
              <w:rPr>
                <w:b/>
                <w:color w:val="472D8C"/>
              </w:rPr>
            </w:pPr>
            <w:r w:rsidRPr="00EA689F">
              <w:rPr>
                <w:b/>
                <w:color w:val="472D8C"/>
              </w:rPr>
              <w:t>-363.1</w:t>
            </w:r>
          </w:p>
        </w:tc>
        <w:tc>
          <w:tcPr>
            <w:tcW w:w="526" w:type="pct"/>
            <w:tcBorders>
              <w:top w:val="single" w:sz="4" w:space="0" w:color="auto"/>
              <w:bottom w:val="single" w:sz="4" w:space="0" w:color="auto"/>
            </w:tcBorders>
            <w:shd w:val="clear" w:color="auto" w:fill="auto"/>
          </w:tcPr>
          <w:p w14:paraId="0650ABEF" w14:textId="4CB93D58" w:rsidR="007A3E8A" w:rsidRPr="00EA689F" w:rsidRDefault="007A3E8A" w:rsidP="00DB3369">
            <w:pPr>
              <w:pStyle w:val="BTablefigureBold"/>
              <w:rPr>
                <w:bCs/>
                <w:color w:val="472D8C"/>
              </w:rPr>
            </w:pPr>
            <w:r w:rsidRPr="00EA689F">
              <w:rPr>
                <w:bCs/>
                <w:color w:val="472D8C"/>
              </w:rPr>
              <w:t>-951.5</w:t>
            </w:r>
          </w:p>
        </w:tc>
        <w:tc>
          <w:tcPr>
            <w:tcW w:w="568" w:type="pct"/>
            <w:tcBorders>
              <w:top w:val="single" w:sz="4" w:space="0" w:color="auto"/>
              <w:bottom w:val="single" w:sz="4" w:space="0" w:color="auto"/>
            </w:tcBorders>
            <w:shd w:val="clear" w:color="472D8C" w:fill="auto"/>
          </w:tcPr>
          <w:p w14:paraId="5FE0B582" w14:textId="79FFD9D5" w:rsidR="007A3E8A" w:rsidRPr="00EA689F" w:rsidRDefault="007A3E8A" w:rsidP="00DB3369">
            <w:pPr>
              <w:pStyle w:val="Btablefigureunbold"/>
              <w:rPr>
                <w:b/>
                <w:color w:val="472D8C"/>
              </w:rPr>
            </w:pPr>
            <w:r w:rsidRPr="00EA689F">
              <w:rPr>
                <w:b/>
                <w:color w:val="472D8C"/>
              </w:rPr>
              <w:t>-564.3</w:t>
            </w:r>
          </w:p>
        </w:tc>
        <w:tc>
          <w:tcPr>
            <w:tcW w:w="568" w:type="pct"/>
            <w:tcBorders>
              <w:top w:val="single" w:sz="4" w:space="0" w:color="auto"/>
              <w:bottom w:val="single" w:sz="4" w:space="0" w:color="auto"/>
            </w:tcBorders>
            <w:shd w:val="clear" w:color="auto" w:fill="auto"/>
          </w:tcPr>
          <w:p w14:paraId="4AA01338" w14:textId="1D3F7728" w:rsidR="007A3E8A" w:rsidRPr="00EA689F" w:rsidRDefault="007A3E8A" w:rsidP="00DB3369">
            <w:pPr>
              <w:pStyle w:val="Btablefigureunbold"/>
              <w:rPr>
                <w:b/>
                <w:color w:val="472D8C"/>
              </w:rPr>
            </w:pPr>
            <w:r w:rsidRPr="00EA689F">
              <w:rPr>
                <w:b/>
                <w:color w:val="472D8C"/>
              </w:rPr>
              <w:t>-530.4</w:t>
            </w:r>
          </w:p>
        </w:tc>
        <w:tc>
          <w:tcPr>
            <w:tcW w:w="568" w:type="pct"/>
            <w:tcBorders>
              <w:top w:val="single" w:sz="4" w:space="0" w:color="auto"/>
              <w:bottom w:val="single" w:sz="4" w:space="0" w:color="auto"/>
            </w:tcBorders>
          </w:tcPr>
          <w:p w14:paraId="7A0E20C2" w14:textId="0DFF93C9" w:rsidR="007A3E8A" w:rsidRPr="00EA689F" w:rsidRDefault="007A3E8A" w:rsidP="00DB3369">
            <w:pPr>
              <w:pStyle w:val="Btablefigureunbold"/>
              <w:rPr>
                <w:b/>
                <w:color w:val="472D8C"/>
              </w:rPr>
            </w:pPr>
            <w:r w:rsidRPr="00EA689F">
              <w:rPr>
                <w:b/>
                <w:color w:val="472D8C"/>
              </w:rPr>
              <w:t>-474.1</w:t>
            </w:r>
          </w:p>
        </w:tc>
      </w:tr>
      <w:tr w:rsidR="007A3E8A" w:rsidRPr="00337DC9" w14:paraId="1C529911" w14:textId="77777777" w:rsidTr="005857E1">
        <w:trPr>
          <w:trHeight w:val="270"/>
        </w:trPr>
        <w:tc>
          <w:tcPr>
            <w:tcW w:w="1593" w:type="pct"/>
            <w:tcBorders>
              <w:top w:val="single" w:sz="4" w:space="0" w:color="auto"/>
              <w:bottom w:val="nil"/>
            </w:tcBorders>
          </w:tcPr>
          <w:p w14:paraId="5B3A0A4D" w14:textId="763EC3FE" w:rsidR="007A3E8A" w:rsidRDefault="007A3E8A" w:rsidP="00DB3369">
            <w:pPr>
              <w:pStyle w:val="Btabletextunbold"/>
            </w:pPr>
            <w:r>
              <w:t>Net cash from operating activities</w:t>
            </w:r>
          </w:p>
        </w:tc>
        <w:tc>
          <w:tcPr>
            <w:tcW w:w="568" w:type="pct"/>
            <w:tcBorders>
              <w:top w:val="single" w:sz="4" w:space="0" w:color="auto"/>
              <w:bottom w:val="nil"/>
            </w:tcBorders>
          </w:tcPr>
          <w:p w14:paraId="5F3A4C92" w14:textId="4A0E1C77" w:rsidR="007A3E8A" w:rsidRDefault="00DB4816" w:rsidP="00DB3369">
            <w:pPr>
              <w:pStyle w:val="Btablefigureunbold"/>
            </w:pPr>
            <w:r>
              <w:t>-219.8</w:t>
            </w:r>
          </w:p>
        </w:tc>
        <w:tc>
          <w:tcPr>
            <w:tcW w:w="609" w:type="pct"/>
            <w:tcBorders>
              <w:top w:val="single" w:sz="4" w:space="0" w:color="auto"/>
              <w:bottom w:val="nil"/>
            </w:tcBorders>
          </w:tcPr>
          <w:p w14:paraId="5CAA116D" w14:textId="2F18A337" w:rsidR="007A3E8A" w:rsidRDefault="007A3E8A" w:rsidP="00DB3369">
            <w:pPr>
              <w:pStyle w:val="Btablefigureunbold"/>
            </w:pPr>
            <w:r>
              <w:t>237.6</w:t>
            </w:r>
          </w:p>
        </w:tc>
        <w:tc>
          <w:tcPr>
            <w:tcW w:w="526" w:type="pct"/>
            <w:tcBorders>
              <w:top w:val="single" w:sz="4" w:space="0" w:color="auto"/>
              <w:bottom w:val="nil"/>
            </w:tcBorders>
            <w:shd w:val="clear" w:color="auto" w:fill="auto"/>
          </w:tcPr>
          <w:p w14:paraId="036B5A31" w14:textId="0AAB63BF" w:rsidR="007A3E8A" w:rsidRPr="00C315CA" w:rsidRDefault="007A3E8A" w:rsidP="00DB3369">
            <w:pPr>
              <w:pStyle w:val="BTablefigureBold"/>
              <w:rPr>
                <w:b w:val="0"/>
              </w:rPr>
            </w:pPr>
            <w:r w:rsidRPr="00C315CA">
              <w:rPr>
                <w:b w:val="0"/>
              </w:rPr>
              <w:t>-328.4</w:t>
            </w:r>
          </w:p>
        </w:tc>
        <w:tc>
          <w:tcPr>
            <w:tcW w:w="568" w:type="pct"/>
            <w:tcBorders>
              <w:top w:val="single" w:sz="4" w:space="0" w:color="auto"/>
              <w:bottom w:val="nil"/>
            </w:tcBorders>
            <w:shd w:val="clear" w:color="472D8C" w:fill="auto"/>
          </w:tcPr>
          <w:p w14:paraId="486FCA3D" w14:textId="25062909" w:rsidR="007A3E8A" w:rsidRPr="00111524" w:rsidRDefault="007A3E8A" w:rsidP="00DB3369">
            <w:pPr>
              <w:pStyle w:val="Btablefigureunbold"/>
              <w:rPr>
                <w:color w:val="000000"/>
              </w:rPr>
            </w:pPr>
            <w:r>
              <w:rPr>
                <w:color w:val="000000"/>
              </w:rPr>
              <w:t>-130.3</w:t>
            </w:r>
          </w:p>
        </w:tc>
        <w:tc>
          <w:tcPr>
            <w:tcW w:w="568" w:type="pct"/>
            <w:tcBorders>
              <w:top w:val="single" w:sz="4" w:space="0" w:color="auto"/>
              <w:bottom w:val="nil"/>
            </w:tcBorders>
            <w:shd w:val="clear" w:color="auto" w:fill="auto"/>
          </w:tcPr>
          <w:p w14:paraId="03AE6818" w14:textId="0A47454E" w:rsidR="007A3E8A" w:rsidRPr="00EC74DB" w:rsidRDefault="007A3E8A" w:rsidP="00DB3369">
            <w:pPr>
              <w:pStyle w:val="Btablefigureunbold"/>
            </w:pPr>
            <w:r>
              <w:t>-42.3</w:t>
            </w:r>
          </w:p>
        </w:tc>
        <w:tc>
          <w:tcPr>
            <w:tcW w:w="568" w:type="pct"/>
            <w:tcBorders>
              <w:top w:val="single" w:sz="4" w:space="0" w:color="auto"/>
              <w:bottom w:val="nil"/>
            </w:tcBorders>
          </w:tcPr>
          <w:p w14:paraId="54DC23B4" w14:textId="076FD27C" w:rsidR="007A3E8A" w:rsidRPr="00EC74DB" w:rsidRDefault="007A3E8A" w:rsidP="00DB3369">
            <w:pPr>
              <w:pStyle w:val="Btablefigureunbold"/>
            </w:pPr>
            <w:r>
              <w:t>-3.3</w:t>
            </w:r>
          </w:p>
        </w:tc>
      </w:tr>
      <w:tr w:rsidR="007A3E8A" w:rsidRPr="00337DC9" w14:paraId="43FD8F06" w14:textId="77777777" w:rsidTr="00635926">
        <w:trPr>
          <w:trHeight w:val="270"/>
        </w:trPr>
        <w:tc>
          <w:tcPr>
            <w:tcW w:w="1593" w:type="pct"/>
            <w:tcBorders>
              <w:top w:val="nil"/>
              <w:bottom w:val="nil"/>
            </w:tcBorders>
          </w:tcPr>
          <w:p w14:paraId="27C6F180" w14:textId="45381CE3" w:rsidR="007A3E8A" w:rsidRDefault="007A3E8A" w:rsidP="00DB3369">
            <w:pPr>
              <w:pStyle w:val="Btabletextunbold"/>
            </w:pPr>
            <w:r>
              <w:t>Net debt (excluding superannuation)</w:t>
            </w:r>
          </w:p>
        </w:tc>
        <w:tc>
          <w:tcPr>
            <w:tcW w:w="568" w:type="pct"/>
            <w:tcBorders>
              <w:top w:val="nil"/>
              <w:bottom w:val="nil"/>
            </w:tcBorders>
          </w:tcPr>
          <w:p w14:paraId="010BE914" w14:textId="5B9B71F9" w:rsidR="007A3E8A" w:rsidRDefault="00DB4816" w:rsidP="00DB3369">
            <w:pPr>
              <w:pStyle w:val="Btablefigureunbold"/>
            </w:pPr>
            <w:r>
              <w:t>4,665.0</w:t>
            </w:r>
          </w:p>
        </w:tc>
        <w:tc>
          <w:tcPr>
            <w:tcW w:w="609" w:type="pct"/>
            <w:tcBorders>
              <w:top w:val="nil"/>
              <w:bottom w:val="nil"/>
            </w:tcBorders>
          </w:tcPr>
          <w:p w14:paraId="162B8A8D" w14:textId="2C096F9F" w:rsidR="007A3E8A" w:rsidRDefault="007A3E8A" w:rsidP="00DB3369">
            <w:pPr>
              <w:pStyle w:val="Btablefigureunbold"/>
            </w:pPr>
            <w:r>
              <w:t>4,352.8</w:t>
            </w:r>
          </w:p>
        </w:tc>
        <w:tc>
          <w:tcPr>
            <w:tcW w:w="526" w:type="pct"/>
            <w:tcBorders>
              <w:top w:val="nil"/>
              <w:bottom w:val="nil"/>
            </w:tcBorders>
            <w:shd w:val="clear" w:color="auto" w:fill="auto"/>
          </w:tcPr>
          <w:p w14:paraId="1F6F0EE7" w14:textId="28B1FB33" w:rsidR="007A3E8A" w:rsidRPr="00C315CA" w:rsidRDefault="007A3E8A" w:rsidP="000E6D8C">
            <w:pPr>
              <w:pStyle w:val="BTablefigureBold"/>
              <w:ind w:left="0" w:firstLine="0"/>
              <w:rPr>
                <w:b w:val="0"/>
              </w:rPr>
            </w:pPr>
            <w:r w:rsidRPr="00C315CA">
              <w:rPr>
                <w:b w:val="0"/>
              </w:rPr>
              <w:t>5,721.0</w:t>
            </w:r>
          </w:p>
        </w:tc>
        <w:tc>
          <w:tcPr>
            <w:tcW w:w="568" w:type="pct"/>
            <w:tcBorders>
              <w:top w:val="nil"/>
              <w:bottom w:val="nil"/>
            </w:tcBorders>
            <w:shd w:val="clear" w:color="472D8C" w:fill="auto"/>
          </w:tcPr>
          <w:p w14:paraId="029B78EE" w14:textId="4EFEA9B2" w:rsidR="007A3E8A" w:rsidRPr="00111524" w:rsidRDefault="007A3E8A" w:rsidP="00DB3369">
            <w:pPr>
              <w:pStyle w:val="Btablefigureunbold"/>
              <w:rPr>
                <w:color w:val="000000"/>
              </w:rPr>
            </w:pPr>
            <w:r>
              <w:rPr>
                <w:color w:val="000000"/>
              </w:rPr>
              <w:t>6,875.9</w:t>
            </w:r>
          </w:p>
        </w:tc>
        <w:tc>
          <w:tcPr>
            <w:tcW w:w="568" w:type="pct"/>
            <w:tcBorders>
              <w:top w:val="nil"/>
              <w:bottom w:val="nil"/>
            </w:tcBorders>
            <w:shd w:val="clear" w:color="auto" w:fill="auto"/>
          </w:tcPr>
          <w:p w14:paraId="217B011A" w14:textId="1AC0F2A9" w:rsidR="007A3E8A" w:rsidRPr="00EC74DB" w:rsidRDefault="007A3E8A" w:rsidP="00DB3369">
            <w:pPr>
              <w:pStyle w:val="Btablefigureunbold"/>
            </w:pPr>
            <w:r>
              <w:t>8,245.2</w:t>
            </w:r>
          </w:p>
        </w:tc>
        <w:tc>
          <w:tcPr>
            <w:tcW w:w="568" w:type="pct"/>
            <w:tcBorders>
              <w:top w:val="nil"/>
              <w:bottom w:val="nil"/>
            </w:tcBorders>
          </w:tcPr>
          <w:p w14:paraId="06E61699" w14:textId="772A0938" w:rsidR="007A3E8A" w:rsidRPr="00EC74DB" w:rsidRDefault="007A3E8A" w:rsidP="00DB3369">
            <w:pPr>
              <w:pStyle w:val="Btablefigureunbold"/>
            </w:pPr>
            <w:r>
              <w:t>9,580.9</w:t>
            </w:r>
          </w:p>
        </w:tc>
      </w:tr>
      <w:tr w:rsidR="007A3E8A" w:rsidRPr="00337DC9" w14:paraId="3C17E0B6" w14:textId="77777777" w:rsidTr="00635926">
        <w:trPr>
          <w:trHeight w:val="270"/>
        </w:trPr>
        <w:tc>
          <w:tcPr>
            <w:tcW w:w="1593" w:type="pct"/>
            <w:tcBorders>
              <w:top w:val="nil"/>
              <w:bottom w:val="single" w:sz="4" w:space="0" w:color="auto"/>
            </w:tcBorders>
          </w:tcPr>
          <w:p w14:paraId="24FC08EC" w14:textId="1C783EFE" w:rsidR="007A3E8A" w:rsidRPr="00C315CA" w:rsidRDefault="007A3E8A" w:rsidP="003E0892">
            <w:pPr>
              <w:pStyle w:val="Btabletextunbold"/>
            </w:pPr>
            <w:r w:rsidRPr="003E0892">
              <w:t>Net financial liabilities</w:t>
            </w:r>
            <w:r w:rsidRPr="00C315CA">
              <w:t xml:space="preserve"> </w:t>
            </w:r>
          </w:p>
        </w:tc>
        <w:tc>
          <w:tcPr>
            <w:tcW w:w="568" w:type="pct"/>
            <w:tcBorders>
              <w:top w:val="nil"/>
              <w:bottom w:val="single" w:sz="4" w:space="0" w:color="auto"/>
            </w:tcBorders>
          </w:tcPr>
          <w:p w14:paraId="000E64C7" w14:textId="25FFA64C" w:rsidR="007A3E8A" w:rsidRDefault="00DB4816" w:rsidP="00C315CA">
            <w:pPr>
              <w:pStyle w:val="Btabletextunbold"/>
              <w:jc w:val="right"/>
            </w:pPr>
            <w:r>
              <w:t>9,301.8</w:t>
            </w:r>
          </w:p>
        </w:tc>
        <w:tc>
          <w:tcPr>
            <w:tcW w:w="609" w:type="pct"/>
            <w:tcBorders>
              <w:top w:val="nil"/>
              <w:bottom w:val="single" w:sz="4" w:space="0" w:color="auto"/>
            </w:tcBorders>
          </w:tcPr>
          <w:p w14:paraId="73EF099E" w14:textId="67353A67" w:rsidR="007A3E8A" w:rsidRPr="00EC74DB" w:rsidRDefault="007A3E8A" w:rsidP="00C315CA">
            <w:pPr>
              <w:pStyle w:val="Btabletextunbold"/>
              <w:jc w:val="right"/>
            </w:pPr>
            <w:r>
              <w:t>13,301.0</w:t>
            </w:r>
          </w:p>
        </w:tc>
        <w:tc>
          <w:tcPr>
            <w:tcW w:w="526" w:type="pct"/>
            <w:tcBorders>
              <w:top w:val="nil"/>
              <w:bottom w:val="single" w:sz="4" w:space="0" w:color="auto"/>
            </w:tcBorders>
            <w:shd w:val="clear" w:color="auto" w:fill="auto"/>
          </w:tcPr>
          <w:p w14:paraId="3450E1F8" w14:textId="4A87E1AA" w:rsidR="007A3E8A" w:rsidRPr="00C315CA" w:rsidRDefault="007A3E8A" w:rsidP="00C315CA">
            <w:pPr>
              <w:pStyle w:val="Btabletextunbold"/>
              <w:jc w:val="right"/>
            </w:pPr>
            <w:r w:rsidRPr="00C315CA">
              <w:t>11,747.8</w:t>
            </w:r>
          </w:p>
        </w:tc>
        <w:tc>
          <w:tcPr>
            <w:tcW w:w="568" w:type="pct"/>
            <w:tcBorders>
              <w:top w:val="nil"/>
              <w:bottom w:val="single" w:sz="4" w:space="0" w:color="auto"/>
            </w:tcBorders>
            <w:shd w:val="clear" w:color="472D8C" w:fill="auto"/>
          </w:tcPr>
          <w:p w14:paraId="1DF9AC68" w14:textId="5B17ECB9" w:rsidR="007A3E8A" w:rsidRPr="00C315CA" w:rsidRDefault="007A3E8A" w:rsidP="00C315CA">
            <w:pPr>
              <w:pStyle w:val="Btabletextunbold"/>
              <w:jc w:val="right"/>
            </w:pPr>
            <w:r w:rsidRPr="00C315CA">
              <w:t>12,67</w:t>
            </w:r>
            <w:r w:rsidR="00A66A33" w:rsidRPr="00C315CA">
              <w:t>4</w:t>
            </w:r>
            <w:r w:rsidRPr="00C315CA">
              <w:t>.8</w:t>
            </w:r>
          </w:p>
        </w:tc>
        <w:tc>
          <w:tcPr>
            <w:tcW w:w="568" w:type="pct"/>
            <w:tcBorders>
              <w:top w:val="nil"/>
              <w:bottom w:val="single" w:sz="4" w:space="0" w:color="auto"/>
            </w:tcBorders>
            <w:shd w:val="clear" w:color="auto" w:fill="auto"/>
          </w:tcPr>
          <w:p w14:paraId="0E57C5EF" w14:textId="3FE15EA2" w:rsidR="007A3E8A" w:rsidRPr="00EC74DB" w:rsidRDefault="007A3E8A" w:rsidP="00C315CA">
            <w:pPr>
              <w:pStyle w:val="Btabletextunbold"/>
              <w:jc w:val="right"/>
            </w:pPr>
            <w:r>
              <w:t>13,</w:t>
            </w:r>
            <w:r w:rsidR="0074231C">
              <w:t>969</w:t>
            </w:r>
            <w:r>
              <w:t>.8</w:t>
            </w:r>
          </w:p>
        </w:tc>
        <w:tc>
          <w:tcPr>
            <w:tcW w:w="568" w:type="pct"/>
            <w:tcBorders>
              <w:top w:val="nil"/>
              <w:bottom w:val="single" w:sz="4" w:space="0" w:color="auto"/>
            </w:tcBorders>
          </w:tcPr>
          <w:p w14:paraId="5851257C" w14:textId="66528EAF" w:rsidR="007A3E8A" w:rsidRPr="00EC74DB" w:rsidRDefault="007A3E8A" w:rsidP="00C315CA">
            <w:pPr>
              <w:pStyle w:val="Btabletextunbold"/>
              <w:jc w:val="right"/>
            </w:pPr>
            <w:r>
              <w:t>15,092.4</w:t>
            </w:r>
          </w:p>
        </w:tc>
      </w:tr>
    </w:tbl>
    <w:p w14:paraId="4216E8CE" w14:textId="1E4866D5" w:rsidR="00AB410B" w:rsidRDefault="00FE20A8" w:rsidP="00E238F9">
      <w:pPr>
        <w:pStyle w:val="BNoteBold"/>
        <w:keepNext w:val="0"/>
        <w:keepLines/>
      </w:pPr>
      <w:r>
        <w:t>Note</w:t>
      </w:r>
      <w:r w:rsidR="007C64D6">
        <w:t>:</w:t>
      </w:r>
      <w:r w:rsidR="00E238F9">
        <w:t xml:space="preserve"> </w:t>
      </w:r>
      <w:r w:rsidRPr="00E238F9">
        <w:rPr>
          <w:b w:val="0"/>
          <w:bCs/>
        </w:rPr>
        <w:t>N</w:t>
      </w:r>
      <w:r w:rsidR="00AB410B" w:rsidRPr="00E238F9">
        <w:rPr>
          <w:b w:val="0"/>
          <w:bCs/>
        </w:rPr>
        <w:t>umbers may not add due to rounding.</w:t>
      </w:r>
    </w:p>
    <w:p w14:paraId="45AB16F4" w14:textId="1844EB69" w:rsidR="00FE20A8" w:rsidRDefault="00AB410B" w:rsidP="005354A3">
      <w:pPr>
        <w:pStyle w:val="Heading4"/>
        <w:keepNext w:val="0"/>
      </w:pPr>
      <w:r>
        <w:t>Summary of movements</w:t>
      </w:r>
    </w:p>
    <w:p w14:paraId="4881B8E0" w14:textId="71222445" w:rsidR="00AB410B" w:rsidRDefault="00CE0D7B" w:rsidP="00AB410B">
      <w:pPr>
        <w:pStyle w:val="Bbodytext"/>
      </w:pPr>
      <w:r w:rsidRPr="00CE0D7B">
        <w:t xml:space="preserve">Table 3.1.2 shows the variation in the GGS HNOB between the </w:t>
      </w:r>
      <w:r>
        <w:t>2020</w:t>
      </w:r>
      <w:r>
        <w:noBreakHyphen/>
        <w:t>21 Budget and the</w:t>
      </w:r>
      <w:r w:rsidRPr="00CE0D7B">
        <w:t xml:space="preserve"> 202</w:t>
      </w:r>
      <w:r>
        <w:t>1</w:t>
      </w:r>
      <w:r>
        <w:noBreakHyphen/>
      </w:r>
      <w:r w:rsidRPr="00CE0D7B">
        <w:t>2</w:t>
      </w:r>
      <w:r>
        <w:t>2</w:t>
      </w:r>
      <w:r w:rsidRPr="00CE0D7B">
        <w:t xml:space="preserve"> Budget. Further details of the major technical adjustments are shown in Table</w:t>
      </w:r>
      <w:r w:rsidR="00156281">
        <w:t> </w:t>
      </w:r>
      <w:r w:rsidRPr="00CE0D7B">
        <w:t>3.1.3.</w:t>
      </w:r>
    </w:p>
    <w:p w14:paraId="212253C0" w14:textId="6EFE9A77" w:rsidR="00CE0D7B" w:rsidRDefault="00CE0D7B" w:rsidP="00CE0D7B">
      <w:pPr>
        <w:pStyle w:val="Caption"/>
        <w:rPr>
          <w:noProof/>
        </w:rPr>
      </w:pPr>
      <w:r w:rsidRPr="00111524">
        <w:t xml:space="preserve">Table </w:t>
      </w:r>
      <w:r>
        <w:fldChar w:fldCharType="begin"/>
      </w:r>
      <w:r>
        <w:instrText>STYLEREF 2 \s</w:instrText>
      </w:r>
      <w:r>
        <w:fldChar w:fldCharType="separate"/>
      </w:r>
      <w:r w:rsidR="00F12A80">
        <w:rPr>
          <w:noProof/>
        </w:rPr>
        <w:t>3.1</w:t>
      </w:r>
      <w:r>
        <w:fldChar w:fldCharType="end"/>
      </w:r>
      <w:r w:rsidRPr="00111524">
        <w:t>.</w:t>
      </w:r>
      <w:r>
        <w:fldChar w:fldCharType="begin"/>
      </w:r>
      <w:r>
        <w:instrText>SEQ Table \* ARABIC \s 2</w:instrText>
      </w:r>
      <w:r>
        <w:fldChar w:fldCharType="separate"/>
      </w:r>
      <w:r w:rsidR="00F12A80">
        <w:rPr>
          <w:noProof/>
        </w:rPr>
        <w:t>2</w:t>
      </w:r>
      <w:r>
        <w:fldChar w:fldCharType="end"/>
      </w:r>
      <w:r>
        <w:rPr>
          <w:noProof/>
        </w:rPr>
        <w:t>: Summary of movements in the General Government Sector Headline Net Operating Balance</w:t>
      </w:r>
    </w:p>
    <w:tbl>
      <w:tblPr>
        <w:tblW w:w="5000" w:type="pct"/>
        <w:tblBorders>
          <w:top w:val="single" w:sz="4" w:space="0" w:color="auto"/>
          <w:bottom w:val="single" w:sz="4" w:space="0" w:color="auto"/>
          <w:insideH w:val="single" w:sz="4" w:space="0" w:color="auto"/>
        </w:tblBorders>
        <w:tblCellMar>
          <w:left w:w="85" w:type="dxa"/>
        </w:tblCellMar>
        <w:tblLook w:val="04A0" w:firstRow="1" w:lastRow="0" w:firstColumn="1" w:lastColumn="0" w:noHBand="0" w:noVBand="1"/>
      </w:tblPr>
      <w:tblGrid>
        <w:gridCol w:w="5018"/>
        <w:gridCol w:w="1336"/>
        <w:gridCol w:w="1336"/>
        <w:gridCol w:w="1336"/>
      </w:tblGrid>
      <w:tr w:rsidR="00D12DED" w:rsidRPr="008F5D57" w14:paraId="706BBB6C" w14:textId="77777777" w:rsidTr="00D12DED">
        <w:trPr>
          <w:trHeight w:val="156"/>
        </w:trPr>
        <w:tc>
          <w:tcPr>
            <w:tcW w:w="2780" w:type="pct"/>
            <w:tcBorders>
              <w:bottom w:val="single" w:sz="4" w:space="0" w:color="auto"/>
            </w:tcBorders>
            <w:shd w:val="clear" w:color="auto" w:fill="472D8C"/>
          </w:tcPr>
          <w:p w14:paraId="3CF3AE03" w14:textId="77777777" w:rsidR="00D12DED" w:rsidRPr="00111524" w:rsidRDefault="00D12DED" w:rsidP="00DB3369">
            <w:pPr>
              <w:rPr>
                <w:rFonts w:cs="Calibri"/>
                <w:b/>
                <w:color w:val="FFFFFF" w:themeColor="background1"/>
                <w:sz w:val="20"/>
              </w:rPr>
            </w:pPr>
          </w:p>
        </w:tc>
        <w:tc>
          <w:tcPr>
            <w:tcW w:w="740" w:type="pct"/>
            <w:tcBorders>
              <w:bottom w:val="single" w:sz="4" w:space="0" w:color="auto"/>
            </w:tcBorders>
            <w:shd w:val="clear" w:color="auto" w:fill="472D8C"/>
          </w:tcPr>
          <w:p w14:paraId="7E4A484B" w14:textId="780AAA85" w:rsidR="00D12DED" w:rsidRPr="00111524" w:rsidRDefault="00D12DED" w:rsidP="00DB3369">
            <w:pPr>
              <w:pStyle w:val="BTableHeadingRowRightAligned"/>
              <w:rPr>
                <w:color w:val="FFFFFF" w:themeColor="background1"/>
              </w:rPr>
            </w:pPr>
            <w:r>
              <w:rPr>
                <w:color w:val="FFFFFF" w:themeColor="background1"/>
              </w:rPr>
              <w:t xml:space="preserve">2021-22 </w:t>
            </w:r>
            <w:r>
              <w:rPr>
                <w:color w:val="FFFFFF" w:themeColor="background1"/>
              </w:rPr>
              <w:br/>
              <w:t>Budget</w:t>
            </w:r>
            <w:r>
              <w:rPr>
                <w:color w:val="FFFFFF" w:themeColor="background1"/>
              </w:rPr>
              <w:br/>
              <w:t>$’000</w:t>
            </w:r>
          </w:p>
        </w:tc>
        <w:tc>
          <w:tcPr>
            <w:tcW w:w="740" w:type="pct"/>
            <w:tcBorders>
              <w:bottom w:val="single" w:sz="4" w:space="0" w:color="auto"/>
            </w:tcBorders>
            <w:shd w:val="clear" w:color="auto" w:fill="472D8C"/>
          </w:tcPr>
          <w:p w14:paraId="02C4521F" w14:textId="48D58D05" w:rsidR="00D12DED" w:rsidRPr="00111524" w:rsidRDefault="00D12DED" w:rsidP="00DB3369">
            <w:pPr>
              <w:pStyle w:val="BTableHeadingRowRightAligned"/>
              <w:rPr>
                <w:color w:val="FFFFFF" w:themeColor="background1"/>
              </w:rPr>
            </w:pPr>
            <w:r>
              <w:rPr>
                <w:color w:val="FFFFFF" w:themeColor="background1"/>
              </w:rPr>
              <w:t>2022-23</w:t>
            </w:r>
            <w:r>
              <w:rPr>
                <w:color w:val="FFFFFF" w:themeColor="background1"/>
              </w:rPr>
              <w:br/>
              <w:t>Estimate</w:t>
            </w:r>
            <w:r>
              <w:rPr>
                <w:color w:val="FFFFFF" w:themeColor="background1"/>
              </w:rPr>
              <w:br/>
              <w:t>$’000</w:t>
            </w:r>
          </w:p>
        </w:tc>
        <w:tc>
          <w:tcPr>
            <w:tcW w:w="740" w:type="pct"/>
            <w:tcBorders>
              <w:bottom w:val="single" w:sz="4" w:space="0" w:color="auto"/>
            </w:tcBorders>
            <w:shd w:val="clear" w:color="auto" w:fill="472D8C"/>
          </w:tcPr>
          <w:p w14:paraId="408F1FE4" w14:textId="56FC67C4" w:rsidR="00D12DED" w:rsidRPr="00111524" w:rsidRDefault="00D12DED" w:rsidP="00DB3369">
            <w:pPr>
              <w:pStyle w:val="BTableHeadingRowRightAligned"/>
              <w:rPr>
                <w:color w:val="FFFFFF" w:themeColor="background1"/>
              </w:rPr>
            </w:pPr>
            <w:r>
              <w:rPr>
                <w:color w:val="FFFFFF" w:themeColor="background1"/>
              </w:rPr>
              <w:t>2023-24</w:t>
            </w:r>
            <w:r>
              <w:rPr>
                <w:color w:val="FFFFFF" w:themeColor="background1"/>
              </w:rPr>
              <w:br/>
              <w:t>Estimate</w:t>
            </w:r>
            <w:r>
              <w:rPr>
                <w:color w:val="FFFFFF" w:themeColor="background1"/>
              </w:rPr>
              <w:br/>
              <w:t>$’000</w:t>
            </w:r>
          </w:p>
        </w:tc>
      </w:tr>
      <w:tr w:rsidR="00D12DED" w:rsidRPr="00337DC9" w14:paraId="51B4A290" w14:textId="77777777" w:rsidTr="00D12DED">
        <w:trPr>
          <w:trHeight w:val="257"/>
        </w:trPr>
        <w:tc>
          <w:tcPr>
            <w:tcW w:w="2780" w:type="pct"/>
            <w:tcBorders>
              <w:top w:val="single" w:sz="4" w:space="0" w:color="auto"/>
              <w:bottom w:val="single" w:sz="4" w:space="0" w:color="auto"/>
            </w:tcBorders>
          </w:tcPr>
          <w:p w14:paraId="700221E1" w14:textId="4462BBCC" w:rsidR="00D12DED" w:rsidRPr="00EC74DB" w:rsidRDefault="00D12DED" w:rsidP="00A0694C">
            <w:pPr>
              <w:pStyle w:val="Btabletextbold"/>
            </w:pPr>
            <w:r>
              <w:t>2020-21 Budget</w:t>
            </w:r>
          </w:p>
        </w:tc>
        <w:tc>
          <w:tcPr>
            <w:tcW w:w="740" w:type="pct"/>
            <w:tcBorders>
              <w:top w:val="single" w:sz="4" w:space="0" w:color="auto"/>
              <w:bottom w:val="single" w:sz="4" w:space="0" w:color="auto"/>
            </w:tcBorders>
            <w:shd w:val="clear" w:color="auto" w:fill="auto"/>
          </w:tcPr>
          <w:p w14:paraId="0E3109BB" w14:textId="66D25206" w:rsidR="00D12DED" w:rsidRPr="00EC74DB" w:rsidRDefault="00764222" w:rsidP="00C315CA">
            <w:pPr>
              <w:pStyle w:val="BTableHeadingRowCentreAligned"/>
              <w:jc w:val="right"/>
            </w:pPr>
            <w:r>
              <w:t>-474,746</w:t>
            </w:r>
          </w:p>
        </w:tc>
        <w:tc>
          <w:tcPr>
            <w:tcW w:w="740" w:type="pct"/>
            <w:tcBorders>
              <w:top w:val="single" w:sz="4" w:space="0" w:color="auto"/>
              <w:bottom w:val="single" w:sz="4" w:space="0" w:color="auto"/>
            </w:tcBorders>
            <w:shd w:val="clear" w:color="472D8C" w:fill="auto"/>
          </w:tcPr>
          <w:p w14:paraId="0A4F06E1" w14:textId="2DA18FDD" w:rsidR="00D12DED" w:rsidRPr="00111524" w:rsidRDefault="00764222" w:rsidP="00C315CA">
            <w:pPr>
              <w:pStyle w:val="BTableHeadingRowCentreAligned"/>
              <w:jc w:val="right"/>
              <w:rPr>
                <w:color w:val="000000"/>
              </w:rPr>
            </w:pPr>
            <w:r>
              <w:rPr>
                <w:color w:val="000000"/>
              </w:rPr>
              <w:t>-406,006</w:t>
            </w:r>
          </w:p>
        </w:tc>
        <w:tc>
          <w:tcPr>
            <w:tcW w:w="740" w:type="pct"/>
            <w:tcBorders>
              <w:top w:val="single" w:sz="4" w:space="0" w:color="auto"/>
              <w:bottom w:val="single" w:sz="4" w:space="0" w:color="auto"/>
            </w:tcBorders>
            <w:shd w:val="clear" w:color="auto" w:fill="auto"/>
          </w:tcPr>
          <w:p w14:paraId="14C7A535" w14:textId="2A18E967" w:rsidR="00D12DED" w:rsidRPr="00EC74DB" w:rsidRDefault="00764222" w:rsidP="00C315CA">
            <w:pPr>
              <w:pStyle w:val="BTableHeadingRowCentreAligned"/>
              <w:jc w:val="right"/>
            </w:pPr>
            <w:r>
              <w:t>-369,108</w:t>
            </w:r>
          </w:p>
        </w:tc>
      </w:tr>
      <w:tr w:rsidR="00D12DED" w:rsidRPr="00337DC9" w14:paraId="04223915" w14:textId="77777777" w:rsidTr="00E238F9">
        <w:trPr>
          <w:trHeight w:val="397"/>
        </w:trPr>
        <w:tc>
          <w:tcPr>
            <w:tcW w:w="2780" w:type="pct"/>
            <w:tcBorders>
              <w:top w:val="nil"/>
              <w:bottom w:val="nil"/>
            </w:tcBorders>
            <w:vAlign w:val="bottom"/>
          </w:tcPr>
          <w:p w14:paraId="19CD521F" w14:textId="549391BB" w:rsidR="00D12DED" w:rsidRPr="00EC74DB" w:rsidRDefault="00D12DED" w:rsidP="00E238F9">
            <w:pPr>
              <w:pStyle w:val="Btabletextbold"/>
            </w:pPr>
            <w:r>
              <w:t>Revenue</w:t>
            </w:r>
            <w:r w:rsidRPr="00477413">
              <w:rPr>
                <w:vertAlign w:val="superscript"/>
              </w:rPr>
              <w:t>1</w:t>
            </w:r>
          </w:p>
        </w:tc>
        <w:tc>
          <w:tcPr>
            <w:tcW w:w="740" w:type="pct"/>
            <w:tcBorders>
              <w:top w:val="nil"/>
              <w:bottom w:val="nil"/>
            </w:tcBorders>
            <w:shd w:val="clear" w:color="auto" w:fill="auto"/>
          </w:tcPr>
          <w:p w14:paraId="08F501F5" w14:textId="77777777" w:rsidR="00D12DED" w:rsidRPr="00EC74DB" w:rsidRDefault="00D12DED" w:rsidP="00DB3369">
            <w:pPr>
              <w:pStyle w:val="BTablefigureBold"/>
            </w:pPr>
          </w:p>
        </w:tc>
        <w:tc>
          <w:tcPr>
            <w:tcW w:w="740" w:type="pct"/>
            <w:tcBorders>
              <w:top w:val="nil"/>
              <w:bottom w:val="nil"/>
            </w:tcBorders>
            <w:shd w:val="clear" w:color="472D8C" w:fill="auto"/>
          </w:tcPr>
          <w:p w14:paraId="3A58C77B" w14:textId="77777777" w:rsidR="00D12DED" w:rsidRPr="00111524" w:rsidRDefault="00D12DED" w:rsidP="00DB3369">
            <w:pPr>
              <w:pStyle w:val="Btablefigureunbold"/>
              <w:rPr>
                <w:color w:val="000000"/>
              </w:rPr>
            </w:pPr>
          </w:p>
        </w:tc>
        <w:tc>
          <w:tcPr>
            <w:tcW w:w="740" w:type="pct"/>
            <w:tcBorders>
              <w:top w:val="nil"/>
              <w:bottom w:val="nil"/>
            </w:tcBorders>
            <w:shd w:val="clear" w:color="auto" w:fill="auto"/>
          </w:tcPr>
          <w:p w14:paraId="7AE98B5A" w14:textId="77777777" w:rsidR="00D12DED" w:rsidRPr="00EC74DB" w:rsidRDefault="00D12DED" w:rsidP="00DB3369">
            <w:pPr>
              <w:pStyle w:val="Btablefigureunbold"/>
            </w:pPr>
          </w:p>
        </w:tc>
      </w:tr>
      <w:tr w:rsidR="00625E2B" w:rsidRPr="00337DC9" w14:paraId="3493615E" w14:textId="77777777" w:rsidTr="00D12DED">
        <w:trPr>
          <w:trHeight w:val="270"/>
        </w:trPr>
        <w:tc>
          <w:tcPr>
            <w:tcW w:w="2780" w:type="pct"/>
            <w:tcBorders>
              <w:top w:val="nil"/>
              <w:bottom w:val="nil"/>
            </w:tcBorders>
          </w:tcPr>
          <w:p w14:paraId="2FF48710" w14:textId="74B21CE8" w:rsidR="00625E2B" w:rsidRDefault="00625E2B" w:rsidP="00625E2B">
            <w:pPr>
              <w:pStyle w:val="Btabletextunbold"/>
            </w:pPr>
            <w:r>
              <w:t>Policy decisions</w:t>
            </w:r>
          </w:p>
        </w:tc>
        <w:tc>
          <w:tcPr>
            <w:tcW w:w="740" w:type="pct"/>
            <w:tcBorders>
              <w:top w:val="nil"/>
              <w:bottom w:val="nil"/>
            </w:tcBorders>
            <w:shd w:val="clear" w:color="auto" w:fill="auto"/>
          </w:tcPr>
          <w:p w14:paraId="190C2D5A" w14:textId="58BB64C4" w:rsidR="00625E2B" w:rsidRDefault="00625E2B" w:rsidP="00625E2B">
            <w:pPr>
              <w:pStyle w:val="Btablefigureunbold"/>
            </w:pPr>
            <w:r>
              <w:t>25,377</w:t>
            </w:r>
          </w:p>
        </w:tc>
        <w:tc>
          <w:tcPr>
            <w:tcW w:w="740" w:type="pct"/>
            <w:tcBorders>
              <w:top w:val="nil"/>
              <w:bottom w:val="nil"/>
            </w:tcBorders>
            <w:shd w:val="clear" w:color="472D8C" w:fill="auto"/>
          </w:tcPr>
          <w:p w14:paraId="0334A712" w14:textId="5E29CCA8" w:rsidR="00625E2B" w:rsidRPr="00111524" w:rsidRDefault="00625E2B" w:rsidP="00625E2B">
            <w:pPr>
              <w:pStyle w:val="Btablefigureunbold"/>
              <w:rPr>
                <w:color w:val="000000"/>
              </w:rPr>
            </w:pPr>
            <w:r>
              <w:rPr>
                <w:color w:val="000000"/>
              </w:rPr>
              <w:t>3,405</w:t>
            </w:r>
          </w:p>
        </w:tc>
        <w:tc>
          <w:tcPr>
            <w:tcW w:w="740" w:type="pct"/>
            <w:tcBorders>
              <w:top w:val="nil"/>
              <w:bottom w:val="nil"/>
            </w:tcBorders>
            <w:shd w:val="clear" w:color="auto" w:fill="auto"/>
          </w:tcPr>
          <w:p w14:paraId="15FA1B0F" w14:textId="1F184B1A" w:rsidR="00625E2B" w:rsidRPr="00EC74DB" w:rsidRDefault="00625E2B" w:rsidP="00625E2B">
            <w:pPr>
              <w:pStyle w:val="Btablefigureunbold"/>
            </w:pPr>
            <w:r>
              <w:t>2,488</w:t>
            </w:r>
          </w:p>
        </w:tc>
      </w:tr>
      <w:tr w:rsidR="00625E2B" w:rsidRPr="00337DC9" w14:paraId="4E0576EC" w14:textId="77777777" w:rsidTr="00D12DED">
        <w:trPr>
          <w:trHeight w:val="270"/>
        </w:trPr>
        <w:tc>
          <w:tcPr>
            <w:tcW w:w="2780" w:type="pct"/>
            <w:tcBorders>
              <w:top w:val="nil"/>
              <w:bottom w:val="nil"/>
            </w:tcBorders>
          </w:tcPr>
          <w:p w14:paraId="3CA7C19B" w14:textId="11E9ABE5" w:rsidR="00625E2B" w:rsidRDefault="00625E2B" w:rsidP="00625E2B">
            <w:pPr>
              <w:pStyle w:val="Btabletextunbold"/>
            </w:pPr>
            <w:r>
              <w:t xml:space="preserve">Technical adjustments </w:t>
            </w:r>
          </w:p>
        </w:tc>
        <w:tc>
          <w:tcPr>
            <w:tcW w:w="740" w:type="pct"/>
            <w:tcBorders>
              <w:top w:val="nil"/>
              <w:bottom w:val="nil"/>
            </w:tcBorders>
            <w:shd w:val="clear" w:color="auto" w:fill="auto"/>
          </w:tcPr>
          <w:p w14:paraId="0ABB222A" w14:textId="39BFB64A" w:rsidR="00625E2B" w:rsidRDefault="00625E2B" w:rsidP="00625E2B">
            <w:pPr>
              <w:pStyle w:val="Btablefigureunbold"/>
            </w:pPr>
            <w:r>
              <w:t>399,894</w:t>
            </w:r>
          </w:p>
        </w:tc>
        <w:tc>
          <w:tcPr>
            <w:tcW w:w="740" w:type="pct"/>
            <w:tcBorders>
              <w:top w:val="nil"/>
              <w:bottom w:val="nil"/>
            </w:tcBorders>
            <w:shd w:val="clear" w:color="472D8C" w:fill="auto"/>
          </w:tcPr>
          <w:p w14:paraId="481A6A57" w14:textId="29A12BEE" w:rsidR="00625E2B" w:rsidRPr="00111524" w:rsidRDefault="00625E2B" w:rsidP="00625E2B">
            <w:pPr>
              <w:pStyle w:val="Btablefigureunbold"/>
              <w:rPr>
                <w:color w:val="000000"/>
              </w:rPr>
            </w:pPr>
            <w:r>
              <w:rPr>
                <w:color w:val="000000"/>
              </w:rPr>
              <w:t>207,792</w:t>
            </w:r>
          </w:p>
        </w:tc>
        <w:tc>
          <w:tcPr>
            <w:tcW w:w="740" w:type="pct"/>
            <w:tcBorders>
              <w:top w:val="nil"/>
              <w:bottom w:val="nil"/>
            </w:tcBorders>
            <w:shd w:val="clear" w:color="auto" w:fill="auto"/>
          </w:tcPr>
          <w:p w14:paraId="386E7794" w14:textId="6D2A7A37" w:rsidR="00625E2B" w:rsidRPr="00EC74DB" w:rsidRDefault="00625E2B" w:rsidP="00625E2B">
            <w:pPr>
              <w:pStyle w:val="Btablefigureunbold"/>
            </w:pPr>
            <w:r>
              <w:t>133,641</w:t>
            </w:r>
          </w:p>
        </w:tc>
      </w:tr>
      <w:tr w:rsidR="00D12DED" w:rsidRPr="00337DC9" w14:paraId="3EE42D5A" w14:textId="77777777" w:rsidTr="00D12DED">
        <w:trPr>
          <w:trHeight w:val="270"/>
        </w:trPr>
        <w:tc>
          <w:tcPr>
            <w:tcW w:w="2780" w:type="pct"/>
            <w:tcBorders>
              <w:top w:val="nil"/>
              <w:bottom w:val="nil"/>
            </w:tcBorders>
          </w:tcPr>
          <w:p w14:paraId="0FEB1D8B" w14:textId="796A8B02" w:rsidR="00D12DED" w:rsidRDefault="00D12DED" w:rsidP="00463B03">
            <w:pPr>
              <w:pStyle w:val="Btabletextbold"/>
            </w:pPr>
            <w:r>
              <w:t>Expenses</w:t>
            </w:r>
            <w:r w:rsidRPr="00463B03">
              <w:rPr>
                <w:vertAlign w:val="superscript"/>
              </w:rPr>
              <w:t>2</w:t>
            </w:r>
          </w:p>
        </w:tc>
        <w:tc>
          <w:tcPr>
            <w:tcW w:w="740" w:type="pct"/>
            <w:tcBorders>
              <w:top w:val="nil"/>
              <w:bottom w:val="nil"/>
            </w:tcBorders>
            <w:shd w:val="clear" w:color="auto" w:fill="auto"/>
          </w:tcPr>
          <w:p w14:paraId="49D9255A" w14:textId="77777777" w:rsidR="00D12DED" w:rsidRDefault="00D12DED" w:rsidP="00C315CA">
            <w:pPr>
              <w:pStyle w:val="Btablefigureunbold"/>
            </w:pPr>
          </w:p>
        </w:tc>
        <w:tc>
          <w:tcPr>
            <w:tcW w:w="740" w:type="pct"/>
            <w:tcBorders>
              <w:top w:val="nil"/>
              <w:bottom w:val="nil"/>
            </w:tcBorders>
            <w:shd w:val="clear" w:color="472D8C" w:fill="auto"/>
          </w:tcPr>
          <w:p w14:paraId="2A7ACEF4" w14:textId="77777777" w:rsidR="00D12DED" w:rsidRPr="00111524" w:rsidRDefault="00D12DED">
            <w:pPr>
              <w:pStyle w:val="Btablefigureunbold"/>
              <w:rPr>
                <w:color w:val="000000"/>
              </w:rPr>
            </w:pPr>
          </w:p>
        </w:tc>
        <w:tc>
          <w:tcPr>
            <w:tcW w:w="740" w:type="pct"/>
            <w:tcBorders>
              <w:top w:val="nil"/>
              <w:bottom w:val="nil"/>
            </w:tcBorders>
            <w:shd w:val="clear" w:color="auto" w:fill="auto"/>
          </w:tcPr>
          <w:p w14:paraId="446237A3" w14:textId="77777777" w:rsidR="00D12DED" w:rsidRPr="00EC74DB" w:rsidRDefault="00D12DED">
            <w:pPr>
              <w:pStyle w:val="Btablefigureunbold"/>
            </w:pPr>
          </w:p>
        </w:tc>
      </w:tr>
      <w:tr w:rsidR="00625E2B" w:rsidRPr="00337DC9" w14:paraId="45C09186" w14:textId="77777777" w:rsidTr="00D12DED">
        <w:trPr>
          <w:trHeight w:val="270"/>
        </w:trPr>
        <w:tc>
          <w:tcPr>
            <w:tcW w:w="2780" w:type="pct"/>
            <w:tcBorders>
              <w:top w:val="nil"/>
              <w:bottom w:val="nil"/>
            </w:tcBorders>
          </w:tcPr>
          <w:p w14:paraId="6B2E44B6" w14:textId="02B0DA57" w:rsidR="00625E2B" w:rsidRDefault="00625E2B" w:rsidP="00625E2B">
            <w:pPr>
              <w:pStyle w:val="Btabletextunbold"/>
            </w:pPr>
            <w:r>
              <w:t>Policy decisions</w:t>
            </w:r>
          </w:p>
        </w:tc>
        <w:tc>
          <w:tcPr>
            <w:tcW w:w="740" w:type="pct"/>
            <w:tcBorders>
              <w:top w:val="nil"/>
              <w:bottom w:val="nil"/>
            </w:tcBorders>
            <w:shd w:val="clear" w:color="auto" w:fill="auto"/>
          </w:tcPr>
          <w:p w14:paraId="690EF0CD" w14:textId="4D605874" w:rsidR="00625E2B" w:rsidRDefault="00625E2B" w:rsidP="00625E2B">
            <w:pPr>
              <w:pStyle w:val="Btablefigureunbold"/>
            </w:pPr>
            <w:r>
              <w:t>-759,551</w:t>
            </w:r>
          </w:p>
        </w:tc>
        <w:tc>
          <w:tcPr>
            <w:tcW w:w="740" w:type="pct"/>
            <w:tcBorders>
              <w:top w:val="nil"/>
              <w:bottom w:val="nil"/>
            </w:tcBorders>
            <w:shd w:val="clear" w:color="472D8C" w:fill="auto"/>
          </w:tcPr>
          <w:p w14:paraId="7D38DDE2" w14:textId="7B171B28" w:rsidR="00625E2B" w:rsidRPr="00111524" w:rsidRDefault="00625E2B" w:rsidP="00625E2B">
            <w:pPr>
              <w:pStyle w:val="Btablefigureunbold"/>
              <w:rPr>
                <w:color w:val="000000"/>
              </w:rPr>
            </w:pPr>
            <w:r>
              <w:rPr>
                <w:color w:val="000000"/>
              </w:rPr>
              <w:t>-263,448</w:t>
            </w:r>
          </w:p>
        </w:tc>
        <w:tc>
          <w:tcPr>
            <w:tcW w:w="740" w:type="pct"/>
            <w:tcBorders>
              <w:top w:val="nil"/>
              <w:bottom w:val="nil"/>
            </w:tcBorders>
            <w:shd w:val="clear" w:color="auto" w:fill="auto"/>
          </w:tcPr>
          <w:p w14:paraId="09A51925" w14:textId="18587F31" w:rsidR="00625E2B" w:rsidRPr="00EC74DB" w:rsidRDefault="00625E2B" w:rsidP="00625E2B">
            <w:pPr>
              <w:pStyle w:val="Btablefigureunbold"/>
            </w:pPr>
            <w:r>
              <w:t>-258,556</w:t>
            </w:r>
          </w:p>
        </w:tc>
      </w:tr>
      <w:tr w:rsidR="00625E2B" w:rsidRPr="00337DC9" w14:paraId="06793989" w14:textId="77777777" w:rsidTr="00D12DED">
        <w:trPr>
          <w:trHeight w:val="270"/>
        </w:trPr>
        <w:tc>
          <w:tcPr>
            <w:tcW w:w="2780" w:type="pct"/>
            <w:tcBorders>
              <w:top w:val="nil"/>
              <w:bottom w:val="nil"/>
            </w:tcBorders>
          </w:tcPr>
          <w:p w14:paraId="6BE0CFDF" w14:textId="55B4F23A" w:rsidR="00625E2B" w:rsidRDefault="00625E2B" w:rsidP="00625E2B">
            <w:pPr>
              <w:pStyle w:val="Btabletextunbold"/>
            </w:pPr>
            <w:r>
              <w:t xml:space="preserve">Technical adjustments </w:t>
            </w:r>
          </w:p>
        </w:tc>
        <w:tc>
          <w:tcPr>
            <w:tcW w:w="740" w:type="pct"/>
            <w:tcBorders>
              <w:top w:val="nil"/>
              <w:bottom w:val="nil"/>
            </w:tcBorders>
            <w:shd w:val="clear" w:color="auto" w:fill="auto"/>
          </w:tcPr>
          <w:p w14:paraId="2A93893D" w14:textId="2187B137" w:rsidR="00625E2B" w:rsidRDefault="00625E2B" w:rsidP="00625E2B">
            <w:pPr>
              <w:pStyle w:val="Btablefigureunbold"/>
            </w:pPr>
            <w:r>
              <w:t>-166,086</w:t>
            </w:r>
          </w:p>
        </w:tc>
        <w:tc>
          <w:tcPr>
            <w:tcW w:w="740" w:type="pct"/>
            <w:tcBorders>
              <w:top w:val="nil"/>
              <w:bottom w:val="nil"/>
            </w:tcBorders>
            <w:shd w:val="clear" w:color="472D8C" w:fill="auto"/>
          </w:tcPr>
          <w:p w14:paraId="7904B0DD" w14:textId="1EC23427" w:rsidR="00625E2B" w:rsidRPr="00111524" w:rsidRDefault="00625E2B" w:rsidP="00625E2B">
            <w:pPr>
              <w:pStyle w:val="Btablefigureunbold"/>
              <w:rPr>
                <w:color w:val="000000"/>
              </w:rPr>
            </w:pPr>
            <w:r>
              <w:rPr>
                <w:color w:val="000000"/>
              </w:rPr>
              <w:t>-132,107</w:t>
            </w:r>
          </w:p>
        </w:tc>
        <w:tc>
          <w:tcPr>
            <w:tcW w:w="740" w:type="pct"/>
            <w:tcBorders>
              <w:top w:val="nil"/>
              <w:bottom w:val="nil"/>
            </w:tcBorders>
            <w:shd w:val="clear" w:color="auto" w:fill="auto"/>
          </w:tcPr>
          <w:p w14:paraId="440207F8" w14:textId="0462DE9E" w:rsidR="00625E2B" w:rsidRPr="00EC74DB" w:rsidRDefault="00625E2B" w:rsidP="00625E2B">
            <w:pPr>
              <w:pStyle w:val="Btablefigureunbold"/>
            </w:pPr>
            <w:r>
              <w:t>-67,598</w:t>
            </w:r>
          </w:p>
        </w:tc>
      </w:tr>
      <w:tr w:rsidR="00625E2B" w:rsidRPr="00337DC9" w14:paraId="0E586ABB" w14:textId="77777777" w:rsidTr="00E238F9">
        <w:trPr>
          <w:trHeight w:val="567"/>
        </w:trPr>
        <w:tc>
          <w:tcPr>
            <w:tcW w:w="2780" w:type="pct"/>
            <w:tcBorders>
              <w:top w:val="nil"/>
              <w:bottom w:val="nil"/>
            </w:tcBorders>
            <w:vAlign w:val="center"/>
          </w:tcPr>
          <w:p w14:paraId="150B2426" w14:textId="74823552" w:rsidR="00625E2B" w:rsidRDefault="00625E2B" w:rsidP="00625E2B">
            <w:pPr>
              <w:pStyle w:val="Btabletextunbold"/>
            </w:pPr>
            <w:r>
              <w:t>Superannuation return adjustment</w:t>
            </w:r>
          </w:p>
        </w:tc>
        <w:tc>
          <w:tcPr>
            <w:tcW w:w="740" w:type="pct"/>
            <w:tcBorders>
              <w:top w:val="nil"/>
              <w:bottom w:val="nil"/>
            </w:tcBorders>
            <w:shd w:val="clear" w:color="auto" w:fill="auto"/>
            <w:vAlign w:val="center"/>
          </w:tcPr>
          <w:p w14:paraId="491FD96B" w14:textId="32435399" w:rsidR="00625E2B" w:rsidRDefault="00625E2B" w:rsidP="00625E2B">
            <w:pPr>
              <w:pStyle w:val="Btablefigureunbold"/>
            </w:pPr>
            <w:r>
              <w:t>23,628</w:t>
            </w:r>
          </w:p>
        </w:tc>
        <w:tc>
          <w:tcPr>
            <w:tcW w:w="740" w:type="pct"/>
            <w:tcBorders>
              <w:top w:val="nil"/>
              <w:bottom w:val="nil"/>
            </w:tcBorders>
            <w:shd w:val="clear" w:color="472D8C" w:fill="auto"/>
            <w:vAlign w:val="center"/>
          </w:tcPr>
          <w:p w14:paraId="65E4CC9D" w14:textId="5EF774D6" w:rsidR="00625E2B" w:rsidRPr="00111524" w:rsidRDefault="00625E2B" w:rsidP="00625E2B">
            <w:pPr>
              <w:pStyle w:val="Btablefigureunbold"/>
              <w:rPr>
                <w:color w:val="000000"/>
              </w:rPr>
            </w:pPr>
            <w:r>
              <w:rPr>
                <w:color w:val="000000"/>
              </w:rPr>
              <w:t>26,091</w:t>
            </w:r>
          </w:p>
        </w:tc>
        <w:tc>
          <w:tcPr>
            <w:tcW w:w="740" w:type="pct"/>
            <w:tcBorders>
              <w:top w:val="nil"/>
              <w:bottom w:val="nil"/>
            </w:tcBorders>
            <w:shd w:val="clear" w:color="auto" w:fill="auto"/>
            <w:vAlign w:val="center"/>
          </w:tcPr>
          <w:p w14:paraId="158A8EB6" w14:textId="73D146F3" w:rsidR="00625E2B" w:rsidRPr="00EC74DB" w:rsidRDefault="00625E2B" w:rsidP="00625E2B">
            <w:pPr>
              <w:pStyle w:val="Btablefigureunbold"/>
            </w:pPr>
            <w:r>
              <w:t>28,781</w:t>
            </w:r>
          </w:p>
        </w:tc>
      </w:tr>
      <w:tr w:rsidR="00625E2B" w:rsidRPr="00EA689F" w14:paraId="1FA7962B" w14:textId="77777777" w:rsidTr="00D12DED">
        <w:trPr>
          <w:trHeight w:val="270"/>
        </w:trPr>
        <w:tc>
          <w:tcPr>
            <w:tcW w:w="2780" w:type="pct"/>
            <w:tcBorders>
              <w:top w:val="single" w:sz="4" w:space="0" w:color="auto"/>
              <w:bottom w:val="single" w:sz="4" w:space="0" w:color="auto"/>
            </w:tcBorders>
            <w:shd w:val="clear" w:color="auto" w:fill="auto"/>
          </w:tcPr>
          <w:p w14:paraId="402AB551" w14:textId="047A5B87" w:rsidR="00625E2B" w:rsidRPr="00EA689F" w:rsidRDefault="00625E2B" w:rsidP="00625E2B">
            <w:pPr>
              <w:pStyle w:val="Btabletextbold"/>
              <w:rPr>
                <w:color w:val="472D8C"/>
              </w:rPr>
            </w:pPr>
            <w:r w:rsidRPr="00EA689F">
              <w:rPr>
                <w:color w:val="472D8C"/>
              </w:rPr>
              <w:t>2021-22 Budget</w:t>
            </w:r>
          </w:p>
        </w:tc>
        <w:tc>
          <w:tcPr>
            <w:tcW w:w="740" w:type="pct"/>
            <w:tcBorders>
              <w:top w:val="single" w:sz="4" w:space="0" w:color="auto"/>
              <w:bottom w:val="single" w:sz="4" w:space="0" w:color="auto"/>
            </w:tcBorders>
            <w:shd w:val="clear" w:color="auto" w:fill="auto"/>
          </w:tcPr>
          <w:p w14:paraId="1A752450" w14:textId="0C89087F" w:rsidR="00625E2B" w:rsidRPr="00EA689F" w:rsidRDefault="00625E2B" w:rsidP="00625E2B">
            <w:pPr>
              <w:pStyle w:val="Btabletextbold"/>
              <w:jc w:val="right"/>
              <w:rPr>
                <w:color w:val="472D8C"/>
              </w:rPr>
            </w:pPr>
            <w:r w:rsidRPr="00625E2B">
              <w:rPr>
                <w:color w:val="472D8C"/>
              </w:rPr>
              <w:t>-951,484</w:t>
            </w:r>
          </w:p>
        </w:tc>
        <w:tc>
          <w:tcPr>
            <w:tcW w:w="740" w:type="pct"/>
            <w:tcBorders>
              <w:top w:val="single" w:sz="4" w:space="0" w:color="auto"/>
              <w:bottom w:val="single" w:sz="4" w:space="0" w:color="auto"/>
            </w:tcBorders>
            <w:shd w:val="clear" w:color="auto" w:fill="auto"/>
          </w:tcPr>
          <w:p w14:paraId="1AFECBE2" w14:textId="26066E8C" w:rsidR="00625E2B" w:rsidRPr="00EA689F" w:rsidRDefault="00625E2B" w:rsidP="00625E2B">
            <w:pPr>
              <w:pStyle w:val="Btabletextbold"/>
              <w:jc w:val="right"/>
              <w:rPr>
                <w:color w:val="472D8C"/>
              </w:rPr>
            </w:pPr>
            <w:r w:rsidRPr="00625E2B">
              <w:rPr>
                <w:color w:val="472D8C"/>
              </w:rPr>
              <w:t>-564,272</w:t>
            </w:r>
          </w:p>
        </w:tc>
        <w:tc>
          <w:tcPr>
            <w:tcW w:w="740" w:type="pct"/>
            <w:tcBorders>
              <w:top w:val="single" w:sz="4" w:space="0" w:color="auto"/>
              <w:bottom w:val="single" w:sz="4" w:space="0" w:color="auto"/>
            </w:tcBorders>
            <w:shd w:val="clear" w:color="auto" w:fill="auto"/>
          </w:tcPr>
          <w:p w14:paraId="3BE06722" w14:textId="228BF521" w:rsidR="00625E2B" w:rsidRPr="00EA689F" w:rsidRDefault="00625E2B" w:rsidP="00625E2B">
            <w:pPr>
              <w:pStyle w:val="Btabletextbold"/>
              <w:jc w:val="right"/>
              <w:rPr>
                <w:color w:val="472D8C"/>
              </w:rPr>
            </w:pPr>
            <w:r w:rsidRPr="00625E2B">
              <w:rPr>
                <w:color w:val="472D8C"/>
              </w:rPr>
              <w:t>-530,352</w:t>
            </w:r>
          </w:p>
        </w:tc>
      </w:tr>
    </w:tbl>
    <w:p w14:paraId="42AD2F76" w14:textId="5FFEE19F" w:rsidR="005B077D" w:rsidRDefault="005B077D" w:rsidP="00CB6F93">
      <w:pPr>
        <w:pStyle w:val="BNotelist"/>
        <w:keepNext w:val="0"/>
        <w:numPr>
          <w:ilvl w:val="0"/>
          <w:numId w:val="0"/>
        </w:numPr>
        <w:spacing w:before="120"/>
      </w:pPr>
      <w:r w:rsidRPr="00CB6F93">
        <w:rPr>
          <w:b/>
          <w:bCs/>
        </w:rPr>
        <w:t>Notes:</w:t>
      </w:r>
      <w:r w:rsidR="00CB6F93">
        <w:t xml:space="preserve"> </w:t>
      </w:r>
      <w:r w:rsidRPr="00CB6F93">
        <w:t>Numbers may not add due to rounding.</w:t>
      </w:r>
      <w:r w:rsidR="00CB6F93" w:rsidRPr="00CB6F93">
        <w:t xml:space="preserve"> </w:t>
      </w:r>
      <w:r w:rsidR="00CB6F93">
        <w:t xml:space="preserve">The difference in 2021-22 of $172.9 million to Fiscal Strategy and Wellbeing Initiatives (Chapter 3.2) is due to the gross presentation of expenses related to COVID-19 Business Support Grants and Extension Payments, and the Continuing the COVID-19 Public Health support package. These initiatives are presented net of Commonwealth revenue in Chapter 3.2. </w:t>
      </w:r>
    </w:p>
    <w:p w14:paraId="471FBD53" w14:textId="1EB001CA" w:rsidR="00FD16A8" w:rsidRDefault="00FD16A8" w:rsidP="00CF0E2D">
      <w:pPr>
        <w:pStyle w:val="BNotelist"/>
        <w:keepNext w:val="0"/>
        <w:numPr>
          <w:ilvl w:val="0"/>
          <w:numId w:val="7"/>
        </w:numPr>
        <w:ind w:left="357" w:hanging="357"/>
      </w:pPr>
      <w:r>
        <w:t>A positive number represents an increase in revenue.</w:t>
      </w:r>
    </w:p>
    <w:p w14:paraId="43671E32" w14:textId="1BBC8735" w:rsidR="00E238F9" w:rsidRDefault="00FD16A8" w:rsidP="00CF0E2D">
      <w:pPr>
        <w:pStyle w:val="BNotelist"/>
        <w:keepNext w:val="0"/>
        <w:numPr>
          <w:ilvl w:val="0"/>
          <w:numId w:val="7"/>
        </w:numPr>
        <w:ind w:left="357" w:hanging="357"/>
      </w:pPr>
      <w:r>
        <w:t>A negative number represents an increase in expenses.</w:t>
      </w:r>
    </w:p>
    <w:p w14:paraId="03E996D5" w14:textId="77777777" w:rsidR="00E238F9" w:rsidRDefault="00E238F9">
      <w:pPr>
        <w:rPr>
          <w:rFonts w:ascii="Calibri" w:hAnsi="Calibri"/>
          <w:sz w:val="18"/>
        </w:rPr>
      </w:pPr>
      <w:r>
        <w:br w:type="page"/>
      </w:r>
    </w:p>
    <w:p w14:paraId="2992EDCC" w14:textId="2DD66430" w:rsidR="007B7FB3" w:rsidRDefault="007B7FB3" w:rsidP="007B7FB3">
      <w:pPr>
        <w:pStyle w:val="Caption"/>
        <w:rPr>
          <w:noProof/>
        </w:rPr>
      </w:pPr>
      <w:r w:rsidRPr="00111524">
        <w:lastRenderedPageBreak/>
        <w:t xml:space="preserve">Table </w:t>
      </w:r>
      <w:r>
        <w:fldChar w:fldCharType="begin"/>
      </w:r>
      <w:r>
        <w:instrText>STYLEREF 2 \s</w:instrText>
      </w:r>
      <w:r>
        <w:fldChar w:fldCharType="separate"/>
      </w:r>
      <w:r w:rsidR="00F12A80">
        <w:rPr>
          <w:noProof/>
        </w:rPr>
        <w:t>3.1</w:t>
      </w:r>
      <w:r>
        <w:fldChar w:fldCharType="end"/>
      </w:r>
      <w:r w:rsidRPr="00111524">
        <w:t>.</w:t>
      </w:r>
      <w:r>
        <w:fldChar w:fldCharType="begin"/>
      </w:r>
      <w:r>
        <w:instrText>SEQ Table \* ARABIC \s 2</w:instrText>
      </w:r>
      <w:r>
        <w:fldChar w:fldCharType="separate"/>
      </w:r>
      <w:r w:rsidR="00F12A80">
        <w:rPr>
          <w:noProof/>
        </w:rPr>
        <w:t>3</w:t>
      </w:r>
      <w:r>
        <w:fldChar w:fldCharType="end"/>
      </w:r>
      <w:r>
        <w:rPr>
          <w:noProof/>
        </w:rPr>
        <w:t xml:space="preserve">: Summary of major technical adjustments since the 2020-21 Budget </w:t>
      </w:r>
    </w:p>
    <w:tbl>
      <w:tblPr>
        <w:tblW w:w="5000" w:type="pct"/>
        <w:tblBorders>
          <w:top w:val="single" w:sz="4" w:space="0" w:color="auto"/>
          <w:bottom w:val="single" w:sz="4" w:space="0" w:color="auto"/>
          <w:insideH w:val="single" w:sz="4" w:space="0" w:color="auto"/>
        </w:tblBorders>
        <w:tblCellMar>
          <w:left w:w="85" w:type="dxa"/>
        </w:tblCellMar>
        <w:tblLook w:val="04A0" w:firstRow="1" w:lastRow="0" w:firstColumn="1" w:lastColumn="0" w:noHBand="0" w:noVBand="1"/>
      </w:tblPr>
      <w:tblGrid>
        <w:gridCol w:w="5018"/>
        <w:gridCol w:w="1336"/>
        <w:gridCol w:w="1336"/>
        <w:gridCol w:w="1336"/>
      </w:tblGrid>
      <w:tr w:rsidR="00062625" w:rsidRPr="008F5D57" w14:paraId="4AFEACF0" w14:textId="77777777" w:rsidTr="00062625">
        <w:trPr>
          <w:trHeight w:val="156"/>
        </w:trPr>
        <w:tc>
          <w:tcPr>
            <w:tcW w:w="2780" w:type="pct"/>
            <w:tcBorders>
              <w:bottom w:val="single" w:sz="4" w:space="0" w:color="auto"/>
            </w:tcBorders>
            <w:shd w:val="clear" w:color="auto" w:fill="472D8C"/>
          </w:tcPr>
          <w:p w14:paraId="04B978F7" w14:textId="77777777" w:rsidR="00062625" w:rsidRPr="00111524" w:rsidRDefault="00062625" w:rsidP="00DB3369">
            <w:pPr>
              <w:rPr>
                <w:rFonts w:cs="Calibri"/>
                <w:b/>
                <w:color w:val="FFFFFF" w:themeColor="background1"/>
                <w:sz w:val="20"/>
              </w:rPr>
            </w:pPr>
          </w:p>
        </w:tc>
        <w:tc>
          <w:tcPr>
            <w:tcW w:w="740" w:type="pct"/>
            <w:tcBorders>
              <w:bottom w:val="single" w:sz="4" w:space="0" w:color="auto"/>
            </w:tcBorders>
            <w:shd w:val="clear" w:color="auto" w:fill="472D8C"/>
          </w:tcPr>
          <w:p w14:paraId="5A6244A4" w14:textId="77777777" w:rsidR="00062625" w:rsidRPr="00111524" w:rsidRDefault="00062625" w:rsidP="00DB3369">
            <w:pPr>
              <w:pStyle w:val="BTableHeadingRowRightAligned"/>
              <w:rPr>
                <w:color w:val="FFFFFF" w:themeColor="background1"/>
              </w:rPr>
            </w:pPr>
            <w:r>
              <w:rPr>
                <w:color w:val="FFFFFF" w:themeColor="background1"/>
              </w:rPr>
              <w:t xml:space="preserve">2021-22 </w:t>
            </w:r>
            <w:r>
              <w:rPr>
                <w:color w:val="FFFFFF" w:themeColor="background1"/>
              </w:rPr>
              <w:br/>
              <w:t>Budget</w:t>
            </w:r>
            <w:r>
              <w:rPr>
                <w:color w:val="FFFFFF" w:themeColor="background1"/>
              </w:rPr>
              <w:br/>
              <w:t>$’000</w:t>
            </w:r>
          </w:p>
        </w:tc>
        <w:tc>
          <w:tcPr>
            <w:tcW w:w="740" w:type="pct"/>
            <w:tcBorders>
              <w:bottom w:val="single" w:sz="4" w:space="0" w:color="auto"/>
            </w:tcBorders>
            <w:shd w:val="clear" w:color="auto" w:fill="472D8C"/>
          </w:tcPr>
          <w:p w14:paraId="06F0282A" w14:textId="77777777" w:rsidR="00062625" w:rsidRPr="00111524" w:rsidRDefault="00062625" w:rsidP="00DB3369">
            <w:pPr>
              <w:pStyle w:val="BTableHeadingRowRightAligned"/>
              <w:rPr>
                <w:color w:val="FFFFFF" w:themeColor="background1"/>
              </w:rPr>
            </w:pPr>
            <w:r>
              <w:rPr>
                <w:color w:val="FFFFFF" w:themeColor="background1"/>
              </w:rPr>
              <w:t>2022-23</w:t>
            </w:r>
            <w:r>
              <w:rPr>
                <w:color w:val="FFFFFF" w:themeColor="background1"/>
              </w:rPr>
              <w:br/>
              <w:t>Estimate</w:t>
            </w:r>
            <w:r>
              <w:rPr>
                <w:color w:val="FFFFFF" w:themeColor="background1"/>
              </w:rPr>
              <w:br/>
              <w:t>$’000</w:t>
            </w:r>
          </w:p>
        </w:tc>
        <w:tc>
          <w:tcPr>
            <w:tcW w:w="740" w:type="pct"/>
            <w:tcBorders>
              <w:bottom w:val="single" w:sz="4" w:space="0" w:color="auto"/>
            </w:tcBorders>
            <w:shd w:val="clear" w:color="auto" w:fill="472D8C"/>
          </w:tcPr>
          <w:p w14:paraId="46418BE7" w14:textId="77777777" w:rsidR="00062625" w:rsidRPr="00111524" w:rsidRDefault="00062625" w:rsidP="00DB3369">
            <w:pPr>
              <w:pStyle w:val="BTableHeadingRowRightAligned"/>
              <w:rPr>
                <w:color w:val="FFFFFF" w:themeColor="background1"/>
              </w:rPr>
            </w:pPr>
            <w:r>
              <w:rPr>
                <w:color w:val="FFFFFF" w:themeColor="background1"/>
              </w:rPr>
              <w:t>2023-24</w:t>
            </w:r>
            <w:r>
              <w:rPr>
                <w:color w:val="FFFFFF" w:themeColor="background1"/>
              </w:rPr>
              <w:br/>
              <w:t>Estimate</w:t>
            </w:r>
            <w:r>
              <w:rPr>
                <w:color w:val="FFFFFF" w:themeColor="background1"/>
              </w:rPr>
              <w:br/>
              <w:t>$’000</w:t>
            </w:r>
          </w:p>
        </w:tc>
      </w:tr>
      <w:tr w:rsidR="00062625" w:rsidRPr="00337DC9" w14:paraId="4A2E5456" w14:textId="77777777" w:rsidTr="00E238F9">
        <w:trPr>
          <w:trHeight w:val="397"/>
        </w:trPr>
        <w:tc>
          <w:tcPr>
            <w:tcW w:w="2780" w:type="pct"/>
            <w:tcBorders>
              <w:top w:val="nil"/>
              <w:bottom w:val="nil"/>
            </w:tcBorders>
            <w:vAlign w:val="bottom"/>
          </w:tcPr>
          <w:p w14:paraId="0088C059" w14:textId="77777777" w:rsidR="00062625" w:rsidRPr="00EC74DB" w:rsidRDefault="00062625" w:rsidP="00E238F9">
            <w:pPr>
              <w:pStyle w:val="Btabletextbold"/>
            </w:pPr>
            <w:r>
              <w:t>Revenue</w:t>
            </w:r>
            <w:r w:rsidRPr="00477413">
              <w:rPr>
                <w:vertAlign w:val="superscript"/>
              </w:rPr>
              <w:t>1</w:t>
            </w:r>
          </w:p>
        </w:tc>
        <w:tc>
          <w:tcPr>
            <w:tcW w:w="740" w:type="pct"/>
            <w:tcBorders>
              <w:top w:val="nil"/>
              <w:bottom w:val="nil"/>
            </w:tcBorders>
            <w:shd w:val="clear" w:color="auto" w:fill="auto"/>
            <w:vAlign w:val="bottom"/>
          </w:tcPr>
          <w:p w14:paraId="1947C850" w14:textId="77777777" w:rsidR="00062625" w:rsidRPr="00EC74DB" w:rsidRDefault="00062625" w:rsidP="00E238F9">
            <w:pPr>
              <w:pStyle w:val="BTablefigureBold"/>
            </w:pPr>
          </w:p>
        </w:tc>
        <w:tc>
          <w:tcPr>
            <w:tcW w:w="740" w:type="pct"/>
            <w:tcBorders>
              <w:top w:val="nil"/>
              <w:bottom w:val="nil"/>
            </w:tcBorders>
            <w:shd w:val="clear" w:color="472D8C" w:fill="auto"/>
            <w:vAlign w:val="bottom"/>
          </w:tcPr>
          <w:p w14:paraId="71DC5E75" w14:textId="77777777" w:rsidR="00062625" w:rsidRPr="00111524" w:rsidRDefault="00062625" w:rsidP="00E238F9">
            <w:pPr>
              <w:pStyle w:val="Btablefigureunbold"/>
              <w:rPr>
                <w:color w:val="000000"/>
              </w:rPr>
            </w:pPr>
          </w:p>
        </w:tc>
        <w:tc>
          <w:tcPr>
            <w:tcW w:w="740" w:type="pct"/>
            <w:tcBorders>
              <w:top w:val="nil"/>
              <w:bottom w:val="nil"/>
            </w:tcBorders>
            <w:shd w:val="clear" w:color="auto" w:fill="auto"/>
            <w:vAlign w:val="bottom"/>
          </w:tcPr>
          <w:p w14:paraId="2E209917" w14:textId="77777777" w:rsidR="00062625" w:rsidRPr="00EC74DB" w:rsidRDefault="00062625" w:rsidP="00E238F9">
            <w:pPr>
              <w:pStyle w:val="Btablefigureunbold"/>
            </w:pPr>
          </w:p>
        </w:tc>
      </w:tr>
      <w:tr w:rsidR="00625E2B" w:rsidRPr="00337DC9" w14:paraId="2CAD76F9" w14:textId="77777777" w:rsidTr="00062625">
        <w:trPr>
          <w:trHeight w:val="270"/>
        </w:trPr>
        <w:tc>
          <w:tcPr>
            <w:tcW w:w="2780" w:type="pct"/>
            <w:tcBorders>
              <w:top w:val="nil"/>
              <w:bottom w:val="nil"/>
            </w:tcBorders>
          </w:tcPr>
          <w:p w14:paraId="7AF21333" w14:textId="21262247" w:rsidR="00625E2B" w:rsidRDefault="00625E2B" w:rsidP="00625E2B">
            <w:pPr>
              <w:pStyle w:val="Btabletextunbold"/>
            </w:pPr>
            <w:r w:rsidRPr="004A5BC4">
              <w:t>GST revenue</w:t>
            </w:r>
          </w:p>
        </w:tc>
        <w:tc>
          <w:tcPr>
            <w:tcW w:w="740" w:type="pct"/>
            <w:tcBorders>
              <w:top w:val="nil"/>
              <w:bottom w:val="nil"/>
            </w:tcBorders>
            <w:shd w:val="clear" w:color="auto" w:fill="auto"/>
          </w:tcPr>
          <w:p w14:paraId="33D79638" w14:textId="0BB3233F" w:rsidR="00625E2B" w:rsidRDefault="00625E2B" w:rsidP="00625E2B">
            <w:pPr>
              <w:pStyle w:val="Btablefigureunbold"/>
            </w:pPr>
            <w:r>
              <w:t>67,134</w:t>
            </w:r>
          </w:p>
        </w:tc>
        <w:tc>
          <w:tcPr>
            <w:tcW w:w="740" w:type="pct"/>
            <w:tcBorders>
              <w:top w:val="nil"/>
              <w:bottom w:val="nil"/>
            </w:tcBorders>
            <w:shd w:val="clear" w:color="472D8C" w:fill="auto"/>
          </w:tcPr>
          <w:p w14:paraId="70AAC492" w14:textId="46BC6A52" w:rsidR="00625E2B" w:rsidRPr="00111524" w:rsidRDefault="00625E2B" w:rsidP="00625E2B">
            <w:pPr>
              <w:pStyle w:val="Btablefigureunbold"/>
              <w:rPr>
                <w:color w:val="000000"/>
              </w:rPr>
            </w:pPr>
            <w:r>
              <w:rPr>
                <w:color w:val="000000"/>
              </w:rPr>
              <w:t>20,001</w:t>
            </w:r>
          </w:p>
        </w:tc>
        <w:tc>
          <w:tcPr>
            <w:tcW w:w="740" w:type="pct"/>
            <w:tcBorders>
              <w:top w:val="nil"/>
              <w:bottom w:val="nil"/>
            </w:tcBorders>
            <w:shd w:val="clear" w:color="auto" w:fill="auto"/>
          </w:tcPr>
          <w:p w14:paraId="62441A43" w14:textId="6B67439A" w:rsidR="00625E2B" w:rsidRPr="00EC74DB" w:rsidRDefault="00625E2B" w:rsidP="00625E2B">
            <w:pPr>
              <w:pStyle w:val="Btablefigureunbold"/>
            </w:pPr>
            <w:r>
              <w:t>16,147</w:t>
            </w:r>
          </w:p>
        </w:tc>
      </w:tr>
      <w:tr w:rsidR="00625E2B" w:rsidRPr="00337DC9" w14:paraId="373A6D3F" w14:textId="77777777" w:rsidTr="00062625">
        <w:trPr>
          <w:trHeight w:val="270"/>
        </w:trPr>
        <w:tc>
          <w:tcPr>
            <w:tcW w:w="2780" w:type="pct"/>
            <w:tcBorders>
              <w:top w:val="nil"/>
              <w:bottom w:val="nil"/>
            </w:tcBorders>
          </w:tcPr>
          <w:p w14:paraId="0C1A9941" w14:textId="4EFDC0B4" w:rsidR="00625E2B" w:rsidRDefault="00625E2B" w:rsidP="00625E2B">
            <w:pPr>
              <w:pStyle w:val="Btabletextunbold"/>
            </w:pPr>
            <w:r w:rsidRPr="004A5BC4">
              <w:t>Other Commonwealth grants</w:t>
            </w:r>
          </w:p>
        </w:tc>
        <w:tc>
          <w:tcPr>
            <w:tcW w:w="740" w:type="pct"/>
            <w:tcBorders>
              <w:top w:val="nil"/>
              <w:bottom w:val="nil"/>
            </w:tcBorders>
            <w:shd w:val="clear" w:color="auto" w:fill="auto"/>
          </w:tcPr>
          <w:p w14:paraId="737618BE" w14:textId="5E68B14B" w:rsidR="00625E2B" w:rsidRDefault="00625E2B" w:rsidP="00625E2B">
            <w:pPr>
              <w:pStyle w:val="Btablefigureunbold"/>
            </w:pPr>
            <w:r>
              <w:t>138,856</w:t>
            </w:r>
          </w:p>
        </w:tc>
        <w:tc>
          <w:tcPr>
            <w:tcW w:w="740" w:type="pct"/>
            <w:tcBorders>
              <w:top w:val="nil"/>
              <w:bottom w:val="nil"/>
            </w:tcBorders>
            <w:shd w:val="clear" w:color="472D8C" w:fill="auto"/>
          </w:tcPr>
          <w:p w14:paraId="14A031D4" w14:textId="028195FE" w:rsidR="00625E2B" w:rsidRPr="00111524" w:rsidRDefault="00625E2B" w:rsidP="00625E2B">
            <w:pPr>
              <w:pStyle w:val="Btablefigureunbold"/>
              <w:rPr>
                <w:color w:val="000000"/>
              </w:rPr>
            </w:pPr>
            <w:r>
              <w:rPr>
                <w:color w:val="000000"/>
              </w:rPr>
              <w:t>81,100</w:t>
            </w:r>
          </w:p>
        </w:tc>
        <w:tc>
          <w:tcPr>
            <w:tcW w:w="740" w:type="pct"/>
            <w:tcBorders>
              <w:top w:val="nil"/>
              <w:bottom w:val="nil"/>
            </w:tcBorders>
            <w:shd w:val="clear" w:color="auto" w:fill="auto"/>
          </w:tcPr>
          <w:p w14:paraId="60A44EC8" w14:textId="534B6B6C" w:rsidR="00625E2B" w:rsidRPr="00EC74DB" w:rsidRDefault="00625E2B" w:rsidP="00625E2B">
            <w:pPr>
              <w:pStyle w:val="Btablefigureunbold"/>
            </w:pPr>
            <w:r>
              <w:t>118,905</w:t>
            </w:r>
          </w:p>
        </w:tc>
      </w:tr>
      <w:tr w:rsidR="00625E2B" w:rsidRPr="00337DC9" w14:paraId="17B36A78" w14:textId="77777777" w:rsidTr="000F5576">
        <w:trPr>
          <w:trHeight w:val="270"/>
        </w:trPr>
        <w:tc>
          <w:tcPr>
            <w:tcW w:w="2780" w:type="pct"/>
            <w:tcBorders>
              <w:top w:val="nil"/>
              <w:bottom w:val="nil"/>
            </w:tcBorders>
          </w:tcPr>
          <w:p w14:paraId="35F35E2D" w14:textId="77777777" w:rsidR="00625E2B" w:rsidRDefault="00625E2B" w:rsidP="00625E2B">
            <w:pPr>
              <w:pStyle w:val="Btabletextunbold"/>
            </w:pPr>
            <w:r w:rsidRPr="004A5BC4">
              <w:t>Suburban Land Agency, City Renewal Authority and ICON Water dividends and income tax equivalent</w:t>
            </w:r>
          </w:p>
        </w:tc>
        <w:tc>
          <w:tcPr>
            <w:tcW w:w="740" w:type="pct"/>
            <w:tcBorders>
              <w:top w:val="nil"/>
              <w:bottom w:val="nil"/>
            </w:tcBorders>
            <w:shd w:val="clear" w:color="auto" w:fill="auto"/>
          </w:tcPr>
          <w:p w14:paraId="5470C707" w14:textId="30892BA6" w:rsidR="00625E2B" w:rsidRDefault="00625E2B" w:rsidP="00625E2B">
            <w:pPr>
              <w:pStyle w:val="Btablefigureunbold"/>
            </w:pPr>
            <w:r>
              <w:t>65,408</w:t>
            </w:r>
          </w:p>
        </w:tc>
        <w:tc>
          <w:tcPr>
            <w:tcW w:w="740" w:type="pct"/>
            <w:tcBorders>
              <w:top w:val="nil"/>
              <w:bottom w:val="nil"/>
            </w:tcBorders>
            <w:shd w:val="clear" w:color="472D8C" w:fill="auto"/>
          </w:tcPr>
          <w:p w14:paraId="059039DA" w14:textId="04D7E902" w:rsidR="00625E2B" w:rsidRPr="00111524" w:rsidRDefault="00625E2B" w:rsidP="00625E2B">
            <w:pPr>
              <w:pStyle w:val="Btablefigureunbold"/>
              <w:rPr>
                <w:color w:val="000000"/>
              </w:rPr>
            </w:pPr>
            <w:r>
              <w:rPr>
                <w:color w:val="000000"/>
              </w:rPr>
              <w:t>15,003</w:t>
            </w:r>
          </w:p>
        </w:tc>
        <w:tc>
          <w:tcPr>
            <w:tcW w:w="740" w:type="pct"/>
            <w:tcBorders>
              <w:top w:val="nil"/>
              <w:bottom w:val="nil"/>
            </w:tcBorders>
            <w:shd w:val="clear" w:color="auto" w:fill="auto"/>
          </w:tcPr>
          <w:p w14:paraId="09081FAA" w14:textId="685B6D6E" w:rsidR="00625E2B" w:rsidRPr="00EC74DB" w:rsidRDefault="00625E2B" w:rsidP="00625E2B">
            <w:pPr>
              <w:pStyle w:val="Btablefigureunbold"/>
            </w:pPr>
            <w:r>
              <w:t>-11,564</w:t>
            </w:r>
          </w:p>
        </w:tc>
      </w:tr>
      <w:tr w:rsidR="00625E2B" w:rsidRPr="00337DC9" w14:paraId="26B852BB" w14:textId="77777777" w:rsidTr="00062625">
        <w:trPr>
          <w:trHeight w:val="270"/>
        </w:trPr>
        <w:tc>
          <w:tcPr>
            <w:tcW w:w="2780" w:type="pct"/>
            <w:tcBorders>
              <w:top w:val="nil"/>
              <w:bottom w:val="nil"/>
            </w:tcBorders>
          </w:tcPr>
          <w:p w14:paraId="07CA179A" w14:textId="77D69B18" w:rsidR="00625E2B" w:rsidRDefault="00625E2B" w:rsidP="00625E2B">
            <w:pPr>
              <w:pStyle w:val="Btabletextunbold"/>
            </w:pPr>
            <w:r w:rsidRPr="004A5BC4">
              <w:t>Taxation revenue</w:t>
            </w:r>
          </w:p>
        </w:tc>
        <w:tc>
          <w:tcPr>
            <w:tcW w:w="740" w:type="pct"/>
            <w:tcBorders>
              <w:top w:val="nil"/>
              <w:bottom w:val="nil"/>
            </w:tcBorders>
            <w:shd w:val="clear" w:color="auto" w:fill="auto"/>
          </w:tcPr>
          <w:p w14:paraId="6EF81E26" w14:textId="16C365D2" w:rsidR="00625E2B" w:rsidRDefault="00625E2B" w:rsidP="00625E2B">
            <w:pPr>
              <w:pStyle w:val="Btablefigureunbold"/>
            </w:pPr>
            <w:r>
              <w:t>59,925</w:t>
            </w:r>
          </w:p>
        </w:tc>
        <w:tc>
          <w:tcPr>
            <w:tcW w:w="740" w:type="pct"/>
            <w:tcBorders>
              <w:top w:val="nil"/>
              <w:bottom w:val="nil"/>
            </w:tcBorders>
            <w:shd w:val="clear" w:color="472D8C" w:fill="auto"/>
          </w:tcPr>
          <w:p w14:paraId="3FA98247" w14:textId="07AF590E" w:rsidR="00625E2B" w:rsidRPr="00111524" w:rsidRDefault="00625E2B" w:rsidP="00625E2B">
            <w:pPr>
              <w:pStyle w:val="Btablefigureunbold"/>
              <w:rPr>
                <w:color w:val="000000"/>
              </w:rPr>
            </w:pPr>
            <w:r>
              <w:rPr>
                <w:color w:val="000000"/>
              </w:rPr>
              <w:t>74,402</w:t>
            </w:r>
          </w:p>
        </w:tc>
        <w:tc>
          <w:tcPr>
            <w:tcW w:w="740" w:type="pct"/>
            <w:tcBorders>
              <w:top w:val="nil"/>
              <w:bottom w:val="nil"/>
            </w:tcBorders>
            <w:shd w:val="clear" w:color="auto" w:fill="auto"/>
          </w:tcPr>
          <w:p w14:paraId="64F7BBFA" w14:textId="07827399" w:rsidR="00625E2B" w:rsidRPr="00EC74DB" w:rsidRDefault="00625E2B" w:rsidP="00625E2B">
            <w:pPr>
              <w:pStyle w:val="Btablefigureunbold"/>
            </w:pPr>
            <w:r>
              <w:t>16,147</w:t>
            </w:r>
          </w:p>
        </w:tc>
      </w:tr>
      <w:tr w:rsidR="00625E2B" w:rsidRPr="00337DC9" w14:paraId="3F5BCBBC" w14:textId="77777777" w:rsidTr="00062625">
        <w:trPr>
          <w:trHeight w:val="270"/>
        </w:trPr>
        <w:tc>
          <w:tcPr>
            <w:tcW w:w="2780" w:type="pct"/>
            <w:tcBorders>
              <w:top w:val="nil"/>
              <w:bottom w:val="nil"/>
            </w:tcBorders>
          </w:tcPr>
          <w:p w14:paraId="6B240194" w14:textId="4CE84BD1" w:rsidR="00625E2B" w:rsidRDefault="00625E2B" w:rsidP="00625E2B">
            <w:pPr>
              <w:pStyle w:val="Btabletextunbold"/>
            </w:pPr>
            <w:r w:rsidRPr="004A5BC4" w:rsidDel="005070E3">
              <w:t>Investment income</w:t>
            </w:r>
          </w:p>
        </w:tc>
        <w:tc>
          <w:tcPr>
            <w:tcW w:w="740" w:type="pct"/>
            <w:tcBorders>
              <w:top w:val="nil"/>
              <w:bottom w:val="nil"/>
            </w:tcBorders>
            <w:shd w:val="clear" w:color="auto" w:fill="auto"/>
          </w:tcPr>
          <w:p w14:paraId="5F5D8259" w14:textId="436A8B6A" w:rsidR="00625E2B" w:rsidRDefault="00625E2B" w:rsidP="00625E2B">
            <w:pPr>
              <w:pStyle w:val="Btablefigureunbold"/>
            </w:pPr>
            <w:r>
              <w:t>9,059</w:t>
            </w:r>
          </w:p>
        </w:tc>
        <w:tc>
          <w:tcPr>
            <w:tcW w:w="740" w:type="pct"/>
            <w:tcBorders>
              <w:top w:val="nil"/>
              <w:bottom w:val="nil"/>
            </w:tcBorders>
            <w:shd w:val="clear" w:color="472D8C" w:fill="auto"/>
          </w:tcPr>
          <w:p w14:paraId="215E8CA4" w14:textId="026E3164" w:rsidR="00625E2B" w:rsidRPr="00111524" w:rsidRDefault="00625E2B" w:rsidP="00625E2B">
            <w:pPr>
              <w:pStyle w:val="Btablefigureunbold"/>
              <w:rPr>
                <w:color w:val="000000"/>
              </w:rPr>
            </w:pPr>
            <w:r>
              <w:rPr>
                <w:color w:val="000000"/>
              </w:rPr>
              <w:t>24,230</w:t>
            </w:r>
          </w:p>
        </w:tc>
        <w:tc>
          <w:tcPr>
            <w:tcW w:w="740" w:type="pct"/>
            <w:tcBorders>
              <w:top w:val="nil"/>
              <w:bottom w:val="nil"/>
            </w:tcBorders>
            <w:shd w:val="clear" w:color="auto" w:fill="auto"/>
          </w:tcPr>
          <w:p w14:paraId="4346302B" w14:textId="615602FA" w:rsidR="00625E2B" w:rsidRPr="00EC74DB" w:rsidRDefault="00625E2B" w:rsidP="00625E2B">
            <w:pPr>
              <w:pStyle w:val="Btablefigureunbold"/>
            </w:pPr>
            <w:r>
              <w:t>25,982</w:t>
            </w:r>
          </w:p>
        </w:tc>
      </w:tr>
      <w:tr w:rsidR="00625E2B" w:rsidRPr="00337DC9" w14:paraId="7309FD9A" w14:textId="77777777" w:rsidTr="00A60D4B">
        <w:trPr>
          <w:trHeight w:val="270"/>
        </w:trPr>
        <w:tc>
          <w:tcPr>
            <w:tcW w:w="2780" w:type="pct"/>
            <w:tcBorders>
              <w:top w:val="nil"/>
              <w:bottom w:val="single" w:sz="4" w:space="0" w:color="auto"/>
            </w:tcBorders>
          </w:tcPr>
          <w:p w14:paraId="7419B6D9" w14:textId="12E723CC" w:rsidR="00625E2B" w:rsidRDefault="00625E2B" w:rsidP="00625E2B">
            <w:pPr>
              <w:pStyle w:val="Btabletextunbold"/>
            </w:pPr>
            <w:r w:rsidRPr="004A5BC4">
              <w:t>Other parameter and technical adjustments</w:t>
            </w:r>
          </w:p>
        </w:tc>
        <w:tc>
          <w:tcPr>
            <w:tcW w:w="740" w:type="pct"/>
            <w:tcBorders>
              <w:top w:val="nil"/>
              <w:bottom w:val="single" w:sz="4" w:space="0" w:color="auto"/>
            </w:tcBorders>
            <w:shd w:val="clear" w:color="auto" w:fill="auto"/>
            <w:vAlign w:val="center"/>
          </w:tcPr>
          <w:p w14:paraId="198889B6" w14:textId="5E1269C8" w:rsidR="00625E2B" w:rsidRDefault="00625E2B" w:rsidP="00625E2B">
            <w:pPr>
              <w:pStyle w:val="Btablefigureunbold"/>
            </w:pPr>
            <w:r>
              <w:rPr>
                <w:rFonts w:cs="Calibri"/>
                <w:color w:val="000000"/>
                <w:szCs w:val="20"/>
              </w:rPr>
              <w:t>59,512</w:t>
            </w:r>
          </w:p>
        </w:tc>
        <w:tc>
          <w:tcPr>
            <w:tcW w:w="740" w:type="pct"/>
            <w:tcBorders>
              <w:top w:val="nil"/>
              <w:bottom w:val="single" w:sz="4" w:space="0" w:color="auto"/>
            </w:tcBorders>
            <w:shd w:val="clear" w:color="472D8C" w:fill="auto"/>
            <w:vAlign w:val="center"/>
          </w:tcPr>
          <w:p w14:paraId="2617CDBB" w14:textId="213AE4A5" w:rsidR="00625E2B" w:rsidRPr="00111524" w:rsidRDefault="00625E2B" w:rsidP="00625E2B">
            <w:pPr>
              <w:pStyle w:val="Btablefigureunbold"/>
              <w:rPr>
                <w:color w:val="000000"/>
              </w:rPr>
            </w:pPr>
            <w:r>
              <w:rPr>
                <w:rFonts w:cs="Calibri"/>
                <w:color w:val="000000"/>
                <w:szCs w:val="20"/>
              </w:rPr>
              <w:t>-6,944</w:t>
            </w:r>
          </w:p>
        </w:tc>
        <w:tc>
          <w:tcPr>
            <w:tcW w:w="740" w:type="pct"/>
            <w:tcBorders>
              <w:top w:val="nil"/>
              <w:bottom w:val="single" w:sz="4" w:space="0" w:color="auto"/>
            </w:tcBorders>
            <w:shd w:val="clear" w:color="auto" w:fill="auto"/>
            <w:vAlign w:val="center"/>
          </w:tcPr>
          <w:p w14:paraId="7A3C44C3" w14:textId="36AD726D" w:rsidR="00625E2B" w:rsidRPr="00EC74DB" w:rsidRDefault="00625E2B" w:rsidP="00625E2B">
            <w:pPr>
              <w:pStyle w:val="Btablefigureunbold"/>
            </w:pPr>
            <w:r>
              <w:rPr>
                <w:rFonts w:cs="Calibri"/>
                <w:color w:val="000000"/>
                <w:szCs w:val="20"/>
              </w:rPr>
              <w:t>-31,976</w:t>
            </w:r>
          </w:p>
        </w:tc>
      </w:tr>
      <w:tr w:rsidR="00625E2B" w:rsidRPr="00337DC9" w14:paraId="3A5F5F06" w14:textId="77777777" w:rsidTr="00A60D4B">
        <w:trPr>
          <w:trHeight w:val="270"/>
        </w:trPr>
        <w:tc>
          <w:tcPr>
            <w:tcW w:w="2780" w:type="pct"/>
            <w:tcBorders>
              <w:top w:val="single" w:sz="4" w:space="0" w:color="auto"/>
              <w:bottom w:val="single" w:sz="4" w:space="0" w:color="auto"/>
            </w:tcBorders>
          </w:tcPr>
          <w:p w14:paraId="70F3D75B" w14:textId="3E15A569" w:rsidR="00625E2B" w:rsidRPr="00EA689F" w:rsidRDefault="00625E2B" w:rsidP="00625E2B">
            <w:pPr>
              <w:pStyle w:val="Btabletextbold"/>
              <w:rPr>
                <w:color w:val="472D8C"/>
              </w:rPr>
            </w:pPr>
            <w:r w:rsidRPr="00EA689F">
              <w:rPr>
                <w:color w:val="472D8C"/>
              </w:rPr>
              <w:t>Total revenue – Technical adjustments</w:t>
            </w:r>
          </w:p>
        </w:tc>
        <w:tc>
          <w:tcPr>
            <w:tcW w:w="740" w:type="pct"/>
            <w:tcBorders>
              <w:top w:val="single" w:sz="4" w:space="0" w:color="auto"/>
              <w:bottom w:val="single" w:sz="4" w:space="0" w:color="auto"/>
            </w:tcBorders>
            <w:shd w:val="clear" w:color="auto" w:fill="auto"/>
            <w:vAlign w:val="center"/>
          </w:tcPr>
          <w:p w14:paraId="5599AA67" w14:textId="2BFD0C47" w:rsidR="00625E2B" w:rsidRPr="00EA689F" w:rsidRDefault="00625E2B" w:rsidP="00625E2B">
            <w:pPr>
              <w:pStyle w:val="BTablefigureBold"/>
              <w:rPr>
                <w:color w:val="472D8C"/>
              </w:rPr>
            </w:pPr>
            <w:r w:rsidRPr="00625E2B">
              <w:rPr>
                <w:color w:val="472D8C"/>
              </w:rPr>
              <w:t>399,894</w:t>
            </w:r>
          </w:p>
        </w:tc>
        <w:tc>
          <w:tcPr>
            <w:tcW w:w="740" w:type="pct"/>
            <w:tcBorders>
              <w:top w:val="single" w:sz="4" w:space="0" w:color="auto"/>
              <w:bottom w:val="single" w:sz="4" w:space="0" w:color="auto"/>
            </w:tcBorders>
            <w:shd w:val="clear" w:color="472D8C" w:fill="auto"/>
            <w:vAlign w:val="center"/>
          </w:tcPr>
          <w:p w14:paraId="032B2470" w14:textId="3F36087B" w:rsidR="00625E2B" w:rsidRPr="00EA689F" w:rsidRDefault="00625E2B" w:rsidP="00625E2B">
            <w:pPr>
              <w:pStyle w:val="BTablefigureBold"/>
              <w:rPr>
                <w:color w:val="472D8C"/>
              </w:rPr>
            </w:pPr>
            <w:r w:rsidRPr="00625E2B">
              <w:rPr>
                <w:color w:val="472D8C"/>
              </w:rPr>
              <w:t>207,792</w:t>
            </w:r>
          </w:p>
        </w:tc>
        <w:tc>
          <w:tcPr>
            <w:tcW w:w="740" w:type="pct"/>
            <w:tcBorders>
              <w:top w:val="single" w:sz="4" w:space="0" w:color="auto"/>
              <w:bottom w:val="single" w:sz="4" w:space="0" w:color="auto"/>
            </w:tcBorders>
            <w:shd w:val="clear" w:color="auto" w:fill="auto"/>
            <w:vAlign w:val="center"/>
          </w:tcPr>
          <w:p w14:paraId="29218932" w14:textId="165A43AD" w:rsidR="00625E2B" w:rsidRPr="00EA689F" w:rsidRDefault="00625E2B" w:rsidP="00625E2B">
            <w:pPr>
              <w:pStyle w:val="BTablefigureBold"/>
              <w:rPr>
                <w:color w:val="472D8C"/>
              </w:rPr>
            </w:pPr>
            <w:r w:rsidRPr="00625E2B">
              <w:rPr>
                <w:color w:val="472D8C"/>
              </w:rPr>
              <w:t>133,641</w:t>
            </w:r>
          </w:p>
        </w:tc>
      </w:tr>
      <w:tr w:rsidR="000B7CDE" w:rsidRPr="00337DC9" w14:paraId="07C5EEB9" w14:textId="77777777" w:rsidTr="00E238F9">
        <w:trPr>
          <w:trHeight w:val="397"/>
        </w:trPr>
        <w:tc>
          <w:tcPr>
            <w:tcW w:w="2780" w:type="pct"/>
            <w:tcBorders>
              <w:top w:val="nil"/>
              <w:bottom w:val="nil"/>
            </w:tcBorders>
            <w:vAlign w:val="bottom"/>
          </w:tcPr>
          <w:p w14:paraId="15B9E72E" w14:textId="77777777" w:rsidR="000B7CDE" w:rsidRDefault="000B7CDE" w:rsidP="00E238F9">
            <w:pPr>
              <w:pStyle w:val="Btabletextbold"/>
            </w:pPr>
            <w:r>
              <w:t>Expenses</w:t>
            </w:r>
            <w:r w:rsidRPr="00463B03">
              <w:rPr>
                <w:vertAlign w:val="superscript"/>
              </w:rPr>
              <w:t>2</w:t>
            </w:r>
          </w:p>
        </w:tc>
        <w:tc>
          <w:tcPr>
            <w:tcW w:w="740" w:type="pct"/>
            <w:tcBorders>
              <w:top w:val="nil"/>
              <w:bottom w:val="nil"/>
            </w:tcBorders>
            <w:shd w:val="clear" w:color="auto" w:fill="auto"/>
          </w:tcPr>
          <w:p w14:paraId="17E69672" w14:textId="77777777" w:rsidR="000B7CDE" w:rsidRDefault="000B7CDE" w:rsidP="000B7CDE">
            <w:pPr>
              <w:pStyle w:val="BTablefigureBold"/>
            </w:pPr>
          </w:p>
        </w:tc>
        <w:tc>
          <w:tcPr>
            <w:tcW w:w="740" w:type="pct"/>
            <w:tcBorders>
              <w:top w:val="nil"/>
              <w:bottom w:val="nil"/>
            </w:tcBorders>
            <w:shd w:val="clear" w:color="472D8C" w:fill="auto"/>
          </w:tcPr>
          <w:p w14:paraId="042658E0" w14:textId="77777777" w:rsidR="000B7CDE" w:rsidRPr="00111524" w:rsidRDefault="000B7CDE" w:rsidP="000B7CDE">
            <w:pPr>
              <w:pStyle w:val="Btablefigureunbold"/>
              <w:rPr>
                <w:color w:val="000000"/>
              </w:rPr>
            </w:pPr>
          </w:p>
        </w:tc>
        <w:tc>
          <w:tcPr>
            <w:tcW w:w="740" w:type="pct"/>
            <w:tcBorders>
              <w:top w:val="nil"/>
              <w:bottom w:val="nil"/>
            </w:tcBorders>
            <w:shd w:val="clear" w:color="auto" w:fill="auto"/>
          </w:tcPr>
          <w:p w14:paraId="4E2C4B76" w14:textId="77777777" w:rsidR="000B7CDE" w:rsidRPr="00EC74DB" w:rsidRDefault="000B7CDE" w:rsidP="000B7CDE">
            <w:pPr>
              <w:pStyle w:val="Btablefigureunbold"/>
            </w:pPr>
          </w:p>
        </w:tc>
      </w:tr>
      <w:tr w:rsidR="00625E2B" w:rsidRPr="00337DC9" w14:paraId="3EEC4273" w14:textId="77777777" w:rsidTr="000F5576">
        <w:trPr>
          <w:trHeight w:val="270"/>
        </w:trPr>
        <w:tc>
          <w:tcPr>
            <w:tcW w:w="2780" w:type="pct"/>
            <w:tcBorders>
              <w:top w:val="nil"/>
              <w:bottom w:val="nil"/>
            </w:tcBorders>
          </w:tcPr>
          <w:p w14:paraId="72D0295C" w14:textId="77777777" w:rsidR="00625E2B" w:rsidRDefault="00625E2B" w:rsidP="00625E2B">
            <w:pPr>
              <w:pStyle w:val="Btabletextunbold"/>
            </w:pPr>
            <w:r>
              <w:t>Revised funding profiles and rollovers</w:t>
            </w:r>
          </w:p>
        </w:tc>
        <w:tc>
          <w:tcPr>
            <w:tcW w:w="740" w:type="pct"/>
            <w:tcBorders>
              <w:top w:val="nil"/>
              <w:bottom w:val="nil"/>
            </w:tcBorders>
            <w:shd w:val="clear" w:color="auto" w:fill="auto"/>
          </w:tcPr>
          <w:p w14:paraId="36CFAA21" w14:textId="102D235E" w:rsidR="00625E2B" w:rsidRDefault="00625E2B" w:rsidP="00625E2B">
            <w:pPr>
              <w:pStyle w:val="Btablefigureunbold"/>
            </w:pPr>
            <w:r>
              <w:t>-108,021</w:t>
            </w:r>
          </w:p>
        </w:tc>
        <w:tc>
          <w:tcPr>
            <w:tcW w:w="740" w:type="pct"/>
            <w:tcBorders>
              <w:top w:val="nil"/>
              <w:bottom w:val="nil"/>
            </w:tcBorders>
            <w:shd w:val="clear" w:color="472D8C" w:fill="auto"/>
          </w:tcPr>
          <w:p w14:paraId="57BE89A1" w14:textId="107A81AF" w:rsidR="00625E2B" w:rsidRPr="00111524" w:rsidRDefault="00625E2B" w:rsidP="00625E2B">
            <w:pPr>
              <w:pStyle w:val="Btablefigureunbold"/>
              <w:rPr>
                <w:color w:val="000000"/>
              </w:rPr>
            </w:pPr>
            <w:r>
              <w:rPr>
                <w:color w:val="000000"/>
              </w:rPr>
              <w:t>-17,617</w:t>
            </w:r>
          </w:p>
        </w:tc>
        <w:tc>
          <w:tcPr>
            <w:tcW w:w="740" w:type="pct"/>
            <w:tcBorders>
              <w:top w:val="nil"/>
              <w:bottom w:val="nil"/>
            </w:tcBorders>
            <w:shd w:val="clear" w:color="auto" w:fill="auto"/>
          </w:tcPr>
          <w:p w14:paraId="43B2D6EE" w14:textId="61F67D7F" w:rsidR="00625E2B" w:rsidRPr="00EC74DB" w:rsidRDefault="00625E2B" w:rsidP="00625E2B">
            <w:pPr>
              <w:pStyle w:val="Btablefigureunbold"/>
            </w:pPr>
            <w:r>
              <w:t>-18,304</w:t>
            </w:r>
          </w:p>
        </w:tc>
      </w:tr>
      <w:tr w:rsidR="00625E2B" w:rsidRPr="00337DC9" w14:paraId="023F642E" w14:textId="77777777" w:rsidTr="00062625">
        <w:trPr>
          <w:trHeight w:val="270"/>
        </w:trPr>
        <w:tc>
          <w:tcPr>
            <w:tcW w:w="2780" w:type="pct"/>
            <w:tcBorders>
              <w:top w:val="nil"/>
              <w:bottom w:val="nil"/>
            </w:tcBorders>
          </w:tcPr>
          <w:p w14:paraId="06CD4AD4" w14:textId="5D1D0839" w:rsidR="00625E2B" w:rsidRDefault="00625E2B" w:rsidP="00625E2B">
            <w:pPr>
              <w:pStyle w:val="Btabletextunbold"/>
            </w:pPr>
            <w:r>
              <w:t>Superannuation Provision Account</w:t>
            </w:r>
          </w:p>
        </w:tc>
        <w:tc>
          <w:tcPr>
            <w:tcW w:w="740" w:type="pct"/>
            <w:tcBorders>
              <w:top w:val="nil"/>
              <w:bottom w:val="nil"/>
            </w:tcBorders>
            <w:shd w:val="clear" w:color="auto" w:fill="auto"/>
          </w:tcPr>
          <w:p w14:paraId="0CBC6596" w14:textId="5DA714D2" w:rsidR="00625E2B" w:rsidRDefault="00625E2B" w:rsidP="00625E2B">
            <w:pPr>
              <w:pStyle w:val="Btablefigureunbold"/>
            </w:pPr>
            <w:r>
              <w:t>-56,247</w:t>
            </w:r>
          </w:p>
        </w:tc>
        <w:tc>
          <w:tcPr>
            <w:tcW w:w="740" w:type="pct"/>
            <w:tcBorders>
              <w:top w:val="nil"/>
              <w:bottom w:val="nil"/>
            </w:tcBorders>
            <w:shd w:val="clear" w:color="472D8C" w:fill="auto"/>
          </w:tcPr>
          <w:p w14:paraId="3291D24E" w14:textId="5EA306A1" w:rsidR="00625E2B" w:rsidRPr="00111524" w:rsidRDefault="00625E2B" w:rsidP="00625E2B">
            <w:pPr>
              <w:pStyle w:val="Btablefigureunbold"/>
              <w:rPr>
                <w:color w:val="000000"/>
              </w:rPr>
            </w:pPr>
            <w:r>
              <w:rPr>
                <w:color w:val="000000"/>
              </w:rPr>
              <w:t>-32,075</w:t>
            </w:r>
          </w:p>
        </w:tc>
        <w:tc>
          <w:tcPr>
            <w:tcW w:w="740" w:type="pct"/>
            <w:tcBorders>
              <w:top w:val="nil"/>
              <w:bottom w:val="nil"/>
            </w:tcBorders>
            <w:shd w:val="clear" w:color="auto" w:fill="auto"/>
          </w:tcPr>
          <w:p w14:paraId="1F3DD7A0" w14:textId="1B2B4C7F" w:rsidR="00625E2B" w:rsidRPr="00EC74DB" w:rsidRDefault="00625E2B" w:rsidP="00625E2B">
            <w:pPr>
              <w:pStyle w:val="Btablefigureunbold"/>
            </w:pPr>
            <w:r>
              <w:t xml:space="preserve">           -27,965</w:t>
            </w:r>
          </w:p>
        </w:tc>
      </w:tr>
      <w:tr w:rsidR="00625E2B" w:rsidRPr="00337DC9" w14:paraId="3FFD8BB5" w14:textId="77777777" w:rsidTr="000F5576">
        <w:trPr>
          <w:trHeight w:val="270"/>
        </w:trPr>
        <w:tc>
          <w:tcPr>
            <w:tcW w:w="2780" w:type="pct"/>
            <w:tcBorders>
              <w:top w:val="nil"/>
              <w:bottom w:val="nil"/>
            </w:tcBorders>
          </w:tcPr>
          <w:p w14:paraId="056A9734" w14:textId="77777777" w:rsidR="00625E2B" w:rsidRDefault="00625E2B" w:rsidP="00625E2B">
            <w:pPr>
              <w:pStyle w:val="Btabletextunbold"/>
            </w:pPr>
            <w:r>
              <w:t>Commonwealth Grants</w:t>
            </w:r>
          </w:p>
        </w:tc>
        <w:tc>
          <w:tcPr>
            <w:tcW w:w="740" w:type="pct"/>
            <w:tcBorders>
              <w:top w:val="nil"/>
              <w:bottom w:val="nil"/>
            </w:tcBorders>
            <w:shd w:val="clear" w:color="auto" w:fill="auto"/>
          </w:tcPr>
          <w:p w14:paraId="65376B92" w14:textId="2D7C1D35" w:rsidR="00625E2B" w:rsidRDefault="00625E2B" w:rsidP="00625E2B">
            <w:pPr>
              <w:pStyle w:val="Btablefigureunbold"/>
            </w:pPr>
            <w:r>
              <w:t>-48,827</w:t>
            </w:r>
          </w:p>
        </w:tc>
        <w:tc>
          <w:tcPr>
            <w:tcW w:w="740" w:type="pct"/>
            <w:tcBorders>
              <w:top w:val="nil"/>
              <w:bottom w:val="nil"/>
            </w:tcBorders>
            <w:shd w:val="clear" w:color="472D8C" w:fill="auto"/>
          </w:tcPr>
          <w:p w14:paraId="1A26BD66" w14:textId="7E911CF2" w:rsidR="00625E2B" w:rsidRPr="00111524" w:rsidRDefault="00625E2B" w:rsidP="00625E2B">
            <w:pPr>
              <w:pStyle w:val="Btablefigureunbold"/>
              <w:rPr>
                <w:color w:val="000000"/>
              </w:rPr>
            </w:pPr>
            <w:r>
              <w:rPr>
                <w:color w:val="000000"/>
              </w:rPr>
              <w:t>-25,127</w:t>
            </w:r>
          </w:p>
        </w:tc>
        <w:tc>
          <w:tcPr>
            <w:tcW w:w="740" w:type="pct"/>
            <w:tcBorders>
              <w:top w:val="nil"/>
              <w:bottom w:val="nil"/>
            </w:tcBorders>
            <w:shd w:val="clear" w:color="auto" w:fill="auto"/>
          </w:tcPr>
          <w:p w14:paraId="5B3CA11C" w14:textId="2FB5D726" w:rsidR="00625E2B" w:rsidRPr="00EC74DB" w:rsidRDefault="00625E2B" w:rsidP="00625E2B">
            <w:pPr>
              <w:pStyle w:val="Btablefigureunbold"/>
            </w:pPr>
            <w:r>
              <w:t>-7,549</w:t>
            </w:r>
          </w:p>
        </w:tc>
      </w:tr>
      <w:tr w:rsidR="00625E2B" w:rsidRPr="00337DC9" w14:paraId="1EDFADF6" w14:textId="77777777" w:rsidTr="00494C26">
        <w:trPr>
          <w:trHeight w:val="270"/>
        </w:trPr>
        <w:tc>
          <w:tcPr>
            <w:tcW w:w="2780" w:type="pct"/>
            <w:tcBorders>
              <w:top w:val="nil"/>
              <w:bottom w:val="nil"/>
            </w:tcBorders>
          </w:tcPr>
          <w:p w14:paraId="2BBBDC4B" w14:textId="77777777" w:rsidR="00625E2B" w:rsidRDefault="00625E2B" w:rsidP="00625E2B">
            <w:pPr>
              <w:pStyle w:val="Btabletextunbold"/>
              <w:ind w:left="0" w:firstLine="0"/>
            </w:pPr>
            <w:r>
              <w:t>Interest expenses</w:t>
            </w:r>
          </w:p>
        </w:tc>
        <w:tc>
          <w:tcPr>
            <w:tcW w:w="740" w:type="pct"/>
            <w:tcBorders>
              <w:top w:val="nil"/>
              <w:bottom w:val="nil"/>
            </w:tcBorders>
            <w:shd w:val="clear" w:color="auto" w:fill="auto"/>
            <w:vAlign w:val="center"/>
          </w:tcPr>
          <w:p w14:paraId="60FEE0B1" w14:textId="4F38C2CB" w:rsidR="00625E2B" w:rsidRPr="007F5B3E" w:rsidRDefault="00625E2B" w:rsidP="00625E2B">
            <w:pPr>
              <w:pStyle w:val="Btablefigureunbold"/>
            </w:pPr>
            <w:r w:rsidRPr="00C315CA">
              <w:t>-5,509</w:t>
            </w:r>
          </w:p>
        </w:tc>
        <w:tc>
          <w:tcPr>
            <w:tcW w:w="740" w:type="pct"/>
            <w:tcBorders>
              <w:top w:val="nil"/>
              <w:bottom w:val="nil"/>
            </w:tcBorders>
            <w:shd w:val="clear" w:color="472D8C" w:fill="auto"/>
            <w:vAlign w:val="center"/>
          </w:tcPr>
          <w:p w14:paraId="2CFED007" w14:textId="4270064C" w:rsidR="00625E2B" w:rsidRPr="00C315CA" w:rsidRDefault="00625E2B" w:rsidP="00625E2B">
            <w:pPr>
              <w:pStyle w:val="Btablefigureunbold"/>
            </w:pPr>
            <w:r w:rsidRPr="00C315CA">
              <w:t>-18,393</w:t>
            </w:r>
          </w:p>
        </w:tc>
        <w:tc>
          <w:tcPr>
            <w:tcW w:w="740" w:type="pct"/>
            <w:tcBorders>
              <w:top w:val="nil"/>
              <w:bottom w:val="nil"/>
            </w:tcBorders>
            <w:shd w:val="clear" w:color="auto" w:fill="auto"/>
            <w:vAlign w:val="center"/>
          </w:tcPr>
          <w:p w14:paraId="467F5B55" w14:textId="649C299A" w:rsidR="00625E2B" w:rsidRPr="007F5B3E" w:rsidRDefault="00625E2B" w:rsidP="00625E2B">
            <w:pPr>
              <w:pStyle w:val="Btablefigureunbold"/>
            </w:pPr>
            <w:r w:rsidRPr="00C315CA">
              <w:t>-30,099</w:t>
            </w:r>
          </w:p>
        </w:tc>
      </w:tr>
      <w:tr w:rsidR="00625E2B" w:rsidRPr="00337DC9" w14:paraId="0A6A61EC" w14:textId="77777777" w:rsidTr="00494C26">
        <w:trPr>
          <w:trHeight w:val="270"/>
        </w:trPr>
        <w:tc>
          <w:tcPr>
            <w:tcW w:w="2780" w:type="pct"/>
            <w:tcBorders>
              <w:top w:val="nil"/>
              <w:bottom w:val="nil"/>
            </w:tcBorders>
          </w:tcPr>
          <w:p w14:paraId="4ACDA5AD" w14:textId="30FEE126" w:rsidR="00625E2B" w:rsidRDefault="00625E2B" w:rsidP="00625E2B">
            <w:pPr>
              <w:pStyle w:val="Btabletextunbold"/>
            </w:pPr>
            <w:r>
              <w:t>Other parameter and technical adjustments</w:t>
            </w:r>
          </w:p>
        </w:tc>
        <w:tc>
          <w:tcPr>
            <w:tcW w:w="740" w:type="pct"/>
            <w:tcBorders>
              <w:top w:val="nil"/>
              <w:bottom w:val="nil"/>
            </w:tcBorders>
            <w:shd w:val="clear" w:color="auto" w:fill="auto"/>
            <w:vAlign w:val="center"/>
          </w:tcPr>
          <w:p w14:paraId="4E59AACC" w14:textId="2FDF114F" w:rsidR="00625E2B" w:rsidRPr="00CE2772" w:rsidRDefault="00625E2B" w:rsidP="00625E2B">
            <w:pPr>
              <w:pStyle w:val="Btablefigureunbold"/>
            </w:pPr>
            <w:r>
              <w:rPr>
                <w:rFonts w:cs="Calibri"/>
                <w:color w:val="000000"/>
                <w:szCs w:val="20"/>
              </w:rPr>
              <w:t>52,518</w:t>
            </w:r>
          </w:p>
        </w:tc>
        <w:tc>
          <w:tcPr>
            <w:tcW w:w="740" w:type="pct"/>
            <w:tcBorders>
              <w:top w:val="nil"/>
              <w:bottom w:val="nil"/>
            </w:tcBorders>
            <w:shd w:val="clear" w:color="472D8C" w:fill="auto"/>
            <w:vAlign w:val="center"/>
          </w:tcPr>
          <w:p w14:paraId="60FA42DA" w14:textId="0FB1A26A" w:rsidR="00625E2B" w:rsidRPr="00C315CA" w:rsidRDefault="00625E2B" w:rsidP="00625E2B">
            <w:pPr>
              <w:pStyle w:val="Btablefigureunbold"/>
            </w:pPr>
            <w:r>
              <w:rPr>
                <w:rFonts w:cs="Calibri"/>
                <w:color w:val="000000"/>
                <w:szCs w:val="20"/>
              </w:rPr>
              <w:t>-38,895</w:t>
            </w:r>
          </w:p>
        </w:tc>
        <w:tc>
          <w:tcPr>
            <w:tcW w:w="740" w:type="pct"/>
            <w:tcBorders>
              <w:top w:val="nil"/>
              <w:bottom w:val="nil"/>
            </w:tcBorders>
            <w:shd w:val="clear" w:color="auto" w:fill="auto"/>
            <w:vAlign w:val="center"/>
          </w:tcPr>
          <w:p w14:paraId="7BE390DD" w14:textId="09405727" w:rsidR="00625E2B" w:rsidRPr="007F5B3E" w:rsidRDefault="00625E2B" w:rsidP="00625E2B">
            <w:pPr>
              <w:pStyle w:val="Btablefigureunbold"/>
            </w:pPr>
            <w:r>
              <w:rPr>
                <w:rFonts w:cs="Calibri"/>
                <w:color w:val="000000"/>
                <w:szCs w:val="20"/>
              </w:rPr>
              <w:t>16,319</w:t>
            </w:r>
          </w:p>
        </w:tc>
      </w:tr>
      <w:tr w:rsidR="00625E2B" w:rsidRPr="00337DC9" w14:paraId="336331E9" w14:textId="77777777" w:rsidTr="00A60D4B">
        <w:trPr>
          <w:trHeight w:val="270"/>
        </w:trPr>
        <w:tc>
          <w:tcPr>
            <w:tcW w:w="2780" w:type="pct"/>
            <w:tcBorders>
              <w:top w:val="single" w:sz="4" w:space="0" w:color="auto"/>
              <w:bottom w:val="single" w:sz="4" w:space="0" w:color="auto"/>
            </w:tcBorders>
          </w:tcPr>
          <w:p w14:paraId="7D12DE26" w14:textId="2C05FFD3" w:rsidR="00625E2B" w:rsidRPr="00EA689F" w:rsidRDefault="00625E2B" w:rsidP="00625E2B">
            <w:pPr>
              <w:pStyle w:val="Btabletextbold"/>
              <w:rPr>
                <w:color w:val="472D8C"/>
              </w:rPr>
            </w:pPr>
            <w:r w:rsidRPr="00EA689F">
              <w:rPr>
                <w:color w:val="472D8C"/>
              </w:rPr>
              <w:t>Total expenses – Technical adjustments</w:t>
            </w:r>
          </w:p>
        </w:tc>
        <w:tc>
          <w:tcPr>
            <w:tcW w:w="740" w:type="pct"/>
            <w:tcBorders>
              <w:top w:val="single" w:sz="4" w:space="0" w:color="auto"/>
              <w:bottom w:val="single" w:sz="4" w:space="0" w:color="auto"/>
            </w:tcBorders>
            <w:shd w:val="clear" w:color="auto" w:fill="auto"/>
            <w:vAlign w:val="center"/>
          </w:tcPr>
          <w:p w14:paraId="57E143A0" w14:textId="026DB0EA" w:rsidR="00625E2B" w:rsidRPr="00EA689F" w:rsidRDefault="00625E2B" w:rsidP="00625E2B">
            <w:pPr>
              <w:pStyle w:val="BTablefigureBold"/>
              <w:rPr>
                <w:color w:val="472D8C"/>
              </w:rPr>
            </w:pPr>
            <w:r w:rsidRPr="00625E2B">
              <w:rPr>
                <w:color w:val="472D8C"/>
              </w:rPr>
              <w:t>-166,086</w:t>
            </w:r>
          </w:p>
        </w:tc>
        <w:tc>
          <w:tcPr>
            <w:tcW w:w="740" w:type="pct"/>
            <w:tcBorders>
              <w:top w:val="single" w:sz="4" w:space="0" w:color="auto"/>
              <w:bottom w:val="single" w:sz="4" w:space="0" w:color="auto"/>
            </w:tcBorders>
            <w:shd w:val="clear" w:color="472D8C" w:fill="auto"/>
            <w:vAlign w:val="center"/>
          </w:tcPr>
          <w:p w14:paraId="77EC39A6" w14:textId="46056632" w:rsidR="00625E2B" w:rsidRPr="00EA689F" w:rsidRDefault="00625E2B" w:rsidP="00625E2B">
            <w:pPr>
              <w:pStyle w:val="BTablefigureBold"/>
              <w:rPr>
                <w:color w:val="472D8C"/>
              </w:rPr>
            </w:pPr>
            <w:r w:rsidRPr="00625E2B">
              <w:rPr>
                <w:color w:val="472D8C"/>
              </w:rPr>
              <w:t>-132,107</w:t>
            </w:r>
          </w:p>
        </w:tc>
        <w:tc>
          <w:tcPr>
            <w:tcW w:w="740" w:type="pct"/>
            <w:tcBorders>
              <w:top w:val="single" w:sz="4" w:space="0" w:color="auto"/>
              <w:bottom w:val="single" w:sz="4" w:space="0" w:color="auto"/>
            </w:tcBorders>
            <w:shd w:val="clear" w:color="auto" w:fill="auto"/>
            <w:vAlign w:val="center"/>
          </w:tcPr>
          <w:p w14:paraId="3C6C7E0E" w14:textId="060F116B" w:rsidR="00625E2B" w:rsidRPr="00EA689F" w:rsidRDefault="00625E2B" w:rsidP="00625E2B">
            <w:pPr>
              <w:pStyle w:val="BTablefigureBold"/>
              <w:rPr>
                <w:color w:val="472D8C"/>
              </w:rPr>
            </w:pPr>
            <w:r w:rsidRPr="00625E2B">
              <w:rPr>
                <w:color w:val="472D8C"/>
              </w:rPr>
              <w:t>-67,598</w:t>
            </w:r>
          </w:p>
        </w:tc>
      </w:tr>
    </w:tbl>
    <w:p w14:paraId="00045A9A" w14:textId="084F8281" w:rsidR="007B7FB3" w:rsidRDefault="007B7FB3" w:rsidP="00E238F9">
      <w:pPr>
        <w:pStyle w:val="BNoteBold"/>
      </w:pPr>
      <w:r>
        <w:t>Notes:</w:t>
      </w:r>
      <w:r w:rsidR="00E238F9">
        <w:t xml:space="preserve"> </w:t>
      </w:r>
      <w:r w:rsidRPr="00E238F9">
        <w:rPr>
          <w:b w:val="0"/>
          <w:bCs/>
        </w:rPr>
        <w:t>Numbers may not add due to rounding.</w:t>
      </w:r>
    </w:p>
    <w:p w14:paraId="4214742D" w14:textId="6CE69ECD" w:rsidR="007B7FB3" w:rsidRDefault="007B7FB3" w:rsidP="00CF0E2D">
      <w:pPr>
        <w:pStyle w:val="BNotelist"/>
        <w:numPr>
          <w:ilvl w:val="0"/>
          <w:numId w:val="8"/>
        </w:numPr>
      </w:pPr>
      <w:r>
        <w:t>A positive number represents an increase in revenue.</w:t>
      </w:r>
    </w:p>
    <w:p w14:paraId="25B9BEF6" w14:textId="77777777" w:rsidR="007B7FB3" w:rsidRDefault="007B7FB3" w:rsidP="00CF0E2D">
      <w:pPr>
        <w:pStyle w:val="BNotelist"/>
        <w:numPr>
          <w:ilvl w:val="0"/>
          <w:numId w:val="7"/>
        </w:numPr>
      </w:pPr>
      <w:r>
        <w:t>A negative number represents an increase in expenses.</w:t>
      </w:r>
    </w:p>
    <w:p w14:paraId="13989DAE" w14:textId="65B9DFEC" w:rsidR="00AC737C" w:rsidRDefault="00AC737C" w:rsidP="00AC737C">
      <w:pPr>
        <w:pStyle w:val="Heading4"/>
      </w:pPr>
      <w:r>
        <w:t>Revenue and Expense</w:t>
      </w:r>
    </w:p>
    <w:p w14:paraId="3586202E" w14:textId="31B8BB65" w:rsidR="00CE0D7B" w:rsidRDefault="00CD7B52" w:rsidP="00656C23">
      <w:pPr>
        <w:pStyle w:val="Bbodytext"/>
      </w:pPr>
      <w:r>
        <w:t xml:space="preserve">Despite </w:t>
      </w:r>
      <w:r w:rsidR="006F2019">
        <w:t>the Delta outbreak and the reimposition of lockdown restrictions, t</w:t>
      </w:r>
      <w:r w:rsidRPr="0068613F">
        <w:t xml:space="preserve">otal </w:t>
      </w:r>
      <w:r w:rsidR="00656C23" w:rsidRPr="0068613F">
        <w:t xml:space="preserve">revenue is expected to be </w:t>
      </w:r>
      <w:r w:rsidR="00656C23" w:rsidRPr="00C315CA">
        <w:t>$</w:t>
      </w:r>
      <w:r w:rsidR="00FA2A9C" w:rsidRPr="00C315CA">
        <w:t>425</w:t>
      </w:r>
      <w:r w:rsidR="006F361B" w:rsidRPr="00C315CA">
        <w:t>.</w:t>
      </w:r>
      <w:r w:rsidR="00E43EAE" w:rsidRPr="00C315CA">
        <w:t>3</w:t>
      </w:r>
      <w:r w:rsidR="00656C23" w:rsidRPr="00C315CA">
        <w:t xml:space="preserve"> million higher </w:t>
      </w:r>
      <w:r w:rsidR="0033702A" w:rsidRPr="0068613F">
        <w:t>in 2021-22</w:t>
      </w:r>
      <w:r w:rsidR="0033702A">
        <w:t>,</w:t>
      </w:r>
      <w:r w:rsidR="0033702A" w:rsidRPr="0068613F">
        <w:t xml:space="preserve"> </w:t>
      </w:r>
      <w:r w:rsidR="00656C23" w:rsidRPr="0068613F">
        <w:t xml:space="preserve">and </w:t>
      </w:r>
      <w:r w:rsidR="00656C23" w:rsidRPr="00C315CA">
        <w:t>$</w:t>
      </w:r>
      <w:r w:rsidR="006F361B" w:rsidRPr="00C315CA">
        <w:t>772.6</w:t>
      </w:r>
      <w:r w:rsidR="00656C23" w:rsidRPr="00C315CA">
        <w:t xml:space="preserve"> million higher</w:t>
      </w:r>
      <w:r w:rsidR="0068613F" w:rsidRPr="0068613F">
        <w:t xml:space="preserve"> </w:t>
      </w:r>
      <w:r w:rsidR="00656C23" w:rsidRPr="0068613F">
        <w:t xml:space="preserve">over the </w:t>
      </w:r>
      <w:r w:rsidR="00A00F9E" w:rsidRPr="0068613F">
        <w:t>three</w:t>
      </w:r>
      <w:r w:rsidR="00656C23" w:rsidRPr="0068613F">
        <w:t xml:space="preserve"> years to 202</w:t>
      </w:r>
      <w:r w:rsidR="00A00F9E" w:rsidRPr="0068613F">
        <w:t>3</w:t>
      </w:r>
      <w:r w:rsidR="00656C23" w:rsidRPr="0068613F">
        <w:t>-2</w:t>
      </w:r>
      <w:r w:rsidR="00A00F9E" w:rsidRPr="0068613F">
        <w:t>4</w:t>
      </w:r>
      <w:r w:rsidR="0033702A">
        <w:t>,</w:t>
      </w:r>
      <w:r w:rsidR="0033702A" w:rsidRPr="0033702A">
        <w:t xml:space="preserve"> </w:t>
      </w:r>
      <w:r w:rsidR="0033702A" w:rsidRPr="00C315CA">
        <w:t>than forecast in the 2020</w:t>
      </w:r>
      <w:r w:rsidR="0033702A" w:rsidRPr="00C315CA">
        <w:noBreakHyphen/>
        <w:t>21 Budget</w:t>
      </w:r>
      <w:r w:rsidR="00656C23" w:rsidRPr="0068613F">
        <w:t>. Significant movements in forecast revenue in 202</w:t>
      </w:r>
      <w:r w:rsidR="005F547B" w:rsidRPr="0068613F">
        <w:t>1</w:t>
      </w:r>
      <w:r w:rsidR="00656C23" w:rsidRPr="0068613F">
        <w:t>-2</w:t>
      </w:r>
      <w:r w:rsidR="005F547B" w:rsidRPr="0068613F">
        <w:t>2</w:t>
      </w:r>
      <w:r w:rsidR="00656C23" w:rsidRPr="0068613F">
        <w:t xml:space="preserve"> and over</w:t>
      </w:r>
      <w:r w:rsidR="0068613F">
        <w:t xml:space="preserve"> the</w:t>
      </w:r>
      <w:r w:rsidR="00656C23" w:rsidRPr="0068613F">
        <w:t xml:space="preserve"> forward estimates include:</w:t>
      </w:r>
    </w:p>
    <w:p w14:paraId="7BCF9CE8" w14:textId="4C8C3497" w:rsidR="00795BB1" w:rsidRDefault="001317F4" w:rsidP="00795BB1">
      <w:pPr>
        <w:pStyle w:val="BBullet1"/>
      </w:pPr>
      <w:r w:rsidDel="00A56C8D">
        <w:t xml:space="preserve">an increase in </w:t>
      </w:r>
      <w:r w:rsidR="00B926EE">
        <w:t>GST revenue of $</w:t>
      </w:r>
      <w:r w:rsidR="003A106B">
        <w:t xml:space="preserve">67.1 million in </w:t>
      </w:r>
      <w:r w:rsidR="00EC6E7E">
        <w:t>2021-22</w:t>
      </w:r>
      <w:r w:rsidR="003A106B">
        <w:t xml:space="preserve"> (</w:t>
      </w:r>
      <w:r w:rsidR="00E27F32">
        <w:t xml:space="preserve">$103.3 million over </w:t>
      </w:r>
      <w:r w:rsidR="00C373BF">
        <w:t>three</w:t>
      </w:r>
      <w:r w:rsidR="00E27F32">
        <w:t xml:space="preserve"> years)</w:t>
      </w:r>
      <w:r w:rsidR="00F14E77">
        <w:t xml:space="preserve"> </w:t>
      </w:r>
      <w:r w:rsidR="00505338">
        <w:t xml:space="preserve">due to </w:t>
      </w:r>
      <w:r w:rsidR="005F7E36">
        <w:t xml:space="preserve">stronger national consumption </w:t>
      </w:r>
      <w:r w:rsidR="00CC3B43">
        <w:t>driving growth in the GST pool</w:t>
      </w:r>
      <w:r w:rsidR="00A621BD">
        <w:t xml:space="preserve">, although the </w:t>
      </w:r>
      <w:r w:rsidR="00805147">
        <w:t>increase is more subdued than expected at the time of the Commonwealth 2021-22 Budget</w:t>
      </w:r>
      <w:r w:rsidR="00EA52DC">
        <w:t xml:space="preserve"> as a result of the lockdowns across the east coast of Australia</w:t>
      </w:r>
      <w:r w:rsidR="00CC3B43">
        <w:t>;</w:t>
      </w:r>
    </w:p>
    <w:p w14:paraId="699616DF" w14:textId="496EE811" w:rsidR="009C49CB" w:rsidRDefault="0048347F">
      <w:pPr>
        <w:pStyle w:val="BBullet1"/>
      </w:pPr>
      <w:r>
        <w:t>a</w:t>
      </w:r>
      <w:r w:rsidR="00E9319C">
        <w:t>n</w:t>
      </w:r>
      <w:r>
        <w:t xml:space="preserve"> increase in other Commonwealth grants of $138.9 million </w:t>
      </w:r>
      <w:r w:rsidR="003B07A5">
        <w:t xml:space="preserve">in 2021-22 </w:t>
      </w:r>
      <w:r>
        <w:t>($338.9</w:t>
      </w:r>
      <w:r w:rsidR="00C0151B">
        <w:t> </w:t>
      </w:r>
      <w:r>
        <w:t xml:space="preserve">million over three years) primarily due to </w:t>
      </w:r>
      <w:r w:rsidR="00EA52DC">
        <w:t xml:space="preserve">the Commonwealth’s contribution to </w:t>
      </w:r>
      <w:r>
        <w:t xml:space="preserve">COVID-19 </w:t>
      </w:r>
      <w:r w:rsidR="000B7091">
        <w:t xml:space="preserve">business </w:t>
      </w:r>
      <w:r>
        <w:t xml:space="preserve">support </w:t>
      </w:r>
      <w:r w:rsidR="000B7091">
        <w:t>grants</w:t>
      </w:r>
      <w:r w:rsidR="00BD521D">
        <w:t xml:space="preserve">, </w:t>
      </w:r>
      <w:r w:rsidR="000B7091">
        <w:t xml:space="preserve">continuing payments under the </w:t>
      </w:r>
      <w:r w:rsidR="003C44EE">
        <w:t>HomeBuilder</w:t>
      </w:r>
      <w:r w:rsidR="005876E5">
        <w:t xml:space="preserve"> </w:t>
      </w:r>
      <w:r w:rsidR="003D1D2F">
        <w:t xml:space="preserve">scheme </w:t>
      </w:r>
      <w:r w:rsidR="009D710D">
        <w:t>(</w:t>
      </w:r>
      <w:r w:rsidR="003D1D2F">
        <w:t xml:space="preserve">which </w:t>
      </w:r>
      <w:r w:rsidR="00116BD6">
        <w:t xml:space="preserve">registration </w:t>
      </w:r>
      <w:r w:rsidR="00F9010D">
        <w:t xml:space="preserve">closed to applicants on </w:t>
      </w:r>
      <w:r w:rsidR="00847C13">
        <w:t>14 April 2021</w:t>
      </w:r>
      <w:r w:rsidR="009D710D">
        <w:t>)</w:t>
      </w:r>
      <w:r w:rsidR="00635926">
        <w:t xml:space="preserve"> </w:t>
      </w:r>
      <w:r w:rsidR="005876E5">
        <w:t>and additional infrastructure funding for Light Rail Stage 2A</w:t>
      </w:r>
      <w:r w:rsidR="00D4200A">
        <w:t xml:space="preserve"> and the duplication of William Hovell Drive</w:t>
      </w:r>
      <w:r w:rsidR="00E9319C">
        <w:t xml:space="preserve">; </w:t>
      </w:r>
    </w:p>
    <w:p w14:paraId="6BE88EDC" w14:textId="14D8B25B" w:rsidR="00086A3F" w:rsidRPr="00C315CA" w:rsidRDefault="00A56C8D" w:rsidP="00C315CA">
      <w:pPr>
        <w:pStyle w:val="BBullet1"/>
      </w:pPr>
      <w:r>
        <w:t>an increase in dividends and income tax equivalent</w:t>
      </w:r>
      <w:r w:rsidR="007F4289">
        <w:t>s</w:t>
      </w:r>
      <w:r>
        <w:t xml:space="preserve"> of $65.4 million</w:t>
      </w:r>
      <w:r w:rsidR="007F4289">
        <w:t xml:space="preserve"> in 2021-22</w:t>
      </w:r>
      <w:r>
        <w:t xml:space="preserve"> ($68.8</w:t>
      </w:r>
      <w:r w:rsidR="00395E7A">
        <w:t> </w:t>
      </w:r>
      <w:r>
        <w:t xml:space="preserve">million over three years) </w:t>
      </w:r>
      <w:r w:rsidR="00086A3F" w:rsidRPr="00C315CA">
        <w:t xml:space="preserve">largely due to the completion of major infrastructure assets being transferred to the General Government Sector in 2021-22 and steady </w:t>
      </w:r>
      <w:r w:rsidR="00A73B67">
        <w:t xml:space="preserve">land </w:t>
      </w:r>
      <w:r w:rsidR="00086A3F" w:rsidRPr="00C315CA">
        <w:t>sales activity across the forward estimates, partially offset by lower returns from ICON</w:t>
      </w:r>
      <w:r w:rsidR="00086A3F">
        <w:t xml:space="preserve"> Water;</w:t>
      </w:r>
    </w:p>
    <w:p w14:paraId="67A58710" w14:textId="7C16F81A" w:rsidR="00B06831" w:rsidRDefault="00B06831" w:rsidP="00C53956">
      <w:pPr>
        <w:pStyle w:val="BBullet1"/>
        <w:keepNext/>
        <w:keepLines/>
        <w:ind w:left="357" w:hanging="357"/>
      </w:pPr>
      <w:r>
        <w:lastRenderedPageBreak/>
        <w:t>an increase in</w:t>
      </w:r>
      <w:r w:rsidR="006131FC">
        <w:t xml:space="preserve"> ow</w:t>
      </w:r>
      <w:r w:rsidR="29AF11BC">
        <w:t>n</w:t>
      </w:r>
      <w:r w:rsidR="006131FC">
        <w:t>-source</w:t>
      </w:r>
      <w:r>
        <w:t xml:space="preserve"> taxation revenue</w:t>
      </w:r>
      <w:r w:rsidR="00AD4C72">
        <w:t xml:space="preserve"> of $59.9 million in 2021-22 (</w:t>
      </w:r>
      <w:r w:rsidR="00AD3E6D">
        <w:t xml:space="preserve">$150.5 million over </w:t>
      </w:r>
      <w:r w:rsidR="004E5370">
        <w:t>three</w:t>
      </w:r>
      <w:r w:rsidR="00AD3E6D">
        <w:t xml:space="preserve"> years)</w:t>
      </w:r>
      <w:r>
        <w:t xml:space="preserve"> largely </w:t>
      </w:r>
      <w:r w:rsidR="008B10FA">
        <w:t xml:space="preserve">attributable to increases in </w:t>
      </w:r>
      <w:r>
        <w:t>revenue from residential conveyance duty, commercial conveyance duty</w:t>
      </w:r>
      <w:r w:rsidR="00B601D2">
        <w:t xml:space="preserve"> and</w:t>
      </w:r>
      <w:r>
        <w:t xml:space="preserve"> land tax</w:t>
      </w:r>
      <w:r w:rsidR="008B10FA">
        <w:t xml:space="preserve"> as a result of property market conditions</w:t>
      </w:r>
      <w:r w:rsidR="00B601D2">
        <w:t>. These increases are</w:t>
      </w:r>
      <w:r w:rsidDel="00B601D2">
        <w:t xml:space="preserve"> </w:t>
      </w:r>
      <w:r>
        <w:t>partially offset by downward revisions to</w:t>
      </w:r>
      <w:r w:rsidDel="00B601D2">
        <w:t xml:space="preserve"> </w:t>
      </w:r>
      <w:r>
        <w:t>general rates, payroll tax, and gambling taxes</w:t>
      </w:r>
      <w:r w:rsidR="00612239">
        <w:t>; and</w:t>
      </w:r>
    </w:p>
    <w:p w14:paraId="2EFFF5F7" w14:textId="596738A0" w:rsidR="00FB2FAE" w:rsidRDefault="00E9319C">
      <w:pPr>
        <w:pStyle w:val="BBullet1"/>
      </w:pPr>
      <w:r>
        <w:t>a</w:t>
      </w:r>
      <w:r w:rsidR="00A625B6">
        <w:t>n increase in investment income</w:t>
      </w:r>
      <w:r w:rsidR="00B601D2">
        <w:t xml:space="preserve"> of $</w:t>
      </w:r>
      <w:r w:rsidR="004E5370">
        <w:t>9.1 million in 2021-22 ($59.3 million over three years)</w:t>
      </w:r>
      <w:r w:rsidR="00A625B6">
        <w:rPr>
          <w:bdr w:val="none" w:sz="0" w:space="0" w:color="auto" w:frame="1"/>
        </w:rPr>
        <w:t xml:space="preserve"> </w:t>
      </w:r>
      <w:r w:rsidR="00CE2772">
        <w:rPr>
          <w:bdr w:val="none" w:sz="0" w:space="0" w:color="auto" w:frame="1"/>
        </w:rPr>
        <w:t xml:space="preserve">reflecting </w:t>
      </w:r>
      <w:r w:rsidR="00C17DB7">
        <w:rPr>
          <w:bdr w:val="none" w:sz="0" w:space="0" w:color="auto" w:frame="1"/>
        </w:rPr>
        <w:t>revised cash and investment balances</w:t>
      </w:r>
      <w:r>
        <w:rPr>
          <w:bdr w:val="none" w:sz="0" w:space="0" w:color="auto" w:frame="1"/>
        </w:rPr>
        <w:t>.</w:t>
      </w:r>
    </w:p>
    <w:p w14:paraId="75389DE2" w14:textId="67F448BC" w:rsidR="00965A5F" w:rsidRDefault="00965A5F" w:rsidP="00965A5F">
      <w:pPr>
        <w:pStyle w:val="Bbodytext"/>
      </w:pPr>
      <w:r w:rsidRPr="00AC188F">
        <w:t xml:space="preserve">Total expenses in 2021-22 are expected to be </w:t>
      </w:r>
      <w:r w:rsidRPr="00C315CA">
        <w:t>$</w:t>
      </w:r>
      <w:r w:rsidR="003F77D7" w:rsidRPr="00C315CA">
        <w:t>925.6</w:t>
      </w:r>
      <w:r w:rsidRPr="00C315CA">
        <w:t xml:space="preserve"> million higher than forecast in the 2020-21 Budget</w:t>
      </w:r>
      <w:r w:rsidRPr="00AC188F">
        <w:t xml:space="preserve"> and </w:t>
      </w:r>
      <w:r w:rsidRPr="00C315CA">
        <w:t>$</w:t>
      </w:r>
      <w:r w:rsidR="007D7438" w:rsidRPr="00C315CA">
        <w:t>1</w:t>
      </w:r>
      <w:r w:rsidR="00414168" w:rsidRPr="00C315CA">
        <w:t>,</w:t>
      </w:r>
      <w:r w:rsidR="007D7438" w:rsidRPr="00C315CA">
        <w:t>647.3</w:t>
      </w:r>
      <w:r w:rsidRPr="00C315CA">
        <w:t xml:space="preserve"> million higher</w:t>
      </w:r>
      <w:r w:rsidRPr="00AC188F">
        <w:t xml:space="preserve"> over the </w:t>
      </w:r>
      <w:r w:rsidR="00877D7A" w:rsidRPr="00AC188F">
        <w:t>three</w:t>
      </w:r>
      <w:r w:rsidRPr="00AC188F">
        <w:t xml:space="preserve"> years to </w:t>
      </w:r>
      <w:r w:rsidR="00877D7A" w:rsidRPr="00AC188F">
        <w:t>2023-24</w:t>
      </w:r>
      <w:r w:rsidRPr="00AC188F">
        <w:t xml:space="preserve">. Significant movements in </w:t>
      </w:r>
      <w:r w:rsidRPr="00C315CA">
        <w:t xml:space="preserve">forecast </w:t>
      </w:r>
      <w:r w:rsidRPr="00AC188F">
        <w:t>exp</w:t>
      </w:r>
      <w:r>
        <w:t>enses</w:t>
      </w:r>
      <w:r w:rsidRPr="00656C23">
        <w:t xml:space="preserve"> in 202</w:t>
      </w:r>
      <w:r w:rsidR="005F547B">
        <w:t>1</w:t>
      </w:r>
      <w:r w:rsidRPr="00656C23">
        <w:t>-2</w:t>
      </w:r>
      <w:r w:rsidR="005F547B">
        <w:t>2</w:t>
      </w:r>
      <w:r w:rsidRPr="00656C23">
        <w:t xml:space="preserve"> and over</w:t>
      </w:r>
      <w:r w:rsidR="00AC188F">
        <w:t xml:space="preserve"> the</w:t>
      </w:r>
      <w:r w:rsidRPr="00656C23">
        <w:t xml:space="preserve"> forward estimates include:</w:t>
      </w:r>
    </w:p>
    <w:p w14:paraId="743AD4DE" w14:textId="1F15D037" w:rsidR="00625E2B" w:rsidRDefault="00625E2B" w:rsidP="00625E2B">
      <w:pPr>
        <w:pStyle w:val="BBullet1"/>
      </w:pPr>
      <w:r>
        <w:t xml:space="preserve">additional funding of $759.6 million for new initiatives in 2021-22 ($1,281.6 million over three years). </w:t>
      </w:r>
      <w:r w:rsidR="00CB6F93">
        <w:t xml:space="preserve">This includes expenses associated with Commonwealth grants. </w:t>
      </w:r>
      <w:r>
        <w:t xml:space="preserve">Further information on these initiatives can be found in Fiscal Strategy and </w:t>
      </w:r>
      <w:r w:rsidR="00733A78">
        <w:t>Wellbeing Initiatives</w:t>
      </w:r>
      <w:r>
        <w:t xml:space="preserve"> (Chapter 3.2).</w:t>
      </w:r>
    </w:p>
    <w:p w14:paraId="25136FC9" w14:textId="55341162" w:rsidR="00625E2B" w:rsidRDefault="00625E2B" w:rsidP="00625E2B">
      <w:pPr>
        <w:pStyle w:val="BBullet1"/>
      </w:pPr>
      <w:r>
        <w:t>revised funding profiles and rollovers of prior year funding for initiatives of $108</w:t>
      </w:r>
      <w:r w:rsidR="00CB6F93">
        <w:t>.0</w:t>
      </w:r>
      <w:r>
        <w:t> million in 2021-22 ($143.9 million over three years) mainly due to projects being delayed by COVID-19;</w:t>
      </w:r>
      <w:r w:rsidR="00CB6F93">
        <w:t xml:space="preserve"> and</w:t>
      </w:r>
    </w:p>
    <w:p w14:paraId="21FF5BF8" w14:textId="048EE8D7" w:rsidR="00D538F4" w:rsidRDefault="00D538F4" w:rsidP="00B20ECA">
      <w:pPr>
        <w:pStyle w:val="BBullet1"/>
      </w:pPr>
      <w:r>
        <w:t xml:space="preserve">an increase in expenses of $56.2 million </w:t>
      </w:r>
      <w:r w:rsidR="00C47137">
        <w:t xml:space="preserve">in 2021-22 </w:t>
      </w:r>
      <w:r>
        <w:t xml:space="preserve">($116.3 million over three years) associated with the </w:t>
      </w:r>
      <w:r w:rsidR="00C47137">
        <w:t xml:space="preserve">liabilities of the </w:t>
      </w:r>
      <w:r>
        <w:t xml:space="preserve">Superannuation </w:t>
      </w:r>
      <w:r w:rsidR="00FF7BE5">
        <w:t>P</w:t>
      </w:r>
      <w:r>
        <w:t xml:space="preserve">rovision </w:t>
      </w:r>
      <w:r w:rsidR="00FF7BE5">
        <w:t>A</w:t>
      </w:r>
      <w:r>
        <w:t>ccount</w:t>
      </w:r>
      <w:r w:rsidDel="00C47137">
        <w:t xml:space="preserve"> </w:t>
      </w:r>
      <w:r w:rsidRPr="00E31163">
        <w:t>mainly due to the latest triennial liability valuation review and changes in the financial and demographic assumptions adopted for the defined benefit superannuation liability valuation estimates</w:t>
      </w:r>
      <w:r w:rsidR="00CB6F93">
        <w:t>.</w:t>
      </w:r>
    </w:p>
    <w:p w14:paraId="7475DDD1" w14:textId="0BCF3506" w:rsidR="004C0E05" w:rsidRDefault="004C0E05" w:rsidP="000F5576">
      <w:pPr>
        <w:pStyle w:val="Heading4"/>
      </w:pPr>
      <w:r>
        <w:t>Infrastructure</w:t>
      </w:r>
    </w:p>
    <w:p w14:paraId="7D7AB618" w14:textId="26D8B8BD" w:rsidR="007670D8" w:rsidRDefault="007670D8" w:rsidP="00C53956">
      <w:pPr>
        <w:pStyle w:val="Bbodytext"/>
      </w:pPr>
      <w:r w:rsidRPr="00A62771">
        <w:t>The ACT Infrastructure Investment Program</w:t>
      </w:r>
      <w:r>
        <w:t xml:space="preserve"> (IIP) </w:t>
      </w:r>
      <w:r w:rsidRPr="00A62771">
        <w:t>includes $5.0 billion of investment in the General Government Sector (GGS) and $1.4 billion of investment by Public Trading Enterprises (PTEs)</w:t>
      </w:r>
      <w:r>
        <w:t xml:space="preserve"> over the next five years.</w:t>
      </w:r>
    </w:p>
    <w:p w14:paraId="67A8B4E5" w14:textId="77777777" w:rsidR="007670D8" w:rsidRPr="00A62771" w:rsidRDefault="007670D8" w:rsidP="00C53956">
      <w:pPr>
        <w:pStyle w:val="Bbodytext"/>
      </w:pPr>
      <w:r>
        <w:t xml:space="preserve">This is our largest ever program with </w:t>
      </w:r>
      <w:r w:rsidRPr="00A62771">
        <w:t>a record $1.3 billion in 2021-22 and $6.4 billion over the five years to 2025-26.</w:t>
      </w:r>
    </w:p>
    <w:p w14:paraId="26609C43" w14:textId="7AA85B2D" w:rsidR="007670D8" w:rsidRDefault="007670D8" w:rsidP="0070256A">
      <w:pPr>
        <w:pStyle w:val="Bbodytext"/>
      </w:pPr>
      <w:r w:rsidRPr="00AB7FE9">
        <w:rPr>
          <w:b/>
          <w:bCs/>
          <w:szCs w:val="24"/>
        </w:rPr>
        <w:t>Our capital investment priorities continue to be health, education, public transport, public housing, sustainable energy and urban renewal.</w:t>
      </w:r>
      <w:r>
        <w:rPr>
          <w:b/>
          <w:bCs/>
          <w:szCs w:val="24"/>
        </w:rPr>
        <w:t xml:space="preserve"> </w:t>
      </w:r>
    </w:p>
    <w:p w14:paraId="6101860A" w14:textId="577FE783" w:rsidR="003A1AD4" w:rsidRDefault="007670D8" w:rsidP="0070256A">
      <w:pPr>
        <w:pStyle w:val="Bbodytext"/>
      </w:pPr>
      <w:r>
        <w:t xml:space="preserve">New </w:t>
      </w:r>
      <w:r w:rsidR="004C0E05">
        <w:t xml:space="preserve">infrastructure projects </w:t>
      </w:r>
      <w:r w:rsidR="00A9697C">
        <w:t xml:space="preserve">contained </w:t>
      </w:r>
      <w:r w:rsidR="00237485">
        <w:t>in the 2021-22 Budget include</w:t>
      </w:r>
      <w:r w:rsidR="00A768C1">
        <w:t xml:space="preserve"> new and expanded s</w:t>
      </w:r>
      <w:r w:rsidR="00EF453B">
        <w:t>chools</w:t>
      </w:r>
      <w:r w:rsidR="003350DC">
        <w:t xml:space="preserve"> and</w:t>
      </w:r>
      <w:r w:rsidR="00CD247B">
        <w:t xml:space="preserve"> funding for </w:t>
      </w:r>
      <w:r w:rsidR="00375330">
        <w:t>maintenance and infrastructure upgrades</w:t>
      </w:r>
      <w:r w:rsidR="00CD247B" w:rsidRPr="00CD247B">
        <w:t xml:space="preserve"> </w:t>
      </w:r>
      <w:r w:rsidR="00CD247B">
        <w:t>of our education assets</w:t>
      </w:r>
      <w:r w:rsidR="003350DC">
        <w:t xml:space="preserve">. </w:t>
      </w:r>
      <w:r w:rsidR="00090B80">
        <w:t xml:space="preserve">A new carpark will be constructed at </w:t>
      </w:r>
      <w:r w:rsidR="00601E5F">
        <w:t>Canberra Hospital</w:t>
      </w:r>
      <w:r w:rsidR="00EF325E">
        <w:t xml:space="preserve">, while </w:t>
      </w:r>
      <w:r w:rsidR="00C103A5">
        <w:t>a range of infrastru</w:t>
      </w:r>
      <w:r w:rsidR="009D2F85">
        <w:t xml:space="preserve">cture </w:t>
      </w:r>
      <w:r w:rsidR="00311620">
        <w:t xml:space="preserve">upgrades </w:t>
      </w:r>
      <w:r w:rsidR="00C40B49">
        <w:t>at Calvary Public Hospital Bruce</w:t>
      </w:r>
      <w:r w:rsidR="007C10A9">
        <w:t xml:space="preserve"> will assist service delivery in these cr</w:t>
      </w:r>
      <w:r w:rsidR="00897D7A">
        <w:t>itical t</w:t>
      </w:r>
      <w:r w:rsidR="00EB72EB">
        <w:t>imes</w:t>
      </w:r>
      <w:r w:rsidR="00C40B49">
        <w:t>.</w:t>
      </w:r>
      <w:r w:rsidR="00557B3B">
        <w:t xml:space="preserve"> Funding is also included for </w:t>
      </w:r>
      <w:r w:rsidR="008B208E">
        <w:t xml:space="preserve">the continuation of planning and design work for </w:t>
      </w:r>
      <w:r w:rsidR="004421DC">
        <w:t>future hospital infrastructure in Canberra’s north.</w:t>
      </w:r>
    </w:p>
    <w:p w14:paraId="57BAB4B7" w14:textId="60E16155" w:rsidR="00B90E68" w:rsidRDefault="001C0B38" w:rsidP="00C53956">
      <w:pPr>
        <w:pStyle w:val="Bbodytext"/>
        <w:keepNext/>
        <w:keepLines/>
      </w:pPr>
      <w:r>
        <w:lastRenderedPageBreak/>
        <w:t>A</w:t>
      </w:r>
      <w:r w:rsidRPr="00BC3575">
        <w:t xml:space="preserve"> city-</w:t>
      </w:r>
      <w:r w:rsidRPr="00BC3575">
        <w:rPr>
          <w:szCs w:val="24"/>
        </w:rPr>
        <w:t>wide package of active travel projects</w:t>
      </w:r>
      <w:r w:rsidR="007670D8">
        <w:rPr>
          <w:szCs w:val="24"/>
        </w:rPr>
        <w:t xml:space="preserve"> to support our connected and sustainable city</w:t>
      </w:r>
      <w:r w:rsidRPr="00BC3575">
        <w:rPr>
          <w:szCs w:val="24"/>
        </w:rPr>
        <w:t xml:space="preserve"> </w:t>
      </w:r>
      <w:r w:rsidR="007670D8">
        <w:rPr>
          <w:szCs w:val="24"/>
        </w:rPr>
        <w:t xml:space="preserve">with </w:t>
      </w:r>
      <w:r>
        <w:rPr>
          <w:szCs w:val="24"/>
        </w:rPr>
        <w:t>increase</w:t>
      </w:r>
      <w:r w:rsidR="007670D8">
        <w:rPr>
          <w:szCs w:val="24"/>
        </w:rPr>
        <w:t>d</w:t>
      </w:r>
      <w:r>
        <w:rPr>
          <w:szCs w:val="24"/>
        </w:rPr>
        <w:t xml:space="preserve"> </w:t>
      </w:r>
      <w:r w:rsidRPr="00BC3575">
        <w:rPr>
          <w:szCs w:val="24"/>
        </w:rPr>
        <w:t>opportunities for walking and cycling across Canberra</w:t>
      </w:r>
      <w:r w:rsidR="00AF02F0">
        <w:rPr>
          <w:szCs w:val="24"/>
        </w:rPr>
        <w:t xml:space="preserve">, and road upgrades </w:t>
      </w:r>
      <w:r w:rsidR="007670D8">
        <w:rPr>
          <w:szCs w:val="24"/>
        </w:rPr>
        <w:t xml:space="preserve">that </w:t>
      </w:r>
      <w:r w:rsidR="00AF02F0">
        <w:rPr>
          <w:szCs w:val="24"/>
        </w:rPr>
        <w:t xml:space="preserve">will </w:t>
      </w:r>
      <w:r w:rsidR="00D479F8">
        <w:rPr>
          <w:szCs w:val="24"/>
        </w:rPr>
        <w:t>ease congestion</w:t>
      </w:r>
      <w:r w:rsidR="00C96DE6">
        <w:rPr>
          <w:szCs w:val="24"/>
        </w:rPr>
        <w:t xml:space="preserve"> and improve safety</w:t>
      </w:r>
      <w:r w:rsidR="00D479F8">
        <w:rPr>
          <w:szCs w:val="24"/>
        </w:rPr>
        <w:t>, particularly for</w:t>
      </w:r>
      <w:r w:rsidR="00763C3B">
        <w:rPr>
          <w:szCs w:val="24"/>
        </w:rPr>
        <w:t xml:space="preserve"> </w:t>
      </w:r>
      <w:r w:rsidR="00763C3B" w:rsidRPr="0013189D">
        <w:t xml:space="preserve">William Hovell Drive </w:t>
      </w:r>
      <w:r w:rsidR="00DA54E0">
        <w:t>(</w:t>
      </w:r>
      <w:r w:rsidR="00763C3B" w:rsidRPr="0013189D">
        <w:t>from the intersection of Drake Brockman Drive to John Gorton Drive</w:t>
      </w:r>
      <w:r w:rsidR="00DA54E0">
        <w:t xml:space="preserve">) and the Monaro </w:t>
      </w:r>
      <w:r w:rsidR="00C96DE6">
        <w:t>H</w:t>
      </w:r>
      <w:r w:rsidR="00DA54E0">
        <w:t>ighway</w:t>
      </w:r>
      <w:r w:rsidR="00763C3B">
        <w:t>.</w:t>
      </w:r>
    </w:p>
    <w:p w14:paraId="53D89B40" w14:textId="296E4CDD" w:rsidR="003350DC" w:rsidRDefault="00F92BAE" w:rsidP="0070256A">
      <w:pPr>
        <w:pStyle w:val="Bbodytext"/>
      </w:pPr>
      <w:r>
        <w:t xml:space="preserve">Various projects will support the further rollout of </w:t>
      </w:r>
      <w:r w:rsidR="00B90E68">
        <w:t xml:space="preserve">Light Rail Stage 2 – </w:t>
      </w:r>
      <w:r w:rsidR="00C45318">
        <w:t xml:space="preserve">a new public transport interchange will integrate facilities for bus and light rail services, </w:t>
      </w:r>
      <w:r w:rsidR="00A953F6">
        <w:t>planning and coordination work will</w:t>
      </w:r>
      <w:r w:rsidR="003D33E5">
        <w:t xml:space="preserve"> minimise traffic </w:t>
      </w:r>
      <w:r w:rsidR="00B20FDA">
        <w:t>disruptions during Stage 2 construction,</w:t>
      </w:r>
      <w:r w:rsidR="0068070D">
        <w:t xml:space="preserve"> and</w:t>
      </w:r>
      <w:r w:rsidR="00957D23">
        <w:t xml:space="preserve"> similarly</w:t>
      </w:r>
      <w:r w:rsidR="0068070D">
        <w:t xml:space="preserve"> </w:t>
      </w:r>
      <w:r w:rsidR="0068070D">
        <w:rPr>
          <w:rFonts w:ascii="Calibri" w:eastAsia="Times New Roman" w:hAnsi="Calibri" w:cs="Times New Roman"/>
          <w:szCs w:val="20"/>
        </w:rPr>
        <w:t xml:space="preserve">traffic lights at </w:t>
      </w:r>
      <w:r w:rsidR="0068070D" w:rsidRPr="00937A6B">
        <w:rPr>
          <w:rFonts w:ascii="Calibri" w:eastAsia="Times New Roman" w:hAnsi="Calibri" w:cs="Times New Roman"/>
          <w:szCs w:val="20"/>
        </w:rPr>
        <w:t xml:space="preserve">the roundabout of Coranderrk Street and Parkes Way </w:t>
      </w:r>
      <w:r w:rsidR="00957D23">
        <w:rPr>
          <w:rFonts w:ascii="Calibri" w:eastAsia="Times New Roman" w:hAnsi="Calibri" w:cs="Times New Roman"/>
          <w:szCs w:val="20"/>
        </w:rPr>
        <w:t>will</w:t>
      </w:r>
      <w:r w:rsidR="0068070D" w:rsidRPr="00937A6B">
        <w:rPr>
          <w:rFonts w:ascii="Calibri" w:eastAsia="Times New Roman" w:hAnsi="Calibri" w:cs="Times New Roman"/>
          <w:szCs w:val="20"/>
        </w:rPr>
        <w:t xml:space="preserve"> help improve traffic flow</w:t>
      </w:r>
      <w:r w:rsidR="0068070D">
        <w:rPr>
          <w:rFonts w:ascii="Calibri" w:eastAsia="Times New Roman" w:hAnsi="Calibri" w:cs="Times New Roman"/>
          <w:szCs w:val="20"/>
        </w:rPr>
        <w:t xml:space="preserve"> during construction</w:t>
      </w:r>
      <w:r w:rsidR="00957D23">
        <w:rPr>
          <w:rFonts w:ascii="Calibri" w:eastAsia="Times New Roman" w:hAnsi="Calibri" w:cs="Times New Roman"/>
          <w:szCs w:val="20"/>
        </w:rPr>
        <w:t>.</w:t>
      </w:r>
      <w:r w:rsidR="00B20FDA">
        <w:t xml:space="preserve"> </w:t>
      </w:r>
      <w:r w:rsidR="00E21A04">
        <w:t xml:space="preserve">Eleven local shopping centres will receive </w:t>
      </w:r>
      <w:r w:rsidR="00CF2888">
        <w:t>upgrade works</w:t>
      </w:r>
      <w:r w:rsidR="008B50B1">
        <w:t xml:space="preserve"> and six </w:t>
      </w:r>
      <w:r w:rsidR="005A6706">
        <w:t xml:space="preserve">Canberra suburbs </w:t>
      </w:r>
      <w:r w:rsidR="00D9736C">
        <w:t>will receive new or upgraded play</w:t>
      </w:r>
      <w:r w:rsidR="00281F04">
        <w:t xml:space="preserve"> spaces.</w:t>
      </w:r>
    </w:p>
    <w:p w14:paraId="3EA09046" w14:textId="27105EA6" w:rsidR="00965A5F" w:rsidRDefault="004C0E05" w:rsidP="0070256A">
      <w:pPr>
        <w:pStyle w:val="Bbodytext"/>
      </w:pPr>
      <w:r>
        <w:t>Further information on these initiatives</w:t>
      </w:r>
      <w:r w:rsidR="002F7C31">
        <w:t xml:space="preserve"> and the capital works program as a whole</w:t>
      </w:r>
      <w:r>
        <w:t xml:space="preserve"> can be found in</w:t>
      </w:r>
      <w:r w:rsidR="00505BE3">
        <w:t xml:space="preserve"> </w:t>
      </w:r>
      <w:r w:rsidR="00CD2B65">
        <w:t xml:space="preserve">Fiscal Strategy and </w:t>
      </w:r>
      <w:r w:rsidR="00EA689F">
        <w:t>Wellbeing Initiatives</w:t>
      </w:r>
      <w:r w:rsidR="00CD2B65">
        <w:t xml:space="preserve"> (Chapter 3.2)</w:t>
      </w:r>
      <w:r>
        <w:t xml:space="preserve"> </w:t>
      </w:r>
      <w:r w:rsidR="00CD2B65">
        <w:t xml:space="preserve">and </w:t>
      </w:r>
      <w:r>
        <w:t>Infrastructure and Capital (Chapter 3.7).</w:t>
      </w:r>
    </w:p>
    <w:p w14:paraId="1A9E60E7" w14:textId="77777777" w:rsidR="003217E4" w:rsidRPr="003217E4" w:rsidRDefault="003217E4" w:rsidP="003217E4">
      <w:pPr>
        <w:pStyle w:val="Heading4"/>
      </w:pPr>
      <w:r w:rsidRPr="003217E4">
        <w:t>Net Operating Cash balance</w:t>
      </w:r>
    </w:p>
    <w:p w14:paraId="48F82FE6" w14:textId="77777777" w:rsidR="003217E4" w:rsidRPr="00D478FD" w:rsidRDefault="003217E4" w:rsidP="003217E4">
      <w:pPr>
        <w:pStyle w:val="Bbodytext"/>
      </w:pPr>
      <w:r w:rsidRPr="00D60826">
        <w:t>Net Operating Cash (Table 3.1.4) is the cash counterpart to the accrual Net Operating Balance. It measures all operating cash receipts for a financial year – for example, taxes, fees and fines, and operating grants from the Commonwealth Government – less all o</w:t>
      </w:r>
      <w:r w:rsidRPr="00D478FD">
        <w:t>perating cash payments – including wages and salaries, cash superannuation payments and payments for goods and services.</w:t>
      </w:r>
    </w:p>
    <w:p w14:paraId="74525AF3" w14:textId="5F7E1EDB" w:rsidR="00B20ECA" w:rsidRDefault="003217E4" w:rsidP="003217E4">
      <w:pPr>
        <w:pStyle w:val="Bbodytext"/>
        <w:keepNext/>
        <w:keepLines/>
      </w:pPr>
      <w:r w:rsidRPr="00D478FD">
        <w:t>The revised net operating cash position for the General Government Sector in the 202</w:t>
      </w:r>
      <w:r w:rsidR="00983382" w:rsidRPr="00D478FD">
        <w:t>1</w:t>
      </w:r>
      <w:r w:rsidRPr="00D478FD">
        <w:noBreakHyphen/>
        <w:t>2</w:t>
      </w:r>
      <w:r w:rsidR="00983382" w:rsidRPr="00D478FD">
        <w:t>2</w:t>
      </w:r>
      <w:r w:rsidRPr="00D478FD">
        <w:t xml:space="preserve"> Budget is a deficit of </w:t>
      </w:r>
      <w:r w:rsidRPr="00C315CA">
        <w:t>$</w:t>
      </w:r>
      <w:r w:rsidR="00D96D9D" w:rsidRPr="00C315CA">
        <w:t>328.4</w:t>
      </w:r>
      <w:r w:rsidRPr="00C315CA">
        <w:t xml:space="preserve"> million.</w:t>
      </w:r>
      <w:r w:rsidRPr="00D6043B">
        <w:t xml:space="preserve"> This compares to the forecast </w:t>
      </w:r>
      <w:r w:rsidR="009D16A6" w:rsidRPr="00D6043B">
        <w:t>surplus</w:t>
      </w:r>
      <w:r w:rsidRPr="00D6043B">
        <w:t xml:space="preserve"> position of </w:t>
      </w:r>
      <w:r w:rsidRPr="00C315CA">
        <w:t>$</w:t>
      </w:r>
      <w:r w:rsidR="00896DE0" w:rsidRPr="00C315CA">
        <w:t>22.5</w:t>
      </w:r>
      <w:r w:rsidRPr="00C315CA">
        <w:t> million</w:t>
      </w:r>
      <w:r w:rsidRPr="00D6043B">
        <w:t xml:space="preserve"> at the time of the </w:t>
      </w:r>
      <w:r w:rsidR="00983382" w:rsidRPr="00D6043B">
        <w:t>2020-21 Budget</w:t>
      </w:r>
      <w:r w:rsidRPr="00D6043B">
        <w:t xml:space="preserve">. </w:t>
      </w:r>
      <w:r w:rsidRPr="00C315CA">
        <w:t xml:space="preserve">This decrease is associated with the </w:t>
      </w:r>
      <w:r w:rsidR="0073094B" w:rsidRPr="00C315CA">
        <w:t>increase</w:t>
      </w:r>
      <w:r w:rsidRPr="00C315CA">
        <w:t xml:space="preserve"> in the </w:t>
      </w:r>
      <w:r w:rsidR="00292A57" w:rsidRPr="00C315CA">
        <w:t xml:space="preserve">deficit </w:t>
      </w:r>
      <w:r w:rsidRPr="00C315CA">
        <w:t>HNOB position discussed above.</w:t>
      </w:r>
    </w:p>
    <w:p w14:paraId="167818A9" w14:textId="2A28A2BA" w:rsidR="003217E4" w:rsidRDefault="003217E4">
      <w:pPr>
        <w:pStyle w:val="Caption"/>
      </w:pPr>
      <w:r w:rsidRPr="00144AB5">
        <w:t xml:space="preserve">Table </w:t>
      </w:r>
      <w:r>
        <w:fldChar w:fldCharType="begin"/>
      </w:r>
      <w:r>
        <w:instrText>STYLEREF 2 \s</w:instrText>
      </w:r>
      <w:r>
        <w:fldChar w:fldCharType="separate"/>
      </w:r>
      <w:r w:rsidR="00F12A80">
        <w:rPr>
          <w:noProof/>
        </w:rPr>
        <w:t>3.1</w:t>
      </w:r>
      <w:r>
        <w:fldChar w:fldCharType="end"/>
      </w:r>
      <w:r>
        <w:t>.</w:t>
      </w:r>
      <w:r>
        <w:fldChar w:fldCharType="begin"/>
      </w:r>
      <w:r>
        <w:instrText>SEQ Table \* ARABIC \s 2</w:instrText>
      </w:r>
      <w:r>
        <w:fldChar w:fldCharType="separate"/>
      </w:r>
      <w:r w:rsidR="00F12A80">
        <w:rPr>
          <w:noProof/>
        </w:rPr>
        <w:t>4</w:t>
      </w:r>
      <w:r>
        <w:fldChar w:fldCharType="end"/>
      </w:r>
      <w:r w:rsidRPr="00DF7198">
        <w:t>: Net Operating Cash</w:t>
      </w:r>
    </w:p>
    <w:tbl>
      <w:tblPr>
        <w:tblW w:w="9072" w:type="dxa"/>
        <w:tblBorders>
          <w:top w:val="single" w:sz="4" w:space="0" w:color="auto"/>
          <w:bottom w:val="single" w:sz="4" w:space="0" w:color="auto"/>
          <w:insideH w:val="single" w:sz="4" w:space="0" w:color="auto"/>
        </w:tblBorders>
        <w:tblLayout w:type="fixed"/>
        <w:tblCellMar>
          <w:left w:w="85" w:type="dxa"/>
        </w:tblCellMar>
        <w:tblLook w:val="04A0" w:firstRow="1" w:lastRow="0" w:firstColumn="1" w:lastColumn="0" w:noHBand="0" w:noVBand="1"/>
      </w:tblPr>
      <w:tblGrid>
        <w:gridCol w:w="3261"/>
        <w:gridCol w:w="1162"/>
        <w:gridCol w:w="1162"/>
        <w:gridCol w:w="1162"/>
        <w:gridCol w:w="1162"/>
        <w:gridCol w:w="1163"/>
      </w:tblGrid>
      <w:tr w:rsidR="003217E4" w:rsidRPr="00111524" w14:paraId="53D17F5B" w14:textId="77777777" w:rsidTr="00DB3369">
        <w:trPr>
          <w:trHeight w:val="156"/>
        </w:trPr>
        <w:tc>
          <w:tcPr>
            <w:tcW w:w="3261" w:type="dxa"/>
            <w:tcBorders>
              <w:bottom w:val="single" w:sz="4" w:space="0" w:color="auto"/>
            </w:tcBorders>
            <w:shd w:val="clear" w:color="auto" w:fill="472D8C"/>
          </w:tcPr>
          <w:p w14:paraId="69E50630" w14:textId="5210A0BD" w:rsidR="003217E4" w:rsidRPr="00111524" w:rsidRDefault="003217E4" w:rsidP="00DB3369">
            <w:pPr>
              <w:rPr>
                <w:rFonts w:cs="Calibri"/>
                <w:b/>
                <w:color w:val="FFFFFF" w:themeColor="background1"/>
                <w:sz w:val="20"/>
              </w:rPr>
            </w:pPr>
            <w:r>
              <w:rPr>
                <w:rFonts w:cs="Calibri"/>
                <w:b/>
                <w:color w:val="FFFFFF" w:themeColor="background1"/>
                <w:sz w:val="20"/>
              </w:rPr>
              <w:t>General Government Sector</w:t>
            </w:r>
          </w:p>
        </w:tc>
        <w:tc>
          <w:tcPr>
            <w:tcW w:w="1162" w:type="dxa"/>
            <w:tcBorders>
              <w:bottom w:val="single" w:sz="4" w:space="0" w:color="auto"/>
            </w:tcBorders>
            <w:shd w:val="clear" w:color="auto" w:fill="472D8C"/>
          </w:tcPr>
          <w:p w14:paraId="122B43FF" w14:textId="61A5E999" w:rsidR="003217E4" w:rsidRPr="00111524" w:rsidRDefault="003217E4" w:rsidP="00DB3369">
            <w:pPr>
              <w:pStyle w:val="BTableHeadingRowRightAligned"/>
              <w:rPr>
                <w:color w:val="FFFFFF" w:themeColor="background1"/>
              </w:rPr>
            </w:pPr>
            <w:r w:rsidRPr="00111524">
              <w:rPr>
                <w:color w:val="FFFFFF" w:themeColor="background1"/>
              </w:rPr>
              <w:t>2020-21</w:t>
            </w:r>
            <w:r>
              <w:rPr>
                <w:color w:val="FFFFFF" w:themeColor="background1"/>
              </w:rPr>
              <w:br/>
              <w:t>$m</w:t>
            </w:r>
          </w:p>
        </w:tc>
        <w:tc>
          <w:tcPr>
            <w:tcW w:w="1162" w:type="dxa"/>
            <w:tcBorders>
              <w:bottom w:val="single" w:sz="4" w:space="0" w:color="auto"/>
            </w:tcBorders>
            <w:shd w:val="clear" w:color="auto" w:fill="472D8C"/>
          </w:tcPr>
          <w:p w14:paraId="20DC37F9" w14:textId="48BAFCB4" w:rsidR="003217E4" w:rsidRPr="00111524" w:rsidRDefault="003217E4" w:rsidP="00DB3369">
            <w:pPr>
              <w:pStyle w:val="BTableHeadingRowRightAligned"/>
              <w:rPr>
                <w:color w:val="FFFFFF" w:themeColor="background1"/>
              </w:rPr>
            </w:pPr>
            <w:r>
              <w:rPr>
                <w:color w:val="FFFFFF" w:themeColor="background1"/>
              </w:rPr>
              <w:t xml:space="preserve">2021-22 </w:t>
            </w:r>
            <w:r>
              <w:rPr>
                <w:color w:val="FFFFFF" w:themeColor="background1"/>
              </w:rPr>
              <w:br/>
              <w:t>$m</w:t>
            </w:r>
          </w:p>
        </w:tc>
        <w:tc>
          <w:tcPr>
            <w:tcW w:w="1162" w:type="dxa"/>
            <w:tcBorders>
              <w:bottom w:val="single" w:sz="4" w:space="0" w:color="auto"/>
            </w:tcBorders>
            <w:shd w:val="clear" w:color="auto" w:fill="472D8C"/>
          </w:tcPr>
          <w:p w14:paraId="3B5C16FC" w14:textId="0E1CBC34" w:rsidR="003217E4" w:rsidRPr="00111524" w:rsidRDefault="003217E4" w:rsidP="00DB3369">
            <w:pPr>
              <w:pStyle w:val="BTableHeadingRowRightAligned"/>
              <w:rPr>
                <w:color w:val="FFFFFF" w:themeColor="background1"/>
              </w:rPr>
            </w:pPr>
            <w:r>
              <w:rPr>
                <w:color w:val="FFFFFF" w:themeColor="background1"/>
              </w:rPr>
              <w:t>2022-23</w:t>
            </w:r>
            <w:r>
              <w:rPr>
                <w:color w:val="FFFFFF" w:themeColor="background1"/>
              </w:rPr>
              <w:br/>
              <w:t>$m</w:t>
            </w:r>
          </w:p>
        </w:tc>
        <w:tc>
          <w:tcPr>
            <w:tcW w:w="1162" w:type="dxa"/>
            <w:tcBorders>
              <w:bottom w:val="single" w:sz="4" w:space="0" w:color="auto"/>
            </w:tcBorders>
            <w:shd w:val="clear" w:color="auto" w:fill="472D8C"/>
          </w:tcPr>
          <w:p w14:paraId="56EA9EFB" w14:textId="0A51B8B2" w:rsidR="003217E4" w:rsidRPr="00111524" w:rsidRDefault="003217E4" w:rsidP="00DB3369">
            <w:pPr>
              <w:pStyle w:val="BTableHeadingRowRightAligned"/>
              <w:rPr>
                <w:color w:val="FFFFFF" w:themeColor="background1"/>
              </w:rPr>
            </w:pPr>
            <w:r>
              <w:rPr>
                <w:color w:val="FFFFFF" w:themeColor="background1"/>
              </w:rPr>
              <w:t>2023-24</w:t>
            </w:r>
            <w:r>
              <w:rPr>
                <w:color w:val="FFFFFF" w:themeColor="background1"/>
              </w:rPr>
              <w:br/>
              <w:t>$m</w:t>
            </w:r>
          </w:p>
        </w:tc>
        <w:tc>
          <w:tcPr>
            <w:tcW w:w="1163" w:type="dxa"/>
            <w:tcBorders>
              <w:bottom w:val="single" w:sz="4" w:space="0" w:color="auto"/>
            </w:tcBorders>
            <w:shd w:val="clear" w:color="auto" w:fill="472D8C"/>
          </w:tcPr>
          <w:p w14:paraId="01E1F06F" w14:textId="099B77FE" w:rsidR="003217E4" w:rsidRPr="00111524" w:rsidRDefault="003217E4" w:rsidP="00DB3369">
            <w:pPr>
              <w:pStyle w:val="BTableHeadingRowRightAligned"/>
              <w:rPr>
                <w:color w:val="FFFFFF" w:themeColor="background1"/>
              </w:rPr>
            </w:pPr>
            <w:r>
              <w:rPr>
                <w:color w:val="FFFFFF" w:themeColor="background1"/>
              </w:rPr>
              <w:t>2024-25</w:t>
            </w:r>
            <w:r>
              <w:rPr>
                <w:color w:val="FFFFFF" w:themeColor="background1"/>
              </w:rPr>
              <w:br/>
              <w:t>$m</w:t>
            </w:r>
          </w:p>
        </w:tc>
      </w:tr>
      <w:tr w:rsidR="003217E4" w:rsidRPr="00EC74DB" w14:paraId="39488F43" w14:textId="77777777" w:rsidTr="00DB3369">
        <w:trPr>
          <w:trHeight w:val="257"/>
        </w:trPr>
        <w:tc>
          <w:tcPr>
            <w:tcW w:w="3261" w:type="dxa"/>
            <w:tcBorders>
              <w:top w:val="nil"/>
              <w:bottom w:val="nil"/>
            </w:tcBorders>
          </w:tcPr>
          <w:p w14:paraId="270FA645" w14:textId="44AD0A0E" w:rsidR="003217E4" w:rsidRPr="00EC74DB" w:rsidRDefault="003217E4" w:rsidP="00DB3369">
            <w:pPr>
              <w:pStyle w:val="Btabletextunbold"/>
            </w:pPr>
            <w:r>
              <w:t>2020-21 Budget</w:t>
            </w:r>
          </w:p>
        </w:tc>
        <w:tc>
          <w:tcPr>
            <w:tcW w:w="1162" w:type="dxa"/>
            <w:tcBorders>
              <w:bottom w:val="nil"/>
            </w:tcBorders>
          </w:tcPr>
          <w:p w14:paraId="1E6A783D" w14:textId="57BC2561" w:rsidR="003217E4" w:rsidRPr="00EC74DB" w:rsidRDefault="00F44666" w:rsidP="00DB3369">
            <w:pPr>
              <w:pStyle w:val="Btablefigureunbold"/>
            </w:pPr>
            <w:r>
              <w:t>-219.8</w:t>
            </w:r>
          </w:p>
        </w:tc>
        <w:tc>
          <w:tcPr>
            <w:tcW w:w="1162" w:type="dxa"/>
            <w:tcBorders>
              <w:bottom w:val="nil"/>
            </w:tcBorders>
            <w:shd w:val="clear" w:color="auto" w:fill="auto"/>
          </w:tcPr>
          <w:p w14:paraId="75938776" w14:textId="2CE4C510" w:rsidR="003217E4" w:rsidRPr="00EC74DB" w:rsidRDefault="00F44666" w:rsidP="00DB3369">
            <w:pPr>
              <w:pStyle w:val="Btablefigureunbold"/>
            </w:pPr>
            <w:r>
              <w:t>22.5</w:t>
            </w:r>
          </w:p>
        </w:tc>
        <w:tc>
          <w:tcPr>
            <w:tcW w:w="1162" w:type="dxa"/>
            <w:tcBorders>
              <w:bottom w:val="nil"/>
            </w:tcBorders>
            <w:shd w:val="clear" w:color="472D8C" w:fill="auto"/>
          </w:tcPr>
          <w:p w14:paraId="37C0A8C3" w14:textId="3F29D40D" w:rsidR="003217E4" w:rsidRPr="00111524" w:rsidRDefault="00F44666" w:rsidP="00DB3369">
            <w:pPr>
              <w:pStyle w:val="Btablefigureunbold"/>
              <w:rPr>
                <w:color w:val="000000"/>
              </w:rPr>
            </w:pPr>
            <w:r>
              <w:rPr>
                <w:color w:val="000000"/>
              </w:rPr>
              <w:t>295.6</w:t>
            </w:r>
          </w:p>
        </w:tc>
        <w:tc>
          <w:tcPr>
            <w:tcW w:w="1162" w:type="dxa"/>
            <w:tcBorders>
              <w:bottom w:val="nil"/>
            </w:tcBorders>
            <w:shd w:val="clear" w:color="auto" w:fill="auto"/>
          </w:tcPr>
          <w:p w14:paraId="75171415" w14:textId="0F6A8004" w:rsidR="003217E4" w:rsidRPr="00EC74DB" w:rsidRDefault="005A7F4F" w:rsidP="00DB3369">
            <w:pPr>
              <w:pStyle w:val="Btablefigureunbold"/>
            </w:pPr>
            <w:r>
              <w:t>404.2</w:t>
            </w:r>
          </w:p>
        </w:tc>
        <w:tc>
          <w:tcPr>
            <w:tcW w:w="1163" w:type="dxa"/>
            <w:tcBorders>
              <w:bottom w:val="nil"/>
            </w:tcBorders>
          </w:tcPr>
          <w:p w14:paraId="116A6244" w14:textId="1937584E" w:rsidR="003217E4" w:rsidRPr="00EC74DB" w:rsidRDefault="005A7F4F" w:rsidP="00DB3369">
            <w:pPr>
              <w:pStyle w:val="Btablefigureunbold"/>
            </w:pPr>
            <w:r>
              <w:t>n/a</w:t>
            </w:r>
          </w:p>
        </w:tc>
      </w:tr>
      <w:tr w:rsidR="003217E4" w:rsidRPr="00EC74DB" w14:paraId="33E525A1" w14:textId="77777777" w:rsidTr="00DB3369">
        <w:trPr>
          <w:trHeight w:val="270"/>
        </w:trPr>
        <w:tc>
          <w:tcPr>
            <w:tcW w:w="3261" w:type="dxa"/>
            <w:tcBorders>
              <w:top w:val="single" w:sz="4" w:space="0" w:color="auto"/>
              <w:bottom w:val="single" w:sz="4" w:space="0" w:color="auto"/>
            </w:tcBorders>
          </w:tcPr>
          <w:p w14:paraId="6EA51C1C" w14:textId="2A726443" w:rsidR="003217E4" w:rsidRPr="00047E65" w:rsidRDefault="003217E4" w:rsidP="00DB3369">
            <w:pPr>
              <w:pStyle w:val="Btabletextbold"/>
            </w:pPr>
            <w:r w:rsidRPr="00047E65">
              <w:t>2021-22 Budget</w:t>
            </w:r>
          </w:p>
        </w:tc>
        <w:tc>
          <w:tcPr>
            <w:tcW w:w="1162" w:type="dxa"/>
            <w:tcBorders>
              <w:top w:val="single" w:sz="4" w:space="0" w:color="auto"/>
              <w:bottom w:val="single" w:sz="4" w:space="0" w:color="auto"/>
            </w:tcBorders>
          </w:tcPr>
          <w:p w14:paraId="4F345276" w14:textId="26595196" w:rsidR="003217E4" w:rsidRPr="00C315CA" w:rsidRDefault="005A7F4F" w:rsidP="00DB3369">
            <w:pPr>
              <w:pStyle w:val="Btablefigureunbold"/>
              <w:rPr>
                <w:b/>
              </w:rPr>
            </w:pPr>
            <w:r w:rsidRPr="00C315CA">
              <w:rPr>
                <w:b/>
              </w:rPr>
              <w:t>237.6</w:t>
            </w:r>
          </w:p>
        </w:tc>
        <w:tc>
          <w:tcPr>
            <w:tcW w:w="1162" w:type="dxa"/>
            <w:tcBorders>
              <w:top w:val="single" w:sz="4" w:space="0" w:color="auto"/>
              <w:bottom w:val="single" w:sz="4" w:space="0" w:color="auto"/>
            </w:tcBorders>
            <w:shd w:val="clear" w:color="auto" w:fill="auto"/>
          </w:tcPr>
          <w:p w14:paraId="254C4F1D" w14:textId="57E27A7A" w:rsidR="003217E4" w:rsidRPr="00047E65" w:rsidRDefault="005A7F4F" w:rsidP="00DB3369">
            <w:pPr>
              <w:pStyle w:val="BTablefigureBold"/>
            </w:pPr>
            <w:r w:rsidRPr="00047E65">
              <w:t>-328.4</w:t>
            </w:r>
          </w:p>
        </w:tc>
        <w:tc>
          <w:tcPr>
            <w:tcW w:w="1162" w:type="dxa"/>
            <w:tcBorders>
              <w:top w:val="single" w:sz="4" w:space="0" w:color="auto"/>
              <w:bottom w:val="single" w:sz="4" w:space="0" w:color="auto"/>
            </w:tcBorders>
            <w:shd w:val="clear" w:color="472D8C" w:fill="auto"/>
          </w:tcPr>
          <w:p w14:paraId="7B83C1A1" w14:textId="3EFB0986" w:rsidR="003217E4" w:rsidRPr="00C315CA" w:rsidRDefault="005A7F4F" w:rsidP="00DB3369">
            <w:pPr>
              <w:pStyle w:val="Btablefigureunbold"/>
              <w:rPr>
                <w:b/>
                <w:color w:val="000000"/>
              </w:rPr>
            </w:pPr>
            <w:r w:rsidRPr="00C315CA">
              <w:rPr>
                <w:b/>
                <w:color w:val="000000"/>
              </w:rPr>
              <w:t>-130.3</w:t>
            </w:r>
          </w:p>
        </w:tc>
        <w:tc>
          <w:tcPr>
            <w:tcW w:w="1162" w:type="dxa"/>
            <w:tcBorders>
              <w:top w:val="single" w:sz="4" w:space="0" w:color="auto"/>
              <w:bottom w:val="single" w:sz="4" w:space="0" w:color="auto"/>
            </w:tcBorders>
            <w:shd w:val="clear" w:color="auto" w:fill="auto"/>
          </w:tcPr>
          <w:p w14:paraId="08A8433D" w14:textId="6522C49D" w:rsidR="003217E4" w:rsidRPr="00C315CA" w:rsidRDefault="005A7F4F" w:rsidP="00DB3369">
            <w:pPr>
              <w:pStyle w:val="Btablefigureunbold"/>
              <w:rPr>
                <w:b/>
              </w:rPr>
            </w:pPr>
            <w:r w:rsidRPr="00C315CA">
              <w:rPr>
                <w:b/>
              </w:rPr>
              <w:t>-42.3</w:t>
            </w:r>
          </w:p>
        </w:tc>
        <w:tc>
          <w:tcPr>
            <w:tcW w:w="1163" w:type="dxa"/>
            <w:tcBorders>
              <w:top w:val="single" w:sz="4" w:space="0" w:color="auto"/>
              <w:bottom w:val="single" w:sz="4" w:space="0" w:color="auto"/>
            </w:tcBorders>
          </w:tcPr>
          <w:p w14:paraId="3A28377A" w14:textId="2251D02D" w:rsidR="003217E4" w:rsidRPr="00C315CA" w:rsidRDefault="005A7F4F" w:rsidP="00DB3369">
            <w:pPr>
              <w:pStyle w:val="Btablefigureunbold"/>
              <w:rPr>
                <w:b/>
              </w:rPr>
            </w:pPr>
            <w:r w:rsidRPr="00C315CA">
              <w:rPr>
                <w:b/>
              </w:rPr>
              <w:t>-3.</w:t>
            </w:r>
            <w:r w:rsidR="00DE2ECD" w:rsidRPr="00C315CA">
              <w:rPr>
                <w:b/>
              </w:rPr>
              <w:t>3</w:t>
            </w:r>
          </w:p>
        </w:tc>
      </w:tr>
    </w:tbl>
    <w:p w14:paraId="5A3ECD73" w14:textId="77777777" w:rsidR="003217E4" w:rsidRPr="003217E4" w:rsidRDefault="003217E4" w:rsidP="003217E4">
      <w:pPr>
        <w:pStyle w:val="Heading4"/>
      </w:pPr>
      <w:r w:rsidRPr="003217E4">
        <w:t>The Territory’s credit rating</w:t>
      </w:r>
    </w:p>
    <w:p w14:paraId="365C9C08" w14:textId="2BE186B7" w:rsidR="003217E4" w:rsidRPr="008605DF" w:rsidRDefault="00210B1B" w:rsidP="003217E4">
      <w:pPr>
        <w:pStyle w:val="Bbodytext"/>
      </w:pPr>
      <w:r>
        <w:t>Following the 2020-21 Budget, o</w:t>
      </w:r>
      <w:r w:rsidRPr="008605DF">
        <w:t xml:space="preserve">n </w:t>
      </w:r>
      <w:r w:rsidR="00CC56D1" w:rsidRPr="008605DF">
        <w:t xml:space="preserve">17 March 2021, </w:t>
      </w:r>
      <w:r w:rsidR="003217E4" w:rsidRPr="008605DF">
        <w:t>our AAA long-term and A1+ short</w:t>
      </w:r>
      <w:r>
        <w:noBreakHyphen/>
      </w:r>
      <w:r w:rsidR="003217E4" w:rsidRPr="008605DF">
        <w:t>term local currency credit ratings were reaffirmed by S&amp;P Global Ratings. S&amp;P Global Ratings also maintained the negative long</w:t>
      </w:r>
      <w:r w:rsidR="005F29C7" w:rsidRPr="008605DF">
        <w:noBreakHyphen/>
      </w:r>
      <w:r w:rsidR="003217E4" w:rsidRPr="008605DF">
        <w:t>term rating outlook for the Territory.</w:t>
      </w:r>
    </w:p>
    <w:p w14:paraId="5C5A534E" w14:textId="77777777" w:rsidR="00700B6D" w:rsidRPr="00BE2723" w:rsidRDefault="00700B6D" w:rsidP="00700B6D">
      <w:pPr>
        <w:pStyle w:val="Bbodytext"/>
      </w:pPr>
      <w:r w:rsidRPr="00BE2723">
        <w:t>S&amp;P Global Ratings indicated our rating reflected the Territory’s robust financial management, very high-income economy, and our exceptional level of liquidity. Our rating is also underpinned by Australia's excellent institutional framework.</w:t>
      </w:r>
    </w:p>
    <w:p w14:paraId="766639C1" w14:textId="77777777" w:rsidR="00700B6D" w:rsidRPr="00257F98" w:rsidRDefault="00700B6D" w:rsidP="00700B6D">
      <w:pPr>
        <w:pStyle w:val="Bbodytext"/>
      </w:pPr>
      <w:r w:rsidRPr="00257F98">
        <w:t xml:space="preserve">S&amp;P Global Ratings noted its expectations that while the ACT’s budgetary performance would be weak in the 2020-21 financial year, </w:t>
      </w:r>
      <w:r>
        <w:t>due to</w:t>
      </w:r>
      <w:r w:rsidRPr="00257F98">
        <w:t xml:space="preserve"> dampened revenues and higher spending on public health and economic support measures, this performance was not considered structural in nature.</w:t>
      </w:r>
    </w:p>
    <w:p w14:paraId="5B1D8F02" w14:textId="7CF0AD91" w:rsidR="005E5EBB" w:rsidRDefault="00F4718F" w:rsidP="00C53956">
      <w:pPr>
        <w:pStyle w:val="Bbodytext"/>
        <w:keepNext/>
        <w:keepLines/>
      </w:pPr>
      <w:r w:rsidRPr="00844AFB">
        <w:lastRenderedPageBreak/>
        <w:t>While t</w:t>
      </w:r>
      <w:r w:rsidR="003217E4" w:rsidRPr="00844AFB">
        <w:t>he negative outlook reflect</w:t>
      </w:r>
      <w:r w:rsidRPr="00844AFB">
        <w:t>ed</w:t>
      </w:r>
      <w:r w:rsidR="003217E4" w:rsidRPr="00844AFB">
        <w:t xml:space="preserve"> that on the Australian sovereign</w:t>
      </w:r>
      <w:r w:rsidR="00062220">
        <w:t xml:space="preserve"> at the time (</w:t>
      </w:r>
      <w:r w:rsidR="00832678">
        <w:t>o</w:t>
      </w:r>
      <w:r w:rsidR="00DE40D2" w:rsidRPr="00C719B7">
        <w:t xml:space="preserve">n </w:t>
      </w:r>
      <w:r w:rsidR="00A50D1D">
        <w:t>7</w:t>
      </w:r>
      <w:r w:rsidR="00D151C2">
        <w:t> </w:t>
      </w:r>
      <w:r w:rsidR="00A50D1D">
        <w:t>June</w:t>
      </w:r>
      <w:r w:rsidR="00D151C2">
        <w:t> </w:t>
      </w:r>
      <w:r w:rsidR="00A50D1D">
        <w:t>2021</w:t>
      </w:r>
      <w:r w:rsidR="00DE40D2" w:rsidRPr="00C719B7">
        <w:t>, S&amp;P Global Ratings</w:t>
      </w:r>
      <w:r w:rsidR="00DE40D2">
        <w:t xml:space="preserve"> </w:t>
      </w:r>
      <w:r w:rsidR="00DE40D2" w:rsidRPr="00C719B7">
        <w:t xml:space="preserve">revised </w:t>
      </w:r>
      <w:r w:rsidR="00DE40D2">
        <w:t>its</w:t>
      </w:r>
      <w:r w:rsidR="00DE40D2" w:rsidRPr="00C719B7">
        <w:t xml:space="preserve"> outlook on its long-term ratings </w:t>
      </w:r>
      <w:r w:rsidR="007B59D3">
        <w:t>for</w:t>
      </w:r>
      <w:r w:rsidR="00DE40D2" w:rsidRPr="00C719B7">
        <w:t xml:space="preserve"> Australia to stable</w:t>
      </w:r>
      <w:r w:rsidR="00832678">
        <w:t>)</w:t>
      </w:r>
      <w:r w:rsidR="007B59D3">
        <w:t>,</w:t>
      </w:r>
      <w:r w:rsidR="007447D6">
        <w:t xml:space="preserve"> </w:t>
      </w:r>
      <w:r w:rsidR="002745AA">
        <w:t xml:space="preserve">S&amp;P Global Ratings </w:t>
      </w:r>
      <w:r w:rsidR="001C574A">
        <w:t>indicated</w:t>
      </w:r>
      <w:r w:rsidR="002745AA">
        <w:t xml:space="preserve"> it could lower our long-term ratings </w:t>
      </w:r>
      <w:r w:rsidR="00E61DD6">
        <w:t>if</w:t>
      </w:r>
      <w:r w:rsidR="00AF71AD">
        <w:t>,</w:t>
      </w:r>
      <w:r w:rsidR="005E5EBB">
        <w:t xml:space="preserve"> </w:t>
      </w:r>
      <w:r w:rsidR="00AF71AD">
        <w:t>during the next two years, the Territory’s</w:t>
      </w:r>
      <w:r w:rsidR="002745AA">
        <w:t xml:space="preserve"> recovery from the COVID-19 downturn </w:t>
      </w:r>
      <w:r w:rsidR="005E5EBB">
        <w:t>wa</w:t>
      </w:r>
      <w:r w:rsidR="002745AA">
        <w:t xml:space="preserve">s delayed beyond </w:t>
      </w:r>
      <w:r w:rsidR="00AF71AD" w:rsidRPr="00844AFB">
        <w:t>S&amp;P Global Ratings’</w:t>
      </w:r>
      <w:r w:rsidR="002745AA">
        <w:t xml:space="preserve"> expectations.</w:t>
      </w:r>
      <w:r w:rsidR="00E85E12">
        <w:t xml:space="preserve"> </w:t>
      </w:r>
    </w:p>
    <w:p w14:paraId="547CE6D0" w14:textId="5224D814" w:rsidR="003217E4" w:rsidRPr="003217E4" w:rsidRDefault="003217E4" w:rsidP="003217E4">
      <w:pPr>
        <w:pStyle w:val="Bbodytext"/>
      </w:pPr>
      <w:r w:rsidRPr="00312EDF">
        <w:t xml:space="preserve">The ACT and the Commonwealth Government remain the only Australian jurisdictions to hold </w:t>
      </w:r>
      <w:r w:rsidR="00E31B8D" w:rsidRPr="00312EDF">
        <w:t>AAA credit ratings</w:t>
      </w:r>
      <w:r w:rsidR="00E31B8D">
        <w:t xml:space="preserve"> from</w:t>
      </w:r>
      <w:r w:rsidR="00E31B8D" w:rsidRPr="00312EDF">
        <w:t xml:space="preserve"> </w:t>
      </w:r>
      <w:r w:rsidRPr="00312EDF">
        <w:t>S&amp;P Global Ratings.</w:t>
      </w:r>
    </w:p>
    <w:p w14:paraId="56AFAD7A" w14:textId="77777777" w:rsidR="003217E4" w:rsidRPr="003217E4" w:rsidRDefault="003217E4" w:rsidP="00C315CA">
      <w:pPr>
        <w:pStyle w:val="Heading4"/>
      </w:pPr>
      <w:r w:rsidRPr="003217E4">
        <w:t>A strong balance sheet</w:t>
      </w:r>
    </w:p>
    <w:p w14:paraId="5F82A62C" w14:textId="7A631427" w:rsidR="009A094D" w:rsidRDefault="003217E4" w:rsidP="009A094D">
      <w:pPr>
        <w:pStyle w:val="Bbodytext"/>
      </w:pPr>
      <w:r w:rsidRPr="00516E8F">
        <w:t xml:space="preserve">The </w:t>
      </w:r>
      <w:r w:rsidR="009C5A96">
        <w:t>robust base</w:t>
      </w:r>
      <w:r w:rsidRPr="00516E8F">
        <w:t xml:space="preserve"> of the ACT’s balance sheet has allowed the Government to respond to COVID</w:t>
      </w:r>
      <w:r>
        <w:noBreakHyphen/>
      </w:r>
      <w:r w:rsidRPr="00516E8F">
        <w:t>19 in a timely and decisive manner</w:t>
      </w:r>
      <w:r w:rsidR="009A094D">
        <w:t xml:space="preserve"> in </w:t>
      </w:r>
      <w:r w:rsidR="009A094D" w:rsidRPr="00DD05C1">
        <w:t>the provision of health, economic and financial supports to the ACT community</w:t>
      </w:r>
      <w:r w:rsidR="009A094D">
        <w:t>.</w:t>
      </w:r>
    </w:p>
    <w:p w14:paraId="46091F98" w14:textId="3C42496A" w:rsidR="009A094D" w:rsidRDefault="003B2B3F" w:rsidP="009A094D">
      <w:pPr>
        <w:pStyle w:val="Bbodytext"/>
      </w:pPr>
      <w:r>
        <w:t xml:space="preserve">The Government </w:t>
      </w:r>
      <w:r w:rsidR="00311FD7">
        <w:t xml:space="preserve">will also continue to provide targeted support to areas of the economy that require additional assistance to </w:t>
      </w:r>
      <w:r w:rsidR="00DD2941">
        <w:t>support the</w:t>
      </w:r>
      <w:r w:rsidR="001304F3">
        <w:t xml:space="preserve"> recovery</w:t>
      </w:r>
      <w:r w:rsidR="00311FD7">
        <w:t>.</w:t>
      </w:r>
    </w:p>
    <w:p w14:paraId="6A1345B2" w14:textId="0791AB15" w:rsidR="003217E4" w:rsidRPr="00144AB5" w:rsidRDefault="003217E4" w:rsidP="00C315CA">
      <w:pPr>
        <w:pStyle w:val="Bbodytext"/>
      </w:pPr>
      <w:r w:rsidRPr="00516E8F">
        <w:t xml:space="preserve">The Government will continue to take the opportunity of historically low interest rates to </w:t>
      </w:r>
      <w:r w:rsidR="00A97E45">
        <w:t xml:space="preserve">support our </w:t>
      </w:r>
      <w:r w:rsidR="00E2314B">
        <w:t>progressive and expanding city.</w:t>
      </w:r>
    </w:p>
    <w:p w14:paraId="00659B2E" w14:textId="63C8F5DC" w:rsidR="003217E4" w:rsidRPr="003217E4" w:rsidRDefault="003217E4" w:rsidP="00692832">
      <w:pPr>
        <w:pStyle w:val="Heading4"/>
      </w:pPr>
      <w:r w:rsidRPr="003217E4">
        <w:t>Net debt</w:t>
      </w:r>
    </w:p>
    <w:p w14:paraId="54FEDB32" w14:textId="488C83BD" w:rsidR="003217E4" w:rsidRPr="00516E8F" w:rsidRDefault="003217E4" w:rsidP="00692832">
      <w:pPr>
        <w:pStyle w:val="Bbodytext"/>
        <w:keepNext/>
        <w:keepLines/>
      </w:pPr>
      <w:r w:rsidRPr="00AF1FA8">
        <w:t>Net debt is a key balance sheet measure in the Government Finance Statistics. It takes into account gross debt liabilities as well as financial assets such as cash reserves and investments</w:t>
      </w:r>
      <w:r>
        <w:t>. Compared to the</w:t>
      </w:r>
      <w:r w:rsidDel="004C4E22">
        <w:t xml:space="preserve"> </w:t>
      </w:r>
      <w:r w:rsidR="000B52B3">
        <w:t>2020-21 Budget</w:t>
      </w:r>
      <w:r>
        <w:t xml:space="preserve"> estimate of </w:t>
      </w:r>
      <w:r w:rsidR="007D7990" w:rsidRPr="00C315CA">
        <w:t>10</w:t>
      </w:r>
      <w:r w:rsidRPr="00C315CA">
        <w:t>.</w:t>
      </w:r>
      <w:r w:rsidR="007D7990" w:rsidRPr="00C315CA">
        <w:t>9</w:t>
      </w:r>
      <w:r w:rsidRPr="00C315CA">
        <w:t xml:space="preserve"> per cent</w:t>
      </w:r>
      <w:r>
        <w:t xml:space="preserve">, General Government Sector net debt as a percentage of Gross State Product is expected to be </w:t>
      </w:r>
      <w:r w:rsidR="003A4DD7" w:rsidRPr="00C315CA">
        <w:t>1</w:t>
      </w:r>
      <w:r w:rsidR="00B10CDD" w:rsidRPr="00C315CA">
        <w:t>2.6</w:t>
      </w:r>
      <w:r w:rsidRPr="00C315CA">
        <w:t> per cent at 30 June 202</w:t>
      </w:r>
      <w:r w:rsidR="00B10CDD" w:rsidRPr="00C315CA">
        <w:t>2</w:t>
      </w:r>
      <w:r w:rsidRPr="00C315CA">
        <w:t>.</w:t>
      </w:r>
    </w:p>
    <w:p w14:paraId="502C02CD" w14:textId="77777777" w:rsidR="003217E4" w:rsidRPr="00144AB5" w:rsidRDefault="003217E4" w:rsidP="003217E4">
      <w:pPr>
        <w:pStyle w:val="Bbodytext"/>
      </w:pPr>
      <w:r w:rsidRPr="00516E8F">
        <w:t>Further details can be found at Key Balance Sheet Metrics (Chapter 3.8).</w:t>
      </w:r>
    </w:p>
    <w:p w14:paraId="43746171" w14:textId="77777777" w:rsidR="003217E4" w:rsidRPr="003217E4" w:rsidRDefault="003217E4" w:rsidP="003217E4">
      <w:pPr>
        <w:pStyle w:val="Heading4"/>
      </w:pPr>
      <w:r w:rsidRPr="003217E4">
        <w:t>Net financial liabilities</w:t>
      </w:r>
    </w:p>
    <w:p w14:paraId="62CB0643" w14:textId="78AF1A88" w:rsidR="003217E4" w:rsidRPr="00222194" w:rsidRDefault="003217E4" w:rsidP="003217E4">
      <w:pPr>
        <w:pStyle w:val="Bbodytext"/>
      </w:pPr>
      <w:r w:rsidRPr="003217E4">
        <w:t xml:space="preserve">Net financial liabilities are a broad measure of General Government Sector liabilities, including net debt and superannuation liabilities. </w:t>
      </w:r>
      <w:r w:rsidR="00911C9E">
        <w:t xml:space="preserve">Compared to </w:t>
      </w:r>
      <w:r w:rsidR="00C27F6C">
        <w:t xml:space="preserve">the </w:t>
      </w:r>
      <w:r w:rsidR="00911C9E" w:rsidRPr="00C315CA">
        <w:t>2020-21 Budget forecasts</w:t>
      </w:r>
      <w:r w:rsidR="00911C9E">
        <w:t>,</w:t>
      </w:r>
      <w:r w:rsidR="00911C9E" w:rsidRPr="00C315CA">
        <w:t xml:space="preserve"> </w:t>
      </w:r>
      <w:r w:rsidR="00911C9E">
        <w:t>n</w:t>
      </w:r>
      <w:r w:rsidRPr="003217E4">
        <w:t>et financial liabilities in 202</w:t>
      </w:r>
      <w:r w:rsidR="007D7990">
        <w:t>1</w:t>
      </w:r>
      <w:r w:rsidRPr="003217E4">
        <w:t>-2</w:t>
      </w:r>
      <w:r w:rsidR="007D7990">
        <w:t>2</w:t>
      </w:r>
      <w:r w:rsidRPr="003217E4">
        <w:t xml:space="preserve"> and </w:t>
      </w:r>
      <w:r w:rsidR="00CF6458">
        <w:t xml:space="preserve">each </w:t>
      </w:r>
      <w:r w:rsidR="00C27F6C">
        <w:t xml:space="preserve">year of </w:t>
      </w:r>
      <w:r w:rsidRPr="003217E4">
        <w:t xml:space="preserve">the </w:t>
      </w:r>
      <w:r w:rsidRPr="00222194">
        <w:t xml:space="preserve">forward estimates </w:t>
      </w:r>
      <w:r w:rsidR="00C27F6C">
        <w:t>period</w:t>
      </w:r>
      <w:r w:rsidRPr="00222194">
        <w:t xml:space="preserve"> have </w:t>
      </w:r>
      <w:r w:rsidR="00C27F6C">
        <w:t>increased</w:t>
      </w:r>
      <w:r w:rsidRPr="00222194">
        <w:t>.</w:t>
      </w:r>
    </w:p>
    <w:p w14:paraId="21BC2CDB" w14:textId="629B99E3" w:rsidR="003217E4" w:rsidRPr="003217E4" w:rsidRDefault="003217E4" w:rsidP="00C315CA">
      <w:pPr>
        <w:pStyle w:val="Bbodytext"/>
        <w:keepNext/>
        <w:keepLines/>
      </w:pPr>
      <w:r w:rsidRPr="00222194">
        <w:t xml:space="preserve">Compared to the </w:t>
      </w:r>
      <w:r w:rsidR="00A501F2" w:rsidRPr="00222194">
        <w:t xml:space="preserve">2020-21 Budget </w:t>
      </w:r>
      <w:r w:rsidRPr="00222194">
        <w:t xml:space="preserve">of </w:t>
      </w:r>
      <w:r w:rsidR="001278E1" w:rsidRPr="00C315CA">
        <w:t>21.</w:t>
      </w:r>
      <w:r w:rsidR="008E269C" w:rsidRPr="00C315CA">
        <w:t>7</w:t>
      </w:r>
      <w:r w:rsidRPr="00C315CA">
        <w:t> </w:t>
      </w:r>
      <w:r w:rsidRPr="00222194">
        <w:t xml:space="preserve">per cent in </w:t>
      </w:r>
      <w:r w:rsidRPr="00C315CA">
        <w:t>2020-21</w:t>
      </w:r>
      <w:r w:rsidRPr="00222194">
        <w:t xml:space="preserve">, General Government Sector net financial liabilities as a percentage of </w:t>
      </w:r>
      <w:r w:rsidR="002703C1">
        <w:t>GSP</w:t>
      </w:r>
      <w:r w:rsidRPr="00222194">
        <w:t xml:space="preserve"> are now expected to be </w:t>
      </w:r>
      <w:r w:rsidR="000C628C" w:rsidRPr="00C315CA">
        <w:t>25.8</w:t>
      </w:r>
      <w:r w:rsidRPr="00C315CA">
        <w:t> per cent</w:t>
      </w:r>
      <w:r w:rsidR="000C628C" w:rsidRPr="00C315CA">
        <w:t xml:space="preserve"> in 2021</w:t>
      </w:r>
      <w:r w:rsidR="00A36AD2">
        <w:noBreakHyphen/>
      </w:r>
      <w:r w:rsidR="000C628C" w:rsidRPr="00C315CA">
        <w:t>22</w:t>
      </w:r>
      <w:r w:rsidRPr="00222194">
        <w:t xml:space="preserve">. This </w:t>
      </w:r>
      <w:r w:rsidR="00826461" w:rsidRPr="00222194">
        <w:t>movement</w:t>
      </w:r>
      <w:r w:rsidRPr="00222194">
        <w:t xml:space="preserve"> is largely driven by </w:t>
      </w:r>
      <w:r w:rsidR="00A50C1C" w:rsidRPr="00222194">
        <w:t>an increase in the superannuation liability resulting from a change in the discount rate for the actual outcome compared to the rate used for the 2020-21 Budget estimates. The 2020</w:t>
      </w:r>
      <w:r w:rsidR="00A50C1C" w:rsidRPr="00222194">
        <w:noBreakHyphen/>
        <w:t>21 Budget used a long-term discount rate assumption of 5 per cent compared to the actual rate applied at 30</w:t>
      </w:r>
      <w:r w:rsidR="00222194" w:rsidRPr="00222194">
        <w:t> </w:t>
      </w:r>
      <w:r w:rsidR="00A50C1C" w:rsidRPr="00222194">
        <w:t>June 2021 of 2.26 per</w:t>
      </w:r>
      <w:r w:rsidR="00A36AD2">
        <w:t> </w:t>
      </w:r>
      <w:r w:rsidR="00A50C1C" w:rsidRPr="00222194">
        <w:t>cent.</w:t>
      </w:r>
      <w:r w:rsidRPr="003217E4">
        <w:t xml:space="preserve"> </w:t>
      </w:r>
    </w:p>
    <w:p w14:paraId="4B119258" w14:textId="4F92109E" w:rsidR="003217E4" w:rsidRPr="003217E4" w:rsidRDefault="003217E4" w:rsidP="003217E4">
      <w:pPr>
        <w:pStyle w:val="Bbodytext"/>
      </w:pPr>
      <w:r w:rsidRPr="003217E4">
        <w:t xml:space="preserve">Net Financial Liabilities are calculated as total liabilities less financial assets, such as cash reserves and investments. They take into account all non-equity financial </w:t>
      </w:r>
      <w:r w:rsidR="00B33560" w:rsidRPr="003217E4">
        <w:t>assets but</w:t>
      </w:r>
      <w:r w:rsidRPr="003217E4">
        <w:t xml:space="preserve"> exclude the value of equity held by the General Government Sector in public corporations.</w:t>
      </w:r>
    </w:p>
    <w:p w14:paraId="7C280A10" w14:textId="77777777" w:rsidR="003217E4" w:rsidRPr="003217E4" w:rsidRDefault="003217E4" w:rsidP="003217E4">
      <w:pPr>
        <w:pStyle w:val="Heading4"/>
      </w:pPr>
      <w:r w:rsidRPr="003217E4">
        <w:lastRenderedPageBreak/>
        <w:t>Net worth</w:t>
      </w:r>
    </w:p>
    <w:p w14:paraId="02A1F771" w14:textId="53C197D5" w:rsidR="00C53956" w:rsidRDefault="003217E4" w:rsidP="009F3D46">
      <w:pPr>
        <w:pStyle w:val="Bbodytext"/>
      </w:pPr>
      <w:r w:rsidRPr="00611597">
        <w:t xml:space="preserve">The broadest measure of a jurisdiction’s balance sheet is net worth, which measures the total value of all assets less </w:t>
      </w:r>
      <w:r w:rsidR="00662E65">
        <w:t>the value of</w:t>
      </w:r>
      <w:r w:rsidRPr="00611597">
        <w:t xml:space="preserve"> all liabilities</w:t>
      </w:r>
      <w:r w:rsidRPr="00CD7F40">
        <w:t xml:space="preserve">. The ACT has </w:t>
      </w:r>
      <w:r w:rsidRPr="00516E8F">
        <w:t>positive net worth in 202</w:t>
      </w:r>
      <w:r w:rsidR="00826461">
        <w:t>1</w:t>
      </w:r>
      <w:r w:rsidRPr="00516E8F">
        <w:t>-2</w:t>
      </w:r>
      <w:r w:rsidR="00826461">
        <w:t>2</w:t>
      </w:r>
      <w:r w:rsidRPr="00516E8F">
        <w:t xml:space="preserve"> equivalent to </w:t>
      </w:r>
      <w:r w:rsidR="00BC7F5D" w:rsidRPr="00C315CA">
        <w:t>35.3</w:t>
      </w:r>
      <w:r w:rsidRPr="00516E8F">
        <w:t xml:space="preserve"> per cent </w:t>
      </w:r>
      <w:r w:rsidRPr="00CD7F40">
        <w:t xml:space="preserve">of </w:t>
      </w:r>
      <w:r w:rsidR="002703C1">
        <w:t>GSP</w:t>
      </w:r>
      <w:r w:rsidR="009F3D46">
        <w:t>.</w:t>
      </w:r>
    </w:p>
    <w:p w14:paraId="7D678819" w14:textId="07DD2591" w:rsidR="00C53956" w:rsidRDefault="00C53956">
      <w:pPr>
        <w:rPr>
          <w:sz w:val="24"/>
        </w:rPr>
      </w:pPr>
      <w:r>
        <w:br w:type="page"/>
      </w:r>
      <w:r>
        <w:lastRenderedPageBreak/>
        <w:br w:type="page"/>
      </w:r>
    </w:p>
    <w:p w14:paraId="233C746C" w14:textId="77777777" w:rsidR="00C53956" w:rsidRDefault="00C53956" w:rsidP="009F3D46">
      <w:pPr>
        <w:pStyle w:val="Bbodytext"/>
        <w:sectPr w:rsidR="00C53956" w:rsidSect="00542DA2">
          <w:pgSz w:w="11906" w:h="16838" w:code="9"/>
          <w:pgMar w:top="1151" w:right="1440" w:bottom="1729" w:left="1440" w:header="720" w:footer="720" w:gutter="0"/>
          <w:cols w:space="708"/>
          <w:docGrid w:linePitch="360"/>
        </w:sectPr>
      </w:pPr>
    </w:p>
    <w:p w14:paraId="76DFFEB0" w14:textId="22A8FFA0" w:rsidR="00CF0E2D" w:rsidRPr="00930757" w:rsidRDefault="00CF0E2D" w:rsidP="00CF0E2D">
      <w:pPr>
        <w:pStyle w:val="Heading2"/>
        <w:numPr>
          <w:ilvl w:val="1"/>
          <w:numId w:val="4"/>
        </w:numPr>
      </w:pPr>
      <w:bookmarkStart w:id="2" w:name="_Toc84290982"/>
      <w:r>
        <w:lastRenderedPageBreak/>
        <w:t xml:space="preserve">Fiscal Strategy and </w:t>
      </w:r>
      <w:r w:rsidR="009970A1">
        <w:t>wellbeing initiatives</w:t>
      </w:r>
      <w:bookmarkEnd w:id="2"/>
    </w:p>
    <w:p w14:paraId="0A3AA698" w14:textId="77777777" w:rsidR="00CF0E2D" w:rsidRDefault="00CF0E2D" w:rsidP="00A60D4B">
      <w:pPr>
        <w:pStyle w:val="Heading3"/>
      </w:pPr>
      <w:r>
        <w:t>Fiscal and budget strategy</w:t>
      </w:r>
    </w:p>
    <w:p w14:paraId="0715C40E" w14:textId="77777777" w:rsidR="00CF0E2D" w:rsidRDefault="00CF0E2D" w:rsidP="00A60D4B">
      <w:pPr>
        <w:pStyle w:val="Bbodytext"/>
        <w:rPr>
          <w:szCs w:val="24"/>
        </w:rPr>
      </w:pPr>
      <w:bookmarkStart w:id="3" w:name="_Hlk83117869"/>
      <w:r w:rsidRPr="00A16B71">
        <w:t>The past 18 months ha</w:t>
      </w:r>
      <w:r>
        <w:t>ve</w:t>
      </w:r>
      <w:r w:rsidRPr="00A16B71">
        <w:t xml:space="preserve"> been extremely challenging for </w:t>
      </w:r>
      <w:r w:rsidRPr="00066FD7">
        <w:rPr>
          <w:szCs w:val="24"/>
        </w:rPr>
        <w:t xml:space="preserve">Canberrans. </w:t>
      </w:r>
      <w:r>
        <w:rPr>
          <w:szCs w:val="24"/>
        </w:rPr>
        <w:t>The pandemic</w:t>
      </w:r>
      <w:r w:rsidRPr="00066FD7">
        <w:rPr>
          <w:szCs w:val="24"/>
        </w:rPr>
        <w:t xml:space="preserve"> has required significant adjust</w:t>
      </w:r>
      <w:r w:rsidRPr="00045621">
        <w:rPr>
          <w:szCs w:val="24"/>
        </w:rPr>
        <w:t xml:space="preserve">ments to how </w:t>
      </w:r>
      <w:r>
        <w:rPr>
          <w:szCs w:val="24"/>
        </w:rPr>
        <w:t>we</w:t>
      </w:r>
      <w:r w:rsidRPr="00045621">
        <w:rPr>
          <w:szCs w:val="24"/>
        </w:rPr>
        <w:t xml:space="preserve"> </w:t>
      </w:r>
      <w:r>
        <w:rPr>
          <w:szCs w:val="24"/>
        </w:rPr>
        <w:t>all go about</w:t>
      </w:r>
      <w:r w:rsidRPr="00045621">
        <w:rPr>
          <w:szCs w:val="24"/>
        </w:rPr>
        <w:t xml:space="preserve"> </w:t>
      </w:r>
      <w:r>
        <w:rPr>
          <w:szCs w:val="24"/>
        </w:rPr>
        <w:t>our</w:t>
      </w:r>
      <w:r w:rsidRPr="00045621">
        <w:rPr>
          <w:szCs w:val="24"/>
        </w:rPr>
        <w:t xml:space="preserve"> daily </w:t>
      </w:r>
      <w:r>
        <w:rPr>
          <w:szCs w:val="24"/>
        </w:rPr>
        <w:t>lives from the way we work, the way we interact with people and the way we enjoy our leisure time. T</w:t>
      </w:r>
      <w:r w:rsidRPr="00045621">
        <w:rPr>
          <w:szCs w:val="24"/>
        </w:rPr>
        <w:t>he Government’s primary focus has been to protect the health and wellbeing of the community during these uncertain times.</w:t>
      </w:r>
    </w:p>
    <w:p w14:paraId="690EEE5A" w14:textId="77777777" w:rsidR="00CF0E2D" w:rsidRDefault="00CF0E2D" w:rsidP="00A60D4B">
      <w:pPr>
        <w:pStyle w:val="Bbodytext"/>
        <w:rPr>
          <w:szCs w:val="24"/>
        </w:rPr>
      </w:pPr>
      <w:r w:rsidRPr="00045621">
        <w:rPr>
          <w:szCs w:val="24"/>
        </w:rPr>
        <w:t>The recent COVID-19 outbreak a</w:t>
      </w:r>
      <w:r w:rsidRPr="00FE49F0">
        <w:rPr>
          <w:szCs w:val="24"/>
        </w:rPr>
        <w:t xml:space="preserve">nd </w:t>
      </w:r>
      <w:r>
        <w:rPr>
          <w:szCs w:val="24"/>
        </w:rPr>
        <w:t>the</w:t>
      </w:r>
      <w:r w:rsidRPr="00FE49F0">
        <w:rPr>
          <w:szCs w:val="24"/>
        </w:rPr>
        <w:t xml:space="preserve"> lockdown </w:t>
      </w:r>
      <w:r>
        <w:rPr>
          <w:szCs w:val="24"/>
        </w:rPr>
        <w:t>restrictions</w:t>
      </w:r>
      <w:r w:rsidRPr="00FE49F0">
        <w:rPr>
          <w:szCs w:val="24"/>
        </w:rPr>
        <w:t xml:space="preserve"> that </w:t>
      </w:r>
      <w:r>
        <w:rPr>
          <w:szCs w:val="24"/>
        </w:rPr>
        <w:t>we are progressively transitioning out of have</w:t>
      </w:r>
      <w:r w:rsidRPr="007062BC">
        <w:rPr>
          <w:szCs w:val="24"/>
        </w:rPr>
        <w:t xml:space="preserve"> again affected the usual budget timetable, resulting in the Legislative Assembly unanimously</w:t>
      </w:r>
      <w:r w:rsidRPr="00225CBB">
        <w:rPr>
          <w:szCs w:val="24"/>
        </w:rPr>
        <w:t xml:space="preserve"> agreeing to delay the presentation of the 2021-22 Budget</w:t>
      </w:r>
      <w:bookmarkEnd w:id="3"/>
      <w:r w:rsidRPr="00225CBB">
        <w:rPr>
          <w:szCs w:val="24"/>
        </w:rPr>
        <w:t xml:space="preserve"> and appropriation bills. </w:t>
      </w:r>
      <w:r>
        <w:rPr>
          <w:szCs w:val="24"/>
        </w:rPr>
        <w:t>This has enabled us to focus on the response to the current outbreak and ensure that the Budget reflects the evolving circumstances in which we find ourselves.</w:t>
      </w:r>
    </w:p>
    <w:p w14:paraId="7CDAE568" w14:textId="77777777" w:rsidR="00CF0E2D" w:rsidRPr="00A22F27" w:rsidRDefault="00CF0E2D" w:rsidP="00A60D4B">
      <w:pPr>
        <w:pStyle w:val="Bbodytext"/>
        <w:rPr>
          <w:szCs w:val="24"/>
        </w:rPr>
      </w:pPr>
      <w:r w:rsidRPr="00225CBB">
        <w:rPr>
          <w:szCs w:val="24"/>
        </w:rPr>
        <w:t>This</w:t>
      </w:r>
      <w:r w:rsidRPr="003A7279">
        <w:rPr>
          <w:szCs w:val="24"/>
        </w:rPr>
        <w:t xml:space="preserve"> </w:t>
      </w:r>
      <w:r>
        <w:rPr>
          <w:szCs w:val="24"/>
        </w:rPr>
        <w:t xml:space="preserve">Budget includes both an immediate response to the public health and economic and social impacts of the current outbreak and record investments to enable our city to rebuild and recover from the effects of the pandemic. </w:t>
      </w:r>
      <w:r w:rsidRPr="00A22F27">
        <w:rPr>
          <w:szCs w:val="24"/>
        </w:rPr>
        <w:t>It is a Budget guided by the principles that have underpinned our response over the past 18 months:</w:t>
      </w:r>
    </w:p>
    <w:p w14:paraId="749FCA81" w14:textId="77777777" w:rsidR="00CF0E2D" w:rsidRPr="00A22F27" w:rsidRDefault="00CF0E2D" w:rsidP="00A60D4B">
      <w:pPr>
        <w:pStyle w:val="Bbodytext"/>
        <w:rPr>
          <w:szCs w:val="24"/>
        </w:rPr>
      </w:pPr>
      <w:r w:rsidRPr="00A22F27">
        <w:rPr>
          <w:szCs w:val="24"/>
        </w:rPr>
        <w:t>•</w:t>
      </w:r>
      <w:r w:rsidRPr="00A22F27">
        <w:rPr>
          <w:szCs w:val="24"/>
        </w:rPr>
        <w:tab/>
      </w:r>
      <w:r>
        <w:rPr>
          <w:szCs w:val="24"/>
        </w:rPr>
        <w:t>i</w:t>
      </w:r>
      <w:r w:rsidRPr="00A22F27">
        <w:rPr>
          <w:szCs w:val="24"/>
        </w:rPr>
        <w:t>nvesting in healthcare and essential services</w:t>
      </w:r>
      <w:r>
        <w:rPr>
          <w:szCs w:val="24"/>
        </w:rPr>
        <w:t>;</w:t>
      </w:r>
    </w:p>
    <w:p w14:paraId="31289D4B" w14:textId="77777777" w:rsidR="00CF0E2D" w:rsidRPr="00A22F27" w:rsidRDefault="00CF0E2D" w:rsidP="00A60D4B">
      <w:pPr>
        <w:pStyle w:val="Bbodytext"/>
        <w:rPr>
          <w:szCs w:val="24"/>
        </w:rPr>
      </w:pPr>
      <w:r w:rsidRPr="00A22F27">
        <w:rPr>
          <w:szCs w:val="24"/>
        </w:rPr>
        <w:t>•</w:t>
      </w:r>
      <w:r w:rsidRPr="00A22F27">
        <w:rPr>
          <w:szCs w:val="24"/>
        </w:rPr>
        <w:tab/>
      </w:r>
      <w:r>
        <w:rPr>
          <w:szCs w:val="24"/>
        </w:rPr>
        <w:t>p</w:t>
      </w:r>
      <w:r w:rsidRPr="00A22F27">
        <w:rPr>
          <w:szCs w:val="24"/>
        </w:rPr>
        <w:t>rotecting and creating jobs; and</w:t>
      </w:r>
    </w:p>
    <w:p w14:paraId="7E270568" w14:textId="77777777" w:rsidR="00CF0E2D" w:rsidRDefault="00CF0E2D" w:rsidP="00A60D4B">
      <w:pPr>
        <w:pStyle w:val="Bbodytext"/>
        <w:rPr>
          <w:szCs w:val="24"/>
        </w:rPr>
      </w:pPr>
      <w:r w:rsidRPr="00A22F27">
        <w:rPr>
          <w:szCs w:val="24"/>
        </w:rPr>
        <w:t>•</w:t>
      </w:r>
      <w:r w:rsidRPr="00A22F27">
        <w:rPr>
          <w:szCs w:val="24"/>
        </w:rPr>
        <w:tab/>
      </w:r>
      <w:r>
        <w:rPr>
          <w:szCs w:val="24"/>
        </w:rPr>
        <w:t>p</w:t>
      </w:r>
      <w:r w:rsidRPr="00A22F27">
        <w:rPr>
          <w:szCs w:val="24"/>
        </w:rPr>
        <w:t>rotecting our most vulnerable</w:t>
      </w:r>
      <w:r>
        <w:rPr>
          <w:szCs w:val="24"/>
        </w:rPr>
        <w:t>.</w:t>
      </w:r>
    </w:p>
    <w:p w14:paraId="3A076BB4" w14:textId="254B69AC" w:rsidR="00CF0E2D" w:rsidRDefault="00CF0E2D" w:rsidP="00A60D4B">
      <w:pPr>
        <w:pStyle w:val="Bbodytext"/>
        <w:rPr>
          <w:szCs w:val="24"/>
        </w:rPr>
      </w:pPr>
      <w:r>
        <w:rPr>
          <w:szCs w:val="24"/>
        </w:rPr>
        <w:t>This will enable us to once again be the diverse and thriving economy and community that we were prior to the pandemic, while learning from our experiences over the last 18</w:t>
      </w:r>
      <w:r w:rsidR="00733A78">
        <w:rPr>
          <w:szCs w:val="24"/>
        </w:rPr>
        <w:t> </w:t>
      </w:r>
      <w:r>
        <w:rPr>
          <w:szCs w:val="24"/>
        </w:rPr>
        <w:t>months.</w:t>
      </w:r>
    </w:p>
    <w:p w14:paraId="49BBBB39" w14:textId="77777777" w:rsidR="00CF0E2D" w:rsidRDefault="00CF0E2D" w:rsidP="00A60D4B">
      <w:pPr>
        <w:pStyle w:val="Bbodytext"/>
        <w:rPr>
          <w:szCs w:val="24"/>
        </w:rPr>
      </w:pPr>
      <w:r>
        <w:rPr>
          <w:szCs w:val="24"/>
        </w:rPr>
        <w:t xml:space="preserve">The ACT Government had a well-planned vaccination rollout and prioritised vaccinations for specific cohorts of vulnerable people. </w:t>
      </w:r>
    </w:p>
    <w:p w14:paraId="420A4396" w14:textId="5921B656" w:rsidR="00CF0E2D" w:rsidRPr="004C091E" w:rsidRDefault="00CF0E2D" w:rsidP="00A60D4B">
      <w:pPr>
        <w:pStyle w:val="Bbodytext"/>
        <w:rPr>
          <w:b/>
          <w:bCs/>
        </w:rPr>
      </w:pPr>
      <w:r w:rsidRPr="004C091E">
        <w:rPr>
          <w:b/>
          <w:bCs/>
          <w:szCs w:val="24"/>
        </w:rPr>
        <w:t>The ACT is leading the race to vaccinate and is the first state or territory to have reached over 90 per cent of people over 12 to have received their first vaccination dose</w:t>
      </w:r>
      <w:r w:rsidR="001727B6">
        <w:rPr>
          <w:b/>
          <w:bCs/>
          <w:szCs w:val="24"/>
        </w:rPr>
        <w:t>.</w:t>
      </w:r>
      <w:r w:rsidRPr="004C091E">
        <w:rPr>
          <w:b/>
          <w:bCs/>
          <w:szCs w:val="24"/>
        </w:rPr>
        <w:t xml:space="preserve"> </w:t>
      </w:r>
      <w:r w:rsidR="001727B6">
        <w:rPr>
          <w:b/>
          <w:bCs/>
          <w:szCs w:val="24"/>
        </w:rPr>
        <w:t>W</w:t>
      </w:r>
      <w:r w:rsidRPr="004C091E">
        <w:rPr>
          <w:b/>
          <w:bCs/>
          <w:szCs w:val="24"/>
        </w:rPr>
        <w:t>e expect to reach 80 per cent full vaccination</w:t>
      </w:r>
      <w:r>
        <w:rPr>
          <w:b/>
          <w:bCs/>
          <w:szCs w:val="24"/>
        </w:rPr>
        <w:t xml:space="preserve"> of the eligible population</w:t>
      </w:r>
      <w:r w:rsidRPr="004C091E">
        <w:rPr>
          <w:b/>
          <w:bCs/>
          <w:szCs w:val="24"/>
        </w:rPr>
        <w:t xml:space="preserve"> by mid-October</w:t>
      </w:r>
      <w:r w:rsidR="00733A78">
        <w:rPr>
          <w:b/>
          <w:bCs/>
          <w:szCs w:val="24"/>
        </w:rPr>
        <w:t>,</w:t>
      </w:r>
      <w:r>
        <w:rPr>
          <w:b/>
          <w:bCs/>
          <w:szCs w:val="24"/>
        </w:rPr>
        <w:t xml:space="preserve"> before going on to surpass 90 per cent</w:t>
      </w:r>
      <w:r w:rsidRPr="004C091E">
        <w:rPr>
          <w:b/>
          <w:bCs/>
          <w:szCs w:val="24"/>
        </w:rPr>
        <w:t xml:space="preserve">. </w:t>
      </w:r>
    </w:p>
    <w:p w14:paraId="1ECFAF14" w14:textId="77777777" w:rsidR="00CF0E2D" w:rsidRDefault="00CF0E2D" w:rsidP="00A60D4B">
      <w:pPr>
        <w:pStyle w:val="Bbodytext"/>
      </w:pPr>
      <w:r w:rsidRPr="003A7279">
        <w:t xml:space="preserve">The </w:t>
      </w:r>
      <w:r w:rsidRPr="003A7279">
        <w:rPr>
          <w:szCs w:val="24"/>
        </w:rPr>
        <w:t xml:space="preserve">pandemic has </w:t>
      </w:r>
      <w:r>
        <w:rPr>
          <w:szCs w:val="24"/>
        </w:rPr>
        <w:t xml:space="preserve">impacted </w:t>
      </w:r>
      <w:r w:rsidRPr="003A7279">
        <w:rPr>
          <w:szCs w:val="24"/>
        </w:rPr>
        <w:t>the mental health of Canberrans</w:t>
      </w:r>
      <w:r>
        <w:rPr>
          <w:szCs w:val="24"/>
        </w:rPr>
        <w:t>. This</w:t>
      </w:r>
      <w:r w:rsidRPr="003A7279">
        <w:rPr>
          <w:szCs w:val="24"/>
        </w:rPr>
        <w:t xml:space="preserve"> is why </w:t>
      </w:r>
      <w:r w:rsidRPr="00023E8C">
        <w:rPr>
          <w:szCs w:val="24"/>
        </w:rPr>
        <w:t>the Government has again increas</w:t>
      </w:r>
      <w:r>
        <w:rPr>
          <w:szCs w:val="24"/>
        </w:rPr>
        <w:t>ed its investment in essential</w:t>
      </w:r>
      <w:r w:rsidRPr="00023E8C">
        <w:rPr>
          <w:szCs w:val="24"/>
        </w:rPr>
        <w:t xml:space="preserve"> support measures for mental health and community services. </w:t>
      </w:r>
    </w:p>
    <w:p w14:paraId="207C6716" w14:textId="377B4557" w:rsidR="00CF0E2D" w:rsidRDefault="00CF0E2D" w:rsidP="00A60D4B">
      <w:pPr>
        <w:pStyle w:val="Bbodytext"/>
      </w:pPr>
      <w:r>
        <w:t>T</w:t>
      </w:r>
      <w:r w:rsidRPr="003D632E">
        <w:t>he COVID-19 Busines</w:t>
      </w:r>
      <w:r w:rsidRPr="003D632E">
        <w:rPr>
          <w:szCs w:val="24"/>
        </w:rPr>
        <w:t>s Support Grants</w:t>
      </w:r>
      <w:r>
        <w:rPr>
          <w:szCs w:val="24"/>
        </w:rPr>
        <w:t>,</w:t>
      </w:r>
      <w:r w:rsidRPr="003D632E">
        <w:rPr>
          <w:szCs w:val="24"/>
        </w:rPr>
        <w:t xml:space="preserve"> </w:t>
      </w:r>
      <w:r>
        <w:rPr>
          <w:szCs w:val="24"/>
        </w:rPr>
        <w:t xml:space="preserve">Small Business Hardship Scheme and the </w:t>
      </w:r>
      <w:r w:rsidR="001B450E">
        <w:rPr>
          <w:szCs w:val="24"/>
        </w:rPr>
        <w:t xml:space="preserve">COVID-19 </w:t>
      </w:r>
      <w:r w:rsidR="001B450E" w:rsidRPr="000C5FE6">
        <w:rPr>
          <w:szCs w:val="24"/>
        </w:rPr>
        <w:t>Tourism, Accommodation Provider</w:t>
      </w:r>
      <w:r w:rsidR="001B450E">
        <w:rPr>
          <w:szCs w:val="24"/>
        </w:rPr>
        <w:t xml:space="preserve">, </w:t>
      </w:r>
      <w:r w:rsidR="001B450E" w:rsidRPr="000C5FE6">
        <w:rPr>
          <w:szCs w:val="24"/>
        </w:rPr>
        <w:t>Hospitality</w:t>
      </w:r>
      <w:r w:rsidR="001B450E">
        <w:rPr>
          <w:szCs w:val="24"/>
        </w:rPr>
        <w:t>, Arts and Events and Fitness</w:t>
      </w:r>
      <w:r w:rsidR="001B450E" w:rsidRPr="000C5FE6">
        <w:rPr>
          <w:szCs w:val="24"/>
        </w:rPr>
        <w:t xml:space="preserve"> Industry </w:t>
      </w:r>
      <w:r w:rsidR="001B450E">
        <w:rPr>
          <w:szCs w:val="24"/>
        </w:rPr>
        <w:t xml:space="preserve">Grants </w:t>
      </w:r>
      <w:r>
        <w:rPr>
          <w:szCs w:val="24"/>
        </w:rPr>
        <w:t>will</w:t>
      </w:r>
      <w:r w:rsidRPr="003D632E">
        <w:rPr>
          <w:szCs w:val="24"/>
        </w:rPr>
        <w:t xml:space="preserve"> </w:t>
      </w:r>
      <w:r w:rsidRPr="00455DAC">
        <w:rPr>
          <w:szCs w:val="24"/>
        </w:rPr>
        <w:t>provide economic and financial support for adversely affected ACT businesses</w:t>
      </w:r>
      <w:r>
        <w:rPr>
          <w:szCs w:val="24"/>
        </w:rPr>
        <w:t xml:space="preserve"> enabling them to get back on their feet as restrictions are gradually eased</w:t>
      </w:r>
      <w:r w:rsidRPr="00455DAC">
        <w:rPr>
          <w:szCs w:val="24"/>
        </w:rPr>
        <w:t xml:space="preserve">. </w:t>
      </w:r>
    </w:p>
    <w:p w14:paraId="5F8B8225" w14:textId="77777777" w:rsidR="00CF0E2D" w:rsidRDefault="00CF0E2D" w:rsidP="00AD052A">
      <w:pPr>
        <w:pStyle w:val="Bbodytext"/>
        <w:keepNext/>
        <w:keepLines/>
        <w:rPr>
          <w:szCs w:val="24"/>
        </w:rPr>
      </w:pPr>
      <w:r w:rsidRPr="00397A38">
        <w:lastRenderedPageBreak/>
        <w:t>The provision of the health, economic and finan</w:t>
      </w:r>
      <w:r w:rsidRPr="00397A38">
        <w:rPr>
          <w:szCs w:val="24"/>
        </w:rPr>
        <w:t xml:space="preserve">cial supports to the </w:t>
      </w:r>
      <w:r>
        <w:rPr>
          <w:szCs w:val="24"/>
        </w:rPr>
        <w:t>ACT c</w:t>
      </w:r>
      <w:r w:rsidRPr="00397A38">
        <w:rPr>
          <w:szCs w:val="24"/>
        </w:rPr>
        <w:t>ommunity and reductions in own-source revenue collections ha</w:t>
      </w:r>
      <w:r>
        <w:rPr>
          <w:szCs w:val="24"/>
        </w:rPr>
        <w:t>ve</w:t>
      </w:r>
      <w:r w:rsidRPr="00397A38">
        <w:rPr>
          <w:szCs w:val="24"/>
        </w:rPr>
        <w:t xml:space="preserve"> </w:t>
      </w:r>
      <w:r>
        <w:rPr>
          <w:szCs w:val="24"/>
        </w:rPr>
        <w:t>significantly</w:t>
      </w:r>
      <w:r w:rsidRPr="00397A38">
        <w:rPr>
          <w:szCs w:val="24"/>
        </w:rPr>
        <w:t xml:space="preserve"> impacted the Territory’s finances</w:t>
      </w:r>
      <w:r>
        <w:rPr>
          <w:szCs w:val="24"/>
        </w:rPr>
        <w:t xml:space="preserve">. These factors have resulted </w:t>
      </w:r>
      <w:r w:rsidRPr="00397A38">
        <w:rPr>
          <w:szCs w:val="24"/>
        </w:rPr>
        <w:t>in the He</w:t>
      </w:r>
      <w:r w:rsidRPr="0094599E">
        <w:rPr>
          <w:szCs w:val="24"/>
        </w:rPr>
        <w:t>adline Net Operating Balance (HNOB)</w:t>
      </w:r>
      <w:r>
        <w:rPr>
          <w:szCs w:val="24"/>
        </w:rPr>
        <w:t xml:space="preserve"> being in</w:t>
      </w:r>
      <w:r w:rsidRPr="0094599E">
        <w:rPr>
          <w:szCs w:val="24"/>
        </w:rPr>
        <w:t xml:space="preserve"> deficit </w:t>
      </w:r>
      <w:r>
        <w:rPr>
          <w:szCs w:val="24"/>
        </w:rPr>
        <w:t>by</w:t>
      </w:r>
      <w:r w:rsidRPr="0094599E">
        <w:rPr>
          <w:szCs w:val="24"/>
        </w:rPr>
        <w:t xml:space="preserve"> $</w:t>
      </w:r>
      <w:r>
        <w:rPr>
          <w:szCs w:val="24"/>
        </w:rPr>
        <w:t>951.5 m</w:t>
      </w:r>
      <w:r w:rsidRPr="003D632E">
        <w:rPr>
          <w:szCs w:val="24"/>
        </w:rPr>
        <w:t xml:space="preserve">illion in 2021-22. </w:t>
      </w:r>
      <w:r>
        <w:rPr>
          <w:szCs w:val="24"/>
        </w:rPr>
        <w:t>However, these investments continue to be critical as we navigate the evolving health and economic impacts resulting from the pandemic. However, the alternative to not making these investments would have been to accept a much more significant and prolonged negative impact on the economy, public finances and community health and wellbeing.</w:t>
      </w:r>
    </w:p>
    <w:p w14:paraId="060CA667" w14:textId="77777777" w:rsidR="00CF0E2D" w:rsidRDefault="00CF0E2D" w:rsidP="00A60D4B">
      <w:pPr>
        <w:pStyle w:val="Bbodytext"/>
        <w:rPr>
          <w:szCs w:val="24"/>
        </w:rPr>
      </w:pPr>
      <w:r>
        <w:rPr>
          <w:szCs w:val="24"/>
        </w:rPr>
        <w:t>While the HNOB improves significantly in 2022-23 to a deficit of $564.3 million and continues to reduce progressively to a deficit of $474.1 million in 2024-2025, it still remains higher than expected at the time of the 2020-21 Budget, reflecting the continuing investments the Government is making to enable the community and business to recover and rebuild.</w:t>
      </w:r>
      <w:r w:rsidDel="00524808">
        <w:rPr>
          <w:szCs w:val="24"/>
        </w:rPr>
        <w:t xml:space="preserve"> </w:t>
      </w:r>
    </w:p>
    <w:p w14:paraId="2E58728B" w14:textId="75D949A9" w:rsidR="00CF0E2D" w:rsidRPr="00975E3C" w:rsidRDefault="00CF0E2D" w:rsidP="00A60D4B">
      <w:pPr>
        <w:pStyle w:val="Bbodytext"/>
        <w:rPr>
          <w:szCs w:val="24"/>
        </w:rPr>
      </w:pPr>
      <w:r w:rsidRPr="003D632E">
        <w:rPr>
          <w:szCs w:val="24"/>
        </w:rPr>
        <w:t>The road back to surplus will continue to be a focus for the Government</w:t>
      </w:r>
      <w:r>
        <w:rPr>
          <w:szCs w:val="24"/>
        </w:rPr>
        <w:t xml:space="preserve"> over the medium</w:t>
      </w:r>
      <w:r w:rsidR="00AD052A">
        <w:rPr>
          <w:szCs w:val="24"/>
        </w:rPr>
        <w:noBreakHyphen/>
      </w:r>
      <w:r>
        <w:rPr>
          <w:szCs w:val="24"/>
        </w:rPr>
        <w:t>term.</w:t>
      </w:r>
      <w:r w:rsidRPr="003D632E">
        <w:rPr>
          <w:szCs w:val="24"/>
        </w:rPr>
        <w:t xml:space="preserve"> </w:t>
      </w:r>
      <w:r>
        <w:rPr>
          <w:szCs w:val="24"/>
        </w:rPr>
        <w:t>H</w:t>
      </w:r>
      <w:r w:rsidRPr="003D632E">
        <w:rPr>
          <w:szCs w:val="24"/>
        </w:rPr>
        <w:t xml:space="preserve">owever, the </w:t>
      </w:r>
      <w:r>
        <w:rPr>
          <w:szCs w:val="24"/>
        </w:rPr>
        <w:t>need to continue to support the recovery and position Canberra to respond to a range of opportunities as nationally and internationally we emerge from the pandemic</w:t>
      </w:r>
      <w:r w:rsidRPr="003D632E">
        <w:rPr>
          <w:szCs w:val="24"/>
        </w:rPr>
        <w:t xml:space="preserve"> </w:t>
      </w:r>
      <w:r>
        <w:rPr>
          <w:szCs w:val="24"/>
        </w:rPr>
        <w:t xml:space="preserve">currently </w:t>
      </w:r>
      <w:r w:rsidRPr="003D632E">
        <w:rPr>
          <w:szCs w:val="24"/>
        </w:rPr>
        <w:t>outweig</w:t>
      </w:r>
      <w:r w:rsidRPr="00975E3C">
        <w:rPr>
          <w:szCs w:val="24"/>
        </w:rPr>
        <w:t>h</w:t>
      </w:r>
      <w:r>
        <w:rPr>
          <w:szCs w:val="24"/>
        </w:rPr>
        <w:t>s</w:t>
      </w:r>
      <w:r w:rsidRPr="00975E3C">
        <w:rPr>
          <w:szCs w:val="24"/>
        </w:rPr>
        <w:t xml:space="preserve"> the immediate need to balance the budget. </w:t>
      </w:r>
      <w:r>
        <w:rPr>
          <w:szCs w:val="24"/>
        </w:rPr>
        <w:t>Improving the</w:t>
      </w:r>
      <w:r w:rsidRPr="00975E3C">
        <w:rPr>
          <w:szCs w:val="24"/>
        </w:rPr>
        <w:t xml:space="preserve"> wellbeing of the community will continue to be the Government’s priority </w:t>
      </w:r>
      <w:r>
        <w:rPr>
          <w:szCs w:val="24"/>
        </w:rPr>
        <w:t xml:space="preserve">even </w:t>
      </w:r>
      <w:r w:rsidRPr="00975E3C">
        <w:rPr>
          <w:szCs w:val="24"/>
        </w:rPr>
        <w:t xml:space="preserve">as it focusses on the challenges ahead </w:t>
      </w:r>
      <w:r>
        <w:rPr>
          <w:szCs w:val="24"/>
        </w:rPr>
        <w:t>and</w:t>
      </w:r>
      <w:r w:rsidRPr="00975E3C">
        <w:rPr>
          <w:szCs w:val="24"/>
        </w:rPr>
        <w:t xml:space="preserve"> improv</w:t>
      </w:r>
      <w:r>
        <w:rPr>
          <w:szCs w:val="24"/>
        </w:rPr>
        <w:t>ing</w:t>
      </w:r>
      <w:r w:rsidRPr="00975E3C">
        <w:rPr>
          <w:szCs w:val="24"/>
        </w:rPr>
        <w:t xml:space="preserve"> its fiscal standing. </w:t>
      </w:r>
    </w:p>
    <w:p w14:paraId="122F1005" w14:textId="77777777" w:rsidR="00CF0E2D" w:rsidRDefault="00CF0E2D" w:rsidP="00A60D4B">
      <w:pPr>
        <w:pStyle w:val="Bbodytext"/>
        <w:keepNext/>
        <w:rPr>
          <w:szCs w:val="24"/>
        </w:rPr>
      </w:pPr>
      <w:r>
        <w:rPr>
          <w:szCs w:val="24"/>
        </w:rPr>
        <w:t>The Government is committed to:</w:t>
      </w:r>
    </w:p>
    <w:p w14:paraId="32865B45" w14:textId="77777777" w:rsidR="00CF0E2D" w:rsidRPr="00B24F84" w:rsidRDefault="00CF0E2D" w:rsidP="00A60D4B">
      <w:pPr>
        <w:pStyle w:val="BBullet1"/>
        <w:tabs>
          <w:tab w:val="clear" w:pos="357"/>
          <w:tab w:val="left" w:pos="567"/>
        </w:tabs>
        <w:ind w:left="567" w:hanging="567"/>
      </w:pPr>
      <w:r>
        <w:t>s</w:t>
      </w:r>
      <w:r w:rsidRPr="00B24F84">
        <w:t xml:space="preserve">upporting the </w:t>
      </w:r>
      <w:r>
        <w:t xml:space="preserve">continuing public health and economic and jobs recovery response to the </w:t>
      </w:r>
      <w:r w:rsidRPr="00B24F84">
        <w:t>COVID-19</w:t>
      </w:r>
      <w:r>
        <w:t xml:space="preserve"> pandemic</w:t>
      </w:r>
      <w:r w:rsidRPr="00B24F84">
        <w:t>;</w:t>
      </w:r>
      <w:r>
        <w:t xml:space="preserve"> </w:t>
      </w:r>
    </w:p>
    <w:p w14:paraId="67683C88" w14:textId="77777777" w:rsidR="00CF0E2D" w:rsidRPr="00B24F84" w:rsidRDefault="00CF0E2D" w:rsidP="00A60D4B">
      <w:pPr>
        <w:pStyle w:val="BBullet1"/>
        <w:tabs>
          <w:tab w:val="clear" w:pos="357"/>
          <w:tab w:val="left" w:pos="567"/>
        </w:tabs>
        <w:ind w:left="567" w:hanging="567"/>
      </w:pPr>
      <w:r w:rsidRPr="00B24F84">
        <w:t>restoring public finances</w:t>
      </w:r>
      <w:r>
        <w:t xml:space="preserve">, once the community and economy have fully recovered from the impact of COVID-19, </w:t>
      </w:r>
      <w:r w:rsidRPr="00B24F84">
        <w:t>by systematically reducing debt over the long term; and</w:t>
      </w:r>
    </w:p>
    <w:p w14:paraId="24E71EC6" w14:textId="77777777" w:rsidR="00CF0E2D" w:rsidRPr="00B24F84" w:rsidRDefault="00CF0E2D" w:rsidP="00A60D4B">
      <w:pPr>
        <w:pStyle w:val="BBullet1"/>
        <w:tabs>
          <w:tab w:val="clear" w:pos="357"/>
          <w:tab w:val="left" w:pos="567"/>
        </w:tabs>
        <w:ind w:left="567" w:hanging="567"/>
      </w:pPr>
      <w:r w:rsidRPr="00B24F84">
        <w:t>strategically investing in</w:t>
      </w:r>
      <w:r>
        <w:t xml:space="preserve"> </w:t>
      </w:r>
      <w:r w:rsidRPr="00B24F84">
        <w:t>infrastructure</w:t>
      </w:r>
      <w:r>
        <w:t xml:space="preserve"> that improves wellbeing</w:t>
      </w:r>
      <w:r w:rsidRPr="00B24F84">
        <w:t xml:space="preserve"> </w:t>
      </w:r>
      <w:r>
        <w:t xml:space="preserve">and </w:t>
      </w:r>
      <w:r w:rsidRPr="00B24F84">
        <w:t>support</w:t>
      </w:r>
      <w:r>
        <w:t>s</w:t>
      </w:r>
      <w:r w:rsidRPr="00B24F84">
        <w:t xml:space="preserve"> economic growth </w:t>
      </w:r>
      <w:r>
        <w:t xml:space="preserve">and jobs </w:t>
      </w:r>
      <w:r w:rsidRPr="00B24F84">
        <w:t>in the longer term.</w:t>
      </w:r>
    </w:p>
    <w:p w14:paraId="519464F3" w14:textId="77777777" w:rsidR="00CF0E2D" w:rsidRPr="00B24F84" w:rsidRDefault="00CF0E2D" w:rsidP="00A60D4B">
      <w:pPr>
        <w:pStyle w:val="Bbodytext"/>
        <w:keepNext/>
      </w:pPr>
      <w:r w:rsidRPr="00B24F84">
        <w:t xml:space="preserve">The Government </w:t>
      </w:r>
      <w:r>
        <w:t xml:space="preserve">also </w:t>
      </w:r>
      <w:r w:rsidRPr="00B24F84">
        <w:t>remains committed to the principles of good fiscal management:</w:t>
      </w:r>
    </w:p>
    <w:p w14:paraId="44F1A202" w14:textId="77777777" w:rsidR="00CF0E2D" w:rsidRDefault="00CF0E2D" w:rsidP="00A60D4B">
      <w:pPr>
        <w:pStyle w:val="BBullet1"/>
        <w:tabs>
          <w:tab w:val="clear" w:pos="357"/>
          <w:tab w:val="left" w:pos="567"/>
        </w:tabs>
        <w:ind w:left="567" w:hanging="567"/>
      </w:pPr>
      <w:r w:rsidRPr="00B24F84">
        <w:t>sustainable economic growth;</w:t>
      </w:r>
    </w:p>
    <w:p w14:paraId="04E0F781" w14:textId="77777777" w:rsidR="00CF0E2D" w:rsidRPr="00B24F84" w:rsidRDefault="00CF0E2D" w:rsidP="00A60D4B">
      <w:pPr>
        <w:pStyle w:val="BBullet1"/>
        <w:tabs>
          <w:tab w:val="clear" w:pos="357"/>
          <w:tab w:val="left" w:pos="567"/>
        </w:tabs>
        <w:ind w:left="567" w:hanging="567"/>
      </w:pPr>
      <w:r w:rsidRPr="00B24F84">
        <w:t>sound public finances;</w:t>
      </w:r>
    </w:p>
    <w:p w14:paraId="4583BBFF" w14:textId="77777777" w:rsidR="00CF0E2D" w:rsidRPr="00B24F84" w:rsidRDefault="00CF0E2D" w:rsidP="00A60D4B">
      <w:pPr>
        <w:pStyle w:val="BBullet1"/>
        <w:tabs>
          <w:tab w:val="clear" w:pos="357"/>
          <w:tab w:val="left" w:pos="567"/>
        </w:tabs>
        <w:ind w:left="567" w:hanging="567"/>
      </w:pPr>
      <w:r w:rsidRPr="00B24F84">
        <w:t>quality and efficient services;</w:t>
      </w:r>
    </w:p>
    <w:p w14:paraId="69CFFEF3" w14:textId="77777777" w:rsidR="00CF0E2D" w:rsidRDefault="00CF0E2D" w:rsidP="00A60D4B">
      <w:pPr>
        <w:pStyle w:val="BBullet1"/>
        <w:tabs>
          <w:tab w:val="clear" w:pos="357"/>
          <w:tab w:val="left" w:pos="567"/>
        </w:tabs>
        <w:ind w:left="567" w:hanging="567"/>
      </w:pPr>
      <w:r w:rsidRPr="00B24F84">
        <w:t>sustainable taxation and revenue;</w:t>
      </w:r>
      <w:r>
        <w:t xml:space="preserve"> and</w:t>
      </w:r>
    </w:p>
    <w:p w14:paraId="6B749DE5" w14:textId="77777777" w:rsidR="00CF0E2D" w:rsidRDefault="00CF0E2D" w:rsidP="00A60D4B">
      <w:pPr>
        <w:pStyle w:val="BBullet1"/>
        <w:tabs>
          <w:tab w:val="clear" w:pos="357"/>
          <w:tab w:val="left" w:pos="567"/>
        </w:tabs>
        <w:ind w:left="567" w:hanging="567"/>
      </w:pPr>
      <w:r>
        <w:t xml:space="preserve">a </w:t>
      </w:r>
      <w:r w:rsidRPr="00B24F84">
        <w:t>strong balance sheet.</w:t>
      </w:r>
    </w:p>
    <w:p w14:paraId="73DA506D" w14:textId="77777777" w:rsidR="00CF0E2D" w:rsidRPr="00B24F84" w:rsidRDefault="00CF0E2D" w:rsidP="00A60D4B">
      <w:pPr>
        <w:pStyle w:val="Bbodytext"/>
      </w:pPr>
      <w:r>
        <w:t>This strategy and set of principles reaffirm the Government’s commitment to prioritise support for the ACT economy to recover from the effects of COVID-19, while recognising the need for prudent financial management to support intergenerational equity and ensure the wellbeing of Canberrans in the medium to longer term.</w:t>
      </w:r>
    </w:p>
    <w:p w14:paraId="194C57B7" w14:textId="77777777" w:rsidR="00CF0E2D" w:rsidRDefault="00CF0E2D" w:rsidP="00A60D4B">
      <w:pPr>
        <w:pStyle w:val="Heading4"/>
      </w:pPr>
      <w:r>
        <w:lastRenderedPageBreak/>
        <w:t>Sustainable economic growth</w:t>
      </w:r>
    </w:p>
    <w:p w14:paraId="20CDD389" w14:textId="77777777" w:rsidR="00CF0E2D" w:rsidRDefault="00CF0E2D" w:rsidP="00A60D4B">
      <w:pPr>
        <w:pStyle w:val="Bbodytext"/>
        <w:keepLines/>
      </w:pPr>
      <w:r>
        <w:t xml:space="preserve">In the current circumstance the principle of sustainable economic growth is reflected in a strong public health and economic and jobs recovery response to the </w:t>
      </w:r>
      <w:r w:rsidRPr="00B24F84">
        <w:t>COVID-19</w:t>
      </w:r>
      <w:r>
        <w:t xml:space="preserve"> pandemic. Accordingly, throughout the COVID-19 pandemic, the Government’s focus has been on ensuring timely, effective and appropriate support for Canberra businesses and the community. </w:t>
      </w:r>
    </w:p>
    <w:p w14:paraId="1338F043" w14:textId="77777777" w:rsidR="00CF0E2D" w:rsidRDefault="00CF0E2D" w:rsidP="00A60D4B">
      <w:pPr>
        <w:pStyle w:val="Bbodytext"/>
      </w:pPr>
      <w:r>
        <w:t>In the 2020-21 Budget, we noted that, should the COVID-19 pandemic worsen, the Government would respond immediately and fund the appropriate health response as well as any additional assistance required to mitigate the economic impact on the community and business.</w:t>
      </w:r>
    </w:p>
    <w:p w14:paraId="0A65E461" w14:textId="77777777" w:rsidR="00CF0E2D" w:rsidRDefault="00CF0E2D" w:rsidP="00A60D4B">
      <w:pPr>
        <w:pStyle w:val="Bbodytext"/>
      </w:pPr>
      <w:r>
        <w:t>Unfortunately, as a result of the Delta variant outbreak, the COVID-19 pandemic has worsened significantly since the 2020-21 Budget.</w:t>
      </w:r>
      <w:r w:rsidRPr="00DE5AD7">
        <w:t xml:space="preserve"> </w:t>
      </w:r>
    </w:p>
    <w:p w14:paraId="01F70CE6" w14:textId="77777777" w:rsidR="00CF0E2D" w:rsidRPr="004C091E" w:rsidRDefault="00CF0E2D" w:rsidP="00A60D4B">
      <w:pPr>
        <w:pStyle w:val="Bbodytext"/>
        <w:rPr>
          <w:b/>
          <w:bCs/>
          <w:szCs w:val="24"/>
        </w:rPr>
      </w:pPr>
      <w:r w:rsidRPr="004C091E">
        <w:rPr>
          <w:b/>
          <w:bCs/>
        </w:rPr>
        <w:t xml:space="preserve">Responding to the current health emergency, including the roll-out of vaccinations is the Government’s immediate priority. Recent events have reaffirmed the importance of high levels of vaccinations in our pathway forward. The Government is targeting </w:t>
      </w:r>
      <w:r w:rsidRPr="004C091E">
        <w:rPr>
          <w:b/>
          <w:bCs/>
          <w:szCs w:val="24"/>
        </w:rPr>
        <w:t>high vaccination rates for all eligible Canberrans and is committed to ensuring that the vaccine rollout continues to be delivered in a safe, effective and accessible manner for all eligible Canberrans.</w:t>
      </w:r>
    </w:p>
    <w:p w14:paraId="7DB674BF" w14:textId="77777777" w:rsidR="00CF0E2D" w:rsidRDefault="00CF0E2D" w:rsidP="00A60D4B">
      <w:pPr>
        <w:pStyle w:val="Bbodytext"/>
        <w:rPr>
          <w:szCs w:val="24"/>
        </w:rPr>
      </w:pPr>
      <w:r>
        <w:rPr>
          <w:szCs w:val="24"/>
        </w:rPr>
        <w:t xml:space="preserve">The 2021-22 Budget also significantly boosts the investment in the public health system to ensure capacity to appropriately respond to COVID-19 and other challenges into the future. </w:t>
      </w:r>
    </w:p>
    <w:p w14:paraId="5BA9AF22" w14:textId="77777777" w:rsidR="00CF0E2D" w:rsidRDefault="00CF0E2D" w:rsidP="00A60D4B">
      <w:pPr>
        <w:pStyle w:val="Bbodytext"/>
        <w:rPr>
          <w:szCs w:val="24"/>
        </w:rPr>
      </w:pPr>
      <w:r>
        <w:rPr>
          <w:szCs w:val="24"/>
        </w:rPr>
        <w:t xml:space="preserve">The Government, however, </w:t>
      </w:r>
      <w:r w:rsidRPr="00936D99">
        <w:rPr>
          <w:szCs w:val="24"/>
        </w:rPr>
        <w:t>has not lost si</w:t>
      </w:r>
      <w:r>
        <w:rPr>
          <w:szCs w:val="24"/>
        </w:rPr>
        <w:t>ght</w:t>
      </w:r>
      <w:r w:rsidRPr="00936D99">
        <w:rPr>
          <w:szCs w:val="24"/>
        </w:rPr>
        <w:t xml:space="preserve"> </w:t>
      </w:r>
      <w:r>
        <w:rPr>
          <w:szCs w:val="24"/>
        </w:rPr>
        <w:t>of the</w:t>
      </w:r>
      <w:r w:rsidRPr="00936D99">
        <w:rPr>
          <w:szCs w:val="24"/>
        </w:rPr>
        <w:t xml:space="preserve"> </w:t>
      </w:r>
      <w:r w:rsidRPr="00266CD3">
        <w:rPr>
          <w:szCs w:val="24"/>
        </w:rPr>
        <w:t xml:space="preserve">longer-term investments </w:t>
      </w:r>
      <w:r>
        <w:rPr>
          <w:szCs w:val="24"/>
        </w:rPr>
        <w:t xml:space="preserve">that </w:t>
      </w:r>
      <w:r w:rsidRPr="00266CD3">
        <w:rPr>
          <w:szCs w:val="24"/>
        </w:rPr>
        <w:t xml:space="preserve">are </w:t>
      </w:r>
      <w:r>
        <w:rPr>
          <w:szCs w:val="24"/>
        </w:rPr>
        <w:t xml:space="preserve">now </w:t>
      </w:r>
      <w:r w:rsidRPr="00266CD3">
        <w:rPr>
          <w:szCs w:val="24"/>
        </w:rPr>
        <w:t>more important than ever.</w:t>
      </w:r>
      <w:r w:rsidRPr="00DE0307">
        <w:rPr>
          <w:szCs w:val="24"/>
        </w:rPr>
        <w:t xml:space="preserve"> </w:t>
      </w:r>
      <w:r>
        <w:rPr>
          <w:szCs w:val="24"/>
        </w:rPr>
        <w:t>The Government’s plan to create 250,000 local jobs by 2025 remains a priority to boost the ACT economy and this Budget demonstrates our continued commitment to infrastructure investment, jobs growth and free training and skills development for young Canberrans.</w:t>
      </w:r>
    </w:p>
    <w:p w14:paraId="17B0A3EA" w14:textId="77777777" w:rsidR="00CF0E2D" w:rsidRDefault="00CF0E2D" w:rsidP="00A60D4B">
      <w:pPr>
        <w:pStyle w:val="Bbodytext"/>
        <w:rPr>
          <w:szCs w:val="24"/>
        </w:rPr>
      </w:pPr>
      <w:r>
        <w:rPr>
          <w:szCs w:val="24"/>
        </w:rPr>
        <w:t>By also prioritising the medium to longer-term needs of Canberra, we are establishing a path back to more normal times. In doing so, we are supporting employment in the Territory through a record infrastructure spend and future-proofing services across Government.</w:t>
      </w:r>
    </w:p>
    <w:p w14:paraId="6E8D0572" w14:textId="77777777" w:rsidR="00CF0E2D" w:rsidRPr="00CA2D8A" w:rsidRDefault="00CF0E2D" w:rsidP="00A60D4B">
      <w:pPr>
        <w:pStyle w:val="Heading4"/>
      </w:pPr>
      <w:r w:rsidRPr="005C61B7">
        <w:t>Sound public finances</w:t>
      </w:r>
    </w:p>
    <w:p w14:paraId="3316E485" w14:textId="77777777" w:rsidR="00CF0E2D" w:rsidRDefault="00CF0E2D" w:rsidP="00A60D4B">
      <w:pPr>
        <w:pStyle w:val="Bbodytext"/>
      </w:pPr>
      <w:r w:rsidRPr="00A454B1">
        <w:t>Through increased</w:t>
      </w:r>
      <w:r>
        <w:t>, targeted</w:t>
      </w:r>
      <w:r w:rsidRPr="00A454B1">
        <w:t xml:space="preserve"> and efficient expenditure</w:t>
      </w:r>
      <w:r>
        <w:t xml:space="preserve">, </w:t>
      </w:r>
      <w:r w:rsidRPr="00A454B1">
        <w:t>regulatory and tax reforms</w:t>
      </w:r>
      <w:r>
        <w:t>,</w:t>
      </w:r>
      <w:r w:rsidRPr="00A454B1">
        <w:t xml:space="preserve"> and </w:t>
      </w:r>
      <w:r>
        <w:t xml:space="preserve">continued </w:t>
      </w:r>
      <w:r w:rsidRPr="00A454B1">
        <w:t>support</w:t>
      </w:r>
      <w:r>
        <w:t xml:space="preserve"> for local jobs and </w:t>
      </w:r>
      <w:r w:rsidRPr="00A454B1">
        <w:t>vulnerable Canberrans</w:t>
      </w:r>
      <w:r>
        <w:t>,</w:t>
      </w:r>
      <w:r w:rsidRPr="00A454B1">
        <w:t xml:space="preserve"> the ACT Government has placed the Territory in a position from which it can again grow strongly</w:t>
      </w:r>
      <w:r>
        <w:t xml:space="preserve"> and take advantage of the opportunities that a post-COVID world offers</w:t>
      </w:r>
      <w:r w:rsidRPr="00A454B1">
        <w:t xml:space="preserve">. </w:t>
      </w:r>
    </w:p>
    <w:p w14:paraId="104990C5" w14:textId="77777777" w:rsidR="00CF0E2D" w:rsidRDefault="00CF0E2D" w:rsidP="00A60D4B">
      <w:pPr>
        <w:pStyle w:val="Bbodytext"/>
        <w:keepNext/>
      </w:pPr>
      <w:r>
        <w:t>The COVID-19 pandemic significantly affected the Government’s ability to generate own</w:t>
      </w:r>
      <w:r>
        <w:noBreakHyphen/>
        <w:t xml:space="preserve">source revenue. As such, the Territory’s return to a net operating balance will be managed over the longer term. The Government expects the budget will remain in deficit over the forward estimates period and that gross debt is expected to increase over the next four years. </w:t>
      </w:r>
    </w:p>
    <w:p w14:paraId="71438FDC" w14:textId="77777777" w:rsidR="00CF0E2D" w:rsidRPr="00A53834" w:rsidRDefault="00CF0E2D" w:rsidP="00A60D4B">
      <w:pPr>
        <w:pStyle w:val="Bbodytext"/>
      </w:pPr>
      <w:r>
        <w:t xml:space="preserve">The Government recognises the importance of </w:t>
      </w:r>
      <w:r w:rsidRPr="00A53834">
        <w:t>budget repair</w:t>
      </w:r>
      <w:r>
        <w:t xml:space="preserve"> and its fiscal and budget strategy for the medium term remains focused on restoring public finances and stabilising net debt. </w:t>
      </w:r>
    </w:p>
    <w:p w14:paraId="47F2D0E6" w14:textId="77777777" w:rsidR="00CF0E2D" w:rsidRPr="00A53834" w:rsidRDefault="00CF0E2D" w:rsidP="00A60D4B">
      <w:pPr>
        <w:pStyle w:val="Bbodytext"/>
      </w:pPr>
      <w:r>
        <w:lastRenderedPageBreak/>
        <w:t xml:space="preserve">In the short term, the need to continue a strong public health response and economic support measures is paramount. Over the medium term, the Government will continue to provide targeted support to areas of the economy that need additional support to encourage economic recovery and jobs growth.  </w:t>
      </w:r>
    </w:p>
    <w:p w14:paraId="4944E9A3" w14:textId="77777777" w:rsidR="00CF0E2D" w:rsidRPr="00A53834" w:rsidRDefault="00CF0E2D" w:rsidP="00A60D4B">
      <w:pPr>
        <w:pStyle w:val="Bbodytext"/>
        <w:keepNext/>
        <w:keepLines/>
      </w:pPr>
      <w:r>
        <w:t xml:space="preserve">In addition, the Government is aware of the disproportionate intergenerational impact that downturns have on the prospects of young people. Therefore, while stabilising debt over the medium to long term remains important, investment in skills development and ensuring economic opportunities for young people is just as important for ensuring intergenerational equity. </w:t>
      </w:r>
    </w:p>
    <w:p w14:paraId="73C3E322" w14:textId="77777777" w:rsidR="00CF0E2D" w:rsidRPr="00F72E4D" w:rsidRDefault="00CF0E2D" w:rsidP="00A60D4B">
      <w:pPr>
        <w:pStyle w:val="Heading4"/>
      </w:pPr>
      <w:r>
        <w:t>Q</w:t>
      </w:r>
      <w:r w:rsidRPr="00B24F84">
        <w:t>uality and efficient services</w:t>
      </w:r>
    </w:p>
    <w:p w14:paraId="3CED9626" w14:textId="77777777" w:rsidR="00CF0E2D" w:rsidRDefault="00CF0E2D" w:rsidP="00A60D4B">
      <w:pPr>
        <w:pStyle w:val="Bbodytext"/>
      </w:pPr>
      <w:r>
        <w:t>Good fiscal management also needs to align with addressing immediate and future challenges. To ensure that decision-making explicitly considers those factors that most influence our quality of life, the Government is bringing a wellbeing focus to our Budget process.</w:t>
      </w:r>
    </w:p>
    <w:p w14:paraId="01A600F5" w14:textId="77777777" w:rsidR="00CF0E2D" w:rsidRDefault="00CF0E2D" w:rsidP="00A60D4B">
      <w:pPr>
        <w:pStyle w:val="Bbodytext"/>
      </w:pPr>
      <w:r>
        <w:t>The 2021-22 Budget reaffirms the Government’s commitment to improving the wellbeing of Canberrans through significant investments in services that affect quality of life, including significant investments in:</w:t>
      </w:r>
    </w:p>
    <w:p w14:paraId="587F5F9D" w14:textId="77777777" w:rsidR="00CF0E2D" w:rsidRDefault="00CF0E2D" w:rsidP="00CF0E2D">
      <w:pPr>
        <w:pStyle w:val="Bbodytext"/>
        <w:numPr>
          <w:ilvl w:val="0"/>
          <w:numId w:val="28"/>
        </w:numPr>
      </w:pPr>
      <w:r>
        <w:t xml:space="preserve">the </w:t>
      </w:r>
      <w:r w:rsidRPr="004F277F">
        <w:t>ACT public health system</w:t>
      </w:r>
      <w:r>
        <w:t xml:space="preserve"> to meet future demand</w:t>
      </w:r>
      <w:r w:rsidRPr="004F277F">
        <w:t xml:space="preserve"> and </w:t>
      </w:r>
      <w:r>
        <w:t xml:space="preserve">in response to </w:t>
      </w:r>
      <w:r w:rsidRPr="004F277F">
        <w:t>increased complexity of health service delivery</w:t>
      </w:r>
      <w:r>
        <w:t>;</w:t>
      </w:r>
    </w:p>
    <w:p w14:paraId="2983F51C" w14:textId="77777777" w:rsidR="00CF0E2D" w:rsidRDefault="00CF0E2D" w:rsidP="00CF0E2D">
      <w:pPr>
        <w:pStyle w:val="Bbodytext"/>
        <w:numPr>
          <w:ilvl w:val="0"/>
          <w:numId w:val="28"/>
        </w:numPr>
      </w:pPr>
      <w:r>
        <w:t>public education and skills development, in recognition of the contribution of these areas to positive social and personal wellbeing outcomes for individuals and to economic growth more broadly;</w:t>
      </w:r>
    </w:p>
    <w:p w14:paraId="465F07C4" w14:textId="77777777" w:rsidR="00CF0E2D" w:rsidRDefault="00CF0E2D" w:rsidP="00CF0E2D">
      <w:pPr>
        <w:pStyle w:val="Bbodytext"/>
        <w:numPr>
          <w:ilvl w:val="0"/>
          <w:numId w:val="28"/>
        </w:numPr>
        <w:rPr>
          <w:rFonts w:cstheme="minorHAnsi"/>
        </w:rPr>
      </w:pPr>
      <w:r>
        <w:t xml:space="preserve">social housing, in recognition that </w:t>
      </w:r>
      <w:r>
        <w:rPr>
          <w:rFonts w:cstheme="minorHAnsi"/>
        </w:rPr>
        <w:t>secure</w:t>
      </w:r>
      <w:r w:rsidRPr="00FA6B79">
        <w:rPr>
          <w:rFonts w:cstheme="minorHAnsi"/>
        </w:rPr>
        <w:t xml:space="preserve"> housing that meets people’s needs is fundamental to their wellbeing, and the wellbeing of our </w:t>
      </w:r>
      <w:r>
        <w:rPr>
          <w:rFonts w:cstheme="minorHAnsi"/>
        </w:rPr>
        <w:t xml:space="preserve">entire </w:t>
      </w:r>
      <w:r w:rsidRPr="00FA6B79">
        <w:rPr>
          <w:rFonts w:cstheme="minorHAnsi"/>
        </w:rPr>
        <w:t>community</w:t>
      </w:r>
      <w:r>
        <w:rPr>
          <w:rFonts w:cstheme="minorHAnsi"/>
        </w:rPr>
        <w:t>;</w:t>
      </w:r>
    </w:p>
    <w:p w14:paraId="46B9C6D0" w14:textId="77777777" w:rsidR="00CF0E2D" w:rsidRDefault="00CF0E2D" w:rsidP="00CF0E2D">
      <w:pPr>
        <w:pStyle w:val="Bbodytext"/>
        <w:numPr>
          <w:ilvl w:val="0"/>
          <w:numId w:val="28"/>
        </w:numPr>
        <w:rPr>
          <w:rFonts w:cstheme="minorHAnsi"/>
        </w:rPr>
      </w:pPr>
      <w:r>
        <w:rPr>
          <w:rFonts w:cstheme="minorHAnsi"/>
        </w:rPr>
        <w:t>a range of community sector partnerships, noting the importance of the community sector in delivering core services across government and recent demand pressures; and</w:t>
      </w:r>
    </w:p>
    <w:p w14:paraId="600D06E2" w14:textId="77777777" w:rsidR="00CF0E2D" w:rsidRDefault="00CF0E2D" w:rsidP="00CF0E2D">
      <w:pPr>
        <w:pStyle w:val="Bbodytext"/>
        <w:numPr>
          <w:ilvl w:val="0"/>
          <w:numId w:val="28"/>
        </w:numPr>
      </w:pPr>
      <w:r>
        <w:rPr>
          <w:rFonts w:cstheme="minorHAnsi"/>
        </w:rPr>
        <w:t>strengthening a range of public sector services, in recognition that a</w:t>
      </w:r>
      <w:r w:rsidRPr="004947B7">
        <w:t xml:space="preserve"> strong public service benefits all members of the community by enabling the provision of timely, targeted and quality services</w:t>
      </w:r>
      <w:r>
        <w:t>.</w:t>
      </w:r>
    </w:p>
    <w:p w14:paraId="6ECDE676" w14:textId="77777777" w:rsidR="00CF0E2D" w:rsidRDefault="00CF0E2D" w:rsidP="00A60D4B">
      <w:pPr>
        <w:pStyle w:val="Bbodytext"/>
      </w:pPr>
      <w:r>
        <w:t>These investments include a significant focus on infrastructure projects, which provide an important employment boost during their construction and are crucial in meeting the longer-term needs of the Territory</w:t>
      </w:r>
      <w:r w:rsidRPr="00F72E4D">
        <w:t xml:space="preserve">. </w:t>
      </w:r>
      <w:r>
        <w:t>This investment continues to be supported by historically</w:t>
      </w:r>
      <w:r w:rsidRPr="00F72E4D">
        <w:t xml:space="preserve"> low interest rates</w:t>
      </w:r>
      <w:r>
        <w:t xml:space="preserve">, </w:t>
      </w:r>
      <w:r w:rsidRPr="00F72E4D">
        <w:t>provid</w:t>
      </w:r>
      <w:r>
        <w:t>ing an oppo</w:t>
      </w:r>
      <w:r w:rsidRPr="00F72E4D">
        <w:t>rtunity to invest in productive infrastructure</w:t>
      </w:r>
      <w:r>
        <w:t xml:space="preserve"> to meet future demand. </w:t>
      </w:r>
    </w:p>
    <w:p w14:paraId="6C0F3F51" w14:textId="77777777" w:rsidR="00CF0E2D" w:rsidRPr="00F72E4D" w:rsidRDefault="00CF0E2D" w:rsidP="00A60D4B">
      <w:pPr>
        <w:pStyle w:val="Bbodytext"/>
      </w:pPr>
      <w:r>
        <w:t>Priority projects for the Government include progressing Light Rail Stage 2, the Canberra Hospital Expansion, the new CIT Woden Campus, growing and renewing more public housing, the Big Canberra Battery, planning for new hospital infrastructure in Canberra’s north, additional walk-in centres, and building new and expanded schools across Canberra for current and future generations.</w:t>
      </w:r>
    </w:p>
    <w:p w14:paraId="1FFCE969" w14:textId="77777777" w:rsidR="00CF0E2D" w:rsidRDefault="00CF0E2D" w:rsidP="00A60D4B">
      <w:pPr>
        <w:pStyle w:val="Heading4"/>
      </w:pPr>
      <w:r>
        <w:lastRenderedPageBreak/>
        <w:t>S</w:t>
      </w:r>
      <w:r w:rsidRPr="00B24F84">
        <w:t>ustainable taxation and revenue</w:t>
      </w:r>
    </w:p>
    <w:p w14:paraId="449312AC" w14:textId="77777777" w:rsidR="00CF0E2D" w:rsidRDefault="00CF0E2D" w:rsidP="00A60D4B">
      <w:pPr>
        <w:pStyle w:val="Bbodytext"/>
        <w:keepNext/>
        <w:keepLines/>
      </w:pPr>
      <w:r>
        <w:t xml:space="preserve">The pandemic has highlighted the need to continually improve the efficiency and productivity of the economy to support economic growth. In this environment, it is vital we continue to raise revenue in the most efficient, fair, simple, and sustainable way and provide a stable source of funding to deliver services to the community. </w:t>
      </w:r>
    </w:p>
    <w:p w14:paraId="59402CCB" w14:textId="77777777" w:rsidR="00CF0E2D" w:rsidRDefault="00CF0E2D" w:rsidP="00A60D4B">
      <w:pPr>
        <w:pStyle w:val="Bbodytext"/>
      </w:pPr>
      <w:r>
        <w:t xml:space="preserve">The ACT Government is achieving this through our nation-leading tax reform program which is phasing out conveyance duty. Every year since 2012-13, insurance and conveyance duty rates have decreased, with the revenue forgone replaced by incremental increases in general rates. Insurance duty was fully abolished by 2017, while conveyance duty is being phased out gradually over time to minimise transitional impacts. </w:t>
      </w:r>
    </w:p>
    <w:p w14:paraId="0E035F8F" w14:textId="77777777" w:rsidR="00CF0E2D" w:rsidRDefault="00CF0E2D" w:rsidP="00A60D4B">
      <w:pPr>
        <w:pStyle w:val="Bbodytext"/>
      </w:pPr>
      <w:r>
        <w:t xml:space="preserve">Through tax reform we are improving the fairness of the tax system and minimising economic costs of collecting taxes. While we are changing the amount of tax revenue we receive from different tax bases, we are not changing how much tax revenue is collected to fund government services. </w:t>
      </w:r>
    </w:p>
    <w:p w14:paraId="3275B56F" w14:textId="77777777" w:rsidR="00CF0E2D" w:rsidRDefault="00CF0E2D" w:rsidP="00A60D4B">
      <w:pPr>
        <w:pStyle w:val="Bbodytext"/>
      </w:pPr>
      <w:r>
        <w:t>Prior to tax reform there was significant volatility in the ACT’s revenue as a result of reliance on conveyance and insurance duty which vary significantly depending economic conditions. To date, about 50 per cent of insurance and conveyance duty revenue previously collected has been replaced with general rates. As a result, conveyance duty revenue now accounts for only 12 per cent of our own source revenue base, compared with</w:t>
      </w:r>
      <w:r w:rsidRPr="00DB3F6B">
        <w:t xml:space="preserve"> 26</w:t>
      </w:r>
      <w:r>
        <w:t xml:space="preserve"> per cent prior to tax reform. Over the forward estimates period residential conveyance duty would have been around $704 million higher than expected in this Budget. </w:t>
      </w:r>
    </w:p>
    <w:p w14:paraId="68BE3DE9" w14:textId="77777777" w:rsidR="00CF0E2D" w:rsidRDefault="00CF0E2D" w:rsidP="00A60D4B">
      <w:pPr>
        <w:pStyle w:val="Bbodytext"/>
      </w:pPr>
      <w:r>
        <w:t xml:space="preserve">General rates are a stable and predictable source of revenue for the Government to sustainably fund essential services for the community and cushion the impact of economic shocks on revenue – allowing the Government to respond to crises, as we have through provision of significant support measures to households and local businesses. </w:t>
      </w:r>
    </w:p>
    <w:p w14:paraId="655A04A2" w14:textId="77777777" w:rsidR="00CF0E2D" w:rsidRDefault="00CF0E2D" w:rsidP="00A60D4B">
      <w:pPr>
        <w:pStyle w:val="Heading4"/>
      </w:pPr>
      <w:r>
        <w:t>Strong Balance Sheet</w:t>
      </w:r>
    </w:p>
    <w:p w14:paraId="4970B7C2" w14:textId="77777777" w:rsidR="00CF0E2D" w:rsidRDefault="00CF0E2D" w:rsidP="00A60D4B">
      <w:pPr>
        <w:pStyle w:val="Bbodytext"/>
      </w:pPr>
      <w:r w:rsidRPr="0012638E">
        <w:t xml:space="preserve">The Territory’s balance sheet provides a </w:t>
      </w:r>
      <w:r>
        <w:t>strong basis for</w:t>
      </w:r>
      <w:r w:rsidRPr="0012638E">
        <w:t xml:space="preserve"> support</w:t>
      </w:r>
      <w:r>
        <w:t>ing the community</w:t>
      </w:r>
      <w:r w:rsidRPr="0012638E">
        <w:t xml:space="preserve"> and respond</w:t>
      </w:r>
      <w:r>
        <w:t>ing</w:t>
      </w:r>
      <w:r w:rsidRPr="0012638E">
        <w:t xml:space="preserve"> to the consequences of the </w:t>
      </w:r>
      <w:r>
        <w:t xml:space="preserve">COVID-19 </w:t>
      </w:r>
      <w:r w:rsidRPr="0012638E">
        <w:t>pandemic</w:t>
      </w:r>
      <w:r>
        <w:t xml:space="preserve">. </w:t>
      </w:r>
      <w:r w:rsidRPr="00904C87">
        <w:t>While borrowings are estimated to increase over the forward years</w:t>
      </w:r>
      <w:r>
        <w:t xml:space="preserve"> as a result of the need to continue to support Canberrans</w:t>
      </w:r>
      <w:r w:rsidRPr="00904C87">
        <w:t xml:space="preserve">, </w:t>
      </w:r>
      <w:r>
        <w:t>t</w:t>
      </w:r>
      <w:r w:rsidRPr="0012638E">
        <w:t xml:space="preserve">he Territory </w:t>
      </w:r>
      <w:r>
        <w:t xml:space="preserve">maintains </w:t>
      </w:r>
      <w:r w:rsidRPr="0012638E">
        <w:t xml:space="preserve">a high level of creditworthiness and </w:t>
      </w:r>
      <w:r>
        <w:t xml:space="preserve">has a </w:t>
      </w:r>
      <w:r w:rsidRPr="0012638E">
        <w:t>strong capacity to service outstanding debt obligations.</w:t>
      </w:r>
      <w:r>
        <w:t xml:space="preserve"> </w:t>
      </w:r>
    </w:p>
    <w:p w14:paraId="04465F74" w14:textId="77777777" w:rsidR="00CF0E2D" w:rsidRPr="00EB1775" w:rsidRDefault="00CF0E2D" w:rsidP="00A60D4B">
      <w:pPr>
        <w:pStyle w:val="Bbodytext"/>
      </w:pPr>
      <w:r>
        <w:t>In March 2021, international credit rating agency Standard and Poor’s (S&amp;P) affirmed the ACT Government’s credit rating at AAA/A-1+ (Ratings Affirmed; Outlook Negative). The ACT’s rating is the highest awarded by S&amp;P and recognises the Territory’s stable fiscal position.</w:t>
      </w:r>
    </w:p>
    <w:p w14:paraId="1AC88DAE" w14:textId="77777777" w:rsidR="00CF0E2D" w:rsidRDefault="00CF0E2D" w:rsidP="00A60D4B">
      <w:pPr>
        <w:pStyle w:val="Bbodytext"/>
      </w:pPr>
      <w:r w:rsidRPr="00F94F05">
        <w:t>The strength of the ACT’s balance sheet has allowed the Government to respond to COVID</w:t>
      </w:r>
      <w:r>
        <w:noBreakHyphen/>
      </w:r>
      <w:r w:rsidRPr="00F94F05">
        <w:t xml:space="preserve">19 in a </w:t>
      </w:r>
      <w:r w:rsidRPr="002446D0">
        <w:t>decisive and susta</w:t>
      </w:r>
      <w:r w:rsidRPr="008E35DD">
        <w:t xml:space="preserve">ined manner. </w:t>
      </w:r>
    </w:p>
    <w:p w14:paraId="1AF009F4" w14:textId="77777777" w:rsidR="00CF0E2D" w:rsidRDefault="00CF0E2D" w:rsidP="00A60D4B">
      <w:pPr>
        <w:pStyle w:val="Bbodytext"/>
      </w:pPr>
      <w:r w:rsidRPr="008B75EF">
        <w:t>The Government will continue to take the opportunity of historically low interest rates to build sustainable, productivity-improving and growth-enabling infrastructure to prepare our city for the future.</w:t>
      </w:r>
    </w:p>
    <w:p w14:paraId="05BAA2E5" w14:textId="77777777" w:rsidR="00CF0E2D" w:rsidRDefault="00CF0E2D">
      <w:pPr>
        <w:rPr>
          <w:sz w:val="24"/>
        </w:rPr>
      </w:pPr>
      <w:r>
        <w:br w:type="page"/>
      </w:r>
    </w:p>
    <w:p w14:paraId="6407E915" w14:textId="77777777" w:rsidR="00CF0E2D" w:rsidRPr="009F02B8" w:rsidRDefault="00CF0E2D" w:rsidP="00A60D4B">
      <w:pPr>
        <w:keepNext/>
        <w:keepLines/>
        <w:spacing w:before="360" w:after="200" w:line="240" w:lineRule="auto"/>
        <w:outlineLvl w:val="2"/>
        <w:rPr>
          <w:rFonts w:ascii="Calibri" w:eastAsiaTheme="majorEastAsia" w:hAnsi="Calibri" w:cstheme="majorBidi"/>
          <w:b/>
          <w:color w:val="999789"/>
          <w:sz w:val="32"/>
          <w:szCs w:val="24"/>
        </w:rPr>
      </w:pPr>
      <w:r w:rsidRPr="009F02B8">
        <w:rPr>
          <w:rFonts w:ascii="Calibri" w:eastAsiaTheme="majorEastAsia" w:hAnsi="Calibri" w:cstheme="majorBidi"/>
          <w:b/>
          <w:color w:val="999789"/>
          <w:sz w:val="32"/>
          <w:szCs w:val="24"/>
        </w:rPr>
        <w:lastRenderedPageBreak/>
        <w:t>Investments in the wellbeing of Canberrans</w:t>
      </w:r>
    </w:p>
    <w:p w14:paraId="1E85A5D2" w14:textId="77777777" w:rsidR="00CF0E2D" w:rsidRPr="009F02B8" w:rsidRDefault="00CF0E2D" w:rsidP="00A60D4B">
      <w:pPr>
        <w:pStyle w:val="Bbodytext"/>
        <w:rPr>
          <w:highlight w:val="yellow"/>
        </w:rPr>
      </w:pPr>
      <w:r w:rsidRPr="009F02B8">
        <w:t>The ACT Government’s focus on wellbeing is one of Canberra’s key strengths – and one that sets our city apart. The ACT Wellbeing Framework sets out how we are</w:t>
      </w:r>
      <w:r w:rsidRPr="009F02B8" w:rsidDel="00CF2BE5">
        <w:t xml:space="preserve"> </w:t>
      </w:r>
      <w:r w:rsidRPr="009F02B8">
        <w:t>measuring our progress and is already helping to guide our policy development and investments.</w:t>
      </w:r>
    </w:p>
    <w:p w14:paraId="08371EF1" w14:textId="77777777" w:rsidR="00CF0E2D" w:rsidRPr="00691972" w:rsidRDefault="00CF0E2D" w:rsidP="00A60D4B">
      <w:pPr>
        <w:rPr>
          <w:rStyle w:val="BbodytextChar"/>
        </w:rPr>
      </w:pPr>
      <w:r w:rsidRPr="009F02B8">
        <w:rPr>
          <w:noProof/>
          <w:sz w:val="24"/>
          <w:szCs w:val="24"/>
        </w:rPr>
        <w:drawing>
          <wp:anchor distT="0" distB="0" distL="114300" distR="114300" simplePos="0" relativeHeight="251659264" behindDoc="0" locked="0" layoutInCell="1" allowOverlap="1" wp14:anchorId="40C68DA7" wp14:editId="1C351EAE">
            <wp:simplePos x="0" y="0"/>
            <wp:positionH relativeFrom="column">
              <wp:posOffset>2481770</wp:posOffset>
            </wp:positionH>
            <wp:positionV relativeFrom="paragraph">
              <wp:posOffset>30332</wp:posOffset>
            </wp:positionV>
            <wp:extent cx="3336925" cy="3360420"/>
            <wp:effectExtent l="0" t="0" r="0" b="0"/>
            <wp:wrapThrough wrapText="bothSides">
              <wp:wrapPolygon edited="0">
                <wp:start x="0" y="0"/>
                <wp:lineTo x="0" y="21429"/>
                <wp:lineTo x="21456" y="21429"/>
                <wp:lineTo x="21456" y="0"/>
                <wp:lineTo x="0" y="0"/>
              </wp:wrapPolygon>
            </wp:wrapThrough>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36925" cy="3360420"/>
                    </a:xfrm>
                    <a:prstGeom prst="rect">
                      <a:avLst/>
                    </a:prstGeom>
                  </pic:spPr>
                </pic:pic>
              </a:graphicData>
            </a:graphic>
            <wp14:sizeRelH relativeFrom="margin">
              <wp14:pctWidth>0</wp14:pctWidth>
            </wp14:sizeRelH>
            <wp14:sizeRelV relativeFrom="margin">
              <wp14:pctHeight>0</wp14:pctHeight>
            </wp14:sizeRelV>
          </wp:anchor>
        </w:drawing>
      </w:r>
      <w:r w:rsidRPr="009F02B8">
        <w:rPr>
          <w:sz w:val="24"/>
          <w:szCs w:val="24"/>
        </w:rPr>
        <w:t xml:space="preserve">The </w:t>
      </w:r>
      <w:r w:rsidRPr="00691972">
        <w:rPr>
          <w:rStyle w:val="BbodytextChar"/>
        </w:rPr>
        <w:t>Framework provides a basis for considering the potential impacts of our policy and investment choices across 12 areas (or domains) that the Canberra community identified as being most important to our quality of life.</w:t>
      </w:r>
    </w:p>
    <w:p w14:paraId="45AAB920" w14:textId="77777777" w:rsidR="00CF0E2D" w:rsidRPr="009F02B8" w:rsidRDefault="00CF0E2D" w:rsidP="00A60D4B">
      <w:pPr>
        <w:pStyle w:val="Bbodytext"/>
      </w:pPr>
      <w:r w:rsidRPr="009F02B8">
        <w:t xml:space="preserve">The ACT Government’s wellbeing approach focuses on our people, institutions and environment. To live our best lives, we need a strong and vibrant economy; a strong sense of social connection, identity and belonging; great access to connected places and services; access to quality education and lifelong learning opportunities; good physical and mental health; suitable housing, and a climate-resilient environment and community – backed by strong and trusted institutional settings and the time to live the lives we aspire to. </w:t>
      </w:r>
    </w:p>
    <w:p w14:paraId="418CD598" w14:textId="77777777" w:rsidR="00CF0E2D" w:rsidRPr="009F02B8" w:rsidRDefault="00CF0E2D" w:rsidP="00A60D4B">
      <w:pPr>
        <w:pStyle w:val="Bbodytext"/>
        <w:rPr>
          <w:szCs w:val="24"/>
        </w:rPr>
      </w:pPr>
      <w:r w:rsidRPr="009F02B8">
        <w:rPr>
          <w:szCs w:val="24"/>
        </w:rPr>
        <w:t xml:space="preserve">Over the past 18 or so months, our wellbeing across many of these areas has faced challenges that have also been reflected in our region, across the country and indeed the globe. The </w:t>
      </w:r>
      <w:r w:rsidRPr="009F02B8">
        <w:rPr>
          <w:i/>
          <w:iCs/>
          <w:szCs w:val="24"/>
        </w:rPr>
        <w:t>Living Well in the ACT Region</w:t>
      </w:r>
      <w:r w:rsidRPr="009F02B8">
        <w:rPr>
          <w:szCs w:val="24"/>
        </w:rPr>
        <w:t xml:space="preserve"> </w:t>
      </w:r>
      <w:r w:rsidRPr="009F02B8">
        <w:rPr>
          <w:i/>
          <w:iCs/>
          <w:szCs w:val="24"/>
        </w:rPr>
        <w:t>survey</w:t>
      </w:r>
      <w:r w:rsidRPr="009F02B8">
        <w:rPr>
          <w:szCs w:val="24"/>
        </w:rPr>
        <w:t xml:space="preserve"> </w:t>
      </w:r>
      <w:r w:rsidRPr="009F02B8">
        <w:rPr>
          <w:i/>
          <w:iCs/>
          <w:szCs w:val="24"/>
        </w:rPr>
        <w:t>2020</w:t>
      </w:r>
      <w:r w:rsidRPr="009F02B8">
        <w:rPr>
          <w:i/>
          <w:iCs/>
          <w:szCs w:val="24"/>
          <w:vertAlign w:val="superscript"/>
        </w:rPr>
        <w:footnoteReference w:id="2"/>
      </w:r>
      <w:r w:rsidRPr="009F02B8">
        <w:rPr>
          <w:szCs w:val="24"/>
        </w:rPr>
        <w:t xml:space="preserve"> (the </w:t>
      </w:r>
      <w:r w:rsidRPr="009F02B8">
        <w:rPr>
          <w:i/>
          <w:iCs/>
          <w:szCs w:val="24"/>
        </w:rPr>
        <w:t>Living well</w:t>
      </w:r>
      <w:r w:rsidRPr="009F02B8">
        <w:rPr>
          <w:szCs w:val="24"/>
        </w:rPr>
        <w:t xml:space="preserve"> survey)</w:t>
      </w:r>
      <w:r>
        <w:rPr>
          <w:szCs w:val="24"/>
        </w:rPr>
        <w:t xml:space="preserve">, </w:t>
      </w:r>
      <w:r w:rsidRPr="009F02B8">
        <w:rPr>
          <w:szCs w:val="24"/>
        </w:rPr>
        <w:t>conducted by the University of Canberra across the period of the pandemic</w:t>
      </w:r>
      <w:r>
        <w:rPr>
          <w:szCs w:val="24"/>
        </w:rPr>
        <w:t>,</w:t>
      </w:r>
      <w:r w:rsidRPr="009F02B8">
        <w:rPr>
          <w:szCs w:val="24"/>
        </w:rPr>
        <w:t xml:space="preserve"> has measured the overall satisfaction of Canberrans with their standard of living, health, what they are achieving in life, relationships, safety, community-connectedness, and future security. In the six months between December 2019 and May 2020</w:t>
      </w:r>
      <w:r>
        <w:rPr>
          <w:szCs w:val="24"/>
        </w:rPr>
        <w:t>,</w:t>
      </w:r>
      <w:r w:rsidRPr="009F02B8">
        <w:rPr>
          <w:szCs w:val="24"/>
        </w:rPr>
        <w:t xml:space="preserve"> the personal wellbeing of our community overall dropped noticeably – consistent with the debilitating events that affected Canberra over this period – smoke, bushfires, hailstorm and COVID-19. By the end of 2020</w:t>
      </w:r>
      <w:r>
        <w:rPr>
          <w:szCs w:val="24"/>
        </w:rPr>
        <w:t>,</w:t>
      </w:r>
      <w:r w:rsidRPr="009F02B8">
        <w:rPr>
          <w:szCs w:val="24"/>
        </w:rPr>
        <w:t xml:space="preserve"> both the </w:t>
      </w:r>
      <w:r w:rsidRPr="009F02B8">
        <w:rPr>
          <w:i/>
          <w:iCs/>
          <w:szCs w:val="24"/>
        </w:rPr>
        <w:t>Living well</w:t>
      </w:r>
      <w:r w:rsidRPr="009F02B8">
        <w:rPr>
          <w:szCs w:val="24"/>
        </w:rPr>
        <w:t xml:space="preserve"> survey and a recently released ANU study</w:t>
      </w:r>
      <w:r w:rsidRPr="009F02B8">
        <w:rPr>
          <w:szCs w:val="24"/>
          <w:vertAlign w:val="superscript"/>
        </w:rPr>
        <w:footnoteReference w:id="3"/>
      </w:r>
      <w:r w:rsidRPr="009F02B8">
        <w:rPr>
          <w:szCs w:val="24"/>
        </w:rPr>
        <w:t xml:space="preserve"> showed wellbeing levels had improved to pre-pandemic levels.</w:t>
      </w:r>
    </w:p>
    <w:p w14:paraId="52EB014F" w14:textId="77777777" w:rsidR="00CF0E2D" w:rsidRPr="009F02B8" w:rsidRDefault="00CF0E2D" w:rsidP="00CB6F93">
      <w:pPr>
        <w:pStyle w:val="Bbodytext"/>
        <w:rPr>
          <w:szCs w:val="24"/>
        </w:rPr>
      </w:pPr>
      <w:bookmarkStart w:id="4" w:name="_Hlk83051885"/>
      <w:r w:rsidRPr="009F02B8">
        <w:rPr>
          <w:szCs w:val="24"/>
        </w:rPr>
        <w:t>The ACT entered</w:t>
      </w:r>
      <w:r w:rsidRPr="009F02B8" w:rsidDel="00E45623">
        <w:rPr>
          <w:szCs w:val="24"/>
        </w:rPr>
        <w:t xml:space="preserve"> </w:t>
      </w:r>
      <w:r w:rsidRPr="009F02B8">
        <w:rPr>
          <w:szCs w:val="24"/>
        </w:rPr>
        <w:t xml:space="preserve">a COVID-19 lockdown again from 12 August 2021. Data from early responses to the September 2021 </w:t>
      </w:r>
      <w:r w:rsidRPr="009F02B8">
        <w:rPr>
          <w:i/>
          <w:iCs/>
          <w:szCs w:val="24"/>
        </w:rPr>
        <w:t xml:space="preserve">Living well </w:t>
      </w:r>
      <w:r w:rsidRPr="009F02B8">
        <w:rPr>
          <w:szCs w:val="24"/>
        </w:rPr>
        <w:t xml:space="preserve">survey indicate that around </w:t>
      </w:r>
      <w:r w:rsidRPr="009F02B8" w:rsidDel="00E45623">
        <w:rPr>
          <w:szCs w:val="24"/>
        </w:rPr>
        <w:t>50</w:t>
      </w:r>
      <w:r w:rsidRPr="009F02B8">
        <w:rPr>
          <w:szCs w:val="24"/>
        </w:rPr>
        <w:t xml:space="preserve"> per cent of ACT residents aged 18 years and older are finding the 2021 lockdown harder than their first lockdown in 2020, with only 10 per cent finding it easier to cope during the current </w:t>
      </w:r>
      <w:r w:rsidRPr="009F02B8">
        <w:rPr>
          <w:szCs w:val="24"/>
        </w:rPr>
        <w:lastRenderedPageBreak/>
        <w:t>lockdown. In August 2021, life satisfaction Australia-wide (a measure of overall wellbeing) had reduced to a similar level to April 2020</w:t>
      </w:r>
      <w:r w:rsidRPr="009F02B8">
        <w:rPr>
          <w:szCs w:val="24"/>
          <w:vertAlign w:val="superscript"/>
        </w:rPr>
        <w:t>2</w:t>
      </w:r>
      <w:r w:rsidRPr="009F02B8">
        <w:rPr>
          <w:szCs w:val="24"/>
        </w:rPr>
        <w:t xml:space="preserve">.  </w:t>
      </w:r>
    </w:p>
    <w:p w14:paraId="1C9E0C6B" w14:textId="77777777" w:rsidR="00CF0E2D" w:rsidRPr="009F02B8" w:rsidRDefault="00CF0E2D" w:rsidP="00A60D4B">
      <w:pPr>
        <w:pStyle w:val="Bbodytext"/>
        <w:rPr>
          <w:szCs w:val="24"/>
        </w:rPr>
      </w:pPr>
      <w:r>
        <w:rPr>
          <w:noProof/>
          <w:szCs w:val="24"/>
        </w:rPr>
        <w:drawing>
          <wp:anchor distT="0" distB="0" distL="114300" distR="114300" simplePos="0" relativeHeight="251660288" behindDoc="0" locked="0" layoutInCell="1" allowOverlap="1" wp14:anchorId="3CE6B8FA" wp14:editId="7A531866">
            <wp:simplePos x="0" y="0"/>
            <wp:positionH relativeFrom="column">
              <wp:posOffset>11875</wp:posOffset>
            </wp:positionH>
            <wp:positionV relativeFrom="paragraph">
              <wp:posOffset>35716</wp:posOffset>
            </wp:positionV>
            <wp:extent cx="2794000" cy="1270000"/>
            <wp:effectExtent l="0" t="0" r="0" b="0"/>
            <wp:wrapSquare wrapText="bothSides"/>
            <wp:docPr id="10" name="1 Investments in the Wellbeing.png"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 Investments in the Wellbeing.png" descr="Text&#10;&#10;Description automatically generated"/>
                    <pic:cNvPicPr/>
                  </pic:nvPicPr>
                  <pic:blipFill>
                    <a:blip r:embed="rId13" r:link="rId14" cstate="print">
                      <a:extLst>
                        <a:ext uri="{28A0092B-C50C-407E-A947-70E740481C1C}">
                          <a14:useLocalDpi xmlns:a14="http://schemas.microsoft.com/office/drawing/2010/main" val="0"/>
                        </a:ext>
                      </a:extLst>
                    </a:blip>
                    <a:stretch>
                      <a:fillRect/>
                    </a:stretch>
                  </pic:blipFill>
                  <pic:spPr>
                    <a:xfrm>
                      <a:off x="0" y="0"/>
                      <a:ext cx="2794000" cy="1270000"/>
                    </a:xfrm>
                    <a:prstGeom prst="rect">
                      <a:avLst/>
                    </a:prstGeom>
                  </pic:spPr>
                </pic:pic>
              </a:graphicData>
            </a:graphic>
            <wp14:sizeRelH relativeFrom="page">
              <wp14:pctWidth>0</wp14:pctWidth>
            </wp14:sizeRelH>
            <wp14:sizeRelV relativeFrom="page">
              <wp14:pctHeight>0</wp14:pctHeight>
            </wp14:sizeRelV>
          </wp:anchor>
        </w:drawing>
      </w:r>
      <w:r w:rsidRPr="009F02B8">
        <w:rPr>
          <w:szCs w:val="24"/>
        </w:rPr>
        <w:t>The past few months in particular have raised a range of major challenges for both the community and government, balancing competing considerations and issues affecting wellbeing with significant uncertainty as to the outcomes – and often involving choices among least worst options. The objective throughout has been to protect the health of our community and position the ACT to be able to regain and strengthen wellbeing going forward. We are optimistic that we will see the same overall resilience of the ACT community in the period ahead that we saw in the latter part of 2020.</w:t>
      </w:r>
    </w:p>
    <w:bookmarkEnd w:id="4"/>
    <w:p w14:paraId="764F1ABE" w14:textId="77777777" w:rsidR="00CF0E2D" w:rsidRPr="009F02B8" w:rsidRDefault="00CF0E2D" w:rsidP="00A60D4B">
      <w:pPr>
        <w:pStyle w:val="Bbodytext"/>
        <w:rPr>
          <w:szCs w:val="24"/>
        </w:rPr>
      </w:pPr>
      <w:r w:rsidRPr="009F02B8">
        <w:rPr>
          <w:szCs w:val="24"/>
        </w:rPr>
        <w:t>However, we also know that some groups in our community do not have the same overall level of wellbeing as the population as a whole; that some people are affected more in the challenging times that we have seen with COVID-19</w:t>
      </w:r>
      <w:r>
        <w:rPr>
          <w:szCs w:val="24"/>
        </w:rPr>
        <w:t>,</w:t>
      </w:r>
      <w:r w:rsidRPr="009F02B8">
        <w:rPr>
          <w:szCs w:val="24"/>
        </w:rPr>
        <w:t xml:space="preserve"> and that some are not as resilient as the rest of the community and it will take longer for their wellbeing to recover.</w:t>
      </w:r>
    </w:p>
    <w:p w14:paraId="53C1DBDD" w14:textId="77777777" w:rsidR="00CF0E2D" w:rsidRPr="009F02B8" w:rsidRDefault="00CF0E2D" w:rsidP="00A60D4B">
      <w:pPr>
        <w:pStyle w:val="Bbodytext"/>
        <w:rPr>
          <w:szCs w:val="24"/>
        </w:rPr>
      </w:pPr>
      <w:r w:rsidRPr="009F02B8">
        <w:rPr>
          <w:szCs w:val="24"/>
        </w:rPr>
        <w:t xml:space="preserve">That is why the Government, in partnership with the community sector, has targeted – in previous Budgets and in this Budget – support and investment for those in the community who continue to do it tough.  </w:t>
      </w:r>
    </w:p>
    <w:p w14:paraId="4F1C9C67" w14:textId="77777777" w:rsidR="00CF0E2D" w:rsidRPr="009F02B8" w:rsidRDefault="00CF0E2D" w:rsidP="00A60D4B">
      <w:pPr>
        <w:pStyle w:val="Bbodytext"/>
        <w:rPr>
          <w:szCs w:val="24"/>
        </w:rPr>
      </w:pPr>
      <w:r w:rsidRPr="009F02B8">
        <w:rPr>
          <w:szCs w:val="24"/>
        </w:rPr>
        <w:t xml:space="preserve">Bringing a wellbeing focus to our Budget process ensures that our decision-making explicitly considers those factors that most influence our quality of life. With the release of the ACT Wellbeing Framework last year and an initial dashboard of data across its 12 domains in April this year, this Budget starts to explicitly articulate wellbeing considerations for the first time.  </w:t>
      </w:r>
    </w:p>
    <w:p w14:paraId="17A90392" w14:textId="77777777" w:rsidR="00CF0E2D" w:rsidRPr="009F02B8" w:rsidRDefault="00CF0E2D" w:rsidP="00A60D4B">
      <w:pPr>
        <w:pStyle w:val="Bbodytext"/>
        <w:rPr>
          <w:szCs w:val="24"/>
        </w:rPr>
      </w:pPr>
      <w:r w:rsidRPr="009F02B8">
        <w:rPr>
          <w:szCs w:val="24"/>
        </w:rPr>
        <w:t>In making a start this year, we recognise that bringing a wellbeing approach to the way we think will take time – to better evaluate wellbeing outcomes, build a strong evidence base of what works for wellbeing, shape our investments around priority areas of need identified in conjunction with the community, and create a shared language across government and stakeholders in how we approach these issues.</w:t>
      </w:r>
    </w:p>
    <w:p w14:paraId="49FABDF2" w14:textId="77777777" w:rsidR="00CF0E2D" w:rsidRDefault="00CF0E2D" w:rsidP="00A60D4B">
      <w:pPr>
        <w:pStyle w:val="Bbodytext"/>
        <w:rPr>
          <w:szCs w:val="24"/>
        </w:rPr>
      </w:pPr>
      <w:r w:rsidRPr="009F02B8">
        <w:rPr>
          <w:szCs w:val="24"/>
        </w:rPr>
        <w:t xml:space="preserve">The events of the past 18 months are evidence of the need to consider the broad impacts that arise from disruptive events and which, unless explicitly considered, can be hidden from view. These impacts also play out in more normal times, and we look forward to working with our community partners in developing future budgets that increasingly evolve to consider less visible wellbeing impacts.      </w:t>
      </w:r>
    </w:p>
    <w:p w14:paraId="3355D8D0" w14:textId="77777777" w:rsidR="00CF0E2D" w:rsidRPr="005878A0" w:rsidRDefault="00CF0E2D" w:rsidP="00A60D4B">
      <w:pPr>
        <w:pStyle w:val="Heading4"/>
      </w:pPr>
      <w:r w:rsidRPr="005878A0">
        <w:t>Partnering with the community sector</w:t>
      </w:r>
    </w:p>
    <w:p w14:paraId="7F6B6C9D" w14:textId="77777777" w:rsidR="00CF0E2D" w:rsidRPr="005878A0" w:rsidRDefault="00CF0E2D" w:rsidP="00A60D4B">
      <w:pPr>
        <w:pStyle w:val="Bbodytext"/>
        <w:rPr>
          <w:szCs w:val="24"/>
        </w:rPr>
      </w:pPr>
      <w:r w:rsidRPr="005878A0">
        <w:rPr>
          <w:szCs w:val="24"/>
        </w:rPr>
        <w:t>Together with the Government</w:t>
      </w:r>
      <w:r>
        <w:rPr>
          <w:szCs w:val="24"/>
        </w:rPr>
        <w:t>,</w:t>
      </w:r>
      <w:r w:rsidRPr="005878A0">
        <w:rPr>
          <w:szCs w:val="24"/>
        </w:rPr>
        <w:t xml:space="preserve"> a wide range of non-government organisations (NGOs) play vital roles providing essential services to the community and enhancing the wellbeing of Canberrans. </w:t>
      </w:r>
    </w:p>
    <w:p w14:paraId="5732C70F" w14:textId="6C3A1D23" w:rsidR="00CF0E2D" w:rsidRPr="00227CFB" w:rsidRDefault="00CF0E2D" w:rsidP="00A60D4B">
      <w:pPr>
        <w:pStyle w:val="Bbodytext"/>
        <w:rPr>
          <w:szCs w:val="24"/>
        </w:rPr>
      </w:pPr>
      <w:r w:rsidRPr="00227CFB">
        <w:rPr>
          <w:szCs w:val="24"/>
        </w:rPr>
        <w:t>The Government is committed to developing long-term sustainable relationships with the ACT Aboriginal and Torres Strait Islander community and honouring the principle of self</w:t>
      </w:r>
      <w:r w:rsidR="00CB6F93">
        <w:rPr>
          <w:szCs w:val="24"/>
        </w:rPr>
        <w:noBreakHyphen/>
      </w:r>
      <w:r w:rsidRPr="00227CFB">
        <w:rPr>
          <w:szCs w:val="24"/>
        </w:rPr>
        <w:t xml:space="preserve">determination. Key to this is Aboriginal and Torres Strait Islander cultural knowledge, history, lived experience and connection to community and Country being at the forefront </w:t>
      </w:r>
      <w:r w:rsidRPr="00227CFB">
        <w:rPr>
          <w:szCs w:val="24"/>
        </w:rPr>
        <w:lastRenderedPageBreak/>
        <w:t xml:space="preserve">of the delivery of services, programs and policies. The Government values the guidance and support provided by the Aboriginal and Torres Strait Islander Elected Body and further strengthening this partnership is a key priority going forward. </w:t>
      </w:r>
    </w:p>
    <w:p w14:paraId="520B6663" w14:textId="77777777" w:rsidR="00CF0E2D" w:rsidRPr="005878A0" w:rsidRDefault="00CF0E2D" w:rsidP="00A60D4B">
      <w:pPr>
        <w:pStyle w:val="Bbodytext"/>
        <w:rPr>
          <w:szCs w:val="24"/>
        </w:rPr>
      </w:pPr>
      <w:r w:rsidRPr="00691972">
        <w:t>Peak</w:t>
      </w:r>
      <w:r w:rsidRPr="00227CFB">
        <w:rPr>
          <w:szCs w:val="24"/>
        </w:rPr>
        <w:t xml:space="preserve"> bodies and advisory and ministerial councils are also crucial in assisting the Government to understand the needs of their stakeholders – and the co-design of services with these groups improves the effectiveness of service delivery. Partnerships with peak bodies deliver systemic advocacy and individual advocacy support services for people with a disability, their families and disability groups and</w:t>
      </w:r>
      <w:r w:rsidRPr="005878A0">
        <w:rPr>
          <w:szCs w:val="24"/>
        </w:rPr>
        <w:t xml:space="preserve"> </w:t>
      </w:r>
      <w:r w:rsidRPr="00227CFB">
        <w:rPr>
          <w:szCs w:val="24"/>
        </w:rPr>
        <w:t>are essential to protect the rights of the most vulnerable</w:t>
      </w:r>
      <w:r>
        <w:rPr>
          <w:szCs w:val="24"/>
        </w:rPr>
        <w:t xml:space="preserve"> in our community</w:t>
      </w:r>
      <w:r w:rsidRPr="00227CFB">
        <w:rPr>
          <w:szCs w:val="24"/>
        </w:rPr>
        <w:t xml:space="preserve"> and ensure equitable access to community services.</w:t>
      </w:r>
    </w:p>
    <w:p w14:paraId="1A63B8F0" w14:textId="77777777" w:rsidR="00CF0E2D" w:rsidRPr="009F02B8" w:rsidRDefault="00CF0E2D" w:rsidP="00A60D4B">
      <w:pPr>
        <w:pStyle w:val="Heading4"/>
      </w:pPr>
      <w:r w:rsidRPr="00313553">
        <w:t>Wellbeing in the 2021-22 Budget</w:t>
      </w:r>
    </w:p>
    <w:p w14:paraId="7EBA81E9" w14:textId="77777777" w:rsidR="00CF0E2D" w:rsidRPr="00822DCD" w:rsidRDefault="00CF0E2D" w:rsidP="00A60D4B">
      <w:pPr>
        <w:pStyle w:val="Bbodytext"/>
        <w:rPr>
          <w:szCs w:val="24"/>
        </w:rPr>
      </w:pPr>
      <w:r w:rsidRPr="00822DCD">
        <w:rPr>
          <w:szCs w:val="24"/>
        </w:rPr>
        <w:t xml:space="preserve">This year’s Budget brings a greater focus to wellbeing and the ACT Wellbeing Framework. Initiative descriptions are accompanied by an illustration of the prime area (domain) within the Wellbeing Framework that will be impacted by each initiative. </w:t>
      </w:r>
    </w:p>
    <w:p w14:paraId="5416C6B9" w14:textId="77777777" w:rsidR="00CF0E2D" w:rsidRPr="00822DCD" w:rsidRDefault="00CF0E2D" w:rsidP="00A60D4B">
      <w:pPr>
        <w:pStyle w:val="Bbodytext"/>
        <w:rPr>
          <w:szCs w:val="24"/>
        </w:rPr>
      </w:pPr>
      <w:r w:rsidRPr="00822DCD">
        <w:rPr>
          <w:szCs w:val="24"/>
        </w:rPr>
        <w:t xml:space="preserve">In practice, many initiatives will have impacts across multiple wellbeing domains. A key element of the Framework is to ensure that such connections are considered in the development and decision-making processes. </w:t>
      </w:r>
    </w:p>
    <w:p w14:paraId="08D28373" w14:textId="77777777" w:rsidR="00CF0E2D" w:rsidRPr="009F02B8" w:rsidRDefault="00CF0E2D" w:rsidP="00A60D4B">
      <w:pPr>
        <w:pStyle w:val="Bbodytext"/>
        <w:rPr>
          <w:szCs w:val="24"/>
        </w:rPr>
      </w:pPr>
      <w:r w:rsidRPr="00822DCD">
        <w:rPr>
          <w:szCs w:val="24"/>
        </w:rPr>
        <w:t>To demonstrate these connections, the following section c</w:t>
      </w:r>
      <w:r w:rsidRPr="009F02B8">
        <w:rPr>
          <w:szCs w:val="24"/>
        </w:rPr>
        <w:t>onsider</w:t>
      </w:r>
      <w:r w:rsidRPr="00822DCD">
        <w:rPr>
          <w:szCs w:val="24"/>
        </w:rPr>
        <w:t xml:space="preserve">s </w:t>
      </w:r>
      <w:r>
        <w:rPr>
          <w:szCs w:val="24"/>
        </w:rPr>
        <w:t xml:space="preserve">the </w:t>
      </w:r>
      <w:r w:rsidRPr="00822DCD">
        <w:rPr>
          <w:szCs w:val="24"/>
        </w:rPr>
        <w:t xml:space="preserve">Government’s priorities and </w:t>
      </w:r>
      <w:r w:rsidRPr="009F02B8">
        <w:rPr>
          <w:szCs w:val="24"/>
        </w:rPr>
        <w:t xml:space="preserve">new investments across five categories that are </w:t>
      </w:r>
      <w:r w:rsidRPr="00822DCD">
        <w:rPr>
          <w:szCs w:val="24"/>
        </w:rPr>
        <w:t xml:space="preserve">broadly </w:t>
      </w:r>
      <w:r w:rsidRPr="009F02B8">
        <w:rPr>
          <w:szCs w:val="24"/>
        </w:rPr>
        <w:t>aligned to the wellbeing domains:</w:t>
      </w:r>
    </w:p>
    <w:p w14:paraId="0F0976E5" w14:textId="77777777" w:rsidR="00CF0E2D" w:rsidRPr="009F02B8" w:rsidRDefault="00CF0E2D" w:rsidP="00CF0E2D">
      <w:pPr>
        <w:numPr>
          <w:ilvl w:val="0"/>
          <w:numId w:val="10"/>
        </w:numPr>
        <w:ind w:left="360"/>
        <w:contextualSpacing/>
        <w:rPr>
          <w:sz w:val="24"/>
          <w:szCs w:val="24"/>
        </w:rPr>
      </w:pPr>
      <w:r w:rsidRPr="009F02B8">
        <w:rPr>
          <w:b/>
          <w:bCs/>
          <w:sz w:val="24"/>
          <w:szCs w:val="24"/>
        </w:rPr>
        <w:t>Health and community wellbeing</w:t>
      </w:r>
      <w:r>
        <w:rPr>
          <w:sz w:val="24"/>
          <w:szCs w:val="24"/>
        </w:rPr>
        <w:t xml:space="preserve"> – this category is aligned to the wellbeing domain of Health</w:t>
      </w:r>
      <w:r w:rsidRPr="009F02B8">
        <w:rPr>
          <w:sz w:val="24"/>
          <w:szCs w:val="24"/>
        </w:rPr>
        <w:t xml:space="preserve">; </w:t>
      </w:r>
    </w:p>
    <w:p w14:paraId="7922F7CB" w14:textId="77777777" w:rsidR="00CF0E2D" w:rsidRPr="009F02B8" w:rsidRDefault="00CF0E2D" w:rsidP="00CF0E2D">
      <w:pPr>
        <w:numPr>
          <w:ilvl w:val="0"/>
          <w:numId w:val="10"/>
        </w:numPr>
        <w:ind w:left="360"/>
        <w:contextualSpacing/>
        <w:rPr>
          <w:sz w:val="24"/>
          <w:szCs w:val="24"/>
        </w:rPr>
      </w:pPr>
      <w:r w:rsidRPr="009F02B8">
        <w:rPr>
          <w:b/>
          <w:bCs/>
          <w:sz w:val="24"/>
          <w:szCs w:val="24"/>
        </w:rPr>
        <w:t>Education and life-long learning</w:t>
      </w:r>
      <w:r>
        <w:rPr>
          <w:sz w:val="24"/>
          <w:szCs w:val="24"/>
        </w:rPr>
        <w:t xml:space="preserve"> – this category is aligned to the wellbeing domain of Education and life-long learning</w:t>
      </w:r>
      <w:r w:rsidRPr="009F02B8">
        <w:rPr>
          <w:sz w:val="24"/>
          <w:szCs w:val="24"/>
        </w:rPr>
        <w:t xml:space="preserve">; </w:t>
      </w:r>
    </w:p>
    <w:p w14:paraId="4D892753" w14:textId="77777777" w:rsidR="00CF0E2D" w:rsidRPr="009F02B8" w:rsidRDefault="00CF0E2D" w:rsidP="00CF0E2D">
      <w:pPr>
        <w:numPr>
          <w:ilvl w:val="0"/>
          <w:numId w:val="10"/>
        </w:numPr>
        <w:ind w:left="360"/>
        <w:contextualSpacing/>
        <w:rPr>
          <w:sz w:val="24"/>
          <w:szCs w:val="24"/>
        </w:rPr>
      </w:pPr>
      <w:r w:rsidRPr="009F02B8">
        <w:rPr>
          <w:b/>
          <w:bCs/>
          <w:sz w:val="24"/>
          <w:szCs w:val="24"/>
        </w:rPr>
        <w:t>Community, housing and safety</w:t>
      </w:r>
      <w:r>
        <w:rPr>
          <w:sz w:val="24"/>
          <w:szCs w:val="24"/>
        </w:rPr>
        <w:t xml:space="preserve"> – this category is aligned to the wellbeing domains of Housing and home; Social connection; Identity and belonging; Living standards and aspects of the Safety domain</w:t>
      </w:r>
      <w:r w:rsidRPr="009F02B8">
        <w:rPr>
          <w:sz w:val="24"/>
          <w:szCs w:val="24"/>
        </w:rPr>
        <w:t>;</w:t>
      </w:r>
    </w:p>
    <w:p w14:paraId="21B6694E" w14:textId="77777777" w:rsidR="00CF0E2D" w:rsidRPr="009F02B8" w:rsidRDefault="00CF0E2D" w:rsidP="00CF0E2D">
      <w:pPr>
        <w:numPr>
          <w:ilvl w:val="0"/>
          <w:numId w:val="10"/>
        </w:numPr>
        <w:ind w:left="360"/>
        <w:contextualSpacing/>
        <w:rPr>
          <w:sz w:val="24"/>
          <w:szCs w:val="24"/>
        </w:rPr>
      </w:pPr>
      <w:r w:rsidRPr="009F02B8">
        <w:rPr>
          <w:b/>
          <w:bCs/>
          <w:sz w:val="24"/>
          <w:szCs w:val="24"/>
        </w:rPr>
        <w:t>Environment, climate, transport and planning</w:t>
      </w:r>
      <w:r>
        <w:rPr>
          <w:sz w:val="24"/>
          <w:szCs w:val="24"/>
        </w:rPr>
        <w:t xml:space="preserve"> – this category is aligned to the wellbeing domains of Environment and climate; Access and connectivity; Time; and aspects of the Safety domain</w:t>
      </w:r>
      <w:r w:rsidRPr="009F02B8">
        <w:rPr>
          <w:sz w:val="24"/>
          <w:szCs w:val="24"/>
        </w:rPr>
        <w:t>; and</w:t>
      </w:r>
    </w:p>
    <w:p w14:paraId="6DF29A1E" w14:textId="69856A9B" w:rsidR="00CF0E2D" w:rsidRPr="009F02B8" w:rsidRDefault="00CF0E2D" w:rsidP="00CF0E2D">
      <w:pPr>
        <w:numPr>
          <w:ilvl w:val="0"/>
          <w:numId w:val="10"/>
        </w:numPr>
        <w:ind w:left="360"/>
        <w:contextualSpacing/>
        <w:rPr>
          <w:sz w:val="24"/>
          <w:szCs w:val="24"/>
        </w:rPr>
      </w:pPr>
      <w:r w:rsidRPr="009F02B8">
        <w:rPr>
          <w:b/>
          <w:bCs/>
          <w:sz w:val="24"/>
          <w:szCs w:val="24"/>
        </w:rPr>
        <w:t>Governance and</w:t>
      </w:r>
      <w:r w:rsidR="00733A78">
        <w:rPr>
          <w:b/>
          <w:bCs/>
          <w:sz w:val="24"/>
          <w:szCs w:val="24"/>
        </w:rPr>
        <w:t xml:space="preserve"> the</w:t>
      </w:r>
      <w:r w:rsidRPr="009F02B8">
        <w:rPr>
          <w:b/>
          <w:bCs/>
          <w:sz w:val="24"/>
          <w:szCs w:val="24"/>
        </w:rPr>
        <w:t xml:space="preserve"> economy</w:t>
      </w:r>
      <w:r>
        <w:rPr>
          <w:sz w:val="24"/>
          <w:szCs w:val="24"/>
        </w:rPr>
        <w:t xml:space="preserve"> – this category is aligned to the wellbeing domains of Governance and institutions and Economy</w:t>
      </w:r>
      <w:r w:rsidRPr="009F02B8">
        <w:rPr>
          <w:sz w:val="24"/>
          <w:szCs w:val="24"/>
        </w:rPr>
        <w:t>.</w:t>
      </w:r>
    </w:p>
    <w:p w14:paraId="0F0F675D" w14:textId="77777777" w:rsidR="00CF0E2D" w:rsidRPr="00462251" w:rsidRDefault="00CF0E2D" w:rsidP="00A60D4B">
      <w:pPr>
        <w:keepNext/>
        <w:keepLines/>
        <w:shd w:val="clear" w:color="auto" w:fill="482D8C"/>
        <w:spacing w:before="240" w:after="120"/>
        <w:outlineLvl w:val="0"/>
        <w:rPr>
          <w:rFonts w:ascii="Montserrat" w:eastAsiaTheme="majorEastAsia" w:hAnsi="Montserrat" w:cstheme="majorBidi"/>
          <w:b/>
          <w:bCs/>
          <w:color w:val="FFFFFF" w:themeColor="background1"/>
          <w:sz w:val="28"/>
          <w:szCs w:val="28"/>
          <w:lang w:val="en-US"/>
        </w:rPr>
      </w:pPr>
      <w:bookmarkStart w:id="5" w:name="_Toc84290704"/>
      <w:bookmarkStart w:id="6" w:name="_Toc84290983"/>
      <w:bookmarkStart w:id="7" w:name="_Hlk83050058"/>
      <w:r w:rsidRPr="00462251">
        <w:rPr>
          <w:rFonts w:ascii="Montserrat" w:eastAsiaTheme="majorEastAsia" w:hAnsi="Montserrat" w:cstheme="majorBidi"/>
          <w:b/>
          <w:bCs/>
          <w:color w:val="FFFFFF" w:themeColor="background1"/>
          <w:sz w:val="28"/>
          <w:szCs w:val="28"/>
          <w:lang w:val="en-US"/>
        </w:rPr>
        <w:lastRenderedPageBreak/>
        <w:t>Health</w:t>
      </w:r>
      <w:r>
        <w:rPr>
          <w:rFonts w:ascii="Montserrat" w:eastAsiaTheme="majorEastAsia" w:hAnsi="Montserrat" w:cstheme="majorBidi"/>
          <w:b/>
          <w:bCs/>
          <w:color w:val="FFFFFF" w:themeColor="background1"/>
          <w:sz w:val="28"/>
          <w:szCs w:val="28"/>
          <w:lang w:val="en-US"/>
        </w:rPr>
        <w:t xml:space="preserve"> and community wellbeing</w:t>
      </w:r>
      <w:bookmarkEnd w:id="5"/>
      <w:bookmarkEnd w:id="6"/>
      <w:r w:rsidRPr="00462251">
        <w:rPr>
          <w:rFonts w:ascii="Montserrat" w:eastAsiaTheme="majorEastAsia" w:hAnsi="Montserrat" w:cstheme="majorBidi"/>
          <w:b/>
          <w:bCs/>
          <w:color w:val="FFFFFF" w:themeColor="background1"/>
          <w:sz w:val="28"/>
          <w:szCs w:val="28"/>
          <w:lang w:val="en-US"/>
        </w:rPr>
        <w:t xml:space="preserve"> </w:t>
      </w:r>
      <w:bookmarkStart w:id="8" w:name="_Hlk78445013"/>
    </w:p>
    <w:p w14:paraId="5CFD1501" w14:textId="77777777" w:rsidR="00CF0E2D" w:rsidRPr="00CB46CB" w:rsidRDefault="00CF0E2D" w:rsidP="00A60D4B">
      <w:pPr>
        <w:pStyle w:val="Heading3"/>
      </w:pPr>
      <w:r w:rsidRPr="004800BD">
        <w:t>What the community told us</w:t>
      </w:r>
    </w:p>
    <w:p w14:paraId="741BA65F" w14:textId="77777777" w:rsidR="00CF0E2D" w:rsidRDefault="00CF0E2D" w:rsidP="00A60D4B">
      <w:pPr>
        <w:pStyle w:val="Bbodytext"/>
        <w:rPr>
          <w:szCs w:val="24"/>
        </w:rPr>
      </w:pPr>
      <w:r>
        <w:rPr>
          <w:noProof/>
          <w:szCs w:val="24"/>
        </w:rPr>
        <w:drawing>
          <wp:anchor distT="0" distB="0" distL="114300" distR="114300" simplePos="0" relativeHeight="251662336" behindDoc="0" locked="0" layoutInCell="1" allowOverlap="1" wp14:anchorId="60DBE921" wp14:editId="6F8B7C5D">
            <wp:simplePos x="0" y="0"/>
            <wp:positionH relativeFrom="column">
              <wp:posOffset>0</wp:posOffset>
            </wp:positionH>
            <wp:positionV relativeFrom="paragraph">
              <wp:posOffset>1068135</wp:posOffset>
            </wp:positionV>
            <wp:extent cx="5731510" cy="3221990"/>
            <wp:effectExtent l="0" t="0" r="0" b="3810"/>
            <wp:wrapSquare wrapText="bothSides"/>
            <wp:docPr id="15" name="CHE_View03_Aerial-resized (A29598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HE_View03_Aerial-resized (A29598150).jpg"/>
                    <pic:cNvPicPr/>
                  </pic:nvPicPr>
                  <pic:blipFill>
                    <a:blip r:embed="rId15" r:link="rId16" cstate="print">
                      <a:extLst>
                        <a:ext uri="{28A0092B-C50C-407E-A947-70E740481C1C}">
                          <a14:useLocalDpi xmlns:a14="http://schemas.microsoft.com/office/drawing/2010/main" val="0"/>
                        </a:ext>
                      </a:extLst>
                    </a:blip>
                    <a:stretch>
                      <a:fillRect/>
                    </a:stretch>
                  </pic:blipFill>
                  <pic:spPr>
                    <a:xfrm>
                      <a:off x="0" y="0"/>
                      <a:ext cx="5731510" cy="3221990"/>
                    </a:xfrm>
                    <a:prstGeom prst="rect">
                      <a:avLst/>
                    </a:prstGeom>
                  </pic:spPr>
                </pic:pic>
              </a:graphicData>
            </a:graphic>
            <wp14:sizeRelH relativeFrom="page">
              <wp14:pctWidth>0</wp14:pctWidth>
            </wp14:sizeRelH>
            <wp14:sizeRelV relativeFrom="page">
              <wp14:pctHeight>0</wp14:pctHeight>
            </wp14:sizeRelV>
          </wp:anchor>
        </w:drawing>
      </w:r>
      <w:r w:rsidRPr="00E11D00">
        <w:rPr>
          <w:szCs w:val="24"/>
        </w:rPr>
        <w:t xml:space="preserve">During consultations on the 2021-22 Budget, Canberrans highlighted health services as one of the most important areas for them and for the community. A number of organisations and individuals identified preventative health as a priority, including health-related education programs and early intervention or diversionary services, particularly in mental health. </w:t>
      </w:r>
    </w:p>
    <w:p w14:paraId="63CA70A3" w14:textId="77777777" w:rsidR="00CF0E2D" w:rsidRPr="00506929" w:rsidRDefault="00CF0E2D" w:rsidP="00A60D4B">
      <w:pPr>
        <w:pStyle w:val="Heading3"/>
      </w:pPr>
      <w:r>
        <w:t>Key partnerships</w:t>
      </w:r>
    </w:p>
    <w:p w14:paraId="68500D3B" w14:textId="77777777" w:rsidR="00CF0E2D" w:rsidRPr="00463407" w:rsidRDefault="00CF0E2D" w:rsidP="00A60D4B">
      <w:pPr>
        <w:pStyle w:val="Bbodytext"/>
        <w:rPr>
          <w:szCs w:val="24"/>
        </w:rPr>
      </w:pPr>
      <w:r w:rsidRPr="00463407">
        <w:rPr>
          <w:szCs w:val="24"/>
        </w:rPr>
        <w:t>In the health and welfare sectors, community sector partners provide accessible and tailored support services across Canberra. For example, the NGO Leadership Group has been established as a key point of engagement for communication and information-sharing with the NGO sector and is pivotal to enhancing the quality of strategic policy development and service planning throughout the ACT. This focus on enhancing the delivery of health services by NGOs and their integration with the ACT health system as a whole is particularly critical now with the health system facing significant pressures due to the COVID</w:t>
      </w:r>
      <w:r w:rsidRPr="00463407">
        <w:rPr>
          <w:szCs w:val="24"/>
        </w:rPr>
        <w:noBreakHyphen/>
        <w:t>19 pandemic.</w:t>
      </w:r>
    </w:p>
    <w:p w14:paraId="62187F7A" w14:textId="77777777" w:rsidR="00CF0E2D" w:rsidRPr="00463407" w:rsidRDefault="00CF0E2D" w:rsidP="00A60D4B">
      <w:pPr>
        <w:pStyle w:val="Bbodytext"/>
        <w:rPr>
          <w:szCs w:val="24"/>
        </w:rPr>
      </w:pPr>
      <w:r w:rsidRPr="00463407">
        <w:rPr>
          <w:szCs w:val="24"/>
        </w:rPr>
        <w:t xml:space="preserve">A large number of NGO partners contribute to the range </w:t>
      </w:r>
      <w:r>
        <w:rPr>
          <w:szCs w:val="24"/>
        </w:rPr>
        <w:t xml:space="preserve">of </w:t>
      </w:r>
      <w:r w:rsidRPr="00463407">
        <w:rPr>
          <w:szCs w:val="24"/>
        </w:rPr>
        <w:t xml:space="preserve">mental health services available in the ACT. These partnerships help provide vital care for those who need it most, including vulnerable Canberrans and those who would otherwise face difficulties in accessing services. </w:t>
      </w:r>
    </w:p>
    <w:p w14:paraId="60DF4C80" w14:textId="77777777" w:rsidR="00CF0E2D" w:rsidRPr="00463407" w:rsidRDefault="00CF0E2D" w:rsidP="00CB6F93">
      <w:pPr>
        <w:pStyle w:val="Bbodytext"/>
        <w:rPr>
          <w:szCs w:val="24"/>
        </w:rPr>
      </w:pPr>
      <w:r w:rsidRPr="00463407">
        <w:rPr>
          <w:szCs w:val="24"/>
        </w:rPr>
        <w:t>Another important partnership in the health and welfare sector is with Winnunga Nimmityjah Aboriginal Health and Community Services (WNAHCS), an Aboriginal community</w:t>
      </w:r>
      <w:r>
        <w:rPr>
          <w:szCs w:val="24"/>
        </w:rPr>
        <w:noBreakHyphen/>
      </w:r>
      <w:r w:rsidRPr="00463407">
        <w:rPr>
          <w:szCs w:val="24"/>
        </w:rPr>
        <w:t xml:space="preserve">controlled primary health care service operated by the Aboriginal and Torres Strait Islander community of the ACT. WNAHCS provides a range of culturally safe and </w:t>
      </w:r>
      <w:r w:rsidRPr="00463407">
        <w:rPr>
          <w:szCs w:val="24"/>
        </w:rPr>
        <w:lastRenderedPageBreak/>
        <w:t xml:space="preserve">holistic health services to the Aboriginal and Torres Strait Islander community and has been crucial to the COVID-19 pandemic response. </w:t>
      </w:r>
    </w:p>
    <w:p w14:paraId="7186BAE4" w14:textId="77777777" w:rsidR="00CF0E2D" w:rsidRPr="00E11D00" w:rsidRDefault="00CF0E2D" w:rsidP="00A60D4B">
      <w:pPr>
        <w:pStyle w:val="Bbodytext"/>
        <w:rPr>
          <w:szCs w:val="24"/>
        </w:rPr>
      </w:pPr>
      <w:r>
        <w:rPr>
          <w:noProof/>
          <w:szCs w:val="24"/>
        </w:rPr>
        <w:drawing>
          <wp:anchor distT="0" distB="0" distL="114300" distR="114300" simplePos="0" relativeHeight="251663360" behindDoc="0" locked="0" layoutInCell="1" allowOverlap="1" wp14:anchorId="552EF2C5" wp14:editId="05245A7E">
            <wp:simplePos x="0" y="0"/>
            <wp:positionH relativeFrom="column">
              <wp:posOffset>0</wp:posOffset>
            </wp:positionH>
            <wp:positionV relativeFrom="paragraph">
              <wp:posOffset>1905</wp:posOffset>
            </wp:positionV>
            <wp:extent cx="2794000" cy="1270000"/>
            <wp:effectExtent l="0" t="0" r="0" b="0"/>
            <wp:wrapSquare wrapText="bothSides"/>
            <wp:docPr id="16" name="Health and Community.png"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lth and Community.png" descr="Text&#10;&#10;Description automatically generated"/>
                    <pic:cNvPicPr/>
                  </pic:nvPicPr>
                  <pic:blipFill>
                    <a:blip r:embed="rId17" r:link="rId18" cstate="print">
                      <a:extLst>
                        <a:ext uri="{28A0092B-C50C-407E-A947-70E740481C1C}">
                          <a14:useLocalDpi xmlns:a14="http://schemas.microsoft.com/office/drawing/2010/main" val="0"/>
                        </a:ext>
                      </a:extLst>
                    </a:blip>
                    <a:stretch>
                      <a:fillRect/>
                    </a:stretch>
                  </pic:blipFill>
                  <pic:spPr>
                    <a:xfrm>
                      <a:off x="0" y="0"/>
                      <a:ext cx="2794000" cy="1270000"/>
                    </a:xfrm>
                    <a:prstGeom prst="rect">
                      <a:avLst/>
                    </a:prstGeom>
                  </pic:spPr>
                </pic:pic>
              </a:graphicData>
            </a:graphic>
            <wp14:sizeRelH relativeFrom="page">
              <wp14:pctWidth>0</wp14:pctWidth>
            </wp14:sizeRelH>
            <wp14:sizeRelV relativeFrom="page">
              <wp14:pctHeight>0</wp14:pctHeight>
            </wp14:sizeRelV>
          </wp:anchor>
        </w:drawing>
      </w:r>
      <w:r w:rsidRPr="00463407">
        <w:rPr>
          <w:szCs w:val="24"/>
        </w:rPr>
        <w:t xml:space="preserve">Similarly, in recent times, our partnerships with private health providers, including private hospital and pathology services, have been vital in enabling the Government to scale up COVID testing and respond and adapt to surges and changes in service demands in response to the pandemic. </w:t>
      </w:r>
    </w:p>
    <w:p w14:paraId="58BCA859" w14:textId="77777777" w:rsidR="00CF0E2D" w:rsidRDefault="00CF0E2D" w:rsidP="00A60D4B">
      <w:pPr>
        <w:pStyle w:val="Heading3"/>
      </w:pPr>
      <w:r w:rsidRPr="003F460B">
        <w:t xml:space="preserve">COVID-19 </w:t>
      </w:r>
      <w:r>
        <w:t xml:space="preserve">public health </w:t>
      </w:r>
      <w:r w:rsidRPr="003F460B">
        <w:t>response</w:t>
      </w:r>
    </w:p>
    <w:p w14:paraId="58935159" w14:textId="77777777" w:rsidR="00CF0E2D" w:rsidRPr="00497DB3" w:rsidRDefault="00CF0E2D" w:rsidP="00A60D4B">
      <w:pPr>
        <w:pStyle w:val="Bbodytext"/>
        <w:rPr>
          <w:szCs w:val="24"/>
        </w:rPr>
      </w:pPr>
      <w:r w:rsidRPr="00691972">
        <w:t>The</w:t>
      </w:r>
      <w:r w:rsidRPr="00497DB3">
        <w:rPr>
          <w:szCs w:val="24"/>
        </w:rPr>
        <w:t xml:space="preserve"> Government’s priority during the COVID-19 pandemic has been to support the health and wellbeing of Canberrans</w:t>
      </w:r>
      <w:r>
        <w:rPr>
          <w:szCs w:val="24"/>
        </w:rPr>
        <w:t>.</w:t>
      </w:r>
      <w:r w:rsidRPr="00497DB3">
        <w:rPr>
          <w:szCs w:val="24"/>
        </w:rPr>
        <w:t xml:space="preserve"> As part of the ACT’s COVID-19 health response, we have invested in the continued operation of COVID-19 testing clinics, COVID-19 related hospital services, contact tracing, quarantine processes and arrangements, policy and support teams and public health specialists. </w:t>
      </w:r>
    </w:p>
    <w:p w14:paraId="60D36E8E" w14:textId="6DABDC61" w:rsidR="002261A7" w:rsidRDefault="00CF0E2D" w:rsidP="00A60D4B">
      <w:pPr>
        <w:pStyle w:val="Bbodytext"/>
        <w:rPr>
          <w:szCs w:val="24"/>
        </w:rPr>
      </w:pPr>
      <w:r w:rsidRPr="00497DB3">
        <w:rPr>
          <w:szCs w:val="24"/>
        </w:rPr>
        <w:t>At times of peak demand for COVID-19 testing, we have established new walk-in and drive</w:t>
      </w:r>
      <w:r>
        <w:rPr>
          <w:szCs w:val="24"/>
        </w:rPr>
        <w:noBreakHyphen/>
      </w:r>
      <w:r w:rsidRPr="00497DB3">
        <w:rPr>
          <w:szCs w:val="24"/>
        </w:rPr>
        <w:t>through COVID-19 testing centres across Canberra as well as pop</w:t>
      </w:r>
      <w:r>
        <w:rPr>
          <w:szCs w:val="24"/>
        </w:rPr>
        <w:noBreakHyphen/>
      </w:r>
      <w:r w:rsidRPr="00497DB3">
        <w:rPr>
          <w:szCs w:val="24"/>
        </w:rPr>
        <w:t xml:space="preserve">up testing sites </w:t>
      </w:r>
      <w:r>
        <w:rPr>
          <w:szCs w:val="24"/>
        </w:rPr>
        <w:t>at various Canberra locations</w:t>
      </w:r>
      <w:r w:rsidRPr="00497DB3">
        <w:rPr>
          <w:szCs w:val="24"/>
        </w:rPr>
        <w:t xml:space="preserve">. </w:t>
      </w:r>
    </w:p>
    <w:p w14:paraId="13231EB0" w14:textId="77777777" w:rsidR="00CF0E2D" w:rsidRDefault="00CF0E2D" w:rsidP="00A60D4B">
      <w:pPr>
        <w:pStyle w:val="Heading4"/>
      </w:pPr>
      <w:r>
        <w:rPr>
          <w:noProof/>
          <w:sz w:val="24"/>
          <w:szCs w:val="24"/>
        </w:rPr>
        <w:drawing>
          <wp:anchor distT="0" distB="0" distL="114300" distR="114300" simplePos="0" relativeHeight="251661312" behindDoc="0" locked="0" layoutInCell="1" allowOverlap="1" wp14:anchorId="5EB04EF7" wp14:editId="2CD2469A">
            <wp:simplePos x="0" y="0"/>
            <wp:positionH relativeFrom="column">
              <wp:posOffset>2780522</wp:posOffset>
            </wp:positionH>
            <wp:positionV relativeFrom="paragraph">
              <wp:posOffset>119380</wp:posOffset>
            </wp:positionV>
            <wp:extent cx="3050540" cy="4067175"/>
            <wp:effectExtent l="0" t="0" r="0" b="0"/>
            <wp:wrapSquare wrapText="bothSides"/>
            <wp:docPr id="12" name="Nurse preparing vaccine.jpg" descr="A picture containing table, person, indoor,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urse preparing vaccine.jpg" descr="A picture containing table, person, indoor, worktable&#10;&#10;Description automatically generated"/>
                    <pic:cNvPicPr/>
                  </pic:nvPicPr>
                  <pic:blipFill>
                    <a:blip r:embed="rId19" r:link="rId20" cstate="print">
                      <a:extLst>
                        <a:ext uri="{28A0092B-C50C-407E-A947-70E740481C1C}">
                          <a14:useLocalDpi xmlns:a14="http://schemas.microsoft.com/office/drawing/2010/main" val="0"/>
                        </a:ext>
                      </a:extLst>
                    </a:blip>
                    <a:stretch>
                      <a:fillRect/>
                    </a:stretch>
                  </pic:blipFill>
                  <pic:spPr>
                    <a:xfrm>
                      <a:off x="0" y="0"/>
                      <a:ext cx="3050540" cy="4067175"/>
                    </a:xfrm>
                    <a:prstGeom prst="rect">
                      <a:avLst/>
                    </a:prstGeom>
                  </pic:spPr>
                </pic:pic>
              </a:graphicData>
            </a:graphic>
            <wp14:sizeRelH relativeFrom="page">
              <wp14:pctWidth>0</wp14:pctWidth>
            </wp14:sizeRelH>
            <wp14:sizeRelV relativeFrom="page">
              <wp14:pctHeight>0</wp14:pctHeight>
            </wp14:sizeRelV>
          </wp:anchor>
        </w:drawing>
      </w:r>
      <w:r>
        <w:t xml:space="preserve">2021-22 Budget </w:t>
      </w:r>
    </w:p>
    <w:p w14:paraId="455CF897" w14:textId="77777777" w:rsidR="00CF0E2D" w:rsidRPr="00497DB3" w:rsidRDefault="00CF0E2D" w:rsidP="00A60D4B">
      <w:pPr>
        <w:pStyle w:val="Bbodytext"/>
        <w:rPr>
          <w:szCs w:val="24"/>
        </w:rPr>
      </w:pPr>
      <w:r>
        <w:rPr>
          <w:szCs w:val="24"/>
        </w:rPr>
        <w:t xml:space="preserve">The 2021-22 Budget includes almost $90 million to directly </w:t>
      </w:r>
      <w:r w:rsidRPr="00497DB3">
        <w:rPr>
          <w:szCs w:val="24"/>
        </w:rPr>
        <w:t>continue</w:t>
      </w:r>
      <w:r>
        <w:rPr>
          <w:szCs w:val="24"/>
        </w:rPr>
        <w:t xml:space="preserve"> </w:t>
      </w:r>
      <w:r w:rsidRPr="00497DB3">
        <w:rPr>
          <w:szCs w:val="24"/>
        </w:rPr>
        <w:t>the COVID</w:t>
      </w:r>
      <w:r>
        <w:rPr>
          <w:szCs w:val="24"/>
        </w:rPr>
        <w:noBreakHyphen/>
      </w:r>
      <w:r w:rsidRPr="00497DB3">
        <w:rPr>
          <w:szCs w:val="24"/>
        </w:rPr>
        <w:t>19 health response, including:</w:t>
      </w:r>
    </w:p>
    <w:p w14:paraId="1AB98A9B" w14:textId="3CC5070A" w:rsidR="00CF0E2D" w:rsidRPr="00691972" w:rsidRDefault="00CF0E2D" w:rsidP="00CF0E2D">
      <w:pPr>
        <w:numPr>
          <w:ilvl w:val="0"/>
          <w:numId w:val="11"/>
        </w:numPr>
        <w:tabs>
          <w:tab w:val="clear" w:pos="720"/>
          <w:tab w:val="num" w:pos="360"/>
        </w:tabs>
        <w:spacing w:before="100" w:beforeAutospacing="1" w:after="96" w:line="240" w:lineRule="auto"/>
        <w:ind w:left="360"/>
        <w:rPr>
          <w:sz w:val="24"/>
          <w:szCs w:val="24"/>
        </w:rPr>
      </w:pPr>
      <w:r w:rsidRPr="00691972">
        <w:rPr>
          <w:sz w:val="24"/>
          <w:szCs w:val="24"/>
        </w:rPr>
        <w:t>supporting the Health Emergency Control Centre, the Public Information Co-ordination Centre, quarantine and compliance activities, hospital and testing services, additional cleaning of public schools and public transport, the Community Services Directorate Pandemic Response Team and the Office of the COVID-19 Coordinator</w:t>
      </w:r>
      <w:r w:rsidR="002261A7">
        <w:rPr>
          <w:sz w:val="24"/>
          <w:szCs w:val="24"/>
        </w:rPr>
        <w:noBreakHyphen/>
      </w:r>
      <w:r w:rsidRPr="00691972">
        <w:rPr>
          <w:sz w:val="24"/>
          <w:szCs w:val="24"/>
        </w:rPr>
        <w:t>General;</w:t>
      </w:r>
    </w:p>
    <w:p w14:paraId="5B07164D" w14:textId="77777777" w:rsidR="00CF0E2D" w:rsidRPr="00691972" w:rsidRDefault="00CF0E2D" w:rsidP="00CF0E2D">
      <w:pPr>
        <w:numPr>
          <w:ilvl w:val="0"/>
          <w:numId w:val="11"/>
        </w:numPr>
        <w:tabs>
          <w:tab w:val="clear" w:pos="720"/>
          <w:tab w:val="num" w:pos="360"/>
        </w:tabs>
        <w:spacing w:before="100" w:beforeAutospacing="1" w:after="96" w:line="240" w:lineRule="auto"/>
        <w:ind w:left="360"/>
        <w:rPr>
          <w:sz w:val="24"/>
          <w:szCs w:val="24"/>
        </w:rPr>
      </w:pPr>
      <w:r w:rsidRPr="00691972">
        <w:rPr>
          <w:sz w:val="24"/>
          <w:szCs w:val="24"/>
        </w:rPr>
        <w:t>expanding the COVID-19 vaccination program in 2021-22 to provide vaccinations for any eligible member of the public; and</w:t>
      </w:r>
    </w:p>
    <w:p w14:paraId="39EF7871" w14:textId="77777777" w:rsidR="00CF0E2D" w:rsidRPr="00691972" w:rsidRDefault="00CF0E2D" w:rsidP="00CF0E2D">
      <w:pPr>
        <w:numPr>
          <w:ilvl w:val="0"/>
          <w:numId w:val="11"/>
        </w:numPr>
        <w:tabs>
          <w:tab w:val="clear" w:pos="720"/>
          <w:tab w:val="num" w:pos="360"/>
        </w:tabs>
        <w:spacing w:before="100" w:beforeAutospacing="1" w:after="96" w:line="240" w:lineRule="auto"/>
        <w:ind w:left="360"/>
        <w:rPr>
          <w:sz w:val="24"/>
          <w:szCs w:val="24"/>
        </w:rPr>
      </w:pPr>
      <w:r w:rsidRPr="00691972">
        <w:rPr>
          <w:sz w:val="24"/>
          <w:szCs w:val="24"/>
        </w:rPr>
        <w:t xml:space="preserve">the community and mental health COVID-19 support package. </w:t>
      </w:r>
    </w:p>
    <w:p w14:paraId="32EC532E" w14:textId="77777777" w:rsidR="00CF0E2D" w:rsidRDefault="00CF0E2D" w:rsidP="00A60D4B">
      <w:pPr>
        <w:pStyle w:val="Heading3"/>
      </w:pPr>
      <w:r w:rsidRPr="00424017">
        <w:lastRenderedPageBreak/>
        <w:t>Investing in public health care</w:t>
      </w:r>
    </w:p>
    <w:p w14:paraId="2F3FD42B" w14:textId="77777777" w:rsidR="00CF0E2D" w:rsidRPr="00497DB3" w:rsidRDefault="00CF0E2D" w:rsidP="00A60D4B">
      <w:pPr>
        <w:pStyle w:val="Bbodytext"/>
        <w:rPr>
          <w:b/>
        </w:rPr>
      </w:pPr>
      <w:r w:rsidRPr="00497DB3">
        <w:t>Good health is fundamental to wellbeing and has a strong relationship to broader quality of life outcomes</w:t>
      </w:r>
      <w:r w:rsidRPr="00497DB3" w:rsidDel="005C50E9">
        <w:t>.</w:t>
      </w:r>
      <w:r w:rsidRPr="00497DB3">
        <w:t xml:space="preserve"> The state of our health affects our </w:t>
      </w:r>
      <w:r>
        <w:t xml:space="preserve">ability to </w:t>
      </w:r>
      <w:r w:rsidRPr="00497DB3">
        <w:t>participat</w:t>
      </w:r>
      <w:r>
        <w:t xml:space="preserve">e </w:t>
      </w:r>
      <w:r w:rsidRPr="00497DB3">
        <w:t xml:space="preserve">in a wide range of activities that make our lives meaningful, including education, employment, relationships and broader social connections, and our general outlook on life. </w:t>
      </w:r>
    </w:p>
    <w:p w14:paraId="3EBB41E6" w14:textId="77777777" w:rsidR="00CF0E2D" w:rsidRDefault="00CF0E2D" w:rsidP="00A60D4B">
      <w:pPr>
        <w:pStyle w:val="Bbodytext"/>
      </w:pPr>
      <w:r w:rsidRPr="00497DB3">
        <w:t>Improving health outcomes involves a focus on both our physical and mental wellbeing and a strong public health care system is crucial in achieving this aim.</w:t>
      </w:r>
    </w:p>
    <w:p w14:paraId="30DBEAF3" w14:textId="77777777" w:rsidR="00CF0E2D" w:rsidRDefault="00CF0E2D" w:rsidP="00A60D4B">
      <w:pPr>
        <w:pStyle w:val="Heading4"/>
      </w:pPr>
      <w:r>
        <w:rPr>
          <w:noProof/>
          <w:sz w:val="24"/>
          <w:szCs w:val="24"/>
        </w:rPr>
        <w:drawing>
          <wp:anchor distT="0" distB="0" distL="114300" distR="114300" simplePos="0" relativeHeight="251664384" behindDoc="0" locked="0" layoutInCell="1" allowOverlap="1" wp14:anchorId="19EB58DD" wp14:editId="74BCE4BB">
            <wp:simplePos x="0" y="0"/>
            <wp:positionH relativeFrom="margin">
              <wp:align>right</wp:align>
            </wp:positionH>
            <wp:positionV relativeFrom="paragraph">
              <wp:posOffset>76835</wp:posOffset>
            </wp:positionV>
            <wp:extent cx="1638300" cy="939800"/>
            <wp:effectExtent l="0" t="0" r="0" b="0"/>
            <wp:wrapSquare wrapText="bothSides"/>
            <wp:docPr id="18" name="500m additional health funding.png"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00m additional health funding.png" descr="Logo, company name&#10;&#10;Description automatically generated"/>
                    <pic:cNvPicPr/>
                  </pic:nvPicPr>
                  <pic:blipFill>
                    <a:blip r:embed="rId21" r:link="rId22" cstate="print">
                      <a:extLst>
                        <a:ext uri="{28A0092B-C50C-407E-A947-70E740481C1C}">
                          <a14:useLocalDpi xmlns:a14="http://schemas.microsoft.com/office/drawing/2010/main" val="0"/>
                        </a:ext>
                      </a:extLst>
                    </a:blip>
                    <a:stretch>
                      <a:fillRect/>
                    </a:stretch>
                  </pic:blipFill>
                  <pic:spPr>
                    <a:xfrm>
                      <a:off x="0" y="0"/>
                      <a:ext cx="1638300" cy="939800"/>
                    </a:xfrm>
                    <a:prstGeom prst="rect">
                      <a:avLst/>
                    </a:prstGeom>
                  </pic:spPr>
                </pic:pic>
              </a:graphicData>
            </a:graphic>
            <wp14:sizeRelH relativeFrom="page">
              <wp14:pctWidth>0</wp14:pctWidth>
            </wp14:sizeRelH>
            <wp14:sizeRelV relativeFrom="page">
              <wp14:pctHeight>0</wp14:pctHeight>
            </wp14:sizeRelV>
          </wp:anchor>
        </w:drawing>
      </w:r>
      <w:r>
        <w:t>2021-22 Budget</w:t>
      </w:r>
    </w:p>
    <w:p w14:paraId="7FD1304F" w14:textId="77777777" w:rsidR="00CF0E2D" w:rsidRPr="00497DB3" w:rsidRDefault="00CF0E2D" w:rsidP="00A60D4B">
      <w:pPr>
        <w:rPr>
          <w:sz w:val="24"/>
          <w:szCs w:val="24"/>
        </w:rPr>
      </w:pPr>
      <w:r w:rsidRPr="0046535E">
        <w:rPr>
          <w:sz w:val="24"/>
          <w:szCs w:val="24"/>
        </w:rPr>
        <w:t>The 2021-22 Budget provides more than $500 million in additional funding for health over four years.</w:t>
      </w:r>
      <w:r w:rsidRPr="006F77EF">
        <w:rPr>
          <w:b/>
          <w:bCs/>
          <w:sz w:val="24"/>
          <w:szCs w:val="24"/>
        </w:rPr>
        <w:t xml:space="preserve"> </w:t>
      </w:r>
      <w:r w:rsidRPr="00497DB3">
        <w:rPr>
          <w:sz w:val="24"/>
          <w:szCs w:val="24"/>
        </w:rPr>
        <w:t>This boost in funding will provide additional resourcing in response to growing demand for core services across the ACT public health system and the increased complexity of health service delivery.</w:t>
      </w:r>
    </w:p>
    <w:p w14:paraId="17374435" w14:textId="77777777" w:rsidR="00CF0E2D" w:rsidRPr="00497DB3" w:rsidRDefault="00CF0E2D" w:rsidP="00A60D4B">
      <w:pPr>
        <w:rPr>
          <w:sz w:val="24"/>
          <w:szCs w:val="24"/>
        </w:rPr>
      </w:pPr>
      <w:r w:rsidRPr="00497DB3">
        <w:rPr>
          <w:sz w:val="24"/>
          <w:szCs w:val="24"/>
        </w:rPr>
        <w:t>Initiatives in the 2021-22 Budget focus on expanding critical hospital services and increasing community</w:t>
      </w:r>
      <w:r>
        <w:rPr>
          <w:sz w:val="24"/>
          <w:szCs w:val="24"/>
        </w:rPr>
        <w:t xml:space="preserve"> </w:t>
      </w:r>
      <w:r w:rsidRPr="00497DB3">
        <w:rPr>
          <w:sz w:val="24"/>
          <w:szCs w:val="24"/>
        </w:rPr>
        <w:t>and home-based health services includ</w:t>
      </w:r>
      <w:r>
        <w:rPr>
          <w:sz w:val="24"/>
          <w:szCs w:val="24"/>
        </w:rPr>
        <w:t>ing</w:t>
      </w:r>
      <w:r w:rsidRPr="00497DB3">
        <w:rPr>
          <w:sz w:val="24"/>
          <w:szCs w:val="24"/>
        </w:rPr>
        <w:t xml:space="preserve">: </w:t>
      </w:r>
    </w:p>
    <w:p w14:paraId="3E406252" w14:textId="77777777" w:rsidR="00CF0E2D" w:rsidRPr="00497DB3" w:rsidRDefault="00CF0E2D" w:rsidP="00CF0E2D">
      <w:pPr>
        <w:numPr>
          <w:ilvl w:val="0"/>
          <w:numId w:val="11"/>
        </w:numPr>
        <w:tabs>
          <w:tab w:val="clear" w:pos="720"/>
          <w:tab w:val="num" w:pos="360"/>
        </w:tabs>
        <w:spacing w:before="100" w:beforeAutospacing="1" w:after="96" w:line="240" w:lineRule="auto"/>
        <w:ind w:left="360"/>
        <w:rPr>
          <w:sz w:val="24"/>
          <w:szCs w:val="24"/>
        </w:rPr>
      </w:pPr>
      <w:r w:rsidRPr="00497DB3">
        <w:rPr>
          <w:sz w:val="24"/>
          <w:szCs w:val="24"/>
        </w:rPr>
        <w:t>the first stage of a phased introduction of minimum nurse/midwifery-to-patient ratios at the Canberra Hospital and Calvary Public Hospital Bruce;</w:t>
      </w:r>
    </w:p>
    <w:p w14:paraId="4708BF0D" w14:textId="77777777" w:rsidR="00CF0E2D" w:rsidRPr="00497DB3" w:rsidRDefault="00CF0E2D" w:rsidP="00CF0E2D">
      <w:pPr>
        <w:numPr>
          <w:ilvl w:val="0"/>
          <w:numId w:val="11"/>
        </w:numPr>
        <w:tabs>
          <w:tab w:val="clear" w:pos="720"/>
          <w:tab w:val="num" w:pos="360"/>
        </w:tabs>
        <w:spacing w:beforeAutospacing="1" w:after="96" w:line="240" w:lineRule="auto"/>
        <w:ind w:left="360"/>
        <w:rPr>
          <w:sz w:val="24"/>
          <w:szCs w:val="24"/>
        </w:rPr>
      </w:pPr>
      <w:r w:rsidRPr="00497DB3">
        <w:rPr>
          <w:sz w:val="24"/>
          <w:szCs w:val="24"/>
        </w:rPr>
        <w:t>an expansion of the Canberra Hospital Emergency Department to better respond to service demand pressures and to support contemporary models of care;</w:t>
      </w:r>
    </w:p>
    <w:p w14:paraId="359638B4" w14:textId="77777777" w:rsidR="00CF0E2D" w:rsidRPr="00497DB3" w:rsidRDefault="00CF0E2D" w:rsidP="00CF0E2D">
      <w:pPr>
        <w:numPr>
          <w:ilvl w:val="0"/>
          <w:numId w:val="11"/>
        </w:numPr>
        <w:tabs>
          <w:tab w:val="clear" w:pos="720"/>
          <w:tab w:val="num" w:pos="360"/>
        </w:tabs>
        <w:spacing w:beforeAutospacing="1" w:after="96" w:line="240" w:lineRule="auto"/>
        <w:ind w:left="360"/>
        <w:rPr>
          <w:sz w:val="24"/>
          <w:szCs w:val="24"/>
        </w:rPr>
      </w:pPr>
      <w:r w:rsidRPr="00497DB3">
        <w:rPr>
          <w:sz w:val="24"/>
          <w:szCs w:val="24"/>
        </w:rPr>
        <w:t xml:space="preserve">more elective surgeries and expanded emergency </w:t>
      </w:r>
      <w:r>
        <w:rPr>
          <w:sz w:val="24"/>
          <w:szCs w:val="24"/>
        </w:rPr>
        <w:t xml:space="preserve">surgery </w:t>
      </w:r>
      <w:r w:rsidRPr="00497DB3">
        <w:rPr>
          <w:sz w:val="24"/>
          <w:szCs w:val="24"/>
        </w:rPr>
        <w:t>capacity and post-surgery care;</w:t>
      </w:r>
    </w:p>
    <w:p w14:paraId="5F0A2934" w14:textId="77777777" w:rsidR="00CF0E2D" w:rsidRPr="00497DB3" w:rsidRDefault="00CF0E2D" w:rsidP="00CF0E2D">
      <w:pPr>
        <w:numPr>
          <w:ilvl w:val="0"/>
          <w:numId w:val="11"/>
        </w:numPr>
        <w:tabs>
          <w:tab w:val="clear" w:pos="720"/>
          <w:tab w:val="num" w:pos="360"/>
        </w:tabs>
        <w:spacing w:beforeAutospacing="1" w:after="96" w:line="240" w:lineRule="auto"/>
        <w:ind w:left="360"/>
        <w:rPr>
          <w:sz w:val="24"/>
          <w:szCs w:val="24"/>
        </w:rPr>
      </w:pPr>
      <w:r w:rsidRPr="00497DB3">
        <w:rPr>
          <w:sz w:val="24"/>
          <w:szCs w:val="24"/>
        </w:rPr>
        <w:t>an increase in home-based palliative care services, as well as supporting five new inpatient beds at Clare Holland House hospice; and</w:t>
      </w:r>
    </w:p>
    <w:p w14:paraId="23DBAB99" w14:textId="1B86E55A" w:rsidR="00CB6F93" w:rsidRDefault="00CF0E2D" w:rsidP="00CF0E2D">
      <w:pPr>
        <w:numPr>
          <w:ilvl w:val="0"/>
          <w:numId w:val="11"/>
        </w:numPr>
        <w:tabs>
          <w:tab w:val="clear" w:pos="720"/>
          <w:tab w:val="num" w:pos="360"/>
        </w:tabs>
        <w:spacing w:beforeAutospacing="1" w:after="96" w:line="240" w:lineRule="auto"/>
        <w:ind w:left="360"/>
        <w:rPr>
          <w:sz w:val="24"/>
          <w:szCs w:val="24"/>
        </w:rPr>
      </w:pPr>
      <w:r w:rsidRPr="00497DB3">
        <w:rPr>
          <w:sz w:val="24"/>
          <w:szCs w:val="24"/>
        </w:rPr>
        <w:t xml:space="preserve">Sexual Health and Family Planning </w:t>
      </w:r>
      <w:r>
        <w:rPr>
          <w:sz w:val="24"/>
          <w:szCs w:val="24"/>
        </w:rPr>
        <w:t xml:space="preserve">‘s </w:t>
      </w:r>
      <w:r w:rsidRPr="00497DB3">
        <w:rPr>
          <w:sz w:val="24"/>
          <w:szCs w:val="24"/>
        </w:rPr>
        <w:t>sexual health education, information and support services for people with disability.</w:t>
      </w:r>
    </w:p>
    <w:p w14:paraId="2119704F" w14:textId="77777777" w:rsidR="00CB6F93" w:rsidRDefault="00CB6F93">
      <w:pPr>
        <w:rPr>
          <w:sz w:val="24"/>
          <w:szCs w:val="24"/>
        </w:rPr>
      </w:pPr>
      <w:r>
        <w:rPr>
          <w:sz w:val="24"/>
          <w:szCs w:val="24"/>
        </w:rPr>
        <w:br w:type="page"/>
      </w:r>
    </w:p>
    <w:p w14:paraId="2FBAB647" w14:textId="77777777" w:rsidR="00CF0E2D" w:rsidRPr="003F460B" w:rsidRDefault="00CF0E2D" w:rsidP="00A60D4B">
      <w:pPr>
        <w:pStyle w:val="Heading3"/>
      </w:pPr>
      <w:r w:rsidRPr="003F460B">
        <w:lastRenderedPageBreak/>
        <w:t>Mental health</w:t>
      </w:r>
      <w:r>
        <w:t xml:space="preserve"> a</w:t>
      </w:r>
      <w:r w:rsidRPr="0033218F">
        <w:t>nd community health care support</w:t>
      </w:r>
    </w:p>
    <w:p w14:paraId="28EF9FE8" w14:textId="77777777" w:rsidR="00CF0E2D" w:rsidRPr="000656A6" w:rsidRDefault="00CF0E2D" w:rsidP="00A60D4B">
      <w:pPr>
        <w:rPr>
          <w:rFonts w:cstheme="minorHAnsi"/>
          <w:sz w:val="24"/>
          <w:szCs w:val="24"/>
        </w:rPr>
      </w:pPr>
      <w:r w:rsidRPr="000656A6">
        <w:rPr>
          <w:sz w:val="24"/>
          <w:szCs w:val="24"/>
        </w:rPr>
        <w:t xml:space="preserve">Supporting mental health outcomes in the ACT community, particularly in response to the impacts of the COVID-19 </w:t>
      </w:r>
      <w:r w:rsidRPr="000656A6">
        <w:rPr>
          <w:rFonts w:cstheme="minorHAnsi"/>
          <w:sz w:val="24"/>
          <w:szCs w:val="24"/>
        </w:rPr>
        <w:t xml:space="preserve">pandemic, has been a key focus for the Government in recent years. </w:t>
      </w:r>
    </w:p>
    <w:p w14:paraId="0BD64028" w14:textId="77777777" w:rsidR="00CF0E2D" w:rsidRPr="000656A6" w:rsidRDefault="00CF0E2D" w:rsidP="00A60D4B">
      <w:pPr>
        <w:rPr>
          <w:sz w:val="24"/>
          <w:szCs w:val="24"/>
        </w:rPr>
      </w:pPr>
      <w:r w:rsidRPr="000656A6">
        <w:rPr>
          <w:sz w:val="24"/>
          <w:szCs w:val="24"/>
        </w:rPr>
        <w:t xml:space="preserve">The </w:t>
      </w:r>
      <w:r w:rsidRPr="000656A6">
        <w:rPr>
          <w:i/>
          <w:iCs/>
          <w:sz w:val="24"/>
          <w:szCs w:val="24"/>
        </w:rPr>
        <w:t>Living well</w:t>
      </w:r>
      <w:r w:rsidRPr="000656A6">
        <w:rPr>
          <w:sz w:val="24"/>
          <w:szCs w:val="24"/>
        </w:rPr>
        <w:t xml:space="preserve"> survey showed that levels of self-reported psychological distress increased during the initial ACT lockdown, but for most had generally returned to pre-COVID levels by December 2020. The decline in self-rated mental health was more significant and did not appear to have returned to pre-COVID levels as of December 2020. </w:t>
      </w:r>
    </w:p>
    <w:p w14:paraId="3567ECD7" w14:textId="77777777" w:rsidR="00CF0E2D" w:rsidRPr="000656A6" w:rsidRDefault="00CF0E2D" w:rsidP="00A60D4B">
      <w:pPr>
        <w:rPr>
          <w:sz w:val="24"/>
          <w:szCs w:val="24"/>
        </w:rPr>
      </w:pPr>
      <w:r w:rsidRPr="000656A6">
        <w:rPr>
          <w:sz w:val="24"/>
          <w:szCs w:val="24"/>
        </w:rPr>
        <w:t xml:space="preserve">The September 2021 YourSay Panel survey suggests that the self-rated mental health of the community has again fallen, with more than four in ten Canberrans rating their mental health as fair or poor. This result is more pronounced for younger Canberrans. The Government continues to address service needs in this important area, which has been a key factor in decision making through the challenging period of the ACT lockdown.  </w:t>
      </w:r>
    </w:p>
    <w:p w14:paraId="6EF5B152" w14:textId="77777777" w:rsidR="00CF0E2D" w:rsidRDefault="00CF0E2D" w:rsidP="00A60D4B">
      <w:pPr>
        <w:rPr>
          <w:rFonts w:ascii="Calibri" w:eastAsia="Calibri" w:hAnsi="Calibri" w:cs="Calibri"/>
          <w:sz w:val="24"/>
          <w:szCs w:val="24"/>
        </w:rPr>
      </w:pPr>
      <w:r w:rsidRPr="000656A6">
        <w:rPr>
          <w:sz w:val="24"/>
          <w:szCs w:val="24"/>
        </w:rPr>
        <w:t>New decisions in the 2021-22 Budget build on over $30 million provided to support mental health in recent budgets</w:t>
      </w:r>
      <w:r>
        <w:rPr>
          <w:sz w:val="24"/>
          <w:szCs w:val="24"/>
        </w:rPr>
        <w:t xml:space="preserve">, including delivering the </w:t>
      </w:r>
      <w:r w:rsidRPr="000656A6">
        <w:rPr>
          <w:sz w:val="24"/>
          <w:szCs w:val="24"/>
        </w:rPr>
        <w:t>Adolescent Mobile Outreach Service</w:t>
      </w:r>
      <w:r>
        <w:rPr>
          <w:sz w:val="24"/>
          <w:szCs w:val="24"/>
        </w:rPr>
        <w:t xml:space="preserve">, expanding the </w:t>
      </w:r>
      <w:r w:rsidRPr="000656A6">
        <w:rPr>
          <w:sz w:val="24"/>
          <w:szCs w:val="24"/>
        </w:rPr>
        <w:t>Police, Ambulance and Clinician Early Response (PACER) service</w:t>
      </w:r>
      <w:r>
        <w:rPr>
          <w:sz w:val="24"/>
          <w:szCs w:val="24"/>
        </w:rPr>
        <w:t xml:space="preserve"> and introducing new therapy services </w:t>
      </w:r>
      <w:r w:rsidRPr="000656A6">
        <w:rPr>
          <w:sz w:val="24"/>
          <w:szCs w:val="24"/>
        </w:rPr>
        <w:t>within the Adult</w:t>
      </w:r>
      <w:r w:rsidRPr="000656A6">
        <w:rPr>
          <w:rFonts w:ascii="Calibri" w:eastAsia="Calibri" w:hAnsi="Calibri" w:cs="Calibri"/>
          <w:sz w:val="24"/>
          <w:szCs w:val="24"/>
        </w:rPr>
        <w:t xml:space="preserve"> Mental Health Unit at the Canberra Hospital</w:t>
      </w:r>
      <w:r>
        <w:rPr>
          <w:rFonts w:ascii="Calibri" w:eastAsia="Calibri" w:hAnsi="Calibri" w:cs="Calibri"/>
          <w:sz w:val="24"/>
          <w:szCs w:val="24"/>
        </w:rPr>
        <w:t xml:space="preserve">. </w:t>
      </w:r>
    </w:p>
    <w:p w14:paraId="62A07FFD" w14:textId="77777777" w:rsidR="00CF0E2D" w:rsidRPr="000656A6" w:rsidRDefault="00CF0E2D" w:rsidP="00A60D4B">
      <w:pPr>
        <w:rPr>
          <w:sz w:val="24"/>
          <w:szCs w:val="24"/>
        </w:rPr>
      </w:pPr>
      <w:r>
        <w:rPr>
          <w:noProof/>
          <w:sz w:val="24"/>
          <w:szCs w:val="24"/>
        </w:rPr>
        <w:drawing>
          <wp:inline distT="0" distB="0" distL="0" distR="0" wp14:anchorId="0D9FE0F5" wp14:editId="4985D6C5">
            <wp:extent cx="5731510" cy="3582670"/>
            <wp:effectExtent l="0" t="0" r="0" b="0"/>
            <wp:docPr id="20" name="CHE_View02_ExteriorLink-resized (A29598954).jpg" descr="A picture containing sky, outdoor, road,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HE_View02_ExteriorLink-resized (A29598954).jpg" descr="A picture containing sky, outdoor, road, day&#10;&#10;Description automatically generated"/>
                    <pic:cNvPicPr/>
                  </pic:nvPicPr>
                  <pic:blipFill>
                    <a:blip r:embed="rId23" r:link="rId24" cstate="print">
                      <a:extLst>
                        <a:ext uri="{28A0092B-C50C-407E-A947-70E740481C1C}">
                          <a14:useLocalDpi xmlns:a14="http://schemas.microsoft.com/office/drawing/2010/main" val="0"/>
                        </a:ext>
                      </a:extLst>
                    </a:blip>
                    <a:stretch>
                      <a:fillRect/>
                    </a:stretch>
                  </pic:blipFill>
                  <pic:spPr>
                    <a:xfrm>
                      <a:off x="0" y="0"/>
                      <a:ext cx="5731510" cy="3582670"/>
                    </a:xfrm>
                    <a:prstGeom prst="rect">
                      <a:avLst/>
                    </a:prstGeom>
                  </pic:spPr>
                </pic:pic>
              </a:graphicData>
            </a:graphic>
          </wp:inline>
        </w:drawing>
      </w:r>
    </w:p>
    <w:p w14:paraId="425AE7A6" w14:textId="77777777" w:rsidR="00CF0E2D" w:rsidRDefault="00CF0E2D">
      <w:pPr>
        <w:rPr>
          <w:rFonts w:ascii="Calibri" w:eastAsiaTheme="majorEastAsia" w:hAnsi="Calibri" w:cstheme="majorBidi"/>
          <w:b/>
          <w:iCs/>
          <w:sz w:val="28"/>
        </w:rPr>
      </w:pPr>
      <w:r>
        <w:br w:type="page"/>
      </w:r>
    </w:p>
    <w:p w14:paraId="3475A3DF" w14:textId="77777777" w:rsidR="00CF0E2D" w:rsidRDefault="00CF0E2D" w:rsidP="00A60D4B">
      <w:pPr>
        <w:pStyle w:val="Heading4"/>
      </w:pPr>
      <w:r>
        <w:lastRenderedPageBreak/>
        <w:t>2021-22 Budget</w:t>
      </w:r>
    </w:p>
    <w:p w14:paraId="201C7050" w14:textId="77777777" w:rsidR="00CF0E2D" w:rsidRPr="0019255C" w:rsidRDefault="00CF0E2D" w:rsidP="00A60D4B">
      <w:pPr>
        <w:pStyle w:val="Bbodytext"/>
      </w:pPr>
      <w:r w:rsidRPr="00422DFB">
        <w:t>To further support Canberrans, including those continuing to feel the effects of the pandemic on their mental health and wellbeing, the 2021-22 Budget includes an additional $</w:t>
      </w:r>
      <w:r>
        <w:t>57 </w:t>
      </w:r>
      <w:r w:rsidRPr="00422DFB">
        <w:t>million for mental health and community health care support, including:</w:t>
      </w:r>
    </w:p>
    <w:p w14:paraId="7E0D7FC8" w14:textId="77777777" w:rsidR="00CF0E2D" w:rsidRPr="006A0CDA" w:rsidRDefault="00CF0E2D" w:rsidP="00A60D4B">
      <w:pPr>
        <w:pStyle w:val="BBullet1"/>
        <w:tabs>
          <w:tab w:val="clear" w:pos="357"/>
          <w:tab w:val="left" w:pos="426"/>
        </w:tabs>
        <w:ind w:left="426" w:hanging="426"/>
      </w:pPr>
      <w:r>
        <w:t xml:space="preserve">$43 million </w:t>
      </w:r>
      <w:r w:rsidRPr="006A0CDA">
        <w:t>over four years to provide ten additional acute mental health inpatient beds at the Canberra Hospital in the refurbished Ward 12B and provide funding for additional High Dependency capacity at the Adult Mental Health Unit to meet increased demand for mental health treatment</w:t>
      </w:r>
      <w:r>
        <w:t>;</w:t>
      </w:r>
    </w:p>
    <w:p w14:paraId="66EC09E0" w14:textId="77777777" w:rsidR="00CF0E2D" w:rsidRPr="00691972" w:rsidRDefault="00CF0E2D" w:rsidP="00A60D4B">
      <w:pPr>
        <w:pStyle w:val="BBullet1"/>
        <w:tabs>
          <w:tab w:val="clear" w:pos="357"/>
          <w:tab w:val="left" w:pos="426"/>
        </w:tabs>
        <w:ind w:left="426" w:hanging="426"/>
      </w:pPr>
      <w:r>
        <w:t xml:space="preserve">$7.5 million to deliver </w:t>
      </w:r>
      <w:r w:rsidRPr="00422DFB">
        <w:t>a phased implementation of integrated face-to-face and digital mental health care for young people through an online platform delivered through the Moderated Online Social Therapy (MOST) program developed by Orygen</w:t>
      </w:r>
      <w:r>
        <w:t>;</w:t>
      </w:r>
    </w:p>
    <w:p w14:paraId="0843B7B6" w14:textId="77777777" w:rsidR="00CF0E2D" w:rsidRPr="00422DFB" w:rsidRDefault="00CF0E2D" w:rsidP="00A60D4B">
      <w:pPr>
        <w:pStyle w:val="BBullet1"/>
        <w:tabs>
          <w:tab w:val="clear" w:pos="357"/>
          <w:tab w:val="left" w:pos="426"/>
        </w:tabs>
        <w:ind w:left="426" w:hanging="426"/>
      </w:pPr>
      <w:r w:rsidRPr="00422DFB">
        <w:t>$3.6 million COVID-19 mental health support package</w:t>
      </w:r>
      <w:r>
        <w:t xml:space="preserve"> funding;</w:t>
      </w:r>
    </w:p>
    <w:p w14:paraId="28EB72B9" w14:textId="77777777" w:rsidR="00CF0E2D" w:rsidRPr="00422DFB" w:rsidRDefault="00CF0E2D" w:rsidP="00A60D4B">
      <w:pPr>
        <w:pStyle w:val="BBullet1"/>
        <w:tabs>
          <w:tab w:val="clear" w:pos="357"/>
          <w:tab w:val="left" w:pos="426"/>
        </w:tabs>
        <w:ind w:left="426" w:hanging="426"/>
      </w:pPr>
      <w:r w:rsidRPr="00422DFB">
        <w:t>expand</w:t>
      </w:r>
      <w:r>
        <w:t>ing</w:t>
      </w:r>
      <w:r w:rsidRPr="00422DFB">
        <w:t xml:space="preserve"> the existing Needle and Syringe Program and to explore options for a medically supervised drug consumption facility, including the development of a suitable service model and a potential location;</w:t>
      </w:r>
    </w:p>
    <w:p w14:paraId="6B9CE01F" w14:textId="77777777" w:rsidR="00CF0E2D" w:rsidRPr="00422DFB" w:rsidRDefault="00CF0E2D" w:rsidP="00A60D4B">
      <w:pPr>
        <w:pStyle w:val="BBullet1"/>
        <w:tabs>
          <w:tab w:val="clear" w:pos="357"/>
          <w:tab w:val="left" w:pos="426"/>
        </w:tabs>
        <w:ind w:left="426" w:hanging="426"/>
      </w:pPr>
      <w:r>
        <w:t>assisting</w:t>
      </w:r>
      <w:r w:rsidRPr="00422DFB">
        <w:t xml:space="preserve"> Catholic Care’s Youth and Wellbeing program to provide a multidisciplinary outreach service that supports young people (12-25 year olds) living with mental health concerns;</w:t>
      </w:r>
      <w:r>
        <w:t xml:space="preserve"> and</w:t>
      </w:r>
    </w:p>
    <w:p w14:paraId="7C4EF8F3" w14:textId="728F484E" w:rsidR="00CF0E2D" w:rsidRDefault="00CF0E2D" w:rsidP="00A60D4B">
      <w:pPr>
        <w:pStyle w:val="BBullet1"/>
        <w:tabs>
          <w:tab w:val="clear" w:pos="357"/>
          <w:tab w:val="left" w:pos="426"/>
        </w:tabs>
        <w:ind w:left="426" w:hanging="426"/>
      </w:pPr>
      <w:r w:rsidRPr="00422DFB">
        <w:t>commenc</w:t>
      </w:r>
      <w:r>
        <w:t>ing</w:t>
      </w:r>
      <w:r w:rsidRPr="00422DFB">
        <w:t xml:space="preserve"> design work to deliver a new community-led alcohol and other drug and mental health treatment precinct, including design work for a new Aboriginal and Torres Strait Islander residential alcohol and other drug rehabilitation facility in partnership with Winnunga Nimmityjah and for the redevelopment of the Ted Noffs Foundation and CatholicCare facilities in Watson</w:t>
      </w:r>
      <w:r>
        <w:t xml:space="preserve"> ($8</w:t>
      </w:r>
      <w:r w:rsidR="00CB6F93">
        <w:t>03</w:t>
      </w:r>
      <w:r>
        <w:t>,000).</w:t>
      </w:r>
    </w:p>
    <w:p w14:paraId="7CB16D7F" w14:textId="77777777" w:rsidR="00CF0E2D" w:rsidRPr="00422DFB" w:rsidRDefault="00CF0E2D" w:rsidP="00A60D4B">
      <w:pPr>
        <w:spacing w:before="100" w:beforeAutospacing="1" w:after="96" w:line="240" w:lineRule="auto"/>
        <w:ind w:left="360"/>
        <w:rPr>
          <w:sz w:val="24"/>
          <w:szCs w:val="24"/>
        </w:rPr>
      </w:pPr>
      <w:r>
        <w:rPr>
          <w:noProof/>
          <w:sz w:val="24"/>
          <w:szCs w:val="24"/>
        </w:rPr>
        <w:drawing>
          <wp:anchor distT="0" distB="0" distL="114300" distR="114300" simplePos="0" relativeHeight="251671552" behindDoc="0" locked="0" layoutInCell="1" allowOverlap="1" wp14:anchorId="2E8D0D26" wp14:editId="743E2C84">
            <wp:simplePos x="0" y="0"/>
            <wp:positionH relativeFrom="column">
              <wp:posOffset>-46990</wp:posOffset>
            </wp:positionH>
            <wp:positionV relativeFrom="paragraph">
              <wp:posOffset>163830</wp:posOffset>
            </wp:positionV>
            <wp:extent cx="5429885" cy="3619500"/>
            <wp:effectExtent l="0" t="0" r="5715" b="0"/>
            <wp:wrapSquare wrapText="bothSides"/>
            <wp:docPr id="28" name="Gungahlin WIC.JPG" descr="Two people in an offi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ungahlin WIC.JPG" descr="Two people in an office&#10;&#10;Description automatically generated with medium confidence"/>
                    <pic:cNvPicPr/>
                  </pic:nvPicPr>
                  <pic:blipFill>
                    <a:blip r:embed="rId25" r:link="rId26" cstate="print">
                      <a:extLst>
                        <a:ext uri="{28A0092B-C50C-407E-A947-70E740481C1C}">
                          <a14:useLocalDpi xmlns:a14="http://schemas.microsoft.com/office/drawing/2010/main" val="0"/>
                        </a:ext>
                      </a:extLst>
                    </a:blip>
                    <a:stretch>
                      <a:fillRect/>
                    </a:stretch>
                  </pic:blipFill>
                  <pic:spPr>
                    <a:xfrm>
                      <a:off x="0" y="0"/>
                      <a:ext cx="5429885" cy="3619500"/>
                    </a:xfrm>
                    <a:prstGeom prst="rect">
                      <a:avLst/>
                    </a:prstGeom>
                  </pic:spPr>
                </pic:pic>
              </a:graphicData>
            </a:graphic>
            <wp14:sizeRelH relativeFrom="page">
              <wp14:pctWidth>0</wp14:pctWidth>
            </wp14:sizeRelH>
            <wp14:sizeRelV relativeFrom="page">
              <wp14:pctHeight>0</wp14:pctHeight>
            </wp14:sizeRelV>
          </wp:anchor>
        </w:drawing>
      </w:r>
    </w:p>
    <w:p w14:paraId="3DC29EA4" w14:textId="77777777" w:rsidR="00CF0E2D" w:rsidRDefault="00CF0E2D" w:rsidP="00CF0E2D">
      <w:pPr>
        <w:numPr>
          <w:ilvl w:val="0"/>
          <w:numId w:val="11"/>
        </w:numPr>
        <w:tabs>
          <w:tab w:val="clear" w:pos="720"/>
          <w:tab w:val="num" w:pos="360"/>
        </w:tabs>
        <w:spacing w:before="100" w:beforeAutospacing="1" w:after="96" w:line="240" w:lineRule="auto"/>
        <w:ind w:left="360"/>
        <w:rPr>
          <w:color w:val="999789"/>
        </w:rPr>
      </w:pPr>
      <w:r>
        <w:br w:type="page"/>
      </w:r>
    </w:p>
    <w:p w14:paraId="6E4CDD01" w14:textId="77777777" w:rsidR="00CF0E2D" w:rsidRDefault="00CF0E2D" w:rsidP="00A60D4B">
      <w:pPr>
        <w:pStyle w:val="Heading3"/>
      </w:pPr>
      <w:r>
        <w:lastRenderedPageBreak/>
        <w:t>Improving Canberra’s health</w:t>
      </w:r>
      <w:r w:rsidRPr="00424017">
        <w:t xml:space="preserve"> infrastructure </w:t>
      </w:r>
    </w:p>
    <w:p w14:paraId="15C770FE" w14:textId="77777777" w:rsidR="00CF0E2D" w:rsidRPr="00050AFA" w:rsidRDefault="00CF0E2D" w:rsidP="00A60D4B">
      <w:pPr>
        <w:pStyle w:val="Bbodytext"/>
      </w:pPr>
      <w:r w:rsidRPr="00050AFA">
        <w:t>Securing the future health and wellbeing of the Canberra community means we need to invest in health infrastructure where Canberrans need it most.</w:t>
      </w:r>
    </w:p>
    <w:p w14:paraId="1F467D0B" w14:textId="77777777" w:rsidR="00CF0E2D" w:rsidRPr="00050AFA" w:rsidRDefault="00CF0E2D" w:rsidP="00A60D4B">
      <w:pPr>
        <w:pStyle w:val="Bbodytext"/>
      </w:pPr>
      <w:r w:rsidRPr="00050AFA">
        <w:t xml:space="preserve">In recognition of the importance of the Canberra Hospital as the only principal referral hospital in the Territory, the ACT Government is making </w:t>
      </w:r>
      <w:r>
        <w:t xml:space="preserve">a </w:t>
      </w:r>
      <w:r w:rsidRPr="00050AFA">
        <w:t>record investment to improve and expand the campus. Over the past decade and to 2024</w:t>
      </w:r>
      <w:r>
        <w:t>,</w:t>
      </w:r>
      <w:r w:rsidRPr="00050AFA">
        <w:t xml:space="preserve"> over $1 billion will have been invested, including:</w:t>
      </w:r>
    </w:p>
    <w:p w14:paraId="6E37CE62" w14:textId="77777777" w:rsidR="00CF0E2D" w:rsidRPr="00691972" w:rsidRDefault="00CF0E2D" w:rsidP="00A60D4B">
      <w:pPr>
        <w:pStyle w:val="BBullet1"/>
        <w:tabs>
          <w:tab w:val="clear" w:pos="357"/>
          <w:tab w:val="left" w:pos="426"/>
        </w:tabs>
        <w:ind w:left="426" w:hanging="426"/>
      </w:pPr>
      <w:r w:rsidRPr="00691972">
        <w:t>the Canberra Hospital Expansion project;</w:t>
      </w:r>
    </w:p>
    <w:p w14:paraId="6DF57910" w14:textId="77777777" w:rsidR="00CF0E2D" w:rsidRPr="00691972" w:rsidRDefault="00CF0E2D" w:rsidP="00A60D4B">
      <w:pPr>
        <w:pStyle w:val="BBullet1"/>
        <w:tabs>
          <w:tab w:val="clear" w:pos="357"/>
          <w:tab w:val="left" w:pos="426"/>
        </w:tabs>
        <w:ind w:left="426" w:hanging="426"/>
      </w:pPr>
      <w:r w:rsidRPr="00691972">
        <w:t>the development of the Centenary Hospital for Women and Children;</w:t>
      </w:r>
    </w:p>
    <w:p w14:paraId="7D325791" w14:textId="77777777" w:rsidR="00CF0E2D" w:rsidRPr="00691972" w:rsidRDefault="00CF0E2D" w:rsidP="00A60D4B">
      <w:pPr>
        <w:pStyle w:val="BBullet1"/>
        <w:tabs>
          <w:tab w:val="clear" w:pos="357"/>
          <w:tab w:val="left" w:pos="426"/>
        </w:tabs>
        <w:ind w:left="426" w:hanging="426"/>
      </w:pPr>
      <w:r w:rsidRPr="00691972">
        <w:t>the Adult Mental Health Unit;</w:t>
      </w:r>
    </w:p>
    <w:p w14:paraId="0F564027" w14:textId="77777777" w:rsidR="00CF0E2D" w:rsidRPr="00691972" w:rsidRDefault="00CF0E2D" w:rsidP="00A60D4B">
      <w:pPr>
        <w:pStyle w:val="BBullet1"/>
        <w:tabs>
          <w:tab w:val="clear" w:pos="357"/>
          <w:tab w:val="left" w:pos="426"/>
        </w:tabs>
        <w:ind w:left="426" w:hanging="426"/>
      </w:pPr>
      <w:r w:rsidRPr="00691972">
        <w:t>the expansion of the Intensive Care Unit;</w:t>
      </w:r>
    </w:p>
    <w:p w14:paraId="7AE7CFFC" w14:textId="77777777" w:rsidR="00CF0E2D" w:rsidRPr="00691972" w:rsidRDefault="00CF0E2D" w:rsidP="00A60D4B">
      <w:pPr>
        <w:pStyle w:val="BBullet1"/>
        <w:tabs>
          <w:tab w:val="clear" w:pos="357"/>
          <w:tab w:val="left" w:pos="426"/>
        </w:tabs>
        <w:ind w:left="426" w:hanging="426"/>
      </w:pPr>
      <w:r w:rsidRPr="00691972">
        <w:t>construction of a 28-bed oncology and radiation oncology cancer centre; and</w:t>
      </w:r>
    </w:p>
    <w:p w14:paraId="2A23031D" w14:textId="77777777" w:rsidR="00CF0E2D" w:rsidRPr="00691972" w:rsidRDefault="00CF0E2D" w:rsidP="00A60D4B">
      <w:pPr>
        <w:pStyle w:val="BBullet1"/>
        <w:tabs>
          <w:tab w:val="clear" w:pos="357"/>
          <w:tab w:val="left" w:pos="426"/>
        </w:tabs>
        <w:ind w:left="426" w:hanging="426"/>
      </w:pPr>
      <w:r w:rsidRPr="00691972">
        <w:t>over $90 million in the Upgrading and Maintaining Health Assets program.</w:t>
      </w:r>
    </w:p>
    <w:p w14:paraId="1C3B4016" w14:textId="77777777" w:rsidR="00CF0E2D" w:rsidRDefault="00CF0E2D" w:rsidP="00A60D4B">
      <w:pPr>
        <w:pStyle w:val="Bbodytext"/>
      </w:pPr>
      <w:r w:rsidRPr="00050AFA">
        <w:t xml:space="preserve">Since 2014, the Government has opened </w:t>
      </w:r>
      <w:r>
        <w:t>six</w:t>
      </w:r>
      <w:r w:rsidRPr="00050AFA">
        <w:t xml:space="preserve"> nurse-led Walk-in Centres — in Belconnen, Dickson, Gungahlin, Tuggeranong</w:t>
      </w:r>
      <w:r>
        <w:t xml:space="preserve">, </w:t>
      </w:r>
      <w:r w:rsidRPr="00050AFA">
        <w:t>Weston Creek</w:t>
      </w:r>
      <w:r>
        <w:t xml:space="preserve"> and the I</w:t>
      </w:r>
      <w:r w:rsidRPr="00AB49A5">
        <w:t xml:space="preserve">nner </w:t>
      </w:r>
      <w:r>
        <w:t>N</w:t>
      </w:r>
      <w:r w:rsidRPr="00AB49A5">
        <w:t>orth.</w:t>
      </w:r>
      <w:r>
        <w:t xml:space="preserve"> </w:t>
      </w:r>
      <w:r w:rsidRPr="00050AFA">
        <w:t>These centres provide free</w:t>
      </w:r>
      <w:r>
        <w:t xml:space="preserve"> </w:t>
      </w:r>
      <w:r w:rsidRPr="00050AFA">
        <w:t>health care for people with minor injuries and illness</w:t>
      </w:r>
      <w:r>
        <w:t>es,</w:t>
      </w:r>
      <w:r w:rsidRPr="00050AFA">
        <w:t xml:space="preserve"> </w:t>
      </w:r>
      <w:r>
        <w:t>and help reduce</w:t>
      </w:r>
      <w:r w:rsidRPr="00050AFA">
        <w:t xml:space="preserve"> pressure on our emergency departments. They provide accessible health care for people close to where they live and, in the case of the Weston Creek Walk-in Centre, vital testing facilities for COVID-19.</w:t>
      </w:r>
    </w:p>
    <w:p w14:paraId="28164996" w14:textId="77777777" w:rsidR="00CF0E2D" w:rsidRPr="00AB49A5" w:rsidRDefault="00CF0E2D" w:rsidP="00A60D4B">
      <w:pPr>
        <w:pStyle w:val="Bbodytext"/>
      </w:pPr>
      <w:r w:rsidRPr="00050AFA">
        <w:t xml:space="preserve">The Government </w:t>
      </w:r>
      <w:r>
        <w:t>has</w:t>
      </w:r>
      <w:r w:rsidRPr="00050AFA">
        <w:t xml:space="preserve"> </w:t>
      </w:r>
      <w:r>
        <w:t>committed</w:t>
      </w:r>
      <w:r w:rsidRPr="00050AFA">
        <w:t xml:space="preserve"> to </w:t>
      </w:r>
      <w:r>
        <w:t>expand</w:t>
      </w:r>
      <w:r w:rsidRPr="00050AFA">
        <w:t xml:space="preserve"> the number of Walk-in Centres across Canberra</w:t>
      </w:r>
      <w:r>
        <w:t>. In 2021, f</w:t>
      </w:r>
      <w:r w:rsidRPr="00050AFA">
        <w:t xml:space="preserve">easibility </w:t>
      </w:r>
      <w:r>
        <w:t xml:space="preserve">work </w:t>
      </w:r>
      <w:r w:rsidRPr="00050AFA">
        <w:t>and site selection</w:t>
      </w:r>
      <w:r>
        <w:t xml:space="preserve"> work will begin </w:t>
      </w:r>
      <w:r w:rsidRPr="00050AFA">
        <w:t>for four new Walk-in Centres — in South Tuggeranong, West Belconnen, Inner South, and North Gungahlin — and we are working towards establishing a new Walk-in Centre in Coombs.</w:t>
      </w:r>
    </w:p>
    <w:p w14:paraId="7A11BECE" w14:textId="77777777" w:rsidR="00CF0E2D" w:rsidRPr="00050AFA" w:rsidRDefault="00CF0E2D" w:rsidP="00A60D4B">
      <w:pPr>
        <w:pStyle w:val="Bbodytext"/>
      </w:pPr>
      <w:r w:rsidRPr="00050AFA">
        <w:t>Work is</w:t>
      </w:r>
      <w:r>
        <w:t xml:space="preserve"> also</w:t>
      </w:r>
      <w:r w:rsidRPr="00050AFA">
        <w:t xml:space="preserve"> underway to establish outpatient imaging services at the Weston Creek Walk-in Centre to reduce emergency wait times and make it easier for the community to access common diagnostic imaging services. </w:t>
      </w:r>
    </w:p>
    <w:p w14:paraId="15D1D156" w14:textId="77777777" w:rsidR="00CF0E2D" w:rsidRDefault="00CF0E2D" w:rsidP="00A60D4B">
      <w:pPr>
        <w:pStyle w:val="Bbodytext"/>
      </w:pPr>
      <w:r>
        <w:rPr>
          <w:noProof/>
        </w:rPr>
        <w:drawing>
          <wp:anchor distT="0" distB="180340" distL="114300" distR="114300" simplePos="0" relativeHeight="251665408" behindDoc="0" locked="0" layoutInCell="1" allowOverlap="1" wp14:anchorId="103EA942" wp14:editId="4EF012A1">
            <wp:simplePos x="0" y="0"/>
            <wp:positionH relativeFrom="margin">
              <wp:align>left</wp:align>
            </wp:positionH>
            <wp:positionV relativeFrom="paragraph">
              <wp:posOffset>267970</wp:posOffset>
            </wp:positionV>
            <wp:extent cx="3798570" cy="2528570"/>
            <wp:effectExtent l="0" t="0" r="0" b="5080"/>
            <wp:wrapSquare wrapText="bothSides"/>
            <wp:docPr id="21" name="CHE_View05_IntLink01-resized (A29598487).jpg" descr="A picture containing floor, in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E_View05_IntLink01-resized (A29598487).jpg" descr="A picture containing floor, indoor, people&#10;&#10;Description automatically generated"/>
                    <pic:cNvPicPr/>
                  </pic:nvPicPr>
                  <pic:blipFill>
                    <a:blip r:embed="rId27" r:link="rId28" cstate="print">
                      <a:extLst>
                        <a:ext uri="{28A0092B-C50C-407E-A947-70E740481C1C}">
                          <a14:useLocalDpi xmlns:a14="http://schemas.microsoft.com/office/drawing/2010/main" val="0"/>
                        </a:ext>
                      </a:extLst>
                    </a:blip>
                    <a:stretch>
                      <a:fillRect/>
                    </a:stretch>
                  </pic:blipFill>
                  <pic:spPr>
                    <a:xfrm>
                      <a:off x="0" y="0"/>
                      <a:ext cx="3798570" cy="2528570"/>
                    </a:xfrm>
                    <a:prstGeom prst="rect">
                      <a:avLst/>
                    </a:prstGeom>
                  </pic:spPr>
                </pic:pic>
              </a:graphicData>
            </a:graphic>
            <wp14:sizeRelH relativeFrom="page">
              <wp14:pctWidth>0</wp14:pctWidth>
            </wp14:sizeRelH>
            <wp14:sizeRelV relativeFrom="page">
              <wp14:pctHeight>0</wp14:pctHeight>
            </wp14:sizeRelV>
          </wp:anchor>
        </w:drawing>
      </w:r>
      <w:r w:rsidRPr="00050AFA">
        <w:rPr>
          <w:rFonts w:cstheme="minorHAnsi"/>
        </w:rPr>
        <w:t xml:space="preserve">Work is also continuing </w:t>
      </w:r>
      <w:r>
        <w:rPr>
          <w:rFonts w:cstheme="minorHAnsi"/>
        </w:rPr>
        <w:t xml:space="preserve">on the $624 million Canberra Hospital Expansion project. </w:t>
      </w:r>
      <w:r w:rsidRPr="00050AFA">
        <w:t xml:space="preserve">The </w:t>
      </w:r>
      <w:r w:rsidRPr="00A62771">
        <w:t xml:space="preserve">nearly 40,000 </w:t>
      </w:r>
      <w:r>
        <w:t xml:space="preserve">sqm </w:t>
      </w:r>
      <w:r w:rsidRPr="00050AFA">
        <w:t>expansion is the largest health infrastructure project ever undertaken in the Territory.</w:t>
      </w:r>
      <w:r>
        <w:t xml:space="preserve"> </w:t>
      </w:r>
    </w:p>
    <w:p w14:paraId="2D588452" w14:textId="77777777" w:rsidR="00CF0E2D" w:rsidRDefault="00CF0E2D" w:rsidP="00A60D4B">
      <w:pPr>
        <w:pStyle w:val="Bbodytext"/>
      </w:pPr>
      <w:r w:rsidRPr="00050AFA">
        <w:t xml:space="preserve">The project will transform the acute and critical health services delivered </w:t>
      </w:r>
      <w:r>
        <w:t>at</w:t>
      </w:r>
      <w:r w:rsidRPr="00050AFA">
        <w:t xml:space="preserve"> the Canberra Hospital</w:t>
      </w:r>
      <w:r>
        <w:t>, with more</w:t>
      </w:r>
      <w:r w:rsidRPr="00050AFA">
        <w:t xml:space="preserve"> operating rooms, emergency treatment spaces and intensive care beds</w:t>
      </w:r>
      <w:r>
        <w:t>.</w:t>
      </w:r>
    </w:p>
    <w:p w14:paraId="37D8FA7B" w14:textId="77777777" w:rsidR="00CF0E2D" w:rsidRDefault="00CF0E2D" w:rsidP="00AD052A">
      <w:pPr>
        <w:pStyle w:val="Bbodytext"/>
        <w:keepNext/>
        <w:keepLines/>
      </w:pPr>
      <w:r>
        <w:lastRenderedPageBreak/>
        <w:t>This expansion will</w:t>
      </w:r>
      <w:r w:rsidRPr="00050AFA">
        <w:t xml:space="preserve"> help future</w:t>
      </w:r>
      <w:r>
        <w:t>­</w:t>
      </w:r>
      <w:r w:rsidRPr="00050AFA">
        <w:t xml:space="preserve">proof our public healthcare system to meet the needs of both our growing city and the surrounding region. </w:t>
      </w:r>
      <w:r w:rsidRPr="00A62771">
        <w:t>Construction of the new facility is expected to be completed in 2024</w:t>
      </w:r>
      <w:r>
        <w:t>.</w:t>
      </w:r>
    </w:p>
    <w:p w14:paraId="1A0E1F78" w14:textId="77777777" w:rsidR="00CF0E2D" w:rsidRDefault="00CF0E2D" w:rsidP="00A60D4B">
      <w:pPr>
        <w:pStyle w:val="Bbodytext"/>
      </w:pPr>
      <w:r w:rsidRPr="00A62771">
        <w:t xml:space="preserve">The expansion of the Centenary Hospital for Women and Children </w:t>
      </w:r>
      <w:r>
        <w:t xml:space="preserve">is also underway on the Canberra Hospital campus. This project </w:t>
      </w:r>
      <w:r w:rsidRPr="00A62771">
        <w:t xml:space="preserve">will </w:t>
      </w:r>
      <w:r>
        <w:t>expand</w:t>
      </w:r>
      <w:r w:rsidRPr="00A62771">
        <w:t xml:space="preserve"> </w:t>
      </w:r>
      <w:r>
        <w:t xml:space="preserve">existing capacity </w:t>
      </w:r>
      <w:r w:rsidRPr="00A62771">
        <w:t xml:space="preserve">and </w:t>
      </w:r>
      <w:r>
        <w:t xml:space="preserve">increase the </w:t>
      </w:r>
      <w:r w:rsidRPr="00A62771">
        <w:t>quality of care for pregnant women</w:t>
      </w:r>
      <w:r>
        <w:t xml:space="preserve">, </w:t>
      </w:r>
      <w:r w:rsidRPr="00A62771">
        <w:t>babies, and adolescents with a range of health care needs, in the Canberra region. This project is scheduled to be completed in 2022-23 at a cost of approximately $50</w:t>
      </w:r>
      <w:r>
        <w:t> </w:t>
      </w:r>
      <w:r w:rsidRPr="00A62771">
        <w:t>million.</w:t>
      </w:r>
    </w:p>
    <w:p w14:paraId="2ADA0FD1" w14:textId="77777777" w:rsidR="00CF0E2D" w:rsidRDefault="00CF0E2D" w:rsidP="00A60D4B">
      <w:pPr>
        <w:pStyle w:val="Bbodytext"/>
        <w:rPr>
          <w:bCs/>
        </w:rPr>
      </w:pPr>
      <w:r w:rsidRPr="00964AF3">
        <w:rPr>
          <w:bCs/>
        </w:rPr>
        <w:t>At Calvary Public Hospital, three projects have been completed to upgrade equipment and mental health facilities, and to expand the Emergency Department.</w:t>
      </w:r>
    </w:p>
    <w:p w14:paraId="0A9D9ADF" w14:textId="77777777" w:rsidR="00CF0E2D" w:rsidRDefault="00CF0E2D" w:rsidP="00A60D4B">
      <w:pPr>
        <w:pStyle w:val="Bbodytext"/>
      </w:pPr>
      <w:r w:rsidRPr="00A62771">
        <w:t>Complementing the physical infrastructure is the information and communication technology (ICT) network that enables advanced health care. The Government will invest $88 million over the five years to 2025-26 to enhance our digital health capability.</w:t>
      </w:r>
    </w:p>
    <w:p w14:paraId="5B4B1D99" w14:textId="77777777" w:rsidR="00CF0E2D" w:rsidRDefault="00CF0E2D" w:rsidP="00A60D4B">
      <w:pPr>
        <w:rPr>
          <w:sz w:val="24"/>
          <w:szCs w:val="24"/>
        </w:rPr>
      </w:pPr>
      <w:r w:rsidRPr="00484913">
        <w:rPr>
          <w:rFonts w:ascii="Calibri" w:eastAsiaTheme="majorEastAsia" w:hAnsi="Calibri" w:cstheme="majorBidi"/>
          <w:b/>
          <w:noProof/>
          <w:color w:val="999789"/>
          <w:sz w:val="32"/>
          <w:szCs w:val="24"/>
        </w:rPr>
        <mc:AlternateContent>
          <mc:Choice Requires="wps">
            <w:drawing>
              <wp:anchor distT="45720" distB="45720" distL="114300" distR="114300" simplePos="0" relativeHeight="251708416" behindDoc="0" locked="0" layoutInCell="1" allowOverlap="1" wp14:anchorId="6B079988" wp14:editId="1D99D797">
                <wp:simplePos x="0" y="0"/>
                <wp:positionH relativeFrom="margin">
                  <wp:posOffset>3076575</wp:posOffset>
                </wp:positionH>
                <wp:positionV relativeFrom="paragraph">
                  <wp:posOffset>169545</wp:posOffset>
                </wp:positionV>
                <wp:extent cx="2948940" cy="2390775"/>
                <wp:effectExtent l="0" t="0" r="3810" b="952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390775"/>
                        </a:xfrm>
                        <a:prstGeom prst="rect">
                          <a:avLst/>
                        </a:prstGeom>
                        <a:solidFill>
                          <a:srgbClr val="FFFFFF"/>
                        </a:solidFill>
                        <a:ln w="9525">
                          <a:noFill/>
                          <a:miter lim="800000"/>
                          <a:headEnd/>
                          <a:tailEnd/>
                        </a:ln>
                      </wps:spPr>
                      <wps:txbx>
                        <w:txbxContent>
                          <w:p w14:paraId="207C3CE7" w14:textId="526BBF6E" w:rsidR="002261A7" w:rsidRDefault="002261A7" w:rsidP="00A60D4B">
                            <w:pPr>
                              <w:jc w:val="center"/>
                            </w:pPr>
                            <w:r>
                              <w:rPr>
                                <w:rFonts w:ascii="Source Sans Pro SemiBold" w:hAnsi="Source Sans Pro SemiBold"/>
                                <w:b/>
                                <w:bCs/>
                                <w:color w:val="3C1A56"/>
                                <w:sz w:val="40"/>
                                <w:szCs w:val="40"/>
                              </w:rPr>
                              <w:t xml:space="preserve">Funding to improve health infrastructure is more than </w:t>
                            </w:r>
                            <w:r w:rsidRPr="002714B5">
                              <w:rPr>
                                <w:rFonts w:ascii="Source Sans Pro SemiBold" w:hAnsi="Source Sans Pro SemiBold"/>
                                <w:b/>
                                <w:bCs/>
                                <w:color w:val="3C1A56"/>
                                <w:sz w:val="40"/>
                                <w:szCs w:val="40"/>
                              </w:rPr>
                              <w:t>$22</w:t>
                            </w:r>
                            <w:r>
                              <w:rPr>
                                <w:rFonts w:ascii="Source Sans Pro SemiBold" w:hAnsi="Source Sans Pro SemiBold"/>
                                <w:b/>
                                <w:bCs/>
                                <w:color w:val="3C1A56"/>
                                <w:sz w:val="40"/>
                                <w:szCs w:val="40"/>
                              </w:rPr>
                              <w:t>0</w:t>
                            </w:r>
                            <w:r w:rsidRPr="002714B5">
                              <w:rPr>
                                <w:rFonts w:ascii="Source Sans Pro SemiBold" w:hAnsi="Source Sans Pro SemiBold"/>
                                <w:b/>
                                <w:bCs/>
                                <w:color w:val="3C1A56"/>
                                <w:sz w:val="40"/>
                                <w:szCs w:val="40"/>
                              </w:rPr>
                              <w:t> million in 2021-22 and $87</w:t>
                            </w:r>
                            <w:r>
                              <w:rPr>
                                <w:rFonts w:ascii="Source Sans Pro SemiBold" w:hAnsi="Source Sans Pro SemiBold"/>
                                <w:b/>
                                <w:bCs/>
                                <w:color w:val="3C1A56"/>
                                <w:sz w:val="40"/>
                                <w:szCs w:val="40"/>
                              </w:rPr>
                              <w:t>5</w:t>
                            </w:r>
                            <w:r w:rsidRPr="002714B5">
                              <w:rPr>
                                <w:rFonts w:ascii="Source Sans Pro SemiBold" w:hAnsi="Source Sans Pro SemiBold"/>
                                <w:b/>
                                <w:bCs/>
                                <w:color w:val="3C1A56"/>
                                <w:sz w:val="40"/>
                                <w:szCs w:val="40"/>
                              </w:rPr>
                              <w:t> million over</w:t>
                            </w:r>
                            <w:r>
                              <w:rPr>
                                <w:rFonts w:ascii="Source Sans Pro SemiBold" w:hAnsi="Source Sans Pro SemiBold"/>
                                <w:b/>
                                <w:bCs/>
                                <w:color w:val="3C1A56"/>
                                <w:sz w:val="40"/>
                                <w:szCs w:val="40"/>
                              </w:rPr>
                              <w:t xml:space="preserve"> the</w:t>
                            </w:r>
                            <w:r w:rsidRPr="002714B5">
                              <w:rPr>
                                <w:rFonts w:ascii="Source Sans Pro SemiBold" w:hAnsi="Source Sans Pro SemiBold"/>
                                <w:b/>
                                <w:bCs/>
                                <w:color w:val="3C1A56"/>
                                <w:sz w:val="40"/>
                                <w:szCs w:val="40"/>
                              </w:rPr>
                              <w:t xml:space="preserve"> five years to 2025-26.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B079988" id="_x0000_t202" coordsize="21600,21600" o:spt="202" path="m,l,21600r21600,l21600,xe">
                <v:stroke joinstyle="miter"/>
                <v:path gradientshapeok="t" o:connecttype="rect"/>
              </v:shapetype>
              <v:shape id="Text Box 2" o:spid="_x0000_s1026" type="#_x0000_t202" style="position:absolute;margin-left:242.25pt;margin-top:13.35pt;width:232.2pt;height:188.25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" stroked="f">
                <v:textbox>
                  <w:txbxContent>
                    <w:p w14:paraId="207C3CE7" w14:textId="526BBF6E" w:rsidR="002261A7" w:rsidRDefault="002261A7" w:rsidP="00A60D4B">
                      <w:pPr>
                        <w:jc w:val="center"/>
                      </w:pPr>
                      <w:r>
                        <w:rPr>
                          <w:rFonts w:ascii="Source Sans Pro SemiBold" w:hAnsi="Source Sans Pro SemiBold"/>
                          <w:b/>
                          <w:bCs/>
                          <w:color w:val="3C1A56"/>
                          <w:sz w:val="40"/>
                          <w:szCs w:val="40"/>
                        </w:rPr>
                        <w:t xml:space="preserve">Funding to improve health infrastructure is more than </w:t>
                      </w:r>
                      <w:r w:rsidRPr="002714B5">
                        <w:rPr>
                          <w:rFonts w:ascii="Source Sans Pro SemiBold" w:hAnsi="Source Sans Pro SemiBold"/>
                          <w:b/>
                          <w:bCs/>
                          <w:color w:val="3C1A56"/>
                          <w:sz w:val="40"/>
                          <w:szCs w:val="40"/>
                        </w:rPr>
                        <w:t>$22</w:t>
                      </w:r>
                      <w:r>
                        <w:rPr>
                          <w:rFonts w:ascii="Source Sans Pro SemiBold" w:hAnsi="Source Sans Pro SemiBold"/>
                          <w:b/>
                          <w:bCs/>
                          <w:color w:val="3C1A56"/>
                          <w:sz w:val="40"/>
                          <w:szCs w:val="40"/>
                        </w:rPr>
                        <w:t>0</w:t>
                      </w:r>
                      <w:r w:rsidRPr="002714B5">
                        <w:rPr>
                          <w:rFonts w:ascii="Source Sans Pro SemiBold" w:hAnsi="Source Sans Pro SemiBold"/>
                          <w:b/>
                          <w:bCs/>
                          <w:color w:val="3C1A56"/>
                          <w:sz w:val="40"/>
                          <w:szCs w:val="40"/>
                        </w:rPr>
                        <w:t> million in 2021-22 and $87</w:t>
                      </w:r>
                      <w:r>
                        <w:rPr>
                          <w:rFonts w:ascii="Source Sans Pro SemiBold" w:hAnsi="Source Sans Pro SemiBold"/>
                          <w:b/>
                          <w:bCs/>
                          <w:color w:val="3C1A56"/>
                          <w:sz w:val="40"/>
                          <w:szCs w:val="40"/>
                        </w:rPr>
                        <w:t>5</w:t>
                      </w:r>
                      <w:r w:rsidRPr="002714B5">
                        <w:rPr>
                          <w:rFonts w:ascii="Source Sans Pro SemiBold" w:hAnsi="Source Sans Pro SemiBold"/>
                          <w:b/>
                          <w:bCs/>
                          <w:color w:val="3C1A56"/>
                          <w:sz w:val="40"/>
                          <w:szCs w:val="40"/>
                        </w:rPr>
                        <w:t> million over</w:t>
                      </w:r>
                      <w:r>
                        <w:rPr>
                          <w:rFonts w:ascii="Source Sans Pro SemiBold" w:hAnsi="Source Sans Pro SemiBold"/>
                          <w:b/>
                          <w:bCs/>
                          <w:color w:val="3C1A56"/>
                          <w:sz w:val="40"/>
                          <w:szCs w:val="40"/>
                        </w:rPr>
                        <w:t xml:space="preserve"> the</w:t>
                      </w:r>
                      <w:r w:rsidRPr="002714B5">
                        <w:rPr>
                          <w:rFonts w:ascii="Source Sans Pro SemiBold" w:hAnsi="Source Sans Pro SemiBold"/>
                          <w:b/>
                          <w:bCs/>
                          <w:color w:val="3C1A56"/>
                          <w:sz w:val="40"/>
                          <w:szCs w:val="40"/>
                        </w:rPr>
                        <w:t xml:space="preserve"> five years to 2025-26.</w:t>
                      </w:r>
                    </w:p>
                  </w:txbxContent>
                </v:textbox>
                <w10:wrap type="square" anchorx="margin"/>
              </v:shape>
            </w:pict>
          </mc:Fallback>
        </mc:AlternateContent>
      </w:r>
    </w:p>
    <w:p w14:paraId="6BBB6673" w14:textId="77777777" w:rsidR="00CF0E2D" w:rsidRDefault="00CF0E2D" w:rsidP="00A60D4B">
      <w:pPr>
        <w:pStyle w:val="Heading4"/>
      </w:pPr>
      <w:bookmarkStart w:id="9" w:name="_Hlk83669129"/>
      <w:r>
        <w:t xml:space="preserve">2021-22 Budget </w:t>
      </w:r>
    </w:p>
    <w:bookmarkEnd w:id="9"/>
    <w:p w14:paraId="0F562AE3" w14:textId="77777777" w:rsidR="00CF0E2D" w:rsidRDefault="00CF0E2D" w:rsidP="00A60D4B">
      <w:pPr>
        <w:pStyle w:val="Bbodytext"/>
      </w:pPr>
      <w:r w:rsidRPr="00050AFA">
        <w:t xml:space="preserve">During 2021-22, delivery of a range of projects will continue to ensure Canberrans have access to a world class tertiary hospital as our population grows. </w:t>
      </w:r>
      <w:r>
        <w:t xml:space="preserve">This includes continuing work on the Canberra Hospital Expansion and the expansion of the Centenary Hospital for Women and Children, as well as projects such as the design and master plan for the Ngunnawal Bush Healing Farm and the feasibility study for a new Southside hydrotherapy pool. </w:t>
      </w:r>
    </w:p>
    <w:p w14:paraId="77B80986" w14:textId="77777777" w:rsidR="00CF0E2D" w:rsidRPr="00050AFA" w:rsidRDefault="00CF0E2D" w:rsidP="00A60D4B">
      <w:pPr>
        <w:pStyle w:val="Bbodytext"/>
      </w:pPr>
      <w:r w:rsidRPr="00050AFA">
        <w:t xml:space="preserve">New initiatives in the 2021-22 Budget </w:t>
      </w:r>
      <w:r>
        <w:t xml:space="preserve">complementing these existing projects </w:t>
      </w:r>
      <w:r w:rsidRPr="00050AFA">
        <w:t>include:</w:t>
      </w:r>
    </w:p>
    <w:p w14:paraId="6A524952" w14:textId="77777777" w:rsidR="00CF0E2D" w:rsidRPr="00691972" w:rsidRDefault="00CF0E2D" w:rsidP="00A60D4B">
      <w:pPr>
        <w:pStyle w:val="BBullet1"/>
        <w:tabs>
          <w:tab w:val="clear" w:pos="357"/>
          <w:tab w:val="left" w:pos="426"/>
        </w:tabs>
        <w:ind w:left="426" w:hanging="426"/>
      </w:pPr>
      <w:r w:rsidRPr="00691972">
        <w:t>$36.2 million for a range of infrastructure upgrades at Calvary Public Hospital Bruce, including the redevelopment and expansion of sterilising services;</w:t>
      </w:r>
    </w:p>
    <w:p w14:paraId="71D3C180" w14:textId="77777777" w:rsidR="00CF0E2D" w:rsidRPr="00691972" w:rsidRDefault="00CF0E2D" w:rsidP="00A60D4B">
      <w:pPr>
        <w:pStyle w:val="BBullet1"/>
        <w:tabs>
          <w:tab w:val="clear" w:pos="357"/>
          <w:tab w:val="left" w:pos="426"/>
        </w:tabs>
        <w:ind w:left="426" w:hanging="426"/>
      </w:pPr>
      <w:r w:rsidRPr="00691972">
        <w:t>$13.5 million for the continuation of planning and design work for future hospital infrastructure in Canberra’s north;</w:t>
      </w:r>
    </w:p>
    <w:p w14:paraId="63B34F39" w14:textId="77777777" w:rsidR="00CF0E2D" w:rsidRPr="00691972" w:rsidRDefault="00CF0E2D" w:rsidP="00A60D4B">
      <w:pPr>
        <w:pStyle w:val="BBullet1"/>
        <w:tabs>
          <w:tab w:val="clear" w:pos="357"/>
          <w:tab w:val="left" w:pos="426"/>
        </w:tabs>
        <w:ind w:left="426" w:hanging="426"/>
      </w:pPr>
      <w:r w:rsidRPr="00691972">
        <w:t>feasibility and design work for a new multi-storey carpark at the Canberra Hospital; and</w:t>
      </w:r>
    </w:p>
    <w:p w14:paraId="70F32422" w14:textId="77777777" w:rsidR="00CF0E2D" w:rsidRPr="00691972" w:rsidRDefault="00CF0E2D" w:rsidP="00A60D4B">
      <w:pPr>
        <w:pStyle w:val="BBullet1"/>
        <w:tabs>
          <w:tab w:val="clear" w:pos="357"/>
          <w:tab w:val="left" w:pos="426"/>
        </w:tabs>
        <w:ind w:left="426" w:hanging="426"/>
      </w:pPr>
      <w:r w:rsidRPr="00691972">
        <w:t>$7.2 million to establish a new Cancer Research Centre at the Canberra Region Cancer Centre.</w:t>
      </w:r>
    </w:p>
    <w:p w14:paraId="14B9AEE1" w14:textId="77777777" w:rsidR="00733A78" w:rsidRDefault="00733A78">
      <w:pPr>
        <w:rPr>
          <w:rFonts w:ascii="Montserrat" w:eastAsiaTheme="majorEastAsia" w:hAnsi="Montserrat" w:cstheme="majorBidi"/>
          <w:b/>
          <w:bCs/>
          <w:color w:val="FFFFFF" w:themeColor="background1"/>
          <w:sz w:val="28"/>
          <w:szCs w:val="28"/>
          <w:lang w:val="en-US"/>
        </w:rPr>
      </w:pPr>
      <w:bookmarkStart w:id="10" w:name="_Toc84290705"/>
      <w:bookmarkStart w:id="11" w:name="_Toc84290984"/>
      <w:bookmarkStart w:id="12" w:name="_Hlk83217839"/>
      <w:bookmarkEnd w:id="8"/>
      <w:r>
        <w:rPr>
          <w:rFonts w:ascii="Montserrat" w:eastAsiaTheme="majorEastAsia" w:hAnsi="Montserrat" w:cstheme="majorBidi"/>
          <w:b/>
          <w:bCs/>
          <w:color w:val="FFFFFF" w:themeColor="background1"/>
          <w:sz w:val="28"/>
          <w:szCs w:val="28"/>
          <w:lang w:val="en-US"/>
        </w:rPr>
        <w:br w:type="page"/>
      </w:r>
    </w:p>
    <w:p w14:paraId="3ABE11CE" w14:textId="0A9BC3F8" w:rsidR="00CF0E2D" w:rsidRDefault="00CF0E2D" w:rsidP="00A60D4B">
      <w:pPr>
        <w:keepNext/>
        <w:keepLines/>
        <w:shd w:val="clear" w:color="auto" w:fill="482D8C"/>
        <w:spacing w:before="240" w:after="120"/>
        <w:outlineLvl w:val="0"/>
        <w:rPr>
          <w:rFonts w:ascii="Montserrat" w:eastAsiaTheme="majorEastAsia" w:hAnsi="Montserrat" w:cstheme="majorBidi"/>
          <w:b/>
          <w:bCs/>
          <w:color w:val="FFFFFF" w:themeColor="background1"/>
          <w:sz w:val="28"/>
          <w:szCs w:val="28"/>
          <w:lang w:val="en-US"/>
        </w:rPr>
      </w:pPr>
      <w:r w:rsidRPr="00462251">
        <w:rPr>
          <w:rFonts w:ascii="Montserrat" w:eastAsiaTheme="majorEastAsia" w:hAnsi="Montserrat" w:cstheme="majorBidi"/>
          <w:b/>
          <w:bCs/>
          <w:color w:val="FFFFFF" w:themeColor="background1"/>
          <w:sz w:val="28"/>
          <w:szCs w:val="28"/>
          <w:lang w:val="en-US"/>
        </w:rPr>
        <w:lastRenderedPageBreak/>
        <w:t>Education and life-long learning</w:t>
      </w:r>
      <w:bookmarkEnd w:id="10"/>
      <w:bookmarkEnd w:id="11"/>
      <w:r w:rsidRPr="00462251">
        <w:rPr>
          <w:rFonts w:ascii="Montserrat" w:eastAsiaTheme="majorEastAsia" w:hAnsi="Montserrat" w:cstheme="majorBidi"/>
          <w:b/>
          <w:bCs/>
          <w:color w:val="FFFFFF" w:themeColor="background1"/>
          <w:sz w:val="28"/>
          <w:szCs w:val="28"/>
          <w:lang w:val="en-US"/>
        </w:rPr>
        <w:t xml:space="preserve"> </w:t>
      </w:r>
      <w:r>
        <w:rPr>
          <w:rFonts w:ascii="Montserrat" w:eastAsiaTheme="majorEastAsia" w:hAnsi="Montserrat" w:cstheme="majorBidi"/>
          <w:b/>
          <w:bCs/>
          <w:color w:val="FFFFFF" w:themeColor="background1"/>
          <w:sz w:val="28"/>
          <w:szCs w:val="28"/>
          <w:lang w:val="en-US"/>
        </w:rPr>
        <w:t xml:space="preserve"> </w:t>
      </w:r>
    </w:p>
    <w:p w14:paraId="28BDE394" w14:textId="77777777" w:rsidR="00CF0E2D" w:rsidRPr="004800BD" w:rsidRDefault="00CF0E2D" w:rsidP="00A60D4B">
      <w:pPr>
        <w:pStyle w:val="Heading3"/>
        <w:rPr>
          <w:rFonts w:cs="Calibri"/>
        </w:rPr>
      </w:pPr>
      <w:bookmarkStart w:id="13" w:name="_Hlk83218506"/>
      <w:r w:rsidRPr="004800BD">
        <w:t>What the community told us</w:t>
      </w:r>
    </w:p>
    <w:p w14:paraId="17D07325" w14:textId="77777777" w:rsidR="00CF0E2D" w:rsidRPr="00691972" w:rsidRDefault="00CF0E2D" w:rsidP="00A60D4B">
      <w:pPr>
        <w:pStyle w:val="Bbodytext"/>
      </w:pPr>
      <w:r w:rsidRPr="00691972">
        <w:t xml:space="preserve">During consultations on the 2021-22 Budget, community feedback emphasised the importance of the ACT Government providing a strong foundation for the Territory’s children, particularly in terms of early childhood education and support. </w:t>
      </w:r>
    </w:p>
    <w:p w14:paraId="32DE05C5" w14:textId="77777777" w:rsidR="00CF0E2D" w:rsidRPr="00691972" w:rsidRDefault="00CF0E2D" w:rsidP="00A60D4B">
      <w:pPr>
        <w:pStyle w:val="Bbodytext"/>
      </w:pPr>
      <w:r w:rsidRPr="00691972">
        <w:rPr>
          <w:noProof/>
        </w:rPr>
        <w:drawing>
          <wp:anchor distT="0" distB="0" distL="114300" distR="114300" simplePos="0" relativeHeight="251666432" behindDoc="0" locked="0" layoutInCell="1" allowOverlap="1" wp14:anchorId="31F085F6" wp14:editId="734FFA7E">
            <wp:simplePos x="0" y="0"/>
            <wp:positionH relativeFrom="column">
              <wp:posOffset>0</wp:posOffset>
            </wp:positionH>
            <wp:positionV relativeFrom="paragraph">
              <wp:posOffset>981477</wp:posOffset>
            </wp:positionV>
            <wp:extent cx="5731510" cy="3822065"/>
            <wp:effectExtent l="0" t="0" r="0" b="635"/>
            <wp:wrapSquare wrapText="bothSides"/>
            <wp:docPr id="22" name="Margaret Hendry School_21_056 hr.jpeg" descr="A picture containing grass, sky,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argaret Hendry School_21_056 hr.jpeg" descr="A picture containing grass, sky, outdoor, person&#10;&#10;Description automatically generated"/>
                    <pic:cNvPicPr/>
                  </pic:nvPicPr>
                  <pic:blipFill>
                    <a:blip r:embed="rId29" r:link="rId30" cstate="print">
                      <a:extLst>
                        <a:ext uri="{28A0092B-C50C-407E-A947-70E740481C1C}">
                          <a14:useLocalDpi xmlns:a14="http://schemas.microsoft.com/office/drawing/2010/main" val="0"/>
                        </a:ext>
                      </a:extLst>
                    </a:blip>
                    <a:stretch>
                      <a:fillRect/>
                    </a:stretch>
                  </pic:blipFill>
                  <pic:spPr>
                    <a:xfrm>
                      <a:off x="0" y="0"/>
                      <a:ext cx="5731510" cy="3822065"/>
                    </a:xfrm>
                    <a:prstGeom prst="rect">
                      <a:avLst/>
                    </a:prstGeom>
                  </pic:spPr>
                </pic:pic>
              </a:graphicData>
            </a:graphic>
            <wp14:sizeRelH relativeFrom="page">
              <wp14:pctWidth>0</wp14:pctWidth>
            </wp14:sizeRelH>
            <wp14:sizeRelV relativeFrom="page">
              <wp14:pctHeight>0</wp14:pctHeight>
            </wp14:sizeRelV>
          </wp:anchor>
        </w:drawing>
      </w:r>
      <w:r w:rsidRPr="00691972">
        <w:t>The community indicated that the Government should be working to ensure that teachers are supported in their roles, with appropriate modern facilities and opportunities for career development. Additionally, students should have ready access to support services to assist their learning (such as counselling and other mental health supports).</w:t>
      </w:r>
    </w:p>
    <w:p w14:paraId="0A901A4E" w14:textId="77777777" w:rsidR="00CF0E2D" w:rsidRPr="00050AFA" w:rsidRDefault="00CF0E2D" w:rsidP="00A60D4B">
      <w:pPr>
        <w:spacing w:line="252" w:lineRule="auto"/>
        <w:rPr>
          <w:rFonts w:cstheme="minorHAnsi"/>
          <w:sz w:val="24"/>
          <w:szCs w:val="24"/>
        </w:rPr>
      </w:pPr>
    </w:p>
    <w:bookmarkEnd w:id="12"/>
    <w:bookmarkEnd w:id="13"/>
    <w:p w14:paraId="554DDD9A" w14:textId="77777777" w:rsidR="00CF0E2D" w:rsidRDefault="00CF0E2D" w:rsidP="00A60D4B">
      <w:pPr>
        <w:pStyle w:val="Heading3"/>
      </w:pPr>
      <w:r>
        <w:t>Key partnerships</w:t>
      </w:r>
    </w:p>
    <w:p w14:paraId="273B50C9" w14:textId="77777777" w:rsidR="00CF0E2D" w:rsidRPr="0064008A" w:rsidRDefault="00CF0E2D" w:rsidP="00A60D4B">
      <w:pPr>
        <w:pStyle w:val="Bbodytext"/>
        <w:rPr>
          <w:szCs w:val="24"/>
        </w:rPr>
      </w:pPr>
      <w:r w:rsidRPr="0064008A">
        <w:rPr>
          <w:szCs w:val="24"/>
        </w:rPr>
        <w:t>A partnership approach is essential to identifying and addressing service delivery gaps and ensuring coordinated support and improved access to early childhood services, especially for families experiencing vulnerability and disadvantage. These partnerships deliver a variety of early childhood education and care services, playgroups and parenting support.</w:t>
      </w:r>
    </w:p>
    <w:p w14:paraId="299701D1" w14:textId="77777777" w:rsidR="00CF0E2D" w:rsidRPr="0064008A" w:rsidRDefault="00CF0E2D" w:rsidP="00A60D4B">
      <w:pPr>
        <w:pStyle w:val="Bbodytext"/>
        <w:rPr>
          <w:szCs w:val="24"/>
        </w:rPr>
      </w:pPr>
      <w:r>
        <w:rPr>
          <w:noProof/>
          <w:szCs w:val="24"/>
        </w:rPr>
        <w:drawing>
          <wp:anchor distT="0" distB="0" distL="114300" distR="114300" simplePos="0" relativeHeight="251667456" behindDoc="0" locked="0" layoutInCell="1" allowOverlap="1" wp14:anchorId="5E49A297" wp14:editId="49EF6D92">
            <wp:simplePos x="0" y="0"/>
            <wp:positionH relativeFrom="column">
              <wp:posOffset>0</wp:posOffset>
            </wp:positionH>
            <wp:positionV relativeFrom="paragraph">
              <wp:posOffset>0</wp:posOffset>
            </wp:positionV>
            <wp:extent cx="3619500" cy="736600"/>
            <wp:effectExtent l="0" t="0" r="0" b="0"/>
            <wp:wrapSquare wrapText="bothSides"/>
            <wp:docPr id="23" name="Educatin and Life-long 2.png"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ducatin and Life-long 2.png" descr="Graphical user interface, text&#10;&#10;Description automatically generated with medium confidence"/>
                    <pic:cNvPicPr/>
                  </pic:nvPicPr>
                  <pic:blipFill>
                    <a:blip r:embed="rId31" r:link="rId32" cstate="print">
                      <a:extLst>
                        <a:ext uri="{28A0092B-C50C-407E-A947-70E740481C1C}">
                          <a14:useLocalDpi xmlns:a14="http://schemas.microsoft.com/office/drawing/2010/main" val="0"/>
                        </a:ext>
                      </a:extLst>
                    </a:blip>
                    <a:stretch>
                      <a:fillRect/>
                    </a:stretch>
                  </pic:blipFill>
                  <pic:spPr>
                    <a:xfrm>
                      <a:off x="0" y="0"/>
                      <a:ext cx="3619500" cy="736600"/>
                    </a:xfrm>
                    <a:prstGeom prst="rect">
                      <a:avLst/>
                    </a:prstGeom>
                  </pic:spPr>
                </pic:pic>
              </a:graphicData>
            </a:graphic>
            <wp14:sizeRelH relativeFrom="page">
              <wp14:pctWidth>0</wp14:pctWidth>
            </wp14:sizeRelH>
            <wp14:sizeRelV relativeFrom="page">
              <wp14:pctHeight>0</wp14:pctHeight>
            </wp14:sizeRelV>
          </wp:anchor>
        </w:drawing>
      </w:r>
      <w:r w:rsidRPr="0064008A">
        <w:rPr>
          <w:szCs w:val="24"/>
        </w:rPr>
        <w:t>Collaborative partnerships between government and community service providers also allow schools to be hubs for</w:t>
      </w:r>
      <w:r>
        <w:rPr>
          <w:szCs w:val="24"/>
        </w:rPr>
        <w:t xml:space="preserve"> </w:t>
      </w:r>
      <w:r w:rsidRPr="0064008A">
        <w:rPr>
          <w:szCs w:val="24"/>
        </w:rPr>
        <w:t xml:space="preserve">students and their families, enhancing wellbeing, resilience and connections throughout </w:t>
      </w:r>
      <w:r w:rsidRPr="0064008A">
        <w:rPr>
          <w:szCs w:val="24"/>
        </w:rPr>
        <w:lastRenderedPageBreak/>
        <w:t>the community. Equitable outcomes for young people are maximised when parents and carers are deeply involved in their children’s learning. Convenient access to professional and community services that support student wellbeing and engagement in learning are critical to achieving this goal. The Government also partners with all non-government schools to enhance parental engagement and ensure the learning and development outcomes of all Canberra’s students are supported.</w:t>
      </w:r>
    </w:p>
    <w:p w14:paraId="212D7DC1" w14:textId="77777777" w:rsidR="00CF0E2D" w:rsidRPr="0064008A" w:rsidRDefault="00CF0E2D" w:rsidP="00A60D4B">
      <w:pPr>
        <w:pStyle w:val="Bbodytext"/>
        <w:rPr>
          <w:szCs w:val="24"/>
        </w:rPr>
      </w:pPr>
      <w:r w:rsidRPr="00691972">
        <w:rPr>
          <w:noProof/>
        </w:rPr>
        <w:drawing>
          <wp:anchor distT="0" distB="0" distL="114300" distR="114300" simplePos="0" relativeHeight="251668480" behindDoc="0" locked="0" layoutInCell="1" allowOverlap="1" wp14:anchorId="014B5767" wp14:editId="4264CA55">
            <wp:simplePos x="0" y="0"/>
            <wp:positionH relativeFrom="column">
              <wp:posOffset>0</wp:posOffset>
            </wp:positionH>
            <wp:positionV relativeFrom="paragraph">
              <wp:posOffset>1270</wp:posOffset>
            </wp:positionV>
            <wp:extent cx="3530600" cy="1079500"/>
            <wp:effectExtent l="0" t="0" r="0" b="0"/>
            <wp:wrapSquare wrapText="bothSides"/>
            <wp:docPr id="24" name="Education and Life-long 3.png"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ducation and Life-long 3.png" descr="Text&#10;&#10;Description automatically generated"/>
                    <pic:cNvPicPr/>
                  </pic:nvPicPr>
                  <pic:blipFill>
                    <a:blip r:embed="rId33" r:link="rId34" cstate="print">
                      <a:extLst>
                        <a:ext uri="{28A0092B-C50C-407E-A947-70E740481C1C}">
                          <a14:useLocalDpi xmlns:a14="http://schemas.microsoft.com/office/drawing/2010/main" val="0"/>
                        </a:ext>
                      </a:extLst>
                    </a:blip>
                    <a:stretch>
                      <a:fillRect/>
                    </a:stretch>
                  </pic:blipFill>
                  <pic:spPr>
                    <a:xfrm>
                      <a:off x="0" y="0"/>
                      <a:ext cx="3530600" cy="1079500"/>
                    </a:xfrm>
                    <a:prstGeom prst="rect">
                      <a:avLst/>
                    </a:prstGeom>
                  </pic:spPr>
                </pic:pic>
              </a:graphicData>
            </a:graphic>
            <wp14:sizeRelH relativeFrom="page">
              <wp14:pctWidth>0</wp14:pctWidth>
            </wp14:sizeRelH>
            <wp14:sizeRelV relativeFrom="page">
              <wp14:pctHeight>0</wp14:pctHeight>
            </wp14:sizeRelV>
          </wp:anchor>
        </w:drawing>
      </w:r>
      <w:r w:rsidRPr="00691972">
        <w:t>Our</w:t>
      </w:r>
      <w:r w:rsidRPr="0064008A">
        <w:rPr>
          <w:szCs w:val="24"/>
        </w:rPr>
        <w:t xml:space="preserve"> strong partnerships with tertiary research and education sector organisations, including universities, colleges and vocational training institutions, ensure we are addressing the needs of tomorrow. Research and technological innovations will continue to drive fundamental changes in how we deliver services. These partnerships prepare us to meet our future workforce requirements through programs that deliver the best possible education outcomes for Canberra students and provide high school and college students with Vocational Education and Training (VET) options or early access to tertiary courses. </w:t>
      </w:r>
    </w:p>
    <w:p w14:paraId="693E0BE2" w14:textId="77777777" w:rsidR="00CF0E2D" w:rsidRDefault="00CF0E2D" w:rsidP="00A60D4B">
      <w:pPr>
        <w:pStyle w:val="Heading3"/>
      </w:pPr>
      <w:r>
        <w:t>Investing in public education</w:t>
      </w:r>
    </w:p>
    <w:p w14:paraId="0C5AD4D7" w14:textId="77777777" w:rsidR="00CF0E2D" w:rsidRDefault="00CF0E2D" w:rsidP="00A60D4B">
      <w:pPr>
        <w:pStyle w:val="Bbodytext"/>
        <w:rPr>
          <w:rFonts w:cstheme="minorHAnsi"/>
          <w:szCs w:val="24"/>
        </w:rPr>
      </w:pPr>
      <w:r w:rsidRPr="00050AFA">
        <w:rPr>
          <w:rFonts w:cstheme="minorHAnsi"/>
          <w:szCs w:val="24"/>
        </w:rPr>
        <w:t>Education is fundamental to enabling people to make choices in life and giving them the opportunity to participate in society</w:t>
      </w:r>
      <w:r>
        <w:rPr>
          <w:rFonts w:cstheme="minorHAnsi"/>
          <w:szCs w:val="24"/>
        </w:rPr>
        <w:t>.</w:t>
      </w:r>
      <w:r w:rsidRPr="00050AFA">
        <w:rPr>
          <w:rFonts w:cstheme="minorHAnsi"/>
          <w:szCs w:val="24"/>
        </w:rPr>
        <w:t xml:space="preserve"> </w:t>
      </w:r>
      <w:r>
        <w:rPr>
          <w:rFonts w:cstheme="minorHAnsi"/>
          <w:szCs w:val="24"/>
        </w:rPr>
        <w:t>T</w:t>
      </w:r>
      <w:r w:rsidRPr="00050AFA">
        <w:rPr>
          <w:rFonts w:cstheme="minorHAnsi"/>
          <w:szCs w:val="24"/>
        </w:rPr>
        <w:t xml:space="preserve">he Government recognises that the broader wellbeing of children in their school years is vital to their life outcomes. </w:t>
      </w:r>
    </w:p>
    <w:p w14:paraId="13A3F9A0" w14:textId="77777777" w:rsidR="00CF0E2D" w:rsidRPr="00050AFA" w:rsidRDefault="00CF0E2D" w:rsidP="00A60D4B">
      <w:pPr>
        <w:pStyle w:val="Bbodytext"/>
        <w:rPr>
          <w:rFonts w:cstheme="minorHAnsi"/>
          <w:szCs w:val="24"/>
        </w:rPr>
      </w:pPr>
      <w:r w:rsidRPr="00050AFA">
        <w:rPr>
          <w:rFonts w:cstheme="minorHAnsi"/>
          <w:szCs w:val="24"/>
        </w:rPr>
        <w:t>The Government is committed to delivering the best possible education for all Canberra students, empowering teachers and learning professionals to thrive, and working with school communities to ensure the best possible outcomes for families.</w:t>
      </w:r>
    </w:p>
    <w:p w14:paraId="14AC2779" w14:textId="77777777" w:rsidR="00CF0E2D" w:rsidRPr="00062CD6" w:rsidRDefault="00CF0E2D" w:rsidP="00A60D4B">
      <w:pPr>
        <w:pStyle w:val="Bbodytext"/>
        <w:rPr>
          <w:rFonts w:cstheme="minorHAnsi"/>
          <w:szCs w:val="24"/>
        </w:rPr>
      </w:pPr>
      <w:r w:rsidRPr="00050AFA">
        <w:rPr>
          <w:rFonts w:cstheme="minorHAnsi"/>
          <w:i/>
          <w:iCs/>
          <w:szCs w:val="24"/>
        </w:rPr>
        <w:t xml:space="preserve">Set up for Success: An Early Childhood Strategy for the </w:t>
      </w:r>
      <w:r w:rsidRPr="00050AFA">
        <w:rPr>
          <w:rFonts w:cstheme="minorHAnsi"/>
          <w:i/>
          <w:szCs w:val="24"/>
        </w:rPr>
        <w:t>ACT</w:t>
      </w:r>
      <w:r w:rsidRPr="00050AFA">
        <w:rPr>
          <w:rFonts w:cstheme="minorHAnsi"/>
          <w:szCs w:val="24"/>
        </w:rPr>
        <w:t>, released in 2020</w:t>
      </w:r>
      <w:r w:rsidRPr="00050AFA">
        <w:rPr>
          <w:rFonts w:cstheme="minorHAnsi"/>
          <w:i/>
          <w:iCs/>
          <w:szCs w:val="24"/>
        </w:rPr>
        <w:t>,</w:t>
      </w:r>
      <w:r w:rsidRPr="00050AFA">
        <w:rPr>
          <w:rFonts w:cstheme="minorHAnsi"/>
          <w:szCs w:val="24"/>
        </w:rPr>
        <w:t xml:space="preserve"> outlines the </w:t>
      </w:r>
      <w:r>
        <w:rPr>
          <w:rFonts w:cstheme="minorHAnsi"/>
          <w:szCs w:val="24"/>
        </w:rPr>
        <w:t xml:space="preserve">Government’s </w:t>
      </w:r>
      <w:r w:rsidRPr="00062CD6">
        <w:rPr>
          <w:rFonts w:cstheme="minorHAnsi"/>
          <w:szCs w:val="24"/>
        </w:rPr>
        <w:t xml:space="preserve">plan for early childhood education and care in the ACT for this decade. It is based on overwhelming international and national evidence on the importance of quality early childhood education for the life opportunities of all children, particularly those experiencing vulnerability or disadvantage. </w:t>
      </w:r>
    </w:p>
    <w:p w14:paraId="2B731736" w14:textId="77777777" w:rsidR="00CF0E2D" w:rsidRPr="00062CD6" w:rsidRDefault="00CF0E2D" w:rsidP="00A60D4B">
      <w:pPr>
        <w:pStyle w:val="Bbodytext"/>
        <w:rPr>
          <w:rFonts w:cstheme="minorHAnsi"/>
        </w:rPr>
      </w:pPr>
      <w:r w:rsidRPr="00062CD6">
        <w:rPr>
          <w:rFonts w:cstheme="minorHAnsi"/>
        </w:rPr>
        <w:t xml:space="preserve">The </w:t>
      </w:r>
      <w:r w:rsidRPr="00062CD6">
        <w:rPr>
          <w:rFonts w:cstheme="minorHAnsi"/>
          <w:i/>
          <w:iCs/>
        </w:rPr>
        <w:t>Future of Education – An ACT education strategy for the next ten years</w:t>
      </w:r>
      <w:r w:rsidRPr="00062CD6">
        <w:rPr>
          <w:rFonts w:cstheme="minorHAnsi"/>
        </w:rPr>
        <w:t xml:space="preserve">, is the Government’s strategy to </w:t>
      </w:r>
      <w:r w:rsidRPr="00062CD6">
        <w:rPr>
          <w:rFonts w:cstheme="minorHAnsi"/>
          <w:shd w:val="clear" w:color="auto" w:fill="FFFFFF"/>
        </w:rPr>
        <w:t xml:space="preserve">achieve an education system that sets all children up for success and the opportunity for a fair and decent life. </w:t>
      </w:r>
      <w:r w:rsidRPr="00062CD6">
        <w:rPr>
          <w:rFonts w:cstheme="minorHAnsi"/>
        </w:rPr>
        <w:t xml:space="preserve">The Strategy has four foundations: </w:t>
      </w:r>
    </w:p>
    <w:p w14:paraId="794E4CAE" w14:textId="77777777" w:rsidR="00CF0E2D" w:rsidRPr="00062CD6" w:rsidRDefault="00CF0E2D" w:rsidP="00CF0E2D">
      <w:pPr>
        <w:pStyle w:val="ListParagraph"/>
        <w:numPr>
          <w:ilvl w:val="0"/>
          <w:numId w:val="29"/>
        </w:numPr>
        <w:rPr>
          <w:rFonts w:cstheme="minorHAnsi"/>
          <w:sz w:val="24"/>
          <w:szCs w:val="24"/>
        </w:rPr>
      </w:pPr>
      <w:r>
        <w:rPr>
          <w:rFonts w:cstheme="minorHAnsi"/>
          <w:sz w:val="24"/>
          <w:szCs w:val="24"/>
        </w:rPr>
        <w:t>s</w:t>
      </w:r>
      <w:r w:rsidRPr="00062CD6">
        <w:rPr>
          <w:rFonts w:cstheme="minorHAnsi"/>
          <w:sz w:val="24"/>
          <w:szCs w:val="24"/>
        </w:rPr>
        <w:t xml:space="preserve">tudents at the </w:t>
      </w:r>
      <w:r>
        <w:rPr>
          <w:rFonts w:cstheme="minorHAnsi"/>
          <w:sz w:val="24"/>
          <w:szCs w:val="24"/>
        </w:rPr>
        <w:t>c</w:t>
      </w:r>
      <w:r w:rsidRPr="00062CD6">
        <w:rPr>
          <w:rFonts w:cstheme="minorHAnsi"/>
          <w:sz w:val="24"/>
          <w:szCs w:val="24"/>
        </w:rPr>
        <w:t xml:space="preserve">entre; </w:t>
      </w:r>
    </w:p>
    <w:p w14:paraId="4BE095CA" w14:textId="77777777" w:rsidR="00CF0E2D" w:rsidRPr="00062CD6" w:rsidRDefault="00CF0E2D" w:rsidP="00CF0E2D">
      <w:pPr>
        <w:pStyle w:val="ListParagraph"/>
        <w:numPr>
          <w:ilvl w:val="0"/>
          <w:numId w:val="29"/>
        </w:numPr>
        <w:rPr>
          <w:rFonts w:cstheme="minorHAnsi"/>
          <w:sz w:val="24"/>
          <w:szCs w:val="24"/>
        </w:rPr>
      </w:pPr>
      <w:r>
        <w:rPr>
          <w:rFonts w:cstheme="minorHAnsi"/>
          <w:sz w:val="24"/>
          <w:szCs w:val="24"/>
        </w:rPr>
        <w:t>e</w:t>
      </w:r>
      <w:r w:rsidRPr="00062CD6">
        <w:rPr>
          <w:rFonts w:cstheme="minorHAnsi"/>
          <w:sz w:val="24"/>
          <w:szCs w:val="24"/>
        </w:rPr>
        <w:t xml:space="preserve">mpowered </w:t>
      </w:r>
      <w:r>
        <w:rPr>
          <w:rFonts w:cstheme="minorHAnsi"/>
          <w:sz w:val="24"/>
          <w:szCs w:val="24"/>
        </w:rPr>
        <w:t>l</w:t>
      </w:r>
      <w:r w:rsidRPr="00062CD6">
        <w:rPr>
          <w:rFonts w:cstheme="minorHAnsi"/>
          <w:sz w:val="24"/>
          <w:szCs w:val="24"/>
        </w:rPr>
        <w:t xml:space="preserve">earning </w:t>
      </w:r>
      <w:r>
        <w:rPr>
          <w:rFonts w:cstheme="minorHAnsi"/>
          <w:sz w:val="24"/>
          <w:szCs w:val="24"/>
        </w:rPr>
        <w:t>p</w:t>
      </w:r>
      <w:r w:rsidRPr="00062CD6">
        <w:rPr>
          <w:rFonts w:cstheme="minorHAnsi"/>
          <w:sz w:val="24"/>
          <w:szCs w:val="24"/>
        </w:rPr>
        <w:t xml:space="preserve">rofessionals; </w:t>
      </w:r>
    </w:p>
    <w:p w14:paraId="01DF337D" w14:textId="77777777" w:rsidR="00CF0E2D" w:rsidRPr="00050AFA" w:rsidRDefault="00CF0E2D" w:rsidP="00CF0E2D">
      <w:pPr>
        <w:pStyle w:val="ListParagraph"/>
        <w:numPr>
          <w:ilvl w:val="0"/>
          <w:numId w:val="29"/>
        </w:numPr>
        <w:rPr>
          <w:rFonts w:cstheme="minorHAnsi"/>
          <w:sz w:val="24"/>
          <w:szCs w:val="24"/>
        </w:rPr>
      </w:pPr>
      <w:r>
        <w:rPr>
          <w:rFonts w:cstheme="minorHAnsi"/>
          <w:sz w:val="24"/>
          <w:szCs w:val="24"/>
        </w:rPr>
        <w:t>s</w:t>
      </w:r>
      <w:r w:rsidRPr="00050AFA">
        <w:rPr>
          <w:rFonts w:cstheme="minorHAnsi"/>
          <w:sz w:val="24"/>
          <w:szCs w:val="24"/>
        </w:rPr>
        <w:t xml:space="preserve">trong </w:t>
      </w:r>
      <w:r>
        <w:rPr>
          <w:rFonts w:cstheme="minorHAnsi"/>
          <w:sz w:val="24"/>
          <w:szCs w:val="24"/>
        </w:rPr>
        <w:t>c</w:t>
      </w:r>
      <w:r w:rsidRPr="00050AFA">
        <w:rPr>
          <w:rFonts w:cstheme="minorHAnsi"/>
          <w:sz w:val="24"/>
          <w:szCs w:val="24"/>
        </w:rPr>
        <w:t xml:space="preserve">ommunities for </w:t>
      </w:r>
      <w:r>
        <w:rPr>
          <w:rFonts w:cstheme="minorHAnsi"/>
          <w:sz w:val="24"/>
          <w:szCs w:val="24"/>
        </w:rPr>
        <w:t>l</w:t>
      </w:r>
      <w:r w:rsidRPr="00050AFA">
        <w:rPr>
          <w:rFonts w:cstheme="minorHAnsi"/>
          <w:sz w:val="24"/>
          <w:szCs w:val="24"/>
        </w:rPr>
        <w:t xml:space="preserve">earning; and </w:t>
      </w:r>
    </w:p>
    <w:p w14:paraId="6AC6F25D" w14:textId="77777777" w:rsidR="00CF0E2D" w:rsidRPr="00050AFA" w:rsidRDefault="00CF0E2D" w:rsidP="00CF0E2D">
      <w:pPr>
        <w:pStyle w:val="ListParagraph"/>
        <w:numPr>
          <w:ilvl w:val="0"/>
          <w:numId w:val="29"/>
        </w:numPr>
        <w:rPr>
          <w:rFonts w:cstheme="minorHAnsi"/>
          <w:b/>
          <w:i/>
          <w:sz w:val="24"/>
          <w:szCs w:val="24"/>
        </w:rPr>
      </w:pPr>
      <w:r>
        <w:rPr>
          <w:rFonts w:cstheme="minorHAnsi"/>
          <w:sz w:val="24"/>
          <w:szCs w:val="24"/>
        </w:rPr>
        <w:t>s</w:t>
      </w:r>
      <w:r w:rsidRPr="00050AFA">
        <w:rPr>
          <w:rFonts w:cstheme="minorHAnsi"/>
          <w:sz w:val="24"/>
          <w:szCs w:val="24"/>
        </w:rPr>
        <w:t xml:space="preserve">ystems </w:t>
      </w:r>
      <w:r>
        <w:rPr>
          <w:rFonts w:cstheme="minorHAnsi"/>
          <w:sz w:val="24"/>
          <w:szCs w:val="24"/>
        </w:rPr>
        <w:t>s</w:t>
      </w:r>
      <w:r w:rsidRPr="00050AFA">
        <w:rPr>
          <w:rFonts w:cstheme="minorHAnsi"/>
          <w:sz w:val="24"/>
          <w:szCs w:val="24"/>
        </w:rPr>
        <w:t xml:space="preserve">upporting </w:t>
      </w:r>
      <w:r>
        <w:rPr>
          <w:rFonts w:cstheme="minorHAnsi"/>
          <w:sz w:val="24"/>
          <w:szCs w:val="24"/>
        </w:rPr>
        <w:t>l</w:t>
      </w:r>
      <w:r w:rsidRPr="00050AFA">
        <w:rPr>
          <w:rFonts w:cstheme="minorHAnsi"/>
          <w:sz w:val="24"/>
          <w:szCs w:val="24"/>
        </w:rPr>
        <w:t>earning.</w:t>
      </w:r>
    </w:p>
    <w:p w14:paraId="6D4CBD37" w14:textId="77777777" w:rsidR="00CF0E2D" w:rsidRPr="00050AFA" w:rsidRDefault="00CF0E2D" w:rsidP="00A60D4B">
      <w:pPr>
        <w:pStyle w:val="Bbodytext"/>
        <w:rPr>
          <w:rFonts w:cstheme="minorHAnsi"/>
          <w:szCs w:val="24"/>
        </w:rPr>
      </w:pPr>
      <w:r w:rsidRPr="00050AFA">
        <w:rPr>
          <w:rFonts w:cstheme="minorHAnsi"/>
          <w:szCs w:val="24"/>
        </w:rPr>
        <w:t xml:space="preserve">The Strategy has helped the Government to frame support for students, families and teachers to transition to remote learning both in 2020 and 2021, with a focus on the wellbeing of our children and young people guiding each step through this challenging time. </w:t>
      </w:r>
    </w:p>
    <w:p w14:paraId="3403D93F" w14:textId="77777777" w:rsidR="00CF0E2D" w:rsidRPr="00050AFA" w:rsidRDefault="00CF0E2D" w:rsidP="002261A7">
      <w:pPr>
        <w:pStyle w:val="Bbodytext"/>
        <w:keepNext/>
        <w:keepLines/>
        <w:rPr>
          <w:rFonts w:cstheme="minorHAnsi"/>
          <w:szCs w:val="24"/>
        </w:rPr>
      </w:pPr>
      <w:r w:rsidRPr="00050AFA">
        <w:rPr>
          <w:rFonts w:cstheme="minorHAnsi"/>
          <w:szCs w:val="24"/>
        </w:rPr>
        <w:lastRenderedPageBreak/>
        <w:t xml:space="preserve">An annual survey of ACT public school students conducted during August and September 2020 revealed that the proportion of students in ACT public schools reporting strong school identification increased significantly between 2019 and 2020. This suggests that the events of 2020, which saw a period of remote learning introduced for the first time, had an impact on students in terms of their perception of their school as a place of connection and belonging.  </w:t>
      </w:r>
    </w:p>
    <w:p w14:paraId="12B21FE1" w14:textId="77777777" w:rsidR="00CF0E2D" w:rsidRPr="00050AFA" w:rsidRDefault="00CF0E2D" w:rsidP="00A60D4B">
      <w:pPr>
        <w:pStyle w:val="Bbodytext"/>
        <w:rPr>
          <w:rFonts w:cstheme="minorHAnsi"/>
          <w:szCs w:val="24"/>
        </w:rPr>
      </w:pPr>
      <w:r>
        <w:rPr>
          <w:rFonts w:cstheme="minorHAnsi"/>
          <w:noProof/>
          <w:szCs w:val="24"/>
        </w:rPr>
        <w:drawing>
          <wp:anchor distT="0" distB="0" distL="114300" distR="114300" simplePos="0" relativeHeight="251669504" behindDoc="0" locked="0" layoutInCell="1" allowOverlap="1" wp14:anchorId="2FB2F666" wp14:editId="7FA36BFC">
            <wp:simplePos x="0" y="0"/>
            <wp:positionH relativeFrom="column">
              <wp:posOffset>0</wp:posOffset>
            </wp:positionH>
            <wp:positionV relativeFrom="paragraph">
              <wp:posOffset>2540</wp:posOffset>
            </wp:positionV>
            <wp:extent cx="2794000" cy="812800"/>
            <wp:effectExtent l="0" t="0" r="0" b="0"/>
            <wp:wrapSquare wrapText="bothSides"/>
            <wp:docPr id="26" name="Education and Life-long.png"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ducation and Life-long.png" descr="Graphical user interface, text&#10;&#10;Description automatically generated"/>
                    <pic:cNvPicPr/>
                  </pic:nvPicPr>
                  <pic:blipFill>
                    <a:blip r:embed="rId35" r:link="rId36" cstate="print">
                      <a:extLst>
                        <a:ext uri="{28A0092B-C50C-407E-A947-70E740481C1C}">
                          <a14:useLocalDpi xmlns:a14="http://schemas.microsoft.com/office/drawing/2010/main" val="0"/>
                        </a:ext>
                      </a:extLst>
                    </a:blip>
                    <a:stretch>
                      <a:fillRect/>
                    </a:stretch>
                  </pic:blipFill>
                  <pic:spPr>
                    <a:xfrm>
                      <a:off x="0" y="0"/>
                      <a:ext cx="2794000" cy="812800"/>
                    </a:xfrm>
                    <a:prstGeom prst="rect">
                      <a:avLst/>
                    </a:prstGeom>
                  </pic:spPr>
                </pic:pic>
              </a:graphicData>
            </a:graphic>
            <wp14:sizeRelH relativeFrom="page">
              <wp14:pctWidth>0</wp14:pctWidth>
            </wp14:sizeRelH>
            <wp14:sizeRelV relativeFrom="page">
              <wp14:pctHeight>0</wp14:pctHeight>
            </wp14:sizeRelV>
          </wp:anchor>
        </w:drawing>
      </w:r>
      <w:r w:rsidRPr="00050AFA">
        <w:rPr>
          <w:rFonts w:cstheme="minorHAnsi"/>
          <w:szCs w:val="24"/>
        </w:rPr>
        <w:t xml:space="preserve">At the same time, there was a large drop in students’ reporting of life satisfaction, with students’ responses considerably down for most year levels, with impacts quite even across all student cohorts. The survey also measured loneliness for the first time, revealing that students experienced levels of loneliness that increased as they progressed through </w:t>
      </w:r>
      <w:r w:rsidRPr="00050AFA">
        <w:rPr>
          <w:rFonts w:cstheme="minorHAnsi"/>
          <w:color w:val="000000"/>
          <w:szCs w:val="24"/>
        </w:rPr>
        <w:t xml:space="preserve">school. This finding matched data from the </w:t>
      </w:r>
      <w:r w:rsidRPr="00050AFA">
        <w:rPr>
          <w:rFonts w:cstheme="minorHAnsi"/>
          <w:i/>
          <w:iCs/>
          <w:color w:val="000000"/>
          <w:szCs w:val="24"/>
        </w:rPr>
        <w:t>Living well</w:t>
      </w:r>
      <w:r w:rsidRPr="00050AFA">
        <w:rPr>
          <w:rFonts w:cstheme="minorHAnsi"/>
          <w:color w:val="000000"/>
          <w:szCs w:val="24"/>
        </w:rPr>
        <w:t xml:space="preserve"> survey that showed average levels of loneliness continued to increase post</w:t>
      </w:r>
      <w:r w:rsidRPr="00050AFA">
        <w:rPr>
          <w:rFonts w:cstheme="minorHAnsi"/>
          <w:color w:val="000000"/>
          <w:szCs w:val="24"/>
        </w:rPr>
        <w:noBreakHyphen/>
        <w:t>school for a number of years.</w:t>
      </w:r>
    </w:p>
    <w:p w14:paraId="567DB3FC" w14:textId="77777777" w:rsidR="00CF0E2D" w:rsidRPr="00050AFA" w:rsidRDefault="00CF0E2D" w:rsidP="00A60D4B">
      <w:pPr>
        <w:pStyle w:val="Bbodytext"/>
        <w:rPr>
          <w:rFonts w:cstheme="minorHAnsi"/>
          <w:szCs w:val="24"/>
        </w:rPr>
      </w:pPr>
      <w:r w:rsidRPr="00050AFA">
        <w:rPr>
          <w:rFonts w:cstheme="minorHAnsi"/>
          <w:szCs w:val="24"/>
        </w:rPr>
        <w:t xml:space="preserve">With the re-emergence of coronavirus in our community, we have again had a period of remote learning and the Government recognises the efforts and challenges this has involved for all affected. We are planning to have our students back in their school settings as soon as it is safe to do so, recognising the broader wellbeing benefits for </w:t>
      </w:r>
      <w:r>
        <w:rPr>
          <w:rFonts w:cstheme="minorHAnsi"/>
          <w:szCs w:val="24"/>
        </w:rPr>
        <w:t>all</w:t>
      </w:r>
      <w:r w:rsidRPr="00050AFA">
        <w:rPr>
          <w:rFonts w:cstheme="minorHAnsi"/>
          <w:szCs w:val="24"/>
        </w:rPr>
        <w:t xml:space="preserve"> students that come from connection with friends and schoolmates. </w:t>
      </w:r>
    </w:p>
    <w:p w14:paraId="2F6E9BB2" w14:textId="77777777" w:rsidR="00CF0E2D" w:rsidRDefault="00CF0E2D" w:rsidP="00A60D4B">
      <w:pPr>
        <w:pStyle w:val="Heading4"/>
      </w:pPr>
      <w:bookmarkStart w:id="14" w:name="_Hlk83570746"/>
      <w:r>
        <w:rPr>
          <w:noProof/>
        </w:rPr>
        <w:drawing>
          <wp:anchor distT="0" distB="0" distL="114300" distR="114300" simplePos="0" relativeHeight="251670528" behindDoc="0" locked="0" layoutInCell="1" allowOverlap="1" wp14:anchorId="3B72A6F2" wp14:editId="387B6A41">
            <wp:simplePos x="0" y="0"/>
            <wp:positionH relativeFrom="column">
              <wp:posOffset>4077477</wp:posOffset>
            </wp:positionH>
            <wp:positionV relativeFrom="paragraph">
              <wp:posOffset>48895</wp:posOffset>
            </wp:positionV>
            <wp:extent cx="1765300" cy="1054100"/>
            <wp:effectExtent l="0" t="0" r="0" b="0"/>
            <wp:wrapSquare wrapText="bothSides"/>
            <wp:docPr id="27" name="200m funding for educ &amp; skills.png"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0m funding for educ &amp; skills.png" descr="Logo, company name&#10;&#10;Description automatically generated"/>
                    <pic:cNvPicPr/>
                  </pic:nvPicPr>
                  <pic:blipFill>
                    <a:blip r:embed="rId37" r:link="rId38" cstate="print">
                      <a:extLst>
                        <a:ext uri="{28A0092B-C50C-407E-A947-70E740481C1C}">
                          <a14:useLocalDpi xmlns:a14="http://schemas.microsoft.com/office/drawing/2010/main" val="0"/>
                        </a:ext>
                      </a:extLst>
                    </a:blip>
                    <a:stretch>
                      <a:fillRect/>
                    </a:stretch>
                  </pic:blipFill>
                  <pic:spPr>
                    <a:xfrm>
                      <a:off x="0" y="0"/>
                      <a:ext cx="1765300" cy="1054100"/>
                    </a:xfrm>
                    <a:prstGeom prst="rect">
                      <a:avLst/>
                    </a:prstGeom>
                  </pic:spPr>
                </pic:pic>
              </a:graphicData>
            </a:graphic>
            <wp14:sizeRelH relativeFrom="page">
              <wp14:pctWidth>0</wp14:pctWidth>
            </wp14:sizeRelH>
            <wp14:sizeRelV relativeFrom="page">
              <wp14:pctHeight>0</wp14:pctHeight>
            </wp14:sizeRelV>
          </wp:anchor>
        </w:drawing>
      </w:r>
      <w:r>
        <w:t xml:space="preserve">2021-22 Budget </w:t>
      </w:r>
    </w:p>
    <w:p w14:paraId="4157CAA4" w14:textId="77777777" w:rsidR="00CF0E2D" w:rsidRPr="00050AFA" w:rsidRDefault="00CF0E2D" w:rsidP="00A60D4B">
      <w:pPr>
        <w:pStyle w:val="Bbodytext"/>
        <w:rPr>
          <w:szCs w:val="24"/>
        </w:rPr>
      </w:pPr>
      <w:r w:rsidRPr="00050AFA">
        <w:rPr>
          <w:szCs w:val="24"/>
        </w:rPr>
        <w:t>The 2021-22 Budget provides additional support for our public education system, with a focus on further improving equity and inclusion, consistent with the</w:t>
      </w:r>
      <w:r w:rsidRPr="00050AFA">
        <w:rPr>
          <w:rFonts w:cstheme="minorHAnsi"/>
          <w:i/>
          <w:iCs/>
          <w:szCs w:val="24"/>
        </w:rPr>
        <w:t xml:space="preserve"> Future of Education – An ACT education strategy for the next ten years</w:t>
      </w:r>
      <w:r w:rsidRPr="00050AFA">
        <w:rPr>
          <w:szCs w:val="24"/>
        </w:rPr>
        <w:t>. New initiatives include:</w:t>
      </w:r>
    </w:p>
    <w:p w14:paraId="6005BA49" w14:textId="77777777" w:rsidR="00CF0E2D" w:rsidRPr="00050AFA" w:rsidRDefault="00CF0E2D" w:rsidP="00CF0E2D">
      <w:pPr>
        <w:pStyle w:val="ListParagraph"/>
        <w:numPr>
          <w:ilvl w:val="0"/>
          <w:numId w:val="25"/>
        </w:numPr>
        <w:ind w:left="360"/>
        <w:rPr>
          <w:sz w:val="24"/>
          <w:szCs w:val="24"/>
        </w:rPr>
      </w:pPr>
      <w:r>
        <w:rPr>
          <w:sz w:val="24"/>
          <w:szCs w:val="24"/>
        </w:rPr>
        <w:t>$12.5 million over four years</w:t>
      </w:r>
      <w:r w:rsidRPr="00050AFA">
        <w:rPr>
          <w:sz w:val="24"/>
          <w:szCs w:val="24"/>
        </w:rPr>
        <w:t xml:space="preserve"> for</w:t>
      </w:r>
      <w:r>
        <w:rPr>
          <w:sz w:val="24"/>
          <w:szCs w:val="24"/>
        </w:rPr>
        <w:t xml:space="preserve"> the</w:t>
      </w:r>
      <w:r w:rsidRPr="00050AFA">
        <w:rPr>
          <w:sz w:val="24"/>
          <w:szCs w:val="24"/>
        </w:rPr>
        <w:t xml:space="preserve"> </w:t>
      </w:r>
      <w:r w:rsidRPr="00050AFA">
        <w:rPr>
          <w:i/>
          <w:iCs/>
          <w:sz w:val="24"/>
          <w:szCs w:val="24"/>
        </w:rPr>
        <w:t>Set up for Success: An Early Childhood Strategy for the ACT</w:t>
      </w:r>
      <w:r w:rsidRPr="00050AFA">
        <w:rPr>
          <w:sz w:val="24"/>
          <w:szCs w:val="24"/>
        </w:rPr>
        <w:t>, enabling the</w:t>
      </w:r>
      <w:r w:rsidRPr="00050AFA">
        <w:rPr>
          <w:i/>
          <w:iCs/>
          <w:sz w:val="24"/>
          <w:szCs w:val="24"/>
        </w:rPr>
        <w:t xml:space="preserve"> </w:t>
      </w:r>
      <w:r w:rsidRPr="00050AFA">
        <w:rPr>
          <w:sz w:val="24"/>
          <w:szCs w:val="24"/>
        </w:rPr>
        <w:t>provision of</w:t>
      </w:r>
      <w:r w:rsidRPr="00050AFA">
        <w:rPr>
          <w:i/>
          <w:iCs/>
          <w:sz w:val="24"/>
          <w:szCs w:val="24"/>
        </w:rPr>
        <w:t xml:space="preserve"> </w:t>
      </w:r>
      <w:r w:rsidRPr="00050AFA">
        <w:rPr>
          <w:sz w:val="24"/>
          <w:szCs w:val="24"/>
        </w:rPr>
        <w:t>free education to 500 priority three-year-olds for two days per week, 48</w:t>
      </w:r>
      <w:r>
        <w:rPr>
          <w:sz w:val="24"/>
          <w:szCs w:val="24"/>
        </w:rPr>
        <w:t> </w:t>
      </w:r>
      <w:r w:rsidRPr="00050AFA">
        <w:rPr>
          <w:sz w:val="24"/>
          <w:szCs w:val="24"/>
        </w:rPr>
        <w:t>weeks per year;</w:t>
      </w:r>
    </w:p>
    <w:p w14:paraId="56C87203" w14:textId="77777777" w:rsidR="00CF0E2D" w:rsidRPr="00050AFA" w:rsidRDefault="00CF0E2D" w:rsidP="00CF0E2D">
      <w:pPr>
        <w:pStyle w:val="ListParagraph"/>
        <w:numPr>
          <w:ilvl w:val="0"/>
          <w:numId w:val="25"/>
        </w:numPr>
        <w:ind w:left="360"/>
        <w:rPr>
          <w:sz w:val="24"/>
          <w:szCs w:val="24"/>
        </w:rPr>
      </w:pPr>
      <w:r w:rsidRPr="00050AFA">
        <w:rPr>
          <w:sz w:val="24"/>
          <w:szCs w:val="24"/>
        </w:rPr>
        <w:t>providing additional resources for gender equality coaching, professional learning and the provision of materials to support inclusion, and to improve work health and safety and address occupational violence incidents in ACT public schools;</w:t>
      </w:r>
    </w:p>
    <w:p w14:paraId="62CAC1B7" w14:textId="77777777" w:rsidR="00CF0E2D" w:rsidRPr="00050AFA" w:rsidRDefault="00CF0E2D" w:rsidP="00CF0E2D">
      <w:pPr>
        <w:pStyle w:val="ListParagraph"/>
        <w:numPr>
          <w:ilvl w:val="0"/>
          <w:numId w:val="25"/>
        </w:numPr>
        <w:ind w:left="360"/>
        <w:rPr>
          <w:sz w:val="24"/>
          <w:szCs w:val="24"/>
        </w:rPr>
      </w:pPr>
      <w:r>
        <w:rPr>
          <w:sz w:val="24"/>
          <w:szCs w:val="24"/>
        </w:rPr>
        <w:t xml:space="preserve">more than $5 million per year in additional </w:t>
      </w:r>
      <w:r w:rsidRPr="00050AFA">
        <w:rPr>
          <w:sz w:val="24"/>
          <w:szCs w:val="24"/>
        </w:rPr>
        <w:t xml:space="preserve">funding </w:t>
      </w:r>
      <w:r>
        <w:rPr>
          <w:sz w:val="24"/>
          <w:szCs w:val="24"/>
        </w:rPr>
        <w:t>for</w:t>
      </w:r>
      <w:r w:rsidRPr="00050AFA">
        <w:rPr>
          <w:sz w:val="24"/>
          <w:szCs w:val="24"/>
        </w:rPr>
        <w:t xml:space="preserve"> 42 full-time learning professionals and support staff to meet</w:t>
      </w:r>
      <w:r>
        <w:rPr>
          <w:sz w:val="24"/>
          <w:szCs w:val="24"/>
        </w:rPr>
        <w:t xml:space="preserve"> recent </w:t>
      </w:r>
      <w:r w:rsidRPr="00050AFA">
        <w:rPr>
          <w:sz w:val="24"/>
          <w:szCs w:val="24"/>
        </w:rPr>
        <w:t>growth in the ACT school system;</w:t>
      </w:r>
    </w:p>
    <w:p w14:paraId="17768783" w14:textId="77777777" w:rsidR="00CF0E2D" w:rsidRPr="00050AFA" w:rsidRDefault="00CF0E2D" w:rsidP="00CF0E2D">
      <w:pPr>
        <w:pStyle w:val="ListParagraph"/>
        <w:numPr>
          <w:ilvl w:val="0"/>
          <w:numId w:val="25"/>
        </w:numPr>
        <w:ind w:left="360"/>
        <w:rPr>
          <w:sz w:val="24"/>
          <w:szCs w:val="24"/>
        </w:rPr>
      </w:pPr>
      <w:r w:rsidRPr="00050AFA">
        <w:rPr>
          <w:sz w:val="24"/>
          <w:szCs w:val="24"/>
        </w:rPr>
        <w:t>recruiting more qualified teacher librarians to assist with the delivery of the ACT public school curriculum at student, classroom and school levels;</w:t>
      </w:r>
    </w:p>
    <w:p w14:paraId="393973FF" w14:textId="77777777" w:rsidR="00CF0E2D" w:rsidRPr="00050AFA" w:rsidRDefault="00CF0E2D" w:rsidP="00CF0E2D">
      <w:pPr>
        <w:pStyle w:val="ListParagraph"/>
        <w:numPr>
          <w:ilvl w:val="0"/>
          <w:numId w:val="25"/>
        </w:numPr>
        <w:ind w:left="360"/>
        <w:rPr>
          <w:sz w:val="24"/>
          <w:szCs w:val="24"/>
        </w:rPr>
      </w:pPr>
      <w:r w:rsidRPr="00050AFA">
        <w:rPr>
          <w:sz w:val="24"/>
          <w:szCs w:val="24"/>
        </w:rPr>
        <w:t>recruiting additional youth and social workers by 2024-25 to support teachers, students, and families across ACT public schools</w:t>
      </w:r>
      <w:r w:rsidRPr="00050AFA">
        <w:rPr>
          <w:color w:val="000000" w:themeColor="text1"/>
          <w:sz w:val="24"/>
          <w:szCs w:val="24"/>
        </w:rPr>
        <w:t>;</w:t>
      </w:r>
    </w:p>
    <w:p w14:paraId="6C23DB72" w14:textId="77777777" w:rsidR="00CF0E2D" w:rsidRPr="00A32278" w:rsidRDefault="00CF0E2D" w:rsidP="00CF0E2D">
      <w:pPr>
        <w:pStyle w:val="ListParagraph"/>
        <w:numPr>
          <w:ilvl w:val="0"/>
          <w:numId w:val="25"/>
        </w:numPr>
        <w:ind w:left="360"/>
        <w:rPr>
          <w:sz w:val="24"/>
          <w:szCs w:val="24"/>
        </w:rPr>
      </w:pPr>
      <w:r w:rsidRPr="00050AFA">
        <w:rPr>
          <w:sz w:val="24"/>
          <w:szCs w:val="24"/>
        </w:rPr>
        <w:t xml:space="preserve">continuing the School Legal Liaison pilot program to provide college students and their </w:t>
      </w:r>
      <w:r w:rsidRPr="00A32278">
        <w:rPr>
          <w:sz w:val="24"/>
          <w:szCs w:val="24"/>
        </w:rPr>
        <w:t>families with greater access to legal services and education on legal issues;</w:t>
      </w:r>
    </w:p>
    <w:p w14:paraId="36A68E24" w14:textId="77777777" w:rsidR="00CF0E2D" w:rsidRPr="00A32278" w:rsidRDefault="00CF0E2D" w:rsidP="00CF0E2D">
      <w:pPr>
        <w:pStyle w:val="ListParagraph"/>
        <w:numPr>
          <w:ilvl w:val="0"/>
          <w:numId w:val="25"/>
        </w:numPr>
        <w:ind w:left="360"/>
        <w:rPr>
          <w:sz w:val="24"/>
          <w:szCs w:val="24"/>
        </w:rPr>
      </w:pPr>
      <w:r w:rsidRPr="00A32278">
        <w:rPr>
          <w:sz w:val="24"/>
          <w:szCs w:val="24"/>
        </w:rPr>
        <w:t xml:space="preserve">investing $9.1 million to continue the Muliyan Off-Campus Flexible Learning program to support 30 vulnerable students and continuing to </w:t>
      </w:r>
      <w:r w:rsidRPr="00A32278">
        <w:rPr>
          <w:iCs/>
          <w:sz w:val="24"/>
          <w:szCs w:val="24"/>
        </w:rPr>
        <w:t xml:space="preserve">provide culturally safe supports for </w:t>
      </w:r>
      <w:r w:rsidRPr="00A32278">
        <w:rPr>
          <w:iCs/>
          <w:sz w:val="24"/>
          <w:szCs w:val="24"/>
        </w:rPr>
        <w:lastRenderedPageBreak/>
        <w:t>Aboriginal and Torres Strait Islander children who are disengaged or disengaging with education;</w:t>
      </w:r>
    </w:p>
    <w:p w14:paraId="2EA7B9F2" w14:textId="77777777" w:rsidR="00CF0E2D" w:rsidRPr="00A32278" w:rsidRDefault="00CF0E2D" w:rsidP="00CF0E2D">
      <w:pPr>
        <w:pStyle w:val="ListParagraph"/>
        <w:numPr>
          <w:ilvl w:val="0"/>
          <w:numId w:val="25"/>
        </w:numPr>
        <w:ind w:left="360"/>
        <w:rPr>
          <w:sz w:val="24"/>
          <w:szCs w:val="24"/>
        </w:rPr>
      </w:pPr>
      <w:r w:rsidRPr="00A32278">
        <w:rPr>
          <w:sz w:val="24"/>
          <w:szCs w:val="24"/>
        </w:rPr>
        <w:t>funding for a review of education for students with a disability in ACT public schools and to develop an inclusion strategy, in consultation with the community, including students and their families;</w:t>
      </w:r>
    </w:p>
    <w:p w14:paraId="73953B99" w14:textId="77777777" w:rsidR="00CF0E2D" w:rsidRPr="00A32278" w:rsidRDefault="00CF0E2D" w:rsidP="00CF0E2D">
      <w:pPr>
        <w:pStyle w:val="ListParagraph"/>
        <w:numPr>
          <w:ilvl w:val="0"/>
          <w:numId w:val="25"/>
        </w:numPr>
        <w:ind w:left="360"/>
        <w:rPr>
          <w:sz w:val="24"/>
          <w:szCs w:val="24"/>
        </w:rPr>
      </w:pPr>
      <w:r w:rsidRPr="00A32278">
        <w:rPr>
          <w:sz w:val="24"/>
          <w:szCs w:val="24"/>
        </w:rPr>
        <w:t>delivery of a Headstart pilot program to provide 50 senior secondary school students with the opportunity to complete an apprenticeship and extend their ACT senior secondary certification by year;</w:t>
      </w:r>
    </w:p>
    <w:p w14:paraId="3F1C4FBF" w14:textId="5D7E28C6" w:rsidR="00CF0E2D" w:rsidRPr="00050AFA" w:rsidRDefault="00CF0E2D" w:rsidP="00CF0E2D">
      <w:pPr>
        <w:pStyle w:val="ListParagraph"/>
        <w:numPr>
          <w:ilvl w:val="0"/>
          <w:numId w:val="25"/>
        </w:numPr>
        <w:ind w:left="360"/>
        <w:rPr>
          <w:sz w:val="24"/>
          <w:szCs w:val="24"/>
        </w:rPr>
      </w:pPr>
      <w:r w:rsidRPr="00A32278">
        <w:rPr>
          <w:sz w:val="24"/>
          <w:szCs w:val="24"/>
        </w:rPr>
        <w:t>$12.9 million over four years for a Future of Education Equity fund to provide grants to disadvantaged families to support them</w:t>
      </w:r>
      <w:r w:rsidRPr="00050AFA">
        <w:rPr>
          <w:sz w:val="24"/>
          <w:szCs w:val="24"/>
        </w:rPr>
        <w:t xml:space="preserve"> to meet their educational expenses and</w:t>
      </w:r>
      <w:r w:rsidR="00387F31">
        <w:rPr>
          <w:sz w:val="24"/>
          <w:szCs w:val="24"/>
        </w:rPr>
        <w:t xml:space="preserve"> deliver a two-year trial at five schools to provide breakfast and lunch for students three days a week; and</w:t>
      </w:r>
    </w:p>
    <w:p w14:paraId="3C2C3345" w14:textId="77777777" w:rsidR="00CF0E2D" w:rsidRPr="00050AFA" w:rsidRDefault="00CF0E2D" w:rsidP="00CF0E2D">
      <w:pPr>
        <w:pStyle w:val="ListParagraph"/>
        <w:numPr>
          <w:ilvl w:val="0"/>
          <w:numId w:val="25"/>
        </w:numPr>
        <w:ind w:left="360"/>
        <w:rPr>
          <w:sz w:val="24"/>
          <w:szCs w:val="24"/>
        </w:rPr>
      </w:pPr>
      <w:r w:rsidRPr="00050AFA">
        <w:rPr>
          <w:sz w:val="24"/>
          <w:szCs w:val="24"/>
        </w:rPr>
        <w:t>continuing to provide all new ACT public school students in years 7 to 12 with access to a personal device to support their learning and providing free internet access for secondary students requiring support.</w:t>
      </w:r>
    </w:p>
    <w:bookmarkEnd w:id="14"/>
    <w:p w14:paraId="06B7B297" w14:textId="77777777" w:rsidR="00CF0E2D" w:rsidRPr="00CE30AB" w:rsidRDefault="00CF0E2D" w:rsidP="00A60D4B">
      <w:pPr>
        <w:rPr>
          <w:rFonts w:cstheme="minorHAnsi"/>
          <w:b/>
          <w:bCs/>
          <w:i/>
          <w:iCs/>
        </w:rPr>
      </w:pPr>
    </w:p>
    <w:p w14:paraId="504AFA22" w14:textId="77777777" w:rsidR="00CF0E2D" w:rsidRDefault="00CF0E2D" w:rsidP="00A60D4B">
      <w:pPr>
        <w:rPr>
          <w:rFonts w:ascii="Calibri" w:eastAsiaTheme="majorEastAsia" w:hAnsi="Calibri" w:cstheme="majorBidi"/>
          <w:b/>
          <w:color w:val="999789"/>
          <w:sz w:val="32"/>
          <w:szCs w:val="24"/>
        </w:rPr>
      </w:pPr>
      <w:r>
        <w:br w:type="page"/>
      </w:r>
      <w:r>
        <w:rPr>
          <w:rFonts w:ascii="Calibri" w:eastAsiaTheme="majorEastAsia" w:hAnsi="Calibri" w:cstheme="majorBidi"/>
          <w:b/>
          <w:noProof/>
          <w:color w:val="999789"/>
          <w:sz w:val="32"/>
          <w:szCs w:val="24"/>
        </w:rPr>
        <w:drawing>
          <wp:anchor distT="0" distB="0" distL="114300" distR="114300" simplePos="0" relativeHeight="251672576" behindDoc="0" locked="0" layoutInCell="1" allowOverlap="1" wp14:anchorId="71A81F5E" wp14:editId="59C85E98">
            <wp:simplePos x="0" y="0"/>
            <wp:positionH relativeFrom="column">
              <wp:posOffset>0</wp:posOffset>
            </wp:positionH>
            <wp:positionV relativeFrom="paragraph">
              <wp:posOffset>0</wp:posOffset>
            </wp:positionV>
            <wp:extent cx="5731510" cy="3223895"/>
            <wp:effectExtent l="0" t="0" r="0" b="1905"/>
            <wp:wrapSquare wrapText="bothSides"/>
            <wp:docPr id="29" name="Bowes and Bradley Streets - artist impre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owes and Bradley Streets - artist impression.jpg"/>
                    <pic:cNvPicPr/>
                  </pic:nvPicPr>
                  <pic:blipFill>
                    <a:blip r:embed="rId39" r:link="rId40"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14:sizeRelH relativeFrom="page">
              <wp14:pctWidth>0</wp14:pctWidth>
            </wp14:sizeRelH>
            <wp14:sizeRelV relativeFrom="page">
              <wp14:pctHeight>0</wp14:pctHeight>
            </wp14:sizeRelV>
          </wp:anchor>
        </w:drawing>
      </w:r>
    </w:p>
    <w:p w14:paraId="676ADBCA" w14:textId="77777777" w:rsidR="00CF0E2D" w:rsidRDefault="00CF0E2D" w:rsidP="00A60D4B">
      <w:pPr>
        <w:pStyle w:val="Heading3"/>
      </w:pPr>
      <w:r w:rsidRPr="002C3023">
        <w:lastRenderedPageBreak/>
        <w:t>New and expanded schools</w:t>
      </w:r>
    </w:p>
    <w:p w14:paraId="097ED4BD" w14:textId="77777777" w:rsidR="00CF0E2D" w:rsidRPr="00050AFA" w:rsidRDefault="00CF0E2D" w:rsidP="00A60D4B">
      <w:pPr>
        <w:pStyle w:val="Bbodytext"/>
        <w:rPr>
          <w:rFonts w:cstheme="minorHAnsi"/>
        </w:rPr>
      </w:pPr>
      <w:r w:rsidRPr="00050AFA">
        <w:rPr>
          <w:rFonts w:cstheme="minorHAnsi"/>
        </w:rPr>
        <w:t>A child’s background or circumstances should not determine whether they can access a great education and reach their potential. To support this, the ACT Government is continuing to upgrade and expand schools to make sure every child has a place at a great local public school.</w:t>
      </w:r>
    </w:p>
    <w:p w14:paraId="61B40FE7" w14:textId="77777777" w:rsidR="00CF0E2D" w:rsidRPr="00050AFA" w:rsidRDefault="00CF0E2D" w:rsidP="00A60D4B">
      <w:pPr>
        <w:pStyle w:val="Bbodytext"/>
        <w:rPr>
          <w:rFonts w:cstheme="minorHAnsi"/>
          <w:szCs w:val="24"/>
        </w:rPr>
      </w:pPr>
      <w:r w:rsidRPr="00050AFA">
        <w:rPr>
          <w:rFonts w:cstheme="minorHAnsi"/>
          <w:szCs w:val="24"/>
        </w:rPr>
        <w:t>The Government is committed to schools that support personalised learning, develop and honour diversity and foster wellbeing. This commitment includes the design of school facilities that incorporate a cultural connection to the local Ngunnawal Country. This principle is reflected in all aspects of the design of facilities</w:t>
      </w:r>
      <w:r>
        <w:rPr>
          <w:rFonts w:cstheme="minorHAnsi"/>
          <w:szCs w:val="24"/>
        </w:rPr>
        <w:t xml:space="preserve">, such as the </w:t>
      </w:r>
      <w:r w:rsidRPr="00A62771">
        <w:rPr>
          <w:rFonts w:ascii="Calibri" w:hAnsi="Calibri" w:cs="Calibri"/>
          <w:color w:val="191919"/>
          <w:szCs w:val="24"/>
        </w:rPr>
        <w:t>new P</w:t>
      </w:r>
      <w:r>
        <w:rPr>
          <w:rFonts w:ascii="Calibri" w:hAnsi="Calibri" w:cs="Calibri"/>
          <w:color w:val="191919"/>
          <w:szCs w:val="24"/>
        </w:rPr>
        <w:noBreakHyphen/>
      </w:r>
      <w:r w:rsidRPr="00A62771">
        <w:rPr>
          <w:rFonts w:ascii="Calibri" w:hAnsi="Calibri" w:cs="Calibri"/>
          <w:color w:val="191919"/>
          <w:szCs w:val="24"/>
        </w:rPr>
        <w:t>10</w:t>
      </w:r>
      <w:r>
        <w:rPr>
          <w:rFonts w:ascii="Calibri" w:hAnsi="Calibri" w:cs="Calibri"/>
          <w:color w:val="191919"/>
          <w:szCs w:val="24"/>
        </w:rPr>
        <w:t> </w:t>
      </w:r>
      <w:r w:rsidRPr="00A62771">
        <w:rPr>
          <w:rFonts w:ascii="Calibri" w:hAnsi="Calibri" w:cs="Calibri" w:hint="cs"/>
          <w:color w:val="191919"/>
          <w:szCs w:val="24"/>
        </w:rPr>
        <w:t>Evelyn</w:t>
      </w:r>
      <w:r>
        <w:rPr>
          <w:rFonts w:ascii="Calibri" w:hAnsi="Calibri" w:cs="Calibri" w:hint="eastAsia"/>
          <w:color w:val="191919"/>
          <w:szCs w:val="24"/>
        </w:rPr>
        <w:t> </w:t>
      </w:r>
      <w:r w:rsidRPr="00A62771">
        <w:rPr>
          <w:rFonts w:ascii="Calibri" w:hAnsi="Calibri" w:cs="Calibri" w:hint="cs"/>
          <w:color w:val="191919"/>
          <w:szCs w:val="24"/>
        </w:rPr>
        <w:t>Scott </w:t>
      </w:r>
      <w:r w:rsidRPr="00A62771">
        <w:rPr>
          <w:rFonts w:ascii="Calibri" w:hAnsi="Calibri" w:cs="Calibri"/>
          <w:color w:val="191919"/>
          <w:szCs w:val="24"/>
        </w:rPr>
        <w:t xml:space="preserve">School </w:t>
      </w:r>
      <w:r>
        <w:rPr>
          <w:rFonts w:ascii="Calibri" w:hAnsi="Calibri" w:cs="Calibri"/>
          <w:color w:val="191919"/>
          <w:szCs w:val="24"/>
        </w:rPr>
        <w:t xml:space="preserve">that </w:t>
      </w:r>
      <w:r w:rsidRPr="00A62771">
        <w:rPr>
          <w:rFonts w:ascii="Calibri" w:hAnsi="Calibri" w:cs="Calibri"/>
          <w:color w:val="191919"/>
          <w:szCs w:val="24"/>
        </w:rPr>
        <w:t>opened its doors in January 2021.</w:t>
      </w:r>
    </w:p>
    <w:p w14:paraId="53D3086D" w14:textId="77777777" w:rsidR="00CF0E2D" w:rsidRDefault="00CF0E2D" w:rsidP="00A60D4B">
      <w:pPr>
        <w:pStyle w:val="Bbodytext"/>
        <w:rPr>
          <w:rFonts w:ascii="Calibri" w:hAnsi="Calibri" w:cs="Calibri"/>
          <w:color w:val="191919"/>
          <w:szCs w:val="24"/>
        </w:rPr>
      </w:pPr>
      <w:r w:rsidRPr="00050AFA">
        <w:rPr>
          <w:rFonts w:cstheme="minorHAnsi"/>
          <w:szCs w:val="24"/>
        </w:rPr>
        <w:t>Comprehensive infrastructure planning considers the design of schools as community hubs and integral parts of a broader human services system</w:t>
      </w:r>
      <w:r>
        <w:rPr>
          <w:rFonts w:cstheme="minorHAnsi"/>
          <w:szCs w:val="24"/>
        </w:rPr>
        <w:t>.</w:t>
      </w:r>
    </w:p>
    <w:p w14:paraId="61F732EF" w14:textId="77777777" w:rsidR="00CF0E2D" w:rsidRPr="00A62771" w:rsidRDefault="00CF0E2D" w:rsidP="00A60D4B">
      <w:pPr>
        <w:pStyle w:val="Bbodytext"/>
        <w:rPr>
          <w:rFonts w:ascii="Calibri" w:hAnsi="Calibri" w:cs="Calibri"/>
          <w:color w:val="191919"/>
          <w:szCs w:val="24"/>
        </w:rPr>
      </w:pPr>
      <w:r w:rsidRPr="00A62771">
        <w:rPr>
          <w:szCs w:val="24"/>
        </w:rPr>
        <w:t>In addition to the recently completed $85 million public school infrastructure upgrades program,</w:t>
      </w:r>
      <w:r>
        <w:rPr>
          <w:szCs w:val="24"/>
        </w:rPr>
        <w:t xml:space="preserve"> the Government has</w:t>
      </w:r>
      <w:r w:rsidRPr="00A62771">
        <w:rPr>
          <w:rFonts w:ascii="Calibri" w:hAnsi="Calibri" w:cs="Calibri"/>
          <w:color w:val="191919"/>
          <w:szCs w:val="24"/>
        </w:rPr>
        <w:t xml:space="preserve"> continued to expand and upgrade many schools across Canberra, including </w:t>
      </w:r>
      <w:r>
        <w:rPr>
          <w:rFonts w:ascii="Calibri" w:hAnsi="Calibri" w:cs="Calibri"/>
          <w:color w:val="191919"/>
          <w:szCs w:val="24"/>
        </w:rPr>
        <w:t>the</w:t>
      </w:r>
      <w:r w:rsidRPr="00A62771">
        <w:rPr>
          <w:rFonts w:ascii="Calibri" w:hAnsi="Calibri" w:cs="Calibri"/>
          <w:color w:val="191919"/>
          <w:szCs w:val="24"/>
        </w:rPr>
        <w:t xml:space="preserve"> Franklin Early Childhood School, Gold Creek School’s senior campus and Campbell Primary School.</w:t>
      </w:r>
    </w:p>
    <w:p w14:paraId="6369E5E5" w14:textId="77777777" w:rsidR="00CF0E2D" w:rsidRDefault="00CF0E2D" w:rsidP="00A60D4B">
      <w:pPr>
        <w:pStyle w:val="Bbodytext"/>
        <w:rPr>
          <w:rFonts w:cstheme="minorHAnsi"/>
          <w:szCs w:val="24"/>
        </w:rPr>
      </w:pPr>
      <w:r w:rsidRPr="00484913">
        <w:rPr>
          <w:rFonts w:ascii="Calibri" w:eastAsiaTheme="majorEastAsia" w:hAnsi="Calibri" w:cstheme="majorBidi"/>
          <w:b/>
          <w:noProof/>
          <w:color w:val="999789"/>
          <w:sz w:val="32"/>
          <w:szCs w:val="24"/>
        </w:rPr>
        <mc:AlternateContent>
          <mc:Choice Requires="wps">
            <w:drawing>
              <wp:anchor distT="45720" distB="45720" distL="114300" distR="114300" simplePos="0" relativeHeight="251707392" behindDoc="0" locked="0" layoutInCell="1" allowOverlap="1" wp14:anchorId="76E1DA63" wp14:editId="5183FAC1">
                <wp:simplePos x="0" y="0"/>
                <wp:positionH relativeFrom="margin">
                  <wp:posOffset>2749071</wp:posOffset>
                </wp:positionH>
                <wp:positionV relativeFrom="paragraph">
                  <wp:posOffset>499577</wp:posOffset>
                </wp:positionV>
                <wp:extent cx="3072765" cy="217932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765" cy="2179320"/>
                        </a:xfrm>
                        <a:prstGeom prst="rect">
                          <a:avLst/>
                        </a:prstGeom>
                        <a:solidFill>
                          <a:srgbClr val="FFFFFF"/>
                        </a:solidFill>
                        <a:ln w="9525">
                          <a:noFill/>
                          <a:miter lim="800000"/>
                          <a:headEnd/>
                          <a:tailEnd/>
                        </a:ln>
                      </wps:spPr>
                      <wps:txbx>
                        <w:txbxContent>
                          <w:p w14:paraId="7F93D893" w14:textId="77777777" w:rsidR="002261A7" w:rsidRDefault="002261A7" w:rsidP="00A60D4B">
                            <w:pPr>
                              <w:spacing w:before="240" w:after="240"/>
                              <w:jc w:val="center"/>
                            </w:pPr>
                            <w:r w:rsidRPr="00BA7587">
                              <w:rPr>
                                <w:rFonts w:ascii="Source Sans Pro SemiBold" w:hAnsi="Source Sans Pro SemiBold"/>
                                <w:b/>
                                <w:bCs/>
                                <w:color w:val="3C1A56"/>
                                <w:sz w:val="40"/>
                                <w:szCs w:val="40"/>
                              </w:rPr>
                              <w:t>The Government will invest more than $950</w:t>
                            </w:r>
                            <w:r>
                              <w:rPr>
                                <w:rFonts w:ascii="Source Sans Pro SemiBold" w:hAnsi="Source Sans Pro SemiBold"/>
                                <w:b/>
                                <w:bCs/>
                                <w:color w:val="3C1A56"/>
                                <w:sz w:val="40"/>
                                <w:szCs w:val="40"/>
                              </w:rPr>
                              <w:t> </w:t>
                            </w:r>
                            <w:r w:rsidRPr="00BA7587">
                              <w:rPr>
                                <w:rFonts w:ascii="Source Sans Pro SemiBold" w:hAnsi="Source Sans Pro SemiBold"/>
                                <w:b/>
                                <w:bCs/>
                                <w:color w:val="3C1A56"/>
                                <w:sz w:val="40"/>
                                <w:szCs w:val="40"/>
                              </w:rPr>
                              <w:t>million on CIT and school infrastructure over the next five years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E1DA63" id="_x0000_s1027" type="#_x0000_t202" style="position:absolute;margin-left:216.45pt;margin-top:39.35pt;width:241.95pt;height:171.6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" stroked="f">
                <v:textbox>
                  <w:txbxContent>
                    <w:p w14:paraId="7F93D893" w14:textId="77777777" w:rsidR="002261A7" w:rsidRDefault="002261A7" w:rsidP="00A60D4B">
                      <w:pPr>
                        <w:spacing w:before="240" w:after="240"/>
                        <w:jc w:val="center"/>
                      </w:pPr>
                      <w:r w:rsidRPr="00BA7587">
                        <w:rPr>
                          <w:rFonts w:ascii="Source Sans Pro SemiBold" w:hAnsi="Source Sans Pro SemiBold"/>
                          <w:b/>
                          <w:bCs/>
                          <w:color w:val="3C1A56"/>
                          <w:sz w:val="40"/>
                          <w:szCs w:val="40"/>
                        </w:rPr>
                        <w:t>The Government will invest more than $950</w:t>
                      </w:r>
                      <w:r>
                        <w:rPr>
                          <w:rFonts w:ascii="Source Sans Pro SemiBold" w:hAnsi="Source Sans Pro SemiBold"/>
                          <w:b/>
                          <w:bCs/>
                          <w:color w:val="3C1A56"/>
                          <w:sz w:val="40"/>
                          <w:szCs w:val="40"/>
                        </w:rPr>
                        <w:t> </w:t>
                      </w:r>
                      <w:r w:rsidRPr="00BA7587">
                        <w:rPr>
                          <w:rFonts w:ascii="Source Sans Pro SemiBold" w:hAnsi="Source Sans Pro SemiBold"/>
                          <w:b/>
                          <w:bCs/>
                          <w:color w:val="3C1A56"/>
                          <w:sz w:val="40"/>
                          <w:szCs w:val="40"/>
                        </w:rPr>
                        <w:t>million on CIT and school infrastructure over the next five years</w:t>
                      </w:r>
                    </w:p>
                  </w:txbxContent>
                </v:textbox>
                <w10:wrap type="square" anchorx="margin"/>
              </v:shape>
            </w:pict>
          </mc:Fallback>
        </mc:AlternateContent>
      </w:r>
      <w:r w:rsidRPr="00050AFA">
        <w:rPr>
          <w:rFonts w:cstheme="minorHAnsi"/>
          <w:szCs w:val="24"/>
        </w:rPr>
        <w:t>Sustainable design elements are integrated into new schools, major projects, capital upgrades and outdoor facilities including bicycle parking facilities. This has included replacing old roof systems with ones that incorporate high levels of insulation and upgrading end of life heating systems with low to zero emissions technology and improving the resilience of buildings to extreme temperatures.</w:t>
      </w:r>
    </w:p>
    <w:p w14:paraId="70A571AF" w14:textId="77777777" w:rsidR="00CF0E2D" w:rsidRDefault="00CF0E2D" w:rsidP="00A60D4B">
      <w:pPr>
        <w:rPr>
          <w:rFonts w:cstheme="minorHAnsi"/>
          <w:sz w:val="24"/>
          <w:szCs w:val="24"/>
        </w:rPr>
      </w:pPr>
    </w:p>
    <w:p w14:paraId="16072B35" w14:textId="77777777" w:rsidR="00CF0E2D" w:rsidRDefault="00CF0E2D" w:rsidP="00A60D4B">
      <w:pPr>
        <w:pStyle w:val="Heading4"/>
      </w:pPr>
      <w:r>
        <w:t xml:space="preserve">2021-22 Budget </w:t>
      </w:r>
    </w:p>
    <w:p w14:paraId="2C1141A2" w14:textId="35D57F8F" w:rsidR="00CF0E2D" w:rsidRDefault="00CF0E2D" w:rsidP="00A60D4B">
      <w:pPr>
        <w:pStyle w:val="Bbodytext"/>
        <w:rPr>
          <w:szCs w:val="24"/>
        </w:rPr>
      </w:pPr>
      <w:r w:rsidRPr="00463407">
        <w:rPr>
          <w:szCs w:val="24"/>
        </w:rPr>
        <w:t>During 2021-22, a range of education infrastructure projects will continue to be delivered</w:t>
      </w:r>
      <w:r w:rsidRPr="00A11744">
        <w:rPr>
          <w:szCs w:val="24"/>
        </w:rPr>
        <w:t xml:space="preserve">. </w:t>
      </w:r>
      <w:r w:rsidRPr="00F722EC">
        <w:rPr>
          <w:szCs w:val="24"/>
        </w:rPr>
        <w:t>Two new schools</w:t>
      </w:r>
      <w:r w:rsidRPr="006F3E2C">
        <w:rPr>
          <w:szCs w:val="24"/>
        </w:rPr>
        <w:t xml:space="preserve"> </w:t>
      </w:r>
      <w:r w:rsidRPr="00A62771">
        <w:rPr>
          <w:szCs w:val="24"/>
        </w:rPr>
        <w:t xml:space="preserve">will open in </w:t>
      </w:r>
      <w:r w:rsidR="00387F31">
        <w:rPr>
          <w:szCs w:val="24"/>
        </w:rPr>
        <w:t>coming years –</w:t>
      </w:r>
      <w:r w:rsidRPr="00A62771">
        <w:rPr>
          <w:szCs w:val="24"/>
        </w:rPr>
        <w:t xml:space="preserve"> a primary school in Throsby </w:t>
      </w:r>
      <w:r w:rsidR="00387F31">
        <w:rPr>
          <w:szCs w:val="24"/>
        </w:rPr>
        <w:t xml:space="preserve">in 2022 </w:t>
      </w:r>
      <w:r w:rsidRPr="00A62771">
        <w:rPr>
          <w:szCs w:val="24"/>
        </w:rPr>
        <w:t>and a high school in Kenny</w:t>
      </w:r>
      <w:r w:rsidR="00387F31">
        <w:rPr>
          <w:szCs w:val="24"/>
        </w:rPr>
        <w:t xml:space="preserve"> in 2023</w:t>
      </w:r>
      <w:r w:rsidRPr="00A62771">
        <w:rPr>
          <w:szCs w:val="24"/>
        </w:rPr>
        <w:t>. This will be followed by the opening of the high school campus of Evelyn Scott School in Molonglo in 2023, and a high school in Taylor in 2024.</w:t>
      </w:r>
      <w:r>
        <w:rPr>
          <w:szCs w:val="24"/>
        </w:rPr>
        <w:t xml:space="preserve"> </w:t>
      </w:r>
    </w:p>
    <w:p w14:paraId="2D0FB23A" w14:textId="77777777" w:rsidR="00CF0E2D" w:rsidRPr="00691972" w:rsidRDefault="00CF0E2D" w:rsidP="00A60D4B">
      <w:pPr>
        <w:pStyle w:val="Bbodytext"/>
      </w:pPr>
      <w:r w:rsidRPr="00691972">
        <w:t xml:space="preserve">Work will also continue on upgrading Campbell Primary School and expanding the Amaroo School Senior Campus and Franklin Early Childhood School. The 2021-22 Budget includes significant further investment in maintaining and improving existing schools, planning for future school infrastructure needs, and progressing the development of new school facilities. New initiatives include: </w:t>
      </w:r>
    </w:p>
    <w:p w14:paraId="4E3534C2" w14:textId="77777777" w:rsidR="00CF0E2D" w:rsidRPr="00050AFA" w:rsidRDefault="00CF0E2D" w:rsidP="00CF0E2D">
      <w:pPr>
        <w:pStyle w:val="ListParagraph"/>
        <w:numPr>
          <w:ilvl w:val="0"/>
          <w:numId w:val="26"/>
        </w:numPr>
        <w:spacing w:after="0" w:line="240" w:lineRule="auto"/>
        <w:ind w:left="360"/>
        <w:rPr>
          <w:rFonts w:ascii="Calibri" w:eastAsia="Times New Roman" w:hAnsi="Calibri" w:cs="Calibri"/>
          <w:color w:val="000000"/>
          <w:sz w:val="24"/>
          <w:szCs w:val="24"/>
          <w:lang w:eastAsia="en-AU"/>
        </w:rPr>
      </w:pPr>
      <w:r>
        <w:rPr>
          <w:sz w:val="24"/>
          <w:szCs w:val="24"/>
        </w:rPr>
        <w:t xml:space="preserve">$99 million over four years to </w:t>
      </w:r>
      <w:r w:rsidRPr="00050AFA">
        <w:rPr>
          <w:sz w:val="24"/>
          <w:szCs w:val="24"/>
        </w:rPr>
        <w:t>improv</w:t>
      </w:r>
      <w:r>
        <w:rPr>
          <w:sz w:val="24"/>
          <w:szCs w:val="24"/>
        </w:rPr>
        <w:t>e</w:t>
      </w:r>
      <w:r w:rsidRPr="00050AFA">
        <w:rPr>
          <w:sz w:val="24"/>
          <w:szCs w:val="24"/>
        </w:rPr>
        <w:t xml:space="preserve"> the amenity, functionality and inclusivity of schools, including replacing end-of-life heating systems and roofs, improving the thermal comfort of schools, installing solar and battery energy storage systems, and providing bike storage facilities; </w:t>
      </w:r>
    </w:p>
    <w:p w14:paraId="6A35E093" w14:textId="77777777" w:rsidR="00CF0E2D" w:rsidRPr="00050AFA" w:rsidRDefault="00CF0E2D" w:rsidP="00CF0E2D">
      <w:pPr>
        <w:pStyle w:val="ListParagraph"/>
        <w:numPr>
          <w:ilvl w:val="0"/>
          <w:numId w:val="26"/>
        </w:numPr>
        <w:spacing w:after="0" w:line="240" w:lineRule="auto"/>
        <w:ind w:left="360"/>
        <w:rPr>
          <w:rFonts w:ascii="Calibri" w:eastAsia="Times New Roman" w:hAnsi="Calibri" w:cs="Calibri"/>
          <w:color w:val="000000"/>
          <w:sz w:val="24"/>
          <w:szCs w:val="24"/>
          <w:lang w:eastAsia="en-AU"/>
        </w:rPr>
      </w:pPr>
      <w:r>
        <w:rPr>
          <w:sz w:val="24"/>
          <w:szCs w:val="24"/>
        </w:rPr>
        <w:lastRenderedPageBreak/>
        <w:t xml:space="preserve">$15 million over four years to </w:t>
      </w:r>
      <w:r w:rsidRPr="00050AFA">
        <w:rPr>
          <w:sz w:val="24"/>
          <w:szCs w:val="24"/>
        </w:rPr>
        <w:t>accelerate the removal of hazardous materials from ACT public schools;</w:t>
      </w:r>
    </w:p>
    <w:p w14:paraId="2FF54909" w14:textId="77777777" w:rsidR="00CF0E2D" w:rsidRPr="00050AFA" w:rsidRDefault="00CF0E2D" w:rsidP="00CF0E2D">
      <w:pPr>
        <w:pStyle w:val="ListParagraph"/>
        <w:numPr>
          <w:ilvl w:val="0"/>
          <w:numId w:val="26"/>
        </w:numPr>
        <w:spacing w:after="0" w:line="240" w:lineRule="auto"/>
        <w:ind w:left="360"/>
        <w:rPr>
          <w:rFonts w:ascii="Calibri" w:eastAsia="Times New Roman" w:hAnsi="Calibri" w:cs="Calibri"/>
          <w:color w:val="000000"/>
          <w:sz w:val="24"/>
          <w:szCs w:val="24"/>
          <w:lang w:eastAsia="en-AU"/>
        </w:rPr>
      </w:pPr>
      <w:r w:rsidRPr="00050AFA">
        <w:rPr>
          <w:rFonts w:ascii="Calibri" w:eastAsia="Times New Roman" w:hAnsi="Calibri" w:cs="Calibri"/>
          <w:color w:val="000000" w:themeColor="text1"/>
          <w:sz w:val="24"/>
          <w:szCs w:val="24"/>
          <w:lang w:eastAsia="en-AU"/>
        </w:rPr>
        <w:t xml:space="preserve">progressing works to </w:t>
      </w:r>
      <w:r w:rsidRPr="00050AFA">
        <w:rPr>
          <w:sz w:val="24"/>
          <w:szCs w:val="24"/>
        </w:rPr>
        <w:t xml:space="preserve">expand </w:t>
      </w:r>
      <w:r>
        <w:rPr>
          <w:sz w:val="24"/>
          <w:szCs w:val="24"/>
        </w:rPr>
        <w:t xml:space="preserve">the </w:t>
      </w:r>
      <w:r w:rsidRPr="00050AFA">
        <w:rPr>
          <w:sz w:val="24"/>
          <w:szCs w:val="24"/>
        </w:rPr>
        <w:t>Margaret Hendry Primary School and construct a new high school in Taylor; to modernise and expand Garran Primary School; and design works for a new primary school in Strathnairn;</w:t>
      </w:r>
    </w:p>
    <w:p w14:paraId="6FFFABBE" w14:textId="77777777" w:rsidR="00CF0E2D" w:rsidRPr="00050AFA" w:rsidRDefault="00CF0E2D" w:rsidP="00CF0E2D">
      <w:pPr>
        <w:pStyle w:val="ListParagraph"/>
        <w:numPr>
          <w:ilvl w:val="0"/>
          <w:numId w:val="26"/>
        </w:numPr>
        <w:spacing w:after="0" w:line="240" w:lineRule="auto"/>
        <w:ind w:left="360"/>
        <w:rPr>
          <w:sz w:val="24"/>
          <w:szCs w:val="24"/>
        </w:rPr>
      </w:pPr>
      <w:r w:rsidRPr="00050AFA">
        <w:rPr>
          <w:sz w:val="24"/>
          <w:szCs w:val="24"/>
        </w:rPr>
        <w:t>continuing to plan and design the modernisation of Narrabundah College to meet the needs of future students, teachers and the community;</w:t>
      </w:r>
    </w:p>
    <w:p w14:paraId="3E6C912F" w14:textId="77777777" w:rsidR="00CF0E2D" w:rsidRPr="00050AFA" w:rsidRDefault="00CF0E2D" w:rsidP="00CF0E2D">
      <w:pPr>
        <w:pStyle w:val="ListParagraph"/>
        <w:numPr>
          <w:ilvl w:val="0"/>
          <w:numId w:val="26"/>
        </w:numPr>
        <w:spacing w:after="0" w:line="240" w:lineRule="auto"/>
        <w:ind w:left="360"/>
        <w:rPr>
          <w:sz w:val="24"/>
          <w:szCs w:val="24"/>
        </w:rPr>
      </w:pPr>
      <w:r>
        <w:rPr>
          <w:rFonts w:ascii="Calibri" w:eastAsia="Times New Roman" w:hAnsi="Calibri" w:cs="Calibri"/>
          <w:color w:val="000000" w:themeColor="text1"/>
          <w:sz w:val="24"/>
          <w:szCs w:val="24"/>
          <w:lang w:eastAsia="en-AU"/>
        </w:rPr>
        <w:t xml:space="preserve">$19.8 million for the </w:t>
      </w:r>
      <w:r w:rsidRPr="00050AFA">
        <w:rPr>
          <w:sz w:val="24"/>
          <w:szCs w:val="24"/>
        </w:rPr>
        <w:t>install</w:t>
      </w:r>
      <w:r>
        <w:rPr>
          <w:sz w:val="24"/>
          <w:szCs w:val="24"/>
        </w:rPr>
        <w:t>ation of</w:t>
      </w:r>
      <w:r w:rsidRPr="00050AFA">
        <w:rPr>
          <w:sz w:val="24"/>
          <w:szCs w:val="24"/>
        </w:rPr>
        <w:t xml:space="preserve"> new Modular Learning Centres across Canberra to meet projected enrolment growth; and</w:t>
      </w:r>
    </w:p>
    <w:p w14:paraId="660A86F9" w14:textId="77777777" w:rsidR="00CF0E2D" w:rsidRPr="00050AFA" w:rsidRDefault="00CF0E2D" w:rsidP="00CF0E2D">
      <w:pPr>
        <w:pStyle w:val="ListParagraph"/>
        <w:numPr>
          <w:ilvl w:val="0"/>
          <w:numId w:val="26"/>
        </w:numPr>
        <w:spacing w:after="0" w:line="240" w:lineRule="auto"/>
        <w:ind w:left="360"/>
        <w:rPr>
          <w:sz w:val="24"/>
          <w:szCs w:val="24"/>
        </w:rPr>
      </w:pPr>
      <w:r>
        <w:rPr>
          <w:sz w:val="24"/>
          <w:szCs w:val="24"/>
        </w:rPr>
        <w:t xml:space="preserve">$12.5 million for </w:t>
      </w:r>
      <w:r w:rsidRPr="00050AFA">
        <w:rPr>
          <w:sz w:val="24"/>
          <w:szCs w:val="24"/>
        </w:rPr>
        <w:t>feasibility studies, master planning and forward design works for new and expanded school</w:t>
      </w:r>
      <w:r>
        <w:rPr>
          <w:sz w:val="24"/>
          <w:szCs w:val="24"/>
        </w:rPr>
        <w:t>s</w:t>
      </w:r>
      <w:r w:rsidRPr="00050AFA">
        <w:rPr>
          <w:sz w:val="24"/>
          <w:szCs w:val="24"/>
        </w:rPr>
        <w:t xml:space="preserve"> in the Inner South, the Inner North, Molonglo and Central Belconnen regions and for specialist school services in the north of Canberra.</w:t>
      </w:r>
    </w:p>
    <w:p w14:paraId="3CE8E290" w14:textId="77777777" w:rsidR="00CF0E2D" w:rsidRDefault="00CF0E2D" w:rsidP="00A60D4B">
      <w:pPr>
        <w:rPr>
          <w:rFonts w:ascii="Calibri" w:eastAsiaTheme="majorEastAsia" w:hAnsi="Calibri" w:cstheme="majorBidi"/>
          <w:b/>
          <w:color w:val="999789"/>
          <w:sz w:val="32"/>
          <w:szCs w:val="24"/>
        </w:rPr>
      </w:pPr>
      <w:r>
        <w:rPr>
          <w:rFonts w:ascii="Calibri" w:eastAsiaTheme="majorEastAsia" w:hAnsi="Calibri" w:cstheme="majorBidi"/>
          <w:b/>
          <w:noProof/>
          <w:color w:val="999789"/>
          <w:sz w:val="32"/>
          <w:szCs w:val="24"/>
        </w:rPr>
        <w:drawing>
          <wp:anchor distT="0" distB="0" distL="114300" distR="114300" simplePos="0" relativeHeight="251673600" behindDoc="0" locked="0" layoutInCell="1" allowOverlap="1" wp14:anchorId="4F37A271" wp14:editId="245FAB35">
            <wp:simplePos x="0" y="0"/>
            <wp:positionH relativeFrom="column">
              <wp:posOffset>0</wp:posOffset>
            </wp:positionH>
            <wp:positionV relativeFrom="paragraph">
              <wp:posOffset>251926</wp:posOffset>
            </wp:positionV>
            <wp:extent cx="5731510" cy="3820795"/>
            <wp:effectExtent l="0" t="0" r="0" b="1905"/>
            <wp:wrapSquare wrapText="bothSides"/>
            <wp:docPr id="30" name="Amaroo School_21_069 hr.jpeg" descr="A picture containing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maroo School_21_069 hr.jpeg" descr="A picture containing sky, outdoor&#10;&#10;Description automatically generated"/>
                    <pic:cNvPicPr/>
                  </pic:nvPicPr>
                  <pic:blipFill>
                    <a:blip r:embed="rId41" r:link="rId42"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14:sizeRelH relativeFrom="page">
              <wp14:pctWidth>0</wp14:pctWidth>
            </wp14:sizeRelH>
            <wp14:sizeRelV relativeFrom="page">
              <wp14:pctHeight>0</wp14:pctHeight>
            </wp14:sizeRelV>
          </wp:anchor>
        </w:drawing>
      </w:r>
      <w:r>
        <w:br w:type="page"/>
      </w:r>
    </w:p>
    <w:p w14:paraId="4D487B90" w14:textId="77777777" w:rsidR="00CF0E2D" w:rsidRDefault="00CF0E2D" w:rsidP="00A60D4B">
      <w:pPr>
        <w:pStyle w:val="Heading3"/>
      </w:pPr>
      <w:r w:rsidRPr="00DB7DFC">
        <w:lastRenderedPageBreak/>
        <w:t xml:space="preserve">Supporting skills development </w:t>
      </w:r>
    </w:p>
    <w:p w14:paraId="70B92790" w14:textId="77777777" w:rsidR="00CF0E2D" w:rsidRPr="002F78C7" w:rsidRDefault="00CF0E2D" w:rsidP="00A60D4B">
      <w:pPr>
        <w:pStyle w:val="Bbodytext"/>
        <w:rPr>
          <w:szCs w:val="24"/>
        </w:rPr>
      </w:pPr>
      <w:r w:rsidRPr="002F78C7">
        <w:rPr>
          <w:szCs w:val="24"/>
        </w:rPr>
        <w:t>In addition to school education, access to life-long learning opportunities—including through vocational education and training and higher education—is important to ensure that individuals are prepared for new opportunities and can adapt to changes in life circumstances, economic conditions and emerging labour market opportunities. Post-school education and training provides multiple pathways for people who have lost work or are unable to access the job market.</w:t>
      </w:r>
    </w:p>
    <w:p w14:paraId="0A2FC0DE" w14:textId="77777777" w:rsidR="00CF0E2D" w:rsidRPr="002F78C7" w:rsidRDefault="00CF0E2D" w:rsidP="00A60D4B">
      <w:pPr>
        <w:pStyle w:val="Bbodytext"/>
        <w:rPr>
          <w:rFonts w:cstheme="minorHAnsi"/>
        </w:rPr>
      </w:pPr>
      <w:r>
        <w:rPr>
          <w:rFonts w:cstheme="minorHAnsi"/>
          <w:noProof/>
        </w:rPr>
        <w:drawing>
          <wp:anchor distT="0" distB="0" distL="114300" distR="114300" simplePos="0" relativeHeight="251675648" behindDoc="0" locked="0" layoutInCell="1" allowOverlap="1" wp14:anchorId="0537E826" wp14:editId="4CD1AFC1">
            <wp:simplePos x="0" y="0"/>
            <wp:positionH relativeFrom="column">
              <wp:posOffset>0</wp:posOffset>
            </wp:positionH>
            <wp:positionV relativeFrom="paragraph">
              <wp:posOffset>4445</wp:posOffset>
            </wp:positionV>
            <wp:extent cx="1117600" cy="1841500"/>
            <wp:effectExtent l="0" t="0" r="0" b="0"/>
            <wp:wrapSquare wrapText="bothSides"/>
            <wp:docPr id="32" name="Education and Life-long 4.png"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ducation and Life-long 4.png" descr="Text&#10;&#10;Description automatically generated"/>
                    <pic:cNvPicPr/>
                  </pic:nvPicPr>
                  <pic:blipFill>
                    <a:blip r:embed="rId43" r:link="rId44" cstate="print">
                      <a:extLst>
                        <a:ext uri="{28A0092B-C50C-407E-A947-70E740481C1C}">
                          <a14:useLocalDpi xmlns:a14="http://schemas.microsoft.com/office/drawing/2010/main" val="0"/>
                        </a:ext>
                      </a:extLst>
                    </a:blip>
                    <a:stretch>
                      <a:fillRect/>
                    </a:stretch>
                  </pic:blipFill>
                  <pic:spPr>
                    <a:xfrm>
                      <a:off x="0" y="0"/>
                      <a:ext cx="1117600" cy="1841500"/>
                    </a:xfrm>
                    <a:prstGeom prst="rect">
                      <a:avLst/>
                    </a:prstGeom>
                  </pic:spPr>
                </pic:pic>
              </a:graphicData>
            </a:graphic>
            <wp14:sizeRelH relativeFrom="page">
              <wp14:pctWidth>0</wp14:pctWidth>
            </wp14:sizeRelH>
            <wp14:sizeRelV relativeFrom="page">
              <wp14:pctHeight>0</wp14:pctHeight>
            </wp14:sizeRelV>
          </wp:anchor>
        </w:drawing>
      </w:r>
      <w:r w:rsidRPr="002F78C7">
        <w:rPr>
          <w:rFonts w:cstheme="minorHAnsi"/>
        </w:rPr>
        <w:t>Vocational Education and Training (VET) is a key driver of economic growth and jobs and contributes to positive social outcomes for individuals, including improved physical and mental health as well as overall wellbeing. It also provides businesses with the skilled employees they need. The Government is committed to a VET system that empowers people with the knowledge and skills they need, both now and into the future, to lead rewarding personal and professional lives and delivers the skills businesses need to thrive.</w:t>
      </w:r>
    </w:p>
    <w:p w14:paraId="6506BA5F" w14:textId="77777777" w:rsidR="00CF0E2D" w:rsidRPr="00F15679" w:rsidRDefault="00CF0E2D" w:rsidP="00A60D4B">
      <w:pPr>
        <w:pStyle w:val="Bbodytext"/>
        <w:rPr>
          <w:rFonts w:cstheme="minorHAnsi"/>
          <w:szCs w:val="24"/>
        </w:rPr>
      </w:pPr>
      <w:r w:rsidRPr="00F15679">
        <w:rPr>
          <w:rFonts w:cstheme="minorHAnsi"/>
          <w:szCs w:val="24"/>
        </w:rPr>
        <w:t>In a recent review of VET funding, Skills Canberra found that approximately 87 per cent of students in 2020 indicated that their main reason for undertaking training had been achieved. This figure has been consistently between 84 and 87 per cent over the last five years. A 2019 survey found that 78 per cent of ACT employers were satisfied with nationally accredited training as a way of meeting their skills needs, and for businesses employing only apprentices and trainees, this satisfaction rate was 87 per cent.</w:t>
      </w:r>
    </w:p>
    <w:p w14:paraId="4E28B16B" w14:textId="77777777" w:rsidR="00CF0E2D" w:rsidRDefault="00CF0E2D" w:rsidP="00A60D4B">
      <w:pPr>
        <w:pStyle w:val="Bbodytext"/>
        <w:rPr>
          <w:rFonts w:cstheme="minorHAnsi"/>
        </w:rPr>
      </w:pPr>
      <w:r>
        <w:rPr>
          <w:rFonts w:cstheme="minorHAnsi"/>
        </w:rPr>
        <w:t>A range of government programs contribute to these results, such as</w:t>
      </w:r>
      <w:r w:rsidRPr="002F78C7">
        <w:rPr>
          <w:rFonts w:cstheme="minorHAnsi"/>
        </w:rPr>
        <w:t xml:space="preserve"> User Choice (including Australian School-based Apprenticeships, which can be started while still at school and form part of a student’s Year 12 Certificate), Skilled Capital and JobTrainer</w:t>
      </w:r>
      <w:r>
        <w:rPr>
          <w:rFonts w:cstheme="minorHAnsi"/>
        </w:rPr>
        <w:t xml:space="preserve">. </w:t>
      </w:r>
    </w:p>
    <w:p w14:paraId="0A2B26B9" w14:textId="77777777" w:rsidR="00CF0E2D" w:rsidRPr="0064008A" w:rsidRDefault="00CF0E2D" w:rsidP="00A60D4B">
      <w:pPr>
        <w:pStyle w:val="Bbodytext"/>
        <w:rPr>
          <w:rFonts w:cstheme="minorHAnsi"/>
        </w:rPr>
      </w:pPr>
      <w:r w:rsidRPr="0064008A">
        <w:rPr>
          <w:rFonts w:cstheme="minorHAnsi"/>
        </w:rPr>
        <w:t xml:space="preserve">A strong public provider is also vital in ensuring the diverse needs of ACT students and industry are met. As the ACT’s public VET provider, the Canberra Institute of Technology (CIT) plays a crucial role in enabling skills development and lifelong learning, offering VET courses to high school students and the community at large. </w:t>
      </w:r>
    </w:p>
    <w:p w14:paraId="34793A4F" w14:textId="77777777" w:rsidR="00CF0E2D" w:rsidRPr="0064008A" w:rsidRDefault="00CF0E2D" w:rsidP="00A60D4B">
      <w:pPr>
        <w:pStyle w:val="Bbodytext"/>
        <w:rPr>
          <w:rFonts w:cstheme="minorHAnsi"/>
        </w:rPr>
      </w:pPr>
      <w:r w:rsidRPr="00691972">
        <w:t>To</w:t>
      </w:r>
      <w:r w:rsidRPr="0064008A">
        <w:rPr>
          <w:rFonts w:cstheme="minorHAnsi"/>
        </w:rPr>
        <w:t xml:space="preserve"> ensure the ongoing strength of CIT, the Government is constructing a state-of-the-art CIT campus and adjacent public transport interchange in Woden at a cost of $294 million. Construction of the CIT facility will commence in 2022. An on-campus</w:t>
      </w:r>
      <w:r>
        <w:rPr>
          <w:rFonts w:cstheme="minorHAnsi"/>
        </w:rPr>
        <w:t>,</w:t>
      </w:r>
      <w:r w:rsidRPr="0064008A">
        <w:rPr>
          <w:rFonts w:cstheme="minorHAnsi"/>
        </w:rPr>
        <w:t xml:space="preserve"> multi-bed Youth Foyer will also provide integrated learning, accommodation and support for young people who are committed to education and training but are at risk of homelessness. It is anticipated that students will be able to start studying at the new campus at the beginning of 2025. </w:t>
      </w:r>
    </w:p>
    <w:p w14:paraId="29BEBDE5" w14:textId="77777777" w:rsidR="00CF0E2D" w:rsidRPr="0064008A" w:rsidRDefault="00CF0E2D" w:rsidP="00A60D4B">
      <w:pPr>
        <w:pStyle w:val="Bbodytext"/>
        <w:rPr>
          <w:rFonts w:cstheme="minorHAnsi"/>
        </w:rPr>
      </w:pPr>
      <w:r w:rsidRPr="00691972">
        <w:t>The</w:t>
      </w:r>
      <w:r w:rsidRPr="0064008A">
        <w:rPr>
          <w:rFonts w:cstheme="minorHAnsi"/>
        </w:rPr>
        <w:t xml:space="preserve"> project is an example of infrastructure investment with multiple dimensions of wellbeing, in providing access to education, skills development and lifelong learning, public transport and support for those who are vulnerable</w:t>
      </w:r>
      <w:r>
        <w:rPr>
          <w:rFonts w:cstheme="minorHAnsi"/>
        </w:rPr>
        <w:t>.</w:t>
      </w:r>
    </w:p>
    <w:p w14:paraId="1587C1D3" w14:textId="77777777" w:rsidR="00CF0E2D" w:rsidRPr="0064008A" w:rsidRDefault="00CF0E2D" w:rsidP="00A60D4B">
      <w:pPr>
        <w:pStyle w:val="Bbodytext"/>
        <w:rPr>
          <w:rFonts w:cstheme="minorHAnsi"/>
        </w:rPr>
      </w:pPr>
      <w:r w:rsidRPr="0064008A">
        <w:rPr>
          <w:rFonts w:cstheme="minorHAnsi"/>
        </w:rPr>
        <w:t>Canberra is the higher education capital of Australia and our world-class education and research institutions attract students from across Australia and the world, boosting the prosperity of our city while delivering high quality education and employment outcomes for our students.</w:t>
      </w:r>
    </w:p>
    <w:p w14:paraId="14238802" w14:textId="77777777" w:rsidR="00CF0E2D" w:rsidRPr="002F78C7" w:rsidRDefault="00CF0E2D" w:rsidP="00A60D4B">
      <w:pPr>
        <w:pStyle w:val="Bbodytext"/>
        <w:rPr>
          <w:rFonts w:cstheme="minorHAnsi"/>
        </w:rPr>
      </w:pPr>
      <w:r>
        <w:rPr>
          <w:rFonts w:ascii="Montserrat" w:eastAsiaTheme="majorEastAsia" w:hAnsi="Montserrat" w:cstheme="majorBidi"/>
          <w:b/>
          <w:bCs/>
          <w:noProof/>
          <w:color w:val="FFFFFF" w:themeColor="background1"/>
          <w:sz w:val="28"/>
          <w:szCs w:val="28"/>
          <w:lang w:val="en-US"/>
        </w:rPr>
        <w:lastRenderedPageBreak/>
        <w:drawing>
          <wp:anchor distT="0" distB="180340" distL="114300" distR="114300" simplePos="0" relativeHeight="251674624" behindDoc="0" locked="0" layoutInCell="1" allowOverlap="1" wp14:anchorId="23505090" wp14:editId="5B2F68CC">
            <wp:simplePos x="0" y="0"/>
            <wp:positionH relativeFrom="column">
              <wp:posOffset>2126615</wp:posOffset>
            </wp:positionH>
            <wp:positionV relativeFrom="paragraph">
              <wp:posOffset>33992</wp:posOffset>
            </wp:positionV>
            <wp:extent cx="3625200" cy="3866400"/>
            <wp:effectExtent l="0" t="0" r="0" b="0"/>
            <wp:wrapSquare wrapText="bothSides"/>
            <wp:docPr id="31" name="CIT_MasterPlan_Camera06b.jpg"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IT_MasterPlan_Camera06b.jpg" descr="A picture containing tree, outdoor&#10;&#10;Description automatically generated"/>
                    <pic:cNvPicPr/>
                  </pic:nvPicPr>
                  <pic:blipFill>
                    <a:blip r:embed="rId45" r:link="rId46" cstate="print">
                      <a:extLst>
                        <a:ext uri="{28A0092B-C50C-407E-A947-70E740481C1C}">
                          <a14:useLocalDpi xmlns:a14="http://schemas.microsoft.com/office/drawing/2010/main" val="0"/>
                        </a:ext>
                      </a:extLst>
                    </a:blip>
                    <a:stretch>
                      <a:fillRect/>
                    </a:stretch>
                  </pic:blipFill>
                  <pic:spPr>
                    <a:xfrm>
                      <a:off x="0" y="0"/>
                      <a:ext cx="3625200" cy="3866400"/>
                    </a:xfrm>
                    <a:prstGeom prst="rect">
                      <a:avLst/>
                    </a:prstGeom>
                  </pic:spPr>
                </pic:pic>
              </a:graphicData>
            </a:graphic>
            <wp14:sizeRelH relativeFrom="page">
              <wp14:pctWidth>0</wp14:pctWidth>
            </wp14:sizeRelH>
            <wp14:sizeRelV relativeFrom="page">
              <wp14:pctHeight>0</wp14:pctHeight>
            </wp14:sizeRelV>
          </wp:anchor>
        </w:drawing>
      </w:r>
      <w:r w:rsidRPr="0064008A">
        <w:rPr>
          <w:rFonts w:cstheme="minorHAnsi"/>
        </w:rPr>
        <w:t>COVID-19, with the associated restrictions on international movement, has posed significant challenges to the sector; however</w:t>
      </w:r>
      <w:r>
        <w:rPr>
          <w:rFonts w:cstheme="minorHAnsi"/>
        </w:rPr>
        <w:t xml:space="preserve">, like restrictions themselves, these setbacks are temporary in nature for what is a robust and world-class sector. </w:t>
      </w:r>
      <w:r w:rsidRPr="002F78C7">
        <w:rPr>
          <w:rFonts w:cstheme="minorHAnsi"/>
        </w:rPr>
        <w:t>In the 2020</w:t>
      </w:r>
      <w:r>
        <w:rPr>
          <w:rFonts w:cstheme="minorHAnsi"/>
        </w:rPr>
        <w:noBreakHyphen/>
      </w:r>
      <w:r w:rsidRPr="002F78C7">
        <w:rPr>
          <w:rFonts w:cstheme="minorHAnsi"/>
        </w:rPr>
        <w:t>21 Budget, the Government provided over $9</w:t>
      </w:r>
      <w:r>
        <w:rPr>
          <w:rFonts w:cstheme="minorHAnsi"/>
        </w:rPr>
        <w:t> </w:t>
      </w:r>
      <w:r w:rsidRPr="002F78C7">
        <w:rPr>
          <w:rFonts w:cstheme="minorHAnsi"/>
        </w:rPr>
        <w:t xml:space="preserve">million for the </w:t>
      </w:r>
      <w:r w:rsidRPr="002F78C7">
        <w:rPr>
          <w:rFonts w:cstheme="minorHAnsi"/>
          <w:i/>
          <w:iCs/>
        </w:rPr>
        <w:t>Future Jobs Fund</w:t>
      </w:r>
      <w:r w:rsidRPr="002F78C7">
        <w:rPr>
          <w:rFonts w:cstheme="minorHAnsi"/>
        </w:rPr>
        <w:t xml:space="preserve"> to help finance projects that create and protect local jobs in tertiary education, research and key industry sectors such as space, renewable energy and cyber security.</w:t>
      </w:r>
    </w:p>
    <w:p w14:paraId="32256BBA" w14:textId="77777777" w:rsidR="00CF0E2D" w:rsidRPr="002F78C7" w:rsidRDefault="00CF0E2D" w:rsidP="00A60D4B">
      <w:pPr>
        <w:pStyle w:val="Bbodytext"/>
        <w:rPr>
          <w:rFonts w:cstheme="minorHAnsi"/>
        </w:rPr>
      </w:pPr>
      <w:r w:rsidRPr="002F78C7">
        <w:rPr>
          <w:rFonts w:cstheme="minorHAnsi"/>
        </w:rPr>
        <w:t>As international borders re</w:t>
      </w:r>
      <w:r>
        <w:rPr>
          <w:rFonts w:cstheme="minorHAnsi"/>
        </w:rPr>
        <w:noBreakHyphen/>
      </w:r>
      <w:r w:rsidRPr="002F78C7">
        <w:rPr>
          <w:rFonts w:cstheme="minorHAnsi"/>
        </w:rPr>
        <w:t>open, the Government is committed to attracting the best and brightest from around the world, building on our reputation for supporting local innovation, attracting investment from institutions and the private sector, and encouraging more students to stay in Canberra when they graduate.</w:t>
      </w:r>
    </w:p>
    <w:p w14:paraId="60A27E7C" w14:textId="77777777" w:rsidR="00CF0E2D" w:rsidRDefault="00CF0E2D" w:rsidP="00A60D4B">
      <w:pPr>
        <w:pStyle w:val="Heading4"/>
      </w:pPr>
      <w:r>
        <w:t xml:space="preserve">2021-22 Budget </w:t>
      </w:r>
    </w:p>
    <w:p w14:paraId="54DB3290" w14:textId="77777777" w:rsidR="00CF0E2D" w:rsidRPr="00691972" w:rsidRDefault="00CF0E2D" w:rsidP="00A60D4B">
      <w:pPr>
        <w:pStyle w:val="Bbodytext"/>
      </w:pPr>
      <w:r w:rsidRPr="00691972">
        <w:t>During 2021-22, the ongoing delivery and extension of a range of programs, including the CIT Woden project, will ensure the continued growth and delivery of the VET and higher education sectors. New initiatives include:</w:t>
      </w:r>
    </w:p>
    <w:p w14:paraId="782F9E25" w14:textId="77777777" w:rsidR="00CF0E2D" w:rsidRPr="001D514E" w:rsidRDefault="00CF0E2D" w:rsidP="00CF0E2D">
      <w:pPr>
        <w:pStyle w:val="ListParagraph"/>
        <w:numPr>
          <w:ilvl w:val="0"/>
          <w:numId w:val="17"/>
        </w:numPr>
        <w:ind w:left="360"/>
        <w:rPr>
          <w:sz w:val="24"/>
          <w:szCs w:val="24"/>
        </w:rPr>
      </w:pPr>
      <w:r w:rsidRPr="001D514E">
        <w:rPr>
          <w:sz w:val="24"/>
          <w:szCs w:val="24"/>
        </w:rPr>
        <w:t>providing additional funding for the delivery of apprenticeships, traineeships and other vocational education through the User Choice (Australian Apprenticeships) and Skilled Capital programs;</w:t>
      </w:r>
    </w:p>
    <w:p w14:paraId="55D2D77E" w14:textId="77777777" w:rsidR="00CF0E2D" w:rsidRPr="001D514E" w:rsidRDefault="00CF0E2D" w:rsidP="00CF0E2D">
      <w:pPr>
        <w:pStyle w:val="ListParagraph"/>
        <w:numPr>
          <w:ilvl w:val="0"/>
          <w:numId w:val="17"/>
        </w:numPr>
        <w:ind w:left="360"/>
        <w:rPr>
          <w:sz w:val="24"/>
          <w:szCs w:val="24"/>
        </w:rPr>
      </w:pPr>
      <w:r w:rsidRPr="001D514E">
        <w:rPr>
          <w:sz w:val="24"/>
          <w:szCs w:val="24"/>
        </w:rPr>
        <w:t>the extension of the JobTrainer Fund to provide additional free training places for young people and job seekers in areas of skills need or employment growth;</w:t>
      </w:r>
    </w:p>
    <w:p w14:paraId="14A1E5E7" w14:textId="77777777" w:rsidR="00CF0E2D" w:rsidRPr="001D514E" w:rsidRDefault="00CF0E2D" w:rsidP="00CF0E2D">
      <w:pPr>
        <w:pStyle w:val="ListParagraph"/>
        <w:numPr>
          <w:ilvl w:val="0"/>
          <w:numId w:val="17"/>
        </w:numPr>
        <w:ind w:left="360"/>
        <w:rPr>
          <w:sz w:val="24"/>
          <w:szCs w:val="24"/>
        </w:rPr>
      </w:pPr>
      <w:r>
        <w:rPr>
          <w:sz w:val="24"/>
          <w:szCs w:val="24"/>
        </w:rPr>
        <w:t>$2 million to expand</w:t>
      </w:r>
      <w:r w:rsidRPr="001D514E">
        <w:rPr>
          <w:sz w:val="24"/>
          <w:szCs w:val="24"/>
        </w:rPr>
        <w:t xml:space="preserve"> of the Future Jobs Fund to provide grants to the higher education and research sector to create jobs in growth industries; and</w:t>
      </w:r>
    </w:p>
    <w:p w14:paraId="21FD7C54" w14:textId="77777777" w:rsidR="00CF0E2D" w:rsidRPr="001D514E" w:rsidRDefault="00CF0E2D" w:rsidP="00CF0E2D">
      <w:pPr>
        <w:pStyle w:val="ListParagraph"/>
        <w:numPr>
          <w:ilvl w:val="0"/>
          <w:numId w:val="17"/>
        </w:numPr>
        <w:ind w:left="360"/>
        <w:rPr>
          <w:sz w:val="24"/>
          <w:szCs w:val="24"/>
        </w:rPr>
      </w:pPr>
      <w:r w:rsidRPr="001D514E">
        <w:rPr>
          <w:sz w:val="24"/>
          <w:szCs w:val="24"/>
        </w:rPr>
        <w:t xml:space="preserve">extending resourcing for the ongoing oversight and coordination of major infrastructure projects including the University of New South Wales Canberra City Campus and Academy of Interactive Entertainment redevelopment of Canberra Technology Park. </w:t>
      </w:r>
    </w:p>
    <w:p w14:paraId="149758D7" w14:textId="77777777" w:rsidR="00CF0E2D" w:rsidRPr="00281E57" w:rsidRDefault="00CF0E2D" w:rsidP="00A60D4B"/>
    <w:p w14:paraId="0D37FE09" w14:textId="77777777" w:rsidR="00CF0E2D" w:rsidRDefault="00CF0E2D" w:rsidP="00A60D4B">
      <w:pPr>
        <w:keepNext/>
        <w:keepLines/>
        <w:shd w:val="clear" w:color="auto" w:fill="482D8C"/>
        <w:spacing w:before="240" w:after="120"/>
        <w:outlineLvl w:val="0"/>
        <w:rPr>
          <w:rFonts w:ascii="Montserrat" w:eastAsiaTheme="majorEastAsia" w:hAnsi="Montserrat" w:cstheme="majorBidi"/>
          <w:b/>
          <w:bCs/>
          <w:color w:val="FFFFFF" w:themeColor="background1"/>
          <w:sz w:val="28"/>
          <w:szCs w:val="28"/>
          <w:lang w:val="en-US"/>
        </w:rPr>
      </w:pPr>
      <w:bookmarkStart w:id="15" w:name="_Toc84290706"/>
      <w:bookmarkStart w:id="16" w:name="_Toc84290985"/>
      <w:r>
        <w:rPr>
          <w:rFonts w:ascii="Montserrat" w:eastAsiaTheme="majorEastAsia" w:hAnsi="Montserrat" w:cstheme="majorBidi"/>
          <w:b/>
          <w:bCs/>
          <w:color w:val="FFFFFF" w:themeColor="background1"/>
          <w:sz w:val="28"/>
          <w:szCs w:val="28"/>
          <w:lang w:val="en-US"/>
        </w:rPr>
        <w:lastRenderedPageBreak/>
        <w:t>Community, housing and safety</w:t>
      </w:r>
      <w:bookmarkEnd w:id="15"/>
      <w:bookmarkEnd w:id="16"/>
    </w:p>
    <w:bookmarkEnd w:id="7"/>
    <w:p w14:paraId="38194F26" w14:textId="77777777" w:rsidR="00CF0E2D" w:rsidRPr="004800BD" w:rsidRDefault="00CF0E2D" w:rsidP="00A60D4B">
      <w:pPr>
        <w:pStyle w:val="Heading3"/>
        <w:rPr>
          <w:rFonts w:cs="Calibri"/>
          <w:iCs/>
        </w:rPr>
      </w:pPr>
      <w:r w:rsidRPr="004800BD">
        <w:t>What the community told us</w:t>
      </w:r>
    </w:p>
    <w:p w14:paraId="3DFE4144" w14:textId="77777777" w:rsidR="00CF0E2D" w:rsidRDefault="00CF0E2D" w:rsidP="00A60D4B">
      <w:pPr>
        <w:pStyle w:val="Bbodytext"/>
        <w:rPr>
          <w:rFonts w:cstheme="minorHAnsi"/>
          <w:szCs w:val="24"/>
        </w:rPr>
      </w:pPr>
      <w:r>
        <w:rPr>
          <w:rFonts w:cstheme="minorHAnsi"/>
          <w:noProof/>
          <w:szCs w:val="24"/>
        </w:rPr>
        <w:drawing>
          <wp:anchor distT="180340" distB="180340" distL="114300" distR="114300" simplePos="0" relativeHeight="251677696" behindDoc="0" locked="0" layoutInCell="1" allowOverlap="1" wp14:anchorId="44D434B3" wp14:editId="1BF681A9">
            <wp:simplePos x="0" y="0"/>
            <wp:positionH relativeFrom="column">
              <wp:posOffset>0</wp:posOffset>
            </wp:positionH>
            <wp:positionV relativeFrom="paragraph">
              <wp:posOffset>1446154</wp:posOffset>
            </wp:positionV>
            <wp:extent cx="5731200" cy="3819600"/>
            <wp:effectExtent l="0" t="0" r="0" b="3175"/>
            <wp:wrapSquare wrapText="bothSides"/>
            <wp:docPr id="35" name="Yerrabi playground and picnic  0971.jpeg" descr="A picture containing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Yerrabi playground and picnic  0971.jpeg" descr="A picture containing outdoor, ground&#10;&#10;Description automatically generated"/>
                    <pic:cNvPicPr/>
                  </pic:nvPicPr>
                  <pic:blipFill>
                    <a:blip r:embed="rId47" r:link="rId48" cstate="print">
                      <a:extLst>
                        <a:ext uri="{28A0092B-C50C-407E-A947-70E740481C1C}">
                          <a14:useLocalDpi xmlns:a14="http://schemas.microsoft.com/office/drawing/2010/main" val="0"/>
                        </a:ext>
                      </a:extLst>
                    </a:blip>
                    <a:stretch>
                      <a:fillRect/>
                    </a:stretch>
                  </pic:blipFill>
                  <pic:spPr>
                    <a:xfrm>
                      <a:off x="0" y="0"/>
                      <a:ext cx="5731200" cy="3819600"/>
                    </a:xfrm>
                    <a:prstGeom prst="rect">
                      <a:avLst/>
                    </a:prstGeom>
                  </pic:spPr>
                </pic:pic>
              </a:graphicData>
            </a:graphic>
            <wp14:sizeRelH relativeFrom="page">
              <wp14:pctWidth>0</wp14:pctWidth>
            </wp14:sizeRelH>
            <wp14:sizeRelV relativeFrom="page">
              <wp14:pctHeight>0</wp14:pctHeight>
            </wp14:sizeRelV>
          </wp:anchor>
        </w:drawing>
      </w:r>
      <w:r w:rsidRPr="001D514E">
        <w:rPr>
          <w:rFonts w:cstheme="minorHAnsi"/>
          <w:szCs w:val="24"/>
        </w:rPr>
        <w:t xml:space="preserve">During consultations on the 2021-22 Budget, community feedback in relation to disability support, domestic violence prevention and support services for our youth and seniors featured strongly. Housing affordability and social housing were key topics identified by many organisations and individuals. People </w:t>
      </w:r>
      <w:r>
        <w:rPr>
          <w:rFonts w:cstheme="minorHAnsi"/>
          <w:szCs w:val="24"/>
        </w:rPr>
        <w:t xml:space="preserve">also </w:t>
      </w:r>
      <w:r w:rsidRPr="001D514E">
        <w:rPr>
          <w:rFonts w:cstheme="minorHAnsi"/>
          <w:szCs w:val="24"/>
        </w:rPr>
        <w:t>highlighted the links between housing availability and the broader wellbeing of the community, including the flow-on impacts of rental stress and potential homelessness.</w:t>
      </w:r>
    </w:p>
    <w:p w14:paraId="5E1AAD16" w14:textId="77777777" w:rsidR="00CF0E2D" w:rsidRDefault="00CF0E2D" w:rsidP="00A60D4B">
      <w:pPr>
        <w:rPr>
          <w:rFonts w:cstheme="minorHAnsi"/>
          <w:sz w:val="24"/>
          <w:szCs w:val="24"/>
        </w:rPr>
      </w:pPr>
    </w:p>
    <w:p w14:paraId="406F0799" w14:textId="77777777" w:rsidR="00CF0E2D" w:rsidRPr="00FC7565" w:rsidRDefault="00CF0E2D" w:rsidP="00A60D4B">
      <w:pPr>
        <w:pStyle w:val="Heading3"/>
      </w:pPr>
      <w:r>
        <w:t>Key partnerships</w:t>
      </w:r>
    </w:p>
    <w:p w14:paraId="7E8353EB" w14:textId="77777777" w:rsidR="00CF0E2D" w:rsidRPr="00062CD6" w:rsidRDefault="00CF0E2D" w:rsidP="00A60D4B">
      <w:pPr>
        <w:rPr>
          <w:sz w:val="24"/>
          <w:szCs w:val="24"/>
        </w:rPr>
      </w:pPr>
      <w:bookmarkStart w:id="17" w:name="_Hlk83395145"/>
      <w:r w:rsidRPr="00062CD6">
        <w:rPr>
          <w:sz w:val="24"/>
          <w:szCs w:val="24"/>
        </w:rPr>
        <w:t xml:space="preserve">Partnerships are vital in providing frontline services that deliver community support, housing and safe spaces to the most vulnerable in our community. </w:t>
      </w:r>
    </w:p>
    <w:p w14:paraId="0F374853" w14:textId="77777777" w:rsidR="00CF0E2D" w:rsidRPr="00062CD6" w:rsidRDefault="00CF0E2D" w:rsidP="00A60D4B">
      <w:pPr>
        <w:rPr>
          <w:sz w:val="24"/>
          <w:szCs w:val="24"/>
        </w:rPr>
      </w:pPr>
      <w:r w:rsidRPr="00062CD6">
        <w:rPr>
          <w:sz w:val="24"/>
          <w:szCs w:val="24"/>
        </w:rPr>
        <w:t xml:space="preserve">Of particular importance are the partnerships with the Women’s Legal Centre, Domestic Violence Crisis Service and the Canberra Rape Crisis Centre, along with a range of other community service providers that deliver critical frontline support services to people impacted by domestic, family and sexual violence. </w:t>
      </w:r>
    </w:p>
    <w:p w14:paraId="56DE45A2" w14:textId="77777777" w:rsidR="00CF0E2D" w:rsidRPr="00062CD6" w:rsidRDefault="00CF0E2D" w:rsidP="00A60D4B">
      <w:pPr>
        <w:pStyle w:val="Bbodytext"/>
      </w:pPr>
      <w:r w:rsidRPr="00062CD6">
        <w:lastRenderedPageBreak/>
        <w:t xml:space="preserve">The creation of innovative partnerships and collaborations that respond to diverse needs and integrate services across the community sector are crucial to improving outcomes for women and children who have experienced domestic violence in the ACT. Two important examples are the Health Justice Partnership, delivering legal services in health and community settings to new parents experiencing domestic and family violence, and the work currently underway to develop specific actions and community-led domestic and family violence responses in collaboration with the Aboriginal and Torres Strait Islander Reference Group. </w:t>
      </w:r>
    </w:p>
    <w:p w14:paraId="28223B82" w14:textId="77777777" w:rsidR="00CF0E2D" w:rsidRPr="00062CD6" w:rsidRDefault="00CF0E2D" w:rsidP="00A60D4B">
      <w:pPr>
        <w:pStyle w:val="Bbodytext"/>
      </w:pPr>
      <w:r w:rsidRPr="00062CD6">
        <w:t xml:space="preserve">The Government works with the specialist homelessness services sector to provide a range of accommodation including crisis accommodation and support needs for people experiencing or at risk of homelessness. These services include outreach and drop-in services that focus on preventing people from becoming homeless in the first place. Community housing providers also provide both short-term crisis accommodation and longer-term supported accommodation for vulnerable people in the Canberra community. </w:t>
      </w:r>
    </w:p>
    <w:p w14:paraId="4451B408" w14:textId="77777777" w:rsidR="00CF0E2D" w:rsidRPr="00062CD6" w:rsidRDefault="00CF0E2D" w:rsidP="00A60D4B">
      <w:pPr>
        <w:pStyle w:val="Bbodytext"/>
      </w:pPr>
      <w:r w:rsidRPr="00062CD6">
        <w:t>The Justice Housing Program is a partnership with a community housing provider to expand availability of affordable housing and meet the diverse transitional needs of people on bail and exiting custody in the ACT. The program targets eligible detainees at the Alexander Maconochie Centre (AMC) to provide access to community-based supported accommodation options</w:t>
      </w:r>
      <w:r>
        <w:t>,</w:t>
      </w:r>
      <w:r w:rsidRPr="00062CD6">
        <w:t xml:space="preserve"> including transitional housing and post-sentence managed accommodation programs. </w:t>
      </w:r>
    </w:p>
    <w:p w14:paraId="0D746D87" w14:textId="77777777" w:rsidR="00CF0E2D" w:rsidRPr="00062CD6" w:rsidRDefault="00CF0E2D" w:rsidP="00A60D4B">
      <w:pPr>
        <w:pStyle w:val="Bbodytext"/>
        <w:rPr>
          <w:szCs w:val="24"/>
        </w:rPr>
      </w:pPr>
      <w:r w:rsidRPr="00062CD6">
        <w:rPr>
          <w:szCs w:val="24"/>
        </w:rPr>
        <w:t>The Government also works with a range of organisations that provide legal and educational services for various community groups</w:t>
      </w:r>
      <w:r>
        <w:rPr>
          <w:szCs w:val="24"/>
        </w:rPr>
        <w:t>,</w:t>
      </w:r>
      <w:r w:rsidRPr="00062CD6">
        <w:rPr>
          <w:szCs w:val="24"/>
        </w:rPr>
        <w:t xml:space="preserve"> including outreach services for culturally and linguistically diverse communities and supported representation for clients with complex cases. Legal sector partnerships with Aboriginal Community Controlled Organisations and Aboriginal and Torres Strait Islander service providers are working to reduce the overrepresentation of indigenous people within the ACT criminal justice system. In 2021-22, the Government will work with the legal assistance sector (Aboriginal and Torres Strait Islander Legal Services, Community Legal Centres and the Legal Aid Commission) to develop the ACT’s Legal Assistance Strategy and Legal Assistance Action Plan under the National Legal Assistance Partnership and better understand the legal needs of all Canberrans.  </w:t>
      </w:r>
    </w:p>
    <w:p w14:paraId="469A869F" w14:textId="77777777" w:rsidR="00CF0E2D" w:rsidRPr="00062CD6" w:rsidRDefault="00CF0E2D" w:rsidP="00A60D4B">
      <w:pPr>
        <w:pStyle w:val="Bbodytext"/>
        <w:rPr>
          <w:szCs w:val="24"/>
        </w:rPr>
      </w:pPr>
      <w:r>
        <w:rPr>
          <w:noProof/>
          <w:szCs w:val="24"/>
        </w:rPr>
        <w:drawing>
          <wp:anchor distT="0" distB="0" distL="114300" distR="114300" simplePos="0" relativeHeight="251679744" behindDoc="0" locked="0" layoutInCell="1" allowOverlap="1" wp14:anchorId="5AD8E092" wp14:editId="4D2C3960">
            <wp:simplePos x="0" y="0"/>
            <wp:positionH relativeFrom="margin">
              <wp:align>left</wp:align>
            </wp:positionH>
            <wp:positionV relativeFrom="paragraph">
              <wp:posOffset>180784</wp:posOffset>
            </wp:positionV>
            <wp:extent cx="1727200" cy="1447800"/>
            <wp:effectExtent l="0" t="0" r="0" b="0"/>
            <wp:wrapSquare wrapText="bothSides"/>
            <wp:docPr id="39" name="Community Housing.png"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ommunity Housing.png" descr="Text&#10;&#10;Description automatically generated"/>
                    <pic:cNvPicPr/>
                  </pic:nvPicPr>
                  <pic:blipFill>
                    <a:blip r:embed="rId49" r:link="rId50" cstate="print">
                      <a:extLst>
                        <a:ext uri="{28A0092B-C50C-407E-A947-70E740481C1C}">
                          <a14:useLocalDpi xmlns:a14="http://schemas.microsoft.com/office/drawing/2010/main" val="0"/>
                        </a:ext>
                      </a:extLst>
                    </a:blip>
                    <a:stretch>
                      <a:fillRect/>
                    </a:stretch>
                  </pic:blipFill>
                  <pic:spPr>
                    <a:xfrm>
                      <a:off x="0" y="0"/>
                      <a:ext cx="1727200" cy="1447800"/>
                    </a:xfrm>
                    <a:prstGeom prst="rect">
                      <a:avLst/>
                    </a:prstGeom>
                  </pic:spPr>
                </pic:pic>
              </a:graphicData>
            </a:graphic>
            <wp14:sizeRelH relativeFrom="page">
              <wp14:pctWidth>0</wp14:pctWidth>
            </wp14:sizeRelH>
            <wp14:sizeRelV relativeFrom="page">
              <wp14:pctHeight>0</wp14:pctHeight>
            </wp14:sizeRelV>
          </wp:anchor>
        </w:drawing>
      </w:r>
      <w:r w:rsidRPr="00062CD6">
        <w:rPr>
          <w:szCs w:val="24"/>
        </w:rPr>
        <w:t xml:space="preserve">A consortium of NGOs with specialised services and experience makes up </w:t>
      </w:r>
      <w:r w:rsidRPr="00062CD6">
        <w:rPr>
          <w:i/>
          <w:iCs/>
          <w:szCs w:val="24"/>
        </w:rPr>
        <w:t>ACT Together</w:t>
      </w:r>
      <w:r w:rsidRPr="00062CD6">
        <w:rPr>
          <w:szCs w:val="24"/>
        </w:rPr>
        <w:t xml:space="preserve">, which provides services across the out of home care continuum to ensure good practice and outcomes for children and young people who cannot live at home. Services range from residential, foster and kinship care to community adolescent programs and functional family therapy. </w:t>
      </w:r>
    </w:p>
    <w:p w14:paraId="312B4C8B" w14:textId="77777777" w:rsidR="00CF0E2D" w:rsidRPr="00A32278" w:rsidRDefault="00CF0E2D" w:rsidP="00A60D4B">
      <w:pPr>
        <w:pStyle w:val="Bbodytext"/>
        <w:rPr>
          <w:szCs w:val="24"/>
        </w:rPr>
      </w:pPr>
      <w:r w:rsidRPr="00DE4C5A">
        <w:t>The</w:t>
      </w:r>
      <w:r w:rsidRPr="00062CD6">
        <w:rPr>
          <w:szCs w:val="24"/>
        </w:rPr>
        <w:t xml:space="preserve"> ACT Government aims to involve young people in decision-making processes on issues that affect and interest them and actively engages with partners such as the Youth Coalition of the ACT to ensure that the youth sector is equipped to meet the needs of young people, families and the community. Youth sector NGOs provide a range of services for children, youth and families from intensive family support programs for diverse cultural groups to services and supports for </w:t>
      </w:r>
      <w:r w:rsidRPr="00A32278">
        <w:rPr>
          <w:szCs w:val="24"/>
        </w:rPr>
        <w:t xml:space="preserve">young people. </w:t>
      </w:r>
    </w:p>
    <w:p w14:paraId="65242E9C" w14:textId="77777777" w:rsidR="00CF0E2D" w:rsidRPr="00062CD6" w:rsidRDefault="00CF0E2D" w:rsidP="00A60D4B">
      <w:pPr>
        <w:pStyle w:val="Bbodytext"/>
        <w:rPr>
          <w:szCs w:val="24"/>
        </w:rPr>
      </w:pPr>
      <w:r>
        <w:rPr>
          <w:noProof/>
        </w:rPr>
        <w:lastRenderedPageBreak/>
        <w:drawing>
          <wp:anchor distT="0" distB="0" distL="114300" distR="114300" simplePos="0" relativeHeight="251681792" behindDoc="0" locked="0" layoutInCell="1" allowOverlap="1" wp14:anchorId="34A1E6C7" wp14:editId="421F1E09">
            <wp:simplePos x="0" y="0"/>
            <wp:positionH relativeFrom="column">
              <wp:posOffset>0</wp:posOffset>
            </wp:positionH>
            <wp:positionV relativeFrom="paragraph">
              <wp:posOffset>481901</wp:posOffset>
            </wp:positionV>
            <wp:extent cx="1473200" cy="1498600"/>
            <wp:effectExtent l="0" t="0" r="0" b="0"/>
            <wp:wrapSquare wrapText="bothSides"/>
            <wp:docPr id="43" name="More 100m social housing.png"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More 100m social housing.png" descr="Text&#10;&#10;Description automatically generated with low confidence"/>
                    <pic:cNvPicPr/>
                  </pic:nvPicPr>
                  <pic:blipFill>
                    <a:blip r:embed="rId51" r:link="rId52" cstate="print">
                      <a:extLst>
                        <a:ext uri="{28A0092B-C50C-407E-A947-70E740481C1C}">
                          <a14:useLocalDpi xmlns:a14="http://schemas.microsoft.com/office/drawing/2010/main" val="0"/>
                        </a:ext>
                      </a:extLst>
                    </a:blip>
                    <a:stretch>
                      <a:fillRect/>
                    </a:stretch>
                  </pic:blipFill>
                  <pic:spPr>
                    <a:xfrm>
                      <a:off x="0" y="0"/>
                      <a:ext cx="1473200" cy="1498600"/>
                    </a:xfrm>
                    <a:prstGeom prst="rect">
                      <a:avLst/>
                    </a:prstGeom>
                  </pic:spPr>
                </pic:pic>
              </a:graphicData>
            </a:graphic>
            <wp14:sizeRelH relativeFrom="page">
              <wp14:pctWidth>0</wp14:pctWidth>
            </wp14:sizeRelH>
            <wp14:sizeRelV relativeFrom="page">
              <wp14:pctHeight>0</wp14:pctHeight>
            </wp14:sizeRelV>
          </wp:anchor>
        </w:drawing>
      </w:r>
      <w:r w:rsidRPr="00A32278">
        <w:rPr>
          <w:szCs w:val="24"/>
        </w:rPr>
        <w:t>This Budget will add over $60 million in funding for community sector partnerships, resulting in a total investment of over $680 million</w:t>
      </w:r>
      <w:r w:rsidRPr="00062CD6">
        <w:rPr>
          <w:szCs w:val="24"/>
        </w:rPr>
        <w:t xml:space="preserve"> over the next four years.</w:t>
      </w:r>
    </w:p>
    <w:p w14:paraId="381D06C4" w14:textId="77777777" w:rsidR="00CF0E2D" w:rsidRDefault="00CF0E2D" w:rsidP="00A60D4B">
      <w:pPr>
        <w:pStyle w:val="Heading3"/>
      </w:pPr>
      <w:r w:rsidRPr="002A568E">
        <w:t>Housing</w:t>
      </w:r>
    </w:p>
    <w:p w14:paraId="4C995CDA" w14:textId="77777777" w:rsidR="00CF0E2D" w:rsidRPr="00E074A0" w:rsidRDefault="00CF0E2D" w:rsidP="00A60D4B">
      <w:pPr>
        <w:pStyle w:val="Bbodytext"/>
        <w:rPr>
          <w:rFonts w:cstheme="minorHAnsi"/>
          <w:szCs w:val="24"/>
        </w:rPr>
      </w:pPr>
      <w:r w:rsidRPr="00E074A0">
        <w:rPr>
          <w:rFonts w:cstheme="minorHAnsi"/>
          <w:szCs w:val="24"/>
        </w:rPr>
        <w:t>Secure housing that meets people’s needs is fundamental to their wellbeing, and the wellbeing of our entire community.</w:t>
      </w:r>
    </w:p>
    <w:p w14:paraId="328BF442" w14:textId="77777777" w:rsidR="00CF0E2D" w:rsidRPr="00E074A0" w:rsidRDefault="00CF0E2D" w:rsidP="00A60D4B">
      <w:pPr>
        <w:pStyle w:val="Bbodytext"/>
        <w:rPr>
          <w:szCs w:val="24"/>
        </w:rPr>
      </w:pPr>
      <w:r w:rsidRPr="00E074A0">
        <w:rPr>
          <w:szCs w:val="24"/>
        </w:rPr>
        <w:t xml:space="preserve">We know safe and secure housing and connection with others are </w:t>
      </w:r>
      <w:r>
        <w:rPr>
          <w:szCs w:val="24"/>
        </w:rPr>
        <w:t>critical</w:t>
      </w:r>
      <w:r w:rsidRPr="00E074A0">
        <w:rPr>
          <w:szCs w:val="24"/>
        </w:rPr>
        <w:t xml:space="preserve"> to our personal wellbeing. Home purchase affordability has declined, with an increasing proportion of family income going to mortgage payments. However, the ACT has been building more affordable homes than the national average and, compared with other states and territories, there are relatively fewer people in the ACT experiencing the disadvantages of overcrowding and homelessness</w:t>
      </w:r>
      <w:r>
        <w:rPr>
          <w:szCs w:val="24"/>
        </w:rPr>
        <w:t>. The ACT is also one of the best performing states or territories for housing affordability, when affordability is measured as the proportion of median family income needed for average repayments of new home loans.</w:t>
      </w:r>
    </w:p>
    <w:p w14:paraId="3E265261" w14:textId="77777777" w:rsidR="00CF0E2D" w:rsidRDefault="00CF0E2D" w:rsidP="00A60D4B">
      <w:pPr>
        <w:pStyle w:val="Bbodytext"/>
        <w:rPr>
          <w:rFonts w:cstheme="minorHAnsi"/>
          <w:szCs w:val="24"/>
        </w:rPr>
      </w:pPr>
      <w:r>
        <w:rPr>
          <w:rFonts w:cstheme="minorHAnsi"/>
          <w:noProof/>
          <w:szCs w:val="24"/>
        </w:rPr>
        <w:drawing>
          <wp:anchor distT="180340" distB="180340" distL="114300" distR="114300" simplePos="0" relativeHeight="251678720" behindDoc="0" locked="0" layoutInCell="1" allowOverlap="1" wp14:anchorId="3ED00C85" wp14:editId="4E7D2E92">
            <wp:simplePos x="0" y="0"/>
            <wp:positionH relativeFrom="column">
              <wp:posOffset>724</wp:posOffset>
            </wp:positionH>
            <wp:positionV relativeFrom="paragraph">
              <wp:posOffset>999451</wp:posOffset>
            </wp:positionV>
            <wp:extent cx="5731200" cy="2268000"/>
            <wp:effectExtent l="0" t="0" r="0" b="5715"/>
            <wp:wrapSquare wrapText="bothSides"/>
            <wp:docPr id="38" name="Common1.JPG" descr="A large building with many window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ommon1.JPG" descr="A large building with many windows&#10;&#10;Description automatically generated with low confidence"/>
                    <pic:cNvPicPr/>
                  </pic:nvPicPr>
                  <pic:blipFill>
                    <a:blip r:embed="rId53" r:link="rId54">
                      <a:extLst>
                        <a:ext uri="{28A0092B-C50C-407E-A947-70E740481C1C}">
                          <a14:useLocalDpi xmlns:a14="http://schemas.microsoft.com/office/drawing/2010/main" val="0"/>
                        </a:ext>
                      </a:extLst>
                    </a:blip>
                    <a:stretch>
                      <a:fillRect/>
                    </a:stretch>
                  </pic:blipFill>
                  <pic:spPr>
                    <a:xfrm>
                      <a:off x="0" y="0"/>
                      <a:ext cx="5731200" cy="2268000"/>
                    </a:xfrm>
                    <a:prstGeom prst="rect">
                      <a:avLst/>
                    </a:prstGeom>
                  </pic:spPr>
                </pic:pic>
              </a:graphicData>
            </a:graphic>
            <wp14:sizeRelH relativeFrom="page">
              <wp14:pctWidth>0</wp14:pctWidth>
            </wp14:sizeRelH>
            <wp14:sizeRelV relativeFrom="page">
              <wp14:pctHeight>0</wp14:pctHeight>
            </wp14:sizeRelV>
          </wp:anchor>
        </w:drawing>
      </w:r>
      <w:r>
        <w:rPr>
          <w:rFonts w:cstheme="minorHAnsi"/>
          <w:szCs w:val="24"/>
        </w:rPr>
        <w:t xml:space="preserve">This does not mean that investments from Government are not required and we are </w:t>
      </w:r>
      <w:r w:rsidRPr="00E074A0">
        <w:rPr>
          <w:rFonts w:cstheme="minorHAnsi"/>
          <w:szCs w:val="24"/>
        </w:rPr>
        <w:t xml:space="preserve">committed to addressing the needs of people experiencing homelessness and to continue investment in housing, through the </w:t>
      </w:r>
      <w:r w:rsidRPr="00E074A0">
        <w:rPr>
          <w:rFonts w:cstheme="minorHAnsi"/>
          <w:i/>
          <w:iCs/>
          <w:szCs w:val="24"/>
        </w:rPr>
        <w:t>ACT Housing Strategy</w:t>
      </w:r>
      <w:r w:rsidRPr="00E074A0">
        <w:rPr>
          <w:rFonts w:cstheme="minorHAnsi"/>
          <w:szCs w:val="24"/>
        </w:rPr>
        <w:t xml:space="preserve"> initiatives and commitments in the </w:t>
      </w:r>
      <w:r w:rsidRPr="00E074A0">
        <w:rPr>
          <w:rFonts w:cstheme="minorHAnsi"/>
          <w:i/>
          <w:iCs/>
          <w:szCs w:val="24"/>
        </w:rPr>
        <w:t>Parliamentary and Governing Agreement for the 10th Legislative Assembly</w:t>
      </w:r>
      <w:r w:rsidRPr="00E074A0">
        <w:rPr>
          <w:rFonts w:cstheme="minorHAnsi"/>
          <w:szCs w:val="24"/>
        </w:rPr>
        <w:t xml:space="preserve">. </w:t>
      </w:r>
    </w:p>
    <w:p w14:paraId="5F333B3D" w14:textId="77777777" w:rsidR="00CF0E2D" w:rsidRPr="00E074A0" w:rsidRDefault="00CF0E2D" w:rsidP="00A60D4B">
      <w:pPr>
        <w:rPr>
          <w:rFonts w:cstheme="minorHAnsi"/>
          <w:sz w:val="24"/>
          <w:szCs w:val="24"/>
        </w:rPr>
      </w:pPr>
    </w:p>
    <w:p w14:paraId="4B74717F" w14:textId="77777777" w:rsidR="00CF0E2D" w:rsidRDefault="00CF0E2D" w:rsidP="00A60D4B">
      <w:pPr>
        <w:pStyle w:val="Heading4"/>
      </w:pPr>
      <w:r>
        <w:t xml:space="preserve">2021-22 Budget </w:t>
      </w:r>
    </w:p>
    <w:p w14:paraId="4D32E2E9" w14:textId="77777777" w:rsidR="00CF0E2D" w:rsidRDefault="00CF0E2D" w:rsidP="00A60D4B">
      <w:pPr>
        <w:pStyle w:val="Bbodytext"/>
        <w:rPr>
          <w:rFonts w:cstheme="minorHAnsi"/>
          <w:szCs w:val="24"/>
        </w:rPr>
      </w:pPr>
      <w:r w:rsidRPr="00E074A0">
        <w:rPr>
          <w:rFonts w:cstheme="minorHAnsi"/>
          <w:szCs w:val="24"/>
        </w:rPr>
        <w:t xml:space="preserve">The 2021-22 Budget responds to the feedback from the community by prioritising investments across the housing spectrum, consistent with the </w:t>
      </w:r>
      <w:r w:rsidRPr="00CF26C4">
        <w:rPr>
          <w:rFonts w:cstheme="minorHAnsi"/>
          <w:i/>
          <w:iCs/>
          <w:szCs w:val="24"/>
        </w:rPr>
        <w:t>ACT Housing Strategy</w:t>
      </w:r>
      <w:r w:rsidRPr="00E074A0">
        <w:rPr>
          <w:rFonts w:cstheme="minorHAnsi"/>
          <w:szCs w:val="24"/>
        </w:rPr>
        <w:t xml:space="preserve">. This includes activities to increase the supply and suitability of dwellings and dwelling choice across the private, affordable housing and social housing sectors. </w:t>
      </w:r>
    </w:p>
    <w:p w14:paraId="3437F351" w14:textId="77777777" w:rsidR="00CF0E2D" w:rsidRPr="00A62771" w:rsidRDefault="00CF0E2D" w:rsidP="00A60D4B">
      <w:pPr>
        <w:pStyle w:val="Bbodytext"/>
        <w:rPr>
          <w:szCs w:val="24"/>
        </w:rPr>
      </w:pPr>
      <w:r w:rsidRPr="00E074A0">
        <w:rPr>
          <w:rFonts w:cstheme="minorHAnsi"/>
          <w:szCs w:val="24"/>
        </w:rPr>
        <w:t xml:space="preserve">The ACT is a leading jurisdiction in relation to investment in social housing, including the investment of more than $1 billion in building new public housing across Canberra over the ten years to 2025. </w:t>
      </w:r>
      <w:r>
        <w:rPr>
          <w:rFonts w:cstheme="minorHAnsi"/>
          <w:szCs w:val="24"/>
        </w:rPr>
        <w:t xml:space="preserve">Since the start of the current Growth and Renewal Program in 2019-20, the following has been </w:t>
      </w:r>
      <w:r w:rsidRPr="00A62771">
        <w:rPr>
          <w:szCs w:val="24"/>
        </w:rPr>
        <w:t xml:space="preserve">delivered: </w:t>
      </w:r>
    </w:p>
    <w:p w14:paraId="617E28C4" w14:textId="77777777" w:rsidR="00CF0E2D" w:rsidRPr="00A62771" w:rsidRDefault="00CF0E2D" w:rsidP="00CF0E2D">
      <w:pPr>
        <w:pStyle w:val="ListParagraph"/>
        <w:numPr>
          <w:ilvl w:val="0"/>
          <w:numId w:val="30"/>
        </w:numPr>
        <w:ind w:left="426" w:hanging="426"/>
        <w:rPr>
          <w:sz w:val="24"/>
          <w:szCs w:val="24"/>
        </w:rPr>
      </w:pPr>
      <w:r w:rsidRPr="00A62771">
        <w:rPr>
          <w:sz w:val="24"/>
          <w:szCs w:val="24"/>
        </w:rPr>
        <w:lastRenderedPageBreak/>
        <w:t>construction of 126</w:t>
      </w:r>
      <w:r>
        <w:rPr>
          <w:sz w:val="24"/>
          <w:szCs w:val="24"/>
        </w:rPr>
        <w:t xml:space="preserve"> new</w:t>
      </w:r>
      <w:r w:rsidRPr="00A62771">
        <w:rPr>
          <w:sz w:val="24"/>
          <w:szCs w:val="24"/>
        </w:rPr>
        <w:t xml:space="preserve"> dwellings;</w:t>
      </w:r>
    </w:p>
    <w:p w14:paraId="3FEEC5D6" w14:textId="77777777" w:rsidR="00CF0E2D" w:rsidRPr="00A62771" w:rsidRDefault="00CF0E2D" w:rsidP="00CF0E2D">
      <w:pPr>
        <w:pStyle w:val="ListParagraph"/>
        <w:numPr>
          <w:ilvl w:val="0"/>
          <w:numId w:val="30"/>
        </w:numPr>
        <w:ind w:left="426" w:hanging="426"/>
        <w:rPr>
          <w:sz w:val="24"/>
          <w:szCs w:val="24"/>
        </w:rPr>
      </w:pPr>
      <w:r w:rsidRPr="00A62771">
        <w:rPr>
          <w:sz w:val="24"/>
          <w:szCs w:val="24"/>
        </w:rPr>
        <w:t>acquisition of 71 dwellings;</w:t>
      </w:r>
    </w:p>
    <w:p w14:paraId="46288C64" w14:textId="77777777" w:rsidR="00CF0E2D" w:rsidRPr="00A62771" w:rsidRDefault="00CF0E2D" w:rsidP="00CF0E2D">
      <w:pPr>
        <w:pStyle w:val="ListParagraph"/>
        <w:numPr>
          <w:ilvl w:val="0"/>
          <w:numId w:val="30"/>
        </w:numPr>
        <w:ind w:left="426" w:hanging="426"/>
        <w:rPr>
          <w:sz w:val="24"/>
          <w:szCs w:val="24"/>
        </w:rPr>
      </w:pPr>
      <w:r w:rsidRPr="00A62771">
        <w:rPr>
          <w:sz w:val="24"/>
          <w:szCs w:val="24"/>
        </w:rPr>
        <w:t xml:space="preserve">purchase of 89 land sites; and </w:t>
      </w:r>
    </w:p>
    <w:p w14:paraId="1C9EB684" w14:textId="77777777" w:rsidR="00CF0E2D" w:rsidRPr="00A62771" w:rsidRDefault="00CF0E2D" w:rsidP="00CF0E2D">
      <w:pPr>
        <w:pStyle w:val="ListParagraph"/>
        <w:numPr>
          <w:ilvl w:val="0"/>
          <w:numId w:val="30"/>
        </w:numPr>
        <w:ind w:left="426" w:hanging="426"/>
        <w:rPr>
          <w:sz w:val="24"/>
          <w:szCs w:val="24"/>
        </w:rPr>
      </w:pPr>
      <w:r w:rsidRPr="00A62771">
        <w:rPr>
          <w:sz w:val="24"/>
          <w:szCs w:val="24"/>
        </w:rPr>
        <w:t xml:space="preserve">sale of 190 end-of-use public housing properties. </w:t>
      </w:r>
    </w:p>
    <w:p w14:paraId="0FCCA5CC" w14:textId="69BE60A1" w:rsidR="00CF0E2D" w:rsidRDefault="00CF0E2D" w:rsidP="00A60D4B">
      <w:pPr>
        <w:pStyle w:val="Bbodytext"/>
        <w:rPr>
          <w:szCs w:val="24"/>
        </w:rPr>
      </w:pPr>
      <w:r w:rsidRPr="00A62771">
        <w:rPr>
          <w:szCs w:val="24"/>
        </w:rPr>
        <w:t>In 2021-22, Housing ACT anticipates a work-in-progress schedule totalling over 800</w:t>
      </w:r>
      <w:r w:rsidR="00387F31">
        <w:rPr>
          <w:szCs w:val="24"/>
        </w:rPr>
        <w:t> </w:t>
      </w:r>
      <w:r w:rsidRPr="00A62771">
        <w:rPr>
          <w:szCs w:val="24"/>
        </w:rPr>
        <w:t>dwellings.</w:t>
      </w:r>
      <w:r w:rsidR="00387F31">
        <w:rPr>
          <w:szCs w:val="24"/>
        </w:rPr>
        <w:t xml:space="preserve"> </w:t>
      </w:r>
    </w:p>
    <w:p w14:paraId="39012D4B" w14:textId="77777777" w:rsidR="00CF0E2D" w:rsidRPr="00A62771" w:rsidRDefault="00CF0E2D" w:rsidP="00A60D4B">
      <w:pPr>
        <w:pStyle w:val="Bbodytext"/>
        <w:rPr>
          <w:szCs w:val="24"/>
        </w:rPr>
      </w:pPr>
      <w:r w:rsidRPr="00A62771">
        <w:rPr>
          <w:szCs w:val="24"/>
        </w:rPr>
        <w:t xml:space="preserve">Construction of Common Ground Dickson </w:t>
      </w:r>
      <w:r>
        <w:rPr>
          <w:szCs w:val="24"/>
        </w:rPr>
        <w:t xml:space="preserve">will also continue </w:t>
      </w:r>
      <w:r w:rsidRPr="00A62771">
        <w:rPr>
          <w:szCs w:val="24"/>
        </w:rPr>
        <w:t>and</w:t>
      </w:r>
      <w:r>
        <w:rPr>
          <w:szCs w:val="24"/>
        </w:rPr>
        <w:t xml:space="preserve"> the project</w:t>
      </w:r>
      <w:r w:rsidRPr="00A62771">
        <w:rPr>
          <w:szCs w:val="24"/>
        </w:rPr>
        <w:t xml:space="preserve"> is on track for substantial completion by late 2021</w:t>
      </w:r>
      <w:r>
        <w:rPr>
          <w:szCs w:val="24"/>
        </w:rPr>
        <w:t>.</w:t>
      </w:r>
    </w:p>
    <w:p w14:paraId="7D337A32" w14:textId="291D0D42" w:rsidR="00CF0E2D" w:rsidRPr="00E074A0" w:rsidRDefault="00CF0E2D" w:rsidP="00A60D4B">
      <w:pPr>
        <w:pStyle w:val="Bbodytext"/>
        <w:rPr>
          <w:rFonts w:cstheme="minorHAnsi"/>
          <w:szCs w:val="24"/>
        </w:rPr>
      </w:pPr>
      <w:r>
        <w:rPr>
          <w:rFonts w:cstheme="minorHAnsi"/>
          <w:szCs w:val="24"/>
        </w:rPr>
        <w:t>In the 2021-22 Budget, the Government has made the single largest additional investment in public housing since self-government by committing an extra $100 million, including $80 million over the next three years for maintenance across some of the existing 12,000</w:t>
      </w:r>
      <w:r w:rsidR="00387F31">
        <w:rPr>
          <w:rFonts w:cstheme="minorHAnsi"/>
          <w:szCs w:val="24"/>
        </w:rPr>
        <w:t> </w:t>
      </w:r>
      <w:r>
        <w:rPr>
          <w:rFonts w:cstheme="minorHAnsi"/>
          <w:szCs w:val="24"/>
        </w:rPr>
        <w:t>public housing properties.</w:t>
      </w:r>
    </w:p>
    <w:p w14:paraId="3AE3DC35" w14:textId="77777777" w:rsidR="00CF0E2D" w:rsidRPr="00E074A0" w:rsidRDefault="00CF0E2D" w:rsidP="00A60D4B">
      <w:pPr>
        <w:pStyle w:val="Bbodytext"/>
        <w:rPr>
          <w:rFonts w:cstheme="minorHAnsi"/>
          <w:szCs w:val="24"/>
        </w:rPr>
      </w:pPr>
      <w:r w:rsidRPr="00E074A0">
        <w:rPr>
          <w:rFonts w:cstheme="minorHAnsi"/>
          <w:szCs w:val="24"/>
        </w:rPr>
        <w:t xml:space="preserve">The Government is focused on ensuring sufficient supply of residential dwelling sites now and into the future, with the aim of establishing an inventory of sites to respond to future </w:t>
      </w:r>
      <w:r>
        <w:rPr>
          <w:rFonts w:cstheme="minorHAnsi"/>
          <w:szCs w:val="24"/>
        </w:rPr>
        <w:t>needs</w:t>
      </w:r>
      <w:r w:rsidRPr="00E074A0">
        <w:rPr>
          <w:rFonts w:cstheme="minorHAnsi"/>
          <w:szCs w:val="24"/>
        </w:rPr>
        <w:t>. The 2021-22 Budget provides $14.6 million over four years for planning and site investigations for land supply to support achievement of this goal.</w:t>
      </w:r>
    </w:p>
    <w:p w14:paraId="5283A376" w14:textId="77777777" w:rsidR="00CF0E2D" w:rsidRDefault="00CF0E2D" w:rsidP="00A60D4B">
      <w:pPr>
        <w:pStyle w:val="Bbodytext"/>
        <w:rPr>
          <w:rFonts w:cstheme="minorHAnsi"/>
          <w:szCs w:val="24"/>
        </w:rPr>
      </w:pPr>
      <w:r w:rsidRPr="00E074A0">
        <w:rPr>
          <w:rFonts w:cstheme="minorHAnsi"/>
          <w:szCs w:val="24"/>
        </w:rPr>
        <w:t xml:space="preserve">Increasing the supply and diversity of affordable housing </w:t>
      </w:r>
      <w:r>
        <w:rPr>
          <w:rFonts w:cstheme="minorHAnsi"/>
          <w:szCs w:val="24"/>
        </w:rPr>
        <w:t>is a</w:t>
      </w:r>
      <w:r w:rsidRPr="00E074A0">
        <w:rPr>
          <w:rFonts w:cstheme="minorHAnsi"/>
          <w:szCs w:val="24"/>
        </w:rPr>
        <w:t xml:space="preserve"> key priorit</w:t>
      </w:r>
      <w:r>
        <w:rPr>
          <w:rFonts w:cstheme="minorHAnsi"/>
          <w:szCs w:val="24"/>
        </w:rPr>
        <w:t>y</w:t>
      </w:r>
      <w:r w:rsidRPr="00E074A0">
        <w:rPr>
          <w:rFonts w:cstheme="minorHAnsi"/>
          <w:szCs w:val="24"/>
        </w:rPr>
        <w:t xml:space="preserve"> of the Government. This Budget progresses work in this area through the provision of funding to commence the Gungahlin Common Ground ‘</w:t>
      </w:r>
      <w:r w:rsidRPr="00E074A0" w:rsidDel="00DE1984">
        <w:rPr>
          <w:rFonts w:cstheme="minorHAnsi"/>
          <w:szCs w:val="24"/>
        </w:rPr>
        <w:t>Build</w:t>
      </w:r>
      <w:r w:rsidRPr="00E074A0">
        <w:rPr>
          <w:rFonts w:cstheme="minorHAnsi"/>
          <w:szCs w:val="24"/>
        </w:rPr>
        <w:t xml:space="preserve">-to-Rent’ project and a pilot for build-to-rent projects with affordable rental. </w:t>
      </w:r>
    </w:p>
    <w:p w14:paraId="1F22C747" w14:textId="77777777" w:rsidR="00CF0E2D" w:rsidRPr="00E074A0" w:rsidRDefault="00CF0E2D" w:rsidP="00A60D4B">
      <w:pPr>
        <w:pStyle w:val="Bbodytext"/>
        <w:rPr>
          <w:rFonts w:cstheme="minorHAnsi"/>
          <w:szCs w:val="24"/>
        </w:rPr>
      </w:pPr>
      <w:r w:rsidRPr="00E074A0">
        <w:rPr>
          <w:rFonts w:cstheme="minorHAnsi"/>
          <w:szCs w:val="24"/>
        </w:rPr>
        <w:t xml:space="preserve">These initiatives will enable the Government to work with community housing providers and the private sector to identify the nature and level of Government support necessary to deliver a financially viable </w:t>
      </w:r>
      <w:r>
        <w:rPr>
          <w:rFonts w:cstheme="minorHAnsi"/>
          <w:szCs w:val="24"/>
        </w:rPr>
        <w:t>b</w:t>
      </w:r>
      <w:r w:rsidRPr="00E074A0">
        <w:rPr>
          <w:rFonts w:cstheme="minorHAnsi"/>
          <w:szCs w:val="24"/>
        </w:rPr>
        <w:t>uild-to-</w:t>
      </w:r>
      <w:r>
        <w:rPr>
          <w:rFonts w:cstheme="minorHAnsi"/>
          <w:szCs w:val="24"/>
        </w:rPr>
        <w:t>r</w:t>
      </w:r>
      <w:r w:rsidRPr="00E074A0">
        <w:rPr>
          <w:rFonts w:cstheme="minorHAnsi"/>
          <w:szCs w:val="24"/>
        </w:rPr>
        <w:t>ent development that grows the affordable rental market.</w:t>
      </w:r>
    </w:p>
    <w:p w14:paraId="1443A75E" w14:textId="77777777" w:rsidR="00CF0E2D" w:rsidRDefault="00CF0E2D" w:rsidP="00A60D4B">
      <w:pPr>
        <w:pStyle w:val="Bbodytext"/>
        <w:rPr>
          <w:rFonts w:ascii="Calibri" w:eastAsia="Times New Roman" w:hAnsi="Calibri" w:cstheme="majorBidi"/>
          <w:b/>
          <w:color w:val="999789"/>
          <w:sz w:val="32"/>
          <w:szCs w:val="24"/>
          <w:lang w:eastAsia="en-AU"/>
        </w:rPr>
      </w:pPr>
      <w:r w:rsidRPr="00E074A0">
        <w:rPr>
          <w:rFonts w:cstheme="minorHAnsi"/>
          <w:szCs w:val="24"/>
        </w:rPr>
        <w:t xml:space="preserve">The 2021-22 Budget also includes the restructuring of </w:t>
      </w:r>
      <w:r>
        <w:rPr>
          <w:rFonts w:cstheme="minorHAnsi"/>
          <w:szCs w:val="24"/>
        </w:rPr>
        <w:t xml:space="preserve">Government </w:t>
      </w:r>
      <w:r w:rsidRPr="00E074A0">
        <w:rPr>
          <w:rFonts w:cstheme="minorHAnsi"/>
          <w:szCs w:val="24"/>
        </w:rPr>
        <w:t xml:space="preserve">support for Community Housing Canberra Ltd (CHC) to ensure the continued provision of social housing properties for the Canberra community. </w:t>
      </w:r>
      <w:r>
        <w:rPr>
          <w:rFonts w:eastAsia="Times New Roman"/>
          <w:lang w:eastAsia="en-AU"/>
        </w:rPr>
        <w:br w:type="page"/>
      </w:r>
    </w:p>
    <w:p w14:paraId="027879F3" w14:textId="77777777" w:rsidR="00CF0E2D" w:rsidRDefault="00CF0E2D" w:rsidP="00A60D4B">
      <w:pPr>
        <w:pStyle w:val="Heading3"/>
        <w:rPr>
          <w:rFonts w:eastAsia="Times New Roman"/>
          <w:lang w:eastAsia="en-AU"/>
        </w:rPr>
      </w:pPr>
      <w:r>
        <w:rPr>
          <w:rFonts w:eastAsia="Times New Roman"/>
          <w:lang w:eastAsia="en-AU"/>
        </w:rPr>
        <w:lastRenderedPageBreak/>
        <w:t>Safer Families</w:t>
      </w:r>
    </w:p>
    <w:p w14:paraId="62EB069D" w14:textId="77777777" w:rsidR="00CF0E2D" w:rsidRPr="00DE4C5A" w:rsidRDefault="00CF0E2D" w:rsidP="00A60D4B">
      <w:pPr>
        <w:pStyle w:val="Bbodytext"/>
      </w:pPr>
      <w:r w:rsidRPr="00DE4C5A">
        <w:t>Feeling safe in the community and at home is a basic human right.</w:t>
      </w:r>
    </w:p>
    <w:p w14:paraId="6D699CBC" w14:textId="77777777" w:rsidR="00CF0E2D" w:rsidRPr="00DE4C5A" w:rsidRDefault="00CF0E2D" w:rsidP="00A60D4B">
      <w:pPr>
        <w:pStyle w:val="Bbodytext"/>
      </w:pPr>
      <w:r w:rsidRPr="00DE4C5A">
        <w:t xml:space="preserve">Unfortunately, women are significantly more likely to be victims of domestic, family, and sexual violence than men. If women and girls cannot feel safe and be safe, then they cannot participate as equal members of the community. </w:t>
      </w:r>
    </w:p>
    <w:p w14:paraId="07AED821" w14:textId="77777777" w:rsidR="00CF0E2D" w:rsidRPr="00DE4C5A" w:rsidRDefault="00CF0E2D" w:rsidP="00A60D4B">
      <w:pPr>
        <w:pStyle w:val="Bbodytext"/>
      </w:pPr>
      <w:r w:rsidRPr="00DE4C5A">
        <w:t>The ACT Government is committed to addressing domestic and family violence in our community and on 1 July 2016 introduced the Safer Families Levy to provide an ongoing revenue base to fund long-term system reform and service improvements in relation to domestic and family violence. The Levy is applied to all residential and rural properties.</w:t>
      </w:r>
    </w:p>
    <w:p w14:paraId="59A618F8" w14:textId="77777777" w:rsidR="00CF0E2D" w:rsidRPr="00DE4C5A" w:rsidRDefault="00CF0E2D" w:rsidP="00A60D4B">
      <w:pPr>
        <w:pStyle w:val="Bbodytext"/>
      </w:pPr>
      <w:r w:rsidRPr="00DE4C5A">
        <w:t xml:space="preserve">As part of this work, in 2017 the Government established the Family Safety Hub to take a new approach to designing services, so they meet the needs of those affected by domestic and family violence. This work is complemented by other Safer Families Levy initiatives which support vital domestic, family, and sexual violence initiatives for the ACT community. </w:t>
      </w:r>
    </w:p>
    <w:p w14:paraId="5418B7A9" w14:textId="77777777" w:rsidR="00CF0E2D" w:rsidRPr="00DE4C5A" w:rsidRDefault="00CF0E2D" w:rsidP="00A60D4B">
      <w:pPr>
        <w:pStyle w:val="Bbodytext"/>
      </w:pPr>
      <w:r w:rsidRPr="00DE4C5A">
        <w:t>Safer Families initiatives focus on providing strategic, flexible and timely responses to domestic and family violence issues and are the result of collaborative partnerships between government and community service providers.</w:t>
      </w:r>
    </w:p>
    <w:p w14:paraId="534AB8DE" w14:textId="77777777" w:rsidR="00CF0E2D" w:rsidRDefault="00CF0E2D" w:rsidP="00A60D4B">
      <w:pPr>
        <w:pStyle w:val="Heading4"/>
      </w:pPr>
      <w:r>
        <w:t xml:space="preserve">2021-22 Budget  </w:t>
      </w:r>
    </w:p>
    <w:p w14:paraId="74A2FAC1" w14:textId="77777777" w:rsidR="00CF0E2D" w:rsidRPr="00DE4C5A" w:rsidRDefault="00CF0E2D" w:rsidP="00A60D4B">
      <w:pPr>
        <w:pStyle w:val="Bbodytext"/>
      </w:pPr>
      <w:r w:rsidRPr="00DE4C5A">
        <w:t xml:space="preserve">The challenges of the past 18 months have highlighted the need for ongoing investments and societal change to counter domestic and family violence. </w:t>
      </w:r>
    </w:p>
    <w:p w14:paraId="2B7AC3B6" w14:textId="77777777" w:rsidR="00CF0E2D" w:rsidRPr="00DE4C5A" w:rsidRDefault="00CF0E2D" w:rsidP="00A60D4B">
      <w:pPr>
        <w:pStyle w:val="Bbodytext"/>
      </w:pPr>
      <w:r w:rsidRPr="00DE4C5A">
        <w:t xml:space="preserve">In light of the importance and ongoing need for investment to address this issue, the Government will increase the Safer Families Levy by $5 per year over four years, taking the Levy from $30 per household currently to $50 </w:t>
      </w:r>
      <w:r w:rsidRPr="00DE4C5A" w:rsidDel="008D235A">
        <w:t>per</w:t>
      </w:r>
      <w:r w:rsidRPr="00DE4C5A">
        <w:t> household by 2024</w:t>
      </w:r>
      <w:r w:rsidRPr="00DE4C5A">
        <w:noBreakHyphen/>
        <w:t xml:space="preserve">25, raising a total of $30 million over the next four years. </w:t>
      </w:r>
    </w:p>
    <w:p w14:paraId="1FB2F1DD" w14:textId="77777777" w:rsidR="00CF0E2D" w:rsidRPr="00DE4C5A" w:rsidRDefault="00CF0E2D" w:rsidP="00A60D4B">
      <w:pPr>
        <w:pStyle w:val="Bbodytext"/>
      </w:pPr>
      <w:r w:rsidRPr="00DE4C5A">
        <w:t>These increases will fund the enhancement of a range of initiatives that are having a real impact for people experiencing domestic and family violence, including:</w:t>
      </w:r>
    </w:p>
    <w:p w14:paraId="2EF56F79" w14:textId="77777777" w:rsidR="00CF0E2D" w:rsidRPr="003202FD" w:rsidRDefault="00CF0E2D" w:rsidP="00CF0E2D">
      <w:pPr>
        <w:pStyle w:val="ListParagraph"/>
        <w:numPr>
          <w:ilvl w:val="0"/>
          <w:numId w:val="27"/>
        </w:numPr>
        <w:spacing w:after="120" w:line="240" w:lineRule="auto"/>
        <w:ind w:left="360"/>
        <w:rPr>
          <w:rFonts w:ascii="Calibri" w:eastAsia="Times New Roman" w:hAnsi="Calibri" w:cs="Calibri"/>
          <w:color w:val="000000"/>
          <w:sz w:val="24"/>
          <w:szCs w:val="24"/>
          <w:lang w:eastAsia="en-AU"/>
        </w:rPr>
      </w:pPr>
      <w:r w:rsidRPr="00D47C6A">
        <w:rPr>
          <w:rFonts w:ascii="Calibri" w:eastAsia="Times New Roman" w:hAnsi="Calibri" w:cs="Calibri"/>
          <w:color w:val="000000" w:themeColor="text1"/>
          <w:sz w:val="24"/>
          <w:szCs w:val="24"/>
          <w:lang w:eastAsia="en-AU"/>
        </w:rPr>
        <w:t xml:space="preserve">additional </w:t>
      </w:r>
      <w:r w:rsidRPr="003202FD">
        <w:rPr>
          <w:rFonts w:ascii="Calibri" w:eastAsia="Times New Roman" w:hAnsi="Calibri" w:cs="Calibri"/>
          <w:color w:val="000000" w:themeColor="text1"/>
          <w:sz w:val="24"/>
          <w:szCs w:val="24"/>
          <w:lang w:eastAsia="en-AU"/>
        </w:rPr>
        <w:t xml:space="preserve">resourcing of $4.1 million for the Health Justice Partnership so that pregnant women and new families at risk of domestic and family violence can continue to receive safe and confidential legal support in a hospital or healthcare setting; </w:t>
      </w:r>
    </w:p>
    <w:p w14:paraId="18C233AD" w14:textId="77777777" w:rsidR="00CF0E2D" w:rsidRPr="003202FD" w:rsidRDefault="00CF0E2D" w:rsidP="00CF0E2D">
      <w:pPr>
        <w:pStyle w:val="ListParagraph"/>
        <w:numPr>
          <w:ilvl w:val="0"/>
          <w:numId w:val="27"/>
        </w:numPr>
        <w:spacing w:after="0" w:line="240" w:lineRule="auto"/>
        <w:ind w:left="360"/>
        <w:rPr>
          <w:rFonts w:ascii="Calibri" w:eastAsia="Times New Roman" w:hAnsi="Calibri" w:cs="Calibri"/>
          <w:color w:val="000000"/>
          <w:sz w:val="24"/>
          <w:szCs w:val="24"/>
          <w:lang w:eastAsia="en-AU"/>
        </w:rPr>
      </w:pPr>
      <w:r w:rsidRPr="003202FD">
        <w:rPr>
          <w:rFonts w:ascii="Calibri" w:eastAsia="Times New Roman" w:hAnsi="Calibri" w:cs="Calibri"/>
          <w:color w:val="000000" w:themeColor="text1"/>
          <w:sz w:val="24"/>
          <w:szCs w:val="24"/>
          <w:lang w:eastAsia="en-AU"/>
        </w:rPr>
        <w:t>continuing the innovative Family Violence Safety Action Pilot</w:t>
      </w:r>
      <w:r>
        <w:rPr>
          <w:rFonts w:ascii="Calibri" w:eastAsia="Times New Roman" w:hAnsi="Calibri" w:cs="Calibri"/>
          <w:color w:val="000000" w:themeColor="text1"/>
          <w:sz w:val="24"/>
          <w:szCs w:val="24"/>
          <w:lang w:eastAsia="en-AU"/>
        </w:rPr>
        <w:t xml:space="preserve"> to</w:t>
      </w:r>
      <w:r w:rsidRPr="003202FD">
        <w:rPr>
          <w:rFonts w:ascii="Calibri" w:eastAsia="Times New Roman" w:hAnsi="Calibri" w:cs="Calibri"/>
          <w:color w:val="000000" w:themeColor="text1"/>
          <w:sz w:val="24"/>
          <w:szCs w:val="24"/>
          <w:lang w:eastAsia="en-AU"/>
        </w:rPr>
        <w:t xml:space="preserve"> meet increased demand to support the needs of high-risk families;</w:t>
      </w:r>
    </w:p>
    <w:p w14:paraId="6D452898" w14:textId="77777777" w:rsidR="00CF0E2D" w:rsidRPr="003202FD" w:rsidRDefault="00CF0E2D" w:rsidP="00CF0E2D">
      <w:pPr>
        <w:pStyle w:val="ListParagraph"/>
        <w:numPr>
          <w:ilvl w:val="0"/>
          <w:numId w:val="27"/>
        </w:numPr>
        <w:spacing w:after="0" w:line="240" w:lineRule="auto"/>
        <w:ind w:left="360"/>
        <w:rPr>
          <w:rFonts w:ascii="Calibri" w:eastAsia="Times New Roman" w:hAnsi="Calibri" w:cs="Calibri"/>
          <w:color w:val="000000"/>
          <w:sz w:val="24"/>
          <w:szCs w:val="24"/>
          <w:lang w:eastAsia="en-AU"/>
        </w:rPr>
      </w:pPr>
      <w:r w:rsidRPr="003202FD">
        <w:rPr>
          <w:rFonts w:ascii="Calibri" w:eastAsia="Times New Roman" w:hAnsi="Calibri" w:cs="Calibri"/>
          <w:color w:val="000000" w:themeColor="text1"/>
          <w:sz w:val="24"/>
          <w:szCs w:val="24"/>
          <w:lang w:eastAsia="en-AU"/>
        </w:rPr>
        <w:t xml:space="preserve">women’s safety grants of $400,000 to advance priorities in the Fourth Action Plan under the </w:t>
      </w:r>
      <w:r w:rsidRPr="003202FD">
        <w:rPr>
          <w:rFonts w:ascii="Calibri" w:eastAsia="Times New Roman" w:hAnsi="Calibri" w:cs="Calibri"/>
          <w:i/>
          <w:iCs/>
          <w:color w:val="000000" w:themeColor="text1"/>
          <w:sz w:val="24"/>
          <w:szCs w:val="24"/>
          <w:lang w:eastAsia="en-AU"/>
        </w:rPr>
        <w:t>National Plan to Reduce Violence against Women and their Children 2010-2022;</w:t>
      </w:r>
    </w:p>
    <w:p w14:paraId="11334AA1" w14:textId="77777777" w:rsidR="00CF0E2D" w:rsidRPr="003202FD" w:rsidRDefault="00CF0E2D" w:rsidP="00CF0E2D">
      <w:pPr>
        <w:pStyle w:val="ListParagraph"/>
        <w:numPr>
          <w:ilvl w:val="0"/>
          <w:numId w:val="27"/>
        </w:numPr>
        <w:spacing w:after="0" w:line="240" w:lineRule="auto"/>
        <w:ind w:left="360"/>
        <w:rPr>
          <w:rFonts w:ascii="Calibri" w:eastAsia="Times New Roman" w:hAnsi="Calibri" w:cs="Calibri"/>
          <w:color w:val="000000"/>
          <w:sz w:val="24"/>
          <w:szCs w:val="24"/>
          <w:lang w:eastAsia="en-AU"/>
        </w:rPr>
      </w:pPr>
      <w:r w:rsidRPr="003202FD">
        <w:rPr>
          <w:rFonts w:ascii="Calibri" w:eastAsia="Times New Roman" w:hAnsi="Calibri" w:cs="Calibri"/>
          <w:color w:val="000000" w:themeColor="text1"/>
          <w:sz w:val="24"/>
          <w:szCs w:val="24"/>
          <w:lang w:eastAsia="en-AU"/>
        </w:rPr>
        <w:t>continuing to support frontline domestic violence and rape crisis services to address sustained demand; and</w:t>
      </w:r>
    </w:p>
    <w:p w14:paraId="77C2BC41" w14:textId="77777777" w:rsidR="00CF0E2D" w:rsidRPr="00E85CC2" w:rsidRDefault="00CF0E2D" w:rsidP="00CF0E2D">
      <w:pPr>
        <w:pStyle w:val="ListParagraph"/>
        <w:numPr>
          <w:ilvl w:val="0"/>
          <w:numId w:val="27"/>
        </w:numPr>
        <w:spacing w:after="120" w:line="240" w:lineRule="auto"/>
        <w:ind w:left="360"/>
        <w:contextualSpacing w:val="0"/>
        <w:rPr>
          <w:rFonts w:ascii="Calibri" w:eastAsia="Times New Roman" w:hAnsi="Calibri" w:cs="Calibri"/>
          <w:color w:val="000000"/>
          <w:sz w:val="24"/>
          <w:szCs w:val="24"/>
          <w:lang w:eastAsia="en-AU"/>
        </w:rPr>
      </w:pPr>
      <w:r w:rsidRPr="003202FD">
        <w:rPr>
          <w:rFonts w:ascii="Calibri" w:eastAsia="Times New Roman" w:hAnsi="Calibri" w:cs="Calibri"/>
          <w:color w:val="000000" w:themeColor="text1"/>
          <w:sz w:val="24"/>
          <w:szCs w:val="24"/>
          <w:lang w:eastAsia="en-AU"/>
        </w:rPr>
        <w:t>implementation of an ACT Domestic and Family Violence</w:t>
      </w:r>
      <w:r w:rsidRPr="00D47C6A">
        <w:rPr>
          <w:rFonts w:ascii="Calibri" w:eastAsia="Times New Roman" w:hAnsi="Calibri" w:cs="Calibri"/>
          <w:color w:val="000000" w:themeColor="text1"/>
          <w:sz w:val="24"/>
          <w:szCs w:val="24"/>
          <w:lang w:eastAsia="en-AU"/>
        </w:rPr>
        <w:t xml:space="preserve"> Risk Assessment and Management Framework and ongoing work to develop common tools and practices.</w:t>
      </w:r>
    </w:p>
    <w:p w14:paraId="04BD0B8B" w14:textId="77777777" w:rsidR="00CF0E2D" w:rsidRPr="00E85CC2" w:rsidRDefault="00CF0E2D" w:rsidP="00A60D4B">
      <w:pPr>
        <w:pStyle w:val="Bbodytext"/>
        <w:rPr>
          <w:rFonts w:ascii="Calibri" w:hAnsi="Calibri" w:cs="Calibri"/>
          <w:color w:val="000000"/>
          <w:lang w:eastAsia="en-AU"/>
        </w:rPr>
      </w:pPr>
      <w:r w:rsidRPr="00D47C6A">
        <w:rPr>
          <w:lang w:eastAsia="en-AU"/>
        </w:rPr>
        <w:t>In late 2021, the landmark Sexual Assault Prevention and Response Steering Committee will deliver its final report to the ACT Government outlining key recommendations to inform our whole</w:t>
      </w:r>
      <w:r w:rsidRPr="00D47C6A">
        <w:rPr>
          <w:lang w:eastAsia="en-AU"/>
        </w:rPr>
        <w:noBreakHyphen/>
        <w:t>of</w:t>
      </w:r>
      <w:r w:rsidRPr="00D47C6A">
        <w:rPr>
          <w:lang w:eastAsia="en-AU"/>
        </w:rPr>
        <w:noBreakHyphen/>
        <w:t xml:space="preserve">Territory response to </w:t>
      </w:r>
      <w:r>
        <w:rPr>
          <w:lang w:eastAsia="en-AU"/>
        </w:rPr>
        <w:t xml:space="preserve">prevent and address </w:t>
      </w:r>
      <w:r w:rsidRPr="00D47C6A">
        <w:rPr>
          <w:lang w:eastAsia="en-AU"/>
        </w:rPr>
        <w:t>sexual assault in our community</w:t>
      </w:r>
      <w:r>
        <w:rPr>
          <w:lang w:eastAsia="en-AU"/>
        </w:rPr>
        <w:t>.</w:t>
      </w:r>
    </w:p>
    <w:p w14:paraId="637085C5" w14:textId="77777777" w:rsidR="00CF0E2D" w:rsidRPr="00D47C6A" w:rsidRDefault="00CF0E2D" w:rsidP="00A60D4B">
      <w:pPr>
        <w:rPr>
          <w:rFonts w:eastAsia="Times New Roman"/>
          <w:sz w:val="24"/>
          <w:szCs w:val="24"/>
          <w:lang w:eastAsia="en-AU"/>
        </w:rPr>
      </w:pPr>
    </w:p>
    <w:p w14:paraId="6EC8D232" w14:textId="77777777" w:rsidR="00CF0E2D" w:rsidRDefault="00CF0E2D" w:rsidP="00A60D4B">
      <w:pPr>
        <w:pStyle w:val="Heading3"/>
        <w:rPr>
          <w:rFonts w:eastAsia="Times New Roman"/>
          <w:lang w:eastAsia="en-AU"/>
        </w:rPr>
      </w:pPr>
      <w:r>
        <w:rPr>
          <w:rFonts w:eastAsia="Times New Roman"/>
          <w:lang w:eastAsia="en-AU"/>
        </w:rPr>
        <w:lastRenderedPageBreak/>
        <w:t>C</w:t>
      </w:r>
      <w:r w:rsidRPr="00C3223A">
        <w:rPr>
          <w:rFonts w:eastAsia="Times New Roman"/>
          <w:lang w:eastAsia="en-AU"/>
        </w:rPr>
        <w:t>ommunity s</w:t>
      </w:r>
      <w:r>
        <w:rPr>
          <w:rFonts w:eastAsia="Times New Roman"/>
          <w:lang w:eastAsia="en-AU"/>
        </w:rPr>
        <w:t>upport</w:t>
      </w:r>
    </w:p>
    <w:p w14:paraId="2934BD21" w14:textId="77777777" w:rsidR="00CF0E2D" w:rsidRPr="00EE05AB" w:rsidRDefault="00CF0E2D" w:rsidP="00A60D4B">
      <w:pPr>
        <w:pStyle w:val="Bbodytext"/>
      </w:pPr>
      <w:r>
        <w:rPr>
          <w:noProof/>
        </w:rPr>
        <w:drawing>
          <wp:anchor distT="0" distB="0" distL="114300" distR="114300" simplePos="0" relativeHeight="251680768" behindDoc="0" locked="0" layoutInCell="1" allowOverlap="1" wp14:anchorId="3370723A" wp14:editId="7BDAF714">
            <wp:simplePos x="0" y="0"/>
            <wp:positionH relativeFrom="margin">
              <wp:align>right</wp:align>
            </wp:positionH>
            <wp:positionV relativeFrom="paragraph">
              <wp:posOffset>359366</wp:posOffset>
            </wp:positionV>
            <wp:extent cx="1346200" cy="1104900"/>
            <wp:effectExtent l="0" t="0" r="0" b="0"/>
            <wp:wrapSquare wrapText="bothSides"/>
            <wp:docPr id="42" name="Picture 4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Logo&#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346200" cy="1104900"/>
                    </a:xfrm>
                    <a:prstGeom prst="rect">
                      <a:avLst/>
                    </a:prstGeom>
                  </pic:spPr>
                </pic:pic>
              </a:graphicData>
            </a:graphic>
            <wp14:sizeRelH relativeFrom="page">
              <wp14:pctWidth>0</wp14:pctWidth>
            </wp14:sizeRelH>
            <wp14:sizeRelV relativeFrom="page">
              <wp14:pctHeight>0</wp14:pctHeight>
            </wp14:sizeRelV>
          </wp:anchor>
        </w:drawing>
      </w:r>
      <w:r w:rsidRPr="003202FD">
        <w:t>The August 2020 Economic and Fiscal Update included a $9 million community</w:t>
      </w:r>
      <w:r w:rsidRPr="00EE05AB">
        <w:t xml:space="preserve"> support </w:t>
      </w:r>
      <w:r>
        <w:t>package, which included funding to enable</w:t>
      </w:r>
      <w:r w:rsidRPr="00EE05AB">
        <w:t xml:space="preserve"> specialist homelessness sector and domestic and family violence services to expand their operational capacity and relieve the pressure of additional need during COVID-19 and throughout winter.</w:t>
      </w:r>
    </w:p>
    <w:p w14:paraId="6748634B" w14:textId="77777777" w:rsidR="00CF0E2D" w:rsidRPr="00EE05AB" w:rsidRDefault="00CF0E2D" w:rsidP="00A60D4B">
      <w:pPr>
        <w:pStyle w:val="Bbodytext"/>
      </w:pPr>
      <w:r w:rsidRPr="00EE05AB">
        <w:t>The Government has built a strong partnership with the specialist homelessness services sector and works closely with service providers to ensure a range of short term and crisis accommodation and supports are available for people experiencing homelessness including outreach and drop-in services aimed at preventing people from becoming homeless.</w:t>
      </w:r>
    </w:p>
    <w:p w14:paraId="5F1618F3" w14:textId="77777777" w:rsidR="00CF0E2D" w:rsidRDefault="00CF0E2D" w:rsidP="00A60D4B">
      <w:pPr>
        <w:pStyle w:val="Heading4"/>
      </w:pPr>
      <w:r>
        <w:t>2021-22 Budget</w:t>
      </w:r>
    </w:p>
    <w:p w14:paraId="6DC800E9" w14:textId="77777777" w:rsidR="00CF0E2D" w:rsidRDefault="00CF0E2D" w:rsidP="00A60D4B">
      <w:pPr>
        <w:pStyle w:val="Heading5"/>
        <w:rPr>
          <w:rFonts w:eastAsia="Times New Roman"/>
          <w:lang w:eastAsia="en-AU"/>
        </w:rPr>
      </w:pPr>
      <w:r>
        <w:rPr>
          <w:rFonts w:eastAsia="Times New Roman"/>
          <w:lang w:eastAsia="en-AU"/>
        </w:rPr>
        <w:t>Continuing the COVID-19 response</w:t>
      </w:r>
    </w:p>
    <w:p w14:paraId="2CD7D44C" w14:textId="06B65B53" w:rsidR="00CF0E2D" w:rsidRPr="00062CD6" w:rsidRDefault="00CF0E2D" w:rsidP="00A60D4B">
      <w:pPr>
        <w:pStyle w:val="Bbodytext"/>
        <w:rPr>
          <w:rFonts w:ascii="Calibri" w:eastAsia="Times New Roman" w:hAnsi="Calibri" w:cs="Calibri"/>
          <w:color w:val="000000"/>
          <w:lang w:eastAsia="en-AU"/>
        </w:rPr>
      </w:pPr>
      <w:r w:rsidRPr="00062CD6">
        <w:t xml:space="preserve">Recognising the </w:t>
      </w:r>
      <w:r w:rsidR="00733A78">
        <w:t>need for targeted and culturally</w:t>
      </w:r>
      <w:r w:rsidR="00733A78">
        <w:noBreakHyphen/>
        <w:t xml:space="preserve">sensitive support, the </w:t>
      </w:r>
      <w:r w:rsidRPr="00062CD6">
        <w:t xml:space="preserve">2021-22 Budget </w:t>
      </w:r>
      <w:r w:rsidRPr="00062CD6">
        <w:rPr>
          <w:rFonts w:ascii="Calibri" w:eastAsia="Times New Roman" w:hAnsi="Calibri" w:cs="Calibri"/>
          <w:color w:val="000000"/>
          <w:lang w:eastAsia="en-AU"/>
        </w:rPr>
        <w:t>COVID</w:t>
      </w:r>
      <w:r w:rsidRPr="00062CD6">
        <w:rPr>
          <w:rFonts w:ascii="Calibri" w:eastAsia="Times New Roman" w:hAnsi="Calibri" w:cs="Calibri"/>
          <w:color w:val="000000"/>
          <w:lang w:eastAsia="en-AU"/>
        </w:rPr>
        <w:noBreakHyphen/>
        <w:t xml:space="preserve">19 </w:t>
      </w:r>
      <w:r w:rsidR="00733A78">
        <w:rPr>
          <w:rFonts w:ascii="Calibri" w:eastAsia="Times New Roman" w:hAnsi="Calibri" w:cs="Calibri"/>
          <w:color w:val="000000"/>
          <w:lang w:eastAsia="en-AU"/>
        </w:rPr>
        <w:t>C</w:t>
      </w:r>
      <w:r w:rsidRPr="00062CD6">
        <w:rPr>
          <w:rFonts w:ascii="Calibri" w:eastAsia="Times New Roman" w:hAnsi="Calibri" w:cs="Calibri"/>
          <w:color w:val="000000"/>
          <w:lang w:eastAsia="en-AU"/>
        </w:rPr>
        <w:t xml:space="preserve">ommunity </w:t>
      </w:r>
      <w:r w:rsidR="00733A78">
        <w:rPr>
          <w:rFonts w:ascii="Calibri" w:eastAsia="Times New Roman" w:hAnsi="Calibri" w:cs="Calibri"/>
          <w:color w:val="000000"/>
          <w:lang w:eastAsia="en-AU"/>
        </w:rPr>
        <w:t>S</w:t>
      </w:r>
      <w:r w:rsidRPr="00062CD6">
        <w:rPr>
          <w:rFonts w:ascii="Calibri" w:eastAsia="Times New Roman" w:hAnsi="Calibri" w:cs="Calibri"/>
          <w:color w:val="000000"/>
          <w:lang w:eastAsia="en-AU"/>
        </w:rPr>
        <w:t xml:space="preserve">upport </w:t>
      </w:r>
      <w:r w:rsidR="00733A78">
        <w:rPr>
          <w:rFonts w:ascii="Calibri" w:eastAsia="Times New Roman" w:hAnsi="Calibri" w:cs="Calibri"/>
          <w:color w:val="000000"/>
          <w:lang w:eastAsia="en-AU"/>
        </w:rPr>
        <w:t>P</w:t>
      </w:r>
      <w:r w:rsidRPr="00062CD6">
        <w:rPr>
          <w:rFonts w:ascii="Calibri" w:eastAsia="Times New Roman" w:hAnsi="Calibri" w:cs="Calibri"/>
          <w:color w:val="000000"/>
          <w:lang w:eastAsia="en-AU"/>
        </w:rPr>
        <w:t>ackage</w:t>
      </w:r>
      <w:r w:rsidR="00733A78">
        <w:t xml:space="preserve"> </w:t>
      </w:r>
      <w:r w:rsidRPr="00062CD6">
        <w:rPr>
          <w:rFonts w:ascii="Calibri" w:eastAsia="Times New Roman" w:hAnsi="Calibri" w:cs="Calibri"/>
          <w:color w:val="000000"/>
          <w:lang w:eastAsia="en-AU"/>
        </w:rPr>
        <w:t>includ</w:t>
      </w:r>
      <w:r w:rsidR="00733A78">
        <w:rPr>
          <w:rFonts w:ascii="Calibri" w:eastAsia="Times New Roman" w:hAnsi="Calibri" w:cs="Calibri"/>
          <w:color w:val="000000"/>
          <w:lang w:eastAsia="en-AU"/>
        </w:rPr>
        <w:t xml:space="preserve">es specific </w:t>
      </w:r>
      <w:r w:rsidRPr="00062CD6">
        <w:rPr>
          <w:rFonts w:ascii="Calibri" w:eastAsia="Times New Roman" w:hAnsi="Calibri" w:cs="Calibri"/>
          <w:color w:val="000000"/>
          <w:lang w:eastAsia="en-AU"/>
        </w:rPr>
        <w:t xml:space="preserve">support </w:t>
      </w:r>
      <w:r w:rsidR="00733A78">
        <w:rPr>
          <w:rFonts w:ascii="Calibri" w:eastAsia="Times New Roman" w:hAnsi="Calibri" w:cs="Calibri"/>
          <w:color w:val="000000"/>
          <w:lang w:eastAsia="en-AU"/>
        </w:rPr>
        <w:t xml:space="preserve">for </w:t>
      </w:r>
      <w:r w:rsidRPr="00062CD6">
        <w:rPr>
          <w:rFonts w:ascii="Calibri" w:eastAsia="Times New Roman" w:hAnsi="Calibri" w:cs="Calibri"/>
          <w:color w:val="000000"/>
          <w:lang w:eastAsia="en-AU"/>
        </w:rPr>
        <w:t>multicultural communities and refugees and asylum seekers</w:t>
      </w:r>
      <w:r>
        <w:rPr>
          <w:rFonts w:ascii="Calibri" w:eastAsia="Times New Roman" w:hAnsi="Calibri" w:cs="Calibri"/>
          <w:color w:val="000000"/>
          <w:lang w:eastAsia="en-AU"/>
        </w:rPr>
        <w:t xml:space="preserve">, with many </w:t>
      </w:r>
      <w:r w:rsidR="00733A78">
        <w:rPr>
          <w:rFonts w:ascii="Calibri" w:eastAsia="Times New Roman" w:hAnsi="Calibri" w:cs="Calibri"/>
          <w:color w:val="000000"/>
          <w:lang w:eastAsia="en-AU"/>
        </w:rPr>
        <w:t xml:space="preserve">of these </w:t>
      </w:r>
      <w:r>
        <w:rPr>
          <w:rFonts w:ascii="Calibri" w:eastAsia="Times New Roman" w:hAnsi="Calibri" w:cs="Calibri"/>
          <w:color w:val="000000"/>
          <w:lang w:eastAsia="en-AU"/>
        </w:rPr>
        <w:t>services delivered by our community sector partners</w:t>
      </w:r>
      <w:r w:rsidRPr="00062CD6">
        <w:rPr>
          <w:rFonts w:ascii="Calibri" w:eastAsia="Times New Roman" w:hAnsi="Calibri" w:cs="Calibri"/>
          <w:color w:val="000000"/>
          <w:lang w:eastAsia="en-AU"/>
        </w:rPr>
        <w:t>.</w:t>
      </w:r>
    </w:p>
    <w:p w14:paraId="6EF81F94" w14:textId="77777777" w:rsidR="00CF0E2D" w:rsidRPr="00062CD6" w:rsidRDefault="00CF0E2D" w:rsidP="00A60D4B">
      <w:pPr>
        <w:pStyle w:val="Heading5"/>
        <w:rPr>
          <w:rFonts w:eastAsia="Times New Roman"/>
          <w:lang w:eastAsia="en-AU"/>
        </w:rPr>
      </w:pPr>
      <w:r w:rsidRPr="00062CD6">
        <w:rPr>
          <w:rFonts w:eastAsia="Times New Roman"/>
          <w:lang w:eastAsia="en-AU"/>
        </w:rPr>
        <w:t>Homelessness services</w:t>
      </w:r>
    </w:p>
    <w:p w14:paraId="3FE064E8" w14:textId="77777777" w:rsidR="00CF0E2D" w:rsidRPr="00DE4C5A" w:rsidRDefault="00CF0E2D" w:rsidP="00A60D4B">
      <w:pPr>
        <w:pStyle w:val="Bbodytext"/>
      </w:pPr>
      <w:r w:rsidRPr="00DE4C5A">
        <w:t xml:space="preserve">Significant additional support is also provided for the specialist homelessness service sector through an increase in funding of $8.6 million over four years, which is in addition to the $1.9 million of additional funding provided in the 2020-21 Budget. </w:t>
      </w:r>
    </w:p>
    <w:p w14:paraId="1E8BE0BD" w14:textId="77777777" w:rsidR="00CF0E2D" w:rsidRPr="00DE4C5A" w:rsidRDefault="00CF0E2D" w:rsidP="00A60D4B">
      <w:pPr>
        <w:pStyle w:val="Bbodytext"/>
      </w:pPr>
      <w:r w:rsidRPr="00DE4C5A">
        <w:t>A further $7 million over four years is also provided for the operations of the Safe and Connected Youth program, which will support youth at risk of homelessness and received $1.2 million in capital funding to refurbish a facility through the recent Fast</w:t>
      </w:r>
      <w:r w:rsidRPr="00DE4C5A">
        <w:noBreakHyphen/>
        <w:t>track program.</w:t>
      </w:r>
    </w:p>
    <w:p w14:paraId="77397EEF" w14:textId="77777777" w:rsidR="00CF0E2D" w:rsidRPr="00062CD6" w:rsidRDefault="00CF0E2D" w:rsidP="00A60D4B">
      <w:pPr>
        <w:pStyle w:val="Heading5"/>
        <w:spacing w:before="120"/>
        <w:rPr>
          <w:rFonts w:eastAsia="Times New Roman"/>
          <w:lang w:eastAsia="en-AU"/>
        </w:rPr>
      </w:pPr>
      <w:r w:rsidRPr="00062CD6">
        <w:rPr>
          <w:rFonts w:eastAsia="Times New Roman"/>
          <w:lang w:eastAsia="en-AU"/>
        </w:rPr>
        <w:t>Community sector funding sustainability</w:t>
      </w:r>
    </w:p>
    <w:p w14:paraId="73C79394" w14:textId="77777777" w:rsidR="00CF0E2D" w:rsidRPr="00DE4C5A" w:rsidRDefault="00CF0E2D" w:rsidP="00A60D4B">
      <w:pPr>
        <w:pStyle w:val="Bbodytext"/>
      </w:pPr>
      <w:r w:rsidRPr="00DE4C5A">
        <w:t>The 2021-22 Budget provides $4 million over four years to increase indexation applied to annual community sector grants funding. This will assist community organisations to help meet higher wage costs following the recent Fair Work Commission decision to increase the national minimum wage and all award wages by 2.5 per cent and acknowledges the essential work they have undertaken to support Canberrans through the COVID-19 pandemic.</w:t>
      </w:r>
    </w:p>
    <w:p w14:paraId="4A757F3D" w14:textId="77777777" w:rsidR="00CF0E2D" w:rsidRDefault="00CF0E2D" w:rsidP="00A60D4B">
      <w:pPr>
        <w:pStyle w:val="Heading5"/>
        <w:spacing w:before="0" w:after="120"/>
        <w:rPr>
          <w:rFonts w:eastAsia="Times New Roman"/>
          <w:lang w:eastAsia="en-AU"/>
        </w:rPr>
      </w:pPr>
      <w:r>
        <w:rPr>
          <w:rFonts w:eastAsia="Times New Roman"/>
          <w:lang w:eastAsia="en-AU"/>
        </w:rPr>
        <w:t>Support for Women</w:t>
      </w:r>
    </w:p>
    <w:p w14:paraId="189F2559" w14:textId="77777777" w:rsidR="00CF0E2D" w:rsidRPr="001F5FE5" w:rsidRDefault="00CF0E2D" w:rsidP="00A60D4B">
      <w:pPr>
        <w:pStyle w:val="Bbodytext"/>
        <w:rPr>
          <w:rFonts w:ascii="Calibri" w:eastAsia="Times New Roman" w:hAnsi="Calibri" w:cs="Calibri"/>
          <w:color w:val="000000"/>
          <w:szCs w:val="24"/>
          <w:lang w:eastAsia="en-AU"/>
        </w:rPr>
      </w:pPr>
      <w:r w:rsidRPr="008C7E23">
        <w:rPr>
          <w:rFonts w:ascii="Calibri" w:eastAsia="Times New Roman" w:hAnsi="Calibri" w:cs="Calibri"/>
          <w:noProof/>
          <w:color w:val="000000"/>
          <w:szCs w:val="24"/>
          <w:lang w:eastAsia="en-AU"/>
        </w:rPr>
        <mc:AlternateContent>
          <mc:Choice Requires="wps">
            <w:drawing>
              <wp:anchor distT="45720" distB="45720" distL="114300" distR="114300" simplePos="0" relativeHeight="251710464" behindDoc="0" locked="0" layoutInCell="1" allowOverlap="1" wp14:anchorId="1A45BC92" wp14:editId="005FDBB9">
                <wp:simplePos x="0" y="0"/>
                <wp:positionH relativeFrom="margin">
                  <wp:posOffset>3352800</wp:posOffset>
                </wp:positionH>
                <wp:positionV relativeFrom="paragraph">
                  <wp:posOffset>6985</wp:posOffset>
                </wp:positionV>
                <wp:extent cx="2545715" cy="1228725"/>
                <wp:effectExtent l="0" t="0" r="6985" b="952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5715" cy="1228725"/>
                        </a:xfrm>
                        <a:prstGeom prst="rect">
                          <a:avLst/>
                        </a:prstGeom>
                        <a:solidFill>
                          <a:srgbClr val="FFFFFF"/>
                        </a:solidFill>
                        <a:ln w="9525">
                          <a:noFill/>
                          <a:miter lim="800000"/>
                          <a:headEnd/>
                          <a:tailEnd/>
                        </a:ln>
                      </wps:spPr>
                      <wps:txbx>
                        <w:txbxContent>
                          <w:p w14:paraId="23884E3A" w14:textId="030E45B7" w:rsidR="002261A7" w:rsidRPr="002714B5" w:rsidRDefault="002261A7" w:rsidP="00A60D4B">
                            <w:pPr>
                              <w:spacing w:before="240" w:after="240"/>
                              <w:jc w:val="center"/>
                              <w:rPr>
                                <w:sz w:val="28"/>
                                <w:szCs w:val="28"/>
                              </w:rPr>
                            </w:pPr>
                            <w:r w:rsidRPr="002714B5">
                              <w:rPr>
                                <w:rFonts w:cstheme="minorHAnsi"/>
                                <w:color w:val="3C1A56"/>
                                <w:sz w:val="28"/>
                                <w:szCs w:val="28"/>
                              </w:rPr>
                              <w:t xml:space="preserve">For more information, see the </w:t>
                            </w:r>
                            <w:r w:rsidRPr="002714B5">
                              <w:rPr>
                                <w:rFonts w:cstheme="minorHAnsi"/>
                                <w:b/>
                                <w:bCs/>
                                <w:color w:val="3C1A56"/>
                                <w:sz w:val="28"/>
                                <w:szCs w:val="28"/>
                              </w:rPr>
                              <w:t>Women’s Budget Statement 2021</w:t>
                            </w:r>
                            <w:r w:rsidRPr="002714B5">
                              <w:rPr>
                                <w:rFonts w:cstheme="minorHAnsi"/>
                                <w:b/>
                                <w:bCs/>
                                <w:color w:val="3C1A56"/>
                                <w:sz w:val="28"/>
                                <w:szCs w:val="28"/>
                              </w:rPr>
                              <w:noBreakHyphen/>
                              <w:t>22</w:t>
                            </w:r>
                            <w:r w:rsidRPr="002714B5">
                              <w:rPr>
                                <w:rFonts w:cstheme="minorHAnsi"/>
                                <w:color w:val="3C1A56"/>
                                <w:sz w:val="28"/>
                                <w:szCs w:val="28"/>
                              </w:rPr>
                              <w:t xml:space="preserve">, available </w:t>
                            </w:r>
                            <w:hyperlink r:id="rId56" w:history="1">
                              <w:r w:rsidRPr="002714B5">
                                <w:rPr>
                                  <w:rStyle w:val="Hyperlink"/>
                                  <w:rFonts w:cstheme="minorHAnsi"/>
                                  <w:sz w:val="28"/>
                                  <w:szCs w:val="28"/>
                                </w:rPr>
                                <w:t>here</w:t>
                              </w:r>
                            </w:hyperlink>
                            <w:r w:rsidRPr="002714B5">
                              <w:rPr>
                                <w:rFonts w:cstheme="minorHAnsi"/>
                                <w:color w:val="3C1A56"/>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5BC92" id="_x0000_s1028" type="#_x0000_t202" style="position:absolute;margin-left:264pt;margin-top:.55pt;width:200.45pt;height:96.75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" stroked="f">
                <v:textbox>
                  <w:txbxContent>
                    <w:p w14:paraId="23884E3A" w14:textId="030E45B7" w:rsidR="002261A7" w:rsidRPr="002714B5" w:rsidRDefault="002261A7" w:rsidP="00A60D4B">
                      <w:pPr>
                        <w:spacing w:before="240" w:after="240"/>
                        <w:jc w:val="center"/>
                        <w:rPr>
                          <w:sz w:val="28"/>
                          <w:szCs w:val="28"/>
                        </w:rPr>
                      </w:pPr>
                      <w:r w:rsidRPr="002714B5">
                        <w:rPr>
                          <w:rFonts w:cstheme="minorHAnsi"/>
                          <w:color w:val="3C1A56"/>
                          <w:sz w:val="28"/>
                          <w:szCs w:val="28"/>
                        </w:rPr>
                        <w:t xml:space="preserve">For more information, see the </w:t>
                      </w:r>
                      <w:r w:rsidRPr="002714B5">
                        <w:rPr>
                          <w:rFonts w:cstheme="minorHAnsi"/>
                          <w:b/>
                          <w:bCs/>
                          <w:color w:val="3C1A56"/>
                          <w:sz w:val="28"/>
                          <w:szCs w:val="28"/>
                        </w:rPr>
                        <w:t>Women’s Budget Statement 2021</w:t>
                      </w:r>
                      <w:r w:rsidRPr="002714B5">
                        <w:rPr>
                          <w:rFonts w:cstheme="minorHAnsi"/>
                          <w:b/>
                          <w:bCs/>
                          <w:color w:val="3C1A56"/>
                          <w:sz w:val="28"/>
                          <w:szCs w:val="28"/>
                        </w:rPr>
                        <w:noBreakHyphen/>
                        <w:t>22</w:t>
                      </w:r>
                      <w:r w:rsidRPr="002714B5">
                        <w:rPr>
                          <w:rFonts w:cstheme="minorHAnsi"/>
                          <w:color w:val="3C1A56"/>
                          <w:sz w:val="28"/>
                          <w:szCs w:val="28"/>
                        </w:rPr>
                        <w:t xml:space="preserve">, available </w:t>
                      </w:r>
                      <w:hyperlink r:id="rId57" w:history="1">
                        <w:r w:rsidRPr="002714B5">
                          <w:rPr>
                            <w:rStyle w:val="Hyperlink"/>
                            <w:rFonts w:cstheme="minorHAnsi"/>
                            <w:sz w:val="28"/>
                            <w:szCs w:val="28"/>
                          </w:rPr>
                          <w:t>here</w:t>
                        </w:r>
                      </w:hyperlink>
                      <w:r w:rsidRPr="002714B5">
                        <w:rPr>
                          <w:rFonts w:cstheme="minorHAnsi"/>
                          <w:color w:val="3C1A56"/>
                          <w:sz w:val="28"/>
                          <w:szCs w:val="28"/>
                        </w:rPr>
                        <w:t xml:space="preserve"> </w:t>
                      </w:r>
                    </w:p>
                  </w:txbxContent>
                </v:textbox>
                <w10:wrap type="square" anchorx="margin"/>
              </v:shape>
            </w:pict>
          </mc:Fallback>
        </mc:AlternateContent>
      </w:r>
      <w:r w:rsidRPr="001F5FE5">
        <w:rPr>
          <w:rFonts w:ascii="Calibri" w:eastAsia="Times New Roman" w:hAnsi="Calibri" w:cs="Calibri"/>
          <w:color w:val="000000"/>
          <w:szCs w:val="24"/>
          <w:lang w:eastAsia="en-AU"/>
        </w:rPr>
        <w:t xml:space="preserve">Women in the ACT are disproportionately feeling the burden of the pandemic resulting from impacts on their safety (especially through an increased risk of domestic and family violence), mental health, employment, and housing security. In addition to the </w:t>
      </w:r>
      <w:r>
        <w:rPr>
          <w:rFonts w:ascii="Calibri" w:eastAsia="Times New Roman" w:hAnsi="Calibri" w:cs="Calibri"/>
          <w:color w:val="000000"/>
          <w:szCs w:val="24"/>
          <w:lang w:eastAsia="en-AU"/>
        </w:rPr>
        <w:t xml:space="preserve">increased </w:t>
      </w:r>
      <w:r w:rsidRPr="001F5FE5">
        <w:rPr>
          <w:rFonts w:ascii="Calibri" w:eastAsia="Times New Roman" w:hAnsi="Calibri" w:cs="Calibri"/>
          <w:color w:val="000000"/>
          <w:szCs w:val="24"/>
          <w:lang w:eastAsia="en-AU"/>
        </w:rPr>
        <w:t>support for Safer Families initiatives, new initiatives in the 2021-22 Budget to specifically address gender inequality</w:t>
      </w:r>
      <w:r>
        <w:rPr>
          <w:rFonts w:ascii="Calibri" w:eastAsia="Times New Roman" w:hAnsi="Calibri" w:cs="Calibri"/>
          <w:color w:val="000000"/>
          <w:szCs w:val="24"/>
          <w:lang w:eastAsia="en-AU"/>
        </w:rPr>
        <w:t xml:space="preserve"> </w:t>
      </w:r>
      <w:r w:rsidRPr="001F5FE5">
        <w:rPr>
          <w:rFonts w:ascii="Calibri" w:eastAsia="Times New Roman" w:hAnsi="Calibri" w:cs="Calibri"/>
          <w:color w:val="000000"/>
          <w:szCs w:val="24"/>
          <w:lang w:eastAsia="en-AU"/>
        </w:rPr>
        <w:t>include:</w:t>
      </w:r>
    </w:p>
    <w:p w14:paraId="2C68872C" w14:textId="77777777" w:rsidR="00CF0E2D" w:rsidRPr="00357C96" w:rsidRDefault="00CF0E2D" w:rsidP="00CF0E2D">
      <w:pPr>
        <w:pStyle w:val="ListParagraph"/>
        <w:numPr>
          <w:ilvl w:val="0"/>
          <w:numId w:val="12"/>
        </w:numPr>
        <w:spacing w:after="0" w:line="240" w:lineRule="auto"/>
        <w:ind w:left="360"/>
        <w:rPr>
          <w:rFonts w:ascii="Calibri" w:eastAsia="Times New Roman" w:hAnsi="Calibri" w:cs="Calibri"/>
          <w:color w:val="000000" w:themeColor="text1"/>
          <w:sz w:val="24"/>
          <w:szCs w:val="24"/>
          <w:lang w:eastAsia="en-AU"/>
        </w:rPr>
      </w:pPr>
      <w:r w:rsidRPr="001F5FE5">
        <w:rPr>
          <w:rFonts w:ascii="Calibri" w:eastAsia="Times New Roman" w:hAnsi="Calibri" w:cs="Calibri"/>
          <w:color w:val="000000" w:themeColor="text1"/>
          <w:sz w:val="24"/>
          <w:szCs w:val="24"/>
          <w:lang w:eastAsia="en-AU"/>
        </w:rPr>
        <w:lastRenderedPageBreak/>
        <w:t>resources to promote women’s workforce participation (a continuation of the Territory’s Return to Work program, initially introduced in 2019); and</w:t>
      </w:r>
    </w:p>
    <w:p w14:paraId="41167388" w14:textId="77777777" w:rsidR="00CF0E2D" w:rsidRPr="00357C96" w:rsidRDefault="00CF0E2D" w:rsidP="00CF0E2D">
      <w:pPr>
        <w:pStyle w:val="ListParagraph"/>
        <w:numPr>
          <w:ilvl w:val="0"/>
          <w:numId w:val="12"/>
        </w:numPr>
        <w:spacing w:after="120" w:line="240" w:lineRule="auto"/>
        <w:ind w:left="360"/>
        <w:contextualSpacing w:val="0"/>
        <w:rPr>
          <w:rFonts w:ascii="Calibri" w:eastAsia="Times New Roman" w:hAnsi="Calibri" w:cs="Calibri"/>
          <w:color w:val="000000" w:themeColor="text1"/>
          <w:sz w:val="24"/>
          <w:szCs w:val="24"/>
          <w:lang w:eastAsia="en-AU"/>
        </w:rPr>
      </w:pPr>
      <w:r w:rsidRPr="001F5FE5">
        <w:rPr>
          <w:rFonts w:ascii="Calibri" w:eastAsia="Times New Roman" w:hAnsi="Calibri" w:cs="Calibri"/>
          <w:color w:val="000000" w:themeColor="text1"/>
          <w:sz w:val="24"/>
          <w:szCs w:val="24"/>
          <w:lang w:eastAsia="en-AU"/>
        </w:rPr>
        <w:t>additional support for our women’s elite supporting teams (Canberra Capitals and Canberra United).</w:t>
      </w:r>
    </w:p>
    <w:p w14:paraId="155B0C5D" w14:textId="77777777" w:rsidR="00CF0E2D" w:rsidRPr="00062CD6" w:rsidRDefault="00CF0E2D" w:rsidP="00A60D4B">
      <w:pPr>
        <w:pStyle w:val="Heading5"/>
        <w:rPr>
          <w:rFonts w:eastAsia="Times New Roman"/>
          <w:lang w:eastAsia="en-AU"/>
        </w:rPr>
      </w:pPr>
      <w:r w:rsidRPr="00062CD6">
        <w:rPr>
          <w:rFonts w:eastAsia="Times New Roman"/>
          <w:lang w:eastAsia="en-AU"/>
        </w:rPr>
        <w:t xml:space="preserve">Supporting Aboriginal and Torres Strait Islander </w:t>
      </w:r>
      <w:r>
        <w:rPr>
          <w:rFonts w:eastAsia="Times New Roman"/>
          <w:lang w:eastAsia="en-AU"/>
        </w:rPr>
        <w:t>P</w:t>
      </w:r>
      <w:r w:rsidRPr="00062CD6">
        <w:rPr>
          <w:rFonts w:eastAsia="Times New Roman"/>
          <w:lang w:eastAsia="en-AU"/>
        </w:rPr>
        <w:t>eoples</w:t>
      </w:r>
    </w:p>
    <w:p w14:paraId="60F60B19" w14:textId="77777777" w:rsidR="00CF0E2D" w:rsidRPr="00062CD6" w:rsidRDefault="00CF0E2D" w:rsidP="00A60D4B">
      <w:pPr>
        <w:pStyle w:val="Bbodytext"/>
        <w:rPr>
          <w:rFonts w:ascii="Calibri" w:eastAsia="Times New Roman" w:hAnsi="Calibri" w:cs="Calibri"/>
          <w:color w:val="000000"/>
          <w:szCs w:val="24"/>
          <w:lang w:eastAsia="en-AU"/>
        </w:rPr>
      </w:pPr>
      <w:r w:rsidRPr="008C7E23">
        <w:rPr>
          <w:rFonts w:ascii="Calibri" w:eastAsia="Times New Roman" w:hAnsi="Calibri" w:cs="Calibri"/>
          <w:noProof/>
          <w:color w:val="000000"/>
          <w:szCs w:val="24"/>
          <w:lang w:eastAsia="en-AU"/>
        </w:rPr>
        <mc:AlternateContent>
          <mc:Choice Requires="wps">
            <w:drawing>
              <wp:anchor distT="45720" distB="45720" distL="114300" distR="114300" simplePos="0" relativeHeight="251705344" behindDoc="0" locked="0" layoutInCell="1" allowOverlap="1" wp14:anchorId="787D01E6" wp14:editId="6EBECF83">
                <wp:simplePos x="0" y="0"/>
                <wp:positionH relativeFrom="margin">
                  <wp:posOffset>3238500</wp:posOffset>
                </wp:positionH>
                <wp:positionV relativeFrom="paragraph">
                  <wp:posOffset>164465</wp:posOffset>
                </wp:positionV>
                <wp:extent cx="2689860" cy="1381760"/>
                <wp:effectExtent l="0" t="0" r="0" b="889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860" cy="1381760"/>
                        </a:xfrm>
                        <a:prstGeom prst="rect">
                          <a:avLst/>
                        </a:prstGeom>
                        <a:solidFill>
                          <a:srgbClr val="FFFFFF"/>
                        </a:solidFill>
                        <a:ln w="9525">
                          <a:noFill/>
                          <a:miter lim="800000"/>
                          <a:headEnd/>
                          <a:tailEnd/>
                        </a:ln>
                      </wps:spPr>
                      <wps:txbx>
                        <w:txbxContent>
                          <w:p w14:paraId="5BCCD6D4" w14:textId="50150B59" w:rsidR="002261A7" w:rsidRPr="002714B5" w:rsidRDefault="002261A7" w:rsidP="00A60D4B">
                            <w:pPr>
                              <w:spacing w:before="240" w:after="240"/>
                              <w:jc w:val="center"/>
                              <w:rPr>
                                <w:rFonts w:ascii="Source Sans Pro SemiBold" w:hAnsi="Source Sans Pro SemiBold"/>
                                <w:color w:val="3C1A56"/>
                                <w:sz w:val="28"/>
                                <w:szCs w:val="28"/>
                              </w:rPr>
                            </w:pPr>
                            <w:r w:rsidRPr="002714B5">
                              <w:rPr>
                                <w:rFonts w:cstheme="minorHAnsi"/>
                                <w:color w:val="3C1A56"/>
                                <w:sz w:val="28"/>
                                <w:szCs w:val="28"/>
                              </w:rPr>
                              <w:t>For more information, see the</w:t>
                            </w:r>
                            <w:r w:rsidRPr="002714B5">
                              <w:rPr>
                                <w:rFonts w:cstheme="minorHAnsi"/>
                                <w:b/>
                                <w:bCs/>
                                <w:color w:val="3C1A56"/>
                                <w:sz w:val="28"/>
                                <w:szCs w:val="28"/>
                              </w:rPr>
                              <w:t xml:space="preserve"> Aboriginal and Torres Strait Islander Budget Statement</w:t>
                            </w:r>
                            <w:r w:rsidRPr="002714B5">
                              <w:rPr>
                                <w:rFonts w:cstheme="minorHAnsi"/>
                                <w:color w:val="3C1A56"/>
                                <w:sz w:val="28"/>
                                <w:szCs w:val="28"/>
                              </w:rPr>
                              <w:t xml:space="preserve"> </w:t>
                            </w:r>
                            <w:r w:rsidRPr="002714B5">
                              <w:rPr>
                                <w:rFonts w:cstheme="minorHAnsi"/>
                                <w:b/>
                                <w:bCs/>
                                <w:color w:val="3C1A56"/>
                                <w:sz w:val="28"/>
                                <w:szCs w:val="28"/>
                              </w:rPr>
                              <w:t>2021</w:t>
                            </w:r>
                            <w:r w:rsidRPr="002714B5">
                              <w:rPr>
                                <w:rFonts w:cstheme="minorHAnsi"/>
                                <w:b/>
                                <w:bCs/>
                                <w:color w:val="3C1A56"/>
                                <w:sz w:val="28"/>
                                <w:szCs w:val="28"/>
                              </w:rPr>
                              <w:noBreakHyphen/>
                              <w:t>22</w:t>
                            </w:r>
                            <w:r w:rsidRPr="002714B5">
                              <w:rPr>
                                <w:rFonts w:cstheme="minorHAnsi"/>
                                <w:color w:val="3C1A56"/>
                                <w:sz w:val="28"/>
                                <w:szCs w:val="28"/>
                              </w:rPr>
                              <w:t xml:space="preserve">, available </w:t>
                            </w:r>
                            <w:hyperlink r:id="rId58" w:history="1">
                              <w:r w:rsidRPr="002714B5">
                                <w:rPr>
                                  <w:rStyle w:val="Hyperlink"/>
                                  <w:rFonts w:cstheme="minorHAnsi"/>
                                  <w:sz w:val="28"/>
                                  <w:szCs w:val="28"/>
                                </w:rPr>
                                <w:t>here</w:t>
                              </w:r>
                            </w:hyperlink>
                            <w:r w:rsidRPr="002714B5">
                              <w:rPr>
                                <w:rFonts w:cstheme="minorHAnsi"/>
                                <w:color w:val="3C1A56"/>
                                <w:sz w:val="28"/>
                                <w:szCs w:val="28"/>
                              </w:rPr>
                              <w:t xml:space="preserve"> </w:t>
                            </w:r>
                          </w:p>
                          <w:p w14:paraId="5C5A5D3A" w14:textId="77777777" w:rsidR="002261A7" w:rsidRDefault="002261A7" w:rsidP="00A60D4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7D01E6" id="_x0000_s1029" type="#_x0000_t202" style="position:absolute;margin-left:255pt;margin-top:12.95pt;width:211.8pt;height:108.8pt;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" stroked="f">
                <v:textbox>
                  <w:txbxContent>
                    <w:p w14:paraId="5BCCD6D4" w14:textId="50150B59" w:rsidR="002261A7" w:rsidRPr="002714B5" w:rsidRDefault="002261A7" w:rsidP="00A60D4B">
                      <w:pPr>
                        <w:spacing w:before="240" w:after="240"/>
                        <w:jc w:val="center"/>
                        <w:rPr>
                          <w:rFonts w:ascii="Source Sans Pro SemiBold" w:hAnsi="Source Sans Pro SemiBold"/>
                          <w:color w:val="3C1A56"/>
                          <w:sz w:val="28"/>
                          <w:szCs w:val="28"/>
                        </w:rPr>
                      </w:pPr>
                      <w:r w:rsidRPr="002714B5">
                        <w:rPr>
                          <w:rFonts w:cstheme="minorHAnsi"/>
                          <w:color w:val="3C1A56"/>
                          <w:sz w:val="28"/>
                          <w:szCs w:val="28"/>
                        </w:rPr>
                        <w:t>For more information, see the</w:t>
                      </w:r>
                      <w:r w:rsidRPr="002714B5">
                        <w:rPr>
                          <w:rFonts w:cstheme="minorHAnsi"/>
                          <w:b/>
                          <w:bCs/>
                          <w:color w:val="3C1A56"/>
                          <w:sz w:val="28"/>
                          <w:szCs w:val="28"/>
                        </w:rPr>
                        <w:t xml:space="preserve"> Aboriginal and Torres Strait Islander Budget Statement</w:t>
                      </w:r>
                      <w:r w:rsidRPr="002714B5">
                        <w:rPr>
                          <w:rFonts w:cstheme="minorHAnsi"/>
                          <w:color w:val="3C1A56"/>
                          <w:sz w:val="28"/>
                          <w:szCs w:val="28"/>
                        </w:rPr>
                        <w:t xml:space="preserve"> </w:t>
                      </w:r>
                      <w:r w:rsidRPr="002714B5">
                        <w:rPr>
                          <w:rFonts w:cstheme="minorHAnsi"/>
                          <w:b/>
                          <w:bCs/>
                          <w:color w:val="3C1A56"/>
                          <w:sz w:val="28"/>
                          <w:szCs w:val="28"/>
                        </w:rPr>
                        <w:t>2021</w:t>
                      </w:r>
                      <w:r w:rsidRPr="002714B5">
                        <w:rPr>
                          <w:rFonts w:cstheme="minorHAnsi"/>
                          <w:b/>
                          <w:bCs/>
                          <w:color w:val="3C1A56"/>
                          <w:sz w:val="28"/>
                          <w:szCs w:val="28"/>
                        </w:rPr>
                        <w:noBreakHyphen/>
                        <w:t>22</w:t>
                      </w:r>
                      <w:r w:rsidRPr="002714B5">
                        <w:rPr>
                          <w:rFonts w:cstheme="minorHAnsi"/>
                          <w:color w:val="3C1A56"/>
                          <w:sz w:val="28"/>
                          <w:szCs w:val="28"/>
                        </w:rPr>
                        <w:t xml:space="preserve">, available </w:t>
                      </w:r>
                      <w:hyperlink r:id="rId59" w:history="1">
                        <w:r w:rsidRPr="002714B5">
                          <w:rPr>
                            <w:rStyle w:val="Hyperlink"/>
                            <w:rFonts w:cstheme="minorHAnsi"/>
                            <w:sz w:val="28"/>
                            <w:szCs w:val="28"/>
                          </w:rPr>
                          <w:t>here</w:t>
                        </w:r>
                      </w:hyperlink>
                      <w:r w:rsidRPr="002714B5">
                        <w:rPr>
                          <w:rFonts w:cstheme="minorHAnsi"/>
                          <w:color w:val="3C1A56"/>
                          <w:sz w:val="28"/>
                          <w:szCs w:val="28"/>
                        </w:rPr>
                        <w:t xml:space="preserve"> </w:t>
                      </w:r>
                    </w:p>
                    <w:p w14:paraId="5C5A5D3A" w14:textId="77777777" w:rsidR="002261A7" w:rsidRDefault="002261A7" w:rsidP="00A60D4B"/>
                  </w:txbxContent>
                </v:textbox>
                <w10:wrap type="square" anchorx="margin"/>
              </v:shape>
            </w:pict>
          </mc:Fallback>
        </mc:AlternateContent>
      </w:r>
      <w:r w:rsidRPr="00062CD6">
        <w:rPr>
          <w:rFonts w:ascii="Calibri" w:eastAsia="Times New Roman" w:hAnsi="Calibri" w:cs="Calibri"/>
          <w:color w:val="000000"/>
          <w:szCs w:val="24"/>
          <w:lang w:eastAsia="en-AU"/>
        </w:rPr>
        <w:t xml:space="preserve">Supporting Aboriginal and Torres Strait Islander </w:t>
      </w:r>
      <w:r>
        <w:rPr>
          <w:rFonts w:ascii="Calibri" w:eastAsia="Times New Roman" w:hAnsi="Calibri" w:cs="Calibri"/>
          <w:color w:val="000000"/>
          <w:szCs w:val="24"/>
          <w:lang w:eastAsia="en-AU"/>
        </w:rPr>
        <w:t>P</w:t>
      </w:r>
      <w:r w:rsidRPr="00062CD6">
        <w:rPr>
          <w:rFonts w:ascii="Calibri" w:eastAsia="Times New Roman" w:hAnsi="Calibri" w:cs="Calibri"/>
          <w:color w:val="000000"/>
          <w:szCs w:val="24"/>
          <w:lang w:eastAsia="en-AU"/>
        </w:rPr>
        <w:t xml:space="preserve">eoples, acknowledging the wrongs of the past and working towards reconciliation remain key priorities for this Government. </w:t>
      </w:r>
      <w:r w:rsidRPr="00062CD6">
        <w:rPr>
          <w:szCs w:val="24"/>
        </w:rPr>
        <w:t>Initiatives in the 2021</w:t>
      </w:r>
      <w:r w:rsidRPr="00062CD6">
        <w:rPr>
          <w:szCs w:val="24"/>
        </w:rPr>
        <w:noBreakHyphen/>
        <w:t>22 Budget supporting further progress include:</w:t>
      </w:r>
    </w:p>
    <w:p w14:paraId="5A14AA94" w14:textId="77777777" w:rsidR="00CF0E2D" w:rsidRPr="00062CD6" w:rsidRDefault="00CF0E2D" w:rsidP="00CF0E2D">
      <w:pPr>
        <w:pStyle w:val="ListParagraph"/>
        <w:numPr>
          <w:ilvl w:val="0"/>
          <w:numId w:val="12"/>
        </w:numPr>
        <w:spacing w:after="0" w:line="240" w:lineRule="auto"/>
        <w:ind w:left="360"/>
        <w:rPr>
          <w:rFonts w:ascii="Calibri" w:eastAsia="Times New Roman" w:hAnsi="Calibri" w:cs="Calibri"/>
          <w:color w:val="000000"/>
          <w:sz w:val="24"/>
          <w:szCs w:val="24"/>
          <w:lang w:eastAsia="en-AU"/>
        </w:rPr>
      </w:pPr>
      <w:r w:rsidRPr="00062CD6">
        <w:rPr>
          <w:rFonts w:ascii="Calibri" w:eastAsia="Times New Roman" w:hAnsi="Calibri" w:cs="Calibri"/>
          <w:color w:val="000000" w:themeColor="text1"/>
          <w:sz w:val="24"/>
          <w:szCs w:val="24"/>
          <w:lang w:eastAsia="en-AU"/>
        </w:rPr>
        <w:t>establishing the $20 million Healing and Reconciliation Fund;</w:t>
      </w:r>
    </w:p>
    <w:p w14:paraId="65E0CA34" w14:textId="77777777" w:rsidR="00CF0E2D" w:rsidRPr="00062CD6" w:rsidRDefault="00CF0E2D" w:rsidP="00CF0E2D">
      <w:pPr>
        <w:pStyle w:val="ListParagraph"/>
        <w:numPr>
          <w:ilvl w:val="0"/>
          <w:numId w:val="12"/>
        </w:numPr>
        <w:spacing w:after="0" w:line="240" w:lineRule="auto"/>
        <w:ind w:left="360"/>
        <w:rPr>
          <w:rFonts w:ascii="Calibri" w:eastAsia="Times New Roman" w:hAnsi="Calibri" w:cs="Calibri"/>
          <w:color w:val="000000"/>
          <w:sz w:val="24"/>
          <w:szCs w:val="24"/>
          <w:lang w:eastAsia="en-AU"/>
        </w:rPr>
      </w:pPr>
      <w:r w:rsidRPr="00062CD6">
        <w:rPr>
          <w:rFonts w:ascii="Calibri" w:eastAsia="Times New Roman" w:hAnsi="Calibri" w:cs="Calibri"/>
          <w:color w:val="000000" w:themeColor="text1"/>
          <w:sz w:val="24"/>
          <w:szCs w:val="24"/>
          <w:lang w:eastAsia="en-AU"/>
        </w:rPr>
        <w:t>funding of $920,000 for an Aboriginal and Torres Strait Islander business support package;</w:t>
      </w:r>
    </w:p>
    <w:p w14:paraId="7BBA0FF1" w14:textId="77777777" w:rsidR="00CF0E2D" w:rsidRPr="003202FD" w:rsidRDefault="00CF0E2D" w:rsidP="00CF0E2D">
      <w:pPr>
        <w:pStyle w:val="ListParagraph"/>
        <w:numPr>
          <w:ilvl w:val="0"/>
          <w:numId w:val="12"/>
        </w:numPr>
        <w:spacing w:after="0" w:line="240" w:lineRule="auto"/>
        <w:ind w:left="360"/>
        <w:rPr>
          <w:rFonts w:ascii="Calibri" w:eastAsia="Times New Roman" w:hAnsi="Calibri" w:cs="Calibri"/>
          <w:color w:val="000000"/>
          <w:sz w:val="24"/>
          <w:szCs w:val="24"/>
          <w:lang w:eastAsia="en-AU"/>
        </w:rPr>
      </w:pPr>
      <w:r w:rsidRPr="003202FD">
        <w:rPr>
          <w:rFonts w:ascii="Calibri" w:eastAsia="Times New Roman" w:hAnsi="Calibri" w:cs="Calibri"/>
          <w:color w:val="000000" w:themeColor="text1"/>
          <w:sz w:val="24"/>
          <w:szCs w:val="24"/>
          <w:lang w:eastAsia="en-AU"/>
        </w:rPr>
        <w:t xml:space="preserve">more than $15 million for the construction of a purpose-built facility for Gugan Gulwan </w:t>
      </w:r>
      <w:r w:rsidRPr="003202FD">
        <w:rPr>
          <w:sz w:val="24"/>
          <w:szCs w:val="24"/>
          <w:lang w:eastAsia="en-AU"/>
        </w:rPr>
        <w:t>Youth Aboriginal Corporation; and</w:t>
      </w:r>
    </w:p>
    <w:p w14:paraId="2C0295B3" w14:textId="77777777" w:rsidR="00CF0E2D" w:rsidRPr="001F5FE5" w:rsidRDefault="00CF0E2D" w:rsidP="00CF0E2D">
      <w:pPr>
        <w:pStyle w:val="ListParagraph"/>
        <w:numPr>
          <w:ilvl w:val="0"/>
          <w:numId w:val="12"/>
        </w:numPr>
        <w:spacing w:after="0" w:line="240" w:lineRule="auto"/>
        <w:ind w:left="360"/>
        <w:rPr>
          <w:rFonts w:ascii="Calibri" w:eastAsia="Times New Roman" w:hAnsi="Calibri" w:cs="Calibri"/>
          <w:color w:val="000000"/>
          <w:sz w:val="24"/>
          <w:szCs w:val="24"/>
          <w:lang w:eastAsia="en-AU"/>
        </w:rPr>
      </w:pPr>
      <w:r>
        <w:rPr>
          <w:noProof/>
        </w:rPr>
        <w:drawing>
          <wp:anchor distT="0" distB="0" distL="114300" distR="114300" simplePos="0" relativeHeight="251711488" behindDoc="0" locked="0" layoutInCell="1" allowOverlap="1" wp14:anchorId="292BBFAA" wp14:editId="0E64A5F7">
            <wp:simplePos x="0" y="0"/>
            <wp:positionH relativeFrom="column">
              <wp:posOffset>107950</wp:posOffset>
            </wp:positionH>
            <wp:positionV relativeFrom="paragraph">
              <wp:posOffset>488315</wp:posOffset>
            </wp:positionV>
            <wp:extent cx="5723890" cy="381571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23890" cy="3815715"/>
                    </a:xfrm>
                    <a:prstGeom prst="rect">
                      <a:avLst/>
                    </a:prstGeom>
                    <a:noFill/>
                    <a:ln>
                      <a:noFill/>
                    </a:ln>
                  </pic:spPr>
                </pic:pic>
              </a:graphicData>
            </a:graphic>
          </wp:anchor>
        </w:drawing>
      </w:r>
      <w:r w:rsidRPr="001F5FE5">
        <w:rPr>
          <w:rFonts w:ascii="Calibri" w:eastAsia="Times New Roman" w:hAnsi="Calibri" w:cs="Calibri"/>
          <w:color w:val="000000" w:themeColor="text1"/>
          <w:sz w:val="24"/>
          <w:szCs w:val="24"/>
          <w:lang w:eastAsia="en-AU"/>
        </w:rPr>
        <w:t>the establishment of an Office of the Aboriginal and Torres Strait Islander Children’s Commissioner</w:t>
      </w:r>
      <w:r w:rsidRPr="001F5FE5">
        <w:rPr>
          <w:sz w:val="24"/>
          <w:szCs w:val="24"/>
          <w:lang w:eastAsia="en-AU"/>
        </w:rPr>
        <w:t>.</w:t>
      </w:r>
      <w:r w:rsidRPr="00E85CC2">
        <w:rPr>
          <w:noProof/>
        </w:rPr>
        <w:t xml:space="preserve"> </w:t>
      </w:r>
    </w:p>
    <w:p w14:paraId="7A35C552" w14:textId="77777777" w:rsidR="00CF0E2D" w:rsidRDefault="00CF0E2D">
      <w:pPr>
        <w:rPr>
          <w:rFonts w:eastAsia="Times New Roman" w:cstheme="majorBidi"/>
          <w:b/>
          <w:i/>
          <w:sz w:val="24"/>
          <w:lang w:eastAsia="en-AU"/>
        </w:rPr>
      </w:pPr>
      <w:r>
        <w:rPr>
          <w:rFonts w:eastAsia="Times New Roman"/>
          <w:lang w:eastAsia="en-AU"/>
        </w:rPr>
        <w:br w:type="page"/>
      </w:r>
    </w:p>
    <w:p w14:paraId="7BDFDE0F" w14:textId="77777777" w:rsidR="00CF0E2D" w:rsidRPr="008E575C" w:rsidRDefault="00CF0E2D" w:rsidP="00A60D4B">
      <w:pPr>
        <w:pStyle w:val="Heading5"/>
        <w:rPr>
          <w:rFonts w:eastAsia="Times New Roman"/>
          <w:lang w:eastAsia="en-AU"/>
        </w:rPr>
      </w:pPr>
      <w:r w:rsidRPr="008C7E23">
        <w:rPr>
          <w:rFonts w:ascii="Calibri" w:eastAsia="Times New Roman" w:hAnsi="Calibri" w:cs="Calibri"/>
          <w:noProof/>
          <w:color w:val="000000"/>
          <w:szCs w:val="24"/>
          <w:lang w:eastAsia="en-AU"/>
        </w:rPr>
        <w:lastRenderedPageBreak/>
        <mc:AlternateContent>
          <mc:Choice Requires="wps">
            <w:drawing>
              <wp:anchor distT="45720" distB="45720" distL="114300" distR="114300" simplePos="0" relativeHeight="251706368" behindDoc="0" locked="0" layoutInCell="1" allowOverlap="1" wp14:anchorId="463FB9F7" wp14:editId="15CE0C47">
                <wp:simplePos x="0" y="0"/>
                <wp:positionH relativeFrom="margin">
                  <wp:posOffset>3114675</wp:posOffset>
                </wp:positionH>
                <wp:positionV relativeFrom="paragraph">
                  <wp:posOffset>2540</wp:posOffset>
                </wp:positionV>
                <wp:extent cx="2712720" cy="192405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720" cy="1924050"/>
                        </a:xfrm>
                        <a:prstGeom prst="rect">
                          <a:avLst/>
                        </a:prstGeom>
                        <a:solidFill>
                          <a:srgbClr val="FFFFFF"/>
                        </a:solidFill>
                        <a:ln w="9525">
                          <a:noFill/>
                          <a:miter lim="800000"/>
                          <a:headEnd/>
                          <a:tailEnd/>
                        </a:ln>
                      </wps:spPr>
                      <wps:txbx>
                        <w:txbxContent>
                          <w:p w14:paraId="451A3547" w14:textId="5CB80C0F" w:rsidR="002261A7" w:rsidRPr="002714B5" w:rsidRDefault="002261A7" w:rsidP="00A60D4B">
                            <w:pPr>
                              <w:spacing w:before="240" w:after="240"/>
                              <w:jc w:val="center"/>
                              <w:rPr>
                                <w:rFonts w:ascii="Source Sans Pro SemiBold" w:hAnsi="Source Sans Pro SemiBold"/>
                                <w:color w:val="3C1A56"/>
                                <w:sz w:val="28"/>
                                <w:szCs w:val="28"/>
                              </w:rPr>
                            </w:pPr>
                            <w:r w:rsidRPr="002714B5">
                              <w:rPr>
                                <w:rFonts w:cstheme="minorHAnsi"/>
                                <w:color w:val="3C1A56"/>
                                <w:sz w:val="28"/>
                                <w:szCs w:val="28"/>
                              </w:rPr>
                              <w:t xml:space="preserve">For more information on the Government’s efforts to make Canberra an inclusive city for all,  including support for LGBTIQ+ Canberrans, see the </w:t>
                            </w:r>
                            <w:r w:rsidRPr="002714B5">
                              <w:rPr>
                                <w:rFonts w:cstheme="minorHAnsi"/>
                                <w:b/>
                                <w:bCs/>
                                <w:color w:val="3C1A56"/>
                                <w:sz w:val="28"/>
                                <w:szCs w:val="28"/>
                              </w:rPr>
                              <w:t>Social  Inclusion Statement 2021</w:t>
                            </w:r>
                            <w:r w:rsidRPr="002714B5">
                              <w:rPr>
                                <w:rFonts w:cstheme="minorHAnsi"/>
                                <w:b/>
                                <w:bCs/>
                                <w:color w:val="3C1A56"/>
                                <w:sz w:val="28"/>
                                <w:szCs w:val="28"/>
                              </w:rPr>
                              <w:noBreakHyphen/>
                              <w:t>2</w:t>
                            </w:r>
                            <w:r>
                              <w:rPr>
                                <w:rFonts w:cstheme="minorHAnsi"/>
                                <w:b/>
                                <w:bCs/>
                                <w:color w:val="3C1A56"/>
                                <w:sz w:val="28"/>
                                <w:szCs w:val="28"/>
                              </w:rPr>
                              <w:t>2</w:t>
                            </w:r>
                            <w:r w:rsidRPr="002714B5">
                              <w:rPr>
                                <w:rFonts w:cstheme="minorHAnsi"/>
                                <w:color w:val="3C1A56"/>
                                <w:sz w:val="28"/>
                                <w:szCs w:val="28"/>
                              </w:rPr>
                              <w:t xml:space="preserve">, available </w:t>
                            </w:r>
                            <w:hyperlink r:id="rId61" w:history="1">
                              <w:r w:rsidRPr="002714B5">
                                <w:rPr>
                                  <w:rStyle w:val="Hyperlink"/>
                                  <w:rFonts w:cstheme="minorHAnsi"/>
                                  <w:sz w:val="28"/>
                                  <w:szCs w:val="28"/>
                                </w:rPr>
                                <w:t>here</w:t>
                              </w:r>
                            </w:hyperlink>
                            <w:r w:rsidRPr="002714B5">
                              <w:rPr>
                                <w:rFonts w:cstheme="minorHAnsi"/>
                                <w:color w:val="3C1A56"/>
                                <w:sz w:val="28"/>
                                <w:szCs w:val="28"/>
                              </w:rPr>
                              <w:t xml:space="preserve"> </w:t>
                            </w:r>
                          </w:p>
                          <w:p w14:paraId="197AB4E5" w14:textId="77777777" w:rsidR="002261A7" w:rsidRDefault="002261A7" w:rsidP="00A60D4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FB9F7" id="_x0000_s1030" type="#_x0000_t202" style="position:absolute;margin-left:245.25pt;margin-top:.2pt;width:213.6pt;height:151.5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" stroked="f">
                <v:textbox>
                  <w:txbxContent>
                    <w:p w14:paraId="451A3547" w14:textId="5CB80C0F" w:rsidR="002261A7" w:rsidRPr="002714B5" w:rsidRDefault="002261A7" w:rsidP="00A60D4B">
                      <w:pPr>
                        <w:spacing w:before="240" w:after="240"/>
                        <w:jc w:val="center"/>
                        <w:rPr>
                          <w:rFonts w:ascii="Source Sans Pro SemiBold" w:hAnsi="Source Sans Pro SemiBold"/>
                          <w:color w:val="3C1A56"/>
                          <w:sz w:val="28"/>
                          <w:szCs w:val="28"/>
                        </w:rPr>
                      </w:pPr>
                      <w:r w:rsidRPr="002714B5">
                        <w:rPr>
                          <w:rFonts w:cstheme="minorHAnsi"/>
                          <w:color w:val="3C1A56"/>
                          <w:sz w:val="28"/>
                          <w:szCs w:val="28"/>
                        </w:rPr>
                        <w:t xml:space="preserve">For more information on the Government’s efforts to make Canberra an inclusive city for all,  including support for LGBTIQ+ Canberrans, see the </w:t>
                      </w:r>
                      <w:r w:rsidRPr="002714B5">
                        <w:rPr>
                          <w:rFonts w:cstheme="minorHAnsi"/>
                          <w:b/>
                          <w:bCs/>
                          <w:color w:val="3C1A56"/>
                          <w:sz w:val="28"/>
                          <w:szCs w:val="28"/>
                        </w:rPr>
                        <w:t>Social  Inclusion Statement 2021</w:t>
                      </w:r>
                      <w:r w:rsidRPr="002714B5">
                        <w:rPr>
                          <w:rFonts w:cstheme="minorHAnsi"/>
                          <w:b/>
                          <w:bCs/>
                          <w:color w:val="3C1A56"/>
                          <w:sz w:val="28"/>
                          <w:szCs w:val="28"/>
                        </w:rPr>
                        <w:noBreakHyphen/>
                        <w:t>2</w:t>
                      </w:r>
                      <w:r>
                        <w:rPr>
                          <w:rFonts w:cstheme="minorHAnsi"/>
                          <w:b/>
                          <w:bCs/>
                          <w:color w:val="3C1A56"/>
                          <w:sz w:val="28"/>
                          <w:szCs w:val="28"/>
                        </w:rPr>
                        <w:t>2</w:t>
                      </w:r>
                      <w:r w:rsidRPr="002714B5">
                        <w:rPr>
                          <w:rFonts w:cstheme="minorHAnsi"/>
                          <w:color w:val="3C1A56"/>
                          <w:sz w:val="28"/>
                          <w:szCs w:val="28"/>
                        </w:rPr>
                        <w:t xml:space="preserve">, available </w:t>
                      </w:r>
                      <w:hyperlink r:id="rId62" w:history="1">
                        <w:r w:rsidRPr="002714B5">
                          <w:rPr>
                            <w:rStyle w:val="Hyperlink"/>
                            <w:rFonts w:cstheme="minorHAnsi"/>
                            <w:sz w:val="28"/>
                            <w:szCs w:val="28"/>
                          </w:rPr>
                          <w:t>here</w:t>
                        </w:r>
                      </w:hyperlink>
                      <w:r w:rsidRPr="002714B5">
                        <w:rPr>
                          <w:rFonts w:cstheme="minorHAnsi"/>
                          <w:color w:val="3C1A56"/>
                          <w:sz w:val="28"/>
                          <w:szCs w:val="28"/>
                        </w:rPr>
                        <w:t xml:space="preserve"> </w:t>
                      </w:r>
                    </w:p>
                    <w:p w14:paraId="197AB4E5" w14:textId="77777777" w:rsidR="002261A7" w:rsidRDefault="002261A7" w:rsidP="00A60D4B"/>
                  </w:txbxContent>
                </v:textbox>
                <w10:wrap type="square" anchorx="margin"/>
              </v:shape>
            </w:pict>
          </mc:Fallback>
        </mc:AlternateContent>
      </w:r>
      <w:r>
        <w:rPr>
          <w:rFonts w:eastAsia="Times New Roman"/>
          <w:lang w:eastAsia="en-AU"/>
        </w:rPr>
        <w:t>Support for LGBTIQ+ Canberrans</w:t>
      </w:r>
    </w:p>
    <w:p w14:paraId="5656EEA4" w14:textId="77777777" w:rsidR="00CF0E2D" w:rsidRPr="001F5FE5" w:rsidRDefault="00CF0E2D" w:rsidP="00A60D4B">
      <w:pPr>
        <w:pStyle w:val="Bbodytext"/>
        <w:rPr>
          <w:rFonts w:cstheme="minorHAnsi"/>
          <w:szCs w:val="24"/>
        </w:rPr>
      </w:pPr>
      <w:r w:rsidRPr="001F5FE5">
        <w:rPr>
          <w:rFonts w:cstheme="minorHAnsi"/>
          <w:szCs w:val="24"/>
        </w:rPr>
        <w:t>The 2021-22 Budget provides ongoing funding</w:t>
      </w:r>
      <w:r>
        <w:rPr>
          <w:rFonts w:cstheme="minorHAnsi"/>
          <w:szCs w:val="24"/>
        </w:rPr>
        <w:t xml:space="preserve"> of $150,000 per annum</w:t>
      </w:r>
      <w:r w:rsidRPr="001F5FE5">
        <w:rPr>
          <w:rFonts w:cstheme="minorHAnsi"/>
          <w:szCs w:val="24"/>
        </w:rPr>
        <w:t xml:space="preserve"> for </w:t>
      </w:r>
      <w:r w:rsidRPr="001F5FE5">
        <w:rPr>
          <w:rFonts w:cstheme="minorHAnsi"/>
          <w:i/>
          <w:szCs w:val="24"/>
        </w:rPr>
        <w:t>A Gender Agenda</w:t>
      </w:r>
      <w:r w:rsidRPr="001F5FE5">
        <w:rPr>
          <w:rFonts w:cstheme="minorHAnsi"/>
          <w:szCs w:val="24"/>
        </w:rPr>
        <w:t xml:space="preserve"> to continue their work with vulnerable trans, gender diverse and intersex Canberrans. This includes peer support, intersex specific project work and the peer-based navigation and information service, The Friday Centre.</w:t>
      </w:r>
    </w:p>
    <w:p w14:paraId="600DF9E5" w14:textId="77777777" w:rsidR="00CF0E2D" w:rsidRPr="000A79AC" w:rsidRDefault="00CF0E2D" w:rsidP="00A60D4B">
      <w:pPr>
        <w:pStyle w:val="Bbodytext"/>
        <w:rPr>
          <w:rFonts w:ascii="Calibri" w:eastAsia="Times New Roman" w:hAnsi="Calibri" w:cs="Calibri"/>
          <w:color w:val="000000"/>
          <w:szCs w:val="24"/>
          <w:lang w:eastAsia="en-AU"/>
        </w:rPr>
      </w:pPr>
      <w:r w:rsidRPr="001F5FE5">
        <w:rPr>
          <w:szCs w:val="24"/>
        </w:rPr>
        <w:t xml:space="preserve">The 2021-22 Budget also provides funding to begin delivery of the recommendations from the final report of the ACT Health Directorate’s </w:t>
      </w:r>
      <w:r w:rsidRPr="002714B5">
        <w:rPr>
          <w:i/>
          <w:iCs/>
          <w:szCs w:val="24"/>
        </w:rPr>
        <w:t>LGBTIQ+ Health Scoping Study</w:t>
      </w:r>
      <w:r w:rsidRPr="001F5FE5">
        <w:rPr>
          <w:szCs w:val="24"/>
        </w:rPr>
        <w:t>, including partnering with the LGBTIQ+ community to finalise development of a model of care to deliver a gender focused and peer-led health service.</w:t>
      </w:r>
      <w:r w:rsidRPr="008C7E23">
        <w:rPr>
          <w:noProof/>
        </w:rPr>
        <w:t xml:space="preserve"> </w:t>
      </w:r>
    </w:p>
    <w:p w14:paraId="1338AAC0" w14:textId="77777777" w:rsidR="00CF0E2D" w:rsidRDefault="00CF0E2D" w:rsidP="00A60D4B">
      <w:pPr>
        <w:pStyle w:val="Heading3"/>
        <w:rPr>
          <w:rFonts w:eastAsia="Times New Roman"/>
          <w:lang w:eastAsia="en-AU"/>
        </w:rPr>
      </w:pPr>
      <w:r>
        <w:rPr>
          <w:rFonts w:eastAsia="Times New Roman"/>
          <w:lang w:eastAsia="en-AU"/>
        </w:rPr>
        <w:t>Fostering strong social connections</w:t>
      </w:r>
    </w:p>
    <w:p w14:paraId="7FFB3215" w14:textId="77777777" w:rsidR="00CF0E2D" w:rsidRPr="001E5620" w:rsidRDefault="00CF0E2D" w:rsidP="00A60D4B">
      <w:pPr>
        <w:pStyle w:val="Bbodytext"/>
        <w:rPr>
          <w:szCs w:val="24"/>
        </w:rPr>
      </w:pPr>
      <w:r w:rsidRPr="001E5620">
        <w:rPr>
          <w:rFonts w:ascii="Calibri" w:eastAsia="Times New Roman" w:hAnsi="Calibri" w:cs="Calibri"/>
          <w:color w:val="000000"/>
          <w:szCs w:val="24"/>
          <w:lang w:eastAsia="en-AU"/>
        </w:rPr>
        <w:t>Strong social and community ties underpin personal wellbeing and are important contributors to society’s prosperity more broadly.</w:t>
      </w:r>
    </w:p>
    <w:p w14:paraId="62BD4185" w14:textId="77777777" w:rsidR="00CF0E2D" w:rsidRPr="001E5620" w:rsidRDefault="00CF0E2D" w:rsidP="00A60D4B">
      <w:pPr>
        <w:pStyle w:val="Bbodytext"/>
        <w:rPr>
          <w:szCs w:val="24"/>
        </w:rPr>
      </w:pPr>
      <w:r w:rsidRPr="001E5620">
        <w:rPr>
          <w:szCs w:val="24"/>
        </w:rPr>
        <w:t>Being close with others</w:t>
      </w:r>
      <w:r w:rsidRPr="001E5620" w:rsidDel="00B41A68">
        <w:rPr>
          <w:szCs w:val="24"/>
        </w:rPr>
        <w:t xml:space="preserve"> </w:t>
      </w:r>
      <w:r w:rsidRPr="001E5620">
        <w:rPr>
          <w:szCs w:val="24"/>
        </w:rPr>
        <w:t xml:space="preserve">reduces loneliness and fosters resilience, especially when dealing with events that disrupt our lives. Social interactions with friends, family and community groups help Canberrans to feel valued and connected to the broader community. The </w:t>
      </w:r>
      <w:r w:rsidRPr="001E5620">
        <w:rPr>
          <w:i/>
          <w:iCs/>
          <w:szCs w:val="24"/>
        </w:rPr>
        <w:t>Living well</w:t>
      </w:r>
      <w:r w:rsidRPr="001E5620">
        <w:rPr>
          <w:szCs w:val="24"/>
        </w:rPr>
        <w:t xml:space="preserve"> survey indicated that the proportion of Canberrans who reported often feeling lonely increased during the 2020 lockdown, particularly for younger age groups and those unemployed. </w:t>
      </w:r>
    </w:p>
    <w:p w14:paraId="118768C1" w14:textId="77777777" w:rsidR="00CF0E2D" w:rsidRDefault="00CF0E2D" w:rsidP="00A60D4B">
      <w:pPr>
        <w:pStyle w:val="Heading4"/>
      </w:pPr>
      <w:r>
        <w:rPr>
          <w:noProof/>
        </w:rPr>
        <w:drawing>
          <wp:anchor distT="0" distB="0" distL="114300" distR="114300" simplePos="0" relativeHeight="251704320" behindDoc="0" locked="0" layoutInCell="1" allowOverlap="1" wp14:anchorId="1CB9C794" wp14:editId="1E2A2CB1">
            <wp:simplePos x="0" y="0"/>
            <wp:positionH relativeFrom="margin">
              <wp:align>right</wp:align>
            </wp:positionH>
            <wp:positionV relativeFrom="paragraph">
              <wp:posOffset>59631</wp:posOffset>
            </wp:positionV>
            <wp:extent cx="1775460" cy="2162810"/>
            <wp:effectExtent l="0" t="0" r="0" b="8890"/>
            <wp:wrapSquare wrapText="bothSides"/>
            <wp:docPr id="4" name="Community housing 2.png"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mmunity housing 2.png" descr="Text&#10;&#10;Description automatically generated with medium confidence"/>
                    <pic:cNvPicPr/>
                  </pic:nvPicPr>
                  <pic:blipFill>
                    <a:blip r:embed="rId63" r:link="rId64" cstate="print">
                      <a:extLst>
                        <a:ext uri="{28A0092B-C50C-407E-A947-70E740481C1C}">
                          <a14:useLocalDpi xmlns:a14="http://schemas.microsoft.com/office/drawing/2010/main" val="0"/>
                        </a:ext>
                      </a:extLst>
                    </a:blip>
                    <a:stretch>
                      <a:fillRect/>
                    </a:stretch>
                  </pic:blipFill>
                  <pic:spPr>
                    <a:xfrm>
                      <a:off x="0" y="0"/>
                      <a:ext cx="1775460" cy="2162810"/>
                    </a:xfrm>
                    <a:prstGeom prst="rect">
                      <a:avLst/>
                    </a:prstGeom>
                  </pic:spPr>
                </pic:pic>
              </a:graphicData>
            </a:graphic>
            <wp14:sizeRelH relativeFrom="page">
              <wp14:pctWidth>0</wp14:pctWidth>
            </wp14:sizeRelH>
            <wp14:sizeRelV relativeFrom="page">
              <wp14:pctHeight>0</wp14:pctHeight>
            </wp14:sizeRelV>
          </wp:anchor>
        </w:drawing>
      </w:r>
      <w:r>
        <w:t xml:space="preserve">2021-22 Budget </w:t>
      </w:r>
    </w:p>
    <w:p w14:paraId="12CA7B00" w14:textId="77777777" w:rsidR="00CF0E2D" w:rsidRPr="001E5620" w:rsidRDefault="00CF0E2D" w:rsidP="00A60D4B">
      <w:pPr>
        <w:pStyle w:val="Bbodytext"/>
        <w:rPr>
          <w:rFonts w:ascii="Calibri" w:eastAsia="Times New Roman" w:hAnsi="Calibri" w:cs="Calibri"/>
          <w:color w:val="000000"/>
          <w:szCs w:val="24"/>
          <w:lang w:eastAsia="en-AU"/>
        </w:rPr>
      </w:pPr>
      <w:r w:rsidRPr="001E5620">
        <w:rPr>
          <w:rFonts w:ascii="Calibri" w:eastAsia="Times New Roman" w:hAnsi="Calibri" w:cs="Calibri"/>
          <w:color w:val="000000"/>
          <w:szCs w:val="24"/>
          <w:lang w:eastAsia="en-AU"/>
        </w:rPr>
        <w:t>Noting the current challenges posed by the public health emergency, supporting strong communities is more important than ever. The 2021-22 Budget includes support for communities across a broad range of areas</w:t>
      </w:r>
      <w:r>
        <w:rPr>
          <w:rFonts w:ascii="Calibri" w:eastAsia="Times New Roman" w:hAnsi="Calibri" w:cs="Calibri"/>
          <w:color w:val="000000"/>
          <w:szCs w:val="24"/>
          <w:lang w:eastAsia="en-AU"/>
        </w:rPr>
        <w:t xml:space="preserve">, </w:t>
      </w:r>
      <w:r w:rsidRPr="001E5620">
        <w:rPr>
          <w:rFonts w:ascii="Calibri" w:eastAsia="Times New Roman" w:hAnsi="Calibri" w:cs="Calibri"/>
          <w:color w:val="000000"/>
          <w:szCs w:val="24"/>
          <w:lang w:eastAsia="en-AU"/>
        </w:rPr>
        <w:t xml:space="preserve">including critical support in response to the public health emergency, as well as longer-term investments to further strengthen our communities and celebrate our multicultural diversity. </w:t>
      </w:r>
    </w:p>
    <w:p w14:paraId="7CDD5C07" w14:textId="77777777" w:rsidR="00CF0E2D" w:rsidRPr="001E5620" w:rsidRDefault="00CF0E2D" w:rsidP="00A60D4B">
      <w:pPr>
        <w:pStyle w:val="Bbodytext"/>
        <w:rPr>
          <w:rFonts w:ascii="Calibri" w:eastAsia="Times New Roman" w:hAnsi="Calibri" w:cs="Calibri"/>
          <w:color w:val="000000"/>
          <w:szCs w:val="24"/>
          <w:lang w:eastAsia="en-AU"/>
        </w:rPr>
      </w:pPr>
      <w:r w:rsidRPr="001E5620">
        <w:rPr>
          <w:szCs w:val="24"/>
        </w:rPr>
        <w:t>Major initiatives in the 2021</w:t>
      </w:r>
      <w:r w:rsidRPr="001E5620">
        <w:rPr>
          <w:szCs w:val="24"/>
        </w:rPr>
        <w:noBreakHyphen/>
        <w:t>22 Budget supporting social connection include:</w:t>
      </w:r>
    </w:p>
    <w:p w14:paraId="53207F1D" w14:textId="77777777" w:rsidR="00CF0E2D" w:rsidRPr="0054555F" w:rsidRDefault="00CF0E2D" w:rsidP="00CF0E2D">
      <w:pPr>
        <w:pStyle w:val="ListParagraph"/>
        <w:numPr>
          <w:ilvl w:val="0"/>
          <w:numId w:val="12"/>
        </w:numPr>
        <w:spacing w:after="0" w:line="240" w:lineRule="auto"/>
        <w:ind w:left="360"/>
        <w:rPr>
          <w:rFonts w:ascii="Calibri" w:eastAsia="Times New Roman" w:hAnsi="Calibri" w:cs="Calibri"/>
          <w:color w:val="000000" w:themeColor="text1"/>
          <w:sz w:val="24"/>
          <w:szCs w:val="24"/>
          <w:lang w:eastAsia="en-AU"/>
        </w:rPr>
      </w:pPr>
      <w:r w:rsidRPr="001E5620">
        <w:rPr>
          <w:rFonts w:ascii="Calibri" w:eastAsia="Times New Roman" w:hAnsi="Calibri" w:cs="Calibri"/>
          <w:color w:val="000000" w:themeColor="text1"/>
          <w:sz w:val="24"/>
          <w:szCs w:val="24"/>
          <w:lang w:eastAsia="en-AU"/>
        </w:rPr>
        <w:t>the COVID-19 community support package, including funding to support multicultural communities and refugees and asylum seekers</w:t>
      </w:r>
      <w:r>
        <w:rPr>
          <w:rFonts w:ascii="Calibri" w:eastAsia="Times New Roman" w:hAnsi="Calibri" w:cs="Calibri"/>
          <w:color w:val="000000" w:themeColor="text1"/>
          <w:sz w:val="24"/>
          <w:szCs w:val="24"/>
          <w:lang w:eastAsia="en-AU"/>
        </w:rPr>
        <w:t xml:space="preserve">; </w:t>
      </w:r>
    </w:p>
    <w:p w14:paraId="20B95E11" w14:textId="77777777" w:rsidR="00CF0E2D" w:rsidRPr="0054555F" w:rsidRDefault="00CF0E2D" w:rsidP="00CF0E2D">
      <w:pPr>
        <w:pStyle w:val="ListParagraph"/>
        <w:numPr>
          <w:ilvl w:val="0"/>
          <w:numId w:val="12"/>
        </w:numPr>
        <w:spacing w:after="0" w:line="240" w:lineRule="auto"/>
        <w:ind w:left="360"/>
        <w:rPr>
          <w:rFonts w:ascii="Calibri" w:eastAsia="Times New Roman" w:hAnsi="Calibri" w:cs="Calibri"/>
          <w:color w:val="000000" w:themeColor="text1"/>
          <w:sz w:val="24"/>
          <w:szCs w:val="24"/>
          <w:lang w:eastAsia="en-AU"/>
        </w:rPr>
      </w:pPr>
      <w:r w:rsidRPr="001E5620">
        <w:rPr>
          <w:rFonts w:ascii="Calibri" w:eastAsia="Times New Roman" w:hAnsi="Calibri" w:cs="Calibri"/>
          <w:color w:val="000000" w:themeColor="text1"/>
          <w:sz w:val="24"/>
          <w:szCs w:val="24"/>
          <w:lang w:eastAsia="en-AU"/>
        </w:rPr>
        <w:t>enacting the Multicultural Recognition Act;</w:t>
      </w:r>
    </w:p>
    <w:p w14:paraId="025A868D" w14:textId="77777777" w:rsidR="00CF0E2D" w:rsidRPr="0054555F" w:rsidRDefault="00CF0E2D" w:rsidP="00CF0E2D">
      <w:pPr>
        <w:pStyle w:val="ListParagraph"/>
        <w:numPr>
          <w:ilvl w:val="0"/>
          <w:numId w:val="12"/>
        </w:numPr>
        <w:spacing w:after="0" w:line="240" w:lineRule="auto"/>
        <w:ind w:left="360"/>
        <w:rPr>
          <w:rFonts w:ascii="Calibri" w:eastAsia="Times New Roman" w:hAnsi="Calibri" w:cs="Calibri"/>
          <w:color w:val="000000" w:themeColor="text1"/>
          <w:sz w:val="24"/>
          <w:szCs w:val="24"/>
          <w:lang w:eastAsia="en-AU"/>
        </w:rPr>
      </w:pPr>
      <w:r>
        <w:rPr>
          <w:rFonts w:ascii="Calibri" w:eastAsia="Times New Roman" w:hAnsi="Calibri" w:cs="Calibri"/>
          <w:color w:val="000000" w:themeColor="text1"/>
          <w:sz w:val="24"/>
          <w:szCs w:val="24"/>
          <w:lang w:eastAsia="en-AU"/>
        </w:rPr>
        <w:t>$750,000</w:t>
      </w:r>
      <w:r w:rsidRPr="001E5620">
        <w:rPr>
          <w:rFonts w:ascii="Calibri" w:eastAsia="Times New Roman" w:hAnsi="Calibri" w:cs="Calibri"/>
          <w:color w:val="000000" w:themeColor="text1"/>
          <w:sz w:val="24"/>
          <w:szCs w:val="24"/>
          <w:lang w:eastAsia="en-AU"/>
        </w:rPr>
        <w:t xml:space="preserve"> for the Holocaust Museum and Education Centre in Canberra;</w:t>
      </w:r>
    </w:p>
    <w:p w14:paraId="65E87090" w14:textId="77777777" w:rsidR="00CF0E2D" w:rsidRPr="0054555F" w:rsidRDefault="00CF0E2D" w:rsidP="00CF0E2D">
      <w:pPr>
        <w:pStyle w:val="ListParagraph"/>
        <w:numPr>
          <w:ilvl w:val="0"/>
          <w:numId w:val="12"/>
        </w:numPr>
        <w:spacing w:after="0" w:line="240" w:lineRule="auto"/>
        <w:ind w:left="360"/>
        <w:rPr>
          <w:rFonts w:ascii="Calibri" w:eastAsia="Times New Roman" w:hAnsi="Calibri" w:cs="Calibri"/>
          <w:color w:val="000000" w:themeColor="text1"/>
          <w:sz w:val="24"/>
          <w:szCs w:val="24"/>
          <w:lang w:eastAsia="en-AU"/>
        </w:rPr>
      </w:pPr>
      <w:r w:rsidRPr="001E5620">
        <w:rPr>
          <w:rFonts w:ascii="Calibri" w:eastAsia="Times New Roman" w:hAnsi="Calibri" w:cs="Calibri"/>
          <w:color w:val="000000" w:themeColor="text1"/>
          <w:sz w:val="24"/>
          <w:szCs w:val="24"/>
          <w:lang w:eastAsia="en-AU"/>
        </w:rPr>
        <w:t>funding for the operations of a Coombs Community Facility; and</w:t>
      </w:r>
    </w:p>
    <w:p w14:paraId="21333E00" w14:textId="77777777" w:rsidR="00CF0E2D" w:rsidRPr="0054555F" w:rsidRDefault="00CF0E2D" w:rsidP="00CF0E2D">
      <w:pPr>
        <w:pStyle w:val="ListParagraph"/>
        <w:numPr>
          <w:ilvl w:val="0"/>
          <w:numId w:val="12"/>
        </w:numPr>
        <w:spacing w:after="0" w:line="240" w:lineRule="auto"/>
        <w:ind w:left="360"/>
        <w:rPr>
          <w:rFonts w:ascii="Calibri" w:eastAsia="Times New Roman" w:hAnsi="Calibri" w:cs="Calibri"/>
          <w:color w:val="000000" w:themeColor="text1"/>
          <w:sz w:val="24"/>
          <w:szCs w:val="24"/>
          <w:lang w:eastAsia="en-AU"/>
        </w:rPr>
      </w:pPr>
      <w:r w:rsidRPr="001E5620">
        <w:rPr>
          <w:rFonts w:ascii="Calibri" w:eastAsia="Times New Roman" w:hAnsi="Calibri" w:cs="Calibri"/>
          <w:color w:val="000000" w:themeColor="text1"/>
          <w:sz w:val="24"/>
          <w:szCs w:val="24"/>
          <w:lang w:eastAsia="en-AU"/>
        </w:rPr>
        <w:t>planning for a new Gungahlin Community Centre.</w:t>
      </w:r>
    </w:p>
    <w:p w14:paraId="45DE4FE1" w14:textId="77777777" w:rsidR="00CF0E2D" w:rsidRPr="0090192F" w:rsidRDefault="00CF0E2D" w:rsidP="00A60D4B">
      <w:pPr>
        <w:pStyle w:val="Heading3"/>
      </w:pPr>
      <w:r>
        <w:rPr>
          <w:noProof/>
        </w:rPr>
        <w:lastRenderedPageBreak/>
        <w:drawing>
          <wp:anchor distT="0" distB="0" distL="114300" distR="114300" simplePos="0" relativeHeight="251684864" behindDoc="0" locked="0" layoutInCell="1" allowOverlap="1" wp14:anchorId="5301576B" wp14:editId="75838AE5">
            <wp:simplePos x="0" y="0"/>
            <wp:positionH relativeFrom="column">
              <wp:posOffset>3881962</wp:posOffset>
            </wp:positionH>
            <wp:positionV relativeFrom="paragraph">
              <wp:posOffset>6350</wp:posOffset>
            </wp:positionV>
            <wp:extent cx="1574800" cy="1600200"/>
            <wp:effectExtent l="0" t="0" r="0" b="0"/>
            <wp:wrapSquare wrapText="bothSides"/>
            <wp:docPr id="52" name="95 community infrastructure.png"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95 community infrastructure.png" descr="Text&#10;&#10;Description automatically generated"/>
                    <pic:cNvPicPr/>
                  </pic:nvPicPr>
                  <pic:blipFill>
                    <a:blip r:embed="rId65" r:link="rId66" cstate="print">
                      <a:extLst>
                        <a:ext uri="{28A0092B-C50C-407E-A947-70E740481C1C}">
                          <a14:useLocalDpi xmlns:a14="http://schemas.microsoft.com/office/drawing/2010/main" val="0"/>
                        </a:ext>
                      </a:extLst>
                    </a:blip>
                    <a:stretch>
                      <a:fillRect/>
                    </a:stretch>
                  </pic:blipFill>
                  <pic:spPr>
                    <a:xfrm>
                      <a:off x="0" y="0"/>
                      <a:ext cx="1574800" cy="1600200"/>
                    </a:xfrm>
                    <a:prstGeom prst="rect">
                      <a:avLst/>
                    </a:prstGeom>
                  </pic:spPr>
                </pic:pic>
              </a:graphicData>
            </a:graphic>
            <wp14:sizeRelH relativeFrom="page">
              <wp14:pctWidth>0</wp14:pctWidth>
            </wp14:sizeRelH>
            <wp14:sizeRelV relativeFrom="page">
              <wp14:pctHeight>0</wp14:pctHeight>
            </wp14:sizeRelV>
          </wp:anchor>
        </w:drawing>
      </w:r>
      <w:r>
        <w:t>C</w:t>
      </w:r>
      <w:r w:rsidRPr="0090192F">
        <w:t xml:space="preserve">ommunity infrastructure </w:t>
      </w:r>
      <w:r>
        <w:t>and venues</w:t>
      </w:r>
    </w:p>
    <w:p w14:paraId="7CAB4852" w14:textId="77777777" w:rsidR="00CF0E2D" w:rsidRDefault="00CF0E2D" w:rsidP="00A60D4B">
      <w:pPr>
        <w:pStyle w:val="Bbodytext"/>
        <w:rPr>
          <w:szCs w:val="24"/>
        </w:rPr>
      </w:pPr>
      <w:r w:rsidRPr="00625515">
        <w:rPr>
          <w:szCs w:val="24"/>
        </w:rPr>
        <w:t>The benefits of high quality and accessible community infrastructure and venues are shared by all members of the community. Good community infrastructure fosters our connections to nature and the community around us, supports people to lead healthy and active lives and contributes to our sense of belonging</w:t>
      </w:r>
      <w:bookmarkStart w:id="18" w:name="_Hlk83466735"/>
      <w:r w:rsidRPr="00625515">
        <w:rPr>
          <w:szCs w:val="24"/>
        </w:rPr>
        <w:t xml:space="preserve">. </w:t>
      </w:r>
    </w:p>
    <w:p w14:paraId="52026CF8" w14:textId="77777777" w:rsidR="00CF0E2D" w:rsidRPr="00625515" w:rsidRDefault="00CF0E2D" w:rsidP="00A60D4B">
      <w:pPr>
        <w:pStyle w:val="Bbodytext"/>
        <w:rPr>
          <w:szCs w:val="24"/>
        </w:rPr>
      </w:pPr>
      <w:r>
        <w:rPr>
          <w:szCs w:val="24"/>
        </w:rPr>
        <w:t>Canberra offers</w:t>
      </w:r>
      <w:r w:rsidRPr="00C90BA5">
        <w:rPr>
          <w:szCs w:val="24"/>
        </w:rPr>
        <w:t xml:space="preserve"> a diverse range of leisure and sport facilities, recreational parks and public space for celebrations and festive activities. </w:t>
      </w:r>
      <w:r>
        <w:rPr>
          <w:szCs w:val="24"/>
        </w:rPr>
        <w:t>W</w:t>
      </w:r>
      <w:r w:rsidRPr="00C90BA5">
        <w:rPr>
          <w:szCs w:val="24"/>
        </w:rPr>
        <w:t xml:space="preserve">ith its state-of-the-art </w:t>
      </w:r>
      <w:r w:rsidRPr="00C90BA5">
        <w:rPr>
          <w:rFonts w:eastAsia="Times New Roman"/>
          <w:szCs w:val="24"/>
        </w:rPr>
        <w:t>broadcast and media facilities</w:t>
      </w:r>
      <w:r>
        <w:rPr>
          <w:rFonts w:eastAsia="Times New Roman"/>
          <w:szCs w:val="24"/>
        </w:rPr>
        <w:t xml:space="preserve">, </w:t>
      </w:r>
      <w:r w:rsidRPr="00C90BA5">
        <w:rPr>
          <w:szCs w:val="24"/>
        </w:rPr>
        <w:t xml:space="preserve">Manuka Oval </w:t>
      </w:r>
      <w:r w:rsidRPr="00C90BA5">
        <w:rPr>
          <w:rFonts w:eastAsia="Times New Roman"/>
          <w:szCs w:val="24"/>
        </w:rPr>
        <w:t xml:space="preserve">is host to international </w:t>
      </w:r>
      <w:r>
        <w:rPr>
          <w:rFonts w:eastAsia="Times New Roman"/>
          <w:szCs w:val="24"/>
        </w:rPr>
        <w:t>t</w:t>
      </w:r>
      <w:r w:rsidRPr="00C90BA5">
        <w:rPr>
          <w:rFonts w:eastAsia="Times New Roman"/>
          <w:szCs w:val="24"/>
        </w:rPr>
        <w:t>est matches, Big Bash Cricket and AFL matches</w:t>
      </w:r>
      <w:r w:rsidRPr="00C90BA5">
        <w:rPr>
          <w:szCs w:val="24"/>
        </w:rPr>
        <w:t xml:space="preserve">. Canberrans also </w:t>
      </w:r>
      <w:r w:rsidRPr="00625515">
        <w:rPr>
          <w:szCs w:val="24"/>
        </w:rPr>
        <w:t>value access to nature through and around the city and almost half of our population lives within 500 metres, and a quarter within 100 metres, of a park or reserve.</w:t>
      </w:r>
    </w:p>
    <w:p w14:paraId="421B579C" w14:textId="77777777" w:rsidR="00CF0E2D" w:rsidRDefault="00CF0E2D" w:rsidP="00A60D4B">
      <w:pPr>
        <w:pStyle w:val="Bbodytext"/>
        <w:rPr>
          <w:szCs w:val="24"/>
        </w:rPr>
      </w:pPr>
      <w:r w:rsidRPr="00DE4C5A">
        <w:rPr>
          <w:rFonts w:ascii="Calibri" w:eastAsia="Times New Roman" w:hAnsi="Calibri" w:cs="Calibri"/>
          <w:noProof/>
          <w:color w:val="000000"/>
          <w:szCs w:val="24"/>
          <w:lang w:eastAsia="en-AU"/>
        </w:rPr>
        <w:drawing>
          <wp:anchor distT="0" distB="180340" distL="114300" distR="114300" simplePos="0" relativeHeight="251709440" behindDoc="0" locked="0" layoutInCell="1" allowOverlap="1" wp14:anchorId="52746A07" wp14:editId="57146BAE">
            <wp:simplePos x="0" y="0"/>
            <wp:positionH relativeFrom="margin">
              <wp:align>right</wp:align>
            </wp:positionH>
            <wp:positionV relativeFrom="page">
              <wp:posOffset>5238750</wp:posOffset>
            </wp:positionV>
            <wp:extent cx="5731200" cy="3819600"/>
            <wp:effectExtent l="0" t="0" r="3175" b="0"/>
            <wp:wrapSquare wrapText="bothSides"/>
            <wp:docPr id="17" name="tuggeranong south Greenway   0883.jpeg" descr="Two people walking down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uggeranong south Greenway   0883.jpeg" descr="Two people walking down a road&#10;&#10;Description automatically generated with medium confidence"/>
                    <pic:cNvPicPr/>
                  </pic:nvPicPr>
                  <pic:blipFill>
                    <a:blip r:embed="rId67" r:link="rId68" cstate="print">
                      <a:extLst>
                        <a:ext uri="{28A0092B-C50C-407E-A947-70E740481C1C}">
                          <a14:useLocalDpi xmlns:a14="http://schemas.microsoft.com/office/drawing/2010/main" val="0"/>
                        </a:ext>
                      </a:extLst>
                    </a:blip>
                    <a:stretch>
                      <a:fillRect/>
                    </a:stretch>
                  </pic:blipFill>
                  <pic:spPr>
                    <a:xfrm>
                      <a:off x="0" y="0"/>
                      <a:ext cx="5731200" cy="3819600"/>
                    </a:xfrm>
                    <a:prstGeom prst="rect">
                      <a:avLst/>
                    </a:prstGeom>
                  </pic:spPr>
                </pic:pic>
              </a:graphicData>
            </a:graphic>
            <wp14:sizeRelH relativeFrom="page">
              <wp14:pctWidth>0</wp14:pctWidth>
            </wp14:sizeRelH>
            <wp14:sizeRelV relativeFrom="page">
              <wp14:pctHeight>0</wp14:pctHeight>
            </wp14:sizeRelV>
          </wp:anchor>
        </w:drawing>
      </w:r>
      <w:r w:rsidRPr="00DE4C5A">
        <w:rPr>
          <w:rFonts w:ascii="Calibri" w:hAnsi="Calibri" w:cs="Calibri"/>
          <w:color w:val="000000"/>
          <w:szCs w:val="24"/>
        </w:rPr>
        <w:t>Local</w:t>
      </w:r>
      <w:r w:rsidRPr="00625515">
        <w:rPr>
          <w:rFonts w:cstheme="minorHAnsi"/>
          <w:szCs w:val="24"/>
        </w:rPr>
        <w:t xml:space="preserve"> green spaces became wellbeing hubs for the people of Canberra during our initial lockdown, with visitor numbers and self-reported use</w:t>
      </w:r>
      <w:r w:rsidRPr="00625515">
        <w:rPr>
          <w:szCs w:val="24"/>
        </w:rPr>
        <w:t xml:space="preserve"> of green spaces increasing during 2020 – and continuing even after the end of the ACT’s initial lockdown in 2020. Emerging findings from the September 2021 </w:t>
      </w:r>
      <w:r w:rsidRPr="00625515">
        <w:rPr>
          <w:i/>
          <w:szCs w:val="24"/>
        </w:rPr>
        <w:t xml:space="preserve">Living well </w:t>
      </w:r>
      <w:r w:rsidRPr="00625515">
        <w:rPr>
          <w:szCs w:val="24"/>
        </w:rPr>
        <w:t xml:space="preserve">survey show that usage of local green spaces has increased substantially again during the second lockdown, with more than 50 per cent of Canberrans spending time outdoors in their local neighbourhood more than three times a week during lockdown. </w:t>
      </w:r>
    </w:p>
    <w:p w14:paraId="2DFCDCA1" w14:textId="77777777" w:rsidR="00CF0E2D" w:rsidRDefault="00CF0E2D">
      <w:pPr>
        <w:rPr>
          <w:sz w:val="24"/>
          <w:szCs w:val="24"/>
        </w:rPr>
      </w:pPr>
      <w:r>
        <w:rPr>
          <w:sz w:val="24"/>
          <w:szCs w:val="24"/>
        </w:rPr>
        <w:br w:type="page"/>
      </w:r>
    </w:p>
    <w:p w14:paraId="58A8E7F9" w14:textId="77777777" w:rsidR="00CF0E2D" w:rsidRDefault="00CF0E2D" w:rsidP="00A60D4B">
      <w:pPr>
        <w:pStyle w:val="Heading4"/>
      </w:pPr>
      <w:r>
        <w:lastRenderedPageBreak/>
        <w:t xml:space="preserve">2021-22 Budget </w:t>
      </w:r>
    </w:p>
    <w:p w14:paraId="62D83357" w14:textId="4DCE68D2" w:rsidR="00CF0E2D" w:rsidRPr="00A32278" w:rsidRDefault="00CF0E2D" w:rsidP="00A60D4B">
      <w:pPr>
        <w:pStyle w:val="Bbodytext"/>
        <w:rPr>
          <w:rFonts w:cstheme="minorHAnsi"/>
          <w:szCs w:val="24"/>
        </w:rPr>
      </w:pPr>
      <w:r w:rsidRPr="00DE4C5A">
        <w:rPr>
          <w:rFonts w:ascii="Calibri" w:eastAsia="Times New Roman" w:hAnsi="Calibri" w:cs="Calibri"/>
          <w:color w:val="000000"/>
          <w:szCs w:val="24"/>
          <w:lang w:eastAsia="en-AU"/>
        </w:rPr>
        <w:t>An</w:t>
      </w:r>
      <w:r w:rsidRPr="00A32278">
        <w:rPr>
          <w:rFonts w:cstheme="minorHAnsi"/>
          <w:szCs w:val="24"/>
        </w:rPr>
        <w:t xml:space="preserve"> additional $95 million for major initiatives is included in the 2021-22 Budget</w:t>
      </w:r>
      <w:r w:rsidR="00FA50A0">
        <w:rPr>
          <w:rFonts w:cstheme="minorHAnsi"/>
          <w:szCs w:val="24"/>
        </w:rPr>
        <w:t xml:space="preserve"> to</w:t>
      </w:r>
      <w:r w:rsidRPr="00A32278">
        <w:rPr>
          <w:rFonts w:cstheme="minorHAnsi"/>
          <w:szCs w:val="24"/>
        </w:rPr>
        <w:t xml:space="preserve"> support further progress in this area</w:t>
      </w:r>
      <w:r>
        <w:rPr>
          <w:rFonts w:cstheme="minorHAnsi"/>
          <w:szCs w:val="24"/>
        </w:rPr>
        <w:t>,</w:t>
      </w:r>
      <w:r w:rsidRPr="00A32278">
        <w:rPr>
          <w:rFonts w:cstheme="minorHAnsi"/>
          <w:szCs w:val="24"/>
        </w:rPr>
        <w:t xml:space="preserve"> such as:</w:t>
      </w:r>
    </w:p>
    <w:bookmarkEnd w:id="18"/>
    <w:p w14:paraId="1B36826D" w14:textId="77777777" w:rsidR="00CF0E2D" w:rsidRDefault="00CF0E2D" w:rsidP="00CF0E2D">
      <w:pPr>
        <w:pStyle w:val="ListParagraph"/>
        <w:numPr>
          <w:ilvl w:val="0"/>
          <w:numId w:val="22"/>
        </w:numPr>
        <w:ind w:left="360"/>
        <w:rPr>
          <w:sz w:val="24"/>
          <w:szCs w:val="24"/>
        </w:rPr>
      </w:pPr>
      <w:r w:rsidRPr="000C5FE6">
        <w:rPr>
          <w:sz w:val="24"/>
          <w:szCs w:val="24"/>
        </w:rPr>
        <w:t>continued investments in sport and recreation facilities through providing lighting and amenity upgrades at Mawson Playing Fields and Kambah District Playing Fields, and cricket facility upgrades at Taylor and Melba;</w:t>
      </w:r>
    </w:p>
    <w:p w14:paraId="15363FB4" w14:textId="77777777" w:rsidR="00CF0E2D" w:rsidRPr="000C5FE6" w:rsidRDefault="00CF0E2D" w:rsidP="00CF0E2D">
      <w:pPr>
        <w:pStyle w:val="ListParagraph"/>
        <w:numPr>
          <w:ilvl w:val="0"/>
          <w:numId w:val="22"/>
        </w:numPr>
        <w:ind w:left="360"/>
        <w:rPr>
          <w:sz w:val="24"/>
          <w:szCs w:val="24"/>
        </w:rPr>
      </w:pPr>
      <w:r>
        <w:rPr>
          <w:sz w:val="24"/>
          <w:szCs w:val="24"/>
        </w:rPr>
        <w:t>$18.7 million for local shopping centre upgrades;</w:t>
      </w:r>
    </w:p>
    <w:p w14:paraId="5D36A764" w14:textId="40FD04EA" w:rsidR="00CF0E2D" w:rsidRPr="00062CD6" w:rsidRDefault="00CF0E2D" w:rsidP="00CF0E2D">
      <w:pPr>
        <w:pStyle w:val="ListParagraph"/>
        <w:numPr>
          <w:ilvl w:val="0"/>
          <w:numId w:val="22"/>
        </w:numPr>
        <w:ind w:left="360"/>
        <w:rPr>
          <w:sz w:val="24"/>
          <w:szCs w:val="24"/>
        </w:rPr>
      </w:pPr>
      <w:r w:rsidRPr="00062CD6">
        <w:rPr>
          <w:sz w:val="24"/>
          <w:szCs w:val="24"/>
        </w:rPr>
        <w:t>$5.3 million for new or upgraded play spaces in Kaleen, Ngunnawal, Chisholm, Gordon, Lyons and Aranda</w:t>
      </w:r>
      <w:r w:rsidR="00FA50A0">
        <w:rPr>
          <w:sz w:val="24"/>
          <w:szCs w:val="24"/>
        </w:rPr>
        <w:t>,</w:t>
      </w:r>
      <w:r w:rsidRPr="00062CD6">
        <w:rPr>
          <w:sz w:val="24"/>
          <w:szCs w:val="24"/>
        </w:rPr>
        <w:t xml:space="preserve"> new dog parks in the Lanyon Valley and Franklin and refresh works at existing dog parks in Casey and O’Connor;</w:t>
      </w:r>
    </w:p>
    <w:p w14:paraId="14C0A0B7" w14:textId="77777777" w:rsidR="00CF0E2D" w:rsidRPr="000C5FE6" w:rsidRDefault="00CF0E2D" w:rsidP="00CF0E2D">
      <w:pPr>
        <w:pStyle w:val="ListParagraph"/>
        <w:numPr>
          <w:ilvl w:val="0"/>
          <w:numId w:val="22"/>
        </w:numPr>
        <w:ind w:left="360"/>
        <w:rPr>
          <w:sz w:val="24"/>
          <w:szCs w:val="24"/>
        </w:rPr>
      </w:pPr>
      <w:r w:rsidRPr="000C5FE6">
        <w:rPr>
          <w:sz w:val="24"/>
          <w:szCs w:val="24"/>
          <w:lang w:val="en-US"/>
        </w:rPr>
        <w:t>major improvements to the Tuggeranong Foreshore, including a new playground and new street furniture</w:t>
      </w:r>
      <w:r w:rsidRPr="008E4154">
        <w:rPr>
          <w:sz w:val="24"/>
          <w:szCs w:val="24"/>
          <w:lang w:val="en-US"/>
        </w:rPr>
        <w:t xml:space="preserve">, and </w:t>
      </w:r>
      <w:r w:rsidRPr="000C5FE6">
        <w:rPr>
          <w:sz w:val="24"/>
          <w:szCs w:val="24"/>
        </w:rPr>
        <w:t>feasibility and design works for a range of improvements to the public realm surrounding Yerrabi Pond;</w:t>
      </w:r>
    </w:p>
    <w:p w14:paraId="3CE249D9" w14:textId="77777777" w:rsidR="00CF0E2D" w:rsidRPr="000C5FE6" w:rsidRDefault="00CF0E2D" w:rsidP="00CF0E2D">
      <w:pPr>
        <w:pStyle w:val="ListParagraph"/>
        <w:numPr>
          <w:ilvl w:val="0"/>
          <w:numId w:val="22"/>
        </w:numPr>
        <w:ind w:left="360"/>
        <w:rPr>
          <w:sz w:val="24"/>
          <w:szCs w:val="24"/>
        </w:rPr>
      </w:pPr>
      <w:r>
        <w:rPr>
          <w:sz w:val="24"/>
          <w:szCs w:val="24"/>
        </w:rPr>
        <w:t xml:space="preserve">$9 million of </w:t>
      </w:r>
      <w:r w:rsidRPr="000C5FE6">
        <w:rPr>
          <w:sz w:val="24"/>
          <w:szCs w:val="24"/>
        </w:rPr>
        <w:t xml:space="preserve">additional funding for the Throsby Home of Football; </w:t>
      </w:r>
    </w:p>
    <w:p w14:paraId="5037DA9B" w14:textId="77777777" w:rsidR="00CF0E2D" w:rsidRPr="000C5FE6" w:rsidRDefault="00CF0E2D" w:rsidP="00CF0E2D">
      <w:pPr>
        <w:pStyle w:val="ListParagraph"/>
        <w:numPr>
          <w:ilvl w:val="0"/>
          <w:numId w:val="22"/>
        </w:numPr>
        <w:ind w:left="360"/>
        <w:rPr>
          <w:sz w:val="24"/>
          <w:szCs w:val="24"/>
        </w:rPr>
      </w:pPr>
      <w:r>
        <w:rPr>
          <w:sz w:val="24"/>
          <w:szCs w:val="24"/>
        </w:rPr>
        <w:t xml:space="preserve">$3.2 million for </w:t>
      </w:r>
      <w:r w:rsidRPr="000C5FE6">
        <w:rPr>
          <w:sz w:val="24"/>
          <w:szCs w:val="24"/>
        </w:rPr>
        <w:t>a new community recreation park in Casey; and</w:t>
      </w:r>
    </w:p>
    <w:p w14:paraId="09CA3ECF" w14:textId="77777777" w:rsidR="00CF0E2D" w:rsidRPr="000C5FE6" w:rsidRDefault="00CF0E2D" w:rsidP="00CF0E2D">
      <w:pPr>
        <w:pStyle w:val="ListParagraph"/>
        <w:numPr>
          <w:ilvl w:val="0"/>
          <w:numId w:val="22"/>
        </w:numPr>
        <w:ind w:left="360"/>
        <w:rPr>
          <w:sz w:val="24"/>
          <w:szCs w:val="24"/>
        </w:rPr>
      </w:pPr>
      <w:r w:rsidRPr="000C5FE6">
        <w:rPr>
          <w:sz w:val="24"/>
          <w:szCs w:val="24"/>
        </w:rPr>
        <w:t>upgrades at Manuka Oval, GIO Stadium and Exhibition Park in Canberra (EPIC) and Stromlo Forest Park.</w:t>
      </w:r>
    </w:p>
    <w:p w14:paraId="2ED83E27" w14:textId="77777777" w:rsidR="00CF0E2D" w:rsidRDefault="00CF0E2D" w:rsidP="00A60D4B">
      <w:pPr>
        <w:pStyle w:val="Heading3"/>
        <w:rPr>
          <w:rFonts w:eastAsia="Times New Roman"/>
          <w:lang w:eastAsia="en-AU"/>
        </w:rPr>
      </w:pPr>
      <w:r>
        <w:rPr>
          <w:rFonts w:eastAsia="Times New Roman"/>
          <w:lang w:eastAsia="en-AU"/>
        </w:rPr>
        <w:t xml:space="preserve">Valuing </w:t>
      </w:r>
      <w:r w:rsidRPr="00D93488">
        <w:rPr>
          <w:rFonts w:eastAsia="Times New Roman"/>
          <w:lang w:eastAsia="en-AU"/>
        </w:rPr>
        <w:t>arts</w:t>
      </w:r>
      <w:r>
        <w:rPr>
          <w:rFonts w:eastAsia="Times New Roman"/>
          <w:lang w:eastAsia="en-AU"/>
        </w:rPr>
        <w:t xml:space="preserve"> and culture</w:t>
      </w:r>
    </w:p>
    <w:p w14:paraId="38D5256D" w14:textId="77777777" w:rsidR="00CF0E2D" w:rsidRPr="00357C96" w:rsidRDefault="00CF0E2D" w:rsidP="00A60D4B">
      <w:pPr>
        <w:pStyle w:val="Bbodytext"/>
        <w:rPr>
          <w:szCs w:val="24"/>
        </w:rPr>
      </w:pPr>
      <w:r>
        <w:rPr>
          <w:rFonts w:ascii="Calibri" w:eastAsia="Times New Roman" w:hAnsi="Calibri" w:cs="Calibri"/>
          <w:noProof/>
          <w:color w:val="000000" w:themeColor="text1"/>
          <w:szCs w:val="24"/>
        </w:rPr>
        <w:drawing>
          <wp:anchor distT="180340" distB="180340" distL="114300" distR="114300" simplePos="0" relativeHeight="251683840" behindDoc="0" locked="0" layoutInCell="1" allowOverlap="1" wp14:anchorId="4573C395" wp14:editId="05230F03">
            <wp:simplePos x="0" y="0"/>
            <wp:positionH relativeFrom="column">
              <wp:posOffset>18648</wp:posOffset>
            </wp:positionH>
            <wp:positionV relativeFrom="paragraph">
              <wp:posOffset>801746</wp:posOffset>
            </wp:positionV>
            <wp:extent cx="5731200" cy="3189600"/>
            <wp:effectExtent l="0" t="0" r="0" b="0"/>
            <wp:wrapSquare wrapText="bothSides"/>
            <wp:docPr id="47" name="Samuel Moynihan Rhino 1 Photo by TBC.jpg" descr="A group of people on a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amuel Moynihan Rhino 1 Photo by TBC.jpg" descr="A group of people on a stage&#10;&#10;Description automatically generated with medium confidence"/>
                    <pic:cNvPicPr/>
                  </pic:nvPicPr>
                  <pic:blipFill>
                    <a:blip r:embed="rId69" r:link="rId70" cstate="print">
                      <a:extLst>
                        <a:ext uri="{28A0092B-C50C-407E-A947-70E740481C1C}">
                          <a14:useLocalDpi xmlns:a14="http://schemas.microsoft.com/office/drawing/2010/main" val="0"/>
                        </a:ext>
                      </a:extLst>
                    </a:blip>
                    <a:stretch>
                      <a:fillRect/>
                    </a:stretch>
                  </pic:blipFill>
                  <pic:spPr>
                    <a:xfrm>
                      <a:off x="0" y="0"/>
                      <a:ext cx="5731200" cy="3189600"/>
                    </a:xfrm>
                    <a:prstGeom prst="rect">
                      <a:avLst/>
                    </a:prstGeom>
                  </pic:spPr>
                </pic:pic>
              </a:graphicData>
            </a:graphic>
            <wp14:sizeRelH relativeFrom="page">
              <wp14:pctWidth>0</wp14:pctWidth>
            </wp14:sizeRelH>
            <wp14:sizeRelV relativeFrom="page">
              <wp14:pctHeight>0</wp14:pctHeight>
            </wp14:sizeRelV>
          </wp:anchor>
        </w:drawing>
      </w:r>
      <w:r w:rsidRPr="00357C96">
        <w:rPr>
          <w:szCs w:val="24"/>
        </w:rPr>
        <w:t xml:space="preserve">Arts and culture can connect people with ideas, emotions and stories and are integral to how we perceive ourselves and the society around us. </w:t>
      </w:r>
    </w:p>
    <w:p w14:paraId="64099678" w14:textId="77777777" w:rsidR="00CF0E2D" w:rsidRPr="00357C96" w:rsidRDefault="00CF0E2D" w:rsidP="00A60D4B">
      <w:pPr>
        <w:pStyle w:val="Bbodytext"/>
        <w:rPr>
          <w:rFonts w:ascii="Calibri" w:eastAsia="Times New Roman" w:hAnsi="Calibri" w:cs="Calibri"/>
          <w:color w:val="000000"/>
          <w:szCs w:val="24"/>
          <w:lang w:eastAsia="en-AU"/>
        </w:rPr>
      </w:pPr>
      <w:r w:rsidRPr="00357C96">
        <w:rPr>
          <w:rFonts w:ascii="Calibri" w:eastAsia="Times New Roman" w:hAnsi="Calibri" w:cs="Calibri"/>
          <w:color w:val="000000"/>
          <w:szCs w:val="24"/>
          <w:lang w:eastAsia="en-AU"/>
        </w:rPr>
        <w:t xml:space="preserve">Across the country, the public health restrictions of the past 18 months have significantly affected the arts sector. Noting the cultural, social and economic importance of the arts, </w:t>
      </w:r>
      <w:r w:rsidRPr="00357C96">
        <w:rPr>
          <w:rFonts w:ascii="Calibri" w:eastAsia="Times New Roman" w:hAnsi="Calibri" w:cs="Calibri"/>
          <w:color w:val="000000"/>
          <w:szCs w:val="24"/>
          <w:lang w:eastAsia="en-AU"/>
        </w:rPr>
        <w:lastRenderedPageBreak/>
        <w:t xml:space="preserve">ensuring timely and targeted economic support is available to the arts sector has been, and continues to be, a focus of the Government. </w:t>
      </w:r>
    </w:p>
    <w:p w14:paraId="5EDE6B8F" w14:textId="77777777" w:rsidR="00CF0E2D" w:rsidRDefault="00CF0E2D" w:rsidP="00A60D4B">
      <w:pPr>
        <w:pStyle w:val="Bbodytext"/>
        <w:rPr>
          <w:rFonts w:ascii="Calibri" w:eastAsia="Calibri" w:hAnsi="Calibri" w:cs="Calibri"/>
          <w:szCs w:val="24"/>
        </w:rPr>
      </w:pPr>
      <w:r w:rsidRPr="00357C96">
        <w:rPr>
          <w:rFonts w:ascii="Calibri" w:eastAsia="Times New Roman" w:hAnsi="Calibri" w:cs="Calibri"/>
          <w:color w:val="000000" w:themeColor="text1"/>
          <w:szCs w:val="24"/>
          <w:lang w:eastAsia="en-AU"/>
        </w:rPr>
        <w:t xml:space="preserve">Throughout the COVID-19 pandemic, the Government has provided a range of economic support measures for the arts sector, with over $6.6 million in additional support provided to local artists, arts organisations and cultural facilities through </w:t>
      </w:r>
      <w:r w:rsidRPr="00062CD6">
        <w:rPr>
          <w:rFonts w:ascii="Calibri" w:eastAsia="Times New Roman" w:hAnsi="Calibri" w:cs="Calibri"/>
          <w:color w:val="000000" w:themeColor="text1"/>
          <w:szCs w:val="24"/>
          <w:lang w:eastAsia="en-AU"/>
        </w:rPr>
        <w:t xml:space="preserve">the August 2020 Economic and Fiscal Update and the 2020-21 Budget. </w:t>
      </w:r>
      <w:r w:rsidRPr="00062CD6">
        <w:rPr>
          <w:rFonts w:ascii="Calibri" w:eastAsia="Calibri" w:hAnsi="Calibri" w:cs="Calibri"/>
          <w:szCs w:val="24"/>
        </w:rPr>
        <w:t>This included</w:t>
      </w:r>
      <w:r w:rsidRPr="00357C96">
        <w:rPr>
          <w:rFonts w:ascii="Calibri" w:eastAsia="Calibri" w:hAnsi="Calibri" w:cs="Calibri"/>
          <w:szCs w:val="24"/>
        </w:rPr>
        <w:t xml:space="preserve"> Emergency Organisation funding</w:t>
      </w:r>
      <w:r>
        <w:rPr>
          <w:rFonts w:ascii="Calibri" w:eastAsia="Calibri" w:hAnsi="Calibri" w:cs="Calibri"/>
          <w:szCs w:val="24"/>
        </w:rPr>
        <w:t xml:space="preserve"> (</w:t>
      </w:r>
      <w:r w:rsidRPr="00357C96">
        <w:rPr>
          <w:rFonts w:ascii="Calibri" w:eastAsia="Calibri" w:hAnsi="Calibri" w:cs="Calibri"/>
          <w:szCs w:val="24"/>
        </w:rPr>
        <w:t>$1 million</w:t>
      </w:r>
      <w:r>
        <w:rPr>
          <w:rFonts w:ascii="Calibri" w:eastAsia="Calibri" w:hAnsi="Calibri" w:cs="Calibri"/>
          <w:szCs w:val="24"/>
        </w:rPr>
        <w:t>)</w:t>
      </w:r>
      <w:r w:rsidRPr="00357C96">
        <w:rPr>
          <w:rFonts w:ascii="Calibri" w:eastAsia="Calibri" w:hAnsi="Calibri" w:cs="Calibri"/>
          <w:szCs w:val="24"/>
        </w:rPr>
        <w:t>, Rent Relief</w:t>
      </w:r>
      <w:r>
        <w:rPr>
          <w:rFonts w:ascii="Calibri" w:eastAsia="Calibri" w:hAnsi="Calibri" w:cs="Calibri"/>
          <w:szCs w:val="24"/>
        </w:rPr>
        <w:t xml:space="preserve"> (</w:t>
      </w:r>
      <w:r w:rsidRPr="00357C96">
        <w:rPr>
          <w:rFonts w:ascii="Calibri" w:eastAsia="Calibri" w:hAnsi="Calibri" w:cs="Calibri"/>
          <w:szCs w:val="24"/>
        </w:rPr>
        <w:t>$518,000</w:t>
      </w:r>
      <w:r>
        <w:rPr>
          <w:rFonts w:ascii="Calibri" w:eastAsia="Calibri" w:hAnsi="Calibri" w:cs="Calibri"/>
          <w:szCs w:val="24"/>
        </w:rPr>
        <w:t>)</w:t>
      </w:r>
      <w:r w:rsidRPr="00357C96">
        <w:rPr>
          <w:rFonts w:ascii="Calibri" w:eastAsia="Calibri" w:hAnsi="Calibri" w:cs="Calibri"/>
          <w:szCs w:val="24"/>
        </w:rPr>
        <w:t>, the Creative Recovery and Resilience Program</w:t>
      </w:r>
      <w:r>
        <w:rPr>
          <w:rFonts w:ascii="Calibri" w:eastAsia="Calibri" w:hAnsi="Calibri" w:cs="Calibri"/>
          <w:szCs w:val="24"/>
        </w:rPr>
        <w:t xml:space="preserve"> (</w:t>
      </w:r>
      <w:r w:rsidRPr="00357C96">
        <w:rPr>
          <w:rFonts w:ascii="Calibri" w:eastAsia="Calibri" w:hAnsi="Calibri" w:cs="Calibri"/>
          <w:szCs w:val="24"/>
        </w:rPr>
        <w:t>$650,000</w:t>
      </w:r>
      <w:r>
        <w:rPr>
          <w:rFonts w:ascii="Calibri" w:eastAsia="Calibri" w:hAnsi="Calibri" w:cs="Calibri"/>
          <w:szCs w:val="24"/>
        </w:rPr>
        <w:t>)</w:t>
      </w:r>
      <w:r w:rsidRPr="00357C96">
        <w:rPr>
          <w:rFonts w:ascii="Calibri" w:eastAsia="Calibri" w:hAnsi="Calibri" w:cs="Calibri"/>
          <w:szCs w:val="24"/>
        </w:rPr>
        <w:t xml:space="preserve"> and HOMEFRONT grants</w:t>
      </w:r>
      <w:r>
        <w:rPr>
          <w:rFonts w:ascii="Calibri" w:eastAsia="Calibri" w:hAnsi="Calibri" w:cs="Calibri"/>
          <w:szCs w:val="24"/>
        </w:rPr>
        <w:t xml:space="preserve"> (</w:t>
      </w:r>
      <w:r w:rsidRPr="00357C96">
        <w:rPr>
          <w:rFonts w:ascii="Calibri" w:eastAsia="Calibri" w:hAnsi="Calibri" w:cs="Calibri"/>
          <w:szCs w:val="24"/>
        </w:rPr>
        <w:t>$950,000</w:t>
      </w:r>
      <w:r>
        <w:rPr>
          <w:rFonts w:ascii="Calibri" w:eastAsia="Calibri" w:hAnsi="Calibri" w:cs="Calibri"/>
          <w:szCs w:val="24"/>
        </w:rPr>
        <w:t>)</w:t>
      </w:r>
      <w:r w:rsidRPr="00357C96">
        <w:rPr>
          <w:rFonts w:ascii="Calibri" w:eastAsia="Calibri" w:hAnsi="Calibri" w:cs="Calibri"/>
          <w:szCs w:val="24"/>
        </w:rPr>
        <w:t xml:space="preserve">. This funding boosted existing arts sector grant funding of more than $10 million per year. </w:t>
      </w:r>
    </w:p>
    <w:p w14:paraId="15D1315B" w14:textId="77777777" w:rsidR="00CF0E2D" w:rsidRDefault="00CF0E2D" w:rsidP="00A60D4B">
      <w:pPr>
        <w:pStyle w:val="Bbodytext"/>
        <w:rPr>
          <w:rFonts w:eastAsia="Times New Roman"/>
          <w:szCs w:val="24"/>
        </w:rPr>
      </w:pPr>
      <w:r>
        <w:rPr>
          <w:rFonts w:ascii="Calibri" w:eastAsia="Calibri" w:hAnsi="Calibri" w:cs="Calibri"/>
          <w:szCs w:val="24"/>
        </w:rPr>
        <w:t xml:space="preserve">The Government has also recently expanded </w:t>
      </w:r>
      <w:r w:rsidRPr="00A62771">
        <w:rPr>
          <w:rFonts w:ascii="Calibri" w:hAnsi="Calibri" w:cs="Calibri"/>
          <w:szCs w:val="24"/>
        </w:rPr>
        <w:t>the Belconnen Arts Centre. This expansion</w:t>
      </w:r>
      <w:r>
        <w:rPr>
          <w:rFonts w:ascii="Calibri" w:hAnsi="Calibri" w:cs="Calibri"/>
          <w:szCs w:val="24"/>
        </w:rPr>
        <w:t xml:space="preserve"> </w:t>
      </w:r>
      <w:r w:rsidRPr="00A62771">
        <w:rPr>
          <w:rFonts w:ascii="Calibri" w:hAnsi="Calibri" w:cs="Calibri"/>
          <w:szCs w:val="24"/>
        </w:rPr>
        <w:t xml:space="preserve">includes multi-use town hall and performance space, </w:t>
      </w:r>
      <w:r w:rsidRPr="00A62771">
        <w:rPr>
          <w:rFonts w:eastAsia="Times New Roman"/>
          <w:szCs w:val="24"/>
        </w:rPr>
        <w:t xml:space="preserve">allows for an additional </w:t>
      </w:r>
      <w:r>
        <w:rPr>
          <w:rFonts w:eastAsia="Times New Roman"/>
          <w:szCs w:val="24"/>
        </w:rPr>
        <w:t>ten</w:t>
      </w:r>
      <w:r w:rsidRPr="00A62771">
        <w:rPr>
          <w:rFonts w:eastAsia="Times New Roman"/>
          <w:szCs w:val="24"/>
        </w:rPr>
        <w:t xml:space="preserve"> exhibitions per year and the new flexible theatre space can </w:t>
      </w:r>
      <w:r>
        <w:rPr>
          <w:rFonts w:eastAsia="Times New Roman"/>
          <w:szCs w:val="24"/>
        </w:rPr>
        <w:t>seat</w:t>
      </w:r>
      <w:r w:rsidRPr="00A62771">
        <w:rPr>
          <w:rFonts w:eastAsia="Times New Roman"/>
          <w:szCs w:val="24"/>
        </w:rPr>
        <w:t xml:space="preserve"> up to 400 patrons.</w:t>
      </w:r>
    </w:p>
    <w:p w14:paraId="155F32D3" w14:textId="77777777" w:rsidR="00CF0E2D" w:rsidRDefault="00CF0E2D" w:rsidP="00A60D4B">
      <w:pPr>
        <w:pStyle w:val="Heading4"/>
      </w:pPr>
      <w:r>
        <w:rPr>
          <w:rFonts w:eastAsia="Times New Roman"/>
          <w:noProof/>
          <w:lang w:eastAsia="en-AU"/>
        </w:rPr>
        <w:drawing>
          <wp:anchor distT="0" distB="0" distL="114300" distR="114300" simplePos="0" relativeHeight="251700224" behindDoc="0" locked="0" layoutInCell="1" allowOverlap="1" wp14:anchorId="2D039E70" wp14:editId="7EE1F8F0">
            <wp:simplePos x="0" y="0"/>
            <wp:positionH relativeFrom="column">
              <wp:posOffset>4394109</wp:posOffset>
            </wp:positionH>
            <wp:positionV relativeFrom="paragraph">
              <wp:posOffset>36726</wp:posOffset>
            </wp:positionV>
            <wp:extent cx="1371600" cy="1435100"/>
            <wp:effectExtent l="0" t="0" r="0" b="0"/>
            <wp:wrapSquare wrapText="bothSides"/>
            <wp:docPr id="49" name="More 13m arts culture.png"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ore 13m arts culture.png" descr="Text&#10;&#10;Description automatically generated"/>
                    <pic:cNvPicPr/>
                  </pic:nvPicPr>
                  <pic:blipFill>
                    <a:blip r:embed="rId71" r:link="rId72" cstate="print">
                      <a:extLst>
                        <a:ext uri="{28A0092B-C50C-407E-A947-70E740481C1C}">
                          <a14:useLocalDpi xmlns:a14="http://schemas.microsoft.com/office/drawing/2010/main" val="0"/>
                        </a:ext>
                      </a:extLst>
                    </a:blip>
                    <a:stretch>
                      <a:fillRect/>
                    </a:stretch>
                  </pic:blipFill>
                  <pic:spPr>
                    <a:xfrm>
                      <a:off x="0" y="0"/>
                      <a:ext cx="1371600" cy="1435100"/>
                    </a:xfrm>
                    <a:prstGeom prst="rect">
                      <a:avLst/>
                    </a:prstGeom>
                  </pic:spPr>
                </pic:pic>
              </a:graphicData>
            </a:graphic>
            <wp14:sizeRelH relativeFrom="page">
              <wp14:pctWidth>0</wp14:pctWidth>
            </wp14:sizeRelH>
            <wp14:sizeRelV relativeFrom="page">
              <wp14:pctHeight>0</wp14:pctHeight>
            </wp14:sizeRelV>
          </wp:anchor>
        </w:drawing>
      </w:r>
      <w:r>
        <w:t xml:space="preserve">2021-22 Budget </w:t>
      </w:r>
    </w:p>
    <w:p w14:paraId="002D7610" w14:textId="77777777" w:rsidR="00CF0E2D" w:rsidRPr="00357C96" w:rsidRDefault="00CF0E2D" w:rsidP="00A60D4B">
      <w:pPr>
        <w:pStyle w:val="Bbodytext"/>
        <w:rPr>
          <w:rFonts w:ascii="Calibri" w:eastAsia="Times New Roman" w:hAnsi="Calibri" w:cs="Calibri"/>
          <w:color w:val="000000"/>
          <w:szCs w:val="24"/>
          <w:lang w:eastAsia="en-AU"/>
        </w:rPr>
      </w:pPr>
      <w:r w:rsidRPr="00357C96">
        <w:rPr>
          <w:rFonts w:ascii="Calibri" w:eastAsia="Times New Roman" w:hAnsi="Calibri" w:cs="Calibri"/>
          <w:color w:val="000000"/>
          <w:szCs w:val="24"/>
          <w:lang w:eastAsia="en-AU"/>
        </w:rPr>
        <w:t>The 2021-22 Budget provides</w:t>
      </w:r>
      <w:r>
        <w:rPr>
          <w:rFonts w:ascii="Calibri" w:eastAsia="Times New Roman" w:hAnsi="Calibri" w:cs="Calibri"/>
          <w:color w:val="000000"/>
          <w:szCs w:val="24"/>
          <w:lang w:eastAsia="en-AU"/>
        </w:rPr>
        <w:t xml:space="preserve"> $13 million of</w:t>
      </w:r>
      <w:r w:rsidRPr="00357C96">
        <w:rPr>
          <w:rFonts w:ascii="Calibri" w:eastAsia="Times New Roman" w:hAnsi="Calibri" w:cs="Calibri"/>
          <w:color w:val="000000"/>
          <w:szCs w:val="24"/>
          <w:lang w:eastAsia="en-AU"/>
        </w:rPr>
        <w:t xml:space="preserve"> further support for the arts sector in recognition of recent and ongoing public health restrictions, as well as funding to support a vibrant arts sector into the future</w:t>
      </w:r>
      <w:r>
        <w:rPr>
          <w:rFonts w:ascii="Calibri" w:eastAsia="Times New Roman" w:hAnsi="Calibri" w:cs="Calibri"/>
          <w:color w:val="000000"/>
          <w:szCs w:val="24"/>
          <w:lang w:eastAsia="en-AU"/>
        </w:rPr>
        <w:t>. This includes</w:t>
      </w:r>
      <w:r w:rsidRPr="00357C96">
        <w:rPr>
          <w:rFonts w:ascii="Calibri" w:eastAsia="Times New Roman" w:hAnsi="Calibri" w:cs="Calibri"/>
          <w:color w:val="000000"/>
          <w:szCs w:val="24"/>
          <w:lang w:eastAsia="en-AU"/>
        </w:rPr>
        <w:t xml:space="preserve">: </w:t>
      </w:r>
    </w:p>
    <w:p w14:paraId="6B16FA22" w14:textId="77777777" w:rsidR="00CF0E2D" w:rsidRPr="00357C96" w:rsidRDefault="00CF0E2D" w:rsidP="00CF0E2D">
      <w:pPr>
        <w:pStyle w:val="ListParagraph"/>
        <w:numPr>
          <w:ilvl w:val="0"/>
          <w:numId w:val="16"/>
        </w:numPr>
        <w:ind w:left="360"/>
        <w:rPr>
          <w:rFonts w:ascii="Calibri" w:eastAsia="Times New Roman" w:hAnsi="Calibri" w:cs="Calibri"/>
          <w:color w:val="000000"/>
          <w:sz w:val="24"/>
          <w:szCs w:val="24"/>
          <w:lang w:eastAsia="en-AU"/>
        </w:rPr>
      </w:pPr>
      <w:r w:rsidRPr="00357C96">
        <w:rPr>
          <w:rFonts w:ascii="Calibri" w:eastAsia="Times New Roman" w:hAnsi="Calibri" w:cs="Calibri"/>
          <w:color w:val="000000" w:themeColor="text1"/>
          <w:sz w:val="24"/>
          <w:szCs w:val="24"/>
          <w:lang w:eastAsia="en-AU"/>
        </w:rPr>
        <w:t>an extension of the HOMEFRONT grant program;</w:t>
      </w:r>
    </w:p>
    <w:p w14:paraId="6B86DEA4" w14:textId="77777777" w:rsidR="00CF0E2D" w:rsidRPr="00357C96" w:rsidRDefault="00CF0E2D" w:rsidP="00CF0E2D">
      <w:pPr>
        <w:pStyle w:val="ListParagraph"/>
        <w:numPr>
          <w:ilvl w:val="0"/>
          <w:numId w:val="15"/>
        </w:numPr>
        <w:spacing w:after="0" w:line="240" w:lineRule="auto"/>
        <w:ind w:left="360"/>
        <w:rPr>
          <w:rFonts w:ascii="Calibri" w:eastAsia="Times New Roman" w:hAnsi="Calibri" w:cs="Calibri"/>
          <w:color w:val="000000"/>
          <w:sz w:val="24"/>
          <w:szCs w:val="24"/>
          <w:lang w:eastAsia="en-AU"/>
        </w:rPr>
      </w:pPr>
      <w:r>
        <w:rPr>
          <w:rFonts w:ascii="Calibri" w:eastAsia="Times New Roman" w:hAnsi="Calibri" w:cs="Calibri"/>
          <w:color w:val="000000" w:themeColor="text1"/>
          <w:sz w:val="24"/>
          <w:szCs w:val="24"/>
          <w:lang w:eastAsia="en-AU"/>
        </w:rPr>
        <w:t xml:space="preserve">$3.1 million to support the </w:t>
      </w:r>
      <w:r w:rsidRPr="00357C96">
        <w:rPr>
          <w:rFonts w:ascii="Calibri" w:eastAsia="Times New Roman" w:hAnsi="Calibri" w:cs="Calibri"/>
          <w:color w:val="000000" w:themeColor="text1"/>
          <w:sz w:val="24"/>
          <w:szCs w:val="24"/>
          <w:lang w:eastAsia="en-AU"/>
        </w:rPr>
        <w:t>Cultural Facilities Corporation</w:t>
      </w:r>
      <w:r>
        <w:rPr>
          <w:rFonts w:ascii="Calibri" w:eastAsia="Times New Roman" w:hAnsi="Calibri" w:cs="Calibri"/>
          <w:color w:val="000000" w:themeColor="text1"/>
          <w:sz w:val="24"/>
          <w:szCs w:val="24"/>
          <w:lang w:eastAsia="en-AU"/>
        </w:rPr>
        <w:t xml:space="preserve"> to address the adverse impact of the COVID-19 pandemic on its operations</w:t>
      </w:r>
      <w:r w:rsidRPr="00357C96">
        <w:rPr>
          <w:rFonts w:ascii="Calibri" w:eastAsia="Times New Roman" w:hAnsi="Calibri" w:cs="Calibri"/>
          <w:color w:val="000000" w:themeColor="text1"/>
          <w:sz w:val="24"/>
          <w:szCs w:val="24"/>
          <w:lang w:eastAsia="en-AU"/>
        </w:rPr>
        <w:t>;</w:t>
      </w:r>
    </w:p>
    <w:p w14:paraId="30181E35" w14:textId="77777777" w:rsidR="00CF0E2D" w:rsidRPr="00357C96" w:rsidRDefault="00CF0E2D" w:rsidP="00CF0E2D">
      <w:pPr>
        <w:pStyle w:val="ListParagraph"/>
        <w:numPr>
          <w:ilvl w:val="0"/>
          <w:numId w:val="15"/>
        </w:numPr>
        <w:spacing w:after="0" w:line="240" w:lineRule="auto"/>
        <w:ind w:left="360"/>
        <w:rPr>
          <w:rFonts w:ascii="Calibri" w:eastAsia="Times New Roman" w:hAnsi="Calibri" w:cs="Calibri"/>
          <w:color w:val="000000"/>
          <w:sz w:val="24"/>
          <w:szCs w:val="24"/>
          <w:lang w:eastAsia="en-AU"/>
        </w:rPr>
      </w:pPr>
      <w:r w:rsidRPr="00357C96">
        <w:rPr>
          <w:rFonts w:ascii="Calibri" w:eastAsia="Times New Roman" w:hAnsi="Calibri" w:cs="Calibri"/>
          <w:color w:val="000000" w:themeColor="text1"/>
          <w:sz w:val="24"/>
          <w:szCs w:val="24"/>
          <w:lang w:eastAsia="en-AU"/>
        </w:rPr>
        <w:t>funding to support the Ainslie and Belconnen Arts Centres;</w:t>
      </w:r>
    </w:p>
    <w:p w14:paraId="284BAEFF" w14:textId="77777777" w:rsidR="00CF0E2D" w:rsidRPr="00357C96" w:rsidRDefault="00CF0E2D" w:rsidP="00CF0E2D">
      <w:pPr>
        <w:pStyle w:val="ListParagraph"/>
        <w:numPr>
          <w:ilvl w:val="0"/>
          <w:numId w:val="15"/>
        </w:numPr>
        <w:spacing w:after="0" w:line="240" w:lineRule="auto"/>
        <w:ind w:left="360"/>
        <w:rPr>
          <w:rFonts w:ascii="Calibri" w:eastAsia="Times New Roman" w:hAnsi="Calibri" w:cs="Calibri"/>
          <w:color w:val="000000"/>
          <w:sz w:val="24"/>
          <w:szCs w:val="24"/>
          <w:lang w:eastAsia="en-AU"/>
        </w:rPr>
      </w:pPr>
      <w:r>
        <w:rPr>
          <w:rFonts w:ascii="Calibri" w:eastAsia="Times New Roman" w:hAnsi="Calibri" w:cs="Calibri"/>
          <w:color w:val="000000" w:themeColor="text1"/>
          <w:sz w:val="24"/>
          <w:szCs w:val="24"/>
          <w:lang w:eastAsia="en-AU"/>
        </w:rPr>
        <w:t>$2 million for upgrades at</w:t>
      </w:r>
      <w:r w:rsidRPr="00357C96">
        <w:rPr>
          <w:rFonts w:ascii="Calibri" w:eastAsia="Times New Roman" w:hAnsi="Calibri" w:cs="Calibri"/>
          <w:color w:val="000000" w:themeColor="text1"/>
          <w:sz w:val="24"/>
          <w:szCs w:val="24"/>
          <w:lang w:eastAsia="en-AU"/>
        </w:rPr>
        <w:t xml:space="preserve"> the Tuggeranong Arts Centre Theatre;</w:t>
      </w:r>
    </w:p>
    <w:p w14:paraId="7A853B02" w14:textId="77777777" w:rsidR="00CF0E2D" w:rsidRPr="00357C96" w:rsidRDefault="00CF0E2D" w:rsidP="00CF0E2D">
      <w:pPr>
        <w:pStyle w:val="ListParagraph"/>
        <w:numPr>
          <w:ilvl w:val="0"/>
          <w:numId w:val="15"/>
        </w:numPr>
        <w:spacing w:after="0" w:line="240" w:lineRule="auto"/>
        <w:ind w:left="360"/>
        <w:rPr>
          <w:rFonts w:ascii="Calibri" w:eastAsia="Times New Roman" w:hAnsi="Calibri" w:cs="Calibri"/>
          <w:color w:val="000000"/>
          <w:sz w:val="24"/>
          <w:szCs w:val="24"/>
          <w:lang w:eastAsia="en-AU"/>
        </w:rPr>
      </w:pPr>
      <w:r w:rsidRPr="00357C96">
        <w:rPr>
          <w:rFonts w:ascii="Calibri" w:eastAsia="Times New Roman" w:hAnsi="Calibri" w:cs="Calibri"/>
          <w:color w:val="000000" w:themeColor="text1"/>
          <w:sz w:val="24"/>
          <w:szCs w:val="24"/>
          <w:lang w:eastAsia="en-AU"/>
        </w:rPr>
        <w:t>funding to establish entertainment precincts;</w:t>
      </w:r>
    </w:p>
    <w:p w14:paraId="6435BBC7" w14:textId="77777777" w:rsidR="00CF0E2D" w:rsidRPr="00357C96" w:rsidRDefault="00CF0E2D" w:rsidP="00CF0E2D">
      <w:pPr>
        <w:pStyle w:val="ListParagraph"/>
        <w:numPr>
          <w:ilvl w:val="0"/>
          <w:numId w:val="15"/>
        </w:numPr>
        <w:spacing w:after="0" w:line="240" w:lineRule="auto"/>
        <w:ind w:left="360"/>
        <w:rPr>
          <w:rFonts w:ascii="Calibri" w:eastAsia="Times New Roman" w:hAnsi="Calibri" w:cs="Calibri"/>
          <w:i/>
          <w:iCs/>
          <w:color w:val="000000"/>
          <w:sz w:val="24"/>
          <w:szCs w:val="24"/>
          <w:lang w:eastAsia="en-AU"/>
        </w:rPr>
      </w:pPr>
      <w:r w:rsidRPr="00357C96">
        <w:rPr>
          <w:rFonts w:ascii="Calibri" w:eastAsia="Times New Roman" w:hAnsi="Calibri" w:cs="Calibri"/>
          <w:color w:val="000000" w:themeColor="text1"/>
          <w:sz w:val="24"/>
          <w:szCs w:val="24"/>
          <w:lang w:eastAsia="en-AU"/>
        </w:rPr>
        <w:t>funding to recognise significant women through public art; and</w:t>
      </w:r>
    </w:p>
    <w:p w14:paraId="7C71AB77" w14:textId="77777777" w:rsidR="00CF0E2D" w:rsidRPr="00357C96" w:rsidRDefault="00CF0E2D" w:rsidP="00CF0E2D">
      <w:pPr>
        <w:pStyle w:val="ListParagraph"/>
        <w:numPr>
          <w:ilvl w:val="0"/>
          <w:numId w:val="15"/>
        </w:numPr>
        <w:spacing w:after="0" w:line="240" w:lineRule="auto"/>
        <w:ind w:left="360"/>
        <w:rPr>
          <w:rFonts w:ascii="Calibri" w:eastAsia="Times New Roman" w:hAnsi="Calibri" w:cs="Calibri"/>
          <w:i/>
          <w:iCs/>
          <w:color w:val="000000"/>
          <w:sz w:val="24"/>
          <w:szCs w:val="24"/>
          <w:lang w:eastAsia="en-AU"/>
        </w:rPr>
      </w:pPr>
      <w:r w:rsidRPr="00357C96">
        <w:rPr>
          <w:rFonts w:ascii="Calibri" w:eastAsia="Times New Roman" w:hAnsi="Calibri" w:cs="Calibri"/>
          <w:color w:val="000000" w:themeColor="text1"/>
          <w:sz w:val="24"/>
          <w:szCs w:val="24"/>
          <w:lang w:eastAsia="en-AU"/>
        </w:rPr>
        <w:t>the continuation of works to progress the Canberra Theatre Centre Expansion and Redevelopment Project</w:t>
      </w:r>
      <w:r>
        <w:rPr>
          <w:rFonts w:ascii="Calibri" w:eastAsia="Times New Roman" w:hAnsi="Calibri" w:cs="Calibri"/>
          <w:color w:val="000000" w:themeColor="text1"/>
          <w:sz w:val="24"/>
          <w:szCs w:val="24"/>
          <w:lang w:eastAsia="en-AU"/>
        </w:rPr>
        <w:t>.</w:t>
      </w:r>
      <w:r w:rsidRPr="00357C96">
        <w:rPr>
          <w:rFonts w:ascii="Calibri" w:eastAsia="Times New Roman" w:hAnsi="Calibri" w:cs="Calibri"/>
          <w:color w:val="000000" w:themeColor="text1"/>
          <w:sz w:val="24"/>
          <w:szCs w:val="24"/>
          <w:lang w:eastAsia="en-AU"/>
        </w:rPr>
        <w:t xml:space="preserve"> </w:t>
      </w:r>
    </w:p>
    <w:p w14:paraId="2FCBDCD5" w14:textId="77777777" w:rsidR="00CF0E2D" w:rsidRDefault="00CF0E2D" w:rsidP="00A60D4B">
      <w:pPr>
        <w:pStyle w:val="Bbodytext"/>
        <w:rPr>
          <w:rFonts w:ascii="Calibri" w:eastAsia="Times New Roman" w:hAnsi="Calibri" w:cs="Calibri"/>
          <w:color w:val="000000"/>
          <w:szCs w:val="24"/>
          <w:lang w:eastAsia="en-AU"/>
        </w:rPr>
      </w:pPr>
      <w:r>
        <w:rPr>
          <w:rFonts w:ascii="Calibri" w:eastAsia="Times New Roman" w:hAnsi="Calibri" w:cs="Calibri"/>
          <w:color w:val="000000"/>
          <w:szCs w:val="24"/>
          <w:lang w:eastAsia="en-AU"/>
        </w:rPr>
        <w:t>The Minister for Arts has released a Statement of Ambition that outlines our objective for Canberra to be recognised as Australia’s arts capital through three strategies:</w:t>
      </w:r>
    </w:p>
    <w:p w14:paraId="3AE3A0BC" w14:textId="77777777" w:rsidR="00CF0E2D" w:rsidRPr="00062CD6" w:rsidRDefault="00CF0E2D" w:rsidP="00CF0E2D">
      <w:pPr>
        <w:pStyle w:val="ListParagraph"/>
        <w:numPr>
          <w:ilvl w:val="0"/>
          <w:numId w:val="16"/>
        </w:numPr>
        <w:ind w:left="360"/>
        <w:rPr>
          <w:rFonts w:ascii="Calibri" w:eastAsia="Times New Roman" w:hAnsi="Calibri" w:cs="Calibri"/>
          <w:color w:val="000000" w:themeColor="text1"/>
          <w:sz w:val="24"/>
          <w:szCs w:val="24"/>
          <w:lang w:eastAsia="en-AU"/>
        </w:rPr>
      </w:pPr>
      <w:r>
        <w:rPr>
          <w:rFonts w:ascii="Calibri" w:eastAsia="Times New Roman" w:hAnsi="Calibri" w:cs="Calibri"/>
          <w:color w:val="000000" w:themeColor="text1"/>
          <w:sz w:val="24"/>
          <w:szCs w:val="24"/>
          <w:lang w:eastAsia="en-AU"/>
        </w:rPr>
        <w:t>c</w:t>
      </w:r>
      <w:r w:rsidRPr="00062CD6">
        <w:rPr>
          <w:rFonts w:ascii="Calibri" w:eastAsia="Times New Roman" w:hAnsi="Calibri" w:cs="Calibri"/>
          <w:color w:val="000000" w:themeColor="text1"/>
          <w:sz w:val="24"/>
          <w:szCs w:val="24"/>
          <w:lang w:eastAsia="en-AU"/>
        </w:rPr>
        <w:t>reate amazing art and culture</w:t>
      </w:r>
      <w:r>
        <w:rPr>
          <w:rFonts w:ascii="Calibri" w:eastAsia="Times New Roman" w:hAnsi="Calibri" w:cs="Calibri"/>
          <w:color w:val="000000" w:themeColor="text1"/>
          <w:sz w:val="24"/>
          <w:szCs w:val="24"/>
          <w:lang w:eastAsia="en-AU"/>
        </w:rPr>
        <w:t>;</w:t>
      </w:r>
    </w:p>
    <w:p w14:paraId="499A1F78" w14:textId="77777777" w:rsidR="00CF0E2D" w:rsidRPr="00062CD6" w:rsidRDefault="00CF0E2D" w:rsidP="00CF0E2D">
      <w:pPr>
        <w:pStyle w:val="ListParagraph"/>
        <w:numPr>
          <w:ilvl w:val="0"/>
          <w:numId w:val="16"/>
        </w:numPr>
        <w:ind w:left="360"/>
        <w:rPr>
          <w:rFonts w:ascii="Calibri" w:eastAsia="Times New Roman" w:hAnsi="Calibri" w:cs="Calibri"/>
          <w:color w:val="000000" w:themeColor="text1"/>
          <w:sz w:val="24"/>
          <w:szCs w:val="24"/>
          <w:lang w:eastAsia="en-AU"/>
        </w:rPr>
      </w:pPr>
      <w:r>
        <w:rPr>
          <w:rFonts w:ascii="Calibri" w:eastAsia="Times New Roman" w:hAnsi="Calibri" w:cs="Calibri"/>
          <w:color w:val="000000" w:themeColor="text1"/>
          <w:sz w:val="24"/>
          <w:szCs w:val="24"/>
          <w:lang w:eastAsia="en-AU"/>
        </w:rPr>
        <w:t>d</w:t>
      </w:r>
      <w:r w:rsidRPr="00062CD6">
        <w:rPr>
          <w:rFonts w:ascii="Calibri" w:eastAsia="Times New Roman" w:hAnsi="Calibri" w:cs="Calibri"/>
          <w:color w:val="000000" w:themeColor="text1"/>
          <w:sz w:val="24"/>
          <w:szCs w:val="24"/>
          <w:lang w:eastAsia="en-AU"/>
        </w:rPr>
        <w:t>evelop arts, cultural and creative industry, practice, and facilities</w:t>
      </w:r>
      <w:r>
        <w:rPr>
          <w:rFonts w:ascii="Calibri" w:eastAsia="Times New Roman" w:hAnsi="Calibri" w:cs="Calibri"/>
          <w:color w:val="000000" w:themeColor="text1"/>
          <w:sz w:val="24"/>
          <w:szCs w:val="24"/>
          <w:lang w:eastAsia="en-AU"/>
        </w:rPr>
        <w:t>; and</w:t>
      </w:r>
    </w:p>
    <w:p w14:paraId="38B609E6" w14:textId="77777777" w:rsidR="00CF0E2D" w:rsidRPr="00062CD6" w:rsidRDefault="00CF0E2D" w:rsidP="00CF0E2D">
      <w:pPr>
        <w:pStyle w:val="ListParagraph"/>
        <w:numPr>
          <w:ilvl w:val="0"/>
          <w:numId w:val="16"/>
        </w:numPr>
        <w:ind w:left="360"/>
        <w:rPr>
          <w:rFonts w:ascii="Calibri" w:eastAsia="Times New Roman" w:hAnsi="Calibri" w:cs="Calibri"/>
          <w:color w:val="000000" w:themeColor="text1"/>
          <w:sz w:val="24"/>
          <w:szCs w:val="24"/>
          <w:lang w:eastAsia="en-AU"/>
        </w:rPr>
      </w:pPr>
      <w:r>
        <w:rPr>
          <w:rFonts w:ascii="Calibri" w:eastAsia="Times New Roman" w:hAnsi="Calibri" w:cs="Calibri"/>
          <w:color w:val="000000" w:themeColor="text1"/>
          <w:sz w:val="24"/>
          <w:szCs w:val="24"/>
          <w:lang w:eastAsia="en-AU"/>
        </w:rPr>
        <w:t>p</w:t>
      </w:r>
      <w:r w:rsidRPr="00062CD6">
        <w:rPr>
          <w:rFonts w:ascii="Calibri" w:eastAsia="Times New Roman" w:hAnsi="Calibri" w:cs="Calibri"/>
          <w:color w:val="000000" w:themeColor="text1"/>
          <w:sz w:val="24"/>
          <w:szCs w:val="24"/>
          <w:lang w:eastAsia="en-AU"/>
        </w:rPr>
        <w:t>romote our arts and culture</w:t>
      </w:r>
      <w:r>
        <w:rPr>
          <w:rFonts w:ascii="Calibri" w:eastAsia="Times New Roman" w:hAnsi="Calibri" w:cs="Calibri"/>
          <w:color w:val="000000" w:themeColor="text1"/>
          <w:sz w:val="24"/>
          <w:szCs w:val="24"/>
          <w:lang w:eastAsia="en-AU"/>
        </w:rPr>
        <w:t>.</w:t>
      </w:r>
    </w:p>
    <w:p w14:paraId="3AA68516" w14:textId="77777777" w:rsidR="00CF0E2D" w:rsidRDefault="00CF0E2D" w:rsidP="00A60D4B">
      <w:pPr>
        <w:pStyle w:val="Bbodytext"/>
        <w:rPr>
          <w:rFonts w:ascii="Calibri" w:eastAsia="Times New Roman" w:hAnsi="Calibri" w:cs="Calibri"/>
          <w:color w:val="000000"/>
          <w:szCs w:val="24"/>
          <w:lang w:eastAsia="en-AU"/>
        </w:rPr>
      </w:pPr>
      <w:r>
        <w:rPr>
          <w:rFonts w:ascii="Calibri" w:eastAsia="Times New Roman" w:hAnsi="Calibri" w:cs="Calibri"/>
          <w:color w:val="000000"/>
          <w:szCs w:val="24"/>
          <w:lang w:eastAsia="en-AU"/>
        </w:rPr>
        <w:t>The COVID-19 Business Support Grants will also be extended through a specific additional industry top-up for those in Arts and Events with grants of up to $25,000 which will help the sector rebound as we slowly ease restrictions in accordance with the health advice and the Pathway Forward.</w:t>
      </w:r>
    </w:p>
    <w:p w14:paraId="214C703D" w14:textId="77777777" w:rsidR="00CF0E2D" w:rsidRPr="00357C96" w:rsidRDefault="00CF0E2D" w:rsidP="00A60D4B">
      <w:pPr>
        <w:pStyle w:val="Bbodytext"/>
        <w:rPr>
          <w:rFonts w:ascii="Calibri" w:eastAsia="Times New Roman" w:hAnsi="Calibri" w:cs="Calibri"/>
          <w:color w:val="000000"/>
          <w:szCs w:val="24"/>
          <w:lang w:eastAsia="en-AU"/>
        </w:rPr>
      </w:pPr>
      <w:r w:rsidRPr="00357C96">
        <w:rPr>
          <w:rFonts w:ascii="Calibri" w:eastAsia="Times New Roman" w:hAnsi="Calibri" w:cs="Calibri"/>
          <w:color w:val="000000"/>
          <w:szCs w:val="24"/>
          <w:lang w:eastAsia="en-AU"/>
        </w:rPr>
        <w:t xml:space="preserve">Depending on their circumstances, arts organisations may also be eligible for rental relief on ACT Government leases, and/or support through the Small Business Hardship scheme. </w:t>
      </w:r>
    </w:p>
    <w:p w14:paraId="0C7AA66F" w14:textId="77777777" w:rsidR="00CF0E2D" w:rsidRDefault="00CF0E2D" w:rsidP="00A60D4B">
      <w:pPr>
        <w:pStyle w:val="Heading3"/>
        <w:rPr>
          <w:rFonts w:eastAsia="Times New Roman"/>
          <w:lang w:eastAsia="en-AU"/>
        </w:rPr>
      </w:pPr>
      <w:r>
        <w:rPr>
          <w:rFonts w:eastAsia="Times New Roman"/>
          <w:lang w:eastAsia="en-AU"/>
        </w:rPr>
        <w:lastRenderedPageBreak/>
        <w:t>Well-prepared e</w:t>
      </w:r>
      <w:r w:rsidRPr="00C3223A">
        <w:rPr>
          <w:rFonts w:eastAsia="Times New Roman"/>
          <w:lang w:eastAsia="en-AU"/>
        </w:rPr>
        <w:t>mergency services</w:t>
      </w:r>
    </w:p>
    <w:p w14:paraId="584FB4BC" w14:textId="77777777" w:rsidR="00CF0E2D" w:rsidRPr="00357C96" w:rsidRDefault="00CF0E2D" w:rsidP="00A60D4B">
      <w:pPr>
        <w:pStyle w:val="Bbodytext"/>
        <w:rPr>
          <w:szCs w:val="24"/>
        </w:rPr>
      </w:pPr>
      <w:r>
        <w:rPr>
          <w:rFonts w:eastAsia="Times New Roman"/>
          <w:noProof/>
          <w:lang w:eastAsia="en-AU"/>
        </w:rPr>
        <w:drawing>
          <wp:anchor distT="0" distB="0" distL="114300" distR="114300" simplePos="0" relativeHeight="251682816" behindDoc="0" locked="0" layoutInCell="1" allowOverlap="1" wp14:anchorId="3E180F9D" wp14:editId="3C1BE0C3">
            <wp:simplePos x="0" y="0"/>
            <wp:positionH relativeFrom="column">
              <wp:posOffset>3829685</wp:posOffset>
            </wp:positionH>
            <wp:positionV relativeFrom="paragraph">
              <wp:posOffset>9525</wp:posOffset>
            </wp:positionV>
            <wp:extent cx="1676400" cy="1181100"/>
            <wp:effectExtent l="0" t="0" r="0" b="0"/>
            <wp:wrapSquare wrapText="bothSides"/>
            <wp:docPr id="45" name="65 emergency services.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65 emergency services.png" descr="Logo&#10;&#10;Description automatically generated"/>
                    <pic:cNvPicPr/>
                  </pic:nvPicPr>
                  <pic:blipFill>
                    <a:blip r:embed="rId73" r:link="rId74" cstate="print">
                      <a:extLst>
                        <a:ext uri="{28A0092B-C50C-407E-A947-70E740481C1C}">
                          <a14:useLocalDpi xmlns:a14="http://schemas.microsoft.com/office/drawing/2010/main" val="0"/>
                        </a:ext>
                      </a:extLst>
                    </a:blip>
                    <a:stretch>
                      <a:fillRect/>
                    </a:stretch>
                  </pic:blipFill>
                  <pic:spPr>
                    <a:xfrm>
                      <a:off x="0" y="0"/>
                      <a:ext cx="1676400" cy="1181100"/>
                    </a:xfrm>
                    <a:prstGeom prst="rect">
                      <a:avLst/>
                    </a:prstGeom>
                  </pic:spPr>
                </pic:pic>
              </a:graphicData>
            </a:graphic>
            <wp14:sizeRelH relativeFrom="page">
              <wp14:pctWidth>0</wp14:pctWidth>
            </wp14:sizeRelH>
            <wp14:sizeRelV relativeFrom="page">
              <wp14:pctHeight>0</wp14:pctHeight>
            </wp14:sizeRelV>
          </wp:anchor>
        </w:drawing>
      </w:r>
      <w:r w:rsidRPr="00357C96">
        <w:rPr>
          <w:szCs w:val="24"/>
        </w:rPr>
        <w:t>Safety is crucial to wellbeing</w:t>
      </w:r>
      <w:r>
        <w:rPr>
          <w:szCs w:val="24"/>
        </w:rPr>
        <w:t xml:space="preserve">. It </w:t>
      </w:r>
      <w:r w:rsidRPr="00357C96">
        <w:rPr>
          <w:szCs w:val="24"/>
        </w:rPr>
        <w:t xml:space="preserve">can be affected by the timely response of emergency services when a safety incident occurs, how safe we feel walking in our neighbourhoods, and our resilience to prepare for – and recover from – emergencies or adverse events. </w:t>
      </w:r>
    </w:p>
    <w:p w14:paraId="04D563EC" w14:textId="77777777" w:rsidR="00CF0E2D" w:rsidRDefault="00CF0E2D" w:rsidP="00A60D4B">
      <w:pPr>
        <w:pStyle w:val="Bbodytext"/>
        <w:rPr>
          <w:szCs w:val="24"/>
        </w:rPr>
      </w:pPr>
      <w:r>
        <w:rPr>
          <w:noProof/>
          <w:szCs w:val="24"/>
        </w:rPr>
        <w:drawing>
          <wp:anchor distT="0" distB="180340" distL="114300" distR="114300" simplePos="0" relativeHeight="251676672" behindDoc="0" locked="0" layoutInCell="1" allowOverlap="1" wp14:anchorId="148A73CE" wp14:editId="1E896CF2">
            <wp:simplePos x="0" y="0"/>
            <wp:positionH relativeFrom="column">
              <wp:posOffset>-37465</wp:posOffset>
            </wp:positionH>
            <wp:positionV relativeFrom="paragraph">
              <wp:posOffset>1063625</wp:posOffset>
            </wp:positionV>
            <wp:extent cx="5697855" cy="4118610"/>
            <wp:effectExtent l="0" t="0" r="4445" b="0"/>
            <wp:wrapSquare wrapText="bothSides"/>
            <wp:docPr id="34" name="Pic 1.JPG" descr="A group of people posing for a photo in front of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 1.JPG" descr="A group of people posing for a photo in front of a car&#10;&#10;Description automatically generated"/>
                    <pic:cNvPicPr/>
                  </pic:nvPicPr>
                  <pic:blipFill>
                    <a:blip r:embed="rId75" r:link="rId76">
                      <a:extLst>
                        <a:ext uri="{28A0092B-C50C-407E-A947-70E740481C1C}">
                          <a14:useLocalDpi xmlns:a14="http://schemas.microsoft.com/office/drawing/2010/main" val="0"/>
                        </a:ext>
                      </a:extLst>
                    </a:blip>
                    <a:stretch>
                      <a:fillRect/>
                    </a:stretch>
                  </pic:blipFill>
                  <pic:spPr>
                    <a:xfrm>
                      <a:off x="0" y="0"/>
                      <a:ext cx="5697855" cy="4118610"/>
                    </a:xfrm>
                    <a:prstGeom prst="rect">
                      <a:avLst/>
                    </a:prstGeom>
                  </pic:spPr>
                </pic:pic>
              </a:graphicData>
            </a:graphic>
            <wp14:sizeRelH relativeFrom="page">
              <wp14:pctWidth>0</wp14:pctWidth>
            </wp14:sizeRelH>
            <wp14:sizeRelV relativeFrom="page">
              <wp14:pctHeight>0</wp14:pctHeight>
            </wp14:sizeRelV>
          </wp:anchor>
        </w:drawing>
      </w:r>
      <w:r w:rsidRPr="00357C96">
        <w:rPr>
          <w:rFonts w:ascii="Calibri" w:eastAsia="Times New Roman" w:hAnsi="Calibri" w:cs="Calibri"/>
          <w:color w:val="000000"/>
          <w:szCs w:val="24"/>
          <w:lang w:eastAsia="en-AU"/>
        </w:rPr>
        <w:t>Emergency services play a crucial role in ensuring the safety of the community and have been an integral part of the Government’s response and recovery</w:t>
      </w:r>
      <w:r w:rsidRPr="00357C96">
        <w:rPr>
          <w:szCs w:val="24"/>
        </w:rPr>
        <w:t xml:space="preserve"> from adverse events that have affected the ACT in the past 18 or so months – from the bushfires of the 2019-20 summer, the subsequent hail event and the COVID-19 pandemic since.  </w:t>
      </w:r>
    </w:p>
    <w:p w14:paraId="0966FD20" w14:textId="77777777" w:rsidR="00CF0E2D" w:rsidRDefault="00CF0E2D" w:rsidP="00A60D4B">
      <w:pPr>
        <w:pStyle w:val="Heading4"/>
      </w:pPr>
      <w:r>
        <w:t xml:space="preserve">2021-22 Budget  </w:t>
      </w:r>
    </w:p>
    <w:p w14:paraId="4F09646E" w14:textId="77777777" w:rsidR="00CF0E2D" w:rsidRPr="00357C96" w:rsidRDefault="00CF0E2D" w:rsidP="00A60D4B">
      <w:pPr>
        <w:pStyle w:val="Bbodytext"/>
        <w:rPr>
          <w:rFonts w:ascii="Calibri" w:eastAsia="Times New Roman" w:hAnsi="Calibri" w:cs="Calibri"/>
          <w:color w:val="000000"/>
          <w:szCs w:val="24"/>
          <w:lang w:eastAsia="en-AU"/>
        </w:rPr>
      </w:pPr>
      <w:r>
        <w:rPr>
          <w:rFonts w:ascii="Calibri" w:eastAsia="Times New Roman" w:hAnsi="Calibri" w:cs="Calibri"/>
          <w:color w:val="000000"/>
          <w:szCs w:val="24"/>
          <w:lang w:eastAsia="en-AU"/>
        </w:rPr>
        <w:t xml:space="preserve">Work will continue in 2021-22 to </w:t>
      </w:r>
      <w:r w:rsidRPr="00A62771">
        <w:rPr>
          <w:szCs w:val="24"/>
        </w:rPr>
        <w:t>relocate ACT Policing</w:t>
      </w:r>
      <w:r>
        <w:rPr>
          <w:szCs w:val="24"/>
        </w:rPr>
        <w:t>’</w:t>
      </w:r>
      <w:r w:rsidRPr="00A62771">
        <w:rPr>
          <w:szCs w:val="24"/>
        </w:rPr>
        <w:t xml:space="preserve">s Traffic Operations Centre </w:t>
      </w:r>
      <w:r w:rsidRPr="00A62771">
        <w:rPr>
          <w:bCs/>
          <w:szCs w:val="24"/>
        </w:rPr>
        <w:t>from its current site to a fit</w:t>
      </w:r>
      <w:r w:rsidRPr="00A62771">
        <w:rPr>
          <w:szCs w:val="24"/>
        </w:rPr>
        <w:t>-</w:t>
      </w:r>
      <w:r w:rsidRPr="00A62771">
        <w:rPr>
          <w:bCs/>
          <w:szCs w:val="24"/>
        </w:rPr>
        <w:t>for</w:t>
      </w:r>
      <w:r w:rsidRPr="00A62771">
        <w:rPr>
          <w:szCs w:val="24"/>
        </w:rPr>
        <w:t>-</w:t>
      </w:r>
      <w:r w:rsidRPr="00A62771">
        <w:rPr>
          <w:bCs/>
          <w:szCs w:val="24"/>
        </w:rPr>
        <w:t>purpose facility</w:t>
      </w:r>
      <w:r>
        <w:rPr>
          <w:bCs/>
          <w:szCs w:val="24"/>
        </w:rPr>
        <w:t xml:space="preserve"> and to construct </w:t>
      </w:r>
      <w:r w:rsidRPr="00A62771">
        <w:rPr>
          <w:bCs/>
          <w:szCs w:val="24"/>
        </w:rPr>
        <w:t>the</w:t>
      </w:r>
      <w:r>
        <w:rPr>
          <w:bCs/>
          <w:szCs w:val="24"/>
        </w:rPr>
        <w:t xml:space="preserve"> new</w:t>
      </w:r>
      <w:r w:rsidRPr="00A62771">
        <w:rPr>
          <w:bCs/>
          <w:szCs w:val="24"/>
        </w:rPr>
        <w:t xml:space="preserve"> ACT Fire </w:t>
      </w:r>
      <w:r>
        <w:rPr>
          <w:bCs/>
          <w:szCs w:val="24"/>
        </w:rPr>
        <w:t>and</w:t>
      </w:r>
      <w:r w:rsidRPr="00A62771">
        <w:rPr>
          <w:bCs/>
          <w:szCs w:val="24"/>
        </w:rPr>
        <w:t xml:space="preserve"> Rescue Acton Station</w:t>
      </w:r>
      <w:r>
        <w:rPr>
          <w:bCs/>
          <w:szCs w:val="24"/>
        </w:rPr>
        <w:t xml:space="preserve">. </w:t>
      </w:r>
      <w:r w:rsidRPr="00357C96">
        <w:rPr>
          <w:rFonts w:ascii="Calibri" w:eastAsia="Times New Roman" w:hAnsi="Calibri" w:cs="Calibri"/>
          <w:color w:val="000000"/>
          <w:szCs w:val="24"/>
          <w:lang w:eastAsia="en-AU"/>
        </w:rPr>
        <w:t xml:space="preserve">The 2021-22 </w:t>
      </w:r>
      <w:r>
        <w:rPr>
          <w:rFonts w:ascii="Calibri" w:eastAsia="Times New Roman" w:hAnsi="Calibri" w:cs="Calibri"/>
          <w:color w:val="000000"/>
          <w:szCs w:val="24"/>
          <w:lang w:eastAsia="en-AU"/>
        </w:rPr>
        <w:t xml:space="preserve">Budget also </w:t>
      </w:r>
      <w:r w:rsidRPr="00357C96">
        <w:rPr>
          <w:rFonts w:ascii="Calibri" w:eastAsia="Times New Roman" w:hAnsi="Calibri" w:cs="Calibri"/>
          <w:color w:val="000000"/>
          <w:szCs w:val="24"/>
          <w:lang w:eastAsia="en-AU"/>
        </w:rPr>
        <w:t xml:space="preserve">provides </w:t>
      </w:r>
      <w:r>
        <w:rPr>
          <w:rFonts w:ascii="Calibri" w:eastAsia="Times New Roman" w:hAnsi="Calibri" w:cs="Calibri"/>
          <w:color w:val="000000"/>
          <w:szCs w:val="24"/>
          <w:lang w:eastAsia="en-AU"/>
        </w:rPr>
        <w:t xml:space="preserve">an additional $65 million in new </w:t>
      </w:r>
      <w:r w:rsidRPr="00357C96">
        <w:rPr>
          <w:rFonts w:ascii="Calibri" w:eastAsia="Times New Roman" w:hAnsi="Calibri" w:cs="Calibri"/>
          <w:color w:val="000000"/>
          <w:szCs w:val="24"/>
          <w:lang w:eastAsia="en-AU"/>
        </w:rPr>
        <w:t>funding to future-proof our emergency services</w:t>
      </w:r>
      <w:r>
        <w:rPr>
          <w:rFonts w:ascii="Calibri" w:eastAsia="Times New Roman" w:hAnsi="Calibri" w:cs="Calibri"/>
          <w:color w:val="000000"/>
          <w:szCs w:val="24"/>
          <w:lang w:eastAsia="en-AU"/>
        </w:rPr>
        <w:t>’</w:t>
      </w:r>
      <w:r w:rsidRPr="00357C96">
        <w:rPr>
          <w:rFonts w:ascii="Calibri" w:eastAsia="Times New Roman" w:hAnsi="Calibri" w:cs="Calibri"/>
          <w:color w:val="000000"/>
          <w:szCs w:val="24"/>
          <w:lang w:eastAsia="en-AU"/>
        </w:rPr>
        <w:t xml:space="preserve"> capabilit</w:t>
      </w:r>
      <w:r>
        <w:rPr>
          <w:rFonts w:ascii="Calibri" w:eastAsia="Times New Roman" w:hAnsi="Calibri" w:cs="Calibri"/>
          <w:color w:val="000000"/>
          <w:szCs w:val="24"/>
          <w:lang w:eastAsia="en-AU"/>
        </w:rPr>
        <w:t>ies</w:t>
      </w:r>
      <w:r w:rsidRPr="00357C96">
        <w:rPr>
          <w:rFonts w:ascii="Calibri" w:eastAsia="Times New Roman" w:hAnsi="Calibri" w:cs="Calibri"/>
          <w:color w:val="000000"/>
          <w:szCs w:val="24"/>
          <w:lang w:eastAsia="en-AU"/>
        </w:rPr>
        <w:t xml:space="preserve">, including: </w:t>
      </w:r>
    </w:p>
    <w:p w14:paraId="365EA574" w14:textId="77777777" w:rsidR="00CF0E2D" w:rsidRPr="00357C96" w:rsidRDefault="00CF0E2D" w:rsidP="00CF0E2D">
      <w:pPr>
        <w:pStyle w:val="ListParagraph"/>
        <w:numPr>
          <w:ilvl w:val="0"/>
          <w:numId w:val="13"/>
        </w:numPr>
        <w:spacing w:after="120" w:line="240" w:lineRule="auto"/>
        <w:ind w:left="360"/>
        <w:rPr>
          <w:rFonts w:ascii="Calibri" w:eastAsia="Times New Roman" w:hAnsi="Calibri" w:cs="Calibri"/>
          <w:color w:val="000000"/>
          <w:sz w:val="24"/>
          <w:szCs w:val="24"/>
          <w:lang w:eastAsia="en-AU"/>
        </w:rPr>
      </w:pPr>
      <w:r>
        <w:rPr>
          <w:bCs/>
          <w:sz w:val="24"/>
          <w:szCs w:val="24"/>
        </w:rPr>
        <w:t xml:space="preserve">$15.2 million to </w:t>
      </w:r>
      <w:r w:rsidRPr="00357C96">
        <w:rPr>
          <w:bCs/>
          <w:sz w:val="24"/>
          <w:szCs w:val="24"/>
        </w:rPr>
        <w:t xml:space="preserve">support </w:t>
      </w:r>
      <w:r>
        <w:rPr>
          <w:bCs/>
          <w:sz w:val="24"/>
          <w:szCs w:val="24"/>
        </w:rPr>
        <w:t>for</w:t>
      </w:r>
      <w:r w:rsidRPr="00357C96">
        <w:rPr>
          <w:bCs/>
          <w:sz w:val="24"/>
          <w:szCs w:val="24"/>
        </w:rPr>
        <w:t xml:space="preserve"> the</w:t>
      </w:r>
      <w:r>
        <w:rPr>
          <w:bCs/>
          <w:sz w:val="24"/>
          <w:szCs w:val="24"/>
        </w:rPr>
        <w:t xml:space="preserve"> ACT Ambulance Service to</w:t>
      </w:r>
      <w:r w:rsidRPr="00357C96" w:rsidDel="002F6D03">
        <w:rPr>
          <w:bCs/>
          <w:sz w:val="24"/>
          <w:szCs w:val="24"/>
        </w:rPr>
        <w:t xml:space="preserve"> </w:t>
      </w:r>
      <w:r w:rsidRPr="00357C96">
        <w:rPr>
          <w:bCs/>
          <w:sz w:val="24"/>
          <w:szCs w:val="24"/>
        </w:rPr>
        <w:t>transition to a more patient</w:t>
      </w:r>
      <w:r>
        <w:rPr>
          <w:bCs/>
          <w:sz w:val="24"/>
          <w:szCs w:val="24"/>
        </w:rPr>
        <w:noBreakHyphen/>
      </w:r>
      <w:r w:rsidRPr="00357C96">
        <w:rPr>
          <w:bCs/>
          <w:sz w:val="24"/>
          <w:szCs w:val="24"/>
        </w:rPr>
        <w:t>centred service, including changes to ensure more efficient and safer triaging of patients and dispatching of ambulances</w:t>
      </w:r>
      <w:r>
        <w:rPr>
          <w:bCs/>
          <w:sz w:val="24"/>
          <w:szCs w:val="24"/>
        </w:rPr>
        <w:t>;</w:t>
      </w:r>
    </w:p>
    <w:p w14:paraId="67FE36A5" w14:textId="77777777" w:rsidR="00CF0E2D" w:rsidRPr="00357C96" w:rsidRDefault="00CF0E2D" w:rsidP="00CF0E2D">
      <w:pPr>
        <w:pStyle w:val="ListParagraph"/>
        <w:numPr>
          <w:ilvl w:val="0"/>
          <w:numId w:val="13"/>
        </w:numPr>
        <w:spacing w:after="120" w:line="240" w:lineRule="auto"/>
        <w:ind w:left="360"/>
        <w:rPr>
          <w:rFonts w:ascii="Calibri" w:eastAsia="Times New Roman" w:hAnsi="Calibri" w:cs="Calibri"/>
          <w:color w:val="000000"/>
          <w:sz w:val="24"/>
          <w:szCs w:val="24"/>
          <w:lang w:eastAsia="en-AU"/>
        </w:rPr>
      </w:pPr>
      <w:r w:rsidRPr="00357C96">
        <w:rPr>
          <w:rFonts w:ascii="Calibri" w:eastAsia="Times New Roman" w:hAnsi="Calibri" w:cs="Calibri"/>
          <w:color w:val="000000" w:themeColor="text1"/>
          <w:sz w:val="24"/>
          <w:szCs w:val="24"/>
          <w:lang w:eastAsia="en-AU"/>
        </w:rPr>
        <w:lastRenderedPageBreak/>
        <w:t>increased funding for ACT Policing; including enabling services, maintain ACT Policing radio communications capability and additional funding for the ACT Policing forensic medical contract</w:t>
      </w:r>
      <w:r>
        <w:rPr>
          <w:rFonts w:ascii="Calibri" w:eastAsia="Times New Roman" w:hAnsi="Calibri" w:cs="Calibri"/>
          <w:color w:val="000000" w:themeColor="text1"/>
          <w:sz w:val="24"/>
          <w:szCs w:val="24"/>
          <w:lang w:eastAsia="en-AU"/>
        </w:rPr>
        <w:t>;</w:t>
      </w:r>
    </w:p>
    <w:p w14:paraId="1E833A2D" w14:textId="77777777" w:rsidR="00CF0E2D" w:rsidRPr="00357C96" w:rsidRDefault="00CF0E2D" w:rsidP="00CF0E2D">
      <w:pPr>
        <w:pStyle w:val="ListParagraph"/>
        <w:numPr>
          <w:ilvl w:val="0"/>
          <w:numId w:val="13"/>
        </w:numPr>
        <w:spacing w:after="120" w:line="240" w:lineRule="auto"/>
        <w:ind w:left="360"/>
        <w:rPr>
          <w:rFonts w:ascii="Calibri" w:eastAsia="Times New Roman" w:hAnsi="Calibri" w:cs="Calibri"/>
          <w:color w:val="000000"/>
          <w:sz w:val="24"/>
          <w:szCs w:val="24"/>
          <w:lang w:eastAsia="en-AU"/>
        </w:rPr>
      </w:pPr>
      <w:r>
        <w:rPr>
          <w:rFonts w:ascii="Calibri" w:eastAsia="Times New Roman" w:hAnsi="Calibri" w:cs="Calibri"/>
          <w:color w:val="000000" w:themeColor="text1"/>
          <w:sz w:val="24"/>
          <w:szCs w:val="24"/>
          <w:lang w:eastAsia="en-AU"/>
        </w:rPr>
        <w:t>funding</w:t>
      </w:r>
      <w:r w:rsidRPr="00357C96">
        <w:rPr>
          <w:rFonts w:ascii="Calibri" w:eastAsia="Times New Roman" w:hAnsi="Calibri" w:cs="Calibri"/>
          <w:color w:val="000000" w:themeColor="text1"/>
          <w:sz w:val="24"/>
          <w:szCs w:val="24"/>
          <w:lang w:eastAsia="en-AU"/>
        </w:rPr>
        <w:t xml:space="preserve"> for ACT Emergency Services Agency infrastructure; including </w:t>
      </w:r>
      <w:r w:rsidRPr="00357C96">
        <w:rPr>
          <w:sz w:val="24"/>
          <w:szCs w:val="24"/>
          <w:lang w:eastAsia="en-AU"/>
        </w:rPr>
        <w:t xml:space="preserve">51 standard vehicles, </w:t>
      </w:r>
      <w:r>
        <w:rPr>
          <w:sz w:val="24"/>
          <w:szCs w:val="24"/>
          <w:lang w:eastAsia="en-AU"/>
        </w:rPr>
        <w:t>nine</w:t>
      </w:r>
      <w:r w:rsidRPr="00357C96">
        <w:rPr>
          <w:sz w:val="24"/>
          <w:szCs w:val="24"/>
          <w:lang w:eastAsia="en-AU"/>
        </w:rPr>
        <w:t xml:space="preserve"> low-emissions vehicles and associated infrastructure to enable the transition to a more environmentally sustainable program and ICT upgrades</w:t>
      </w:r>
      <w:r>
        <w:rPr>
          <w:sz w:val="24"/>
          <w:szCs w:val="24"/>
          <w:lang w:eastAsia="en-AU"/>
        </w:rPr>
        <w:t xml:space="preserve">; </w:t>
      </w:r>
      <w:r w:rsidRPr="00357C96">
        <w:rPr>
          <w:sz w:val="24"/>
          <w:szCs w:val="24"/>
        </w:rPr>
        <w:t>and</w:t>
      </w:r>
    </w:p>
    <w:p w14:paraId="2B5B88D8" w14:textId="77777777" w:rsidR="00CF0E2D" w:rsidRPr="0014612C" w:rsidRDefault="00CF0E2D" w:rsidP="00CF0E2D">
      <w:pPr>
        <w:pStyle w:val="ListParagraph"/>
        <w:numPr>
          <w:ilvl w:val="0"/>
          <w:numId w:val="13"/>
        </w:numPr>
        <w:spacing w:after="120" w:line="240" w:lineRule="auto"/>
        <w:ind w:left="360"/>
        <w:rPr>
          <w:rFonts w:ascii="Calibri" w:eastAsia="Times New Roman" w:hAnsi="Calibri" w:cs="Calibri"/>
          <w:color w:val="000000"/>
          <w:sz w:val="24"/>
          <w:szCs w:val="24"/>
          <w:lang w:eastAsia="en-AU"/>
        </w:rPr>
      </w:pPr>
      <w:r>
        <w:rPr>
          <w:rFonts w:ascii="Calibri" w:eastAsia="Times New Roman" w:hAnsi="Calibri" w:cs="Calibri"/>
          <w:color w:val="000000" w:themeColor="text1"/>
          <w:sz w:val="24"/>
          <w:szCs w:val="24"/>
          <w:lang w:eastAsia="en-AU"/>
        </w:rPr>
        <w:t>$9.8 million to improve</w:t>
      </w:r>
      <w:r w:rsidRPr="00357C96">
        <w:rPr>
          <w:rFonts w:ascii="Calibri" w:eastAsia="Times New Roman" w:hAnsi="Calibri" w:cs="Calibri"/>
          <w:color w:val="000000" w:themeColor="text1"/>
          <w:sz w:val="24"/>
          <w:szCs w:val="24"/>
          <w:lang w:eastAsia="en-AU"/>
        </w:rPr>
        <w:t xml:space="preserve"> accommodation for the </w:t>
      </w:r>
      <w:r w:rsidRPr="00357C96">
        <w:rPr>
          <w:sz w:val="24"/>
          <w:szCs w:val="24"/>
        </w:rPr>
        <w:t>State Emergency Service (SES), the Rural Fire Service (RFS) ACT Policing, the ACT Ambulance Service and ACT Fire and Rescue</w:t>
      </w:r>
      <w:r>
        <w:rPr>
          <w:sz w:val="24"/>
          <w:szCs w:val="24"/>
        </w:rPr>
        <w:t xml:space="preserve">. </w:t>
      </w:r>
    </w:p>
    <w:p w14:paraId="719D9EA8" w14:textId="77777777" w:rsidR="00CF0E2D" w:rsidRPr="00C3223A" w:rsidRDefault="00CF0E2D" w:rsidP="00A60D4B">
      <w:pPr>
        <w:pStyle w:val="Heading3"/>
        <w:rPr>
          <w:rFonts w:eastAsia="Times New Roman"/>
          <w:lang w:eastAsia="en-AU"/>
        </w:rPr>
      </w:pPr>
      <w:r>
        <w:rPr>
          <w:noProof/>
        </w:rPr>
        <w:drawing>
          <wp:anchor distT="0" distB="0" distL="114300" distR="114300" simplePos="0" relativeHeight="251703296" behindDoc="0" locked="0" layoutInCell="1" allowOverlap="1" wp14:anchorId="192541DB" wp14:editId="455C1C0A">
            <wp:simplePos x="0" y="0"/>
            <wp:positionH relativeFrom="margin">
              <wp:align>left</wp:align>
            </wp:positionH>
            <wp:positionV relativeFrom="paragraph">
              <wp:posOffset>163830</wp:posOffset>
            </wp:positionV>
            <wp:extent cx="1788160" cy="192405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88160" cy="1924050"/>
                    </a:xfrm>
                    <a:prstGeom prst="rect">
                      <a:avLst/>
                    </a:prstGeom>
                    <a:noFill/>
                    <a:ln>
                      <a:noFill/>
                    </a:ln>
                  </pic:spPr>
                </pic:pic>
              </a:graphicData>
            </a:graphic>
          </wp:anchor>
        </w:drawing>
      </w:r>
      <w:r w:rsidRPr="00C3223A">
        <w:rPr>
          <w:rFonts w:eastAsia="Times New Roman"/>
          <w:lang w:eastAsia="en-AU"/>
        </w:rPr>
        <w:t>Justice system reforms</w:t>
      </w:r>
      <w:r>
        <w:rPr>
          <w:rFonts w:eastAsia="Times New Roman"/>
          <w:lang w:eastAsia="en-AU"/>
        </w:rPr>
        <w:t xml:space="preserve"> and human rights </w:t>
      </w:r>
    </w:p>
    <w:p w14:paraId="46DC8B37" w14:textId="77777777" w:rsidR="00CF0E2D" w:rsidRPr="00357C96" w:rsidRDefault="00CF0E2D" w:rsidP="00A60D4B">
      <w:pPr>
        <w:pStyle w:val="Bbodytext"/>
      </w:pPr>
      <w:r w:rsidRPr="00357C96">
        <w:t xml:space="preserve">Our human rights-based justice system continues to support the wellbeing of the most vulnerable members of the community by providing advocacy, complaints-handling, advice, community awareness raising and other services in connection with the promotion and protection of </w:t>
      </w:r>
      <w:r>
        <w:t xml:space="preserve">human </w:t>
      </w:r>
      <w:r w:rsidRPr="00357C96">
        <w:t xml:space="preserve">rights. </w:t>
      </w:r>
    </w:p>
    <w:p w14:paraId="15D5A44F" w14:textId="77777777" w:rsidR="00CF0E2D" w:rsidRPr="00357C96" w:rsidRDefault="00CF0E2D" w:rsidP="00A60D4B">
      <w:pPr>
        <w:pStyle w:val="Bbodytext"/>
        <w:rPr>
          <w:rFonts w:cstheme="minorHAnsi"/>
          <w:i/>
          <w:iCs/>
        </w:rPr>
      </w:pPr>
      <w:r w:rsidRPr="00357C96">
        <w:rPr>
          <w:rFonts w:cstheme="minorHAnsi"/>
        </w:rPr>
        <w:t>The Government is working closely with Aboriginal and Torres Strait Islander community leaders to address the over</w:t>
      </w:r>
      <w:r>
        <w:rPr>
          <w:rFonts w:cstheme="minorHAnsi"/>
        </w:rPr>
        <w:noBreakHyphen/>
      </w:r>
      <w:r w:rsidRPr="00357C96">
        <w:rPr>
          <w:rFonts w:cstheme="minorHAnsi"/>
        </w:rPr>
        <w:t>representation of Aboriginal and Torres Strait Islander people in the justice system in the ACT.</w:t>
      </w:r>
    </w:p>
    <w:p w14:paraId="400D30AF" w14:textId="77777777" w:rsidR="00CF0E2D" w:rsidRPr="00357C96" w:rsidRDefault="00CF0E2D" w:rsidP="00A60D4B">
      <w:pPr>
        <w:pStyle w:val="Bbodytext"/>
        <w:rPr>
          <w:rFonts w:cstheme="minorHAnsi"/>
        </w:rPr>
      </w:pPr>
      <w:r w:rsidRPr="00357C96">
        <w:rPr>
          <w:rFonts w:cstheme="minorHAnsi"/>
        </w:rPr>
        <w:t xml:space="preserve">The </w:t>
      </w:r>
      <w:r w:rsidRPr="00357C96">
        <w:rPr>
          <w:rFonts w:ascii="Calibri" w:eastAsia="Times New Roman" w:hAnsi="Calibri" w:cs="Calibri"/>
          <w:color w:val="000000"/>
          <w:lang w:eastAsia="en-AU"/>
        </w:rPr>
        <w:t>Government</w:t>
      </w:r>
      <w:r w:rsidRPr="00357C96">
        <w:rPr>
          <w:rFonts w:cstheme="minorHAnsi"/>
        </w:rPr>
        <w:t xml:space="preserve"> is taking steps to determine how a higher minimum age of criminal responsibility (MACR) could be implemented in the ACT. As part of this work, the Government has commissioned an independent review to identify service system changes that could support children and young people when the MACR may be raised. </w:t>
      </w:r>
    </w:p>
    <w:p w14:paraId="55117613" w14:textId="77777777" w:rsidR="00CF0E2D" w:rsidRDefault="00CF0E2D" w:rsidP="00A60D4B">
      <w:pPr>
        <w:pStyle w:val="Heading4"/>
      </w:pPr>
      <w:r>
        <w:t xml:space="preserve">2021-22 Budget  </w:t>
      </w:r>
    </w:p>
    <w:p w14:paraId="19EBA234" w14:textId="77777777" w:rsidR="00CF0E2D" w:rsidRPr="00062CD6" w:rsidRDefault="00CF0E2D" w:rsidP="00A60D4B">
      <w:pPr>
        <w:pStyle w:val="Bbodytext"/>
        <w:rPr>
          <w:lang w:eastAsia="en-AU"/>
        </w:rPr>
      </w:pPr>
      <w:r w:rsidRPr="00062CD6">
        <w:rPr>
          <w:lang w:eastAsia="en-AU"/>
        </w:rPr>
        <w:t xml:space="preserve">Building on recent reforms, the 2021-22 Budget provides additional funding of $60 million for a range of initiatives with the aim of making our justice system even more progressive, accessible and equitable. Funding is also being provided to further support the welfare of Canberrans interacting with the justice system, as well as enhancing human rights compliance more broadly. </w:t>
      </w:r>
    </w:p>
    <w:p w14:paraId="7FBA5C8F" w14:textId="77777777" w:rsidR="00CF0E2D" w:rsidRPr="00062CD6" w:rsidRDefault="00CF0E2D" w:rsidP="00A60D4B">
      <w:pPr>
        <w:pStyle w:val="Bbodytext"/>
        <w:rPr>
          <w:lang w:eastAsia="en-AU"/>
        </w:rPr>
      </w:pPr>
      <w:r w:rsidRPr="00062CD6">
        <w:rPr>
          <w:rFonts w:cstheme="minorHAnsi"/>
        </w:rPr>
        <w:t>Major</w:t>
      </w:r>
      <w:r w:rsidRPr="00062CD6">
        <w:t xml:space="preserve"> initiatives in the 2021</w:t>
      </w:r>
      <w:r w:rsidRPr="00062CD6">
        <w:noBreakHyphen/>
        <w:t>22 Budget supporting further progress in this area include:</w:t>
      </w:r>
    </w:p>
    <w:p w14:paraId="2B7DD894" w14:textId="77777777" w:rsidR="00CF0E2D" w:rsidRPr="00062CD6" w:rsidRDefault="00CF0E2D" w:rsidP="00CF0E2D">
      <w:pPr>
        <w:pStyle w:val="ListParagraph"/>
        <w:numPr>
          <w:ilvl w:val="0"/>
          <w:numId w:val="14"/>
        </w:numPr>
        <w:spacing w:after="0" w:line="240" w:lineRule="auto"/>
        <w:ind w:left="360"/>
        <w:rPr>
          <w:rFonts w:ascii="Calibri" w:eastAsia="Times New Roman" w:hAnsi="Calibri" w:cs="Calibri"/>
          <w:color w:val="000000"/>
          <w:sz w:val="24"/>
          <w:szCs w:val="24"/>
          <w:lang w:eastAsia="en-AU"/>
        </w:rPr>
      </w:pPr>
      <w:r w:rsidRPr="00062CD6">
        <w:rPr>
          <w:rFonts w:ascii="Calibri" w:eastAsia="Times New Roman" w:hAnsi="Calibri" w:cs="Calibri"/>
          <w:color w:val="000000" w:themeColor="text1"/>
          <w:sz w:val="24"/>
          <w:szCs w:val="24"/>
          <w:lang w:eastAsia="en-AU"/>
        </w:rPr>
        <w:t xml:space="preserve">$7.2 million in support for </w:t>
      </w:r>
      <w:r w:rsidRPr="00062CD6">
        <w:rPr>
          <w:sz w:val="24"/>
          <w:szCs w:val="24"/>
        </w:rPr>
        <w:t>the Victim Services Scheme and the Victims of Crime Financial Assistance Scheme to strengthen counselling and financial assistance programs offered to eligible victims of crime</w:t>
      </w:r>
      <w:r w:rsidRPr="00062CD6">
        <w:rPr>
          <w:rFonts w:ascii="Calibri" w:eastAsia="Times New Roman" w:hAnsi="Calibri" w:cs="Calibri"/>
          <w:color w:val="000000" w:themeColor="text1"/>
          <w:sz w:val="24"/>
          <w:szCs w:val="24"/>
          <w:lang w:eastAsia="en-AU"/>
        </w:rPr>
        <w:t>;</w:t>
      </w:r>
    </w:p>
    <w:p w14:paraId="15EA7EB5" w14:textId="77777777" w:rsidR="00CF0E2D" w:rsidRPr="00062CD6" w:rsidRDefault="00CF0E2D" w:rsidP="00CF0E2D">
      <w:pPr>
        <w:pStyle w:val="ListParagraph"/>
        <w:numPr>
          <w:ilvl w:val="0"/>
          <w:numId w:val="14"/>
        </w:numPr>
        <w:spacing w:after="0" w:line="240" w:lineRule="auto"/>
        <w:ind w:left="360"/>
        <w:rPr>
          <w:rFonts w:ascii="Calibri" w:eastAsia="Times New Roman" w:hAnsi="Calibri" w:cs="Calibri"/>
          <w:color w:val="000000"/>
          <w:sz w:val="24"/>
          <w:szCs w:val="24"/>
          <w:lang w:eastAsia="en-AU"/>
        </w:rPr>
      </w:pPr>
      <w:r w:rsidRPr="00062CD6">
        <w:rPr>
          <w:rFonts w:ascii="Calibri" w:eastAsia="Times New Roman" w:hAnsi="Calibri" w:cs="Calibri"/>
          <w:color w:val="000000" w:themeColor="text1"/>
          <w:sz w:val="24"/>
          <w:szCs w:val="24"/>
          <w:lang w:eastAsia="en-AU"/>
        </w:rPr>
        <w:t xml:space="preserve">additional support for the Human Rights Commission, including enhancing its capacity to respond to an increasing number and range of complaints and to </w:t>
      </w:r>
      <w:r w:rsidRPr="00062CD6">
        <w:rPr>
          <w:sz w:val="24"/>
          <w:szCs w:val="24"/>
        </w:rPr>
        <w:t>meet the growth in demand for the Official Visitors Scheme;</w:t>
      </w:r>
    </w:p>
    <w:p w14:paraId="600BB088" w14:textId="77777777" w:rsidR="00CF0E2D" w:rsidRPr="00062CD6" w:rsidRDefault="00CF0E2D" w:rsidP="00CF0E2D">
      <w:pPr>
        <w:pStyle w:val="ListParagraph"/>
        <w:numPr>
          <w:ilvl w:val="0"/>
          <w:numId w:val="14"/>
        </w:numPr>
        <w:spacing w:after="0" w:line="240" w:lineRule="auto"/>
        <w:ind w:left="360"/>
        <w:rPr>
          <w:rFonts w:ascii="Calibri" w:eastAsia="Times New Roman" w:hAnsi="Calibri" w:cs="Calibri"/>
          <w:color w:val="000000"/>
          <w:sz w:val="24"/>
          <w:szCs w:val="24"/>
          <w:lang w:eastAsia="en-AU"/>
        </w:rPr>
      </w:pPr>
      <w:r w:rsidRPr="00062CD6">
        <w:rPr>
          <w:rFonts w:ascii="Calibri" w:eastAsia="Times New Roman" w:hAnsi="Calibri" w:cs="Calibri"/>
          <w:color w:val="000000" w:themeColor="text1"/>
          <w:sz w:val="24"/>
          <w:szCs w:val="24"/>
          <w:lang w:eastAsia="en-AU"/>
        </w:rPr>
        <w:t xml:space="preserve">funding to continue the ACT Intermediary Program, which supports vulnerable witnesses to give evidence to police and in ACT Magistrates and Supreme Courts; </w:t>
      </w:r>
    </w:p>
    <w:p w14:paraId="3B8035E3" w14:textId="77777777" w:rsidR="00CF0E2D" w:rsidRPr="00062CD6" w:rsidRDefault="00CF0E2D" w:rsidP="00CF0E2D">
      <w:pPr>
        <w:pStyle w:val="ListParagraph"/>
        <w:numPr>
          <w:ilvl w:val="0"/>
          <w:numId w:val="14"/>
        </w:numPr>
        <w:ind w:left="360"/>
        <w:jc w:val="both"/>
        <w:rPr>
          <w:sz w:val="24"/>
          <w:szCs w:val="24"/>
        </w:rPr>
      </w:pPr>
      <w:r w:rsidRPr="00062CD6">
        <w:rPr>
          <w:sz w:val="24"/>
          <w:szCs w:val="24"/>
        </w:rPr>
        <w:t>strengthening support for the Legal Aid Commission to meet increased demand for the Commission’s services;</w:t>
      </w:r>
    </w:p>
    <w:p w14:paraId="40A00F32" w14:textId="77777777" w:rsidR="00CF0E2D" w:rsidRPr="00062CD6" w:rsidRDefault="00CF0E2D" w:rsidP="00CF0E2D">
      <w:pPr>
        <w:pStyle w:val="ListParagraph"/>
        <w:numPr>
          <w:ilvl w:val="0"/>
          <w:numId w:val="14"/>
        </w:numPr>
        <w:ind w:left="360"/>
        <w:rPr>
          <w:sz w:val="24"/>
          <w:szCs w:val="24"/>
          <w:lang w:eastAsia="en-AU"/>
        </w:rPr>
      </w:pPr>
      <w:r w:rsidRPr="00062CD6">
        <w:rPr>
          <w:sz w:val="24"/>
          <w:szCs w:val="24"/>
          <w:lang w:eastAsia="en-AU"/>
        </w:rPr>
        <w:lastRenderedPageBreak/>
        <w:t>funding to ensure community-based legal assistance organisations, including the Aboriginal Legal Service NSW/ACT, Canberra Community Law, CARE Inc and the Environmental Defenders Office, can maintain service delivery levels;</w:t>
      </w:r>
    </w:p>
    <w:p w14:paraId="5773C0D0" w14:textId="77777777" w:rsidR="00CF0E2D" w:rsidRPr="00062CD6" w:rsidRDefault="00CF0E2D" w:rsidP="00CF0E2D">
      <w:pPr>
        <w:pStyle w:val="ListParagraph"/>
        <w:numPr>
          <w:ilvl w:val="0"/>
          <w:numId w:val="14"/>
        </w:numPr>
        <w:ind w:left="360"/>
        <w:rPr>
          <w:sz w:val="24"/>
          <w:szCs w:val="24"/>
          <w:lang w:eastAsia="en-AU"/>
        </w:rPr>
      </w:pPr>
      <w:r w:rsidRPr="00062CD6">
        <w:rPr>
          <w:rFonts w:ascii="Calibri" w:eastAsia="Times New Roman" w:hAnsi="Calibri" w:cs="Calibri"/>
          <w:color w:val="000000" w:themeColor="text1"/>
          <w:sz w:val="24"/>
          <w:szCs w:val="24"/>
          <w:lang w:eastAsia="en-AU"/>
        </w:rPr>
        <w:t>$17.8 million to continue the Drug and Alcohol Court, which aims to rehabilitate high risk and high need offenders, and protect the community, by providing health and justice interventions, while holding people to account for their behaviour;</w:t>
      </w:r>
    </w:p>
    <w:p w14:paraId="0EB8C8A0" w14:textId="77777777" w:rsidR="00CF0E2D" w:rsidRPr="00062CD6" w:rsidRDefault="00CF0E2D" w:rsidP="00CF0E2D">
      <w:pPr>
        <w:pStyle w:val="ListParagraph"/>
        <w:numPr>
          <w:ilvl w:val="0"/>
          <w:numId w:val="14"/>
        </w:numPr>
        <w:spacing w:after="0" w:line="240" w:lineRule="auto"/>
        <w:ind w:left="360"/>
        <w:rPr>
          <w:rFonts w:ascii="Calibri" w:eastAsia="Times New Roman" w:hAnsi="Calibri" w:cs="Calibri"/>
          <w:color w:val="000000"/>
          <w:sz w:val="24"/>
          <w:szCs w:val="24"/>
          <w:lang w:eastAsia="en-AU"/>
        </w:rPr>
      </w:pPr>
      <w:r w:rsidRPr="00062CD6">
        <w:rPr>
          <w:rFonts w:ascii="Calibri" w:eastAsia="Times New Roman" w:hAnsi="Calibri" w:cs="Calibri"/>
          <w:color w:val="000000" w:themeColor="text1"/>
          <w:sz w:val="24"/>
          <w:szCs w:val="24"/>
          <w:lang w:eastAsia="en-AU"/>
        </w:rPr>
        <w:t xml:space="preserve">progressing reforms to raise the minimum age of criminal responsibility </w:t>
      </w:r>
      <w:r w:rsidRPr="00062CD6">
        <w:rPr>
          <w:sz w:val="24"/>
          <w:szCs w:val="24"/>
          <w:lang w:eastAsia="en-AU"/>
        </w:rPr>
        <w:t xml:space="preserve">from the current minimum of </w:t>
      </w:r>
      <w:r>
        <w:rPr>
          <w:sz w:val="24"/>
          <w:szCs w:val="24"/>
          <w:lang w:eastAsia="en-AU"/>
        </w:rPr>
        <w:t>ten</w:t>
      </w:r>
      <w:r w:rsidRPr="00062CD6">
        <w:rPr>
          <w:sz w:val="24"/>
          <w:szCs w:val="24"/>
          <w:lang w:eastAsia="en-AU"/>
        </w:rPr>
        <w:t xml:space="preserve"> years of age</w:t>
      </w:r>
      <w:r w:rsidRPr="00062CD6">
        <w:rPr>
          <w:rFonts w:ascii="Calibri" w:eastAsia="Times New Roman" w:hAnsi="Calibri" w:cs="Calibri"/>
          <w:color w:val="000000" w:themeColor="text1"/>
          <w:sz w:val="24"/>
          <w:szCs w:val="24"/>
          <w:lang w:eastAsia="en-AU"/>
        </w:rPr>
        <w:t>;</w:t>
      </w:r>
    </w:p>
    <w:p w14:paraId="61F56C87" w14:textId="77777777" w:rsidR="00CF0E2D" w:rsidRPr="00062CD6" w:rsidRDefault="00CF0E2D" w:rsidP="00CF0E2D">
      <w:pPr>
        <w:pStyle w:val="ListParagraph"/>
        <w:numPr>
          <w:ilvl w:val="0"/>
          <w:numId w:val="14"/>
        </w:numPr>
        <w:spacing w:after="0" w:line="240" w:lineRule="auto"/>
        <w:ind w:left="360"/>
        <w:rPr>
          <w:rFonts w:ascii="Calibri" w:eastAsia="Times New Roman" w:hAnsi="Calibri" w:cs="Calibri"/>
          <w:color w:val="000000"/>
          <w:sz w:val="24"/>
          <w:szCs w:val="24"/>
          <w:lang w:eastAsia="en-AU"/>
        </w:rPr>
      </w:pPr>
      <w:r w:rsidRPr="00062CD6">
        <w:rPr>
          <w:rFonts w:ascii="Calibri" w:eastAsia="Times New Roman" w:hAnsi="Calibri" w:cs="Calibri"/>
          <w:color w:val="000000" w:themeColor="text1"/>
          <w:sz w:val="24"/>
          <w:szCs w:val="24"/>
          <w:lang w:eastAsia="en-AU"/>
        </w:rPr>
        <w:t xml:space="preserve">$1.3 million to continue the </w:t>
      </w:r>
      <w:r w:rsidRPr="00062CD6">
        <w:rPr>
          <w:sz w:val="24"/>
          <w:szCs w:val="24"/>
        </w:rPr>
        <w:t>Therapeutic Care Court, which aims to achieve outcomes in the best interest of children and young people by providing intensive management and therapeutic support to parents involved in care and protection matters;</w:t>
      </w:r>
    </w:p>
    <w:p w14:paraId="1F515F0C" w14:textId="77777777" w:rsidR="00CF0E2D" w:rsidRPr="00357C96" w:rsidRDefault="00CF0E2D" w:rsidP="00CF0E2D">
      <w:pPr>
        <w:pStyle w:val="ListParagraph"/>
        <w:numPr>
          <w:ilvl w:val="0"/>
          <w:numId w:val="14"/>
        </w:numPr>
        <w:spacing w:after="0" w:line="240" w:lineRule="auto"/>
        <w:ind w:left="360"/>
        <w:rPr>
          <w:rFonts w:ascii="Calibri" w:eastAsia="Times New Roman" w:hAnsi="Calibri" w:cs="Calibri"/>
          <w:color w:val="000000"/>
          <w:sz w:val="24"/>
          <w:szCs w:val="24"/>
          <w:lang w:eastAsia="en-AU"/>
        </w:rPr>
      </w:pPr>
      <w:r w:rsidRPr="00357C96">
        <w:rPr>
          <w:sz w:val="24"/>
          <w:szCs w:val="24"/>
          <w:lang w:eastAsia="en-AU"/>
        </w:rPr>
        <w:t xml:space="preserve">support for the ACT Supreme Court to provide Criminal Case Conferencing, which encourages negotiated settlements and improves the overall efficacy of the criminal justice process; </w:t>
      </w:r>
    </w:p>
    <w:p w14:paraId="0FB80756" w14:textId="77777777" w:rsidR="00CF0E2D" w:rsidRPr="00357C96" w:rsidRDefault="00CF0E2D" w:rsidP="00CF0E2D">
      <w:pPr>
        <w:pStyle w:val="ListParagraph"/>
        <w:numPr>
          <w:ilvl w:val="0"/>
          <w:numId w:val="14"/>
        </w:numPr>
        <w:spacing w:after="0" w:line="240" w:lineRule="auto"/>
        <w:ind w:left="360"/>
        <w:rPr>
          <w:rFonts w:ascii="Calibri" w:eastAsia="Times New Roman" w:hAnsi="Calibri" w:cs="Calibri"/>
          <w:color w:val="000000"/>
          <w:sz w:val="24"/>
          <w:szCs w:val="24"/>
          <w:lang w:eastAsia="en-AU"/>
        </w:rPr>
      </w:pPr>
      <w:r w:rsidRPr="00A32278">
        <w:rPr>
          <w:sz w:val="24"/>
          <w:szCs w:val="24"/>
          <w:lang w:eastAsia="en-AU"/>
        </w:rPr>
        <w:t>$3.8 million for the establishment</w:t>
      </w:r>
      <w:r w:rsidRPr="00357C96">
        <w:rPr>
          <w:sz w:val="24"/>
          <w:szCs w:val="24"/>
          <w:lang w:eastAsia="en-AU"/>
        </w:rPr>
        <w:t xml:space="preserve"> of a dedicated Coroner’s Court for the ACT and additional resourcing for a Special Magistrate to help clear the backlog of cases in the Magistrate’s Court;</w:t>
      </w:r>
    </w:p>
    <w:p w14:paraId="21FE15A8" w14:textId="77777777" w:rsidR="00CF0E2D" w:rsidRPr="00357C96" w:rsidRDefault="00CF0E2D" w:rsidP="00CF0E2D">
      <w:pPr>
        <w:pStyle w:val="ListParagraph"/>
        <w:numPr>
          <w:ilvl w:val="0"/>
          <w:numId w:val="14"/>
        </w:numPr>
        <w:spacing w:after="0" w:line="240" w:lineRule="auto"/>
        <w:ind w:left="360"/>
        <w:rPr>
          <w:rFonts w:ascii="Calibri" w:eastAsia="Times New Roman" w:hAnsi="Calibri" w:cs="Calibri"/>
          <w:color w:val="000000"/>
          <w:sz w:val="24"/>
          <w:szCs w:val="24"/>
          <w:lang w:eastAsia="en-AU"/>
        </w:rPr>
      </w:pPr>
      <w:r w:rsidRPr="00357C96">
        <w:rPr>
          <w:rFonts w:ascii="Calibri" w:eastAsia="Times New Roman" w:hAnsi="Calibri" w:cs="Calibri"/>
          <w:color w:val="000000" w:themeColor="text1"/>
          <w:sz w:val="24"/>
          <w:szCs w:val="24"/>
          <w:lang w:eastAsia="en-AU"/>
        </w:rPr>
        <w:t xml:space="preserve">upgrades to </w:t>
      </w:r>
      <w:r w:rsidRPr="00357C96">
        <w:rPr>
          <w:sz w:val="24"/>
          <w:szCs w:val="24"/>
        </w:rPr>
        <w:t>the Galambany Circle Sentencing court room, which is used to provide culturally appropriate support to Aboriginal and Torres Strait Islander defendants;</w:t>
      </w:r>
    </w:p>
    <w:p w14:paraId="2B919657" w14:textId="77777777" w:rsidR="00CF0E2D" w:rsidRPr="00357C96" w:rsidRDefault="00CF0E2D" w:rsidP="00CF0E2D">
      <w:pPr>
        <w:pStyle w:val="ListParagraph"/>
        <w:numPr>
          <w:ilvl w:val="0"/>
          <w:numId w:val="14"/>
        </w:numPr>
        <w:spacing w:after="0" w:line="240" w:lineRule="auto"/>
        <w:ind w:left="360"/>
        <w:rPr>
          <w:rFonts w:ascii="Calibri" w:eastAsia="Times New Roman" w:hAnsi="Calibri" w:cs="Calibri"/>
          <w:color w:val="000000"/>
          <w:sz w:val="24"/>
          <w:szCs w:val="24"/>
          <w:lang w:eastAsia="en-AU"/>
        </w:rPr>
      </w:pPr>
      <w:r w:rsidRPr="00357C96">
        <w:rPr>
          <w:sz w:val="24"/>
          <w:szCs w:val="24"/>
        </w:rPr>
        <w:t>continued support for the Intensive Corrections Order (ICO) scheme, which was established as an alternative sentencing approach in 2016; and</w:t>
      </w:r>
    </w:p>
    <w:p w14:paraId="0B4145F3" w14:textId="77777777" w:rsidR="00CF0E2D" w:rsidRPr="00357C96" w:rsidRDefault="00CF0E2D" w:rsidP="00CF0E2D">
      <w:pPr>
        <w:pStyle w:val="ListParagraph"/>
        <w:numPr>
          <w:ilvl w:val="0"/>
          <w:numId w:val="14"/>
        </w:numPr>
        <w:spacing w:after="0" w:line="240" w:lineRule="auto"/>
        <w:ind w:left="360"/>
        <w:rPr>
          <w:rFonts w:ascii="Calibri" w:eastAsia="Times New Roman" w:hAnsi="Calibri" w:cs="Calibri"/>
          <w:color w:val="000000"/>
          <w:sz w:val="24"/>
          <w:szCs w:val="24"/>
          <w:lang w:eastAsia="en-AU"/>
        </w:rPr>
      </w:pPr>
      <w:r w:rsidRPr="00357C96">
        <w:rPr>
          <w:sz w:val="24"/>
          <w:szCs w:val="24"/>
        </w:rPr>
        <w:t>funding for critical repair and enhancement works and to install a second body scanner at the Alexander Maconochie Centre (AMC) and continue planning for the long-term accommodation needs of the AMC.</w:t>
      </w:r>
    </w:p>
    <w:p w14:paraId="6225338C" w14:textId="77777777" w:rsidR="00CF0E2D" w:rsidRPr="00773B30" w:rsidRDefault="00CF0E2D" w:rsidP="00A60D4B">
      <w:pPr>
        <w:spacing w:after="0" w:line="240" w:lineRule="auto"/>
        <w:rPr>
          <w:rFonts w:ascii="Calibri" w:eastAsia="Times New Roman" w:hAnsi="Calibri" w:cs="Calibri"/>
          <w:color w:val="000000"/>
          <w:lang w:eastAsia="en-AU"/>
        </w:rPr>
      </w:pPr>
    </w:p>
    <w:p w14:paraId="48376B82" w14:textId="77777777" w:rsidR="00CF0E2D" w:rsidRDefault="00CF0E2D" w:rsidP="00A60D4B">
      <w:pPr>
        <w:rPr>
          <w:rFonts w:ascii="Montserrat" w:eastAsiaTheme="majorEastAsia" w:hAnsi="Montserrat" w:cstheme="majorBidi"/>
          <w:b/>
          <w:bCs/>
          <w:color w:val="FFFFFF" w:themeColor="background1"/>
          <w:sz w:val="28"/>
          <w:szCs w:val="28"/>
          <w:lang w:val="en-US"/>
        </w:rPr>
      </w:pPr>
      <w:bookmarkStart w:id="19" w:name="_Hlk83037835"/>
      <w:bookmarkStart w:id="20" w:name="_Hlk83222732"/>
      <w:bookmarkEnd w:id="17"/>
      <w:r>
        <w:rPr>
          <w:rFonts w:ascii="Montserrat" w:eastAsiaTheme="majorEastAsia" w:hAnsi="Montserrat" w:cstheme="majorBidi"/>
          <w:b/>
          <w:bCs/>
          <w:color w:val="FFFFFF" w:themeColor="background1"/>
          <w:sz w:val="28"/>
          <w:szCs w:val="28"/>
          <w:lang w:val="en-US"/>
        </w:rPr>
        <w:br w:type="page"/>
      </w:r>
    </w:p>
    <w:p w14:paraId="1124386A" w14:textId="77777777" w:rsidR="00CF0E2D" w:rsidRDefault="00CF0E2D" w:rsidP="00A60D4B">
      <w:pPr>
        <w:keepNext/>
        <w:keepLines/>
        <w:shd w:val="clear" w:color="auto" w:fill="482D8C"/>
        <w:spacing w:before="240" w:after="120"/>
        <w:outlineLvl w:val="0"/>
        <w:rPr>
          <w:rFonts w:ascii="Montserrat" w:eastAsiaTheme="majorEastAsia" w:hAnsi="Montserrat" w:cstheme="majorBidi"/>
          <w:b/>
          <w:bCs/>
          <w:color w:val="FFFFFF" w:themeColor="background1"/>
          <w:sz w:val="28"/>
          <w:szCs w:val="28"/>
          <w:lang w:val="en-US"/>
        </w:rPr>
      </w:pPr>
      <w:bookmarkStart w:id="21" w:name="_Toc84290707"/>
      <w:bookmarkStart w:id="22" w:name="_Toc84290986"/>
      <w:r w:rsidRPr="000F21A0">
        <w:rPr>
          <w:rFonts w:ascii="Montserrat" w:eastAsiaTheme="majorEastAsia" w:hAnsi="Montserrat" w:cstheme="majorBidi"/>
          <w:b/>
          <w:bCs/>
          <w:color w:val="FFFFFF" w:themeColor="background1"/>
          <w:sz w:val="28"/>
          <w:szCs w:val="28"/>
          <w:lang w:val="en-US"/>
        </w:rPr>
        <w:lastRenderedPageBreak/>
        <w:t>Environment</w:t>
      </w:r>
      <w:r>
        <w:rPr>
          <w:rFonts w:ascii="Montserrat" w:eastAsiaTheme="majorEastAsia" w:hAnsi="Montserrat" w:cstheme="majorBidi"/>
          <w:b/>
          <w:bCs/>
          <w:color w:val="FFFFFF" w:themeColor="background1"/>
          <w:sz w:val="28"/>
          <w:szCs w:val="28"/>
          <w:lang w:val="en-US"/>
        </w:rPr>
        <w:t>, climate, transport and planning</w:t>
      </w:r>
      <w:bookmarkEnd w:id="21"/>
      <w:bookmarkEnd w:id="22"/>
    </w:p>
    <w:p w14:paraId="3594FA59" w14:textId="77777777" w:rsidR="00CF0E2D" w:rsidRPr="004800BD" w:rsidRDefault="00CF0E2D" w:rsidP="00A60D4B">
      <w:pPr>
        <w:pStyle w:val="Heading3"/>
        <w:rPr>
          <w:rFonts w:cs="Calibri"/>
        </w:rPr>
      </w:pPr>
      <w:r w:rsidRPr="004800BD">
        <w:t>What the community told us</w:t>
      </w:r>
    </w:p>
    <w:p w14:paraId="2F54F8E2" w14:textId="77777777" w:rsidR="00CF0E2D" w:rsidRPr="00DE4C5A" w:rsidRDefault="00CF0E2D" w:rsidP="00A60D4B">
      <w:pPr>
        <w:pStyle w:val="Bbodytext"/>
      </w:pPr>
      <w:r w:rsidRPr="00DE4C5A">
        <w:t xml:space="preserve">During consultations on the 2021-22 Budget, participants highlighted the importance of suitable green spaces in our city and surrounds and the associated amenity benefits. Canberrans recognised the importance of addressing climate change and emissions reductions, accelerating the take-up of electric vehicles and solar technologies, and the need for the Government to actively promote sustainability, recycling and the use of renewables to assist in the reduction of our environmental impacts. </w:t>
      </w:r>
    </w:p>
    <w:p w14:paraId="69DCB3B1" w14:textId="77777777" w:rsidR="00CF0E2D" w:rsidRPr="00DE4C5A" w:rsidRDefault="00CF0E2D" w:rsidP="00A60D4B">
      <w:pPr>
        <w:pStyle w:val="Bbodytext"/>
      </w:pPr>
      <w:r>
        <w:rPr>
          <w:noProof/>
        </w:rPr>
        <w:drawing>
          <wp:anchor distT="0" distB="0" distL="114300" distR="114300" simplePos="0" relativeHeight="251685888" behindDoc="0" locked="0" layoutInCell="1" allowOverlap="1" wp14:anchorId="79AC8F49" wp14:editId="6C01D3AF">
            <wp:simplePos x="0" y="0"/>
            <wp:positionH relativeFrom="column">
              <wp:posOffset>46355</wp:posOffset>
            </wp:positionH>
            <wp:positionV relativeFrom="paragraph">
              <wp:posOffset>40640</wp:posOffset>
            </wp:positionV>
            <wp:extent cx="1572895" cy="2244090"/>
            <wp:effectExtent l="0" t="0" r="0" b="3810"/>
            <wp:wrapSquare wrapText="bothSides"/>
            <wp:docPr id="53" name="Evir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Eviron 1.png"/>
                    <pic:cNvPicPr/>
                  </pic:nvPicPr>
                  <pic:blipFill>
                    <a:blip r:embed="rId78" r:link="rId79" cstate="print">
                      <a:extLst>
                        <a:ext uri="{28A0092B-C50C-407E-A947-70E740481C1C}">
                          <a14:useLocalDpi xmlns:a14="http://schemas.microsoft.com/office/drawing/2010/main" val="0"/>
                        </a:ext>
                      </a:extLst>
                    </a:blip>
                    <a:stretch>
                      <a:fillRect/>
                    </a:stretch>
                  </pic:blipFill>
                  <pic:spPr>
                    <a:xfrm>
                      <a:off x="0" y="0"/>
                      <a:ext cx="1572895" cy="2244090"/>
                    </a:xfrm>
                    <a:prstGeom prst="rect">
                      <a:avLst/>
                    </a:prstGeom>
                  </pic:spPr>
                </pic:pic>
              </a:graphicData>
            </a:graphic>
            <wp14:sizeRelH relativeFrom="page">
              <wp14:pctWidth>0</wp14:pctWidth>
            </wp14:sizeRelH>
            <wp14:sizeRelV relativeFrom="page">
              <wp14:pctHeight>0</wp14:pctHeight>
            </wp14:sizeRelV>
          </wp:anchor>
        </w:drawing>
      </w:r>
      <w:r w:rsidRPr="000C5FE6">
        <w:t>Pu</w:t>
      </w:r>
      <w:r w:rsidRPr="00DE4C5A">
        <w:t>blic infrastructure and roads were also a focus as they influence</w:t>
      </w:r>
      <w:r w:rsidRPr="00DE4C5A" w:rsidDel="00287034">
        <w:t xml:space="preserve"> </w:t>
      </w:r>
      <w:r w:rsidRPr="00DE4C5A">
        <w:t xml:space="preserve">the amenity of our city, and the ease with which we conduct our lives and simply ‘get around’. Several submissions highlighted the need for active travel networks across our city, particularly our cycling and footpath network, and also promoted the health benefits associated with active travel. In addition, specific road upgrades, facilities for town centres and planning were highlighted. </w:t>
      </w:r>
    </w:p>
    <w:p w14:paraId="52E672FA" w14:textId="77777777" w:rsidR="00CF0E2D" w:rsidRPr="00DE4C5A" w:rsidRDefault="00CF0E2D" w:rsidP="00A60D4B">
      <w:pPr>
        <w:pStyle w:val="Bbodytext"/>
      </w:pPr>
      <w:r w:rsidRPr="00DE4C5A">
        <w:t>Input was also provided on the importance of access to the public transport network (including light rail) for the elderly and people with disability.</w:t>
      </w:r>
    </w:p>
    <w:p w14:paraId="6DD5CD50" w14:textId="77777777" w:rsidR="00CF0E2D" w:rsidRDefault="00CF0E2D" w:rsidP="00A60D4B">
      <w:pPr>
        <w:pStyle w:val="Heading3"/>
      </w:pPr>
      <w:r>
        <w:rPr>
          <w:b w:val="0"/>
          <w:noProof/>
        </w:rPr>
        <w:drawing>
          <wp:anchor distT="0" distB="180340" distL="114300" distR="114300" simplePos="0" relativeHeight="251696128" behindDoc="0" locked="0" layoutInCell="1" allowOverlap="1" wp14:anchorId="1D22DDA2" wp14:editId="5D9D4978">
            <wp:simplePos x="0" y="0"/>
            <wp:positionH relativeFrom="column">
              <wp:posOffset>2546086</wp:posOffset>
            </wp:positionH>
            <wp:positionV relativeFrom="paragraph">
              <wp:posOffset>167209</wp:posOffset>
            </wp:positionV>
            <wp:extent cx="3164205" cy="2109470"/>
            <wp:effectExtent l="0" t="0" r="0" b="0"/>
            <wp:wrapSquare wrapText="bothSides"/>
            <wp:docPr id="64" name="dickson transport e-scooter  0356.jpeg" descr="A picture containing road, outdoor, grass,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ickson transport e-scooter  0356.jpeg" descr="A picture containing road, outdoor, grass, street&#10;&#10;Description automatically generated"/>
                    <pic:cNvPicPr/>
                  </pic:nvPicPr>
                  <pic:blipFill>
                    <a:blip r:embed="rId80" r:link="rId81" cstate="print">
                      <a:extLst>
                        <a:ext uri="{28A0092B-C50C-407E-A947-70E740481C1C}">
                          <a14:useLocalDpi xmlns:a14="http://schemas.microsoft.com/office/drawing/2010/main" val="0"/>
                        </a:ext>
                      </a:extLst>
                    </a:blip>
                    <a:stretch>
                      <a:fillRect/>
                    </a:stretch>
                  </pic:blipFill>
                  <pic:spPr>
                    <a:xfrm>
                      <a:off x="0" y="0"/>
                      <a:ext cx="3164205" cy="2109470"/>
                    </a:xfrm>
                    <a:prstGeom prst="rect">
                      <a:avLst/>
                    </a:prstGeom>
                  </pic:spPr>
                </pic:pic>
              </a:graphicData>
            </a:graphic>
            <wp14:sizeRelH relativeFrom="page">
              <wp14:pctWidth>0</wp14:pctWidth>
            </wp14:sizeRelH>
            <wp14:sizeRelV relativeFrom="page">
              <wp14:pctHeight>0</wp14:pctHeight>
            </wp14:sizeRelV>
          </wp:anchor>
        </w:drawing>
      </w:r>
      <w:r>
        <w:t>Key partnerships</w:t>
      </w:r>
      <w:r w:rsidRPr="0053432D">
        <w:t xml:space="preserve"> </w:t>
      </w:r>
    </w:p>
    <w:p w14:paraId="3E3276DD" w14:textId="77777777" w:rsidR="00CF0E2D" w:rsidRPr="00DE4C5A" w:rsidRDefault="00CF0E2D" w:rsidP="00A60D4B">
      <w:pPr>
        <w:pStyle w:val="Bbodytext"/>
      </w:pPr>
      <w:r w:rsidRPr="00DE4C5A">
        <w:t xml:space="preserve">Many Canberrans volunteer their time to make Canberra a better place, and in doing so, play a valuable role in fostering stronger community and social connections. The work of volunteer-based groups is particularly important in protecting and enhancing Canberra’s unique natural and built environments. In doing so, these groups also play a valuable role in fostering strong community and social connections. </w:t>
      </w:r>
    </w:p>
    <w:p w14:paraId="3106DF6B" w14:textId="77777777" w:rsidR="00CF0E2D" w:rsidRPr="00062CD6" w:rsidRDefault="00CF0E2D" w:rsidP="00A60D4B">
      <w:pPr>
        <w:pStyle w:val="Bbodytext"/>
      </w:pPr>
      <w:r w:rsidRPr="00062CD6">
        <w:t xml:space="preserve">The Government values working with the Aboriginal and Torres Strait Islander community to learn from and incorporate traditional land and environmental management practices. A key partner in this area is the Dhawura Ngunnawal Caring for Country Committee, which provides advice to the Government to improve cultural understanding and guide the enhancement of land and environmental management practices. </w:t>
      </w:r>
    </w:p>
    <w:p w14:paraId="6FB5CB42" w14:textId="77777777" w:rsidR="00CF0E2D" w:rsidRDefault="00CF0E2D">
      <w:pPr>
        <w:rPr>
          <w:rFonts w:ascii="Calibri" w:eastAsiaTheme="majorEastAsia" w:hAnsi="Calibri" w:cstheme="majorBidi"/>
          <w:b/>
          <w:color w:val="999789"/>
          <w:sz w:val="32"/>
          <w:szCs w:val="24"/>
        </w:rPr>
      </w:pPr>
      <w:r>
        <w:br w:type="page"/>
      </w:r>
    </w:p>
    <w:p w14:paraId="2C439671" w14:textId="77777777" w:rsidR="00CF0E2D" w:rsidRPr="0053432D" w:rsidRDefault="00CF0E2D" w:rsidP="00A60D4B">
      <w:pPr>
        <w:pStyle w:val="Heading3"/>
      </w:pPr>
      <w:r>
        <w:rPr>
          <w:noProof/>
        </w:rPr>
        <w:lastRenderedPageBreak/>
        <w:drawing>
          <wp:anchor distT="0" distB="0" distL="114300" distR="114300" simplePos="0" relativeHeight="251697152" behindDoc="0" locked="0" layoutInCell="1" allowOverlap="1" wp14:anchorId="76187494" wp14:editId="233D58DD">
            <wp:simplePos x="0" y="0"/>
            <wp:positionH relativeFrom="column">
              <wp:posOffset>4785839</wp:posOffset>
            </wp:positionH>
            <wp:positionV relativeFrom="paragraph">
              <wp:posOffset>0</wp:posOffset>
            </wp:positionV>
            <wp:extent cx="952500" cy="3022600"/>
            <wp:effectExtent l="0" t="0" r="0" b="0"/>
            <wp:wrapSquare wrapText="bothSides"/>
            <wp:docPr id="65" name="Environ 2.png"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Environ 2.png" descr="A screenshot of a phone&#10;&#10;Description automatically generated with medium confidence"/>
                    <pic:cNvPicPr/>
                  </pic:nvPicPr>
                  <pic:blipFill>
                    <a:blip r:embed="rId82" r:link="rId83" cstate="print">
                      <a:extLst>
                        <a:ext uri="{28A0092B-C50C-407E-A947-70E740481C1C}">
                          <a14:useLocalDpi xmlns:a14="http://schemas.microsoft.com/office/drawing/2010/main" val="0"/>
                        </a:ext>
                      </a:extLst>
                    </a:blip>
                    <a:stretch>
                      <a:fillRect/>
                    </a:stretch>
                  </pic:blipFill>
                  <pic:spPr>
                    <a:xfrm>
                      <a:off x="0" y="0"/>
                      <a:ext cx="952500" cy="3022600"/>
                    </a:xfrm>
                    <a:prstGeom prst="rect">
                      <a:avLst/>
                    </a:prstGeom>
                  </pic:spPr>
                </pic:pic>
              </a:graphicData>
            </a:graphic>
            <wp14:sizeRelH relativeFrom="page">
              <wp14:pctWidth>0</wp14:pctWidth>
            </wp14:sizeRelH>
            <wp14:sizeRelV relativeFrom="page">
              <wp14:pctHeight>0</wp14:pctHeight>
            </wp14:sizeRelV>
          </wp:anchor>
        </w:drawing>
      </w:r>
      <w:r w:rsidRPr="0053432D">
        <w:t xml:space="preserve">Creating </w:t>
      </w:r>
      <w:r>
        <w:t xml:space="preserve">a </w:t>
      </w:r>
      <w:r w:rsidRPr="0053432D">
        <w:t>vibrant and active</w:t>
      </w:r>
      <w:r>
        <w:t xml:space="preserve"> city</w:t>
      </w:r>
    </w:p>
    <w:p w14:paraId="37EF4372" w14:textId="77777777" w:rsidR="00CF0E2D" w:rsidRPr="00625515" w:rsidRDefault="00CF0E2D" w:rsidP="00A60D4B">
      <w:pPr>
        <w:pStyle w:val="Bbodytext"/>
      </w:pPr>
      <w:r w:rsidRPr="00625515">
        <w:t xml:space="preserve">How we plan our city is critical to how we move around and access the services we need, when we need them. </w:t>
      </w:r>
    </w:p>
    <w:p w14:paraId="70FB3072" w14:textId="77777777" w:rsidR="00CF0E2D" w:rsidRDefault="00CF0E2D" w:rsidP="00A60D4B">
      <w:pPr>
        <w:pStyle w:val="Bbodytext"/>
        <w:rPr>
          <w:rFonts w:eastAsia="Times New Roman" w:cstheme="minorHAnsi"/>
          <w:szCs w:val="24"/>
          <w:lang w:eastAsia="en-AU"/>
        </w:rPr>
      </w:pPr>
      <w:r w:rsidRPr="00DE4C5A">
        <w:t>In</w:t>
      </w:r>
      <w:r w:rsidRPr="00625515">
        <w:rPr>
          <w:rFonts w:cstheme="minorHAnsi"/>
          <w:szCs w:val="24"/>
        </w:rPr>
        <w:t xml:space="preserve"> 2018, the Government released the </w:t>
      </w:r>
      <w:r w:rsidRPr="00625515">
        <w:rPr>
          <w:rFonts w:cstheme="minorHAnsi"/>
          <w:i/>
          <w:szCs w:val="24"/>
        </w:rPr>
        <w:t>ACT Planning Strategy</w:t>
      </w:r>
      <w:r w:rsidRPr="00625515">
        <w:rPr>
          <w:rFonts w:cstheme="minorHAnsi"/>
          <w:szCs w:val="24"/>
        </w:rPr>
        <w:t xml:space="preserve"> with a vision for Canberra to be a sustainable, competitive and equitable city that is responsive to the future and resilient to change. By developing a compact and efficient city (including up to 70 per cent of new housing within the existing urban footprint) we will improve accessibility and connectivity between the spaces we use to live, work, study, shop and access services.</w:t>
      </w:r>
      <w:r w:rsidRPr="00625515">
        <w:rPr>
          <w:rFonts w:eastAsia="Times New Roman" w:cstheme="minorHAnsi"/>
          <w:szCs w:val="24"/>
          <w:lang w:eastAsia="en-AU"/>
        </w:rPr>
        <w:t xml:space="preserve"> </w:t>
      </w:r>
    </w:p>
    <w:p w14:paraId="6F7E82EB" w14:textId="77777777" w:rsidR="00CF0E2D" w:rsidRPr="00625515" w:rsidRDefault="00CF0E2D" w:rsidP="00A60D4B">
      <w:pPr>
        <w:pStyle w:val="Bbodytext"/>
        <w:rPr>
          <w:rFonts w:eastAsia="Times New Roman" w:cstheme="minorHAnsi"/>
          <w:szCs w:val="24"/>
          <w:lang w:eastAsia="en-AU"/>
        </w:rPr>
      </w:pPr>
      <w:r w:rsidRPr="00625515">
        <w:rPr>
          <w:rFonts w:eastAsia="Times New Roman" w:cstheme="minorHAnsi"/>
          <w:szCs w:val="24"/>
          <w:lang w:eastAsia="en-AU"/>
        </w:rPr>
        <w:t xml:space="preserve">Through the </w:t>
      </w:r>
      <w:r w:rsidRPr="00625515">
        <w:rPr>
          <w:rFonts w:eastAsia="Times New Roman" w:cstheme="minorHAnsi"/>
          <w:i/>
          <w:szCs w:val="24"/>
          <w:lang w:eastAsia="en-AU"/>
        </w:rPr>
        <w:t>ACT Planning Review</w:t>
      </w:r>
      <w:r w:rsidRPr="00625515">
        <w:rPr>
          <w:rFonts w:eastAsia="Times New Roman" w:cstheme="minorHAnsi"/>
          <w:szCs w:val="24"/>
          <w:lang w:eastAsia="en-AU"/>
        </w:rPr>
        <w:t>, we are also building a planning system that can deliver on the long-term vision for Canberra to be a city that is liveable, sustainable, resilient, and diverse.</w:t>
      </w:r>
    </w:p>
    <w:p w14:paraId="637154CD" w14:textId="77777777" w:rsidR="00CF0E2D" w:rsidRDefault="00CF0E2D" w:rsidP="00A60D4B">
      <w:pPr>
        <w:pStyle w:val="Bbodytext"/>
        <w:rPr>
          <w:rFonts w:cstheme="minorHAnsi"/>
          <w:szCs w:val="24"/>
        </w:rPr>
      </w:pPr>
      <w:r w:rsidRPr="00625515">
        <w:rPr>
          <w:rFonts w:cstheme="minorHAnsi"/>
          <w:szCs w:val="24"/>
        </w:rPr>
        <w:t xml:space="preserve">We are already delivering on this vision through </w:t>
      </w:r>
      <w:r>
        <w:rPr>
          <w:rFonts w:cstheme="minorHAnsi"/>
          <w:szCs w:val="24"/>
        </w:rPr>
        <w:t>our</w:t>
      </w:r>
      <w:r w:rsidRPr="00625515">
        <w:rPr>
          <w:rFonts w:cstheme="minorHAnsi"/>
          <w:szCs w:val="24"/>
        </w:rPr>
        <w:t xml:space="preserve"> indicative land release programs, which prioritise the delivery of a sustainable supply of new housing (including affordable, community and public housing), mixed use commercial releases to support sustainable urban growth, and community land to bring new Government schools and local community facilities to our suburbs. </w:t>
      </w:r>
    </w:p>
    <w:p w14:paraId="0DCF17D0" w14:textId="77777777" w:rsidR="00CF0E2D" w:rsidRPr="00A62771" w:rsidRDefault="00CF0E2D" w:rsidP="00A60D4B">
      <w:pPr>
        <w:pStyle w:val="Bbodytext"/>
        <w:rPr>
          <w:szCs w:val="24"/>
        </w:rPr>
      </w:pPr>
      <w:r>
        <w:rPr>
          <w:noProof/>
          <w:szCs w:val="24"/>
        </w:rPr>
        <w:drawing>
          <wp:anchor distT="0" distB="180340" distL="114300" distR="114300" simplePos="0" relativeHeight="251687936" behindDoc="0" locked="0" layoutInCell="1" allowOverlap="1" wp14:anchorId="0386DCF2" wp14:editId="67D6EE67">
            <wp:simplePos x="0" y="0"/>
            <wp:positionH relativeFrom="column">
              <wp:posOffset>1576705</wp:posOffset>
            </wp:positionH>
            <wp:positionV relativeFrom="paragraph">
              <wp:posOffset>1311910</wp:posOffset>
            </wp:positionV>
            <wp:extent cx="4161155" cy="3115945"/>
            <wp:effectExtent l="0" t="0" r="4445" b="0"/>
            <wp:wrapSquare wrapText="bothSides"/>
            <wp:docPr id="55" name="Acton Waterfront construction pano3.jpg" descr="A picture containing sky, outdoor, nature,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cton Waterfront construction pano3.jpg" descr="A picture containing sky, outdoor, nature, shore&#10;&#10;Description automatically generated"/>
                    <pic:cNvPicPr/>
                  </pic:nvPicPr>
                  <pic:blipFill>
                    <a:blip r:embed="rId84" r:link="rId85" cstate="print">
                      <a:extLst>
                        <a:ext uri="{28A0092B-C50C-407E-A947-70E740481C1C}">
                          <a14:useLocalDpi xmlns:a14="http://schemas.microsoft.com/office/drawing/2010/main" val="0"/>
                        </a:ext>
                      </a:extLst>
                    </a:blip>
                    <a:stretch>
                      <a:fillRect/>
                    </a:stretch>
                  </pic:blipFill>
                  <pic:spPr>
                    <a:xfrm>
                      <a:off x="0" y="0"/>
                      <a:ext cx="4161155" cy="3115945"/>
                    </a:xfrm>
                    <a:prstGeom prst="rect">
                      <a:avLst/>
                    </a:prstGeom>
                  </pic:spPr>
                </pic:pic>
              </a:graphicData>
            </a:graphic>
            <wp14:sizeRelH relativeFrom="page">
              <wp14:pctWidth>0</wp14:pctWidth>
            </wp14:sizeRelH>
            <wp14:sizeRelV relativeFrom="page">
              <wp14:pctHeight>0</wp14:pctHeight>
            </wp14:sizeRelV>
          </wp:anchor>
        </w:drawing>
      </w:r>
      <w:r w:rsidRPr="00A62771">
        <w:rPr>
          <w:szCs w:val="24"/>
        </w:rPr>
        <w:t>The City Renewal Authority’s rolling program of public realm improvements has transformed the city centre into a vibrant space providing</w:t>
      </w:r>
      <w:r>
        <w:rPr>
          <w:szCs w:val="24"/>
        </w:rPr>
        <w:t xml:space="preserve"> greater</w:t>
      </w:r>
      <w:r w:rsidRPr="00A62771">
        <w:rPr>
          <w:szCs w:val="24"/>
        </w:rPr>
        <w:t xml:space="preserve"> opportunities for social connection</w:t>
      </w:r>
      <w:r>
        <w:rPr>
          <w:szCs w:val="24"/>
        </w:rPr>
        <w:t xml:space="preserve">. </w:t>
      </w:r>
      <w:r w:rsidRPr="00A62771">
        <w:rPr>
          <w:szCs w:val="24"/>
        </w:rPr>
        <w:t>Phase one of the Acton Waterfront project – the Henry Rolland Park and the first 150 metres of boardwalk around Lake Burley Griffin’s West Basin – have been completed. The park is a high-quality family friendly public space that attracts high usage as a popular lakeside location. It is the first of several large green spaces, parks and play spaces that will bring</w:t>
      </w:r>
      <w:r>
        <w:rPr>
          <w:szCs w:val="24"/>
        </w:rPr>
        <w:t xml:space="preserve"> the</w:t>
      </w:r>
      <w:r w:rsidRPr="00A62771">
        <w:rPr>
          <w:szCs w:val="24"/>
        </w:rPr>
        <w:t xml:space="preserve"> Acton foreshore together. </w:t>
      </w:r>
    </w:p>
    <w:p w14:paraId="5CD14A25" w14:textId="77777777" w:rsidR="00CF0E2D" w:rsidRDefault="00CF0E2D" w:rsidP="00A60D4B">
      <w:pPr>
        <w:pStyle w:val="Bbodytext"/>
        <w:rPr>
          <w:szCs w:val="24"/>
        </w:rPr>
      </w:pPr>
      <w:r w:rsidRPr="00A62771">
        <w:rPr>
          <w:szCs w:val="24"/>
        </w:rPr>
        <w:t>Amenities at the Park include an event lawn, fitness equipment, picnic facilities, pontoon and boardwalk, and public art. The remaining 500 metres of boardwalk are being constructed and will be open to the public in 2022.</w:t>
      </w:r>
    </w:p>
    <w:p w14:paraId="6416677F" w14:textId="77777777" w:rsidR="00CF0E2D" w:rsidRPr="00A62771" w:rsidRDefault="00CF0E2D" w:rsidP="00A60D4B">
      <w:pPr>
        <w:rPr>
          <w:sz w:val="24"/>
          <w:szCs w:val="24"/>
        </w:rPr>
      </w:pPr>
    </w:p>
    <w:p w14:paraId="4A8D6F38" w14:textId="77777777" w:rsidR="00CF0E2D" w:rsidRDefault="00CF0E2D" w:rsidP="00A60D4B">
      <w:pPr>
        <w:pStyle w:val="Heading4"/>
      </w:pPr>
      <w:r>
        <w:t xml:space="preserve">2021-22 Budget  </w:t>
      </w:r>
    </w:p>
    <w:p w14:paraId="2EF08964" w14:textId="77777777" w:rsidR="00CF0E2D" w:rsidRDefault="00CF0E2D" w:rsidP="00A60D4B">
      <w:pPr>
        <w:pStyle w:val="Bbodytext"/>
        <w:rPr>
          <w:szCs w:val="24"/>
        </w:rPr>
      </w:pPr>
      <w:r w:rsidRPr="00625515">
        <w:rPr>
          <w:szCs w:val="24"/>
        </w:rPr>
        <w:t xml:space="preserve">Going forward, much of Canberra’s future urban growth will be within our existing footprint. </w:t>
      </w:r>
    </w:p>
    <w:p w14:paraId="5CD39732" w14:textId="77777777" w:rsidR="00CF0E2D" w:rsidRPr="00625515" w:rsidRDefault="00CF0E2D" w:rsidP="00A60D4B">
      <w:pPr>
        <w:pStyle w:val="Bbodytext"/>
        <w:rPr>
          <w:szCs w:val="24"/>
        </w:rPr>
      </w:pPr>
      <w:r w:rsidRPr="00625515">
        <w:rPr>
          <w:szCs w:val="24"/>
        </w:rPr>
        <w:lastRenderedPageBreak/>
        <w:t xml:space="preserve">Sustainability is a key driver of this approach, </w:t>
      </w:r>
      <w:r>
        <w:rPr>
          <w:szCs w:val="24"/>
        </w:rPr>
        <w:t xml:space="preserve">and </w:t>
      </w:r>
      <w:r w:rsidRPr="00625515">
        <w:rPr>
          <w:szCs w:val="24"/>
        </w:rPr>
        <w:t>improvements to access, connectivity and amenities created by renewing and activating underutilised land are also important. Major initiatives in the 2021-22 Budget supporting further progress in this area include:</w:t>
      </w:r>
    </w:p>
    <w:p w14:paraId="3C5C3926" w14:textId="77777777" w:rsidR="00CF0E2D" w:rsidRPr="00625515" w:rsidRDefault="00CF0E2D" w:rsidP="00CF0E2D">
      <w:pPr>
        <w:pStyle w:val="ListParagraph"/>
        <w:numPr>
          <w:ilvl w:val="0"/>
          <w:numId w:val="19"/>
        </w:numPr>
        <w:ind w:left="360"/>
        <w:rPr>
          <w:sz w:val="24"/>
          <w:szCs w:val="24"/>
        </w:rPr>
      </w:pPr>
      <w:r>
        <w:rPr>
          <w:sz w:val="24"/>
          <w:szCs w:val="24"/>
        </w:rPr>
        <w:t>additional funding</w:t>
      </w:r>
      <w:r w:rsidRPr="00A32278">
        <w:rPr>
          <w:sz w:val="24"/>
          <w:szCs w:val="24"/>
        </w:rPr>
        <w:t xml:space="preserve"> for the City Renewal</w:t>
      </w:r>
      <w:r w:rsidRPr="00625515">
        <w:rPr>
          <w:sz w:val="24"/>
          <w:szCs w:val="24"/>
        </w:rPr>
        <w:t xml:space="preserve"> Authority to continue its work activating and renewing the city centre, including for the development of the Acton Waterfront parkland;</w:t>
      </w:r>
    </w:p>
    <w:p w14:paraId="3909346E" w14:textId="77777777" w:rsidR="00CF0E2D" w:rsidRPr="00625515" w:rsidRDefault="00CF0E2D" w:rsidP="00CF0E2D">
      <w:pPr>
        <w:pStyle w:val="ListParagraph"/>
        <w:numPr>
          <w:ilvl w:val="0"/>
          <w:numId w:val="19"/>
        </w:numPr>
        <w:ind w:left="360"/>
        <w:rPr>
          <w:sz w:val="24"/>
          <w:szCs w:val="24"/>
        </w:rPr>
      </w:pPr>
      <w:r w:rsidRPr="00625515">
        <w:rPr>
          <w:sz w:val="24"/>
          <w:szCs w:val="24"/>
        </w:rPr>
        <w:t>essential stormwater and restoration works at the heritage-listed Sydney and Melbourne buildings;</w:t>
      </w:r>
    </w:p>
    <w:p w14:paraId="312D40B2" w14:textId="77777777" w:rsidR="00CF0E2D" w:rsidRPr="00625515" w:rsidRDefault="00CF0E2D" w:rsidP="00CF0E2D">
      <w:pPr>
        <w:pStyle w:val="ListParagraph"/>
        <w:numPr>
          <w:ilvl w:val="0"/>
          <w:numId w:val="19"/>
        </w:numPr>
        <w:ind w:left="360"/>
        <w:rPr>
          <w:sz w:val="24"/>
          <w:szCs w:val="24"/>
        </w:rPr>
      </w:pPr>
      <w:r w:rsidRPr="00625515">
        <w:rPr>
          <w:sz w:val="24"/>
          <w:szCs w:val="24"/>
        </w:rPr>
        <w:t>continuing work to take light rail to Woden, including raising London Circuit;</w:t>
      </w:r>
      <w:r>
        <w:rPr>
          <w:sz w:val="24"/>
          <w:szCs w:val="24"/>
        </w:rPr>
        <w:t xml:space="preserve"> and</w:t>
      </w:r>
    </w:p>
    <w:p w14:paraId="3017B33F" w14:textId="77777777" w:rsidR="00CF0E2D" w:rsidRPr="00EE61EB" w:rsidRDefault="00CF0E2D" w:rsidP="00CF0E2D">
      <w:pPr>
        <w:pStyle w:val="ListParagraph"/>
        <w:numPr>
          <w:ilvl w:val="0"/>
          <w:numId w:val="19"/>
        </w:numPr>
        <w:ind w:left="360"/>
        <w:rPr>
          <w:sz w:val="24"/>
          <w:szCs w:val="24"/>
        </w:rPr>
      </w:pPr>
      <w:r>
        <w:rPr>
          <w:noProof/>
          <w:sz w:val="24"/>
          <w:szCs w:val="24"/>
        </w:rPr>
        <w:drawing>
          <wp:anchor distT="0" distB="0" distL="114300" distR="114300" simplePos="0" relativeHeight="251686912" behindDoc="0" locked="0" layoutInCell="1" allowOverlap="1" wp14:anchorId="3B84D1FD" wp14:editId="7178B850">
            <wp:simplePos x="0" y="0"/>
            <wp:positionH relativeFrom="column">
              <wp:posOffset>4365924</wp:posOffset>
            </wp:positionH>
            <wp:positionV relativeFrom="paragraph">
              <wp:posOffset>468527</wp:posOffset>
            </wp:positionV>
            <wp:extent cx="1308100" cy="1054100"/>
            <wp:effectExtent l="0" t="0" r="0" b="0"/>
            <wp:wrapSquare wrapText="bothSides"/>
            <wp:docPr id="54" name="70m urban renewal.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70m urban renewal.png" descr="Logo&#10;&#10;Description automatically generated"/>
                    <pic:cNvPicPr/>
                  </pic:nvPicPr>
                  <pic:blipFill>
                    <a:blip r:embed="rId86" r:link="rId87" cstate="print">
                      <a:extLst>
                        <a:ext uri="{28A0092B-C50C-407E-A947-70E740481C1C}">
                          <a14:useLocalDpi xmlns:a14="http://schemas.microsoft.com/office/drawing/2010/main" val="0"/>
                        </a:ext>
                      </a:extLst>
                    </a:blip>
                    <a:stretch>
                      <a:fillRect/>
                    </a:stretch>
                  </pic:blipFill>
                  <pic:spPr>
                    <a:xfrm>
                      <a:off x="0" y="0"/>
                      <a:ext cx="1308100" cy="1054100"/>
                    </a:xfrm>
                    <a:prstGeom prst="rect">
                      <a:avLst/>
                    </a:prstGeom>
                  </pic:spPr>
                </pic:pic>
              </a:graphicData>
            </a:graphic>
            <wp14:sizeRelH relativeFrom="page">
              <wp14:pctWidth>0</wp14:pctWidth>
            </wp14:sizeRelH>
            <wp14:sizeRelV relativeFrom="page">
              <wp14:pctHeight>0</wp14:pctHeight>
            </wp14:sizeRelV>
          </wp:anchor>
        </w:drawing>
      </w:r>
      <w:r w:rsidRPr="00625515">
        <w:rPr>
          <w:sz w:val="24"/>
          <w:szCs w:val="24"/>
        </w:rPr>
        <w:t xml:space="preserve">additional planning and site investigations for land supply; </w:t>
      </w:r>
      <w:r>
        <w:rPr>
          <w:sz w:val="24"/>
          <w:szCs w:val="24"/>
        </w:rPr>
        <w:t xml:space="preserve">including </w:t>
      </w:r>
      <w:r w:rsidRPr="00EE61EB">
        <w:rPr>
          <w:sz w:val="24"/>
          <w:szCs w:val="24"/>
        </w:rPr>
        <w:t xml:space="preserve">Watson Section 76 the East Lake urban renewal project. </w:t>
      </w:r>
    </w:p>
    <w:p w14:paraId="184455C6" w14:textId="77777777" w:rsidR="00CF0E2D" w:rsidRPr="00625515" w:rsidRDefault="00CF0E2D" w:rsidP="00A60D4B">
      <w:pPr>
        <w:pStyle w:val="Bbodytext"/>
        <w:rPr>
          <w:szCs w:val="24"/>
        </w:rPr>
      </w:pPr>
      <w:r w:rsidRPr="00625515">
        <w:rPr>
          <w:szCs w:val="24"/>
        </w:rPr>
        <w:t>Other initiatives such as the East Lake Urban Renewal, demolition and redevelopment of Canberra Technology Park, and the Parkwood/Ginninderry development will continue to shape our city and ensure it remains highly liveable</w:t>
      </w:r>
      <w:r>
        <w:rPr>
          <w:szCs w:val="24"/>
        </w:rPr>
        <w:t>. This is</w:t>
      </w:r>
      <w:r w:rsidRPr="00625515">
        <w:rPr>
          <w:szCs w:val="24"/>
        </w:rPr>
        <w:t xml:space="preserve"> underpinned by the </w:t>
      </w:r>
      <w:r w:rsidRPr="00625515">
        <w:rPr>
          <w:i/>
          <w:szCs w:val="24"/>
        </w:rPr>
        <w:t>ACT Planning Review</w:t>
      </w:r>
      <w:r w:rsidRPr="00625515">
        <w:rPr>
          <w:szCs w:val="24"/>
        </w:rPr>
        <w:t xml:space="preserve"> project which will develop a clear, easy to use planning system that delivers improved spatial and built outcomes across the Territory.</w:t>
      </w:r>
    </w:p>
    <w:p w14:paraId="109B5743" w14:textId="77777777" w:rsidR="00CF0E2D" w:rsidRDefault="00CF0E2D" w:rsidP="00A60D4B">
      <w:pPr>
        <w:rPr>
          <w:b/>
          <w:bCs/>
          <w:sz w:val="32"/>
          <w:szCs w:val="32"/>
        </w:rPr>
      </w:pPr>
    </w:p>
    <w:p w14:paraId="326F6003" w14:textId="77777777" w:rsidR="00CF0E2D" w:rsidRDefault="00CF0E2D" w:rsidP="00A60D4B">
      <w:pPr>
        <w:pStyle w:val="Heading3"/>
      </w:pPr>
      <w:r>
        <w:t>Transport</w:t>
      </w:r>
      <w:r w:rsidRPr="0022751C">
        <w:t xml:space="preserve"> network improvements</w:t>
      </w:r>
    </w:p>
    <w:p w14:paraId="75C30F2E" w14:textId="77777777" w:rsidR="00CF0E2D" w:rsidRDefault="00CF0E2D" w:rsidP="00A60D4B">
      <w:pPr>
        <w:pStyle w:val="Bbodytext"/>
        <w:rPr>
          <w:rFonts w:cstheme="minorHAnsi"/>
          <w:szCs w:val="24"/>
        </w:rPr>
      </w:pPr>
      <w:r w:rsidRPr="000C5FE6">
        <w:rPr>
          <w:szCs w:val="24"/>
        </w:rPr>
        <w:t>Our transport network is a crucial enabler of connectivity in our day-to-day lives for individuals and businesses alike</w:t>
      </w:r>
      <w:r w:rsidRPr="000C5FE6">
        <w:rPr>
          <w:rFonts w:cstheme="minorHAnsi"/>
          <w:szCs w:val="24"/>
        </w:rPr>
        <w:t xml:space="preserve"> and investing in the right transport and infrastructure is critical to future</w:t>
      </w:r>
      <w:r w:rsidRPr="000C5FE6">
        <w:rPr>
          <w:rFonts w:cstheme="minorHAnsi"/>
          <w:szCs w:val="24"/>
        </w:rPr>
        <w:noBreakHyphen/>
        <w:t xml:space="preserve">proofing our city. </w:t>
      </w:r>
    </w:p>
    <w:p w14:paraId="572A4B79" w14:textId="77777777" w:rsidR="00CF0E2D" w:rsidRDefault="00CF0E2D" w:rsidP="00A60D4B">
      <w:pPr>
        <w:pStyle w:val="Bbodytext"/>
        <w:rPr>
          <w:rFonts w:ascii="Calibri" w:hAnsi="Calibri" w:cs="Calibri"/>
          <w:szCs w:val="24"/>
        </w:rPr>
      </w:pPr>
      <w:r>
        <w:rPr>
          <w:rFonts w:cstheme="minorHAnsi"/>
          <w:szCs w:val="24"/>
        </w:rPr>
        <w:t xml:space="preserve">In recent years, we have </w:t>
      </w:r>
      <w:r w:rsidRPr="00A62771">
        <w:rPr>
          <w:rFonts w:ascii="Calibri" w:hAnsi="Calibri" w:cs="Calibri"/>
          <w:szCs w:val="24"/>
        </w:rPr>
        <w:t>enhanc</w:t>
      </w:r>
      <w:r>
        <w:rPr>
          <w:rFonts w:ascii="Calibri" w:hAnsi="Calibri" w:cs="Calibri"/>
          <w:szCs w:val="24"/>
        </w:rPr>
        <w:t>ed</w:t>
      </w:r>
      <w:r w:rsidRPr="00A62771">
        <w:rPr>
          <w:rFonts w:ascii="Calibri" w:hAnsi="Calibri" w:cs="Calibri"/>
          <w:szCs w:val="24"/>
        </w:rPr>
        <w:t xml:space="preserve"> the road network to improve the traffic flow, reduce travel time and make our roads safer. This includes duplication of major arterial roads such as Gundaroo Drive</w:t>
      </w:r>
      <w:r>
        <w:rPr>
          <w:rFonts w:ascii="Calibri" w:hAnsi="Calibri" w:cs="Calibri"/>
          <w:szCs w:val="24"/>
        </w:rPr>
        <w:t xml:space="preserve"> and </w:t>
      </w:r>
      <w:r w:rsidRPr="00A62771">
        <w:rPr>
          <w:rFonts w:ascii="Calibri" w:hAnsi="Calibri" w:cs="Calibri"/>
          <w:szCs w:val="24"/>
        </w:rPr>
        <w:t>Aikman Drive</w:t>
      </w:r>
      <w:r>
        <w:rPr>
          <w:rFonts w:ascii="Calibri" w:hAnsi="Calibri" w:cs="Calibri"/>
          <w:szCs w:val="24"/>
        </w:rPr>
        <w:t>, and have continued construction of John Gorton Drive. Active travel and public transport improvements, such as on-road cycle lanes and bus priority measures, have been included in these and other major road projects.</w:t>
      </w:r>
    </w:p>
    <w:p w14:paraId="0C9E533A" w14:textId="77777777" w:rsidR="00CF0E2D" w:rsidRPr="00A62771" w:rsidRDefault="00CF0E2D" w:rsidP="00A60D4B">
      <w:pPr>
        <w:pStyle w:val="Bbodytext"/>
        <w:rPr>
          <w:szCs w:val="24"/>
        </w:rPr>
      </w:pPr>
      <w:r>
        <w:rPr>
          <w:rFonts w:cstheme="minorHAnsi"/>
          <w:szCs w:val="24"/>
        </w:rPr>
        <w:t xml:space="preserve">We have also significantly strengthened our public transport network </w:t>
      </w:r>
      <w:r w:rsidRPr="00A62771">
        <w:rPr>
          <w:szCs w:val="24"/>
        </w:rPr>
        <w:t>with 80 new buses purchased since 2017,</w:t>
      </w:r>
      <w:r>
        <w:rPr>
          <w:szCs w:val="24"/>
        </w:rPr>
        <w:t xml:space="preserve"> and </w:t>
      </w:r>
      <w:r w:rsidRPr="00A62771">
        <w:rPr>
          <w:szCs w:val="24"/>
        </w:rPr>
        <w:t>the light rail connection between Civic and Gungahlin has been well used. The Benefits Realisation Report of Light Rail Stage One (LRS1) released in May</w:t>
      </w:r>
      <w:r>
        <w:rPr>
          <w:szCs w:val="24"/>
        </w:rPr>
        <w:t> </w:t>
      </w:r>
      <w:r w:rsidRPr="00A62771">
        <w:rPr>
          <w:szCs w:val="24"/>
        </w:rPr>
        <w:t xml:space="preserve">2020 confirmed that LRS1 prompted a significant increase in public transport patronage with more than 4.2 million boardings in the first year of operation. </w:t>
      </w:r>
    </w:p>
    <w:p w14:paraId="30EB8B9F" w14:textId="77777777" w:rsidR="00CF0E2D" w:rsidRDefault="00CF0E2D" w:rsidP="00A60D4B">
      <w:pPr>
        <w:pStyle w:val="Bbodytext"/>
        <w:rPr>
          <w:rFonts w:cstheme="minorHAnsi"/>
          <w:szCs w:val="24"/>
        </w:rPr>
      </w:pPr>
      <w:r>
        <w:rPr>
          <w:rFonts w:cstheme="minorHAnsi"/>
          <w:noProof/>
          <w:szCs w:val="24"/>
        </w:rPr>
        <w:lastRenderedPageBreak/>
        <w:drawing>
          <wp:anchor distT="180340" distB="180340" distL="114300" distR="114300" simplePos="0" relativeHeight="251688960" behindDoc="0" locked="0" layoutInCell="1" allowOverlap="1" wp14:anchorId="3F43DA5C" wp14:editId="291CDAA8">
            <wp:simplePos x="0" y="0"/>
            <wp:positionH relativeFrom="column">
              <wp:posOffset>0</wp:posOffset>
            </wp:positionH>
            <wp:positionV relativeFrom="paragraph">
              <wp:posOffset>1435217</wp:posOffset>
            </wp:positionV>
            <wp:extent cx="5731200" cy="4053600"/>
            <wp:effectExtent l="0" t="0" r="0" b="0"/>
            <wp:wrapSquare wrapText="bothSides"/>
            <wp:docPr id="56" name="51117909362_5da95b82bd_o (1).jpg" descr="A picture containing text, road, way, high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51117909362_5da95b82bd_o (1).jpg" descr="A picture containing text, road, way, highway&#10;&#10;Description automatically generated"/>
                    <pic:cNvPicPr/>
                  </pic:nvPicPr>
                  <pic:blipFill>
                    <a:blip r:embed="rId88" r:link="rId89" cstate="print">
                      <a:extLst>
                        <a:ext uri="{28A0092B-C50C-407E-A947-70E740481C1C}">
                          <a14:useLocalDpi xmlns:a14="http://schemas.microsoft.com/office/drawing/2010/main" val="0"/>
                        </a:ext>
                      </a:extLst>
                    </a:blip>
                    <a:stretch>
                      <a:fillRect/>
                    </a:stretch>
                  </pic:blipFill>
                  <pic:spPr>
                    <a:xfrm>
                      <a:off x="0" y="0"/>
                      <a:ext cx="5731200" cy="4053600"/>
                    </a:xfrm>
                    <a:prstGeom prst="rect">
                      <a:avLst/>
                    </a:prstGeom>
                  </pic:spPr>
                </pic:pic>
              </a:graphicData>
            </a:graphic>
            <wp14:sizeRelH relativeFrom="page">
              <wp14:pctWidth>0</wp14:pctWidth>
            </wp14:sizeRelH>
            <wp14:sizeRelV relativeFrom="page">
              <wp14:pctHeight>0</wp14:pctHeight>
            </wp14:sizeRelV>
          </wp:anchor>
        </w:drawing>
      </w:r>
      <w:r w:rsidRPr="000C5FE6">
        <w:rPr>
          <w:rFonts w:cstheme="minorHAnsi"/>
          <w:szCs w:val="24"/>
        </w:rPr>
        <w:t xml:space="preserve">Through the </w:t>
      </w:r>
      <w:r w:rsidRPr="000C5FE6">
        <w:rPr>
          <w:rFonts w:cstheme="minorHAnsi"/>
          <w:i/>
          <w:szCs w:val="24"/>
        </w:rPr>
        <w:t>ACT Infrastructure Plan</w:t>
      </w:r>
      <w:r w:rsidRPr="000C5FE6">
        <w:rPr>
          <w:rFonts w:cstheme="minorHAnsi"/>
          <w:szCs w:val="24"/>
        </w:rPr>
        <w:t>, released in 2019, the Government has established a strong program of investment in the infrastructure our growing city needs now and into the future.</w:t>
      </w:r>
      <w:r>
        <w:rPr>
          <w:rFonts w:cstheme="minorHAnsi"/>
          <w:szCs w:val="24"/>
        </w:rPr>
        <w:t xml:space="preserve"> </w:t>
      </w:r>
      <w:r w:rsidRPr="000C5FE6">
        <w:rPr>
          <w:rFonts w:cstheme="minorHAnsi"/>
          <w:szCs w:val="24"/>
        </w:rPr>
        <w:t>Th</w:t>
      </w:r>
      <w:r>
        <w:rPr>
          <w:rFonts w:cstheme="minorHAnsi"/>
          <w:szCs w:val="24"/>
        </w:rPr>
        <w:t xml:space="preserve">is is further supported </w:t>
      </w:r>
      <w:r w:rsidRPr="000C5FE6">
        <w:rPr>
          <w:rFonts w:cstheme="minorHAnsi"/>
          <w:szCs w:val="24"/>
        </w:rPr>
        <w:t xml:space="preserve">by the release of the </w:t>
      </w:r>
      <w:r w:rsidRPr="000C5FE6">
        <w:rPr>
          <w:rFonts w:cstheme="minorHAnsi"/>
          <w:i/>
          <w:szCs w:val="24"/>
        </w:rPr>
        <w:t>ACT Transport Strategy</w:t>
      </w:r>
      <w:r w:rsidRPr="002714B5">
        <w:rPr>
          <w:rFonts w:cstheme="minorHAnsi"/>
          <w:iCs/>
          <w:szCs w:val="24"/>
        </w:rPr>
        <w:t xml:space="preserve"> in 2020, </w:t>
      </w:r>
      <w:r w:rsidRPr="000C5FE6">
        <w:rPr>
          <w:rFonts w:cstheme="minorHAnsi"/>
          <w:szCs w:val="24"/>
        </w:rPr>
        <w:t xml:space="preserve">which sets out our vision for a world class transport system that supports a compact, </w:t>
      </w:r>
      <w:r>
        <w:rPr>
          <w:rFonts w:cstheme="minorHAnsi"/>
          <w:szCs w:val="24"/>
        </w:rPr>
        <w:t xml:space="preserve">connected, </w:t>
      </w:r>
      <w:r w:rsidRPr="000C5FE6">
        <w:rPr>
          <w:rFonts w:cstheme="minorHAnsi"/>
          <w:szCs w:val="24"/>
        </w:rPr>
        <w:t>sustainable and vibrant city and provides flexible</w:t>
      </w:r>
      <w:r>
        <w:rPr>
          <w:rFonts w:cstheme="minorHAnsi"/>
          <w:szCs w:val="24"/>
        </w:rPr>
        <w:t xml:space="preserve"> and</w:t>
      </w:r>
      <w:r w:rsidRPr="000C5FE6">
        <w:rPr>
          <w:rFonts w:cstheme="minorHAnsi"/>
          <w:szCs w:val="24"/>
        </w:rPr>
        <w:t xml:space="preserve"> reliable options for Canberrans to make their journeys across a range of transport modes. </w:t>
      </w:r>
    </w:p>
    <w:p w14:paraId="57582B67" w14:textId="77777777" w:rsidR="00CF0E2D" w:rsidRPr="000C5FE6" w:rsidRDefault="00CF0E2D" w:rsidP="00A60D4B">
      <w:pPr>
        <w:spacing w:after="120"/>
        <w:rPr>
          <w:rFonts w:cstheme="minorHAnsi"/>
          <w:sz w:val="24"/>
          <w:szCs w:val="24"/>
        </w:rPr>
      </w:pPr>
    </w:p>
    <w:p w14:paraId="6C85E3AF" w14:textId="77777777" w:rsidR="00CF0E2D" w:rsidRPr="002957F1" w:rsidRDefault="00CF0E2D" w:rsidP="00A60D4B">
      <w:pPr>
        <w:pStyle w:val="Heading4"/>
      </w:pPr>
      <w:r>
        <w:t>2021-</w:t>
      </w:r>
      <w:r w:rsidRPr="002957F1">
        <w:t xml:space="preserve">22 Budget </w:t>
      </w:r>
    </w:p>
    <w:p w14:paraId="677CA589" w14:textId="2935CB74" w:rsidR="00CF0E2D" w:rsidRPr="002957F1" w:rsidRDefault="00CF0E2D" w:rsidP="00A60D4B">
      <w:pPr>
        <w:pStyle w:val="Bbodytext"/>
        <w:rPr>
          <w:rFonts w:cstheme="minorHAnsi"/>
          <w:szCs w:val="24"/>
        </w:rPr>
      </w:pPr>
      <w:r w:rsidRPr="002957F1">
        <w:rPr>
          <w:rFonts w:cstheme="minorHAnsi"/>
          <w:szCs w:val="24"/>
        </w:rPr>
        <w:t xml:space="preserve">Having experienced the success of light rail from Gungahlin to the City, Canberrans will see preparatory </w:t>
      </w:r>
      <w:r>
        <w:rPr>
          <w:rFonts w:cstheme="minorHAnsi"/>
          <w:szCs w:val="24"/>
        </w:rPr>
        <w:t xml:space="preserve">works </w:t>
      </w:r>
      <w:r w:rsidRPr="002957F1">
        <w:rPr>
          <w:rFonts w:cstheme="minorHAnsi"/>
          <w:szCs w:val="24"/>
        </w:rPr>
        <w:t xml:space="preserve">for the construction of </w:t>
      </w:r>
      <w:r w:rsidR="00387F31">
        <w:rPr>
          <w:rFonts w:cstheme="minorHAnsi"/>
          <w:szCs w:val="24"/>
        </w:rPr>
        <w:t>Light Rail S</w:t>
      </w:r>
      <w:r w:rsidRPr="002957F1">
        <w:rPr>
          <w:rFonts w:cstheme="minorHAnsi"/>
          <w:szCs w:val="24"/>
        </w:rPr>
        <w:t xml:space="preserve">tage 2 to Woden completed towards the end of this year. </w:t>
      </w:r>
    </w:p>
    <w:p w14:paraId="33E76771" w14:textId="77777777" w:rsidR="00CF0E2D" w:rsidRPr="002957F1" w:rsidRDefault="00CF0E2D" w:rsidP="00A60D4B">
      <w:pPr>
        <w:pStyle w:val="Bbodytext"/>
        <w:rPr>
          <w:rFonts w:cstheme="minorHAnsi"/>
          <w:szCs w:val="24"/>
        </w:rPr>
      </w:pPr>
      <w:r w:rsidRPr="002957F1">
        <w:rPr>
          <w:rFonts w:cstheme="minorHAnsi"/>
          <w:szCs w:val="24"/>
        </w:rPr>
        <w:t xml:space="preserve">Significant investment is also continuing in our roads and active travel networks, providing Canberrans with transport choice and improving the </w:t>
      </w:r>
      <w:r w:rsidRPr="002957F1">
        <w:rPr>
          <w:szCs w:val="24"/>
        </w:rPr>
        <w:t>safety and connectivity of the transport network for all users</w:t>
      </w:r>
      <w:r w:rsidRPr="002957F1">
        <w:rPr>
          <w:rFonts w:cstheme="minorHAnsi"/>
          <w:szCs w:val="24"/>
        </w:rPr>
        <w:t xml:space="preserve">. </w:t>
      </w:r>
    </w:p>
    <w:p w14:paraId="4F781864" w14:textId="77777777" w:rsidR="00CF0E2D" w:rsidRPr="002957F1" w:rsidRDefault="00CF0E2D" w:rsidP="00A60D4B">
      <w:pPr>
        <w:pStyle w:val="Bbodytext"/>
        <w:rPr>
          <w:szCs w:val="24"/>
        </w:rPr>
      </w:pPr>
      <w:r w:rsidRPr="002957F1">
        <w:rPr>
          <w:szCs w:val="24"/>
        </w:rPr>
        <w:t>Major initiatives in the 2021-22 Budget supporting improvement of our transport network include:</w:t>
      </w:r>
    </w:p>
    <w:p w14:paraId="4D4C92F6" w14:textId="77777777" w:rsidR="00CF0E2D" w:rsidRPr="002957F1" w:rsidRDefault="00CF0E2D" w:rsidP="00CF0E2D">
      <w:pPr>
        <w:pStyle w:val="ListParagraph"/>
        <w:numPr>
          <w:ilvl w:val="0"/>
          <w:numId w:val="22"/>
        </w:numPr>
        <w:ind w:left="360"/>
        <w:rPr>
          <w:sz w:val="24"/>
          <w:szCs w:val="24"/>
        </w:rPr>
      </w:pPr>
      <w:r w:rsidRPr="002957F1">
        <w:rPr>
          <w:sz w:val="24"/>
          <w:szCs w:val="24"/>
        </w:rPr>
        <w:t xml:space="preserve">expanding bus services to Whitlam, planning for a Northside electric bus depot and funding for an on-demand transport feasibility study and evaluation; </w:t>
      </w:r>
    </w:p>
    <w:p w14:paraId="0DAED105" w14:textId="77777777" w:rsidR="00CF0E2D" w:rsidRPr="002957F1" w:rsidRDefault="00CF0E2D" w:rsidP="00CF0E2D">
      <w:pPr>
        <w:pStyle w:val="ListParagraph"/>
        <w:numPr>
          <w:ilvl w:val="0"/>
          <w:numId w:val="22"/>
        </w:numPr>
        <w:ind w:left="360"/>
        <w:rPr>
          <w:sz w:val="24"/>
          <w:szCs w:val="24"/>
        </w:rPr>
      </w:pPr>
      <w:r w:rsidRPr="00484913">
        <w:rPr>
          <w:rFonts w:ascii="Calibri" w:eastAsiaTheme="majorEastAsia" w:hAnsi="Calibri" w:cstheme="majorBidi"/>
          <w:b/>
          <w:noProof/>
          <w:color w:val="999789"/>
          <w:sz w:val="32"/>
          <w:szCs w:val="24"/>
        </w:rPr>
        <w:lastRenderedPageBreak/>
        <mc:AlternateContent>
          <mc:Choice Requires="wps">
            <w:drawing>
              <wp:anchor distT="45720" distB="45720" distL="114300" distR="114300" simplePos="0" relativeHeight="251702272" behindDoc="0" locked="0" layoutInCell="1" allowOverlap="1" wp14:anchorId="52FD33B3" wp14:editId="56B53D9B">
                <wp:simplePos x="0" y="0"/>
                <wp:positionH relativeFrom="margin">
                  <wp:posOffset>3276600</wp:posOffset>
                </wp:positionH>
                <wp:positionV relativeFrom="paragraph">
                  <wp:posOffset>11430</wp:posOffset>
                </wp:positionV>
                <wp:extent cx="2619375" cy="3171825"/>
                <wp:effectExtent l="0" t="0" r="9525" b="952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3171825"/>
                        </a:xfrm>
                        <a:prstGeom prst="rect">
                          <a:avLst/>
                        </a:prstGeom>
                        <a:solidFill>
                          <a:srgbClr val="FFFFFF"/>
                        </a:solidFill>
                        <a:ln w="9525">
                          <a:noFill/>
                          <a:miter lim="800000"/>
                          <a:headEnd/>
                          <a:tailEnd/>
                        </a:ln>
                      </wps:spPr>
                      <wps:txbx>
                        <w:txbxContent>
                          <w:p w14:paraId="5B0E0E48" w14:textId="77777777" w:rsidR="002261A7" w:rsidRPr="002714B5" w:rsidRDefault="002261A7" w:rsidP="00A60D4B">
                            <w:pPr>
                              <w:spacing w:before="240" w:after="240"/>
                              <w:jc w:val="center"/>
                              <w:rPr>
                                <w:rFonts w:ascii="Source Sans Pro SemiBold" w:hAnsi="Source Sans Pro SemiBold"/>
                                <w:b/>
                                <w:bCs/>
                                <w:color w:val="3C1A56"/>
                                <w:sz w:val="40"/>
                                <w:szCs w:val="40"/>
                              </w:rPr>
                            </w:pPr>
                            <w:r w:rsidRPr="002714B5">
                              <w:rPr>
                                <w:rFonts w:ascii="Source Sans Pro SemiBold" w:hAnsi="Source Sans Pro SemiBold"/>
                                <w:b/>
                                <w:bCs/>
                                <w:color w:val="3C1A56"/>
                                <w:sz w:val="40"/>
                                <w:szCs w:val="40"/>
                              </w:rPr>
                              <w:t>The Government will invest $3.5 billion over the next five years on environment, climate, transport and planning infrastructure</w:t>
                            </w:r>
                          </w:p>
                          <w:p w14:paraId="4546CA68" w14:textId="77777777" w:rsidR="002261A7" w:rsidRDefault="002261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FD33B3" id="_x0000_s1031" type="#_x0000_t202" style="position:absolute;left:0;text-align:left;margin-left:258pt;margin-top:.9pt;width:206.25pt;height:249.75pt;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" stroked="f">
                <v:textbox>
                  <w:txbxContent>
                    <w:p w14:paraId="5B0E0E48" w14:textId="77777777" w:rsidR="002261A7" w:rsidRPr="002714B5" w:rsidRDefault="002261A7" w:rsidP="00A60D4B">
                      <w:pPr>
                        <w:spacing w:before="240" w:after="240"/>
                        <w:jc w:val="center"/>
                        <w:rPr>
                          <w:rFonts w:ascii="Source Sans Pro SemiBold" w:hAnsi="Source Sans Pro SemiBold"/>
                          <w:b/>
                          <w:bCs/>
                          <w:color w:val="3C1A56"/>
                          <w:sz w:val="40"/>
                          <w:szCs w:val="40"/>
                        </w:rPr>
                      </w:pPr>
                      <w:r w:rsidRPr="002714B5">
                        <w:rPr>
                          <w:rFonts w:ascii="Source Sans Pro SemiBold" w:hAnsi="Source Sans Pro SemiBold"/>
                          <w:b/>
                          <w:bCs/>
                          <w:color w:val="3C1A56"/>
                          <w:sz w:val="40"/>
                          <w:szCs w:val="40"/>
                        </w:rPr>
                        <w:t>The Government will invest $3.5 billion over the next five years on environment, climate, transport and planning infrastructure</w:t>
                      </w:r>
                    </w:p>
                    <w:p w14:paraId="4546CA68" w14:textId="77777777" w:rsidR="002261A7" w:rsidRDefault="002261A7"/>
                  </w:txbxContent>
                </v:textbox>
                <w10:wrap type="square" anchorx="margin"/>
              </v:shape>
            </w:pict>
          </mc:Fallback>
        </mc:AlternateContent>
      </w:r>
      <w:r w:rsidRPr="002957F1">
        <w:rPr>
          <w:sz w:val="24"/>
          <w:szCs w:val="24"/>
        </w:rPr>
        <w:t>funding to strengthen transport modelling capabilities;</w:t>
      </w:r>
    </w:p>
    <w:p w14:paraId="069564A4" w14:textId="77777777" w:rsidR="00CF0E2D" w:rsidRPr="0064008A" w:rsidRDefault="00CF0E2D" w:rsidP="00CF0E2D">
      <w:pPr>
        <w:pStyle w:val="ListParagraph"/>
        <w:numPr>
          <w:ilvl w:val="0"/>
          <w:numId w:val="22"/>
        </w:numPr>
        <w:ind w:left="360"/>
        <w:rPr>
          <w:sz w:val="24"/>
          <w:szCs w:val="24"/>
        </w:rPr>
      </w:pPr>
      <w:r w:rsidRPr="0064008A">
        <w:rPr>
          <w:sz w:val="24"/>
          <w:szCs w:val="24"/>
        </w:rPr>
        <w:t>the development of a corridor plan that identifies and prioritises future transport infrastructure upgrades in Canberra’s south</w:t>
      </w:r>
      <w:r>
        <w:rPr>
          <w:sz w:val="24"/>
          <w:szCs w:val="24"/>
        </w:rPr>
        <w:noBreakHyphen/>
      </w:r>
      <w:r w:rsidRPr="0064008A">
        <w:rPr>
          <w:sz w:val="24"/>
          <w:szCs w:val="24"/>
        </w:rPr>
        <w:t>west;</w:t>
      </w:r>
    </w:p>
    <w:p w14:paraId="2C42A76B" w14:textId="77777777" w:rsidR="00CF0E2D" w:rsidRPr="000C5FE6" w:rsidRDefault="00CF0E2D" w:rsidP="00CF0E2D">
      <w:pPr>
        <w:pStyle w:val="ListParagraph"/>
        <w:numPr>
          <w:ilvl w:val="0"/>
          <w:numId w:val="22"/>
        </w:numPr>
        <w:ind w:left="360"/>
        <w:rPr>
          <w:sz w:val="24"/>
          <w:szCs w:val="24"/>
        </w:rPr>
      </w:pPr>
      <w:r w:rsidRPr="000C5FE6">
        <w:rPr>
          <w:sz w:val="24"/>
          <w:szCs w:val="24"/>
        </w:rPr>
        <w:t xml:space="preserve">a </w:t>
      </w:r>
      <w:r>
        <w:rPr>
          <w:sz w:val="24"/>
          <w:szCs w:val="24"/>
        </w:rPr>
        <w:t xml:space="preserve">$17 million </w:t>
      </w:r>
      <w:r w:rsidRPr="000C5FE6">
        <w:rPr>
          <w:sz w:val="24"/>
          <w:szCs w:val="24"/>
        </w:rPr>
        <w:t xml:space="preserve">city-wide package of active travel projects to strengthen opportunities for walking and cycling across Canberra; </w:t>
      </w:r>
    </w:p>
    <w:p w14:paraId="141D846C" w14:textId="77777777" w:rsidR="00CF0E2D" w:rsidRPr="000C5FE6" w:rsidRDefault="00CF0E2D" w:rsidP="00CF0E2D">
      <w:pPr>
        <w:pStyle w:val="ListParagraph"/>
        <w:numPr>
          <w:ilvl w:val="0"/>
          <w:numId w:val="22"/>
        </w:numPr>
        <w:ind w:left="360"/>
        <w:rPr>
          <w:sz w:val="24"/>
          <w:szCs w:val="24"/>
        </w:rPr>
      </w:pPr>
      <w:r w:rsidRPr="000C5FE6">
        <w:rPr>
          <w:sz w:val="24"/>
          <w:szCs w:val="24"/>
        </w:rPr>
        <w:t>Pialligo active travel and public realm upgrades;</w:t>
      </w:r>
    </w:p>
    <w:p w14:paraId="4B6DE0D3" w14:textId="77777777" w:rsidR="00CF0E2D" w:rsidRPr="000C5FE6" w:rsidRDefault="00CF0E2D" w:rsidP="00CF0E2D">
      <w:pPr>
        <w:pStyle w:val="ListParagraph"/>
        <w:numPr>
          <w:ilvl w:val="0"/>
          <w:numId w:val="22"/>
        </w:numPr>
        <w:ind w:left="360"/>
        <w:rPr>
          <w:sz w:val="24"/>
          <w:szCs w:val="24"/>
        </w:rPr>
      </w:pPr>
      <w:r w:rsidRPr="000C5FE6">
        <w:rPr>
          <w:sz w:val="24"/>
          <w:szCs w:val="24"/>
        </w:rPr>
        <w:t>the design and construction of a grade</w:t>
      </w:r>
      <w:r>
        <w:rPr>
          <w:sz w:val="24"/>
          <w:szCs w:val="24"/>
        </w:rPr>
        <w:noBreakHyphen/>
      </w:r>
      <w:r w:rsidRPr="000C5FE6">
        <w:rPr>
          <w:sz w:val="24"/>
          <w:szCs w:val="24"/>
        </w:rPr>
        <w:t>separated interchange at Lanyon Drive as part of significant upgrades to the Monaro Highway to improve safety and travel times; and</w:t>
      </w:r>
    </w:p>
    <w:p w14:paraId="5156E454" w14:textId="77777777" w:rsidR="00CF0E2D" w:rsidRPr="000C5FE6" w:rsidRDefault="00CF0E2D" w:rsidP="00CF0E2D">
      <w:pPr>
        <w:pStyle w:val="ListParagraph"/>
        <w:numPr>
          <w:ilvl w:val="0"/>
          <w:numId w:val="22"/>
        </w:numPr>
        <w:ind w:left="360"/>
        <w:rPr>
          <w:sz w:val="24"/>
          <w:szCs w:val="24"/>
        </w:rPr>
      </w:pPr>
      <w:r w:rsidRPr="000C5FE6">
        <w:rPr>
          <w:sz w:val="24"/>
          <w:szCs w:val="24"/>
        </w:rPr>
        <w:t>duplicating William Hovell Drive from the intersection of Drake Brockman Drive to John Gorton Drive, including construction of a dedicated 7 k</w:t>
      </w:r>
      <w:r>
        <w:rPr>
          <w:sz w:val="24"/>
          <w:szCs w:val="24"/>
        </w:rPr>
        <w:t>ilometre</w:t>
      </w:r>
      <w:r w:rsidRPr="000C5FE6">
        <w:rPr>
          <w:sz w:val="24"/>
          <w:szCs w:val="24"/>
        </w:rPr>
        <w:t xml:space="preserve"> off-road shared path for walking and cycling.</w:t>
      </w:r>
    </w:p>
    <w:p w14:paraId="5C50E887" w14:textId="77777777" w:rsidR="00CF0E2D" w:rsidRPr="00982015" w:rsidRDefault="00CF0E2D" w:rsidP="00A60D4B">
      <w:pPr>
        <w:pStyle w:val="Heading3"/>
      </w:pPr>
      <w:r>
        <w:rPr>
          <w:noProof/>
        </w:rPr>
        <w:drawing>
          <wp:anchor distT="0" distB="180340" distL="114300" distR="114300" simplePos="0" relativeHeight="251699200" behindDoc="0" locked="0" layoutInCell="1" allowOverlap="1" wp14:anchorId="02094C83" wp14:editId="39C8F1F7">
            <wp:simplePos x="0" y="0"/>
            <wp:positionH relativeFrom="column">
              <wp:posOffset>26592</wp:posOffset>
            </wp:positionH>
            <wp:positionV relativeFrom="paragraph">
              <wp:posOffset>112071</wp:posOffset>
            </wp:positionV>
            <wp:extent cx="1422000" cy="1130400"/>
            <wp:effectExtent l="0" t="0" r="635" b="0"/>
            <wp:wrapSquare wrapText="bothSides"/>
            <wp:docPr id="68" name="70m environ &amp; climate.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70m environ &amp; climate.png" descr="Logo&#10;&#10;Description automatically generated"/>
                    <pic:cNvPicPr/>
                  </pic:nvPicPr>
                  <pic:blipFill>
                    <a:blip r:embed="rId90" r:link="rId91" cstate="print">
                      <a:extLst>
                        <a:ext uri="{28A0092B-C50C-407E-A947-70E740481C1C}">
                          <a14:useLocalDpi xmlns:a14="http://schemas.microsoft.com/office/drawing/2010/main" val="0"/>
                        </a:ext>
                      </a:extLst>
                    </a:blip>
                    <a:stretch>
                      <a:fillRect/>
                    </a:stretch>
                  </pic:blipFill>
                  <pic:spPr>
                    <a:xfrm>
                      <a:off x="0" y="0"/>
                      <a:ext cx="1422000" cy="1130400"/>
                    </a:xfrm>
                    <a:prstGeom prst="rect">
                      <a:avLst/>
                    </a:prstGeom>
                  </pic:spPr>
                </pic:pic>
              </a:graphicData>
            </a:graphic>
            <wp14:sizeRelH relativeFrom="page">
              <wp14:pctWidth>0</wp14:pctWidth>
            </wp14:sizeRelH>
            <wp14:sizeRelV relativeFrom="page">
              <wp14:pctHeight>0</wp14:pctHeight>
            </wp14:sizeRelV>
          </wp:anchor>
        </w:drawing>
      </w:r>
      <w:r w:rsidRPr="00982015">
        <w:t>Protecting Canberra’s unique environment</w:t>
      </w:r>
    </w:p>
    <w:p w14:paraId="26F5661A" w14:textId="77777777" w:rsidR="00CF0E2D" w:rsidRDefault="00CF0E2D" w:rsidP="00A60D4B">
      <w:pPr>
        <w:pStyle w:val="Bbodytext"/>
      </w:pPr>
      <w:r w:rsidRPr="000C5FE6">
        <w:t xml:space="preserve">Maintaining a healthy environment is central to increasing quality of life and years of healthy life. </w:t>
      </w:r>
    </w:p>
    <w:p w14:paraId="2F5AABDE" w14:textId="77777777" w:rsidR="00CF0E2D" w:rsidRPr="000C5FE6" w:rsidRDefault="00CF0E2D" w:rsidP="00A60D4B">
      <w:pPr>
        <w:pStyle w:val="Bbodytext"/>
        <w:rPr>
          <w:rFonts w:cstheme="minorHAnsi"/>
        </w:rPr>
      </w:pPr>
      <w:r w:rsidRPr="000C5FE6">
        <w:rPr>
          <w:rFonts w:cstheme="minorHAnsi"/>
        </w:rPr>
        <w:t>In recent years, the Government has continued to take steps to both maintain and improve the health of our natural and built environment</w:t>
      </w:r>
      <w:r>
        <w:rPr>
          <w:rFonts w:cstheme="minorHAnsi"/>
        </w:rPr>
        <w:t>, including</w:t>
      </w:r>
      <w:r w:rsidRPr="000C5FE6">
        <w:rPr>
          <w:rFonts w:cstheme="minorHAnsi"/>
        </w:rPr>
        <w:t xml:space="preserve">: </w:t>
      </w:r>
    </w:p>
    <w:p w14:paraId="448034DF" w14:textId="77777777" w:rsidR="00CF0E2D" w:rsidRPr="000C5FE6" w:rsidRDefault="00CF0E2D" w:rsidP="00CF0E2D">
      <w:pPr>
        <w:pStyle w:val="ListParagraph"/>
        <w:numPr>
          <w:ilvl w:val="0"/>
          <w:numId w:val="22"/>
        </w:numPr>
        <w:ind w:left="360"/>
        <w:rPr>
          <w:rFonts w:eastAsia="Times New Roman"/>
          <w:sz w:val="24"/>
          <w:szCs w:val="24"/>
          <w:lang w:eastAsia="en-AU"/>
        </w:rPr>
      </w:pPr>
      <w:r w:rsidRPr="000C5FE6">
        <w:rPr>
          <w:rFonts w:eastAsia="Times New Roman"/>
          <w:sz w:val="24"/>
          <w:szCs w:val="24"/>
          <w:lang w:eastAsia="en-AU"/>
        </w:rPr>
        <w:t>in 2020-21, we continued to support the recovery of Namadgi National Park from the 2019</w:t>
      </w:r>
      <w:r w:rsidRPr="000C5FE6">
        <w:rPr>
          <w:rFonts w:eastAsia="Times New Roman" w:cstheme="minorHAnsi"/>
          <w:sz w:val="24"/>
          <w:szCs w:val="24"/>
          <w:lang w:eastAsia="en-AU"/>
        </w:rPr>
        <w:noBreakHyphen/>
      </w:r>
      <w:r w:rsidRPr="000C5FE6">
        <w:rPr>
          <w:rFonts w:eastAsia="Times New Roman"/>
          <w:sz w:val="24"/>
          <w:szCs w:val="24"/>
          <w:lang w:eastAsia="en-AU"/>
        </w:rPr>
        <w:t xml:space="preserve">20 bushfires and flooding, guided by the </w:t>
      </w:r>
      <w:r w:rsidRPr="002714B5">
        <w:rPr>
          <w:i/>
          <w:iCs/>
          <w:sz w:val="24"/>
          <w:szCs w:val="24"/>
        </w:rPr>
        <w:t>ACT Bushfire and Flood Recovery Plan</w:t>
      </w:r>
      <w:r w:rsidRPr="000C5FE6">
        <w:rPr>
          <w:rFonts w:eastAsia="Times New Roman"/>
          <w:sz w:val="24"/>
          <w:szCs w:val="24"/>
          <w:lang w:eastAsia="en-AU"/>
        </w:rPr>
        <w:t>. These efforts have been highly successful, with most of the Park being reopened</w:t>
      </w:r>
      <w:r>
        <w:rPr>
          <w:rFonts w:eastAsia="Times New Roman"/>
          <w:sz w:val="24"/>
          <w:szCs w:val="24"/>
          <w:lang w:eastAsia="en-AU"/>
        </w:rPr>
        <w:t xml:space="preserve"> in April 2021, two years ahead of the expected schedule</w:t>
      </w:r>
      <w:r w:rsidRPr="000C5FE6">
        <w:rPr>
          <w:rFonts w:eastAsia="Times New Roman"/>
          <w:sz w:val="24"/>
          <w:szCs w:val="24"/>
          <w:lang w:eastAsia="en-AU"/>
        </w:rPr>
        <w:t>;</w:t>
      </w:r>
    </w:p>
    <w:p w14:paraId="057924F5" w14:textId="77777777" w:rsidR="00CF0E2D" w:rsidRPr="000C5FE6" w:rsidRDefault="00CF0E2D" w:rsidP="00CF0E2D">
      <w:pPr>
        <w:pStyle w:val="ListParagraph"/>
        <w:numPr>
          <w:ilvl w:val="0"/>
          <w:numId w:val="22"/>
        </w:numPr>
        <w:ind w:left="360"/>
        <w:rPr>
          <w:rFonts w:eastAsia="Times New Roman"/>
          <w:sz w:val="24"/>
          <w:szCs w:val="24"/>
          <w:lang w:eastAsia="en-AU"/>
        </w:rPr>
      </w:pPr>
      <w:r>
        <w:rPr>
          <w:rFonts w:eastAsia="Times New Roman"/>
          <w:sz w:val="24"/>
          <w:szCs w:val="24"/>
          <w:lang w:eastAsia="en-AU"/>
        </w:rPr>
        <w:t xml:space="preserve">releasing our strategy to </w:t>
      </w:r>
      <w:r w:rsidRPr="000C5FE6">
        <w:rPr>
          <w:rFonts w:eastAsia="Times New Roman"/>
          <w:sz w:val="24"/>
          <w:szCs w:val="24"/>
          <w:lang w:eastAsia="en-AU"/>
        </w:rPr>
        <w:t>maintain a resilient, diverse and sustainable tree canopy that contributes to the wellbeing of the community in a changing climate;</w:t>
      </w:r>
    </w:p>
    <w:p w14:paraId="138B8B98" w14:textId="77777777" w:rsidR="00CF0E2D" w:rsidRPr="000C5FE6" w:rsidRDefault="00CF0E2D" w:rsidP="00CF0E2D">
      <w:pPr>
        <w:pStyle w:val="ListParagraph"/>
        <w:numPr>
          <w:ilvl w:val="0"/>
          <w:numId w:val="22"/>
        </w:numPr>
        <w:ind w:left="360"/>
        <w:rPr>
          <w:sz w:val="24"/>
          <w:szCs w:val="24"/>
        </w:rPr>
      </w:pPr>
      <w:r w:rsidRPr="000C5FE6">
        <w:rPr>
          <w:rFonts w:eastAsia="Times New Roman"/>
          <w:sz w:val="24"/>
          <w:szCs w:val="24"/>
          <w:lang w:eastAsia="en-AU"/>
        </w:rPr>
        <w:t>continuing to manage risks to the economy, environment and community from pests and diseases</w:t>
      </w:r>
      <w:r w:rsidRPr="000C5FE6">
        <w:rPr>
          <w:sz w:val="24"/>
          <w:szCs w:val="24"/>
        </w:rPr>
        <w:t>;</w:t>
      </w:r>
      <w:r w:rsidRPr="000C5FE6">
        <w:rPr>
          <w:rFonts w:eastAsia="Times New Roman"/>
          <w:sz w:val="24"/>
          <w:szCs w:val="24"/>
          <w:lang w:eastAsia="en-AU"/>
        </w:rPr>
        <w:t xml:space="preserve"> and</w:t>
      </w:r>
      <w:r>
        <w:rPr>
          <w:rFonts w:eastAsia="Times New Roman"/>
          <w:sz w:val="24"/>
          <w:szCs w:val="24"/>
          <w:lang w:eastAsia="en-AU"/>
        </w:rPr>
        <w:t xml:space="preserve"> </w:t>
      </w:r>
      <w:r>
        <w:rPr>
          <w:rFonts w:eastAsia="Times New Roman"/>
          <w:sz w:val="24"/>
          <w:szCs w:val="24"/>
          <w:lang w:eastAsia="en-AU"/>
        </w:rPr>
        <w:br/>
      </w:r>
    </w:p>
    <w:p w14:paraId="6B770FB9" w14:textId="77777777" w:rsidR="00CF0E2D" w:rsidRPr="006D0612" w:rsidRDefault="00CF0E2D" w:rsidP="00CF0E2D">
      <w:pPr>
        <w:pStyle w:val="ListParagraph"/>
        <w:widowControl w:val="0"/>
        <w:numPr>
          <w:ilvl w:val="0"/>
          <w:numId w:val="22"/>
        </w:numPr>
        <w:spacing w:after="120"/>
        <w:ind w:left="357" w:hanging="357"/>
        <w:rPr>
          <w:rFonts w:eastAsia="Times New Roman"/>
          <w:sz w:val="24"/>
          <w:szCs w:val="24"/>
          <w:lang w:eastAsia="en-AU"/>
        </w:rPr>
      </w:pPr>
      <w:r>
        <w:rPr>
          <w:rFonts w:eastAsia="Times New Roman"/>
          <w:noProof/>
          <w:sz w:val="24"/>
          <w:szCs w:val="24"/>
          <w:lang w:eastAsia="en-AU"/>
        </w:rPr>
        <w:lastRenderedPageBreak/>
        <w:drawing>
          <wp:anchor distT="180340" distB="180340" distL="114300" distR="114300" simplePos="0" relativeHeight="251689984" behindDoc="0" locked="0" layoutInCell="1" allowOverlap="1" wp14:anchorId="6CF7694C" wp14:editId="6A8F6DE9">
            <wp:simplePos x="0" y="0"/>
            <wp:positionH relativeFrom="column">
              <wp:posOffset>-28575</wp:posOffset>
            </wp:positionH>
            <wp:positionV relativeFrom="paragraph">
              <wp:posOffset>1047115</wp:posOffset>
            </wp:positionV>
            <wp:extent cx="5607685" cy="4204335"/>
            <wp:effectExtent l="0" t="0" r="5715" b="0"/>
            <wp:wrapSquare wrapText="bothSides"/>
            <wp:docPr id="58" name="Tuggeranong from Mt Taylor  07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Tuggeranong from Mt Taylor  0778.jpeg"/>
                    <pic:cNvPicPr/>
                  </pic:nvPicPr>
                  <pic:blipFill>
                    <a:blip r:embed="rId92" r:link="rId93" cstate="print">
                      <a:extLst>
                        <a:ext uri="{28A0092B-C50C-407E-A947-70E740481C1C}">
                          <a14:useLocalDpi xmlns:a14="http://schemas.microsoft.com/office/drawing/2010/main" val="0"/>
                        </a:ext>
                      </a:extLst>
                    </a:blip>
                    <a:stretch>
                      <a:fillRect/>
                    </a:stretch>
                  </pic:blipFill>
                  <pic:spPr>
                    <a:xfrm>
                      <a:off x="0" y="0"/>
                      <a:ext cx="5607685" cy="420433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sz w:val="24"/>
          <w:szCs w:val="24"/>
          <w:lang w:eastAsia="en-AU"/>
        </w:rPr>
        <w:t>as part of the</w:t>
      </w:r>
      <w:r w:rsidRPr="000C5FE6">
        <w:rPr>
          <w:rFonts w:eastAsia="Times New Roman"/>
          <w:sz w:val="24"/>
          <w:szCs w:val="24"/>
          <w:lang w:eastAsia="en-AU"/>
        </w:rPr>
        <w:t xml:space="preserve"> the ACT Healthy Waterways Project, a joint initiative between the ACT and Commonwealth Governments</w:t>
      </w:r>
      <w:r>
        <w:rPr>
          <w:rFonts w:eastAsia="Times New Roman"/>
          <w:sz w:val="24"/>
          <w:szCs w:val="24"/>
          <w:lang w:eastAsia="en-AU"/>
        </w:rPr>
        <w:t xml:space="preserve">, </w:t>
      </w:r>
      <w:r w:rsidRPr="00A62771">
        <w:rPr>
          <w:sz w:val="24"/>
          <w:szCs w:val="24"/>
        </w:rPr>
        <w:t>the ACT’s first large-scale floating wetland has been created in Lake Tuggeranong to absorb nutrients that enter the area during low flows, reducing the likelihood of algal bloom</w:t>
      </w:r>
      <w:r>
        <w:rPr>
          <w:sz w:val="24"/>
          <w:szCs w:val="24"/>
        </w:rPr>
        <w:t>s.</w:t>
      </w:r>
    </w:p>
    <w:p w14:paraId="51A30D50" w14:textId="77777777" w:rsidR="00CF0E2D" w:rsidRPr="00062CD6" w:rsidRDefault="00CF0E2D" w:rsidP="00A60D4B">
      <w:pPr>
        <w:pStyle w:val="ListParagraph"/>
        <w:spacing w:after="120"/>
        <w:ind w:left="360"/>
        <w:rPr>
          <w:rFonts w:eastAsia="Times New Roman"/>
          <w:sz w:val="24"/>
          <w:szCs w:val="24"/>
          <w:lang w:eastAsia="en-AU"/>
        </w:rPr>
      </w:pPr>
    </w:p>
    <w:p w14:paraId="77429F7C" w14:textId="77777777" w:rsidR="00CF0E2D" w:rsidRDefault="00CF0E2D" w:rsidP="00A60D4B">
      <w:pPr>
        <w:pStyle w:val="Heading4"/>
        <w:spacing w:before="0"/>
      </w:pPr>
      <w:bookmarkStart w:id="23" w:name="_Hlk83565579"/>
      <w:r>
        <w:t xml:space="preserve">2021-22 Budget </w:t>
      </w:r>
    </w:p>
    <w:bookmarkEnd w:id="23"/>
    <w:p w14:paraId="51ED47B0" w14:textId="77777777" w:rsidR="00CF0E2D" w:rsidRPr="002957F1" w:rsidRDefault="00CF0E2D" w:rsidP="00A60D4B">
      <w:pPr>
        <w:pStyle w:val="Bbodytext"/>
      </w:pPr>
      <w:r w:rsidRPr="002957F1">
        <w:t xml:space="preserve">Protecting and enhancing our natural environment is one of the most important investments in the future of the Territory with an additional $40 million allocated in this Budget. </w:t>
      </w:r>
    </w:p>
    <w:p w14:paraId="16E41DA8" w14:textId="77777777" w:rsidR="00CF0E2D" w:rsidRPr="002957F1" w:rsidRDefault="00CF0E2D" w:rsidP="00A60D4B">
      <w:pPr>
        <w:pStyle w:val="Bbodytext"/>
      </w:pPr>
      <w:r w:rsidRPr="002957F1">
        <w:t>Major initiatives in the 2021-22 Budget supporting this include:</w:t>
      </w:r>
    </w:p>
    <w:p w14:paraId="48526D07" w14:textId="77777777" w:rsidR="00CF0E2D" w:rsidRPr="002957F1" w:rsidRDefault="00CF0E2D" w:rsidP="00CF0E2D">
      <w:pPr>
        <w:pStyle w:val="ListParagraph"/>
        <w:numPr>
          <w:ilvl w:val="0"/>
          <w:numId w:val="20"/>
        </w:numPr>
        <w:ind w:left="360"/>
        <w:rPr>
          <w:sz w:val="24"/>
          <w:szCs w:val="24"/>
        </w:rPr>
      </w:pPr>
      <w:r w:rsidRPr="002957F1">
        <w:rPr>
          <w:sz w:val="24"/>
          <w:szCs w:val="24"/>
        </w:rPr>
        <w:t>$14.9 million to expand the tree planting program as part of work to grow Canberra’s urban canopy coverage to 30 per cent by 2045;</w:t>
      </w:r>
    </w:p>
    <w:p w14:paraId="1D2D8BD3" w14:textId="77777777" w:rsidR="00CF0E2D" w:rsidRPr="002957F1" w:rsidRDefault="00CF0E2D" w:rsidP="00CF0E2D">
      <w:pPr>
        <w:pStyle w:val="ListParagraph"/>
        <w:numPr>
          <w:ilvl w:val="0"/>
          <w:numId w:val="20"/>
        </w:numPr>
        <w:ind w:left="360"/>
        <w:rPr>
          <w:sz w:val="24"/>
          <w:szCs w:val="24"/>
        </w:rPr>
      </w:pPr>
      <w:r w:rsidRPr="002957F1">
        <w:rPr>
          <w:sz w:val="24"/>
          <w:szCs w:val="24"/>
        </w:rPr>
        <w:t>$3.5 million to expand the ACT Environment Grants program and increase support for the ACT’s three catchment groups, which includes the delivery of FrogWatch and Waterwatch, and for ACT Wildlife to support the ongoing employment for a second ParkCare Ranger;</w:t>
      </w:r>
    </w:p>
    <w:p w14:paraId="7759CECD" w14:textId="77777777" w:rsidR="00CF0E2D" w:rsidRPr="002957F1" w:rsidRDefault="00CF0E2D" w:rsidP="00CF0E2D">
      <w:pPr>
        <w:pStyle w:val="ListParagraph"/>
        <w:numPr>
          <w:ilvl w:val="0"/>
          <w:numId w:val="20"/>
        </w:numPr>
        <w:ind w:left="360"/>
        <w:rPr>
          <w:sz w:val="24"/>
          <w:szCs w:val="24"/>
        </w:rPr>
      </w:pPr>
      <w:r w:rsidRPr="002957F1">
        <w:rPr>
          <w:sz w:val="24"/>
          <w:szCs w:val="24"/>
        </w:rPr>
        <w:t xml:space="preserve">the establishment of an Invasive Species Rapid Response Biosecurity Team to prevent, eradicate and undertake early containment of invasive plants, animals and diseases to reduce biosecurity risk in the ACT; and </w:t>
      </w:r>
    </w:p>
    <w:p w14:paraId="4B5F94AB" w14:textId="77777777" w:rsidR="00CF0E2D" w:rsidRPr="000C5FE6" w:rsidRDefault="00CF0E2D" w:rsidP="00CF0E2D">
      <w:pPr>
        <w:pStyle w:val="ListParagraph"/>
        <w:numPr>
          <w:ilvl w:val="0"/>
          <w:numId w:val="20"/>
        </w:numPr>
        <w:ind w:left="360"/>
        <w:rPr>
          <w:sz w:val="24"/>
          <w:szCs w:val="24"/>
        </w:rPr>
      </w:pPr>
      <w:r>
        <w:rPr>
          <w:noProof/>
        </w:rPr>
        <w:lastRenderedPageBreak/>
        <w:drawing>
          <wp:anchor distT="180340" distB="180340" distL="114300" distR="180340" simplePos="0" relativeHeight="251694080" behindDoc="0" locked="0" layoutInCell="1" allowOverlap="1" wp14:anchorId="1B7873AA" wp14:editId="76FA096F">
            <wp:simplePos x="0" y="0"/>
            <wp:positionH relativeFrom="column">
              <wp:posOffset>-28575</wp:posOffset>
            </wp:positionH>
            <wp:positionV relativeFrom="paragraph">
              <wp:posOffset>883285</wp:posOffset>
            </wp:positionV>
            <wp:extent cx="5551170" cy="3653155"/>
            <wp:effectExtent l="0" t="0" r="0" b="4445"/>
            <wp:wrapSquare wrapText="bothSides"/>
            <wp:docPr id="62" name="10mb Climate Action 310.jpg" descr="Two people cutting me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0mb Climate Action 310.jpg" descr="Two people cutting meat&#10;&#10;Description automatically generated with low confidence"/>
                    <pic:cNvPicPr/>
                  </pic:nvPicPr>
                  <pic:blipFill>
                    <a:blip r:embed="rId94" r:link="rId95">
                      <a:extLst>
                        <a:ext uri="{28A0092B-C50C-407E-A947-70E740481C1C}">
                          <a14:useLocalDpi xmlns:a14="http://schemas.microsoft.com/office/drawing/2010/main" val="0"/>
                        </a:ext>
                      </a:extLst>
                    </a:blip>
                    <a:stretch>
                      <a:fillRect/>
                    </a:stretch>
                  </pic:blipFill>
                  <pic:spPr>
                    <a:xfrm>
                      <a:off x="0" y="0"/>
                      <a:ext cx="5551170" cy="3653155"/>
                    </a:xfrm>
                    <a:prstGeom prst="rect">
                      <a:avLst/>
                    </a:prstGeom>
                  </pic:spPr>
                </pic:pic>
              </a:graphicData>
            </a:graphic>
            <wp14:sizeRelH relativeFrom="page">
              <wp14:pctWidth>0</wp14:pctWidth>
            </wp14:sizeRelH>
            <wp14:sizeRelV relativeFrom="page">
              <wp14:pctHeight>0</wp14:pctHeight>
            </wp14:sizeRelV>
          </wp:anchor>
        </w:drawing>
      </w:r>
      <w:r w:rsidRPr="002957F1">
        <w:rPr>
          <w:sz w:val="24"/>
          <w:szCs w:val="24"/>
        </w:rPr>
        <w:t>$5 million to continue the Healthy</w:t>
      </w:r>
      <w:r w:rsidRPr="000C5FE6">
        <w:rPr>
          <w:sz w:val="24"/>
          <w:szCs w:val="24"/>
        </w:rPr>
        <w:t xml:space="preserve"> Waterways Project to restore and improve the amenity, recreational, ecological, and commercial benefits provided by Canberra’s waterways.</w:t>
      </w:r>
    </w:p>
    <w:p w14:paraId="2CD74A40" w14:textId="77777777" w:rsidR="00CF0E2D" w:rsidRPr="00D72D62" w:rsidRDefault="00CF0E2D" w:rsidP="00A60D4B">
      <w:pPr>
        <w:pStyle w:val="Heading3"/>
      </w:pPr>
      <w:r w:rsidRPr="00982015">
        <w:t xml:space="preserve">Supporting climate action </w:t>
      </w:r>
    </w:p>
    <w:p w14:paraId="5A4842D4" w14:textId="77777777" w:rsidR="00CF0E2D" w:rsidRPr="00351FB9" w:rsidRDefault="00CF0E2D" w:rsidP="00A60D4B">
      <w:pPr>
        <w:pStyle w:val="Bbodytext"/>
      </w:pPr>
      <w:r w:rsidRPr="00351FB9">
        <w:t xml:space="preserve">The Government recognises that climate change is an immediate threat to our city, our country and the world, even as we deal with the impacts of a global pandemic. The Government will continue to undertake science-based actions that will increase the Territory’s resilience and enhance our adaptation to the effects of climate change. </w:t>
      </w:r>
    </w:p>
    <w:p w14:paraId="2138A718" w14:textId="77777777" w:rsidR="00CF0E2D" w:rsidRPr="00351FB9" w:rsidRDefault="00CF0E2D" w:rsidP="00A60D4B">
      <w:pPr>
        <w:pStyle w:val="Bbodytext"/>
        <w:rPr>
          <w:rFonts w:eastAsia="Times New Roman"/>
          <w:lang w:eastAsia="en-AU"/>
        </w:rPr>
      </w:pPr>
      <w:r>
        <w:rPr>
          <w:noProof/>
        </w:rPr>
        <w:drawing>
          <wp:anchor distT="180340" distB="180340" distL="114300" distR="114300" simplePos="0" relativeHeight="251695104" behindDoc="0" locked="0" layoutInCell="1" allowOverlap="1" wp14:anchorId="7148EEDE" wp14:editId="1600AB1E">
            <wp:simplePos x="0" y="0"/>
            <wp:positionH relativeFrom="column">
              <wp:posOffset>2944867</wp:posOffset>
            </wp:positionH>
            <wp:positionV relativeFrom="paragraph">
              <wp:posOffset>89491</wp:posOffset>
            </wp:positionV>
            <wp:extent cx="2873375" cy="1914525"/>
            <wp:effectExtent l="0" t="0" r="0" b="3175"/>
            <wp:wrapSquare wrapText="bothSides"/>
            <wp:docPr id="63" name="10mb Climate Action 576.jpg" descr="A picture containing person, little, tool,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0mb Climate Action 576.jpg" descr="A picture containing person, little, tool, vegetable&#10;&#10;Description automatically generated"/>
                    <pic:cNvPicPr/>
                  </pic:nvPicPr>
                  <pic:blipFill>
                    <a:blip r:embed="rId96" r:link="rId97" cstate="print">
                      <a:extLst>
                        <a:ext uri="{28A0092B-C50C-407E-A947-70E740481C1C}">
                          <a14:useLocalDpi xmlns:a14="http://schemas.microsoft.com/office/drawing/2010/main" val="0"/>
                        </a:ext>
                      </a:extLst>
                    </a:blip>
                    <a:stretch>
                      <a:fillRect/>
                    </a:stretch>
                  </pic:blipFill>
                  <pic:spPr>
                    <a:xfrm>
                      <a:off x="0" y="0"/>
                      <a:ext cx="2873375" cy="1914525"/>
                    </a:xfrm>
                    <a:prstGeom prst="rect">
                      <a:avLst/>
                    </a:prstGeom>
                  </pic:spPr>
                </pic:pic>
              </a:graphicData>
            </a:graphic>
            <wp14:sizeRelH relativeFrom="page">
              <wp14:pctWidth>0</wp14:pctWidth>
            </wp14:sizeRelH>
            <wp14:sizeRelV relativeFrom="page">
              <wp14:pctHeight>0</wp14:pctHeight>
            </wp14:sizeRelV>
          </wp:anchor>
        </w:drawing>
      </w:r>
      <w:r w:rsidRPr="00351FB9">
        <w:t xml:space="preserve">Given our vulnerability to the impacts of climate change, including hotter temperatures, more extreme weather events and increased bushfire risk, it is crucial for the Territory to make concerted efforts to minimise these impacts and increase our resilience to them. </w:t>
      </w:r>
    </w:p>
    <w:p w14:paraId="156F02A9" w14:textId="77777777" w:rsidR="00CF0E2D" w:rsidRPr="00062CD6" w:rsidRDefault="00CF0E2D" w:rsidP="00A60D4B">
      <w:pPr>
        <w:pStyle w:val="Bbodytext"/>
      </w:pPr>
      <w:r w:rsidRPr="00351FB9">
        <w:rPr>
          <w:lang w:eastAsia="en-AU"/>
        </w:rPr>
        <w:t xml:space="preserve">These priority focus areas build on past work and the significant progress that we have </w:t>
      </w:r>
      <w:r w:rsidRPr="00062CD6">
        <w:t>already made to meet the challenges of climate change:</w:t>
      </w:r>
    </w:p>
    <w:p w14:paraId="5EC5D70C" w14:textId="77777777" w:rsidR="00CF0E2D" w:rsidRPr="00062CD6" w:rsidRDefault="00CF0E2D" w:rsidP="00CF0E2D">
      <w:pPr>
        <w:numPr>
          <w:ilvl w:val="0"/>
          <w:numId w:val="18"/>
        </w:numPr>
        <w:shd w:val="clear" w:color="auto" w:fill="FFFFFF"/>
        <w:tabs>
          <w:tab w:val="clear" w:pos="720"/>
          <w:tab w:val="num" w:pos="360"/>
        </w:tabs>
        <w:spacing w:after="120" w:line="240" w:lineRule="auto"/>
        <w:ind w:left="360"/>
        <w:rPr>
          <w:rFonts w:eastAsia="Times New Roman"/>
          <w:sz w:val="24"/>
          <w:szCs w:val="24"/>
          <w:lang w:eastAsia="en-AU"/>
        </w:rPr>
      </w:pPr>
      <w:r w:rsidRPr="003B3A0E">
        <w:rPr>
          <w:rFonts w:eastAsia="Times New Roman"/>
          <w:sz w:val="24"/>
          <w:szCs w:val="24"/>
          <w:lang w:eastAsia="en-AU"/>
        </w:rPr>
        <w:t>in 2019 we declared a climate emergency and acknowledged the need for concerted climate action across all levels of Government;</w:t>
      </w:r>
    </w:p>
    <w:p w14:paraId="66D7D667" w14:textId="77777777" w:rsidR="00CF0E2D" w:rsidRPr="000C5FE6" w:rsidRDefault="00CF0E2D" w:rsidP="00CF0E2D">
      <w:pPr>
        <w:numPr>
          <w:ilvl w:val="0"/>
          <w:numId w:val="18"/>
        </w:numPr>
        <w:shd w:val="clear" w:color="auto" w:fill="FFFFFF"/>
        <w:tabs>
          <w:tab w:val="clear" w:pos="720"/>
          <w:tab w:val="num" w:pos="360"/>
        </w:tabs>
        <w:spacing w:after="120" w:line="240" w:lineRule="auto"/>
        <w:ind w:left="360"/>
        <w:rPr>
          <w:rFonts w:eastAsia="Times New Roman"/>
          <w:sz w:val="24"/>
          <w:szCs w:val="24"/>
          <w:lang w:eastAsia="en-AU"/>
        </w:rPr>
      </w:pPr>
      <w:r w:rsidRPr="000C5FE6">
        <w:rPr>
          <w:rFonts w:eastAsia="Times New Roman"/>
          <w:sz w:val="24"/>
          <w:szCs w:val="24"/>
          <w:lang w:eastAsia="en-AU"/>
        </w:rPr>
        <w:lastRenderedPageBreak/>
        <w:t xml:space="preserve">in 2020 we: </w:t>
      </w:r>
    </w:p>
    <w:p w14:paraId="01490E9B" w14:textId="77777777" w:rsidR="00CF0E2D" w:rsidRPr="000C5FE6" w:rsidRDefault="00CF0E2D" w:rsidP="00CF0E2D">
      <w:pPr>
        <w:numPr>
          <w:ilvl w:val="1"/>
          <w:numId w:val="11"/>
        </w:numPr>
        <w:tabs>
          <w:tab w:val="clear" w:pos="1440"/>
          <w:tab w:val="num" w:pos="1080"/>
        </w:tabs>
        <w:spacing w:after="120" w:line="240" w:lineRule="auto"/>
        <w:ind w:left="1080"/>
        <w:rPr>
          <w:rFonts w:eastAsia="Times New Roman"/>
          <w:sz w:val="24"/>
          <w:szCs w:val="24"/>
          <w:lang w:eastAsia="en-AU"/>
        </w:rPr>
      </w:pPr>
      <w:r w:rsidRPr="000C5FE6">
        <w:rPr>
          <w:rFonts w:eastAsia="Times New Roman"/>
          <w:sz w:val="24"/>
          <w:szCs w:val="24"/>
          <w:lang w:eastAsia="en-AU"/>
        </w:rPr>
        <w:t>exceeded our interim target of 40 per cent reduction of greenhouse gas emissions from 1990 levels, ahead of schedule;</w:t>
      </w:r>
    </w:p>
    <w:p w14:paraId="6AC1F3F9" w14:textId="77777777" w:rsidR="00CF0E2D" w:rsidRPr="000C5FE6" w:rsidRDefault="00CF0E2D" w:rsidP="00CF0E2D">
      <w:pPr>
        <w:numPr>
          <w:ilvl w:val="1"/>
          <w:numId w:val="11"/>
        </w:numPr>
        <w:tabs>
          <w:tab w:val="clear" w:pos="1440"/>
          <w:tab w:val="num" w:pos="1080"/>
        </w:tabs>
        <w:spacing w:after="120" w:line="240" w:lineRule="auto"/>
        <w:ind w:left="1080"/>
        <w:rPr>
          <w:rFonts w:eastAsia="Times New Roman"/>
          <w:sz w:val="24"/>
          <w:szCs w:val="24"/>
          <w:lang w:eastAsia="en-AU"/>
        </w:rPr>
      </w:pPr>
      <w:r w:rsidRPr="000C5FE6">
        <w:rPr>
          <w:rFonts w:eastAsia="Times New Roman"/>
          <w:sz w:val="24"/>
          <w:szCs w:val="24"/>
          <w:lang w:eastAsia="en-AU"/>
        </w:rPr>
        <w:t>became the first Australian jurisdiction to shift to 100 per cent renewable electricity and have committed to maintaining it from 2020 onwards;</w:t>
      </w:r>
    </w:p>
    <w:p w14:paraId="2DB982FB" w14:textId="77777777" w:rsidR="00CF0E2D" w:rsidRDefault="00CF0E2D" w:rsidP="00CF0E2D">
      <w:pPr>
        <w:numPr>
          <w:ilvl w:val="1"/>
          <w:numId w:val="11"/>
        </w:numPr>
        <w:tabs>
          <w:tab w:val="clear" w:pos="1440"/>
          <w:tab w:val="num" w:pos="1080"/>
        </w:tabs>
        <w:spacing w:after="120" w:line="240" w:lineRule="auto"/>
        <w:ind w:left="1080"/>
        <w:rPr>
          <w:rFonts w:eastAsia="Times New Roman"/>
          <w:sz w:val="24"/>
          <w:szCs w:val="24"/>
          <w:lang w:eastAsia="en-AU"/>
        </w:rPr>
      </w:pPr>
      <w:r w:rsidRPr="000C5FE6">
        <w:rPr>
          <w:rFonts w:eastAsia="Times New Roman"/>
          <w:sz w:val="24"/>
          <w:szCs w:val="24"/>
          <w:lang w:eastAsia="en-AU"/>
        </w:rPr>
        <w:t>continued to build on our successes in securing 100 per cent renewable electricity for the ACT, including securing an additional 200MW of wind power to the national capital; and</w:t>
      </w:r>
    </w:p>
    <w:p w14:paraId="40E2AF39" w14:textId="694C0137" w:rsidR="00CF0E2D" w:rsidRPr="000C5FE6" w:rsidRDefault="00CF0E2D" w:rsidP="00CF0E2D">
      <w:pPr>
        <w:numPr>
          <w:ilvl w:val="1"/>
          <w:numId w:val="11"/>
        </w:numPr>
        <w:tabs>
          <w:tab w:val="clear" w:pos="1440"/>
          <w:tab w:val="num" w:pos="1080"/>
        </w:tabs>
        <w:spacing w:after="120" w:line="240" w:lineRule="auto"/>
        <w:ind w:left="1080"/>
        <w:rPr>
          <w:rFonts w:eastAsia="Times New Roman"/>
          <w:sz w:val="24"/>
          <w:szCs w:val="24"/>
          <w:lang w:eastAsia="en-AU"/>
        </w:rPr>
      </w:pPr>
      <w:r>
        <w:rPr>
          <w:rFonts w:eastAsia="Times New Roman"/>
          <w:sz w:val="24"/>
          <w:szCs w:val="24"/>
          <w:lang w:eastAsia="en-AU"/>
        </w:rPr>
        <w:t xml:space="preserve">established </w:t>
      </w:r>
      <w:r w:rsidRPr="000C5FE6">
        <w:rPr>
          <w:rFonts w:eastAsia="Times New Roman"/>
          <w:sz w:val="24"/>
          <w:szCs w:val="24"/>
          <w:lang w:eastAsia="en-AU"/>
        </w:rPr>
        <w:t>the Office for Climate Action, to coordinate and support the Government's ambitious agenda for climate action.</w:t>
      </w:r>
    </w:p>
    <w:p w14:paraId="536907F4" w14:textId="45B26EA8" w:rsidR="00CF0E2D" w:rsidRPr="003B3A0E" w:rsidRDefault="00CF0E2D" w:rsidP="00CF0E2D">
      <w:pPr>
        <w:numPr>
          <w:ilvl w:val="0"/>
          <w:numId w:val="18"/>
        </w:numPr>
        <w:shd w:val="clear" w:color="auto" w:fill="FFFFFF"/>
        <w:tabs>
          <w:tab w:val="clear" w:pos="720"/>
          <w:tab w:val="num" w:pos="360"/>
        </w:tabs>
        <w:spacing w:before="100" w:beforeAutospacing="1" w:after="120" w:line="240" w:lineRule="auto"/>
        <w:ind w:left="360"/>
        <w:rPr>
          <w:rFonts w:eastAsia="Times New Roman"/>
          <w:sz w:val="24"/>
          <w:szCs w:val="24"/>
          <w:lang w:eastAsia="en-AU"/>
        </w:rPr>
      </w:pPr>
      <w:r w:rsidRPr="00EE61EB">
        <w:rPr>
          <w:rFonts w:eastAsia="Times New Roman"/>
          <w:sz w:val="24"/>
          <w:szCs w:val="24"/>
          <w:lang w:eastAsia="en-AU"/>
        </w:rPr>
        <w:t>in 2021 we rolled out the $150 million Sustainable Household Scheme to all eligible households across Canberra to provide more Canberra households with the opportunity to share in the benefits of sustainable technologies to make their homes more efficient</w:t>
      </w:r>
      <w:r w:rsidRPr="003B3A0E">
        <w:rPr>
          <w:rFonts w:eastAsia="Times New Roman"/>
          <w:sz w:val="24"/>
          <w:szCs w:val="24"/>
          <w:lang w:eastAsia="en-AU"/>
        </w:rPr>
        <w:t>.</w:t>
      </w:r>
    </w:p>
    <w:p w14:paraId="7F630B35" w14:textId="77777777" w:rsidR="00CF0E2D" w:rsidRDefault="00CF0E2D" w:rsidP="00A60D4B">
      <w:pPr>
        <w:pStyle w:val="Bbodytext"/>
        <w:rPr>
          <w:lang w:eastAsia="en-AU"/>
        </w:rPr>
      </w:pPr>
      <w:r w:rsidRPr="000C5FE6">
        <w:rPr>
          <w:lang w:eastAsia="en-AU"/>
        </w:rPr>
        <w:t xml:space="preserve">These achievements have cemented the ACT’s reputation as leading the nation on climate action, but more work is still to be done. </w:t>
      </w:r>
      <w:bookmarkStart w:id="24" w:name="_Hlk83566143"/>
    </w:p>
    <w:p w14:paraId="15B1DBDB" w14:textId="77777777" w:rsidR="00CF0E2D" w:rsidRPr="00D72D62" w:rsidRDefault="00CF0E2D" w:rsidP="00A60D4B">
      <w:pPr>
        <w:shd w:val="clear" w:color="auto" w:fill="FFFFFF"/>
        <w:spacing w:before="100" w:beforeAutospacing="1" w:after="120" w:line="240" w:lineRule="auto"/>
        <w:rPr>
          <w:rFonts w:eastAsia="Times New Roman" w:cstheme="minorHAnsi"/>
          <w:sz w:val="24"/>
          <w:szCs w:val="24"/>
          <w:lang w:eastAsia="en-AU"/>
        </w:rPr>
      </w:pPr>
      <w:r>
        <w:rPr>
          <w:noProof/>
          <w:sz w:val="24"/>
          <w:szCs w:val="24"/>
        </w:rPr>
        <w:drawing>
          <wp:anchor distT="180340" distB="180340" distL="114300" distR="114300" simplePos="0" relativeHeight="251693056" behindDoc="0" locked="0" layoutInCell="1" allowOverlap="1" wp14:anchorId="32B16A1A" wp14:editId="5B4036DE">
            <wp:simplePos x="0" y="0"/>
            <wp:positionH relativeFrom="column">
              <wp:posOffset>-19050</wp:posOffset>
            </wp:positionH>
            <wp:positionV relativeFrom="paragraph">
              <wp:posOffset>231140</wp:posOffset>
            </wp:positionV>
            <wp:extent cx="4161155" cy="4161155"/>
            <wp:effectExtent l="0" t="0" r="4445" b="4445"/>
            <wp:wrapSquare wrapText="bothSides"/>
            <wp:docPr id="61" name="2.png" descr="A picture containing person, outdoor, bin,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png" descr="A picture containing person, outdoor, bin, container&#10;&#10;Description automatically generated"/>
                    <pic:cNvPicPr/>
                  </pic:nvPicPr>
                  <pic:blipFill>
                    <a:blip r:embed="rId98" r:link="rId99" cstate="print">
                      <a:extLst>
                        <a:ext uri="{28A0092B-C50C-407E-A947-70E740481C1C}">
                          <a14:useLocalDpi xmlns:a14="http://schemas.microsoft.com/office/drawing/2010/main" val="0"/>
                        </a:ext>
                      </a:extLst>
                    </a:blip>
                    <a:stretch>
                      <a:fillRect/>
                    </a:stretch>
                  </pic:blipFill>
                  <pic:spPr>
                    <a:xfrm>
                      <a:off x="0" y="0"/>
                      <a:ext cx="4161155" cy="4161155"/>
                    </a:xfrm>
                    <a:prstGeom prst="rect">
                      <a:avLst/>
                    </a:prstGeom>
                  </pic:spPr>
                </pic:pic>
              </a:graphicData>
            </a:graphic>
            <wp14:sizeRelH relativeFrom="page">
              <wp14:pctWidth>0</wp14:pctWidth>
            </wp14:sizeRelH>
            <wp14:sizeRelV relativeFrom="page">
              <wp14:pctHeight>0</wp14:pctHeight>
            </wp14:sizeRelV>
          </wp:anchor>
        </w:drawing>
      </w:r>
      <w:r w:rsidRPr="00D72D62">
        <w:br w:type="page"/>
      </w:r>
    </w:p>
    <w:p w14:paraId="634C0DBD" w14:textId="77777777" w:rsidR="00CF0E2D" w:rsidRDefault="00CF0E2D" w:rsidP="00A60D4B">
      <w:pPr>
        <w:pStyle w:val="Heading4"/>
      </w:pPr>
      <w:r>
        <w:rPr>
          <w:noProof/>
        </w:rPr>
        <w:lastRenderedPageBreak/>
        <w:drawing>
          <wp:anchor distT="0" distB="0" distL="114300" distR="114300" simplePos="0" relativeHeight="251698176" behindDoc="0" locked="0" layoutInCell="1" allowOverlap="1" wp14:anchorId="4985D12B" wp14:editId="2DB63564">
            <wp:simplePos x="0" y="0"/>
            <wp:positionH relativeFrom="column">
              <wp:posOffset>4142468</wp:posOffset>
            </wp:positionH>
            <wp:positionV relativeFrom="paragraph">
              <wp:posOffset>80010</wp:posOffset>
            </wp:positionV>
            <wp:extent cx="1701800" cy="1587500"/>
            <wp:effectExtent l="0" t="0" r="0" b="0"/>
            <wp:wrapSquare wrapText="bothSides"/>
            <wp:docPr id="67" name="Environ 3.png" descr="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Environ 3.png" descr="Logo&#10;&#10;Description automatically generated with low confidence"/>
                    <pic:cNvPicPr/>
                  </pic:nvPicPr>
                  <pic:blipFill>
                    <a:blip r:embed="rId100" r:link="rId101" cstate="print">
                      <a:extLst>
                        <a:ext uri="{28A0092B-C50C-407E-A947-70E740481C1C}">
                          <a14:useLocalDpi xmlns:a14="http://schemas.microsoft.com/office/drawing/2010/main" val="0"/>
                        </a:ext>
                      </a:extLst>
                    </a:blip>
                    <a:stretch>
                      <a:fillRect/>
                    </a:stretch>
                  </pic:blipFill>
                  <pic:spPr>
                    <a:xfrm>
                      <a:off x="0" y="0"/>
                      <a:ext cx="1701800" cy="1587500"/>
                    </a:xfrm>
                    <a:prstGeom prst="rect">
                      <a:avLst/>
                    </a:prstGeom>
                  </pic:spPr>
                </pic:pic>
              </a:graphicData>
            </a:graphic>
            <wp14:sizeRelH relativeFrom="page">
              <wp14:pctWidth>0</wp14:pctWidth>
            </wp14:sizeRelH>
            <wp14:sizeRelV relativeFrom="page">
              <wp14:pctHeight>0</wp14:pctHeight>
            </wp14:sizeRelV>
          </wp:anchor>
        </w:drawing>
      </w:r>
      <w:r>
        <w:t xml:space="preserve">2021-22 Budget </w:t>
      </w:r>
    </w:p>
    <w:bookmarkEnd w:id="24"/>
    <w:p w14:paraId="77B7F9CD" w14:textId="77777777" w:rsidR="00CF0E2D" w:rsidRPr="000C5FE6" w:rsidRDefault="00CF0E2D" w:rsidP="00A60D4B">
      <w:pPr>
        <w:pStyle w:val="Bbodytext"/>
      </w:pPr>
      <w:r w:rsidRPr="000C5FE6">
        <w:t>Faced with a changing climate, enhancing our environmental resilience is crucial and, in doing so, it is essential that more vulnerable members of the community are not left behind.</w:t>
      </w:r>
      <w:r w:rsidRPr="000C5FE6">
        <w:rPr>
          <w:rFonts w:cstheme="minorHAnsi"/>
        </w:rPr>
        <w:t xml:space="preserve"> This is not something the Government can achieve on its own — t</w:t>
      </w:r>
      <w:r w:rsidRPr="000C5FE6">
        <w:t xml:space="preserve">he Government is therefore prioritising activities that support a broad range of businesses, community groups and individuals </w:t>
      </w:r>
      <w:r w:rsidRPr="000C5FE6">
        <w:rPr>
          <w:rFonts w:cstheme="minorHAnsi"/>
          <w:color w:val="000000" w:themeColor="text1"/>
        </w:rPr>
        <w:t>to engage with the Government’s climate action priorities and make informed decisions that support a transition to net zero emissions by 2045</w:t>
      </w:r>
      <w:r w:rsidRPr="000C5FE6">
        <w:t xml:space="preserve">. </w:t>
      </w:r>
      <w:bookmarkStart w:id="25" w:name="_Hlk83470263"/>
    </w:p>
    <w:p w14:paraId="67F72E1F" w14:textId="77777777" w:rsidR="00CF0E2D" w:rsidRPr="000C5FE6" w:rsidRDefault="00CF0E2D" w:rsidP="00A60D4B">
      <w:pPr>
        <w:pStyle w:val="Bbodytext"/>
      </w:pPr>
      <w:r w:rsidRPr="000C5FE6">
        <w:t>Major initiatives in the 2021-22 Budget supporting further progress on climate action include:</w:t>
      </w:r>
    </w:p>
    <w:bookmarkEnd w:id="25"/>
    <w:p w14:paraId="10B156D2" w14:textId="77777777" w:rsidR="00CF0E2D" w:rsidRPr="000C5FE6" w:rsidRDefault="00CF0E2D" w:rsidP="00CF0E2D">
      <w:pPr>
        <w:pStyle w:val="ListParagraph"/>
        <w:numPr>
          <w:ilvl w:val="0"/>
          <w:numId w:val="21"/>
        </w:numPr>
        <w:ind w:left="360"/>
        <w:rPr>
          <w:sz w:val="24"/>
          <w:szCs w:val="24"/>
        </w:rPr>
      </w:pPr>
      <w:r>
        <w:rPr>
          <w:sz w:val="24"/>
          <w:szCs w:val="24"/>
        </w:rPr>
        <w:t xml:space="preserve">rolling out the </w:t>
      </w:r>
      <w:r w:rsidRPr="000C5FE6">
        <w:rPr>
          <w:sz w:val="24"/>
          <w:szCs w:val="24"/>
        </w:rPr>
        <w:t>five-year Sustainable Household Scheme to provide zero interest loans of up to $15,000 for households and not-for-profit community organisations to assist with the upfront costs of investing in rooftop solar panels, battery storage, zero emission vehicles and energy efficient electric appliances;</w:t>
      </w:r>
    </w:p>
    <w:p w14:paraId="7E5C7DEB" w14:textId="77777777" w:rsidR="00CF0E2D" w:rsidRDefault="00CF0E2D" w:rsidP="00CF0E2D">
      <w:pPr>
        <w:pStyle w:val="ListParagraph"/>
        <w:numPr>
          <w:ilvl w:val="0"/>
          <w:numId w:val="21"/>
        </w:numPr>
        <w:ind w:left="360"/>
        <w:rPr>
          <w:sz w:val="24"/>
          <w:szCs w:val="24"/>
        </w:rPr>
      </w:pPr>
      <w:r w:rsidRPr="000C5FE6">
        <w:rPr>
          <w:sz w:val="24"/>
          <w:szCs w:val="24"/>
        </w:rPr>
        <w:t xml:space="preserve">expanding free vehicle registration to second-hand zero emissions vehicles (ZEVs) from 24 May 2021 to 30 June 2024; </w:t>
      </w:r>
    </w:p>
    <w:p w14:paraId="3D579316" w14:textId="77777777" w:rsidR="00CF0E2D" w:rsidRPr="000C5FE6" w:rsidRDefault="00CF0E2D" w:rsidP="00CF0E2D">
      <w:pPr>
        <w:pStyle w:val="ListParagraph"/>
        <w:numPr>
          <w:ilvl w:val="0"/>
          <w:numId w:val="21"/>
        </w:numPr>
        <w:ind w:left="360"/>
        <w:rPr>
          <w:sz w:val="24"/>
          <w:szCs w:val="24"/>
        </w:rPr>
      </w:pPr>
      <w:r>
        <w:rPr>
          <w:sz w:val="24"/>
          <w:szCs w:val="24"/>
        </w:rPr>
        <w:t xml:space="preserve">continuing to progress the Big Canberra Battery to deliver at least 250 megawatts of new ‘large-scale’ battery storage system capacity across the ACT; </w:t>
      </w:r>
    </w:p>
    <w:p w14:paraId="63B2906D" w14:textId="77777777" w:rsidR="00CF0E2D" w:rsidRPr="000C5FE6" w:rsidRDefault="00CF0E2D" w:rsidP="00CF0E2D">
      <w:pPr>
        <w:pStyle w:val="ListParagraph"/>
        <w:numPr>
          <w:ilvl w:val="0"/>
          <w:numId w:val="21"/>
        </w:numPr>
        <w:ind w:left="360"/>
        <w:rPr>
          <w:sz w:val="24"/>
          <w:szCs w:val="24"/>
        </w:rPr>
      </w:pPr>
      <w:r w:rsidRPr="000C5FE6">
        <w:rPr>
          <w:sz w:val="24"/>
          <w:szCs w:val="24"/>
        </w:rPr>
        <w:t>continuing the delivery of the Energy Efficiency Improvement Scheme (EEIS) to support the reduction of greenhouse gas emissions and lowering of household and business energy use and costs;</w:t>
      </w:r>
    </w:p>
    <w:p w14:paraId="545B92D8" w14:textId="77777777" w:rsidR="00CF0E2D" w:rsidRPr="000C5FE6" w:rsidRDefault="00CF0E2D" w:rsidP="00CF0E2D">
      <w:pPr>
        <w:pStyle w:val="ListParagraph"/>
        <w:numPr>
          <w:ilvl w:val="0"/>
          <w:numId w:val="21"/>
        </w:numPr>
        <w:ind w:left="360"/>
        <w:rPr>
          <w:sz w:val="24"/>
          <w:szCs w:val="24"/>
        </w:rPr>
      </w:pPr>
      <w:r w:rsidRPr="000C5FE6">
        <w:rPr>
          <w:sz w:val="24"/>
          <w:szCs w:val="24"/>
        </w:rPr>
        <w:t>continuing grants funding for projects and initiatives that support the ACT's transition to net zero emissions by 2045 for eligible community groups and not-for-profit organisations;</w:t>
      </w:r>
    </w:p>
    <w:p w14:paraId="581D3BDD" w14:textId="77777777" w:rsidR="00CF0E2D" w:rsidRPr="000C5FE6" w:rsidRDefault="00CF0E2D" w:rsidP="00CF0E2D">
      <w:pPr>
        <w:pStyle w:val="ListParagraph"/>
        <w:numPr>
          <w:ilvl w:val="0"/>
          <w:numId w:val="21"/>
        </w:numPr>
        <w:ind w:left="360"/>
        <w:rPr>
          <w:sz w:val="24"/>
          <w:szCs w:val="24"/>
          <w:lang w:eastAsia="en-AU"/>
        </w:rPr>
      </w:pPr>
      <w:r w:rsidRPr="000C5FE6">
        <w:rPr>
          <w:sz w:val="24"/>
          <w:szCs w:val="24"/>
          <w:lang w:eastAsia="en-AU"/>
        </w:rPr>
        <w:t xml:space="preserve">continuing </w:t>
      </w:r>
      <w:r>
        <w:rPr>
          <w:sz w:val="24"/>
          <w:szCs w:val="24"/>
          <w:lang w:eastAsia="en-AU"/>
        </w:rPr>
        <w:t xml:space="preserve">the $5 million </w:t>
      </w:r>
      <w:r w:rsidRPr="000C5FE6">
        <w:rPr>
          <w:sz w:val="24"/>
          <w:szCs w:val="24"/>
          <w:lang w:eastAsia="en-AU"/>
        </w:rPr>
        <w:t>four-year Community Club Building Energy Efficiency Fund to provide rebates to clubs for equipment upgrades, building efficiency improvements, and the installation of rooftop solar and batteries to reduce electricity and gas bills; and</w:t>
      </w:r>
    </w:p>
    <w:p w14:paraId="748E6D7D" w14:textId="77777777" w:rsidR="00CF0E2D" w:rsidRDefault="00CF0E2D" w:rsidP="00CF0E2D">
      <w:pPr>
        <w:pStyle w:val="ListParagraph"/>
        <w:numPr>
          <w:ilvl w:val="0"/>
          <w:numId w:val="21"/>
        </w:numPr>
        <w:ind w:left="360"/>
        <w:contextualSpacing w:val="0"/>
        <w:rPr>
          <w:sz w:val="24"/>
          <w:szCs w:val="24"/>
        </w:rPr>
      </w:pPr>
      <w:r w:rsidRPr="000C5FE6">
        <w:rPr>
          <w:sz w:val="24"/>
          <w:szCs w:val="24"/>
        </w:rPr>
        <w:t xml:space="preserve">commencing </w:t>
      </w:r>
      <w:r>
        <w:rPr>
          <w:sz w:val="24"/>
          <w:szCs w:val="24"/>
        </w:rPr>
        <w:t xml:space="preserve">the $50 million </w:t>
      </w:r>
      <w:r w:rsidRPr="000C5FE6">
        <w:rPr>
          <w:sz w:val="24"/>
          <w:szCs w:val="24"/>
        </w:rPr>
        <w:t xml:space="preserve">five-year Vulnerable Household Energy Support Scheme to </w:t>
      </w:r>
      <w:r>
        <w:rPr>
          <w:sz w:val="24"/>
          <w:szCs w:val="24"/>
        </w:rPr>
        <w:t>improve</w:t>
      </w:r>
      <w:r w:rsidRPr="00EB6CD0">
        <w:rPr>
          <w:sz w:val="24"/>
          <w:szCs w:val="24"/>
        </w:rPr>
        <w:t xml:space="preserve"> </w:t>
      </w:r>
      <w:r>
        <w:rPr>
          <w:sz w:val="24"/>
          <w:szCs w:val="24"/>
        </w:rPr>
        <w:t>thermal comfort</w:t>
      </w:r>
      <w:r w:rsidRPr="00EB6CD0">
        <w:rPr>
          <w:sz w:val="24"/>
          <w:szCs w:val="24"/>
        </w:rPr>
        <w:t xml:space="preserve"> </w:t>
      </w:r>
      <w:r w:rsidRPr="000C5FE6">
        <w:rPr>
          <w:sz w:val="24"/>
          <w:szCs w:val="24"/>
        </w:rPr>
        <w:t>and energy hardship among vulnerable households. The program will apply to public and private rental properties, as well as eligible low-income homeowners.</w:t>
      </w:r>
    </w:p>
    <w:p w14:paraId="170B5D4F" w14:textId="77777777" w:rsidR="00CF0E2D" w:rsidRPr="000C5FE6" w:rsidRDefault="00CF0E2D" w:rsidP="00A60D4B">
      <w:pPr>
        <w:pStyle w:val="Bbodytext"/>
        <w:rPr>
          <w:lang w:eastAsia="en-AU"/>
        </w:rPr>
      </w:pPr>
      <w:r w:rsidRPr="000C5FE6">
        <w:t>Work will also continue on a range of other activities, including d</w:t>
      </w:r>
      <w:r w:rsidRPr="000C5FE6">
        <w:rPr>
          <w:lang w:eastAsia="en-AU"/>
        </w:rPr>
        <w:t>eveloping a long-term plan for phasing out fossil fuel gas use in the ACT and planning for a zero-emissions bus network. </w:t>
      </w:r>
    </w:p>
    <w:bookmarkEnd w:id="19"/>
    <w:bookmarkEnd w:id="20"/>
    <w:p w14:paraId="2A074DC8" w14:textId="77777777" w:rsidR="00CF0E2D" w:rsidRDefault="00CF0E2D" w:rsidP="00A60D4B">
      <w:pPr>
        <w:rPr>
          <w:rFonts w:ascii="Montserrat" w:eastAsiaTheme="majorEastAsia" w:hAnsi="Montserrat" w:cstheme="majorBidi"/>
          <w:b/>
          <w:bCs/>
          <w:color w:val="FFFFFF" w:themeColor="background1"/>
          <w:sz w:val="28"/>
          <w:szCs w:val="28"/>
          <w:lang w:val="en-US"/>
        </w:rPr>
      </w:pPr>
      <w:r>
        <w:rPr>
          <w:rFonts w:ascii="Montserrat" w:eastAsiaTheme="majorEastAsia" w:hAnsi="Montserrat" w:cstheme="majorBidi"/>
          <w:b/>
          <w:bCs/>
          <w:color w:val="FFFFFF" w:themeColor="background1"/>
          <w:sz w:val="28"/>
          <w:szCs w:val="28"/>
          <w:lang w:val="en-US"/>
        </w:rPr>
        <w:br w:type="page"/>
      </w:r>
    </w:p>
    <w:p w14:paraId="753FC054" w14:textId="77777777" w:rsidR="00CF0E2D" w:rsidRDefault="00CF0E2D" w:rsidP="00A60D4B">
      <w:pPr>
        <w:keepNext/>
        <w:keepLines/>
        <w:shd w:val="clear" w:color="auto" w:fill="482D8C"/>
        <w:spacing w:before="240" w:after="120"/>
        <w:outlineLvl w:val="0"/>
        <w:rPr>
          <w:rFonts w:ascii="Montserrat" w:eastAsiaTheme="majorEastAsia" w:hAnsi="Montserrat" w:cstheme="majorBidi"/>
          <w:b/>
          <w:bCs/>
          <w:color w:val="FFFFFF" w:themeColor="background1"/>
          <w:sz w:val="28"/>
          <w:szCs w:val="28"/>
          <w:lang w:val="en-US"/>
        </w:rPr>
      </w:pPr>
      <w:bookmarkStart w:id="26" w:name="_Toc84290708"/>
      <w:bookmarkStart w:id="27" w:name="_Toc84290987"/>
      <w:r w:rsidRPr="000F21A0">
        <w:rPr>
          <w:rFonts w:ascii="Montserrat" w:eastAsiaTheme="majorEastAsia" w:hAnsi="Montserrat" w:cstheme="majorBidi"/>
          <w:b/>
          <w:bCs/>
          <w:color w:val="FFFFFF" w:themeColor="background1"/>
          <w:sz w:val="28"/>
          <w:szCs w:val="28"/>
          <w:lang w:val="en-US"/>
        </w:rPr>
        <w:lastRenderedPageBreak/>
        <w:t>Governance and</w:t>
      </w:r>
      <w:r>
        <w:rPr>
          <w:rFonts w:ascii="Montserrat" w:eastAsiaTheme="majorEastAsia" w:hAnsi="Montserrat" w:cstheme="majorBidi"/>
          <w:b/>
          <w:bCs/>
          <w:color w:val="FFFFFF" w:themeColor="background1"/>
          <w:sz w:val="28"/>
          <w:szCs w:val="28"/>
          <w:lang w:val="en-US"/>
        </w:rPr>
        <w:t xml:space="preserve"> the</w:t>
      </w:r>
      <w:r w:rsidRPr="000F21A0">
        <w:rPr>
          <w:rFonts w:ascii="Montserrat" w:eastAsiaTheme="majorEastAsia" w:hAnsi="Montserrat" w:cstheme="majorBidi"/>
          <w:b/>
          <w:bCs/>
          <w:color w:val="FFFFFF" w:themeColor="background1"/>
          <w:sz w:val="28"/>
          <w:szCs w:val="28"/>
          <w:lang w:val="en-US"/>
        </w:rPr>
        <w:t xml:space="preserve"> </w:t>
      </w:r>
      <w:r>
        <w:rPr>
          <w:rFonts w:ascii="Montserrat" w:eastAsiaTheme="majorEastAsia" w:hAnsi="Montserrat" w:cstheme="majorBidi"/>
          <w:b/>
          <w:bCs/>
          <w:color w:val="FFFFFF" w:themeColor="background1"/>
          <w:sz w:val="28"/>
          <w:szCs w:val="28"/>
          <w:lang w:val="en-US"/>
        </w:rPr>
        <w:t>economy</w:t>
      </w:r>
      <w:bookmarkEnd w:id="26"/>
      <w:bookmarkEnd w:id="27"/>
      <w:r w:rsidRPr="000F21A0">
        <w:rPr>
          <w:rFonts w:ascii="Montserrat" w:eastAsiaTheme="majorEastAsia" w:hAnsi="Montserrat" w:cstheme="majorBidi"/>
          <w:b/>
          <w:bCs/>
          <w:color w:val="FFFFFF" w:themeColor="background1"/>
          <w:sz w:val="28"/>
          <w:szCs w:val="28"/>
          <w:lang w:val="en-US"/>
        </w:rPr>
        <w:t xml:space="preserve"> </w:t>
      </w:r>
    </w:p>
    <w:p w14:paraId="29C24C14" w14:textId="77777777" w:rsidR="00CF0E2D" w:rsidRPr="004800BD" w:rsidRDefault="00CF0E2D" w:rsidP="00A60D4B">
      <w:pPr>
        <w:pStyle w:val="Heading3"/>
        <w:rPr>
          <w:rFonts w:cs="Calibri"/>
          <w:iCs/>
        </w:rPr>
      </w:pPr>
      <w:r>
        <w:rPr>
          <w:rFonts w:eastAsia="Times New Roman" w:cs="Calibri"/>
          <w:noProof/>
          <w:sz w:val="24"/>
        </w:rPr>
        <w:drawing>
          <wp:anchor distT="0" distB="0" distL="114300" distR="114300" simplePos="0" relativeHeight="251691008" behindDoc="0" locked="0" layoutInCell="1" allowOverlap="1" wp14:anchorId="422AFDD7" wp14:editId="06590A02">
            <wp:simplePos x="0" y="0"/>
            <wp:positionH relativeFrom="column">
              <wp:posOffset>4096138</wp:posOffset>
            </wp:positionH>
            <wp:positionV relativeFrom="paragraph">
              <wp:posOffset>78105</wp:posOffset>
            </wp:positionV>
            <wp:extent cx="1739900" cy="3225800"/>
            <wp:effectExtent l="0" t="0" r="0" b="0"/>
            <wp:wrapSquare wrapText="bothSides"/>
            <wp:docPr id="59" name="Governance 2.png"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overnance 2.png" descr="Text&#10;&#10;Description automatically generated"/>
                    <pic:cNvPicPr/>
                  </pic:nvPicPr>
                  <pic:blipFill>
                    <a:blip r:embed="rId102" r:link="rId103" cstate="print">
                      <a:extLst>
                        <a:ext uri="{28A0092B-C50C-407E-A947-70E740481C1C}">
                          <a14:useLocalDpi xmlns:a14="http://schemas.microsoft.com/office/drawing/2010/main" val="0"/>
                        </a:ext>
                      </a:extLst>
                    </a:blip>
                    <a:stretch>
                      <a:fillRect/>
                    </a:stretch>
                  </pic:blipFill>
                  <pic:spPr>
                    <a:xfrm>
                      <a:off x="0" y="0"/>
                      <a:ext cx="1739900" cy="3225800"/>
                    </a:xfrm>
                    <a:prstGeom prst="rect">
                      <a:avLst/>
                    </a:prstGeom>
                  </pic:spPr>
                </pic:pic>
              </a:graphicData>
            </a:graphic>
            <wp14:sizeRelH relativeFrom="page">
              <wp14:pctWidth>0</wp14:pctWidth>
            </wp14:sizeRelH>
            <wp14:sizeRelV relativeFrom="page">
              <wp14:pctHeight>0</wp14:pctHeight>
            </wp14:sizeRelV>
          </wp:anchor>
        </w:drawing>
      </w:r>
      <w:r w:rsidRPr="004800BD">
        <w:t>What the community told us</w:t>
      </w:r>
    </w:p>
    <w:p w14:paraId="1DED74F5" w14:textId="77777777" w:rsidR="00CF0E2D" w:rsidRDefault="00CF0E2D" w:rsidP="00A60D4B">
      <w:pPr>
        <w:pStyle w:val="Bbodytext"/>
      </w:pPr>
      <w:r w:rsidRPr="000C5FE6">
        <w:t xml:space="preserve">During consultations on the 2021-22 Budget, the community indicated a preference for the simplification of regulation activities, opportunities for early engagement on new ACT Government projects, and </w:t>
      </w:r>
      <w:r>
        <w:t xml:space="preserve">better </w:t>
      </w:r>
      <w:r w:rsidRPr="000C5FE6">
        <w:t xml:space="preserve">using the knowledge of community-based service providers in policy development and delivery. </w:t>
      </w:r>
    </w:p>
    <w:p w14:paraId="39AC9EBD" w14:textId="77777777" w:rsidR="00CF0E2D" w:rsidRDefault="00CF0E2D" w:rsidP="00A60D4B">
      <w:pPr>
        <w:pStyle w:val="Bbodytext"/>
      </w:pPr>
      <w:r w:rsidRPr="000C5FE6">
        <w:t>The availability of online services was positively regarded, although people also asked that a physical presence be maintained (e.g. Access Canberra shopfronts) for those without ready access to IT or simply a preference for face</w:t>
      </w:r>
      <w:r>
        <w:noBreakHyphen/>
      </w:r>
      <w:r w:rsidRPr="000C5FE6">
        <w:t>to</w:t>
      </w:r>
      <w:r>
        <w:noBreakHyphen/>
      </w:r>
      <w:r w:rsidRPr="000C5FE6">
        <w:t>face interaction.</w:t>
      </w:r>
    </w:p>
    <w:p w14:paraId="2E529A4B" w14:textId="77777777" w:rsidR="00CF0E2D" w:rsidRDefault="00CF0E2D" w:rsidP="00A60D4B">
      <w:pPr>
        <w:pStyle w:val="Heading3"/>
      </w:pPr>
      <w:r>
        <w:t>Key partnerships</w:t>
      </w:r>
    </w:p>
    <w:p w14:paraId="31F5FCB9" w14:textId="77777777" w:rsidR="00CF0E2D" w:rsidRPr="00062CD6" w:rsidRDefault="00CF0E2D" w:rsidP="00A60D4B">
      <w:pPr>
        <w:pStyle w:val="Bbodytext"/>
        <w:rPr>
          <w:szCs w:val="24"/>
        </w:rPr>
      </w:pPr>
      <w:r w:rsidRPr="00062CD6">
        <w:rPr>
          <w:szCs w:val="24"/>
        </w:rPr>
        <w:t>Working with, and listening to, the ACT business community has been an important element of the Government’s development of economic support measures through the COVID-19 pandemic, including through the establishment of the Canberra Economic and Advisory Group.</w:t>
      </w:r>
    </w:p>
    <w:p w14:paraId="44ED1801" w14:textId="77777777" w:rsidR="00CF0E2D" w:rsidRPr="00062CD6" w:rsidRDefault="00CF0E2D" w:rsidP="00A60D4B">
      <w:pPr>
        <w:pStyle w:val="Bbodytext"/>
        <w:rPr>
          <w:szCs w:val="24"/>
        </w:rPr>
      </w:pPr>
      <w:r w:rsidRPr="00062CD6">
        <w:rPr>
          <w:szCs w:val="24"/>
        </w:rPr>
        <w:t xml:space="preserve">Consistent with the </w:t>
      </w:r>
      <w:r w:rsidRPr="00062CD6">
        <w:rPr>
          <w:i/>
          <w:iCs/>
          <w:szCs w:val="24"/>
        </w:rPr>
        <w:t>Statement of Ambition</w:t>
      </w:r>
      <w:r w:rsidRPr="00062CD6">
        <w:rPr>
          <w:szCs w:val="24"/>
        </w:rPr>
        <w:t>, the Government has strengthened and developed key partnerships to support the growth of Canberra’s defence, cyber and space industries. The Government established the Canberra Cyber Network (CCN) in partnership with key industry players including the Australian National University (ANU), the University of New South Wales (UNSW) Canberra, Data61 at the CSIRO, the University of Canberra and Canberra Institute of Technology. The CCN is a node of the national Cyber Security Industry Network and provides an opportunity to collaboratively grow the cyber security sector in Canberra</w:t>
      </w:r>
      <w:r>
        <w:rPr>
          <w:szCs w:val="24"/>
        </w:rPr>
        <w:t>,</w:t>
      </w:r>
      <w:r w:rsidRPr="00062CD6">
        <w:rPr>
          <w:szCs w:val="24"/>
        </w:rPr>
        <w:t xml:space="preserve"> including collaboration with other parties in joint projects. </w:t>
      </w:r>
    </w:p>
    <w:p w14:paraId="56BEAD30" w14:textId="77777777" w:rsidR="00CF0E2D" w:rsidRPr="00062CD6" w:rsidRDefault="00CF0E2D" w:rsidP="00A60D4B">
      <w:pPr>
        <w:pStyle w:val="Bbodytext"/>
        <w:rPr>
          <w:szCs w:val="24"/>
        </w:rPr>
      </w:pPr>
      <w:r w:rsidRPr="00062CD6">
        <w:rPr>
          <w:szCs w:val="24"/>
        </w:rPr>
        <w:t>In space-related disciplines, the ANU and UNSW Canberra are Australia's most active higher education institutions. CSIRO, Geoscience Australia and the Space Environment Research Centre all undertake significant, globally linked space related activities in Canberra. The Government is working with the sector to help build a significant and globally competitive industry. This includes signing a Memorandum of Understanding with the Australian Space Agency to strengthen the national space industry and committing $9.8 million over three years to support the growth of key sectors including the space industry.</w:t>
      </w:r>
    </w:p>
    <w:p w14:paraId="6C06E792" w14:textId="77777777" w:rsidR="00CF0E2D" w:rsidRDefault="00CF0E2D">
      <w:pPr>
        <w:rPr>
          <w:rFonts w:ascii="Calibri" w:eastAsiaTheme="majorEastAsia" w:hAnsi="Calibri" w:cstheme="majorBidi"/>
          <w:b/>
          <w:color w:val="999789"/>
          <w:sz w:val="32"/>
          <w:szCs w:val="24"/>
        </w:rPr>
      </w:pPr>
      <w:r>
        <w:br w:type="page"/>
      </w:r>
    </w:p>
    <w:p w14:paraId="5FEEC3C6" w14:textId="77777777" w:rsidR="00CF0E2D" w:rsidRPr="001077E2" w:rsidRDefault="00CF0E2D" w:rsidP="00A60D4B">
      <w:pPr>
        <w:pStyle w:val="Heading3"/>
      </w:pPr>
      <w:r w:rsidRPr="001077E2">
        <w:lastRenderedPageBreak/>
        <w:t>Supporting businesses</w:t>
      </w:r>
      <w:r>
        <w:t xml:space="preserve"> and jobs through COVID-19</w:t>
      </w:r>
    </w:p>
    <w:p w14:paraId="65D966F5" w14:textId="77777777" w:rsidR="00CF0E2D" w:rsidRPr="000C5FE6" w:rsidRDefault="00CF0E2D" w:rsidP="00A60D4B">
      <w:pPr>
        <w:pStyle w:val="Bbodytext"/>
        <w:rPr>
          <w:szCs w:val="24"/>
        </w:rPr>
      </w:pPr>
      <w:r w:rsidRPr="000C5FE6">
        <w:rPr>
          <w:szCs w:val="24"/>
        </w:rPr>
        <w:t xml:space="preserve">On the eve of the COVID-19 pandemic, the ACT economy was strong, with the fundamentals in place to withstand future demands and challenges that might have been anticipated at that time. A strong economy and valued institutions help to underpin wellbeing in Canberra for our people and community. </w:t>
      </w:r>
    </w:p>
    <w:p w14:paraId="604FB1A6" w14:textId="77777777" w:rsidR="00CF0E2D" w:rsidRPr="000C5FE6" w:rsidRDefault="00CF0E2D" w:rsidP="00A60D4B">
      <w:pPr>
        <w:pStyle w:val="Bbodytext"/>
        <w:rPr>
          <w:szCs w:val="24"/>
        </w:rPr>
      </w:pPr>
      <w:r w:rsidRPr="000C5FE6">
        <w:rPr>
          <w:szCs w:val="24"/>
        </w:rPr>
        <w:t>While the economy has shown resilience</w:t>
      </w:r>
      <w:r>
        <w:rPr>
          <w:szCs w:val="24"/>
        </w:rPr>
        <w:t xml:space="preserve"> overall</w:t>
      </w:r>
      <w:r w:rsidRPr="000C5FE6">
        <w:rPr>
          <w:szCs w:val="24"/>
        </w:rPr>
        <w:t xml:space="preserve">, the impacts of COVID-19 have hit sectors of the economy that are more exposed to travel and health restrictions, and the resulting challenges faced by many businesses have been significant. </w:t>
      </w:r>
    </w:p>
    <w:p w14:paraId="6C5F15AD" w14:textId="77777777" w:rsidR="00CF0E2D" w:rsidRDefault="00CF0E2D" w:rsidP="00A60D4B">
      <w:pPr>
        <w:pStyle w:val="Bbodytext"/>
        <w:rPr>
          <w:szCs w:val="24"/>
        </w:rPr>
      </w:pPr>
      <w:r w:rsidRPr="00A53C73">
        <w:rPr>
          <w:noProof/>
          <w:szCs w:val="24"/>
        </w:rPr>
        <mc:AlternateContent>
          <mc:Choice Requires="wps">
            <w:drawing>
              <wp:anchor distT="45720" distB="45720" distL="114300" distR="114300" simplePos="0" relativeHeight="251701248" behindDoc="0" locked="0" layoutInCell="1" allowOverlap="1" wp14:anchorId="20E1AD98" wp14:editId="0CCD62E9">
                <wp:simplePos x="0" y="0"/>
                <wp:positionH relativeFrom="column">
                  <wp:posOffset>2360295</wp:posOffset>
                </wp:positionH>
                <wp:positionV relativeFrom="paragraph">
                  <wp:posOffset>27940</wp:posOffset>
                </wp:positionV>
                <wp:extent cx="3214370" cy="2388235"/>
                <wp:effectExtent l="0" t="0" r="508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4370" cy="2388235"/>
                        </a:xfrm>
                        <a:prstGeom prst="rect">
                          <a:avLst/>
                        </a:prstGeom>
                        <a:solidFill>
                          <a:srgbClr val="FFFFFF"/>
                        </a:solidFill>
                        <a:ln w="9525">
                          <a:noFill/>
                          <a:miter lim="800000"/>
                          <a:headEnd/>
                          <a:tailEnd/>
                        </a:ln>
                      </wps:spPr>
                      <wps:txbx>
                        <w:txbxContent>
                          <w:p w14:paraId="082B6F26" w14:textId="77777777" w:rsidR="002261A7" w:rsidRDefault="002261A7" w:rsidP="00A60D4B">
                            <w:pPr>
                              <w:spacing w:before="240" w:after="240"/>
                              <w:jc w:val="center"/>
                            </w:pPr>
                            <w:r w:rsidRPr="002714B5">
                              <w:rPr>
                                <w:rFonts w:ascii="Source Sans Pro SemiBold" w:hAnsi="Source Sans Pro SemiBold"/>
                                <w:b/>
                                <w:bCs/>
                                <w:color w:val="3C1A56"/>
                                <w:sz w:val="40"/>
                                <w:szCs w:val="40"/>
                              </w:rPr>
                              <w:t>Since the start of the pandemic, the Government has committed over $475 million in targeted business support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E1AD98" id="_x0000_s1032" type="#_x0000_t202" style="position:absolute;margin-left:185.85pt;margin-top:2.2pt;width:253.1pt;height:188.0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" stroked="f">
                <v:textbox>
                  <w:txbxContent>
                    <w:p w14:paraId="082B6F26" w14:textId="77777777" w:rsidR="002261A7" w:rsidRDefault="002261A7" w:rsidP="00A60D4B">
                      <w:pPr>
                        <w:spacing w:before="240" w:after="240"/>
                        <w:jc w:val="center"/>
                      </w:pPr>
                      <w:r w:rsidRPr="002714B5">
                        <w:rPr>
                          <w:rFonts w:ascii="Source Sans Pro SemiBold" w:hAnsi="Source Sans Pro SemiBold"/>
                          <w:b/>
                          <w:bCs/>
                          <w:color w:val="3C1A56"/>
                          <w:sz w:val="40"/>
                          <w:szCs w:val="40"/>
                        </w:rPr>
                        <w:t>Since the start of the pandemic, the Government has committed over $475 million in targeted business support</w:t>
                      </w:r>
                    </w:p>
                  </w:txbxContent>
                </v:textbox>
                <w10:wrap type="square"/>
              </v:shape>
            </w:pict>
          </mc:Fallback>
        </mc:AlternateContent>
      </w:r>
      <w:r w:rsidRPr="000C5FE6">
        <w:rPr>
          <w:szCs w:val="24"/>
        </w:rPr>
        <w:t xml:space="preserve">Setting out its key priorities and programs to respond to COVID-19, the Government released its </w:t>
      </w:r>
      <w:hyperlink r:id="rId104" w:history="1">
        <w:r w:rsidRPr="000C5FE6">
          <w:rPr>
            <w:i/>
            <w:szCs w:val="24"/>
          </w:rPr>
          <w:t>Jobs and Economic Recovery Plan</w:t>
        </w:r>
      </w:hyperlink>
      <w:r w:rsidRPr="000C5FE6">
        <w:rPr>
          <w:szCs w:val="24"/>
        </w:rPr>
        <w:t xml:space="preserve"> (the Plan) in August 2020. </w:t>
      </w:r>
      <w:r w:rsidRPr="002D3EB4">
        <w:rPr>
          <w:szCs w:val="24"/>
        </w:rPr>
        <w:t xml:space="preserve">The Plan featured a significant commitment to achieve the Government’s key priorities of growing Canberra’s economy and reaching a jobs target of more than 250,000 in employment by 2025. </w:t>
      </w:r>
    </w:p>
    <w:p w14:paraId="16CF8F07" w14:textId="77777777" w:rsidR="00CF0E2D" w:rsidRPr="000C5FE6" w:rsidRDefault="00CF0E2D" w:rsidP="00A60D4B">
      <w:pPr>
        <w:rPr>
          <w:sz w:val="24"/>
          <w:szCs w:val="24"/>
        </w:rPr>
      </w:pPr>
    </w:p>
    <w:p w14:paraId="33AEB8B7" w14:textId="77777777" w:rsidR="00CF0E2D" w:rsidRDefault="00CF0E2D" w:rsidP="00A60D4B">
      <w:pPr>
        <w:pStyle w:val="Heading4"/>
      </w:pPr>
      <w:r>
        <w:t>2021-22 Budget</w:t>
      </w:r>
    </w:p>
    <w:p w14:paraId="50F10EA9" w14:textId="77777777" w:rsidR="00CF0E2D" w:rsidRDefault="00CF0E2D" w:rsidP="00A60D4B">
      <w:pPr>
        <w:pStyle w:val="Bbodytext"/>
        <w:rPr>
          <w:szCs w:val="24"/>
        </w:rPr>
      </w:pPr>
      <w:r w:rsidRPr="000C5FE6">
        <w:rPr>
          <w:szCs w:val="24"/>
        </w:rPr>
        <w:t>Throughout the COVID-19 pandemic, supporting local jobs has been, and will remain, a top priority for the ACT Government.</w:t>
      </w:r>
    </w:p>
    <w:p w14:paraId="4ACC3C7D" w14:textId="77777777" w:rsidR="00CF0E2D" w:rsidRPr="000C5FE6" w:rsidRDefault="00CF0E2D" w:rsidP="00A60D4B">
      <w:pPr>
        <w:pStyle w:val="Bbodytext"/>
        <w:rPr>
          <w:szCs w:val="24"/>
        </w:rPr>
      </w:pPr>
      <w:r w:rsidRPr="000C5FE6">
        <w:rPr>
          <w:szCs w:val="24"/>
        </w:rPr>
        <w:t>The 2021-22 Budget includes various economic support measures to help local businesses through the current phase of the pandemic, including:</w:t>
      </w:r>
    </w:p>
    <w:p w14:paraId="1839721C" w14:textId="77777777" w:rsidR="00CF0E2D" w:rsidRPr="000C5FE6" w:rsidRDefault="00CF0E2D" w:rsidP="00CF0E2D">
      <w:pPr>
        <w:pStyle w:val="ListParagraph"/>
        <w:numPr>
          <w:ilvl w:val="0"/>
          <w:numId w:val="23"/>
        </w:numPr>
        <w:ind w:left="360"/>
        <w:rPr>
          <w:sz w:val="24"/>
          <w:szCs w:val="24"/>
        </w:rPr>
      </w:pPr>
      <w:r>
        <w:rPr>
          <w:sz w:val="24"/>
          <w:szCs w:val="24"/>
        </w:rPr>
        <w:t xml:space="preserve">over $290 million in </w:t>
      </w:r>
      <w:r w:rsidRPr="000C5FE6">
        <w:rPr>
          <w:sz w:val="24"/>
          <w:szCs w:val="24"/>
        </w:rPr>
        <w:t>COVID-19 Business Support grants</w:t>
      </w:r>
      <w:r>
        <w:rPr>
          <w:sz w:val="24"/>
          <w:szCs w:val="24"/>
        </w:rPr>
        <w:t xml:space="preserve">, which is </w:t>
      </w:r>
      <w:r w:rsidRPr="000C5FE6">
        <w:rPr>
          <w:sz w:val="24"/>
          <w:szCs w:val="24"/>
        </w:rPr>
        <w:t>jointly funded with the Commonwealth Government;</w:t>
      </w:r>
    </w:p>
    <w:p w14:paraId="6EDB68D2" w14:textId="77777777" w:rsidR="00CF0E2D" w:rsidRPr="000C5FE6" w:rsidRDefault="00CF0E2D" w:rsidP="00CF0E2D">
      <w:pPr>
        <w:pStyle w:val="ListParagraph"/>
        <w:numPr>
          <w:ilvl w:val="0"/>
          <w:numId w:val="23"/>
        </w:numPr>
        <w:ind w:left="360"/>
        <w:rPr>
          <w:sz w:val="24"/>
          <w:szCs w:val="24"/>
        </w:rPr>
      </w:pPr>
      <w:r>
        <w:rPr>
          <w:sz w:val="24"/>
          <w:szCs w:val="24"/>
        </w:rPr>
        <w:t xml:space="preserve">$46.5 million for the </w:t>
      </w:r>
      <w:r w:rsidRPr="000C5FE6">
        <w:rPr>
          <w:sz w:val="24"/>
          <w:szCs w:val="24"/>
        </w:rPr>
        <w:t>Small Business Hardship Scheme</w:t>
      </w:r>
      <w:r>
        <w:rPr>
          <w:sz w:val="24"/>
          <w:szCs w:val="24"/>
        </w:rPr>
        <w:t xml:space="preserve">, which provides </w:t>
      </w:r>
      <w:r w:rsidRPr="000C5FE6">
        <w:rPr>
          <w:sz w:val="24"/>
          <w:szCs w:val="24"/>
        </w:rPr>
        <w:t>up to $10,000 in financial support to businesses that have been significantly affected during the COVID</w:t>
      </w:r>
      <w:r>
        <w:rPr>
          <w:sz w:val="24"/>
          <w:szCs w:val="24"/>
        </w:rPr>
        <w:noBreakHyphen/>
      </w:r>
      <w:r w:rsidRPr="000C5FE6">
        <w:rPr>
          <w:sz w:val="24"/>
          <w:szCs w:val="24"/>
        </w:rPr>
        <w:t>19 pandemic;</w:t>
      </w:r>
    </w:p>
    <w:p w14:paraId="72513985" w14:textId="77777777" w:rsidR="00CF0E2D" w:rsidRPr="000C5FE6" w:rsidRDefault="00CF0E2D" w:rsidP="00CF0E2D">
      <w:pPr>
        <w:pStyle w:val="ListParagraph"/>
        <w:numPr>
          <w:ilvl w:val="0"/>
          <w:numId w:val="23"/>
        </w:numPr>
        <w:ind w:left="360"/>
        <w:rPr>
          <w:sz w:val="24"/>
          <w:szCs w:val="24"/>
        </w:rPr>
      </w:pPr>
      <w:r w:rsidRPr="000C5FE6">
        <w:rPr>
          <w:sz w:val="24"/>
          <w:szCs w:val="24"/>
        </w:rPr>
        <w:t xml:space="preserve">the </w:t>
      </w:r>
      <w:bookmarkStart w:id="28" w:name="_Hlk84319316"/>
      <w:r>
        <w:rPr>
          <w:sz w:val="24"/>
          <w:szCs w:val="24"/>
        </w:rPr>
        <w:t xml:space="preserve">COVID-19 </w:t>
      </w:r>
      <w:r w:rsidRPr="000C5FE6">
        <w:rPr>
          <w:sz w:val="24"/>
          <w:szCs w:val="24"/>
        </w:rPr>
        <w:t>Tourism, Accommodation Provider</w:t>
      </w:r>
      <w:r>
        <w:rPr>
          <w:sz w:val="24"/>
          <w:szCs w:val="24"/>
        </w:rPr>
        <w:t xml:space="preserve">, </w:t>
      </w:r>
      <w:r w:rsidRPr="000C5FE6">
        <w:rPr>
          <w:sz w:val="24"/>
          <w:szCs w:val="24"/>
        </w:rPr>
        <w:t>Hospitality</w:t>
      </w:r>
      <w:r>
        <w:rPr>
          <w:sz w:val="24"/>
          <w:szCs w:val="24"/>
        </w:rPr>
        <w:t>, Arts and Events and Fitness</w:t>
      </w:r>
      <w:r w:rsidRPr="000C5FE6">
        <w:rPr>
          <w:sz w:val="24"/>
          <w:szCs w:val="24"/>
        </w:rPr>
        <w:t xml:space="preserve"> Industry </w:t>
      </w:r>
      <w:r>
        <w:rPr>
          <w:sz w:val="24"/>
          <w:szCs w:val="24"/>
        </w:rPr>
        <w:t xml:space="preserve">Grants </w:t>
      </w:r>
      <w:bookmarkEnd w:id="28"/>
      <w:r>
        <w:rPr>
          <w:sz w:val="24"/>
          <w:szCs w:val="24"/>
        </w:rPr>
        <w:t xml:space="preserve">of up to $25,000 </w:t>
      </w:r>
      <w:r w:rsidRPr="000C5FE6">
        <w:rPr>
          <w:sz w:val="24"/>
          <w:szCs w:val="24"/>
        </w:rPr>
        <w:t>and other measures to support the tourism industry;</w:t>
      </w:r>
    </w:p>
    <w:p w14:paraId="31189FA0" w14:textId="77777777" w:rsidR="00CF0E2D" w:rsidRPr="000C5FE6" w:rsidRDefault="00CF0E2D" w:rsidP="00CF0E2D">
      <w:pPr>
        <w:pStyle w:val="ListParagraph"/>
        <w:numPr>
          <w:ilvl w:val="0"/>
          <w:numId w:val="23"/>
        </w:numPr>
        <w:ind w:left="360"/>
        <w:rPr>
          <w:sz w:val="24"/>
          <w:szCs w:val="24"/>
        </w:rPr>
      </w:pPr>
      <w:r w:rsidRPr="00EB2085">
        <w:rPr>
          <w:sz w:val="24"/>
          <w:szCs w:val="24"/>
        </w:rPr>
        <w:t>$6 million</w:t>
      </w:r>
      <w:r>
        <w:rPr>
          <w:sz w:val="24"/>
          <w:szCs w:val="24"/>
        </w:rPr>
        <w:t xml:space="preserve"> in </w:t>
      </w:r>
      <w:r w:rsidRPr="000C5FE6">
        <w:rPr>
          <w:sz w:val="24"/>
          <w:szCs w:val="24"/>
        </w:rPr>
        <w:t>commercial tenancy support;</w:t>
      </w:r>
    </w:p>
    <w:p w14:paraId="18B07DCA" w14:textId="77777777" w:rsidR="00CF0E2D" w:rsidRPr="000C5FE6" w:rsidRDefault="00CF0E2D" w:rsidP="00CF0E2D">
      <w:pPr>
        <w:pStyle w:val="ListParagraph"/>
        <w:numPr>
          <w:ilvl w:val="0"/>
          <w:numId w:val="23"/>
        </w:numPr>
        <w:ind w:left="360"/>
        <w:rPr>
          <w:sz w:val="24"/>
          <w:szCs w:val="24"/>
        </w:rPr>
      </w:pPr>
      <w:r w:rsidRPr="000C5FE6">
        <w:rPr>
          <w:sz w:val="24"/>
          <w:szCs w:val="24"/>
        </w:rPr>
        <w:t>rental relief on ACT Government properties;</w:t>
      </w:r>
    </w:p>
    <w:p w14:paraId="45D67EDB" w14:textId="77777777" w:rsidR="00CF0E2D" w:rsidRDefault="00CF0E2D" w:rsidP="00CF0E2D">
      <w:pPr>
        <w:pStyle w:val="ListParagraph"/>
        <w:numPr>
          <w:ilvl w:val="0"/>
          <w:numId w:val="23"/>
        </w:numPr>
        <w:ind w:left="360"/>
        <w:rPr>
          <w:sz w:val="24"/>
          <w:szCs w:val="24"/>
        </w:rPr>
      </w:pPr>
      <w:r w:rsidRPr="000C5FE6">
        <w:rPr>
          <w:sz w:val="24"/>
          <w:szCs w:val="24"/>
        </w:rPr>
        <w:t>payroll tax exemptions for new apprentice and trainees; and</w:t>
      </w:r>
    </w:p>
    <w:p w14:paraId="50CD748B" w14:textId="77777777" w:rsidR="00CF0E2D" w:rsidRPr="00B5642B" w:rsidRDefault="00CF0E2D" w:rsidP="00CF0E2D">
      <w:pPr>
        <w:pStyle w:val="ListParagraph"/>
        <w:numPr>
          <w:ilvl w:val="0"/>
          <w:numId w:val="23"/>
        </w:numPr>
        <w:ind w:left="360"/>
        <w:rPr>
          <w:sz w:val="24"/>
          <w:szCs w:val="24"/>
        </w:rPr>
      </w:pPr>
      <w:r w:rsidRPr="00B5642B">
        <w:rPr>
          <w:sz w:val="24"/>
          <w:szCs w:val="24"/>
        </w:rPr>
        <w:t>commercial liquor permit fee waivers and a six-month extension of waivers of vehicle registration fees for hire cars and charter buses registered in the ACT.</w:t>
      </w:r>
      <w:r>
        <w:br w:type="page"/>
      </w:r>
    </w:p>
    <w:p w14:paraId="74FCE24B" w14:textId="77777777" w:rsidR="00CF0E2D" w:rsidRPr="00084857" w:rsidRDefault="00CF0E2D" w:rsidP="00A60D4B">
      <w:pPr>
        <w:pStyle w:val="Heading3"/>
      </w:pPr>
      <w:r w:rsidRPr="00084857">
        <w:lastRenderedPageBreak/>
        <w:t>Supporting an innovative, prosperous and resilient economy</w:t>
      </w:r>
    </w:p>
    <w:p w14:paraId="2482435F" w14:textId="77777777" w:rsidR="00CF0E2D" w:rsidRPr="00317F2D" w:rsidRDefault="00CF0E2D" w:rsidP="00A60D4B">
      <w:pPr>
        <w:pStyle w:val="Bbodytext"/>
      </w:pPr>
      <w:r w:rsidRPr="00317F2D">
        <w:t xml:space="preserve">In 2016, the ACT Government set out its vision for Canberra to grow as Australia’s most progressive, inclusive, innovative, and sustainable city in its </w:t>
      </w:r>
      <w:r w:rsidRPr="00317F2D">
        <w:rPr>
          <w:i/>
        </w:rPr>
        <w:t>Statement of Ambition</w:t>
      </w:r>
      <w:r w:rsidRPr="00317F2D">
        <w:t xml:space="preserve">. </w:t>
      </w:r>
    </w:p>
    <w:p w14:paraId="345F4B2F" w14:textId="77777777" w:rsidR="00CF0E2D" w:rsidRPr="00317F2D" w:rsidRDefault="00CF0E2D" w:rsidP="00A60D4B">
      <w:pPr>
        <w:pStyle w:val="Bbodytext"/>
        <w:rPr>
          <w:szCs w:val="24"/>
        </w:rPr>
      </w:pPr>
      <w:r w:rsidRPr="00317F2D">
        <w:rPr>
          <w:szCs w:val="24"/>
        </w:rPr>
        <w:t>The Statement articulated the directions of travel which Canberra must pursue to thrive in a 21</w:t>
      </w:r>
      <w:r w:rsidRPr="00317F2D">
        <w:rPr>
          <w:szCs w:val="24"/>
          <w:vertAlign w:val="superscript"/>
        </w:rPr>
        <w:t>st</w:t>
      </w:r>
      <w:r w:rsidRPr="00317F2D">
        <w:rPr>
          <w:szCs w:val="24"/>
        </w:rPr>
        <w:t xml:space="preserve"> century Australia. The development of light rail, a fairer tax system, increased investment in public health and education, the shift to powering our city with 100 per cent renewable electricity, attracting new businesses and good jobs in key industry sectors, and opening our city to the world have been key measures to deliver a more inclusive, progressive and connected Canberra. </w:t>
      </w:r>
    </w:p>
    <w:p w14:paraId="46D42257" w14:textId="77777777" w:rsidR="00CF0E2D" w:rsidRPr="00317F2D" w:rsidRDefault="00CF0E2D" w:rsidP="00A60D4B">
      <w:pPr>
        <w:pStyle w:val="Bbodytext"/>
        <w:rPr>
          <w:szCs w:val="24"/>
        </w:rPr>
      </w:pPr>
      <w:r w:rsidRPr="00317F2D">
        <w:rPr>
          <w:szCs w:val="24"/>
        </w:rPr>
        <w:t xml:space="preserve">The Government’s </w:t>
      </w:r>
      <w:hyperlink r:id="rId105" w:history="1">
        <w:r w:rsidRPr="00317F2D">
          <w:rPr>
            <w:i/>
            <w:szCs w:val="24"/>
          </w:rPr>
          <w:t>Jobs and Economic Recovery Plan</w:t>
        </w:r>
      </w:hyperlink>
      <w:r w:rsidRPr="00317F2D">
        <w:rPr>
          <w:szCs w:val="24"/>
        </w:rPr>
        <w:t xml:space="preserve"> also </w:t>
      </w:r>
      <w:r>
        <w:rPr>
          <w:szCs w:val="24"/>
        </w:rPr>
        <w:t xml:space="preserve">featured </w:t>
      </w:r>
      <w:r w:rsidRPr="00317F2D">
        <w:rPr>
          <w:szCs w:val="24"/>
        </w:rPr>
        <w:t xml:space="preserve"> the creation of the Better Regulation Taskforce, underpinning a commitment to support businesses to start and grow through better regulation and simplify interactions with government. The Taskforce has been established to support business in the short term through listening to business and addressing issues, while designing and delivering reforms that address issues, pain points and challenges that existed in Government-business interactions before COVID</w:t>
      </w:r>
      <w:r w:rsidRPr="00317F2D">
        <w:rPr>
          <w:szCs w:val="24"/>
        </w:rPr>
        <w:noBreakHyphen/>
        <w:t>19.</w:t>
      </w:r>
    </w:p>
    <w:p w14:paraId="53363C65" w14:textId="77777777" w:rsidR="00CF0E2D" w:rsidRDefault="00CF0E2D" w:rsidP="00A60D4B">
      <w:pPr>
        <w:pStyle w:val="Bbodytext"/>
        <w:rPr>
          <w:szCs w:val="24"/>
        </w:rPr>
      </w:pPr>
      <w:r w:rsidRPr="00317F2D">
        <w:rPr>
          <w:szCs w:val="24"/>
        </w:rPr>
        <w:t xml:space="preserve">With the benefit of advice from the Canberra Economic Advisory Group, the Government will renew the </w:t>
      </w:r>
      <w:r w:rsidRPr="00317F2D">
        <w:rPr>
          <w:i/>
          <w:szCs w:val="24"/>
        </w:rPr>
        <w:t>Statement of Ambition</w:t>
      </w:r>
      <w:r w:rsidRPr="00317F2D">
        <w:rPr>
          <w:szCs w:val="24"/>
        </w:rPr>
        <w:t xml:space="preserve"> to reflect on Canberra’s success to date and set a path for continued growth in a post-pandemic Australia.</w:t>
      </w:r>
    </w:p>
    <w:p w14:paraId="62B7D1E5" w14:textId="77777777" w:rsidR="00CF0E2D" w:rsidRPr="00317F2D" w:rsidRDefault="00CF0E2D" w:rsidP="00A60D4B">
      <w:pPr>
        <w:rPr>
          <w:sz w:val="24"/>
          <w:szCs w:val="24"/>
        </w:rPr>
      </w:pPr>
      <w:r>
        <w:rPr>
          <w:noProof/>
        </w:rPr>
        <w:drawing>
          <wp:anchor distT="0" distB="0" distL="114300" distR="114300" simplePos="0" relativeHeight="251712512" behindDoc="0" locked="0" layoutInCell="1" allowOverlap="1" wp14:anchorId="3E582B15" wp14:editId="5779A56F">
            <wp:simplePos x="0" y="0"/>
            <wp:positionH relativeFrom="column">
              <wp:posOffset>0</wp:posOffset>
            </wp:positionH>
            <wp:positionV relativeFrom="paragraph">
              <wp:posOffset>-6219</wp:posOffset>
            </wp:positionV>
            <wp:extent cx="5731200" cy="3819600"/>
            <wp:effectExtent l="0" t="0" r="317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31200" cy="381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FC2AEA" w14:textId="77777777" w:rsidR="00CF0E2D" w:rsidRDefault="00CF0E2D">
      <w:pPr>
        <w:rPr>
          <w:rFonts w:ascii="Calibri" w:eastAsiaTheme="majorEastAsia" w:hAnsi="Calibri" w:cstheme="majorBidi"/>
          <w:b/>
          <w:iCs/>
          <w:sz w:val="28"/>
        </w:rPr>
      </w:pPr>
      <w:r>
        <w:br w:type="page"/>
      </w:r>
    </w:p>
    <w:p w14:paraId="25071BFD" w14:textId="77777777" w:rsidR="00CF0E2D" w:rsidRDefault="00CF0E2D" w:rsidP="00A60D4B">
      <w:pPr>
        <w:pStyle w:val="Heading4"/>
      </w:pPr>
      <w:r>
        <w:lastRenderedPageBreak/>
        <w:t xml:space="preserve">2021-22 Budget  </w:t>
      </w:r>
    </w:p>
    <w:p w14:paraId="1CC98F9B" w14:textId="77777777" w:rsidR="00CF0E2D" w:rsidRPr="00317F2D" w:rsidRDefault="00CF0E2D" w:rsidP="00A60D4B">
      <w:pPr>
        <w:pStyle w:val="Bbodytext"/>
        <w:rPr>
          <w:szCs w:val="24"/>
        </w:rPr>
      </w:pPr>
      <w:r>
        <w:rPr>
          <w:szCs w:val="24"/>
        </w:rPr>
        <w:t>Beyond</w:t>
      </w:r>
      <w:r w:rsidRPr="00317F2D">
        <w:rPr>
          <w:szCs w:val="24"/>
        </w:rPr>
        <w:t xml:space="preserve"> the immediate challenges of the COVID-19 pandemic, the Government’s priority remains supporting economic growth and diversification in the Territory. Consistent with the Jobs and Recovery Plan, this includes continuing to work towards our jobs target of more than 250,000 in employment by 2025. </w:t>
      </w:r>
    </w:p>
    <w:p w14:paraId="7B96E6DA" w14:textId="77777777" w:rsidR="00CF0E2D" w:rsidRPr="00317F2D" w:rsidRDefault="00CF0E2D" w:rsidP="00A60D4B">
      <w:pPr>
        <w:pStyle w:val="Bbodytext"/>
        <w:rPr>
          <w:szCs w:val="24"/>
        </w:rPr>
      </w:pPr>
      <w:r w:rsidRPr="00317F2D">
        <w:rPr>
          <w:szCs w:val="24"/>
        </w:rPr>
        <w:t xml:space="preserve">Outside of direct public sector employment, much of our future jobs growth will also be driven in sectors with high labour intensity or where Canberra has a competitive advantage, </w:t>
      </w:r>
      <w:r>
        <w:rPr>
          <w:szCs w:val="24"/>
        </w:rPr>
        <w:t>such as</w:t>
      </w:r>
      <w:r w:rsidRPr="00317F2D">
        <w:rPr>
          <w:szCs w:val="24"/>
        </w:rPr>
        <w:t xml:space="preserve"> space, cyber and renewable energy, healthcare, the arts and creative industries, and community services. </w:t>
      </w:r>
    </w:p>
    <w:p w14:paraId="67232637" w14:textId="1D83B8A0" w:rsidR="00CF0E2D" w:rsidRPr="00317F2D" w:rsidRDefault="00CF0E2D" w:rsidP="00A60D4B">
      <w:pPr>
        <w:pStyle w:val="Bbodytext"/>
        <w:rPr>
          <w:szCs w:val="24"/>
        </w:rPr>
      </w:pPr>
      <w:r>
        <w:rPr>
          <w:szCs w:val="24"/>
        </w:rPr>
        <w:t>T</w:t>
      </w:r>
      <w:r w:rsidRPr="00317F2D">
        <w:rPr>
          <w:szCs w:val="24"/>
        </w:rPr>
        <w:t>he 2021-22 Budget support</w:t>
      </w:r>
      <w:r>
        <w:rPr>
          <w:szCs w:val="24"/>
        </w:rPr>
        <w:t>s</w:t>
      </w:r>
      <w:r w:rsidRPr="00317F2D">
        <w:rPr>
          <w:szCs w:val="24"/>
        </w:rPr>
        <w:t xml:space="preserve"> achievement of this aim </w:t>
      </w:r>
      <w:r>
        <w:rPr>
          <w:szCs w:val="24"/>
        </w:rPr>
        <w:t>by providing an additional $28 million, on top of COVID-19 emergency support funding, to help the medium to longer</w:t>
      </w:r>
      <w:r w:rsidR="00FA50A0">
        <w:rPr>
          <w:szCs w:val="24"/>
        </w:rPr>
        <w:noBreakHyphen/>
      </w:r>
      <w:r>
        <w:rPr>
          <w:szCs w:val="24"/>
        </w:rPr>
        <w:t>term recovery including</w:t>
      </w:r>
      <w:r w:rsidRPr="00317F2D">
        <w:rPr>
          <w:szCs w:val="24"/>
        </w:rPr>
        <w:t>:</w:t>
      </w:r>
    </w:p>
    <w:p w14:paraId="4A7DF0E9" w14:textId="77777777" w:rsidR="00CF0E2D" w:rsidRPr="00317F2D" w:rsidRDefault="00CF0E2D" w:rsidP="00CF0E2D">
      <w:pPr>
        <w:pStyle w:val="ListParagraph"/>
        <w:numPr>
          <w:ilvl w:val="0"/>
          <w:numId w:val="24"/>
        </w:numPr>
        <w:ind w:left="360"/>
        <w:rPr>
          <w:sz w:val="24"/>
          <w:szCs w:val="24"/>
        </w:rPr>
      </w:pPr>
      <w:r>
        <w:rPr>
          <w:noProof/>
        </w:rPr>
        <w:drawing>
          <wp:anchor distT="0" distB="0" distL="114300" distR="114300" simplePos="0" relativeHeight="251692032" behindDoc="0" locked="0" layoutInCell="1" allowOverlap="1" wp14:anchorId="70CC873C" wp14:editId="716D08EC">
            <wp:simplePos x="0" y="0"/>
            <wp:positionH relativeFrom="column">
              <wp:posOffset>4422775</wp:posOffset>
            </wp:positionH>
            <wp:positionV relativeFrom="paragraph">
              <wp:posOffset>17780</wp:posOffset>
            </wp:positionV>
            <wp:extent cx="1511300" cy="2057400"/>
            <wp:effectExtent l="0" t="0" r="0" b="0"/>
            <wp:wrapSquare wrapText="bothSides"/>
            <wp:docPr id="60" name="Govern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overnance.png"/>
                    <pic:cNvPicPr/>
                  </pic:nvPicPr>
                  <pic:blipFill>
                    <a:blip r:embed="rId107" r:link="rId108" cstate="print">
                      <a:extLst>
                        <a:ext uri="{28A0092B-C50C-407E-A947-70E740481C1C}">
                          <a14:useLocalDpi xmlns:a14="http://schemas.microsoft.com/office/drawing/2010/main" val="0"/>
                        </a:ext>
                      </a:extLst>
                    </a:blip>
                    <a:stretch>
                      <a:fillRect/>
                    </a:stretch>
                  </pic:blipFill>
                  <pic:spPr>
                    <a:xfrm>
                      <a:off x="0" y="0"/>
                      <a:ext cx="1511300" cy="2057400"/>
                    </a:xfrm>
                    <a:prstGeom prst="rect">
                      <a:avLst/>
                    </a:prstGeom>
                  </pic:spPr>
                </pic:pic>
              </a:graphicData>
            </a:graphic>
            <wp14:sizeRelH relativeFrom="page">
              <wp14:pctWidth>0</wp14:pctWidth>
            </wp14:sizeRelH>
            <wp14:sizeRelV relativeFrom="page">
              <wp14:pctHeight>0</wp14:pctHeight>
            </wp14:sizeRelV>
          </wp:anchor>
        </w:drawing>
      </w:r>
      <w:r w:rsidRPr="00317F2D">
        <w:rPr>
          <w:sz w:val="24"/>
          <w:szCs w:val="24"/>
        </w:rPr>
        <w:t>continuing to promote and stimulate international trade as international borders re</w:t>
      </w:r>
      <w:r>
        <w:rPr>
          <w:sz w:val="24"/>
          <w:szCs w:val="24"/>
        </w:rPr>
        <w:noBreakHyphen/>
      </w:r>
      <w:r w:rsidRPr="00317F2D">
        <w:rPr>
          <w:sz w:val="24"/>
          <w:szCs w:val="24"/>
        </w:rPr>
        <w:t>open, including continuation of a TradeStart Advisor, business development manager in Singapore, the International Business Engagement Program, and the Chief Minister’s Export Awards;</w:t>
      </w:r>
    </w:p>
    <w:p w14:paraId="5C8FE7D2" w14:textId="77777777" w:rsidR="00CF0E2D" w:rsidRPr="00317F2D" w:rsidRDefault="00CF0E2D" w:rsidP="00CF0E2D">
      <w:pPr>
        <w:pStyle w:val="ListParagraph"/>
        <w:numPr>
          <w:ilvl w:val="0"/>
          <w:numId w:val="24"/>
        </w:numPr>
        <w:ind w:left="360"/>
        <w:rPr>
          <w:sz w:val="24"/>
          <w:szCs w:val="24"/>
        </w:rPr>
      </w:pPr>
      <w:r w:rsidRPr="00317F2D">
        <w:rPr>
          <w:sz w:val="24"/>
          <w:szCs w:val="24"/>
        </w:rPr>
        <w:t>providing funding for a range of initiatives focused on supporting innovative business start</w:t>
      </w:r>
      <w:r w:rsidRPr="00317F2D">
        <w:rPr>
          <w:sz w:val="24"/>
          <w:szCs w:val="24"/>
        </w:rPr>
        <w:noBreakHyphen/>
        <w:t>ups, inward investment attraction, venture capital investment in Canberra-based companies, and the facilitation of infrastructure investments in the Territory;</w:t>
      </w:r>
    </w:p>
    <w:p w14:paraId="17BD4094" w14:textId="77777777" w:rsidR="00CF0E2D" w:rsidRPr="00317F2D" w:rsidRDefault="00CF0E2D" w:rsidP="00CF0E2D">
      <w:pPr>
        <w:pStyle w:val="ListParagraph"/>
        <w:numPr>
          <w:ilvl w:val="0"/>
          <w:numId w:val="24"/>
        </w:numPr>
        <w:ind w:left="360"/>
        <w:rPr>
          <w:sz w:val="24"/>
          <w:szCs w:val="24"/>
        </w:rPr>
      </w:pPr>
      <w:r w:rsidRPr="00317F2D">
        <w:rPr>
          <w:sz w:val="24"/>
          <w:szCs w:val="24"/>
        </w:rPr>
        <w:t>ongoing funding for Screen Canberra to grow the ACT screen industry, developing local capability and capacity and attracting screen production projects to Canberra; and</w:t>
      </w:r>
    </w:p>
    <w:p w14:paraId="526326B6" w14:textId="77777777" w:rsidR="00CF0E2D" w:rsidRPr="00317F2D" w:rsidRDefault="00CF0E2D" w:rsidP="00CF0E2D">
      <w:pPr>
        <w:pStyle w:val="ListParagraph"/>
        <w:numPr>
          <w:ilvl w:val="0"/>
          <w:numId w:val="24"/>
        </w:numPr>
        <w:ind w:left="360"/>
        <w:rPr>
          <w:sz w:val="24"/>
          <w:szCs w:val="24"/>
        </w:rPr>
      </w:pPr>
      <w:r w:rsidRPr="00317F2D">
        <w:rPr>
          <w:sz w:val="24"/>
          <w:szCs w:val="24"/>
        </w:rPr>
        <w:t>support to help the tourism sector recover and grow, including expanded destination marketing activities, support for the aviation sector</w:t>
      </w:r>
      <w:r>
        <w:rPr>
          <w:sz w:val="24"/>
          <w:szCs w:val="24"/>
        </w:rPr>
        <w:t>,</w:t>
      </w:r>
      <w:r w:rsidRPr="00317F2D">
        <w:rPr>
          <w:sz w:val="24"/>
          <w:szCs w:val="24"/>
        </w:rPr>
        <w:t xml:space="preserve"> continued support for the National Capital Educational Tourism Project</w:t>
      </w:r>
      <w:r>
        <w:rPr>
          <w:sz w:val="24"/>
          <w:szCs w:val="24"/>
        </w:rPr>
        <w:t>,</w:t>
      </w:r>
      <w:r w:rsidRPr="00317F2D">
        <w:rPr>
          <w:sz w:val="24"/>
          <w:szCs w:val="24"/>
        </w:rPr>
        <w:t xml:space="preserve"> resourcing to support the continuation of Brand Canberra</w:t>
      </w:r>
      <w:r>
        <w:rPr>
          <w:sz w:val="24"/>
          <w:szCs w:val="24"/>
        </w:rPr>
        <w:t>,</w:t>
      </w:r>
      <w:r w:rsidRPr="00317F2D">
        <w:rPr>
          <w:sz w:val="24"/>
          <w:szCs w:val="24"/>
        </w:rPr>
        <w:t xml:space="preserve"> and the extension of the Tourism Cooperative Marketing Fund.</w:t>
      </w:r>
    </w:p>
    <w:p w14:paraId="40D0EFC1" w14:textId="77777777" w:rsidR="00CF0E2D" w:rsidRDefault="00CF0E2D" w:rsidP="00A60D4B">
      <w:pPr>
        <w:pStyle w:val="Heading3"/>
      </w:pPr>
      <w:r w:rsidRPr="0087135C">
        <w:t>Investing in public services</w:t>
      </w:r>
    </w:p>
    <w:p w14:paraId="2A8A9E93" w14:textId="77777777" w:rsidR="00CF0E2D" w:rsidRDefault="00CF0E2D" w:rsidP="00A60D4B">
      <w:pPr>
        <w:pStyle w:val="Bbodytext"/>
        <w:rPr>
          <w:szCs w:val="24"/>
        </w:rPr>
      </w:pPr>
      <w:r w:rsidRPr="00317F2D">
        <w:rPr>
          <w:szCs w:val="24"/>
        </w:rPr>
        <w:t xml:space="preserve">The Government can only deliver its vision for an inclusive, innovative and sustainable Canberra if Government decisions and services are underpinned by strong performance frameworks and accountability for the outcomes being delivered. Good governance ensures that the community can have confidence that the Government and the public service take due care in making decisions and act with integrity and transparency. </w:t>
      </w:r>
    </w:p>
    <w:p w14:paraId="22F2309D" w14:textId="77777777" w:rsidR="00CF0E2D" w:rsidRDefault="00CF0E2D" w:rsidP="00A60D4B">
      <w:pPr>
        <w:pStyle w:val="Bbodytext"/>
        <w:rPr>
          <w:szCs w:val="24"/>
        </w:rPr>
      </w:pPr>
      <w:r w:rsidRPr="00317F2D">
        <w:rPr>
          <w:szCs w:val="24"/>
        </w:rPr>
        <w:t>Through participatory democracy projects and the establishment of the YourSay Panel, the Government continues to draw on the diverse talents and experiences of Canberrans to help shape our city.</w:t>
      </w:r>
    </w:p>
    <w:p w14:paraId="403FCE41" w14:textId="77777777" w:rsidR="00CF0E2D" w:rsidRDefault="00CF0E2D" w:rsidP="00A60D4B">
      <w:pPr>
        <w:pStyle w:val="Bbodytext"/>
        <w:rPr>
          <w:szCs w:val="24"/>
        </w:rPr>
      </w:pPr>
      <w:r>
        <w:rPr>
          <w:szCs w:val="24"/>
        </w:rPr>
        <w:t xml:space="preserve">In recent years, </w:t>
      </w:r>
      <w:r w:rsidRPr="00A62771">
        <w:rPr>
          <w:szCs w:val="24"/>
        </w:rPr>
        <w:t xml:space="preserve">two </w:t>
      </w:r>
      <w:r>
        <w:rPr>
          <w:szCs w:val="24"/>
        </w:rPr>
        <w:t>g</w:t>
      </w:r>
      <w:r w:rsidRPr="00A62771">
        <w:rPr>
          <w:szCs w:val="24"/>
        </w:rPr>
        <w:t xml:space="preserve">overnment office precincts in Civic and Dickson </w:t>
      </w:r>
      <w:r>
        <w:rPr>
          <w:szCs w:val="24"/>
        </w:rPr>
        <w:t>have been</w:t>
      </w:r>
      <w:r w:rsidRPr="00A62771">
        <w:rPr>
          <w:szCs w:val="24"/>
        </w:rPr>
        <w:t xml:space="preserve"> completed,</w:t>
      </w:r>
      <w:r>
        <w:rPr>
          <w:szCs w:val="24"/>
        </w:rPr>
        <w:t xml:space="preserve"> contributing to the</w:t>
      </w:r>
      <w:r w:rsidRPr="00A62771">
        <w:rPr>
          <w:szCs w:val="24"/>
        </w:rPr>
        <w:t xml:space="preserve"> broader revitalisation of th</w:t>
      </w:r>
      <w:r>
        <w:rPr>
          <w:szCs w:val="24"/>
        </w:rPr>
        <w:t xml:space="preserve">e </w:t>
      </w:r>
      <w:r w:rsidRPr="00A62771">
        <w:rPr>
          <w:szCs w:val="24"/>
        </w:rPr>
        <w:t xml:space="preserve">Northbourne Avenue corridor. </w:t>
      </w:r>
    </w:p>
    <w:p w14:paraId="6AD85792" w14:textId="77777777" w:rsidR="00CF0E2D" w:rsidRPr="00317F2D" w:rsidRDefault="00CF0E2D" w:rsidP="00A60D4B">
      <w:pPr>
        <w:pStyle w:val="Bbodytext"/>
        <w:rPr>
          <w:szCs w:val="24"/>
        </w:rPr>
      </w:pPr>
      <w:r w:rsidRPr="00317F2D">
        <w:rPr>
          <w:szCs w:val="24"/>
        </w:rPr>
        <w:lastRenderedPageBreak/>
        <w:t>COVID-19 has changed so many aspects of our lives, and the way that the ACT Government engages with its community has been at the forefront of these changes. Throughout 2020 and 2021, the Government implemented significant reforms to move processes and transactions online. Through Access Canberra, Canberrans can now undertake 450</w:t>
      </w:r>
      <w:r>
        <w:rPr>
          <w:szCs w:val="24"/>
        </w:rPr>
        <w:t> </w:t>
      </w:r>
      <w:r w:rsidRPr="00317F2D">
        <w:rPr>
          <w:szCs w:val="24"/>
        </w:rPr>
        <w:t>transactions online – making services easier, safer and more convenient.</w:t>
      </w:r>
    </w:p>
    <w:p w14:paraId="08A47294" w14:textId="77777777" w:rsidR="00CF0E2D" w:rsidRDefault="00CF0E2D" w:rsidP="00A60D4B">
      <w:pPr>
        <w:pStyle w:val="Heading4"/>
      </w:pPr>
      <w:r>
        <w:t xml:space="preserve">2021-22 Budget </w:t>
      </w:r>
    </w:p>
    <w:p w14:paraId="27CC5908" w14:textId="77777777" w:rsidR="00CF0E2D" w:rsidRDefault="00CF0E2D" w:rsidP="00A60D4B">
      <w:pPr>
        <w:pStyle w:val="Bbodytext"/>
        <w:rPr>
          <w:szCs w:val="24"/>
        </w:rPr>
      </w:pPr>
      <w:r w:rsidRPr="00317F2D">
        <w:rPr>
          <w:szCs w:val="24"/>
        </w:rPr>
        <w:t xml:space="preserve">A strong public service benefits all members of the community by enabling the provision of timely, targeted and quality services. </w:t>
      </w:r>
    </w:p>
    <w:p w14:paraId="65804366" w14:textId="77777777" w:rsidR="00CF0E2D" w:rsidRPr="00317F2D" w:rsidRDefault="00CF0E2D" w:rsidP="00A60D4B">
      <w:pPr>
        <w:pStyle w:val="Bbodytext"/>
        <w:rPr>
          <w:szCs w:val="24"/>
        </w:rPr>
      </w:pPr>
      <w:r w:rsidRPr="00317F2D">
        <w:rPr>
          <w:szCs w:val="24"/>
        </w:rPr>
        <w:t>To ensure the Government can continue to respond to both the challenges of the current public health emergency and longer-term needs, the 2021-22 Budget provides support across many areas of the ACT public service, including:</w:t>
      </w:r>
    </w:p>
    <w:p w14:paraId="04A68271" w14:textId="77777777" w:rsidR="00CF0E2D" w:rsidRPr="00317F2D" w:rsidRDefault="00CF0E2D" w:rsidP="00CF0E2D">
      <w:pPr>
        <w:pStyle w:val="ListParagraph"/>
        <w:numPr>
          <w:ilvl w:val="0"/>
          <w:numId w:val="24"/>
        </w:numPr>
        <w:ind w:left="360"/>
        <w:rPr>
          <w:sz w:val="24"/>
          <w:szCs w:val="24"/>
        </w:rPr>
      </w:pPr>
      <w:r w:rsidRPr="00317F2D">
        <w:rPr>
          <w:sz w:val="24"/>
          <w:szCs w:val="24"/>
        </w:rPr>
        <w:t>supporting job creation through record investments in our public health and education systems, as well as public housing;</w:t>
      </w:r>
    </w:p>
    <w:p w14:paraId="02E6C920" w14:textId="77777777" w:rsidR="00CF0E2D" w:rsidRPr="00317F2D" w:rsidRDefault="00CF0E2D" w:rsidP="00CF0E2D">
      <w:pPr>
        <w:pStyle w:val="ListParagraph"/>
        <w:numPr>
          <w:ilvl w:val="0"/>
          <w:numId w:val="24"/>
        </w:numPr>
        <w:ind w:left="360"/>
        <w:rPr>
          <w:sz w:val="24"/>
          <w:szCs w:val="24"/>
        </w:rPr>
      </w:pPr>
      <w:r w:rsidRPr="00317F2D">
        <w:rPr>
          <w:sz w:val="24"/>
          <w:szCs w:val="24"/>
        </w:rPr>
        <w:t xml:space="preserve">funding to support a range of services related to the COVID-19 pandemic and ongoing response. This includes continued security arrangements at Access Canberra Service Centres </w:t>
      </w:r>
      <w:r>
        <w:rPr>
          <w:sz w:val="24"/>
          <w:szCs w:val="24"/>
        </w:rPr>
        <w:t xml:space="preserve">and </w:t>
      </w:r>
      <w:r w:rsidRPr="00317F2D">
        <w:rPr>
          <w:sz w:val="24"/>
          <w:szCs w:val="24"/>
        </w:rPr>
        <w:t>additional cleaning services for ACT Public Service workplaces, libraries, public barbeques and playgrounds;</w:t>
      </w:r>
    </w:p>
    <w:p w14:paraId="6ABE7A35" w14:textId="77777777" w:rsidR="00CF0E2D" w:rsidRPr="00317F2D" w:rsidRDefault="00CF0E2D" w:rsidP="00CF0E2D">
      <w:pPr>
        <w:pStyle w:val="ListParagraph"/>
        <w:numPr>
          <w:ilvl w:val="0"/>
          <w:numId w:val="24"/>
        </w:numPr>
        <w:ind w:left="360"/>
        <w:rPr>
          <w:sz w:val="24"/>
          <w:szCs w:val="24"/>
        </w:rPr>
      </w:pPr>
      <w:r w:rsidRPr="00317F2D">
        <w:rPr>
          <w:sz w:val="24"/>
          <w:szCs w:val="24"/>
        </w:rPr>
        <w:t>funding to strengthen data analytics capability and digital solutions across a range of government services;</w:t>
      </w:r>
    </w:p>
    <w:p w14:paraId="28633C31" w14:textId="77777777" w:rsidR="00CF0E2D" w:rsidRPr="00317F2D" w:rsidRDefault="00CF0E2D" w:rsidP="00CF0E2D">
      <w:pPr>
        <w:pStyle w:val="ListParagraph"/>
        <w:numPr>
          <w:ilvl w:val="0"/>
          <w:numId w:val="24"/>
        </w:numPr>
        <w:ind w:left="360"/>
        <w:rPr>
          <w:sz w:val="24"/>
          <w:szCs w:val="24"/>
        </w:rPr>
      </w:pPr>
      <w:r w:rsidRPr="00317F2D">
        <w:rPr>
          <w:sz w:val="24"/>
          <w:szCs w:val="24"/>
        </w:rPr>
        <w:t xml:space="preserve">funding to digitise a range of government services; </w:t>
      </w:r>
    </w:p>
    <w:p w14:paraId="0208F4BA" w14:textId="77777777" w:rsidR="00CF0E2D" w:rsidRDefault="00CF0E2D" w:rsidP="00CF0E2D">
      <w:pPr>
        <w:pStyle w:val="ListParagraph"/>
        <w:numPr>
          <w:ilvl w:val="0"/>
          <w:numId w:val="24"/>
        </w:numPr>
        <w:ind w:left="360"/>
        <w:rPr>
          <w:sz w:val="24"/>
          <w:szCs w:val="24"/>
        </w:rPr>
      </w:pPr>
      <w:r w:rsidRPr="00317F2D">
        <w:rPr>
          <w:sz w:val="24"/>
          <w:szCs w:val="24"/>
        </w:rPr>
        <w:t>funding to strengthen accountability and transparency across government, including additional support for the ACT Audit Office, the ACT Integrity Commission and the ACT Ombudsman</w:t>
      </w:r>
      <w:r>
        <w:rPr>
          <w:sz w:val="24"/>
          <w:szCs w:val="24"/>
        </w:rPr>
        <w:t>; and</w:t>
      </w:r>
    </w:p>
    <w:p w14:paraId="2CA13DA4" w14:textId="77777777" w:rsidR="00CF0E2D" w:rsidRPr="00281E57" w:rsidRDefault="00CF0E2D" w:rsidP="00CF0E2D">
      <w:pPr>
        <w:pStyle w:val="ListParagraph"/>
        <w:numPr>
          <w:ilvl w:val="0"/>
          <w:numId w:val="24"/>
        </w:numPr>
        <w:ind w:left="360"/>
      </w:pPr>
      <w:r>
        <w:rPr>
          <w:noProof/>
        </w:rPr>
        <w:drawing>
          <wp:anchor distT="0" distB="0" distL="114300" distR="114300" simplePos="0" relativeHeight="251713536" behindDoc="0" locked="0" layoutInCell="1" allowOverlap="1" wp14:anchorId="7EFC36F3" wp14:editId="2CD4F3CD">
            <wp:simplePos x="0" y="0"/>
            <wp:positionH relativeFrom="margin">
              <wp:align>center</wp:align>
            </wp:positionH>
            <wp:positionV relativeFrom="paragraph">
              <wp:posOffset>337589</wp:posOffset>
            </wp:positionV>
            <wp:extent cx="4996815" cy="3324860"/>
            <wp:effectExtent l="0" t="0" r="0" b="889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996815" cy="3324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1F34">
        <w:rPr>
          <w:sz w:val="24"/>
          <w:szCs w:val="24"/>
        </w:rPr>
        <w:t>funding for further consolidation of ACT Public Service accommodation.</w:t>
      </w:r>
    </w:p>
    <w:p w14:paraId="3DE6A12A" w14:textId="4983142E" w:rsidR="00CF0E2D" w:rsidRDefault="00CF0E2D">
      <w:pPr>
        <w:rPr>
          <w:sz w:val="24"/>
        </w:rPr>
      </w:pPr>
      <w:r>
        <w:br w:type="page"/>
      </w:r>
    </w:p>
    <w:p w14:paraId="75A2C98A" w14:textId="77777777" w:rsidR="00CF0E2D" w:rsidRDefault="00CF0E2D" w:rsidP="009F3D46">
      <w:pPr>
        <w:pStyle w:val="Bbodytext"/>
        <w:sectPr w:rsidR="00CF0E2D" w:rsidSect="00542DA2">
          <w:footerReference w:type="default" r:id="rId110"/>
          <w:pgSz w:w="11906" w:h="16838" w:code="9"/>
          <w:pgMar w:top="1151" w:right="1440" w:bottom="1729" w:left="1440" w:header="720" w:footer="720" w:gutter="0"/>
          <w:cols w:space="708"/>
          <w:docGrid w:linePitch="360"/>
        </w:sectPr>
      </w:pPr>
    </w:p>
    <w:p w14:paraId="76567378" w14:textId="77777777" w:rsidR="00CF0E2D" w:rsidRDefault="00CF0E2D" w:rsidP="009F3D46">
      <w:pPr>
        <w:pStyle w:val="Bbodytext"/>
        <w:sectPr w:rsidR="00CF0E2D" w:rsidSect="00542DA2">
          <w:pgSz w:w="11906" w:h="16838" w:code="9"/>
          <w:pgMar w:top="1151" w:right="1440" w:bottom="1729" w:left="1440" w:header="720" w:footer="720" w:gutter="0"/>
          <w:cols w:space="708"/>
          <w:docGrid w:linePitch="360"/>
        </w:sectPr>
      </w:pPr>
    </w:p>
    <w:p w14:paraId="4BB6B9F3" w14:textId="77777777" w:rsidR="00CF0E2D" w:rsidRDefault="00CF0E2D" w:rsidP="007D2584">
      <w:pPr>
        <w:pStyle w:val="Heading3"/>
      </w:pPr>
      <w:r>
        <w:lastRenderedPageBreak/>
        <w:t>New policy decisions</w:t>
      </w:r>
    </w:p>
    <w:p w14:paraId="3C088E66" w14:textId="77777777" w:rsidR="00CF0E2D" w:rsidRDefault="00CF0E2D" w:rsidP="00A60D4B"/>
    <w:p w14:paraId="2F4BA0D8" w14:textId="4C719471" w:rsidR="00CF0E2D" w:rsidRPr="00AA559C" w:rsidRDefault="00CF0E2D" w:rsidP="00A60D4B">
      <w:pPr>
        <w:pStyle w:val="Caption"/>
      </w:pPr>
      <w:r w:rsidRPr="00111524">
        <w:t xml:space="preserve">Table </w:t>
      </w:r>
      <w:r w:rsidR="00FB4E5C">
        <w:fldChar w:fldCharType="begin"/>
      </w:r>
      <w:r w:rsidR="00FB4E5C">
        <w:instrText xml:space="preserve"> STYLEREF 2 \s </w:instrText>
      </w:r>
      <w:r w:rsidR="00FB4E5C">
        <w:fldChar w:fldCharType="separate"/>
      </w:r>
      <w:r w:rsidR="00F12A80">
        <w:rPr>
          <w:noProof/>
        </w:rPr>
        <w:t>3.2</w:t>
      </w:r>
      <w:r w:rsidR="00FB4E5C">
        <w:rPr>
          <w:noProof/>
        </w:rPr>
        <w:fldChar w:fldCharType="end"/>
      </w:r>
      <w:r w:rsidR="00955708">
        <w:rPr>
          <w:noProof/>
        </w:rPr>
        <w:t>.</w:t>
      </w:r>
      <w:r w:rsidR="00FB4E5C">
        <w:fldChar w:fldCharType="begin"/>
      </w:r>
      <w:r w:rsidR="00FB4E5C">
        <w:instrText xml:space="preserve"> SEQ Table \* ARABIC \s 2 </w:instrText>
      </w:r>
      <w:r w:rsidR="00FB4E5C">
        <w:fldChar w:fldCharType="separate"/>
      </w:r>
      <w:r w:rsidR="00F12A80">
        <w:rPr>
          <w:noProof/>
        </w:rPr>
        <w:t>1</w:t>
      </w:r>
      <w:r w:rsidR="00FB4E5C">
        <w:rPr>
          <w:noProof/>
        </w:rPr>
        <w:fldChar w:fldCharType="end"/>
      </w:r>
      <w:r w:rsidRPr="00111524">
        <w:t xml:space="preserve"> </w:t>
      </w:r>
      <w:r w:rsidRPr="00AA559C">
        <w:t>Financial impacts of new policy decisions</w:t>
      </w:r>
    </w:p>
    <w:tbl>
      <w:tblPr>
        <w:tblW w:w="9073"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3261"/>
        <w:gridCol w:w="1162"/>
        <w:gridCol w:w="1162"/>
        <w:gridCol w:w="1162"/>
        <w:gridCol w:w="1163"/>
        <w:gridCol w:w="1163"/>
      </w:tblGrid>
      <w:tr w:rsidR="00CF0E2D" w:rsidRPr="008F5D57" w14:paraId="4C72AD9F" w14:textId="77777777" w:rsidTr="00A60D4B">
        <w:trPr>
          <w:trHeight w:val="156"/>
        </w:trPr>
        <w:tc>
          <w:tcPr>
            <w:tcW w:w="3261" w:type="dxa"/>
            <w:tcBorders>
              <w:bottom w:val="single" w:sz="4" w:space="0" w:color="auto"/>
            </w:tcBorders>
            <w:shd w:val="clear" w:color="auto" w:fill="472D8C"/>
          </w:tcPr>
          <w:p w14:paraId="03664462" w14:textId="77777777" w:rsidR="00CF0E2D" w:rsidRPr="00111524" w:rsidRDefault="00CF0E2D" w:rsidP="00A60D4B">
            <w:pPr>
              <w:rPr>
                <w:rFonts w:cs="Calibri"/>
                <w:b/>
                <w:color w:val="FFFFFF" w:themeColor="background1"/>
                <w:sz w:val="20"/>
              </w:rPr>
            </w:pPr>
          </w:p>
        </w:tc>
        <w:tc>
          <w:tcPr>
            <w:tcW w:w="1162" w:type="dxa"/>
            <w:tcBorders>
              <w:bottom w:val="single" w:sz="4" w:space="0" w:color="auto"/>
            </w:tcBorders>
            <w:shd w:val="clear" w:color="auto" w:fill="472D8C"/>
          </w:tcPr>
          <w:p w14:paraId="055A02C7" w14:textId="77777777" w:rsidR="00CF0E2D" w:rsidRDefault="00CF0E2D" w:rsidP="00A60D4B">
            <w:pPr>
              <w:pStyle w:val="BTableHeadingRowRightAligned"/>
              <w:rPr>
                <w:color w:val="FFFFFF" w:themeColor="background1"/>
              </w:rPr>
            </w:pPr>
            <w:r w:rsidRPr="00111524">
              <w:rPr>
                <w:color w:val="FFFFFF" w:themeColor="background1"/>
              </w:rPr>
              <w:t>2021-22</w:t>
            </w:r>
          </w:p>
          <w:p w14:paraId="69292EFC" w14:textId="77777777" w:rsidR="00CF0E2D" w:rsidRPr="00111524" w:rsidRDefault="00CF0E2D" w:rsidP="00A60D4B">
            <w:pPr>
              <w:pStyle w:val="BTableHeadingRowRightAligned"/>
              <w:rPr>
                <w:color w:val="FFFFFF" w:themeColor="background1"/>
              </w:rPr>
            </w:pPr>
            <w:r>
              <w:rPr>
                <w:color w:val="FFFFFF" w:themeColor="background1"/>
              </w:rPr>
              <w:t>Budget</w:t>
            </w:r>
          </w:p>
          <w:p w14:paraId="6BFC5734" w14:textId="77777777" w:rsidR="00CF0E2D" w:rsidRPr="00111524" w:rsidRDefault="00CF0E2D" w:rsidP="00A60D4B">
            <w:pPr>
              <w:pStyle w:val="BTableHeadingRowRightAligned"/>
              <w:rPr>
                <w:color w:val="FFFFFF" w:themeColor="background1"/>
              </w:rPr>
            </w:pPr>
            <w:r>
              <w:rPr>
                <w:color w:val="FFFFFF" w:themeColor="background1"/>
              </w:rPr>
              <w:t>$’000</w:t>
            </w:r>
          </w:p>
        </w:tc>
        <w:tc>
          <w:tcPr>
            <w:tcW w:w="1162" w:type="dxa"/>
            <w:tcBorders>
              <w:bottom w:val="single" w:sz="4" w:space="0" w:color="auto"/>
            </w:tcBorders>
            <w:shd w:val="clear" w:color="auto" w:fill="472D8C"/>
          </w:tcPr>
          <w:p w14:paraId="4AAA680A" w14:textId="77777777" w:rsidR="00CF0E2D" w:rsidRDefault="00CF0E2D" w:rsidP="00A60D4B">
            <w:pPr>
              <w:pStyle w:val="BTableHeadingRowRightAligned"/>
              <w:rPr>
                <w:color w:val="FFFFFF" w:themeColor="background1"/>
              </w:rPr>
            </w:pPr>
            <w:r w:rsidRPr="00111524">
              <w:rPr>
                <w:color w:val="FFFFFF" w:themeColor="background1"/>
              </w:rPr>
              <w:t>2022-23</w:t>
            </w:r>
          </w:p>
          <w:p w14:paraId="0666351B" w14:textId="77777777" w:rsidR="00CF0E2D" w:rsidRPr="00111524" w:rsidRDefault="00CF0E2D" w:rsidP="00A60D4B">
            <w:pPr>
              <w:pStyle w:val="BTableHeadingRowRightAligned"/>
              <w:rPr>
                <w:color w:val="FFFFFF" w:themeColor="background1"/>
              </w:rPr>
            </w:pPr>
            <w:r>
              <w:rPr>
                <w:color w:val="FFFFFF" w:themeColor="background1"/>
              </w:rPr>
              <w:t>Estimate</w:t>
            </w:r>
          </w:p>
          <w:p w14:paraId="1A100EC0" w14:textId="77777777" w:rsidR="00CF0E2D" w:rsidRPr="00111524" w:rsidRDefault="00CF0E2D" w:rsidP="00A60D4B">
            <w:pPr>
              <w:pStyle w:val="BTableHeadingRowRightAligned"/>
              <w:rPr>
                <w:color w:val="FFFFFF" w:themeColor="background1"/>
              </w:rPr>
            </w:pPr>
            <w:r>
              <w:rPr>
                <w:color w:val="FFFFFF" w:themeColor="background1"/>
              </w:rPr>
              <w:t>$’000</w:t>
            </w:r>
          </w:p>
        </w:tc>
        <w:tc>
          <w:tcPr>
            <w:tcW w:w="1162" w:type="dxa"/>
            <w:tcBorders>
              <w:bottom w:val="single" w:sz="4" w:space="0" w:color="auto"/>
            </w:tcBorders>
            <w:shd w:val="clear" w:color="auto" w:fill="472D8C"/>
          </w:tcPr>
          <w:p w14:paraId="7512893B" w14:textId="77777777" w:rsidR="00CF0E2D" w:rsidRDefault="00CF0E2D" w:rsidP="00A60D4B">
            <w:pPr>
              <w:pStyle w:val="BTableHeadingRowRightAligned"/>
              <w:rPr>
                <w:color w:val="FFFFFF" w:themeColor="background1"/>
              </w:rPr>
            </w:pPr>
            <w:r w:rsidRPr="00111524">
              <w:rPr>
                <w:color w:val="FFFFFF" w:themeColor="background1"/>
              </w:rPr>
              <w:t>2023-24</w:t>
            </w:r>
          </w:p>
          <w:p w14:paraId="63278016" w14:textId="77777777" w:rsidR="00CF0E2D" w:rsidRPr="00111524" w:rsidRDefault="00CF0E2D" w:rsidP="00A60D4B">
            <w:pPr>
              <w:pStyle w:val="BTableHeadingRowRightAligned"/>
              <w:rPr>
                <w:color w:val="FFFFFF" w:themeColor="background1"/>
              </w:rPr>
            </w:pPr>
            <w:r>
              <w:rPr>
                <w:color w:val="FFFFFF" w:themeColor="background1"/>
              </w:rPr>
              <w:t>Estimate</w:t>
            </w:r>
          </w:p>
          <w:p w14:paraId="7D69BC4E" w14:textId="77777777" w:rsidR="00CF0E2D" w:rsidRPr="00111524" w:rsidRDefault="00CF0E2D" w:rsidP="00A60D4B">
            <w:pPr>
              <w:pStyle w:val="BTableHeadingRowRightAligned"/>
              <w:rPr>
                <w:color w:val="FFFFFF" w:themeColor="background1"/>
              </w:rPr>
            </w:pPr>
            <w:r>
              <w:rPr>
                <w:color w:val="FFFFFF" w:themeColor="background1"/>
              </w:rPr>
              <w:t>$’000</w:t>
            </w:r>
          </w:p>
        </w:tc>
        <w:tc>
          <w:tcPr>
            <w:tcW w:w="1163" w:type="dxa"/>
            <w:tcBorders>
              <w:bottom w:val="single" w:sz="4" w:space="0" w:color="auto"/>
            </w:tcBorders>
            <w:shd w:val="clear" w:color="auto" w:fill="472D8C"/>
          </w:tcPr>
          <w:p w14:paraId="5C6A0740" w14:textId="77777777" w:rsidR="00CF0E2D" w:rsidRDefault="00CF0E2D" w:rsidP="00A60D4B">
            <w:pPr>
              <w:pStyle w:val="BTableHeadingRowRightAligned"/>
              <w:rPr>
                <w:color w:val="FFFFFF" w:themeColor="background1"/>
              </w:rPr>
            </w:pPr>
            <w:r w:rsidRPr="00111524">
              <w:rPr>
                <w:color w:val="FFFFFF" w:themeColor="background1"/>
              </w:rPr>
              <w:t>202</w:t>
            </w:r>
            <w:r>
              <w:rPr>
                <w:color w:val="FFFFFF" w:themeColor="background1"/>
              </w:rPr>
              <w:t>4</w:t>
            </w:r>
            <w:r w:rsidRPr="00111524">
              <w:rPr>
                <w:color w:val="FFFFFF" w:themeColor="background1"/>
              </w:rPr>
              <w:t>-2</w:t>
            </w:r>
            <w:r>
              <w:rPr>
                <w:color w:val="FFFFFF" w:themeColor="background1"/>
              </w:rPr>
              <w:t>5</w:t>
            </w:r>
          </w:p>
          <w:p w14:paraId="6AA51975" w14:textId="77777777" w:rsidR="00CF0E2D" w:rsidRPr="00111524" w:rsidRDefault="00CF0E2D" w:rsidP="00A60D4B">
            <w:pPr>
              <w:pStyle w:val="BTableHeadingRowRightAligned"/>
              <w:rPr>
                <w:color w:val="FFFFFF" w:themeColor="background1"/>
              </w:rPr>
            </w:pPr>
            <w:r>
              <w:rPr>
                <w:color w:val="FFFFFF" w:themeColor="background1"/>
              </w:rPr>
              <w:t>Estimate</w:t>
            </w:r>
          </w:p>
          <w:p w14:paraId="5ACE9D55" w14:textId="77777777" w:rsidR="00CF0E2D" w:rsidRPr="00111524" w:rsidRDefault="00CF0E2D" w:rsidP="00A60D4B">
            <w:pPr>
              <w:pStyle w:val="BTableHeadingRowRightAligned"/>
              <w:rPr>
                <w:color w:val="FFFFFF" w:themeColor="background1"/>
              </w:rPr>
            </w:pPr>
            <w:r>
              <w:rPr>
                <w:color w:val="FFFFFF" w:themeColor="background1"/>
              </w:rPr>
              <w:t>$’000</w:t>
            </w:r>
          </w:p>
        </w:tc>
        <w:tc>
          <w:tcPr>
            <w:tcW w:w="1163" w:type="dxa"/>
            <w:tcBorders>
              <w:bottom w:val="single" w:sz="4" w:space="0" w:color="auto"/>
            </w:tcBorders>
            <w:shd w:val="clear" w:color="auto" w:fill="472D8C"/>
          </w:tcPr>
          <w:p w14:paraId="43769B13" w14:textId="77777777" w:rsidR="00CF0E2D" w:rsidRDefault="00CF0E2D" w:rsidP="00A60D4B">
            <w:pPr>
              <w:pStyle w:val="BTableHeadingRowRightAligned"/>
              <w:rPr>
                <w:color w:val="FFFFFF" w:themeColor="background1"/>
              </w:rPr>
            </w:pPr>
            <w:r>
              <w:rPr>
                <w:color w:val="FFFFFF" w:themeColor="background1"/>
              </w:rPr>
              <w:t>Total</w:t>
            </w:r>
          </w:p>
          <w:p w14:paraId="3827EF89" w14:textId="77777777" w:rsidR="00CF0E2D" w:rsidRDefault="00CF0E2D" w:rsidP="00A60D4B">
            <w:pPr>
              <w:pStyle w:val="BTableHeadingRowRightAligned"/>
              <w:rPr>
                <w:color w:val="FFFFFF" w:themeColor="background1"/>
              </w:rPr>
            </w:pPr>
          </w:p>
          <w:p w14:paraId="6F1D271E" w14:textId="77777777" w:rsidR="00CF0E2D" w:rsidRPr="00111524" w:rsidRDefault="00CF0E2D" w:rsidP="00A60D4B">
            <w:pPr>
              <w:pStyle w:val="BTableHeadingRowRightAligned"/>
              <w:rPr>
                <w:color w:val="FFFFFF" w:themeColor="background1"/>
              </w:rPr>
            </w:pPr>
            <w:r>
              <w:rPr>
                <w:color w:val="FFFFFF" w:themeColor="background1"/>
              </w:rPr>
              <w:t>$’000</w:t>
            </w:r>
          </w:p>
        </w:tc>
      </w:tr>
      <w:tr w:rsidR="00CF0E2D" w:rsidRPr="00337DC9" w14:paraId="76E0673B" w14:textId="77777777" w:rsidTr="00A60D4B">
        <w:trPr>
          <w:trHeight w:val="397"/>
        </w:trPr>
        <w:tc>
          <w:tcPr>
            <w:tcW w:w="3261" w:type="dxa"/>
            <w:tcBorders>
              <w:top w:val="nil"/>
              <w:bottom w:val="nil"/>
            </w:tcBorders>
            <w:vAlign w:val="bottom"/>
          </w:tcPr>
          <w:p w14:paraId="667B9330" w14:textId="77777777" w:rsidR="00CF0E2D" w:rsidRPr="00EC74DB" w:rsidRDefault="00CF0E2D" w:rsidP="00A60D4B">
            <w:pPr>
              <w:pStyle w:val="Btabletextbold"/>
            </w:pPr>
            <w:r>
              <w:t>Expenses</w:t>
            </w:r>
          </w:p>
        </w:tc>
        <w:tc>
          <w:tcPr>
            <w:tcW w:w="1162" w:type="dxa"/>
            <w:tcBorders>
              <w:bottom w:val="nil"/>
            </w:tcBorders>
            <w:shd w:val="clear" w:color="auto" w:fill="auto"/>
          </w:tcPr>
          <w:p w14:paraId="2DCA7DE4" w14:textId="77777777" w:rsidR="00CF0E2D" w:rsidRPr="009E5C0D" w:rsidRDefault="00CF0E2D" w:rsidP="00A60D4B">
            <w:pPr>
              <w:pStyle w:val="Btablefigureunbold"/>
              <w:rPr>
                <w:szCs w:val="20"/>
              </w:rPr>
            </w:pPr>
          </w:p>
        </w:tc>
        <w:tc>
          <w:tcPr>
            <w:tcW w:w="1162" w:type="dxa"/>
            <w:tcBorders>
              <w:bottom w:val="nil"/>
            </w:tcBorders>
            <w:shd w:val="clear" w:color="472D8C" w:fill="auto"/>
          </w:tcPr>
          <w:p w14:paraId="4C4C6B6B" w14:textId="77777777" w:rsidR="00CF0E2D" w:rsidRPr="009E5C0D" w:rsidRDefault="00CF0E2D" w:rsidP="00A60D4B">
            <w:pPr>
              <w:pStyle w:val="Btablefigureunbold"/>
              <w:rPr>
                <w:color w:val="000000"/>
                <w:szCs w:val="20"/>
              </w:rPr>
            </w:pPr>
          </w:p>
        </w:tc>
        <w:tc>
          <w:tcPr>
            <w:tcW w:w="1162" w:type="dxa"/>
            <w:tcBorders>
              <w:bottom w:val="nil"/>
            </w:tcBorders>
            <w:shd w:val="clear" w:color="auto" w:fill="auto"/>
          </w:tcPr>
          <w:p w14:paraId="2AC1CEAD" w14:textId="77777777" w:rsidR="00CF0E2D" w:rsidRPr="009E5C0D" w:rsidRDefault="00CF0E2D" w:rsidP="00A60D4B">
            <w:pPr>
              <w:pStyle w:val="Btablefigureunbold"/>
              <w:rPr>
                <w:szCs w:val="20"/>
              </w:rPr>
            </w:pPr>
          </w:p>
        </w:tc>
        <w:tc>
          <w:tcPr>
            <w:tcW w:w="1163" w:type="dxa"/>
            <w:tcBorders>
              <w:bottom w:val="nil"/>
            </w:tcBorders>
          </w:tcPr>
          <w:p w14:paraId="68227E6A" w14:textId="77777777" w:rsidR="00CF0E2D" w:rsidRPr="009E5C0D" w:rsidRDefault="00CF0E2D" w:rsidP="00A60D4B">
            <w:pPr>
              <w:pStyle w:val="Btablefigureunbold"/>
              <w:rPr>
                <w:szCs w:val="20"/>
              </w:rPr>
            </w:pPr>
          </w:p>
        </w:tc>
        <w:tc>
          <w:tcPr>
            <w:tcW w:w="1163" w:type="dxa"/>
            <w:tcBorders>
              <w:bottom w:val="nil"/>
            </w:tcBorders>
          </w:tcPr>
          <w:p w14:paraId="0E5891DC" w14:textId="77777777" w:rsidR="00CF0E2D" w:rsidRPr="009E5C0D" w:rsidRDefault="00CF0E2D" w:rsidP="00A60D4B">
            <w:pPr>
              <w:pStyle w:val="Btablefigureunbold"/>
              <w:rPr>
                <w:b/>
                <w:bCs/>
                <w:szCs w:val="20"/>
              </w:rPr>
            </w:pPr>
          </w:p>
        </w:tc>
      </w:tr>
      <w:tr w:rsidR="00CF0E2D" w:rsidRPr="00337DC9" w14:paraId="6CBEA68C" w14:textId="77777777" w:rsidTr="00A60D4B">
        <w:trPr>
          <w:trHeight w:val="270"/>
        </w:trPr>
        <w:tc>
          <w:tcPr>
            <w:tcW w:w="3261" w:type="dxa"/>
            <w:tcBorders>
              <w:top w:val="nil"/>
              <w:bottom w:val="nil"/>
            </w:tcBorders>
          </w:tcPr>
          <w:p w14:paraId="19E5391F" w14:textId="77777777" w:rsidR="00CF0E2D" w:rsidRPr="00EC74DB" w:rsidRDefault="00CF0E2D" w:rsidP="00A60D4B">
            <w:pPr>
              <w:pStyle w:val="Btabletextunbold"/>
              <w:ind w:left="314" w:hanging="142"/>
            </w:pPr>
            <w:r>
              <w:t>Expenses</w:t>
            </w:r>
          </w:p>
        </w:tc>
        <w:tc>
          <w:tcPr>
            <w:tcW w:w="1162" w:type="dxa"/>
            <w:tcBorders>
              <w:top w:val="nil"/>
              <w:left w:val="nil"/>
              <w:bottom w:val="nil"/>
              <w:right w:val="nil"/>
            </w:tcBorders>
            <w:shd w:val="clear" w:color="auto" w:fill="auto"/>
          </w:tcPr>
          <w:p w14:paraId="09CD2951" w14:textId="77777777" w:rsidR="00CF0E2D" w:rsidRPr="00B76905" w:rsidRDefault="00CF0E2D" w:rsidP="00A60D4B">
            <w:pPr>
              <w:pStyle w:val="BTablefigureBold"/>
              <w:rPr>
                <w:rFonts w:cs="Calibri"/>
                <w:b w:val="0"/>
                <w:bCs/>
                <w:color w:val="000000"/>
                <w:szCs w:val="20"/>
              </w:rPr>
            </w:pPr>
            <w:r w:rsidRPr="00B76905">
              <w:rPr>
                <w:rFonts w:cs="Calibri"/>
                <w:b w:val="0"/>
                <w:bCs/>
                <w:color w:val="000000"/>
                <w:szCs w:val="20"/>
              </w:rPr>
              <w:t>782,655</w:t>
            </w:r>
          </w:p>
        </w:tc>
        <w:tc>
          <w:tcPr>
            <w:tcW w:w="1162" w:type="dxa"/>
            <w:tcBorders>
              <w:top w:val="nil"/>
              <w:left w:val="nil"/>
              <w:bottom w:val="nil"/>
              <w:right w:val="nil"/>
            </w:tcBorders>
            <w:shd w:val="clear" w:color="auto" w:fill="auto"/>
          </w:tcPr>
          <w:p w14:paraId="1EB6ADBE" w14:textId="77777777" w:rsidR="00CF0E2D" w:rsidRPr="00B76905" w:rsidRDefault="00CF0E2D" w:rsidP="00A60D4B">
            <w:pPr>
              <w:pStyle w:val="Btablefigureunbold"/>
              <w:rPr>
                <w:rFonts w:cs="Calibri"/>
                <w:bCs/>
                <w:color w:val="000000"/>
                <w:szCs w:val="20"/>
              </w:rPr>
            </w:pPr>
            <w:r w:rsidRPr="00B76905">
              <w:rPr>
                <w:rFonts w:cs="Calibri"/>
                <w:bCs/>
                <w:color w:val="000000"/>
                <w:szCs w:val="20"/>
              </w:rPr>
              <w:t>253,903</w:t>
            </w:r>
          </w:p>
        </w:tc>
        <w:tc>
          <w:tcPr>
            <w:tcW w:w="1162" w:type="dxa"/>
            <w:tcBorders>
              <w:top w:val="nil"/>
              <w:left w:val="nil"/>
              <w:bottom w:val="nil"/>
              <w:right w:val="nil"/>
            </w:tcBorders>
            <w:shd w:val="clear" w:color="auto" w:fill="auto"/>
          </w:tcPr>
          <w:p w14:paraId="61341708" w14:textId="77777777" w:rsidR="00CF0E2D" w:rsidRPr="00B76905" w:rsidRDefault="00CF0E2D" w:rsidP="00A60D4B">
            <w:pPr>
              <w:pStyle w:val="Btablefigureunbold"/>
              <w:rPr>
                <w:rFonts w:cs="Calibri"/>
                <w:bCs/>
                <w:color w:val="000000"/>
                <w:szCs w:val="20"/>
              </w:rPr>
            </w:pPr>
            <w:r w:rsidRPr="00B76905">
              <w:rPr>
                <w:rFonts w:cs="Calibri"/>
                <w:bCs/>
                <w:color w:val="000000"/>
                <w:szCs w:val="20"/>
              </w:rPr>
              <w:t>201,088</w:t>
            </w:r>
          </w:p>
        </w:tc>
        <w:tc>
          <w:tcPr>
            <w:tcW w:w="1163" w:type="dxa"/>
            <w:tcBorders>
              <w:top w:val="nil"/>
              <w:left w:val="nil"/>
              <w:bottom w:val="nil"/>
              <w:right w:val="nil"/>
            </w:tcBorders>
            <w:shd w:val="clear" w:color="auto" w:fill="auto"/>
          </w:tcPr>
          <w:p w14:paraId="266472E9" w14:textId="77777777" w:rsidR="00CF0E2D" w:rsidRPr="00B76905" w:rsidRDefault="00CF0E2D" w:rsidP="00A60D4B">
            <w:pPr>
              <w:pStyle w:val="Btablefigureunbold"/>
              <w:rPr>
                <w:rFonts w:cs="Calibri"/>
                <w:bCs/>
                <w:color w:val="000000"/>
                <w:szCs w:val="20"/>
              </w:rPr>
            </w:pPr>
            <w:r w:rsidRPr="00B76905">
              <w:rPr>
                <w:rFonts w:cs="Calibri"/>
                <w:bCs/>
                <w:color w:val="000000"/>
                <w:szCs w:val="20"/>
              </w:rPr>
              <w:t>194,021</w:t>
            </w:r>
          </w:p>
        </w:tc>
        <w:tc>
          <w:tcPr>
            <w:tcW w:w="1163" w:type="dxa"/>
            <w:tcBorders>
              <w:top w:val="nil"/>
              <w:left w:val="nil"/>
              <w:bottom w:val="nil"/>
              <w:right w:val="nil"/>
            </w:tcBorders>
            <w:shd w:val="clear" w:color="auto" w:fill="auto"/>
          </w:tcPr>
          <w:p w14:paraId="769928C9" w14:textId="77777777" w:rsidR="00CF0E2D" w:rsidRPr="00B76905" w:rsidRDefault="00CF0E2D" w:rsidP="00A60D4B">
            <w:pPr>
              <w:pStyle w:val="Btablefigureunbold"/>
              <w:rPr>
                <w:rFonts w:cs="Calibri"/>
                <w:b/>
                <w:color w:val="000000"/>
                <w:szCs w:val="20"/>
              </w:rPr>
            </w:pPr>
            <w:r w:rsidRPr="00B76905">
              <w:rPr>
                <w:rFonts w:cs="Calibri"/>
                <w:b/>
                <w:color w:val="000000"/>
                <w:szCs w:val="20"/>
              </w:rPr>
              <w:t>1,431,667</w:t>
            </w:r>
          </w:p>
        </w:tc>
      </w:tr>
      <w:tr w:rsidR="00CF0E2D" w:rsidRPr="00337DC9" w14:paraId="7A49CB64" w14:textId="77777777" w:rsidTr="00A60D4B">
        <w:trPr>
          <w:trHeight w:val="270"/>
        </w:trPr>
        <w:tc>
          <w:tcPr>
            <w:tcW w:w="3261" w:type="dxa"/>
            <w:tcBorders>
              <w:top w:val="nil"/>
              <w:bottom w:val="nil"/>
            </w:tcBorders>
          </w:tcPr>
          <w:p w14:paraId="690828B1" w14:textId="77777777" w:rsidR="00CF0E2D" w:rsidRDefault="00CF0E2D" w:rsidP="00A60D4B">
            <w:pPr>
              <w:pStyle w:val="Btabletextunbold"/>
              <w:ind w:left="314" w:hanging="142"/>
            </w:pPr>
            <w:r>
              <w:t>Expense provisions</w:t>
            </w:r>
          </w:p>
        </w:tc>
        <w:tc>
          <w:tcPr>
            <w:tcW w:w="1162" w:type="dxa"/>
            <w:tcBorders>
              <w:top w:val="nil"/>
              <w:bottom w:val="nil"/>
            </w:tcBorders>
            <w:shd w:val="clear" w:color="auto" w:fill="auto"/>
          </w:tcPr>
          <w:p w14:paraId="790DF46D" w14:textId="77777777" w:rsidR="00CF0E2D" w:rsidRPr="00B76905" w:rsidRDefault="00CF0E2D" w:rsidP="00A60D4B">
            <w:pPr>
              <w:pStyle w:val="BTablefigureBold"/>
              <w:rPr>
                <w:rFonts w:cs="Calibri"/>
                <w:b w:val="0"/>
                <w:bCs/>
                <w:color w:val="000000"/>
                <w:szCs w:val="20"/>
              </w:rPr>
            </w:pPr>
            <w:r w:rsidRPr="00B76905">
              <w:rPr>
                <w:rFonts w:cs="Calibri"/>
                <w:b w:val="0"/>
                <w:bCs/>
                <w:color w:val="000000"/>
                <w:szCs w:val="20"/>
              </w:rPr>
              <w:t>80,400</w:t>
            </w:r>
          </w:p>
        </w:tc>
        <w:tc>
          <w:tcPr>
            <w:tcW w:w="1162" w:type="dxa"/>
            <w:tcBorders>
              <w:top w:val="nil"/>
              <w:bottom w:val="nil"/>
            </w:tcBorders>
            <w:shd w:val="clear" w:color="472D8C" w:fill="auto"/>
          </w:tcPr>
          <w:p w14:paraId="2766E98B" w14:textId="77777777" w:rsidR="00CF0E2D" w:rsidRPr="00B76905" w:rsidRDefault="00CF0E2D" w:rsidP="00A60D4B">
            <w:pPr>
              <w:pStyle w:val="Btablefigureunbold"/>
              <w:rPr>
                <w:rFonts w:cs="Calibri"/>
                <w:bCs/>
                <w:color w:val="000000"/>
                <w:szCs w:val="20"/>
              </w:rPr>
            </w:pPr>
            <w:r w:rsidRPr="00B76905">
              <w:rPr>
                <w:rFonts w:cs="Calibri"/>
                <w:bCs/>
                <w:color w:val="000000"/>
                <w:szCs w:val="20"/>
              </w:rPr>
              <w:t>105,579</w:t>
            </w:r>
          </w:p>
        </w:tc>
        <w:tc>
          <w:tcPr>
            <w:tcW w:w="1162" w:type="dxa"/>
            <w:tcBorders>
              <w:top w:val="nil"/>
              <w:bottom w:val="nil"/>
            </w:tcBorders>
            <w:shd w:val="clear" w:color="auto" w:fill="auto"/>
          </w:tcPr>
          <w:p w14:paraId="321A3B5C" w14:textId="77777777" w:rsidR="00CF0E2D" w:rsidRPr="00B76905" w:rsidRDefault="00CF0E2D" w:rsidP="00A60D4B">
            <w:pPr>
              <w:pStyle w:val="Btablefigureunbold"/>
              <w:rPr>
                <w:rFonts w:cs="Calibri"/>
                <w:bCs/>
                <w:color w:val="000000"/>
                <w:szCs w:val="20"/>
              </w:rPr>
            </w:pPr>
            <w:r w:rsidRPr="00B76905">
              <w:rPr>
                <w:rFonts w:cs="Calibri"/>
                <w:bCs/>
                <w:color w:val="000000"/>
                <w:szCs w:val="20"/>
              </w:rPr>
              <w:t>137,012</w:t>
            </w:r>
          </w:p>
        </w:tc>
        <w:tc>
          <w:tcPr>
            <w:tcW w:w="1163" w:type="dxa"/>
            <w:tcBorders>
              <w:top w:val="nil"/>
              <w:bottom w:val="nil"/>
            </w:tcBorders>
          </w:tcPr>
          <w:p w14:paraId="3364054D" w14:textId="77777777" w:rsidR="00CF0E2D" w:rsidRPr="00B76905" w:rsidRDefault="00CF0E2D" w:rsidP="00A60D4B">
            <w:pPr>
              <w:pStyle w:val="Btablefigureunbold"/>
              <w:rPr>
                <w:rFonts w:cs="Calibri"/>
                <w:bCs/>
                <w:color w:val="000000"/>
                <w:szCs w:val="20"/>
              </w:rPr>
            </w:pPr>
            <w:r w:rsidRPr="00B76905">
              <w:rPr>
                <w:rFonts w:cs="Calibri"/>
                <w:bCs/>
                <w:color w:val="000000"/>
                <w:szCs w:val="20"/>
              </w:rPr>
              <w:t>162,378</w:t>
            </w:r>
          </w:p>
        </w:tc>
        <w:tc>
          <w:tcPr>
            <w:tcW w:w="1163" w:type="dxa"/>
            <w:tcBorders>
              <w:top w:val="nil"/>
              <w:bottom w:val="nil"/>
            </w:tcBorders>
          </w:tcPr>
          <w:p w14:paraId="1F2C1C63" w14:textId="77777777" w:rsidR="00CF0E2D" w:rsidRPr="00B76905" w:rsidRDefault="00CF0E2D" w:rsidP="00A60D4B">
            <w:pPr>
              <w:pStyle w:val="Btablefigureunbold"/>
              <w:rPr>
                <w:rFonts w:cs="Calibri"/>
                <w:b/>
                <w:color w:val="000000"/>
                <w:szCs w:val="20"/>
              </w:rPr>
            </w:pPr>
            <w:r w:rsidRPr="00B76905">
              <w:rPr>
                <w:rFonts w:cs="Calibri"/>
                <w:b/>
                <w:color w:val="000000"/>
                <w:szCs w:val="20"/>
              </w:rPr>
              <w:t>485,369</w:t>
            </w:r>
          </w:p>
        </w:tc>
      </w:tr>
      <w:tr w:rsidR="00CF0E2D" w:rsidRPr="00337DC9" w14:paraId="06FEC735" w14:textId="77777777" w:rsidTr="00A60D4B">
        <w:trPr>
          <w:trHeight w:val="270"/>
        </w:trPr>
        <w:tc>
          <w:tcPr>
            <w:tcW w:w="3261" w:type="dxa"/>
            <w:tcBorders>
              <w:top w:val="nil"/>
              <w:bottom w:val="nil"/>
            </w:tcBorders>
          </w:tcPr>
          <w:p w14:paraId="7C0CBBD4" w14:textId="77777777" w:rsidR="00CF0E2D" w:rsidRDefault="00CF0E2D" w:rsidP="00A60D4B">
            <w:pPr>
              <w:pStyle w:val="Btabletextunbold"/>
              <w:ind w:left="314" w:hanging="142"/>
            </w:pPr>
            <w:r>
              <w:t>Revenue forgone</w:t>
            </w:r>
          </w:p>
        </w:tc>
        <w:tc>
          <w:tcPr>
            <w:tcW w:w="1162" w:type="dxa"/>
            <w:tcBorders>
              <w:top w:val="nil"/>
              <w:bottom w:val="nil"/>
            </w:tcBorders>
            <w:shd w:val="clear" w:color="auto" w:fill="auto"/>
          </w:tcPr>
          <w:p w14:paraId="0F8EA1A4" w14:textId="77777777" w:rsidR="00CF0E2D" w:rsidRPr="009E5C0D" w:rsidRDefault="00CF0E2D" w:rsidP="00A60D4B">
            <w:pPr>
              <w:pStyle w:val="BTablefigureBold"/>
              <w:rPr>
                <w:b w:val="0"/>
                <w:bCs/>
                <w:szCs w:val="20"/>
              </w:rPr>
            </w:pPr>
            <w:r w:rsidRPr="009E5C0D">
              <w:rPr>
                <w:rFonts w:cs="Calibri"/>
                <w:b w:val="0"/>
                <w:bCs/>
                <w:color w:val="000000"/>
                <w:szCs w:val="20"/>
              </w:rPr>
              <w:t>10,134</w:t>
            </w:r>
          </w:p>
        </w:tc>
        <w:tc>
          <w:tcPr>
            <w:tcW w:w="1162" w:type="dxa"/>
            <w:tcBorders>
              <w:top w:val="nil"/>
              <w:bottom w:val="nil"/>
            </w:tcBorders>
            <w:shd w:val="clear" w:color="472D8C" w:fill="auto"/>
          </w:tcPr>
          <w:p w14:paraId="6DDBBA29" w14:textId="77777777" w:rsidR="00CF0E2D" w:rsidRPr="009E5C0D" w:rsidRDefault="00CF0E2D" w:rsidP="00A60D4B">
            <w:pPr>
              <w:pStyle w:val="Btablefigureunbold"/>
              <w:ind w:left="0" w:firstLine="0"/>
              <w:rPr>
                <w:color w:val="000000"/>
                <w:szCs w:val="20"/>
              </w:rPr>
            </w:pPr>
            <w:r w:rsidRPr="009E5C0D">
              <w:rPr>
                <w:rFonts w:cs="Calibri"/>
                <w:color w:val="000000"/>
                <w:szCs w:val="20"/>
              </w:rPr>
              <w:t>4,897</w:t>
            </w:r>
          </w:p>
        </w:tc>
        <w:tc>
          <w:tcPr>
            <w:tcW w:w="1162" w:type="dxa"/>
            <w:tcBorders>
              <w:top w:val="nil"/>
              <w:bottom w:val="nil"/>
            </w:tcBorders>
            <w:shd w:val="clear" w:color="auto" w:fill="auto"/>
          </w:tcPr>
          <w:p w14:paraId="2181AFD5" w14:textId="77777777" w:rsidR="00CF0E2D" w:rsidRPr="009E5C0D" w:rsidRDefault="00CF0E2D" w:rsidP="00A60D4B">
            <w:pPr>
              <w:pStyle w:val="Btablefigureunbold"/>
              <w:rPr>
                <w:szCs w:val="20"/>
              </w:rPr>
            </w:pPr>
            <w:r w:rsidRPr="009E5C0D">
              <w:rPr>
                <w:rFonts w:cs="Calibri"/>
                <w:color w:val="000000"/>
                <w:szCs w:val="20"/>
              </w:rPr>
              <w:t>7,217</w:t>
            </w:r>
          </w:p>
        </w:tc>
        <w:tc>
          <w:tcPr>
            <w:tcW w:w="1163" w:type="dxa"/>
            <w:tcBorders>
              <w:top w:val="nil"/>
              <w:bottom w:val="nil"/>
            </w:tcBorders>
          </w:tcPr>
          <w:p w14:paraId="07433874" w14:textId="77777777" w:rsidR="00CF0E2D" w:rsidRPr="009E5C0D" w:rsidRDefault="00CF0E2D" w:rsidP="00A60D4B">
            <w:pPr>
              <w:pStyle w:val="Btablefigureunbold"/>
              <w:rPr>
                <w:szCs w:val="20"/>
              </w:rPr>
            </w:pPr>
            <w:r w:rsidRPr="009E5C0D">
              <w:rPr>
                <w:rFonts w:cs="Calibri"/>
                <w:color w:val="000000"/>
                <w:szCs w:val="20"/>
              </w:rPr>
              <w:t>6,184</w:t>
            </w:r>
          </w:p>
        </w:tc>
        <w:tc>
          <w:tcPr>
            <w:tcW w:w="1163" w:type="dxa"/>
            <w:tcBorders>
              <w:top w:val="nil"/>
              <w:bottom w:val="nil"/>
            </w:tcBorders>
          </w:tcPr>
          <w:p w14:paraId="38D964DA" w14:textId="77777777" w:rsidR="00CF0E2D" w:rsidRPr="009E5C0D" w:rsidRDefault="00CF0E2D" w:rsidP="00A60D4B">
            <w:pPr>
              <w:pStyle w:val="Btablefigureunbold"/>
              <w:rPr>
                <w:b/>
                <w:bCs/>
                <w:szCs w:val="20"/>
              </w:rPr>
            </w:pPr>
            <w:r w:rsidRPr="009E5C0D">
              <w:rPr>
                <w:rFonts w:cs="Calibri"/>
                <w:b/>
                <w:bCs/>
                <w:color w:val="000000"/>
                <w:szCs w:val="20"/>
              </w:rPr>
              <w:t>28,432</w:t>
            </w:r>
          </w:p>
        </w:tc>
      </w:tr>
      <w:tr w:rsidR="00CF0E2D" w:rsidRPr="00337DC9" w14:paraId="455FD5D1" w14:textId="77777777" w:rsidTr="00A60D4B">
        <w:trPr>
          <w:trHeight w:val="270"/>
        </w:trPr>
        <w:tc>
          <w:tcPr>
            <w:tcW w:w="3261" w:type="dxa"/>
            <w:tcBorders>
              <w:top w:val="nil"/>
              <w:bottom w:val="nil"/>
            </w:tcBorders>
          </w:tcPr>
          <w:p w14:paraId="772CDEB8" w14:textId="77777777" w:rsidR="00CF0E2D" w:rsidRDefault="00CF0E2D" w:rsidP="00A60D4B">
            <w:pPr>
              <w:pStyle w:val="Btabletextunbold"/>
              <w:ind w:left="314" w:hanging="142"/>
            </w:pPr>
            <w:r>
              <w:t>Depreciation</w:t>
            </w:r>
          </w:p>
        </w:tc>
        <w:tc>
          <w:tcPr>
            <w:tcW w:w="1162" w:type="dxa"/>
            <w:tcBorders>
              <w:top w:val="nil"/>
              <w:bottom w:val="nil"/>
            </w:tcBorders>
            <w:shd w:val="clear" w:color="auto" w:fill="auto"/>
          </w:tcPr>
          <w:p w14:paraId="0F6927F7" w14:textId="77777777" w:rsidR="00CF0E2D" w:rsidRPr="00B76905" w:rsidRDefault="00CF0E2D" w:rsidP="00A60D4B">
            <w:pPr>
              <w:pStyle w:val="BTablefigureBold"/>
              <w:rPr>
                <w:b w:val="0"/>
                <w:bCs/>
                <w:szCs w:val="20"/>
              </w:rPr>
            </w:pPr>
            <w:r w:rsidRPr="00B76905">
              <w:rPr>
                <w:b w:val="0"/>
                <w:bCs/>
              </w:rPr>
              <w:t>2,837</w:t>
            </w:r>
          </w:p>
        </w:tc>
        <w:tc>
          <w:tcPr>
            <w:tcW w:w="1162" w:type="dxa"/>
            <w:tcBorders>
              <w:top w:val="nil"/>
              <w:bottom w:val="nil"/>
            </w:tcBorders>
            <w:shd w:val="clear" w:color="472D8C" w:fill="auto"/>
          </w:tcPr>
          <w:p w14:paraId="502EF097" w14:textId="77777777" w:rsidR="00CF0E2D" w:rsidRPr="009E5C0D" w:rsidRDefault="00CF0E2D" w:rsidP="00A60D4B">
            <w:pPr>
              <w:pStyle w:val="Btablefigureunbold"/>
              <w:rPr>
                <w:color w:val="000000"/>
                <w:szCs w:val="20"/>
              </w:rPr>
            </w:pPr>
            <w:r w:rsidRPr="004F5F02">
              <w:t>11,395</w:t>
            </w:r>
          </w:p>
        </w:tc>
        <w:tc>
          <w:tcPr>
            <w:tcW w:w="1162" w:type="dxa"/>
            <w:tcBorders>
              <w:top w:val="nil"/>
              <w:bottom w:val="nil"/>
            </w:tcBorders>
            <w:shd w:val="clear" w:color="auto" w:fill="auto"/>
          </w:tcPr>
          <w:p w14:paraId="33D0C419" w14:textId="77777777" w:rsidR="00CF0E2D" w:rsidRPr="009E5C0D" w:rsidRDefault="00CF0E2D" w:rsidP="00A60D4B">
            <w:pPr>
              <w:pStyle w:val="Btablefigureunbold"/>
              <w:rPr>
                <w:szCs w:val="20"/>
              </w:rPr>
            </w:pPr>
            <w:r w:rsidRPr="004F5F02">
              <w:t>20,250</w:t>
            </w:r>
          </w:p>
        </w:tc>
        <w:tc>
          <w:tcPr>
            <w:tcW w:w="1163" w:type="dxa"/>
            <w:tcBorders>
              <w:top w:val="nil"/>
              <w:bottom w:val="nil"/>
            </w:tcBorders>
          </w:tcPr>
          <w:p w14:paraId="6AFFB47E" w14:textId="77777777" w:rsidR="00CF0E2D" w:rsidRPr="009E5C0D" w:rsidRDefault="00CF0E2D" w:rsidP="00A60D4B">
            <w:pPr>
              <w:pStyle w:val="Btablefigureunbold"/>
              <w:rPr>
                <w:szCs w:val="20"/>
              </w:rPr>
            </w:pPr>
            <w:r w:rsidRPr="004F5F02">
              <w:t>25,981</w:t>
            </w:r>
          </w:p>
        </w:tc>
        <w:tc>
          <w:tcPr>
            <w:tcW w:w="1163" w:type="dxa"/>
            <w:tcBorders>
              <w:top w:val="nil"/>
              <w:bottom w:val="nil"/>
            </w:tcBorders>
          </w:tcPr>
          <w:p w14:paraId="6EBC3590" w14:textId="77777777" w:rsidR="00CF0E2D" w:rsidRPr="00B76905" w:rsidRDefault="00CF0E2D" w:rsidP="00A60D4B">
            <w:pPr>
              <w:pStyle w:val="Btablefigureunbold"/>
              <w:rPr>
                <w:b/>
                <w:bCs/>
                <w:szCs w:val="20"/>
              </w:rPr>
            </w:pPr>
            <w:r w:rsidRPr="00B76905">
              <w:rPr>
                <w:b/>
                <w:bCs/>
              </w:rPr>
              <w:t>60,463</w:t>
            </w:r>
          </w:p>
        </w:tc>
      </w:tr>
      <w:tr w:rsidR="00CF0E2D" w:rsidRPr="00337DC9" w14:paraId="2B03E115" w14:textId="77777777" w:rsidTr="00A60D4B">
        <w:trPr>
          <w:trHeight w:val="270"/>
        </w:trPr>
        <w:tc>
          <w:tcPr>
            <w:tcW w:w="3261" w:type="dxa"/>
            <w:tcBorders>
              <w:top w:val="nil"/>
              <w:bottom w:val="nil"/>
            </w:tcBorders>
          </w:tcPr>
          <w:p w14:paraId="089A7A30" w14:textId="77777777" w:rsidR="00CF0E2D" w:rsidRPr="00A15EAE" w:rsidRDefault="00CF0E2D" w:rsidP="00A60D4B">
            <w:pPr>
              <w:pStyle w:val="Btabletextunbold"/>
              <w:ind w:left="314" w:hanging="142"/>
              <w:rPr>
                <w:b/>
                <w:bCs/>
              </w:rPr>
            </w:pPr>
            <w:r w:rsidRPr="00A15EAE">
              <w:rPr>
                <w:b/>
                <w:bCs/>
              </w:rPr>
              <w:t>Total expenses</w:t>
            </w:r>
          </w:p>
        </w:tc>
        <w:tc>
          <w:tcPr>
            <w:tcW w:w="1162" w:type="dxa"/>
            <w:tcBorders>
              <w:top w:val="nil"/>
              <w:bottom w:val="nil"/>
            </w:tcBorders>
            <w:shd w:val="clear" w:color="auto" w:fill="auto"/>
          </w:tcPr>
          <w:p w14:paraId="294E2CF3" w14:textId="77777777" w:rsidR="00CF0E2D" w:rsidRPr="00387F31" w:rsidRDefault="00CF0E2D" w:rsidP="00A60D4B">
            <w:pPr>
              <w:pStyle w:val="BTablefigureBold"/>
              <w:rPr>
                <w:szCs w:val="20"/>
              </w:rPr>
            </w:pPr>
            <w:r w:rsidRPr="00387F31">
              <w:t>876,026</w:t>
            </w:r>
          </w:p>
        </w:tc>
        <w:tc>
          <w:tcPr>
            <w:tcW w:w="1162" w:type="dxa"/>
            <w:tcBorders>
              <w:top w:val="nil"/>
              <w:bottom w:val="nil"/>
            </w:tcBorders>
            <w:shd w:val="clear" w:color="472D8C" w:fill="auto"/>
          </w:tcPr>
          <w:p w14:paraId="371F31E2" w14:textId="77777777" w:rsidR="00CF0E2D" w:rsidRPr="00387F31" w:rsidRDefault="00CF0E2D" w:rsidP="00A60D4B">
            <w:pPr>
              <w:pStyle w:val="Btablefigureunbold"/>
              <w:rPr>
                <w:b/>
                <w:color w:val="000000"/>
                <w:szCs w:val="20"/>
              </w:rPr>
            </w:pPr>
            <w:r w:rsidRPr="00387F31">
              <w:rPr>
                <w:b/>
              </w:rPr>
              <w:t>375,774</w:t>
            </w:r>
          </w:p>
        </w:tc>
        <w:tc>
          <w:tcPr>
            <w:tcW w:w="1162" w:type="dxa"/>
            <w:tcBorders>
              <w:top w:val="nil"/>
              <w:bottom w:val="nil"/>
            </w:tcBorders>
            <w:shd w:val="clear" w:color="auto" w:fill="auto"/>
          </w:tcPr>
          <w:p w14:paraId="42C96924" w14:textId="77777777" w:rsidR="00CF0E2D" w:rsidRPr="00387F31" w:rsidRDefault="00CF0E2D" w:rsidP="00A60D4B">
            <w:pPr>
              <w:pStyle w:val="Btablefigureunbold"/>
              <w:rPr>
                <w:b/>
                <w:szCs w:val="20"/>
              </w:rPr>
            </w:pPr>
            <w:r w:rsidRPr="00387F31">
              <w:rPr>
                <w:b/>
              </w:rPr>
              <w:t>365,567</w:t>
            </w:r>
          </w:p>
        </w:tc>
        <w:tc>
          <w:tcPr>
            <w:tcW w:w="1163" w:type="dxa"/>
            <w:tcBorders>
              <w:top w:val="nil"/>
              <w:bottom w:val="nil"/>
            </w:tcBorders>
          </w:tcPr>
          <w:p w14:paraId="43D37334" w14:textId="77777777" w:rsidR="00CF0E2D" w:rsidRPr="00387F31" w:rsidRDefault="00CF0E2D" w:rsidP="00A60D4B">
            <w:pPr>
              <w:pStyle w:val="Btablefigureunbold"/>
              <w:rPr>
                <w:b/>
                <w:szCs w:val="20"/>
              </w:rPr>
            </w:pPr>
            <w:r w:rsidRPr="00387F31">
              <w:rPr>
                <w:b/>
              </w:rPr>
              <w:t>388,564</w:t>
            </w:r>
          </w:p>
        </w:tc>
        <w:tc>
          <w:tcPr>
            <w:tcW w:w="1163" w:type="dxa"/>
            <w:tcBorders>
              <w:top w:val="nil"/>
              <w:bottom w:val="nil"/>
            </w:tcBorders>
          </w:tcPr>
          <w:p w14:paraId="21F765AA" w14:textId="77777777" w:rsidR="00CF0E2D" w:rsidRPr="00B76905" w:rsidRDefault="00CF0E2D" w:rsidP="00A60D4B">
            <w:pPr>
              <w:pStyle w:val="Btablefigureunbold"/>
              <w:rPr>
                <w:b/>
                <w:szCs w:val="20"/>
              </w:rPr>
            </w:pPr>
            <w:r w:rsidRPr="00B76905">
              <w:rPr>
                <w:b/>
              </w:rPr>
              <w:t>2,005,931</w:t>
            </w:r>
          </w:p>
        </w:tc>
      </w:tr>
      <w:tr w:rsidR="00CF0E2D" w:rsidRPr="00337DC9" w14:paraId="71299767" w14:textId="77777777" w:rsidTr="00A60D4B">
        <w:trPr>
          <w:trHeight w:val="397"/>
        </w:trPr>
        <w:tc>
          <w:tcPr>
            <w:tcW w:w="3261" w:type="dxa"/>
            <w:tcBorders>
              <w:top w:val="nil"/>
              <w:bottom w:val="nil"/>
            </w:tcBorders>
            <w:vAlign w:val="bottom"/>
          </w:tcPr>
          <w:p w14:paraId="4EDEB08E" w14:textId="77777777" w:rsidR="00CF0E2D" w:rsidRPr="00A15EAE" w:rsidRDefault="00CF0E2D" w:rsidP="00A60D4B">
            <w:pPr>
              <w:pStyle w:val="Btabletextunbold"/>
              <w:rPr>
                <w:i/>
                <w:iCs/>
              </w:rPr>
            </w:pPr>
            <w:r w:rsidRPr="00A15EAE">
              <w:rPr>
                <w:i/>
                <w:iCs/>
              </w:rPr>
              <w:t>offset by</w:t>
            </w:r>
          </w:p>
        </w:tc>
        <w:tc>
          <w:tcPr>
            <w:tcW w:w="1162" w:type="dxa"/>
            <w:tcBorders>
              <w:top w:val="nil"/>
              <w:bottom w:val="nil"/>
            </w:tcBorders>
            <w:shd w:val="clear" w:color="auto" w:fill="auto"/>
          </w:tcPr>
          <w:p w14:paraId="50280DD4" w14:textId="77777777" w:rsidR="00CF0E2D" w:rsidRPr="00A15EAE" w:rsidRDefault="00CF0E2D" w:rsidP="00A60D4B">
            <w:pPr>
              <w:pStyle w:val="BTablefigureBold"/>
              <w:rPr>
                <w:b w:val="0"/>
                <w:bCs/>
              </w:rPr>
            </w:pPr>
          </w:p>
        </w:tc>
        <w:tc>
          <w:tcPr>
            <w:tcW w:w="1162" w:type="dxa"/>
            <w:tcBorders>
              <w:top w:val="nil"/>
              <w:bottom w:val="nil"/>
            </w:tcBorders>
            <w:shd w:val="clear" w:color="472D8C" w:fill="auto"/>
          </w:tcPr>
          <w:p w14:paraId="2BA75A7B" w14:textId="77777777" w:rsidR="00CF0E2D" w:rsidRPr="00111524" w:rsidRDefault="00CF0E2D" w:rsidP="00A60D4B">
            <w:pPr>
              <w:pStyle w:val="Btablefigureunbold"/>
              <w:rPr>
                <w:color w:val="000000"/>
              </w:rPr>
            </w:pPr>
          </w:p>
        </w:tc>
        <w:tc>
          <w:tcPr>
            <w:tcW w:w="1162" w:type="dxa"/>
            <w:tcBorders>
              <w:top w:val="nil"/>
              <w:bottom w:val="nil"/>
            </w:tcBorders>
            <w:shd w:val="clear" w:color="auto" w:fill="auto"/>
          </w:tcPr>
          <w:p w14:paraId="4E46D9B4" w14:textId="77777777" w:rsidR="00CF0E2D" w:rsidRPr="00EC74DB" w:rsidRDefault="00CF0E2D" w:rsidP="00A60D4B">
            <w:pPr>
              <w:pStyle w:val="Btablefigureunbold"/>
            </w:pPr>
          </w:p>
        </w:tc>
        <w:tc>
          <w:tcPr>
            <w:tcW w:w="1163" w:type="dxa"/>
            <w:tcBorders>
              <w:top w:val="nil"/>
              <w:bottom w:val="nil"/>
            </w:tcBorders>
          </w:tcPr>
          <w:p w14:paraId="0F1AB100" w14:textId="77777777" w:rsidR="00CF0E2D" w:rsidRPr="00EC74DB" w:rsidRDefault="00CF0E2D" w:rsidP="00A60D4B">
            <w:pPr>
              <w:pStyle w:val="Btablefigureunbold"/>
            </w:pPr>
          </w:p>
        </w:tc>
        <w:tc>
          <w:tcPr>
            <w:tcW w:w="1163" w:type="dxa"/>
            <w:tcBorders>
              <w:top w:val="nil"/>
              <w:bottom w:val="nil"/>
            </w:tcBorders>
          </w:tcPr>
          <w:p w14:paraId="0E0501FA" w14:textId="77777777" w:rsidR="00CF0E2D" w:rsidRPr="00A15EAE" w:rsidRDefault="00CF0E2D" w:rsidP="00A60D4B">
            <w:pPr>
              <w:pStyle w:val="Btablefigureunbold"/>
              <w:rPr>
                <w:b/>
                <w:bCs/>
              </w:rPr>
            </w:pPr>
          </w:p>
        </w:tc>
      </w:tr>
      <w:tr w:rsidR="00CF0E2D" w:rsidRPr="00337DC9" w14:paraId="17A93804" w14:textId="77777777" w:rsidTr="00A60D4B">
        <w:trPr>
          <w:trHeight w:val="270"/>
        </w:trPr>
        <w:tc>
          <w:tcPr>
            <w:tcW w:w="3261" w:type="dxa"/>
            <w:tcBorders>
              <w:top w:val="nil"/>
              <w:bottom w:val="nil"/>
            </w:tcBorders>
          </w:tcPr>
          <w:p w14:paraId="63A24479" w14:textId="77777777" w:rsidR="00CF0E2D" w:rsidRPr="00A15EAE" w:rsidRDefault="00CF0E2D" w:rsidP="00A60D4B">
            <w:pPr>
              <w:pStyle w:val="Btabletextunbold"/>
              <w:ind w:left="314" w:hanging="142"/>
            </w:pPr>
            <w:r w:rsidRPr="00A15EAE">
              <w:t>Health funding envelope</w:t>
            </w:r>
          </w:p>
        </w:tc>
        <w:tc>
          <w:tcPr>
            <w:tcW w:w="1162" w:type="dxa"/>
            <w:tcBorders>
              <w:top w:val="nil"/>
              <w:bottom w:val="nil"/>
            </w:tcBorders>
            <w:shd w:val="clear" w:color="auto" w:fill="auto"/>
          </w:tcPr>
          <w:p w14:paraId="6329D21D" w14:textId="77777777" w:rsidR="00CF0E2D" w:rsidRPr="00491D3E" w:rsidRDefault="00CF0E2D" w:rsidP="00A60D4B">
            <w:pPr>
              <w:pStyle w:val="Btablefigureunbold"/>
              <w:rPr>
                <w:bCs/>
                <w:szCs w:val="20"/>
              </w:rPr>
            </w:pPr>
            <w:r w:rsidRPr="00491D3E">
              <w:rPr>
                <w:rFonts w:cs="Calibri"/>
                <w:color w:val="000000"/>
                <w:szCs w:val="20"/>
              </w:rPr>
              <w:t>-56,424</w:t>
            </w:r>
          </w:p>
        </w:tc>
        <w:tc>
          <w:tcPr>
            <w:tcW w:w="1162" w:type="dxa"/>
            <w:tcBorders>
              <w:top w:val="nil"/>
              <w:bottom w:val="nil"/>
            </w:tcBorders>
            <w:shd w:val="clear" w:color="472D8C" w:fill="auto"/>
          </w:tcPr>
          <w:p w14:paraId="566E7B8D" w14:textId="77777777" w:rsidR="00CF0E2D" w:rsidRPr="00491D3E" w:rsidRDefault="00CF0E2D" w:rsidP="00A60D4B">
            <w:pPr>
              <w:pStyle w:val="Btablefigureunbold"/>
              <w:rPr>
                <w:color w:val="000000"/>
                <w:szCs w:val="20"/>
              </w:rPr>
            </w:pPr>
            <w:r w:rsidRPr="00491D3E">
              <w:rPr>
                <w:rFonts w:cs="Calibri"/>
                <w:color w:val="000000"/>
                <w:szCs w:val="20"/>
              </w:rPr>
              <w:t>-73,047</w:t>
            </w:r>
          </w:p>
        </w:tc>
        <w:tc>
          <w:tcPr>
            <w:tcW w:w="1162" w:type="dxa"/>
            <w:tcBorders>
              <w:top w:val="nil"/>
              <w:bottom w:val="nil"/>
            </w:tcBorders>
            <w:shd w:val="clear" w:color="auto" w:fill="auto"/>
          </w:tcPr>
          <w:p w14:paraId="6786A1F8" w14:textId="77777777" w:rsidR="00CF0E2D" w:rsidRPr="00491D3E" w:rsidRDefault="00CF0E2D" w:rsidP="00A60D4B">
            <w:pPr>
              <w:pStyle w:val="Btablefigureunbold"/>
              <w:rPr>
                <w:szCs w:val="20"/>
              </w:rPr>
            </w:pPr>
            <w:r w:rsidRPr="00491D3E">
              <w:rPr>
                <w:rFonts w:cs="Calibri"/>
                <w:color w:val="000000"/>
                <w:szCs w:val="20"/>
              </w:rPr>
              <w:t>-73,403</w:t>
            </w:r>
          </w:p>
        </w:tc>
        <w:tc>
          <w:tcPr>
            <w:tcW w:w="1163" w:type="dxa"/>
            <w:tcBorders>
              <w:top w:val="nil"/>
              <w:bottom w:val="nil"/>
            </w:tcBorders>
          </w:tcPr>
          <w:p w14:paraId="33008774" w14:textId="77777777" w:rsidR="00CF0E2D" w:rsidRPr="00491D3E" w:rsidRDefault="00CF0E2D" w:rsidP="00A60D4B">
            <w:pPr>
              <w:pStyle w:val="Btablefigureunbold"/>
              <w:rPr>
                <w:szCs w:val="20"/>
              </w:rPr>
            </w:pPr>
            <w:r w:rsidRPr="00491D3E">
              <w:rPr>
                <w:rFonts w:cs="Calibri"/>
                <w:color w:val="000000"/>
                <w:szCs w:val="20"/>
              </w:rPr>
              <w:t>-75,591</w:t>
            </w:r>
          </w:p>
        </w:tc>
        <w:tc>
          <w:tcPr>
            <w:tcW w:w="1163" w:type="dxa"/>
            <w:tcBorders>
              <w:top w:val="nil"/>
              <w:bottom w:val="nil"/>
            </w:tcBorders>
          </w:tcPr>
          <w:p w14:paraId="3659373F" w14:textId="77777777" w:rsidR="00CF0E2D" w:rsidRPr="00491D3E" w:rsidRDefault="00CF0E2D" w:rsidP="00A60D4B">
            <w:pPr>
              <w:pStyle w:val="Btablefigureunbold"/>
              <w:rPr>
                <w:b/>
                <w:bCs/>
                <w:szCs w:val="20"/>
              </w:rPr>
            </w:pPr>
            <w:r>
              <w:rPr>
                <w:rFonts w:cs="Calibri"/>
                <w:b/>
                <w:bCs/>
                <w:color w:val="000000"/>
                <w:szCs w:val="20"/>
              </w:rPr>
              <w:t>-</w:t>
            </w:r>
            <w:r w:rsidRPr="00491D3E">
              <w:rPr>
                <w:rFonts w:cs="Calibri"/>
                <w:b/>
                <w:bCs/>
                <w:color w:val="000000"/>
                <w:szCs w:val="20"/>
              </w:rPr>
              <w:t>278,465</w:t>
            </w:r>
          </w:p>
        </w:tc>
      </w:tr>
      <w:tr w:rsidR="00CF0E2D" w:rsidRPr="00337DC9" w14:paraId="0622AEE4" w14:textId="77777777" w:rsidTr="00A60D4B">
        <w:trPr>
          <w:trHeight w:val="270"/>
        </w:trPr>
        <w:tc>
          <w:tcPr>
            <w:tcW w:w="3261" w:type="dxa"/>
            <w:tcBorders>
              <w:top w:val="nil"/>
              <w:bottom w:val="nil"/>
            </w:tcBorders>
          </w:tcPr>
          <w:p w14:paraId="51D6B9E8" w14:textId="77777777" w:rsidR="00CF0E2D" w:rsidRPr="00A15EAE" w:rsidRDefault="00CF0E2D" w:rsidP="00A60D4B">
            <w:pPr>
              <w:pStyle w:val="Btabletextunbold"/>
              <w:ind w:left="314" w:hanging="142"/>
            </w:pPr>
            <w:r w:rsidRPr="00A15EAE">
              <w:t>Expense offsets</w:t>
            </w:r>
          </w:p>
        </w:tc>
        <w:tc>
          <w:tcPr>
            <w:tcW w:w="1162" w:type="dxa"/>
            <w:tcBorders>
              <w:top w:val="nil"/>
              <w:bottom w:val="nil"/>
            </w:tcBorders>
            <w:shd w:val="clear" w:color="auto" w:fill="auto"/>
          </w:tcPr>
          <w:p w14:paraId="35A6EBEC" w14:textId="77777777" w:rsidR="00CF0E2D" w:rsidRPr="00491D3E" w:rsidRDefault="00CF0E2D" w:rsidP="00A60D4B">
            <w:pPr>
              <w:pStyle w:val="Btablefigureunbold"/>
              <w:rPr>
                <w:szCs w:val="20"/>
              </w:rPr>
            </w:pPr>
            <w:r w:rsidRPr="00491D3E">
              <w:rPr>
                <w:rFonts w:cs="Calibri"/>
                <w:color w:val="000000"/>
                <w:szCs w:val="20"/>
              </w:rPr>
              <w:t>-181,988</w:t>
            </w:r>
          </w:p>
        </w:tc>
        <w:tc>
          <w:tcPr>
            <w:tcW w:w="1162" w:type="dxa"/>
            <w:tcBorders>
              <w:top w:val="nil"/>
              <w:bottom w:val="nil"/>
            </w:tcBorders>
            <w:shd w:val="clear" w:color="472D8C" w:fill="auto"/>
          </w:tcPr>
          <w:p w14:paraId="5FB59320" w14:textId="77777777" w:rsidR="00CF0E2D" w:rsidRPr="00491D3E" w:rsidRDefault="00CF0E2D" w:rsidP="00A60D4B">
            <w:pPr>
              <w:pStyle w:val="Btablefigureunbold"/>
              <w:rPr>
                <w:color w:val="000000"/>
                <w:szCs w:val="20"/>
              </w:rPr>
            </w:pPr>
            <w:r w:rsidRPr="00491D3E">
              <w:rPr>
                <w:rFonts w:cs="Calibri"/>
                <w:color w:val="000000"/>
                <w:szCs w:val="20"/>
              </w:rPr>
              <w:t>-16,863</w:t>
            </w:r>
          </w:p>
        </w:tc>
        <w:tc>
          <w:tcPr>
            <w:tcW w:w="1162" w:type="dxa"/>
            <w:tcBorders>
              <w:top w:val="nil"/>
              <w:bottom w:val="nil"/>
            </w:tcBorders>
            <w:shd w:val="clear" w:color="auto" w:fill="auto"/>
          </w:tcPr>
          <w:p w14:paraId="53DA1D06" w14:textId="77777777" w:rsidR="00CF0E2D" w:rsidRPr="00491D3E" w:rsidRDefault="00CF0E2D" w:rsidP="00A60D4B">
            <w:pPr>
              <w:pStyle w:val="Btablefigureunbold"/>
              <w:rPr>
                <w:szCs w:val="20"/>
              </w:rPr>
            </w:pPr>
            <w:r w:rsidRPr="00491D3E">
              <w:rPr>
                <w:rFonts w:cs="Calibri"/>
                <w:color w:val="000000"/>
                <w:szCs w:val="20"/>
              </w:rPr>
              <w:t>-9,657</w:t>
            </w:r>
          </w:p>
        </w:tc>
        <w:tc>
          <w:tcPr>
            <w:tcW w:w="1163" w:type="dxa"/>
            <w:tcBorders>
              <w:top w:val="nil"/>
              <w:bottom w:val="nil"/>
            </w:tcBorders>
          </w:tcPr>
          <w:p w14:paraId="71984652" w14:textId="77777777" w:rsidR="00CF0E2D" w:rsidRPr="00491D3E" w:rsidRDefault="00CF0E2D" w:rsidP="00A60D4B">
            <w:pPr>
              <w:pStyle w:val="Btablefigureunbold"/>
              <w:rPr>
                <w:szCs w:val="20"/>
              </w:rPr>
            </w:pPr>
            <w:r w:rsidRPr="00491D3E">
              <w:rPr>
                <w:rFonts w:cs="Calibri"/>
                <w:color w:val="000000"/>
                <w:szCs w:val="20"/>
              </w:rPr>
              <w:t>-3,865</w:t>
            </w:r>
          </w:p>
        </w:tc>
        <w:tc>
          <w:tcPr>
            <w:tcW w:w="1163" w:type="dxa"/>
            <w:tcBorders>
              <w:top w:val="nil"/>
              <w:bottom w:val="nil"/>
            </w:tcBorders>
          </w:tcPr>
          <w:p w14:paraId="79CE9B24" w14:textId="77777777" w:rsidR="00CF0E2D" w:rsidRPr="00491D3E" w:rsidRDefault="00CF0E2D" w:rsidP="00A60D4B">
            <w:pPr>
              <w:pStyle w:val="Btablefigureunbold"/>
              <w:rPr>
                <w:b/>
                <w:bCs/>
                <w:szCs w:val="20"/>
              </w:rPr>
            </w:pPr>
            <w:r>
              <w:rPr>
                <w:rFonts w:cs="Calibri"/>
                <w:b/>
                <w:bCs/>
                <w:color w:val="000000"/>
                <w:szCs w:val="20"/>
              </w:rPr>
              <w:t>-</w:t>
            </w:r>
            <w:r w:rsidRPr="00491D3E">
              <w:rPr>
                <w:rFonts w:cs="Calibri"/>
                <w:b/>
                <w:bCs/>
                <w:color w:val="000000"/>
                <w:szCs w:val="20"/>
              </w:rPr>
              <w:t>212,373</w:t>
            </w:r>
          </w:p>
        </w:tc>
      </w:tr>
      <w:tr w:rsidR="00CF0E2D" w:rsidRPr="00337DC9" w14:paraId="2858FBBE" w14:textId="77777777" w:rsidTr="00A60D4B">
        <w:trPr>
          <w:trHeight w:val="270"/>
        </w:trPr>
        <w:tc>
          <w:tcPr>
            <w:tcW w:w="3261" w:type="dxa"/>
            <w:tcBorders>
              <w:top w:val="nil"/>
              <w:bottom w:val="nil"/>
            </w:tcBorders>
          </w:tcPr>
          <w:p w14:paraId="7B9C0936" w14:textId="77777777" w:rsidR="00CF0E2D" w:rsidRPr="00A15EAE" w:rsidRDefault="00CF0E2D" w:rsidP="00A60D4B">
            <w:pPr>
              <w:pStyle w:val="Btabletextunbold"/>
              <w:ind w:left="314" w:hanging="142"/>
            </w:pPr>
            <w:r w:rsidRPr="00A15EAE">
              <w:t>Expense offset provisions</w:t>
            </w:r>
          </w:p>
        </w:tc>
        <w:tc>
          <w:tcPr>
            <w:tcW w:w="1162" w:type="dxa"/>
            <w:tcBorders>
              <w:top w:val="nil"/>
              <w:bottom w:val="nil"/>
            </w:tcBorders>
            <w:shd w:val="clear" w:color="auto" w:fill="auto"/>
          </w:tcPr>
          <w:p w14:paraId="2C1A5926" w14:textId="77777777" w:rsidR="00CF0E2D" w:rsidRPr="00491D3E" w:rsidRDefault="00CF0E2D" w:rsidP="00A60D4B">
            <w:pPr>
              <w:pStyle w:val="Btablefigureunbold"/>
              <w:rPr>
                <w:szCs w:val="20"/>
              </w:rPr>
            </w:pPr>
            <w:r w:rsidRPr="00491D3E">
              <w:rPr>
                <w:rFonts w:cs="Calibri"/>
                <w:color w:val="000000"/>
                <w:szCs w:val="20"/>
              </w:rPr>
              <w:t>-29,419</w:t>
            </w:r>
          </w:p>
        </w:tc>
        <w:tc>
          <w:tcPr>
            <w:tcW w:w="1162" w:type="dxa"/>
            <w:tcBorders>
              <w:top w:val="nil"/>
              <w:bottom w:val="nil"/>
            </w:tcBorders>
            <w:shd w:val="clear" w:color="472D8C" w:fill="auto"/>
          </w:tcPr>
          <w:p w14:paraId="09DADC74" w14:textId="77777777" w:rsidR="00CF0E2D" w:rsidRPr="00491D3E" w:rsidRDefault="00CF0E2D" w:rsidP="00A60D4B">
            <w:pPr>
              <w:pStyle w:val="Btablefigureunbold"/>
              <w:rPr>
                <w:color w:val="000000"/>
                <w:szCs w:val="20"/>
              </w:rPr>
            </w:pPr>
            <w:r w:rsidRPr="00491D3E">
              <w:rPr>
                <w:rFonts w:cs="Calibri"/>
                <w:color w:val="000000"/>
                <w:szCs w:val="20"/>
              </w:rPr>
              <w:t>-8,260</w:t>
            </w:r>
          </w:p>
        </w:tc>
        <w:tc>
          <w:tcPr>
            <w:tcW w:w="1162" w:type="dxa"/>
            <w:tcBorders>
              <w:top w:val="nil"/>
              <w:bottom w:val="nil"/>
            </w:tcBorders>
            <w:shd w:val="clear" w:color="auto" w:fill="auto"/>
          </w:tcPr>
          <w:p w14:paraId="2C47F2DB" w14:textId="77777777" w:rsidR="00CF0E2D" w:rsidRPr="00491D3E" w:rsidRDefault="00CF0E2D" w:rsidP="00A60D4B">
            <w:pPr>
              <w:pStyle w:val="Btablefigureunbold"/>
              <w:rPr>
                <w:szCs w:val="20"/>
              </w:rPr>
            </w:pPr>
            <w:r w:rsidRPr="00491D3E">
              <w:rPr>
                <w:rFonts w:cs="Calibri"/>
                <w:color w:val="000000"/>
                <w:szCs w:val="20"/>
              </w:rPr>
              <w:t>-7,366</w:t>
            </w:r>
          </w:p>
        </w:tc>
        <w:tc>
          <w:tcPr>
            <w:tcW w:w="1163" w:type="dxa"/>
            <w:tcBorders>
              <w:top w:val="nil"/>
              <w:bottom w:val="nil"/>
            </w:tcBorders>
          </w:tcPr>
          <w:p w14:paraId="5F3C958C" w14:textId="77777777" w:rsidR="00CF0E2D" w:rsidRPr="00491D3E" w:rsidRDefault="00CF0E2D" w:rsidP="00A60D4B">
            <w:pPr>
              <w:pStyle w:val="Btablefigureunbold"/>
              <w:rPr>
                <w:szCs w:val="20"/>
              </w:rPr>
            </w:pPr>
            <w:r w:rsidRPr="00491D3E">
              <w:rPr>
                <w:rFonts w:cs="Calibri"/>
                <w:color w:val="000000"/>
                <w:szCs w:val="20"/>
              </w:rPr>
              <w:t>-7,369</w:t>
            </w:r>
          </w:p>
        </w:tc>
        <w:tc>
          <w:tcPr>
            <w:tcW w:w="1163" w:type="dxa"/>
            <w:tcBorders>
              <w:top w:val="nil"/>
              <w:bottom w:val="nil"/>
            </w:tcBorders>
          </w:tcPr>
          <w:p w14:paraId="3241FB78" w14:textId="77777777" w:rsidR="00CF0E2D" w:rsidRPr="00491D3E" w:rsidRDefault="00CF0E2D" w:rsidP="00A60D4B">
            <w:pPr>
              <w:pStyle w:val="Btablefigureunbold"/>
              <w:rPr>
                <w:b/>
                <w:bCs/>
                <w:szCs w:val="20"/>
              </w:rPr>
            </w:pPr>
            <w:r>
              <w:rPr>
                <w:rFonts w:cs="Calibri"/>
                <w:b/>
                <w:bCs/>
                <w:color w:val="000000"/>
                <w:szCs w:val="20"/>
              </w:rPr>
              <w:t>-</w:t>
            </w:r>
            <w:r w:rsidRPr="00491D3E">
              <w:rPr>
                <w:rFonts w:cs="Calibri"/>
                <w:b/>
                <w:bCs/>
                <w:color w:val="000000"/>
                <w:szCs w:val="20"/>
              </w:rPr>
              <w:t>52,414</w:t>
            </w:r>
          </w:p>
        </w:tc>
      </w:tr>
      <w:tr w:rsidR="00CF0E2D" w:rsidRPr="00337DC9" w14:paraId="23A247CD" w14:textId="77777777" w:rsidTr="00A60D4B">
        <w:trPr>
          <w:trHeight w:val="270"/>
        </w:trPr>
        <w:tc>
          <w:tcPr>
            <w:tcW w:w="3261" w:type="dxa"/>
            <w:tcBorders>
              <w:top w:val="nil"/>
              <w:bottom w:val="nil"/>
            </w:tcBorders>
          </w:tcPr>
          <w:p w14:paraId="78BE76FF" w14:textId="77777777" w:rsidR="00CF0E2D" w:rsidRPr="00A15EAE" w:rsidRDefault="00CF0E2D" w:rsidP="00A60D4B">
            <w:pPr>
              <w:pStyle w:val="Btabletextunbold"/>
              <w:ind w:left="314" w:hanging="142"/>
            </w:pPr>
            <w:r w:rsidRPr="00A15EAE">
              <w:t>Savings</w:t>
            </w:r>
          </w:p>
        </w:tc>
        <w:tc>
          <w:tcPr>
            <w:tcW w:w="1162" w:type="dxa"/>
            <w:tcBorders>
              <w:top w:val="nil"/>
              <w:bottom w:val="nil"/>
            </w:tcBorders>
            <w:shd w:val="clear" w:color="auto" w:fill="auto"/>
          </w:tcPr>
          <w:p w14:paraId="3DE7FFB6" w14:textId="77777777" w:rsidR="00CF0E2D" w:rsidRPr="00491D3E" w:rsidRDefault="00CF0E2D" w:rsidP="00A60D4B">
            <w:pPr>
              <w:pStyle w:val="Btablefigureunbold"/>
              <w:rPr>
                <w:szCs w:val="20"/>
              </w:rPr>
            </w:pPr>
            <w:r w:rsidRPr="00491D3E">
              <w:rPr>
                <w:rFonts w:cs="Calibri"/>
                <w:color w:val="000000"/>
                <w:szCs w:val="20"/>
              </w:rPr>
              <w:t>-11,401</w:t>
            </w:r>
          </w:p>
        </w:tc>
        <w:tc>
          <w:tcPr>
            <w:tcW w:w="1162" w:type="dxa"/>
            <w:tcBorders>
              <w:top w:val="nil"/>
              <w:bottom w:val="nil"/>
            </w:tcBorders>
            <w:shd w:val="clear" w:color="472D8C" w:fill="auto"/>
          </w:tcPr>
          <w:p w14:paraId="0849B253" w14:textId="77777777" w:rsidR="00CF0E2D" w:rsidRPr="00491D3E" w:rsidRDefault="00CF0E2D" w:rsidP="00A60D4B">
            <w:pPr>
              <w:pStyle w:val="Btablefigureunbold"/>
              <w:rPr>
                <w:color w:val="000000"/>
                <w:szCs w:val="20"/>
              </w:rPr>
            </w:pPr>
            <w:r w:rsidRPr="00491D3E">
              <w:rPr>
                <w:rFonts w:cs="Calibri"/>
                <w:color w:val="000000"/>
                <w:szCs w:val="20"/>
              </w:rPr>
              <w:t>-9,259</w:t>
            </w:r>
          </w:p>
        </w:tc>
        <w:tc>
          <w:tcPr>
            <w:tcW w:w="1162" w:type="dxa"/>
            <w:tcBorders>
              <w:top w:val="nil"/>
              <w:bottom w:val="nil"/>
            </w:tcBorders>
            <w:shd w:val="clear" w:color="auto" w:fill="auto"/>
          </w:tcPr>
          <w:p w14:paraId="0E4ADF64" w14:textId="77777777" w:rsidR="00CF0E2D" w:rsidRPr="00491D3E" w:rsidRDefault="00CF0E2D" w:rsidP="00A60D4B">
            <w:pPr>
              <w:pStyle w:val="Btablefigureunbold"/>
              <w:rPr>
                <w:szCs w:val="20"/>
              </w:rPr>
            </w:pPr>
            <w:r w:rsidRPr="00491D3E">
              <w:rPr>
                <w:rFonts w:cs="Calibri"/>
                <w:color w:val="000000"/>
                <w:szCs w:val="20"/>
              </w:rPr>
              <w:t>-9,368</w:t>
            </w:r>
          </w:p>
        </w:tc>
        <w:tc>
          <w:tcPr>
            <w:tcW w:w="1163" w:type="dxa"/>
            <w:tcBorders>
              <w:top w:val="nil"/>
              <w:bottom w:val="nil"/>
            </w:tcBorders>
          </w:tcPr>
          <w:p w14:paraId="6968AC82" w14:textId="77777777" w:rsidR="00CF0E2D" w:rsidRPr="00491D3E" w:rsidRDefault="00CF0E2D" w:rsidP="00A60D4B">
            <w:pPr>
              <w:pStyle w:val="Btablefigureunbold"/>
              <w:rPr>
                <w:szCs w:val="20"/>
              </w:rPr>
            </w:pPr>
            <w:r w:rsidRPr="00491D3E">
              <w:rPr>
                <w:rFonts w:cs="Calibri"/>
                <w:color w:val="000000"/>
                <w:szCs w:val="20"/>
              </w:rPr>
              <w:t>-9,496</w:t>
            </w:r>
          </w:p>
        </w:tc>
        <w:tc>
          <w:tcPr>
            <w:tcW w:w="1163" w:type="dxa"/>
            <w:tcBorders>
              <w:top w:val="nil"/>
              <w:bottom w:val="nil"/>
            </w:tcBorders>
          </w:tcPr>
          <w:p w14:paraId="6FAEE55E" w14:textId="77777777" w:rsidR="00CF0E2D" w:rsidRPr="00491D3E" w:rsidRDefault="00CF0E2D" w:rsidP="00A60D4B">
            <w:pPr>
              <w:pStyle w:val="Btablefigureunbold"/>
              <w:rPr>
                <w:b/>
                <w:bCs/>
                <w:szCs w:val="20"/>
              </w:rPr>
            </w:pPr>
            <w:r>
              <w:rPr>
                <w:rFonts w:cs="Calibri"/>
                <w:b/>
                <w:bCs/>
                <w:color w:val="000000"/>
                <w:szCs w:val="20"/>
              </w:rPr>
              <w:t>-</w:t>
            </w:r>
            <w:r w:rsidRPr="00491D3E">
              <w:rPr>
                <w:rFonts w:cs="Calibri"/>
                <w:b/>
                <w:bCs/>
                <w:color w:val="000000"/>
                <w:szCs w:val="20"/>
              </w:rPr>
              <w:t>39,524</w:t>
            </w:r>
          </w:p>
        </w:tc>
      </w:tr>
      <w:tr w:rsidR="00CF0E2D" w:rsidRPr="00337DC9" w14:paraId="2EB79B7C" w14:textId="77777777" w:rsidTr="00A60D4B">
        <w:trPr>
          <w:trHeight w:val="270"/>
        </w:trPr>
        <w:tc>
          <w:tcPr>
            <w:tcW w:w="3261" w:type="dxa"/>
            <w:tcBorders>
              <w:top w:val="nil"/>
              <w:bottom w:val="nil"/>
            </w:tcBorders>
          </w:tcPr>
          <w:p w14:paraId="23A958AB" w14:textId="77777777" w:rsidR="00CF0E2D" w:rsidRPr="00A15EAE" w:rsidRDefault="00CF0E2D" w:rsidP="00A60D4B">
            <w:pPr>
              <w:pStyle w:val="Btabletextunbold"/>
              <w:ind w:left="314" w:hanging="142"/>
            </w:pPr>
            <w:r w:rsidRPr="00A15EAE">
              <w:t>Revenue</w:t>
            </w:r>
          </w:p>
        </w:tc>
        <w:tc>
          <w:tcPr>
            <w:tcW w:w="1162" w:type="dxa"/>
            <w:tcBorders>
              <w:top w:val="nil"/>
              <w:left w:val="nil"/>
              <w:bottom w:val="nil"/>
              <w:right w:val="nil"/>
            </w:tcBorders>
            <w:shd w:val="clear" w:color="auto" w:fill="auto"/>
          </w:tcPr>
          <w:p w14:paraId="32BB5FC1" w14:textId="77777777" w:rsidR="00CF0E2D" w:rsidRPr="00B76905" w:rsidRDefault="00CF0E2D" w:rsidP="00A60D4B">
            <w:pPr>
              <w:pStyle w:val="Btablefigureunbold"/>
              <w:rPr>
                <w:rFonts w:cs="Calibri"/>
                <w:color w:val="000000"/>
                <w:szCs w:val="20"/>
              </w:rPr>
            </w:pPr>
            <w:r w:rsidRPr="00B76905">
              <w:rPr>
                <w:rFonts w:cs="Calibri"/>
                <w:color w:val="000000"/>
                <w:szCs w:val="20"/>
              </w:rPr>
              <w:t>-35,511</w:t>
            </w:r>
          </w:p>
        </w:tc>
        <w:tc>
          <w:tcPr>
            <w:tcW w:w="1162" w:type="dxa"/>
            <w:tcBorders>
              <w:top w:val="nil"/>
              <w:left w:val="nil"/>
              <w:bottom w:val="nil"/>
              <w:right w:val="nil"/>
            </w:tcBorders>
            <w:shd w:val="clear" w:color="auto" w:fill="auto"/>
          </w:tcPr>
          <w:p w14:paraId="59553B77" w14:textId="77777777" w:rsidR="00CF0E2D" w:rsidRPr="00B76905" w:rsidRDefault="00CF0E2D" w:rsidP="00A60D4B">
            <w:pPr>
              <w:pStyle w:val="Btablefigureunbold"/>
              <w:rPr>
                <w:rFonts w:cs="Calibri"/>
                <w:color w:val="000000"/>
                <w:szCs w:val="20"/>
              </w:rPr>
            </w:pPr>
            <w:r w:rsidRPr="00B76905">
              <w:rPr>
                <w:rFonts w:cs="Calibri"/>
                <w:color w:val="000000"/>
                <w:szCs w:val="20"/>
              </w:rPr>
              <w:t>-8,302</w:t>
            </w:r>
          </w:p>
        </w:tc>
        <w:tc>
          <w:tcPr>
            <w:tcW w:w="1162" w:type="dxa"/>
            <w:tcBorders>
              <w:top w:val="nil"/>
              <w:left w:val="nil"/>
              <w:bottom w:val="nil"/>
              <w:right w:val="nil"/>
            </w:tcBorders>
            <w:shd w:val="clear" w:color="auto" w:fill="auto"/>
          </w:tcPr>
          <w:p w14:paraId="35D72198" w14:textId="77777777" w:rsidR="00CF0E2D" w:rsidRPr="00B76905" w:rsidRDefault="00CF0E2D" w:rsidP="00A60D4B">
            <w:pPr>
              <w:pStyle w:val="Btablefigureunbold"/>
              <w:rPr>
                <w:rFonts w:cs="Calibri"/>
                <w:color w:val="000000"/>
                <w:szCs w:val="20"/>
              </w:rPr>
            </w:pPr>
            <w:r w:rsidRPr="00B76905">
              <w:rPr>
                <w:rFonts w:cs="Calibri"/>
                <w:color w:val="000000"/>
                <w:szCs w:val="20"/>
              </w:rPr>
              <w:t>-9,705</w:t>
            </w:r>
          </w:p>
        </w:tc>
        <w:tc>
          <w:tcPr>
            <w:tcW w:w="1163" w:type="dxa"/>
            <w:tcBorders>
              <w:top w:val="nil"/>
              <w:left w:val="nil"/>
              <w:bottom w:val="nil"/>
              <w:right w:val="nil"/>
            </w:tcBorders>
            <w:shd w:val="clear" w:color="auto" w:fill="auto"/>
          </w:tcPr>
          <w:p w14:paraId="19308423" w14:textId="77777777" w:rsidR="00CF0E2D" w:rsidRPr="00B76905" w:rsidRDefault="00CF0E2D" w:rsidP="00A60D4B">
            <w:pPr>
              <w:pStyle w:val="Btablefigureunbold"/>
              <w:rPr>
                <w:rFonts w:cs="Calibri"/>
                <w:color w:val="000000"/>
                <w:szCs w:val="20"/>
              </w:rPr>
            </w:pPr>
            <w:r w:rsidRPr="00B76905">
              <w:rPr>
                <w:rFonts w:cs="Calibri"/>
                <w:color w:val="000000"/>
                <w:szCs w:val="20"/>
              </w:rPr>
              <w:t>-9,766</w:t>
            </w:r>
          </w:p>
        </w:tc>
        <w:tc>
          <w:tcPr>
            <w:tcW w:w="1163" w:type="dxa"/>
            <w:tcBorders>
              <w:top w:val="nil"/>
              <w:left w:val="nil"/>
              <w:bottom w:val="nil"/>
              <w:right w:val="nil"/>
            </w:tcBorders>
            <w:shd w:val="clear" w:color="auto" w:fill="auto"/>
          </w:tcPr>
          <w:p w14:paraId="7549E3DD" w14:textId="77777777" w:rsidR="00CF0E2D" w:rsidRPr="00B76905" w:rsidRDefault="00CF0E2D" w:rsidP="00A60D4B">
            <w:pPr>
              <w:pStyle w:val="Btablefigureunbold"/>
              <w:rPr>
                <w:rFonts w:cs="Calibri"/>
                <w:b/>
                <w:bCs/>
                <w:color w:val="000000"/>
                <w:szCs w:val="20"/>
              </w:rPr>
            </w:pPr>
            <w:r w:rsidRPr="00B76905">
              <w:rPr>
                <w:rFonts w:cs="Calibri"/>
                <w:b/>
                <w:bCs/>
                <w:color w:val="000000"/>
                <w:szCs w:val="20"/>
              </w:rPr>
              <w:t xml:space="preserve">-63,284 </w:t>
            </w:r>
          </w:p>
        </w:tc>
      </w:tr>
      <w:tr w:rsidR="00CF0E2D" w:rsidRPr="00337DC9" w14:paraId="0CE81DF2" w14:textId="77777777" w:rsidTr="00A60D4B">
        <w:trPr>
          <w:trHeight w:val="270"/>
        </w:trPr>
        <w:tc>
          <w:tcPr>
            <w:tcW w:w="3261" w:type="dxa"/>
            <w:tcBorders>
              <w:top w:val="nil"/>
              <w:bottom w:val="nil"/>
            </w:tcBorders>
          </w:tcPr>
          <w:p w14:paraId="54D4A3CF" w14:textId="77777777" w:rsidR="00CF0E2D" w:rsidRPr="00A15EAE" w:rsidRDefault="00CF0E2D" w:rsidP="00A60D4B">
            <w:pPr>
              <w:pStyle w:val="Btabletextunbold"/>
              <w:ind w:left="314" w:hanging="142"/>
              <w:rPr>
                <w:b/>
                <w:bCs/>
                <w:i/>
                <w:iCs/>
              </w:rPr>
            </w:pPr>
            <w:r w:rsidRPr="00A15EAE">
              <w:rPr>
                <w:b/>
                <w:bCs/>
              </w:rPr>
              <w:t>Total offsets</w:t>
            </w:r>
          </w:p>
        </w:tc>
        <w:tc>
          <w:tcPr>
            <w:tcW w:w="1162" w:type="dxa"/>
            <w:tcBorders>
              <w:top w:val="nil"/>
              <w:bottom w:val="nil"/>
            </w:tcBorders>
            <w:shd w:val="clear" w:color="auto" w:fill="auto"/>
          </w:tcPr>
          <w:p w14:paraId="7C9D2C24" w14:textId="77777777" w:rsidR="00CF0E2D" w:rsidRPr="00491D3E" w:rsidRDefault="00CF0E2D" w:rsidP="00A60D4B">
            <w:pPr>
              <w:pStyle w:val="Btablefigureunbold"/>
              <w:rPr>
                <w:b/>
                <w:bCs/>
                <w:szCs w:val="20"/>
              </w:rPr>
            </w:pPr>
            <w:r w:rsidRPr="0010515B">
              <w:t>-314,743</w:t>
            </w:r>
          </w:p>
        </w:tc>
        <w:tc>
          <w:tcPr>
            <w:tcW w:w="1162" w:type="dxa"/>
            <w:tcBorders>
              <w:top w:val="nil"/>
              <w:bottom w:val="nil"/>
            </w:tcBorders>
            <w:shd w:val="clear" w:color="472D8C" w:fill="auto"/>
          </w:tcPr>
          <w:p w14:paraId="34B34928" w14:textId="77777777" w:rsidR="00CF0E2D" w:rsidRPr="00491D3E" w:rsidRDefault="00CF0E2D" w:rsidP="00A60D4B">
            <w:pPr>
              <w:pStyle w:val="Btablefigureunbold"/>
              <w:rPr>
                <w:b/>
                <w:bCs/>
                <w:color w:val="000000"/>
                <w:szCs w:val="20"/>
              </w:rPr>
            </w:pPr>
            <w:r w:rsidRPr="0010515B">
              <w:t>-115,731</w:t>
            </w:r>
          </w:p>
        </w:tc>
        <w:tc>
          <w:tcPr>
            <w:tcW w:w="1162" w:type="dxa"/>
            <w:tcBorders>
              <w:top w:val="nil"/>
              <w:bottom w:val="nil"/>
            </w:tcBorders>
            <w:shd w:val="clear" w:color="auto" w:fill="auto"/>
          </w:tcPr>
          <w:p w14:paraId="5D0A428B" w14:textId="77777777" w:rsidR="00CF0E2D" w:rsidRPr="00491D3E" w:rsidRDefault="00CF0E2D" w:rsidP="00A60D4B">
            <w:pPr>
              <w:pStyle w:val="Btablefigureunbold"/>
              <w:rPr>
                <w:b/>
                <w:bCs/>
                <w:szCs w:val="20"/>
              </w:rPr>
            </w:pPr>
            <w:r w:rsidRPr="0010515B">
              <w:t>-109,499</w:t>
            </w:r>
          </w:p>
        </w:tc>
        <w:tc>
          <w:tcPr>
            <w:tcW w:w="1163" w:type="dxa"/>
            <w:tcBorders>
              <w:top w:val="nil"/>
              <w:bottom w:val="nil"/>
            </w:tcBorders>
          </w:tcPr>
          <w:p w14:paraId="6DA7C57B" w14:textId="77777777" w:rsidR="00CF0E2D" w:rsidRPr="00491D3E" w:rsidRDefault="00CF0E2D" w:rsidP="00A60D4B">
            <w:pPr>
              <w:pStyle w:val="Btablefigureunbold"/>
              <w:rPr>
                <w:b/>
                <w:bCs/>
                <w:szCs w:val="20"/>
              </w:rPr>
            </w:pPr>
            <w:r w:rsidRPr="0010515B">
              <w:t>-106,087</w:t>
            </w:r>
          </w:p>
        </w:tc>
        <w:tc>
          <w:tcPr>
            <w:tcW w:w="1163" w:type="dxa"/>
            <w:tcBorders>
              <w:top w:val="nil"/>
              <w:bottom w:val="nil"/>
            </w:tcBorders>
          </w:tcPr>
          <w:p w14:paraId="584FEA9B" w14:textId="77777777" w:rsidR="00CF0E2D" w:rsidRPr="00B76905" w:rsidRDefault="00CF0E2D" w:rsidP="00A60D4B">
            <w:pPr>
              <w:pStyle w:val="Btablefigureunbold"/>
              <w:rPr>
                <w:b/>
                <w:bCs/>
                <w:szCs w:val="20"/>
              </w:rPr>
            </w:pPr>
            <w:r w:rsidRPr="00B76905">
              <w:rPr>
                <w:b/>
                <w:bCs/>
              </w:rPr>
              <w:t>-646,060</w:t>
            </w:r>
          </w:p>
        </w:tc>
      </w:tr>
      <w:tr w:rsidR="00CF0E2D" w:rsidRPr="00337DC9" w14:paraId="2F2DF887" w14:textId="77777777" w:rsidTr="00A60D4B">
        <w:trPr>
          <w:trHeight w:val="397"/>
        </w:trPr>
        <w:tc>
          <w:tcPr>
            <w:tcW w:w="3261" w:type="dxa"/>
            <w:tcBorders>
              <w:top w:val="nil"/>
              <w:bottom w:val="nil"/>
            </w:tcBorders>
          </w:tcPr>
          <w:p w14:paraId="3FD17407" w14:textId="77777777" w:rsidR="00CF0E2D" w:rsidRPr="00A15EAE" w:rsidRDefault="00CF0E2D" w:rsidP="00A60D4B">
            <w:pPr>
              <w:pStyle w:val="Btabletextitalic"/>
              <w:ind w:left="0" w:firstLine="0"/>
              <w:rPr>
                <w:b/>
                <w:bCs/>
                <w:i w:val="0"/>
                <w:iCs/>
              </w:rPr>
            </w:pPr>
            <w:r w:rsidRPr="00A15EAE">
              <w:rPr>
                <w:b/>
                <w:bCs/>
                <w:i w:val="0"/>
                <w:iCs/>
              </w:rPr>
              <w:t>Net cost of services</w:t>
            </w:r>
          </w:p>
        </w:tc>
        <w:tc>
          <w:tcPr>
            <w:tcW w:w="1162" w:type="dxa"/>
            <w:tcBorders>
              <w:top w:val="nil"/>
              <w:bottom w:val="nil"/>
            </w:tcBorders>
            <w:shd w:val="clear" w:color="auto" w:fill="auto"/>
          </w:tcPr>
          <w:p w14:paraId="615D0356" w14:textId="77777777" w:rsidR="00CF0E2D" w:rsidRPr="00B76905" w:rsidRDefault="00CF0E2D" w:rsidP="00A60D4B">
            <w:pPr>
              <w:pStyle w:val="Btablefigureunbold"/>
              <w:rPr>
                <w:b/>
                <w:bCs/>
              </w:rPr>
            </w:pPr>
            <w:r w:rsidRPr="00B76905">
              <w:rPr>
                <w:b/>
                <w:bCs/>
              </w:rPr>
              <w:t>561,283</w:t>
            </w:r>
          </w:p>
        </w:tc>
        <w:tc>
          <w:tcPr>
            <w:tcW w:w="1162" w:type="dxa"/>
            <w:tcBorders>
              <w:top w:val="nil"/>
              <w:bottom w:val="nil"/>
            </w:tcBorders>
            <w:shd w:val="clear" w:color="472D8C" w:fill="auto"/>
          </w:tcPr>
          <w:p w14:paraId="4855EF6E" w14:textId="77777777" w:rsidR="00CF0E2D" w:rsidRPr="00B76905" w:rsidRDefault="00CF0E2D" w:rsidP="00A60D4B">
            <w:pPr>
              <w:pStyle w:val="Btablefigureunbold"/>
              <w:rPr>
                <w:b/>
                <w:bCs/>
                <w:color w:val="000000"/>
              </w:rPr>
            </w:pPr>
            <w:r w:rsidRPr="00B76905">
              <w:rPr>
                <w:b/>
                <w:bCs/>
              </w:rPr>
              <w:t>260,043</w:t>
            </w:r>
          </w:p>
        </w:tc>
        <w:tc>
          <w:tcPr>
            <w:tcW w:w="1162" w:type="dxa"/>
            <w:tcBorders>
              <w:top w:val="nil"/>
              <w:bottom w:val="nil"/>
            </w:tcBorders>
            <w:shd w:val="clear" w:color="auto" w:fill="auto"/>
          </w:tcPr>
          <w:p w14:paraId="23CF2C19" w14:textId="77777777" w:rsidR="00CF0E2D" w:rsidRPr="00B76905" w:rsidRDefault="00CF0E2D" w:rsidP="00A60D4B">
            <w:pPr>
              <w:pStyle w:val="Btablefigureunbold"/>
              <w:rPr>
                <w:b/>
                <w:bCs/>
              </w:rPr>
            </w:pPr>
            <w:r w:rsidRPr="00B76905">
              <w:rPr>
                <w:b/>
                <w:bCs/>
              </w:rPr>
              <w:t>256,068</w:t>
            </w:r>
          </w:p>
        </w:tc>
        <w:tc>
          <w:tcPr>
            <w:tcW w:w="1163" w:type="dxa"/>
            <w:tcBorders>
              <w:top w:val="nil"/>
              <w:bottom w:val="nil"/>
            </w:tcBorders>
          </w:tcPr>
          <w:p w14:paraId="5DDB8C74" w14:textId="77777777" w:rsidR="00CF0E2D" w:rsidRPr="00B76905" w:rsidRDefault="00CF0E2D" w:rsidP="00A60D4B">
            <w:pPr>
              <w:pStyle w:val="Btablefigureunbold"/>
              <w:rPr>
                <w:b/>
                <w:bCs/>
              </w:rPr>
            </w:pPr>
            <w:r w:rsidRPr="00B76905">
              <w:rPr>
                <w:b/>
                <w:bCs/>
              </w:rPr>
              <w:t>282,477</w:t>
            </w:r>
          </w:p>
        </w:tc>
        <w:tc>
          <w:tcPr>
            <w:tcW w:w="1163" w:type="dxa"/>
            <w:tcBorders>
              <w:top w:val="nil"/>
              <w:bottom w:val="nil"/>
            </w:tcBorders>
          </w:tcPr>
          <w:p w14:paraId="4AA82205" w14:textId="77777777" w:rsidR="00CF0E2D" w:rsidRPr="00B76905" w:rsidRDefault="00CF0E2D" w:rsidP="00A60D4B">
            <w:pPr>
              <w:pStyle w:val="Btablefigureunbold"/>
              <w:rPr>
                <w:b/>
                <w:bCs/>
              </w:rPr>
            </w:pPr>
            <w:r w:rsidRPr="00B76905">
              <w:rPr>
                <w:b/>
                <w:bCs/>
              </w:rPr>
              <w:t>1,359,871</w:t>
            </w:r>
          </w:p>
        </w:tc>
      </w:tr>
      <w:tr w:rsidR="00CF0E2D" w:rsidRPr="00337DC9" w14:paraId="31E0EA57" w14:textId="77777777" w:rsidTr="00A60D4B">
        <w:trPr>
          <w:trHeight w:val="397"/>
        </w:trPr>
        <w:tc>
          <w:tcPr>
            <w:tcW w:w="3261" w:type="dxa"/>
            <w:tcBorders>
              <w:top w:val="nil"/>
              <w:bottom w:val="nil"/>
            </w:tcBorders>
            <w:vAlign w:val="bottom"/>
          </w:tcPr>
          <w:p w14:paraId="11A41D4D" w14:textId="77777777" w:rsidR="00CF0E2D" w:rsidRPr="00A15EAE" w:rsidRDefault="00CF0E2D" w:rsidP="00A60D4B">
            <w:pPr>
              <w:pStyle w:val="Btabletextitalic"/>
              <w:rPr>
                <w:b/>
                <w:bCs/>
                <w:i w:val="0"/>
                <w:iCs/>
              </w:rPr>
            </w:pPr>
            <w:r w:rsidRPr="00A15EAE">
              <w:rPr>
                <w:b/>
                <w:bCs/>
                <w:i w:val="0"/>
                <w:iCs/>
              </w:rPr>
              <w:t>Capital works</w:t>
            </w:r>
          </w:p>
        </w:tc>
        <w:tc>
          <w:tcPr>
            <w:tcW w:w="1162" w:type="dxa"/>
            <w:tcBorders>
              <w:top w:val="nil"/>
              <w:bottom w:val="nil"/>
            </w:tcBorders>
            <w:shd w:val="clear" w:color="auto" w:fill="auto"/>
          </w:tcPr>
          <w:p w14:paraId="6004C6AC" w14:textId="77777777" w:rsidR="00CF0E2D" w:rsidRPr="00EC74DB" w:rsidRDefault="00CF0E2D" w:rsidP="00A60D4B">
            <w:pPr>
              <w:pStyle w:val="Btablefigureunbold"/>
            </w:pPr>
          </w:p>
        </w:tc>
        <w:tc>
          <w:tcPr>
            <w:tcW w:w="1162" w:type="dxa"/>
            <w:tcBorders>
              <w:top w:val="nil"/>
              <w:bottom w:val="nil"/>
            </w:tcBorders>
            <w:shd w:val="clear" w:color="472D8C" w:fill="auto"/>
          </w:tcPr>
          <w:p w14:paraId="32469B10" w14:textId="77777777" w:rsidR="00CF0E2D" w:rsidRPr="00111524" w:rsidRDefault="00CF0E2D" w:rsidP="00A60D4B">
            <w:pPr>
              <w:pStyle w:val="Btablefigureunbold"/>
              <w:rPr>
                <w:color w:val="000000"/>
              </w:rPr>
            </w:pPr>
          </w:p>
        </w:tc>
        <w:tc>
          <w:tcPr>
            <w:tcW w:w="1162" w:type="dxa"/>
            <w:tcBorders>
              <w:top w:val="nil"/>
              <w:bottom w:val="nil"/>
            </w:tcBorders>
            <w:shd w:val="clear" w:color="auto" w:fill="auto"/>
          </w:tcPr>
          <w:p w14:paraId="59B781D6" w14:textId="77777777" w:rsidR="00CF0E2D" w:rsidRPr="00EC74DB" w:rsidRDefault="00CF0E2D" w:rsidP="00A60D4B">
            <w:pPr>
              <w:pStyle w:val="Btablefigureunbold"/>
            </w:pPr>
          </w:p>
        </w:tc>
        <w:tc>
          <w:tcPr>
            <w:tcW w:w="1163" w:type="dxa"/>
            <w:tcBorders>
              <w:top w:val="nil"/>
              <w:bottom w:val="nil"/>
            </w:tcBorders>
          </w:tcPr>
          <w:p w14:paraId="6FFCE474" w14:textId="77777777" w:rsidR="00CF0E2D" w:rsidRPr="00EC74DB" w:rsidRDefault="00CF0E2D" w:rsidP="00A60D4B">
            <w:pPr>
              <w:pStyle w:val="Btablefigureunbold"/>
            </w:pPr>
          </w:p>
        </w:tc>
        <w:tc>
          <w:tcPr>
            <w:tcW w:w="1163" w:type="dxa"/>
            <w:tcBorders>
              <w:top w:val="nil"/>
              <w:bottom w:val="nil"/>
            </w:tcBorders>
          </w:tcPr>
          <w:p w14:paraId="53D51DB1" w14:textId="77777777" w:rsidR="00CF0E2D" w:rsidRPr="00A15EAE" w:rsidRDefault="00CF0E2D" w:rsidP="00A60D4B">
            <w:pPr>
              <w:pStyle w:val="Btablefigureunbold"/>
              <w:rPr>
                <w:b/>
                <w:bCs/>
              </w:rPr>
            </w:pPr>
          </w:p>
        </w:tc>
      </w:tr>
      <w:tr w:rsidR="00CF0E2D" w:rsidRPr="00337DC9" w14:paraId="60503821" w14:textId="77777777" w:rsidTr="00A60D4B">
        <w:trPr>
          <w:trHeight w:val="270"/>
        </w:trPr>
        <w:tc>
          <w:tcPr>
            <w:tcW w:w="3261" w:type="dxa"/>
            <w:tcBorders>
              <w:top w:val="nil"/>
              <w:bottom w:val="nil"/>
            </w:tcBorders>
          </w:tcPr>
          <w:p w14:paraId="1C8AD9AF" w14:textId="77777777" w:rsidR="00CF0E2D" w:rsidRPr="00A15EAE" w:rsidRDefault="00CF0E2D" w:rsidP="00A60D4B">
            <w:pPr>
              <w:pStyle w:val="Btabletextunbold"/>
              <w:ind w:left="314" w:hanging="142"/>
            </w:pPr>
            <w:r w:rsidRPr="00A15EAE">
              <w:t>Capital</w:t>
            </w:r>
          </w:p>
        </w:tc>
        <w:tc>
          <w:tcPr>
            <w:tcW w:w="1162" w:type="dxa"/>
            <w:tcBorders>
              <w:top w:val="nil"/>
              <w:bottom w:val="nil"/>
            </w:tcBorders>
            <w:shd w:val="clear" w:color="auto" w:fill="auto"/>
          </w:tcPr>
          <w:p w14:paraId="15CDCC65" w14:textId="77777777" w:rsidR="00CF0E2D" w:rsidRPr="00491D3E" w:rsidRDefault="00CF0E2D" w:rsidP="00A60D4B">
            <w:pPr>
              <w:pStyle w:val="Btablefigureunbold"/>
              <w:rPr>
                <w:szCs w:val="20"/>
              </w:rPr>
            </w:pPr>
            <w:r w:rsidRPr="006C2BC5">
              <w:t>297,836</w:t>
            </w:r>
          </w:p>
        </w:tc>
        <w:tc>
          <w:tcPr>
            <w:tcW w:w="1162" w:type="dxa"/>
            <w:tcBorders>
              <w:top w:val="nil"/>
              <w:bottom w:val="nil"/>
            </w:tcBorders>
            <w:shd w:val="clear" w:color="472D8C" w:fill="auto"/>
          </w:tcPr>
          <w:p w14:paraId="1326EC8D" w14:textId="77777777" w:rsidR="00CF0E2D" w:rsidRPr="00491D3E" w:rsidRDefault="00CF0E2D" w:rsidP="00A60D4B">
            <w:pPr>
              <w:pStyle w:val="Btablefigureunbold"/>
              <w:rPr>
                <w:color w:val="000000"/>
                <w:szCs w:val="20"/>
              </w:rPr>
            </w:pPr>
            <w:r w:rsidRPr="006C2BC5">
              <w:t>326,626</w:t>
            </w:r>
          </w:p>
        </w:tc>
        <w:tc>
          <w:tcPr>
            <w:tcW w:w="1162" w:type="dxa"/>
            <w:tcBorders>
              <w:top w:val="nil"/>
              <w:bottom w:val="nil"/>
            </w:tcBorders>
            <w:shd w:val="clear" w:color="auto" w:fill="auto"/>
          </w:tcPr>
          <w:p w14:paraId="574D96FE" w14:textId="77777777" w:rsidR="00CF0E2D" w:rsidRPr="00491D3E" w:rsidRDefault="00CF0E2D" w:rsidP="00A60D4B">
            <w:pPr>
              <w:pStyle w:val="Btablefigureunbold"/>
              <w:rPr>
                <w:szCs w:val="20"/>
              </w:rPr>
            </w:pPr>
            <w:r w:rsidRPr="006C2BC5">
              <w:t>230,223</w:t>
            </w:r>
          </w:p>
        </w:tc>
        <w:tc>
          <w:tcPr>
            <w:tcW w:w="1163" w:type="dxa"/>
            <w:tcBorders>
              <w:top w:val="nil"/>
              <w:bottom w:val="nil"/>
            </w:tcBorders>
          </w:tcPr>
          <w:p w14:paraId="56A669D6" w14:textId="77777777" w:rsidR="00CF0E2D" w:rsidRPr="00491D3E" w:rsidRDefault="00CF0E2D" w:rsidP="00A60D4B">
            <w:pPr>
              <w:pStyle w:val="Btablefigureunbold"/>
              <w:rPr>
                <w:szCs w:val="20"/>
              </w:rPr>
            </w:pPr>
            <w:r w:rsidRPr="006C2BC5">
              <w:t>177,762</w:t>
            </w:r>
          </w:p>
        </w:tc>
        <w:tc>
          <w:tcPr>
            <w:tcW w:w="1163" w:type="dxa"/>
            <w:tcBorders>
              <w:top w:val="nil"/>
              <w:bottom w:val="nil"/>
            </w:tcBorders>
          </w:tcPr>
          <w:p w14:paraId="49370F3B" w14:textId="77777777" w:rsidR="00CF0E2D" w:rsidRPr="00B76905" w:rsidRDefault="00CF0E2D" w:rsidP="00A60D4B">
            <w:pPr>
              <w:pStyle w:val="Btablefigureunbold"/>
              <w:rPr>
                <w:b/>
                <w:bCs/>
                <w:szCs w:val="20"/>
              </w:rPr>
            </w:pPr>
            <w:r w:rsidRPr="00B76905">
              <w:rPr>
                <w:b/>
                <w:bCs/>
              </w:rPr>
              <w:t>1,032,447</w:t>
            </w:r>
          </w:p>
        </w:tc>
      </w:tr>
      <w:tr w:rsidR="00CF0E2D" w:rsidRPr="00337DC9" w14:paraId="79540DD6" w14:textId="77777777" w:rsidTr="00A60D4B">
        <w:trPr>
          <w:trHeight w:val="270"/>
        </w:trPr>
        <w:tc>
          <w:tcPr>
            <w:tcW w:w="3261" w:type="dxa"/>
            <w:tcBorders>
              <w:top w:val="nil"/>
              <w:bottom w:val="nil"/>
            </w:tcBorders>
          </w:tcPr>
          <w:p w14:paraId="008620D6" w14:textId="77777777" w:rsidR="00CF0E2D" w:rsidRPr="00A15EAE" w:rsidRDefault="00CF0E2D" w:rsidP="00A60D4B">
            <w:pPr>
              <w:pStyle w:val="Btabletextunbold"/>
              <w:ind w:left="314" w:hanging="142"/>
            </w:pPr>
            <w:r w:rsidRPr="00A15EAE">
              <w:t>Capital provisions</w:t>
            </w:r>
          </w:p>
        </w:tc>
        <w:tc>
          <w:tcPr>
            <w:tcW w:w="1162" w:type="dxa"/>
            <w:tcBorders>
              <w:top w:val="nil"/>
              <w:bottom w:val="nil"/>
            </w:tcBorders>
            <w:shd w:val="clear" w:color="auto" w:fill="auto"/>
          </w:tcPr>
          <w:p w14:paraId="34A652DD" w14:textId="77777777" w:rsidR="00CF0E2D" w:rsidRPr="00491D3E" w:rsidRDefault="00CF0E2D" w:rsidP="00A60D4B">
            <w:pPr>
              <w:pStyle w:val="Btablefigureunbold"/>
              <w:rPr>
                <w:szCs w:val="20"/>
              </w:rPr>
            </w:pPr>
            <w:r w:rsidRPr="006C2BC5">
              <w:t>0</w:t>
            </w:r>
          </w:p>
        </w:tc>
        <w:tc>
          <w:tcPr>
            <w:tcW w:w="1162" w:type="dxa"/>
            <w:tcBorders>
              <w:top w:val="nil"/>
              <w:bottom w:val="nil"/>
            </w:tcBorders>
            <w:shd w:val="clear" w:color="472D8C" w:fill="auto"/>
          </w:tcPr>
          <w:p w14:paraId="6BC5A6B3" w14:textId="77777777" w:rsidR="00CF0E2D" w:rsidRPr="00491D3E" w:rsidRDefault="00CF0E2D" w:rsidP="00A60D4B">
            <w:pPr>
              <w:pStyle w:val="Btablefigureunbold"/>
              <w:rPr>
                <w:color w:val="000000"/>
                <w:szCs w:val="20"/>
              </w:rPr>
            </w:pPr>
            <w:r w:rsidRPr="006C2BC5">
              <w:t>34,896</w:t>
            </w:r>
          </w:p>
        </w:tc>
        <w:tc>
          <w:tcPr>
            <w:tcW w:w="1162" w:type="dxa"/>
            <w:tcBorders>
              <w:top w:val="nil"/>
              <w:bottom w:val="nil"/>
            </w:tcBorders>
            <w:shd w:val="clear" w:color="auto" w:fill="auto"/>
          </w:tcPr>
          <w:p w14:paraId="18991222" w14:textId="77777777" w:rsidR="00CF0E2D" w:rsidRPr="00491D3E" w:rsidRDefault="00CF0E2D" w:rsidP="00A60D4B">
            <w:pPr>
              <w:pStyle w:val="Btablefigureunbold"/>
              <w:rPr>
                <w:szCs w:val="20"/>
              </w:rPr>
            </w:pPr>
            <w:r w:rsidRPr="006C2BC5">
              <w:t>32,763</w:t>
            </w:r>
          </w:p>
        </w:tc>
        <w:tc>
          <w:tcPr>
            <w:tcW w:w="1163" w:type="dxa"/>
            <w:tcBorders>
              <w:top w:val="nil"/>
              <w:bottom w:val="nil"/>
            </w:tcBorders>
          </w:tcPr>
          <w:p w14:paraId="43597034" w14:textId="77777777" w:rsidR="00CF0E2D" w:rsidRPr="00491D3E" w:rsidRDefault="00CF0E2D" w:rsidP="00A60D4B">
            <w:pPr>
              <w:pStyle w:val="Btablefigureunbold"/>
              <w:rPr>
                <w:szCs w:val="20"/>
              </w:rPr>
            </w:pPr>
            <w:r w:rsidRPr="006C2BC5">
              <w:t>31,591</w:t>
            </w:r>
          </w:p>
        </w:tc>
        <w:tc>
          <w:tcPr>
            <w:tcW w:w="1163" w:type="dxa"/>
            <w:tcBorders>
              <w:top w:val="nil"/>
              <w:bottom w:val="nil"/>
            </w:tcBorders>
          </w:tcPr>
          <w:p w14:paraId="59324A2A" w14:textId="77777777" w:rsidR="00CF0E2D" w:rsidRPr="00B76905" w:rsidRDefault="00CF0E2D" w:rsidP="00A60D4B">
            <w:pPr>
              <w:pStyle w:val="Btablefigureunbold"/>
              <w:rPr>
                <w:b/>
                <w:bCs/>
                <w:szCs w:val="20"/>
              </w:rPr>
            </w:pPr>
            <w:r w:rsidRPr="00B76905">
              <w:rPr>
                <w:b/>
                <w:bCs/>
              </w:rPr>
              <w:t>99,250</w:t>
            </w:r>
          </w:p>
        </w:tc>
      </w:tr>
      <w:tr w:rsidR="00CF0E2D" w:rsidRPr="00337DC9" w14:paraId="2D08448A" w14:textId="77777777" w:rsidTr="00A60D4B">
        <w:trPr>
          <w:trHeight w:val="270"/>
        </w:trPr>
        <w:tc>
          <w:tcPr>
            <w:tcW w:w="3261" w:type="dxa"/>
            <w:tcBorders>
              <w:top w:val="nil"/>
              <w:bottom w:val="nil"/>
            </w:tcBorders>
          </w:tcPr>
          <w:p w14:paraId="28A3D01E" w14:textId="77777777" w:rsidR="00CF0E2D" w:rsidRPr="00A15EAE" w:rsidRDefault="00CF0E2D" w:rsidP="00A60D4B">
            <w:pPr>
              <w:pStyle w:val="Btabletextunbold"/>
              <w:ind w:left="314" w:hanging="142"/>
              <w:rPr>
                <w:b/>
                <w:bCs/>
                <w:i/>
                <w:iCs/>
              </w:rPr>
            </w:pPr>
            <w:r w:rsidRPr="00A15EAE">
              <w:rPr>
                <w:b/>
                <w:bCs/>
              </w:rPr>
              <w:t>Total capital</w:t>
            </w:r>
          </w:p>
        </w:tc>
        <w:tc>
          <w:tcPr>
            <w:tcW w:w="1162" w:type="dxa"/>
            <w:tcBorders>
              <w:top w:val="nil"/>
              <w:bottom w:val="nil"/>
            </w:tcBorders>
            <w:shd w:val="clear" w:color="auto" w:fill="auto"/>
          </w:tcPr>
          <w:p w14:paraId="2F73CEAA" w14:textId="77777777" w:rsidR="00CF0E2D" w:rsidRPr="00B76905" w:rsidRDefault="00CF0E2D" w:rsidP="00A60D4B">
            <w:pPr>
              <w:pStyle w:val="Btablefigureunbold"/>
              <w:rPr>
                <w:b/>
                <w:bCs/>
                <w:szCs w:val="20"/>
              </w:rPr>
            </w:pPr>
            <w:r w:rsidRPr="00B76905">
              <w:rPr>
                <w:b/>
                <w:bCs/>
              </w:rPr>
              <w:t>297,836</w:t>
            </w:r>
          </w:p>
        </w:tc>
        <w:tc>
          <w:tcPr>
            <w:tcW w:w="1162" w:type="dxa"/>
            <w:tcBorders>
              <w:top w:val="nil"/>
              <w:bottom w:val="nil"/>
            </w:tcBorders>
            <w:shd w:val="clear" w:color="472D8C" w:fill="auto"/>
          </w:tcPr>
          <w:p w14:paraId="08CC1957" w14:textId="77777777" w:rsidR="00CF0E2D" w:rsidRPr="00B76905" w:rsidRDefault="00CF0E2D" w:rsidP="00A60D4B">
            <w:pPr>
              <w:pStyle w:val="Btablefigureunbold"/>
              <w:rPr>
                <w:b/>
                <w:bCs/>
                <w:color w:val="000000"/>
                <w:szCs w:val="20"/>
              </w:rPr>
            </w:pPr>
            <w:r w:rsidRPr="00B76905">
              <w:rPr>
                <w:b/>
                <w:bCs/>
              </w:rPr>
              <w:t>361,522</w:t>
            </w:r>
          </w:p>
        </w:tc>
        <w:tc>
          <w:tcPr>
            <w:tcW w:w="1162" w:type="dxa"/>
            <w:tcBorders>
              <w:top w:val="nil"/>
              <w:bottom w:val="nil"/>
            </w:tcBorders>
            <w:shd w:val="clear" w:color="auto" w:fill="auto"/>
          </w:tcPr>
          <w:p w14:paraId="18F4E052" w14:textId="77777777" w:rsidR="00CF0E2D" w:rsidRPr="00B76905" w:rsidRDefault="00CF0E2D" w:rsidP="00A60D4B">
            <w:pPr>
              <w:pStyle w:val="Btablefigureunbold"/>
              <w:rPr>
                <w:b/>
                <w:bCs/>
                <w:szCs w:val="20"/>
              </w:rPr>
            </w:pPr>
            <w:r w:rsidRPr="00B76905">
              <w:rPr>
                <w:b/>
                <w:bCs/>
              </w:rPr>
              <w:t>262,986</w:t>
            </w:r>
          </w:p>
        </w:tc>
        <w:tc>
          <w:tcPr>
            <w:tcW w:w="1163" w:type="dxa"/>
            <w:tcBorders>
              <w:top w:val="nil"/>
              <w:bottom w:val="nil"/>
            </w:tcBorders>
          </w:tcPr>
          <w:p w14:paraId="054E68BC" w14:textId="77777777" w:rsidR="00CF0E2D" w:rsidRPr="00B76905" w:rsidRDefault="00CF0E2D" w:rsidP="00A60D4B">
            <w:pPr>
              <w:pStyle w:val="Btablefigureunbold"/>
              <w:rPr>
                <w:b/>
                <w:bCs/>
                <w:szCs w:val="20"/>
              </w:rPr>
            </w:pPr>
            <w:r w:rsidRPr="00B76905">
              <w:rPr>
                <w:b/>
                <w:bCs/>
              </w:rPr>
              <w:t>209,353</w:t>
            </w:r>
          </w:p>
        </w:tc>
        <w:tc>
          <w:tcPr>
            <w:tcW w:w="1163" w:type="dxa"/>
            <w:tcBorders>
              <w:top w:val="nil"/>
              <w:bottom w:val="nil"/>
            </w:tcBorders>
          </w:tcPr>
          <w:p w14:paraId="2C149797" w14:textId="77777777" w:rsidR="00CF0E2D" w:rsidRPr="00B76905" w:rsidRDefault="00CF0E2D" w:rsidP="00A60D4B">
            <w:pPr>
              <w:pStyle w:val="Btablefigureunbold"/>
              <w:rPr>
                <w:b/>
                <w:bCs/>
                <w:szCs w:val="20"/>
              </w:rPr>
            </w:pPr>
            <w:r w:rsidRPr="00B76905">
              <w:rPr>
                <w:b/>
                <w:bCs/>
              </w:rPr>
              <w:t>1,131,697</w:t>
            </w:r>
          </w:p>
        </w:tc>
      </w:tr>
      <w:tr w:rsidR="00CF0E2D" w:rsidRPr="00337DC9" w14:paraId="540B739E" w14:textId="77777777" w:rsidTr="00A60D4B">
        <w:trPr>
          <w:trHeight w:val="397"/>
        </w:trPr>
        <w:tc>
          <w:tcPr>
            <w:tcW w:w="3261" w:type="dxa"/>
            <w:tcBorders>
              <w:top w:val="nil"/>
              <w:bottom w:val="nil"/>
            </w:tcBorders>
            <w:vAlign w:val="bottom"/>
          </w:tcPr>
          <w:p w14:paraId="313A1CF4" w14:textId="77777777" w:rsidR="00CF0E2D" w:rsidRPr="00A15EAE" w:rsidRDefault="00CF0E2D" w:rsidP="00A60D4B">
            <w:pPr>
              <w:pStyle w:val="Btabletextitalic"/>
            </w:pPr>
            <w:r w:rsidRPr="00A15EAE">
              <w:t>offset by</w:t>
            </w:r>
          </w:p>
        </w:tc>
        <w:tc>
          <w:tcPr>
            <w:tcW w:w="1162" w:type="dxa"/>
            <w:tcBorders>
              <w:top w:val="nil"/>
              <w:bottom w:val="nil"/>
            </w:tcBorders>
            <w:shd w:val="clear" w:color="auto" w:fill="auto"/>
          </w:tcPr>
          <w:p w14:paraId="1D7586AC" w14:textId="77777777" w:rsidR="00CF0E2D" w:rsidRPr="00491D3E" w:rsidRDefault="00CF0E2D" w:rsidP="00A60D4B">
            <w:pPr>
              <w:pStyle w:val="Btablefigureunbold"/>
              <w:rPr>
                <w:szCs w:val="20"/>
              </w:rPr>
            </w:pPr>
          </w:p>
        </w:tc>
        <w:tc>
          <w:tcPr>
            <w:tcW w:w="1162" w:type="dxa"/>
            <w:tcBorders>
              <w:top w:val="nil"/>
              <w:bottom w:val="nil"/>
            </w:tcBorders>
            <w:shd w:val="clear" w:color="472D8C" w:fill="auto"/>
          </w:tcPr>
          <w:p w14:paraId="40BC39A5" w14:textId="77777777" w:rsidR="00CF0E2D" w:rsidRPr="00491D3E" w:rsidRDefault="00CF0E2D" w:rsidP="00A60D4B">
            <w:pPr>
              <w:pStyle w:val="Btablefigureunbold"/>
              <w:rPr>
                <w:color w:val="000000"/>
                <w:szCs w:val="20"/>
              </w:rPr>
            </w:pPr>
          </w:p>
        </w:tc>
        <w:tc>
          <w:tcPr>
            <w:tcW w:w="1162" w:type="dxa"/>
            <w:tcBorders>
              <w:top w:val="nil"/>
              <w:bottom w:val="nil"/>
            </w:tcBorders>
            <w:shd w:val="clear" w:color="auto" w:fill="auto"/>
          </w:tcPr>
          <w:p w14:paraId="0FFC3B85" w14:textId="77777777" w:rsidR="00CF0E2D" w:rsidRPr="00491D3E" w:rsidRDefault="00CF0E2D" w:rsidP="00A60D4B">
            <w:pPr>
              <w:pStyle w:val="Btablefigureunbold"/>
              <w:rPr>
                <w:szCs w:val="20"/>
              </w:rPr>
            </w:pPr>
          </w:p>
        </w:tc>
        <w:tc>
          <w:tcPr>
            <w:tcW w:w="1163" w:type="dxa"/>
            <w:tcBorders>
              <w:top w:val="nil"/>
              <w:bottom w:val="nil"/>
            </w:tcBorders>
          </w:tcPr>
          <w:p w14:paraId="5A842938" w14:textId="77777777" w:rsidR="00CF0E2D" w:rsidRPr="00491D3E" w:rsidRDefault="00CF0E2D" w:rsidP="00A60D4B">
            <w:pPr>
              <w:pStyle w:val="Btablefigureunbold"/>
              <w:rPr>
                <w:szCs w:val="20"/>
              </w:rPr>
            </w:pPr>
          </w:p>
        </w:tc>
        <w:tc>
          <w:tcPr>
            <w:tcW w:w="1163" w:type="dxa"/>
            <w:tcBorders>
              <w:top w:val="nil"/>
              <w:bottom w:val="nil"/>
            </w:tcBorders>
          </w:tcPr>
          <w:p w14:paraId="1B2E2343" w14:textId="77777777" w:rsidR="00CF0E2D" w:rsidRPr="00491D3E" w:rsidRDefault="00CF0E2D" w:rsidP="00A60D4B">
            <w:pPr>
              <w:pStyle w:val="Btablefigureunbold"/>
              <w:rPr>
                <w:b/>
                <w:bCs/>
                <w:szCs w:val="20"/>
              </w:rPr>
            </w:pPr>
          </w:p>
        </w:tc>
      </w:tr>
      <w:tr w:rsidR="00CF0E2D" w:rsidRPr="00337DC9" w14:paraId="787272C7" w14:textId="77777777" w:rsidTr="00A60D4B">
        <w:trPr>
          <w:trHeight w:val="270"/>
        </w:trPr>
        <w:tc>
          <w:tcPr>
            <w:tcW w:w="3261" w:type="dxa"/>
            <w:tcBorders>
              <w:top w:val="nil"/>
              <w:bottom w:val="nil"/>
            </w:tcBorders>
          </w:tcPr>
          <w:p w14:paraId="565F49AA" w14:textId="77777777" w:rsidR="00CF0E2D" w:rsidRPr="00A15EAE" w:rsidRDefault="00CF0E2D" w:rsidP="00A60D4B">
            <w:pPr>
              <w:pStyle w:val="Btabletextunbold"/>
              <w:ind w:left="314" w:hanging="142"/>
            </w:pPr>
            <w:r w:rsidRPr="00A15EAE">
              <w:t>Capital offsets</w:t>
            </w:r>
          </w:p>
        </w:tc>
        <w:tc>
          <w:tcPr>
            <w:tcW w:w="1162" w:type="dxa"/>
            <w:tcBorders>
              <w:top w:val="nil"/>
              <w:bottom w:val="nil"/>
            </w:tcBorders>
            <w:shd w:val="clear" w:color="auto" w:fill="auto"/>
          </w:tcPr>
          <w:p w14:paraId="2099F3B9" w14:textId="77777777" w:rsidR="00CF0E2D" w:rsidRPr="00491D3E" w:rsidRDefault="00CF0E2D" w:rsidP="00A60D4B">
            <w:pPr>
              <w:pStyle w:val="Btablefigureunbold"/>
              <w:rPr>
                <w:szCs w:val="20"/>
              </w:rPr>
            </w:pPr>
            <w:r w:rsidRPr="00DA056A">
              <w:t>-133,009</w:t>
            </w:r>
          </w:p>
        </w:tc>
        <w:tc>
          <w:tcPr>
            <w:tcW w:w="1162" w:type="dxa"/>
            <w:tcBorders>
              <w:top w:val="nil"/>
              <w:bottom w:val="nil"/>
            </w:tcBorders>
            <w:shd w:val="clear" w:color="472D8C" w:fill="auto"/>
          </w:tcPr>
          <w:p w14:paraId="4D27C870" w14:textId="77777777" w:rsidR="00CF0E2D" w:rsidRPr="00491D3E" w:rsidRDefault="00CF0E2D" w:rsidP="00A60D4B">
            <w:pPr>
              <w:pStyle w:val="Btablefigureunbold"/>
              <w:rPr>
                <w:color w:val="000000"/>
                <w:szCs w:val="20"/>
              </w:rPr>
            </w:pPr>
            <w:r w:rsidRPr="00DA056A">
              <w:t>-66,530</w:t>
            </w:r>
          </w:p>
        </w:tc>
        <w:tc>
          <w:tcPr>
            <w:tcW w:w="1162" w:type="dxa"/>
            <w:tcBorders>
              <w:top w:val="nil"/>
              <w:bottom w:val="nil"/>
            </w:tcBorders>
            <w:shd w:val="clear" w:color="auto" w:fill="auto"/>
          </w:tcPr>
          <w:p w14:paraId="0A414E6D" w14:textId="77777777" w:rsidR="00CF0E2D" w:rsidRPr="00491D3E" w:rsidRDefault="00CF0E2D" w:rsidP="00A60D4B">
            <w:pPr>
              <w:pStyle w:val="Btablefigureunbold"/>
              <w:rPr>
                <w:szCs w:val="20"/>
              </w:rPr>
            </w:pPr>
            <w:r w:rsidRPr="00DA056A">
              <w:t>-69,820</w:t>
            </w:r>
          </w:p>
        </w:tc>
        <w:tc>
          <w:tcPr>
            <w:tcW w:w="1163" w:type="dxa"/>
            <w:tcBorders>
              <w:top w:val="nil"/>
              <w:bottom w:val="nil"/>
            </w:tcBorders>
          </w:tcPr>
          <w:p w14:paraId="066A67FE" w14:textId="77777777" w:rsidR="00CF0E2D" w:rsidRPr="00491D3E" w:rsidRDefault="00CF0E2D" w:rsidP="00A60D4B">
            <w:pPr>
              <w:pStyle w:val="Btablefigureunbold"/>
              <w:rPr>
                <w:szCs w:val="20"/>
              </w:rPr>
            </w:pPr>
            <w:r w:rsidRPr="00DA056A">
              <w:t>-37,202</w:t>
            </w:r>
          </w:p>
        </w:tc>
        <w:tc>
          <w:tcPr>
            <w:tcW w:w="1163" w:type="dxa"/>
            <w:tcBorders>
              <w:top w:val="nil"/>
              <w:bottom w:val="nil"/>
            </w:tcBorders>
          </w:tcPr>
          <w:p w14:paraId="3B243E2F" w14:textId="77777777" w:rsidR="00CF0E2D" w:rsidRPr="00B76905" w:rsidRDefault="00CF0E2D" w:rsidP="00A60D4B">
            <w:pPr>
              <w:pStyle w:val="Btablefigureunbold"/>
              <w:rPr>
                <w:b/>
                <w:bCs/>
                <w:szCs w:val="20"/>
              </w:rPr>
            </w:pPr>
            <w:r w:rsidRPr="00B76905">
              <w:rPr>
                <w:b/>
                <w:bCs/>
              </w:rPr>
              <w:t>-306,561</w:t>
            </w:r>
          </w:p>
        </w:tc>
      </w:tr>
      <w:tr w:rsidR="00CF0E2D" w:rsidRPr="00337DC9" w14:paraId="11BDF8D8" w14:textId="77777777" w:rsidTr="00A60D4B">
        <w:trPr>
          <w:trHeight w:val="270"/>
        </w:trPr>
        <w:tc>
          <w:tcPr>
            <w:tcW w:w="3261" w:type="dxa"/>
            <w:tcBorders>
              <w:top w:val="nil"/>
              <w:bottom w:val="nil"/>
            </w:tcBorders>
          </w:tcPr>
          <w:p w14:paraId="59AA3719" w14:textId="77777777" w:rsidR="00CF0E2D" w:rsidRPr="00A15EAE" w:rsidRDefault="00CF0E2D" w:rsidP="00A60D4B">
            <w:pPr>
              <w:pStyle w:val="Btabletextunbold"/>
              <w:ind w:left="314" w:hanging="142"/>
            </w:pPr>
            <w:r w:rsidRPr="00A15EAE">
              <w:t>Capital offset provisions</w:t>
            </w:r>
          </w:p>
        </w:tc>
        <w:tc>
          <w:tcPr>
            <w:tcW w:w="1162" w:type="dxa"/>
            <w:tcBorders>
              <w:top w:val="nil"/>
              <w:bottom w:val="nil"/>
            </w:tcBorders>
            <w:shd w:val="clear" w:color="auto" w:fill="auto"/>
          </w:tcPr>
          <w:p w14:paraId="7210AF31" w14:textId="77777777" w:rsidR="00CF0E2D" w:rsidRPr="00491D3E" w:rsidRDefault="00CF0E2D" w:rsidP="00A60D4B">
            <w:pPr>
              <w:pStyle w:val="Btablefigureunbold"/>
              <w:rPr>
                <w:szCs w:val="20"/>
              </w:rPr>
            </w:pPr>
            <w:r w:rsidRPr="00DA056A">
              <w:t>-75,149</w:t>
            </w:r>
          </w:p>
        </w:tc>
        <w:tc>
          <w:tcPr>
            <w:tcW w:w="1162" w:type="dxa"/>
            <w:tcBorders>
              <w:top w:val="nil"/>
              <w:bottom w:val="nil"/>
            </w:tcBorders>
            <w:shd w:val="clear" w:color="472D8C" w:fill="auto"/>
          </w:tcPr>
          <w:p w14:paraId="051DE756" w14:textId="77777777" w:rsidR="00CF0E2D" w:rsidRPr="00491D3E" w:rsidRDefault="00CF0E2D" w:rsidP="00A60D4B">
            <w:pPr>
              <w:pStyle w:val="Btablefigureunbold"/>
              <w:rPr>
                <w:color w:val="000000"/>
                <w:szCs w:val="20"/>
              </w:rPr>
            </w:pPr>
            <w:r w:rsidRPr="00DA056A">
              <w:t>-139,873</w:t>
            </w:r>
          </w:p>
        </w:tc>
        <w:tc>
          <w:tcPr>
            <w:tcW w:w="1162" w:type="dxa"/>
            <w:tcBorders>
              <w:top w:val="nil"/>
              <w:bottom w:val="nil"/>
            </w:tcBorders>
            <w:shd w:val="clear" w:color="auto" w:fill="auto"/>
          </w:tcPr>
          <w:p w14:paraId="67407D85" w14:textId="77777777" w:rsidR="00CF0E2D" w:rsidRPr="00491D3E" w:rsidRDefault="00CF0E2D" w:rsidP="00A60D4B">
            <w:pPr>
              <w:pStyle w:val="Btablefigureunbold"/>
              <w:rPr>
                <w:szCs w:val="20"/>
              </w:rPr>
            </w:pPr>
            <w:r w:rsidRPr="00DA056A">
              <w:t>-118,820</w:t>
            </w:r>
          </w:p>
        </w:tc>
        <w:tc>
          <w:tcPr>
            <w:tcW w:w="1163" w:type="dxa"/>
            <w:tcBorders>
              <w:top w:val="nil"/>
              <w:bottom w:val="nil"/>
            </w:tcBorders>
          </w:tcPr>
          <w:p w14:paraId="301C48C2" w14:textId="77777777" w:rsidR="00CF0E2D" w:rsidRPr="00491D3E" w:rsidRDefault="00CF0E2D" w:rsidP="00A60D4B">
            <w:pPr>
              <w:pStyle w:val="Btablefigureunbold"/>
              <w:rPr>
                <w:szCs w:val="20"/>
              </w:rPr>
            </w:pPr>
            <w:r w:rsidRPr="00DA056A">
              <w:t>-36,287</w:t>
            </w:r>
          </w:p>
        </w:tc>
        <w:tc>
          <w:tcPr>
            <w:tcW w:w="1163" w:type="dxa"/>
            <w:tcBorders>
              <w:top w:val="nil"/>
              <w:bottom w:val="nil"/>
            </w:tcBorders>
          </w:tcPr>
          <w:p w14:paraId="48201477" w14:textId="77777777" w:rsidR="00CF0E2D" w:rsidRPr="00B76905" w:rsidRDefault="00CF0E2D" w:rsidP="00A60D4B">
            <w:pPr>
              <w:pStyle w:val="Btablefigureunbold"/>
              <w:rPr>
                <w:b/>
                <w:bCs/>
                <w:szCs w:val="20"/>
              </w:rPr>
            </w:pPr>
            <w:r w:rsidRPr="00B76905">
              <w:rPr>
                <w:b/>
                <w:bCs/>
              </w:rPr>
              <w:t>-370,129</w:t>
            </w:r>
          </w:p>
        </w:tc>
      </w:tr>
      <w:tr w:rsidR="00CF0E2D" w:rsidRPr="00337DC9" w14:paraId="6B3EAEF6" w14:textId="77777777" w:rsidTr="00A60D4B">
        <w:trPr>
          <w:trHeight w:val="270"/>
        </w:trPr>
        <w:tc>
          <w:tcPr>
            <w:tcW w:w="3261" w:type="dxa"/>
            <w:tcBorders>
              <w:top w:val="nil"/>
              <w:bottom w:val="nil"/>
            </w:tcBorders>
          </w:tcPr>
          <w:p w14:paraId="40002141" w14:textId="77777777" w:rsidR="00CF0E2D" w:rsidRPr="00A15EAE" w:rsidRDefault="00CF0E2D" w:rsidP="00A60D4B">
            <w:pPr>
              <w:pStyle w:val="Btabletextunbold"/>
              <w:ind w:left="314" w:hanging="142"/>
              <w:rPr>
                <w:b/>
                <w:bCs/>
                <w:i/>
                <w:iCs/>
              </w:rPr>
            </w:pPr>
            <w:r w:rsidRPr="00A15EAE">
              <w:rPr>
                <w:b/>
                <w:bCs/>
              </w:rPr>
              <w:t>Total capital offsets</w:t>
            </w:r>
          </w:p>
        </w:tc>
        <w:tc>
          <w:tcPr>
            <w:tcW w:w="1162" w:type="dxa"/>
            <w:tcBorders>
              <w:top w:val="nil"/>
              <w:bottom w:val="nil"/>
            </w:tcBorders>
            <w:shd w:val="clear" w:color="auto" w:fill="auto"/>
          </w:tcPr>
          <w:p w14:paraId="60088996" w14:textId="77777777" w:rsidR="00CF0E2D" w:rsidRPr="00491D3E" w:rsidRDefault="00CF0E2D" w:rsidP="00A60D4B">
            <w:pPr>
              <w:pStyle w:val="Btablefigureunbold"/>
              <w:rPr>
                <w:b/>
                <w:bCs/>
                <w:szCs w:val="20"/>
              </w:rPr>
            </w:pPr>
            <w:r w:rsidRPr="00DA056A">
              <w:t>-208,158</w:t>
            </w:r>
          </w:p>
        </w:tc>
        <w:tc>
          <w:tcPr>
            <w:tcW w:w="1162" w:type="dxa"/>
            <w:tcBorders>
              <w:top w:val="nil"/>
              <w:bottom w:val="nil"/>
            </w:tcBorders>
            <w:shd w:val="clear" w:color="472D8C" w:fill="auto"/>
          </w:tcPr>
          <w:p w14:paraId="42932A91" w14:textId="77777777" w:rsidR="00CF0E2D" w:rsidRPr="00491D3E" w:rsidRDefault="00CF0E2D" w:rsidP="00A60D4B">
            <w:pPr>
              <w:pStyle w:val="Btablefigureunbold"/>
              <w:rPr>
                <w:b/>
                <w:bCs/>
                <w:color w:val="000000"/>
                <w:szCs w:val="20"/>
              </w:rPr>
            </w:pPr>
            <w:r w:rsidRPr="00DA056A">
              <w:t>-206,403</w:t>
            </w:r>
          </w:p>
        </w:tc>
        <w:tc>
          <w:tcPr>
            <w:tcW w:w="1162" w:type="dxa"/>
            <w:tcBorders>
              <w:top w:val="nil"/>
              <w:bottom w:val="nil"/>
            </w:tcBorders>
            <w:shd w:val="clear" w:color="auto" w:fill="auto"/>
          </w:tcPr>
          <w:p w14:paraId="22D4C5CF" w14:textId="77777777" w:rsidR="00CF0E2D" w:rsidRPr="00491D3E" w:rsidRDefault="00CF0E2D" w:rsidP="00A60D4B">
            <w:pPr>
              <w:pStyle w:val="Btablefigureunbold"/>
              <w:rPr>
                <w:b/>
                <w:bCs/>
                <w:szCs w:val="20"/>
              </w:rPr>
            </w:pPr>
            <w:r w:rsidRPr="00DA056A">
              <w:t>-188,640</w:t>
            </w:r>
          </w:p>
        </w:tc>
        <w:tc>
          <w:tcPr>
            <w:tcW w:w="1163" w:type="dxa"/>
            <w:tcBorders>
              <w:top w:val="nil"/>
              <w:bottom w:val="nil"/>
            </w:tcBorders>
          </w:tcPr>
          <w:p w14:paraId="57B55477" w14:textId="77777777" w:rsidR="00CF0E2D" w:rsidRPr="00491D3E" w:rsidRDefault="00CF0E2D" w:rsidP="00A60D4B">
            <w:pPr>
              <w:pStyle w:val="Btablefigureunbold"/>
              <w:rPr>
                <w:b/>
                <w:bCs/>
                <w:szCs w:val="20"/>
              </w:rPr>
            </w:pPr>
            <w:r w:rsidRPr="00DA056A">
              <w:t>-73,489</w:t>
            </w:r>
          </w:p>
        </w:tc>
        <w:tc>
          <w:tcPr>
            <w:tcW w:w="1163" w:type="dxa"/>
            <w:tcBorders>
              <w:top w:val="nil"/>
              <w:bottom w:val="nil"/>
            </w:tcBorders>
          </w:tcPr>
          <w:p w14:paraId="627630E5" w14:textId="77777777" w:rsidR="00CF0E2D" w:rsidRPr="00B76905" w:rsidRDefault="00CF0E2D" w:rsidP="00A60D4B">
            <w:pPr>
              <w:pStyle w:val="Btablefigureunbold"/>
              <w:rPr>
                <w:b/>
                <w:bCs/>
                <w:szCs w:val="20"/>
              </w:rPr>
            </w:pPr>
            <w:r w:rsidRPr="00B76905">
              <w:rPr>
                <w:b/>
                <w:bCs/>
              </w:rPr>
              <w:t>-676,690</w:t>
            </w:r>
          </w:p>
        </w:tc>
      </w:tr>
      <w:tr w:rsidR="00CF0E2D" w:rsidRPr="00337DC9" w14:paraId="307A7480" w14:textId="77777777" w:rsidTr="00A60D4B">
        <w:trPr>
          <w:trHeight w:val="397"/>
        </w:trPr>
        <w:tc>
          <w:tcPr>
            <w:tcW w:w="3261" w:type="dxa"/>
            <w:tcBorders>
              <w:top w:val="nil"/>
              <w:bottom w:val="nil"/>
            </w:tcBorders>
          </w:tcPr>
          <w:p w14:paraId="5ECAF12D" w14:textId="77777777" w:rsidR="00CF0E2D" w:rsidRPr="00A15EAE" w:rsidRDefault="00CF0E2D" w:rsidP="00A60D4B">
            <w:pPr>
              <w:pStyle w:val="Btabletextitalic"/>
              <w:rPr>
                <w:b/>
                <w:bCs/>
                <w:i w:val="0"/>
                <w:iCs/>
              </w:rPr>
            </w:pPr>
            <w:r w:rsidRPr="00A15EAE">
              <w:rPr>
                <w:b/>
                <w:bCs/>
                <w:i w:val="0"/>
                <w:iCs/>
              </w:rPr>
              <w:t>Net capital</w:t>
            </w:r>
          </w:p>
        </w:tc>
        <w:tc>
          <w:tcPr>
            <w:tcW w:w="1162" w:type="dxa"/>
            <w:tcBorders>
              <w:top w:val="nil"/>
              <w:bottom w:val="nil"/>
            </w:tcBorders>
            <w:shd w:val="clear" w:color="auto" w:fill="auto"/>
          </w:tcPr>
          <w:p w14:paraId="2A933513" w14:textId="77777777" w:rsidR="00CF0E2D" w:rsidRPr="00B76905" w:rsidRDefault="00CF0E2D" w:rsidP="00A60D4B">
            <w:pPr>
              <w:pStyle w:val="Btablefigureunbold"/>
              <w:rPr>
                <w:rFonts w:cs="Calibri"/>
                <w:b/>
                <w:bCs/>
                <w:color w:val="000000"/>
                <w:szCs w:val="20"/>
              </w:rPr>
            </w:pPr>
            <w:r w:rsidRPr="00B76905">
              <w:rPr>
                <w:b/>
                <w:bCs/>
              </w:rPr>
              <w:t>89,678</w:t>
            </w:r>
          </w:p>
        </w:tc>
        <w:tc>
          <w:tcPr>
            <w:tcW w:w="1162" w:type="dxa"/>
            <w:tcBorders>
              <w:top w:val="nil"/>
              <w:bottom w:val="nil"/>
            </w:tcBorders>
            <w:shd w:val="clear" w:color="472D8C" w:fill="auto"/>
          </w:tcPr>
          <w:p w14:paraId="6C67D8B1" w14:textId="77777777" w:rsidR="00CF0E2D" w:rsidRPr="00B76905" w:rsidRDefault="00CF0E2D" w:rsidP="00A60D4B">
            <w:pPr>
              <w:pStyle w:val="Btablefigureunbold"/>
              <w:rPr>
                <w:rFonts w:cs="Calibri"/>
                <w:b/>
                <w:bCs/>
                <w:color w:val="000000"/>
                <w:szCs w:val="20"/>
              </w:rPr>
            </w:pPr>
            <w:r w:rsidRPr="00B76905">
              <w:rPr>
                <w:b/>
                <w:bCs/>
              </w:rPr>
              <w:t>155,119</w:t>
            </w:r>
          </w:p>
        </w:tc>
        <w:tc>
          <w:tcPr>
            <w:tcW w:w="1162" w:type="dxa"/>
            <w:tcBorders>
              <w:top w:val="nil"/>
              <w:bottom w:val="nil"/>
            </w:tcBorders>
            <w:shd w:val="clear" w:color="auto" w:fill="auto"/>
          </w:tcPr>
          <w:p w14:paraId="66F0E061" w14:textId="77777777" w:rsidR="00CF0E2D" w:rsidRPr="00B76905" w:rsidRDefault="00CF0E2D" w:rsidP="00A60D4B">
            <w:pPr>
              <w:pStyle w:val="Btablefigureunbold"/>
              <w:rPr>
                <w:rFonts w:cs="Calibri"/>
                <w:b/>
                <w:bCs/>
                <w:color w:val="000000"/>
                <w:szCs w:val="20"/>
              </w:rPr>
            </w:pPr>
            <w:r w:rsidRPr="00B76905">
              <w:rPr>
                <w:b/>
                <w:bCs/>
              </w:rPr>
              <w:t>74,346</w:t>
            </w:r>
          </w:p>
        </w:tc>
        <w:tc>
          <w:tcPr>
            <w:tcW w:w="1163" w:type="dxa"/>
            <w:tcBorders>
              <w:top w:val="nil"/>
              <w:bottom w:val="nil"/>
            </w:tcBorders>
          </w:tcPr>
          <w:p w14:paraId="41DCE099" w14:textId="77777777" w:rsidR="00CF0E2D" w:rsidRPr="00B76905" w:rsidRDefault="00CF0E2D" w:rsidP="00A60D4B">
            <w:pPr>
              <w:pStyle w:val="Btablefigureunbold"/>
              <w:rPr>
                <w:rFonts w:cs="Calibri"/>
                <w:b/>
                <w:bCs/>
                <w:color w:val="000000"/>
                <w:szCs w:val="20"/>
              </w:rPr>
            </w:pPr>
            <w:r w:rsidRPr="00B76905">
              <w:rPr>
                <w:b/>
                <w:bCs/>
              </w:rPr>
              <w:t>135,864</w:t>
            </w:r>
          </w:p>
        </w:tc>
        <w:tc>
          <w:tcPr>
            <w:tcW w:w="1163" w:type="dxa"/>
            <w:tcBorders>
              <w:top w:val="nil"/>
              <w:bottom w:val="nil"/>
            </w:tcBorders>
          </w:tcPr>
          <w:p w14:paraId="51A134FB" w14:textId="77777777" w:rsidR="00CF0E2D" w:rsidRPr="00B76905" w:rsidRDefault="00CF0E2D" w:rsidP="00A60D4B">
            <w:pPr>
              <w:pStyle w:val="Btablefigureunbold"/>
              <w:rPr>
                <w:rFonts w:cs="Calibri"/>
                <w:b/>
                <w:bCs/>
                <w:color w:val="000000"/>
                <w:szCs w:val="20"/>
              </w:rPr>
            </w:pPr>
            <w:r w:rsidRPr="00B76905">
              <w:rPr>
                <w:b/>
                <w:bCs/>
              </w:rPr>
              <w:t>455,007</w:t>
            </w:r>
          </w:p>
        </w:tc>
      </w:tr>
    </w:tbl>
    <w:p w14:paraId="64D41AE1" w14:textId="77777777" w:rsidR="00CF0E2D" w:rsidRDefault="00CF0E2D" w:rsidP="00A60D4B">
      <w:pPr>
        <w:pStyle w:val="Caption"/>
      </w:pPr>
    </w:p>
    <w:p w14:paraId="38181569" w14:textId="77777777" w:rsidR="00CF0E2D" w:rsidRDefault="00CF0E2D">
      <w:pPr>
        <w:rPr>
          <w:b/>
          <w:iCs/>
          <w:color w:val="472D8C"/>
          <w:szCs w:val="18"/>
        </w:rPr>
      </w:pPr>
      <w:r>
        <w:br w:type="page"/>
      </w:r>
    </w:p>
    <w:p w14:paraId="0EFA37A9" w14:textId="2D6EEB78" w:rsidR="00CF0E2D" w:rsidRDefault="00CF0E2D" w:rsidP="00A60D4B">
      <w:pPr>
        <w:pStyle w:val="Caption"/>
      </w:pPr>
      <w:r>
        <w:lastRenderedPageBreak/>
        <w:t>T</w:t>
      </w:r>
      <w:r w:rsidRPr="00111524">
        <w:t xml:space="preserve">able </w:t>
      </w:r>
      <w:r w:rsidR="00FB4E5C">
        <w:fldChar w:fldCharType="begin"/>
      </w:r>
      <w:r w:rsidR="00FB4E5C">
        <w:instrText xml:space="preserve"> STYLEREF 2 \s </w:instrText>
      </w:r>
      <w:r w:rsidR="00FB4E5C">
        <w:fldChar w:fldCharType="separate"/>
      </w:r>
      <w:r w:rsidR="00F12A80">
        <w:rPr>
          <w:noProof/>
        </w:rPr>
        <w:t>3.2</w:t>
      </w:r>
      <w:r w:rsidR="00FB4E5C">
        <w:rPr>
          <w:noProof/>
        </w:rPr>
        <w:fldChar w:fldCharType="end"/>
      </w:r>
      <w:r>
        <w:t>.</w:t>
      </w:r>
      <w:r w:rsidR="00FB4E5C">
        <w:fldChar w:fldCharType="begin"/>
      </w:r>
      <w:r w:rsidR="00FB4E5C">
        <w:instrText xml:space="preserve"> SEQ Table \* ARABIC \s 2 </w:instrText>
      </w:r>
      <w:r w:rsidR="00FB4E5C">
        <w:fldChar w:fldCharType="separate"/>
      </w:r>
      <w:r w:rsidR="00F12A80">
        <w:rPr>
          <w:noProof/>
        </w:rPr>
        <w:t>2</w:t>
      </w:r>
      <w:r w:rsidR="00FB4E5C">
        <w:rPr>
          <w:noProof/>
        </w:rPr>
        <w:fldChar w:fldCharType="end"/>
      </w:r>
      <w:r w:rsidRPr="00111524">
        <w:t xml:space="preserve"> </w:t>
      </w:r>
      <w:r w:rsidRPr="00224D79">
        <w:t>Detailed initiatives by lead agency</w:t>
      </w:r>
    </w:p>
    <w:tbl>
      <w:tblPr>
        <w:tblStyle w:val="TableGrid"/>
        <w:tblW w:w="9267" w:type="dxa"/>
        <w:jc w:val="center"/>
        <w:tblCellMar>
          <w:left w:w="57" w:type="dxa"/>
          <w:right w:w="57" w:type="dxa"/>
        </w:tblCellMar>
        <w:tblLook w:val="04A0" w:firstRow="1" w:lastRow="0" w:firstColumn="1" w:lastColumn="0" w:noHBand="0" w:noVBand="1"/>
      </w:tblPr>
      <w:tblGrid>
        <w:gridCol w:w="3355"/>
        <w:gridCol w:w="1093"/>
        <w:gridCol w:w="9"/>
        <w:gridCol w:w="955"/>
        <w:gridCol w:w="9"/>
        <w:gridCol w:w="955"/>
        <w:gridCol w:w="9"/>
        <w:gridCol w:w="955"/>
        <w:gridCol w:w="9"/>
        <w:gridCol w:w="955"/>
        <w:gridCol w:w="9"/>
        <w:gridCol w:w="945"/>
        <w:gridCol w:w="9"/>
      </w:tblGrid>
      <w:tr w:rsidR="00CF0E2D" w:rsidRPr="00D60558" w14:paraId="410A0E63" w14:textId="77777777" w:rsidTr="00A60D4B">
        <w:trPr>
          <w:trHeight w:val="710"/>
          <w:tblHeader/>
          <w:jc w:val="center"/>
        </w:trPr>
        <w:tc>
          <w:tcPr>
            <w:tcW w:w="3355" w:type="dxa"/>
            <w:tcBorders>
              <w:left w:val="nil"/>
              <w:bottom w:val="single" w:sz="4" w:space="0" w:color="auto"/>
              <w:right w:val="nil"/>
            </w:tcBorders>
            <w:shd w:val="clear" w:color="auto" w:fill="472D8C"/>
          </w:tcPr>
          <w:p w14:paraId="3036120E" w14:textId="77777777" w:rsidR="00CF0E2D" w:rsidRPr="00D60558" w:rsidRDefault="00CF0E2D" w:rsidP="00FA50A0">
            <w:pPr>
              <w:pStyle w:val="BTableHeadingRowRightAligned"/>
              <w:jc w:val="left"/>
              <w:rPr>
                <w:color w:val="FFFFFF" w:themeColor="background1"/>
                <w:szCs w:val="20"/>
              </w:rPr>
            </w:pPr>
            <w:r w:rsidRPr="00D60558">
              <w:rPr>
                <w:color w:val="FFFFFF" w:themeColor="background1"/>
                <w:szCs w:val="20"/>
              </w:rPr>
              <w:t>Initiative title (by agency)</w:t>
            </w:r>
          </w:p>
        </w:tc>
        <w:tc>
          <w:tcPr>
            <w:tcW w:w="1102" w:type="dxa"/>
            <w:gridSpan w:val="2"/>
            <w:tcBorders>
              <w:left w:val="nil"/>
              <w:bottom w:val="single" w:sz="4" w:space="0" w:color="auto"/>
              <w:right w:val="nil"/>
            </w:tcBorders>
            <w:shd w:val="clear" w:color="auto" w:fill="472D8C"/>
          </w:tcPr>
          <w:p w14:paraId="255F7DC0" w14:textId="77777777" w:rsidR="00CF0E2D" w:rsidRPr="00D60558" w:rsidRDefault="00CF0E2D" w:rsidP="00A60D4B">
            <w:pPr>
              <w:pStyle w:val="BTableHeadingRowRightAligned"/>
              <w:rPr>
                <w:color w:val="FFFFFF" w:themeColor="background1"/>
                <w:szCs w:val="20"/>
              </w:rPr>
            </w:pPr>
            <w:r w:rsidRPr="00D60558">
              <w:rPr>
                <w:color w:val="FFFFFF" w:themeColor="background1"/>
                <w:szCs w:val="20"/>
              </w:rPr>
              <w:t>Net Cost of Services/</w:t>
            </w:r>
          </w:p>
          <w:p w14:paraId="5B680058" w14:textId="77777777" w:rsidR="00CF0E2D" w:rsidRPr="00D60558" w:rsidRDefault="00CF0E2D" w:rsidP="00A60D4B">
            <w:pPr>
              <w:pStyle w:val="BTableHeadingRowRightAligned"/>
              <w:rPr>
                <w:color w:val="FFFFFF" w:themeColor="background1"/>
                <w:szCs w:val="20"/>
              </w:rPr>
            </w:pPr>
            <w:r w:rsidRPr="00D60558">
              <w:rPr>
                <w:color w:val="FFFFFF" w:themeColor="background1"/>
                <w:szCs w:val="20"/>
              </w:rPr>
              <w:t xml:space="preserve">Net Capital </w:t>
            </w:r>
          </w:p>
        </w:tc>
        <w:tc>
          <w:tcPr>
            <w:tcW w:w="964" w:type="dxa"/>
            <w:gridSpan w:val="2"/>
            <w:tcBorders>
              <w:left w:val="nil"/>
              <w:bottom w:val="single" w:sz="4" w:space="0" w:color="auto"/>
              <w:right w:val="nil"/>
            </w:tcBorders>
            <w:shd w:val="clear" w:color="auto" w:fill="472D8C"/>
          </w:tcPr>
          <w:p w14:paraId="3FE228C1" w14:textId="77777777" w:rsidR="00CF0E2D" w:rsidRPr="00D60558" w:rsidRDefault="00CF0E2D" w:rsidP="00A60D4B">
            <w:pPr>
              <w:pStyle w:val="BTableHeadingRowRightAligned"/>
              <w:rPr>
                <w:color w:val="FFFFFF" w:themeColor="background1"/>
                <w:szCs w:val="20"/>
              </w:rPr>
            </w:pPr>
            <w:r w:rsidRPr="00D60558">
              <w:rPr>
                <w:color w:val="FFFFFF" w:themeColor="background1"/>
                <w:szCs w:val="20"/>
              </w:rPr>
              <w:t>2021-22</w:t>
            </w:r>
          </w:p>
          <w:p w14:paraId="62424675" w14:textId="77777777" w:rsidR="00CF0E2D" w:rsidRPr="00D60558" w:rsidRDefault="00CF0E2D" w:rsidP="00A60D4B">
            <w:pPr>
              <w:pStyle w:val="BTableHeadingRowRightAligned"/>
              <w:rPr>
                <w:color w:val="FFFFFF" w:themeColor="background1"/>
                <w:szCs w:val="20"/>
              </w:rPr>
            </w:pPr>
            <w:r w:rsidRPr="00D60558">
              <w:rPr>
                <w:color w:val="FFFFFF" w:themeColor="background1"/>
                <w:szCs w:val="20"/>
              </w:rPr>
              <w:t xml:space="preserve">Budget </w:t>
            </w:r>
          </w:p>
          <w:p w14:paraId="2395E83F" w14:textId="77777777" w:rsidR="00CF0E2D" w:rsidRPr="00D60558" w:rsidRDefault="00CF0E2D" w:rsidP="00A60D4B">
            <w:pPr>
              <w:pStyle w:val="BTableHeadingRowRightAligned"/>
              <w:rPr>
                <w:color w:val="FFFFFF" w:themeColor="background1"/>
                <w:szCs w:val="20"/>
              </w:rPr>
            </w:pPr>
            <w:r w:rsidRPr="00D60558">
              <w:rPr>
                <w:color w:val="FFFFFF" w:themeColor="background1"/>
                <w:szCs w:val="20"/>
              </w:rPr>
              <w:t xml:space="preserve">$'000 </w:t>
            </w:r>
          </w:p>
        </w:tc>
        <w:tc>
          <w:tcPr>
            <w:tcW w:w="964" w:type="dxa"/>
            <w:gridSpan w:val="2"/>
            <w:tcBorders>
              <w:left w:val="nil"/>
              <w:bottom w:val="single" w:sz="4" w:space="0" w:color="auto"/>
              <w:right w:val="nil"/>
            </w:tcBorders>
            <w:shd w:val="clear" w:color="auto" w:fill="472D8C"/>
          </w:tcPr>
          <w:p w14:paraId="48FB8863" w14:textId="77777777" w:rsidR="00CF0E2D" w:rsidRPr="00D60558" w:rsidRDefault="00CF0E2D" w:rsidP="00A60D4B">
            <w:pPr>
              <w:pStyle w:val="BTableHeadingRowRightAligned"/>
              <w:rPr>
                <w:color w:val="FFFFFF" w:themeColor="background1"/>
                <w:szCs w:val="20"/>
              </w:rPr>
            </w:pPr>
            <w:r w:rsidRPr="00D60558">
              <w:rPr>
                <w:color w:val="FFFFFF" w:themeColor="background1"/>
                <w:szCs w:val="20"/>
              </w:rPr>
              <w:t>2022-23</w:t>
            </w:r>
          </w:p>
          <w:p w14:paraId="74AC0D16" w14:textId="77777777" w:rsidR="00CF0E2D" w:rsidRPr="00D60558" w:rsidRDefault="00CF0E2D" w:rsidP="00A60D4B">
            <w:pPr>
              <w:pStyle w:val="BTableHeadingRowRightAligned"/>
              <w:rPr>
                <w:color w:val="FFFFFF" w:themeColor="background1"/>
                <w:szCs w:val="20"/>
              </w:rPr>
            </w:pPr>
            <w:r w:rsidRPr="00D60558">
              <w:rPr>
                <w:color w:val="FFFFFF" w:themeColor="background1"/>
                <w:szCs w:val="20"/>
              </w:rPr>
              <w:t xml:space="preserve">Estimate </w:t>
            </w:r>
          </w:p>
          <w:p w14:paraId="077EFE01" w14:textId="77777777" w:rsidR="00CF0E2D" w:rsidRPr="00D60558" w:rsidRDefault="00CF0E2D" w:rsidP="00A60D4B">
            <w:pPr>
              <w:pStyle w:val="BTableHeadingRowRightAligned"/>
              <w:rPr>
                <w:color w:val="FFFFFF" w:themeColor="background1"/>
                <w:szCs w:val="20"/>
              </w:rPr>
            </w:pPr>
            <w:r w:rsidRPr="00D60558">
              <w:rPr>
                <w:color w:val="FFFFFF" w:themeColor="background1"/>
                <w:szCs w:val="20"/>
              </w:rPr>
              <w:t xml:space="preserve">$'000 </w:t>
            </w:r>
          </w:p>
        </w:tc>
        <w:tc>
          <w:tcPr>
            <w:tcW w:w="964" w:type="dxa"/>
            <w:gridSpan w:val="2"/>
            <w:tcBorders>
              <w:left w:val="nil"/>
              <w:bottom w:val="single" w:sz="4" w:space="0" w:color="auto"/>
              <w:right w:val="nil"/>
            </w:tcBorders>
            <w:shd w:val="clear" w:color="auto" w:fill="472D8C"/>
          </w:tcPr>
          <w:p w14:paraId="2DE32D54" w14:textId="77777777" w:rsidR="00CF0E2D" w:rsidRPr="00D60558" w:rsidRDefault="00CF0E2D" w:rsidP="00A60D4B">
            <w:pPr>
              <w:pStyle w:val="BTableHeadingRowRightAligned"/>
              <w:rPr>
                <w:color w:val="FFFFFF" w:themeColor="background1"/>
                <w:szCs w:val="20"/>
              </w:rPr>
            </w:pPr>
            <w:r w:rsidRPr="00D60558">
              <w:rPr>
                <w:color w:val="FFFFFF" w:themeColor="background1"/>
                <w:szCs w:val="20"/>
              </w:rPr>
              <w:t>2023-24</w:t>
            </w:r>
          </w:p>
          <w:p w14:paraId="7F4EB57F" w14:textId="77777777" w:rsidR="00CF0E2D" w:rsidRPr="00D60558" w:rsidRDefault="00CF0E2D" w:rsidP="00A60D4B">
            <w:pPr>
              <w:pStyle w:val="BTableHeadingRowRightAligned"/>
              <w:rPr>
                <w:color w:val="FFFFFF" w:themeColor="background1"/>
                <w:szCs w:val="20"/>
              </w:rPr>
            </w:pPr>
            <w:r w:rsidRPr="00D60558">
              <w:rPr>
                <w:color w:val="FFFFFF" w:themeColor="background1"/>
                <w:szCs w:val="20"/>
              </w:rPr>
              <w:t>Estimate</w:t>
            </w:r>
          </w:p>
          <w:p w14:paraId="0995BC01" w14:textId="77777777" w:rsidR="00CF0E2D" w:rsidRPr="00D60558" w:rsidRDefault="00CF0E2D" w:rsidP="00A60D4B">
            <w:pPr>
              <w:pStyle w:val="BTableHeadingRowRightAligned"/>
              <w:rPr>
                <w:color w:val="FFFFFF" w:themeColor="background1"/>
                <w:szCs w:val="20"/>
              </w:rPr>
            </w:pPr>
            <w:r w:rsidRPr="00D60558">
              <w:rPr>
                <w:color w:val="FFFFFF" w:themeColor="background1"/>
                <w:szCs w:val="20"/>
              </w:rPr>
              <w:t xml:space="preserve"> $'000 </w:t>
            </w:r>
          </w:p>
        </w:tc>
        <w:tc>
          <w:tcPr>
            <w:tcW w:w="964" w:type="dxa"/>
            <w:gridSpan w:val="2"/>
            <w:tcBorders>
              <w:left w:val="nil"/>
              <w:bottom w:val="single" w:sz="4" w:space="0" w:color="auto"/>
              <w:right w:val="nil"/>
            </w:tcBorders>
            <w:shd w:val="clear" w:color="auto" w:fill="472D8C"/>
          </w:tcPr>
          <w:p w14:paraId="505A375F" w14:textId="77777777" w:rsidR="00CF0E2D" w:rsidRPr="00D60558" w:rsidRDefault="00CF0E2D" w:rsidP="00A60D4B">
            <w:pPr>
              <w:pStyle w:val="BTableHeadingRowRightAligned"/>
              <w:rPr>
                <w:color w:val="FFFFFF" w:themeColor="background1"/>
                <w:szCs w:val="20"/>
              </w:rPr>
            </w:pPr>
            <w:r w:rsidRPr="00D60558">
              <w:rPr>
                <w:color w:val="FFFFFF" w:themeColor="background1"/>
                <w:szCs w:val="20"/>
              </w:rPr>
              <w:t>2024-25</w:t>
            </w:r>
          </w:p>
          <w:p w14:paraId="300B1C84" w14:textId="77777777" w:rsidR="00CF0E2D" w:rsidRPr="00D60558" w:rsidRDefault="00CF0E2D" w:rsidP="00A60D4B">
            <w:pPr>
              <w:pStyle w:val="BTableHeadingRowRightAligned"/>
              <w:rPr>
                <w:color w:val="FFFFFF" w:themeColor="background1"/>
                <w:szCs w:val="20"/>
              </w:rPr>
            </w:pPr>
            <w:r w:rsidRPr="00D60558">
              <w:rPr>
                <w:color w:val="FFFFFF" w:themeColor="background1"/>
                <w:szCs w:val="20"/>
              </w:rPr>
              <w:t>Estimate</w:t>
            </w:r>
          </w:p>
          <w:p w14:paraId="3551C819" w14:textId="77777777" w:rsidR="00CF0E2D" w:rsidRPr="00D60558" w:rsidRDefault="00CF0E2D" w:rsidP="00A60D4B">
            <w:pPr>
              <w:pStyle w:val="BTableHeadingRowRightAligned"/>
              <w:rPr>
                <w:color w:val="FFFFFF" w:themeColor="background1"/>
                <w:szCs w:val="20"/>
              </w:rPr>
            </w:pPr>
            <w:r w:rsidRPr="00D60558">
              <w:rPr>
                <w:color w:val="FFFFFF" w:themeColor="background1"/>
                <w:szCs w:val="20"/>
              </w:rPr>
              <w:t xml:space="preserve"> $'000 </w:t>
            </w:r>
          </w:p>
        </w:tc>
        <w:tc>
          <w:tcPr>
            <w:tcW w:w="954" w:type="dxa"/>
            <w:gridSpan w:val="2"/>
            <w:tcBorders>
              <w:left w:val="nil"/>
              <w:bottom w:val="single" w:sz="4" w:space="0" w:color="auto"/>
              <w:right w:val="nil"/>
            </w:tcBorders>
            <w:shd w:val="clear" w:color="auto" w:fill="472D8C"/>
          </w:tcPr>
          <w:p w14:paraId="1D764040" w14:textId="77777777" w:rsidR="00CF0E2D" w:rsidRPr="00D60558" w:rsidRDefault="00CF0E2D" w:rsidP="00A60D4B">
            <w:pPr>
              <w:pStyle w:val="BTableHeadingRowRightAligned"/>
              <w:rPr>
                <w:color w:val="FFFFFF" w:themeColor="background1"/>
                <w:szCs w:val="20"/>
              </w:rPr>
            </w:pPr>
            <w:r w:rsidRPr="00D60558">
              <w:rPr>
                <w:color w:val="FFFFFF" w:themeColor="background1"/>
                <w:szCs w:val="20"/>
              </w:rPr>
              <w:t>Total</w:t>
            </w:r>
          </w:p>
          <w:p w14:paraId="5C8B9092" w14:textId="77777777" w:rsidR="00CF0E2D" w:rsidRPr="00D60558" w:rsidRDefault="00CF0E2D" w:rsidP="00A60D4B">
            <w:pPr>
              <w:pStyle w:val="BTableHeadingRowRightAligned"/>
              <w:rPr>
                <w:color w:val="FFFFFF" w:themeColor="background1"/>
                <w:szCs w:val="20"/>
              </w:rPr>
            </w:pPr>
            <w:r w:rsidRPr="00D60558">
              <w:rPr>
                <w:color w:val="FFFFFF" w:themeColor="background1"/>
                <w:szCs w:val="20"/>
              </w:rPr>
              <w:t>Estimate</w:t>
            </w:r>
          </w:p>
          <w:p w14:paraId="71360927" w14:textId="77777777" w:rsidR="00CF0E2D" w:rsidRPr="00D60558" w:rsidRDefault="00CF0E2D" w:rsidP="00A60D4B">
            <w:pPr>
              <w:pStyle w:val="BTableHeadingRowRightAligned"/>
              <w:rPr>
                <w:color w:val="FFFFFF" w:themeColor="background1"/>
                <w:szCs w:val="20"/>
              </w:rPr>
            </w:pPr>
            <w:r w:rsidRPr="00D60558">
              <w:rPr>
                <w:color w:val="FFFFFF" w:themeColor="background1"/>
                <w:szCs w:val="20"/>
              </w:rPr>
              <w:t xml:space="preserve"> $'000 </w:t>
            </w:r>
          </w:p>
        </w:tc>
      </w:tr>
      <w:tr w:rsidR="00CF0E2D" w:rsidRPr="00D60558" w14:paraId="59CFF414" w14:textId="77777777" w:rsidTr="00CF0E2D">
        <w:trPr>
          <w:trHeight w:val="340"/>
          <w:jc w:val="center"/>
        </w:trPr>
        <w:tc>
          <w:tcPr>
            <w:tcW w:w="3355" w:type="dxa"/>
            <w:tcBorders>
              <w:top w:val="nil"/>
              <w:left w:val="nil"/>
              <w:bottom w:val="nil"/>
              <w:right w:val="nil"/>
            </w:tcBorders>
            <w:vAlign w:val="bottom"/>
          </w:tcPr>
          <w:p w14:paraId="256A7573" w14:textId="22090E6D" w:rsidR="00CF0E2D" w:rsidRPr="00387F31" w:rsidRDefault="00CF0E2D" w:rsidP="00CF0E2D">
            <w:pPr>
              <w:pStyle w:val="Btabletextbold"/>
              <w:rPr>
                <w:szCs w:val="20"/>
              </w:rPr>
            </w:pPr>
            <w:r w:rsidRPr="00387F31">
              <w:rPr>
                <w:szCs w:val="20"/>
              </w:rPr>
              <w:t>ACT Electoral Commission</w:t>
            </w:r>
          </w:p>
        </w:tc>
        <w:tc>
          <w:tcPr>
            <w:tcW w:w="1102" w:type="dxa"/>
            <w:gridSpan w:val="2"/>
            <w:tcBorders>
              <w:top w:val="nil"/>
              <w:left w:val="nil"/>
              <w:bottom w:val="nil"/>
              <w:right w:val="nil"/>
            </w:tcBorders>
          </w:tcPr>
          <w:p w14:paraId="00288E9A" w14:textId="77777777" w:rsidR="00CF0E2D" w:rsidRPr="00D60558" w:rsidRDefault="00CF0E2D" w:rsidP="00CF0E2D">
            <w:pPr>
              <w:pStyle w:val="EmptyCell0"/>
              <w:jc w:val="left"/>
              <w:rPr>
                <w:sz w:val="20"/>
              </w:rPr>
            </w:pPr>
          </w:p>
        </w:tc>
        <w:tc>
          <w:tcPr>
            <w:tcW w:w="964" w:type="dxa"/>
            <w:gridSpan w:val="2"/>
            <w:tcBorders>
              <w:top w:val="nil"/>
              <w:left w:val="nil"/>
              <w:bottom w:val="nil"/>
              <w:right w:val="nil"/>
            </w:tcBorders>
          </w:tcPr>
          <w:p w14:paraId="2EF36AE9" w14:textId="77777777" w:rsidR="00CF0E2D" w:rsidRPr="00D60558" w:rsidRDefault="00CF0E2D" w:rsidP="00CF0E2D">
            <w:pPr>
              <w:pStyle w:val="EmptyCell0"/>
              <w:rPr>
                <w:sz w:val="20"/>
              </w:rPr>
            </w:pPr>
          </w:p>
        </w:tc>
        <w:tc>
          <w:tcPr>
            <w:tcW w:w="964" w:type="dxa"/>
            <w:gridSpan w:val="2"/>
            <w:tcBorders>
              <w:top w:val="nil"/>
              <w:left w:val="nil"/>
              <w:bottom w:val="nil"/>
              <w:right w:val="nil"/>
            </w:tcBorders>
          </w:tcPr>
          <w:p w14:paraId="4B5932A1" w14:textId="77777777" w:rsidR="00CF0E2D" w:rsidRPr="00D60558" w:rsidRDefault="00CF0E2D" w:rsidP="00CF0E2D">
            <w:pPr>
              <w:pStyle w:val="EmptyCell0"/>
              <w:rPr>
                <w:sz w:val="20"/>
              </w:rPr>
            </w:pPr>
          </w:p>
        </w:tc>
        <w:tc>
          <w:tcPr>
            <w:tcW w:w="964" w:type="dxa"/>
            <w:gridSpan w:val="2"/>
            <w:tcBorders>
              <w:top w:val="nil"/>
              <w:left w:val="nil"/>
              <w:bottom w:val="nil"/>
              <w:right w:val="nil"/>
            </w:tcBorders>
          </w:tcPr>
          <w:p w14:paraId="37F82561" w14:textId="77777777" w:rsidR="00CF0E2D" w:rsidRPr="00D60558" w:rsidRDefault="00CF0E2D" w:rsidP="00CF0E2D">
            <w:pPr>
              <w:pStyle w:val="EmptyCell0"/>
              <w:rPr>
                <w:sz w:val="20"/>
              </w:rPr>
            </w:pPr>
          </w:p>
        </w:tc>
        <w:tc>
          <w:tcPr>
            <w:tcW w:w="964" w:type="dxa"/>
            <w:gridSpan w:val="2"/>
            <w:tcBorders>
              <w:top w:val="nil"/>
              <w:left w:val="nil"/>
              <w:bottom w:val="nil"/>
              <w:right w:val="nil"/>
            </w:tcBorders>
          </w:tcPr>
          <w:p w14:paraId="45BEBA60" w14:textId="77777777" w:rsidR="00CF0E2D" w:rsidRPr="00D60558" w:rsidRDefault="00CF0E2D" w:rsidP="00CF0E2D">
            <w:pPr>
              <w:pStyle w:val="EmptyCell0"/>
              <w:rPr>
                <w:sz w:val="20"/>
              </w:rPr>
            </w:pPr>
          </w:p>
        </w:tc>
        <w:tc>
          <w:tcPr>
            <w:tcW w:w="954" w:type="dxa"/>
            <w:gridSpan w:val="2"/>
            <w:tcBorders>
              <w:top w:val="nil"/>
              <w:left w:val="nil"/>
              <w:bottom w:val="nil"/>
              <w:right w:val="nil"/>
            </w:tcBorders>
          </w:tcPr>
          <w:p w14:paraId="4100E14C" w14:textId="77777777" w:rsidR="00CF0E2D" w:rsidRPr="00D60558" w:rsidRDefault="00CF0E2D" w:rsidP="00CF0E2D">
            <w:pPr>
              <w:pStyle w:val="EmptyCell0"/>
              <w:rPr>
                <w:b/>
                <w:bCs/>
                <w:sz w:val="20"/>
              </w:rPr>
            </w:pPr>
          </w:p>
        </w:tc>
      </w:tr>
      <w:tr w:rsidR="00CF0E2D" w:rsidRPr="00D60558" w14:paraId="13A3C547" w14:textId="77777777" w:rsidTr="00CF0E2D">
        <w:trPr>
          <w:trHeight w:val="397"/>
          <w:jc w:val="center"/>
        </w:trPr>
        <w:tc>
          <w:tcPr>
            <w:tcW w:w="3355" w:type="dxa"/>
            <w:tcBorders>
              <w:top w:val="nil"/>
              <w:left w:val="nil"/>
              <w:bottom w:val="nil"/>
              <w:right w:val="nil"/>
            </w:tcBorders>
            <w:vAlign w:val="center"/>
          </w:tcPr>
          <w:p w14:paraId="6F6529AB" w14:textId="507B2059" w:rsidR="00CF0E2D" w:rsidRPr="00CF0E2D" w:rsidRDefault="00CF0E2D" w:rsidP="00CF0E2D">
            <w:pPr>
              <w:pStyle w:val="Btabletextunbold"/>
              <w:rPr>
                <w:rFonts w:cs="Calibri"/>
                <w:color w:val="000000"/>
                <w:szCs w:val="20"/>
              </w:rPr>
            </w:pPr>
            <w:r w:rsidRPr="007F5C47">
              <w:rPr>
                <w:rFonts w:cs="Calibri"/>
                <w:color w:val="000000"/>
                <w:szCs w:val="20"/>
              </w:rPr>
              <w:t xml:space="preserve">Implementing legislative agenda – </w:t>
            </w:r>
            <w:r w:rsidRPr="00CF0E2D">
              <w:rPr>
                <w:rFonts w:cs="Calibri"/>
                <w:i/>
                <w:iCs/>
                <w:color w:val="000000"/>
                <w:szCs w:val="20"/>
              </w:rPr>
              <w:t>Electoral Amendment Act 2020</w:t>
            </w:r>
          </w:p>
        </w:tc>
        <w:tc>
          <w:tcPr>
            <w:tcW w:w="1102" w:type="dxa"/>
            <w:gridSpan w:val="2"/>
            <w:tcBorders>
              <w:top w:val="nil"/>
              <w:left w:val="nil"/>
              <w:bottom w:val="nil"/>
              <w:right w:val="nil"/>
            </w:tcBorders>
          </w:tcPr>
          <w:p w14:paraId="16FC796A" w14:textId="1E94CB61" w:rsidR="00CF0E2D" w:rsidRPr="00CF0E2D" w:rsidRDefault="00CF0E2D" w:rsidP="00CF0E2D">
            <w:pPr>
              <w:pStyle w:val="Btablefigureunbold"/>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6ECA8762" w14:textId="4D4B01EF" w:rsidR="00CF0E2D" w:rsidRPr="00CF0E2D" w:rsidRDefault="00CF0E2D" w:rsidP="00387F31">
            <w:pPr>
              <w:pStyle w:val="Btablefigureunbold"/>
              <w:rPr>
                <w:rFonts w:cs="Calibri"/>
                <w:color w:val="000000"/>
                <w:szCs w:val="20"/>
              </w:rPr>
            </w:pPr>
            <w:r w:rsidRPr="00C52448">
              <w:rPr>
                <w:rFonts w:cs="Calibri"/>
                <w:color w:val="000000"/>
                <w:szCs w:val="20"/>
              </w:rPr>
              <w:t>186</w:t>
            </w:r>
          </w:p>
        </w:tc>
        <w:tc>
          <w:tcPr>
            <w:tcW w:w="964" w:type="dxa"/>
            <w:gridSpan w:val="2"/>
            <w:tcBorders>
              <w:top w:val="nil"/>
              <w:left w:val="nil"/>
              <w:bottom w:val="nil"/>
              <w:right w:val="nil"/>
            </w:tcBorders>
          </w:tcPr>
          <w:p w14:paraId="6AB8BD6D" w14:textId="5196026B" w:rsidR="00CF0E2D" w:rsidRPr="00CF0E2D" w:rsidRDefault="00CF0E2D" w:rsidP="00387F31">
            <w:pPr>
              <w:pStyle w:val="Btablefigureunbold"/>
              <w:rPr>
                <w:rFonts w:cs="Calibri"/>
                <w:color w:val="000000"/>
                <w:szCs w:val="20"/>
              </w:rPr>
            </w:pPr>
            <w:r w:rsidRPr="00C52448">
              <w:rPr>
                <w:rFonts w:cs="Calibri"/>
                <w:color w:val="000000"/>
                <w:szCs w:val="20"/>
              </w:rPr>
              <w:t>218</w:t>
            </w:r>
          </w:p>
        </w:tc>
        <w:tc>
          <w:tcPr>
            <w:tcW w:w="964" w:type="dxa"/>
            <w:gridSpan w:val="2"/>
            <w:tcBorders>
              <w:top w:val="nil"/>
              <w:left w:val="nil"/>
              <w:bottom w:val="nil"/>
              <w:right w:val="nil"/>
            </w:tcBorders>
          </w:tcPr>
          <w:p w14:paraId="4C47DE21" w14:textId="02E79F7D" w:rsidR="00CF0E2D" w:rsidRPr="00CF0E2D" w:rsidRDefault="00CF0E2D" w:rsidP="00387F31">
            <w:pPr>
              <w:pStyle w:val="Btablefigureunbold"/>
              <w:rPr>
                <w:rFonts w:cs="Calibri"/>
                <w:color w:val="000000"/>
                <w:szCs w:val="20"/>
              </w:rPr>
            </w:pPr>
            <w:r w:rsidRPr="00C52448">
              <w:rPr>
                <w:rFonts w:cs="Calibri"/>
                <w:color w:val="000000"/>
                <w:szCs w:val="20"/>
              </w:rPr>
              <w:t>249</w:t>
            </w:r>
          </w:p>
        </w:tc>
        <w:tc>
          <w:tcPr>
            <w:tcW w:w="964" w:type="dxa"/>
            <w:gridSpan w:val="2"/>
            <w:tcBorders>
              <w:top w:val="nil"/>
              <w:left w:val="nil"/>
              <w:bottom w:val="nil"/>
              <w:right w:val="nil"/>
            </w:tcBorders>
          </w:tcPr>
          <w:p w14:paraId="7C218887" w14:textId="0ADE1F02" w:rsidR="00CF0E2D" w:rsidRPr="00CF0E2D" w:rsidRDefault="00CF0E2D" w:rsidP="00387F31">
            <w:pPr>
              <w:pStyle w:val="Btablefigureunbold"/>
              <w:rPr>
                <w:rFonts w:cs="Calibri"/>
                <w:color w:val="000000"/>
                <w:szCs w:val="20"/>
              </w:rPr>
            </w:pPr>
            <w:r w:rsidRPr="00C52448">
              <w:rPr>
                <w:rFonts w:cs="Calibri"/>
                <w:color w:val="000000"/>
                <w:szCs w:val="20"/>
              </w:rPr>
              <w:t>265</w:t>
            </w:r>
          </w:p>
        </w:tc>
        <w:tc>
          <w:tcPr>
            <w:tcW w:w="954" w:type="dxa"/>
            <w:gridSpan w:val="2"/>
            <w:tcBorders>
              <w:top w:val="nil"/>
              <w:left w:val="nil"/>
              <w:bottom w:val="nil"/>
              <w:right w:val="nil"/>
            </w:tcBorders>
          </w:tcPr>
          <w:p w14:paraId="2D7F9C81" w14:textId="065843BC" w:rsidR="00CF0E2D" w:rsidRPr="00387F31" w:rsidRDefault="00CF0E2D" w:rsidP="00387F31">
            <w:pPr>
              <w:pStyle w:val="Btablefigureunbold"/>
              <w:rPr>
                <w:rFonts w:cs="Calibri"/>
                <w:b/>
                <w:bCs/>
                <w:color w:val="000000"/>
                <w:szCs w:val="20"/>
              </w:rPr>
            </w:pPr>
            <w:r w:rsidRPr="00387F31">
              <w:rPr>
                <w:rFonts w:cs="Calibri"/>
                <w:b/>
                <w:bCs/>
                <w:color w:val="000000"/>
                <w:szCs w:val="20"/>
              </w:rPr>
              <w:t>918</w:t>
            </w:r>
          </w:p>
        </w:tc>
      </w:tr>
      <w:tr w:rsidR="00CF0E2D" w:rsidRPr="00D60558" w14:paraId="49158DA2" w14:textId="77777777" w:rsidTr="00387F31">
        <w:trPr>
          <w:trHeight w:val="680"/>
          <w:jc w:val="center"/>
        </w:trPr>
        <w:tc>
          <w:tcPr>
            <w:tcW w:w="3355" w:type="dxa"/>
            <w:tcBorders>
              <w:top w:val="nil"/>
              <w:left w:val="nil"/>
              <w:bottom w:val="nil"/>
              <w:right w:val="nil"/>
            </w:tcBorders>
            <w:vAlign w:val="center"/>
          </w:tcPr>
          <w:p w14:paraId="16000955" w14:textId="7C15CC35" w:rsidR="00CF0E2D" w:rsidRPr="00387F31" w:rsidRDefault="00CF0E2D" w:rsidP="00387F31">
            <w:pPr>
              <w:pStyle w:val="Btabletextbold"/>
              <w:rPr>
                <w:rFonts w:cs="Calibri"/>
                <w:color w:val="000000"/>
                <w:szCs w:val="20"/>
              </w:rPr>
            </w:pPr>
            <w:r w:rsidRPr="00387F31">
              <w:rPr>
                <w:szCs w:val="20"/>
              </w:rPr>
              <w:t>Chief Minister, Treasury and Economic Development Directorate</w:t>
            </w:r>
          </w:p>
        </w:tc>
        <w:tc>
          <w:tcPr>
            <w:tcW w:w="1102" w:type="dxa"/>
            <w:gridSpan w:val="2"/>
            <w:tcBorders>
              <w:top w:val="nil"/>
              <w:left w:val="nil"/>
              <w:bottom w:val="nil"/>
              <w:right w:val="nil"/>
            </w:tcBorders>
          </w:tcPr>
          <w:p w14:paraId="1A72C0B5" w14:textId="77777777" w:rsidR="00CF0E2D" w:rsidRDefault="00CF0E2D" w:rsidP="00CF0E2D">
            <w:pPr>
              <w:pStyle w:val="EmptyCell0"/>
              <w:jc w:val="left"/>
              <w:rPr>
                <w:color w:val="000000"/>
              </w:rPr>
            </w:pPr>
          </w:p>
        </w:tc>
        <w:tc>
          <w:tcPr>
            <w:tcW w:w="964" w:type="dxa"/>
            <w:gridSpan w:val="2"/>
            <w:tcBorders>
              <w:top w:val="nil"/>
              <w:left w:val="nil"/>
              <w:bottom w:val="nil"/>
              <w:right w:val="nil"/>
            </w:tcBorders>
          </w:tcPr>
          <w:p w14:paraId="3F57B223" w14:textId="77777777" w:rsidR="00CF0E2D" w:rsidRPr="00C52448" w:rsidRDefault="00CF0E2D" w:rsidP="00CF0E2D">
            <w:pPr>
              <w:pStyle w:val="EmptyCell0"/>
              <w:rPr>
                <w:color w:val="000000"/>
              </w:rPr>
            </w:pPr>
          </w:p>
        </w:tc>
        <w:tc>
          <w:tcPr>
            <w:tcW w:w="964" w:type="dxa"/>
            <w:gridSpan w:val="2"/>
            <w:tcBorders>
              <w:top w:val="nil"/>
              <w:left w:val="nil"/>
              <w:bottom w:val="nil"/>
              <w:right w:val="nil"/>
            </w:tcBorders>
          </w:tcPr>
          <w:p w14:paraId="2259CAC3" w14:textId="77777777" w:rsidR="00CF0E2D" w:rsidRPr="00C52448" w:rsidRDefault="00CF0E2D" w:rsidP="00CF0E2D">
            <w:pPr>
              <w:pStyle w:val="EmptyCell0"/>
              <w:rPr>
                <w:color w:val="000000"/>
              </w:rPr>
            </w:pPr>
          </w:p>
        </w:tc>
        <w:tc>
          <w:tcPr>
            <w:tcW w:w="964" w:type="dxa"/>
            <w:gridSpan w:val="2"/>
            <w:tcBorders>
              <w:top w:val="nil"/>
              <w:left w:val="nil"/>
              <w:bottom w:val="nil"/>
              <w:right w:val="nil"/>
            </w:tcBorders>
          </w:tcPr>
          <w:p w14:paraId="69C45522" w14:textId="77777777" w:rsidR="00CF0E2D" w:rsidRPr="00C52448" w:rsidRDefault="00CF0E2D" w:rsidP="00CF0E2D">
            <w:pPr>
              <w:pStyle w:val="EmptyCell0"/>
              <w:rPr>
                <w:color w:val="000000"/>
              </w:rPr>
            </w:pPr>
          </w:p>
        </w:tc>
        <w:tc>
          <w:tcPr>
            <w:tcW w:w="964" w:type="dxa"/>
            <w:gridSpan w:val="2"/>
            <w:tcBorders>
              <w:top w:val="nil"/>
              <w:left w:val="nil"/>
              <w:bottom w:val="nil"/>
              <w:right w:val="nil"/>
            </w:tcBorders>
          </w:tcPr>
          <w:p w14:paraId="2C02DF55" w14:textId="77777777" w:rsidR="00CF0E2D" w:rsidRPr="00C52448" w:rsidRDefault="00CF0E2D" w:rsidP="00CF0E2D">
            <w:pPr>
              <w:pStyle w:val="EmptyCell0"/>
              <w:rPr>
                <w:color w:val="000000"/>
              </w:rPr>
            </w:pPr>
          </w:p>
        </w:tc>
        <w:tc>
          <w:tcPr>
            <w:tcW w:w="954" w:type="dxa"/>
            <w:gridSpan w:val="2"/>
            <w:tcBorders>
              <w:top w:val="nil"/>
              <w:left w:val="nil"/>
              <w:bottom w:val="nil"/>
              <w:right w:val="nil"/>
            </w:tcBorders>
          </w:tcPr>
          <w:p w14:paraId="053E7B87" w14:textId="77777777" w:rsidR="00CF0E2D" w:rsidRPr="00C52448" w:rsidRDefault="00CF0E2D" w:rsidP="00CF0E2D">
            <w:pPr>
              <w:pStyle w:val="EmptyCell0"/>
              <w:rPr>
                <w:b/>
                <w:bCs/>
                <w:color w:val="000000"/>
              </w:rPr>
            </w:pPr>
          </w:p>
        </w:tc>
      </w:tr>
      <w:tr w:rsidR="00CF0E2D" w:rsidRPr="00D60558" w14:paraId="7ADEE75B" w14:textId="77777777" w:rsidTr="00A60D4B">
        <w:trPr>
          <w:jc w:val="center"/>
        </w:trPr>
        <w:tc>
          <w:tcPr>
            <w:tcW w:w="3355" w:type="dxa"/>
            <w:tcBorders>
              <w:top w:val="nil"/>
              <w:left w:val="nil"/>
              <w:bottom w:val="nil"/>
              <w:right w:val="nil"/>
            </w:tcBorders>
          </w:tcPr>
          <w:p w14:paraId="3FDF7DAF" w14:textId="77777777" w:rsidR="00CF0E2D" w:rsidRPr="00D60558" w:rsidRDefault="00CF0E2D" w:rsidP="00A60D4B">
            <w:pPr>
              <w:pStyle w:val="Btabletextunbold"/>
              <w:rPr>
                <w:szCs w:val="20"/>
              </w:rPr>
            </w:pPr>
            <w:r w:rsidRPr="00D60558">
              <w:rPr>
                <w:rFonts w:cs="Calibri"/>
                <w:color w:val="000000"/>
                <w:szCs w:val="20"/>
              </w:rPr>
              <w:t>ACT Government office accommodation consolidation</w:t>
            </w:r>
            <w:r w:rsidRPr="00D60558">
              <w:rPr>
                <w:rFonts w:cs="Calibri"/>
                <w:color w:val="000000"/>
                <w:szCs w:val="20"/>
                <w:vertAlign w:val="superscript"/>
              </w:rPr>
              <w:t>1</w:t>
            </w:r>
            <w:r w:rsidRPr="00D60558">
              <w:rPr>
                <w:rFonts w:cs="Calibri"/>
                <w:color w:val="000000"/>
                <w:szCs w:val="20"/>
              </w:rPr>
              <w:t xml:space="preserve"> </w:t>
            </w:r>
          </w:p>
        </w:tc>
        <w:tc>
          <w:tcPr>
            <w:tcW w:w="1102" w:type="dxa"/>
            <w:gridSpan w:val="2"/>
            <w:tcBorders>
              <w:top w:val="nil"/>
              <w:left w:val="nil"/>
              <w:bottom w:val="nil"/>
              <w:right w:val="nil"/>
            </w:tcBorders>
          </w:tcPr>
          <w:p w14:paraId="7BE58733" w14:textId="77777777" w:rsidR="00CF0E2D" w:rsidRPr="00D60558" w:rsidRDefault="00CF0E2D" w:rsidP="00A60D4B">
            <w:pPr>
              <w:pStyle w:val="Btablefigureunbold"/>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2F80AD8F" w14:textId="77777777" w:rsidR="00CF0E2D" w:rsidRPr="001D4AAB" w:rsidRDefault="00CF0E2D" w:rsidP="00A60D4B">
            <w:pPr>
              <w:pStyle w:val="Btablefigureunbold"/>
              <w:rPr>
                <w:szCs w:val="20"/>
              </w:rPr>
            </w:pPr>
            <w:r w:rsidRPr="001D4AAB">
              <w:rPr>
                <w:rFonts w:cs="Calibri"/>
                <w:color w:val="000000"/>
                <w:szCs w:val="20"/>
              </w:rPr>
              <w:t>3,924</w:t>
            </w:r>
          </w:p>
        </w:tc>
        <w:tc>
          <w:tcPr>
            <w:tcW w:w="964" w:type="dxa"/>
            <w:gridSpan w:val="2"/>
            <w:tcBorders>
              <w:top w:val="nil"/>
              <w:left w:val="nil"/>
              <w:bottom w:val="nil"/>
              <w:right w:val="nil"/>
            </w:tcBorders>
          </w:tcPr>
          <w:p w14:paraId="768F0E81" w14:textId="77777777" w:rsidR="00CF0E2D" w:rsidRPr="001D4AAB" w:rsidRDefault="00CF0E2D" w:rsidP="00A60D4B">
            <w:pPr>
              <w:pStyle w:val="Btablefigureunbold"/>
              <w:rPr>
                <w:szCs w:val="20"/>
              </w:rPr>
            </w:pPr>
            <w:r w:rsidRPr="001D4AAB">
              <w:rPr>
                <w:rFonts w:cs="Calibri"/>
                <w:color w:val="000000"/>
                <w:szCs w:val="20"/>
              </w:rPr>
              <w:t>0</w:t>
            </w:r>
          </w:p>
        </w:tc>
        <w:tc>
          <w:tcPr>
            <w:tcW w:w="964" w:type="dxa"/>
            <w:gridSpan w:val="2"/>
            <w:tcBorders>
              <w:top w:val="nil"/>
              <w:left w:val="nil"/>
              <w:bottom w:val="nil"/>
              <w:right w:val="nil"/>
            </w:tcBorders>
          </w:tcPr>
          <w:p w14:paraId="692C569C" w14:textId="77777777" w:rsidR="00CF0E2D" w:rsidRPr="001D4AAB" w:rsidRDefault="00CF0E2D" w:rsidP="00A60D4B">
            <w:pPr>
              <w:pStyle w:val="Btablefigureunbold"/>
              <w:rPr>
                <w:szCs w:val="20"/>
              </w:rPr>
            </w:pPr>
            <w:r w:rsidRPr="001D4AAB">
              <w:rPr>
                <w:rFonts w:cs="Calibri"/>
                <w:color w:val="000000"/>
                <w:szCs w:val="20"/>
              </w:rPr>
              <w:t>0</w:t>
            </w:r>
          </w:p>
        </w:tc>
        <w:tc>
          <w:tcPr>
            <w:tcW w:w="964" w:type="dxa"/>
            <w:gridSpan w:val="2"/>
            <w:tcBorders>
              <w:top w:val="nil"/>
              <w:left w:val="nil"/>
              <w:bottom w:val="nil"/>
              <w:right w:val="nil"/>
            </w:tcBorders>
          </w:tcPr>
          <w:p w14:paraId="6503804D" w14:textId="77777777" w:rsidR="00CF0E2D" w:rsidRPr="001D4AAB" w:rsidRDefault="00CF0E2D" w:rsidP="00A60D4B">
            <w:pPr>
              <w:pStyle w:val="Btablefigureunbold"/>
              <w:rPr>
                <w:szCs w:val="20"/>
              </w:rPr>
            </w:pPr>
            <w:r w:rsidRPr="001D4AAB">
              <w:rPr>
                <w:rFonts w:cs="Calibri"/>
                <w:color w:val="000000"/>
                <w:szCs w:val="20"/>
              </w:rPr>
              <w:t>0</w:t>
            </w:r>
          </w:p>
        </w:tc>
        <w:tc>
          <w:tcPr>
            <w:tcW w:w="954" w:type="dxa"/>
            <w:gridSpan w:val="2"/>
            <w:tcBorders>
              <w:top w:val="nil"/>
              <w:left w:val="nil"/>
              <w:bottom w:val="nil"/>
              <w:right w:val="nil"/>
            </w:tcBorders>
          </w:tcPr>
          <w:p w14:paraId="525DFDD0" w14:textId="77777777" w:rsidR="00CF0E2D" w:rsidRPr="001D4AAB" w:rsidRDefault="00CF0E2D" w:rsidP="00A60D4B">
            <w:pPr>
              <w:pStyle w:val="Btablefigureunbold"/>
              <w:rPr>
                <w:b/>
                <w:bCs/>
                <w:szCs w:val="20"/>
              </w:rPr>
            </w:pPr>
            <w:r w:rsidRPr="001D4AAB">
              <w:rPr>
                <w:rFonts w:cs="Calibri"/>
                <w:b/>
                <w:bCs/>
                <w:color w:val="000000"/>
                <w:szCs w:val="20"/>
              </w:rPr>
              <w:t>3,924</w:t>
            </w:r>
          </w:p>
        </w:tc>
      </w:tr>
      <w:tr w:rsidR="00CF0E2D" w:rsidRPr="00D60558" w14:paraId="361B1A14" w14:textId="77777777" w:rsidTr="00A60D4B">
        <w:trPr>
          <w:jc w:val="center"/>
        </w:trPr>
        <w:tc>
          <w:tcPr>
            <w:tcW w:w="3355" w:type="dxa"/>
            <w:tcBorders>
              <w:top w:val="nil"/>
              <w:left w:val="nil"/>
              <w:bottom w:val="nil"/>
              <w:right w:val="nil"/>
            </w:tcBorders>
          </w:tcPr>
          <w:p w14:paraId="545E833F" w14:textId="77777777" w:rsidR="00CF0E2D" w:rsidRPr="00D60558" w:rsidRDefault="00CF0E2D" w:rsidP="00A60D4B">
            <w:pPr>
              <w:pStyle w:val="Btabletextunbold"/>
              <w:rPr>
                <w:szCs w:val="20"/>
              </w:rPr>
            </w:pPr>
            <w:r w:rsidRPr="00D60558">
              <w:rPr>
                <w:rFonts w:cs="Calibri"/>
                <w:color w:val="000000"/>
                <w:szCs w:val="20"/>
              </w:rPr>
              <w:t>ACT Government office accommodation consolidation</w:t>
            </w:r>
            <w:r w:rsidRPr="00D60558">
              <w:rPr>
                <w:rFonts w:cs="Calibri"/>
                <w:color w:val="000000"/>
                <w:szCs w:val="20"/>
                <w:vertAlign w:val="superscript"/>
              </w:rPr>
              <w:t>1</w:t>
            </w:r>
            <w:r w:rsidRPr="00D60558">
              <w:rPr>
                <w:rFonts w:cs="Calibri"/>
                <w:color w:val="000000"/>
                <w:szCs w:val="20"/>
              </w:rPr>
              <w:t xml:space="preserve"> </w:t>
            </w:r>
          </w:p>
        </w:tc>
        <w:tc>
          <w:tcPr>
            <w:tcW w:w="1102" w:type="dxa"/>
            <w:gridSpan w:val="2"/>
            <w:tcBorders>
              <w:top w:val="nil"/>
              <w:left w:val="nil"/>
              <w:bottom w:val="nil"/>
              <w:right w:val="nil"/>
            </w:tcBorders>
          </w:tcPr>
          <w:p w14:paraId="48DDE506" w14:textId="77777777" w:rsidR="00CF0E2D" w:rsidRPr="00D60558" w:rsidRDefault="00CF0E2D" w:rsidP="00A60D4B">
            <w:pPr>
              <w:pStyle w:val="Btablefigureunbold"/>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03A7E88E" w14:textId="77777777" w:rsidR="00CF0E2D" w:rsidRPr="001D4AAB" w:rsidRDefault="00CF0E2D" w:rsidP="00A60D4B">
            <w:pPr>
              <w:pStyle w:val="Btablefigureunbold"/>
              <w:rPr>
                <w:szCs w:val="20"/>
              </w:rPr>
            </w:pPr>
            <w:r w:rsidRPr="001D4AAB">
              <w:rPr>
                <w:rFonts w:cs="Calibri"/>
                <w:color w:val="000000"/>
                <w:szCs w:val="20"/>
              </w:rPr>
              <w:t>1,080</w:t>
            </w:r>
          </w:p>
        </w:tc>
        <w:tc>
          <w:tcPr>
            <w:tcW w:w="964" w:type="dxa"/>
            <w:gridSpan w:val="2"/>
            <w:tcBorders>
              <w:top w:val="nil"/>
              <w:left w:val="nil"/>
              <w:bottom w:val="nil"/>
              <w:right w:val="nil"/>
            </w:tcBorders>
          </w:tcPr>
          <w:p w14:paraId="5B914D1A" w14:textId="77777777" w:rsidR="00CF0E2D" w:rsidRPr="001D4AAB" w:rsidRDefault="00CF0E2D" w:rsidP="00A60D4B">
            <w:pPr>
              <w:pStyle w:val="Btablefigureunbold"/>
              <w:rPr>
                <w:szCs w:val="20"/>
              </w:rPr>
            </w:pPr>
            <w:r w:rsidRPr="001D4AAB">
              <w:rPr>
                <w:rFonts w:cs="Calibri"/>
                <w:color w:val="000000"/>
                <w:szCs w:val="20"/>
              </w:rPr>
              <w:t>2,901</w:t>
            </w:r>
          </w:p>
        </w:tc>
        <w:tc>
          <w:tcPr>
            <w:tcW w:w="964" w:type="dxa"/>
            <w:gridSpan w:val="2"/>
            <w:tcBorders>
              <w:top w:val="nil"/>
              <w:left w:val="nil"/>
              <w:bottom w:val="nil"/>
              <w:right w:val="nil"/>
            </w:tcBorders>
          </w:tcPr>
          <w:p w14:paraId="7047BD27" w14:textId="77777777" w:rsidR="00CF0E2D" w:rsidRPr="001D4AAB" w:rsidRDefault="00CF0E2D" w:rsidP="00A60D4B">
            <w:pPr>
              <w:pStyle w:val="Btablefigureunbold"/>
              <w:rPr>
                <w:szCs w:val="20"/>
              </w:rPr>
            </w:pPr>
            <w:r w:rsidRPr="001D4AAB">
              <w:rPr>
                <w:rFonts w:cs="Calibri"/>
                <w:color w:val="000000"/>
                <w:szCs w:val="20"/>
              </w:rPr>
              <w:t>1,849</w:t>
            </w:r>
          </w:p>
        </w:tc>
        <w:tc>
          <w:tcPr>
            <w:tcW w:w="964" w:type="dxa"/>
            <w:gridSpan w:val="2"/>
            <w:tcBorders>
              <w:top w:val="nil"/>
              <w:left w:val="nil"/>
              <w:bottom w:val="nil"/>
              <w:right w:val="nil"/>
            </w:tcBorders>
          </w:tcPr>
          <w:p w14:paraId="0B3071CA" w14:textId="77777777" w:rsidR="00CF0E2D" w:rsidRPr="001D4AAB" w:rsidRDefault="00CF0E2D" w:rsidP="00A60D4B">
            <w:pPr>
              <w:pStyle w:val="Btablefigureunbold"/>
              <w:rPr>
                <w:szCs w:val="20"/>
              </w:rPr>
            </w:pPr>
            <w:r w:rsidRPr="001D4AAB">
              <w:rPr>
                <w:rFonts w:cs="Calibri"/>
                <w:color w:val="000000"/>
                <w:szCs w:val="20"/>
              </w:rPr>
              <w:t>1,893</w:t>
            </w:r>
          </w:p>
        </w:tc>
        <w:tc>
          <w:tcPr>
            <w:tcW w:w="954" w:type="dxa"/>
            <w:gridSpan w:val="2"/>
            <w:tcBorders>
              <w:top w:val="nil"/>
              <w:left w:val="nil"/>
              <w:bottom w:val="nil"/>
              <w:right w:val="nil"/>
            </w:tcBorders>
          </w:tcPr>
          <w:p w14:paraId="5C8A0628" w14:textId="77777777" w:rsidR="00CF0E2D" w:rsidRPr="001D4AAB" w:rsidRDefault="00CF0E2D" w:rsidP="00A60D4B">
            <w:pPr>
              <w:pStyle w:val="Btablefigureunbold"/>
              <w:rPr>
                <w:b/>
                <w:bCs/>
                <w:szCs w:val="20"/>
              </w:rPr>
            </w:pPr>
            <w:r w:rsidRPr="001D4AAB">
              <w:rPr>
                <w:rFonts w:cs="Calibri"/>
                <w:b/>
                <w:bCs/>
                <w:color w:val="000000"/>
                <w:szCs w:val="20"/>
              </w:rPr>
              <w:t>7,723</w:t>
            </w:r>
          </w:p>
        </w:tc>
      </w:tr>
      <w:tr w:rsidR="00CF0E2D" w:rsidRPr="00D60558" w14:paraId="01E10301" w14:textId="77777777" w:rsidTr="00A60D4B">
        <w:trPr>
          <w:jc w:val="center"/>
        </w:trPr>
        <w:tc>
          <w:tcPr>
            <w:tcW w:w="3355" w:type="dxa"/>
            <w:tcBorders>
              <w:top w:val="nil"/>
              <w:left w:val="nil"/>
              <w:bottom w:val="nil"/>
              <w:right w:val="nil"/>
            </w:tcBorders>
          </w:tcPr>
          <w:p w14:paraId="48C43A2C" w14:textId="77777777" w:rsidR="00CF0E2D" w:rsidRPr="00D60558" w:rsidRDefault="00CF0E2D" w:rsidP="00A60D4B">
            <w:pPr>
              <w:pStyle w:val="Btabletextunbold"/>
              <w:rPr>
                <w:rFonts w:cs="Calibri"/>
                <w:color w:val="000000"/>
                <w:szCs w:val="20"/>
              </w:rPr>
            </w:pPr>
            <w:r w:rsidRPr="00D60558">
              <w:rPr>
                <w:rFonts w:cs="Calibri"/>
                <w:color w:val="000000"/>
                <w:szCs w:val="20"/>
              </w:rPr>
              <w:t xml:space="preserve">Asbestos Disease Support Fund </w:t>
            </w:r>
          </w:p>
        </w:tc>
        <w:tc>
          <w:tcPr>
            <w:tcW w:w="1102" w:type="dxa"/>
            <w:gridSpan w:val="2"/>
            <w:tcBorders>
              <w:top w:val="nil"/>
              <w:left w:val="nil"/>
              <w:bottom w:val="nil"/>
              <w:right w:val="nil"/>
            </w:tcBorders>
          </w:tcPr>
          <w:p w14:paraId="2AF879B6" w14:textId="77777777" w:rsidR="00CF0E2D" w:rsidRPr="00D60558" w:rsidRDefault="00CF0E2D" w:rsidP="00A60D4B">
            <w:pPr>
              <w:pStyle w:val="Btablefigureunbold"/>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1961F8C9" w14:textId="77777777" w:rsidR="00CF0E2D" w:rsidRPr="001D4AAB" w:rsidRDefault="00CF0E2D" w:rsidP="00A60D4B">
            <w:pPr>
              <w:pStyle w:val="Btablefigureunbold"/>
              <w:rPr>
                <w:rFonts w:cs="Calibri"/>
                <w:color w:val="000000"/>
                <w:szCs w:val="20"/>
              </w:rPr>
            </w:pPr>
            <w:r w:rsidRPr="001D4AAB">
              <w:rPr>
                <w:rFonts w:cs="Calibri"/>
                <w:color w:val="000000"/>
                <w:szCs w:val="20"/>
              </w:rPr>
              <w:t>NFP</w:t>
            </w:r>
          </w:p>
        </w:tc>
        <w:tc>
          <w:tcPr>
            <w:tcW w:w="964" w:type="dxa"/>
            <w:gridSpan w:val="2"/>
            <w:tcBorders>
              <w:top w:val="nil"/>
              <w:left w:val="nil"/>
              <w:bottom w:val="nil"/>
              <w:right w:val="nil"/>
            </w:tcBorders>
          </w:tcPr>
          <w:p w14:paraId="5E91FD4D" w14:textId="77777777" w:rsidR="00CF0E2D" w:rsidRPr="001D4AAB" w:rsidRDefault="00CF0E2D" w:rsidP="00A60D4B">
            <w:pPr>
              <w:pStyle w:val="Btablefigureunbold"/>
              <w:rPr>
                <w:rFonts w:cs="Calibri"/>
                <w:color w:val="000000"/>
                <w:szCs w:val="20"/>
              </w:rPr>
            </w:pPr>
            <w:r w:rsidRPr="001D4AAB">
              <w:rPr>
                <w:rFonts w:cs="Calibri"/>
                <w:color w:val="000000"/>
                <w:szCs w:val="20"/>
              </w:rPr>
              <w:t>NFP</w:t>
            </w:r>
          </w:p>
        </w:tc>
        <w:tc>
          <w:tcPr>
            <w:tcW w:w="964" w:type="dxa"/>
            <w:gridSpan w:val="2"/>
            <w:tcBorders>
              <w:top w:val="nil"/>
              <w:left w:val="nil"/>
              <w:bottom w:val="nil"/>
              <w:right w:val="nil"/>
            </w:tcBorders>
          </w:tcPr>
          <w:p w14:paraId="21AF5B5A" w14:textId="77777777" w:rsidR="00CF0E2D" w:rsidRPr="001D4AAB" w:rsidRDefault="00CF0E2D" w:rsidP="00A60D4B">
            <w:pPr>
              <w:pStyle w:val="Btablefigureunbold"/>
              <w:rPr>
                <w:rFonts w:cs="Calibri"/>
                <w:color w:val="000000"/>
                <w:szCs w:val="20"/>
              </w:rPr>
            </w:pPr>
            <w:r w:rsidRPr="001D4AAB">
              <w:rPr>
                <w:rFonts w:cs="Calibri"/>
                <w:color w:val="000000"/>
                <w:szCs w:val="20"/>
              </w:rPr>
              <w:t>NFP</w:t>
            </w:r>
          </w:p>
        </w:tc>
        <w:tc>
          <w:tcPr>
            <w:tcW w:w="964" w:type="dxa"/>
            <w:gridSpan w:val="2"/>
            <w:tcBorders>
              <w:top w:val="nil"/>
              <w:left w:val="nil"/>
              <w:bottom w:val="nil"/>
              <w:right w:val="nil"/>
            </w:tcBorders>
          </w:tcPr>
          <w:p w14:paraId="5F504025" w14:textId="77777777" w:rsidR="00CF0E2D" w:rsidRPr="001D4AAB" w:rsidRDefault="00CF0E2D" w:rsidP="00A60D4B">
            <w:pPr>
              <w:pStyle w:val="Btablefigureunbold"/>
              <w:rPr>
                <w:rFonts w:cs="Calibri"/>
                <w:color w:val="000000"/>
                <w:szCs w:val="20"/>
              </w:rPr>
            </w:pPr>
            <w:r w:rsidRPr="001D4AAB">
              <w:rPr>
                <w:rFonts w:cs="Calibri"/>
                <w:color w:val="000000"/>
                <w:szCs w:val="20"/>
              </w:rPr>
              <w:t>NFP</w:t>
            </w:r>
          </w:p>
        </w:tc>
        <w:tc>
          <w:tcPr>
            <w:tcW w:w="954" w:type="dxa"/>
            <w:gridSpan w:val="2"/>
            <w:tcBorders>
              <w:top w:val="nil"/>
              <w:left w:val="nil"/>
              <w:bottom w:val="nil"/>
              <w:right w:val="nil"/>
            </w:tcBorders>
          </w:tcPr>
          <w:p w14:paraId="24B9AAFA" w14:textId="77777777" w:rsidR="00CF0E2D" w:rsidRPr="001D4AAB" w:rsidRDefault="00CF0E2D" w:rsidP="00A60D4B">
            <w:pPr>
              <w:pStyle w:val="Btablefigureunbold"/>
              <w:rPr>
                <w:rFonts w:cs="Calibri"/>
                <w:b/>
                <w:bCs/>
                <w:color w:val="000000"/>
                <w:szCs w:val="20"/>
              </w:rPr>
            </w:pPr>
            <w:r w:rsidRPr="001D4AAB">
              <w:rPr>
                <w:rFonts w:cs="Calibri"/>
                <w:b/>
                <w:bCs/>
                <w:color w:val="000000"/>
                <w:szCs w:val="20"/>
              </w:rPr>
              <w:t>16,000</w:t>
            </w:r>
          </w:p>
        </w:tc>
      </w:tr>
      <w:tr w:rsidR="00CF0E2D" w:rsidRPr="00D60558" w14:paraId="66E1B93D" w14:textId="77777777" w:rsidTr="00A60D4B">
        <w:trPr>
          <w:cantSplit/>
          <w:trHeight w:val="283"/>
          <w:jc w:val="center"/>
        </w:trPr>
        <w:tc>
          <w:tcPr>
            <w:tcW w:w="3355" w:type="dxa"/>
            <w:tcBorders>
              <w:top w:val="nil"/>
              <w:left w:val="nil"/>
              <w:bottom w:val="nil"/>
              <w:right w:val="nil"/>
            </w:tcBorders>
          </w:tcPr>
          <w:p w14:paraId="303CEA19" w14:textId="77777777" w:rsidR="00CF0E2D" w:rsidRPr="00B32EE6" w:rsidRDefault="00CF0E2D" w:rsidP="00A60D4B">
            <w:pPr>
              <w:pStyle w:val="Btabletextunbold"/>
              <w:rPr>
                <w:rFonts w:cs="Calibri"/>
                <w:i/>
                <w:iCs/>
                <w:color w:val="000000"/>
                <w:szCs w:val="20"/>
              </w:rPr>
            </w:pPr>
            <w:r w:rsidRPr="00B32EE6">
              <w:rPr>
                <w:rFonts w:cs="Calibri"/>
                <w:i/>
                <w:iCs/>
                <w:color w:val="000000"/>
                <w:szCs w:val="20"/>
              </w:rPr>
              <w:t xml:space="preserve">Backing our Arts and Entertainment </w:t>
            </w:r>
          </w:p>
        </w:tc>
        <w:tc>
          <w:tcPr>
            <w:tcW w:w="1102" w:type="dxa"/>
            <w:gridSpan w:val="2"/>
            <w:tcBorders>
              <w:top w:val="nil"/>
              <w:left w:val="nil"/>
              <w:bottom w:val="nil"/>
              <w:right w:val="nil"/>
            </w:tcBorders>
          </w:tcPr>
          <w:p w14:paraId="2BED856C" w14:textId="77777777" w:rsidR="00CF0E2D" w:rsidRDefault="00CF0E2D" w:rsidP="00A60D4B">
            <w:pPr>
              <w:pStyle w:val="Btablefigureunbold"/>
              <w:jc w:val="left"/>
              <w:rPr>
                <w:rFonts w:cs="Calibri"/>
                <w:color w:val="000000"/>
                <w:szCs w:val="20"/>
              </w:rPr>
            </w:pPr>
          </w:p>
        </w:tc>
        <w:tc>
          <w:tcPr>
            <w:tcW w:w="964" w:type="dxa"/>
            <w:gridSpan w:val="2"/>
            <w:tcBorders>
              <w:top w:val="nil"/>
              <w:left w:val="nil"/>
              <w:bottom w:val="nil"/>
              <w:right w:val="nil"/>
            </w:tcBorders>
          </w:tcPr>
          <w:p w14:paraId="52243D86" w14:textId="77777777" w:rsidR="00CF0E2D" w:rsidRPr="001D4AAB"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53592DD9" w14:textId="77777777" w:rsidR="00CF0E2D" w:rsidRPr="001D4AAB"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1F40B474" w14:textId="77777777" w:rsidR="00CF0E2D" w:rsidRPr="001D4AAB"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105778B8" w14:textId="77777777" w:rsidR="00CF0E2D" w:rsidRPr="001D4AAB" w:rsidRDefault="00CF0E2D" w:rsidP="00A60D4B">
            <w:pPr>
              <w:pStyle w:val="Btablefigureunbold"/>
              <w:rPr>
                <w:rFonts w:cs="Calibri"/>
                <w:color w:val="000000"/>
                <w:szCs w:val="20"/>
              </w:rPr>
            </w:pPr>
          </w:p>
        </w:tc>
        <w:tc>
          <w:tcPr>
            <w:tcW w:w="954" w:type="dxa"/>
            <w:gridSpan w:val="2"/>
            <w:tcBorders>
              <w:top w:val="nil"/>
              <w:left w:val="nil"/>
              <w:bottom w:val="nil"/>
              <w:right w:val="nil"/>
            </w:tcBorders>
          </w:tcPr>
          <w:p w14:paraId="06BEF5A0" w14:textId="77777777" w:rsidR="00CF0E2D" w:rsidRPr="001D4AAB" w:rsidRDefault="00CF0E2D" w:rsidP="00A60D4B">
            <w:pPr>
              <w:pStyle w:val="Btablefigureunbold"/>
              <w:rPr>
                <w:rFonts w:cs="Calibri"/>
                <w:b/>
                <w:bCs/>
                <w:color w:val="000000"/>
                <w:szCs w:val="20"/>
              </w:rPr>
            </w:pPr>
          </w:p>
        </w:tc>
      </w:tr>
      <w:tr w:rsidR="00CF0E2D" w:rsidRPr="00D60558" w14:paraId="32C33D7A" w14:textId="77777777" w:rsidTr="00A60D4B">
        <w:trPr>
          <w:jc w:val="center"/>
        </w:trPr>
        <w:tc>
          <w:tcPr>
            <w:tcW w:w="3355" w:type="dxa"/>
            <w:tcBorders>
              <w:top w:val="nil"/>
              <w:left w:val="nil"/>
              <w:bottom w:val="nil"/>
              <w:right w:val="nil"/>
            </w:tcBorders>
          </w:tcPr>
          <w:p w14:paraId="7C8C4940" w14:textId="77777777" w:rsidR="00CF0E2D" w:rsidRPr="00D60558" w:rsidRDefault="00CF0E2D" w:rsidP="00A60D4B">
            <w:pPr>
              <w:pStyle w:val="Btabletextunbold"/>
              <w:rPr>
                <w:rFonts w:cs="Calibri"/>
                <w:color w:val="000000"/>
                <w:szCs w:val="20"/>
              </w:rPr>
            </w:pPr>
            <w:r>
              <w:rPr>
                <w:rFonts w:cs="Calibri"/>
                <w:color w:val="000000"/>
                <w:szCs w:val="20"/>
              </w:rPr>
              <w:t>–</w:t>
            </w:r>
            <w:r w:rsidRPr="00D60558">
              <w:rPr>
                <w:rFonts w:cs="Calibri"/>
                <w:color w:val="000000"/>
                <w:szCs w:val="20"/>
              </w:rPr>
              <w:t xml:space="preserve"> Funding Canberra artists </w:t>
            </w:r>
            <w:r>
              <w:rPr>
                <w:rFonts w:cs="Calibri"/>
                <w:color w:val="000000"/>
                <w:szCs w:val="20"/>
              </w:rPr>
              <w:t>–</w:t>
            </w:r>
            <w:r w:rsidRPr="00D60558">
              <w:rPr>
                <w:rFonts w:cs="Calibri"/>
                <w:color w:val="000000"/>
                <w:szCs w:val="20"/>
              </w:rPr>
              <w:t xml:space="preserve"> Homefront program</w:t>
            </w:r>
          </w:p>
        </w:tc>
        <w:tc>
          <w:tcPr>
            <w:tcW w:w="1102" w:type="dxa"/>
            <w:gridSpan w:val="2"/>
            <w:tcBorders>
              <w:top w:val="nil"/>
              <w:left w:val="nil"/>
              <w:bottom w:val="nil"/>
              <w:right w:val="nil"/>
            </w:tcBorders>
          </w:tcPr>
          <w:p w14:paraId="2CE31243" w14:textId="77777777" w:rsidR="00CF0E2D" w:rsidRPr="00D60558" w:rsidRDefault="00CF0E2D" w:rsidP="00A60D4B">
            <w:pPr>
              <w:pStyle w:val="Btablefigureunbold"/>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1E40717A"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294E26B2"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362F382E"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4C8B1B6B"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54" w:type="dxa"/>
            <w:gridSpan w:val="2"/>
            <w:tcBorders>
              <w:top w:val="nil"/>
              <w:left w:val="nil"/>
              <w:bottom w:val="nil"/>
              <w:right w:val="nil"/>
            </w:tcBorders>
          </w:tcPr>
          <w:p w14:paraId="0FA7C87E" w14:textId="77777777" w:rsidR="00CF0E2D" w:rsidRPr="001D4AAB" w:rsidRDefault="00CF0E2D" w:rsidP="00A60D4B">
            <w:pPr>
              <w:pStyle w:val="Btablefigureunbold"/>
              <w:rPr>
                <w:rFonts w:cs="Calibri"/>
                <w:b/>
                <w:bCs/>
                <w:color w:val="000000"/>
                <w:szCs w:val="20"/>
              </w:rPr>
            </w:pPr>
            <w:r w:rsidRPr="001D4AAB">
              <w:rPr>
                <w:rFonts w:cs="Calibri"/>
                <w:b/>
                <w:bCs/>
                <w:color w:val="000000"/>
                <w:szCs w:val="20"/>
              </w:rPr>
              <w:t>0</w:t>
            </w:r>
          </w:p>
        </w:tc>
      </w:tr>
      <w:tr w:rsidR="00CF0E2D" w:rsidRPr="00D60558" w14:paraId="592244D4" w14:textId="77777777" w:rsidTr="00A60D4B">
        <w:trPr>
          <w:jc w:val="center"/>
        </w:trPr>
        <w:tc>
          <w:tcPr>
            <w:tcW w:w="3355" w:type="dxa"/>
            <w:tcBorders>
              <w:top w:val="nil"/>
              <w:left w:val="nil"/>
              <w:bottom w:val="nil"/>
              <w:right w:val="nil"/>
            </w:tcBorders>
          </w:tcPr>
          <w:p w14:paraId="071A318A" w14:textId="77777777" w:rsidR="00CF0E2D" w:rsidRPr="00D60558" w:rsidRDefault="00CF0E2D" w:rsidP="00A60D4B">
            <w:pPr>
              <w:pStyle w:val="Btabletextunbold"/>
              <w:rPr>
                <w:rFonts w:cs="Calibri"/>
                <w:color w:val="000000"/>
                <w:szCs w:val="20"/>
              </w:rPr>
            </w:pPr>
            <w:r>
              <w:rPr>
                <w:rFonts w:cs="Calibri"/>
                <w:color w:val="000000"/>
                <w:szCs w:val="20"/>
              </w:rPr>
              <w:t>–</w:t>
            </w:r>
            <w:r w:rsidRPr="00D60558">
              <w:rPr>
                <w:rFonts w:cs="Calibri"/>
                <w:color w:val="000000"/>
                <w:szCs w:val="20"/>
              </w:rPr>
              <w:t xml:space="preserve"> More support for Screen Canberra</w:t>
            </w:r>
          </w:p>
        </w:tc>
        <w:tc>
          <w:tcPr>
            <w:tcW w:w="1102" w:type="dxa"/>
            <w:gridSpan w:val="2"/>
            <w:tcBorders>
              <w:top w:val="nil"/>
              <w:left w:val="nil"/>
              <w:bottom w:val="nil"/>
              <w:right w:val="nil"/>
            </w:tcBorders>
          </w:tcPr>
          <w:p w14:paraId="12EB21CD" w14:textId="77777777" w:rsidR="00CF0E2D" w:rsidRPr="00D60558" w:rsidRDefault="00CF0E2D" w:rsidP="00A60D4B">
            <w:pPr>
              <w:pStyle w:val="Btablefigureunbold"/>
              <w:jc w:val="left"/>
              <w:rPr>
                <w:rFonts w:cs="Calibri"/>
                <w:color w:val="000000"/>
                <w:szCs w:val="20"/>
              </w:rPr>
            </w:pPr>
            <w:r w:rsidRPr="003C3FF2">
              <w:rPr>
                <w:rFonts w:cs="Calibri"/>
                <w:color w:val="000000"/>
                <w:szCs w:val="20"/>
              </w:rPr>
              <w:t>Net cost</w:t>
            </w:r>
          </w:p>
        </w:tc>
        <w:tc>
          <w:tcPr>
            <w:tcW w:w="964" w:type="dxa"/>
            <w:gridSpan w:val="2"/>
            <w:tcBorders>
              <w:top w:val="nil"/>
              <w:left w:val="nil"/>
              <w:bottom w:val="nil"/>
              <w:right w:val="nil"/>
            </w:tcBorders>
          </w:tcPr>
          <w:p w14:paraId="617C5E75" w14:textId="77777777" w:rsidR="00CF0E2D" w:rsidRPr="001D4AAB" w:rsidRDefault="00CF0E2D" w:rsidP="00A60D4B">
            <w:pPr>
              <w:pStyle w:val="Btablefigureunbold"/>
              <w:rPr>
                <w:rFonts w:cs="Calibri"/>
                <w:color w:val="000000"/>
                <w:szCs w:val="20"/>
              </w:rPr>
            </w:pPr>
            <w:r w:rsidRPr="001D4AAB">
              <w:rPr>
                <w:rFonts w:cs="Calibri"/>
                <w:color w:val="000000"/>
                <w:szCs w:val="20"/>
              </w:rPr>
              <w:t>383</w:t>
            </w:r>
          </w:p>
        </w:tc>
        <w:tc>
          <w:tcPr>
            <w:tcW w:w="964" w:type="dxa"/>
            <w:gridSpan w:val="2"/>
            <w:tcBorders>
              <w:top w:val="nil"/>
              <w:left w:val="nil"/>
              <w:bottom w:val="nil"/>
              <w:right w:val="nil"/>
            </w:tcBorders>
          </w:tcPr>
          <w:p w14:paraId="7B40960D" w14:textId="77777777" w:rsidR="00CF0E2D" w:rsidRPr="001D4AAB" w:rsidRDefault="00CF0E2D" w:rsidP="00A60D4B">
            <w:pPr>
              <w:pStyle w:val="Btablefigureunbold"/>
              <w:rPr>
                <w:rFonts w:cs="Calibri"/>
                <w:color w:val="000000"/>
                <w:szCs w:val="20"/>
              </w:rPr>
            </w:pPr>
            <w:r w:rsidRPr="001D4AAB">
              <w:rPr>
                <w:rFonts w:cs="Calibri"/>
                <w:color w:val="000000"/>
                <w:szCs w:val="20"/>
              </w:rPr>
              <w:t>390</w:t>
            </w:r>
          </w:p>
        </w:tc>
        <w:tc>
          <w:tcPr>
            <w:tcW w:w="964" w:type="dxa"/>
            <w:gridSpan w:val="2"/>
            <w:tcBorders>
              <w:top w:val="nil"/>
              <w:left w:val="nil"/>
              <w:bottom w:val="nil"/>
              <w:right w:val="nil"/>
            </w:tcBorders>
          </w:tcPr>
          <w:p w14:paraId="77C971F9" w14:textId="77777777" w:rsidR="00CF0E2D" w:rsidRPr="001D4AAB" w:rsidRDefault="00CF0E2D" w:rsidP="00A60D4B">
            <w:pPr>
              <w:pStyle w:val="Btablefigureunbold"/>
              <w:rPr>
                <w:rFonts w:cs="Calibri"/>
                <w:color w:val="000000"/>
                <w:szCs w:val="20"/>
              </w:rPr>
            </w:pPr>
            <w:r w:rsidRPr="001D4AAB">
              <w:rPr>
                <w:rFonts w:cs="Calibri"/>
                <w:color w:val="000000"/>
                <w:szCs w:val="20"/>
              </w:rPr>
              <w:t>397</w:t>
            </w:r>
          </w:p>
        </w:tc>
        <w:tc>
          <w:tcPr>
            <w:tcW w:w="964" w:type="dxa"/>
            <w:gridSpan w:val="2"/>
            <w:tcBorders>
              <w:top w:val="nil"/>
              <w:left w:val="nil"/>
              <w:bottom w:val="nil"/>
              <w:right w:val="nil"/>
            </w:tcBorders>
          </w:tcPr>
          <w:p w14:paraId="0626440A" w14:textId="77777777" w:rsidR="00CF0E2D" w:rsidRPr="001D4AAB" w:rsidRDefault="00CF0E2D" w:rsidP="00A60D4B">
            <w:pPr>
              <w:pStyle w:val="Btablefigureunbold"/>
              <w:rPr>
                <w:rFonts w:cs="Calibri"/>
                <w:color w:val="000000"/>
                <w:szCs w:val="20"/>
              </w:rPr>
            </w:pPr>
            <w:r w:rsidRPr="001D4AAB">
              <w:rPr>
                <w:rFonts w:cs="Calibri"/>
                <w:color w:val="000000"/>
                <w:szCs w:val="20"/>
              </w:rPr>
              <w:t>405</w:t>
            </w:r>
          </w:p>
        </w:tc>
        <w:tc>
          <w:tcPr>
            <w:tcW w:w="954" w:type="dxa"/>
            <w:gridSpan w:val="2"/>
            <w:tcBorders>
              <w:top w:val="nil"/>
              <w:left w:val="nil"/>
              <w:bottom w:val="nil"/>
              <w:right w:val="nil"/>
            </w:tcBorders>
          </w:tcPr>
          <w:p w14:paraId="050CDA60" w14:textId="77777777" w:rsidR="00CF0E2D" w:rsidRPr="001D4AAB" w:rsidRDefault="00CF0E2D" w:rsidP="00A60D4B">
            <w:pPr>
              <w:pStyle w:val="Btablefigureunbold"/>
              <w:rPr>
                <w:rFonts w:cs="Calibri"/>
                <w:b/>
                <w:bCs/>
                <w:color w:val="000000"/>
                <w:szCs w:val="20"/>
              </w:rPr>
            </w:pPr>
            <w:r w:rsidRPr="001D4AAB">
              <w:rPr>
                <w:rFonts w:cs="Calibri"/>
                <w:b/>
                <w:bCs/>
                <w:color w:val="000000"/>
                <w:szCs w:val="20"/>
              </w:rPr>
              <w:t>1,575</w:t>
            </w:r>
          </w:p>
        </w:tc>
      </w:tr>
      <w:tr w:rsidR="00CF0E2D" w:rsidRPr="00D60558" w14:paraId="7DE20499" w14:textId="77777777" w:rsidTr="00A60D4B">
        <w:trPr>
          <w:jc w:val="center"/>
        </w:trPr>
        <w:tc>
          <w:tcPr>
            <w:tcW w:w="3355" w:type="dxa"/>
            <w:tcBorders>
              <w:top w:val="nil"/>
              <w:left w:val="nil"/>
              <w:bottom w:val="nil"/>
              <w:right w:val="nil"/>
            </w:tcBorders>
          </w:tcPr>
          <w:p w14:paraId="12B75C73" w14:textId="77777777" w:rsidR="00CF0E2D" w:rsidRPr="00D60558" w:rsidRDefault="00CF0E2D" w:rsidP="00A60D4B">
            <w:pPr>
              <w:pStyle w:val="Btabletextunbold"/>
              <w:rPr>
                <w:rFonts w:cs="Calibri"/>
                <w:color w:val="000000"/>
                <w:szCs w:val="20"/>
              </w:rPr>
            </w:pPr>
            <w:r>
              <w:rPr>
                <w:rFonts w:cs="Calibri"/>
                <w:color w:val="000000"/>
                <w:szCs w:val="20"/>
              </w:rPr>
              <w:t>–</w:t>
            </w:r>
            <w:r w:rsidRPr="00D60558">
              <w:rPr>
                <w:rFonts w:cs="Calibri"/>
                <w:color w:val="000000"/>
                <w:szCs w:val="20"/>
              </w:rPr>
              <w:t xml:space="preserve"> More support for the Belconnen and Ainslie Arts Centres</w:t>
            </w:r>
          </w:p>
        </w:tc>
        <w:tc>
          <w:tcPr>
            <w:tcW w:w="1102" w:type="dxa"/>
            <w:gridSpan w:val="2"/>
            <w:tcBorders>
              <w:top w:val="nil"/>
              <w:left w:val="nil"/>
              <w:bottom w:val="nil"/>
              <w:right w:val="nil"/>
            </w:tcBorders>
          </w:tcPr>
          <w:p w14:paraId="1F625CAE" w14:textId="77777777" w:rsidR="00CF0E2D" w:rsidRPr="00D60558" w:rsidRDefault="00CF0E2D" w:rsidP="00A60D4B">
            <w:pPr>
              <w:pStyle w:val="Btablefigureunbold"/>
              <w:jc w:val="left"/>
              <w:rPr>
                <w:rFonts w:cs="Calibri"/>
                <w:color w:val="000000"/>
                <w:szCs w:val="20"/>
              </w:rPr>
            </w:pPr>
            <w:r w:rsidRPr="003C3FF2">
              <w:rPr>
                <w:rFonts w:cs="Calibri"/>
                <w:color w:val="000000"/>
                <w:szCs w:val="20"/>
              </w:rPr>
              <w:t>Net cost</w:t>
            </w:r>
          </w:p>
        </w:tc>
        <w:tc>
          <w:tcPr>
            <w:tcW w:w="964" w:type="dxa"/>
            <w:gridSpan w:val="2"/>
            <w:tcBorders>
              <w:top w:val="nil"/>
              <w:left w:val="nil"/>
              <w:bottom w:val="nil"/>
              <w:right w:val="nil"/>
            </w:tcBorders>
          </w:tcPr>
          <w:p w14:paraId="1B8A3BD5" w14:textId="77777777" w:rsidR="00CF0E2D" w:rsidRPr="001D4AAB" w:rsidRDefault="00CF0E2D" w:rsidP="00A60D4B">
            <w:pPr>
              <w:pStyle w:val="Btablefigureunbold"/>
              <w:rPr>
                <w:rFonts w:cs="Calibri"/>
                <w:color w:val="000000"/>
                <w:szCs w:val="20"/>
              </w:rPr>
            </w:pPr>
            <w:r w:rsidRPr="001D4AAB">
              <w:rPr>
                <w:rFonts w:cs="Calibri"/>
                <w:color w:val="000000"/>
                <w:szCs w:val="20"/>
              </w:rPr>
              <w:t>200</w:t>
            </w:r>
          </w:p>
        </w:tc>
        <w:tc>
          <w:tcPr>
            <w:tcW w:w="964" w:type="dxa"/>
            <w:gridSpan w:val="2"/>
            <w:tcBorders>
              <w:top w:val="nil"/>
              <w:left w:val="nil"/>
              <w:bottom w:val="nil"/>
              <w:right w:val="nil"/>
            </w:tcBorders>
          </w:tcPr>
          <w:p w14:paraId="21260BD5"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4BA0BFB9"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70E7F1C6"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54" w:type="dxa"/>
            <w:gridSpan w:val="2"/>
            <w:tcBorders>
              <w:top w:val="nil"/>
              <w:left w:val="nil"/>
              <w:bottom w:val="nil"/>
              <w:right w:val="nil"/>
            </w:tcBorders>
          </w:tcPr>
          <w:p w14:paraId="0D332368" w14:textId="77777777" w:rsidR="00CF0E2D" w:rsidRPr="001D4AAB" w:rsidRDefault="00CF0E2D" w:rsidP="00A60D4B">
            <w:pPr>
              <w:pStyle w:val="Btablefigureunbold"/>
              <w:rPr>
                <w:rFonts w:cs="Calibri"/>
                <w:b/>
                <w:bCs/>
                <w:color w:val="000000"/>
                <w:szCs w:val="20"/>
              </w:rPr>
            </w:pPr>
            <w:r w:rsidRPr="001D4AAB">
              <w:rPr>
                <w:rFonts w:cs="Calibri"/>
                <w:b/>
                <w:bCs/>
                <w:color w:val="000000"/>
                <w:szCs w:val="20"/>
              </w:rPr>
              <w:t>200</w:t>
            </w:r>
          </w:p>
        </w:tc>
      </w:tr>
      <w:tr w:rsidR="00CF0E2D" w:rsidRPr="00D60558" w14:paraId="70A45CF1" w14:textId="77777777" w:rsidTr="00A60D4B">
        <w:trPr>
          <w:jc w:val="center"/>
        </w:trPr>
        <w:tc>
          <w:tcPr>
            <w:tcW w:w="3355" w:type="dxa"/>
            <w:tcBorders>
              <w:top w:val="nil"/>
              <w:left w:val="nil"/>
              <w:bottom w:val="nil"/>
              <w:right w:val="nil"/>
            </w:tcBorders>
          </w:tcPr>
          <w:p w14:paraId="62D76E25" w14:textId="77777777" w:rsidR="00CF0E2D" w:rsidRPr="00D60558" w:rsidRDefault="00CF0E2D" w:rsidP="00A60D4B">
            <w:pPr>
              <w:pStyle w:val="Btabletextunbold"/>
              <w:rPr>
                <w:rFonts w:cs="Calibri"/>
                <w:color w:val="000000"/>
                <w:szCs w:val="20"/>
              </w:rPr>
            </w:pPr>
            <w:r w:rsidRPr="00D60558">
              <w:rPr>
                <w:rFonts w:cs="Calibri"/>
                <w:color w:val="000000"/>
                <w:szCs w:val="20"/>
              </w:rPr>
              <w:t xml:space="preserve">– Recognising significant women through public art  </w:t>
            </w:r>
          </w:p>
        </w:tc>
        <w:tc>
          <w:tcPr>
            <w:tcW w:w="1102" w:type="dxa"/>
            <w:gridSpan w:val="2"/>
            <w:tcBorders>
              <w:top w:val="nil"/>
              <w:left w:val="nil"/>
              <w:bottom w:val="nil"/>
              <w:right w:val="nil"/>
            </w:tcBorders>
          </w:tcPr>
          <w:p w14:paraId="7DA97859" w14:textId="77777777" w:rsidR="00CF0E2D" w:rsidRPr="00D60558" w:rsidRDefault="00CF0E2D" w:rsidP="00A60D4B">
            <w:pPr>
              <w:pStyle w:val="Btablefigureunbold"/>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697AF8A6" w14:textId="77777777" w:rsidR="00CF0E2D" w:rsidRPr="001D4AAB" w:rsidRDefault="00CF0E2D" w:rsidP="00A60D4B">
            <w:pPr>
              <w:pStyle w:val="Btablefigureunbold"/>
              <w:rPr>
                <w:szCs w:val="20"/>
              </w:rPr>
            </w:pPr>
            <w:r w:rsidRPr="001D4AAB">
              <w:rPr>
                <w:rFonts w:cs="Calibri"/>
                <w:color w:val="000000"/>
                <w:szCs w:val="20"/>
              </w:rPr>
              <w:t>98</w:t>
            </w:r>
          </w:p>
        </w:tc>
        <w:tc>
          <w:tcPr>
            <w:tcW w:w="964" w:type="dxa"/>
            <w:gridSpan w:val="2"/>
            <w:tcBorders>
              <w:top w:val="nil"/>
              <w:left w:val="nil"/>
              <w:bottom w:val="nil"/>
              <w:right w:val="nil"/>
            </w:tcBorders>
          </w:tcPr>
          <w:p w14:paraId="2DA1DE22" w14:textId="77777777" w:rsidR="00CF0E2D" w:rsidRPr="001D4AAB" w:rsidRDefault="00CF0E2D" w:rsidP="00A60D4B">
            <w:pPr>
              <w:pStyle w:val="Btablefigureunbold"/>
              <w:rPr>
                <w:szCs w:val="20"/>
              </w:rPr>
            </w:pPr>
            <w:r w:rsidRPr="001D4AAB">
              <w:rPr>
                <w:rFonts w:cs="Calibri"/>
                <w:color w:val="000000"/>
                <w:szCs w:val="20"/>
              </w:rPr>
              <w:t>0</w:t>
            </w:r>
          </w:p>
        </w:tc>
        <w:tc>
          <w:tcPr>
            <w:tcW w:w="964" w:type="dxa"/>
            <w:gridSpan w:val="2"/>
            <w:tcBorders>
              <w:top w:val="nil"/>
              <w:left w:val="nil"/>
              <w:bottom w:val="nil"/>
              <w:right w:val="nil"/>
            </w:tcBorders>
          </w:tcPr>
          <w:p w14:paraId="35D3926C" w14:textId="77777777" w:rsidR="00CF0E2D" w:rsidRPr="001D4AAB" w:rsidRDefault="00CF0E2D" w:rsidP="00A60D4B">
            <w:pPr>
              <w:pStyle w:val="Btablefigureunbold"/>
              <w:rPr>
                <w:szCs w:val="20"/>
              </w:rPr>
            </w:pPr>
            <w:r w:rsidRPr="001D4AAB">
              <w:rPr>
                <w:rFonts w:cs="Calibri"/>
                <w:color w:val="000000"/>
                <w:szCs w:val="20"/>
              </w:rPr>
              <w:t>0</w:t>
            </w:r>
          </w:p>
        </w:tc>
        <w:tc>
          <w:tcPr>
            <w:tcW w:w="964" w:type="dxa"/>
            <w:gridSpan w:val="2"/>
            <w:tcBorders>
              <w:top w:val="nil"/>
              <w:left w:val="nil"/>
              <w:bottom w:val="nil"/>
              <w:right w:val="nil"/>
            </w:tcBorders>
          </w:tcPr>
          <w:p w14:paraId="10A50B6F" w14:textId="77777777" w:rsidR="00CF0E2D" w:rsidRPr="001D4AAB" w:rsidRDefault="00CF0E2D" w:rsidP="00A60D4B">
            <w:pPr>
              <w:pStyle w:val="Btablefigureunbold"/>
              <w:rPr>
                <w:szCs w:val="20"/>
              </w:rPr>
            </w:pPr>
            <w:r w:rsidRPr="001D4AAB">
              <w:rPr>
                <w:rFonts w:cs="Calibri"/>
                <w:color w:val="000000"/>
                <w:szCs w:val="20"/>
              </w:rPr>
              <w:t>0</w:t>
            </w:r>
          </w:p>
        </w:tc>
        <w:tc>
          <w:tcPr>
            <w:tcW w:w="954" w:type="dxa"/>
            <w:gridSpan w:val="2"/>
            <w:tcBorders>
              <w:top w:val="nil"/>
              <w:left w:val="nil"/>
              <w:bottom w:val="nil"/>
              <w:right w:val="nil"/>
            </w:tcBorders>
          </w:tcPr>
          <w:p w14:paraId="26B45EC4" w14:textId="77777777" w:rsidR="00CF0E2D" w:rsidRPr="001D4AAB" w:rsidRDefault="00CF0E2D" w:rsidP="00A60D4B">
            <w:pPr>
              <w:pStyle w:val="Btablefigureunbold"/>
              <w:rPr>
                <w:b/>
                <w:bCs/>
                <w:szCs w:val="20"/>
              </w:rPr>
            </w:pPr>
            <w:r w:rsidRPr="001D4AAB">
              <w:rPr>
                <w:rFonts w:cs="Calibri"/>
                <w:b/>
                <w:bCs/>
                <w:color w:val="000000"/>
                <w:szCs w:val="20"/>
              </w:rPr>
              <w:t>98</w:t>
            </w:r>
          </w:p>
        </w:tc>
      </w:tr>
      <w:tr w:rsidR="00CF0E2D" w:rsidRPr="00D60558" w14:paraId="706E13B2" w14:textId="77777777" w:rsidTr="00A60D4B">
        <w:trPr>
          <w:jc w:val="center"/>
        </w:trPr>
        <w:tc>
          <w:tcPr>
            <w:tcW w:w="3355" w:type="dxa"/>
            <w:tcBorders>
              <w:top w:val="nil"/>
              <w:left w:val="nil"/>
              <w:bottom w:val="nil"/>
              <w:right w:val="nil"/>
            </w:tcBorders>
          </w:tcPr>
          <w:p w14:paraId="6C8E7E49" w14:textId="77777777" w:rsidR="00CF0E2D" w:rsidRPr="00D60558" w:rsidRDefault="00CF0E2D" w:rsidP="00A60D4B">
            <w:pPr>
              <w:pStyle w:val="Btabletextunbold"/>
              <w:rPr>
                <w:rFonts w:cs="Calibri"/>
                <w:color w:val="000000"/>
                <w:szCs w:val="20"/>
              </w:rPr>
            </w:pPr>
            <w:r w:rsidRPr="00D60558">
              <w:rPr>
                <w:rFonts w:cs="Calibri"/>
                <w:color w:val="000000"/>
                <w:szCs w:val="20"/>
              </w:rPr>
              <w:t xml:space="preserve">– Recognising significant women through public art  </w:t>
            </w:r>
          </w:p>
        </w:tc>
        <w:tc>
          <w:tcPr>
            <w:tcW w:w="1102" w:type="dxa"/>
            <w:gridSpan w:val="2"/>
            <w:tcBorders>
              <w:top w:val="nil"/>
              <w:left w:val="nil"/>
              <w:bottom w:val="nil"/>
              <w:right w:val="nil"/>
            </w:tcBorders>
          </w:tcPr>
          <w:p w14:paraId="318FB6B9" w14:textId="77777777" w:rsidR="00CF0E2D" w:rsidRPr="00D60558" w:rsidRDefault="00CF0E2D" w:rsidP="00A60D4B">
            <w:pPr>
              <w:pStyle w:val="Btablefigureunbold"/>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7161A8F3"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4A9B7900" w14:textId="77777777" w:rsidR="00CF0E2D" w:rsidRPr="001D4AAB" w:rsidRDefault="00CF0E2D" w:rsidP="00A60D4B">
            <w:pPr>
              <w:pStyle w:val="Btablefigureunbold"/>
              <w:rPr>
                <w:rFonts w:cs="Calibri"/>
                <w:color w:val="000000"/>
                <w:szCs w:val="20"/>
              </w:rPr>
            </w:pPr>
            <w:r w:rsidRPr="001D4AAB">
              <w:rPr>
                <w:rFonts w:cs="Calibri"/>
                <w:color w:val="000000"/>
                <w:szCs w:val="20"/>
              </w:rPr>
              <w:t>7</w:t>
            </w:r>
          </w:p>
        </w:tc>
        <w:tc>
          <w:tcPr>
            <w:tcW w:w="964" w:type="dxa"/>
            <w:gridSpan w:val="2"/>
            <w:tcBorders>
              <w:top w:val="nil"/>
              <w:left w:val="nil"/>
              <w:bottom w:val="nil"/>
              <w:right w:val="nil"/>
            </w:tcBorders>
          </w:tcPr>
          <w:p w14:paraId="497DBF41" w14:textId="77777777" w:rsidR="00CF0E2D" w:rsidRPr="001D4AAB" w:rsidRDefault="00CF0E2D" w:rsidP="00A60D4B">
            <w:pPr>
              <w:pStyle w:val="Btablefigureunbold"/>
              <w:rPr>
                <w:rFonts w:cs="Calibri"/>
                <w:color w:val="000000"/>
                <w:szCs w:val="20"/>
              </w:rPr>
            </w:pPr>
            <w:r w:rsidRPr="001D4AAB">
              <w:rPr>
                <w:rFonts w:cs="Calibri"/>
                <w:color w:val="000000"/>
                <w:szCs w:val="20"/>
              </w:rPr>
              <w:t>7</w:t>
            </w:r>
          </w:p>
        </w:tc>
        <w:tc>
          <w:tcPr>
            <w:tcW w:w="964" w:type="dxa"/>
            <w:gridSpan w:val="2"/>
            <w:tcBorders>
              <w:top w:val="nil"/>
              <w:left w:val="nil"/>
              <w:bottom w:val="nil"/>
              <w:right w:val="nil"/>
            </w:tcBorders>
          </w:tcPr>
          <w:p w14:paraId="781EFAAD" w14:textId="77777777" w:rsidR="00CF0E2D" w:rsidRPr="001D4AAB" w:rsidRDefault="00CF0E2D" w:rsidP="00A60D4B">
            <w:pPr>
              <w:pStyle w:val="Btablefigureunbold"/>
              <w:rPr>
                <w:rFonts w:cs="Calibri"/>
                <w:color w:val="000000"/>
                <w:szCs w:val="20"/>
              </w:rPr>
            </w:pPr>
            <w:r w:rsidRPr="001D4AAB">
              <w:rPr>
                <w:rFonts w:cs="Calibri"/>
                <w:color w:val="000000"/>
                <w:szCs w:val="20"/>
              </w:rPr>
              <w:t>7</w:t>
            </w:r>
          </w:p>
        </w:tc>
        <w:tc>
          <w:tcPr>
            <w:tcW w:w="954" w:type="dxa"/>
            <w:gridSpan w:val="2"/>
            <w:tcBorders>
              <w:top w:val="nil"/>
              <w:left w:val="nil"/>
              <w:bottom w:val="nil"/>
              <w:right w:val="nil"/>
            </w:tcBorders>
          </w:tcPr>
          <w:p w14:paraId="5783A56C" w14:textId="77777777" w:rsidR="00CF0E2D" w:rsidRPr="001D4AAB" w:rsidRDefault="00CF0E2D" w:rsidP="00A60D4B">
            <w:pPr>
              <w:pStyle w:val="Btablefigureunbold"/>
              <w:rPr>
                <w:rFonts w:cs="Calibri"/>
                <w:b/>
                <w:bCs/>
                <w:color w:val="000000"/>
                <w:szCs w:val="20"/>
              </w:rPr>
            </w:pPr>
            <w:r w:rsidRPr="001D4AAB">
              <w:rPr>
                <w:rFonts w:cs="Calibri"/>
                <w:b/>
                <w:bCs/>
                <w:color w:val="000000"/>
                <w:szCs w:val="20"/>
              </w:rPr>
              <w:t>21</w:t>
            </w:r>
          </w:p>
        </w:tc>
      </w:tr>
      <w:tr w:rsidR="00CF0E2D" w:rsidRPr="00D60558" w14:paraId="37EB1162" w14:textId="77777777" w:rsidTr="00A60D4B">
        <w:trPr>
          <w:jc w:val="center"/>
        </w:trPr>
        <w:tc>
          <w:tcPr>
            <w:tcW w:w="3355" w:type="dxa"/>
            <w:tcBorders>
              <w:top w:val="nil"/>
              <w:left w:val="nil"/>
              <w:bottom w:val="nil"/>
              <w:right w:val="nil"/>
            </w:tcBorders>
          </w:tcPr>
          <w:p w14:paraId="49F69058" w14:textId="77777777" w:rsidR="00CF0E2D" w:rsidRPr="00D60558" w:rsidRDefault="00CF0E2D" w:rsidP="00A60D4B">
            <w:pPr>
              <w:pStyle w:val="Btabletextunbold"/>
              <w:rPr>
                <w:rFonts w:cs="Calibri"/>
                <w:color w:val="000000"/>
                <w:szCs w:val="20"/>
              </w:rPr>
            </w:pPr>
            <w:r w:rsidRPr="00D60558">
              <w:rPr>
                <w:rFonts w:cs="Calibri"/>
                <w:color w:val="000000"/>
                <w:szCs w:val="20"/>
              </w:rPr>
              <w:t>– Upgrades to Tuggeranong Arts Centre Theatre</w:t>
            </w:r>
          </w:p>
        </w:tc>
        <w:tc>
          <w:tcPr>
            <w:tcW w:w="1102" w:type="dxa"/>
            <w:gridSpan w:val="2"/>
            <w:tcBorders>
              <w:top w:val="nil"/>
              <w:left w:val="nil"/>
              <w:bottom w:val="nil"/>
              <w:right w:val="nil"/>
            </w:tcBorders>
          </w:tcPr>
          <w:p w14:paraId="130C6367" w14:textId="77777777" w:rsidR="00CF0E2D" w:rsidRPr="00D60558" w:rsidRDefault="00CF0E2D" w:rsidP="00A60D4B">
            <w:pPr>
              <w:pStyle w:val="Btablefigureunbold"/>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5D4E1B51" w14:textId="77777777" w:rsidR="00CF0E2D" w:rsidRPr="001D4AAB" w:rsidRDefault="00CF0E2D" w:rsidP="00A60D4B">
            <w:pPr>
              <w:pStyle w:val="Btablefigureunbold"/>
              <w:rPr>
                <w:rFonts w:cs="Calibri"/>
                <w:color w:val="000000"/>
                <w:szCs w:val="20"/>
              </w:rPr>
            </w:pPr>
            <w:r w:rsidRPr="001D4AAB">
              <w:rPr>
                <w:rFonts w:cs="Calibri"/>
                <w:color w:val="000000"/>
                <w:szCs w:val="20"/>
              </w:rPr>
              <w:t>430</w:t>
            </w:r>
          </w:p>
        </w:tc>
        <w:tc>
          <w:tcPr>
            <w:tcW w:w="964" w:type="dxa"/>
            <w:gridSpan w:val="2"/>
            <w:tcBorders>
              <w:top w:val="nil"/>
              <w:left w:val="nil"/>
              <w:bottom w:val="nil"/>
              <w:right w:val="nil"/>
            </w:tcBorders>
          </w:tcPr>
          <w:p w14:paraId="187AD569" w14:textId="77777777" w:rsidR="00CF0E2D" w:rsidRPr="001D4AAB" w:rsidRDefault="00CF0E2D" w:rsidP="00A60D4B">
            <w:pPr>
              <w:pStyle w:val="Btablefigureunbold"/>
              <w:rPr>
                <w:rFonts w:cs="Calibri"/>
                <w:color w:val="000000"/>
                <w:szCs w:val="20"/>
              </w:rPr>
            </w:pPr>
            <w:r w:rsidRPr="001D4AAB">
              <w:rPr>
                <w:rFonts w:cs="Calibri"/>
                <w:color w:val="000000"/>
                <w:szCs w:val="20"/>
              </w:rPr>
              <w:t>1,400</w:t>
            </w:r>
          </w:p>
        </w:tc>
        <w:tc>
          <w:tcPr>
            <w:tcW w:w="964" w:type="dxa"/>
            <w:gridSpan w:val="2"/>
            <w:tcBorders>
              <w:top w:val="nil"/>
              <w:left w:val="nil"/>
              <w:bottom w:val="nil"/>
              <w:right w:val="nil"/>
            </w:tcBorders>
          </w:tcPr>
          <w:p w14:paraId="3B59CE99" w14:textId="77777777" w:rsidR="00CF0E2D" w:rsidRPr="001D4AAB" w:rsidRDefault="00CF0E2D" w:rsidP="00A60D4B">
            <w:pPr>
              <w:pStyle w:val="Btablefigureunbold"/>
              <w:rPr>
                <w:rFonts w:cs="Calibri"/>
                <w:color w:val="000000"/>
                <w:szCs w:val="20"/>
              </w:rPr>
            </w:pPr>
            <w:r w:rsidRPr="001D4AAB">
              <w:rPr>
                <w:rFonts w:cs="Calibri"/>
                <w:color w:val="000000"/>
                <w:szCs w:val="20"/>
              </w:rPr>
              <w:t>170</w:t>
            </w:r>
          </w:p>
        </w:tc>
        <w:tc>
          <w:tcPr>
            <w:tcW w:w="964" w:type="dxa"/>
            <w:gridSpan w:val="2"/>
            <w:tcBorders>
              <w:top w:val="nil"/>
              <w:left w:val="nil"/>
              <w:bottom w:val="nil"/>
              <w:right w:val="nil"/>
            </w:tcBorders>
          </w:tcPr>
          <w:p w14:paraId="7F5798EC"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54" w:type="dxa"/>
            <w:gridSpan w:val="2"/>
            <w:tcBorders>
              <w:top w:val="nil"/>
              <w:left w:val="nil"/>
              <w:bottom w:val="nil"/>
              <w:right w:val="nil"/>
            </w:tcBorders>
          </w:tcPr>
          <w:p w14:paraId="5E9291AA" w14:textId="77777777" w:rsidR="00CF0E2D" w:rsidRPr="001D4AAB" w:rsidRDefault="00CF0E2D" w:rsidP="00A60D4B">
            <w:pPr>
              <w:pStyle w:val="Btablefigureunbold"/>
              <w:rPr>
                <w:rFonts w:cs="Calibri"/>
                <w:b/>
                <w:bCs/>
                <w:color w:val="000000"/>
                <w:szCs w:val="20"/>
              </w:rPr>
            </w:pPr>
            <w:r w:rsidRPr="001D4AAB">
              <w:rPr>
                <w:rFonts w:cs="Calibri"/>
                <w:b/>
                <w:bCs/>
                <w:color w:val="000000"/>
                <w:szCs w:val="20"/>
              </w:rPr>
              <w:t>2,000</w:t>
            </w:r>
          </w:p>
        </w:tc>
      </w:tr>
      <w:tr w:rsidR="00CF0E2D" w:rsidRPr="00D60558" w14:paraId="6ED14F5C" w14:textId="77777777" w:rsidTr="00A60D4B">
        <w:trPr>
          <w:jc w:val="center"/>
        </w:trPr>
        <w:tc>
          <w:tcPr>
            <w:tcW w:w="3355" w:type="dxa"/>
            <w:tcBorders>
              <w:top w:val="nil"/>
              <w:left w:val="nil"/>
              <w:bottom w:val="nil"/>
              <w:right w:val="nil"/>
            </w:tcBorders>
          </w:tcPr>
          <w:p w14:paraId="5006A249" w14:textId="77777777" w:rsidR="00CF0E2D" w:rsidRPr="00D60558" w:rsidRDefault="00CF0E2D" w:rsidP="00A60D4B">
            <w:pPr>
              <w:pStyle w:val="Btabletextunbold"/>
              <w:rPr>
                <w:rFonts w:cs="Calibri"/>
                <w:color w:val="000000"/>
                <w:szCs w:val="20"/>
              </w:rPr>
            </w:pPr>
            <w:r w:rsidRPr="00D60558">
              <w:rPr>
                <w:rFonts w:cs="Calibri"/>
                <w:color w:val="000000"/>
                <w:szCs w:val="20"/>
              </w:rPr>
              <w:t>– Upgrades to Tuggeranong Arts Centre Theatre</w:t>
            </w:r>
          </w:p>
        </w:tc>
        <w:tc>
          <w:tcPr>
            <w:tcW w:w="1102" w:type="dxa"/>
            <w:gridSpan w:val="2"/>
            <w:tcBorders>
              <w:top w:val="nil"/>
              <w:left w:val="nil"/>
              <w:bottom w:val="nil"/>
              <w:right w:val="nil"/>
            </w:tcBorders>
          </w:tcPr>
          <w:p w14:paraId="298CA183" w14:textId="77777777" w:rsidR="00CF0E2D" w:rsidRPr="00D60558" w:rsidRDefault="00CF0E2D" w:rsidP="00A60D4B">
            <w:pPr>
              <w:pStyle w:val="Btablefigureunbold"/>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131CF403"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58C9CD43"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50D469B1"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7FE789C8" w14:textId="77777777" w:rsidR="00CF0E2D" w:rsidRPr="001D4AAB" w:rsidRDefault="00CF0E2D" w:rsidP="00A60D4B">
            <w:pPr>
              <w:pStyle w:val="Btablefigureunbold"/>
              <w:rPr>
                <w:rFonts w:cs="Calibri"/>
                <w:color w:val="000000"/>
                <w:szCs w:val="20"/>
              </w:rPr>
            </w:pPr>
            <w:r w:rsidRPr="001D4AAB">
              <w:rPr>
                <w:rFonts w:cs="Calibri"/>
                <w:color w:val="000000"/>
                <w:szCs w:val="20"/>
              </w:rPr>
              <w:t>200</w:t>
            </w:r>
          </w:p>
        </w:tc>
        <w:tc>
          <w:tcPr>
            <w:tcW w:w="954" w:type="dxa"/>
            <w:gridSpan w:val="2"/>
            <w:tcBorders>
              <w:top w:val="nil"/>
              <w:left w:val="nil"/>
              <w:bottom w:val="nil"/>
              <w:right w:val="nil"/>
            </w:tcBorders>
          </w:tcPr>
          <w:p w14:paraId="709DBFBB" w14:textId="77777777" w:rsidR="00CF0E2D" w:rsidRPr="001D4AAB" w:rsidRDefault="00CF0E2D" w:rsidP="00A60D4B">
            <w:pPr>
              <w:pStyle w:val="Btablefigureunbold"/>
              <w:rPr>
                <w:rFonts w:cs="Calibri"/>
                <w:b/>
                <w:bCs/>
                <w:color w:val="000000"/>
                <w:szCs w:val="20"/>
              </w:rPr>
            </w:pPr>
            <w:r w:rsidRPr="001D4AAB">
              <w:rPr>
                <w:rFonts w:cs="Calibri"/>
                <w:b/>
                <w:bCs/>
                <w:color w:val="000000"/>
                <w:szCs w:val="20"/>
              </w:rPr>
              <w:t>200</w:t>
            </w:r>
          </w:p>
        </w:tc>
      </w:tr>
      <w:tr w:rsidR="00CF0E2D" w:rsidRPr="00D60558" w14:paraId="6C5450F7" w14:textId="77777777" w:rsidTr="00A60D4B">
        <w:trPr>
          <w:jc w:val="center"/>
        </w:trPr>
        <w:tc>
          <w:tcPr>
            <w:tcW w:w="3355" w:type="dxa"/>
            <w:tcBorders>
              <w:top w:val="nil"/>
              <w:left w:val="nil"/>
              <w:bottom w:val="nil"/>
              <w:right w:val="nil"/>
            </w:tcBorders>
          </w:tcPr>
          <w:p w14:paraId="6EDE61F2" w14:textId="77777777" w:rsidR="00CF0E2D" w:rsidRPr="00D60558" w:rsidRDefault="00CF0E2D" w:rsidP="00A60D4B">
            <w:pPr>
              <w:pStyle w:val="Btabletextunbold"/>
              <w:rPr>
                <w:rFonts w:cs="Calibri"/>
                <w:color w:val="000000"/>
                <w:szCs w:val="20"/>
              </w:rPr>
            </w:pPr>
            <w:r w:rsidRPr="00B32EE6">
              <w:rPr>
                <w:rFonts w:cs="Calibri"/>
                <w:i/>
                <w:iCs/>
                <w:color w:val="000000"/>
                <w:szCs w:val="20"/>
              </w:rPr>
              <w:t>B</w:t>
            </w:r>
            <w:r>
              <w:rPr>
                <w:rFonts w:cs="Calibri"/>
                <w:i/>
                <w:iCs/>
                <w:color w:val="000000"/>
                <w:szCs w:val="20"/>
              </w:rPr>
              <w:t>oosting Canberrans’ Skills</w:t>
            </w:r>
          </w:p>
        </w:tc>
        <w:tc>
          <w:tcPr>
            <w:tcW w:w="1102" w:type="dxa"/>
            <w:gridSpan w:val="2"/>
            <w:tcBorders>
              <w:top w:val="nil"/>
              <w:left w:val="nil"/>
              <w:bottom w:val="nil"/>
              <w:right w:val="nil"/>
            </w:tcBorders>
          </w:tcPr>
          <w:p w14:paraId="646085E9" w14:textId="77777777" w:rsidR="00CF0E2D" w:rsidRDefault="00CF0E2D" w:rsidP="00A60D4B">
            <w:pPr>
              <w:pStyle w:val="Btablefigureunbold"/>
              <w:jc w:val="left"/>
              <w:rPr>
                <w:rFonts w:cs="Calibri"/>
                <w:color w:val="000000"/>
                <w:szCs w:val="20"/>
              </w:rPr>
            </w:pPr>
          </w:p>
        </w:tc>
        <w:tc>
          <w:tcPr>
            <w:tcW w:w="964" w:type="dxa"/>
            <w:gridSpan w:val="2"/>
            <w:tcBorders>
              <w:top w:val="nil"/>
              <w:left w:val="nil"/>
              <w:bottom w:val="nil"/>
              <w:right w:val="nil"/>
            </w:tcBorders>
          </w:tcPr>
          <w:p w14:paraId="65FE255E" w14:textId="77777777" w:rsidR="00CF0E2D" w:rsidRPr="001D4AAB"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61EC6C4D" w14:textId="77777777" w:rsidR="00CF0E2D" w:rsidRPr="001D4AAB"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4603A80E" w14:textId="77777777" w:rsidR="00CF0E2D" w:rsidRPr="001D4AAB"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1552F203" w14:textId="77777777" w:rsidR="00CF0E2D" w:rsidRPr="001D4AAB" w:rsidRDefault="00CF0E2D" w:rsidP="00A60D4B">
            <w:pPr>
              <w:pStyle w:val="Btablefigureunbold"/>
              <w:rPr>
                <w:rFonts w:cs="Calibri"/>
                <w:color w:val="000000"/>
                <w:szCs w:val="20"/>
              </w:rPr>
            </w:pPr>
          </w:p>
        </w:tc>
        <w:tc>
          <w:tcPr>
            <w:tcW w:w="954" w:type="dxa"/>
            <w:gridSpan w:val="2"/>
            <w:tcBorders>
              <w:top w:val="nil"/>
              <w:left w:val="nil"/>
              <w:bottom w:val="nil"/>
              <w:right w:val="nil"/>
            </w:tcBorders>
          </w:tcPr>
          <w:p w14:paraId="2A1B1729" w14:textId="77777777" w:rsidR="00CF0E2D" w:rsidRPr="001D4AAB" w:rsidRDefault="00CF0E2D" w:rsidP="00A60D4B">
            <w:pPr>
              <w:pStyle w:val="Btablefigureunbold"/>
              <w:rPr>
                <w:rFonts w:cs="Calibri"/>
                <w:b/>
                <w:bCs/>
                <w:color w:val="000000"/>
                <w:szCs w:val="20"/>
              </w:rPr>
            </w:pPr>
          </w:p>
        </w:tc>
      </w:tr>
      <w:tr w:rsidR="00CF0E2D" w:rsidRPr="00D60558" w14:paraId="522FD060" w14:textId="77777777" w:rsidTr="00A60D4B">
        <w:trPr>
          <w:gridAfter w:val="1"/>
          <w:wAfter w:w="9" w:type="dxa"/>
          <w:jc w:val="center"/>
        </w:trPr>
        <w:tc>
          <w:tcPr>
            <w:tcW w:w="3355" w:type="dxa"/>
            <w:tcBorders>
              <w:top w:val="nil"/>
              <w:left w:val="nil"/>
              <w:bottom w:val="nil"/>
              <w:right w:val="nil"/>
            </w:tcBorders>
          </w:tcPr>
          <w:p w14:paraId="79B30219" w14:textId="77777777" w:rsidR="00CF0E2D" w:rsidRPr="00D60558" w:rsidRDefault="00CF0E2D" w:rsidP="00A60D4B">
            <w:pPr>
              <w:pStyle w:val="Btabletextunbold"/>
              <w:rPr>
                <w:rFonts w:cs="Calibri"/>
                <w:color w:val="000000"/>
                <w:szCs w:val="20"/>
              </w:rPr>
            </w:pPr>
            <w:r>
              <w:rPr>
                <w:rFonts w:cs="Calibri"/>
                <w:color w:val="000000"/>
                <w:szCs w:val="20"/>
              </w:rPr>
              <w:t>–</w:t>
            </w:r>
            <w:r w:rsidRPr="00D60558">
              <w:rPr>
                <w:rFonts w:cs="Calibri"/>
                <w:color w:val="000000"/>
                <w:szCs w:val="20"/>
              </w:rPr>
              <w:t xml:space="preserve"> JobTrainer extension</w:t>
            </w:r>
          </w:p>
        </w:tc>
        <w:tc>
          <w:tcPr>
            <w:tcW w:w="1093" w:type="dxa"/>
            <w:tcBorders>
              <w:top w:val="nil"/>
              <w:left w:val="nil"/>
              <w:bottom w:val="nil"/>
              <w:right w:val="nil"/>
            </w:tcBorders>
          </w:tcPr>
          <w:p w14:paraId="63646859" w14:textId="77777777" w:rsidR="00CF0E2D" w:rsidRPr="00D60558" w:rsidRDefault="00CF0E2D" w:rsidP="00A60D4B">
            <w:pPr>
              <w:pStyle w:val="Btablefigureunbold"/>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1E04147F" w14:textId="77777777" w:rsidR="00CF0E2D" w:rsidRPr="001D4AAB" w:rsidRDefault="00CF0E2D" w:rsidP="00A60D4B">
            <w:pPr>
              <w:pStyle w:val="Btablefigureunbold"/>
              <w:rPr>
                <w:szCs w:val="20"/>
              </w:rPr>
            </w:pPr>
            <w:r w:rsidRPr="001D4AAB">
              <w:rPr>
                <w:rFonts w:cs="Calibri"/>
                <w:color w:val="000000"/>
                <w:szCs w:val="20"/>
              </w:rPr>
              <w:t>5,025</w:t>
            </w:r>
          </w:p>
        </w:tc>
        <w:tc>
          <w:tcPr>
            <w:tcW w:w="964" w:type="dxa"/>
            <w:gridSpan w:val="2"/>
            <w:tcBorders>
              <w:top w:val="nil"/>
              <w:left w:val="nil"/>
              <w:bottom w:val="nil"/>
              <w:right w:val="nil"/>
            </w:tcBorders>
          </w:tcPr>
          <w:p w14:paraId="1D9310C6" w14:textId="77777777" w:rsidR="00CF0E2D" w:rsidRPr="001D4AAB" w:rsidRDefault="00CF0E2D" w:rsidP="00A60D4B">
            <w:pPr>
              <w:pStyle w:val="Btablefigureunbold"/>
              <w:rPr>
                <w:szCs w:val="20"/>
              </w:rPr>
            </w:pPr>
            <w:r w:rsidRPr="001D4AAB">
              <w:rPr>
                <w:rFonts w:cs="Calibri"/>
                <w:color w:val="000000"/>
                <w:szCs w:val="20"/>
              </w:rPr>
              <w:t>3,350</w:t>
            </w:r>
          </w:p>
        </w:tc>
        <w:tc>
          <w:tcPr>
            <w:tcW w:w="964" w:type="dxa"/>
            <w:gridSpan w:val="2"/>
            <w:tcBorders>
              <w:top w:val="nil"/>
              <w:left w:val="nil"/>
              <w:bottom w:val="nil"/>
              <w:right w:val="nil"/>
            </w:tcBorders>
          </w:tcPr>
          <w:p w14:paraId="2DF73E18" w14:textId="77777777" w:rsidR="00CF0E2D" w:rsidRPr="001D4AAB" w:rsidRDefault="00CF0E2D" w:rsidP="00A60D4B">
            <w:pPr>
              <w:pStyle w:val="Btablefigureunbold"/>
              <w:rPr>
                <w:szCs w:val="20"/>
              </w:rPr>
            </w:pPr>
            <w:r w:rsidRPr="001D4AAB">
              <w:rPr>
                <w:rFonts w:cs="Calibri"/>
                <w:color w:val="000000"/>
                <w:szCs w:val="20"/>
              </w:rPr>
              <w:t>0</w:t>
            </w:r>
          </w:p>
        </w:tc>
        <w:tc>
          <w:tcPr>
            <w:tcW w:w="964" w:type="dxa"/>
            <w:gridSpan w:val="2"/>
            <w:tcBorders>
              <w:top w:val="nil"/>
              <w:left w:val="nil"/>
              <w:bottom w:val="nil"/>
              <w:right w:val="nil"/>
            </w:tcBorders>
          </w:tcPr>
          <w:p w14:paraId="0115E11C" w14:textId="77777777" w:rsidR="00CF0E2D" w:rsidRPr="001D4AAB" w:rsidRDefault="00CF0E2D" w:rsidP="00A60D4B">
            <w:pPr>
              <w:pStyle w:val="Btablefigureunbold"/>
              <w:rPr>
                <w:szCs w:val="20"/>
              </w:rPr>
            </w:pPr>
            <w:r w:rsidRPr="001D4AAB">
              <w:rPr>
                <w:rFonts w:cs="Calibri"/>
                <w:color w:val="000000"/>
                <w:szCs w:val="20"/>
              </w:rPr>
              <w:t>0</w:t>
            </w:r>
          </w:p>
        </w:tc>
        <w:tc>
          <w:tcPr>
            <w:tcW w:w="954" w:type="dxa"/>
            <w:gridSpan w:val="2"/>
            <w:tcBorders>
              <w:top w:val="nil"/>
              <w:left w:val="nil"/>
              <w:bottom w:val="nil"/>
              <w:right w:val="nil"/>
            </w:tcBorders>
          </w:tcPr>
          <w:p w14:paraId="3F69A01A" w14:textId="77777777" w:rsidR="00CF0E2D" w:rsidRPr="001D4AAB" w:rsidRDefault="00CF0E2D" w:rsidP="00A60D4B">
            <w:pPr>
              <w:pStyle w:val="Btablefigureunbold"/>
              <w:rPr>
                <w:b/>
                <w:bCs/>
                <w:szCs w:val="20"/>
              </w:rPr>
            </w:pPr>
            <w:r w:rsidRPr="001D4AAB">
              <w:rPr>
                <w:rFonts w:cs="Calibri"/>
                <w:b/>
                <w:bCs/>
                <w:color w:val="000000"/>
                <w:szCs w:val="20"/>
              </w:rPr>
              <w:t>8,375</w:t>
            </w:r>
          </w:p>
        </w:tc>
      </w:tr>
      <w:tr w:rsidR="00CF0E2D" w:rsidRPr="00D60558" w14:paraId="5A98AF0D" w14:textId="77777777" w:rsidTr="00A60D4B">
        <w:trPr>
          <w:gridAfter w:val="1"/>
          <w:wAfter w:w="9" w:type="dxa"/>
          <w:jc w:val="center"/>
        </w:trPr>
        <w:tc>
          <w:tcPr>
            <w:tcW w:w="3355" w:type="dxa"/>
            <w:tcBorders>
              <w:top w:val="nil"/>
              <w:left w:val="nil"/>
              <w:bottom w:val="nil"/>
              <w:right w:val="nil"/>
            </w:tcBorders>
          </w:tcPr>
          <w:p w14:paraId="0F59CA65" w14:textId="77777777" w:rsidR="00CF0E2D" w:rsidRPr="00D60558" w:rsidRDefault="00CF0E2D" w:rsidP="00A60D4B">
            <w:pPr>
              <w:pStyle w:val="Btabletextunbold"/>
              <w:rPr>
                <w:rFonts w:cs="Calibri"/>
                <w:color w:val="000000"/>
                <w:szCs w:val="20"/>
              </w:rPr>
            </w:pPr>
            <w:r w:rsidRPr="00D60558">
              <w:rPr>
                <w:rFonts w:cs="Calibri"/>
                <w:color w:val="000000"/>
                <w:szCs w:val="20"/>
              </w:rPr>
              <w:t xml:space="preserve">– More support for vocational education and training and apprenticeships </w:t>
            </w:r>
          </w:p>
        </w:tc>
        <w:tc>
          <w:tcPr>
            <w:tcW w:w="1093" w:type="dxa"/>
            <w:tcBorders>
              <w:top w:val="nil"/>
              <w:left w:val="nil"/>
              <w:bottom w:val="nil"/>
              <w:right w:val="nil"/>
            </w:tcBorders>
          </w:tcPr>
          <w:p w14:paraId="02B63E2A" w14:textId="77777777" w:rsidR="00CF0E2D" w:rsidRPr="00D60558" w:rsidRDefault="00CF0E2D" w:rsidP="00A60D4B">
            <w:pPr>
              <w:pStyle w:val="Btablefigureunbold"/>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247B90F3" w14:textId="77777777" w:rsidR="00CF0E2D" w:rsidRPr="001D4AAB" w:rsidRDefault="00CF0E2D" w:rsidP="00A60D4B">
            <w:pPr>
              <w:pStyle w:val="Btablefigureunbold"/>
              <w:rPr>
                <w:rFonts w:cs="Calibri"/>
                <w:color w:val="000000"/>
                <w:szCs w:val="20"/>
              </w:rPr>
            </w:pPr>
            <w:r w:rsidRPr="001D4AAB">
              <w:rPr>
                <w:rFonts w:cs="Calibri"/>
                <w:color w:val="000000"/>
                <w:szCs w:val="20"/>
              </w:rPr>
              <w:t>2,273</w:t>
            </w:r>
          </w:p>
        </w:tc>
        <w:tc>
          <w:tcPr>
            <w:tcW w:w="964" w:type="dxa"/>
            <w:gridSpan w:val="2"/>
            <w:tcBorders>
              <w:top w:val="nil"/>
              <w:left w:val="nil"/>
              <w:bottom w:val="nil"/>
              <w:right w:val="nil"/>
            </w:tcBorders>
          </w:tcPr>
          <w:p w14:paraId="33747CE4"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16E813AB"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60473C9E"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54" w:type="dxa"/>
            <w:gridSpan w:val="2"/>
            <w:tcBorders>
              <w:top w:val="nil"/>
              <w:left w:val="nil"/>
              <w:bottom w:val="nil"/>
              <w:right w:val="nil"/>
            </w:tcBorders>
          </w:tcPr>
          <w:p w14:paraId="27ED6DC4" w14:textId="77777777" w:rsidR="00CF0E2D" w:rsidRPr="001D4AAB" w:rsidRDefault="00CF0E2D" w:rsidP="00A60D4B">
            <w:pPr>
              <w:pStyle w:val="Btablefigureunbold"/>
              <w:rPr>
                <w:rFonts w:cs="Calibri"/>
                <w:b/>
                <w:bCs/>
                <w:color w:val="000000"/>
                <w:szCs w:val="20"/>
              </w:rPr>
            </w:pPr>
            <w:r w:rsidRPr="001D4AAB">
              <w:rPr>
                <w:rFonts w:cs="Calibri"/>
                <w:b/>
                <w:bCs/>
                <w:color w:val="000000"/>
                <w:szCs w:val="20"/>
              </w:rPr>
              <w:t>2,273</w:t>
            </w:r>
          </w:p>
        </w:tc>
      </w:tr>
      <w:tr w:rsidR="00CF0E2D" w:rsidRPr="00D60558" w14:paraId="42C1B17F" w14:textId="77777777" w:rsidTr="00A60D4B">
        <w:trPr>
          <w:gridAfter w:val="1"/>
          <w:wAfter w:w="9" w:type="dxa"/>
          <w:jc w:val="center"/>
        </w:trPr>
        <w:tc>
          <w:tcPr>
            <w:tcW w:w="3355" w:type="dxa"/>
            <w:tcBorders>
              <w:top w:val="nil"/>
              <w:left w:val="nil"/>
              <w:bottom w:val="nil"/>
              <w:right w:val="nil"/>
            </w:tcBorders>
          </w:tcPr>
          <w:p w14:paraId="2E805E11" w14:textId="77777777" w:rsidR="00CF0E2D" w:rsidRPr="00D60558" w:rsidRDefault="00CF0E2D" w:rsidP="00A60D4B">
            <w:pPr>
              <w:pStyle w:val="Btabletextunbold"/>
              <w:rPr>
                <w:rFonts w:cs="Calibri"/>
                <w:color w:val="000000"/>
                <w:szCs w:val="20"/>
              </w:rPr>
            </w:pPr>
            <w:r>
              <w:rPr>
                <w:rFonts w:cs="Calibri"/>
                <w:i/>
                <w:iCs/>
                <w:color w:val="000000"/>
                <w:szCs w:val="20"/>
              </w:rPr>
              <w:t xml:space="preserve">Business support </w:t>
            </w:r>
          </w:p>
        </w:tc>
        <w:tc>
          <w:tcPr>
            <w:tcW w:w="1093" w:type="dxa"/>
            <w:tcBorders>
              <w:top w:val="nil"/>
              <w:left w:val="nil"/>
              <w:bottom w:val="nil"/>
              <w:right w:val="nil"/>
            </w:tcBorders>
          </w:tcPr>
          <w:p w14:paraId="0DA56B93" w14:textId="77777777" w:rsidR="00CF0E2D" w:rsidRDefault="00CF0E2D" w:rsidP="00A60D4B">
            <w:pPr>
              <w:pStyle w:val="Btablefigureunbold"/>
              <w:jc w:val="left"/>
              <w:rPr>
                <w:rFonts w:cs="Calibri"/>
                <w:color w:val="000000"/>
                <w:szCs w:val="20"/>
              </w:rPr>
            </w:pPr>
          </w:p>
        </w:tc>
        <w:tc>
          <w:tcPr>
            <w:tcW w:w="964" w:type="dxa"/>
            <w:gridSpan w:val="2"/>
            <w:tcBorders>
              <w:top w:val="nil"/>
              <w:left w:val="nil"/>
              <w:bottom w:val="nil"/>
              <w:right w:val="nil"/>
            </w:tcBorders>
          </w:tcPr>
          <w:p w14:paraId="1E1C9F20" w14:textId="77777777" w:rsidR="00CF0E2D" w:rsidRPr="001D4AAB"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4B11555B" w14:textId="77777777" w:rsidR="00CF0E2D" w:rsidRPr="001D4AAB"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73046FE1" w14:textId="77777777" w:rsidR="00CF0E2D" w:rsidRPr="001D4AAB"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0C44F331" w14:textId="77777777" w:rsidR="00CF0E2D" w:rsidRPr="001D4AAB" w:rsidRDefault="00CF0E2D" w:rsidP="00A60D4B">
            <w:pPr>
              <w:pStyle w:val="Btablefigureunbold"/>
              <w:rPr>
                <w:rFonts w:cs="Calibri"/>
                <w:color w:val="000000"/>
                <w:szCs w:val="20"/>
              </w:rPr>
            </w:pPr>
          </w:p>
        </w:tc>
        <w:tc>
          <w:tcPr>
            <w:tcW w:w="954" w:type="dxa"/>
            <w:gridSpan w:val="2"/>
            <w:tcBorders>
              <w:top w:val="nil"/>
              <w:left w:val="nil"/>
              <w:bottom w:val="nil"/>
              <w:right w:val="nil"/>
            </w:tcBorders>
          </w:tcPr>
          <w:p w14:paraId="4C325A5E" w14:textId="77777777" w:rsidR="00CF0E2D" w:rsidRPr="001D4AAB" w:rsidRDefault="00CF0E2D" w:rsidP="00A60D4B">
            <w:pPr>
              <w:pStyle w:val="Btablefigureunbold"/>
              <w:rPr>
                <w:rFonts w:cs="Calibri"/>
                <w:b/>
                <w:bCs/>
                <w:color w:val="000000"/>
                <w:szCs w:val="20"/>
              </w:rPr>
            </w:pPr>
          </w:p>
        </w:tc>
      </w:tr>
      <w:tr w:rsidR="00CF0E2D" w:rsidRPr="00D60558" w14:paraId="782A8D17" w14:textId="77777777" w:rsidTr="00A60D4B">
        <w:trPr>
          <w:gridAfter w:val="1"/>
          <w:wAfter w:w="9" w:type="dxa"/>
          <w:jc w:val="center"/>
        </w:trPr>
        <w:tc>
          <w:tcPr>
            <w:tcW w:w="3355" w:type="dxa"/>
            <w:tcBorders>
              <w:top w:val="nil"/>
              <w:left w:val="nil"/>
              <w:bottom w:val="nil"/>
              <w:right w:val="nil"/>
            </w:tcBorders>
          </w:tcPr>
          <w:p w14:paraId="1BC33DD0" w14:textId="77777777" w:rsidR="00CF0E2D" w:rsidRPr="008F076E" w:rsidRDefault="00CF0E2D" w:rsidP="00A60D4B">
            <w:pPr>
              <w:pStyle w:val="Btabletextunbold"/>
              <w:rPr>
                <w:rFonts w:cs="Calibri"/>
                <w:color w:val="000000"/>
                <w:szCs w:val="20"/>
              </w:rPr>
            </w:pPr>
            <w:r>
              <w:rPr>
                <w:rFonts w:cs="Calibri"/>
                <w:color w:val="000000"/>
                <w:szCs w:val="20"/>
              </w:rPr>
              <w:t xml:space="preserve">– </w:t>
            </w:r>
            <w:r w:rsidRPr="008F076E">
              <w:rPr>
                <w:rFonts w:cs="Calibri"/>
                <w:color w:val="000000"/>
                <w:szCs w:val="20"/>
              </w:rPr>
              <w:t>International trade and engagement</w:t>
            </w:r>
          </w:p>
        </w:tc>
        <w:tc>
          <w:tcPr>
            <w:tcW w:w="1093" w:type="dxa"/>
            <w:tcBorders>
              <w:top w:val="nil"/>
              <w:left w:val="nil"/>
              <w:bottom w:val="nil"/>
              <w:right w:val="nil"/>
            </w:tcBorders>
          </w:tcPr>
          <w:p w14:paraId="2C2724E3" w14:textId="77777777" w:rsidR="00CF0E2D" w:rsidRPr="00D60558" w:rsidRDefault="00CF0E2D" w:rsidP="00A60D4B">
            <w:pPr>
              <w:pStyle w:val="Btablefigureunbold"/>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74BEE783" w14:textId="77777777" w:rsidR="00CF0E2D" w:rsidRPr="001D4AAB" w:rsidRDefault="00CF0E2D" w:rsidP="00A60D4B">
            <w:pPr>
              <w:pStyle w:val="Btablefigureunbold"/>
              <w:rPr>
                <w:rFonts w:cs="Calibri"/>
                <w:color w:val="000000"/>
                <w:szCs w:val="20"/>
              </w:rPr>
            </w:pPr>
            <w:r w:rsidRPr="001D4AAB">
              <w:rPr>
                <w:rFonts w:cs="Calibri"/>
                <w:color w:val="000000"/>
                <w:szCs w:val="20"/>
              </w:rPr>
              <w:t>787</w:t>
            </w:r>
          </w:p>
        </w:tc>
        <w:tc>
          <w:tcPr>
            <w:tcW w:w="964" w:type="dxa"/>
            <w:gridSpan w:val="2"/>
            <w:tcBorders>
              <w:top w:val="nil"/>
              <w:left w:val="nil"/>
              <w:bottom w:val="nil"/>
              <w:right w:val="nil"/>
            </w:tcBorders>
          </w:tcPr>
          <w:p w14:paraId="5AC47EA1" w14:textId="77777777" w:rsidR="00CF0E2D" w:rsidRPr="001D4AAB" w:rsidRDefault="00CF0E2D" w:rsidP="00A60D4B">
            <w:pPr>
              <w:pStyle w:val="Btablefigureunbold"/>
              <w:rPr>
                <w:rFonts w:cs="Calibri"/>
                <w:color w:val="000000"/>
                <w:szCs w:val="20"/>
              </w:rPr>
            </w:pPr>
            <w:r w:rsidRPr="001D4AAB">
              <w:rPr>
                <w:rFonts w:cs="Calibri"/>
                <w:color w:val="000000"/>
                <w:szCs w:val="20"/>
              </w:rPr>
              <w:t>1,078</w:t>
            </w:r>
          </w:p>
        </w:tc>
        <w:tc>
          <w:tcPr>
            <w:tcW w:w="964" w:type="dxa"/>
            <w:gridSpan w:val="2"/>
            <w:tcBorders>
              <w:top w:val="nil"/>
              <w:left w:val="nil"/>
              <w:bottom w:val="nil"/>
              <w:right w:val="nil"/>
            </w:tcBorders>
          </w:tcPr>
          <w:p w14:paraId="3F3AD203" w14:textId="77777777" w:rsidR="00CF0E2D" w:rsidRPr="001D4AAB" w:rsidRDefault="00CF0E2D" w:rsidP="00A60D4B">
            <w:pPr>
              <w:pStyle w:val="Btablefigureunbold"/>
              <w:rPr>
                <w:rFonts w:cs="Calibri"/>
                <w:color w:val="000000"/>
                <w:szCs w:val="20"/>
              </w:rPr>
            </w:pPr>
            <w:r w:rsidRPr="001D4AAB">
              <w:rPr>
                <w:rFonts w:cs="Calibri"/>
                <w:color w:val="000000"/>
                <w:szCs w:val="20"/>
              </w:rPr>
              <w:t>1,001</w:t>
            </w:r>
          </w:p>
        </w:tc>
        <w:tc>
          <w:tcPr>
            <w:tcW w:w="964" w:type="dxa"/>
            <w:gridSpan w:val="2"/>
            <w:tcBorders>
              <w:top w:val="nil"/>
              <w:left w:val="nil"/>
              <w:bottom w:val="nil"/>
              <w:right w:val="nil"/>
            </w:tcBorders>
          </w:tcPr>
          <w:p w14:paraId="4E9789AA"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54" w:type="dxa"/>
            <w:gridSpan w:val="2"/>
            <w:tcBorders>
              <w:top w:val="nil"/>
              <w:left w:val="nil"/>
              <w:bottom w:val="nil"/>
              <w:right w:val="nil"/>
            </w:tcBorders>
          </w:tcPr>
          <w:p w14:paraId="26893106" w14:textId="77777777" w:rsidR="00CF0E2D" w:rsidRPr="001D4AAB" w:rsidRDefault="00CF0E2D" w:rsidP="00A60D4B">
            <w:pPr>
              <w:pStyle w:val="Btablefigureunbold"/>
              <w:rPr>
                <w:rFonts w:cs="Calibri"/>
                <w:b/>
                <w:bCs/>
                <w:color w:val="000000"/>
                <w:szCs w:val="20"/>
              </w:rPr>
            </w:pPr>
            <w:r w:rsidRPr="001D4AAB">
              <w:rPr>
                <w:rFonts w:cs="Calibri"/>
                <w:b/>
                <w:bCs/>
                <w:color w:val="000000"/>
                <w:szCs w:val="20"/>
              </w:rPr>
              <w:t>2,866</w:t>
            </w:r>
          </w:p>
        </w:tc>
      </w:tr>
      <w:tr w:rsidR="00CF0E2D" w:rsidRPr="00D60558" w14:paraId="1CF85286" w14:textId="77777777" w:rsidTr="00A60D4B">
        <w:trPr>
          <w:gridAfter w:val="1"/>
          <w:wAfter w:w="9" w:type="dxa"/>
          <w:jc w:val="center"/>
        </w:trPr>
        <w:tc>
          <w:tcPr>
            <w:tcW w:w="3355" w:type="dxa"/>
            <w:tcBorders>
              <w:top w:val="nil"/>
              <w:left w:val="nil"/>
              <w:bottom w:val="nil"/>
              <w:right w:val="nil"/>
            </w:tcBorders>
          </w:tcPr>
          <w:p w14:paraId="1373AA5D" w14:textId="77777777" w:rsidR="00CF0E2D" w:rsidRPr="008F076E" w:rsidRDefault="00CF0E2D" w:rsidP="00A60D4B">
            <w:pPr>
              <w:pStyle w:val="Btabletextunbold"/>
              <w:rPr>
                <w:rFonts w:cs="Calibri"/>
                <w:color w:val="000000"/>
                <w:szCs w:val="20"/>
              </w:rPr>
            </w:pPr>
            <w:r>
              <w:rPr>
                <w:rFonts w:cs="Calibri"/>
                <w:color w:val="000000"/>
                <w:szCs w:val="20"/>
              </w:rPr>
              <w:t>–</w:t>
            </w:r>
            <w:r w:rsidRPr="008F076E">
              <w:rPr>
                <w:rFonts w:cs="Calibri"/>
                <w:color w:val="000000"/>
                <w:szCs w:val="20"/>
              </w:rPr>
              <w:t xml:space="preserve"> More support for Aboriginal and Torres Strait Islander businesses</w:t>
            </w:r>
          </w:p>
        </w:tc>
        <w:tc>
          <w:tcPr>
            <w:tcW w:w="1093" w:type="dxa"/>
            <w:tcBorders>
              <w:top w:val="nil"/>
              <w:left w:val="nil"/>
              <w:bottom w:val="nil"/>
              <w:right w:val="nil"/>
            </w:tcBorders>
          </w:tcPr>
          <w:p w14:paraId="575B60C4" w14:textId="77777777" w:rsidR="00CF0E2D" w:rsidRPr="00D60558" w:rsidRDefault="00CF0E2D" w:rsidP="00A60D4B">
            <w:pPr>
              <w:pStyle w:val="Btablefigureunbold"/>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679C14C5" w14:textId="77777777" w:rsidR="00CF0E2D" w:rsidRPr="001D4AAB" w:rsidRDefault="00CF0E2D" w:rsidP="00A60D4B">
            <w:pPr>
              <w:pStyle w:val="Btablefigureunbold"/>
              <w:rPr>
                <w:rFonts w:cs="Calibri"/>
                <w:color w:val="000000"/>
                <w:szCs w:val="20"/>
              </w:rPr>
            </w:pPr>
            <w:r w:rsidRPr="001D4AAB">
              <w:rPr>
                <w:rFonts w:cs="Calibri"/>
                <w:color w:val="000000"/>
                <w:szCs w:val="20"/>
              </w:rPr>
              <w:t>225</w:t>
            </w:r>
          </w:p>
        </w:tc>
        <w:tc>
          <w:tcPr>
            <w:tcW w:w="964" w:type="dxa"/>
            <w:gridSpan w:val="2"/>
            <w:tcBorders>
              <w:top w:val="nil"/>
              <w:left w:val="nil"/>
              <w:bottom w:val="nil"/>
              <w:right w:val="nil"/>
            </w:tcBorders>
          </w:tcPr>
          <w:p w14:paraId="69D5B40A" w14:textId="77777777" w:rsidR="00CF0E2D" w:rsidRPr="001D4AAB" w:rsidRDefault="00CF0E2D" w:rsidP="00A60D4B">
            <w:pPr>
              <w:pStyle w:val="Btablefigureunbold"/>
              <w:rPr>
                <w:rFonts w:cs="Calibri"/>
                <w:color w:val="000000"/>
                <w:szCs w:val="20"/>
              </w:rPr>
            </w:pPr>
            <w:r w:rsidRPr="001D4AAB">
              <w:rPr>
                <w:rFonts w:cs="Calibri"/>
                <w:color w:val="000000"/>
                <w:szCs w:val="20"/>
              </w:rPr>
              <w:t>228</w:t>
            </w:r>
          </w:p>
        </w:tc>
        <w:tc>
          <w:tcPr>
            <w:tcW w:w="964" w:type="dxa"/>
            <w:gridSpan w:val="2"/>
            <w:tcBorders>
              <w:top w:val="nil"/>
              <w:left w:val="nil"/>
              <w:bottom w:val="nil"/>
              <w:right w:val="nil"/>
            </w:tcBorders>
          </w:tcPr>
          <w:p w14:paraId="4668C1BE" w14:textId="77777777" w:rsidR="00CF0E2D" w:rsidRPr="001D4AAB" w:rsidRDefault="00CF0E2D" w:rsidP="00A60D4B">
            <w:pPr>
              <w:pStyle w:val="Btablefigureunbold"/>
              <w:rPr>
                <w:rFonts w:cs="Calibri"/>
                <w:color w:val="000000"/>
                <w:szCs w:val="20"/>
              </w:rPr>
            </w:pPr>
            <w:r w:rsidRPr="001D4AAB">
              <w:rPr>
                <w:rFonts w:cs="Calibri"/>
                <w:color w:val="000000"/>
                <w:szCs w:val="20"/>
              </w:rPr>
              <w:t>232</w:t>
            </w:r>
          </w:p>
        </w:tc>
        <w:tc>
          <w:tcPr>
            <w:tcW w:w="964" w:type="dxa"/>
            <w:gridSpan w:val="2"/>
            <w:tcBorders>
              <w:top w:val="nil"/>
              <w:left w:val="nil"/>
              <w:bottom w:val="nil"/>
              <w:right w:val="nil"/>
            </w:tcBorders>
          </w:tcPr>
          <w:p w14:paraId="3BDD7542" w14:textId="77777777" w:rsidR="00CF0E2D" w:rsidRPr="001D4AAB" w:rsidRDefault="00CF0E2D" w:rsidP="00A60D4B">
            <w:pPr>
              <w:pStyle w:val="Btablefigureunbold"/>
              <w:rPr>
                <w:rFonts w:cs="Calibri"/>
                <w:color w:val="000000"/>
                <w:szCs w:val="20"/>
              </w:rPr>
            </w:pPr>
            <w:r w:rsidRPr="001D4AAB">
              <w:rPr>
                <w:rFonts w:cs="Calibri"/>
                <w:color w:val="000000"/>
                <w:szCs w:val="20"/>
              </w:rPr>
              <w:t>235</w:t>
            </w:r>
          </w:p>
        </w:tc>
        <w:tc>
          <w:tcPr>
            <w:tcW w:w="954" w:type="dxa"/>
            <w:gridSpan w:val="2"/>
            <w:tcBorders>
              <w:top w:val="nil"/>
              <w:left w:val="nil"/>
              <w:bottom w:val="nil"/>
              <w:right w:val="nil"/>
            </w:tcBorders>
          </w:tcPr>
          <w:p w14:paraId="39E839A5" w14:textId="77777777" w:rsidR="00CF0E2D" w:rsidRPr="001D4AAB" w:rsidRDefault="00CF0E2D" w:rsidP="00A60D4B">
            <w:pPr>
              <w:pStyle w:val="Btablefigureunbold"/>
              <w:rPr>
                <w:rFonts w:cs="Calibri"/>
                <w:b/>
                <w:bCs/>
                <w:color w:val="000000"/>
                <w:szCs w:val="20"/>
              </w:rPr>
            </w:pPr>
            <w:r w:rsidRPr="001D4AAB">
              <w:rPr>
                <w:rFonts w:cs="Calibri"/>
                <w:b/>
                <w:bCs/>
                <w:color w:val="000000"/>
                <w:szCs w:val="20"/>
              </w:rPr>
              <w:t>920</w:t>
            </w:r>
          </w:p>
        </w:tc>
      </w:tr>
      <w:tr w:rsidR="00CF0E2D" w:rsidRPr="00D60558" w14:paraId="50B43EE7" w14:textId="77777777" w:rsidTr="00A60D4B">
        <w:trPr>
          <w:gridAfter w:val="1"/>
          <w:wAfter w:w="9" w:type="dxa"/>
          <w:jc w:val="center"/>
        </w:trPr>
        <w:tc>
          <w:tcPr>
            <w:tcW w:w="3355" w:type="dxa"/>
            <w:tcBorders>
              <w:top w:val="nil"/>
              <w:left w:val="nil"/>
              <w:bottom w:val="nil"/>
              <w:right w:val="nil"/>
            </w:tcBorders>
          </w:tcPr>
          <w:p w14:paraId="7D82A183" w14:textId="77777777" w:rsidR="00CF0E2D" w:rsidRPr="008F076E" w:rsidRDefault="00CF0E2D" w:rsidP="00A60D4B">
            <w:pPr>
              <w:pStyle w:val="Btabletextunbold"/>
              <w:rPr>
                <w:rFonts w:cs="Calibri"/>
                <w:color w:val="000000"/>
                <w:szCs w:val="20"/>
              </w:rPr>
            </w:pPr>
            <w:r>
              <w:rPr>
                <w:rFonts w:cs="Calibri"/>
                <w:color w:val="000000"/>
                <w:szCs w:val="20"/>
              </w:rPr>
              <w:t>–</w:t>
            </w:r>
            <w:r w:rsidRPr="008F076E">
              <w:rPr>
                <w:rFonts w:cs="Calibri"/>
                <w:color w:val="000000"/>
                <w:szCs w:val="20"/>
              </w:rPr>
              <w:t xml:space="preserve"> More support for business development</w:t>
            </w:r>
          </w:p>
        </w:tc>
        <w:tc>
          <w:tcPr>
            <w:tcW w:w="1093" w:type="dxa"/>
            <w:tcBorders>
              <w:top w:val="nil"/>
              <w:left w:val="nil"/>
              <w:bottom w:val="nil"/>
              <w:right w:val="nil"/>
            </w:tcBorders>
          </w:tcPr>
          <w:p w14:paraId="177B1FB2" w14:textId="77777777" w:rsidR="00CF0E2D" w:rsidRPr="00D60558" w:rsidRDefault="00CF0E2D" w:rsidP="00A60D4B">
            <w:pPr>
              <w:pStyle w:val="Btablefigureunbold"/>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697BA1F0" w14:textId="77777777" w:rsidR="00CF0E2D" w:rsidRPr="001D4AAB" w:rsidRDefault="00CF0E2D" w:rsidP="00A60D4B">
            <w:pPr>
              <w:pStyle w:val="Btablefigureunbold"/>
              <w:rPr>
                <w:rFonts w:cs="Calibri"/>
                <w:color w:val="000000"/>
                <w:szCs w:val="20"/>
              </w:rPr>
            </w:pPr>
            <w:r w:rsidRPr="001D4AAB">
              <w:rPr>
                <w:rFonts w:cs="Calibri"/>
                <w:color w:val="000000"/>
                <w:szCs w:val="20"/>
              </w:rPr>
              <w:t>950</w:t>
            </w:r>
          </w:p>
        </w:tc>
        <w:tc>
          <w:tcPr>
            <w:tcW w:w="964" w:type="dxa"/>
            <w:gridSpan w:val="2"/>
            <w:tcBorders>
              <w:top w:val="nil"/>
              <w:left w:val="nil"/>
              <w:bottom w:val="nil"/>
              <w:right w:val="nil"/>
            </w:tcBorders>
          </w:tcPr>
          <w:p w14:paraId="47006FD2" w14:textId="77777777" w:rsidR="00CF0E2D" w:rsidRPr="001D4AAB" w:rsidRDefault="00CF0E2D" w:rsidP="00A60D4B">
            <w:pPr>
              <w:pStyle w:val="Btablefigureunbold"/>
              <w:rPr>
                <w:rFonts w:cs="Calibri"/>
                <w:color w:val="000000"/>
                <w:szCs w:val="20"/>
              </w:rPr>
            </w:pPr>
            <w:r w:rsidRPr="001D4AAB">
              <w:rPr>
                <w:rFonts w:cs="Calibri"/>
                <w:color w:val="000000"/>
                <w:szCs w:val="20"/>
              </w:rPr>
              <w:t>964</w:t>
            </w:r>
          </w:p>
        </w:tc>
        <w:tc>
          <w:tcPr>
            <w:tcW w:w="964" w:type="dxa"/>
            <w:gridSpan w:val="2"/>
            <w:tcBorders>
              <w:top w:val="nil"/>
              <w:left w:val="nil"/>
              <w:bottom w:val="nil"/>
              <w:right w:val="nil"/>
            </w:tcBorders>
          </w:tcPr>
          <w:p w14:paraId="76CE99E3"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6EF2880E"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54" w:type="dxa"/>
            <w:gridSpan w:val="2"/>
            <w:tcBorders>
              <w:top w:val="nil"/>
              <w:left w:val="nil"/>
              <w:bottom w:val="nil"/>
              <w:right w:val="nil"/>
            </w:tcBorders>
          </w:tcPr>
          <w:p w14:paraId="695A852F" w14:textId="77777777" w:rsidR="00CF0E2D" w:rsidRPr="001D4AAB" w:rsidRDefault="00CF0E2D" w:rsidP="00A60D4B">
            <w:pPr>
              <w:pStyle w:val="Btablefigureunbold"/>
              <w:rPr>
                <w:rFonts w:cs="Calibri"/>
                <w:b/>
                <w:bCs/>
                <w:color w:val="000000"/>
                <w:szCs w:val="20"/>
              </w:rPr>
            </w:pPr>
            <w:r w:rsidRPr="001D4AAB">
              <w:rPr>
                <w:rFonts w:cs="Calibri"/>
                <w:b/>
                <w:bCs/>
                <w:color w:val="000000"/>
                <w:szCs w:val="20"/>
              </w:rPr>
              <w:t>1,914</w:t>
            </w:r>
          </w:p>
        </w:tc>
      </w:tr>
      <w:tr w:rsidR="00CF0E2D" w:rsidRPr="00D60558" w14:paraId="3CC6B433" w14:textId="77777777" w:rsidTr="00A60D4B">
        <w:trPr>
          <w:gridAfter w:val="1"/>
          <w:wAfter w:w="9" w:type="dxa"/>
          <w:jc w:val="center"/>
        </w:trPr>
        <w:tc>
          <w:tcPr>
            <w:tcW w:w="3355" w:type="dxa"/>
            <w:tcBorders>
              <w:top w:val="nil"/>
              <w:left w:val="nil"/>
              <w:bottom w:val="nil"/>
              <w:right w:val="nil"/>
            </w:tcBorders>
          </w:tcPr>
          <w:p w14:paraId="2DDE1429" w14:textId="77777777" w:rsidR="00CF0E2D" w:rsidRPr="008F076E" w:rsidRDefault="00CF0E2D" w:rsidP="00A60D4B">
            <w:pPr>
              <w:pStyle w:val="Btabletextunbold"/>
              <w:rPr>
                <w:rFonts w:cs="Calibri"/>
                <w:color w:val="000000"/>
                <w:szCs w:val="20"/>
              </w:rPr>
            </w:pPr>
            <w:r w:rsidRPr="008F076E">
              <w:rPr>
                <w:rFonts w:cs="Calibri"/>
                <w:color w:val="000000"/>
                <w:szCs w:val="20"/>
              </w:rPr>
              <w:t>Casey Community Recreation Park</w:t>
            </w:r>
          </w:p>
        </w:tc>
        <w:tc>
          <w:tcPr>
            <w:tcW w:w="1093" w:type="dxa"/>
            <w:tcBorders>
              <w:top w:val="nil"/>
              <w:left w:val="nil"/>
              <w:bottom w:val="nil"/>
              <w:right w:val="nil"/>
            </w:tcBorders>
          </w:tcPr>
          <w:p w14:paraId="3BB8467B" w14:textId="77777777" w:rsidR="00CF0E2D" w:rsidRPr="00D60558" w:rsidRDefault="00CF0E2D" w:rsidP="00A60D4B">
            <w:pPr>
              <w:pStyle w:val="Btablefigureunbold"/>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2774B181" w14:textId="77777777" w:rsidR="00CF0E2D" w:rsidRPr="001D4AAB" w:rsidRDefault="00CF0E2D" w:rsidP="00A60D4B">
            <w:pPr>
              <w:pStyle w:val="Btablefigureunbold"/>
              <w:rPr>
                <w:rFonts w:cs="Calibri"/>
                <w:color w:val="000000"/>
                <w:szCs w:val="20"/>
              </w:rPr>
            </w:pPr>
            <w:r w:rsidRPr="001D4AAB">
              <w:rPr>
                <w:rFonts w:cs="Calibri"/>
                <w:color w:val="000000"/>
                <w:szCs w:val="20"/>
              </w:rPr>
              <w:t>500</w:t>
            </w:r>
          </w:p>
        </w:tc>
        <w:tc>
          <w:tcPr>
            <w:tcW w:w="964" w:type="dxa"/>
            <w:gridSpan w:val="2"/>
            <w:tcBorders>
              <w:top w:val="nil"/>
              <w:left w:val="nil"/>
              <w:bottom w:val="nil"/>
              <w:right w:val="nil"/>
            </w:tcBorders>
          </w:tcPr>
          <w:p w14:paraId="42CA6D04" w14:textId="77777777" w:rsidR="00CF0E2D" w:rsidRPr="001D4AAB" w:rsidRDefault="00CF0E2D" w:rsidP="00A60D4B">
            <w:pPr>
              <w:pStyle w:val="Btablefigureunbold"/>
              <w:rPr>
                <w:rFonts w:cs="Calibri"/>
                <w:color w:val="000000"/>
                <w:szCs w:val="20"/>
              </w:rPr>
            </w:pPr>
            <w:r w:rsidRPr="001D4AAB">
              <w:rPr>
                <w:rFonts w:cs="Calibri"/>
                <w:color w:val="000000"/>
                <w:szCs w:val="20"/>
              </w:rPr>
              <w:t>2,000</w:t>
            </w:r>
          </w:p>
        </w:tc>
        <w:tc>
          <w:tcPr>
            <w:tcW w:w="964" w:type="dxa"/>
            <w:gridSpan w:val="2"/>
            <w:tcBorders>
              <w:top w:val="nil"/>
              <w:left w:val="nil"/>
              <w:bottom w:val="nil"/>
              <w:right w:val="nil"/>
            </w:tcBorders>
          </w:tcPr>
          <w:p w14:paraId="6AC51368" w14:textId="77777777" w:rsidR="00CF0E2D" w:rsidRPr="001D4AAB" w:rsidRDefault="00CF0E2D" w:rsidP="00A60D4B">
            <w:pPr>
              <w:pStyle w:val="Btablefigureunbold"/>
              <w:rPr>
                <w:rFonts w:cs="Calibri"/>
                <w:color w:val="000000"/>
                <w:szCs w:val="20"/>
              </w:rPr>
            </w:pPr>
            <w:r w:rsidRPr="001D4AAB">
              <w:rPr>
                <w:rFonts w:cs="Calibri"/>
                <w:color w:val="000000"/>
                <w:szCs w:val="20"/>
              </w:rPr>
              <w:t>500</w:t>
            </w:r>
          </w:p>
        </w:tc>
        <w:tc>
          <w:tcPr>
            <w:tcW w:w="964" w:type="dxa"/>
            <w:gridSpan w:val="2"/>
            <w:tcBorders>
              <w:top w:val="nil"/>
              <w:left w:val="nil"/>
              <w:bottom w:val="nil"/>
              <w:right w:val="nil"/>
            </w:tcBorders>
          </w:tcPr>
          <w:p w14:paraId="25867EA2"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54" w:type="dxa"/>
            <w:gridSpan w:val="2"/>
            <w:tcBorders>
              <w:top w:val="nil"/>
              <w:left w:val="nil"/>
              <w:bottom w:val="nil"/>
              <w:right w:val="nil"/>
            </w:tcBorders>
          </w:tcPr>
          <w:p w14:paraId="33B4DE73" w14:textId="77777777" w:rsidR="00CF0E2D" w:rsidRPr="001D4AAB" w:rsidRDefault="00CF0E2D" w:rsidP="00A60D4B">
            <w:pPr>
              <w:pStyle w:val="Btablefigureunbold"/>
              <w:rPr>
                <w:rFonts w:cs="Calibri"/>
                <w:b/>
                <w:bCs/>
                <w:color w:val="000000"/>
                <w:szCs w:val="20"/>
              </w:rPr>
            </w:pPr>
            <w:r w:rsidRPr="001D4AAB">
              <w:rPr>
                <w:rFonts w:cs="Calibri"/>
                <w:b/>
                <w:bCs/>
                <w:color w:val="000000"/>
                <w:szCs w:val="20"/>
              </w:rPr>
              <w:t>3,000</w:t>
            </w:r>
          </w:p>
        </w:tc>
      </w:tr>
      <w:tr w:rsidR="00CF0E2D" w:rsidRPr="00D60558" w14:paraId="455534CE" w14:textId="77777777" w:rsidTr="00A60D4B">
        <w:trPr>
          <w:gridAfter w:val="1"/>
          <w:wAfter w:w="9" w:type="dxa"/>
          <w:jc w:val="center"/>
        </w:trPr>
        <w:tc>
          <w:tcPr>
            <w:tcW w:w="3355" w:type="dxa"/>
            <w:tcBorders>
              <w:top w:val="nil"/>
              <w:left w:val="nil"/>
              <w:bottom w:val="nil"/>
              <w:right w:val="nil"/>
            </w:tcBorders>
          </w:tcPr>
          <w:p w14:paraId="2DFBDAE0" w14:textId="77777777" w:rsidR="00CF0E2D" w:rsidRPr="008F076E" w:rsidRDefault="00CF0E2D" w:rsidP="00A60D4B">
            <w:pPr>
              <w:pStyle w:val="Btabletextunbold"/>
              <w:rPr>
                <w:rFonts w:cs="Calibri"/>
                <w:color w:val="000000"/>
                <w:szCs w:val="20"/>
              </w:rPr>
            </w:pPr>
            <w:r w:rsidRPr="008F076E">
              <w:rPr>
                <w:rFonts w:cs="Calibri"/>
                <w:color w:val="000000"/>
                <w:szCs w:val="20"/>
              </w:rPr>
              <w:t>Casey Community Recreation Park</w:t>
            </w:r>
          </w:p>
        </w:tc>
        <w:tc>
          <w:tcPr>
            <w:tcW w:w="1093" w:type="dxa"/>
            <w:tcBorders>
              <w:top w:val="nil"/>
              <w:left w:val="nil"/>
              <w:bottom w:val="nil"/>
              <w:right w:val="nil"/>
            </w:tcBorders>
          </w:tcPr>
          <w:p w14:paraId="32088EC1" w14:textId="77777777" w:rsidR="00CF0E2D" w:rsidRPr="00D60558" w:rsidRDefault="00CF0E2D" w:rsidP="00A60D4B">
            <w:pPr>
              <w:pStyle w:val="Btablefigureunbold"/>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0D59519E"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369CC329"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36F7CE8B" w14:textId="77777777" w:rsidR="00CF0E2D" w:rsidRPr="001D4AAB" w:rsidRDefault="00CF0E2D" w:rsidP="00A60D4B">
            <w:pPr>
              <w:pStyle w:val="Btablefigureunbold"/>
              <w:rPr>
                <w:rFonts w:cs="Calibri"/>
                <w:color w:val="000000"/>
                <w:szCs w:val="20"/>
              </w:rPr>
            </w:pPr>
            <w:r w:rsidRPr="001D4AAB">
              <w:rPr>
                <w:rFonts w:cs="Calibri"/>
                <w:color w:val="000000"/>
                <w:szCs w:val="20"/>
              </w:rPr>
              <w:t>75</w:t>
            </w:r>
          </w:p>
        </w:tc>
        <w:tc>
          <w:tcPr>
            <w:tcW w:w="964" w:type="dxa"/>
            <w:gridSpan w:val="2"/>
            <w:tcBorders>
              <w:top w:val="nil"/>
              <w:left w:val="nil"/>
              <w:bottom w:val="nil"/>
              <w:right w:val="nil"/>
            </w:tcBorders>
          </w:tcPr>
          <w:p w14:paraId="5BBB6B62" w14:textId="77777777" w:rsidR="00CF0E2D" w:rsidRPr="001D4AAB" w:rsidRDefault="00CF0E2D" w:rsidP="00A60D4B">
            <w:pPr>
              <w:pStyle w:val="Btablefigureunbold"/>
              <w:rPr>
                <w:rFonts w:cs="Calibri"/>
                <w:color w:val="000000"/>
                <w:szCs w:val="20"/>
              </w:rPr>
            </w:pPr>
            <w:r w:rsidRPr="001D4AAB">
              <w:rPr>
                <w:rFonts w:cs="Calibri"/>
                <w:color w:val="000000"/>
                <w:szCs w:val="20"/>
              </w:rPr>
              <w:t>182</w:t>
            </w:r>
          </w:p>
        </w:tc>
        <w:tc>
          <w:tcPr>
            <w:tcW w:w="954" w:type="dxa"/>
            <w:gridSpan w:val="2"/>
            <w:tcBorders>
              <w:top w:val="nil"/>
              <w:left w:val="nil"/>
              <w:bottom w:val="nil"/>
              <w:right w:val="nil"/>
            </w:tcBorders>
          </w:tcPr>
          <w:p w14:paraId="401373FB" w14:textId="77777777" w:rsidR="00CF0E2D" w:rsidRPr="001D4AAB" w:rsidRDefault="00CF0E2D" w:rsidP="00A60D4B">
            <w:pPr>
              <w:pStyle w:val="Btablefigureunbold"/>
              <w:rPr>
                <w:rFonts w:cs="Calibri"/>
                <w:b/>
                <w:bCs/>
                <w:color w:val="000000"/>
                <w:szCs w:val="20"/>
              </w:rPr>
            </w:pPr>
            <w:r w:rsidRPr="001D4AAB">
              <w:rPr>
                <w:rFonts w:cs="Calibri"/>
                <w:b/>
                <w:bCs/>
                <w:color w:val="000000"/>
                <w:szCs w:val="20"/>
              </w:rPr>
              <w:t>257</w:t>
            </w:r>
          </w:p>
        </w:tc>
      </w:tr>
      <w:tr w:rsidR="00CF0E2D" w:rsidRPr="00D60558" w14:paraId="1B3BF2E1" w14:textId="77777777" w:rsidTr="00A60D4B">
        <w:trPr>
          <w:gridAfter w:val="1"/>
          <w:wAfter w:w="9" w:type="dxa"/>
          <w:jc w:val="center"/>
        </w:trPr>
        <w:tc>
          <w:tcPr>
            <w:tcW w:w="3355" w:type="dxa"/>
            <w:tcBorders>
              <w:top w:val="nil"/>
              <w:left w:val="nil"/>
              <w:bottom w:val="nil"/>
              <w:right w:val="nil"/>
            </w:tcBorders>
          </w:tcPr>
          <w:p w14:paraId="70D7ADC2" w14:textId="77777777" w:rsidR="00CF0E2D" w:rsidRPr="005357CD" w:rsidRDefault="00CF0E2D" w:rsidP="00A60D4B">
            <w:pPr>
              <w:pStyle w:val="Btabletextunbold"/>
              <w:rPr>
                <w:rFonts w:cs="Calibri"/>
                <w:i/>
                <w:iCs/>
                <w:color w:val="000000"/>
                <w:szCs w:val="20"/>
              </w:rPr>
            </w:pPr>
            <w:r w:rsidRPr="005357CD">
              <w:rPr>
                <w:rFonts w:cs="Calibri"/>
                <w:i/>
                <w:iCs/>
                <w:color w:val="000000"/>
                <w:szCs w:val="20"/>
              </w:rPr>
              <w:t>Climate action</w:t>
            </w:r>
          </w:p>
        </w:tc>
        <w:tc>
          <w:tcPr>
            <w:tcW w:w="1093" w:type="dxa"/>
            <w:tcBorders>
              <w:top w:val="nil"/>
              <w:left w:val="nil"/>
              <w:bottom w:val="nil"/>
              <w:right w:val="nil"/>
            </w:tcBorders>
          </w:tcPr>
          <w:p w14:paraId="1D31CD09" w14:textId="77777777" w:rsidR="00CF0E2D" w:rsidRDefault="00CF0E2D" w:rsidP="00A60D4B">
            <w:pPr>
              <w:pStyle w:val="Btablefigureunbold"/>
              <w:jc w:val="left"/>
              <w:rPr>
                <w:rFonts w:cs="Calibri"/>
                <w:color w:val="000000"/>
                <w:szCs w:val="20"/>
              </w:rPr>
            </w:pPr>
          </w:p>
        </w:tc>
        <w:tc>
          <w:tcPr>
            <w:tcW w:w="964" w:type="dxa"/>
            <w:gridSpan w:val="2"/>
            <w:tcBorders>
              <w:top w:val="nil"/>
              <w:left w:val="nil"/>
              <w:bottom w:val="nil"/>
              <w:right w:val="nil"/>
            </w:tcBorders>
          </w:tcPr>
          <w:p w14:paraId="1A9398EE" w14:textId="77777777" w:rsidR="00CF0E2D" w:rsidRPr="001D4AAB"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2B5EA0F4" w14:textId="77777777" w:rsidR="00CF0E2D" w:rsidRPr="001D4AAB"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685176D9" w14:textId="77777777" w:rsidR="00CF0E2D" w:rsidRPr="001D4AAB"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1849443E" w14:textId="77777777" w:rsidR="00CF0E2D" w:rsidRPr="001D4AAB" w:rsidRDefault="00CF0E2D" w:rsidP="00A60D4B">
            <w:pPr>
              <w:pStyle w:val="Btablefigureunbold"/>
              <w:rPr>
                <w:rFonts w:cs="Calibri"/>
                <w:color w:val="000000"/>
                <w:szCs w:val="20"/>
              </w:rPr>
            </w:pPr>
          </w:p>
        </w:tc>
        <w:tc>
          <w:tcPr>
            <w:tcW w:w="954" w:type="dxa"/>
            <w:gridSpan w:val="2"/>
            <w:tcBorders>
              <w:top w:val="nil"/>
              <w:left w:val="nil"/>
              <w:bottom w:val="nil"/>
              <w:right w:val="nil"/>
            </w:tcBorders>
          </w:tcPr>
          <w:p w14:paraId="4DCBB718" w14:textId="77777777" w:rsidR="00CF0E2D" w:rsidRPr="001D4AAB" w:rsidRDefault="00CF0E2D" w:rsidP="00A60D4B">
            <w:pPr>
              <w:pStyle w:val="Btablefigureunbold"/>
              <w:rPr>
                <w:rFonts w:cs="Calibri"/>
                <w:b/>
                <w:bCs/>
                <w:color w:val="000000"/>
                <w:szCs w:val="20"/>
              </w:rPr>
            </w:pPr>
          </w:p>
        </w:tc>
      </w:tr>
      <w:tr w:rsidR="00CF0E2D" w:rsidRPr="00D60558" w14:paraId="48A68F01" w14:textId="77777777" w:rsidTr="00A60D4B">
        <w:trPr>
          <w:gridAfter w:val="1"/>
          <w:wAfter w:w="9" w:type="dxa"/>
          <w:jc w:val="center"/>
        </w:trPr>
        <w:tc>
          <w:tcPr>
            <w:tcW w:w="3355" w:type="dxa"/>
            <w:tcBorders>
              <w:top w:val="nil"/>
              <w:left w:val="nil"/>
              <w:bottom w:val="nil"/>
              <w:right w:val="nil"/>
            </w:tcBorders>
          </w:tcPr>
          <w:p w14:paraId="65E16F70" w14:textId="77777777" w:rsidR="00CF0E2D" w:rsidRPr="008F076E" w:rsidRDefault="00CF0E2D" w:rsidP="00A60D4B">
            <w:pPr>
              <w:pStyle w:val="Btabletextunbold"/>
              <w:rPr>
                <w:rFonts w:cs="Calibri"/>
                <w:color w:val="000000"/>
                <w:szCs w:val="20"/>
              </w:rPr>
            </w:pPr>
            <w:r>
              <w:rPr>
                <w:rFonts w:cs="Calibri"/>
                <w:color w:val="000000"/>
                <w:szCs w:val="20"/>
              </w:rPr>
              <w:t>–</w:t>
            </w:r>
            <w:r w:rsidRPr="008F076E">
              <w:rPr>
                <w:rFonts w:cs="Calibri"/>
                <w:color w:val="000000"/>
                <w:szCs w:val="20"/>
              </w:rPr>
              <w:t xml:space="preserve"> Supporting action on climate change</w:t>
            </w:r>
          </w:p>
        </w:tc>
        <w:tc>
          <w:tcPr>
            <w:tcW w:w="1093" w:type="dxa"/>
            <w:tcBorders>
              <w:top w:val="nil"/>
              <w:left w:val="nil"/>
              <w:bottom w:val="nil"/>
              <w:right w:val="nil"/>
            </w:tcBorders>
          </w:tcPr>
          <w:p w14:paraId="147D0364" w14:textId="77777777" w:rsidR="00CF0E2D" w:rsidRPr="00D60558" w:rsidRDefault="00CF0E2D" w:rsidP="00A60D4B">
            <w:pPr>
              <w:pStyle w:val="Btablefigureunbold"/>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1AF7D5CB" w14:textId="77777777" w:rsidR="00CF0E2D" w:rsidRPr="001D4AAB" w:rsidRDefault="00CF0E2D" w:rsidP="00A60D4B">
            <w:pPr>
              <w:pStyle w:val="Btablefigureunbold"/>
              <w:rPr>
                <w:rFonts w:cs="Calibri"/>
                <w:color w:val="000000"/>
                <w:szCs w:val="20"/>
              </w:rPr>
            </w:pPr>
            <w:r w:rsidRPr="001D4AAB">
              <w:rPr>
                <w:rFonts w:cs="Calibri"/>
                <w:color w:val="000000"/>
                <w:szCs w:val="20"/>
              </w:rPr>
              <w:t>319</w:t>
            </w:r>
          </w:p>
        </w:tc>
        <w:tc>
          <w:tcPr>
            <w:tcW w:w="964" w:type="dxa"/>
            <w:gridSpan w:val="2"/>
            <w:tcBorders>
              <w:top w:val="nil"/>
              <w:left w:val="nil"/>
              <w:bottom w:val="nil"/>
              <w:right w:val="nil"/>
            </w:tcBorders>
          </w:tcPr>
          <w:p w14:paraId="30D184A5" w14:textId="77777777" w:rsidR="00CF0E2D" w:rsidRPr="001D4AAB" w:rsidRDefault="00CF0E2D" w:rsidP="00A60D4B">
            <w:pPr>
              <w:pStyle w:val="Btablefigureunbold"/>
              <w:rPr>
                <w:rFonts w:cs="Calibri"/>
                <w:color w:val="000000"/>
                <w:szCs w:val="20"/>
              </w:rPr>
            </w:pPr>
            <w:r w:rsidRPr="001D4AAB">
              <w:rPr>
                <w:rFonts w:cs="Calibri"/>
                <w:color w:val="000000"/>
                <w:szCs w:val="20"/>
              </w:rPr>
              <w:t>261</w:t>
            </w:r>
          </w:p>
        </w:tc>
        <w:tc>
          <w:tcPr>
            <w:tcW w:w="964" w:type="dxa"/>
            <w:gridSpan w:val="2"/>
            <w:tcBorders>
              <w:top w:val="nil"/>
              <w:left w:val="nil"/>
              <w:bottom w:val="nil"/>
              <w:right w:val="nil"/>
            </w:tcBorders>
          </w:tcPr>
          <w:p w14:paraId="70DA74BF" w14:textId="77777777" w:rsidR="00CF0E2D" w:rsidRPr="001D4AAB" w:rsidRDefault="00CF0E2D" w:rsidP="00A60D4B">
            <w:pPr>
              <w:pStyle w:val="Btablefigureunbold"/>
              <w:rPr>
                <w:rFonts w:cs="Calibri"/>
                <w:color w:val="000000"/>
                <w:szCs w:val="20"/>
              </w:rPr>
            </w:pPr>
            <w:r w:rsidRPr="001D4AAB">
              <w:rPr>
                <w:rFonts w:cs="Calibri"/>
                <w:color w:val="000000"/>
                <w:szCs w:val="20"/>
              </w:rPr>
              <w:t>137</w:t>
            </w:r>
          </w:p>
        </w:tc>
        <w:tc>
          <w:tcPr>
            <w:tcW w:w="964" w:type="dxa"/>
            <w:gridSpan w:val="2"/>
            <w:tcBorders>
              <w:top w:val="nil"/>
              <w:left w:val="nil"/>
              <w:bottom w:val="nil"/>
              <w:right w:val="nil"/>
            </w:tcBorders>
          </w:tcPr>
          <w:p w14:paraId="07BDB62E" w14:textId="77777777" w:rsidR="00CF0E2D" w:rsidRPr="001D4AAB" w:rsidRDefault="00CF0E2D" w:rsidP="00A60D4B">
            <w:pPr>
              <w:pStyle w:val="Btablefigureunbold"/>
              <w:rPr>
                <w:rFonts w:cs="Calibri"/>
                <w:color w:val="000000"/>
                <w:szCs w:val="20"/>
              </w:rPr>
            </w:pPr>
            <w:r w:rsidRPr="001D4AAB">
              <w:rPr>
                <w:rFonts w:cs="Calibri"/>
                <w:color w:val="000000"/>
                <w:szCs w:val="20"/>
              </w:rPr>
              <w:t>139</w:t>
            </w:r>
          </w:p>
        </w:tc>
        <w:tc>
          <w:tcPr>
            <w:tcW w:w="954" w:type="dxa"/>
            <w:gridSpan w:val="2"/>
            <w:tcBorders>
              <w:top w:val="nil"/>
              <w:left w:val="nil"/>
              <w:bottom w:val="nil"/>
              <w:right w:val="nil"/>
            </w:tcBorders>
          </w:tcPr>
          <w:p w14:paraId="1402C0AE" w14:textId="77777777" w:rsidR="00CF0E2D" w:rsidRPr="001D4AAB" w:rsidRDefault="00CF0E2D" w:rsidP="00A60D4B">
            <w:pPr>
              <w:pStyle w:val="Btablefigureunbold"/>
              <w:rPr>
                <w:rFonts w:cs="Calibri"/>
                <w:b/>
                <w:bCs/>
                <w:color w:val="000000"/>
                <w:szCs w:val="20"/>
              </w:rPr>
            </w:pPr>
            <w:r w:rsidRPr="001D4AAB">
              <w:rPr>
                <w:rFonts w:cs="Calibri"/>
                <w:b/>
                <w:bCs/>
                <w:color w:val="000000"/>
                <w:szCs w:val="20"/>
              </w:rPr>
              <w:t>856</w:t>
            </w:r>
          </w:p>
        </w:tc>
      </w:tr>
      <w:tr w:rsidR="00CF0E2D" w:rsidRPr="00D60558" w14:paraId="42280690" w14:textId="77777777" w:rsidTr="00A60D4B">
        <w:trPr>
          <w:gridAfter w:val="1"/>
          <w:wAfter w:w="9" w:type="dxa"/>
          <w:jc w:val="center"/>
        </w:trPr>
        <w:tc>
          <w:tcPr>
            <w:tcW w:w="3355" w:type="dxa"/>
            <w:tcBorders>
              <w:top w:val="nil"/>
              <w:left w:val="nil"/>
              <w:bottom w:val="nil"/>
              <w:right w:val="nil"/>
            </w:tcBorders>
          </w:tcPr>
          <w:p w14:paraId="38C8F141" w14:textId="77777777" w:rsidR="00CF0E2D" w:rsidRPr="008F076E" w:rsidRDefault="00CF0E2D" w:rsidP="00A60D4B">
            <w:pPr>
              <w:pStyle w:val="Btabletextunbold"/>
              <w:rPr>
                <w:rFonts w:cs="Calibri"/>
                <w:color w:val="000000"/>
                <w:szCs w:val="20"/>
              </w:rPr>
            </w:pPr>
            <w:r>
              <w:rPr>
                <w:rFonts w:cs="Calibri"/>
                <w:color w:val="000000"/>
                <w:szCs w:val="20"/>
              </w:rPr>
              <w:t>–</w:t>
            </w:r>
            <w:r w:rsidRPr="008F076E">
              <w:rPr>
                <w:rFonts w:cs="Calibri"/>
                <w:color w:val="000000"/>
                <w:szCs w:val="20"/>
              </w:rPr>
              <w:t xml:space="preserve"> Sustainable Household Scheme </w:t>
            </w:r>
          </w:p>
        </w:tc>
        <w:tc>
          <w:tcPr>
            <w:tcW w:w="1093" w:type="dxa"/>
            <w:tcBorders>
              <w:top w:val="nil"/>
              <w:left w:val="nil"/>
              <w:bottom w:val="nil"/>
              <w:right w:val="nil"/>
            </w:tcBorders>
          </w:tcPr>
          <w:p w14:paraId="0FDC26EE" w14:textId="77777777" w:rsidR="00CF0E2D" w:rsidRPr="00D60558" w:rsidRDefault="00CF0E2D" w:rsidP="00A60D4B">
            <w:pPr>
              <w:pStyle w:val="Btablefigureunbold"/>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0BCE238C" w14:textId="77777777" w:rsidR="00CF0E2D" w:rsidRPr="001D4AAB" w:rsidRDefault="00CF0E2D" w:rsidP="00A60D4B">
            <w:pPr>
              <w:pStyle w:val="Btablefigureunbold"/>
              <w:rPr>
                <w:rFonts w:cs="Calibri"/>
                <w:color w:val="000000"/>
                <w:szCs w:val="20"/>
              </w:rPr>
            </w:pPr>
            <w:r w:rsidRPr="001D4AAB">
              <w:rPr>
                <w:rFonts w:cs="Calibri"/>
                <w:szCs w:val="20"/>
              </w:rPr>
              <w:t>-27,555</w:t>
            </w:r>
          </w:p>
        </w:tc>
        <w:tc>
          <w:tcPr>
            <w:tcW w:w="964" w:type="dxa"/>
            <w:gridSpan w:val="2"/>
            <w:tcBorders>
              <w:top w:val="nil"/>
              <w:left w:val="nil"/>
              <w:bottom w:val="nil"/>
              <w:right w:val="nil"/>
            </w:tcBorders>
          </w:tcPr>
          <w:p w14:paraId="7E367657" w14:textId="77777777" w:rsidR="00CF0E2D" w:rsidRPr="001D4AAB" w:rsidRDefault="00CF0E2D" w:rsidP="00A60D4B">
            <w:pPr>
              <w:pStyle w:val="Btablefigureunbold"/>
              <w:rPr>
                <w:rFonts w:cs="Calibri"/>
                <w:color w:val="000000"/>
                <w:szCs w:val="20"/>
              </w:rPr>
            </w:pPr>
            <w:r w:rsidRPr="001D4AAB">
              <w:rPr>
                <w:rFonts w:cs="Calibri"/>
                <w:szCs w:val="20"/>
              </w:rPr>
              <w:t>3,048</w:t>
            </w:r>
          </w:p>
        </w:tc>
        <w:tc>
          <w:tcPr>
            <w:tcW w:w="964" w:type="dxa"/>
            <w:gridSpan w:val="2"/>
            <w:tcBorders>
              <w:top w:val="nil"/>
              <w:left w:val="nil"/>
              <w:bottom w:val="nil"/>
              <w:right w:val="nil"/>
            </w:tcBorders>
          </w:tcPr>
          <w:p w14:paraId="0A66E890" w14:textId="77777777" w:rsidR="00CF0E2D" w:rsidRPr="001D4AAB" w:rsidRDefault="00CF0E2D" w:rsidP="00A60D4B">
            <w:pPr>
              <w:pStyle w:val="Btablefigureunbold"/>
              <w:rPr>
                <w:rFonts w:cs="Calibri"/>
                <w:color w:val="000000"/>
                <w:szCs w:val="20"/>
              </w:rPr>
            </w:pPr>
            <w:r w:rsidRPr="001D4AAB">
              <w:rPr>
                <w:rFonts w:cs="Calibri"/>
                <w:szCs w:val="20"/>
              </w:rPr>
              <w:t>3,120</w:t>
            </w:r>
          </w:p>
        </w:tc>
        <w:tc>
          <w:tcPr>
            <w:tcW w:w="964" w:type="dxa"/>
            <w:gridSpan w:val="2"/>
            <w:tcBorders>
              <w:top w:val="nil"/>
              <w:left w:val="nil"/>
              <w:bottom w:val="nil"/>
              <w:right w:val="nil"/>
            </w:tcBorders>
          </w:tcPr>
          <w:p w14:paraId="28F480A8" w14:textId="77777777" w:rsidR="00CF0E2D" w:rsidRPr="001D4AAB" w:rsidRDefault="00CF0E2D" w:rsidP="00A60D4B">
            <w:pPr>
              <w:pStyle w:val="Btablefigureunbold"/>
              <w:rPr>
                <w:rFonts w:cs="Calibri"/>
                <w:color w:val="000000"/>
                <w:szCs w:val="20"/>
              </w:rPr>
            </w:pPr>
            <w:r w:rsidRPr="001D4AAB">
              <w:rPr>
                <w:rFonts w:cs="Calibri"/>
                <w:szCs w:val="20"/>
              </w:rPr>
              <w:t>21,828</w:t>
            </w:r>
          </w:p>
        </w:tc>
        <w:tc>
          <w:tcPr>
            <w:tcW w:w="954" w:type="dxa"/>
            <w:gridSpan w:val="2"/>
            <w:tcBorders>
              <w:top w:val="nil"/>
              <w:left w:val="nil"/>
              <w:bottom w:val="nil"/>
              <w:right w:val="nil"/>
            </w:tcBorders>
          </w:tcPr>
          <w:p w14:paraId="46F8642E" w14:textId="77777777" w:rsidR="00CF0E2D" w:rsidRPr="001D4AAB" w:rsidRDefault="00CF0E2D" w:rsidP="00A60D4B">
            <w:pPr>
              <w:pStyle w:val="Btablefigureunbold"/>
              <w:rPr>
                <w:rFonts w:cs="Calibri"/>
                <w:b/>
                <w:bCs/>
                <w:color w:val="000000"/>
                <w:szCs w:val="20"/>
              </w:rPr>
            </w:pPr>
            <w:r w:rsidRPr="001D4AAB">
              <w:rPr>
                <w:rFonts w:cs="Calibri"/>
                <w:b/>
                <w:bCs/>
                <w:szCs w:val="20"/>
              </w:rPr>
              <w:t>441</w:t>
            </w:r>
          </w:p>
        </w:tc>
      </w:tr>
      <w:tr w:rsidR="00CF0E2D" w:rsidRPr="00D60558" w14:paraId="01679B3C" w14:textId="77777777" w:rsidTr="00A60D4B">
        <w:trPr>
          <w:gridAfter w:val="1"/>
          <w:wAfter w:w="9" w:type="dxa"/>
          <w:jc w:val="center"/>
        </w:trPr>
        <w:tc>
          <w:tcPr>
            <w:tcW w:w="3355" w:type="dxa"/>
            <w:tcBorders>
              <w:top w:val="nil"/>
              <w:left w:val="nil"/>
              <w:bottom w:val="nil"/>
              <w:right w:val="nil"/>
            </w:tcBorders>
          </w:tcPr>
          <w:p w14:paraId="14909197" w14:textId="77777777" w:rsidR="00CF0E2D" w:rsidRPr="008F076E" w:rsidRDefault="00CF0E2D" w:rsidP="00A60D4B">
            <w:pPr>
              <w:pStyle w:val="Btabletextunbold"/>
              <w:rPr>
                <w:rFonts w:cs="Calibri"/>
                <w:color w:val="000000"/>
                <w:szCs w:val="20"/>
              </w:rPr>
            </w:pPr>
            <w:r>
              <w:rPr>
                <w:rFonts w:cs="Calibri"/>
                <w:color w:val="000000"/>
                <w:szCs w:val="20"/>
              </w:rPr>
              <w:t>–</w:t>
            </w:r>
            <w:r w:rsidRPr="008F076E">
              <w:rPr>
                <w:rFonts w:cs="Calibri"/>
                <w:color w:val="000000"/>
                <w:szCs w:val="20"/>
              </w:rPr>
              <w:t xml:space="preserve"> Sustainable Household Scheme </w:t>
            </w:r>
          </w:p>
        </w:tc>
        <w:tc>
          <w:tcPr>
            <w:tcW w:w="1093" w:type="dxa"/>
            <w:tcBorders>
              <w:top w:val="nil"/>
              <w:left w:val="nil"/>
              <w:bottom w:val="nil"/>
              <w:right w:val="nil"/>
            </w:tcBorders>
          </w:tcPr>
          <w:p w14:paraId="092E0814" w14:textId="77777777" w:rsidR="00CF0E2D" w:rsidRPr="00D60558" w:rsidRDefault="00CF0E2D" w:rsidP="00A60D4B">
            <w:pPr>
              <w:pStyle w:val="Btablefigureunbold"/>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45F89FE9" w14:textId="77777777" w:rsidR="00CF0E2D" w:rsidRPr="001D4AAB" w:rsidRDefault="00CF0E2D" w:rsidP="00A60D4B">
            <w:pPr>
              <w:pStyle w:val="Btablefigureunbold"/>
              <w:rPr>
                <w:rFonts w:cs="Calibri"/>
                <w:color w:val="000000"/>
                <w:szCs w:val="20"/>
              </w:rPr>
            </w:pPr>
            <w:r w:rsidRPr="001D4AAB">
              <w:rPr>
                <w:rFonts w:cs="Calibri"/>
                <w:color w:val="000000"/>
                <w:szCs w:val="20"/>
              </w:rPr>
              <w:t>-5,171</w:t>
            </w:r>
          </w:p>
        </w:tc>
        <w:tc>
          <w:tcPr>
            <w:tcW w:w="964" w:type="dxa"/>
            <w:gridSpan w:val="2"/>
            <w:tcBorders>
              <w:top w:val="nil"/>
              <w:left w:val="nil"/>
              <w:bottom w:val="nil"/>
              <w:right w:val="nil"/>
            </w:tcBorders>
          </w:tcPr>
          <w:p w14:paraId="6E1B93C5" w14:textId="77777777" w:rsidR="00CF0E2D" w:rsidRPr="001D4AAB" w:rsidRDefault="00CF0E2D" w:rsidP="00A60D4B">
            <w:pPr>
              <w:pStyle w:val="Btablefigureunbold"/>
              <w:rPr>
                <w:rFonts w:cs="Calibri"/>
                <w:color w:val="000000"/>
                <w:szCs w:val="20"/>
              </w:rPr>
            </w:pPr>
            <w:r w:rsidRPr="001D4AAB">
              <w:rPr>
                <w:rFonts w:cs="Calibri"/>
                <w:color w:val="000000"/>
                <w:szCs w:val="20"/>
              </w:rPr>
              <w:t>2,098</w:t>
            </w:r>
          </w:p>
        </w:tc>
        <w:tc>
          <w:tcPr>
            <w:tcW w:w="964" w:type="dxa"/>
            <w:gridSpan w:val="2"/>
            <w:tcBorders>
              <w:top w:val="nil"/>
              <w:left w:val="nil"/>
              <w:bottom w:val="nil"/>
              <w:right w:val="nil"/>
            </w:tcBorders>
          </w:tcPr>
          <w:p w14:paraId="3300DC83" w14:textId="77777777" w:rsidR="00CF0E2D" w:rsidRPr="001D4AAB" w:rsidRDefault="00CF0E2D" w:rsidP="00A60D4B">
            <w:pPr>
              <w:pStyle w:val="Btablefigureunbold"/>
              <w:rPr>
                <w:rFonts w:cs="Calibri"/>
                <w:color w:val="000000"/>
                <w:szCs w:val="20"/>
              </w:rPr>
            </w:pPr>
            <w:r w:rsidRPr="001D4AAB">
              <w:rPr>
                <w:rFonts w:cs="Calibri"/>
                <w:color w:val="000000"/>
                <w:szCs w:val="20"/>
              </w:rPr>
              <w:t>1,804</w:t>
            </w:r>
          </w:p>
        </w:tc>
        <w:tc>
          <w:tcPr>
            <w:tcW w:w="964" w:type="dxa"/>
            <w:gridSpan w:val="2"/>
            <w:tcBorders>
              <w:top w:val="nil"/>
              <w:left w:val="nil"/>
              <w:bottom w:val="nil"/>
              <w:right w:val="nil"/>
            </w:tcBorders>
          </w:tcPr>
          <w:p w14:paraId="43184F74" w14:textId="77777777" w:rsidR="00CF0E2D" w:rsidRPr="001D4AAB" w:rsidRDefault="00CF0E2D" w:rsidP="00A60D4B">
            <w:pPr>
              <w:pStyle w:val="Btablefigureunbold"/>
              <w:rPr>
                <w:rFonts w:cs="Calibri"/>
                <w:color w:val="000000"/>
                <w:szCs w:val="20"/>
              </w:rPr>
            </w:pPr>
            <w:r w:rsidRPr="001D4AAB">
              <w:rPr>
                <w:rFonts w:cs="Calibri"/>
                <w:color w:val="000000"/>
                <w:szCs w:val="20"/>
              </w:rPr>
              <w:t>6,871</w:t>
            </w:r>
          </w:p>
        </w:tc>
        <w:tc>
          <w:tcPr>
            <w:tcW w:w="954" w:type="dxa"/>
            <w:gridSpan w:val="2"/>
            <w:tcBorders>
              <w:top w:val="nil"/>
              <w:left w:val="nil"/>
              <w:bottom w:val="nil"/>
              <w:right w:val="nil"/>
            </w:tcBorders>
          </w:tcPr>
          <w:p w14:paraId="16ACE205" w14:textId="77777777" w:rsidR="00CF0E2D" w:rsidRPr="001D4AAB" w:rsidRDefault="00CF0E2D" w:rsidP="00A60D4B">
            <w:pPr>
              <w:pStyle w:val="Btablefigureunbold"/>
              <w:rPr>
                <w:rFonts w:cs="Calibri"/>
                <w:b/>
                <w:bCs/>
                <w:color w:val="000000"/>
                <w:szCs w:val="20"/>
              </w:rPr>
            </w:pPr>
            <w:r w:rsidRPr="001D4AAB">
              <w:rPr>
                <w:rFonts w:cs="Calibri"/>
                <w:b/>
                <w:bCs/>
                <w:color w:val="000000"/>
                <w:szCs w:val="20"/>
              </w:rPr>
              <w:t>5,602</w:t>
            </w:r>
          </w:p>
        </w:tc>
      </w:tr>
      <w:tr w:rsidR="00CF0E2D" w:rsidRPr="00D60558" w14:paraId="6CDE617C" w14:textId="77777777" w:rsidTr="00A60D4B">
        <w:trPr>
          <w:gridAfter w:val="1"/>
          <w:wAfter w:w="9" w:type="dxa"/>
          <w:jc w:val="center"/>
        </w:trPr>
        <w:tc>
          <w:tcPr>
            <w:tcW w:w="3355" w:type="dxa"/>
            <w:tcBorders>
              <w:top w:val="nil"/>
              <w:left w:val="nil"/>
              <w:bottom w:val="nil"/>
              <w:right w:val="nil"/>
            </w:tcBorders>
          </w:tcPr>
          <w:p w14:paraId="7EBAEFDC" w14:textId="77777777" w:rsidR="00CF0E2D" w:rsidRPr="008F076E" w:rsidRDefault="00CF0E2D" w:rsidP="00A60D4B">
            <w:pPr>
              <w:pStyle w:val="Btabletextunbold"/>
              <w:rPr>
                <w:rFonts w:cs="Calibri"/>
                <w:color w:val="000000"/>
                <w:szCs w:val="20"/>
              </w:rPr>
            </w:pPr>
            <w:r w:rsidRPr="008F076E">
              <w:rPr>
                <w:rFonts w:cs="Calibri"/>
                <w:color w:val="000000"/>
                <w:szCs w:val="20"/>
              </w:rPr>
              <w:t>Continuing implementation of the Wellbeing Framework</w:t>
            </w:r>
          </w:p>
        </w:tc>
        <w:tc>
          <w:tcPr>
            <w:tcW w:w="1093" w:type="dxa"/>
            <w:tcBorders>
              <w:top w:val="nil"/>
              <w:left w:val="nil"/>
              <w:bottom w:val="nil"/>
              <w:right w:val="nil"/>
            </w:tcBorders>
          </w:tcPr>
          <w:p w14:paraId="6490CB6C" w14:textId="77777777" w:rsidR="00CF0E2D" w:rsidRPr="00D60558" w:rsidRDefault="00CF0E2D" w:rsidP="00A60D4B">
            <w:pPr>
              <w:pStyle w:val="Btablefigureunbold"/>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21D8E765" w14:textId="77777777" w:rsidR="00CF0E2D" w:rsidRPr="001D4AAB" w:rsidRDefault="00CF0E2D" w:rsidP="00A60D4B">
            <w:pPr>
              <w:pStyle w:val="Btablefigureunbold"/>
              <w:rPr>
                <w:rFonts w:cs="Calibri"/>
                <w:color w:val="000000"/>
                <w:szCs w:val="20"/>
              </w:rPr>
            </w:pPr>
            <w:r w:rsidRPr="001D4AAB">
              <w:rPr>
                <w:rFonts w:cs="Calibri"/>
                <w:color w:val="000000"/>
                <w:szCs w:val="20"/>
              </w:rPr>
              <w:t>513</w:t>
            </w:r>
          </w:p>
        </w:tc>
        <w:tc>
          <w:tcPr>
            <w:tcW w:w="964" w:type="dxa"/>
            <w:gridSpan w:val="2"/>
            <w:tcBorders>
              <w:top w:val="nil"/>
              <w:left w:val="nil"/>
              <w:bottom w:val="nil"/>
              <w:right w:val="nil"/>
            </w:tcBorders>
          </w:tcPr>
          <w:p w14:paraId="1931DC85" w14:textId="77777777" w:rsidR="00CF0E2D" w:rsidRPr="001D4AAB" w:rsidRDefault="00CF0E2D" w:rsidP="00A60D4B">
            <w:pPr>
              <w:pStyle w:val="Btablefigureunbold"/>
              <w:rPr>
                <w:rFonts w:cs="Calibri"/>
                <w:color w:val="000000"/>
                <w:szCs w:val="20"/>
              </w:rPr>
            </w:pPr>
            <w:r w:rsidRPr="001D4AAB">
              <w:rPr>
                <w:rFonts w:cs="Calibri"/>
                <w:color w:val="000000"/>
                <w:szCs w:val="20"/>
              </w:rPr>
              <w:t>936</w:t>
            </w:r>
          </w:p>
        </w:tc>
        <w:tc>
          <w:tcPr>
            <w:tcW w:w="964" w:type="dxa"/>
            <w:gridSpan w:val="2"/>
            <w:tcBorders>
              <w:top w:val="nil"/>
              <w:left w:val="nil"/>
              <w:bottom w:val="nil"/>
              <w:right w:val="nil"/>
            </w:tcBorders>
          </w:tcPr>
          <w:p w14:paraId="28E59117" w14:textId="77777777" w:rsidR="00CF0E2D" w:rsidRPr="001D4AAB" w:rsidRDefault="00CF0E2D" w:rsidP="00A60D4B">
            <w:pPr>
              <w:pStyle w:val="Btablefigureunbold"/>
              <w:rPr>
                <w:rFonts w:cs="Calibri"/>
                <w:color w:val="000000"/>
                <w:szCs w:val="20"/>
              </w:rPr>
            </w:pPr>
            <w:r w:rsidRPr="001D4AAB">
              <w:rPr>
                <w:rFonts w:cs="Calibri"/>
                <w:color w:val="000000"/>
                <w:szCs w:val="20"/>
              </w:rPr>
              <w:t>888</w:t>
            </w:r>
          </w:p>
        </w:tc>
        <w:tc>
          <w:tcPr>
            <w:tcW w:w="964" w:type="dxa"/>
            <w:gridSpan w:val="2"/>
            <w:tcBorders>
              <w:top w:val="nil"/>
              <w:left w:val="nil"/>
              <w:bottom w:val="nil"/>
              <w:right w:val="nil"/>
            </w:tcBorders>
          </w:tcPr>
          <w:p w14:paraId="09FBF0BB" w14:textId="77777777" w:rsidR="00CF0E2D" w:rsidRPr="001D4AAB" w:rsidRDefault="00CF0E2D" w:rsidP="00A60D4B">
            <w:pPr>
              <w:pStyle w:val="Btablefigureunbold"/>
              <w:rPr>
                <w:rFonts w:cs="Calibri"/>
                <w:color w:val="000000"/>
                <w:szCs w:val="20"/>
              </w:rPr>
            </w:pPr>
            <w:r w:rsidRPr="001D4AAB">
              <w:rPr>
                <w:rFonts w:cs="Calibri"/>
                <w:color w:val="000000"/>
                <w:szCs w:val="20"/>
              </w:rPr>
              <w:t>872</w:t>
            </w:r>
          </w:p>
        </w:tc>
        <w:tc>
          <w:tcPr>
            <w:tcW w:w="954" w:type="dxa"/>
            <w:gridSpan w:val="2"/>
            <w:tcBorders>
              <w:top w:val="nil"/>
              <w:left w:val="nil"/>
              <w:bottom w:val="nil"/>
              <w:right w:val="nil"/>
            </w:tcBorders>
          </w:tcPr>
          <w:p w14:paraId="214EF374" w14:textId="77777777" w:rsidR="00CF0E2D" w:rsidRPr="001D4AAB" w:rsidRDefault="00CF0E2D" w:rsidP="00A60D4B">
            <w:pPr>
              <w:pStyle w:val="Btablefigureunbold"/>
              <w:rPr>
                <w:rFonts w:cs="Calibri"/>
                <w:b/>
                <w:bCs/>
                <w:color w:val="000000"/>
                <w:szCs w:val="20"/>
              </w:rPr>
            </w:pPr>
            <w:r w:rsidRPr="001D4AAB">
              <w:rPr>
                <w:rFonts w:cs="Calibri"/>
                <w:b/>
                <w:bCs/>
                <w:color w:val="000000"/>
                <w:szCs w:val="20"/>
              </w:rPr>
              <w:t>3,209</w:t>
            </w:r>
          </w:p>
        </w:tc>
      </w:tr>
      <w:tr w:rsidR="00CF0E2D" w:rsidRPr="00D60558" w14:paraId="03A16CCF" w14:textId="77777777" w:rsidTr="00A60D4B">
        <w:trPr>
          <w:gridAfter w:val="1"/>
          <w:wAfter w:w="9" w:type="dxa"/>
          <w:jc w:val="center"/>
        </w:trPr>
        <w:tc>
          <w:tcPr>
            <w:tcW w:w="3355" w:type="dxa"/>
            <w:tcBorders>
              <w:top w:val="nil"/>
              <w:left w:val="nil"/>
              <w:bottom w:val="nil"/>
              <w:right w:val="nil"/>
            </w:tcBorders>
          </w:tcPr>
          <w:p w14:paraId="2A4EC2AA" w14:textId="77777777" w:rsidR="00CF0E2D" w:rsidRPr="008F076E" w:rsidRDefault="00CF0E2D" w:rsidP="00A60D4B">
            <w:pPr>
              <w:pStyle w:val="Btabletextunbold"/>
              <w:rPr>
                <w:rFonts w:cs="Calibri"/>
                <w:color w:val="000000"/>
                <w:szCs w:val="20"/>
              </w:rPr>
            </w:pPr>
            <w:r w:rsidRPr="008F076E">
              <w:rPr>
                <w:rFonts w:cs="Calibri"/>
                <w:color w:val="000000"/>
                <w:szCs w:val="20"/>
              </w:rPr>
              <w:t xml:space="preserve">Continuing operations at Canberra Olympic Pool </w:t>
            </w:r>
          </w:p>
        </w:tc>
        <w:tc>
          <w:tcPr>
            <w:tcW w:w="1093" w:type="dxa"/>
            <w:tcBorders>
              <w:top w:val="nil"/>
              <w:left w:val="nil"/>
              <w:bottom w:val="nil"/>
              <w:right w:val="nil"/>
            </w:tcBorders>
          </w:tcPr>
          <w:p w14:paraId="2A8ECDE6" w14:textId="77777777" w:rsidR="00CF0E2D" w:rsidRPr="00D60558" w:rsidRDefault="00CF0E2D" w:rsidP="00A60D4B">
            <w:pPr>
              <w:pStyle w:val="Btablefigureunbold"/>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437DB7BD" w14:textId="77777777" w:rsidR="00CF0E2D" w:rsidRPr="001D4AAB" w:rsidRDefault="00CF0E2D" w:rsidP="00A60D4B">
            <w:pPr>
              <w:pStyle w:val="Btablefigureunbold"/>
              <w:rPr>
                <w:rFonts w:cs="Calibri"/>
                <w:color w:val="000000"/>
                <w:szCs w:val="20"/>
              </w:rPr>
            </w:pPr>
            <w:r w:rsidRPr="001D4AAB">
              <w:rPr>
                <w:rFonts w:cs="Calibri"/>
                <w:color w:val="000000"/>
                <w:szCs w:val="20"/>
              </w:rPr>
              <w:t>1,300</w:t>
            </w:r>
          </w:p>
        </w:tc>
        <w:tc>
          <w:tcPr>
            <w:tcW w:w="964" w:type="dxa"/>
            <w:gridSpan w:val="2"/>
            <w:tcBorders>
              <w:top w:val="nil"/>
              <w:left w:val="nil"/>
              <w:bottom w:val="nil"/>
              <w:right w:val="nil"/>
            </w:tcBorders>
          </w:tcPr>
          <w:p w14:paraId="48FE9691"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69E30866"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45C61515"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54" w:type="dxa"/>
            <w:gridSpan w:val="2"/>
            <w:tcBorders>
              <w:top w:val="nil"/>
              <w:left w:val="nil"/>
              <w:bottom w:val="nil"/>
              <w:right w:val="nil"/>
            </w:tcBorders>
          </w:tcPr>
          <w:p w14:paraId="5B23B346" w14:textId="77777777" w:rsidR="00CF0E2D" w:rsidRPr="001D4AAB" w:rsidRDefault="00CF0E2D" w:rsidP="00A60D4B">
            <w:pPr>
              <w:pStyle w:val="Btablefigureunbold"/>
              <w:rPr>
                <w:rFonts w:cs="Calibri"/>
                <w:b/>
                <w:bCs/>
                <w:color w:val="000000"/>
                <w:szCs w:val="20"/>
              </w:rPr>
            </w:pPr>
            <w:r w:rsidRPr="001D4AAB">
              <w:rPr>
                <w:rFonts w:cs="Calibri"/>
                <w:b/>
                <w:bCs/>
                <w:color w:val="000000"/>
                <w:szCs w:val="20"/>
              </w:rPr>
              <w:t>1,300</w:t>
            </w:r>
          </w:p>
        </w:tc>
      </w:tr>
      <w:tr w:rsidR="00CF0E2D" w:rsidRPr="00387F31" w14:paraId="75746A98" w14:textId="77777777" w:rsidTr="00A60D4B">
        <w:trPr>
          <w:gridAfter w:val="1"/>
          <w:wAfter w:w="9" w:type="dxa"/>
          <w:jc w:val="center"/>
        </w:trPr>
        <w:tc>
          <w:tcPr>
            <w:tcW w:w="3355" w:type="dxa"/>
            <w:tcBorders>
              <w:top w:val="nil"/>
              <w:left w:val="nil"/>
              <w:bottom w:val="nil"/>
              <w:right w:val="nil"/>
            </w:tcBorders>
          </w:tcPr>
          <w:p w14:paraId="62D7F5A6" w14:textId="77777777" w:rsidR="00CF0E2D" w:rsidRPr="008F076E" w:rsidRDefault="00CF0E2D" w:rsidP="00A60D4B">
            <w:pPr>
              <w:pStyle w:val="Btabletextunbold"/>
              <w:rPr>
                <w:rFonts w:cs="Calibri"/>
                <w:color w:val="000000"/>
                <w:szCs w:val="20"/>
              </w:rPr>
            </w:pPr>
            <w:r w:rsidRPr="008F076E">
              <w:rPr>
                <w:rFonts w:cs="Calibri"/>
                <w:color w:val="000000"/>
                <w:szCs w:val="20"/>
              </w:rPr>
              <w:t>Coombs Community Facility</w:t>
            </w:r>
          </w:p>
        </w:tc>
        <w:tc>
          <w:tcPr>
            <w:tcW w:w="1093" w:type="dxa"/>
            <w:tcBorders>
              <w:top w:val="nil"/>
              <w:left w:val="nil"/>
              <w:bottom w:val="nil"/>
              <w:right w:val="nil"/>
            </w:tcBorders>
          </w:tcPr>
          <w:p w14:paraId="11F7C0D7" w14:textId="77777777" w:rsidR="00CF0E2D" w:rsidRPr="00D60558" w:rsidRDefault="00CF0E2D" w:rsidP="00A60D4B">
            <w:pPr>
              <w:pStyle w:val="Btablefigureunbold"/>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68ADC248" w14:textId="77777777" w:rsidR="00CF0E2D" w:rsidRPr="001D4AAB" w:rsidRDefault="00CF0E2D" w:rsidP="00A60D4B">
            <w:pPr>
              <w:pStyle w:val="Btablefigureunbold"/>
              <w:rPr>
                <w:rFonts w:cs="Calibri"/>
                <w:color w:val="000000"/>
                <w:szCs w:val="20"/>
              </w:rPr>
            </w:pPr>
            <w:r w:rsidRPr="001D4AAB">
              <w:rPr>
                <w:rFonts w:cs="Calibri"/>
                <w:color w:val="000000"/>
                <w:szCs w:val="20"/>
              </w:rPr>
              <w:t>100</w:t>
            </w:r>
          </w:p>
        </w:tc>
        <w:tc>
          <w:tcPr>
            <w:tcW w:w="964" w:type="dxa"/>
            <w:gridSpan w:val="2"/>
            <w:tcBorders>
              <w:top w:val="nil"/>
              <w:left w:val="nil"/>
              <w:bottom w:val="nil"/>
              <w:right w:val="nil"/>
            </w:tcBorders>
          </w:tcPr>
          <w:p w14:paraId="6D033D9D"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305F9ABC"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5EBFEAF2"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54" w:type="dxa"/>
            <w:gridSpan w:val="2"/>
            <w:tcBorders>
              <w:top w:val="nil"/>
              <w:left w:val="nil"/>
              <w:bottom w:val="nil"/>
              <w:right w:val="nil"/>
            </w:tcBorders>
          </w:tcPr>
          <w:p w14:paraId="03A53F27" w14:textId="77777777" w:rsidR="00CF0E2D" w:rsidRPr="00387F31" w:rsidRDefault="00CF0E2D" w:rsidP="00A60D4B">
            <w:pPr>
              <w:pStyle w:val="Btablefigureunbold"/>
              <w:rPr>
                <w:rFonts w:cs="Calibri"/>
                <w:b/>
                <w:bCs/>
                <w:color w:val="000000"/>
                <w:szCs w:val="20"/>
              </w:rPr>
            </w:pPr>
            <w:r w:rsidRPr="00387F31">
              <w:rPr>
                <w:rFonts w:cs="Calibri"/>
                <w:b/>
                <w:bCs/>
                <w:color w:val="000000"/>
                <w:szCs w:val="20"/>
              </w:rPr>
              <w:t>100</w:t>
            </w:r>
          </w:p>
        </w:tc>
      </w:tr>
      <w:tr w:rsidR="00CF0E2D" w:rsidRPr="00D60558" w14:paraId="5866F8FB" w14:textId="77777777" w:rsidTr="00A60D4B">
        <w:trPr>
          <w:gridAfter w:val="1"/>
          <w:wAfter w:w="9" w:type="dxa"/>
          <w:jc w:val="center"/>
        </w:trPr>
        <w:tc>
          <w:tcPr>
            <w:tcW w:w="3355" w:type="dxa"/>
            <w:tcBorders>
              <w:top w:val="nil"/>
              <w:left w:val="nil"/>
              <w:bottom w:val="nil"/>
              <w:right w:val="nil"/>
            </w:tcBorders>
          </w:tcPr>
          <w:p w14:paraId="0E2A489A" w14:textId="77777777" w:rsidR="00CF0E2D" w:rsidRPr="008F076E" w:rsidRDefault="00CF0E2D" w:rsidP="00A60D4B">
            <w:pPr>
              <w:pStyle w:val="Btabletextunbold"/>
              <w:rPr>
                <w:rFonts w:cs="Calibri"/>
                <w:color w:val="000000"/>
                <w:szCs w:val="20"/>
              </w:rPr>
            </w:pPr>
            <w:r w:rsidRPr="008F076E">
              <w:rPr>
                <w:rFonts w:cs="Calibri"/>
                <w:color w:val="000000"/>
                <w:szCs w:val="20"/>
              </w:rPr>
              <w:t>Coombs Community Facility</w:t>
            </w:r>
          </w:p>
        </w:tc>
        <w:tc>
          <w:tcPr>
            <w:tcW w:w="1093" w:type="dxa"/>
            <w:tcBorders>
              <w:top w:val="nil"/>
              <w:left w:val="nil"/>
              <w:bottom w:val="nil"/>
              <w:right w:val="nil"/>
            </w:tcBorders>
          </w:tcPr>
          <w:p w14:paraId="072FE755" w14:textId="77777777" w:rsidR="00CF0E2D" w:rsidRPr="00D60558" w:rsidRDefault="00CF0E2D" w:rsidP="00A60D4B">
            <w:pPr>
              <w:pStyle w:val="Btablefigureunbold"/>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53CA61DF" w14:textId="77777777" w:rsidR="00CF0E2D" w:rsidRPr="001D4AAB" w:rsidRDefault="00CF0E2D" w:rsidP="00A60D4B">
            <w:pPr>
              <w:pStyle w:val="Btablefigureunbold"/>
              <w:rPr>
                <w:rFonts w:cs="Calibri"/>
                <w:color w:val="000000"/>
                <w:szCs w:val="20"/>
              </w:rPr>
            </w:pPr>
            <w:r w:rsidRPr="001D4AAB">
              <w:rPr>
                <w:rFonts w:cs="Calibri"/>
                <w:color w:val="000000"/>
                <w:szCs w:val="20"/>
              </w:rPr>
              <w:t>67</w:t>
            </w:r>
          </w:p>
        </w:tc>
        <w:tc>
          <w:tcPr>
            <w:tcW w:w="964" w:type="dxa"/>
            <w:gridSpan w:val="2"/>
            <w:tcBorders>
              <w:top w:val="nil"/>
              <w:left w:val="nil"/>
              <w:bottom w:val="nil"/>
              <w:right w:val="nil"/>
            </w:tcBorders>
          </w:tcPr>
          <w:p w14:paraId="1619987B" w14:textId="77777777" w:rsidR="00CF0E2D" w:rsidRPr="001D4AAB" w:rsidRDefault="00CF0E2D" w:rsidP="00A60D4B">
            <w:pPr>
              <w:pStyle w:val="Btablefigureunbold"/>
              <w:rPr>
                <w:rFonts w:cs="Calibri"/>
                <w:color w:val="000000"/>
                <w:szCs w:val="20"/>
              </w:rPr>
            </w:pPr>
            <w:r w:rsidRPr="001D4AAB">
              <w:rPr>
                <w:rFonts w:cs="Calibri"/>
                <w:color w:val="000000"/>
                <w:szCs w:val="20"/>
              </w:rPr>
              <w:t>89</w:t>
            </w:r>
          </w:p>
        </w:tc>
        <w:tc>
          <w:tcPr>
            <w:tcW w:w="964" w:type="dxa"/>
            <w:gridSpan w:val="2"/>
            <w:tcBorders>
              <w:top w:val="nil"/>
              <w:left w:val="nil"/>
              <w:bottom w:val="nil"/>
              <w:right w:val="nil"/>
            </w:tcBorders>
          </w:tcPr>
          <w:p w14:paraId="6EFB72CF" w14:textId="77777777" w:rsidR="00CF0E2D" w:rsidRPr="001D4AAB" w:rsidRDefault="00CF0E2D" w:rsidP="00A60D4B">
            <w:pPr>
              <w:pStyle w:val="Btablefigureunbold"/>
              <w:rPr>
                <w:rFonts w:cs="Calibri"/>
                <w:color w:val="000000"/>
                <w:szCs w:val="20"/>
              </w:rPr>
            </w:pPr>
            <w:r w:rsidRPr="001D4AAB">
              <w:rPr>
                <w:rFonts w:cs="Calibri"/>
                <w:color w:val="000000"/>
                <w:szCs w:val="20"/>
              </w:rPr>
              <w:t>91</w:t>
            </w:r>
          </w:p>
        </w:tc>
        <w:tc>
          <w:tcPr>
            <w:tcW w:w="964" w:type="dxa"/>
            <w:gridSpan w:val="2"/>
            <w:tcBorders>
              <w:top w:val="nil"/>
              <w:left w:val="nil"/>
              <w:bottom w:val="nil"/>
              <w:right w:val="nil"/>
            </w:tcBorders>
          </w:tcPr>
          <w:p w14:paraId="3F705E05" w14:textId="77777777" w:rsidR="00CF0E2D" w:rsidRPr="001D4AAB" w:rsidRDefault="00CF0E2D" w:rsidP="00A60D4B">
            <w:pPr>
              <w:pStyle w:val="Btablefigureunbold"/>
              <w:rPr>
                <w:rFonts w:cs="Calibri"/>
                <w:color w:val="000000"/>
                <w:szCs w:val="20"/>
              </w:rPr>
            </w:pPr>
            <w:r w:rsidRPr="001D4AAB">
              <w:rPr>
                <w:rFonts w:cs="Calibri"/>
                <w:color w:val="000000"/>
                <w:szCs w:val="20"/>
              </w:rPr>
              <w:t>93</w:t>
            </w:r>
          </w:p>
        </w:tc>
        <w:tc>
          <w:tcPr>
            <w:tcW w:w="954" w:type="dxa"/>
            <w:gridSpan w:val="2"/>
            <w:tcBorders>
              <w:top w:val="nil"/>
              <w:left w:val="nil"/>
              <w:bottom w:val="nil"/>
              <w:right w:val="nil"/>
            </w:tcBorders>
          </w:tcPr>
          <w:p w14:paraId="54D3B22B" w14:textId="77777777" w:rsidR="00CF0E2D" w:rsidRPr="00387F31" w:rsidRDefault="00CF0E2D" w:rsidP="00A60D4B">
            <w:pPr>
              <w:pStyle w:val="Btablefigureunbold"/>
              <w:rPr>
                <w:rFonts w:cs="Calibri"/>
                <w:b/>
                <w:bCs/>
                <w:color w:val="000000"/>
                <w:szCs w:val="20"/>
              </w:rPr>
            </w:pPr>
            <w:r w:rsidRPr="00387F31">
              <w:rPr>
                <w:rFonts w:cs="Calibri"/>
                <w:b/>
                <w:bCs/>
                <w:color w:val="000000"/>
                <w:szCs w:val="20"/>
              </w:rPr>
              <w:t>340</w:t>
            </w:r>
          </w:p>
        </w:tc>
      </w:tr>
      <w:tr w:rsidR="00387F31" w:rsidRPr="00D60558" w14:paraId="3E9939AC" w14:textId="77777777" w:rsidTr="00A60D4B">
        <w:trPr>
          <w:gridAfter w:val="1"/>
          <w:wAfter w:w="9" w:type="dxa"/>
          <w:jc w:val="center"/>
        </w:trPr>
        <w:tc>
          <w:tcPr>
            <w:tcW w:w="3355" w:type="dxa"/>
            <w:tcBorders>
              <w:top w:val="nil"/>
              <w:left w:val="nil"/>
              <w:bottom w:val="nil"/>
              <w:right w:val="nil"/>
            </w:tcBorders>
          </w:tcPr>
          <w:p w14:paraId="7FB46949" w14:textId="77777777" w:rsidR="00387F31" w:rsidRDefault="00387F31" w:rsidP="00A60D4B">
            <w:pPr>
              <w:pStyle w:val="Btabletextunbold"/>
              <w:rPr>
                <w:rFonts w:cs="Calibri"/>
                <w:color w:val="000000"/>
                <w:szCs w:val="20"/>
              </w:rPr>
            </w:pPr>
          </w:p>
          <w:p w14:paraId="605F9E6C" w14:textId="77777777" w:rsidR="00387F31" w:rsidRDefault="00387F31" w:rsidP="00A60D4B">
            <w:pPr>
              <w:pStyle w:val="Btabletextunbold"/>
              <w:rPr>
                <w:rFonts w:cs="Calibri"/>
                <w:color w:val="000000"/>
                <w:szCs w:val="20"/>
              </w:rPr>
            </w:pPr>
          </w:p>
          <w:p w14:paraId="05043289" w14:textId="226A3AD4" w:rsidR="00387F31" w:rsidRPr="008F076E" w:rsidRDefault="00387F31" w:rsidP="00A60D4B">
            <w:pPr>
              <w:pStyle w:val="Btabletextunbold"/>
              <w:rPr>
                <w:rFonts w:cs="Calibri"/>
                <w:color w:val="000000"/>
                <w:szCs w:val="20"/>
              </w:rPr>
            </w:pPr>
          </w:p>
        </w:tc>
        <w:tc>
          <w:tcPr>
            <w:tcW w:w="1093" w:type="dxa"/>
            <w:tcBorders>
              <w:top w:val="nil"/>
              <w:left w:val="nil"/>
              <w:bottom w:val="nil"/>
              <w:right w:val="nil"/>
            </w:tcBorders>
          </w:tcPr>
          <w:p w14:paraId="0D1373EF" w14:textId="77777777" w:rsidR="00387F31" w:rsidRDefault="00387F31" w:rsidP="00A60D4B">
            <w:pPr>
              <w:pStyle w:val="Btablefigureunbold"/>
              <w:jc w:val="left"/>
              <w:rPr>
                <w:rFonts w:cs="Calibri"/>
                <w:color w:val="000000"/>
                <w:szCs w:val="20"/>
              </w:rPr>
            </w:pPr>
          </w:p>
        </w:tc>
        <w:tc>
          <w:tcPr>
            <w:tcW w:w="964" w:type="dxa"/>
            <w:gridSpan w:val="2"/>
            <w:tcBorders>
              <w:top w:val="nil"/>
              <w:left w:val="nil"/>
              <w:bottom w:val="nil"/>
              <w:right w:val="nil"/>
            </w:tcBorders>
          </w:tcPr>
          <w:p w14:paraId="3E535A36" w14:textId="77777777" w:rsidR="00387F31" w:rsidRPr="001D4AAB" w:rsidRDefault="00387F31" w:rsidP="00A60D4B">
            <w:pPr>
              <w:pStyle w:val="Btablefigureunbold"/>
              <w:rPr>
                <w:rFonts w:cs="Calibri"/>
                <w:color w:val="000000"/>
                <w:szCs w:val="20"/>
              </w:rPr>
            </w:pPr>
          </w:p>
        </w:tc>
        <w:tc>
          <w:tcPr>
            <w:tcW w:w="964" w:type="dxa"/>
            <w:gridSpan w:val="2"/>
            <w:tcBorders>
              <w:top w:val="nil"/>
              <w:left w:val="nil"/>
              <w:bottom w:val="nil"/>
              <w:right w:val="nil"/>
            </w:tcBorders>
          </w:tcPr>
          <w:p w14:paraId="1EB8A0E9" w14:textId="77777777" w:rsidR="00387F31" w:rsidRPr="001D4AAB" w:rsidRDefault="00387F31" w:rsidP="00A60D4B">
            <w:pPr>
              <w:pStyle w:val="Btablefigureunbold"/>
              <w:rPr>
                <w:rFonts w:cs="Calibri"/>
                <w:color w:val="000000"/>
                <w:szCs w:val="20"/>
              </w:rPr>
            </w:pPr>
          </w:p>
        </w:tc>
        <w:tc>
          <w:tcPr>
            <w:tcW w:w="964" w:type="dxa"/>
            <w:gridSpan w:val="2"/>
            <w:tcBorders>
              <w:top w:val="nil"/>
              <w:left w:val="nil"/>
              <w:bottom w:val="nil"/>
              <w:right w:val="nil"/>
            </w:tcBorders>
          </w:tcPr>
          <w:p w14:paraId="2C01D593" w14:textId="77777777" w:rsidR="00387F31" w:rsidRPr="001D4AAB" w:rsidRDefault="00387F31" w:rsidP="00A60D4B">
            <w:pPr>
              <w:pStyle w:val="Btablefigureunbold"/>
              <w:rPr>
                <w:rFonts w:cs="Calibri"/>
                <w:color w:val="000000"/>
                <w:szCs w:val="20"/>
              </w:rPr>
            </w:pPr>
          </w:p>
        </w:tc>
        <w:tc>
          <w:tcPr>
            <w:tcW w:w="964" w:type="dxa"/>
            <w:gridSpan w:val="2"/>
            <w:tcBorders>
              <w:top w:val="nil"/>
              <w:left w:val="nil"/>
              <w:bottom w:val="nil"/>
              <w:right w:val="nil"/>
            </w:tcBorders>
          </w:tcPr>
          <w:p w14:paraId="5D6B3474" w14:textId="77777777" w:rsidR="00387F31" w:rsidRPr="001D4AAB" w:rsidRDefault="00387F31" w:rsidP="00A60D4B">
            <w:pPr>
              <w:pStyle w:val="Btablefigureunbold"/>
              <w:rPr>
                <w:rFonts w:cs="Calibri"/>
                <w:color w:val="000000"/>
                <w:szCs w:val="20"/>
              </w:rPr>
            </w:pPr>
          </w:p>
        </w:tc>
        <w:tc>
          <w:tcPr>
            <w:tcW w:w="954" w:type="dxa"/>
            <w:gridSpan w:val="2"/>
            <w:tcBorders>
              <w:top w:val="nil"/>
              <w:left w:val="nil"/>
              <w:bottom w:val="nil"/>
              <w:right w:val="nil"/>
            </w:tcBorders>
          </w:tcPr>
          <w:p w14:paraId="74C82DFD" w14:textId="77777777" w:rsidR="00387F31" w:rsidRPr="00387F31" w:rsidRDefault="00387F31" w:rsidP="00A60D4B">
            <w:pPr>
              <w:pStyle w:val="Btablefigureunbold"/>
              <w:rPr>
                <w:rFonts w:cs="Calibri"/>
                <w:b/>
                <w:bCs/>
                <w:color w:val="000000"/>
                <w:szCs w:val="20"/>
              </w:rPr>
            </w:pPr>
          </w:p>
        </w:tc>
      </w:tr>
      <w:tr w:rsidR="00CF0E2D" w:rsidRPr="00D60558" w14:paraId="05A99A89" w14:textId="77777777" w:rsidTr="00A60D4B">
        <w:trPr>
          <w:gridAfter w:val="1"/>
          <w:wAfter w:w="9" w:type="dxa"/>
          <w:jc w:val="center"/>
        </w:trPr>
        <w:tc>
          <w:tcPr>
            <w:tcW w:w="3355" w:type="dxa"/>
            <w:tcBorders>
              <w:top w:val="nil"/>
              <w:left w:val="nil"/>
              <w:bottom w:val="nil"/>
              <w:right w:val="nil"/>
            </w:tcBorders>
          </w:tcPr>
          <w:p w14:paraId="016A9B77" w14:textId="77777777" w:rsidR="00CF0E2D" w:rsidRPr="005357CD" w:rsidRDefault="00CF0E2D" w:rsidP="00A60D4B">
            <w:pPr>
              <w:pStyle w:val="Btabletextunbold"/>
              <w:rPr>
                <w:rFonts w:cs="Calibri"/>
                <w:i/>
                <w:iCs/>
                <w:color w:val="000000"/>
                <w:szCs w:val="20"/>
              </w:rPr>
            </w:pPr>
            <w:r w:rsidRPr="005357CD">
              <w:rPr>
                <w:rFonts w:cs="Calibri"/>
                <w:i/>
                <w:iCs/>
                <w:color w:val="000000"/>
                <w:szCs w:val="20"/>
              </w:rPr>
              <w:lastRenderedPageBreak/>
              <w:t>COVID-19 Business Support</w:t>
            </w:r>
          </w:p>
        </w:tc>
        <w:tc>
          <w:tcPr>
            <w:tcW w:w="1093" w:type="dxa"/>
            <w:tcBorders>
              <w:top w:val="nil"/>
              <w:left w:val="nil"/>
              <w:bottom w:val="nil"/>
              <w:right w:val="nil"/>
            </w:tcBorders>
          </w:tcPr>
          <w:p w14:paraId="71DAD561" w14:textId="77777777" w:rsidR="00CF0E2D" w:rsidRDefault="00CF0E2D" w:rsidP="00A60D4B">
            <w:pPr>
              <w:pStyle w:val="Btablefigureunbold"/>
              <w:jc w:val="left"/>
              <w:rPr>
                <w:rFonts w:cs="Calibri"/>
                <w:color w:val="000000"/>
                <w:szCs w:val="20"/>
              </w:rPr>
            </w:pPr>
          </w:p>
        </w:tc>
        <w:tc>
          <w:tcPr>
            <w:tcW w:w="964" w:type="dxa"/>
            <w:gridSpan w:val="2"/>
            <w:tcBorders>
              <w:top w:val="nil"/>
              <w:left w:val="nil"/>
              <w:bottom w:val="nil"/>
              <w:right w:val="nil"/>
            </w:tcBorders>
          </w:tcPr>
          <w:p w14:paraId="7338F06F" w14:textId="77777777" w:rsidR="00CF0E2D" w:rsidRPr="001D4AAB"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6A6CC3FD" w14:textId="77777777" w:rsidR="00CF0E2D" w:rsidRPr="001D4AAB"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69A7AFE0" w14:textId="77777777" w:rsidR="00CF0E2D" w:rsidRPr="001D4AAB"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611324F3" w14:textId="77777777" w:rsidR="00CF0E2D" w:rsidRPr="001D4AAB" w:rsidRDefault="00CF0E2D" w:rsidP="00A60D4B">
            <w:pPr>
              <w:pStyle w:val="Btablefigureunbold"/>
              <w:rPr>
                <w:rFonts w:cs="Calibri"/>
                <w:color w:val="000000"/>
                <w:szCs w:val="20"/>
              </w:rPr>
            </w:pPr>
          </w:p>
        </w:tc>
        <w:tc>
          <w:tcPr>
            <w:tcW w:w="954" w:type="dxa"/>
            <w:gridSpan w:val="2"/>
            <w:tcBorders>
              <w:top w:val="nil"/>
              <w:left w:val="nil"/>
              <w:bottom w:val="nil"/>
              <w:right w:val="nil"/>
            </w:tcBorders>
          </w:tcPr>
          <w:p w14:paraId="367D72CB" w14:textId="77777777" w:rsidR="00CF0E2D" w:rsidRPr="001D4AAB" w:rsidRDefault="00CF0E2D" w:rsidP="00A60D4B">
            <w:pPr>
              <w:pStyle w:val="Btablefigureunbold"/>
              <w:rPr>
                <w:rFonts w:cs="Calibri"/>
                <w:color w:val="000000"/>
                <w:szCs w:val="20"/>
              </w:rPr>
            </w:pPr>
          </w:p>
        </w:tc>
      </w:tr>
      <w:tr w:rsidR="00CF0E2D" w:rsidRPr="00D60558" w14:paraId="27B75BF1" w14:textId="77777777" w:rsidTr="00A60D4B">
        <w:trPr>
          <w:gridAfter w:val="1"/>
          <w:wAfter w:w="9" w:type="dxa"/>
          <w:jc w:val="center"/>
        </w:trPr>
        <w:tc>
          <w:tcPr>
            <w:tcW w:w="3355" w:type="dxa"/>
            <w:tcBorders>
              <w:top w:val="nil"/>
              <w:left w:val="nil"/>
              <w:bottom w:val="nil"/>
              <w:right w:val="nil"/>
            </w:tcBorders>
            <w:vAlign w:val="center"/>
          </w:tcPr>
          <w:p w14:paraId="569A2381" w14:textId="77777777" w:rsidR="00CF0E2D" w:rsidRPr="007219A0" w:rsidRDefault="00CF0E2D" w:rsidP="00A60D4B">
            <w:pPr>
              <w:pStyle w:val="Btabletextunbold"/>
              <w:rPr>
                <w:rFonts w:cs="Calibri"/>
                <w:color w:val="000000"/>
                <w:szCs w:val="20"/>
              </w:rPr>
            </w:pPr>
            <w:r w:rsidRPr="007219A0">
              <w:rPr>
                <w:rFonts w:cs="Calibri"/>
                <w:color w:val="000000"/>
                <w:szCs w:val="20"/>
              </w:rPr>
              <w:t>– Business Support Grants and Extension Payments</w:t>
            </w:r>
          </w:p>
        </w:tc>
        <w:tc>
          <w:tcPr>
            <w:tcW w:w="1093" w:type="dxa"/>
            <w:tcBorders>
              <w:top w:val="nil"/>
              <w:left w:val="nil"/>
              <w:bottom w:val="nil"/>
              <w:right w:val="nil"/>
            </w:tcBorders>
          </w:tcPr>
          <w:p w14:paraId="7250EC5E" w14:textId="77777777" w:rsidR="00CF0E2D" w:rsidRPr="00D60558" w:rsidRDefault="00CF0E2D" w:rsidP="00A60D4B">
            <w:pPr>
              <w:pStyle w:val="Btablefigureunbold"/>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2588D08E" w14:textId="77777777" w:rsidR="00CF0E2D" w:rsidRPr="001D4AAB" w:rsidRDefault="00CF0E2D" w:rsidP="00A60D4B">
            <w:pPr>
              <w:pStyle w:val="Btablefigureunbold"/>
              <w:rPr>
                <w:rFonts w:cs="Calibri"/>
                <w:color w:val="000000"/>
                <w:szCs w:val="20"/>
              </w:rPr>
            </w:pPr>
            <w:r w:rsidRPr="001D4AAB">
              <w:rPr>
                <w:rFonts w:cs="Calibri"/>
                <w:color w:val="000000"/>
                <w:szCs w:val="20"/>
              </w:rPr>
              <w:t>146,313</w:t>
            </w:r>
          </w:p>
        </w:tc>
        <w:tc>
          <w:tcPr>
            <w:tcW w:w="964" w:type="dxa"/>
            <w:gridSpan w:val="2"/>
            <w:tcBorders>
              <w:top w:val="nil"/>
              <w:left w:val="nil"/>
              <w:bottom w:val="nil"/>
              <w:right w:val="nil"/>
            </w:tcBorders>
          </w:tcPr>
          <w:p w14:paraId="0CB59B8D"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2E1D1A09"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2D7C8C62"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54" w:type="dxa"/>
            <w:gridSpan w:val="2"/>
            <w:tcBorders>
              <w:top w:val="nil"/>
              <w:left w:val="nil"/>
              <w:bottom w:val="nil"/>
              <w:right w:val="nil"/>
            </w:tcBorders>
          </w:tcPr>
          <w:p w14:paraId="1E225F86" w14:textId="77777777" w:rsidR="00CF0E2D" w:rsidRPr="00387F31" w:rsidRDefault="00CF0E2D" w:rsidP="00A60D4B">
            <w:pPr>
              <w:pStyle w:val="Btablefigureunbold"/>
              <w:rPr>
                <w:rFonts w:cs="Calibri"/>
                <w:b/>
                <w:bCs/>
                <w:color w:val="000000"/>
                <w:szCs w:val="20"/>
              </w:rPr>
            </w:pPr>
            <w:r w:rsidRPr="00387F31">
              <w:rPr>
                <w:rFonts w:cs="Calibri"/>
                <w:b/>
                <w:bCs/>
                <w:color w:val="000000"/>
                <w:szCs w:val="20"/>
              </w:rPr>
              <w:t>146,313</w:t>
            </w:r>
          </w:p>
        </w:tc>
      </w:tr>
      <w:tr w:rsidR="00CF0E2D" w:rsidRPr="00D60558" w14:paraId="59EBDB4B" w14:textId="77777777" w:rsidTr="00A60D4B">
        <w:trPr>
          <w:gridAfter w:val="1"/>
          <w:wAfter w:w="9" w:type="dxa"/>
          <w:jc w:val="center"/>
        </w:trPr>
        <w:tc>
          <w:tcPr>
            <w:tcW w:w="3355" w:type="dxa"/>
            <w:tcBorders>
              <w:top w:val="nil"/>
              <w:left w:val="nil"/>
              <w:bottom w:val="nil"/>
              <w:right w:val="nil"/>
            </w:tcBorders>
            <w:vAlign w:val="center"/>
          </w:tcPr>
          <w:p w14:paraId="404EF23C" w14:textId="77777777" w:rsidR="00CF0E2D" w:rsidRPr="007219A0" w:rsidRDefault="00CF0E2D" w:rsidP="00A60D4B">
            <w:pPr>
              <w:pStyle w:val="Btabletextunbold"/>
              <w:rPr>
                <w:rFonts w:cs="Calibri"/>
                <w:color w:val="000000"/>
                <w:szCs w:val="20"/>
              </w:rPr>
            </w:pPr>
            <w:r w:rsidRPr="007219A0">
              <w:rPr>
                <w:rFonts w:cs="Calibri"/>
                <w:color w:val="000000"/>
                <w:szCs w:val="20"/>
              </w:rPr>
              <w:t>– Commercial tenancy assistance</w:t>
            </w:r>
          </w:p>
        </w:tc>
        <w:tc>
          <w:tcPr>
            <w:tcW w:w="1093" w:type="dxa"/>
            <w:tcBorders>
              <w:top w:val="nil"/>
              <w:left w:val="nil"/>
              <w:bottom w:val="nil"/>
              <w:right w:val="nil"/>
            </w:tcBorders>
          </w:tcPr>
          <w:p w14:paraId="2FAFBECA" w14:textId="77777777" w:rsidR="00CF0E2D" w:rsidRPr="00D60558" w:rsidRDefault="00CF0E2D" w:rsidP="00A60D4B">
            <w:pPr>
              <w:pStyle w:val="Btablefigureunbold"/>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043720CE" w14:textId="77777777" w:rsidR="00CF0E2D" w:rsidRPr="001D4AAB" w:rsidRDefault="00CF0E2D" w:rsidP="00A60D4B">
            <w:pPr>
              <w:pStyle w:val="Btablefigureunbold"/>
              <w:rPr>
                <w:rFonts w:cs="Calibri"/>
                <w:color w:val="000000"/>
                <w:szCs w:val="20"/>
              </w:rPr>
            </w:pPr>
            <w:r>
              <w:rPr>
                <w:rFonts w:cs="Calibri"/>
                <w:color w:val="000000"/>
                <w:szCs w:val="20"/>
              </w:rPr>
              <w:t>5,710</w:t>
            </w:r>
          </w:p>
        </w:tc>
        <w:tc>
          <w:tcPr>
            <w:tcW w:w="964" w:type="dxa"/>
            <w:gridSpan w:val="2"/>
            <w:tcBorders>
              <w:top w:val="nil"/>
              <w:left w:val="nil"/>
              <w:bottom w:val="nil"/>
              <w:right w:val="nil"/>
            </w:tcBorders>
          </w:tcPr>
          <w:p w14:paraId="51F23502"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53E87414"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17BA01C1"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54" w:type="dxa"/>
            <w:gridSpan w:val="2"/>
            <w:tcBorders>
              <w:top w:val="nil"/>
              <w:left w:val="nil"/>
              <w:bottom w:val="nil"/>
              <w:right w:val="nil"/>
            </w:tcBorders>
          </w:tcPr>
          <w:p w14:paraId="55E1FE76" w14:textId="77777777" w:rsidR="00CF0E2D" w:rsidRPr="00387F31" w:rsidRDefault="00CF0E2D" w:rsidP="00A60D4B">
            <w:pPr>
              <w:pStyle w:val="Btablefigureunbold"/>
              <w:rPr>
                <w:rFonts w:cs="Calibri"/>
                <w:b/>
                <w:bCs/>
                <w:color w:val="000000"/>
                <w:szCs w:val="20"/>
              </w:rPr>
            </w:pPr>
            <w:r w:rsidRPr="00387F31">
              <w:rPr>
                <w:rFonts w:cs="Calibri"/>
                <w:b/>
                <w:bCs/>
                <w:color w:val="000000"/>
                <w:szCs w:val="20"/>
              </w:rPr>
              <w:t>5,710</w:t>
            </w:r>
          </w:p>
        </w:tc>
      </w:tr>
      <w:tr w:rsidR="00CF0E2D" w:rsidRPr="00D60558" w14:paraId="13311E3A" w14:textId="77777777" w:rsidTr="00A60D4B">
        <w:trPr>
          <w:gridAfter w:val="1"/>
          <w:wAfter w:w="9" w:type="dxa"/>
          <w:jc w:val="center"/>
        </w:trPr>
        <w:tc>
          <w:tcPr>
            <w:tcW w:w="3355" w:type="dxa"/>
            <w:tcBorders>
              <w:top w:val="nil"/>
              <w:left w:val="nil"/>
              <w:bottom w:val="nil"/>
              <w:right w:val="nil"/>
            </w:tcBorders>
            <w:vAlign w:val="center"/>
          </w:tcPr>
          <w:p w14:paraId="4848B1B3" w14:textId="77777777" w:rsidR="00CF0E2D" w:rsidRPr="007219A0" w:rsidRDefault="00CF0E2D" w:rsidP="00A60D4B">
            <w:pPr>
              <w:pStyle w:val="Btabletextunbold"/>
              <w:rPr>
                <w:rFonts w:cs="Calibri"/>
                <w:color w:val="000000"/>
                <w:szCs w:val="20"/>
              </w:rPr>
            </w:pPr>
            <w:r w:rsidRPr="007219A0">
              <w:rPr>
                <w:rFonts w:cs="Calibri"/>
                <w:color w:val="000000"/>
                <w:szCs w:val="20"/>
              </w:rPr>
              <w:t xml:space="preserve">– Fee reduction </w:t>
            </w:r>
          </w:p>
        </w:tc>
        <w:tc>
          <w:tcPr>
            <w:tcW w:w="1093" w:type="dxa"/>
            <w:tcBorders>
              <w:top w:val="nil"/>
              <w:left w:val="nil"/>
              <w:bottom w:val="nil"/>
              <w:right w:val="nil"/>
            </w:tcBorders>
          </w:tcPr>
          <w:p w14:paraId="27D5F79F"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56894F33" w14:textId="77777777" w:rsidR="00CF0E2D" w:rsidRPr="001D4AAB" w:rsidRDefault="00CF0E2D" w:rsidP="00A60D4B">
            <w:pPr>
              <w:pStyle w:val="Btablefigureunbold"/>
              <w:rPr>
                <w:szCs w:val="20"/>
              </w:rPr>
            </w:pPr>
            <w:r w:rsidRPr="001D4AAB">
              <w:rPr>
                <w:rFonts w:cs="Calibri"/>
                <w:color w:val="000000"/>
                <w:szCs w:val="20"/>
              </w:rPr>
              <w:t>0</w:t>
            </w:r>
          </w:p>
        </w:tc>
        <w:tc>
          <w:tcPr>
            <w:tcW w:w="964" w:type="dxa"/>
            <w:gridSpan w:val="2"/>
            <w:tcBorders>
              <w:top w:val="nil"/>
              <w:left w:val="nil"/>
              <w:bottom w:val="nil"/>
              <w:right w:val="nil"/>
            </w:tcBorders>
          </w:tcPr>
          <w:p w14:paraId="6CB03975" w14:textId="77777777" w:rsidR="00CF0E2D" w:rsidRPr="001D4AAB" w:rsidRDefault="00CF0E2D" w:rsidP="00A60D4B">
            <w:pPr>
              <w:pStyle w:val="Btablefigureunbold"/>
              <w:rPr>
                <w:szCs w:val="20"/>
              </w:rPr>
            </w:pPr>
            <w:r w:rsidRPr="001D4AAB">
              <w:rPr>
                <w:rFonts w:cs="Calibri"/>
                <w:color w:val="000000"/>
                <w:szCs w:val="20"/>
              </w:rPr>
              <w:t>0</w:t>
            </w:r>
          </w:p>
        </w:tc>
        <w:tc>
          <w:tcPr>
            <w:tcW w:w="964" w:type="dxa"/>
            <w:gridSpan w:val="2"/>
            <w:tcBorders>
              <w:top w:val="nil"/>
              <w:left w:val="nil"/>
              <w:bottom w:val="nil"/>
              <w:right w:val="nil"/>
            </w:tcBorders>
          </w:tcPr>
          <w:p w14:paraId="3F9926DA" w14:textId="77777777" w:rsidR="00CF0E2D" w:rsidRPr="001D4AAB" w:rsidRDefault="00CF0E2D" w:rsidP="00A60D4B">
            <w:pPr>
              <w:pStyle w:val="Btablefigureunbold"/>
              <w:rPr>
                <w:szCs w:val="20"/>
              </w:rPr>
            </w:pPr>
            <w:r w:rsidRPr="001D4AAB">
              <w:rPr>
                <w:rFonts w:cs="Calibri"/>
                <w:color w:val="000000"/>
                <w:szCs w:val="20"/>
              </w:rPr>
              <w:t>0</w:t>
            </w:r>
          </w:p>
        </w:tc>
        <w:tc>
          <w:tcPr>
            <w:tcW w:w="964" w:type="dxa"/>
            <w:gridSpan w:val="2"/>
            <w:tcBorders>
              <w:top w:val="nil"/>
              <w:left w:val="nil"/>
              <w:bottom w:val="nil"/>
              <w:right w:val="nil"/>
            </w:tcBorders>
          </w:tcPr>
          <w:p w14:paraId="71746204" w14:textId="77777777" w:rsidR="00CF0E2D" w:rsidRPr="001D4AAB" w:rsidRDefault="00CF0E2D" w:rsidP="00A60D4B">
            <w:pPr>
              <w:pStyle w:val="Btablefigureunbold"/>
              <w:rPr>
                <w:szCs w:val="20"/>
              </w:rPr>
            </w:pPr>
            <w:r w:rsidRPr="001D4AAB">
              <w:rPr>
                <w:rFonts w:cs="Calibri"/>
                <w:color w:val="000000"/>
                <w:szCs w:val="20"/>
              </w:rPr>
              <w:t>0</w:t>
            </w:r>
          </w:p>
        </w:tc>
        <w:tc>
          <w:tcPr>
            <w:tcW w:w="954" w:type="dxa"/>
            <w:gridSpan w:val="2"/>
            <w:tcBorders>
              <w:top w:val="nil"/>
              <w:left w:val="nil"/>
              <w:bottom w:val="nil"/>
              <w:right w:val="nil"/>
            </w:tcBorders>
          </w:tcPr>
          <w:p w14:paraId="18E13814" w14:textId="77777777" w:rsidR="00CF0E2D" w:rsidRPr="00387F31" w:rsidRDefault="00CF0E2D" w:rsidP="00A60D4B">
            <w:pPr>
              <w:pStyle w:val="Btablefigureunbold"/>
              <w:rPr>
                <w:b/>
                <w:bCs/>
                <w:szCs w:val="20"/>
              </w:rPr>
            </w:pPr>
            <w:r w:rsidRPr="00387F31">
              <w:rPr>
                <w:rFonts w:cs="Calibri"/>
                <w:b/>
                <w:bCs/>
                <w:color w:val="000000"/>
                <w:szCs w:val="20"/>
              </w:rPr>
              <w:t>0</w:t>
            </w:r>
          </w:p>
        </w:tc>
      </w:tr>
      <w:tr w:rsidR="00CF0E2D" w:rsidRPr="00D60558" w14:paraId="5D5A395A" w14:textId="77777777" w:rsidTr="00A60D4B">
        <w:trPr>
          <w:gridAfter w:val="1"/>
          <w:wAfter w:w="9" w:type="dxa"/>
          <w:jc w:val="center"/>
        </w:trPr>
        <w:tc>
          <w:tcPr>
            <w:tcW w:w="3355" w:type="dxa"/>
            <w:tcBorders>
              <w:top w:val="nil"/>
              <w:left w:val="nil"/>
              <w:bottom w:val="nil"/>
              <w:right w:val="nil"/>
            </w:tcBorders>
          </w:tcPr>
          <w:p w14:paraId="5E614B12" w14:textId="77777777" w:rsidR="00CF0E2D" w:rsidRPr="007219A0" w:rsidRDefault="00CF0E2D" w:rsidP="00A60D4B">
            <w:pPr>
              <w:pStyle w:val="Btabletextunbold"/>
              <w:rPr>
                <w:rFonts w:cs="Calibri"/>
                <w:color w:val="000000"/>
                <w:szCs w:val="20"/>
              </w:rPr>
            </w:pPr>
            <w:r>
              <w:rPr>
                <w:rFonts w:cs="Calibri"/>
                <w:color w:val="000000"/>
                <w:szCs w:val="20"/>
              </w:rPr>
              <w:t>–</w:t>
            </w:r>
            <w:r w:rsidRPr="007219A0">
              <w:rPr>
                <w:rFonts w:cs="Calibri"/>
                <w:color w:val="000000"/>
                <w:szCs w:val="20"/>
              </w:rPr>
              <w:t xml:space="preserve"> Mediation support services for commercial lease negotiations</w:t>
            </w:r>
          </w:p>
        </w:tc>
        <w:tc>
          <w:tcPr>
            <w:tcW w:w="1093" w:type="dxa"/>
            <w:tcBorders>
              <w:top w:val="nil"/>
              <w:left w:val="nil"/>
              <w:bottom w:val="nil"/>
              <w:right w:val="nil"/>
            </w:tcBorders>
          </w:tcPr>
          <w:p w14:paraId="5589CDA0"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22A25608" w14:textId="77777777" w:rsidR="00CF0E2D" w:rsidRPr="001D4AAB" w:rsidRDefault="00CF0E2D" w:rsidP="00A60D4B">
            <w:pPr>
              <w:pStyle w:val="Btablefigureunbold"/>
              <w:rPr>
                <w:rFonts w:cs="Calibri"/>
                <w:color w:val="000000"/>
                <w:szCs w:val="20"/>
              </w:rPr>
            </w:pPr>
            <w:r w:rsidRPr="001D4AAB">
              <w:rPr>
                <w:rFonts w:cs="Calibri"/>
                <w:color w:val="000000"/>
                <w:szCs w:val="20"/>
              </w:rPr>
              <w:t>250</w:t>
            </w:r>
          </w:p>
        </w:tc>
        <w:tc>
          <w:tcPr>
            <w:tcW w:w="964" w:type="dxa"/>
            <w:gridSpan w:val="2"/>
            <w:tcBorders>
              <w:top w:val="nil"/>
              <w:left w:val="nil"/>
              <w:bottom w:val="nil"/>
              <w:right w:val="nil"/>
            </w:tcBorders>
          </w:tcPr>
          <w:p w14:paraId="48CB41C1"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38A66294"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62209CF5"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54" w:type="dxa"/>
            <w:gridSpan w:val="2"/>
            <w:tcBorders>
              <w:top w:val="nil"/>
              <w:left w:val="nil"/>
              <w:bottom w:val="nil"/>
              <w:right w:val="nil"/>
            </w:tcBorders>
          </w:tcPr>
          <w:p w14:paraId="18325100"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250</w:t>
            </w:r>
          </w:p>
        </w:tc>
      </w:tr>
      <w:tr w:rsidR="00CF0E2D" w:rsidRPr="00D60558" w14:paraId="3493D9AF" w14:textId="77777777" w:rsidTr="00A60D4B">
        <w:trPr>
          <w:gridAfter w:val="1"/>
          <w:wAfter w:w="9" w:type="dxa"/>
          <w:jc w:val="center"/>
        </w:trPr>
        <w:tc>
          <w:tcPr>
            <w:tcW w:w="3355" w:type="dxa"/>
            <w:tcBorders>
              <w:top w:val="nil"/>
              <w:left w:val="nil"/>
              <w:bottom w:val="nil"/>
              <w:right w:val="nil"/>
            </w:tcBorders>
          </w:tcPr>
          <w:p w14:paraId="69570F0E" w14:textId="77777777" w:rsidR="00CF0E2D" w:rsidRPr="007219A0" w:rsidRDefault="00CF0E2D" w:rsidP="00A60D4B">
            <w:pPr>
              <w:pStyle w:val="Btabletextunbold"/>
              <w:rPr>
                <w:rFonts w:cs="Calibri"/>
                <w:color w:val="000000"/>
                <w:szCs w:val="20"/>
              </w:rPr>
            </w:pPr>
            <w:r>
              <w:rPr>
                <w:rFonts w:cs="Calibri"/>
                <w:color w:val="000000"/>
                <w:szCs w:val="20"/>
              </w:rPr>
              <w:t>–</w:t>
            </w:r>
            <w:r w:rsidRPr="007219A0">
              <w:rPr>
                <w:rFonts w:cs="Calibri"/>
                <w:color w:val="000000"/>
                <w:szCs w:val="20"/>
              </w:rPr>
              <w:t xml:space="preserve"> Payroll tax exemptions for new apprentice and trainees </w:t>
            </w:r>
            <w:r>
              <w:rPr>
                <w:rFonts w:cs="Calibri"/>
                <w:color w:val="000000"/>
                <w:szCs w:val="20"/>
              </w:rPr>
              <w:t>– continuation</w:t>
            </w:r>
          </w:p>
        </w:tc>
        <w:tc>
          <w:tcPr>
            <w:tcW w:w="1093" w:type="dxa"/>
            <w:tcBorders>
              <w:top w:val="nil"/>
              <w:left w:val="nil"/>
              <w:bottom w:val="nil"/>
              <w:right w:val="nil"/>
            </w:tcBorders>
          </w:tcPr>
          <w:p w14:paraId="4BE9725D"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55D5314D" w14:textId="77777777" w:rsidR="00CF0E2D" w:rsidRPr="001D4AAB" w:rsidRDefault="00CF0E2D" w:rsidP="00A60D4B">
            <w:pPr>
              <w:pStyle w:val="Btablefigureunbold"/>
              <w:rPr>
                <w:rFonts w:cs="Calibri"/>
                <w:color w:val="000000"/>
                <w:szCs w:val="20"/>
              </w:rPr>
            </w:pPr>
            <w:r w:rsidRPr="001D4AAB">
              <w:rPr>
                <w:rFonts w:cs="Calibri"/>
                <w:color w:val="000000"/>
                <w:szCs w:val="20"/>
              </w:rPr>
              <w:t>200</w:t>
            </w:r>
          </w:p>
        </w:tc>
        <w:tc>
          <w:tcPr>
            <w:tcW w:w="964" w:type="dxa"/>
            <w:gridSpan w:val="2"/>
            <w:tcBorders>
              <w:top w:val="nil"/>
              <w:left w:val="nil"/>
              <w:bottom w:val="nil"/>
              <w:right w:val="nil"/>
            </w:tcBorders>
          </w:tcPr>
          <w:p w14:paraId="6ED136CE"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6B3062E3"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3A4E8797"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54" w:type="dxa"/>
            <w:gridSpan w:val="2"/>
            <w:tcBorders>
              <w:top w:val="nil"/>
              <w:left w:val="nil"/>
              <w:bottom w:val="nil"/>
              <w:right w:val="nil"/>
            </w:tcBorders>
          </w:tcPr>
          <w:p w14:paraId="71B47FB3"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200</w:t>
            </w:r>
          </w:p>
        </w:tc>
      </w:tr>
      <w:tr w:rsidR="00CF0E2D" w:rsidRPr="00D60558" w14:paraId="6A3AC067" w14:textId="77777777" w:rsidTr="00A60D4B">
        <w:trPr>
          <w:gridAfter w:val="1"/>
          <w:wAfter w:w="9" w:type="dxa"/>
          <w:jc w:val="center"/>
        </w:trPr>
        <w:tc>
          <w:tcPr>
            <w:tcW w:w="3355" w:type="dxa"/>
            <w:tcBorders>
              <w:top w:val="nil"/>
              <w:left w:val="nil"/>
              <w:bottom w:val="nil"/>
              <w:right w:val="nil"/>
            </w:tcBorders>
          </w:tcPr>
          <w:p w14:paraId="2712D888" w14:textId="77777777" w:rsidR="00CF0E2D" w:rsidRPr="007219A0" w:rsidRDefault="00CF0E2D" w:rsidP="00A60D4B">
            <w:pPr>
              <w:pStyle w:val="Btabletextunbold"/>
              <w:rPr>
                <w:rFonts w:cs="Calibri"/>
                <w:color w:val="000000"/>
                <w:szCs w:val="20"/>
              </w:rPr>
            </w:pPr>
            <w:r>
              <w:rPr>
                <w:rFonts w:cs="Calibri"/>
                <w:color w:val="000000"/>
                <w:szCs w:val="20"/>
              </w:rPr>
              <w:t>–</w:t>
            </w:r>
            <w:r w:rsidRPr="007219A0">
              <w:rPr>
                <w:rFonts w:cs="Calibri"/>
                <w:color w:val="000000"/>
                <w:szCs w:val="20"/>
              </w:rPr>
              <w:t xml:space="preserve"> Rental Relief – ACT Government Properties </w:t>
            </w:r>
          </w:p>
        </w:tc>
        <w:tc>
          <w:tcPr>
            <w:tcW w:w="1093" w:type="dxa"/>
            <w:tcBorders>
              <w:top w:val="nil"/>
              <w:left w:val="nil"/>
              <w:bottom w:val="nil"/>
              <w:right w:val="nil"/>
            </w:tcBorders>
          </w:tcPr>
          <w:p w14:paraId="19099799"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20099948" w14:textId="77777777" w:rsidR="00CF0E2D" w:rsidRPr="001D4AAB" w:rsidRDefault="00CF0E2D" w:rsidP="00A60D4B">
            <w:pPr>
              <w:pStyle w:val="Btablefigureunbold"/>
              <w:rPr>
                <w:rFonts w:cs="Calibri"/>
                <w:color w:val="000000"/>
                <w:szCs w:val="20"/>
              </w:rPr>
            </w:pPr>
            <w:r w:rsidRPr="001D4AAB">
              <w:rPr>
                <w:rFonts w:cs="Calibri"/>
                <w:color w:val="000000"/>
                <w:szCs w:val="20"/>
              </w:rPr>
              <w:t>1,608</w:t>
            </w:r>
          </w:p>
        </w:tc>
        <w:tc>
          <w:tcPr>
            <w:tcW w:w="964" w:type="dxa"/>
            <w:gridSpan w:val="2"/>
            <w:tcBorders>
              <w:top w:val="nil"/>
              <w:left w:val="nil"/>
              <w:bottom w:val="nil"/>
              <w:right w:val="nil"/>
            </w:tcBorders>
          </w:tcPr>
          <w:p w14:paraId="2B4A2AB0"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57545902"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64" w:type="dxa"/>
            <w:gridSpan w:val="2"/>
            <w:tcBorders>
              <w:top w:val="nil"/>
              <w:left w:val="nil"/>
              <w:bottom w:val="nil"/>
              <w:right w:val="nil"/>
            </w:tcBorders>
          </w:tcPr>
          <w:p w14:paraId="59E78EF9" w14:textId="77777777" w:rsidR="00CF0E2D" w:rsidRPr="001D4AAB" w:rsidRDefault="00CF0E2D" w:rsidP="00A60D4B">
            <w:pPr>
              <w:pStyle w:val="Btablefigureunbold"/>
              <w:rPr>
                <w:rFonts w:cs="Calibri"/>
                <w:color w:val="000000"/>
                <w:szCs w:val="20"/>
              </w:rPr>
            </w:pPr>
            <w:r w:rsidRPr="001D4AAB">
              <w:rPr>
                <w:rFonts w:cs="Calibri"/>
                <w:color w:val="000000"/>
                <w:szCs w:val="20"/>
              </w:rPr>
              <w:t>0</w:t>
            </w:r>
          </w:p>
        </w:tc>
        <w:tc>
          <w:tcPr>
            <w:tcW w:w="954" w:type="dxa"/>
            <w:gridSpan w:val="2"/>
            <w:tcBorders>
              <w:top w:val="nil"/>
              <w:left w:val="nil"/>
              <w:bottom w:val="nil"/>
              <w:right w:val="nil"/>
            </w:tcBorders>
          </w:tcPr>
          <w:p w14:paraId="2364B9DB"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1,608</w:t>
            </w:r>
          </w:p>
        </w:tc>
      </w:tr>
      <w:tr w:rsidR="00CF0E2D" w:rsidRPr="00D60558" w14:paraId="35B72ECA" w14:textId="77777777" w:rsidTr="00A60D4B">
        <w:trPr>
          <w:gridAfter w:val="1"/>
          <w:wAfter w:w="9" w:type="dxa"/>
          <w:jc w:val="center"/>
        </w:trPr>
        <w:tc>
          <w:tcPr>
            <w:tcW w:w="3355" w:type="dxa"/>
            <w:tcBorders>
              <w:top w:val="nil"/>
              <w:left w:val="nil"/>
              <w:bottom w:val="nil"/>
              <w:right w:val="nil"/>
            </w:tcBorders>
          </w:tcPr>
          <w:p w14:paraId="6AF411F2" w14:textId="77777777" w:rsidR="00CF0E2D" w:rsidRPr="007219A0" w:rsidRDefault="00CF0E2D" w:rsidP="00A60D4B">
            <w:pPr>
              <w:pStyle w:val="Btabletextunbold"/>
              <w:rPr>
                <w:rFonts w:cs="Calibri"/>
                <w:color w:val="000000"/>
                <w:szCs w:val="20"/>
              </w:rPr>
            </w:pPr>
            <w:r>
              <w:rPr>
                <w:rFonts w:cs="Calibri"/>
                <w:color w:val="000000"/>
                <w:szCs w:val="20"/>
              </w:rPr>
              <w:t>–</w:t>
            </w:r>
            <w:r w:rsidRPr="007219A0">
              <w:rPr>
                <w:rFonts w:cs="Calibri"/>
                <w:color w:val="000000"/>
                <w:szCs w:val="20"/>
              </w:rPr>
              <w:t xml:space="preserve"> Small Business Hardship Scheme</w:t>
            </w:r>
          </w:p>
        </w:tc>
        <w:tc>
          <w:tcPr>
            <w:tcW w:w="1093" w:type="dxa"/>
            <w:tcBorders>
              <w:top w:val="nil"/>
              <w:left w:val="nil"/>
              <w:bottom w:val="nil"/>
              <w:right w:val="nil"/>
            </w:tcBorders>
          </w:tcPr>
          <w:p w14:paraId="30616BA6"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246B872A" w14:textId="77777777" w:rsidR="00CF0E2D" w:rsidRPr="00476D60" w:rsidRDefault="00CF0E2D" w:rsidP="00A60D4B">
            <w:pPr>
              <w:pStyle w:val="Btablefigureunbold"/>
              <w:rPr>
                <w:rFonts w:cs="Calibri"/>
                <w:color w:val="000000"/>
                <w:szCs w:val="20"/>
              </w:rPr>
            </w:pPr>
            <w:r>
              <w:rPr>
                <w:rFonts w:cs="Calibri"/>
                <w:color w:val="000000"/>
                <w:szCs w:val="20"/>
              </w:rPr>
              <w:t>46,500</w:t>
            </w:r>
          </w:p>
        </w:tc>
        <w:tc>
          <w:tcPr>
            <w:tcW w:w="964" w:type="dxa"/>
            <w:gridSpan w:val="2"/>
            <w:tcBorders>
              <w:top w:val="nil"/>
              <w:left w:val="nil"/>
              <w:bottom w:val="nil"/>
              <w:right w:val="nil"/>
            </w:tcBorders>
          </w:tcPr>
          <w:p w14:paraId="4C2D1127"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77F7D62A"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79DFF0A8"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54" w:type="dxa"/>
            <w:gridSpan w:val="2"/>
            <w:tcBorders>
              <w:top w:val="nil"/>
              <w:left w:val="nil"/>
              <w:bottom w:val="nil"/>
              <w:right w:val="nil"/>
            </w:tcBorders>
          </w:tcPr>
          <w:p w14:paraId="1F205059" w14:textId="77777777" w:rsidR="00CF0E2D" w:rsidRPr="00476D60" w:rsidRDefault="00CF0E2D" w:rsidP="00A60D4B">
            <w:pPr>
              <w:pStyle w:val="Btablefigureunbold"/>
              <w:rPr>
                <w:rFonts w:cs="Calibri"/>
                <w:b/>
                <w:bCs/>
                <w:color w:val="000000"/>
                <w:szCs w:val="20"/>
              </w:rPr>
            </w:pPr>
            <w:r>
              <w:rPr>
                <w:rFonts w:cs="Calibri"/>
                <w:b/>
                <w:bCs/>
                <w:color w:val="000000"/>
                <w:szCs w:val="20"/>
              </w:rPr>
              <w:t>46,500</w:t>
            </w:r>
          </w:p>
        </w:tc>
      </w:tr>
      <w:tr w:rsidR="00CF0E2D" w:rsidRPr="00D60558" w14:paraId="4017D2C8" w14:textId="77777777" w:rsidTr="00A60D4B">
        <w:trPr>
          <w:gridAfter w:val="1"/>
          <w:wAfter w:w="9" w:type="dxa"/>
          <w:jc w:val="center"/>
        </w:trPr>
        <w:tc>
          <w:tcPr>
            <w:tcW w:w="3355" w:type="dxa"/>
            <w:tcBorders>
              <w:top w:val="nil"/>
              <w:left w:val="nil"/>
              <w:bottom w:val="nil"/>
              <w:right w:val="nil"/>
            </w:tcBorders>
          </w:tcPr>
          <w:p w14:paraId="4F8AC7A9" w14:textId="77777777" w:rsidR="00CF0E2D" w:rsidRPr="007219A0" w:rsidRDefault="00CF0E2D" w:rsidP="00A60D4B">
            <w:pPr>
              <w:pStyle w:val="Btabletextunbold"/>
              <w:rPr>
                <w:rFonts w:cs="Calibri"/>
                <w:color w:val="000000"/>
                <w:szCs w:val="20"/>
              </w:rPr>
            </w:pPr>
            <w:r>
              <w:rPr>
                <w:rFonts w:cs="Calibri"/>
                <w:color w:val="000000"/>
                <w:szCs w:val="20"/>
              </w:rPr>
              <w:t>–</w:t>
            </w:r>
            <w:r w:rsidRPr="007219A0">
              <w:rPr>
                <w:rFonts w:cs="Calibri"/>
                <w:color w:val="000000"/>
                <w:szCs w:val="20"/>
              </w:rPr>
              <w:t xml:space="preserve"> Support for restricted occupations </w:t>
            </w:r>
          </w:p>
        </w:tc>
        <w:tc>
          <w:tcPr>
            <w:tcW w:w="1093" w:type="dxa"/>
            <w:tcBorders>
              <w:top w:val="nil"/>
              <w:left w:val="nil"/>
              <w:bottom w:val="nil"/>
              <w:right w:val="nil"/>
            </w:tcBorders>
          </w:tcPr>
          <w:p w14:paraId="1A1A74CA"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03FF2D6C" w14:textId="77777777" w:rsidR="00CF0E2D" w:rsidRPr="00476D60" w:rsidRDefault="00CF0E2D" w:rsidP="00A60D4B">
            <w:pPr>
              <w:pStyle w:val="Btablefigureunbold"/>
              <w:rPr>
                <w:rFonts w:cs="Calibri"/>
                <w:color w:val="000000"/>
                <w:szCs w:val="20"/>
              </w:rPr>
            </w:pPr>
            <w:r w:rsidRPr="00476D60">
              <w:rPr>
                <w:rFonts w:cs="Calibri"/>
                <w:color w:val="000000"/>
                <w:szCs w:val="20"/>
              </w:rPr>
              <w:t>1,090</w:t>
            </w:r>
          </w:p>
        </w:tc>
        <w:tc>
          <w:tcPr>
            <w:tcW w:w="964" w:type="dxa"/>
            <w:gridSpan w:val="2"/>
            <w:tcBorders>
              <w:top w:val="nil"/>
              <w:left w:val="nil"/>
              <w:bottom w:val="nil"/>
              <w:right w:val="nil"/>
            </w:tcBorders>
          </w:tcPr>
          <w:p w14:paraId="6F7E3903"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585E0B72"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2AE9E8DC"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54" w:type="dxa"/>
            <w:gridSpan w:val="2"/>
            <w:tcBorders>
              <w:top w:val="nil"/>
              <w:left w:val="nil"/>
              <w:bottom w:val="nil"/>
              <w:right w:val="nil"/>
            </w:tcBorders>
          </w:tcPr>
          <w:p w14:paraId="6A970E98"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1,090</w:t>
            </w:r>
          </w:p>
        </w:tc>
      </w:tr>
      <w:tr w:rsidR="00CF0E2D" w:rsidRPr="00D60558" w14:paraId="3D3DD846" w14:textId="77777777" w:rsidTr="00A60D4B">
        <w:trPr>
          <w:gridAfter w:val="1"/>
          <w:wAfter w:w="9" w:type="dxa"/>
          <w:jc w:val="center"/>
        </w:trPr>
        <w:tc>
          <w:tcPr>
            <w:tcW w:w="3355" w:type="dxa"/>
            <w:tcBorders>
              <w:top w:val="nil"/>
              <w:left w:val="nil"/>
              <w:bottom w:val="nil"/>
              <w:right w:val="nil"/>
            </w:tcBorders>
          </w:tcPr>
          <w:p w14:paraId="6CFE1C45" w14:textId="77777777" w:rsidR="00CF0E2D" w:rsidRPr="007219A0" w:rsidRDefault="00CF0E2D" w:rsidP="00A60D4B">
            <w:pPr>
              <w:pStyle w:val="Btabletextunbold"/>
              <w:rPr>
                <w:rFonts w:cs="Calibri"/>
                <w:color w:val="000000"/>
                <w:szCs w:val="20"/>
              </w:rPr>
            </w:pPr>
            <w:r>
              <w:rPr>
                <w:rFonts w:cs="Calibri"/>
                <w:color w:val="000000"/>
                <w:szCs w:val="20"/>
              </w:rPr>
              <w:t>–</w:t>
            </w:r>
            <w:r w:rsidRPr="007219A0">
              <w:rPr>
                <w:rFonts w:cs="Calibri"/>
                <w:color w:val="000000"/>
                <w:szCs w:val="20"/>
              </w:rPr>
              <w:t xml:space="preserve"> Supporting Canberra's tourism sector </w:t>
            </w:r>
          </w:p>
        </w:tc>
        <w:tc>
          <w:tcPr>
            <w:tcW w:w="1093" w:type="dxa"/>
            <w:tcBorders>
              <w:top w:val="nil"/>
              <w:left w:val="nil"/>
              <w:bottom w:val="nil"/>
              <w:right w:val="nil"/>
            </w:tcBorders>
          </w:tcPr>
          <w:p w14:paraId="6B8F6632"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shd w:val="clear" w:color="auto" w:fill="auto"/>
          </w:tcPr>
          <w:p w14:paraId="775071FD" w14:textId="77777777" w:rsidR="00CF0E2D" w:rsidRPr="00476D60" w:rsidRDefault="00CF0E2D" w:rsidP="00A60D4B">
            <w:pPr>
              <w:pStyle w:val="Btablefigureunbold"/>
              <w:rPr>
                <w:rFonts w:cs="Calibri"/>
                <w:color w:val="000000"/>
                <w:szCs w:val="20"/>
                <w:highlight w:val="darkGreen"/>
              </w:rPr>
            </w:pPr>
            <w:r w:rsidRPr="00476D60">
              <w:rPr>
                <w:rFonts w:cs="Calibri"/>
                <w:color w:val="000000"/>
                <w:szCs w:val="20"/>
              </w:rPr>
              <w:t>5,590</w:t>
            </w:r>
          </w:p>
        </w:tc>
        <w:tc>
          <w:tcPr>
            <w:tcW w:w="964" w:type="dxa"/>
            <w:gridSpan w:val="2"/>
            <w:tcBorders>
              <w:top w:val="nil"/>
              <w:left w:val="nil"/>
              <w:bottom w:val="nil"/>
              <w:right w:val="nil"/>
            </w:tcBorders>
            <w:shd w:val="clear" w:color="auto" w:fill="auto"/>
          </w:tcPr>
          <w:p w14:paraId="6431F16B" w14:textId="77777777" w:rsidR="00CF0E2D" w:rsidRPr="00476D60" w:rsidRDefault="00CF0E2D" w:rsidP="00A60D4B">
            <w:pPr>
              <w:pStyle w:val="Btablefigureunbold"/>
              <w:rPr>
                <w:rFonts w:cs="Calibri"/>
                <w:color w:val="000000"/>
                <w:szCs w:val="20"/>
                <w:highlight w:val="darkGreen"/>
              </w:rPr>
            </w:pPr>
            <w:r w:rsidRPr="00476D60">
              <w:rPr>
                <w:rFonts w:cs="Calibri"/>
                <w:color w:val="000000"/>
                <w:szCs w:val="20"/>
              </w:rPr>
              <w:t>2,335</w:t>
            </w:r>
          </w:p>
        </w:tc>
        <w:tc>
          <w:tcPr>
            <w:tcW w:w="964" w:type="dxa"/>
            <w:gridSpan w:val="2"/>
            <w:tcBorders>
              <w:top w:val="nil"/>
              <w:left w:val="nil"/>
              <w:bottom w:val="nil"/>
              <w:right w:val="nil"/>
            </w:tcBorders>
            <w:shd w:val="clear" w:color="auto" w:fill="auto"/>
          </w:tcPr>
          <w:p w14:paraId="6B076F1C" w14:textId="77777777" w:rsidR="00CF0E2D" w:rsidRPr="00476D60" w:rsidRDefault="00CF0E2D" w:rsidP="00A60D4B">
            <w:pPr>
              <w:pStyle w:val="Btablefigureunbold"/>
              <w:rPr>
                <w:rFonts w:cs="Calibri"/>
                <w:color w:val="000000"/>
                <w:szCs w:val="20"/>
                <w:highlight w:val="darkGreen"/>
              </w:rPr>
            </w:pPr>
            <w:r w:rsidRPr="00476D60">
              <w:rPr>
                <w:rFonts w:cs="Calibri"/>
                <w:color w:val="000000"/>
                <w:szCs w:val="20"/>
              </w:rPr>
              <w:t>350</w:t>
            </w:r>
          </w:p>
        </w:tc>
        <w:tc>
          <w:tcPr>
            <w:tcW w:w="964" w:type="dxa"/>
            <w:gridSpan w:val="2"/>
            <w:tcBorders>
              <w:top w:val="nil"/>
              <w:left w:val="nil"/>
              <w:bottom w:val="nil"/>
              <w:right w:val="nil"/>
            </w:tcBorders>
            <w:shd w:val="clear" w:color="auto" w:fill="auto"/>
          </w:tcPr>
          <w:p w14:paraId="173E6BD4" w14:textId="77777777" w:rsidR="00CF0E2D" w:rsidRPr="00476D60" w:rsidRDefault="00CF0E2D" w:rsidP="00A60D4B">
            <w:pPr>
              <w:pStyle w:val="Btablefigureunbold"/>
              <w:rPr>
                <w:rFonts w:cs="Calibri"/>
                <w:color w:val="000000"/>
                <w:szCs w:val="20"/>
                <w:highlight w:val="darkGreen"/>
              </w:rPr>
            </w:pPr>
            <w:r w:rsidRPr="00476D60">
              <w:rPr>
                <w:rFonts w:cs="Calibri"/>
                <w:color w:val="000000"/>
                <w:szCs w:val="20"/>
              </w:rPr>
              <w:t>350</w:t>
            </w:r>
          </w:p>
        </w:tc>
        <w:tc>
          <w:tcPr>
            <w:tcW w:w="954" w:type="dxa"/>
            <w:gridSpan w:val="2"/>
            <w:tcBorders>
              <w:top w:val="nil"/>
              <w:left w:val="nil"/>
              <w:bottom w:val="nil"/>
              <w:right w:val="nil"/>
            </w:tcBorders>
            <w:shd w:val="clear" w:color="auto" w:fill="auto"/>
          </w:tcPr>
          <w:p w14:paraId="50BB51CC" w14:textId="77777777" w:rsidR="00CF0E2D" w:rsidRPr="00476D60" w:rsidRDefault="00CF0E2D" w:rsidP="00A60D4B">
            <w:pPr>
              <w:pStyle w:val="Btablefigureunbold"/>
              <w:rPr>
                <w:rFonts w:cs="Calibri"/>
                <w:b/>
                <w:bCs/>
                <w:color w:val="000000"/>
                <w:szCs w:val="20"/>
                <w:highlight w:val="darkGreen"/>
              </w:rPr>
            </w:pPr>
            <w:r>
              <w:rPr>
                <w:rFonts w:cs="Calibri"/>
                <w:b/>
                <w:bCs/>
                <w:color w:val="000000"/>
                <w:szCs w:val="20"/>
              </w:rPr>
              <w:t>8,625</w:t>
            </w:r>
          </w:p>
        </w:tc>
      </w:tr>
      <w:tr w:rsidR="00CF0E2D" w:rsidRPr="00D60558" w14:paraId="25CCC98D" w14:textId="77777777" w:rsidTr="00A60D4B">
        <w:trPr>
          <w:gridAfter w:val="1"/>
          <w:wAfter w:w="9" w:type="dxa"/>
          <w:jc w:val="center"/>
        </w:trPr>
        <w:tc>
          <w:tcPr>
            <w:tcW w:w="3355" w:type="dxa"/>
            <w:tcBorders>
              <w:top w:val="nil"/>
              <w:left w:val="nil"/>
              <w:bottom w:val="nil"/>
              <w:right w:val="nil"/>
            </w:tcBorders>
          </w:tcPr>
          <w:p w14:paraId="089ED51E" w14:textId="77777777" w:rsidR="00CF0E2D" w:rsidRPr="007219A0" w:rsidRDefault="00CF0E2D" w:rsidP="00A60D4B">
            <w:pPr>
              <w:pStyle w:val="Btabletextunbold"/>
              <w:rPr>
                <w:rFonts w:cs="Calibri"/>
                <w:color w:val="000000"/>
                <w:szCs w:val="20"/>
              </w:rPr>
            </w:pPr>
            <w:r>
              <w:rPr>
                <w:rFonts w:cs="Calibri"/>
                <w:color w:val="000000"/>
                <w:szCs w:val="20"/>
              </w:rPr>
              <w:t>–</w:t>
            </w:r>
            <w:r w:rsidRPr="007219A0">
              <w:rPr>
                <w:rFonts w:cs="Calibri"/>
                <w:color w:val="000000"/>
                <w:szCs w:val="20"/>
              </w:rPr>
              <w:t xml:space="preserve"> Tourism, Accommodation Provider and Hospitality Industry Support Fund</w:t>
            </w:r>
          </w:p>
        </w:tc>
        <w:tc>
          <w:tcPr>
            <w:tcW w:w="1093" w:type="dxa"/>
            <w:tcBorders>
              <w:top w:val="nil"/>
              <w:left w:val="nil"/>
              <w:bottom w:val="nil"/>
              <w:right w:val="nil"/>
            </w:tcBorders>
          </w:tcPr>
          <w:p w14:paraId="506291A6"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707A7E85" w14:textId="77777777" w:rsidR="00CF0E2D" w:rsidRPr="00476D60" w:rsidRDefault="00CF0E2D" w:rsidP="00A60D4B">
            <w:pPr>
              <w:pStyle w:val="Btablefigureunbold"/>
              <w:rPr>
                <w:rFonts w:cs="Calibri"/>
                <w:color w:val="000000"/>
                <w:szCs w:val="20"/>
              </w:rPr>
            </w:pPr>
            <w:r w:rsidRPr="00476D60">
              <w:rPr>
                <w:rFonts w:cs="Calibri"/>
                <w:color w:val="000000"/>
                <w:szCs w:val="20"/>
              </w:rPr>
              <w:t>3,600</w:t>
            </w:r>
          </w:p>
        </w:tc>
        <w:tc>
          <w:tcPr>
            <w:tcW w:w="964" w:type="dxa"/>
            <w:gridSpan w:val="2"/>
            <w:tcBorders>
              <w:top w:val="nil"/>
              <w:left w:val="nil"/>
              <w:bottom w:val="nil"/>
              <w:right w:val="nil"/>
            </w:tcBorders>
          </w:tcPr>
          <w:p w14:paraId="26549FC4"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1781E7F7"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6DACA653"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54" w:type="dxa"/>
            <w:gridSpan w:val="2"/>
            <w:tcBorders>
              <w:top w:val="nil"/>
              <w:left w:val="nil"/>
              <w:bottom w:val="nil"/>
              <w:right w:val="nil"/>
            </w:tcBorders>
          </w:tcPr>
          <w:p w14:paraId="1375B5D1"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3,600</w:t>
            </w:r>
          </w:p>
        </w:tc>
      </w:tr>
      <w:tr w:rsidR="00CF0E2D" w:rsidRPr="00476D60" w14:paraId="709376E9" w14:textId="77777777" w:rsidTr="00A60D4B">
        <w:trPr>
          <w:gridAfter w:val="1"/>
          <w:wAfter w:w="9" w:type="dxa"/>
          <w:jc w:val="center"/>
        </w:trPr>
        <w:tc>
          <w:tcPr>
            <w:tcW w:w="3355" w:type="dxa"/>
            <w:tcBorders>
              <w:top w:val="nil"/>
              <w:left w:val="nil"/>
              <w:bottom w:val="nil"/>
              <w:right w:val="nil"/>
            </w:tcBorders>
          </w:tcPr>
          <w:p w14:paraId="3C5CE9A9" w14:textId="77777777" w:rsidR="00CF0E2D" w:rsidRPr="007219A0" w:rsidRDefault="00CF0E2D" w:rsidP="00A60D4B">
            <w:pPr>
              <w:pStyle w:val="Btabletextunbold"/>
              <w:rPr>
                <w:rFonts w:cs="Calibri"/>
                <w:color w:val="000000"/>
                <w:szCs w:val="20"/>
              </w:rPr>
            </w:pPr>
            <w:r w:rsidRPr="007219A0">
              <w:rPr>
                <w:rFonts w:cs="Calibri"/>
                <w:color w:val="000000"/>
                <w:szCs w:val="20"/>
              </w:rPr>
              <w:t>COVID-19 Response Fund</w:t>
            </w:r>
            <w:r w:rsidRPr="007219A0">
              <w:rPr>
                <w:rFonts w:cs="Calibri"/>
                <w:color w:val="000000"/>
                <w:szCs w:val="20"/>
                <w:vertAlign w:val="superscript"/>
              </w:rPr>
              <w:t>1</w:t>
            </w:r>
            <w:r w:rsidRPr="007219A0">
              <w:rPr>
                <w:rFonts w:cs="Calibri"/>
                <w:color w:val="000000"/>
                <w:szCs w:val="20"/>
              </w:rPr>
              <w:t xml:space="preserve"> </w:t>
            </w:r>
          </w:p>
        </w:tc>
        <w:tc>
          <w:tcPr>
            <w:tcW w:w="1093" w:type="dxa"/>
            <w:tcBorders>
              <w:top w:val="nil"/>
              <w:left w:val="nil"/>
              <w:bottom w:val="nil"/>
              <w:right w:val="nil"/>
            </w:tcBorders>
          </w:tcPr>
          <w:p w14:paraId="537CBE27" w14:textId="77777777" w:rsidR="00CF0E2D" w:rsidRPr="00D60558" w:rsidRDefault="00CF0E2D" w:rsidP="00A60D4B">
            <w:pPr>
              <w:pStyle w:val="Btablefigureunbold"/>
              <w:ind w:left="0" w:firstLine="0"/>
              <w:jc w:val="left"/>
              <w:rPr>
                <w:rFonts w:cs="Calibri"/>
                <w:color w:val="000000"/>
                <w:szCs w:val="20"/>
              </w:rPr>
            </w:pPr>
            <w:r w:rsidRPr="007677DE">
              <w:rPr>
                <w:rFonts w:cs="Calibri"/>
                <w:color w:val="000000"/>
                <w:szCs w:val="20"/>
              </w:rPr>
              <w:t>Net cost</w:t>
            </w:r>
          </w:p>
        </w:tc>
        <w:tc>
          <w:tcPr>
            <w:tcW w:w="964" w:type="dxa"/>
            <w:gridSpan w:val="2"/>
            <w:tcBorders>
              <w:top w:val="nil"/>
              <w:left w:val="nil"/>
              <w:bottom w:val="nil"/>
              <w:right w:val="nil"/>
            </w:tcBorders>
          </w:tcPr>
          <w:p w14:paraId="7397BC20" w14:textId="77777777" w:rsidR="00CF0E2D" w:rsidRPr="00476D60" w:rsidRDefault="00CF0E2D" w:rsidP="00A60D4B">
            <w:pPr>
              <w:pStyle w:val="Btablefigureunbold"/>
              <w:rPr>
                <w:rFonts w:cs="Calibri"/>
                <w:color w:val="000000"/>
                <w:szCs w:val="20"/>
              </w:rPr>
            </w:pPr>
            <w:r w:rsidRPr="00476D60">
              <w:rPr>
                <w:rFonts w:cs="Calibri"/>
                <w:color w:val="000000"/>
                <w:szCs w:val="20"/>
              </w:rPr>
              <w:t>50,000</w:t>
            </w:r>
          </w:p>
        </w:tc>
        <w:tc>
          <w:tcPr>
            <w:tcW w:w="964" w:type="dxa"/>
            <w:gridSpan w:val="2"/>
            <w:tcBorders>
              <w:top w:val="nil"/>
              <w:left w:val="nil"/>
              <w:bottom w:val="nil"/>
              <w:right w:val="nil"/>
            </w:tcBorders>
          </w:tcPr>
          <w:p w14:paraId="1F190F4A"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1F6C4082"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16F37EAA"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54" w:type="dxa"/>
            <w:gridSpan w:val="2"/>
            <w:tcBorders>
              <w:top w:val="nil"/>
              <w:left w:val="nil"/>
              <w:bottom w:val="nil"/>
              <w:right w:val="nil"/>
            </w:tcBorders>
          </w:tcPr>
          <w:p w14:paraId="164F0585"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50,000</w:t>
            </w:r>
          </w:p>
        </w:tc>
      </w:tr>
      <w:tr w:rsidR="00CF0E2D" w:rsidRPr="00D60558" w14:paraId="34CB3F4C" w14:textId="77777777" w:rsidTr="00A60D4B">
        <w:trPr>
          <w:gridAfter w:val="1"/>
          <w:wAfter w:w="9" w:type="dxa"/>
          <w:jc w:val="center"/>
        </w:trPr>
        <w:tc>
          <w:tcPr>
            <w:tcW w:w="3355" w:type="dxa"/>
            <w:tcBorders>
              <w:top w:val="nil"/>
              <w:left w:val="nil"/>
              <w:bottom w:val="nil"/>
              <w:right w:val="nil"/>
            </w:tcBorders>
          </w:tcPr>
          <w:p w14:paraId="6445C04E" w14:textId="77777777" w:rsidR="00CF0E2D" w:rsidRPr="005357CD" w:rsidRDefault="00CF0E2D" w:rsidP="00A60D4B">
            <w:pPr>
              <w:pStyle w:val="Btabletextunbold"/>
              <w:rPr>
                <w:rFonts w:cs="Calibri"/>
                <w:i/>
                <w:iCs/>
                <w:color w:val="000000"/>
                <w:szCs w:val="20"/>
              </w:rPr>
            </w:pPr>
            <w:r w:rsidRPr="005357CD">
              <w:rPr>
                <w:rFonts w:cs="Calibri"/>
                <w:i/>
                <w:iCs/>
                <w:color w:val="000000"/>
                <w:szCs w:val="20"/>
              </w:rPr>
              <w:t xml:space="preserve">COVID-19 </w:t>
            </w:r>
            <w:r>
              <w:rPr>
                <w:rFonts w:cs="Calibri"/>
                <w:i/>
                <w:iCs/>
                <w:color w:val="000000"/>
                <w:szCs w:val="20"/>
              </w:rPr>
              <w:t>r</w:t>
            </w:r>
            <w:r w:rsidRPr="005357CD">
              <w:rPr>
                <w:rFonts w:cs="Calibri"/>
                <w:i/>
                <w:iCs/>
                <w:color w:val="000000"/>
                <w:szCs w:val="20"/>
              </w:rPr>
              <w:t>esponse</w:t>
            </w:r>
          </w:p>
        </w:tc>
        <w:tc>
          <w:tcPr>
            <w:tcW w:w="1093" w:type="dxa"/>
            <w:tcBorders>
              <w:top w:val="nil"/>
              <w:left w:val="nil"/>
              <w:bottom w:val="nil"/>
              <w:right w:val="nil"/>
            </w:tcBorders>
          </w:tcPr>
          <w:p w14:paraId="62EF4D52" w14:textId="77777777" w:rsidR="00CF0E2D"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11762C97" w14:textId="77777777" w:rsidR="00CF0E2D" w:rsidRPr="007219A0"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7D99629C" w14:textId="77777777" w:rsidR="00CF0E2D" w:rsidRPr="007219A0"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0068FF00" w14:textId="77777777" w:rsidR="00CF0E2D" w:rsidRPr="007219A0"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570B4E15" w14:textId="77777777" w:rsidR="00CF0E2D" w:rsidRPr="007219A0" w:rsidRDefault="00CF0E2D" w:rsidP="00A60D4B">
            <w:pPr>
              <w:pStyle w:val="Btablefigureunbold"/>
              <w:rPr>
                <w:rFonts w:cs="Calibri"/>
                <w:color w:val="000000"/>
                <w:szCs w:val="20"/>
              </w:rPr>
            </w:pPr>
          </w:p>
        </w:tc>
        <w:tc>
          <w:tcPr>
            <w:tcW w:w="954" w:type="dxa"/>
            <w:gridSpan w:val="2"/>
            <w:tcBorders>
              <w:top w:val="nil"/>
              <w:left w:val="nil"/>
              <w:bottom w:val="nil"/>
              <w:right w:val="nil"/>
            </w:tcBorders>
          </w:tcPr>
          <w:p w14:paraId="67BF667A" w14:textId="77777777" w:rsidR="00CF0E2D" w:rsidRPr="00476D60" w:rsidRDefault="00CF0E2D" w:rsidP="00A60D4B">
            <w:pPr>
              <w:pStyle w:val="Btablefigureunbold"/>
              <w:rPr>
                <w:rFonts w:cs="Calibri"/>
                <w:b/>
                <w:bCs/>
                <w:color w:val="000000"/>
                <w:szCs w:val="20"/>
              </w:rPr>
            </w:pPr>
          </w:p>
        </w:tc>
      </w:tr>
      <w:tr w:rsidR="00CF0E2D" w:rsidRPr="00D60558" w14:paraId="496B3C47" w14:textId="77777777" w:rsidTr="00A60D4B">
        <w:trPr>
          <w:gridAfter w:val="1"/>
          <w:wAfter w:w="9" w:type="dxa"/>
          <w:jc w:val="center"/>
        </w:trPr>
        <w:tc>
          <w:tcPr>
            <w:tcW w:w="3355" w:type="dxa"/>
            <w:tcBorders>
              <w:top w:val="nil"/>
              <w:left w:val="nil"/>
              <w:bottom w:val="nil"/>
              <w:right w:val="nil"/>
            </w:tcBorders>
          </w:tcPr>
          <w:p w14:paraId="74480C71" w14:textId="77777777" w:rsidR="00CF0E2D" w:rsidRPr="007219A0" w:rsidRDefault="00CF0E2D" w:rsidP="00A60D4B">
            <w:pPr>
              <w:pStyle w:val="Btabletextunbold"/>
              <w:rPr>
                <w:rFonts w:cs="Calibri"/>
                <w:color w:val="000000"/>
                <w:szCs w:val="20"/>
              </w:rPr>
            </w:pPr>
            <w:r w:rsidRPr="007219A0">
              <w:rPr>
                <w:rFonts w:cs="Calibri"/>
                <w:color w:val="000000"/>
                <w:szCs w:val="20"/>
              </w:rPr>
              <w:t>– Additional $200 rebate for Canberra's most vulnerable</w:t>
            </w:r>
          </w:p>
        </w:tc>
        <w:tc>
          <w:tcPr>
            <w:tcW w:w="1093" w:type="dxa"/>
            <w:tcBorders>
              <w:top w:val="nil"/>
              <w:left w:val="nil"/>
              <w:bottom w:val="nil"/>
              <w:right w:val="nil"/>
            </w:tcBorders>
          </w:tcPr>
          <w:p w14:paraId="0B122FFC" w14:textId="77777777" w:rsidR="00CF0E2D" w:rsidRPr="00D60558" w:rsidRDefault="00CF0E2D" w:rsidP="00A60D4B">
            <w:pPr>
              <w:pStyle w:val="Btablefigureunbold"/>
              <w:ind w:left="0" w:firstLine="0"/>
              <w:jc w:val="left"/>
              <w:rPr>
                <w:rFonts w:cs="Calibri"/>
                <w:color w:val="000000"/>
                <w:szCs w:val="20"/>
              </w:rPr>
            </w:pPr>
            <w:r w:rsidRPr="007677DE">
              <w:rPr>
                <w:rFonts w:cs="Calibri"/>
                <w:color w:val="000000"/>
                <w:szCs w:val="20"/>
              </w:rPr>
              <w:t>Net cost</w:t>
            </w:r>
          </w:p>
        </w:tc>
        <w:tc>
          <w:tcPr>
            <w:tcW w:w="964" w:type="dxa"/>
            <w:gridSpan w:val="2"/>
            <w:tcBorders>
              <w:top w:val="nil"/>
              <w:left w:val="nil"/>
              <w:bottom w:val="nil"/>
              <w:right w:val="nil"/>
            </w:tcBorders>
          </w:tcPr>
          <w:p w14:paraId="53C77D6F" w14:textId="77777777" w:rsidR="00CF0E2D" w:rsidRPr="00476D60" w:rsidRDefault="00CF0E2D" w:rsidP="00A60D4B">
            <w:pPr>
              <w:pStyle w:val="Btablefigureunbold"/>
              <w:rPr>
                <w:rFonts w:cs="Calibri"/>
                <w:color w:val="000000"/>
                <w:szCs w:val="20"/>
              </w:rPr>
            </w:pPr>
            <w:r w:rsidRPr="00476D60">
              <w:rPr>
                <w:rFonts w:cs="Calibri"/>
                <w:color w:val="000000"/>
                <w:szCs w:val="20"/>
              </w:rPr>
              <w:t>6,200</w:t>
            </w:r>
          </w:p>
        </w:tc>
        <w:tc>
          <w:tcPr>
            <w:tcW w:w="964" w:type="dxa"/>
            <w:gridSpan w:val="2"/>
            <w:tcBorders>
              <w:top w:val="nil"/>
              <w:left w:val="nil"/>
              <w:bottom w:val="nil"/>
              <w:right w:val="nil"/>
            </w:tcBorders>
          </w:tcPr>
          <w:p w14:paraId="2723EF95"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28AADBF5"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3DC4FBA7"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54" w:type="dxa"/>
            <w:gridSpan w:val="2"/>
            <w:tcBorders>
              <w:top w:val="nil"/>
              <w:left w:val="nil"/>
              <w:bottom w:val="nil"/>
              <w:right w:val="nil"/>
            </w:tcBorders>
          </w:tcPr>
          <w:p w14:paraId="48F7119B"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6,200</w:t>
            </w:r>
          </w:p>
        </w:tc>
      </w:tr>
      <w:tr w:rsidR="00CF0E2D" w:rsidRPr="00D60558" w14:paraId="2A167477" w14:textId="77777777" w:rsidTr="00A60D4B">
        <w:trPr>
          <w:gridAfter w:val="1"/>
          <w:wAfter w:w="9" w:type="dxa"/>
          <w:jc w:val="center"/>
        </w:trPr>
        <w:tc>
          <w:tcPr>
            <w:tcW w:w="3355" w:type="dxa"/>
            <w:tcBorders>
              <w:top w:val="nil"/>
              <w:left w:val="nil"/>
              <w:bottom w:val="nil"/>
              <w:right w:val="nil"/>
            </w:tcBorders>
          </w:tcPr>
          <w:p w14:paraId="31F448E2" w14:textId="77777777" w:rsidR="00CF0E2D" w:rsidRPr="007219A0" w:rsidRDefault="00CF0E2D" w:rsidP="00A60D4B">
            <w:pPr>
              <w:pStyle w:val="Btabletextunbold"/>
              <w:rPr>
                <w:rFonts w:cs="Calibri"/>
                <w:color w:val="000000"/>
                <w:szCs w:val="20"/>
              </w:rPr>
            </w:pPr>
            <w:r>
              <w:rPr>
                <w:rFonts w:cs="Calibri"/>
                <w:color w:val="000000"/>
                <w:szCs w:val="20"/>
              </w:rPr>
              <w:t>–</w:t>
            </w:r>
            <w:r w:rsidRPr="007219A0">
              <w:rPr>
                <w:rFonts w:cs="Calibri"/>
                <w:color w:val="000000"/>
                <w:szCs w:val="20"/>
              </w:rPr>
              <w:t xml:space="preserve"> Continuing Government services</w:t>
            </w:r>
            <w:r w:rsidRPr="007219A0">
              <w:rPr>
                <w:rFonts w:cs="Calibri"/>
                <w:color w:val="000000"/>
                <w:szCs w:val="20"/>
                <w:vertAlign w:val="superscript"/>
              </w:rPr>
              <w:t>1</w:t>
            </w:r>
            <w:r w:rsidRPr="007219A0">
              <w:rPr>
                <w:rFonts w:cs="Calibri"/>
                <w:color w:val="000000"/>
                <w:szCs w:val="20"/>
              </w:rPr>
              <w:t xml:space="preserve">  </w:t>
            </w:r>
          </w:p>
        </w:tc>
        <w:tc>
          <w:tcPr>
            <w:tcW w:w="1093" w:type="dxa"/>
            <w:tcBorders>
              <w:top w:val="nil"/>
              <w:left w:val="nil"/>
              <w:bottom w:val="nil"/>
              <w:right w:val="nil"/>
            </w:tcBorders>
          </w:tcPr>
          <w:p w14:paraId="039CDED2" w14:textId="77777777" w:rsidR="00CF0E2D" w:rsidRPr="00D60558" w:rsidRDefault="00CF0E2D" w:rsidP="00A60D4B">
            <w:pPr>
              <w:pStyle w:val="Btablefigureunbold"/>
              <w:ind w:left="0" w:firstLine="0"/>
              <w:jc w:val="left"/>
              <w:rPr>
                <w:rFonts w:cs="Calibri"/>
                <w:color w:val="000000"/>
                <w:szCs w:val="20"/>
              </w:rPr>
            </w:pPr>
            <w:r w:rsidRPr="007677DE">
              <w:rPr>
                <w:rFonts w:cs="Calibri"/>
                <w:color w:val="000000"/>
                <w:szCs w:val="20"/>
              </w:rPr>
              <w:t>Net cost</w:t>
            </w:r>
          </w:p>
        </w:tc>
        <w:tc>
          <w:tcPr>
            <w:tcW w:w="964" w:type="dxa"/>
            <w:gridSpan w:val="2"/>
            <w:tcBorders>
              <w:top w:val="nil"/>
              <w:left w:val="nil"/>
              <w:bottom w:val="nil"/>
              <w:right w:val="nil"/>
            </w:tcBorders>
          </w:tcPr>
          <w:p w14:paraId="341CD42A" w14:textId="77777777" w:rsidR="00CF0E2D" w:rsidRPr="00476D60" w:rsidRDefault="00CF0E2D" w:rsidP="00A60D4B">
            <w:pPr>
              <w:pStyle w:val="Btablefigureunbold"/>
              <w:rPr>
                <w:rFonts w:cs="Calibri"/>
                <w:color w:val="000000"/>
                <w:szCs w:val="20"/>
              </w:rPr>
            </w:pPr>
            <w:r w:rsidRPr="00476D60">
              <w:rPr>
                <w:rFonts w:cs="Calibri"/>
                <w:color w:val="000000"/>
                <w:szCs w:val="20"/>
              </w:rPr>
              <w:t>5,485</w:t>
            </w:r>
          </w:p>
        </w:tc>
        <w:tc>
          <w:tcPr>
            <w:tcW w:w="964" w:type="dxa"/>
            <w:gridSpan w:val="2"/>
            <w:tcBorders>
              <w:top w:val="nil"/>
              <w:left w:val="nil"/>
              <w:bottom w:val="nil"/>
              <w:right w:val="nil"/>
            </w:tcBorders>
          </w:tcPr>
          <w:p w14:paraId="510419BC"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255C3045"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5CB47AEA"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54" w:type="dxa"/>
            <w:gridSpan w:val="2"/>
            <w:tcBorders>
              <w:top w:val="nil"/>
              <w:left w:val="nil"/>
              <w:bottom w:val="nil"/>
              <w:right w:val="nil"/>
            </w:tcBorders>
          </w:tcPr>
          <w:p w14:paraId="12DC5786"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5,485</w:t>
            </w:r>
          </w:p>
        </w:tc>
      </w:tr>
      <w:tr w:rsidR="00CF0E2D" w:rsidRPr="00D60558" w14:paraId="16843BF5" w14:textId="77777777" w:rsidTr="00A60D4B">
        <w:trPr>
          <w:gridAfter w:val="1"/>
          <w:wAfter w:w="9" w:type="dxa"/>
          <w:jc w:val="center"/>
        </w:trPr>
        <w:tc>
          <w:tcPr>
            <w:tcW w:w="3355" w:type="dxa"/>
            <w:tcBorders>
              <w:top w:val="nil"/>
              <w:left w:val="nil"/>
              <w:bottom w:val="nil"/>
              <w:right w:val="nil"/>
            </w:tcBorders>
          </w:tcPr>
          <w:p w14:paraId="3A7EC954" w14:textId="77777777" w:rsidR="00CF0E2D" w:rsidRPr="007219A0" w:rsidRDefault="00CF0E2D" w:rsidP="00A60D4B">
            <w:pPr>
              <w:pStyle w:val="Btabletextunbold"/>
              <w:rPr>
                <w:rFonts w:cs="Calibri"/>
                <w:color w:val="000000"/>
                <w:szCs w:val="20"/>
              </w:rPr>
            </w:pPr>
            <w:r>
              <w:rPr>
                <w:rFonts w:cs="Calibri"/>
                <w:color w:val="000000"/>
                <w:szCs w:val="20"/>
              </w:rPr>
              <w:t>–</w:t>
            </w:r>
            <w:r w:rsidRPr="00E43E5D">
              <w:rPr>
                <w:rFonts w:cs="Calibri"/>
                <w:color w:val="000000"/>
                <w:szCs w:val="20"/>
              </w:rPr>
              <w:t xml:space="preserve"> Extension of temporary contract positions</w:t>
            </w:r>
            <w:r w:rsidRPr="00E43E5D">
              <w:rPr>
                <w:rFonts w:cs="Calibri"/>
                <w:color w:val="000000"/>
                <w:szCs w:val="20"/>
                <w:vertAlign w:val="superscript"/>
              </w:rPr>
              <w:t>1</w:t>
            </w:r>
          </w:p>
        </w:tc>
        <w:tc>
          <w:tcPr>
            <w:tcW w:w="1093" w:type="dxa"/>
            <w:tcBorders>
              <w:top w:val="nil"/>
              <w:left w:val="nil"/>
              <w:bottom w:val="nil"/>
              <w:right w:val="nil"/>
            </w:tcBorders>
          </w:tcPr>
          <w:p w14:paraId="2CFE7C06" w14:textId="77777777" w:rsidR="00CF0E2D" w:rsidRPr="007677DE"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39E8CA39" w14:textId="77777777" w:rsidR="00CF0E2D" w:rsidRPr="00476D60" w:rsidRDefault="00CF0E2D" w:rsidP="00A60D4B">
            <w:pPr>
              <w:pStyle w:val="Btablefigureunbold"/>
              <w:rPr>
                <w:rFonts w:cs="Calibri"/>
                <w:color w:val="000000"/>
                <w:szCs w:val="20"/>
              </w:rPr>
            </w:pPr>
            <w:r w:rsidRPr="00476D60">
              <w:rPr>
                <w:rFonts w:cs="Calibri"/>
                <w:color w:val="000000"/>
                <w:szCs w:val="20"/>
              </w:rPr>
              <w:t>1,790</w:t>
            </w:r>
          </w:p>
        </w:tc>
        <w:tc>
          <w:tcPr>
            <w:tcW w:w="964" w:type="dxa"/>
            <w:gridSpan w:val="2"/>
            <w:tcBorders>
              <w:top w:val="nil"/>
              <w:left w:val="nil"/>
              <w:bottom w:val="nil"/>
              <w:right w:val="nil"/>
            </w:tcBorders>
          </w:tcPr>
          <w:p w14:paraId="32A2B098"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265D806D"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6C149AD4"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54" w:type="dxa"/>
            <w:gridSpan w:val="2"/>
            <w:tcBorders>
              <w:top w:val="nil"/>
              <w:left w:val="nil"/>
              <w:bottom w:val="nil"/>
              <w:right w:val="nil"/>
            </w:tcBorders>
          </w:tcPr>
          <w:p w14:paraId="6D84B0EC"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1,790</w:t>
            </w:r>
          </w:p>
        </w:tc>
      </w:tr>
      <w:tr w:rsidR="00CF0E2D" w:rsidRPr="00D60558" w14:paraId="5570458C" w14:textId="77777777" w:rsidTr="00A60D4B">
        <w:trPr>
          <w:gridAfter w:val="1"/>
          <w:wAfter w:w="9" w:type="dxa"/>
          <w:jc w:val="center"/>
        </w:trPr>
        <w:tc>
          <w:tcPr>
            <w:tcW w:w="3355" w:type="dxa"/>
            <w:tcBorders>
              <w:top w:val="nil"/>
              <w:left w:val="nil"/>
              <w:bottom w:val="nil"/>
              <w:right w:val="nil"/>
            </w:tcBorders>
          </w:tcPr>
          <w:p w14:paraId="69FCE0F8" w14:textId="77777777" w:rsidR="00CF0E2D" w:rsidRDefault="00CF0E2D" w:rsidP="00A60D4B">
            <w:pPr>
              <w:pStyle w:val="Btabletextunbold"/>
              <w:rPr>
                <w:rFonts w:cs="Calibri"/>
                <w:color w:val="000000"/>
                <w:szCs w:val="20"/>
              </w:rPr>
            </w:pPr>
            <w:r w:rsidRPr="007219A0">
              <w:rPr>
                <w:rFonts w:cs="Calibri"/>
                <w:color w:val="000000"/>
                <w:szCs w:val="20"/>
              </w:rPr>
              <w:t xml:space="preserve">– </w:t>
            </w:r>
            <w:r>
              <w:rPr>
                <w:rFonts w:cs="Calibri"/>
                <w:color w:val="000000"/>
                <w:szCs w:val="20"/>
              </w:rPr>
              <w:t>Residential tenancy assistance</w:t>
            </w:r>
          </w:p>
        </w:tc>
        <w:tc>
          <w:tcPr>
            <w:tcW w:w="1093" w:type="dxa"/>
            <w:tcBorders>
              <w:top w:val="nil"/>
              <w:left w:val="nil"/>
              <w:bottom w:val="nil"/>
              <w:right w:val="nil"/>
            </w:tcBorders>
          </w:tcPr>
          <w:p w14:paraId="254F886D" w14:textId="77777777" w:rsidR="00CF0E2D"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77317A83" w14:textId="77777777" w:rsidR="00CF0E2D" w:rsidRPr="00476D60" w:rsidRDefault="00CF0E2D" w:rsidP="00A60D4B">
            <w:pPr>
              <w:pStyle w:val="Btablefigureunbold"/>
              <w:rPr>
                <w:rFonts w:cs="Calibri"/>
                <w:color w:val="000000"/>
                <w:szCs w:val="20"/>
              </w:rPr>
            </w:pPr>
            <w:r>
              <w:rPr>
                <w:rFonts w:cs="Calibri"/>
                <w:color w:val="000000"/>
                <w:szCs w:val="20"/>
              </w:rPr>
              <w:t>2,466</w:t>
            </w:r>
          </w:p>
        </w:tc>
        <w:tc>
          <w:tcPr>
            <w:tcW w:w="964" w:type="dxa"/>
            <w:gridSpan w:val="2"/>
            <w:tcBorders>
              <w:top w:val="nil"/>
              <w:left w:val="nil"/>
              <w:bottom w:val="nil"/>
              <w:right w:val="nil"/>
            </w:tcBorders>
          </w:tcPr>
          <w:p w14:paraId="4035E748" w14:textId="77777777" w:rsidR="00CF0E2D" w:rsidRPr="00476D60" w:rsidRDefault="00CF0E2D" w:rsidP="00A60D4B">
            <w:pPr>
              <w:pStyle w:val="Btablefigureunbold"/>
              <w:rPr>
                <w:rFonts w:cs="Calibri"/>
                <w:color w:val="000000"/>
                <w:szCs w:val="20"/>
              </w:rPr>
            </w:pPr>
            <w:r>
              <w:rPr>
                <w:rFonts w:cs="Calibri"/>
                <w:color w:val="000000"/>
                <w:szCs w:val="20"/>
              </w:rPr>
              <w:t>0</w:t>
            </w:r>
          </w:p>
        </w:tc>
        <w:tc>
          <w:tcPr>
            <w:tcW w:w="964" w:type="dxa"/>
            <w:gridSpan w:val="2"/>
            <w:tcBorders>
              <w:top w:val="nil"/>
              <w:left w:val="nil"/>
              <w:bottom w:val="nil"/>
              <w:right w:val="nil"/>
            </w:tcBorders>
          </w:tcPr>
          <w:p w14:paraId="6EF67A03" w14:textId="77777777" w:rsidR="00CF0E2D" w:rsidRPr="00476D60" w:rsidRDefault="00CF0E2D" w:rsidP="00A60D4B">
            <w:pPr>
              <w:pStyle w:val="Btablefigureunbold"/>
              <w:rPr>
                <w:rFonts w:cs="Calibri"/>
                <w:color w:val="000000"/>
                <w:szCs w:val="20"/>
              </w:rPr>
            </w:pPr>
            <w:r>
              <w:rPr>
                <w:rFonts w:cs="Calibri"/>
                <w:color w:val="000000"/>
                <w:szCs w:val="20"/>
              </w:rPr>
              <w:t>0</w:t>
            </w:r>
          </w:p>
        </w:tc>
        <w:tc>
          <w:tcPr>
            <w:tcW w:w="964" w:type="dxa"/>
            <w:gridSpan w:val="2"/>
            <w:tcBorders>
              <w:top w:val="nil"/>
              <w:left w:val="nil"/>
              <w:bottom w:val="nil"/>
              <w:right w:val="nil"/>
            </w:tcBorders>
          </w:tcPr>
          <w:p w14:paraId="00B3C286" w14:textId="77777777" w:rsidR="00CF0E2D" w:rsidRPr="00476D60" w:rsidRDefault="00CF0E2D" w:rsidP="00A60D4B">
            <w:pPr>
              <w:pStyle w:val="Btablefigureunbold"/>
              <w:rPr>
                <w:rFonts w:cs="Calibri"/>
                <w:color w:val="000000"/>
                <w:szCs w:val="20"/>
              </w:rPr>
            </w:pPr>
            <w:r>
              <w:rPr>
                <w:rFonts w:cs="Calibri"/>
                <w:color w:val="000000"/>
                <w:szCs w:val="20"/>
              </w:rPr>
              <w:t>0</w:t>
            </w:r>
          </w:p>
        </w:tc>
        <w:tc>
          <w:tcPr>
            <w:tcW w:w="954" w:type="dxa"/>
            <w:gridSpan w:val="2"/>
            <w:tcBorders>
              <w:top w:val="nil"/>
              <w:left w:val="nil"/>
              <w:bottom w:val="nil"/>
              <w:right w:val="nil"/>
            </w:tcBorders>
          </w:tcPr>
          <w:p w14:paraId="0B3A44DB" w14:textId="77777777" w:rsidR="00CF0E2D" w:rsidRPr="00476D60" w:rsidRDefault="00CF0E2D" w:rsidP="00A60D4B">
            <w:pPr>
              <w:pStyle w:val="Btablefigureunbold"/>
              <w:rPr>
                <w:rFonts w:cs="Calibri"/>
                <w:b/>
                <w:bCs/>
                <w:color w:val="000000"/>
                <w:szCs w:val="20"/>
              </w:rPr>
            </w:pPr>
            <w:r>
              <w:rPr>
                <w:rFonts w:cs="Calibri"/>
                <w:b/>
                <w:bCs/>
                <w:color w:val="000000"/>
                <w:szCs w:val="20"/>
              </w:rPr>
              <w:t>2,466</w:t>
            </w:r>
          </w:p>
        </w:tc>
      </w:tr>
      <w:tr w:rsidR="00CF0E2D" w:rsidRPr="00D60558" w14:paraId="2F8A8A77" w14:textId="77777777" w:rsidTr="00A60D4B">
        <w:trPr>
          <w:gridAfter w:val="1"/>
          <w:wAfter w:w="9" w:type="dxa"/>
          <w:jc w:val="center"/>
        </w:trPr>
        <w:tc>
          <w:tcPr>
            <w:tcW w:w="3355" w:type="dxa"/>
            <w:tcBorders>
              <w:top w:val="nil"/>
              <w:left w:val="nil"/>
              <w:bottom w:val="nil"/>
              <w:right w:val="nil"/>
            </w:tcBorders>
          </w:tcPr>
          <w:p w14:paraId="4F28F5D8" w14:textId="77777777" w:rsidR="00CF0E2D" w:rsidRPr="005357CD" w:rsidRDefault="00CF0E2D" w:rsidP="00A60D4B">
            <w:pPr>
              <w:pStyle w:val="Btabletextunbold"/>
              <w:rPr>
                <w:rFonts w:cs="Calibri"/>
                <w:i/>
                <w:iCs/>
                <w:color w:val="000000"/>
                <w:szCs w:val="20"/>
              </w:rPr>
            </w:pPr>
            <w:r w:rsidRPr="005357CD">
              <w:rPr>
                <w:rFonts w:cs="Calibri"/>
                <w:i/>
                <w:iCs/>
                <w:color w:val="000000"/>
                <w:szCs w:val="20"/>
              </w:rPr>
              <w:t>COVID-19 response continuation</w:t>
            </w:r>
          </w:p>
        </w:tc>
        <w:tc>
          <w:tcPr>
            <w:tcW w:w="1093" w:type="dxa"/>
            <w:tcBorders>
              <w:top w:val="nil"/>
              <w:left w:val="nil"/>
              <w:bottom w:val="nil"/>
              <w:right w:val="nil"/>
            </w:tcBorders>
          </w:tcPr>
          <w:p w14:paraId="716C49DD" w14:textId="77777777" w:rsidR="00CF0E2D"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625AA0CA" w14:textId="77777777" w:rsidR="00CF0E2D" w:rsidRPr="00476D60"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49D748D0" w14:textId="77777777" w:rsidR="00CF0E2D" w:rsidRPr="00476D60"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63112ED3" w14:textId="77777777" w:rsidR="00CF0E2D" w:rsidRPr="00476D60"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253E37A2" w14:textId="77777777" w:rsidR="00CF0E2D" w:rsidRPr="00476D60" w:rsidRDefault="00CF0E2D" w:rsidP="00A60D4B">
            <w:pPr>
              <w:pStyle w:val="Btablefigureunbold"/>
              <w:rPr>
                <w:rFonts w:cs="Calibri"/>
                <w:color w:val="000000"/>
                <w:szCs w:val="20"/>
              </w:rPr>
            </w:pPr>
          </w:p>
        </w:tc>
        <w:tc>
          <w:tcPr>
            <w:tcW w:w="954" w:type="dxa"/>
            <w:gridSpan w:val="2"/>
            <w:tcBorders>
              <w:top w:val="nil"/>
              <w:left w:val="nil"/>
              <w:bottom w:val="nil"/>
              <w:right w:val="nil"/>
            </w:tcBorders>
          </w:tcPr>
          <w:p w14:paraId="5EE919AA" w14:textId="77777777" w:rsidR="00CF0E2D" w:rsidRPr="00476D60" w:rsidRDefault="00CF0E2D" w:rsidP="00A60D4B">
            <w:pPr>
              <w:pStyle w:val="Btablefigureunbold"/>
              <w:rPr>
                <w:rFonts w:cs="Calibri"/>
                <w:b/>
                <w:bCs/>
                <w:color w:val="000000"/>
                <w:szCs w:val="20"/>
              </w:rPr>
            </w:pPr>
          </w:p>
        </w:tc>
      </w:tr>
      <w:tr w:rsidR="00CF0E2D" w:rsidRPr="00D60558" w14:paraId="4CF4A42C" w14:textId="77777777" w:rsidTr="00A60D4B">
        <w:trPr>
          <w:gridAfter w:val="1"/>
          <w:wAfter w:w="9" w:type="dxa"/>
          <w:jc w:val="center"/>
        </w:trPr>
        <w:tc>
          <w:tcPr>
            <w:tcW w:w="3355" w:type="dxa"/>
            <w:tcBorders>
              <w:top w:val="nil"/>
              <w:left w:val="nil"/>
              <w:bottom w:val="nil"/>
              <w:right w:val="nil"/>
            </w:tcBorders>
          </w:tcPr>
          <w:p w14:paraId="70EECCCC" w14:textId="77777777" w:rsidR="00CF0E2D" w:rsidRPr="007219A0" w:rsidRDefault="00CF0E2D" w:rsidP="00A60D4B">
            <w:pPr>
              <w:pStyle w:val="Btabletextunbold"/>
              <w:rPr>
                <w:rFonts w:cs="Calibri"/>
                <w:color w:val="000000"/>
                <w:szCs w:val="20"/>
              </w:rPr>
            </w:pPr>
            <w:r>
              <w:rPr>
                <w:rFonts w:cs="Calibri"/>
                <w:color w:val="000000"/>
                <w:szCs w:val="20"/>
              </w:rPr>
              <w:t>–</w:t>
            </w:r>
            <w:r w:rsidRPr="007219A0">
              <w:rPr>
                <w:rFonts w:cs="Calibri"/>
                <w:color w:val="000000"/>
                <w:szCs w:val="20"/>
              </w:rPr>
              <w:t xml:space="preserve"> ACT Hardship Fund</w:t>
            </w:r>
          </w:p>
        </w:tc>
        <w:tc>
          <w:tcPr>
            <w:tcW w:w="1093" w:type="dxa"/>
            <w:tcBorders>
              <w:top w:val="nil"/>
              <w:left w:val="nil"/>
              <w:bottom w:val="nil"/>
              <w:right w:val="nil"/>
            </w:tcBorders>
          </w:tcPr>
          <w:p w14:paraId="14339896" w14:textId="77777777" w:rsidR="00CF0E2D" w:rsidRPr="00D60558" w:rsidRDefault="00CF0E2D" w:rsidP="00A60D4B">
            <w:pPr>
              <w:pStyle w:val="Btablefigureunbold"/>
              <w:ind w:left="0" w:firstLine="0"/>
              <w:jc w:val="left"/>
              <w:rPr>
                <w:rFonts w:cs="Calibri"/>
                <w:color w:val="000000"/>
                <w:szCs w:val="20"/>
              </w:rPr>
            </w:pPr>
            <w:r w:rsidRPr="007677DE">
              <w:rPr>
                <w:rFonts w:cs="Calibri"/>
                <w:color w:val="000000"/>
                <w:szCs w:val="20"/>
              </w:rPr>
              <w:t>Net cost</w:t>
            </w:r>
          </w:p>
        </w:tc>
        <w:tc>
          <w:tcPr>
            <w:tcW w:w="964" w:type="dxa"/>
            <w:gridSpan w:val="2"/>
            <w:tcBorders>
              <w:top w:val="nil"/>
              <w:left w:val="nil"/>
              <w:bottom w:val="nil"/>
              <w:right w:val="nil"/>
            </w:tcBorders>
          </w:tcPr>
          <w:p w14:paraId="1A716A51"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0C086545"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3921B240"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5CC02534"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54" w:type="dxa"/>
            <w:gridSpan w:val="2"/>
            <w:tcBorders>
              <w:top w:val="nil"/>
              <w:left w:val="nil"/>
              <w:bottom w:val="nil"/>
              <w:right w:val="nil"/>
            </w:tcBorders>
          </w:tcPr>
          <w:p w14:paraId="52602191"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0</w:t>
            </w:r>
          </w:p>
        </w:tc>
      </w:tr>
      <w:tr w:rsidR="00CF0E2D" w:rsidRPr="00D60558" w14:paraId="73E12C19" w14:textId="77777777" w:rsidTr="00A60D4B">
        <w:trPr>
          <w:gridAfter w:val="1"/>
          <w:wAfter w:w="9" w:type="dxa"/>
          <w:jc w:val="center"/>
        </w:trPr>
        <w:tc>
          <w:tcPr>
            <w:tcW w:w="3355" w:type="dxa"/>
            <w:tcBorders>
              <w:top w:val="nil"/>
              <w:left w:val="nil"/>
              <w:bottom w:val="nil"/>
              <w:right w:val="nil"/>
            </w:tcBorders>
          </w:tcPr>
          <w:p w14:paraId="604B066C" w14:textId="77777777" w:rsidR="00CF0E2D" w:rsidRPr="007219A0" w:rsidRDefault="00CF0E2D" w:rsidP="00A60D4B">
            <w:pPr>
              <w:pStyle w:val="Btabletextunbold"/>
              <w:rPr>
                <w:rFonts w:cs="Calibri"/>
                <w:color w:val="000000"/>
                <w:szCs w:val="20"/>
              </w:rPr>
            </w:pPr>
            <w:r>
              <w:rPr>
                <w:rFonts w:cs="Calibri"/>
                <w:color w:val="000000"/>
                <w:szCs w:val="20"/>
              </w:rPr>
              <w:t>–</w:t>
            </w:r>
            <w:r w:rsidRPr="007219A0">
              <w:rPr>
                <w:rFonts w:cs="Calibri"/>
                <w:color w:val="000000"/>
                <w:szCs w:val="20"/>
              </w:rPr>
              <w:t xml:space="preserve"> Jobs for Canberrans</w:t>
            </w:r>
            <w:r w:rsidRPr="007219A0">
              <w:rPr>
                <w:rFonts w:cs="Calibri"/>
                <w:color w:val="000000"/>
                <w:szCs w:val="20"/>
                <w:vertAlign w:val="superscript"/>
              </w:rPr>
              <w:t>1</w:t>
            </w:r>
            <w:r w:rsidRPr="007219A0">
              <w:rPr>
                <w:rFonts w:cs="Calibri"/>
                <w:color w:val="000000"/>
                <w:szCs w:val="20"/>
              </w:rPr>
              <w:t xml:space="preserve"> </w:t>
            </w:r>
          </w:p>
        </w:tc>
        <w:tc>
          <w:tcPr>
            <w:tcW w:w="1093" w:type="dxa"/>
            <w:tcBorders>
              <w:top w:val="nil"/>
              <w:left w:val="nil"/>
              <w:bottom w:val="nil"/>
              <w:right w:val="nil"/>
            </w:tcBorders>
          </w:tcPr>
          <w:p w14:paraId="3942404A" w14:textId="77777777" w:rsidR="00CF0E2D" w:rsidRPr="00D60558" w:rsidRDefault="00CF0E2D" w:rsidP="00A60D4B">
            <w:pPr>
              <w:pStyle w:val="Btablefigureunbold"/>
              <w:ind w:left="0" w:firstLine="0"/>
              <w:jc w:val="left"/>
              <w:rPr>
                <w:rFonts w:cs="Calibri"/>
                <w:color w:val="000000"/>
                <w:szCs w:val="20"/>
              </w:rPr>
            </w:pPr>
            <w:r w:rsidRPr="007677DE">
              <w:rPr>
                <w:rFonts w:cs="Calibri"/>
                <w:color w:val="000000"/>
                <w:szCs w:val="20"/>
              </w:rPr>
              <w:t>Net cost</w:t>
            </w:r>
          </w:p>
        </w:tc>
        <w:tc>
          <w:tcPr>
            <w:tcW w:w="964" w:type="dxa"/>
            <w:gridSpan w:val="2"/>
            <w:tcBorders>
              <w:top w:val="nil"/>
              <w:left w:val="nil"/>
              <w:bottom w:val="nil"/>
              <w:right w:val="nil"/>
            </w:tcBorders>
          </w:tcPr>
          <w:p w14:paraId="3DA935AB" w14:textId="77777777" w:rsidR="00CF0E2D" w:rsidRPr="00476D60" w:rsidRDefault="00CF0E2D" w:rsidP="00A60D4B">
            <w:pPr>
              <w:pStyle w:val="Btablefigureunbold"/>
              <w:rPr>
                <w:rFonts w:cs="Calibri"/>
                <w:color w:val="000000"/>
                <w:szCs w:val="20"/>
              </w:rPr>
            </w:pPr>
            <w:r w:rsidRPr="00476D60">
              <w:rPr>
                <w:rFonts w:cs="Calibri"/>
                <w:color w:val="000000"/>
                <w:szCs w:val="20"/>
              </w:rPr>
              <w:t>3,528</w:t>
            </w:r>
          </w:p>
        </w:tc>
        <w:tc>
          <w:tcPr>
            <w:tcW w:w="964" w:type="dxa"/>
            <w:gridSpan w:val="2"/>
            <w:tcBorders>
              <w:top w:val="nil"/>
              <w:left w:val="nil"/>
              <w:bottom w:val="nil"/>
              <w:right w:val="nil"/>
            </w:tcBorders>
          </w:tcPr>
          <w:p w14:paraId="1F7CB258"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0DD2AFEA"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66B36498"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54" w:type="dxa"/>
            <w:gridSpan w:val="2"/>
            <w:tcBorders>
              <w:top w:val="nil"/>
              <w:left w:val="nil"/>
              <w:bottom w:val="nil"/>
              <w:right w:val="nil"/>
            </w:tcBorders>
          </w:tcPr>
          <w:p w14:paraId="0B270B17"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3,528</w:t>
            </w:r>
          </w:p>
        </w:tc>
      </w:tr>
      <w:tr w:rsidR="00CF0E2D" w:rsidRPr="00D60558" w14:paraId="224D27AA" w14:textId="77777777" w:rsidTr="00A60D4B">
        <w:trPr>
          <w:gridAfter w:val="1"/>
          <w:wAfter w:w="9" w:type="dxa"/>
          <w:jc w:val="center"/>
        </w:trPr>
        <w:tc>
          <w:tcPr>
            <w:tcW w:w="3355" w:type="dxa"/>
            <w:tcBorders>
              <w:top w:val="nil"/>
              <w:left w:val="nil"/>
              <w:bottom w:val="nil"/>
              <w:right w:val="nil"/>
            </w:tcBorders>
          </w:tcPr>
          <w:p w14:paraId="2065A482" w14:textId="77777777" w:rsidR="00CF0E2D" w:rsidRPr="007219A0" w:rsidRDefault="00CF0E2D" w:rsidP="00A60D4B">
            <w:pPr>
              <w:pStyle w:val="Btabletextunbold"/>
              <w:rPr>
                <w:rFonts w:cs="Calibri"/>
                <w:color w:val="000000"/>
                <w:szCs w:val="20"/>
              </w:rPr>
            </w:pPr>
            <w:r w:rsidRPr="007219A0">
              <w:rPr>
                <w:rFonts w:cs="Calibri"/>
                <w:color w:val="000000"/>
                <w:szCs w:val="20"/>
              </w:rPr>
              <w:t>Digitising Government services</w:t>
            </w:r>
          </w:p>
        </w:tc>
        <w:tc>
          <w:tcPr>
            <w:tcW w:w="1093" w:type="dxa"/>
            <w:tcBorders>
              <w:top w:val="nil"/>
              <w:left w:val="nil"/>
              <w:bottom w:val="nil"/>
              <w:right w:val="nil"/>
            </w:tcBorders>
          </w:tcPr>
          <w:p w14:paraId="7664D894"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15D59F4D" w14:textId="77777777" w:rsidR="00CF0E2D" w:rsidRPr="00476D60" w:rsidRDefault="00CF0E2D" w:rsidP="00A60D4B">
            <w:pPr>
              <w:pStyle w:val="Btablefigureunbold"/>
              <w:rPr>
                <w:rFonts w:cs="Calibri"/>
                <w:color w:val="000000"/>
                <w:szCs w:val="20"/>
              </w:rPr>
            </w:pPr>
            <w:r w:rsidRPr="00476D60">
              <w:rPr>
                <w:rFonts w:cs="Calibri"/>
                <w:color w:val="000000"/>
                <w:szCs w:val="20"/>
              </w:rPr>
              <w:t>10,222</w:t>
            </w:r>
          </w:p>
        </w:tc>
        <w:tc>
          <w:tcPr>
            <w:tcW w:w="964" w:type="dxa"/>
            <w:gridSpan w:val="2"/>
            <w:tcBorders>
              <w:top w:val="nil"/>
              <w:left w:val="nil"/>
              <w:bottom w:val="nil"/>
              <w:right w:val="nil"/>
            </w:tcBorders>
          </w:tcPr>
          <w:p w14:paraId="3F4D186D" w14:textId="77777777" w:rsidR="00CF0E2D" w:rsidRPr="00476D60" w:rsidRDefault="00CF0E2D" w:rsidP="00A60D4B">
            <w:pPr>
              <w:pStyle w:val="Btablefigureunbold"/>
              <w:rPr>
                <w:rFonts w:cs="Calibri"/>
                <w:color w:val="000000"/>
                <w:szCs w:val="20"/>
              </w:rPr>
            </w:pPr>
            <w:r w:rsidRPr="00476D60">
              <w:rPr>
                <w:rFonts w:cs="Calibri"/>
                <w:color w:val="000000"/>
                <w:szCs w:val="20"/>
              </w:rPr>
              <w:t>1,742</w:t>
            </w:r>
          </w:p>
        </w:tc>
        <w:tc>
          <w:tcPr>
            <w:tcW w:w="964" w:type="dxa"/>
            <w:gridSpan w:val="2"/>
            <w:tcBorders>
              <w:top w:val="nil"/>
              <w:left w:val="nil"/>
              <w:bottom w:val="nil"/>
              <w:right w:val="nil"/>
            </w:tcBorders>
          </w:tcPr>
          <w:p w14:paraId="0BAEE412"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4F702B2E"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54" w:type="dxa"/>
            <w:gridSpan w:val="2"/>
            <w:tcBorders>
              <w:top w:val="nil"/>
              <w:left w:val="nil"/>
              <w:bottom w:val="nil"/>
              <w:right w:val="nil"/>
            </w:tcBorders>
          </w:tcPr>
          <w:p w14:paraId="1D3556BC"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11,964</w:t>
            </w:r>
          </w:p>
        </w:tc>
      </w:tr>
      <w:tr w:rsidR="00CF0E2D" w:rsidRPr="00D60558" w14:paraId="75660B42" w14:textId="77777777" w:rsidTr="00A60D4B">
        <w:trPr>
          <w:gridAfter w:val="1"/>
          <w:wAfter w:w="9" w:type="dxa"/>
          <w:jc w:val="center"/>
        </w:trPr>
        <w:tc>
          <w:tcPr>
            <w:tcW w:w="3355" w:type="dxa"/>
            <w:tcBorders>
              <w:top w:val="nil"/>
              <w:left w:val="nil"/>
              <w:bottom w:val="nil"/>
              <w:right w:val="nil"/>
            </w:tcBorders>
          </w:tcPr>
          <w:p w14:paraId="04F77589" w14:textId="77777777" w:rsidR="00CF0E2D" w:rsidRPr="007219A0" w:rsidRDefault="00CF0E2D" w:rsidP="00A60D4B">
            <w:pPr>
              <w:pStyle w:val="Btabletextunbold"/>
              <w:rPr>
                <w:rFonts w:cs="Calibri"/>
                <w:color w:val="000000"/>
                <w:szCs w:val="20"/>
              </w:rPr>
            </w:pPr>
            <w:r w:rsidRPr="007219A0">
              <w:rPr>
                <w:rFonts w:cs="Calibri"/>
                <w:color w:val="000000"/>
                <w:szCs w:val="20"/>
              </w:rPr>
              <w:t>Digitising Government services</w:t>
            </w:r>
          </w:p>
        </w:tc>
        <w:tc>
          <w:tcPr>
            <w:tcW w:w="1093" w:type="dxa"/>
            <w:tcBorders>
              <w:top w:val="nil"/>
              <w:left w:val="nil"/>
              <w:bottom w:val="nil"/>
              <w:right w:val="nil"/>
            </w:tcBorders>
          </w:tcPr>
          <w:p w14:paraId="2464B4E8"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467CDB3C" w14:textId="77777777" w:rsidR="00CF0E2D" w:rsidRPr="00476D60" w:rsidRDefault="00CF0E2D" w:rsidP="00A60D4B">
            <w:pPr>
              <w:pStyle w:val="Btablefigureunbold"/>
              <w:rPr>
                <w:rFonts w:cs="Calibri"/>
                <w:color w:val="000000"/>
                <w:szCs w:val="20"/>
              </w:rPr>
            </w:pPr>
            <w:r w:rsidRPr="00476D60">
              <w:rPr>
                <w:rFonts w:cs="Calibri"/>
                <w:color w:val="000000"/>
                <w:szCs w:val="20"/>
              </w:rPr>
              <w:t>3,343</w:t>
            </w:r>
          </w:p>
        </w:tc>
        <w:tc>
          <w:tcPr>
            <w:tcW w:w="964" w:type="dxa"/>
            <w:gridSpan w:val="2"/>
            <w:tcBorders>
              <w:top w:val="nil"/>
              <w:left w:val="nil"/>
              <w:bottom w:val="nil"/>
              <w:right w:val="nil"/>
            </w:tcBorders>
          </w:tcPr>
          <w:p w14:paraId="3EF3540E" w14:textId="77777777" w:rsidR="00CF0E2D" w:rsidRPr="00476D60" w:rsidRDefault="00CF0E2D" w:rsidP="00A60D4B">
            <w:pPr>
              <w:pStyle w:val="Btablefigureunbold"/>
              <w:rPr>
                <w:rFonts w:cs="Calibri"/>
                <w:color w:val="000000"/>
                <w:szCs w:val="20"/>
              </w:rPr>
            </w:pPr>
            <w:r w:rsidRPr="00476D60">
              <w:rPr>
                <w:rFonts w:cs="Calibri"/>
                <w:color w:val="000000"/>
                <w:szCs w:val="20"/>
              </w:rPr>
              <w:t>3,302</w:t>
            </w:r>
          </w:p>
        </w:tc>
        <w:tc>
          <w:tcPr>
            <w:tcW w:w="964" w:type="dxa"/>
            <w:gridSpan w:val="2"/>
            <w:tcBorders>
              <w:top w:val="nil"/>
              <w:left w:val="nil"/>
              <w:bottom w:val="nil"/>
              <w:right w:val="nil"/>
            </w:tcBorders>
          </w:tcPr>
          <w:p w14:paraId="17EC6CF6" w14:textId="77777777" w:rsidR="00CF0E2D" w:rsidRPr="00476D60" w:rsidRDefault="00CF0E2D" w:rsidP="00A60D4B">
            <w:pPr>
              <w:pStyle w:val="Btablefigureunbold"/>
              <w:rPr>
                <w:rFonts w:cs="Calibri"/>
                <w:color w:val="000000"/>
                <w:szCs w:val="20"/>
              </w:rPr>
            </w:pPr>
            <w:r w:rsidRPr="00476D60">
              <w:rPr>
                <w:rFonts w:cs="Calibri"/>
                <w:color w:val="000000"/>
                <w:szCs w:val="20"/>
              </w:rPr>
              <w:t>4,052</w:t>
            </w:r>
          </w:p>
        </w:tc>
        <w:tc>
          <w:tcPr>
            <w:tcW w:w="964" w:type="dxa"/>
            <w:gridSpan w:val="2"/>
            <w:tcBorders>
              <w:top w:val="nil"/>
              <w:left w:val="nil"/>
              <w:bottom w:val="nil"/>
              <w:right w:val="nil"/>
            </w:tcBorders>
          </w:tcPr>
          <w:p w14:paraId="641CE4F8" w14:textId="77777777" w:rsidR="00CF0E2D" w:rsidRPr="00476D60" w:rsidRDefault="00CF0E2D" w:rsidP="00A60D4B">
            <w:pPr>
              <w:pStyle w:val="Btablefigureunbold"/>
              <w:rPr>
                <w:rFonts w:cs="Calibri"/>
                <w:color w:val="000000"/>
                <w:szCs w:val="20"/>
              </w:rPr>
            </w:pPr>
            <w:r w:rsidRPr="00476D60">
              <w:rPr>
                <w:rFonts w:cs="Calibri"/>
                <w:color w:val="000000"/>
                <w:szCs w:val="20"/>
              </w:rPr>
              <w:t>4,115</w:t>
            </w:r>
          </w:p>
        </w:tc>
        <w:tc>
          <w:tcPr>
            <w:tcW w:w="954" w:type="dxa"/>
            <w:gridSpan w:val="2"/>
            <w:tcBorders>
              <w:top w:val="nil"/>
              <w:left w:val="nil"/>
              <w:bottom w:val="nil"/>
              <w:right w:val="nil"/>
            </w:tcBorders>
          </w:tcPr>
          <w:p w14:paraId="4388E27F"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14,812</w:t>
            </w:r>
          </w:p>
        </w:tc>
      </w:tr>
      <w:tr w:rsidR="00CF0E2D" w:rsidRPr="00D60558" w14:paraId="0FE3CBB8" w14:textId="77777777" w:rsidTr="00A60D4B">
        <w:trPr>
          <w:gridAfter w:val="1"/>
          <w:wAfter w:w="9" w:type="dxa"/>
          <w:jc w:val="center"/>
        </w:trPr>
        <w:tc>
          <w:tcPr>
            <w:tcW w:w="3355" w:type="dxa"/>
            <w:tcBorders>
              <w:top w:val="nil"/>
              <w:left w:val="nil"/>
              <w:bottom w:val="nil"/>
              <w:right w:val="nil"/>
            </w:tcBorders>
          </w:tcPr>
          <w:p w14:paraId="66CADD1C" w14:textId="77777777" w:rsidR="00CF0E2D" w:rsidRPr="007219A0" w:rsidRDefault="00CF0E2D" w:rsidP="00A60D4B">
            <w:pPr>
              <w:pStyle w:val="Btabletextunbold"/>
              <w:rPr>
                <w:rFonts w:cs="Calibri"/>
                <w:color w:val="000000"/>
                <w:szCs w:val="20"/>
              </w:rPr>
            </w:pPr>
            <w:r w:rsidRPr="007219A0">
              <w:rPr>
                <w:rFonts w:cs="Calibri"/>
                <w:color w:val="000000"/>
                <w:szCs w:val="20"/>
              </w:rPr>
              <w:t>Exhibition Park redevelopment and expansion</w:t>
            </w:r>
          </w:p>
        </w:tc>
        <w:tc>
          <w:tcPr>
            <w:tcW w:w="1093" w:type="dxa"/>
            <w:tcBorders>
              <w:top w:val="nil"/>
              <w:left w:val="nil"/>
              <w:bottom w:val="nil"/>
              <w:right w:val="nil"/>
            </w:tcBorders>
          </w:tcPr>
          <w:p w14:paraId="0F915803"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55EA2096" w14:textId="77777777" w:rsidR="00CF0E2D" w:rsidRPr="00476D60" w:rsidRDefault="00CF0E2D" w:rsidP="00A60D4B">
            <w:pPr>
              <w:pStyle w:val="Btablefigureunbold"/>
              <w:rPr>
                <w:rFonts w:cs="Calibri"/>
                <w:color w:val="000000"/>
                <w:szCs w:val="20"/>
              </w:rPr>
            </w:pPr>
            <w:r w:rsidRPr="00476D60">
              <w:rPr>
                <w:rFonts w:cs="Calibri"/>
                <w:color w:val="000000"/>
                <w:szCs w:val="20"/>
              </w:rPr>
              <w:t>104</w:t>
            </w:r>
          </w:p>
        </w:tc>
        <w:tc>
          <w:tcPr>
            <w:tcW w:w="964" w:type="dxa"/>
            <w:gridSpan w:val="2"/>
            <w:tcBorders>
              <w:top w:val="nil"/>
              <w:left w:val="nil"/>
              <w:bottom w:val="nil"/>
              <w:right w:val="nil"/>
            </w:tcBorders>
          </w:tcPr>
          <w:p w14:paraId="11F10EDC"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67D3C4C4"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423091E8"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54" w:type="dxa"/>
            <w:gridSpan w:val="2"/>
            <w:tcBorders>
              <w:top w:val="nil"/>
              <w:left w:val="nil"/>
              <w:bottom w:val="nil"/>
              <w:right w:val="nil"/>
            </w:tcBorders>
          </w:tcPr>
          <w:p w14:paraId="5C5A510A"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104</w:t>
            </w:r>
          </w:p>
        </w:tc>
      </w:tr>
      <w:tr w:rsidR="00CF0E2D" w:rsidRPr="00D60558" w14:paraId="6C388484" w14:textId="77777777" w:rsidTr="00A60D4B">
        <w:trPr>
          <w:gridAfter w:val="1"/>
          <w:wAfter w:w="9" w:type="dxa"/>
          <w:jc w:val="center"/>
        </w:trPr>
        <w:tc>
          <w:tcPr>
            <w:tcW w:w="3355" w:type="dxa"/>
            <w:tcBorders>
              <w:top w:val="nil"/>
              <w:left w:val="nil"/>
              <w:bottom w:val="nil"/>
              <w:right w:val="nil"/>
            </w:tcBorders>
          </w:tcPr>
          <w:p w14:paraId="310B1894" w14:textId="77777777" w:rsidR="00CF0E2D" w:rsidRPr="007219A0" w:rsidRDefault="00CF0E2D" w:rsidP="00A60D4B">
            <w:pPr>
              <w:pStyle w:val="Btabletextunbold"/>
              <w:rPr>
                <w:rFonts w:cs="Calibri"/>
                <w:color w:val="000000"/>
                <w:szCs w:val="20"/>
              </w:rPr>
            </w:pPr>
            <w:r w:rsidRPr="007219A0">
              <w:rPr>
                <w:rFonts w:cs="Calibri"/>
                <w:color w:val="000000"/>
                <w:szCs w:val="20"/>
              </w:rPr>
              <w:t>Exhibition Park redevelopment and expansion</w:t>
            </w:r>
          </w:p>
        </w:tc>
        <w:tc>
          <w:tcPr>
            <w:tcW w:w="1093" w:type="dxa"/>
            <w:tcBorders>
              <w:top w:val="nil"/>
              <w:left w:val="nil"/>
              <w:bottom w:val="nil"/>
              <w:right w:val="nil"/>
            </w:tcBorders>
          </w:tcPr>
          <w:p w14:paraId="11BAAB3A"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41479228" w14:textId="77777777" w:rsidR="00CF0E2D" w:rsidRPr="00476D60" w:rsidRDefault="00CF0E2D" w:rsidP="00A60D4B">
            <w:pPr>
              <w:pStyle w:val="Btablefigureunbold"/>
              <w:rPr>
                <w:rFonts w:cs="Calibri"/>
                <w:color w:val="000000"/>
                <w:szCs w:val="20"/>
              </w:rPr>
            </w:pPr>
            <w:r w:rsidRPr="00476D60">
              <w:rPr>
                <w:rFonts w:cs="Calibri"/>
                <w:color w:val="000000"/>
                <w:szCs w:val="20"/>
              </w:rPr>
              <w:t>416</w:t>
            </w:r>
          </w:p>
        </w:tc>
        <w:tc>
          <w:tcPr>
            <w:tcW w:w="964" w:type="dxa"/>
            <w:gridSpan w:val="2"/>
            <w:tcBorders>
              <w:top w:val="nil"/>
              <w:left w:val="nil"/>
              <w:bottom w:val="nil"/>
              <w:right w:val="nil"/>
            </w:tcBorders>
          </w:tcPr>
          <w:p w14:paraId="71BEEA4F"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442FDA7A"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7ADD44DF" w14:textId="77777777" w:rsidR="00CF0E2D" w:rsidRPr="00476D60" w:rsidRDefault="00CF0E2D" w:rsidP="00A60D4B">
            <w:pPr>
              <w:pStyle w:val="Btablefigureunbold"/>
              <w:rPr>
                <w:rFonts w:cs="Calibri"/>
                <w:color w:val="000000"/>
                <w:szCs w:val="20"/>
              </w:rPr>
            </w:pPr>
            <w:r w:rsidRPr="00476D60">
              <w:rPr>
                <w:rFonts w:cs="Calibri"/>
                <w:color w:val="000000"/>
                <w:szCs w:val="20"/>
              </w:rPr>
              <w:t>2</w:t>
            </w:r>
          </w:p>
        </w:tc>
        <w:tc>
          <w:tcPr>
            <w:tcW w:w="954" w:type="dxa"/>
            <w:gridSpan w:val="2"/>
            <w:tcBorders>
              <w:top w:val="nil"/>
              <w:left w:val="nil"/>
              <w:bottom w:val="nil"/>
              <w:right w:val="nil"/>
            </w:tcBorders>
          </w:tcPr>
          <w:p w14:paraId="15A814F4"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418</w:t>
            </w:r>
          </w:p>
        </w:tc>
      </w:tr>
      <w:tr w:rsidR="00CF0E2D" w:rsidRPr="00D60558" w14:paraId="7E22478D" w14:textId="77777777" w:rsidTr="00A60D4B">
        <w:trPr>
          <w:gridAfter w:val="1"/>
          <w:wAfter w:w="9" w:type="dxa"/>
          <w:jc w:val="center"/>
        </w:trPr>
        <w:tc>
          <w:tcPr>
            <w:tcW w:w="3355" w:type="dxa"/>
            <w:tcBorders>
              <w:top w:val="nil"/>
              <w:left w:val="nil"/>
              <w:bottom w:val="nil"/>
              <w:right w:val="nil"/>
            </w:tcBorders>
          </w:tcPr>
          <w:p w14:paraId="4F40BEC7" w14:textId="77777777" w:rsidR="00CF0E2D" w:rsidRPr="00E43E5D" w:rsidRDefault="00CF0E2D" w:rsidP="00A60D4B">
            <w:pPr>
              <w:pStyle w:val="Btabletextunbold"/>
              <w:rPr>
                <w:rFonts w:cs="Calibri"/>
                <w:color w:val="000000"/>
                <w:szCs w:val="20"/>
              </w:rPr>
            </w:pPr>
            <w:r w:rsidRPr="00E43E5D">
              <w:rPr>
                <w:rFonts w:cs="Calibri"/>
                <w:color w:val="000000"/>
                <w:szCs w:val="20"/>
              </w:rPr>
              <w:t xml:space="preserve">Gungahlin Community Centre </w:t>
            </w:r>
            <w:r>
              <w:rPr>
                <w:rFonts w:cs="Calibri"/>
                <w:color w:val="000000"/>
                <w:szCs w:val="20"/>
              </w:rPr>
              <w:t>–</w:t>
            </w:r>
            <w:r w:rsidRPr="00E43E5D">
              <w:rPr>
                <w:rFonts w:cs="Calibri"/>
                <w:color w:val="000000"/>
                <w:szCs w:val="20"/>
              </w:rPr>
              <w:t xml:space="preserve"> feasibility and design </w:t>
            </w:r>
          </w:p>
        </w:tc>
        <w:tc>
          <w:tcPr>
            <w:tcW w:w="1093" w:type="dxa"/>
            <w:tcBorders>
              <w:top w:val="nil"/>
              <w:left w:val="nil"/>
              <w:bottom w:val="nil"/>
              <w:right w:val="nil"/>
            </w:tcBorders>
          </w:tcPr>
          <w:p w14:paraId="01E3B7D5" w14:textId="77777777" w:rsidR="00CF0E2D" w:rsidRPr="00D60558" w:rsidRDefault="00CF0E2D" w:rsidP="00A60D4B">
            <w:pPr>
              <w:pStyle w:val="Btablefigureunbold"/>
              <w:ind w:left="0" w:firstLine="0"/>
              <w:jc w:val="left"/>
              <w:rPr>
                <w:rFonts w:cs="Calibri"/>
                <w:color w:val="000000"/>
                <w:szCs w:val="20"/>
              </w:rPr>
            </w:pPr>
            <w:r w:rsidRPr="00DB669A">
              <w:rPr>
                <w:rFonts w:cs="Calibri"/>
                <w:color w:val="000000"/>
                <w:szCs w:val="20"/>
              </w:rPr>
              <w:t>Net cost</w:t>
            </w:r>
          </w:p>
        </w:tc>
        <w:tc>
          <w:tcPr>
            <w:tcW w:w="964" w:type="dxa"/>
            <w:gridSpan w:val="2"/>
            <w:tcBorders>
              <w:top w:val="nil"/>
              <w:left w:val="nil"/>
              <w:bottom w:val="nil"/>
              <w:right w:val="nil"/>
            </w:tcBorders>
          </w:tcPr>
          <w:p w14:paraId="18100A33" w14:textId="77777777" w:rsidR="00CF0E2D" w:rsidRPr="00476D60" w:rsidRDefault="00CF0E2D" w:rsidP="00A60D4B">
            <w:pPr>
              <w:pStyle w:val="Btablefigureunbold"/>
              <w:rPr>
                <w:rFonts w:cs="Calibri"/>
                <w:color w:val="000000"/>
                <w:szCs w:val="20"/>
              </w:rPr>
            </w:pPr>
            <w:r w:rsidRPr="00476D60">
              <w:rPr>
                <w:rFonts w:cs="Calibri"/>
                <w:color w:val="000000"/>
                <w:szCs w:val="20"/>
              </w:rPr>
              <w:t>150</w:t>
            </w:r>
          </w:p>
        </w:tc>
        <w:tc>
          <w:tcPr>
            <w:tcW w:w="964" w:type="dxa"/>
            <w:gridSpan w:val="2"/>
            <w:tcBorders>
              <w:top w:val="nil"/>
              <w:left w:val="nil"/>
              <w:bottom w:val="nil"/>
              <w:right w:val="nil"/>
            </w:tcBorders>
          </w:tcPr>
          <w:p w14:paraId="3A63F343" w14:textId="77777777" w:rsidR="00CF0E2D" w:rsidRPr="00476D60" w:rsidRDefault="00CF0E2D" w:rsidP="00A60D4B">
            <w:pPr>
              <w:pStyle w:val="Btablefigureunbold"/>
              <w:rPr>
                <w:rFonts w:cs="Calibri"/>
                <w:color w:val="000000"/>
                <w:szCs w:val="20"/>
              </w:rPr>
            </w:pPr>
            <w:r w:rsidRPr="00476D60">
              <w:rPr>
                <w:rFonts w:cs="Calibri"/>
                <w:color w:val="000000"/>
                <w:szCs w:val="20"/>
              </w:rPr>
              <w:t>150</w:t>
            </w:r>
          </w:p>
        </w:tc>
        <w:tc>
          <w:tcPr>
            <w:tcW w:w="964" w:type="dxa"/>
            <w:gridSpan w:val="2"/>
            <w:tcBorders>
              <w:top w:val="nil"/>
              <w:left w:val="nil"/>
              <w:bottom w:val="nil"/>
              <w:right w:val="nil"/>
            </w:tcBorders>
          </w:tcPr>
          <w:p w14:paraId="27782CAE"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4856D2CC"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54" w:type="dxa"/>
            <w:gridSpan w:val="2"/>
            <w:tcBorders>
              <w:top w:val="nil"/>
              <w:left w:val="nil"/>
              <w:bottom w:val="nil"/>
              <w:right w:val="nil"/>
            </w:tcBorders>
          </w:tcPr>
          <w:p w14:paraId="45E1AFCE"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300</w:t>
            </w:r>
          </w:p>
        </w:tc>
      </w:tr>
      <w:tr w:rsidR="00CF0E2D" w:rsidRPr="00D60558" w14:paraId="32BAB580" w14:textId="77777777" w:rsidTr="00A60D4B">
        <w:trPr>
          <w:gridAfter w:val="1"/>
          <w:wAfter w:w="9" w:type="dxa"/>
          <w:jc w:val="center"/>
        </w:trPr>
        <w:tc>
          <w:tcPr>
            <w:tcW w:w="3355" w:type="dxa"/>
            <w:tcBorders>
              <w:top w:val="nil"/>
              <w:left w:val="nil"/>
              <w:bottom w:val="nil"/>
              <w:right w:val="nil"/>
            </w:tcBorders>
          </w:tcPr>
          <w:p w14:paraId="041FE4A3" w14:textId="77777777" w:rsidR="00CF0E2D" w:rsidRPr="00E43E5D" w:rsidRDefault="00CF0E2D" w:rsidP="00A60D4B">
            <w:pPr>
              <w:pStyle w:val="Btabletextunbold"/>
              <w:rPr>
                <w:rFonts w:cs="Calibri"/>
                <w:color w:val="000000"/>
                <w:szCs w:val="20"/>
              </w:rPr>
            </w:pPr>
            <w:r w:rsidRPr="00E43E5D">
              <w:rPr>
                <w:rFonts w:cs="Calibri"/>
                <w:color w:val="000000"/>
                <w:szCs w:val="20"/>
              </w:rPr>
              <w:t>Holocaust Museum and Education Centre in Canberra</w:t>
            </w:r>
          </w:p>
        </w:tc>
        <w:tc>
          <w:tcPr>
            <w:tcW w:w="1093" w:type="dxa"/>
            <w:tcBorders>
              <w:top w:val="nil"/>
              <w:left w:val="nil"/>
              <w:bottom w:val="nil"/>
              <w:right w:val="nil"/>
            </w:tcBorders>
          </w:tcPr>
          <w:p w14:paraId="5692F0CB" w14:textId="77777777" w:rsidR="00CF0E2D" w:rsidRPr="00D60558" w:rsidRDefault="00CF0E2D" w:rsidP="00A60D4B">
            <w:pPr>
              <w:pStyle w:val="Btablefigureunbold"/>
              <w:ind w:left="0" w:firstLine="0"/>
              <w:jc w:val="left"/>
              <w:rPr>
                <w:rFonts w:cs="Calibri"/>
                <w:color w:val="000000"/>
                <w:szCs w:val="20"/>
              </w:rPr>
            </w:pPr>
            <w:r w:rsidRPr="00DB669A">
              <w:rPr>
                <w:rFonts w:cs="Calibri"/>
                <w:color w:val="000000"/>
                <w:szCs w:val="20"/>
              </w:rPr>
              <w:t>Net cost</w:t>
            </w:r>
          </w:p>
        </w:tc>
        <w:tc>
          <w:tcPr>
            <w:tcW w:w="964" w:type="dxa"/>
            <w:gridSpan w:val="2"/>
            <w:tcBorders>
              <w:top w:val="nil"/>
              <w:left w:val="nil"/>
              <w:bottom w:val="nil"/>
              <w:right w:val="nil"/>
            </w:tcBorders>
          </w:tcPr>
          <w:p w14:paraId="5E2C82B2" w14:textId="77777777" w:rsidR="00CF0E2D" w:rsidRPr="00476D60" w:rsidRDefault="00CF0E2D" w:rsidP="00A60D4B">
            <w:pPr>
              <w:pStyle w:val="Btablefigureunbold"/>
              <w:rPr>
                <w:rFonts w:cs="Calibri"/>
                <w:color w:val="000000"/>
                <w:szCs w:val="20"/>
              </w:rPr>
            </w:pPr>
            <w:r w:rsidRPr="00476D60">
              <w:rPr>
                <w:rFonts w:cs="Calibri"/>
                <w:color w:val="000000"/>
                <w:szCs w:val="20"/>
              </w:rPr>
              <w:t>750</w:t>
            </w:r>
          </w:p>
        </w:tc>
        <w:tc>
          <w:tcPr>
            <w:tcW w:w="964" w:type="dxa"/>
            <w:gridSpan w:val="2"/>
            <w:tcBorders>
              <w:top w:val="nil"/>
              <w:left w:val="nil"/>
              <w:bottom w:val="nil"/>
              <w:right w:val="nil"/>
            </w:tcBorders>
          </w:tcPr>
          <w:p w14:paraId="6C9ED688"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24990084"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1CB58B04"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54" w:type="dxa"/>
            <w:gridSpan w:val="2"/>
            <w:tcBorders>
              <w:top w:val="nil"/>
              <w:left w:val="nil"/>
              <w:bottom w:val="nil"/>
              <w:right w:val="nil"/>
            </w:tcBorders>
          </w:tcPr>
          <w:p w14:paraId="7BA2E1BB"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750</w:t>
            </w:r>
          </w:p>
        </w:tc>
      </w:tr>
      <w:tr w:rsidR="00CF0E2D" w:rsidRPr="00D60558" w14:paraId="7DF52A85" w14:textId="77777777" w:rsidTr="00A60D4B">
        <w:trPr>
          <w:gridAfter w:val="1"/>
          <w:wAfter w:w="9" w:type="dxa"/>
          <w:jc w:val="center"/>
        </w:trPr>
        <w:tc>
          <w:tcPr>
            <w:tcW w:w="3355" w:type="dxa"/>
            <w:tcBorders>
              <w:top w:val="nil"/>
              <w:left w:val="nil"/>
              <w:bottom w:val="nil"/>
              <w:right w:val="nil"/>
            </w:tcBorders>
          </w:tcPr>
          <w:p w14:paraId="3FD1BF00" w14:textId="77777777" w:rsidR="00CF0E2D" w:rsidRPr="00E43E5D" w:rsidRDefault="00CF0E2D" w:rsidP="00A60D4B">
            <w:pPr>
              <w:pStyle w:val="Btabletextunbold"/>
              <w:rPr>
                <w:rFonts w:cs="Calibri"/>
                <w:color w:val="000000"/>
                <w:szCs w:val="20"/>
              </w:rPr>
            </w:pPr>
            <w:r w:rsidRPr="00E43E5D">
              <w:rPr>
                <w:rFonts w:cs="Calibri"/>
                <w:color w:val="000000"/>
                <w:szCs w:val="20"/>
              </w:rPr>
              <w:t>Implementing recommendations on the Secure Local Jobs Code</w:t>
            </w:r>
          </w:p>
        </w:tc>
        <w:tc>
          <w:tcPr>
            <w:tcW w:w="1093" w:type="dxa"/>
            <w:tcBorders>
              <w:top w:val="nil"/>
              <w:left w:val="nil"/>
              <w:bottom w:val="nil"/>
              <w:right w:val="nil"/>
            </w:tcBorders>
          </w:tcPr>
          <w:p w14:paraId="6C99321F" w14:textId="77777777" w:rsidR="00CF0E2D" w:rsidRPr="00D60558" w:rsidRDefault="00CF0E2D" w:rsidP="00A60D4B">
            <w:pPr>
              <w:pStyle w:val="Btablefigureunbold"/>
              <w:ind w:left="0" w:firstLine="0"/>
              <w:jc w:val="left"/>
              <w:rPr>
                <w:rFonts w:cs="Calibri"/>
                <w:color w:val="000000"/>
                <w:szCs w:val="20"/>
              </w:rPr>
            </w:pPr>
            <w:r w:rsidRPr="00DB669A">
              <w:rPr>
                <w:rFonts w:cs="Calibri"/>
                <w:color w:val="000000"/>
                <w:szCs w:val="20"/>
              </w:rPr>
              <w:t>Net cost</w:t>
            </w:r>
          </w:p>
        </w:tc>
        <w:tc>
          <w:tcPr>
            <w:tcW w:w="964" w:type="dxa"/>
            <w:gridSpan w:val="2"/>
            <w:tcBorders>
              <w:top w:val="nil"/>
              <w:left w:val="nil"/>
              <w:bottom w:val="nil"/>
              <w:right w:val="nil"/>
            </w:tcBorders>
          </w:tcPr>
          <w:p w14:paraId="4C24C845" w14:textId="77777777" w:rsidR="00CF0E2D" w:rsidRPr="00476D60" w:rsidRDefault="00CF0E2D" w:rsidP="00A60D4B">
            <w:pPr>
              <w:pStyle w:val="Btablefigureunbold"/>
              <w:rPr>
                <w:rFonts w:cs="Calibri"/>
                <w:color w:val="000000"/>
                <w:szCs w:val="20"/>
              </w:rPr>
            </w:pPr>
            <w:r w:rsidRPr="00476D60">
              <w:rPr>
                <w:rFonts w:cs="Calibri"/>
                <w:color w:val="000000"/>
                <w:szCs w:val="20"/>
              </w:rPr>
              <w:t>615</w:t>
            </w:r>
          </w:p>
        </w:tc>
        <w:tc>
          <w:tcPr>
            <w:tcW w:w="964" w:type="dxa"/>
            <w:gridSpan w:val="2"/>
            <w:tcBorders>
              <w:top w:val="nil"/>
              <w:left w:val="nil"/>
              <w:bottom w:val="nil"/>
              <w:right w:val="nil"/>
            </w:tcBorders>
          </w:tcPr>
          <w:p w14:paraId="3A23E665" w14:textId="77777777" w:rsidR="00CF0E2D" w:rsidRPr="00476D60" w:rsidRDefault="00CF0E2D" w:rsidP="00A60D4B">
            <w:pPr>
              <w:pStyle w:val="Btablefigureunbold"/>
              <w:rPr>
                <w:rFonts w:cs="Calibri"/>
                <w:color w:val="000000"/>
                <w:szCs w:val="20"/>
              </w:rPr>
            </w:pPr>
            <w:r w:rsidRPr="00476D60">
              <w:rPr>
                <w:rFonts w:cs="Calibri"/>
                <w:color w:val="000000"/>
                <w:szCs w:val="20"/>
              </w:rPr>
              <w:t>935</w:t>
            </w:r>
          </w:p>
        </w:tc>
        <w:tc>
          <w:tcPr>
            <w:tcW w:w="964" w:type="dxa"/>
            <w:gridSpan w:val="2"/>
            <w:tcBorders>
              <w:top w:val="nil"/>
              <w:left w:val="nil"/>
              <w:bottom w:val="nil"/>
              <w:right w:val="nil"/>
            </w:tcBorders>
          </w:tcPr>
          <w:p w14:paraId="0E4A76AE" w14:textId="77777777" w:rsidR="00CF0E2D" w:rsidRPr="00476D60" w:rsidRDefault="00CF0E2D" w:rsidP="00A60D4B">
            <w:pPr>
              <w:pStyle w:val="Btablefigureunbold"/>
              <w:rPr>
                <w:rFonts w:cs="Calibri"/>
                <w:color w:val="000000"/>
                <w:szCs w:val="20"/>
              </w:rPr>
            </w:pPr>
            <w:r w:rsidRPr="00476D60">
              <w:rPr>
                <w:rFonts w:cs="Calibri"/>
                <w:color w:val="000000"/>
                <w:szCs w:val="20"/>
              </w:rPr>
              <w:t>948</w:t>
            </w:r>
          </w:p>
        </w:tc>
        <w:tc>
          <w:tcPr>
            <w:tcW w:w="964" w:type="dxa"/>
            <w:gridSpan w:val="2"/>
            <w:tcBorders>
              <w:top w:val="nil"/>
              <w:left w:val="nil"/>
              <w:bottom w:val="nil"/>
              <w:right w:val="nil"/>
            </w:tcBorders>
          </w:tcPr>
          <w:p w14:paraId="59B79759" w14:textId="77777777" w:rsidR="00CF0E2D" w:rsidRPr="00476D60" w:rsidRDefault="00CF0E2D" w:rsidP="00A60D4B">
            <w:pPr>
              <w:pStyle w:val="Btablefigureunbold"/>
              <w:rPr>
                <w:rFonts w:cs="Calibri"/>
                <w:color w:val="000000"/>
                <w:szCs w:val="20"/>
              </w:rPr>
            </w:pPr>
            <w:r w:rsidRPr="00476D60">
              <w:rPr>
                <w:rFonts w:cs="Calibri"/>
                <w:color w:val="000000"/>
                <w:szCs w:val="20"/>
              </w:rPr>
              <w:t>961</w:t>
            </w:r>
          </w:p>
        </w:tc>
        <w:tc>
          <w:tcPr>
            <w:tcW w:w="954" w:type="dxa"/>
            <w:gridSpan w:val="2"/>
            <w:tcBorders>
              <w:top w:val="nil"/>
              <w:left w:val="nil"/>
              <w:bottom w:val="nil"/>
              <w:right w:val="nil"/>
            </w:tcBorders>
          </w:tcPr>
          <w:p w14:paraId="73361CA0"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3,459</w:t>
            </w:r>
          </w:p>
        </w:tc>
      </w:tr>
      <w:tr w:rsidR="00CF0E2D" w:rsidRPr="00D60558" w14:paraId="4C08DC04" w14:textId="77777777" w:rsidTr="00A60D4B">
        <w:trPr>
          <w:gridAfter w:val="1"/>
          <w:wAfter w:w="9" w:type="dxa"/>
          <w:jc w:val="center"/>
        </w:trPr>
        <w:tc>
          <w:tcPr>
            <w:tcW w:w="3355" w:type="dxa"/>
            <w:tcBorders>
              <w:top w:val="nil"/>
              <w:left w:val="nil"/>
              <w:bottom w:val="nil"/>
              <w:right w:val="nil"/>
            </w:tcBorders>
          </w:tcPr>
          <w:p w14:paraId="416D2F05" w14:textId="77777777" w:rsidR="00CF0E2D" w:rsidRPr="00E43E5D" w:rsidRDefault="00CF0E2D" w:rsidP="00A60D4B">
            <w:pPr>
              <w:pStyle w:val="Btabletextunbold"/>
              <w:rPr>
                <w:rFonts w:cs="Calibri"/>
                <w:color w:val="000000"/>
                <w:szCs w:val="20"/>
              </w:rPr>
            </w:pPr>
            <w:r w:rsidRPr="00E43E5D">
              <w:rPr>
                <w:rFonts w:cs="Calibri"/>
                <w:color w:val="000000"/>
                <w:szCs w:val="20"/>
              </w:rPr>
              <w:t>Implementing the Automatic Mutual Recognition scheme</w:t>
            </w:r>
          </w:p>
        </w:tc>
        <w:tc>
          <w:tcPr>
            <w:tcW w:w="1093" w:type="dxa"/>
            <w:tcBorders>
              <w:top w:val="nil"/>
              <w:left w:val="nil"/>
              <w:bottom w:val="nil"/>
              <w:right w:val="nil"/>
            </w:tcBorders>
          </w:tcPr>
          <w:p w14:paraId="14B1B2A7" w14:textId="77777777" w:rsidR="00CF0E2D" w:rsidRPr="00D60558" w:rsidRDefault="00CF0E2D" w:rsidP="00A60D4B">
            <w:pPr>
              <w:pStyle w:val="Btablefigureunbold"/>
              <w:ind w:left="0" w:firstLine="0"/>
              <w:jc w:val="left"/>
              <w:rPr>
                <w:rFonts w:cs="Calibri"/>
                <w:color w:val="000000"/>
                <w:szCs w:val="20"/>
              </w:rPr>
            </w:pPr>
            <w:r w:rsidRPr="00DB669A">
              <w:rPr>
                <w:rFonts w:cs="Calibri"/>
                <w:color w:val="000000"/>
                <w:szCs w:val="20"/>
              </w:rPr>
              <w:t>Net cost</w:t>
            </w:r>
          </w:p>
        </w:tc>
        <w:tc>
          <w:tcPr>
            <w:tcW w:w="964" w:type="dxa"/>
            <w:gridSpan w:val="2"/>
            <w:tcBorders>
              <w:top w:val="nil"/>
              <w:left w:val="nil"/>
              <w:bottom w:val="nil"/>
              <w:right w:val="nil"/>
            </w:tcBorders>
          </w:tcPr>
          <w:p w14:paraId="001F705C" w14:textId="77777777" w:rsidR="00CF0E2D" w:rsidRPr="00476D60" w:rsidRDefault="00CF0E2D" w:rsidP="00A60D4B">
            <w:pPr>
              <w:pStyle w:val="Btablefigureunbold"/>
              <w:rPr>
                <w:rFonts w:cs="Calibri"/>
                <w:color w:val="000000"/>
                <w:szCs w:val="20"/>
              </w:rPr>
            </w:pPr>
            <w:r w:rsidRPr="00476D60">
              <w:rPr>
                <w:rFonts w:cs="Calibri"/>
                <w:color w:val="000000"/>
                <w:szCs w:val="20"/>
              </w:rPr>
              <w:t>917</w:t>
            </w:r>
          </w:p>
        </w:tc>
        <w:tc>
          <w:tcPr>
            <w:tcW w:w="964" w:type="dxa"/>
            <w:gridSpan w:val="2"/>
            <w:tcBorders>
              <w:top w:val="nil"/>
              <w:left w:val="nil"/>
              <w:bottom w:val="nil"/>
              <w:right w:val="nil"/>
            </w:tcBorders>
          </w:tcPr>
          <w:p w14:paraId="51263C08" w14:textId="77777777" w:rsidR="00CF0E2D" w:rsidRPr="00476D60" w:rsidRDefault="00CF0E2D" w:rsidP="00A60D4B">
            <w:pPr>
              <w:pStyle w:val="Btablefigureunbold"/>
              <w:rPr>
                <w:rFonts w:cs="Calibri"/>
                <w:color w:val="000000"/>
                <w:szCs w:val="20"/>
              </w:rPr>
            </w:pPr>
            <w:r w:rsidRPr="00476D60">
              <w:rPr>
                <w:rFonts w:cs="Calibri"/>
                <w:color w:val="000000"/>
                <w:szCs w:val="20"/>
              </w:rPr>
              <w:t>1,111</w:t>
            </w:r>
          </w:p>
        </w:tc>
        <w:tc>
          <w:tcPr>
            <w:tcW w:w="964" w:type="dxa"/>
            <w:gridSpan w:val="2"/>
            <w:tcBorders>
              <w:top w:val="nil"/>
              <w:left w:val="nil"/>
              <w:bottom w:val="nil"/>
              <w:right w:val="nil"/>
            </w:tcBorders>
          </w:tcPr>
          <w:p w14:paraId="42D9EB1B" w14:textId="77777777" w:rsidR="00CF0E2D" w:rsidRPr="00476D60" w:rsidRDefault="00CF0E2D" w:rsidP="00A60D4B">
            <w:pPr>
              <w:pStyle w:val="Btablefigureunbold"/>
              <w:rPr>
                <w:rFonts w:cs="Calibri"/>
                <w:color w:val="000000"/>
                <w:szCs w:val="20"/>
              </w:rPr>
            </w:pPr>
            <w:r w:rsidRPr="00476D60">
              <w:rPr>
                <w:rFonts w:cs="Calibri"/>
                <w:color w:val="000000"/>
                <w:szCs w:val="20"/>
              </w:rPr>
              <w:t>795</w:t>
            </w:r>
          </w:p>
        </w:tc>
        <w:tc>
          <w:tcPr>
            <w:tcW w:w="964" w:type="dxa"/>
            <w:gridSpan w:val="2"/>
            <w:tcBorders>
              <w:top w:val="nil"/>
              <w:left w:val="nil"/>
              <w:bottom w:val="nil"/>
              <w:right w:val="nil"/>
            </w:tcBorders>
          </w:tcPr>
          <w:p w14:paraId="3D1D37C3" w14:textId="77777777" w:rsidR="00CF0E2D" w:rsidRPr="00476D60" w:rsidRDefault="00CF0E2D" w:rsidP="00A60D4B">
            <w:pPr>
              <w:pStyle w:val="Btablefigureunbold"/>
              <w:rPr>
                <w:rFonts w:cs="Calibri"/>
                <w:color w:val="000000"/>
                <w:szCs w:val="20"/>
              </w:rPr>
            </w:pPr>
            <w:r w:rsidRPr="00476D60">
              <w:rPr>
                <w:rFonts w:cs="Calibri"/>
                <w:color w:val="000000"/>
                <w:szCs w:val="20"/>
              </w:rPr>
              <w:t>809</w:t>
            </w:r>
          </w:p>
        </w:tc>
        <w:tc>
          <w:tcPr>
            <w:tcW w:w="954" w:type="dxa"/>
            <w:gridSpan w:val="2"/>
            <w:tcBorders>
              <w:top w:val="nil"/>
              <w:left w:val="nil"/>
              <w:bottom w:val="nil"/>
              <w:right w:val="nil"/>
            </w:tcBorders>
          </w:tcPr>
          <w:p w14:paraId="24F0FC39"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3</w:t>
            </w:r>
            <w:r>
              <w:rPr>
                <w:rFonts w:cs="Calibri"/>
                <w:b/>
                <w:bCs/>
                <w:color w:val="000000"/>
                <w:szCs w:val="20"/>
              </w:rPr>
              <w:t>,</w:t>
            </w:r>
            <w:r w:rsidRPr="00476D60">
              <w:rPr>
                <w:rFonts w:cs="Calibri"/>
                <w:b/>
                <w:bCs/>
                <w:color w:val="000000"/>
                <w:szCs w:val="20"/>
              </w:rPr>
              <w:t>632</w:t>
            </w:r>
          </w:p>
        </w:tc>
      </w:tr>
      <w:tr w:rsidR="00CF0E2D" w:rsidRPr="00D60558" w14:paraId="4BDE37DE" w14:textId="77777777" w:rsidTr="00A60D4B">
        <w:trPr>
          <w:gridAfter w:val="1"/>
          <w:wAfter w:w="9" w:type="dxa"/>
          <w:jc w:val="center"/>
        </w:trPr>
        <w:tc>
          <w:tcPr>
            <w:tcW w:w="3355" w:type="dxa"/>
            <w:tcBorders>
              <w:top w:val="nil"/>
              <w:left w:val="nil"/>
              <w:bottom w:val="nil"/>
              <w:right w:val="nil"/>
            </w:tcBorders>
          </w:tcPr>
          <w:p w14:paraId="0AED5FF8" w14:textId="77777777" w:rsidR="00CF0E2D" w:rsidRPr="00E43E5D" w:rsidRDefault="00CF0E2D" w:rsidP="00A60D4B">
            <w:pPr>
              <w:pStyle w:val="Btabletextunbold"/>
              <w:rPr>
                <w:rFonts w:cs="Calibri"/>
                <w:color w:val="000000"/>
                <w:szCs w:val="20"/>
              </w:rPr>
            </w:pPr>
            <w:r w:rsidRPr="00E43E5D">
              <w:rPr>
                <w:rFonts w:cs="Calibri"/>
                <w:color w:val="000000"/>
                <w:szCs w:val="20"/>
              </w:rPr>
              <w:t>Improvements to the Canberra Museum and Gallery and the North Building</w:t>
            </w:r>
            <w:r w:rsidRPr="00E43E5D">
              <w:rPr>
                <w:rFonts w:cs="Calibri"/>
                <w:color w:val="000000"/>
                <w:szCs w:val="20"/>
                <w:vertAlign w:val="superscript"/>
              </w:rPr>
              <w:t>1</w:t>
            </w:r>
            <w:r w:rsidRPr="00E43E5D">
              <w:rPr>
                <w:rFonts w:cs="Calibri"/>
                <w:color w:val="000000"/>
                <w:szCs w:val="20"/>
              </w:rPr>
              <w:t xml:space="preserve"> </w:t>
            </w:r>
          </w:p>
        </w:tc>
        <w:tc>
          <w:tcPr>
            <w:tcW w:w="1093" w:type="dxa"/>
            <w:tcBorders>
              <w:top w:val="nil"/>
              <w:left w:val="nil"/>
              <w:bottom w:val="nil"/>
              <w:right w:val="nil"/>
            </w:tcBorders>
          </w:tcPr>
          <w:p w14:paraId="4F8770C1"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19FD76C7" w14:textId="77777777" w:rsidR="00CF0E2D" w:rsidRPr="00476D60" w:rsidRDefault="00CF0E2D" w:rsidP="00A60D4B">
            <w:pPr>
              <w:pStyle w:val="Btablefigureunbold"/>
              <w:rPr>
                <w:rFonts w:cs="Calibri"/>
                <w:color w:val="000000"/>
                <w:szCs w:val="20"/>
              </w:rPr>
            </w:pPr>
            <w:r w:rsidRPr="00476D60">
              <w:rPr>
                <w:rFonts w:cs="Calibri"/>
                <w:color w:val="000000"/>
                <w:szCs w:val="20"/>
              </w:rPr>
              <w:t>470</w:t>
            </w:r>
          </w:p>
        </w:tc>
        <w:tc>
          <w:tcPr>
            <w:tcW w:w="964" w:type="dxa"/>
            <w:gridSpan w:val="2"/>
            <w:tcBorders>
              <w:top w:val="nil"/>
              <w:left w:val="nil"/>
              <w:bottom w:val="nil"/>
              <w:right w:val="nil"/>
            </w:tcBorders>
          </w:tcPr>
          <w:p w14:paraId="2BC281E4" w14:textId="77777777" w:rsidR="00CF0E2D" w:rsidRPr="00476D60" w:rsidRDefault="00CF0E2D" w:rsidP="00A60D4B">
            <w:pPr>
              <w:pStyle w:val="Btablefigureunbold"/>
              <w:rPr>
                <w:rFonts w:cs="Calibri"/>
                <w:color w:val="000000"/>
                <w:szCs w:val="20"/>
              </w:rPr>
            </w:pPr>
            <w:r w:rsidRPr="00476D60">
              <w:rPr>
                <w:rFonts w:cs="Calibri"/>
                <w:color w:val="000000"/>
                <w:szCs w:val="20"/>
              </w:rPr>
              <w:t>873</w:t>
            </w:r>
          </w:p>
        </w:tc>
        <w:tc>
          <w:tcPr>
            <w:tcW w:w="964" w:type="dxa"/>
            <w:gridSpan w:val="2"/>
            <w:tcBorders>
              <w:top w:val="nil"/>
              <w:left w:val="nil"/>
              <w:bottom w:val="nil"/>
              <w:right w:val="nil"/>
            </w:tcBorders>
          </w:tcPr>
          <w:p w14:paraId="5FFDDA3F" w14:textId="77777777" w:rsidR="00CF0E2D" w:rsidRPr="00476D60" w:rsidRDefault="00CF0E2D" w:rsidP="00A60D4B">
            <w:pPr>
              <w:pStyle w:val="Btablefigureunbold"/>
              <w:rPr>
                <w:rFonts w:cs="Calibri"/>
                <w:color w:val="000000"/>
                <w:szCs w:val="20"/>
              </w:rPr>
            </w:pPr>
            <w:r w:rsidRPr="00476D60">
              <w:rPr>
                <w:rFonts w:cs="Calibri"/>
                <w:color w:val="000000"/>
                <w:szCs w:val="20"/>
              </w:rPr>
              <w:t>624</w:t>
            </w:r>
          </w:p>
        </w:tc>
        <w:tc>
          <w:tcPr>
            <w:tcW w:w="964" w:type="dxa"/>
            <w:gridSpan w:val="2"/>
            <w:tcBorders>
              <w:top w:val="nil"/>
              <w:left w:val="nil"/>
              <w:bottom w:val="nil"/>
              <w:right w:val="nil"/>
            </w:tcBorders>
          </w:tcPr>
          <w:p w14:paraId="28AA9B99"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54" w:type="dxa"/>
            <w:gridSpan w:val="2"/>
            <w:tcBorders>
              <w:top w:val="nil"/>
              <w:left w:val="nil"/>
              <w:bottom w:val="nil"/>
              <w:right w:val="nil"/>
            </w:tcBorders>
          </w:tcPr>
          <w:p w14:paraId="342007F6"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1,967</w:t>
            </w:r>
          </w:p>
        </w:tc>
      </w:tr>
      <w:tr w:rsidR="00CF0E2D" w:rsidRPr="00D60558" w14:paraId="0749EE66" w14:textId="77777777" w:rsidTr="00A60D4B">
        <w:trPr>
          <w:gridAfter w:val="1"/>
          <w:wAfter w:w="9" w:type="dxa"/>
          <w:jc w:val="center"/>
        </w:trPr>
        <w:tc>
          <w:tcPr>
            <w:tcW w:w="3355" w:type="dxa"/>
            <w:tcBorders>
              <w:top w:val="nil"/>
              <w:left w:val="nil"/>
              <w:bottom w:val="nil"/>
              <w:right w:val="nil"/>
            </w:tcBorders>
          </w:tcPr>
          <w:p w14:paraId="27120EC6" w14:textId="77777777" w:rsidR="00CF0E2D" w:rsidRPr="00E43E5D" w:rsidRDefault="00CF0E2D" w:rsidP="00A60D4B">
            <w:pPr>
              <w:pStyle w:val="Btabletextunbold"/>
              <w:rPr>
                <w:rFonts w:cs="Calibri"/>
                <w:color w:val="000000"/>
                <w:szCs w:val="20"/>
              </w:rPr>
            </w:pPr>
            <w:r w:rsidRPr="00E43E5D">
              <w:rPr>
                <w:rFonts w:cs="Calibri"/>
                <w:color w:val="000000"/>
                <w:szCs w:val="20"/>
              </w:rPr>
              <w:t>Improvements to the Canberra Museum and Gallery and the North Building</w:t>
            </w:r>
            <w:r w:rsidRPr="00E43E5D">
              <w:rPr>
                <w:rFonts w:cs="Calibri"/>
                <w:color w:val="000000"/>
                <w:szCs w:val="20"/>
                <w:vertAlign w:val="superscript"/>
              </w:rPr>
              <w:t>1</w:t>
            </w:r>
          </w:p>
        </w:tc>
        <w:tc>
          <w:tcPr>
            <w:tcW w:w="1093" w:type="dxa"/>
            <w:tcBorders>
              <w:top w:val="nil"/>
              <w:left w:val="nil"/>
              <w:bottom w:val="nil"/>
              <w:right w:val="nil"/>
            </w:tcBorders>
          </w:tcPr>
          <w:p w14:paraId="7ACD9493"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3BC9B2A7" w14:textId="77777777" w:rsidR="00CF0E2D" w:rsidRPr="00476D60" w:rsidRDefault="00CF0E2D" w:rsidP="00A60D4B">
            <w:pPr>
              <w:pStyle w:val="Btablefigureunbold"/>
              <w:rPr>
                <w:rFonts w:cs="Calibri"/>
                <w:color w:val="000000"/>
                <w:szCs w:val="20"/>
              </w:rPr>
            </w:pPr>
            <w:r w:rsidRPr="00476D60">
              <w:rPr>
                <w:rFonts w:cs="Calibri"/>
                <w:color w:val="000000"/>
                <w:szCs w:val="20"/>
              </w:rPr>
              <w:t>190</w:t>
            </w:r>
          </w:p>
        </w:tc>
        <w:tc>
          <w:tcPr>
            <w:tcW w:w="964" w:type="dxa"/>
            <w:gridSpan w:val="2"/>
            <w:tcBorders>
              <w:top w:val="nil"/>
              <w:left w:val="nil"/>
              <w:bottom w:val="nil"/>
              <w:right w:val="nil"/>
            </w:tcBorders>
          </w:tcPr>
          <w:p w14:paraId="43D79632" w14:textId="77777777" w:rsidR="00CF0E2D" w:rsidRPr="00476D60" w:rsidRDefault="00CF0E2D" w:rsidP="00A60D4B">
            <w:pPr>
              <w:pStyle w:val="Btablefigureunbold"/>
              <w:rPr>
                <w:rFonts w:cs="Calibri"/>
                <w:color w:val="000000"/>
                <w:szCs w:val="20"/>
              </w:rPr>
            </w:pPr>
            <w:r w:rsidRPr="00476D60">
              <w:rPr>
                <w:rFonts w:cs="Calibri"/>
                <w:color w:val="000000"/>
                <w:szCs w:val="20"/>
              </w:rPr>
              <w:t>243</w:t>
            </w:r>
          </w:p>
        </w:tc>
        <w:tc>
          <w:tcPr>
            <w:tcW w:w="964" w:type="dxa"/>
            <w:gridSpan w:val="2"/>
            <w:tcBorders>
              <w:top w:val="nil"/>
              <w:left w:val="nil"/>
              <w:bottom w:val="nil"/>
              <w:right w:val="nil"/>
            </w:tcBorders>
          </w:tcPr>
          <w:p w14:paraId="40A9DAB9" w14:textId="77777777" w:rsidR="00CF0E2D" w:rsidRPr="00476D60" w:rsidRDefault="00CF0E2D" w:rsidP="00A60D4B">
            <w:pPr>
              <w:pStyle w:val="Btablefigureunbold"/>
              <w:rPr>
                <w:rFonts w:cs="Calibri"/>
                <w:color w:val="000000"/>
                <w:szCs w:val="20"/>
              </w:rPr>
            </w:pPr>
            <w:r w:rsidRPr="00476D60">
              <w:rPr>
                <w:rFonts w:cs="Calibri"/>
                <w:color w:val="000000"/>
                <w:szCs w:val="20"/>
              </w:rPr>
              <w:t>85</w:t>
            </w:r>
          </w:p>
        </w:tc>
        <w:tc>
          <w:tcPr>
            <w:tcW w:w="964" w:type="dxa"/>
            <w:gridSpan w:val="2"/>
            <w:tcBorders>
              <w:top w:val="nil"/>
              <w:left w:val="nil"/>
              <w:bottom w:val="nil"/>
              <w:right w:val="nil"/>
            </w:tcBorders>
          </w:tcPr>
          <w:p w14:paraId="4F38CDE3" w14:textId="77777777" w:rsidR="00CF0E2D" w:rsidRPr="00476D60" w:rsidRDefault="00CF0E2D" w:rsidP="00A60D4B">
            <w:pPr>
              <w:pStyle w:val="Btablefigureunbold"/>
              <w:rPr>
                <w:rFonts w:cs="Calibri"/>
                <w:color w:val="000000"/>
                <w:szCs w:val="20"/>
              </w:rPr>
            </w:pPr>
            <w:r w:rsidRPr="00476D60">
              <w:rPr>
                <w:rFonts w:cs="Calibri"/>
                <w:color w:val="000000"/>
                <w:szCs w:val="20"/>
              </w:rPr>
              <w:t>106</w:t>
            </w:r>
          </w:p>
        </w:tc>
        <w:tc>
          <w:tcPr>
            <w:tcW w:w="954" w:type="dxa"/>
            <w:gridSpan w:val="2"/>
            <w:tcBorders>
              <w:top w:val="nil"/>
              <w:left w:val="nil"/>
              <w:bottom w:val="nil"/>
              <w:right w:val="nil"/>
            </w:tcBorders>
          </w:tcPr>
          <w:p w14:paraId="513F5FC5"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624</w:t>
            </w:r>
          </w:p>
        </w:tc>
      </w:tr>
      <w:tr w:rsidR="00CF0E2D" w:rsidRPr="00D60558" w14:paraId="62C1877B" w14:textId="77777777" w:rsidTr="00A60D4B">
        <w:trPr>
          <w:gridAfter w:val="1"/>
          <w:wAfter w:w="9" w:type="dxa"/>
          <w:jc w:val="center"/>
        </w:trPr>
        <w:tc>
          <w:tcPr>
            <w:tcW w:w="3355" w:type="dxa"/>
            <w:tcBorders>
              <w:top w:val="nil"/>
              <w:left w:val="nil"/>
              <w:bottom w:val="nil"/>
              <w:right w:val="nil"/>
            </w:tcBorders>
          </w:tcPr>
          <w:p w14:paraId="3A4B6CC3" w14:textId="77777777" w:rsidR="00CF0E2D" w:rsidRPr="00E43E5D" w:rsidRDefault="00CF0E2D" w:rsidP="00A60D4B">
            <w:pPr>
              <w:pStyle w:val="Btabletextunbold"/>
              <w:rPr>
                <w:rFonts w:cs="Calibri"/>
                <w:color w:val="000000"/>
                <w:szCs w:val="20"/>
              </w:rPr>
            </w:pPr>
            <w:r w:rsidRPr="00E43E5D">
              <w:rPr>
                <w:rFonts w:cs="Calibri"/>
                <w:color w:val="000000"/>
                <w:szCs w:val="20"/>
              </w:rPr>
              <w:t xml:space="preserve">Improving ACT Revenue Office capability </w:t>
            </w:r>
          </w:p>
        </w:tc>
        <w:tc>
          <w:tcPr>
            <w:tcW w:w="1093" w:type="dxa"/>
            <w:tcBorders>
              <w:top w:val="nil"/>
              <w:left w:val="nil"/>
              <w:bottom w:val="nil"/>
              <w:right w:val="nil"/>
            </w:tcBorders>
          </w:tcPr>
          <w:p w14:paraId="7A984708"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3EEA0813" w14:textId="77777777" w:rsidR="00CF0E2D" w:rsidRPr="00476D60" w:rsidRDefault="00CF0E2D" w:rsidP="00A60D4B">
            <w:pPr>
              <w:pStyle w:val="Btablefigureunbold"/>
              <w:rPr>
                <w:rFonts w:cs="Calibri"/>
                <w:color w:val="000000"/>
                <w:szCs w:val="20"/>
              </w:rPr>
            </w:pPr>
            <w:r w:rsidRPr="00476D60">
              <w:rPr>
                <w:rFonts w:cs="Calibri"/>
                <w:color w:val="000000"/>
                <w:szCs w:val="20"/>
              </w:rPr>
              <w:t>324</w:t>
            </w:r>
          </w:p>
        </w:tc>
        <w:tc>
          <w:tcPr>
            <w:tcW w:w="964" w:type="dxa"/>
            <w:gridSpan w:val="2"/>
            <w:tcBorders>
              <w:top w:val="nil"/>
              <w:left w:val="nil"/>
              <w:bottom w:val="nil"/>
              <w:right w:val="nil"/>
            </w:tcBorders>
          </w:tcPr>
          <w:p w14:paraId="334498A5" w14:textId="77777777" w:rsidR="00CF0E2D" w:rsidRPr="00476D60" w:rsidRDefault="00CF0E2D" w:rsidP="00A60D4B">
            <w:pPr>
              <w:pStyle w:val="Btablefigureunbold"/>
              <w:rPr>
                <w:rFonts w:cs="Calibri"/>
                <w:color w:val="000000"/>
                <w:szCs w:val="20"/>
              </w:rPr>
            </w:pPr>
            <w:r w:rsidRPr="00476D60">
              <w:rPr>
                <w:rFonts w:cs="Calibri"/>
                <w:color w:val="000000"/>
                <w:szCs w:val="20"/>
              </w:rPr>
              <w:t>-554</w:t>
            </w:r>
          </w:p>
        </w:tc>
        <w:tc>
          <w:tcPr>
            <w:tcW w:w="964" w:type="dxa"/>
            <w:gridSpan w:val="2"/>
            <w:tcBorders>
              <w:top w:val="nil"/>
              <w:left w:val="nil"/>
              <w:bottom w:val="nil"/>
              <w:right w:val="nil"/>
            </w:tcBorders>
          </w:tcPr>
          <w:p w14:paraId="69A0C050" w14:textId="77777777" w:rsidR="00CF0E2D" w:rsidRPr="00476D60" w:rsidRDefault="00CF0E2D" w:rsidP="00A60D4B">
            <w:pPr>
              <w:pStyle w:val="Btablefigureunbold"/>
              <w:rPr>
                <w:rFonts w:cs="Calibri"/>
                <w:color w:val="000000"/>
                <w:szCs w:val="20"/>
              </w:rPr>
            </w:pPr>
            <w:r w:rsidRPr="00476D60">
              <w:rPr>
                <w:rFonts w:cs="Calibri"/>
                <w:color w:val="000000"/>
                <w:szCs w:val="20"/>
              </w:rPr>
              <w:t>-523</w:t>
            </w:r>
          </w:p>
        </w:tc>
        <w:tc>
          <w:tcPr>
            <w:tcW w:w="964" w:type="dxa"/>
            <w:gridSpan w:val="2"/>
            <w:tcBorders>
              <w:top w:val="nil"/>
              <w:left w:val="nil"/>
              <w:bottom w:val="nil"/>
              <w:right w:val="nil"/>
            </w:tcBorders>
          </w:tcPr>
          <w:p w14:paraId="56FEBD1D" w14:textId="77777777" w:rsidR="00CF0E2D" w:rsidRPr="00476D60" w:rsidRDefault="00CF0E2D" w:rsidP="00A60D4B">
            <w:pPr>
              <w:pStyle w:val="Btablefigureunbold"/>
              <w:rPr>
                <w:rFonts w:cs="Calibri"/>
                <w:color w:val="000000"/>
                <w:szCs w:val="20"/>
              </w:rPr>
            </w:pPr>
            <w:r w:rsidRPr="00476D60">
              <w:rPr>
                <w:rFonts w:cs="Calibri"/>
                <w:color w:val="000000"/>
                <w:szCs w:val="20"/>
              </w:rPr>
              <w:t>-492</w:t>
            </w:r>
          </w:p>
        </w:tc>
        <w:tc>
          <w:tcPr>
            <w:tcW w:w="954" w:type="dxa"/>
            <w:gridSpan w:val="2"/>
            <w:tcBorders>
              <w:top w:val="nil"/>
              <w:left w:val="nil"/>
              <w:bottom w:val="nil"/>
              <w:right w:val="nil"/>
            </w:tcBorders>
          </w:tcPr>
          <w:p w14:paraId="05A9EBA3" w14:textId="77777777" w:rsidR="00CF0E2D" w:rsidRPr="00476D60" w:rsidRDefault="00CF0E2D" w:rsidP="00A60D4B">
            <w:pPr>
              <w:pStyle w:val="Btablefigureunbold"/>
              <w:rPr>
                <w:rFonts w:cs="Calibri"/>
                <w:b/>
                <w:bCs/>
                <w:color w:val="000000"/>
                <w:szCs w:val="20"/>
              </w:rPr>
            </w:pPr>
            <w:r>
              <w:rPr>
                <w:rFonts w:cs="Calibri"/>
                <w:b/>
                <w:bCs/>
                <w:color w:val="000000"/>
                <w:szCs w:val="20"/>
              </w:rPr>
              <w:t>-1,245</w:t>
            </w:r>
          </w:p>
        </w:tc>
      </w:tr>
      <w:tr w:rsidR="00CF0E2D" w:rsidRPr="00D60558" w14:paraId="06BFC5B8" w14:textId="77777777" w:rsidTr="00A60D4B">
        <w:trPr>
          <w:gridAfter w:val="1"/>
          <w:wAfter w:w="9" w:type="dxa"/>
          <w:jc w:val="center"/>
        </w:trPr>
        <w:tc>
          <w:tcPr>
            <w:tcW w:w="3355" w:type="dxa"/>
            <w:tcBorders>
              <w:top w:val="nil"/>
              <w:left w:val="nil"/>
              <w:bottom w:val="nil"/>
              <w:right w:val="nil"/>
            </w:tcBorders>
          </w:tcPr>
          <w:p w14:paraId="35776D86" w14:textId="77777777" w:rsidR="00CF0E2D" w:rsidRPr="00E43E5D" w:rsidRDefault="00CF0E2D" w:rsidP="00A60D4B">
            <w:pPr>
              <w:pStyle w:val="Btabletextunbold"/>
              <w:rPr>
                <w:rFonts w:cs="Calibri"/>
                <w:color w:val="000000"/>
                <w:szCs w:val="20"/>
              </w:rPr>
            </w:pPr>
            <w:r w:rsidRPr="00E43E5D">
              <w:rPr>
                <w:rFonts w:cs="Calibri"/>
                <w:color w:val="000000"/>
                <w:szCs w:val="20"/>
              </w:rPr>
              <w:t>Improving and upgrading government accommodation</w:t>
            </w:r>
          </w:p>
        </w:tc>
        <w:tc>
          <w:tcPr>
            <w:tcW w:w="1093" w:type="dxa"/>
            <w:tcBorders>
              <w:top w:val="nil"/>
              <w:left w:val="nil"/>
              <w:bottom w:val="nil"/>
              <w:right w:val="nil"/>
            </w:tcBorders>
          </w:tcPr>
          <w:p w14:paraId="41B1807A"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519A9725" w14:textId="77777777" w:rsidR="00CF0E2D" w:rsidRPr="00476D60" w:rsidRDefault="00CF0E2D" w:rsidP="00A60D4B">
            <w:pPr>
              <w:pStyle w:val="Btablefigureunbold"/>
              <w:rPr>
                <w:rFonts w:cs="Calibri"/>
                <w:color w:val="000000"/>
                <w:szCs w:val="20"/>
              </w:rPr>
            </w:pPr>
            <w:r w:rsidRPr="00476D60">
              <w:rPr>
                <w:rFonts w:cs="Calibri"/>
                <w:color w:val="000000"/>
                <w:szCs w:val="20"/>
              </w:rPr>
              <w:t>3,384</w:t>
            </w:r>
          </w:p>
        </w:tc>
        <w:tc>
          <w:tcPr>
            <w:tcW w:w="964" w:type="dxa"/>
            <w:gridSpan w:val="2"/>
            <w:tcBorders>
              <w:top w:val="nil"/>
              <w:left w:val="nil"/>
              <w:bottom w:val="nil"/>
              <w:right w:val="nil"/>
            </w:tcBorders>
          </w:tcPr>
          <w:p w14:paraId="32A54394" w14:textId="77777777" w:rsidR="00CF0E2D" w:rsidRPr="00476D60" w:rsidRDefault="00CF0E2D" w:rsidP="00A60D4B">
            <w:pPr>
              <w:pStyle w:val="Btablefigureunbold"/>
              <w:rPr>
                <w:rFonts w:cs="Calibri"/>
                <w:color w:val="000000"/>
                <w:szCs w:val="20"/>
              </w:rPr>
            </w:pPr>
            <w:r w:rsidRPr="00476D60">
              <w:rPr>
                <w:rFonts w:cs="Calibri"/>
                <w:color w:val="000000"/>
                <w:szCs w:val="20"/>
              </w:rPr>
              <w:t>1,128</w:t>
            </w:r>
          </w:p>
        </w:tc>
        <w:tc>
          <w:tcPr>
            <w:tcW w:w="964" w:type="dxa"/>
            <w:gridSpan w:val="2"/>
            <w:tcBorders>
              <w:top w:val="nil"/>
              <w:left w:val="nil"/>
              <w:bottom w:val="nil"/>
              <w:right w:val="nil"/>
            </w:tcBorders>
          </w:tcPr>
          <w:p w14:paraId="091E5624"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6BDB6098"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54" w:type="dxa"/>
            <w:gridSpan w:val="2"/>
            <w:tcBorders>
              <w:top w:val="nil"/>
              <w:left w:val="nil"/>
              <w:bottom w:val="nil"/>
              <w:right w:val="nil"/>
            </w:tcBorders>
          </w:tcPr>
          <w:p w14:paraId="5A1585ED"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3,384</w:t>
            </w:r>
          </w:p>
        </w:tc>
      </w:tr>
      <w:tr w:rsidR="00CF0E2D" w:rsidRPr="00D60558" w14:paraId="147FFFB0" w14:textId="77777777" w:rsidTr="00A60D4B">
        <w:trPr>
          <w:gridAfter w:val="1"/>
          <w:wAfter w:w="9" w:type="dxa"/>
          <w:jc w:val="center"/>
        </w:trPr>
        <w:tc>
          <w:tcPr>
            <w:tcW w:w="3355" w:type="dxa"/>
            <w:tcBorders>
              <w:top w:val="nil"/>
              <w:left w:val="nil"/>
              <w:bottom w:val="nil"/>
              <w:right w:val="nil"/>
            </w:tcBorders>
          </w:tcPr>
          <w:p w14:paraId="0610D78C" w14:textId="77777777" w:rsidR="00CF0E2D" w:rsidRPr="00E43E5D" w:rsidRDefault="00CF0E2D" w:rsidP="00A60D4B">
            <w:pPr>
              <w:pStyle w:val="Btabletextunbold"/>
              <w:rPr>
                <w:rFonts w:cs="Calibri"/>
                <w:color w:val="000000"/>
                <w:szCs w:val="20"/>
              </w:rPr>
            </w:pPr>
            <w:r w:rsidRPr="00E43E5D">
              <w:rPr>
                <w:rFonts w:cs="Calibri"/>
                <w:color w:val="000000"/>
                <w:szCs w:val="20"/>
              </w:rPr>
              <w:lastRenderedPageBreak/>
              <w:t>Improving and upgrading government accommodation</w:t>
            </w:r>
          </w:p>
        </w:tc>
        <w:tc>
          <w:tcPr>
            <w:tcW w:w="1093" w:type="dxa"/>
            <w:tcBorders>
              <w:top w:val="nil"/>
              <w:left w:val="nil"/>
              <w:bottom w:val="nil"/>
              <w:right w:val="nil"/>
            </w:tcBorders>
          </w:tcPr>
          <w:p w14:paraId="4F29D613"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130663EF" w14:textId="77777777" w:rsidR="00CF0E2D" w:rsidRPr="00476D60" w:rsidRDefault="00CF0E2D" w:rsidP="00A60D4B">
            <w:pPr>
              <w:pStyle w:val="Btablefigureunbold"/>
              <w:rPr>
                <w:rFonts w:cs="Calibri"/>
                <w:color w:val="000000"/>
                <w:szCs w:val="20"/>
              </w:rPr>
            </w:pPr>
            <w:r w:rsidRPr="00476D60">
              <w:rPr>
                <w:rFonts w:cs="Calibri"/>
                <w:color w:val="000000"/>
                <w:szCs w:val="20"/>
              </w:rPr>
              <w:t>880</w:t>
            </w:r>
          </w:p>
        </w:tc>
        <w:tc>
          <w:tcPr>
            <w:tcW w:w="964" w:type="dxa"/>
            <w:gridSpan w:val="2"/>
            <w:tcBorders>
              <w:top w:val="nil"/>
              <w:left w:val="nil"/>
              <w:bottom w:val="nil"/>
              <w:right w:val="nil"/>
            </w:tcBorders>
          </w:tcPr>
          <w:p w14:paraId="773470CF" w14:textId="77777777" w:rsidR="00CF0E2D" w:rsidRPr="00476D60" w:rsidRDefault="00CF0E2D" w:rsidP="00A60D4B">
            <w:pPr>
              <w:pStyle w:val="Btablefigureunbold"/>
              <w:rPr>
                <w:rFonts w:cs="Calibri"/>
                <w:color w:val="000000"/>
                <w:szCs w:val="20"/>
              </w:rPr>
            </w:pPr>
            <w:r w:rsidRPr="00476D60">
              <w:rPr>
                <w:rFonts w:cs="Calibri"/>
                <w:color w:val="000000"/>
                <w:szCs w:val="20"/>
              </w:rPr>
              <w:t>342</w:t>
            </w:r>
          </w:p>
        </w:tc>
        <w:tc>
          <w:tcPr>
            <w:tcW w:w="964" w:type="dxa"/>
            <w:gridSpan w:val="2"/>
            <w:tcBorders>
              <w:top w:val="nil"/>
              <w:left w:val="nil"/>
              <w:bottom w:val="nil"/>
              <w:right w:val="nil"/>
            </w:tcBorders>
          </w:tcPr>
          <w:p w14:paraId="31D89CC0" w14:textId="77777777" w:rsidR="00CF0E2D" w:rsidRPr="00476D60" w:rsidRDefault="00CF0E2D" w:rsidP="00A60D4B">
            <w:pPr>
              <w:pStyle w:val="Btablefigureunbold"/>
              <w:rPr>
                <w:rFonts w:cs="Calibri"/>
                <w:color w:val="000000"/>
                <w:szCs w:val="20"/>
              </w:rPr>
            </w:pPr>
            <w:r w:rsidRPr="00476D60">
              <w:rPr>
                <w:rFonts w:cs="Calibri"/>
                <w:color w:val="000000"/>
                <w:szCs w:val="20"/>
              </w:rPr>
              <w:t>645</w:t>
            </w:r>
          </w:p>
        </w:tc>
        <w:tc>
          <w:tcPr>
            <w:tcW w:w="964" w:type="dxa"/>
            <w:gridSpan w:val="2"/>
            <w:tcBorders>
              <w:top w:val="nil"/>
              <w:left w:val="nil"/>
              <w:bottom w:val="nil"/>
              <w:right w:val="nil"/>
            </w:tcBorders>
          </w:tcPr>
          <w:p w14:paraId="5E024CC9" w14:textId="77777777" w:rsidR="00CF0E2D" w:rsidRPr="00476D60" w:rsidRDefault="00CF0E2D" w:rsidP="00A60D4B">
            <w:pPr>
              <w:pStyle w:val="Btablefigureunbold"/>
              <w:rPr>
                <w:rFonts w:cs="Calibri"/>
                <w:color w:val="000000"/>
                <w:szCs w:val="20"/>
              </w:rPr>
            </w:pPr>
            <w:r w:rsidRPr="00476D60">
              <w:rPr>
                <w:rFonts w:cs="Calibri"/>
                <w:color w:val="000000"/>
                <w:szCs w:val="20"/>
              </w:rPr>
              <w:t>646</w:t>
            </w:r>
          </w:p>
        </w:tc>
        <w:tc>
          <w:tcPr>
            <w:tcW w:w="954" w:type="dxa"/>
            <w:gridSpan w:val="2"/>
            <w:tcBorders>
              <w:top w:val="nil"/>
              <w:left w:val="nil"/>
              <w:bottom w:val="nil"/>
              <w:right w:val="nil"/>
            </w:tcBorders>
          </w:tcPr>
          <w:p w14:paraId="1948AF76"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880</w:t>
            </w:r>
          </w:p>
        </w:tc>
      </w:tr>
      <w:tr w:rsidR="00CF0E2D" w:rsidRPr="00D60558" w14:paraId="62A4A92A" w14:textId="77777777" w:rsidTr="00A60D4B">
        <w:trPr>
          <w:gridAfter w:val="1"/>
          <w:wAfter w:w="9" w:type="dxa"/>
          <w:jc w:val="center"/>
        </w:trPr>
        <w:tc>
          <w:tcPr>
            <w:tcW w:w="3355" w:type="dxa"/>
            <w:tcBorders>
              <w:top w:val="nil"/>
              <w:left w:val="nil"/>
              <w:bottom w:val="nil"/>
              <w:right w:val="nil"/>
            </w:tcBorders>
          </w:tcPr>
          <w:p w14:paraId="0D80B0CC" w14:textId="77777777" w:rsidR="00CF0E2D" w:rsidRPr="005357CD" w:rsidRDefault="00CF0E2D" w:rsidP="00A60D4B">
            <w:pPr>
              <w:pStyle w:val="Btabletextunbold"/>
              <w:rPr>
                <w:rFonts w:cs="Calibri"/>
                <w:i/>
                <w:iCs/>
                <w:color w:val="000000"/>
                <w:szCs w:val="20"/>
              </w:rPr>
            </w:pPr>
            <w:r w:rsidRPr="005357CD">
              <w:rPr>
                <w:rFonts w:cs="Calibri"/>
                <w:i/>
                <w:iCs/>
                <w:color w:val="000000"/>
                <w:szCs w:val="20"/>
              </w:rPr>
              <w:t>Investing in public services</w:t>
            </w:r>
          </w:p>
        </w:tc>
        <w:tc>
          <w:tcPr>
            <w:tcW w:w="1093" w:type="dxa"/>
            <w:tcBorders>
              <w:top w:val="nil"/>
              <w:left w:val="nil"/>
              <w:bottom w:val="nil"/>
              <w:right w:val="nil"/>
            </w:tcBorders>
          </w:tcPr>
          <w:p w14:paraId="1D0B3BE2" w14:textId="77777777" w:rsidR="00CF0E2D"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5305024D" w14:textId="77777777" w:rsidR="00CF0E2D" w:rsidRPr="00476D60"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02361C78" w14:textId="77777777" w:rsidR="00CF0E2D" w:rsidRPr="00476D60"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70EEC88F" w14:textId="77777777" w:rsidR="00CF0E2D" w:rsidRPr="00476D60"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13911329" w14:textId="77777777" w:rsidR="00CF0E2D" w:rsidRPr="00476D60" w:rsidRDefault="00CF0E2D" w:rsidP="00A60D4B">
            <w:pPr>
              <w:pStyle w:val="Btablefigureunbold"/>
              <w:rPr>
                <w:rFonts w:cs="Calibri"/>
                <w:color w:val="000000"/>
                <w:szCs w:val="20"/>
              </w:rPr>
            </w:pPr>
          </w:p>
        </w:tc>
        <w:tc>
          <w:tcPr>
            <w:tcW w:w="954" w:type="dxa"/>
            <w:gridSpan w:val="2"/>
            <w:tcBorders>
              <w:top w:val="nil"/>
              <w:left w:val="nil"/>
              <w:bottom w:val="nil"/>
              <w:right w:val="nil"/>
            </w:tcBorders>
          </w:tcPr>
          <w:p w14:paraId="3F98C404" w14:textId="77777777" w:rsidR="00CF0E2D" w:rsidRPr="00476D60" w:rsidRDefault="00CF0E2D" w:rsidP="00A60D4B">
            <w:pPr>
              <w:pStyle w:val="Btablefigureunbold"/>
              <w:rPr>
                <w:rFonts w:cs="Calibri"/>
                <w:b/>
                <w:bCs/>
                <w:color w:val="000000"/>
                <w:szCs w:val="20"/>
              </w:rPr>
            </w:pPr>
          </w:p>
        </w:tc>
      </w:tr>
      <w:tr w:rsidR="00CF0E2D" w:rsidRPr="00D60558" w14:paraId="03EA7349" w14:textId="77777777" w:rsidTr="00A60D4B">
        <w:trPr>
          <w:gridAfter w:val="1"/>
          <w:wAfter w:w="9" w:type="dxa"/>
          <w:jc w:val="center"/>
        </w:trPr>
        <w:tc>
          <w:tcPr>
            <w:tcW w:w="3355" w:type="dxa"/>
            <w:tcBorders>
              <w:top w:val="nil"/>
              <w:left w:val="nil"/>
              <w:bottom w:val="nil"/>
              <w:right w:val="nil"/>
            </w:tcBorders>
          </w:tcPr>
          <w:p w14:paraId="61FA96AF" w14:textId="77777777" w:rsidR="00CF0E2D" w:rsidRPr="00E43E5D" w:rsidRDefault="00CF0E2D" w:rsidP="00A60D4B">
            <w:pPr>
              <w:pStyle w:val="Btabletextunbold"/>
              <w:rPr>
                <w:rFonts w:cs="Calibri"/>
                <w:color w:val="000000"/>
                <w:szCs w:val="20"/>
              </w:rPr>
            </w:pPr>
            <w:r w:rsidRPr="00E43E5D">
              <w:rPr>
                <w:rFonts w:cs="Calibri"/>
                <w:color w:val="000000"/>
                <w:szCs w:val="20"/>
              </w:rPr>
              <w:t>– Critical ICT infrastructure</w:t>
            </w:r>
          </w:p>
        </w:tc>
        <w:tc>
          <w:tcPr>
            <w:tcW w:w="1093" w:type="dxa"/>
            <w:tcBorders>
              <w:top w:val="nil"/>
              <w:left w:val="nil"/>
              <w:bottom w:val="nil"/>
              <w:right w:val="nil"/>
            </w:tcBorders>
          </w:tcPr>
          <w:p w14:paraId="65739D06"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1F5BED23" w14:textId="77777777" w:rsidR="00CF0E2D" w:rsidRPr="00476D60" w:rsidRDefault="00CF0E2D" w:rsidP="00A60D4B">
            <w:pPr>
              <w:pStyle w:val="Btablefigureunbold"/>
              <w:rPr>
                <w:rFonts w:cs="Calibri"/>
                <w:color w:val="000000"/>
                <w:szCs w:val="20"/>
              </w:rPr>
            </w:pPr>
            <w:r w:rsidRPr="00476D60">
              <w:rPr>
                <w:rFonts w:cs="Calibri"/>
                <w:color w:val="000000"/>
                <w:szCs w:val="20"/>
              </w:rPr>
              <w:t>2,810</w:t>
            </w:r>
          </w:p>
        </w:tc>
        <w:tc>
          <w:tcPr>
            <w:tcW w:w="964" w:type="dxa"/>
            <w:gridSpan w:val="2"/>
            <w:tcBorders>
              <w:top w:val="nil"/>
              <w:left w:val="nil"/>
              <w:bottom w:val="nil"/>
              <w:right w:val="nil"/>
            </w:tcBorders>
          </w:tcPr>
          <w:p w14:paraId="24A51828" w14:textId="77777777" w:rsidR="00CF0E2D" w:rsidRPr="00476D60" w:rsidRDefault="00CF0E2D" w:rsidP="00A60D4B">
            <w:pPr>
              <w:pStyle w:val="Btablefigureunbold"/>
              <w:rPr>
                <w:rFonts w:cs="Calibri"/>
                <w:color w:val="000000"/>
                <w:szCs w:val="20"/>
              </w:rPr>
            </w:pPr>
            <w:r w:rsidRPr="00476D60">
              <w:rPr>
                <w:rFonts w:cs="Calibri"/>
                <w:color w:val="000000"/>
                <w:szCs w:val="20"/>
              </w:rPr>
              <w:t>4,620</w:t>
            </w:r>
          </w:p>
        </w:tc>
        <w:tc>
          <w:tcPr>
            <w:tcW w:w="964" w:type="dxa"/>
            <w:gridSpan w:val="2"/>
            <w:tcBorders>
              <w:top w:val="nil"/>
              <w:left w:val="nil"/>
              <w:bottom w:val="nil"/>
              <w:right w:val="nil"/>
            </w:tcBorders>
          </w:tcPr>
          <w:p w14:paraId="6C9C7219" w14:textId="77777777" w:rsidR="00CF0E2D" w:rsidRPr="00476D60" w:rsidRDefault="00CF0E2D" w:rsidP="00A60D4B">
            <w:pPr>
              <w:pStyle w:val="Btablefigureunbold"/>
              <w:rPr>
                <w:rFonts w:cs="Calibri"/>
                <w:color w:val="000000"/>
                <w:szCs w:val="20"/>
              </w:rPr>
            </w:pPr>
            <w:r w:rsidRPr="00476D60">
              <w:rPr>
                <w:rFonts w:cs="Calibri"/>
                <w:color w:val="000000"/>
                <w:szCs w:val="20"/>
              </w:rPr>
              <w:t>6,030</w:t>
            </w:r>
          </w:p>
        </w:tc>
        <w:tc>
          <w:tcPr>
            <w:tcW w:w="964" w:type="dxa"/>
            <w:gridSpan w:val="2"/>
            <w:tcBorders>
              <w:top w:val="nil"/>
              <w:left w:val="nil"/>
              <w:bottom w:val="nil"/>
              <w:right w:val="nil"/>
            </w:tcBorders>
          </w:tcPr>
          <w:p w14:paraId="48D2126E" w14:textId="77777777" w:rsidR="00CF0E2D" w:rsidRPr="00476D60" w:rsidRDefault="00CF0E2D" w:rsidP="00A60D4B">
            <w:pPr>
              <w:pStyle w:val="Btablefigureunbold"/>
              <w:rPr>
                <w:rFonts w:cs="Calibri"/>
                <w:color w:val="000000"/>
                <w:szCs w:val="20"/>
              </w:rPr>
            </w:pPr>
            <w:r w:rsidRPr="00476D60">
              <w:rPr>
                <w:rFonts w:cs="Calibri"/>
                <w:color w:val="000000"/>
                <w:szCs w:val="20"/>
              </w:rPr>
              <w:t>4,340</w:t>
            </w:r>
          </w:p>
        </w:tc>
        <w:tc>
          <w:tcPr>
            <w:tcW w:w="954" w:type="dxa"/>
            <w:gridSpan w:val="2"/>
            <w:tcBorders>
              <w:top w:val="nil"/>
              <w:left w:val="nil"/>
              <w:bottom w:val="nil"/>
              <w:right w:val="nil"/>
            </w:tcBorders>
          </w:tcPr>
          <w:p w14:paraId="3E19EEC9"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17</w:t>
            </w:r>
            <w:r>
              <w:rPr>
                <w:rFonts w:cs="Calibri"/>
                <w:b/>
                <w:bCs/>
                <w:color w:val="000000"/>
                <w:szCs w:val="20"/>
              </w:rPr>
              <w:t>,</w:t>
            </w:r>
            <w:r w:rsidRPr="00476D60">
              <w:rPr>
                <w:rFonts w:cs="Calibri"/>
                <w:b/>
                <w:bCs/>
                <w:color w:val="000000"/>
                <w:szCs w:val="20"/>
              </w:rPr>
              <w:t>800</w:t>
            </w:r>
          </w:p>
        </w:tc>
      </w:tr>
      <w:tr w:rsidR="00CF0E2D" w:rsidRPr="00D60558" w14:paraId="3C5A0F4A" w14:textId="77777777" w:rsidTr="00A60D4B">
        <w:trPr>
          <w:gridAfter w:val="1"/>
          <w:wAfter w:w="9" w:type="dxa"/>
          <w:jc w:val="center"/>
        </w:trPr>
        <w:tc>
          <w:tcPr>
            <w:tcW w:w="3355" w:type="dxa"/>
            <w:tcBorders>
              <w:top w:val="nil"/>
              <w:left w:val="nil"/>
              <w:bottom w:val="nil"/>
              <w:right w:val="nil"/>
            </w:tcBorders>
          </w:tcPr>
          <w:p w14:paraId="545557F6" w14:textId="77777777" w:rsidR="00CF0E2D" w:rsidRPr="00E43E5D" w:rsidRDefault="00CF0E2D" w:rsidP="00A60D4B">
            <w:pPr>
              <w:pStyle w:val="Btabletextunbold"/>
              <w:rPr>
                <w:rFonts w:cs="Calibri"/>
                <w:color w:val="000000"/>
                <w:szCs w:val="20"/>
              </w:rPr>
            </w:pPr>
            <w:r w:rsidRPr="00E43E5D">
              <w:rPr>
                <w:rFonts w:cs="Calibri"/>
                <w:color w:val="000000"/>
                <w:szCs w:val="20"/>
              </w:rPr>
              <w:t>– Critical ICT infrastructure</w:t>
            </w:r>
          </w:p>
        </w:tc>
        <w:tc>
          <w:tcPr>
            <w:tcW w:w="1093" w:type="dxa"/>
            <w:tcBorders>
              <w:top w:val="nil"/>
              <w:left w:val="nil"/>
              <w:bottom w:val="nil"/>
              <w:right w:val="nil"/>
            </w:tcBorders>
          </w:tcPr>
          <w:p w14:paraId="691C6B28"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0247C1DD" w14:textId="77777777" w:rsidR="00CF0E2D" w:rsidRPr="00476D60" w:rsidRDefault="00CF0E2D" w:rsidP="00A60D4B">
            <w:pPr>
              <w:pStyle w:val="Btablefigureunbold"/>
              <w:rPr>
                <w:rFonts w:cs="Calibri"/>
                <w:color w:val="000000"/>
                <w:szCs w:val="20"/>
              </w:rPr>
            </w:pPr>
            <w:r w:rsidRPr="00476D60">
              <w:rPr>
                <w:rFonts w:cs="Calibri"/>
                <w:color w:val="000000"/>
                <w:szCs w:val="20"/>
              </w:rPr>
              <w:t>0</w:t>
            </w:r>
          </w:p>
        </w:tc>
        <w:tc>
          <w:tcPr>
            <w:tcW w:w="964" w:type="dxa"/>
            <w:gridSpan w:val="2"/>
            <w:tcBorders>
              <w:top w:val="nil"/>
              <w:left w:val="nil"/>
              <w:bottom w:val="nil"/>
              <w:right w:val="nil"/>
            </w:tcBorders>
          </w:tcPr>
          <w:p w14:paraId="15E4F715" w14:textId="77777777" w:rsidR="00CF0E2D" w:rsidRPr="00476D60" w:rsidRDefault="00CF0E2D" w:rsidP="00A60D4B">
            <w:pPr>
              <w:pStyle w:val="Btablefigureunbold"/>
              <w:rPr>
                <w:rFonts w:cs="Calibri"/>
                <w:color w:val="000000"/>
                <w:szCs w:val="20"/>
              </w:rPr>
            </w:pPr>
            <w:r w:rsidRPr="00476D60">
              <w:rPr>
                <w:rFonts w:cs="Calibri"/>
                <w:color w:val="000000"/>
                <w:szCs w:val="20"/>
              </w:rPr>
              <w:t>962</w:t>
            </w:r>
          </w:p>
        </w:tc>
        <w:tc>
          <w:tcPr>
            <w:tcW w:w="964" w:type="dxa"/>
            <w:gridSpan w:val="2"/>
            <w:tcBorders>
              <w:top w:val="nil"/>
              <w:left w:val="nil"/>
              <w:bottom w:val="nil"/>
              <w:right w:val="nil"/>
            </w:tcBorders>
          </w:tcPr>
          <w:p w14:paraId="0BE7922A" w14:textId="77777777" w:rsidR="00CF0E2D" w:rsidRPr="00476D60" w:rsidRDefault="00CF0E2D" w:rsidP="00A60D4B">
            <w:pPr>
              <w:pStyle w:val="Btablefigureunbold"/>
              <w:rPr>
                <w:rFonts w:cs="Calibri"/>
                <w:color w:val="000000"/>
                <w:szCs w:val="20"/>
              </w:rPr>
            </w:pPr>
            <w:r w:rsidRPr="00476D60">
              <w:rPr>
                <w:rFonts w:cs="Calibri"/>
                <w:color w:val="000000"/>
                <w:szCs w:val="20"/>
              </w:rPr>
              <w:t>2,086</w:t>
            </w:r>
          </w:p>
        </w:tc>
        <w:tc>
          <w:tcPr>
            <w:tcW w:w="964" w:type="dxa"/>
            <w:gridSpan w:val="2"/>
            <w:tcBorders>
              <w:top w:val="nil"/>
              <w:left w:val="nil"/>
              <w:bottom w:val="nil"/>
              <w:right w:val="nil"/>
            </w:tcBorders>
          </w:tcPr>
          <w:p w14:paraId="4DDEFBD8" w14:textId="77777777" w:rsidR="00CF0E2D" w:rsidRPr="00476D60" w:rsidRDefault="00CF0E2D" w:rsidP="00A60D4B">
            <w:pPr>
              <w:pStyle w:val="Btablefigureunbold"/>
              <w:rPr>
                <w:rFonts w:cs="Calibri"/>
                <w:color w:val="000000"/>
                <w:szCs w:val="20"/>
              </w:rPr>
            </w:pPr>
            <w:r w:rsidRPr="00476D60">
              <w:rPr>
                <w:rFonts w:cs="Calibri"/>
                <w:color w:val="000000"/>
                <w:szCs w:val="20"/>
              </w:rPr>
              <w:t>3,492</w:t>
            </w:r>
          </w:p>
        </w:tc>
        <w:tc>
          <w:tcPr>
            <w:tcW w:w="954" w:type="dxa"/>
            <w:gridSpan w:val="2"/>
            <w:tcBorders>
              <w:top w:val="nil"/>
              <w:left w:val="nil"/>
              <w:bottom w:val="nil"/>
              <w:right w:val="nil"/>
            </w:tcBorders>
          </w:tcPr>
          <w:p w14:paraId="7E707C36"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6,540</w:t>
            </w:r>
          </w:p>
        </w:tc>
      </w:tr>
      <w:tr w:rsidR="00CF0E2D" w:rsidRPr="00D60558" w14:paraId="0A9833D1" w14:textId="77777777" w:rsidTr="00A60D4B">
        <w:trPr>
          <w:gridAfter w:val="1"/>
          <w:wAfter w:w="9" w:type="dxa"/>
          <w:jc w:val="center"/>
        </w:trPr>
        <w:tc>
          <w:tcPr>
            <w:tcW w:w="3355" w:type="dxa"/>
            <w:tcBorders>
              <w:top w:val="nil"/>
              <w:left w:val="nil"/>
              <w:bottom w:val="nil"/>
              <w:right w:val="nil"/>
            </w:tcBorders>
          </w:tcPr>
          <w:p w14:paraId="66096478" w14:textId="77777777" w:rsidR="00CF0E2D" w:rsidRPr="00E43E5D" w:rsidRDefault="00CF0E2D" w:rsidP="00A60D4B">
            <w:pPr>
              <w:pStyle w:val="Btabletextunbold"/>
              <w:rPr>
                <w:rFonts w:cs="Calibri"/>
                <w:color w:val="000000"/>
                <w:szCs w:val="20"/>
              </w:rPr>
            </w:pPr>
            <w:r w:rsidRPr="00E43E5D">
              <w:rPr>
                <w:rFonts w:cs="Calibri"/>
                <w:color w:val="000000"/>
                <w:szCs w:val="20"/>
              </w:rPr>
              <w:t>– Strengthening cyber-security</w:t>
            </w:r>
          </w:p>
        </w:tc>
        <w:tc>
          <w:tcPr>
            <w:tcW w:w="1093" w:type="dxa"/>
            <w:tcBorders>
              <w:top w:val="nil"/>
              <w:left w:val="nil"/>
              <w:bottom w:val="nil"/>
              <w:right w:val="nil"/>
            </w:tcBorders>
          </w:tcPr>
          <w:p w14:paraId="11604097"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349A9109" w14:textId="77777777" w:rsidR="00CF0E2D" w:rsidRPr="00476D60" w:rsidRDefault="00CF0E2D" w:rsidP="00A60D4B">
            <w:pPr>
              <w:pStyle w:val="Btablefigureunbold"/>
              <w:rPr>
                <w:rFonts w:cs="Calibri"/>
                <w:color w:val="000000"/>
                <w:szCs w:val="20"/>
              </w:rPr>
            </w:pPr>
            <w:r w:rsidRPr="00476D60">
              <w:rPr>
                <w:rFonts w:cs="Calibri"/>
                <w:color w:val="000000"/>
                <w:szCs w:val="20"/>
              </w:rPr>
              <w:t>1,903</w:t>
            </w:r>
          </w:p>
        </w:tc>
        <w:tc>
          <w:tcPr>
            <w:tcW w:w="964" w:type="dxa"/>
            <w:gridSpan w:val="2"/>
            <w:tcBorders>
              <w:top w:val="nil"/>
              <w:left w:val="nil"/>
              <w:bottom w:val="nil"/>
              <w:right w:val="nil"/>
            </w:tcBorders>
          </w:tcPr>
          <w:p w14:paraId="28BAD83E" w14:textId="77777777" w:rsidR="00CF0E2D" w:rsidRPr="00476D60" w:rsidRDefault="00CF0E2D" w:rsidP="00A60D4B">
            <w:pPr>
              <w:pStyle w:val="Btablefigureunbold"/>
              <w:rPr>
                <w:rFonts w:cs="Calibri"/>
                <w:color w:val="000000"/>
                <w:szCs w:val="20"/>
              </w:rPr>
            </w:pPr>
            <w:r w:rsidRPr="00476D60">
              <w:rPr>
                <w:rFonts w:cs="Calibri"/>
                <w:color w:val="000000"/>
                <w:szCs w:val="20"/>
              </w:rPr>
              <w:t>2,413</w:t>
            </w:r>
          </w:p>
        </w:tc>
        <w:tc>
          <w:tcPr>
            <w:tcW w:w="964" w:type="dxa"/>
            <w:gridSpan w:val="2"/>
            <w:tcBorders>
              <w:top w:val="nil"/>
              <w:left w:val="nil"/>
              <w:bottom w:val="nil"/>
              <w:right w:val="nil"/>
            </w:tcBorders>
          </w:tcPr>
          <w:p w14:paraId="2306916D" w14:textId="77777777" w:rsidR="00CF0E2D" w:rsidRPr="00476D60" w:rsidRDefault="00CF0E2D" w:rsidP="00A60D4B">
            <w:pPr>
              <w:pStyle w:val="Btablefigureunbold"/>
              <w:rPr>
                <w:rFonts w:cs="Calibri"/>
                <w:color w:val="000000"/>
                <w:szCs w:val="20"/>
              </w:rPr>
            </w:pPr>
            <w:r w:rsidRPr="00476D60">
              <w:rPr>
                <w:rFonts w:cs="Calibri"/>
                <w:color w:val="000000"/>
                <w:szCs w:val="20"/>
              </w:rPr>
              <w:t>2,839</w:t>
            </w:r>
          </w:p>
        </w:tc>
        <w:tc>
          <w:tcPr>
            <w:tcW w:w="964" w:type="dxa"/>
            <w:gridSpan w:val="2"/>
            <w:tcBorders>
              <w:top w:val="nil"/>
              <w:left w:val="nil"/>
              <w:bottom w:val="nil"/>
              <w:right w:val="nil"/>
            </w:tcBorders>
          </w:tcPr>
          <w:p w14:paraId="4E05C057" w14:textId="77777777" w:rsidR="00CF0E2D" w:rsidRPr="00476D60" w:rsidRDefault="00CF0E2D" w:rsidP="00A60D4B">
            <w:pPr>
              <w:pStyle w:val="Btablefigureunbold"/>
              <w:rPr>
                <w:rFonts w:cs="Calibri"/>
                <w:color w:val="000000"/>
                <w:szCs w:val="20"/>
              </w:rPr>
            </w:pPr>
            <w:r w:rsidRPr="00476D60">
              <w:rPr>
                <w:rFonts w:cs="Calibri"/>
                <w:color w:val="000000"/>
                <w:szCs w:val="20"/>
              </w:rPr>
              <w:t>3,125</w:t>
            </w:r>
          </w:p>
        </w:tc>
        <w:tc>
          <w:tcPr>
            <w:tcW w:w="954" w:type="dxa"/>
            <w:gridSpan w:val="2"/>
            <w:tcBorders>
              <w:top w:val="nil"/>
              <w:left w:val="nil"/>
              <w:bottom w:val="nil"/>
              <w:right w:val="nil"/>
            </w:tcBorders>
          </w:tcPr>
          <w:p w14:paraId="4DB096DB" w14:textId="77777777" w:rsidR="00CF0E2D" w:rsidRPr="00476D60" w:rsidRDefault="00CF0E2D" w:rsidP="00A60D4B">
            <w:pPr>
              <w:pStyle w:val="Btablefigureunbold"/>
              <w:rPr>
                <w:rFonts w:cs="Calibri"/>
                <w:b/>
                <w:bCs/>
                <w:color w:val="000000"/>
                <w:szCs w:val="20"/>
              </w:rPr>
            </w:pPr>
            <w:r w:rsidRPr="00476D60">
              <w:rPr>
                <w:rFonts w:cs="Calibri"/>
                <w:b/>
                <w:bCs/>
                <w:color w:val="000000"/>
                <w:szCs w:val="20"/>
              </w:rPr>
              <w:t>10,280</w:t>
            </w:r>
          </w:p>
        </w:tc>
      </w:tr>
      <w:tr w:rsidR="00CF0E2D" w:rsidRPr="00D60558" w14:paraId="7391A38B" w14:textId="77777777" w:rsidTr="00A60D4B">
        <w:trPr>
          <w:gridAfter w:val="1"/>
          <w:wAfter w:w="9" w:type="dxa"/>
          <w:jc w:val="center"/>
        </w:trPr>
        <w:tc>
          <w:tcPr>
            <w:tcW w:w="3355" w:type="dxa"/>
            <w:tcBorders>
              <w:top w:val="nil"/>
              <w:left w:val="nil"/>
              <w:bottom w:val="nil"/>
              <w:right w:val="nil"/>
            </w:tcBorders>
          </w:tcPr>
          <w:p w14:paraId="0C088DC1" w14:textId="77777777" w:rsidR="00CF0E2D" w:rsidRPr="00822A22" w:rsidRDefault="00CF0E2D" w:rsidP="00A60D4B">
            <w:pPr>
              <w:pStyle w:val="Btabletextunbold"/>
              <w:rPr>
                <w:rFonts w:cs="Calibri"/>
                <w:color w:val="000000"/>
                <w:szCs w:val="20"/>
              </w:rPr>
            </w:pPr>
            <w:r w:rsidRPr="00822A22">
              <w:rPr>
                <w:rFonts w:cs="Calibri"/>
                <w:color w:val="000000"/>
                <w:szCs w:val="20"/>
              </w:rPr>
              <w:t xml:space="preserve">– Strengthening data analytics capability and digital solutions </w:t>
            </w:r>
          </w:p>
        </w:tc>
        <w:tc>
          <w:tcPr>
            <w:tcW w:w="1093" w:type="dxa"/>
            <w:tcBorders>
              <w:top w:val="nil"/>
              <w:left w:val="nil"/>
              <w:bottom w:val="nil"/>
              <w:right w:val="nil"/>
            </w:tcBorders>
          </w:tcPr>
          <w:p w14:paraId="3F32DAC3"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1CFF46C8" w14:textId="77777777" w:rsidR="00CF0E2D" w:rsidRPr="00420A6C" w:rsidRDefault="00CF0E2D" w:rsidP="00A60D4B">
            <w:pPr>
              <w:pStyle w:val="Btablefigureunbold"/>
              <w:rPr>
                <w:rFonts w:cs="Calibri"/>
                <w:color w:val="000000"/>
                <w:szCs w:val="20"/>
              </w:rPr>
            </w:pPr>
            <w:r w:rsidRPr="00420A6C">
              <w:rPr>
                <w:rFonts w:cs="Calibri"/>
                <w:color w:val="000000"/>
                <w:szCs w:val="20"/>
              </w:rPr>
              <w:t>10,375</w:t>
            </w:r>
          </w:p>
        </w:tc>
        <w:tc>
          <w:tcPr>
            <w:tcW w:w="964" w:type="dxa"/>
            <w:gridSpan w:val="2"/>
            <w:tcBorders>
              <w:top w:val="nil"/>
              <w:left w:val="nil"/>
              <w:bottom w:val="nil"/>
              <w:right w:val="nil"/>
            </w:tcBorders>
          </w:tcPr>
          <w:p w14:paraId="084B1544" w14:textId="77777777" w:rsidR="00CF0E2D" w:rsidRPr="00420A6C" w:rsidRDefault="00CF0E2D" w:rsidP="00A60D4B">
            <w:pPr>
              <w:pStyle w:val="Btablefigureunbold"/>
              <w:rPr>
                <w:rFonts w:cs="Calibri"/>
                <w:color w:val="000000"/>
                <w:szCs w:val="20"/>
              </w:rPr>
            </w:pPr>
            <w:r w:rsidRPr="00420A6C">
              <w:rPr>
                <w:rFonts w:cs="Calibri"/>
                <w:color w:val="000000"/>
                <w:szCs w:val="20"/>
              </w:rPr>
              <w:t>3,300</w:t>
            </w:r>
          </w:p>
        </w:tc>
        <w:tc>
          <w:tcPr>
            <w:tcW w:w="964" w:type="dxa"/>
            <w:gridSpan w:val="2"/>
            <w:tcBorders>
              <w:top w:val="nil"/>
              <w:left w:val="nil"/>
              <w:bottom w:val="nil"/>
              <w:right w:val="nil"/>
            </w:tcBorders>
          </w:tcPr>
          <w:p w14:paraId="437B846E" w14:textId="77777777" w:rsidR="00CF0E2D" w:rsidRPr="00420A6C" w:rsidRDefault="00CF0E2D" w:rsidP="00A60D4B">
            <w:pPr>
              <w:pStyle w:val="Btablefigureunbold"/>
              <w:rPr>
                <w:rFonts w:cs="Calibri"/>
                <w:color w:val="000000"/>
                <w:szCs w:val="20"/>
              </w:rPr>
            </w:pPr>
            <w:r>
              <w:rPr>
                <w:rFonts w:cs="Calibri"/>
                <w:color w:val="000000"/>
                <w:szCs w:val="20"/>
              </w:rPr>
              <w:t>1,711</w:t>
            </w:r>
          </w:p>
        </w:tc>
        <w:tc>
          <w:tcPr>
            <w:tcW w:w="964" w:type="dxa"/>
            <w:gridSpan w:val="2"/>
            <w:tcBorders>
              <w:top w:val="nil"/>
              <w:left w:val="nil"/>
              <w:bottom w:val="nil"/>
              <w:right w:val="nil"/>
            </w:tcBorders>
          </w:tcPr>
          <w:p w14:paraId="749448AC" w14:textId="77777777" w:rsidR="00CF0E2D" w:rsidRPr="00420A6C" w:rsidRDefault="00CF0E2D" w:rsidP="00A60D4B">
            <w:pPr>
              <w:pStyle w:val="Btablefigureunbold"/>
              <w:rPr>
                <w:rFonts w:cs="Calibri"/>
                <w:color w:val="000000"/>
                <w:szCs w:val="20"/>
              </w:rPr>
            </w:pPr>
            <w:r>
              <w:rPr>
                <w:rFonts w:cs="Calibri"/>
                <w:color w:val="000000"/>
                <w:szCs w:val="20"/>
              </w:rPr>
              <w:t>1,876</w:t>
            </w:r>
          </w:p>
        </w:tc>
        <w:tc>
          <w:tcPr>
            <w:tcW w:w="954" w:type="dxa"/>
            <w:gridSpan w:val="2"/>
            <w:tcBorders>
              <w:top w:val="nil"/>
              <w:left w:val="nil"/>
              <w:bottom w:val="nil"/>
              <w:right w:val="nil"/>
            </w:tcBorders>
          </w:tcPr>
          <w:p w14:paraId="77B4F115" w14:textId="77777777" w:rsidR="00CF0E2D" w:rsidRPr="00420A6C" w:rsidRDefault="00CF0E2D" w:rsidP="00A60D4B">
            <w:pPr>
              <w:pStyle w:val="Btablefigureunbold"/>
              <w:rPr>
                <w:rFonts w:cs="Calibri"/>
                <w:b/>
                <w:bCs/>
                <w:color w:val="000000"/>
                <w:szCs w:val="20"/>
              </w:rPr>
            </w:pPr>
            <w:r>
              <w:rPr>
                <w:rFonts w:cs="Calibri"/>
                <w:b/>
                <w:bCs/>
                <w:color w:val="000000"/>
                <w:szCs w:val="20"/>
              </w:rPr>
              <w:t>17,262</w:t>
            </w:r>
          </w:p>
        </w:tc>
      </w:tr>
      <w:tr w:rsidR="00CF0E2D" w:rsidRPr="00D60558" w14:paraId="5EBA42B3" w14:textId="77777777" w:rsidTr="00A60D4B">
        <w:trPr>
          <w:gridAfter w:val="1"/>
          <w:wAfter w:w="9" w:type="dxa"/>
          <w:jc w:val="center"/>
        </w:trPr>
        <w:tc>
          <w:tcPr>
            <w:tcW w:w="3355" w:type="dxa"/>
            <w:tcBorders>
              <w:top w:val="nil"/>
              <w:left w:val="nil"/>
              <w:bottom w:val="nil"/>
              <w:right w:val="nil"/>
            </w:tcBorders>
          </w:tcPr>
          <w:p w14:paraId="353C0182" w14:textId="77777777" w:rsidR="00CF0E2D" w:rsidRPr="00822A22" w:rsidRDefault="00CF0E2D" w:rsidP="00A60D4B">
            <w:pPr>
              <w:pStyle w:val="Btabletextunbold"/>
              <w:rPr>
                <w:rFonts w:cs="Calibri"/>
                <w:color w:val="000000"/>
                <w:szCs w:val="20"/>
              </w:rPr>
            </w:pPr>
            <w:r w:rsidRPr="00822A22">
              <w:rPr>
                <w:rFonts w:cs="Calibri"/>
                <w:color w:val="000000"/>
                <w:szCs w:val="20"/>
              </w:rPr>
              <w:t xml:space="preserve">Knowledge Capital – Future Jobs Fund </w:t>
            </w:r>
          </w:p>
        </w:tc>
        <w:tc>
          <w:tcPr>
            <w:tcW w:w="1093" w:type="dxa"/>
            <w:tcBorders>
              <w:top w:val="nil"/>
              <w:left w:val="nil"/>
              <w:bottom w:val="nil"/>
              <w:right w:val="nil"/>
            </w:tcBorders>
          </w:tcPr>
          <w:p w14:paraId="5A12B55C"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1AC48229"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64" w:type="dxa"/>
            <w:gridSpan w:val="2"/>
            <w:tcBorders>
              <w:top w:val="nil"/>
              <w:left w:val="nil"/>
              <w:bottom w:val="nil"/>
              <w:right w:val="nil"/>
            </w:tcBorders>
          </w:tcPr>
          <w:p w14:paraId="7FC21C68"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64" w:type="dxa"/>
            <w:gridSpan w:val="2"/>
            <w:tcBorders>
              <w:top w:val="nil"/>
              <w:left w:val="nil"/>
              <w:bottom w:val="nil"/>
              <w:right w:val="nil"/>
            </w:tcBorders>
          </w:tcPr>
          <w:p w14:paraId="54C8C6DA"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64" w:type="dxa"/>
            <w:gridSpan w:val="2"/>
            <w:tcBorders>
              <w:top w:val="nil"/>
              <w:left w:val="nil"/>
              <w:bottom w:val="nil"/>
              <w:right w:val="nil"/>
            </w:tcBorders>
          </w:tcPr>
          <w:p w14:paraId="358189D0"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54" w:type="dxa"/>
            <w:gridSpan w:val="2"/>
            <w:tcBorders>
              <w:top w:val="nil"/>
              <w:left w:val="nil"/>
              <w:bottom w:val="nil"/>
              <w:right w:val="nil"/>
            </w:tcBorders>
          </w:tcPr>
          <w:p w14:paraId="4590CAA0" w14:textId="77777777" w:rsidR="00CF0E2D" w:rsidRPr="00420A6C" w:rsidRDefault="00CF0E2D" w:rsidP="00A60D4B">
            <w:pPr>
              <w:pStyle w:val="Btablefigureunbold"/>
              <w:rPr>
                <w:rFonts w:cs="Calibri"/>
                <w:b/>
                <w:bCs/>
                <w:color w:val="000000"/>
                <w:szCs w:val="20"/>
              </w:rPr>
            </w:pPr>
            <w:r w:rsidRPr="00420A6C">
              <w:rPr>
                <w:rFonts w:cs="Calibri"/>
                <w:b/>
                <w:bCs/>
                <w:color w:val="000000"/>
                <w:szCs w:val="20"/>
              </w:rPr>
              <w:t>0</w:t>
            </w:r>
          </w:p>
        </w:tc>
      </w:tr>
      <w:tr w:rsidR="00CF0E2D" w:rsidRPr="00D60558" w14:paraId="70DAA56A" w14:textId="77777777" w:rsidTr="00A60D4B">
        <w:trPr>
          <w:gridAfter w:val="1"/>
          <w:wAfter w:w="9" w:type="dxa"/>
          <w:jc w:val="center"/>
        </w:trPr>
        <w:tc>
          <w:tcPr>
            <w:tcW w:w="3355" w:type="dxa"/>
            <w:tcBorders>
              <w:top w:val="nil"/>
              <w:left w:val="nil"/>
              <w:bottom w:val="nil"/>
              <w:right w:val="nil"/>
            </w:tcBorders>
          </w:tcPr>
          <w:p w14:paraId="2A9DC06B" w14:textId="77777777" w:rsidR="00CF0E2D" w:rsidRPr="00822A22" w:rsidRDefault="00CF0E2D" w:rsidP="00A60D4B">
            <w:pPr>
              <w:pStyle w:val="Btabletextunbold"/>
              <w:rPr>
                <w:rFonts w:cs="Calibri"/>
                <w:color w:val="000000"/>
                <w:szCs w:val="20"/>
              </w:rPr>
            </w:pPr>
            <w:r w:rsidRPr="00822A22">
              <w:rPr>
                <w:rFonts w:cs="Calibri"/>
                <w:color w:val="000000"/>
                <w:szCs w:val="20"/>
              </w:rPr>
              <w:t>Maintaining accountability and transparency of government</w:t>
            </w:r>
            <w:r w:rsidRPr="00822A22">
              <w:rPr>
                <w:rFonts w:cs="Calibri"/>
                <w:color w:val="000000"/>
                <w:szCs w:val="20"/>
                <w:vertAlign w:val="superscript"/>
              </w:rPr>
              <w:t xml:space="preserve">1 </w:t>
            </w:r>
          </w:p>
        </w:tc>
        <w:tc>
          <w:tcPr>
            <w:tcW w:w="1093" w:type="dxa"/>
            <w:tcBorders>
              <w:top w:val="nil"/>
              <w:left w:val="nil"/>
              <w:bottom w:val="nil"/>
              <w:right w:val="nil"/>
            </w:tcBorders>
          </w:tcPr>
          <w:p w14:paraId="00EB9839"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693B83E4" w14:textId="77777777" w:rsidR="00CF0E2D" w:rsidRPr="00420A6C" w:rsidRDefault="00CF0E2D" w:rsidP="00A60D4B">
            <w:pPr>
              <w:pStyle w:val="Btablefigureunbold"/>
              <w:rPr>
                <w:rFonts w:cs="Calibri"/>
                <w:color w:val="000000"/>
                <w:szCs w:val="20"/>
              </w:rPr>
            </w:pPr>
            <w:r w:rsidRPr="00420A6C">
              <w:rPr>
                <w:rFonts w:cs="Calibri"/>
                <w:color w:val="000000"/>
                <w:szCs w:val="20"/>
              </w:rPr>
              <w:t>5,026</w:t>
            </w:r>
          </w:p>
        </w:tc>
        <w:tc>
          <w:tcPr>
            <w:tcW w:w="964" w:type="dxa"/>
            <w:gridSpan w:val="2"/>
            <w:tcBorders>
              <w:top w:val="nil"/>
              <w:left w:val="nil"/>
              <w:bottom w:val="nil"/>
              <w:right w:val="nil"/>
            </w:tcBorders>
          </w:tcPr>
          <w:p w14:paraId="2B3FC315" w14:textId="77777777" w:rsidR="00CF0E2D" w:rsidRPr="00420A6C" w:rsidRDefault="00CF0E2D" w:rsidP="00A60D4B">
            <w:pPr>
              <w:pStyle w:val="Btablefigureunbold"/>
              <w:rPr>
                <w:rFonts w:cs="Calibri"/>
                <w:color w:val="000000"/>
                <w:szCs w:val="20"/>
              </w:rPr>
            </w:pPr>
            <w:r w:rsidRPr="00420A6C">
              <w:rPr>
                <w:rFonts w:cs="Calibri"/>
                <w:color w:val="000000"/>
                <w:szCs w:val="20"/>
              </w:rPr>
              <w:t>5,440</w:t>
            </w:r>
          </w:p>
        </w:tc>
        <w:tc>
          <w:tcPr>
            <w:tcW w:w="964" w:type="dxa"/>
            <w:gridSpan w:val="2"/>
            <w:tcBorders>
              <w:top w:val="nil"/>
              <w:left w:val="nil"/>
              <w:bottom w:val="nil"/>
              <w:right w:val="nil"/>
            </w:tcBorders>
          </w:tcPr>
          <w:p w14:paraId="482BC83B" w14:textId="77777777" w:rsidR="00CF0E2D" w:rsidRPr="00420A6C" w:rsidRDefault="00CF0E2D" w:rsidP="00A60D4B">
            <w:pPr>
              <w:pStyle w:val="Btablefigureunbold"/>
              <w:rPr>
                <w:rFonts w:cs="Calibri"/>
                <w:color w:val="000000"/>
                <w:szCs w:val="20"/>
              </w:rPr>
            </w:pPr>
            <w:r w:rsidRPr="00420A6C">
              <w:rPr>
                <w:rFonts w:cs="Calibri"/>
                <w:color w:val="000000"/>
                <w:szCs w:val="20"/>
              </w:rPr>
              <w:t>3,776</w:t>
            </w:r>
          </w:p>
        </w:tc>
        <w:tc>
          <w:tcPr>
            <w:tcW w:w="964" w:type="dxa"/>
            <w:gridSpan w:val="2"/>
            <w:tcBorders>
              <w:top w:val="nil"/>
              <w:left w:val="nil"/>
              <w:bottom w:val="nil"/>
              <w:right w:val="nil"/>
            </w:tcBorders>
          </w:tcPr>
          <w:p w14:paraId="52AD63D6" w14:textId="77777777" w:rsidR="00CF0E2D" w:rsidRPr="00420A6C" w:rsidRDefault="00CF0E2D" w:rsidP="00A60D4B">
            <w:pPr>
              <w:pStyle w:val="Btablefigureunbold"/>
              <w:rPr>
                <w:rFonts w:cs="Calibri"/>
                <w:color w:val="000000"/>
                <w:szCs w:val="20"/>
              </w:rPr>
            </w:pPr>
            <w:r w:rsidRPr="00420A6C">
              <w:rPr>
                <w:rFonts w:cs="Calibri"/>
                <w:color w:val="000000"/>
                <w:szCs w:val="20"/>
              </w:rPr>
              <w:t>3,825</w:t>
            </w:r>
          </w:p>
        </w:tc>
        <w:tc>
          <w:tcPr>
            <w:tcW w:w="954" w:type="dxa"/>
            <w:gridSpan w:val="2"/>
            <w:tcBorders>
              <w:top w:val="nil"/>
              <w:left w:val="nil"/>
              <w:bottom w:val="nil"/>
              <w:right w:val="nil"/>
            </w:tcBorders>
          </w:tcPr>
          <w:p w14:paraId="60DBF1DD" w14:textId="77777777" w:rsidR="00CF0E2D" w:rsidRPr="00420A6C" w:rsidRDefault="00CF0E2D" w:rsidP="00A60D4B">
            <w:pPr>
              <w:pStyle w:val="Btablefigureunbold"/>
              <w:rPr>
                <w:rFonts w:cs="Calibri"/>
                <w:b/>
                <w:bCs/>
                <w:color w:val="000000"/>
                <w:szCs w:val="20"/>
              </w:rPr>
            </w:pPr>
            <w:r w:rsidRPr="00420A6C">
              <w:rPr>
                <w:rFonts w:cs="Calibri"/>
                <w:b/>
                <w:bCs/>
                <w:color w:val="000000"/>
                <w:szCs w:val="20"/>
              </w:rPr>
              <w:t>18,067</w:t>
            </w:r>
          </w:p>
        </w:tc>
      </w:tr>
      <w:tr w:rsidR="00CF0E2D" w:rsidRPr="00D60558" w14:paraId="4BF3F459" w14:textId="77777777" w:rsidTr="00A60D4B">
        <w:trPr>
          <w:gridAfter w:val="1"/>
          <w:wAfter w:w="9" w:type="dxa"/>
          <w:jc w:val="center"/>
        </w:trPr>
        <w:tc>
          <w:tcPr>
            <w:tcW w:w="3355" w:type="dxa"/>
            <w:tcBorders>
              <w:top w:val="nil"/>
              <w:left w:val="nil"/>
              <w:bottom w:val="nil"/>
              <w:right w:val="nil"/>
            </w:tcBorders>
          </w:tcPr>
          <w:p w14:paraId="0F08D690" w14:textId="77777777" w:rsidR="00CF0E2D" w:rsidRPr="005357CD" w:rsidRDefault="00CF0E2D" w:rsidP="00A60D4B">
            <w:pPr>
              <w:pStyle w:val="Btabletextunbold"/>
              <w:rPr>
                <w:rFonts w:cs="Calibri"/>
                <w:i/>
                <w:iCs/>
                <w:color w:val="000000"/>
                <w:szCs w:val="20"/>
              </w:rPr>
            </w:pPr>
            <w:r w:rsidRPr="005357CD">
              <w:rPr>
                <w:rFonts w:cs="Calibri"/>
                <w:i/>
                <w:iCs/>
                <w:color w:val="000000"/>
                <w:szCs w:val="20"/>
              </w:rPr>
              <w:t>Maintaining and growing affordable housing</w:t>
            </w:r>
          </w:p>
        </w:tc>
        <w:tc>
          <w:tcPr>
            <w:tcW w:w="1093" w:type="dxa"/>
            <w:tcBorders>
              <w:top w:val="nil"/>
              <w:left w:val="nil"/>
              <w:bottom w:val="nil"/>
              <w:right w:val="nil"/>
            </w:tcBorders>
          </w:tcPr>
          <w:p w14:paraId="611BF9F3" w14:textId="77777777" w:rsidR="00CF0E2D"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0950BC7E" w14:textId="77777777" w:rsidR="00CF0E2D" w:rsidRPr="00420A6C"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795BDFBF" w14:textId="77777777" w:rsidR="00CF0E2D" w:rsidRPr="00420A6C"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54A3A882" w14:textId="77777777" w:rsidR="00CF0E2D" w:rsidRPr="00420A6C"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25846276" w14:textId="77777777" w:rsidR="00CF0E2D" w:rsidRPr="00420A6C" w:rsidRDefault="00CF0E2D" w:rsidP="00A60D4B">
            <w:pPr>
              <w:pStyle w:val="Btablefigureunbold"/>
              <w:rPr>
                <w:rFonts w:cs="Calibri"/>
                <w:color w:val="000000"/>
                <w:szCs w:val="20"/>
              </w:rPr>
            </w:pPr>
          </w:p>
        </w:tc>
        <w:tc>
          <w:tcPr>
            <w:tcW w:w="954" w:type="dxa"/>
            <w:gridSpan w:val="2"/>
            <w:tcBorders>
              <w:top w:val="nil"/>
              <w:left w:val="nil"/>
              <w:bottom w:val="nil"/>
              <w:right w:val="nil"/>
            </w:tcBorders>
          </w:tcPr>
          <w:p w14:paraId="62C21D89" w14:textId="77777777" w:rsidR="00CF0E2D" w:rsidRPr="00420A6C" w:rsidRDefault="00CF0E2D" w:rsidP="00A60D4B">
            <w:pPr>
              <w:pStyle w:val="Btablefigureunbold"/>
              <w:rPr>
                <w:rFonts w:cs="Calibri"/>
                <w:b/>
                <w:bCs/>
                <w:color w:val="000000"/>
                <w:szCs w:val="20"/>
              </w:rPr>
            </w:pPr>
          </w:p>
        </w:tc>
      </w:tr>
      <w:tr w:rsidR="00CF0E2D" w:rsidRPr="00D60558" w14:paraId="53CDA266" w14:textId="77777777" w:rsidTr="00A60D4B">
        <w:trPr>
          <w:gridAfter w:val="1"/>
          <w:wAfter w:w="9" w:type="dxa"/>
          <w:jc w:val="center"/>
        </w:trPr>
        <w:tc>
          <w:tcPr>
            <w:tcW w:w="3355" w:type="dxa"/>
            <w:tcBorders>
              <w:top w:val="nil"/>
              <w:left w:val="nil"/>
              <w:bottom w:val="nil"/>
              <w:right w:val="nil"/>
            </w:tcBorders>
          </w:tcPr>
          <w:p w14:paraId="68F1E387" w14:textId="77777777" w:rsidR="00CF0E2D" w:rsidRPr="00822A22" w:rsidRDefault="00CF0E2D" w:rsidP="00A60D4B">
            <w:pPr>
              <w:pStyle w:val="Btabletextunbold"/>
              <w:rPr>
                <w:rFonts w:cs="Calibri"/>
                <w:color w:val="000000"/>
                <w:szCs w:val="20"/>
              </w:rPr>
            </w:pPr>
            <w:r w:rsidRPr="00822A22">
              <w:rPr>
                <w:rFonts w:cs="Calibri"/>
                <w:color w:val="000000"/>
                <w:szCs w:val="20"/>
              </w:rPr>
              <w:t xml:space="preserve">– Financial support for Community Housing Canberra Limited (CHC) </w:t>
            </w:r>
          </w:p>
        </w:tc>
        <w:tc>
          <w:tcPr>
            <w:tcW w:w="1093" w:type="dxa"/>
            <w:tcBorders>
              <w:top w:val="nil"/>
              <w:left w:val="nil"/>
              <w:bottom w:val="nil"/>
              <w:right w:val="nil"/>
            </w:tcBorders>
          </w:tcPr>
          <w:p w14:paraId="22B2B326"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3C8F6B02"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64" w:type="dxa"/>
            <w:gridSpan w:val="2"/>
            <w:tcBorders>
              <w:top w:val="nil"/>
              <w:left w:val="nil"/>
              <w:bottom w:val="nil"/>
              <w:right w:val="nil"/>
            </w:tcBorders>
          </w:tcPr>
          <w:p w14:paraId="6508FA06"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64" w:type="dxa"/>
            <w:gridSpan w:val="2"/>
            <w:tcBorders>
              <w:top w:val="nil"/>
              <w:left w:val="nil"/>
              <w:bottom w:val="nil"/>
              <w:right w:val="nil"/>
            </w:tcBorders>
          </w:tcPr>
          <w:p w14:paraId="246CB144"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64" w:type="dxa"/>
            <w:gridSpan w:val="2"/>
            <w:tcBorders>
              <w:top w:val="nil"/>
              <w:left w:val="nil"/>
              <w:bottom w:val="nil"/>
              <w:right w:val="nil"/>
            </w:tcBorders>
          </w:tcPr>
          <w:p w14:paraId="78D9458E"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54" w:type="dxa"/>
            <w:gridSpan w:val="2"/>
            <w:tcBorders>
              <w:top w:val="nil"/>
              <w:left w:val="nil"/>
              <w:bottom w:val="nil"/>
              <w:right w:val="nil"/>
            </w:tcBorders>
          </w:tcPr>
          <w:p w14:paraId="424E6035" w14:textId="77777777" w:rsidR="00CF0E2D" w:rsidRPr="00420A6C" w:rsidRDefault="00CF0E2D" w:rsidP="00A60D4B">
            <w:pPr>
              <w:pStyle w:val="Btablefigureunbold"/>
              <w:rPr>
                <w:rFonts w:cs="Calibri"/>
                <w:b/>
                <w:bCs/>
                <w:color w:val="000000"/>
                <w:szCs w:val="20"/>
              </w:rPr>
            </w:pPr>
            <w:r w:rsidRPr="00420A6C">
              <w:rPr>
                <w:rFonts w:cs="Calibri"/>
                <w:b/>
                <w:bCs/>
                <w:color w:val="000000"/>
                <w:szCs w:val="20"/>
              </w:rPr>
              <w:t>0</w:t>
            </w:r>
          </w:p>
        </w:tc>
      </w:tr>
      <w:tr w:rsidR="00CF0E2D" w:rsidRPr="00D60558" w14:paraId="608C51C0" w14:textId="77777777" w:rsidTr="00A60D4B">
        <w:trPr>
          <w:gridAfter w:val="1"/>
          <w:wAfter w:w="9" w:type="dxa"/>
          <w:jc w:val="center"/>
        </w:trPr>
        <w:tc>
          <w:tcPr>
            <w:tcW w:w="3355" w:type="dxa"/>
            <w:tcBorders>
              <w:top w:val="nil"/>
              <w:left w:val="nil"/>
              <w:bottom w:val="nil"/>
              <w:right w:val="nil"/>
            </w:tcBorders>
          </w:tcPr>
          <w:p w14:paraId="12DC1865" w14:textId="77777777" w:rsidR="00CF0E2D" w:rsidRPr="00822A22" w:rsidRDefault="00CF0E2D" w:rsidP="00A60D4B">
            <w:pPr>
              <w:pStyle w:val="Btabletextunbold"/>
              <w:rPr>
                <w:rFonts w:cs="Calibri"/>
                <w:color w:val="000000"/>
                <w:szCs w:val="20"/>
              </w:rPr>
            </w:pPr>
            <w:r w:rsidRPr="00822A22">
              <w:rPr>
                <w:rFonts w:cs="Calibri"/>
                <w:color w:val="000000"/>
                <w:szCs w:val="20"/>
              </w:rPr>
              <w:t xml:space="preserve">– Financial support for Community Housing Canberra Limited (CHC) </w:t>
            </w:r>
          </w:p>
        </w:tc>
        <w:tc>
          <w:tcPr>
            <w:tcW w:w="1093" w:type="dxa"/>
            <w:tcBorders>
              <w:top w:val="nil"/>
              <w:left w:val="nil"/>
              <w:bottom w:val="nil"/>
              <w:right w:val="nil"/>
            </w:tcBorders>
          </w:tcPr>
          <w:p w14:paraId="20A09F67"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4D0FFB8C" w14:textId="77777777" w:rsidR="00CF0E2D" w:rsidRPr="00420A6C" w:rsidRDefault="00CF0E2D" w:rsidP="00A60D4B">
            <w:pPr>
              <w:pStyle w:val="Btablefigureunbold"/>
              <w:rPr>
                <w:rFonts w:cs="Calibri"/>
                <w:color w:val="000000"/>
                <w:szCs w:val="20"/>
              </w:rPr>
            </w:pPr>
            <w:r w:rsidRPr="00420A6C">
              <w:rPr>
                <w:rFonts w:cs="Calibri"/>
                <w:color w:val="000000"/>
                <w:szCs w:val="20"/>
              </w:rPr>
              <w:t>634</w:t>
            </w:r>
          </w:p>
        </w:tc>
        <w:tc>
          <w:tcPr>
            <w:tcW w:w="964" w:type="dxa"/>
            <w:gridSpan w:val="2"/>
            <w:tcBorders>
              <w:top w:val="nil"/>
              <w:left w:val="nil"/>
              <w:bottom w:val="nil"/>
              <w:right w:val="nil"/>
            </w:tcBorders>
          </w:tcPr>
          <w:p w14:paraId="79320E7C" w14:textId="77777777" w:rsidR="00CF0E2D" w:rsidRPr="00420A6C" w:rsidRDefault="00CF0E2D" w:rsidP="00A60D4B">
            <w:pPr>
              <w:pStyle w:val="Btablefigureunbold"/>
              <w:rPr>
                <w:rFonts w:cs="Calibri"/>
                <w:color w:val="000000"/>
                <w:szCs w:val="20"/>
              </w:rPr>
            </w:pPr>
            <w:r w:rsidRPr="00420A6C">
              <w:rPr>
                <w:rFonts w:cs="Calibri"/>
                <w:color w:val="000000"/>
                <w:szCs w:val="20"/>
              </w:rPr>
              <w:t>962</w:t>
            </w:r>
          </w:p>
        </w:tc>
        <w:tc>
          <w:tcPr>
            <w:tcW w:w="964" w:type="dxa"/>
            <w:gridSpan w:val="2"/>
            <w:tcBorders>
              <w:top w:val="nil"/>
              <w:left w:val="nil"/>
              <w:bottom w:val="nil"/>
              <w:right w:val="nil"/>
            </w:tcBorders>
          </w:tcPr>
          <w:p w14:paraId="1062A914" w14:textId="77777777" w:rsidR="00CF0E2D" w:rsidRPr="00420A6C" w:rsidRDefault="00CF0E2D" w:rsidP="00A60D4B">
            <w:pPr>
              <w:pStyle w:val="Btablefigureunbold"/>
              <w:rPr>
                <w:rFonts w:cs="Calibri"/>
                <w:color w:val="000000"/>
                <w:szCs w:val="20"/>
              </w:rPr>
            </w:pPr>
            <w:r w:rsidRPr="00420A6C">
              <w:rPr>
                <w:rFonts w:cs="Calibri"/>
                <w:color w:val="000000"/>
                <w:szCs w:val="20"/>
              </w:rPr>
              <w:t>961</w:t>
            </w:r>
          </w:p>
        </w:tc>
        <w:tc>
          <w:tcPr>
            <w:tcW w:w="964" w:type="dxa"/>
            <w:gridSpan w:val="2"/>
            <w:tcBorders>
              <w:top w:val="nil"/>
              <w:left w:val="nil"/>
              <w:bottom w:val="nil"/>
              <w:right w:val="nil"/>
            </w:tcBorders>
          </w:tcPr>
          <w:p w14:paraId="33FD2BD3" w14:textId="77777777" w:rsidR="00CF0E2D" w:rsidRPr="00420A6C" w:rsidRDefault="00CF0E2D" w:rsidP="00A60D4B">
            <w:pPr>
              <w:pStyle w:val="Btablefigureunbold"/>
              <w:rPr>
                <w:rFonts w:cs="Calibri"/>
                <w:color w:val="000000"/>
                <w:szCs w:val="20"/>
              </w:rPr>
            </w:pPr>
            <w:r w:rsidRPr="00420A6C">
              <w:rPr>
                <w:rFonts w:cs="Calibri"/>
                <w:color w:val="000000"/>
                <w:szCs w:val="20"/>
              </w:rPr>
              <w:t>1,005</w:t>
            </w:r>
          </w:p>
        </w:tc>
        <w:tc>
          <w:tcPr>
            <w:tcW w:w="954" w:type="dxa"/>
            <w:gridSpan w:val="2"/>
            <w:tcBorders>
              <w:top w:val="nil"/>
              <w:left w:val="nil"/>
              <w:bottom w:val="nil"/>
              <w:right w:val="nil"/>
            </w:tcBorders>
          </w:tcPr>
          <w:p w14:paraId="1287030A" w14:textId="77777777" w:rsidR="00CF0E2D" w:rsidRPr="00420A6C" w:rsidRDefault="00CF0E2D" w:rsidP="00A60D4B">
            <w:pPr>
              <w:pStyle w:val="Btablefigureunbold"/>
              <w:rPr>
                <w:rFonts w:cs="Calibri"/>
                <w:b/>
                <w:bCs/>
                <w:color w:val="000000"/>
                <w:szCs w:val="20"/>
              </w:rPr>
            </w:pPr>
            <w:r w:rsidRPr="00420A6C">
              <w:rPr>
                <w:rFonts w:cs="Calibri"/>
                <w:b/>
                <w:bCs/>
                <w:color w:val="000000"/>
                <w:szCs w:val="20"/>
              </w:rPr>
              <w:t>3</w:t>
            </w:r>
            <w:r>
              <w:rPr>
                <w:rFonts w:cs="Calibri"/>
                <w:b/>
                <w:bCs/>
                <w:color w:val="000000"/>
                <w:szCs w:val="20"/>
              </w:rPr>
              <w:t>,</w:t>
            </w:r>
            <w:r w:rsidRPr="00420A6C">
              <w:rPr>
                <w:rFonts w:cs="Calibri"/>
                <w:b/>
                <w:bCs/>
                <w:color w:val="000000"/>
                <w:szCs w:val="20"/>
              </w:rPr>
              <w:t>562</w:t>
            </w:r>
          </w:p>
        </w:tc>
      </w:tr>
      <w:tr w:rsidR="00CF0E2D" w:rsidRPr="00D60558" w14:paraId="5B0FAD10" w14:textId="77777777" w:rsidTr="00A60D4B">
        <w:trPr>
          <w:gridAfter w:val="1"/>
          <w:wAfter w:w="9" w:type="dxa"/>
          <w:jc w:val="center"/>
        </w:trPr>
        <w:tc>
          <w:tcPr>
            <w:tcW w:w="3355" w:type="dxa"/>
            <w:tcBorders>
              <w:top w:val="nil"/>
              <w:left w:val="nil"/>
              <w:bottom w:val="nil"/>
              <w:right w:val="nil"/>
            </w:tcBorders>
          </w:tcPr>
          <w:p w14:paraId="022918A8" w14:textId="77777777" w:rsidR="00CF0E2D" w:rsidRPr="00822A22" w:rsidRDefault="00CF0E2D" w:rsidP="00A60D4B">
            <w:pPr>
              <w:pStyle w:val="Btabletextunbold"/>
              <w:rPr>
                <w:rFonts w:cs="Calibri"/>
                <w:color w:val="000000"/>
                <w:szCs w:val="20"/>
              </w:rPr>
            </w:pPr>
            <w:r w:rsidRPr="000B3436">
              <w:rPr>
                <w:rFonts w:cs="Calibri"/>
                <w:color w:val="000000"/>
                <w:szCs w:val="20"/>
              </w:rPr>
              <w:t>–</w:t>
            </w:r>
            <w:r>
              <w:rPr>
                <w:rFonts w:cs="Calibri"/>
                <w:color w:val="000000"/>
                <w:szCs w:val="20"/>
              </w:rPr>
              <w:t xml:space="preserve"> </w:t>
            </w:r>
            <w:r w:rsidRPr="000B3436">
              <w:rPr>
                <w:rFonts w:cs="Calibri"/>
                <w:color w:val="000000"/>
                <w:szCs w:val="20"/>
              </w:rPr>
              <w:t>Increased awareness and compliance of 2021-22 tax settings</w:t>
            </w:r>
          </w:p>
        </w:tc>
        <w:tc>
          <w:tcPr>
            <w:tcW w:w="1093" w:type="dxa"/>
            <w:tcBorders>
              <w:top w:val="nil"/>
              <w:left w:val="nil"/>
              <w:bottom w:val="nil"/>
              <w:right w:val="nil"/>
            </w:tcBorders>
          </w:tcPr>
          <w:p w14:paraId="7DA399B4" w14:textId="77777777" w:rsidR="00CF0E2D"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084C82D6" w14:textId="77777777" w:rsidR="00CF0E2D" w:rsidRPr="00420A6C" w:rsidRDefault="00CF0E2D" w:rsidP="00A60D4B">
            <w:pPr>
              <w:pStyle w:val="Btablefigureunbold"/>
              <w:rPr>
                <w:rFonts w:cs="Calibri"/>
                <w:color w:val="000000"/>
                <w:szCs w:val="20"/>
              </w:rPr>
            </w:pPr>
            <w:r>
              <w:rPr>
                <w:rFonts w:cs="Calibri"/>
                <w:color w:val="000000"/>
                <w:szCs w:val="20"/>
              </w:rPr>
              <w:t>500</w:t>
            </w:r>
          </w:p>
        </w:tc>
        <w:tc>
          <w:tcPr>
            <w:tcW w:w="964" w:type="dxa"/>
            <w:gridSpan w:val="2"/>
            <w:tcBorders>
              <w:top w:val="nil"/>
              <w:left w:val="nil"/>
              <w:bottom w:val="nil"/>
              <w:right w:val="nil"/>
            </w:tcBorders>
          </w:tcPr>
          <w:p w14:paraId="7A43FA45" w14:textId="77777777" w:rsidR="00CF0E2D" w:rsidRPr="00420A6C" w:rsidRDefault="00CF0E2D" w:rsidP="00A60D4B">
            <w:pPr>
              <w:pStyle w:val="Btablefigureunbold"/>
              <w:rPr>
                <w:rFonts w:cs="Calibri"/>
                <w:color w:val="000000"/>
                <w:szCs w:val="20"/>
              </w:rPr>
            </w:pPr>
            <w:r>
              <w:rPr>
                <w:rFonts w:cs="Calibri"/>
                <w:color w:val="000000"/>
                <w:szCs w:val="20"/>
              </w:rPr>
              <w:t>507</w:t>
            </w:r>
          </w:p>
        </w:tc>
        <w:tc>
          <w:tcPr>
            <w:tcW w:w="964" w:type="dxa"/>
            <w:gridSpan w:val="2"/>
            <w:tcBorders>
              <w:top w:val="nil"/>
              <w:left w:val="nil"/>
              <w:bottom w:val="nil"/>
              <w:right w:val="nil"/>
            </w:tcBorders>
          </w:tcPr>
          <w:p w14:paraId="1CE5218E" w14:textId="77777777" w:rsidR="00CF0E2D" w:rsidRPr="00420A6C" w:rsidRDefault="00CF0E2D" w:rsidP="00A60D4B">
            <w:pPr>
              <w:pStyle w:val="Btablefigureunbold"/>
              <w:rPr>
                <w:rFonts w:cs="Calibri"/>
                <w:color w:val="000000"/>
                <w:szCs w:val="20"/>
              </w:rPr>
            </w:pPr>
            <w:r>
              <w:rPr>
                <w:rFonts w:cs="Calibri"/>
                <w:color w:val="000000"/>
                <w:szCs w:val="20"/>
              </w:rPr>
              <w:t>514</w:t>
            </w:r>
          </w:p>
        </w:tc>
        <w:tc>
          <w:tcPr>
            <w:tcW w:w="964" w:type="dxa"/>
            <w:gridSpan w:val="2"/>
            <w:tcBorders>
              <w:top w:val="nil"/>
              <w:left w:val="nil"/>
              <w:bottom w:val="nil"/>
              <w:right w:val="nil"/>
            </w:tcBorders>
          </w:tcPr>
          <w:p w14:paraId="1D44FB10" w14:textId="77777777" w:rsidR="00CF0E2D" w:rsidRPr="00420A6C" w:rsidRDefault="00CF0E2D" w:rsidP="00A60D4B">
            <w:pPr>
              <w:pStyle w:val="Btablefigureunbold"/>
              <w:rPr>
                <w:rFonts w:cs="Calibri"/>
                <w:color w:val="000000"/>
                <w:szCs w:val="20"/>
              </w:rPr>
            </w:pPr>
            <w:r>
              <w:rPr>
                <w:rFonts w:cs="Calibri"/>
                <w:color w:val="000000"/>
                <w:szCs w:val="20"/>
              </w:rPr>
              <w:t>521</w:t>
            </w:r>
          </w:p>
        </w:tc>
        <w:tc>
          <w:tcPr>
            <w:tcW w:w="954" w:type="dxa"/>
            <w:gridSpan w:val="2"/>
            <w:tcBorders>
              <w:top w:val="nil"/>
              <w:left w:val="nil"/>
              <w:bottom w:val="nil"/>
              <w:right w:val="nil"/>
            </w:tcBorders>
          </w:tcPr>
          <w:p w14:paraId="7A604A4F" w14:textId="77777777" w:rsidR="00CF0E2D" w:rsidRPr="00420A6C" w:rsidRDefault="00CF0E2D" w:rsidP="00A60D4B">
            <w:pPr>
              <w:pStyle w:val="Btablefigureunbold"/>
              <w:rPr>
                <w:rFonts w:cs="Calibri"/>
                <w:b/>
                <w:bCs/>
                <w:color w:val="000000"/>
                <w:szCs w:val="20"/>
              </w:rPr>
            </w:pPr>
            <w:r>
              <w:rPr>
                <w:rFonts w:cs="Calibri"/>
                <w:b/>
                <w:bCs/>
                <w:color w:val="000000"/>
                <w:szCs w:val="20"/>
              </w:rPr>
              <w:t>2,042</w:t>
            </w:r>
          </w:p>
        </w:tc>
      </w:tr>
      <w:tr w:rsidR="00CF0E2D" w:rsidRPr="00D60558" w14:paraId="68403875" w14:textId="77777777" w:rsidTr="00A60D4B">
        <w:trPr>
          <w:gridAfter w:val="1"/>
          <w:wAfter w:w="9" w:type="dxa"/>
          <w:jc w:val="center"/>
        </w:trPr>
        <w:tc>
          <w:tcPr>
            <w:tcW w:w="3355" w:type="dxa"/>
            <w:tcBorders>
              <w:top w:val="nil"/>
              <w:left w:val="nil"/>
              <w:bottom w:val="nil"/>
              <w:right w:val="nil"/>
            </w:tcBorders>
          </w:tcPr>
          <w:p w14:paraId="036F1C1A" w14:textId="77777777" w:rsidR="00CF0E2D" w:rsidRPr="00822A22" w:rsidRDefault="00CF0E2D" w:rsidP="00A60D4B">
            <w:pPr>
              <w:pStyle w:val="Btabletextunbold"/>
              <w:rPr>
                <w:rFonts w:cs="Calibri"/>
                <w:color w:val="000000"/>
                <w:szCs w:val="20"/>
              </w:rPr>
            </w:pPr>
            <w:r w:rsidRPr="00822A22">
              <w:rPr>
                <w:rFonts w:cs="Calibri"/>
                <w:color w:val="000000"/>
                <w:szCs w:val="20"/>
              </w:rPr>
              <w:t>– Piloting build-to-rent projects with affordable rental</w:t>
            </w:r>
          </w:p>
        </w:tc>
        <w:tc>
          <w:tcPr>
            <w:tcW w:w="1093" w:type="dxa"/>
            <w:tcBorders>
              <w:top w:val="nil"/>
              <w:left w:val="nil"/>
              <w:bottom w:val="nil"/>
              <w:right w:val="nil"/>
            </w:tcBorders>
          </w:tcPr>
          <w:p w14:paraId="5895CA64"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058239F8" w14:textId="77777777" w:rsidR="00CF0E2D" w:rsidRPr="00420A6C" w:rsidRDefault="00CF0E2D" w:rsidP="00A60D4B">
            <w:pPr>
              <w:pStyle w:val="Btablefigureunbold"/>
              <w:rPr>
                <w:rFonts w:cs="Calibri"/>
                <w:color w:val="000000"/>
                <w:szCs w:val="20"/>
              </w:rPr>
            </w:pPr>
            <w:r w:rsidRPr="00420A6C">
              <w:rPr>
                <w:rFonts w:cs="Calibri"/>
                <w:color w:val="000000"/>
                <w:szCs w:val="20"/>
              </w:rPr>
              <w:t>236</w:t>
            </w:r>
          </w:p>
        </w:tc>
        <w:tc>
          <w:tcPr>
            <w:tcW w:w="964" w:type="dxa"/>
            <w:gridSpan w:val="2"/>
            <w:tcBorders>
              <w:top w:val="nil"/>
              <w:left w:val="nil"/>
              <w:bottom w:val="nil"/>
              <w:right w:val="nil"/>
            </w:tcBorders>
          </w:tcPr>
          <w:p w14:paraId="6FF69830" w14:textId="77777777" w:rsidR="00CF0E2D" w:rsidRPr="00420A6C" w:rsidRDefault="00CF0E2D" w:rsidP="00A60D4B">
            <w:pPr>
              <w:pStyle w:val="Btablefigureunbold"/>
              <w:rPr>
                <w:rFonts w:cs="Calibri"/>
                <w:color w:val="000000"/>
                <w:szCs w:val="20"/>
              </w:rPr>
            </w:pPr>
            <w:r w:rsidRPr="00420A6C">
              <w:rPr>
                <w:rFonts w:cs="Calibri"/>
                <w:color w:val="000000"/>
                <w:szCs w:val="20"/>
              </w:rPr>
              <w:t>159</w:t>
            </w:r>
          </w:p>
        </w:tc>
        <w:tc>
          <w:tcPr>
            <w:tcW w:w="964" w:type="dxa"/>
            <w:gridSpan w:val="2"/>
            <w:tcBorders>
              <w:top w:val="nil"/>
              <w:left w:val="nil"/>
              <w:bottom w:val="nil"/>
              <w:right w:val="nil"/>
            </w:tcBorders>
          </w:tcPr>
          <w:p w14:paraId="62395302" w14:textId="77777777" w:rsidR="00CF0E2D" w:rsidRPr="00420A6C" w:rsidRDefault="00CF0E2D" w:rsidP="00A60D4B">
            <w:pPr>
              <w:pStyle w:val="Btablefigureunbold"/>
              <w:rPr>
                <w:rFonts w:cs="Calibri"/>
                <w:color w:val="000000"/>
                <w:szCs w:val="20"/>
              </w:rPr>
            </w:pPr>
            <w:r w:rsidRPr="00420A6C">
              <w:rPr>
                <w:rFonts w:cs="Calibri"/>
                <w:color w:val="000000"/>
                <w:szCs w:val="20"/>
              </w:rPr>
              <w:t>161</w:t>
            </w:r>
          </w:p>
        </w:tc>
        <w:tc>
          <w:tcPr>
            <w:tcW w:w="964" w:type="dxa"/>
            <w:gridSpan w:val="2"/>
            <w:tcBorders>
              <w:top w:val="nil"/>
              <w:left w:val="nil"/>
              <w:bottom w:val="nil"/>
              <w:right w:val="nil"/>
            </w:tcBorders>
          </w:tcPr>
          <w:p w14:paraId="4C327162" w14:textId="77777777" w:rsidR="00CF0E2D" w:rsidRPr="00420A6C" w:rsidRDefault="00CF0E2D" w:rsidP="00A60D4B">
            <w:pPr>
              <w:pStyle w:val="Btablefigureunbold"/>
              <w:rPr>
                <w:rFonts w:cs="Calibri"/>
                <w:color w:val="000000"/>
                <w:szCs w:val="20"/>
              </w:rPr>
            </w:pPr>
            <w:r w:rsidRPr="00420A6C">
              <w:rPr>
                <w:rFonts w:cs="Calibri"/>
                <w:color w:val="000000"/>
                <w:szCs w:val="20"/>
              </w:rPr>
              <w:t>164</w:t>
            </w:r>
          </w:p>
        </w:tc>
        <w:tc>
          <w:tcPr>
            <w:tcW w:w="954" w:type="dxa"/>
            <w:gridSpan w:val="2"/>
            <w:tcBorders>
              <w:top w:val="nil"/>
              <w:left w:val="nil"/>
              <w:bottom w:val="nil"/>
              <w:right w:val="nil"/>
            </w:tcBorders>
          </w:tcPr>
          <w:p w14:paraId="46348788" w14:textId="77777777" w:rsidR="00CF0E2D" w:rsidRPr="00420A6C" w:rsidRDefault="00CF0E2D" w:rsidP="00A60D4B">
            <w:pPr>
              <w:pStyle w:val="Btablefigureunbold"/>
              <w:rPr>
                <w:rFonts w:cs="Calibri"/>
                <w:b/>
                <w:bCs/>
                <w:color w:val="000000"/>
                <w:szCs w:val="20"/>
              </w:rPr>
            </w:pPr>
            <w:r w:rsidRPr="00420A6C">
              <w:rPr>
                <w:rFonts w:cs="Calibri"/>
                <w:b/>
                <w:bCs/>
                <w:color w:val="000000"/>
                <w:szCs w:val="20"/>
              </w:rPr>
              <w:t>720</w:t>
            </w:r>
          </w:p>
        </w:tc>
      </w:tr>
      <w:tr w:rsidR="00CF0E2D" w:rsidRPr="00D60558" w14:paraId="26571491" w14:textId="77777777" w:rsidTr="00A60D4B">
        <w:trPr>
          <w:gridAfter w:val="1"/>
          <w:wAfter w:w="9" w:type="dxa"/>
          <w:jc w:val="center"/>
        </w:trPr>
        <w:tc>
          <w:tcPr>
            <w:tcW w:w="3355" w:type="dxa"/>
            <w:tcBorders>
              <w:top w:val="nil"/>
              <w:left w:val="nil"/>
              <w:bottom w:val="nil"/>
              <w:right w:val="nil"/>
            </w:tcBorders>
          </w:tcPr>
          <w:p w14:paraId="02C2C85C" w14:textId="77777777" w:rsidR="00CF0E2D" w:rsidRPr="00822A22" w:rsidRDefault="00CF0E2D" w:rsidP="00A60D4B">
            <w:pPr>
              <w:pStyle w:val="Btabletextunbold"/>
              <w:rPr>
                <w:rFonts w:cs="Calibri"/>
                <w:color w:val="000000"/>
                <w:szCs w:val="20"/>
              </w:rPr>
            </w:pPr>
            <w:r w:rsidRPr="00822A22">
              <w:rPr>
                <w:rFonts w:cs="Calibri"/>
                <w:color w:val="000000"/>
                <w:szCs w:val="20"/>
              </w:rPr>
              <w:t>Major events funding</w:t>
            </w:r>
          </w:p>
        </w:tc>
        <w:tc>
          <w:tcPr>
            <w:tcW w:w="1093" w:type="dxa"/>
            <w:tcBorders>
              <w:top w:val="nil"/>
              <w:left w:val="nil"/>
              <w:bottom w:val="nil"/>
              <w:right w:val="nil"/>
            </w:tcBorders>
          </w:tcPr>
          <w:p w14:paraId="058D1B76"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11632D87" w14:textId="77777777" w:rsidR="00CF0E2D" w:rsidRPr="00420A6C" w:rsidRDefault="00CF0E2D" w:rsidP="00A60D4B">
            <w:pPr>
              <w:pStyle w:val="Btablefigureunbold"/>
              <w:rPr>
                <w:rFonts w:cs="Calibri"/>
                <w:color w:val="000000"/>
                <w:szCs w:val="20"/>
              </w:rPr>
            </w:pPr>
            <w:r w:rsidRPr="00420A6C">
              <w:rPr>
                <w:rFonts w:cs="Calibri"/>
                <w:color w:val="000000"/>
                <w:szCs w:val="20"/>
              </w:rPr>
              <w:t>1,122</w:t>
            </w:r>
          </w:p>
        </w:tc>
        <w:tc>
          <w:tcPr>
            <w:tcW w:w="964" w:type="dxa"/>
            <w:gridSpan w:val="2"/>
            <w:tcBorders>
              <w:top w:val="nil"/>
              <w:left w:val="nil"/>
              <w:bottom w:val="nil"/>
              <w:right w:val="nil"/>
            </w:tcBorders>
          </w:tcPr>
          <w:p w14:paraId="24D64C3B" w14:textId="77777777" w:rsidR="00CF0E2D" w:rsidRPr="00420A6C" w:rsidRDefault="00CF0E2D" w:rsidP="00A60D4B">
            <w:pPr>
              <w:pStyle w:val="Btablefigureunbold"/>
              <w:rPr>
                <w:rFonts w:cs="Calibri"/>
                <w:color w:val="000000"/>
                <w:szCs w:val="20"/>
              </w:rPr>
            </w:pPr>
            <w:r w:rsidRPr="00420A6C">
              <w:rPr>
                <w:rFonts w:cs="Calibri"/>
                <w:color w:val="000000"/>
                <w:szCs w:val="20"/>
              </w:rPr>
              <w:t>1,664</w:t>
            </w:r>
          </w:p>
        </w:tc>
        <w:tc>
          <w:tcPr>
            <w:tcW w:w="964" w:type="dxa"/>
            <w:gridSpan w:val="2"/>
            <w:tcBorders>
              <w:top w:val="nil"/>
              <w:left w:val="nil"/>
              <w:bottom w:val="nil"/>
              <w:right w:val="nil"/>
            </w:tcBorders>
          </w:tcPr>
          <w:p w14:paraId="4C3746DE" w14:textId="77777777" w:rsidR="00CF0E2D" w:rsidRPr="00420A6C" w:rsidRDefault="00CF0E2D" w:rsidP="00A60D4B">
            <w:pPr>
              <w:pStyle w:val="Btablefigureunbold"/>
              <w:rPr>
                <w:rFonts w:cs="Calibri"/>
                <w:color w:val="000000"/>
                <w:szCs w:val="20"/>
              </w:rPr>
            </w:pPr>
            <w:r w:rsidRPr="00420A6C">
              <w:rPr>
                <w:rFonts w:cs="Calibri"/>
                <w:color w:val="000000"/>
                <w:szCs w:val="20"/>
              </w:rPr>
              <w:t>606</w:t>
            </w:r>
          </w:p>
        </w:tc>
        <w:tc>
          <w:tcPr>
            <w:tcW w:w="964" w:type="dxa"/>
            <w:gridSpan w:val="2"/>
            <w:tcBorders>
              <w:top w:val="nil"/>
              <w:left w:val="nil"/>
              <w:bottom w:val="nil"/>
              <w:right w:val="nil"/>
            </w:tcBorders>
          </w:tcPr>
          <w:p w14:paraId="7FA68328" w14:textId="77777777" w:rsidR="00CF0E2D" w:rsidRPr="00420A6C" w:rsidRDefault="00CF0E2D" w:rsidP="00A60D4B">
            <w:pPr>
              <w:pStyle w:val="Btablefigureunbold"/>
              <w:rPr>
                <w:rFonts w:cs="Calibri"/>
                <w:color w:val="000000"/>
                <w:szCs w:val="20"/>
              </w:rPr>
            </w:pPr>
            <w:r w:rsidRPr="00420A6C">
              <w:rPr>
                <w:rFonts w:cs="Calibri"/>
                <w:color w:val="000000"/>
                <w:szCs w:val="20"/>
              </w:rPr>
              <w:t>643</w:t>
            </w:r>
          </w:p>
        </w:tc>
        <w:tc>
          <w:tcPr>
            <w:tcW w:w="954" w:type="dxa"/>
            <w:gridSpan w:val="2"/>
            <w:tcBorders>
              <w:top w:val="nil"/>
              <w:left w:val="nil"/>
              <w:bottom w:val="nil"/>
              <w:right w:val="nil"/>
            </w:tcBorders>
          </w:tcPr>
          <w:p w14:paraId="32028939" w14:textId="77777777" w:rsidR="00CF0E2D" w:rsidRPr="00420A6C" w:rsidRDefault="00CF0E2D" w:rsidP="00A60D4B">
            <w:pPr>
              <w:pStyle w:val="Btablefigureunbold"/>
              <w:rPr>
                <w:rFonts w:cs="Calibri"/>
                <w:b/>
                <w:bCs/>
                <w:color w:val="000000"/>
                <w:szCs w:val="20"/>
              </w:rPr>
            </w:pPr>
            <w:r w:rsidRPr="00420A6C">
              <w:rPr>
                <w:rFonts w:cs="Calibri"/>
                <w:b/>
                <w:bCs/>
                <w:color w:val="000000"/>
                <w:szCs w:val="20"/>
              </w:rPr>
              <w:t>4,035</w:t>
            </w:r>
          </w:p>
        </w:tc>
      </w:tr>
      <w:tr w:rsidR="00CF0E2D" w:rsidRPr="00D60558" w14:paraId="1E60F0FD" w14:textId="77777777" w:rsidTr="00A60D4B">
        <w:trPr>
          <w:gridAfter w:val="1"/>
          <w:wAfter w:w="9" w:type="dxa"/>
          <w:jc w:val="center"/>
        </w:trPr>
        <w:tc>
          <w:tcPr>
            <w:tcW w:w="3355" w:type="dxa"/>
            <w:tcBorders>
              <w:top w:val="nil"/>
              <w:left w:val="nil"/>
              <w:bottom w:val="nil"/>
              <w:right w:val="nil"/>
            </w:tcBorders>
          </w:tcPr>
          <w:p w14:paraId="75BCD5BD" w14:textId="77777777" w:rsidR="00CF0E2D" w:rsidRPr="00822A22" w:rsidRDefault="00CF0E2D" w:rsidP="00A60D4B">
            <w:pPr>
              <w:pStyle w:val="Btabletextunbold"/>
              <w:rPr>
                <w:rFonts w:cs="Calibri"/>
                <w:color w:val="000000"/>
                <w:szCs w:val="20"/>
              </w:rPr>
            </w:pPr>
            <w:r w:rsidRPr="00822A22">
              <w:rPr>
                <w:rFonts w:cs="Calibri"/>
                <w:color w:val="000000"/>
                <w:szCs w:val="20"/>
              </w:rPr>
              <w:t>More energy efficient Government accommodation</w:t>
            </w:r>
          </w:p>
        </w:tc>
        <w:tc>
          <w:tcPr>
            <w:tcW w:w="1093" w:type="dxa"/>
            <w:tcBorders>
              <w:top w:val="nil"/>
              <w:left w:val="nil"/>
              <w:bottom w:val="nil"/>
              <w:right w:val="nil"/>
            </w:tcBorders>
          </w:tcPr>
          <w:p w14:paraId="6860B668"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6142B2A2" w14:textId="77777777" w:rsidR="00CF0E2D" w:rsidRPr="00420A6C" w:rsidRDefault="00CF0E2D" w:rsidP="00A60D4B">
            <w:pPr>
              <w:pStyle w:val="Btablefigureunbold"/>
              <w:rPr>
                <w:rFonts w:cs="Calibri"/>
                <w:color w:val="000000"/>
                <w:szCs w:val="20"/>
              </w:rPr>
            </w:pPr>
            <w:r w:rsidRPr="00420A6C">
              <w:rPr>
                <w:rFonts w:cs="Calibri"/>
                <w:color w:val="000000"/>
                <w:szCs w:val="20"/>
              </w:rPr>
              <w:t>1,861</w:t>
            </w:r>
          </w:p>
        </w:tc>
        <w:tc>
          <w:tcPr>
            <w:tcW w:w="964" w:type="dxa"/>
            <w:gridSpan w:val="2"/>
            <w:tcBorders>
              <w:top w:val="nil"/>
              <w:left w:val="nil"/>
              <w:bottom w:val="nil"/>
              <w:right w:val="nil"/>
            </w:tcBorders>
          </w:tcPr>
          <w:p w14:paraId="56CBDE8C" w14:textId="77777777" w:rsidR="00CF0E2D" w:rsidRPr="00420A6C" w:rsidRDefault="00CF0E2D" w:rsidP="00A60D4B">
            <w:pPr>
              <w:pStyle w:val="Btablefigureunbold"/>
              <w:rPr>
                <w:rFonts w:cs="Calibri"/>
                <w:color w:val="000000"/>
                <w:szCs w:val="20"/>
              </w:rPr>
            </w:pPr>
            <w:r w:rsidRPr="00420A6C">
              <w:rPr>
                <w:rFonts w:cs="Calibri"/>
                <w:color w:val="000000"/>
                <w:szCs w:val="20"/>
              </w:rPr>
              <w:t>3,768</w:t>
            </w:r>
          </w:p>
        </w:tc>
        <w:tc>
          <w:tcPr>
            <w:tcW w:w="964" w:type="dxa"/>
            <w:gridSpan w:val="2"/>
            <w:tcBorders>
              <w:top w:val="nil"/>
              <w:left w:val="nil"/>
              <w:bottom w:val="nil"/>
              <w:right w:val="nil"/>
            </w:tcBorders>
          </w:tcPr>
          <w:p w14:paraId="662577B3" w14:textId="77777777" w:rsidR="00CF0E2D" w:rsidRPr="00420A6C" w:rsidRDefault="00CF0E2D" w:rsidP="00A60D4B">
            <w:pPr>
              <w:pStyle w:val="Btablefigureunbold"/>
              <w:rPr>
                <w:rFonts w:cs="Calibri"/>
                <w:color w:val="000000"/>
                <w:szCs w:val="20"/>
              </w:rPr>
            </w:pPr>
            <w:r w:rsidRPr="00420A6C">
              <w:rPr>
                <w:rFonts w:cs="Calibri"/>
                <w:color w:val="000000"/>
                <w:szCs w:val="20"/>
              </w:rPr>
              <w:t>4,722</w:t>
            </w:r>
          </w:p>
        </w:tc>
        <w:tc>
          <w:tcPr>
            <w:tcW w:w="964" w:type="dxa"/>
            <w:gridSpan w:val="2"/>
            <w:tcBorders>
              <w:top w:val="nil"/>
              <w:left w:val="nil"/>
              <w:bottom w:val="nil"/>
              <w:right w:val="nil"/>
            </w:tcBorders>
          </w:tcPr>
          <w:p w14:paraId="466DFBDF" w14:textId="77777777" w:rsidR="00CF0E2D" w:rsidRPr="00420A6C" w:rsidRDefault="00CF0E2D" w:rsidP="00A60D4B">
            <w:pPr>
              <w:pStyle w:val="Btablefigureunbold"/>
              <w:rPr>
                <w:rFonts w:cs="Calibri"/>
                <w:color w:val="000000"/>
                <w:szCs w:val="20"/>
              </w:rPr>
            </w:pPr>
            <w:r w:rsidRPr="00420A6C">
              <w:rPr>
                <w:rFonts w:cs="Calibri"/>
                <w:color w:val="000000"/>
                <w:szCs w:val="20"/>
              </w:rPr>
              <w:t>4,901</w:t>
            </w:r>
          </w:p>
        </w:tc>
        <w:tc>
          <w:tcPr>
            <w:tcW w:w="954" w:type="dxa"/>
            <w:gridSpan w:val="2"/>
            <w:tcBorders>
              <w:top w:val="nil"/>
              <w:left w:val="nil"/>
              <w:bottom w:val="nil"/>
              <w:right w:val="nil"/>
            </w:tcBorders>
          </w:tcPr>
          <w:p w14:paraId="04647ECB" w14:textId="77777777" w:rsidR="00CF0E2D" w:rsidRPr="00420A6C" w:rsidRDefault="00CF0E2D" w:rsidP="00A60D4B">
            <w:pPr>
              <w:pStyle w:val="Btablefigureunbold"/>
              <w:rPr>
                <w:rFonts w:cs="Calibri"/>
                <w:b/>
                <w:bCs/>
                <w:color w:val="000000"/>
                <w:szCs w:val="20"/>
              </w:rPr>
            </w:pPr>
            <w:r>
              <w:rPr>
                <w:rFonts w:cs="Calibri"/>
                <w:b/>
                <w:bCs/>
                <w:color w:val="000000"/>
                <w:szCs w:val="20"/>
              </w:rPr>
              <w:t>15,252</w:t>
            </w:r>
          </w:p>
        </w:tc>
      </w:tr>
      <w:tr w:rsidR="00CF0E2D" w:rsidRPr="00D60558" w14:paraId="59CDCAE6" w14:textId="77777777" w:rsidTr="00A60D4B">
        <w:trPr>
          <w:gridAfter w:val="1"/>
          <w:wAfter w:w="9" w:type="dxa"/>
          <w:jc w:val="center"/>
        </w:trPr>
        <w:tc>
          <w:tcPr>
            <w:tcW w:w="3355" w:type="dxa"/>
            <w:tcBorders>
              <w:top w:val="nil"/>
              <w:left w:val="nil"/>
              <w:bottom w:val="nil"/>
              <w:right w:val="nil"/>
            </w:tcBorders>
          </w:tcPr>
          <w:p w14:paraId="0809D914" w14:textId="77777777" w:rsidR="00CF0E2D" w:rsidRPr="00822A22" w:rsidRDefault="00CF0E2D" w:rsidP="00A60D4B">
            <w:pPr>
              <w:pStyle w:val="Btabletextunbold"/>
              <w:rPr>
                <w:rFonts w:cs="Calibri"/>
                <w:color w:val="000000"/>
                <w:szCs w:val="20"/>
              </w:rPr>
            </w:pPr>
            <w:r w:rsidRPr="00822A22">
              <w:rPr>
                <w:rFonts w:cs="Calibri"/>
                <w:color w:val="000000"/>
                <w:szCs w:val="20"/>
              </w:rPr>
              <w:t>More energy efficient Government accommodation</w:t>
            </w:r>
          </w:p>
        </w:tc>
        <w:tc>
          <w:tcPr>
            <w:tcW w:w="1093" w:type="dxa"/>
            <w:tcBorders>
              <w:top w:val="nil"/>
              <w:left w:val="nil"/>
              <w:bottom w:val="nil"/>
              <w:right w:val="nil"/>
            </w:tcBorders>
          </w:tcPr>
          <w:p w14:paraId="7CD98C75"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40EE6D8C"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64" w:type="dxa"/>
            <w:gridSpan w:val="2"/>
            <w:tcBorders>
              <w:top w:val="nil"/>
              <w:left w:val="nil"/>
              <w:bottom w:val="nil"/>
              <w:right w:val="nil"/>
            </w:tcBorders>
          </w:tcPr>
          <w:p w14:paraId="15ED763E" w14:textId="77777777" w:rsidR="00CF0E2D" w:rsidRPr="00420A6C" w:rsidRDefault="00CF0E2D" w:rsidP="00A60D4B">
            <w:pPr>
              <w:pStyle w:val="Btablefigureunbold"/>
              <w:rPr>
                <w:rFonts w:cs="Calibri"/>
                <w:color w:val="000000"/>
                <w:szCs w:val="20"/>
              </w:rPr>
            </w:pPr>
            <w:r w:rsidRPr="00420A6C">
              <w:rPr>
                <w:rFonts w:cs="Calibri"/>
                <w:color w:val="000000"/>
                <w:szCs w:val="20"/>
              </w:rPr>
              <w:t>103</w:t>
            </w:r>
          </w:p>
        </w:tc>
        <w:tc>
          <w:tcPr>
            <w:tcW w:w="964" w:type="dxa"/>
            <w:gridSpan w:val="2"/>
            <w:tcBorders>
              <w:top w:val="nil"/>
              <w:left w:val="nil"/>
              <w:bottom w:val="nil"/>
              <w:right w:val="nil"/>
            </w:tcBorders>
          </w:tcPr>
          <w:p w14:paraId="51DDEEF5" w14:textId="77777777" w:rsidR="00CF0E2D" w:rsidRPr="00420A6C" w:rsidRDefault="00CF0E2D" w:rsidP="00A60D4B">
            <w:pPr>
              <w:pStyle w:val="Btablefigureunbold"/>
              <w:rPr>
                <w:rFonts w:cs="Calibri"/>
                <w:color w:val="000000"/>
                <w:szCs w:val="20"/>
              </w:rPr>
            </w:pPr>
            <w:r w:rsidRPr="00420A6C">
              <w:rPr>
                <w:rFonts w:cs="Calibri"/>
                <w:color w:val="000000"/>
                <w:szCs w:val="20"/>
              </w:rPr>
              <w:t>311</w:t>
            </w:r>
          </w:p>
        </w:tc>
        <w:tc>
          <w:tcPr>
            <w:tcW w:w="964" w:type="dxa"/>
            <w:gridSpan w:val="2"/>
            <w:tcBorders>
              <w:top w:val="nil"/>
              <w:left w:val="nil"/>
              <w:bottom w:val="nil"/>
              <w:right w:val="nil"/>
            </w:tcBorders>
          </w:tcPr>
          <w:p w14:paraId="4A24FCF4" w14:textId="77777777" w:rsidR="00CF0E2D" w:rsidRPr="00420A6C" w:rsidRDefault="00CF0E2D" w:rsidP="00A60D4B">
            <w:pPr>
              <w:pStyle w:val="Btablefigureunbold"/>
              <w:rPr>
                <w:rFonts w:cs="Calibri"/>
                <w:color w:val="000000"/>
                <w:szCs w:val="20"/>
              </w:rPr>
            </w:pPr>
            <w:r w:rsidRPr="00420A6C">
              <w:rPr>
                <w:rFonts w:cs="Calibri"/>
                <w:color w:val="000000"/>
                <w:szCs w:val="20"/>
              </w:rPr>
              <w:t>572</w:t>
            </w:r>
          </w:p>
        </w:tc>
        <w:tc>
          <w:tcPr>
            <w:tcW w:w="954" w:type="dxa"/>
            <w:gridSpan w:val="2"/>
            <w:tcBorders>
              <w:top w:val="nil"/>
              <w:left w:val="nil"/>
              <w:bottom w:val="nil"/>
              <w:right w:val="nil"/>
            </w:tcBorders>
          </w:tcPr>
          <w:p w14:paraId="0808EF37" w14:textId="77777777" w:rsidR="00CF0E2D" w:rsidRPr="00420A6C" w:rsidRDefault="00CF0E2D" w:rsidP="00A60D4B">
            <w:pPr>
              <w:pStyle w:val="Btablefigureunbold"/>
              <w:rPr>
                <w:rFonts w:cs="Calibri"/>
                <w:b/>
                <w:bCs/>
                <w:color w:val="000000"/>
                <w:szCs w:val="20"/>
              </w:rPr>
            </w:pPr>
            <w:r>
              <w:rPr>
                <w:rFonts w:cs="Calibri"/>
                <w:b/>
                <w:bCs/>
                <w:color w:val="000000"/>
                <w:szCs w:val="20"/>
              </w:rPr>
              <w:t>986</w:t>
            </w:r>
          </w:p>
        </w:tc>
      </w:tr>
      <w:tr w:rsidR="00CF0E2D" w:rsidRPr="00D60558" w14:paraId="2D183C9F" w14:textId="77777777" w:rsidTr="00A60D4B">
        <w:trPr>
          <w:gridAfter w:val="1"/>
          <w:wAfter w:w="9" w:type="dxa"/>
          <w:jc w:val="center"/>
        </w:trPr>
        <w:tc>
          <w:tcPr>
            <w:tcW w:w="3355" w:type="dxa"/>
            <w:tcBorders>
              <w:top w:val="nil"/>
              <w:left w:val="nil"/>
              <w:bottom w:val="nil"/>
              <w:right w:val="nil"/>
            </w:tcBorders>
          </w:tcPr>
          <w:p w14:paraId="46EDC30E" w14:textId="77777777" w:rsidR="00CF0E2D" w:rsidRPr="00822A22" w:rsidRDefault="00CF0E2D" w:rsidP="00A60D4B">
            <w:pPr>
              <w:pStyle w:val="Btabletextunbold"/>
              <w:rPr>
                <w:rFonts w:cs="Calibri"/>
                <w:color w:val="000000"/>
                <w:szCs w:val="20"/>
              </w:rPr>
            </w:pPr>
            <w:r w:rsidRPr="00822A22">
              <w:rPr>
                <w:rFonts w:cs="Calibri"/>
                <w:color w:val="000000"/>
                <w:szCs w:val="20"/>
              </w:rPr>
              <w:t>More support for the Gungahlin Leisure Centre</w:t>
            </w:r>
          </w:p>
        </w:tc>
        <w:tc>
          <w:tcPr>
            <w:tcW w:w="1093" w:type="dxa"/>
            <w:tcBorders>
              <w:top w:val="nil"/>
              <w:left w:val="nil"/>
              <w:bottom w:val="nil"/>
              <w:right w:val="nil"/>
            </w:tcBorders>
          </w:tcPr>
          <w:p w14:paraId="2A60C056"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5CBF6B52" w14:textId="77777777" w:rsidR="00CF0E2D" w:rsidRPr="00420A6C" w:rsidRDefault="00CF0E2D" w:rsidP="00A60D4B">
            <w:pPr>
              <w:pStyle w:val="Btablefigureunbold"/>
              <w:rPr>
                <w:rFonts w:cs="Calibri"/>
                <w:color w:val="000000"/>
                <w:szCs w:val="20"/>
              </w:rPr>
            </w:pPr>
            <w:r w:rsidRPr="00420A6C">
              <w:rPr>
                <w:rFonts w:cs="Calibri"/>
                <w:color w:val="000000"/>
                <w:szCs w:val="20"/>
              </w:rPr>
              <w:t>360</w:t>
            </w:r>
          </w:p>
        </w:tc>
        <w:tc>
          <w:tcPr>
            <w:tcW w:w="964" w:type="dxa"/>
            <w:gridSpan w:val="2"/>
            <w:tcBorders>
              <w:top w:val="nil"/>
              <w:left w:val="nil"/>
              <w:bottom w:val="nil"/>
              <w:right w:val="nil"/>
            </w:tcBorders>
          </w:tcPr>
          <w:p w14:paraId="36851EF4"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64" w:type="dxa"/>
            <w:gridSpan w:val="2"/>
            <w:tcBorders>
              <w:top w:val="nil"/>
              <w:left w:val="nil"/>
              <w:bottom w:val="nil"/>
              <w:right w:val="nil"/>
            </w:tcBorders>
          </w:tcPr>
          <w:p w14:paraId="2C013B47"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64" w:type="dxa"/>
            <w:gridSpan w:val="2"/>
            <w:tcBorders>
              <w:top w:val="nil"/>
              <w:left w:val="nil"/>
              <w:bottom w:val="nil"/>
              <w:right w:val="nil"/>
            </w:tcBorders>
          </w:tcPr>
          <w:p w14:paraId="464BD4F4"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54" w:type="dxa"/>
            <w:gridSpan w:val="2"/>
            <w:tcBorders>
              <w:top w:val="nil"/>
              <w:left w:val="nil"/>
              <w:bottom w:val="nil"/>
              <w:right w:val="nil"/>
            </w:tcBorders>
          </w:tcPr>
          <w:p w14:paraId="66357D63" w14:textId="77777777" w:rsidR="00CF0E2D" w:rsidRPr="00420A6C" w:rsidRDefault="00CF0E2D" w:rsidP="00A60D4B">
            <w:pPr>
              <w:pStyle w:val="Btablefigureunbold"/>
              <w:rPr>
                <w:rFonts w:cs="Calibri"/>
                <w:b/>
                <w:bCs/>
                <w:color w:val="000000"/>
                <w:szCs w:val="20"/>
              </w:rPr>
            </w:pPr>
            <w:r w:rsidRPr="00420A6C">
              <w:rPr>
                <w:rFonts w:cs="Calibri"/>
                <w:b/>
                <w:bCs/>
                <w:color w:val="000000"/>
                <w:szCs w:val="20"/>
              </w:rPr>
              <w:t>360</w:t>
            </w:r>
          </w:p>
        </w:tc>
      </w:tr>
      <w:tr w:rsidR="00CF0E2D" w:rsidRPr="00D60558" w14:paraId="3B74F014" w14:textId="77777777" w:rsidTr="00A60D4B">
        <w:trPr>
          <w:gridAfter w:val="1"/>
          <w:wAfter w:w="9" w:type="dxa"/>
          <w:jc w:val="center"/>
        </w:trPr>
        <w:tc>
          <w:tcPr>
            <w:tcW w:w="3355" w:type="dxa"/>
            <w:tcBorders>
              <w:top w:val="nil"/>
              <w:left w:val="nil"/>
              <w:bottom w:val="nil"/>
              <w:right w:val="nil"/>
            </w:tcBorders>
          </w:tcPr>
          <w:p w14:paraId="15DA6AB1" w14:textId="77777777" w:rsidR="00CF0E2D" w:rsidRPr="00822A22" w:rsidRDefault="00CF0E2D" w:rsidP="00A60D4B">
            <w:pPr>
              <w:pStyle w:val="Btabletextunbold"/>
              <w:rPr>
                <w:rFonts w:cs="Calibri"/>
                <w:color w:val="000000"/>
                <w:szCs w:val="20"/>
              </w:rPr>
            </w:pPr>
            <w:r w:rsidRPr="00822A22">
              <w:rPr>
                <w:rFonts w:cs="Calibri"/>
                <w:color w:val="000000"/>
                <w:szCs w:val="20"/>
              </w:rPr>
              <w:t>More support for the Gungahlin Leisure Centre</w:t>
            </w:r>
          </w:p>
        </w:tc>
        <w:tc>
          <w:tcPr>
            <w:tcW w:w="1093" w:type="dxa"/>
            <w:tcBorders>
              <w:top w:val="nil"/>
              <w:left w:val="nil"/>
              <w:bottom w:val="nil"/>
              <w:right w:val="nil"/>
            </w:tcBorders>
          </w:tcPr>
          <w:p w14:paraId="773BD45A"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4D4E688C" w14:textId="77777777" w:rsidR="00CF0E2D" w:rsidRPr="00420A6C" w:rsidRDefault="00CF0E2D" w:rsidP="00A60D4B">
            <w:pPr>
              <w:pStyle w:val="Btablefigureunbold"/>
              <w:rPr>
                <w:rFonts w:cs="Calibri"/>
                <w:color w:val="000000"/>
                <w:szCs w:val="20"/>
              </w:rPr>
            </w:pPr>
            <w:r w:rsidRPr="00420A6C">
              <w:rPr>
                <w:rFonts w:cs="Calibri"/>
                <w:color w:val="000000"/>
                <w:szCs w:val="20"/>
              </w:rPr>
              <w:t>832</w:t>
            </w:r>
          </w:p>
        </w:tc>
        <w:tc>
          <w:tcPr>
            <w:tcW w:w="964" w:type="dxa"/>
            <w:gridSpan w:val="2"/>
            <w:tcBorders>
              <w:top w:val="nil"/>
              <w:left w:val="nil"/>
              <w:bottom w:val="nil"/>
              <w:right w:val="nil"/>
            </w:tcBorders>
          </w:tcPr>
          <w:p w14:paraId="540D9368" w14:textId="77777777" w:rsidR="00CF0E2D" w:rsidRPr="00420A6C" w:rsidRDefault="00CF0E2D" w:rsidP="00A60D4B">
            <w:pPr>
              <w:pStyle w:val="Btablefigureunbold"/>
              <w:rPr>
                <w:rFonts w:cs="Calibri"/>
                <w:color w:val="000000"/>
                <w:szCs w:val="20"/>
              </w:rPr>
            </w:pPr>
            <w:r w:rsidRPr="00420A6C">
              <w:rPr>
                <w:rFonts w:cs="Calibri"/>
                <w:color w:val="000000"/>
                <w:szCs w:val="20"/>
              </w:rPr>
              <w:t>12</w:t>
            </w:r>
          </w:p>
        </w:tc>
        <w:tc>
          <w:tcPr>
            <w:tcW w:w="964" w:type="dxa"/>
            <w:gridSpan w:val="2"/>
            <w:tcBorders>
              <w:top w:val="nil"/>
              <w:left w:val="nil"/>
              <w:bottom w:val="nil"/>
              <w:right w:val="nil"/>
            </w:tcBorders>
          </w:tcPr>
          <w:p w14:paraId="27DCE0BD" w14:textId="77777777" w:rsidR="00CF0E2D" w:rsidRPr="00420A6C" w:rsidRDefault="00CF0E2D" w:rsidP="00A60D4B">
            <w:pPr>
              <w:pStyle w:val="Btablefigureunbold"/>
              <w:rPr>
                <w:rFonts w:cs="Calibri"/>
                <w:color w:val="000000"/>
                <w:szCs w:val="20"/>
              </w:rPr>
            </w:pPr>
            <w:r w:rsidRPr="00420A6C">
              <w:rPr>
                <w:rFonts w:cs="Calibri"/>
                <w:color w:val="000000"/>
                <w:szCs w:val="20"/>
              </w:rPr>
              <w:t>12</w:t>
            </w:r>
          </w:p>
        </w:tc>
        <w:tc>
          <w:tcPr>
            <w:tcW w:w="964" w:type="dxa"/>
            <w:gridSpan w:val="2"/>
            <w:tcBorders>
              <w:top w:val="nil"/>
              <w:left w:val="nil"/>
              <w:bottom w:val="nil"/>
              <w:right w:val="nil"/>
            </w:tcBorders>
          </w:tcPr>
          <w:p w14:paraId="5FA671F9" w14:textId="77777777" w:rsidR="00CF0E2D" w:rsidRPr="00420A6C" w:rsidRDefault="00CF0E2D" w:rsidP="00A60D4B">
            <w:pPr>
              <w:pStyle w:val="Btablefigureunbold"/>
              <w:rPr>
                <w:rFonts w:cs="Calibri"/>
                <w:color w:val="000000"/>
                <w:szCs w:val="20"/>
              </w:rPr>
            </w:pPr>
            <w:r w:rsidRPr="00420A6C">
              <w:rPr>
                <w:rFonts w:cs="Calibri"/>
                <w:color w:val="000000"/>
                <w:szCs w:val="20"/>
              </w:rPr>
              <w:t>12</w:t>
            </w:r>
          </w:p>
        </w:tc>
        <w:tc>
          <w:tcPr>
            <w:tcW w:w="954" w:type="dxa"/>
            <w:gridSpan w:val="2"/>
            <w:tcBorders>
              <w:top w:val="nil"/>
              <w:left w:val="nil"/>
              <w:bottom w:val="nil"/>
              <w:right w:val="nil"/>
            </w:tcBorders>
          </w:tcPr>
          <w:p w14:paraId="0F6F49F5" w14:textId="77777777" w:rsidR="00CF0E2D" w:rsidRPr="00420A6C" w:rsidRDefault="00CF0E2D" w:rsidP="00A60D4B">
            <w:pPr>
              <w:pStyle w:val="Btablefigureunbold"/>
              <w:rPr>
                <w:rFonts w:cs="Calibri"/>
                <w:b/>
                <w:bCs/>
                <w:color w:val="000000"/>
                <w:szCs w:val="20"/>
              </w:rPr>
            </w:pPr>
            <w:r w:rsidRPr="00420A6C">
              <w:rPr>
                <w:rFonts w:cs="Calibri"/>
                <w:b/>
                <w:bCs/>
                <w:color w:val="000000"/>
                <w:szCs w:val="20"/>
              </w:rPr>
              <w:t>868</w:t>
            </w:r>
          </w:p>
        </w:tc>
      </w:tr>
      <w:tr w:rsidR="00CF0E2D" w:rsidRPr="00D60558" w14:paraId="664F5729" w14:textId="77777777" w:rsidTr="00A60D4B">
        <w:trPr>
          <w:gridAfter w:val="1"/>
          <w:wAfter w:w="9" w:type="dxa"/>
          <w:jc w:val="center"/>
        </w:trPr>
        <w:tc>
          <w:tcPr>
            <w:tcW w:w="3355" w:type="dxa"/>
            <w:tcBorders>
              <w:top w:val="nil"/>
              <w:left w:val="nil"/>
              <w:bottom w:val="nil"/>
              <w:right w:val="nil"/>
            </w:tcBorders>
          </w:tcPr>
          <w:p w14:paraId="102B1253" w14:textId="77777777" w:rsidR="00CF0E2D" w:rsidRPr="00D60558" w:rsidRDefault="00CF0E2D" w:rsidP="00A60D4B">
            <w:pPr>
              <w:pStyle w:val="Btabletextunbold"/>
              <w:rPr>
                <w:szCs w:val="20"/>
              </w:rPr>
            </w:pPr>
            <w:r w:rsidRPr="00822A22">
              <w:rPr>
                <w:rFonts w:cs="Calibri"/>
                <w:color w:val="000000"/>
                <w:szCs w:val="20"/>
              </w:rPr>
              <w:t>More support for trans, gender diverse and intersex Canberrans</w:t>
            </w:r>
          </w:p>
        </w:tc>
        <w:tc>
          <w:tcPr>
            <w:tcW w:w="1093" w:type="dxa"/>
            <w:tcBorders>
              <w:top w:val="nil"/>
              <w:left w:val="nil"/>
              <w:bottom w:val="nil"/>
              <w:right w:val="nil"/>
            </w:tcBorders>
          </w:tcPr>
          <w:p w14:paraId="5F6AB292"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1B5182A1" w14:textId="77777777" w:rsidR="00CF0E2D" w:rsidRPr="00420A6C" w:rsidRDefault="00CF0E2D" w:rsidP="00A60D4B">
            <w:pPr>
              <w:pStyle w:val="Btablefigureunbold"/>
              <w:rPr>
                <w:rFonts w:cs="Calibri"/>
                <w:color w:val="000000"/>
                <w:szCs w:val="20"/>
              </w:rPr>
            </w:pPr>
            <w:r w:rsidRPr="00420A6C">
              <w:rPr>
                <w:rFonts w:cs="Calibri"/>
                <w:color w:val="000000"/>
                <w:szCs w:val="20"/>
              </w:rPr>
              <w:t>150</w:t>
            </w:r>
          </w:p>
        </w:tc>
        <w:tc>
          <w:tcPr>
            <w:tcW w:w="964" w:type="dxa"/>
            <w:gridSpan w:val="2"/>
            <w:tcBorders>
              <w:top w:val="nil"/>
              <w:left w:val="nil"/>
              <w:bottom w:val="nil"/>
              <w:right w:val="nil"/>
            </w:tcBorders>
          </w:tcPr>
          <w:p w14:paraId="210D0A12" w14:textId="77777777" w:rsidR="00CF0E2D" w:rsidRPr="00420A6C" w:rsidRDefault="00CF0E2D" w:rsidP="00A60D4B">
            <w:pPr>
              <w:pStyle w:val="Btablefigureunbold"/>
              <w:rPr>
                <w:rFonts w:cs="Calibri"/>
                <w:color w:val="000000"/>
                <w:szCs w:val="20"/>
              </w:rPr>
            </w:pPr>
            <w:r w:rsidRPr="00420A6C">
              <w:rPr>
                <w:rFonts w:cs="Calibri"/>
                <w:color w:val="000000"/>
                <w:szCs w:val="20"/>
              </w:rPr>
              <w:t>154</w:t>
            </w:r>
          </w:p>
        </w:tc>
        <w:tc>
          <w:tcPr>
            <w:tcW w:w="964" w:type="dxa"/>
            <w:gridSpan w:val="2"/>
            <w:tcBorders>
              <w:top w:val="nil"/>
              <w:left w:val="nil"/>
              <w:bottom w:val="nil"/>
              <w:right w:val="nil"/>
            </w:tcBorders>
          </w:tcPr>
          <w:p w14:paraId="0C481521" w14:textId="77777777" w:rsidR="00CF0E2D" w:rsidRPr="00420A6C" w:rsidRDefault="00CF0E2D" w:rsidP="00A60D4B">
            <w:pPr>
              <w:pStyle w:val="Btablefigureunbold"/>
              <w:rPr>
                <w:rFonts w:cs="Calibri"/>
                <w:color w:val="000000"/>
                <w:szCs w:val="20"/>
              </w:rPr>
            </w:pPr>
            <w:r w:rsidRPr="00420A6C">
              <w:rPr>
                <w:rFonts w:cs="Calibri"/>
                <w:color w:val="000000"/>
                <w:szCs w:val="20"/>
              </w:rPr>
              <w:t>158</w:t>
            </w:r>
          </w:p>
        </w:tc>
        <w:tc>
          <w:tcPr>
            <w:tcW w:w="964" w:type="dxa"/>
            <w:gridSpan w:val="2"/>
            <w:tcBorders>
              <w:top w:val="nil"/>
              <w:left w:val="nil"/>
              <w:bottom w:val="nil"/>
              <w:right w:val="nil"/>
            </w:tcBorders>
          </w:tcPr>
          <w:p w14:paraId="445F5C7E" w14:textId="77777777" w:rsidR="00CF0E2D" w:rsidRPr="00420A6C" w:rsidRDefault="00CF0E2D" w:rsidP="00A60D4B">
            <w:pPr>
              <w:pStyle w:val="Btablefigureunbold"/>
              <w:rPr>
                <w:rFonts w:cs="Calibri"/>
                <w:color w:val="000000"/>
                <w:szCs w:val="20"/>
              </w:rPr>
            </w:pPr>
            <w:r w:rsidRPr="00420A6C">
              <w:rPr>
                <w:rFonts w:cs="Calibri"/>
                <w:color w:val="000000"/>
                <w:szCs w:val="20"/>
              </w:rPr>
              <w:t>162</w:t>
            </w:r>
          </w:p>
        </w:tc>
        <w:tc>
          <w:tcPr>
            <w:tcW w:w="954" w:type="dxa"/>
            <w:gridSpan w:val="2"/>
            <w:tcBorders>
              <w:top w:val="nil"/>
              <w:left w:val="nil"/>
              <w:bottom w:val="nil"/>
              <w:right w:val="nil"/>
            </w:tcBorders>
          </w:tcPr>
          <w:p w14:paraId="196C2EE2" w14:textId="77777777" w:rsidR="00CF0E2D" w:rsidRPr="00420A6C" w:rsidRDefault="00CF0E2D" w:rsidP="00A60D4B">
            <w:pPr>
              <w:pStyle w:val="Btablefigureunbold"/>
              <w:rPr>
                <w:rFonts w:cs="Calibri"/>
                <w:b/>
                <w:bCs/>
                <w:color w:val="000000"/>
                <w:szCs w:val="20"/>
              </w:rPr>
            </w:pPr>
            <w:r w:rsidRPr="00420A6C">
              <w:rPr>
                <w:rFonts w:cs="Calibri"/>
                <w:b/>
                <w:bCs/>
                <w:color w:val="000000"/>
                <w:szCs w:val="20"/>
              </w:rPr>
              <w:t>624</w:t>
            </w:r>
          </w:p>
        </w:tc>
      </w:tr>
      <w:tr w:rsidR="00CF0E2D" w:rsidRPr="00D60558" w14:paraId="443A5E73" w14:textId="77777777" w:rsidTr="00A60D4B">
        <w:trPr>
          <w:gridAfter w:val="1"/>
          <w:wAfter w:w="9" w:type="dxa"/>
          <w:jc w:val="center"/>
        </w:trPr>
        <w:tc>
          <w:tcPr>
            <w:tcW w:w="3355" w:type="dxa"/>
            <w:tcBorders>
              <w:top w:val="nil"/>
              <w:left w:val="nil"/>
              <w:bottom w:val="nil"/>
              <w:right w:val="nil"/>
            </w:tcBorders>
          </w:tcPr>
          <w:p w14:paraId="0CCFAF8B" w14:textId="77777777" w:rsidR="00CF0E2D" w:rsidRPr="00822A22" w:rsidRDefault="00CF0E2D" w:rsidP="00A60D4B">
            <w:pPr>
              <w:pStyle w:val="Btabletextunbold"/>
              <w:rPr>
                <w:szCs w:val="20"/>
              </w:rPr>
            </w:pPr>
            <w:r w:rsidRPr="00822A22">
              <w:rPr>
                <w:rFonts w:cs="Calibri"/>
                <w:color w:val="000000"/>
                <w:szCs w:val="20"/>
              </w:rPr>
              <w:t>More support for women's elite sport</w:t>
            </w:r>
          </w:p>
        </w:tc>
        <w:tc>
          <w:tcPr>
            <w:tcW w:w="1093" w:type="dxa"/>
            <w:tcBorders>
              <w:top w:val="nil"/>
              <w:left w:val="nil"/>
              <w:bottom w:val="nil"/>
              <w:right w:val="nil"/>
            </w:tcBorders>
          </w:tcPr>
          <w:p w14:paraId="168E0D56"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62A26BAA" w14:textId="77777777" w:rsidR="00CF0E2D" w:rsidRPr="00420A6C" w:rsidRDefault="00CF0E2D" w:rsidP="00A60D4B">
            <w:pPr>
              <w:pStyle w:val="Btablefigureunbold"/>
              <w:rPr>
                <w:rFonts w:cs="Calibri"/>
                <w:color w:val="000000"/>
                <w:szCs w:val="20"/>
              </w:rPr>
            </w:pPr>
            <w:r w:rsidRPr="00420A6C">
              <w:rPr>
                <w:rFonts w:cs="Calibri"/>
                <w:color w:val="000000"/>
                <w:szCs w:val="20"/>
              </w:rPr>
              <w:t>425</w:t>
            </w:r>
          </w:p>
        </w:tc>
        <w:tc>
          <w:tcPr>
            <w:tcW w:w="964" w:type="dxa"/>
            <w:gridSpan w:val="2"/>
            <w:tcBorders>
              <w:top w:val="nil"/>
              <w:left w:val="nil"/>
              <w:bottom w:val="nil"/>
              <w:right w:val="nil"/>
            </w:tcBorders>
          </w:tcPr>
          <w:p w14:paraId="0C094748" w14:textId="77777777" w:rsidR="00CF0E2D" w:rsidRPr="00420A6C" w:rsidRDefault="00CF0E2D" w:rsidP="00A60D4B">
            <w:pPr>
              <w:pStyle w:val="Btablefigureunbold"/>
              <w:rPr>
                <w:rFonts w:cs="Calibri"/>
                <w:color w:val="000000"/>
                <w:szCs w:val="20"/>
              </w:rPr>
            </w:pPr>
            <w:r w:rsidRPr="00420A6C">
              <w:rPr>
                <w:rFonts w:cs="Calibri"/>
                <w:color w:val="000000"/>
                <w:szCs w:val="20"/>
              </w:rPr>
              <w:t>382</w:t>
            </w:r>
          </w:p>
        </w:tc>
        <w:tc>
          <w:tcPr>
            <w:tcW w:w="964" w:type="dxa"/>
            <w:gridSpan w:val="2"/>
            <w:tcBorders>
              <w:top w:val="nil"/>
              <w:left w:val="nil"/>
              <w:bottom w:val="nil"/>
              <w:right w:val="nil"/>
            </w:tcBorders>
          </w:tcPr>
          <w:p w14:paraId="5B00458F" w14:textId="77777777" w:rsidR="00CF0E2D" w:rsidRPr="00420A6C" w:rsidRDefault="00CF0E2D" w:rsidP="00A60D4B">
            <w:pPr>
              <w:pStyle w:val="Btablefigureunbold"/>
              <w:rPr>
                <w:rFonts w:cs="Calibri"/>
                <w:color w:val="000000"/>
                <w:szCs w:val="20"/>
              </w:rPr>
            </w:pPr>
            <w:r w:rsidRPr="00420A6C">
              <w:rPr>
                <w:rFonts w:cs="Calibri"/>
                <w:color w:val="000000"/>
                <w:szCs w:val="20"/>
              </w:rPr>
              <w:t>388</w:t>
            </w:r>
          </w:p>
        </w:tc>
        <w:tc>
          <w:tcPr>
            <w:tcW w:w="964" w:type="dxa"/>
            <w:gridSpan w:val="2"/>
            <w:tcBorders>
              <w:top w:val="nil"/>
              <w:left w:val="nil"/>
              <w:bottom w:val="nil"/>
              <w:right w:val="nil"/>
            </w:tcBorders>
          </w:tcPr>
          <w:p w14:paraId="347965D4" w14:textId="77777777" w:rsidR="00CF0E2D" w:rsidRPr="00420A6C" w:rsidRDefault="00CF0E2D" w:rsidP="00A60D4B">
            <w:pPr>
              <w:pStyle w:val="Btablefigureunbold"/>
              <w:rPr>
                <w:rFonts w:cs="Calibri"/>
                <w:color w:val="000000"/>
                <w:szCs w:val="20"/>
              </w:rPr>
            </w:pPr>
            <w:r w:rsidRPr="00420A6C">
              <w:rPr>
                <w:rFonts w:cs="Calibri"/>
                <w:color w:val="000000"/>
                <w:szCs w:val="20"/>
              </w:rPr>
              <w:t>396</w:t>
            </w:r>
          </w:p>
        </w:tc>
        <w:tc>
          <w:tcPr>
            <w:tcW w:w="954" w:type="dxa"/>
            <w:gridSpan w:val="2"/>
            <w:tcBorders>
              <w:top w:val="nil"/>
              <w:left w:val="nil"/>
              <w:bottom w:val="nil"/>
              <w:right w:val="nil"/>
            </w:tcBorders>
          </w:tcPr>
          <w:p w14:paraId="3044388E" w14:textId="77777777" w:rsidR="00CF0E2D" w:rsidRPr="00420A6C" w:rsidRDefault="00CF0E2D" w:rsidP="00A60D4B">
            <w:pPr>
              <w:pStyle w:val="Btablefigureunbold"/>
              <w:rPr>
                <w:rFonts w:cs="Calibri"/>
                <w:b/>
                <w:bCs/>
                <w:color w:val="000000"/>
                <w:szCs w:val="20"/>
              </w:rPr>
            </w:pPr>
            <w:r w:rsidRPr="00420A6C">
              <w:rPr>
                <w:rFonts w:cs="Calibri"/>
                <w:b/>
                <w:bCs/>
                <w:color w:val="000000"/>
                <w:szCs w:val="20"/>
              </w:rPr>
              <w:t>1,591</w:t>
            </w:r>
          </w:p>
        </w:tc>
      </w:tr>
      <w:tr w:rsidR="00CF0E2D" w:rsidRPr="00D60558" w14:paraId="5486F2C1" w14:textId="77777777" w:rsidTr="00A60D4B">
        <w:trPr>
          <w:gridAfter w:val="1"/>
          <w:wAfter w:w="9" w:type="dxa"/>
          <w:jc w:val="center"/>
        </w:trPr>
        <w:tc>
          <w:tcPr>
            <w:tcW w:w="3355" w:type="dxa"/>
            <w:tcBorders>
              <w:top w:val="nil"/>
              <w:left w:val="nil"/>
              <w:bottom w:val="nil"/>
              <w:right w:val="nil"/>
            </w:tcBorders>
          </w:tcPr>
          <w:p w14:paraId="0E464AD5" w14:textId="77777777" w:rsidR="00CF0E2D" w:rsidRPr="00822A22" w:rsidRDefault="00CF0E2D" w:rsidP="00A60D4B">
            <w:pPr>
              <w:pStyle w:val="Btabletextunbold"/>
              <w:rPr>
                <w:szCs w:val="20"/>
              </w:rPr>
            </w:pPr>
            <w:r w:rsidRPr="00822A22">
              <w:rPr>
                <w:rFonts w:cs="Calibri"/>
                <w:color w:val="000000"/>
                <w:szCs w:val="20"/>
              </w:rPr>
              <w:t>Non-potable water rebate for high-intensity club users</w:t>
            </w:r>
          </w:p>
        </w:tc>
        <w:tc>
          <w:tcPr>
            <w:tcW w:w="1093" w:type="dxa"/>
            <w:tcBorders>
              <w:top w:val="nil"/>
              <w:left w:val="nil"/>
              <w:bottom w:val="nil"/>
              <w:right w:val="nil"/>
            </w:tcBorders>
          </w:tcPr>
          <w:p w14:paraId="39B173D1"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67B4F9BB" w14:textId="77777777" w:rsidR="00CF0E2D" w:rsidRPr="00420A6C" w:rsidRDefault="00CF0E2D" w:rsidP="00A60D4B">
            <w:pPr>
              <w:pStyle w:val="Btablefigureunbold"/>
              <w:rPr>
                <w:rFonts w:cs="Calibri"/>
                <w:color w:val="000000"/>
                <w:szCs w:val="20"/>
              </w:rPr>
            </w:pPr>
            <w:r w:rsidRPr="00420A6C">
              <w:rPr>
                <w:rFonts w:cs="Calibri"/>
                <w:color w:val="000000"/>
                <w:szCs w:val="20"/>
              </w:rPr>
              <w:t>100</w:t>
            </w:r>
          </w:p>
        </w:tc>
        <w:tc>
          <w:tcPr>
            <w:tcW w:w="964" w:type="dxa"/>
            <w:gridSpan w:val="2"/>
            <w:tcBorders>
              <w:top w:val="nil"/>
              <w:left w:val="nil"/>
              <w:bottom w:val="nil"/>
              <w:right w:val="nil"/>
            </w:tcBorders>
          </w:tcPr>
          <w:p w14:paraId="24DD6EDA"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64" w:type="dxa"/>
            <w:gridSpan w:val="2"/>
            <w:tcBorders>
              <w:top w:val="nil"/>
              <w:left w:val="nil"/>
              <w:bottom w:val="nil"/>
              <w:right w:val="nil"/>
            </w:tcBorders>
          </w:tcPr>
          <w:p w14:paraId="5DF25498"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64" w:type="dxa"/>
            <w:gridSpan w:val="2"/>
            <w:tcBorders>
              <w:top w:val="nil"/>
              <w:left w:val="nil"/>
              <w:bottom w:val="nil"/>
              <w:right w:val="nil"/>
            </w:tcBorders>
          </w:tcPr>
          <w:p w14:paraId="34A43C49"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54" w:type="dxa"/>
            <w:gridSpan w:val="2"/>
            <w:tcBorders>
              <w:top w:val="nil"/>
              <w:left w:val="nil"/>
              <w:bottom w:val="nil"/>
              <w:right w:val="nil"/>
            </w:tcBorders>
          </w:tcPr>
          <w:p w14:paraId="1BA99A08" w14:textId="77777777" w:rsidR="00CF0E2D" w:rsidRPr="00420A6C" w:rsidRDefault="00CF0E2D" w:rsidP="00A60D4B">
            <w:pPr>
              <w:pStyle w:val="Btablefigureunbold"/>
              <w:rPr>
                <w:rFonts w:cs="Calibri"/>
                <w:b/>
                <w:bCs/>
                <w:color w:val="000000"/>
                <w:szCs w:val="20"/>
              </w:rPr>
            </w:pPr>
            <w:r w:rsidRPr="00420A6C">
              <w:rPr>
                <w:rFonts w:cs="Calibri"/>
                <w:b/>
                <w:bCs/>
                <w:color w:val="000000"/>
                <w:szCs w:val="20"/>
              </w:rPr>
              <w:t>100</w:t>
            </w:r>
          </w:p>
        </w:tc>
      </w:tr>
      <w:tr w:rsidR="00CF0E2D" w:rsidRPr="00D60558" w14:paraId="51C656AC" w14:textId="77777777" w:rsidTr="00A60D4B">
        <w:trPr>
          <w:gridAfter w:val="1"/>
          <w:wAfter w:w="9" w:type="dxa"/>
          <w:jc w:val="center"/>
        </w:trPr>
        <w:tc>
          <w:tcPr>
            <w:tcW w:w="3355" w:type="dxa"/>
            <w:tcBorders>
              <w:top w:val="nil"/>
              <w:left w:val="nil"/>
              <w:bottom w:val="nil"/>
              <w:right w:val="nil"/>
            </w:tcBorders>
          </w:tcPr>
          <w:p w14:paraId="581BCBC0" w14:textId="77777777" w:rsidR="00CF0E2D" w:rsidRPr="00822A22" w:rsidRDefault="00CF0E2D" w:rsidP="00A60D4B">
            <w:pPr>
              <w:pStyle w:val="Btabletextunbold"/>
              <w:rPr>
                <w:rFonts w:cs="Calibri"/>
                <w:color w:val="000000"/>
                <w:szCs w:val="20"/>
              </w:rPr>
            </w:pPr>
            <w:r w:rsidRPr="00822A22">
              <w:rPr>
                <w:rFonts w:cs="Calibri"/>
                <w:color w:val="000000"/>
                <w:szCs w:val="20"/>
              </w:rPr>
              <w:t>Planning for a second access road at the National Arboretum Canberra</w:t>
            </w:r>
          </w:p>
        </w:tc>
        <w:tc>
          <w:tcPr>
            <w:tcW w:w="1093" w:type="dxa"/>
            <w:tcBorders>
              <w:top w:val="nil"/>
              <w:left w:val="nil"/>
              <w:bottom w:val="nil"/>
              <w:right w:val="nil"/>
            </w:tcBorders>
          </w:tcPr>
          <w:p w14:paraId="3D646555"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4F904CE3" w14:textId="77777777" w:rsidR="00CF0E2D" w:rsidRPr="00420A6C" w:rsidRDefault="00CF0E2D" w:rsidP="00A60D4B">
            <w:pPr>
              <w:pStyle w:val="Btablefigureunbold"/>
              <w:rPr>
                <w:rFonts w:cs="Calibri"/>
                <w:color w:val="000000"/>
                <w:szCs w:val="20"/>
              </w:rPr>
            </w:pPr>
            <w:r w:rsidRPr="00420A6C">
              <w:rPr>
                <w:rFonts w:cs="Calibri"/>
                <w:color w:val="000000"/>
                <w:szCs w:val="20"/>
              </w:rPr>
              <w:t>110</w:t>
            </w:r>
          </w:p>
        </w:tc>
        <w:tc>
          <w:tcPr>
            <w:tcW w:w="964" w:type="dxa"/>
            <w:gridSpan w:val="2"/>
            <w:tcBorders>
              <w:top w:val="nil"/>
              <w:left w:val="nil"/>
              <w:bottom w:val="nil"/>
              <w:right w:val="nil"/>
            </w:tcBorders>
          </w:tcPr>
          <w:p w14:paraId="6DE28697"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64" w:type="dxa"/>
            <w:gridSpan w:val="2"/>
            <w:tcBorders>
              <w:top w:val="nil"/>
              <w:left w:val="nil"/>
              <w:bottom w:val="nil"/>
              <w:right w:val="nil"/>
            </w:tcBorders>
          </w:tcPr>
          <w:p w14:paraId="26523ECD"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64" w:type="dxa"/>
            <w:gridSpan w:val="2"/>
            <w:tcBorders>
              <w:top w:val="nil"/>
              <w:left w:val="nil"/>
              <w:bottom w:val="nil"/>
              <w:right w:val="nil"/>
            </w:tcBorders>
          </w:tcPr>
          <w:p w14:paraId="3C400056"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54" w:type="dxa"/>
            <w:gridSpan w:val="2"/>
            <w:tcBorders>
              <w:top w:val="nil"/>
              <w:left w:val="nil"/>
              <w:bottom w:val="nil"/>
              <w:right w:val="nil"/>
            </w:tcBorders>
          </w:tcPr>
          <w:p w14:paraId="7E59B01D" w14:textId="77777777" w:rsidR="00CF0E2D" w:rsidRPr="00420A6C" w:rsidRDefault="00CF0E2D" w:rsidP="00A60D4B">
            <w:pPr>
              <w:pStyle w:val="Btablefigureunbold"/>
              <w:rPr>
                <w:rFonts w:cs="Calibri"/>
                <w:b/>
                <w:bCs/>
                <w:color w:val="000000"/>
                <w:szCs w:val="20"/>
              </w:rPr>
            </w:pPr>
            <w:r w:rsidRPr="00420A6C">
              <w:rPr>
                <w:rFonts w:cs="Calibri"/>
                <w:b/>
                <w:bCs/>
                <w:color w:val="000000"/>
                <w:szCs w:val="20"/>
              </w:rPr>
              <w:t>110</w:t>
            </w:r>
          </w:p>
        </w:tc>
      </w:tr>
      <w:tr w:rsidR="00CF0E2D" w:rsidRPr="00D60558" w14:paraId="5AFA3F03" w14:textId="77777777" w:rsidTr="00A60D4B">
        <w:trPr>
          <w:gridAfter w:val="1"/>
          <w:wAfter w:w="9" w:type="dxa"/>
          <w:jc w:val="center"/>
        </w:trPr>
        <w:tc>
          <w:tcPr>
            <w:tcW w:w="3355" w:type="dxa"/>
            <w:tcBorders>
              <w:top w:val="nil"/>
              <w:left w:val="nil"/>
              <w:bottom w:val="nil"/>
              <w:right w:val="nil"/>
            </w:tcBorders>
          </w:tcPr>
          <w:p w14:paraId="40F7F45A" w14:textId="77777777" w:rsidR="00CF0E2D" w:rsidRPr="00822A22" w:rsidRDefault="00CF0E2D" w:rsidP="00A60D4B">
            <w:pPr>
              <w:pStyle w:val="Btabletextunbold"/>
              <w:rPr>
                <w:rFonts w:cs="Calibri"/>
                <w:color w:val="000000"/>
                <w:szCs w:val="20"/>
              </w:rPr>
            </w:pPr>
            <w:r w:rsidRPr="00822A22">
              <w:rPr>
                <w:rFonts w:cs="Calibri"/>
                <w:color w:val="000000"/>
                <w:szCs w:val="20"/>
              </w:rPr>
              <w:t>Remediating lead dust at the former transport depot in Kingston</w:t>
            </w:r>
          </w:p>
        </w:tc>
        <w:tc>
          <w:tcPr>
            <w:tcW w:w="1093" w:type="dxa"/>
            <w:tcBorders>
              <w:top w:val="nil"/>
              <w:left w:val="nil"/>
              <w:bottom w:val="nil"/>
              <w:right w:val="nil"/>
            </w:tcBorders>
          </w:tcPr>
          <w:p w14:paraId="036601CE"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7B5FFEE5" w14:textId="77777777" w:rsidR="00CF0E2D" w:rsidRPr="00420A6C" w:rsidRDefault="00CF0E2D" w:rsidP="00A60D4B">
            <w:pPr>
              <w:pStyle w:val="Btablefigureunbold"/>
              <w:rPr>
                <w:rFonts w:cs="Calibri"/>
                <w:color w:val="000000"/>
                <w:szCs w:val="20"/>
              </w:rPr>
            </w:pPr>
            <w:r w:rsidRPr="00420A6C">
              <w:rPr>
                <w:rFonts w:cs="Calibri"/>
                <w:color w:val="000000"/>
                <w:szCs w:val="20"/>
              </w:rPr>
              <w:t>1,300</w:t>
            </w:r>
          </w:p>
        </w:tc>
        <w:tc>
          <w:tcPr>
            <w:tcW w:w="964" w:type="dxa"/>
            <w:gridSpan w:val="2"/>
            <w:tcBorders>
              <w:top w:val="nil"/>
              <w:left w:val="nil"/>
              <w:bottom w:val="nil"/>
              <w:right w:val="nil"/>
            </w:tcBorders>
          </w:tcPr>
          <w:p w14:paraId="2CC286D6"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64" w:type="dxa"/>
            <w:gridSpan w:val="2"/>
            <w:tcBorders>
              <w:top w:val="nil"/>
              <w:left w:val="nil"/>
              <w:bottom w:val="nil"/>
              <w:right w:val="nil"/>
            </w:tcBorders>
          </w:tcPr>
          <w:p w14:paraId="3DBB8C18"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64" w:type="dxa"/>
            <w:gridSpan w:val="2"/>
            <w:tcBorders>
              <w:top w:val="nil"/>
              <w:left w:val="nil"/>
              <w:bottom w:val="nil"/>
              <w:right w:val="nil"/>
            </w:tcBorders>
          </w:tcPr>
          <w:p w14:paraId="5EFA5214" w14:textId="77777777" w:rsidR="00CF0E2D" w:rsidRPr="00420A6C" w:rsidRDefault="00CF0E2D" w:rsidP="00A60D4B">
            <w:pPr>
              <w:pStyle w:val="Btablefigureunbold"/>
              <w:rPr>
                <w:rFonts w:cs="Calibri"/>
                <w:color w:val="000000"/>
                <w:szCs w:val="20"/>
              </w:rPr>
            </w:pPr>
            <w:r w:rsidRPr="00420A6C">
              <w:rPr>
                <w:rFonts w:cs="Calibri"/>
                <w:color w:val="000000"/>
                <w:szCs w:val="20"/>
              </w:rPr>
              <w:t>0</w:t>
            </w:r>
          </w:p>
        </w:tc>
        <w:tc>
          <w:tcPr>
            <w:tcW w:w="954" w:type="dxa"/>
            <w:gridSpan w:val="2"/>
            <w:tcBorders>
              <w:top w:val="nil"/>
              <w:left w:val="nil"/>
              <w:bottom w:val="nil"/>
              <w:right w:val="nil"/>
            </w:tcBorders>
          </w:tcPr>
          <w:p w14:paraId="442BAF8B" w14:textId="77777777" w:rsidR="00CF0E2D" w:rsidRPr="00420A6C" w:rsidRDefault="00CF0E2D" w:rsidP="00A60D4B">
            <w:pPr>
              <w:pStyle w:val="Btablefigureunbold"/>
              <w:rPr>
                <w:rFonts w:cs="Calibri"/>
                <w:b/>
                <w:bCs/>
                <w:color w:val="000000"/>
                <w:szCs w:val="20"/>
              </w:rPr>
            </w:pPr>
            <w:r w:rsidRPr="00420A6C">
              <w:rPr>
                <w:rFonts w:cs="Calibri"/>
                <w:b/>
                <w:bCs/>
                <w:color w:val="000000"/>
                <w:szCs w:val="20"/>
              </w:rPr>
              <w:t>1,300</w:t>
            </w:r>
          </w:p>
        </w:tc>
      </w:tr>
      <w:tr w:rsidR="00CF0E2D" w:rsidRPr="00D60558" w14:paraId="7A3497D9" w14:textId="77777777" w:rsidTr="00A60D4B">
        <w:trPr>
          <w:gridAfter w:val="1"/>
          <w:wAfter w:w="9" w:type="dxa"/>
          <w:jc w:val="center"/>
        </w:trPr>
        <w:tc>
          <w:tcPr>
            <w:tcW w:w="3355" w:type="dxa"/>
            <w:tcBorders>
              <w:top w:val="nil"/>
              <w:left w:val="nil"/>
              <w:bottom w:val="nil"/>
              <w:right w:val="nil"/>
            </w:tcBorders>
          </w:tcPr>
          <w:p w14:paraId="4D5035EC" w14:textId="77777777" w:rsidR="00CF0E2D" w:rsidRPr="00822A22" w:rsidRDefault="00CF0E2D" w:rsidP="00A60D4B">
            <w:pPr>
              <w:pStyle w:val="Btabletextunbold"/>
              <w:rPr>
                <w:rFonts w:cs="Calibri"/>
                <w:color w:val="000000"/>
                <w:szCs w:val="20"/>
              </w:rPr>
            </w:pPr>
            <w:r w:rsidRPr="00822A22">
              <w:rPr>
                <w:rFonts w:cs="Calibri"/>
                <w:color w:val="000000"/>
                <w:szCs w:val="20"/>
              </w:rPr>
              <w:t>Remediating lead dust at the former transport depot in Kingston</w:t>
            </w:r>
          </w:p>
        </w:tc>
        <w:tc>
          <w:tcPr>
            <w:tcW w:w="1093" w:type="dxa"/>
            <w:tcBorders>
              <w:top w:val="nil"/>
              <w:left w:val="nil"/>
              <w:bottom w:val="nil"/>
              <w:right w:val="nil"/>
            </w:tcBorders>
          </w:tcPr>
          <w:p w14:paraId="193184CA"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1BBFFBFF" w14:textId="77777777" w:rsidR="00CF0E2D" w:rsidRPr="00420A6C" w:rsidRDefault="00CF0E2D" w:rsidP="00A60D4B">
            <w:pPr>
              <w:pStyle w:val="Btablefigureunbold"/>
              <w:rPr>
                <w:rFonts w:cs="Calibri"/>
                <w:color w:val="000000"/>
                <w:szCs w:val="20"/>
              </w:rPr>
            </w:pPr>
            <w:r w:rsidRPr="00420A6C">
              <w:rPr>
                <w:rFonts w:cs="Calibri"/>
                <w:color w:val="000000"/>
                <w:szCs w:val="20"/>
              </w:rPr>
              <w:t>799</w:t>
            </w:r>
          </w:p>
        </w:tc>
        <w:tc>
          <w:tcPr>
            <w:tcW w:w="964" w:type="dxa"/>
            <w:gridSpan w:val="2"/>
            <w:tcBorders>
              <w:top w:val="nil"/>
              <w:left w:val="nil"/>
              <w:bottom w:val="nil"/>
              <w:right w:val="nil"/>
            </w:tcBorders>
          </w:tcPr>
          <w:p w14:paraId="2F332B79" w14:textId="77777777" w:rsidR="00CF0E2D" w:rsidRPr="00420A6C" w:rsidRDefault="00CF0E2D" w:rsidP="00A60D4B">
            <w:pPr>
              <w:pStyle w:val="Btablefigureunbold"/>
              <w:rPr>
                <w:rFonts w:cs="Calibri"/>
                <w:color w:val="000000"/>
                <w:szCs w:val="20"/>
              </w:rPr>
            </w:pPr>
            <w:r w:rsidRPr="00420A6C">
              <w:rPr>
                <w:rFonts w:cs="Calibri"/>
                <w:color w:val="000000"/>
                <w:szCs w:val="20"/>
              </w:rPr>
              <w:t>33</w:t>
            </w:r>
          </w:p>
        </w:tc>
        <w:tc>
          <w:tcPr>
            <w:tcW w:w="964" w:type="dxa"/>
            <w:gridSpan w:val="2"/>
            <w:tcBorders>
              <w:top w:val="nil"/>
              <w:left w:val="nil"/>
              <w:bottom w:val="nil"/>
              <w:right w:val="nil"/>
            </w:tcBorders>
          </w:tcPr>
          <w:p w14:paraId="59177F85" w14:textId="77777777" w:rsidR="00CF0E2D" w:rsidRPr="00420A6C" w:rsidRDefault="00CF0E2D" w:rsidP="00A60D4B">
            <w:pPr>
              <w:pStyle w:val="Btablefigureunbold"/>
              <w:rPr>
                <w:rFonts w:cs="Calibri"/>
                <w:color w:val="000000"/>
                <w:szCs w:val="20"/>
              </w:rPr>
            </w:pPr>
            <w:r w:rsidRPr="00420A6C">
              <w:rPr>
                <w:rFonts w:cs="Calibri"/>
                <w:color w:val="000000"/>
                <w:szCs w:val="20"/>
              </w:rPr>
              <w:t>33</w:t>
            </w:r>
          </w:p>
        </w:tc>
        <w:tc>
          <w:tcPr>
            <w:tcW w:w="964" w:type="dxa"/>
            <w:gridSpan w:val="2"/>
            <w:tcBorders>
              <w:top w:val="nil"/>
              <w:left w:val="nil"/>
              <w:bottom w:val="nil"/>
              <w:right w:val="nil"/>
            </w:tcBorders>
          </w:tcPr>
          <w:p w14:paraId="758404DA" w14:textId="77777777" w:rsidR="00CF0E2D" w:rsidRPr="00420A6C" w:rsidRDefault="00CF0E2D" w:rsidP="00A60D4B">
            <w:pPr>
              <w:pStyle w:val="Btablefigureunbold"/>
              <w:rPr>
                <w:rFonts w:cs="Calibri"/>
                <w:color w:val="000000"/>
                <w:szCs w:val="20"/>
              </w:rPr>
            </w:pPr>
            <w:r w:rsidRPr="00420A6C">
              <w:rPr>
                <w:rFonts w:cs="Calibri"/>
                <w:color w:val="000000"/>
                <w:szCs w:val="20"/>
              </w:rPr>
              <w:t>33</w:t>
            </w:r>
          </w:p>
        </w:tc>
        <w:tc>
          <w:tcPr>
            <w:tcW w:w="954" w:type="dxa"/>
            <w:gridSpan w:val="2"/>
            <w:tcBorders>
              <w:top w:val="nil"/>
              <w:left w:val="nil"/>
              <w:bottom w:val="nil"/>
              <w:right w:val="nil"/>
            </w:tcBorders>
          </w:tcPr>
          <w:p w14:paraId="64BB22D8" w14:textId="77777777" w:rsidR="00CF0E2D" w:rsidRPr="00420A6C" w:rsidRDefault="00CF0E2D" w:rsidP="00A60D4B">
            <w:pPr>
              <w:pStyle w:val="Btablefigureunbold"/>
              <w:rPr>
                <w:rFonts w:cs="Calibri"/>
                <w:b/>
                <w:bCs/>
                <w:color w:val="000000"/>
                <w:szCs w:val="20"/>
              </w:rPr>
            </w:pPr>
            <w:r w:rsidRPr="00420A6C">
              <w:rPr>
                <w:rFonts w:cs="Calibri"/>
                <w:b/>
                <w:bCs/>
                <w:color w:val="000000"/>
                <w:szCs w:val="20"/>
              </w:rPr>
              <w:t>898</w:t>
            </w:r>
          </w:p>
        </w:tc>
      </w:tr>
      <w:tr w:rsidR="00CF0E2D" w:rsidRPr="00D60558" w14:paraId="1DDEDD26" w14:textId="77777777" w:rsidTr="00A60D4B">
        <w:trPr>
          <w:gridAfter w:val="1"/>
          <w:wAfter w:w="9" w:type="dxa"/>
          <w:jc w:val="center"/>
        </w:trPr>
        <w:tc>
          <w:tcPr>
            <w:tcW w:w="3355" w:type="dxa"/>
            <w:tcBorders>
              <w:top w:val="nil"/>
              <w:left w:val="nil"/>
              <w:bottom w:val="nil"/>
              <w:right w:val="nil"/>
            </w:tcBorders>
          </w:tcPr>
          <w:p w14:paraId="4EB268CD" w14:textId="77777777" w:rsidR="00CF0E2D" w:rsidRPr="00822A22" w:rsidRDefault="00CF0E2D" w:rsidP="00A60D4B">
            <w:pPr>
              <w:pStyle w:val="Btabletextunbold"/>
              <w:rPr>
                <w:rFonts w:cs="Calibri"/>
                <w:color w:val="000000"/>
                <w:szCs w:val="20"/>
              </w:rPr>
            </w:pPr>
            <w:r w:rsidRPr="00822A22">
              <w:rPr>
                <w:rFonts w:cs="Calibri"/>
                <w:color w:val="000000"/>
                <w:szCs w:val="20"/>
              </w:rPr>
              <w:t>Strengthening building quality regulation</w:t>
            </w:r>
          </w:p>
        </w:tc>
        <w:tc>
          <w:tcPr>
            <w:tcW w:w="1093" w:type="dxa"/>
            <w:tcBorders>
              <w:top w:val="nil"/>
              <w:left w:val="nil"/>
              <w:bottom w:val="nil"/>
              <w:right w:val="nil"/>
            </w:tcBorders>
          </w:tcPr>
          <w:p w14:paraId="2D6B5BD0"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0AADFE27" w14:textId="77777777" w:rsidR="00CF0E2D" w:rsidRPr="00420A6C" w:rsidRDefault="00CF0E2D" w:rsidP="00A60D4B">
            <w:pPr>
              <w:pStyle w:val="Btablefigureunbold"/>
              <w:rPr>
                <w:szCs w:val="20"/>
              </w:rPr>
            </w:pPr>
            <w:r w:rsidRPr="00420A6C">
              <w:rPr>
                <w:szCs w:val="20"/>
              </w:rPr>
              <w:t>1,090</w:t>
            </w:r>
          </w:p>
        </w:tc>
        <w:tc>
          <w:tcPr>
            <w:tcW w:w="964" w:type="dxa"/>
            <w:gridSpan w:val="2"/>
            <w:tcBorders>
              <w:top w:val="nil"/>
              <w:left w:val="nil"/>
              <w:bottom w:val="nil"/>
              <w:right w:val="nil"/>
            </w:tcBorders>
          </w:tcPr>
          <w:p w14:paraId="4FFBCB80" w14:textId="77777777" w:rsidR="00CF0E2D" w:rsidRPr="00420A6C" w:rsidRDefault="00CF0E2D" w:rsidP="00A60D4B">
            <w:pPr>
              <w:pStyle w:val="Btablefigureunbold"/>
              <w:rPr>
                <w:szCs w:val="20"/>
              </w:rPr>
            </w:pPr>
            <w:r w:rsidRPr="00420A6C">
              <w:rPr>
                <w:szCs w:val="20"/>
              </w:rPr>
              <w:t>0</w:t>
            </w:r>
          </w:p>
        </w:tc>
        <w:tc>
          <w:tcPr>
            <w:tcW w:w="964" w:type="dxa"/>
            <w:gridSpan w:val="2"/>
            <w:tcBorders>
              <w:top w:val="nil"/>
              <w:left w:val="nil"/>
              <w:bottom w:val="nil"/>
              <w:right w:val="nil"/>
            </w:tcBorders>
          </w:tcPr>
          <w:p w14:paraId="09BAC339" w14:textId="77777777" w:rsidR="00CF0E2D" w:rsidRPr="00420A6C" w:rsidRDefault="00CF0E2D" w:rsidP="00A60D4B">
            <w:pPr>
              <w:pStyle w:val="Btablefigureunbold"/>
              <w:rPr>
                <w:szCs w:val="20"/>
              </w:rPr>
            </w:pPr>
            <w:r w:rsidRPr="00420A6C">
              <w:rPr>
                <w:szCs w:val="20"/>
              </w:rPr>
              <w:t>0</w:t>
            </w:r>
          </w:p>
        </w:tc>
        <w:tc>
          <w:tcPr>
            <w:tcW w:w="964" w:type="dxa"/>
            <w:gridSpan w:val="2"/>
            <w:tcBorders>
              <w:top w:val="nil"/>
              <w:left w:val="nil"/>
              <w:bottom w:val="nil"/>
              <w:right w:val="nil"/>
            </w:tcBorders>
          </w:tcPr>
          <w:p w14:paraId="5CE00D64" w14:textId="77777777" w:rsidR="00CF0E2D" w:rsidRPr="00420A6C" w:rsidRDefault="00CF0E2D" w:rsidP="00A60D4B">
            <w:pPr>
              <w:pStyle w:val="Btablefigureunbold"/>
              <w:rPr>
                <w:szCs w:val="20"/>
              </w:rPr>
            </w:pPr>
            <w:r w:rsidRPr="00420A6C">
              <w:rPr>
                <w:szCs w:val="20"/>
              </w:rPr>
              <w:t>0</w:t>
            </w:r>
          </w:p>
        </w:tc>
        <w:tc>
          <w:tcPr>
            <w:tcW w:w="954" w:type="dxa"/>
            <w:gridSpan w:val="2"/>
            <w:tcBorders>
              <w:top w:val="nil"/>
              <w:left w:val="nil"/>
              <w:bottom w:val="nil"/>
              <w:right w:val="nil"/>
            </w:tcBorders>
          </w:tcPr>
          <w:p w14:paraId="1A6E8B33" w14:textId="77777777" w:rsidR="00CF0E2D" w:rsidRPr="00420A6C" w:rsidRDefault="00CF0E2D" w:rsidP="00A60D4B">
            <w:pPr>
              <w:pStyle w:val="Btablefigureunbold"/>
              <w:rPr>
                <w:b/>
                <w:bCs/>
                <w:szCs w:val="20"/>
              </w:rPr>
            </w:pPr>
            <w:r w:rsidRPr="00420A6C">
              <w:rPr>
                <w:b/>
                <w:bCs/>
                <w:szCs w:val="20"/>
              </w:rPr>
              <w:t>1,090</w:t>
            </w:r>
          </w:p>
        </w:tc>
      </w:tr>
      <w:tr w:rsidR="00CF0E2D" w:rsidRPr="00D60558" w14:paraId="68B36F79" w14:textId="77777777" w:rsidTr="00A60D4B">
        <w:trPr>
          <w:gridAfter w:val="1"/>
          <w:wAfter w:w="9" w:type="dxa"/>
          <w:jc w:val="center"/>
        </w:trPr>
        <w:tc>
          <w:tcPr>
            <w:tcW w:w="3355" w:type="dxa"/>
            <w:tcBorders>
              <w:top w:val="nil"/>
              <w:left w:val="nil"/>
              <w:bottom w:val="nil"/>
              <w:right w:val="nil"/>
            </w:tcBorders>
          </w:tcPr>
          <w:p w14:paraId="09D6C86F" w14:textId="77777777" w:rsidR="00CF0E2D" w:rsidRPr="00822A22" w:rsidRDefault="00CF0E2D" w:rsidP="00A60D4B">
            <w:pPr>
              <w:pStyle w:val="Btabletextunbold"/>
              <w:rPr>
                <w:rFonts w:cs="Calibri"/>
                <w:color w:val="000000"/>
                <w:szCs w:val="20"/>
              </w:rPr>
            </w:pPr>
            <w:r w:rsidRPr="00822A22">
              <w:rPr>
                <w:rFonts w:cs="Calibri"/>
                <w:color w:val="000000"/>
                <w:szCs w:val="20"/>
              </w:rPr>
              <w:t>Strengthening financial and economic management and advisory services</w:t>
            </w:r>
          </w:p>
        </w:tc>
        <w:tc>
          <w:tcPr>
            <w:tcW w:w="1093" w:type="dxa"/>
            <w:tcBorders>
              <w:top w:val="nil"/>
              <w:left w:val="nil"/>
              <w:bottom w:val="nil"/>
              <w:right w:val="nil"/>
            </w:tcBorders>
          </w:tcPr>
          <w:p w14:paraId="0FD404B2"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53C4E73F" w14:textId="77777777" w:rsidR="00CF0E2D" w:rsidRPr="00420A6C" w:rsidRDefault="00CF0E2D" w:rsidP="00A60D4B">
            <w:pPr>
              <w:pStyle w:val="Btablefigureunbold"/>
              <w:rPr>
                <w:szCs w:val="20"/>
              </w:rPr>
            </w:pPr>
            <w:r w:rsidRPr="00420A6C">
              <w:rPr>
                <w:rFonts w:cs="Calibri"/>
                <w:color w:val="000000"/>
                <w:szCs w:val="20"/>
              </w:rPr>
              <w:t>3,381</w:t>
            </w:r>
          </w:p>
        </w:tc>
        <w:tc>
          <w:tcPr>
            <w:tcW w:w="964" w:type="dxa"/>
            <w:gridSpan w:val="2"/>
            <w:tcBorders>
              <w:top w:val="nil"/>
              <w:left w:val="nil"/>
              <w:bottom w:val="nil"/>
              <w:right w:val="nil"/>
            </w:tcBorders>
          </w:tcPr>
          <w:p w14:paraId="43E839C6" w14:textId="77777777" w:rsidR="00CF0E2D" w:rsidRPr="00420A6C" w:rsidRDefault="00CF0E2D" w:rsidP="00A60D4B">
            <w:pPr>
              <w:pStyle w:val="Btablefigureunbold"/>
              <w:rPr>
                <w:szCs w:val="20"/>
              </w:rPr>
            </w:pPr>
            <w:r w:rsidRPr="00420A6C">
              <w:rPr>
                <w:rFonts w:cs="Calibri"/>
                <w:color w:val="000000"/>
                <w:szCs w:val="20"/>
              </w:rPr>
              <w:t>2,080</w:t>
            </w:r>
          </w:p>
        </w:tc>
        <w:tc>
          <w:tcPr>
            <w:tcW w:w="964" w:type="dxa"/>
            <w:gridSpan w:val="2"/>
            <w:tcBorders>
              <w:top w:val="nil"/>
              <w:left w:val="nil"/>
              <w:bottom w:val="nil"/>
              <w:right w:val="nil"/>
            </w:tcBorders>
          </w:tcPr>
          <w:p w14:paraId="3EFD2B42" w14:textId="77777777" w:rsidR="00CF0E2D" w:rsidRPr="00420A6C" w:rsidRDefault="00CF0E2D" w:rsidP="00A60D4B">
            <w:pPr>
              <w:pStyle w:val="Btablefigureunbold"/>
              <w:rPr>
                <w:szCs w:val="20"/>
              </w:rPr>
            </w:pPr>
            <w:r w:rsidRPr="00420A6C">
              <w:rPr>
                <w:rFonts w:cs="Calibri"/>
                <w:color w:val="000000"/>
                <w:szCs w:val="20"/>
              </w:rPr>
              <w:t>1,789</w:t>
            </w:r>
          </w:p>
        </w:tc>
        <w:tc>
          <w:tcPr>
            <w:tcW w:w="964" w:type="dxa"/>
            <w:gridSpan w:val="2"/>
            <w:tcBorders>
              <w:top w:val="nil"/>
              <w:left w:val="nil"/>
              <w:bottom w:val="nil"/>
              <w:right w:val="nil"/>
            </w:tcBorders>
          </w:tcPr>
          <w:p w14:paraId="11716403" w14:textId="77777777" w:rsidR="00CF0E2D" w:rsidRPr="00420A6C" w:rsidRDefault="00CF0E2D" w:rsidP="00A60D4B">
            <w:pPr>
              <w:pStyle w:val="Btablefigureunbold"/>
              <w:rPr>
                <w:szCs w:val="20"/>
              </w:rPr>
            </w:pPr>
            <w:r w:rsidRPr="00420A6C">
              <w:rPr>
                <w:rFonts w:cs="Calibri"/>
                <w:color w:val="000000"/>
                <w:szCs w:val="20"/>
              </w:rPr>
              <w:t>1,816</w:t>
            </w:r>
          </w:p>
        </w:tc>
        <w:tc>
          <w:tcPr>
            <w:tcW w:w="954" w:type="dxa"/>
            <w:gridSpan w:val="2"/>
            <w:tcBorders>
              <w:top w:val="nil"/>
              <w:left w:val="nil"/>
              <w:bottom w:val="nil"/>
              <w:right w:val="nil"/>
            </w:tcBorders>
          </w:tcPr>
          <w:p w14:paraId="4616832F" w14:textId="77777777" w:rsidR="00CF0E2D" w:rsidRPr="00420A6C" w:rsidRDefault="00CF0E2D" w:rsidP="00A60D4B">
            <w:pPr>
              <w:pStyle w:val="Btablefigureunbold"/>
              <w:rPr>
                <w:b/>
                <w:bCs/>
                <w:szCs w:val="20"/>
              </w:rPr>
            </w:pPr>
            <w:r w:rsidRPr="00420A6C">
              <w:rPr>
                <w:rFonts w:cs="Calibri"/>
                <w:b/>
                <w:bCs/>
                <w:color w:val="000000"/>
                <w:szCs w:val="20"/>
              </w:rPr>
              <w:t>9,066</w:t>
            </w:r>
          </w:p>
        </w:tc>
      </w:tr>
      <w:tr w:rsidR="00CF0E2D" w:rsidRPr="00D60558" w14:paraId="55962026" w14:textId="77777777" w:rsidTr="00A60D4B">
        <w:trPr>
          <w:gridAfter w:val="1"/>
          <w:wAfter w:w="9" w:type="dxa"/>
          <w:jc w:val="center"/>
        </w:trPr>
        <w:tc>
          <w:tcPr>
            <w:tcW w:w="3355" w:type="dxa"/>
            <w:tcBorders>
              <w:top w:val="nil"/>
              <w:left w:val="nil"/>
              <w:bottom w:val="nil"/>
              <w:right w:val="nil"/>
            </w:tcBorders>
          </w:tcPr>
          <w:p w14:paraId="46C86726" w14:textId="77777777" w:rsidR="00CF0E2D" w:rsidRPr="00822A22" w:rsidRDefault="00CF0E2D" w:rsidP="00A60D4B">
            <w:pPr>
              <w:pStyle w:val="Btabletextunbold"/>
              <w:rPr>
                <w:rFonts w:cs="Calibri"/>
                <w:color w:val="000000"/>
                <w:szCs w:val="20"/>
              </w:rPr>
            </w:pPr>
            <w:r w:rsidRPr="00822A22">
              <w:rPr>
                <w:rFonts w:cs="Calibri"/>
                <w:color w:val="000000"/>
                <w:szCs w:val="20"/>
              </w:rPr>
              <w:t xml:space="preserve">Stromlo Forest Park </w:t>
            </w:r>
            <w:r>
              <w:rPr>
                <w:rFonts w:cs="Calibri"/>
                <w:color w:val="000000"/>
                <w:szCs w:val="20"/>
              </w:rPr>
              <w:t>–</w:t>
            </w:r>
            <w:r w:rsidRPr="00822A22">
              <w:rPr>
                <w:rFonts w:cs="Calibri"/>
                <w:color w:val="000000"/>
                <w:szCs w:val="20"/>
              </w:rPr>
              <w:t xml:space="preserve"> Improved parking</w:t>
            </w:r>
          </w:p>
        </w:tc>
        <w:tc>
          <w:tcPr>
            <w:tcW w:w="1093" w:type="dxa"/>
            <w:tcBorders>
              <w:top w:val="nil"/>
              <w:left w:val="nil"/>
              <w:bottom w:val="nil"/>
              <w:right w:val="nil"/>
            </w:tcBorders>
          </w:tcPr>
          <w:p w14:paraId="1129EFC1"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10DF7584" w14:textId="77777777" w:rsidR="00CF0E2D" w:rsidRPr="00420A6C" w:rsidRDefault="00CF0E2D" w:rsidP="00A60D4B">
            <w:pPr>
              <w:pStyle w:val="Btablefigureunbold"/>
              <w:rPr>
                <w:szCs w:val="20"/>
              </w:rPr>
            </w:pPr>
            <w:r w:rsidRPr="00420A6C">
              <w:rPr>
                <w:rFonts w:cs="Calibri"/>
                <w:color w:val="000000"/>
                <w:szCs w:val="20"/>
              </w:rPr>
              <w:t>343</w:t>
            </w:r>
          </w:p>
        </w:tc>
        <w:tc>
          <w:tcPr>
            <w:tcW w:w="964" w:type="dxa"/>
            <w:gridSpan w:val="2"/>
            <w:tcBorders>
              <w:top w:val="nil"/>
              <w:left w:val="nil"/>
              <w:bottom w:val="nil"/>
              <w:right w:val="nil"/>
            </w:tcBorders>
          </w:tcPr>
          <w:p w14:paraId="67ABF77B" w14:textId="77777777" w:rsidR="00CF0E2D" w:rsidRPr="00420A6C" w:rsidRDefault="00CF0E2D" w:rsidP="00A60D4B">
            <w:pPr>
              <w:pStyle w:val="Btablefigureunbold"/>
              <w:rPr>
                <w:szCs w:val="20"/>
              </w:rPr>
            </w:pPr>
            <w:r w:rsidRPr="00420A6C">
              <w:rPr>
                <w:rFonts w:cs="Calibri"/>
                <w:color w:val="000000"/>
                <w:szCs w:val="20"/>
              </w:rPr>
              <w:t>2,543</w:t>
            </w:r>
          </w:p>
        </w:tc>
        <w:tc>
          <w:tcPr>
            <w:tcW w:w="964" w:type="dxa"/>
            <w:gridSpan w:val="2"/>
            <w:tcBorders>
              <w:top w:val="nil"/>
              <w:left w:val="nil"/>
              <w:bottom w:val="nil"/>
              <w:right w:val="nil"/>
            </w:tcBorders>
          </w:tcPr>
          <w:p w14:paraId="4B42222B" w14:textId="77777777" w:rsidR="00CF0E2D" w:rsidRPr="00420A6C" w:rsidRDefault="00CF0E2D" w:rsidP="00A60D4B">
            <w:pPr>
              <w:pStyle w:val="Btablefigureunbold"/>
              <w:rPr>
                <w:szCs w:val="20"/>
              </w:rPr>
            </w:pPr>
            <w:r w:rsidRPr="00420A6C">
              <w:rPr>
                <w:rFonts w:cs="Calibri"/>
                <w:color w:val="000000"/>
                <w:szCs w:val="20"/>
              </w:rPr>
              <w:t>0</w:t>
            </w:r>
          </w:p>
        </w:tc>
        <w:tc>
          <w:tcPr>
            <w:tcW w:w="964" w:type="dxa"/>
            <w:gridSpan w:val="2"/>
            <w:tcBorders>
              <w:top w:val="nil"/>
              <w:left w:val="nil"/>
              <w:bottom w:val="nil"/>
              <w:right w:val="nil"/>
            </w:tcBorders>
          </w:tcPr>
          <w:p w14:paraId="4325A875" w14:textId="77777777" w:rsidR="00CF0E2D" w:rsidRPr="00420A6C" w:rsidRDefault="00CF0E2D" w:rsidP="00A60D4B">
            <w:pPr>
              <w:pStyle w:val="Btablefigureunbold"/>
              <w:rPr>
                <w:szCs w:val="20"/>
              </w:rPr>
            </w:pPr>
            <w:r w:rsidRPr="00420A6C">
              <w:rPr>
                <w:rFonts w:cs="Calibri"/>
                <w:color w:val="000000"/>
                <w:szCs w:val="20"/>
              </w:rPr>
              <w:t>0</w:t>
            </w:r>
          </w:p>
        </w:tc>
        <w:tc>
          <w:tcPr>
            <w:tcW w:w="954" w:type="dxa"/>
            <w:gridSpan w:val="2"/>
            <w:tcBorders>
              <w:top w:val="nil"/>
              <w:left w:val="nil"/>
              <w:bottom w:val="nil"/>
              <w:right w:val="nil"/>
            </w:tcBorders>
          </w:tcPr>
          <w:p w14:paraId="16BC6C5E" w14:textId="77777777" w:rsidR="00CF0E2D" w:rsidRPr="00420A6C" w:rsidRDefault="00CF0E2D" w:rsidP="00A60D4B">
            <w:pPr>
              <w:pStyle w:val="Btablefigureunbold"/>
              <w:rPr>
                <w:b/>
                <w:bCs/>
                <w:szCs w:val="20"/>
              </w:rPr>
            </w:pPr>
            <w:r w:rsidRPr="00420A6C">
              <w:rPr>
                <w:rFonts w:cs="Calibri"/>
                <w:b/>
                <w:bCs/>
                <w:color w:val="000000"/>
                <w:szCs w:val="20"/>
              </w:rPr>
              <w:t>2,886</w:t>
            </w:r>
          </w:p>
        </w:tc>
      </w:tr>
      <w:tr w:rsidR="00CF0E2D" w:rsidRPr="00D60558" w14:paraId="239F5564" w14:textId="77777777" w:rsidTr="00A60D4B">
        <w:trPr>
          <w:gridAfter w:val="1"/>
          <w:wAfter w:w="9" w:type="dxa"/>
          <w:jc w:val="center"/>
        </w:trPr>
        <w:tc>
          <w:tcPr>
            <w:tcW w:w="3355" w:type="dxa"/>
            <w:tcBorders>
              <w:top w:val="nil"/>
              <w:left w:val="nil"/>
              <w:bottom w:val="nil"/>
              <w:right w:val="nil"/>
            </w:tcBorders>
          </w:tcPr>
          <w:p w14:paraId="7B5C2F03" w14:textId="77777777" w:rsidR="00CF0E2D" w:rsidRPr="00822A22" w:rsidRDefault="00CF0E2D" w:rsidP="00A60D4B">
            <w:pPr>
              <w:pStyle w:val="Btabletextunbold"/>
              <w:rPr>
                <w:rFonts w:cs="Calibri"/>
                <w:color w:val="000000"/>
                <w:szCs w:val="20"/>
              </w:rPr>
            </w:pPr>
            <w:r w:rsidRPr="00822A22">
              <w:rPr>
                <w:rFonts w:cs="Calibri"/>
                <w:color w:val="000000"/>
                <w:szCs w:val="20"/>
              </w:rPr>
              <w:t xml:space="preserve">Stromlo Forest Park </w:t>
            </w:r>
            <w:r>
              <w:rPr>
                <w:rFonts w:cs="Calibri"/>
                <w:color w:val="000000"/>
                <w:szCs w:val="20"/>
              </w:rPr>
              <w:t>–</w:t>
            </w:r>
            <w:r w:rsidRPr="00822A22">
              <w:rPr>
                <w:rFonts w:cs="Calibri"/>
                <w:color w:val="000000"/>
                <w:szCs w:val="20"/>
              </w:rPr>
              <w:t xml:space="preserve"> Improved parking</w:t>
            </w:r>
          </w:p>
        </w:tc>
        <w:tc>
          <w:tcPr>
            <w:tcW w:w="1093" w:type="dxa"/>
            <w:tcBorders>
              <w:top w:val="nil"/>
              <w:left w:val="nil"/>
              <w:bottom w:val="nil"/>
              <w:right w:val="nil"/>
            </w:tcBorders>
          </w:tcPr>
          <w:p w14:paraId="1A8484CC"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68E73F94" w14:textId="77777777" w:rsidR="00CF0E2D" w:rsidRPr="00420A6C" w:rsidRDefault="00CF0E2D" w:rsidP="00A60D4B">
            <w:pPr>
              <w:pStyle w:val="Btablefigureunbold"/>
              <w:rPr>
                <w:szCs w:val="20"/>
              </w:rPr>
            </w:pPr>
            <w:r w:rsidRPr="00420A6C">
              <w:rPr>
                <w:rFonts w:cs="Calibri"/>
                <w:color w:val="000000"/>
                <w:szCs w:val="20"/>
              </w:rPr>
              <w:t>0</w:t>
            </w:r>
          </w:p>
        </w:tc>
        <w:tc>
          <w:tcPr>
            <w:tcW w:w="964" w:type="dxa"/>
            <w:gridSpan w:val="2"/>
            <w:tcBorders>
              <w:top w:val="nil"/>
              <w:left w:val="nil"/>
              <w:bottom w:val="nil"/>
              <w:right w:val="nil"/>
            </w:tcBorders>
          </w:tcPr>
          <w:p w14:paraId="0A7EF6D2" w14:textId="77777777" w:rsidR="00CF0E2D" w:rsidRPr="00420A6C" w:rsidRDefault="00CF0E2D" w:rsidP="00A60D4B">
            <w:pPr>
              <w:pStyle w:val="Btablefigureunbold"/>
              <w:rPr>
                <w:szCs w:val="20"/>
              </w:rPr>
            </w:pPr>
            <w:r w:rsidRPr="00420A6C">
              <w:rPr>
                <w:rFonts w:cs="Calibri"/>
                <w:color w:val="000000"/>
                <w:szCs w:val="20"/>
              </w:rPr>
              <w:t>0</w:t>
            </w:r>
          </w:p>
        </w:tc>
        <w:tc>
          <w:tcPr>
            <w:tcW w:w="964" w:type="dxa"/>
            <w:gridSpan w:val="2"/>
            <w:tcBorders>
              <w:top w:val="nil"/>
              <w:left w:val="nil"/>
              <w:bottom w:val="nil"/>
              <w:right w:val="nil"/>
            </w:tcBorders>
          </w:tcPr>
          <w:p w14:paraId="43CF98E7" w14:textId="77777777" w:rsidR="00CF0E2D" w:rsidRPr="00420A6C" w:rsidRDefault="00CF0E2D" w:rsidP="00A60D4B">
            <w:pPr>
              <w:pStyle w:val="Btablefigureunbold"/>
              <w:rPr>
                <w:szCs w:val="20"/>
              </w:rPr>
            </w:pPr>
            <w:r w:rsidRPr="00420A6C">
              <w:rPr>
                <w:rFonts w:cs="Calibri"/>
                <w:color w:val="000000"/>
                <w:szCs w:val="20"/>
              </w:rPr>
              <w:t>96</w:t>
            </w:r>
          </w:p>
        </w:tc>
        <w:tc>
          <w:tcPr>
            <w:tcW w:w="964" w:type="dxa"/>
            <w:gridSpan w:val="2"/>
            <w:tcBorders>
              <w:top w:val="nil"/>
              <w:left w:val="nil"/>
              <w:bottom w:val="nil"/>
              <w:right w:val="nil"/>
            </w:tcBorders>
          </w:tcPr>
          <w:p w14:paraId="0E299BC1" w14:textId="77777777" w:rsidR="00CF0E2D" w:rsidRPr="00420A6C" w:rsidRDefault="00CF0E2D" w:rsidP="00A60D4B">
            <w:pPr>
              <w:pStyle w:val="Btablefigureunbold"/>
              <w:rPr>
                <w:szCs w:val="20"/>
              </w:rPr>
            </w:pPr>
            <w:r w:rsidRPr="00420A6C">
              <w:rPr>
                <w:rFonts w:cs="Calibri"/>
                <w:color w:val="000000"/>
                <w:szCs w:val="20"/>
              </w:rPr>
              <w:t>96</w:t>
            </w:r>
          </w:p>
        </w:tc>
        <w:tc>
          <w:tcPr>
            <w:tcW w:w="954" w:type="dxa"/>
            <w:gridSpan w:val="2"/>
            <w:tcBorders>
              <w:top w:val="nil"/>
              <w:left w:val="nil"/>
              <w:bottom w:val="nil"/>
              <w:right w:val="nil"/>
            </w:tcBorders>
          </w:tcPr>
          <w:p w14:paraId="6D48F9AD" w14:textId="77777777" w:rsidR="00CF0E2D" w:rsidRPr="00420A6C" w:rsidRDefault="00CF0E2D" w:rsidP="00A60D4B">
            <w:pPr>
              <w:pStyle w:val="Btablefigureunbold"/>
              <w:rPr>
                <w:b/>
                <w:bCs/>
                <w:szCs w:val="20"/>
              </w:rPr>
            </w:pPr>
            <w:r w:rsidRPr="00420A6C">
              <w:rPr>
                <w:rFonts w:cs="Calibri"/>
                <w:b/>
                <w:bCs/>
                <w:color w:val="000000"/>
                <w:szCs w:val="20"/>
              </w:rPr>
              <w:t>192</w:t>
            </w:r>
          </w:p>
        </w:tc>
      </w:tr>
      <w:tr w:rsidR="00CF0E2D" w:rsidRPr="00D60558" w14:paraId="68997680" w14:textId="77777777" w:rsidTr="00A60D4B">
        <w:trPr>
          <w:gridAfter w:val="1"/>
          <w:wAfter w:w="9" w:type="dxa"/>
          <w:jc w:val="center"/>
        </w:trPr>
        <w:tc>
          <w:tcPr>
            <w:tcW w:w="3355" w:type="dxa"/>
            <w:tcBorders>
              <w:top w:val="nil"/>
              <w:left w:val="nil"/>
              <w:bottom w:val="nil"/>
              <w:right w:val="nil"/>
            </w:tcBorders>
          </w:tcPr>
          <w:p w14:paraId="329B9467" w14:textId="77777777" w:rsidR="00CF0E2D" w:rsidRPr="00822A22" w:rsidRDefault="00CF0E2D" w:rsidP="00A60D4B">
            <w:pPr>
              <w:pStyle w:val="Btabletextunbold"/>
              <w:rPr>
                <w:rFonts w:cs="Calibri"/>
                <w:color w:val="000000"/>
                <w:szCs w:val="20"/>
              </w:rPr>
            </w:pPr>
            <w:r w:rsidRPr="00822A22">
              <w:rPr>
                <w:rFonts w:cs="Calibri"/>
                <w:color w:val="000000"/>
                <w:szCs w:val="20"/>
              </w:rPr>
              <w:t xml:space="preserve">Throsby Home of Football </w:t>
            </w:r>
            <w:r>
              <w:rPr>
                <w:rFonts w:cs="Calibri"/>
                <w:color w:val="000000"/>
                <w:szCs w:val="20"/>
              </w:rPr>
              <w:t>–</w:t>
            </w:r>
            <w:r w:rsidRPr="00822A22">
              <w:rPr>
                <w:rFonts w:cs="Calibri"/>
                <w:color w:val="000000"/>
                <w:szCs w:val="20"/>
              </w:rPr>
              <w:t xml:space="preserve"> Stage 2</w:t>
            </w:r>
          </w:p>
        </w:tc>
        <w:tc>
          <w:tcPr>
            <w:tcW w:w="1093" w:type="dxa"/>
            <w:tcBorders>
              <w:top w:val="nil"/>
              <w:left w:val="nil"/>
              <w:bottom w:val="nil"/>
              <w:right w:val="nil"/>
            </w:tcBorders>
          </w:tcPr>
          <w:p w14:paraId="1598FA4E"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28C72F5F" w14:textId="77777777" w:rsidR="00CF0E2D" w:rsidRPr="00420A6C" w:rsidRDefault="00CF0E2D" w:rsidP="00A60D4B">
            <w:pPr>
              <w:pStyle w:val="Btablefigureunbold"/>
              <w:rPr>
                <w:szCs w:val="20"/>
              </w:rPr>
            </w:pPr>
            <w:r w:rsidRPr="00420A6C">
              <w:rPr>
                <w:rFonts w:cs="Calibri"/>
                <w:color w:val="000000"/>
                <w:szCs w:val="20"/>
              </w:rPr>
              <w:t>0</w:t>
            </w:r>
          </w:p>
        </w:tc>
        <w:tc>
          <w:tcPr>
            <w:tcW w:w="964" w:type="dxa"/>
            <w:gridSpan w:val="2"/>
            <w:tcBorders>
              <w:top w:val="nil"/>
              <w:left w:val="nil"/>
              <w:bottom w:val="nil"/>
              <w:right w:val="nil"/>
            </w:tcBorders>
          </w:tcPr>
          <w:p w14:paraId="7C71095A" w14:textId="77777777" w:rsidR="00CF0E2D" w:rsidRPr="00420A6C" w:rsidRDefault="00CF0E2D" w:rsidP="00A60D4B">
            <w:pPr>
              <w:pStyle w:val="Btablefigureunbold"/>
              <w:rPr>
                <w:szCs w:val="20"/>
              </w:rPr>
            </w:pPr>
            <w:r w:rsidRPr="00420A6C">
              <w:rPr>
                <w:rFonts w:cs="Calibri"/>
                <w:color w:val="000000"/>
                <w:szCs w:val="20"/>
              </w:rPr>
              <w:t>3,000</w:t>
            </w:r>
          </w:p>
        </w:tc>
        <w:tc>
          <w:tcPr>
            <w:tcW w:w="964" w:type="dxa"/>
            <w:gridSpan w:val="2"/>
            <w:tcBorders>
              <w:top w:val="nil"/>
              <w:left w:val="nil"/>
              <w:bottom w:val="nil"/>
              <w:right w:val="nil"/>
            </w:tcBorders>
          </w:tcPr>
          <w:p w14:paraId="1780CA98" w14:textId="77777777" w:rsidR="00CF0E2D" w:rsidRPr="00420A6C" w:rsidRDefault="00CF0E2D" w:rsidP="00A60D4B">
            <w:pPr>
              <w:pStyle w:val="Btablefigureunbold"/>
              <w:rPr>
                <w:szCs w:val="20"/>
              </w:rPr>
            </w:pPr>
            <w:r w:rsidRPr="00420A6C">
              <w:rPr>
                <w:rFonts w:cs="Calibri"/>
                <w:color w:val="000000"/>
                <w:szCs w:val="20"/>
              </w:rPr>
              <w:t>6,000</w:t>
            </w:r>
          </w:p>
        </w:tc>
        <w:tc>
          <w:tcPr>
            <w:tcW w:w="964" w:type="dxa"/>
            <w:gridSpan w:val="2"/>
            <w:tcBorders>
              <w:top w:val="nil"/>
              <w:left w:val="nil"/>
              <w:bottom w:val="nil"/>
              <w:right w:val="nil"/>
            </w:tcBorders>
          </w:tcPr>
          <w:p w14:paraId="42E8D74D" w14:textId="77777777" w:rsidR="00CF0E2D" w:rsidRPr="00420A6C" w:rsidRDefault="00CF0E2D" w:rsidP="00A60D4B">
            <w:pPr>
              <w:pStyle w:val="Btablefigureunbold"/>
              <w:rPr>
                <w:szCs w:val="20"/>
              </w:rPr>
            </w:pPr>
            <w:r w:rsidRPr="00420A6C">
              <w:rPr>
                <w:rFonts w:cs="Calibri"/>
                <w:color w:val="000000"/>
                <w:szCs w:val="20"/>
              </w:rPr>
              <w:t>0</w:t>
            </w:r>
          </w:p>
        </w:tc>
        <w:tc>
          <w:tcPr>
            <w:tcW w:w="954" w:type="dxa"/>
            <w:gridSpan w:val="2"/>
            <w:tcBorders>
              <w:top w:val="nil"/>
              <w:left w:val="nil"/>
              <w:bottom w:val="nil"/>
              <w:right w:val="nil"/>
            </w:tcBorders>
          </w:tcPr>
          <w:p w14:paraId="799873A5" w14:textId="77777777" w:rsidR="00CF0E2D" w:rsidRPr="00420A6C" w:rsidRDefault="00CF0E2D" w:rsidP="00A60D4B">
            <w:pPr>
              <w:pStyle w:val="Btablefigureunbold"/>
              <w:rPr>
                <w:b/>
                <w:bCs/>
                <w:szCs w:val="20"/>
              </w:rPr>
            </w:pPr>
            <w:r w:rsidRPr="00420A6C">
              <w:rPr>
                <w:rFonts w:cs="Calibri"/>
                <w:b/>
                <w:bCs/>
                <w:color w:val="000000"/>
                <w:szCs w:val="20"/>
              </w:rPr>
              <w:t>9,000</w:t>
            </w:r>
          </w:p>
        </w:tc>
      </w:tr>
      <w:tr w:rsidR="00CF0E2D" w:rsidRPr="00D60558" w14:paraId="63F16A53" w14:textId="77777777" w:rsidTr="00A60D4B">
        <w:trPr>
          <w:gridAfter w:val="1"/>
          <w:wAfter w:w="9" w:type="dxa"/>
          <w:jc w:val="center"/>
        </w:trPr>
        <w:tc>
          <w:tcPr>
            <w:tcW w:w="3355" w:type="dxa"/>
            <w:tcBorders>
              <w:top w:val="nil"/>
              <w:left w:val="nil"/>
              <w:bottom w:val="nil"/>
              <w:right w:val="nil"/>
            </w:tcBorders>
          </w:tcPr>
          <w:p w14:paraId="62640C8D" w14:textId="77777777" w:rsidR="00CF0E2D" w:rsidRPr="00822A22" w:rsidRDefault="00CF0E2D" w:rsidP="00A60D4B">
            <w:pPr>
              <w:pStyle w:val="Btabletextunbold"/>
              <w:rPr>
                <w:rFonts w:cs="Calibri"/>
                <w:color w:val="000000"/>
                <w:szCs w:val="20"/>
              </w:rPr>
            </w:pPr>
            <w:r w:rsidRPr="00822A22">
              <w:rPr>
                <w:rFonts w:cs="Calibri"/>
                <w:color w:val="000000"/>
                <w:szCs w:val="20"/>
              </w:rPr>
              <w:t xml:space="preserve">Throsby Home of Football </w:t>
            </w:r>
            <w:r>
              <w:rPr>
                <w:rFonts w:cs="Calibri"/>
                <w:color w:val="000000"/>
                <w:szCs w:val="20"/>
              </w:rPr>
              <w:t>–</w:t>
            </w:r>
            <w:r w:rsidRPr="00822A22">
              <w:rPr>
                <w:rFonts w:cs="Calibri"/>
                <w:color w:val="000000"/>
                <w:szCs w:val="20"/>
              </w:rPr>
              <w:t xml:space="preserve"> Stage 2</w:t>
            </w:r>
          </w:p>
        </w:tc>
        <w:tc>
          <w:tcPr>
            <w:tcW w:w="1093" w:type="dxa"/>
            <w:tcBorders>
              <w:top w:val="nil"/>
              <w:left w:val="nil"/>
              <w:bottom w:val="nil"/>
              <w:right w:val="nil"/>
            </w:tcBorders>
          </w:tcPr>
          <w:p w14:paraId="33426752"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1582966C" w14:textId="77777777" w:rsidR="00CF0E2D" w:rsidRPr="00420A6C" w:rsidRDefault="00CF0E2D" w:rsidP="00A60D4B">
            <w:pPr>
              <w:pStyle w:val="Btablefigureunbold"/>
              <w:rPr>
                <w:szCs w:val="20"/>
              </w:rPr>
            </w:pPr>
            <w:r w:rsidRPr="00420A6C">
              <w:rPr>
                <w:rFonts w:cs="Calibri"/>
                <w:color w:val="000000"/>
                <w:szCs w:val="20"/>
              </w:rPr>
              <w:t>0</w:t>
            </w:r>
          </w:p>
        </w:tc>
        <w:tc>
          <w:tcPr>
            <w:tcW w:w="964" w:type="dxa"/>
            <w:gridSpan w:val="2"/>
            <w:tcBorders>
              <w:top w:val="nil"/>
              <w:left w:val="nil"/>
              <w:bottom w:val="nil"/>
              <w:right w:val="nil"/>
            </w:tcBorders>
          </w:tcPr>
          <w:p w14:paraId="4DD17AB6" w14:textId="77777777" w:rsidR="00CF0E2D" w:rsidRPr="00420A6C" w:rsidRDefault="00CF0E2D" w:rsidP="00A60D4B">
            <w:pPr>
              <w:pStyle w:val="Btablefigureunbold"/>
              <w:rPr>
                <w:szCs w:val="20"/>
              </w:rPr>
            </w:pPr>
            <w:r>
              <w:rPr>
                <w:rFonts w:cs="Calibri"/>
                <w:color w:val="000000"/>
                <w:szCs w:val="20"/>
              </w:rPr>
              <w:t>0</w:t>
            </w:r>
          </w:p>
        </w:tc>
        <w:tc>
          <w:tcPr>
            <w:tcW w:w="964" w:type="dxa"/>
            <w:gridSpan w:val="2"/>
            <w:tcBorders>
              <w:top w:val="nil"/>
              <w:left w:val="nil"/>
              <w:bottom w:val="nil"/>
              <w:right w:val="nil"/>
            </w:tcBorders>
          </w:tcPr>
          <w:p w14:paraId="785D6AE9" w14:textId="77777777" w:rsidR="00CF0E2D" w:rsidRPr="00420A6C" w:rsidRDefault="00CF0E2D" w:rsidP="00A60D4B">
            <w:pPr>
              <w:pStyle w:val="Btablefigureunbold"/>
              <w:rPr>
                <w:szCs w:val="20"/>
              </w:rPr>
            </w:pPr>
            <w:r>
              <w:rPr>
                <w:rFonts w:cs="Calibri"/>
                <w:color w:val="000000"/>
                <w:szCs w:val="20"/>
              </w:rPr>
              <w:t>0</w:t>
            </w:r>
          </w:p>
        </w:tc>
        <w:tc>
          <w:tcPr>
            <w:tcW w:w="964" w:type="dxa"/>
            <w:gridSpan w:val="2"/>
            <w:tcBorders>
              <w:top w:val="nil"/>
              <w:left w:val="nil"/>
              <w:bottom w:val="nil"/>
              <w:right w:val="nil"/>
            </w:tcBorders>
          </w:tcPr>
          <w:p w14:paraId="32DB61D5" w14:textId="77777777" w:rsidR="00CF0E2D" w:rsidRPr="00420A6C" w:rsidRDefault="00CF0E2D" w:rsidP="00A60D4B">
            <w:pPr>
              <w:pStyle w:val="Btablefigureunbold"/>
              <w:rPr>
                <w:szCs w:val="20"/>
              </w:rPr>
            </w:pPr>
            <w:r>
              <w:rPr>
                <w:rFonts w:cs="Calibri"/>
                <w:color w:val="000000"/>
                <w:szCs w:val="20"/>
              </w:rPr>
              <w:t>225</w:t>
            </w:r>
          </w:p>
        </w:tc>
        <w:tc>
          <w:tcPr>
            <w:tcW w:w="954" w:type="dxa"/>
            <w:gridSpan w:val="2"/>
            <w:tcBorders>
              <w:top w:val="nil"/>
              <w:left w:val="nil"/>
              <w:bottom w:val="nil"/>
              <w:right w:val="nil"/>
            </w:tcBorders>
          </w:tcPr>
          <w:p w14:paraId="25450584" w14:textId="77777777" w:rsidR="00CF0E2D" w:rsidRPr="00420A6C" w:rsidRDefault="00CF0E2D" w:rsidP="00A60D4B">
            <w:pPr>
              <w:pStyle w:val="Btablefigureunbold"/>
              <w:rPr>
                <w:b/>
                <w:bCs/>
                <w:szCs w:val="20"/>
              </w:rPr>
            </w:pPr>
            <w:r>
              <w:rPr>
                <w:rFonts w:cs="Calibri"/>
                <w:b/>
                <w:bCs/>
                <w:color w:val="000000"/>
                <w:szCs w:val="20"/>
              </w:rPr>
              <w:t>225</w:t>
            </w:r>
          </w:p>
        </w:tc>
      </w:tr>
      <w:tr w:rsidR="00CF0E2D" w:rsidRPr="00D60558" w14:paraId="44F1A64E" w14:textId="77777777" w:rsidTr="00A60D4B">
        <w:trPr>
          <w:gridAfter w:val="1"/>
          <w:wAfter w:w="9" w:type="dxa"/>
          <w:jc w:val="center"/>
        </w:trPr>
        <w:tc>
          <w:tcPr>
            <w:tcW w:w="3355" w:type="dxa"/>
            <w:tcBorders>
              <w:top w:val="nil"/>
              <w:left w:val="nil"/>
              <w:bottom w:val="nil"/>
              <w:right w:val="nil"/>
            </w:tcBorders>
          </w:tcPr>
          <w:p w14:paraId="3F88D608" w14:textId="77777777" w:rsidR="00CF0E2D" w:rsidRPr="00822A22" w:rsidRDefault="00CF0E2D" w:rsidP="00A60D4B">
            <w:pPr>
              <w:pStyle w:val="Btabletextunbold"/>
              <w:rPr>
                <w:rFonts w:cs="Calibri"/>
                <w:color w:val="000000"/>
                <w:szCs w:val="20"/>
              </w:rPr>
            </w:pPr>
            <w:r w:rsidRPr="00822A22">
              <w:rPr>
                <w:rFonts w:cs="Calibri"/>
                <w:color w:val="000000"/>
                <w:szCs w:val="20"/>
              </w:rPr>
              <w:t xml:space="preserve">Upgrading Canberra Venues </w:t>
            </w:r>
          </w:p>
        </w:tc>
        <w:tc>
          <w:tcPr>
            <w:tcW w:w="1093" w:type="dxa"/>
            <w:tcBorders>
              <w:top w:val="nil"/>
              <w:left w:val="nil"/>
              <w:bottom w:val="nil"/>
              <w:right w:val="nil"/>
            </w:tcBorders>
          </w:tcPr>
          <w:p w14:paraId="7F87CF9D"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1834AAA8" w14:textId="77777777" w:rsidR="00CF0E2D" w:rsidRPr="00420A6C" w:rsidRDefault="00CF0E2D" w:rsidP="00A60D4B">
            <w:pPr>
              <w:pStyle w:val="Btablefigureunbold"/>
              <w:rPr>
                <w:szCs w:val="20"/>
              </w:rPr>
            </w:pPr>
            <w:r w:rsidRPr="00420A6C">
              <w:rPr>
                <w:rFonts w:cs="Calibri"/>
                <w:color w:val="000000"/>
                <w:szCs w:val="20"/>
              </w:rPr>
              <w:t>4,859</w:t>
            </w:r>
          </w:p>
        </w:tc>
        <w:tc>
          <w:tcPr>
            <w:tcW w:w="964" w:type="dxa"/>
            <w:gridSpan w:val="2"/>
            <w:tcBorders>
              <w:top w:val="nil"/>
              <w:left w:val="nil"/>
              <w:bottom w:val="nil"/>
              <w:right w:val="nil"/>
            </w:tcBorders>
          </w:tcPr>
          <w:p w14:paraId="3783A2CF" w14:textId="77777777" w:rsidR="00CF0E2D" w:rsidRPr="00420A6C" w:rsidRDefault="00CF0E2D" w:rsidP="00A60D4B">
            <w:pPr>
              <w:pStyle w:val="Btablefigureunbold"/>
              <w:rPr>
                <w:szCs w:val="20"/>
              </w:rPr>
            </w:pPr>
            <w:r w:rsidRPr="00420A6C">
              <w:rPr>
                <w:rFonts w:cs="Calibri"/>
                <w:color w:val="000000"/>
                <w:szCs w:val="20"/>
              </w:rPr>
              <w:t>4,700</w:t>
            </w:r>
          </w:p>
        </w:tc>
        <w:tc>
          <w:tcPr>
            <w:tcW w:w="964" w:type="dxa"/>
            <w:gridSpan w:val="2"/>
            <w:tcBorders>
              <w:top w:val="nil"/>
              <w:left w:val="nil"/>
              <w:bottom w:val="nil"/>
              <w:right w:val="nil"/>
            </w:tcBorders>
          </w:tcPr>
          <w:p w14:paraId="5009A661" w14:textId="77777777" w:rsidR="00CF0E2D" w:rsidRPr="00420A6C" w:rsidRDefault="00CF0E2D" w:rsidP="00A60D4B">
            <w:pPr>
              <w:pStyle w:val="Btablefigureunbold"/>
              <w:rPr>
                <w:szCs w:val="20"/>
              </w:rPr>
            </w:pPr>
            <w:r w:rsidRPr="00420A6C">
              <w:rPr>
                <w:rFonts w:cs="Calibri"/>
                <w:color w:val="000000"/>
                <w:szCs w:val="20"/>
              </w:rPr>
              <w:t>1,500</w:t>
            </w:r>
          </w:p>
        </w:tc>
        <w:tc>
          <w:tcPr>
            <w:tcW w:w="964" w:type="dxa"/>
            <w:gridSpan w:val="2"/>
            <w:tcBorders>
              <w:top w:val="nil"/>
              <w:left w:val="nil"/>
              <w:bottom w:val="nil"/>
              <w:right w:val="nil"/>
            </w:tcBorders>
          </w:tcPr>
          <w:p w14:paraId="1D40C682" w14:textId="77777777" w:rsidR="00CF0E2D" w:rsidRPr="00420A6C" w:rsidRDefault="00CF0E2D" w:rsidP="00A60D4B">
            <w:pPr>
              <w:pStyle w:val="Btablefigureunbold"/>
              <w:rPr>
                <w:szCs w:val="20"/>
              </w:rPr>
            </w:pPr>
            <w:r w:rsidRPr="00420A6C">
              <w:rPr>
                <w:rFonts w:cs="Calibri"/>
                <w:color w:val="000000"/>
                <w:szCs w:val="20"/>
              </w:rPr>
              <w:t>1,500</w:t>
            </w:r>
          </w:p>
        </w:tc>
        <w:tc>
          <w:tcPr>
            <w:tcW w:w="954" w:type="dxa"/>
            <w:gridSpan w:val="2"/>
            <w:tcBorders>
              <w:top w:val="nil"/>
              <w:left w:val="nil"/>
              <w:bottom w:val="nil"/>
              <w:right w:val="nil"/>
            </w:tcBorders>
          </w:tcPr>
          <w:p w14:paraId="590C38F3" w14:textId="77777777" w:rsidR="00CF0E2D" w:rsidRPr="00420A6C" w:rsidRDefault="00CF0E2D" w:rsidP="00A60D4B">
            <w:pPr>
              <w:pStyle w:val="Btablefigureunbold"/>
              <w:rPr>
                <w:b/>
                <w:bCs/>
                <w:szCs w:val="20"/>
              </w:rPr>
            </w:pPr>
            <w:r w:rsidRPr="00420A6C">
              <w:rPr>
                <w:rFonts w:cs="Calibri"/>
                <w:b/>
                <w:bCs/>
                <w:color w:val="000000"/>
                <w:szCs w:val="20"/>
              </w:rPr>
              <w:t>12,559</w:t>
            </w:r>
          </w:p>
        </w:tc>
      </w:tr>
      <w:tr w:rsidR="00CF0E2D" w:rsidRPr="00D60558" w14:paraId="7F7F57CB" w14:textId="77777777" w:rsidTr="00A60D4B">
        <w:trPr>
          <w:gridAfter w:val="1"/>
          <w:wAfter w:w="9" w:type="dxa"/>
          <w:jc w:val="center"/>
        </w:trPr>
        <w:tc>
          <w:tcPr>
            <w:tcW w:w="3355" w:type="dxa"/>
            <w:tcBorders>
              <w:top w:val="nil"/>
              <w:left w:val="nil"/>
              <w:bottom w:val="nil"/>
              <w:right w:val="nil"/>
            </w:tcBorders>
          </w:tcPr>
          <w:p w14:paraId="0585EAFC" w14:textId="77777777" w:rsidR="00CF0E2D" w:rsidRPr="00822A22" w:rsidRDefault="00CF0E2D" w:rsidP="00A60D4B">
            <w:pPr>
              <w:pStyle w:val="Btabletextunbold"/>
              <w:rPr>
                <w:rFonts w:cs="Calibri"/>
                <w:color w:val="000000"/>
                <w:szCs w:val="20"/>
              </w:rPr>
            </w:pPr>
            <w:r w:rsidRPr="00822A22">
              <w:rPr>
                <w:rFonts w:cs="Calibri"/>
                <w:color w:val="000000"/>
                <w:szCs w:val="20"/>
              </w:rPr>
              <w:t xml:space="preserve">Upgrading Canberra Venues </w:t>
            </w:r>
          </w:p>
        </w:tc>
        <w:tc>
          <w:tcPr>
            <w:tcW w:w="1093" w:type="dxa"/>
            <w:tcBorders>
              <w:top w:val="nil"/>
              <w:left w:val="nil"/>
              <w:bottom w:val="nil"/>
              <w:right w:val="nil"/>
            </w:tcBorders>
          </w:tcPr>
          <w:p w14:paraId="7D94878E"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462153C3" w14:textId="77777777" w:rsidR="00CF0E2D" w:rsidRPr="00420A6C" w:rsidRDefault="00CF0E2D" w:rsidP="00A60D4B">
            <w:pPr>
              <w:pStyle w:val="Btablefigureunbold"/>
              <w:rPr>
                <w:szCs w:val="20"/>
              </w:rPr>
            </w:pPr>
            <w:r w:rsidRPr="00420A6C">
              <w:rPr>
                <w:rFonts w:cs="Calibri"/>
                <w:color w:val="000000"/>
                <w:szCs w:val="20"/>
              </w:rPr>
              <w:t>0</w:t>
            </w:r>
          </w:p>
        </w:tc>
        <w:tc>
          <w:tcPr>
            <w:tcW w:w="964" w:type="dxa"/>
            <w:gridSpan w:val="2"/>
            <w:tcBorders>
              <w:top w:val="nil"/>
              <w:left w:val="nil"/>
              <w:bottom w:val="nil"/>
              <w:right w:val="nil"/>
            </w:tcBorders>
          </w:tcPr>
          <w:p w14:paraId="07973F61" w14:textId="77777777" w:rsidR="00CF0E2D" w:rsidRPr="00420A6C" w:rsidRDefault="00CF0E2D" w:rsidP="00A60D4B">
            <w:pPr>
              <w:pStyle w:val="Btablefigureunbold"/>
              <w:rPr>
                <w:szCs w:val="20"/>
              </w:rPr>
            </w:pPr>
            <w:r w:rsidRPr="00420A6C">
              <w:rPr>
                <w:rFonts w:cs="Calibri"/>
                <w:color w:val="000000"/>
                <w:szCs w:val="20"/>
              </w:rPr>
              <w:t>244</w:t>
            </w:r>
          </w:p>
        </w:tc>
        <w:tc>
          <w:tcPr>
            <w:tcW w:w="964" w:type="dxa"/>
            <w:gridSpan w:val="2"/>
            <w:tcBorders>
              <w:top w:val="nil"/>
              <w:left w:val="nil"/>
              <w:bottom w:val="nil"/>
              <w:right w:val="nil"/>
            </w:tcBorders>
          </w:tcPr>
          <w:p w14:paraId="5067100E" w14:textId="77777777" w:rsidR="00CF0E2D" w:rsidRPr="00420A6C" w:rsidRDefault="00CF0E2D" w:rsidP="00A60D4B">
            <w:pPr>
              <w:pStyle w:val="Btablefigureunbold"/>
              <w:rPr>
                <w:szCs w:val="20"/>
              </w:rPr>
            </w:pPr>
            <w:r w:rsidRPr="00420A6C">
              <w:rPr>
                <w:rFonts w:cs="Calibri"/>
                <w:color w:val="000000"/>
                <w:szCs w:val="20"/>
              </w:rPr>
              <w:t>304</w:t>
            </w:r>
          </w:p>
        </w:tc>
        <w:tc>
          <w:tcPr>
            <w:tcW w:w="964" w:type="dxa"/>
            <w:gridSpan w:val="2"/>
            <w:tcBorders>
              <w:top w:val="nil"/>
              <w:left w:val="nil"/>
              <w:bottom w:val="nil"/>
              <w:right w:val="nil"/>
            </w:tcBorders>
          </w:tcPr>
          <w:p w14:paraId="1CDFBC2F" w14:textId="77777777" w:rsidR="00CF0E2D" w:rsidRPr="00420A6C" w:rsidRDefault="00CF0E2D" w:rsidP="00A60D4B">
            <w:pPr>
              <w:pStyle w:val="Btablefigureunbold"/>
              <w:rPr>
                <w:szCs w:val="20"/>
              </w:rPr>
            </w:pPr>
            <w:r w:rsidRPr="00420A6C">
              <w:rPr>
                <w:rFonts w:cs="Calibri"/>
                <w:color w:val="000000"/>
                <w:szCs w:val="20"/>
              </w:rPr>
              <w:t>304</w:t>
            </w:r>
          </w:p>
        </w:tc>
        <w:tc>
          <w:tcPr>
            <w:tcW w:w="954" w:type="dxa"/>
            <w:gridSpan w:val="2"/>
            <w:tcBorders>
              <w:top w:val="nil"/>
              <w:left w:val="nil"/>
              <w:bottom w:val="nil"/>
              <w:right w:val="nil"/>
            </w:tcBorders>
          </w:tcPr>
          <w:p w14:paraId="4E431B69" w14:textId="77777777" w:rsidR="00CF0E2D" w:rsidRPr="00420A6C" w:rsidRDefault="00CF0E2D" w:rsidP="00A60D4B">
            <w:pPr>
              <w:pStyle w:val="Btablefigureunbold"/>
              <w:rPr>
                <w:b/>
                <w:bCs/>
                <w:szCs w:val="20"/>
              </w:rPr>
            </w:pPr>
            <w:r w:rsidRPr="00420A6C">
              <w:rPr>
                <w:rFonts w:cs="Calibri"/>
                <w:b/>
                <w:bCs/>
                <w:color w:val="000000"/>
                <w:szCs w:val="20"/>
              </w:rPr>
              <w:t>852</w:t>
            </w:r>
          </w:p>
        </w:tc>
      </w:tr>
      <w:tr w:rsidR="00CF0E2D" w:rsidRPr="00D60558" w14:paraId="7D871989" w14:textId="77777777" w:rsidTr="00A60D4B">
        <w:trPr>
          <w:gridAfter w:val="1"/>
          <w:wAfter w:w="9" w:type="dxa"/>
          <w:jc w:val="center"/>
        </w:trPr>
        <w:tc>
          <w:tcPr>
            <w:tcW w:w="3355" w:type="dxa"/>
            <w:tcBorders>
              <w:top w:val="nil"/>
              <w:left w:val="nil"/>
              <w:bottom w:val="nil"/>
              <w:right w:val="nil"/>
            </w:tcBorders>
            <w:vAlign w:val="center"/>
          </w:tcPr>
          <w:p w14:paraId="5357FFFB" w14:textId="77777777" w:rsidR="00CF0E2D" w:rsidRPr="00D60558" w:rsidRDefault="00CF0E2D" w:rsidP="00A60D4B">
            <w:pPr>
              <w:pStyle w:val="Btabletextunbold"/>
              <w:rPr>
                <w:szCs w:val="20"/>
              </w:rPr>
            </w:pPr>
            <w:r w:rsidRPr="00612629">
              <w:rPr>
                <w:rFonts w:cs="Calibri"/>
                <w:color w:val="000000"/>
                <w:szCs w:val="20"/>
              </w:rPr>
              <w:t>2021-22 tax settings – Expanding concessions and assistance measures</w:t>
            </w:r>
            <w:r w:rsidRPr="0098087B">
              <w:rPr>
                <w:rFonts w:eastAsia="Times New Roman"/>
              </w:rPr>
              <w:t xml:space="preserve"> </w:t>
            </w:r>
          </w:p>
        </w:tc>
        <w:tc>
          <w:tcPr>
            <w:tcW w:w="1093" w:type="dxa"/>
            <w:tcBorders>
              <w:top w:val="nil"/>
              <w:left w:val="nil"/>
              <w:bottom w:val="nil"/>
              <w:right w:val="nil"/>
            </w:tcBorders>
          </w:tcPr>
          <w:p w14:paraId="72041620"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shd w:val="clear" w:color="auto" w:fill="auto"/>
          </w:tcPr>
          <w:p w14:paraId="21D1B094" w14:textId="77777777" w:rsidR="00CF0E2D" w:rsidRPr="00D60558" w:rsidRDefault="00CF0E2D" w:rsidP="00A60D4B">
            <w:pPr>
              <w:pStyle w:val="Btablefigureunbold"/>
              <w:rPr>
                <w:szCs w:val="20"/>
              </w:rPr>
            </w:pPr>
            <w:r w:rsidRPr="00562E7D">
              <w:t>6</w:t>
            </w:r>
            <w:r>
              <w:t>,</w:t>
            </w:r>
            <w:r w:rsidRPr="00562E7D">
              <w:t>315</w:t>
            </w:r>
          </w:p>
        </w:tc>
        <w:tc>
          <w:tcPr>
            <w:tcW w:w="964" w:type="dxa"/>
            <w:gridSpan w:val="2"/>
            <w:tcBorders>
              <w:top w:val="nil"/>
              <w:left w:val="nil"/>
              <w:bottom w:val="nil"/>
              <w:right w:val="nil"/>
            </w:tcBorders>
            <w:shd w:val="clear" w:color="auto" w:fill="auto"/>
          </w:tcPr>
          <w:p w14:paraId="046FE76D" w14:textId="77777777" w:rsidR="00CF0E2D" w:rsidRPr="00D60558" w:rsidRDefault="00CF0E2D" w:rsidP="00A60D4B">
            <w:pPr>
              <w:pStyle w:val="Btablefigureunbold"/>
              <w:rPr>
                <w:szCs w:val="20"/>
              </w:rPr>
            </w:pPr>
            <w:r w:rsidRPr="00562E7D">
              <w:t>4</w:t>
            </w:r>
            <w:r>
              <w:t>,</w:t>
            </w:r>
            <w:r w:rsidRPr="00562E7D">
              <w:t>730</w:t>
            </w:r>
          </w:p>
        </w:tc>
        <w:tc>
          <w:tcPr>
            <w:tcW w:w="964" w:type="dxa"/>
            <w:gridSpan w:val="2"/>
            <w:tcBorders>
              <w:top w:val="nil"/>
              <w:left w:val="nil"/>
              <w:bottom w:val="nil"/>
              <w:right w:val="nil"/>
            </w:tcBorders>
            <w:shd w:val="clear" w:color="auto" w:fill="auto"/>
          </w:tcPr>
          <w:p w14:paraId="540DE2EA" w14:textId="77777777" w:rsidR="00CF0E2D" w:rsidRPr="00D60558" w:rsidRDefault="00CF0E2D" w:rsidP="00A60D4B">
            <w:pPr>
              <w:pStyle w:val="Btablefigureunbold"/>
              <w:rPr>
                <w:szCs w:val="20"/>
              </w:rPr>
            </w:pPr>
            <w:r w:rsidRPr="00562E7D">
              <w:t>4</w:t>
            </w:r>
            <w:r>
              <w:t>,</w:t>
            </w:r>
            <w:r w:rsidRPr="00562E7D">
              <w:t>705</w:t>
            </w:r>
          </w:p>
        </w:tc>
        <w:tc>
          <w:tcPr>
            <w:tcW w:w="964" w:type="dxa"/>
            <w:gridSpan w:val="2"/>
            <w:tcBorders>
              <w:top w:val="nil"/>
              <w:left w:val="nil"/>
              <w:bottom w:val="nil"/>
              <w:right w:val="nil"/>
            </w:tcBorders>
            <w:shd w:val="clear" w:color="auto" w:fill="auto"/>
          </w:tcPr>
          <w:p w14:paraId="33C70C31" w14:textId="77777777" w:rsidR="00CF0E2D" w:rsidRPr="00D60558" w:rsidRDefault="00CF0E2D" w:rsidP="00A60D4B">
            <w:pPr>
              <w:pStyle w:val="Btablefigureunbold"/>
              <w:rPr>
                <w:szCs w:val="20"/>
              </w:rPr>
            </w:pPr>
            <w:r w:rsidRPr="00562E7D">
              <w:t>4</w:t>
            </w:r>
            <w:r>
              <w:t>,</w:t>
            </w:r>
            <w:r w:rsidRPr="00562E7D">
              <w:t>730</w:t>
            </w:r>
          </w:p>
        </w:tc>
        <w:tc>
          <w:tcPr>
            <w:tcW w:w="954" w:type="dxa"/>
            <w:gridSpan w:val="2"/>
            <w:tcBorders>
              <w:top w:val="nil"/>
              <w:left w:val="nil"/>
              <w:bottom w:val="nil"/>
              <w:right w:val="nil"/>
            </w:tcBorders>
            <w:shd w:val="clear" w:color="auto" w:fill="auto"/>
          </w:tcPr>
          <w:p w14:paraId="762B7DD4" w14:textId="77777777" w:rsidR="00CF0E2D" w:rsidRPr="00612629" w:rsidRDefault="00CF0E2D" w:rsidP="00A60D4B">
            <w:pPr>
              <w:pStyle w:val="Btablefigureunbold"/>
              <w:rPr>
                <w:b/>
                <w:bCs/>
                <w:szCs w:val="20"/>
              </w:rPr>
            </w:pPr>
            <w:r w:rsidRPr="00612629">
              <w:rPr>
                <w:b/>
                <w:bCs/>
              </w:rPr>
              <w:t>20,480</w:t>
            </w:r>
          </w:p>
        </w:tc>
      </w:tr>
      <w:tr w:rsidR="00CF0E2D" w:rsidRPr="00D60558" w14:paraId="3C185C7C" w14:textId="77777777" w:rsidTr="00387F31">
        <w:trPr>
          <w:gridAfter w:val="1"/>
          <w:wAfter w:w="9" w:type="dxa"/>
          <w:trHeight w:val="340"/>
          <w:jc w:val="center"/>
        </w:trPr>
        <w:tc>
          <w:tcPr>
            <w:tcW w:w="3355" w:type="dxa"/>
            <w:tcBorders>
              <w:top w:val="nil"/>
              <w:left w:val="nil"/>
              <w:bottom w:val="nil"/>
              <w:right w:val="nil"/>
            </w:tcBorders>
            <w:vAlign w:val="bottom"/>
          </w:tcPr>
          <w:p w14:paraId="42EB8FC9" w14:textId="77777777" w:rsidR="00CF0E2D" w:rsidRPr="00857AFE" w:rsidRDefault="00CF0E2D" w:rsidP="00A60D4B">
            <w:pPr>
              <w:pStyle w:val="Btabletextunbold"/>
              <w:rPr>
                <w:b/>
                <w:bCs/>
                <w:szCs w:val="20"/>
              </w:rPr>
            </w:pPr>
            <w:r w:rsidRPr="00857AFE">
              <w:rPr>
                <w:b/>
                <w:bCs/>
                <w:szCs w:val="20"/>
              </w:rPr>
              <w:lastRenderedPageBreak/>
              <w:t>City Renewal Authority</w:t>
            </w:r>
          </w:p>
        </w:tc>
        <w:tc>
          <w:tcPr>
            <w:tcW w:w="1093" w:type="dxa"/>
            <w:tcBorders>
              <w:top w:val="nil"/>
              <w:left w:val="nil"/>
              <w:bottom w:val="nil"/>
              <w:right w:val="nil"/>
            </w:tcBorders>
          </w:tcPr>
          <w:p w14:paraId="61F7E4F7" w14:textId="77777777" w:rsidR="00CF0E2D" w:rsidRPr="00D60558"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7E17B47D"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6E741AAA"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772FE450"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0356DB4F" w14:textId="77777777" w:rsidR="00CF0E2D" w:rsidRPr="00D60558" w:rsidRDefault="00CF0E2D" w:rsidP="00A60D4B">
            <w:pPr>
              <w:pStyle w:val="Btablefigureunbold"/>
              <w:rPr>
                <w:szCs w:val="20"/>
              </w:rPr>
            </w:pPr>
          </w:p>
        </w:tc>
        <w:tc>
          <w:tcPr>
            <w:tcW w:w="954" w:type="dxa"/>
            <w:gridSpan w:val="2"/>
            <w:tcBorders>
              <w:top w:val="nil"/>
              <w:left w:val="nil"/>
              <w:bottom w:val="nil"/>
              <w:right w:val="nil"/>
            </w:tcBorders>
          </w:tcPr>
          <w:p w14:paraId="36281E1F" w14:textId="77777777" w:rsidR="00CF0E2D" w:rsidRPr="00D60558" w:rsidRDefault="00CF0E2D" w:rsidP="00A60D4B">
            <w:pPr>
              <w:pStyle w:val="Btablefigureunbold"/>
              <w:rPr>
                <w:b/>
                <w:bCs/>
                <w:szCs w:val="20"/>
              </w:rPr>
            </w:pPr>
          </w:p>
        </w:tc>
      </w:tr>
      <w:tr w:rsidR="00CF0E2D" w:rsidRPr="00D60558" w14:paraId="2F9FE665" w14:textId="77777777" w:rsidTr="00A60D4B">
        <w:trPr>
          <w:gridAfter w:val="1"/>
          <w:wAfter w:w="9" w:type="dxa"/>
          <w:jc w:val="center"/>
        </w:trPr>
        <w:tc>
          <w:tcPr>
            <w:tcW w:w="3355" w:type="dxa"/>
            <w:tcBorders>
              <w:top w:val="nil"/>
              <w:left w:val="nil"/>
              <w:bottom w:val="nil"/>
              <w:right w:val="nil"/>
            </w:tcBorders>
          </w:tcPr>
          <w:p w14:paraId="0DA0D6FE" w14:textId="77777777" w:rsidR="00CF0E2D" w:rsidRPr="00857AFE" w:rsidRDefault="00CF0E2D" w:rsidP="00A60D4B">
            <w:pPr>
              <w:pStyle w:val="Btabletextunbold"/>
              <w:rPr>
                <w:rFonts w:cs="Calibri"/>
                <w:color w:val="000000"/>
                <w:szCs w:val="20"/>
              </w:rPr>
            </w:pPr>
            <w:r w:rsidRPr="00857AFE">
              <w:rPr>
                <w:rFonts w:cs="Calibri"/>
                <w:color w:val="000000"/>
                <w:szCs w:val="20"/>
              </w:rPr>
              <w:t>Acton Waterfront Parkland</w:t>
            </w:r>
          </w:p>
        </w:tc>
        <w:tc>
          <w:tcPr>
            <w:tcW w:w="1093" w:type="dxa"/>
            <w:tcBorders>
              <w:top w:val="nil"/>
              <w:left w:val="nil"/>
              <w:bottom w:val="nil"/>
              <w:right w:val="nil"/>
            </w:tcBorders>
          </w:tcPr>
          <w:p w14:paraId="6E648EDC"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shd w:val="clear" w:color="auto" w:fill="auto"/>
          </w:tcPr>
          <w:p w14:paraId="22C97DCB" w14:textId="77777777" w:rsidR="00CF0E2D" w:rsidRPr="001633D5" w:rsidRDefault="00CF0E2D" w:rsidP="00A60D4B">
            <w:pPr>
              <w:pStyle w:val="Btablefigureunbold"/>
              <w:rPr>
                <w:rFonts w:cs="Calibri"/>
                <w:color w:val="000000"/>
                <w:szCs w:val="20"/>
              </w:rPr>
            </w:pPr>
            <w:r w:rsidRPr="001633D5">
              <w:rPr>
                <w:rFonts w:cs="Calibri"/>
                <w:color w:val="000000"/>
                <w:szCs w:val="20"/>
              </w:rPr>
              <w:t>1,910</w:t>
            </w:r>
          </w:p>
        </w:tc>
        <w:tc>
          <w:tcPr>
            <w:tcW w:w="964" w:type="dxa"/>
            <w:gridSpan w:val="2"/>
            <w:tcBorders>
              <w:top w:val="nil"/>
              <w:left w:val="nil"/>
              <w:bottom w:val="nil"/>
              <w:right w:val="nil"/>
            </w:tcBorders>
            <w:shd w:val="clear" w:color="auto" w:fill="auto"/>
          </w:tcPr>
          <w:p w14:paraId="26EB8F91" w14:textId="77777777" w:rsidR="00CF0E2D" w:rsidRPr="001633D5" w:rsidRDefault="00CF0E2D" w:rsidP="00A60D4B">
            <w:pPr>
              <w:pStyle w:val="Btablefigureunbold"/>
              <w:rPr>
                <w:rFonts w:cs="Calibri"/>
                <w:color w:val="000000"/>
                <w:szCs w:val="20"/>
              </w:rPr>
            </w:pPr>
            <w:r w:rsidRPr="001633D5">
              <w:rPr>
                <w:rFonts w:cs="Calibri"/>
                <w:color w:val="000000"/>
                <w:szCs w:val="20"/>
              </w:rPr>
              <w:t>890</w:t>
            </w:r>
          </w:p>
        </w:tc>
        <w:tc>
          <w:tcPr>
            <w:tcW w:w="964" w:type="dxa"/>
            <w:gridSpan w:val="2"/>
            <w:tcBorders>
              <w:top w:val="nil"/>
              <w:left w:val="nil"/>
              <w:bottom w:val="nil"/>
              <w:right w:val="nil"/>
            </w:tcBorders>
            <w:shd w:val="clear" w:color="auto" w:fill="auto"/>
          </w:tcPr>
          <w:p w14:paraId="35EF77B5" w14:textId="77777777" w:rsidR="00CF0E2D" w:rsidRPr="001633D5" w:rsidRDefault="00CF0E2D" w:rsidP="00A60D4B">
            <w:pPr>
              <w:pStyle w:val="Btablefigureunbold"/>
              <w:rPr>
                <w:rFonts w:cs="Calibri"/>
                <w:color w:val="000000"/>
                <w:szCs w:val="20"/>
              </w:rPr>
            </w:pPr>
            <w:r w:rsidRPr="001633D5">
              <w:rPr>
                <w:rFonts w:cs="Calibri"/>
                <w:color w:val="000000"/>
                <w:szCs w:val="20"/>
              </w:rPr>
              <w:t>0</w:t>
            </w:r>
          </w:p>
        </w:tc>
        <w:tc>
          <w:tcPr>
            <w:tcW w:w="964" w:type="dxa"/>
            <w:gridSpan w:val="2"/>
            <w:tcBorders>
              <w:top w:val="nil"/>
              <w:left w:val="nil"/>
              <w:bottom w:val="nil"/>
              <w:right w:val="nil"/>
            </w:tcBorders>
            <w:shd w:val="clear" w:color="auto" w:fill="auto"/>
          </w:tcPr>
          <w:p w14:paraId="3ED01FEA" w14:textId="77777777" w:rsidR="00CF0E2D" w:rsidRPr="001633D5" w:rsidRDefault="00CF0E2D" w:rsidP="00A60D4B">
            <w:pPr>
              <w:pStyle w:val="Btablefigureunbold"/>
              <w:rPr>
                <w:rFonts w:cs="Calibri"/>
                <w:color w:val="000000"/>
                <w:szCs w:val="20"/>
              </w:rPr>
            </w:pPr>
            <w:r w:rsidRPr="001633D5">
              <w:rPr>
                <w:rFonts w:cs="Calibri"/>
                <w:color w:val="000000"/>
                <w:szCs w:val="20"/>
              </w:rPr>
              <w:t>0</w:t>
            </w:r>
          </w:p>
        </w:tc>
        <w:tc>
          <w:tcPr>
            <w:tcW w:w="954" w:type="dxa"/>
            <w:gridSpan w:val="2"/>
            <w:tcBorders>
              <w:top w:val="nil"/>
              <w:left w:val="nil"/>
              <w:bottom w:val="nil"/>
              <w:right w:val="nil"/>
            </w:tcBorders>
            <w:shd w:val="clear" w:color="auto" w:fill="auto"/>
          </w:tcPr>
          <w:p w14:paraId="51652095" w14:textId="77777777" w:rsidR="00CF0E2D" w:rsidRPr="001633D5" w:rsidRDefault="00CF0E2D" w:rsidP="00A60D4B">
            <w:pPr>
              <w:pStyle w:val="Btablefigureunbold"/>
              <w:rPr>
                <w:rFonts w:cs="Calibri"/>
                <w:b/>
                <w:bCs/>
                <w:color w:val="000000"/>
                <w:szCs w:val="20"/>
              </w:rPr>
            </w:pPr>
            <w:r w:rsidRPr="001633D5">
              <w:rPr>
                <w:rFonts w:cs="Calibri"/>
                <w:b/>
                <w:bCs/>
                <w:color w:val="000000"/>
                <w:szCs w:val="20"/>
              </w:rPr>
              <w:t>2,800</w:t>
            </w:r>
          </w:p>
        </w:tc>
      </w:tr>
      <w:tr w:rsidR="00CF0E2D" w:rsidRPr="00D60558" w14:paraId="60DC0F5B" w14:textId="77777777" w:rsidTr="00A60D4B">
        <w:trPr>
          <w:gridAfter w:val="1"/>
          <w:wAfter w:w="9" w:type="dxa"/>
          <w:jc w:val="center"/>
        </w:trPr>
        <w:tc>
          <w:tcPr>
            <w:tcW w:w="3355" w:type="dxa"/>
            <w:tcBorders>
              <w:top w:val="nil"/>
              <w:left w:val="nil"/>
              <w:bottom w:val="nil"/>
              <w:right w:val="nil"/>
            </w:tcBorders>
          </w:tcPr>
          <w:p w14:paraId="24568A9B" w14:textId="77777777" w:rsidR="00CF0E2D" w:rsidRPr="00857AFE" w:rsidRDefault="00CF0E2D" w:rsidP="00A60D4B">
            <w:pPr>
              <w:pStyle w:val="Btabletextunbold"/>
              <w:rPr>
                <w:rFonts w:cs="Calibri"/>
                <w:color w:val="000000"/>
                <w:szCs w:val="20"/>
              </w:rPr>
            </w:pPr>
            <w:r w:rsidRPr="00857AFE">
              <w:rPr>
                <w:rFonts w:cs="Calibri"/>
                <w:color w:val="000000"/>
                <w:szCs w:val="20"/>
              </w:rPr>
              <w:t>City Renewal Authority operational funding</w:t>
            </w:r>
          </w:p>
        </w:tc>
        <w:tc>
          <w:tcPr>
            <w:tcW w:w="1093" w:type="dxa"/>
            <w:tcBorders>
              <w:top w:val="nil"/>
              <w:left w:val="nil"/>
              <w:bottom w:val="nil"/>
              <w:right w:val="nil"/>
            </w:tcBorders>
          </w:tcPr>
          <w:p w14:paraId="271034F3"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33CC238C" w14:textId="77777777" w:rsidR="00CF0E2D" w:rsidRPr="001633D5" w:rsidRDefault="00CF0E2D" w:rsidP="00A60D4B">
            <w:pPr>
              <w:pStyle w:val="Btablefigureunbold"/>
              <w:rPr>
                <w:rFonts w:cs="Calibri"/>
                <w:color w:val="000000"/>
                <w:szCs w:val="20"/>
              </w:rPr>
            </w:pPr>
            <w:r w:rsidRPr="001633D5">
              <w:rPr>
                <w:rFonts w:cs="Calibri"/>
                <w:color w:val="000000"/>
                <w:szCs w:val="20"/>
              </w:rPr>
              <w:t>8,592</w:t>
            </w:r>
          </w:p>
        </w:tc>
        <w:tc>
          <w:tcPr>
            <w:tcW w:w="964" w:type="dxa"/>
            <w:gridSpan w:val="2"/>
            <w:tcBorders>
              <w:top w:val="nil"/>
              <w:left w:val="nil"/>
              <w:bottom w:val="nil"/>
              <w:right w:val="nil"/>
            </w:tcBorders>
          </w:tcPr>
          <w:p w14:paraId="397C8076" w14:textId="77777777" w:rsidR="00CF0E2D" w:rsidRPr="001633D5" w:rsidRDefault="00CF0E2D" w:rsidP="00A60D4B">
            <w:pPr>
              <w:pStyle w:val="Btablefigureunbold"/>
              <w:rPr>
                <w:rFonts w:cs="Calibri"/>
                <w:color w:val="000000"/>
                <w:szCs w:val="20"/>
              </w:rPr>
            </w:pPr>
            <w:r w:rsidRPr="001633D5">
              <w:rPr>
                <w:rFonts w:cs="Calibri"/>
                <w:color w:val="000000"/>
                <w:szCs w:val="20"/>
              </w:rPr>
              <w:t>8,736</w:t>
            </w:r>
          </w:p>
        </w:tc>
        <w:tc>
          <w:tcPr>
            <w:tcW w:w="964" w:type="dxa"/>
            <w:gridSpan w:val="2"/>
            <w:tcBorders>
              <w:top w:val="nil"/>
              <w:left w:val="nil"/>
              <w:bottom w:val="nil"/>
              <w:right w:val="nil"/>
            </w:tcBorders>
          </w:tcPr>
          <w:p w14:paraId="7858F718" w14:textId="77777777" w:rsidR="00CF0E2D" w:rsidRPr="001633D5" w:rsidRDefault="00CF0E2D" w:rsidP="00A60D4B">
            <w:pPr>
              <w:pStyle w:val="Btablefigureunbold"/>
              <w:rPr>
                <w:rFonts w:cs="Calibri"/>
                <w:color w:val="000000"/>
                <w:szCs w:val="20"/>
              </w:rPr>
            </w:pPr>
            <w:r w:rsidRPr="001633D5">
              <w:rPr>
                <w:rFonts w:cs="Calibri"/>
                <w:color w:val="000000"/>
                <w:szCs w:val="20"/>
              </w:rPr>
              <w:t>8,907</w:t>
            </w:r>
          </w:p>
        </w:tc>
        <w:tc>
          <w:tcPr>
            <w:tcW w:w="964" w:type="dxa"/>
            <w:gridSpan w:val="2"/>
            <w:tcBorders>
              <w:top w:val="nil"/>
              <w:left w:val="nil"/>
              <w:bottom w:val="nil"/>
              <w:right w:val="nil"/>
            </w:tcBorders>
          </w:tcPr>
          <w:p w14:paraId="080C57D2" w14:textId="77777777" w:rsidR="00CF0E2D" w:rsidRPr="001633D5" w:rsidRDefault="00CF0E2D" w:rsidP="00A60D4B">
            <w:pPr>
              <w:pStyle w:val="Btablefigureunbold"/>
              <w:rPr>
                <w:rFonts w:cs="Calibri"/>
                <w:color w:val="000000"/>
                <w:szCs w:val="20"/>
              </w:rPr>
            </w:pPr>
            <w:r w:rsidRPr="001633D5">
              <w:rPr>
                <w:rFonts w:cs="Calibri"/>
                <w:color w:val="000000"/>
                <w:szCs w:val="20"/>
              </w:rPr>
              <w:t>9,080</w:t>
            </w:r>
          </w:p>
        </w:tc>
        <w:tc>
          <w:tcPr>
            <w:tcW w:w="954" w:type="dxa"/>
            <w:gridSpan w:val="2"/>
            <w:tcBorders>
              <w:top w:val="nil"/>
              <w:left w:val="nil"/>
              <w:bottom w:val="nil"/>
              <w:right w:val="nil"/>
            </w:tcBorders>
          </w:tcPr>
          <w:p w14:paraId="5C91CFC1" w14:textId="77777777" w:rsidR="00CF0E2D" w:rsidRPr="001633D5" w:rsidRDefault="00CF0E2D" w:rsidP="00A60D4B">
            <w:pPr>
              <w:pStyle w:val="Btablefigureunbold"/>
              <w:rPr>
                <w:rFonts w:cs="Calibri"/>
                <w:b/>
                <w:bCs/>
                <w:color w:val="000000"/>
                <w:szCs w:val="20"/>
              </w:rPr>
            </w:pPr>
            <w:r w:rsidRPr="001633D5">
              <w:rPr>
                <w:rFonts w:cs="Calibri"/>
                <w:b/>
                <w:bCs/>
                <w:color w:val="000000"/>
                <w:szCs w:val="20"/>
              </w:rPr>
              <w:t>35,315</w:t>
            </w:r>
          </w:p>
        </w:tc>
      </w:tr>
      <w:tr w:rsidR="00CF0E2D" w:rsidRPr="00D60558" w14:paraId="6E0B0551" w14:textId="77777777" w:rsidTr="00A60D4B">
        <w:trPr>
          <w:gridAfter w:val="1"/>
          <w:wAfter w:w="9" w:type="dxa"/>
          <w:trHeight w:val="340"/>
          <w:jc w:val="center"/>
        </w:trPr>
        <w:tc>
          <w:tcPr>
            <w:tcW w:w="3355" w:type="dxa"/>
            <w:tcBorders>
              <w:top w:val="nil"/>
              <w:left w:val="nil"/>
              <w:bottom w:val="nil"/>
              <w:right w:val="nil"/>
            </w:tcBorders>
            <w:vAlign w:val="bottom"/>
          </w:tcPr>
          <w:p w14:paraId="7545F3A4" w14:textId="77777777" w:rsidR="00CF0E2D" w:rsidRPr="007A0C65" w:rsidRDefault="00CF0E2D" w:rsidP="00CF0E2D">
            <w:pPr>
              <w:pStyle w:val="Btabletextunbold"/>
              <w:rPr>
                <w:rFonts w:cs="Calibri"/>
                <w:b/>
                <w:bCs/>
                <w:color w:val="000000"/>
                <w:szCs w:val="20"/>
              </w:rPr>
            </w:pPr>
            <w:r>
              <w:rPr>
                <w:rFonts w:cs="Calibri"/>
                <w:b/>
                <w:bCs/>
                <w:color w:val="000000"/>
                <w:szCs w:val="20"/>
              </w:rPr>
              <w:t>Community Services Directorate</w:t>
            </w:r>
          </w:p>
        </w:tc>
        <w:tc>
          <w:tcPr>
            <w:tcW w:w="1093" w:type="dxa"/>
            <w:tcBorders>
              <w:top w:val="nil"/>
              <w:left w:val="nil"/>
              <w:bottom w:val="nil"/>
              <w:right w:val="nil"/>
            </w:tcBorders>
          </w:tcPr>
          <w:p w14:paraId="17A0D5C3" w14:textId="77777777" w:rsidR="00CF0E2D" w:rsidRPr="00D60558" w:rsidRDefault="00CF0E2D" w:rsidP="00CF0E2D">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103564FF" w14:textId="77777777" w:rsidR="00CF0E2D" w:rsidRPr="00D60558" w:rsidRDefault="00CF0E2D" w:rsidP="00CF0E2D">
            <w:pPr>
              <w:pStyle w:val="Btablefigureunbold"/>
              <w:rPr>
                <w:szCs w:val="20"/>
              </w:rPr>
            </w:pPr>
          </w:p>
        </w:tc>
        <w:tc>
          <w:tcPr>
            <w:tcW w:w="964" w:type="dxa"/>
            <w:gridSpan w:val="2"/>
            <w:tcBorders>
              <w:top w:val="nil"/>
              <w:left w:val="nil"/>
              <w:bottom w:val="nil"/>
              <w:right w:val="nil"/>
            </w:tcBorders>
          </w:tcPr>
          <w:p w14:paraId="6B70453A" w14:textId="77777777" w:rsidR="00CF0E2D" w:rsidRPr="00D60558" w:rsidRDefault="00CF0E2D" w:rsidP="00CF0E2D">
            <w:pPr>
              <w:pStyle w:val="Btablefigureunbold"/>
              <w:rPr>
                <w:szCs w:val="20"/>
              </w:rPr>
            </w:pPr>
          </w:p>
        </w:tc>
        <w:tc>
          <w:tcPr>
            <w:tcW w:w="964" w:type="dxa"/>
            <w:gridSpan w:val="2"/>
            <w:tcBorders>
              <w:top w:val="nil"/>
              <w:left w:val="nil"/>
              <w:bottom w:val="nil"/>
              <w:right w:val="nil"/>
            </w:tcBorders>
          </w:tcPr>
          <w:p w14:paraId="4D1CC3EC" w14:textId="77777777" w:rsidR="00CF0E2D" w:rsidRPr="00D60558" w:rsidRDefault="00CF0E2D" w:rsidP="00CF0E2D">
            <w:pPr>
              <w:pStyle w:val="Btablefigureunbold"/>
              <w:rPr>
                <w:szCs w:val="20"/>
              </w:rPr>
            </w:pPr>
          </w:p>
        </w:tc>
        <w:tc>
          <w:tcPr>
            <w:tcW w:w="964" w:type="dxa"/>
            <w:gridSpan w:val="2"/>
            <w:tcBorders>
              <w:top w:val="nil"/>
              <w:left w:val="nil"/>
              <w:bottom w:val="nil"/>
              <w:right w:val="nil"/>
            </w:tcBorders>
          </w:tcPr>
          <w:p w14:paraId="63950654" w14:textId="77777777" w:rsidR="00CF0E2D" w:rsidRPr="00D60558" w:rsidRDefault="00CF0E2D" w:rsidP="00CF0E2D">
            <w:pPr>
              <w:pStyle w:val="Btablefigureunbold"/>
              <w:rPr>
                <w:szCs w:val="20"/>
              </w:rPr>
            </w:pPr>
          </w:p>
        </w:tc>
        <w:tc>
          <w:tcPr>
            <w:tcW w:w="954" w:type="dxa"/>
            <w:gridSpan w:val="2"/>
            <w:tcBorders>
              <w:top w:val="nil"/>
              <w:left w:val="nil"/>
              <w:bottom w:val="nil"/>
              <w:right w:val="nil"/>
            </w:tcBorders>
          </w:tcPr>
          <w:p w14:paraId="6720BD4C" w14:textId="77777777" w:rsidR="00CF0E2D" w:rsidRPr="00D60558" w:rsidRDefault="00CF0E2D" w:rsidP="00CF0E2D">
            <w:pPr>
              <w:pStyle w:val="Btablefigureunbold"/>
              <w:rPr>
                <w:b/>
                <w:bCs/>
                <w:szCs w:val="20"/>
              </w:rPr>
            </w:pPr>
          </w:p>
        </w:tc>
      </w:tr>
      <w:tr w:rsidR="00CF0E2D" w:rsidRPr="00D60558" w14:paraId="193EBE81" w14:textId="77777777" w:rsidTr="00A60D4B">
        <w:trPr>
          <w:gridAfter w:val="1"/>
          <w:wAfter w:w="9" w:type="dxa"/>
          <w:jc w:val="center"/>
        </w:trPr>
        <w:tc>
          <w:tcPr>
            <w:tcW w:w="3355" w:type="dxa"/>
            <w:tcBorders>
              <w:top w:val="nil"/>
              <w:left w:val="nil"/>
              <w:bottom w:val="nil"/>
              <w:right w:val="nil"/>
            </w:tcBorders>
          </w:tcPr>
          <w:p w14:paraId="37D7E62B" w14:textId="77777777" w:rsidR="00CF0E2D" w:rsidRPr="007A0C65" w:rsidRDefault="00CF0E2D" w:rsidP="00A60D4B">
            <w:pPr>
              <w:pStyle w:val="Btabletextunbold"/>
              <w:rPr>
                <w:szCs w:val="20"/>
              </w:rPr>
            </w:pPr>
            <w:r w:rsidRPr="007A0C65">
              <w:rPr>
                <w:rFonts w:cs="Calibri"/>
                <w:color w:val="000000"/>
                <w:szCs w:val="20"/>
              </w:rPr>
              <w:t xml:space="preserve">Child Development Service </w:t>
            </w:r>
            <w:r>
              <w:rPr>
                <w:rFonts w:cs="Calibri"/>
                <w:color w:val="000000"/>
                <w:szCs w:val="20"/>
              </w:rPr>
              <w:t>–</w:t>
            </w:r>
            <w:r w:rsidRPr="007A0C65">
              <w:rPr>
                <w:rFonts w:cs="Calibri"/>
                <w:color w:val="000000"/>
                <w:szCs w:val="20"/>
              </w:rPr>
              <w:t xml:space="preserve"> facility upgrades and planning </w:t>
            </w:r>
          </w:p>
        </w:tc>
        <w:tc>
          <w:tcPr>
            <w:tcW w:w="1093" w:type="dxa"/>
            <w:tcBorders>
              <w:top w:val="nil"/>
              <w:left w:val="nil"/>
              <w:bottom w:val="nil"/>
              <w:right w:val="nil"/>
            </w:tcBorders>
          </w:tcPr>
          <w:p w14:paraId="70A5CF44"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240D6721" w14:textId="77777777" w:rsidR="00CF0E2D" w:rsidRPr="001633D5" w:rsidRDefault="00CF0E2D" w:rsidP="00A60D4B">
            <w:pPr>
              <w:pStyle w:val="Btablefigureunbold"/>
              <w:rPr>
                <w:szCs w:val="20"/>
              </w:rPr>
            </w:pPr>
            <w:r w:rsidRPr="001633D5">
              <w:rPr>
                <w:rFonts w:cs="Calibri"/>
                <w:color w:val="000000"/>
                <w:szCs w:val="20"/>
              </w:rPr>
              <w:t>589</w:t>
            </w:r>
          </w:p>
        </w:tc>
        <w:tc>
          <w:tcPr>
            <w:tcW w:w="964" w:type="dxa"/>
            <w:gridSpan w:val="2"/>
            <w:tcBorders>
              <w:top w:val="nil"/>
              <w:left w:val="nil"/>
              <w:bottom w:val="nil"/>
              <w:right w:val="nil"/>
            </w:tcBorders>
          </w:tcPr>
          <w:p w14:paraId="313A278B" w14:textId="77777777" w:rsidR="00CF0E2D" w:rsidRPr="001633D5" w:rsidRDefault="00CF0E2D" w:rsidP="00A60D4B">
            <w:pPr>
              <w:pStyle w:val="Btablefigureunbold"/>
              <w:rPr>
                <w:szCs w:val="20"/>
              </w:rPr>
            </w:pPr>
            <w:r w:rsidRPr="001633D5">
              <w:rPr>
                <w:rFonts w:cs="Calibri"/>
                <w:color w:val="000000"/>
                <w:szCs w:val="20"/>
              </w:rPr>
              <w:t>281</w:t>
            </w:r>
          </w:p>
        </w:tc>
        <w:tc>
          <w:tcPr>
            <w:tcW w:w="964" w:type="dxa"/>
            <w:gridSpan w:val="2"/>
            <w:tcBorders>
              <w:top w:val="nil"/>
              <w:left w:val="nil"/>
              <w:bottom w:val="nil"/>
              <w:right w:val="nil"/>
            </w:tcBorders>
          </w:tcPr>
          <w:p w14:paraId="1F0BCF13"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2313BBA2" w14:textId="77777777" w:rsidR="00CF0E2D" w:rsidRPr="001633D5" w:rsidRDefault="00CF0E2D" w:rsidP="00A60D4B">
            <w:pPr>
              <w:pStyle w:val="Btablefigureunbold"/>
              <w:rPr>
                <w:szCs w:val="20"/>
              </w:rPr>
            </w:pPr>
            <w:r w:rsidRPr="001633D5">
              <w:rPr>
                <w:rFonts w:cs="Calibri"/>
                <w:color w:val="000000"/>
                <w:szCs w:val="20"/>
              </w:rPr>
              <w:t>0</w:t>
            </w:r>
          </w:p>
        </w:tc>
        <w:tc>
          <w:tcPr>
            <w:tcW w:w="954" w:type="dxa"/>
            <w:gridSpan w:val="2"/>
            <w:tcBorders>
              <w:top w:val="nil"/>
              <w:left w:val="nil"/>
              <w:bottom w:val="nil"/>
              <w:right w:val="nil"/>
            </w:tcBorders>
          </w:tcPr>
          <w:p w14:paraId="47120460" w14:textId="77777777" w:rsidR="00CF0E2D" w:rsidRPr="001633D5" w:rsidRDefault="00CF0E2D" w:rsidP="00A60D4B">
            <w:pPr>
              <w:pStyle w:val="Btablefigureunbold"/>
              <w:rPr>
                <w:b/>
                <w:bCs/>
                <w:szCs w:val="20"/>
              </w:rPr>
            </w:pPr>
            <w:r w:rsidRPr="001633D5">
              <w:rPr>
                <w:rFonts w:cs="Calibri"/>
                <w:b/>
                <w:bCs/>
                <w:color w:val="000000"/>
                <w:szCs w:val="20"/>
              </w:rPr>
              <w:t>870</w:t>
            </w:r>
          </w:p>
        </w:tc>
      </w:tr>
      <w:tr w:rsidR="00CF0E2D" w:rsidRPr="00D60558" w14:paraId="4EF67A50" w14:textId="77777777" w:rsidTr="00A60D4B">
        <w:trPr>
          <w:gridAfter w:val="1"/>
          <w:wAfter w:w="9" w:type="dxa"/>
          <w:jc w:val="center"/>
        </w:trPr>
        <w:tc>
          <w:tcPr>
            <w:tcW w:w="3355" w:type="dxa"/>
            <w:tcBorders>
              <w:top w:val="nil"/>
              <w:left w:val="nil"/>
              <w:bottom w:val="nil"/>
              <w:right w:val="nil"/>
            </w:tcBorders>
          </w:tcPr>
          <w:p w14:paraId="171F165C" w14:textId="77777777" w:rsidR="00CF0E2D" w:rsidRPr="007A0C65" w:rsidRDefault="00CF0E2D" w:rsidP="00A60D4B">
            <w:pPr>
              <w:pStyle w:val="Btabletextunbold"/>
              <w:rPr>
                <w:szCs w:val="20"/>
              </w:rPr>
            </w:pPr>
            <w:r w:rsidRPr="007A0C65">
              <w:rPr>
                <w:rFonts w:cs="Calibri"/>
                <w:color w:val="000000"/>
                <w:szCs w:val="20"/>
              </w:rPr>
              <w:t xml:space="preserve">Community sector partnerships – More support for community sector organisations </w:t>
            </w:r>
            <w:r w:rsidRPr="007A0C65">
              <w:rPr>
                <w:rFonts w:cs="Calibri"/>
                <w:szCs w:val="20"/>
              </w:rPr>
              <w:t> </w:t>
            </w:r>
          </w:p>
        </w:tc>
        <w:tc>
          <w:tcPr>
            <w:tcW w:w="1093" w:type="dxa"/>
            <w:tcBorders>
              <w:top w:val="nil"/>
              <w:left w:val="nil"/>
              <w:bottom w:val="nil"/>
              <w:right w:val="nil"/>
            </w:tcBorders>
          </w:tcPr>
          <w:p w14:paraId="1EA98371"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68244C7B" w14:textId="77777777" w:rsidR="00CF0E2D" w:rsidRPr="001633D5" w:rsidRDefault="00CF0E2D" w:rsidP="00A60D4B">
            <w:pPr>
              <w:pStyle w:val="Btablefigureunbold"/>
              <w:rPr>
                <w:szCs w:val="20"/>
              </w:rPr>
            </w:pPr>
            <w:r w:rsidRPr="001633D5">
              <w:rPr>
                <w:rFonts w:cs="Calibri"/>
                <w:color w:val="000000"/>
                <w:szCs w:val="20"/>
              </w:rPr>
              <w:t>966</w:t>
            </w:r>
          </w:p>
        </w:tc>
        <w:tc>
          <w:tcPr>
            <w:tcW w:w="964" w:type="dxa"/>
            <w:gridSpan w:val="2"/>
            <w:tcBorders>
              <w:top w:val="nil"/>
              <w:left w:val="nil"/>
              <w:bottom w:val="nil"/>
              <w:right w:val="nil"/>
            </w:tcBorders>
          </w:tcPr>
          <w:p w14:paraId="539700FF" w14:textId="77777777" w:rsidR="00CF0E2D" w:rsidRPr="001633D5" w:rsidRDefault="00CF0E2D" w:rsidP="00A60D4B">
            <w:pPr>
              <w:pStyle w:val="Btablefigureunbold"/>
              <w:rPr>
                <w:szCs w:val="20"/>
              </w:rPr>
            </w:pPr>
            <w:r w:rsidRPr="001633D5">
              <w:rPr>
                <w:rFonts w:cs="Calibri"/>
                <w:color w:val="000000"/>
                <w:szCs w:val="20"/>
              </w:rPr>
              <w:t>975</w:t>
            </w:r>
          </w:p>
        </w:tc>
        <w:tc>
          <w:tcPr>
            <w:tcW w:w="964" w:type="dxa"/>
            <w:gridSpan w:val="2"/>
            <w:tcBorders>
              <w:top w:val="nil"/>
              <w:left w:val="nil"/>
              <w:bottom w:val="nil"/>
              <w:right w:val="nil"/>
            </w:tcBorders>
          </w:tcPr>
          <w:p w14:paraId="630E0935" w14:textId="77777777" w:rsidR="00CF0E2D" w:rsidRPr="001633D5" w:rsidRDefault="00CF0E2D" w:rsidP="00A60D4B">
            <w:pPr>
              <w:pStyle w:val="Btablefigureunbold"/>
              <w:rPr>
                <w:szCs w:val="20"/>
              </w:rPr>
            </w:pPr>
            <w:r w:rsidRPr="001633D5">
              <w:rPr>
                <w:rFonts w:cs="Calibri"/>
                <w:color w:val="000000"/>
                <w:szCs w:val="20"/>
              </w:rPr>
              <w:t>984</w:t>
            </w:r>
          </w:p>
        </w:tc>
        <w:tc>
          <w:tcPr>
            <w:tcW w:w="964" w:type="dxa"/>
            <w:gridSpan w:val="2"/>
            <w:tcBorders>
              <w:top w:val="nil"/>
              <w:left w:val="nil"/>
              <w:bottom w:val="nil"/>
              <w:right w:val="nil"/>
            </w:tcBorders>
          </w:tcPr>
          <w:p w14:paraId="2C84168A" w14:textId="77777777" w:rsidR="00CF0E2D" w:rsidRPr="001633D5" w:rsidRDefault="00CF0E2D" w:rsidP="00A60D4B">
            <w:pPr>
              <w:pStyle w:val="Btablefigureunbold"/>
              <w:rPr>
                <w:szCs w:val="20"/>
              </w:rPr>
            </w:pPr>
            <w:r w:rsidRPr="001633D5">
              <w:rPr>
                <w:rFonts w:cs="Calibri"/>
                <w:color w:val="000000"/>
                <w:szCs w:val="20"/>
              </w:rPr>
              <w:t>1,091</w:t>
            </w:r>
          </w:p>
        </w:tc>
        <w:tc>
          <w:tcPr>
            <w:tcW w:w="954" w:type="dxa"/>
            <w:gridSpan w:val="2"/>
            <w:tcBorders>
              <w:top w:val="nil"/>
              <w:left w:val="nil"/>
              <w:bottom w:val="nil"/>
              <w:right w:val="nil"/>
            </w:tcBorders>
          </w:tcPr>
          <w:p w14:paraId="62616F44" w14:textId="77777777" w:rsidR="00CF0E2D" w:rsidRPr="001633D5" w:rsidRDefault="00CF0E2D" w:rsidP="00A60D4B">
            <w:pPr>
              <w:pStyle w:val="Btablefigureunbold"/>
              <w:rPr>
                <w:b/>
                <w:bCs/>
                <w:szCs w:val="20"/>
              </w:rPr>
            </w:pPr>
            <w:r w:rsidRPr="001633D5">
              <w:rPr>
                <w:rFonts w:cs="Calibri"/>
                <w:b/>
                <w:bCs/>
                <w:color w:val="000000"/>
                <w:szCs w:val="20"/>
              </w:rPr>
              <w:t>4,01</w:t>
            </w:r>
            <w:r>
              <w:rPr>
                <w:rFonts w:cs="Calibri"/>
                <w:b/>
                <w:bCs/>
                <w:color w:val="000000"/>
                <w:szCs w:val="20"/>
              </w:rPr>
              <w:t>4</w:t>
            </w:r>
          </w:p>
        </w:tc>
      </w:tr>
      <w:tr w:rsidR="00CF0E2D" w:rsidRPr="00D60558" w14:paraId="5B949335" w14:textId="77777777" w:rsidTr="00A60D4B">
        <w:trPr>
          <w:gridAfter w:val="1"/>
          <w:wAfter w:w="9" w:type="dxa"/>
          <w:jc w:val="center"/>
        </w:trPr>
        <w:tc>
          <w:tcPr>
            <w:tcW w:w="3355" w:type="dxa"/>
            <w:tcBorders>
              <w:top w:val="nil"/>
              <w:left w:val="nil"/>
              <w:bottom w:val="nil"/>
              <w:right w:val="nil"/>
            </w:tcBorders>
          </w:tcPr>
          <w:p w14:paraId="60BF3D81" w14:textId="77777777" w:rsidR="00CF0E2D" w:rsidRPr="007A0C65" w:rsidRDefault="00CF0E2D" w:rsidP="00A60D4B">
            <w:pPr>
              <w:pStyle w:val="Btabletextunbold"/>
              <w:rPr>
                <w:szCs w:val="20"/>
              </w:rPr>
            </w:pPr>
            <w:r w:rsidRPr="007A0C65">
              <w:rPr>
                <w:rFonts w:cs="Calibri"/>
                <w:szCs w:val="20"/>
              </w:rPr>
              <w:t xml:space="preserve">COVID-19 Response – Community support package </w:t>
            </w:r>
          </w:p>
        </w:tc>
        <w:tc>
          <w:tcPr>
            <w:tcW w:w="1093" w:type="dxa"/>
            <w:tcBorders>
              <w:top w:val="nil"/>
              <w:left w:val="nil"/>
              <w:bottom w:val="nil"/>
              <w:right w:val="nil"/>
            </w:tcBorders>
          </w:tcPr>
          <w:p w14:paraId="23A77407"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6A1AF52D" w14:textId="77777777" w:rsidR="00CF0E2D" w:rsidRPr="001633D5" w:rsidRDefault="00CF0E2D" w:rsidP="00A60D4B">
            <w:pPr>
              <w:pStyle w:val="Btablefigureunbold"/>
              <w:rPr>
                <w:szCs w:val="20"/>
              </w:rPr>
            </w:pPr>
            <w:r w:rsidRPr="001633D5">
              <w:rPr>
                <w:rFonts w:cs="Calibri"/>
                <w:color w:val="000000"/>
                <w:szCs w:val="20"/>
              </w:rPr>
              <w:t>1,100</w:t>
            </w:r>
          </w:p>
        </w:tc>
        <w:tc>
          <w:tcPr>
            <w:tcW w:w="964" w:type="dxa"/>
            <w:gridSpan w:val="2"/>
            <w:tcBorders>
              <w:top w:val="nil"/>
              <w:left w:val="nil"/>
              <w:bottom w:val="nil"/>
              <w:right w:val="nil"/>
            </w:tcBorders>
          </w:tcPr>
          <w:p w14:paraId="273CA7E0"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5D00FEC3"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0A3A5623" w14:textId="77777777" w:rsidR="00CF0E2D" w:rsidRPr="001633D5" w:rsidRDefault="00CF0E2D" w:rsidP="00A60D4B">
            <w:pPr>
              <w:pStyle w:val="Btablefigureunbold"/>
              <w:rPr>
                <w:szCs w:val="20"/>
              </w:rPr>
            </w:pPr>
            <w:r w:rsidRPr="001633D5">
              <w:rPr>
                <w:rFonts w:cs="Calibri"/>
                <w:color w:val="000000"/>
                <w:szCs w:val="20"/>
              </w:rPr>
              <w:t>0</w:t>
            </w:r>
          </w:p>
        </w:tc>
        <w:tc>
          <w:tcPr>
            <w:tcW w:w="954" w:type="dxa"/>
            <w:gridSpan w:val="2"/>
            <w:tcBorders>
              <w:top w:val="nil"/>
              <w:left w:val="nil"/>
              <w:bottom w:val="nil"/>
              <w:right w:val="nil"/>
            </w:tcBorders>
          </w:tcPr>
          <w:p w14:paraId="7B072147" w14:textId="77777777" w:rsidR="00CF0E2D" w:rsidRPr="001633D5" w:rsidRDefault="00CF0E2D" w:rsidP="00A60D4B">
            <w:pPr>
              <w:pStyle w:val="Btablefigureunbold"/>
              <w:rPr>
                <w:b/>
                <w:bCs/>
                <w:szCs w:val="20"/>
              </w:rPr>
            </w:pPr>
            <w:r w:rsidRPr="001633D5">
              <w:rPr>
                <w:rFonts w:cs="Calibri"/>
                <w:b/>
                <w:bCs/>
                <w:color w:val="000000"/>
                <w:szCs w:val="20"/>
              </w:rPr>
              <w:t>1,100</w:t>
            </w:r>
          </w:p>
        </w:tc>
      </w:tr>
      <w:tr w:rsidR="00CF0E2D" w:rsidRPr="00D60558" w14:paraId="15F83F08" w14:textId="77777777" w:rsidTr="00A60D4B">
        <w:trPr>
          <w:gridAfter w:val="1"/>
          <w:wAfter w:w="9" w:type="dxa"/>
          <w:jc w:val="center"/>
        </w:trPr>
        <w:tc>
          <w:tcPr>
            <w:tcW w:w="3355" w:type="dxa"/>
            <w:tcBorders>
              <w:top w:val="nil"/>
              <w:left w:val="nil"/>
              <w:bottom w:val="nil"/>
              <w:right w:val="nil"/>
            </w:tcBorders>
          </w:tcPr>
          <w:p w14:paraId="6DE0402D" w14:textId="77777777" w:rsidR="00CF0E2D" w:rsidRPr="005357CD" w:rsidRDefault="00CF0E2D" w:rsidP="00A60D4B">
            <w:pPr>
              <w:pStyle w:val="Btabletextunbold"/>
              <w:rPr>
                <w:rFonts w:cs="Calibri"/>
                <w:i/>
                <w:iCs/>
                <w:szCs w:val="20"/>
              </w:rPr>
            </w:pPr>
            <w:r w:rsidRPr="005357CD">
              <w:rPr>
                <w:rFonts w:cs="Calibri"/>
                <w:i/>
                <w:iCs/>
                <w:color w:val="000000"/>
                <w:szCs w:val="20"/>
              </w:rPr>
              <w:t>COVID-19 response continuation</w:t>
            </w:r>
          </w:p>
        </w:tc>
        <w:tc>
          <w:tcPr>
            <w:tcW w:w="1093" w:type="dxa"/>
            <w:tcBorders>
              <w:top w:val="nil"/>
              <w:left w:val="nil"/>
              <w:bottom w:val="nil"/>
              <w:right w:val="nil"/>
            </w:tcBorders>
          </w:tcPr>
          <w:p w14:paraId="4F0AFC14" w14:textId="77777777" w:rsidR="00CF0E2D"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73755D4F" w14:textId="77777777" w:rsidR="00CF0E2D" w:rsidRPr="001633D5" w:rsidRDefault="00CF0E2D" w:rsidP="00A60D4B">
            <w:pPr>
              <w:pStyle w:val="Btablefigureunbold"/>
              <w:rPr>
                <w:szCs w:val="20"/>
              </w:rPr>
            </w:pPr>
          </w:p>
        </w:tc>
        <w:tc>
          <w:tcPr>
            <w:tcW w:w="964" w:type="dxa"/>
            <w:gridSpan w:val="2"/>
            <w:tcBorders>
              <w:top w:val="nil"/>
              <w:left w:val="nil"/>
              <w:bottom w:val="nil"/>
              <w:right w:val="nil"/>
            </w:tcBorders>
          </w:tcPr>
          <w:p w14:paraId="78899BED" w14:textId="77777777" w:rsidR="00CF0E2D" w:rsidRPr="001633D5" w:rsidRDefault="00CF0E2D" w:rsidP="00A60D4B">
            <w:pPr>
              <w:pStyle w:val="Btablefigureunbold"/>
              <w:rPr>
                <w:szCs w:val="20"/>
              </w:rPr>
            </w:pPr>
          </w:p>
        </w:tc>
        <w:tc>
          <w:tcPr>
            <w:tcW w:w="964" w:type="dxa"/>
            <w:gridSpan w:val="2"/>
            <w:tcBorders>
              <w:top w:val="nil"/>
              <w:left w:val="nil"/>
              <w:bottom w:val="nil"/>
              <w:right w:val="nil"/>
            </w:tcBorders>
          </w:tcPr>
          <w:p w14:paraId="522FD998" w14:textId="77777777" w:rsidR="00CF0E2D" w:rsidRPr="001633D5" w:rsidRDefault="00CF0E2D" w:rsidP="00A60D4B">
            <w:pPr>
              <w:pStyle w:val="Btablefigureunbold"/>
              <w:rPr>
                <w:szCs w:val="20"/>
              </w:rPr>
            </w:pPr>
          </w:p>
        </w:tc>
        <w:tc>
          <w:tcPr>
            <w:tcW w:w="964" w:type="dxa"/>
            <w:gridSpan w:val="2"/>
            <w:tcBorders>
              <w:top w:val="nil"/>
              <w:left w:val="nil"/>
              <w:bottom w:val="nil"/>
              <w:right w:val="nil"/>
            </w:tcBorders>
          </w:tcPr>
          <w:p w14:paraId="10BB77DC" w14:textId="77777777" w:rsidR="00CF0E2D" w:rsidRPr="001633D5" w:rsidRDefault="00CF0E2D" w:rsidP="00A60D4B">
            <w:pPr>
              <w:pStyle w:val="Btablefigureunbold"/>
              <w:rPr>
                <w:szCs w:val="20"/>
              </w:rPr>
            </w:pPr>
          </w:p>
        </w:tc>
        <w:tc>
          <w:tcPr>
            <w:tcW w:w="954" w:type="dxa"/>
            <w:gridSpan w:val="2"/>
            <w:tcBorders>
              <w:top w:val="nil"/>
              <w:left w:val="nil"/>
              <w:bottom w:val="nil"/>
              <w:right w:val="nil"/>
            </w:tcBorders>
          </w:tcPr>
          <w:p w14:paraId="02F1EC05" w14:textId="77777777" w:rsidR="00CF0E2D" w:rsidRPr="001633D5" w:rsidRDefault="00CF0E2D" w:rsidP="00A60D4B">
            <w:pPr>
              <w:pStyle w:val="Btablefigureunbold"/>
              <w:rPr>
                <w:b/>
                <w:bCs/>
                <w:szCs w:val="20"/>
              </w:rPr>
            </w:pPr>
          </w:p>
        </w:tc>
      </w:tr>
      <w:tr w:rsidR="00CF0E2D" w:rsidRPr="00D60558" w14:paraId="53FE415E" w14:textId="77777777" w:rsidTr="00A60D4B">
        <w:trPr>
          <w:gridAfter w:val="1"/>
          <w:wAfter w:w="9" w:type="dxa"/>
          <w:jc w:val="center"/>
        </w:trPr>
        <w:tc>
          <w:tcPr>
            <w:tcW w:w="3355" w:type="dxa"/>
            <w:tcBorders>
              <w:top w:val="nil"/>
              <w:left w:val="nil"/>
              <w:bottom w:val="nil"/>
              <w:right w:val="nil"/>
            </w:tcBorders>
          </w:tcPr>
          <w:p w14:paraId="6F96C6C2" w14:textId="77777777" w:rsidR="00CF0E2D" w:rsidRPr="007A0C65" w:rsidRDefault="00CF0E2D" w:rsidP="00A60D4B">
            <w:pPr>
              <w:pStyle w:val="Btabletextunbold"/>
              <w:rPr>
                <w:szCs w:val="20"/>
              </w:rPr>
            </w:pPr>
            <w:r>
              <w:rPr>
                <w:rFonts w:cs="Calibri"/>
                <w:color w:val="000000"/>
                <w:szCs w:val="20"/>
              </w:rPr>
              <w:t>–</w:t>
            </w:r>
            <w:r w:rsidRPr="007A0C65">
              <w:rPr>
                <w:rFonts w:cs="Calibri"/>
                <w:color w:val="000000"/>
                <w:szCs w:val="20"/>
              </w:rPr>
              <w:t xml:space="preserve"> Community Recovery Roadmap</w:t>
            </w:r>
          </w:p>
        </w:tc>
        <w:tc>
          <w:tcPr>
            <w:tcW w:w="1093" w:type="dxa"/>
            <w:tcBorders>
              <w:top w:val="nil"/>
              <w:left w:val="nil"/>
              <w:bottom w:val="nil"/>
              <w:right w:val="nil"/>
            </w:tcBorders>
          </w:tcPr>
          <w:p w14:paraId="065401CF"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5FD60317" w14:textId="77777777" w:rsidR="00CF0E2D" w:rsidRPr="001633D5" w:rsidRDefault="00CF0E2D" w:rsidP="00A60D4B">
            <w:pPr>
              <w:pStyle w:val="Btablefigureunbold"/>
              <w:rPr>
                <w:szCs w:val="20"/>
              </w:rPr>
            </w:pPr>
            <w:r>
              <w:rPr>
                <w:rFonts w:cs="Calibri"/>
                <w:color w:val="000000"/>
                <w:szCs w:val="20"/>
              </w:rPr>
              <w:t>-241</w:t>
            </w:r>
          </w:p>
        </w:tc>
        <w:tc>
          <w:tcPr>
            <w:tcW w:w="964" w:type="dxa"/>
            <w:gridSpan w:val="2"/>
            <w:tcBorders>
              <w:top w:val="nil"/>
              <w:left w:val="nil"/>
              <w:bottom w:val="nil"/>
              <w:right w:val="nil"/>
            </w:tcBorders>
          </w:tcPr>
          <w:p w14:paraId="30417F98"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5BC8B5D2"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3DF41DB2" w14:textId="77777777" w:rsidR="00CF0E2D" w:rsidRPr="001633D5" w:rsidRDefault="00CF0E2D" w:rsidP="00A60D4B">
            <w:pPr>
              <w:pStyle w:val="Btablefigureunbold"/>
              <w:rPr>
                <w:szCs w:val="20"/>
              </w:rPr>
            </w:pPr>
            <w:r w:rsidRPr="001633D5">
              <w:rPr>
                <w:rFonts w:cs="Calibri"/>
                <w:color w:val="000000"/>
                <w:szCs w:val="20"/>
              </w:rPr>
              <w:t>0</w:t>
            </w:r>
          </w:p>
        </w:tc>
        <w:tc>
          <w:tcPr>
            <w:tcW w:w="954" w:type="dxa"/>
            <w:gridSpan w:val="2"/>
            <w:tcBorders>
              <w:top w:val="nil"/>
              <w:left w:val="nil"/>
              <w:bottom w:val="nil"/>
              <w:right w:val="nil"/>
            </w:tcBorders>
          </w:tcPr>
          <w:p w14:paraId="5923F86D" w14:textId="77777777" w:rsidR="00CF0E2D" w:rsidRPr="001633D5" w:rsidRDefault="00CF0E2D" w:rsidP="00A60D4B">
            <w:pPr>
              <w:pStyle w:val="Btablefigureunbold"/>
              <w:rPr>
                <w:b/>
                <w:bCs/>
                <w:szCs w:val="20"/>
              </w:rPr>
            </w:pPr>
            <w:r>
              <w:rPr>
                <w:rFonts w:cs="Calibri"/>
                <w:b/>
                <w:bCs/>
                <w:color w:val="000000"/>
                <w:szCs w:val="20"/>
              </w:rPr>
              <w:t>-241</w:t>
            </w:r>
          </w:p>
        </w:tc>
      </w:tr>
      <w:tr w:rsidR="00CF0E2D" w:rsidRPr="00D60558" w14:paraId="7DC77C3C" w14:textId="77777777" w:rsidTr="00A60D4B">
        <w:trPr>
          <w:gridAfter w:val="1"/>
          <w:wAfter w:w="9" w:type="dxa"/>
          <w:jc w:val="center"/>
        </w:trPr>
        <w:tc>
          <w:tcPr>
            <w:tcW w:w="3355" w:type="dxa"/>
            <w:tcBorders>
              <w:top w:val="nil"/>
              <w:left w:val="nil"/>
              <w:bottom w:val="nil"/>
              <w:right w:val="nil"/>
            </w:tcBorders>
          </w:tcPr>
          <w:p w14:paraId="5C1E8FD5" w14:textId="77777777" w:rsidR="00CF0E2D" w:rsidRPr="007A0C65" w:rsidRDefault="00CF0E2D" w:rsidP="00A60D4B">
            <w:pPr>
              <w:pStyle w:val="Btabletextunbold"/>
              <w:rPr>
                <w:szCs w:val="20"/>
              </w:rPr>
            </w:pPr>
            <w:r>
              <w:rPr>
                <w:rFonts w:cs="Calibri"/>
                <w:color w:val="000000"/>
                <w:szCs w:val="20"/>
              </w:rPr>
              <w:t>–</w:t>
            </w:r>
            <w:r w:rsidRPr="007A0C65">
              <w:rPr>
                <w:rFonts w:cs="Calibri"/>
                <w:color w:val="000000"/>
                <w:szCs w:val="20"/>
              </w:rPr>
              <w:t xml:space="preserve"> More support to improve food security </w:t>
            </w:r>
          </w:p>
        </w:tc>
        <w:tc>
          <w:tcPr>
            <w:tcW w:w="1093" w:type="dxa"/>
            <w:tcBorders>
              <w:top w:val="nil"/>
              <w:left w:val="nil"/>
              <w:bottom w:val="nil"/>
              <w:right w:val="nil"/>
            </w:tcBorders>
          </w:tcPr>
          <w:p w14:paraId="1B80D2AC"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381EC05D"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0EC68C40"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71FF2C45"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655235AC" w14:textId="77777777" w:rsidR="00CF0E2D" w:rsidRPr="001633D5" w:rsidRDefault="00CF0E2D" w:rsidP="00A60D4B">
            <w:pPr>
              <w:pStyle w:val="Btablefigureunbold"/>
              <w:rPr>
                <w:szCs w:val="20"/>
              </w:rPr>
            </w:pPr>
            <w:r w:rsidRPr="001633D5">
              <w:rPr>
                <w:rFonts w:cs="Calibri"/>
                <w:color w:val="000000"/>
                <w:szCs w:val="20"/>
              </w:rPr>
              <w:t>0</w:t>
            </w:r>
          </w:p>
        </w:tc>
        <w:tc>
          <w:tcPr>
            <w:tcW w:w="954" w:type="dxa"/>
            <w:gridSpan w:val="2"/>
            <w:tcBorders>
              <w:top w:val="nil"/>
              <w:left w:val="nil"/>
              <w:bottom w:val="nil"/>
              <w:right w:val="nil"/>
            </w:tcBorders>
          </w:tcPr>
          <w:p w14:paraId="1DE1E2D3" w14:textId="77777777" w:rsidR="00CF0E2D" w:rsidRPr="001633D5" w:rsidRDefault="00CF0E2D" w:rsidP="00A60D4B">
            <w:pPr>
              <w:pStyle w:val="Btablefigureunbold"/>
              <w:rPr>
                <w:b/>
                <w:bCs/>
                <w:szCs w:val="20"/>
              </w:rPr>
            </w:pPr>
            <w:r w:rsidRPr="001633D5">
              <w:rPr>
                <w:rFonts w:cs="Calibri"/>
                <w:b/>
                <w:bCs/>
                <w:color w:val="000000"/>
                <w:szCs w:val="20"/>
              </w:rPr>
              <w:t>0</w:t>
            </w:r>
          </w:p>
        </w:tc>
      </w:tr>
      <w:tr w:rsidR="00CF0E2D" w:rsidRPr="00D60558" w14:paraId="53473BBC" w14:textId="77777777" w:rsidTr="00A60D4B">
        <w:trPr>
          <w:gridAfter w:val="1"/>
          <w:wAfter w:w="9" w:type="dxa"/>
          <w:jc w:val="center"/>
        </w:trPr>
        <w:tc>
          <w:tcPr>
            <w:tcW w:w="3355" w:type="dxa"/>
            <w:tcBorders>
              <w:top w:val="nil"/>
              <w:left w:val="nil"/>
              <w:bottom w:val="nil"/>
              <w:right w:val="nil"/>
            </w:tcBorders>
          </w:tcPr>
          <w:p w14:paraId="68F603DA" w14:textId="77777777" w:rsidR="00CF0E2D" w:rsidRPr="007A0C65" w:rsidRDefault="00CF0E2D" w:rsidP="00A60D4B">
            <w:pPr>
              <w:pStyle w:val="Btabletextunbold"/>
              <w:rPr>
                <w:szCs w:val="20"/>
              </w:rPr>
            </w:pPr>
            <w:r>
              <w:rPr>
                <w:rFonts w:cs="Calibri"/>
                <w:color w:val="000000"/>
                <w:szCs w:val="20"/>
              </w:rPr>
              <w:t>–</w:t>
            </w:r>
            <w:r w:rsidRPr="007A0C65">
              <w:rPr>
                <w:rFonts w:cs="Calibri"/>
                <w:color w:val="000000"/>
                <w:szCs w:val="20"/>
              </w:rPr>
              <w:t xml:space="preserve"> Refugee, asylum seeker and humanitarian support</w:t>
            </w:r>
          </w:p>
        </w:tc>
        <w:tc>
          <w:tcPr>
            <w:tcW w:w="1093" w:type="dxa"/>
            <w:tcBorders>
              <w:top w:val="nil"/>
              <w:left w:val="nil"/>
              <w:bottom w:val="nil"/>
              <w:right w:val="nil"/>
            </w:tcBorders>
          </w:tcPr>
          <w:p w14:paraId="40FEBE5A"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07D95BB7" w14:textId="77777777" w:rsidR="00CF0E2D" w:rsidRPr="001633D5" w:rsidRDefault="00CF0E2D" w:rsidP="00A60D4B">
            <w:pPr>
              <w:pStyle w:val="Btablefigureunbold"/>
              <w:rPr>
                <w:szCs w:val="20"/>
              </w:rPr>
            </w:pPr>
            <w:r w:rsidRPr="001633D5">
              <w:rPr>
                <w:szCs w:val="20"/>
              </w:rPr>
              <w:t>120</w:t>
            </w:r>
          </w:p>
        </w:tc>
        <w:tc>
          <w:tcPr>
            <w:tcW w:w="964" w:type="dxa"/>
            <w:gridSpan w:val="2"/>
            <w:tcBorders>
              <w:top w:val="nil"/>
              <w:left w:val="nil"/>
              <w:bottom w:val="nil"/>
              <w:right w:val="nil"/>
            </w:tcBorders>
          </w:tcPr>
          <w:p w14:paraId="38A026DD" w14:textId="77777777" w:rsidR="00CF0E2D" w:rsidRPr="001633D5" w:rsidRDefault="00CF0E2D" w:rsidP="00A60D4B">
            <w:pPr>
              <w:pStyle w:val="Btablefigureunbold"/>
              <w:rPr>
                <w:szCs w:val="20"/>
              </w:rPr>
            </w:pPr>
            <w:r w:rsidRPr="001633D5">
              <w:rPr>
                <w:szCs w:val="20"/>
              </w:rPr>
              <w:t>0</w:t>
            </w:r>
          </w:p>
        </w:tc>
        <w:tc>
          <w:tcPr>
            <w:tcW w:w="964" w:type="dxa"/>
            <w:gridSpan w:val="2"/>
            <w:tcBorders>
              <w:top w:val="nil"/>
              <w:left w:val="nil"/>
              <w:bottom w:val="nil"/>
              <w:right w:val="nil"/>
            </w:tcBorders>
          </w:tcPr>
          <w:p w14:paraId="72FFCCA4" w14:textId="77777777" w:rsidR="00CF0E2D" w:rsidRPr="001633D5" w:rsidRDefault="00CF0E2D" w:rsidP="00A60D4B">
            <w:pPr>
              <w:pStyle w:val="Btablefigureunbold"/>
              <w:rPr>
                <w:szCs w:val="20"/>
              </w:rPr>
            </w:pPr>
            <w:r w:rsidRPr="001633D5">
              <w:rPr>
                <w:szCs w:val="20"/>
              </w:rPr>
              <w:t>0</w:t>
            </w:r>
          </w:p>
        </w:tc>
        <w:tc>
          <w:tcPr>
            <w:tcW w:w="964" w:type="dxa"/>
            <w:gridSpan w:val="2"/>
            <w:tcBorders>
              <w:top w:val="nil"/>
              <w:left w:val="nil"/>
              <w:bottom w:val="nil"/>
              <w:right w:val="nil"/>
            </w:tcBorders>
          </w:tcPr>
          <w:p w14:paraId="5A5AA00B" w14:textId="77777777" w:rsidR="00CF0E2D" w:rsidRPr="001633D5" w:rsidRDefault="00CF0E2D" w:rsidP="00A60D4B">
            <w:pPr>
              <w:pStyle w:val="Btablefigureunbold"/>
              <w:rPr>
                <w:szCs w:val="20"/>
              </w:rPr>
            </w:pPr>
            <w:r w:rsidRPr="001633D5">
              <w:rPr>
                <w:szCs w:val="20"/>
              </w:rPr>
              <w:t>0</w:t>
            </w:r>
          </w:p>
        </w:tc>
        <w:tc>
          <w:tcPr>
            <w:tcW w:w="954" w:type="dxa"/>
            <w:gridSpan w:val="2"/>
            <w:tcBorders>
              <w:top w:val="nil"/>
              <w:left w:val="nil"/>
              <w:bottom w:val="nil"/>
              <w:right w:val="nil"/>
            </w:tcBorders>
          </w:tcPr>
          <w:p w14:paraId="61BAB88F" w14:textId="77777777" w:rsidR="00CF0E2D" w:rsidRPr="001633D5" w:rsidRDefault="00CF0E2D" w:rsidP="00A60D4B">
            <w:pPr>
              <w:pStyle w:val="Btablefigureunbold"/>
              <w:rPr>
                <w:b/>
                <w:bCs/>
                <w:szCs w:val="20"/>
              </w:rPr>
            </w:pPr>
            <w:r w:rsidRPr="001633D5">
              <w:rPr>
                <w:b/>
                <w:bCs/>
                <w:szCs w:val="20"/>
              </w:rPr>
              <w:t>120</w:t>
            </w:r>
          </w:p>
        </w:tc>
      </w:tr>
      <w:tr w:rsidR="00CF0E2D" w:rsidRPr="00D60558" w14:paraId="03337919" w14:textId="77777777" w:rsidTr="00A60D4B">
        <w:trPr>
          <w:gridAfter w:val="1"/>
          <w:wAfter w:w="9" w:type="dxa"/>
          <w:jc w:val="center"/>
        </w:trPr>
        <w:tc>
          <w:tcPr>
            <w:tcW w:w="3355" w:type="dxa"/>
            <w:tcBorders>
              <w:top w:val="nil"/>
              <w:left w:val="nil"/>
              <w:bottom w:val="nil"/>
              <w:right w:val="nil"/>
            </w:tcBorders>
          </w:tcPr>
          <w:p w14:paraId="6ECB89D0" w14:textId="77777777" w:rsidR="00CF0E2D" w:rsidRPr="007A0C65" w:rsidRDefault="00CF0E2D" w:rsidP="00A60D4B">
            <w:pPr>
              <w:pStyle w:val="Btabletextunbold"/>
              <w:rPr>
                <w:szCs w:val="20"/>
              </w:rPr>
            </w:pPr>
            <w:r w:rsidRPr="007A0C65">
              <w:rPr>
                <w:rFonts w:cs="Calibri"/>
                <w:color w:val="000000"/>
                <w:szCs w:val="20"/>
              </w:rPr>
              <w:t xml:space="preserve">Deliver a purpose-built facility with the Gugan Gulwan Youth Aboriginal Corporation </w:t>
            </w:r>
          </w:p>
        </w:tc>
        <w:tc>
          <w:tcPr>
            <w:tcW w:w="1093" w:type="dxa"/>
            <w:tcBorders>
              <w:top w:val="nil"/>
              <w:left w:val="nil"/>
              <w:bottom w:val="nil"/>
              <w:right w:val="nil"/>
            </w:tcBorders>
          </w:tcPr>
          <w:p w14:paraId="1172EDB2"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01158655" w14:textId="77777777" w:rsidR="00CF0E2D" w:rsidRPr="001633D5" w:rsidRDefault="00CF0E2D" w:rsidP="00A60D4B">
            <w:pPr>
              <w:pStyle w:val="Btablefigureunbold"/>
              <w:rPr>
                <w:szCs w:val="20"/>
              </w:rPr>
            </w:pPr>
            <w:r w:rsidRPr="001633D5">
              <w:rPr>
                <w:rFonts w:cs="Calibri"/>
                <w:color w:val="000000"/>
                <w:szCs w:val="20"/>
              </w:rPr>
              <w:t>2,000</w:t>
            </w:r>
          </w:p>
        </w:tc>
        <w:tc>
          <w:tcPr>
            <w:tcW w:w="964" w:type="dxa"/>
            <w:gridSpan w:val="2"/>
            <w:tcBorders>
              <w:top w:val="nil"/>
              <w:left w:val="nil"/>
              <w:bottom w:val="nil"/>
              <w:right w:val="nil"/>
            </w:tcBorders>
          </w:tcPr>
          <w:p w14:paraId="31CF14FD" w14:textId="77777777" w:rsidR="00CF0E2D" w:rsidRPr="001633D5" w:rsidRDefault="00CF0E2D" w:rsidP="00A60D4B">
            <w:pPr>
              <w:pStyle w:val="Btablefigureunbold"/>
              <w:rPr>
                <w:szCs w:val="20"/>
              </w:rPr>
            </w:pPr>
            <w:r w:rsidRPr="001633D5">
              <w:rPr>
                <w:rFonts w:cs="Calibri"/>
                <w:color w:val="000000"/>
                <w:szCs w:val="20"/>
              </w:rPr>
              <w:t>8,886</w:t>
            </w:r>
          </w:p>
        </w:tc>
        <w:tc>
          <w:tcPr>
            <w:tcW w:w="964" w:type="dxa"/>
            <w:gridSpan w:val="2"/>
            <w:tcBorders>
              <w:top w:val="nil"/>
              <w:left w:val="nil"/>
              <w:bottom w:val="nil"/>
              <w:right w:val="nil"/>
            </w:tcBorders>
          </w:tcPr>
          <w:p w14:paraId="70650AE5" w14:textId="77777777" w:rsidR="00CF0E2D" w:rsidRPr="001633D5" w:rsidRDefault="00CF0E2D" w:rsidP="00A60D4B">
            <w:pPr>
              <w:pStyle w:val="Btablefigureunbold"/>
              <w:rPr>
                <w:szCs w:val="20"/>
              </w:rPr>
            </w:pPr>
            <w:r w:rsidRPr="001633D5">
              <w:rPr>
                <w:rFonts w:cs="Calibri"/>
                <w:color w:val="000000"/>
                <w:szCs w:val="20"/>
              </w:rPr>
              <w:t>4,000</w:t>
            </w:r>
          </w:p>
        </w:tc>
        <w:tc>
          <w:tcPr>
            <w:tcW w:w="964" w:type="dxa"/>
            <w:gridSpan w:val="2"/>
            <w:tcBorders>
              <w:top w:val="nil"/>
              <w:left w:val="nil"/>
              <w:bottom w:val="nil"/>
              <w:right w:val="nil"/>
            </w:tcBorders>
          </w:tcPr>
          <w:p w14:paraId="6F5FE87D" w14:textId="77777777" w:rsidR="00CF0E2D" w:rsidRPr="001633D5" w:rsidRDefault="00CF0E2D" w:rsidP="00A60D4B">
            <w:pPr>
              <w:pStyle w:val="Btablefigureunbold"/>
              <w:rPr>
                <w:szCs w:val="20"/>
              </w:rPr>
            </w:pPr>
            <w:r w:rsidRPr="001633D5">
              <w:rPr>
                <w:rFonts w:cs="Calibri"/>
                <w:color w:val="000000"/>
                <w:szCs w:val="20"/>
              </w:rPr>
              <w:t>0</w:t>
            </w:r>
          </w:p>
        </w:tc>
        <w:tc>
          <w:tcPr>
            <w:tcW w:w="954" w:type="dxa"/>
            <w:gridSpan w:val="2"/>
            <w:tcBorders>
              <w:top w:val="nil"/>
              <w:left w:val="nil"/>
              <w:bottom w:val="nil"/>
              <w:right w:val="nil"/>
            </w:tcBorders>
          </w:tcPr>
          <w:p w14:paraId="4D66FE38" w14:textId="77777777" w:rsidR="00CF0E2D" w:rsidRPr="001633D5" w:rsidRDefault="00CF0E2D" w:rsidP="00A60D4B">
            <w:pPr>
              <w:pStyle w:val="Btablefigureunbold"/>
              <w:rPr>
                <w:b/>
                <w:bCs/>
                <w:szCs w:val="20"/>
              </w:rPr>
            </w:pPr>
            <w:r w:rsidRPr="001633D5">
              <w:rPr>
                <w:rFonts w:cs="Calibri"/>
                <w:b/>
                <w:bCs/>
                <w:color w:val="000000"/>
                <w:szCs w:val="20"/>
              </w:rPr>
              <w:t>14,886</w:t>
            </w:r>
          </w:p>
        </w:tc>
      </w:tr>
      <w:tr w:rsidR="00CF0E2D" w:rsidRPr="00D60558" w14:paraId="4B3CF02E" w14:textId="77777777" w:rsidTr="00A60D4B">
        <w:trPr>
          <w:gridAfter w:val="1"/>
          <w:wAfter w:w="9" w:type="dxa"/>
          <w:jc w:val="center"/>
        </w:trPr>
        <w:tc>
          <w:tcPr>
            <w:tcW w:w="3355" w:type="dxa"/>
            <w:tcBorders>
              <w:top w:val="nil"/>
              <w:left w:val="nil"/>
              <w:bottom w:val="nil"/>
              <w:right w:val="nil"/>
            </w:tcBorders>
          </w:tcPr>
          <w:p w14:paraId="68B963E2" w14:textId="77777777" w:rsidR="00CF0E2D" w:rsidRPr="007A0C65" w:rsidRDefault="00CF0E2D" w:rsidP="00A60D4B">
            <w:pPr>
              <w:pStyle w:val="Btabletextunbold"/>
              <w:rPr>
                <w:szCs w:val="20"/>
              </w:rPr>
            </w:pPr>
            <w:r w:rsidRPr="007A0C65">
              <w:rPr>
                <w:rFonts w:cs="Calibri"/>
                <w:color w:val="000000"/>
                <w:szCs w:val="20"/>
              </w:rPr>
              <w:t xml:space="preserve">Deliver a purpose-built facility with the Gugan Gulwan Youth Aboriginal Corporation </w:t>
            </w:r>
          </w:p>
        </w:tc>
        <w:tc>
          <w:tcPr>
            <w:tcW w:w="1093" w:type="dxa"/>
            <w:tcBorders>
              <w:top w:val="nil"/>
              <w:left w:val="nil"/>
              <w:bottom w:val="nil"/>
              <w:right w:val="nil"/>
            </w:tcBorders>
          </w:tcPr>
          <w:p w14:paraId="2B39D0F6"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64124183" w14:textId="77777777" w:rsidR="00CF0E2D" w:rsidRPr="001633D5" w:rsidRDefault="00CF0E2D" w:rsidP="00A60D4B">
            <w:pPr>
              <w:pStyle w:val="Btablefigureunbold"/>
              <w:rPr>
                <w:szCs w:val="20"/>
              </w:rPr>
            </w:pPr>
            <w:r w:rsidRPr="001633D5">
              <w:rPr>
                <w:rFonts w:cs="Calibri"/>
                <w:color w:val="000000"/>
                <w:szCs w:val="20"/>
              </w:rPr>
              <w:t>35</w:t>
            </w:r>
          </w:p>
        </w:tc>
        <w:tc>
          <w:tcPr>
            <w:tcW w:w="964" w:type="dxa"/>
            <w:gridSpan w:val="2"/>
            <w:tcBorders>
              <w:top w:val="nil"/>
              <w:left w:val="nil"/>
              <w:bottom w:val="nil"/>
              <w:right w:val="nil"/>
            </w:tcBorders>
          </w:tcPr>
          <w:p w14:paraId="2B6817C2" w14:textId="77777777" w:rsidR="00CF0E2D" w:rsidRPr="001633D5" w:rsidRDefault="00CF0E2D" w:rsidP="00A60D4B">
            <w:pPr>
              <w:pStyle w:val="Btablefigureunbold"/>
              <w:rPr>
                <w:szCs w:val="20"/>
              </w:rPr>
            </w:pPr>
            <w:r w:rsidRPr="001633D5">
              <w:rPr>
                <w:rFonts w:cs="Calibri"/>
                <w:color w:val="000000"/>
                <w:szCs w:val="20"/>
              </w:rPr>
              <w:t>286</w:t>
            </w:r>
          </w:p>
        </w:tc>
        <w:tc>
          <w:tcPr>
            <w:tcW w:w="964" w:type="dxa"/>
            <w:gridSpan w:val="2"/>
            <w:tcBorders>
              <w:top w:val="nil"/>
              <w:left w:val="nil"/>
              <w:bottom w:val="nil"/>
              <w:right w:val="nil"/>
            </w:tcBorders>
          </w:tcPr>
          <w:p w14:paraId="536426CC" w14:textId="77777777" w:rsidR="00CF0E2D" w:rsidRPr="001633D5" w:rsidRDefault="00CF0E2D" w:rsidP="00A60D4B">
            <w:pPr>
              <w:pStyle w:val="Btablefigureunbold"/>
              <w:rPr>
                <w:szCs w:val="20"/>
              </w:rPr>
            </w:pPr>
            <w:r w:rsidRPr="001633D5">
              <w:rPr>
                <w:rFonts w:cs="Calibri"/>
                <w:color w:val="000000"/>
                <w:szCs w:val="20"/>
              </w:rPr>
              <w:t>671</w:t>
            </w:r>
          </w:p>
        </w:tc>
        <w:tc>
          <w:tcPr>
            <w:tcW w:w="964" w:type="dxa"/>
            <w:gridSpan w:val="2"/>
            <w:tcBorders>
              <w:top w:val="nil"/>
              <w:left w:val="nil"/>
              <w:bottom w:val="nil"/>
              <w:right w:val="nil"/>
            </w:tcBorders>
          </w:tcPr>
          <w:p w14:paraId="4431383A" w14:textId="77777777" w:rsidR="00CF0E2D" w:rsidRPr="001633D5" w:rsidRDefault="00CF0E2D" w:rsidP="00A60D4B">
            <w:pPr>
              <w:pStyle w:val="Btablefigureunbold"/>
              <w:rPr>
                <w:szCs w:val="20"/>
              </w:rPr>
            </w:pPr>
            <w:r w:rsidRPr="001633D5">
              <w:rPr>
                <w:rFonts w:cs="Calibri"/>
                <w:color w:val="000000"/>
                <w:szCs w:val="20"/>
              </w:rPr>
              <w:t>415</w:t>
            </w:r>
          </w:p>
        </w:tc>
        <w:tc>
          <w:tcPr>
            <w:tcW w:w="954" w:type="dxa"/>
            <w:gridSpan w:val="2"/>
            <w:tcBorders>
              <w:top w:val="nil"/>
              <w:left w:val="nil"/>
              <w:bottom w:val="nil"/>
              <w:right w:val="nil"/>
            </w:tcBorders>
          </w:tcPr>
          <w:p w14:paraId="2F46D3ED" w14:textId="77777777" w:rsidR="00CF0E2D" w:rsidRPr="001633D5" w:rsidRDefault="00CF0E2D" w:rsidP="00A60D4B">
            <w:pPr>
              <w:pStyle w:val="Btablefigureunbold"/>
              <w:rPr>
                <w:b/>
                <w:bCs/>
                <w:szCs w:val="20"/>
              </w:rPr>
            </w:pPr>
            <w:r w:rsidRPr="001633D5">
              <w:rPr>
                <w:rFonts w:cs="Calibri"/>
                <w:b/>
                <w:bCs/>
                <w:color w:val="000000"/>
                <w:szCs w:val="20"/>
              </w:rPr>
              <w:t>1,407</w:t>
            </w:r>
          </w:p>
        </w:tc>
      </w:tr>
      <w:tr w:rsidR="00CF0E2D" w:rsidRPr="00D60558" w14:paraId="1B04E79D" w14:textId="77777777" w:rsidTr="00A60D4B">
        <w:trPr>
          <w:gridAfter w:val="1"/>
          <w:wAfter w:w="9" w:type="dxa"/>
          <w:jc w:val="center"/>
        </w:trPr>
        <w:tc>
          <w:tcPr>
            <w:tcW w:w="3355" w:type="dxa"/>
            <w:tcBorders>
              <w:top w:val="nil"/>
              <w:left w:val="nil"/>
              <w:bottom w:val="nil"/>
              <w:right w:val="nil"/>
            </w:tcBorders>
          </w:tcPr>
          <w:p w14:paraId="7BD700AE" w14:textId="77777777" w:rsidR="00CF0E2D" w:rsidRPr="007A0C65" w:rsidRDefault="00CF0E2D" w:rsidP="00A60D4B">
            <w:pPr>
              <w:pStyle w:val="Btabletextunbold"/>
              <w:rPr>
                <w:szCs w:val="20"/>
              </w:rPr>
            </w:pPr>
            <w:r w:rsidRPr="007A0C65">
              <w:rPr>
                <w:rFonts w:cs="Calibri"/>
                <w:color w:val="000000"/>
                <w:szCs w:val="20"/>
              </w:rPr>
              <w:t>Healing and Reconciliation Fund</w:t>
            </w:r>
            <w:r w:rsidRPr="001633D5">
              <w:rPr>
                <w:rFonts w:cs="Calibri"/>
                <w:color w:val="000000"/>
                <w:szCs w:val="20"/>
                <w:vertAlign w:val="superscript"/>
              </w:rPr>
              <w:t>2</w:t>
            </w:r>
          </w:p>
        </w:tc>
        <w:tc>
          <w:tcPr>
            <w:tcW w:w="1093" w:type="dxa"/>
            <w:tcBorders>
              <w:top w:val="nil"/>
              <w:left w:val="nil"/>
              <w:bottom w:val="nil"/>
              <w:right w:val="nil"/>
            </w:tcBorders>
          </w:tcPr>
          <w:p w14:paraId="0242099A"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3A770C1F" w14:textId="77777777" w:rsidR="00CF0E2D" w:rsidRPr="001633D5" w:rsidRDefault="00CF0E2D" w:rsidP="00A60D4B">
            <w:pPr>
              <w:pStyle w:val="Btablefigureunbold"/>
              <w:rPr>
                <w:szCs w:val="20"/>
              </w:rPr>
            </w:pPr>
            <w:r w:rsidRPr="001633D5">
              <w:rPr>
                <w:rFonts w:cs="Calibri"/>
                <w:color w:val="000000"/>
                <w:szCs w:val="20"/>
              </w:rPr>
              <w:t>463</w:t>
            </w:r>
          </w:p>
        </w:tc>
        <w:tc>
          <w:tcPr>
            <w:tcW w:w="964" w:type="dxa"/>
            <w:gridSpan w:val="2"/>
            <w:tcBorders>
              <w:top w:val="nil"/>
              <w:left w:val="nil"/>
              <w:bottom w:val="nil"/>
              <w:right w:val="nil"/>
            </w:tcBorders>
          </w:tcPr>
          <w:p w14:paraId="0418DD6E" w14:textId="77777777" w:rsidR="00CF0E2D" w:rsidRPr="001633D5" w:rsidRDefault="00CF0E2D" w:rsidP="00A60D4B">
            <w:pPr>
              <w:pStyle w:val="Btablefigureunbold"/>
              <w:rPr>
                <w:szCs w:val="20"/>
              </w:rPr>
            </w:pPr>
            <w:r w:rsidRPr="001633D5">
              <w:rPr>
                <w:rFonts w:cs="Calibri"/>
                <w:color w:val="000000"/>
                <w:szCs w:val="20"/>
              </w:rPr>
              <w:t>1,546</w:t>
            </w:r>
          </w:p>
        </w:tc>
        <w:tc>
          <w:tcPr>
            <w:tcW w:w="964" w:type="dxa"/>
            <w:gridSpan w:val="2"/>
            <w:tcBorders>
              <w:top w:val="nil"/>
              <w:left w:val="nil"/>
              <w:bottom w:val="nil"/>
              <w:right w:val="nil"/>
            </w:tcBorders>
          </w:tcPr>
          <w:p w14:paraId="48F3791C" w14:textId="77777777" w:rsidR="00CF0E2D" w:rsidRPr="001633D5" w:rsidRDefault="00CF0E2D" w:rsidP="00A60D4B">
            <w:pPr>
              <w:pStyle w:val="Btablefigureunbold"/>
              <w:rPr>
                <w:szCs w:val="20"/>
              </w:rPr>
            </w:pPr>
            <w:r w:rsidRPr="001633D5">
              <w:rPr>
                <w:rFonts w:cs="Calibri"/>
                <w:color w:val="000000"/>
                <w:szCs w:val="20"/>
              </w:rPr>
              <w:t>2,000</w:t>
            </w:r>
          </w:p>
        </w:tc>
        <w:tc>
          <w:tcPr>
            <w:tcW w:w="964" w:type="dxa"/>
            <w:gridSpan w:val="2"/>
            <w:tcBorders>
              <w:top w:val="nil"/>
              <w:left w:val="nil"/>
              <w:bottom w:val="nil"/>
              <w:right w:val="nil"/>
            </w:tcBorders>
          </w:tcPr>
          <w:p w14:paraId="3F7A1132" w14:textId="77777777" w:rsidR="00CF0E2D" w:rsidRPr="001633D5" w:rsidRDefault="00CF0E2D" w:rsidP="00A60D4B">
            <w:pPr>
              <w:pStyle w:val="Btablefigureunbold"/>
              <w:rPr>
                <w:szCs w:val="20"/>
              </w:rPr>
            </w:pPr>
            <w:r w:rsidRPr="001633D5">
              <w:rPr>
                <w:rFonts w:cs="Calibri"/>
                <w:color w:val="000000"/>
                <w:szCs w:val="20"/>
              </w:rPr>
              <w:t>2,000</w:t>
            </w:r>
          </w:p>
        </w:tc>
        <w:tc>
          <w:tcPr>
            <w:tcW w:w="954" w:type="dxa"/>
            <w:gridSpan w:val="2"/>
            <w:tcBorders>
              <w:top w:val="nil"/>
              <w:left w:val="nil"/>
              <w:bottom w:val="nil"/>
              <w:right w:val="nil"/>
            </w:tcBorders>
          </w:tcPr>
          <w:p w14:paraId="48F285D4" w14:textId="77777777" w:rsidR="00CF0E2D" w:rsidRPr="001633D5" w:rsidRDefault="00CF0E2D" w:rsidP="00A60D4B">
            <w:pPr>
              <w:pStyle w:val="Btablefigureunbold"/>
              <w:rPr>
                <w:b/>
                <w:bCs/>
                <w:szCs w:val="20"/>
              </w:rPr>
            </w:pPr>
            <w:r w:rsidRPr="001633D5">
              <w:rPr>
                <w:rFonts w:cs="Calibri"/>
                <w:b/>
                <w:bCs/>
                <w:color w:val="000000"/>
                <w:szCs w:val="20"/>
              </w:rPr>
              <w:t>6,009</w:t>
            </w:r>
          </w:p>
        </w:tc>
      </w:tr>
      <w:tr w:rsidR="00CF0E2D" w:rsidRPr="00D60558" w14:paraId="06BEA766" w14:textId="77777777" w:rsidTr="00A60D4B">
        <w:trPr>
          <w:gridAfter w:val="1"/>
          <w:wAfter w:w="9" w:type="dxa"/>
          <w:jc w:val="center"/>
        </w:trPr>
        <w:tc>
          <w:tcPr>
            <w:tcW w:w="3355" w:type="dxa"/>
            <w:tcBorders>
              <w:top w:val="nil"/>
              <w:left w:val="nil"/>
              <w:bottom w:val="nil"/>
              <w:right w:val="nil"/>
            </w:tcBorders>
          </w:tcPr>
          <w:p w14:paraId="26364475" w14:textId="77777777" w:rsidR="00CF0E2D" w:rsidRPr="005357CD" w:rsidRDefault="00CF0E2D" w:rsidP="00A60D4B">
            <w:pPr>
              <w:pStyle w:val="Btabletextunbold"/>
              <w:rPr>
                <w:rFonts w:cs="Calibri"/>
                <w:i/>
                <w:iCs/>
                <w:color w:val="000000"/>
                <w:szCs w:val="20"/>
              </w:rPr>
            </w:pPr>
            <w:r w:rsidRPr="005357CD">
              <w:rPr>
                <w:rFonts w:cs="Calibri"/>
                <w:i/>
                <w:iCs/>
                <w:color w:val="000000"/>
                <w:szCs w:val="20"/>
              </w:rPr>
              <w:t>Implementing legislative agenda</w:t>
            </w:r>
          </w:p>
        </w:tc>
        <w:tc>
          <w:tcPr>
            <w:tcW w:w="1093" w:type="dxa"/>
            <w:tcBorders>
              <w:top w:val="nil"/>
              <w:left w:val="nil"/>
              <w:bottom w:val="nil"/>
              <w:right w:val="nil"/>
            </w:tcBorders>
          </w:tcPr>
          <w:p w14:paraId="0AED0EDB" w14:textId="77777777" w:rsidR="00CF0E2D"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435F8C93" w14:textId="77777777" w:rsidR="00CF0E2D" w:rsidRPr="001633D5" w:rsidRDefault="00CF0E2D" w:rsidP="00A60D4B">
            <w:pPr>
              <w:pStyle w:val="Btablefigureunbold"/>
              <w:rPr>
                <w:szCs w:val="20"/>
              </w:rPr>
            </w:pPr>
          </w:p>
        </w:tc>
        <w:tc>
          <w:tcPr>
            <w:tcW w:w="964" w:type="dxa"/>
            <w:gridSpan w:val="2"/>
            <w:tcBorders>
              <w:top w:val="nil"/>
              <w:left w:val="nil"/>
              <w:bottom w:val="nil"/>
              <w:right w:val="nil"/>
            </w:tcBorders>
          </w:tcPr>
          <w:p w14:paraId="43A0B2E7" w14:textId="77777777" w:rsidR="00CF0E2D" w:rsidRPr="001633D5" w:rsidRDefault="00CF0E2D" w:rsidP="00A60D4B">
            <w:pPr>
              <w:pStyle w:val="Btablefigureunbold"/>
              <w:rPr>
                <w:szCs w:val="20"/>
              </w:rPr>
            </w:pPr>
          </w:p>
        </w:tc>
        <w:tc>
          <w:tcPr>
            <w:tcW w:w="964" w:type="dxa"/>
            <w:gridSpan w:val="2"/>
            <w:tcBorders>
              <w:top w:val="nil"/>
              <w:left w:val="nil"/>
              <w:bottom w:val="nil"/>
              <w:right w:val="nil"/>
            </w:tcBorders>
          </w:tcPr>
          <w:p w14:paraId="06FC170C" w14:textId="77777777" w:rsidR="00CF0E2D" w:rsidRPr="001633D5" w:rsidRDefault="00CF0E2D" w:rsidP="00A60D4B">
            <w:pPr>
              <w:pStyle w:val="Btablefigureunbold"/>
              <w:rPr>
                <w:szCs w:val="20"/>
              </w:rPr>
            </w:pPr>
          </w:p>
        </w:tc>
        <w:tc>
          <w:tcPr>
            <w:tcW w:w="964" w:type="dxa"/>
            <w:gridSpan w:val="2"/>
            <w:tcBorders>
              <w:top w:val="nil"/>
              <w:left w:val="nil"/>
              <w:bottom w:val="nil"/>
              <w:right w:val="nil"/>
            </w:tcBorders>
          </w:tcPr>
          <w:p w14:paraId="100CD3A5" w14:textId="77777777" w:rsidR="00CF0E2D" w:rsidRPr="001633D5" w:rsidRDefault="00CF0E2D" w:rsidP="00A60D4B">
            <w:pPr>
              <w:pStyle w:val="Btablefigureunbold"/>
              <w:rPr>
                <w:szCs w:val="20"/>
              </w:rPr>
            </w:pPr>
          </w:p>
        </w:tc>
        <w:tc>
          <w:tcPr>
            <w:tcW w:w="954" w:type="dxa"/>
            <w:gridSpan w:val="2"/>
            <w:tcBorders>
              <w:top w:val="nil"/>
              <w:left w:val="nil"/>
              <w:bottom w:val="nil"/>
              <w:right w:val="nil"/>
            </w:tcBorders>
          </w:tcPr>
          <w:p w14:paraId="572021D4" w14:textId="77777777" w:rsidR="00CF0E2D" w:rsidRPr="001633D5" w:rsidRDefault="00CF0E2D" w:rsidP="00A60D4B">
            <w:pPr>
              <w:pStyle w:val="Btablefigureunbold"/>
              <w:rPr>
                <w:b/>
                <w:bCs/>
                <w:szCs w:val="20"/>
              </w:rPr>
            </w:pPr>
          </w:p>
        </w:tc>
      </w:tr>
      <w:tr w:rsidR="00CF0E2D" w:rsidRPr="00D60558" w14:paraId="5B70CE05" w14:textId="77777777" w:rsidTr="00A60D4B">
        <w:trPr>
          <w:gridAfter w:val="1"/>
          <w:wAfter w:w="9" w:type="dxa"/>
          <w:jc w:val="center"/>
        </w:trPr>
        <w:tc>
          <w:tcPr>
            <w:tcW w:w="3355" w:type="dxa"/>
            <w:tcBorders>
              <w:top w:val="nil"/>
              <w:left w:val="nil"/>
              <w:bottom w:val="nil"/>
              <w:right w:val="nil"/>
            </w:tcBorders>
          </w:tcPr>
          <w:p w14:paraId="5B289E50" w14:textId="77777777" w:rsidR="00CF0E2D" w:rsidRPr="007A0C65" w:rsidRDefault="00CF0E2D" w:rsidP="00A60D4B">
            <w:pPr>
              <w:pStyle w:val="Btabletextunbold"/>
              <w:rPr>
                <w:szCs w:val="20"/>
              </w:rPr>
            </w:pPr>
            <w:r>
              <w:rPr>
                <w:rFonts w:cs="Calibri"/>
                <w:color w:val="000000"/>
                <w:szCs w:val="20"/>
              </w:rPr>
              <w:t>–</w:t>
            </w:r>
            <w:r w:rsidRPr="007A0C65">
              <w:rPr>
                <w:rFonts w:cs="Calibri"/>
                <w:color w:val="000000"/>
                <w:szCs w:val="20"/>
              </w:rPr>
              <w:t xml:space="preserve"> Delivering the Multicultural Recognition Act </w:t>
            </w:r>
          </w:p>
        </w:tc>
        <w:tc>
          <w:tcPr>
            <w:tcW w:w="1093" w:type="dxa"/>
            <w:tcBorders>
              <w:top w:val="nil"/>
              <w:left w:val="nil"/>
              <w:bottom w:val="nil"/>
              <w:right w:val="nil"/>
            </w:tcBorders>
          </w:tcPr>
          <w:p w14:paraId="404E4DFC" w14:textId="77777777" w:rsidR="00CF0E2D" w:rsidRPr="00D60558" w:rsidRDefault="00CF0E2D" w:rsidP="00A60D4B">
            <w:pPr>
              <w:pStyle w:val="Btablefigureunbold"/>
              <w:ind w:left="0" w:firstLine="0"/>
              <w:jc w:val="left"/>
              <w:rPr>
                <w:rFonts w:cs="Calibri"/>
                <w:color w:val="000000"/>
                <w:szCs w:val="20"/>
              </w:rPr>
            </w:pPr>
            <w:r w:rsidRPr="008C6908">
              <w:rPr>
                <w:rFonts w:cs="Calibri"/>
                <w:color w:val="000000"/>
                <w:szCs w:val="20"/>
              </w:rPr>
              <w:t>Net cost</w:t>
            </w:r>
          </w:p>
        </w:tc>
        <w:tc>
          <w:tcPr>
            <w:tcW w:w="964" w:type="dxa"/>
            <w:gridSpan w:val="2"/>
            <w:tcBorders>
              <w:top w:val="nil"/>
              <w:left w:val="nil"/>
              <w:bottom w:val="nil"/>
              <w:right w:val="nil"/>
            </w:tcBorders>
          </w:tcPr>
          <w:p w14:paraId="17129E1B" w14:textId="77777777" w:rsidR="00CF0E2D" w:rsidRPr="001633D5" w:rsidRDefault="00CF0E2D" w:rsidP="00A60D4B">
            <w:pPr>
              <w:pStyle w:val="Btablefigureunbold"/>
              <w:rPr>
                <w:szCs w:val="20"/>
              </w:rPr>
            </w:pPr>
            <w:r w:rsidRPr="001633D5">
              <w:rPr>
                <w:rFonts w:cs="Calibri"/>
                <w:color w:val="000000"/>
                <w:szCs w:val="20"/>
              </w:rPr>
              <w:t>218</w:t>
            </w:r>
          </w:p>
        </w:tc>
        <w:tc>
          <w:tcPr>
            <w:tcW w:w="964" w:type="dxa"/>
            <w:gridSpan w:val="2"/>
            <w:tcBorders>
              <w:top w:val="nil"/>
              <w:left w:val="nil"/>
              <w:bottom w:val="nil"/>
              <w:right w:val="nil"/>
            </w:tcBorders>
          </w:tcPr>
          <w:p w14:paraId="40483851" w14:textId="77777777" w:rsidR="00CF0E2D" w:rsidRPr="001633D5" w:rsidRDefault="00CF0E2D" w:rsidP="00A60D4B">
            <w:pPr>
              <w:pStyle w:val="Btablefigureunbold"/>
              <w:rPr>
                <w:szCs w:val="20"/>
              </w:rPr>
            </w:pPr>
            <w:r w:rsidRPr="001633D5">
              <w:rPr>
                <w:rFonts w:cs="Calibri"/>
                <w:color w:val="000000"/>
                <w:szCs w:val="20"/>
              </w:rPr>
              <w:t>267</w:t>
            </w:r>
          </w:p>
        </w:tc>
        <w:tc>
          <w:tcPr>
            <w:tcW w:w="964" w:type="dxa"/>
            <w:gridSpan w:val="2"/>
            <w:tcBorders>
              <w:top w:val="nil"/>
              <w:left w:val="nil"/>
              <w:bottom w:val="nil"/>
              <w:right w:val="nil"/>
            </w:tcBorders>
          </w:tcPr>
          <w:p w14:paraId="2DA55258"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3A54C86B" w14:textId="77777777" w:rsidR="00CF0E2D" w:rsidRPr="001633D5" w:rsidRDefault="00CF0E2D" w:rsidP="00A60D4B">
            <w:pPr>
              <w:pStyle w:val="Btablefigureunbold"/>
              <w:rPr>
                <w:szCs w:val="20"/>
              </w:rPr>
            </w:pPr>
            <w:r w:rsidRPr="001633D5">
              <w:rPr>
                <w:rFonts w:cs="Calibri"/>
                <w:color w:val="000000"/>
                <w:szCs w:val="20"/>
              </w:rPr>
              <w:t>0</w:t>
            </w:r>
          </w:p>
        </w:tc>
        <w:tc>
          <w:tcPr>
            <w:tcW w:w="954" w:type="dxa"/>
            <w:gridSpan w:val="2"/>
            <w:tcBorders>
              <w:top w:val="nil"/>
              <w:left w:val="nil"/>
              <w:bottom w:val="nil"/>
              <w:right w:val="nil"/>
            </w:tcBorders>
          </w:tcPr>
          <w:p w14:paraId="61999187" w14:textId="77777777" w:rsidR="00CF0E2D" w:rsidRPr="001633D5" w:rsidRDefault="00CF0E2D" w:rsidP="00A60D4B">
            <w:pPr>
              <w:pStyle w:val="Btablefigureunbold"/>
              <w:rPr>
                <w:b/>
                <w:bCs/>
                <w:szCs w:val="20"/>
              </w:rPr>
            </w:pPr>
            <w:r w:rsidRPr="001633D5">
              <w:rPr>
                <w:rFonts w:cs="Calibri"/>
                <w:b/>
                <w:bCs/>
                <w:color w:val="000000"/>
                <w:szCs w:val="20"/>
              </w:rPr>
              <w:t>485</w:t>
            </w:r>
          </w:p>
        </w:tc>
      </w:tr>
      <w:tr w:rsidR="00CF0E2D" w:rsidRPr="00D60558" w14:paraId="43E6CEF5" w14:textId="77777777" w:rsidTr="00A60D4B">
        <w:trPr>
          <w:gridAfter w:val="1"/>
          <w:wAfter w:w="9" w:type="dxa"/>
          <w:jc w:val="center"/>
        </w:trPr>
        <w:tc>
          <w:tcPr>
            <w:tcW w:w="3355" w:type="dxa"/>
            <w:tcBorders>
              <w:top w:val="nil"/>
              <w:left w:val="nil"/>
              <w:bottom w:val="nil"/>
              <w:right w:val="nil"/>
            </w:tcBorders>
          </w:tcPr>
          <w:p w14:paraId="119C77D3" w14:textId="77777777" w:rsidR="00CF0E2D" w:rsidRPr="007A0C65" w:rsidRDefault="00CF0E2D" w:rsidP="00A60D4B">
            <w:pPr>
              <w:pStyle w:val="Btabletextunbold"/>
              <w:rPr>
                <w:szCs w:val="20"/>
              </w:rPr>
            </w:pPr>
            <w:r>
              <w:rPr>
                <w:rFonts w:cs="Calibri"/>
                <w:color w:val="000000"/>
                <w:szCs w:val="20"/>
              </w:rPr>
              <w:t>–</w:t>
            </w:r>
            <w:r w:rsidRPr="007A0C65">
              <w:rPr>
                <w:rFonts w:cs="Calibri"/>
                <w:color w:val="000000"/>
                <w:szCs w:val="20"/>
              </w:rPr>
              <w:t xml:space="preserve"> Modernising the </w:t>
            </w:r>
            <w:r w:rsidRPr="005D428A">
              <w:rPr>
                <w:rFonts w:cs="Calibri"/>
                <w:i/>
                <w:iCs/>
                <w:color w:val="000000"/>
                <w:szCs w:val="20"/>
              </w:rPr>
              <w:t>Children and Young People Act 2008</w:t>
            </w:r>
          </w:p>
        </w:tc>
        <w:tc>
          <w:tcPr>
            <w:tcW w:w="1093" w:type="dxa"/>
            <w:tcBorders>
              <w:top w:val="nil"/>
              <w:left w:val="nil"/>
              <w:bottom w:val="nil"/>
              <w:right w:val="nil"/>
            </w:tcBorders>
          </w:tcPr>
          <w:p w14:paraId="3AADA39B" w14:textId="77777777" w:rsidR="00CF0E2D" w:rsidRPr="00D60558" w:rsidRDefault="00CF0E2D" w:rsidP="00A60D4B">
            <w:pPr>
              <w:pStyle w:val="Btablefigureunbold"/>
              <w:ind w:left="0" w:firstLine="0"/>
              <w:jc w:val="left"/>
              <w:rPr>
                <w:rFonts w:cs="Calibri"/>
                <w:color w:val="000000"/>
                <w:szCs w:val="20"/>
              </w:rPr>
            </w:pPr>
            <w:r w:rsidRPr="008C6908">
              <w:rPr>
                <w:rFonts w:cs="Calibri"/>
                <w:color w:val="000000"/>
                <w:szCs w:val="20"/>
              </w:rPr>
              <w:t>Net cost</w:t>
            </w:r>
          </w:p>
        </w:tc>
        <w:tc>
          <w:tcPr>
            <w:tcW w:w="964" w:type="dxa"/>
            <w:gridSpan w:val="2"/>
            <w:tcBorders>
              <w:top w:val="nil"/>
              <w:left w:val="nil"/>
              <w:bottom w:val="nil"/>
              <w:right w:val="nil"/>
            </w:tcBorders>
          </w:tcPr>
          <w:p w14:paraId="326A55DD" w14:textId="77777777" w:rsidR="00CF0E2D" w:rsidRPr="001633D5" w:rsidRDefault="00CF0E2D" w:rsidP="00A60D4B">
            <w:pPr>
              <w:pStyle w:val="Btablefigureunbold"/>
              <w:rPr>
                <w:szCs w:val="20"/>
              </w:rPr>
            </w:pPr>
            <w:r w:rsidRPr="001633D5">
              <w:rPr>
                <w:rFonts w:cs="Calibri"/>
                <w:color w:val="000000"/>
                <w:szCs w:val="20"/>
              </w:rPr>
              <w:t>597</w:t>
            </w:r>
          </w:p>
        </w:tc>
        <w:tc>
          <w:tcPr>
            <w:tcW w:w="964" w:type="dxa"/>
            <w:gridSpan w:val="2"/>
            <w:tcBorders>
              <w:top w:val="nil"/>
              <w:left w:val="nil"/>
              <w:bottom w:val="nil"/>
              <w:right w:val="nil"/>
            </w:tcBorders>
          </w:tcPr>
          <w:p w14:paraId="346CCFFC" w14:textId="77777777" w:rsidR="00CF0E2D" w:rsidRPr="001633D5" w:rsidRDefault="00CF0E2D" w:rsidP="00A60D4B">
            <w:pPr>
              <w:pStyle w:val="Btablefigureunbold"/>
              <w:rPr>
                <w:szCs w:val="20"/>
              </w:rPr>
            </w:pPr>
            <w:r w:rsidRPr="001633D5">
              <w:rPr>
                <w:rFonts w:cs="Calibri"/>
                <w:color w:val="000000"/>
                <w:szCs w:val="20"/>
              </w:rPr>
              <w:t>783</w:t>
            </w:r>
          </w:p>
        </w:tc>
        <w:tc>
          <w:tcPr>
            <w:tcW w:w="964" w:type="dxa"/>
            <w:gridSpan w:val="2"/>
            <w:tcBorders>
              <w:top w:val="nil"/>
              <w:left w:val="nil"/>
              <w:bottom w:val="nil"/>
              <w:right w:val="nil"/>
            </w:tcBorders>
          </w:tcPr>
          <w:p w14:paraId="4D73C213" w14:textId="77777777" w:rsidR="00CF0E2D" w:rsidRPr="001633D5" w:rsidRDefault="00CF0E2D" w:rsidP="00A60D4B">
            <w:pPr>
              <w:pStyle w:val="Btablefigureunbold"/>
              <w:rPr>
                <w:szCs w:val="20"/>
              </w:rPr>
            </w:pPr>
            <w:r w:rsidRPr="001633D5">
              <w:rPr>
                <w:rFonts w:cs="Calibri"/>
                <w:color w:val="000000"/>
                <w:szCs w:val="20"/>
              </w:rPr>
              <w:t>595</w:t>
            </w:r>
          </w:p>
        </w:tc>
        <w:tc>
          <w:tcPr>
            <w:tcW w:w="964" w:type="dxa"/>
            <w:gridSpan w:val="2"/>
            <w:tcBorders>
              <w:top w:val="nil"/>
              <w:left w:val="nil"/>
              <w:bottom w:val="nil"/>
              <w:right w:val="nil"/>
            </w:tcBorders>
          </w:tcPr>
          <w:p w14:paraId="6CE93056" w14:textId="77777777" w:rsidR="00CF0E2D" w:rsidRPr="001633D5" w:rsidRDefault="00CF0E2D" w:rsidP="00A60D4B">
            <w:pPr>
              <w:pStyle w:val="Btablefigureunbold"/>
              <w:rPr>
                <w:szCs w:val="20"/>
              </w:rPr>
            </w:pPr>
            <w:r w:rsidRPr="001633D5">
              <w:rPr>
                <w:rFonts w:cs="Calibri"/>
                <w:color w:val="000000"/>
                <w:szCs w:val="20"/>
              </w:rPr>
              <w:t>0</w:t>
            </w:r>
          </w:p>
        </w:tc>
        <w:tc>
          <w:tcPr>
            <w:tcW w:w="954" w:type="dxa"/>
            <w:gridSpan w:val="2"/>
            <w:tcBorders>
              <w:top w:val="nil"/>
              <w:left w:val="nil"/>
              <w:bottom w:val="nil"/>
              <w:right w:val="nil"/>
            </w:tcBorders>
          </w:tcPr>
          <w:p w14:paraId="48F0407D" w14:textId="77777777" w:rsidR="00CF0E2D" w:rsidRPr="001633D5" w:rsidRDefault="00CF0E2D" w:rsidP="00A60D4B">
            <w:pPr>
              <w:pStyle w:val="Btablefigureunbold"/>
              <w:rPr>
                <w:b/>
                <w:bCs/>
                <w:szCs w:val="20"/>
              </w:rPr>
            </w:pPr>
            <w:r w:rsidRPr="001633D5">
              <w:rPr>
                <w:rFonts w:cs="Calibri"/>
                <w:b/>
                <w:bCs/>
                <w:color w:val="000000"/>
                <w:szCs w:val="20"/>
              </w:rPr>
              <w:t>1,975</w:t>
            </w:r>
          </w:p>
        </w:tc>
      </w:tr>
      <w:tr w:rsidR="00CF0E2D" w:rsidRPr="00D60558" w14:paraId="4AE97AA8" w14:textId="77777777" w:rsidTr="00A60D4B">
        <w:trPr>
          <w:gridAfter w:val="1"/>
          <w:wAfter w:w="9" w:type="dxa"/>
          <w:jc w:val="center"/>
        </w:trPr>
        <w:tc>
          <w:tcPr>
            <w:tcW w:w="3355" w:type="dxa"/>
            <w:tcBorders>
              <w:top w:val="nil"/>
              <w:left w:val="nil"/>
              <w:bottom w:val="nil"/>
              <w:right w:val="nil"/>
            </w:tcBorders>
          </w:tcPr>
          <w:p w14:paraId="089E54CA" w14:textId="77777777" w:rsidR="00CF0E2D" w:rsidRPr="007A0C65" w:rsidRDefault="00CF0E2D" w:rsidP="00A60D4B">
            <w:pPr>
              <w:pStyle w:val="Btabletextunbold"/>
              <w:rPr>
                <w:szCs w:val="20"/>
              </w:rPr>
            </w:pPr>
            <w:r w:rsidRPr="007A0C65">
              <w:rPr>
                <w:rFonts w:cs="Calibri"/>
                <w:color w:val="000000"/>
                <w:szCs w:val="20"/>
              </w:rPr>
              <w:t>Improving safety at Bimberi Youth Justice Centre</w:t>
            </w:r>
          </w:p>
        </w:tc>
        <w:tc>
          <w:tcPr>
            <w:tcW w:w="1093" w:type="dxa"/>
            <w:tcBorders>
              <w:top w:val="nil"/>
              <w:left w:val="nil"/>
              <w:bottom w:val="nil"/>
              <w:right w:val="nil"/>
            </w:tcBorders>
          </w:tcPr>
          <w:p w14:paraId="3D277D4F"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2EFF14D2" w14:textId="77777777" w:rsidR="00CF0E2D" w:rsidRPr="001633D5" w:rsidRDefault="00CF0E2D" w:rsidP="00A60D4B">
            <w:pPr>
              <w:pStyle w:val="Btablefigureunbold"/>
              <w:rPr>
                <w:szCs w:val="20"/>
              </w:rPr>
            </w:pPr>
            <w:r w:rsidRPr="001633D5">
              <w:rPr>
                <w:rFonts w:cs="Calibri"/>
                <w:color w:val="000000"/>
                <w:szCs w:val="20"/>
              </w:rPr>
              <w:t>315</w:t>
            </w:r>
          </w:p>
        </w:tc>
        <w:tc>
          <w:tcPr>
            <w:tcW w:w="964" w:type="dxa"/>
            <w:gridSpan w:val="2"/>
            <w:tcBorders>
              <w:top w:val="nil"/>
              <w:left w:val="nil"/>
              <w:bottom w:val="nil"/>
              <w:right w:val="nil"/>
            </w:tcBorders>
          </w:tcPr>
          <w:p w14:paraId="0ACE7CF5" w14:textId="77777777" w:rsidR="00CF0E2D" w:rsidRPr="001633D5" w:rsidRDefault="00CF0E2D" w:rsidP="00A60D4B">
            <w:pPr>
              <w:pStyle w:val="Btablefigureunbold"/>
              <w:rPr>
                <w:szCs w:val="20"/>
              </w:rPr>
            </w:pPr>
            <w:r w:rsidRPr="001633D5">
              <w:rPr>
                <w:rFonts w:cs="Calibri"/>
                <w:color w:val="000000"/>
                <w:szCs w:val="20"/>
              </w:rPr>
              <w:t>315</w:t>
            </w:r>
          </w:p>
        </w:tc>
        <w:tc>
          <w:tcPr>
            <w:tcW w:w="964" w:type="dxa"/>
            <w:gridSpan w:val="2"/>
            <w:tcBorders>
              <w:top w:val="nil"/>
              <w:left w:val="nil"/>
              <w:bottom w:val="nil"/>
              <w:right w:val="nil"/>
            </w:tcBorders>
          </w:tcPr>
          <w:p w14:paraId="2E9C6D1D"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4212CE85" w14:textId="77777777" w:rsidR="00CF0E2D" w:rsidRPr="001633D5" w:rsidRDefault="00CF0E2D" w:rsidP="00A60D4B">
            <w:pPr>
              <w:pStyle w:val="Btablefigureunbold"/>
              <w:rPr>
                <w:szCs w:val="20"/>
              </w:rPr>
            </w:pPr>
            <w:r w:rsidRPr="001633D5">
              <w:rPr>
                <w:rFonts w:cs="Calibri"/>
                <w:color w:val="000000"/>
                <w:szCs w:val="20"/>
              </w:rPr>
              <w:t>0</w:t>
            </w:r>
          </w:p>
        </w:tc>
        <w:tc>
          <w:tcPr>
            <w:tcW w:w="954" w:type="dxa"/>
            <w:gridSpan w:val="2"/>
            <w:tcBorders>
              <w:top w:val="nil"/>
              <w:left w:val="nil"/>
              <w:bottom w:val="nil"/>
              <w:right w:val="nil"/>
            </w:tcBorders>
          </w:tcPr>
          <w:p w14:paraId="6689AE1D" w14:textId="77777777" w:rsidR="00CF0E2D" w:rsidRPr="001633D5" w:rsidRDefault="00CF0E2D" w:rsidP="00A60D4B">
            <w:pPr>
              <w:pStyle w:val="Btablefigureunbold"/>
              <w:rPr>
                <w:b/>
                <w:bCs/>
                <w:szCs w:val="20"/>
              </w:rPr>
            </w:pPr>
            <w:r w:rsidRPr="001633D5">
              <w:rPr>
                <w:rFonts w:cs="Calibri"/>
                <w:b/>
                <w:bCs/>
                <w:color w:val="000000"/>
                <w:szCs w:val="20"/>
              </w:rPr>
              <w:t>630</w:t>
            </w:r>
          </w:p>
        </w:tc>
      </w:tr>
      <w:tr w:rsidR="00CF0E2D" w:rsidRPr="00D60558" w14:paraId="6537B260" w14:textId="77777777" w:rsidTr="00A60D4B">
        <w:trPr>
          <w:gridAfter w:val="1"/>
          <w:wAfter w:w="9" w:type="dxa"/>
          <w:jc w:val="center"/>
        </w:trPr>
        <w:tc>
          <w:tcPr>
            <w:tcW w:w="3355" w:type="dxa"/>
            <w:tcBorders>
              <w:top w:val="nil"/>
              <w:left w:val="nil"/>
              <w:bottom w:val="nil"/>
              <w:right w:val="nil"/>
            </w:tcBorders>
          </w:tcPr>
          <w:p w14:paraId="7A135CFD" w14:textId="77777777" w:rsidR="00CF0E2D" w:rsidRPr="007A0C65" w:rsidRDefault="00CF0E2D" w:rsidP="00A60D4B">
            <w:pPr>
              <w:pStyle w:val="Btabletextunbold"/>
              <w:rPr>
                <w:szCs w:val="20"/>
              </w:rPr>
            </w:pPr>
            <w:r w:rsidRPr="007A0C65">
              <w:rPr>
                <w:rFonts w:cs="Calibri"/>
                <w:color w:val="000000"/>
                <w:szCs w:val="20"/>
              </w:rPr>
              <w:t>Improving safety at Bimberi Youth Justice Centre</w:t>
            </w:r>
          </w:p>
        </w:tc>
        <w:tc>
          <w:tcPr>
            <w:tcW w:w="1093" w:type="dxa"/>
            <w:tcBorders>
              <w:top w:val="nil"/>
              <w:left w:val="nil"/>
              <w:bottom w:val="nil"/>
              <w:right w:val="nil"/>
            </w:tcBorders>
          </w:tcPr>
          <w:p w14:paraId="53E34D92"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5223B706" w14:textId="77777777" w:rsidR="00CF0E2D" w:rsidRPr="001633D5" w:rsidRDefault="00CF0E2D" w:rsidP="00A60D4B">
            <w:pPr>
              <w:pStyle w:val="Btablefigureunbold"/>
              <w:rPr>
                <w:szCs w:val="20"/>
              </w:rPr>
            </w:pPr>
            <w:r w:rsidRPr="001633D5">
              <w:rPr>
                <w:rFonts w:cs="Calibri"/>
                <w:color w:val="000000"/>
                <w:szCs w:val="20"/>
              </w:rPr>
              <w:t>225</w:t>
            </w:r>
          </w:p>
        </w:tc>
        <w:tc>
          <w:tcPr>
            <w:tcW w:w="964" w:type="dxa"/>
            <w:gridSpan w:val="2"/>
            <w:tcBorders>
              <w:top w:val="nil"/>
              <w:left w:val="nil"/>
              <w:bottom w:val="nil"/>
              <w:right w:val="nil"/>
            </w:tcBorders>
          </w:tcPr>
          <w:p w14:paraId="3F314AFB" w14:textId="77777777" w:rsidR="00CF0E2D" w:rsidRPr="001633D5" w:rsidRDefault="00CF0E2D" w:rsidP="00A60D4B">
            <w:pPr>
              <w:pStyle w:val="Btablefigureunbold"/>
              <w:rPr>
                <w:szCs w:val="20"/>
              </w:rPr>
            </w:pPr>
            <w:r w:rsidRPr="001633D5">
              <w:rPr>
                <w:rFonts w:cs="Calibri"/>
                <w:color w:val="000000"/>
                <w:szCs w:val="20"/>
              </w:rPr>
              <w:t>228</w:t>
            </w:r>
          </w:p>
        </w:tc>
        <w:tc>
          <w:tcPr>
            <w:tcW w:w="964" w:type="dxa"/>
            <w:gridSpan w:val="2"/>
            <w:tcBorders>
              <w:top w:val="nil"/>
              <w:left w:val="nil"/>
              <w:bottom w:val="nil"/>
              <w:right w:val="nil"/>
            </w:tcBorders>
          </w:tcPr>
          <w:p w14:paraId="611644F1" w14:textId="77777777" w:rsidR="00CF0E2D" w:rsidRPr="001633D5" w:rsidRDefault="00CF0E2D" w:rsidP="00A60D4B">
            <w:pPr>
              <w:pStyle w:val="Btablefigureunbold"/>
              <w:rPr>
                <w:szCs w:val="20"/>
              </w:rPr>
            </w:pPr>
            <w:r w:rsidRPr="001633D5">
              <w:rPr>
                <w:rFonts w:cs="Calibri"/>
                <w:color w:val="000000"/>
                <w:szCs w:val="20"/>
              </w:rPr>
              <w:t>231</w:t>
            </w:r>
          </w:p>
        </w:tc>
        <w:tc>
          <w:tcPr>
            <w:tcW w:w="964" w:type="dxa"/>
            <w:gridSpan w:val="2"/>
            <w:tcBorders>
              <w:top w:val="nil"/>
              <w:left w:val="nil"/>
              <w:bottom w:val="nil"/>
              <w:right w:val="nil"/>
            </w:tcBorders>
          </w:tcPr>
          <w:p w14:paraId="2E5FAF83" w14:textId="77777777" w:rsidR="00CF0E2D" w:rsidRPr="001633D5" w:rsidRDefault="00CF0E2D" w:rsidP="00A60D4B">
            <w:pPr>
              <w:pStyle w:val="Btablefigureunbold"/>
              <w:rPr>
                <w:szCs w:val="20"/>
              </w:rPr>
            </w:pPr>
            <w:r w:rsidRPr="001633D5">
              <w:rPr>
                <w:rFonts w:cs="Calibri"/>
                <w:color w:val="000000"/>
                <w:szCs w:val="20"/>
              </w:rPr>
              <w:t>234</w:t>
            </w:r>
          </w:p>
        </w:tc>
        <w:tc>
          <w:tcPr>
            <w:tcW w:w="954" w:type="dxa"/>
            <w:gridSpan w:val="2"/>
            <w:tcBorders>
              <w:top w:val="nil"/>
              <w:left w:val="nil"/>
              <w:bottom w:val="nil"/>
              <w:right w:val="nil"/>
            </w:tcBorders>
          </w:tcPr>
          <w:p w14:paraId="27DD05E4" w14:textId="77777777" w:rsidR="00CF0E2D" w:rsidRPr="001633D5" w:rsidRDefault="00CF0E2D" w:rsidP="00A60D4B">
            <w:pPr>
              <w:pStyle w:val="Btablefigureunbold"/>
              <w:rPr>
                <w:b/>
                <w:bCs/>
                <w:szCs w:val="20"/>
              </w:rPr>
            </w:pPr>
            <w:r w:rsidRPr="001633D5">
              <w:rPr>
                <w:rFonts w:cs="Calibri"/>
                <w:b/>
                <w:bCs/>
                <w:color w:val="000000"/>
                <w:szCs w:val="20"/>
              </w:rPr>
              <w:t>918</w:t>
            </w:r>
          </w:p>
        </w:tc>
      </w:tr>
      <w:tr w:rsidR="00CF0E2D" w:rsidRPr="00D60558" w14:paraId="5CF8A230" w14:textId="77777777" w:rsidTr="00A60D4B">
        <w:trPr>
          <w:gridAfter w:val="1"/>
          <w:wAfter w:w="9" w:type="dxa"/>
          <w:jc w:val="center"/>
        </w:trPr>
        <w:tc>
          <w:tcPr>
            <w:tcW w:w="3355" w:type="dxa"/>
            <w:tcBorders>
              <w:top w:val="nil"/>
              <w:left w:val="nil"/>
              <w:bottom w:val="nil"/>
              <w:right w:val="nil"/>
            </w:tcBorders>
          </w:tcPr>
          <w:p w14:paraId="24C2EFB5" w14:textId="77777777" w:rsidR="00CF0E2D" w:rsidRPr="007A0C65" w:rsidRDefault="00CF0E2D" w:rsidP="00A60D4B">
            <w:pPr>
              <w:pStyle w:val="Btabletextunbold"/>
              <w:rPr>
                <w:szCs w:val="20"/>
              </w:rPr>
            </w:pPr>
            <w:r w:rsidRPr="007A0C65">
              <w:rPr>
                <w:rFonts w:cs="Calibri"/>
                <w:color w:val="000000"/>
                <w:szCs w:val="20"/>
              </w:rPr>
              <w:t>Integrated Service Response Program</w:t>
            </w:r>
          </w:p>
        </w:tc>
        <w:tc>
          <w:tcPr>
            <w:tcW w:w="1093" w:type="dxa"/>
            <w:tcBorders>
              <w:top w:val="nil"/>
              <w:left w:val="nil"/>
              <w:bottom w:val="nil"/>
              <w:right w:val="nil"/>
            </w:tcBorders>
          </w:tcPr>
          <w:p w14:paraId="6572BCA2"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7DBB706F" w14:textId="77777777" w:rsidR="00CF0E2D" w:rsidRPr="001633D5" w:rsidRDefault="00CF0E2D" w:rsidP="00A60D4B">
            <w:pPr>
              <w:pStyle w:val="Btablefigureunbold"/>
              <w:rPr>
                <w:szCs w:val="20"/>
              </w:rPr>
            </w:pPr>
            <w:r w:rsidRPr="001633D5">
              <w:rPr>
                <w:rFonts w:cs="Calibri"/>
                <w:color w:val="000000"/>
                <w:szCs w:val="20"/>
              </w:rPr>
              <w:t>60</w:t>
            </w:r>
          </w:p>
        </w:tc>
        <w:tc>
          <w:tcPr>
            <w:tcW w:w="964" w:type="dxa"/>
            <w:gridSpan w:val="2"/>
            <w:tcBorders>
              <w:top w:val="nil"/>
              <w:left w:val="nil"/>
              <w:bottom w:val="nil"/>
              <w:right w:val="nil"/>
            </w:tcBorders>
          </w:tcPr>
          <w:p w14:paraId="1AD54D82" w14:textId="77777777" w:rsidR="00CF0E2D" w:rsidRPr="001633D5" w:rsidRDefault="00CF0E2D" w:rsidP="00A60D4B">
            <w:pPr>
              <w:pStyle w:val="Btablefigureunbold"/>
              <w:rPr>
                <w:szCs w:val="20"/>
              </w:rPr>
            </w:pPr>
            <w:r w:rsidRPr="001633D5">
              <w:rPr>
                <w:rFonts w:cs="Calibri"/>
                <w:color w:val="000000"/>
                <w:szCs w:val="20"/>
              </w:rPr>
              <w:t>519</w:t>
            </w:r>
          </w:p>
        </w:tc>
        <w:tc>
          <w:tcPr>
            <w:tcW w:w="964" w:type="dxa"/>
            <w:gridSpan w:val="2"/>
            <w:tcBorders>
              <w:top w:val="nil"/>
              <w:left w:val="nil"/>
              <w:bottom w:val="nil"/>
              <w:right w:val="nil"/>
            </w:tcBorders>
          </w:tcPr>
          <w:p w14:paraId="040B3F62"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3E8B4D32" w14:textId="77777777" w:rsidR="00CF0E2D" w:rsidRPr="001633D5" w:rsidRDefault="00CF0E2D" w:rsidP="00A60D4B">
            <w:pPr>
              <w:pStyle w:val="Btablefigureunbold"/>
              <w:rPr>
                <w:szCs w:val="20"/>
              </w:rPr>
            </w:pPr>
            <w:r w:rsidRPr="001633D5">
              <w:rPr>
                <w:rFonts w:cs="Calibri"/>
                <w:color w:val="000000"/>
                <w:szCs w:val="20"/>
              </w:rPr>
              <w:t>0</w:t>
            </w:r>
          </w:p>
        </w:tc>
        <w:tc>
          <w:tcPr>
            <w:tcW w:w="954" w:type="dxa"/>
            <w:gridSpan w:val="2"/>
            <w:tcBorders>
              <w:top w:val="nil"/>
              <w:left w:val="nil"/>
              <w:bottom w:val="nil"/>
              <w:right w:val="nil"/>
            </w:tcBorders>
          </w:tcPr>
          <w:p w14:paraId="011D52A8" w14:textId="77777777" w:rsidR="00CF0E2D" w:rsidRPr="001633D5" w:rsidRDefault="00CF0E2D" w:rsidP="00A60D4B">
            <w:pPr>
              <w:pStyle w:val="Btablefigureunbold"/>
              <w:rPr>
                <w:b/>
                <w:bCs/>
                <w:szCs w:val="20"/>
              </w:rPr>
            </w:pPr>
            <w:r w:rsidRPr="001633D5">
              <w:rPr>
                <w:rFonts w:cs="Calibri"/>
                <w:b/>
                <w:bCs/>
                <w:color w:val="000000"/>
                <w:szCs w:val="20"/>
              </w:rPr>
              <w:t>579</w:t>
            </w:r>
          </w:p>
        </w:tc>
      </w:tr>
      <w:tr w:rsidR="00CF0E2D" w:rsidRPr="00D60558" w14:paraId="3A9CE441" w14:textId="77777777" w:rsidTr="00A60D4B">
        <w:trPr>
          <w:gridAfter w:val="1"/>
          <w:wAfter w:w="9" w:type="dxa"/>
          <w:jc w:val="center"/>
        </w:trPr>
        <w:tc>
          <w:tcPr>
            <w:tcW w:w="3355" w:type="dxa"/>
            <w:tcBorders>
              <w:top w:val="nil"/>
              <w:left w:val="nil"/>
              <w:bottom w:val="nil"/>
              <w:right w:val="nil"/>
            </w:tcBorders>
          </w:tcPr>
          <w:p w14:paraId="4972FD41" w14:textId="77777777" w:rsidR="00CF0E2D" w:rsidRPr="007A0C65" w:rsidRDefault="00CF0E2D" w:rsidP="00A60D4B">
            <w:pPr>
              <w:pStyle w:val="Btabletextunbold"/>
              <w:rPr>
                <w:szCs w:val="20"/>
              </w:rPr>
            </w:pPr>
            <w:r w:rsidRPr="007A0C65">
              <w:rPr>
                <w:rFonts w:cs="Calibri"/>
                <w:color w:val="000000"/>
                <w:szCs w:val="20"/>
              </w:rPr>
              <w:t>Integrated Service Response Program</w:t>
            </w:r>
          </w:p>
        </w:tc>
        <w:tc>
          <w:tcPr>
            <w:tcW w:w="1093" w:type="dxa"/>
            <w:tcBorders>
              <w:top w:val="nil"/>
              <w:left w:val="nil"/>
              <w:bottom w:val="nil"/>
              <w:right w:val="nil"/>
            </w:tcBorders>
          </w:tcPr>
          <w:p w14:paraId="5B6A888B" w14:textId="77777777" w:rsidR="00CF0E2D" w:rsidRPr="00D60558" w:rsidRDefault="00CF0E2D" w:rsidP="00A60D4B">
            <w:pPr>
              <w:pStyle w:val="Btablefigureunbold"/>
              <w:ind w:left="0" w:firstLine="0"/>
              <w:jc w:val="left"/>
              <w:rPr>
                <w:rFonts w:cs="Calibri"/>
                <w:color w:val="000000"/>
                <w:szCs w:val="20"/>
              </w:rPr>
            </w:pPr>
            <w:r w:rsidRPr="00B92C0D">
              <w:rPr>
                <w:rFonts w:cs="Calibri"/>
                <w:color w:val="000000"/>
                <w:szCs w:val="20"/>
              </w:rPr>
              <w:t>Net cost</w:t>
            </w:r>
          </w:p>
        </w:tc>
        <w:tc>
          <w:tcPr>
            <w:tcW w:w="964" w:type="dxa"/>
            <w:gridSpan w:val="2"/>
            <w:tcBorders>
              <w:top w:val="nil"/>
              <w:left w:val="nil"/>
              <w:bottom w:val="nil"/>
              <w:right w:val="nil"/>
            </w:tcBorders>
          </w:tcPr>
          <w:p w14:paraId="210525D9" w14:textId="77777777" w:rsidR="00CF0E2D" w:rsidRPr="001633D5" w:rsidRDefault="00CF0E2D" w:rsidP="00A60D4B">
            <w:pPr>
              <w:pStyle w:val="Btablefigureunbold"/>
              <w:rPr>
                <w:szCs w:val="20"/>
              </w:rPr>
            </w:pPr>
            <w:r w:rsidRPr="001633D5">
              <w:rPr>
                <w:rFonts w:cs="Calibri"/>
                <w:color w:val="000000"/>
                <w:szCs w:val="20"/>
              </w:rPr>
              <w:t>1,048</w:t>
            </w:r>
          </w:p>
        </w:tc>
        <w:tc>
          <w:tcPr>
            <w:tcW w:w="964" w:type="dxa"/>
            <w:gridSpan w:val="2"/>
            <w:tcBorders>
              <w:top w:val="nil"/>
              <w:left w:val="nil"/>
              <w:bottom w:val="nil"/>
              <w:right w:val="nil"/>
            </w:tcBorders>
          </w:tcPr>
          <w:p w14:paraId="5D89B824" w14:textId="77777777" w:rsidR="00CF0E2D" w:rsidRPr="001633D5" w:rsidRDefault="00CF0E2D" w:rsidP="00A60D4B">
            <w:pPr>
              <w:pStyle w:val="Btablefigureunbold"/>
              <w:rPr>
                <w:szCs w:val="20"/>
              </w:rPr>
            </w:pPr>
            <w:r w:rsidRPr="001633D5">
              <w:rPr>
                <w:rFonts w:cs="Calibri"/>
                <w:color w:val="000000"/>
                <w:szCs w:val="20"/>
              </w:rPr>
              <w:t>1,114</w:t>
            </w:r>
          </w:p>
        </w:tc>
        <w:tc>
          <w:tcPr>
            <w:tcW w:w="964" w:type="dxa"/>
            <w:gridSpan w:val="2"/>
            <w:tcBorders>
              <w:top w:val="nil"/>
              <w:left w:val="nil"/>
              <w:bottom w:val="nil"/>
              <w:right w:val="nil"/>
            </w:tcBorders>
          </w:tcPr>
          <w:p w14:paraId="076A33C5" w14:textId="77777777" w:rsidR="00CF0E2D" w:rsidRPr="001633D5" w:rsidRDefault="00CF0E2D" w:rsidP="00A60D4B">
            <w:pPr>
              <w:pStyle w:val="Btablefigureunbold"/>
              <w:rPr>
                <w:szCs w:val="20"/>
              </w:rPr>
            </w:pPr>
            <w:r w:rsidRPr="001633D5">
              <w:rPr>
                <w:rFonts w:cs="Calibri"/>
                <w:color w:val="000000"/>
                <w:szCs w:val="20"/>
              </w:rPr>
              <w:t>1,121</w:t>
            </w:r>
          </w:p>
        </w:tc>
        <w:tc>
          <w:tcPr>
            <w:tcW w:w="964" w:type="dxa"/>
            <w:gridSpan w:val="2"/>
            <w:tcBorders>
              <w:top w:val="nil"/>
              <w:left w:val="nil"/>
              <w:bottom w:val="nil"/>
              <w:right w:val="nil"/>
            </w:tcBorders>
          </w:tcPr>
          <w:p w14:paraId="1050B541" w14:textId="77777777" w:rsidR="00CF0E2D" w:rsidRPr="001633D5" w:rsidRDefault="00CF0E2D" w:rsidP="00A60D4B">
            <w:pPr>
              <w:pStyle w:val="Btablefigureunbold"/>
              <w:rPr>
                <w:szCs w:val="20"/>
              </w:rPr>
            </w:pPr>
            <w:r w:rsidRPr="001633D5">
              <w:rPr>
                <w:rFonts w:cs="Calibri"/>
                <w:color w:val="000000"/>
                <w:szCs w:val="20"/>
              </w:rPr>
              <w:t>1,126</w:t>
            </w:r>
          </w:p>
        </w:tc>
        <w:tc>
          <w:tcPr>
            <w:tcW w:w="954" w:type="dxa"/>
            <w:gridSpan w:val="2"/>
            <w:tcBorders>
              <w:top w:val="nil"/>
              <w:left w:val="nil"/>
              <w:bottom w:val="nil"/>
              <w:right w:val="nil"/>
            </w:tcBorders>
          </w:tcPr>
          <w:p w14:paraId="03464A4B" w14:textId="77777777" w:rsidR="00CF0E2D" w:rsidRPr="001633D5" w:rsidRDefault="00CF0E2D" w:rsidP="00A60D4B">
            <w:pPr>
              <w:pStyle w:val="Btablefigureunbold"/>
              <w:rPr>
                <w:b/>
                <w:bCs/>
                <w:szCs w:val="20"/>
              </w:rPr>
            </w:pPr>
            <w:r w:rsidRPr="001633D5">
              <w:rPr>
                <w:rFonts w:cs="Calibri"/>
                <w:b/>
                <w:bCs/>
                <w:color w:val="000000"/>
                <w:szCs w:val="20"/>
              </w:rPr>
              <w:t>4,409</w:t>
            </w:r>
          </w:p>
        </w:tc>
      </w:tr>
      <w:tr w:rsidR="00CF0E2D" w:rsidRPr="00D60558" w14:paraId="12DB48C7" w14:textId="77777777" w:rsidTr="00A60D4B">
        <w:trPr>
          <w:gridAfter w:val="1"/>
          <w:wAfter w:w="9" w:type="dxa"/>
          <w:jc w:val="center"/>
        </w:trPr>
        <w:tc>
          <w:tcPr>
            <w:tcW w:w="3355" w:type="dxa"/>
            <w:tcBorders>
              <w:top w:val="nil"/>
              <w:left w:val="nil"/>
              <w:bottom w:val="nil"/>
              <w:right w:val="nil"/>
            </w:tcBorders>
          </w:tcPr>
          <w:p w14:paraId="2FED769F" w14:textId="77777777" w:rsidR="00CF0E2D" w:rsidRPr="007A0C65" w:rsidRDefault="00CF0E2D" w:rsidP="00A60D4B">
            <w:pPr>
              <w:pStyle w:val="Btabletextunbold"/>
              <w:rPr>
                <w:szCs w:val="20"/>
              </w:rPr>
            </w:pPr>
            <w:r w:rsidRPr="007A0C65">
              <w:rPr>
                <w:rFonts w:cs="Calibri"/>
                <w:color w:val="000000"/>
                <w:szCs w:val="20"/>
              </w:rPr>
              <w:t xml:space="preserve">Maintaining systems, supporting practice </w:t>
            </w:r>
            <w:r>
              <w:rPr>
                <w:rFonts w:cs="Calibri"/>
                <w:color w:val="000000"/>
                <w:szCs w:val="20"/>
              </w:rPr>
              <w:t>–</w:t>
            </w:r>
            <w:r w:rsidRPr="007A0C65">
              <w:rPr>
                <w:rFonts w:cs="Calibri"/>
                <w:color w:val="000000"/>
                <w:szCs w:val="20"/>
              </w:rPr>
              <w:t xml:space="preserve"> Record Information System</w:t>
            </w:r>
          </w:p>
        </w:tc>
        <w:tc>
          <w:tcPr>
            <w:tcW w:w="1093" w:type="dxa"/>
            <w:tcBorders>
              <w:top w:val="nil"/>
              <w:left w:val="nil"/>
              <w:bottom w:val="nil"/>
              <w:right w:val="nil"/>
            </w:tcBorders>
          </w:tcPr>
          <w:p w14:paraId="43EC768C" w14:textId="77777777" w:rsidR="00CF0E2D" w:rsidRPr="00D60558" w:rsidRDefault="00CF0E2D" w:rsidP="00A60D4B">
            <w:pPr>
              <w:pStyle w:val="Btablefigureunbold"/>
              <w:ind w:left="0" w:firstLine="0"/>
              <w:jc w:val="left"/>
              <w:rPr>
                <w:rFonts w:cs="Calibri"/>
                <w:color w:val="000000"/>
                <w:szCs w:val="20"/>
              </w:rPr>
            </w:pPr>
            <w:r w:rsidRPr="00B92C0D">
              <w:rPr>
                <w:rFonts w:cs="Calibri"/>
                <w:color w:val="000000"/>
                <w:szCs w:val="20"/>
              </w:rPr>
              <w:t>Net cost</w:t>
            </w:r>
          </w:p>
        </w:tc>
        <w:tc>
          <w:tcPr>
            <w:tcW w:w="964" w:type="dxa"/>
            <w:gridSpan w:val="2"/>
            <w:tcBorders>
              <w:top w:val="nil"/>
              <w:left w:val="nil"/>
              <w:bottom w:val="nil"/>
              <w:right w:val="nil"/>
            </w:tcBorders>
          </w:tcPr>
          <w:p w14:paraId="618CA8F5" w14:textId="77777777" w:rsidR="00CF0E2D" w:rsidRPr="001633D5" w:rsidRDefault="00CF0E2D" w:rsidP="00A60D4B">
            <w:pPr>
              <w:pStyle w:val="Btablefigureunbold"/>
              <w:rPr>
                <w:szCs w:val="20"/>
              </w:rPr>
            </w:pPr>
            <w:r w:rsidRPr="001633D5">
              <w:rPr>
                <w:rFonts w:cs="Calibri"/>
                <w:color w:val="000000"/>
                <w:szCs w:val="20"/>
              </w:rPr>
              <w:t>1,557</w:t>
            </w:r>
          </w:p>
        </w:tc>
        <w:tc>
          <w:tcPr>
            <w:tcW w:w="964" w:type="dxa"/>
            <w:gridSpan w:val="2"/>
            <w:tcBorders>
              <w:top w:val="nil"/>
              <w:left w:val="nil"/>
              <w:bottom w:val="nil"/>
              <w:right w:val="nil"/>
            </w:tcBorders>
          </w:tcPr>
          <w:p w14:paraId="6C3A9F82" w14:textId="77777777" w:rsidR="00CF0E2D" w:rsidRPr="001633D5" w:rsidRDefault="00CF0E2D" w:rsidP="00A60D4B">
            <w:pPr>
              <w:pStyle w:val="Btablefigureunbold"/>
              <w:rPr>
                <w:szCs w:val="20"/>
              </w:rPr>
            </w:pPr>
            <w:r w:rsidRPr="001633D5">
              <w:rPr>
                <w:rFonts w:cs="Calibri"/>
                <w:color w:val="000000"/>
                <w:szCs w:val="20"/>
              </w:rPr>
              <w:t>1,619</w:t>
            </w:r>
          </w:p>
        </w:tc>
        <w:tc>
          <w:tcPr>
            <w:tcW w:w="964" w:type="dxa"/>
            <w:gridSpan w:val="2"/>
            <w:tcBorders>
              <w:top w:val="nil"/>
              <w:left w:val="nil"/>
              <w:bottom w:val="nil"/>
              <w:right w:val="nil"/>
            </w:tcBorders>
          </w:tcPr>
          <w:p w14:paraId="20063CA2" w14:textId="77777777" w:rsidR="00CF0E2D" w:rsidRPr="001633D5" w:rsidRDefault="00CF0E2D" w:rsidP="00A60D4B">
            <w:pPr>
              <w:pStyle w:val="Btablefigureunbold"/>
              <w:rPr>
                <w:szCs w:val="20"/>
              </w:rPr>
            </w:pPr>
            <w:r w:rsidRPr="001633D5">
              <w:rPr>
                <w:rFonts w:cs="Calibri"/>
                <w:color w:val="000000"/>
                <w:szCs w:val="20"/>
              </w:rPr>
              <w:t>1,643</w:t>
            </w:r>
          </w:p>
        </w:tc>
        <w:tc>
          <w:tcPr>
            <w:tcW w:w="964" w:type="dxa"/>
            <w:gridSpan w:val="2"/>
            <w:tcBorders>
              <w:top w:val="nil"/>
              <w:left w:val="nil"/>
              <w:bottom w:val="nil"/>
              <w:right w:val="nil"/>
            </w:tcBorders>
          </w:tcPr>
          <w:p w14:paraId="2A50D6D0" w14:textId="77777777" w:rsidR="00CF0E2D" w:rsidRPr="001633D5" w:rsidRDefault="00CF0E2D" w:rsidP="00A60D4B">
            <w:pPr>
              <w:pStyle w:val="Btablefigureunbold"/>
              <w:rPr>
                <w:szCs w:val="20"/>
              </w:rPr>
            </w:pPr>
            <w:r w:rsidRPr="001633D5">
              <w:rPr>
                <w:rFonts w:cs="Calibri"/>
                <w:color w:val="000000"/>
                <w:szCs w:val="20"/>
              </w:rPr>
              <w:t>1,669</w:t>
            </w:r>
          </w:p>
        </w:tc>
        <w:tc>
          <w:tcPr>
            <w:tcW w:w="954" w:type="dxa"/>
            <w:gridSpan w:val="2"/>
            <w:tcBorders>
              <w:top w:val="nil"/>
              <w:left w:val="nil"/>
              <w:bottom w:val="nil"/>
              <w:right w:val="nil"/>
            </w:tcBorders>
          </w:tcPr>
          <w:p w14:paraId="7A4DB9BC" w14:textId="77777777" w:rsidR="00CF0E2D" w:rsidRPr="001633D5" w:rsidRDefault="00CF0E2D" w:rsidP="00A60D4B">
            <w:pPr>
              <w:pStyle w:val="Btablefigureunbold"/>
              <w:rPr>
                <w:b/>
                <w:bCs/>
                <w:szCs w:val="20"/>
              </w:rPr>
            </w:pPr>
            <w:r w:rsidRPr="001633D5">
              <w:rPr>
                <w:rFonts w:cs="Calibri"/>
                <w:b/>
                <w:bCs/>
                <w:color w:val="000000"/>
                <w:szCs w:val="20"/>
              </w:rPr>
              <w:t>6,488</w:t>
            </w:r>
          </w:p>
        </w:tc>
      </w:tr>
      <w:tr w:rsidR="00CF0E2D" w:rsidRPr="00D60558" w14:paraId="26863CC5" w14:textId="77777777" w:rsidTr="00A60D4B">
        <w:trPr>
          <w:gridAfter w:val="1"/>
          <w:wAfter w:w="9" w:type="dxa"/>
          <w:jc w:val="center"/>
        </w:trPr>
        <w:tc>
          <w:tcPr>
            <w:tcW w:w="3355" w:type="dxa"/>
            <w:tcBorders>
              <w:top w:val="nil"/>
              <w:left w:val="nil"/>
              <w:bottom w:val="nil"/>
              <w:right w:val="nil"/>
            </w:tcBorders>
          </w:tcPr>
          <w:p w14:paraId="0183A7EE" w14:textId="77777777" w:rsidR="00CF0E2D" w:rsidRPr="007A0C65" w:rsidRDefault="00CF0E2D" w:rsidP="00A60D4B">
            <w:pPr>
              <w:pStyle w:val="Btabletextunbold"/>
              <w:rPr>
                <w:szCs w:val="20"/>
              </w:rPr>
            </w:pPr>
            <w:r w:rsidRPr="007A0C65">
              <w:rPr>
                <w:rFonts w:cs="Calibri"/>
                <w:color w:val="000000"/>
                <w:szCs w:val="20"/>
              </w:rPr>
              <w:t>More support for the Children and Young People Equipment Loan Service</w:t>
            </w:r>
          </w:p>
        </w:tc>
        <w:tc>
          <w:tcPr>
            <w:tcW w:w="1093" w:type="dxa"/>
            <w:tcBorders>
              <w:top w:val="nil"/>
              <w:left w:val="nil"/>
              <w:bottom w:val="nil"/>
              <w:right w:val="nil"/>
            </w:tcBorders>
          </w:tcPr>
          <w:p w14:paraId="32CDFA54"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23092A15" w14:textId="77777777" w:rsidR="00CF0E2D" w:rsidRPr="001633D5" w:rsidRDefault="00CF0E2D" w:rsidP="00A60D4B">
            <w:pPr>
              <w:pStyle w:val="Btablefigureunbold"/>
              <w:rPr>
                <w:szCs w:val="20"/>
              </w:rPr>
            </w:pPr>
            <w:r w:rsidRPr="001633D5">
              <w:rPr>
                <w:rFonts w:cs="Calibri"/>
                <w:color w:val="000000"/>
                <w:szCs w:val="20"/>
              </w:rPr>
              <w:t>207</w:t>
            </w:r>
          </w:p>
        </w:tc>
        <w:tc>
          <w:tcPr>
            <w:tcW w:w="964" w:type="dxa"/>
            <w:gridSpan w:val="2"/>
            <w:tcBorders>
              <w:top w:val="nil"/>
              <w:left w:val="nil"/>
              <w:bottom w:val="nil"/>
              <w:right w:val="nil"/>
            </w:tcBorders>
          </w:tcPr>
          <w:p w14:paraId="31A02422"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67970CE5"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28D69BE6" w14:textId="77777777" w:rsidR="00CF0E2D" w:rsidRPr="001633D5" w:rsidRDefault="00CF0E2D" w:rsidP="00A60D4B">
            <w:pPr>
              <w:pStyle w:val="Btablefigureunbold"/>
              <w:rPr>
                <w:szCs w:val="20"/>
              </w:rPr>
            </w:pPr>
            <w:r w:rsidRPr="001633D5">
              <w:rPr>
                <w:rFonts w:cs="Calibri"/>
                <w:color w:val="000000"/>
                <w:szCs w:val="20"/>
              </w:rPr>
              <w:t>0</w:t>
            </w:r>
          </w:p>
        </w:tc>
        <w:tc>
          <w:tcPr>
            <w:tcW w:w="954" w:type="dxa"/>
            <w:gridSpan w:val="2"/>
            <w:tcBorders>
              <w:top w:val="nil"/>
              <w:left w:val="nil"/>
              <w:bottom w:val="nil"/>
              <w:right w:val="nil"/>
            </w:tcBorders>
          </w:tcPr>
          <w:p w14:paraId="4C279B86" w14:textId="77777777" w:rsidR="00CF0E2D" w:rsidRPr="001633D5" w:rsidRDefault="00CF0E2D" w:rsidP="00A60D4B">
            <w:pPr>
              <w:pStyle w:val="Btablefigureunbold"/>
              <w:rPr>
                <w:b/>
                <w:bCs/>
                <w:szCs w:val="20"/>
              </w:rPr>
            </w:pPr>
            <w:r w:rsidRPr="001633D5">
              <w:rPr>
                <w:rFonts w:cs="Calibri"/>
                <w:b/>
                <w:bCs/>
                <w:color w:val="000000"/>
                <w:szCs w:val="20"/>
              </w:rPr>
              <w:t>207</w:t>
            </w:r>
          </w:p>
        </w:tc>
      </w:tr>
      <w:tr w:rsidR="00CF0E2D" w:rsidRPr="00D60558" w14:paraId="76FBB316" w14:textId="77777777" w:rsidTr="00A60D4B">
        <w:trPr>
          <w:gridAfter w:val="1"/>
          <w:wAfter w:w="9" w:type="dxa"/>
          <w:jc w:val="center"/>
        </w:trPr>
        <w:tc>
          <w:tcPr>
            <w:tcW w:w="3355" w:type="dxa"/>
            <w:tcBorders>
              <w:top w:val="nil"/>
              <w:left w:val="nil"/>
              <w:bottom w:val="nil"/>
              <w:right w:val="nil"/>
            </w:tcBorders>
          </w:tcPr>
          <w:p w14:paraId="06D62A49" w14:textId="77777777" w:rsidR="00CF0E2D" w:rsidRPr="007A0C65" w:rsidRDefault="00CF0E2D" w:rsidP="00A60D4B">
            <w:pPr>
              <w:pStyle w:val="Btabletextunbold"/>
              <w:rPr>
                <w:szCs w:val="20"/>
              </w:rPr>
            </w:pPr>
            <w:r w:rsidRPr="007A0C65">
              <w:rPr>
                <w:rFonts w:cs="Calibri"/>
                <w:color w:val="000000"/>
                <w:szCs w:val="20"/>
              </w:rPr>
              <w:t>More support for the Children and Young People Equipment Loan Service</w:t>
            </w:r>
          </w:p>
        </w:tc>
        <w:tc>
          <w:tcPr>
            <w:tcW w:w="1093" w:type="dxa"/>
            <w:tcBorders>
              <w:top w:val="nil"/>
              <w:left w:val="nil"/>
              <w:bottom w:val="nil"/>
              <w:right w:val="nil"/>
            </w:tcBorders>
          </w:tcPr>
          <w:p w14:paraId="6120E864" w14:textId="77777777" w:rsidR="00CF0E2D" w:rsidRPr="00D60558" w:rsidRDefault="00CF0E2D" w:rsidP="00A60D4B">
            <w:pPr>
              <w:pStyle w:val="Btablefigureunbold"/>
              <w:ind w:left="0" w:firstLine="0"/>
              <w:jc w:val="left"/>
              <w:rPr>
                <w:rFonts w:cs="Calibri"/>
                <w:color w:val="000000"/>
                <w:szCs w:val="20"/>
              </w:rPr>
            </w:pPr>
            <w:r w:rsidRPr="005B456A">
              <w:rPr>
                <w:rFonts w:cs="Calibri"/>
                <w:color w:val="000000"/>
                <w:szCs w:val="20"/>
              </w:rPr>
              <w:t>Net cost</w:t>
            </w:r>
          </w:p>
        </w:tc>
        <w:tc>
          <w:tcPr>
            <w:tcW w:w="964" w:type="dxa"/>
            <w:gridSpan w:val="2"/>
            <w:tcBorders>
              <w:top w:val="nil"/>
              <w:left w:val="nil"/>
              <w:bottom w:val="nil"/>
              <w:right w:val="nil"/>
            </w:tcBorders>
          </w:tcPr>
          <w:p w14:paraId="4680352C" w14:textId="77777777" w:rsidR="00CF0E2D" w:rsidRPr="001633D5" w:rsidRDefault="00CF0E2D" w:rsidP="00A60D4B">
            <w:pPr>
              <w:pStyle w:val="Btablefigureunbold"/>
              <w:rPr>
                <w:szCs w:val="20"/>
              </w:rPr>
            </w:pPr>
            <w:r w:rsidRPr="001633D5">
              <w:rPr>
                <w:rFonts w:cs="Calibri"/>
                <w:color w:val="000000"/>
                <w:szCs w:val="20"/>
              </w:rPr>
              <w:t>555</w:t>
            </w:r>
          </w:p>
        </w:tc>
        <w:tc>
          <w:tcPr>
            <w:tcW w:w="964" w:type="dxa"/>
            <w:gridSpan w:val="2"/>
            <w:tcBorders>
              <w:top w:val="nil"/>
              <w:left w:val="nil"/>
              <w:bottom w:val="nil"/>
              <w:right w:val="nil"/>
            </w:tcBorders>
          </w:tcPr>
          <w:p w14:paraId="3F84A197" w14:textId="77777777" w:rsidR="00CF0E2D" w:rsidRPr="001633D5" w:rsidRDefault="00CF0E2D" w:rsidP="00A60D4B">
            <w:pPr>
              <w:pStyle w:val="Btablefigureunbold"/>
              <w:rPr>
                <w:szCs w:val="20"/>
              </w:rPr>
            </w:pPr>
            <w:r w:rsidRPr="001633D5">
              <w:rPr>
                <w:rFonts w:cs="Calibri"/>
                <w:color w:val="000000"/>
                <w:szCs w:val="20"/>
              </w:rPr>
              <w:t>41</w:t>
            </w:r>
          </w:p>
        </w:tc>
        <w:tc>
          <w:tcPr>
            <w:tcW w:w="964" w:type="dxa"/>
            <w:gridSpan w:val="2"/>
            <w:tcBorders>
              <w:top w:val="nil"/>
              <w:left w:val="nil"/>
              <w:bottom w:val="nil"/>
              <w:right w:val="nil"/>
            </w:tcBorders>
          </w:tcPr>
          <w:p w14:paraId="5E37F811" w14:textId="77777777" w:rsidR="00CF0E2D" w:rsidRPr="001633D5" w:rsidRDefault="00CF0E2D" w:rsidP="00A60D4B">
            <w:pPr>
              <w:pStyle w:val="Btablefigureunbold"/>
              <w:rPr>
                <w:szCs w:val="20"/>
              </w:rPr>
            </w:pPr>
            <w:r w:rsidRPr="001633D5">
              <w:rPr>
                <w:rFonts w:cs="Calibri"/>
                <w:color w:val="000000"/>
                <w:szCs w:val="20"/>
              </w:rPr>
              <w:t>41</w:t>
            </w:r>
          </w:p>
        </w:tc>
        <w:tc>
          <w:tcPr>
            <w:tcW w:w="964" w:type="dxa"/>
            <w:gridSpan w:val="2"/>
            <w:tcBorders>
              <w:top w:val="nil"/>
              <w:left w:val="nil"/>
              <w:bottom w:val="nil"/>
              <w:right w:val="nil"/>
            </w:tcBorders>
          </w:tcPr>
          <w:p w14:paraId="243498B1" w14:textId="77777777" w:rsidR="00CF0E2D" w:rsidRPr="001633D5" w:rsidRDefault="00CF0E2D" w:rsidP="00A60D4B">
            <w:pPr>
              <w:pStyle w:val="Btablefigureunbold"/>
              <w:rPr>
                <w:szCs w:val="20"/>
              </w:rPr>
            </w:pPr>
            <w:r w:rsidRPr="001633D5">
              <w:rPr>
                <w:rFonts w:cs="Calibri"/>
                <w:color w:val="000000"/>
                <w:szCs w:val="20"/>
              </w:rPr>
              <w:t>41</w:t>
            </w:r>
          </w:p>
        </w:tc>
        <w:tc>
          <w:tcPr>
            <w:tcW w:w="954" w:type="dxa"/>
            <w:gridSpan w:val="2"/>
            <w:tcBorders>
              <w:top w:val="nil"/>
              <w:left w:val="nil"/>
              <w:bottom w:val="nil"/>
              <w:right w:val="nil"/>
            </w:tcBorders>
          </w:tcPr>
          <w:p w14:paraId="10D28317" w14:textId="77777777" w:rsidR="00CF0E2D" w:rsidRPr="001633D5" w:rsidRDefault="00CF0E2D" w:rsidP="00A60D4B">
            <w:pPr>
              <w:pStyle w:val="Btablefigureunbold"/>
              <w:rPr>
                <w:b/>
                <w:bCs/>
                <w:szCs w:val="20"/>
              </w:rPr>
            </w:pPr>
            <w:r w:rsidRPr="001633D5">
              <w:rPr>
                <w:rFonts w:cs="Calibri"/>
                <w:b/>
                <w:bCs/>
                <w:color w:val="000000"/>
                <w:szCs w:val="20"/>
              </w:rPr>
              <w:t>678</w:t>
            </w:r>
          </w:p>
        </w:tc>
      </w:tr>
      <w:tr w:rsidR="00CF0E2D" w:rsidRPr="00D60558" w14:paraId="3B908CAA" w14:textId="77777777" w:rsidTr="00A60D4B">
        <w:trPr>
          <w:gridAfter w:val="1"/>
          <w:wAfter w:w="9" w:type="dxa"/>
          <w:jc w:val="center"/>
        </w:trPr>
        <w:tc>
          <w:tcPr>
            <w:tcW w:w="3355" w:type="dxa"/>
            <w:tcBorders>
              <w:top w:val="nil"/>
              <w:left w:val="nil"/>
              <w:bottom w:val="nil"/>
              <w:right w:val="nil"/>
            </w:tcBorders>
          </w:tcPr>
          <w:p w14:paraId="311259DD" w14:textId="77777777" w:rsidR="00CF0E2D" w:rsidRPr="007A0C65" w:rsidRDefault="00CF0E2D" w:rsidP="00A60D4B">
            <w:pPr>
              <w:pStyle w:val="Btabletextunbold"/>
              <w:rPr>
                <w:rFonts w:cs="Calibri"/>
                <w:color w:val="000000"/>
                <w:szCs w:val="20"/>
              </w:rPr>
            </w:pPr>
            <w:r>
              <w:rPr>
                <w:rFonts w:cs="Calibri"/>
                <w:color w:val="000000"/>
                <w:szCs w:val="20"/>
              </w:rPr>
              <w:t>National Multicultural Festival – 25</w:t>
            </w:r>
            <w:r w:rsidRPr="002E3565">
              <w:rPr>
                <w:rFonts w:cs="Calibri"/>
                <w:color w:val="000000"/>
                <w:szCs w:val="20"/>
                <w:vertAlign w:val="superscript"/>
              </w:rPr>
              <w:t>th</w:t>
            </w:r>
            <w:r>
              <w:rPr>
                <w:rFonts w:cs="Calibri"/>
                <w:color w:val="000000"/>
                <w:szCs w:val="20"/>
              </w:rPr>
              <w:t> Anniversary</w:t>
            </w:r>
          </w:p>
        </w:tc>
        <w:tc>
          <w:tcPr>
            <w:tcW w:w="1093" w:type="dxa"/>
            <w:tcBorders>
              <w:top w:val="nil"/>
              <w:left w:val="nil"/>
              <w:bottom w:val="nil"/>
              <w:right w:val="nil"/>
            </w:tcBorders>
          </w:tcPr>
          <w:p w14:paraId="280E4B54" w14:textId="614E8FB7" w:rsidR="00CF0E2D" w:rsidRPr="005B456A"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476C9967" w14:textId="77777777" w:rsidR="00CF0E2D" w:rsidRPr="001633D5" w:rsidRDefault="00CF0E2D" w:rsidP="00A60D4B">
            <w:pPr>
              <w:pStyle w:val="Btablefigureunbold"/>
              <w:rPr>
                <w:rFonts w:cs="Calibri"/>
                <w:color w:val="000000"/>
                <w:szCs w:val="20"/>
              </w:rPr>
            </w:pPr>
            <w:r>
              <w:rPr>
                <w:rFonts w:cs="Calibri"/>
                <w:color w:val="000000"/>
                <w:szCs w:val="20"/>
              </w:rPr>
              <w:t>400</w:t>
            </w:r>
          </w:p>
        </w:tc>
        <w:tc>
          <w:tcPr>
            <w:tcW w:w="964" w:type="dxa"/>
            <w:gridSpan w:val="2"/>
            <w:tcBorders>
              <w:top w:val="nil"/>
              <w:left w:val="nil"/>
              <w:bottom w:val="nil"/>
              <w:right w:val="nil"/>
            </w:tcBorders>
          </w:tcPr>
          <w:p w14:paraId="2C45CDA0" w14:textId="77777777" w:rsidR="00CF0E2D" w:rsidRPr="001633D5" w:rsidRDefault="00CF0E2D" w:rsidP="00A60D4B">
            <w:pPr>
              <w:pStyle w:val="Btablefigureunbold"/>
              <w:rPr>
                <w:rFonts w:cs="Calibri"/>
                <w:color w:val="000000"/>
                <w:szCs w:val="20"/>
              </w:rPr>
            </w:pPr>
            <w:r>
              <w:rPr>
                <w:rFonts w:cs="Calibri"/>
                <w:color w:val="000000"/>
                <w:szCs w:val="20"/>
              </w:rPr>
              <w:t>0</w:t>
            </w:r>
          </w:p>
        </w:tc>
        <w:tc>
          <w:tcPr>
            <w:tcW w:w="964" w:type="dxa"/>
            <w:gridSpan w:val="2"/>
            <w:tcBorders>
              <w:top w:val="nil"/>
              <w:left w:val="nil"/>
              <w:bottom w:val="nil"/>
              <w:right w:val="nil"/>
            </w:tcBorders>
          </w:tcPr>
          <w:p w14:paraId="0CEE385D" w14:textId="77777777" w:rsidR="00CF0E2D" w:rsidRPr="001633D5" w:rsidRDefault="00CF0E2D" w:rsidP="00A60D4B">
            <w:pPr>
              <w:pStyle w:val="Btablefigureunbold"/>
              <w:rPr>
                <w:rFonts w:cs="Calibri"/>
                <w:color w:val="000000"/>
                <w:szCs w:val="20"/>
              </w:rPr>
            </w:pPr>
            <w:r>
              <w:rPr>
                <w:rFonts w:cs="Calibri"/>
                <w:color w:val="000000"/>
                <w:szCs w:val="20"/>
              </w:rPr>
              <w:t>0</w:t>
            </w:r>
          </w:p>
        </w:tc>
        <w:tc>
          <w:tcPr>
            <w:tcW w:w="964" w:type="dxa"/>
            <w:gridSpan w:val="2"/>
            <w:tcBorders>
              <w:top w:val="nil"/>
              <w:left w:val="nil"/>
              <w:bottom w:val="nil"/>
              <w:right w:val="nil"/>
            </w:tcBorders>
          </w:tcPr>
          <w:p w14:paraId="29F4F4F8" w14:textId="77777777" w:rsidR="00CF0E2D" w:rsidRPr="001633D5" w:rsidRDefault="00CF0E2D" w:rsidP="00A60D4B">
            <w:pPr>
              <w:pStyle w:val="Btablefigureunbold"/>
              <w:rPr>
                <w:rFonts w:cs="Calibri"/>
                <w:color w:val="000000"/>
                <w:szCs w:val="20"/>
              </w:rPr>
            </w:pPr>
            <w:r>
              <w:rPr>
                <w:rFonts w:cs="Calibri"/>
                <w:color w:val="000000"/>
                <w:szCs w:val="20"/>
              </w:rPr>
              <w:t>0</w:t>
            </w:r>
          </w:p>
        </w:tc>
        <w:tc>
          <w:tcPr>
            <w:tcW w:w="954" w:type="dxa"/>
            <w:gridSpan w:val="2"/>
            <w:tcBorders>
              <w:top w:val="nil"/>
              <w:left w:val="nil"/>
              <w:bottom w:val="nil"/>
              <w:right w:val="nil"/>
            </w:tcBorders>
          </w:tcPr>
          <w:p w14:paraId="356695E0" w14:textId="77777777" w:rsidR="00CF0E2D" w:rsidRPr="001633D5" w:rsidRDefault="00CF0E2D" w:rsidP="00A60D4B">
            <w:pPr>
              <w:pStyle w:val="Btablefigureunbold"/>
              <w:rPr>
                <w:rFonts w:cs="Calibri"/>
                <w:b/>
                <w:bCs/>
                <w:color w:val="000000"/>
                <w:szCs w:val="20"/>
              </w:rPr>
            </w:pPr>
            <w:r>
              <w:rPr>
                <w:rFonts w:cs="Calibri"/>
                <w:b/>
                <w:bCs/>
                <w:color w:val="000000"/>
                <w:szCs w:val="20"/>
              </w:rPr>
              <w:t>400</w:t>
            </w:r>
          </w:p>
        </w:tc>
      </w:tr>
      <w:tr w:rsidR="00CF0E2D" w:rsidRPr="00D60558" w14:paraId="548DBDF3" w14:textId="77777777" w:rsidTr="00A60D4B">
        <w:trPr>
          <w:gridAfter w:val="1"/>
          <w:wAfter w:w="9" w:type="dxa"/>
          <w:jc w:val="center"/>
        </w:trPr>
        <w:tc>
          <w:tcPr>
            <w:tcW w:w="3355" w:type="dxa"/>
            <w:tcBorders>
              <w:top w:val="nil"/>
              <w:left w:val="nil"/>
              <w:bottom w:val="nil"/>
              <w:right w:val="nil"/>
            </w:tcBorders>
          </w:tcPr>
          <w:p w14:paraId="33712AE1" w14:textId="77777777" w:rsidR="00CF0E2D" w:rsidRPr="007A0C65" w:rsidRDefault="00CF0E2D" w:rsidP="00A60D4B">
            <w:pPr>
              <w:pStyle w:val="Btabletextunbold"/>
              <w:rPr>
                <w:szCs w:val="20"/>
              </w:rPr>
            </w:pPr>
            <w:r w:rsidRPr="007A0C65">
              <w:rPr>
                <w:rFonts w:cs="Calibri"/>
                <w:color w:val="000000"/>
                <w:szCs w:val="20"/>
              </w:rPr>
              <w:t>Safe and connected youth</w:t>
            </w:r>
          </w:p>
        </w:tc>
        <w:tc>
          <w:tcPr>
            <w:tcW w:w="1093" w:type="dxa"/>
            <w:tcBorders>
              <w:top w:val="nil"/>
              <w:left w:val="nil"/>
              <w:bottom w:val="nil"/>
              <w:right w:val="nil"/>
            </w:tcBorders>
          </w:tcPr>
          <w:p w14:paraId="1786BA67" w14:textId="77777777" w:rsidR="00CF0E2D" w:rsidRPr="00D60558" w:rsidRDefault="00CF0E2D" w:rsidP="00A60D4B">
            <w:pPr>
              <w:pStyle w:val="Btablefigureunbold"/>
              <w:ind w:left="0" w:firstLine="0"/>
              <w:jc w:val="left"/>
              <w:rPr>
                <w:rFonts w:cs="Calibri"/>
                <w:color w:val="000000"/>
                <w:szCs w:val="20"/>
              </w:rPr>
            </w:pPr>
            <w:r w:rsidRPr="005B456A">
              <w:rPr>
                <w:rFonts w:cs="Calibri"/>
                <w:color w:val="000000"/>
                <w:szCs w:val="20"/>
              </w:rPr>
              <w:t>Net cost</w:t>
            </w:r>
          </w:p>
        </w:tc>
        <w:tc>
          <w:tcPr>
            <w:tcW w:w="964" w:type="dxa"/>
            <w:gridSpan w:val="2"/>
            <w:tcBorders>
              <w:top w:val="nil"/>
              <w:left w:val="nil"/>
              <w:bottom w:val="nil"/>
              <w:right w:val="nil"/>
            </w:tcBorders>
          </w:tcPr>
          <w:p w14:paraId="26A9D1E5" w14:textId="77777777" w:rsidR="00CF0E2D" w:rsidRPr="001633D5" w:rsidRDefault="00CF0E2D" w:rsidP="00A60D4B">
            <w:pPr>
              <w:pStyle w:val="Btablefigureunbold"/>
              <w:rPr>
                <w:szCs w:val="20"/>
              </w:rPr>
            </w:pPr>
            <w:r w:rsidRPr="001633D5">
              <w:rPr>
                <w:rFonts w:cs="Calibri"/>
                <w:color w:val="000000"/>
                <w:szCs w:val="20"/>
              </w:rPr>
              <w:t>1,557</w:t>
            </w:r>
          </w:p>
        </w:tc>
        <w:tc>
          <w:tcPr>
            <w:tcW w:w="964" w:type="dxa"/>
            <w:gridSpan w:val="2"/>
            <w:tcBorders>
              <w:top w:val="nil"/>
              <w:left w:val="nil"/>
              <w:bottom w:val="nil"/>
              <w:right w:val="nil"/>
            </w:tcBorders>
          </w:tcPr>
          <w:p w14:paraId="5BE5F4D0" w14:textId="77777777" w:rsidR="00CF0E2D" w:rsidRPr="001633D5" w:rsidRDefault="00CF0E2D" w:rsidP="00A60D4B">
            <w:pPr>
              <w:pStyle w:val="Btablefigureunbold"/>
              <w:rPr>
                <w:szCs w:val="20"/>
              </w:rPr>
            </w:pPr>
            <w:r w:rsidRPr="001633D5">
              <w:rPr>
                <w:rFonts w:cs="Calibri"/>
                <w:color w:val="000000"/>
                <w:szCs w:val="20"/>
              </w:rPr>
              <w:t>1,796</w:t>
            </w:r>
          </w:p>
        </w:tc>
        <w:tc>
          <w:tcPr>
            <w:tcW w:w="964" w:type="dxa"/>
            <w:gridSpan w:val="2"/>
            <w:tcBorders>
              <w:top w:val="nil"/>
              <w:left w:val="nil"/>
              <w:bottom w:val="nil"/>
              <w:right w:val="nil"/>
            </w:tcBorders>
          </w:tcPr>
          <w:p w14:paraId="1FEDB95D" w14:textId="77777777" w:rsidR="00CF0E2D" w:rsidRPr="001633D5" w:rsidRDefault="00CF0E2D" w:rsidP="00A60D4B">
            <w:pPr>
              <w:pStyle w:val="Btablefigureunbold"/>
              <w:rPr>
                <w:szCs w:val="20"/>
              </w:rPr>
            </w:pPr>
            <w:r w:rsidRPr="001633D5">
              <w:rPr>
                <w:rFonts w:cs="Calibri"/>
                <w:color w:val="000000"/>
                <w:szCs w:val="20"/>
              </w:rPr>
              <w:t>1,830</w:t>
            </w:r>
          </w:p>
        </w:tc>
        <w:tc>
          <w:tcPr>
            <w:tcW w:w="964" w:type="dxa"/>
            <w:gridSpan w:val="2"/>
            <w:tcBorders>
              <w:top w:val="nil"/>
              <w:left w:val="nil"/>
              <w:bottom w:val="nil"/>
              <w:right w:val="nil"/>
            </w:tcBorders>
          </w:tcPr>
          <w:p w14:paraId="7DECEA8A" w14:textId="77777777" w:rsidR="00CF0E2D" w:rsidRPr="001633D5" w:rsidRDefault="00CF0E2D" w:rsidP="00A60D4B">
            <w:pPr>
              <w:pStyle w:val="Btablefigureunbold"/>
              <w:rPr>
                <w:szCs w:val="20"/>
              </w:rPr>
            </w:pPr>
            <w:r w:rsidRPr="001633D5">
              <w:rPr>
                <w:rFonts w:cs="Calibri"/>
                <w:color w:val="000000"/>
                <w:szCs w:val="20"/>
              </w:rPr>
              <w:t>1,866</w:t>
            </w:r>
          </w:p>
        </w:tc>
        <w:tc>
          <w:tcPr>
            <w:tcW w:w="954" w:type="dxa"/>
            <w:gridSpan w:val="2"/>
            <w:tcBorders>
              <w:top w:val="nil"/>
              <w:left w:val="nil"/>
              <w:bottom w:val="nil"/>
              <w:right w:val="nil"/>
            </w:tcBorders>
          </w:tcPr>
          <w:p w14:paraId="04EEB476" w14:textId="77777777" w:rsidR="00CF0E2D" w:rsidRPr="001633D5" w:rsidRDefault="00CF0E2D" w:rsidP="00A60D4B">
            <w:pPr>
              <w:pStyle w:val="Btablefigureunbold"/>
              <w:rPr>
                <w:b/>
                <w:bCs/>
                <w:szCs w:val="20"/>
              </w:rPr>
            </w:pPr>
            <w:r w:rsidRPr="001633D5">
              <w:rPr>
                <w:rFonts w:cs="Calibri"/>
                <w:b/>
                <w:bCs/>
                <w:color w:val="000000"/>
                <w:szCs w:val="20"/>
              </w:rPr>
              <w:t>7,049</w:t>
            </w:r>
          </w:p>
        </w:tc>
      </w:tr>
      <w:tr w:rsidR="00CF0E2D" w:rsidRPr="00D60558" w14:paraId="2E82386A" w14:textId="77777777" w:rsidTr="00A60D4B">
        <w:trPr>
          <w:gridAfter w:val="1"/>
          <w:wAfter w:w="9" w:type="dxa"/>
          <w:jc w:val="center"/>
        </w:trPr>
        <w:tc>
          <w:tcPr>
            <w:tcW w:w="3355" w:type="dxa"/>
            <w:tcBorders>
              <w:top w:val="nil"/>
              <w:left w:val="nil"/>
              <w:bottom w:val="nil"/>
              <w:right w:val="nil"/>
            </w:tcBorders>
          </w:tcPr>
          <w:p w14:paraId="5CBCFE20" w14:textId="77777777" w:rsidR="00CF0E2D" w:rsidRPr="005357CD" w:rsidRDefault="00CF0E2D" w:rsidP="00A60D4B">
            <w:pPr>
              <w:pStyle w:val="Btabletextunbold"/>
              <w:rPr>
                <w:rFonts w:cs="Calibri"/>
                <w:i/>
                <w:iCs/>
                <w:color w:val="000000"/>
                <w:szCs w:val="20"/>
              </w:rPr>
            </w:pPr>
            <w:r w:rsidRPr="005357CD">
              <w:rPr>
                <w:rFonts w:cs="Calibri"/>
                <w:i/>
                <w:iCs/>
                <w:color w:val="000000"/>
                <w:szCs w:val="20"/>
              </w:rPr>
              <w:t>Safer Families Levy</w:t>
            </w:r>
          </w:p>
        </w:tc>
        <w:tc>
          <w:tcPr>
            <w:tcW w:w="1093" w:type="dxa"/>
            <w:tcBorders>
              <w:top w:val="nil"/>
              <w:left w:val="nil"/>
              <w:bottom w:val="nil"/>
              <w:right w:val="nil"/>
            </w:tcBorders>
          </w:tcPr>
          <w:p w14:paraId="596DEC36" w14:textId="77777777" w:rsidR="00CF0E2D" w:rsidRPr="005B456A"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690BC49B" w14:textId="77777777" w:rsidR="00CF0E2D" w:rsidRPr="001633D5" w:rsidRDefault="00CF0E2D" w:rsidP="00A60D4B">
            <w:pPr>
              <w:pStyle w:val="Btablefigureunbold"/>
              <w:rPr>
                <w:szCs w:val="20"/>
              </w:rPr>
            </w:pPr>
          </w:p>
        </w:tc>
        <w:tc>
          <w:tcPr>
            <w:tcW w:w="964" w:type="dxa"/>
            <w:gridSpan w:val="2"/>
            <w:tcBorders>
              <w:top w:val="nil"/>
              <w:left w:val="nil"/>
              <w:bottom w:val="nil"/>
              <w:right w:val="nil"/>
            </w:tcBorders>
          </w:tcPr>
          <w:p w14:paraId="03826B38" w14:textId="77777777" w:rsidR="00CF0E2D" w:rsidRPr="001633D5" w:rsidRDefault="00CF0E2D" w:rsidP="00A60D4B">
            <w:pPr>
              <w:pStyle w:val="Btablefigureunbold"/>
              <w:rPr>
                <w:szCs w:val="20"/>
              </w:rPr>
            </w:pPr>
          </w:p>
        </w:tc>
        <w:tc>
          <w:tcPr>
            <w:tcW w:w="964" w:type="dxa"/>
            <w:gridSpan w:val="2"/>
            <w:tcBorders>
              <w:top w:val="nil"/>
              <w:left w:val="nil"/>
              <w:bottom w:val="nil"/>
              <w:right w:val="nil"/>
            </w:tcBorders>
          </w:tcPr>
          <w:p w14:paraId="3D57EEF4" w14:textId="77777777" w:rsidR="00CF0E2D" w:rsidRPr="001633D5" w:rsidRDefault="00CF0E2D" w:rsidP="00A60D4B">
            <w:pPr>
              <w:pStyle w:val="Btablefigureunbold"/>
              <w:rPr>
                <w:szCs w:val="20"/>
              </w:rPr>
            </w:pPr>
          </w:p>
        </w:tc>
        <w:tc>
          <w:tcPr>
            <w:tcW w:w="964" w:type="dxa"/>
            <w:gridSpan w:val="2"/>
            <w:tcBorders>
              <w:top w:val="nil"/>
              <w:left w:val="nil"/>
              <w:bottom w:val="nil"/>
              <w:right w:val="nil"/>
            </w:tcBorders>
          </w:tcPr>
          <w:p w14:paraId="7176D58A" w14:textId="77777777" w:rsidR="00CF0E2D" w:rsidRPr="001633D5" w:rsidRDefault="00CF0E2D" w:rsidP="00A60D4B">
            <w:pPr>
              <w:pStyle w:val="Btablefigureunbold"/>
              <w:rPr>
                <w:szCs w:val="20"/>
              </w:rPr>
            </w:pPr>
          </w:p>
        </w:tc>
        <w:tc>
          <w:tcPr>
            <w:tcW w:w="954" w:type="dxa"/>
            <w:gridSpan w:val="2"/>
            <w:tcBorders>
              <w:top w:val="nil"/>
              <w:left w:val="nil"/>
              <w:bottom w:val="nil"/>
              <w:right w:val="nil"/>
            </w:tcBorders>
          </w:tcPr>
          <w:p w14:paraId="76EAF33C" w14:textId="77777777" w:rsidR="00CF0E2D" w:rsidRPr="001633D5" w:rsidRDefault="00CF0E2D" w:rsidP="00A60D4B">
            <w:pPr>
              <w:pStyle w:val="Btablefigureunbold"/>
              <w:rPr>
                <w:b/>
                <w:bCs/>
                <w:szCs w:val="20"/>
              </w:rPr>
            </w:pPr>
          </w:p>
        </w:tc>
      </w:tr>
      <w:tr w:rsidR="00CF0E2D" w:rsidRPr="00D60558" w14:paraId="634916B2" w14:textId="77777777" w:rsidTr="00A60D4B">
        <w:trPr>
          <w:gridAfter w:val="1"/>
          <w:wAfter w:w="9" w:type="dxa"/>
          <w:jc w:val="center"/>
        </w:trPr>
        <w:tc>
          <w:tcPr>
            <w:tcW w:w="3355" w:type="dxa"/>
            <w:tcBorders>
              <w:top w:val="nil"/>
              <w:left w:val="nil"/>
              <w:bottom w:val="nil"/>
              <w:right w:val="nil"/>
            </w:tcBorders>
          </w:tcPr>
          <w:p w14:paraId="54BAF879" w14:textId="77777777" w:rsidR="00CF0E2D" w:rsidRPr="007A0C65" w:rsidRDefault="00CF0E2D" w:rsidP="00A60D4B">
            <w:pPr>
              <w:pStyle w:val="Btabletextunbold"/>
              <w:rPr>
                <w:szCs w:val="20"/>
              </w:rPr>
            </w:pPr>
            <w:r>
              <w:rPr>
                <w:rFonts w:cs="Calibri"/>
                <w:color w:val="000000"/>
                <w:szCs w:val="20"/>
              </w:rPr>
              <w:t>–</w:t>
            </w:r>
            <w:r w:rsidRPr="007A0C65">
              <w:rPr>
                <w:rFonts w:cs="Calibri"/>
                <w:color w:val="000000"/>
                <w:szCs w:val="20"/>
              </w:rPr>
              <w:t xml:space="preserve"> Critical domestic and family violence support in health and community settings</w:t>
            </w:r>
          </w:p>
        </w:tc>
        <w:tc>
          <w:tcPr>
            <w:tcW w:w="1093" w:type="dxa"/>
            <w:tcBorders>
              <w:top w:val="nil"/>
              <w:left w:val="nil"/>
              <w:bottom w:val="nil"/>
              <w:right w:val="nil"/>
            </w:tcBorders>
          </w:tcPr>
          <w:p w14:paraId="23DB1C1D" w14:textId="77777777" w:rsidR="00CF0E2D" w:rsidRPr="00D60558" w:rsidRDefault="00CF0E2D" w:rsidP="00A60D4B">
            <w:pPr>
              <w:pStyle w:val="Btablefigureunbold"/>
              <w:ind w:left="0" w:firstLine="0"/>
              <w:jc w:val="left"/>
              <w:rPr>
                <w:rFonts w:cs="Calibri"/>
                <w:color w:val="000000"/>
                <w:szCs w:val="20"/>
              </w:rPr>
            </w:pPr>
            <w:r w:rsidRPr="005B456A">
              <w:rPr>
                <w:rFonts w:cs="Calibri"/>
                <w:color w:val="000000"/>
                <w:szCs w:val="20"/>
              </w:rPr>
              <w:t>Net cost</w:t>
            </w:r>
          </w:p>
        </w:tc>
        <w:tc>
          <w:tcPr>
            <w:tcW w:w="964" w:type="dxa"/>
            <w:gridSpan w:val="2"/>
            <w:tcBorders>
              <w:top w:val="nil"/>
              <w:left w:val="nil"/>
              <w:bottom w:val="nil"/>
              <w:right w:val="nil"/>
            </w:tcBorders>
          </w:tcPr>
          <w:p w14:paraId="27D25C6E" w14:textId="77777777" w:rsidR="00CF0E2D" w:rsidRPr="001633D5" w:rsidRDefault="00CF0E2D" w:rsidP="00A60D4B">
            <w:pPr>
              <w:pStyle w:val="Btablefigureunbold"/>
              <w:rPr>
                <w:szCs w:val="20"/>
              </w:rPr>
            </w:pPr>
            <w:r w:rsidRPr="001633D5">
              <w:rPr>
                <w:rFonts w:cs="Calibri"/>
                <w:color w:val="000000"/>
                <w:szCs w:val="20"/>
              </w:rPr>
              <w:t>40</w:t>
            </w:r>
          </w:p>
        </w:tc>
        <w:tc>
          <w:tcPr>
            <w:tcW w:w="964" w:type="dxa"/>
            <w:gridSpan w:val="2"/>
            <w:tcBorders>
              <w:top w:val="nil"/>
              <w:left w:val="nil"/>
              <w:bottom w:val="nil"/>
              <w:right w:val="nil"/>
            </w:tcBorders>
          </w:tcPr>
          <w:p w14:paraId="4C309DE9" w14:textId="77777777" w:rsidR="00CF0E2D" w:rsidRPr="001633D5" w:rsidRDefault="00CF0E2D" w:rsidP="00A60D4B">
            <w:pPr>
              <w:pStyle w:val="Btablefigureunbold"/>
              <w:rPr>
                <w:szCs w:val="20"/>
              </w:rPr>
            </w:pPr>
            <w:r w:rsidRPr="001633D5">
              <w:rPr>
                <w:rFonts w:cs="Calibri"/>
                <w:color w:val="000000"/>
                <w:szCs w:val="20"/>
              </w:rPr>
              <w:t>40</w:t>
            </w:r>
          </w:p>
        </w:tc>
        <w:tc>
          <w:tcPr>
            <w:tcW w:w="964" w:type="dxa"/>
            <w:gridSpan w:val="2"/>
            <w:tcBorders>
              <w:top w:val="nil"/>
              <w:left w:val="nil"/>
              <w:bottom w:val="nil"/>
              <w:right w:val="nil"/>
            </w:tcBorders>
          </w:tcPr>
          <w:p w14:paraId="0026C519" w14:textId="77777777" w:rsidR="00CF0E2D" w:rsidRPr="001633D5" w:rsidRDefault="00CF0E2D" w:rsidP="00A60D4B">
            <w:pPr>
              <w:pStyle w:val="Btablefigureunbold"/>
              <w:rPr>
                <w:szCs w:val="20"/>
              </w:rPr>
            </w:pPr>
            <w:r w:rsidRPr="001633D5">
              <w:rPr>
                <w:rFonts w:cs="Calibri"/>
                <w:color w:val="000000"/>
                <w:szCs w:val="20"/>
              </w:rPr>
              <w:t>41</w:t>
            </w:r>
          </w:p>
        </w:tc>
        <w:tc>
          <w:tcPr>
            <w:tcW w:w="964" w:type="dxa"/>
            <w:gridSpan w:val="2"/>
            <w:tcBorders>
              <w:top w:val="nil"/>
              <w:left w:val="nil"/>
              <w:bottom w:val="nil"/>
              <w:right w:val="nil"/>
            </w:tcBorders>
          </w:tcPr>
          <w:p w14:paraId="6A63EE33" w14:textId="77777777" w:rsidR="00CF0E2D" w:rsidRPr="001633D5" w:rsidRDefault="00CF0E2D" w:rsidP="00A60D4B">
            <w:pPr>
              <w:pStyle w:val="Btablefigureunbold"/>
              <w:rPr>
                <w:szCs w:val="20"/>
              </w:rPr>
            </w:pPr>
            <w:r w:rsidRPr="001633D5">
              <w:rPr>
                <w:rFonts w:cs="Calibri"/>
                <w:color w:val="000000"/>
                <w:szCs w:val="20"/>
              </w:rPr>
              <w:t>41</w:t>
            </w:r>
          </w:p>
        </w:tc>
        <w:tc>
          <w:tcPr>
            <w:tcW w:w="954" w:type="dxa"/>
            <w:gridSpan w:val="2"/>
            <w:tcBorders>
              <w:top w:val="nil"/>
              <w:left w:val="nil"/>
              <w:bottom w:val="nil"/>
              <w:right w:val="nil"/>
            </w:tcBorders>
          </w:tcPr>
          <w:p w14:paraId="16B61B7C" w14:textId="77777777" w:rsidR="00CF0E2D" w:rsidRPr="001633D5" w:rsidRDefault="00CF0E2D" w:rsidP="00A60D4B">
            <w:pPr>
              <w:pStyle w:val="Btablefigureunbold"/>
              <w:rPr>
                <w:b/>
                <w:bCs/>
                <w:szCs w:val="20"/>
              </w:rPr>
            </w:pPr>
            <w:r w:rsidRPr="001633D5">
              <w:rPr>
                <w:rFonts w:cs="Calibri"/>
                <w:b/>
                <w:bCs/>
                <w:color w:val="000000"/>
                <w:szCs w:val="20"/>
              </w:rPr>
              <w:t>162</w:t>
            </w:r>
          </w:p>
        </w:tc>
      </w:tr>
      <w:tr w:rsidR="00CF0E2D" w:rsidRPr="00D60558" w14:paraId="6673BFFF" w14:textId="77777777" w:rsidTr="00A60D4B">
        <w:trPr>
          <w:gridAfter w:val="1"/>
          <w:wAfter w:w="9" w:type="dxa"/>
          <w:jc w:val="center"/>
        </w:trPr>
        <w:tc>
          <w:tcPr>
            <w:tcW w:w="3355" w:type="dxa"/>
            <w:tcBorders>
              <w:top w:val="nil"/>
              <w:left w:val="nil"/>
              <w:bottom w:val="nil"/>
              <w:right w:val="nil"/>
            </w:tcBorders>
          </w:tcPr>
          <w:p w14:paraId="05F8A2C7" w14:textId="77777777" w:rsidR="00CF0E2D" w:rsidRPr="007A0C65" w:rsidRDefault="00CF0E2D" w:rsidP="00A60D4B">
            <w:pPr>
              <w:pStyle w:val="Btabletextunbold"/>
              <w:rPr>
                <w:szCs w:val="20"/>
              </w:rPr>
            </w:pPr>
            <w:r>
              <w:rPr>
                <w:rFonts w:cs="Calibri"/>
                <w:color w:val="000000"/>
                <w:szCs w:val="20"/>
              </w:rPr>
              <w:lastRenderedPageBreak/>
              <w:t>–</w:t>
            </w:r>
            <w:r w:rsidRPr="007A0C65">
              <w:rPr>
                <w:rFonts w:cs="Calibri"/>
                <w:color w:val="000000"/>
                <w:szCs w:val="20"/>
              </w:rPr>
              <w:t xml:space="preserve"> Family Violence Safety Action Pilot </w:t>
            </w:r>
            <w:r>
              <w:rPr>
                <w:rFonts w:cs="Calibri"/>
                <w:color w:val="000000"/>
                <w:szCs w:val="20"/>
              </w:rPr>
              <w:t>–</w:t>
            </w:r>
            <w:r w:rsidRPr="007A0C65">
              <w:rPr>
                <w:rFonts w:cs="Calibri"/>
                <w:color w:val="000000"/>
                <w:szCs w:val="20"/>
              </w:rPr>
              <w:t xml:space="preserve"> continuation </w:t>
            </w:r>
          </w:p>
        </w:tc>
        <w:tc>
          <w:tcPr>
            <w:tcW w:w="1093" w:type="dxa"/>
            <w:tcBorders>
              <w:top w:val="nil"/>
              <w:left w:val="nil"/>
              <w:bottom w:val="nil"/>
              <w:right w:val="nil"/>
            </w:tcBorders>
          </w:tcPr>
          <w:p w14:paraId="2E89664A" w14:textId="77777777" w:rsidR="00CF0E2D" w:rsidRPr="00D60558" w:rsidRDefault="00CF0E2D" w:rsidP="00A60D4B">
            <w:pPr>
              <w:pStyle w:val="Btablefigureunbold"/>
              <w:ind w:left="0" w:firstLine="0"/>
              <w:jc w:val="left"/>
              <w:rPr>
                <w:rFonts w:cs="Calibri"/>
                <w:color w:val="000000"/>
                <w:szCs w:val="20"/>
              </w:rPr>
            </w:pPr>
            <w:r w:rsidRPr="005B456A">
              <w:rPr>
                <w:rFonts w:cs="Calibri"/>
                <w:color w:val="000000"/>
                <w:szCs w:val="20"/>
              </w:rPr>
              <w:t>Net cost</w:t>
            </w:r>
          </w:p>
        </w:tc>
        <w:tc>
          <w:tcPr>
            <w:tcW w:w="964" w:type="dxa"/>
            <w:gridSpan w:val="2"/>
            <w:tcBorders>
              <w:top w:val="nil"/>
              <w:left w:val="nil"/>
              <w:bottom w:val="nil"/>
              <w:right w:val="nil"/>
            </w:tcBorders>
          </w:tcPr>
          <w:p w14:paraId="6825EEFC"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124E2C0A"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5BFC4416"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77CCF2A1" w14:textId="77777777" w:rsidR="00CF0E2D" w:rsidRPr="001633D5" w:rsidRDefault="00CF0E2D" w:rsidP="00A60D4B">
            <w:pPr>
              <w:pStyle w:val="Btablefigureunbold"/>
              <w:rPr>
                <w:szCs w:val="20"/>
              </w:rPr>
            </w:pPr>
            <w:r w:rsidRPr="001633D5">
              <w:rPr>
                <w:rFonts w:cs="Calibri"/>
                <w:color w:val="000000"/>
                <w:szCs w:val="20"/>
              </w:rPr>
              <w:t>0</w:t>
            </w:r>
          </w:p>
        </w:tc>
        <w:tc>
          <w:tcPr>
            <w:tcW w:w="954" w:type="dxa"/>
            <w:gridSpan w:val="2"/>
            <w:tcBorders>
              <w:top w:val="nil"/>
              <w:left w:val="nil"/>
              <w:bottom w:val="nil"/>
              <w:right w:val="nil"/>
            </w:tcBorders>
          </w:tcPr>
          <w:p w14:paraId="0C85073F" w14:textId="77777777" w:rsidR="00CF0E2D" w:rsidRPr="001633D5" w:rsidRDefault="00CF0E2D" w:rsidP="00A60D4B">
            <w:pPr>
              <w:pStyle w:val="Btablefigureunbold"/>
              <w:rPr>
                <w:b/>
                <w:bCs/>
                <w:szCs w:val="20"/>
              </w:rPr>
            </w:pPr>
            <w:r w:rsidRPr="001633D5">
              <w:rPr>
                <w:rFonts w:cs="Calibri"/>
                <w:b/>
                <w:bCs/>
                <w:color w:val="000000"/>
                <w:szCs w:val="20"/>
              </w:rPr>
              <w:t>0</w:t>
            </w:r>
          </w:p>
        </w:tc>
      </w:tr>
      <w:tr w:rsidR="00CF0E2D" w:rsidRPr="00D60558" w14:paraId="53B4AC22" w14:textId="77777777" w:rsidTr="00A60D4B">
        <w:trPr>
          <w:gridAfter w:val="1"/>
          <w:wAfter w:w="9" w:type="dxa"/>
          <w:jc w:val="center"/>
        </w:trPr>
        <w:tc>
          <w:tcPr>
            <w:tcW w:w="3355" w:type="dxa"/>
            <w:tcBorders>
              <w:top w:val="nil"/>
              <w:left w:val="nil"/>
              <w:bottom w:val="nil"/>
              <w:right w:val="nil"/>
            </w:tcBorders>
          </w:tcPr>
          <w:p w14:paraId="019977C0" w14:textId="77777777" w:rsidR="00CF0E2D" w:rsidRPr="007A0C65" w:rsidRDefault="00CF0E2D" w:rsidP="00A60D4B">
            <w:pPr>
              <w:pStyle w:val="Btabletextunbold"/>
              <w:rPr>
                <w:szCs w:val="20"/>
              </w:rPr>
            </w:pPr>
            <w:r>
              <w:rPr>
                <w:rFonts w:cs="Calibri"/>
                <w:color w:val="000000"/>
                <w:szCs w:val="20"/>
              </w:rPr>
              <w:t>–</w:t>
            </w:r>
            <w:r w:rsidRPr="007A0C65">
              <w:rPr>
                <w:rFonts w:cs="Calibri"/>
                <w:color w:val="000000"/>
                <w:szCs w:val="20"/>
              </w:rPr>
              <w:t xml:space="preserve"> Frontline domestic violence and rape crisis services</w:t>
            </w:r>
          </w:p>
        </w:tc>
        <w:tc>
          <w:tcPr>
            <w:tcW w:w="1093" w:type="dxa"/>
            <w:tcBorders>
              <w:top w:val="nil"/>
              <w:left w:val="nil"/>
              <w:bottom w:val="nil"/>
              <w:right w:val="nil"/>
            </w:tcBorders>
          </w:tcPr>
          <w:p w14:paraId="7793B99E" w14:textId="77777777" w:rsidR="00CF0E2D" w:rsidRPr="00D60558" w:rsidRDefault="00CF0E2D" w:rsidP="00A60D4B">
            <w:pPr>
              <w:pStyle w:val="Btablefigureunbold"/>
              <w:ind w:left="0" w:firstLine="0"/>
              <w:jc w:val="left"/>
              <w:rPr>
                <w:rFonts w:cs="Calibri"/>
                <w:color w:val="000000"/>
                <w:szCs w:val="20"/>
              </w:rPr>
            </w:pPr>
            <w:r w:rsidRPr="005B456A">
              <w:rPr>
                <w:rFonts w:cs="Calibri"/>
                <w:color w:val="000000"/>
                <w:szCs w:val="20"/>
              </w:rPr>
              <w:t>Net cost</w:t>
            </w:r>
          </w:p>
        </w:tc>
        <w:tc>
          <w:tcPr>
            <w:tcW w:w="964" w:type="dxa"/>
            <w:gridSpan w:val="2"/>
            <w:tcBorders>
              <w:top w:val="nil"/>
              <w:left w:val="nil"/>
              <w:bottom w:val="nil"/>
              <w:right w:val="nil"/>
            </w:tcBorders>
          </w:tcPr>
          <w:p w14:paraId="7944DD6E"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61EFB414"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43DC4B7E"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7548EDA6" w14:textId="77777777" w:rsidR="00CF0E2D" w:rsidRPr="001633D5" w:rsidRDefault="00CF0E2D" w:rsidP="00A60D4B">
            <w:pPr>
              <w:pStyle w:val="Btablefigureunbold"/>
              <w:rPr>
                <w:szCs w:val="20"/>
              </w:rPr>
            </w:pPr>
            <w:r w:rsidRPr="001633D5">
              <w:rPr>
                <w:rFonts w:cs="Calibri"/>
                <w:color w:val="000000"/>
                <w:szCs w:val="20"/>
              </w:rPr>
              <w:t>0</w:t>
            </w:r>
          </w:p>
        </w:tc>
        <w:tc>
          <w:tcPr>
            <w:tcW w:w="954" w:type="dxa"/>
            <w:gridSpan w:val="2"/>
            <w:tcBorders>
              <w:top w:val="nil"/>
              <w:left w:val="nil"/>
              <w:bottom w:val="nil"/>
              <w:right w:val="nil"/>
            </w:tcBorders>
          </w:tcPr>
          <w:p w14:paraId="09D1E116" w14:textId="77777777" w:rsidR="00CF0E2D" w:rsidRPr="001633D5" w:rsidRDefault="00CF0E2D" w:rsidP="00A60D4B">
            <w:pPr>
              <w:pStyle w:val="Btablefigureunbold"/>
              <w:rPr>
                <w:b/>
                <w:bCs/>
                <w:szCs w:val="20"/>
              </w:rPr>
            </w:pPr>
            <w:r w:rsidRPr="001633D5">
              <w:rPr>
                <w:rFonts w:cs="Calibri"/>
                <w:b/>
                <w:bCs/>
                <w:color w:val="000000"/>
                <w:szCs w:val="20"/>
              </w:rPr>
              <w:t>0</w:t>
            </w:r>
          </w:p>
        </w:tc>
      </w:tr>
      <w:tr w:rsidR="00CF0E2D" w:rsidRPr="001633D5" w14:paraId="6056E781" w14:textId="77777777" w:rsidTr="00A60D4B">
        <w:trPr>
          <w:gridAfter w:val="1"/>
          <w:wAfter w:w="9" w:type="dxa"/>
          <w:jc w:val="center"/>
        </w:trPr>
        <w:tc>
          <w:tcPr>
            <w:tcW w:w="3355" w:type="dxa"/>
            <w:tcBorders>
              <w:top w:val="nil"/>
              <w:left w:val="nil"/>
              <w:bottom w:val="nil"/>
              <w:right w:val="nil"/>
            </w:tcBorders>
          </w:tcPr>
          <w:p w14:paraId="553C7575" w14:textId="77777777" w:rsidR="00CF0E2D" w:rsidRPr="007A0C65" w:rsidRDefault="00CF0E2D" w:rsidP="00A60D4B">
            <w:pPr>
              <w:pStyle w:val="Btabletextunbold"/>
              <w:rPr>
                <w:rFonts w:cs="Calibri"/>
                <w:color w:val="000000"/>
                <w:szCs w:val="20"/>
              </w:rPr>
            </w:pPr>
            <w:r>
              <w:rPr>
                <w:rFonts w:cs="Calibri"/>
                <w:color w:val="000000"/>
                <w:szCs w:val="20"/>
              </w:rPr>
              <w:t>–</w:t>
            </w:r>
            <w:r w:rsidRPr="00C667F9">
              <w:rPr>
                <w:rFonts w:cs="Calibri"/>
                <w:color w:val="000000"/>
                <w:szCs w:val="20"/>
              </w:rPr>
              <w:t xml:space="preserve"> Private rental assistance for people experiencing domestic violen</w:t>
            </w:r>
            <w:r w:rsidRPr="00F25DD3">
              <w:rPr>
                <w:rFonts w:cs="Calibri"/>
                <w:color w:val="000000"/>
                <w:szCs w:val="20"/>
              </w:rPr>
              <w:t>ce</w:t>
            </w:r>
            <w:r w:rsidRPr="00F25DD3">
              <w:rPr>
                <w:rFonts w:cs="Calibri"/>
                <w:color w:val="000000"/>
                <w:szCs w:val="20"/>
                <w:vertAlign w:val="superscript"/>
              </w:rPr>
              <w:t>1</w:t>
            </w:r>
          </w:p>
        </w:tc>
        <w:tc>
          <w:tcPr>
            <w:tcW w:w="1093" w:type="dxa"/>
            <w:tcBorders>
              <w:top w:val="nil"/>
              <w:left w:val="nil"/>
              <w:bottom w:val="nil"/>
              <w:right w:val="nil"/>
            </w:tcBorders>
          </w:tcPr>
          <w:p w14:paraId="0B72F2EE" w14:textId="77777777" w:rsidR="00CF0E2D" w:rsidRPr="005B456A"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53DE5DBD" w14:textId="77777777" w:rsidR="00CF0E2D" w:rsidRPr="007A0C65" w:rsidRDefault="00CF0E2D" w:rsidP="00A60D4B">
            <w:pPr>
              <w:pStyle w:val="Btablefigureunbold"/>
              <w:rPr>
                <w:rFonts w:cs="Calibri"/>
                <w:color w:val="000000"/>
                <w:szCs w:val="20"/>
              </w:rPr>
            </w:pPr>
            <w:r>
              <w:rPr>
                <w:rFonts w:cs="Calibri"/>
                <w:color w:val="000000"/>
                <w:szCs w:val="20"/>
              </w:rPr>
              <w:t>158</w:t>
            </w:r>
          </w:p>
        </w:tc>
        <w:tc>
          <w:tcPr>
            <w:tcW w:w="964" w:type="dxa"/>
            <w:gridSpan w:val="2"/>
            <w:tcBorders>
              <w:top w:val="nil"/>
              <w:left w:val="nil"/>
              <w:bottom w:val="nil"/>
              <w:right w:val="nil"/>
            </w:tcBorders>
          </w:tcPr>
          <w:p w14:paraId="14BF0E3A" w14:textId="77777777" w:rsidR="00CF0E2D" w:rsidRPr="007A0C65" w:rsidRDefault="00CF0E2D" w:rsidP="00A60D4B">
            <w:pPr>
              <w:pStyle w:val="Btablefigureunbold"/>
              <w:rPr>
                <w:rFonts w:cs="Calibri"/>
                <w:color w:val="000000"/>
                <w:szCs w:val="20"/>
              </w:rPr>
            </w:pPr>
            <w:r>
              <w:rPr>
                <w:rFonts w:cs="Calibri"/>
                <w:color w:val="000000"/>
                <w:szCs w:val="20"/>
              </w:rPr>
              <w:t>160</w:t>
            </w:r>
          </w:p>
        </w:tc>
        <w:tc>
          <w:tcPr>
            <w:tcW w:w="964" w:type="dxa"/>
            <w:gridSpan w:val="2"/>
            <w:tcBorders>
              <w:top w:val="nil"/>
              <w:left w:val="nil"/>
              <w:bottom w:val="nil"/>
              <w:right w:val="nil"/>
            </w:tcBorders>
          </w:tcPr>
          <w:p w14:paraId="00919680" w14:textId="77777777" w:rsidR="00CF0E2D" w:rsidRPr="007A0C65" w:rsidRDefault="00CF0E2D" w:rsidP="00A60D4B">
            <w:pPr>
              <w:pStyle w:val="Btablefigureunbold"/>
              <w:rPr>
                <w:rFonts w:cs="Calibri"/>
                <w:color w:val="000000"/>
                <w:szCs w:val="20"/>
              </w:rPr>
            </w:pPr>
            <w:r>
              <w:rPr>
                <w:rFonts w:cs="Calibri"/>
                <w:color w:val="000000"/>
                <w:szCs w:val="20"/>
              </w:rPr>
              <w:t>0</w:t>
            </w:r>
          </w:p>
        </w:tc>
        <w:tc>
          <w:tcPr>
            <w:tcW w:w="964" w:type="dxa"/>
            <w:gridSpan w:val="2"/>
            <w:tcBorders>
              <w:top w:val="nil"/>
              <w:left w:val="nil"/>
              <w:bottom w:val="nil"/>
              <w:right w:val="nil"/>
            </w:tcBorders>
          </w:tcPr>
          <w:p w14:paraId="6C474E4A" w14:textId="77777777" w:rsidR="00CF0E2D" w:rsidRPr="007A0C65" w:rsidRDefault="00CF0E2D" w:rsidP="00A60D4B">
            <w:pPr>
              <w:pStyle w:val="Btablefigureunbold"/>
              <w:rPr>
                <w:rFonts w:cs="Calibri"/>
                <w:color w:val="000000"/>
                <w:szCs w:val="20"/>
              </w:rPr>
            </w:pPr>
            <w:r>
              <w:rPr>
                <w:rFonts w:cs="Calibri"/>
                <w:color w:val="000000"/>
                <w:szCs w:val="20"/>
              </w:rPr>
              <w:t>0</w:t>
            </w:r>
          </w:p>
        </w:tc>
        <w:tc>
          <w:tcPr>
            <w:tcW w:w="954" w:type="dxa"/>
            <w:gridSpan w:val="2"/>
            <w:tcBorders>
              <w:top w:val="nil"/>
              <w:left w:val="nil"/>
              <w:bottom w:val="nil"/>
              <w:right w:val="nil"/>
            </w:tcBorders>
          </w:tcPr>
          <w:p w14:paraId="06936A05" w14:textId="77777777" w:rsidR="00CF0E2D" w:rsidRPr="001633D5" w:rsidRDefault="00CF0E2D" w:rsidP="00A60D4B">
            <w:pPr>
              <w:pStyle w:val="Btablefigureunbold"/>
              <w:rPr>
                <w:rFonts w:cs="Calibri"/>
                <w:b/>
                <w:bCs/>
                <w:color w:val="000000"/>
                <w:szCs w:val="20"/>
              </w:rPr>
            </w:pPr>
            <w:r>
              <w:rPr>
                <w:rFonts w:cs="Calibri"/>
                <w:b/>
                <w:bCs/>
                <w:color w:val="000000"/>
                <w:szCs w:val="20"/>
              </w:rPr>
              <w:t>318</w:t>
            </w:r>
          </w:p>
        </w:tc>
      </w:tr>
      <w:tr w:rsidR="00CF0E2D" w:rsidRPr="00D60558" w14:paraId="3320DD40" w14:textId="77777777" w:rsidTr="00A60D4B">
        <w:trPr>
          <w:gridAfter w:val="1"/>
          <w:wAfter w:w="9" w:type="dxa"/>
          <w:jc w:val="center"/>
        </w:trPr>
        <w:tc>
          <w:tcPr>
            <w:tcW w:w="3355" w:type="dxa"/>
            <w:tcBorders>
              <w:top w:val="nil"/>
              <w:left w:val="nil"/>
              <w:bottom w:val="nil"/>
              <w:right w:val="nil"/>
            </w:tcBorders>
          </w:tcPr>
          <w:p w14:paraId="00FC27B8" w14:textId="77777777" w:rsidR="00CF0E2D" w:rsidRPr="007A0C65" w:rsidRDefault="00CF0E2D" w:rsidP="00A60D4B">
            <w:pPr>
              <w:pStyle w:val="Btabletextunbold"/>
              <w:rPr>
                <w:szCs w:val="20"/>
              </w:rPr>
            </w:pPr>
            <w:r>
              <w:rPr>
                <w:rFonts w:cs="Calibri"/>
                <w:color w:val="000000"/>
                <w:szCs w:val="20"/>
              </w:rPr>
              <w:t>–</w:t>
            </w:r>
            <w:r w:rsidRPr="007A0C65">
              <w:rPr>
                <w:rFonts w:cs="Calibri"/>
                <w:color w:val="000000"/>
                <w:szCs w:val="20"/>
              </w:rPr>
              <w:t xml:space="preserve"> Safer Families Collaboration Program</w:t>
            </w:r>
          </w:p>
        </w:tc>
        <w:tc>
          <w:tcPr>
            <w:tcW w:w="1093" w:type="dxa"/>
            <w:tcBorders>
              <w:top w:val="nil"/>
              <w:left w:val="nil"/>
              <w:bottom w:val="nil"/>
              <w:right w:val="nil"/>
            </w:tcBorders>
          </w:tcPr>
          <w:p w14:paraId="648C67E0" w14:textId="77777777" w:rsidR="00CF0E2D" w:rsidRPr="00D60558" w:rsidRDefault="00CF0E2D" w:rsidP="00A60D4B">
            <w:pPr>
              <w:pStyle w:val="Btablefigureunbold"/>
              <w:ind w:left="0" w:firstLine="0"/>
              <w:jc w:val="left"/>
              <w:rPr>
                <w:rFonts w:cs="Calibri"/>
                <w:color w:val="000000"/>
                <w:szCs w:val="20"/>
              </w:rPr>
            </w:pPr>
            <w:r w:rsidRPr="005B456A">
              <w:rPr>
                <w:rFonts w:cs="Calibri"/>
                <w:color w:val="000000"/>
                <w:szCs w:val="20"/>
              </w:rPr>
              <w:t>Net cost</w:t>
            </w:r>
          </w:p>
        </w:tc>
        <w:tc>
          <w:tcPr>
            <w:tcW w:w="964" w:type="dxa"/>
            <w:gridSpan w:val="2"/>
            <w:tcBorders>
              <w:top w:val="nil"/>
              <w:left w:val="nil"/>
              <w:bottom w:val="nil"/>
              <w:right w:val="nil"/>
            </w:tcBorders>
          </w:tcPr>
          <w:p w14:paraId="7979F8C1"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5748FD7F"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2631D4DE"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60C0196B" w14:textId="77777777" w:rsidR="00CF0E2D" w:rsidRPr="001633D5" w:rsidRDefault="00CF0E2D" w:rsidP="00A60D4B">
            <w:pPr>
              <w:pStyle w:val="Btablefigureunbold"/>
              <w:rPr>
                <w:szCs w:val="20"/>
              </w:rPr>
            </w:pPr>
            <w:r w:rsidRPr="001633D5">
              <w:rPr>
                <w:rFonts w:cs="Calibri"/>
                <w:color w:val="000000"/>
                <w:szCs w:val="20"/>
              </w:rPr>
              <w:t>0</w:t>
            </w:r>
          </w:p>
        </w:tc>
        <w:tc>
          <w:tcPr>
            <w:tcW w:w="954" w:type="dxa"/>
            <w:gridSpan w:val="2"/>
            <w:tcBorders>
              <w:top w:val="nil"/>
              <w:left w:val="nil"/>
              <w:bottom w:val="nil"/>
              <w:right w:val="nil"/>
            </w:tcBorders>
          </w:tcPr>
          <w:p w14:paraId="449C16BB" w14:textId="77777777" w:rsidR="00CF0E2D" w:rsidRPr="001633D5" w:rsidRDefault="00CF0E2D" w:rsidP="00A60D4B">
            <w:pPr>
              <w:pStyle w:val="Btablefigureunbold"/>
              <w:rPr>
                <w:b/>
                <w:bCs/>
                <w:szCs w:val="20"/>
              </w:rPr>
            </w:pPr>
            <w:r w:rsidRPr="001633D5">
              <w:rPr>
                <w:rFonts w:cs="Calibri"/>
                <w:b/>
                <w:bCs/>
                <w:color w:val="000000"/>
                <w:szCs w:val="20"/>
              </w:rPr>
              <w:t>0</w:t>
            </w:r>
          </w:p>
        </w:tc>
      </w:tr>
      <w:tr w:rsidR="00CF0E2D" w:rsidRPr="00D60558" w14:paraId="3A21055D" w14:textId="77777777" w:rsidTr="00A60D4B">
        <w:trPr>
          <w:gridAfter w:val="1"/>
          <w:wAfter w:w="9" w:type="dxa"/>
          <w:jc w:val="center"/>
        </w:trPr>
        <w:tc>
          <w:tcPr>
            <w:tcW w:w="3355" w:type="dxa"/>
            <w:tcBorders>
              <w:top w:val="nil"/>
              <w:left w:val="nil"/>
              <w:bottom w:val="nil"/>
              <w:right w:val="nil"/>
            </w:tcBorders>
          </w:tcPr>
          <w:p w14:paraId="0ED4A783" w14:textId="77777777" w:rsidR="00CF0E2D" w:rsidRPr="007A0C65" w:rsidRDefault="00CF0E2D" w:rsidP="00A60D4B">
            <w:pPr>
              <w:pStyle w:val="Btabletextunbold"/>
              <w:rPr>
                <w:szCs w:val="20"/>
              </w:rPr>
            </w:pPr>
            <w:r>
              <w:rPr>
                <w:rFonts w:cs="Calibri"/>
                <w:color w:val="000000"/>
                <w:szCs w:val="20"/>
              </w:rPr>
              <w:t>–</w:t>
            </w:r>
            <w:r w:rsidRPr="007A0C65">
              <w:rPr>
                <w:rFonts w:cs="Calibri"/>
                <w:color w:val="000000"/>
                <w:szCs w:val="20"/>
              </w:rPr>
              <w:t xml:space="preserve"> Strengthening domestic and family violence responses for the Aboriginal and Torres Strait Islander community</w:t>
            </w:r>
          </w:p>
        </w:tc>
        <w:tc>
          <w:tcPr>
            <w:tcW w:w="1093" w:type="dxa"/>
            <w:tcBorders>
              <w:top w:val="nil"/>
              <w:left w:val="nil"/>
              <w:bottom w:val="nil"/>
              <w:right w:val="nil"/>
            </w:tcBorders>
          </w:tcPr>
          <w:p w14:paraId="0F2AF61A" w14:textId="77777777" w:rsidR="00CF0E2D" w:rsidRPr="00D60558" w:rsidRDefault="00CF0E2D" w:rsidP="00A60D4B">
            <w:pPr>
              <w:pStyle w:val="Btablefigureunbold"/>
              <w:ind w:left="0" w:firstLine="0"/>
              <w:jc w:val="left"/>
              <w:rPr>
                <w:rFonts w:cs="Calibri"/>
                <w:color w:val="000000"/>
                <w:szCs w:val="20"/>
              </w:rPr>
            </w:pPr>
            <w:r w:rsidRPr="005B456A">
              <w:rPr>
                <w:rFonts w:cs="Calibri"/>
                <w:color w:val="000000"/>
                <w:szCs w:val="20"/>
              </w:rPr>
              <w:t>Net cost</w:t>
            </w:r>
          </w:p>
        </w:tc>
        <w:tc>
          <w:tcPr>
            <w:tcW w:w="964" w:type="dxa"/>
            <w:gridSpan w:val="2"/>
            <w:tcBorders>
              <w:top w:val="nil"/>
              <w:left w:val="nil"/>
              <w:bottom w:val="nil"/>
              <w:right w:val="nil"/>
            </w:tcBorders>
          </w:tcPr>
          <w:p w14:paraId="7E300F0B" w14:textId="77777777" w:rsidR="00CF0E2D" w:rsidRPr="001633D5" w:rsidRDefault="00CF0E2D" w:rsidP="00A60D4B">
            <w:pPr>
              <w:pStyle w:val="Btablefigureunbold"/>
              <w:rPr>
                <w:szCs w:val="20"/>
              </w:rPr>
            </w:pPr>
            <w:r w:rsidRPr="001633D5">
              <w:rPr>
                <w:rFonts w:cs="Calibri"/>
                <w:color w:val="000000"/>
                <w:szCs w:val="20"/>
              </w:rPr>
              <w:t>158</w:t>
            </w:r>
          </w:p>
        </w:tc>
        <w:tc>
          <w:tcPr>
            <w:tcW w:w="964" w:type="dxa"/>
            <w:gridSpan w:val="2"/>
            <w:tcBorders>
              <w:top w:val="nil"/>
              <w:left w:val="nil"/>
              <w:bottom w:val="nil"/>
              <w:right w:val="nil"/>
            </w:tcBorders>
          </w:tcPr>
          <w:p w14:paraId="14BE23C4" w14:textId="77777777" w:rsidR="00CF0E2D" w:rsidRPr="001633D5" w:rsidRDefault="00CF0E2D" w:rsidP="00A60D4B">
            <w:pPr>
              <w:pStyle w:val="Btablefigureunbold"/>
              <w:rPr>
                <w:szCs w:val="20"/>
              </w:rPr>
            </w:pPr>
            <w:r w:rsidRPr="001633D5">
              <w:rPr>
                <w:rFonts w:cs="Calibri"/>
                <w:color w:val="000000"/>
                <w:szCs w:val="20"/>
              </w:rPr>
              <w:t>160</w:t>
            </w:r>
          </w:p>
        </w:tc>
        <w:tc>
          <w:tcPr>
            <w:tcW w:w="964" w:type="dxa"/>
            <w:gridSpan w:val="2"/>
            <w:tcBorders>
              <w:top w:val="nil"/>
              <w:left w:val="nil"/>
              <w:bottom w:val="nil"/>
              <w:right w:val="nil"/>
            </w:tcBorders>
          </w:tcPr>
          <w:p w14:paraId="5D6ED8F6" w14:textId="77777777" w:rsidR="00CF0E2D" w:rsidRPr="001633D5" w:rsidRDefault="00CF0E2D" w:rsidP="00A60D4B">
            <w:pPr>
              <w:pStyle w:val="Btablefigureunbold"/>
              <w:rPr>
                <w:szCs w:val="20"/>
              </w:rPr>
            </w:pPr>
            <w:r w:rsidRPr="001633D5">
              <w:rPr>
                <w:rFonts w:cs="Calibri"/>
                <w:color w:val="000000"/>
                <w:szCs w:val="20"/>
              </w:rPr>
              <w:t>163</w:t>
            </w:r>
          </w:p>
        </w:tc>
        <w:tc>
          <w:tcPr>
            <w:tcW w:w="964" w:type="dxa"/>
            <w:gridSpan w:val="2"/>
            <w:tcBorders>
              <w:top w:val="nil"/>
              <w:left w:val="nil"/>
              <w:bottom w:val="nil"/>
              <w:right w:val="nil"/>
            </w:tcBorders>
          </w:tcPr>
          <w:p w14:paraId="00864F81" w14:textId="77777777" w:rsidR="00CF0E2D" w:rsidRPr="001633D5" w:rsidRDefault="00CF0E2D" w:rsidP="00A60D4B">
            <w:pPr>
              <w:pStyle w:val="Btablefigureunbold"/>
              <w:rPr>
                <w:szCs w:val="20"/>
              </w:rPr>
            </w:pPr>
            <w:r w:rsidRPr="001633D5">
              <w:rPr>
                <w:rFonts w:cs="Calibri"/>
                <w:color w:val="000000"/>
                <w:szCs w:val="20"/>
              </w:rPr>
              <w:t>165</w:t>
            </w:r>
          </w:p>
        </w:tc>
        <w:tc>
          <w:tcPr>
            <w:tcW w:w="954" w:type="dxa"/>
            <w:gridSpan w:val="2"/>
            <w:tcBorders>
              <w:top w:val="nil"/>
              <w:left w:val="nil"/>
              <w:bottom w:val="nil"/>
              <w:right w:val="nil"/>
            </w:tcBorders>
          </w:tcPr>
          <w:p w14:paraId="3BA4BE30" w14:textId="77777777" w:rsidR="00CF0E2D" w:rsidRPr="00E366D2" w:rsidRDefault="00CF0E2D" w:rsidP="00A60D4B">
            <w:pPr>
              <w:pStyle w:val="Btablefigureunbold"/>
              <w:rPr>
                <w:b/>
                <w:bCs/>
                <w:szCs w:val="20"/>
              </w:rPr>
            </w:pPr>
            <w:r w:rsidRPr="00E366D2">
              <w:rPr>
                <w:rFonts w:cs="Calibri"/>
                <w:b/>
                <w:bCs/>
                <w:color w:val="000000"/>
                <w:szCs w:val="20"/>
              </w:rPr>
              <w:t>646</w:t>
            </w:r>
          </w:p>
        </w:tc>
      </w:tr>
      <w:tr w:rsidR="00CF0E2D" w:rsidRPr="00D60558" w14:paraId="38C52975" w14:textId="77777777" w:rsidTr="00A60D4B">
        <w:trPr>
          <w:gridAfter w:val="1"/>
          <w:wAfter w:w="9" w:type="dxa"/>
          <w:jc w:val="center"/>
        </w:trPr>
        <w:tc>
          <w:tcPr>
            <w:tcW w:w="3355" w:type="dxa"/>
            <w:tcBorders>
              <w:top w:val="nil"/>
              <w:left w:val="nil"/>
              <w:bottom w:val="nil"/>
              <w:right w:val="nil"/>
            </w:tcBorders>
          </w:tcPr>
          <w:p w14:paraId="1FD7A27E" w14:textId="77777777" w:rsidR="00CF0E2D" w:rsidRPr="007A0C65" w:rsidRDefault="00CF0E2D" w:rsidP="00A60D4B">
            <w:pPr>
              <w:pStyle w:val="Btabletextunbold"/>
              <w:rPr>
                <w:szCs w:val="20"/>
              </w:rPr>
            </w:pPr>
            <w:r>
              <w:rPr>
                <w:rFonts w:cs="Calibri"/>
                <w:color w:val="000000"/>
                <w:szCs w:val="20"/>
              </w:rPr>
              <w:t>–</w:t>
            </w:r>
            <w:r w:rsidRPr="007A0C65">
              <w:rPr>
                <w:rFonts w:cs="Calibri"/>
                <w:color w:val="000000"/>
                <w:szCs w:val="20"/>
              </w:rPr>
              <w:t xml:space="preserve"> Strengthening sexual assault prevention and response </w:t>
            </w:r>
          </w:p>
        </w:tc>
        <w:tc>
          <w:tcPr>
            <w:tcW w:w="1093" w:type="dxa"/>
            <w:tcBorders>
              <w:top w:val="nil"/>
              <w:left w:val="nil"/>
              <w:bottom w:val="nil"/>
              <w:right w:val="nil"/>
            </w:tcBorders>
          </w:tcPr>
          <w:p w14:paraId="2E819038" w14:textId="77777777" w:rsidR="00CF0E2D" w:rsidRPr="00D60558" w:rsidRDefault="00CF0E2D" w:rsidP="00A60D4B">
            <w:pPr>
              <w:pStyle w:val="Btablefigureunbold"/>
              <w:ind w:left="0" w:firstLine="0"/>
              <w:jc w:val="left"/>
              <w:rPr>
                <w:rFonts w:cs="Calibri"/>
                <w:color w:val="000000"/>
                <w:szCs w:val="20"/>
              </w:rPr>
            </w:pPr>
            <w:r w:rsidRPr="008D23E1">
              <w:rPr>
                <w:rFonts w:cs="Calibri"/>
                <w:color w:val="000000"/>
                <w:szCs w:val="20"/>
              </w:rPr>
              <w:t>Net cost</w:t>
            </w:r>
          </w:p>
        </w:tc>
        <w:tc>
          <w:tcPr>
            <w:tcW w:w="964" w:type="dxa"/>
            <w:gridSpan w:val="2"/>
            <w:tcBorders>
              <w:top w:val="nil"/>
              <w:left w:val="nil"/>
              <w:bottom w:val="nil"/>
              <w:right w:val="nil"/>
            </w:tcBorders>
          </w:tcPr>
          <w:p w14:paraId="3B868305" w14:textId="77777777" w:rsidR="00CF0E2D" w:rsidRPr="001633D5" w:rsidRDefault="00CF0E2D" w:rsidP="00A60D4B">
            <w:pPr>
              <w:pStyle w:val="Btablefigureunbold"/>
              <w:rPr>
                <w:szCs w:val="20"/>
              </w:rPr>
            </w:pPr>
            <w:r w:rsidRPr="001633D5">
              <w:rPr>
                <w:rFonts w:cs="Calibri"/>
                <w:color w:val="000000"/>
                <w:szCs w:val="20"/>
              </w:rPr>
              <w:t>1,048</w:t>
            </w:r>
          </w:p>
        </w:tc>
        <w:tc>
          <w:tcPr>
            <w:tcW w:w="964" w:type="dxa"/>
            <w:gridSpan w:val="2"/>
            <w:tcBorders>
              <w:top w:val="nil"/>
              <w:left w:val="nil"/>
              <w:bottom w:val="nil"/>
              <w:right w:val="nil"/>
            </w:tcBorders>
          </w:tcPr>
          <w:p w14:paraId="325D2604" w14:textId="77777777" w:rsidR="00CF0E2D" w:rsidRPr="001633D5" w:rsidRDefault="00CF0E2D" w:rsidP="00A60D4B">
            <w:pPr>
              <w:pStyle w:val="Btablefigureunbold"/>
              <w:rPr>
                <w:szCs w:val="20"/>
              </w:rPr>
            </w:pPr>
            <w:r w:rsidRPr="001633D5">
              <w:rPr>
                <w:rFonts w:cs="Calibri"/>
                <w:color w:val="000000"/>
                <w:szCs w:val="20"/>
              </w:rPr>
              <w:t>1,114</w:t>
            </w:r>
          </w:p>
        </w:tc>
        <w:tc>
          <w:tcPr>
            <w:tcW w:w="964" w:type="dxa"/>
            <w:gridSpan w:val="2"/>
            <w:tcBorders>
              <w:top w:val="nil"/>
              <w:left w:val="nil"/>
              <w:bottom w:val="nil"/>
              <w:right w:val="nil"/>
            </w:tcBorders>
          </w:tcPr>
          <w:p w14:paraId="3A884111" w14:textId="77777777" w:rsidR="00CF0E2D" w:rsidRPr="001633D5" w:rsidRDefault="00CF0E2D" w:rsidP="00A60D4B">
            <w:pPr>
              <w:pStyle w:val="Btablefigureunbold"/>
              <w:rPr>
                <w:szCs w:val="20"/>
              </w:rPr>
            </w:pPr>
            <w:r w:rsidRPr="001633D5">
              <w:rPr>
                <w:rFonts w:cs="Calibri"/>
                <w:color w:val="000000"/>
                <w:szCs w:val="20"/>
              </w:rPr>
              <w:t>1,121</w:t>
            </w:r>
          </w:p>
        </w:tc>
        <w:tc>
          <w:tcPr>
            <w:tcW w:w="964" w:type="dxa"/>
            <w:gridSpan w:val="2"/>
            <w:tcBorders>
              <w:top w:val="nil"/>
              <w:left w:val="nil"/>
              <w:bottom w:val="nil"/>
              <w:right w:val="nil"/>
            </w:tcBorders>
          </w:tcPr>
          <w:p w14:paraId="18350C4F" w14:textId="77777777" w:rsidR="00CF0E2D" w:rsidRPr="001633D5" w:rsidRDefault="00CF0E2D" w:rsidP="00A60D4B">
            <w:pPr>
              <w:pStyle w:val="Btablefigureunbold"/>
              <w:rPr>
                <w:szCs w:val="20"/>
              </w:rPr>
            </w:pPr>
            <w:r w:rsidRPr="001633D5">
              <w:rPr>
                <w:rFonts w:cs="Calibri"/>
                <w:color w:val="000000"/>
                <w:szCs w:val="20"/>
              </w:rPr>
              <w:t>1,126</w:t>
            </w:r>
          </w:p>
        </w:tc>
        <w:tc>
          <w:tcPr>
            <w:tcW w:w="954" w:type="dxa"/>
            <w:gridSpan w:val="2"/>
            <w:tcBorders>
              <w:top w:val="nil"/>
              <w:left w:val="nil"/>
              <w:bottom w:val="nil"/>
              <w:right w:val="nil"/>
            </w:tcBorders>
          </w:tcPr>
          <w:p w14:paraId="4625F217" w14:textId="77777777" w:rsidR="00CF0E2D" w:rsidRPr="00E366D2" w:rsidRDefault="00CF0E2D" w:rsidP="00A60D4B">
            <w:pPr>
              <w:pStyle w:val="Btablefigureunbold"/>
              <w:rPr>
                <w:b/>
                <w:bCs/>
                <w:szCs w:val="20"/>
              </w:rPr>
            </w:pPr>
            <w:r w:rsidRPr="00E366D2">
              <w:rPr>
                <w:rFonts w:cs="Calibri"/>
                <w:b/>
                <w:bCs/>
                <w:color w:val="000000"/>
                <w:szCs w:val="20"/>
              </w:rPr>
              <w:t>4,409</w:t>
            </w:r>
          </w:p>
        </w:tc>
      </w:tr>
      <w:tr w:rsidR="00CF0E2D" w:rsidRPr="00D60558" w14:paraId="762A1D08" w14:textId="77777777" w:rsidTr="00A60D4B">
        <w:trPr>
          <w:gridAfter w:val="1"/>
          <w:wAfter w:w="9" w:type="dxa"/>
          <w:jc w:val="center"/>
        </w:trPr>
        <w:tc>
          <w:tcPr>
            <w:tcW w:w="3355" w:type="dxa"/>
            <w:tcBorders>
              <w:top w:val="nil"/>
              <w:left w:val="nil"/>
              <w:bottom w:val="nil"/>
              <w:right w:val="nil"/>
            </w:tcBorders>
          </w:tcPr>
          <w:p w14:paraId="7ED443D1" w14:textId="77777777" w:rsidR="00CF0E2D" w:rsidRPr="007A0C65" w:rsidRDefault="00CF0E2D" w:rsidP="00A60D4B">
            <w:pPr>
              <w:pStyle w:val="Btabletextunbold"/>
              <w:rPr>
                <w:szCs w:val="20"/>
              </w:rPr>
            </w:pPr>
            <w:r>
              <w:rPr>
                <w:rFonts w:cs="Calibri"/>
                <w:color w:val="000000"/>
                <w:szCs w:val="20"/>
              </w:rPr>
              <w:t>–</w:t>
            </w:r>
            <w:r w:rsidRPr="007A0C65">
              <w:rPr>
                <w:rFonts w:cs="Calibri"/>
                <w:color w:val="000000"/>
                <w:szCs w:val="20"/>
              </w:rPr>
              <w:t xml:space="preserve"> Women’s safety grants</w:t>
            </w:r>
          </w:p>
        </w:tc>
        <w:tc>
          <w:tcPr>
            <w:tcW w:w="1093" w:type="dxa"/>
            <w:tcBorders>
              <w:top w:val="nil"/>
              <w:left w:val="nil"/>
              <w:bottom w:val="nil"/>
              <w:right w:val="nil"/>
            </w:tcBorders>
          </w:tcPr>
          <w:p w14:paraId="303AB2B8" w14:textId="77777777" w:rsidR="00CF0E2D" w:rsidRPr="00D60558" w:rsidRDefault="00CF0E2D" w:rsidP="00A60D4B">
            <w:pPr>
              <w:pStyle w:val="Btablefigureunbold"/>
              <w:ind w:left="0" w:firstLine="0"/>
              <w:jc w:val="left"/>
              <w:rPr>
                <w:rFonts w:cs="Calibri"/>
                <w:color w:val="000000"/>
                <w:szCs w:val="20"/>
              </w:rPr>
            </w:pPr>
            <w:r w:rsidRPr="008D23E1">
              <w:rPr>
                <w:rFonts w:cs="Calibri"/>
                <w:color w:val="000000"/>
                <w:szCs w:val="20"/>
              </w:rPr>
              <w:t>Net cost</w:t>
            </w:r>
          </w:p>
        </w:tc>
        <w:tc>
          <w:tcPr>
            <w:tcW w:w="964" w:type="dxa"/>
            <w:gridSpan w:val="2"/>
            <w:tcBorders>
              <w:top w:val="nil"/>
              <w:left w:val="nil"/>
              <w:bottom w:val="nil"/>
              <w:right w:val="nil"/>
            </w:tcBorders>
          </w:tcPr>
          <w:p w14:paraId="56E7182E"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7A9786A8"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2215D517" w14:textId="77777777" w:rsidR="00CF0E2D" w:rsidRPr="001633D5" w:rsidRDefault="00CF0E2D" w:rsidP="00A60D4B">
            <w:pPr>
              <w:pStyle w:val="Btablefigureunbold"/>
              <w:rPr>
                <w:szCs w:val="20"/>
              </w:rPr>
            </w:pPr>
            <w:r w:rsidRPr="001633D5">
              <w:rPr>
                <w:rFonts w:cs="Calibri"/>
                <w:color w:val="000000"/>
                <w:szCs w:val="20"/>
              </w:rPr>
              <w:t>0</w:t>
            </w:r>
          </w:p>
        </w:tc>
        <w:tc>
          <w:tcPr>
            <w:tcW w:w="964" w:type="dxa"/>
            <w:gridSpan w:val="2"/>
            <w:tcBorders>
              <w:top w:val="nil"/>
              <w:left w:val="nil"/>
              <w:bottom w:val="nil"/>
              <w:right w:val="nil"/>
            </w:tcBorders>
          </w:tcPr>
          <w:p w14:paraId="3A9CA926" w14:textId="77777777" w:rsidR="00CF0E2D" w:rsidRPr="001633D5" w:rsidRDefault="00CF0E2D" w:rsidP="00A60D4B">
            <w:pPr>
              <w:pStyle w:val="Btablefigureunbold"/>
              <w:rPr>
                <w:szCs w:val="20"/>
              </w:rPr>
            </w:pPr>
            <w:r w:rsidRPr="001633D5">
              <w:rPr>
                <w:rFonts w:cs="Calibri"/>
                <w:color w:val="000000"/>
                <w:szCs w:val="20"/>
              </w:rPr>
              <w:t>0</w:t>
            </w:r>
          </w:p>
        </w:tc>
        <w:tc>
          <w:tcPr>
            <w:tcW w:w="954" w:type="dxa"/>
            <w:gridSpan w:val="2"/>
            <w:tcBorders>
              <w:top w:val="nil"/>
              <w:left w:val="nil"/>
              <w:bottom w:val="nil"/>
              <w:right w:val="nil"/>
            </w:tcBorders>
          </w:tcPr>
          <w:p w14:paraId="2711EFD2" w14:textId="77777777" w:rsidR="00CF0E2D" w:rsidRPr="00E366D2" w:rsidRDefault="00CF0E2D" w:rsidP="00A60D4B">
            <w:pPr>
              <w:pStyle w:val="Btablefigureunbold"/>
              <w:rPr>
                <w:b/>
                <w:bCs/>
                <w:szCs w:val="20"/>
              </w:rPr>
            </w:pPr>
            <w:r w:rsidRPr="00E366D2">
              <w:rPr>
                <w:rFonts w:cs="Calibri"/>
                <w:b/>
                <w:bCs/>
                <w:color w:val="000000"/>
                <w:szCs w:val="20"/>
              </w:rPr>
              <w:t>0</w:t>
            </w:r>
          </w:p>
        </w:tc>
      </w:tr>
      <w:tr w:rsidR="00CF0E2D" w:rsidRPr="00D60558" w14:paraId="64518452" w14:textId="77777777" w:rsidTr="00A60D4B">
        <w:trPr>
          <w:gridAfter w:val="1"/>
          <w:wAfter w:w="9" w:type="dxa"/>
          <w:jc w:val="center"/>
        </w:trPr>
        <w:tc>
          <w:tcPr>
            <w:tcW w:w="3355" w:type="dxa"/>
            <w:tcBorders>
              <w:top w:val="nil"/>
              <w:left w:val="nil"/>
              <w:bottom w:val="nil"/>
              <w:right w:val="nil"/>
            </w:tcBorders>
          </w:tcPr>
          <w:p w14:paraId="48A8C2A1" w14:textId="77777777" w:rsidR="00CF0E2D" w:rsidRPr="007A0C65" w:rsidRDefault="00CF0E2D" w:rsidP="00A60D4B">
            <w:pPr>
              <w:pStyle w:val="Btabletextunbold"/>
              <w:rPr>
                <w:szCs w:val="20"/>
              </w:rPr>
            </w:pPr>
            <w:r w:rsidRPr="007A0C65">
              <w:rPr>
                <w:rFonts w:cs="Calibri"/>
                <w:color w:val="000000"/>
                <w:szCs w:val="20"/>
              </w:rPr>
              <w:t xml:space="preserve">Strengthening disability advocacy services </w:t>
            </w:r>
          </w:p>
        </w:tc>
        <w:tc>
          <w:tcPr>
            <w:tcW w:w="1093" w:type="dxa"/>
            <w:tcBorders>
              <w:top w:val="nil"/>
              <w:left w:val="nil"/>
              <w:bottom w:val="nil"/>
              <w:right w:val="nil"/>
            </w:tcBorders>
          </w:tcPr>
          <w:p w14:paraId="0D3F64BF" w14:textId="77777777" w:rsidR="00CF0E2D" w:rsidRPr="00D60558" w:rsidRDefault="00CF0E2D" w:rsidP="00A60D4B">
            <w:pPr>
              <w:pStyle w:val="Btablefigureunbold"/>
              <w:ind w:left="0" w:firstLine="0"/>
              <w:jc w:val="left"/>
              <w:rPr>
                <w:rFonts w:cs="Calibri"/>
                <w:color w:val="000000"/>
                <w:szCs w:val="20"/>
              </w:rPr>
            </w:pPr>
            <w:r w:rsidRPr="008D23E1">
              <w:rPr>
                <w:rFonts w:cs="Calibri"/>
                <w:color w:val="000000"/>
                <w:szCs w:val="20"/>
              </w:rPr>
              <w:t>Net cost</w:t>
            </w:r>
          </w:p>
        </w:tc>
        <w:tc>
          <w:tcPr>
            <w:tcW w:w="964" w:type="dxa"/>
            <w:gridSpan w:val="2"/>
            <w:tcBorders>
              <w:top w:val="nil"/>
              <w:left w:val="nil"/>
              <w:bottom w:val="nil"/>
              <w:right w:val="nil"/>
            </w:tcBorders>
          </w:tcPr>
          <w:p w14:paraId="5408A716" w14:textId="77777777" w:rsidR="00CF0E2D" w:rsidRPr="001633D5" w:rsidRDefault="00CF0E2D" w:rsidP="00A60D4B">
            <w:pPr>
              <w:pStyle w:val="Btablefigureunbold"/>
              <w:rPr>
                <w:szCs w:val="20"/>
              </w:rPr>
            </w:pPr>
            <w:r w:rsidRPr="001633D5">
              <w:rPr>
                <w:rFonts w:cs="Calibri"/>
                <w:color w:val="000000"/>
                <w:szCs w:val="20"/>
              </w:rPr>
              <w:t>400</w:t>
            </w:r>
          </w:p>
        </w:tc>
        <w:tc>
          <w:tcPr>
            <w:tcW w:w="964" w:type="dxa"/>
            <w:gridSpan w:val="2"/>
            <w:tcBorders>
              <w:top w:val="nil"/>
              <w:left w:val="nil"/>
              <w:bottom w:val="nil"/>
              <w:right w:val="nil"/>
            </w:tcBorders>
          </w:tcPr>
          <w:p w14:paraId="6AFEDD91" w14:textId="77777777" w:rsidR="00CF0E2D" w:rsidRPr="001633D5" w:rsidRDefault="00CF0E2D" w:rsidP="00A60D4B">
            <w:pPr>
              <w:pStyle w:val="Btablefigureunbold"/>
              <w:rPr>
                <w:szCs w:val="20"/>
              </w:rPr>
            </w:pPr>
            <w:r w:rsidRPr="001633D5">
              <w:rPr>
                <w:rFonts w:cs="Calibri"/>
                <w:color w:val="000000"/>
                <w:szCs w:val="20"/>
              </w:rPr>
              <w:t>408</w:t>
            </w:r>
          </w:p>
        </w:tc>
        <w:tc>
          <w:tcPr>
            <w:tcW w:w="964" w:type="dxa"/>
            <w:gridSpan w:val="2"/>
            <w:tcBorders>
              <w:top w:val="nil"/>
              <w:left w:val="nil"/>
              <w:bottom w:val="nil"/>
              <w:right w:val="nil"/>
            </w:tcBorders>
          </w:tcPr>
          <w:p w14:paraId="4E86F711" w14:textId="77777777" w:rsidR="00CF0E2D" w:rsidRPr="001633D5" w:rsidRDefault="00CF0E2D" w:rsidP="00A60D4B">
            <w:pPr>
              <w:pStyle w:val="Btablefigureunbold"/>
              <w:rPr>
                <w:szCs w:val="20"/>
              </w:rPr>
            </w:pPr>
            <w:r w:rsidRPr="001633D5">
              <w:rPr>
                <w:rFonts w:cs="Calibri"/>
                <w:color w:val="000000"/>
                <w:szCs w:val="20"/>
              </w:rPr>
              <w:t>416</w:t>
            </w:r>
          </w:p>
        </w:tc>
        <w:tc>
          <w:tcPr>
            <w:tcW w:w="964" w:type="dxa"/>
            <w:gridSpan w:val="2"/>
            <w:tcBorders>
              <w:top w:val="nil"/>
              <w:left w:val="nil"/>
              <w:bottom w:val="nil"/>
              <w:right w:val="nil"/>
            </w:tcBorders>
          </w:tcPr>
          <w:p w14:paraId="2AC11687" w14:textId="77777777" w:rsidR="00CF0E2D" w:rsidRPr="001633D5" w:rsidRDefault="00CF0E2D" w:rsidP="00A60D4B">
            <w:pPr>
              <w:pStyle w:val="Btablefigureunbold"/>
              <w:rPr>
                <w:szCs w:val="20"/>
              </w:rPr>
            </w:pPr>
            <w:r w:rsidRPr="001633D5">
              <w:rPr>
                <w:rFonts w:cs="Calibri"/>
                <w:color w:val="000000"/>
                <w:szCs w:val="20"/>
              </w:rPr>
              <w:t>424</w:t>
            </w:r>
          </w:p>
        </w:tc>
        <w:tc>
          <w:tcPr>
            <w:tcW w:w="954" w:type="dxa"/>
            <w:gridSpan w:val="2"/>
            <w:tcBorders>
              <w:top w:val="nil"/>
              <w:left w:val="nil"/>
              <w:bottom w:val="nil"/>
              <w:right w:val="nil"/>
            </w:tcBorders>
          </w:tcPr>
          <w:p w14:paraId="4C89FA3B" w14:textId="77777777" w:rsidR="00CF0E2D" w:rsidRPr="00E366D2" w:rsidRDefault="00CF0E2D" w:rsidP="00A60D4B">
            <w:pPr>
              <w:pStyle w:val="Btablefigureunbold"/>
              <w:rPr>
                <w:b/>
                <w:bCs/>
                <w:szCs w:val="20"/>
              </w:rPr>
            </w:pPr>
            <w:r w:rsidRPr="00E366D2">
              <w:rPr>
                <w:rFonts w:cs="Calibri"/>
                <w:b/>
                <w:bCs/>
                <w:color w:val="000000"/>
                <w:szCs w:val="20"/>
              </w:rPr>
              <w:t>1,648</w:t>
            </w:r>
          </w:p>
        </w:tc>
      </w:tr>
      <w:tr w:rsidR="00CF0E2D" w:rsidRPr="00D60558" w14:paraId="3E7BF49E" w14:textId="77777777" w:rsidTr="00A60D4B">
        <w:trPr>
          <w:gridAfter w:val="1"/>
          <w:wAfter w:w="9" w:type="dxa"/>
          <w:jc w:val="center"/>
        </w:trPr>
        <w:tc>
          <w:tcPr>
            <w:tcW w:w="3355" w:type="dxa"/>
            <w:tcBorders>
              <w:top w:val="nil"/>
              <w:left w:val="nil"/>
              <w:bottom w:val="nil"/>
              <w:right w:val="nil"/>
            </w:tcBorders>
          </w:tcPr>
          <w:p w14:paraId="264E244B" w14:textId="77777777" w:rsidR="00CF0E2D" w:rsidRPr="007A0C65" w:rsidRDefault="00CF0E2D" w:rsidP="00A60D4B">
            <w:pPr>
              <w:pStyle w:val="Btabletextunbold"/>
              <w:rPr>
                <w:szCs w:val="20"/>
              </w:rPr>
            </w:pPr>
            <w:r w:rsidRPr="007A0C65">
              <w:rPr>
                <w:rFonts w:cs="Calibri"/>
                <w:color w:val="000000"/>
                <w:szCs w:val="20"/>
              </w:rPr>
              <w:t xml:space="preserve">Women’s workforce participation – Supporting gender equality </w:t>
            </w:r>
          </w:p>
        </w:tc>
        <w:tc>
          <w:tcPr>
            <w:tcW w:w="1093" w:type="dxa"/>
            <w:tcBorders>
              <w:top w:val="nil"/>
              <w:left w:val="nil"/>
              <w:bottom w:val="nil"/>
              <w:right w:val="nil"/>
            </w:tcBorders>
          </w:tcPr>
          <w:p w14:paraId="1ED3174E" w14:textId="77777777" w:rsidR="00CF0E2D" w:rsidRPr="00D60558" w:rsidRDefault="00CF0E2D" w:rsidP="00A60D4B">
            <w:pPr>
              <w:pStyle w:val="Btablefigureunbold"/>
              <w:ind w:left="0" w:firstLine="0"/>
              <w:jc w:val="left"/>
              <w:rPr>
                <w:rFonts w:cs="Calibri"/>
                <w:color w:val="000000"/>
                <w:szCs w:val="20"/>
              </w:rPr>
            </w:pPr>
            <w:r w:rsidRPr="008D23E1">
              <w:rPr>
                <w:rFonts w:cs="Calibri"/>
                <w:color w:val="000000"/>
                <w:szCs w:val="20"/>
              </w:rPr>
              <w:t>Net cost</w:t>
            </w:r>
          </w:p>
        </w:tc>
        <w:tc>
          <w:tcPr>
            <w:tcW w:w="964" w:type="dxa"/>
            <w:gridSpan w:val="2"/>
            <w:tcBorders>
              <w:top w:val="nil"/>
              <w:left w:val="nil"/>
              <w:bottom w:val="nil"/>
              <w:right w:val="nil"/>
            </w:tcBorders>
          </w:tcPr>
          <w:p w14:paraId="2331DECF" w14:textId="77777777" w:rsidR="00CF0E2D" w:rsidRPr="001633D5" w:rsidRDefault="00CF0E2D" w:rsidP="00A60D4B">
            <w:pPr>
              <w:pStyle w:val="Btablefigureunbold"/>
              <w:rPr>
                <w:szCs w:val="20"/>
              </w:rPr>
            </w:pPr>
            <w:r>
              <w:rPr>
                <w:rFonts w:cs="Calibri"/>
                <w:color w:val="000000"/>
                <w:szCs w:val="20"/>
              </w:rPr>
              <w:t>140</w:t>
            </w:r>
          </w:p>
        </w:tc>
        <w:tc>
          <w:tcPr>
            <w:tcW w:w="964" w:type="dxa"/>
            <w:gridSpan w:val="2"/>
            <w:tcBorders>
              <w:top w:val="nil"/>
              <w:left w:val="nil"/>
              <w:bottom w:val="nil"/>
              <w:right w:val="nil"/>
            </w:tcBorders>
          </w:tcPr>
          <w:p w14:paraId="4B3D6C03" w14:textId="77777777" w:rsidR="00CF0E2D" w:rsidRPr="001633D5" w:rsidRDefault="00CF0E2D" w:rsidP="00A60D4B">
            <w:pPr>
              <w:pStyle w:val="Btablefigureunbold"/>
              <w:rPr>
                <w:szCs w:val="20"/>
              </w:rPr>
            </w:pPr>
            <w:r>
              <w:rPr>
                <w:rFonts w:cs="Calibri"/>
                <w:color w:val="000000"/>
                <w:szCs w:val="20"/>
              </w:rPr>
              <w:t>140</w:t>
            </w:r>
          </w:p>
        </w:tc>
        <w:tc>
          <w:tcPr>
            <w:tcW w:w="964" w:type="dxa"/>
            <w:gridSpan w:val="2"/>
            <w:tcBorders>
              <w:top w:val="nil"/>
              <w:left w:val="nil"/>
              <w:bottom w:val="nil"/>
              <w:right w:val="nil"/>
            </w:tcBorders>
          </w:tcPr>
          <w:p w14:paraId="0E658D81" w14:textId="77777777" w:rsidR="00CF0E2D" w:rsidRPr="001633D5" w:rsidRDefault="00CF0E2D" w:rsidP="00A60D4B">
            <w:pPr>
              <w:pStyle w:val="Btablefigureunbold"/>
              <w:rPr>
                <w:szCs w:val="20"/>
              </w:rPr>
            </w:pPr>
            <w:r>
              <w:rPr>
                <w:rFonts w:cs="Calibri"/>
                <w:color w:val="000000"/>
                <w:szCs w:val="20"/>
              </w:rPr>
              <w:t>140</w:t>
            </w:r>
          </w:p>
        </w:tc>
        <w:tc>
          <w:tcPr>
            <w:tcW w:w="964" w:type="dxa"/>
            <w:gridSpan w:val="2"/>
            <w:tcBorders>
              <w:top w:val="nil"/>
              <w:left w:val="nil"/>
              <w:bottom w:val="nil"/>
              <w:right w:val="nil"/>
            </w:tcBorders>
          </w:tcPr>
          <w:p w14:paraId="68F23C3E" w14:textId="77777777" w:rsidR="00CF0E2D" w:rsidRPr="001633D5" w:rsidRDefault="00CF0E2D" w:rsidP="00A60D4B">
            <w:pPr>
              <w:pStyle w:val="Btablefigureunbold"/>
              <w:rPr>
                <w:szCs w:val="20"/>
              </w:rPr>
            </w:pPr>
            <w:r>
              <w:rPr>
                <w:rFonts w:cs="Calibri"/>
                <w:color w:val="000000"/>
                <w:szCs w:val="20"/>
              </w:rPr>
              <w:t>140</w:t>
            </w:r>
          </w:p>
        </w:tc>
        <w:tc>
          <w:tcPr>
            <w:tcW w:w="954" w:type="dxa"/>
            <w:gridSpan w:val="2"/>
            <w:tcBorders>
              <w:top w:val="nil"/>
              <w:left w:val="nil"/>
              <w:bottom w:val="nil"/>
              <w:right w:val="nil"/>
            </w:tcBorders>
          </w:tcPr>
          <w:p w14:paraId="2FFE0113" w14:textId="77777777" w:rsidR="00CF0E2D" w:rsidRPr="00E366D2" w:rsidRDefault="00CF0E2D" w:rsidP="00A60D4B">
            <w:pPr>
              <w:pStyle w:val="Btablefigureunbold"/>
              <w:rPr>
                <w:b/>
                <w:bCs/>
                <w:szCs w:val="20"/>
              </w:rPr>
            </w:pPr>
            <w:r>
              <w:rPr>
                <w:rFonts w:cs="Calibri"/>
                <w:b/>
                <w:bCs/>
                <w:color w:val="000000"/>
                <w:szCs w:val="20"/>
              </w:rPr>
              <w:t>560</w:t>
            </w:r>
          </w:p>
        </w:tc>
      </w:tr>
      <w:tr w:rsidR="00CF0E2D" w:rsidRPr="00D60558" w14:paraId="638E365A" w14:textId="77777777" w:rsidTr="00387F31">
        <w:trPr>
          <w:gridAfter w:val="1"/>
          <w:wAfter w:w="9" w:type="dxa"/>
          <w:trHeight w:val="340"/>
          <w:jc w:val="center"/>
        </w:trPr>
        <w:tc>
          <w:tcPr>
            <w:tcW w:w="3355" w:type="dxa"/>
            <w:tcBorders>
              <w:top w:val="nil"/>
              <w:left w:val="nil"/>
              <w:bottom w:val="nil"/>
              <w:right w:val="nil"/>
            </w:tcBorders>
            <w:vAlign w:val="bottom"/>
          </w:tcPr>
          <w:p w14:paraId="34642C83" w14:textId="77777777" w:rsidR="00CF0E2D" w:rsidRPr="001D4DB4" w:rsidRDefault="00CF0E2D" w:rsidP="00A60D4B">
            <w:pPr>
              <w:pStyle w:val="Btabletextunbold"/>
              <w:rPr>
                <w:b/>
                <w:bCs/>
                <w:szCs w:val="20"/>
              </w:rPr>
            </w:pPr>
            <w:r>
              <w:rPr>
                <w:b/>
                <w:bCs/>
                <w:szCs w:val="20"/>
              </w:rPr>
              <w:t>Cultural Facilities Corporation</w:t>
            </w:r>
          </w:p>
        </w:tc>
        <w:tc>
          <w:tcPr>
            <w:tcW w:w="1093" w:type="dxa"/>
            <w:tcBorders>
              <w:top w:val="nil"/>
              <w:left w:val="nil"/>
              <w:bottom w:val="nil"/>
              <w:right w:val="nil"/>
            </w:tcBorders>
          </w:tcPr>
          <w:p w14:paraId="020C72A3" w14:textId="77777777" w:rsidR="00CF0E2D" w:rsidRPr="00D60558"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329690E9"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55420F3D"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624F8AC6"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208BB230" w14:textId="77777777" w:rsidR="00CF0E2D" w:rsidRPr="00D60558" w:rsidRDefault="00CF0E2D" w:rsidP="00A60D4B">
            <w:pPr>
              <w:pStyle w:val="Btablefigureunbold"/>
              <w:rPr>
                <w:szCs w:val="20"/>
              </w:rPr>
            </w:pPr>
          </w:p>
        </w:tc>
        <w:tc>
          <w:tcPr>
            <w:tcW w:w="954" w:type="dxa"/>
            <w:gridSpan w:val="2"/>
            <w:tcBorders>
              <w:top w:val="nil"/>
              <w:left w:val="nil"/>
              <w:bottom w:val="nil"/>
              <w:right w:val="nil"/>
            </w:tcBorders>
          </w:tcPr>
          <w:p w14:paraId="2A3F9043" w14:textId="77777777" w:rsidR="00CF0E2D" w:rsidRPr="00E366D2" w:rsidRDefault="00CF0E2D" w:rsidP="00A60D4B">
            <w:pPr>
              <w:pStyle w:val="Btablefigureunbold"/>
              <w:rPr>
                <w:b/>
                <w:bCs/>
                <w:szCs w:val="20"/>
              </w:rPr>
            </w:pPr>
          </w:p>
        </w:tc>
      </w:tr>
      <w:tr w:rsidR="00CF0E2D" w:rsidRPr="00D60558" w14:paraId="7F046D7D" w14:textId="77777777" w:rsidTr="00A60D4B">
        <w:trPr>
          <w:gridAfter w:val="1"/>
          <w:wAfter w:w="9" w:type="dxa"/>
          <w:jc w:val="center"/>
        </w:trPr>
        <w:tc>
          <w:tcPr>
            <w:tcW w:w="3355" w:type="dxa"/>
            <w:tcBorders>
              <w:top w:val="nil"/>
              <w:left w:val="nil"/>
              <w:bottom w:val="nil"/>
              <w:right w:val="nil"/>
            </w:tcBorders>
          </w:tcPr>
          <w:p w14:paraId="61C7F6A1" w14:textId="77777777" w:rsidR="00CF0E2D" w:rsidRPr="001D4DB4" w:rsidRDefault="00CF0E2D" w:rsidP="00A60D4B">
            <w:pPr>
              <w:pStyle w:val="Btabletextunbold"/>
              <w:rPr>
                <w:szCs w:val="20"/>
              </w:rPr>
            </w:pPr>
            <w:r>
              <w:rPr>
                <w:rFonts w:cs="Calibri"/>
                <w:color w:val="000000"/>
                <w:szCs w:val="20"/>
              </w:rPr>
              <w:t xml:space="preserve">COVID-19 Response </w:t>
            </w:r>
            <w:r>
              <w:rPr>
                <w:rFonts w:cs="Calibri"/>
                <w:color w:val="000000"/>
                <w:szCs w:val="20"/>
              </w:rPr>
              <w:softHyphen/>
              <w:t xml:space="preserve"> </w:t>
            </w:r>
            <w:r w:rsidRPr="001D4DB4">
              <w:rPr>
                <w:rFonts w:cs="Calibri"/>
                <w:color w:val="000000"/>
                <w:szCs w:val="20"/>
              </w:rPr>
              <w:t>Supporting Canberra’s arts and events</w:t>
            </w:r>
          </w:p>
        </w:tc>
        <w:tc>
          <w:tcPr>
            <w:tcW w:w="1093" w:type="dxa"/>
            <w:tcBorders>
              <w:top w:val="nil"/>
              <w:left w:val="nil"/>
              <w:bottom w:val="nil"/>
              <w:right w:val="nil"/>
            </w:tcBorders>
          </w:tcPr>
          <w:p w14:paraId="4F4D79D2"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6A474660" w14:textId="77777777" w:rsidR="00CF0E2D" w:rsidRPr="00694211" w:rsidRDefault="00CF0E2D" w:rsidP="00A60D4B">
            <w:pPr>
              <w:pStyle w:val="Btablefigureunbold"/>
              <w:rPr>
                <w:szCs w:val="20"/>
              </w:rPr>
            </w:pPr>
            <w:r w:rsidRPr="00694211">
              <w:rPr>
                <w:rFonts w:cs="Calibri"/>
                <w:color w:val="000000"/>
                <w:szCs w:val="20"/>
              </w:rPr>
              <w:t>2,579</w:t>
            </w:r>
          </w:p>
        </w:tc>
        <w:tc>
          <w:tcPr>
            <w:tcW w:w="964" w:type="dxa"/>
            <w:gridSpan w:val="2"/>
            <w:tcBorders>
              <w:top w:val="nil"/>
              <w:left w:val="nil"/>
              <w:bottom w:val="nil"/>
              <w:right w:val="nil"/>
            </w:tcBorders>
          </w:tcPr>
          <w:p w14:paraId="4B63CFF4" w14:textId="77777777" w:rsidR="00CF0E2D" w:rsidRPr="00694211" w:rsidRDefault="00CF0E2D" w:rsidP="00A60D4B">
            <w:pPr>
              <w:pStyle w:val="Btablefigureunbold"/>
              <w:rPr>
                <w:szCs w:val="20"/>
              </w:rPr>
            </w:pPr>
            <w:r w:rsidRPr="00694211">
              <w:rPr>
                <w:rFonts w:cs="Calibri"/>
                <w:color w:val="000000"/>
                <w:szCs w:val="20"/>
              </w:rPr>
              <w:t>124</w:t>
            </w:r>
          </w:p>
        </w:tc>
        <w:tc>
          <w:tcPr>
            <w:tcW w:w="964" w:type="dxa"/>
            <w:gridSpan w:val="2"/>
            <w:tcBorders>
              <w:top w:val="nil"/>
              <w:left w:val="nil"/>
              <w:bottom w:val="nil"/>
              <w:right w:val="nil"/>
            </w:tcBorders>
          </w:tcPr>
          <w:p w14:paraId="4F2D9FE0" w14:textId="77777777" w:rsidR="00CF0E2D" w:rsidRPr="00694211" w:rsidRDefault="00CF0E2D" w:rsidP="00A60D4B">
            <w:pPr>
              <w:pStyle w:val="Btablefigureunbold"/>
              <w:rPr>
                <w:szCs w:val="20"/>
              </w:rPr>
            </w:pPr>
            <w:r w:rsidRPr="00694211">
              <w:rPr>
                <w:rFonts w:cs="Calibri"/>
                <w:color w:val="000000"/>
                <w:szCs w:val="20"/>
              </w:rPr>
              <w:t>0</w:t>
            </w:r>
          </w:p>
        </w:tc>
        <w:tc>
          <w:tcPr>
            <w:tcW w:w="964" w:type="dxa"/>
            <w:gridSpan w:val="2"/>
            <w:tcBorders>
              <w:top w:val="nil"/>
              <w:left w:val="nil"/>
              <w:bottom w:val="nil"/>
              <w:right w:val="nil"/>
            </w:tcBorders>
          </w:tcPr>
          <w:p w14:paraId="245B4538" w14:textId="77777777" w:rsidR="00CF0E2D" w:rsidRPr="00694211" w:rsidRDefault="00CF0E2D" w:rsidP="00A60D4B">
            <w:pPr>
              <w:pStyle w:val="Btablefigureunbold"/>
              <w:rPr>
                <w:szCs w:val="20"/>
              </w:rPr>
            </w:pPr>
            <w:r w:rsidRPr="00694211">
              <w:rPr>
                <w:rFonts w:cs="Calibri"/>
                <w:color w:val="000000"/>
                <w:szCs w:val="20"/>
              </w:rPr>
              <w:t>0</w:t>
            </w:r>
          </w:p>
        </w:tc>
        <w:tc>
          <w:tcPr>
            <w:tcW w:w="954" w:type="dxa"/>
            <w:gridSpan w:val="2"/>
            <w:tcBorders>
              <w:top w:val="nil"/>
              <w:left w:val="nil"/>
              <w:bottom w:val="nil"/>
              <w:right w:val="nil"/>
            </w:tcBorders>
          </w:tcPr>
          <w:p w14:paraId="5C7B3DF3" w14:textId="77777777" w:rsidR="00CF0E2D" w:rsidRPr="00E366D2" w:rsidRDefault="00CF0E2D" w:rsidP="00A60D4B">
            <w:pPr>
              <w:pStyle w:val="Btablefigureunbold"/>
              <w:rPr>
                <w:b/>
                <w:bCs/>
                <w:szCs w:val="20"/>
              </w:rPr>
            </w:pPr>
            <w:r w:rsidRPr="00E366D2">
              <w:rPr>
                <w:rFonts w:cs="Calibri"/>
                <w:b/>
                <w:bCs/>
                <w:color w:val="000000"/>
                <w:szCs w:val="20"/>
              </w:rPr>
              <w:t>2,703</w:t>
            </w:r>
          </w:p>
        </w:tc>
      </w:tr>
      <w:tr w:rsidR="00CF0E2D" w:rsidRPr="00D60558" w14:paraId="1F79A02D" w14:textId="77777777" w:rsidTr="00A60D4B">
        <w:trPr>
          <w:gridAfter w:val="1"/>
          <w:wAfter w:w="9" w:type="dxa"/>
          <w:jc w:val="center"/>
        </w:trPr>
        <w:tc>
          <w:tcPr>
            <w:tcW w:w="3355" w:type="dxa"/>
            <w:tcBorders>
              <w:top w:val="nil"/>
              <w:left w:val="nil"/>
              <w:bottom w:val="nil"/>
              <w:right w:val="nil"/>
            </w:tcBorders>
          </w:tcPr>
          <w:p w14:paraId="67E948EC" w14:textId="77777777" w:rsidR="00CF0E2D" w:rsidRPr="001D4DB4" w:rsidRDefault="00CF0E2D" w:rsidP="00A60D4B">
            <w:pPr>
              <w:pStyle w:val="Btabletextunbold"/>
              <w:rPr>
                <w:szCs w:val="20"/>
              </w:rPr>
            </w:pPr>
            <w:r w:rsidRPr="001D4DB4">
              <w:rPr>
                <w:rFonts w:cs="Calibri"/>
                <w:color w:val="000000"/>
                <w:szCs w:val="20"/>
              </w:rPr>
              <w:t>Improvements to the Canberra Theatre Centre</w:t>
            </w:r>
          </w:p>
        </w:tc>
        <w:tc>
          <w:tcPr>
            <w:tcW w:w="1093" w:type="dxa"/>
            <w:tcBorders>
              <w:top w:val="nil"/>
              <w:left w:val="nil"/>
              <w:bottom w:val="nil"/>
              <w:right w:val="nil"/>
            </w:tcBorders>
          </w:tcPr>
          <w:p w14:paraId="7B9F70F4"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2EBD3E12" w14:textId="77777777" w:rsidR="00CF0E2D" w:rsidRPr="00694211" w:rsidRDefault="00CF0E2D" w:rsidP="00A60D4B">
            <w:pPr>
              <w:pStyle w:val="Btablefigureunbold"/>
              <w:rPr>
                <w:szCs w:val="20"/>
              </w:rPr>
            </w:pPr>
            <w:r w:rsidRPr="00694211">
              <w:rPr>
                <w:rFonts w:cs="Calibri"/>
                <w:color w:val="000000"/>
                <w:szCs w:val="20"/>
              </w:rPr>
              <w:t>900</w:t>
            </w:r>
          </w:p>
        </w:tc>
        <w:tc>
          <w:tcPr>
            <w:tcW w:w="964" w:type="dxa"/>
            <w:gridSpan w:val="2"/>
            <w:tcBorders>
              <w:top w:val="nil"/>
              <w:left w:val="nil"/>
              <w:bottom w:val="nil"/>
              <w:right w:val="nil"/>
            </w:tcBorders>
          </w:tcPr>
          <w:p w14:paraId="2D031514" w14:textId="77777777" w:rsidR="00CF0E2D" w:rsidRPr="00694211" w:rsidRDefault="00CF0E2D" w:rsidP="00A60D4B">
            <w:pPr>
              <w:pStyle w:val="Btablefigureunbold"/>
              <w:rPr>
                <w:szCs w:val="20"/>
              </w:rPr>
            </w:pPr>
            <w:r w:rsidRPr="00694211">
              <w:rPr>
                <w:rFonts w:cs="Calibri"/>
                <w:color w:val="000000"/>
                <w:szCs w:val="20"/>
              </w:rPr>
              <w:t>195</w:t>
            </w:r>
          </w:p>
        </w:tc>
        <w:tc>
          <w:tcPr>
            <w:tcW w:w="964" w:type="dxa"/>
            <w:gridSpan w:val="2"/>
            <w:tcBorders>
              <w:top w:val="nil"/>
              <w:left w:val="nil"/>
              <w:bottom w:val="nil"/>
              <w:right w:val="nil"/>
            </w:tcBorders>
          </w:tcPr>
          <w:p w14:paraId="6A4C6041" w14:textId="77777777" w:rsidR="00CF0E2D" w:rsidRPr="00694211" w:rsidRDefault="00CF0E2D" w:rsidP="00A60D4B">
            <w:pPr>
              <w:pStyle w:val="Btablefigureunbold"/>
              <w:rPr>
                <w:szCs w:val="20"/>
              </w:rPr>
            </w:pPr>
            <w:r w:rsidRPr="00694211">
              <w:rPr>
                <w:rFonts w:cs="Calibri"/>
                <w:color w:val="000000"/>
                <w:szCs w:val="20"/>
              </w:rPr>
              <w:t>347</w:t>
            </w:r>
          </w:p>
        </w:tc>
        <w:tc>
          <w:tcPr>
            <w:tcW w:w="964" w:type="dxa"/>
            <w:gridSpan w:val="2"/>
            <w:tcBorders>
              <w:top w:val="nil"/>
              <w:left w:val="nil"/>
              <w:bottom w:val="nil"/>
              <w:right w:val="nil"/>
            </w:tcBorders>
          </w:tcPr>
          <w:p w14:paraId="0F157C1A" w14:textId="77777777" w:rsidR="00CF0E2D" w:rsidRPr="00694211" w:rsidRDefault="00CF0E2D" w:rsidP="00A60D4B">
            <w:pPr>
              <w:pStyle w:val="Btablefigureunbold"/>
              <w:rPr>
                <w:szCs w:val="20"/>
              </w:rPr>
            </w:pPr>
            <w:r w:rsidRPr="00694211">
              <w:rPr>
                <w:rFonts w:cs="Calibri"/>
                <w:color w:val="000000"/>
                <w:szCs w:val="20"/>
              </w:rPr>
              <w:t>0</w:t>
            </w:r>
          </w:p>
        </w:tc>
        <w:tc>
          <w:tcPr>
            <w:tcW w:w="954" w:type="dxa"/>
            <w:gridSpan w:val="2"/>
            <w:tcBorders>
              <w:top w:val="nil"/>
              <w:left w:val="nil"/>
              <w:bottom w:val="nil"/>
              <w:right w:val="nil"/>
            </w:tcBorders>
          </w:tcPr>
          <w:p w14:paraId="4646A6CB" w14:textId="77777777" w:rsidR="00CF0E2D" w:rsidRPr="00E366D2" w:rsidRDefault="00CF0E2D" w:rsidP="00A60D4B">
            <w:pPr>
              <w:pStyle w:val="Btablefigureunbold"/>
              <w:rPr>
                <w:b/>
                <w:bCs/>
                <w:szCs w:val="20"/>
              </w:rPr>
            </w:pPr>
            <w:r w:rsidRPr="00E366D2">
              <w:rPr>
                <w:rFonts w:cs="Calibri"/>
                <w:b/>
                <w:bCs/>
                <w:color w:val="000000"/>
                <w:szCs w:val="20"/>
              </w:rPr>
              <w:t>1,442</w:t>
            </w:r>
          </w:p>
        </w:tc>
      </w:tr>
      <w:tr w:rsidR="00CF0E2D" w:rsidRPr="00D60558" w14:paraId="4423F3CC" w14:textId="77777777" w:rsidTr="00A60D4B">
        <w:trPr>
          <w:gridAfter w:val="1"/>
          <w:wAfter w:w="9" w:type="dxa"/>
          <w:jc w:val="center"/>
        </w:trPr>
        <w:tc>
          <w:tcPr>
            <w:tcW w:w="3355" w:type="dxa"/>
            <w:tcBorders>
              <w:top w:val="nil"/>
              <w:left w:val="nil"/>
              <w:bottom w:val="nil"/>
              <w:right w:val="nil"/>
            </w:tcBorders>
          </w:tcPr>
          <w:p w14:paraId="18029D71" w14:textId="77777777" w:rsidR="00CF0E2D" w:rsidRPr="001D4DB4" w:rsidRDefault="00CF0E2D" w:rsidP="00A60D4B">
            <w:pPr>
              <w:pStyle w:val="Btabletextunbold"/>
              <w:rPr>
                <w:szCs w:val="20"/>
              </w:rPr>
            </w:pPr>
            <w:r w:rsidRPr="001D4DB4">
              <w:rPr>
                <w:rFonts w:cs="Calibri"/>
                <w:color w:val="000000"/>
                <w:szCs w:val="20"/>
              </w:rPr>
              <w:t>Improvements to the Canberra Theatre Centre</w:t>
            </w:r>
          </w:p>
        </w:tc>
        <w:tc>
          <w:tcPr>
            <w:tcW w:w="1093" w:type="dxa"/>
            <w:tcBorders>
              <w:top w:val="nil"/>
              <w:left w:val="nil"/>
              <w:bottom w:val="nil"/>
              <w:right w:val="nil"/>
            </w:tcBorders>
          </w:tcPr>
          <w:p w14:paraId="375EA948"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4590EF98" w14:textId="77777777" w:rsidR="00CF0E2D" w:rsidRPr="00694211" w:rsidRDefault="00CF0E2D" w:rsidP="00A60D4B">
            <w:pPr>
              <w:pStyle w:val="Btablefigureunbold"/>
              <w:rPr>
                <w:szCs w:val="20"/>
              </w:rPr>
            </w:pPr>
            <w:r w:rsidRPr="00694211">
              <w:rPr>
                <w:rFonts w:cs="Calibri"/>
                <w:color w:val="000000"/>
                <w:szCs w:val="20"/>
              </w:rPr>
              <w:t>29</w:t>
            </w:r>
          </w:p>
        </w:tc>
        <w:tc>
          <w:tcPr>
            <w:tcW w:w="964" w:type="dxa"/>
            <w:gridSpan w:val="2"/>
            <w:tcBorders>
              <w:top w:val="nil"/>
              <w:left w:val="nil"/>
              <w:bottom w:val="nil"/>
              <w:right w:val="nil"/>
            </w:tcBorders>
          </w:tcPr>
          <w:p w14:paraId="64447C26" w14:textId="77777777" w:rsidR="00CF0E2D" w:rsidRPr="00694211" w:rsidRDefault="00CF0E2D" w:rsidP="00A60D4B">
            <w:pPr>
              <w:pStyle w:val="Btablefigureunbold"/>
              <w:rPr>
                <w:szCs w:val="20"/>
              </w:rPr>
            </w:pPr>
            <w:r w:rsidRPr="00694211">
              <w:rPr>
                <w:rFonts w:cs="Calibri"/>
                <w:color w:val="000000"/>
                <w:szCs w:val="20"/>
              </w:rPr>
              <w:t>90</w:t>
            </w:r>
          </w:p>
        </w:tc>
        <w:tc>
          <w:tcPr>
            <w:tcW w:w="964" w:type="dxa"/>
            <w:gridSpan w:val="2"/>
            <w:tcBorders>
              <w:top w:val="nil"/>
              <w:left w:val="nil"/>
              <w:bottom w:val="nil"/>
              <w:right w:val="nil"/>
            </w:tcBorders>
          </w:tcPr>
          <w:p w14:paraId="325BA728" w14:textId="77777777" w:rsidR="00CF0E2D" w:rsidRPr="00694211" w:rsidRDefault="00CF0E2D" w:rsidP="00A60D4B">
            <w:pPr>
              <w:pStyle w:val="Btablefigureunbold"/>
              <w:rPr>
                <w:szCs w:val="20"/>
              </w:rPr>
            </w:pPr>
            <w:r w:rsidRPr="00694211">
              <w:rPr>
                <w:rFonts w:cs="Calibri"/>
                <w:color w:val="000000"/>
                <w:szCs w:val="20"/>
              </w:rPr>
              <w:t>92</w:t>
            </w:r>
          </w:p>
        </w:tc>
        <w:tc>
          <w:tcPr>
            <w:tcW w:w="964" w:type="dxa"/>
            <w:gridSpan w:val="2"/>
            <w:tcBorders>
              <w:top w:val="nil"/>
              <w:left w:val="nil"/>
              <w:bottom w:val="nil"/>
              <w:right w:val="nil"/>
            </w:tcBorders>
          </w:tcPr>
          <w:p w14:paraId="01286BD9" w14:textId="77777777" w:rsidR="00CF0E2D" w:rsidRPr="00694211" w:rsidRDefault="00CF0E2D" w:rsidP="00A60D4B">
            <w:pPr>
              <w:pStyle w:val="Btablefigureunbold"/>
              <w:rPr>
                <w:szCs w:val="20"/>
              </w:rPr>
            </w:pPr>
            <w:r w:rsidRPr="00694211">
              <w:rPr>
                <w:rFonts w:cs="Calibri"/>
                <w:color w:val="000000"/>
                <w:szCs w:val="20"/>
              </w:rPr>
              <w:t>103</w:t>
            </w:r>
          </w:p>
        </w:tc>
        <w:tc>
          <w:tcPr>
            <w:tcW w:w="954" w:type="dxa"/>
            <w:gridSpan w:val="2"/>
            <w:tcBorders>
              <w:top w:val="nil"/>
              <w:left w:val="nil"/>
              <w:bottom w:val="nil"/>
              <w:right w:val="nil"/>
            </w:tcBorders>
          </w:tcPr>
          <w:p w14:paraId="06BE0DCC" w14:textId="77777777" w:rsidR="00CF0E2D" w:rsidRPr="00E366D2" w:rsidRDefault="00CF0E2D" w:rsidP="00A60D4B">
            <w:pPr>
              <w:pStyle w:val="Btablefigureunbold"/>
              <w:rPr>
                <w:b/>
                <w:bCs/>
                <w:szCs w:val="20"/>
              </w:rPr>
            </w:pPr>
            <w:r w:rsidRPr="00E366D2">
              <w:rPr>
                <w:rFonts w:cs="Calibri"/>
                <w:b/>
                <w:bCs/>
                <w:color w:val="000000"/>
                <w:szCs w:val="20"/>
              </w:rPr>
              <w:t>314</w:t>
            </w:r>
          </w:p>
        </w:tc>
      </w:tr>
      <w:tr w:rsidR="00CF0E2D" w:rsidRPr="00D60558" w14:paraId="2A5B5DA4" w14:textId="77777777" w:rsidTr="00387F31">
        <w:trPr>
          <w:gridAfter w:val="1"/>
          <w:wAfter w:w="9" w:type="dxa"/>
          <w:trHeight w:val="340"/>
          <w:jc w:val="center"/>
        </w:trPr>
        <w:tc>
          <w:tcPr>
            <w:tcW w:w="3355" w:type="dxa"/>
            <w:tcBorders>
              <w:top w:val="nil"/>
              <w:left w:val="nil"/>
              <w:bottom w:val="nil"/>
              <w:right w:val="nil"/>
            </w:tcBorders>
            <w:vAlign w:val="bottom"/>
          </w:tcPr>
          <w:p w14:paraId="324CB04A" w14:textId="77777777" w:rsidR="00CF0E2D" w:rsidRPr="001D4DB4" w:rsidRDefault="00CF0E2D" w:rsidP="00A60D4B">
            <w:pPr>
              <w:pStyle w:val="Btabletextunbold"/>
              <w:rPr>
                <w:b/>
                <w:bCs/>
                <w:szCs w:val="20"/>
              </w:rPr>
            </w:pPr>
            <w:r w:rsidRPr="001D4DB4">
              <w:rPr>
                <w:b/>
                <w:bCs/>
                <w:szCs w:val="20"/>
              </w:rPr>
              <w:t>Education Directorate</w:t>
            </w:r>
          </w:p>
        </w:tc>
        <w:tc>
          <w:tcPr>
            <w:tcW w:w="1093" w:type="dxa"/>
            <w:tcBorders>
              <w:top w:val="nil"/>
              <w:left w:val="nil"/>
              <w:bottom w:val="nil"/>
              <w:right w:val="nil"/>
            </w:tcBorders>
          </w:tcPr>
          <w:p w14:paraId="4313DA81" w14:textId="77777777" w:rsidR="00CF0E2D" w:rsidRPr="00D60558"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6BB2559C" w14:textId="77777777" w:rsidR="00CF0E2D" w:rsidRPr="00B1084E" w:rsidRDefault="00CF0E2D" w:rsidP="00A60D4B">
            <w:pPr>
              <w:pStyle w:val="Btablefigureunbold"/>
              <w:rPr>
                <w:szCs w:val="20"/>
              </w:rPr>
            </w:pPr>
          </w:p>
        </w:tc>
        <w:tc>
          <w:tcPr>
            <w:tcW w:w="964" w:type="dxa"/>
            <w:gridSpan w:val="2"/>
            <w:tcBorders>
              <w:top w:val="nil"/>
              <w:left w:val="nil"/>
              <w:bottom w:val="nil"/>
              <w:right w:val="nil"/>
            </w:tcBorders>
          </w:tcPr>
          <w:p w14:paraId="338B3E34" w14:textId="77777777" w:rsidR="00CF0E2D" w:rsidRPr="00B1084E" w:rsidRDefault="00CF0E2D" w:rsidP="00A60D4B">
            <w:pPr>
              <w:pStyle w:val="Btablefigureunbold"/>
              <w:rPr>
                <w:szCs w:val="20"/>
              </w:rPr>
            </w:pPr>
          </w:p>
        </w:tc>
        <w:tc>
          <w:tcPr>
            <w:tcW w:w="964" w:type="dxa"/>
            <w:gridSpan w:val="2"/>
            <w:tcBorders>
              <w:top w:val="nil"/>
              <w:left w:val="nil"/>
              <w:bottom w:val="nil"/>
              <w:right w:val="nil"/>
            </w:tcBorders>
          </w:tcPr>
          <w:p w14:paraId="7FDE2688" w14:textId="77777777" w:rsidR="00CF0E2D" w:rsidRPr="00B1084E" w:rsidRDefault="00CF0E2D" w:rsidP="00A60D4B">
            <w:pPr>
              <w:pStyle w:val="Btablefigureunbold"/>
              <w:rPr>
                <w:szCs w:val="20"/>
              </w:rPr>
            </w:pPr>
          </w:p>
        </w:tc>
        <w:tc>
          <w:tcPr>
            <w:tcW w:w="964" w:type="dxa"/>
            <w:gridSpan w:val="2"/>
            <w:tcBorders>
              <w:top w:val="nil"/>
              <w:left w:val="nil"/>
              <w:bottom w:val="nil"/>
              <w:right w:val="nil"/>
            </w:tcBorders>
          </w:tcPr>
          <w:p w14:paraId="087920DA" w14:textId="77777777" w:rsidR="00CF0E2D" w:rsidRPr="00B1084E" w:rsidRDefault="00CF0E2D" w:rsidP="00A60D4B">
            <w:pPr>
              <w:pStyle w:val="Btablefigureunbold"/>
              <w:rPr>
                <w:szCs w:val="20"/>
              </w:rPr>
            </w:pPr>
          </w:p>
        </w:tc>
        <w:tc>
          <w:tcPr>
            <w:tcW w:w="954" w:type="dxa"/>
            <w:gridSpan w:val="2"/>
            <w:tcBorders>
              <w:top w:val="nil"/>
              <w:left w:val="nil"/>
              <w:bottom w:val="nil"/>
              <w:right w:val="nil"/>
            </w:tcBorders>
          </w:tcPr>
          <w:p w14:paraId="29EDFEF9" w14:textId="77777777" w:rsidR="00CF0E2D" w:rsidRPr="00E366D2" w:rsidRDefault="00CF0E2D" w:rsidP="00A60D4B">
            <w:pPr>
              <w:pStyle w:val="Btablefigureunbold"/>
              <w:rPr>
                <w:b/>
                <w:bCs/>
                <w:szCs w:val="20"/>
              </w:rPr>
            </w:pPr>
          </w:p>
        </w:tc>
      </w:tr>
      <w:tr w:rsidR="00CF0E2D" w:rsidRPr="00D60558" w14:paraId="02D0DCDF" w14:textId="77777777" w:rsidTr="00A60D4B">
        <w:trPr>
          <w:gridAfter w:val="1"/>
          <w:wAfter w:w="9" w:type="dxa"/>
          <w:jc w:val="center"/>
        </w:trPr>
        <w:tc>
          <w:tcPr>
            <w:tcW w:w="3355" w:type="dxa"/>
            <w:tcBorders>
              <w:top w:val="nil"/>
              <w:left w:val="nil"/>
              <w:bottom w:val="nil"/>
              <w:right w:val="nil"/>
            </w:tcBorders>
          </w:tcPr>
          <w:p w14:paraId="0E24257D" w14:textId="77777777" w:rsidR="00CF0E2D" w:rsidRPr="00B1084E" w:rsidRDefault="00CF0E2D" w:rsidP="00A60D4B">
            <w:pPr>
              <w:pStyle w:val="Btabletextunbold"/>
              <w:rPr>
                <w:szCs w:val="20"/>
              </w:rPr>
            </w:pPr>
            <w:r w:rsidRPr="00B1084E">
              <w:rPr>
                <w:rFonts w:cs="Calibri"/>
                <w:color w:val="000000"/>
                <w:szCs w:val="20"/>
              </w:rPr>
              <w:t>Infrastructure upgrades for non</w:t>
            </w:r>
            <w:r>
              <w:rPr>
                <w:rFonts w:cs="Calibri"/>
                <w:color w:val="000000"/>
                <w:szCs w:val="20"/>
              </w:rPr>
              <w:noBreakHyphen/>
            </w:r>
            <w:r w:rsidRPr="00B1084E">
              <w:rPr>
                <w:rFonts w:cs="Calibri"/>
                <w:color w:val="000000"/>
                <w:szCs w:val="20"/>
              </w:rPr>
              <w:t>government schools and parent engagement grants</w:t>
            </w:r>
          </w:p>
        </w:tc>
        <w:tc>
          <w:tcPr>
            <w:tcW w:w="1093" w:type="dxa"/>
            <w:tcBorders>
              <w:top w:val="nil"/>
              <w:left w:val="nil"/>
              <w:bottom w:val="nil"/>
              <w:right w:val="nil"/>
            </w:tcBorders>
          </w:tcPr>
          <w:p w14:paraId="1BBED5C6"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 xml:space="preserve">Net cost </w:t>
            </w:r>
          </w:p>
        </w:tc>
        <w:tc>
          <w:tcPr>
            <w:tcW w:w="964" w:type="dxa"/>
            <w:gridSpan w:val="2"/>
            <w:tcBorders>
              <w:top w:val="nil"/>
              <w:left w:val="nil"/>
              <w:bottom w:val="nil"/>
              <w:right w:val="nil"/>
            </w:tcBorders>
          </w:tcPr>
          <w:p w14:paraId="031BCA9A" w14:textId="77777777" w:rsidR="00CF0E2D" w:rsidRPr="00694211" w:rsidRDefault="00CF0E2D" w:rsidP="00A60D4B">
            <w:pPr>
              <w:pStyle w:val="Btablefigureunbold"/>
              <w:rPr>
                <w:szCs w:val="20"/>
              </w:rPr>
            </w:pPr>
            <w:r w:rsidRPr="00694211">
              <w:rPr>
                <w:rFonts w:cs="Calibri"/>
                <w:color w:val="000000"/>
                <w:szCs w:val="20"/>
              </w:rPr>
              <w:t>280</w:t>
            </w:r>
          </w:p>
        </w:tc>
        <w:tc>
          <w:tcPr>
            <w:tcW w:w="964" w:type="dxa"/>
            <w:gridSpan w:val="2"/>
            <w:tcBorders>
              <w:top w:val="nil"/>
              <w:left w:val="nil"/>
              <w:bottom w:val="nil"/>
              <w:right w:val="nil"/>
            </w:tcBorders>
          </w:tcPr>
          <w:p w14:paraId="5C3815DD" w14:textId="77777777" w:rsidR="00CF0E2D" w:rsidRPr="00694211" w:rsidRDefault="00CF0E2D" w:rsidP="00A60D4B">
            <w:pPr>
              <w:pStyle w:val="Btablefigureunbold"/>
              <w:rPr>
                <w:szCs w:val="20"/>
              </w:rPr>
            </w:pPr>
            <w:r w:rsidRPr="00694211">
              <w:rPr>
                <w:rFonts w:cs="Calibri"/>
                <w:color w:val="000000"/>
                <w:szCs w:val="20"/>
              </w:rPr>
              <w:t>280</w:t>
            </w:r>
          </w:p>
        </w:tc>
        <w:tc>
          <w:tcPr>
            <w:tcW w:w="964" w:type="dxa"/>
            <w:gridSpan w:val="2"/>
            <w:tcBorders>
              <w:top w:val="nil"/>
              <w:left w:val="nil"/>
              <w:bottom w:val="nil"/>
              <w:right w:val="nil"/>
            </w:tcBorders>
          </w:tcPr>
          <w:p w14:paraId="6EABA7A9" w14:textId="77777777" w:rsidR="00CF0E2D" w:rsidRPr="00694211" w:rsidRDefault="00CF0E2D" w:rsidP="00A60D4B">
            <w:pPr>
              <w:pStyle w:val="Btablefigureunbold"/>
              <w:rPr>
                <w:szCs w:val="20"/>
              </w:rPr>
            </w:pPr>
            <w:r w:rsidRPr="00694211">
              <w:rPr>
                <w:rFonts w:cs="Calibri"/>
                <w:color w:val="000000"/>
                <w:szCs w:val="20"/>
              </w:rPr>
              <w:t>0</w:t>
            </w:r>
          </w:p>
        </w:tc>
        <w:tc>
          <w:tcPr>
            <w:tcW w:w="964" w:type="dxa"/>
            <w:gridSpan w:val="2"/>
            <w:tcBorders>
              <w:top w:val="nil"/>
              <w:left w:val="nil"/>
              <w:bottom w:val="nil"/>
              <w:right w:val="nil"/>
            </w:tcBorders>
          </w:tcPr>
          <w:p w14:paraId="4A4BF036" w14:textId="77777777" w:rsidR="00CF0E2D" w:rsidRPr="00694211" w:rsidRDefault="00CF0E2D" w:rsidP="00A60D4B">
            <w:pPr>
              <w:pStyle w:val="Btablefigureunbold"/>
              <w:rPr>
                <w:szCs w:val="20"/>
              </w:rPr>
            </w:pPr>
            <w:r w:rsidRPr="00694211">
              <w:rPr>
                <w:rFonts w:cs="Calibri"/>
                <w:color w:val="000000"/>
                <w:szCs w:val="20"/>
              </w:rPr>
              <w:t>0</w:t>
            </w:r>
          </w:p>
        </w:tc>
        <w:tc>
          <w:tcPr>
            <w:tcW w:w="954" w:type="dxa"/>
            <w:gridSpan w:val="2"/>
            <w:tcBorders>
              <w:top w:val="nil"/>
              <w:left w:val="nil"/>
              <w:bottom w:val="nil"/>
              <w:right w:val="nil"/>
            </w:tcBorders>
          </w:tcPr>
          <w:p w14:paraId="5E4B1E28" w14:textId="77777777" w:rsidR="00CF0E2D" w:rsidRPr="00E366D2" w:rsidRDefault="00CF0E2D" w:rsidP="00A60D4B">
            <w:pPr>
              <w:pStyle w:val="Btablefigureunbold"/>
              <w:rPr>
                <w:b/>
                <w:bCs/>
                <w:szCs w:val="20"/>
              </w:rPr>
            </w:pPr>
            <w:r w:rsidRPr="00E366D2">
              <w:rPr>
                <w:rFonts w:cs="Calibri"/>
                <w:b/>
                <w:bCs/>
                <w:color w:val="000000"/>
                <w:szCs w:val="20"/>
              </w:rPr>
              <w:t>560</w:t>
            </w:r>
          </w:p>
        </w:tc>
      </w:tr>
      <w:tr w:rsidR="00CF0E2D" w:rsidRPr="00D60558" w14:paraId="124D3A2B" w14:textId="77777777" w:rsidTr="00A60D4B">
        <w:trPr>
          <w:gridAfter w:val="1"/>
          <w:wAfter w:w="9" w:type="dxa"/>
          <w:jc w:val="center"/>
        </w:trPr>
        <w:tc>
          <w:tcPr>
            <w:tcW w:w="3355" w:type="dxa"/>
            <w:tcBorders>
              <w:top w:val="nil"/>
              <w:left w:val="nil"/>
              <w:bottom w:val="nil"/>
              <w:right w:val="nil"/>
            </w:tcBorders>
          </w:tcPr>
          <w:p w14:paraId="21B5FF8D" w14:textId="77777777" w:rsidR="00CF0E2D" w:rsidRPr="005357CD" w:rsidRDefault="00CF0E2D" w:rsidP="00A60D4B">
            <w:pPr>
              <w:pStyle w:val="Btabletextunbold"/>
              <w:rPr>
                <w:rFonts w:cs="Calibri"/>
                <w:i/>
                <w:iCs/>
                <w:color w:val="000000"/>
                <w:szCs w:val="20"/>
              </w:rPr>
            </w:pPr>
            <w:r w:rsidRPr="005357CD">
              <w:rPr>
                <w:rFonts w:cs="Calibri"/>
                <w:i/>
                <w:iCs/>
                <w:color w:val="000000"/>
                <w:szCs w:val="20"/>
              </w:rPr>
              <w:t>Investing in public education</w:t>
            </w:r>
          </w:p>
        </w:tc>
        <w:tc>
          <w:tcPr>
            <w:tcW w:w="1093" w:type="dxa"/>
            <w:tcBorders>
              <w:top w:val="nil"/>
              <w:left w:val="nil"/>
              <w:bottom w:val="nil"/>
              <w:right w:val="nil"/>
            </w:tcBorders>
          </w:tcPr>
          <w:p w14:paraId="5E1981F7" w14:textId="77777777" w:rsidR="00CF0E2D" w:rsidRPr="00B1084E"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139BC4FD" w14:textId="77777777" w:rsidR="00CF0E2D" w:rsidRPr="00694211" w:rsidRDefault="00CF0E2D" w:rsidP="00A60D4B">
            <w:pPr>
              <w:pStyle w:val="Btablefigureunbold"/>
              <w:rPr>
                <w:szCs w:val="20"/>
              </w:rPr>
            </w:pPr>
          </w:p>
        </w:tc>
        <w:tc>
          <w:tcPr>
            <w:tcW w:w="964" w:type="dxa"/>
            <w:gridSpan w:val="2"/>
            <w:tcBorders>
              <w:top w:val="nil"/>
              <w:left w:val="nil"/>
              <w:bottom w:val="nil"/>
              <w:right w:val="nil"/>
            </w:tcBorders>
          </w:tcPr>
          <w:p w14:paraId="59E0D2BC" w14:textId="77777777" w:rsidR="00CF0E2D" w:rsidRPr="00694211" w:rsidRDefault="00CF0E2D" w:rsidP="00A60D4B">
            <w:pPr>
              <w:pStyle w:val="Btablefigureunbold"/>
              <w:rPr>
                <w:szCs w:val="20"/>
              </w:rPr>
            </w:pPr>
          </w:p>
        </w:tc>
        <w:tc>
          <w:tcPr>
            <w:tcW w:w="964" w:type="dxa"/>
            <w:gridSpan w:val="2"/>
            <w:tcBorders>
              <w:top w:val="nil"/>
              <w:left w:val="nil"/>
              <w:bottom w:val="nil"/>
              <w:right w:val="nil"/>
            </w:tcBorders>
          </w:tcPr>
          <w:p w14:paraId="21015250" w14:textId="77777777" w:rsidR="00CF0E2D" w:rsidRPr="00694211" w:rsidRDefault="00CF0E2D" w:rsidP="00A60D4B">
            <w:pPr>
              <w:pStyle w:val="Btablefigureunbold"/>
              <w:rPr>
                <w:szCs w:val="20"/>
              </w:rPr>
            </w:pPr>
          </w:p>
        </w:tc>
        <w:tc>
          <w:tcPr>
            <w:tcW w:w="964" w:type="dxa"/>
            <w:gridSpan w:val="2"/>
            <w:tcBorders>
              <w:top w:val="nil"/>
              <w:left w:val="nil"/>
              <w:bottom w:val="nil"/>
              <w:right w:val="nil"/>
            </w:tcBorders>
          </w:tcPr>
          <w:p w14:paraId="4ABF7CA3" w14:textId="77777777" w:rsidR="00CF0E2D" w:rsidRPr="00694211" w:rsidRDefault="00CF0E2D" w:rsidP="00A60D4B">
            <w:pPr>
              <w:pStyle w:val="Btablefigureunbold"/>
              <w:rPr>
                <w:szCs w:val="20"/>
              </w:rPr>
            </w:pPr>
          </w:p>
        </w:tc>
        <w:tc>
          <w:tcPr>
            <w:tcW w:w="954" w:type="dxa"/>
            <w:gridSpan w:val="2"/>
            <w:tcBorders>
              <w:top w:val="nil"/>
              <w:left w:val="nil"/>
              <w:bottom w:val="nil"/>
              <w:right w:val="nil"/>
            </w:tcBorders>
          </w:tcPr>
          <w:p w14:paraId="2F1D4E2F" w14:textId="77777777" w:rsidR="00CF0E2D" w:rsidRPr="00694211" w:rsidRDefault="00CF0E2D" w:rsidP="00A60D4B">
            <w:pPr>
              <w:pStyle w:val="Btablefigureunbold"/>
              <w:rPr>
                <w:b/>
                <w:bCs/>
                <w:szCs w:val="20"/>
              </w:rPr>
            </w:pPr>
          </w:p>
        </w:tc>
      </w:tr>
      <w:tr w:rsidR="00CF0E2D" w:rsidRPr="00D60558" w14:paraId="0899468E" w14:textId="77777777" w:rsidTr="00A60D4B">
        <w:trPr>
          <w:gridAfter w:val="1"/>
          <w:wAfter w:w="9" w:type="dxa"/>
          <w:jc w:val="center"/>
        </w:trPr>
        <w:tc>
          <w:tcPr>
            <w:tcW w:w="3355" w:type="dxa"/>
            <w:tcBorders>
              <w:top w:val="nil"/>
              <w:left w:val="nil"/>
              <w:bottom w:val="nil"/>
              <w:right w:val="nil"/>
            </w:tcBorders>
          </w:tcPr>
          <w:p w14:paraId="37BD35F9" w14:textId="77777777" w:rsidR="00CF0E2D" w:rsidRPr="00B1084E" w:rsidRDefault="00CF0E2D" w:rsidP="00A60D4B">
            <w:pPr>
              <w:pStyle w:val="Btabletextunbold"/>
              <w:rPr>
                <w:szCs w:val="20"/>
              </w:rPr>
            </w:pPr>
            <w:r w:rsidRPr="00B1084E">
              <w:rPr>
                <w:rFonts w:cs="Calibri"/>
                <w:color w:val="000000"/>
                <w:szCs w:val="20"/>
              </w:rPr>
              <w:t>– Digital access and equity</w:t>
            </w:r>
          </w:p>
        </w:tc>
        <w:tc>
          <w:tcPr>
            <w:tcW w:w="1093" w:type="dxa"/>
            <w:tcBorders>
              <w:top w:val="nil"/>
              <w:left w:val="nil"/>
              <w:bottom w:val="nil"/>
              <w:right w:val="nil"/>
            </w:tcBorders>
          </w:tcPr>
          <w:p w14:paraId="70CC6DB1"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 xml:space="preserve">Net </w:t>
            </w:r>
            <w:r>
              <w:rPr>
                <w:rFonts w:cs="Calibri"/>
                <w:color w:val="000000"/>
                <w:szCs w:val="20"/>
              </w:rPr>
              <w:t>c</w:t>
            </w:r>
            <w:r w:rsidRPr="00B1084E">
              <w:rPr>
                <w:rFonts w:cs="Calibri"/>
                <w:color w:val="000000"/>
                <w:szCs w:val="20"/>
              </w:rPr>
              <w:t>apital</w:t>
            </w:r>
          </w:p>
        </w:tc>
        <w:tc>
          <w:tcPr>
            <w:tcW w:w="964" w:type="dxa"/>
            <w:gridSpan w:val="2"/>
            <w:tcBorders>
              <w:top w:val="nil"/>
              <w:left w:val="nil"/>
              <w:bottom w:val="nil"/>
              <w:right w:val="nil"/>
            </w:tcBorders>
          </w:tcPr>
          <w:p w14:paraId="6D991024" w14:textId="77777777" w:rsidR="00CF0E2D" w:rsidRPr="00694211" w:rsidRDefault="00CF0E2D" w:rsidP="00A60D4B">
            <w:pPr>
              <w:pStyle w:val="Btablefigureunbold"/>
              <w:rPr>
                <w:szCs w:val="20"/>
              </w:rPr>
            </w:pPr>
            <w:r w:rsidRPr="00694211">
              <w:rPr>
                <w:rFonts w:cs="Calibri"/>
                <w:color w:val="000000"/>
                <w:szCs w:val="20"/>
              </w:rPr>
              <w:t>-521</w:t>
            </w:r>
          </w:p>
        </w:tc>
        <w:tc>
          <w:tcPr>
            <w:tcW w:w="964" w:type="dxa"/>
            <w:gridSpan w:val="2"/>
            <w:tcBorders>
              <w:top w:val="nil"/>
              <w:left w:val="nil"/>
              <w:bottom w:val="nil"/>
              <w:right w:val="nil"/>
            </w:tcBorders>
          </w:tcPr>
          <w:p w14:paraId="240D2433" w14:textId="77777777" w:rsidR="00CF0E2D" w:rsidRPr="00694211" w:rsidRDefault="00CF0E2D" w:rsidP="00A60D4B">
            <w:pPr>
              <w:pStyle w:val="Btablefigureunbold"/>
              <w:rPr>
                <w:szCs w:val="20"/>
              </w:rPr>
            </w:pPr>
            <w:r w:rsidRPr="00694211">
              <w:rPr>
                <w:rFonts w:cs="Calibri"/>
                <w:color w:val="000000"/>
                <w:szCs w:val="20"/>
              </w:rPr>
              <w:t>-239</w:t>
            </w:r>
          </w:p>
        </w:tc>
        <w:tc>
          <w:tcPr>
            <w:tcW w:w="964" w:type="dxa"/>
            <w:gridSpan w:val="2"/>
            <w:tcBorders>
              <w:top w:val="nil"/>
              <w:left w:val="nil"/>
              <w:bottom w:val="nil"/>
              <w:right w:val="nil"/>
            </w:tcBorders>
          </w:tcPr>
          <w:p w14:paraId="27327A64" w14:textId="77777777" w:rsidR="00CF0E2D" w:rsidRPr="00694211" w:rsidRDefault="00CF0E2D" w:rsidP="00A60D4B">
            <w:pPr>
              <w:pStyle w:val="Btablefigureunbold"/>
              <w:rPr>
                <w:szCs w:val="20"/>
              </w:rPr>
            </w:pPr>
            <w:r w:rsidRPr="00694211">
              <w:rPr>
                <w:rFonts w:cs="Calibri"/>
                <w:color w:val="000000"/>
                <w:szCs w:val="20"/>
              </w:rPr>
              <w:t>61</w:t>
            </w:r>
          </w:p>
        </w:tc>
        <w:tc>
          <w:tcPr>
            <w:tcW w:w="964" w:type="dxa"/>
            <w:gridSpan w:val="2"/>
            <w:tcBorders>
              <w:top w:val="nil"/>
              <w:left w:val="nil"/>
              <w:bottom w:val="nil"/>
              <w:right w:val="nil"/>
            </w:tcBorders>
          </w:tcPr>
          <w:p w14:paraId="568E1B34" w14:textId="77777777" w:rsidR="00CF0E2D" w:rsidRPr="00694211" w:rsidRDefault="00CF0E2D" w:rsidP="00A60D4B">
            <w:pPr>
              <w:pStyle w:val="Btablefigureunbold"/>
              <w:rPr>
                <w:szCs w:val="20"/>
              </w:rPr>
            </w:pPr>
            <w:r w:rsidRPr="00694211">
              <w:rPr>
                <w:rFonts w:cs="Calibri"/>
                <w:color w:val="000000"/>
                <w:szCs w:val="20"/>
              </w:rPr>
              <w:t>381</w:t>
            </w:r>
          </w:p>
        </w:tc>
        <w:tc>
          <w:tcPr>
            <w:tcW w:w="954" w:type="dxa"/>
            <w:gridSpan w:val="2"/>
            <w:tcBorders>
              <w:top w:val="nil"/>
              <w:left w:val="nil"/>
              <w:bottom w:val="nil"/>
              <w:right w:val="nil"/>
            </w:tcBorders>
          </w:tcPr>
          <w:p w14:paraId="24B681AB" w14:textId="77777777" w:rsidR="00CF0E2D" w:rsidRPr="00694211" w:rsidRDefault="00CF0E2D" w:rsidP="00A60D4B">
            <w:pPr>
              <w:pStyle w:val="Btablefigureunbold"/>
              <w:rPr>
                <w:b/>
                <w:bCs/>
                <w:szCs w:val="20"/>
              </w:rPr>
            </w:pPr>
            <w:r w:rsidRPr="00694211">
              <w:rPr>
                <w:rFonts w:cs="Calibri"/>
                <w:b/>
                <w:bCs/>
                <w:color w:val="000000"/>
                <w:szCs w:val="20"/>
              </w:rPr>
              <w:t>-318</w:t>
            </w:r>
          </w:p>
        </w:tc>
      </w:tr>
      <w:tr w:rsidR="00CF0E2D" w:rsidRPr="00D60558" w14:paraId="76B3F538" w14:textId="77777777" w:rsidTr="00A60D4B">
        <w:trPr>
          <w:gridAfter w:val="1"/>
          <w:wAfter w:w="9" w:type="dxa"/>
          <w:jc w:val="center"/>
        </w:trPr>
        <w:tc>
          <w:tcPr>
            <w:tcW w:w="3355" w:type="dxa"/>
            <w:tcBorders>
              <w:top w:val="nil"/>
              <w:left w:val="nil"/>
              <w:bottom w:val="nil"/>
              <w:right w:val="nil"/>
            </w:tcBorders>
          </w:tcPr>
          <w:p w14:paraId="7B34695C" w14:textId="77777777" w:rsidR="00CF0E2D" w:rsidRPr="00B1084E" w:rsidRDefault="00CF0E2D" w:rsidP="00A60D4B">
            <w:pPr>
              <w:pStyle w:val="Btabletextunbold"/>
              <w:rPr>
                <w:szCs w:val="20"/>
              </w:rPr>
            </w:pPr>
            <w:r w:rsidRPr="00B1084E">
              <w:rPr>
                <w:rFonts w:cs="Calibri"/>
                <w:color w:val="000000"/>
                <w:szCs w:val="20"/>
              </w:rPr>
              <w:t>– Digital access and equity</w:t>
            </w:r>
          </w:p>
        </w:tc>
        <w:tc>
          <w:tcPr>
            <w:tcW w:w="1093" w:type="dxa"/>
            <w:tcBorders>
              <w:top w:val="nil"/>
              <w:left w:val="nil"/>
              <w:bottom w:val="nil"/>
              <w:right w:val="nil"/>
            </w:tcBorders>
          </w:tcPr>
          <w:p w14:paraId="24BADBF8"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Net cost</w:t>
            </w:r>
          </w:p>
        </w:tc>
        <w:tc>
          <w:tcPr>
            <w:tcW w:w="964" w:type="dxa"/>
            <w:gridSpan w:val="2"/>
            <w:tcBorders>
              <w:top w:val="nil"/>
              <w:left w:val="nil"/>
              <w:bottom w:val="nil"/>
              <w:right w:val="nil"/>
            </w:tcBorders>
          </w:tcPr>
          <w:p w14:paraId="2F958226" w14:textId="77777777" w:rsidR="00CF0E2D" w:rsidRPr="00694211" w:rsidRDefault="00CF0E2D" w:rsidP="00A60D4B">
            <w:pPr>
              <w:pStyle w:val="Btablefigureunbold"/>
              <w:rPr>
                <w:szCs w:val="20"/>
              </w:rPr>
            </w:pPr>
            <w:r w:rsidRPr="00694211">
              <w:rPr>
                <w:rFonts w:cs="Calibri"/>
                <w:color w:val="000000"/>
                <w:szCs w:val="20"/>
              </w:rPr>
              <w:t>-221</w:t>
            </w:r>
          </w:p>
        </w:tc>
        <w:tc>
          <w:tcPr>
            <w:tcW w:w="964" w:type="dxa"/>
            <w:gridSpan w:val="2"/>
            <w:tcBorders>
              <w:top w:val="nil"/>
              <w:left w:val="nil"/>
              <w:bottom w:val="nil"/>
              <w:right w:val="nil"/>
            </w:tcBorders>
          </w:tcPr>
          <w:p w14:paraId="15AEC978" w14:textId="77777777" w:rsidR="00CF0E2D" w:rsidRPr="00694211" w:rsidRDefault="00CF0E2D" w:rsidP="00A60D4B">
            <w:pPr>
              <w:pStyle w:val="Btablefigureunbold"/>
              <w:rPr>
                <w:szCs w:val="20"/>
              </w:rPr>
            </w:pPr>
            <w:r w:rsidRPr="00694211">
              <w:rPr>
                <w:rFonts w:cs="Calibri"/>
                <w:color w:val="000000"/>
                <w:szCs w:val="20"/>
              </w:rPr>
              <w:t>-295</w:t>
            </w:r>
          </w:p>
        </w:tc>
        <w:tc>
          <w:tcPr>
            <w:tcW w:w="964" w:type="dxa"/>
            <w:gridSpan w:val="2"/>
            <w:tcBorders>
              <w:top w:val="nil"/>
              <w:left w:val="nil"/>
              <w:bottom w:val="nil"/>
              <w:right w:val="nil"/>
            </w:tcBorders>
          </w:tcPr>
          <w:p w14:paraId="6D73B604" w14:textId="77777777" w:rsidR="00CF0E2D" w:rsidRPr="00694211" w:rsidRDefault="00CF0E2D" w:rsidP="00A60D4B">
            <w:pPr>
              <w:pStyle w:val="Btablefigureunbold"/>
              <w:rPr>
                <w:szCs w:val="20"/>
              </w:rPr>
            </w:pPr>
            <w:r w:rsidRPr="00694211">
              <w:rPr>
                <w:rFonts w:cs="Calibri"/>
                <w:color w:val="000000"/>
                <w:szCs w:val="20"/>
              </w:rPr>
              <w:t>-317</w:t>
            </w:r>
          </w:p>
        </w:tc>
        <w:tc>
          <w:tcPr>
            <w:tcW w:w="964" w:type="dxa"/>
            <w:gridSpan w:val="2"/>
            <w:tcBorders>
              <w:top w:val="nil"/>
              <w:left w:val="nil"/>
              <w:bottom w:val="nil"/>
              <w:right w:val="nil"/>
            </w:tcBorders>
          </w:tcPr>
          <w:p w14:paraId="0B1AA4DA" w14:textId="77777777" w:rsidR="00CF0E2D" w:rsidRPr="00694211" w:rsidRDefault="00CF0E2D" w:rsidP="00A60D4B">
            <w:pPr>
              <w:pStyle w:val="Btablefigureunbold"/>
              <w:rPr>
                <w:szCs w:val="20"/>
              </w:rPr>
            </w:pPr>
            <w:r w:rsidRPr="00694211">
              <w:rPr>
                <w:rFonts w:cs="Calibri"/>
                <w:color w:val="000000"/>
                <w:szCs w:val="20"/>
              </w:rPr>
              <w:t>-57</w:t>
            </w:r>
          </w:p>
        </w:tc>
        <w:tc>
          <w:tcPr>
            <w:tcW w:w="954" w:type="dxa"/>
            <w:gridSpan w:val="2"/>
            <w:tcBorders>
              <w:top w:val="nil"/>
              <w:left w:val="nil"/>
              <w:bottom w:val="nil"/>
              <w:right w:val="nil"/>
            </w:tcBorders>
          </w:tcPr>
          <w:p w14:paraId="1832FA2B" w14:textId="77777777" w:rsidR="00CF0E2D" w:rsidRPr="00694211" w:rsidRDefault="00CF0E2D" w:rsidP="00A60D4B">
            <w:pPr>
              <w:pStyle w:val="Btablefigureunbold"/>
              <w:rPr>
                <w:b/>
                <w:bCs/>
                <w:szCs w:val="20"/>
              </w:rPr>
            </w:pPr>
            <w:r w:rsidRPr="00694211">
              <w:rPr>
                <w:rFonts w:cs="Calibri"/>
                <w:b/>
                <w:bCs/>
                <w:color w:val="000000"/>
                <w:szCs w:val="20"/>
              </w:rPr>
              <w:t>-890</w:t>
            </w:r>
          </w:p>
        </w:tc>
      </w:tr>
      <w:tr w:rsidR="00CF0E2D" w:rsidRPr="00D60558" w14:paraId="48E324EE" w14:textId="77777777" w:rsidTr="00A60D4B">
        <w:trPr>
          <w:gridAfter w:val="1"/>
          <w:wAfter w:w="9" w:type="dxa"/>
          <w:jc w:val="center"/>
        </w:trPr>
        <w:tc>
          <w:tcPr>
            <w:tcW w:w="3355" w:type="dxa"/>
            <w:tcBorders>
              <w:top w:val="nil"/>
              <w:left w:val="nil"/>
              <w:bottom w:val="nil"/>
              <w:right w:val="nil"/>
            </w:tcBorders>
          </w:tcPr>
          <w:p w14:paraId="70D36EFC" w14:textId="77777777" w:rsidR="00CF0E2D" w:rsidRPr="00B1084E" w:rsidRDefault="00CF0E2D" w:rsidP="00A60D4B">
            <w:pPr>
              <w:pStyle w:val="Btabletextunbold"/>
              <w:rPr>
                <w:szCs w:val="20"/>
              </w:rPr>
            </w:pPr>
            <w:r w:rsidRPr="00B1084E">
              <w:rPr>
                <w:rFonts w:cs="Calibri"/>
                <w:color w:val="000000"/>
                <w:szCs w:val="20"/>
              </w:rPr>
              <w:t>– Disability Education Review</w:t>
            </w:r>
          </w:p>
        </w:tc>
        <w:tc>
          <w:tcPr>
            <w:tcW w:w="1093" w:type="dxa"/>
            <w:tcBorders>
              <w:top w:val="nil"/>
              <w:left w:val="nil"/>
              <w:bottom w:val="nil"/>
              <w:right w:val="nil"/>
            </w:tcBorders>
          </w:tcPr>
          <w:p w14:paraId="7A55AD4F"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Net cost</w:t>
            </w:r>
          </w:p>
        </w:tc>
        <w:tc>
          <w:tcPr>
            <w:tcW w:w="964" w:type="dxa"/>
            <w:gridSpan w:val="2"/>
            <w:tcBorders>
              <w:top w:val="nil"/>
              <w:left w:val="nil"/>
              <w:bottom w:val="nil"/>
              <w:right w:val="nil"/>
            </w:tcBorders>
          </w:tcPr>
          <w:p w14:paraId="43E6A1F7" w14:textId="77777777" w:rsidR="00CF0E2D" w:rsidRPr="00694211" w:rsidRDefault="00CF0E2D" w:rsidP="00A60D4B">
            <w:pPr>
              <w:pStyle w:val="Btablefigureunbold"/>
              <w:rPr>
                <w:szCs w:val="20"/>
              </w:rPr>
            </w:pPr>
            <w:r w:rsidRPr="00694211">
              <w:rPr>
                <w:rFonts w:cs="Calibri"/>
                <w:color w:val="000000"/>
                <w:szCs w:val="20"/>
              </w:rPr>
              <w:t>245</w:t>
            </w:r>
          </w:p>
        </w:tc>
        <w:tc>
          <w:tcPr>
            <w:tcW w:w="964" w:type="dxa"/>
            <w:gridSpan w:val="2"/>
            <w:tcBorders>
              <w:top w:val="nil"/>
              <w:left w:val="nil"/>
              <w:bottom w:val="nil"/>
              <w:right w:val="nil"/>
            </w:tcBorders>
          </w:tcPr>
          <w:p w14:paraId="01E05AB9" w14:textId="77777777" w:rsidR="00CF0E2D" w:rsidRPr="00694211" w:rsidRDefault="00CF0E2D" w:rsidP="00A60D4B">
            <w:pPr>
              <w:pStyle w:val="Btablefigureunbold"/>
              <w:rPr>
                <w:szCs w:val="20"/>
              </w:rPr>
            </w:pPr>
            <w:r w:rsidRPr="00694211">
              <w:rPr>
                <w:rFonts w:cs="Calibri"/>
                <w:color w:val="000000"/>
                <w:szCs w:val="20"/>
              </w:rPr>
              <w:t>205</w:t>
            </w:r>
          </w:p>
        </w:tc>
        <w:tc>
          <w:tcPr>
            <w:tcW w:w="964" w:type="dxa"/>
            <w:gridSpan w:val="2"/>
            <w:tcBorders>
              <w:top w:val="nil"/>
              <w:left w:val="nil"/>
              <w:bottom w:val="nil"/>
              <w:right w:val="nil"/>
            </w:tcBorders>
          </w:tcPr>
          <w:p w14:paraId="17052474" w14:textId="77777777" w:rsidR="00CF0E2D" w:rsidRPr="00694211" w:rsidRDefault="00CF0E2D" w:rsidP="00A60D4B">
            <w:pPr>
              <w:pStyle w:val="Btablefigureunbold"/>
              <w:rPr>
                <w:szCs w:val="20"/>
              </w:rPr>
            </w:pPr>
            <w:r w:rsidRPr="00694211">
              <w:rPr>
                <w:rFonts w:cs="Calibri"/>
                <w:color w:val="000000"/>
                <w:szCs w:val="20"/>
              </w:rPr>
              <w:t>0</w:t>
            </w:r>
          </w:p>
        </w:tc>
        <w:tc>
          <w:tcPr>
            <w:tcW w:w="964" w:type="dxa"/>
            <w:gridSpan w:val="2"/>
            <w:tcBorders>
              <w:top w:val="nil"/>
              <w:left w:val="nil"/>
              <w:bottom w:val="nil"/>
              <w:right w:val="nil"/>
            </w:tcBorders>
          </w:tcPr>
          <w:p w14:paraId="3B54474A" w14:textId="77777777" w:rsidR="00CF0E2D" w:rsidRPr="00694211" w:rsidRDefault="00CF0E2D" w:rsidP="00A60D4B">
            <w:pPr>
              <w:pStyle w:val="Btablefigureunbold"/>
              <w:rPr>
                <w:szCs w:val="20"/>
              </w:rPr>
            </w:pPr>
            <w:r w:rsidRPr="00694211">
              <w:rPr>
                <w:rFonts w:cs="Calibri"/>
                <w:color w:val="000000"/>
                <w:szCs w:val="20"/>
              </w:rPr>
              <w:t>0</w:t>
            </w:r>
          </w:p>
        </w:tc>
        <w:tc>
          <w:tcPr>
            <w:tcW w:w="954" w:type="dxa"/>
            <w:gridSpan w:val="2"/>
            <w:tcBorders>
              <w:top w:val="nil"/>
              <w:left w:val="nil"/>
              <w:bottom w:val="nil"/>
              <w:right w:val="nil"/>
            </w:tcBorders>
          </w:tcPr>
          <w:p w14:paraId="2B3FC7DD" w14:textId="77777777" w:rsidR="00CF0E2D" w:rsidRPr="00694211" w:rsidRDefault="00CF0E2D" w:rsidP="00A60D4B">
            <w:pPr>
              <w:pStyle w:val="Btablefigureunbold"/>
              <w:rPr>
                <w:b/>
                <w:bCs/>
                <w:szCs w:val="20"/>
              </w:rPr>
            </w:pPr>
            <w:r w:rsidRPr="00694211">
              <w:rPr>
                <w:rFonts w:cs="Calibri"/>
                <w:b/>
                <w:bCs/>
                <w:color w:val="000000"/>
                <w:szCs w:val="20"/>
              </w:rPr>
              <w:t>450</w:t>
            </w:r>
          </w:p>
        </w:tc>
      </w:tr>
      <w:tr w:rsidR="00CF0E2D" w:rsidRPr="00D60558" w14:paraId="6B6A62AB" w14:textId="77777777" w:rsidTr="00A60D4B">
        <w:trPr>
          <w:gridAfter w:val="1"/>
          <w:wAfter w:w="9" w:type="dxa"/>
          <w:jc w:val="center"/>
        </w:trPr>
        <w:tc>
          <w:tcPr>
            <w:tcW w:w="3355" w:type="dxa"/>
            <w:tcBorders>
              <w:top w:val="nil"/>
              <w:left w:val="nil"/>
              <w:bottom w:val="nil"/>
              <w:right w:val="nil"/>
            </w:tcBorders>
          </w:tcPr>
          <w:p w14:paraId="4D0C886A" w14:textId="77777777" w:rsidR="00CF0E2D" w:rsidRPr="00B1084E" w:rsidRDefault="00CF0E2D" w:rsidP="00A60D4B">
            <w:pPr>
              <w:pStyle w:val="Btabletextunbold"/>
              <w:rPr>
                <w:szCs w:val="20"/>
              </w:rPr>
            </w:pPr>
            <w:r w:rsidRPr="00B1084E">
              <w:rPr>
                <w:rFonts w:cs="Calibri"/>
                <w:color w:val="000000"/>
                <w:szCs w:val="20"/>
              </w:rPr>
              <w:t xml:space="preserve">– Equitable enrolment adjustment </w:t>
            </w:r>
          </w:p>
        </w:tc>
        <w:tc>
          <w:tcPr>
            <w:tcW w:w="1093" w:type="dxa"/>
            <w:tcBorders>
              <w:top w:val="nil"/>
              <w:left w:val="nil"/>
              <w:bottom w:val="nil"/>
              <w:right w:val="nil"/>
            </w:tcBorders>
          </w:tcPr>
          <w:p w14:paraId="74DA2F0F"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Net cost</w:t>
            </w:r>
          </w:p>
        </w:tc>
        <w:tc>
          <w:tcPr>
            <w:tcW w:w="964" w:type="dxa"/>
            <w:gridSpan w:val="2"/>
            <w:tcBorders>
              <w:top w:val="nil"/>
              <w:left w:val="nil"/>
              <w:bottom w:val="nil"/>
              <w:right w:val="nil"/>
            </w:tcBorders>
          </w:tcPr>
          <w:p w14:paraId="714C4982" w14:textId="77777777" w:rsidR="00CF0E2D" w:rsidRPr="00694211" w:rsidRDefault="00CF0E2D" w:rsidP="00A60D4B">
            <w:pPr>
              <w:pStyle w:val="Btablefigureunbold"/>
              <w:rPr>
                <w:szCs w:val="20"/>
              </w:rPr>
            </w:pPr>
            <w:r w:rsidRPr="00694211">
              <w:rPr>
                <w:rFonts w:cs="Calibri"/>
                <w:color w:val="000000"/>
                <w:szCs w:val="20"/>
              </w:rPr>
              <w:t>5,173</w:t>
            </w:r>
          </w:p>
        </w:tc>
        <w:tc>
          <w:tcPr>
            <w:tcW w:w="964" w:type="dxa"/>
            <w:gridSpan w:val="2"/>
            <w:tcBorders>
              <w:top w:val="nil"/>
              <w:left w:val="nil"/>
              <w:bottom w:val="nil"/>
              <w:right w:val="nil"/>
            </w:tcBorders>
          </w:tcPr>
          <w:p w14:paraId="16ACF232" w14:textId="77777777" w:rsidR="00CF0E2D" w:rsidRPr="00694211" w:rsidRDefault="00CF0E2D" w:rsidP="00A60D4B">
            <w:pPr>
              <w:pStyle w:val="Btablefigureunbold"/>
              <w:rPr>
                <w:szCs w:val="20"/>
              </w:rPr>
            </w:pPr>
            <w:r w:rsidRPr="00694211">
              <w:rPr>
                <w:rFonts w:cs="Calibri"/>
                <w:color w:val="000000"/>
                <w:szCs w:val="20"/>
              </w:rPr>
              <w:t>5,328</w:t>
            </w:r>
          </w:p>
        </w:tc>
        <w:tc>
          <w:tcPr>
            <w:tcW w:w="964" w:type="dxa"/>
            <w:gridSpan w:val="2"/>
            <w:tcBorders>
              <w:top w:val="nil"/>
              <w:left w:val="nil"/>
              <w:bottom w:val="nil"/>
              <w:right w:val="nil"/>
            </w:tcBorders>
          </w:tcPr>
          <w:p w14:paraId="03D42649" w14:textId="77777777" w:rsidR="00CF0E2D" w:rsidRPr="00694211" w:rsidRDefault="00CF0E2D" w:rsidP="00A60D4B">
            <w:pPr>
              <w:pStyle w:val="Btablefigureunbold"/>
              <w:rPr>
                <w:szCs w:val="20"/>
              </w:rPr>
            </w:pPr>
            <w:r w:rsidRPr="00694211">
              <w:rPr>
                <w:rFonts w:cs="Calibri"/>
                <w:color w:val="000000"/>
                <w:szCs w:val="20"/>
              </w:rPr>
              <w:t>5,488</w:t>
            </w:r>
          </w:p>
        </w:tc>
        <w:tc>
          <w:tcPr>
            <w:tcW w:w="964" w:type="dxa"/>
            <w:gridSpan w:val="2"/>
            <w:tcBorders>
              <w:top w:val="nil"/>
              <w:left w:val="nil"/>
              <w:bottom w:val="nil"/>
              <w:right w:val="nil"/>
            </w:tcBorders>
          </w:tcPr>
          <w:p w14:paraId="7CCD61E2" w14:textId="77777777" w:rsidR="00CF0E2D" w:rsidRPr="00694211" w:rsidRDefault="00CF0E2D" w:rsidP="00A60D4B">
            <w:pPr>
              <w:pStyle w:val="Btablefigureunbold"/>
              <w:rPr>
                <w:szCs w:val="20"/>
              </w:rPr>
            </w:pPr>
            <w:r w:rsidRPr="00694211">
              <w:rPr>
                <w:rFonts w:cs="Calibri"/>
                <w:color w:val="000000"/>
                <w:szCs w:val="20"/>
              </w:rPr>
              <w:t>5,652</w:t>
            </w:r>
          </w:p>
        </w:tc>
        <w:tc>
          <w:tcPr>
            <w:tcW w:w="954" w:type="dxa"/>
            <w:gridSpan w:val="2"/>
            <w:tcBorders>
              <w:top w:val="nil"/>
              <w:left w:val="nil"/>
              <w:bottom w:val="nil"/>
              <w:right w:val="nil"/>
            </w:tcBorders>
          </w:tcPr>
          <w:p w14:paraId="6E31111C" w14:textId="77777777" w:rsidR="00CF0E2D" w:rsidRPr="00694211" w:rsidRDefault="00CF0E2D" w:rsidP="00A60D4B">
            <w:pPr>
              <w:pStyle w:val="Btablefigureunbold"/>
              <w:rPr>
                <w:b/>
                <w:bCs/>
                <w:szCs w:val="20"/>
              </w:rPr>
            </w:pPr>
            <w:r w:rsidRPr="00694211">
              <w:rPr>
                <w:rFonts w:cs="Calibri"/>
                <w:b/>
                <w:bCs/>
                <w:color w:val="000000"/>
                <w:szCs w:val="20"/>
              </w:rPr>
              <w:t>21,641</w:t>
            </w:r>
          </w:p>
        </w:tc>
      </w:tr>
      <w:tr w:rsidR="00CF0E2D" w:rsidRPr="00D60558" w14:paraId="434BEEE3" w14:textId="77777777" w:rsidTr="00A60D4B">
        <w:trPr>
          <w:gridAfter w:val="1"/>
          <w:wAfter w:w="9" w:type="dxa"/>
          <w:jc w:val="center"/>
        </w:trPr>
        <w:tc>
          <w:tcPr>
            <w:tcW w:w="3355" w:type="dxa"/>
            <w:tcBorders>
              <w:top w:val="nil"/>
              <w:left w:val="nil"/>
              <w:bottom w:val="nil"/>
              <w:right w:val="nil"/>
            </w:tcBorders>
          </w:tcPr>
          <w:p w14:paraId="6B5831EE" w14:textId="77777777" w:rsidR="00CF0E2D" w:rsidRPr="00B1084E" w:rsidRDefault="00CF0E2D" w:rsidP="00A60D4B">
            <w:pPr>
              <w:pStyle w:val="Btabletextunbold"/>
              <w:rPr>
                <w:szCs w:val="20"/>
              </w:rPr>
            </w:pPr>
            <w:r w:rsidRPr="00B1084E">
              <w:rPr>
                <w:rFonts w:cs="Calibri"/>
                <w:color w:val="000000"/>
                <w:szCs w:val="20"/>
              </w:rPr>
              <w:t xml:space="preserve">– Essential ICT systems upgrades and modifications </w:t>
            </w:r>
          </w:p>
        </w:tc>
        <w:tc>
          <w:tcPr>
            <w:tcW w:w="1093" w:type="dxa"/>
            <w:tcBorders>
              <w:top w:val="nil"/>
              <w:left w:val="nil"/>
              <w:bottom w:val="nil"/>
              <w:right w:val="nil"/>
            </w:tcBorders>
          </w:tcPr>
          <w:p w14:paraId="31806263" w14:textId="77777777" w:rsidR="00CF0E2D" w:rsidRPr="00B1084E"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254B2B3C" w14:textId="77777777" w:rsidR="00CF0E2D" w:rsidRPr="00694211" w:rsidRDefault="00CF0E2D" w:rsidP="00A60D4B">
            <w:pPr>
              <w:pStyle w:val="Btablefigureunbold"/>
              <w:rPr>
                <w:szCs w:val="20"/>
              </w:rPr>
            </w:pPr>
            <w:r w:rsidRPr="00694211">
              <w:rPr>
                <w:rFonts w:cs="Calibri"/>
                <w:color w:val="000000"/>
                <w:szCs w:val="20"/>
              </w:rPr>
              <w:t>400</w:t>
            </w:r>
          </w:p>
        </w:tc>
        <w:tc>
          <w:tcPr>
            <w:tcW w:w="964" w:type="dxa"/>
            <w:gridSpan w:val="2"/>
            <w:tcBorders>
              <w:top w:val="nil"/>
              <w:left w:val="nil"/>
              <w:bottom w:val="nil"/>
              <w:right w:val="nil"/>
            </w:tcBorders>
          </w:tcPr>
          <w:p w14:paraId="4FC66A46" w14:textId="77777777" w:rsidR="00CF0E2D" w:rsidRPr="00694211" w:rsidRDefault="00CF0E2D" w:rsidP="00A60D4B">
            <w:pPr>
              <w:pStyle w:val="Btablefigureunbold"/>
              <w:rPr>
                <w:szCs w:val="20"/>
              </w:rPr>
            </w:pPr>
            <w:r w:rsidRPr="00694211">
              <w:rPr>
                <w:rFonts w:cs="Calibri"/>
                <w:color w:val="000000"/>
                <w:szCs w:val="20"/>
              </w:rPr>
              <w:t>0</w:t>
            </w:r>
          </w:p>
        </w:tc>
        <w:tc>
          <w:tcPr>
            <w:tcW w:w="964" w:type="dxa"/>
            <w:gridSpan w:val="2"/>
            <w:tcBorders>
              <w:top w:val="nil"/>
              <w:left w:val="nil"/>
              <w:bottom w:val="nil"/>
              <w:right w:val="nil"/>
            </w:tcBorders>
          </w:tcPr>
          <w:p w14:paraId="09E7D23B" w14:textId="77777777" w:rsidR="00CF0E2D" w:rsidRPr="00694211" w:rsidRDefault="00CF0E2D" w:rsidP="00A60D4B">
            <w:pPr>
              <w:pStyle w:val="Btablefigureunbold"/>
              <w:rPr>
                <w:szCs w:val="20"/>
              </w:rPr>
            </w:pPr>
            <w:r w:rsidRPr="00694211">
              <w:rPr>
                <w:rFonts w:cs="Calibri"/>
                <w:color w:val="000000"/>
                <w:szCs w:val="20"/>
              </w:rPr>
              <w:t>0</w:t>
            </w:r>
          </w:p>
        </w:tc>
        <w:tc>
          <w:tcPr>
            <w:tcW w:w="964" w:type="dxa"/>
            <w:gridSpan w:val="2"/>
            <w:tcBorders>
              <w:top w:val="nil"/>
              <w:left w:val="nil"/>
              <w:bottom w:val="nil"/>
              <w:right w:val="nil"/>
            </w:tcBorders>
          </w:tcPr>
          <w:p w14:paraId="1D78C9E6" w14:textId="77777777" w:rsidR="00CF0E2D" w:rsidRPr="00694211" w:rsidRDefault="00CF0E2D" w:rsidP="00A60D4B">
            <w:pPr>
              <w:pStyle w:val="Btablefigureunbold"/>
              <w:rPr>
                <w:szCs w:val="20"/>
              </w:rPr>
            </w:pPr>
            <w:r w:rsidRPr="00694211">
              <w:rPr>
                <w:rFonts w:cs="Calibri"/>
                <w:color w:val="000000"/>
                <w:szCs w:val="20"/>
              </w:rPr>
              <w:t>0</w:t>
            </w:r>
          </w:p>
        </w:tc>
        <w:tc>
          <w:tcPr>
            <w:tcW w:w="954" w:type="dxa"/>
            <w:gridSpan w:val="2"/>
            <w:tcBorders>
              <w:top w:val="nil"/>
              <w:left w:val="nil"/>
              <w:bottom w:val="nil"/>
              <w:right w:val="nil"/>
            </w:tcBorders>
          </w:tcPr>
          <w:p w14:paraId="3DE63354" w14:textId="77777777" w:rsidR="00CF0E2D" w:rsidRPr="00694211" w:rsidRDefault="00CF0E2D" w:rsidP="00A60D4B">
            <w:pPr>
              <w:pStyle w:val="Btablefigureunbold"/>
              <w:rPr>
                <w:b/>
                <w:bCs/>
                <w:szCs w:val="20"/>
              </w:rPr>
            </w:pPr>
            <w:r w:rsidRPr="00694211">
              <w:rPr>
                <w:rFonts w:cs="Calibri"/>
                <w:b/>
                <w:bCs/>
                <w:color w:val="000000"/>
                <w:szCs w:val="20"/>
              </w:rPr>
              <w:t>400</w:t>
            </w:r>
          </w:p>
        </w:tc>
      </w:tr>
      <w:tr w:rsidR="00CF0E2D" w:rsidRPr="00D60558" w14:paraId="1C27AD81" w14:textId="77777777" w:rsidTr="00A60D4B">
        <w:trPr>
          <w:gridAfter w:val="1"/>
          <w:wAfter w:w="9" w:type="dxa"/>
          <w:jc w:val="center"/>
        </w:trPr>
        <w:tc>
          <w:tcPr>
            <w:tcW w:w="3355" w:type="dxa"/>
            <w:tcBorders>
              <w:top w:val="nil"/>
              <w:left w:val="nil"/>
              <w:bottom w:val="nil"/>
              <w:right w:val="nil"/>
            </w:tcBorders>
          </w:tcPr>
          <w:p w14:paraId="53185E58" w14:textId="77777777" w:rsidR="00CF0E2D" w:rsidRPr="00B1084E" w:rsidRDefault="00CF0E2D" w:rsidP="00A60D4B">
            <w:pPr>
              <w:pStyle w:val="Btabletextunbold"/>
              <w:rPr>
                <w:szCs w:val="20"/>
              </w:rPr>
            </w:pPr>
            <w:r w:rsidRPr="00B1084E">
              <w:rPr>
                <w:rFonts w:cs="Calibri"/>
                <w:color w:val="000000"/>
                <w:szCs w:val="20"/>
              </w:rPr>
              <w:t xml:space="preserve">– Essential ICT systems upgrades and modifications </w:t>
            </w:r>
          </w:p>
        </w:tc>
        <w:tc>
          <w:tcPr>
            <w:tcW w:w="1093" w:type="dxa"/>
            <w:tcBorders>
              <w:top w:val="nil"/>
              <w:left w:val="nil"/>
              <w:bottom w:val="nil"/>
              <w:right w:val="nil"/>
            </w:tcBorders>
          </w:tcPr>
          <w:p w14:paraId="68E834AD"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Net cost</w:t>
            </w:r>
          </w:p>
        </w:tc>
        <w:tc>
          <w:tcPr>
            <w:tcW w:w="964" w:type="dxa"/>
            <w:gridSpan w:val="2"/>
            <w:tcBorders>
              <w:top w:val="nil"/>
              <w:left w:val="nil"/>
              <w:bottom w:val="nil"/>
              <w:right w:val="nil"/>
            </w:tcBorders>
          </w:tcPr>
          <w:p w14:paraId="2F39C177" w14:textId="77777777" w:rsidR="00CF0E2D" w:rsidRPr="00694211" w:rsidRDefault="00CF0E2D" w:rsidP="00A60D4B">
            <w:pPr>
              <w:pStyle w:val="Btablefigureunbold"/>
              <w:rPr>
                <w:szCs w:val="20"/>
              </w:rPr>
            </w:pPr>
            <w:r w:rsidRPr="00694211">
              <w:rPr>
                <w:rFonts w:cs="Calibri"/>
                <w:color w:val="000000"/>
                <w:szCs w:val="20"/>
              </w:rPr>
              <w:t>174</w:t>
            </w:r>
          </w:p>
        </w:tc>
        <w:tc>
          <w:tcPr>
            <w:tcW w:w="964" w:type="dxa"/>
            <w:gridSpan w:val="2"/>
            <w:tcBorders>
              <w:top w:val="nil"/>
              <w:left w:val="nil"/>
              <w:bottom w:val="nil"/>
              <w:right w:val="nil"/>
            </w:tcBorders>
          </w:tcPr>
          <w:p w14:paraId="55BFCC4B" w14:textId="77777777" w:rsidR="00CF0E2D" w:rsidRPr="00694211" w:rsidRDefault="00CF0E2D" w:rsidP="00A60D4B">
            <w:pPr>
              <w:pStyle w:val="Btablefigureunbold"/>
              <w:rPr>
                <w:szCs w:val="20"/>
              </w:rPr>
            </w:pPr>
            <w:r w:rsidRPr="00694211">
              <w:rPr>
                <w:rFonts w:cs="Calibri"/>
                <w:color w:val="000000"/>
                <w:szCs w:val="20"/>
              </w:rPr>
              <w:t>219</w:t>
            </w:r>
          </w:p>
        </w:tc>
        <w:tc>
          <w:tcPr>
            <w:tcW w:w="964" w:type="dxa"/>
            <w:gridSpan w:val="2"/>
            <w:tcBorders>
              <w:top w:val="nil"/>
              <w:left w:val="nil"/>
              <w:bottom w:val="nil"/>
              <w:right w:val="nil"/>
            </w:tcBorders>
          </w:tcPr>
          <w:p w14:paraId="3A0D3FD3" w14:textId="77777777" w:rsidR="00CF0E2D" w:rsidRPr="00694211" w:rsidRDefault="00CF0E2D" w:rsidP="00A60D4B">
            <w:pPr>
              <w:pStyle w:val="Btablefigureunbold"/>
              <w:rPr>
                <w:szCs w:val="20"/>
              </w:rPr>
            </w:pPr>
            <w:r w:rsidRPr="00694211">
              <w:rPr>
                <w:rFonts w:cs="Calibri"/>
                <w:color w:val="000000"/>
                <w:szCs w:val="20"/>
              </w:rPr>
              <w:t>40</w:t>
            </w:r>
          </w:p>
        </w:tc>
        <w:tc>
          <w:tcPr>
            <w:tcW w:w="964" w:type="dxa"/>
            <w:gridSpan w:val="2"/>
            <w:tcBorders>
              <w:top w:val="nil"/>
              <w:left w:val="nil"/>
              <w:bottom w:val="nil"/>
              <w:right w:val="nil"/>
            </w:tcBorders>
          </w:tcPr>
          <w:p w14:paraId="29564EAE" w14:textId="77777777" w:rsidR="00CF0E2D" w:rsidRPr="00694211" w:rsidRDefault="00CF0E2D" w:rsidP="00A60D4B">
            <w:pPr>
              <w:pStyle w:val="Btablefigureunbold"/>
              <w:rPr>
                <w:szCs w:val="20"/>
              </w:rPr>
            </w:pPr>
            <w:r w:rsidRPr="00694211">
              <w:rPr>
                <w:rFonts w:cs="Calibri"/>
                <w:color w:val="000000"/>
                <w:szCs w:val="20"/>
              </w:rPr>
              <w:t>40</w:t>
            </w:r>
          </w:p>
        </w:tc>
        <w:tc>
          <w:tcPr>
            <w:tcW w:w="954" w:type="dxa"/>
            <w:gridSpan w:val="2"/>
            <w:tcBorders>
              <w:top w:val="nil"/>
              <w:left w:val="nil"/>
              <w:bottom w:val="nil"/>
              <w:right w:val="nil"/>
            </w:tcBorders>
          </w:tcPr>
          <w:p w14:paraId="6F15388F" w14:textId="77777777" w:rsidR="00CF0E2D" w:rsidRPr="00694211" w:rsidRDefault="00CF0E2D" w:rsidP="00A60D4B">
            <w:pPr>
              <w:pStyle w:val="Btablefigureunbold"/>
              <w:rPr>
                <w:b/>
                <w:bCs/>
                <w:szCs w:val="20"/>
              </w:rPr>
            </w:pPr>
            <w:r w:rsidRPr="00694211">
              <w:rPr>
                <w:rFonts w:cs="Calibri"/>
                <w:b/>
                <w:bCs/>
                <w:color w:val="000000"/>
                <w:szCs w:val="20"/>
              </w:rPr>
              <w:t>473</w:t>
            </w:r>
          </w:p>
        </w:tc>
      </w:tr>
      <w:tr w:rsidR="00CF0E2D" w:rsidRPr="00D60558" w14:paraId="158A5151" w14:textId="77777777" w:rsidTr="00A60D4B">
        <w:trPr>
          <w:gridAfter w:val="1"/>
          <w:wAfter w:w="9" w:type="dxa"/>
          <w:jc w:val="center"/>
        </w:trPr>
        <w:tc>
          <w:tcPr>
            <w:tcW w:w="3355" w:type="dxa"/>
            <w:tcBorders>
              <w:top w:val="nil"/>
              <w:left w:val="nil"/>
              <w:bottom w:val="nil"/>
              <w:right w:val="nil"/>
            </w:tcBorders>
          </w:tcPr>
          <w:p w14:paraId="3937E28A" w14:textId="77777777" w:rsidR="00CF0E2D" w:rsidRPr="00B1084E" w:rsidRDefault="00CF0E2D" w:rsidP="00A60D4B">
            <w:pPr>
              <w:pStyle w:val="Btabletextunbold"/>
              <w:rPr>
                <w:szCs w:val="20"/>
              </w:rPr>
            </w:pPr>
            <w:r w:rsidRPr="00B1084E">
              <w:rPr>
                <w:rFonts w:cs="Calibri"/>
                <w:color w:val="000000"/>
                <w:szCs w:val="20"/>
              </w:rPr>
              <w:t>– Future of Education Equity Fund</w:t>
            </w:r>
          </w:p>
        </w:tc>
        <w:tc>
          <w:tcPr>
            <w:tcW w:w="1093" w:type="dxa"/>
            <w:tcBorders>
              <w:top w:val="nil"/>
              <w:left w:val="nil"/>
              <w:bottom w:val="nil"/>
              <w:right w:val="nil"/>
            </w:tcBorders>
          </w:tcPr>
          <w:p w14:paraId="2FFA9636"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Net cost</w:t>
            </w:r>
          </w:p>
        </w:tc>
        <w:tc>
          <w:tcPr>
            <w:tcW w:w="964" w:type="dxa"/>
            <w:gridSpan w:val="2"/>
            <w:tcBorders>
              <w:top w:val="nil"/>
              <w:left w:val="nil"/>
              <w:bottom w:val="nil"/>
              <w:right w:val="nil"/>
            </w:tcBorders>
          </w:tcPr>
          <w:p w14:paraId="3B61536F" w14:textId="77777777" w:rsidR="00CF0E2D" w:rsidRPr="00694211" w:rsidRDefault="00CF0E2D" w:rsidP="00A60D4B">
            <w:pPr>
              <w:pStyle w:val="Btablefigureunbold"/>
              <w:rPr>
                <w:szCs w:val="20"/>
              </w:rPr>
            </w:pPr>
            <w:r w:rsidRPr="00694211">
              <w:rPr>
                <w:rFonts w:cs="Calibri"/>
                <w:color w:val="000000"/>
                <w:szCs w:val="20"/>
              </w:rPr>
              <w:t>2,789</w:t>
            </w:r>
          </w:p>
        </w:tc>
        <w:tc>
          <w:tcPr>
            <w:tcW w:w="964" w:type="dxa"/>
            <w:gridSpan w:val="2"/>
            <w:tcBorders>
              <w:top w:val="nil"/>
              <w:left w:val="nil"/>
              <w:bottom w:val="nil"/>
              <w:right w:val="nil"/>
            </w:tcBorders>
          </w:tcPr>
          <w:p w14:paraId="1FCA9D8C" w14:textId="77777777" w:rsidR="00CF0E2D" w:rsidRPr="00694211" w:rsidRDefault="00CF0E2D" w:rsidP="00A60D4B">
            <w:pPr>
              <w:pStyle w:val="Btablefigureunbold"/>
              <w:rPr>
                <w:szCs w:val="20"/>
              </w:rPr>
            </w:pPr>
            <w:r w:rsidRPr="00694211">
              <w:rPr>
                <w:rFonts w:cs="Calibri"/>
                <w:color w:val="000000"/>
                <w:szCs w:val="20"/>
              </w:rPr>
              <w:t>2,647</w:t>
            </w:r>
          </w:p>
        </w:tc>
        <w:tc>
          <w:tcPr>
            <w:tcW w:w="964" w:type="dxa"/>
            <w:gridSpan w:val="2"/>
            <w:tcBorders>
              <w:top w:val="nil"/>
              <w:left w:val="nil"/>
              <w:bottom w:val="nil"/>
              <w:right w:val="nil"/>
            </w:tcBorders>
          </w:tcPr>
          <w:p w14:paraId="3B0ABDA1" w14:textId="77777777" w:rsidR="00CF0E2D" w:rsidRPr="00694211" w:rsidRDefault="00CF0E2D" w:rsidP="00A60D4B">
            <w:pPr>
              <w:pStyle w:val="Btablefigureunbold"/>
              <w:rPr>
                <w:szCs w:val="20"/>
              </w:rPr>
            </w:pPr>
            <w:r w:rsidRPr="00694211">
              <w:rPr>
                <w:rFonts w:cs="Calibri"/>
                <w:color w:val="000000"/>
                <w:szCs w:val="20"/>
              </w:rPr>
              <w:t>1,954</w:t>
            </w:r>
          </w:p>
        </w:tc>
        <w:tc>
          <w:tcPr>
            <w:tcW w:w="964" w:type="dxa"/>
            <w:gridSpan w:val="2"/>
            <w:tcBorders>
              <w:top w:val="nil"/>
              <w:left w:val="nil"/>
              <w:bottom w:val="nil"/>
              <w:right w:val="nil"/>
            </w:tcBorders>
          </w:tcPr>
          <w:p w14:paraId="2619A50D" w14:textId="77777777" w:rsidR="00CF0E2D" w:rsidRPr="00694211" w:rsidRDefault="00CF0E2D" w:rsidP="00A60D4B">
            <w:pPr>
              <w:pStyle w:val="Btablefigureunbold"/>
              <w:rPr>
                <w:szCs w:val="20"/>
              </w:rPr>
            </w:pPr>
            <w:r w:rsidRPr="00694211">
              <w:rPr>
                <w:rFonts w:cs="Calibri"/>
                <w:color w:val="000000"/>
                <w:szCs w:val="20"/>
              </w:rPr>
              <w:t>1,989</w:t>
            </w:r>
          </w:p>
        </w:tc>
        <w:tc>
          <w:tcPr>
            <w:tcW w:w="954" w:type="dxa"/>
            <w:gridSpan w:val="2"/>
            <w:tcBorders>
              <w:top w:val="nil"/>
              <w:left w:val="nil"/>
              <w:bottom w:val="nil"/>
              <w:right w:val="nil"/>
            </w:tcBorders>
          </w:tcPr>
          <w:p w14:paraId="40DDBC37" w14:textId="77777777" w:rsidR="00CF0E2D" w:rsidRPr="00694211" w:rsidRDefault="00CF0E2D" w:rsidP="00A60D4B">
            <w:pPr>
              <w:pStyle w:val="Btablefigureunbold"/>
              <w:rPr>
                <w:b/>
                <w:bCs/>
                <w:szCs w:val="20"/>
              </w:rPr>
            </w:pPr>
            <w:r w:rsidRPr="00694211">
              <w:rPr>
                <w:rFonts w:cs="Calibri"/>
                <w:b/>
                <w:bCs/>
                <w:color w:val="000000"/>
                <w:szCs w:val="20"/>
              </w:rPr>
              <w:t>9,379</w:t>
            </w:r>
          </w:p>
        </w:tc>
      </w:tr>
      <w:tr w:rsidR="00CF0E2D" w:rsidRPr="00D60558" w14:paraId="6F79893E" w14:textId="77777777" w:rsidTr="00A60D4B">
        <w:trPr>
          <w:gridAfter w:val="1"/>
          <w:wAfter w:w="9" w:type="dxa"/>
          <w:jc w:val="center"/>
        </w:trPr>
        <w:tc>
          <w:tcPr>
            <w:tcW w:w="3355" w:type="dxa"/>
            <w:tcBorders>
              <w:top w:val="nil"/>
              <w:left w:val="nil"/>
              <w:bottom w:val="nil"/>
              <w:right w:val="nil"/>
            </w:tcBorders>
          </w:tcPr>
          <w:p w14:paraId="765E40E7" w14:textId="77777777" w:rsidR="00CF0E2D" w:rsidRPr="00B1084E" w:rsidRDefault="00CF0E2D" w:rsidP="00A60D4B">
            <w:pPr>
              <w:pStyle w:val="Btabletextunbold"/>
              <w:rPr>
                <w:szCs w:val="20"/>
              </w:rPr>
            </w:pPr>
            <w:r w:rsidRPr="00B1084E">
              <w:rPr>
                <w:rFonts w:cs="Calibri"/>
                <w:color w:val="000000"/>
                <w:szCs w:val="20"/>
              </w:rPr>
              <w:t>– Gender equality in our Schools</w:t>
            </w:r>
          </w:p>
        </w:tc>
        <w:tc>
          <w:tcPr>
            <w:tcW w:w="1093" w:type="dxa"/>
            <w:tcBorders>
              <w:top w:val="nil"/>
              <w:left w:val="nil"/>
              <w:bottom w:val="nil"/>
              <w:right w:val="nil"/>
            </w:tcBorders>
          </w:tcPr>
          <w:p w14:paraId="18ECCBC4"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Net cost</w:t>
            </w:r>
          </w:p>
        </w:tc>
        <w:tc>
          <w:tcPr>
            <w:tcW w:w="964" w:type="dxa"/>
            <w:gridSpan w:val="2"/>
            <w:tcBorders>
              <w:top w:val="nil"/>
              <w:left w:val="nil"/>
              <w:bottom w:val="nil"/>
              <w:right w:val="nil"/>
            </w:tcBorders>
          </w:tcPr>
          <w:p w14:paraId="4F51DCC5" w14:textId="77777777" w:rsidR="00CF0E2D" w:rsidRPr="00694211" w:rsidRDefault="00CF0E2D" w:rsidP="00A60D4B">
            <w:pPr>
              <w:pStyle w:val="Btablefigureunbold"/>
              <w:rPr>
                <w:szCs w:val="20"/>
              </w:rPr>
            </w:pPr>
            <w:r w:rsidRPr="00694211">
              <w:rPr>
                <w:rFonts w:cs="Calibri"/>
                <w:color w:val="000000"/>
                <w:szCs w:val="20"/>
              </w:rPr>
              <w:t>402</w:t>
            </w:r>
          </w:p>
        </w:tc>
        <w:tc>
          <w:tcPr>
            <w:tcW w:w="964" w:type="dxa"/>
            <w:gridSpan w:val="2"/>
            <w:tcBorders>
              <w:top w:val="nil"/>
              <w:left w:val="nil"/>
              <w:bottom w:val="nil"/>
              <w:right w:val="nil"/>
            </w:tcBorders>
          </w:tcPr>
          <w:p w14:paraId="128F3EBF" w14:textId="77777777" w:rsidR="00CF0E2D" w:rsidRPr="00694211" w:rsidRDefault="00CF0E2D" w:rsidP="00A60D4B">
            <w:pPr>
              <w:pStyle w:val="Btablefigureunbold"/>
              <w:rPr>
                <w:szCs w:val="20"/>
              </w:rPr>
            </w:pPr>
            <w:r w:rsidRPr="00694211">
              <w:rPr>
                <w:rFonts w:cs="Calibri"/>
                <w:color w:val="000000"/>
                <w:szCs w:val="20"/>
              </w:rPr>
              <w:t>544</w:t>
            </w:r>
          </w:p>
        </w:tc>
        <w:tc>
          <w:tcPr>
            <w:tcW w:w="964" w:type="dxa"/>
            <w:gridSpan w:val="2"/>
            <w:tcBorders>
              <w:top w:val="nil"/>
              <w:left w:val="nil"/>
              <w:bottom w:val="nil"/>
              <w:right w:val="nil"/>
            </w:tcBorders>
          </w:tcPr>
          <w:p w14:paraId="1C66DC50" w14:textId="77777777" w:rsidR="00CF0E2D" w:rsidRPr="00694211" w:rsidRDefault="00CF0E2D" w:rsidP="00A60D4B">
            <w:pPr>
              <w:pStyle w:val="Btablefigureunbold"/>
              <w:rPr>
                <w:szCs w:val="20"/>
              </w:rPr>
            </w:pPr>
            <w:r w:rsidRPr="00694211">
              <w:rPr>
                <w:rFonts w:cs="Calibri"/>
                <w:color w:val="000000"/>
                <w:szCs w:val="20"/>
              </w:rPr>
              <w:t>551</w:t>
            </w:r>
          </w:p>
        </w:tc>
        <w:tc>
          <w:tcPr>
            <w:tcW w:w="964" w:type="dxa"/>
            <w:gridSpan w:val="2"/>
            <w:tcBorders>
              <w:top w:val="nil"/>
              <w:left w:val="nil"/>
              <w:bottom w:val="nil"/>
              <w:right w:val="nil"/>
            </w:tcBorders>
          </w:tcPr>
          <w:p w14:paraId="311EA202" w14:textId="77777777" w:rsidR="00CF0E2D" w:rsidRPr="00694211" w:rsidRDefault="00CF0E2D" w:rsidP="00A60D4B">
            <w:pPr>
              <w:pStyle w:val="Btablefigureunbold"/>
              <w:rPr>
                <w:szCs w:val="20"/>
              </w:rPr>
            </w:pPr>
            <w:r w:rsidRPr="00694211">
              <w:rPr>
                <w:rFonts w:cs="Calibri"/>
                <w:color w:val="000000"/>
                <w:szCs w:val="20"/>
              </w:rPr>
              <w:t>560</w:t>
            </w:r>
          </w:p>
        </w:tc>
        <w:tc>
          <w:tcPr>
            <w:tcW w:w="954" w:type="dxa"/>
            <w:gridSpan w:val="2"/>
            <w:tcBorders>
              <w:top w:val="nil"/>
              <w:left w:val="nil"/>
              <w:bottom w:val="nil"/>
              <w:right w:val="nil"/>
            </w:tcBorders>
          </w:tcPr>
          <w:p w14:paraId="7F3A025C" w14:textId="77777777" w:rsidR="00CF0E2D" w:rsidRPr="00694211" w:rsidRDefault="00CF0E2D" w:rsidP="00A60D4B">
            <w:pPr>
              <w:pStyle w:val="Btablefigureunbold"/>
              <w:rPr>
                <w:b/>
                <w:bCs/>
                <w:szCs w:val="20"/>
              </w:rPr>
            </w:pPr>
            <w:r w:rsidRPr="00694211">
              <w:rPr>
                <w:rFonts w:cs="Calibri"/>
                <w:b/>
                <w:bCs/>
                <w:color w:val="000000"/>
                <w:szCs w:val="20"/>
              </w:rPr>
              <w:t>2,057</w:t>
            </w:r>
          </w:p>
        </w:tc>
      </w:tr>
      <w:tr w:rsidR="00CF0E2D" w:rsidRPr="00D60558" w14:paraId="6790F8E3" w14:textId="77777777" w:rsidTr="00A60D4B">
        <w:trPr>
          <w:gridAfter w:val="1"/>
          <w:wAfter w:w="9" w:type="dxa"/>
          <w:jc w:val="center"/>
        </w:trPr>
        <w:tc>
          <w:tcPr>
            <w:tcW w:w="3355" w:type="dxa"/>
            <w:tcBorders>
              <w:top w:val="nil"/>
              <w:left w:val="nil"/>
              <w:bottom w:val="nil"/>
              <w:right w:val="nil"/>
            </w:tcBorders>
          </w:tcPr>
          <w:p w14:paraId="2492F940" w14:textId="77777777" w:rsidR="00CF0E2D" w:rsidRPr="00B1084E" w:rsidRDefault="00CF0E2D" w:rsidP="00A60D4B">
            <w:pPr>
              <w:pStyle w:val="Btabletextunbold"/>
              <w:rPr>
                <w:szCs w:val="20"/>
              </w:rPr>
            </w:pPr>
            <w:r w:rsidRPr="00B1084E">
              <w:rPr>
                <w:rFonts w:cs="Calibri"/>
                <w:color w:val="000000"/>
                <w:szCs w:val="20"/>
              </w:rPr>
              <w:t>– Headstart pilot program</w:t>
            </w:r>
          </w:p>
        </w:tc>
        <w:tc>
          <w:tcPr>
            <w:tcW w:w="1093" w:type="dxa"/>
            <w:tcBorders>
              <w:top w:val="nil"/>
              <w:left w:val="nil"/>
              <w:bottom w:val="nil"/>
              <w:right w:val="nil"/>
            </w:tcBorders>
          </w:tcPr>
          <w:p w14:paraId="3570CB1E"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Net cost</w:t>
            </w:r>
          </w:p>
        </w:tc>
        <w:tc>
          <w:tcPr>
            <w:tcW w:w="964" w:type="dxa"/>
            <w:gridSpan w:val="2"/>
            <w:tcBorders>
              <w:top w:val="nil"/>
              <w:left w:val="nil"/>
              <w:bottom w:val="nil"/>
              <w:right w:val="nil"/>
            </w:tcBorders>
          </w:tcPr>
          <w:p w14:paraId="432D0096" w14:textId="77777777" w:rsidR="00CF0E2D" w:rsidRPr="00694211" w:rsidRDefault="00CF0E2D" w:rsidP="00A60D4B">
            <w:pPr>
              <w:pStyle w:val="Btablefigureunbold"/>
              <w:rPr>
                <w:szCs w:val="20"/>
              </w:rPr>
            </w:pPr>
            <w:r w:rsidRPr="00694211">
              <w:rPr>
                <w:rFonts w:cs="Calibri"/>
                <w:color w:val="000000"/>
                <w:szCs w:val="20"/>
              </w:rPr>
              <w:t>602</w:t>
            </w:r>
          </w:p>
        </w:tc>
        <w:tc>
          <w:tcPr>
            <w:tcW w:w="964" w:type="dxa"/>
            <w:gridSpan w:val="2"/>
            <w:tcBorders>
              <w:top w:val="nil"/>
              <w:left w:val="nil"/>
              <w:bottom w:val="nil"/>
              <w:right w:val="nil"/>
            </w:tcBorders>
          </w:tcPr>
          <w:p w14:paraId="307C474C" w14:textId="77777777" w:rsidR="00CF0E2D" w:rsidRPr="00694211" w:rsidRDefault="00CF0E2D" w:rsidP="00A60D4B">
            <w:pPr>
              <w:pStyle w:val="Btablefigureunbold"/>
              <w:rPr>
                <w:szCs w:val="20"/>
              </w:rPr>
            </w:pPr>
            <w:r w:rsidRPr="00694211">
              <w:rPr>
                <w:rFonts w:cs="Calibri"/>
                <w:color w:val="000000"/>
                <w:szCs w:val="20"/>
              </w:rPr>
              <w:t>797</w:t>
            </w:r>
          </w:p>
        </w:tc>
        <w:tc>
          <w:tcPr>
            <w:tcW w:w="964" w:type="dxa"/>
            <w:gridSpan w:val="2"/>
            <w:tcBorders>
              <w:top w:val="nil"/>
              <w:left w:val="nil"/>
              <w:bottom w:val="nil"/>
              <w:right w:val="nil"/>
            </w:tcBorders>
          </w:tcPr>
          <w:p w14:paraId="2AC7E90E" w14:textId="77777777" w:rsidR="00CF0E2D" w:rsidRPr="00694211" w:rsidRDefault="00CF0E2D" w:rsidP="00A60D4B">
            <w:pPr>
              <w:pStyle w:val="Btablefigureunbold"/>
              <w:rPr>
                <w:szCs w:val="20"/>
              </w:rPr>
            </w:pPr>
            <w:r w:rsidRPr="00694211">
              <w:rPr>
                <w:rFonts w:cs="Calibri"/>
                <w:color w:val="000000"/>
                <w:szCs w:val="20"/>
              </w:rPr>
              <w:t>807</w:t>
            </w:r>
          </w:p>
        </w:tc>
        <w:tc>
          <w:tcPr>
            <w:tcW w:w="964" w:type="dxa"/>
            <w:gridSpan w:val="2"/>
            <w:tcBorders>
              <w:top w:val="nil"/>
              <w:left w:val="nil"/>
              <w:bottom w:val="nil"/>
              <w:right w:val="nil"/>
            </w:tcBorders>
          </w:tcPr>
          <w:p w14:paraId="52448BA3" w14:textId="77777777" w:rsidR="00CF0E2D" w:rsidRPr="00694211" w:rsidRDefault="00CF0E2D" w:rsidP="00A60D4B">
            <w:pPr>
              <w:pStyle w:val="Btablefigureunbold"/>
              <w:rPr>
                <w:szCs w:val="20"/>
              </w:rPr>
            </w:pPr>
            <w:r w:rsidRPr="00694211">
              <w:rPr>
                <w:rFonts w:cs="Calibri"/>
                <w:color w:val="000000"/>
                <w:szCs w:val="20"/>
              </w:rPr>
              <w:t>0</w:t>
            </w:r>
          </w:p>
        </w:tc>
        <w:tc>
          <w:tcPr>
            <w:tcW w:w="954" w:type="dxa"/>
            <w:gridSpan w:val="2"/>
            <w:tcBorders>
              <w:top w:val="nil"/>
              <w:left w:val="nil"/>
              <w:bottom w:val="nil"/>
              <w:right w:val="nil"/>
            </w:tcBorders>
          </w:tcPr>
          <w:p w14:paraId="2AADC5FB" w14:textId="77777777" w:rsidR="00CF0E2D" w:rsidRPr="00694211" w:rsidRDefault="00CF0E2D" w:rsidP="00A60D4B">
            <w:pPr>
              <w:pStyle w:val="Btablefigureunbold"/>
              <w:rPr>
                <w:b/>
                <w:bCs/>
                <w:szCs w:val="20"/>
              </w:rPr>
            </w:pPr>
            <w:r w:rsidRPr="00694211">
              <w:rPr>
                <w:rFonts w:cs="Calibri"/>
                <w:b/>
                <w:bCs/>
                <w:color w:val="000000"/>
                <w:szCs w:val="20"/>
              </w:rPr>
              <w:t>2,206</w:t>
            </w:r>
          </w:p>
        </w:tc>
      </w:tr>
      <w:tr w:rsidR="00CF0E2D" w:rsidRPr="00D60558" w14:paraId="3D1ADD51" w14:textId="77777777" w:rsidTr="00A60D4B">
        <w:trPr>
          <w:gridAfter w:val="1"/>
          <w:wAfter w:w="9" w:type="dxa"/>
          <w:jc w:val="center"/>
        </w:trPr>
        <w:tc>
          <w:tcPr>
            <w:tcW w:w="3355" w:type="dxa"/>
            <w:tcBorders>
              <w:top w:val="nil"/>
              <w:left w:val="nil"/>
              <w:bottom w:val="nil"/>
              <w:right w:val="nil"/>
            </w:tcBorders>
          </w:tcPr>
          <w:p w14:paraId="3FA8F9FA" w14:textId="77777777" w:rsidR="00CF0E2D" w:rsidRPr="00B1084E" w:rsidRDefault="00CF0E2D" w:rsidP="00A60D4B">
            <w:pPr>
              <w:pStyle w:val="Btabletextunbold"/>
              <w:rPr>
                <w:szCs w:val="20"/>
              </w:rPr>
            </w:pPr>
            <w:r w:rsidRPr="00B1084E">
              <w:rPr>
                <w:rFonts w:cs="Calibri"/>
                <w:color w:val="000000"/>
                <w:szCs w:val="20"/>
              </w:rPr>
              <w:t>– More social and youth workers in schools</w:t>
            </w:r>
          </w:p>
        </w:tc>
        <w:tc>
          <w:tcPr>
            <w:tcW w:w="1093" w:type="dxa"/>
            <w:tcBorders>
              <w:top w:val="nil"/>
              <w:left w:val="nil"/>
              <w:bottom w:val="nil"/>
              <w:right w:val="nil"/>
            </w:tcBorders>
          </w:tcPr>
          <w:p w14:paraId="508AB9AC"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Net cost</w:t>
            </w:r>
          </w:p>
        </w:tc>
        <w:tc>
          <w:tcPr>
            <w:tcW w:w="964" w:type="dxa"/>
            <w:gridSpan w:val="2"/>
            <w:tcBorders>
              <w:top w:val="nil"/>
              <w:left w:val="nil"/>
              <w:bottom w:val="nil"/>
              <w:right w:val="nil"/>
            </w:tcBorders>
          </w:tcPr>
          <w:p w14:paraId="7501CAC1" w14:textId="77777777" w:rsidR="00CF0E2D" w:rsidRPr="00694211" w:rsidRDefault="00CF0E2D" w:rsidP="00A60D4B">
            <w:pPr>
              <w:pStyle w:val="Btablefigureunbold"/>
              <w:rPr>
                <w:szCs w:val="20"/>
              </w:rPr>
            </w:pPr>
            <w:r w:rsidRPr="00694211">
              <w:rPr>
                <w:rFonts w:cs="Calibri"/>
                <w:color w:val="000000"/>
                <w:szCs w:val="20"/>
              </w:rPr>
              <w:t>495</w:t>
            </w:r>
          </w:p>
        </w:tc>
        <w:tc>
          <w:tcPr>
            <w:tcW w:w="964" w:type="dxa"/>
            <w:gridSpan w:val="2"/>
            <w:tcBorders>
              <w:top w:val="nil"/>
              <w:left w:val="nil"/>
              <w:bottom w:val="nil"/>
              <w:right w:val="nil"/>
            </w:tcBorders>
          </w:tcPr>
          <w:p w14:paraId="60CC550F" w14:textId="77777777" w:rsidR="00CF0E2D" w:rsidRPr="00694211" w:rsidRDefault="00CF0E2D" w:rsidP="00A60D4B">
            <w:pPr>
              <w:pStyle w:val="Btablefigureunbold"/>
              <w:rPr>
                <w:szCs w:val="20"/>
              </w:rPr>
            </w:pPr>
            <w:r w:rsidRPr="00694211">
              <w:rPr>
                <w:rFonts w:cs="Calibri"/>
                <w:color w:val="000000"/>
                <w:szCs w:val="20"/>
              </w:rPr>
              <w:t>1,669</w:t>
            </w:r>
          </w:p>
        </w:tc>
        <w:tc>
          <w:tcPr>
            <w:tcW w:w="964" w:type="dxa"/>
            <w:gridSpan w:val="2"/>
            <w:tcBorders>
              <w:top w:val="nil"/>
              <w:left w:val="nil"/>
              <w:bottom w:val="nil"/>
              <w:right w:val="nil"/>
            </w:tcBorders>
          </w:tcPr>
          <w:p w14:paraId="19E7FF89" w14:textId="77777777" w:rsidR="00CF0E2D" w:rsidRPr="00694211" w:rsidRDefault="00CF0E2D" w:rsidP="00A60D4B">
            <w:pPr>
              <w:pStyle w:val="Btablefigureunbold"/>
              <w:rPr>
                <w:szCs w:val="20"/>
              </w:rPr>
            </w:pPr>
            <w:r w:rsidRPr="00694211">
              <w:rPr>
                <w:rFonts w:cs="Calibri"/>
                <w:color w:val="000000"/>
                <w:szCs w:val="20"/>
              </w:rPr>
              <w:t>1,692</w:t>
            </w:r>
          </w:p>
        </w:tc>
        <w:tc>
          <w:tcPr>
            <w:tcW w:w="964" w:type="dxa"/>
            <w:gridSpan w:val="2"/>
            <w:tcBorders>
              <w:top w:val="nil"/>
              <w:left w:val="nil"/>
              <w:bottom w:val="nil"/>
              <w:right w:val="nil"/>
            </w:tcBorders>
          </w:tcPr>
          <w:p w14:paraId="7442F180" w14:textId="77777777" w:rsidR="00CF0E2D" w:rsidRPr="00694211" w:rsidRDefault="00CF0E2D" w:rsidP="00A60D4B">
            <w:pPr>
              <w:pStyle w:val="Btablefigureunbold"/>
              <w:rPr>
                <w:szCs w:val="20"/>
              </w:rPr>
            </w:pPr>
            <w:r w:rsidRPr="00694211">
              <w:rPr>
                <w:rFonts w:cs="Calibri"/>
                <w:color w:val="000000"/>
                <w:szCs w:val="20"/>
              </w:rPr>
              <w:t>3,507</w:t>
            </w:r>
          </w:p>
        </w:tc>
        <w:tc>
          <w:tcPr>
            <w:tcW w:w="954" w:type="dxa"/>
            <w:gridSpan w:val="2"/>
            <w:tcBorders>
              <w:top w:val="nil"/>
              <w:left w:val="nil"/>
              <w:bottom w:val="nil"/>
              <w:right w:val="nil"/>
            </w:tcBorders>
          </w:tcPr>
          <w:p w14:paraId="4737A752" w14:textId="77777777" w:rsidR="00CF0E2D" w:rsidRPr="00694211" w:rsidRDefault="00CF0E2D" w:rsidP="00A60D4B">
            <w:pPr>
              <w:pStyle w:val="Btablefigureunbold"/>
              <w:rPr>
                <w:b/>
                <w:bCs/>
                <w:szCs w:val="20"/>
              </w:rPr>
            </w:pPr>
            <w:r w:rsidRPr="00694211">
              <w:rPr>
                <w:rFonts w:cs="Calibri"/>
                <w:b/>
                <w:bCs/>
                <w:color w:val="000000"/>
                <w:szCs w:val="20"/>
              </w:rPr>
              <w:t>7,363</w:t>
            </w:r>
          </w:p>
        </w:tc>
      </w:tr>
      <w:tr w:rsidR="00CF0E2D" w:rsidRPr="00D60558" w14:paraId="7657800D" w14:textId="77777777" w:rsidTr="00A60D4B">
        <w:trPr>
          <w:gridAfter w:val="1"/>
          <w:wAfter w:w="9" w:type="dxa"/>
          <w:jc w:val="center"/>
        </w:trPr>
        <w:tc>
          <w:tcPr>
            <w:tcW w:w="3355" w:type="dxa"/>
            <w:tcBorders>
              <w:top w:val="nil"/>
              <w:left w:val="nil"/>
              <w:bottom w:val="nil"/>
              <w:right w:val="nil"/>
            </w:tcBorders>
          </w:tcPr>
          <w:p w14:paraId="4AA92ED0" w14:textId="77777777" w:rsidR="00CF0E2D" w:rsidRPr="00B1084E" w:rsidRDefault="00CF0E2D" w:rsidP="00A60D4B">
            <w:pPr>
              <w:pStyle w:val="Btabletextunbold"/>
              <w:rPr>
                <w:szCs w:val="20"/>
              </w:rPr>
            </w:pPr>
            <w:r w:rsidRPr="00B1084E">
              <w:rPr>
                <w:rFonts w:cs="Calibri"/>
                <w:color w:val="000000"/>
                <w:szCs w:val="20"/>
              </w:rPr>
              <w:t xml:space="preserve">– More teacher librarians </w:t>
            </w:r>
          </w:p>
        </w:tc>
        <w:tc>
          <w:tcPr>
            <w:tcW w:w="1093" w:type="dxa"/>
            <w:tcBorders>
              <w:top w:val="nil"/>
              <w:left w:val="nil"/>
              <w:bottom w:val="nil"/>
              <w:right w:val="nil"/>
            </w:tcBorders>
          </w:tcPr>
          <w:p w14:paraId="5775B8DA"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Net cost</w:t>
            </w:r>
          </w:p>
        </w:tc>
        <w:tc>
          <w:tcPr>
            <w:tcW w:w="964" w:type="dxa"/>
            <w:gridSpan w:val="2"/>
            <w:tcBorders>
              <w:top w:val="nil"/>
              <w:left w:val="nil"/>
              <w:bottom w:val="nil"/>
              <w:right w:val="nil"/>
            </w:tcBorders>
          </w:tcPr>
          <w:p w14:paraId="5A41747C" w14:textId="77777777" w:rsidR="00CF0E2D" w:rsidRPr="00694211" w:rsidRDefault="00CF0E2D" w:rsidP="00A60D4B">
            <w:pPr>
              <w:pStyle w:val="Btablefigureunbold"/>
              <w:rPr>
                <w:szCs w:val="20"/>
              </w:rPr>
            </w:pPr>
            <w:r w:rsidRPr="00694211">
              <w:rPr>
                <w:rFonts w:cs="Calibri"/>
                <w:color w:val="000000"/>
                <w:szCs w:val="20"/>
              </w:rPr>
              <w:t>0</w:t>
            </w:r>
          </w:p>
        </w:tc>
        <w:tc>
          <w:tcPr>
            <w:tcW w:w="964" w:type="dxa"/>
            <w:gridSpan w:val="2"/>
            <w:tcBorders>
              <w:top w:val="nil"/>
              <w:left w:val="nil"/>
              <w:bottom w:val="nil"/>
              <w:right w:val="nil"/>
            </w:tcBorders>
          </w:tcPr>
          <w:p w14:paraId="1C1EAB77" w14:textId="77777777" w:rsidR="00CF0E2D" w:rsidRPr="00694211" w:rsidRDefault="00CF0E2D" w:rsidP="00A60D4B">
            <w:pPr>
              <w:pStyle w:val="Btablefigureunbold"/>
              <w:rPr>
                <w:szCs w:val="20"/>
              </w:rPr>
            </w:pPr>
            <w:r w:rsidRPr="00694211">
              <w:rPr>
                <w:rFonts w:cs="Calibri"/>
                <w:color w:val="000000"/>
                <w:szCs w:val="20"/>
              </w:rPr>
              <w:t>851</w:t>
            </w:r>
          </w:p>
        </w:tc>
        <w:tc>
          <w:tcPr>
            <w:tcW w:w="964" w:type="dxa"/>
            <w:gridSpan w:val="2"/>
            <w:tcBorders>
              <w:top w:val="nil"/>
              <w:left w:val="nil"/>
              <w:bottom w:val="nil"/>
              <w:right w:val="nil"/>
            </w:tcBorders>
          </w:tcPr>
          <w:p w14:paraId="5FA4B5B7" w14:textId="77777777" w:rsidR="00CF0E2D" w:rsidRPr="00694211" w:rsidRDefault="00CF0E2D" w:rsidP="00A60D4B">
            <w:pPr>
              <w:pStyle w:val="Btablefigureunbold"/>
              <w:rPr>
                <w:szCs w:val="20"/>
              </w:rPr>
            </w:pPr>
            <w:r w:rsidRPr="00694211">
              <w:rPr>
                <w:rFonts w:cs="Calibri"/>
                <w:color w:val="000000"/>
                <w:szCs w:val="20"/>
              </w:rPr>
              <w:t>1,634</w:t>
            </w:r>
          </w:p>
        </w:tc>
        <w:tc>
          <w:tcPr>
            <w:tcW w:w="964" w:type="dxa"/>
            <w:gridSpan w:val="2"/>
            <w:tcBorders>
              <w:top w:val="nil"/>
              <w:left w:val="nil"/>
              <w:bottom w:val="nil"/>
              <w:right w:val="nil"/>
            </w:tcBorders>
          </w:tcPr>
          <w:p w14:paraId="4CDC243E" w14:textId="77777777" w:rsidR="00CF0E2D" w:rsidRPr="00694211" w:rsidRDefault="00CF0E2D" w:rsidP="00A60D4B">
            <w:pPr>
              <w:pStyle w:val="Btablefigureunbold"/>
              <w:rPr>
                <w:szCs w:val="20"/>
              </w:rPr>
            </w:pPr>
            <w:r w:rsidRPr="00694211">
              <w:rPr>
                <w:rFonts w:cs="Calibri"/>
                <w:color w:val="000000"/>
                <w:szCs w:val="20"/>
              </w:rPr>
              <w:t>2,420</w:t>
            </w:r>
          </w:p>
        </w:tc>
        <w:tc>
          <w:tcPr>
            <w:tcW w:w="954" w:type="dxa"/>
            <w:gridSpan w:val="2"/>
            <w:tcBorders>
              <w:top w:val="nil"/>
              <w:left w:val="nil"/>
              <w:bottom w:val="nil"/>
              <w:right w:val="nil"/>
            </w:tcBorders>
          </w:tcPr>
          <w:p w14:paraId="3467348B" w14:textId="77777777" w:rsidR="00CF0E2D" w:rsidRPr="00694211" w:rsidRDefault="00CF0E2D" w:rsidP="00A60D4B">
            <w:pPr>
              <w:pStyle w:val="Btablefigureunbold"/>
              <w:rPr>
                <w:b/>
                <w:bCs/>
                <w:szCs w:val="20"/>
              </w:rPr>
            </w:pPr>
            <w:r w:rsidRPr="00694211">
              <w:rPr>
                <w:rFonts w:cs="Calibri"/>
                <w:b/>
                <w:bCs/>
                <w:color w:val="000000"/>
                <w:szCs w:val="20"/>
              </w:rPr>
              <w:t>4,905</w:t>
            </w:r>
          </w:p>
        </w:tc>
      </w:tr>
      <w:tr w:rsidR="00CF0E2D" w:rsidRPr="00D60558" w14:paraId="461AD626" w14:textId="77777777" w:rsidTr="00A60D4B">
        <w:trPr>
          <w:gridAfter w:val="1"/>
          <w:wAfter w:w="9" w:type="dxa"/>
          <w:jc w:val="center"/>
        </w:trPr>
        <w:tc>
          <w:tcPr>
            <w:tcW w:w="3355" w:type="dxa"/>
            <w:tcBorders>
              <w:top w:val="nil"/>
              <w:left w:val="nil"/>
              <w:bottom w:val="nil"/>
              <w:right w:val="nil"/>
            </w:tcBorders>
          </w:tcPr>
          <w:p w14:paraId="15D85E79" w14:textId="77777777" w:rsidR="00CF0E2D" w:rsidRPr="00B1084E" w:rsidRDefault="00CF0E2D" w:rsidP="00A60D4B">
            <w:pPr>
              <w:pStyle w:val="Btabletextunbold"/>
              <w:rPr>
                <w:szCs w:val="20"/>
              </w:rPr>
            </w:pPr>
            <w:r w:rsidRPr="00B1084E">
              <w:rPr>
                <w:rFonts w:cs="Calibri"/>
                <w:color w:val="000000"/>
                <w:szCs w:val="20"/>
              </w:rPr>
              <w:t>– Muliyan Off-Campus Flexible Learning Program</w:t>
            </w:r>
          </w:p>
        </w:tc>
        <w:tc>
          <w:tcPr>
            <w:tcW w:w="1093" w:type="dxa"/>
            <w:tcBorders>
              <w:top w:val="nil"/>
              <w:left w:val="nil"/>
              <w:bottom w:val="nil"/>
              <w:right w:val="nil"/>
            </w:tcBorders>
          </w:tcPr>
          <w:p w14:paraId="28AD033A"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Net cost</w:t>
            </w:r>
          </w:p>
        </w:tc>
        <w:tc>
          <w:tcPr>
            <w:tcW w:w="964" w:type="dxa"/>
            <w:gridSpan w:val="2"/>
            <w:tcBorders>
              <w:top w:val="nil"/>
              <w:left w:val="nil"/>
              <w:bottom w:val="nil"/>
              <w:right w:val="nil"/>
            </w:tcBorders>
          </w:tcPr>
          <w:p w14:paraId="1061958D" w14:textId="77777777" w:rsidR="00CF0E2D" w:rsidRPr="00694211" w:rsidRDefault="00CF0E2D" w:rsidP="00A60D4B">
            <w:pPr>
              <w:pStyle w:val="Btablefigureunbold"/>
              <w:rPr>
                <w:szCs w:val="20"/>
              </w:rPr>
            </w:pPr>
            <w:r w:rsidRPr="00694211">
              <w:rPr>
                <w:rFonts w:cs="Calibri"/>
                <w:color w:val="000000"/>
                <w:szCs w:val="20"/>
              </w:rPr>
              <w:t>2,198</w:t>
            </w:r>
          </w:p>
        </w:tc>
        <w:tc>
          <w:tcPr>
            <w:tcW w:w="964" w:type="dxa"/>
            <w:gridSpan w:val="2"/>
            <w:tcBorders>
              <w:top w:val="nil"/>
              <w:left w:val="nil"/>
              <w:bottom w:val="nil"/>
              <w:right w:val="nil"/>
            </w:tcBorders>
          </w:tcPr>
          <w:p w14:paraId="0AB2EEA9" w14:textId="77777777" w:rsidR="00CF0E2D" w:rsidRPr="00694211" w:rsidRDefault="00CF0E2D" w:rsidP="00A60D4B">
            <w:pPr>
              <w:pStyle w:val="Btablefigureunbold"/>
              <w:rPr>
                <w:szCs w:val="20"/>
              </w:rPr>
            </w:pPr>
            <w:r w:rsidRPr="00694211">
              <w:rPr>
                <w:rFonts w:cs="Calibri"/>
                <w:color w:val="000000"/>
                <w:szCs w:val="20"/>
              </w:rPr>
              <w:t>2,242</w:t>
            </w:r>
          </w:p>
        </w:tc>
        <w:tc>
          <w:tcPr>
            <w:tcW w:w="964" w:type="dxa"/>
            <w:gridSpan w:val="2"/>
            <w:tcBorders>
              <w:top w:val="nil"/>
              <w:left w:val="nil"/>
              <w:bottom w:val="nil"/>
              <w:right w:val="nil"/>
            </w:tcBorders>
          </w:tcPr>
          <w:p w14:paraId="0D7A71DC" w14:textId="77777777" w:rsidR="00CF0E2D" w:rsidRPr="00694211" w:rsidRDefault="00CF0E2D" w:rsidP="00A60D4B">
            <w:pPr>
              <w:pStyle w:val="Btablefigureunbold"/>
              <w:rPr>
                <w:szCs w:val="20"/>
              </w:rPr>
            </w:pPr>
            <w:r w:rsidRPr="00694211">
              <w:rPr>
                <w:rFonts w:cs="Calibri"/>
                <w:color w:val="000000"/>
                <w:szCs w:val="20"/>
              </w:rPr>
              <w:t>2,286</w:t>
            </w:r>
          </w:p>
        </w:tc>
        <w:tc>
          <w:tcPr>
            <w:tcW w:w="964" w:type="dxa"/>
            <w:gridSpan w:val="2"/>
            <w:tcBorders>
              <w:top w:val="nil"/>
              <w:left w:val="nil"/>
              <w:bottom w:val="nil"/>
              <w:right w:val="nil"/>
            </w:tcBorders>
          </w:tcPr>
          <w:p w14:paraId="2D6EBBB2" w14:textId="77777777" w:rsidR="00CF0E2D" w:rsidRPr="00694211" w:rsidRDefault="00CF0E2D" w:rsidP="00A60D4B">
            <w:pPr>
              <w:pStyle w:val="Btablefigureunbold"/>
              <w:rPr>
                <w:szCs w:val="20"/>
              </w:rPr>
            </w:pPr>
            <w:r w:rsidRPr="00694211">
              <w:rPr>
                <w:rFonts w:cs="Calibri"/>
                <w:color w:val="000000"/>
                <w:szCs w:val="20"/>
              </w:rPr>
              <w:t>2,332</w:t>
            </w:r>
          </w:p>
        </w:tc>
        <w:tc>
          <w:tcPr>
            <w:tcW w:w="954" w:type="dxa"/>
            <w:gridSpan w:val="2"/>
            <w:tcBorders>
              <w:top w:val="nil"/>
              <w:left w:val="nil"/>
              <w:bottom w:val="nil"/>
              <w:right w:val="nil"/>
            </w:tcBorders>
          </w:tcPr>
          <w:p w14:paraId="0C236D0A" w14:textId="77777777" w:rsidR="00CF0E2D" w:rsidRPr="00694211" w:rsidRDefault="00CF0E2D" w:rsidP="00A60D4B">
            <w:pPr>
              <w:pStyle w:val="Btablefigureunbold"/>
              <w:rPr>
                <w:b/>
                <w:bCs/>
                <w:szCs w:val="20"/>
              </w:rPr>
            </w:pPr>
            <w:r w:rsidRPr="00694211">
              <w:rPr>
                <w:rFonts w:cs="Calibri"/>
                <w:b/>
                <w:bCs/>
                <w:color w:val="000000"/>
                <w:szCs w:val="20"/>
              </w:rPr>
              <w:t>9,058</w:t>
            </w:r>
          </w:p>
        </w:tc>
      </w:tr>
      <w:tr w:rsidR="00CF0E2D" w:rsidRPr="00D60558" w14:paraId="3B790AF1" w14:textId="77777777" w:rsidTr="00A60D4B">
        <w:trPr>
          <w:gridAfter w:val="1"/>
          <w:wAfter w:w="9" w:type="dxa"/>
          <w:jc w:val="center"/>
        </w:trPr>
        <w:tc>
          <w:tcPr>
            <w:tcW w:w="3355" w:type="dxa"/>
            <w:tcBorders>
              <w:top w:val="nil"/>
              <w:left w:val="nil"/>
              <w:bottom w:val="nil"/>
              <w:right w:val="nil"/>
            </w:tcBorders>
          </w:tcPr>
          <w:p w14:paraId="0E964E84" w14:textId="77777777" w:rsidR="00CF0E2D" w:rsidRPr="00B1084E" w:rsidRDefault="00CF0E2D" w:rsidP="00A60D4B">
            <w:pPr>
              <w:pStyle w:val="Btabletextunbold"/>
              <w:rPr>
                <w:szCs w:val="20"/>
              </w:rPr>
            </w:pPr>
            <w:r w:rsidRPr="00B1084E">
              <w:rPr>
                <w:rFonts w:cs="Calibri"/>
                <w:color w:val="000000"/>
                <w:szCs w:val="20"/>
              </w:rPr>
              <w:t>– Reducing violence in schools</w:t>
            </w:r>
          </w:p>
        </w:tc>
        <w:tc>
          <w:tcPr>
            <w:tcW w:w="1093" w:type="dxa"/>
            <w:tcBorders>
              <w:top w:val="nil"/>
              <w:left w:val="nil"/>
              <w:bottom w:val="nil"/>
              <w:right w:val="nil"/>
            </w:tcBorders>
          </w:tcPr>
          <w:p w14:paraId="374EE835"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Net cost</w:t>
            </w:r>
          </w:p>
        </w:tc>
        <w:tc>
          <w:tcPr>
            <w:tcW w:w="964" w:type="dxa"/>
            <w:gridSpan w:val="2"/>
            <w:tcBorders>
              <w:top w:val="nil"/>
              <w:left w:val="nil"/>
              <w:bottom w:val="nil"/>
              <w:right w:val="nil"/>
            </w:tcBorders>
          </w:tcPr>
          <w:p w14:paraId="692F1351" w14:textId="77777777" w:rsidR="00CF0E2D" w:rsidRPr="00694211" w:rsidRDefault="00CF0E2D" w:rsidP="00A60D4B">
            <w:pPr>
              <w:pStyle w:val="Btablefigureunbold"/>
              <w:rPr>
                <w:szCs w:val="20"/>
              </w:rPr>
            </w:pPr>
            <w:r w:rsidRPr="00694211">
              <w:rPr>
                <w:rFonts w:cs="Calibri"/>
                <w:color w:val="000000"/>
                <w:szCs w:val="20"/>
              </w:rPr>
              <w:t>1,048</w:t>
            </w:r>
          </w:p>
        </w:tc>
        <w:tc>
          <w:tcPr>
            <w:tcW w:w="964" w:type="dxa"/>
            <w:gridSpan w:val="2"/>
            <w:tcBorders>
              <w:top w:val="nil"/>
              <w:left w:val="nil"/>
              <w:bottom w:val="nil"/>
              <w:right w:val="nil"/>
            </w:tcBorders>
          </w:tcPr>
          <w:p w14:paraId="4E04F101" w14:textId="77777777" w:rsidR="00CF0E2D" w:rsidRPr="00694211" w:rsidRDefault="00CF0E2D" w:rsidP="00A60D4B">
            <w:pPr>
              <w:pStyle w:val="Btablefigureunbold"/>
              <w:rPr>
                <w:szCs w:val="20"/>
              </w:rPr>
            </w:pPr>
            <w:r w:rsidRPr="00694211">
              <w:rPr>
                <w:rFonts w:cs="Calibri"/>
                <w:color w:val="000000"/>
                <w:szCs w:val="20"/>
              </w:rPr>
              <w:t>1,369</w:t>
            </w:r>
          </w:p>
        </w:tc>
        <w:tc>
          <w:tcPr>
            <w:tcW w:w="964" w:type="dxa"/>
            <w:gridSpan w:val="2"/>
            <w:tcBorders>
              <w:top w:val="nil"/>
              <w:left w:val="nil"/>
              <w:bottom w:val="nil"/>
              <w:right w:val="nil"/>
            </w:tcBorders>
          </w:tcPr>
          <w:p w14:paraId="2E9E8064" w14:textId="77777777" w:rsidR="00CF0E2D" w:rsidRPr="00694211" w:rsidRDefault="00CF0E2D" w:rsidP="00A60D4B">
            <w:pPr>
              <w:pStyle w:val="Btablefigureunbold"/>
              <w:rPr>
                <w:szCs w:val="20"/>
              </w:rPr>
            </w:pPr>
            <w:r w:rsidRPr="00694211">
              <w:rPr>
                <w:rFonts w:cs="Calibri"/>
                <w:color w:val="000000"/>
                <w:szCs w:val="20"/>
              </w:rPr>
              <w:t>1,744</w:t>
            </w:r>
          </w:p>
        </w:tc>
        <w:tc>
          <w:tcPr>
            <w:tcW w:w="964" w:type="dxa"/>
            <w:gridSpan w:val="2"/>
            <w:tcBorders>
              <w:top w:val="nil"/>
              <w:left w:val="nil"/>
              <w:bottom w:val="nil"/>
              <w:right w:val="nil"/>
            </w:tcBorders>
          </w:tcPr>
          <w:p w14:paraId="11B04BAE" w14:textId="77777777" w:rsidR="00CF0E2D" w:rsidRPr="00694211" w:rsidRDefault="00CF0E2D" w:rsidP="00A60D4B">
            <w:pPr>
              <w:pStyle w:val="Btablefigureunbold"/>
              <w:rPr>
                <w:szCs w:val="20"/>
              </w:rPr>
            </w:pPr>
            <w:r w:rsidRPr="00694211">
              <w:rPr>
                <w:rFonts w:cs="Calibri"/>
                <w:color w:val="000000"/>
                <w:szCs w:val="20"/>
              </w:rPr>
              <w:t>1,768</w:t>
            </w:r>
          </w:p>
        </w:tc>
        <w:tc>
          <w:tcPr>
            <w:tcW w:w="954" w:type="dxa"/>
            <w:gridSpan w:val="2"/>
            <w:tcBorders>
              <w:top w:val="nil"/>
              <w:left w:val="nil"/>
              <w:bottom w:val="nil"/>
              <w:right w:val="nil"/>
            </w:tcBorders>
          </w:tcPr>
          <w:p w14:paraId="33541366" w14:textId="77777777" w:rsidR="00CF0E2D" w:rsidRPr="00694211" w:rsidRDefault="00CF0E2D" w:rsidP="00A60D4B">
            <w:pPr>
              <w:pStyle w:val="Btablefigureunbold"/>
              <w:rPr>
                <w:b/>
                <w:bCs/>
                <w:szCs w:val="20"/>
              </w:rPr>
            </w:pPr>
            <w:r w:rsidRPr="00694211">
              <w:rPr>
                <w:rFonts w:cs="Calibri"/>
                <w:b/>
                <w:bCs/>
                <w:color w:val="000000"/>
                <w:szCs w:val="20"/>
              </w:rPr>
              <w:t>5,929</w:t>
            </w:r>
          </w:p>
        </w:tc>
      </w:tr>
      <w:tr w:rsidR="00CF0E2D" w:rsidRPr="00D60558" w14:paraId="7634C69C" w14:textId="77777777" w:rsidTr="00A60D4B">
        <w:trPr>
          <w:gridAfter w:val="1"/>
          <w:wAfter w:w="9" w:type="dxa"/>
          <w:jc w:val="center"/>
        </w:trPr>
        <w:tc>
          <w:tcPr>
            <w:tcW w:w="3355" w:type="dxa"/>
            <w:tcBorders>
              <w:top w:val="nil"/>
              <w:left w:val="nil"/>
              <w:bottom w:val="nil"/>
              <w:right w:val="nil"/>
            </w:tcBorders>
          </w:tcPr>
          <w:p w14:paraId="2DA5A60E" w14:textId="77777777" w:rsidR="00CF0E2D" w:rsidRPr="00B1084E" w:rsidRDefault="00CF0E2D" w:rsidP="00A60D4B">
            <w:pPr>
              <w:pStyle w:val="Btabletextunbold"/>
              <w:rPr>
                <w:szCs w:val="20"/>
              </w:rPr>
            </w:pPr>
            <w:r w:rsidRPr="00B1084E">
              <w:rPr>
                <w:rFonts w:cs="Calibri"/>
                <w:color w:val="000000"/>
                <w:szCs w:val="20"/>
              </w:rPr>
              <w:t xml:space="preserve">– Schools legal liaison </w:t>
            </w:r>
          </w:p>
        </w:tc>
        <w:tc>
          <w:tcPr>
            <w:tcW w:w="1093" w:type="dxa"/>
            <w:tcBorders>
              <w:top w:val="nil"/>
              <w:left w:val="nil"/>
              <w:bottom w:val="nil"/>
              <w:right w:val="nil"/>
            </w:tcBorders>
          </w:tcPr>
          <w:p w14:paraId="46E02D25"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Net cost</w:t>
            </w:r>
          </w:p>
        </w:tc>
        <w:tc>
          <w:tcPr>
            <w:tcW w:w="964" w:type="dxa"/>
            <w:gridSpan w:val="2"/>
            <w:tcBorders>
              <w:top w:val="nil"/>
              <w:left w:val="nil"/>
              <w:bottom w:val="nil"/>
              <w:right w:val="nil"/>
            </w:tcBorders>
          </w:tcPr>
          <w:p w14:paraId="2130B7EA" w14:textId="77777777" w:rsidR="00CF0E2D" w:rsidRPr="00694211" w:rsidRDefault="00CF0E2D" w:rsidP="00A60D4B">
            <w:pPr>
              <w:pStyle w:val="Btablefigureunbold"/>
              <w:rPr>
                <w:szCs w:val="20"/>
              </w:rPr>
            </w:pPr>
            <w:r w:rsidRPr="00694211">
              <w:rPr>
                <w:rFonts w:cs="Calibri"/>
                <w:color w:val="000000"/>
                <w:szCs w:val="20"/>
              </w:rPr>
              <w:t>96</w:t>
            </w:r>
          </w:p>
        </w:tc>
        <w:tc>
          <w:tcPr>
            <w:tcW w:w="964" w:type="dxa"/>
            <w:gridSpan w:val="2"/>
            <w:tcBorders>
              <w:top w:val="nil"/>
              <w:left w:val="nil"/>
              <w:bottom w:val="nil"/>
              <w:right w:val="nil"/>
            </w:tcBorders>
          </w:tcPr>
          <w:p w14:paraId="650C4CD2" w14:textId="77777777" w:rsidR="00CF0E2D" w:rsidRPr="00694211" w:rsidRDefault="00CF0E2D" w:rsidP="00A60D4B">
            <w:pPr>
              <w:pStyle w:val="Btablefigureunbold"/>
              <w:rPr>
                <w:szCs w:val="20"/>
              </w:rPr>
            </w:pPr>
            <w:r w:rsidRPr="00694211">
              <w:rPr>
                <w:rFonts w:cs="Calibri"/>
                <w:color w:val="000000"/>
                <w:szCs w:val="20"/>
              </w:rPr>
              <w:t>106</w:t>
            </w:r>
          </w:p>
        </w:tc>
        <w:tc>
          <w:tcPr>
            <w:tcW w:w="964" w:type="dxa"/>
            <w:gridSpan w:val="2"/>
            <w:tcBorders>
              <w:top w:val="nil"/>
              <w:left w:val="nil"/>
              <w:bottom w:val="nil"/>
              <w:right w:val="nil"/>
            </w:tcBorders>
          </w:tcPr>
          <w:p w14:paraId="23EBF2B3" w14:textId="77777777" w:rsidR="00CF0E2D" w:rsidRPr="00694211" w:rsidRDefault="00CF0E2D" w:rsidP="00A60D4B">
            <w:pPr>
              <w:pStyle w:val="Btablefigureunbold"/>
              <w:rPr>
                <w:szCs w:val="20"/>
              </w:rPr>
            </w:pPr>
            <w:r w:rsidRPr="00694211">
              <w:rPr>
                <w:rFonts w:cs="Calibri"/>
                <w:color w:val="000000"/>
                <w:szCs w:val="20"/>
              </w:rPr>
              <w:t>116</w:t>
            </w:r>
          </w:p>
        </w:tc>
        <w:tc>
          <w:tcPr>
            <w:tcW w:w="964" w:type="dxa"/>
            <w:gridSpan w:val="2"/>
            <w:tcBorders>
              <w:top w:val="nil"/>
              <w:left w:val="nil"/>
              <w:bottom w:val="nil"/>
              <w:right w:val="nil"/>
            </w:tcBorders>
          </w:tcPr>
          <w:p w14:paraId="2DCA91C6" w14:textId="77777777" w:rsidR="00CF0E2D" w:rsidRPr="00694211" w:rsidRDefault="00CF0E2D" w:rsidP="00A60D4B">
            <w:pPr>
              <w:pStyle w:val="Btablefigureunbold"/>
              <w:rPr>
                <w:szCs w:val="20"/>
              </w:rPr>
            </w:pPr>
            <w:r w:rsidRPr="00694211">
              <w:rPr>
                <w:rFonts w:cs="Calibri"/>
                <w:color w:val="000000"/>
                <w:szCs w:val="20"/>
              </w:rPr>
              <w:t>127</w:t>
            </w:r>
          </w:p>
        </w:tc>
        <w:tc>
          <w:tcPr>
            <w:tcW w:w="954" w:type="dxa"/>
            <w:gridSpan w:val="2"/>
            <w:tcBorders>
              <w:top w:val="nil"/>
              <w:left w:val="nil"/>
              <w:bottom w:val="nil"/>
              <w:right w:val="nil"/>
            </w:tcBorders>
          </w:tcPr>
          <w:p w14:paraId="4F471D1D" w14:textId="77777777" w:rsidR="00CF0E2D" w:rsidRPr="00694211" w:rsidRDefault="00CF0E2D" w:rsidP="00A60D4B">
            <w:pPr>
              <w:pStyle w:val="Btablefigureunbold"/>
              <w:rPr>
                <w:b/>
                <w:bCs/>
                <w:szCs w:val="20"/>
              </w:rPr>
            </w:pPr>
            <w:r w:rsidRPr="00694211">
              <w:rPr>
                <w:rFonts w:cs="Calibri"/>
                <w:b/>
                <w:bCs/>
                <w:color w:val="000000"/>
                <w:szCs w:val="20"/>
              </w:rPr>
              <w:t>445</w:t>
            </w:r>
          </w:p>
        </w:tc>
      </w:tr>
      <w:tr w:rsidR="00CF0E2D" w:rsidRPr="00D60558" w14:paraId="4E1C4179" w14:textId="77777777" w:rsidTr="00A60D4B">
        <w:trPr>
          <w:gridAfter w:val="1"/>
          <w:wAfter w:w="9" w:type="dxa"/>
          <w:jc w:val="center"/>
        </w:trPr>
        <w:tc>
          <w:tcPr>
            <w:tcW w:w="3355" w:type="dxa"/>
            <w:tcBorders>
              <w:top w:val="nil"/>
              <w:left w:val="nil"/>
              <w:bottom w:val="nil"/>
              <w:right w:val="nil"/>
            </w:tcBorders>
          </w:tcPr>
          <w:p w14:paraId="61B45025" w14:textId="77777777" w:rsidR="00CF0E2D" w:rsidRPr="00B1084E" w:rsidRDefault="00CF0E2D" w:rsidP="00A60D4B">
            <w:pPr>
              <w:pStyle w:val="Btabletextunbold"/>
              <w:rPr>
                <w:szCs w:val="20"/>
              </w:rPr>
            </w:pPr>
            <w:r w:rsidRPr="00B1084E">
              <w:rPr>
                <w:rFonts w:cs="Calibri"/>
                <w:color w:val="000000"/>
                <w:szCs w:val="20"/>
              </w:rPr>
              <w:t>– Set up for success – early childhood program</w:t>
            </w:r>
          </w:p>
        </w:tc>
        <w:tc>
          <w:tcPr>
            <w:tcW w:w="1093" w:type="dxa"/>
            <w:tcBorders>
              <w:top w:val="nil"/>
              <w:left w:val="nil"/>
              <w:bottom w:val="nil"/>
              <w:right w:val="nil"/>
            </w:tcBorders>
          </w:tcPr>
          <w:p w14:paraId="5D7396D9" w14:textId="77777777" w:rsidR="00CF0E2D" w:rsidRPr="00B1084E"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366EE2E4" w14:textId="77777777" w:rsidR="00CF0E2D" w:rsidRPr="00694211" w:rsidRDefault="00CF0E2D" w:rsidP="00A60D4B">
            <w:pPr>
              <w:pStyle w:val="Btablefigureunbold"/>
              <w:rPr>
                <w:szCs w:val="20"/>
              </w:rPr>
            </w:pPr>
            <w:r w:rsidRPr="00694211">
              <w:rPr>
                <w:rFonts w:cs="Calibri"/>
                <w:color w:val="000000"/>
                <w:szCs w:val="20"/>
              </w:rPr>
              <w:t>200</w:t>
            </w:r>
          </w:p>
        </w:tc>
        <w:tc>
          <w:tcPr>
            <w:tcW w:w="964" w:type="dxa"/>
            <w:gridSpan w:val="2"/>
            <w:tcBorders>
              <w:top w:val="nil"/>
              <w:left w:val="nil"/>
              <w:bottom w:val="nil"/>
              <w:right w:val="nil"/>
            </w:tcBorders>
          </w:tcPr>
          <w:p w14:paraId="5703196C" w14:textId="77777777" w:rsidR="00CF0E2D" w:rsidRPr="00694211" w:rsidRDefault="00CF0E2D" w:rsidP="00A60D4B">
            <w:pPr>
              <w:pStyle w:val="Btablefigureunbold"/>
              <w:rPr>
                <w:szCs w:val="20"/>
              </w:rPr>
            </w:pPr>
            <w:r w:rsidRPr="00694211">
              <w:rPr>
                <w:rFonts w:cs="Calibri"/>
                <w:color w:val="000000"/>
                <w:szCs w:val="20"/>
              </w:rPr>
              <w:t>400</w:t>
            </w:r>
          </w:p>
        </w:tc>
        <w:tc>
          <w:tcPr>
            <w:tcW w:w="964" w:type="dxa"/>
            <w:gridSpan w:val="2"/>
            <w:tcBorders>
              <w:top w:val="nil"/>
              <w:left w:val="nil"/>
              <w:bottom w:val="nil"/>
              <w:right w:val="nil"/>
            </w:tcBorders>
          </w:tcPr>
          <w:p w14:paraId="2CF320D9" w14:textId="77777777" w:rsidR="00CF0E2D" w:rsidRPr="00694211" w:rsidRDefault="00CF0E2D" w:rsidP="00A60D4B">
            <w:pPr>
              <w:pStyle w:val="Btablefigureunbold"/>
              <w:rPr>
                <w:szCs w:val="20"/>
              </w:rPr>
            </w:pPr>
            <w:r w:rsidRPr="00694211">
              <w:rPr>
                <w:rFonts w:cs="Calibri"/>
                <w:color w:val="000000"/>
                <w:szCs w:val="20"/>
              </w:rPr>
              <w:t>0</w:t>
            </w:r>
          </w:p>
        </w:tc>
        <w:tc>
          <w:tcPr>
            <w:tcW w:w="964" w:type="dxa"/>
            <w:gridSpan w:val="2"/>
            <w:tcBorders>
              <w:top w:val="nil"/>
              <w:left w:val="nil"/>
              <w:bottom w:val="nil"/>
              <w:right w:val="nil"/>
            </w:tcBorders>
          </w:tcPr>
          <w:p w14:paraId="063FEBCB" w14:textId="77777777" w:rsidR="00CF0E2D" w:rsidRPr="00694211" w:rsidRDefault="00CF0E2D" w:rsidP="00A60D4B">
            <w:pPr>
              <w:pStyle w:val="Btablefigureunbold"/>
              <w:rPr>
                <w:szCs w:val="20"/>
              </w:rPr>
            </w:pPr>
            <w:r w:rsidRPr="00694211">
              <w:rPr>
                <w:rFonts w:cs="Calibri"/>
                <w:color w:val="000000"/>
                <w:szCs w:val="20"/>
              </w:rPr>
              <w:t>0</w:t>
            </w:r>
          </w:p>
        </w:tc>
        <w:tc>
          <w:tcPr>
            <w:tcW w:w="954" w:type="dxa"/>
            <w:gridSpan w:val="2"/>
            <w:tcBorders>
              <w:top w:val="nil"/>
              <w:left w:val="nil"/>
              <w:bottom w:val="nil"/>
              <w:right w:val="nil"/>
            </w:tcBorders>
          </w:tcPr>
          <w:p w14:paraId="5D457EBF" w14:textId="77777777" w:rsidR="00CF0E2D" w:rsidRPr="00694211" w:rsidRDefault="00CF0E2D" w:rsidP="00A60D4B">
            <w:pPr>
              <w:pStyle w:val="Btablefigureunbold"/>
              <w:rPr>
                <w:b/>
                <w:bCs/>
                <w:szCs w:val="20"/>
              </w:rPr>
            </w:pPr>
            <w:r w:rsidRPr="00694211">
              <w:rPr>
                <w:rFonts w:cs="Calibri"/>
                <w:b/>
                <w:bCs/>
                <w:color w:val="000000"/>
                <w:szCs w:val="20"/>
              </w:rPr>
              <w:t>600</w:t>
            </w:r>
          </w:p>
        </w:tc>
      </w:tr>
      <w:tr w:rsidR="00CF0E2D" w:rsidRPr="00D60558" w14:paraId="3F3465D6" w14:textId="77777777" w:rsidTr="00A60D4B">
        <w:trPr>
          <w:gridAfter w:val="1"/>
          <w:wAfter w:w="9" w:type="dxa"/>
          <w:jc w:val="center"/>
        </w:trPr>
        <w:tc>
          <w:tcPr>
            <w:tcW w:w="3355" w:type="dxa"/>
            <w:tcBorders>
              <w:top w:val="nil"/>
              <w:left w:val="nil"/>
              <w:bottom w:val="nil"/>
              <w:right w:val="nil"/>
            </w:tcBorders>
          </w:tcPr>
          <w:p w14:paraId="2D08A1DD" w14:textId="77777777" w:rsidR="00CF0E2D" w:rsidRPr="00B1084E" w:rsidRDefault="00CF0E2D" w:rsidP="00A60D4B">
            <w:pPr>
              <w:pStyle w:val="Btabletextunbold"/>
              <w:rPr>
                <w:szCs w:val="20"/>
              </w:rPr>
            </w:pPr>
            <w:r w:rsidRPr="00B1084E">
              <w:rPr>
                <w:rFonts w:cs="Calibri"/>
                <w:color w:val="000000"/>
                <w:szCs w:val="20"/>
              </w:rPr>
              <w:t>– Set up for success – early childhood program</w:t>
            </w:r>
          </w:p>
        </w:tc>
        <w:tc>
          <w:tcPr>
            <w:tcW w:w="1093" w:type="dxa"/>
            <w:tcBorders>
              <w:top w:val="nil"/>
              <w:left w:val="nil"/>
              <w:bottom w:val="nil"/>
              <w:right w:val="nil"/>
            </w:tcBorders>
          </w:tcPr>
          <w:p w14:paraId="3F366C22"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Net cost</w:t>
            </w:r>
          </w:p>
        </w:tc>
        <w:tc>
          <w:tcPr>
            <w:tcW w:w="964" w:type="dxa"/>
            <w:gridSpan w:val="2"/>
            <w:tcBorders>
              <w:top w:val="nil"/>
              <w:left w:val="nil"/>
              <w:bottom w:val="nil"/>
              <w:right w:val="nil"/>
            </w:tcBorders>
          </w:tcPr>
          <w:p w14:paraId="25DF2DD1" w14:textId="77777777" w:rsidR="00CF0E2D" w:rsidRPr="00694211" w:rsidRDefault="00CF0E2D" w:rsidP="00A60D4B">
            <w:pPr>
              <w:pStyle w:val="Btablefigureunbold"/>
              <w:rPr>
                <w:szCs w:val="20"/>
              </w:rPr>
            </w:pPr>
            <w:r w:rsidRPr="00694211">
              <w:rPr>
                <w:rFonts w:cs="Calibri"/>
                <w:color w:val="000000"/>
                <w:szCs w:val="20"/>
              </w:rPr>
              <w:t>891</w:t>
            </w:r>
          </w:p>
        </w:tc>
        <w:tc>
          <w:tcPr>
            <w:tcW w:w="964" w:type="dxa"/>
            <w:gridSpan w:val="2"/>
            <w:tcBorders>
              <w:top w:val="nil"/>
              <w:left w:val="nil"/>
              <w:bottom w:val="nil"/>
              <w:right w:val="nil"/>
            </w:tcBorders>
          </w:tcPr>
          <w:p w14:paraId="7DED801E" w14:textId="77777777" w:rsidR="00CF0E2D" w:rsidRPr="00694211" w:rsidRDefault="00CF0E2D" w:rsidP="00A60D4B">
            <w:pPr>
              <w:pStyle w:val="Btablefigureunbold"/>
              <w:rPr>
                <w:szCs w:val="20"/>
              </w:rPr>
            </w:pPr>
            <w:r w:rsidRPr="00694211">
              <w:rPr>
                <w:rFonts w:cs="Calibri"/>
                <w:color w:val="000000"/>
                <w:szCs w:val="20"/>
              </w:rPr>
              <w:t>1,414</w:t>
            </w:r>
          </w:p>
        </w:tc>
        <w:tc>
          <w:tcPr>
            <w:tcW w:w="964" w:type="dxa"/>
            <w:gridSpan w:val="2"/>
            <w:tcBorders>
              <w:top w:val="nil"/>
              <w:left w:val="nil"/>
              <w:bottom w:val="nil"/>
              <w:right w:val="nil"/>
            </w:tcBorders>
          </w:tcPr>
          <w:p w14:paraId="1B58ECE5" w14:textId="77777777" w:rsidR="00CF0E2D" w:rsidRPr="00694211" w:rsidRDefault="00CF0E2D" w:rsidP="00A60D4B">
            <w:pPr>
              <w:pStyle w:val="Btablefigureunbold"/>
              <w:rPr>
                <w:szCs w:val="20"/>
              </w:rPr>
            </w:pPr>
            <w:r w:rsidRPr="00694211">
              <w:rPr>
                <w:rFonts w:cs="Calibri"/>
                <w:color w:val="000000"/>
                <w:szCs w:val="20"/>
              </w:rPr>
              <w:t>1,346</w:t>
            </w:r>
          </w:p>
        </w:tc>
        <w:tc>
          <w:tcPr>
            <w:tcW w:w="964" w:type="dxa"/>
            <w:gridSpan w:val="2"/>
            <w:tcBorders>
              <w:top w:val="nil"/>
              <w:left w:val="nil"/>
              <w:bottom w:val="nil"/>
              <w:right w:val="nil"/>
            </w:tcBorders>
          </w:tcPr>
          <w:p w14:paraId="3D84D98B" w14:textId="77777777" w:rsidR="00CF0E2D" w:rsidRPr="00694211" w:rsidRDefault="00CF0E2D" w:rsidP="00A60D4B">
            <w:pPr>
              <w:pStyle w:val="Btablefigureunbold"/>
              <w:rPr>
                <w:szCs w:val="20"/>
              </w:rPr>
            </w:pPr>
            <w:r w:rsidRPr="00694211">
              <w:rPr>
                <w:rFonts w:cs="Calibri"/>
                <w:color w:val="000000"/>
                <w:szCs w:val="20"/>
              </w:rPr>
              <w:t>1,283</w:t>
            </w:r>
          </w:p>
        </w:tc>
        <w:tc>
          <w:tcPr>
            <w:tcW w:w="954" w:type="dxa"/>
            <w:gridSpan w:val="2"/>
            <w:tcBorders>
              <w:top w:val="nil"/>
              <w:left w:val="nil"/>
              <w:bottom w:val="nil"/>
              <w:right w:val="nil"/>
            </w:tcBorders>
          </w:tcPr>
          <w:p w14:paraId="2C9A86DC" w14:textId="77777777" w:rsidR="00CF0E2D" w:rsidRPr="00694211" w:rsidRDefault="00CF0E2D" w:rsidP="00A60D4B">
            <w:pPr>
              <w:pStyle w:val="Btablefigureunbold"/>
              <w:rPr>
                <w:b/>
                <w:bCs/>
                <w:szCs w:val="20"/>
              </w:rPr>
            </w:pPr>
            <w:r w:rsidRPr="00694211">
              <w:rPr>
                <w:rFonts w:cs="Calibri"/>
                <w:b/>
                <w:bCs/>
                <w:color w:val="000000"/>
                <w:szCs w:val="20"/>
              </w:rPr>
              <w:t>4,934</w:t>
            </w:r>
          </w:p>
        </w:tc>
      </w:tr>
      <w:tr w:rsidR="00CF0E2D" w:rsidRPr="00D60558" w14:paraId="141AEFE3" w14:textId="77777777" w:rsidTr="00A60D4B">
        <w:trPr>
          <w:gridAfter w:val="1"/>
          <w:wAfter w:w="9" w:type="dxa"/>
          <w:jc w:val="center"/>
        </w:trPr>
        <w:tc>
          <w:tcPr>
            <w:tcW w:w="3355" w:type="dxa"/>
            <w:tcBorders>
              <w:top w:val="nil"/>
              <w:left w:val="nil"/>
              <w:bottom w:val="nil"/>
              <w:right w:val="nil"/>
            </w:tcBorders>
          </w:tcPr>
          <w:p w14:paraId="58339A42" w14:textId="77777777" w:rsidR="00CF0E2D" w:rsidRPr="005357CD" w:rsidRDefault="00CF0E2D" w:rsidP="00A60D4B">
            <w:pPr>
              <w:pStyle w:val="Btabletextunbold"/>
              <w:rPr>
                <w:rFonts w:cs="Calibri"/>
                <w:i/>
                <w:iCs/>
                <w:color w:val="000000"/>
                <w:szCs w:val="20"/>
              </w:rPr>
            </w:pPr>
            <w:r w:rsidRPr="005357CD">
              <w:rPr>
                <w:rFonts w:cs="Calibri"/>
                <w:i/>
                <w:iCs/>
                <w:color w:val="000000"/>
                <w:szCs w:val="20"/>
              </w:rPr>
              <w:t>New and expanded schools</w:t>
            </w:r>
          </w:p>
        </w:tc>
        <w:tc>
          <w:tcPr>
            <w:tcW w:w="1093" w:type="dxa"/>
            <w:tcBorders>
              <w:top w:val="nil"/>
              <w:left w:val="nil"/>
              <w:bottom w:val="nil"/>
              <w:right w:val="nil"/>
            </w:tcBorders>
          </w:tcPr>
          <w:p w14:paraId="4EB1B5CF" w14:textId="77777777" w:rsidR="00CF0E2D"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1298AC41" w14:textId="77777777" w:rsidR="00CF0E2D" w:rsidRPr="00B1084E" w:rsidRDefault="00CF0E2D" w:rsidP="00A60D4B">
            <w:pPr>
              <w:pStyle w:val="Btablefigureunbold"/>
              <w:rPr>
                <w:szCs w:val="20"/>
              </w:rPr>
            </w:pPr>
          </w:p>
        </w:tc>
        <w:tc>
          <w:tcPr>
            <w:tcW w:w="964" w:type="dxa"/>
            <w:gridSpan w:val="2"/>
            <w:tcBorders>
              <w:top w:val="nil"/>
              <w:left w:val="nil"/>
              <w:bottom w:val="nil"/>
              <w:right w:val="nil"/>
            </w:tcBorders>
          </w:tcPr>
          <w:p w14:paraId="0614FC3A" w14:textId="77777777" w:rsidR="00CF0E2D" w:rsidRPr="00B1084E" w:rsidRDefault="00CF0E2D" w:rsidP="00A60D4B">
            <w:pPr>
              <w:pStyle w:val="Btablefigureunbold"/>
              <w:rPr>
                <w:szCs w:val="20"/>
              </w:rPr>
            </w:pPr>
          </w:p>
        </w:tc>
        <w:tc>
          <w:tcPr>
            <w:tcW w:w="964" w:type="dxa"/>
            <w:gridSpan w:val="2"/>
            <w:tcBorders>
              <w:top w:val="nil"/>
              <w:left w:val="nil"/>
              <w:bottom w:val="nil"/>
              <w:right w:val="nil"/>
            </w:tcBorders>
          </w:tcPr>
          <w:p w14:paraId="6E1D02E7" w14:textId="77777777" w:rsidR="00CF0E2D" w:rsidRPr="00B1084E" w:rsidRDefault="00CF0E2D" w:rsidP="00A60D4B">
            <w:pPr>
              <w:pStyle w:val="Btablefigureunbold"/>
              <w:rPr>
                <w:szCs w:val="20"/>
              </w:rPr>
            </w:pPr>
          </w:p>
        </w:tc>
        <w:tc>
          <w:tcPr>
            <w:tcW w:w="964" w:type="dxa"/>
            <w:gridSpan w:val="2"/>
            <w:tcBorders>
              <w:top w:val="nil"/>
              <w:left w:val="nil"/>
              <w:bottom w:val="nil"/>
              <w:right w:val="nil"/>
            </w:tcBorders>
          </w:tcPr>
          <w:p w14:paraId="6A053CD8" w14:textId="77777777" w:rsidR="00CF0E2D" w:rsidRPr="00B1084E" w:rsidRDefault="00CF0E2D" w:rsidP="00A60D4B">
            <w:pPr>
              <w:pStyle w:val="Btablefigureunbold"/>
              <w:rPr>
                <w:szCs w:val="20"/>
              </w:rPr>
            </w:pPr>
          </w:p>
        </w:tc>
        <w:tc>
          <w:tcPr>
            <w:tcW w:w="954" w:type="dxa"/>
            <w:gridSpan w:val="2"/>
            <w:tcBorders>
              <w:top w:val="nil"/>
              <w:left w:val="nil"/>
              <w:bottom w:val="nil"/>
              <w:right w:val="nil"/>
            </w:tcBorders>
          </w:tcPr>
          <w:p w14:paraId="65FC1E15" w14:textId="77777777" w:rsidR="00CF0E2D" w:rsidRPr="00B1084E" w:rsidRDefault="00CF0E2D" w:rsidP="00A60D4B">
            <w:pPr>
              <w:pStyle w:val="Btablefigureunbold"/>
              <w:rPr>
                <w:b/>
                <w:bCs/>
                <w:szCs w:val="20"/>
              </w:rPr>
            </w:pPr>
          </w:p>
        </w:tc>
      </w:tr>
      <w:tr w:rsidR="00CF0E2D" w:rsidRPr="00D60558" w14:paraId="4DBB1ACA" w14:textId="77777777" w:rsidTr="00A60D4B">
        <w:trPr>
          <w:gridAfter w:val="1"/>
          <w:wAfter w:w="9" w:type="dxa"/>
          <w:jc w:val="center"/>
        </w:trPr>
        <w:tc>
          <w:tcPr>
            <w:tcW w:w="3355" w:type="dxa"/>
            <w:tcBorders>
              <w:top w:val="nil"/>
              <w:left w:val="nil"/>
              <w:bottom w:val="nil"/>
              <w:right w:val="nil"/>
            </w:tcBorders>
          </w:tcPr>
          <w:p w14:paraId="68718C4A" w14:textId="77777777" w:rsidR="00CF0E2D" w:rsidRPr="00B1084E" w:rsidRDefault="00CF0E2D" w:rsidP="00A60D4B">
            <w:pPr>
              <w:pStyle w:val="Btabletextunbold"/>
              <w:rPr>
                <w:szCs w:val="20"/>
              </w:rPr>
            </w:pPr>
            <w:r w:rsidRPr="00B1084E">
              <w:rPr>
                <w:rFonts w:cs="Calibri"/>
                <w:color w:val="000000"/>
                <w:szCs w:val="20"/>
              </w:rPr>
              <w:lastRenderedPageBreak/>
              <w:t>– Expansion of Margaret Hendry Primary School and a new Taylor high school</w:t>
            </w:r>
          </w:p>
        </w:tc>
        <w:tc>
          <w:tcPr>
            <w:tcW w:w="1093" w:type="dxa"/>
            <w:tcBorders>
              <w:top w:val="nil"/>
              <w:left w:val="nil"/>
              <w:bottom w:val="nil"/>
              <w:right w:val="nil"/>
            </w:tcBorders>
          </w:tcPr>
          <w:p w14:paraId="671FCEE5" w14:textId="77777777" w:rsidR="00CF0E2D" w:rsidRPr="00F25DD3" w:rsidRDefault="00CF0E2D" w:rsidP="00A60D4B">
            <w:pPr>
              <w:pStyle w:val="Btablefigureunbold"/>
              <w:ind w:left="0" w:firstLine="0"/>
              <w:jc w:val="left"/>
              <w:rPr>
                <w:rFonts w:cs="Calibri"/>
                <w:color w:val="000000"/>
                <w:szCs w:val="20"/>
              </w:rPr>
            </w:pPr>
            <w:r w:rsidRPr="00F25DD3">
              <w:rPr>
                <w:rFonts w:cs="Calibri"/>
                <w:color w:val="000000"/>
                <w:szCs w:val="20"/>
              </w:rPr>
              <w:t>Net capital</w:t>
            </w:r>
          </w:p>
        </w:tc>
        <w:tc>
          <w:tcPr>
            <w:tcW w:w="964" w:type="dxa"/>
            <w:gridSpan w:val="2"/>
            <w:tcBorders>
              <w:top w:val="nil"/>
              <w:left w:val="nil"/>
              <w:bottom w:val="nil"/>
              <w:right w:val="nil"/>
            </w:tcBorders>
          </w:tcPr>
          <w:p w14:paraId="4A510321" w14:textId="77777777" w:rsidR="00CF0E2D" w:rsidRPr="00F25DD3" w:rsidRDefault="00CF0E2D" w:rsidP="00A60D4B">
            <w:pPr>
              <w:pStyle w:val="Btablefigureunbold"/>
              <w:rPr>
                <w:rFonts w:cs="Calibri"/>
                <w:color w:val="000000"/>
                <w:szCs w:val="20"/>
              </w:rPr>
            </w:pPr>
            <w:r w:rsidRPr="00F25DD3">
              <w:rPr>
                <w:rFonts w:cs="Calibri"/>
                <w:color w:val="000000"/>
                <w:szCs w:val="20"/>
              </w:rPr>
              <w:t>4,520</w:t>
            </w:r>
          </w:p>
        </w:tc>
        <w:tc>
          <w:tcPr>
            <w:tcW w:w="964" w:type="dxa"/>
            <w:gridSpan w:val="2"/>
            <w:tcBorders>
              <w:top w:val="nil"/>
              <w:left w:val="nil"/>
              <w:bottom w:val="nil"/>
              <w:right w:val="nil"/>
            </w:tcBorders>
          </w:tcPr>
          <w:p w14:paraId="20F1DDF6" w14:textId="77777777" w:rsidR="00CF0E2D" w:rsidRPr="00F25DD3" w:rsidRDefault="00CF0E2D" w:rsidP="00A60D4B">
            <w:pPr>
              <w:pStyle w:val="Btablefigureunbold"/>
              <w:rPr>
                <w:rFonts w:cs="Calibri"/>
                <w:color w:val="000000"/>
                <w:szCs w:val="20"/>
              </w:rPr>
            </w:pPr>
            <w:r w:rsidRPr="00F25DD3">
              <w:rPr>
                <w:rFonts w:cs="Calibri"/>
                <w:color w:val="000000"/>
                <w:szCs w:val="20"/>
              </w:rPr>
              <w:t>-8,740</w:t>
            </w:r>
          </w:p>
        </w:tc>
        <w:tc>
          <w:tcPr>
            <w:tcW w:w="964" w:type="dxa"/>
            <w:gridSpan w:val="2"/>
            <w:tcBorders>
              <w:top w:val="nil"/>
              <w:left w:val="nil"/>
              <w:bottom w:val="nil"/>
              <w:right w:val="nil"/>
            </w:tcBorders>
          </w:tcPr>
          <w:p w14:paraId="79DCD917" w14:textId="77777777" w:rsidR="00CF0E2D" w:rsidRPr="00F25DD3" w:rsidRDefault="00CF0E2D" w:rsidP="00A60D4B">
            <w:pPr>
              <w:pStyle w:val="Btablefigureunbold"/>
              <w:rPr>
                <w:rFonts w:cs="Calibri"/>
                <w:color w:val="000000"/>
                <w:szCs w:val="20"/>
              </w:rPr>
            </w:pPr>
            <w:r w:rsidRPr="00F25DD3">
              <w:rPr>
                <w:rFonts w:cs="Calibri"/>
                <w:color w:val="000000"/>
                <w:szCs w:val="20"/>
              </w:rPr>
              <w:t>4,220</w:t>
            </w:r>
          </w:p>
        </w:tc>
        <w:tc>
          <w:tcPr>
            <w:tcW w:w="964" w:type="dxa"/>
            <w:gridSpan w:val="2"/>
            <w:tcBorders>
              <w:top w:val="nil"/>
              <w:left w:val="nil"/>
              <w:bottom w:val="nil"/>
              <w:right w:val="nil"/>
            </w:tcBorders>
          </w:tcPr>
          <w:p w14:paraId="28814670" w14:textId="77777777" w:rsidR="00CF0E2D" w:rsidRPr="00F25DD3" w:rsidRDefault="00CF0E2D" w:rsidP="00A60D4B">
            <w:pPr>
              <w:pStyle w:val="Btablefigureunbold"/>
              <w:rPr>
                <w:rFonts w:cs="Calibri"/>
                <w:color w:val="000000"/>
                <w:szCs w:val="20"/>
              </w:rPr>
            </w:pPr>
            <w:r w:rsidRPr="00F25DD3">
              <w:rPr>
                <w:rFonts w:cs="Calibri"/>
                <w:color w:val="000000"/>
                <w:szCs w:val="20"/>
              </w:rPr>
              <w:t>0</w:t>
            </w:r>
          </w:p>
        </w:tc>
        <w:tc>
          <w:tcPr>
            <w:tcW w:w="954" w:type="dxa"/>
            <w:gridSpan w:val="2"/>
            <w:tcBorders>
              <w:top w:val="nil"/>
              <w:left w:val="nil"/>
              <w:bottom w:val="nil"/>
              <w:right w:val="nil"/>
            </w:tcBorders>
          </w:tcPr>
          <w:p w14:paraId="0277EC91" w14:textId="77777777" w:rsidR="00CF0E2D" w:rsidRPr="00F25DD3" w:rsidRDefault="00CF0E2D" w:rsidP="00A60D4B">
            <w:pPr>
              <w:pStyle w:val="Btablefigureunbold"/>
              <w:rPr>
                <w:rFonts w:cs="Calibri"/>
                <w:b/>
                <w:bCs/>
                <w:color w:val="000000"/>
                <w:szCs w:val="20"/>
              </w:rPr>
            </w:pPr>
            <w:r w:rsidRPr="00F25DD3">
              <w:rPr>
                <w:rFonts w:cs="Calibri"/>
                <w:b/>
                <w:bCs/>
                <w:color w:val="000000"/>
                <w:szCs w:val="20"/>
              </w:rPr>
              <w:t>0</w:t>
            </w:r>
          </w:p>
        </w:tc>
      </w:tr>
      <w:tr w:rsidR="00CF0E2D" w:rsidRPr="00D60558" w14:paraId="41A0488E" w14:textId="77777777" w:rsidTr="00A60D4B">
        <w:trPr>
          <w:gridAfter w:val="1"/>
          <w:wAfter w:w="9" w:type="dxa"/>
          <w:jc w:val="center"/>
        </w:trPr>
        <w:tc>
          <w:tcPr>
            <w:tcW w:w="3355" w:type="dxa"/>
            <w:tcBorders>
              <w:top w:val="nil"/>
              <w:left w:val="nil"/>
              <w:bottom w:val="nil"/>
              <w:right w:val="nil"/>
            </w:tcBorders>
          </w:tcPr>
          <w:p w14:paraId="1DFFA65B" w14:textId="77777777" w:rsidR="00CF0E2D" w:rsidRPr="00B1084E" w:rsidRDefault="00CF0E2D" w:rsidP="00A60D4B">
            <w:pPr>
              <w:pStyle w:val="Btabletextunbold"/>
              <w:rPr>
                <w:szCs w:val="20"/>
              </w:rPr>
            </w:pPr>
            <w:r w:rsidRPr="00B1084E">
              <w:rPr>
                <w:rFonts w:cs="Calibri"/>
                <w:color w:val="000000"/>
                <w:szCs w:val="20"/>
              </w:rPr>
              <w:t>– Expansion of Margaret Hendry Primary School and a new Taylor high school</w:t>
            </w:r>
          </w:p>
        </w:tc>
        <w:tc>
          <w:tcPr>
            <w:tcW w:w="1093" w:type="dxa"/>
            <w:tcBorders>
              <w:top w:val="nil"/>
              <w:left w:val="nil"/>
              <w:bottom w:val="nil"/>
              <w:right w:val="nil"/>
            </w:tcBorders>
          </w:tcPr>
          <w:p w14:paraId="739DBBE9"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Net cost</w:t>
            </w:r>
          </w:p>
        </w:tc>
        <w:tc>
          <w:tcPr>
            <w:tcW w:w="964" w:type="dxa"/>
            <w:gridSpan w:val="2"/>
            <w:tcBorders>
              <w:top w:val="nil"/>
              <w:left w:val="nil"/>
              <w:bottom w:val="nil"/>
              <w:right w:val="nil"/>
            </w:tcBorders>
          </w:tcPr>
          <w:p w14:paraId="053EC518" w14:textId="77777777" w:rsidR="00CF0E2D" w:rsidRPr="00694211" w:rsidRDefault="00CF0E2D" w:rsidP="00A60D4B">
            <w:pPr>
              <w:pStyle w:val="Btablefigureunbold"/>
              <w:rPr>
                <w:szCs w:val="20"/>
              </w:rPr>
            </w:pPr>
            <w:r w:rsidRPr="00694211">
              <w:rPr>
                <w:rFonts w:cs="Calibri"/>
                <w:color w:val="000000"/>
                <w:szCs w:val="20"/>
              </w:rPr>
              <w:t>0</w:t>
            </w:r>
          </w:p>
        </w:tc>
        <w:tc>
          <w:tcPr>
            <w:tcW w:w="964" w:type="dxa"/>
            <w:gridSpan w:val="2"/>
            <w:tcBorders>
              <w:top w:val="nil"/>
              <w:left w:val="nil"/>
              <w:bottom w:val="nil"/>
              <w:right w:val="nil"/>
            </w:tcBorders>
          </w:tcPr>
          <w:p w14:paraId="541BEF7A" w14:textId="77777777" w:rsidR="00CF0E2D" w:rsidRPr="00694211" w:rsidRDefault="00CF0E2D" w:rsidP="00A60D4B">
            <w:pPr>
              <w:pStyle w:val="Btablefigureunbold"/>
              <w:rPr>
                <w:szCs w:val="20"/>
              </w:rPr>
            </w:pPr>
            <w:r w:rsidRPr="00694211">
              <w:rPr>
                <w:rFonts w:cs="Calibri"/>
                <w:color w:val="000000"/>
                <w:szCs w:val="20"/>
              </w:rPr>
              <w:t>350</w:t>
            </w:r>
          </w:p>
        </w:tc>
        <w:tc>
          <w:tcPr>
            <w:tcW w:w="964" w:type="dxa"/>
            <w:gridSpan w:val="2"/>
            <w:tcBorders>
              <w:top w:val="nil"/>
              <w:left w:val="nil"/>
              <w:bottom w:val="nil"/>
              <w:right w:val="nil"/>
            </w:tcBorders>
          </w:tcPr>
          <w:p w14:paraId="4EBEF948" w14:textId="77777777" w:rsidR="00CF0E2D" w:rsidRPr="00694211" w:rsidRDefault="00CF0E2D" w:rsidP="00A60D4B">
            <w:pPr>
              <w:pStyle w:val="Btablefigureunbold"/>
              <w:rPr>
                <w:szCs w:val="20"/>
              </w:rPr>
            </w:pPr>
            <w:r w:rsidRPr="00694211">
              <w:rPr>
                <w:rFonts w:cs="Calibri"/>
                <w:color w:val="000000"/>
                <w:szCs w:val="20"/>
              </w:rPr>
              <w:t>1,530</w:t>
            </w:r>
          </w:p>
        </w:tc>
        <w:tc>
          <w:tcPr>
            <w:tcW w:w="964" w:type="dxa"/>
            <w:gridSpan w:val="2"/>
            <w:tcBorders>
              <w:top w:val="nil"/>
              <w:left w:val="nil"/>
              <w:bottom w:val="nil"/>
              <w:right w:val="nil"/>
            </w:tcBorders>
          </w:tcPr>
          <w:p w14:paraId="0F6E1075" w14:textId="77777777" w:rsidR="00CF0E2D" w:rsidRPr="00694211" w:rsidRDefault="00CF0E2D" w:rsidP="00A60D4B">
            <w:pPr>
              <w:pStyle w:val="Btablefigureunbold"/>
              <w:rPr>
                <w:szCs w:val="20"/>
              </w:rPr>
            </w:pPr>
            <w:r w:rsidRPr="00694211">
              <w:rPr>
                <w:rFonts w:cs="Calibri"/>
                <w:color w:val="000000"/>
                <w:szCs w:val="20"/>
              </w:rPr>
              <w:t>2,360</w:t>
            </w:r>
          </w:p>
        </w:tc>
        <w:tc>
          <w:tcPr>
            <w:tcW w:w="954" w:type="dxa"/>
            <w:gridSpan w:val="2"/>
            <w:tcBorders>
              <w:top w:val="nil"/>
              <w:left w:val="nil"/>
              <w:bottom w:val="nil"/>
              <w:right w:val="nil"/>
            </w:tcBorders>
          </w:tcPr>
          <w:p w14:paraId="0C7A0F0E" w14:textId="77777777" w:rsidR="00CF0E2D" w:rsidRPr="00694211" w:rsidRDefault="00CF0E2D" w:rsidP="00A60D4B">
            <w:pPr>
              <w:pStyle w:val="Btablefigureunbold"/>
              <w:rPr>
                <w:b/>
                <w:bCs/>
                <w:szCs w:val="20"/>
              </w:rPr>
            </w:pPr>
            <w:r w:rsidRPr="00694211">
              <w:rPr>
                <w:rFonts w:cs="Calibri"/>
                <w:b/>
                <w:bCs/>
                <w:color w:val="000000"/>
                <w:szCs w:val="20"/>
              </w:rPr>
              <w:t>4,240</w:t>
            </w:r>
          </w:p>
        </w:tc>
      </w:tr>
      <w:tr w:rsidR="00CF0E2D" w:rsidRPr="00D60558" w14:paraId="64CE84C1" w14:textId="77777777" w:rsidTr="00A60D4B">
        <w:trPr>
          <w:gridAfter w:val="1"/>
          <w:wAfter w:w="9" w:type="dxa"/>
          <w:jc w:val="center"/>
        </w:trPr>
        <w:tc>
          <w:tcPr>
            <w:tcW w:w="3355" w:type="dxa"/>
            <w:tcBorders>
              <w:top w:val="nil"/>
              <w:left w:val="nil"/>
              <w:bottom w:val="nil"/>
              <w:right w:val="nil"/>
            </w:tcBorders>
          </w:tcPr>
          <w:p w14:paraId="3D0C3977" w14:textId="77777777" w:rsidR="00CF0E2D" w:rsidRPr="00B1084E" w:rsidRDefault="00CF0E2D" w:rsidP="00A60D4B">
            <w:pPr>
              <w:pStyle w:val="Btabletextunbold"/>
              <w:rPr>
                <w:szCs w:val="20"/>
              </w:rPr>
            </w:pPr>
            <w:r w:rsidRPr="00B1084E">
              <w:rPr>
                <w:rFonts w:cs="Calibri"/>
                <w:color w:val="000000"/>
                <w:szCs w:val="20"/>
              </w:rPr>
              <w:t xml:space="preserve">– Future planning </w:t>
            </w:r>
          </w:p>
        </w:tc>
        <w:tc>
          <w:tcPr>
            <w:tcW w:w="1093" w:type="dxa"/>
            <w:tcBorders>
              <w:top w:val="nil"/>
              <w:left w:val="nil"/>
              <w:bottom w:val="nil"/>
              <w:right w:val="nil"/>
            </w:tcBorders>
          </w:tcPr>
          <w:p w14:paraId="190567D2" w14:textId="77777777" w:rsidR="00CF0E2D" w:rsidRPr="00B1084E"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7F6C91BE" w14:textId="77777777" w:rsidR="00CF0E2D" w:rsidRPr="00C52448" w:rsidRDefault="00CF0E2D" w:rsidP="00A60D4B">
            <w:pPr>
              <w:pStyle w:val="Btablefigureunbold"/>
              <w:rPr>
                <w:szCs w:val="20"/>
              </w:rPr>
            </w:pPr>
            <w:r w:rsidRPr="00C52448">
              <w:rPr>
                <w:rFonts w:cs="Calibri"/>
                <w:color w:val="000000"/>
                <w:szCs w:val="20"/>
              </w:rPr>
              <w:t>4,285</w:t>
            </w:r>
          </w:p>
        </w:tc>
        <w:tc>
          <w:tcPr>
            <w:tcW w:w="964" w:type="dxa"/>
            <w:gridSpan w:val="2"/>
            <w:tcBorders>
              <w:top w:val="nil"/>
              <w:left w:val="nil"/>
              <w:bottom w:val="nil"/>
              <w:right w:val="nil"/>
            </w:tcBorders>
          </w:tcPr>
          <w:p w14:paraId="0320178B" w14:textId="77777777" w:rsidR="00CF0E2D" w:rsidRPr="00C52448" w:rsidRDefault="00CF0E2D" w:rsidP="00A60D4B">
            <w:pPr>
              <w:pStyle w:val="Btablefigureunbold"/>
              <w:rPr>
                <w:szCs w:val="20"/>
              </w:rPr>
            </w:pPr>
            <w:r w:rsidRPr="00C52448">
              <w:rPr>
                <w:rFonts w:cs="Calibri"/>
                <w:color w:val="000000"/>
                <w:szCs w:val="20"/>
              </w:rPr>
              <w:t>4,715</w:t>
            </w:r>
          </w:p>
        </w:tc>
        <w:tc>
          <w:tcPr>
            <w:tcW w:w="964" w:type="dxa"/>
            <w:gridSpan w:val="2"/>
            <w:tcBorders>
              <w:top w:val="nil"/>
              <w:left w:val="nil"/>
              <w:bottom w:val="nil"/>
              <w:right w:val="nil"/>
            </w:tcBorders>
          </w:tcPr>
          <w:p w14:paraId="0133EA2B" w14:textId="77777777" w:rsidR="00CF0E2D" w:rsidRPr="00C52448" w:rsidRDefault="00CF0E2D" w:rsidP="00A60D4B">
            <w:pPr>
              <w:pStyle w:val="Btablefigureunbold"/>
              <w:rPr>
                <w:szCs w:val="20"/>
              </w:rPr>
            </w:pPr>
            <w:r w:rsidRPr="00C52448">
              <w:rPr>
                <w:rFonts w:cs="Calibri"/>
                <w:color w:val="000000"/>
                <w:szCs w:val="20"/>
              </w:rPr>
              <w:t>0</w:t>
            </w:r>
          </w:p>
        </w:tc>
        <w:tc>
          <w:tcPr>
            <w:tcW w:w="964" w:type="dxa"/>
            <w:gridSpan w:val="2"/>
            <w:tcBorders>
              <w:top w:val="nil"/>
              <w:left w:val="nil"/>
              <w:bottom w:val="nil"/>
              <w:right w:val="nil"/>
            </w:tcBorders>
          </w:tcPr>
          <w:p w14:paraId="3FAB2FB7" w14:textId="77777777" w:rsidR="00CF0E2D" w:rsidRPr="00C52448" w:rsidRDefault="00CF0E2D" w:rsidP="00A60D4B">
            <w:pPr>
              <w:pStyle w:val="Btablefigureunbold"/>
              <w:rPr>
                <w:szCs w:val="20"/>
              </w:rPr>
            </w:pPr>
            <w:r w:rsidRPr="00C52448">
              <w:rPr>
                <w:rFonts w:cs="Calibri"/>
                <w:color w:val="000000"/>
                <w:szCs w:val="20"/>
              </w:rPr>
              <w:t>0</w:t>
            </w:r>
          </w:p>
        </w:tc>
        <w:tc>
          <w:tcPr>
            <w:tcW w:w="954" w:type="dxa"/>
            <w:gridSpan w:val="2"/>
            <w:tcBorders>
              <w:top w:val="nil"/>
              <w:left w:val="nil"/>
              <w:bottom w:val="nil"/>
              <w:right w:val="nil"/>
            </w:tcBorders>
          </w:tcPr>
          <w:p w14:paraId="255263E1" w14:textId="77777777" w:rsidR="00CF0E2D" w:rsidRPr="00C52448" w:rsidRDefault="00CF0E2D" w:rsidP="00A60D4B">
            <w:pPr>
              <w:pStyle w:val="Btablefigureunbold"/>
              <w:rPr>
                <w:b/>
                <w:bCs/>
                <w:szCs w:val="20"/>
              </w:rPr>
            </w:pPr>
            <w:r w:rsidRPr="00C52448">
              <w:rPr>
                <w:rFonts w:cs="Calibri"/>
                <w:b/>
                <w:bCs/>
                <w:color w:val="000000"/>
                <w:szCs w:val="20"/>
              </w:rPr>
              <w:t>9,000</w:t>
            </w:r>
          </w:p>
        </w:tc>
      </w:tr>
      <w:tr w:rsidR="00CF0E2D" w:rsidRPr="00D60558" w14:paraId="628EBE3F" w14:textId="77777777" w:rsidTr="00A60D4B">
        <w:trPr>
          <w:gridAfter w:val="1"/>
          <w:wAfter w:w="9" w:type="dxa"/>
          <w:jc w:val="center"/>
        </w:trPr>
        <w:tc>
          <w:tcPr>
            <w:tcW w:w="3355" w:type="dxa"/>
            <w:tcBorders>
              <w:top w:val="nil"/>
              <w:left w:val="nil"/>
              <w:bottom w:val="nil"/>
              <w:right w:val="nil"/>
            </w:tcBorders>
          </w:tcPr>
          <w:p w14:paraId="61C7CE08" w14:textId="77777777" w:rsidR="00CF0E2D" w:rsidRPr="00B1084E" w:rsidRDefault="00CF0E2D" w:rsidP="00A60D4B">
            <w:pPr>
              <w:pStyle w:val="Btabletextunbold"/>
              <w:rPr>
                <w:szCs w:val="20"/>
              </w:rPr>
            </w:pPr>
            <w:r w:rsidRPr="00B1084E">
              <w:rPr>
                <w:rFonts w:cs="Calibri"/>
                <w:color w:val="000000"/>
                <w:szCs w:val="20"/>
              </w:rPr>
              <w:t xml:space="preserve">– Future planning </w:t>
            </w:r>
          </w:p>
        </w:tc>
        <w:tc>
          <w:tcPr>
            <w:tcW w:w="1093" w:type="dxa"/>
            <w:tcBorders>
              <w:top w:val="nil"/>
              <w:left w:val="nil"/>
              <w:bottom w:val="nil"/>
              <w:right w:val="nil"/>
            </w:tcBorders>
          </w:tcPr>
          <w:p w14:paraId="4937F4A7"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Net cost</w:t>
            </w:r>
          </w:p>
        </w:tc>
        <w:tc>
          <w:tcPr>
            <w:tcW w:w="964" w:type="dxa"/>
            <w:gridSpan w:val="2"/>
            <w:tcBorders>
              <w:top w:val="nil"/>
              <w:left w:val="nil"/>
              <w:bottom w:val="nil"/>
              <w:right w:val="nil"/>
            </w:tcBorders>
          </w:tcPr>
          <w:p w14:paraId="02B18C27" w14:textId="77777777" w:rsidR="00CF0E2D" w:rsidRPr="00C52448" w:rsidRDefault="00CF0E2D" w:rsidP="00A60D4B">
            <w:pPr>
              <w:pStyle w:val="Btablefigureunbold"/>
              <w:rPr>
                <w:szCs w:val="20"/>
              </w:rPr>
            </w:pPr>
            <w:r w:rsidRPr="00C52448">
              <w:rPr>
                <w:rFonts w:cs="Calibri"/>
                <w:color w:val="000000"/>
                <w:szCs w:val="20"/>
              </w:rPr>
              <w:t>850</w:t>
            </w:r>
          </w:p>
        </w:tc>
        <w:tc>
          <w:tcPr>
            <w:tcW w:w="964" w:type="dxa"/>
            <w:gridSpan w:val="2"/>
            <w:tcBorders>
              <w:top w:val="nil"/>
              <w:left w:val="nil"/>
              <w:bottom w:val="nil"/>
              <w:right w:val="nil"/>
            </w:tcBorders>
          </w:tcPr>
          <w:p w14:paraId="705A73B4" w14:textId="77777777" w:rsidR="00CF0E2D" w:rsidRPr="00C52448" w:rsidRDefault="00CF0E2D" w:rsidP="00A60D4B">
            <w:pPr>
              <w:pStyle w:val="Btablefigureunbold"/>
              <w:rPr>
                <w:szCs w:val="20"/>
              </w:rPr>
            </w:pPr>
            <w:r w:rsidRPr="00C52448">
              <w:rPr>
                <w:rFonts w:cs="Calibri"/>
                <w:color w:val="000000"/>
                <w:szCs w:val="20"/>
              </w:rPr>
              <w:t>870</w:t>
            </w:r>
          </w:p>
        </w:tc>
        <w:tc>
          <w:tcPr>
            <w:tcW w:w="964" w:type="dxa"/>
            <w:gridSpan w:val="2"/>
            <w:tcBorders>
              <w:top w:val="nil"/>
              <w:left w:val="nil"/>
              <w:bottom w:val="nil"/>
              <w:right w:val="nil"/>
            </w:tcBorders>
          </w:tcPr>
          <w:p w14:paraId="5915C1CB" w14:textId="77777777" w:rsidR="00CF0E2D" w:rsidRPr="00C52448" w:rsidRDefault="00CF0E2D" w:rsidP="00A60D4B">
            <w:pPr>
              <w:pStyle w:val="Btablefigureunbold"/>
              <w:rPr>
                <w:szCs w:val="20"/>
              </w:rPr>
            </w:pPr>
            <w:r w:rsidRPr="00C52448">
              <w:rPr>
                <w:rFonts w:cs="Calibri"/>
                <w:color w:val="000000"/>
                <w:szCs w:val="20"/>
              </w:rPr>
              <w:t>900</w:t>
            </w:r>
          </w:p>
        </w:tc>
        <w:tc>
          <w:tcPr>
            <w:tcW w:w="964" w:type="dxa"/>
            <w:gridSpan w:val="2"/>
            <w:tcBorders>
              <w:top w:val="nil"/>
              <w:left w:val="nil"/>
              <w:bottom w:val="nil"/>
              <w:right w:val="nil"/>
            </w:tcBorders>
          </w:tcPr>
          <w:p w14:paraId="32B86DD3" w14:textId="77777777" w:rsidR="00CF0E2D" w:rsidRPr="00C52448" w:rsidRDefault="00CF0E2D" w:rsidP="00A60D4B">
            <w:pPr>
              <w:pStyle w:val="Btablefigureunbold"/>
              <w:rPr>
                <w:szCs w:val="20"/>
              </w:rPr>
            </w:pPr>
            <w:r w:rsidRPr="00C52448">
              <w:rPr>
                <w:rFonts w:cs="Calibri"/>
                <w:color w:val="000000"/>
                <w:szCs w:val="20"/>
              </w:rPr>
              <w:t>920</w:t>
            </w:r>
          </w:p>
        </w:tc>
        <w:tc>
          <w:tcPr>
            <w:tcW w:w="954" w:type="dxa"/>
            <w:gridSpan w:val="2"/>
            <w:tcBorders>
              <w:top w:val="nil"/>
              <w:left w:val="nil"/>
              <w:bottom w:val="nil"/>
              <w:right w:val="nil"/>
            </w:tcBorders>
          </w:tcPr>
          <w:p w14:paraId="685A12C3" w14:textId="77777777" w:rsidR="00CF0E2D" w:rsidRPr="00C52448" w:rsidRDefault="00CF0E2D" w:rsidP="00A60D4B">
            <w:pPr>
              <w:pStyle w:val="Btablefigureunbold"/>
              <w:rPr>
                <w:b/>
                <w:bCs/>
                <w:szCs w:val="20"/>
              </w:rPr>
            </w:pPr>
            <w:r w:rsidRPr="00C52448">
              <w:rPr>
                <w:rFonts w:cs="Calibri"/>
                <w:b/>
                <w:bCs/>
                <w:color w:val="000000"/>
                <w:szCs w:val="20"/>
              </w:rPr>
              <w:t>3,540</w:t>
            </w:r>
          </w:p>
        </w:tc>
      </w:tr>
      <w:tr w:rsidR="00CF0E2D" w:rsidRPr="00D60558" w14:paraId="6AFE4347" w14:textId="77777777" w:rsidTr="00A60D4B">
        <w:trPr>
          <w:gridAfter w:val="1"/>
          <w:wAfter w:w="9" w:type="dxa"/>
          <w:jc w:val="center"/>
        </w:trPr>
        <w:tc>
          <w:tcPr>
            <w:tcW w:w="3355" w:type="dxa"/>
            <w:tcBorders>
              <w:top w:val="nil"/>
              <w:left w:val="nil"/>
              <w:bottom w:val="nil"/>
              <w:right w:val="nil"/>
            </w:tcBorders>
          </w:tcPr>
          <w:p w14:paraId="192556F3" w14:textId="77777777" w:rsidR="00CF0E2D" w:rsidRPr="00B1084E" w:rsidRDefault="00CF0E2D" w:rsidP="00A60D4B">
            <w:pPr>
              <w:pStyle w:val="Btabletextunbold"/>
              <w:rPr>
                <w:szCs w:val="20"/>
              </w:rPr>
            </w:pPr>
            <w:r w:rsidRPr="00B1084E">
              <w:rPr>
                <w:rFonts w:cs="Calibri"/>
                <w:color w:val="000000"/>
                <w:szCs w:val="20"/>
              </w:rPr>
              <w:t xml:space="preserve">– Garran Primary School redevelopment </w:t>
            </w:r>
          </w:p>
        </w:tc>
        <w:tc>
          <w:tcPr>
            <w:tcW w:w="1093" w:type="dxa"/>
            <w:tcBorders>
              <w:top w:val="nil"/>
              <w:left w:val="nil"/>
              <w:bottom w:val="nil"/>
              <w:right w:val="nil"/>
            </w:tcBorders>
          </w:tcPr>
          <w:p w14:paraId="48855682" w14:textId="77777777" w:rsidR="00CF0E2D" w:rsidRPr="00B1084E"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3E5495D7" w14:textId="77777777" w:rsidR="00CF0E2D" w:rsidRPr="00C52448" w:rsidRDefault="00CF0E2D" w:rsidP="00A60D4B">
            <w:pPr>
              <w:pStyle w:val="Btablefigureunbold"/>
              <w:rPr>
                <w:szCs w:val="20"/>
              </w:rPr>
            </w:pPr>
            <w:r w:rsidRPr="00C52448">
              <w:rPr>
                <w:rFonts w:cs="Calibri"/>
                <w:color w:val="000000"/>
                <w:szCs w:val="20"/>
              </w:rPr>
              <w:t>970</w:t>
            </w:r>
          </w:p>
        </w:tc>
        <w:tc>
          <w:tcPr>
            <w:tcW w:w="964" w:type="dxa"/>
            <w:gridSpan w:val="2"/>
            <w:tcBorders>
              <w:top w:val="nil"/>
              <w:left w:val="nil"/>
              <w:bottom w:val="nil"/>
              <w:right w:val="nil"/>
            </w:tcBorders>
          </w:tcPr>
          <w:p w14:paraId="4E052010" w14:textId="77777777" w:rsidR="00CF0E2D" w:rsidRPr="00C52448" w:rsidRDefault="00CF0E2D" w:rsidP="00A60D4B">
            <w:pPr>
              <w:pStyle w:val="Btablefigureunbold"/>
              <w:rPr>
                <w:szCs w:val="20"/>
              </w:rPr>
            </w:pPr>
            <w:r w:rsidRPr="00C52448">
              <w:rPr>
                <w:rFonts w:cs="Calibri"/>
                <w:color w:val="000000"/>
                <w:szCs w:val="20"/>
              </w:rPr>
              <w:t>NFP</w:t>
            </w:r>
          </w:p>
        </w:tc>
        <w:tc>
          <w:tcPr>
            <w:tcW w:w="964" w:type="dxa"/>
            <w:gridSpan w:val="2"/>
            <w:tcBorders>
              <w:top w:val="nil"/>
              <w:left w:val="nil"/>
              <w:bottom w:val="nil"/>
              <w:right w:val="nil"/>
            </w:tcBorders>
          </w:tcPr>
          <w:p w14:paraId="35ABE02D" w14:textId="77777777" w:rsidR="00CF0E2D" w:rsidRPr="00C52448" w:rsidRDefault="00CF0E2D" w:rsidP="00A60D4B">
            <w:pPr>
              <w:pStyle w:val="Btablefigureunbold"/>
              <w:rPr>
                <w:szCs w:val="20"/>
              </w:rPr>
            </w:pPr>
            <w:r w:rsidRPr="00C52448">
              <w:rPr>
                <w:rFonts w:cs="Calibri"/>
                <w:color w:val="000000"/>
                <w:szCs w:val="20"/>
              </w:rPr>
              <w:t>NFP</w:t>
            </w:r>
          </w:p>
        </w:tc>
        <w:tc>
          <w:tcPr>
            <w:tcW w:w="964" w:type="dxa"/>
            <w:gridSpan w:val="2"/>
            <w:tcBorders>
              <w:top w:val="nil"/>
              <w:left w:val="nil"/>
              <w:bottom w:val="nil"/>
              <w:right w:val="nil"/>
            </w:tcBorders>
          </w:tcPr>
          <w:p w14:paraId="1DC3FA70" w14:textId="77777777" w:rsidR="00CF0E2D" w:rsidRPr="00C52448" w:rsidRDefault="00CF0E2D" w:rsidP="00A60D4B">
            <w:pPr>
              <w:pStyle w:val="Btablefigureunbold"/>
              <w:rPr>
                <w:szCs w:val="20"/>
              </w:rPr>
            </w:pPr>
            <w:r w:rsidRPr="00C52448">
              <w:rPr>
                <w:rFonts w:cs="Calibri"/>
                <w:color w:val="000000"/>
                <w:szCs w:val="20"/>
              </w:rPr>
              <w:t>NFP</w:t>
            </w:r>
          </w:p>
        </w:tc>
        <w:tc>
          <w:tcPr>
            <w:tcW w:w="954" w:type="dxa"/>
            <w:gridSpan w:val="2"/>
            <w:tcBorders>
              <w:top w:val="nil"/>
              <w:left w:val="nil"/>
              <w:bottom w:val="nil"/>
              <w:right w:val="nil"/>
            </w:tcBorders>
          </w:tcPr>
          <w:p w14:paraId="026B573C" w14:textId="77777777" w:rsidR="00CF0E2D" w:rsidRPr="00C52448" w:rsidRDefault="00CF0E2D" w:rsidP="00A60D4B">
            <w:pPr>
              <w:pStyle w:val="Btablefigureunbold"/>
              <w:rPr>
                <w:b/>
                <w:bCs/>
                <w:szCs w:val="20"/>
              </w:rPr>
            </w:pPr>
            <w:r w:rsidRPr="00C52448">
              <w:rPr>
                <w:rFonts w:cs="Calibri"/>
                <w:b/>
                <w:bCs/>
                <w:color w:val="000000"/>
                <w:szCs w:val="20"/>
              </w:rPr>
              <w:t>970</w:t>
            </w:r>
          </w:p>
        </w:tc>
      </w:tr>
      <w:tr w:rsidR="00CF0E2D" w:rsidRPr="00D60558" w14:paraId="70154447" w14:textId="77777777" w:rsidTr="00A60D4B">
        <w:trPr>
          <w:gridAfter w:val="1"/>
          <w:wAfter w:w="9" w:type="dxa"/>
          <w:jc w:val="center"/>
        </w:trPr>
        <w:tc>
          <w:tcPr>
            <w:tcW w:w="3355" w:type="dxa"/>
            <w:tcBorders>
              <w:top w:val="nil"/>
              <w:left w:val="nil"/>
              <w:bottom w:val="nil"/>
              <w:right w:val="nil"/>
            </w:tcBorders>
          </w:tcPr>
          <w:p w14:paraId="3767FAA0" w14:textId="77777777" w:rsidR="00CF0E2D" w:rsidRPr="00B1084E" w:rsidRDefault="00CF0E2D" w:rsidP="00A60D4B">
            <w:pPr>
              <w:pStyle w:val="Btabletextunbold"/>
              <w:rPr>
                <w:szCs w:val="20"/>
              </w:rPr>
            </w:pPr>
            <w:r w:rsidRPr="00B1084E">
              <w:rPr>
                <w:rFonts w:cs="Calibri"/>
                <w:color w:val="000000"/>
                <w:szCs w:val="20"/>
              </w:rPr>
              <w:t>– Increasing school capacity</w:t>
            </w:r>
          </w:p>
        </w:tc>
        <w:tc>
          <w:tcPr>
            <w:tcW w:w="1093" w:type="dxa"/>
            <w:tcBorders>
              <w:top w:val="nil"/>
              <w:left w:val="nil"/>
              <w:bottom w:val="nil"/>
              <w:right w:val="nil"/>
            </w:tcBorders>
          </w:tcPr>
          <w:p w14:paraId="2B069209" w14:textId="77777777" w:rsidR="00CF0E2D" w:rsidRPr="00B1084E"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361D28CE" w14:textId="77777777" w:rsidR="00CF0E2D" w:rsidRPr="00C52448" w:rsidRDefault="00CF0E2D" w:rsidP="00A60D4B">
            <w:pPr>
              <w:pStyle w:val="Btablefigureunbold"/>
              <w:rPr>
                <w:szCs w:val="20"/>
              </w:rPr>
            </w:pPr>
            <w:r w:rsidRPr="00C52448">
              <w:rPr>
                <w:rFonts w:cs="Calibri"/>
                <w:color w:val="000000"/>
                <w:szCs w:val="20"/>
              </w:rPr>
              <w:t>19,800</w:t>
            </w:r>
          </w:p>
        </w:tc>
        <w:tc>
          <w:tcPr>
            <w:tcW w:w="964" w:type="dxa"/>
            <w:gridSpan w:val="2"/>
            <w:tcBorders>
              <w:top w:val="nil"/>
              <w:left w:val="nil"/>
              <w:bottom w:val="nil"/>
              <w:right w:val="nil"/>
            </w:tcBorders>
          </w:tcPr>
          <w:p w14:paraId="17B32FE5" w14:textId="77777777" w:rsidR="00CF0E2D" w:rsidRPr="00C52448" w:rsidRDefault="00CF0E2D" w:rsidP="00A60D4B">
            <w:pPr>
              <w:pStyle w:val="Btablefigureunbold"/>
              <w:rPr>
                <w:szCs w:val="20"/>
              </w:rPr>
            </w:pPr>
            <w:r w:rsidRPr="00C52448">
              <w:rPr>
                <w:rFonts w:cs="Calibri"/>
                <w:color w:val="000000"/>
                <w:szCs w:val="20"/>
              </w:rPr>
              <w:t>0</w:t>
            </w:r>
          </w:p>
        </w:tc>
        <w:tc>
          <w:tcPr>
            <w:tcW w:w="964" w:type="dxa"/>
            <w:gridSpan w:val="2"/>
            <w:tcBorders>
              <w:top w:val="nil"/>
              <w:left w:val="nil"/>
              <w:bottom w:val="nil"/>
              <w:right w:val="nil"/>
            </w:tcBorders>
          </w:tcPr>
          <w:p w14:paraId="50411B7D" w14:textId="77777777" w:rsidR="00CF0E2D" w:rsidRPr="00C52448" w:rsidRDefault="00CF0E2D" w:rsidP="00A60D4B">
            <w:pPr>
              <w:pStyle w:val="Btablefigureunbold"/>
              <w:rPr>
                <w:szCs w:val="20"/>
              </w:rPr>
            </w:pPr>
            <w:r w:rsidRPr="00C52448">
              <w:rPr>
                <w:rFonts w:cs="Calibri"/>
                <w:color w:val="000000"/>
                <w:szCs w:val="20"/>
              </w:rPr>
              <w:t>0</w:t>
            </w:r>
          </w:p>
        </w:tc>
        <w:tc>
          <w:tcPr>
            <w:tcW w:w="964" w:type="dxa"/>
            <w:gridSpan w:val="2"/>
            <w:tcBorders>
              <w:top w:val="nil"/>
              <w:left w:val="nil"/>
              <w:bottom w:val="nil"/>
              <w:right w:val="nil"/>
            </w:tcBorders>
          </w:tcPr>
          <w:p w14:paraId="6CC86632" w14:textId="77777777" w:rsidR="00CF0E2D" w:rsidRPr="00C52448" w:rsidRDefault="00CF0E2D" w:rsidP="00A60D4B">
            <w:pPr>
              <w:pStyle w:val="Btablefigureunbold"/>
              <w:rPr>
                <w:szCs w:val="20"/>
              </w:rPr>
            </w:pPr>
            <w:r w:rsidRPr="00C52448">
              <w:rPr>
                <w:rFonts w:cs="Calibri"/>
                <w:color w:val="000000"/>
                <w:szCs w:val="20"/>
              </w:rPr>
              <w:t>0</w:t>
            </w:r>
          </w:p>
        </w:tc>
        <w:tc>
          <w:tcPr>
            <w:tcW w:w="954" w:type="dxa"/>
            <w:gridSpan w:val="2"/>
            <w:tcBorders>
              <w:top w:val="nil"/>
              <w:left w:val="nil"/>
              <w:bottom w:val="nil"/>
              <w:right w:val="nil"/>
            </w:tcBorders>
          </w:tcPr>
          <w:p w14:paraId="5F05798F" w14:textId="77777777" w:rsidR="00CF0E2D" w:rsidRPr="00C52448" w:rsidRDefault="00CF0E2D" w:rsidP="00A60D4B">
            <w:pPr>
              <w:pStyle w:val="Btablefigureunbold"/>
              <w:rPr>
                <w:b/>
                <w:bCs/>
                <w:szCs w:val="20"/>
              </w:rPr>
            </w:pPr>
            <w:r w:rsidRPr="00C52448">
              <w:rPr>
                <w:rFonts w:cs="Calibri"/>
                <w:b/>
                <w:bCs/>
                <w:color w:val="000000"/>
                <w:szCs w:val="20"/>
              </w:rPr>
              <w:t>19,800</w:t>
            </w:r>
          </w:p>
        </w:tc>
      </w:tr>
      <w:tr w:rsidR="00CF0E2D" w:rsidRPr="00D60558" w14:paraId="385C96DE" w14:textId="77777777" w:rsidTr="00A60D4B">
        <w:trPr>
          <w:gridAfter w:val="1"/>
          <w:wAfter w:w="9" w:type="dxa"/>
          <w:jc w:val="center"/>
        </w:trPr>
        <w:tc>
          <w:tcPr>
            <w:tcW w:w="3355" w:type="dxa"/>
            <w:tcBorders>
              <w:top w:val="nil"/>
              <w:left w:val="nil"/>
              <w:bottom w:val="nil"/>
              <w:right w:val="nil"/>
            </w:tcBorders>
          </w:tcPr>
          <w:p w14:paraId="7AE9561E" w14:textId="77777777" w:rsidR="00CF0E2D" w:rsidRPr="00B1084E" w:rsidRDefault="00CF0E2D" w:rsidP="00A60D4B">
            <w:pPr>
              <w:pStyle w:val="Btabletextunbold"/>
              <w:rPr>
                <w:szCs w:val="20"/>
              </w:rPr>
            </w:pPr>
            <w:r w:rsidRPr="00B1084E">
              <w:rPr>
                <w:rFonts w:cs="Calibri"/>
                <w:color w:val="000000"/>
                <w:szCs w:val="20"/>
              </w:rPr>
              <w:t>– Increasing school capacity</w:t>
            </w:r>
          </w:p>
        </w:tc>
        <w:tc>
          <w:tcPr>
            <w:tcW w:w="1093" w:type="dxa"/>
            <w:tcBorders>
              <w:top w:val="nil"/>
              <w:left w:val="nil"/>
              <w:bottom w:val="nil"/>
              <w:right w:val="nil"/>
            </w:tcBorders>
          </w:tcPr>
          <w:p w14:paraId="6499C6B1"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Net cost</w:t>
            </w:r>
          </w:p>
        </w:tc>
        <w:tc>
          <w:tcPr>
            <w:tcW w:w="964" w:type="dxa"/>
            <w:gridSpan w:val="2"/>
            <w:tcBorders>
              <w:top w:val="nil"/>
              <w:left w:val="nil"/>
              <w:bottom w:val="nil"/>
              <w:right w:val="nil"/>
            </w:tcBorders>
          </w:tcPr>
          <w:p w14:paraId="7A684FA3" w14:textId="77777777" w:rsidR="00CF0E2D" w:rsidRPr="00C52448" w:rsidRDefault="00CF0E2D" w:rsidP="00A60D4B">
            <w:pPr>
              <w:pStyle w:val="Btablefigureunbold"/>
              <w:rPr>
                <w:szCs w:val="20"/>
              </w:rPr>
            </w:pPr>
            <w:r w:rsidRPr="00C52448">
              <w:rPr>
                <w:rFonts w:cs="Calibri"/>
                <w:color w:val="000000"/>
                <w:szCs w:val="20"/>
              </w:rPr>
              <w:t>990</w:t>
            </w:r>
          </w:p>
        </w:tc>
        <w:tc>
          <w:tcPr>
            <w:tcW w:w="964" w:type="dxa"/>
            <w:gridSpan w:val="2"/>
            <w:tcBorders>
              <w:top w:val="nil"/>
              <w:left w:val="nil"/>
              <w:bottom w:val="nil"/>
              <w:right w:val="nil"/>
            </w:tcBorders>
          </w:tcPr>
          <w:p w14:paraId="0EC40A2B" w14:textId="77777777" w:rsidR="00CF0E2D" w:rsidRPr="00C52448" w:rsidRDefault="00CF0E2D" w:rsidP="00A60D4B">
            <w:pPr>
              <w:pStyle w:val="Btablefigureunbold"/>
              <w:rPr>
                <w:szCs w:val="20"/>
              </w:rPr>
            </w:pPr>
            <w:r w:rsidRPr="00C52448">
              <w:rPr>
                <w:rFonts w:cs="Calibri"/>
                <w:color w:val="000000"/>
                <w:szCs w:val="20"/>
              </w:rPr>
              <w:t>2,574</w:t>
            </w:r>
          </w:p>
        </w:tc>
        <w:tc>
          <w:tcPr>
            <w:tcW w:w="964" w:type="dxa"/>
            <w:gridSpan w:val="2"/>
            <w:tcBorders>
              <w:top w:val="nil"/>
              <w:left w:val="nil"/>
              <w:bottom w:val="nil"/>
              <w:right w:val="nil"/>
            </w:tcBorders>
          </w:tcPr>
          <w:p w14:paraId="11C6C11B" w14:textId="77777777" w:rsidR="00CF0E2D" w:rsidRPr="00C52448" w:rsidRDefault="00CF0E2D" w:rsidP="00A60D4B">
            <w:pPr>
              <w:pStyle w:val="Btablefigureunbold"/>
              <w:rPr>
                <w:szCs w:val="20"/>
              </w:rPr>
            </w:pPr>
            <w:r w:rsidRPr="00C52448">
              <w:rPr>
                <w:rFonts w:cs="Calibri"/>
                <w:color w:val="000000"/>
                <w:szCs w:val="20"/>
              </w:rPr>
              <w:t>2,574</w:t>
            </w:r>
          </w:p>
        </w:tc>
        <w:tc>
          <w:tcPr>
            <w:tcW w:w="964" w:type="dxa"/>
            <w:gridSpan w:val="2"/>
            <w:tcBorders>
              <w:top w:val="nil"/>
              <w:left w:val="nil"/>
              <w:bottom w:val="nil"/>
              <w:right w:val="nil"/>
            </w:tcBorders>
          </w:tcPr>
          <w:p w14:paraId="10EAE61A" w14:textId="77777777" w:rsidR="00CF0E2D" w:rsidRPr="00C52448" w:rsidRDefault="00CF0E2D" w:rsidP="00A60D4B">
            <w:pPr>
              <w:pStyle w:val="Btablefigureunbold"/>
              <w:rPr>
                <w:szCs w:val="20"/>
              </w:rPr>
            </w:pPr>
            <w:r w:rsidRPr="00C52448">
              <w:rPr>
                <w:rFonts w:cs="Calibri"/>
                <w:color w:val="000000"/>
                <w:szCs w:val="20"/>
              </w:rPr>
              <w:t>2,574</w:t>
            </w:r>
          </w:p>
        </w:tc>
        <w:tc>
          <w:tcPr>
            <w:tcW w:w="954" w:type="dxa"/>
            <w:gridSpan w:val="2"/>
            <w:tcBorders>
              <w:top w:val="nil"/>
              <w:left w:val="nil"/>
              <w:bottom w:val="nil"/>
              <w:right w:val="nil"/>
            </w:tcBorders>
          </w:tcPr>
          <w:p w14:paraId="1E8A3D41" w14:textId="77777777" w:rsidR="00CF0E2D" w:rsidRPr="00C52448" w:rsidRDefault="00CF0E2D" w:rsidP="00A60D4B">
            <w:pPr>
              <w:pStyle w:val="Btablefigureunbold"/>
              <w:rPr>
                <w:b/>
                <w:bCs/>
                <w:szCs w:val="20"/>
              </w:rPr>
            </w:pPr>
            <w:r w:rsidRPr="00C52448">
              <w:rPr>
                <w:rFonts w:cs="Calibri"/>
                <w:b/>
                <w:bCs/>
                <w:color w:val="000000"/>
                <w:szCs w:val="20"/>
              </w:rPr>
              <w:t>8,712</w:t>
            </w:r>
          </w:p>
        </w:tc>
      </w:tr>
      <w:tr w:rsidR="00CF0E2D" w:rsidRPr="00D60558" w14:paraId="45B53B53" w14:textId="77777777" w:rsidTr="00A60D4B">
        <w:trPr>
          <w:gridAfter w:val="1"/>
          <w:wAfter w:w="9" w:type="dxa"/>
          <w:jc w:val="center"/>
        </w:trPr>
        <w:tc>
          <w:tcPr>
            <w:tcW w:w="3355" w:type="dxa"/>
            <w:tcBorders>
              <w:top w:val="nil"/>
              <w:left w:val="nil"/>
              <w:bottom w:val="nil"/>
              <w:right w:val="nil"/>
            </w:tcBorders>
          </w:tcPr>
          <w:p w14:paraId="53149B96" w14:textId="77777777" w:rsidR="00CF0E2D" w:rsidRPr="00B1084E" w:rsidRDefault="00CF0E2D" w:rsidP="00A60D4B">
            <w:pPr>
              <w:pStyle w:val="Btabletextunbold"/>
              <w:rPr>
                <w:szCs w:val="20"/>
              </w:rPr>
            </w:pPr>
            <w:r w:rsidRPr="00B1084E">
              <w:rPr>
                <w:rFonts w:cs="Calibri"/>
                <w:color w:val="000000"/>
                <w:szCs w:val="20"/>
              </w:rPr>
              <w:t xml:space="preserve">– Narrabundah College modernisation </w:t>
            </w:r>
          </w:p>
        </w:tc>
        <w:tc>
          <w:tcPr>
            <w:tcW w:w="1093" w:type="dxa"/>
            <w:tcBorders>
              <w:top w:val="nil"/>
              <w:left w:val="nil"/>
              <w:bottom w:val="nil"/>
              <w:right w:val="nil"/>
            </w:tcBorders>
          </w:tcPr>
          <w:p w14:paraId="58A1BAA2" w14:textId="77777777" w:rsidR="00CF0E2D" w:rsidRPr="00B1084E"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4F81BD54" w14:textId="77777777" w:rsidR="00CF0E2D" w:rsidRPr="00C52448" w:rsidRDefault="00CF0E2D" w:rsidP="00A60D4B">
            <w:pPr>
              <w:pStyle w:val="Btablefigureunbold"/>
              <w:rPr>
                <w:szCs w:val="20"/>
              </w:rPr>
            </w:pPr>
            <w:r w:rsidRPr="00C52448">
              <w:rPr>
                <w:rFonts w:cs="Calibri"/>
                <w:color w:val="000000"/>
                <w:szCs w:val="20"/>
              </w:rPr>
              <w:t>600</w:t>
            </w:r>
          </w:p>
        </w:tc>
        <w:tc>
          <w:tcPr>
            <w:tcW w:w="964" w:type="dxa"/>
            <w:gridSpan w:val="2"/>
            <w:tcBorders>
              <w:top w:val="nil"/>
              <w:left w:val="nil"/>
              <w:bottom w:val="nil"/>
              <w:right w:val="nil"/>
            </w:tcBorders>
          </w:tcPr>
          <w:p w14:paraId="3F492F9C" w14:textId="77777777" w:rsidR="00CF0E2D" w:rsidRPr="00C52448" w:rsidRDefault="00CF0E2D" w:rsidP="00A60D4B">
            <w:pPr>
              <w:pStyle w:val="Btablefigureunbold"/>
              <w:rPr>
                <w:szCs w:val="20"/>
              </w:rPr>
            </w:pPr>
            <w:r w:rsidRPr="00C52448">
              <w:rPr>
                <w:rFonts w:cs="Calibri"/>
                <w:color w:val="000000"/>
                <w:szCs w:val="20"/>
              </w:rPr>
              <w:t>0</w:t>
            </w:r>
          </w:p>
        </w:tc>
        <w:tc>
          <w:tcPr>
            <w:tcW w:w="964" w:type="dxa"/>
            <w:gridSpan w:val="2"/>
            <w:tcBorders>
              <w:top w:val="nil"/>
              <w:left w:val="nil"/>
              <w:bottom w:val="nil"/>
              <w:right w:val="nil"/>
            </w:tcBorders>
          </w:tcPr>
          <w:p w14:paraId="75B44351" w14:textId="77777777" w:rsidR="00CF0E2D" w:rsidRPr="00C52448" w:rsidRDefault="00CF0E2D" w:rsidP="00A60D4B">
            <w:pPr>
              <w:pStyle w:val="Btablefigureunbold"/>
              <w:rPr>
                <w:szCs w:val="20"/>
              </w:rPr>
            </w:pPr>
            <w:r w:rsidRPr="00C52448">
              <w:rPr>
                <w:rFonts w:cs="Calibri"/>
                <w:color w:val="000000"/>
                <w:szCs w:val="20"/>
              </w:rPr>
              <w:t>0</w:t>
            </w:r>
          </w:p>
        </w:tc>
        <w:tc>
          <w:tcPr>
            <w:tcW w:w="964" w:type="dxa"/>
            <w:gridSpan w:val="2"/>
            <w:tcBorders>
              <w:top w:val="nil"/>
              <w:left w:val="nil"/>
              <w:bottom w:val="nil"/>
              <w:right w:val="nil"/>
            </w:tcBorders>
          </w:tcPr>
          <w:p w14:paraId="1F877DDA" w14:textId="77777777" w:rsidR="00CF0E2D" w:rsidRPr="00C52448" w:rsidRDefault="00CF0E2D" w:rsidP="00A60D4B">
            <w:pPr>
              <w:pStyle w:val="Btablefigureunbold"/>
              <w:rPr>
                <w:szCs w:val="20"/>
              </w:rPr>
            </w:pPr>
            <w:r w:rsidRPr="00C52448">
              <w:rPr>
                <w:rFonts w:cs="Calibri"/>
                <w:color w:val="000000"/>
                <w:szCs w:val="20"/>
              </w:rPr>
              <w:t>0</w:t>
            </w:r>
          </w:p>
        </w:tc>
        <w:tc>
          <w:tcPr>
            <w:tcW w:w="954" w:type="dxa"/>
            <w:gridSpan w:val="2"/>
            <w:tcBorders>
              <w:top w:val="nil"/>
              <w:left w:val="nil"/>
              <w:bottom w:val="nil"/>
              <w:right w:val="nil"/>
            </w:tcBorders>
          </w:tcPr>
          <w:p w14:paraId="2BF3DEC0" w14:textId="77777777" w:rsidR="00CF0E2D" w:rsidRPr="00C52448" w:rsidRDefault="00CF0E2D" w:rsidP="00A60D4B">
            <w:pPr>
              <w:pStyle w:val="Btablefigureunbold"/>
              <w:rPr>
                <w:b/>
                <w:bCs/>
                <w:szCs w:val="20"/>
              </w:rPr>
            </w:pPr>
            <w:r w:rsidRPr="00C52448">
              <w:rPr>
                <w:rFonts w:cs="Calibri"/>
                <w:b/>
                <w:bCs/>
                <w:color w:val="000000"/>
                <w:szCs w:val="20"/>
              </w:rPr>
              <w:t>600</w:t>
            </w:r>
          </w:p>
        </w:tc>
      </w:tr>
      <w:tr w:rsidR="00CF0E2D" w:rsidRPr="00D60558" w14:paraId="2F23967E" w14:textId="77777777" w:rsidTr="00A60D4B">
        <w:trPr>
          <w:gridAfter w:val="1"/>
          <w:wAfter w:w="9" w:type="dxa"/>
          <w:jc w:val="center"/>
        </w:trPr>
        <w:tc>
          <w:tcPr>
            <w:tcW w:w="3355" w:type="dxa"/>
            <w:tcBorders>
              <w:top w:val="nil"/>
              <w:left w:val="nil"/>
              <w:bottom w:val="nil"/>
              <w:right w:val="nil"/>
            </w:tcBorders>
          </w:tcPr>
          <w:p w14:paraId="54B1B53E" w14:textId="77777777" w:rsidR="00CF0E2D" w:rsidRPr="00B1084E" w:rsidRDefault="00CF0E2D" w:rsidP="00A60D4B">
            <w:pPr>
              <w:pStyle w:val="Btabletextunbold"/>
              <w:rPr>
                <w:szCs w:val="20"/>
              </w:rPr>
            </w:pPr>
            <w:r w:rsidRPr="00B1084E">
              <w:rPr>
                <w:rFonts w:cs="Calibri"/>
                <w:color w:val="000000"/>
                <w:szCs w:val="20"/>
              </w:rPr>
              <w:t xml:space="preserve">– School maintenance and infrastructure upgrades </w:t>
            </w:r>
          </w:p>
        </w:tc>
        <w:tc>
          <w:tcPr>
            <w:tcW w:w="1093" w:type="dxa"/>
            <w:tcBorders>
              <w:top w:val="nil"/>
              <w:left w:val="nil"/>
              <w:bottom w:val="nil"/>
              <w:right w:val="nil"/>
            </w:tcBorders>
          </w:tcPr>
          <w:p w14:paraId="40830069" w14:textId="77777777" w:rsidR="00CF0E2D" w:rsidRPr="00B1084E"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7CB3A3C4" w14:textId="77777777" w:rsidR="00CF0E2D" w:rsidRPr="00C52448" w:rsidRDefault="00CF0E2D" w:rsidP="00A60D4B">
            <w:pPr>
              <w:pStyle w:val="Btablefigureunbold"/>
              <w:rPr>
                <w:szCs w:val="20"/>
              </w:rPr>
            </w:pPr>
            <w:r w:rsidRPr="00C52448">
              <w:rPr>
                <w:rFonts w:cs="Calibri"/>
                <w:color w:val="000000"/>
                <w:szCs w:val="20"/>
              </w:rPr>
              <w:t>8,969</w:t>
            </w:r>
          </w:p>
        </w:tc>
        <w:tc>
          <w:tcPr>
            <w:tcW w:w="964" w:type="dxa"/>
            <w:gridSpan w:val="2"/>
            <w:tcBorders>
              <w:top w:val="nil"/>
              <w:left w:val="nil"/>
              <w:bottom w:val="nil"/>
              <w:right w:val="nil"/>
            </w:tcBorders>
          </w:tcPr>
          <w:p w14:paraId="129E9E6D" w14:textId="77777777" w:rsidR="00CF0E2D" w:rsidRPr="00C52448" w:rsidRDefault="00CF0E2D" w:rsidP="00A60D4B">
            <w:pPr>
              <w:pStyle w:val="Btablefigureunbold"/>
              <w:rPr>
                <w:szCs w:val="20"/>
              </w:rPr>
            </w:pPr>
            <w:r w:rsidRPr="00C52448">
              <w:rPr>
                <w:rFonts w:cs="Calibri"/>
                <w:color w:val="000000"/>
                <w:szCs w:val="20"/>
              </w:rPr>
              <w:t>9,049</w:t>
            </w:r>
          </w:p>
        </w:tc>
        <w:tc>
          <w:tcPr>
            <w:tcW w:w="964" w:type="dxa"/>
            <w:gridSpan w:val="2"/>
            <w:tcBorders>
              <w:top w:val="nil"/>
              <w:left w:val="nil"/>
              <w:bottom w:val="nil"/>
              <w:right w:val="nil"/>
            </w:tcBorders>
          </w:tcPr>
          <w:p w14:paraId="6A3077C3" w14:textId="77777777" w:rsidR="00CF0E2D" w:rsidRPr="00C52448" w:rsidRDefault="00CF0E2D" w:rsidP="00A60D4B">
            <w:pPr>
              <w:pStyle w:val="Btablefigureunbold"/>
              <w:rPr>
                <w:szCs w:val="20"/>
              </w:rPr>
            </w:pPr>
            <w:r w:rsidRPr="00C52448">
              <w:rPr>
                <w:rFonts w:cs="Calibri"/>
                <w:color w:val="000000"/>
                <w:szCs w:val="20"/>
              </w:rPr>
              <w:t>4,861</w:t>
            </w:r>
          </w:p>
        </w:tc>
        <w:tc>
          <w:tcPr>
            <w:tcW w:w="964" w:type="dxa"/>
            <w:gridSpan w:val="2"/>
            <w:tcBorders>
              <w:top w:val="nil"/>
              <w:left w:val="nil"/>
              <w:bottom w:val="nil"/>
              <w:right w:val="nil"/>
            </w:tcBorders>
          </w:tcPr>
          <w:p w14:paraId="606F6E92" w14:textId="77777777" w:rsidR="00CF0E2D" w:rsidRPr="00C52448" w:rsidRDefault="00CF0E2D" w:rsidP="00A60D4B">
            <w:pPr>
              <w:pStyle w:val="Btablefigureunbold"/>
              <w:rPr>
                <w:szCs w:val="20"/>
              </w:rPr>
            </w:pPr>
            <w:r w:rsidRPr="00C52448">
              <w:rPr>
                <w:rFonts w:cs="Calibri"/>
                <w:color w:val="000000"/>
                <w:szCs w:val="20"/>
              </w:rPr>
              <w:t>8,097</w:t>
            </w:r>
          </w:p>
        </w:tc>
        <w:tc>
          <w:tcPr>
            <w:tcW w:w="954" w:type="dxa"/>
            <w:gridSpan w:val="2"/>
            <w:tcBorders>
              <w:top w:val="nil"/>
              <w:left w:val="nil"/>
              <w:bottom w:val="nil"/>
              <w:right w:val="nil"/>
            </w:tcBorders>
          </w:tcPr>
          <w:p w14:paraId="2DF1C51C" w14:textId="77777777" w:rsidR="00CF0E2D" w:rsidRPr="00C52448" w:rsidRDefault="00CF0E2D" w:rsidP="00A60D4B">
            <w:pPr>
              <w:pStyle w:val="Btablefigureunbold"/>
              <w:rPr>
                <w:b/>
                <w:bCs/>
                <w:szCs w:val="20"/>
              </w:rPr>
            </w:pPr>
            <w:r w:rsidRPr="00C52448">
              <w:rPr>
                <w:rFonts w:cs="Calibri"/>
                <w:b/>
                <w:bCs/>
                <w:color w:val="000000"/>
                <w:szCs w:val="20"/>
              </w:rPr>
              <w:t>30,976</w:t>
            </w:r>
          </w:p>
        </w:tc>
      </w:tr>
      <w:tr w:rsidR="00CF0E2D" w:rsidRPr="00D60558" w14:paraId="7CB7359D" w14:textId="77777777" w:rsidTr="00A60D4B">
        <w:trPr>
          <w:gridAfter w:val="1"/>
          <w:wAfter w:w="9" w:type="dxa"/>
          <w:jc w:val="center"/>
        </w:trPr>
        <w:tc>
          <w:tcPr>
            <w:tcW w:w="3355" w:type="dxa"/>
            <w:tcBorders>
              <w:top w:val="nil"/>
              <w:left w:val="nil"/>
              <w:bottom w:val="nil"/>
              <w:right w:val="nil"/>
            </w:tcBorders>
          </w:tcPr>
          <w:p w14:paraId="03513904" w14:textId="77777777" w:rsidR="00CF0E2D" w:rsidRPr="00B1084E" w:rsidRDefault="00CF0E2D" w:rsidP="00A60D4B">
            <w:pPr>
              <w:pStyle w:val="Btabletextunbold"/>
              <w:rPr>
                <w:szCs w:val="20"/>
              </w:rPr>
            </w:pPr>
            <w:r w:rsidRPr="00B1084E">
              <w:rPr>
                <w:rFonts w:cs="Calibri"/>
                <w:color w:val="000000"/>
                <w:szCs w:val="20"/>
              </w:rPr>
              <w:t xml:space="preserve">– School maintenance and infrastructure upgrades </w:t>
            </w:r>
          </w:p>
        </w:tc>
        <w:tc>
          <w:tcPr>
            <w:tcW w:w="1093" w:type="dxa"/>
            <w:tcBorders>
              <w:top w:val="nil"/>
              <w:left w:val="nil"/>
              <w:bottom w:val="nil"/>
              <w:right w:val="nil"/>
            </w:tcBorders>
          </w:tcPr>
          <w:p w14:paraId="5E050EBD"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Net cost</w:t>
            </w:r>
          </w:p>
        </w:tc>
        <w:tc>
          <w:tcPr>
            <w:tcW w:w="964" w:type="dxa"/>
            <w:gridSpan w:val="2"/>
            <w:tcBorders>
              <w:top w:val="nil"/>
              <w:left w:val="nil"/>
              <w:bottom w:val="nil"/>
              <w:right w:val="nil"/>
            </w:tcBorders>
          </w:tcPr>
          <w:p w14:paraId="03136306" w14:textId="77777777" w:rsidR="00CF0E2D" w:rsidRPr="00C52448" w:rsidRDefault="00CF0E2D" w:rsidP="00A60D4B">
            <w:pPr>
              <w:pStyle w:val="Btablefigureunbold"/>
              <w:rPr>
                <w:szCs w:val="20"/>
              </w:rPr>
            </w:pPr>
            <w:r w:rsidRPr="00C52448">
              <w:rPr>
                <w:rFonts w:cs="Calibri"/>
                <w:color w:val="000000"/>
                <w:szCs w:val="20"/>
              </w:rPr>
              <w:t>519</w:t>
            </w:r>
          </w:p>
        </w:tc>
        <w:tc>
          <w:tcPr>
            <w:tcW w:w="964" w:type="dxa"/>
            <w:gridSpan w:val="2"/>
            <w:tcBorders>
              <w:top w:val="nil"/>
              <w:left w:val="nil"/>
              <w:bottom w:val="nil"/>
              <w:right w:val="nil"/>
            </w:tcBorders>
          </w:tcPr>
          <w:p w14:paraId="19CA990D" w14:textId="77777777" w:rsidR="00CF0E2D" w:rsidRPr="00C52448" w:rsidRDefault="00CF0E2D" w:rsidP="00A60D4B">
            <w:pPr>
              <w:pStyle w:val="Btablefigureunbold"/>
              <w:rPr>
                <w:szCs w:val="20"/>
              </w:rPr>
            </w:pPr>
            <w:r w:rsidRPr="00C52448">
              <w:rPr>
                <w:rFonts w:cs="Calibri"/>
                <w:color w:val="000000"/>
                <w:szCs w:val="20"/>
              </w:rPr>
              <w:t>2,185</w:t>
            </w:r>
          </w:p>
        </w:tc>
        <w:tc>
          <w:tcPr>
            <w:tcW w:w="964" w:type="dxa"/>
            <w:gridSpan w:val="2"/>
            <w:tcBorders>
              <w:top w:val="nil"/>
              <w:left w:val="nil"/>
              <w:bottom w:val="nil"/>
              <w:right w:val="nil"/>
            </w:tcBorders>
          </w:tcPr>
          <w:p w14:paraId="0C5E4039" w14:textId="77777777" w:rsidR="00CF0E2D" w:rsidRPr="00C52448" w:rsidRDefault="00CF0E2D" w:rsidP="00A60D4B">
            <w:pPr>
              <w:pStyle w:val="Btablefigureunbold"/>
              <w:rPr>
                <w:szCs w:val="20"/>
              </w:rPr>
            </w:pPr>
            <w:r w:rsidRPr="00C52448">
              <w:rPr>
                <w:rFonts w:cs="Calibri"/>
                <w:color w:val="000000"/>
                <w:szCs w:val="20"/>
              </w:rPr>
              <w:t>3,643</w:t>
            </w:r>
          </w:p>
        </w:tc>
        <w:tc>
          <w:tcPr>
            <w:tcW w:w="964" w:type="dxa"/>
            <w:gridSpan w:val="2"/>
            <w:tcBorders>
              <w:top w:val="nil"/>
              <w:left w:val="nil"/>
              <w:bottom w:val="nil"/>
              <w:right w:val="nil"/>
            </w:tcBorders>
          </w:tcPr>
          <w:p w14:paraId="16D2938A" w14:textId="77777777" w:rsidR="00CF0E2D" w:rsidRPr="00C52448" w:rsidRDefault="00CF0E2D" w:rsidP="00A60D4B">
            <w:pPr>
              <w:pStyle w:val="Btablefigureunbold"/>
              <w:rPr>
                <w:szCs w:val="20"/>
              </w:rPr>
            </w:pPr>
            <w:r w:rsidRPr="00C52448">
              <w:rPr>
                <w:rFonts w:cs="Calibri"/>
                <w:color w:val="000000"/>
                <w:szCs w:val="20"/>
              </w:rPr>
              <w:t>5,077</w:t>
            </w:r>
          </w:p>
        </w:tc>
        <w:tc>
          <w:tcPr>
            <w:tcW w:w="954" w:type="dxa"/>
            <w:gridSpan w:val="2"/>
            <w:tcBorders>
              <w:top w:val="nil"/>
              <w:left w:val="nil"/>
              <w:bottom w:val="nil"/>
              <w:right w:val="nil"/>
            </w:tcBorders>
          </w:tcPr>
          <w:p w14:paraId="2772DDE4" w14:textId="77777777" w:rsidR="00CF0E2D" w:rsidRPr="00C52448" w:rsidRDefault="00CF0E2D" w:rsidP="00A60D4B">
            <w:pPr>
              <w:pStyle w:val="Btablefigureunbold"/>
              <w:rPr>
                <w:b/>
                <w:bCs/>
                <w:szCs w:val="20"/>
              </w:rPr>
            </w:pPr>
            <w:r w:rsidRPr="00C52448">
              <w:rPr>
                <w:rFonts w:cs="Calibri"/>
                <w:b/>
                <w:bCs/>
                <w:color w:val="000000"/>
                <w:szCs w:val="20"/>
              </w:rPr>
              <w:t>11,424</w:t>
            </w:r>
          </w:p>
        </w:tc>
      </w:tr>
      <w:tr w:rsidR="00CF0E2D" w:rsidRPr="00D60558" w14:paraId="2AE68005" w14:textId="77777777" w:rsidTr="00A60D4B">
        <w:trPr>
          <w:gridAfter w:val="1"/>
          <w:wAfter w:w="9" w:type="dxa"/>
          <w:jc w:val="center"/>
        </w:trPr>
        <w:tc>
          <w:tcPr>
            <w:tcW w:w="3355" w:type="dxa"/>
            <w:tcBorders>
              <w:top w:val="nil"/>
              <w:left w:val="nil"/>
              <w:bottom w:val="nil"/>
              <w:right w:val="nil"/>
            </w:tcBorders>
          </w:tcPr>
          <w:p w14:paraId="1B90B44F" w14:textId="77777777" w:rsidR="00CF0E2D" w:rsidRPr="00B1084E" w:rsidRDefault="00CF0E2D" w:rsidP="00A60D4B">
            <w:pPr>
              <w:pStyle w:val="Btabletextunbold"/>
              <w:rPr>
                <w:szCs w:val="20"/>
              </w:rPr>
            </w:pPr>
            <w:r w:rsidRPr="00B1084E">
              <w:rPr>
                <w:rFonts w:cs="Calibri"/>
                <w:color w:val="000000"/>
                <w:szCs w:val="20"/>
              </w:rPr>
              <w:t>– Strathnairn Primary School</w:t>
            </w:r>
          </w:p>
        </w:tc>
        <w:tc>
          <w:tcPr>
            <w:tcW w:w="1093" w:type="dxa"/>
            <w:tcBorders>
              <w:top w:val="nil"/>
              <w:left w:val="nil"/>
              <w:bottom w:val="nil"/>
              <w:right w:val="nil"/>
            </w:tcBorders>
          </w:tcPr>
          <w:p w14:paraId="1962004F" w14:textId="77777777" w:rsidR="00CF0E2D" w:rsidRPr="00B1084E"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5FB2A6B9" w14:textId="77777777" w:rsidR="00CF0E2D" w:rsidRPr="00C52448" w:rsidRDefault="00CF0E2D" w:rsidP="00A60D4B">
            <w:pPr>
              <w:pStyle w:val="Btablefigureunbold"/>
              <w:rPr>
                <w:szCs w:val="20"/>
              </w:rPr>
            </w:pPr>
            <w:r w:rsidRPr="00C52448">
              <w:rPr>
                <w:rFonts w:cs="Calibri"/>
                <w:color w:val="000000"/>
                <w:szCs w:val="20"/>
              </w:rPr>
              <w:t>1,000</w:t>
            </w:r>
          </w:p>
        </w:tc>
        <w:tc>
          <w:tcPr>
            <w:tcW w:w="964" w:type="dxa"/>
            <w:gridSpan w:val="2"/>
            <w:tcBorders>
              <w:top w:val="nil"/>
              <w:left w:val="nil"/>
              <w:bottom w:val="nil"/>
              <w:right w:val="nil"/>
            </w:tcBorders>
          </w:tcPr>
          <w:p w14:paraId="63B2E0BF" w14:textId="77777777" w:rsidR="00CF0E2D" w:rsidRPr="00C52448" w:rsidRDefault="00CF0E2D" w:rsidP="00A60D4B">
            <w:pPr>
              <w:pStyle w:val="Btablefigureunbold"/>
              <w:rPr>
                <w:szCs w:val="20"/>
              </w:rPr>
            </w:pPr>
            <w:r w:rsidRPr="00C52448">
              <w:rPr>
                <w:rFonts w:cs="Calibri"/>
                <w:color w:val="000000"/>
                <w:szCs w:val="20"/>
              </w:rPr>
              <w:t>0</w:t>
            </w:r>
          </w:p>
        </w:tc>
        <w:tc>
          <w:tcPr>
            <w:tcW w:w="964" w:type="dxa"/>
            <w:gridSpan w:val="2"/>
            <w:tcBorders>
              <w:top w:val="nil"/>
              <w:left w:val="nil"/>
              <w:bottom w:val="nil"/>
              <w:right w:val="nil"/>
            </w:tcBorders>
          </w:tcPr>
          <w:p w14:paraId="6064DB8C" w14:textId="77777777" w:rsidR="00CF0E2D" w:rsidRPr="00C52448" w:rsidRDefault="00CF0E2D" w:rsidP="00A60D4B">
            <w:pPr>
              <w:pStyle w:val="Btablefigureunbold"/>
              <w:rPr>
                <w:szCs w:val="20"/>
              </w:rPr>
            </w:pPr>
            <w:r w:rsidRPr="00C52448">
              <w:rPr>
                <w:rFonts w:cs="Calibri"/>
                <w:color w:val="000000"/>
                <w:szCs w:val="20"/>
              </w:rPr>
              <w:t>0</w:t>
            </w:r>
          </w:p>
        </w:tc>
        <w:tc>
          <w:tcPr>
            <w:tcW w:w="964" w:type="dxa"/>
            <w:gridSpan w:val="2"/>
            <w:tcBorders>
              <w:top w:val="nil"/>
              <w:left w:val="nil"/>
              <w:bottom w:val="nil"/>
              <w:right w:val="nil"/>
            </w:tcBorders>
          </w:tcPr>
          <w:p w14:paraId="184773BC" w14:textId="77777777" w:rsidR="00CF0E2D" w:rsidRPr="00C52448" w:rsidRDefault="00CF0E2D" w:rsidP="00A60D4B">
            <w:pPr>
              <w:pStyle w:val="Btablefigureunbold"/>
              <w:rPr>
                <w:szCs w:val="20"/>
              </w:rPr>
            </w:pPr>
            <w:r w:rsidRPr="00C52448">
              <w:rPr>
                <w:rFonts w:cs="Calibri"/>
                <w:color w:val="000000"/>
                <w:szCs w:val="20"/>
              </w:rPr>
              <w:t>0</w:t>
            </w:r>
          </w:p>
        </w:tc>
        <w:tc>
          <w:tcPr>
            <w:tcW w:w="954" w:type="dxa"/>
            <w:gridSpan w:val="2"/>
            <w:tcBorders>
              <w:top w:val="nil"/>
              <w:left w:val="nil"/>
              <w:bottom w:val="nil"/>
              <w:right w:val="nil"/>
            </w:tcBorders>
          </w:tcPr>
          <w:p w14:paraId="082FC007" w14:textId="77777777" w:rsidR="00CF0E2D" w:rsidRPr="00C52448" w:rsidRDefault="00CF0E2D" w:rsidP="00A60D4B">
            <w:pPr>
              <w:pStyle w:val="Btablefigureunbold"/>
              <w:rPr>
                <w:b/>
                <w:bCs/>
                <w:szCs w:val="20"/>
              </w:rPr>
            </w:pPr>
            <w:r w:rsidRPr="00C52448">
              <w:rPr>
                <w:rFonts w:cs="Calibri"/>
                <w:b/>
                <w:bCs/>
                <w:color w:val="000000"/>
                <w:szCs w:val="20"/>
              </w:rPr>
              <w:t>1,000</w:t>
            </w:r>
          </w:p>
        </w:tc>
      </w:tr>
      <w:tr w:rsidR="00CF0E2D" w:rsidRPr="00D60558" w14:paraId="69D7C8D7" w14:textId="77777777" w:rsidTr="00A60D4B">
        <w:trPr>
          <w:gridAfter w:val="1"/>
          <w:wAfter w:w="9" w:type="dxa"/>
          <w:jc w:val="center"/>
        </w:trPr>
        <w:tc>
          <w:tcPr>
            <w:tcW w:w="3355" w:type="dxa"/>
            <w:tcBorders>
              <w:top w:val="nil"/>
              <w:left w:val="nil"/>
              <w:bottom w:val="nil"/>
              <w:right w:val="nil"/>
            </w:tcBorders>
          </w:tcPr>
          <w:p w14:paraId="67CA117C" w14:textId="77777777" w:rsidR="00CF0E2D" w:rsidRPr="00B1084E" w:rsidRDefault="00CF0E2D" w:rsidP="00A60D4B">
            <w:pPr>
              <w:pStyle w:val="Btabletextunbold"/>
              <w:rPr>
                <w:szCs w:val="20"/>
              </w:rPr>
            </w:pPr>
            <w:r w:rsidRPr="00B1084E">
              <w:rPr>
                <w:rFonts w:cs="Calibri"/>
                <w:color w:val="000000"/>
                <w:szCs w:val="20"/>
              </w:rPr>
              <w:t>Removing hazardous materials from schools</w:t>
            </w:r>
          </w:p>
        </w:tc>
        <w:tc>
          <w:tcPr>
            <w:tcW w:w="1093" w:type="dxa"/>
            <w:tcBorders>
              <w:top w:val="nil"/>
              <w:left w:val="nil"/>
              <w:bottom w:val="nil"/>
              <w:right w:val="nil"/>
            </w:tcBorders>
          </w:tcPr>
          <w:p w14:paraId="4E0DC1CD" w14:textId="77777777" w:rsidR="00CF0E2D" w:rsidRPr="00B1084E" w:rsidRDefault="00CF0E2D" w:rsidP="00A60D4B">
            <w:pPr>
              <w:pStyle w:val="Btablefigureunbold"/>
              <w:ind w:left="0" w:firstLine="0"/>
              <w:jc w:val="left"/>
              <w:rPr>
                <w:rFonts w:cs="Calibri"/>
                <w:color w:val="000000"/>
                <w:szCs w:val="20"/>
              </w:rPr>
            </w:pPr>
            <w:r w:rsidRPr="00B1084E">
              <w:rPr>
                <w:rFonts w:cs="Calibri"/>
                <w:color w:val="000000"/>
                <w:szCs w:val="20"/>
              </w:rPr>
              <w:t>Net cost</w:t>
            </w:r>
          </w:p>
        </w:tc>
        <w:tc>
          <w:tcPr>
            <w:tcW w:w="964" w:type="dxa"/>
            <w:gridSpan w:val="2"/>
            <w:tcBorders>
              <w:top w:val="nil"/>
              <w:left w:val="nil"/>
              <w:bottom w:val="nil"/>
              <w:right w:val="nil"/>
            </w:tcBorders>
          </w:tcPr>
          <w:p w14:paraId="00D0A3B4" w14:textId="77777777" w:rsidR="00CF0E2D" w:rsidRPr="00C52448" w:rsidRDefault="00CF0E2D" w:rsidP="00A60D4B">
            <w:pPr>
              <w:pStyle w:val="Btablefigureunbold"/>
              <w:rPr>
                <w:szCs w:val="20"/>
              </w:rPr>
            </w:pPr>
            <w:r w:rsidRPr="00C52448">
              <w:rPr>
                <w:rFonts w:cs="Calibri"/>
                <w:color w:val="000000"/>
                <w:szCs w:val="20"/>
              </w:rPr>
              <w:t>3,750</w:t>
            </w:r>
          </w:p>
        </w:tc>
        <w:tc>
          <w:tcPr>
            <w:tcW w:w="964" w:type="dxa"/>
            <w:gridSpan w:val="2"/>
            <w:tcBorders>
              <w:top w:val="nil"/>
              <w:left w:val="nil"/>
              <w:bottom w:val="nil"/>
              <w:right w:val="nil"/>
            </w:tcBorders>
          </w:tcPr>
          <w:p w14:paraId="5F24D5C7" w14:textId="77777777" w:rsidR="00CF0E2D" w:rsidRPr="00C52448" w:rsidRDefault="00CF0E2D" w:rsidP="00A60D4B">
            <w:pPr>
              <w:pStyle w:val="Btablefigureunbold"/>
              <w:rPr>
                <w:szCs w:val="20"/>
              </w:rPr>
            </w:pPr>
            <w:r w:rsidRPr="00C52448">
              <w:rPr>
                <w:rFonts w:cs="Calibri"/>
                <w:color w:val="000000"/>
                <w:szCs w:val="20"/>
              </w:rPr>
              <w:t>3,750</w:t>
            </w:r>
          </w:p>
        </w:tc>
        <w:tc>
          <w:tcPr>
            <w:tcW w:w="964" w:type="dxa"/>
            <w:gridSpan w:val="2"/>
            <w:tcBorders>
              <w:top w:val="nil"/>
              <w:left w:val="nil"/>
              <w:bottom w:val="nil"/>
              <w:right w:val="nil"/>
            </w:tcBorders>
          </w:tcPr>
          <w:p w14:paraId="232A25A3" w14:textId="77777777" w:rsidR="00CF0E2D" w:rsidRPr="00C52448" w:rsidRDefault="00CF0E2D" w:rsidP="00A60D4B">
            <w:pPr>
              <w:pStyle w:val="Btablefigureunbold"/>
              <w:rPr>
                <w:szCs w:val="20"/>
              </w:rPr>
            </w:pPr>
            <w:r w:rsidRPr="00C52448">
              <w:rPr>
                <w:rFonts w:cs="Calibri"/>
                <w:color w:val="000000"/>
                <w:szCs w:val="20"/>
              </w:rPr>
              <w:t>3,750</w:t>
            </w:r>
          </w:p>
        </w:tc>
        <w:tc>
          <w:tcPr>
            <w:tcW w:w="964" w:type="dxa"/>
            <w:gridSpan w:val="2"/>
            <w:tcBorders>
              <w:top w:val="nil"/>
              <w:left w:val="nil"/>
              <w:bottom w:val="nil"/>
              <w:right w:val="nil"/>
            </w:tcBorders>
          </w:tcPr>
          <w:p w14:paraId="22F2A433" w14:textId="77777777" w:rsidR="00CF0E2D" w:rsidRPr="00C52448" w:rsidRDefault="00CF0E2D" w:rsidP="00A60D4B">
            <w:pPr>
              <w:pStyle w:val="Btablefigureunbold"/>
              <w:rPr>
                <w:szCs w:val="20"/>
              </w:rPr>
            </w:pPr>
            <w:r w:rsidRPr="00C52448">
              <w:rPr>
                <w:rFonts w:cs="Calibri"/>
                <w:color w:val="000000"/>
                <w:szCs w:val="20"/>
              </w:rPr>
              <w:t>3,750</w:t>
            </w:r>
          </w:p>
        </w:tc>
        <w:tc>
          <w:tcPr>
            <w:tcW w:w="954" w:type="dxa"/>
            <w:gridSpan w:val="2"/>
            <w:tcBorders>
              <w:top w:val="nil"/>
              <w:left w:val="nil"/>
              <w:bottom w:val="nil"/>
              <w:right w:val="nil"/>
            </w:tcBorders>
          </w:tcPr>
          <w:p w14:paraId="51920507" w14:textId="77777777" w:rsidR="00CF0E2D" w:rsidRPr="00C52448" w:rsidRDefault="00CF0E2D" w:rsidP="00A60D4B">
            <w:pPr>
              <w:pStyle w:val="Btablefigureunbold"/>
              <w:rPr>
                <w:b/>
                <w:bCs/>
                <w:szCs w:val="20"/>
              </w:rPr>
            </w:pPr>
            <w:r w:rsidRPr="00C52448">
              <w:rPr>
                <w:rFonts w:cs="Calibri"/>
                <w:b/>
                <w:bCs/>
                <w:color w:val="000000"/>
                <w:szCs w:val="20"/>
              </w:rPr>
              <w:t>15,000</w:t>
            </w:r>
          </w:p>
        </w:tc>
      </w:tr>
      <w:tr w:rsidR="00CF0E2D" w:rsidRPr="00D60558" w14:paraId="368BEECC" w14:textId="77777777" w:rsidTr="00387F31">
        <w:trPr>
          <w:gridAfter w:val="1"/>
          <w:wAfter w:w="9" w:type="dxa"/>
          <w:trHeight w:val="737"/>
          <w:jc w:val="center"/>
        </w:trPr>
        <w:tc>
          <w:tcPr>
            <w:tcW w:w="3355" w:type="dxa"/>
            <w:tcBorders>
              <w:top w:val="nil"/>
              <w:left w:val="nil"/>
              <w:bottom w:val="nil"/>
              <w:right w:val="nil"/>
            </w:tcBorders>
            <w:vAlign w:val="bottom"/>
          </w:tcPr>
          <w:p w14:paraId="79D2BF65" w14:textId="77777777" w:rsidR="00CF0E2D" w:rsidRPr="00637CB1" w:rsidRDefault="00CF0E2D" w:rsidP="00A60D4B">
            <w:pPr>
              <w:pStyle w:val="Btabletextunbold"/>
              <w:rPr>
                <w:b/>
                <w:bCs/>
                <w:szCs w:val="20"/>
              </w:rPr>
            </w:pPr>
            <w:r w:rsidRPr="00637CB1">
              <w:rPr>
                <w:b/>
                <w:bCs/>
                <w:szCs w:val="20"/>
              </w:rPr>
              <w:t>Environment, Planning and Sustainable Development Directorate</w:t>
            </w:r>
          </w:p>
        </w:tc>
        <w:tc>
          <w:tcPr>
            <w:tcW w:w="1093" w:type="dxa"/>
            <w:tcBorders>
              <w:top w:val="nil"/>
              <w:left w:val="nil"/>
              <w:bottom w:val="nil"/>
              <w:right w:val="nil"/>
            </w:tcBorders>
          </w:tcPr>
          <w:p w14:paraId="2505849F" w14:textId="77777777" w:rsidR="00CF0E2D" w:rsidRPr="00D60558"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5FBD9636"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07387647"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1C1E4169"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4FC014C9" w14:textId="77777777" w:rsidR="00CF0E2D" w:rsidRPr="00D60558" w:rsidRDefault="00CF0E2D" w:rsidP="00A60D4B">
            <w:pPr>
              <w:pStyle w:val="Btablefigureunbold"/>
              <w:rPr>
                <w:szCs w:val="20"/>
              </w:rPr>
            </w:pPr>
          </w:p>
        </w:tc>
        <w:tc>
          <w:tcPr>
            <w:tcW w:w="954" w:type="dxa"/>
            <w:gridSpan w:val="2"/>
            <w:tcBorders>
              <w:top w:val="nil"/>
              <w:left w:val="nil"/>
              <w:bottom w:val="nil"/>
              <w:right w:val="nil"/>
            </w:tcBorders>
          </w:tcPr>
          <w:p w14:paraId="16EA5357" w14:textId="77777777" w:rsidR="00CF0E2D" w:rsidRPr="00D60558" w:rsidRDefault="00CF0E2D" w:rsidP="00A60D4B">
            <w:pPr>
              <w:pStyle w:val="Btablefigureunbold"/>
              <w:rPr>
                <w:b/>
                <w:bCs/>
                <w:szCs w:val="20"/>
              </w:rPr>
            </w:pPr>
          </w:p>
        </w:tc>
      </w:tr>
      <w:tr w:rsidR="00CF0E2D" w:rsidRPr="00D60558" w14:paraId="75194727" w14:textId="77777777" w:rsidTr="00A60D4B">
        <w:trPr>
          <w:gridAfter w:val="1"/>
          <w:wAfter w:w="9" w:type="dxa"/>
          <w:jc w:val="center"/>
        </w:trPr>
        <w:tc>
          <w:tcPr>
            <w:tcW w:w="3355" w:type="dxa"/>
            <w:tcBorders>
              <w:top w:val="nil"/>
              <w:left w:val="nil"/>
              <w:bottom w:val="nil"/>
              <w:right w:val="nil"/>
            </w:tcBorders>
          </w:tcPr>
          <w:p w14:paraId="3154D8CF" w14:textId="77777777" w:rsidR="00CF0E2D" w:rsidRPr="00637CB1" w:rsidRDefault="00CF0E2D" w:rsidP="00A60D4B">
            <w:pPr>
              <w:pStyle w:val="Btabletextunbold"/>
              <w:rPr>
                <w:szCs w:val="20"/>
              </w:rPr>
            </w:pPr>
            <w:r>
              <w:rPr>
                <w:rFonts w:cs="Calibri"/>
                <w:color w:val="000000"/>
                <w:szCs w:val="20"/>
              </w:rPr>
              <w:t>Backing our Arts and Entertainment</w:t>
            </w:r>
            <w:r w:rsidRPr="00637CB1">
              <w:rPr>
                <w:rFonts w:cs="Calibri"/>
                <w:color w:val="000000"/>
                <w:szCs w:val="20"/>
              </w:rPr>
              <w:t xml:space="preserve"> – Establishing entertainment precincts</w:t>
            </w:r>
          </w:p>
        </w:tc>
        <w:tc>
          <w:tcPr>
            <w:tcW w:w="1093" w:type="dxa"/>
            <w:tcBorders>
              <w:top w:val="nil"/>
              <w:left w:val="nil"/>
              <w:bottom w:val="nil"/>
              <w:right w:val="nil"/>
            </w:tcBorders>
          </w:tcPr>
          <w:p w14:paraId="1F0E48BB"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0208E503" w14:textId="77777777" w:rsidR="00CF0E2D" w:rsidRPr="00C52448" w:rsidRDefault="00CF0E2D" w:rsidP="00A60D4B">
            <w:pPr>
              <w:pStyle w:val="Btablefigureunbold"/>
              <w:rPr>
                <w:rFonts w:cs="Calibri"/>
                <w:color w:val="000000"/>
                <w:szCs w:val="20"/>
              </w:rPr>
            </w:pPr>
            <w:r w:rsidRPr="00C52448">
              <w:rPr>
                <w:rFonts w:cs="Calibri"/>
                <w:color w:val="000000"/>
                <w:szCs w:val="20"/>
              </w:rPr>
              <w:t>150</w:t>
            </w:r>
          </w:p>
        </w:tc>
        <w:tc>
          <w:tcPr>
            <w:tcW w:w="964" w:type="dxa"/>
            <w:gridSpan w:val="2"/>
            <w:tcBorders>
              <w:top w:val="nil"/>
              <w:left w:val="nil"/>
              <w:bottom w:val="nil"/>
              <w:right w:val="nil"/>
            </w:tcBorders>
          </w:tcPr>
          <w:p w14:paraId="2A46449C" w14:textId="77777777" w:rsidR="00CF0E2D" w:rsidRPr="00C52448" w:rsidRDefault="00CF0E2D" w:rsidP="00A60D4B">
            <w:pPr>
              <w:pStyle w:val="Btablefigureunbold"/>
              <w:rPr>
                <w:rFonts w:cs="Calibri"/>
                <w:color w:val="000000"/>
                <w:szCs w:val="20"/>
              </w:rPr>
            </w:pPr>
            <w:r w:rsidRPr="00C52448">
              <w:rPr>
                <w:rFonts w:cs="Calibri"/>
                <w:color w:val="000000"/>
                <w:szCs w:val="20"/>
              </w:rPr>
              <w:t>100</w:t>
            </w:r>
          </w:p>
        </w:tc>
        <w:tc>
          <w:tcPr>
            <w:tcW w:w="964" w:type="dxa"/>
            <w:gridSpan w:val="2"/>
            <w:tcBorders>
              <w:top w:val="nil"/>
              <w:left w:val="nil"/>
              <w:bottom w:val="nil"/>
              <w:right w:val="nil"/>
            </w:tcBorders>
          </w:tcPr>
          <w:p w14:paraId="64C2E811" w14:textId="77777777" w:rsidR="00CF0E2D" w:rsidRPr="00C52448" w:rsidRDefault="00CF0E2D" w:rsidP="00A60D4B">
            <w:pPr>
              <w:pStyle w:val="Btablefigureunbold"/>
              <w:rPr>
                <w:rFonts w:cs="Calibri"/>
                <w:color w:val="000000"/>
                <w:szCs w:val="20"/>
              </w:rPr>
            </w:pPr>
            <w:r w:rsidRPr="00C52448">
              <w:rPr>
                <w:rFonts w:cs="Calibri"/>
                <w:color w:val="000000"/>
                <w:szCs w:val="20"/>
              </w:rPr>
              <w:t>0</w:t>
            </w:r>
          </w:p>
        </w:tc>
        <w:tc>
          <w:tcPr>
            <w:tcW w:w="964" w:type="dxa"/>
            <w:gridSpan w:val="2"/>
            <w:tcBorders>
              <w:top w:val="nil"/>
              <w:left w:val="nil"/>
              <w:bottom w:val="nil"/>
              <w:right w:val="nil"/>
            </w:tcBorders>
          </w:tcPr>
          <w:p w14:paraId="244DCB64" w14:textId="77777777" w:rsidR="00CF0E2D" w:rsidRPr="00C52448" w:rsidRDefault="00CF0E2D" w:rsidP="00A60D4B">
            <w:pPr>
              <w:pStyle w:val="Btablefigureunbold"/>
              <w:rPr>
                <w:rFonts w:cs="Calibri"/>
                <w:color w:val="000000"/>
                <w:szCs w:val="20"/>
              </w:rPr>
            </w:pPr>
            <w:r w:rsidRPr="00C52448">
              <w:rPr>
                <w:rFonts w:cs="Calibri"/>
                <w:color w:val="000000"/>
                <w:szCs w:val="20"/>
              </w:rPr>
              <w:t>0</w:t>
            </w:r>
          </w:p>
        </w:tc>
        <w:tc>
          <w:tcPr>
            <w:tcW w:w="954" w:type="dxa"/>
            <w:gridSpan w:val="2"/>
            <w:tcBorders>
              <w:top w:val="nil"/>
              <w:left w:val="nil"/>
              <w:bottom w:val="nil"/>
              <w:right w:val="nil"/>
            </w:tcBorders>
          </w:tcPr>
          <w:p w14:paraId="57806E6E" w14:textId="77777777" w:rsidR="00CF0E2D" w:rsidRPr="00C52448" w:rsidRDefault="00CF0E2D" w:rsidP="00A60D4B">
            <w:pPr>
              <w:pStyle w:val="Btablefigureunbold"/>
              <w:rPr>
                <w:rFonts w:cs="Calibri"/>
                <w:b/>
                <w:bCs/>
                <w:color w:val="000000"/>
                <w:szCs w:val="20"/>
              </w:rPr>
            </w:pPr>
            <w:r w:rsidRPr="00C52448">
              <w:rPr>
                <w:rFonts w:cs="Calibri"/>
                <w:b/>
                <w:bCs/>
                <w:color w:val="000000"/>
                <w:szCs w:val="20"/>
              </w:rPr>
              <w:t>250</w:t>
            </w:r>
          </w:p>
        </w:tc>
      </w:tr>
      <w:tr w:rsidR="00CF0E2D" w:rsidRPr="00D60558" w14:paraId="31ADC0E3" w14:textId="77777777" w:rsidTr="00A60D4B">
        <w:trPr>
          <w:gridAfter w:val="1"/>
          <w:wAfter w:w="9" w:type="dxa"/>
          <w:jc w:val="center"/>
        </w:trPr>
        <w:tc>
          <w:tcPr>
            <w:tcW w:w="3355" w:type="dxa"/>
            <w:tcBorders>
              <w:top w:val="nil"/>
              <w:left w:val="nil"/>
              <w:bottom w:val="nil"/>
              <w:right w:val="nil"/>
            </w:tcBorders>
          </w:tcPr>
          <w:p w14:paraId="65CB9129" w14:textId="77777777" w:rsidR="00CF0E2D" w:rsidRPr="00D50D14" w:rsidRDefault="00CF0E2D" w:rsidP="00A60D4B">
            <w:pPr>
              <w:pStyle w:val="Btabletextunbold"/>
              <w:rPr>
                <w:rFonts w:cs="Calibri"/>
                <w:i/>
                <w:iCs/>
                <w:color w:val="000000"/>
                <w:szCs w:val="20"/>
              </w:rPr>
            </w:pPr>
            <w:r w:rsidRPr="00D50D14">
              <w:rPr>
                <w:rFonts w:cs="Calibri"/>
                <w:i/>
                <w:iCs/>
                <w:color w:val="000000"/>
                <w:szCs w:val="20"/>
              </w:rPr>
              <w:t>Climate action</w:t>
            </w:r>
          </w:p>
        </w:tc>
        <w:tc>
          <w:tcPr>
            <w:tcW w:w="1093" w:type="dxa"/>
            <w:tcBorders>
              <w:top w:val="nil"/>
              <w:left w:val="nil"/>
              <w:bottom w:val="nil"/>
              <w:right w:val="nil"/>
            </w:tcBorders>
          </w:tcPr>
          <w:p w14:paraId="4D8CC49C" w14:textId="77777777" w:rsidR="00CF0E2D"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2C5F7209" w14:textId="77777777" w:rsidR="00CF0E2D" w:rsidRPr="00C52448"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64A6832E" w14:textId="77777777" w:rsidR="00CF0E2D" w:rsidRPr="00C52448"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63037997" w14:textId="77777777" w:rsidR="00CF0E2D" w:rsidRPr="00C52448" w:rsidRDefault="00CF0E2D" w:rsidP="00A60D4B">
            <w:pPr>
              <w:pStyle w:val="Btablefigureunbold"/>
              <w:rPr>
                <w:rFonts w:cs="Calibri"/>
                <w:color w:val="000000"/>
                <w:szCs w:val="20"/>
              </w:rPr>
            </w:pPr>
          </w:p>
        </w:tc>
        <w:tc>
          <w:tcPr>
            <w:tcW w:w="964" w:type="dxa"/>
            <w:gridSpan w:val="2"/>
            <w:tcBorders>
              <w:top w:val="nil"/>
              <w:left w:val="nil"/>
              <w:bottom w:val="nil"/>
              <w:right w:val="nil"/>
            </w:tcBorders>
          </w:tcPr>
          <w:p w14:paraId="175C75B1" w14:textId="77777777" w:rsidR="00CF0E2D" w:rsidRPr="00C52448" w:rsidRDefault="00CF0E2D" w:rsidP="00A60D4B">
            <w:pPr>
              <w:pStyle w:val="Btablefigureunbold"/>
              <w:rPr>
                <w:rFonts w:cs="Calibri"/>
                <w:color w:val="000000"/>
                <w:szCs w:val="20"/>
              </w:rPr>
            </w:pPr>
          </w:p>
        </w:tc>
        <w:tc>
          <w:tcPr>
            <w:tcW w:w="954" w:type="dxa"/>
            <w:gridSpan w:val="2"/>
            <w:tcBorders>
              <w:top w:val="nil"/>
              <w:left w:val="nil"/>
              <w:bottom w:val="nil"/>
              <w:right w:val="nil"/>
            </w:tcBorders>
          </w:tcPr>
          <w:p w14:paraId="511BC6FD" w14:textId="77777777" w:rsidR="00CF0E2D" w:rsidRPr="00C52448" w:rsidRDefault="00CF0E2D" w:rsidP="00A60D4B">
            <w:pPr>
              <w:pStyle w:val="Btablefigureunbold"/>
              <w:rPr>
                <w:rFonts w:cs="Calibri"/>
                <w:b/>
                <w:bCs/>
                <w:color w:val="000000"/>
                <w:szCs w:val="20"/>
              </w:rPr>
            </w:pPr>
          </w:p>
        </w:tc>
      </w:tr>
      <w:tr w:rsidR="00CF0E2D" w:rsidRPr="00D60558" w14:paraId="4E55FB9C" w14:textId="77777777" w:rsidTr="00A60D4B">
        <w:trPr>
          <w:gridAfter w:val="1"/>
          <w:wAfter w:w="9" w:type="dxa"/>
          <w:jc w:val="center"/>
        </w:trPr>
        <w:tc>
          <w:tcPr>
            <w:tcW w:w="3355" w:type="dxa"/>
            <w:tcBorders>
              <w:top w:val="nil"/>
              <w:left w:val="nil"/>
              <w:bottom w:val="nil"/>
              <w:right w:val="nil"/>
            </w:tcBorders>
          </w:tcPr>
          <w:p w14:paraId="71CD8A4C" w14:textId="77777777" w:rsidR="00CF0E2D" w:rsidRPr="00637CB1" w:rsidRDefault="00CF0E2D" w:rsidP="00A60D4B">
            <w:pPr>
              <w:pStyle w:val="Btabletextunbold"/>
              <w:rPr>
                <w:szCs w:val="20"/>
              </w:rPr>
            </w:pPr>
            <w:r w:rsidRPr="00637CB1">
              <w:rPr>
                <w:rFonts w:cs="Calibri"/>
                <w:color w:val="000000"/>
                <w:szCs w:val="20"/>
              </w:rPr>
              <w:t>– Adaptation and resilience</w:t>
            </w:r>
          </w:p>
        </w:tc>
        <w:tc>
          <w:tcPr>
            <w:tcW w:w="1093" w:type="dxa"/>
            <w:tcBorders>
              <w:top w:val="nil"/>
              <w:left w:val="nil"/>
              <w:bottom w:val="nil"/>
              <w:right w:val="nil"/>
            </w:tcBorders>
          </w:tcPr>
          <w:p w14:paraId="753F6A89"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1CE6FD63" w14:textId="77777777" w:rsidR="00CF0E2D" w:rsidRPr="00C52448" w:rsidRDefault="00CF0E2D" w:rsidP="00A60D4B">
            <w:pPr>
              <w:pStyle w:val="Btablefigureunbold"/>
              <w:rPr>
                <w:rFonts w:cs="Calibri"/>
                <w:color w:val="000000"/>
                <w:szCs w:val="20"/>
              </w:rPr>
            </w:pPr>
            <w:r w:rsidRPr="00C52448">
              <w:rPr>
                <w:rFonts w:cs="Calibri"/>
                <w:color w:val="000000"/>
                <w:szCs w:val="20"/>
              </w:rPr>
              <w:t>699</w:t>
            </w:r>
          </w:p>
        </w:tc>
        <w:tc>
          <w:tcPr>
            <w:tcW w:w="964" w:type="dxa"/>
            <w:gridSpan w:val="2"/>
            <w:tcBorders>
              <w:top w:val="nil"/>
              <w:left w:val="nil"/>
              <w:bottom w:val="nil"/>
              <w:right w:val="nil"/>
            </w:tcBorders>
          </w:tcPr>
          <w:p w14:paraId="64937CEE" w14:textId="77777777" w:rsidR="00CF0E2D" w:rsidRPr="00C52448" w:rsidRDefault="00CF0E2D" w:rsidP="00A60D4B">
            <w:pPr>
              <w:pStyle w:val="Btablefigureunbold"/>
              <w:rPr>
                <w:rFonts w:cs="Calibri"/>
                <w:color w:val="000000"/>
                <w:szCs w:val="20"/>
              </w:rPr>
            </w:pPr>
            <w:r w:rsidRPr="00C52448">
              <w:rPr>
                <w:rFonts w:cs="Calibri"/>
                <w:color w:val="000000"/>
                <w:szCs w:val="20"/>
              </w:rPr>
              <w:t>857</w:t>
            </w:r>
          </w:p>
        </w:tc>
        <w:tc>
          <w:tcPr>
            <w:tcW w:w="964" w:type="dxa"/>
            <w:gridSpan w:val="2"/>
            <w:tcBorders>
              <w:top w:val="nil"/>
              <w:left w:val="nil"/>
              <w:bottom w:val="nil"/>
              <w:right w:val="nil"/>
            </w:tcBorders>
          </w:tcPr>
          <w:p w14:paraId="092C989F" w14:textId="77777777" w:rsidR="00CF0E2D" w:rsidRPr="00C52448" w:rsidRDefault="00CF0E2D" w:rsidP="00A60D4B">
            <w:pPr>
              <w:pStyle w:val="Btablefigureunbold"/>
              <w:rPr>
                <w:rFonts w:cs="Calibri"/>
                <w:color w:val="000000"/>
                <w:szCs w:val="20"/>
              </w:rPr>
            </w:pPr>
            <w:r w:rsidRPr="00C52448">
              <w:rPr>
                <w:rFonts w:cs="Calibri"/>
                <w:color w:val="000000"/>
                <w:szCs w:val="20"/>
              </w:rPr>
              <w:t>466</w:t>
            </w:r>
          </w:p>
        </w:tc>
        <w:tc>
          <w:tcPr>
            <w:tcW w:w="964" w:type="dxa"/>
            <w:gridSpan w:val="2"/>
            <w:tcBorders>
              <w:top w:val="nil"/>
              <w:left w:val="nil"/>
              <w:bottom w:val="nil"/>
              <w:right w:val="nil"/>
            </w:tcBorders>
          </w:tcPr>
          <w:p w14:paraId="0EE7BD4B" w14:textId="77777777" w:rsidR="00CF0E2D" w:rsidRPr="00C52448" w:rsidRDefault="00CF0E2D" w:rsidP="00A60D4B">
            <w:pPr>
              <w:pStyle w:val="Btablefigureunbold"/>
              <w:rPr>
                <w:rFonts w:cs="Calibri"/>
                <w:color w:val="000000"/>
                <w:szCs w:val="20"/>
              </w:rPr>
            </w:pPr>
            <w:r w:rsidRPr="00C52448">
              <w:rPr>
                <w:rFonts w:cs="Calibri"/>
                <w:color w:val="000000"/>
                <w:szCs w:val="20"/>
              </w:rPr>
              <w:t>475</w:t>
            </w:r>
          </w:p>
        </w:tc>
        <w:tc>
          <w:tcPr>
            <w:tcW w:w="954" w:type="dxa"/>
            <w:gridSpan w:val="2"/>
            <w:tcBorders>
              <w:top w:val="nil"/>
              <w:left w:val="nil"/>
              <w:bottom w:val="nil"/>
              <w:right w:val="nil"/>
            </w:tcBorders>
          </w:tcPr>
          <w:p w14:paraId="6B559C31" w14:textId="77777777" w:rsidR="00CF0E2D" w:rsidRPr="00C52448" w:rsidRDefault="00CF0E2D" w:rsidP="00A60D4B">
            <w:pPr>
              <w:pStyle w:val="Btablefigureunbold"/>
              <w:rPr>
                <w:rFonts w:cs="Calibri"/>
                <w:b/>
                <w:bCs/>
                <w:color w:val="000000"/>
                <w:szCs w:val="20"/>
              </w:rPr>
            </w:pPr>
            <w:r w:rsidRPr="00C52448">
              <w:rPr>
                <w:rFonts w:cs="Calibri"/>
                <w:b/>
                <w:bCs/>
                <w:color w:val="000000"/>
                <w:szCs w:val="20"/>
              </w:rPr>
              <w:t>2,497</w:t>
            </w:r>
          </w:p>
        </w:tc>
      </w:tr>
      <w:tr w:rsidR="00CF0E2D" w:rsidRPr="00D60558" w14:paraId="6B48449E" w14:textId="77777777" w:rsidTr="00A60D4B">
        <w:trPr>
          <w:gridAfter w:val="1"/>
          <w:wAfter w:w="9" w:type="dxa"/>
          <w:jc w:val="center"/>
        </w:trPr>
        <w:tc>
          <w:tcPr>
            <w:tcW w:w="3355" w:type="dxa"/>
            <w:tcBorders>
              <w:top w:val="nil"/>
              <w:left w:val="nil"/>
              <w:bottom w:val="nil"/>
              <w:right w:val="nil"/>
            </w:tcBorders>
          </w:tcPr>
          <w:p w14:paraId="53A27A98" w14:textId="77777777" w:rsidR="00CF0E2D" w:rsidRPr="00637CB1" w:rsidRDefault="00CF0E2D" w:rsidP="00A60D4B">
            <w:pPr>
              <w:pStyle w:val="Btabletextunbold"/>
              <w:rPr>
                <w:szCs w:val="20"/>
              </w:rPr>
            </w:pPr>
            <w:r w:rsidRPr="00637CB1">
              <w:rPr>
                <w:rFonts w:cs="Calibri"/>
                <w:color w:val="000000"/>
                <w:szCs w:val="20"/>
              </w:rPr>
              <w:t xml:space="preserve">– Community Clubs Building Energy Efficiency Fund – continuation </w:t>
            </w:r>
          </w:p>
        </w:tc>
        <w:tc>
          <w:tcPr>
            <w:tcW w:w="1093" w:type="dxa"/>
            <w:tcBorders>
              <w:top w:val="nil"/>
              <w:left w:val="nil"/>
              <w:bottom w:val="nil"/>
              <w:right w:val="nil"/>
            </w:tcBorders>
          </w:tcPr>
          <w:p w14:paraId="1B45FAC7"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66B26ACC" w14:textId="77777777" w:rsidR="00CF0E2D" w:rsidRPr="00C52448" w:rsidRDefault="00CF0E2D" w:rsidP="00A60D4B">
            <w:pPr>
              <w:pStyle w:val="Btablefigureunbold"/>
              <w:rPr>
                <w:rFonts w:cs="Calibri"/>
                <w:color w:val="000000"/>
                <w:szCs w:val="20"/>
              </w:rPr>
            </w:pPr>
            <w:r w:rsidRPr="00C52448">
              <w:rPr>
                <w:rFonts w:cs="Calibri"/>
                <w:color w:val="000000"/>
                <w:szCs w:val="20"/>
              </w:rPr>
              <w:t>-632</w:t>
            </w:r>
          </w:p>
        </w:tc>
        <w:tc>
          <w:tcPr>
            <w:tcW w:w="964" w:type="dxa"/>
            <w:gridSpan w:val="2"/>
            <w:tcBorders>
              <w:top w:val="nil"/>
              <w:left w:val="nil"/>
              <w:bottom w:val="nil"/>
              <w:right w:val="nil"/>
            </w:tcBorders>
          </w:tcPr>
          <w:p w14:paraId="65B81163" w14:textId="77777777" w:rsidR="00CF0E2D" w:rsidRPr="00C52448" w:rsidRDefault="00CF0E2D" w:rsidP="00A60D4B">
            <w:pPr>
              <w:pStyle w:val="Btablefigureunbold"/>
              <w:rPr>
                <w:rFonts w:cs="Calibri"/>
                <w:color w:val="000000"/>
                <w:szCs w:val="20"/>
              </w:rPr>
            </w:pPr>
            <w:r w:rsidRPr="00C52448">
              <w:rPr>
                <w:rFonts w:cs="Calibri"/>
                <w:color w:val="000000"/>
                <w:szCs w:val="20"/>
              </w:rPr>
              <w:t>-632</w:t>
            </w:r>
          </w:p>
        </w:tc>
        <w:tc>
          <w:tcPr>
            <w:tcW w:w="964" w:type="dxa"/>
            <w:gridSpan w:val="2"/>
            <w:tcBorders>
              <w:top w:val="nil"/>
              <w:left w:val="nil"/>
              <w:bottom w:val="nil"/>
              <w:right w:val="nil"/>
            </w:tcBorders>
          </w:tcPr>
          <w:p w14:paraId="617FF7C7" w14:textId="77777777" w:rsidR="00CF0E2D" w:rsidRPr="00C52448" w:rsidRDefault="00CF0E2D" w:rsidP="00A60D4B">
            <w:pPr>
              <w:pStyle w:val="Btablefigureunbold"/>
              <w:rPr>
                <w:rFonts w:cs="Calibri"/>
                <w:color w:val="000000"/>
                <w:szCs w:val="20"/>
              </w:rPr>
            </w:pPr>
            <w:r w:rsidRPr="00C52448">
              <w:rPr>
                <w:rFonts w:cs="Calibri"/>
                <w:color w:val="000000"/>
                <w:szCs w:val="20"/>
              </w:rPr>
              <w:t>-631</w:t>
            </w:r>
          </w:p>
        </w:tc>
        <w:tc>
          <w:tcPr>
            <w:tcW w:w="964" w:type="dxa"/>
            <w:gridSpan w:val="2"/>
            <w:tcBorders>
              <w:top w:val="nil"/>
              <w:left w:val="nil"/>
              <w:bottom w:val="nil"/>
              <w:right w:val="nil"/>
            </w:tcBorders>
          </w:tcPr>
          <w:p w14:paraId="05516DF4" w14:textId="77777777" w:rsidR="00CF0E2D" w:rsidRPr="00C52448" w:rsidRDefault="00CF0E2D" w:rsidP="00A60D4B">
            <w:pPr>
              <w:pStyle w:val="Btablefigureunbold"/>
              <w:rPr>
                <w:rFonts w:cs="Calibri"/>
                <w:color w:val="000000"/>
                <w:szCs w:val="20"/>
              </w:rPr>
            </w:pPr>
            <w:r w:rsidRPr="00C52448">
              <w:rPr>
                <w:rFonts w:cs="Calibri"/>
                <w:color w:val="000000"/>
                <w:szCs w:val="20"/>
              </w:rPr>
              <w:t>-631</w:t>
            </w:r>
          </w:p>
        </w:tc>
        <w:tc>
          <w:tcPr>
            <w:tcW w:w="954" w:type="dxa"/>
            <w:gridSpan w:val="2"/>
            <w:tcBorders>
              <w:top w:val="nil"/>
              <w:left w:val="nil"/>
              <w:bottom w:val="nil"/>
              <w:right w:val="nil"/>
            </w:tcBorders>
          </w:tcPr>
          <w:p w14:paraId="1FF3E942" w14:textId="77777777" w:rsidR="00CF0E2D" w:rsidRPr="00C52448" w:rsidRDefault="00CF0E2D" w:rsidP="00A60D4B">
            <w:pPr>
              <w:pStyle w:val="Btablefigureunbold"/>
              <w:rPr>
                <w:rFonts w:cs="Calibri"/>
                <w:b/>
                <w:bCs/>
                <w:color w:val="000000"/>
                <w:szCs w:val="20"/>
              </w:rPr>
            </w:pPr>
            <w:r w:rsidRPr="00C52448">
              <w:rPr>
                <w:rFonts w:cs="Calibri"/>
                <w:b/>
                <w:bCs/>
                <w:color w:val="000000"/>
                <w:szCs w:val="20"/>
              </w:rPr>
              <w:t>-2,526</w:t>
            </w:r>
          </w:p>
        </w:tc>
      </w:tr>
      <w:tr w:rsidR="00CF0E2D" w:rsidRPr="00D60558" w14:paraId="4471417F" w14:textId="77777777" w:rsidTr="00A60D4B">
        <w:trPr>
          <w:gridAfter w:val="1"/>
          <w:wAfter w:w="9" w:type="dxa"/>
          <w:jc w:val="center"/>
        </w:trPr>
        <w:tc>
          <w:tcPr>
            <w:tcW w:w="3355" w:type="dxa"/>
            <w:tcBorders>
              <w:top w:val="nil"/>
              <w:left w:val="nil"/>
              <w:bottom w:val="nil"/>
              <w:right w:val="nil"/>
            </w:tcBorders>
          </w:tcPr>
          <w:p w14:paraId="4E7D51B7" w14:textId="77777777" w:rsidR="00CF0E2D" w:rsidRPr="00637CB1" w:rsidRDefault="00CF0E2D" w:rsidP="00A60D4B">
            <w:pPr>
              <w:pStyle w:val="Btabletextunbold"/>
              <w:rPr>
                <w:szCs w:val="20"/>
              </w:rPr>
            </w:pPr>
            <w:r w:rsidRPr="00637CB1">
              <w:rPr>
                <w:rFonts w:cs="Calibri"/>
                <w:color w:val="000000"/>
                <w:szCs w:val="20"/>
              </w:rPr>
              <w:t xml:space="preserve">– Community Clubs Building Energy Efficiency Fund – continuation </w:t>
            </w:r>
          </w:p>
        </w:tc>
        <w:tc>
          <w:tcPr>
            <w:tcW w:w="1093" w:type="dxa"/>
            <w:tcBorders>
              <w:top w:val="nil"/>
              <w:left w:val="nil"/>
              <w:bottom w:val="nil"/>
              <w:right w:val="nil"/>
            </w:tcBorders>
          </w:tcPr>
          <w:p w14:paraId="38B4BE1C"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08EE0FD7" w14:textId="77777777" w:rsidR="00CF0E2D" w:rsidRPr="00C52448" w:rsidRDefault="00CF0E2D" w:rsidP="00A60D4B">
            <w:pPr>
              <w:pStyle w:val="Btablefigureunbold"/>
              <w:rPr>
                <w:rFonts w:cs="Calibri"/>
                <w:color w:val="000000"/>
                <w:szCs w:val="20"/>
              </w:rPr>
            </w:pPr>
            <w:r w:rsidRPr="00C52448">
              <w:rPr>
                <w:rFonts w:cs="Calibri"/>
                <w:color w:val="000000"/>
                <w:szCs w:val="20"/>
              </w:rPr>
              <w:t>2,092</w:t>
            </w:r>
          </w:p>
        </w:tc>
        <w:tc>
          <w:tcPr>
            <w:tcW w:w="964" w:type="dxa"/>
            <w:gridSpan w:val="2"/>
            <w:tcBorders>
              <w:top w:val="nil"/>
              <w:left w:val="nil"/>
              <w:bottom w:val="nil"/>
              <w:right w:val="nil"/>
            </w:tcBorders>
          </w:tcPr>
          <w:p w14:paraId="2FE27283" w14:textId="77777777" w:rsidR="00CF0E2D" w:rsidRPr="00C52448" w:rsidRDefault="00CF0E2D" w:rsidP="00A60D4B">
            <w:pPr>
              <w:pStyle w:val="Btablefigureunbold"/>
              <w:rPr>
                <w:rFonts w:cs="Calibri"/>
                <w:color w:val="000000"/>
                <w:szCs w:val="20"/>
              </w:rPr>
            </w:pPr>
            <w:r w:rsidRPr="00C52448">
              <w:rPr>
                <w:rFonts w:cs="Calibri"/>
                <w:color w:val="000000"/>
                <w:szCs w:val="20"/>
              </w:rPr>
              <w:t>129</w:t>
            </w:r>
          </w:p>
        </w:tc>
        <w:tc>
          <w:tcPr>
            <w:tcW w:w="964" w:type="dxa"/>
            <w:gridSpan w:val="2"/>
            <w:tcBorders>
              <w:top w:val="nil"/>
              <w:left w:val="nil"/>
              <w:bottom w:val="nil"/>
              <w:right w:val="nil"/>
            </w:tcBorders>
          </w:tcPr>
          <w:p w14:paraId="1D4FE967" w14:textId="77777777" w:rsidR="00CF0E2D" w:rsidRPr="00C52448" w:rsidRDefault="00CF0E2D" w:rsidP="00A60D4B">
            <w:pPr>
              <w:pStyle w:val="Btablefigureunbold"/>
              <w:rPr>
                <w:rFonts w:cs="Calibri"/>
                <w:color w:val="000000"/>
                <w:szCs w:val="20"/>
              </w:rPr>
            </w:pPr>
            <w:r w:rsidRPr="00C52448">
              <w:rPr>
                <w:rFonts w:cs="Calibri"/>
                <w:color w:val="000000"/>
                <w:szCs w:val="20"/>
              </w:rPr>
              <w:t>178</w:t>
            </w:r>
          </w:p>
        </w:tc>
        <w:tc>
          <w:tcPr>
            <w:tcW w:w="964" w:type="dxa"/>
            <w:gridSpan w:val="2"/>
            <w:tcBorders>
              <w:top w:val="nil"/>
              <w:left w:val="nil"/>
              <w:bottom w:val="nil"/>
              <w:right w:val="nil"/>
            </w:tcBorders>
          </w:tcPr>
          <w:p w14:paraId="1DB9D7C8" w14:textId="77777777" w:rsidR="00CF0E2D" w:rsidRPr="00C52448" w:rsidRDefault="00CF0E2D" w:rsidP="00A60D4B">
            <w:pPr>
              <w:pStyle w:val="Btablefigureunbold"/>
              <w:rPr>
                <w:rFonts w:cs="Calibri"/>
                <w:color w:val="000000"/>
                <w:szCs w:val="20"/>
              </w:rPr>
            </w:pPr>
            <w:r w:rsidRPr="00C52448">
              <w:rPr>
                <w:rFonts w:cs="Calibri"/>
                <w:color w:val="000000"/>
                <w:szCs w:val="20"/>
              </w:rPr>
              <w:t>128</w:t>
            </w:r>
          </w:p>
        </w:tc>
        <w:tc>
          <w:tcPr>
            <w:tcW w:w="954" w:type="dxa"/>
            <w:gridSpan w:val="2"/>
            <w:tcBorders>
              <w:top w:val="nil"/>
              <w:left w:val="nil"/>
              <w:bottom w:val="nil"/>
              <w:right w:val="nil"/>
            </w:tcBorders>
          </w:tcPr>
          <w:p w14:paraId="7D97D271" w14:textId="77777777" w:rsidR="00CF0E2D" w:rsidRPr="00C52448" w:rsidRDefault="00CF0E2D" w:rsidP="00A60D4B">
            <w:pPr>
              <w:pStyle w:val="Btablefigureunbold"/>
              <w:rPr>
                <w:rFonts w:cs="Calibri"/>
                <w:b/>
                <w:bCs/>
                <w:color w:val="000000"/>
                <w:szCs w:val="20"/>
              </w:rPr>
            </w:pPr>
            <w:r w:rsidRPr="00C52448">
              <w:rPr>
                <w:rFonts w:cs="Calibri"/>
                <w:b/>
                <w:bCs/>
                <w:color w:val="000000"/>
                <w:szCs w:val="20"/>
              </w:rPr>
              <w:t>2,527</w:t>
            </w:r>
          </w:p>
        </w:tc>
      </w:tr>
      <w:tr w:rsidR="00CF0E2D" w:rsidRPr="00D60558" w14:paraId="0B2208FE" w14:textId="77777777" w:rsidTr="00A60D4B">
        <w:trPr>
          <w:gridAfter w:val="1"/>
          <w:wAfter w:w="9" w:type="dxa"/>
          <w:jc w:val="center"/>
        </w:trPr>
        <w:tc>
          <w:tcPr>
            <w:tcW w:w="3355" w:type="dxa"/>
            <w:tcBorders>
              <w:top w:val="nil"/>
              <w:left w:val="nil"/>
              <w:bottom w:val="nil"/>
              <w:right w:val="nil"/>
            </w:tcBorders>
          </w:tcPr>
          <w:p w14:paraId="47EA7622" w14:textId="77777777" w:rsidR="00CF0E2D" w:rsidRPr="00637CB1" w:rsidRDefault="00CF0E2D" w:rsidP="00A60D4B">
            <w:pPr>
              <w:pStyle w:val="Btabletextunbold"/>
              <w:rPr>
                <w:szCs w:val="20"/>
              </w:rPr>
            </w:pPr>
            <w:r w:rsidRPr="00637CB1">
              <w:rPr>
                <w:rFonts w:cs="Calibri"/>
                <w:color w:val="000000"/>
                <w:szCs w:val="20"/>
              </w:rPr>
              <w:t>– Community Zero Emissions Grants</w:t>
            </w:r>
          </w:p>
        </w:tc>
        <w:tc>
          <w:tcPr>
            <w:tcW w:w="1093" w:type="dxa"/>
            <w:tcBorders>
              <w:top w:val="nil"/>
              <w:left w:val="nil"/>
              <w:bottom w:val="nil"/>
              <w:right w:val="nil"/>
            </w:tcBorders>
          </w:tcPr>
          <w:p w14:paraId="08C2DDC2"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36C20211" w14:textId="77777777" w:rsidR="00CF0E2D" w:rsidRPr="00C52448" w:rsidRDefault="00CF0E2D" w:rsidP="00A60D4B">
            <w:pPr>
              <w:pStyle w:val="Btablefigureunbold"/>
              <w:rPr>
                <w:rFonts w:cs="Calibri"/>
                <w:color w:val="000000"/>
                <w:szCs w:val="20"/>
              </w:rPr>
            </w:pPr>
            <w:r w:rsidRPr="00C52448">
              <w:rPr>
                <w:rFonts w:cs="Calibri"/>
                <w:color w:val="000000"/>
                <w:szCs w:val="20"/>
              </w:rPr>
              <w:t>150</w:t>
            </w:r>
          </w:p>
        </w:tc>
        <w:tc>
          <w:tcPr>
            <w:tcW w:w="964" w:type="dxa"/>
            <w:gridSpan w:val="2"/>
            <w:tcBorders>
              <w:top w:val="nil"/>
              <w:left w:val="nil"/>
              <w:bottom w:val="nil"/>
              <w:right w:val="nil"/>
            </w:tcBorders>
          </w:tcPr>
          <w:p w14:paraId="4BD60E8E" w14:textId="77777777" w:rsidR="00CF0E2D" w:rsidRPr="00C52448" w:rsidRDefault="00CF0E2D" w:rsidP="00A60D4B">
            <w:pPr>
              <w:pStyle w:val="Btablefigureunbold"/>
              <w:rPr>
                <w:rFonts w:cs="Calibri"/>
                <w:color w:val="000000"/>
                <w:szCs w:val="20"/>
              </w:rPr>
            </w:pPr>
            <w:r w:rsidRPr="00C52448">
              <w:rPr>
                <w:rFonts w:cs="Calibri"/>
                <w:color w:val="000000"/>
                <w:szCs w:val="20"/>
              </w:rPr>
              <w:t>150</w:t>
            </w:r>
          </w:p>
        </w:tc>
        <w:tc>
          <w:tcPr>
            <w:tcW w:w="964" w:type="dxa"/>
            <w:gridSpan w:val="2"/>
            <w:tcBorders>
              <w:top w:val="nil"/>
              <w:left w:val="nil"/>
              <w:bottom w:val="nil"/>
              <w:right w:val="nil"/>
            </w:tcBorders>
          </w:tcPr>
          <w:p w14:paraId="6DF94941" w14:textId="77777777" w:rsidR="00CF0E2D" w:rsidRPr="00C52448" w:rsidRDefault="00CF0E2D" w:rsidP="00A60D4B">
            <w:pPr>
              <w:pStyle w:val="Btablefigureunbold"/>
              <w:rPr>
                <w:rFonts w:cs="Calibri"/>
                <w:color w:val="000000"/>
                <w:szCs w:val="20"/>
              </w:rPr>
            </w:pPr>
            <w:r w:rsidRPr="00C52448">
              <w:rPr>
                <w:rFonts w:cs="Calibri"/>
                <w:color w:val="000000"/>
                <w:szCs w:val="20"/>
              </w:rPr>
              <w:t>150</w:t>
            </w:r>
          </w:p>
        </w:tc>
        <w:tc>
          <w:tcPr>
            <w:tcW w:w="964" w:type="dxa"/>
            <w:gridSpan w:val="2"/>
            <w:tcBorders>
              <w:top w:val="nil"/>
              <w:left w:val="nil"/>
              <w:bottom w:val="nil"/>
              <w:right w:val="nil"/>
            </w:tcBorders>
          </w:tcPr>
          <w:p w14:paraId="0F7C437E" w14:textId="77777777" w:rsidR="00CF0E2D" w:rsidRPr="00C52448" w:rsidRDefault="00CF0E2D" w:rsidP="00A60D4B">
            <w:pPr>
              <w:pStyle w:val="Btablefigureunbold"/>
              <w:rPr>
                <w:rFonts w:cs="Calibri"/>
                <w:color w:val="000000"/>
                <w:szCs w:val="20"/>
              </w:rPr>
            </w:pPr>
            <w:r w:rsidRPr="00C52448">
              <w:rPr>
                <w:rFonts w:cs="Calibri"/>
                <w:color w:val="000000"/>
                <w:szCs w:val="20"/>
              </w:rPr>
              <w:t>150</w:t>
            </w:r>
          </w:p>
        </w:tc>
        <w:tc>
          <w:tcPr>
            <w:tcW w:w="954" w:type="dxa"/>
            <w:gridSpan w:val="2"/>
            <w:tcBorders>
              <w:top w:val="nil"/>
              <w:left w:val="nil"/>
              <w:bottom w:val="nil"/>
              <w:right w:val="nil"/>
            </w:tcBorders>
          </w:tcPr>
          <w:p w14:paraId="2D35FC6F" w14:textId="77777777" w:rsidR="00CF0E2D" w:rsidRPr="00C52448" w:rsidRDefault="00CF0E2D" w:rsidP="00A60D4B">
            <w:pPr>
              <w:pStyle w:val="Btablefigureunbold"/>
              <w:rPr>
                <w:rFonts w:cs="Calibri"/>
                <w:b/>
                <w:bCs/>
                <w:color w:val="000000"/>
                <w:szCs w:val="20"/>
              </w:rPr>
            </w:pPr>
            <w:r w:rsidRPr="00C52448">
              <w:rPr>
                <w:rFonts w:cs="Calibri"/>
                <w:b/>
                <w:bCs/>
                <w:color w:val="000000"/>
                <w:szCs w:val="20"/>
              </w:rPr>
              <w:t>600</w:t>
            </w:r>
          </w:p>
        </w:tc>
      </w:tr>
      <w:tr w:rsidR="00CF0E2D" w:rsidRPr="00D60558" w14:paraId="248B96C3" w14:textId="77777777" w:rsidTr="00A60D4B">
        <w:trPr>
          <w:gridAfter w:val="1"/>
          <w:wAfter w:w="9" w:type="dxa"/>
          <w:jc w:val="center"/>
        </w:trPr>
        <w:tc>
          <w:tcPr>
            <w:tcW w:w="3355" w:type="dxa"/>
            <w:tcBorders>
              <w:top w:val="nil"/>
              <w:left w:val="nil"/>
              <w:bottom w:val="nil"/>
              <w:right w:val="nil"/>
            </w:tcBorders>
          </w:tcPr>
          <w:p w14:paraId="33BFA382" w14:textId="77777777" w:rsidR="00CF0E2D" w:rsidRPr="00637CB1" w:rsidRDefault="00CF0E2D" w:rsidP="00A60D4B">
            <w:pPr>
              <w:pStyle w:val="Btabletextunbold"/>
              <w:rPr>
                <w:szCs w:val="20"/>
              </w:rPr>
            </w:pPr>
            <w:r w:rsidRPr="00C52448">
              <w:rPr>
                <w:rFonts w:cs="Calibri"/>
                <w:color w:val="000000"/>
                <w:szCs w:val="20"/>
              </w:rPr>
              <w:t>– Energy Efficiency Improvement Scheme – continuation</w:t>
            </w:r>
          </w:p>
        </w:tc>
        <w:tc>
          <w:tcPr>
            <w:tcW w:w="1093" w:type="dxa"/>
            <w:tcBorders>
              <w:top w:val="nil"/>
              <w:left w:val="nil"/>
              <w:bottom w:val="nil"/>
              <w:right w:val="nil"/>
            </w:tcBorders>
          </w:tcPr>
          <w:p w14:paraId="59F084A5"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7B1DA6A6" w14:textId="77777777" w:rsidR="00CF0E2D" w:rsidRPr="00C52448" w:rsidRDefault="00CF0E2D" w:rsidP="00A60D4B">
            <w:pPr>
              <w:pStyle w:val="Btablefigureunbold"/>
              <w:rPr>
                <w:szCs w:val="20"/>
              </w:rPr>
            </w:pPr>
            <w:r w:rsidRPr="00C52448">
              <w:rPr>
                <w:szCs w:val="20"/>
              </w:rPr>
              <w:t>0</w:t>
            </w:r>
          </w:p>
        </w:tc>
        <w:tc>
          <w:tcPr>
            <w:tcW w:w="964" w:type="dxa"/>
            <w:gridSpan w:val="2"/>
            <w:tcBorders>
              <w:top w:val="nil"/>
              <w:left w:val="nil"/>
              <w:bottom w:val="nil"/>
              <w:right w:val="nil"/>
            </w:tcBorders>
          </w:tcPr>
          <w:p w14:paraId="3B8F200C" w14:textId="77777777" w:rsidR="00CF0E2D" w:rsidRPr="00C52448" w:rsidRDefault="00CF0E2D" w:rsidP="00A60D4B">
            <w:pPr>
              <w:pStyle w:val="Btablefigureunbold"/>
              <w:rPr>
                <w:szCs w:val="20"/>
              </w:rPr>
            </w:pPr>
            <w:r w:rsidRPr="00C52448">
              <w:rPr>
                <w:szCs w:val="20"/>
              </w:rPr>
              <w:t>0</w:t>
            </w:r>
          </w:p>
        </w:tc>
        <w:tc>
          <w:tcPr>
            <w:tcW w:w="964" w:type="dxa"/>
            <w:gridSpan w:val="2"/>
            <w:tcBorders>
              <w:top w:val="nil"/>
              <w:left w:val="nil"/>
              <w:bottom w:val="nil"/>
              <w:right w:val="nil"/>
            </w:tcBorders>
          </w:tcPr>
          <w:p w14:paraId="7CCD3C01" w14:textId="77777777" w:rsidR="00CF0E2D" w:rsidRPr="00C52448" w:rsidRDefault="00CF0E2D" w:rsidP="00A60D4B">
            <w:pPr>
              <w:pStyle w:val="Btablefigureunbold"/>
              <w:rPr>
                <w:szCs w:val="20"/>
              </w:rPr>
            </w:pPr>
            <w:r w:rsidRPr="00C52448">
              <w:rPr>
                <w:szCs w:val="20"/>
              </w:rPr>
              <w:t>0</w:t>
            </w:r>
          </w:p>
        </w:tc>
        <w:tc>
          <w:tcPr>
            <w:tcW w:w="964" w:type="dxa"/>
            <w:gridSpan w:val="2"/>
            <w:tcBorders>
              <w:top w:val="nil"/>
              <w:left w:val="nil"/>
              <w:bottom w:val="nil"/>
              <w:right w:val="nil"/>
            </w:tcBorders>
          </w:tcPr>
          <w:p w14:paraId="6883F5C9" w14:textId="77777777" w:rsidR="00CF0E2D" w:rsidRPr="00C52448" w:rsidRDefault="00CF0E2D" w:rsidP="00A60D4B">
            <w:pPr>
              <w:pStyle w:val="Btablefigureunbold"/>
              <w:rPr>
                <w:szCs w:val="20"/>
              </w:rPr>
            </w:pPr>
            <w:r w:rsidRPr="00C52448">
              <w:rPr>
                <w:szCs w:val="20"/>
              </w:rPr>
              <w:t>0</w:t>
            </w:r>
          </w:p>
        </w:tc>
        <w:tc>
          <w:tcPr>
            <w:tcW w:w="954" w:type="dxa"/>
            <w:gridSpan w:val="2"/>
            <w:tcBorders>
              <w:top w:val="nil"/>
              <w:left w:val="nil"/>
              <w:bottom w:val="nil"/>
              <w:right w:val="nil"/>
            </w:tcBorders>
          </w:tcPr>
          <w:p w14:paraId="297910F0" w14:textId="77777777" w:rsidR="00CF0E2D" w:rsidRPr="00C52448" w:rsidRDefault="00CF0E2D" w:rsidP="00A60D4B">
            <w:pPr>
              <w:pStyle w:val="Btablefigureunbold"/>
              <w:rPr>
                <w:b/>
                <w:bCs/>
                <w:szCs w:val="20"/>
              </w:rPr>
            </w:pPr>
            <w:r w:rsidRPr="00C52448">
              <w:rPr>
                <w:b/>
                <w:bCs/>
                <w:szCs w:val="20"/>
              </w:rPr>
              <w:t>0</w:t>
            </w:r>
          </w:p>
        </w:tc>
      </w:tr>
      <w:tr w:rsidR="00CF0E2D" w:rsidRPr="00D60558" w14:paraId="0B0997EF" w14:textId="77777777" w:rsidTr="00A60D4B">
        <w:trPr>
          <w:gridAfter w:val="1"/>
          <w:wAfter w:w="9" w:type="dxa"/>
          <w:jc w:val="center"/>
        </w:trPr>
        <w:tc>
          <w:tcPr>
            <w:tcW w:w="3355" w:type="dxa"/>
            <w:tcBorders>
              <w:top w:val="nil"/>
              <w:left w:val="nil"/>
              <w:bottom w:val="nil"/>
              <w:right w:val="nil"/>
            </w:tcBorders>
          </w:tcPr>
          <w:p w14:paraId="1A238CEF" w14:textId="77777777" w:rsidR="00CF0E2D" w:rsidRPr="00637CB1" w:rsidRDefault="00CF0E2D" w:rsidP="00A60D4B">
            <w:pPr>
              <w:pStyle w:val="Btabletextunbold"/>
              <w:rPr>
                <w:szCs w:val="20"/>
              </w:rPr>
            </w:pPr>
            <w:r w:rsidRPr="00637CB1">
              <w:rPr>
                <w:rFonts w:cs="Calibri"/>
                <w:color w:val="000000"/>
                <w:szCs w:val="20"/>
              </w:rPr>
              <w:t>– Free registration for zero emissions vehicles</w:t>
            </w:r>
          </w:p>
        </w:tc>
        <w:tc>
          <w:tcPr>
            <w:tcW w:w="1093" w:type="dxa"/>
            <w:tcBorders>
              <w:top w:val="nil"/>
              <w:left w:val="nil"/>
              <w:bottom w:val="nil"/>
              <w:right w:val="nil"/>
            </w:tcBorders>
          </w:tcPr>
          <w:p w14:paraId="60E27B59"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6BA2ECF5" w14:textId="77777777" w:rsidR="00CF0E2D" w:rsidRPr="00C52448" w:rsidRDefault="00CF0E2D" w:rsidP="00A60D4B">
            <w:pPr>
              <w:pStyle w:val="Btablefigureunbold"/>
              <w:rPr>
                <w:szCs w:val="20"/>
              </w:rPr>
            </w:pPr>
            <w:r w:rsidRPr="00C52448">
              <w:rPr>
                <w:rFonts w:cs="Calibri"/>
                <w:color w:val="000000"/>
                <w:szCs w:val="20"/>
              </w:rPr>
              <w:t>675</w:t>
            </w:r>
          </w:p>
        </w:tc>
        <w:tc>
          <w:tcPr>
            <w:tcW w:w="964" w:type="dxa"/>
            <w:gridSpan w:val="2"/>
            <w:tcBorders>
              <w:top w:val="nil"/>
              <w:left w:val="nil"/>
              <w:bottom w:val="nil"/>
              <w:right w:val="nil"/>
            </w:tcBorders>
          </w:tcPr>
          <w:p w14:paraId="646954DC" w14:textId="77777777" w:rsidR="00CF0E2D" w:rsidRPr="00C52448" w:rsidRDefault="00CF0E2D" w:rsidP="00A60D4B">
            <w:pPr>
              <w:pStyle w:val="Btablefigureunbold"/>
              <w:rPr>
                <w:szCs w:val="20"/>
              </w:rPr>
            </w:pPr>
            <w:r w:rsidRPr="00C52448">
              <w:rPr>
                <w:rFonts w:cs="Calibri"/>
                <w:color w:val="000000"/>
                <w:szCs w:val="20"/>
              </w:rPr>
              <w:t>1,443</w:t>
            </w:r>
          </w:p>
        </w:tc>
        <w:tc>
          <w:tcPr>
            <w:tcW w:w="964" w:type="dxa"/>
            <w:gridSpan w:val="2"/>
            <w:tcBorders>
              <w:top w:val="nil"/>
              <w:left w:val="nil"/>
              <w:bottom w:val="nil"/>
              <w:right w:val="nil"/>
            </w:tcBorders>
          </w:tcPr>
          <w:p w14:paraId="37E95E74" w14:textId="77777777" w:rsidR="00CF0E2D" w:rsidRPr="00C52448" w:rsidRDefault="00CF0E2D" w:rsidP="00A60D4B">
            <w:pPr>
              <w:pStyle w:val="Btablefigureunbold"/>
              <w:rPr>
                <w:szCs w:val="20"/>
              </w:rPr>
            </w:pPr>
            <w:r w:rsidRPr="00C52448">
              <w:rPr>
                <w:rFonts w:cs="Calibri"/>
                <w:color w:val="000000"/>
                <w:szCs w:val="20"/>
              </w:rPr>
              <w:t>3,746</w:t>
            </w:r>
          </w:p>
        </w:tc>
        <w:tc>
          <w:tcPr>
            <w:tcW w:w="964" w:type="dxa"/>
            <w:gridSpan w:val="2"/>
            <w:tcBorders>
              <w:top w:val="nil"/>
              <w:left w:val="nil"/>
              <w:bottom w:val="nil"/>
              <w:right w:val="nil"/>
            </w:tcBorders>
          </w:tcPr>
          <w:p w14:paraId="0ED95C83" w14:textId="77777777" w:rsidR="00CF0E2D" w:rsidRPr="00C52448" w:rsidRDefault="00CF0E2D" w:rsidP="00A60D4B">
            <w:pPr>
              <w:pStyle w:val="Btablefigureunbold"/>
              <w:rPr>
                <w:szCs w:val="20"/>
              </w:rPr>
            </w:pPr>
            <w:r w:rsidRPr="00C52448">
              <w:rPr>
                <w:rFonts w:cs="Calibri"/>
                <w:color w:val="000000"/>
                <w:szCs w:val="20"/>
              </w:rPr>
              <w:t>2,696</w:t>
            </w:r>
          </w:p>
        </w:tc>
        <w:tc>
          <w:tcPr>
            <w:tcW w:w="954" w:type="dxa"/>
            <w:gridSpan w:val="2"/>
            <w:tcBorders>
              <w:top w:val="nil"/>
              <w:left w:val="nil"/>
              <w:bottom w:val="nil"/>
              <w:right w:val="nil"/>
            </w:tcBorders>
          </w:tcPr>
          <w:p w14:paraId="43BED54C" w14:textId="77777777" w:rsidR="00CF0E2D" w:rsidRPr="00C52448" w:rsidRDefault="00CF0E2D" w:rsidP="00A60D4B">
            <w:pPr>
              <w:pStyle w:val="Btablefigureunbold"/>
              <w:rPr>
                <w:b/>
                <w:bCs/>
                <w:szCs w:val="20"/>
              </w:rPr>
            </w:pPr>
            <w:r w:rsidRPr="00C52448">
              <w:rPr>
                <w:rFonts w:cs="Calibri"/>
                <w:b/>
                <w:bCs/>
                <w:color w:val="000000"/>
                <w:szCs w:val="20"/>
              </w:rPr>
              <w:t>8,560</w:t>
            </w:r>
          </w:p>
        </w:tc>
      </w:tr>
      <w:tr w:rsidR="00CF0E2D" w:rsidRPr="00CA5F48" w14:paraId="38371A14" w14:textId="77777777" w:rsidTr="00A60D4B">
        <w:trPr>
          <w:gridAfter w:val="1"/>
          <w:wAfter w:w="9" w:type="dxa"/>
          <w:trHeight w:val="105"/>
          <w:jc w:val="center"/>
        </w:trPr>
        <w:tc>
          <w:tcPr>
            <w:tcW w:w="3355" w:type="dxa"/>
            <w:tcBorders>
              <w:top w:val="nil"/>
              <w:left w:val="nil"/>
              <w:bottom w:val="nil"/>
              <w:right w:val="nil"/>
            </w:tcBorders>
          </w:tcPr>
          <w:p w14:paraId="0A165EB4" w14:textId="77777777" w:rsidR="00CF0E2D" w:rsidRPr="00637CB1" w:rsidRDefault="00CF0E2D" w:rsidP="00A60D4B">
            <w:pPr>
              <w:pStyle w:val="Btabletextunbold"/>
              <w:rPr>
                <w:szCs w:val="20"/>
              </w:rPr>
            </w:pPr>
            <w:r w:rsidRPr="00115695">
              <w:rPr>
                <w:rFonts w:cs="Calibri"/>
                <w:color w:val="000000"/>
                <w:szCs w:val="20"/>
              </w:rPr>
              <w:t>–</w:t>
            </w:r>
            <w:r>
              <w:rPr>
                <w:rFonts w:cs="Calibri"/>
                <w:color w:val="000000"/>
                <w:szCs w:val="20"/>
              </w:rPr>
              <w:t xml:space="preserve"> </w:t>
            </w:r>
            <w:r w:rsidRPr="00637CB1">
              <w:rPr>
                <w:rFonts w:cs="Calibri"/>
                <w:color w:val="000000"/>
                <w:szCs w:val="20"/>
              </w:rPr>
              <w:t xml:space="preserve">Social cost of carbon </w:t>
            </w:r>
          </w:p>
        </w:tc>
        <w:tc>
          <w:tcPr>
            <w:tcW w:w="1093" w:type="dxa"/>
            <w:tcBorders>
              <w:top w:val="nil"/>
              <w:left w:val="nil"/>
              <w:bottom w:val="nil"/>
              <w:right w:val="nil"/>
            </w:tcBorders>
          </w:tcPr>
          <w:p w14:paraId="173BDFAF"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6F00EA34" w14:textId="77777777" w:rsidR="00CF0E2D" w:rsidRPr="00CA5F48" w:rsidRDefault="00CF0E2D" w:rsidP="00A60D4B">
            <w:pPr>
              <w:pStyle w:val="Btablefigureunbold"/>
              <w:rPr>
                <w:rFonts w:cs="Calibri"/>
                <w:color w:val="000000"/>
                <w:szCs w:val="20"/>
              </w:rPr>
            </w:pPr>
            <w:r w:rsidRPr="00CA5F48">
              <w:rPr>
                <w:rFonts w:cs="Calibri"/>
                <w:color w:val="000000"/>
                <w:szCs w:val="20"/>
              </w:rPr>
              <w:t>0</w:t>
            </w:r>
          </w:p>
        </w:tc>
        <w:tc>
          <w:tcPr>
            <w:tcW w:w="964" w:type="dxa"/>
            <w:gridSpan w:val="2"/>
            <w:tcBorders>
              <w:top w:val="nil"/>
              <w:left w:val="nil"/>
              <w:bottom w:val="nil"/>
              <w:right w:val="nil"/>
            </w:tcBorders>
          </w:tcPr>
          <w:p w14:paraId="1125BE7C" w14:textId="77777777" w:rsidR="00CF0E2D" w:rsidRPr="00CA5F48" w:rsidRDefault="00CF0E2D" w:rsidP="00A60D4B">
            <w:pPr>
              <w:pStyle w:val="Btablefigureunbold"/>
              <w:rPr>
                <w:rFonts w:cs="Calibri"/>
                <w:color w:val="000000"/>
                <w:szCs w:val="20"/>
              </w:rPr>
            </w:pPr>
            <w:r w:rsidRPr="00CA5F48">
              <w:rPr>
                <w:rFonts w:cs="Calibri"/>
                <w:color w:val="000000"/>
                <w:szCs w:val="20"/>
              </w:rPr>
              <w:t>0</w:t>
            </w:r>
          </w:p>
        </w:tc>
        <w:tc>
          <w:tcPr>
            <w:tcW w:w="964" w:type="dxa"/>
            <w:gridSpan w:val="2"/>
            <w:tcBorders>
              <w:top w:val="nil"/>
              <w:left w:val="nil"/>
              <w:bottom w:val="nil"/>
              <w:right w:val="nil"/>
            </w:tcBorders>
          </w:tcPr>
          <w:p w14:paraId="70095C9B" w14:textId="77777777" w:rsidR="00CF0E2D" w:rsidRPr="00CA5F48" w:rsidRDefault="00CF0E2D" w:rsidP="00A60D4B">
            <w:pPr>
              <w:pStyle w:val="Btablefigureunbold"/>
              <w:rPr>
                <w:rFonts w:cs="Calibri"/>
                <w:color w:val="000000"/>
                <w:szCs w:val="20"/>
              </w:rPr>
            </w:pPr>
            <w:r w:rsidRPr="00CA5F48">
              <w:rPr>
                <w:rFonts w:cs="Calibri"/>
                <w:color w:val="000000"/>
                <w:szCs w:val="20"/>
              </w:rPr>
              <w:t>0</w:t>
            </w:r>
          </w:p>
        </w:tc>
        <w:tc>
          <w:tcPr>
            <w:tcW w:w="964" w:type="dxa"/>
            <w:gridSpan w:val="2"/>
            <w:tcBorders>
              <w:top w:val="nil"/>
              <w:left w:val="nil"/>
              <w:bottom w:val="nil"/>
              <w:right w:val="nil"/>
            </w:tcBorders>
          </w:tcPr>
          <w:p w14:paraId="3232A40A" w14:textId="77777777" w:rsidR="00CF0E2D" w:rsidRPr="00CA5F48" w:rsidRDefault="00CF0E2D" w:rsidP="00A60D4B">
            <w:pPr>
              <w:pStyle w:val="Btablefigureunbold"/>
              <w:rPr>
                <w:rFonts w:cs="Calibri"/>
                <w:color w:val="000000"/>
                <w:szCs w:val="20"/>
              </w:rPr>
            </w:pPr>
            <w:r w:rsidRPr="00CA5F48">
              <w:rPr>
                <w:rFonts w:cs="Calibri"/>
                <w:color w:val="000000"/>
                <w:szCs w:val="20"/>
              </w:rPr>
              <w:t>0</w:t>
            </w:r>
          </w:p>
        </w:tc>
        <w:tc>
          <w:tcPr>
            <w:tcW w:w="954" w:type="dxa"/>
            <w:gridSpan w:val="2"/>
            <w:tcBorders>
              <w:top w:val="nil"/>
              <w:left w:val="nil"/>
              <w:bottom w:val="nil"/>
              <w:right w:val="nil"/>
            </w:tcBorders>
          </w:tcPr>
          <w:p w14:paraId="5BCBE5AE" w14:textId="77777777" w:rsidR="00CF0E2D" w:rsidRPr="00CA5F48" w:rsidRDefault="00CF0E2D" w:rsidP="00A60D4B">
            <w:pPr>
              <w:pStyle w:val="Btablefigureunbold"/>
              <w:rPr>
                <w:rFonts w:cs="Calibri"/>
                <w:b/>
                <w:bCs/>
                <w:color w:val="000000"/>
                <w:szCs w:val="20"/>
              </w:rPr>
            </w:pPr>
            <w:r w:rsidRPr="00CA5F48">
              <w:rPr>
                <w:rFonts w:cs="Calibri"/>
                <w:b/>
                <w:bCs/>
                <w:color w:val="000000"/>
                <w:szCs w:val="20"/>
              </w:rPr>
              <w:t>0</w:t>
            </w:r>
          </w:p>
        </w:tc>
      </w:tr>
      <w:tr w:rsidR="00CF0E2D" w:rsidRPr="00EE7CC0" w14:paraId="38DD3DB7" w14:textId="77777777" w:rsidTr="00A60D4B">
        <w:trPr>
          <w:gridAfter w:val="1"/>
          <w:wAfter w:w="9" w:type="dxa"/>
          <w:jc w:val="center"/>
        </w:trPr>
        <w:tc>
          <w:tcPr>
            <w:tcW w:w="3355" w:type="dxa"/>
            <w:tcBorders>
              <w:top w:val="nil"/>
              <w:left w:val="nil"/>
              <w:bottom w:val="nil"/>
              <w:right w:val="nil"/>
            </w:tcBorders>
          </w:tcPr>
          <w:p w14:paraId="34F05140" w14:textId="77777777" w:rsidR="00CF0E2D" w:rsidRPr="00EE7CC0" w:rsidRDefault="00CF0E2D" w:rsidP="00A60D4B">
            <w:pPr>
              <w:pStyle w:val="Btabletextunbold"/>
              <w:rPr>
                <w:szCs w:val="20"/>
              </w:rPr>
            </w:pPr>
            <w:r w:rsidRPr="00115695">
              <w:rPr>
                <w:rFonts w:cs="Calibri"/>
                <w:color w:val="000000"/>
                <w:szCs w:val="20"/>
              </w:rPr>
              <w:t>–</w:t>
            </w:r>
            <w:r>
              <w:rPr>
                <w:rFonts w:cs="Calibri"/>
                <w:color w:val="000000"/>
                <w:szCs w:val="20"/>
              </w:rPr>
              <w:t xml:space="preserve"> </w:t>
            </w:r>
            <w:r w:rsidRPr="00EE7CC0">
              <w:rPr>
                <w:rFonts w:cs="Calibri"/>
                <w:color w:val="000000"/>
                <w:szCs w:val="20"/>
              </w:rPr>
              <w:t>Solar for Low Income scheme – continuation</w:t>
            </w:r>
          </w:p>
        </w:tc>
        <w:tc>
          <w:tcPr>
            <w:tcW w:w="1093" w:type="dxa"/>
            <w:tcBorders>
              <w:top w:val="nil"/>
              <w:left w:val="nil"/>
              <w:bottom w:val="nil"/>
              <w:right w:val="nil"/>
            </w:tcBorders>
          </w:tcPr>
          <w:p w14:paraId="0269D1E1" w14:textId="77777777" w:rsidR="00CF0E2D" w:rsidRPr="00EE7CC0" w:rsidRDefault="00CF0E2D" w:rsidP="00A60D4B">
            <w:pPr>
              <w:pStyle w:val="Btablefigureunbold"/>
              <w:ind w:left="0" w:firstLine="0"/>
              <w:jc w:val="left"/>
              <w:rPr>
                <w:rFonts w:cs="Calibri"/>
                <w:color w:val="000000"/>
                <w:szCs w:val="20"/>
              </w:rPr>
            </w:pPr>
            <w:r w:rsidRPr="00EE7CC0">
              <w:rPr>
                <w:rFonts w:cs="Calibri"/>
                <w:color w:val="000000"/>
                <w:szCs w:val="20"/>
              </w:rPr>
              <w:t>Net cost</w:t>
            </w:r>
          </w:p>
        </w:tc>
        <w:tc>
          <w:tcPr>
            <w:tcW w:w="964" w:type="dxa"/>
            <w:gridSpan w:val="2"/>
            <w:tcBorders>
              <w:top w:val="nil"/>
              <w:left w:val="nil"/>
              <w:bottom w:val="nil"/>
              <w:right w:val="nil"/>
            </w:tcBorders>
          </w:tcPr>
          <w:p w14:paraId="30A55F1C" w14:textId="77777777" w:rsidR="00CF0E2D" w:rsidRPr="00EE7CC0" w:rsidRDefault="00CF0E2D" w:rsidP="00A60D4B">
            <w:pPr>
              <w:pStyle w:val="Btablefigureunbold"/>
              <w:rPr>
                <w:rFonts w:cs="Calibri"/>
                <w:color w:val="000000"/>
                <w:szCs w:val="20"/>
              </w:rPr>
            </w:pPr>
            <w:r w:rsidRPr="00EE7CC0">
              <w:rPr>
                <w:rFonts w:cs="Calibri"/>
                <w:color w:val="000000"/>
                <w:szCs w:val="20"/>
              </w:rPr>
              <w:t>771</w:t>
            </w:r>
          </w:p>
        </w:tc>
        <w:tc>
          <w:tcPr>
            <w:tcW w:w="964" w:type="dxa"/>
            <w:gridSpan w:val="2"/>
            <w:tcBorders>
              <w:top w:val="nil"/>
              <w:left w:val="nil"/>
              <w:bottom w:val="nil"/>
              <w:right w:val="nil"/>
            </w:tcBorders>
          </w:tcPr>
          <w:p w14:paraId="533E7BC1" w14:textId="77777777" w:rsidR="00CF0E2D" w:rsidRPr="00EE7CC0" w:rsidRDefault="00CF0E2D" w:rsidP="00A60D4B">
            <w:pPr>
              <w:pStyle w:val="Btablefigureunbold"/>
              <w:rPr>
                <w:rFonts w:cs="Calibri"/>
                <w:color w:val="000000"/>
                <w:szCs w:val="20"/>
              </w:rPr>
            </w:pPr>
            <w:r w:rsidRPr="00EE7CC0">
              <w:rPr>
                <w:rFonts w:cs="Calibri"/>
                <w:color w:val="000000"/>
                <w:szCs w:val="20"/>
              </w:rPr>
              <w:t>771</w:t>
            </w:r>
          </w:p>
        </w:tc>
        <w:tc>
          <w:tcPr>
            <w:tcW w:w="964" w:type="dxa"/>
            <w:gridSpan w:val="2"/>
            <w:tcBorders>
              <w:top w:val="nil"/>
              <w:left w:val="nil"/>
              <w:bottom w:val="nil"/>
              <w:right w:val="nil"/>
            </w:tcBorders>
          </w:tcPr>
          <w:p w14:paraId="1F1E9001" w14:textId="77777777" w:rsidR="00CF0E2D" w:rsidRPr="00EE7CC0" w:rsidRDefault="00CF0E2D" w:rsidP="00A60D4B">
            <w:pPr>
              <w:pStyle w:val="Btablefigureunbold"/>
              <w:rPr>
                <w:rFonts w:cs="Calibri"/>
                <w:color w:val="000000"/>
                <w:szCs w:val="20"/>
              </w:rPr>
            </w:pPr>
            <w:r w:rsidRPr="00EE7CC0">
              <w:rPr>
                <w:rFonts w:cs="Calibri"/>
                <w:color w:val="000000"/>
                <w:szCs w:val="20"/>
              </w:rPr>
              <w:t>771</w:t>
            </w:r>
          </w:p>
        </w:tc>
        <w:tc>
          <w:tcPr>
            <w:tcW w:w="964" w:type="dxa"/>
            <w:gridSpan w:val="2"/>
            <w:tcBorders>
              <w:top w:val="nil"/>
              <w:left w:val="nil"/>
              <w:bottom w:val="nil"/>
              <w:right w:val="nil"/>
            </w:tcBorders>
          </w:tcPr>
          <w:p w14:paraId="728737A0" w14:textId="77777777" w:rsidR="00CF0E2D" w:rsidRPr="00EE7CC0" w:rsidRDefault="00CF0E2D" w:rsidP="00A60D4B">
            <w:pPr>
              <w:pStyle w:val="Btablefigureunbold"/>
              <w:rPr>
                <w:rFonts w:cs="Calibri"/>
                <w:color w:val="000000"/>
                <w:szCs w:val="20"/>
              </w:rPr>
            </w:pPr>
            <w:r w:rsidRPr="00EE7CC0">
              <w:rPr>
                <w:rFonts w:cs="Calibri"/>
                <w:color w:val="000000"/>
                <w:szCs w:val="20"/>
              </w:rPr>
              <w:t>771</w:t>
            </w:r>
          </w:p>
        </w:tc>
        <w:tc>
          <w:tcPr>
            <w:tcW w:w="954" w:type="dxa"/>
            <w:gridSpan w:val="2"/>
            <w:tcBorders>
              <w:top w:val="nil"/>
              <w:left w:val="nil"/>
              <w:bottom w:val="nil"/>
              <w:right w:val="nil"/>
            </w:tcBorders>
          </w:tcPr>
          <w:p w14:paraId="486DD6FB" w14:textId="77777777" w:rsidR="00CF0E2D" w:rsidRPr="00EE7CC0" w:rsidRDefault="00CF0E2D" w:rsidP="00A60D4B">
            <w:pPr>
              <w:pStyle w:val="Btablefigureunbold"/>
              <w:rPr>
                <w:rFonts w:cs="Calibri"/>
                <w:b/>
                <w:bCs/>
                <w:color w:val="000000"/>
                <w:szCs w:val="20"/>
              </w:rPr>
            </w:pPr>
            <w:r w:rsidRPr="00EE7CC0">
              <w:rPr>
                <w:rFonts w:cs="Calibri"/>
                <w:b/>
                <w:bCs/>
                <w:color w:val="000000"/>
                <w:szCs w:val="20"/>
              </w:rPr>
              <w:t>3,084</w:t>
            </w:r>
          </w:p>
        </w:tc>
      </w:tr>
      <w:tr w:rsidR="00CF0E2D" w:rsidRPr="00D60558" w14:paraId="09144DC0" w14:textId="77777777" w:rsidTr="00A60D4B">
        <w:trPr>
          <w:gridAfter w:val="1"/>
          <w:wAfter w:w="9" w:type="dxa"/>
          <w:jc w:val="center"/>
        </w:trPr>
        <w:tc>
          <w:tcPr>
            <w:tcW w:w="3355" w:type="dxa"/>
            <w:tcBorders>
              <w:top w:val="nil"/>
              <w:left w:val="nil"/>
              <w:bottom w:val="nil"/>
              <w:right w:val="nil"/>
            </w:tcBorders>
          </w:tcPr>
          <w:p w14:paraId="1A9569DA" w14:textId="77777777" w:rsidR="00CF0E2D" w:rsidRPr="00637CB1" w:rsidRDefault="00CF0E2D" w:rsidP="00A60D4B">
            <w:pPr>
              <w:pStyle w:val="Btabletextunbold"/>
              <w:rPr>
                <w:szCs w:val="20"/>
              </w:rPr>
            </w:pPr>
            <w:r w:rsidRPr="00637CB1">
              <w:rPr>
                <w:rFonts w:cs="Calibri"/>
                <w:color w:val="000000"/>
                <w:szCs w:val="20"/>
              </w:rPr>
              <w:t>East Lake urban renewal – Site investigations and planning</w:t>
            </w:r>
          </w:p>
        </w:tc>
        <w:tc>
          <w:tcPr>
            <w:tcW w:w="1093" w:type="dxa"/>
            <w:tcBorders>
              <w:top w:val="nil"/>
              <w:left w:val="nil"/>
              <w:bottom w:val="nil"/>
              <w:right w:val="nil"/>
            </w:tcBorders>
          </w:tcPr>
          <w:p w14:paraId="710A97E6"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3E724C3D" w14:textId="77777777" w:rsidR="00CF0E2D" w:rsidRPr="00CA5F48" w:rsidRDefault="00CF0E2D" w:rsidP="00A60D4B">
            <w:pPr>
              <w:pStyle w:val="Btablefigureunbold"/>
              <w:rPr>
                <w:szCs w:val="20"/>
              </w:rPr>
            </w:pPr>
            <w:r w:rsidRPr="00CA5F48">
              <w:rPr>
                <w:rFonts w:cs="Calibri"/>
                <w:color w:val="000000"/>
                <w:szCs w:val="20"/>
              </w:rPr>
              <w:t>1,036</w:t>
            </w:r>
          </w:p>
        </w:tc>
        <w:tc>
          <w:tcPr>
            <w:tcW w:w="964" w:type="dxa"/>
            <w:gridSpan w:val="2"/>
            <w:tcBorders>
              <w:top w:val="nil"/>
              <w:left w:val="nil"/>
              <w:bottom w:val="nil"/>
              <w:right w:val="nil"/>
            </w:tcBorders>
          </w:tcPr>
          <w:p w14:paraId="41E39966" w14:textId="77777777" w:rsidR="00CF0E2D" w:rsidRPr="00CA5F48" w:rsidRDefault="00CF0E2D" w:rsidP="00A60D4B">
            <w:pPr>
              <w:pStyle w:val="Btablefigureunbold"/>
              <w:rPr>
                <w:szCs w:val="20"/>
              </w:rPr>
            </w:pPr>
            <w:r w:rsidRPr="00CA5F48">
              <w:rPr>
                <w:rFonts w:cs="Calibri"/>
                <w:color w:val="000000"/>
                <w:szCs w:val="20"/>
              </w:rPr>
              <w:t>779</w:t>
            </w:r>
          </w:p>
        </w:tc>
        <w:tc>
          <w:tcPr>
            <w:tcW w:w="964" w:type="dxa"/>
            <w:gridSpan w:val="2"/>
            <w:tcBorders>
              <w:top w:val="nil"/>
              <w:left w:val="nil"/>
              <w:bottom w:val="nil"/>
              <w:right w:val="nil"/>
            </w:tcBorders>
          </w:tcPr>
          <w:p w14:paraId="5380C4B5" w14:textId="77777777" w:rsidR="00CF0E2D" w:rsidRPr="00CA5F48" w:rsidRDefault="00CF0E2D" w:rsidP="00A60D4B">
            <w:pPr>
              <w:pStyle w:val="Btablefigureunbold"/>
              <w:rPr>
                <w:szCs w:val="20"/>
              </w:rPr>
            </w:pPr>
            <w:r w:rsidRPr="00CA5F48">
              <w:rPr>
                <w:rFonts w:cs="Calibri"/>
                <w:color w:val="000000"/>
                <w:szCs w:val="20"/>
              </w:rPr>
              <w:t>296</w:t>
            </w:r>
          </w:p>
        </w:tc>
        <w:tc>
          <w:tcPr>
            <w:tcW w:w="964" w:type="dxa"/>
            <w:gridSpan w:val="2"/>
            <w:tcBorders>
              <w:top w:val="nil"/>
              <w:left w:val="nil"/>
              <w:bottom w:val="nil"/>
              <w:right w:val="nil"/>
            </w:tcBorders>
          </w:tcPr>
          <w:p w14:paraId="0E0727C0" w14:textId="77777777" w:rsidR="00CF0E2D" w:rsidRPr="00CA5F48" w:rsidRDefault="00CF0E2D" w:rsidP="00A60D4B">
            <w:pPr>
              <w:pStyle w:val="Btablefigureunbold"/>
              <w:rPr>
                <w:szCs w:val="20"/>
              </w:rPr>
            </w:pPr>
            <w:r w:rsidRPr="00CA5F48">
              <w:rPr>
                <w:rFonts w:cs="Calibri"/>
                <w:color w:val="000000"/>
                <w:szCs w:val="20"/>
              </w:rPr>
              <w:t>28</w:t>
            </w:r>
          </w:p>
        </w:tc>
        <w:tc>
          <w:tcPr>
            <w:tcW w:w="954" w:type="dxa"/>
            <w:gridSpan w:val="2"/>
            <w:tcBorders>
              <w:top w:val="nil"/>
              <w:left w:val="nil"/>
              <w:bottom w:val="nil"/>
              <w:right w:val="nil"/>
            </w:tcBorders>
          </w:tcPr>
          <w:p w14:paraId="438CBBFA" w14:textId="77777777" w:rsidR="00CF0E2D" w:rsidRPr="00CA5F48" w:rsidRDefault="00CF0E2D" w:rsidP="00A60D4B">
            <w:pPr>
              <w:pStyle w:val="Btablefigureunbold"/>
              <w:rPr>
                <w:b/>
                <w:bCs/>
                <w:szCs w:val="20"/>
              </w:rPr>
            </w:pPr>
            <w:r w:rsidRPr="00CA5F48">
              <w:rPr>
                <w:rFonts w:cs="Calibri"/>
                <w:b/>
                <w:bCs/>
                <w:color w:val="000000"/>
                <w:szCs w:val="20"/>
              </w:rPr>
              <w:t>2,139</w:t>
            </w:r>
          </w:p>
        </w:tc>
      </w:tr>
      <w:tr w:rsidR="00CF0E2D" w:rsidRPr="00D60558" w14:paraId="7EE32A58" w14:textId="77777777" w:rsidTr="00A60D4B">
        <w:trPr>
          <w:gridAfter w:val="1"/>
          <w:wAfter w:w="9" w:type="dxa"/>
          <w:jc w:val="center"/>
        </w:trPr>
        <w:tc>
          <w:tcPr>
            <w:tcW w:w="3355" w:type="dxa"/>
            <w:tcBorders>
              <w:top w:val="nil"/>
              <w:left w:val="nil"/>
              <w:bottom w:val="nil"/>
              <w:right w:val="nil"/>
            </w:tcBorders>
          </w:tcPr>
          <w:p w14:paraId="6AF76FC0" w14:textId="77777777" w:rsidR="00CF0E2D" w:rsidRPr="00637CB1" w:rsidRDefault="00CF0E2D" w:rsidP="00A60D4B">
            <w:pPr>
              <w:pStyle w:val="Btabletextunbold"/>
              <w:rPr>
                <w:szCs w:val="20"/>
              </w:rPr>
            </w:pPr>
            <w:r w:rsidRPr="00637CB1">
              <w:rPr>
                <w:rFonts w:cs="Calibri"/>
                <w:color w:val="000000"/>
                <w:szCs w:val="20"/>
              </w:rPr>
              <w:t>Maintaining and growing affordable housing – Gungahlin Common Ground Build to Rent</w:t>
            </w:r>
          </w:p>
        </w:tc>
        <w:tc>
          <w:tcPr>
            <w:tcW w:w="1093" w:type="dxa"/>
            <w:tcBorders>
              <w:top w:val="nil"/>
              <w:left w:val="nil"/>
              <w:bottom w:val="nil"/>
              <w:right w:val="nil"/>
            </w:tcBorders>
          </w:tcPr>
          <w:p w14:paraId="31871103"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25A46819" w14:textId="77777777" w:rsidR="00CF0E2D" w:rsidRPr="00CA5F48" w:rsidRDefault="00CF0E2D" w:rsidP="00A60D4B">
            <w:pPr>
              <w:pStyle w:val="Btablefigureunbold"/>
              <w:rPr>
                <w:szCs w:val="20"/>
              </w:rPr>
            </w:pPr>
            <w:r w:rsidRPr="00CA5F48">
              <w:rPr>
                <w:rFonts w:cs="Calibri"/>
                <w:color w:val="000000"/>
                <w:szCs w:val="20"/>
              </w:rPr>
              <w:t>440</w:t>
            </w:r>
          </w:p>
        </w:tc>
        <w:tc>
          <w:tcPr>
            <w:tcW w:w="964" w:type="dxa"/>
            <w:gridSpan w:val="2"/>
            <w:tcBorders>
              <w:top w:val="nil"/>
              <w:left w:val="nil"/>
              <w:bottom w:val="nil"/>
              <w:right w:val="nil"/>
            </w:tcBorders>
          </w:tcPr>
          <w:p w14:paraId="2F3A4FEA" w14:textId="77777777" w:rsidR="00CF0E2D" w:rsidRPr="00CA5F48" w:rsidRDefault="00CF0E2D" w:rsidP="00A60D4B">
            <w:pPr>
              <w:pStyle w:val="Btablefigureunbold"/>
              <w:rPr>
                <w:szCs w:val="20"/>
              </w:rPr>
            </w:pPr>
            <w:r w:rsidRPr="00CA5F48">
              <w:rPr>
                <w:rFonts w:cs="Calibri"/>
                <w:color w:val="000000"/>
                <w:szCs w:val="20"/>
              </w:rPr>
              <w:t>0</w:t>
            </w:r>
          </w:p>
        </w:tc>
        <w:tc>
          <w:tcPr>
            <w:tcW w:w="964" w:type="dxa"/>
            <w:gridSpan w:val="2"/>
            <w:tcBorders>
              <w:top w:val="nil"/>
              <w:left w:val="nil"/>
              <w:bottom w:val="nil"/>
              <w:right w:val="nil"/>
            </w:tcBorders>
          </w:tcPr>
          <w:p w14:paraId="6B188CC3" w14:textId="77777777" w:rsidR="00CF0E2D" w:rsidRPr="00CA5F48" w:rsidRDefault="00CF0E2D" w:rsidP="00A60D4B">
            <w:pPr>
              <w:pStyle w:val="Btablefigureunbold"/>
              <w:rPr>
                <w:szCs w:val="20"/>
              </w:rPr>
            </w:pPr>
            <w:r w:rsidRPr="00CA5F48">
              <w:rPr>
                <w:rFonts w:cs="Calibri"/>
                <w:color w:val="000000"/>
                <w:szCs w:val="20"/>
              </w:rPr>
              <w:t>0</w:t>
            </w:r>
          </w:p>
        </w:tc>
        <w:tc>
          <w:tcPr>
            <w:tcW w:w="964" w:type="dxa"/>
            <w:gridSpan w:val="2"/>
            <w:tcBorders>
              <w:top w:val="nil"/>
              <w:left w:val="nil"/>
              <w:bottom w:val="nil"/>
              <w:right w:val="nil"/>
            </w:tcBorders>
          </w:tcPr>
          <w:p w14:paraId="27DCFCFE" w14:textId="77777777" w:rsidR="00CF0E2D" w:rsidRPr="00CA5F48" w:rsidRDefault="00CF0E2D" w:rsidP="00A60D4B">
            <w:pPr>
              <w:pStyle w:val="Btablefigureunbold"/>
              <w:rPr>
                <w:szCs w:val="20"/>
              </w:rPr>
            </w:pPr>
            <w:r w:rsidRPr="00CA5F48">
              <w:rPr>
                <w:rFonts w:cs="Calibri"/>
                <w:color w:val="000000"/>
                <w:szCs w:val="20"/>
              </w:rPr>
              <w:t>0</w:t>
            </w:r>
          </w:p>
        </w:tc>
        <w:tc>
          <w:tcPr>
            <w:tcW w:w="954" w:type="dxa"/>
            <w:gridSpan w:val="2"/>
            <w:tcBorders>
              <w:top w:val="nil"/>
              <w:left w:val="nil"/>
              <w:bottom w:val="nil"/>
              <w:right w:val="nil"/>
            </w:tcBorders>
          </w:tcPr>
          <w:p w14:paraId="63E26254" w14:textId="77777777" w:rsidR="00CF0E2D" w:rsidRPr="00CA5F48" w:rsidRDefault="00CF0E2D" w:rsidP="00A60D4B">
            <w:pPr>
              <w:pStyle w:val="Btablefigureunbold"/>
              <w:rPr>
                <w:b/>
                <w:bCs/>
                <w:szCs w:val="20"/>
              </w:rPr>
            </w:pPr>
            <w:r w:rsidRPr="00CA5F48">
              <w:rPr>
                <w:rFonts w:cs="Calibri"/>
                <w:b/>
                <w:bCs/>
                <w:color w:val="000000"/>
                <w:szCs w:val="20"/>
              </w:rPr>
              <w:t>440</w:t>
            </w:r>
          </w:p>
        </w:tc>
      </w:tr>
      <w:tr w:rsidR="00CF0E2D" w:rsidRPr="00D60558" w14:paraId="50A25E63" w14:textId="77777777" w:rsidTr="00A60D4B">
        <w:trPr>
          <w:gridAfter w:val="1"/>
          <w:wAfter w:w="9" w:type="dxa"/>
          <w:jc w:val="center"/>
        </w:trPr>
        <w:tc>
          <w:tcPr>
            <w:tcW w:w="3355" w:type="dxa"/>
            <w:tcBorders>
              <w:top w:val="nil"/>
              <w:left w:val="nil"/>
              <w:bottom w:val="nil"/>
              <w:right w:val="nil"/>
            </w:tcBorders>
          </w:tcPr>
          <w:p w14:paraId="6BDC7F82" w14:textId="77777777" w:rsidR="00CF0E2D" w:rsidRPr="00637CB1" w:rsidRDefault="00CF0E2D" w:rsidP="00A60D4B">
            <w:pPr>
              <w:pStyle w:val="Btabletextunbold"/>
              <w:rPr>
                <w:szCs w:val="20"/>
              </w:rPr>
            </w:pPr>
            <w:r w:rsidRPr="00637CB1">
              <w:rPr>
                <w:rFonts w:cs="Calibri"/>
                <w:color w:val="000000"/>
                <w:szCs w:val="20"/>
              </w:rPr>
              <w:t>Maintaining and growing affordable housing – Gungahlin Common Ground Build to Rent</w:t>
            </w:r>
          </w:p>
        </w:tc>
        <w:tc>
          <w:tcPr>
            <w:tcW w:w="1093" w:type="dxa"/>
            <w:tcBorders>
              <w:top w:val="nil"/>
              <w:left w:val="nil"/>
              <w:bottom w:val="nil"/>
              <w:right w:val="nil"/>
            </w:tcBorders>
          </w:tcPr>
          <w:p w14:paraId="05147CB7" w14:textId="77777777" w:rsidR="00CF0E2D" w:rsidRPr="00D60558" w:rsidRDefault="00CF0E2D" w:rsidP="00A60D4B">
            <w:pPr>
              <w:pStyle w:val="Btablefigureunbold"/>
              <w:ind w:left="0" w:firstLine="0"/>
              <w:jc w:val="left"/>
              <w:rPr>
                <w:rFonts w:cs="Calibri"/>
                <w:color w:val="000000"/>
                <w:szCs w:val="20"/>
              </w:rPr>
            </w:pPr>
            <w:r w:rsidRPr="00E921F2">
              <w:rPr>
                <w:rFonts w:cs="Calibri"/>
                <w:color w:val="000000"/>
                <w:szCs w:val="20"/>
              </w:rPr>
              <w:t>Net cost</w:t>
            </w:r>
          </w:p>
        </w:tc>
        <w:tc>
          <w:tcPr>
            <w:tcW w:w="964" w:type="dxa"/>
            <w:gridSpan w:val="2"/>
            <w:tcBorders>
              <w:top w:val="nil"/>
              <w:left w:val="nil"/>
              <w:bottom w:val="nil"/>
              <w:right w:val="nil"/>
            </w:tcBorders>
          </w:tcPr>
          <w:p w14:paraId="7E012DE7" w14:textId="77777777" w:rsidR="00CF0E2D" w:rsidRPr="00CA5F48" w:rsidRDefault="00CF0E2D" w:rsidP="00A60D4B">
            <w:pPr>
              <w:pStyle w:val="Btablefigureunbold"/>
              <w:rPr>
                <w:szCs w:val="20"/>
              </w:rPr>
            </w:pPr>
            <w:r w:rsidRPr="00CA5F48">
              <w:rPr>
                <w:rFonts w:cs="Calibri"/>
                <w:color w:val="000000"/>
                <w:szCs w:val="20"/>
              </w:rPr>
              <w:t>200</w:t>
            </w:r>
          </w:p>
        </w:tc>
        <w:tc>
          <w:tcPr>
            <w:tcW w:w="964" w:type="dxa"/>
            <w:gridSpan w:val="2"/>
            <w:tcBorders>
              <w:top w:val="nil"/>
              <w:left w:val="nil"/>
              <w:bottom w:val="nil"/>
              <w:right w:val="nil"/>
            </w:tcBorders>
          </w:tcPr>
          <w:p w14:paraId="0E4AE451" w14:textId="77777777" w:rsidR="00CF0E2D" w:rsidRPr="00CA5F48" w:rsidRDefault="00CF0E2D" w:rsidP="00A60D4B">
            <w:pPr>
              <w:pStyle w:val="Btablefigureunbold"/>
              <w:rPr>
                <w:szCs w:val="20"/>
              </w:rPr>
            </w:pPr>
            <w:r w:rsidRPr="00CA5F48">
              <w:rPr>
                <w:rFonts w:cs="Calibri"/>
                <w:color w:val="000000"/>
                <w:szCs w:val="20"/>
              </w:rPr>
              <w:t>0</w:t>
            </w:r>
          </w:p>
        </w:tc>
        <w:tc>
          <w:tcPr>
            <w:tcW w:w="964" w:type="dxa"/>
            <w:gridSpan w:val="2"/>
            <w:tcBorders>
              <w:top w:val="nil"/>
              <w:left w:val="nil"/>
              <w:bottom w:val="nil"/>
              <w:right w:val="nil"/>
            </w:tcBorders>
          </w:tcPr>
          <w:p w14:paraId="6A25B264" w14:textId="77777777" w:rsidR="00CF0E2D" w:rsidRPr="00CA5F48" w:rsidRDefault="00CF0E2D" w:rsidP="00A60D4B">
            <w:pPr>
              <w:pStyle w:val="Btablefigureunbold"/>
              <w:rPr>
                <w:szCs w:val="20"/>
              </w:rPr>
            </w:pPr>
            <w:r w:rsidRPr="00CA5F48">
              <w:rPr>
                <w:rFonts w:cs="Calibri"/>
                <w:color w:val="000000"/>
                <w:szCs w:val="20"/>
              </w:rPr>
              <w:t>0</w:t>
            </w:r>
          </w:p>
        </w:tc>
        <w:tc>
          <w:tcPr>
            <w:tcW w:w="964" w:type="dxa"/>
            <w:gridSpan w:val="2"/>
            <w:tcBorders>
              <w:top w:val="nil"/>
              <w:left w:val="nil"/>
              <w:bottom w:val="nil"/>
              <w:right w:val="nil"/>
            </w:tcBorders>
          </w:tcPr>
          <w:p w14:paraId="4339A4A8" w14:textId="77777777" w:rsidR="00CF0E2D" w:rsidRPr="00CA5F48" w:rsidRDefault="00CF0E2D" w:rsidP="00A60D4B">
            <w:pPr>
              <w:pStyle w:val="Btablefigureunbold"/>
              <w:rPr>
                <w:szCs w:val="20"/>
              </w:rPr>
            </w:pPr>
            <w:r w:rsidRPr="00CA5F48">
              <w:rPr>
                <w:rFonts w:cs="Calibri"/>
                <w:color w:val="000000"/>
                <w:szCs w:val="20"/>
              </w:rPr>
              <w:t>0</w:t>
            </w:r>
          </w:p>
        </w:tc>
        <w:tc>
          <w:tcPr>
            <w:tcW w:w="954" w:type="dxa"/>
            <w:gridSpan w:val="2"/>
            <w:tcBorders>
              <w:top w:val="nil"/>
              <w:left w:val="nil"/>
              <w:bottom w:val="nil"/>
              <w:right w:val="nil"/>
            </w:tcBorders>
          </w:tcPr>
          <w:p w14:paraId="156EA450" w14:textId="77777777" w:rsidR="00CF0E2D" w:rsidRPr="00CA5F48" w:rsidRDefault="00CF0E2D" w:rsidP="00A60D4B">
            <w:pPr>
              <w:pStyle w:val="Btablefigureunbold"/>
              <w:rPr>
                <w:b/>
                <w:bCs/>
                <w:szCs w:val="20"/>
              </w:rPr>
            </w:pPr>
            <w:r w:rsidRPr="00CA5F48">
              <w:rPr>
                <w:rFonts w:cs="Calibri"/>
                <w:b/>
                <w:bCs/>
                <w:color w:val="000000"/>
                <w:szCs w:val="20"/>
              </w:rPr>
              <w:t>200</w:t>
            </w:r>
          </w:p>
        </w:tc>
      </w:tr>
      <w:tr w:rsidR="00CF0E2D" w:rsidRPr="00D60558" w14:paraId="11B78684" w14:textId="77777777" w:rsidTr="00A60D4B">
        <w:trPr>
          <w:gridAfter w:val="1"/>
          <w:wAfter w:w="9" w:type="dxa"/>
          <w:jc w:val="center"/>
        </w:trPr>
        <w:tc>
          <w:tcPr>
            <w:tcW w:w="3355" w:type="dxa"/>
            <w:tcBorders>
              <w:top w:val="nil"/>
              <w:left w:val="nil"/>
              <w:bottom w:val="nil"/>
              <w:right w:val="nil"/>
            </w:tcBorders>
          </w:tcPr>
          <w:p w14:paraId="000BE731" w14:textId="77777777" w:rsidR="00CF0E2D" w:rsidRPr="00637CB1" w:rsidRDefault="00CF0E2D" w:rsidP="00A60D4B">
            <w:pPr>
              <w:pStyle w:val="Btabletextunbold"/>
              <w:rPr>
                <w:szCs w:val="20"/>
              </w:rPr>
            </w:pPr>
            <w:r w:rsidRPr="00637CB1">
              <w:rPr>
                <w:rFonts w:cs="Calibri"/>
                <w:color w:val="000000"/>
                <w:szCs w:val="20"/>
              </w:rPr>
              <w:t>Maintaining and growing affordable housing – Planning for the sustainable delivery of future land supply</w:t>
            </w:r>
          </w:p>
        </w:tc>
        <w:tc>
          <w:tcPr>
            <w:tcW w:w="1093" w:type="dxa"/>
            <w:tcBorders>
              <w:top w:val="nil"/>
              <w:left w:val="nil"/>
              <w:bottom w:val="nil"/>
              <w:right w:val="nil"/>
            </w:tcBorders>
          </w:tcPr>
          <w:p w14:paraId="63B0F381" w14:textId="77777777" w:rsidR="00CF0E2D" w:rsidRPr="00D60558" w:rsidRDefault="00CF0E2D" w:rsidP="00A60D4B">
            <w:pPr>
              <w:pStyle w:val="Btablefigureunbold"/>
              <w:ind w:left="0" w:firstLine="0"/>
              <w:jc w:val="left"/>
              <w:rPr>
                <w:rFonts w:cs="Calibri"/>
                <w:color w:val="000000"/>
                <w:szCs w:val="20"/>
              </w:rPr>
            </w:pPr>
            <w:r w:rsidRPr="00E921F2">
              <w:rPr>
                <w:rFonts w:cs="Calibri"/>
                <w:color w:val="000000"/>
                <w:szCs w:val="20"/>
              </w:rPr>
              <w:t>Net cost</w:t>
            </w:r>
          </w:p>
        </w:tc>
        <w:tc>
          <w:tcPr>
            <w:tcW w:w="964" w:type="dxa"/>
            <w:gridSpan w:val="2"/>
            <w:tcBorders>
              <w:top w:val="nil"/>
              <w:left w:val="nil"/>
              <w:bottom w:val="nil"/>
              <w:right w:val="nil"/>
            </w:tcBorders>
          </w:tcPr>
          <w:p w14:paraId="167A7841" w14:textId="77777777" w:rsidR="00CF0E2D" w:rsidRPr="00CA5F48" w:rsidRDefault="00CF0E2D" w:rsidP="00A60D4B">
            <w:pPr>
              <w:pStyle w:val="Btablefigureunbold"/>
              <w:rPr>
                <w:szCs w:val="20"/>
              </w:rPr>
            </w:pPr>
            <w:r w:rsidRPr="00CA5F48">
              <w:rPr>
                <w:rFonts w:cs="Calibri"/>
                <w:color w:val="000000"/>
                <w:szCs w:val="20"/>
              </w:rPr>
              <w:t>1,894</w:t>
            </w:r>
          </w:p>
        </w:tc>
        <w:tc>
          <w:tcPr>
            <w:tcW w:w="964" w:type="dxa"/>
            <w:gridSpan w:val="2"/>
            <w:tcBorders>
              <w:top w:val="nil"/>
              <w:left w:val="nil"/>
              <w:bottom w:val="nil"/>
              <w:right w:val="nil"/>
            </w:tcBorders>
          </w:tcPr>
          <w:p w14:paraId="7364154D" w14:textId="77777777" w:rsidR="00CF0E2D" w:rsidRPr="00CA5F48" w:rsidRDefault="00CF0E2D" w:rsidP="00A60D4B">
            <w:pPr>
              <w:pStyle w:val="Btablefigureunbold"/>
              <w:rPr>
                <w:szCs w:val="20"/>
              </w:rPr>
            </w:pPr>
            <w:r w:rsidRPr="00CA5F48">
              <w:rPr>
                <w:rFonts w:cs="Calibri"/>
                <w:color w:val="000000"/>
                <w:szCs w:val="20"/>
              </w:rPr>
              <w:t>2,061</w:t>
            </w:r>
          </w:p>
        </w:tc>
        <w:tc>
          <w:tcPr>
            <w:tcW w:w="964" w:type="dxa"/>
            <w:gridSpan w:val="2"/>
            <w:tcBorders>
              <w:top w:val="nil"/>
              <w:left w:val="nil"/>
              <w:bottom w:val="nil"/>
              <w:right w:val="nil"/>
            </w:tcBorders>
          </w:tcPr>
          <w:p w14:paraId="619213F2" w14:textId="77777777" w:rsidR="00CF0E2D" w:rsidRPr="00CA5F48" w:rsidRDefault="00CF0E2D" w:rsidP="00A60D4B">
            <w:pPr>
              <w:pStyle w:val="Btablefigureunbold"/>
              <w:rPr>
                <w:szCs w:val="20"/>
              </w:rPr>
            </w:pPr>
            <w:r w:rsidRPr="00CA5F48">
              <w:rPr>
                <w:rFonts w:cs="Calibri"/>
                <w:color w:val="000000"/>
                <w:szCs w:val="20"/>
              </w:rPr>
              <w:t>2,098</w:t>
            </w:r>
          </w:p>
        </w:tc>
        <w:tc>
          <w:tcPr>
            <w:tcW w:w="964" w:type="dxa"/>
            <w:gridSpan w:val="2"/>
            <w:tcBorders>
              <w:top w:val="nil"/>
              <w:left w:val="nil"/>
              <w:bottom w:val="nil"/>
              <w:right w:val="nil"/>
            </w:tcBorders>
          </w:tcPr>
          <w:p w14:paraId="3C141730" w14:textId="77777777" w:rsidR="00CF0E2D" w:rsidRPr="00CA5F48" w:rsidRDefault="00CF0E2D" w:rsidP="00A60D4B">
            <w:pPr>
              <w:pStyle w:val="Btablefigureunbold"/>
              <w:rPr>
                <w:szCs w:val="20"/>
              </w:rPr>
            </w:pPr>
            <w:r w:rsidRPr="00CA5F48">
              <w:rPr>
                <w:rFonts w:cs="Calibri"/>
                <w:color w:val="000000"/>
                <w:szCs w:val="20"/>
              </w:rPr>
              <w:t>2,148</w:t>
            </w:r>
          </w:p>
        </w:tc>
        <w:tc>
          <w:tcPr>
            <w:tcW w:w="954" w:type="dxa"/>
            <w:gridSpan w:val="2"/>
            <w:tcBorders>
              <w:top w:val="nil"/>
              <w:left w:val="nil"/>
              <w:bottom w:val="nil"/>
              <w:right w:val="nil"/>
            </w:tcBorders>
          </w:tcPr>
          <w:p w14:paraId="69CA51F8" w14:textId="77777777" w:rsidR="00CF0E2D" w:rsidRPr="00CA5F48" w:rsidRDefault="00CF0E2D" w:rsidP="00A60D4B">
            <w:pPr>
              <w:pStyle w:val="Btablefigureunbold"/>
              <w:rPr>
                <w:b/>
                <w:bCs/>
                <w:szCs w:val="20"/>
              </w:rPr>
            </w:pPr>
            <w:r w:rsidRPr="00CA5F48">
              <w:rPr>
                <w:rFonts w:cs="Calibri"/>
                <w:b/>
                <w:bCs/>
                <w:color w:val="000000"/>
                <w:szCs w:val="20"/>
              </w:rPr>
              <w:t>8,201</w:t>
            </w:r>
          </w:p>
        </w:tc>
      </w:tr>
      <w:tr w:rsidR="00CF0E2D" w:rsidRPr="00D60558" w14:paraId="799848B5" w14:textId="77777777" w:rsidTr="00A60D4B">
        <w:trPr>
          <w:gridAfter w:val="1"/>
          <w:wAfter w:w="9" w:type="dxa"/>
          <w:jc w:val="center"/>
        </w:trPr>
        <w:tc>
          <w:tcPr>
            <w:tcW w:w="3355" w:type="dxa"/>
            <w:tcBorders>
              <w:top w:val="nil"/>
              <w:left w:val="nil"/>
              <w:bottom w:val="nil"/>
              <w:right w:val="nil"/>
            </w:tcBorders>
          </w:tcPr>
          <w:p w14:paraId="48B02D40" w14:textId="77777777" w:rsidR="00CF0E2D" w:rsidRPr="00D50D14" w:rsidRDefault="00CF0E2D" w:rsidP="00A60D4B">
            <w:pPr>
              <w:pStyle w:val="Btabletextunbold"/>
              <w:rPr>
                <w:rFonts w:cs="Calibri"/>
                <w:i/>
                <w:iCs/>
                <w:color w:val="000000"/>
                <w:szCs w:val="20"/>
              </w:rPr>
            </w:pPr>
            <w:r w:rsidRPr="00D50D14">
              <w:rPr>
                <w:rFonts w:cs="Calibri"/>
                <w:i/>
                <w:iCs/>
                <w:color w:val="000000"/>
                <w:szCs w:val="20"/>
              </w:rPr>
              <w:t>Protecting Canberra's unique environment</w:t>
            </w:r>
          </w:p>
        </w:tc>
        <w:tc>
          <w:tcPr>
            <w:tcW w:w="1093" w:type="dxa"/>
            <w:tcBorders>
              <w:top w:val="nil"/>
              <w:left w:val="nil"/>
              <w:bottom w:val="nil"/>
              <w:right w:val="nil"/>
            </w:tcBorders>
          </w:tcPr>
          <w:p w14:paraId="29C4CC0A" w14:textId="77777777" w:rsidR="00CF0E2D" w:rsidRPr="00E921F2"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7DD462A9"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57D9F517"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5F9C4B65"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0A054BF1" w14:textId="77777777" w:rsidR="00CF0E2D" w:rsidRPr="00D60558" w:rsidRDefault="00CF0E2D" w:rsidP="00A60D4B">
            <w:pPr>
              <w:pStyle w:val="Btablefigureunbold"/>
              <w:rPr>
                <w:szCs w:val="20"/>
              </w:rPr>
            </w:pPr>
          </w:p>
        </w:tc>
        <w:tc>
          <w:tcPr>
            <w:tcW w:w="954" w:type="dxa"/>
            <w:gridSpan w:val="2"/>
            <w:tcBorders>
              <w:top w:val="nil"/>
              <w:left w:val="nil"/>
              <w:bottom w:val="nil"/>
              <w:right w:val="nil"/>
            </w:tcBorders>
          </w:tcPr>
          <w:p w14:paraId="083F25C2" w14:textId="77777777" w:rsidR="00CF0E2D" w:rsidRPr="00D60558" w:rsidRDefault="00CF0E2D" w:rsidP="00A60D4B">
            <w:pPr>
              <w:pStyle w:val="Btablefigureunbold"/>
              <w:rPr>
                <w:b/>
                <w:bCs/>
                <w:szCs w:val="20"/>
              </w:rPr>
            </w:pPr>
          </w:p>
        </w:tc>
      </w:tr>
      <w:tr w:rsidR="00CF0E2D" w:rsidRPr="00D60558" w14:paraId="050CB21F" w14:textId="77777777" w:rsidTr="00A60D4B">
        <w:trPr>
          <w:gridAfter w:val="1"/>
          <w:wAfter w:w="9" w:type="dxa"/>
          <w:jc w:val="center"/>
        </w:trPr>
        <w:tc>
          <w:tcPr>
            <w:tcW w:w="3355" w:type="dxa"/>
            <w:tcBorders>
              <w:top w:val="nil"/>
              <w:left w:val="nil"/>
              <w:bottom w:val="nil"/>
              <w:right w:val="nil"/>
            </w:tcBorders>
          </w:tcPr>
          <w:p w14:paraId="622A41A9" w14:textId="77777777" w:rsidR="00CF0E2D" w:rsidRPr="00637CB1" w:rsidRDefault="00CF0E2D" w:rsidP="00A60D4B">
            <w:pPr>
              <w:pStyle w:val="Btabletextunbold"/>
              <w:rPr>
                <w:szCs w:val="20"/>
              </w:rPr>
            </w:pPr>
            <w:r w:rsidRPr="00637CB1">
              <w:rPr>
                <w:rFonts w:cs="Calibri"/>
                <w:color w:val="000000"/>
                <w:szCs w:val="20"/>
              </w:rPr>
              <w:t>– Better managing invasive species</w:t>
            </w:r>
          </w:p>
        </w:tc>
        <w:tc>
          <w:tcPr>
            <w:tcW w:w="1093" w:type="dxa"/>
            <w:tcBorders>
              <w:top w:val="nil"/>
              <w:left w:val="nil"/>
              <w:bottom w:val="nil"/>
              <w:right w:val="nil"/>
            </w:tcBorders>
          </w:tcPr>
          <w:p w14:paraId="0A25DE9E" w14:textId="77777777" w:rsidR="00CF0E2D" w:rsidRPr="00D60558" w:rsidRDefault="00CF0E2D" w:rsidP="00A60D4B">
            <w:pPr>
              <w:pStyle w:val="Btablefigureunbold"/>
              <w:ind w:left="0" w:firstLine="0"/>
              <w:jc w:val="left"/>
              <w:rPr>
                <w:rFonts w:cs="Calibri"/>
                <w:color w:val="000000"/>
                <w:szCs w:val="20"/>
              </w:rPr>
            </w:pPr>
            <w:r w:rsidRPr="00E921F2">
              <w:rPr>
                <w:rFonts w:cs="Calibri"/>
                <w:color w:val="000000"/>
                <w:szCs w:val="20"/>
              </w:rPr>
              <w:t>Net cost</w:t>
            </w:r>
          </w:p>
        </w:tc>
        <w:tc>
          <w:tcPr>
            <w:tcW w:w="964" w:type="dxa"/>
            <w:gridSpan w:val="2"/>
            <w:tcBorders>
              <w:top w:val="nil"/>
              <w:left w:val="nil"/>
              <w:bottom w:val="nil"/>
              <w:right w:val="nil"/>
            </w:tcBorders>
          </w:tcPr>
          <w:p w14:paraId="69DA0E4A" w14:textId="77777777" w:rsidR="00CF0E2D" w:rsidRPr="00CA5F48" w:rsidRDefault="00CF0E2D" w:rsidP="00A60D4B">
            <w:pPr>
              <w:pStyle w:val="Btablefigureunbold"/>
              <w:rPr>
                <w:rFonts w:cs="Calibri"/>
                <w:color w:val="000000"/>
                <w:szCs w:val="20"/>
              </w:rPr>
            </w:pPr>
            <w:r w:rsidRPr="00CA5F48">
              <w:rPr>
                <w:rFonts w:cs="Calibri"/>
                <w:color w:val="000000"/>
                <w:szCs w:val="20"/>
              </w:rPr>
              <w:t>414</w:t>
            </w:r>
          </w:p>
        </w:tc>
        <w:tc>
          <w:tcPr>
            <w:tcW w:w="964" w:type="dxa"/>
            <w:gridSpan w:val="2"/>
            <w:tcBorders>
              <w:top w:val="nil"/>
              <w:left w:val="nil"/>
              <w:bottom w:val="nil"/>
              <w:right w:val="nil"/>
            </w:tcBorders>
          </w:tcPr>
          <w:p w14:paraId="6D63243E" w14:textId="77777777" w:rsidR="00CF0E2D" w:rsidRPr="00CA5F48" w:rsidRDefault="00CF0E2D" w:rsidP="00A60D4B">
            <w:pPr>
              <w:pStyle w:val="Btablefigureunbold"/>
              <w:rPr>
                <w:rFonts w:cs="Calibri"/>
                <w:color w:val="000000"/>
                <w:szCs w:val="20"/>
              </w:rPr>
            </w:pPr>
            <w:r w:rsidRPr="00CA5F48">
              <w:rPr>
                <w:rFonts w:cs="Calibri"/>
                <w:color w:val="000000"/>
                <w:szCs w:val="20"/>
              </w:rPr>
              <w:t>839</w:t>
            </w:r>
          </w:p>
        </w:tc>
        <w:tc>
          <w:tcPr>
            <w:tcW w:w="964" w:type="dxa"/>
            <w:gridSpan w:val="2"/>
            <w:tcBorders>
              <w:top w:val="nil"/>
              <w:left w:val="nil"/>
              <w:bottom w:val="nil"/>
              <w:right w:val="nil"/>
            </w:tcBorders>
          </w:tcPr>
          <w:p w14:paraId="0F7245EE" w14:textId="77777777" w:rsidR="00CF0E2D" w:rsidRPr="00CA5F48" w:rsidRDefault="00CF0E2D" w:rsidP="00A60D4B">
            <w:pPr>
              <w:pStyle w:val="Btablefigureunbold"/>
              <w:rPr>
                <w:rFonts w:cs="Calibri"/>
                <w:color w:val="000000"/>
                <w:szCs w:val="20"/>
              </w:rPr>
            </w:pPr>
            <w:r w:rsidRPr="00CA5F48">
              <w:rPr>
                <w:rFonts w:cs="Calibri"/>
                <w:color w:val="000000"/>
                <w:szCs w:val="20"/>
              </w:rPr>
              <w:t>851</w:t>
            </w:r>
          </w:p>
        </w:tc>
        <w:tc>
          <w:tcPr>
            <w:tcW w:w="964" w:type="dxa"/>
            <w:gridSpan w:val="2"/>
            <w:tcBorders>
              <w:top w:val="nil"/>
              <w:left w:val="nil"/>
              <w:bottom w:val="nil"/>
              <w:right w:val="nil"/>
            </w:tcBorders>
          </w:tcPr>
          <w:p w14:paraId="2DF1620D" w14:textId="77777777" w:rsidR="00CF0E2D" w:rsidRPr="00CA5F48" w:rsidRDefault="00CF0E2D" w:rsidP="00A60D4B">
            <w:pPr>
              <w:pStyle w:val="Btablefigureunbold"/>
              <w:rPr>
                <w:rFonts w:cs="Calibri"/>
                <w:color w:val="000000"/>
                <w:szCs w:val="20"/>
              </w:rPr>
            </w:pPr>
            <w:r w:rsidRPr="00CA5F48">
              <w:rPr>
                <w:rFonts w:cs="Calibri"/>
                <w:color w:val="000000"/>
                <w:szCs w:val="20"/>
              </w:rPr>
              <w:t>864</w:t>
            </w:r>
          </w:p>
        </w:tc>
        <w:tc>
          <w:tcPr>
            <w:tcW w:w="954" w:type="dxa"/>
            <w:gridSpan w:val="2"/>
            <w:tcBorders>
              <w:top w:val="nil"/>
              <w:left w:val="nil"/>
              <w:bottom w:val="nil"/>
              <w:right w:val="nil"/>
            </w:tcBorders>
          </w:tcPr>
          <w:p w14:paraId="204B551B" w14:textId="77777777" w:rsidR="00CF0E2D" w:rsidRPr="00CA5F48" w:rsidRDefault="00CF0E2D" w:rsidP="00A60D4B">
            <w:pPr>
              <w:pStyle w:val="Btablefigureunbold"/>
              <w:rPr>
                <w:rFonts w:cs="Calibri"/>
                <w:b/>
                <w:bCs/>
                <w:color w:val="000000"/>
                <w:szCs w:val="20"/>
              </w:rPr>
            </w:pPr>
            <w:r w:rsidRPr="00CA5F48">
              <w:rPr>
                <w:rFonts w:cs="Calibri"/>
                <w:b/>
                <w:bCs/>
                <w:color w:val="000000"/>
                <w:szCs w:val="20"/>
              </w:rPr>
              <w:t>2,968</w:t>
            </w:r>
          </w:p>
        </w:tc>
      </w:tr>
      <w:tr w:rsidR="00CF0E2D" w:rsidRPr="00D60558" w14:paraId="7C6A4683" w14:textId="77777777" w:rsidTr="00A60D4B">
        <w:trPr>
          <w:gridAfter w:val="1"/>
          <w:wAfter w:w="9" w:type="dxa"/>
          <w:jc w:val="center"/>
        </w:trPr>
        <w:tc>
          <w:tcPr>
            <w:tcW w:w="3355" w:type="dxa"/>
            <w:tcBorders>
              <w:top w:val="nil"/>
              <w:left w:val="nil"/>
              <w:bottom w:val="nil"/>
              <w:right w:val="nil"/>
            </w:tcBorders>
          </w:tcPr>
          <w:p w14:paraId="531A0369" w14:textId="77777777" w:rsidR="00CF0E2D" w:rsidRPr="00637CB1" w:rsidRDefault="00CF0E2D" w:rsidP="00A60D4B">
            <w:pPr>
              <w:pStyle w:val="Btabletextunbold"/>
              <w:rPr>
                <w:szCs w:val="20"/>
              </w:rPr>
            </w:pPr>
            <w:r w:rsidRPr="00637CB1">
              <w:rPr>
                <w:rFonts w:cs="Calibri"/>
                <w:color w:val="000000"/>
                <w:szCs w:val="20"/>
              </w:rPr>
              <w:lastRenderedPageBreak/>
              <w:t xml:space="preserve">– Expanding Healthy Waterways </w:t>
            </w:r>
          </w:p>
        </w:tc>
        <w:tc>
          <w:tcPr>
            <w:tcW w:w="1093" w:type="dxa"/>
            <w:tcBorders>
              <w:top w:val="nil"/>
              <w:left w:val="nil"/>
              <w:bottom w:val="nil"/>
              <w:right w:val="nil"/>
            </w:tcBorders>
          </w:tcPr>
          <w:p w14:paraId="2801BD2B"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65C2F548" w14:textId="77777777" w:rsidR="00CF0E2D" w:rsidRPr="00CA5F48" w:rsidRDefault="00CF0E2D" w:rsidP="00A60D4B">
            <w:pPr>
              <w:pStyle w:val="Btablefigureunbold"/>
              <w:rPr>
                <w:rFonts w:cs="Calibri"/>
                <w:color w:val="000000"/>
                <w:szCs w:val="20"/>
              </w:rPr>
            </w:pPr>
            <w:r w:rsidRPr="00CA5F48">
              <w:rPr>
                <w:rFonts w:cs="Calibri"/>
                <w:color w:val="000000"/>
                <w:szCs w:val="20"/>
              </w:rPr>
              <w:t>1,590</w:t>
            </w:r>
          </w:p>
        </w:tc>
        <w:tc>
          <w:tcPr>
            <w:tcW w:w="964" w:type="dxa"/>
            <w:gridSpan w:val="2"/>
            <w:tcBorders>
              <w:top w:val="nil"/>
              <w:left w:val="nil"/>
              <w:bottom w:val="nil"/>
              <w:right w:val="nil"/>
            </w:tcBorders>
          </w:tcPr>
          <w:p w14:paraId="0348C31F" w14:textId="77777777" w:rsidR="00CF0E2D" w:rsidRPr="00CA5F48" w:rsidRDefault="00CF0E2D" w:rsidP="00A60D4B">
            <w:pPr>
              <w:pStyle w:val="Btablefigureunbold"/>
              <w:rPr>
                <w:rFonts w:cs="Calibri"/>
                <w:color w:val="000000"/>
                <w:szCs w:val="20"/>
              </w:rPr>
            </w:pPr>
            <w:r w:rsidRPr="00CA5F48">
              <w:rPr>
                <w:rFonts w:cs="Calibri"/>
                <w:color w:val="000000"/>
                <w:szCs w:val="20"/>
              </w:rPr>
              <w:t>0</w:t>
            </w:r>
          </w:p>
        </w:tc>
        <w:tc>
          <w:tcPr>
            <w:tcW w:w="964" w:type="dxa"/>
            <w:gridSpan w:val="2"/>
            <w:tcBorders>
              <w:top w:val="nil"/>
              <w:left w:val="nil"/>
              <w:bottom w:val="nil"/>
              <w:right w:val="nil"/>
            </w:tcBorders>
          </w:tcPr>
          <w:p w14:paraId="19722852" w14:textId="77777777" w:rsidR="00CF0E2D" w:rsidRPr="00CA5F48" w:rsidRDefault="00CF0E2D" w:rsidP="00A60D4B">
            <w:pPr>
              <w:pStyle w:val="Btablefigureunbold"/>
              <w:rPr>
                <w:rFonts w:cs="Calibri"/>
                <w:color w:val="000000"/>
                <w:szCs w:val="20"/>
              </w:rPr>
            </w:pPr>
            <w:r w:rsidRPr="00CA5F48">
              <w:rPr>
                <w:rFonts w:cs="Calibri"/>
                <w:color w:val="000000"/>
                <w:szCs w:val="20"/>
              </w:rPr>
              <w:t>0</w:t>
            </w:r>
          </w:p>
        </w:tc>
        <w:tc>
          <w:tcPr>
            <w:tcW w:w="964" w:type="dxa"/>
            <w:gridSpan w:val="2"/>
            <w:tcBorders>
              <w:top w:val="nil"/>
              <w:left w:val="nil"/>
              <w:bottom w:val="nil"/>
              <w:right w:val="nil"/>
            </w:tcBorders>
          </w:tcPr>
          <w:p w14:paraId="4B81A423" w14:textId="77777777" w:rsidR="00CF0E2D" w:rsidRPr="00CA5F48" w:rsidRDefault="00CF0E2D" w:rsidP="00A60D4B">
            <w:pPr>
              <w:pStyle w:val="Btablefigureunbold"/>
              <w:rPr>
                <w:rFonts w:cs="Calibri"/>
                <w:color w:val="000000"/>
                <w:szCs w:val="20"/>
              </w:rPr>
            </w:pPr>
            <w:r w:rsidRPr="00CA5F48">
              <w:rPr>
                <w:rFonts w:cs="Calibri"/>
                <w:color w:val="000000"/>
                <w:szCs w:val="20"/>
              </w:rPr>
              <w:t>0</w:t>
            </w:r>
          </w:p>
        </w:tc>
        <w:tc>
          <w:tcPr>
            <w:tcW w:w="954" w:type="dxa"/>
            <w:gridSpan w:val="2"/>
            <w:tcBorders>
              <w:top w:val="nil"/>
              <w:left w:val="nil"/>
              <w:bottom w:val="nil"/>
              <w:right w:val="nil"/>
            </w:tcBorders>
          </w:tcPr>
          <w:p w14:paraId="4782B518" w14:textId="77777777" w:rsidR="00CF0E2D" w:rsidRPr="00CA5F48" w:rsidRDefault="00CF0E2D" w:rsidP="00A60D4B">
            <w:pPr>
              <w:pStyle w:val="Btablefigureunbold"/>
              <w:rPr>
                <w:rFonts w:cs="Calibri"/>
                <w:b/>
                <w:bCs/>
                <w:color w:val="000000"/>
                <w:szCs w:val="20"/>
              </w:rPr>
            </w:pPr>
            <w:r w:rsidRPr="00CA5F48">
              <w:rPr>
                <w:rFonts w:cs="Calibri"/>
                <w:b/>
                <w:bCs/>
                <w:color w:val="000000"/>
                <w:szCs w:val="20"/>
              </w:rPr>
              <w:t>1,590</w:t>
            </w:r>
          </w:p>
        </w:tc>
      </w:tr>
      <w:tr w:rsidR="00CF0E2D" w:rsidRPr="00D60558" w14:paraId="14F3943D" w14:textId="77777777" w:rsidTr="00A60D4B">
        <w:trPr>
          <w:gridAfter w:val="1"/>
          <w:wAfter w:w="9" w:type="dxa"/>
          <w:jc w:val="center"/>
        </w:trPr>
        <w:tc>
          <w:tcPr>
            <w:tcW w:w="3355" w:type="dxa"/>
            <w:tcBorders>
              <w:top w:val="nil"/>
              <w:left w:val="nil"/>
              <w:bottom w:val="nil"/>
              <w:right w:val="nil"/>
            </w:tcBorders>
          </w:tcPr>
          <w:p w14:paraId="142005E8" w14:textId="77777777" w:rsidR="00CF0E2D" w:rsidRPr="00637CB1" w:rsidRDefault="00CF0E2D" w:rsidP="00A60D4B">
            <w:pPr>
              <w:pStyle w:val="Btabletextunbold"/>
              <w:rPr>
                <w:szCs w:val="20"/>
              </w:rPr>
            </w:pPr>
            <w:r w:rsidRPr="00637CB1">
              <w:rPr>
                <w:rFonts w:cs="Calibri"/>
                <w:color w:val="000000"/>
                <w:szCs w:val="20"/>
              </w:rPr>
              <w:t xml:space="preserve">– Expanding Healthy Waterways </w:t>
            </w:r>
          </w:p>
        </w:tc>
        <w:tc>
          <w:tcPr>
            <w:tcW w:w="1093" w:type="dxa"/>
            <w:tcBorders>
              <w:top w:val="nil"/>
              <w:left w:val="nil"/>
              <w:bottom w:val="nil"/>
              <w:right w:val="nil"/>
            </w:tcBorders>
          </w:tcPr>
          <w:p w14:paraId="2B8F4191"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31D31891" w14:textId="77777777" w:rsidR="00CF0E2D" w:rsidRPr="00CA5F48" w:rsidRDefault="00CF0E2D" w:rsidP="00A60D4B">
            <w:pPr>
              <w:pStyle w:val="Btablefigureunbold"/>
              <w:rPr>
                <w:rFonts w:cs="Calibri"/>
                <w:color w:val="000000"/>
                <w:szCs w:val="20"/>
              </w:rPr>
            </w:pPr>
            <w:r w:rsidRPr="00CA5F48">
              <w:rPr>
                <w:rFonts w:cs="Calibri"/>
                <w:color w:val="000000"/>
                <w:szCs w:val="20"/>
              </w:rPr>
              <w:t>730</w:t>
            </w:r>
          </w:p>
        </w:tc>
        <w:tc>
          <w:tcPr>
            <w:tcW w:w="964" w:type="dxa"/>
            <w:gridSpan w:val="2"/>
            <w:tcBorders>
              <w:top w:val="nil"/>
              <w:left w:val="nil"/>
              <w:bottom w:val="nil"/>
              <w:right w:val="nil"/>
            </w:tcBorders>
          </w:tcPr>
          <w:p w14:paraId="0A6231B2" w14:textId="77777777" w:rsidR="00CF0E2D" w:rsidRPr="00CA5F48" w:rsidRDefault="00CF0E2D" w:rsidP="00A60D4B">
            <w:pPr>
              <w:pStyle w:val="Btablefigureunbold"/>
              <w:rPr>
                <w:rFonts w:cs="Calibri"/>
                <w:color w:val="000000"/>
                <w:szCs w:val="20"/>
              </w:rPr>
            </w:pPr>
            <w:r w:rsidRPr="00CA5F48">
              <w:rPr>
                <w:rFonts w:cs="Calibri"/>
                <w:color w:val="000000"/>
                <w:szCs w:val="20"/>
              </w:rPr>
              <w:t>886</w:t>
            </w:r>
          </w:p>
        </w:tc>
        <w:tc>
          <w:tcPr>
            <w:tcW w:w="964" w:type="dxa"/>
            <w:gridSpan w:val="2"/>
            <w:tcBorders>
              <w:top w:val="nil"/>
              <w:left w:val="nil"/>
              <w:bottom w:val="nil"/>
              <w:right w:val="nil"/>
            </w:tcBorders>
          </w:tcPr>
          <w:p w14:paraId="741923EC" w14:textId="77777777" w:rsidR="00CF0E2D" w:rsidRPr="00CA5F48" w:rsidRDefault="00CF0E2D" w:rsidP="00A60D4B">
            <w:pPr>
              <w:pStyle w:val="Btablefigureunbold"/>
              <w:rPr>
                <w:rFonts w:cs="Calibri"/>
                <w:color w:val="000000"/>
                <w:szCs w:val="20"/>
              </w:rPr>
            </w:pPr>
            <w:r w:rsidRPr="00CA5F48">
              <w:rPr>
                <w:rFonts w:cs="Calibri"/>
                <w:color w:val="000000"/>
                <w:szCs w:val="20"/>
              </w:rPr>
              <w:t>919</w:t>
            </w:r>
          </w:p>
        </w:tc>
        <w:tc>
          <w:tcPr>
            <w:tcW w:w="964" w:type="dxa"/>
            <w:gridSpan w:val="2"/>
            <w:tcBorders>
              <w:top w:val="nil"/>
              <w:left w:val="nil"/>
              <w:bottom w:val="nil"/>
              <w:right w:val="nil"/>
            </w:tcBorders>
          </w:tcPr>
          <w:p w14:paraId="0383FFA9" w14:textId="77777777" w:rsidR="00CF0E2D" w:rsidRPr="00CA5F48" w:rsidRDefault="00CF0E2D" w:rsidP="00A60D4B">
            <w:pPr>
              <w:pStyle w:val="Btablefigureunbold"/>
              <w:rPr>
                <w:rFonts w:cs="Calibri"/>
                <w:color w:val="000000"/>
                <w:szCs w:val="20"/>
              </w:rPr>
            </w:pPr>
            <w:r w:rsidRPr="00CA5F48">
              <w:rPr>
                <w:rFonts w:cs="Calibri"/>
                <w:color w:val="000000"/>
                <w:szCs w:val="20"/>
              </w:rPr>
              <w:t>953</w:t>
            </w:r>
          </w:p>
        </w:tc>
        <w:tc>
          <w:tcPr>
            <w:tcW w:w="954" w:type="dxa"/>
            <w:gridSpan w:val="2"/>
            <w:tcBorders>
              <w:top w:val="nil"/>
              <w:left w:val="nil"/>
              <w:bottom w:val="nil"/>
              <w:right w:val="nil"/>
            </w:tcBorders>
          </w:tcPr>
          <w:p w14:paraId="79F3B1A9" w14:textId="77777777" w:rsidR="00CF0E2D" w:rsidRPr="00CA5F48" w:rsidRDefault="00CF0E2D" w:rsidP="00A60D4B">
            <w:pPr>
              <w:pStyle w:val="Btablefigureunbold"/>
              <w:rPr>
                <w:rFonts w:cs="Calibri"/>
                <w:b/>
                <w:bCs/>
                <w:color w:val="000000"/>
                <w:szCs w:val="20"/>
              </w:rPr>
            </w:pPr>
            <w:r w:rsidRPr="00CA5F48">
              <w:rPr>
                <w:rFonts w:cs="Calibri"/>
                <w:b/>
                <w:bCs/>
                <w:color w:val="000000"/>
                <w:szCs w:val="20"/>
              </w:rPr>
              <w:t>3</w:t>
            </w:r>
            <w:r>
              <w:rPr>
                <w:rFonts w:cs="Calibri"/>
                <w:b/>
                <w:bCs/>
                <w:color w:val="000000"/>
                <w:szCs w:val="20"/>
              </w:rPr>
              <w:t>,</w:t>
            </w:r>
            <w:r w:rsidRPr="00CA5F48">
              <w:rPr>
                <w:rFonts w:cs="Calibri"/>
                <w:b/>
                <w:bCs/>
                <w:color w:val="000000"/>
                <w:szCs w:val="20"/>
              </w:rPr>
              <w:t>488</w:t>
            </w:r>
          </w:p>
        </w:tc>
      </w:tr>
      <w:tr w:rsidR="00CF0E2D" w:rsidRPr="00D60558" w14:paraId="693419D9" w14:textId="77777777" w:rsidTr="00A60D4B">
        <w:trPr>
          <w:gridAfter w:val="1"/>
          <w:wAfter w:w="9" w:type="dxa"/>
          <w:jc w:val="center"/>
        </w:trPr>
        <w:tc>
          <w:tcPr>
            <w:tcW w:w="3355" w:type="dxa"/>
            <w:tcBorders>
              <w:top w:val="nil"/>
              <w:left w:val="nil"/>
              <w:bottom w:val="nil"/>
              <w:right w:val="nil"/>
            </w:tcBorders>
          </w:tcPr>
          <w:p w14:paraId="5F8A94BE" w14:textId="77777777" w:rsidR="00CF0E2D" w:rsidRPr="00637CB1" w:rsidRDefault="00CF0E2D" w:rsidP="00A60D4B">
            <w:pPr>
              <w:pStyle w:val="Btabletextunbold"/>
              <w:rPr>
                <w:szCs w:val="20"/>
              </w:rPr>
            </w:pPr>
            <w:r w:rsidRPr="00637CB1">
              <w:rPr>
                <w:rFonts w:cs="Calibri"/>
                <w:color w:val="000000"/>
                <w:szCs w:val="20"/>
              </w:rPr>
              <w:t xml:space="preserve">– Franklin Nature Reserve enhancement </w:t>
            </w:r>
          </w:p>
        </w:tc>
        <w:tc>
          <w:tcPr>
            <w:tcW w:w="1093" w:type="dxa"/>
            <w:tcBorders>
              <w:top w:val="nil"/>
              <w:left w:val="nil"/>
              <w:bottom w:val="nil"/>
              <w:right w:val="nil"/>
            </w:tcBorders>
          </w:tcPr>
          <w:p w14:paraId="627919C8"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5ADF08E9" w14:textId="77777777" w:rsidR="00CF0E2D" w:rsidRPr="00CA5F48" w:rsidRDefault="00CF0E2D" w:rsidP="00A60D4B">
            <w:pPr>
              <w:pStyle w:val="Btablefigureunbold"/>
              <w:rPr>
                <w:rFonts w:cs="Calibri"/>
                <w:color w:val="000000"/>
                <w:szCs w:val="20"/>
              </w:rPr>
            </w:pPr>
            <w:r w:rsidRPr="00CA5F48">
              <w:rPr>
                <w:rFonts w:cs="Calibri"/>
                <w:color w:val="000000"/>
                <w:szCs w:val="20"/>
              </w:rPr>
              <w:t>310</w:t>
            </w:r>
          </w:p>
        </w:tc>
        <w:tc>
          <w:tcPr>
            <w:tcW w:w="964" w:type="dxa"/>
            <w:gridSpan w:val="2"/>
            <w:tcBorders>
              <w:top w:val="nil"/>
              <w:left w:val="nil"/>
              <w:bottom w:val="nil"/>
              <w:right w:val="nil"/>
            </w:tcBorders>
          </w:tcPr>
          <w:p w14:paraId="3965CB21" w14:textId="77777777" w:rsidR="00CF0E2D" w:rsidRPr="00CA5F48" w:rsidRDefault="00CF0E2D" w:rsidP="00A60D4B">
            <w:pPr>
              <w:pStyle w:val="Btablefigureunbold"/>
              <w:rPr>
                <w:rFonts w:cs="Calibri"/>
                <w:color w:val="000000"/>
                <w:szCs w:val="20"/>
              </w:rPr>
            </w:pPr>
            <w:r w:rsidRPr="00CA5F48">
              <w:rPr>
                <w:rFonts w:cs="Calibri"/>
                <w:color w:val="000000"/>
                <w:szCs w:val="20"/>
              </w:rPr>
              <w:t>2,529</w:t>
            </w:r>
          </w:p>
        </w:tc>
        <w:tc>
          <w:tcPr>
            <w:tcW w:w="964" w:type="dxa"/>
            <w:gridSpan w:val="2"/>
            <w:tcBorders>
              <w:top w:val="nil"/>
              <w:left w:val="nil"/>
              <w:bottom w:val="nil"/>
              <w:right w:val="nil"/>
            </w:tcBorders>
          </w:tcPr>
          <w:p w14:paraId="112E8DD4" w14:textId="77777777" w:rsidR="00CF0E2D" w:rsidRPr="00CA5F48" w:rsidRDefault="00CF0E2D" w:rsidP="00A60D4B">
            <w:pPr>
              <w:pStyle w:val="Btablefigureunbold"/>
              <w:rPr>
                <w:rFonts w:cs="Calibri"/>
                <w:color w:val="000000"/>
                <w:szCs w:val="20"/>
              </w:rPr>
            </w:pPr>
            <w:r w:rsidRPr="00CA5F48">
              <w:rPr>
                <w:rFonts w:cs="Calibri"/>
                <w:color w:val="000000"/>
                <w:szCs w:val="20"/>
              </w:rPr>
              <w:t>147</w:t>
            </w:r>
          </w:p>
        </w:tc>
        <w:tc>
          <w:tcPr>
            <w:tcW w:w="964" w:type="dxa"/>
            <w:gridSpan w:val="2"/>
            <w:tcBorders>
              <w:top w:val="nil"/>
              <w:left w:val="nil"/>
              <w:bottom w:val="nil"/>
              <w:right w:val="nil"/>
            </w:tcBorders>
          </w:tcPr>
          <w:p w14:paraId="4203B384" w14:textId="77777777" w:rsidR="00CF0E2D" w:rsidRPr="00CA5F48" w:rsidRDefault="00CF0E2D" w:rsidP="00A60D4B">
            <w:pPr>
              <w:pStyle w:val="Btablefigureunbold"/>
              <w:rPr>
                <w:rFonts w:cs="Calibri"/>
                <w:color w:val="000000"/>
                <w:szCs w:val="20"/>
              </w:rPr>
            </w:pPr>
            <w:r w:rsidRPr="00CA5F48">
              <w:rPr>
                <w:rFonts w:cs="Calibri"/>
                <w:color w:val="000000"/>
                <w:szCs w:val="20"/>
              </w:rPr>
              <w:t>69</w:t>
            </w:r>
          </w:p>
        </w:tc>
        <w:tc>
          <w:tcPr>
            <w:tcW w:w="954" w:type="dxa"/>
            <w:gridSpan w:val="2"/>
            <w:tcBorders>
              <w:top w:val="nil"/>
              <w:left w:val="nil"/>
              <w:bottom w:val="nil"/>
              <w:right w:val="nil"/>
            </w:tcBorders>
          </w:tcPr>
          <w:p w14:paraId="230A9CF5" w14:textId="77777777" w:rsidR="00CF0E2D" w:rsidRPr="00CA5F48" w:rsidRDefault="00CF0E2D" w:rsidP="00A60D4B">
            <w:pPr>
              <w:pStyle w:val="Btablefigureunbold"/>
              <w:rPr>
                <w:rFonts w:cs="Calibri"/>
                <w:b/>
                <w:bCs/>
                <w:color w:val="000000"/>
                <w:szCs w:val="20"/>
              </w:rPr>
            </w:pPr>
            <w:r w:rsidRPr="00CA5F48">
              <w:rPr>
                <w:rFonts w:cs="Calibri"/>
                <w:b/>
                <w:bCs/>
                <w:color w:val="000000"/>
                <w:szCs w:val="20"/>
              </w:rPr>
              <w:t>3,055</w:t>
            </w:r>
          </w:p>
        </w:tc>
      </w:tr>
      <w:tr w:rsidR="00CF0E2D" w:rsidRPr="00D60558" w14:paraId="12C93C42" w14:textId="77777777" w:rsidTr="00A60D4B">
        <w:trPr>
          <w:gridAfter w:val="1"/>
          <w:wAfter w:w="9" w:type="dxa"/>
          <w:jc w:val="center"/>
        </w:trPr>
        <w:tc>
          <w:tcPr>
            <w:tcW w:w="3355" w:type="dxa"/>
            <w:tcBorders>
              <w:top w:val="nil"/>
              <w:left w:val="nil"/>
              <w:bottom w:val="nil"/>
              <w:right w:val="nil"/>
            </w:tcBorders>
          </w:tcPr>
          <w:p w14:paraId="0ED0988A" w14:textId="77777777" w:rsidR="00CF0E2D" w:rsidRPr="00637CB1" w:rsidRDefault="00CF0E2D" w:rsidP="00A60D4B">
            <w:pPr>
              <w:pStyle w:val="Btabletextunbold"/>
              <w:rPr>
                <w:szCs w:val="20"/>
              </w:rPr>
            </w:pPr>
            <w:r w:rsidRPr="00637CB1">
              <w:rPr>
                <w:rFonts w:cs="Calibri"/>
                <w:color w:val="000000"/>
                <w:szCs w:val="20"/>
              </w:rPr>
              <w:t xml:space="preserve">– Franklin Nature Reserve enhancement </w:t>
            </w:r>
          </w:p>
        </w:tc>
        <w:tc>
          <w:tcPr>
            <w:tcW w:w="1093" w:type="dxa"/>
            <w:tcBorders>
              <w:top w:val="nil"/>
              <w:left w:val="nil"/>
              <w:bottom w:val="nil"/>
              <w:right w:val="nil"/>
            </w:tcBorders>
          </w:tcPr>
          <w:p w14:paraId="73789F86" w14:textId="77777777" w:rsidR="00CF0E2D" w:rsidRPr="00D60558" w:rsidRDefault="00CF0E2D" w:rsidP="00A60D4B">
            <w:pPr>
              <w:pStyle w:val="Btablefigureunbold"/>
              <w:ind w:left="0" w:firstLine="0"/>
              <w:jc w:val="left"/>
              <w:rPr>
                <w:rFonts w:cs="Calibri"/>
                <w:color w:val="000000"/>
                <w:szCs w:val="20"/>
              </w:rPr>
            </w:pPr>
            <w:r w:rsidRPr="00B5719A">
              <w:rPr>
                <w:rFonts w:cs="Calibri"/>
                <w:color w:val="000000"/>
                <w:szCs w:val="20"/>
              </w:rPr>
              <w:t>Net cost</w:t>
            </w:r>
          </w:p>
        </w:tc>
        <w:tc>
          <w:tcPr>
            <w:tcW w:w="964" w:type="dxa"/>
            <w:gridSpan w:val="2"/>
            <w:tcBorders>
              <w:top w:val="nil"/>
              <w:left w:val="nil"/>
              <w:bottom w:val="nil"/>
              <w:right w:val="nil"/>
            </w:tcBorders>
          </w:tcPr>
          <w:p w14:paraId="758CDD20" w14:textId="77777777" w:rsidR="00CF0E2D" w:rsidRPr="00CA5F48" w:rsidRDefault="00CF0E2D" w:rsidP="00A60D4B">
            <w:pPr>
              <w:pStyle w:val="Btablefigureunbold"/>
              <w:rPr>
                <w:rFonts w:cs="Calibri"/>
                <w:color w:val="000000"/>
                <w:szCs w:val="20"/>
              </w:rPr>
            </w:pPr>
            <w:r w:rsidRPr="00CA5F48">
              <w:rPr>
                <w:rFonts w:cs="Calibri"/>
                <w:color w:val="000000"/>
                <w:szCs w:val="20"/>
              </w:rPr>
              <w:t>799</w:t>
            </w:r>
          </w:p>
        </w:tc>
        <w:tc>
          <w:tcPr>
            <w:tcW w:w="964" w:type="dxa"/>
            <w:gridSpan w:val="2"/>
            <w:tcBorders>
              <w:top w:val="nil"/>
              <w:left w:val="nil"/>
              <w:bottom w:val="nil"/>
              <w:right w:val="nil"/>
            </w:tcBorders>
          </w:tcPr>
          <w:p w14:paraId="380C01CC" w14:textId="77777777" w:rsidR="00CF0E2D" w:rsidRPr="00CA5F48" w:rsidRDefault="00CF0E2D" w:rsidP="00A60D4B">
            <w:pPr>
              <w:pStyle w:val="Btablefigureunbold"/>
              <w:rPr>
                <w:rFonts w:cs="Calibri"/>
                <w:color w:val="000000"/>
                <w:szCs w:val="20"/>
              </w:rPr>
            </w:pPr>
            <w:r w:rsidRPr="00CA5F48">
              <w:rPr>
                <w:rFonts w:cs="Calibri"/>
                <w:color w:val="000000"/>
                <w:szCs w:val="20"/>
              </w:rPr>
              <w:t>877</w:t>
            </w:r>
          </w:p>
        </w:tc>
        <w:tc>
          <w:tcPr>
            <w:tcW w:w="964" w:type="dxa"/>
            <w:gridSpan w:val="2"/>
            <w:tcBorders>
              <w:top w:val="nil"/>
              <w:left w:val="nil"/>
              <w:bottom w:val="nil"/>
              <w:right w:val="nil"/>
            </w:tcBorders>
          </w:tcPr>
          <w:p w14:paraId="3FADBB9D" w14:textId="77777777" w:rsidR="00CF0E2D" w:rsidRPr="00CA5F48" w:rsidRDefault="00CF0E2D" w:rsidP="00A60D4B">
            <w:pPr>
              <w:pStyle w:val="Btablefigureunbold"/>
              <w:rPr>
                <w:rFonts w:cs="Calibri"/>
                <w:color w:val="000000"/>
                <w:szCs w:val="20"/>
              </w:rPr>
            </w:pPr>
            <w:r w:rsidRPr="00CA5F48">
              <w:rPr>
                <w:rFonts w:cs="Calibri"/>
                <w:color w:val="000000"/>
                <w:szCs w:val="20"/>
              </w:rPr>
              <w:t>805</w:t>
            </w:r>
          </w:p>
        </w:tc>
        <w:tc>
          <w:tcPr>
            <w:tcW w:w="964" w:type="dxa"/>
            <w:gridSpan w:val="2"/>
            <w:tcBorders>
              <w:top w:val="nil"/>
              <w:left w:val="nil"/>
              <w:bottom w:val="nil"/>
              <w:right w:val="nil"/>
            </w:tcBorders>
          </w:tcPr>
          <w:p w14:paraId="07033AF9" w14:textId="77777777" w:rsidR="00CF0E2D" w:rsidRPr="00CA5F48" w:rsidRDefault="00CF0E2D" w:rsidP="00A60D4B">
            <w:pPr>
              <w:pStyle w:val="Btablefigureunbold"/>
              <w:rPr>
                <w:rFonts w:cs="Calibri"/>
                <w:color w:val="000000"/>
                <w:szCs w:val="20"/>
              </w:rPr>
            </w:pPr>
            <w:r w:rsidRPr="00CA5F48">
              <w:rPr>
                <w:rFonts w:cs="Calibri"/>
                <w:color w:val="000000"/>
                <w:szCs w:val="20"/>
              </w:rPr>
              <w:t>811</w:t>
            </w:r>
          </w:p>
        </w:tc>
        <w:tc>
          <w:tcPr>
            <w:tcW w:w="954" w:type="dxa"/>
            <w:gridSpan w:val="2"/>
            <w:tcBorders>
              <w:top w:val="nil"/>
              <w:left w:val="nil"/>
              <w:bottom w:val="nil"/>
              <w:right w:val="nil"/>
            </w:tcBorders>
          </w:tcPr>
          <w:p w14:paraId="21FA1A22" w14:textId="77777777" w:rsidR="00CF0E2D" w:rsidRPr="00CA5F48" w:rsidRDefault="00CF0E2D" w:rsidP="00A60D4B">
            <w:pPr>
              <w:pStyle w:val="Btablefigureunbold"/>
              <w:rPr>
                <w:rFonts w:cs="Calibri"/>
                <w:b/>
                <w:bCs/>
                <w:color w:val="000000"/>
                <w:szCs w:val="20"/>
              </w:rPr>
            </w:pPr>
            <w:r w:rsidRPr="00CA5F48">
              <w:rPr>
                <w:rFonts w:cs="Calibri"/>
                <w:b/>
                <w:bCs/>
                <w:color w:val="000000"/>
                <w:szCs w:val="20"/>
              </w:rPr>
              <w:t>3,292</w:t>
            </w:r>
          </w:p>
        </w:tc>
      </w:tr>
      <w:tr w:rsidR="00CF0E2D" w:rsidRPr="00D60558" w14:paraId="35DAAD13" w14:textId="77777777" w:rsidTr="00A60D4B">
        <w:trPr>
          <w:gridAfter w:val="1"/>
          <w:wAfter w:w="9" w:type="dxa"/>
          <w:jc w:val="center"/>
        </w:trPr>
        <w:tc>
          <w:tcPr>
            <w:tcW w:w="3355" w:type="dxa"/>
            <w:tcBorders>
              <w:top w:val="nil"/>
              <w:left w:val="nil"/>
              <w:bottom w:val="nil"/>
              <w:right w:val="nil"/>
            </w:tcBorders>
          </w:tcPr>
          <w:p w14:paraId="4D196267" w14:textId="77777777" w:rsidR="00CF0E2D" w:rsidRPr="00637CB1" w:rsidRDefault="00CF0E2D" w:rsidP="00A60D4B">
            <w:pPr>
              <w:pStyle w:val="Btabletextunbold"/>
              <w:rPr>
                <w:szCs w:val="20"/>
              </w:rPr>
            </w:pPr>
            <w:r w:rsidRPr="00637CB1">
              <w:rPr>
                <w:rFonts w:cs="Calibri"/>
                <w:color w:val="000000"/>
                <w:szCs w:val="20"/>
              </w:rPr>
              <w:t>– Protecting ecosystems through kangaroo management</w:t>
            </w:r>
          </w:p>
        </w:tc>
        <w:tc>
          <w:tcPr>
            <w:tcW w:w="1093" w:type="dxa"/>
            <w:tcBorders>
              <w:top w:val="nil"/>
              <w:left w:val="nil"/>
              <w:bottom w:val="nil"/>
              <w:right w:val="nil"/>
            </w:tcBorders>
          </w:tcPr>
          <w:p w14:paraId="61E0EC9F" w14:textId="77777777" w:rsidR="00CF0E2D" w:rsidRPr="00D60558" w:rsidRDefault="00CF0E2D" w:rsidP="00A60D4B">
            <w:pPr>
              <w:pStyle w:val="Btablefigureunbold"/>
              <w:ind w:left="0" w:firstLine="0"/>
              <w:jc w:val="left"/>
              <w:rPr>
                <w:rFonts w:cs="Calibri"/>
                <w:color w:val="000000"/>
                <w:szCs w:val="20"/>
              </w:rPr>
            </w:pPr>
            <w:r w:rsidRPr="00B5719A">
              <w:rPr>
                <w:rFonts w:cs="Calibri"/>
                <w:color w:val="000000"/>
                <w:szCs w:val="20"/>
              </w:rPr>
              <w:t>Net cost</w:t>
            </w:r>
          </w:p>
        </w:tc>
        <w:tc>
          <w:tcPr>
            <w:tcW w:w="964" w:type="dxa"/>
            <w:gridSpan w:val="2"/>
            <w:tcBorders>
              <w:top w:val="nil"/>
              <w:left w:val="nil"/>
              <w:bottom w:val="nil"/>
              <w:right w:val="nil"/>
            </w:tcBorders>
          </w:tcPr>
          <w:p w14:paraId="0CE27C7C" w14:textId="77777777" w:rsidR="00CF0E2D" w:rsidRPr="00CA5F48" w:rsidRDefault="00CF0E2D" w:rsidP="00A60D4B">
            <w:pPr>
              <w:pStyle w:val="Btablefigureunbold"/>
              <w:rPr>
                <w:rFonts w:cs="Calibri"/>
                <w:color w:val="000000"/>
                <w:szCs w:val="20"/>
              </w:rPr>
            </w:pPr>
            <w:r w:rsidRPr="00CA5F48">
              <w:rPr>
                <w:rFonts w:cs="Calibri"/>
                <w:color w:val="000000"/>
                <w:szCs w:val="20"/>
              </w:rPr>
              <w:t>606</w:t>
            </w:r>
          </w:p>
        </w:tc>
        <w:tc>
          <w:tcPr>
            <w:tcW w:w="964" w:type="dxa"/>
            <w:gridSpan w:val="2"/>
            <w:tcBorders>
              <w:top w:val="nil"/>
              <w:left w:val="nil"/>
              <w:bottom w:val="nil"/>
              <w:right w:val="nil"/>
            </w:tcBorders>
          </w:tcPr>
          <w:p w14:paraId="67CE6A06" w14:textId="77777777" w:rsidR="00CF0E2D" w:rsidRPr="00CA5F48" w:rsidRDefault="00CF0E2D" w:rsidP="00A60D4B">
            <w:pPr>
              <w:pStyle w:val="Btablefigureunbold"/>
              <w:rPr>
                <w:rFonts w:cs="Calibri"/>
                <w:color w:val="000000"/>
                <w:szCs w:val="20"/>
              </w:rPr>
            </w:pPr>
            <w:r w:rsidRPr="00CA5F48">
              <w:rPr>
                <w:rFonts w:cs="Calibri"/>
                <w:color w:val="000000"/>
                <w:szCs w:val="20"/>
              </w:rPr>
              <w:t>618</w:t>
            </w:r>
          </w:p>
        </w:tc>
        <w:tc>
          <w:tcPr>
            <w:tcW w:w="964" w:type="dxa"/>
            <w:gridSpan w:val="2"/>
            <w:tcBorders>
              <w:top w:val="nil"/>
              <w:left w:val="nil"/>
              <w:bottom w:val="nil"/>
              <w:right w:val="nil"/>
            </w:tcBorders>
          </w:tcPr>
          <w:p w14:paraId="74C6653B" w14:textId="77777777" w:rsidR="00CF0E2D" w:rsidRPr="00CA5F48" w:rsidRDefault="00CF0E2D" w:rsidP="00A60D4B">
            <w:pPr>
              <w:pStyle w:val="Btablefigureunbold"/>
              <w:rPr>
                <w:rFonts w:cs="Calibri"/>
                <w:color w:val="000000"/>
                <w:szCs w:val="20"/>
              </w:rPr>
            </w:pPr>
            <w:r w:rsidRPr="00CA5F48">
              <w:rPr>
                <w:rFonts w:cs="Calibri"/>
                <w:color w:val="000000"/>
                <w:szCs w:val="20"/>
              </w:rPr>
              <w:t>630</w:t>
            </w:r>
          </w:p>
        </w:tc>
        <w:tc>
          <w:tcPr>
            <w:tcW w:w="964" w:type="dxa"/>
            <w:gridSpan w:val="2"/>
            <w:tcBorders>
              <w:top w:val="nil"/>
              <w:left w:val="nil"/>
              <w:bottom w:val="nil"/>
              <w:right w:val="nil"/>
            </w:tcBorders>
          </w:tcPr>
          <w:p w14:paraId="7A268EB4" w14:textId="77777777" w:rsidR="00CF0E2D" w:rsidRPr="00CA5F48" w:rsidRDefault="00CF0E2D" w:rsidP="00A60D4B">
            <w:pPr>
              <w:pStyle w:val="Btablefigureunbold"/>
              <w:rPr>
                <w:rFonts w:cs="Calibri"/>
                <w:color w:val="000000"/>
                <w:szCs w:val="20"/>
              </w:rPr>
            </w:pPr>
            <w:r w:rsidRPr="00CA5F48">
              <w:rPr>
                <w:rFonts w:cs="Calibri"/>
                <w:color w:val="000000"/>
                <w:szCs w:val="20"/>
              </w:rPr>
              <w:t>643</w:t>
            </w:r>
          </w:p>
        </w:tc>
        <w:tc>
          <w:tcPr>
            <w:tcW w:w="954" w:type="dxa"/>
            <w:gridSpan w:val="2"/>
            <w:tcBorders>
              <w:top w:val="nil"/>
              <w:left w:val="nil"/>
              <w:bottom w:val="nil"/>
              <w:right w:val="nil"/>
            </w:tcBorders>
          </w:tcPr>
          <w:p w14:paraId="343D7C6A" w14:textId="77777777" w:rsidR="00CF0E2D" w:rsidRPr="00CA5F48" w:rsidRDefault="00CF0E2D" w:rsidP="00A60D4B">
            <w:pPr>
              <w:pStyle w:val="Btablefigureunbold"/>
              <w:rPr>
                <w:rFonts w:cs="Calibri"/>
                <w:b/>
                <w:bCs/>
                <w:color w:val="000000"/>
                <w:szCs w:val="20"/>
              </w:rPr>
            </w:pPr>
            <w:r w:rsidRPr="00CA5F48">
              <w:rPr>
                <w:rFonts w:cs="Calibri"/>
                <w:b/>
                <w:bCs/>
                <w:color w:val="000000"/>
                <w:szCs w:val="20"/>
              </w:rPr>
              <w:t>2,497</w:t>
            </w:r>
          </w:p>
        </w:tc>
      </w:tr>
      <w:tr w:rsidR="00CF0E2D" w:rsidRPr="00D60558" w14:paraId="32D46E31" w14:textId="77777777" w:rsidTr="00A60D4B">
        <w:trPr>
          <w:gridAfter w:val="1"/>
          <w:wAfter w:w="9" w:type="dxa"/>
          <w:jc w:val="center"/>
        </w:trPr>
        <w:tc>
          <w:tcPr>
            <w:tcW w:w="3355" w:type="dxa"/>
            <w:tcBorders>
              <w:top w:val="nil"/>
              <w:left w:val="nil"/>
              <w:bottom w:val="nil"/>
              <w:right w:val="nil"/>
            </w:tcBorders>
          </w:tcPr>
          <w:p w14:paraId="212E7F15" w14:textId="77777777" w:rsidR="00CF0E2D" w:rsidRPr="00637CB1" w:rsidRDefault="00CF0E2D" w:rsidP="00A60D4B">
            <w:pPr>
              <w:pStyle w:val="Btabletextunbold"/>
              <w:rPr>
                <w:szCs w:val="20"/>
              </w:rPr>
            </w:pPr>
            <w:r w:rsidRPr="00637CB1">
              <w:rPr>
                <w:rFonts w:cs="Calibri"/>
                <w:color w:val="000000"/>
                <w:szCs w:val="20"/>
              </w:rPr>
              <w:t>– Support for local volunteer-based environmental groups</w:t>
            </w:r>
          </w:p>
        </w:tc>
        <w:tc>
          <w:tcPr>
            <w:tcW w:w="1093" w:type="dxa"/>
            <w:tcBorders>
              <w:top w:val="nil"/>
              <w:left w:val="nil"/>
              <w:bottom w:val="nil"/>
              <w:right w:val="nil"/>
            </w:tcBorders>
          </w:tcPr>
          <w:p w14:paraId="0FCDFF8E" w14:textId="77777777" w:rsidR="00CF0E2D" w:rsidRPr="00D60558" w:rsidRDefault="00CF0E2D" w:rsidP="00A60D4B">
            <w:pPr>
              <w:pStyle w:val="Btablefigureunbold"/>
              <w:ind w:left="0" w:firstLine="0"/>
              <w:jc w:val="left"/>
              <w:rPr>
                <w:rFonts w:cs="Calibri"/>
                <w:color w:val="000000"/>
                <w:szCs w:val="20"/>
              </w:rPr>
            </w:pPr>
            <w:r w:rsidRPr="00B5719A">
              <w:rPr>
                <w:rFonts w:cs="Calibri"/>
                <w:color w:val="000000"/>
                <w:szCs w:val="20"/>
              </w:rPr>
              <w:t>Net cost</w:t>
            </w:r>
          </w:p>
        </w:tc>
        <w:tc>
          <w:tcPr>
            <w:tcW w:w="964" w:type="dxa"/>
            <w:gridSpan w:val="2"/>
            <w:tcBorders>
              <w:top w:val="nil"/>
              <w:left w:val="nil"/>
              <w:bottom w:val="nil"/>
              <w:right w:val="nil"/>
            </w:tcBorders>
          </w:tcPr>
          <w:p w14:paraId="6CD1A387" w14:textId="77777777" w:rsidR="00CF0E2D" w:rsidRPr="00CA5F48" w:rsidRDefault="00CF0E2D" w:rsidP="00A60D4B">
            <w:pPr>
              <w:pStyle w:val="Btablefigureunbold"/>
              <w:rPr>
                <w:rFonts w:cs="Calibri"/>
                <w:color w:val="000000"/>
                <w:szCs w:val="20"/>
              </w:rPr>
            </w:pPr>
            <w:r w:rsidRPr="00CA5F48">
              <w:rPr>
                <w:rFonts w:cs="Calibri"/>
                <w:color w:val="000000"/>
                <w:szCs w:val="20"/>
              </w:rPr>
              <w:t>824</w:t>
            </w:r>
          </w:p>
        </w:tc>
        <w:tc>
          <w:tcPr>
            <w:tcW w:w="964" w:type="dxa"/>
            <w:gridSpan w:val="2"/>
            <w:tcBorders>
              <w:top w:val="nil"/>
              <w:left w:val="nil"/>
              <w:bottom w:val="nil"/>
              <w:right w:val="nil"/>
            </w:tcBorders>
          </w:tcPr>
          <w:p w14:paraId="417B740B" w14:textId="77777777" w:rsidR="00CF0E2D" w:rsidRPr="00CA5F48" w:rsidRDefault="00CF0E2D" w:rsidP="00A60D4B">
            <w:pPr>
              <w:pStyle w:val="Btablefigureunbold"/>
              <w:rPr>
                <w:rFonts w:cs="Calibri"/>
                <w:color w:val="000000"/>
                <w:szCs w:val="20"/>
              </w:rPr>
            </w:pPr>
            <w:r w:rsidRPr="00CA5F48">
              <w:rPr>
                <w:rFonts w:cs="Calibri"/>
                <w:color w:val="000000"/>
                <w:szCs w:val="20"/>
              </w:rPr>
              <w:t>856</w:t>
            </w:r>
          </w:p>
        </w:tc>
        <w:tc>
          <w:tcPr>
            <w:tcW w:w="964" w:type="dxa"/>
            <w:gridSpan w:val="2"/>
            <w:tcBorders>
              <w:top w:val="nil"/>
              <w:left w:val="nil"/>
              <w:bottom w:val="nil"/>
              <w:right w:val="nil"/>
            </w:tcBorders>
          </w:tcPr>
          <w:p w14:paraId="381FA988" w14:textId="77777777" w:rsidR="00CF0E2D" w:rsidRPr="00CA5F48" w:rsidRDefault="00CF0E2D" w:rsidP="00A60D4B">
            <w:pPr>
              <w:pStyle w:val="Btablefigureunbold"/>
              <w:rPr>
                <w:rFonts w:cs="Calibri"/>
                <w:color w:val="000000"/>
                <w:szCs w:val="20"/>
              </w:rPr>
            </w:pPr>
            <w:r w:rsidRPr="00CA5F48">
              <w:rPr>
                <w:rFonts w:cs="Calibri"/>
                <w:color w:val="000000"/>
                <w:szCs w:val="20"/>
              </w:rPr>
              <w:t>893</w:t>
            </w:r>
          </w:p>
        </w:tc>
        <w:tc>
          <w:tcPr>
            <w:tcW w:w="964" w:type="dxa"/>
            <w:gridSpan w:val="2"/>
            <w:tcBorders>
              <w:top w:val="nil"/>
              <w:left w:val="nil"/>
              <w:bottom w:val="nil"/>
              <w:right w:val="nil"/>
            </w:tcBorders>
          </w:tcPr>
          <w:p w14:paraId="31B79096" w14:textId="77777777" w:rsidR="00CF0E2D" w:rsidRPr="00CA5F48" w:rsidRDefault="00CF0E2D" w:rsidP="00A60D4B">
            <w:pPr>
              <w:pStyle w:val="Btablefigureunbold"/>
              <w:rPr>
                <w:rFonts w:cs="Calibri"/>
                <w:color w:val="000000"/>
                <w:szCs w:val="20"/>
              </w:rPr>
            </w:pPr>
            <w:r w:rsidRPr="00CA5F48">
              <w:rPr>
                <w:rFonts w:cs="Calibri"/>
                <w:color w:val="000000"/>
                <w:szCs w:val="20"/>
              </w:rPr>
              <w:t>926</w:t>
            </w:r>
          </w:p>
        </w:tc>
        <w:tc>
          <w:tcPr>
            <w:tcW w:w="954" w:type="dxa"/>
            <w:gridSpan w:val="2"/>
            <w:tcBorders>
              <w:top w:val="nil"/>
              <w:left w:val="nil"/>
              <w:bottom w:val="nil"/>
              <w:right w:val="nil"/>
            </w:tcBorders>
          </w:tcPr>
          <w:p w14:paraId="6A329D96" w14:textId="77777777" w:rsidR="00CF0E2D" w:rsidRPr="00CA5F48" w:rsidRDefault="00CF0E2D" w:rsidP="00A60D4B">
            <w:pPr>
              <w:pStyle w:val="Btablefigureunbold"/>
              <w:rPr>
                <w:rFonts w:cs="Calibri"/>
                <w:b/>
                <w:bCs/>
                <w:color w:val="000000"/>
                <w:szCs w:val="20"/>
              </w:rPr>
            </w:pPr>
            <w:r w:rsidRPr="00CA5F48">
              <w:rPr>
                <w:rFonts w:cs="Calibri"/>
                <w:b/>
                <w:bCs/>
                <w:color w:val="000000"/>
                <w:szCs w:val="20"/>
              </w:rPr>
              <w:t>3,499</w:t>
            </w:r>
          </w:p>
        </w:tc>
      </w:tr>
      <w:tr w:rsidR="00CF0E2D" w:rsidRPr="00D60558" w14:paraId="3B8C2765" w14:textId="77777777" w:rsidTr="00A60D4B">
        <w:trPr>
          <w:gridAfter w:val="1"/>
          <w:wAfter w:w="9" w:type="dxa"/>
          <w:jc w:val="center"/>
        </w:trPr>
        <w:tc>
          <w:tcPr>
            <w:tcW w:w="3355" w:type="dxa"/>
            <w:tcBorders>
              <w:top w:val="nil"/>
              <w:left w:val="nil"/>
              <w:bottom w:val="nil"/>
              <w:right w:val="nil"/>
            </w:tcBorders>
          </w:tcPr>
          <w:p w14:paraId="1A941A74" w14:textId="77777777" w:rsidR="00CF0E2D" w:rsidRPr="00637CB1" w:rsidRDefault="00CF0E2D" w:rsidP="00A60D4B">
            <w:pPr>
              <w:pStyle w:val="Btabletextunbold"/>
              <w:rPr>
                <w:szCs w:val="20"/>
              </w:rPr>
            </w:pPr>
            <w:r w:rsidRPr="00637CB1">
              <w:rPr>
                <w:rFonts w:cs="Calibri"/>
                <w:color w:val="000000"/>
                <w:szCs w:val="20"/>
              </w:rPr>
              <w:t xml:space="preserve">– Better managing invasive species </w:t>
            </w:r>
          </w:p>
        </w:tc>
        <w:tc>
          <w:tcPr>
            <w:tcW w:w="1093" w:type="dxa"/>
            <w:tcBorders>
              <w:top w:val="nil"/>
              <w:left w:val="nil"/>
              <w:bottom w:val="nil"/>
              <w:right w:val="nil"/>
            </w:tcBorders>
          </w:tcPr>
          <w:p w14:paraId="3EC7A703"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0C5EF3E3" w14:textId="77777777" w:rsidR="00CF0E2D" w:rsidRPr="00CA5F48" w:rsidRDefault="00CF0E2D" w:rsidP="00A60D4B">
            <w:pPr>
              <w:pStyle w:val="Btablefigureunbold"/>
              <w:rPr>
                <w:rFonts w:cs="Calibri"/>
                <w:color w:val="000000"/>
                <w:szCs w:val="20"/>
              </w:rPr>
            </w:pPr>
            <w:r w:rsidRPr="00CA5F48">
              <w:rPr>
                <w:rFonts w:cs="Calibri"/>
                <w:color w:val="000000"/>
                <w:szCs w:val="20"/>
              </w:rPr>
              <w:t>414</w:t>
            </w:r>
          </w:p>
        </w:tc>
        <w:tc>
          <w:tcPr>
            <w:tcW w:w="964" w:type="dxa"/>
            <w:gridSpan w:val="2"/>
            <w:tcBorders>
              <w:top w:val="nil"/>
              <w:left w:val="nil"/>
              <w:bottom w:val="nil"/>
              <w:right w:val="nil"/>
            </w:tcBorders>
          </w:tcPr>
          <w:p w14:paraId="31BEFE1E" w14:textId="77777777" w:rsidR="00CF0E2D" w:rsidRPr="00CA5F48" w:rsidRDefault="00CF0E2D" w:rsidP="00A60D4B">
            <w:pPr>
              <w:pStyle w:val="Btablefigureunbold"/>
              <w:rPr>
                <w:rFonts w:cs="Calibri"/>
                <w:color w:val="000000"/>
                <w:szCs w:val="20"/>
              </w:rPr>
            </w:pPr>
            <w:r w:rsidRPr="00CA5F48">
              <w:rPr>
                <w:rFonts w:cs="Calibri"/>
                <w:color w:val="000000"/>
                <w:szCs w:val="20"/>
              </w:rPr>
              <w:t>839</w:t>
            </w:r>
          </w:p>
        </w:tc>
        <w:tc>
          <w:tcPr>
            <w:tcW w:w="964" w:type="dxa"/>
            <w:gridSpan w:val="2"/>
            <w:tcBorders>
              <w:top w:val="nil"/>
              <w:left w:val="nil"/>
              <w:bottom w:val="nil"/>
              <w:right w:val="nil"/>
            </w:tcBorders>
          </w:tcPr>
          <w:p w14:paraId="072796A6" w14:textId="77777777" w:rsidR="00CF0E2D" w:rsidRPr="00CA5F48" w:rsidRDefault="00CF0E2D" w:rsidP="00A60D4B">
            <w:pPr>
              <w:pStyle w:val="Btablefigureunbold"/>
              <w:rPr>
                <w:rFonts w:cs="Calibri"/>
                <w:color w:val="000000"/>
                <w:szCs w:val="20"/>
              </w:rPr>
            </w:pPr>
            <w:r w:rsidRPr="00CA5F48">
              <w:rPr>
                <w:rFonts w:cs="Calibri"/>
                <w:color w:val="000000"/>
                <w:szCs w:val="20"/>
              </w:rPr>
              <w:t>851</w:t>
            </w:r>
          </w:p>
        </w:tc>
        <w:tc>
          <w:tcPr>
            <w:tcW w:w="964" w:type="dxa"/>
            <w:gridSpan w:val="2"/>
            <w:tcBorders>
              <w:top w:val="nil"/>
              <w:left w:val="nil"/>
              <w:bottom w:val="nil"/>
              <w:right w:val="nil"/>
            </w:tcBorders>
          </w:tcPr>
          <w:p w14:paraId="14CB184D" w14:textId="77777777" w:rsidR="00CF0E2D" w:rsidRPr="00CA5F48" w:rsidRDefault="00CF0E2D" w:rsidP="00A60D4B">
            <w:pPr>
              <w:pStyle w:val="Btablefigureunbold"/>
              <w:rPr>
                <w:rFonts w:cs="Calibri"/>
                <w:color w:val="000000"/>
                <w:szCs w:val="20"/>
              </w:rPr>
            </w:pPr>
            <w:r w:rsidRPr="00CA5F48">
              <w:rPr>
                <w:rFonts w:cs="Calibri"/>
                <w:color w:val="000000"/>
                <w:szCs w:val="20"/>
              </w:rPr>
              <w:t>864</w:t>
            </w:r>
          </w:p>
        </w:tc>
        <w:tc>
          <w:tcPr>
            <w:tcW w:w="954" w:type="dxa"/>
            <w:gridSpan w:val="2"/>
            <w:tcBorders>
              <w:top w:val="nil"/>
              <w:left w:val="nil"/>
              <w:bottom w:val="nil"/>
              <w:right w:val="nil"/>
            </w:tcBorders>
          </w:tcPr>
          <w:p w14:paraId="4E700C14" w14:textId="77777777" w:rsidR="00CF0E2D" w:rsidRPr="00CA5F48" w:rsidRDefault="00CF0E2D" w:rsidP="00A60D4B">
            <w:pPr>
              <w:pStyle w:val="Btablefigureunbold"/>
              <w:rPr>
                <w:rFonts w:cs="Calibri"/>
                <w:b/>
                <w:bCs/>
                <w:color w:val="000000"/>
                <w:szCs w:val="20"/>
              </w:rPr>
            </w:pPr>
            <w:r w:rsidRPr="00CA5F48">
              <w:rPr>
                <w:rFonts w:cs="Calibri"/>
                <w:b/>
                <w:bCs/>
                <w:color w:val="000000"/>
                <w:szCs w:val="20"/>
              </w:rPr>
              <w:t>2,968</w:t>
            </w:r>
          </w:p>
        </w:tc>
      </w:tr>
      <w:tr w:rsidR="00CF0E2D" w:rsidRPr="00D60558" w14:paraId="05A284ED" w14:textId="77777777" w:rsidTr="00A60D4B">
        <w:trPr>
          <w:gridAfter w:val="1"/>
          <w:wAfter w:w="9" w:type="dxa"/>
          <w:jc w:val="center"/>
        </w:trPr>
        <w:tc>
          <w:tcPr>
            <w:tcW w:w="3355" w:type="dxa"/>
            <w:tcBorders>
              <w:top w:val="nil"/>
              <w:left w:val="nil"/>
              <w:bottom w:val="nil"/>
              <w:right w:val="nil"/>
            </w:tcBorders>
          </w:tcPr>
          <w:p w14:paraId="0AD01627" w14:textId="77777777" w:rsidR="00CF0E2D" w:rsidRPr="00637CB1" w:rsidRDefault="00CF0E2D" w:rsidP="00A60D4B">
            <w:pPr>
              <w:pStyle w:val="Btabletextunbold"/>
              <w:rPr>
                <w:szCs w:val="20"/>
              </w:rPr>
            </w:pPr>
            <w:r w:rsidRPr="00637CB1">
              <w:rPr>
                <w:rFonts w:cs="Calibri"/>
                <w:color w:val="000000"/>
                <w:szCs w:val="20"/>
              </w:rPr>
              <w:t>Site works for Watson Section 76</w:t>
            </w:r>
          </w:p>
        </w:tc>
        <w:tc>
          <w:tcPr>
            <w:tcW w:w="1093" w:type="dxa"/>
            <w:tcBorders>
              <w:top w:val="nil"/>
              <w:left w:val="nil"/>
              <w:bottom w:val="nil"/>
              <w:right w:val="nil"/>
            </w:tcBorders>
          </w:tcPr>
          <w:p w14:paraId="6BEE7C14"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371B0806" w14:textId="77777777" w:rsidR="00CF0E2D" w:rsidRPr="00CA5F48" w:rsidRDefault="00CF0E2D" w:rsidP="00A60D4B">
            <w:pPr>
              <w:pStyle w:val="Btablefigureunbold"/>
              <w:rPr>
                <w:rFonts w:cs="Calibri"/>
                <w:color w:val="000000"/>
                <w:szCs w:val="20"/>
              </w:rPr>
            </w:pPr>
            <w:r w:rsidRPr="00CA5F48">
              <w:rPr>
                <w:rFonts w:cs="Calibri"/>
                <w:color w:val="000000"/>
                <w:szCs w:val="20"/>
              </w:rPr>
              <w:t>220</w:t>
            </w:r>
          </w:p>
        </w:tc>
        <w:tc>
          <w:tcPr>
            <w:tcW w:w="964" w:type="dxa"/>
            <w:gridSpan w:val="2"/>
            <w:tcBorders>
              <w:top w:val="nil"/>
              <w:left w:val="nil"/>
              <w:bottom w:val="nil"/>
              <w:right w:val="nil"/>
            </w:tcBorders>
          </w:tcPr>
          <w:p w14:paraId="230F924B" w14:textId="77777777" w:rsidR="00CF0E2D" w:rsidRPr="00CA5F48" w:rsidRDefault="00CF0E2D" w:rsidP="00A60D4B">
            <w:pPr>
              <w:pStyle w:val="Btablefigureunbold"/>
              <w:rPr>
                <w:rFonts w:cs="Calibri"/>
                <w:color w:val="000000"/>
                <w:szCs w:val="20"/>
              </w:rPr>
            </w:pPr>
            <w:r w:rsidRPr="00CA5F48">
              <w:rPr>
                <w:rFonts w:cs="Calibri"/>
                <w:color w:val="000000"/>
                <w:szCs w:val="20"/>
              </w:rPr>
              <w:t>3,970</w:t>
            </w:r>
          </w:p>
        </w:tc>
        <w:tc>
          <w:tcPr>
            <w:tcW w:w="964" w:type="dxa"/>
            <w:gridSpan w:val="2"/>
            <w:tcBorders>
              <w:top w:val="nil"/>
              <w:left w:val="nil"/>
              <w:bottom w:val="nil"/>
              <w:right w:val="nil"/>
            </w:tcBorders>
          </w:tcPr>
          <w:p w14:paraId="276BFEFF" w14:textId="77777777" w:rsidR="00CF0E2D" w:rsidRPr="00CA5F48" w:rsidRDefault="00CF0E2D" w:rsidP="00A60D4B">
            <w:pPr>
              <w:pStyle w:val="Btablefigureunbold"/>
              <w:rPr>
                <w:rFonts w:cs="Calibri"/>
                <w:color w:val="000000"/>
                <w:szCs w:val="20"/>
              </w:rPr>
            </w:pPr>
            <w:r w:rsidRPr="00CA5F48">
              <w:rPr>
                <w:rFonts w:cs="Calibri"/>
                <w:color w:val="000000"/>
                <w:szCs w:val="20"/>
              </w:rPr>
              <w:t>0</w:t>
            </w:r>
          </w:p>
        </w:tc>
        <w:tc>
          <w:tcPr>
            <w:tcW w:w="964" w:type="dxa"/>
            <w:gridSpan w:val="2"/>
            <w:tcBorders>
              <w:top w:val="nil"/>
              <w:left w:val="nil"/>
              <w:bottom w:val="nil"/>
              <w:right w:val="nil"/>
            </w:tcBorders>
          </w:tcPr>
          <w:p w14:paraId="75223581" w14:textId="77777777" w:rsidR="00CF0E2D" w:rsidRPr="00CA5F48" w:rsidRDefault="00CF0E2D" w:rsidP="00A60D4B">
            <w:pPr>
              <w:pStyle w:val="Btablefigureunbold"/>
              <w:rPr>
                <w:rFonts w:cs="Calibri"/>
                <w:color w:val="000000"/>
                <w:szCs w:val="20"/>
              </w:rPr>
            </w:pPr>
            <w:r w:rsidRPr="00CA5F48">
              <w:rPr>
                <w:rFonts w:cs="Calibri"/>
                <w:color w:val="000000"/>
                <w:szCs w:val="20"/>
              </w:rPr>
              <w:t>0</w:t>
            </w:r>
          </w:p>
        </w:tc>
        <w:tc>
          <w:tcPr>
            <w:tcW w:w="954" w:type="dxa"/>
            <w:gridSpan w:val="2"/>
            <w:tcBorders>
              <w:top w:val="nil"/>
              <w:left w:val="nil"/>
              <w:bottom w:val="nil"/>
              <w:right w:val="nil"/>
            </w:tcBorders>
          </w:tcPr>
          <w:p w14:paraId="3C6B90E5" w14:textId="77777777" w:rsidR="00CF0E2D" w:rsidRPr="00CA5F48" w:rsidRDefault="00CF0E2D" w:rsidP="00A60D4B">
            <w:pPr>
              <w:pStyle w:val="Btablefigureunbold"/>
              <w:rPr>
                <w:rFonts w:cs="Calibri"/>
                <w:b/>
                <w:bCs/>
                <w:color w:val="000000"/>
                <w:szCs w:val="20"/>
              </w:rPr>
            </w:pPr>
            <w:r w:rsidRPr="00CA5F48">
              <w:rPr>
                <w:rFonts w:cs="Calibri"/>
                <w:b/>
                <w:bCs/>
                <w:color w:val="000000"/>
                <w:szCs w:val="20"/>
              </w:rPr>
              <w:t>4,190</w:t>
            </w:r>
          </w:p>
        </w:tc>
      </w:tr>
      <w:tr w:rsidR="00CF0E2D" w:rsidRPr="00D60558" w14:paraId="5EB761C4" w14:textId="77777777" w:rsidTr="00A60D4B">
        <w:trPr>
          <w:gridAfter w:val="1"/>
          <w:wAfter w:w="9" w:type="dxa"/>
          <w:jc w:val="center"/>
        </w:trPr>
        <w:tc>
          <w:tcPr>
            <w:tcW w:w="3355" w:type="dxa"/>
            <w:tcBorders>
              <w:top w:val="nil"/>
              <w:left w:val="nil"/>
              <w:bottom w:val="nil"/>
              <w:right w:val="nil"/>
            </w:tcBorders>
          </w:tcPr>
          <w:p w14:paraId="46D22282" w14:textId="77777777" w:rsidR="00CF0E2D" w:rsidRPr="00637CB1" w:rsidRDefault="00CF0E2D" w:rsidP="00A60D4B">
            <w:pPr>
              <w:pStyle w:val="Btabletextunbold"/>
              <w:rPr>
                <w:szCs w:val="20"/>
              </w:rPr>
            </w:pPr>
            <w:r w:rsidRPr="00637CB1">
              <w:rPr>
                <w:rFonts w:cs="Calibri"/>
                <w:color w:val="000000"/>
                <w:szCs w:val="20"/>
              </w:rPr>
              <w:t>Site works for Watson Section 76</w:t>
            </w:r>
          </w:p>
        </w:tc>
        <w:tc>
          <w:tcPr>
            <w:tcW w:w="1093" w:type="dxa"/>
            <w:tcBorders>
              <w:top w:val="nil"/>
              <w:left w:val="nil"/>
              <w:bottom w:val="nil"/>
              <w:right w:val="nil"/>
            </w:tcBorders>
          </w:tcPr>
          <w:p w14:paraId="0682A7BA"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5D693D85" w14:textId="77777777" w:rsidR="00CF0E2D" w:rsidRPr="00CA5F48" w:rsidRDefault="00CF0E2D" w:rsidP="00A60D4B">
            <w:pPr>
              <w:pStyle w:val="Btablefigureunbold"/>
              <w:rPr>
                <w:rFonts w:cs="Calibri"/>
                <w:color w:val="000000"/>
                <w:szCs w:val="20"/>
              </w:rPr>
            </w:pPr>
            <w:r w:rsidRPr="00CA5F48">
              <w:rPr>
                <w:rFonts w:cs="Calibri"/>
                <w:color w:val="000000"/>
                <w:szCs w:val="20"/>
              </w:rPr>
              <w:t>0</w:t>
            </w:r>
          </w:p>
        </w:tc>
        <w:tc>
          <w:tcPr>
            <w:tcW w:w="964" w:type="dxa"/>
            <w:gridSpan w:val="2"/>
            <w:tcBorders>
              <w:top w:val="nil"/>
              <w:left w:val="nil"/>
              <w:bottom w:val="nil"/>
              <w:right w:val="nil"/>
            </w:tcBorders>
          </w:tcPr>
          <w:p w14:paraId="296A04F0" w14:textId="77777777" w:rsidR="00CF0E2D" w:rsidRPr="00CA5F48" w:rsidRDefault="00CF0E2D" w:rsidP="00A60D4B">
            <w:pPr>
              <w:pStyle w:val="Btablefigureunbold"/>
              <w:rPr>
                <w:rFonts w:cs="Calibri"/>
                <w:color w:val="000000"/>
                <w:szCs w:val="20"/>
              </w:rPr>
            </w:pPr>
            <w:r w:rsidRPr="00CA5F48">
              <w:rPr>
                <w:rFonts w:cs="Calibri"/>
                <w:color w:val="000000"/>
                <w:szCs w:val="20"/>
              </w:rPr>
              <w:t>0</w:t>
            </w:r>
          </w:p>
        </w:tc>
        <w:tc>
          <w:tcPr>
            <w:tcW w:w="964" w:type="dxa"/>
            <w:gridSpan w:val="2"/>
            <w:tcBorders>
              <w:top w:val="nil"/>
              <w:left w:val="nil"/>
              <w:bottom w:val="nil"/>
              <w:right w:val="nil"/>
            </w:tcBorders>
          </w:tcPr>
          <w:p w14:paraId="634C3B0F" w14:textId="77777777" w:rsidR="00CF0E2D" w:rsidRPr="00CA5F48" w:rsidRDefault="00CF0E2D" w:rsidP="00A60D4B">
            <w:pPr>
              <w:pStyle w:val="Btablefigureunbold"/>
              <w:rPr>
                <w:rFonts w:cs="Calibri"/>
                <w:color w:val="000000"/>
                <w:szCs w:val="20"/>
              </w:rPr>
            </w:pPr>
            <w:r w:rsidRPr="00CA5F48">
              <w:rPr>
                <w:rFonts w:cs="Calibri"/>
                <w:color w:val="000000"/>
                <w:szCs w:val="20"/>
              </w:rPr>
              <w:t>168</w:t>
            </w:r>
          </w:p>
        </w:tc>
        <w:tc>
          <w:tcPr>
            <w:tcW w:w="964" w:type="dxa"/>
            <w:gridSpan w:val="2"/>
            <w:tcBorders>
              <w:top w:val="nil"/>
              <w:left w:val="nil"/>
              <w:bottom w:val="nil"/>
              <w:right w:val="nil"/>
            </w:tcBorders>
          </w:tcPr>
          <w:p w14:paraId="7E82A069" w14:textId="77777777" w:rsidR="00CF0E2D" w:rsidRPr="00CA5F48" w:rsidRDefault="00CF0E2D" w:rsidP="00A60D4B">
            <w:pPr>
              <w:pStyle w:val="Btablefigureunbold"/>
              <w:rPr>
                <w:rFonts w:cs="Calibri"/>
                <w:color w:val="000000"/>
                <w:szCs w:val="20"/>
              </w:rPr>
            </w:pPr>
            <w:r w:rsidRPr="00CA5F48">
              <w:rPr>
                <w:rFonts w:cs="Calibri"/>
                <w:color w:val="000000"/>
                <w:szCs w:val="20"/>
              </w:rPr>
              <w:t>210</w:t>
            </w:r>
          </w:p>
        </w:tc>
        <w:tc>
          <w:tcPr>
            <w:tcW w:w="954" w:type="dxa"/>
            <w:gridSpan w:val="2"/>
            <w:tcBorders>
              <w:top w:val="nil"/>
              <w:left w:val="nil"/>
              <w:bottom w:val="nil"/>
              <w:right w:val="nil"/>
            </w:tcBorders>
          </w:tcPr>
          <w:p w14:paraId="7450E6E9" w14:textId="77777777" w:rsidR="00CF0E2D" w:rsidRPr="00CA5F48" w:rsidRDefault="00CF0E2D" w:rsidP="00A60D4B">
            <w:pPr>
              <w:pStyle w:val="Btablefigureunbold"/>
              <w:rPr>
                <w:rFonts w:cs="Calibri"/>
                <w:b/>
                <w:bCs/>
                <w:color w:val="000000"/>
                <w:szCs w:val="20"/>
              </w:rPr>
            </w:pPr>
            <w:r w:rsidRPr="00CA5F48">
              <w:rPr>
                <w:rFonts w:cs="Calibri"/>
                <w:b/>
                <w:bCs/>
                <w:color w:val="000000"/>
                <w:szCs w:val="20"/>
              </w:rPr>
              <w:t>378</w:t>
            </w:r>
          </w:p>
        </w:tc>
      </w:tr>
      <w:tr w:rsidR="00CF0E2D" w:rsidRPr="00D60558" w14:paraId="1326CFD5" w14:textId="77777777" w:rsidTr="00A60D4B">
        <w:trPr>
          <w:gridAfter w:val="1"/>
          <w:wAfter w:w="9" w:type="dxa"/>
          <w:jc w:val="center"/>
        </w:trPr>
        <w:tc>
          <w:tcPr>
            <w:tcW w:w="3355" w:type="dxa"/>
            <w:tcBorders>
              <w:top w:val="nil"/>
              <w:left w:val="nil"/>
              <w:bottom w:val="nil"/>
              <w:right w:val="nil"/>
            </w:tcBorders>
          </w:tcPr>
          <w:p w14:paraId="3C2E9669" w14:textId="77777777" w:rsidR="00CF0E2D" w:rsidRPr="00637CB1" w:rsidRDefault="00CF0E2D" w:rsidP="00A60D4B">
            <w:pPr>
              <w:pStyle w:val="Btabletextunbold"/>
              <w:rPr>
                <w:szCs w:val="20"/>
              </w:rPr>
            </w:pPr>
            <w:r w:rsidRPr="00637CB1">
              <w:rPr>
                <w:rFonts w:cs="Calibri"/>
                <w:color w:val="000000"/>
                <w:szCs w:val="20"/>
              </w:rPr>
              <w:t xml:space="preserve">Vulnerable Household Energy Support Scheme </w:t>
            </w:r>
          </w:p>
        </w:tc>
        <w:tc>
          <w:tcPr>
            <w:tcW w:w="1093" w:type="dxa"/>
            <w:tcBorders>
              <w:top w:val="nil"/>
              <w:left w:val="nil"/>
              <w:bottom w:val="nil"/>
              <w:right w:val="nil"/>
            </w:tcBorders>
          </w:tcPr>
          <w:p w14:paraId="624D1DCC"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437D0B47" w14:textId="77777777" w:rsidR="00CF0E2D" w:rsidRPr="00CA5F48" w:rsidRDefault="00CF0E2D" w:rsidP="00A60D4B">
            <w:pPr>
              <w:pStyle w:val="Btablefigureunbold"/>
              <w:rPr>
                <w:rFonts w:cs="Calibri"/>
                <w:color w:val="000000"/>
                <w:szCs w:val="20"/>
              </w:rPr>
            </w:pPr>
            <w:r w:rsidRPr="00CA5F48">
              <w:rPr>
                <w:rFonts w:cs="Calibri"/>
                <w:color w:val="000000"/>
                <w:szCs w:val="20"/>
              </w:rPr>
              <w:t>-10,975</w:t>
            </w:r>
          </w:p>
        </w:tc>
        <w:tc>
          <w:tcPr>
            <w:tcW w:w="964" w:type="dxa"/>
            <w:gridSpan w:val="2"/>
            <w:tcBorders>
              <w:top w:val="nil"/>
              <w:left w:val="nil"/>
              <w:bottom w:val="nil"/>
              <w:right w:val="nil"/>
            </w:tcBorders>
          </w:tcPr>
          <w:p w14:paraId="2F267969" w14:textId="77777777" w:rsidR="00CF0E2D" w:rsidRPr="00CA5F48" w:rsidRDefault="00CF0E2D" w:rsidP="00A60D4B">
            <w:pPr>
              <w:pStyle w:val="Btablefigureunbold"/>
              <w:rPr>
                <w:rFonts w:cs="Calibri"/>
                <w:color w:val="000000"/>
                <w:szCs w:val="20"/>
              </w:rPr>
            </w:pPr>
            <w:r w:rsidRPr="00CA5F48">
              <w:rPr>
                <w:rFonts w:cs="Calibri"/>
                <w:color w:val="000000"/>
                <w:szCs w:val="20"/>
              </w:rPr>
              <w:t>2,579</w:t>
            </w:r>
          </w:p>
        </w:tc>
        <w:tc>
          <w:tcPr>
            <w:tcW w:w="964" w:type="dxa"/>
            <w:gridSpan w:val="2"/>
            <w:tcBorders>
              <w:top w:val="nil"/>
              <w:left w:val="nil"/>
              <w:bottom w:val="nil"/>
              <w:right w:val="nil"/>
            </w:tcBorders>
          </w:tcPr>
          <w:p w14:paraId="720C8A15" w14:textId="77777777" w:rsidR="00CF0E2D" w:rsidRPr="00CA5F48" w:rsidRDefault="00CF0E2D" w:rsidP="00A60D4B">
            <w:pPr>
              <w:pStyle w:val="Btablefigureunbold"/>
              <w:rPr>
                <w:rFonts w:cs="Calibri"/>
                <w:color w:val="000000"/>
                <w:szCs w:val="20"/>
              </w:rPr>
            </w:pPr>
            <w:r w:rsidRPr="00CA5F48">
              <w:rPr>
                <w:rFonts w:cs="Calibri"/>
                <w:color w:val="000000"/>
                <w:szCs w:val="20"/>
              </w:rPr>
              <w:t>2,579</w:t>
            </w:r>
          </w:p>
        </w:tc>
        <w:tc>
          <w:tcPr>
            <w:tcW w:w="964" w:type="dxa"/>
            <w:gridSpan w:val="2"/>
            <w:tcBorders>
              <w:top w:val="nil"/>
              <w:left w:val="nil"/>
              <w:bottom w:val="nil"/>
              <w:right w:val="nil"/>
            </w:tcBorders>
          </w:tcPr>
          <w:p w14:paraId="661A38C5" w14:textId="77777777" w:rsidR="00CF0E2D" w:rsidRPr="00CA5F48" w:rsidRDefault="00CF0E2D" w:rsidP="00A60D4B">
            <w:pPr>
              <w:pStyle w:val="Btablefigureunbold"/>
              <w:rPr>
                <w:rFonts w:cs="Calibri"/>
                <w:color w:val="000000"/>
                <w:szCs w:val="20"/>
              </w:rPr>
            </w:pPr>
            <w:r w:rsidRPr="00CA5F48">
              <w:rPr>
                <w:rFonts w:cs="Calibri"/>
                <w:color w:val="000000"/>
                <w:szCs w:val="20"/>
              </w:rPr>
              <w:t>2,579</w:t>
            </w:r>
          </w:p>
        </w:tc>
        <w:tc>
          <w:tcPr>
            <w:tcW w:w="954" w:type="dxa"/>
            <w:gridSpan w:val="2"/>
            <w:tcBorders>
              <w:top w:val="nil"/>
              <w:left w:val="nil"/>
              <w:bottom w:val="nil"/>
              <w:right w:val="nil"/>
            </w:tcBorders>
          </w:tcPr>
          <w:p w14:paraId="1700C233" w14:textId="77777777" w:rsidR="00CF0E2D" w:rsidRPr="00CA5F48" w:rsidRDefault="00CF0E2D" w:rsidP="00A60D4B">
            <w:pPr>
              <w:pStyle w:val="Btablefigureunbold"/>
              <w:rPr>
                <w:rFonts w:cs="Calibri"/>
                <w:b/>
                <w:bCs/>
                <w:color w:val="000000"/>
                <w:szCs w:val="20"/>
              </w:rPr>
            </w:pPr>
            <w:r w:rsidRPr="00CA5F48">
              <w:rPr>
                <w:rFonts w:cs="Calibri"/>
                <w:b/>
                <w:bCs/>
                <w:color w:val="000000"/>
                <w:szCs w:val="20"/>
              </w:rPr>
              <w:t>-3,238</w:t>
            </w:r>
          </w:p>
        </w:tc>
      </w:tr>
      <w:tr w:rsidR="00CF0E2D" w:rsidRPr="00D60558" w14:paraId="07BF10D0" w14:textId="77777777" w:rsidTr="00A60D4B">
        <w:trPr>
          <w:gridAfter w:val="1"/>
          <w:wAfter w:w="9" w:type="dxa"/>
          <w:jc w:val="center"/>
        </w:trPr>
        <w:tc>
          <w:tcPr>
            <w:tcW w:w="3355" w:type="dxa"/>
            <w:tcBorders>
              <w:top w:val="nil"/>
              <w:left w:val="nil"/>
              <w:bottom w:val="nil"/>
              <w:right w:val="nil"/>
            </w:tcBorders>
          </w:tcPr>
          <w:p w14:paraId="52FFE5C9" w14:textId="77777777" w:rsidR="00CF0E2D" w:rsidRPr="00637CB1" w:rsidRDefault="00CF0E2D" w:rsidP="00A60D4B">
            <w:pPr>
              <w:pStyle w:val="Btabletextunbold"/>
              <w:rPr>
                <w:szCs w:val="20"/>
              </w:rPr>
            </w:pPr>
            <w:r w:rsidRPr="00637CB1">
              <w:rPr>
                <w:rFonts w:cs="Calibri"/>
                <w:color w:val="000000"/>
                <w:szCs w:val="20"/>
              </w:rPr>
              <w:t xml:space="preserve">Vulnerable Household Energy Support Scheme </w:t>
            </w:r>
          </w:p>
        </w:tc>
        <w:tc>
          <w:tcPr>
            <w:tcW w:w="1093" w:type="dxa"/>
            <w:tcBorders>
              <w:top w:val="nil"/>
              <w:left w:val="nil"/>
              <w:bottom w:val="nil"/>
              <w:right w:val="nil"/>
            </w:tcBorders>
          </w:tcPr>
          <w:p w14:paraId="3E1F2DD5"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4D2E07BD" w14:textId="77777777" w:rsidR="00CF0E2D" w:rsidRPr="00CA5F48" w:rsidRDefault="00CF0E2D" w:rsidP="00A60D4B">
            <w:pPr>
              <w:pStyle w:val="Btablefigureunbold"/>
              <w:rPr>
                <w:rFonts w:cs="Calibri"/>
                <w:color w:val="000000"/>
                <w:szCs w:val="20"/>
              </w:rPr>
            </w:pPr>
            <w:r w:rsidRPr="00CA5F48">
              <w:rPr>
                <w:rFonts w:cs="Calibri"/>
                <w:color w:val="000000"/>
                <w:szCs w:val="20"/>
              </w:rPr>
              <w:t>1,600</w:t>
            </w:r>
          </w:p>
        </w:tc>
        <w:tc>
          <w:tcPr>
            <w:tcW w:w="964" w:type="dxa"/>
            <w:gridSpan w:val="2"/>
            <w:tcBorders>
              <w:top w:val="nil"/>
              <w:left w:val="nil"/>
              <w:bottom w:val="nil"/>
              <w:right w:val="nil"/>
            </w:tcBorders>
          </w:tcPr>
          <w:p w14:paraId="79EBC2CF" w14:textId="77777777" w:rsidR="00CF0E2D" w:rsidRPr="00CA5F48" w:rsidRDefault="00CF0E2D" w:rsidP="00A60D4B">
            <w:pPr>
              <w:pStyle w:val="Btablefigureunbold"/>
              <w:rPr>
                <w:rFonts w:cs="Calibri"/>
                <w:color w:val="000000"/>
                <w:szCs w:val="20"/>
              </w:rPr>
            </w:pPr>
            <w:r w:rsidRPr="00CA5F48">
              <w:rPr>
                <w:rFonts w:cs="Calibri"/>
                <w:color w:val="000000"/>
                <w:szCs w:val="20"/>
              </w:rPr>
              <w:t>533</w:t>
            </w:r>
          </w:p>
        </w:tc>
        <w:tc>
          <w:tcPr>
            <w:tcW w:w="964" w:type="dxa"/>
            <w:gridSpan w:val="2"/>
            <w:tcBorders>
              <w:top w:val="nil"/>
              <w:left w:val="nil"/>
              <w:bottom w:val="nil"/>
              <w:right w:val="nil"/>
            </w:tcBorders>
          </w:tcPr>
          <w:p w14:paraId="649D87A4" w14:textId="77777777" w:rsidR="00CF0E2D" w:rsidRPr="00CA5F48" w:rsidRDefault="00CF0E2D" w:rsidP="00A60D4B">
            <w:pPr>
              <w:pStyle w:val="Btablefigureunbold"/>
              <w:rPr>
                <w:rFonts w:cs="Calibri"/>
                <w:color w:val="000000"/>
                <w:szCs w:val="20"/>
              </w:rPr>
            </w:pPr>
            <w:r w:rsidRPr="00CA5F48">
              <w:rPr>
                <w:rFonts w:cs="Calibri"/>
                <w:color w:val="000000"/>
                <w:szCs w:val="20"/>
              </w:rPr>
              <w:t>546</w:t>
            </w:r>
          </w:p>
        </w:tc>
        <w:tc>
          <w:tcPr>
            <w:tcW w:w="964" w:type="dxa"/>
            <w:gridSpan w:val="2"/>
            <w:tcBorders>
              <w:top w:val="nil"/>
              <w:left w:val="nil"/>
              <w:bottom w:val="nil"/>
              <w:right w:val="nil"/>
            </w:tcBorders>
          </w:tcPr>
          <w:p w14:paraId="0A6995F1" w14:textId="77777777" w:rsidR="00CF0E2D" w:rsidRPr="00CA5F48" w:rsidRDefault="00CF0E2D" w:rsidP="00A60D4B">
            <w:pPr>
              <w:pStyle w:val="Btablefigureunbold"/>
              <w:rPr>
                <w:rFonts w:cs="Calibri"/>
                <w:color w:val="000000"/>
                <w:szCs w:val="20"/>
              </w:rPr>
            </w:pPr>
            <w:r w:rsidRPr="00CA5F48">
              <w:rPr>
                <w:rFonts w:cs="Calibri"/>
                <w:color w:val="000000"/>
                <w:szCs w:val="20"/>
              </w:rPr>
              <w:t>559</w:t>
            </w:r>
          </w:p>
        </w:tc>
        <w:tc>
          <w:tcPr>
            <w:tcW w:w="954" w:type="dxa"/>
            <w:gridSpan w:val="2"/>
            <w:tcBorders>
              <w:top w:val="nil"/>
              <w:left w:val="nil"/>
              <w:bottom w:val="nil"/>
              <w:right w:val="nil"/>
            </w:tcBorders>
          </w:tcPr>
          <w:p w14:paraId="0FA9FF98" w14:textId="77777777" w:rsidR="00CF0E2D" w:rsidRPr="00CA5F48" w:rsidRDefault="00CF0E2D" w:rsidP="00A60D4B">
            <w:pPr>
              <w:pStyle w:val="Btablefigureunbold"/>
              <w:rPr>
                <w:rFonts w:cs="Calibri"/>
                <w:b/>
                <w:bCs/>
                <w:color w:val="000000"/>
                <w:szCs w:val="20"/>
              </w:rPr>
            </w:pPr>
            <w:r w:rsidRPr="00CA5F48">
              <w:rPr>
                <w:rFonts w:cs="Calibri"/>
                <w:b/>
                <w:bCs/>
                <w:color w:val="000000"/>
                <w:szCs w:val="20"/>
              </w:rPr>
              <w:t>3,238</w:t>
            </w:r>
          </w:p>
        </w:tc>
      </w:tr>
      <w:tr w:rsidR="00CF0E2D" w:rsidRPr="00D60558" w14:paraId="10C23C25" w14:textId="77777777" w:rsidTr="00465757">
        <w:trPr>
          <w:gridAfter w:val="1"/>
          <w:wAfter w:w="9" w:type="dxa"/>
          <w:trHeight w:val="340"/>
          <w:jc w:val="center"/>
        </w:trPr>
        <w:tc>
          <w:tcPr>
            <w:tcW w:w="3355" w:type="dxa"/>
            <w:tcBorders>
              <w:top w:val="nil"/>
              <w:left w:val="nil"/>
              <w:bottom w:val="nil"/>
              <w:right w:val="nil"/>
            </w:tcBorders>
            <w:vAlign w:val="bottom"/>
          </w:tcPr>
          <w:p w14:paraId="47F49D94" w14:textId="77777777" w:rsidR="00CF0E2D" w:rsidRPr="00637CB1" w:rsidRDefault="00CF0E2D" w:rsidP="00A60D4B">
            <w:pPr>
              <w:pStyle w:val="Btabletextunbold"/>
              <w:rPr>
                <w:b/>
                <w:bCs/>
                <w:szCs w:val="20"/>
              </w:rPr>
            </w:pPr>
            <w:r>
              <w:rPr>
                <w:b/>
                <w:bCs/>
                <w:szCs w:val="20"/>
              </w:rPr>
              <w:t>Health portfolio agencies</w:t>
            </w:r>
          </w:p>
        </w:tc>
        <w:tc>
          <w:tcPr>
            <w:tcW w:w="1093" w:type="dxa"/>
            <w:tcBorders>
              <w:top w:val="nil"/>
              <w:left w:val="nil"/>
              <w:bottom w:val="nil"/>
              <w:right w:val="nil"/>
            </w:tcBorders>
          </w:tcPr>
          <w:p w14:paraId="0E4E2271" w14:textId="77777777" w:rsidR="00CF0E2D" w:rsidRPr="00D60558"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668BFD33"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237D778E"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1F6036E3"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49267410" w14:textId="77777777" w:rsidR="00CF0E2D" w:rsidRPr="00D60558" w:rsidRDefault="00CF0E2D" w:rsidP="00A60D4B">
            <w:pPr>
              <w:pStyle w:val="Btablefigureunbold"/>
              <w:rPr>
                <w:szCs w:val="20"/>
              </w:rPr>
            </w:pPr>
          </w:p>
        </w:tc>
        <w:tc>
          <w:tcPr>
            <w:tcW w:w="954" w:type="dxa"/>
            <w:gridSpan w:val="2"/>
            <w:tcBorders>
              <w:top w:val="nil"/>
              <w:left w:val="nil"/>
              <w:bottom w:val="nil"/>
              <w:right w:val="nil"/>
            </w:tcBorders>
          </w:tcPr>
          <w:p w14:paraId="633F5C3B" w14:textId="77777777" w:rsidR="00CF0E2D" w:rsidRPr="00D60558" w:rsidRDefault="00CF0E2D" w:rsidP="00A60D4B">
            <w:pPr>
              <w:pStyle w:val="Btablefigureunbold"/>
              <w:rPr>
                <w:b/>
                <w:bCs/>
                <w:szCs w:val="20"/>
              </w:rPr>
            </w:pPr>
          </w:p>
        </w:tc>
      </w:tr>
      <w:tr w:rsidR="00DF52AD" w:rsidRPr="00D60558" w14:paraId="21B3DEFD" w14:textId="77777777" w:rsidTr="00A60D4B">
        <w:trPr>
          <w:gridAfter w:val="1"/>
          <w:wAfter w:w="9" w:type="dxa"/>
          <w:jc w:val="center"/>
        </w:trPr>
        <w:tc>
          <w:tcPr>
            <w:tcW w:w="3355" w:type="dxa"/>
            <w:tcBorders>
              <w:top w:val="nil"/>
              <w:left w:val="nil"/>
              <w:bottom w:val="nil"/>
              <w:right w:val="nil"/>
            </w:tcBorders>
          </w:tcPr>
          <w:p w14:paraId="450FCF4B" w14:textId="0AB41B40" w:rsidR="00DF52AD" w:rsidRPr="00DF52AD" w:rsidRDefault="00DF52AD" w:rsidP="00A60D4B">
            <w:pPr>
              <w:pStyle w:val="Btabletextunbold"/>
              <w:rPr>
                <w:rFonts w:cs="Calibri"/>
                <w:color w:val="000000"/>
                <w:szCs w:val="20"/>
              </w:rPr>
            </w:pPr>
            <w:r>
              <w:rPr>
                <w:rFonts w:cs="Calibri"/>
                <w:color w:val="000000"/>
                <w:szCs w:val="20"/>
              </w:rPr>
              <w:t>Responding to growing demand in the ACT public health system</w:t>
            </w:r>
          </w:p>
        </w:tc>
        <w:tc>
          <w:tcPr>
            <w:tcW w:w="1093" w:type="dxa"/>
            <w:tcBorders>
              <w:top w:val="nil"/>
              <w:left w:val="nil"/>
              <w:bottom w:val="nil"/>
              <w:right w:val="nil"/>
            </w:tcBorders>
          </w:tcPr>
          <w:p w14:paraId="0A904777" w14:textId="32A0110C" w:rsidR="00DF52AD" w:rsidRDefault="00DF52A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5C126430" w14:textId="1E8198CC" w:rsidR="00DF52AD" w:rsidRPr="00D60558" w:rsidRDefault="00DF52AD" w:rsidP="00A60D4B">
            <w:pPr>
              <w:pStyle w:val="Btablefigureunbold"/>
              <w:rPr>
                <w:szCs w:val="20"/>
              </w:rPr>
            </w:pPr>
            <w:r>
              <w:rPr>
                <w:szCs w:val="20"/>
              </w:rPr>
              <w:t>80,400</w:t>
            </w:r>
          </w:p>
        </w:tc>
        <w:tc>
          <w:tcPr>
            <w:tcW w:w="964" w:type="dxa"/>
            <w:gridSpan w:val="2"/>
            <w:tcBorders>
              <w:top w:val="nil"/>
              <w:left w:val="nil"/>
              <w:bottom w:val="nil"/>
              <w:right w:val="nil"/>
            </w:tcBorders>
          </w:tcPr>
          <w:p w14:paraId="489A7BF9" w14:textId="1B93F51B" w:rsidR="00DF52AD" w:rsidRPr="00D60558" w:rsidRDefault="00DF52AD" w:rsidP="00A60D4B">
            <w:pPr>
              <w:pStyle w:val="Btablefigureunbold"/>
              <w:rPr>
                <w:szCs w:val="20"/>
              </w:rPr>
            </w:pPr>
            <w:r>
              <w:rPr>
                <w:szCs w:val="20"/>
              </w:rPr>
              <w:t>102,900</w:t>
            </w:r>
          </w:p>
        </w:tc>
        <w:tc>
          <w:tcPr>
            <w:tcW w:w="964" w:type="dxa"/>
            <w:gridSpan w:val="2"/>
            <w:tcBorders>
              <w:top w:val="nil"/>
              <w:left w:val="nil"/>
              <w:bottom w:val="nil"/>
              <w:right w:val="nil"/>
            </w:tcBorders>
          </w:tcPr>
          <w:p w14:paraId="6992E6EE" w14:textId="10FB9CDD" w:rsidR="00DF52AD" w:rsidRPr="00D60558" w:rsidRDefault="00DF52AD" w:rsidP="00A60D4B">
            <w:pPr>
              <w:pStyle w:val="Btablefigureunbold"/>
              <w:rPr>
                <w:szCs w:val="20"/>
              </w:rPr>
            </w:pPr>
            <w:r>
              <w:rPr>
                <w:szCs w:val="20"/>
              </w:rPr>
              <w:t>126,400</w:t>
            </w:r>
          </w:p>
        </w:tc>
        <w:tc>
          <w:tcPr>
            <w:tcW w:w="964" w:type="dxa"/>
            <w:gridSpan w:val="2"/>
            <w:tcBorders>
              <w:top w:val="nil"/>
              <w:left w:val="nil"/>
              <w:bottom w:val="nil"/>
              <w:right w:val="nil"/>
            </w:tcBorders>
          </w:tcPr>
          <w:p w14:paraId="43B232BE" w14:textId="66F47CBC" w:rsidR="00DF52AD" w:rsidRPr="00D60558" w:rsidRDefault="00DF52AD" w:rsidP="00A60D4B">
            <w:pPr>
              <w:pStyle w:val="Btablefigureunbold"/>
              <w:rPr>
                <w:szCs w:val="20"/>
              </w:rPr>
            </w:pPr>
            <w:r>
              <w:rPr>
                <w:szCs w:val="20"/>
              </w:rPr>
              <w:t>151,100</w:t>
            </w:r>
          </w:p>
        </w:tc>
        <w:tc>
          <w:tcPr>
            <w:tcW w:w="954" w:type="dxa"/>
            <w:gridSpan w:val="2"/>
            <w:tcBorders>
              <w:top w:val="nil"/>
              <w:left w:val="nil"/>
              <w:bottom w:val="nil"/>
              <w:right w:val="nil"/>
            </w:tcBorders>
          </w:tcPr>
          <w:p w14:paraId="26518DA6" w14:textId="06F72EED" w:rsidR="00DF52AD" w:rsidRPr="00D60558" w:rsidRDefault="00DF52AD" w:rsidP="00A60D4B">
            <w:pPr>
              <w:pStyle w:val="Btablefigureunbold"/>
              <w:rPr>
                <w:b/>
                <w:bCs/>
                <w:szCs w:val="20"/>
              </w:rPr>
            </w:pPr>
            <w:r>
              <w:rPr>
                <w:b/>
                <w:bCs/>
                <w:szCs w:val="20"/>
              </w:rPr>
              <w:t>460,800</w:t>
            </w:r>
          </w:p>
        </w:tc>
      </w:tr>
      <w:tr w:rsidR="00CF0E2D" w:rsidRPr="00D60558" w14:paraId="7A36E5EE" w14:textId="77777777" w:rsidTr="00A60D4B">
        <w:trPr>
          <w:gridAfter w:val="1"/>
          <w:wAfter w:w="9" w:type="dxa"/>
          <w:jc w:val="center"/>
        </w:trPr>
        <w:tc>
          <w:tcPr>
            <w:tcW w:w="3355" w:type="dxa"/>
            <w:tcBorders>
              <w:top w:val="nil"/>
              <w:left w:val="nil"/>
              <w:bottom w:val="nil"/>
              <w:right w:val="nil"/>
            </w:tcBorders>
          </w:tcPr>
          <w:p w14:paraId="068A22D3" w14:textId="77777777" w:rsidR="00CF0E2D" w:rsidRPr="00D50D14" w:rsidRDefault="00CF0E2D" w:rsidP="00A60D4B">
            <w:pPr>
              <w:pStyle w:val="Btabletextunbold"/>
              <w:rPr>
                <w:rFonts w:cs="Calibri"/>
                <w:i/>
                <w:iCs/>
                <w:color w:val="000000"/>
                <w:szCs w:val="20"/>
              </w:rPr>
            </w:pPr>
            <w:r w:rsidRPr="00D50D14">
              <w:rPr>
                <w:rFonts w:cs="Calibri"/>
                <w:i/>
                <w:iCs/>
                <w:color w:val="000000"/>
                <w:szCs w:val="20"/>
              </w:rPr>
              <w:t>Better care in the community</w:t>
            </w:r>
          </w:p>
        </w:tc>
        <w:tc>
          <w:tcPr>
            <w:tcW w:w="1093" w:type="dxa"/>
            <w:tcBorders>
              <w:top w:val="nil"/>
              <w:left w:val="nil"/>
              <w:bottom w:val="nil"/>
              <w:right w:val="nil"/>
            </w:tcBorders>
          </w:tcPr>
          <w:p w14:paraId="7C66A1C9" w14:textId="77777777" w:rsidR="00CF0E2D"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08599183"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6F2FFADF"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1EB82444"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195403DF" w14:textId="77777777" w:rsidR="00CF0E2D" w:rsidRPr="00D60558" w:rsidRDefault="00CF0E2D" w:rsidP="00A60D4B">
            <w:pPr>
              <w:pStyle w:val="Btablefigureunbold"/>
              <w:rPr>
                <w:szCs w:val="20"/>
              </w:rPr>
            </w:pPr>
          </w:p>
        </w:tc>
        <w:tc>
          <w:tcPr>
            <w:tcW w:w="954" w:type="dxa"/>
            <w:gridSpan w:val="2"/>
            <w:tcBorders>
              <w:top w:val="nil"/>
              <w:left w:val="nil"/>
              <w:bottom w:val="nil"/>
              <w:right w:val="nil"/>
            </w:tcBorders>
          </w:tcPr>
          <w:p w14:paraId="47253A35" w14:textId="77777777" w:rsidR="00CF0E2D" w:rsidRPr="00D60558" w:rsidRDefault="00CF0E2D" w:rsidP="00A60D4B">
            <w:pPr>
              <w:pStyle w:val="Btablefigureunbold"/>
              <w:rPr>
                <w:b/>
                <w:bCs/>
                <w:szCs w:val="20"/>
              </w:rPr>
            </w:pPr>
          </w:p>
        </w:tc>
      </w:tr>
      <w:tr w:rsidR="00CF0E2D" w:rsidRPr="00D60558" w14:paraId="06D4B6C2" w14:textId="77777777" w:rsidTr="00A60D4B">
        <w:trPr>
          <w:gridAfter w:val="1"/>
          <w:wAfter w:w="9" w:type="dxa"/>
          <w:jc w:val="center"/>
        </w:trPr>
        <w:tc>
          <w:tcPr>
            <w:tcW w:w="3355" w:type="dxa"/>
            <w:tcBorders>
              <w:top w:val="nil"/>
              <w:left w:val="nil"/>
              <w:bottom w:val="nil"/>
              <w:right w:val="nil"/>
            </w:tcBorders>
          </w:tcPr>
          <w:p w14:paraId="271FE422" w14:textId="77777777" w:rsidR="00CF0E2D" w:rsidRPr="000A5F17" w:rsidRDefault="00CF0E2D" w:rsidP="00A60D4B">
            <w:pPr>
              <w:pStyle w:val="Btabletextunbold"/>
              <w:rPr>
                <w:szCs w:val="20"/>
              </w:rPr>
            </w:pPr>
            <w:r w:rsidRPr="000A5F17">
              <w:rPr>
                <w:rFonts w:cs="Calibri"/>
                <w:color w:val="000000"/>
                <w:szCs w:val="20"/>
              </w:rPr>
              <w:t xml:space="preserve">– Aboriginal and Torres Strait Islander specific mental health services   </w:t>
            </w:r>
          </w:p>
        </w:tc>
        <w:tc>
          <w:tcPr>
            <w:tcW w:w="1093" w:type="dxa"/>
            <w:tcBorders>
              <w:top w:val="nil"/>
              <w:left w:val="nil"/>
              <w:bottom w:val="nil"/>
              <w:right w:val="nil"/>
            </w:tcBorders>
          </w:tcPr>
          <w:p w14:paraId="0D7FABD2"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75EF44FE" w14:textId="77777777" w:rsidR="00CF0E2D" w:rsidRPr="00254067" w:rsidRDefault="00CF0E2D" w:rsidP="00A60D4B">
            <w:pPr>
              <w:pStyle w:val="Btablefigureunbold"/>
              <w:rPr>
                <w:szCs w:val="20"/>
              </w:rPr>
            </w:pPr>
            <w:r w:rsidRPr="00254067">
              <w:rPr>
                <w:rFonts w:cs="Calibri"/>
                <w:color w:val="000000"/>
                <w:szCs w:val="20"/>
              </w:rPr>
              <w:t>250</w:t>
            </w:r>
          </w:p>
        </w:tc>
        <w:tc>
          <w:tcPr>
            <w:tcW w:w="964" w:type="dxa"/>
            <w:gridSpan w:val="2"/>
            <w:tcBorders>
              <w:top w:val="nil"/>
              <w:left w:val="nil"/>
              <w:bottom w:val="nil"/>
              <w:right w:val="nil"/>
            </w:tcBorders>
          </w:tcPr>
          <w:p w14:paraId="7736BCD4"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09F71B43"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67DD91C2" w14:textId="77777777" w:rsidR="00CF0E2D" w:rsidRPr="00254067" w:rsidRDefault="00CF0E2D" w:rsidP="00A60D4B">
            <w:pPr>
              <w:pStyle w:val="Btablefigureunbold"/>
              <w:rPr>
                <w:szCs w:val="20"/>
              </w:rPr>
            </w:pPr>
            <w:r w:rsidRPr="00254067">
              <w:rPr>
                <w:rFonts w:cs="Calibri"/>
                <w:color w:val="000000"/>
                <w:szCs w:val="20"/>
              </w:rPr>
              <w:t>0</w:t>
            </w:r>
          </w:p>
        </w:tc>
        <w:tc>
          <w:tcPr>
            <w:tcW w:w="954" w:type="dxa"/>
            <w:gridSpan w:val="2"/>
            <w:tcBorders>
              <w:top w:val="nil"/>
              <w:left w:val="nil"/>
              <w:bottom w:val="nil"/>
              <w:right w:val="nil"/>
            </w:tcBorders>
          </w:tcPr>
          <w:p w14:paraId="3A2DB710" w14:textId="77777777" w:rsidR="00CF0E2D" w:rsidRPr="00254067" w:rsidRDefault="00CF0E2D" w:rsidP="00A60D4B">
            <w:pPr>
              <w:pStyle w:val="Btablefigureunbold"/>
              <w:rPr>
                <w:b/>
                <w:bCs/>
                <w:szCs w:val="20"/>
              </w:rPr>
            </w:pPr>
            <w:r w:rsidRPr="00254067">
              <w:rPr>
                <w:rFonts w:cs="Calibri"/>
                <w:b/>
                <w:bCs/>
                <w:color w:val="000000"/>
                <w:szCs w:val="20"/>
              </w:rPr>
              <w:t>250</w:t>
            </w:r>
          </w:p>
        </w:tc>
      </w:tr>
      <w:tr w:rsidR="00CF0E2D" w:rsidRPr="00D60558" w14:paraId="618441D5" w14:textId="77777777" w:rsidTr="00A60D4B">
        <w:trPr>
          <w:gridAfter w:val="1"/>
          <w:wAfter w:w="9" w:type="dxa"/>
          <w:jc w:val="center"/>
        </w:trPr>
        <w:tc>
          <w:tcPr>
            <w:tcW w:w="3355" w:type="dxa"/>
            <w:tcBorders>
              <w:top w:val="nil"/>
              <w:left w:val="nil"/>
              <w:bottom w:val="nil"/>
              <w:right w:val="nil"/>
            </w:tcBorders>
          </w:tcPr>
          <w:p w14:paraId="2973F111" w14:textId="77777777" w:rsidR="00CF0E2D" w:rsidRPr="000A5F17" w:rsidRDefault="00CF0E2D" w:rsidP="00A60D4B">
            <w:pPr>
              <w:pStyle w:val="Btabletextunbold"/>
              <w:rPr>
                <w:szCs w:val="20"/>
              </w:rPr>
            </w:pPr>
            <w:r w:rsidRPr="000A5F17">
              <w:rPr>
                <w:rFonts w:cs="Calibri"/>
                <w:color w:val="000000"/>
                <w:szCs w:val="20"/>
              </w:rPr>
              <w:t xml:space="preserve">– Addressing unmet need in sexual health support for people with disability  </w:t>
            </w:r>
          </w:p>
        </w:tc>
        <w:tc>
          <w:tcPr>
            <w:tcW w:w="1093" w:type="dxa"/>
            <w:tcBorders>
              <w:top w:val="nil"/>
              <w:left w:val="nil"/>
              <w:bottom w:val="nil"/>
              <w:right w:val="nil"/>
            </w:tcBorders>
          </w:tcPr>
          <w:p w14:paraId="5FF3E2AE"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2A4C0E52"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42CE22DA"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791BCE79"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3ACCEA86" w14:textId="77777777" w:rsidR="00CF0E2D" w:rsidRPr="00254067" w:rsidRDefault="00CF0E2D" w:rsidP="00A60D4B">
            <w:pPr>
              <w:pStyle w:val="Btablefigureunbold"/>
              <w:rPr>
                <w:szCs w:val="20"/>
              </w:rPr>
            </w:pPr>
            <w:r w:rsidRPr="00254067">
              <w:rPr>
                <w:rFonts w:cs="Calibri"/>
                <w:color w:val="000000"/>
                <w:szCs w:val="20"/>
              </w:rPr>
              <w:t>0</w:t>
            </w:r>
          </w:p>
        </w:tc>
        <w:tc>
          <w:tcPr>
            <w:tcW w:w="954" w:type="dxa"/>
            <w:gridSpan w:val="2"/>
            <w:tcBorders>
              <w:top w:val="nil"/>
              <w:left w:val="nil"/>
              <w:bottom w:val="nil"/>
              <w:right w:val="nil"/>
            </w:tcBorders>
          </w:tcPr>
          <w:p w14:paraId="624DE62D" w14:textId="77777777" w:rsidR="00CF0E2D" w:rsidRPr="00254067" w:rsidRDefault="00CF0E2D" w:rsidP="00A60D4B">
            <w:pPr>
              <w:pStyle w:val="Btablefigureunbold"/>
              <w:rPr>
                <w:b/>
                <w:bCs/>
                <w:szCs w:val="20"/>
              </w:rPr>
            </w:pPr>
            <w:r w:rsidRPr="00254067">
              <w:rPr>
                <w:rFonts w:cs="Calibri"/>
                <w:b/>
                <w:bCs/>
                <w:color w:val="000000"/>
                <w:szCs w:val="20"/>
              </w:rPr>
              <w:t>0</w:t>
            </w:r>
          </w:p>
        </w:tc>
      </w:tr>
      <w:tr w:rsidR="00CF0E2D" w:rsidRPr="00D60558" w14:paraId="76F68402" w14:textId="77777777" w:rsidTr="00A60D4B">
        <w:trPr>
          <w:gridAfter w:val="1"/>
          <w:wAfter w:w="9" w:type="dxa"/>
          <w:jc w:val="center"/>
        </w:trPr>
        <w:tc>
          <w:tcPr>
            <w:tcW w:w="3355" w:type="dxa"/>
            <w:tcBorders>
              <w:top w:val="nil"/>
              <w:left w:val="nil"/>
              <w:bottom w:val="nil"/>
              <w:right w:val="nil"/>
            </w:tcBorders>
          </w:tcPr>
          <w:p w14:paraId="29DE8164" w14:textId="77777777" w:rsidR="00CF0E2D" w:rsidRPr="000A5F17" w:rsidRDefault="00CF0E2D" w:rsidP="00A60D4B">
            <w:pPr>
              <w:pStyle w:val="Btabletextunbold"/>
              <w:rPr>
                <w:szCs w:val="20"/>
              </w:rPr>
            </w:pPr>
            <w:r w:rsidRPr="000A5F17">
              <w:rPr>
                <w:rFonts w:cs="Calibri"/>
                <w:color w:val="000000"/>
                <w:szCs w:val="20"/>
              </w:rPr>
              <w:t>– Continuing the Mental Health Detention Exit Community Outreach</w:t>
            </w:r>
            <w:r>
              <w:rPr>
                <w:rFonts w:cs="Calibri"/>
                <w:color w:val="000000"/>
                <w:szCs w:val="20"/>
              </w:rPr>
              <w:t xml:space="preserve"> program</w:t>
            </w:r>
          </w:p>
        </w:tc>
        <w:tc>
          <w:tcPr>
            <w:tcW w:w="1093" w:type="dxa"/>
            <w:tcBorders>
              <w:top w:val="nil"/>
              <w:left w:val="nil"/>
              <w:bottom w:val="nil"/>
              <w:right w:val="nil"/>
            </w:tcBorders>
          </w:tcPr>
          <w:p w14:paraId="58169A37"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7627155B"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546B3B0B"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30C4FFEC"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109ABBEE" w14:textId="77777777" w:rsidR="00CF0E2D" w:rsidRPr="00254067" w:rsidRDefault="00CF0E2D" w:rsidP="00A60D4B">
            <w:pPr>
              <w:pStyle w:val="Btablefigureunbold"/>
              <w:rPr>
                <w:szCs w:val="20"/>
              </w:rPr>
            </w:pPr>
            <w:r w:rsidRPr="00254067">
              <w:rPr>
                <w:rFonts w:cs="Calibri"/>
                <w:color w:val="000000"/>
                <w:szCs w:val="20"/>
              </w:rPr>
              <w:t>0</w:t>
            </w:r>
          </w:p>
        </w:tc>
        <w:tc>
          <w:tcPr>
            <w:tcW w:w="954" w:type="dxa"/>
            <w:gridSpan w:val="2"/>
            <w:tcBorders>
              <w:top w:val="nil"/>
              <w:left w:val="nil"/>
              <w:bottom w:val="nil"/>
              <w:right w:val="nil"/>
            </w:tcBorders>
          </w:tcPr>
          <w:p w14:paraId="1B285FF9" w14:textId="77777777" w:rsidR="00CF0E2D" w:rsidRPr="00254067" w:rsidRDefault="00CF0E2D" w:rsidP="00A60D4B">
            <w:pPr>
              <w:pStyle w:val="Btablefigureunbold"/>
              <w:rPr>
                <w:b/>
                <w:bCs/>
                <w:szCs w:val="20"/>
              </w:rPr>
            </w:pPr>
            <w:r w:rsidRPr="00254067">
              <w:rPr>
                <w:rFonts w:cs="Calibri"/>
                <w:b/>
                <w:bCs/>
                <w:color w:val="000000"/>
                <w:szCs w:val="20"/>
              </w:rPr>
              <w:t>0</w:t>
            </w:r>
          </w:p>
        </w:tc>
      </w:tr>
      <w:tr w:rsidR="00CF0E2D" w:rsidRPr="00D60558" w14:paraId="5FF6E6B7" w14:textId="77777777" w:rsidTr="00A60D4B">
        <w:trPr>
          <w:gridAfter w:val="1"/>
          <w:wAfter w:w="9" w:type="dxa"/>
          <w:jc w:val="center"/>
        </w:trPr>
        <w:tc>
          <w:tcPr>
            <w:tcW w:w="3355" w:type="dxa"/>
            <w:tcBorders>
              <w:top w:val="nil"/>
              <w:left w:val="nil"/>
              <w:bottom w:val="nil"/>
              <w:right w:val="nil"/>
            </w:tcBorders>
          </w:tcPr>
          <w:p w14:paraId="6A33358A" w14:textId="77777777" w:rsidR="00CF0E2D" w:rsidRPr="000A5F17" w:rsidRDefault="00CF0E2D" w:rsidP="00A60D4B">
            <w:pPr>
              <w:pStyle w:val="Btabletextunbold"/>
              <w:rPr>
                <w:szCs w:val="20"/>
              </w:rPr>
            </w:pPr>
            <w:r>
              <w:rPr>
                <w:rFonts w:cs="Calibri"/>
                <w:color w:val="000000"/>
                <w:szCs w:val="20"/>
              </w:rPr>
              <w:t xml:space="preserve">– </w:t>
            </w:r>
            <w:r w:rsidRPr="000A5F17">
              <w:rPr>
                <w:rFonts w:cs="Calibri"/>
                <w:color w:val="000000"/>
                <w:szCs w:val="20"/>
              </w:rPr>
              <w:t xml:space="preserve">Continuing the Mental Health Discharge Accommodation Program  </w:t>
            </w:r>
          </w:p>
        </w:tc>
        <w:tc>
          <w:tcPr>
            <w:tcW w:w="1093" w:type="dxa"/>
            <w:tcBorders>
              <w:top w:val="nil"/>
              <w:left w:val="nil"/>
              <w:bottom w:val="nil"/>
              <w:right w:val="nil"/>
            </w:tcBorders>
          </w:tcPr>
          <w:p w14:paraId="4999CFDD"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2CC83E3B"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19083B52"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6BD8831E"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6C2AF6EE" w14:textId="77777777" w:rsidR="00CF0E2D" w:rsidRPr="00254067" w:rsidRDefault="00CF0E2D" w:rsidP="00A60D4B">
            <w:pPr>
              <w:pStyle w:val="Btablefigureunbold"/>
              <w:rPr>
                <w:szCs w:val="20"/>
              </w:rPr>
            </w:pPr>
            <w:r w:rsidRPr="00254067">
              <w:rPr>
                <w:rFonts w:cs="Calibri"/>
                <w:color w:val="000000"/>
                <w:szCs w:val="20"/>
              </w:rPr>
              <w:t>0</w:t>
            </w:r>
          </w:p>
        </w:tc>
        <w:tc>
          <w:tcPr>
            <w:tcW w:w="954" w:type="dxa"/>
            <w:gridSpan w:val="2"/>
            <w:tcBorders>
              <w:top w:val="nil"/>
              <w:left w:val="nil"/>
              <w:bottom w:val="nil"/>
              <w:right w:val="nil"/>
            </w:tcBorders>
          </w:tcPr>
          <w:p w14:paraId="474FEAFE" w14:textId="77777777" w:rsidR="00CF0E2D" w:rsidRPr="00254067" w:rsidRDefault="00CF0E2D" w:rsidP="00A60D4B">
            <w:pPr>
              <w:pStyle w:val="Btablefigureunbold"/>
              <w:rPr>
                <w:b/>
                <w:bCs/>
                <w:szCs w:val="20"/>
              </w:rPr>
            </w:pPr>
            <w:r w:rsidRPr="00254067">
              <w:rPr>
                <w:rFonts w:cs="Calibri"/>
                <w:b/>
                <w:bCs/>
                <w:color w:val="000000"/>
                <w:szCs w:val="20"/>
              </w:rPr>
              <w:t>0</w:t>
            </w:r>
          </w:p>
        </w:tc>
      </w:tr>
      <w:tr w:rsidR="00CF0E2D" w:rsidRPr="00D60558" w14:paraId="5E821938" w14:textId="77777777" w:rsidTr="00A60D4B">
        <w:trPr>
          <w:gridAfter w:val="1"/>
          <w:wAfter w:w="9" w:type="dxa"/>
          <w:jc w:val="center"/>
        </w:trPr>
        <w:tc>
          <w:tcPr>
            <w:tcW w:w="3355" w:type="dxa"/>
            <w:tcBorders>
              <w:top w:val="nil"/>
              <w:left w:val="nil"/>
              <w:bottom w:val="nil"/>
              <w:right w:val="nil"/>
            </w:tcBorders>
          </w:tcPr>
          <w:p w14:paraId="1DFDEF85" w14:textId="77777777" w:rsidR="00CF0E2D" w:rsidRPr="000A5F17" w:rsidRDefault="00CF0E2D" w:rsidP="00A60D4B">
            <w:pPr>
              <w:pStyle w:val="Btabletextunbold"/>
              <w:rPr>
                <w:szCs w:val="20"/>
              </w:rPr>
            </w:pPr>
            <w:r>
              <w:rPr>
                <w:rFonts w:cs="Calibri"/>
                <w:color w:val="000000"/>
                <w:szCs w:val="20"/>
              </w:rPr>
              <w:t>–</w:t>
            </w:r>
            <w:r w:rsidRPr="000A5F17">
              <w:rPr>
                <w:rFonts w:cs="Calibri"/>
                <w:color w:val="000000"/>
                <w:szCs w:val="20"/>
              </w:rPr>
              <w:t xml:space="preserve"> Continuing to support the Home Assessment and Acute Response Team</w:t>
            </w:r>
          </w:p>
        </w:tc>
        <w:tc>
          <w:tcPr>
            <w:tcW w:w="1093" w:type="dxa"/>
            <w:tcBorders>
              <w:top w:val="nil"/>
              <w:left w:val="nil"/>
              <w:bottom w:val="nil"/>
              <w:right w:val="nil"/>
            </w:tcBorders>
          </w:tcPr>
          <w:p w14:paraId="31DA9084"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28E6F192"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3ECE2ACE"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064D0698"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54029BF5" w14:textId="77777777" w:rsidR="00CF0E2D" w:rsidRPr="00254067" w:rsidRDefault="00CF0E2D" w:rsidP="00A60D4B">
            <w:pPr>
              <w:pStyle w:val="Btablefigureunbold"/>
              <w:rPr>
                <w:szCs w:val="20"/>
              </w:rPr>
            </w:pPr>
            <w:r w:rsidRPr="00254067">
              <w:rPr>
                <w:rFonts w:cs="Calibri"/>
                <w:color w:val="000000"/>
                <w:szCs w:val="20"/>
              </w:rPr>
              <w:t>0</w:t>
            </w:r>
          </w:p>
        </w:tc>
        <w:tc>
          <w:tcPr>
            <w:tcW w:w="954" w:type="dxa"/>
            <w:gridSpan w:val="2"/>
            <w:tcBorders>
              <w:top w:val="nil"/>
              <w:left w:val="nil"/>
              <w:bottom w:val="nil"/>
              <w:right w:val="nil"/>
            </w:tcBorders>
          </w:tcPr>
          <w:p w14:paraId="0325DC53" w14:textId="77777777" w:rsidR="00CF0E2D" w:rsidRPr="00254067" w:rsidRDefault="00CF0E2D" w:rsidP="00A60D4B">
            <w:pPr>
              <w:pStyle w:val="Btablefigureunbold"/>
              <w:rPr>
                <w:b/>
                <w:bCs/>
                <w:szCs w:val="20"/>
              </w:rPr>
            </w:pPr>
            <w:r w:rsidRPr="00254067">
              <w:rPr>
                <w:rFonts w:cs="Calibri"/>
                <w:b/>
                <w:bCs/>
                <w:color w:val="000000"/>
                <w:szCs w:val="20"/>
              </w:rPr>
              <w:t>0</w:t>
            </w:r>
          </w:p>
        </w:tc>
      </w:tr>
      <w:tr w:rsidR="00CF0E2D" w:rsidRPr="00D60558" w14:paraId="49F0B53E" w14:textId="77777777" w:rsidTr="00A60D4B">
        <w:trPr>
          <w:gridAfter w:val="1"/>
          <w:wAfter w:w="9" w:type="dxa"/>
          <w:jc w:val="center"/>
        </w:trPr>
        <w:tc>
          <w:tcPr>
            <w:tcW w:w="3355" w:type="dxa"/>
            <w:tcBorders>
              <w:top w:val="nil"/>
              <w:left w:val="nil"/>
              <w:bottom w:val="nil"/>
              <w:right w:val="nil"/>
            </w:tcBorders>
          </w:tcPr>
          <w:p w14:paraId="400E549C" w14:textId="77777777" w:rsidR="00CF0E2D" w:rsidRPr="000A5F17" w:rsidRDefault="00CF0E2D" w:rsidP="00A60D4B">
            <w:pPr>
              <w:pStyle w:val="Btabletextunbold"/>
              <w:rPr>
                <w:szCs w:val="20"/>
              </w:rPr>
            </w:pPr>
            <w:r w:rsidRPr="000A5F17">
              <w:rPr>
                <w:rFonts w:cs="Calibri"/>
                <w:color w:val="000000"/>
                <w:szCs w:val="20"/>
              </w:rPr>
              <w:t>– Expansion of palliative care services at Clare Holland House Hospice  </w:t>
            </w:r>
          </w:p>
        </w:tc>
        <w:tc>
          <w:tcPr>
            <w:tcW w:w="1093" w:type="dxa"/>
            <w:tcBorders>
              <w:top w:val="nil"/>
              <w:left w:val="nil"/>
              <w:bottom w:val="nil"/>
              <w:right w:val="nil"/>
            </w:tcBorders>
          </w:tcPr>
          <w:p w14:paraId="00D0B84C"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623AE3FE" w14:textId="77777777" w:rsidR="00CF0E2D" w:rsidRPr="00254067" w:rsidRDefault="00CF0E2D" w:rsidP="00A60D4B">
            <w:pPr>
              <w:pStyle w:val="Btablefigureunbold"/>
              <w:rPr>
                <w:szCs w:val="20"/>
              </w:rPr>
            </w:pPr>
            <w:r w:rsidRPr="00254067">
              <w:rPr>
                <w:rFonts w:cs="Calibri"/>
                <w:color w:val="000000"/>
                <w:szCs w:val="20"/>
              </w:rPr>
              <w:t>46</w:t>
            </w:r>
          </w:p>
        </w:tc>
        <w:tc>
          <w:tcPr>
            <w:tcW w:w="964" w:type="dxa"/>
            <w:gridSpan w:val="2"/>
            <w:tcBorders>
              <w:top w:val="nil"/>
              <w:left w:val="nil"/>
              <w:bottom w:val="nil"/>
              <w:right w:val="nil"/>
            </w:tcBorders>
          </w:tcPr>
          <w:p w14:paraId="084983CF"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075256CC"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7CD8853B" w14:textId="77777777" w:rsidR="00CF0E2D" w:rsidRPr="00254067" w:rsidRDefault="00CF0E2D" w:rsidP="00A60D4B">
            <w:pPr>
              <w:pStyle w:val="Btablefigureunbold"/>
              <w:rPr>
                <w:szCs w:val="20"/>
              </w:rPr>
            </w:pPr>
            <w:r w:rsidRPr="00254067">
              <w:rPr>
                <w:rFonts w:cs="Calibri"/>
                <w:color w:val="000000"/>
                <w:szCs w:val="20"/>
              </w:rPr>
              <w:t>0</w:t>
            </w:r>
          </w:p>
        </w:tc>
        <w:tc>
          <w:tcPr>
            <w:tcW w:w="954" w:type="dxa"/>
            <w:gridSpan w:val="2"/>
            <w:tcBorders>
              <w:top w:val="nil"/>
              <w:left w:val="nil"/>
              <w:bottom w:val="nil"/>
              <w:right w:val="nil"/>
            </w:tcBorders>
          </w:tcPr>
          <w:p w14:paraId="197C2052" w14:textId="77777777" w:rsidR="00CF0E2D" w:rsidRPr="00254067" w:rsidRDefault="00CF0E2D" w:rsidP="00A60D4B">
            <w:pPr>
              <w:pStyle w:val="Btablefigureunbold"/>
              <w:rPr>
                <w:b/>
                <w:bCs/>
                <w:szCs w:val="20"/>
              </w:rPr>
            </w:pPr>
            <w:r w:rsidRPr="00254067">
              <w:rPr>
                <w:rFonts w:cs="Calibri"/>
                <w:b/>
                <w:bCs/>
                <w:color w:val="000000"/>
                <w:szCs w:val="20"/>
              </w:rPr>
              <w:t>46</w:t>
            </w:r>
          </w:p>
        </w:tc>
      </w:tr>
      <w:tr w:rsidR="00CF0E2D" w:rsidRPr="00D60558" w14:paraId="4FD24B7F" w14:textId="77777777" w:rsidTr="00A60D4B">
        <w:trPr>
          <w:gridAfter w:val="1"/>
          <w:wAfter w:w="9" w:type="dxa"/>
          <w:jc w:val="center"/>
        </w:trPr>
        <w:tc>
          <w:tcPr>
            <w:tcW w:w="3355" w:type="dxa"/>
            <w:tcBorders>
              <w:top w:val="nil"/>
              <w:left w:val="nil"/>
              <w:bottom w:val="nil"/>
              <w:right w:val="nil"/>
            </w:tcBorders>
          </w:tcPr>
          <w:p w14:paraId="3265E1FE" w14:textId="77777777" w:rsidR="00CF0E2D" w:rsidRPr="000A5F17" w:rsidRDefault="00CF0E2D" w:rsidP="00A60D4B">
            <w:pPr>
              <w:pStyle w:val="Btabletextunbold"/>
              <w:rPr>
                <w:szCs w:val="20"/>
              </w:rPr>
            </w:pPr>
            <w:r w:rsidRPr="000A5F17">
              <w:rPr>
                <w:rFonts w:cs="Calibri"/>
                <w:color w:val="000000"/>
                <w:szCs w:val="20"/>
              </w:rPr>
              <w:t xml:space="preserve">– Implementation of the LGBTIQ+ Scoping Study recommendations   </w:t>
            </w:r>
          </w:p>
        </w:tc>
        <w:tc>
          <w:tcPr>
            <w:tcW w:w="1093" w:type="dxa"/>
            <w:tcBorders>
              <w:top w:val="nil"/>
              <w:left w:val="nil"/>
              <w:bottom w:val="nil"/>
              <w:right w:val="nil"/>
            </w:tcBorders>
          </w:tcPr>
          <w:p w14:paraId="099B9848"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312DAED1"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4098454B"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2CA71F05"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225DD551" w14:textId="77777777" w:rsidR="00CF0E2D" w:rsidRPr="00254067" w:rsidRDefault="00CF0E2D" w:rsidP="00A60D4B">
            <w:pPr>
              <w:pStyle w:val="Btablefigureunbold"/>
              <w:rPr>
                <w:szCs w:val="20"/>
              </w:rPr>
            </w:pPr>
            <w:r w:rsidRPr="00254067">
              <w:rPr>
                <w:rFonts w:cs="Calibri"/>
                <w:color w:val="000000"/>
                <w:szCs w:val="20"/>
              </w:rPr>
              <w:t>0</w:t>
            </w:r>
          </w:p>
        </w:tc>
        <w:tc>
          <w:tcPr>
            <w:tcW w:w="954" w:type="dxa"/>
            <w:gridSpan w:val="2"/>
            <w:tcBorders>
              <w:top w:val="nil"/>
              <w:left w:val="nil"/>
              <w:bottom w:val="nil"/>
              <w:right w:val="nil"/>
            </w:tcBorders>
          </w:tcPr>
          <w:p w14:paraId="04CD3762" w14:textId="77777777" w:rsidR="00CF0E2D" w:rsidRPr="00254067" w:rsidRDefault="00CF0E2D" w:rsidP="00A60D4B">
            <w:pPr>
              <w:pStyle w:val="Btablefigureunbold"/>
              <w:rPr>
                <w:b/>
                <w:bCs/>
                <w:szCs w:val="20"/>
              </w:rPr>
            </w:pPr>
            <w:r w:rsidRPr="00254067">
              <w:rPr>
                <w:rFonts w:cs="Calibri"/>
                <w:b/>
                <w:bCs/>
                <w:color w:val="000000"/>
                <w:szCs w:val="20"/>
              </w:rPr>
              <w:t>0</w:t>
            </w:r>
          </w:p>
        </w:tc>
      </w:tr>
      <w:tr w:rsidR="00CF0E2D" w:rsidRPr="00D60558" w14:paraId="27AE3125" w14:textId="77777777" w:rsidTr="00A60D4B">
        <w:trPr>
          <w:gridAfter w:val="1"/>
          <w:wAfter w:w="9" w:type="dxa"/>
          <w:jc w:val="center"/>
        </w:trPr>
        <w:tc>
          <w:tcPr>
            <w:tcW w:w="3355" w:type="dxa"/>
            <w:tcBorders>
              <w:top w:val="nil"/>
              <w:left w:val="nil"/>
              <w:bottom w:val="nil"/>
              <w:right w:val="nil"/>
            </w:tcBorders>
          </w:tcPr>
          <w:p w14:paraId="51A71702" w14:textId="77777777" w:rsidR="00CF0E2D" w:rsidRPr="000A5F17" w:rsidRDefault="00CF0E2D" w:rsidP="00A60D4B">
            <w:pPr>
              <w:pStyle w:val="Btabletextunbold"/>
              <w:rPr>
                <w:szCs w:val="20"/>
              </w:rPr>
            </w:pPr>
            <w:r w:rsidRPr="000A5F17">
              <w:rPr>
                <w:rFonts w:cs="Calibri"/>
                <w:color w:val="000000"/>
                <w:szCs w:val="20"/>
              </w:rPr>
              <w:t xml:space="preserve">– More support for </w:t>
            </w:r>
            <w:r>
              <w:rPr>
                <w:rFonts w:cs="Calibri"/>
                <w:color w:val="000000"/>
                <w:szCs w:val="20"/>
              </w:rPr>
              <w:t>c</w:t>
            </w:r>
            <w:r w:rsidRPr="000A5F17">
              <w:rPr>
                <w:rFonts w:cs="Calibri"/>
                <w:color w:val="000000"/>
                <w:szCs w:val="20"/>
              </w:rPr>
              <w:t xml:space="preserve">ommunity </w:t>
            </w:r>
            <w:r>
              <w:rPr>
                <w:rFonts w:cs="Calibri"/>
                <w:color w:val="000000"/>
                <w:szCs w:val="20"/>
              </w:rPr>
              <w:t>d</w:t>
            </w:r>
            <w:r w:rsidRPr="000A5F17">
              <w:rPr>
                <w:rFonts w:cs="Calibri"/>
                <w:color w:val="000000"/>
                <w:szCs w:val="20"/>
              </w:rPr>
              <w:t xml:space="preserve">elivered </w:t>
            </w:r>
            <w:r>
              <w:rPr>
                <w:rFonts w:cs="Calibri"/>
                <w:color w:val="000000"/>
                <w:szCs w:val="20"/>
              </w:rPr>
              <w:t>m</w:t>
            </w:r>
            <w:r w:rsidRPr="000A5F17">
              <w:rPr>
                <w:rFonts w:cs="Calibri"/>
                <w:color w:val="000000"/>
                <w:szCs w:val="20"/>
              </w:rPr>
              <w:t xml:space="preserve">ental </w:t>
            </w:r>
            <w:r>
              <w:rPr>
                <w:rFonts w:cs="Calibri"/>
                <w:color w:val="000000"/>
                <w:szCs w:val="20"/>
              </w:rPr>
              <w:t>h</w:t>
            </w:r>
            <w:r w:rsidRPr="000A5F17">
              <w:rPr>
                <w:rFonts w:cs="Calibri"/>
                <w:color w:val="000000"/>
                <w:szCs w:val="20"/>
              </w:rPr>
              <w:t xml:space="preserve">ealth  </w:t>
            </w:r>
          </w:p>
        </w:tc>
        <w:tc>
          <w:tcPr>
            <w:tcW w:w="1093" w:type="dxa"/>
            <w:tcBorders>
              <w:top w:val="nil"/>
              <w:left w:val="nil"/>
              <w:bottom w:val="nil"/>
              <w:right w:val="nil"/>
            </w:tcBorders>
          </w:tcPr>
          <w:p w14:paraId="122A99B2"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0756FFB5"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2F9C8584"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22BAECBA"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781851E4" w14:textId="77777777" w:rsidR="00CF0E2D" w:rsidRPr="00254067" w:rsidRDefault="00CF0E2D" w:rsidP="00A60D4B">
            <w:pPr>
              <w:pStyle w:val="Btablefigureunbold"/>
              <w:rPr>
                <w:szCs w:val="20"/>
              </w:rPr>
            </w:pPr>
            <w:r w:rsidRPr="00254067">
              <w:rPr>
                <w:rFonts w:cs="Calibri"/>
                <w:color w:val="000000"/>
                <w:szCs w:val="20"/>
              </w:rPr>
              <w:t>0</w:t>
            </w:r>
          </w:p>
        </w:tc>
        <w:tc>
          <w:tcPr>
            <w:tcW w:w="954" w:type="dxa"/>
            <w:gridSpan w:val="2"/>
            <w:tcBorders>
              <w:top w:val="nil"/>
              <w:left w:val="nil"/>
              <w:bottom w:val="nil"/>
              <w:right w:val="nil"/>
            </w:tcBorders>
          </w:tcPr>
          <w:p w14:paraId="580A8C1E" w14:textId="77777777" w:rsidR="00CF0E2D" w:rsidRPr="00254067" w:rsidRDefault="00CF0E2D" w:rsidP="00A60D4B">
            <w:pPr>
              <w:pStyle w:val="Btablefigureunbold"/>
              <w:rPr>
                <w:b/>
                <w:bCs/>
                <w:szCs w:val="20"/>
              </w:rPr>
            </w:pPr>
            <w:r w:rsidRPr="00254067">
              <w:rPr>
                <w:rFonts w:cs="Calibri"/>
                <w:b/>
                <w:bCs/>
                <w:color w:val="000000"/>
                <w:szCs w:val="20"/>
              </w:rPr>
              <w:t>0</w:t>
            </w:r>
          </w:p>
        </w:tc>
      </w:tr>
      <w:tr w:rsidR="00CF0E2D" w:rsidRPr="00D60558" w14:paraId="09AFA133" w14:textId="77777777" w:rsidTr="00A60D4B">
        <w:trPr>
          <w:gridAfter w:val="1"/>
          <w:wAfter w:w="9" w:type="dxa"/>
          <w:jc w:val="center"/>
        </w:trPr>
        <w:tc>
          <w:tcPr>
            <w:tcW w:w="3355" w:type="dxa"/>
            <w:tcBorders>
              <w:top w:val="nil"/>
              <w:left w:val="nil"/>
              <w:bottom w:val="nil"/>
              <w:right w:val="nil"/>
            </w:tcBorders>
          </w:tcPr>
          <w:p w14:paraId="60A00E8A" w14:textId="77777777" w:rsidR="00CF0E2D" w:rsidRPr="000A5F17" w:rsidRDefault="00CF0E2D" w:rsidP="00A60D4B">
            <w:pPr>
              <w:pStyle w:val="Btabletextunbold"/>
              <w:rPr>
                <w:szCs w:val="20"/>
              </w:rPr>
            </w:pPr>
            <w:r>
              <w:rPr>
                <w:rFonts w:cs="Calibri"/>
                <w:color w:val="000000"/>
                <w:szCs w:val="20"/>
              </w:rPr>
              <w:t>–</w:t>
            </w:r>
            <w:r w:rsidRPr="000A5F17">
              <w:rPr>
                <w:rFonts w:cs="Calibri"/>
                <w:color w:val="000000"/>
                <w:szCs w:val="20"/>
              </w:rPr>
              <w:t xml:space="preserve"> Planning for additional supported accommodation houses</w:t>
            </w:r>
          </w:p>
        </w:tc>
        <w:tc>
          <w:tcPr>
            <w:tcW w:w="1093" w:type="dxa"/>
            <w:tcBorders>
              <w:top w:val="nil"/>
              <w:left w:val="nil"/>
              <w:bottom w:val="nil"/>
              <w:right w:val="nil"/>
            </w:tcBorders>
          </w:tcPr>
          <w:p w14:paraId="775AA383"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6B3FE18E"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0CBD064A"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4AA7088B"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04FF972A" w14:textId="77777777" w:rsidR="00CF0E2D" w:rsidRPr="00254067" w:rsidRDefault="00CF0E2D" w:rsidP="00A60D4B">
            <w:pPr>
              <w:pStyle w:val="Btablefigureunbold"/>
              <w:rPr>
                <w:szCs w:val="20"/>
              </w:rPr>
            </w:pPr>
            <w:r w:rsidRPr="00254067">
              <w:rPr>
                <w:rFonts w:cs="Calibri"/>
                <w:color w:val="000000"/>
                <w:szCs w:val="20"/>
              </w:rPr>
              <w:t>0</w:t>
            </w:r>
          </w:p>
        </w:tc>
        <w:tc>
          <w:tcPr>
            <w:tcW w:w="954" w:type="dxa"/>
            <w:gridSpan w:val="2"/>
            <w:tcBorders>
              <w:top w:val="nil"/>
              <w:left w:val="nil"/>
              <w:bottom w:val="nil"/>
              <w:right w:val="nil"/>
            </w:tcBorders>
          </w:tcPr>
          <w:p w14:paraId="5C56D17D" w14:textId="77777777" w:rsidR="00CF0E2D" w:rsidRPr="00254067" w:rsidRDefault="00CF0E2D" w:rsidP="00A60D4B">
            <w:pPr>
              <w:pStyle w:val="Btablefigureunbold"/>
              <w:rPr>
                <w:b/>
                <w:bCs/>
                <w:szCs w:val="20"/>
              </w:rPr>
            </w:pPr>
            <w:r w:rsidRPr="00254067">
              <w:rPr>
                <w:rFonts w:cs="Calibri"/>
                <w:b/>
                <w:bCs/>
                <w:color w:val="000000"/>
                <w:szCs w:val="20"/>
              </w:rPr>
              <w:t>0</w:t>
            </w:r>
          </w:p>
        </w:tc>
      </w:tr>
      <w:tr w:rsidR="00CF0E2D" w:rsidRPr="00D60558" w14:paraId="71706940" w14:textId="77777777" w:rsidTr="00A60D4B">
        <w:trPr>
          <w:gridAfter w:val="1"/>
          <w:wAfter w:w="9" w:type="dxa"/>
          <w:jc w:val="center"/>
        </w:trPr>
        <w:tc>
          <w:tcPr>
            <w:tcW w:w="3355" w:type="dxa"/>
            <w:tcBorders>
              <w:top w:val="nil"/>
              <w:left w:val="nil"/>
              <w:bottom w:val="nil"/>
              <w:right w:val="nil"/>
            </w:tcBorders>
          </w:tcPr>
          <w:p w14:paraId="31C7CD83" w14:textId="77777777" w:rsidR="00CF0E2D" w:rsidRPr="00D50D14" w:rsidRDefault="00CF0E2D" w:rsidP="00A60D4B">
            <w:pPr>
              <w:pStyle w:val="Btabletextunbold"/>
              <w:rPr>
                <w:rFonts w:cs="Calibri"/>
                <w:i/>
                <w:iCs/>
                <w:color w:val="000000"/>
                <w:szCs w:val="20"/>
              </w:rPr>
            </w:pPr>
            <w:r w:rsidRPr="00D50D14">
              <w:rPr>
                <w:rFonts w:cs="Calibri"/>
                <w:i/>
                <w:iCs/>
                <w:color w:val="000000"/>
                <w:szCs w:val="20"/>
              </w:rPr>
              <w:t>COVID-19 Response</w:t>
            </w:r>
          </w:p>
        </w:tc>
        <w:tc>
          <w:tcPr>
            <w:tcW w:w="1093" w:type="dxa"/>
            <w:tcBorders>
              <w:top w:val="nil"/>
              <w:left w:val="nil"/>
              <w:bottom w:val="nil"/>
              <w:right w:val="nil"/>
            </w:tcBorders>
          </w:tcPr>
          <w:p w14:paraId="5923E5F7" w14:textId="77777777" w:rsidR="00CF0E2D"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513A2A98" w14:textId="77777777" w:rsidR="00CF0E2D" w:rsidRPr="00254067" w:rsidRDefault="00CF0E2D" w:rsidP="00A60D4B">
            <w:pPr>
              <w:pStyle w:val="Btablefigureunbold"/>
              <w:rPr>
                <w:szCs w:val="20"/>
              </w:rPr>
            </w:pPr>
          </w:p>
        </w:tc>
        <w:tc>
          <w:tcPr>
            <w:tcW w:w="964" w:type="dxa"/>
            <w:gridSpan w:val="2"/>
            <w:tcBorders>
              <w:top w:val="nil"/>
              <w:left w:val="nil"/>
              <w:bottom w:val="nil"/>
              <w:right w:val="nil"/>
            </w:tcBorders>
          </w:tcPr>
          <w:p w14:paraId="3F80D858" w14:textId="77777777" w:rsidR="00CF0E2D" w:rsidRPr="00254067" w:rsidRDefault="00CF0E2D" w:rsidP="00A60D4B">
            <w:pPr>
              <w:pStyle w:val="Btablefigureunbold"/>
              <w:rPr>
                <w:szCs w:val="20"/>
              </w:rPr>
            </w:pPr>
          </w:p>
        </w:tc>
        <w:tc>
          <w:tcPr>
            <w:tcW w:w="964" w:type="dxa"/>
            <w:gridSpan w:val="2"/>
            <w:tcBorders>
              <w:top w:val="nil"/>
              <w:left w:val="nil"/>
              <w:bottom w:val="nil"/>
              <w:right w:val="nil"/>
            </w:tcBorders>
          </w:tcPr>
          <w:p w14:paraId="4CF87A9D" w14:textId="77777777" w:rsidR="00CF0E2D" w:rsidRPr="00254067" w:rsidRDefault="00CF0E2D" w:rsidP="00A60D4B">
            <w:pPr>
              <w:pStyle w:val="Btablefigureunbold"/>
              <w:rPr>
                <w:szCs w:val="20"/>
              </w:rPr>
            </w:pPr>
          </w:p>
        </w:tc>
        <w:tc>
          <w:tcPr>
            <w:tcW w:w="964" w:type="dxa"/>
            <w:gridSpan w:val="2"/>
            <w:tcBorders>
              <w:top w:val="nil"/>
              <w:left w:val="nil"/>
              <w:bottom w:val="nil"/>
              <w:right w:val="nil"/>
            </w:tcBorders>
          </w:tcPr>
          <w:p w14:paraId="7384C049" w14:textId="77777777" w:rsidR="00CF0E2D" w:rsidRPr="00254067" w:rsidRDefault="00CF0E2D" w:rsidP="00A60D4B">
            <w:pPr>
              <w:pStyle w:val="Btablefigureunbold"/>
              <w:rPr>
                <w:szCs w:val="20"/>
              </w:rPr>
            </w:pPr>
          </w:p>
        </w:tc>
        <w:tc>
          <w:tcPr>
            <w:tcW w:w="954" w:type="dxa"/>
            <w:gridSpan w:val="2"/>
            <w:tcBorders>
              <w:top w:val="nil"/>
              <w:left w:val="nil"/>
              <w:bottom w:val="nil"/>
              <w:right w:val="nil"/>
            </w:tcBorders>
          </w:tcPr>
          <w:p w14:paraId="46D195E6" w14:textId="77777777" w:rsidR="00CF0E2D" w:rsidRPr="00254067" w:rsidRDefault="00CF0E2D" w:rsidP="00A60D4B">
            <w:pPr>
              <w:pStyle w:val="Btablefigureunbold"/>
              <w:rPr>
                <w:b/>
                <w:bCs/>
                <w:szCs w:val="20"/>
              </w:rPr>
            </w:pPr>
          </w:p>
        </w:tc>
      </w:tr>
      <w:tr w:rsidR="00CF0E2D" w:rsidRPr="00D60558" w14:paraId="4536B600" w14:textId="77777777" w:rsidTr="00A60D4B">
        <w:trPr>
          <w:gridAfter w:val="1"/>
          <w:wAfter w:w="9" w:type="dxa"/>
          <w:jc w:val="center"/>
        </w:trPr>
        <w:tc>
          <w:tcPr>
            <w:tcW w:w="3355" w:type="dxa"/>
            <w:tcBorders>
              <w:top w:val="nil"/>
              <w:left w:val="nil"/>
              <w:bottom w:val="nil"/>
              <w:right w:val="nil"/>
            </w:tcBorders>
          </w:tcPr>
          <w:p w14:paraId="0082AE25" w14:textId="77777777" w:rsidR="00CF0E2D" w:rsidRPr="000A5F17" w:rsidRDefault="00CF0E2D" w:rsidP="00A60D4B">
            <w:pPr>
              <w:pStyle w:val="Btabletextunbold"/>
              <w:rPr>
                <w:szCs w:val="20"/>
              </w:rPr>
            </w:pPr>
            <w:r>
              <w:rPr>
                <w:rFonts w:cs="Calibri"/>
                <w:color w:val="000000"/>
                <w:szCs w:val="20"/>
              </w:rPr>
              <w:t>–</w:t>
            </w:r>
            <w:r w:rsidRPr="000A5F17">
              <w:rPr>
                <w:rFonts w:cs="Calibri"/>
                <w:color w:val="000000"/>
                <w:szCs w:val="20"/>
              </w:rPr>
              <w:t xml:space="preserve"> Continuing the COVID-19 Public Health </w:t>
            </w:r>
            <w:r>
              <w:rPr>
                <w:rFonts w:cs="Calibri"/>
                <w:color w:val="000000"/>
                <w:szCs w:val="20"/>
              </w:rPr>
              <w:t>support package</w:t>
            </w:r>
          </w:p>
        </w:tc>
        <w:tc>
          <w:tcPr>
            <w:tcW w:w="1093" w:type="dxa"/>
            <w:tcBorders>
              <w:top w:val="nil"/>
              <w:left w:val="nil"/>
              <w:bottom w:val="nil"/>
              <w:right w:val="nil"/>
            </w:tcBorders>
          </w:tcPr>
          <w:p w14:paraId="305F7884"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599F26D6" w14:textId="77777777" w:rsidR="00CF0E2D" w:rsidRPr="00254067" w:rsidRDefault="00CF0E2D" w:rsidP="00A60D4B">
            <w:pPr>
              <w:pStyle w:val="Btablefigureunbold"/>
              <w:rPr>
                <w:szCs w:val="20"/>
              </w:rPr>
            </w:pPr>
            <w:r w:rsidRPr="00254067">
              <w:rPr>
                <w:rFonts w:cs="Calibri"/>
                <w:color w:val="000000"/>
                <w:szCs w:val="20"/>
              </w:rPr>
              <w:t>14,306</w:t>
            </w:r>
          </w:p>
        </w:tc>
        <w:tc>
          <w:tcPr>
            <w:tcW w:w="964" w:type="dxa"/>
            <w:gridSpan w:val="2"/>
            <w:tcBorders>
              <w:top w:val="nil"/>
              <w:left w:val="nil"/>
              <w:bottom w:val="nil"/>
              <w:right w:val="nil"/>
            </w:tcBorders>
          </w:tcPr>
          <w:p w14:paraId="49A1BEA3"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5D1B621B" w14:textId="77777777" w:rsidR="00CF0E2D" w:rsidRPr="00254067"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7E8F9F6A" w14:textId="77777777" w:rsidR="00CF0E2D" w:rsidRPr="00254067" w:rsidRDefault="00CF0E2D" w:rsidP="00A60D4B">
            <w:pPr>
              <w:pStyle w:val="Btablefigureunbold"/>
              <w:rPr>
                <w:szCs w:val="20"/>
              </w:rPr>
            </w:pPr>
            <w:r w:rsidRPr="00254067">
              <w:rPr>
                <w:rFonts w:cs="Calibri"/>
                <w:color w:val="000000"/>
                <w:szCs w:val="20"/>
              </w:rPr>
              <w:t>0</w:t>
            </w:r>
          </w:p>
        </w:tc>
        <w:tc>
          <w:tcPr>
            <w:tcW w:w="954" w:type="dxa"/>
            <w:gridSpan w:val="2"/>
            <w:tcBorders>
              <w:top w:val="nil"/>
              <w:left w:val="nil"/>
              <w:bottom w:val="nil"/>
              <w:right w:val="nil"/>
            </w:tcBorders>
          </w:tcPr>
          <w:p w14:paraId="66E39E24" w14:textId="77777777" w:rsidR="00CF0E2D" w:rsidRPr="00254067" w:rsidRDefault="00CF0E2D" w:rsidP="00A60D4B">
            <w:pPr>
              <w:pStyle w:val="Btablefigureunbold"/>
              <w:rPr>
                <w:b/>
                <w:bCs/>
                <w:szCs w:val="20"/>
              </w:rPr>
            </w:pPr>
            <w:r w:rsidRPr="00254067">
              <w:rPr>
                <w:rFonts w:cs="Calibri"/>
                <w:b/>
                <w:bCs/>
                <w:color w:val="000000"/>
                <w:szCs w:val="20"/>
              </w:rPr>
              <w:t>14,306</w:t>
            </w:r>
          </w:p>
        </w:tc>
      </w:tr>
      <w:tr w:rsidR="00CF0E2D" w:rsidRPr="00D60558" w14:paraId="0DFE6E20" w14:textId="77777777" w:rsidTr="00A60D4B">
        <w:trPr>
          <w:gridAfter w:val="1"/>
          <w:wAfter w:w="9" w:type="dxa"/>
          <w:jc w:val="center"/>
        </w:trPr>
        <w:tc>
          <w:tcPr>
            <w:tcW w:w="3355" w:type="dxa"/>
            <w:tcBorders>
              <w:top w:val="nil"/>
              <w:left w:val="nil"/>
              <w:bottom w:val="nil"/>
              <w:right w:val="nil"/>
            </w:tcBorders>
          </w:tcPr>
          <w:p w14:paraId="5EF0FF8E" w14:textId="77777777" w:rsidR="00CF0E2D" w:rsidRPr="000A5F17" w:rsidRDefault="00CF0E2D" w:rsidP="00A60D4B">
            <w:pPr>
              <w:pStyle w:val="Btabletextunbold"/>
              <w:rPr>
                <w:szCs w:val="20"/>
              </w:rPr>
            </w:pPr>
            <w:r w:rsidRPr="000A5F17">
              <w:rPr>
                <w:rFonts w:cs="Calibri"/>
                <w:szCs w:val="20"/>
              </w:rPr>
              <w:t xml:space="preserve">– Expanded COVID-19 Vaccination program  </w:t>
            </w:r>
          </w:p>
        </w:tc>
        <w:tc>
          <w:tcPr>
            <w:tcW w:w="1093" w:type="dxa"/>
            <w:tcBorders>
              <w:top w:val="nil"/>
              <w:left w:val="nil"/>
              <w:bottom w:val="nil"/>
              <w:right w:val="nil"/>
            </w:tcBorders>
          </w:tcPr>
          <w:p w14:paraId="5E88D775" w14:textId="42907ED6" w:rsidR="00CF0E2D" w:rsidRPr="000A5F17" w:rsidRDefault="001E39B7" w:rsidP="00A60D4B">
            <w:pPr>
              <w:pStyle w:val="Btablefigureunbold"/>
              <w:ind w:left="0" w:firstLine="0"/>
              <w:jc w:val="left"/>
              <w:rPr>
                <w:rFonts w:cs="Calibri"/>
                <w:color w:val="000000"/>
                <w:szCs w:val="20"/>
              </w:rPr>
            </w:pPr>
            <w:r>
              <w:rPr>
                <w:rFonts w:cs="Calibri"/>
                <w:szCs w:val="20"/>
              </w:rPr>
              <w:t>Net c</w:t>
            </w:r>
            <w:r w:rsidR="00CF0E2D" w:rsidRPr="000A5F17">
              <w:rPr>
                <w:rFonts w:cs="Calibri"/>
                <w:szCs w:val="20"/>
              </w:rPr>
              <w:t>apital</w:t>
            </w:r>
          </w:p>
        </w:tc>
        <w:tc>
          <w:tcPr>
            <w:tcW w:w="964" w:type="dxa"/>
            <w:gridSpan w:val="2"/>
            <w:tcBorders>
              <w:top w:val="nil"/>
              <w:left w:val="nil"/>
              <w:bottom w:val="nil"/>
              <w:right w:val="nil"/>
            </w:tcBorders>
          </w:tcPr>
          <w:p w14:paraId="42BE7A6C" w14:textId="77777777" w:rsidR="00CF0E2D" w:rsidRPr="00D60558" w:rsidRDefault="00CF0E2D" w:rsidP="00A60D4B">
            <w:pPr>
              <w:pStyle w:val="Btablefigureunbold"/>
              <w:rPr>
                <w:szCs w:val="20"/>
              </w:rPr>
            </w:pPr>
            <w:r w:rsidRPr="00254067">
              <w:rPr>
                <w:rFonts w:cs="Calibri"/>
                <w:color w:val="000000"/>
                <w:szCs w:val="20"/>
              </w:rPr>
              <w:t>480</w:t>
            </w:r>
          </w:p>
        </w:tc>
        <w:tc>
          <w:tcPr>
            <w:tcW w:w="964" w:type="dxa"/>
            <w:gridSpan w:val="2"/>
            <w:tcBorders>
              <w:top w:val="nil"/>
              <w:left w:val="nil"/>
              <w:bottom w:val="nil"/>
              <w:right w:val="nil"/>
            </w:tcBorders>
          </w:tcPr>
          <w:p w14:paraId="206B4FB0" w14:textId="77777777" w:rsidR="00CF0E2D" w:rsidRPr="00D60558"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4FDCCD3B" w14:textId="77777777" w:rsidR="00CF0E2D" w:rsidRPr="00D60558" w:rsidRDefault="00CF0E2D" w:rsidP="00A60D4B">
            <w:pPr>
              <w:pStyle w:val="Btablefigureunbold"/>
              <w:rPr>
                <w:szCs w:val="20"/>
              </w:rPr>
            </w:pPr>
            <w:r w:rsidRPr="00254067">
              <w:rPr>
                <w:rFonts w:cs="Calibri"/>
                <w:color w:val="000000"/>
                <w:szCs w:val="20"/>
              </w:rPr>
              <w:t>0</w:t>
            </w:r>
          </w:p>
        </w:tc>
        <w:tc>
          <w:tcPr>
            <w:tcW w:w="964" w:type="dxa"/>
            <w:gridSpan w:val="2"/>
            <w:tcBorders>
              <w:top w:val="nil"/>
              <w:left w:val="nil"/>
              <w:bottom w:val="nil"/>
              <w:right w:val="nil"/>
            </w:tcBorders>
          </w:tcPr>
          <w:p w14:paraId="64BA3669" w14:textId="77777777" w:rsidR="00CF0E2D" w:rsidRPr="00D60558" w:rsidRDefault="00CF0E2D" w:rsidP="00A60D4B">
            <w:pPr>
              <w:pStyle w:val="Btablefigureunbold"/>
              <w:rPr>
                <w:szCs w:val="20"/>
              </w:rPr>
            </w:pPr>
            <w:r w:rsidRPr="00254067">
              <w:rPr>
                <w:rFonts w:cs="Calibri"/>
                <w:color w:val="000000"/>
                <w:szCs w:val="20"/>
              </w:rPr>
              <w:t>0</w:t>
            </w:r>
          </w:p>
        </w:tc>
        <w:tc>
          <w:tcPr>
            <w:tcW w:w="954" w:type="dxa"/>
            <w:gridSpan w:val="2"/>
            <w:tcBorders>
              <w:top w:val="nil"/>
              <w:left w:val="nil"/>
              <w:bottom w:val="nil"/>
              <w:right w:val="nil"/>
            </w:tcBorders>
          </w:tcPr>
          <w:p w14:paraId="56C63C26" w14:textId="77777777" w:rsidR="00CF0E2D" w:rsidRPr="00254067" w:rsidRDefault="00CF0E2D" w:rsidP="00A60D4B">
            <w:pPr>
              <w:pStyle w:val="Btablefigureunbold"/>
              <w:rPr>
                <w:b/>
                <w:bCs/>
                <w:szCs w:val="20"/>
              </w:rPr>
            </w:pPr>
            <w:r w:rsidRPr="00254067">
              <w:rPr>
                <w:rFonts w:cs="Calibri"/>
                <w:b/>
                <w:bCs/>
                <w:color w:val="000000"/>
                <w:szCs w:val="20"/>
              </w:rPr>
              <w:t>480</w:t>
            </w:r>
          </w:p>
        </w:tc>
      </w:tr>
      <w:tr w:rsidR="00CF0E2D" w:rsidRPr="00D60558" w14:paraId="243480D2" w14:textId="77777777" w:rsidTr="00A60D4B">
        <w:trPr>
          <w:gridAfter w:val="1"/>
          <w:wAfter w:w="9" w:type="dxa"/>
          <w:jc w:val="center"/>
        </w:trPr>
        <w:tc>
          <w:tcPr>
            <w:tcW w:w="3355" w:type="dxa"/>
            <w:tcBorders>
              <w:top w:val="nil"/>
              <w:left w:val="nil"/>
              <w:bottom w:val="nil"/>
              <w:right w:val="nil"/>
            </w:tcBorders>
          </w:tcPr>
          <w:p w14:paraId="74D37FD0" w14:textId="77777777" w:rsidR="00CF0E2D" w:rsidRPr="000A5F17" w:rsidRDefault="00CF0E2D" w:rsidP="00A60D4B">
            <w:pPr>
              <w:pStyle w:val="Btabletextunbold"/>
              <w:rPr>
                <w:szCs w:val="20"/>
              </w:rPr>
            </w:pPr>
            <w:r w:rsidRPr="000A5F17">
              <w:rPr>
                <w:rFonts w:cs="Calibri"/>
                <w:szCs w:val="20"/>
              </w:rPr>
              <w:t xml:space="preserve">– Expanded COVID-19 Vaccination program  </w:t>
            </w:r>
          </w:p>
        </w:tc>
        <w:tc>
          <w:tcPr>
            <w:tcW w:w="1093" w:type="dxa"/>
            <w:tcBorders>
              <w:top w:val="nil"/>
              <w:left w:val="nil"/>
              <w:bottom w:val="nil"/>
              <w:right w:val="nil"/>
            </w:tcBorders>
          </w:tcPr>
          <w:p w14:paraId="70DB459F" w14:textId="77777777" w:rsidR="00CF0E2D" w:rsidRPr="000A5F17" w:rsidRDefault="00CF0E2D" w:rsidP="00A60D4B">
            <w:pPr>
              <w:pStyle w:val="Btablefigureunbold"/>
              <w:ind w:left="0" w:firstLine="0"/>
              <w:jc w:val="left"/>
              <w:rPr>
                <w:rFonts w:cs="Calibri"/>
                <w:color w:val="000000"/>
                <w:szCs w:val="20"/>
              </w:rPr>
            </w:pPr>
            <w:r w:rsidRPr="002937CF">
              <w:rPr>
                <w:rFonts w:cs="Calibri"/>
                <w:color w:val="000000"/>
                <w:szCs w:val="20"/>
              </w:rPr>
              <w:t>Net cost</w:t>
            </w:r>
          </w:p>
        </w:tc>
        <w:tc>
          <w:tcPr>
            <w:tcW w:w="964" w:type="dxa"/>
            <w:gridSpan w:val="2"/>
            <w:tcBorders>
              <w:top w:val="nil"/>
              <w:left w:val="nil"/>
              <w:bottom w:val="nil"/>
              <w:right w:val="nil"/>
            </w:tcBorders>
          </w:tcPr>
          <w:p w14:paraId="270AD6BB" w14:textId="77777777" w:rsidR="00CF0E2D" w:rsidRPr="00D60558" w:rsidRDefault="00CF0E2D" w:rsidP="00A60D4B">
            <w:pPr>
              <w:pStyle w:val="Btablefigureunbold"/>
              <w:rPr>
                <w:szCs w:val="20"/>
              </w:rPr>
            </w:pPr>
            <w:r w:rsidRPr="00254067">
              <w:rPr>
                <w:rFonts w:cs="Calibri"/>
                <w:color w:val="000000"/>
                <w:szCs w:val="20"/>
              </w:rPr>
              <w:t>19,580</w:t>
            </w:r>
          </w:p>
        </w:tc>
        <w:tc>
          <w:tcPr>
            <w:tcW w:w="964" w:type="dxa"/>
            <w:gridSpan w:val="2"/>
            <w:tcBorders>
              <w:top w:val="nil"/>
              <w:left w:val="nil"/>
              <w:bottom w:val="nil"/>
              <w:right w:val="nil"/>
            </w:tcBorders>
          </w:tcPr>
          <w:p w14:paraId="65DC820C" w14:textId="77777777" w:rsidR="00CF0E2D" w:rsidRPr="00D60558" w:rsidRDefault="00CF0E2D" w:rsidP="00A60D4B">
            <w:pPr>
              <w:pStyle w:val="Btablefigureunbold"/>
              <w:rPr>
                <w:szCs w:val="20"/>
              </w:rPr>
            </w:pPr>
            <w:r w:rsidRPr="00254067">
              <w:rPr>
                <w:rFonts w:cs="Calibri"/>
                <w:color w:val="000000"/>
                <w:szCs w:val="20"/>
              </w:rPr>
              <w:t>48</w:t>
            </w:r>
          </w:p>
        </w:tc>
        <w:tc>
          <w:tcPr>
            <w:tcW w:w="964" w:type="dxa"/>
            <w:gridSpan w:val="2"/>
            <w:tcBorders>
              <w:top w:val="nil"/>
              <w:left w:val="nil"/>
              <w:bottom w:val="nil"/>
              <w:right w:val="nil"/>
            </w:tcBorders>
          </w:tcPr>
          <w:p w14:paraId="5775F673" w14:textId="77777777" w:rsidR="00CF0E2D" w:rsidRPr="00D60558" w:rsidRDefault="00CF0E2D" w:rsidP="00A60D4B">
            <w:pPr>
              <w:pStyle w:val="Btablefigureunbold"/>
              <w:rPr>
                <w:szCs w:val="20"/>
              </w:rPr>
            </w:pPr>
            <w:r w:rsidRPr="00254067">
              <w:rPr>
                <w:rFonts w:cs="Calibri"/>
                <w:color w:val="000000"/>
                <w:szCs w:val="20"/>
              </w:rPr>
              <w:t>48</w:t>
            </w:r>
          </w:p>
        </w:tc>
        <w:tc>
          <w:tcPr>
            <w:tcW w:w="964" w:type="dxa"/>
            <w:gridSpan w:val="2"/>
            <w:tcBorders>
              <w:top w:val="nil"/>
              <w:left w:val="nil"/>
              <w:bottom w:val="nil"/>
              <w:right w:val="nil"/>
            </w:tcBorders>
          </w:tcPr>
          <w:p w14:paraId="637C8FCA" w14:textId="77777777" w:rsidR="00CF0E2D" w:rsidRPr="00D60558" w:rsidRDefault="00CF0E2D" w:rsidP="00A60D4B">
            <w:pPr>
              <w:pStyle w:val="Btablefigureunbold"/>
              <w:rPr>
                <w:szCs w:val="20"/>
              </w:rPr>
            </w:pPr>
            <w:r w:rsidRPr="00254067">
              <w:rPr>
                <w:rFonts w:cs="Calibri"/>
                <w:color w:val="000000"/>
                <w:szCs w:val="20"/>
              </w:rPr>
              <w:t>48</w:t>
            </w:r>
          </w:p>
        </w:tc>
        <w:tc>
          <w:tcPr>
            <w:tcW w:w="954" w:type="dxa"/>
            <w:gridSpan w:val="2"/>
            <w:tcBorders>
              <w:top w:val="nil"/>
              <w:left w:val="nil"/>
              <w:bottom w:val="nil"/>
              <w:right w:val="nil"/>
            </w:tcBorders>
          </w:tcPr>
          <w:p w14:paraId="3CA51572" w14:textId="77777777" w:rsidR="00CF0E2D" w:rsidRPr="00254067" w:rsidRDefault="00CF0E2D" w:rsidP="00A60D4B">
            <w:pPr>
              <w:pStyle w:val="Btablefigureunbold"/>
              <w:rPr>
                <w:b/>
                <w:bCs/>
                <w:szCs w:val="20"/>
              </w:rPr>
            </w:pPr>
            <w:r w:rsidRPr="00254067">
              <w:rPr>
                <w:rFonts w:cs="Calibri"/>
                <w:b/>
                <w:bCs/>
                <w:color w:val="000000"/>
                <w:szCs w:val="20"/>
              </w:rPr>
              <w:t>19,724</w:t>
            </w:r>
          </w:p>
        </w:tc>
      </w:tr>
      <w:tr w:rsidR="00CF0E2D" w:rsidRPr="00D60558" w14:paraId="77A86AF3" w14:textId="77777777" w:rsidTr="00A60D4B">
        <w:trPr>
          <w:gridAfter w:val="1"/>
          <w:wAfter w:w="9" w:type="dxa"/>
          <w:jc w:val="center"/>
        </w:trPr>
        <w:tc>
          <w:tcPr>
            <w:tcW w:w="3355" w:type="dxa"/>
            <w:tcBorders>
              <w:top w:val="nil"/>
              <w:left w:val="nil"/>
              <w:bottom w:val="nil"/>
              <w:right w:val="nil"/>
            </w:tcBorders>
          </w:tcPr>
          <w:p w14:paraId="0D3EB9EE" w14:textId="77777777" w:rsidR="00CF0E2D" w:rsidRPr="000A5F17" w:rsidRDefault="00CF0E2D" w:rsidP="00A60D4B">
            <w:pPr>
              <w:pStyle w:val="Btabletextunbold"/>
              <w:rPr>
                <w:szCs w:val="20"/>
              </w:rPr>
            </w:pPr>
            <w:r w:rsidRPr="000A5F17">
              <w:rPr>
                <w:rFonts w:cs="Calibri"/>
                <w:szCs w:val="20"/>
              </w:rPr>
              <w:t xml:space="preserve">– Mental health support package </w:t>
            </w:r>
          </w:p>
        </w:tc>
        <w:tc>
          <w:tcPr>
            <w:tcW w:w="1093" w:type="dxa"/>
            <w:tcBorders>
              <w:top w:val="nil"/>
              <w:left w:val="nil"/>
              <w:bottom w:val="nil"/>
              <w:right w:val="nil"/>
            </w:tcBorders>
          </w:tcPr>
          <w:p w14:paraId="3A6F976F" w14:textId="77777777" w:rsidR="00CF0E2D" w:rsidRPr="000A5F17" w:rsidRDefault="00CF0E2D" w:rsidP="00A60D4B">
            <w:pPr>
              <w:pStyle w:val="Btablefigureunbold"/>
              <w:ind w:left="0" w:firstLine="0"/>
              <w:jc w:val="left"/>
              <w:rPr>
                <w:rFonts w:cs="Calibri"/>
                <w:color w:val="000000"/>
                <w:szCs w:val="20"/>
              </w:rPr>
            </w:pPr>
            <w:r w:rsidRPr="002937CF">
              <w:rPr>
                <w:rFonts w:cs="Calibri"/>
                <w:color w:val="000000"/>
                <w:szCs w:val="20"/>
              </w:rPr>
              <w:t>Net cost</w:t>
            </w:r>
          </w:p>
        </w:tc>
        <w:tc>
          <w:tcPr>
            <w:tcW w:w="964" w:type="dxa"/>
            <w:gridSpan w:val="2"/>
            <w:tcBorders>
              <w:top w:val="nil"/>
              <w:left w:val="nil"/>
              <w:bottom w:val="nil"/>
              <w:right w:val="nil"/>
            </w:tcBorders>
          </w:tcPr>
          <w:p w14:paraId="66114B19" w14:textId="77777777" w:rsidR="00CF0E2D" w:rsidRPr="00BC33CC" w:rsidRDefault="00CF0E2D" w:rsidP="00A60D4B">
            <w:pPr>
              <w:pStyle w:val="Btablefigureunbold"/>
              <w:rPr>
                <w:szCs w:val="20"/>
              </w:rPr>
            </w:pPr>
            <w:r w:rsidRPr="00BC33CC">
              <w:rPr>
                <w:rFonts w:cs="Calibri"/>
                <w:color w:val="000000"/>
                <w:szCs w:val="20"/>
              </w:rPr>
              <w:t>260</w:t>
            </w:r>
          </w:p>
        </w:tc>
        <w:tc>
          <w:tcPr>
            <w:tcW w:w="964" w:type="dxa"/>
            <w:gridSpan w:val="2"/>
            <w:tcBorders>
              <w:top w:val="nil"/>
              <w:left w:val="nil"/>
              <w:bottom w:val="nil"/>
              <w:right w:val="nil"/>
            </w:tcBorders>
          </w:tcPr>
          <w:p w14:paraId="407AECC0"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46D96674"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1D3C4EC7"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2DA6EB94" w14:textId="77777777" w:rsidR="00CF0E2D" w:rsidRPr="00BC33CC" w:rsidRDefault="00CF0E2D" w:rsidP="00A60D4B">
            <w:pPr>
              <w:pStyle w:val="Btablefigureunbold"/>
              <w:rPr>
                <w:b/>
                <w:bCs/>
                <w:szCs w:val="20"/>
              </w:rPr>
            </w:pPr>
            <w:r w:rsidRPr="00BC33CC">
              <w:rPr>
                <w:rFonts w:cs="Calibri"/>
                <w:b/>
                <w:bCs/>
                <w:color w:val="000000"/>
                <w:szCs w:val="20"/>
              </w:rPr>
              <w:t>260</w:t>
            </w:r>
          </w:p>
        </w:tc>
      </w:tr>
      <w:tr w:rsidR="00CF0E2D" w:rsidRPr="00D60558" w14:paraId="3B75242E" w14:textId="77777777" w:rsidTr="00A60D4B">
        <w:trPr>
          <w:gridAfter w:val="1"/>
          <w:wAfter w:w="9" w:type="dxa"/>
          <w:jc w:val="center"/>
        </w:trPr>
        <w:tc>
          <w:tcPr>
            <w:tcW w:w="3355" w:type="dxa"/>
            <w:tcBorders>
              <w:top w:val="nil"/>
              <w:left w:val="nil"/>
              <w:bottom w:val="nil"/>
              <w:right w:val="nil"/>
            </w:tcBorders>
          </w:tcPr>
          <w:p w14:paraId="131BD27C" w14:textId="77777777" w:rsidR="00CF0E2D" w:rsidRPr="00D50D14" w:rsidRDefault="00CF0E2D" w:rsidP="00A60D4B">
            <w:pPr>
              <w:pStyle w:val="Btabletextunbold"/>
              <w:rPr>
                <w:rFonts w:cs="Calibri"/>
                <w:i/>
                <w:iCs/>
                <w:color w:val="000000"/>
                <w:szCs w:val="20"/>
              </w:rPr>
            </w:pPr>
            <w:r w:rsidRPr="00D50D14">
              <w:rPr>
                <w:rFonts w:cs="Calibri"/>
                <w:i/>
                <w:iCs/>
                <w:color w:val="000000"/>
                <w:szCs w:val="20"/>
              </w:rPr>
              <w:t>Expanding critical public hospital services</w:t>
            </w:r>
          </w:p>
        </w:tc>
        <w:tc>
          <w:tcPr>
            <w:tcW w:w="1093" w:type="dxa"/>
            <w:tcBorders>
              <w:top w:val="nil"/>
              <w:left w:val="nil"/>
              <w:bottom w:val="nil"/>
              <w:right w:val="nil"/>
            </w:tcBorders>
          </w:tcPr>
          <w:p w14:paraId="2D66893C" w14:textId="77777777" w:rsidR="00CF0E2D" w:rsidRPr="002937CF"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51AB8063" w14:textId="77777777" w:rsidR="00CF0E2D" w:rsidRPr="00BC33CC" w:rsidRDefault="00CF0E2D" w:rsidP="00A60D4B">
            <w:pPr>
              <w:pStyle w:val="Btablefigureunbold"/>
              <w:rPr>
                <w:szCs w:val="20"/>
              </w:rPr>
            </w:pPr>
          </w:p>
        </w:tc>
        <w:tc>
          <w:tcPr>
            <w:tcW w:w="964" w:type="dxa"/>
            <w:gridSpan w:val="2"/>
            <w:tcBorders>
              <w:top w:val="nil"/>
              <w:left w:val="nil"/>
              <w:bottom w:val="nil"/>
              <w:right w:val="nil"/>
            </w:tcBorders>
          </w:tcPr>
          <w:p w14:paraId="3B693BA5" w14:textId="77777777" w:rsidR="00CF0E2D" w:rsidRPr="00BC33CC" w:rsidRDefault="00CF0E2D" w:rsidP="00A60D4B">
            <w:pPr>
              <w:pStyle w:val="Btablefigureunbold"/>
              <w:rPr>
                <w:szCs w:val="20"/>
              </w:rPr>
            </w:pPr>
          </w:p>
        </w:tc>
        <w:tc>
          <w:tcPr>
            <w:tcW w:w="964" w:type="dxa"/>
            <w:gridSpan w:val="2"/>
            <w:tcBorders>
              <w:top w:val="nil"/>
              <w:left w:val="nil"/>
              <w:bottom w:val="nil"/>
              <w:right w:val="nil"/>
            </w:tcBorders>
          </w:tcPr>
          <w:p w14:paraId="4F21EF13" w14:textId="77777777" w:rsidR="00CF0E2D" w:rsidRPr="00BC33CC" w:rsidRDefault="00CF0E2D" w:rsidP="00A60D4B">
            <w:pPr>
              <w:pStyle w:val="Btablefigureunbold"/>
              <w:rPr>
                <w:szCs w:val="20"/>
              </w:rPr>
            </w:pPr>
          </w:p>
        </w:tc>
        <w:tc>
          <w:tcPr>
            <w:tcW w:w="964" w:type="dxa"/>
            <w:gridSpan w:val="2"/>
            <w:tcBorders>
              <w:top w:val="nil"/>
              <w:left w:val="nil"/>
              <w:bottom w:val="nil"/>
              <w:right w:val="nil"/>
            </w:tcBorders>
          </w:tcPr>
          <w:p w14:paraId="63DD8657" w14:textId="77777777" w:rsidR="00CF0E2D" w:rsidRPr="00BC33CC" w:rsidRDefault="00CF0E2D" w:rsidP="00A60D4B">
            <w:pPr>
              <w:pStyle w:val="Btablefigureunbold"/>
              <w:rPr>
                <w:szCs w:val="20"/>
              </w:rPr>
            </w:pPr>
          </w:p>
        </w:tc>
        <w:tc>
          <w:tcPr>
            <w:tcW w:w="954" w:type="dxa"/>
            <w:gridSpan w:val="2"/>
            <w:tcBorders>
              <w:top w:val="nil"/>
              <w:left w:val="nil"/>
              <w:bottom w:val="nil"/>
              <w:right w:val="nil"/>
            </w:tcBorders>
          </w:tcPr>
          <w:p w14:paraId="44779AA9" w14:textId="77777777" w:rsidR="00CF0E2D" w:rsidRPr="00BC33CC" w:rsidRDefault="00CF0E2D" w:rsidP="00A60D4B">
            <w:pPr>
              <w:pStyle w:val="Btablefigureunbold"/>
              <w:rPr>
                <w:b/>
                <w:bCs/>
                <w:szCs w:val="20"/>
              </w:rPr>
            </w:pPr>
          </w:p>
        </w:tc>
      </w:tr>
      <w:tr w:rsidR="00CF0E2D" w:rsidRPr="00D60558" w14:paraId="0CDD47D2" w14:textId="77777777" w:rsidTr="00A60D4B">
        <w:trPr>
          <w:gridAfter w:val="1"/>
          <w:wAfter w:w="9" w:type="dxa"/>
          <w:jc w:val="center"/>
        </w:trPr>
        <w:tc>
          <w:tcPr>
            <w:tcW w:w="3355" w:type="dxa"/>
            <w:tcBorders>
              <w:top w:val="nil"/>
              <w:left w:val="nil"/>
              <w:bottom w:val="nil"/>
              <w:right w:val="nil"/>
            </w:tcBorders>
          </w:tcPr>
          <w:p w14:paraId="17F9C9F0" w14:textId="77777777" w:rsidR="00CF0E2D" w:rsidRPr="000A5F17" w:rsidRDefault="00CF0E2D" w:rsidP="00A60D4B">
            <w:pPr>
              <w:pStyle w:val="Btabletextunbold"/>
              <w:rPr>
                <w:szCs w:val="20"/>
              </w:rPr>
            </w:pPr>
            <w:r w:rsidRPr="000A5F17">
              <w:rPr>
                <w:rFonts w:cs="Calibri"/>
                <w:color w:val="000000"/>
                <w:szCs w:val="20"/>
              </w:rPr>
              <w:t xml:space="preserve">– Additional ICU capacity  </w:t>
            </w:r>
          </w:p>
        </w:tc>
        <w:tc>
          <w:tcPr>
            <w:tcW w:w="1093" w:type="dxa"/>
            <w:tcBorders>
              <w:top w:val="nil"/>
              <w:left w:val="nil"/>
              <w:bottom w:val="nil"/>
              <w:right w:val="nil"/>
            </w:tcBorders>
          </w:tcPr>
          <w:p w14:paraId="64C4ABC4" w14:textId="77777777" w:rsidR="00CF0E2D" w:rsidRPr="000A5F17" w:rsidRDefault="00CF0E2D" w:rsidP="00A60D4B">
            <w:pPr>
              <w:pStyle w:val="Btablefigureunbold"/>
              <w:ind w:left="0" w:firstLine="0"/>
              <w:jc w:val="left"/>
              <w:rPr>
                <w:rFonts w:cs="Calibri"/>
                <w:color w:val="000000"/>
                <w:szCs w:val="20"/>
              </w:rPr>
            </w:pPr>
            <w:r w:rsidRPr="002937CF">
              <w:rPr>
                <w:rFonts w:cs="Calibri"/>
                <w:color w:val="000000"/>
                <w:szCs w:val="20"/>
              </w:rPr>
              <w:t>Net cost</w:t>
            </w:r>
          </w:p>
        </w:tc>
        <w:tc>
          <w:tcPr>
            <w:tcW w:w="964" w:type="dxa"/>
            <w:gridSpan w:val="2"/>
            <w:tcBorders>
              <w:top w:val="nil"/>
              <w:left w:val="nil"/>
              <w:bottom w:val="nil"/>
              <w:right w:val="nil"/>
            </w:tcBorders>
          </w:tcPr>
          <w:p w14:paraId="67FE6527"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257B790A"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0CDF2F61"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69295F4C"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7339D640" w14:textId="77777777" w:rsidR="00CF0E2D" w:rsidRPr="00BC33CC" w:rsidRDefault="00CF0E2D" w:rsidP="00A60D4B">
            <w:pPr>
              <w:pStyle w:val="Btablefigureunbold"/>
              <w:rPr>
                <w:b/>
                <w:bCs/>
                <w:szCs w:val="20"/>
              </w:rPr>
            </w:pPr>
            <w:r w:rsidRPr="00BC33CC">
              <w:rPr>
                <w:rFonts w:cs="Calibri"/>
                <w:b/>
                <w:bCs/>
                <w:color w:val="000000"/>
                <w:szCs w:val="20"/>
              </w:rPr>
              <w:t>0</w:t>
            </w:r>
          </w:p>
        </w:tc>
      </w:tr>
      <w:tr w:rsidR="00CF0E2D" w:rsidRPr="00D60558" w14:paraId="099CD7AC" w14:textId="77777777" w:rsidTr="00A60D4B">
        <w:trPr>
          <w:gridAfter w:val="1"/>
          <w:wAfter w:w="9" w:type="dxa"/>
          <w:jc w:val="center"/>
        </w:trPr>
        <w:tc>
          <w:tcPr>
            <w:tcW w:w="3355" w:type="dxa"/>
            <w:tcBorders>
              <w:top w:val="nil"/>
              <w:left w:val="nil"/>
              <w:bottom w:val="nil"/>
              <w:right w:val="nil"/>
            </w:tcBorders>
          </w:tcPr>
          <w:p w14:paraId="2018EC6D" w14:textId="77777777" w:rsidR="00CF0E2D" w:rsidRPr="000A5F17" w:rsidRDefault="00CF0E2D" w:rsidP="00A60D4B">
            <w:pPr>
              <w:pStyle w:val="Btabletextunbold"/>
              <w:rPr>
                <w:szCs w:val="20"/>
              </w:rPr>
            </w:pPr>
            <w:r w:rsidRPr="000A5F17">
              <w:rPr>
                <w:rFonts w:cs="Calibri"/>
                <w:color w:val="000000"/>
                <w:szCs w:val="20"/>
              </w:rPr>
              <w:lastRenderedPageBreak/>
              <w:t xml:space="preserve">– Additional neonatology cots  </w:t>
            </w:r>
          </w:p>
        </w:tc>
        <w:tc>
          <w:tcPr>
            <w:tcW w:w="1093" w:type="dxa"/>
            <w:tcBorders>
              <w:top w:val="nil"/>
              <w:left w:val="nil"/>
              <w:bottom w:val="nil"/>
              <w:right w:val="nil"/>
            </w:tcBorders>
          </w:tcPr>
          <w:p w14:paraId="7732E0B8" w14:textId="77777777" w:rsidR="00CF0E2D" w:rsidRPr="000A5F17" w:rsidRDefault="00CF0E2D" w:rsidP="00A60D4B">
            <w:pPr>
              <w:pStyle w:val="Btablefigureunbold"/>
              <w:ind w:left="0" w:firstLine="0"/>
              <w:jc w:val="left"/>
              <w:rPr>
                <w:rFonts w:cs="Calibri"/>
                <w:color w:val="000000"/>
                <w:szCs w:val="20"/>
              </w:rPr>
            </w:pPr>
            <w:r w:rsidRPr="002937CF">
              <w:rPr>
                <w:rFonts w:cs="Calibri"/>
                <w:color w:val="000000"/>
                <w:szCs w:val="20"/>
              </w:rPr>
              <w:t>Net cost</w:t>
            </w:r>
          </w:p>
        </w:tc>
        <w:tc>
          <w:tcPr>
            <w:tcW w:w="964" w:type="dxa"/>
            <w:gridSpan w:val="2"/>
            <w:tcBorders>
              <w:top w:val="nil"/>
              <w:left w:val="nil"/>
              <w:bottom w:val="nil"/>
              <w:right w:val="nil"/>
            </w:tcBorders>
          </w:tcPr>
          <w:p w14:paraId="75E3EBDA" w14:textId="77777777" w:rsidR="00CF0E2D" w:rsidRPr="00D60558" w:rsidRDefault="00CF0E2D" w:rsidP="00A60D4B">
            <w:pPr>
              <w:pStyle w:val="Btablefigureunbold"/>
              <w:rPr>
                <w:szCs w:val="20"/>
              </w:rPr>
            </w:pPr>
            <w:r>
              <w:rPr>
                <w:rFonts w:cs="Calibri"/>
                <w:color w:val="000000"/>
                <w:sz w:val="22"/>
              </w:rPr>
              <w:t>0</w:t>
            </w:r>
          </w:p>
        </w:tc>
        <w:tc>
          <w:tcPr>
            <w:tcW w:w="964" w:type="dxa"/>
            <w:gridSpan w:val="2"/>
            <w:tcBorders>
              <w:top w:val="nil"/>
              <w:left w:val="nil"/>
              <w:bottom w:val="nil"/>
              <w:right w:val="nil"/>
            </w:tcBorders>
          </w:tcPr>
          <w:p w14:paraId="43DBF186" w14:textId="77777777" w:rsidR="00CF0E2D" w:rsidRPr="00D60558" w:rsidRDefault="00CF0E2D" w:rsidP="00A60D4B">
            <w:pPr>
              <w:pStyle w:val="Btablefigureunbold"/>
              <w:rPr>
                <w:szCs w:val="20"/>
              </w:rPr>
            </w:pPr>
            <w:r>
              <w:rPr>
                <w:rFonts w:cs="Calibri"/>
                <w:color w:val="000000"/>
                <w:sz w:val="22"/>
              </w:rPr>
              <w:t>0</w:t>
            </w:r>
          </w:p>
        </w:tc>
        <w:tc>
          <w:tcPr>
            <w:tcW w:w="964" w:type="dxa"/>
            <w:gridSpan w:val="2"/>
            <w:tcBorders>
              <w:top w:val="nil"/>
              <w:left w:val="nil"/>
              <w:bottom w:val="nil"/>
              <w:right w:val="nil"/>
            </w:tcBorders>
          </w:tcPr>
          <w:p w14:paraId="67CD67BC" w14:textId="77777777" w:rsidR="00CF0E2D" w:rsidRPr="00D60558" w:rsidRDefault="00CF0E2D" w:rsidP="00A60D4B">
            <w:pPr>
              <w:pStyle w:val="Btablefigureunbold"/>
              <w:rPr>
                <w:szCs w:val="20"/>
              </w:rPr>
            </w:pPr>
            <w:r>
              <w:rPr>
                <w:rFonts w:cs="Calibri"/>
                <w:color w:val="000000"/>
                <w:sz w:val="22"/>
              </w:rPr>
              <w:t>0</w:t>
            </w:r>
          </w:p>
        </w:tc>
        <w:tc>
          <w:tcPr>
            <w:tcW w:w="964" w:type="dxa"/>
            <w:gridSpan w:val="2"/>
            <w:tcBorders>
              <w:top w:val="nil"/>
              <w:left w:val="nil"/>
              <w:bottom w:val="nil"/>
              <w:right w:val="nil"/>
            </w:tcBorders>
          </w:tcPr>
          <w:p w14:paraId="4E119121" w14:textId="77777777" w:rsidR="00CF0E2D" w:rsidRPr="00D60558" w:rsidRDefault="00CF0E2D" w:rsidP="00A60D4B">
            <w:pPr>
              <w:pStyle w:val="Btablefigureunbold"/>
              <w:rPr>
                <w:szCs w:val="20"/>
              </w:rPr>
            </w:pPr>
            <w:r>
              <w:rPr>
                <w:rFonts w:cs="Calibri"/>
                <w:color w:val="000000"/>
                <w:sz w:val="22"/>
              </w:rPr>
              <w:t>0</w:t>
            </w:r>
          </w:p>
        </w:tc>
        <w:tc>
          <w:tcPr>
            <w:tcW w:w="954" w:type="dxa"/>
            <w:gridSpan w:val="2"/>
            <w:tcBorders>
              <w:top w:val="nil"/>
              <w:left w:val="nil"/>
              <w:bottom w:val="nil"/>
              <w:right w:val="nil"/>
            </w:tcBorders>
          </w:tcPr>
          <w:p w14:paraId="12F9862B" w14:textId="77777777" w:rsidR="00CF0E2D" w:rsidRPr="00BC33CC" w:rsidRDefault="00CF0E2D" w:rsidP="00A60D4B">
            <w:pPr>
              <w:pStyle w:val="Btablefigureunbold"/>
              <w:rPr>
                <w:b/>
                <w:bCs/>
                <w:szCs w:val="20"/>
              </w:rPr>
            </w:pPr>
            <w:r w:rsidRPr="00BC33CC">
              <w:rPr>
                <w:rFonts w:cs="Calibri"/>
                <w:b/>
                <w:bCs/>
                <w:color w:val="000000"/>
                <w:sz w:val="22"/>
              </w:rPr>
              <w:t>0</w:t>
            </w:r>
          </w:p>
        </w:tc>
      </w:tr>
      <w:tr w:rsidR="00CF0E2D" w:rsidRPr="00D60558" w14:paraId="7CD00947" w14:textId="77777777" w:rsidTr="00A60D4B">
        <w:trPr>
          <w:gridAfter w:val="1"/>
          <w:wAfter w:w="9" w:type="dxa"/>
          <w:jc w:val="center"/>
        </w:trPr>
        <w:tc>
          <w:tcPr>
            <w:tcW w:w="3355" w:type="dxa"/>
            <w:tcBorders>
              <w:top w:val="nil"/>
              <w:left w:val="nil"/>
              <w:bottom w:val="nil"/>
              <w:right w:val="nil"/>
            </w:tcBorders>
          </w:tcPr>
          <w:p w14:paraId="610A8FDD" w14:textId="77777777" w:rsidR="00CF0E2D" w:rsidRPr="000A5F17" w:rsidRDefault="00CF0E2D" w:rsidP="00A60D4B">
            <w:pPr>
              <w:pStyle w:val="Btabletextunbold"/>
              <w:rPr>
                <w:szCs w:val="20"/>
              </w:rPr>
            </w:pPr>
            <w:r w:rsidRPr="000A5F17">
              <w:rPr>
                <w:rFonts w:cs="Calibri"/>
                <w:color w:val="000000"/>
                <w:szCs w:val="20"/>
              </w:rPr>
              <w:t xml:space="preserve">– Delivering a better Canberra Hospital Emergency Department  </w:t>
            </w:r>
          </w:p>
        </w:tc>
        <w:tc>
          <w:tcPr>
            <w:tcW w:w="1093" w:type="dxa"/>
            <w:tcBorders>
              <w:top w:val="nil"/>
              <w:left w:val="nil"/>
              <w:bottom w:val="nil"/>
              <w:right w:val="nil"/>
            </w:tcBorders>
          </w:tcPr>
          <w:p w14:paraId="6D3DFBD5" w14:textId="77777777" w:rsidR="00CF0E2D" w:rsidRPr="000A5F17" w:rsidRDefault="00CF0E2D" w:rsidP="00A60D4B">
            <w:pPr>
              <w:pStyle w:val="Btablefigureunbold"/>
              <w:ind w:left="0" w:firstLine="0"/>
              <w:jc w:val="left"/>
              <w:rPr>
                <w:rFonts w:cs="Calibri"/>
                <w:color w:val="000000"/>
                <w:szCs w:val="20"/>
              </w:rPr>
            </w:pPr>
            <w:r w:rsidRPr="002937CF">
              <w:rPr>
                <w:rFonts w:cs="Calibri"/>
                <w:color w:val="000000"/>
                <w:szCs w:val="20"/>
              </w:rPr>
              <w:t>Net cost</w:t>
            </w:r>
          </w:p>
        </w:tc>
        <w:tc>
          <w:tcPr>
            <w:tcW w:w="964" w:type="dxa"/>
            <w:gridSpan w:val="2"/>
            <w:tcBorders>
              <w:top w:val="nil"/>
              <w:left w:val="nil"/>
              <w:bottom w:val="nil"/>
              <w:right w:val="nil"/>
            </w:tcBorders>
          </w:tcPr>
          <w:p w14:paraId="7DF2FF74" w14:textId="77777777" w:rsidR="00CF0E2D" w:rsidRPr="00D60558" w:rsidRDefault="00CF0E2D" w:rsidP="00A60D4B">
            <w:pPr>
              <w:pStyle w:val="Btablefigureunbold"/>
              <w:rPr>
                <w:szCs w:val="20"/>
              </w:rPr>
            </w:pPr>
            <w:r>
              <w:rPr>
                <w:rFonts w:cs="Calibri"/>
                <w:color w:val="000000"/>
                <w:sz w:val="22"/>
              </w:rPr>
              <w:t>0</w:t>
            </w:r>
          </w:p>
        </w:tc>
        <w:tc>
          <w:tcPr>
            <w:tcW w:w="964" w:type="dxa"/>
            <w:gridSpan w:val="2"/>
            <w:tcBorders>
              <w:top w:val="nil"/>
              <w:left w:val="nil"/>
              <w:bottom w:val="nil"/>
              <w:right w:val="nil"/>
            </w:tcBorders>
          </w:tcPr>
          <w:p w14:paraId="6E3F06B0" w14:textId="77777777" w:rsidR="00CF0E2D" w:rsidRPr="00D60558" w:rsidRDefault="00CF0E2D" w:rsidP="00A60D4B">
            <w:pPr>
              <w:pStyle w:val="Btablefigureunbold"/>
              <w:rPr>
                <w:szCs w:val="20"/>
              </w:rPr>
            </w:pPr>
            <w:r>
              <w:rPr>
                <w:rFonts w:cs="Calibri"/>
                <w:color w:val="000000"/>
                <w:sz w:val="22"/>
              </w:rPr>
              <w:t>0</w:t>
            </w:r>
          </w:p>
        </w:tc>
        <w:tc>
          <w:tcPr>
            <w:tcW w:w="964" w:type="dxa"/>
            <w:gridSpan w:val="2"/>
            <w:tcBorders>
              <w:top w:val="nil"/>
              <w:left w:val="nil"/>
              <w:bottom w:val="nil"/>
              <w:right w:val="nil"/>
            </w:tcBorders>
          </w:tcPr>
          <w:p w14:paraId="02F09064" w14:textId="77777777" w:rsidR="00CF0E2D" w:rsidRPr="00D60558" w:rsidRDefault="00CF0E2D" w:rsidP="00A60D4B">
            <w:pPr>
              <w:pStyle w:val="Btablefigureunbold"/>
              <w:rPr>
                <w:szCs w:val="20"/>
              </w:rPr>
            </w:pPr>
            <w:r>
              <w:rPr>
                <w:rFonts w:cs="Calibri"/>
                <w:color w:val="000000"/>
                <w:sz w:val="22"/>
              </w:rPr>
              <w:t>0</w:t>
            </w:r>
          </w:p>
        </w:tc>
        <w:tc>
          <w:tcPr>
            <w:tcW w:w="964" w:type="dxa"/>
            <w:gridSpan w:val="2"/>
            <w:tcBorders>
              <w:top w:val="nil"/>
              <w:left w:val="nil"/>
              <w:bottom w:val="nil"/>
              <w:right w:val="nil"/>
            </w:tcBorders>
          </w:tcPr>
          <w:p w14:paraId="61E008F2" w14:textId="77777777" w:rsidR="00CF0E2D" w:rsidRPr="00D60558" w:rsidRDefault="00CF0E2D" w:rsidP="00A60D4B">
            <w:pPr>
              <w:pStyle w:val="Btablefigureunbold"/>
              <w:rPr>
                <w:szCs w:val="20"/>
              </w:rPr>
            </w:pPr>
            <w:r>
              <w:rPr>
                <w:rFonts w:cs="Calibri"/>
                <w:color w:val="000000"/>
                <w:sz w:val="22"/>
              </w:rPr>
              <w:t>0</w:t>
            </w:r>
          </w:p>
        </w:tc>
        <w:tc>
          <w:tcPr>
            <w:tcW w:w="954" w:type="dxa"/>
            <w:gridSpan w:val="2"/>
            <w:tcBorders>
              <w:top w:val="nil"/>
              <w:left w:val="nil"/>
              <w:bottom w:val="nil"/>
              <w:right w:val="nil"/>
            </w:tcBorders>
          </w:tcPr>
          <w:p w14:paraId="6AC403BB" w14:textId="77777777" w:rsidR="00CF0E2D" w:rsidRPr="00BC33CC" w:rsidRDefault="00CF0E2D" w:rsidP="00A60D4B">
            <w:pPr>
              <w:pStyle w:val="Btablefigureunbold"/>
              <w:rPr>
                <w:b/>
                <w:bCs/>
                <w:szCs w:val="20"/>
              </w:rPr>
            </w:pPr>
            <w:r w:rsidRPr="00BC33CC">
              <w:rPr>
                <w:rFonts w:cs="Calibri"/>
                <w:b/>
                <w:bCs/>
                <w:color w:val="000000"/>
                <w:sz w:val="22"/>
              </w:rPr>
              <w:t>0</w:t>
            </w:r>
          </w:p>
        </w:tc>
      </w:tr>
      <w:tr w:rsidR="00CF0E2D" w:rsidRPr="00D60558" w14:paraId="26988AAB" w14:textId="77777777" w:rsidTr="00A60D4B">
        <w:trPr>
          <w:gridAfter w:val="1"/>
          <w:wAfter w:w="9" w:type="dxa"/>
          <w:jc w:val="center"/>
        </w:trPr>
        <w:tc>
          <w:tcPr>
            <w:tcW w:w="3355" w:type="dxa"/>
            <w:tcBorders>
              <w:top w:val="nil"/>
              <w:left w:val="nil"/>
              <w:bottom w:val="nil"/>
              <w:right w:val="nil"/>
            </w:tcBorders>
          </w:tcPr>
          <w:p w14:paraId="5400DBA8" w14:textId="77777777" w:rsidR="00CF0E2D" w:rsidRPr="000A5F17" w:rsidRDefault="00CF0E2D" w:rsidP="00A60D4B">
            <w:pPr>
              <w:pStyle w:val="Btabletextunbold"/>
              <w:rPr>
                <w:szCs w:val="20"/>
              </w:rPr>
            </w:pPr>
            <w:r w:rsidRPr="000A5F17">
              <w:rPr>
                <w:rFonts w:cs="Calibri"/>
                <w:color w:val="000000"/>
                <w:szCs w:val="20"/>
              </w:rPr>
              <w:t xml:space="preserve">– Delivering more elective surgeries   </w:t>
            </w:r>
          </w:p>
        </w:tc>
        <w:tc>
          <w:tcPr>
            <w:tcW w:w="1093" w:type="dxa"/>
            <w:tcBorders>
              <w:top w:val="nil"/>
              <w:left w:val="nil"/>
              <w:bottom w:val="nil"/>
              <w:right w:val="nil"/>
            </w:tcBorders>
          </w:tcPr>
          <w:p w14:paraId="3FF7A767" w14:textId="77777777" w:rsidR="00CF0E2D" w:rsidRPr="000A5F17" w:rsidRDefault="00CF0E2D" w:rsidP="00A60D4B">
            <w:pPr>
              <w:pStyle w:val="Btablefigureunbold"/>
              <w:ind w:left="0" w:firstLine="0"/>
              <w:jc w:val="left"/>
              <w:rPr>
                <w:rFonts w:cs="Calibri"/>
                <w:color w:val="000000"/>
                <w:szCs w:val="20"/>
              </w:rPr>
            </w:pPr>
            <w:r w:rsidRPr="002937CF">
              <w:rPr>
                <w:rFonts w:cs="Calibri"/>
                <w:color w:val="000000"/>
                <w:szCs w:val="20"/>
              </w:rPr>
              <w:t>Net cost</w:t>
            </w:r>
          </w:p>
        </w:tc>
        <w:tc>
          <w:tcPr>
            <w:tcW w:w="964" w:type="dxa"/>
            <w:gridSpan w:val="2"/>
            <w:tcBorders>
              <w:top w:val="nil"/>
              <w:left w:val="nil"/>
              <w:bottom w:val="nil"/>
              <w:right w:val="nil"/>
            </w:tcBorders>
          </w:tcPr>
          <w:p w14:paraId="1ADDFF6D" w14:textId="77777777" w:rsidR="00CF0E2D" w:rsidRPr="00D60558" w:rsidRDefault="00CF0E2D" w:rsidP="00A60D4B">
            <w:pPr>
              <w:pStyle w:val="Btablefigureunbold"/>
              <w:rPr>
                <w:szCs w:val="20"/>
              </w:rPr>
            </w:pPr>
            <w:r>
              <w:rPr>
                <w:rFonts w:cs="Calibri"/>
                <w:color w:val="000000"/>
                <w:sz w:val="22"/>
              </w:rPr>
              <w:t>0</w:t>
            </w:r>
          </w:p>
        </w:tc>
        <w:tc>
          <w:tcPr>
            <w:tcW w:w="964" w:type="dxa"/>
            <w:gridSpan w:val="2"/>
            <w:tcBorders>
              <w:top w:val="nil"/>
              <w:left w:val="nil"/>
              <w:bottom w:val="nil"/>
              <w:right w:val="nil"/>
            </w:tcBorders>
          </w:tcPr>
          <w:p w14:paraId="519CA661" w14:textId="77777777" w:rsidR="00CF0E2D" w:rsidRPr="00D60558" w:rsidRDefault="00CF0E2D" w:rsidP="00A60D4B">
            <w:pPr>
              <w:pStyle w:val="Btablefigureunbold"/>
              <w:rPr>
                <w:szCs w:val="20"/>
              </w:rPr>
            </w:pPr>
            <w:r>
              <w:rPr>
                <w:rFonts w:cs="Calibri"/>
                <w:color w:val="000000"/>
                <w:sz w:val="22"/>
              </w:rPr>
              <w:t>0</w:t>
            </w:r>
          </w:p>
        </w:tc>
        <w:tc>
          <w:tcPr>
            <w:tcW w:w="964" w:type="dxa"/>
            <w:gridSpan w:val="2"/>
            <w:tcBorders>
              <w:top w:val="nil"/>
              <w:left w:val="nil"/>
              <w:bottom w:val="nil"/>
              <w:right w:val="nil"/>
            </w:tcBorders>
          </w:tcPr>
          <w:p w14:paraId="01A7B068" w14:textId="77777777" w:rsidR="00CF0E2D" w:rsidRPr="00D60558" w:rsidRDefault="00CF0E2D" w:rsidP="00A60D4B">
            <w:pPr>
              <w:pStyle w:val="Btablefigureunbold"/>
              <w:rPr>
                <w:szCs w:val="20"/>
              </w:rPr>
            </w:pPr>
            <w:r>
              <w:rPr>
                <w:rFonts w:cs="Calibri"/>
                <w:color w:val="000000"/>
                <w:sz w:val="22"/>
              </w:rPr>
              <w:t>0</w:t>
            </w:r>
          </w:p>
        </w:tc>
        <w:tc>
          <w:tcPr>
            <w:tcW w:w="964" w:type="dxa"/>
            <w:gridSpan w:val="2"/>
            <w:tcBorders>
              <w:top w:val="nil"/>
              <w:left w:val="nil"/>
              <w:bottom w:val="nil"/>
              <w:right w:val="nil"/>
            </w:tcBorders>
          </w:tcPr>
          <w:p w14:paraId="19273F1B" w14:textId="77777777" w:rsidR="00CF0E2D" w:rsidRPr="00D60558" w:rsidRDefault="00CF0E2D" w:rsidP="00A60D4B">
            <w:pPr>
              <w:pStyle w:val="Btablefigureunbold"/>
              <w:rPr>
                <w:szCs w:val="20"/>
              </w:rPr>
            </w:pPr>
            <w:r>
              <w:rPr>
                <w:rFonts w:cs="Calibri"/>
                <w:color w:val="000000"/>
                <w:sz w:val="22"/>
              </w:rPr>
              <w:t>0</w:t>
            </w:r>
          </w:p>
        </w:tc>
        <w:tc>
          <w:tcPr>
            <w:tcW w:w="954" w:type="dxa"/>
            <w:gridSpan w:val="2"/>
            <w:tcBorders>
              <w:top w:val="nil"/>
              <w:left w:val="nil"/>
              <w:bottom w:val="nil"/>
              <w:right w:val="nil"/>
            </w:tcBorders>
          </w:tcPr>
          <w:p w14:paraId="11ACA091" w14:textId="77777777" w:rsidR="00CF0E2D" w:rsidRPr="00BC33CC" w:rsidRDefault="00CF0E2D" w:rsidP="00A60D4B">
            <w:pPr>
              <w:pStyle w:val="Btablefigureunbold"/>
              <w:rPr>
                <w:b/>
                <w:bCs/>
                <w:szCs w:val="20"/>
              </w:rPr>
            </w:pPr>
            <w:r w:rsidRPr="00BC33CC">
              <w:rPr>
                <w:rFonts w:cs="Calibri"/>
                <w:b/>
                <w:bCs/>
                <w:color w:val="000000"/>
                <w:sz w:val="22"/>
              </w:rPr>
              <w:t>0</w:t>
            </w:r>
          </w:p>
        </w:tc>
      </w:tr>
      <w:tr w:rsidR="00CF0E2D" w:rsidRPr="00D60558" w14:paraId="4B1BC702" w14:textId="77777777" w:rsidTr="00A60D4B">
        <w:trPr>
          <w:gridAfter w:val="1"/>
          <w:wAfter w:w="9" w:type="dxa"/>
          <w:jc w:val="center"/>
        </w:trPr>
        <w:tc>
          <w:tcPr>
            <w:tcW w:w="3355" w:type="dxa"/>
            <w:tcBorders>
              <w:top w:val="nil"/>
              <w:left w:val="nil"/>
              <w:bottom w:val="nil"/>
              <w:right w:val="nil"/>
            </w:tcBorders>
          </w:tcPr>
          <w:p w14:paraId="450C95DA" w14:textId="77777777" w:rsidR="00CF0E2D" w:rsidRPr="000A5F17" w:rsidRDefault="00CF0E2D" w:rsidP="00A60D4B">
            <w:pPr>
              <w:pStyle w:val="Btabletextunbold"/>
              <w:rPr>
                <w:szCs w:val="20"/>
              </w:rPr>
            </w:pPr>
            <w:r w:rsidRPr="000A5F17">
              <w:rPr>
                <w:rFonts w:cs="Calibri"/>
                <w:color w:val="000000"/>
                <w:szCs w:val="20"/>
              </w:rPr>
              <w:t xml:space="preserve">– More emergency surgery capacity  </w:t>
            </w:r>
          </w:p>
        </w:tc>
        <w:tc>
          <w:tcPr>
            <w:tcW w:w="1093" w:type="dxa"/>
            <w:tcBorders>
              <w:top w:val="nil"/>
              <w:left w:val="nil"/>
              <w:bottom w:val="nil"/>
              <w:right w:val="nil"/>
            </w:tcBorders>
          </w:tcPr>
          <w:p w14:paraId="0EDDB895" w14:textId="77777777" w:rsidR="00CF0E2D" w:rsidRPr="000A5F17" w:rsidRDefault="00CF0E2D" w:rsidP="00A60D4B">
            <w:pPr>
              <w:pStyle w:val="Btablefigureunbold"/>
              <w:ind w:left="0" w:firstLine="0"/>
              <w:jc w:val="left"/>
              <w:rPr>
                <w:rFonts w:cs="Calibri"/>
                <w:color w:val="000000"/>
                <w:szCs w:val="20"/>
              </w:rPr>
            </w:pPr>
            <w:r w:rsidRPr="002937CF">
              <w:rPr>
                <w:rFonts w:cs="Calibri"/>
                <w:color w:val="000000"/>
                <w:szCs w:val="20"/>
              </w:rPr>
              <w:t>Net cost</w:t>
            </w:r>
          </w:p>
        </w:tc>
        <w:tc>
          <w:tcPr>
            <w:tcW w:w="964" w:type="dxa"/>
            <w:gridSpan w:val="2"/>
            <w:tcBorders>
              <w:top w:val="nil"/>
              <w:left w:val="nil"/>
              <w:bottom w:val="nil"/>
              <w:right w:val="nil"/>
            </w:tcBorders>
          </w:tcPr>
          <w:p w14:paraId="6AFEE8F8" w14:textId="77777777" w:rsidR="00CF0E2D" w:rsidRPr="00D60558" w:rsidRDefault="00CF0E2D" w:rsidP="00A60D4B">
            <w:pPr>
              <w:pStyle w:val="Btablefigureunbold"/>
              <w:rPr>
                <w:szCs w:val="20"/>
              </w:rPr>
            </w:pPr>
            <w:r>
              <w:rPr>
                <w:rFonts w:cs="Calibri"/>
                <w:color w:val="000000"/>
                <w:sz w:val="22"/>
              </w:rPr>
              <w:t>0</w:t>
            </w:r>
          </w:p>
        </w:tc>
        <w:tc>
          <w:tcPr>
            <w:tcW w:w="964" w:type="dxa"/>
            <w:gridSpan w:val="2"/>
            <w:tcBorders>
              <w:top w:val="nil"/>
              <w:left w:val="nil"/>
              <w:bottom w:val="nil"/>
              <w:right w:val="nil"/>
            </w:tcBorders>
          </w:tcPr>
          <w:p w14:paraId="503C5ED0" w14:textId="77777777" w:rsidR="00CF0E2D" w:rsidRPr="00D60558" w:rsidRDefault="00CF0E2D" w:rsidP="00A60D4B">
            <w:pPr>
              <w:pStyle w:val="Btablefigureunbold"/>
              <w:rPr>
                <w:szCs w:val="20"/>
              </w:rPr>
            </w:pPr>
            <w:r>
              <w:rPr>
                <w:rFonts w:cs="Calibri"/>
                <w:color w:val="000000"/>
                <w:sz w:val="22"/>
              </w:rPr>
              <w:t>0</w:t>
            </w:r>
          </w:p>
        </w:tc>
        <w:tc>
          <w:tcPr>
            <w:tcW w:w="964" w:type="dxa"/>
            <w:gridSpan w:val="2"/>
            <w:tcBorders>
              <w:top w:val="nil"/>
              <w:left w:val="nil"/>
              <w:bottom w:val="nil"/>
              <w:right w:val="nil"/>
            </w:tcBorders>
          </w:tcPr>
          <w:p w14:paraId="370E40FB" w14:textId="77777777" w:rsidR="00CF0E2D" w:rsidRPr="00D60558" w:rsidRDefault="00CF0E2D" w:rsidP="00A60D4B">
            <w:pPr>
              <w:pStyle w:val="Btablefigureunbold"/>
              <w:rPr>
                <w:szCs w:val="20"/>
              </w:rPr>
            </w:pPr>
            <w:r>
              <w:rPr>
                <w:rFonts w:cs="Calibri"/>
                <w:color w:val="000000"/>
                <w:sz w:val="22"/>
              </w:rPr>
              <w:t>0</w:t>
            </w:r>
          </w:p>
        </w:tc>
        <w:tc>
          <w:tcPr>
            <w:tcW w:w="964" w:type="dxa"/>
            <w:gridSpan w:val="2"/>
            <w:tcBorders>
              <w:top w:val="nil"/>
              <w:left w:val="nil"/>
              <w:bottom w:val="nil"/>
              <w:right w:val="nil"/>
            </w:tcBorders>
          </w:tcPr>
          <w:p w14:paraId="38DFBAD8" w14:textId="77777777" w:rsidR="00CF0E2D" w:rsidRPr="00D60558" w:rsidRDefault="00CF0E2D" w:rsidP="00A60D4B">
            <w:pPr>
              <w:pStyle w:val="Btablefigureunbold"/>
              <w:rPr>
                <w:szCs w:val="20"/>
              </w:rPr>
            </w:pPr>
            <w:r>
              <w:rPr>
                <w:rFonts w:cs="Calibri"/>
                <w:color w:val="000000"/>
                <w:sz w:val="22"/>
              </w:rPr>
              <w:t>0</w:t>
            </w:r>
          </w:p>
        </w:tc>
        <w:tc>
          <w:tcPr>
            <w:tcW w:w="954" w:type="dxa"/>
            <w:gridSpan w:val="2"/>
            <w:tcBorders>
              <w:top w:val="nil"/>
              <w:left w:val="nil"/>
              <w:bottom w:val="nil"/>
              <w:right w:val="nil"/>
            </w:tcBorders>
          </w:tcPr>
          <w:p w14:paraId="7A0FCC41" w14:textId="77777777" w:rsidR="00CF0E2D" w:rsidRPr="00BC33CC" w:rsidRDefault="00CF0E2D" w:rsidP="00A60D4B">
            <w:pPr>
              <w:pStyle w:val="Btablefigureunbold"/>
              <w:rPr>
                <w:b/>
                <w:bCs/>
                <w:szCs w:val="20"/>
              </w:rPr>
            </w:pPr>
            <w:r w:rsidRPr="00BC33CC">
              <w:rPr>
                <w:rFonts w:cs="Calibri"/>
                <w:b/>
                <w:bCs/>
                <w:color w:val="000000"/>
                <w:sz w:val="22"/>
              </w:rPr>
              <w:t>0</w:t>
            </w:r>
          </w:p>
        </w:tc>
      </w:tr>
      <w:tr w:rsidR="00CF0E2D" w:rsidRPr="00D60558" w14:paraId="4FF0895A" w14:textId="77777777" w:rsidTr="00A60D4B">
        <w:trPr>
          <w:gridAfter w:val="1"/>
          <w:wAfter w:w="9" w:type="dxa"/>
          <w:jc w:val="center"/>
        </w:trPr>
        <w:tc>
          <w:tcPr>
            <w:tcW w:w="3355" w:type="dxa"/>
            <w:tcBorders>
              <w:top w:val="nil"/>
              <w:left w:val="nil"/>
              <w:bottom w:val="nil"/>
              <w:right w:val="nil"/>
            </w:tcBorders>
          </w:tcPr>
          <w:p w14:paraId="03AE7910" w14:textId="77777777" w:rsidR="00CF0E2D" w:rsidRPr="000A5F17" w:rsidRDefault="00CF0E2D" w:rsidP="00A60D4B">
            <w:pPr>
              <w:pStyle w:val="Btabletextunbold"/>
              <w:rPr>
                <w:szCs w:val="20"/>
              </w:rPr>
            </w:pPr>
            <w:r w:rsidRPr="000A5F17">
              <w:rPr>
                <w:rFonts w:cs="Calibri"/>
                <w:color w:val="000000"/>
                <w:szCs w:val="20"/>
              </w:rPr>
              <w:t xml:space="preserve">– More services at Calvary Public Hospital Bruce  </w:t>
            </w:r>
          </w:p>
        </w:tc>
        <w:tc>
          <w:tcPr>
            <w:tcW w:w="1093" w:type="dxa"/>
            <w:tcBorders>
              <w:top w:val="nil"/>
              <w:left w:val="nil"/>
              <w:bottom w:val="nil"/>
              <w:right w:val="nil"/>
            </w:tcBorders>
          </w:tcPr>
          <w:p w14:paraId="57670C6A" w14:textId="77777777" w:rsidR="00CF0E2D" w:rsidRPr="000A5F17" w:rsidRDefault="00CF0E2D" w:rsidP="00A60D4B">
            <w:pPr>
              <w:pStyle w:val="Btablefigureunbold"/>
              <w:ind w:left="0" w:firstLine="0"/>
              <w:jc w:val="left"/>
              <w:rPr>
                <w:rFonts w:cs="Calibri"/>
                <w:color w:val="000000"/>
                <w:szCs w:val="20"/>
              </w:rPr>
            </w:pPr>
            <w:r w:rsidRPr="002937CF">
              <w:rPr>
                <w:rFonts w:cs="Calibri"/>
                <w:color w:val="000000"/>
                <w:szCs w:val="20"/>
              </w:rPr>
              <w:t>Net cost</w:t>
            </w:r>
          </w:p>
        </w:tc>
        <w:tc>
          <w:tcPr>
            <w:tcW w:w="964" w:type="dxa"/>
            <w:gridSpan w:val="2"/>
            <w:tcBorders>
              <w:top w:val="nil"/>
              <w:left w:val="nil"/>
              <w:bottom w:val="nil"/>
              <w:right w:val="nil"/>
            </w:tcBorders>
          </w:tcPr>
          <w:p w14:paraId="275421CA" w14:textId="77777777" w:rsidR="00CF0E2D" w:rsidRPr="00D60558" w:rsidRDefault="00CF0E2D" w:rsidP="00A60D4B">
            <w:pPr>
              <w:pStyle w:val="Btablefigureunbold"/>
              <w:rPr>
                <w:szCs w:val="20"/>
              </w:rPr>
            </w:pPr>
            <w:r>
              <w:rPr>
                <w:rFonts w:cs="Calibri"/>
                <w:color w:val="000000"/>
                <w:sz w:val="22"/>
              </w:rPr>
              <w:t>0</w:t>
            </w:r>
          </w:p>
        </w:tc>
        <w:tc>
          <w:tcPr>
            <w:tcW w:w="964" w:type="dxa"/>
            <w:gridSpan w:val="2"/>
            <w:tcBorders>
              <w:top w:val="nil"/>
              <w:left w:val="nil"/>
              <w:bottom w:val="nil"/>
              <w:right w:val="nil"/>
            </w:tcBorders>
          </w:tcPr>
          <w:p w14:paraId="61A10FB5" w14:textId="77777777" w:rsidR="00CF0E2D" w:rsidRPr="00D60558" w:rsidRDefault="00CF0E2D" w:rsidP="00A60D4B">
            <w:pPr>
              <w:pStyle w:val="Btablefigureunbold"/>
              <w:rPr>
                <w:szCs w:val="20"/>
              </w:rPr>
            </w:pPr>
            <w:r>
              <w:rPr>
                <w:rFonts w:cs="Calibri"/>
                <w:color w:val="000000"/>
                <w:sz w:val="22"/>
              </w:rPr>
              <w:t>0</w:t>
            </w:r>
          </w:p>
        </w:tc>
        <w:tc>
          <w:tcPr>
            <w:tcW w:w="964" w:type="dxa"/>
            <w:gridSpan w:val="2"/>
            <w:tcBorders>
              <w:top w:val="nil"/>
              <w:left w:val="nil"/>
              <w:bottom w:val="nil"/>
              <w:right w:val="nil"/>
            </w:tcBorders>
          </w:tcPr>
          <w:p w14:paraId="7AE47DF9" w14:textId="77777777" w:rsidR="00CF0E2D" w:rsidRPr="00D60558" w:rsidRDefault="00CF0E2D" w:rsidP="00A60D4B">
            <w:pPr>
              <w:pStyle w:val="Btablefigureunbold"/>
              <w:rPr>
                <w:szCs w:val="20"/>
              </w:rPr>
            </w:pPr>
            <w:r>
              <w:rPr>
                <w:rFonts w:cs="Calibri"/>
                <w:color w:val="000000"/>
                <w:sz w:val="22"/>
              </w:rPr>
              <w:t>0</w:t>
            </w:r>
          </w:p>
        </w:tc>
        <w:tc>
          <w:tcPr>
            <w:tcW w:w="964" w:type="dxa"/>
            <w:gridSpan w:val="2"/>
            <w:tcBorders>
              <w:top w:val="nil"/>
              <w:left w:val="nil"/>
              <w:bottom w:val="nil"/>
              <w:right w:val="nil"/>
            </w:tcBorders>
          </w:tcPr>
          <w:p w14:paraId="2AC1B6E3" w14:textId="77777777" w:rsidR="00CF0E2D" w:rsidRPr="00D60558" w:rsidRDefault="00CF0E2D" w:rsidP="00A60D4B">
            <w:pPr>
              <w:pStyle w:val="Btablefigureunbold"/>
              <w:rPr>
                <w:szCs w:val="20"/>
              </w:rPr>
            </w:pPr>
            <w:r>
              <w:rPr>
                <w:rFonts w:cs="Calibri"/>
                <w:color w:val="000000"/>
                <w:sz w:val="22"/>
              </w:rPr>
              <w:t>0</w:t>
            </w:r>
          </w:p>
        </w:tc>
        <w:tc>
          <w:tcPr>
            <w:tcW w:w="954" w:type="dxa"/>
            <w:gridSpan w:val="2"/>
            <w:tcBorders>
              <w:top w:val="nil"/>
              <w:left w:val="nil"/>
              <w:bottom w:val="nil"/>
              <w:right w:val="nil"/>
            </w:tcBorders>
          </w:tcPr>
          <w:p w14:paraId="6491FF00" w14:textId="77777777" w:rsidR="00CF0E2D" w:rsidRPr="00BC33CC" w:rsidRDefault="00CF0E2D" w:rsidP="00A60D4B">
            <w:pPr>
              <w:pStyle w:val="Btablefigureunbold"/>
              <w:rPr>
                <w:b/>
                <w:bCs/>
                <w:szCs w:val="20"/>
              </w:rPr>
            </w:pPr>
            <w:r w:rsidRPr="00BC33CC">
              <w:rPr>
                <w:rFonts w:cs="Calibri"/>
                <w:b/>
                <w:bCs/>
                <w:color w:val="000000"/>
                <w:sz w:val="22"/>
              </w:rPr>
              <w:t>0</w:t>
            </w:r>
          </w:p>
        </w:tc>
      </w:tr>
      <w:tr w:rsidR="00CF0E2D" w:rsidRPr="00D60558" w14:paraId="78986F3E" w14:textId="77777777" w:rsidTr="00A60D4B">
        <w:trPr>
          <w:gridAfter w:val="1"/>
          <w:wAfter w:w="9" w:type="dxa"/>
          <w:jc w:val="center"/>
        </w:trPr>
        <w:tc>
          <w:tcPr>
            <w:tcW w:w="3355" w:type="dxa"/>
            <w:tcBorders>
              <w:top w:val="nil"/>
              <w:left w:val="nil"/>
              <w:bottom w:val="nil"/>
              <w:right w:val="nil"/>
            </w:tcBorders>
          </w:tcPr>
          <w:p w14:paraId="59D2202E" w14:textId="77777777" w:rsidR="00CF0E2D" w:rsidRPr="000A5F17" w:rsidRDefault="00CF0E2D" w:rsidP="00A60D4B">
            <w:pPr>
              <w:pStyle w:val="Btabletextunbold"/>
              <w:rPr>
                <w:rFonts w:cs="Calibri"/>
                <w:color w:val="000000"/>
                <w:szCs w:val="20"/>
              </w:rPr>
            </w:pPr>
            <w:r w:rsidRPr="000A5F17">
              <w:rPr>
                <w:rFonts w:cs="Calibri"/>
                <w:color w:val="000000"/>
                <w:szCs w:val="20"/>
              </w:rPr>
              <w:t>I</w:t>
            </w:r>
            <w:r w:rsidRPr="00D50D14">
              <w:rPr>
                <w:rFonts w:cs="Calibri"/>
                <w:i/>
                <w:iCs/>
                <w:color w:val="000000"/>
                <w:szCs w:val="20"/>
              </w:rPr>
              <w:t>mproving Canberra’s health infrastructure</w:t>
            </w:r>
          </w:p>
        </w:tc>
        <w:tc>
          <w:tcPr>
            <w:tcW w:w="1093" w:type="dxa"/>
            <w:tcBorders>
              <w:top w:val="nil"/>
              <w:left w:val="nil"/>
              <w:bottom w:val="nil"/>
              <w:right w:val="nil"/>
            </w:tcBorders>
          </w:tcPr>
          <w:p w14:paraId="6D29606C" w14:textId="77777777" w:rsidR="00CF0E2D"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6764F5A9"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273139ED"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2687F14C"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4840ACED" w14:textId="77777777" w:rsidR="00CF0E2D" w:rsidRPr="00D60558" w:rsidRDefault="00CF0E2D" w:rsidP="00A60D4B">
            <w:pPr>
              <w:pStyle w:val="Btablefigureunbold"/>
              <w:rPr>
                <w:szCs w:val="20"/>
              </w:rPr>
            </w:pPr>
          </w:p>
        </w:tc>
        <w:tc>
          <w:tcPr>
            <w:tcW w:w="954" w:type="dxa"/>
            <w:gridSpan w:val="2"/>
            <w:tcBorders>
              <w:top w:val="nil"/>
              <w:left w:val="nil"/>
              <w:bottom w:val="nil"/>
              <w:right w:val="nil"/>
            </w:tcBorders>
          </w:tcPr>
          <w:p w14:paraId="7436E267" w14:textId="77777777" w:rsidR="00CF0E2D" w:rsidRPr="00BC33CC" w:rsidRDefault="00CF0E2D" w:rsidP="00A60D4B">
            <w:pPr>
              <w:pStyle w:val="Btablefigureunbold"/>
              <w:rPr>
                <w:b/>
                <w:bCs/>
                <w:szCs w:val="20"/>
              </w:rPr>
            </w:pPr>
          </w:p>
        </w:tc>
      </w:tr>
      <w:tr w:rsidR="00CF0E2D" w:rsidRPr="00D60558" w14:paraId="59C9CD88" w14:textId="77777777" w:rsidTr="00A60D4B">
        <w:trPr>
          <w:gridAfter w:val="1"/>
          <w:wAfter w:w="9" w:type="dxa"/>
          <w:jc w:val="center"/>
        </w:trPr>
        <w:tc>
          <w:tcPr>
            <w:tcW w:w="3355" w:type="dxa"/>
            <w:tcBorders>
              <w:top w:val="nil"/>
              <w:left w:val="nil"/>
              <w:bottom w:val="nil"/>
              <w:right w:val="nil"/>
            </w:tcBorders>
          </w:tcPr>
          <w:p w14:paraId="0AF09809" w14:textId="77777777" w:rsidR="00CF0E2D" w:rsidRPr="000A5F17" w:rsidRDefault="00CF0E2D" w:rsidP="00A60D4B">
            <w:pPr>
              <w:pStyle w:val="Btabletextunbold"/>
              <w:rPr>
                <w:szCs w:val="20"/>
              </w:rPr>
            </w:pPr>
            <w:r w:rsidRPr="000A5F17">
              <w:rPr>
                <w:rFonts w:cs="Calibri"/>
                <w:color w:val="000000"/>
                <w:szCs w:val="20"/>
              </w:rPr>
              <w:t xml:space="preserve">– A new carpark at Canberra Hospital  </w:t>
            </w:r>
          </w:p>
        </w:tc>
        <w:tc>
          <w:tcPr>
            <w:tcW w:w="1093" w:type="dxa"/>
            <w:tcBorders>
              <w:top w:val="nil"/>
              <w:left w:val="nil"/>
              <w:bottom w:val="nil"/>
              <w:right w:val="nil"/>
            </w:tcBorders>
          </w:tcPr>
          <w:p w14:paraId="4B054425"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 xml:space="preserve">Net capital </w:t>
            </w:r>
          </w:p>
        </w:tc>
        <w:tc>
          <w:tcPr>
            <w:tcW w:w="964" w:type="dxa"/>
            <w:gridSpan w:val="2"/>
            <w:tcBorders>
              <w:top w:val="nil"/>
              <w:left w:val="nil"/>
              <w:bottom w:val="nil"/>
              <w:right w:val="nil"/>
            </w:tcBorders>
          </w:tcPr>
          <w:p w14:paraId="24142618" w14:textId="77777777" w:rsidR="00CF0E2D" w:rsidRPr="00BC33CC" w:rsidRDefault="00CF0E2D" w:rsidP="00A60D4B">
            <w:pPr>
              <w:pStyle w:val="Btablefigureunbold"/>
              <w:rPr>
                <w:szCs w:val="20"/>
              </w:rPr>
            </w:pPr>
            <w:r w:rsidRPr="00BC33CC">
              <w:rPr>
                <w:rFonts w:cs="Calibri"/>
                <w:color w:val="000000"/>
                <w:szCs w:val="20"/>
              </w:rPr>
              <w:t>500</w:t>
            </w:r>
          </w:p>
        </w:tc>
        <w:tc>
          <w:tcPr>
            <w:tcW w:w="964" w:type="dxa"/>
            <w:gridSpan w:val="2"/>
            <w:tcBorders>
              <w:top w:val="nil"/>
              <w:left w:val="nil"/>
              <w:bottom w:val="nil"/>
              <w:right w:val="nil"/>
            </w:tcBorders>
          </w:tcPr>
          <w:p w14:paraId="34063AB7" w14:textId="77777777" w:rsidR="00CF0E2D" w:rsidRPr="00BC33CC" w:rsidRDefault="00CF0E2D" w:rsidP="00A60D4B">
            <w:pPr>
              <w:pStyle w:val="Btablefigureunbold"/>
              <w:rPr>
                <w:szCs w:val="20"/>
              </w:rPr>
            </w:pPr>
            <w:r w:rsidRPr="00BC33CC">
              <w:rPr>
                <w:rFonts w:cs="Calibri"/>
                <w:color w:val="000000"/>
                <w:szCs w:val="20"/>
              </w:rPr>
              <w:t>2,500</w:t>
            </w:r>
          </w:p>
        </w:tc>
        <w:tc>
          <w:tcPr>
            <w:tcW w:w="964" w:type="dxa"/>
            <w:gridSpan w:val="2"/>
            <w:tcBorders>
              <w:top w:val="nil"/>
              <w:left w:val="nil"/>
              <w:bottom w:val="nil"/>
              <w:right w:val="nil"/>
            </w:tcBorders>
          </w:tcPr>
          <w:p w14:paraId="6E0749B5"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28A38CAE"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2558C6A7" w14:textId="77777777" w:rsidR="00CF0E2D" w:rsidRPr="00BC33CC" w:rsidRDefault="00CF0E2D" w:rsidP="00A60D4B">
            <w:pPr>
              <w:pStyle w:val="Btablefigureunbold"/>
              <w:rPr>
                <w:b/>
                <w:bCs/>
                <w:szCs w:val="20"/>
              </w:rPr>
            </w:pPr>
            <w:r w:rsidRPr="00BC33CC">
              <w:rPr>
                <w:rFonts w:cs="Calibri"/>
                <w:b/>
                <w:bCs/>
                <w:color w:val="000000"/>
                <w:szCs w:val="20"/>
              </w:rPr>
              <w:t>3,000</w:t>
            </w:r>
          </w:p>
        </w:tc>
      </w:tr>
      <w:tr w:rsidR="00CF0E2D" w:rsidRPr="00D60558" w14:paraId="78ADA8CF" w14:textId="77777777" w:rsidTr="00A60D4B">
        <w:trPr>
          <w:gridAfter w:val="1"/>
          <w:wAfter w:w="9" w:type="dxa"/>
          <w:jc w:val="center"/>
        </w:trPr>
        <w:tc>
          <w:tcPr>
            <w:tcW w:w="3355" w:type="dxa"/>
            <w:tcBorders>
              <w:top w:val="nil"/>
              <w:left w:val="nil"/>
              <w:bottom w:val="nil"/>
              <w:right w:val="nil"/>
            </w:tcBorders>
          </w:tcPr>
          <w:p w14:paraId="2DDEC495" w14:textId="77777777" w:rsidR="00CF0E2D" w:rsidRPr="000A5F17" w:rsidRDefault="00CF0E2D" w:rsidP="00A60D4B">
            <w:pPr>
              <w:pStyle w:val="Btabletextunbold"/>
              <w:rPr>
                <w:szCs w:val="20"/>
              </w:rPr>
            </w:pPr>
            <w:r w:rsidRPr="000A5F17">
              <w:rPr>
                <w:rFonts w:cs="Calibri"/>
                <w:color w:val="000000"/>
                <w:szCs w:val="20"/>
              </w:rPr>
              <w:t xml:space="preserve">– Calvary critical infrastructure  </w:t>
            </w:r>
          </w:p>
        </w:tc>
        <w:tc>
          <w:tcPr>
            <w:tcW w:w="1093" w:type="dxa"/>
            <w:tcBorders>
              <w:top w:val="nil"/>
              <w:left w:val="nil"/>
              <w:bottom w:val="nil"/>
              <w:right w:val="nil"/>
            </w:tcBorders>
          </w:tcPr>
          <w:p w14:paraId="56284A5D"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 xml:space="preserve">Net capital </w:t>
            </w:r>
          </w:p>
        </w:tc>
        <w:tc>
          <w:tcPr>
            <w:tcW w:w="964" w:type="dxa"/>
            <w:gridSpan w:val="2"/>
            <w:tcBorders>
              <w:top w:val="nil"/>
              <w:left w:val="nil"/>
              <w:bottom w:val="nil"/>
              <w:right w:val="nil"/>
            </w:tcBorders>
          </w:tcPr>
          <w:p w14:paraId="62B9C180" w14:textId="77777777" w:rsidR="00CF0E2D" w:rsidRPr="00BC33CC" w:rsidRDefault="00CF0E2D" w:rsidP="00A60D4B">
            <w:pPr>
              <w:pStyle w:val="Btablefigureunbold"/>
              <w:rPr>
                <w:szCs w:val="20"/>
              </w:rPr>
            </w:pPr>
            <w:r w:rsidRPr="00BC33CC">
              <w:rPr>
                <w:rFonts w:cs="Calibri"/>
                <w:color w:val="000000"/>
                <w:szCs w:val="20"/>
              </w:rPr>
              <w:t>2,470</w:t>
            </w:r>
          </w:p>
        </w:tc>
        <w:tc>
          <w:tcPr>
            <w:tcW w:w="964" w:type="dxa"/>
            <w:gridSpan w:val="2"/>
            <w:tcBorders>
              <w:top w:val="nil"/>
              <w:left w:val="nil"/>
              <w:bottom w:val="nil"/>
              <w:right w:val="nil"/>
            </w:tcBorders>
          </w:tcPr>
          <w:p w14:paraId="0B41450A" w14:textId="77777777" w:rsidR="00CF0E2D" w:rsidRPr="00BC33CC" w:rsidRDefault="00CF0E2D" w:rsidP="00A60D4B">
            <w:pPr>
              <w:pStyle w:val="Btablefigureunbold"/>
              <w:rPr>
                <w:szCs w:val="20"/>
              </w:rPr>
            </w:pPr>
            <w:r w:rsidRPr="00BC33CC">
              <w:rPr>
                <w:rFonts w:cs="Calibri"/>
                <w:color w:val="000000"/>
                <w:szCs w:val="20"/>
              </w:rPr>
              <w:t>5,759</w:t>
            </w:r>
          </w:p>
        </w:tc>
        <w:tc>
          <w:tcPr>
            <w:tcW w:w="964" w:type="dxa"/>
            <w:gridSpan w:val="2"/>
            <w:tcBorders>
              <w:top w:val="nil"/>
              <w:left w:val="nil"/>
              <w:bottom w:val="nil"/>
              <w:right w:val="nil"/>
            </w:tcBorders>
          </w:tcPr>
          <w:p w14:paraId="62023592" w14:textId="77777777" w:rsidR="00CF0E2D" w:rsidRPr="00BC33CC" w:rsidRDefault="00CF0E2D" w:rsidP="00A60D4B">
            <w:pPr>
              <w:pStyle w:val="Btablefigureunbold"/>
              <w:rPr>
                <w:szCs w:val="20"/>
              </w:rPr>
            </w:pPr>
            <w:r w:rsidRPr="00BC33CC">
              <w:rPr>
                <w:rFonts w:cs="Calibri"/>
                <w:color w:val="000000"/>
                <w:szCs w:val="20"/>
              </w:rPr>
              <w:t>4,700</w:t>
            </w:r>
          </w:p>
        </w:tc>
        <w:tc>
          <w:tcPr>
            <w:tcW w:w="964" w:type="dxa"/>
            <w:gridSpan w:val="2"/>
            <w:tcBorders>
              <w:top w:val="nil"/>
              <w:left w:val="nil"/>
              <w:bottom w:val="nil"/>
              <w:right w:val="nil"/>
            </w:tcBorders>
          </w:tcPr>
          <w:p w14:paraId="09CE10F0"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416C7412" w14:textId="77777777" w:rsidR="00CF0E2D" w:rsidRPr="00BC33CC" w:rsidRDefault="00CF0E2D" w:rsidP="00A60D4B">
            <w:pPr>
              <w:pStyle w:val="Btablefigureunbold"/>
              <w:rPr>
                <w:b/>
                <w:bCs/>
                <w:szCs w:val="20"/>
              </w:rPr>
            </w:pPr>
            <w:r w:rsidRPr="00BC33CC">
              <w:rPr>
                <w:rFonts w:cs="Calibri"/>
                <w:b/>
                <w:bCs/>
                <w:color w:val="000000"/>
                <w:szCs w:val="20"/>
              </w:rPr>
              <w:t>12,929</w:t>
            </w:r>
          </w:p>
        </w:tc>
      </w:tr>
      <w:tr w:rsidR="00CF0E2D" w:rsidRPr="00D60558" w14:paraId="0DB09C84" w14:textId="77777777" w:rsidTr="00A60D4B">
        <w:trPr>
          <w:gridAfter w:val="1"/>
          <w:wAfter w:w="9" w:type="dxa"/>
          <w:jc w:val="center"/>
        </w:trPr>
        <w:tc>
          <w:tcPr>
            <w:tcW w:w="3355" w:type="dxa"/>
            <w:tcBorders>
              <w:top w:val="nil"/>
              <w:left w:val="nil"/>
              <w:bottom w:val="nil"/>
              <w:right w:val="nil"/>
            </w:tcBorders>
          </w:tcPr>
          <w:p w14:paraId="3931F7F9" w14:textId="77777777" w:rsidR="00CF0E2D" w:rsidRPr="000A5F17" w:rsidRDefault="00CF0E2D" w:rsidP="00A60D4B">
            <w:pPr>
              <w:pStyle w:val="Btabletextunbold"/>
              <w:rPr>
                <w:szCs w:val="20"/>
              </w:rPr>
            </w:pPr>
            <w:r w:rsidRPr="000A5F17">
              <w:rPr>
                <w:rFonts w:cs="Calibri"/>
                <w:color w:val="000000"/>
                <w:szCs w:val="20"/>
              </w:rPr>
              <w:t xml:space="preserve">– Calvary critical infrastructure  </w:t>
            </w:r>
          </w:p>
        </w:tc>
        <w:tc>
          <w:tcPr>
            <w:tcW w:w="1093" w:type="dxa"/>
            <w:tcBorders>
              <w:top w:val="nil"/>
              <w:left w:val="nil"/>
              <w:bottom w:val="nil"/>
              <w:right w:val="nil"/>
            </w:tcBorders>
          </w:tcPr>
          <w:p w14:paraId="4D02DF27"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0237B0E4" w14:textId="77777777" w:rsidR="00CF0E2D" w:rsidRPr="00BC33CC" w:rsidRDefault="00CF0E2D" w:rsidP="00A60D4B">
            <w:pPr>
              <w:pStyle w:val="Btablefigureunbold"/>
              <w:rPr>
                <w:szCs w:val="20"/>
              </w:rPr>
            </w:pPr>
            <w:r w:rsidRPr="00BC33CC">
              <w:rPr>
                <w:rFonts w:cs="Calibri"/>
                <w:color w:val="000000"/>
                <w:szCs w:val="20"/>
              </w:rPr>
              <w:t>8</w:t>
            </w:r>
            <w:r>
              <w:rPr>
                <w:rFonts w:cs="Calibri"/>
                <w:color w:val="000000"/>
                <w:szCs w:val="20"/>
              </w:rPr>
              <w:t>,</w:t>
            </w:r>
            <w:r w:rsidRPr="00BC33CC">
              <w:rPr>
                <w:rFonts w:cs="Calibri"/>
                <w:color w:val="000000"/>
                <w:szCs w:val="20"/>
              </w:rPr>
              <w:t>645</w:t>
            </w:r>
          </w:p>
        </w:tc>
        <w:tc>
          <w:tcPr>
            <w:tcW w:w="964" w:type="dxa"/>
            <w:gridSpan w:val="2"/>
            <w:tcBorders>
              <w:top w:val="nil"/>
              <w:left w:val="nil"/>
              <w:bottom w:val="nil"/>
              <w:right w:val="nil"/>
            </w:tcBorders>
          </w:tcPr>
          <w:p w14:paraId="2D89C683" w14:textId="77777777" w:rsidR="00CF0E2D" w:rsidRPr="00BC33CC" w:rsidRDefault="00CF0E2D" w:rsidP="00A60D4B">
            <w:pPr>
              <w:pStyle w:val="Btablefigureunbold"/>
              <w:rPr>
                <w:szCs w:val="20"/>
              </w:rPr>
            </w:pPr>
            <w:r w:rsidRPr="00BC33CC">
              <w:rPr>
                <w:rFonts w:cs="Calibri"/>
                <w:color w:val="000000"/>
                <w:szCs w:val="20"/>
              </w:rPr>
              <w:t>10</w:t>
            </w:r>
            <w:r>
              <w:rPr>
                <w:rFonts w:cs="Calibri"/>
                <w:color w:val="000000"/>
                <w:szCs w:val="20"/>
              </w:rPr>
              <w:t>,</w:t>
            </w:r>
            <w:r w:rsidRPr="00BC33CC">
              <w:rPr>
                <w:rFonts w:cs="Calibri"/>
                <w:color w:val="000000"/>
                <w:szCs w:val="20"/>
              </w:rPr>
              <w:t>171</w:t>
            </w:r>
          </w:p>
        </w:tc>
        <w:tc>
          <w:tcPr>
            <w:tcW w:w="964" w:type="dxa"/>
            <w:gridSpan w:val="2"/>
            <w:tcBorders>
              <w:top w:val="nil"/>
              <w:left w:val="nil"/>
              <w:bottom w:val="nil"/>
              <w:right w:val="nil"/>
            </w:tcBorders>
          </w:tcPr>
          <w:p w14:paraId="19916576" w14:textId="77777777" w:rsidR="00CF0E2D" w:rsidRPr="00BC33CC" w:rsidRDefault="00CF0E2D" w:rsidP="00A60D4B">
            <w:pPr>
              <w:pStyle w:val="Btablefigureunbold"/>
              <w:rPr>
                <w:szCs w:val="20"/>
              </w:rPr>
            </w:pPr>
            <w:r w:rsidRPr="00BC33CC">
              <w:rPr>
                <w:rFonts w:cs="Calibri"/>
                <w:color w:val="000000"/>
                <w:szCs w:val="20"/>
              </w:rPr>
              <w:t>1</w:t>
            </w:r>
            <w:r>
              <w:rPr>
                <w:rFonts w:cs="Calibri"/>
                <w:color w:val="000000"/>
                <w:szCs w:val="20"/>
              </w:rPr>
              <w:t>,</w:t>
            </w:r>
            <w:r w:rsidRPr="00BC33CC">
              <w:rPr>
                <w:rFonts w:cs="Calibri"/>
                <w:color w:val="000000"/>
                <w:szCs w:val="20"/>
              </w:rPr>
              <w:t>348</w:t>
            </w:r>
          </w:p>
        </w:tc>
        <w:tc>
          <w:tcPr>
            <w:tcW w:w="964" w:type="dxa"/>
            <w:gridSpan w:val="2"/>
            <w:tcBorders>
              <w:top w:val="nil"/>
              <w:left w:val="nil"/>
              <w:bottom w:val="nil"/>
              <w:right w:val="nil"/>
            </w:tcBorders>
          </w:tcPr>
          <w:p w14:paraId="79EE307D" w14:textId="77777777" w:rsidR="00CF0E2D" w:rsidRPr="00BC33CC" w:rsidRDefault="00CF0E2D" w:rsidP="00A60D4B">
            <w:pPr>
              <w:pStyle w:val="Btablefigureunbold"/>
              <w:rPr>
                <w:szCs w:val="20"/>
              </w:rPr>
            </w:pPr>
            <w:r w:rsidRPr="00BC33CC">
              <w:rPr>
                <w:rFonts w:cs="Calibri"/>
                <w:color w:val="000000"/>
                <w:szCs w:val="20"/>
              </w:rPr>
              <w:t>872</w:t>
            </w:r>
          </w:p>
        </w:tc>
        <w:tc>
          <w:tcPr>
            <w:tcW w:w="954" w:type="dxa"/>
            <w:gridSpan w:val="2"/>
            <w:tcBorders>
              <w:top w:val="nil"/>
              <w:left w:val="nil"/>
              <w:bottom w:val="nil"/>
              <w:right w:val="nil"/>
            </w:tcBorders>
          </w:tcPr>
          <w:p w14:paraId="41C71655" w14:textId="77777777" w:rsidR="00CF0E2D" w:rsidRPr="00BC33CC" w:rsidRDefault="00CF0E2D" w:rsidP="00A60D4B">
            <w:pPr>
              <w:pStyle w:val="Btablefigureunbold"/>
              <w:rPr>
                <w:b/>
                <w:bCs/>
                <w:szCs w:val="20"/>
              </w:rPr>
            </w:pPr>
            <w:r w:rsidRPr="00BC33CC">
              <w:rPr>
                <w:rFonts w:cs="Calibri"/>
                <w:b/>
                <w:bCs/>
                <w:color w:val="000000"/>
                <w:szCs w:val="20"/>
              </w:rPr>
              <w:t>21,036</w:t>
            </w:r>
          </w:p>
        </w:tc>
      </w:tr>
      <w:tr w:rsidR="00CF0E2D" w:rsidRPr="00D60558" w14:paraId="694BC6FC" w14:textId="77777777" w:rsidTr="00A60D4B">
        <w:trPr>
          <w:gridAfter w:val="1"/>
          <w:wAfter w:w="9" w:type="dxa"/>
          <w:jc w:val="center"/>
        </w:trPr>
        <w:tc>
          <w:tcPr>
            <w:tcW w:w="3355" w:type="dxa"/>
            <w:tcBorders>
              <w:top w:val="nil"/>
              <w:left w:val="nil"/>
              <w:bottom w:val="nil"/>
              <w:right w:val="nil"/>
            </w:tcBorders>
          </w:tcPr>
          <w:p w14:paraId="4B711B11" w14:textId="77777777" w:rsidR="00CF0E2D" w:rsidRPr="000A5F17" w:rsidRDefault="00CF0E2D" w:rsidP="00A60D4B">
            <w:pPr>
              <w:pStyle w:val="Btabletextunbold"/>
              <w:rPr>
                <w:szCs w:val="20"/>
              </w:rPr>
            </w:pPr>
            <w:r w:rsidRPr="000A5F17">
              <w:rPr>
                <w:rFonts w:cs="Calibri"/>
                <w:color w:val="000000"/>
                <w:szCs w:val="20"/>
              </w:rPr>
              <w:t xml:space="preserve">– Canberra Health Services warehouse and logistics facility  </w:t>
            </w:r>
          </w:p>
        </w:tc>
        <w:tc>
          <w:tcPr>
            <w:tcW w:w="1093" w:type="dxa"/>
            <w:tcBorders>
              <w:top w:val="nil"/>
              <w:left w:val="nil"/>
              <w:bottom w:val="nil"/>
              <w:right w:val="nil"/>
            </w:tcBorders>
          </w:tcPr>
          <w:p w14:paraId="4D282DF9"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 xml:space="preserve">Net capital </w:t>
            </w:r>
          </w:p>
        </w:tc>
        <w:tc>
          <w:tcPr>
            <w:tcW w:w="964" w:type="dxa"/>
            <w:gridSpan w:val="2"/>
            <w:tcBorders>
              <w:top w:val="nil"/>
              <w:left w:val="nil"/>
              <w:bottom w:val="nil"/>
              <w:right w:val="nil"/>
            </w:tcBorders>
          </w:tcPr>
          <w:p w14:paraId="19787849" w14:textId="77777777" w:rsidR="00CF0E2D" w:rsidRPr="00BC33CC" w:rsidRDefault="00CF0E2D" w:rsidP="00A60D4B">
            <w:pPr>
              <w:pStyle w:val="Btablefigureunbold"/>
              <w:rPr>
                <w:szCs w:val="20"/>
              </w:rPr>
            </w:pPr>
            <w:r w:rsidRPr="00BC33CC">
              <w:rPr>
                <w:rFonts w:cs="Calibri"/>
                <w:color w:val="000000"/>
                <w:szCs w:val="20"/>
              </w:rPr>
              <w:t>767</w:t>
            </w:r>
          </w:p>
        </w:tc>
        <w:tc>
          <w:tcPr>
            <w:tcW w:w="964" w:type="dxa"/>
            <w:gridSpan w:val="2"/>
            <w:tcBorders>
              <w:top w:val="nil"/>
              <w:left w:val="nil"/>
              <w:bottom w:val="nil"/>
              <w:right w:val="nil"/>
            </w:tcBorders>
          </w:tcPr>
          <w:p w14:paraId="3DAB3F4B" w14:textId="77777777" w:rsidR="00CF0E2D" w:rsidRPr="00BC33CC" w:rsidRDefault="00CF0E2D" w:rsidP="00A60D4B">
            <w:pPr>
              <w:pStyle w:val="Btablefigureunbold"/>
              <w:rPr>
                <w:szCs w:val="20"/>
              </w:rPr>
            </w:pPr>
            <w:r w:rsidRPr="00BC33CC">
              <w:rPr>
                <w:rFonts w:cs="Calibri"/>
                <w:color w:val="000000"/>
                <w:szCs w:val="20"/>
              </w:rPr>
              <w:t>500</w:t>
            </w:r>
          </w:p>
        </w:tc>
        <w:tc>
          <w:tcPr>
            <w:tcW w:w="964" w:type="dxa"/>
            <w:gridSpan w:val="2"/>
            <w:tcBorders>
              <w:top w:val="nil"/>
              <w:left w:val="nil"/>
              <w:bottom w:val="nil"/>
              <w:right w:val="nil"/>
            </w:tcBorders>
          </w:tcPr>
          <w:p w14:paraId="6DA7F19E"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5EED1E47"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49AF6894" w14:textId="77777777" w:rsidR="00CF0E2D" w:rsidRPr="00BC33CC" w:rsidRDefault="00CF0E2D" w:rsidP="00A60D4B">
            <w:pPr>
              <w:pStyle w:val="Btablefigureunbold"/>
              <w:rPr>
                <w:b/>
                <w:bCs/>
                <w:szCs w:val="20"/>
              </w:rPr>
            </w:pPr>
            <w:r w:rsidRPr="00BC33CC">
              <w:rPr>
                <w:rFonts w:cs="Calibri"/>
                <w:b/>
                <w:bCs/>
                <w:color w:val="000000"/>
                <w:szCs w:val="20"/>
              </w:rPr>
              <w:t>1,267</w:t>
            </w:r>
          </w:p>
        </w:tc>
      </w:tr>
      <w:tr w:rsidR="00CF0E2D" w:rsidRPr="00D60558" w14:paraId="1E10A1E6" w14:textId="77777777" w:rsidTr="00A60D4B">
        <w:trPr>
          <w:gridAfter w:val="1"/>
          <w:wAfter w:w="9" w:type="dxa"/>
          <w:jc w:val="center"/>
        </w:trPr>
        <w:tc>
          <w:tcPr>
            <w:tcW w:w="3355" w:type="dxa"/>
            <w:tcBorders>
              <w:top w:val="nil"/>
              <w:left w:val="nil"/>
              <w:bottom w:val="nil"/>
              <w:right w:val="nil"/>
            </w:tcBorders>
          </w:tcPr>
          <w:p w14:paraId="1B1DADDB" w14:textId="77777777" w:rsidR="00CF0E2D" w:rsidRPr="000A5F17" w:rsidRDefault="00CF0E2D" w:rsidP="00A60D4B">
            <w:pPr>
              <w:pStyle w:val="Btabletextunbold"/>
              <w:rPr>
                <w:szCs w:val="20"/>
              </w:rPr>
            </w:pPr>
            <w:r w:rsidRPr="000A5F17">
              <w:rPr>
                <w:rFonts w:cs="Calibri"/>
                <w:color w:val="000000"/>
                <w:szCs w:val="20"/>
              </w:rPr>
              <w:t xml:space="preserve">– Canberra Health Services warehouse and logistics facility  </w:t>
            </w:r>
          </w:p>
        </w:tc>
        <w:tc>
          <w:tcPr>
            <w:tcW w:w="1093" w:type="dxa"/>
            <w:tcBorders>
              <w:top w:val="nil"/>
              <w:left w:val="nil"/>
              <w:bottom w:val="nil"/>
              <w:right w:val="nil"/>
            </w:tcBorders>
          </w:tcPr>
          <w:p w14:paraId="5CA36B25"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04525A50"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665F69CE" w14:textId="77777777" w:rsidR="00CF0E2D" w:rsidRPr="00BC33CC" w:rsidRDefault="00CF0E2D" w:rsidP="00A60D4B">
            <w:pPr>
              <w:pStyle w:val="Btablefigureunbold"/>
              <w:rPr>
                <w:szCs w:val="20"/>
              </w:rPr>
            </w:pPr>
            <w:r w:rsidRPr="00BC33CC">
              <w:rPr>
                <w:rFonts w:cs="Calibri"/>
                <w:color w:val="000000"/>
                <w:szCs w:val="20"/>
              </w:rPr>
              <w:t>85</w:t>
            </w:r>
          </w:p>
        </w:tc>
        <w:tc>
          <w:tcPr>
            <w:tcW w:w="964" w:type="dxa"/>
            <w:gridSpan w:val="2"/>
            <w:tcBorders>
              <w:top w:val="nil"/>
              <w:left w:val="nil"/>
              <w:bottom w:val="nil"/>
              <w:right w:val="nil"/>
            </w:tcBorders>
          </w:tcPr>
          <w:p w14:paraId="756AED42" w14:textId="77777777" w:rsidR="00CF0E2D" w:rsidRPr="00BC33CC" w:rsidRDefault="00CF0E2D" w:rsidP="00A60D4B">
            <w:pPr>
              <w:pStyle w:val="Btablefigureunbold"/>
              <w:rPr>
                <w:szCs w:val="20"/>
              </w:rPr>
            </w:pPr>
            <w:r w:rsidRPr="00BC33CC">
              <w:rPr>
                <w:rFonts w:cs="Calibri"/>
                <w:color w:val="000000"/>
                <w:szCs w:val="20"/>
              </w:rPr>
              <w:t>85</w:t>
            </w:r>
          </w:p>
        </w:tc>
        <w:tc>
          <w:tcPr>
            <w:tcW w:w="964" w:type="dxa"/>
            <w:gridSpan w:val="2"/>
            <w:tcBorders>
              <w:top w:val="nil"/>
              <w:left w:val="nil"/>
              <w:bottom w:val="nil"/>
              <w:right w:val="nil"/>
            </w:tcBorders>
          </w:tcPr>
          <w:p w14:paraId="221CEC9F" w14:textId="77777777" w:rsidR="00CF0E2D" w:rsidRPr="00BC33CC" w:rsidRDefault="00CF0E2D" w:rsidP="00A60D4B">
            <w:pPr>
              <w:pStyle w:val="Btablefigureunbold"/>
              <w:rPr>
                <w:szCs w:val="20"/>
              </w:rPr>
            </w:pPr>
            <w:r w:rsidRPr="00BC33CC">
              <w:rPr>
                <w:rFonts w:cs="Calibri"/>
                <w:color w:val="000000"/>
                <w:szCs w:val="20"/>
              </w:rPr>
              <w:t>85</w:t>
            </w:r>
          </w:p>
        </w:tc>
        <w:tc>
          <w:tcPr>
            <w:tcW w:w="954" w:type="dxa"/>
            <w:gridSpan w:val="2"/>
            <w:tcBorders>
              <w:top w:val="nil"/>
              <w:left w:val="nil"/>
              <w:bottom w:val="nil"/>
              <w:right w:val="nil"/>
            </w:tcBorders>
          </w:tcPr>
          <w:p w14:paraId="4AAE5C1D" w14:textId="77777777" w:rsidR="00CF0E2D" w:rsidRPr="00BC33CC" w:rsidRDefault="00CF0E2D" w:rsidP="00A60D4B">
            <w:pPr>
              <w:pStyle w:val="Btablefigureunbold"/>
              <w:rPr>
                <w:b/>
                <w:bCs/>
                <w:szCs w:val="20"/>
              </w:rPr>
            </w:pPr>
            <w:r w:rsidRPr="00BC33CC">
              <w:rPr>
                <w:rFonts w:cs="Calibri"/>
                <w:b/>
                <w:bCs/>
                <w:color w:val="000000"/>
                <w:szCs w:val="20"/>
              </w:rPr>
              <w:t>255</w:t>
            </w:r>
          </w:p>
        </w:tc>
      </w:tr>
      <w:tr w:rsidR="00CF0E2D" w:rsidRPr="00D60558" w14:paraId="0B2E66AB" w14:textId="77777777" w:rsidTr="00A60D4B">
        <w:trPr>
          <w:gridAfter w:val="1"/>
          <w:wAfter w:w="9" w:type="dxa"/>
          <w:jc w:val="center"/>
        </w:trPr>
        <w:tc>
          <w:tcPr>
            <w:tcW w:w="3355" w:type="dxa"/>
            <w:tcBorders>
              <w:top w:val="nil"/>
              <w:left w:val="nil"/>
              <w:bottom w:val="nil"/>
              <w:right w:val="nil"/>
            </w:tcBorders>
          </w:tcPr>
          <w:p w14:paraId="7F1FB477" w14:textId="77777777" w:rsidR="00CF0E2D" w:rsidRPr="000A5F17" w:rsidRDefault="00CF0E2D" w:rsidP="00A60D4B">
            <w:pPr>
              <w:pStyle w:val="Btabletextunbold"/>
              <w:rPr>
                <w:szCs w:val="20"/>
              </w:rPr>
            </w:pPr>
            <w:r w:rsidRPr="000A5F17">
              <w:rPr>
                <w:rFonts w:cs="Calibri"/>
                <w:color w:val="000000"/>
                <w:szCs w:val="20"/>
              </w:rPr>
              <w:t xml:space="preserve">– Cancer Research Centre  </w:t>
            </w:r>
          </w:p>
        </w:tc>
        <w:tc>
          <w:tcPr>
            <w:tcW w:w="1093" w:type="dxa"/>
            <w:tcBorders>
              <w:top w:val="nil"/>
              <w:left w:val="nil"/>
              <w:bottom w:val="nil"/>
              <w:right w:val="nil"/>
            </w:tcBorders>
          </w:tcPr>
          <w:p w14:paraId="7E5B371B" w14:textId="17457903" w:rsidR="00CF0E2D" w:rsidRPr="000A5F17" w:rsidRDefault="00CF0E2D" w:rsidP="00A60D4B">
            <w:pPr>
              <w:pStyle w:val="Btablefigureunbold"/>
              <w:ind w:left="0" w:firstLine="0"/>
              <w:jc w:val="left"/>
              <w:rPr>
                <w:rFonts w:cs="Calibri"/>
                <w:color w:val="000000"/>
                <w:szCs w:val="20"/>
              </w:rPr>
            </w:pPr>
            <w:r w:rsidRPr="000A5F17">
              <w:rPr>
                <w:rFonts w:cs="Calibri"/>
                <w:color w:val="000000"/>
                <w:szCs w:val="20"/>
              </w:rPr>
              <w:t xml:space="preserve">Net </w:t>
            </w:r>
            <w:r w:rsidR="001E39B7">
              <w:rPr>
                <w:rFonts w:cs="Calibri"/>
                <w:color w:val="000000"/>
                <w:szCs w:val="20"/>
              </w:rPr>
              <w:t>c</w:t>
            </w:r>
            <w:r w:rsidRPr="000A5F17">
              <w:rPr>
                <w:rFonts w:cs="Calibri"/>
                <w:color w:val="000000"/>
                <w:szCs w:val="20"/>
              </w:rPr>
              <w:t>apital</w:t>
            </w:r>
          </w:p>
        </w:tc>
        <w:tc>
          <w:tcPr>
            <w:tcW w:w="964" w:type="dxa"/>
            <w:gridSpan w:val="2"/>
            <w:tcBorders>
              <w:top w:val="nil"/>
              <w:left w:val="nil"/>
              <w:bottom w:val="nil"/>
              <w:right w:val="nil"/>
            </w:tcBorders>
          </w:tcPr>
          <w:p w14:paraId="0C5E0D02" w14:textId="77777777" w:rsidR="00CF0E2D" w:rsidRPr="00BC33CC" w:rsidRDefault="00CF0E2D" w:rsidP="00A60D4B">
            <w:pPr>
              <w:pStyle w:val="Btablefigureunbold"/>
              <w:rPr>
                <w:szCs w:val="20"/>
              </w:rPr>
            </w:pPr>
            <w:r w:rsidRPr="00BC33CC">
              <w:rPr>
                <w:rFonts w:cs="Calibri"/>
                <w:color w:val="000000"/>
                <w:szCs w:val="20"/>
              </w:rPr>
              <w:t>760</w:t>
            </w:r>
          </w:p>
        </w:tc>
        <w:tc>
          <w:tcPr>
            <w:tcW w:w="964" w:type="dxa"/>
            <w:gridSpan w:val="2"/>
            <w:tcBorders>
              <w:top w:val="nil"/>
              <w:left w:val="nil"/>
              <w:bottom w:val="nil"/>
              <w:right w:val="nil"/>
            </w:tcBorders>
          </w:tcPr>
          <w:p w14:paraId="0F25C57E" w14:textId="77777777" w:rsidR="00CF0E2D" w:rsidRPr="00BC33CC" w:rsidRDefault="00CF0E2D" w:rsidP="00A60D4B">
            <w:pPr>
              <w:pStyle w:val="Btablefigureunbold"/>
              <w:rPr>
                <w:szCs w:val="20"/>
              </w:rPr>
            </w:pPr>
            <w:r w:rsidRPr="00BC33CC">
              <w:rPr>
                <w:rFonts w:cs="Calibri"/>
                <w:color w:val="000000"/>
                <w:szCs w:val="20"/>
              </w:rPr>
              <w:t>6,</w:t>
            </w:r>
            <w:r>
              <w:rPr>
                <w:rFonts w:cs="Calibri"/>
                <w:color w:val="000000"/>
                <w:szCs w:val="20"/>
              </w:rPr>
              <w:t>035</w:t>
            </w:r>
          </w:p>
        </w:tc>
        <w:tc>
          <w:tcPr>
            <w:tcW w:w="964" w:type="dxa"/>
            <w:gridSpan w:val="2"/>
            <w:tcBorders>
              <w:top w:val="nil"/>
              <w:left w:val="nil"/>
              <w:bottom w:val="nil"/>
              <w:right w:val="nil"/>
            </w:tcBorders>
          </w:tcPr>
          <w:p w14:paraId="37163C5B"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6B1630C5"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4D59DADE" w14:textId="77777777" w:rsidR="00CF0E2D" w:rsidRPr="00BC33CC" w:rsidRDefault="00CF0E2D" w:rsidP="00A60D4B">
            <w:pPr>
              <w:pStyle w:val="Btablefigureunbold"/>
              <w:rPr>
                <w:b/>
                <w:bCs/>
                <w:szCs w:val="20"/>
              </w:rPr>
            </w:pPr>
            <w:r>
              <w:rPr>
                <w:b/>
                <w:bCs/>
                <w:szCs w:val="20"/>
              </w:rPr>
              <w:t>6,675</w:t>
            </w:r>
          </w:p>
        </w:tc>
      </w:tr>
      <w:tr w:rsidR="00CF0E2D" w:rsidRPr="00D60558" w14:paraId="53F38F32" w14:textId="77777777" w:rsidTr="00A60D4B">
        <w:trPr>
          <w:gridAfter w:val="1"/>
          <w:wAfter w:w="9" w:type="dxa"/>
          <w:jc w:val="center"/>
        </w:trPr>
        <w:tc>
          <w:tcPr>
            <w:tcW w:w="3355" w:type="dxa"/>
            <w:tcBorders>
              <w:top w:val="nil"/>
              <w:left w:val="nil"/>
              <w:bottom w:val="nil"/>
              <w:right w:val="nil"/>
            </w:tcBorders>
          </w:tcPr>
          <w:p w14:paraId="0E2576CE" w14:textId="77777777" w:rsidR="00CF0E2D" w:rsidRPr="000A5F17" w:rsidRDefault="00CF0E2D" w:rsidP="00A60D4B">
            <w:pPr>
              <w:pStyle w:val="Btabletextunbold"/>
              <w:rPr>
                <w:szCs w:val="20"/>
              </w:rPr>
            </w:pPr>
            <w:r w:rsidRPr="000A5F17">
              <w:rPr>
                <w:rFonts w:cs="Calibri"/>
                <w:color w:val="000000"/>
                <w:szCs w:val="20"/>
              </w:rPr>
              <w:t xml:space="preserve">– Cancer Research Centre  </w:t>
            </w:r>
          </w:p>
        </w:tc>
        <w:tc>
          <w:tcPr>
            <w:tcW w:w="1093" w:type="dxa"/>
            <w:tcBorders>
              <w:top w:val="nil"/>
              <w:left w:val="nil"/>
              <w:bottom w:val="nil"/>
              <w:right w:val="nil"/>
            </w:tcBorders>
          </w:tcPr>
          <w:p w14:paraId="4E4B77A7"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403A3210"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139F54F9"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628BA108" w14:textId="77777777" w:rsidR="00CF0E2D" w:rsidRPr="00BC33CC" w:rsidRDefault="00CF0E2D" w:rsidP="00A60D4B">
            <w:pPr>
              <w:pStyle w:val="Btablefigureunbold"/>
              <w:rPr>
                <w:szCs w:val="20"/>
              </w:rPr>
            </w:pPr>
            <w:r w:rsidRPr="00BC33CC">
              <w:rPr>
                <w:rFonts w:cs="Calibri"/>
                <w:color w:val="000000"/>
                <w:szCs w:val="20"/>
              </w:rPr>
              <w:t>170</w:t>
            </w:r>
          </w:p>
        </w:tc>
        <w:tc>
          <w:tcPr>
            <w:tcW w:w="964" w:type="dxa"/>
            <w:gridSpan w:val="2"/>
            <w:tcBorders>
              <w:top w:val="nil"/>
              <w:left w:val="nil"/>
              <w:bottom w:val="nil"/>
              <w:right w:val="nil"/>
            </w:tcBorders>
          </w:tcPr>
          <w:p w14:paraId="21ADA22D" w14:textId="77777777" w:rsidR="00CF0E2D" w:rsidRPr="00BC33CC" w:rsidRDefault="00CF0E2D" w:rsidP="00A60D4B">
            <w:pPr>
              <w:pStyle w:val="Btablefigureunbold"/>
              <w:rPr>
                <w:szCs w:val="20"/>
              </w:rPr>
            </w:pPr>
            <w:r w:rsidRPr="00BC33CC">
              <w:rPr>
                <w:rFonts w:cs="Calibri"/>
                <w:color w:val="000000"/>
                <w:szCs w:val="20"/>
              </w:rPr>
              <w:t>170</w:t>
            </w:r>
          </w:p>
        </w:tc>
        <w:tc>
          <w:tcPr>
            <w:tcW w:w="954" w:type="dxa"/>
            <w:gridSpan w:val="2"/>
            <w:tcBorders>
              <w:top w:val="nil"/>
              <w:left w:val="nil"/>
              <w:bottom w:val="nil"/>
              <w:right w:val="nil"/>
            </w:tcBorders>
          </w:tcPr>
          <w:p w14:paraId="1D334BE7" w14:textId="77777777" w:rsidR="00CF0E2D" w:rsidRPr="00BC33CC" w:rsidRDefault="00CF0E2D" w:rsidP="00A60D4B">
            <w:pPr>
              <w:pStyle w:val="Btablefigureunbold"/>
              <w:rPr>
                <w:b/>
                <w:bCs/>
                <w:szCs w:val="20"/>
              </w:rPr>
            </w:pPr>
            <w:r w:rsidRPr="00BC33CC">
              <w:rPr>
                <w:rFonts w:cs="Calibri"/>
                <w:b/>
                <w:bCs/>
                <w:color w:val="000000"/>
                <w:szCs w:val="20"/>
              </w:rPr>
              <w:t>340</w:t>
            </w:r>
          </w:p>
        </w:tc>
      </w:tr>
      <w:tr w:rsidR="00CF0E2D" w:rsidRPr="00D60558" w14:paraId="00E942F7" w14:textId="77777777" w:rsidTr="00A60D4B">
        <w:trPr>
          <w:gridAfter w:val="1"/>
          <w:wAfter w:w="9" w:type="dxa"/>
          <w:jc w:val="center"/>
        </w:trPr>
        <w:tc>
          <w:tcPr>
            <w:tcW w:w="3355" w:type="dxa"/>
            <w:tcBorders>
              <w:top w:val="nil"/>
              <w:left w:val="nil"/>
              <w:bottom w:val="nil"/>
              <w:right w:val="nil"/>
            </w:tcBorders>
          </w:tcPr>
          <w:p w14:paraId="41C9466F" w14:textId="77777777" w:rsidR="00CF0E2D" w:rsidRPr="000A5F17" w:rsidRDefault="00CF0E2D" w:rsidP="00A60D4B">
            <w:pPr>
              <w:pStyle w:val="Btabletextunbold"/>
              <w:rPr>
                <w:szCs w:val="20"/>
              </w:rPr>
            </w:pPr>
            <w:r w:rsidRPr="000A5F17">
              <w:rPr>
                <w:rFonts w:cs="Calibri"/>
                <w:color w:val="000000"/>
                <w:szCs w:val="20"/>
              </w:rPr>
              <w:t xml:space="preserve">– Expanding endoscopy services  </w:t>
            </w:r>
          </w:p>
        </w:tc>
        <w:tc>
          <w:tcPr>
            <w:tcW w:w="1093" w:type="dxa"/>
            <w:tcBorders>
              <w:top w:val="nil"/>
              <w:left w:val="nil"/>
              <w:bottom w:val="nil"/>
              <w:right w:val="nil"/>
            </w:tcBorders>
          </w:tcPr>
          <w:p w14:paraId="619FDEEC"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 xml:space="preserve">Net capital </w:t>
            </w:r>
          </w:p>
        </w:tc>
        <w:tc>
          <w:tcPr>
            <w:tcW w:w="964" w:type="dxa"/>
            <w:gridSpan w:val="2"/>
            <w:tcBorders>
              <w:top w:val="nil"/>
              <w:left w:val="nil"/>
              <w:bottom w:val="nil"/>
              <w:right w:val="nil"/>
            </w:tcBorders>
          </w:tcPr>
          <w:p w14:paraId="4D37F254" w14:textId="77777777" w:rsidR="00CF0E2D" w:rsidRPr="00BC33CC" w:rsidRDefault="00CF0E2D" w:rsidP="00A60D4B">
            <w:pPr>
              <w:pStyle w:val="Btablefigureunbold"/>
              <w:rPr>
                <w:szCs w:val="20"/>
              </w:rPr>
            </w:pPr>
            <w:r w:rsidRPr="00BC33CC">
              <w:rPr>
                <w:rFonts w:cs="Calibri"/>
                <w:color w:val="000000"/>
                <w:szCs w:val="20"/>
              </w:rPr>
              <w:t>175</w:t>
            </w:r>
          </w:p>
        </w:tc>
        <w:tc>
          <w:tcPr>
            <w:tcW w:w="964" w:type="dxa"/>
            <w:gridSpan w:val="2"/>
            <w:tcBorders>
              <w:top w:val="nil"/>
              <w:left w:val="nil"/>
              <w:bottom w:val="nil"/>
              <w:right w:val="nil"/>
            </w:tcBorders>
          </w:tcPr>
          <w:p w14:paraId="76585E3F" w14:textId="77777777" w:rsidR="00CF0E2D" w:rsidRPr="00BC33CC" w:rsidRDefault="00CF0E2D" w:rsidP="00A60D4B">
            <w:pPr>
              <w:pStyle w:val="Btablefigureunbold"/>
              <w:rPr>
                <w:szCs w:val="20"/>
              </w:rPr>
            </w:pPr>
            <w:r w:rsidRPr="00BC33CC">
              <w:rPr>
                <w:rFonts w:cs="Calibri"/>
                <w:color w:val="000000"/>
                <w:szCs w:val="20"/>
              </w:rPr>
              <w:t>650</w:t>
            </w:r>
          </w:p>
        </w:tc>
        <w:tc>
          <w:tcPr>
            <w:tcW w:w="964" w:type="dxa"/>
            <w:gridSpan w:val="2"/>
            <w:tcBorders>
              <w:top w:val="nil"/>
              <w:left w:val="nil"/>
              <w:bottom w:val="nil"/>
              <w:right w:val="nil"/>
            </w:tcBorders>
          </w:tcPr>
          <w:p w14:paraId="3724A002"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131B2FCA"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150521AA" w14:textId="77777777" w:rsidR="00CF0E2D" w:rsidRPr="00BC33CC" w:rsidRDefault="00CF0E2D" w:rsidP="00A60D4B">
            <w:pPr>
              <w:pStyle w:val="Btablefigureunbold"/>
              <w:rPr>
                <w:b/>
                <w:bCs/>
                <w:szCs w:val="20"/>
              </w:rPr>
            </w:pPr>
            <w:r w:rsidRPr="00BC33CC">
              <w:rPr>
                <w:rFonts w:cs="Calibri"/>
                <w:b/>
                <w:bCs/>
                <w:color w:val="000000"/>
                <w:szCs w:val="20"/>
              </w:rPr>
              <w:t>825</w:t>
            </w:r>
          </w:p>
        </w:tc>
      </w:tr>
      <w:tr w:rsidR="00CF0E2D" w:rsidRPr="00D60558" w14:paraId="41E473AF" w14:textId="77777777" w:rsidTr="00A60D4B">
        <w:trPr>
          <w:gridAfter w:val="1"/>
          <w:wAfter w:w="9" w:type="dxa"/>
          <w:jc w:val="center"/>
        </w:trPr>
        <w:tc>
          <w:tcPr>
            <w:tcW w:w="3355" w:type="dxa"/>
            <w:tcBorders>
              <w:top w:val="nil"/>
              <w:left w:val="nil"/>
              <w:bottom w:val="nil"/>
              <w:right w:val="nil"/>
            </w:tcBorders>
          </w:tcPr>
          <w:p w14:paraId="0FBAA6CB" w14:textId="77777777" w:rsidR="00CF0E2D" w:rsidRPr="000A5F17" w:rsidRDefault="00CF0E2D" w:rsidP="00A60D4B">
            <w:pPr>
              <w:pStyle w:val="Btabletextunbold"/>
              <w:rPr>
                <w:szCs w:val="20"/>
              </w:rPr>
            </w:pPr>
            <w:r w:rsidRPr="000A5F17">
              <w:rPr>
                <w:rFonts w:cs="Calibri"/>
                <w:color w:val="000000"/>
                <w:szCs w:val="20"/>
              </w:rPr>
              <w:t xml:space="preserve">– Expanding endoscopy services  </w:t>
            </w:r>
          </w:p>
        </w:tc>
        <w:tc>
          <w:tcPr>
            <w:tcW w:w="1093" w:type="dxa"/>
            <w:tcBorders>
              <w:top w:val="nil"/>
              <w:left w:val="nil"/>
              <w:bottom w:val="nil"/>
              <w:right w:val="nil"/>
            </w:tcBorders>
          </w:tcPr>
          <w:p w14:paraId="069D81E8"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638D5D2F"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413CC999"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540EDBEE"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59182222"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0DE2690B" w14:textId="77777777" w:rsidR="00CF0E2D" w:rsidRPr="00BC33CC" w:rsidRDefault="00CF0E2D" w:rsidP="00A60D4B">
            <w:pPr>
              <w:pStyle w:val="Btablefigureunbold"/>
              <w:rPr>
                <w:b/>
                <w:bCs/>
                <w:szCs w:val="20"/>
              </w:rPr>
            </w:pPr>
            <w:r w:rsidRPr="00BC33CC">
              <w:rPr>
                <w:rFonts w:cs="Calibri"/>
                <w:b/>
                <w:bCs/>
                <w:color w:val="000000"/>
                <w:szCs w:val="20"/>
              </w:rPr>
              <w:t>0</w:t>
            </w:r>
          </w:p>
        </w:tc>
      </w:tr>
      <w:tr w:rsidR="00CF0E2D" w:rsidRPr="00D60558" w14:paraId="634B3DE9" w14:textId="77777777" w:rsidTr="00A60D4B">
        <w:trPr>
          <w:gridAfter w:val="1"/>
          <w:wAfter w:w="9" w:type="dxa"/>
          <w:jc w:val="center"/>
        </w:trPr>
        <w:tc>
          <w:tcPr>
            <w:tcW w:w="3355" w:type="dxa"/>
            <w:tcBorders>
              <w:top w:val="nil"/>
              <w:left w:val="nil"/>
              <w:bottom w:val="nil"/>
              <w:right w:val="nil"/>
            </w:tcBorders>
          </w:tcPr>
          <w:p w14:paraId="7436CC40" w14:textId="77777777" w:rsidR="00CF0E2D" w:rsidRPr="000A5F17" w:rsidRDefault="00CF0E2D" w:rsidP="00A60D4B">
            <w:pPr>
              <w:pStyle w:val="Btabletextunbold"/>
              <w:rPr>
                <w:szCs w:val="20"/>
              </w:rPr>
            </w:pPr>
            <w:r w:rsidRPr="000A5F17">
              <w:rPr>
                <w:rFonts w:cs="Calibri"/>
                <w:color w:val="000000"/>
                <w:szCs w:val="20"/>
              </w:rPr>
              <w:t xml:space="preserve">– Northside hospital development  </w:t>
            </w:r>
          </w:p>
        </w:tc>
        <w:tc>
          <w:tcPr>
            <w:tcW w:w="1093" w:type="dxa"/>
            <w:tcBorders>
              <w:top w:val="nil"/>
              <w:left w:val="nil"/>
              <w:bottom w:val="nil"/>
              <w:right w:val="nil"/>
            </w:tcBorders>
          </w:tcPr>
          <w:p w14:paraId="75469E9F"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 xml:space="preserve">Net capital </w:t>
            </w:r>
          </w:p>
        </w:tc>
        <w:tc>
          <w:tcPr>
            <w:tcW w:w="964" w:type="dxa"/>
            <w:gridSpan w:val="2"/>
            <w:tcBorders>
              <w:top w:val="nil"/>
              <w:left w:val="nil"/>
              <w:bottom w:val="nil"/>
              <w:right w:val="nil"/>
            </w:tcBorders>
          </w:tcPr>
          <w:p w14:paraId="31401ED7" w14:textId="77777777" w:rsidR="00CF0E2D" w:rsidRPr="00BC33CC" w:rsidRDefault="00CF0E2D" w:rsidP="00A60D4B">
            <w:pPr>
              <w:pStyle w:val="Btablefigureunbold"/>
              <w:rPr>
                <w:szCs w:val="20"/>
              </w:rPr>
            </w:pPr>
            <w:r w:rsidRPr="00BC33CC">
              <w:rPr>
                <w:rFonts w:cs="Calibri"/>
                <w:color w:val="000000"/>
                <w:szCs w:val="20"/>
              </w:rPr>
              <w:t>4</w:t>
            </w:r>
            <w:r>
              <w:rPr>
                <w:rFonts w:cs="Calibri"/>
                <w:color w:val="000000"/>
                <w:szCs w:val="20"/>
              </w:rPr>
              <w:t>,</w:t>
            </w:r>
            <w:r w:rsidRPr="00BC33CC">
              <w:rPr>
                <w:rFonts w:cs="Calibri"/>
                <w:color w:val="000000"/>
                <w:szCs w:val="20"/>
              </w:rPr>
              <w:t>010</w:t>
            </w:r>
          </w:p>
        </w:tc>
        <w:tc>
          <w:tcPr>
            <w:tcW w:w="964" w:type="dxa"/>
            <w:gridSpan w:val="2"/>
            <w:tcBorders>
              <w:top w:val="nil"/>
              <w:left w:val="nil"/>
              <w:bottom w:val="nil"/>
              <w:right w:val="nil"/>
            </w:tcBorders>
          </w:tcPr>
          <w:p w14:paraId="03EBF94C" w14:textId="77777777" w:rsidR="00CF0E2D" w:rsidRPr="00BC33CC" w:rsidRDefault="00CF0E2D" w:rsidP="00A60D4B">
            <w:pPr>
              <w:pStyle w:val="Btablefigureunbold"/>
              <w:rPr>
                <w:szCs w:val="20"/>
              </w:rPr>
            </w:pPr>
            <w:r w:rsidRPr="00BC33CC">
              <w:rPr>
                <w:rFonts w:cs="Calibri"/>
                <w:color w:val="000000"/>
                <w:szCs w:val="20"/>
              </w:rPr>
              <w:t>9</w:t>
            </w:r>
            <w:r>
              <w:rPr>
                <w:rFonts w:cs="Calibri"/>
                <w:color w:val="000000"/>
                <w:szCs w:val="20"/>
              </w:rPr>
              <w:t>,</w:t>
            </w:r>
            <w:r w:rsidRPr="00BC33CC">
              <w:rPr>
                <w:rFonts w:cs="Calibri"/>
                <w:color w:val="000000"/>
                <w:szCs w:val="20"/>
              </w:rPr>
              <w:t>511</w:t>
            </w:r>
          </w:p>
        </w:tc>
        <w:tc>
          <w:tcPr>
            <w:tcW w:w="964" w:type="dxa"/>
            <w:gridSpan w:val="2"/>
            <w:tcBorders>
              <w:top w:val="nil"/>
              <w:left w:val="nil"/>
              <w:bottom w:val="nil"/>
              <w:right w:val="nil"/>
            </w:tcBorders>
          </w:tcPr>
          <w:p w14:paraId="0EC78E43"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18A955EB"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3351C6FA" w14:textId="77777777" w:rsidR="00CF0E2D" w:rsidRPr="00BC33CC" w:rsidRDefault="00CF0E2D" w:rsidP="00A60D4B">
            <w:pPr>
              <w:pStyle w:val="Btablefigureunbold"/>
              <w:rPr>
                <w:b/>
                <w:bCs/>
                <w:szCs w:val="20"/>
              </w:rPr>
            </w:pPr>
            <w:r w:rsidRPr="00BC33CC">
              <w:rPr>
                <w:rFonts w:cs="Calibri"/>
                <w:b/>
                <w:bCs/>
                <w:color w:val="000000"/>
                <w:szCs w:val="20"/>
              </w:rPr>
              <w:t>13,521</w:t>
            </w:r>
          </w:p>
        </w:tc>
      </w:tr>
      <w:tr w:rsidR="00CF0E2D" w:rsidRPr="00D60558" w14:paraId="2CA81B03" w14:textId="77777777" w:rsidTr="00A60D4B">
        <w:trPr>
          <w:gridAfter w:val="1"/>
          <w:wAfter w:w="9" w:type="dxa"/>
          <w:jc w:val="center"/>
        </w:trPr>
        <w:tc>
          <w:tcPr>
            <w:tcW w:w="3355" w:type="dxa"/>
            <w:tcBorders>
              <w:top w:val="nil"/>
              <w:left w:val="nil"/>
              <w:bottom w:val="nil"/>
              <w:right w:val="nil"/>
            </w:tcBorders>
          </w:tcPr>
          <w:p w14:paraId="5892EC5C" w14:textId="77777777" w:rsidR="00CF0E2D" w:rsidRPr="000A5F17" w:rsidRDefault="00CF0E2D" w:rsidP="00A60D4B">
            <w:pPr>
              <w:pStyle w:val="Btabletextunbold"/>
              <w:rPr>
                <w:szCs w:val="20"/>
                <w:highlight w:val="yellow"/>
              </w:rPr>
            </w:pPr>
            <w:r w:rsidRPr="00BC33CC">
              <w:rPr>
                <w:rFonts w:cs="Calibri"/>
                <w:color w:val="000000"/>
                <w:szCs w:val="20"/>
              </w:rPr>
              <w:t xml:space="preserve">– Northside hospital development  </w:t>
            </w:r>
          </w:p>
        </w:tc>
        <w:tc>
          <w:tcPr>
            <w:tcW w:w="1093" w:type="dxa"/>
            <w:tcBorders>
              <w:top w:val="nil"/>
              <w:left w:val="nil"/>
              <w:bottom w:val="nil"/>
              <w:right w:val="nil"/>
            </w:tcBorders>
          </w:tcPr>
          <w:p w14:paraId="178261A9" w14:textId="77777777" w:rsidR="00CF0E2D" w:rsidRPr="000A5F17" w:rsidRDefault="00CF0E2D" w:rsidP="00A60D4B">
            <w:pPr>
              <w:pStyle w:val="Btablefigureunbold"/>
              <w:ind w:left="0" w:firstLine="0"/>
              <w:jc w:val="left"/>
              <w:rPr>
                <w:rFonts w:cs="Calibri"/>
                <w:color w:val="000000"/>
                <w:szCs w:val="20"/>
                <w:highlight w:val="yellow"/>
              </w:rPr>
            </w:pPr>
            <w:r>
              <w:rPr>
                <w:rFonts w:cs="Calibri"/>
                <w:color w:val="000000"/>
                <w:szCs w:val="20"/>
              </w:rPr>
              <w:t>Net cost</w:t>
            </w:r>
          </w:p>
        </w:tc>
        <w:tc>
          <w:tcPr>
            <w:tcW w:w="964" w:type="dxa"/>
            <w:gridSpan w:val="2"/>
            <w:tcBorders>
              <w:top w:val="nil"/>
              <w:left w:val="nil"/>
              <w:bottom w:val="nil"/>
              <w:right w:val="nil"/>
            </w:tcBorders>
          </w:tcPr>
          <w:p w14:paraId="7FE95ADF" w14:textId="77777777" w:rsidR="00CF0E2D" w:rsidRPr="00BC33CC" w:rsidRDefault="00CF0E2D" w:rsidP="00A60D4B">
            <w:pPr>
              <w:pStyle w:val="Btablefigureunbold"/>
              <w:rPr>
                <w:szCs w:val="20"/>
                <w:highlight w:val="yellow"/>
              </w:rPr>
            </w:pPr>
            <w:r w:rsidRPr="00BC33CC">
              <w:rPr>
                <w:rFonts w:cs="Calibri"/>
                <w:color w:val="000000"/>
                <w:szCs w:val="20"/>
              </w:rPr>
              <w:t>-908</w:t>
            </w:r>
          </w:p>
        </w:tc>
        <w:tc>
          <w:tcPr>
            <w:tcW w:w="964" w:type="dxa"/>
            <w:gridSpan w:val="2"/>
            <w:tcBorders>
              <w:top w:val="nil"/>
              <w:left w:val="nil"/>
              <w:bottom w:val="nil"/>
              <w:right w:val="nil"/>
            </w:tcBorders>
          </w:tcPr>
          <w:p w14:paraId="36500BFB" w14:textId="77777777" w:rsidR="00CF0E2D" w:rsidRPr="00BC33CC" w:rsidRDefault="00CF0E2D" w:rsidP="00A60D4B">
            <w:pPr>
              <w:pStyle w:val="Btablefigureunbold"/>
              <w:rPr>
                <w:szCs w:val="20"/>
                <w:highlight w:val="yellow"/>
              </w:rPr>
            </w:pPr>
            <w:r w:rsidRPr="00BC33CC">
              <w:rPr>
                <w:rFonts w:cs="Calibri"/>
                <w:color w:val="000000"/>
                <w:szCs w:val="20"/>
              </w:rPr>
              <w:t>0</w:t>
            </w:r>
          </w:p>
        </w:tc>
        <w:tc>
          <w:tcPr>
            <w:tcW w:w="964" w:type="dxa"/>
            <w:gridSpan w:val="2"/>
            <w:tcBorders>
              <w:top w:val="nil"/>
              <w:left w:val="nil"/>
              <w:bottom w:val="nil"/>
              <w:right w:val="nil"/>
            </w:tcBorders>
          </w:tcPr>
          <w:p w14:paraId="37E87679" w14:textId="77777777" w:rsidR="00CF0E2D" w:rsidRPr="00BC33CC" w:rsidRDefault="00CF0E2D" w:rsidP="00A60D4B">
            <w:pPr>
              <w:pStyle w:val="Btablefigureunbold"/>
              <w:rPr>
                <w:szCs w:val="20"/>
                <w:highlight w:val="yellow"/>
              </w:rPr>
            </w:pPr>
            <w:r w:rsidRPr="00BC33CC">
              <w:rPr>
                <w:rFonts w:cs="Calibri"/>
                <w:color w:val="000000"/>
                <w:szCs w:val="20"/>
              </w:rPr>
              <w:t>0</w:t>
            </w:r>
          </w:p>
        </w:tc>
        <w:tc>
          <w:tcPr>
            <w:tcW w:w="964" w:type="dxa"/>
            <w:gridSpan w:val="2"/>
            <w:tcBorders>
              <w:top w:val="nil"/>
              <w:left w:val="nil"/>
              <w:bottom w:val="nil"/>
              <w:right w:val="nil"/>
            </w:tcBorders>
          </w:tcPr>
          <w:p w14:paraId="6C15D513" w14:textId="77777777" w:rsidR="00CF0E2D" w:rsidRPr="00BC33CC" w:rsidRDefault="00CF0E2D" w:rsidP="00A60D4B">
            <w:pPr>
              <w:pStyle w:val="Btablefigureunbold"/>
              <w:rPr>
                <w:szCs w:val="20"/>
                <w:highlight w:val="yellow"/>
              </w:rPr>
            </w:pPr>
            <w:r w:rsidRPr="00BC33CC">
              <w:rPr>
                <w:rFonts w:cs="Calibri"/>
                <w:color w:val="000000"/>
                <w:szCs w:val="20"/>
              </w:rPr>
              <w:t>0</w:t>
            </w:r>
          </w:p>
        </w:tc>
        <w:tc>
          <w:tcPr>
            <w:tcW w:w="954" w:type="dxa"/>
            <w:gridSpan w:val="2"/>
            <w:tcBorders>
              <w:top w:val="nil"/>
              <w:left w:val="nil"/>
              <w:bottom w:val="nil"/>
              <w:right w:val="nil"/>
            </w:tcBorders>
          </w:tcPr>
          <w:p w14:paraId="1C9C20EE" w14:textId="77777777" w:rsidR="00CF0E2D" w:rsidRPr="00BC33CC" w:rsidRDefault="00CF0E2D" w:rsidP="00A60D4B">
            <w:pPr>
              <w:pStyle w:val="Btablefigureunbold"/>
              <w:rPr>
                <w:b/>
                <w:bCs/>
                <w:szCs w:val="20"/>
                <w:highlight w:val="yellow"/>
              </w:rPr>
            </w:pPr>
            <w:r w:rsidRPr="00BC33CC">
              <w:rPr>
                <w:rFonts w:cs="Calibri"/>
                <w:b/>
                <w:bCs/>
                <w:color w:val="000000"/>
                <w:szCs w:val="20"/>
              </w:rPr>
              <w:t>-908</w:t>
            </w:r>
          </w:p>
        </w:tc>
      </w:tr>
      <w:tr w:rsidR="00CF0E2D" w:rsidRPr="00D60558" w14:paraId="3BFFACED" w14:textId="77777777" w:rsidTr="00A60D4B">
        <w:trPr>
          <w:gridAfter w:val="1"/>
          <w:wAfter w:w="9" w:type="dxa"/>
          <w:jc w:val="center"/>
        </w:trPr>
        <w:tc>
          <w:tcPr>
            <w:tcW w:w="3355" w:type="dxa"/>
            <w:tcBorders>
              <w:top w:val="nil"/>
              <w:left w:val="nil"/>
              <w:bottom w:val="nil"/>
              <w:right w:val="nil"/>
            </w:tcBorders>
          </w:tcPr>
          <w:p w14:paraId="4820FFAE" w14:textId="77777777" w:rsidR="00CF0E2D" w:rsidRPr="00D50D14" w:rsidRDefault="00CF0E2D" w:rsidP="00A60D4B">
            <w:pPr>
              <w:pStyle w:val="Btabletextunbold"/>
              <w:rPr>
                <w:rFonts w:cs="Calibri"/>
                <w:i/>
                <w:iCs/>
                <w:color w:val="000000"/>
                <w:szCs w:val="20"/>
              </w:rPr>
            </w:pPr>
            <w:r w:rsidRPr="00D50D14">
              <w:rPr>
                <w:rFonts w:cs="Calibri"/>
                <w:i/>
                <w:iCs/>
                <w:color w:val="000000"/>
                <w:szCs w:val="20"/>
              </w:rPr>
              <w:t>Improving our public health system</w:t>
            </w:r>
          </w:p>
        </w:tc>
        <w:tc>
          <w:tcPr>
            <w:tcW w:w="1093" w:type="dxa"/>
            <w:tcBorders>
              <w:top w:val="nil"/>
              <w:left w:val="nil"/>
              <w:bottom w:val="nil"/>
              <w:right w:val="nil"/>
            </w:tcBorders>
          </w:tcPr>
          <w:p w14:paraId="34FD9BE4" w14:textId="77777777" w:rsidR="00CF0E2D" w:rsidRPr="00060682"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00523FF7" w14:textId="77777777" w:rsidR="00CF0E2D" w:rsidRPr="00BC33CC" w:rsidRDefault="00CF0E2D" w:rsidP="00A60D4B">
            <w:pPr>
              <w:pStyle w:val="Btablefigureunbold"/>
              <w:rPr>
                <w:szCs w:val="20"/>
              </w:rPr>
            </w:pPr>
          </w:p>
        </w:tc>
        <w:tc>
          <w:tcPr>
            <w:tcW w:w="964" w:type="dxa"/>
            <w:gridSpan w:val="2"/>
            <w:tcBorders>
              <w:top w:val="nil"/>
              <w:left w:val="nil"/>
              <w:bottom w:val="nil"/>
              <w:right w:val="nil"/>
            </w:tcBorders>
          </w:tcPr>
          <w:p w14:paraId="6E6C9ACE" w14:textId="77777777" w:rsidR="00CF0E2D" w:rsidRPr="00BC33CC" w:rsidRDefault="00CF0E2D" w:rsidP="00A60D4B">
            <w:pPr>
              <w:pStyle w:val="Btablefigureunbold"/>
              <w:rPr>
                <w:szCs w:val="20"/>
              </w:rPr>
            </w:pPr>
          </w:p>
        </w:tc>
        <w:tc>
          <w:tcPr>
            <w:tcW w:w="964" w:type="dxa"/>
            <w:gridSpan w:val="2"/>
            <w:tcBorders>
              <w:top w:val="nil"/>
              <w:left w:val="nil"/>
              <w:bottom w:val="nil"/>
              <w:right w:val="nil"/>
            </w:tcBorders>
          </w:tcPr>
          <w:p w14:paraId="577BB3E4" w14:textId="77777777" w:rsidR="00CF0E2D" w:rsidRPr="00BC33CC" w:rsidRDefault="00CF0E2D" w:rsidP="00A60D4B">
            <w:pPr>
              <w:pStyle w:val="Btablefigureunbold"/>
              <w:rPr>
                <w:szCs w:val="20"/>
              </w:rPr>
            </w:pPr>
          </w:p>
        </w:tc>
        <w:tc>
          <w:tcPr>
            <w:tcW w:w="964" w:type="dxa"/>
            <w:gridSpan w:val="2"/>
            <w:tcBorders>
              <w:top w:val="nil"/>
              <w:left w:val="nil"/>
              <w:bottom w:val="nil"/>
              <w:right w:val="nil"/>
            </w:tcBorders>
          </w:tcPr>
          <w:p w14:paraId="3FB11F00" w14:textId="77777777" w:rsidR="00CF0E2D" w:rsidRPr="00BC33CC" w:rsidRDefault="00CF0E2D" w:rsidP="00A60D4B">
            <w:pPr>
              <w:pStyle w:val="Btablefigureunbold"/>
              <w:rPr>
                <w:szCs w:val="20"/>
              </w:rPr>
            </w:pPr>
          </w:p>
        </w:tc>
        <w:tc>
          <w:tcPr>
            <w:tcW w:w="954" w:type="dxa"/>
            <w:gridSpan w:val="2"/>
            <w:tcBorders>
              <w:top w:val="nil"/>
              <w:left w:val="nil"/>
              <w:bottom w:val="nil"/>
              <w:right w:val="nil"/>
            </w:tcBorders>
          </w:tcPr>
          <w:p w14:paraId="08FF0F6E" w14:textId="77777777" w:rsidR="00CF0E2D" w:rsidRPr="00BC33CC" w:rsidRDefault="00CF0E2D" w:rsidP="00A60D4B">
            <w:pPr>
              <w:pStyle w:val="Btablefigureunbold"/>
              <w:rPr>
                <w:b/>
                <w:bCs/>
                <w:szCs w:val="20"/>
              </w:rPr>
            </w:pPr>
          </w:p>
        </w:tc>
      </w:tr>
      <w:tr w:rsidR="00CF0E2D" w:rsidRPr="00D60558" w14:paraId="369C188F" w14:textId="77777777" w:rsidTr="00A60D4B">
        <w:trPr>
          <w:gridAfter w:val="1"/>
          <w:wAfter w:w="9" w:type="dxa"/>
          <w:jc w:val="center"/>
        </w:trPr>
        <w:tc>
          <w:tcPr>
            <w:tcW w:w="3355" w:type="dxa"/>
            <w:tcBorders>
              <w:top w:val="nil"/>
              <w:left w:val="nil"/>
              <w:bottom w:val="nil"/>
              <w:right w:val="nil"/>
            </w:tcBorders>
          </w:tcPr>
          <w:p w14:paraId="5A99E241" w14:textId="77777777" w:rsidR="00CF0E2D" w:rsidRPr="000A5F17" w:rsidRDefault="00CF0E2D" w:rsidP="00A60D4B">
            <w:pPr>
              <w:pStyle w:val="Btabletextunbold"/>
              <w:rPr>
                <w:szCs w:val="20"/>
              </w:rPr>
            </w:pPr>
            <w:r w:rsidRPr="000A5F17">
              <w:rPr>
                <w:rFonts w:cs="Calibri"/>
                <w:color w:val="000000"/>
                <w:szCs w:val="20"/>
              </w:rPr>
              <w:t>– Activity based management  </w:t>
            </w:r>
          </w:p>
        </w:tc>
        <w:tc>
          <w:tcPr>
            <w:tcW w:w="1093" w:type="dxa"/>
            <w:tcBorders>
              <w:top w:val="nil"/>
              <w:left w:val="nil"/>
              <w:bottom w:val="nil"/>
              <w:right w:val="nil"/>
            </w:tcBorders>
          </w:tcPr>
          <w:p w14:paraId="5C89AF81" w14:textId="77777777" w:rsidR="00CF0E2D" w:rsidRPr="000A5F17" w:rsidRDefault="00CF0E2D" w:rsidP="00A60D4B">
            <w:pPr>
              <w:pStyle w:val="Btablefigureunbold"/>
              <w:ind w:left="0" w:firstLine="0"/>
              <w:jc w:val="left"/>
              <w:rPr>
                <w:rFonts w:cs="Calibri"/>
                <w:color w:val="000000"/>
                <w:szCs w:val="20"/>
              </w:rPr>
            </w:pPr>
            <w:r w:rsidRPr="00060682">
              <w:rPr>
                <w:rFonts w:cs="Calibri"/>
                <w:color w:val="000000"/>
                <w:szCs w:val="20"/>
              </w:rPr>
              <w:t>Net cost</w:t>
            </w:r>
          </w:p>
        </w:tc>
        <w:tc>
          <w:tcPr>
            <w:tcW w:w="964" w:type="dxa"/>
            <w:gridSpan w:val="2"/>
            <w:tcBorders>
              <w:top w:val="nil"/>
              <w:left w:val="nil"/>
              <w:bottom w:val="nil"/>
              <w:right w:val="nil"/>
            </w:tcBorders>
          </w:tcPr>
          <w:p w14:paraId="291EC42D"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1C58C3CC"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145C2D99"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2F4DFACF"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5D9BA1D4" w14:textId="77777777" w:rsidR="00CF0E2D" w:rsidRPr="00BC33CC" w:rsidRDefault="00CF0E2D" w:rsidP="00A60D4B">
            <w:pPr>
              <w:pStyle w:val="Btablefigureunbold"/>
              <w:rPr>
                <w:b/>
                <w:bCs/>
                <w:szCs w:val="20"/>
              </w:rPr>
            </w:pPr>
            <w:r w:rsidRPr="00BC33CC">
              <w:rPr>
                <w:rFonts w:cs="Calibri"/>
                <w:b/>
                <w:bCs/>
                <w:color w:val="000000"/>
                <w:szCs w:val="20"/>
              </w:rPr>
              <w:t>0</w:t>
            </w:r>
          </w:p>
        </w:tc>
      </w:tr>
      <w:tr w:rsidR="00CF0E2D" w:rsidRPr="00D60558" w14:paraId="01E4920E" w14:textId="77777777" w:rsidTr="00A60D4B">
        <w:trPr>
          <w:gridAfter w:val="1"/>
          <w:wAfter w:w="9" w:type="dxa"/>
          <w:jc w:val="center"/>
        </w:trPr>
        <w:tc>
          <w:tcPr>
            <w:tcW w:w="3355" w:type="dxa"/>
            <w:tcBorders>
              <w:top w:val="nil"/>
              <w:left w:val="nil"/>
              <w:bottom w:val="nil"/>
              <w:right w:val="nil"/>
            </w:tcBorders>
          </w:tcPr>
          <w:p w14:paraId="1D66F7EC" w14:textId="77777777" w:rsidR="00CF0E2D" w:rsidRPr="000A5F17" w:rsidRDefault="00CF0E2D" w:rsidP="00A60D4B">
            <w:pPr>
              <w:pStyle w:val="Btabletextunbold"/>
              <w:rPr>
                <w:szCs w:val="20"/>
              </w:rPr>
            </w:pPr>
            <w:r>
              <w:rPr>
                <w:rFonts w:cs="Calibri"/>
                <w:color w:val="000000"/>
                <w:szCs w:val="20"/>
              </w:rPr>
              <w:t>–</w:t>
            </w:r>
            <w:r w:rsidRPr="000A5F17">
              <w:rPr>
                <w:rFonts w:cs="Calibri"/>
                <w:color w:val="000000"/>
                <w:szCs w:val="20"/>
              </w:rPr>
              <w:t xml:space="preserve"> Expanding acute mental health services</w:t>
            </w:r>
          </w:p>
        </w:tc>
        <w:tc>
          <w:tcPr>
            <w:tcW w:w="1093" w:type="dxa"/>
            <w:tcBorders>
              <w:top w:val="nil"/>
              <w:left w:val="nil"/>
              <w:bottom w:val="nil"/>
              <w:right w:val="nil"/>
            </w:tcBorders>
          </w:tcPr>
          <w:p w14:paraId="1241E7A3" w14:textId="77777777" w:rsidR="00CF0E2D" w:rsidRPr="000A5F17" w:rsidRDefault="00CF0E2D" w:rsidP="00A60D4B">
            <w:pPr>
              <w:pStyle w:val="Btablefigureunbold"/>
              <w:ind w:left="0" w:firstLine="0"/>
              <w:jc w:val="left"/>
              <w:rPr>
                <w:rFonts w:cs="Calibri"/>
                <w:color w:val="000000"/>
                <w:szCs w:val="20"/>
              </w:rPr>
            </w:pPr>
            <w:r w:rsidRPr="00060682">
              <w:rPr>
                <w:rFonts w:cs="Calibri"/>
                <w:color w:val="000000"/>
                <w:szCs w:val="20"/>
              </w:rPr>
              <w:t>Net cost</w:t>
            </w:r>
          </w:p>
        </w:tc>
        <w:tc>
          <w:tcPr>
            <w:tcW w:w="964" w:type="dxa"/>
            <w:gridSpan w:val="2"/>
            <w:tcBorders>
              <w:top w:val="nil"/>
              <w:left w:val="nil"/>
              <w:bottom w:val="nil"/>
              <w:right w:val="nil"/>
            </w:tcBorders>
          </w:tcPr>
          <w:p w14:paraId="056015F6"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52372541"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289D12DE"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2CE9A9D6"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1B2552C2" w14:textId="77777777" w:rsidR="00CF0E2D" w:rsidRPr="00BC33CC" w:rsidRDefault="00CF0E2D" w:rsidP="00A60D4B">
            <w:pPr>
              <w:pStyle w:val="Btablefigureunbold"/>
              <w:rPr>
                <w:b/>
                <w:bCs/>
                <w:szCs w:val="20"/>
              </w:rPr>
            </w:pPr>
            <w:r w:rsidRPr="00BC33CC">
              <w:rPr>
                <w:rFonts w:cs="Calibri"/>
                <w:b/>
                <w:bCs/>
                <w:color w:val="000000"/>
                <w:szCs w:val="20"/>
              </w:rPr>
              <w:t>0</w:t>
            </w:r>
          </w:p>
        </w:tc>
      </w:tr>
      <w:tr w:rsidR="00CF0E2D" w:rsidRPr="00D60558" w14:paraId="0CDE8B7F" w14:textId="77777777" w:rsidTr="00A60D4B">
        <w:trPr>
          <w:gridAfter w:val="1"/>
          <w:wAfter w:w="9" w:type="dxa"/>
          <w:jc w:val="center"/>
        </w:trPr>
        <w:tc>
          <w:tcPr>
            <w:tcW w:w="3355" w:type="dxa"/>
            <w:tcBorders>
              <w:top w:val="nil"/>
              <w:left w:val="nil"/>
              <w:bottom w:val="nil"/>
              <w:right w:val="nil"/>
            </w:tcBorders>
          </w:tcPr>
          <w:p w14:paraId="38C3D1B1" w14:textId="77777777" w:rsidR="00CF0E2D" w:rsidRPr="000A5F17" w:rsidRDefault="00CF0E2D" w:rsidP="00A60D4B">
            <w:pPr>
              <w:pStyle w:val="Btabletextunbold"/>
              <w:rPr>
                <w:szCs w:val="20"/>
              </w:rPr>
            </w:pPr>
            <w:r w:rsidRPr="000A5F17">
              <w:rPr>
                <w:rFonts w:cs="Calibri"/>
                <w:color w:val="000000"/>
                <w:szCs w:val="20"/>
              </w:rPr>
              <w:t xml:space="preserve">– Implementing a patient navigation service  </w:t>
            </w:r>
          </w:p>
        </w:tc>
        <w:tc>
          <w:tcPr>
            <w:tcW w:w="1093" w:type="dxa"/>
            <w:tcBorders>
              <w:top w:val="nil"/>
              <w:left w:val="nil"/>
              <w:bottom w:val="nil"/>
              <w:right w:val="nil"/>
            </w:tcBorders>
          </w:tcPr>
          <w:p w14:paraId="4B504C64" w14:textId="77777777" w:rsidR="00CF0E2D" w:rsidRPr="000A5F17" w:rsidRDefault="00CF0E2D" w:rsidP="00A60D4B">
            <w:pPr>
              <w:pStyle w:val="Btablefigureunbold"/>
              <w:ind w:left="0" w:firstLine="0"/>
              <w:jc w:val="left"/>
              <w:rPr>
                <w:rFonts w:cs="Calibri"/>
                <w:color w:val="000000"/>
                <w:szCs w:val="20"/>
              </w:rPr>
            </w:pPr>
            <w:r w:rsidRPr="00060682">
              <w:rPr>
                <w:rFonts w:cs="Calibri"/>
                <w:color w:val="000000"/>
                <w:szCs w:val="20"/>
              </w:rPr>
              <w:t>Net cost</w:t>
            </w:r>
          </w:p>
        </w:tc>
        <w:tc>
          <w:tcPr>
            <w:tcW w:w="964" w:type="dxa"/>
            <w:gridSpan w:val="2"/>
            <w:tcBorders>
              <w:top w:val="nil"/>
              <w:left w:val="nil"/>
              <w:bottom w:val="nil"/>
              <w:right w:val="nil"/>
            </w:tcBorders>
          </w:tcPr>
          <w:p w14:paraId="628F880B"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37630788"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6D24B7B5"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34A889A6"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40B5788D" w14:textId="77777777" w:rsidR="00CF0E2D" w:rsidRPr="00BC33CC" w:rsidRDefault="00CF0E2D" w:rsidP="00A60D4B">
            <w:pPr>
              <w:pStyle w:val="Btablefigureunbold"/>
              <w:rPr>
                <w:b/>
                <w:bCs/>
                <w:szCs w:val="20"/>
              </w:rPr>
            </w:pPr>
            <w:r w:rsidRPr="00BC33CC">
              <w:rPr>
                <w:rFonts w:cs="Calibri"/>
                <w:b/>
                <w:bCs/>
                <w:color w:val="000000"/>
                <w:szCs w:val="20"/>
              </w:rPr>
              <w:t>0</w:t>
            </w:r>
          </w:p>
        </w:tc>
      </w:tr>
      <w:tr w:rsidR="00CF0E2D" w:rsidRPr="00D60558" w14:paraId="344A81CC" w14:textId="77777777" w:rsidTr="00A60D4B">
        <w:trPr>
          <w:gridAfter w:val="1"/>
          <w:wAfter w:w="9" w:type="dxa"/>
          <w:jc w:val="center"/>
        </w:trPr>
        <w:tc>
          <w:tcPr>
            <w:tcW w:w="3355" w:type="dxa"/>
            <w:tcBorders>
              <w:top w:val="nil"/>
              <w:left w:val="nil"/>
              <w:bottom w:val="nil"/>
              <w:right w:val="nil"/>
            </w:tcBorders>
          </w:tcPr>
          <w:p w14:paraId="509A4B8C" w14:textId="77777777" w:rsidR="00CF0E2D" w:rsidRPr="000A5F17" w:rsidRDefault="00CF0E2D" w:rsidP="00A60D4B">
            <w:pPr>
              <w:pStyle w:val="Btabletextunbold"/>
              <w:rPr>
                <w:szCs w:val="20"/>
              </w:rPr>
            </w:pPr>
            <w:r w:rsidRPr="000A5F17">
              <w:rPr>
                <w:rFonts w:cs="Calibri"/>
                <w:color w:val="000000"/>
                <w:szCs w:val="20"/>
              </w:rPr>
              <w:t xml:space="preserve">– Introduction of nursing and midwifery ratios  </w:t>
            </w:r>
          </w:p>
        </w:tc>
        <w:tc>
          <w:tcPr>
            <w:tcW w:w="1093" w:type="dxa"/>
            <w:tcBorders>
              <w:top w:val="nil"/>
              <w:left w:val="nil"/>
              <w:bottom w:val="nil"/>
              <w:right w:val="nil"/>
            </w:tcBorders>
          </w:tcPr>
          <w:p w14:paraId="4A510D7B" w14:textId="77777777" w:rsidR="00CF0E2D" w:rsidRPr="000A5F17" w:rsidRDefault="00CF0E2D" w:rsidP="00A60D4B">
            <w:pPr>
              <w:pStyle w:val="Btablefigureunbold"/>
              <w:ind w:left="0" w:firstLine="0"/>
              <w:jc w:val="left"/>
              <w:rPr>
                <w:rFonts w:cs="Calibri"/>
                <w:color w:val="000000"/>
                <w:szCs w:val="20"/>
              </w:rPr>
            </w:pPr>
            <w:r w:rsidRPr="00060682">
              <w:rPr>
                <w:rFonts w:cs="Calibri"/>
                <w:color w:val="000000"/>
                <w:szCs w:val="20"/>
              </w:rPr>
              <w:t>Net cost</w:t>
            </w:r>
          </w:p>
        </w:tc>
        <w:tc>
          <w:tcPr>
            <w:tcW w:w="964" w:type="dxa"/>
            <w:gridSpan w:val="2"/>
            <w:tcBorders>
              <w:top w:val="nil"/>
              <w:left w:val="nil"/>
              <w:bottom w:val="nil"/>
              <w:right w:val="nil"/>
            </w:tcBorders>
          </w:tcPr>
          <w:p w14:paraId="227EF66F"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7BC0D67D"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2FF17545"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5D2C9548"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1267D45C" w14:textId="77777777" w:rsidR="00CF0E2D" w:rsidRPr="00BC33CC" w:rsidRDefault="00CF0E2D" w:rsidP="00A60D4B">
            <w:pPr>
              <w:pStyle w:val="Btablefigureunbold"/>
              <w:rPr>
                <w:b/>
                <w:bCs/>
                <w:szCs w:val="20"/>
              </w:rPr>
            </w:pPr>
            <w:r w:rsidRPr="00BC33CC">
              <w:rPr>
                <w:rFonts w:cs="Calibri"/>
                <w:b/>
                <w:bCs/>
                <w:color w:val="000000"/>
                <w:szCs w:val="20"/>
              </w:rPr>
              <w:t>0</w:t>
            </w:r>
          </w:p>
        </w:tc>
      </w:tr>
      <w:tr w:rsidR="00CF0E2D" w:rsidRPr="00D60558" w14:paraId="7BF8AAA5" w14:textId="77777777" w:rsidTr="00A60D4B">
        <w:trPr>
          <w:gridAfter w:val="1"/>
          <w:wAfter w:w="9" w:type="dxa"/>
          <w:jc w:val="center"/>
        </w:trPr>
        <w:tc>
          <w:tcPr>
            <w:tcW w:w="3355" w:type="dxa"/>
            <w:tcBorders>
              <w:top w:val="nil"/>
              <w:left w:val="nil"/>
              <w:bottom w:val="nil"/>
              <w:right w:val="nil"/>
            </w:tcBorders>
          </w:tcPr>
          <w:p w14:paraId="296247AD" w14:textId="77777777" w:rsidR="00CF0E2D" w:rsidRPr="000A5F17" w:rsidRDefault="00CF0E2D" w:rsidP="00A60D4B">
            <w:pPr>
              <w:pStyle w:val="Btabletextunbold"/>
              <w:rPr>
                <w:szCs w:val="20"/>
              </w:rPr>
            </w:pPr>
            <w:r w:rsidRPr="000A5F17">
              <w:rPr>
                <w:rFonts w:cs="Calibri"/>
                <w:color w:val="000000"/>
                <w:szCs w:val="20"/>
              </w:rPr>
              <w:t xml:space="preserve">– Reducing the impact of stroke  </w:t>
            </w:r>
          </w:p>
        </w:tc>
        <w:tc>
          <w:tcPr>
            <w:tcW w:w="1093" w:type="dxa"/>
            <w:tcBorders>
              <w:top w:val="nil"/>
              <w:left w:val="nil"/>
              <w:bottom w:val="nil"/>
              <w:right w:val="nil"/>
            </w:tcBorders>
          </w:tcPr>
          <w:p w14:paraId="3A648626" w14:textId="77777777" w:rsidR="00CF0E2D" w:rsidRPr="000A5F17" w:rsidRDefault="00CF0E2D" w:rsidP="00A60D4B">
            <w:pPr>
              <w:pStyle w:val="Btablefigureunbold"/>
              <w:ind w:left="0" w:firstLine="0"/>
              <w:jc w:val="left"/>
              <w:rPr>
                <w:rFonts w:cs="Calibri"/>
                <w:color w:val="000000"/>
                <w:szCs w:val="20"/>
              </w:rPr>
            </w:pPr>
            <w:r w:rsidRPr="00060682">
              <w:rPr>
                <w:rFonts w:cs="Calibri"/>
                <w:color w:val="000000"/>
                <w:szCs w:val="20"/>
              </w:rPr>
              <w:t>Net cost</w:t>
            </w:r>
          </w:p>
        </w:tc>
        <w:tc>
          <w:tcPr>
            <w:tcW w:w="964" w:type="dxa"/>
            <w:gridSpan w:val="2"/>
            <w:tcBorders>
              <w:top w:val="nil"/>
              <w:left w:val="nil"/>
              <w:bottom w:val="nil"/>
              <w:right w:val="nil"/>
            </w:tcBorders>
          </w:tcPr>
          <w:p w14:paraId="3D7B3287"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3A4E2CE6"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641D54CF"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544B808F"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6F8FD559" w14:textId="77777777" w:rsidR="00CF0E2D" w:rsidRPr="00BC33CC" w:rsidRDefault="00CF0E2D" w:rsidP="00A60D4B">
            <w:pPr>
              <w:pStyle w:val="Btablefigureunbold"/>
              <w:rPr>
                <w:b/>
                <w:bCs/>
                <w:szCs w:val="20"/>
              </w:rPr>
            </w:pPr>
            <w:r w:rsidRPr="00BC33CC">
              <w:rPr>
                <w:rFonts w:cs="Calibri"/>
                <w:b/>
                <w:bCs/>
                <w:color w:val="000000"/>
                <w:szCs w:val="20"/>
              </w:rPr>
              <w:t>0</w:t>
            </w:r>
          </w:p>
        </w:tc>
      </w:tr>
      <w:tr w:rsidR="00CF0E2D" w:rsidRPr="00D60558" w14:paraId="7F3F8B86" w14:textId="77777777" w:rsidTr="00A60D4B">
        <w:trPr>
          <w:gridAfter w:val="1"/>
          <w:wAfter w:w="9" w:type="dxa"/>
          <w:jc w:val="center"/>
        </w:trPr>
        <w:tc>
          <w:tcPr>
            <w:tcW w:w="3355" w:type="dxa"/>
            <w:tcBorders>
              <w:top w:val="nil"/>
              <w:left w:val="nil"/>
              <w:bottom w:val="nil"/>
              <w:right w:val="nil"/>
            </w:tcBorders>
          </w:tcPr>
          <w:p w14:paraId="0DB76AC4" w14:textId="77777777" w:rsidR="00CF0E2D" w:rsidRPr="000A5F17" w:rsidRDefault="00CF0E2D" w:rsidP="00A60D4B">
            <w:pPr>
              <w:pStyle w:val="Btabletextunbold"/>
              <w:rPr>
                <w:szCs w:val="20"/>
              </w:rPr>
            </w:pPr>
            <w:r w:rsidRPr="000A5F17">
              <w:rPr>
                <w:rFonts w:cs="Calibri"/>
                <w:color w:val="000000"/>
                <w:szCs w:val="20"/>
              </w:rPr>
              <w:t xml:space="preserve">– Winnunga Health Services for Aboriginal and Torres Strait Islander detainees at the AMC  </w:t>
            </w:r>
          </w:p>
        </w:tc>
        <w:tc>
          <w:tcPr>
            <w:tcW w:w="1093" w:type="dxa"/>
            <w:tcBorders>
              <w:top w:val="nil"/>
              <w:left w:val="nil"/>
              <w:bottom w:val="nil"/>
              <w:right w:val="nil"/>
            </w:tcBorders>
          </w:tcPr>
          <w:p w14:paraId="50878731" w14:textId="77777777" w:rsidR="00CF0E2D" w:rsidRPr="000A5F17" w:rsidRDefault="00CF0E2D" w:rsidP="00A60D4B">
            <w:pPr>
              <w:pStyle w:val="Btablefigureunbold"/>
              <w:ind w:left="0" w:firstLine="0"/>
              <w:jc w:val="left"/>
              <w:rPr>
                <w:rFonts w:cs="Calibri"/>
                <w:color w:val="000000"/>
                <w:szCs w:val="20"/>
              </w:rPr>
            </w:pPr>
            <w:r w:rsidRPr="00060682">
              <w:rPr>
                <w:rFonts w:cs="Calibri"/>
                <w:color w:val="000000"/>
                <w:szCs w:val="20"/>
              </w:rPr>
              <w:t>Net cost</w:t>
            </w:r>
          </w:p>
        </w:tc>
        <w:tc>
          <w:tcPr>
            <w:tcW w:w="964" w:type="dxa"/>
            <w:gridSpan w:val="2"/>
            <w:tcBorders>
              <w:top w:val="nil"/>
              <w:left w:val="nil"/>
              <w:bottom w:val="nil"/>
              <w:right w:val="nil"/>
            </w:tcBorders>
          </w:tcPr>
          <w:p w14:paraId="7A5A4028" w14:textId="77777777" w:rsidR="00CF0E2D" w:rsidRPr="00BC33CC" w:rsidRDefault="00CF0E2D" w:rsidP="00A60D4B">
            <w:pPr>
              <w:pStyle w:val="Btablefigureunbold"/>
              <w:rPr>
                <w:szCs w:val="20"/>
              </w:rPr>
            </w:pPr>
            <w:r w:rsidRPr="00BC33CC">
              <w:rPr>
                <w:rFonts w:cs="Calibri"/>
                <w:color w:val="000000"/>
                <w:szCs w:val="20"/>
              </w:rPr>
              <w:t>838</w:t>
            </w:r>
          </w:p>
        </w:tc>
        <w:tc>
          <w:tcPr>
            <w:tcW w:w="964" w:type="dxa"/>
            <w:gridSpan w:val="2"/>
            <w:tcBorders>
              <w:top w:val="nil"/>
              <w:left w:val="nil"/>
              <w:bottom w:val="nil"/>
              <w:right w:val="nil"/>
            </w:tcBorders>
          </w:tcPr>
          <w:p w14:paraId="735C4B2B"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36BCAE94"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7F822446"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3EB6A0B1" w14:textId="77777777" w:rsidR="00CF0E2D" w:rsidRPr="00BC33CC" w:rsidRDefault="00CF0E2D" w:rsidP="00A60D4B">
            <w:pPr>
              <w:pStyle w:val="Btablefigureunbold"/>
              <w:rPr>
                <w:b/>
                <w:bCs/>
                <w:szCs w:val="20"/>
              </w:rPr>
            </w:pPr>
            <w:r w:rsidRPr="00BC33CC">
              <w:rPr>
                <w:rFonts w:cs="Calibri"/>
                <w:b/>
                <w:bCs/>
                <w:color w:val="000000"/>
                <w:szCs w:val="20"/>
              </w:rPr>
              <w:t>838</w:t>
            </w:r>
          </w:p>
        </w:tc>
      </w:tr>
      <w:tr w:rsidR="00CF0E2D" w:rsidRPr="00D60558" w14:paraId="5EEEACA4" w14:textId="77777777" w:rsidTr="00A60D4B">
        <w:trPr>
          <w:gridAfter w:val="1"/>
          <w:wAfter w:w="9" w:type="dxa"/>
          <w:jc w:val="center"/>
        </w:trPr>
        <w:tc>
          <w:tcPr>
            <w:tcW w:w="3355" w:type="dxa"/>
            <w:tcBorders>
              <w:top w:val="nil"/>
              <w:left w:val="nil"/>
              <w:bottom w:val="nil"/>
              <w:right w:val="nil"/>
            </w:tcBorders>
          </w:tcPr>
          <w:p w14:paraId="43D8A318" w14:textId="77777777" w:rsidR="00CF0E2D" w:rsidRPr="00D50D14" w:rsidRDefault="00CF0E2D" w:rsidP="00A60D4B">
            <w:pPr>
              <w:pStyle w:val="Btabletextunbold"/>
              <w:rPr>
                <w:rFonts w:cs="Calibri"/>
                <w:i/>
                <w:iCs/>
                <w:color w:val="000000"/>
                <w:szCs w:val="20"/>
              </w:rPr>
            </w:pPr>
            <w:r w:rsidRPr="00D50D14">
              <w:rPr>
                <w:rFonts w:cs="Calibri"/>
                <w:i/>
                <w:iCs/>
                <w:color w:val="000000"/>
                <w:szCs w:val="20"/>
              </w:rPr>
              <w:t>More alcohol and other drug services</w:t>
            </w:r>
          </w:p>
        </w:tc>
        <w:tc>
          <w:tcPr>
            <w:tcW w:w="1093" w:type="dxa"/>
            <w:tcBorders>
              <w:top w:val="nil"/>
              <w:left w:val="nil"/>
              <w:bottom w:val="nil"/>
              <w:right w:val="nil"/>
            </w:tcBorders>
          </w:tcPr>
          <w:p w14:paraId="68F59CAB" w14:textId="77777777" w:rsidR="00CF0E2D" w:rsidRPr="00060682"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31883ADE" w14:textId="77777777" w:rsidR="00CF0E2D" w:rsidRPr="00BC33CC" w:rsidRDefault="00CF0E2D" w:rsidP="00A60D4B">
            <w:pPr>
              <w:pStyle w:val="Btablefigureunbold"/>
              <w:rPr>
                <w:szCs w:val="20"/>
              </w:rPr>
            </w:pPr>
          </w:p>
        </w:tc>
        <w:tc>
          <w:tcPr>
            <w:tcW w:w="964" w:type="dxa"/>
            <w:gridSpan w:val="2"/>
            <w:tcBorders>
              <w:top w:val="nil"/>
              <w:left w:val="nil"/>
              <w:bottom w:val="nil"/>
              <w:right w:val="nil"/>
            </w:tcBorders>
          </w:tcPr>
          <w:p w14:paraId="52471BF5" w14:textId="77777777" w:rsidR="00CF0E2D" w:rsidRPr="00BC33CC" w:rsidRDefault="00CF0E2D" w:rsidP="00A60D4B">
            <w:pPr>
              <w:pStyle w:val="Btablefigureunbold"/>
              <w:rPr>
                <w:szCs w:val="20"/>
              </w:rPr>
            </w:pPr>
          </w:p>
        </w:tc>
        <w:tc>
          <w:tcPr>
            <w:tcW w:w="964" w:type="dxa"/>
            <w:gridSpan w:val="2"/>
            <w:tcBorders>
              <w:top w:val="nil"/>
              <w:left w:val="nil"/>
              <w:bottom w:val="nil"/>
              <w:right w:val="nil"/>
            </w:tcBorders>
          </w:tcPr>
          <w:p w14:paraId="0D086085" w14:textId="77777777" w:rsidR="00CF0E2D" w:rsidRPr="00BC33CC" w:rsidRDefault="00CF0E2D" w:rsidP="00A60D4B">
            <w:pPr>
              <w:pStyle w:val="Btablefigureunbold"/>
              <w:rPr>
                <w:szCs w:val="20"/>
              </w:rPr>
            </w:pPr>
          </w:p>
        </w:tc>
        <w:tc>
          <w:tcPr>
            <w:tcW w:w="964" w:type="dxa"/>
            <w:gridSpan w:val="2"/>
            <w:tcBorders>
              <w:top w:val="nil"/>
              <w:left w:val="nil"/>
              <w:bottom w:val="nil"/>
              <w:right w:val="nil"/>
            </w:tcBorders>
          </w:tcPr>
          <w:p w14:paraId="156B91FB" w14:textId="77777777" w:rsidR="00CF0E2D" w:rsidRPr="00BC33CC" w:rsidRDefault="00CF0E2D" w:rsidP="00A60D4B">
            <w:pPr>
              <w:pStyle w:val="Btablefigureunbold"/>
              <w:rPr>
                <w:szCs w:val="20"/>
              </w:rPr>
            </w:pPr>
          </w:p>
        </w:tc>
        <w:tc>
          <w:tcPr>
            <w:tcW w:w="954" w:type="dxa"/>
            <w:gridSpan w:val="2"/>
            <w:tcBorders>
              <w:top w:val="nil"/>
              <w:left w:val="nil"/>
              <w:bottom w:val="nil"/>
              <w:right w:val="nil"/>
            </w:tcBorders>
          </w:tcPr>
          <w:p w14:paraId="5ACBFE7B" w14:textId="77777777" w:rsidR="00CF0E2D" w:rsidRPr="00BC33CC" w:rsidRDefault="00CF0E2D" w:rsidP="00A60D4B">
            <w:pPr>
              <w:pStyle w:val="Btablefigureunbold"/>
              <w:rPr>
                <w:b/>
                <w:bCs/>
                <w:szCs w:val="20"/>
              </w:rPr>
            </w:pPr>
          </w:p>
        </w:tc>
      </w:tr>
      <w:tr w:rsidR="00CF0E2D" w:rsidRPr="00D60558" w14:paraId="7616A1A0" w14:textId="77777777" w:rsidTr="00A60D4B">
        <w:trPr>
          <w:gridAfter w:val="1"/>
          <w:wAfter w:w="9" w:type="dxa"/>
          <w:jc w:val="center"/>
        </w:trPr>
        <w:tc>
          <w:tcPr>
            <w:tcW w:w="3355" w:type="dxa"/>
            <w:tcBorders>
              <w:top w:val="nil"/>
              <w:left w:val="nil"/>
              <w:bottom w:val="nil"/>
              <w:right w:val="nil"/>
            </w:tcBorders>
          </w:tcPr>
          <w:p w14:paraId="0562085E" w14:textId="77777777" w:rsidR="00CF0E2D" w:rsidRPr="000A5F17" w:rsidRDefault="00CF0E2D" w:rsidP="00A60D4B">
            <w:pPr>
              <w:pStyle w:val="Btabletextunbold"/>
              <w:rPr>
                <w:szCs w:val="20"/>
              </w:rPr>
            </w:pPr>
            <w:r w:rsidRPr="000A5F17">
              <w:rPr>
                <w:rFonts w:cs="Calibri"/>
                <w:color w:val="000000"/>
                <w:szCs w:val="20"/>
              </w:rPr>
              <w:t xml:space="preserve">– Fixed-site pill testing pilot  </w:t>
            </w:r>
          </w:p>
        </w:tc>
        <w:tc>
          <w:tcPr>
            <w:tcW w:w="1093" w:type="dxa"/>
            <w:tcBorders>
              <w:top w:val="nil"/>
              <w:left w:val="nil"/>
              <w:bottom w:val="nil"/>
              <w:right w:val="nil"/>
            </w:tcBorders>
          </w:tcPr>
          <w:p w14:paraId="1CE7AA22" w14:textId="77777777" w:rsidR="00CF0E2D" w:rsidRPr="000A5F17" w:rsidRDefault="00CF0E2D" w:rsidP="00A60D4B">
            <w:pPr>
              <w:pStyle w:val="Btablefigureunbold"/>
              <w:ind w:left="0" w:firstLine="0"/>
              <w:jc w:val="left"/>
              <w:rPr>
                <w:rFonts w:cs="Calibri"/>
                <w:color w:val="000000"/>
                <w:szCs w:val="20"/>
              </w:rPr>
            </w:pPr>
            <w:r w:rsidRPr="00060682">
              <w:rPr>
                <w:rFonts w:cs="Calibri"/>
                <w:color w:val="000000"/>
                <w:szCs w:val="20"/>
              </w:rPr>
              <w:t>Net cost</w:t>
            </w:r>
          </w:p>
        </w:tc>
        <w:tc>
          <w:tcPr>
            <w:tcW w:w="964" w:type="dxa"/>
            <w:gridSpan w:val="2"/>
            <w:tcBorders>
              <w:top w:val="nil"/>
              <w:left w:val="nil"/>
              <w:bottom w:val="nil"/>
              <w:right w:val="nil"/>
            </w:tcBorders>
          </w:tcPr>
          <w:p w14:paraId="7E76A5BA"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28C0C66F"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06895F87"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5F22714B"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47612D60" w14:textId="77777777" w:rsidR="00CF0E2D" w:rsidRPr="00BC33CC" w:rsidRDefault="00CF0E2D" w:rsidP="00A60D4B">
            <w:pPr>
              <w:pStyle w:val="Btablefigureunbold"/>
              <w:rPr>
                <w:b/>
                <w:bCs/>
                <w:szCs w:val="20"/>
              </w:rPr>
            </w:pPr>
            <w:r w:rsidRPr="00BC33CC">
              <w:rPr>
                <w:rFonts w:cs="Calibri"/>
                <w:b/>
                <w:bCs/>
                <w:color w:val="000000"/>
                <w:szCs w:val="20"/>
              </w:rPr>
              <w:t>0</w:t>
            </w:r>
          </w:p>
        </w:tc>
      </w:tr>
      <w:tr w:rsidR="00CF0E2D" w:rsidRPr="00D60558" w14:paraId="12FAAE66" w14:textId="77777777" w:rsidTr="00A60D4B">
        <w:trPr>
          <w:gridAfter w:val="1"/>
          <w:wAfter w:w="9" w:type="dxa"/>
          <w:jc w:val="center"/>
        </w:trPr>
        <w:tc>
          <w:tcPr>
            <w:tcW w:w="3355" w:type="dxa"/>
            <w:tcBorders>
              <w:top w:val="nil"/>
              <w:left w:val="nil"/>
              <w:bottom w:val="nil"/>
              <w:right w:val="nil"/>
            </w:tcBorders>
          </w:tcPr>
          <w:p w14:paraId="5D436A97" w14:textId="77777777" w:rsidR="00CF0E2D" w:rsidRPr="000A5F17" w:rsidRDefault="00CF0E2D" w:rsidP="00A60D4B">
            <w:pPr>
              <w:pStyle w:val="Btabletextunbold"/>
              <w:rPr>
                <w:szCs w:val="20"/>
              </w:rPr>
            </w:pPr>
            <w:r w:rsidRPr="000A5F17">
              <w:rPr>
                <w:rFonts w:cs="Calibri"/>
                <w:color w:val="000000"/>
                <w:szCs w:val="20"/>
              </w:rPr>
              <w:t xml:space="preserve">– Reducing harm from addiction and overdoses  </w:t>
            </w:r>
          </w:p>
        </w:tc>
        <w:tc>
          <w:tcPr>
            <w:tcW w:w="1093" w:type="dxa"/>
            <w:tcBorders>
              <w:top w:val="nil"/>
              <w:left w:val="nil"/>
              <w:bottom w:val="nil"/>
              <w:right w:val="nil"/>
            </w:tcBorders>
          </w:tcPr>
          <w:p w14:paraId="7E5CF93F" w14:textId="77777777" w:rsidR="00CF0E2D" w:rsidRPr="000A5F17" w:rsidRDefault="00CF0E2D" w:rsidP="00A60D4B">
            <w:pPr>
              <w:pStyle w:val="Btablefigureunbold"/>
              <w:ind w:left="0" w:firstLine="0"/>
              <w:jc w:val="left"/>
              <w:rPr>
                <w:rFonts w:cs="Calibri"/>
                <w:color w:val="000000"/>
                <w:szCs w:val="20"/>
              </w:rPr>
            </w:pPr>
            <w:r w:rsidRPr="00060682">
              <w:rPr>
                <w:rFonts w:cs="Calibri"/>
                <w:color w:val="000000"/>
                <w:szCs w:val="20"/>
              </w:rPr>
              <w:t>Net cost</w:t>
            </w:r>
          </w:p>
        </w:tc>
        <w:tc>
          <w:tcPr>
            <w:tcW w:w="964" w:type="dxa"/>
            <w:gridSpan w:val="2"/>
            <w:tcBorders>
              <w:top w:val="nil"/>
              <w:left w:val="nil"/>
              <w:bottom w:val="nil"/>
              <w:right w:val="nil"/>
            </w:tcBorders>
          </w:tcPr>
          <w:p w14:paraId="4FD2D049"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658D57A9"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7A68D1BF"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2243870C"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13A0982D" w14:textId="77777777" w:rsidR="00CF0E2D" w:rsidRPr="00BC33CC" w:rsidRDefault="00CF0E2D" w:rsidP="00A60D4B">
            <w:pPr>
              <w:pStyle w:val="Btablefigureunbold"/>
              <w:rPr>
                <w:b/>
                <w:bCs/>
                <w:szCs w:val="20"/>
              </w:rPr>
            </w:pPr>
            <w:r w:rsidRPr="00BC33CC">
              <w:rPr>
                <w:rFonts w:cs="Calibri"/>
                <w:b/>
                <w:bCs/>
                <w:color w:val="000000"/>
                <w:szCs w:val="20"/>
              </w:rPr>
              <w:t>0</w:t>
            </w:r>
          </w:p>
        </w:tc>
      </w:tr>
      <w:tr w:rsidR="00CF0E2D" w:rsidRPr="00BC33CC" w14:paraId="30BDC5AF" w14:textId="77777777" w:rsidTr="00A60D4B">
        <w:trPr>
          <w:gridAfter w:val="1"/>
          <w:wAfter w:w="9" w:type="dxa"/>
          <w:jc w:val="center"/>
        </w:trPr>
        <w:tc>
          <w:tcPr>
            <w:tcW w:w="3355" w:type="dxa"/>
            <w:tcBorders>
              <w:top w:val="nil"/>
              <w:left w:val="nil"/>
              <w:bottom w:val="nil"/>
              <w:right w:val="nil"/>
            </w:tcBorders>
          </w:tcPr>
          <w:p w14:paraId="36012D70" w14:textId="77777777" w:rsidR="00CF0E2D" w:rsidRPr="000A5F17" w:rsidRDefault="00CF0E2D" w:rsidP="00A60D4B">
            <w:pPr>
              <w:pStyle w:val="Btabletextunbold"/>
              <w:rPr>
                <w:szCs w:val="20"/>
              </w:rPr>
            </w:pPr>
            <w:r w:rsidRPr="000A5F17">
              <w:rPr>
                <w:rFonts w:cs="Calibri"/>
                <w:color w:val="000000"/>
                <w:szCs w:val="20"/>
              </w:rPr>
              <w:t xml:space="preserve">– Watson Health Precinct redevelopment  </w:t>
            </w:r>
          </w:p>
        </w:tc>
        <w:tc>
          <w:tcPr>
            <w:tcW w:w="1093" w:type="dxa"/>
            <w:tcBorders>
              <w:top w:val="nil"/>
              <w:left w:val="nil"/>
              <w:bottom w:val="nil"/>
              <w:right w:val="nil"/>
            </w:tcBorders>
          </w:tcPr>
          <w:p w14:paraId="6638E5DF" w14:textId="77777777" w:rsidR="00CF0E2D" w:rsidRPr="000A5F17" w:rsidRDefault="00CF0E2D" w:rsidP="00A60D4B">
            <w:pPr>
              <w:pStyle w:val="Btablefigureunbold"/>
              <w:ind w:left="0" w:firstLine="0"/>
              <w:jc w:val="left"/>
              <w:rPr>
                <w:rFonts w:cs="Calibri"/>
                <w:color w:val="000000"/>
                <w:szCs w:val="20"/>
              </w:rPr>
            </w:pPr>
            <w:r>
              <w:rPr>
                <w:rFonts w:cs="Calibri"/>
                <w:color w:val="000000"/>
                <w:szCs w:val="20"/>
              </w:rPr>
              <w:t xml:space="preserve">Net capital </w:t>
            </w:r>
          </w:p>
        </w:tc>
        <w:tc>
          <w:tcPr>
            <w:tcW w:w="964" w:type="dxa"/>
            <w:gridSpan w:val="2"/>
            <w:tcBorders>
              <w:top w:val="nil"/>
              <w:left w:val="nil"/>
              <w:bottom w:val="nil"/>
              <w:right w:val="nil"/>
            </w:tcBorders>
          </w:tcPr>
          <w:p w14:paraId="2FD78117"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79802A77"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44EA12A3"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62D9D759"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5A274CE5" w14:textId="77777777" w:rsidR="00CF0E2D" w:rsidRPr="00BC33CC" w:rsidRDefault="00CF0E2D" w:rsidP="00A60D4B">
            <w:pPr>
              <w:pStyle w:val="Btablefigureunbold"/>
              <w:rPr>
                <w:b/>
                <w:bCs/>
                <w:szCs w:val="20"/>
              </w:rPr>
            </w:pPr>
            <w:r w:rsidRPr="00BC33CC">
              <w:rPr>
                <w:rFonts w:cs="Calibri"/>
                <w:b/>
                <w:bCs/>
                <w:color w:val="000000"/>
                <w:szCs w:val="20"/>
              </w:rPr>
              <w:t>0</w:t>
            </w:r>
          </w:p>
        </w:tc>
      </w:tr>
      <w:tr w:rsidR="00CF0E2D" w:rsidRPr="00D60558" w14:paraId="5F404BE5" w14:textId="77777777" w:rsidTr="00A60D4B">
        <w:trPr>
          <w:gridAfter w:val="1"/>
          <w:wAfter w:w="9" w:type="dxa"/>
          <w:jc w:val="center"/>
        </w:trPr>
        <w:tc>
          <w:tcPr>
            <w:tcW w:w="3355" w:type="dxa"/>
            <w:tcBorders>
              <w:top w:val="nil"/>
              <w:left w:val="nil"/>
              <w:bottom w:val="nil"/>
              <w:right w:val="nil"/>
            </w:tcBorders>
          </w:tcPr>
          <w:p w14:paraId="7B5591E7" w14:textId="77777777" w:rsidR="00CF0E2D" w:rsidRPr="000A5F17" w:rsidRDefault="00CF0E2D" w:rsidP="00A60D4B">
            <w:pPr>
              <w:pStyle w:val="Btabletextunbold"/>
              <w:rPr>
                <w:szCs w:val="20"/>
              </w:rPr>
            </w:pPr>
            <w:r w:rsidRPr="000A5F17">
              <w:rPr>
                <w:rFonts w:cs="Calibri"/>
                <w:color w:val="000000"/>
                <w:szCs w:val="20"/>
              </w:rPr>
              <w:t xml:space="preserve">– Watson Health Precinct redevelopment  </w:t>
            </w:r>
          </w:p>
        </w:tc>
        <w:tc>
          <w:tcPr>
            <w:tcW w:w="1093" w:type="dxa"/>
            <w:tcBorders>
              <w:top w:val="nil"/>
              <w:left w:val="nil"/>
              <w:bottom w:val="nil"/>
              <w:right w:val="nil"/>
            </w:tcBorders>
          </w:tcPr>
          <w:p w14:paraId="1CCB4820" w14:textId="77777777" w:rsidR="00CF0E2D" w:rsidRPr="000A5F17" w:rsidRDefault="00CF0E2D" w:rsidP="00A60D4B">
            <w:pPr>
              <w:pStyle w:val="Btablefigureunbold"/>
              <w:ind w:left="0" w:firstLine="0"/>
              <w:jc w:val="left"/>
              <w:rPr>
                <w:rFonts w:cs="Calibri"/>
                <w:color w:val="000000"/>
                <w:szCs w:val="20"/>
              </w:rPr>
            </w:pPr>
            <w:r w:rsidRPr="00060682">
              <w:rPr>
                <w:rFonts w:cs="Calibri"/>
                <w:color w:val="000000"/>
                <w:szCs w:val="20"/>
              </w:rPr>
              <w:t>Net cost</w:t>
            </w:r>
          </w:p>
        </w:tc>
        <w:tc>
          <w:tcPr>
            <w:tcW w:w="964" w:type="dxa"/>
            <w:gridSpan w:val="2"/>
            <w:tcBorders>
              <w:top w:val="nil"/>
              <w:left w:val="nil"/>
              <w:bottom w:val="nil"/>
              <w:right w:val="nil"/>
            </w:tcBorders>
          </w:tcPr>
          <w:p w14:paraId="3D9ABB2F" w14:textId="77777777" w:rsidR="00CF0E2D" w:rsidRPr="00BC33CC" w:rsidRDefault="00CF0E2D" w:rsidP="00A60D4B">
            <w:pPr>
              <w:pStyle w:val="Btablefigureunbold"/>
              <w:rPr>
                <w:szCs w:val="20"/>
              </w:rPr>
            </w:pPr>
            <w:r w:rsidRPr="00BC33CC">
              <w:rPr>
                <w:rFonts w:cs="Calibri"/>
                <w:color w:val="000000"/>
                <w:szCs w:val="20"/>
              </w:rPr>
              <w:t>300</w:t>
            </w:r>
          </w:p>
        </w:tc>
        <w:tc>
          <w:tcPr>
            <w:tcW w:w="964" w:type="dxa"/>
            <w:gridSpan w:val="2"/>
            <w:tcBorders>
              <w:top w:val="nil"/>
              <w:left w:val="nil"/>
              <w:bottom w:val="nil"/>
              <w:right w:val="nil"/>
            </w:tcBorders>
          </w:tcPr>
          <w:p w14:paraId="740BBF74"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01BCCCFD" w14:textId="77777777" w:rsidR="00CF0E2D" w:rsidRPr="00BC33CC" w:rsidRDefault="00CF0E2D" w:rsidP="00A60D4B">
            <w:pPr>
              <w:pStyle w:val="Btablefigureunbold"/>
              <w:rPr>
                <w:szCs w:val="20"/>
              </w:rPr>
            </w:pPr>
            <w:r w:rsidRPr="00BC33CC">
              <w:rPr>
                <w:rFonts w:cs="Calibri"/>
                <w:color w:val="000000"/>
                <w:szCs w:val="20"/>
              </w:rPr>
              <w:t>0</w:t>
            </w:r>
          </w:p>
        </w:tc>
        <w:tc>
          <w:tcPr>
            <w:tcW w:w="964" w:type="dxa"/>
            <w:gridSpan w:val="2"/>
            <w:tcBorders>
              <w:top w:val="nil"/>
              <w:left w:val="nil"/>
              <w:bottom w:val="nil"/>
              <w:right w:val="nil"/>
            </w:tcBorders>
          </w:tcPr>
          <w:p w14:paraId="4310C586"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757687AF" w14:textId="77777777" w:rsidR="00CF0E2D" w:rsidRPr="00BC33CC" w:rsidRDefault="00CF0E2D" w:rsidP="00A60D4B">
            <w:pPr>
              <w:pStyle w:val="Btablefigureunbold"/>
              <w:rPr>
                <w:b/>
                <w:bCs/>
                <w:szCs w:val="20"/>
              </w:rPr>
            </w:pPr>
            <w:r w:rsidRPr="00BC33CC">
              <w:rPr>
                <w:rFonts w:cs="Calibri"/>
                <w:b/>
                <w:bCs/>
                <w:color w:val="000000"/>
                <w:szCs w:val="20"/>
              </w:rPr>
              <w:t>300</w:t>
            </w:r>
          </w:p>
        </w:tc>
      </w:tr>
      <w:tr w:rsidR="00CF0E2D" w:rsidRPr="00D60558" w14:paraId="1ACED5ED" w14:textId="77777777" w:rsidTr="00465757">
        <w:trPr>
          <w:gridAfter w:val="1"/>
          <w:wAfter w:w="9" w:type="dxa"/>
          <w:trHeight w:val="340"/>
          <w:jc w:val="center"/>
        </w:trPr>
        <w:tc>
          <w:tcPr>
            <w:tcW w:w="3355" w:type="dxa"/>
            <w:tcBorders>
              <w:top w:val="nil"/>
              <w:left w:val="nil"/>
              <w:bottom w:val="nil"/>
              <w:right w:val="nil"/>
            </w:tcBorders>
            <w:vAlign w:val="bottom"/>
          </w:tcPr>
          <w:p w14:paraId="143856BF" w14:textId="77777777" w:rsidR="00CF0E2D" w:rsidRPr="000A5F17" w:rsidRDefault="00CF0E2D" w:rsidP="00A60D4B">
            <w:pPr>
              <w:pStyle w:val="Btabletextunbold"/>
              <w:rPr>
                <w:b/>
                <w:bCs/>
                <w:szCs w:val="20"/>
              </w:rPr>
            </w:pPr>
            <w:r>
              <w:rPr>
                <w:b/>
                <w:bCs/>
                <w:szCs w:val="20"/>
              </w:rPr>
              <w:t>Housing ACT</w:t>
            </w:r>
          </w:p>
        </w:tc>
        <w:tc>
          <w:tcPr>
            <w:tcW w:w="1093" w:type="dxa"/>
            <w:tcBorders>
              <w:top w:val="nil"/>
              <w:left w:val="nil"/>
              <w:bottom w:val="nil"/>
              <w:right w:val="nil"/>
            </w:tcBorders>
          </w:tcPr>
          <w:p w14:paraId="50649C8D" w14:textId="77777777" w:rsidR="00CF0E2D" w:rsidRPr="00D60558"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3ED6ABC8"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4C88FA56"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3DF8978C"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04DABBB1" w14:textId="77777777" w:rsidR="00CF0E2D" w:rsidRPr="00D60558" w:rsidRDefault="00CF0E2D" w:rsidP="00A60D4B">
            <w:pPr>
              <w:pStyle w:val="Btablefigureunbold"/>
              <w:rPr>
                <w:szCs w:val="20"/>
              </w:rPr>
            </w:pPr>
          </w:p>
        </w:tc>
        <w:tc>
          <w:tcPr>
            <w:tcW w:w="954" w:type="dxa"/>
            <w:gridSpan w:val="2"/>
            <w:tcBorders>
              <w:top w:val="nil"/>
              <w:left w:val="nil"/>
              <w:bottom w:val="nil"/>
              <w:right w:val="nil"/>
            </w:tcBorders>
          </w:tcPr>
          <w:p w14:paraId="565F2302" w14:textId="77777777" w:rsidR="00CF0E2D" w:rsidRPr="00D60558" w:rsidRDefault="00CF0E2D" w:rsidP="00A60D4B">
            <w:pPr>
              <w:pStyle w:val="Btablefigureunbold"/>
              <w:rPr>
                <w:b/>
                <w:bCs/>
                <w:szCs w:val="20"/>
              </w:rPr>
            </w:pPr>
          </w:p>
        </w:tc>
      </w:tr>
      <w:tr w:rsidR="00CF0E2D" w:rsidRPr="00D60558" w14:paraId="367BE563" w14:textId="77777777" w:rsidTr="00A60D4B">
        <w:trPr>
          <w:gridAfter w:val="1"/>
          <w:wAfter w:w="9" w:type="dxa"/>
          <w:jc w:val="center"/>
        </w:trPr>
        <w:tc>
          <w:tcPr>
            <w:tcW w:w="3355" w:type="dxa"/>
            <w:tcBorders>
              <w:top w:val="nil"/>
              <w:left w:val="nil"/>
              <w:bottom w:val="nil"/>
              <w:right w:val="nil"/>
            </w:tcBorders>
          </w:tcPr>
          <w:p w14:paraId="0BF1A28B" w14:textId="77777777" w:rsidR="00CF0E2D" w:rsidRPr="00C667F9" w:rsidRDefault="00CF0E2D" w:rsidP="00A60D4B">
            <w:pPr>
              <w:pStyle w:val="Btabletextunbold"/>
              <w:rPr>
                <w:szCs w:val="20"/>
              </w:rPr>
            </w:pPr>
            <w:r w:rsidRPr="00C667F9">
              <w:rPr>
                <w:rFonts w:cs="Calibri"/>
                <w:color w:val="000000"/>
                <w:szCs w:val="20"/>
              </w:rPr>
              <w:t>Expanding specialist homelessness service capacity</w:t>
            </w:r>
          </w:p>
        </w:tc>
        <w:tc>
          <w:tcPr>
            <w:tcW w:w="1093" w:type="dxa"/>
            <w:tcBorders>
              <w:top w:val="nil"/>
              <w:left w:val="nil"/>
              <w:bottom w:val="nil"/>
              <w:right w:val="nil"/>
            </w:tcBorders>
          </w:tcPr>
          <w:p w14:paraId="4FF55FE0"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136BE2C1" w14:textId="77777777" w:rsidR="00CF0E2D" w:rsidRPr="00BC33CC" w:rsidRDefault="00CF0E2D" w:rsidP="00A60D4B">
            <w:pPr>
              <w:pStyle w:val="Btablefigureunbold"/>
              <w:rPr>
                <w:szCs w:val="20"/>
              </w:rPr>
            </w:pPr>
            <w:r w:rsidRPr="00BC33CC">
              <w:rPr>
                <w:rFonts w:cs="Calibri"/>
                <w:color w:val="000000"/>
                <w:szCs w:val="20"/>
              </w:rPr>
              <w:t>3,467</w:t>
            </w:r>
          </w:p>
        </w:tc>
        <w:tc>
          <w:tcPr>
            <w:tcW w:w="964" w:type="dxa"/>
            <w:gridSpan w:val="2"/>
            <w:tcBorders>
              <w:top w:val="nil"/>
              <w:left w:val="nil"/>
              <w:bottom w:val="nil"/>
              <w:right w:val="nil"/>
            </w:tcBorders>
          </w:tcPr>
          <w:p w14:paraId="2CE6B971" w14:textId="77777777" w:rsidR="00CF0E2D" w:rsidRPr="00BC33CC" w:rsidRDefault="00CF0E2D" w:rsidP="00A60D4B">
            <w:pPr>
              <w:pStyle w:val="Btablefigureunbold"/>
              <w:rPr>
                <w:szCs w:val="20"/>
              </w:rPr>
            </w:pPr>
            <w:r w:rsidRPr="00BC33CC">
              <w:rPr>
                <w:rFonts w:cs="Calibri"/>
                <w:color w:val="000000"/>
                <w:szCs w:val="20"/>
              </w:rPr>
              <w:t>4,865</w:t>
            </w:r>
          </w:p>
        </w:tc>
        <w:tc>
          <w:tcPr>
            <w:tcW w:w="964" w:type="dxa"/>
            <w:gridSpan w:val="2"/>
            <w:tcBorders>
              <w:top w:val="nil"/>
              <w:left w:val="nil"/>
              <w:bottom w:val="nil"/>
              <w:right w:val="nil"/>
            </w:tcBorders>
          </w:tcPr>
          <w:p w14:paraId="2A64E7CA" w14:textId="77777777" w:rsidR="00CF0E2D" w:rsidRPr="00BC33CC" w:rsidRDefault="00CF0E2D" w:rsidP="00A60D4B">
            <w:pPr>
              <w:pStyle w:val="Btablefigureunbold"/>
              <w:rPr>
                <w:szCs w:val="20"/>
              </w:rPr>
            </w:pPr>
            <w:r w:rsidRPr="00BC33CC">
              <w:rPr>
                <w:rFonts w:cs="Calibri"/>
                <w:color w:val="000000"/>
                <w:szCs w:val="20"/>
              </w:rPr>
              <w:t>298</w:t>
            </w:r>
          </w:p>
        </w:tc>
        <w:tc>
          <w:tcPr>
            <w:tcW w:w="964" w:type="dxa"/>
            <w:gridSpan w:val="2"/>
            <w:tcBorders>
              <w:top w:val="nil"/>
              <w:left w:val="nil"/>
              <w:bottom w:val="nil"/>
              <w:right w:val="nil"/>
            </w:tcBorders>
          </w:tcPr>
          <w:p w14:paraId="7C1CEBA6"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7C893324" w14:textId="77777777" w:rsidR="00CF0E2D" w:rsidRPr="00BC33CC" w:rsidRDefault="00CF0E2D" w:rsidP="00A60D4B">
            <w:pPr>
              <w:pStyle w:val="Btablefigureunbold"/>
              <w:rPr>
                <w:b/>
                <w:bCs/>
                <w:szCs w:val="20"/>
              </w:rPr>
            </w:pPr>
            <w:r w:rsidRPr="00BC33CC">
              <w:rPr>
                <w:rFonts w:cs="Calibri"/>
                <w:b/>
                <w:bCs/>
                <w:color w:val="000000"/>
                <w:szCs w:val="20"/>
              </w:rPr>
              <w:t>8,630</w:t>
            </w:r>
          </w:p>
        </w:tc>
      </w:tr>
      <w:tr w:rsidR="00CF0E2D" w:rsidRPr="00D60558" w14:paraId="280C353B" w14:textId="77777777" w:rsidTr="00A60D4B">
        <w:trPr>
          <w:gridAfter w:val="1"/>
          <w:wAfter w:w="9" w:type="dxa"/>
          <w:jc w:val="center"/>
        </w:trPr>
        <w:tc>
          <w:tcPr>
            <w:tcW w:w="3355" w:type="dxa"/>
            <w:tcBorders>
              <w:top w:val="nil"/>
              <w:left w:val="nil"/>
              <w:bottom w:val="nil"/>
              <w:right w:val="nil"/>
            </w:tcBorders>
          </w:tcPr>
          <w:p w14:paraId="4A1BE3CD" w14:textId="77777777" w:rsidR="00CF0E2D" w:rsidRPr="00D50D14" w:rsidRDefault="00CF0E2D" w:rsidP="00A60D4B">
            <w:pPr>
              <w:pStyle w:val="Btabletextunbold"/>
              <w:rPr>
                <w:rFonts w:cs="Calibri"/>
                <w:i/>
                <w:iCs/>
                <w:color w:val="000000"/>
                <w:szCs w:val="20"/>
              </w:rPr>
            </w:pPr>
            <w:r w:rsidRPr="00D50D14">
              <w:rPr>
                <w:rFonts w:cs="Calibri"/>
                <w:i/>
                <w:iCs/>
                <w:color w:val="000000"/>
                <w:szCs w:val="20"/>
              </w:rPr>
              <w:t>Growing and renewing public housing</w:t>
            </w:r>
          </w:p>
        </w:tc>
        <w:tc>
          <w:tcPr>
            <w:tcW w:w="1093" w:type="dxa"/>
            <w:tcBorders>
              <w:top w:val="nil"/>
              <w:left w:val="nil"/>
              <w:bottom w:val="nil"/>
              <w:right w:val="nil"/>
            </w:tcBorders>
          </w:tcPr>
          <w:p w14:paraId="2AFF0B56" w14:textId="77777777" w:rsidR="00CF0E2D"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1562B03F" w14:textId="77777777" w:rsidR="00CF0E2D" w:rsidRPr="00BC33CC" w:rsidRDefault="00CF0E2D" w:rsidP="00A60D4B">
            <w:pPr>
              <w:pStyle w:val="Btablefigureunbold"/>
              <w:rPr>
                <w:szCs w:val="20"/>
              </w:rPr>
            </w:pPr>
          </w:p>
        </w:tc>
        <w:tc>
          <w:tcPr>
            <w:tcW w:w="964" w:type="dxa"/>
            <w:gridSpan w:val="2"/>
            <w:tcBorders>
              <w:top w:val="nil"/>
              <w:left w:val="nil"/>
              <w:bottom w:val="nil"/>
              <w:right w:val="nil"/>
            </w:tcBorders>
          </w:tcPr>
          <w:p w14:paraId="061017BD" w14:textId="77777777" w:rsidR="00CF0E2D" w:rsidRPr="00BC33CC" w:rsidRDefault="00CF0E2D" w:rsidP="00A60D4B">
            <w:pPr>
              <w:pStyle w:val="Btablefigureunbold"/>
              <w:rPr>
                <w:szCs w:val="20"/>
              </w:rPr>
            </w:pPr>
          </w:p>
        </w:tc>
        <w:tc>
          <w:tcPr>
            <w:tcW w:w="964" w:type="dxa"/>
            <w:gridSpan w:val="2"/>
            <w:tcBorders>
              <w:top w:val="nil"/>
              <w:left w:val="nil"/>
              <w:bottom w:val="nil"/>
              <w:right w:val="nil"/>
            </w:tcBorders>
          </w:tcPr>
          <w:p w14:paraId="326B5FA3" w14:textId="77777777" w:rsidR="00CF0E2D" w:rsidRPr="00BC33CC" w:rsidRDefault="00CF0E2D" w:rsidP="00A60D4B">
            <w:pPr>
              <w:pStyle w:val="Btablefigureunbold"/>
              <w:rPr>
                <w:szCs w:val="20"/>
              </w:rPr>
            </w:pPr>
          </w:p>
        </w:tc>
        <w:tc>
          <w:tcPr>
            <w:tcW w:w="964" w:type="dxa"/>
            <w:gridSpan w:val="2"/>
            <w:tcBorders>
              <w:top w:val="nil"/>
              <w:left w:val="nil"/>
              <w:bottom w:val="nil"/>
              <w:right w:val="nil"/>
            </w:tcBorders>
          </w:tcPr>
          <w:p w14:paraId="5C40CFF9" w14:textId="77777777" w:rsidR="00CF0E2D" w:rsidRPr="00BC33CC" w:rsidRDefault="00CF0E2D" w:rsidP="00A60D4B">
            <w:pPr>
              <w:pStyle w:val="Btablefigureunbold"/>
              <w:rPr>
                <w:szCs w:val="20"/>
              </w:rPr>
            </w:pPr>
          </w:p>
        </w:tc>
        <w:tc>
          <w:tcPr>
            <w:tcW w:w="954" w:type="dxa"/>
            <w:gridSpan w:val="2"/>
            <w:tcBorders>
              <w:top w:val="nil"/>
              <w:left w:val="nil"/>
              <w:bottom w:val="nil"/>
              <w:right w:val="nil"/>
            </w:tcBorders>
          </w:tcPr>
          <w:p w14:paraId="3D77628B" w14:textId="77777777" w:rsidR="00CF0E2D" w:rsidRPr="00BC33CC" w:rsidRDefault="00CF0E2D" w:rsidP="00A60D4B">
            <w:pPr>
              <w:pStyle w:val="Btablefigureunbold"/>
              <w:rPr>
                <w:b/>
                <w:bCs/>
                <w:szCs w:val="20"/>
              </w:rPr>
            </w:pPr>
          </w:p>
        </w:tc>
      </w:tr>
      <w:tr w:rsidR="00CF0E2D" w:rsidRPr="00D60558" w14:paraId="453CDBC4" w14:textId="77777777" w:rsidTr="00A60D4B">
        <w:trPr>
          <w:gridAfter w:val="1"/>
          <w:wAfter w:w="9" w:type="dxa"/>
          <w:jc w:val="center"/>
        </w:trPr>
        <w:tc>
          <w:tcPr>
            <w:tcW w:w="3355" w:type="dxa"/>
            <w:tcBorders>
              <w:top w:val="nil"/>
              <w:left w:val="nil"/>
              <w:bottom w:val="nil"/>
              <w:right w:val="nil"/>
            </w:tcBorders>
          </w:tcPr>
          <w:p w14:paraId="7762DDE4" w14:textId="77777777" w:rsidR="00CF0E2D" w:rsidRPr="00C667F9" w:rsidRDefault="00CF0E2D" w:rsidP="00A60D4B">
            <w:pPr>
              <w:pStyle w:val="Btabletextunbold"/>
              <w:rPr>
                <w:szCs w:val="20"/>
              </w:rPr>
            </w:pPr>
            <w:r>
              <w:rPr>
                <w:rFonts w:cs="Calibri"/>
                <w:color w:val="000000"/>
                <w:szCs w:val="20"/>
              </w:rPr>
              <w:t>–</w:t>
            </w:r>
            <w:r w:rsidRPr="00C667F9">
              <w:rPr>
                <w:rFonts w:cs="Calibri"/>
                <w:color w:val="000000"/>
                <w:szCs w:val="20"/>
              </w:rPr>
              <w:t xml:space="preserve"> Securing high quality public housing</w:t>
            </w:r>
          </w:p>
        </w:tc>
        <w:tc>
          <w:tcPr>
            <w:tcW w:w="1093" w:type="dxa"/>
            <w:tcBorders>
              <w:top w:val="nil"/>
              <w:left w:val="nil"/>
              <w:bottom w:val="nil"/>
              <w:right w:val="nil"/>
            </w:tcBorders>
          </w:tcPr>
          <w:p w14:paraId="26E75C48"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14CBF1BA" w14:textId="77777777" w:rsidR="00CF0E2D" w:rsidRPr="00BC33CC" w:rsidRDefault="00CF0E2D" w:rsidP="00A60D4B">
            <w:pPr>
              <w:pStyle w:val="Btablefigureunbold"/>
              <w:rPr>
                <w:szCs w:val="20"/>
              </w:rPr>
            </w:pPr>
            <w:r w:rsidRPr="00BC33CC">
              <w:rPr>
                <w:rFonts w:cs="Calibri"/>
                <w:color w:val="000000"/>
                <w:szCs w:val="20"/>
              </w:rPr>
              <w:t>40,000</w:t>
            </w:r>
          </w:p>
        </w:tc>
        <w:tc>
          <w:tcPr>
            <w:tcW w:w="964" w:type="dxa"/>
            <w:gridSpan w:val="2"/>
            <w:tcBorders>
              <w:top w:val="nil"/>
              <w:left w:val="nil"/>
              <w:bottom w:val="nil"/>
              <w:right w:val="nil"/>
            </w:tcBorders>
          </w:tcPr>
          <w:p w14:paraId="6F052F8E" w14:textId="77777777" w:rsidR="00CF0E2D" w:rsidRPr="00BC33CC" w:rsidRDefault="00CF0E2D" w:rsidP="00A60D4B">
            <w:pPr>
              <w:pStyle w:val="Btablefigureunbold"/>
              <w:rPr>
                <w:szCs w:val="20"/>
              </w:rPr>
            </w:pPr>
            <w:r w:rsidRPr="00BC33CC">
              <w:rPr>
                <w:rFonts w:cs="Calibri"/>
                <w:color w:val="000000"/>
                <w:szCs w:val="20"/>
              </w:rPr>
              <w:t>20,000</w:t>
            </w:r>
          </w:p>
        </w:tc>
        <w:tc>
          <w:tcPr>
            <w:tcW w:w="964" w:type="dxa"/>
            <w:gridSpan w:val="2"/>
            <w:tcBorders>
              <w:top w:val="nil"/>
              <w:left w:val="nil"/>
              <w:bottom w:val="nil"/>
              <w:right w:val="nil"/>
            </w:tcBorders>
          </w:tcPr>
          <w:p w14:paraId="34FE4343" w14:textId="77777777" w:rsidR="00CF0E2D" w:rsidRPr="00BC33CC" w:rsidRDefault="00CF0E2D" w:rsidP="00A60D4B">
            <w:pPr>
              <w:pStyle w:val="Btablefigureunbold"/>
              <w:rPr>
                <w:szCs w:val="20"/>
              </w:rPr>
            </w:pPr>
            <w:r w:rsidRPr="00BC33CC">
              <w:rPr>
                <w:rFonts w:cs="Calibri"/>
                <w:color w:val="000000"/>
                <w:szCs w:val="20"/>
              </w:rPr>
              <w:t>20,000</w:t>
            </w:r>
          </w:p>
        </w:tc>
        <w:tc>
          <w:tcPr>
            <w:tcW w:w="964" w:type="dxa"/>
            <w:gridSpan w:val="2"/>
            <w:tcBorders>
              <w:top w:val="nil"/>
              <w:left w:val="nil"/>
              <w:bottom w:val="nil"/>
              <w:right w:val="nil"/>
            </w:tcBorders>
          </w:tcPr>
          <w:p w14:paraId="196731BE" w14:textId="77777777" w:rsidR="00CF0E2D" w:rsidRPr="00BC33CC" w:rsidRDefault="00CF0E2D" w:rsidP="00A60D4B">
            <w:pPr>
              <w:pStyle w:val="Btablefigureunbold"/>
              <w:rPr>
                <w:szCs w:val="20"/>
              </w:rPr>
            </w:pPr>
            <w:r w:rsidRPr="00BC33CC">
              <w:rPr>
                <w:rFonts w:cs="Calibri"/>
                <w:color w:val="000000"/>
                <w:szCs w:val="20"/>
              </w:rPr>
              <w:t>0</w:t>
            </w:r>
          </w:p>
        </w:tc>
        <w:tc>
          <w:tcPr>
            <w:tcW w:w="954" w:type="dxa"/>
            <w:gridSpan w:val="2"/>
            <w:tcBorders>
              <w:top w:val="nil"/>
              <w:left w:val="nil"/>
              <w:bottom w:val="nil"/>
              <w:right w:val="nil"/>
            </w:tcBorders>
          </w:tcPr>
          <w:p w14:paraId="26EBF5AE" w14:textId="77777777" w:rsidR="00CF0E2D" w:rsidRPr="00BC33CC" w:rsidRDefault="00CF0E2D" w:rsidP="00A60D4B">
            <w:pPr>
              <w:pStyle w:val="Btablefigureunbold"/>
              <w:rPr>
                <w:b/>
                <w:bCs/>
                <w:szCs w:val="20"/>
              </w:rPr>
            </w:pPr>
            <w:r w:rsidRPr="00BC33CC">
              <w:rPr>
                <w:rFonts w:cs="Calibri"/>
                <w:b/>
                <w:bCs/>
                <w:color w:val="000000"/>
                <w:szCs w:val="20"/>
              </w:rPr>
              <w:t>80,000</w:t>
            </w:r>
          </w:p>
        </w:tc>
      </w:tr>
      <w:tr w:rsidR="00CF0E2D" w:rsidRPr="00D60558" w14:paraId="027DBC23" w14:textId="77777777" w:rsidTr="00A60D4B">
        <w:trPr>
          <w:gridAfter w:val="1"/>
          <w:wAfter w:w="9" w:type="dxa"/>
          <w:jc w:val="center"/>
        </w:trPr>
        <w:tc>
          <w:tcPr>
            <w:tcW w:w="3355" w:type="dxa"/>
            <w:tcBorders>
              <w:top w:val="nil"/>
              <w:left w:val="nil"/>
              <w:bottom w:val="nil"/>
              <w:right w:val="nil"/>
            </w:tcBorders>
          </w:tcPr>
          <w:p w14:paraId="4AC7D9F3" w14:textId="77777777" w:rsidR="00CF0E2D" w:rsidRPr="00C667F9" w:rsidRDefault="00CF0E2D" w:rsidP="00A60D4B">
            <w:pPr>
              <w:pStyle w:val="Btabletextunbold"/>
              <w:rPr>
                <w:szCs w:val="20"/>
              </w:rPr>
            </w:pPr>
            <w:r>
              <w:rPr>
                <w:rFonts w:cs="Calibri"/>
                <w:color w:val="000000"/>
                <w:szCs w:val="20"/>
              </w:rPr>
              <w:t>–</w:t>
            </w:r>
            <w:r w:rsidRPr="00C667F9">
              <w:rPr>
                <w:rFonts w:cs="Calibri"/>
                <w:color w:val="000000"/>
                <w:szCs w:val="20"/>
              </w:rPr>
              <w:t xml:space="preserve"> Year three of the Growth and Renewal Program</w:t>
            </w:r>
          </w:p>
        </w:tc>
        <w:tc>
          <w:tcPr>
            <w:tcW w:w="1093" w:type="dxa"/>
            <w:tcBorders>
              <w:top w:val="nil"/>
              <w:left w:val="nil"/>
              <w:bottom w:val="nil"/>
              <w:right w:val="nil"/>
            </w:tcBorders>
          </w:tcPr>
          <w:p w14:paraId="700120C2"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76529860" w14:textId="77777777" w:rsidR="00CF0E2D" w:rsidRPr="00F00500" w:rsidRDefault="00CF0E2D" w:rsidP="00A60D4B">
            <w:pPr>
              <w:pStyle w:val="Btablefigureunbold"/>
              <w:rPr>
                <w:szCs w:val="20"/>
              </w:rPr>
            </w:pPr>
            <w:r w:rsidRPr="00F00500">
              <w:rPr>
                <w:rFonts w:cs="Calibri"/>
                <w:color w:val="000000"/>
                <w:szCs w:val="20"/>
              </w:rPr>
              <w:t>1,760</w:t>
            </w:r>
          </w:p>
        </w:tc>
        <w:tc>
          <w:tcPr>
            <w:tcW w:w="964" w:type="dxa"/>
            <w:gridSpan w:val="2"/>
            <w:tcBorders>
              <w:top w:val="nil"/>
              <w:left w:val="nil"/>
              <w:bottom w:val="nil"/>
              <w:right w:val="nil"/>
            </w:tcBorders>
          </w:tcPr>
          <w:p w14:paraId="59AC9C46" w14:textId="77777777" w:rsidR="00CF0E2D" w:rsidRPr="00F00500" w:rsidRDefault="00CF0E2D" w:rsidP="00A60D4B">
            <w:pPr>
              <w:pStyle w:val="Btablefigureunbold"/>
              <w:rPr>
                <w:szCs w:val="20"/>
              </w:rPr>
            </w:pPr>
            <w:r w:rsidRPr="00F00500">
              <w:rPr>
                <w:rFonts w:cs="Calibri"/>
                <w:color w:val="000000"/>
                <w:szCs w:val="20"/>
              </w:rPr>
              <w:t>2,386</w:t>
            </w:r>
          </w:p>
        </w:tc>
        <w:tc>
          <w:tcPr>
            <w:tcW w:w="964" w:type="dxa"/>
            <w:gridSpan w:val="2"/>
            <w:tcBorders>
              <w:top w:val="nil"/>
              <w:left w:val="nil"/>
              <w:bottom w:val="nil"/>
              <w:right w:val="nil"/>
            </w:tcBorders>
          </w:tcPr>
          <w:p w14:paraId="4DF41DF1" w14:textId="77777777" w:rsidR="00CF0E2D" w:rsidRPr="00F00500" w:rsidRDefault="00CF0E2D" w:rsidP="00A60D4B">
            <w:pPr>
              <w:pStyle w:val="Btablefigureunbold"/>
              <w:rPr>
                <w:szCs w:val="20"/>
              </w:rPr>
            </w:pPr>
            <w:r w:rsidRPr="00F00500">
              <w:rPr>
                <w:rFonts w:cs="Calibri"/>
                <w:color w:val="000000"/>
                <w:szCs w:val="20"/>
              </w:rPr>
              <w:t>2,419</w:t>
            </w:r>
          </w:p>
        </w:tc>
        <w:tc>
          <w:tcPr>
            <w:tcW w:w="964" w:type="dxa"/>
            <w:gridSpan w:val="2"/>
            <w:tcBorders>
              <w:top w:val="nil"/>
              <w:left w:val="nil"/>
              <w:bottom w:val="nil"/>
              <w:right w:val="nil"/>
            </w:tcBorders>
          </w:tcPr>
          <w:p w14:paraId="292D91B3" w14:textId="77777777" w:rsidR="00CF0E2D" w:rsidRPr="00F00500" w:rsidRDefault="00CF0E2D" w:rsidP="00A60D4B">
            <w:pPr>
              <w:pStyle w:val="Btablefigureunbold"/>
              <w:rPr>
                <w:szCs w:val="20"/>
              </w:rPr>
            </w:pPr>
            <w:r w:rsidRPr="00F00500">
              <w:rPr>
                <w:rFonts w:cs="Calibri"/>
                <w:color w:val="000000"/>
                <w:szCs w:val="20"/>
              </w:rPr>
              <w:t>12,452</w:t>
            </w:r>
          </w:p>
        </w:tc>
        <w:tc>
          <w:tcPr>
            <w:tcW w:w="954" w:type="dxa"/>
            <w:gridSpan w:val="2"/>
            <w:tcBorders>
              <w:top w:val="nil"/>
              <w:left w:val="nil"/>
              <w:bottom w:val="nil"/>
              <w:right w:val="nil"/>
            </w:tcBorders>
          </w:tcPr>
          <w:p w14:paraId="543B5020" w14:textId="77777777" w:rsidR="00CF0E2D" w:rsidRPr="00F00500" w:rsidRDefault="00CF0E2D" w:rsidP="00A60D4B">
            <w:pPr>
              <w:jc w:val="right"/>
              <w:rPr>
                <w:b/>
                <w:bCs/>
                <w:sz w:val="20"/>
                <w:szCs w:val="20"/>
              </w:rPr>
            </w:pPr>
            <w:r w:rsidRPr="00F00500">
              <w:rPr>
                <w:rFonts w:ascii="Calibri" w:hAnsi="Calibri" w:cs="Calibri"/>
                <w:b/>
                <w:bCs/>
                <w:color w:val="000000"/>
                <w:sz w:val="20"/>
                <w:szCs w:val="20"/>
              </w:rPr>
              <w:t>19,017</w:t>
            </w:r>
          </w:p>
        </w:tc>
      </w:tr>
      <w:tr w:rsidR="00465757" w:rsidRPr="00D60558" w14:paraId="35070E64" w14:textId="77777777" w:rsidTr="00A60D4B">
        <w:trPr>
          <w:gridAfter w:val="1"/>
          <w:wAfter w:w="9" w:type="dxa"/>
          <w:jc w:val="center"/>
        </w:trPr>
        <w:tc>
          <w:tcPr>
            <w:tcW w:w="3355" w:type="dxa"/>
            <w:tcBorders>
              <w:top w:val="nil"/>
              <w:left w:val="nil"/>
              <w:bottom w:val="nil"/>
              <w:right w:val="nil"/>
            </w:tcBorders>
          </w:tcPr>
          <w:p w14:paraId="694356B8" w14:textId="77777777" w:rsidR="00465757" w:rsidRDefault="00465757" w:rsidP="00A60D4B">
            <w:pPr>
              <w:pStyle w:val="Btabletextunbold"/>
              <w:rPr>
                <w:rFonts w:cs="Calibri"/>
                <w:color w:val="000000"/>
                <w:szCs w:val="20"/>
              </w:rPr>
            </w:pPr>
          </w:p>
          <w:p w14:paraId="4B9F1991" w14:textId="4F4D730B" w:rsidR="00387F31" w:rsidRDefault="00387F31" w:rsidP="00A60D4B">
            <w:pPr>
              <w:pStyle w:val="Btabletextunbold"/>
              <w:rPr>
                <w:rFonts w:cs="Calibri"/>
                <w:color w:val="000000"/>
                <w:szCs w:val="20"/>
              </w:rPr>
            </w:pPr>
          </w:p>
        </w:tc>
        <w:tc>
          <w:tcPr>
            <w:tcW w:w="1093" w:type="dxa"/>
            <w:tcBorders>
              <w:top w:val="nil"/>
              <w:left w:val="nil"/>
              <w:bottom w:val="nil"/>
              <w:right w:val="nil"/>
            </w:tcBorders>
          </w:tcPr>
          <w:p w14:paraId="31A4B07C" w14:textId="77777777" w:rsidR="00465757" w:rsidRDefault="00465757"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1613529A" w14:textId="77777777" w:rsidR="00465757" w:rsidRPr="00F00500" w:rsidRDefault="00465757" w:rsidP="00A60D4B">
            <w:pPr>
              <w:pStyle w:val="Btablefigureunbold"/>
              <w:rPr>
                <w:rFonts w:cs="Calibri"/>
                <w:color w:val="000000"/>
                <w:szCs w:val="20"/>
              </w:rPr>
            </w:pPr>
          </w:p>
        </w:tc>
        <w:tc>
          <w:tcPr>
            <w:tcW w:w="964" w:type="dxa"/>
            <w:gridSpan w:val="2"/>
            <w:tcBorders>
              <w:top w:val="nil"/>
              <w:left w:val="nil"/>
              <w:bottom w:val="nil"/>
              <w:right w:val="nil"/>
            </w:tcBorders>
          </w:tcPr>
          <w:p w14:paraId="7E549158" w14:textId="77777777" w:rsidR="00465757" w:rsidRPr="00F00500" w:rsidRDefault="00465757" w:rsidP="00A60D4B">
            <w:pPr>
              <w:pStyle w:val="Btablefigureunbold"/>
              <w:rPr>
                <w:rFonts w:cs="Calibri"/>
                <w:color w:val="000000"/>
                <w:szCs w:val="20"/>
              </w:rPr>
            </w:pPr>
          </w:p>
        </w:tc>
        <w:tc>
          <w:tcPr>
            <w:tcW w:w="964" w:type="dxa"/>
            <w:gridSpan w:val="2"/>
            <w:tcBorders>
              <w:top w:val="nil"/>
              <w:left w:val="nil"/>
              <w:bottom w:val="nil"/>
              <w:right w:val="nil"/>
            </w:tcBorders>
          </w:tcPr>
          <w:p w14:paraId="0D58CE0A" w14:textId="77777777" w:rsidR="00465757" w:rsidRPr="00F00500" w:rsidRDefault="00465757" w:rsidP="00A60D4B">
            <w:pPr>
              <w:pStyle w:val="Btablefigureunbold"/>
              <w:rPr>
                <w:rFonts w:cs="Calibri"/>
                <w:color w:val="000000"/>
                <w:szCs w:val="20"/>
              </w:rPr>
            </w:pPr>
          </w:p>
        </w:tc>
        <w:tc>
          <w:tcPr>
            <w:tcW w:w="964" w:type="dxa"/>
            <w:gridSpan w:val="2"/>
            <w:tcBorders>
              <w:top w:val="nil"/>
              <w:left w:val="nil"/>
              <w:bottom w:val="nil"/>
              <w:right w:val="nil"/>
            </w:tcBorders>
          </w:tcPr>
          <w:p w14:paraId="22E50CDB" w14:textId="77777777" w:rsidR="00465757" w:rsidRPr="00F00500" w:rsidRDefault="00465757" w:rsidP="00A60D4B">
            <w:pPr>
              <w:pStyle w:val="Btablefigureunbold"/>
              <w:rPr>
                <w:rFonts w:cs="Calibri"/>
                <w:color w:val="000000"/>
                <w:szCs w:val="20"/>
              </w:rPr>
            </w:pPr>
          </w:p>
        </w:tc>
        <w:tc>
          <w:tcPr>
            <w:tcW w:w="954" w:type="dxa"/>
            <w:gridSpan w:val="2"/>
            <w:tcBorders>
              <w:top w:val="nil"/>
              <w:left w:val="nil"/>
              <w:bottom w:val="nil"/>
              <w:right w:val="nil"/>
            </w:tcBorders>
          </w:tcPr>
          <w:p w14:paraId="482B0261" w14:textId="77777777" w:rsidR="00465757" w:rsidRPr="00F00500" w:rsidRDefault="00465757" w:rsidP="00A60D4B">
            <w:pPr>
              <w:jc w:val="right"/>
              <w:rPr>
                <w:rFonts w:ascii="Calibri" w:hAnsi="Calibri" w:cs="Calibri"/>
                <w:b/>
                <w:bCs/>
                <w:color w:val="000000"/>
                <w:sz w:val="20"/>
                <w:szCs w:val="20"/>
              </w:rPr>
            </w:pPr>
          </w:p>
        </w:tc>
      </w:tr>
      <w:tr w:rsidR="00CF0E2D" w:rsidRPr="00D60558" w14:paraId="5A864C6B" w14:textId="77777777" w:rsidTr="00A60D4B">
        <w:trPr>
          <w:gridAfter w:val="1"/>
          <w:wAfter w:w="9" w:type="dxa"/>
          <w:trHeight w:val="624"/>
          <w:jc w:val="center"/>
        </w:trPr>
        <w:tc>
          <w:tcPr>
            <w:tcW w:w="3355" w:type="dxa"/>
            <w:tcBorders>
              <w:top w:val="nil"/>
              <w:left w:val="nil"/>
              <w:bottom w:val="nil"/>
              <w:right w:val="nil"/>
            </w:tcBorders>
            <w:vAlign w:val="bottom"/>
          </w:tcPr>
          <w:p w14:paraId="2CA73C65" w14:textId="77777777" w:rsidR="00CF0E2D" w:rsidRPr="00251FAB" w:rsidRDefault="00CF0E2D" w:rsidP="00A60D4B">
            <w:pPr>
              <w:pStyle w:val="Btabletextunbold"/>
              <w:rPr>
                <w:b/>
                <w:bCs/>
                <w:szCs w:val="20"/>
              </w:rPr>
            </w:pPr>
            <w:r>
              <w:rPr>
                <w:b/>
                <w:bCs/>
                <w:szCs w:val="20"/>
              </w:rPr>
              <w:lastRenderedPageBreak/>
              <w:t>Justice and Community Safety Directorate</w:t>
            </w:r>
          </w:p>
        </w:tc>
        <w:tc>
          <w:tcPr>
            <w:tcW w:w="1093" w:type="dxa"/>
            <w:tcBorders>
              <w:top w:val="nil"/>
              <w:left w:val="nil"/>
              <w:bottom w:val="nil"/>
              <w:right w:val="nil"/>
            </w:tcBorders>
          </w:tcPr>
          <w:p w14:paraId="26C4B295" w14:textId="77777777" w:rsidR="00CF0E2D" w:rsidRPr="00D60558"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6303B7F9"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20B5ADFD"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74E09747"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67186CDC" w14:textId="77777777" w:rsidR="00CF0E2D" w:rsidRPr="00D60558" w:rsidRDefault="00CF0E2D" w:rsidP="00A60D4B">
            <w:pPr>
              <w:pStyle w:val="Btablefigureunbold"/>
              <w:rPr>
                <w:szCs w:val="20"/>
              </w:rPr>
            </w:pPr>
          </w:p>
        </w:tc>
        <w:tc>
          <w:tcPr>
            <w:tcW w:w="954" w:type="dxa"/>
            <w:gridSpan w:val="2"/>
            <w:tcBorders>
              <w:top w:val="nil"/>
              <w:left w:val="nil"/>
              <w:bottom w:val="nil"/>
              <w:right w:val="nil"/>
            </w:tcBorders>
          </w:tcPr>
          <w:p w14:paraId="2F152DAF" w14:textId="77777777" w:rsidR="00CF0E2D" w:rsidRPr="00D60558" w:rsidRDefault="00CF0E2D" w:rsidP="00A60D4B">
            <w:pPr>
              <w:pStyle w:val="Btablefigureunbold"/>
              <w:rPr>
                <w:b/>
                <w:bCs/>
                <w:szCs w:val="20"/>
              </w:rPr>
            </w:pPr>
          </w:p>
        </w:tc>
      </w:tr>
      <w:tr w:rsidR="00CF0E2D" w:rsidRPr="00D60558" w14:paraId="435A3DA2" w14:textId="77777777" w:rsidTr="00A60D4B">
        <w:trPr>
          <w:gridAfter w:val="1"/>
          <w:wAfter w:w="9" w:type="dxa"/>
          <w:jc w:val="center"/>
        </w:trPr>
        <w:tc>
          <w:tcPr>
            <w:tcW w:w="3355" w:type="dxa"/>
            <w:tcBorders>
              <w:top w:val="nil"/>
              <w:left w:val="nil"/>
              <w:bottom w:val="nil"/>
              <w:right w:val="nil"/>
            </w:tcBorders>
          </w:tcPr>
          <w:p w14:paraId="6D2E8766" w14:textId="77777777" w:rsidR="00CF0E2D" w:rsidRPr="00251FAB" w:rsidRDefault="00CF0E2D" w:rsidP="00A60D4B">
            <w:pPr>
              <w:pStyle w:val="Btabletextunbold"/>
              <w:rPr>
                <w:szCs w:val="20"/>
              </w:rPr>
            </w:pPr>
            <w:r w:rsidRPr="00251FAB">
              <w:rPr>
                <w:rFonts w:cs="Calibri"/>
                <w:color w:val="000000"/>
                <w:szCs w:val="20"/>
              </w:rPr>
              <w:t>ACT Law Courts upgrades</w:t>
            </w:r>
          </w:p>
        </w:tc>
        <w:tc>
          <w:tcPr>
            <w:tcW w:w="1093" w:type="dxa"/>
            <w:tcBorders>
              <w:top w:val="nil"/>
              <w:left w:val="nil"/>
              <w:bottom w:val="nil"/>
              <w:right w:val="nil"/>
            </w:tcBorders>
          </w:tcPr>
          <w:p w14:paraId="2D0D4ECA" w14:textId="77777777" w:rsidR="00CF0E2D" w:rsidRPr="00251FAB" w:rsidRDefault="00CF0E2D" w:rsidP="00A60D4B">
            <w:pPr>
              <w:pStyle w:val="Btablefigureunbold"/>
              <w:ind w:left="0" w:firstLine="0"/>
              <w:jc w:val="left"/>
              <w:rPr>
                <w:rFonts w:cs="Calibri"/>
                <w:color w:val="000000"/>
                <w:szCs w:val="20"/>
              </w:rPr>
            </w:pPr>
            <w:r w:rsidRPr="00251FAB">
              <w:rPr>
                <w:rFonts w:cs="Calibri"/>
                <w:color w:val="000000"/>
                <w:szCs w:val="20"/>
              </w:rPr>
              <w:t>Net capital</w:t>
            </w:r>
          </w:p>
        </w:tc>
        <w:tc>
          <w:tcPr>
            <w:tcW w:w="964" w:type="dxa"/>
            <w:gridSpan w:val="2"/>
            <w:tcBorders>
              <w:top w:val="nil"/>
              <w:left w:val="nil"/>
              <w:bottom w:val="nil"/>
              <w:right w:val="nil"/>
            </w:tcBorders>
          </w:tcPr>
          <w:p w14:paraId="7294633C"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41AFFC6B"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17736605"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411D9CCB" w14:textId="77777777" w:rsidR="00CF0E2D" w:rsidRPr="004B40E1" w:rsidRDefault="00CF0E2D" w:rsidP="00A60D4B">
            <w:pPr>
              <w:pStyle w:val="Btablefigureunbold"/>
              <w:rPr>
                <w:szCs w:val="20"/>
              </w:rPr>
            </w:pPr>
            <w:r w:rsidRPr="004B40E1">
              <w:rPr>
                <w:rFonts w:cs="Calibri"/>
                <w:color w:val="000000"/>
                <w:szCs w:val="20"/>
              </w:rPr>
              <w:t>0</w:t>
            </w:r>
          </w:p>
        </w:tc>
        <w:tc>
          <w:tcPr>
            <w:tcW w:w="954" w:type="dxa"/>
            <w:gridSpan w:val="2"/>
            <w:tcBorders>
              <w:top w:val="nil"/>
              <w:left w:val="nil"/>
              <w:bottom w:val="nil"/>
              <w:right w:val="nil"/>
            </w:tcBorders>
          </w:tcPr>
          <w:p w14:paraId="2814DC75" w14:textId="77777777" w:rsidR="00CF0E2D" w:rsidRPr="004B40E1" w:rsidRDefault="00CF0E2D" w:rsidP="00A60D4B">
            <w:pPr>
              <w:pStyle w:val="Btablefigureunbold"/>
              <w:rPr>
                <w:b/>
                <w:bCs/>
                <w:szCs w:val="20"/>
              </w:rPr>
            </w:pPr>
            <w:r w:rsidRPr="004B40E1">
              <w:rPr>
                <w:rFonts w:cs="Calibri"/>
                <w:b/>
                <w:bCs/>
                <w:color w:val="000000"/>
                <w:szCs w:val="20"/>
              </w:rPr>
              <w:t>0</w:t>
            </w:r>
          </w:p>
        </w:tc>
      </w:tr>
      <w:tr w:rsidR="00CF0E2D" w:rsidRPr="00D60558" w14:paraId="3F0C59E8" w14:textId="77777777" w:rsidTr="00A60D4B">
        <w:trPr>
          <w:gridAfter w:val="1"/>
          <w:wAfter w:w="9" w:type="dxa"/>
          <w:jc w:val="center"/>
        </w:trPr>
        <w:tc>
          <w:tcPr>
            <w:tcW w:w="3355" w:type="dxa"/>
            <w:tcBorders>
              <w:top w:val="nil"/>
              <w:left w:val="nil"/>
              <w:bottom w:val="nil"/>
              <w:right w:val="nil"/>
            </w:tcBorders>
          </w:tcPr>
          <w:p w14:paraId="77FB547A" w14:textId="77777777" w:rsidR="00CF0E2D" w:rsidRPr="00251FAB" w:rsidRDefault="00CF0E2D" w:rsidP="00A60D4B">
            <w:pPr>
              <w:pStyle w:val="Btabletextunbold"/>
              <w:rPr>
                <w:szCs w:val="20"/>
              </w:rPr>
            </w:pPr>
            <w:r w:rsidRPr="00251FAB">
              <w:rPr>
                <w:rFonts w:cs="Calibri"/>
                <w:color w:val="000000"/>
                <w:szCs w:val="20"/>
              </w:rPr>
              <w:t>ACT Law Courts upgrades</w:t>
            </w:r>
          </w:p>
        </w:tc>
        <w:tc>
          <w:tcPr>
            <w:tcW w:w="1093" w:type="dxa"/>
            <w:tcBorders>
              <w:top w:val="nil"/>
              <w:left w:val="nil"/>
              <w:bottom w:val="nil"/>
              <w:right w:val="nil"/>
            </w:tcBorders>
          </w:tcPr>
          <w:p w14:paraId="7FE4CA59" w14:textId="77777777" w:rsidR="00CF0E2D" w:rsidRPr="00251FAB" w:rsidRDefault="00CF0E2D" w:rsidP="00A60D4B">
            <w:pPr>
              <w:pStyle w:val="Btablefigureunbold"/>
              <w:ind w:left="0" w:firstLine="0"/>
              <w:jc w:val="left"/>
              <w:rPr>
                <w:rFonts w:cs="Calibri"/>
                <w:color w:val="000000"/>
                <w:szCs w:val="20"/>
              </w:rPr>
            </w:pPr>
            <w:r w:rsidRPr="00DB6422">
              <w:rPr>
                <w:rFonts w:cs="Calibri"/>
                <w:color w:val="000000"/>
                <w:szCs w:val="20"/>
              </w:rPr>
              <w:t>Net cost</w:t>
            </w:r>
          </w:p>
        </w:tc>
        <w:tc>
          <w:tcPr>
            <w:tcW w:w="964" w:type="dxa"/>
            <w:gridSpan w:val="2"/>
            <w:tcBorders>
              <w:top w:val="nil"/>
              <w:left w:val="nil"/>
              <w:bottom w:val="nil"/>
              <w:right w:val="nil"/>
            </w:tcBorders>
          </w:tcPr>
          <w:p w14:paraId="0733A641"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637DD112" w14:textId="77777777" w:rsidR="00CF0E2D" w:rsidRPr="004B40E1" w:rsidRDefault="00CF0E2D" w:rsidP="00A60D4B">
            <w:pPr>
              <w:pStyle w:val="Btablefigureunbold"/>
              <w:rPr>
                <w:szCs w:val="20"/>
              </w:rPr>
            </w:pPr>
            <w:r w:rsidRPr="004B40E1">
              <w:rPr>
                <w:rFonts w:cs="Calibri"/>
                <w:color w:val="000000"/>
                <w:szCs w:val="20"/>
              </w:rPr>
              <w:t>14</w:t>
            </w:r>
          </w:p>
        </w:tc>
        <w:tc>
          <w:tcPr>
            <w:tcW w:w="964" w:type="dxa"/>
            <w:gridSpan w:val="2"/>
            <w:tcBorders>
              <w:top w:val="nil"/>
              <w:left w:val="nil"/>
              <w:bottom w:val="nil"/>
              <w:right w:val="nil"/>
            </w:tcBorders>
          </w:tcPr>
          <w:p w14:paraId="6CCA87FD" w14:textId="77777777" w:rsidR="00CF0E2D" w:rsidRPr="004B40E1" w:rsidRDefault="00CF0E2D" w:rsidP="00A60D4B">
            <w:pPr>
              <w:pStyle w:val="Btablefigureunbold"/>
              <w:rPr>
                <w:szCs w:val="20"/>
              </w:rPr>
            </w:pPr>
            <w:r w:rsidRPr="004B40E1">
              <w:rPr>
                <w:rFonts w:cs="Calibri"/>
                <w:color w:val="000000"/>
                <w:szCs w:val="20"/>
              </w:rPr>
              <w:t>14</w:t>
            </w:r>
          </w:p>
        </w:tc>
        <w:tc>
          <w:tcPr>
            <w:tcW w:w="964" w:type="dxa"/>
            <w:gridSpan w:val="2"/>
            <w:tcBorders>
              <w:top w:val="nil"/>
              <w:left w:val="nil"/>
              <w:bottom w:val="nil"/>
              <w:right w:val="nil"/>
            </w:tcBorders>
          </w:tcPr>
          <w:p w14:paraId="30CFD6B1" w14:textId="77777777" w:rsidR="00CF0E2D" w:rsidRPr="004B40E1" w:rsidRDefault="00CF0E2D" w:rsidP="00A60D4B">
            <w:pPr>
              <w:pStyle w:val="Btablefigureunbold"/>
              <w:rPr>
                <w:szCs w:val="20"/>
              </w:rPr>
            </w:pPr>
            <w:r w:rsidRPr="004B40E1">
              <w:rPr>
                <w:rFonts w:cs="Calibri"/>
                <w:color w:val="000000"/>
                <w:szCs w:val="20"/>
              </w:rPr>
              <w:t>14</w:t>
            </w:r>
          </w:p>
        </w:tc>
        <w:tc>
          <w:tcPr>
            <w:tcW w:w="954" w:type="dxa"/>
            <w:gridSpan w:val="2"/>
            <w:tcBorders>
              <w:top w:val="nil"/>
              <w:left w:val="nil"/>
              <w:bottom w:val="nil"/>
              <w:right w:val="nil"/>
            </w:tcBorders>
          </w:tcPr>
          <w:p w14:paraId="306C1FCA" w14:textId="77777777" w:rsidR="00CF0E2D" w:rsidRPr="004B40E1" w:rsidRDefault="00CF0E2D" w:rsidP="00A60D4B">
            <w:pPr>
              <w:pStyle w:val="Btablefigureunbold"/>
              <w:rPr>
                <w:b/>
                <w:bCs/>
                <w:szCs w:val="20"/>
              </w:rPr>
            </w:pPr>
            <w:r w:rsidRPr="004B40E1">
              <w:rPr>
                <w:rFonts w:cs="Calibri"/>
                <w:b/>
                <w:bCs/>
                <w:color w:val="000000"/>
                <w:szCs w:val="20"/>
              </w:rPr>
              <w:t>42</w:t>
            </w:r>
          </w:p>
        </w:tc>
      </w:tr>
      <w:tr w:rsidR="00CF0E2D" w:rsidRPr="00D60558" w14:paraId="728468C0" w14:textId="77777777" w:rsidTr="00A60D4B">
        <w:trPr>
          <w:gridAfter w:val="1"/>
          <w:wAfter w:w="9" w:type="dxa"/>
          <w:jc w:val="center"/>
        </w:trPr>
        <w:tc>
          <w:tcPr>
            <w:tcW w:w="3355" w:type="dxa"/>
            <w:tcBorders>
              <w:top w:val="nil"/>
              <w:left w:val="nil"/>
              <w:bottom w:val="nil"/>
              <w:right w:val="nil"/>
            </w:tcBorders>
          </w:tcPr>
          <w:p w14:paraId="57E1E4BC" w14:textId="77777777" w:rsidR="00CF0E2D" w:rsidRPr="00251FAB" w:rsidRDefault="00CF0E2D" w:rsidP="00A60D4B">
            <w:pPr>
              <w:pStyle w:val="Btabletextunbold"/>
              <w:rPr>
                <w:szCs w:val="20"/>
              </w:rPr>
            </w:pPr>
            <w:r w:rsidRPr="00251FAB">
              <w:rPr>
                <w:rFonts w:cs="Calibri"/>
                <w:color w:val="000000"/>
                <w:szCs w:val="20"/>
              </w:rPr>
              <w:t xml:space="preserve">ACT Policing Forensic Medical Contract </w:t>
            </w:r>
            <w:r>
              <w:rPr>
                <w:rFonts w:cs="Calibri"/>
                <w:color w:val="000000"/>
                <w:szCs w:val="20"/>
              </w:rPr>
              <w:t xml:space="preserve">– </w:t>
            </w:r>
            <w:r w:rsidRPr="00251FAB">
              <w:rPr>
                <w:rFonts w:cs="Calibri"/>
                <w:color w:val="000000"/>
                <w:szCs w:val="20"/>
              </w:rPr>
              <w:t>extension</w:t>
            </w:r>
          </w:p>
        </w:tc>
        <w:tc>
          <w:tcPr>
            <w:tcW w:w="1093" w:type="dxa"/>
            <w:tcBorders>
              <w:top w:val="nil"/>
              <w:left w:val="nil"/>
              <w:bottom w:val="nil"/>
              <w:right w:val="nil"/>
            </w:tcBorders>
          </w:tcPr>
          <w:p w14:paraId="1010D6C4" w14:textId="77777777" w:rsidR="00CF0E2D" w:rsidRPr="00251FAB" w:rsidRDefault="00CF0E2D" w:rsidP="00A60D4B">
            <w:pPr>
              <w:pStyle w:val="Btablefigureunbold"/>
              <w:ind w:left="0" w:firstLine="0"/>
              <w:jc w:val="left"/>
              <w:rPr>
                <w:rFonts w:cs="Calibri"/>
                <w:color w:val="000000"/>
                <w:szCs w:val="20"/>
              </w:rPr>
            </w:pPr>
            <w:r w:rsidRPr="00DB6422">
              <w:rPr>
                <w:rFonts w:cs="Calibri"/>
                <w:color w:val="000000"/>
                <w:szCs w:val="20"/>
              </w:rPr>
              <w:t>Net cost</w:t>
            </w:r>
          </w:p>
        </w:tc>
        <w:tc>
          <w:tcPr>
            <w:tcW w:w="964" w:type="dxa"/>
            <w:gridSpan w:val="2"/>
            <w:tcBorders>
              <w:top w:val="nil"/>
              <w:left w:val="nil"/>
              <w:bottom w:val="nil"/>
              <w:right w:val="nil"/>
            </w:tcBorders>
          </w:tcPr>
          <w:p w14:paraId="710BE834" w14:textId="77777777" w:rsidR="00CF0E2D" w:rsidRPr="004B40E1" w:rsidRDefault="00CF0E2D" w:rsidP="00A60D4B">
            <w:pPr>
              <w:pStyle w:val="Btablefigureunbold"/>
              <w:rPr>
                <w:szCs w:val="20"/>
              </w:rPr>
            </w:pPr>
            <w:r w:rsidRPr="004B40E1">
              <w:rPr>
                <w:rFonts w:cs="Calibri"/>
                <w:color w:val="000000"/>
                <w:szCs w:val="20"/>
              </w:rPr>
              <w:t>975</w:t>
            </w:r>
          </w:p>
        </w:tc>
        <w:tc>
          <w:tcPr>
            <w:tcW w:w="964" w:type="dxa"/>
            <w:gridSpan w:val="2"/>
            <w:tcBorders>
              <w:top w:val="nil"/>
              <w:left w:val="nil"/>
              <w:bottom w:val="nil"/>
              <w:right w:val="nil"/>
            </w:tcBorders>
          </w:tcPr>
          <w:p w14:paraId="70D80C46" w14:textId="77777777" w:rsidR="00CF0E2D" w:rsidRPr="004B40E1" w:rsidRDefault="00CF0E2D" w:rsidP="00A60D4B">
            <w:pPr>
              <w:pStyle w:val="Btablefigureunbold"/>
              <w:rPr>
                <w:szCs w:val="20"/>
              </w:rPr>
            </w:pPr>
            <w:r w:rsidRPr="004B40E1">
              <w:rPr>
                <w:rFonts w:cs="Calibri"/>
                <w:color w:val="000000"/>
                <w:szCs w:val="20"/>
              </w:rPr>
              <w:t>1,035</w:t>
            </w:r>
          </w:p>
        </w:tc>
        <w:tc>
          <w:tcPr>
            <w:tcW w:w="964" w:type="dxa"/>
            <w:gridSpan w:val="2"/>
            <w:tcBorders>
              <w:top w:val="nil"/>
              <w:left w:val="nil"/>
              <w:bottom w:val="nil"/>
              <w:right w:val="nil"/>
            </w:tcBorders>
          </w:tcPr>
          <w:p w14:paraId="2B5BBD29" w14:textId="77777777" w:rsidR="00CF0E2D" w:rsidRPr="004B40E1" w:rsidRDefault="00CF0E2D" w:rsidP="00A60D4B">
            <w:pPr>
              <w:pStyle w:val="Btablefigureunbold"/>
              <w:rPr>
                <w:szCs w:val="20"/>
              </w:rPr>
            </w:pPr>
            <w:r w:rsidRPr="004B40E1">
              <w:rPr>
                <w:rFonts w:cs="Calibri"/>
                <w:color w:val="000000"/>
                <w:szCs w:val="20"/>
              </w:rPr>
              <w:t>1,096</w:t>
            </w:r>
          </w:p>
        </w:tc>
        <w:tc>
          <w:tcPr>
            <w:tcW w:w="964" w:type="dxa"/>
            <w:gridSpan w:val="2"/>
            <w:tcBorders>
              <w:top w:val="nil"/>
              <w:left w:val="nil"/>
              <w:bottom w:val="nil"/>
              <w:right w:val="nil"/>
            </w:tcBorders>
          </w:tcPr>
          <w:p w14:paraId="79749EBD" w14:textId="77777777" w:rsidR="00CF0E2D" w:rsidRPr="004B40E1" w:rsidRDefault="00CF0E2D" w:rsidP="00A60D4B">
            <w:pPr>
              <w:pStyle w:val="Btablefigureunbold"/>
              <w:rPr>
                <w:szCs w:val="20"/>
              </w:rPr>
            </w:pPr>
            <w:r w:rsidRPr="004B40E1">
              <w:rPr>
                <w:rFonts w:cs="Calibri"/>
                <w:color w:val="000000"/>
                <w:szCs w:val="20"/>
              </w:rPr>
              <w:t>1,158</w:t>
            </w:r>
          </w:p>
        </w:tc>
        <w:tc>
          <w:tcPr>
            <w:tcW w:w="954" w:type="dxa"/>
            <w:gridSpan w:val="2"/>
            <w:tcBorders>
              <w:top w:val="nil"/>
              <w:left w:val="nil"/>
              <w:bottom w:val="nil"/>
              <w:right w:val="nil"/>
            </w:tcBorders>
          </w:tcPr>
          <w:p w14:paraId="09FAB87E" w14:textId="77777777" w:rsidR="00CF0E2D" w:rsidRPr="004B40E1" w:rsidRDefault="00CF0E2D" w:rsidP="00A60D4B">
            <w:pPr>
              <w:pStyle w:val="Btablefigureunbold"/>
              <w:rPr>
                <w:b/>
                <w:bCs/>
                <w:szCs w:val="20"/>
              </w:rPr>
            </w:pPr>
            <w:r w:rsidRPr="004B40E1">
              <w:rPr>
                <w:rFonts w:cs="Calibri"/>
                <w:b/>
                <w:bCs/>
                <w:color w:val="000000"/>
                <w:szCs w:val="20"/>
              </w:rPr>
              <w:t>4,264</w:t>
            </w:r>
          </w:p>
        </w:tc>
      </w:tr>
      <w:tr w:rsidR="00CF0E2D" w:rsidRPr="00D60558" w14:paraId="14F3A0A3" w14:textId="77777777" w:rsidTr="00A60D4B">
        <w:trPr>
          <w:gridAfter w:val="1"/>
          <w:wAfter w:w="9" w:type="dxa"/>
          <w:jc w:val="center"/>
        </w:trPr>
        <w:tc>
          <w:tcPr>
            <w:tcW w:w="3355" w:type="dxa"/>
            <w:tcBorders>
              <w:top w:val="nil"/>
              <w:left w:val="nil"/>
              <w:bottom w:val="nil"/>
              <w:right w:val="nil"/>
            </w:tcBorders>
          </w:tcPr>
          <w:p w14:paraId="5CB389AE" w14:textId="77777777" w:rsidR="00CF0E2D" w:rsidRPr="00251FAB" w:rsidRDefault="00CF0E2D" w:rsidP="00A60D4B">
            <w:pPr>
              <w:pStyle w:val="Btabletextunbold"/>
              <w:rPr>
                <w:szCs w:val="20"/>
              </w:rPr>
            </w:pPr>
            <w:r w:rsidRPr="00251FAB">
              <w:rPr>
                <w:rFonts w:cs="Calibri"/>
                <w:color w:val="000000"/>
                <w:szCs w:val="20"/>
              </w:rPr>
              <w:t xml:space="preserve">Better support for vulnerable witnesses </w:t>
            </w:r>
          </w:p>
        </w:tc>
        <w:tc>
          <w:tcPr>
            <w:tcW w:w="1093" w:type="dxa"/>
            <w:tcBorders>
              <w:top w:val="nil"/>
              <w:left w:val="nil"/>
              <w:bottom w:val="nil"/>
              <w:right w:val="nil"/>
            </w:tcBorders>
          </w:tcPr>
          <w:p w14:paraId="6EB5C2D5" w14:textId="77777777" w:rsidR="00CF0E2D" w:rsidRPr="00251FAB" w:rsidRDefault="00CF0E2D" w:rsidP="00A60D4B">
            <w:pPr>
              <w:pStyle w:val="Btablefigureunbold"/>
              <w:ind w:left="0" w:firstLine="0"/>
              <w:jc w:val="left"/>
              <w:rPr>
                <w:rFonts w:cs="Calibri"/>
                <w:color w:val="000000"/>
                <w:szCs w:val="20"/>
              </w:rPr>
            </w:pPr>
            <w:r w:rsidRPr="00DB6422">
              <w:rPr>
                <w:rFonts w:cs="Calibri"/>
                <w:color w:val="000000"/>
                <w:szCs w:val="20"/>
              </w:rPr>
              <w:t>Net cost</w:t>
            </w:r>
          </w:p>
        </w:tc>
        <w:tc>
          <w:tcPr>
            <w:tcW w:w="964" w:type="dxa"/>
            <w:gridSpan w:val="2"/>
            <w:tcBorders>
              <w:top w:val="nil"/>
              <w:left w:val="nil"/>
              <w:bottom w:val="nil"/>
              <w:right w:val="nil"/>
            </w:tcBorders>
          </w:tcPr>
          <w:p w14:paraId="4E00516D" w14:textId="77777777" w:rsidR="00CF0E2D" w:rsidRPr="004B40E1" w:rsidRDefault="00CF0E2D" w:rsidP="00A60D4B">
            <w:pPr>
              <w:pStyle w:val="Btablefigureunbold"/>
              <w:rPr>
                <w:szCs w:val="20"/>
              </w:rPr>
            </w:pPr>
            <w:r w:rsidRPr="004B40E1">
              <w:rPr>
                <w:rFonts w:cs="Calibri"/>
                <w:color w:val="000000"/>
                <w:szCs w:val="20"/>
              </w:rPr>
              <w:t>2</w:t>
            </w:r>
          </w:p>
        </w:tc>
        <w:tc>
          <w:tcPr>
            <w:tcW w:w="964" w:type="dxa"/>
            <w:gridSpan w:val="2"/>
            <w:tcBorders>
              <w:top w:val="nil"/>
              <w:left w:val="nil"/>
              <w:bottom w:val="nil"/>
              <w:right w:val="nil"/>
            </w:tcBorders>
          </w:tcPr>
          <w:p w14:paraId="7D4099BC" w14:textId="77777777" w:rsidR="00CF0E2D" w:rsidRPr="004B40E1" w:rsidRDefault="00CF0E2D" w:rsidP="00A60D4B">
            <w:pPr>
              <w:pStyle w:val="Btablefigureunbold"/>
              <w:rPr>
                <w:szCs w:val="20"/>
              </w:rPr>
            </w:pPr>
            <w:r w:rsidRPr="004B40E1">
              <w:rPr>
                <w:rFonts w:cs="Calibri"/>
                <w:color w:val="000000"/>
                <w:szCs w:val="20"/>
              </w:rPr>
              <w:t>-37</w:t>
            </w:r>
          </w:p>
        </w:tc>
        <w:tc>
          <w:tcPr>
            <w:tcW w:w="964" w:type="dxa"/>
            <w:gridSpan w:val="2"/>
            <w:tcBorders>
              <w:top w:val="nil"/>
              <w:left w:val="nil"/>
              <w:bottom w:val="nil"/>
              <w:right w:val="nil"/>
            </w:tcBorders>
          </w:tcPr>
          <w:p w14:paraId="3256CB04"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46B72CE6" w14:textId="77777777" w:rsidR="00CF0E2D" w:rsidRPr="004B40E1" w:rsidRDefault="00CF0E2D" w:rsidP="00A60D4B">
            <w:pPr>
              <w:pStyle w:val="Btablefigureunbold"/>
              <w:rPr>
                <w:szCs w:val="20"/>
              </w:rPr>
            </w:pPr>
            <w:r w:rsidRPr="004B40E1">
              <w:rPr>
                <w:rFonts w:cs="Calibri"/>
                <w:color w:val="000000"/>
                <w:szCs w:val="20"/>
              </w:rPr>
              <w:t>0</w:t>
            </w:r>
          </w:p>
        </w:tc>
        <w:tc>
          <w:tcPr>
            <w:tcW w:w="954" w:type="dxa"/>
            <w:gridSpan w:val="2"/>
            <w:tcBorders>
              <w:top w:val="nil"/>
              <w:left w:val="nil"/>
              <w:bottom w:val="nil"/>
              <w:right w:val="nil"/>
            </w:tcBorders>
          </w:tcPr>
          <w:p w14:paraId="7C42423A" w14:textId="77777777" w:rsidR="00CF0E2D" w:rsidRPr="004B40E1" w:rsidRDefault="00CF0E2D" w:rsidP="00A60D4B">
            <w:pPr>
              <w:pStyle w:val="Btablefigureunbold"/>
              <w:rPr>
                <w:b/>
                <w:bCs/>
                <w:szCs w:val="20"/>
              </w:rPr>
            </w:pPr>
            <w:r w:rsidRPr="004B40E1">
              <w:rPr>
                <w:rFonts w:cs="Calibri"/>
                <w:b/>
                <w:bCs/>
                <w:color w:val="000000"/>
                <w:szCs w:val="20"/>
              </w:rPr>
              <w:t>-35</w:t>
            </w:r>
          </w:p>
        </w:tc>
      </w:tr>
      <w:tr w:rsidR="00CF0E2D" w:rsidRPr="00D60558" w14:paraId="00AAC129" w14:textId="77777777" w:rsidTr="00A60D4B">
        <w:trPr>
          <w:gridAfter w:val="1"/>
          <w:wAfter w:w="9" w:type="dxa"/>
          <w:jc w:val="center"/>
        </w:trPr>
        <w:tc>
          <w:tcPr>
            <w:tcW w:w="3355" w:type="dxa"/>
            <w:tcBorders>
              <w:top w:val="nil"/>
              <w:left w:val="nil"/>
              <w:bottom w:val="nil"/>
              <w:right w:val="nil"/>
            </w:tcBorders>
          </w:tcPr>
          <w:p w14:paraId="6166408A" w14:textId="77777777" w:rsidR="00CF0E2D" w:rsidRPr="00251FAB" w:rsidRDefault="00CF0E2D" w:rsidP="00A60D4B">
            <w:pPr>
              <w:pStyle w:val="Btabletextunbold"/>
              <w:rPr>
                <w:szCs w:val="20"/>
              </w:rPr>
            </w:pPr>
            <w:r w:rsidRPr="00251FAB">
              <w:rPr>
                <w:rFonts w:cs="Calibri"/>
                <w:color w:val="000000"/>
                <w:szCs w:val="20"/>
              </w:rPr>
              <w:t xml:space="preserve">Commonwealth Redress Scheme </w:t>
            </w:r>
            <w:r>
              <w:rPr>
                <w:rFonts w:cs="Calibri"/>
                <w:color w:val="000000"/>
                <w:szCs w:val="20"/>
              </w:rPr>
              <w:t>–</w:t>
            </w:r>
            <w:r w:rsidRPr="00251FAB">
              <w:rPr>
                <w:rFonts w:cs="Calibri"/>
                <w:color w:val="000000"/>
                <w:szCs w:val="20"/>
              </w:rPr>
              <w:t xml:space="preserve"> continuation</w:t>
            </w:r>
          </w:p>
        </w:tc>
        <w:tc>
          <w:tcPr>
            <w:tcW w:w="1093" w:type="dxa"/>
            <w:tcBorders>
              <w:top w:val="nil"/>
              <w:left w:val="nil"/>
              <w:bottom w:val="nil"/>
              <w:right w:val="nil"/>
            </w:tcBorders>
          </w:tcPr>
          <w:p w14:paraId="2AC6D83C" w14:textId="77777777" w:rsidR="00CF0E2D" w:rsidRPr="00251FAB" w:rsidRDefault="00CF0E2D" w:rsidP="00A60D4B">
            <w:pPr>
              <w:pStyle w:val="Btablefigureunbold"/>
              <w:ind w:left="0" w:firstLine="0"/>
              <w:jc w:val="left"/>
              <w:rPr>
                <w:rFonts w:cs="Calibri"/>
                <w:color w:val="000000"/>
                <w:szCs w:val="20"/>
              </w:rPr>
            </w:pPr>
            <w:r w:rsidRPr="00DB6422">
              <w:rPr>
                <w:rFonts w:cs="Calibri"/>
                <w:color w:val="000000"/>
                <w:szCs w:val="20"/>
              </w:rPr>
              <w:t>Net cost</w:t>
            </w:r>
          </w:p>
        </w:tc>
        <w:tc>
          <w:tcPr>
            <w:tcW w:w="964" w:type="dxa"/>
            <w:gridSpan w:val="2"/>
            <w:tcBorders>
              <w:top w:val="nil"/>
              <w:left w:val="nil"/>
              <w:bottom w:val="nil"/>
              <w:right w:val="nil"/>
            </w:tcBorders>
          </w:tcPr>
          <w:p w14:paraId="29623111" w14:textId="77777777" w:rsidR="00CF0E2D" w:rsidRPr="004B40E1" w:rsidRDefault="00CF0E2D" w:rsidP="00A60D4B">
            <w:pPr>
              <w:pStyle w:val="Btablefigureunbold"/>
              <w:rPr>
                <w:szCs w:val="20"/>
              </w:rPr>
            </w:pPr>
            <w:r w:rsidRPr="004B40E1">
              <w:rPr>
                <w:rFonts w:cs="Calibri"/>
                <w:color w:val="000000"/>
                <w:szCs w:val="20"/>
              </w:rPr>
              <w:t>1,120</w:t>
            </w:r>
          </w:p>
        </w:tc>
        <w:tc>
          <w:tcPr>
            <w:tcW w:w="964" w:type="dxa"/>
            <w:gridSpan w:val="2"/>
            <w:tcBorders>
              <w:top w:val="nil"/>
              <w:left w:val="nil"/>
              <w:bottom w:val="nil"/>
              <w:right w:val="nil"/>
            </w:tcBorders>
          </w:tcPr>
          <w:p w14:paraId="370126A7" w14:textId="77777777" w:rsidR="00CF0E2D" w:rsidRPr="004B40E1" w:rsidRDefault="00CF0E2D" w:rsidP="00A60D4B">
            <w:pPr>
              <w:pStyle w:val="Btablefigureunbold"/>
              <w:rPr>
                <w:szCs w:val="20"/>
              </w:rPr>
            </w:pPr>
            <w:r w:rsidRPr="004B40E1">
              <w:rPr>
                <w:rFonts w:cs="Calibri"/>
                <w:color w:val="000000"/>
                <w:szCs w:val="20"/>
              </w:rPr>
              <w:t>1,137</w:t>
            </w:r>
          </w:p>
        </w:tc>
        <w:tc>
          <w:tcPr>
            <w:tcW w:w="964" w:type="dxa"/>
            <w:gridSpan w:val="2"/>
            <w:tcBorders>
              <w:top w:val="nil"/>
              <w:left w:val="nil"/>
              <w:bottom w:val="nil"/>
              <w:right w:val="nil"/>
            </w:tcBorders>
          </w:tcPr>
          <w:p w14:paraId="4234A777" w14:textId="77777777" w:rsidR="00CF0E2D" w:rsidRPr="004B40E1" w:rsidRDefault="00CF0E2D" w:rsidP="00A60D4B">
            <w:pPr>
              <w:pStyle w:val="Btablefigureunbold"/>
              <w:rPr>
                <w:szCs w:val="20"/>
              </w:rPr>
            </w:pPr>
            <w:r w:rsidRPr="004B40E1">
              <w:rPr>
                <w:rFonts w:cs="Calibri"/>
                <w:color w:val="000000"/>
                <w:szCs w:val="20"/>
              </w:rPr>
              <w:t>1,151</w:t>
            </w:r>
          </w:p>
        </w:tc>
        <w:tc>
          <w:tcPr>
            <w:tcW w:w="964" w:type="dxa"/>
            <w:gridSpan w:val="2"/>
            <w:tcBorders>
              <w:top w:val="nil"/>
              <w:left w:val="nil"/>
              <w:bottom w:val="nil"/>
              <w:right w:val="nil"/>
            </w:tcBorders>
          </w:tcPr>
          <w:p w14:paraId="79094F0D" w14:textId="77777777" w:rsidR="00CF0E2D" w:rsidRPr="004B40E1" w:rsidRDefault="00CF0E2D" w:rsidP="00A60D4B">
            <w:pPr>
              <w:pStyle w:val="Btablefigureunbold"/>
              <w:rPr>
                <w:szCs w:val="20"/>
              </w:rPr>
            </w:pPr>
            <w:r w:rsidRPr="004B40E1">
              <w:rPr>
                <w:rFonts w:cs="Calibri"/>
                <w:color w:val="000000"/>
                <w:szCs w:val="20"/>
              </w:rPr>
              <w:t>1,168</w:t>
            </w:r>
          </w:p>
        </w:tc>
        <w:tc>
          <w:tcPr>
            <w:tcW w:w="954" w:type="dxa"/>
            <w:gridSpan w:val="2"/>
            <w:tcBorders>
              <w:top w:val="nil"/>
              <w:left w:val="nil"/>
              <w:bottom w:val="nil"/>
              <w:right w:val="nil"/>
            </w:tcBorders>
          </w:tcPr>
          <w:p w14:paraId="752AA938" w14:textId="77777777" w:rsidR="00CF0E2D" w:rsidRPr="004B40E1" w:rsidRDefault="00CF0E2D" w:rsidP="00A60D4B">
            <w:pPr>
              <w:pStyle w:val="Btablefigureunbold"/>
              <w:rPr>
                <w:b/>
                <w:bCs/>
                <w:szCs w:val="20"/>
              </w:rPr>
            </w:pPr>
            <w:r w:rsidRPr="004B40E1">
              <w:rPr>
                <w:rFonts w:cs="Calibri"/>
                <w:b/>
                <w:bCs/>
                <w:color w:val="000000"/>
                <w:szCs w:val="20"/>
              </w:rPr>
              <w:t>4,576</w:t>
            </w:r>
          </w:p>
        </w:tc>
      </w:tr>
      <w:tr w:rsidR="00CF0E2D" w:rsidRPr="00D60558" w14:paraId="083A52DD" w14:textId="77777777" w:rsidTr="00A60D4B">
        <w:trPr>
          <w:gridAfter w:val="1"/>
          <w:wAfter w:w="9" w:type="dxa"/>
          <w:jc w:val="center"/>
        </w:trPr>
        <w:tc>
          <w:tcPr>
            <w:tcW w:w="3355" w:type="dxa"/>
            <w:tcBorders>
              <w:top w:val="nil"/>
              <w:left w:val="nil"/>
              <w:bottom w:val="nil"/>
              <w:right w:val="nil"/>
            </w:tcBorders>
          </w:tcPr>
          <w:p w14:paraId="31C0E018" w14:textId="77777777" w:rsidR="00CF0E2D" w:rsidRPr="00D50D14" w:rsidRDefault="00CF0E2D" w:rsidP="00A60D4B">
            <w:pPr>
              <w:pStyle w:val="Btabletextunbold"/>
              <w:rPr>
                <w:rFonts w:cs="Calibri"/>
                <w:i/>
                <w:iCs/>
                <w:color w:val="000000"/>
                <w:szCs w:val="20"/>
              </w:rPr>
            </w:pPr>
            <w:r w:rsidRPr="00D50D14">
              <w:rPr>
                <w:rFonts w:cs="Calibri"/>
                <w:i/>
                <w:iCs/>
                <w:color w:val="000000"/>
                <w:szCs w:val="20"/>
              </w:rPr>
              <w:t>Community sector partnerships</w:t>
            </w:r>
          </w:p>
        </w:tc>
        <w:tc>
          <w:tcPr>
            <w:tcW w:w="1093" w:type="dxa"/>
            <w:tcBorders>
              <w:top w:val="nil"/>
              <w:left w:val="nil"/>
              <w:bottom w:val="nil"/>
              <w:right w:val="nil"/>
            </w:tcBorders>
          </w:tcPr>
          <w:p w14:paraId="4F61B3EA" w14:textId="77777777" w:rsidR="00CF0E2D" w:rsidRPr="00DB6422"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723FEA04" w14:textId="77777777" w:rsidR="00CF0E2D" w:rsidRPr="004B40E1" w:rsidRDefault="00CF0E2D" w:rsidP="00A60D4B">
            <w:pPr>
              <w:pStyle w:val="Btablefigureunbold"/>
              <w:rPr>
                <w:szCs w:val="20"/>
              </w:rPr>
            </w:pPr>
          </w:p>
        </w:tc>
        <w:tc>
          <w:tcPr>
            <w:tcW w:w="964" w:type="dxa"/>
            <w:gridSpan w:val="2"/>
            <w:tcBorders>
              <w:top w:val="nil"/>
              <w:left w:val="nil"/>
              <w:bottom w:val="nil"/>
              <w:right w:val="nil"/>
            </w:tcBorders>
          </w:tcPr>
          <w:p w14:paraId="1901810F" w14:textId="77777777" w:rsidR="00CF0E2D" w:rsidRPr="004B40E1" w:rsidRDefault="00CF0E2D" w:rsidP="00A60D4B">
            <w:pPr>
              <w:pStyle w:val="Btablefigureunbold"/>
              <w:rPr>
                <w:szCs w:val="20"/>
              </w:rPr>
            </w:pPr>
          </w:p>
        </w:tc>
        <w:tc>
          <w:tcPr>
            <w:tcW w:w="964" w:type="dxa"/>
            <w:gridSpan w:val="2"/>
            <w:tcBorders>
              <w:top w:val="nil"/>
              <w:left w:val="nil"/>
              <w:bottom w:val="nil"/>
              <w:right w:val="nil"/>
            </w:tcBorders>
          </w:tcPr>
          <w:p w14:paraId="69C0DB9D" w14:textId="77777777" w:rsidR="00CF0E2D" w:rsidRPr="004B40E1" w:rsidRDefault="00CF0E2D" w:rsidP="00A60D4B">
            <w:pPr>
              <w:pStyle w:val="Btablefigureunbold"/>
              <w:rPr>
                <w:szCs w:val="20"/>
              </w:rPr>
            </w:pPr>
          </w:p>
        </w:tc>
        <w:tc>
          <w:tcPr>
            <w:tcW w:w="964" w:type="dxa"/>
            <w:gridSpan w:val="2"/>
            <w:tcBorders>
              <w:top w:val="nil"/>
              <w:left w:val="nil"/>
              <w:bottom w:val="nil"/>
              <w:right w:val="nil"/>
            </w:tcBorders>
          </w:tcPr>
          <w:p w14:paraId="26B5F499" w14:textId="77777777" w:rsidR="00CF0E2D" w:rsidRPr="004B40E1" w:rsidRDefault="00CF0E2D" w:rsidP="00A60D4B">
            <w:pPr>
              <w:pStyle w:val="Btablefigureunbold"/>
              <w:rPr>
                <w:szCs w:val="20"/>
              </w:rPr>
            </w:pPr>
          </w:p>
        </w:tc>
        <w:tc>
          <w:tcPr>
            <w:tcW w:w="954" w:type="dxa"/>
            <w:gridSpan w:val="2"/>
            <w:tcBorders>
              <w:top w:val="nil"/>
              <w:left w:val="nil"/>
              <w:bottom w:val="nil"/>
              <w:right w:val="nil"/>
            </w:tcBorders>
          </w:tcPr>
          <w:p w14:paraId="2D754DE7" w14:textId="77777777" w:rsidR="00CF0E2D" w:rsidRPr="004B40E1" w:rsidRDefault="00CF0E2D" w:rsidP="00A60D4B">
            <w:pPr>
              <w:pStyle w:val="Btablefigureunbold"/>
              <w:rPr>
                <w:b/>
                <w:bCs/>
                <w:szCs w:val="20"/>
              </w:rPr>
            </w:pPr>
          </w:p>
        </w:tc>
      </w:tr>
      <w:tr w:rsidR="00CF0E2D" w:rsidRPr="00D60558" w14:paraId="293AEC57" w14:textId="77777777" w:rsidTr="00A60D4B">
        <w:trPr>
          <w:gridAfter w:val="1"/>
          <w:wAfter w:w="9" w:type="dxa"/>
          <w:jc w:val="center"/>
        </w:trPr>
        <w:tc>
          <w:tcPr>
            <w:tcW w:w="3355" w:type="dxa"/>
            <w:tcBorders>
              <w:top w:val="nil"/>
              <w:left w:val="nil"/>
              <w:bottom w:val="nil"/>
              <w:right w:val="nil"/>
            </w:tcBorders>
          </w:tcPr>
          <w:p w14:paraId="4089A7C0" w14:textId="77777777" w:rsidR="00CF0E2D" w:rsidRPr="00251FAB" w:rsidRDefault="00CF0E2D" w:rsidP="00A60D4B">
            <w:pPr>
              <w:pStyle w:val="Btabletextunbold"/>
              <w:rPr>
                <w:szCs w:val="20"/>
              </w:rPr>
            </w:pPr>
            <w:r>
              <w:rPr>
                <w:rFonts w:cs="Calibri"/>
                <w:color w:val="000000"/>
                <w:szCs w:val="20"/>
              </w:rPr>
              <w:t>–</w:t>
            </w:r>
            <w:r w:rsidRPr="00251FAB">
              <w:rPr>
                <w:rFonts w:cs="Calibri"/>
                <w:color w:val="000000"/>
                <w:szCs w:val="20"/>
              </w:rPr>
              <w:t xml:space="preserve"> Better justice support for vulnerable Canberrans</w:t>
            </w:r>
          </w:p>
        </w:tc>
        <w:tc>
          <w:tcPr>
            <w:tcW w:w="1093" w:type="dxa"/>
            <w:tcBorders>
              <w:top w:val="nil"/>
              <w:left w:val="nil"/>
              <w:bottom w:val="nil"/>
              <w:right w:val="nil"/>
            </w:tcBorders>
          </w:tcPr>
          <w:p w14:paraId="7BF544D1" w14:textId="77777777" w:rsidR="00CF0E2D" w:rsidRPr="00251FAB" w:rsidRDefault="00CF0E2D" w:rsidP="00A60D4B">
            <w:pPr>
              <w:pStyle w:val="Btablefigureunbold"/>
              <w:ind w:left="0" w:firstLine="0"/>
              <w:jc w:val="left"/>
              <w:rPr>
                <w:rFonts w:cs="Calibri"/>
                <w:color w:val="000000"/>
                <w:szCs w:val="20"/>
              </w:rPr>
            </w:pPr>
            <w:r w:rsidRPr="00DB6422">
              <w:rPr>
                <w:rFonts w:cs="Calibri"/>
                <w:color w:val="000000"/>
                <w:szCs w:val="20"/>
              </w:rPr>
              <w:t>Net cost</w:t>
            </w:r>
          </w:p>
        </w:tc>
        <w:tc>
          <w:tcPr>
            <w:tcW w:w="964" w:type="dxa"/>
            <w:gridSpan w:val="2"/>
            <w:tcBorders>
              <w:top w:val="nil"/>
              <w:left w:val="nil"/>
              <w:bottom w:val="nil"/>
              <w:right w:val="nil"/>
            </w:tcBorders>
          </w:tcPr>
          <w:p w14:paraId="0B5DFE7D" w14:textId="77777777" w:rsidR="00CF0E2D" w:rsidRPr="004B40E1" w:rsidRDefault="00CF0E2D" w:rsidP="00A60D4B">
            <w:pPr>
              <w:pStyle w:val="Btablefigureunbold"/>
              <w:rPr>
                <w:szCs w:val="20"/>
              </w:rPr>
            </w:pPr>
            <w:r w:rsidRPr="004B40E1">
              <w:rPr>
                <w:rFonts w:cs="Calibri"/>
                <w:color w:val="000000"/>
                <w:szCs w:val="20"/>
              </w:rPr>
              <w:t>1,342</w:t>
            </w:r>
          </w:p>
        </w:tc>
        <w:tc>
          <w:tcPr>
            <w:tcW w:w="964" w:type="dxa"/>
            <w:gridSpan w:val="2"/>
            <w:tcBorders>
              <w:top w:val="nil"/>
              <w:left w:val="nil"/>
              <w:bottom w:val="nil"/>
              <w:right w:val="nil"/>
            </w:tcBorders>
          </w:tcPr>
          <w:p w14:paraId="2FF8BEED" w14:textId="77777777" w:rsidR="00CF0E2D" w:rsidRPr="004B40E1" w:rsidRDefault="00CF0E2D" w:rsidP="00A60D4B">
            <w:pPr>
              <w:pStyle w:val="Btablefigureunbold"/>
              <w:rPr>
                <w:szCs w:val="20"/>
              </w:rPr>
            </w:pPr>
            <w:r w:rsidRPr="004B40E1">
              <w:rPr>
                <w:rFonts w:cs="Calibri"/>
                <w:color w:val="000000"/>
                <w:szCs w:val="20"/>
              </w:rPr>
              <w:t>956</w:t>
            </w:r>
          </w:p>
        </w:tc>
        <w:tc>
          <w:tcPr>
            <w:tcW w:w="964" w:type="dxa"/>
            <w:gridSpan w:val="2"/>
            <w:tcBorders>
              <w:top w:val="nil"/>
              <w:left w:val="nil"/>
              <w:bottom w:val="nil"/>
              <w:right w:val="nil"/>
            </w:tcBorders>
          </w:tcPr>
          <w:p w14:paraId="74C168CE" w14:textId="77777777" w:rsidR="00CF0E2D" w:rsidRPr="004B40E1" w:rsidRDefault="00CF0E2D" w:rsidP="00A60D4B">
            <w:pPr>
              <w:pStyle w:val="Btablefigureunbold"/>
              <w:rPr>
                <w:szCs w:val="20"/>
              </w:rPr>
            </w:pPr>
            <w:r w:rsidRPr="004B40E1">
              <w:rPr>
                <w:rFonts w:cs="Calibri"/>
                <w:color w:val="000000"/>
                <w:szCs w:val="20"/>
              </w:rPr>
              <w:t>106</w:t>
            </w:r>
          </w:p>
        </w:tc>
        <w:tc>
          <w:tcPr>
            <w:tcW w:w="964" w:type="dxa"/>
            <w:gridSpan w:val="2"/>
            <w:tcBorders>
              <w:top w:val="nil"/>
              <w:left w:val="nil"/>
              <w:bottom w:val="nil"/>
              <w:right w:val="nil"/>
            </w:tcBorders>
          </w:tcPr>
          <w:p w14:paraId="3ADE9774" w14:textId="77777777" w:rsidR="00CF0E2D" w:rsidRPr="004B40E1" w:rsidRDefault="00CF0E2D" w:rsidP="00A60D4B">
            <w:pPr>
              <w:pStyle w:val="Btablefigureunbold"/>
              <w:rPr>
                <w:szCs w:val="20"/>
              </w:rPr>
            </w:pPr>
            <w:r w:rsidRPr="004B40E1">
              <w:rPr>
                <w:rFonts w:cs="Calibri"/>
                <w:color w:val="000000"/>
                <w:szCs w:val="20"/>
              </w:rPr>
              <w:t>109</w:t>
            </w:r>
          </w:p>
        </w:tc>
        <w:tc>
          <w:tcPr>
            <w:tcW w:w="954" w:type="dxa"/>
            <w:gridSpan w:val="2"/>
            <w:tcBorders>
              <w:top w:val="nil"/>
              <w:left w:val="nil"/>
              <w:bottom w:val="nil"/>
              <w:right w:val="nil"/>
            </w:tcBorders>
          </w:tcPr>
          <w:p w14:paraId="08651748" w14:textId="77777777" w:rsidR="00CF0E2D" w:rsidRPr="004B40E1" w:rsidRDefault="00CF0E2D" w:rsidP="00A60D4B">
            <w:pPr>
              <w:pStyle w:val="Btablefigureunbold"/>
              <w:rPr>
                <w:b/>
                <w:bCs/>
                <w:szCs w:val="20"/>
              </w:rPr>
            </w:pPr>
            <w:r w:rsidRPr="004B40E1">
              <w:rPr>
                <w:rFonts w:cs="Calibri"/>
                <w:b/>
                <w:bCs/>
                <w:color w:val="000000"/>
                <w:szCs w:val="20"/>
              </w:rPr>
              <w:t>2,513</w:t>
            </w:r>
          </w:p>
        </w:tc>
      </w:tr>
      <w:tr w:rsidR="00CF0E2D" w:rsidRPr="00D60558" w14:paraId="7897D2A2" w14:textId="77777777" w:rsidTr="00A60D4B">
        <w:trPr>
          <w:gridAfter w:val="1"/>
          <w:wAfter w:w="9" w:type="dxa"/>
          <w:jc w:val="center"/>
        </w:trPr>
        <w:tc>
          <w:tcPr>
            <w:tcW w:w="3355" w:type="dxa"/>
            <w:tcBorders>
              <w:top w:val="nil"/>
              <w:left w:val="nil"/>
              <w:bottom w:val="nil"/>
              <w:right w:val="nil"/>
            </w:tcBorders>
          </w:tcPr>
          <w:p w14:paraId="54898E83" w14:textId="77777777" w:rsidR="00CF0E2D" w:rsidRPr="00251FAB" w:rsidRDefault="00CF0E2D" w:rsidP="00A60D4B">
            <w:pPr>
              <w:pStyle w:val="Btabletextunbold"/>
              <w:rPr>
                <w:szCs w:val="20"/>
              </w:rPr>
            </w:pPr>
            <w:r>
              <w:rPr>
                <w:rFonts w:cs="Calibri"/>
                <w:color w:val="000000"/>
                <w:szCs w:val="20"/>
              </w:rPr>
              <w:t>–</w:t>
            </w:r>
            <w:r w:rsidRPr="00251FAB">
              <w:rPr>
                <w:rFonts w:cs="Calibri"/>
                <w:color w:val="000000"/>
                <w:szCs w:val="20"/>
              </w:rPr>
              <w:t xml:space="preserve"> Community legal assistance sector support</w:t>
            </w:r>
          </w:p>
        </w:tc>
        <w:tc>
          <w:tcPr>
            <w:tcW w:w="1093" w:type="dxa"/>
            <w:tcBorders>
              <w:top w:val="nil"/>
              <w:left w:val="nil"/>
              <w:bottom w:val="nil"/>
              <w:right w:val="nil"/>
            </w:tcBorders>
          </w:tcPr>
          <w:p w14:paraId="3C2D0750" w14:textId="77777777" w:rsidR="00CF0E2D" w:rsidRPr="00251FAB" w:rsidRDefault="00CF0E2D" w:rsidP="00A60D4B">
            <w:pPr>
              <w:pStyle w:val="Btablefigureunbold"/>
              <w:ind w:left="0" w:firstLine="0"/>
              <w:jc w:val="left"/>
              <w:rPr>
                <w:rFonts w:cs="Calibri"/>
                <w:color w:val="000000"/>
                <w:szCs w:val="20"/>
              </w:rPr>
            </w:pPr>
            <w:r w:rsidRPr="00DB6422">
              <w:rPr>
                <w:rFonts w:cs="Calibri"/>
                <w:color w:val="000000"/>
                <w:szCs w:val="20"/>
              </w:rPr>
              <w:t>Net cost</w:t>
            </w:r>
          </w:p>
        </w:tc>
        <w:tc>
          <w:tcPr>
            <w:tcW w:w="964" w:type="dxa"/>
            <w:gridSpan w:val="2"/>
            <w:tcBorders>
              <w:top w:val="nil"/>
              <w:left w:val="nil"/>
              <w:bottom w:val="nil"/>
              <w:right w:val="nil"/>
            </w:tcBorders>
          </w:tcPr>
          <w:p w14:paraId="267E6C18" w14:textId="77777777" w:rsidR="00CF0E2D" w:rsidRPr="004B40E1" w:rsidRDefault="00CF0E2D" w:rsidP="00A60D4B">
            <w:pPr>
              <w:pStyle w:val="Btablefigureunbold"/>
              <w:rPr>
                <w:szCs w:val="20"/>
              </w:rPr>
            </w:pPr>
            <w:r w:rsidRPr="004B40E1">
              <w:rPr>
                <w:rFonts w:cs="Calibri"/>
                <w:color w:val="000000"/>
                <w:szCs w:val="20"/>
              </w:rPr>
              <w:t>1,199</w:t>
            </w:r>
          </w:p>
        </w:tc>
        <w:tc>
          <w:tcPr>
            <w:tcW w:w="964" w:type="dxa"/>
            <w:gridSpan w:val="2"/>
            <w:tcBorders>
              <w:top w:val="nil"/>
              <w:left w:val="nil"/>
              <w:bottom w:val="nil"/>
              <w:right w:val="nil"/>
            </w:tcBorders>
          </w:tcPr>
          <w:p w14:paraId="5B059B00" w14:textId="77777777" w:rsidR="00CF0E2D" w:rsidRPr="004B40E1" w:rsidRDefault="00CF0E2D" w:rsidP="00A60D4B">
            <w:pPr>
              <w:pStyle w:val="Btablefigureunbold"/>
              <w:rPr>
                <w:szCs w:val="20"/>
              </w:rPr>
            </w:pPr>
            <w:r w:rsidRPr="004B40E1">
              <w:rPr>
                <w:rFonts w:cs="Calibri"/>
                <w:color w:val="000000"/>
                <w:szCs w:val="20"/>
              </w:rPr>
              <w:t>502</w:t>
            </w:r>
          </w:p>
        </w:tc>
        <w:tc>
          <w:tcPr>
            <w:tcW w:w="964" w:type="dxa"/>
            <w:gridSpan w:val="2"/>
            <w:tcBorders>
              <w:top w:val="nil"/>
              <w:left w:val="nil"/>
              <w:bottom w:val="nil"/>
              <w:right w:val="nil"/>
            </w:tcBorders>
          </w:tcPr>
          <w:p w14:paraId="01183761" w14:textId="77777777" w:rsidR="00CF0E2D" w:rsidRPr="004B40E1" w:rsidRDefault="00CF0E2D" w:rsidP="00A60D4B">
            <w:pPr>
              <w:pStyle w:val="Btablefigureunbold"/>
              <w:rPr>
                <w:szCs w:val="20"/>
              </w:rPr>
            </w:pPr>
            <w:r w:rsidRPr="004B40E1">
              <w:rPr>
                <w:rFonts w:cs="Calibri"/>
                <w:color w:val="000000"/>
                <w:szCs w:val="20"/>
              </w:rPr>
              <w:t>157</w:t>
            </w:r>
          </w:p>
        </w:tc>
        <w:tc>
          <w:tcPr>
            <w:tcW w:w="964" w:type="dxa"/>
            <w:gridSpan w:val="2"/>
            <w:tcBorders>
              <w:top w:val="nil"/>
              <w:left w:val="nil"/>
              <w:bottom w:val="nil"/>
              <w:right w:val="nil"/>
            </w:tcBorders>
          </w:tcPr>
          <w:p w14:paraId="191138B1" w14:textId="77777777" w:rsidR="00CF0E2D" w:rsidRPr="004B40E1" w:rsidRDefault="00CF0E2D" w:rsidP="00A60D4B">
            <w:pPr>
              <w:pStyle w:val="Btablefigureunbold"/>
              <w:rPr>
                <w:szCs w:val="20"/>
              </w:rPr>
            </w:pPr>
            <w:r w:rsidRPr="004B40E1">
              <w:rPr>
                <w:rFonts w:cs="Calibri"/>
                <w:color w:val="000000"/>
                <w:szCs w:val="20"/>
              </w:rPr>
              <w:t>160</w:t>
            </w:r>
          </w:p>
        </w:tc>
        <w:tc>
          <w:tcPr>
            <w:tcW w:w="954" w:type="dxa"/>
            <w:gridSpan w:val="2"/>
            <w:tcBorders>
              <w:top w:val="nil"/>
              <w:left w:val="nil"/>
              <w:bottom w:val="nil"/>
              <w:right w:val="nil"/>
            </w:tcBorders>
          </w:tcPr>
          <w:p w14:paraId="44B89779" w14:textId="77777777" w:rsidR="00CF0E2D" w:rsidRPr="004B40E1" w:rsidRDefault="00CF0E2D" w:rsidP="00A60D4B">
            <w:pPr>
              <w:pStyle w:val="Btablefigureunbold"/>
              <w:rPr>
                <w:b/>
                <w:bCs/>
                <w:szCs w:val="20"/>
              </w:rPr>
            </w:pPr>
            <w:r w:rsidRPr="004B40E1">
              <w:rPr>
                <w:rFonts w:cs="Calibri"/>
                <w:b/>
                <w:bCs/>
                <w:color w:val="000000"/>
                <w:szCs w:val="20"/>
              </w:rPr>
              <w:t>2,018</w:t>
            </w:r>
          </w:p>
        </w:tc>
      </w:tr>
      <w:tr w:rsidR="00CF0E2D" w:rsidRPr="00D60558" w14:paraId="650C6CC1" w14:textId="77777777" w:rsidTr="00A60D4B">
        <w:trPr>
          <w:gridAfter w:val="1"/>
          <w:wAfter w:w="9" w:type="dxa"/>
          <w:jc w:val="center"/>
        </w:trPr>
        <w:tc>
          <w:tcPr>
            <w:tcW w:w="3355" w:type="dxa"/>
            <w:tcBorders>
              <w:top w:val="nil"/>
              <w:left w:val="nil"/>
              <w:bottom w:val="nil"/>
              <w:right w:val="nil"/>
            </w:tcBorders>
          </w:tcPr>
          <w:p w14:paraId="737898EB" w14:textId="77777777" w:rsidR="00CF0E2D" w:rsidRPr="00251FAB" w:rsidRDefault="00CF0E2D" w:rsidP="00A60D4B">
            <w:pPr>
              <w:pStyle w:val="Btabletextunbold"/>
              <w:rPr>
                <w:szCs w:val="20"/>
              </w:rPr>
            </w:pPr>
            <w:r w:rsidRPr="00251FAB">
              <w:rPr>
                <w:rFonts w:cs="Calibri"/>
                <w:color w:val="000000"/>
                <w:szCs w:val="20"/>
              </w:rPr>
              <w:t xml:space="preserve">Dedicated Coroners Court for the ACT </w:t>
            </w:r>
          </w:p>
        </w:tc>
        <w:tc>
          <w:tcPr>
            <w:tcW w:w="1093" w:type="dxa"/>
            <w:tcBorders>
              <w:top w:val="nil"/>
              <w:left w:val="nil"/>
              <w:bottom w:val="nil"/>
              <w:right w:val="nil"/>
            </w:tcBorders>
          </w:tcPr>
          <w:p w14:paraId="748F6A2D" w14:textId="77777777" w:rsidR="00CF0E2D" w:rsidRPr="00251FAB" w:rsidRDefault="00CF0E2D" w:rsidP="00A60D4B">
            <w:pPr>
              <w:pStyle w:val="Btablefigureunbold"/>
              <w:ind w:left="0" w:firstLine="0"/>
              <w:jc w:val="left"/>
              <w:rPr>
                <w:rFonts w:cs="Calibri"/>
                <w:color w:val="000000"/>
                <w:szCs w:val="20"/>
              </w:rPr>
            </w:pPr>
            <w:r w:rsidRPr="00DB6422">
              <w:rPr>
                <w:rFonts w:cs="Calibri"/>
                <w:color w:val="000000"/>
                <w:szCs w:val="20"/>
              </w:rPr>
              <w:t>Net cost</w:t>
            </w:r>
          </w:p>
        </w:tc>
        <w:tc>
          <w:tcPr>
            <w:tcW w:w="964" w:type="dxa"/>
            <w:gridSpan w:val="2"/>
            <w:tcBorders>
              <w:top w:val="nil"/>
              <w:left w:val="nil"/>
              <w:bottom w:val="nil"/>
              <w:right w:val="nil"/>
            </w:tcBorders>
          </w:tcPr>
          <w:p w14:paraId="3CE93576" w14:textId="77777777" w:rsidR="00CF0E2D" w:rsidRPr="004B40E1" w:rsidRDefault="00CF0E2D" w:rsidP="00A60D4B">
            <w:pPr>
              <w:pStyle w:val="Btablefigureunbold"/>
              <w:rPr>
                <w:szCs w:val="20"/>
              </w:rPr>
            </w:pPr>
            <w:r w:rsidRPr="004B40E1">
              <w:rPr>
                <w:rFonts w:cs="Calibri"/>
                <w:color w:val="000000"/>
                <w:szCs w:val="20"/>
              </w:rPr>
              <w:t>1,135</w:t>
            </w:r>
          </w:p>
        </w:tc>
        <w:tc>
          <w:tcPr>
            <w:tcW w:w="964" w:type="dxa"/>
            <w:gridSpan w:val="2"/>
            <w:tcBorders>
              <w:top w:val="nil"/>
              <w:left w:val="nil"/>
              <w:bottom w:val="nil"/>
              <w:right w:val="nil"/>
            </w:tcBorders>
          </w:tcPr>
          <w:p w14:paraId="59B4C61C" w14:textId="77777777" w:rsidR="00CF0E2D" w:rsidRPr="004B40E1" w:rsidRDefault="00CF0E2D" w:rsidP="00A60D4B">
            <w:pPr>
              <w:pStyle w:val="Btablefigureunbold"/>
              <w:rPr>
                <w:szCs w:val="20"/>
              </w:rPr>
            </w:pPr>
            <w:r w:rsidRPr="004B40E1">
              <w:rPr>
                <w:rFonts w:cs="Calibri"/>
                <w:color w:val="000000"/>
                <w:szCs w:val="20"/>
              </w:rPr>
              <w:t>888</w:t>
            </w:r>
          </w:p>
        </w:tc>
        <w:tc>
          <w:tcPr>
            <w:tcW w:w="964" w:type="dxa"/>
            <w:gridSpan w:val="2"/>
            <w:tcBorders>
              <w:top w:val="nil"/>
              <w:left w:val="nil"/>
              <w:bottom w:val="nil"/>
              <w:right w:val="nil"/>
            </w:tcBorders>
          </w:tcPr>
          <w:p w14:paraId="0720FCA3" w14:textId="77777777" w:rsidR="00CF0E2D" w:rsidRPr="004B40E1" w:rsidRDefault="00CF0E2D" w:rsidP="00A60D4B">
            <w:pPr>
              <w:pStyle w:val="Btablefigureunbold"/>
              <w:rPr>
                <w:szCs w:val="20"/>
              </w:rPr>
            </w:pPr>
            <w:r w:rsidRPr="004B40E1">
              <w:rPr>
                <w:rFonts w:cs="Calibri"/>
                <w:color w:val="000000"/>
                <w:szCs w:val="20"/>
              </w:rPr>
              <w:t>903</w:t>
            </w:r>
          </w:p>
        </w:tc>
        <w:tc>
          <w:tcPr>
            <w:tcW w:w="964" w:type="dxa"/>
            <w:gridSpan w:val="2"/>
            <w:tcBorders>
              <w:top w:val="nil"/>
              <w:left w:val="nil"/>
              <w:bottom w:val="nil"/>
              <w:right w:val="nil"/>
            </w:tcBorders>
          </w:tcPr>
          <w:p w14:paraId="1788B23D" w14:textId="77777777" w:rsidR="00CF0E2D" w:rsidRPr="004B40E1" w:rsidRDefault="00CF0E2D" w:rsidP="00A60D4B">
            <w:pPr>
              <w:pStyle w:val="Btablefigureunbold"/>
              <w:rPr>
                <w:szCs w:val="20"/>
              </w:rPr>
            </w:pPr>
            <w:r w:rsidRPr="004B40E1">
              <w:rPr>
                <w:rFonts w:cs="Calibri"/>
                <w:color w:val="000000"/>
                <w:szCs w:val="20"/>
              </w:rPr>
              <w:t>918</w:t>
            </w:r>
          </w:p>
        </w:tc>
        <w:tc>
          <w:tcPr>
            <w:tcW w:w="954" w:type="dxa"/>
            <w:gridSpan w:val="2"/>
            <w:tcBorders>
              <w:top w:val="nil"/>
              <w:left w:val="nil"/>
              <w:bottom w:val="nil"/>
              <w:right w:val="nil"/>
            </w:tcBorders>
          </w:tcPr>
          <w:p w14:paraId="722A8A66" w14:textId="77777777" w:rsidR="00CF0E2D" w:rsidRPr="004B40E1" w:rsidRDefault="00CF0E2D" w:rsidP="00A60D4B">
            <w:pPr>
              <w:pStyle w:val="Btablefigureunbold"/>
              <w:rPr>
                <w:b/>
                <w:bCs/>
                <w:szCs w:val="20"/>
              </w:rPr>
            </w:pPr>
            <w:r w:rsidRPr="004B40E1">
              <w:rPr>
                <w:rFonts w:cs="Calibri"/>
                <w:b/>
                <w:bCs/>
                <w:color w:val="000000"/>
                <w:szCs w:val="20"/>
              </w:rPr>
              <w:t>3,844</w:t>
            </w:r>
          </w:p>
        </w:tc>
      </w:tr>
      <w:tr w:rsidR="00CF0E2D" w:rsidRPr="00D60558" w14:paraId="6F9D89CF" w14:textId="77777777" w:rsidTr="00A60D4B">
        <w:trPr>
          <w:gridAfter w:val="1"/>
          <w:wAfter w:w="9" w:type="dxa"/>
          <w:jc w:val="center"/>
        </w:trPr>
        <w:tc>
          <w:tcPr>
            <w:tcW w:w="3355" w:type="dxa"/>
            <w:tcBorders>
              <w:top w:val="nil"/>
              <w:left w:val="nil"/>
              <w:bottom w:val="nil"/>
              <w:right w:val="nil"/>
            </w:tcBorders>
          </w:tcPr>
          <w:p w14:paraId="28B51223" w14:textId="77777777" w:rsidR="00CF0E2D" w:rsidRPr="00251FAB" w:rsidRDefault="00CF0E2D" w:rsidP="00A60D4B">
            <w:pPr>
              <w:pStyle w:val="Btabletextunbold"/>
              <w:rPr>
                <w:szCs w:val="20"/>
              </w:rPr>
            </w:pPr>
            <w:r w:rsidRPr="00251FAB">
              <w:rPr>
                <w:rFonts w:cs="Calibri"/>
                <w:color w:val="000000"/>
                <w:szCs w:val="20"/>
              </w:rPr>
              <w:t xml:space="preserve">Drug and Alcohol Court </w:t>
            </w:r>
            <w:r>
              <w:rPr>
                <w:rFonts w:cs="Calibri"/>
                <w:color w:val="000000"/>
                <w:szCs w:val="20"/>
              </w:rPr>
              <w:t>–</w:t>
            </w:r>
            <w:r w:rsidRPr="00251FAB">
              <w:rPr>
                <w:rFonts w:cs="Calibri"/>
                <w:color w:val="000000"/>
                <w:szCs w:val="20"/>
              </w:rPr>
              <w:t xml:space="preserve"> more support</w:t>
            </w:r>
          </w:p>
        </w:tc>
        <w:tc>
          <w:tcPr>
            <w:tcW w:w="1093" w:type="dxa"/>
            <w:tcBorders>
              <w:top w:val="nil"/>
              <w:left w:val="nil"/>
              <w:bottom w:val="nil"/>
              <w:right w:val="nil"/>
            </w:tcBorders>
          </w:tcPr>
          <w:p w14:paraId="4585A361" w14:textId="77777777" w:rsidR="00CF0E2D" w:rsidRPr="00251FAB" w:rsidRDefault="00CF0E2D" w:rsidP="00A60D4B">
            <w:pPr>
              <w:pStyle w:val="Btablefigureunbold"/>
              <w:ind w:left="0" w:firstLine="0"/>
              <w:jc w:val="left"/>
              <w:rPr>
                <w:rFonts w:cs="Calibri"/>
                <w:color w:val="000000"/>
                <w:szCs w:val="20"/>
              </w:rPr>
            </w:pPr>
            <w:r w:rsidRPr="00DB6422">
              <w:rPr>
                <w:rFonts w:cs="Calibri"/>
                <w:color w:val="000000"/>
                <w:szCs w:val="20"/>
              </w:rPr>
              <w:t>Net cost</w:t>
            </w:r>
          </w:p>
        </w:tc>
        <w:tc>
          <w:tcPr>
            <w:tcW w:w="964" w:type="dxa"/>
            <w:gridSpan w:val="2"/>
            <w:tcBorders>
              <w:top w:val="nil"/>
              <w:left w:val="nil"/>
              <w:bottom w:val="nil"/>
              <w:right w:val="nil"/>
            </w:tcBorders>
          </w:tcPr>
          <w:p w14:paraId="32D991D6" w14:textId="77777777" w:rsidR="00CF0E2D" w:rsidRPr="004B40E1" w:rsidRDefault="00CF0E2D" w:rsidP="00A60D4B">
            <w:pPr>
              <w:pStyle w:val="Btablefigureunbold"/>
              <w:rPr>
                <w:szCs w:val="20"/>
              </w:rPr>
            </w:pPr>
            <w:r w:rsidRPr="004B40E1">
              <w:rPr>
                <w:rFonts w:cs="Calibri"/>
                <w:color w:val="000000"/>
                <w:szCs w:val="20"/>
              </w:rPr>
              <w:t>2,833</w:t>
            </w:r>
          </w:p>
        </w:tc>
        <w:tc>
          <w:tcPr>
            <w:tcW w:w="964" w:type="dxa"/>
            <w:gridSpan w:val="2"/>
            <w:tcBorders>
              <w:top w:val="nil"/>
              <w:left w:val="nil"/>
              <w:bottom w:val="nil"/>
              <w:right w:val="nil"/>
            </w:tcBorders>
          </w:tcPr>
          <w:p w14:paraId="5FBC9129" w14:textId="77777777" w:rsidR="00CF0E2D" w:rsidRPr="004B40E1" w:rsidRDefault="00CF0E2D" w:rsidP="00A60D4B">
            <w:pPr>
              <w:pStyle w:val="Btablefigureunbold"/>
              <w:rPr>
                <w:szCs w:val="20"/>
              </w:rPr>
            </w:pPr>
            <w:r w:rsidRPr="004B40E1">
              <w:rPr>
                <w:rFonts w:cs="Calibri"/>
                <w:color w:val="000000"/>
                <w:szCs w:val="20"/>
              </w:rPr>
              <w:t>2,809</w:t>
            </w:r>
          </w:p>
        </w:tc>
        <w:tc>
          <w:tcPr>
            <w:tcW w:w="964" w:type="dxa"/>
            <w:gridSpan w:val="2"/>
            <w:tcBorders>
              <w:top w:val="nil"/>
              <w:left w:val="nil"/>
              <w:bottom w:val="nil"/>
              <w:right w:val="nil"/>
            </w:tcBorders>
          </w:tcPr>
          <w:p w14:paraId="6019CA9A" w14:textId="77777777" w:rsidR="00CF0E2D" w:rsidRPr="004B40E1" w:rsidRDefault="00CF0E2D" w:rsidP="00A60D4B">
            <w:pPr>
              <w:pStyle w:val="Btablefigureunbold"/>
              <w:rPr>
                <w:szCs w:val="20"/>
              </w:rPr>
            </w:pPr>
            <w:r w:rsidRPr="004B40E1">
              <w:rPr>
                <w:rFonts w:cs="Calibri"/>
                <w:color w:val="000000"/>
                <w:szCs w:val="20"/>
              </w:rPr>
              <w:t>2,236</w:t>
            </w:r>
          </w:p>
        </w:tc>
        <w:tc>
          <w:tcPr>
            <w:tcW w:w="964" w:type="dxa"/>
            <w:gridSpan w:val="2"/>
            <w:tcBorders>
              <w:top w:val="nil"/>
              <w:left w:val="nil"/>
              <w:bottom w:val="nil"/>
              <w:right w:val="nil"/>
            </w:tcBorders>
          </w:tcPr>
          <w:p w14:paraId="587E67AF" w14:textId="77777777" w:rsidR="00CF0E2D" w:rsidRPr="004B40E1" w:rsidRDefault="00CF0E2D" w:rsidP="00A60D4B">
            <w:pPr>
              <w:pStyle w:val="Btablefigureunbold"/>
              <w:rPr>
                <w:szCs w:val="20"/>
              </w:rPr>
            </w:pPr>
            <w:r w:rsidRPr="004B40E1">
              <w:rPr>
                <w:rFonts w:cs="Calibri"/>
                <w:color w:val="000000"/>
                <w:szCs w:val="20"/>
              </w:rPr>
              <w:t>2,268</w:t>
            </w:r>
          </w:p>
        </w:tc>
        <w:tc>
          <w:tcPr>
            <w:tcW w:w="954" w:type="dxa"/>
            <w:gridSpan w:val="2"/>
            <w:tcBorders>
              <w:top w:val="nil"/>
              <w:left w:val="nil"/>
              <w:bottom w:val="nil"/>
              <w:right w:val="nil"/>
            </w:tcBorders>
          </w:tcPr>
          <w:p w14:paraId="045C9A71" w14:textId="77777777" w:rsidR="00CF0E2D" w:rsidRPr="004B40E1" w:rsidRDefault="00CF0E2D" w:rsidP="00A60D4B">
            <w:pPr>
              <w:pStyle w:val="Btablefigureunbold"/>
              <w:rPr>
                <w:b/>
                <w:bCs/>
                <w:szCs w:val="20"/>
              </w:rPr>
            </w:pPr>
            <w:r w:rsidRPr="004B40E1">
              <w:rPr>
                <w:rFonts w:cs="Calibri"/>
                <w:b/>
                <w:bCs/>
                <w:color w:val="000000"/>
                <w:szCs w:val="20"/>
              </w:rPr>
              <w:t>10,146</w:t>
            </w:r>
          </w:p>
        </w:tc>
      </w:tr>
      <w:tr w:rsidR="00CF0E2D" w:rsidRPr="00D60558" w14:paraId="70967864" w14:textId="77777777" w:rsidTr="00A60D4B">
        <w:trPr>
          <w:gridAfter w:val="1"/>
          <w:wAfter w:w="9" w:type="dxa"/>
          <w:jc w:val="center"/>
        </w:trPr>
        <w:tc>
          <w:tcPr>
            <w:tcW w:w="3355" w:type="dxa"/>
            <w:tcBorders>
              <w:top w:val="nil"/>
              <w:left w:val="nil"/>
              <w:bottom w:val="nil"/>
              <w:right w:val="nil"/>
            </w:tcBorders>
          </w:tcPr>
          <w:p w14:paraId="09BCC336" w14:textId="77777777" w:rsidR="00CF0E2D" w:rsidRPr="00251FAB" w:rsidRDefault="00CF0E2D" w:rsidP="00A60D4B">
            <w:pPr>
              <w:pStyle w:val="Btabletextunbold"/>
              <w:rPr>
                <w:szCs w:val="20"/>
              </w:rPr>
            </w:pPr>
            <w:r w:rsidRPr="00251FAB">
              <w:rPr>
                <w:rFonts w:cs="Calibri"/>
                <w:color w:val="000000"/>
                <w:szCs w:val="20"/>
              </w:rPr>
              <w:t>Galambany Circle Sentencing Court upgrades</w:t>
            </w:r>
          </w:p>
        </w:tc>
        <w:tc>
          <w:tcPr>
            <w:tcW w:w="1093" w:type="dxa"/>
            <w:tcBorders>
              <w:top w:val="nil"/>
              <w:left w:val="nil"/>
              <w:bottom w:val="nil"/>
              <w:right w:val="nil"/>
            </w:tcBorders>
          </w:tcPr>
          <w:p w14:paraId="2999AF95" w14:textId="77777777" w:rsidR="00CF0E2D" w:rsidRPr="00251FAB" w:rsidRDefault="00CF0E2D" w:rsidP="00A60D4B">
            <w:pPr>
              <w:pStyle w:val="Btablefigureunbold"/>
              <w:ind w:left="0" w:firstLine="0"/>
              <w:jc w:val="left"/>
              <w:rPr>
                <w:rFonts w:cs="Calibri"/>
                <w:color w:val="000000"/>
                <w:szCs w:val="20"/>
              </w:rPr>
            </w:pPr>
            <w:r w:rsidRPr="00251FAB">
              <w:rPr>
                <w:rFonts w:cs="Calibri"/>
                <w:color w:val="000000"/>
                <w:szCs w:val="20"/>
              </w:rPr>
              <w:t>Net capital</w:t>
            </w:r>
          </w:p>
        </w:tc>
        <w:tc>
          <w:tcPr>
            <w:tcW w:w="964" w:type="dxa"/>
            <w:gridSpan w:val="2"/>
            <w:tcBorders>
              <w:top w:val="nil"/>
              <w:left w:val="nil"/>
              <w:bottom w:val="nil"/>
              <w:right w:val="nil"/>
            </w:tcBorders>
          </w:tcPr>
          <w:p w14:paraId="07F1AD1E"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5D8AFE09"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38408A91"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1F10BAB7" w14:textId="77777777" w:rsidR="00CF0E2D" w:rsidRPr="004B40E1" w:rsidRDefault="00CF0E2D" w:rsidP="00A60D4B">
            <w:pPr>
              <w:pStyle w:val="Btablefigureunbold"/>
              <w:rPr>
                <w:szCs w:val="20"/>
              </w:rPr>
            </w:pPr>
            <w:r w:rsidRPr="004B40E1">
              <w:rPr>
                <w:rFonts w:cs="Calibri"/>
                <w:color w:val="000000"/>
                <w:szCs w:val="20"/>
              </w:rPr>
              <w:t>0</w:t>
            </w:r>
          </w:p>
        </w:tc>
        <w:tc>
          <w:tcPr>
            <w:tcW w:w="954" w:type="dxa"/>
            <w:gridSpan w:val="2"/>
            <w:tcBorders>
              <w:top w:val="nil"/>
              <w:left w:val="nil"/>
              <w:bottom w:val="nil"/>
              <w:right w:val="nil"/>
            </w:tcBorders>
          </w:tcPr>
          <w:p w14:paraId="5FD7B062" w14:textId="77777777" w:rsidR="00CF0E2D" w:rsidRPr="004B40E1" w:rsidRDefault="00CF0E2D" w:rsidP="00A60D4B">
            <w:pPr>
              <w:pStyle w:val="Btablefigureunbold"/>
              <w:rPr>
                <w:b/>
                <w:bCs/>
                <w:szCs w:val="20"/>
              </w:rPr>
            </w:pPr>
            <w:r w:rsidRPr="004B40E1">
              <w:rPr>
                <w:rFonts w:cs="Calibri"/>
                <w:b/>
                <w:bCs/>
                <w:color w:val="000000"/>
                <w:szCs w:val="20"/>
              </w:rPr>
              <w:t>0</w:t>
            </w:r>
          </w:p>
        </w:tc>
      </w:tr>
      <w:tr w:rsidR="00CF0E2D" w:rsidRPr="00D60558" w14:paraId="4558EB52" w14:textId="77777777" w:rsidTr="00A60D4B">
        <w:trPr>
          <w:gridAfter w:val="1"/>
          <w:wAfter w:w="9" w:type="dxa"/>
          <w:jc w:val="center"/>
        </w:trPr>
        <w:tc>
          <w:tcPr>
            <w:tcW w:w="3355" w:type="dxa"/>
            <w:tcBorders>
              <w:top w:val="nil"/>
              <w:left w:val="nil"/>
              <w:bottom w:val="nil"/>
              <w:right w:val="nil"/>
            </w:tcBorders>
          </w:tcPr>
          <w:p w14:paraId="57957788" w14:textId="77777777" w:rsidR="00CF0E2D" w:rsidRPr="00251FAB" w:rsidRDefault="00CF0E2D" w:rsidP="00A60D4B">
            <w:pPr>
              <w:pStyle w:val="Btabletextunbold"/>
              <w:rPr>
                <w:szCs w:val="20"/>
              </w:rPr>
            </w:pPr>
            <w:r w:rsidRPr="00251FAB">
              <w:rPr>
                <w:rFonts w:cs="Calibri"/>
                <w:color w:val="000000"/>
                <w:szCs w:val="20"/>
              </w:rPr>
              <w:t>Galambany Circle Sentencing Court upgrades</w:t>
            </w:r>
          </w:p>
        </w:tc>
        <w:tc>
          <w:tcPr>
            <w:tcW w:w="1093" w:type="dxa"/>
            <w:tcBorders>
              <w:top w:val="nil"/>
              <w:left w:val="nil"/>
              <w:bottom w:val="nil"/>
              <w:right w:val="nil"/>
            </w:tcBorders>
          </w:tcPr>
          <w:p w14:paraId="1C178921" w14:textId="77777777" w:rsidR="00CF0E2D" w:rsidRPr="00251FAB" w:rsidRDefault="00CF0E2D" w:rsidP="00A60D4B">
            <w:pPr>
              <w:pStyle w:val="Btablefigureunbold"/>
              <w:ind w:left="0" w:firstLine="0"/>
              <w:jc w:val="left"/>
              <w:rPr>
                <w:rFonts w:cs="Calibri"/>
                <w:color w:val="000000"/>
                <w:szCs w:val="20"/>
              </w:rPr>
            </w:pPr>
            <w:r w:rsidRPr="00EE2BA6">
              <w:rPr>
                <w:rFonts w:cs="Calibri"/>
                <w:color w:val="000000"/>
                <w:szCs w:val="20"/>
              </w:rPr>
              <w:t>Net cost</w:t>
            </w:r>
          </w:p>
        </w:tc>
        <w:tc>
          <w:tcPr>
            <w:tcW w:w="964" w:type="dxa"/>
            <w:gridSpan w:val="2"/>
            <w:tcBorders>
              <w:top w:val="nil"/>
              <w:left w:val="nil"/>
              <w:bottom w:val="nil"/>
              <w:right w:val="nil"/>
            </w:tcBorders>
          </w:tcPr>
          <w:p w14:paraId="4DF47FF8"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37DE23C9" w14:textId="77777777" w:rsidR="00CF0E2D" w:rsidRPr="004B40E1" w:rsidRDefault="00CF0E2D" w:rsidP="00A60D4B">
            <w:pPr>
              <w:pStyle w:val="Btablefigureunbold"/>
              <w:rPr>
                <w:szCs w:val="20"/>
              </w:rPr>
            </w:pPr>
            <w:r w:rsidRPr="004B40E1">
              <w:rPr>
                <w:rFonts w:cs="Calibri"/>
                <w:color w:val="000000"/>
                <w:szCs w:val="20"/>
              </w:rPr>
              <w:t>48</w:t>
            </w:r>
          </w:p>
        </w:tc>
        <w:tc>
          <w:tcPr>
            <w:tcW w:w="964" w:type="dxa"/>
            <w:gridSpan w:val="2"/>
            <w:tcBorders>
              <w:top w:val="nil"/>
              <w:left w:val="nil"/>
              <w:bottom w:val="nil"/>
              <w:right w:val="nil"/>
            </w:tcBorders>
          </w:tcPr>
          <w:p w14:paraId="600FB5ED" w14:textId="77777777" w:rsidR="00CF0E2D" w:rsidRPr="004B40E1" w:rsidRDefault="00CF0E2D" w:rsidP="00A60D4B">
            <w:pPr>
              <w:pStyle w:val="Btablefigureunbold"/>
              <w:rPr>
                <w:szCs w:val="20"/>
              </w:rPr>
            </w:pPr>
            <w:r w:rsidRPr="004B40E1">
              <w:rPr>
                <w:rFonts w:cs="Calibri"/>
                <w:color w:val="000000"/>
                <w:szCs w:val="20"/>
              </w:rPr>
              <w:t>48</w:t>
            </w:r>
          </w:p>
        </w:tc>
        <w:tc>
          <w:tcPr>
            <w:tcW w:w="964" w:type="dxa"/>
            <w:gridSpan w:val="2"/>
            <w:tcBorders>
              <w:top w:val="nil"/>
              <w:left w:val="nil"/>
              <w:bottom w:val="nil"/>
              <w:right w:val="nil"/>
            </w:tcBorders>
          </w:tcPr>
          <w:p w14:paraId="55C3321E" w14:textId="77777777" w:rsidR="00CF0E2D" w:rsidRPr="004B40E1" w:rsidRDefault="00CF0E2D" w:rsidP="00A60D4B">
            <w:pPr>
              <w:pStyle w:val="Btablefigureunbold"/>
              <w:rPr>
                <w:szCs w:val="20"/>
              </w:rPr>
            </w:pPr>
            <w:r w:rsidRPr="004B40E1">
              <w:rPr>
                <w:rFonts w:cs="Calibri"/>
                <w:color w:val="000000"/>
                <w:szCs w:val="20"/>
              </w:rPr>
              <w:t>48</w:t>
            </w:r>
          </w:p>
        </w:tc>
        <w:tc>
          <w:tcPr>
            <w:tcW w:w="954" w:type="dxa"/>
            <w:gridSpan w:val="2"/>
            <w:tcBorders>
              <w:top w:val="nil"/>
              <w:left w:val="nil"/>
              <w:bottom w:val="nil"/>
              <w:right w:val="nil"/>
            </w:tcBorders>
          </w:tcPr>
          <w:p w14:paraId="3C668DC1" w14:textId="77777777" w:rsidR="00CF0E2D" w:rsidRPr="004B40E1" w:rsidRDefault="00CF0E2D" w:rsidP="00A60D4B">
            <w:pPr>
              <w:pStyle w:val="Btablefigureunbold"/>
              <w:rPr>
                <w:b/>
                <w:bCs/>
                <w:szCs w:val="20"/>
              </w:rPr>
            </w:pPr>
            <w:r w:rsidRPr="004B40E1">
              <w:rPr>
                <w:rFonts w:cs="Calibri"/>
                <w:b/>
                <w:bCs/>
                <w:color w:val="000000"/>
                <w:szCs w:val="20"/>
              </w:rPr>
              <w:t>144</w:t>
            </w:r>
          </w:p>
        </w:tc>
      </w:tr>
      <w:tr w:rsidR="00CF0E2D" w:rsidRPr="00D60558" w14:paraId="1F29F9EC" w14:textId="77777777" w:rsidTr="00A60D4B">
        <w:trPr>
          <w:gridAfter w:val="1"/>
          <w:wAfter w:w="9" w:type="dxa"/>
          <w:jc w:val="center"/>
        </w:trPr>
        <w:tc>
          <w:tcPr>
            <w:tcW w:w="3355" w:type="dxa"/>
            <w:tcBorders>
              <w:top w:val="nil"/>
              <w:left w:val="nil"/>
              <w:bottom w:val="nil"/>
              <w:right w:val="nil"/>
            </w:tcBorders>
          </w:tcPr>
          <w:p w14:paraId="7F488A31" w14:textId="77777777" w:rsidR="00CF0E2D" w:rsidRPr="00251FAB" w:rsidRDefault="00CF0E2D" w:rsidP="00A60D4B">
            <w:pPr>
              <w:pStyle w:val="Btabletextunbold"/>
              <w:rPr>
                <w:szCs w:val="20"/>
              </w:rPr>
            </w:pPr>
            <w:r w:rsidRPr="00251FAB">
              <w:rPr>
                <w:rFonts w:cs="Calibri"/>
                <w:color w:val="000000"/>
                <w:szCs w:val="20"/>
              </w:rPr>
              <w:t xml:space="preserve">Human Rights Commission – increased support </w:t>
            </w:r>
          </w:p>
        </w:tc>
        <w:tc>
          <w:tcPr>
            <w:tcW w:w="1093" w:type="dxa"/>
            <w:tcBorders>
              <w:top w:val="nil"/>
              <w:left w:val="nil"/>
              <w:bottom w:val="nil"/>
              <w:right w:val="nil"/>
            </w:tcBorders>
          </w:tcPr>
          <w:p w14:paraId="1CEA7F1A" w14:textId="77777777" w:rsidR="00CF0E2D" w:rsidRPr="00251FAB" w:rsidRDefault="00CF0E2D" w:rsidP="00A60D4B">
            <w:pPr>
              <w:pStyle w:val="Btablefigureunbold"/>
              <w:ind w:left="0" w:firstLine="0"/>
              <w:jc w:val="left"/>
              <w:rPr>
                <w:rFonts w:cs="Calibri"/>
                <w:color w:val="000000"/>
                <w:szCs w:val="20"/>
              </w:rPr>
            </w:pPr>
            <w:r w:rsidRPr="00EE2BA6">
              <w:rPr>
                <w:rFonts w:cs="Calibri"/>
                <w:color w:val="000000"/>
                <w:szCs w:val="20"/>
              </w:rPr>
              <w:t>Net cost</w:t>
            </w:r>
          </w:p>
        </w:tc>
        <w:tc>
          <w:tcPr>
            <w:tcW w:w="964" w:type="dxa"/>
            <w:gridSpan w:val="2"/>
            <w:tcBorders>
              <w:top w:val="nil"/>
              <w:left w:val="nil"/>
              <w:bottom w:val="nil"/>
              <w:right w:val="nil"/>
            </w:tcBorders>
          </w:tcPr>
          <w:p w14:paraId="6B1AC150" w14:textId="77777777" w:rsidR="00CF0E2D" w:rsidRPr="004B40E1" w:rsidRDefault="00CF0E2D" w:rsidP="00A60D4B">
            <w:pPr>
              <w:pStyle w:val="Btablefigureunbold"/>
              <w:rPr>
                <w:szCs w:val="20"/>
              </w:rPr>
            </w:pPr>
            <w:r w:rsidRPr="004B40E1">
              <w:rPr>
                <w:rFonts w:cs="Calibri"/>
                <w:color w:val="000000"/>
                <w:szCs w:val="20"/>
              </w:rPr>
              <w:t>119</w:t>
            </w:r>
          </w:p>
        </w:tc>
        <w:tc>
          <w:tcPr>
            <w:tcW w:w="964" w:type="dxa"/>
            <w:gridSpan w:val="2"/>
            <w:tcBorders>
              <w:top w:val="nil"/>
              <w:left w:val="nil"/>
              <w:bottom w:val="nil"/>
              <w:right w:val="nil"/>
            </w:tcBorders>
          </w:tcPr>
          <w:p w14:paraId="7C771517" w14:textId="77777777" w:rsidR="00CF0E2D" w:rsidRPr="004B40E1" w:rsidRDefault="00CF0E2D" w:rsidP="00A60D4B">
            <w:pPr>
              <w:pStyle w:val="Btablefigureunbold"/>
              <w:rPr>
                <w:szCs w:val="20"/>
              </w:rPr>
            </w:pPr>
            <w:r w:rsidRPr="004B40E1">
              <w:rPr>
                <w:rFonts w:cs="Calibri"/>
                <w:color w:val="000000"/>
                <w:szCs w:val="20"/>
              </w:rPr>
              <w:t>300</w:t>
            </w:r>
          </w:p>
        </w:tc>
        <w:tc>
          <w:tcPr>
            <w:tcW w:w="964" w:type="dxa"/>
            <w:gridSpan w:val="2"/>
            <w:tcBorders>
              <w:top w:val="nil"/>
              <w:left w:val="nil"/>
              <w:bottom w:val="nil"/>
              <w:right w:val="nil"/>
            </w:tcBorders>
          </w:tcPr>
          <w:p w14:paraId="7F711D72" w14:textId="77777777" w:rsidR="00CF0E2D" w:rsidRPr="004B40E1" w:rsidRDefault="00CF0E2D" w:rsidP="00A60D4B">
            <w:pPr>
              <w:pStyle w:val="Btablefigureunbold"/>
              <w:rPr>
                <w:szCs w:val="20"/>
              </w:rPr>
            </w:pPr>
            <w:r w:rsidRPr="004B40E1">
              <w:rPr>
                <w:rFonts w:cs="Calibri"/>
                <w:color w:val="000000"/>
                <w:szCs w:val="20"/>
              </w:rPr>
              <w:t>304</w:t>
            </w:r>
          </w:p>
        </w:tc>
        <w:tc>
          <w:tcPr>
            <w:tcW w:w="964" w:type="dxa"/>
            <w:gridSpan w:val="2"/>
            <w:tcBorders>
              <w:top w:val="nil"/>
              <w:left w:val="nil"/>
              <w:bottom w:val="nil"/>
              <w:right w:val="nil"/>
            </w:tcBorders>
          </w:tcPr>
          <w:p w14:paraId="318395A0" w14:textId="77777777" w:rsidR="00CF0E2D" w:rsidRPr="004B40E1" w:rsidRDefault="00CF0E2D" w:rsidP="00A60D4B">
            <w:pPr>
              <w:pStyle w:val="Btablefigureunbold"/>
              <w:rPr>
                <w:szCs w:val="20"/>
              </w:rPr>
            </w:pPr>
            <w:r w:rsidRPr="004B40E1">
              <w:rPr>
                <w:rFonts w:cs="Calibri"/>
                <w:color w:val="000000"/>
                <w:szCs w:val="20"/>
              </w:rPr>
              <w:t>308</w:t>
            </w:r>
          </w:p>
        </w:tc>
        <w:tc>
          <w:tcPr>
            <w:tcW w:w="954" w:type="dxa"/>
            <w:gridSpan w:val="2"/>
            <w:tcBorders>
              <w:top w:val="nil"/>
              <w:left w:val="nil"/>
              <w:bottom w:val="nil"/>
              <w:right w:val="nil"/>
            </w:tcBorders>
          </w:tcPr>
          <w:p w14:paraId="200FF4AB" w14:textId="77777777" w:rsidR="00CF0E2D" w:rsidRPr="004B40E1" w:rsidRDefault="00CF0E2D" w:rsidP="00A60D4B">
            <w:pPr>
              <w:pStyle w:val="Btablefigureunbold"/>
              <w:rPr>
                <w:b/>
                <w:bCs/>
                <w:szCs w:val="20"/>
              </w:rPr>
            </w:pPr>
            <w:r w:rsidRPr="004B40E1">
              <w:rPr>
                <w:rFonts w:cs="Calibri"/>
                <w:b/>
                <w:bCs/>
                <w:color w:val="000000"/>
                <w:szCs w:val="20"/>
              </w:rPr>
              <w:t>1,031</w:t>
            </w:r>
          </w:p>
        </w:tc>
      </w:tr>
      <w:tr w:rsidR="00CF0E2D" w:rsidRPr="00D60558" w14:paraId="7EC96760" w14:textId="77777777" w:rsidTr="00A60D4B">
        <w:trPr>
          <w:gridAfter w:val="1"/>
          <w:wAfter w:w="9" w:type="dxa"/>
          <w:jc w:val="center"/>
        </w:trPr>
        <w:tc>
          <w:tcPr>
            <w:tcW w:w="3355" w:type="dxa"/>
            <w:tcBorders>
              <w:top w:val="nil"/>
              <w:left w:val="nil"/>
              <w:bottom w:val="nil"/>
              <w:right w:val="nil"/>
            </w:tcBorders>
          </w:tcPr>
          <w:p w14:paraId="2865963F" w14:textId="77777777" w:rsidR="00CF0E2D" w:rsidRPr="00251FAB" w:rsidRDefault="00CF0E2D" w:rsidP="00A60D4B">
            <w:pPr>
              <w:pStyle w:val="Btabletextunbold"/>
              <w:rPr>
                <w:szCs w:val="20"/>
              </w:rPr>
            </w:pPr>
            <w:r w:rsidRPr="00251FAB">
              <w:rPr>
                <w:rFonts w:cs="Calibri"/>
                <w:color w:val="000000"/>
                <w:szCs w:val="20"/>
              </w:rPr>
              <w:t xml:space="preserve">Implementing legislative agenda </w:t>
            </w:r>
            <w:r>
              <w:rPr>
                <w:rFonts w:cs="Calibri"/>
                <w:color w:val="000000"/>
                <w:szCs w:val="20"/>
              </w:rPr>
              <w:t>–</w:t>
            </w:r>
            <w:r w:rsidRPr="00251FAB">
              <w:rPr>
                <w:rFonts w:cs="Calibri"/>
                <w:color w:val="000000"/>
                <w:szCs w:val="20"/>
              </w:rPr>
              <w:t xml:space="preserve"> Reforming the minimum age of criminal responsibility</w:t>
            </w:r>
          </w:p>
        </w:tc>
        <w:tc>
          <w:tcPr>
            <w:tcW w:w="1093" w:type="dxa"/>
            <w:tcBorders>
              <w:top w:val="nil"/>
              <w:left w:val="nil"/>
              <w:bottom w:val="nil"/>
              <w:right w:val="nil"/>
            </w:tcBorders>
          </w:tcPr>
          <w:p w14:paraId="5C41BB9D" w14:textId="77777777" w:rsidR="00CF0E2D" w:rsidRPr="00251FAB" w:rsidRDefault="00CF0E2D" w:rsidP="00A60D4B">
            <w:pPr>
              <w:pStyle w:val="Btablefigureunbold"/>
              <w:ind w:left="0" w:firstLine="0"/>
              <w:jc w:val="left"/>
              <w:rPr>
                <w:rFonts w:cs="Calibri"/>
                <w:color w:val="000000"/>
                <w:szCs w:val="20"/>
              </w:rPr>
            </w:pPr>
            <w:r w:rsidRPr="00EE2BA6">
              <w:rPr>
                <w:rFonts w:cs="Calibri"/>
                <w:color w:val="000000"/>
                <w:szCs w:val="20"/>
              </w:rPr>
              <w:t>Net cost</w:t>
            </w:r>
          </w:p>
        </w:tc>
        <w:tc>
          <w:tcPr>
            <w:tcW w:w="964" w:type="dxa"/>
            <w:gridSpan w:val="2"/>
            <w:tcBorders>
              <w:top w:val="nil"/>
              <w:left w:val="nil"/>
              <w:bottom w:val="nil"/>
              <w:right w:val="nil"/>
            </w:tcBorders>
          </w:tcPr>
          <w:p w14:paraId="60C74FDF" w14:textId="77777777" w:rsidR="00CF0E2D" w:rsidRPr="004B40E1" w:rsidRDefault="00CF0E2D" w:rsidP="00A60D4B">
            <w:pPr>
              <w:pStyle w:val="Btablefigureunbold"/>
              <w:rPr>
                <w:szCs w:val="20"/>
              </w:rPr>
            </w:pPr>
            <w:r w:rsidRPr="004B40E1">
              <w:rPr>
                <w:rFonts w:cs="Calibri"/>
                <w:color w:val="000000"/>
                <w:szCs w:val="20"/>
              </w:rPr>
              <w:t>459</w:t>
            </w:r>
          </w:p>
        </w:tc>
        <w:tc>
          <w:tcPr>
            <w:tcW w:w="964" w:type="dxa"/>
            <w:gridSpan w:val="2"/>
            <w:tcBorders>
              <w:top w:val="nil"/>
              <w:left w:val="nil"/>
              <w:bottom w:val="nil"/>
              <w:right w:val="nil"/>
            </w:tcBorders>
          </w:tcPr>
          <w:p w14:paraId="5950160C" w14:textId="77777777" w:rsidR="00CF0E2D" w:rsidRPr="004B40E1" w:rsidRDefault="00CF0E2D" w:rsidP="00A60D4B">
            <w:pPr>
              <w:pStyle w:val="Btablefigureunbold"/>
              <w:rPr>
                <w:szCs w:val="20"/>
              </w:rPr>
            </w:pPr>
            <w:r w:rsidRPr="004B40E1">
              <w:rPr>
                <w:rFonts w:cs="Calibri"/>
                <w:color w:val="000000"/>
                <w:szCs w:val="20"/>
              </w:rPr>
              <w:t>336</w:t>
            </w:r>
          </w:p>
        </w:tc>
        <w:tc>
          <w:tcPr>
            <w:tcW w:w="964" w:type="dxa"/>
            <w:gridSpan w:val="2"/>
            <w:tcBorders>
              <w:top w:val="nil"/>
              <w:left w:val="nil"/>
              <w:bottom w:val="nil"/>
              <w:right w:val="nil"/>
            </w:tcBorders>
          </w:tcPr>
          <w:p w14:paraId="706AA3BF"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4618CAFA" w14:textId="77777777" w:rsidR="00CF0E2D" w:rsidRPr="004B40E1" w:rsidRDefault="00CF0E2D" w:rsidP="00A60D4B">
            <w:pPr>
              <w:pStyle w:val="Btablefigureunbold"/>
              <w:rPr>
                <w:szCs w:val="20"/>
              </w:rPr>
            </w:pPr>
            <w:r w:rsidRPr="004B40E1">
              <w:rPr>
                <w:rFonts w:cs="Calibri"/>
                <w:color w:val="000000"/>
                <w:szCs w:val="20"/>
              </w:rPr>
              <w:t>0</w:t>
            </w:r>
          </w:p>
        </w:tc>
        <w:tc>
          <w:tcPr>
            <w:tcW w:w="954" w:type="dxa"/>
            <w:gridSpan w:val="2"/>
            <w:tcBorders>
              <w:top w:val="nil"/>
              <w:left w:val="nil"/>
              <w:bottom w:val="nil"/>
              <w:right w:val="nil"/>
            </w:tcBorders>
          </w:tcPr>
          <w:p w14:paraId="402FA493" w14:textId="77777777" w:rsidR="00CF0E2D" w:rsidRPr="004B40E1" w:rsidRDefault="00CF0E2D" w:rsidP="00A60D4B">
            <w:pPr>
              <w:pStyle w:val="Btablefigureunbold"/>
              <w:rPr>
                <w:b/>
                <w:bCs/>
                <w:szCs w:val="20"/>
              </w:rPr>
            </w:pPr>
            <w:r w:rsidRPr="004B40E1">
              <w:rPr>
                <w:rFonts w:cs="Calibri"/>
                <w:b/>
                <w:bCs/>
                <w:color w:val="000000"/>
                <w:szCs w:val="20"/>
              </w:rPr>
              <w:t>795</w:t>
            </w:r>
          </w:p>
        </w:tc>
      </w:tr>
      <w:tr w:rsidR="00CF0E2D" w:rsidRPr="00D60558" w14:paraId="26B753C1" w14:textId="77777777" w:rsidTr="00A60D4B">
        <w:trPr>
          <w:gridAfter w:val="1"/>
          <w:wAfter w:w="9" w:type="dxa"/>
          <w:jc w:val="center"/>
        </w:trPr>
        <w:tc>
          <w:tcPr>
            <w:tcW w:w="3355" w:type="dxa"/>
            <w:tcBorders>
              <w:top w:val="nil"/>
              <w:left w:val="nil"/>
              <w:bottom w:val="nil"/>
              <w:right w:val="nil"/>
            </w:tcBorders>
          </w:tcPr>
          <w:p w14:paraId="0F8FD520" w14:textId="77777777" w:rsidR="00CF0E2D" w:rsidRPr="00251FAB" w:rsidRDefault="00CF0E2D" w:rsidP="00A60D4B">
            <w:pPr>
              <w:pStyle w:val="Btabletextunbold"/>
              <w:rPr>
                <w:szCs w:val="20"/>
              </w:rPr>
            </w:pPr>
            <w:r w:rsidRPr="00251FAB">
              <w:rPr>
                <w:rFonts w:cs="Calibri"/>
                <w:color w:val="000000"/>
                <w:szCs w:val="20"/>
              </w:rPr>
              <w:t>Improving infrastructure and wellbeing at the Alexander Maconochie Centre</w:t>
            </w:r>
          </w:p>
        </w:tc>
        <w:tc>
          <w:tcPr>
            <w:tcW w:w="1093" w:type="dxa"/>
            <w:tcBorders>
              <w:top w:val="nil"/>
              <w:left w:val="nil"/>
              <w:bottom w:val="nil"/>
              <w:right w:val="nil"/>
            </w:tcBorders>
          </w:tcPr>
          <w:p w14:paraId="1BEFDADC" w14:textId="77777777" w:rsidR="00CF0E2D" w:rsidRPr="00251FAB" w:rsidRDefault="00CF0E2D" w:rsidP="00A60D4B">
            <w:pPr>
              <w:pStyle w:val="Btablefigureunbold"/>
              <w:ind w:left="0" w:firstLine="0"/>
              <w:jc w:val="left"/>
              <w:rPr>
                <w:rFonts w:cs="Calibri"/>
                <w:color w:val="000000"/>
                <w:szCs w:val="20"/>
              </w:rPr>
            </w:pPr>
            <w:r w:rsidRPr="00251FAB">
              <w:rPr>
                <w:rFonts w:cs="Calibri"/>
                <w:color w:val="000000"/>
                <w:szCs w:val="20"/>
              </w:rPr>
              <w:t>Net capital</w:t>
            </w:r>
          </w:p>
        </w:tc>
        <w:tc>
          <w:tcPr>
            <w:tcW w:w="964" w:type="dxa"/>
            <w:gridSpan w:val="2"/>
            <w:tcBorders>
              <w:top w:val="nil"/>
              <w:left w:val="nil"/>
              <w:bottom w:val="nil"/>
              <w:right w:val="nil"/>
            </w:tcBorders>
          </w:tcPr>
          <w:p w14:paraId="5BABE02B" w14:textId="77777777" w:rsidR="00CF0E2D" w:rsidRPr="004B40E1" w:rsidRDefault="00CF0E2D" w:rsidP="00A60D4B">
            <w:pPr>
              <w:pStyle w:val="Btablefigureunbold"/>
              <w:rPr>
                <w:szCs w:val="20"/>
              </w:rPr>
            </w:pPr>
            <w:r w:rsidRPr="004B40E1">
              <w:rPr>
                <w:rFonts w:cs="Calibri"/>
                <w:color w:val="000000"/>
                <w:szCs w:val="20"/>
              </w:rPr>
              <w:t>1,265</w:t>
            </w:r>
          </w:p>
        </w:tc>
        <w:tc>
          <w:tcPr>
            <w:tcW w:w="964" w:type="dxa"/>
            <w:gridSpan w:val="2"/>
            <w:tcBorders>
              <w:top w:val="nil"/>
              <w:left w:val="nil"/>
              <w:bottom w:val="nil"/>
              <w:right w:val="nil"/>
            </w:tcBorders>
          </w:tcPr>
          <w:p w14:paraId="6BC3BEF0" w14:textId="77777777" w:rsidR="00CF0E2D" w:rsidRPr="004B40E1" w:rsidRDefault="00CF0E2D" w:rsidP="00A60D4B">
            <w:pPr>
              <w:pStyle w:val="Btablefigureunbold"/>
              <w:rPr>
                <w:szCs w:val="20"/>
              </w:rPr>
            </w:pPr>
            <w:r w:rsidRPr="004B40E1">
              <w:rPr>
                <w:rFonts w:cs="Calibri"/>
                <w:color w:val="000000"/>
                <w:szCs w:val="20"/>
              </w:rPr>
              <w:t>4,029</w:t>
            </w:r>
          </w:p>
        </w:tc>
        <w:tc>
          <w:tcPr>
            <w:tcW w:w="964" w:type="dxa"/>
            <w:gridSpan w:val="2"/>
            <w:tcBorders>
              <w:top w:val="nil"/>
              <w:left w:val="nil"/>
              <w:bottom w:val="nil"/>
              <w:right w:val="nil"/>
            </w:tcBorders>
          </w:tcPr>
          <w:p w14:paraId="4F80FDEA"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2299D63F" w14:textId="77777777" w:rsidR="00CF0E2D" w:rsidRPr="004B40E1" w:rsidRDefault="00CF0E2D" w:rsidP="00A60D4B">
            <w:pPr>
              <w:pStyle w:val="Btablefigureunbold"/>
              <w:rPr>
                <w:szCs w:val="20"/>
              </w:rPr>
            </w:pPr>
            <w:r w:rsidRPr="004B40E1">
              <w:rPr>
                <w:rFonts w:cs="Calibri"/>
                <w:color w:val="000000"/>
                <w:szCs w:val="20"/>
              </w:rPr>
              <w:t>0</w:t>
            </w:r>
          </w:p>
        </w:tc>
        <w:tc>
          <w:tcPr>
            <w:tcW w:w="954" w:type="dxa"/>
            <w:gridSpan w:val="2"/>
            <w:tcBorders>
              <w:top w:val="nil"/>
              <w:left w:val="nil"/>
              <w:bottom w:val="nil"/>
              <w:right w:val="nil"/>
            </w:tcBorders>
          </w:tcPr>
          <w:p w14:paraId="02BCF95F" w14:textId="77777777" w:rsidR="00CF0E2D" w:rsidRPr="004B40E1" w:rsidRDefault="00CF0E2D" w:rsidP="00A60D4B">
            <w:pPr>
              <w:pStyle w:val="Btablefigureunbold"/>
              <w:rPr>
                <w:b/>
                <w:bCs/>
                <w:szCs w:val="20"/>
              </w:rPr>
            </w:pPr>
            <w:r w:rsidRPr="004B40E1">
              <w:rPr>
                <w:rFonts w:cs="Calibri"/>
                <w:b/>
                <w:bCs/>
                <w:color w:val="000000"/>
                <w:szCs w:val="20"/>
              </w:rPr>
              <w:t>5,294</w:t>
            </w:r>
          </w:p>
        </w:tc>
      </w:tr>
      <w:tr w:rsidR="00CF0E2D" w:rsidRPr="00D60558" w14:paraId="79F7B974" w14:textId="77777777" w:rsidTr="00A60D4B">
        <w:trPr>
          <w:gridAfter w:val="1"/>
          <w:wAfter w:w="9" w:type="dxa"/>
          <w:jc w:val="center"/>
        </w:trPr>
        <w:tc>
          <w:tcPr>
            <w:tcW w:w="3355" w:type="dxa"/>
            <w:tcBorders>
              <w:top w:val="nil"/>
              <w:left w:val="nil"/>
              <w:bottom w:val="nil"/>
              <w:right w:val="nil"/>
            </w:tcBorders>
          </w:tcPr>
          <w:p w14:paraId="6214ED54" w14:textId="77777777" w:rsidR="00CF0E2D" w:rsidRPr="00251FAB" w:rsidRDefault="00CF0E2D" w:rsidP="00A60D4B">
            <w:pPr>
              <w:pStyle w:val="Btabletextunbold"/>
              <w:rPr>
                <w:szCs w:val="20"/>
              </w:rPr>
            </w:pPr>
            <w:r w:rsidRPr="00251FAB">
              <w:rPr>
                <w:rFonts w:cs="Calibri"/>
                <w:color w:val="000000"/>
                <w:szCs w:val="20"/>
              </w:rPr>
              <w:t>Improving infrastructure and wellbeing at the Alexander Maconochie Centre</w:t>
            </w:r>
          </w:p>
        </w:tc>
        <w:tc>
          <w:tcPr>
            <w:tcW w:w="1093" w:type="dxa"/>
            <w:tcBorders>
              <w:top w:val="nil"/>
              <w:left w:val="nil"/>
              <w:bottom w:val="nil"/>
              <w:right w:val="nil"/>
            </w:tcBorders>
          </w:tcPr>
          <w:p w14:paraId="57E194AB" w14:textId="77777777" w:rsidR="00CF0E2D" w:rsidRPr="00251FAB" w:rsidRDefault="00CF0E2D" w:rsidP="00A60D4B">
            <w:pPr>
              <w:pStyle w:val="Btablefigureunbold"/>
              <w:ind w:left="0" w:firstLine="0"/>
              <w:jc w:val="left"/>
              <w:rPr>
                <w:rFonts w:cs="Calibri"/>
                <w:color w:val="000000"/>
                <w:szCs w:val="20"/>
              </w:rPr>
            </w:pPr>
            <w:r w:rsidRPr="00060682">
              <w:rPr>
                <w:rFonts w:cs="Calibri"/>
                <w:color w:val="000000"/>
                <w:szCs w:val="20"/>
              </w:rPr>
              <w:t>Net cost</w:t>
            </w:r>
          </w:p>
        </w:tc>
        <w:tc>
          <w:tcPr>
            <w:tcW w:w="964" w:type="dxa"/>
            <w:gridSpan w:val="2"/>
            <w:tcBorders>
              <w:top w:val="nil"/>
              <w:left w:val="nil"/>
              <w:bottom w:val="nil"/>
              <w:right w:val="nil"/>
            </w:tcBorders>
          </w:tcPr>
          <w:p w14:paraId="04114635" w14:textId="77777777" w:rsidR="00CF0E2D" w:rsidRPr="004B40E1" w:rsidRDefault="00CF0E2D" w:rsidP="00A60D4B">
            <w:pPr>
              <w:pStyle w:val="Btablefigureunbold"/>
              <w:rPr>
                <w:szCs w:val="20"/>
              </w:rPr>
            </w:pPr>
            <w:r w:rsidRPr="004B40E1">
              <w:rPr>
                <w:rFonts w:cs="Calibri"/>
                <w:color w:val="000000"/>
                <w:szCs w:val="20"/>
              </w:rPr>
              <w:t>7,509</w:t>
            </w:r>
          </w:p>
        </w:tc>
        <w:tc>
          <w:tcPr>
            <w:tcW w:w="964" w:type="dxa"/>
            <w:gridSpan w:val="2"/>
            <w:tcBorders>
              <w:top w:val="nil"/>
              <w:left w:val="nil"/>
              <w:bottom w:val="nil"/>
              <w:right w:val="nil"/>
            </w:tcBorders>
          </w:tcPr>
          <w:p w14:paraId="25BF09D1" w14:textId="77777777" w:rsidR="00CF0E2D" w:rsidRPr="004B40E1" w:rsidRDefault="00CF0E2D" w:rsidP="00A60D4B">
            <w:pPr>
              <w:pStyle w:val="Btablefigureunbold"/>
              <w:rPr>
                <w:szCs w:val="20"/>
              </w:rPr>
            </w:pPr>
            <w:r w:rsidRPr="004B40E1">
              <w:rPr>
                <w:rFonts w:cs="Calibri"/>
                <w:color w:val="000000"/>
                <w:szCs w:val="20"/>
              </w:rPr>
              <w:t>5,729</w:t>
            </w:r>
          </w:p>
        </w:tc>
        <w:tc>
          <w:tcPr>
            <w:tcW w:w="964" w:type="dxa"/>
            <w:gridSpan w:val="2"/>
            <w:tcBorders>
              <w:top w:val="nil"/>
              <w:left w:val="nil"/>
              <w:bottom w:val="nil"/>
              <w:right w:val="nil"/>
            </w:tcBorders>
          </w:tcPr>
          <w:p w14:paraId="2CE850FF" w14:textId="77777777" w:rsidR="00CF0E2D" w:rsidRPr="004B40E1" w:rsidRDefault="00CF0E2D" w:rsidP="00A60D4B">
            <w:pPr>
              <w:pStyle w:val="Btablefigureunbold"/>
              <w:rPr>
                <w:szCs w:val="20"/>
              </w:rPr>
            </w:pPr>
            <w:r w:rsidRPr="004B40E1">
              <w:rPr>
                <w:rFonts w:cs="Calibri"/>
                <w:color w:val="000000"/>
                <w:szCs w:val="20"/>
              </w:rPr>
              <w:t>3,580</w:t>
            </w:r>
          </w:p>
        </w:tc>
        <w:tc>
          <w:tcPr>
            <w:tcW w:w="964" w:type="dxa"/>
            <w:gridSpan w:val="2"/>
            <w:tcBorders>
              <w:top w:val="nil"/>
              <w:left w:val="nil"/>
              <w:bottom w:val="nil"/>
              <w:right w:val="nil"/>
            </w:tcBorders>
          </w:tcPr>
          <w:p w14:paraId="677817B5" w14:textId="77777777" w:rsidR="00CF0E2D" w:rsidRPr="004B40E1" w:rsidRDefault="00CF0E2D" w:rsidP="00A60D4B">
            <w:pPr>
              <w:pStyle w:val="Btablefigureunbold"/>
              <w:rPr>
                <w:szCs w:val="20"/>
              </w:rPr>
            </w:pPr>
            <w:r w:rsidRPr="004B40E1">
              <w:rPr>
                <w:rFonts w:cs="Calibri"/>
                <w:color w:val="000000"/>
                <w:szCs w:val="20"/>
              </w:rPr>
              <w:t>165</w:t>
            </w:r>
          </w:p>
        </w:tc>
        <w:tc>
          <w:tcPr>
            <w:tcW w:w="954" w:type="dxa"/>
            <w:gridSpan w:val="2"/>
            <w:tcBorders>
              <w:top w:val="nil"/>
              <w:left w:val="nil"/>
              <w:bottom w:val="nil"/>
              <w:right w:val="nil"/>
            </w:tcBorders>
          </w:tcPr>
          <w:p w14:paraId="05326921" w14:textId="77777777" w:rsidR="00CF0E2D" w:rsidRPr="004B40E1" w:rsidRDefault="00CF0E2D" w:rsidP="00A60D4B">
            <w:pPr>
              <w:pStyle w:val="Btablefigureunbold"/>
              <w:rPr>
                <w:b/>
                <w:bCs/>
                <w:szCs w:val="20"/>
              </w:rPr>
            </w:pPr>
            <w:r w:rsidRPr="004B40E1">
              <w:rPr>
                <w:rFonts w:cs="Calibri"/>
                <w:b/>
                <w:bCs/>
                <w:color w:val="000000"/>
                <w:szCs w:val="20"/>
              </w:rPr>
              <w:t>16,983</w:t>
            </w:r>
          </w:p>
        </w:tc>
      </w:tr>
      <w:tr w:rsidR="00CF0E2D" w:rsidRPr="00D60558" w14:paraId="62C97D4F" w14:textId="77777777" w:rsidTr="00A60D4B">
        <w:trPr>
          <w:gridAfter w:val="1"/>
          <w:wAfter w:w="9" w:type="dxa"/>
          <w:jc w:val="center"/>
        </w:trPr>
        <w:tc>
          <w:tcPr>
            <w:tcW w:w="3355" w:type="dxa"/>
            <w:tcBorders>
              <w:top w:val="nil"/>
              <w:left w:val="nil"/>
              <w:bottom w:val="nil"/>
              <w:right w:val="nil"/>
            </w:tcBorders>
          </w:tcPr>
          <w:p w14:paraId="2F928643" w14:textId="77777777" w:rsidR="00CF0E2D" w:rsidRPr="00251FAB" w:rsidRDefault="00CF0E2D" w:rsidP="00A60D4B">
            <w:pPr>
              <w:pStyle w:val="Btabletextunbold"/>
              <w:rPr>
                <w:szCs w:val="20"/>
              </w:rPr>
            </w:pPr>
            <w:r w:rsidRPr="00251FAB">
              <w:rPr>
                <w:rFonts w:cs="Calibri"/>
                <w:color w:val="000000"/>
                <w:szCs w:val="20"/>
              </w:rPr>
              <w:t>Improving the probate system in the ACT</w:t>
            </w:r>
          </w:p>
        </w:tc>
        <w:tc>
          <w:tcPr>
            <w:tcW w:w="1093" w:type="dxa"/>
            <w:tcBorders>
              <w:top w:val="nil"/>
              <w:left w:val="nil"/>
              <w:bottom w:val="nil"/>
              <w:right w:val="nil"/>
            </w:tcBorders>
          </w:tcPr>
          <w:p w14:paraId="23357A34" w14:textId="77777777" w:rsidR="00CF0E2D" w:rsidRPr="00251FAB" w:rsidRDefault="00CF0E2D" w:rsidP="00A60D4B">
            <w:pPr>
              <w:pStyle w:val="Btablefigureunbold"/>
              <w:ind w:left="0" w:firstLine="0"/>
              <w:jc w:val="left"/>
              <w:rPr>
                <w:rFonts w:cs="Calibri"/>
                <w:color w:val="000000"/>
                <w:szCs w:val="20"/>
              </w:rPr>
            </w:pPr>
            <w:r w:rsidRPr="00251FAB">
              <w:rPr>
                <w:rFonts w:cs="Calibri"/>
                <w:color w:val="000000"/>
                <w:szCs w:val="20"/>
              </w:rPr>
              <w:t>Net capital</w:t>
            </w:r>
          </w:p>
        </w:tc>
        <w:tc>
          <w:tcPr>
            <w:tcW w:w="964" w:type="dxa"/>
            <w:gridSpan w:val="2"/>
            <w:tcBorders>
              <w:top w:val="nil"/>
              <w:left w:val="nil"/>
              <w:bottom w:val="nil"/>
              <w:right w:val="nil"/>
            </w:tcBorders>
          </w:tcPr>
          <w:p w14:paraId="559DE9C4" w14:textId="77777777" w:rsidR="00CF0E2D" w:rsidRPr="004B40E1" w:rsidRDefault="00CF0E2D" w:rsidP="00A60D4B">
            <w:pPr>
              <w:pStyle w:val="Btablefigureunbold"/>
              <w:rPr>
                <w:szCs w:val="20"/>
              </w:rPr>
            </w:pPr>
            <w:r w:rsidRPr="004B40E1">
              <w:rPr>
                <w:rFonts w:cs="Calibri"/>
                <w:color w:val="000000"/>
                <w:szCs w:val="20"/>
              </w:rPr>
              <w:t>72</w:t>
            </w:r>
          </w:p>
        </w:tc>
        <w:tc>
          <w:tcPr>
            <w:tcW w:w="964" w:type="dxa"/>
            <w:gridSpan w:val="2"/>
            <w:tcBorders>
              <w:top w:val="nil"/>
              <w:left w:val="nil"/>
              <w:bottom w:val="nil"/>
              <w:right w:val="nil"/>
            </w:tcBorders>
          </w:tcPr>
          <w:p w14:paraId="261DEBFB"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64F2C59D"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5093F22C" w14:textId="77777777" w:rsidR="00CF0E2D" w:rsidRPr="004B40E1" w:rsidRDefault="00CF0E2D" w:rsidP="00A60D4B">
            <w:pPr>
              <w:pStyle w:val="Btablefigureunbold"/>
              <w:rPr>
                <w:szCs w:val="20"/>
              </w:rPr>
            </w:pPr>
            <w:r w:rsidRPr="004B40E1">
              <w:rPr>
                <w:rFonts w:cs="Calibri"/>
                <w:color w:val="000000"/>
                <w:szCs w:val="20"/>
              </w:rPr>
              <w:t>0</w:t>
            </w:r>
          </w:p>
        </w:tc>
        <w:tc>
          <w:tcPr>
            <w:tcW w:w="954" w:type="dxa"/>
            <w:gridSpan w:val="2"/>
            <w:tcBorders>
              <w:top w:val="nil"/>
              <w:left w:val="nil"/>
              <w:bottom w:val="nil"/>
              <w:right w:val="nil"/>
            </w:tcBorders>
          </w:tcPr>
          <w:p w14:paraId="56BE6F87" w14:textId="77777777" w:rsidR="00CF0E2D" w:rsidRPr="004B40E1" w:rsidRDefault="00CF0E2D" w:rsidP="00A60D4B">
            <w:pPr>
              <w:pStyle w:val="Btablefigureunbold"/>
              <w:rPr>
                <w:b/>
                <w:bCs/>
                <w:szCs w:val="20"/>
              </w:rPr>
            </w:pPr>
            <w:r w:rsidRPr="004B40E1">
              <w:rPr>
                <w:rFonts w:cs="Calibri"/>
                <w:b/>
                <w:bCs/>
                <w:color w:val="000000"/>
                <w:szCs w:val="20"/>
              </w:rPr>
              <w:t>72</w:t>
            </w:r>
          </w:p>
        </w:tc>
      </w:tr>
      <w:tr w:rsidR="00CF0E2D" w:rsidRPr="00D60558" w14:paraId="31B683BD" w14:textId="77777777" w:rsidTr="00A60D4B">
        <w:trPr>
          <w:gridAfter w:val="1"/>
          <w:wAfter w:w="9" w:type="dxa"/>
          <w:jc w:val="center"/>
        </w:trPr>
        <w:tc>
          <w:tcPr>
            <w:tcW w:w="3355" w:type="dxa"/>
            <w:tcBorders>
              <w:top w:val="nil"/>
              <w:left w:val="nil"/>
              <w:bottom w:val="nil"/>
              <w:right w:val="nil"/>
            </w:tcBorders>
          </w:tcPr>
          <w:p w14:paraId="66D935C9" w14:textId="77777777" w:rsidR="00CF0E2D" w:rsidRPr="00251FAB" w:rsidRDefault="00CF0E2D" w:rsidP="00A60D4B">
            <w:pPr>
              <w:pStyle w:val="Btabletextunbold"/>
              <w:rPr>
                <w:szCs w:val="20"/>
              </w:rPr>
            </w:pPr>
            <w:r w:rsidRPr="00251FAB">
              <w:rPr>
                <w:rFonts w:cs="Calibri"/>
                <w:color w:val="000000"/>
                <w:szCs w:val="20"/>
              </w:rPr>
              <w:t>Improving the probate system in the ACT</w:t>
            </w:r>
          </w:p>
        </w:tc>
        <w:tc>
          <w:tcPr>
            <w:tcW w:w="1093" w:type="dxa"/>
            <w:tcBorders>
              <w:top w:val="nil"/>
              <w:left w:val="nil"/>
              <w:bottom w:val="nil"/>
              <w:right w:val="nil"/>
            </w:tcBorders>
          </w:tcPr>
          <w:p w14:paraId="35F1440D" w14:textId="77777777" w:rsidR="00CF0E2D" w:rsidRPr="00251FAB" w:rsidRDefault="00CF0E2D" w:rsidP="00A60D4B">
            <w:pPr>
              <w:pStyle w:val="Btablefigureunbold"/>
              <w:ind w:left="0" w:firstLine="0"/>
              <w:jc w:val="left"/>
              <w:rPr>
                <w:rFonts w:cs="Calibri"/>
                <w:color w:val="000000"/>
                <w:szCs w:val="20"/>
              </w:rPr>
            </w:pPr>
            <w:r w:rsidRPr="003019CA">
              <w:rPr>
                <w:rFonts w:cs="Calibri"/>
                <w:color w:val="000000"/>
                <w:szCs w:val="20"/>
              </w:rPr>
              <w:t>Net cost</w:t>
            </w:r>
          </w:p>
        </w:tc>
        <w:tc>
          <w:tcPr>
            <w:tcW w:w="964" w:type="dxa"/>
            <w:gridSpan w:val="2"/>
            <w:tcBorders>
              <w:top w:val="nil"/>
              <w:left w:val="nil"/>
              <w:bottom w:val="nil"/>
              <w:right w:val="nil"/>
            </w:tcBorders>
          </w:tcPr>
          <w:p w14:paraId="03CC6D02"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547EA7BD"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19F5D87A"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077E797F" w14:textId="77777777" w:rsidR="00CF0E2D" w:rsidRPr="004B40E1" w:rsidRDefault="00CF0E2D" w:rsidP="00A60D4B">
            <w:pPr>
              <w:pStyle w:val="Btablefigureunbold"/>
              <w:rPr>
                <w:szCs w:val="20"/>
              </w:rPr>
            </w:pPr>
            <w:r w:rsidRPr="004B40E1">
              <w:rPr>
                <w:rFonts w:cs="Calibri"/>
                <w:color w:val="000000"/>
                <w:szCs w:val="20"/>
              </w:rPr>
              <w:t>0</w:t>
            </w:r>
          </w:p>
        </w:tc>
        <w:tc>
          <w:tcPr>
            <w:tcW w:w="954" w:type="dxa"/>
            <w:gridSpan w:val="2"/>
            <w:tcBorders>
              <w:top w:val="nil"/>
              <w:left w:val="nil"/>
              <w:bottom w:val="nil"/>
              <w:right w:val="nil"/>
            </w:tcBorders>
          </w:tcPr>
          <w:p w14:paraId="1A07A0F5" w14:textId="77777777" w:rsidR="00CF0E2D" w:rsidRPr="004B40E1" w:rsidRDefault="00CF0E2D" w:rsidP="00A60D4B">
            <w:pPr>
              <w:pStyle w:val="Btablefigureunbold"/>
              <w:rPr>
                <w:b/>
                <w:bCs/>
                <w:szCs w:val="20"/>
              </w:rPr>
            </w:pPr>
            <w:r w:rsidRPr="004B40E1">
              <w:rPr>
                <w:rFonts w:cs="Calibri"/>
                <w:b/>
                <w:bCs/>
                <w:color w:val="000000"/>
                <w:szCs w:val="20"/>
              </w:rPr>
              <w:t>0</w:t>
            </w:r>
          </w:p>
        </w:tc>
      </w:tr>
      <w:tr w:rsidR="00CF0E2D" w:rsidRPr="00D60558" w14:paraId="2FC9D9FA" w14:textId="77777777" w:rsidTr="00A60D4B">
        <w:trPr>
          <w:gridAfter w:val="1"/>
          <w:wAfter w:w="9" w:type="dxa"/>
          <w:jc w:val="center"/>
        </w:trPr>
        <w:tc>
          <w:tcPr>
            <w:tcW w:w="3355" w:type="dxa"/>
            <w:tcBorders>
              <w:top w:val="nil"/>
              <w:left w:val="nil"/>
              <w:bottom w:val="nil"/>
              <w:right w:val="nil"/>
            </w:tcBorders>
          </w:tcPr>
          <w:p w14:paraId="41E8ADFF" w14:textId="77777777" w:rsidR="00CF0E2D" w:rsidRPr="00251FAB" w:rsidRDefault="00CF0E2D" w:rsidP="00A60D4B">
            <w:pPr>
              <w:pStyle w:val="Btabletextunbold"/>
              <w:rPr>
                <w:szCs w:val="20"/>
              </w:rPr>
            </w:pPr>
            <w:r w:rsidRPr="00251FAB">
              <w:rPr>
                <w:rFonts w:cs="Calibri"/>
                <w:color w:val="000000"/>
                <w:szCs w:val="20"/>
              </w:rPr>
              <w:t xml:space="preserve">Intensive Corrections Orders </w:t>
            </w:r>
            <w:r>
              <w:rPr>
                <w:rFonts w:cs="Calibri"/>
                <w:color w:val="000000"/>
                <w:szCs w:val="20"/>
              </w:rPr>
              <w:t>–</w:t>
            </w:r>
            <w:r w:rsidRPr="00251FAB">
              <w:rPr>
                <w:rFonts w:cs="Calibri"/>
                <w:color w:val="000000"/>
                <w:szCs w:val="20"/>
              </w:rPr>
              <w:t xml:space="preserve"> continuation</w:t>
            </w:r>
          </w:p>
        </w:tc>
        <w:tc>
          <w:tcPr>
            <w:tcW w:w="1093" w:type="dxa"/>
            <w:tcBorders>
              <w:top w:val="nil"/>
              <w:left w:val="nil"/>
              <w:bottom w:val="nil"/>
              <w:right w:val="nil"/>
            </w:tcBorders>
          </w:tcPr>
          <w:p w14:paraId="1667DC4B" w14:textId="77777777" w:rsidR="00CF0E2D" w:rsidRPr="00251FAB" w:rsidRDefault="00CF0E2D" w:rsidP="00A60D4B">
            <w:pPr>
              <w:pStyle w:val="Btablefigureunbold"/>
              <w:ind w:left="0" w:firstLine="0"/>
              <w:jc w:val="left"/>
              <w:rPr>
                <w:rFonts w:cs="Calibri"/>
                <w:color w:val="000000"/>
                <w:szCs w:val="20"/>
              </w:rPr>
            </w:pPr>
            <w:r w:rsidRPr="003019CA">
              <w:rPr>
                <w:rFonts w:cs="Calibri"/>
                <w:color w:val="000000"/>
                <w:szCs w:val="20"/>
              </w:rPr>
              <w:t>Net cost</w:t>
            </w:r>
          </w:p>
        </w:tc>
        <w:tc>
          <w:tcPr>
            <w:tcW w:w="964" w:type="dxa"/>
            <w:gridSpan w:val="2"/>
            <w:tcBorders>
              <w:top w:val="nil"/>
              <w:left w:val="nil"/>
              <w:bottom w:val="nil"/>
              <w:right w:val="nil"/>
            </w:tcBorders>
          </w:tcPr>
          <w:p w14:paraId="297AD5C1" w14:textId="77777777" w:rsidR="00CF0E2D" w:rsidRPr="004B40E1" w:rsidRDefault="00CF0E2D" w:rsidP="00A60D4B">
            <w:pPr>
              <w:pStyle w:val="Btablefigureunbold"/>
              <w:rPr>
                <w:szCs w:val="20"/>
              </w:rPr>
            </w:pPr>
            <w:r w:rsidRPr="004B40E1">
              <w:rPr>
                <w:rFonts w:cs="Calibri"/>
                <w:color w:val="000000"/>
                <w:szCs w:val="20"/>
              </w:rPr>
              <w:t>2,006</w:t>
            </w:r>
          </w:p>
        </w:tc>
        <w:tc>
          <w:tcPr>
            <w:tcW w:w="964" w:type="dxa"/>
            <w:gridSpan w:val="2"/>
            <w:tcBorders>
              <w:top w:val="nil"/>
              <w:left w:val="nil"/>
              <w:bottom w:val="nil"/>
              <w:right w:val="nil"/>
            </w:tcBorders>
          </w:tcPr>
          <w:p w14:paraId="686722E7" w14:textId="77777777" w:rsidR="00CF0E2D" w:rsidRPr="004B40E1" w:rsidRDefault="00CF0E2D" w:rsidP="00A60D4B">
            <w:pPr>
              <w:pStyle w:val="Btablefigureunbold"/>
              <w:rPr>
                <w:szCs w:val="20"/>
              </w:rPr>
            </w:pPr>
            <w:r w:rsidRPr="004B40E1">
              <w:rPr>
                <w:rFonts w:cs="Calibri"/>
                <w:color w:val="000000"/>
                <w:szCs w:val="20"/>
              </w:rPr>
              <w:t>2,037</w:t>
            </w:r>
          </w:p>
        </w:tc>
        <w:tc>
          <w:tcPr>
            <w:tcW w:w="964" w:type="dxa"/>
            <w:gridSpan w:val="2"/>
            <w:tcBorders>
              <w:top w:val="nil"/>
              <w:left w:val="nil"/>
              <w:bottom w:val="nil"/>
              <w:right w:val="nil"/>
            </w:tcBorders>
          </w:tcPr>
          <w:p w14:paraId="57B2F74C" w14:textId="77777777" w:rsidR="00CF0E2D" w:rsidRPr="004B40E1" w:rsidRDefault="00CF0E2D" w:rsidP="00A60D4B">
            <w:pPr>
              <w:pStyle w:val="Btablefigureunbold"/>
              <w:rPr>
                <w:szCs w:val="20"/>
              </w:rPr>
            </w:pPr>
            <w:r w:rsidRPr="004B40E1">
              <w:rPr>
                <w:rFonts w:cs="Calibri"/>
                <w:color w:val="000000"/>
                <w:szCs w:val="20"/>
              </w:rPr>
              <w:t>2,068</w:t>
            </w:r>
          </w:p>
        </w:tc>
        <w:tc>
          <w:tcPr>
            <w:tcW w:w="964" w:type="dxa"/>
            <w:gridSpan w:val="2"/>
            <w:tcBorders>
              <w:top w:val="nil"/>
              <w:left w:val="nil"/>
              <w:bottom w:val="nil"/>
              <w:right w:val="nil"/>
            </w:tcBorders>
          </w:tcPr>
          <w:p w14:paraId="07C5F05C" w14:textId="77777777" w:rsidR="00CF0E2D" w:rsidRPr="004B40E1" w:rsidRDefault="00CF0E2D" w:rsidP="00A60D4B">
            <w:pPr>
              <w:pStyle w:val="Btablefigureunbold"/>
              <w:rPr>
                <w:szCs w:val="20"/>
              </w:rPr>
            </w:pPr>
            <w:r w:rsidRPr="004B40E1">
              <w:rPr>
                <w:rFonts w:cs="Calibri"/>
                <w:color w:val="000000"/>
                <w:szCs w:val="20"/>
              </w:rPr>
              <w:t>2,102</w:t>
            </w:r>
          </w:p>
        </w:tc>
        <w:tc>
          <w:tcPr>
            <w:tcW w:w="954" w:type="dxa"/>
            <w:gridSpan w:val="2"/>
            <w:tcBorders>
              <w:top w:val="nil"/>
              <w:left w:val="nil"/>
              <w:bottom w:val="nil"/>
              <w:right w:val="nil"/>
            </w:tcBorders>
          </w:tcPr>
          <w:p w14:paraId="4FA2B36A" w14:textId="77777777" w:rsidR="00CF0E2D" w:rsidRPr="004B40E1" w:rsidRDefault="00CF0E2D" w:rsidP="00A60D4B">
            <w:pPr>
              <w:pStyle w:val="Btablefigureunbold"/>
              <w:rPr>
                <w:b/>
                <w:bCs/>
                <w:szCs w:val="20"/>
              </w:rPr>
            </w:pPr>
            <w:r w:rsidRPr="004B40E1">
              <w:rPr>
                <w:rFonts w:cs="Calibri"/>
                <w:b/>
                <w:bCs/>
                <w:color w:val="000000"/>
                <w:szCs w:val="20"/>
              </w:rPr>
              <w:t>8,213</w:t>
            </w:r>
          </w:p>
        </w:tc>
      </w:tr>
      <w:tr w:rsidR="00CF0E2D" w:rsidRPr="00D60558" w14:paraId="764E7164" w14:textId="77777777" w:rsidTr="00A60D4B">
        <w:trPr>
          <w:gridAfter w:val="1"/>
          <w:wAfter w:w="9" w:type="dxa"/>
          <w:jc w:val="center"/>
        </w:trPr>
        <w:tc>
          <w:tcPr>
            <w:tcW w:w="3355" w:type="dxa"/>
            <w:tcBorders>
              <w:top w:val="nil"/>
              <w:left w:val="nil"/>
              <w:bottom w:val="nil"/>
              <w:right w:val="nil"/>
            </w:tcBorders>
          </w:tcPr>
          <w:p w14:paraId="6DBC17F2" w14:textId="77777777" w:rsidR="00CF0E2D" w:rsidRPr="00251FAB" w:rsidRDefault="00CF0E2D" w:rsidP="00A60D4B">
            <w:pPr>
              <w:pStyle w:val="Btabletextunbold"/>
              <w:rPr>
                <w:szCs w:val="20"/>
              </w:rPr>
            </w:pPr>
            <w:r w:rsidRPr="00251FAB">
              <w:rPr>
                <w:rFonts w:cs="Calibri"/>
                <w:color w:val="000000"/>
                <w:szCs w:val="20"/>
              </w:rPr>
              <w:t>Modernising the ACT Ambulance Service</w:t>
            </w:r>
          </w:p>
        </w:tc>
        <w:tc>
          <w:tcPr>
            <w:tcW w:w="1093" w:type="dxa"/>
            <w:tcBorders>
              <w:top w:val="nil"/>
              <w:left w:val="nil"/>
              <w:bottom w:val="nil"/>
              <w:right w:val="nil"/>
            </w:tcBorders>
          </w:tcPr>
          <w:p w14:paraId="63EF8DBB" w14:textId="77777777" w:rsidR="00CF0E2D" w:rsidRPr="00251FAB" w:rsidRDefault="00CF0E2D" w:rsidP="00A60D4B">
            <w:pPr>
              <w:pStyle w:val="Btablefigureunbold"/>
              <w:ind w:left="0" w:firstLine="0"/>
              <w:jc w:val="left"/>
              <w:rPr>
                <w:rFonts w:cs="Calibri"/>
                <w:color w:val="000000"/>
                <w:szCs w:val="20"/>
              </w:rPr>
            </w:pPr>
            <w:r w:rsidRPr="00251FAB">
              <w:rPr>
                <w:rFonts w:cs="Calibri"/>
                <w:color w:val="000000"/>
                <w:szCs w:val="20"/>
              </w:rPr>
              <w:t>Net capital</w:t>
            </w:r>
          </w:p>
        </w:tc>
        <w:tc>
          <w:tcPr>
            <w:tcW w:w="964" w:type="dxa"/>
            <w:gridSpan w:val="2"/>
            <w:tcBorders>
              <w:top w:val="nil"/>
              <w:left w:val="nil"/>
              <w:bottom w:val="nil"/>
              <w:right w:val="nil"/>
            </w:tcBorders>
          </w:tcPr>
          <w:p w14:paraId="781D31A5" w14:textId="77777777" w:rsidR="00CF0E2D" w:rsidRPr="004B40E1" w:rsidRDefault="00CF0E2D" w:rsidP="00A60D4B">
            <w:pPr>
              <w:pStyle w:val="Btablefigureunbold"/>
              <w:rPr>
                <w:szCs w:val="20"/>
              </w:rPr>
            </w:pPr>
            <w:r w:rsidRPr="004B40E1">
              <w:rPr>
                <w:rFonts w:cs="Calibri"/>
                <w:color w:val="000000"/>
                <w:szCs w:val="20"/>
              </w:rPr>
              <w:t>640</w:t>
            </w:r>
          </w:p>
        </w:tc>
        <w:tc>
          <w:tcPr>
            <w:tcW w:w="964" w:type="dxa"/>
            <w:gridSpan w:val="2"/>
            <w:tcBorders>
              <w:top w:val="nil"/>
              <w:left w:val="nil"/>
              <w:bottom w:val="nil"/>
              <w:right w:val="nil"/>
            </w:tcBorders>
          </w:tcPr>
          <w:p w14:paraId="13068AAB"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7D02822E"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64492A86" w14:textId="77777777" w:rsidR="00CF0E2D" w:rsidRPr="004B40E1" w:rsidRDefault="00CF0E2D" w:rsidP="00A60D4B">
            <w:pPr>
              <w:pStyle w:val="Btablefigureunbold"/>
              <w:rPr>
                <w:szCs w:val="20"/>
              </w:rPr>
            </w:pPr>
            <w:r w:rsidRPr="004B40E1">
              <w:rPr>
                <w:rFonts w:cs="Calibri"/>
                <w:color w:val="000000"/>
                <w:szCs w:val="20"/>
              </w:rPr>
              <w:t>0</w:t>
            </w:r>
          </w:p>
        </w:tc>
        <w:tc>
          <w:tcPr>
            <w:tcW w:w="954" w:type="dxa"/>
            <w:gridSpan w:val="2"/>
            <w:tcBorders>
              <w:top w:val="nil"/>
              <w:left w:val="nil"/>
              <w:bottom w:val="nil"/>
              <w:right w:val="nil"/>
            </w:tcBorders>
          </w:tcPr>
          <w:p w14:paraId="65F154C8" w14:textId="77777777" w:rsidR="00CF0E2D" w:rsidRPr="004B40E1" w:rsidRDefault="00CF0E2D" w:rsidP="00A60D4B">
            <w:pPr>
              <w:pStyle w:val="Btablefigureunbold"/>
              <w:rPr>
                <w:b/>
                <w:bCs/>
                <w:szCs w:val="20"/>
              </w:rPr>
            </w:pPr>
            <w:r w:rsidRPr="004B40E1">
              <w:rPr>
                <w:rFonts w:cs="Calibri"/>
                <w:b/>
                <w:bCs/>
                <w:color w:val="000000"/>
                <w:szCs w:val="20"/>
              </w:rPr>
              <w:t>640</w:t>
            </w:r>
          </w:p>
        </w:tc>
      </w:tr>
      <w:tr w:rsidR="00CF0E2D" w:rsidRPr="00D60558" w14:paraId="635C0785" w14:textId="77777777" w:rsidTr="00A60D4B">
        <w:trPr>
          <w:gridAfter w:val="1"/>
          <w:wAfter w:w="9" w:type="dxa"/>
          <w:jc w:val="center"/>
        </w:trPr>
        <w:tc>
          <w:tcPr>
            <w:tcW w:w="3355" w:type="dxa"/>
            <w:tcBorders>
              <w:top w:val="nil"/>
              <w:left w:val="nil"/>
              <w:bottom w:val="nil"/>
              <w:right w:val="nil"/>
            </w:tcBorders>
          </w:tcPr>
          <w:p w14:paraId="3A610962" w14:textId="77777777" w:rsidR="00CF0E2D" w:rsidRPr="00251FAB" w:rsidRDefault="00CF0E2D" w:rsidP="00A60D4B">
            <w:pPr>
              <w:pStyle w:val="Btabletextunbold"/>
              <w:rPr>
                <w:szCs w:val="20"/>
              </w:rPr>
            </w:pPr>
            <w:r w:rsidRPr="00251FAB">
              <w:rPr>
                <w:rFonts w:cs="Calibri"/>
                <w:color w:val="000000"/>
                <w:szCs w:val="20"/>
              </w:rPr>
              <w:t>Modernising the ACT Ambulance Service</w:t>
            </w:r>
          </w:p>
        </w:tc>
        <w:tc>
          <w:tcPr>
            <w:tcW w:w="1093" w:type="dxa"/>
            <w:tcBorders>
              <w:top w:val="nil"/>
              <w:left w:val="nil"/>
              <w:bottom w:val="nil"/>
              <w:right w:val="nil"/>
            </w:tcBorders>
          </w:tcPr>
          <w:p w14:paraId="37B1B86A" w14:textId="77777777" w:rsidR="00CF0E2D" w:rsidRPr="00251FAB" w:rsidRDefault="00CF0E2D" w:rsidP="00A60D4B">
            <w:pPr>
              <w:pStyle w:val="Btablefigureunbold"/>
              <w:ind w:left="0" w:firstLine="0"/>
              <w:jc w:val="left"/>
              <w:rPr>
                <w:rFonts w:cs="Calibri"/>
                <w:color w:val="000000"/>
                <w:szCs w:val="20"/>
              </w:rPr>
            </w:pPr>
            <w:r w:rsidRPr="00060682">
              <w:rPr>
                <w:rFonts w:cs="Calibri"/>
                <w:color w:val="000000"/>
                <w:szCs w:val="20"/>
              </w:rPr>
              <w:t>Net cost</w:t>
            </w:r>
          </w:p>
        </w:tc>
        <w:tc>
          <w:tcPr>
            <w:tcW w:w="964" w:type="dxa"/>
            <w:gridSpan w:val="2"/>
            <w:tcBorders>
              <w:top w:val="nil"/>
              <w:left w:val="nil"/>
              <w:bottom w:val="nil"/>
              <w:right w:val="nil"/>
            </w:tcBorders>
          </w:tcPr>
          <w:p w14:paraId="37FC7CBF" w14:textId="77777777" w:rsidR="00CF0E2D" w:rsidRPr="004B40E1" w:rsidRDefault="00CF0E2D" w:rsidP="00A60D4B">
            <w:pPr>
              <w:pStyle w:val="Btablefigureunbold"/>
              <w:rPr>
                <w:szCs w:val="20"/>
              </w:rPr>
            </w:pPr>
            <w:r w:rsidRPr="004B40E1">
              <w:rPr>
                <w:rFonts w:cs="Calibri"/>
                <w:color w:val="000000"/>
                <w:szCs w:val="20"/>
              </w:rPr>
              <w:t>3,301</w:t>
            </w:r>
          </w:p>
        </w:tc>
        <w:tc>
          <w:tcPr>
            <w:tcW w:w="964" w:type="dxa"/>
            <w:gridSpan w:val="2"/>
            <w:tcBorders>
              <w:top w:val="nil"/>
              <w:left w:val="nil"/>
              <w:bottom w:val="nil"/>
              <w:right w:val="nil"/>
            </w:tcBorders>
          </w:tcPr>
          <w:p w14:paraId="6C4A74BD" w14:textId="77777777" w:rsidR="00CF0E2D" w:rsidRPr="004B40E1" w:rsidRDefault="00CF0E2D" w:rsidP="00A60D4B">
            <w:pPr>
              <w:pStyle w:val="Btablefigureunbold"/>
              <w:rPr>
                <w:szCs w:val="20"/>
              </w:rPr>
            </w:pPr>
            <w:r w:rsidRPr="004B40E1">
              <w:rPr>
                <w:rFonts w:cs="Calibri"/>
                <w:color w:val="000000"/>
                <w:szCs w:val="20"/>
              </w:rPr>
              <w:t>3,795</w:t>
            </w:r>
          </w:p>
        </w:tc>
        <w:tc>
          <w:tcPr>
            <w:tcW w:w="964" w:type="dxa"/>
            <w:gridSpan w:val="2"/>
            <w:tcBorders>
              <w:top w:val="nil"/>
              <w:left w:val="nil"/>
              <w:bottom w:val="nil"/>
              <w:right w:val="nil"/>
            </w:tcBorders>
          </w:tcPr>
          <w:p w14:paraId="7F6D7031" w14:textId="77777777" w:rsidR="00CF0E2D" w:rsidRPr="004B40E1" w:rsidRDefault="00CF0E2D" w:rsidP="00A60D4B">
            <w:pPr>
              <w:pStyle w:val="Btablefigureunbold"/>
              <w:rPr>
                <w:szCs w:val="20"/>
              </w:rPr>
            </w:pPr>
            <w:r w:rsidRPr="004B40E1">
              <w:rPr>
                <w:rFonts w:cs="Calibri"/>
                <w:color w:val="000000"/>
                <w:szCs w:val="20"/>
              </w:rPr>
              <w:t>3,871</w:t>
            </w:r>
          </w:p>
        </w:tc>
        <w:tc>
          <w:tcPr>
            <w:tcW w:w="964" w:type="dxa"/>
            <w:gridSpan w:val="2"/>
            <w:tcBorders>
              <w:top w:val="nil"/>
              <w:left w:val="nil"/>
              <w:bottom w:val="nil"/>
              <w:right w:val="nil"/>
            </w:tcBorders>
          </w:tcPr>
          <w:p w14:paraId="2475F99E" w14:textId="77777777" w:rsidR="00CF0E2D" w:rsidRPr="004B40E1" w:rsidRDefault="00CF0E2D" w:rsidP="00A60D4B">
            <w:pPr>
              <w:pStyle w:val="Btablefigureunbold"/>
              <w:rPr>
                <w:szCs w:val="20"/>
              </w:rPr>
            </w:pPr>
            <w:r w:rsidRPr="004B40E1">
              <w:rPr>
                <w:rFonts w:cs="Calibri"/>
                <w:color w:val="000000"/>
                <w:szCs w:val="20"/>
              </w:rPr>
              <w:t>3,970</w:t>
            </w:r>
          </w:p>
        </w:tc>
        <w:tc>
          <w:tcPr>
            <w:tcW w:w="954" w:type="dxa"/>
            <w:gridSpan w:val="2"/>
            <w:tcBorders>
              <w:top w:val="nil"/>
              <w:left w:val="nil"/>
              <w:bottom w:val="nil"/>
              <w:right w:val="nil"/>
            </w:tcBorders>
          </w:tcPr>
          <w:p w14:paraId="5CF5F8F0" w14:textId="77777777" w:rsidR="00CF0E2D" w:rsidRPr="004B40E1" w:rsidRDefault="00CF0E2D" w:rsidP="00A60D4B">
            <w:pPr>
              <w:pStyle w:val="Btablefigureunbold"/>
              <w:rPr>
                <w:b/>
                <w:bCs/>
                <w:szCs w:val="20"/>
              </w:rPr>
            </w:pPr>
            <w:r w:rsidRPr="004B40E1">
              <w:rPr>
                <w:rFonts w:cs="Calibri"/>
                <w:b/>
                <w:bCs/>
                <w:color w:val="000000"/>
                <w:szCs w:val="20"/>
              </w:rPr>
              <w:t>14,937</w:t>
            </w:r>
          </w:p>
        </w:tc>
      </w:tr>
      <w:tr w:rsidR="00CF0E2D" w:rsidRPr="00D60558" w14:paraId="0F96918C" w14:textId="77777777" w:rsidTr="00A60D4B">
        <w:trPr>
          <w:gridAfter w:val="1"/>
          <w:wAfter w:w="9" w:type="dxa"/>
          <w:jc w:val="center"/>
        </w:trPr>
        <w:tc>
          <w:tcPr>
            <w:tcW w:w="3355" w:type="dxa"/>
            <w:tcBorders>
              <w:top w:val="nil"/>
              <w:left w:val="nil"/>
              <w:bottom w:val="nil"/>
              <w:right w:val="nil"/>
            </w:tcBorders>
          </w:tcPr>
          <w:p w14:paraId="5C996E94" w14:textId="77777777" w:rsidR="00CF0E2D" w:rsidRPr="00251FAB" w:rsidRDefault="00CF0E2D" w:rsidP="00A60D4B">
            <w:pPr>
              <w:pStyle w:val="Btabletextunbold"/>
              <w:rPr>
                <w:szCs w:val="20"/>
              </w:rPr>
            </w:pPr>
            <w:r w:rsidRPr="00251FAB">
              <w:rPr>
                <w:rFonts w:cs="Calibri"/>
                <w:color w:val="000000"/>
                <w:szCs w:val="20"/>
              </w:rPr>
              <w:t>More support for the ACT Civil and Administrative Tribunal</w:t>
            </w:r>
          </w:p>
        </w:tc>
        <w:tc>
          <w:tcPr>
            <w:tcW w:w="1093" w:type="dxa"/>
            <w:tcBorders>
              <w:top w:val="nil"/>
              <w:left w:val="nil"/>
              <w:bottom w:val="nil"/>
              <w:right w:val="nil"/>
            </w:tcBorders>
          </w:tcPr>
          <w:p w14:paraId="053407E0" w14:textId="77777777" w:rsidR="00CF0E2D" w:rsidRPr="00251FAB" w:rsidRDefault="00CF0E2D" w:rsidP="00A60D4B">
            <w:pPr>
              <w:pStyle w:val="Btablefigureunbold"/>
              <w:ind w:left="0" w:firstLine="0"/>
              <w:jc w:val="left"/>
              <w:rPr>
                <w:rFonts w:cs="Calibri"/>
                <w:color w:val="000000"/>
                <w:szCs w:val="20"/>
              </w:rPr>
            </w:pPr>
            <w:r w:rsidRPr="00251FAB">
              <w:rPr>
                <w:rFonts w:cs="Calibri"/>
                <w:color w:val="000000"/>
                <w:szCs w:val="20"/>
              </w:rPr>
              <w:t>Net capital</w:t>
            </w:r>
          </w:p>
        </w:tc>
        <w:tc>
          <w:tcPr>
            <w:tcW w:w="964" w:type="dxa"/>
            <w:gridSpan w:val="2"/>
            <w:tcBorders>
              <w:top w:val="nil"/>
              <w:left w:val="nil"/>
              <w:bottom w:val="nil"/>
              <w:right w:val="nil"/>
            </w:tcBorders>
          </w:tcPr>
          <w:p w14:paraId="381EC343" w14:textId="77777777" w:rsidR="00CF0E2D" w:rsidRPr="004B40E1" w:rsidRDefault="00CF0E2D" w:rsidP="00A60D4B">
            <w:pPr>
              <w:pStyle w:val="Btablefigureunbold"/>
              <w:rPr>
                <w:szCs w:val="20"/>
              </w:rPr>
            </w:pPr>
            <w:r w:rsidRPr="004B40E1">
              <w:rPr>
                <w:rFonts w:cs="Calibri"/>
                <w:color w:val="000000"/>
                <w:szCs w:val="20"/>
              </w:rPr>
              <w:t>5,976</w:t>
            </w:r>
          </w:p>
        </w:tc>
        <w:tc>
          <w:tcPr>
            <w:tcW w:w="964" w:type="dxa"/>
            <w:gridSpan w:val="2"/>
            <w:tcBorders>
              <w:top w:val="nil"/>
              <w:left w:val="nil"/>
              <w:bottom w:val="nil"/>
              <w:right w:val="nil"/>
            </w:tcBorders>
          </w:tcPr>
          <w:p w14:paraId="0F35C599"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1CEA3369"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5FC2F8CB" w14:textId="77777777" w:rsidR="00CF0E2D" w:rsidRPr="004B40E1" w:rsidRDefault="00CF0E2D" w:rsidP="00A60D4B">
            <w:pPr>
              <w:pStyle w:val="Btablefigureunbold"/>
              <w:rPr>
                <w:szCs w:val="20"/>
              </w:rPr>
            </w:pPr>
            <w:r w:rsidRPr="004B40E1">
              <w:rPr>
                <w:rFonts w:cs="Calibri"/>
                <w:color w:val="000000"/>
                <w:szCs w:val="20"/>
              </w:rPr>
              <w:t>0</w:t>
            </w:r>
          </w:p>
        </w:tc>
        <w:tc>
          <w:tcPr>
            <w:tcW w:w="954" w:type="dxa"/>
            <w:gridSpan w:val="2"/>
            <w:tcBorders>
              <w:top w:val="nil"/>
              <w:left w:val="nil"/>
              <w:bottom w:val="nil"/>
              <w:right w:val="nil"/>
            </w:tcBorders>
          </w:tcPr>
          <w:p w14:paraId="55CF5FAF" w14:textId="77777777" w:rsidR="00CF0E2D" w:rsidRPr="004B40E1" w:rsidRDefault="00CF0E2D" w:rsidP="00A60D4B">
            <w:pPr>
              <w:pStyle w:val="Btablefigureunbold"/>
              <w:rPr>
                <w:b/>
                <w:bCs/>
                <w:szCs w:val="20"/>
              </w:rPr>
            </w:pPr>
            <w:r w:rsidRPr="004B40E1">
              <w:rPr>
                <w:rFonts w:cs="Calibri"/>
                <w:b/>
                <w:bCs/>
                <w:color w:val="000000"/>
                <w:szCs w:val="20"/>
              </w:rPr>
              <w:t>5,976</w:t>
            </w:r>
          </w:p>
        </w:tc>
      </w:tr>
      <w:tr w:rsidR="00CF0E2D" w:rsidRPr="004B40E1" w14:paraId="3BEC743B" w14:textId="77777777" w:rsidTr="00A60D4B">
        <w:trPr>
          <w:gridAfter w:val="1"/>
          <w:wAfter w:w="9" w:type="dxa"/>
          <w:jc w:val="center"/>
        </w:trPr>
        <w:tc>
          <w:tcPr>
            <w:tcW w:w="3355" w:type="dxa"/>
            <w:tcBorders>
              <w:top w:val="nil"/>
              <w:left w:val="nil"/>
              <w:bottom w:val="nil"/>
              <w:right w:val="nil"/>
            </w:tcBorders>
          </w:tcPr>
          <w:p w14:paraId="1E5A5A97" w14:textId="77777777" w:rsidR="00CF0E2D" w:rsidRPr="00251FAB" w:rsidRDefault="00CF0E2D" w:rsidP="00A60D4B">
            <w:pPr>
              <w:pStyle w:val="Btabletextunbold"/>
              <w:rPr>
                <w:szCs w:val="20"/>
              </w:rPr>
            </w:pPr>
            <w:bookmarkStart w:id="29" w:name="_Hlk84246253"/>
            <w:r w:rsidRPr="00251FAB">
              <w:rPr>
                <w:rFonts w:cs="Calibri"/>
                <w:color w:val="000000"/>
                <w:szCs w:val="20"/>
              </w:rPr>
              <w:t>More support for the ACT Civil and Administrative Tribunal</w:t>
            </w:r>
          </w:p>
        </w:tc>
        <w:tc>
          <w:tcPr>
            <w:tcW w:w="1093" w:type="dxa"/>
            <w:tcBorders>
              <w:top w:val="nil"/>
              <w:left w:val="nil"/>
              <w:bottom w:val="nil"/>
              <w:right w:val="nil"/>
            </w:tcBorders>
          </w:tcPr>
          <w:p w14:paraId="0B520536" w14:textId="77777777" w:rsidR="00CF0E2D" w:rsidRPr="00251FAB" w:rsidRDefault="00CF0E2D" w:rsidP="00A60D4B">
            <w:pPr>
              <w:pStyle w:val="Btablefigureunbold"/>
              <w:ind w:left="0" w:firstLine="0"/>
              <w:jc w:val="left"/>
              <w:rPr>
                <w:rFonts w:cs="Calibri"/>
                <w:color w:val="000000"/>
                <w:szCs w:val="20"/>
              </w:rPr>
            </w:pPr>
            <w:r w:rsidRPr="003E2E42">
              <w:rPr>
                <w:rFonts w:cs="Calibri"/>
                <w:color w:val="000000"/>
                <w:szCs w:val="20"/>
              </w:rPr>
              <w:t>Net cost</w:t>
            </w:r>
          </w:p>
        </w:tc>
        <w:tc>
          <w:tcPr>
            <w:tcW w:w="964" w:type="dxa"/>
            <w:gridSpan w:val="2"/>
            <w:tcBorders>
              <w:top w:val="nil"/>
              <w:left w:val="nil"/>
              <w:bottom w:val="nil"/>
              <w:right w:val="nil"/>
            </w:tcBorders>
          </w:tcPr>
          <w:p w14:paraId="649E9E7D"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34331241" w14:textId="77777777" w:rsidR="00CF0E2D" w:rsidRPr="004B40E1" w:rsidRDefault="00CF0E2D" w:rsidP="00A60D4B">
            <w:pPr>
              <w:pStyle w:val="Btablefigureunbold"/>
              <w:rPr>
                <w:szCs w:val="20"/>
              </w:rPr>
            </w:pPr>
            <w:r w:rsidRPr="004B40E1">
              <w:rPr>
                <w:rFonts w:cs="Calibri"/>
                <w:color w:val="000000"/>
                <w:szCs w:val="20"/>
              </w:rPr>
              <w:t>342</w:t>
            </w:r>
          </w:p>
        </w:tc>
        <w:tc>
          <w:tcPr>
            <w:tcW w:w="964" w:type="dxa"/>
            <w:gridSpan w:val="2"/>
            <w:tcBorders>
              <w:top w:val="nil"/>
              <w:left w:val="nil"/>
              <w:bottom w:val="nil"/>
              <w:right w:val="nil"/>
            </w:tcBorders>
          </w:tcPr>
          <w:p w14:paraId="26501038" w14:textId="77777777" w:rsidR="00CF0E2D" w:rsidRPr="004B40E1" w:rsidRDefault="00CF0E2D" w:rsidP="00A60D4B">
            <w:pPr>
              <w:pStyle w:val="Btablefigureunbold"/>
              <w:rPr>
                <w:szCs w:val="20"/>
              </w:rPr>
            </w:pPr>
            <w:r w:rsidRPr="004B40E1">
              <w:rPr>
                <w:rFonts w:cs="Calibri"/>
                <w:color w:val="000000"/>
                <w:szCs w:val="20"/>
              </w:rPr>
              <w:t>342</w:t>
            </w:r>
          </w:p>
        </w:tc>
        <w:tc>
          <w:tcPr>
            <w:tcW w:w="964" w:type="dxa"/>
            <w:gridSpan w:val="2"/>
            <w:tcBorders>
              <w:top w:val="nil"/>
              <w:left w:val="nil"/>
              <w:bottom w:val="nil"/>
              <w:right w:val="nil"/>
            </w:tcBorders>
          </w:tcPr>
          <w:p w14:paraId="688B0E8E" w14:textId="77777777" w:rsidR="00CF0E2D" w:rsidRPr="004B40E1" w:rsidRDefault="00CF0E2D" w:rsidP="00A60D4B">
            <w:pPr>
              <w:pStyle w:val="Btablefigureunbold"/>
              <w:rPr>
                <w:szCs w:val="20"/>
              </w:rPr>
            </w:pPr>
            <w:r w:rsidRPr="004B40E1">
              <w:rPr>
                <w:rFonts w:cs="Calibri"/>
                <w:color w:val="000000"/>
                <w:szCs w:val="20"/>
              </w:rPr>
              <w:t>342</w:t>
            </w:r>
          </w:p>
        </w:tc>
        <w:tc>
          <w:tcPr>
            <w:tcW w:w="954" w:type="dxa"/>
            <w:gridSpan w:val="2"/>
            <w:tcBorders>
              <w:top w:val="nil"/>
              <w:left w:val="nil"/>
              <w:bottom w:val="nil"/>
              <w:right w:val="nil"/>
            </w:tcBorders>
          </w:tcPr>
          <w:p w14:paraId="39BA521A" w14:textId="77777777" w:rsidR="00CF0E2D" w:rsidRPr="004B40E1" w:rsidRDefault="00CF0E2D" w:rsidP="00A60D4B">
            <w:pPr>
              <w:pStyle w:val="Btablefigureunbold"/>
              <w:rPr>
                <w:b/>
                <w:bCs/>
                <w:szCs w:val="20"/>
              </w:rPr>
            </w:pPr>
            <w:r w:rsidRPr="004B40E1">
              <w:rPr>
                <w:rFonts w:cs="Calibri"/>
                <w:b/>
                <w:bCs/>
                <w:color w:val="000000"/>
                <w:szCs w:val="20"/>
              </w:rPr>
              <w:t>1,026</w:t>
            </w:r>
          </w:p>
        </w:tc>
      </w:tr>
      <w:tr w:rsidR="00CF0E2D" w:rsidRPr="00D60558" w14:paraId="050B7626" w14:textId="77777777" w:rsidTr="00A60D4B">
        <w:trPr>
          <w:gridAfter w:val="1"/>
          <w:wAfter w:w="9" w:type="dxa"/>
          <w:jc w:val="center"/>
        </w:trPr>
        <w:tc>
          <w:tcPr>
            <w:tcW w:w="3355" w:type="dxa"/>
            <w:tcBorders>
              <w:top w:val="nil"/>
              <w:left w:val="nil"/>
              <w:bottom w:val="nil"/>
              <w:right w:val="nil"/>
            </w:tcBorders>
          </w:tcPr>
          <w:p w14:paraId="7933CB87" w14:textId="77777777" w:rsidR="00CF0E2D" w:rsidRPr="00251FAB" w:rsidRDefault="00CF0E2D" w:rsidP="00A60D4B">
            <w:pPr>
              <w:pStyle w:val="Btabletextunbold"/>
              <w:rPr>
                <w:szCs w:val="20"/>
              </w:rPr>
            </w:pPr>
            <w:r w:rsidRPr="00251FAB">
              <w:rPr>
                <w:rFonts w:cs="Calibri"/>
                <w:color w:val="000000"/>
                <w:szCs w:val="20"/>
              </w:rPr>
              <w:t xml:space="preserve">More support for </w:t>
            </w:r>
            <w:r>
              <w:rPr>
                <w:rFonts w:cs="Calibri"/>
                <w:color w:val="000000"/>
                <w:szCs w:val="20"/>
              </w:rPr>
              <w:t>victims of crime</w:t>
            </w:r>
          </w:p>
        </w:tc>
        <w:tc>
          <w:tcPr>
            <w:tcW w:w="1093" w:type="dxa"/>
            <w:tcBorders>
              <w:top w:val="nil"/>
              <w:left w:val="nil"/>
              <w:bottom w:val="nil"/>
              <w:right w:val="nil"/>
            </w:tcBorders>
          </w:tcPr>
          <w:p w14:paraId="531400EA" w14:textId="77777777" w:rsidR="00CF0E2D" w:rsidRPr="00251FAB" w:rsidRDefault="00CF0E2D" w:rsidP="00A60D4B">
            <w:pPr>
              <w:pStyle w:val="Btablefigureunbold"/>
              <w:ind w:left="0" w:firstLine="0"/>
              <w:jc w:val="left"/>
              <w:rPr>
                <w:rFonts w:cs="Calibri"/>
                <w:color w:val="000000"/>
                <w:szCs w:val="20"/>
              </w:rPr>
            </w:pPr>
            <w:r w:rsidRPr="003E2E42">
              <w:rPr>
                <w:rFonts w:cs="Calibri"/>
                <w:color w:val="000000"/>
                <w:szCs w:val="20"/>
              </w:rPr>
              <w:t>Net cost</w:t>
            </w:r>
          </w:p>
        </w:tc>
        <w:tc>
          <w:tcPr>
            <w:tcW w:w="964" w:type="dxa"/>
            <w:gridSpan w:val="2"/>
            <w:tcBorders>
              <w:top w:val="nil"/>
              <w:left w:val="nil"/>
              <w:bottom w:val="nil"/>
              <w:right w:val="nil"/>
            </w:tcBorders>
          </w:tcPr>
          <w:p w14:paraId="4173E90C" w14:textId="77777777" w:rsidR="00CF0E2D" w:rsidRPr="004B40E1" w:rsidRDefault="00CF0E2D" w:rsidP="00A60D4B">
            <w:pPr>
              <w:pStyle w:val="Btablefigureunbold"/>
              <w:rPr>
                <w:szCs w:val="20"/>
              </w:rPr>
            </w:pPr>
            <w:r>
              <w:rPr>
                <w:szCs w:val="20"/>
              </w:rPr>
              <w:t>1,739</w:t>
            </w:r>
          </w:p>
        </w:tc>
        <w:tc>
          <w:tcPr>
            <w:tcW w:w="964" w:type="dxa"/>
            <w:gridSpan w:val="2"/>
            <w:tcBorders>
              <w:top w:val="nil"/>
              <w:left w:val="nil"/>
              <w:bottom w:val="nil"/>
              <w:right w:val="nil"/>
            </w:tcBorders>
          </w:tcPr>
          <w:p w14:paraId="16C05B9C" w14:textId="77777777" w:rsidR="00CF0E2D" w:rsidRPr="004B40E1" w:rsidRDefault="00CF0E2D" w:rsidP="00A60D4B">
            <w:pPr>
              <w:pStyle w:val="Btablefigureunbold"/>
              <w:rPr>
                <w:szCs w:val="20"/>
              </w:rPr>
            </w:pPr>
            <w:r>
              <w:rPr>
                <w:rFonts w:cs="Calibri"/>
                <w:color w:val="000000"/>
                <w:szCs w:val="20"/>
              </w:rPr>
              <w:t>1,790</w:t>
            </w:r>
          </w:p>
        </w:tc>
        <w:tc>
          <w:tcPr>
            <w:tcW w:w="964" w:type="dxa"/>
            <w:gridSpan w:val="2"/>
            <w:tcBorders>
              <w:top w:val="nil"/>
              <w:left w:val="nil"/>
              <w:bottom w:val="nil"/>
              <w:right w:val="nil"/>
            </w:tcBorders>
          </w:tcPr>
          <w:p w14:paraId="6C8738E0" w14:textId="77777777" w:rsidR="00CF0E2D" w:rsidRPr="004B40E1" w:rsidRDefault="00CF0E2D" w:rsidP="00A60D4B">
            <w:pPr>
              <w:pStyle w:val="Btablefigureunbold"/>
              <w:rPr>
                <w:szCs w:val="20"/>
              </w:rPr>
            </w:pPr>
            <w:r>
              <w:rPr>
                <w:rFonts w:cs="Calibri"/>
                <w:color w:val="000000"/>
                <w:szCs w:val="20"/>
              </w:rPr>
              <w:t>1,809</w:t>
            </w:r>
          </w:p>
        </w:tc>
        <w:tc>
          <w:tcPr>
            <w:tcW w:w="964" w:type="dxa"/>
            <w:gridSpan w:val="2"/>
            <w:tcBorders>
              <w:top w:val="nil"/>
              <w:left w:val="nil"/>
              <w:bottom w:val="nil"/>
              <w:right w:val="nil"/>
            </w:tcBorders>
          </w:tcPr>
          <w:p w14:paraId="1A9DD4FA" w14:textId="77777777" w:rsidR="00CF0E2D" w:rsidRPr="004B40E1" w:rsidRDefault="00CF0E2D" w:rsidP="00A60D4B">
            <w:pPr>
              <w:pStyle w:val="Btablefigureunbold"/>
              <w:rPr>
                <w:szCs w:val="20"/>
              </w:rPr>
            </w:pPr>
            <w:r>
              <w:rPr>
                <w:rFonts w:cs="Calibri"/>
                <w:color w:val="000000"/>
                <w:szCs w:val="20"/>
              </w:rPr>
              <w:t>1,827</w:t>
            </w:r>
          </w:p>
        </w:tc>
        <w:tc>
          <w:tcPr>
            <w:tcW w:w="954" w:type="dxa"/>
            <w:gridSpan w:val="2"/>
            <w:tcBorders>
              <w:top w:val="nil"/>
              <w:left w:val="nil"/>
              <w:bottom w:val="nil"/>
              <w:right w:val="nil"/>
            </w:tcBorders>
          </w:tcPr>
          <w:p w14:paraId="34002801" w14:textId="77777777" w:rsidR="00CF0E2D" w:rsidRPr="004B40E1" w:rsidRDefault="00CF0E2D" w:rsidP="00A60D4B">
            <w:pPr>
              <w:pStyle w:val="Btablefigureunbold"/>
              <w:rPr>
                <w:b/>
                <w:bCs/>
                <w:szCs w:val="20"/>
              </w:rPr>
            </w:pPr>
            <w:r>
              <w:rPr>
                <w:rFonts w:cs="Calibri"/>
                <w:b/>
                <w:bCs/>
                <w:color w:val="000000"/>
                <w:szCs w:val="20"/>
              </w:rPr>
              <w:t>7,165</w:t>
            </w:r>
          </w:p>
        </w:tc>
      </w:tr>
      <w:bookmarkEnd w:id="29"/>
      <w:tr w:rsidR="00CF0E2D" w:rsidRPr="00D60558" w14:paraId="0BD6F7DB" w14:textId="77777777" w:rsidTr="00A60D4B">
        <w:trPr>
          <w:gridAfter w:val="1"/>
          <w:wAfter w:w="9" w:type="dxa"/>
          <w:jc w:val="center"/>
        </w:trPr>
        <w:tc>
          <w:tcPr>
            <w:tcW w:w="3355" w:type="dxa"/>
            <w:tcBorders>
              <w:top w:val="nil"/>
              <w:left w:val="nil"/>
              <w:bottom w:val="nil"/>
              <w:right w:val="nil"/>
            </w:tcBorders>
          </w:tcPr>
          <w:p w14:paraId="23C043BB" w14:textId="77777777" w:rsidR="00CF0E2D" w:rsidRPr="00251FAB" w:rsidRDefault="00CF0E2D" w:rsidP="00A60D4B">
            <w:pPr>
              <w:pStyle w:val="Btabletextunbold"/>
              <w:rPr>
                <w:szCs w:val="20"/>
              </w:rPr>
            </w:pPr>
            <w:r w:rsidRPr="00251FAB">
              <w:rPr>
                <w:rFonts w:cs="Calibri"/>
                <w:color w:val="000000"/>
                <w:szCs w:val="20"/>
              </w:rPr>
              <w:t>Office of the Aboriginal and Torres Strait Islander Children's Commissioner</w:t>
            </w:r>
          </w:p>
        </w:tc>
        <w:tc>
          <w:tcPr>
            <w:tcW w:w="1093" w:type="dxa"/>
            <w:tcBorders>
              <w:top w:val="nil"/>
              <w:left w:val="nil"/>
              <w:bottom w:val="nil"/>
              <w:right w:val="nil"/>
            </w:tcBorders>
          </w:tcPr>
          <w:p w14:paraId="21F3320E" w14:textId="77777777" w:rsidR="00CF0E2D" w:rsidRPr="00251FAB" w:rsidRDefault="00CF0E2D" w:rsidP="00A60D4B">
            <w:pPr>
              <w:pStyle w:val="Btablefigureunbold"/>
              <w:ind w:left="0" w:firstLine="0"/>
              <w:jc w:val="left"/>
              <w:rPr>
                <w:rFonts w:cs="Calibri"/>
                <w:color w:val="000000"/>
                <w:szCs w:val="20"/>
              </w:rPr>
            </w:pPr>
            <w:r w:rsidRPr="003E2E42">
              <w:rPr>
                <w:rFonts w:cs="Calibri"/>
                <w:color w:val="000000"/>
                <w:szCs w:val="20"/>
              </w:rPr>
              <w:t>Net cost</w:t>
            </w:r>
          </w:p>
        </w:tc>
        <w:tc>
          <w:tcPr>
            <w:tcW w:w="964" w:type="dxa"/>
            <w:gridSpan w:val="2"/>
            <w:tcBorders>
              <w:top w:val="nil"/>
              <w:left w:val="nil"/>
              <w:bottom w:val="nil"/>
              <w:right w:val="nil"/>
            </w:tcBorders>
          </w:tcPr>
          <w:p w14:paraId="09D403C1" w14:textId="77777777" w:rsidR="00CF0E2D" w:rsidRPr="004B40E1" w:rsidRDefault="00CF0E2D" w:rsidP="00A60D4B">
            <w:pPr>
              <w:pStyle w:val="Btablefigureunbold"/>
              <w:rPr>
                <w:szCs w:val="20"/>
              </w:rPr>
            </w:pPr>
            <w:r w:rsidRPr="004B40E1">
              <w:rPr>
                <w:rFonts w:cs="Calibri"/>
                <w:color w:val="000000"/>
                <w:szCs w:val="20"/>
              </w:rPr>
              <w:t>311</w:t>
            </w:r>
          </w:p>
        </w:tc>
        <w:tc>
          <w:tcPr>
            <w:tcW w:w="964" w:type="dxa"/>
            <w:gridSpan w:val="2"/>
            <w:tcBorders>
              <w:top w:val="nil"/>
              <w:left w:val="nil"/>
              <w:bottom w:val="nil"/>
              <w:right w:val="nil"/>
            </w:tcBorders>
          </w:tcPr>
          <w:p w14:paraId="25A0AD3A"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202240B2"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5D18B019" w14:textId="77777777" w:rsidR="00CF0E2D" w:rsidRPr="004B40E1" w:rsidRDefault="00CF0E2D" w:rsidP="00A60D4B">
            <w:pPr>
              <w:pStyle w:val="Btablefigureunbold"/>
              <w:rPr>
                <w:szCs w:val="20"/>
              </w:rPr>
            </w:pPr>
            <w:r w:rsidRPr="004B40E1">
              <w:rPr>
                <w:rFonts w:cs="Calibri"/>
                <w:color w:val="000000"/>
                <w:szCs w:val="20"/>
              </w:rPr>
              <w:t>0</w:t>
            </w:r>
          </w:p>
        </w:tc>
        <w:tc>
          <w:tcPr>
            <w:tcW w:w="954" w:type="dxa"/>
            <w:gridSpan w:val="2"/>
            <w:tcBorders>
              <w:top w:val="nil"/>
              <w:left w:val="nil"/>
              <w:bottom w:val="nil"/>
              <w:right w:val="nil"/>
            </w:tcBorders>
          </w:tcPr>
          <w:p w14:paraId="17289B35" w14:textId="77777777" w:rsidR="00CF0E2D" w:rsidRPr="004B40E1" w:rsidRDefault="00CF0E2D" w:rsidP="00A60D4B">
            <w:pPr>
              <w:pStyle w:val="Btablefigureunbold"/>
              <w:rPr>
                <w:b/>
                <w:bCs/>
                <w:szCs w:val="20"/>
              </w:rPr>
            </w:pPr>
            <w:r w:rsidRPr="004B40E1">
              <w:rPr>
                <w:rFonts w:cs="Calibri"/>
                <w:b/>
                <w:bCs/>
                <w:color w:val="000000"/>
                <w:szCs w:val="20"/>
              </w:rPr>
              <w:t>311</w:t>
            </w:r>
          </w:p>
        </w:tc>
      </w:tr>
      <w:tr w:rsidR="00CF0E2D" w:rsidRPr="00D60558" w14:paraId="5AD833E9" w14:textId="77777777" w:rsidTr="00A60D4B">
        <w:trPr>
          <w:gridAfter w:val="1"/>
          <w:wAfter w:w="9" w:type="dxa"/>
          <w:jc w:val="center"/>
        </w:trPr>
        <w:tc>
          <w:tcPr>
            <w:tcW w:w="3355" w:type="dxa"/>
            <w:tcBorders>
              <w:top w:val="nil"/>
              <w:left w:val="nil"/>
              <w:bottom w:val="nil"/>
              <w:right w:val="nil"/>
            </w:tcBorders>
          </w:tcPr>
          <w:p w14:paraId="50EF377E" w14:textId="77777777" w:rsidR="00CF0E2D" w:rsidRPr="00251FAB" w:rsidRDefault="00CF0E2D" w:rsidP="00A60D4B">
            <w:pPr>
              <w:pStyle w:val="Btabletextunbold"/>
              <w:ind w:left="0" w:firstLine="0"/>
              <w:rPr>
                <w:szCs w:val="20"/>
              </w:rPr>
            </w:pPr>
            <w:r w:rsidRPr="00251FAB">
              <w:rPr>
                <w:rFonts w:cs="Calibri"/>
                <w:color w:val="000000"/>
                <w:szCs w:val="20"/>
              </w:rPr>
              <w:t xml:space="preserve">Official Visitor Scheme </w:t>
            </w:r>
            <w:r>
              <w:rPr>
                <w:rFonts w:cs="Calibri"/>
                <w:color w:val="000000"/>
                <w:szCs w:val="20"/>
              </w:rPr>
              <w:t>–</w:t>
            </w:r>
            <w:r w:rsidRPr="00251FAB">
              <w:rPr>
                <w:rFonts w:cs="Calibri"/>
                <w:color w:val="000000"/>
                <w:szCs w:val="20"/>
              </w:rPr>
              <w:t xml:space="preserve"> more support</w:t>
            </w:r>
          </w:p>
        </w:tc>
        <w:tc>
          <w:tcPr>
            <w:tcW w:w="1093" w:type="dxa"/>
            <w:tcBorders>
              <w:top w:val="nil"/>
              <w:left w:val="nil"/>
              <w:bottom w:val="nil"/>
              <w:right w:val="nil"/>
            </w:tcBorders>
          </w:tcPr>
          <w:p w14:paraId="0430B9B0" w14:textId="77777777" w:rsidR="00CF0E2D" w:rsidRPr="00251FAB" w:rsidRDefault="00CF0E2D" w:rsidP="00A60D4B">
            <w:pPr>
              <w:pStyle w:val="Btablefigureunbold"/>
              <w:ind w:left="0" w:firstLine="0"/>
              <w:jc w:val="left"/>
              <w:rPr>
                <w:rFonts w:cs="Calibri"/>
                <w:color w:val="000000"/>
                <w:szCs w:val="20"/>
              </w:rPr>
            </w:pPr>
            <w:r w:rsidRPr="003E2E42">
              <w:rPr>
                <w:rFonts w:cs="Calibri"/>
                <w:color w:val="000000"/>
                <w:szCs w:val="20"/>
              </w:rPr>
              <w:t>Net cost</w:t>
            </w:r>
          </w:p>
        </w:tc>
        <w:tc>
          <w:tcPr>
            <w:tcW w:w="964" w:type="dxa"/>
            <w:gridSpan w:val="2"/>
            <w:tcBorders>
              <w:top w:val="nil"/>
              <w:left w:val="nil"/>
              <w:bottom w:val="nil"/>
              <w:right w:val="nil"/>
            </w:tcBorders>
          </w:tcPr>
          <w:p w14:paraId="5C505167" w14:textId="77777777" w:rsidR="00CF0E2D" w:rsidRPr="004B40E1" w:rsidRDefault="00CF0E2D" w:rsidP="00A60D4B">
            <w:pPr>
              <w:pStyle w:val="Btablefigureunbold"/>
              <w:rPr>
                <w:szCs w:val="20"/>
              </w:rPr>
            </w:pPr>
            <w:r w:rsidRPr="004B40E1">
              <w:rPr>
                <w:rFonts w:cs="Calibri"/>
                <w:color w:val="000000"/>
                <w:szCs w:val="20"/>
              </w:rPr>
              <w:t>140</w:t>
            </w:r>
          </w:p>
        </w:tc>
        <w:tc>
          <w:tcPr>
            <w:tcW w:w="964" w:type="dxa"/>
            <w:gridSpan w:val="2"/>
            <w:tcBorders>
              <w:top w:val="nil"/>
              <w:left w:val="nil"/>
              <w:bottom w:val="nil"/>
              <w:right w:val="nil"/>
            </w:tcBorders>
          </w:tcPr>
          <w:p w14:paraId="104FCCAA" w14:textId="77777777" w:rsidR="00CF0E2D" w:rsidRPr="004B40E1" w:rsidRDefault="00CF0E2D" w:rsidP="00A60D4B">
            <w:pPr>
              <w:pStyle w:val="Btablefigureunbold"/>
              <w:rPr>
                <w:szCs w:val="20"/>
              </w:rPr>
            </w:pPr>
            <w:r w:rsidRPr="004B40E1">
              <w:rPr>
                <w:rFonts w:cs="Calibri"/>
                <w:color w:val="000000"/>
                <w:szCs w:val="20"/>
              </w:rPr>
              <w:t>142</w:t>
            </w:r>
          </w:p>
        </w:tc>
        <w:tc>
          <w:tcPr>
            <w:tcW w:w="964" w:type="dxa"/>
            <w:gridSpan w:val="2"/>
            <w:tcBorders>
              <w:top w:val="nil"/>
              <w:left w:val="nil"/>
              <w:bottom w:val="nil"/>
              <w:right w:val="nil"/>
            </w:tcBorders>
          </w:tcPr>
          <w:p w14:paraId="606B4CFA" w14:textId="77777777" w:rsidR="00CF0E2D" w:rsidRPr="004B40E1" w:rsidRDefault="00CF0E2D" w:rsidP="00A60D4B">
            <w:pPr>
              <w:pStyle w:val="Btablefigureunbold"/>
              <w:rPr>
                <w:szCs w:val="20"/>
              </w:rPr>
            </w:pPr>
            <w:r w:rsidRPr="004B40E1">
              <w:rPr>
                <w:rFonts w:cs="Calibri"/>
                <w:color w:val="000000"/>
                <w:szCs w:val="20"/>
              </w:rPr>
              <w:t>145</w:t>
            </w:r>
          </w:p>
        </w:tc>
        <w:tc>
          <w:tcPr>
            <w:tcW w:w="964" w:type="dxa"/>
            <w:gridSpan w:val="2"/>
            <w:tcBorders>
              <w:top w:val="nil"/>
              <w:left w:val="nil"/>
              <w:bottom w:val="nil"/>
              <w:right w:val="nil"/>
            </w:tcBorders>
          </w:tcPr>
          <w:p w14:paraId="0F750E01" w14:textId="77777777" w:rsidR="00CF0E2D" w:rsidRPr="004B40E1" w:rsidRDefault="00CF0E2D" w:rsidP="00A60D4B">
            <w:pPr>
              <w:pStyle w:val="Btablefigureunbold"/>
              <w:rPr>
                <w:szCs w:val="20"/>
              </w:rPr>
            </w:pPr>
            <w:r w:rsidRPr="004B40E1">
              <w:rPr>
                <w:rFonts w:cs="Calibri"/>
                <w:color w:val="000000"/>
                <w:szCs w:val="20"/>
              </w:rPr>
              <w:t>149</w:t>
            </w:r>
          </w:p>
        </w:tc>
        <w:tc>
          <w:tcPr>
            <w:tcW w:w="954" w:type="dxa"/>
            <w:gridSpan w:val="2"/>
            <w:tcBorders>
              <w:top w:val="nil"/>
              <w:left w:val="nil"/>
              <w:bottom w:val="nil"/>
              <w:right w:val="nil"/>
            </w:tcBorders>
          </w:tcPr>
          <w:p w14:paraId="18A70785" w14:textId="77777777" w:rsidR="00CF0E2D" w:rsidRPr="004B40E1" w:rsidRDefault="00CF0E2D" w:rsidP="00A60D4B">
            <w:pPr>
              <w:pStyle w:val="Btablefigureunbold"/>
              <w:rPr>
                <w:b/>
                <w:bCs/>
                <w:szCs w:val="20"/>
              </w:rPr>
            </w:pPr>
            <w:r w:rsidRPr="004B40E1">
              <w:rPr>
                <w:rFonts w:cs="Calibri"/>
                <w:b/>
                <w:bCs/>
                <w:color w:val="000000"/>
                <w:szCs w:val="20"/>
              </w:rPr>
              <w:t>576</w:t>
            </w:r>
          </w:p>
        </w:tc>
      </w:tr>
      <w:tr w:rsidR="00CF0E2D" w:rsidRPr="00D60558" w14:paraId="27D67EE3" w14:textId="77777777" w:rsidTr="00A60D4B">
        <w:trPr>
          <w:gridAfter w:val="1"/>
          <w:wAfter w:w="9" w:type="dxa"/>
          <w:jc w:val="center"/>
        </w:trPr>
        <w:tc>
          <w:tcPr>
            <w:tcW w:w="3355" w:type="dxa"/>
            <w:tcBorders>
              <w:top w:val="nil"/>
              <w:left w:val="nil"/>
              <w:bottom w:val="nil"/>
              <w:right w:val="nil"/>
            </w:tcBorders>
          </w:tcPr>
          <w:p w14:paraId="334C4D22" w14:textId="77777777" w:rsidR="00CF0E2D" w:rsidRPr="00251FAB" w:rsidRDefault="00CF0E2D" w:rsidP="00A60D4B">
            <w:pPr>
              <w:pStyle w:val="Btabletextunbold"/>
              <w:rPr>
                <w:szCs w:val="20"/>
              </w:rPr>
            </w:pPr>
            <w:r w:rsidRPr="00251FAB">
              <w:rPr>
                <w:rFonts w:cs="Calibri"/>
                <w:color w:val="000000"/>
                <w:szCs w:val="20"/>
              </w:rPr>
              <w:t>Streamlining court proceedings</w:t>
            </w:r>
          </w:p>
        </w:tc>
        <w:tc>
          <w:tcPr>
            <w:tcW w:w="1093" w:type="dxa"/>
            <w:tcBorders>
              <w:top w:val="nil"/>
              <w:left w:val="nil"/>
              <w:bottom w:val="nil"/>
              <w:right w:val="nil"/>
            </w:tcBorders>
          </w:tcPr>
          <w:p w14:paraId="1137E2E0" w14:textId="77777777" w:rsidR="00CF0E2D" w:rsidRPr="00251FAB" w:rsidRDefault="00CF0E2D" w:rsidP="00A60D4B">
            <w:pPr>
              <w:pStyle w:val="Btablefigureunbold"/>
              <w:ind w:left="0" w:firstLine="0"/>
              <w:jc w:val="left"/>
              <w:rPr>
                <w:rFonts w:cs="Calibri"/>
                <w:color w:val="000000"/>
                <w:szCs w:val="20"/>
              </w:rPr>
            </w:pPr>
            <w:r w:rsidRPr="003E2E42">
              <w:rPr>
                <w:rFonts w:cs="Calibri"/>
                <w:color w:val="000000"/>
                <w:szCs w:val="20"/>
              </w:rPr>
              <w:t>Net cost</w:t>
            </w:r>
          </w:p>
        </w:tc>
        <w:tc>
          <w:tcPr>
            <w:tcW w:w="964" w:type="dxa"/>
            <w:gridSpan w:val="2"/>
            <w:tcBorders>
              <w:top w:val="nil"/>
              <w:left w:val="nil"/>
              <w:bottom w:val="nil"/>
              <w:right w:val="nil"/>
            </w:tcBorders>
          </w:tcPr>
          <w:p w14:paraId="280776D4" w14:textId="77777777" w:rsidR="00CF0E2D" w:rsidRPr="004B40E1" w:rsidRDefault="00CF0E2D" w:rsidP="00A60D4B">
            <w:pPr>
              <w:pStyle w:val="Btablefigureunbold"/>
              <w:rPr>
                <w:szCs w:val="20"/>
              </w:rPr>
            </w:pPr>
            <w:r w:rsidRPr="004B40E1">
              <w:rPr>
                <w:rFonts w:cs="Calibri"/>
                <w:color w:val="000000"/>
                <w:szCs w:val="20"/>
              </w:rPr>
              <w:t>243</w:t>
            </w:r>
          </w:p>
        </w:tc>
        <w:tc>
          <w:tcPr>
            <w:tcW w:w="964" w:type="dxa"/>
            <w:gridSpan w:val="2"/>
            <w:tcBorders>
              <w:top w:val="nil"/>
              <w:left w:val="nil"/>
              <w:bottom w:val="nil"/>
              <w:right w:val="nil"/>
            </w:tcBorders>
          </w:tcPr>
          <w:p w14:paraId="4166797C"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134F550E"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657EA6BE" w14:textId="77777777" w:rsidR="00CF0E2D" w:rsidRPr="004B40E1" w:rsidRDefault="00CF0E2D" w:rsidP="00A60D4B">
            <w:pPr>
              <w:pStyle w:val="Btablefigureunbold"/>
              <w:rPr>
                <w:szCs w:val="20"/>
              </w:rPr>
            </w:pPr>
            <w:r w:rsidRPr="004B40E1">
              <w:rPr>
                <w:rFonts w:cs="Calibri"/>
                <w:color w:val="000000"/>
                <w:szCs w:val="20"/>
              </w:rPr>
              <w:t>0</w:t>
            </w:r>
          </w:p>
        </w:tc>
        <w:tc>
          <w:tcPr>
            <w:tcW w:w="954" w:type="dxa"/>
            <w:gridSpan w:val="2"/>
            <w:tcBorders>
              <w:top w:val="nil"/>
              <w:left w:val="nil"/>
              <w:bottom w:val="nil"/>
              <w:right w:val="nil"/>
            </w:tcBorders>
          </w:tcPr>
          <w:p w14:paraId="46CFAAC1" w14:textId="77777777" w:rsidR="00CF0E2D" w:rsidRPr="004B40E1" w:rsidRDefault="00CF0E2D" w:rsidP="00A60D4B">
            <w:pPr>
              <w:pStyle w:val="Btablefigureunbold"/>
              <w:rPr>
                <w:b/>
                <w:bCs/>
                <w:szCs w:val="20"/>
              </w:rPr>
            </w:pPr>
            <w:r w:rsidRPr="004B40E1">
              <w:rPr>
                <w:rFonts w:cs="Calibri"/>
                <w:b/>
                <w:bCs/>
                <w:color w:val="000000"/>
                <w:szCs w:val="20"/>
              </w:rPr>
              <w:t>243</w:t>
            </w:r>
          </w:p>
        </w:tc>
      </w:tr>
      <w:tr w:rsidR="00CF0E2D" w:rsidRPr="00D60558" w14:paraId="4A978757" w14:textId="77777777" w:rsidTr="00A60D4B">
        <w:trPr>
          <w:gridAfter w:val="1"/>
          <w:wAfter w:w="9" w:type="dxa"/>
          <w:jc w:val="center"/>
        </w:trPr>
        <w:tc>
          <w:tcPr>
            <w:tcW w:w="3355" w:type="dxa"/>
            <w:tcBorders>
              <w:top w:val="nil"/>
              <w:left w:val="nil"/>
              <w:bottom w:val="nil"/>
              <w:right w:val="nil"/>
            </w:tcBorders>
          </w:tcPr>
          <w:p w14:paraId="6ACE9CF5" w14:textId="77777777" w:rsidR="00CF0E2D" w:rsidRPr="00251FAB" w:rsidRDefault="00CF0E2D" w:rsidP="00A60D4B">
            <w:pPr>
              <w:pStyle w:val="Btabletextunbold"/>
              <w:rPr>
                <w:szCs w:val="20"/>
              </w:rPr>
            </w:pPr>
            <w:r w:rsidRPr="00251FAB">
              <w:rPr>
                <w:rFonts w:cs="Calibri"/>
                <w:color w:val="000000"/>
                <w:szCs w:val="20"/>
              </w:rPr>
              <w:t>Strengthening legal policy and advisory services  </w:t>
            </w:r>
          </w:p>
        </w:tc>
        <w:tc>
          <w:tcPr>
            <w:tcW w:w="1093" w:type="dxa"/>
            <w:tcBorders>
              <w:top w:val="nil"/>
              <w:left w:val="nil"/>
              <w:bottom w:val="nil"/>
              <w:right w:val="nil"/>
            </w:tcBorders>
          </w:tcPr>
          <w:p w14:paraId="136862AF" w14:textId="77777777" w:rsidR="00CF0E2D" w:rsidRPr="00251FAB" w:rsidRDefault="00CF0E2D" w:rsidP="00A60D4B">
            <w:pPr>
              <w:pStyle w:val="Btablefigureunbold"/>
              <w:ind w:left="0" w:firstLine="0"/>
              <w:jc w:val="left"/>
              <w:rPr>
                <w:rFonts w:cs="Calibri"/>
                <w:color w:val="000000"/>
                <w:szCs w:val="20"/>
              </w:rPr>
            </w:pPr>
            <w:r w:rsidRPr="003E2E42">
              <w:rPr>
                <w:rFonts w:cs="Calibri"/>
                <w:color w:val="000000"/>
                <w:szCs w:val="20"/>
              </w:rPr>
              <w:t>Net cost</w:t>
            </w:r>
          </w:p>
        </w:tc>
        <w:tc>
          <w:tcPr>
            <w:tcW w:w="964" w:type="dxa"/>
            <w:gridSpan w:val="2"/>
            <w:tcBorders>
              <w:top w:val="nil"/>
              <w:left w:val="nil"/>
              <w:bottom w:val="nil"/>
              <w:right w:val="nil"/>
            </w:tcBorders>
          </w:tcPr>
          <w:p w14:paraId="269E9AD5" w14:textId="77777777" w:rsidR="00CF0E2D" w:rsidRPr="004B40E1" w:rsidRDefault="00CF0E2D" w:rsidP="00A60D4B">
            <w:pPr>
              <w:pStyle w:val="Btablefigureunbold"/>
              <w:rPr>
                <w:szCs w:val="20"/>
              </w:rPr>
            </w:pPr>
            <w:r w:rsidRPr="004B40E1">
              <w:rPr>
                <w:rFonts w:cs="Calibri"/>
                <w:color w:val="000000"/>
                <w:szCs w:val="20"/>
              </w:rPr>
              <w:t>1,779</w:t>
            </w:r>
          </w:p>
        </w:tc>
        <w:tc>
          <w:tcPr>
            <w:tcW w:w="964" w:type="dxa"/>
            <w:gridSpan w:val="2"/>
            <w:tcBorders>
              <w:top w:val="nil"/>
              <w:left w:val="nil"/>
              <w:bottom w:val="nil"/>
              <w:right w:val="nil"/>
            </w:tcBorders>
          </w:tcPr>
          <w:p w14:paraId="2DA6AD41" w14:textId="77777777" w:rsidR="00CF0E2D" w:rsidRPr="004B40E1" w:rsidRDefault="00CF0E2D" w:rsidP="00A60D4B">
            <w:pPr>
              <w:pStyle w:val="Btablefigureunbold"/>
              <w:rPr>
                <w:szCs w:val="20"/>
              </w:rPr>
            </w:pPr>
            <w:r w:rsidRPr="004B40E1">
              <w:rPr>
                <w:rFonts w:cs="Calibri"/>
                <w:color w:val="000000"/>
                <w:szCs w:val="20"/>
              </w:rPr>
              <w:t>1,806</w:t>
            </w:r>
          </w:p>
        </w:tc>
        <w:tc>
          <w:tcPr>
            <w:tcW w:w="964" w:type="dxa"/>
            <w:gridSpan w:val="2"/>
            <w:tcBorders>
              <w:top w:val="nil"/>
              <w:left w:val="nil"/>
              <w:bottom w:val="nil"/>
              <w:right w:val="nil"/>
            </w:tcBorders>
          </w:tcPr>
          <w:p w14:paraId="6E516237" w14:textId="77777777" w:rsidR="00CF0E2D" w:rsidRPr="004B40E1" w:rsidRDefault="00CF0E2D" w:rsidP="00A60D4B">
            <w:pPr>
              <w:pStyle w:val="Btablefigureunbold"/>
              <w:rPr>
                <w:szCs w:val="20"/>
              </w:rPr>
            </w:pPr>
            <w:r w:rsidRPr="004B40E1">
              <w:rPr>
                <w:rFonts w:cs="Calibri"/>
                <w:color w:val="000000"/>
                <w:szCs w:val="20"/>
              </w:rPr>
              <w:t>1,833</w:t>
            </w:r>
          </w:p>
        </w:tc>
        <w:tc>
          <w:tcPr>
            <w:tcW w:w="964" w:type="dxa"/>
            <w:gridSpan w:val="2"/>
            <w:tcBorders>
              <w:top w:val="nil"/>
              <w:left w:val="nil"/>
              <w:bottom w:val="nil"/>
              <w:right w:val="nil"/>
            </w:tcBorders>
          </w:tcPr>
          <w:p w14:paraId="4331BC62" w14:textId="77777777" w:rsidR="00CF0E2D" w:rsidRPr="004B40E1" w:rsidRDefault="00CF0E2D" w:rsidP="00A60D4B">
            <w:pPr>
              <w:pStyle w:val="Btablefigureunbold"/>
              <w:rPr>
                <w:szCs w:val="20"/>
              </w:rPr>
            </w:pPr>
            <w:r w:rsidRPr="004B40E1">
              <w:rPr>
                <w:rFonts w:cs="Calibri"/>
                <w:color w:val="000000"/>
                <w:szCs w:val="20"/>
              </w:rPr>
              <w:t>1,861</w:t>
            </w:r>
          </w:p>
        </w:tc>
        <w:tc>
          <w:tcPr>
            <w:tcW w:w="954" w:type="dxa"/>
            <w:gridSpan w:val="2"/>
            <w:tcBorders>
              <w:top w:val="nil"/>
              <w:left w:val="nil"/>
              <w:bottom w:val="nil"/>
              <w:right w:val="nil"/>
            </w:tcBorders>
          </w:tcPr>
          <w:p w14:paraId="6614E4B9" w14:textId="77777777" w:rsidR="00CF0E2D" w:rsidRPr="004B40E1" w:rsidRDefault="00CF0E2D" w:rsidP="00A60D4B">
            <w:pPr>
              <w:pStyle w:val="Btablefigureunbold"/>
              <w:rPr>
                <w:b/>
                <w:bCs/>
                <w:szCs w:val="20"/>
              </w:rPr>
            </w:pPr>
            <w:r w:rsidRPr="004B40E1">
              <w:rPr>
                <w:rFonts w:cs="Calibri"/>
                <w:b/>
                <w:bCs/>
                <w:color w:val="000000"/>
                <w:szCs w:val="20"/>
              </w:rPr>
              <w:t>7,279</w:t>
            </w:r>
          </w:p>
        </w:tc>
      </w:tr>
      <w:tr w:rsidR="00CF0E2D" w:rsidRPr="00D60558" w14:paraId="68686D34" w14:textId="77777777" w:rsidTr="00A60D4B">
        <w:trPr>
          <w:gridAfter w:val="1"/>
          <w:wAfter w:w="9" w:type="dxa"/>
          <w:jc w:val="center"/>
        </w:trPr>
        <w:tc>
          <w:tcPr>
            <w:tcW w:w="3355" w:type="dxa"/>
            <w:tcBorders>
              <w:top w:val="nil"/>
              <w:left w:val="nil"/>
              <w:bottom w:val="nil"/>
              <w:right w:val="nil"/>
            </w:tcBorders>
          </w:tcPr>
          <w:p w14:paraId="322FF14B" w14:textId="77777777" w:rsidR="00CF0E2D" w:rsidRPr="00251FAB" w:rsidRDefault="00CF0E2D" w:rsidP="00A60D4B">
            <w:pPr>
              <w:pStyle w:val="Btabletextunbold"/>
              <w:rPr>
                <w:szCs w:val="20"/>
              </w:rPr>
            </w:pPr>
            <w:r w:rsidRPr="00251FAB">
              <w:rPr>
                <w:rFonts w:cs="Calibri"/>
                <w:color w:val="000000"/>
                <w:szCs w:val="20"/>
              </w:rPr>
              <w:t xml:space="preserve">Therapeutic Care Court </w:t>
            </w:r>
            <w:r>
              <w:rPr>
                <w:rFonts w:cs="Calibri"/>
                <w:color w:val="000000"/>
                <w:szCs w:val="20"/>
              </w:rPr>
              <w:t>–</w:t>
            </w:r>
            <w:r w:rsidRPr="00251FAB">
              <w:rPr>
                <w:rFonts w:cs="Calibri"/>
                <w:color w:val="000000"/>
                <w:szCs w:val="20"/>
              </w:rPr>
              <w:t xml:space="preserve"> continuation</w:t>
            </w:r>
          </w:p>
        </w:tc>
        <w:tc>
          <w:tcPr>
            <w:tcW w:w="1093" w:type="dxa"/>
            <w:tcBorders>
              <w:top w:val="nil"/>
              <w:left w:val="nil"/>
              <w:bottom w:val="nil"/>
              <w:right w:val="nil"/>
            </w:tcBorders>
          </w:tcPr>
          <w:p w14:paraId="7448982B" w14:textId="77777777" w:rsidR="00CF0E2D" w:rsidRPr="00251FAB" w:rsidRDefault="00CF0E2D" w:rsidP="00A60D4B">
            <w:pPr>
              <w:pStyle w:val="Btablefigureunbold"/>
              <w:ind w:left="0" w:firstLine="0"/>
              <w:jc w:val="left"/>
              <w:rPr>
                <w:rFonts w:cs="Calibri"/>
                <w:color w:val="000000"/>
                <w:szCs w:val="20"/>
              </w:rPr>
            </w:pPr>
            <w:r w:rsidRPr="003E2E42">
              <w:rPr>
                <w:rFonts w:cs="Calibri"/>
                <w:color w:val="000000"/>
                <w:szCs w:val="20"/>
              </w:rPr>
              <w:t>Net cost</w:t>
            </w:r>
          </w:p>
        </w:tc>
        <w:tc>
          <w:tcPr>
            <w:tcW w:w="964" w:type="dxa"/>
            <w:gridSpan w:val="2"/>
            <w:tcBorders>
              <w:top w:val="nil"/>
              <w:left w:val="nil"/>
              <w:bottom w:val="nil"/>
              <w:right w:val="nil"/>
            </w:tcBorders>
          </w:tcPr>
          <w:p w14:paraId="2002A63B"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20AFDB9C"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1588AFAA"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37C7C4E1" w14:textId="77777777" w:rsidR="00CF0E2D" w:rsidRPr="004B40E1" w:rsidRDefault="00CF0E2D" w:rsidP="00A60D4B">
            <w:pPr>
              <w:pStyle w:val="Btablefigureunbold"/>
              <w:rPr>
                <w:szCs w:val="20"/>
              </w:rPr>
            </w:pPr>
            <w:r w:rsidRPr="004B40E1">
              <w:rPr>
                <w:rFonts w:cs="Calibri"/>
                <w:color w:val="000000"/>
                <w:szCs w:val="20"/>
              </w:rPr>
              <w:t>0</w:t>
            </w:r>
          </w:p>
        </w:tc>
        <w:tc>
          <w:tcPr>
            <w:tcW w:w="954" w:type="dxa"/>
            <w:gridSpan w:val="2"/>
            <w:tcBorders>
              <w:top w:val="nil"/>
              <w:left w:val="nil"/>
              <w:bottom w:val="nil"/>
              <w:right w:val="nil"/>
            </w:tcBorders>
          </w:tcPr>
          <w:p w14:paraId="05D8C774" w14:textId="77777777" w:rsidR="00CF0E2D" w:rsidRPr="004B40E1" w:rsidRDefault="00CF0E2D" w:rsidP="00A60D4B">
            <w:pPr>
              <w:pStyle w:val="Btablefigureunbold"/>
              <w:rPr>
                <w:b/>
                <w:bCs/>
                <w:szCs w:val="20"/>
              </w:rPr>
            </w:pPr>
            <w:r w:rsidRPr="004B40E1">
              <w:rPr>
                <w:rFonts w:cs="Calibri"/>
                <w:b/>
                <w:bCs/>
                <w:color w:val="000000"/>
                <w:szCs w:val="20"/>
              </w:rPr>
              <w:t>0</w:t>
            </w:r>
          </w:p>
        </w:tc>
      </w:tr>
      <w:tr w:rsidR="00CF0E2D" w:rsidRPr="00D60558" w14:paraId="5F1C85B2" w14:textId="77777777" w:rsidTr="00A60D4B">
        <w:trPr>
          <w:gridAfter w:val="1"/>
          <w:wAfter w:w="9" w:type="dxa"/>
          <w:jc w:val="center"/>
        </w:trPr>
        <w:tc>
          <w:tcPr>
            <w:tcW w:w="3355" w:type="dxa"/>
            <w:tcBorders>
              <w:top w:val="nil"/>
              <w:left w:val="nil"/>
              <w:bottom w:val="nil"/>
              <w:right w:val="nil"/>
            </w:tcBorders>
          </w:tcPr>
          <w:p w14:paraId="3A4311C7" w14:textId="77777777" w:rsidR="001E39B7" w:rsidRDefault="001E39B7" w:rsidP="00A60D4B">
            <w:pPr>
              <w:pStyle w:val="Btabletextunbold"/>
              <w:rPr>
                <w:rFonts w:cs="Calibri"/>
                <w:i/>
                <w:iCs/>
                <w:color w:val="000000"/>
                <w:szCs w:val="20"/>
              </w:rPr>
            </w:pPr>
          </w:p>
          <w:p w14:paraId="09324959" w14:textId="5F40211C" w:rsidR="00CF0E2D" w:rsidRPr="00D50D14" w:rsidRDefault="00CF0E2D" w:rsidP="00A60D4B">
            <w:pPr>
              <w:pStyle w:val="Btabletextunbold"/>
              <w:rPr>
                <w:rFonts w:cs="Calibri"/>
                <w:i/>
                <w:iCs/>
                <w:color w:val="000000"/>
                <w:szCs w:val="20"/>
              </w:rPr>
            </w:pPr>
            <w:r w:rsidRPr="00D50D14">
              <w:rPr>
                <w:rFonts w:cs="Calibri"/>
                <w:i/>
                <w:iCs/>
                <w:color w:val="000000"/>
                <w:szCs w:val="20"/>
              </w:rPr>
              <w:lastRenderedPageBreak/>
              <w:t>Well</w:t>
            </w:r>
            <w:r>
              <w:rPr>
                <w:rFonts w:cs="Calibri"/>
                <w:i/>
                <w:iCs/>
                <w:color w:val="000000"/>
                <w:szCs w:val="20"/>
              </w:rPr>
              <w:t>-</w:t>
            </w:r>
            <w:r w:rsidRPr="00D50D14">
              <w:rPr>
                <w:rFonts w:cs="Calibri"/>
                <w:i/>
                <w:iCs/>
                <w:color w:val="000000"/>
                <w:szCs w:val="20"/>
              </w:rPr>
              <w:t>prepared emergency services</w:t>
            </w:r>
          </w:p>
        </w:tc>
        <w:tc>
          <w:tcPr>
            <w:tcW w:w="1093" w:type="dxa"/>
            <w:tcBorders>
              <w:top w:val="nil"/>
              <w:left w:val="nil"/>
              <w:bottom w:val="nil"/>
              <w:right w:val="nil"/>
            </w:tcBorders>
          </w:tcPr>
          <w:p w14:paraId="69348C8F" w14:textId="77777777" w:rsidR="00CF0E2D" w:rsidRPr="003E2E42"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200130C1" w14:textId="77777777" w:rsidR="00CF0E2D" w:rsidRPr="004B40E1" w:rsidRDefault="00CF0E2D" w:rsidP="00A60D4B">
            <w:pPr>
              <w:pStyle w:val="Btablefigureunbold"/>
              <w:rPr>
                <w:szCs w:val="20"/>
              </w:rPr>
            </w:pPr>
          </w:p>
        </w:tc>
        <w:tc>
          <w:tcPr>
            <w:tcW w:w="964" w:type="dxa"/>
            <w:gridSpan w:val="2"/>
            <w:tcBorders>
              <w:top w:val="nil"/>
              <w:left w:val="nil"/>
              <w:bottom w:val="nil"/>
              <w:right w:val="nil"/>
            </w:tcBorders>
          </w:tcPr>
          <w:p w14:paraId="68B817AE" w14:textId="77777777" w:rsidR="00CF0E2D" w:rsidRPr="004B40E1" w:rsidRDefault="00CF0E2D" w:rsidP="00A60D4B">
            <w:pPr>
              <w:pStyle w:val="Btablefigureunbold"/>
              <w:rPr>
                <w:szCs w:val="20"/>
              </w:rPr>
            </w:pPr>
          </w:p>
        </w:tc>
        <w:tc>
          <w:tcPr>
            <w:tcW w:w="964" w:type="dxa"/>
            <w:gridSpan w:val="2"/>
            <w:tcBorders>
              <w:top w:val="nil"/>
              <w:left w:val="nil"/>
              <w:bottom w:val="nil"/>
              <w:right w:val="nil"/>
            </w:tcBorders>
          </w:tcPr>
          <w:p w14:paraId="7971578F" w14:textId="77777777" w:rsidR="00CF0E2D" w:rsidRPr="004B40E1" w:rsidRDefault="00CF0E2D" w:rsidP="00A60D4B">
            <w:pPr>
              <w:pStyle w:val="Btablefigureunbold"/>
              <w:rPr>
                <w:szCs w:val="20"/>
              </w:rPr>
            </w:pPr>
          </w:p>
        </w:tc>
        <w:tc>
          <w:tcPr>
            <w:tcW w:w="964" w:type="dxa"/>
            <w:gridSpan w:val="2"/>
            <w:tcBorders>
              <w:top w:val="nil"/>
              <w:left w:val="nil"/>
              <w:bottom w:val="nil"/>
              <w:right w:val="nil"/>
            </w:tcBorders>
          </w:tcPr>
          <w:p w14:paraId="0C38F1A1" w14:textId="77777777" w:rsidR="00CF0E2D" w:rsidRPr="004B40E1" w:rsidRDefault="00CF0E2D" w:rsidP="00A60D4B">
            <w:pPr>
              <w:pStyle w:val="Btablefigureunbold"/>
              <w:rPr>
                <w:szCs w:val="20"/>
              </w:rPr>
            </w:pPr>
          </w:p>
        </w:tc>
        <w:tc>
          <w:tcPr>
            <w:tcW w:w="954" w:type="dxa"/>
            <w:gridSpan w:val="2"/>
            <w:tcBorders>
              <w:top w:val="nil"/>
              <w:left w:val="nil"/>
              <w:bottom w:val="nil"/>
              <w:right w:val="nil"/>
            </w:tcBorders>
          </w:tcPr>
          <w:p w14:paraId="7F9A5785" w14:textId="77777777" w:rsidR="00CF0E2D" w:rsidRPr="004B40E1" w:rsidRDefault="00CF0E2D" w:rsidP="00A60D4B">
            <w:pPr>
              <w:pStyle w:val="Btablefigureunbold"/>
              <w:rPr>
                <w:b/>
                <w:bCs/>
                <w:szCs w:val="20"/>
              </w:rPr>
            </w:pPr>
          </w:p>
        </w:tc>
      </w:tr>
      <w:tr w:rsidR="00CF0E2D" w:rsidRPr="00D60558" w14:paraId="62C0B161" w14:textId="77777777" w:rsidTr="00A60D4B">
        <w:trPr>
          <w:gridAfter w:val="1"/>
          <w:wAfter w:w="9" w:type="dxa"/>
          <w:jc w:val="center"/>
        </w:trPr>
        <w:tc>
          <w:tcPr>
            <w:tcW w:w="3355" w:type="dxa"/>
            <w:tcBorders>
              <w:top w:val="nil"/>
              <w:left w:val="nil"/>
              <w:bottom w:val="nil"/>
              <w:right w:val="nil"/>
            </w:tcBorders>
          </w:tcPr>
          <w:p w14:paraId="6441EB95" w14:textId="77777777" w:rsidR="00CF0E2D" w:rsidRPr="00251FAB" w:rsidRDefault="00CF0E2D" w:rsidP="00A60D4B">
            <w:pPr>
              <w:pStyle w:val="Btabletextunbold"/>
              <w:rPr>
                <w:szCs w:val="20"/>
              </w:rPr>
            </w:pPr>
            <w:r>
              <w:rPr>
                <w:rFonts w:cs="Calibri"/>
                <w:color w:val="000000"/>
                <w:szCs w:val="20"/>
              </w:rPr>
              <w:t>–</w:t>
            </w:r>
            <w:r w:rsidRPr="00251FAB">
              <w:rPr>
                <w:rFonts w:cs="Calibri"/>
                <w:color w:val="000000"/>
                <w:szCs w:val="20"/>
              </w:rPr>
              <w:t xml:space="preserve"> ACT Policing enabling adjustment</w:t>
            </w:r>
          </w:p>
        </w:tc>
        <w:tc>
          <w:tcPr>
            <w:tcW w:w="1093" w:type="dxa"/>
            <w:tcBorders>
              <w:top w:val="nil"/>
              <w:left w:val="nil"/>
              <w:bottom w:val="nil"/>
              <w:right w:val="nil"/>
            </w:tcBorders>
          </w:tcPr>
          <w:p w14:paraId="4FF79EE0" w14:textId="77777777" w:rsidR="00CF0E2D" w:rsidRPr="00251FAB" w:rsidRDefault="00CF0E2D" w:rsidP="00A60D4B">
            <w:pPr>
              <w:pStyle w:val="Btablefigureunbold"/>
              <w:ind w:left="0" w:firstLine="0"/>
              <w:jc w:val="left"/>
              <w:rPr>
                <w:rFonts w:cs="Calibri"/>
                <w:color w:val="000000"/>
                <w:szCs w:val="20"/>
              </w:rPr>
            </w:pPr>
            <w:r w:rsidRPr="003E2E42">
              <w:rPr>
                <w:rFonts w:cs="Calibri"/>
                <w:color w:val="000000"/>
                <w:szCs w:val="20"/>
              </w:rPr>
              <w:t>Net cost</w:t>
            </w:r>
          </w:p>
        </w:tc>
        <w:tc>
          <w:tcPr>
            <w:tcW w:w="964" w:type="dxa"/>
            <w:gridSpan w:val="2"/>
            <w:tcBorders>
              <w:top w:val="nil"/>
              <w:left w:val="nil"/>
              <w:bottom w:val="nil"/>
              <w:right w:val="nil"/>
            </w:tcBorders>
          </w:tcPr>
          <w:p w14:paraId="6996D8DB" w14:textId="77777777" w:rsidR="00CF0E2D" w:rsidRPr="004B40E1" w:rsidRDefault="00CF0E2D" w:rsidP="00A60D4B">
            <w:pPr>
              <w:pStyle w:val="Btablefigureunbold"/>
              <w:rPr>
                <w:szCs w:val="20"/>
              </w:rPr>
            </w:pPr>
            <w:r w:rsidRPr="004B40E1">
              <w:rPr>
                <w:rFonts w:cs="Calibri"/>
                <w:color w:val="000000"/>
                <w:szCs w:val="20"/>
              </w:rPr>
              <w:t>2,773</w:t>
            </w:r>
          </w:p>
        </w:tc>
        <w:tc>
          <w:tcPr>
            <w:tcW w:w="964" w:type="dxa"/>
            <w:gridSpan w:val="2"/>
            <w:tcBorders>
              <w:top w:val="nil"/>
              <w:left w:val="nil"/>
              <w:bottom w:val="nil"/>
              <w:right w:val="nil"/>
            </w:tcBorders>
          </w:tcPr>
          <w:p w14:paraId="5B0A2F76" w14:textId="77777777" w:rsidR="00CF0E2D" w:rsidRPr="004B40E1" w:rsidRDefault="00CF0E2D" w:rsidP="00A60D4B">
            <w:pPr>
              <w:pStyle w:val="Btablefigureunbold"/>
              <w:rPr>
                <w:szCs w:val="20"/>
              </w:rPr>
            </w:pPr>
            <w:r w:rsidRPr="004B40E1">
              <w:rPr>
                <w:rFonts w:cs="Calibri"/>
                <w:color w:val="000000"/>
                <w:szCs w:val="20"/>
              </w:rPr>
              <w:t>2,773</w:t>
            </w:r>
          </w:p>
        </w:tc>
        <w:tc>
          <w:tcPr>
            <w:tcW w:w="964" w:type="dxa"/>
            <w:gridSpan w:val="2"/>
            <w:tcBorders>
              <w:top w:val="nil"/>
              <w:left w:val="nil"/>
              <w:bottom w:val="nil"/>
              <w:right w:val="nil"/>
            </w:tcBorders>
          </w:tcPr>
          <w:p w14:paraId="30CB9CE8" w14:textId="77777777" w:rsidR="00CF0E2D" w:rsidRPr="004B40E1" w:rsidRDefault="00CF0E2D" w:rsidP="00A60D4B">
            <w:pPr>
              <w:pStyle w:val="Btablefigureunbold"/>
              <w:rPr>
                <w:szCs w:val="20"/>
              </w:rPr>
            </w:pPr>
            <w:r w:rsidRPr="004B40E1">
              <w:rPr>
                <w:rFonts w:cs="Calibri"/>
                <w:color w:val="000000"/>
                <w:szCs w:val="20"/>
              </w:rPr>
              <w:t>2,773</w:t>
            </w:r>
          </w:p>
        </w:tc>
        <w:tc>
          <w:tcPr>
            <w:tcW w:w="964" w:type="dxa"/>
            <w:gridSpan w:val="2"/>
            <w:tcBorders>
              <w:top w:val="nil"/>
              <w:left w:val="nil"/>
              <w:bottom w:val="nil"/>
              <w:right w:val="nil"/>
            </w:tcBorders>
          </w:tcPr>
          <w:p w14:paraId="0E4F3E5C" w14:textId="77777777" w:rsidR="00CF0E2D" w:rsidRPr="004B40E1" w:rsidRDefault="00CF0E2D" w:rsidP="00A60D4B">
            <w:pPr>
              <w:pStyle w:val="Btablefigureunbold"/>
              <w:rPr>
                <w:szCs w:val="20"/>
              </w:rPr>
            </w:pPr>
            <w:r w:rsidRPr="004B40E1">
              <w:rPr>
                <w:rFonts w:cs="Calibri"/>
                <w:color w:val="000000"/>
                <w:szCs w:val="20"/>
              </w:rPr>
              <w:t>2,773</w:t>
            </w:r>
          </w:p>
        </w:tc>
        <w:tc>
          <w:tcPr>
            <w:tcW w:w="954" w:type="dxa"/>
            <w:gridSpan w:val="2"/>
            <w:tcBorders>
              <w:top w:val="nil"/>
              <w:left w:val="nil"/>
              <w:bottom w:val="nil"/>
              <w:right w:val="nil"/>
            </w:tcBorders>
          </w:tcPr>
          <w:p w14:paraId="11180D3E" w14:textId="77777777" w:rsidR="00CF0E2D" w:rsidRPr="004B40E1" w:rsidRDefault="00CF0E2D" w:rsidP="00A60D4B">
            <w:pPr>
              <w:pStyle w:val="Btablefigureunbold"/>
              <w:rPr>
                <w:b/>
                <w:bCs/>
                <w:szCs w:val="20"/>
              </w:rPr>
            </w:pPr>
            <w:r w:rsidRPr="004B40E1">
              <w:rPr>
                <w:rFonts w:cs="Calibri"/>
                <w:b/>
                <w:bCs/>
                <w:color w:val="000000"/>
                <w:szCs w:val="20"/>
              </w:rPr>
              <w:t>11,092</w:t>
            </w:r>
          </w:p>
        </w:tc>
      </w:tr>
      <w:tr w:rsidR="00CF0E2D" w:rsidRPr="00D60558" w14:paraId="1F744855" w14:textId="77777777" w:rsidTr="00A60D4B">
        <w:trPr>
          <w:gridAfter w:val="1"/>
          <w:wAfter w:w="9" w:type="dxa"/>
          <w:jc w:val="center"/>
        </w:trPr>
        <w:tc>
          <w:tcPr>
            <w:tcW w:w="3355" w:type="dxa"/>
            <w:tcBorders>
              <w:top w:val="nil"/>
              <w:left w:val="nil"/>
              <w:bottom w:val="nil"/>
              <w:right w:val="nil"/>
            </w:tcBorders>
          </w:tcPr>
          <w:p w14:paraId="1561B660" w14:textId="77777777" w:rsidR="00CF0E2D" w:rsidRPr="00251FAB" w:rsidRDefault="00CF0E2D" w:rsidP="00A60D4B">
            <w:pPr>
              <w:pStyle w:val="Btabletextunbold"/>
              <w:rPr>
                <w:szCs w:val="20"/>
              </w:rPr>
            </w:pPr>
            <w:r>
              <w:rPr>
                <w:rFonts w:cs="Calibri"/>
                <w:color w:val="000000"/>
                <w:szCs w:val="20"/>
              </w:rPr>
              <w:t>–</w:t>
            </w:r>
            <w:r w:rsidRPr="00251FAB">
              <w:rPr>
                <w:rFonts w:cs="Calibri"/>
                <w:color w:val="000000"/>
                <w:szCs w:val="20"/>
              </w:rPr>
              <w:t xml:space="preserve"> Gungahlin Joint Emergency Service Centre </w:t>
            </w:r>
          </w:p>
        </w:tc>
        <w:tc>
          <w:tcPr>
            <w:tcW w:w="1093" w:type="dxa"/>
            <w:tcBorders>
              <w:top w:val="nil"/>
              <w:left w:val="nil"/>
              <w:bottom w:val="nil"/>
              <w:right w:val="nil"/>
            </w:tcBorders>
          </w:tcPr>
          <w:p w14:paraId="609E3613" w14:textId="77777777" w:rsidR="00CF0E2D" w:rsidRPr="00251FAB" w:rsidRDefault="00CF0E2D" w:rsidP="00A60D4B">
            <w:pPr>
              <w:pStyle w:val="Btablefigureunbold"/>
              <w:ind w:left="0" w:firstLine="0"/>
              <w:jc w:val="left"/>
              <w:rPr>
                <w:rFonts w:cs="Calibri"/>
                <w:color w:val="000000"/>
                <w:szCs w:val="20"/>
              </w:rPr>
            </w:pPr>
            <w:r w:rsidRPr="00251FAB">
              <w:rPr>
                <w:rFonts w:cs="Calibri"/>
                <w:color w:val="000000"/>
                <w:szCs w:val="20"/>
              </w:rPr>
              <w:t>Net capital</w:t>
            </w:r>
          </w:p>
        </w:tc>
        <w:tc>
          <w:tcPr>
            <w:tcW w:w="964" w:type="dxa"/>
            <w:gridSpan w:val="2"/>
            <w:tcBorders>
              <w:top w:val="nil"/>
              <w:left w:val="nil"/>
              <w:bottom w:val="nil"/>
              <w:right w:val="nil"/>
            </w:tcBorders>
          </w:tcPr>
          <w:p w14:paraId="308D4F65" w14:textId="77777777" w:rsidR="00CF0E2D" w:rsidRPr="004B40E1" w:rsidRDefault="00CF0E2D" w:rsidP="00A60D4B">
            <w:pPr>
              <w:pStyle w:val="Btablefigureunbold"/>
              <w:rPr>
                <w:szCs w:val="20"/>
              </w:rPr>
            </w:pPr>
            <w:r w:rsidRPr="004B40E1">
              <w:rPr>
                <w:rFonts w:cs="Calibri"/>
                <w:color w:val="000000"/>
                <w:szCs w:val="20"/>
              </w:rPr>
              <w:t>519</w:t>
            </w:r>
          </w:p>
        </w:tc>
        <w:tc>
          <w:tcPr>
            <w:tcW w:w="964" w:type="dxa"/>
            <w:gridSpan w:val="2"/>
            <w:tcBorders>
              <w:top w:val="nil"/>
              <w:left w:val="nil"/>
              <w:bottom w:val="nil"/>
              <w:right w:val="nil"/>
            </w:tcBorders>
          </w:tcPr>
          <w:p w14:paraId="382B9D06" w14:textId="77777777" w:rsidR="00CF0E2D" w:rsidRPr="004B40E1" w:rsidRDefault="00CF0E2D" w:rsidP="00A60D4B">
            <w:pPr>
              <w:pStyle w:val="Btablefigureunbold"/>
              <w:rPr>
                <w:szCs w:val="20"/>
              </w:rPr>
            </w:pPr>
            <w:r w:rsidRPr="004B40E1">
              <w:rPr>
                <w:rFonts w:cs="Calibri"/>
                <w:color w:val="000000"/>
                <w:szCs w:val="20"/>
              </w:rPr>
              <w:t>6,189</w:t>
            </w:r>
          </w:p>
        </w:tc>
        <w:tc>
          <w:tcPr>
            <w:tcW w:w="964" w:type="dxa"/>
            <w:gridSpan w:val="2"/>
            <w:tcBorders>
              <w:top w:val="nil"/>
              <w:left w:val="nil"/>
              <w:bottom w:val="nil"/>
              <w:right w:val="nil"/>
            </w:tcBorders>
          </w:tcPr>
          <w:p w14:paraId="7C33C605" w14:textId="77777777" w:rsidR="00CF0E2D" w:rsidRPr="004B40E1" w:rsidRDefault="00CF0E2D" w:rsidP="00A60D4B">
            <w:pPr>
              <w:pStyle w:val="Btablefigureunbold"/>
              <w:rPr>
                <w:szCs w:val="20"/>
              </w:rPr>
            </w:pPr>
            <w:r w:rsidRPr="004B40E1">
              <w:rPr>
                <w:rFonts w:cs="Calibri"/>
                <w:color w:val="000000"/>
                <w:szCs w:val="20"/>
              </w:rPr>
              <w:t>1,469</w:t>
            </w:r>
          </w:p>
        </w:tc>
        <w:tc>
          <w:tcPr>
            <w:tcW w:w="964" w:type="dxa"/>
            <w:gridSpan w:val="2"/>
            <w:tcBorders>
              <w:top w:val="nil"/>
              <w:left w:val="nil"/>
              <w:bottom w:val="nil"/>
              <w:right w:val="nil"/>
            </w:tcBorders>
          </w:tcPr>
          <w:p w14:paraId="69409BA9" w14:textId="77777777" w:rsidR="00CF0E2D" w:rsidRPr="004B40E1" w:rsidRDefault="00CF0E2D" w:rsidP="00A60D4B">
            <w:pPr>
              <w:pStyle w:val="Btablefigureunbold"/>
              <w:rPr>
                <w:szCs w:val="20"/>
              </w:rPr>
            </w:pPr>
            <w:r w:rsidRPr="004B40E1">
              <w:rPr>
                <w:rFonts w:cs="Calibri"/>
                <w:color w:val="000000"/>
                <w:szCs w:val="20"/>
              </w:rPr>
              <w:t>50</w:t>
            </w:r>
          </w:p>
        </w:tc>
        <w:tc>
          <w:tcPr>
            <w:tcW w:w="954" w:type="dxa"/>
            <w:gridSpan w:val="2"/>
            <w:tcBorders>
              <w:top w:val="nil"/>
              <w:left w:val="nil"/>
              <w:bottom w:val="nil"/>
              <w:right w:val="nil"/>
            </w:tcBorders>
          </w:tcPr>
          <w:p w14:paraId="6EA08752" w14:textId="77777777" w:rsidR="00CF0E2D" w:rsidRPr="004B40E1" w:rsidRDefault="00CF0E2D" w:rsidP="00A60D4B">
            <w:pPr>
              <w:pStyle w:val="Btablefigureunbold"/>
              <w:rPr>
                <w:b/>
                <w:bCs/>
                <w:szCs w:val="20"/>
              </w:rPr>
            </w:pPr>
            <w:r w:rsidRPr="004B40E1">
              <w:rPr>
                <w:rFonts w:cs="Calibri"/>
                <w:b/>
                <w:bCs/>
                <w:color w:val="000000"/>
                <w:szCs w:val="20"/>
              </w:rPr>
              <w:t>8,227</w:t>
            </w:r>
          </w:p>
        </w:tc>
      </w:tr>
      <w:tr w:rsidR="00CF0E2D" w:rsidRPr="00D60558" w14:paraId="36F155C1" w14:textId="77777777" w:rsidTr="00A60D4B">
        <w:trPr>
          <w:gridAfter w:val="1"/>
          <w:wAfter w:w="9" w:type="dxa"/>
          <w:jc w:val="center"/>
        </w:trPr>
        <w:tc>
          <w:tcPr>
            <w:tcW w:w="3355" w:type="dxa"/>
            <w:tcBorders>
              <w:top w:val="nil"/>
              <w:left w:val="nil"/>
              <w:bottom w:val="nil"/>
              <w:right w:val="nil"/>
            </w:tcBorders>
          </w:tcPr>
          <w:p w14:paraId="4B079BF3" w14:textId="77777777" w:rsidR="00CF0E2D" w:rsidRPr="00251FAB" w:rsidRDefault="00CF0E2D" w:rsidP="00A60D4B">
            <w:pPr>
              <w:pStyle w:val="Btabletextunbold"/>
              <w:rPr>
                <w:szCs w:val="20"/>
              </w:rPr>
            </w:pPr>
            <w:r>
              <w:rPr>
                <w:rFonts w:cs="Calibri"/>
                <w:color w:val="000000"/>
                <w:szCs w:val="20"/>
              </w:rPr>
              <w:t>–</w:t>
            </w:r>
            <w:r w:rsidRPr="00251FAB">
              <w:rPr>
                <w:rFonts w:cs="Calibri"/>
                <w:color w:val="000000"/>
                <w:szCs w:val="20"/>
              </w:rPr>
              <w:t xml:space="preserve"> Gungahlin Joint Emergency Service Centre </w:t>
            </w:r>
          </w:p>
        </w:tc>
        <w:tc>
          <w:tcPr>
            <w:tcW w:w="1093" w:type="dxa"/>
            <w:tcBorders>
              <w:top w:val="nil"/>
              <w:left w:val="nil"/>
              <w:bottom w:val="nil"/>
              <w:right w:val="nil"/>
            </w:tcBorders>
          </w:tcPr>
          <w:p w14:paraId="7DF6A685" w14:textId="77777777" w:rsidR="00CF0E2D" w:rsidRPr="00251FAB" w:rsidRDefault="00CF0E2D" w:rsidP="00A60D4B">
            <w:pPr>
              <w:pStyle w:val="Btablefigureunbold"/>
              <w:ind w:left="0" w:firstLine="0"/>
              <w:jc w:val="left"/>
              <w:rPr>
                <w:rFonts w:cs="Calibri"/>
                <w:color w:val="000000"/>
                <w:szCs w:val="20"/>
              </w:rPr>
            </w:pPr>
            <w:r w:rsidRPr="00B32848">
              <w:rPr>
                <w:rFonts w:cs="Calibri"/>
                <w:color w:val="000000"/>
                <w:szCs w:val="20"/>
              </w:rPr>
              <w:t>Net cost</w:t>
            </w:r>
          </w:p>
        </w:tc>
        <w:tc>
          <w:tcPr>
            <w:tcW w:w="964" w:type="dxa"/>
            <w:gridSpan w:val="2"/>
            <w:tcBorders>
              <w:top w:val="nil"/>
              <w:left w:val="nil"/>
              <w:bottom w:val="nil"/>
              <w:right w:val="nil"/>
            </w:tcBorders>
          </w:tcPr>
          <w:p w14:paraId="7A5F3612"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31AA5730" w14:textId="77777777" w:rsidR="00CF0E2D" w:rsidRPr="004B40E1" w:rsidRDefault="00CF0E2D" w:rsidP="00A60D4B">
            <w:pPr>
              <w:pStyle w:val="Btablefigureunbold"/>
              <w:rPr>
                <w:szCs w:val="20"/>
              </w:rPr>
            </w:pPr>
            <w:r w:rsidRPr="004B40E1">
              <w:rPr>
                <w:rFonts w:cs="Calibri"/>
                <w:color w:val="000000"/>
                <w:szCs w:val="20"/>
              </w:rPr>
              <w:t>500</w:t>
            </w:r>
          </w:p>
        </w:tc>
        <w:tc>
          <w:tcPr>
            <w:tcW w:w="964" w:type="dxa"/>
            <w:gridSpan w:val="2"/>
            <w:tcBorders>
              <w:top w:val="nil"/>
              <w:left w:val="nil"/>
              <w:bottom w:val="nil"/>
              <w:right w:val="nil"/>
            </w:tcBorders>
          </w:tcPr>
          <w:p w14:paraId="6EDF8FA5" w14:textId="77777777" w:rsidR="00CF0E2D" w:rsidRPr="004B40E1" w:rsidRDefault="00CF0E2D" w:rsidP="00A60D4B">
            <w:pPr>
              <w:pStyle w:val="Btablefigureunbold"/>
              <w:rPr>
                <w:szCs w:val="20"/>
              </w:rPr>
            </w:pPr>
            <w:r w:rsidRPr="004B40E1">
              <w:rPr>
                <w:rFonts w:cs="Calibri"/>
                <w:color w:val="000000"/>
                <w:szCs w:val="20"/>
              </w:rPr>
              <w:t>515</w:t>
            </w:r>
          </w:p>
        </w:tc>
        <w:tc>
          <w:tcPr>
            <w:tcW w:w="964" w:type="dxa"/>
            <w:gridSpan w:val="2"/>
            <w:tcBorders>
              <w:top w:val="nil"/>
              <w:left w:val="nil"/>
              <w:bottom w:val="nil"/>
              <w:right w:val="nil"/>
            </w:tcBorders>
          </w:tcPr>
          <w:p w14:paraId="1196AA86" w14:textId="77777777" w:rsidR="00CF0E2D" w:rsidRPr="004B40E1" w:rsidRDefault="00CF0E2D" w:rsidP="00A60D4B">
            <w:pPr>
              <w:pStyle w:val="Btablefigureunbold"/>
              <w:rPr>
                <w:szCs w:val="20"/>
              </w:rPr>
            </w:pPr>
            <w:r w:rsidRPr="004B40E1">
              <w:rPr>
                <w:rFonts w:cs="Calibri"/>
                <w:color w:val="000000"/>
                <w:szCs w:val="20"/>
              </w:rPr>
              <w:t>1,189</w:t>
            </w:r>
          </w:p>
        </w:tc>
        <w:tc>
          <w:tcPr>
            <w:tcW w:w="954" w:type="dxa"/>
            <w:gridSpan w:val="2"/>
            <w:tcBorders>
              <w:top w:val="nil"/>
              <w:left w:val="nil"/>
              <w:bottom w:val="nil"/>
              <w:right w:val="nil"/>
            </w:tcBorders>
          </w:tcPr>
          <w:p w14:paraId="5C189AA3" w14:textId="77777777" w:rsidR="00CF0E2D" w:rsidRPr="004B40E1" w:rsidRDefault="00CF0E2D" w:rsidP="00A60D4B">
            <w:pPr>
              <w:pStyle w:val="Btablefigureunbold"/>
              <w:rPr>
                <w:b/>
                <w:bCs/>
                <w:szCs w:val="20"/>
              </w:rPr>
            </w:pPr>
            <w:r w:rsidRPr="004B40E1">
              <w:rPr>
                <w:rFonts w:cs="Calibri"/>
                <w:b/>
                <w:bCs/>
                <w:color w:val="000000"/>
                <w:szCs w:val="20"/>
              </w:rPr>
              <w:t>2,204</w:t>
            </w:r>
          </w:p>
        </w:tc>
      </w:tr>
      <w:tr w:rsidR="00CF0E2D" w:rsidRPr="00D60558" w14:paraId="739C4D3E" w14:textId="77777777" w:rsidTr="00A60D4B">
        <w:trPr>
          <w:gridAfter w:val="1"/>
          <w:wAfter w:w="9" w:type="dxa"/>
          <w:jc w:val="center"/>
        </w:trPr>
        <w:tc>
          <w:tcPr>
            <w:tcW w:w="3355" w:type="dxa"/>
            <w:tcBorders>
              <w:top w:val="nil"/>
              <w:left w:val="nil"/>
              <w:bottom w:val="nil"/>
              <w:right w:val="nil"/>
            </w:tcBorders>
          </w:tcPr>
          <w:p w14:paraId="63738E39" w14:textId="77777777" w:rsidR="00CF0E2D" w:rsidRPr="00251FAB" w:rsidRDefault="00CF0E2D" w:rsidP="00A60D4B">
            <w:pPr>
              <w:pStyle w:val="Btabletextunbold"/>
              <w:rPr>
                <w:szCs w:val="20"/>
              </w:rPr>
            </w:pPr>
            <w:r>
              <w:rPr>
                <w:rFonts w:cs="Calibri"/>
                <w:color w:val="000000"/>
                <w:szCs w:val="20"/>
              </w:rPr>
              <w:t>–</w:t>
            </w:r>
            <w:r w:rsidRPr="00251FAB">
              <w:rPr>
                <w:rFonts w:cs="Calibri"/>
                <w:color w:val="000000"/>
                <w:szCs w:val="20"/>
              </w:rPr>
              <w:t xml:space="preserve"> Improving safety at police, emergency services and corrections facilities </w:t>
            </w:r>
          </w:p>
        </w:tc>
        <w:tc>
          <w:tcPr>
            <w:tcW w:w="1093" w:type="dxa"/>
            <w:tcBorders>
              <w:top w:val="nil"/>
              <w:left w:val="nil"/>
              <w:bottom w:val="nil"/>
              <w:right w:val="nil"/>
            </w:tcBorders>
          </w:tcPr>
          <w:p w14:paraId="63241AFD" w14:textId="77777777" w:rsidR="00CF0E2D" w:rsidRPr="00251FAB" w:rsidRDefault="00CF0E2D" w:rsidP="00A60D4B">
            <w:pPr>
              <w:pStyle w:val="Btablefigureunbold"/>
              <w:ind w:left="0" w:firstLine="0"/>
              <w:jc w:val="left"/>
              <w:rPr>
                <w:rFonts w:cs="Calibri"/>
                <w:color w:val="000000"/>
                <w:szCs w:val="20"/>
              </w:rPr>
            </w:pPr>
            <w:r w:rsidRPr="00B32848">
              <w:rPr>
                <w:rFonts w:cs="Calibri"/>
                <w:color w:val="000000"/>
                <w:szCs w:val="20"/>
              </w:rPr>
              <w:t>Net cost</w:t>
            </w:r>
          </w:p>
        </w:tc>
        <w:tc>
          <w:tcPr>
            <w:tcW w:w="964" w:type="dxa"/>
            <w:gridSpan w:val="2"/>
            <w:tcBorders>
              <w:top w:val="nil"/>
              <w:left w:val="nil"/>
              <w:bottom w:val="nil"/>
              <w:right w:val="nil"/>
            </w:tcBorders>
          </w:tcPr>
          <w:p w14:paraId="7B2C4688" w14:textId="77777777" w:rsidR="00CF0E2D" w:rsidRPr="004B40E1" w:rsidRDefault="00CF0E2D" w:rsidP="00A60D4B">
            <w:pPr>
              <w:pStyle w:val="Btablefigureunbold"/>
              <w:rPr>
                <w:szCs w:val="20"/>
              </w:rPr>
            </w:pPr>
            <w:r w:rsidRPr="004B40E1">
              <w:rPr>
                <w:rFonts w:cs="Calibri"/>
                <w:color w:val="000000"/>
                <w:szCs w:val="20"/>
              </w:rPr>
              <w:t>1,058</w:t>
            </w:r>
          </w:p>
        </w:tc>
        <w:tc>
          <w:tcPr>
            <w:tcW w:w="964" w:type="dxa"/>
            <w:gridSpan w:val="2"/>
            <w:tcBorders>
              <w:top w:val="nil"/>
              <w:left w:val="nil"/>
              <w:bottom w:val="nil"/>
              <w:right w:val="nil"/>
            </w:tcBorders>
          </w:tcPr>
          <w:p w14:paraId="6C9ABB73" w14:textId="77777777" w:rsidR="00CF0E2D" w:rsidRPr="004B40E1" w:rsidRDefault="00CF0E2D" w:rsidP="00A60D4B">
            <w:pPr>
              <w:pStyle w:val="Btablefigureunbold"/>
              <w:rPr>
                <w:szCs w:val="20"/>
              </w:rPr>
            </w:pPr>
            <w:r w:rsidRPr="004B40E1">
              <w:rPr>
                <w:rFonts w:cs="Calibri"/>
                <w:color w:val="000000"/>
                <w:szCs w:val="20"/>
              </w:rPr>
              <w:t>300</w:t>
            </w:r>
          </w:p>
        </w:tc>
        <w:tc>
          <w:tcPr>
            <w:tcW w:w="964" w:type="dxa"/>
            <w:gridSpan w:val="2"/>
            <w:tcBorders>
              <w:top w:val="nil"/>
              <w:left w:val="nil"/>
              <w:bottom w:val="nil"/>
              <w:right w:val="nil"/>
            </w:tcBorders>
          </w:tcPr>
          <w:p w14:paraId="07162849"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78143595" w14:textId="77777777" w:rsidR="00CF0E2D" w:rsidRPr="004B40E1" w:rsidRDefault="00CF0E2D" w:rsidP="00A60D4B">
            <w:pPr>
              <w:pStyle w:val="Btablefigureunbold"/>
              <w:rPr>
                <w:szCs w:val="20"/>
              </w:rPr>
            </w:pPr>
            <w:r w:rsidRPr="004B40E1">
              <w:rPr>
                <w:rFonts w:cs="Calibri"/>
                <w:color w:val="000000"/>
                <w:szCs w:val="20"/>
              </w:rPr>
              <w:t>0</w:t>
            </w:r>
          </w:p>
        </w:tc>
        <w:tc>
          <w:tcPr>
            <w:tcW w:w="954" w:type="dxa"/>
            <w:gridSpan w:val="2"/>
            <w:tcBorders>
              <w:top w:val="nil"/>
              <w:left w:val="nil"/>
              <w:bottom w:val="nil"/>
              <w:right w:val="nil"/>
            </w:tcBorders>
          </w:tcPr>
          <w:p w14:paraId="3A5896C1" w14:textId="77777777" w:rsidR="00CF0E2D" w:rsidRPr="004B40E1" w:rsidRDefault="00CF0E2D" w:rsidP="00A60D4B">
            <w:pPr>
              <w:pStyle w:val="Btablefigureunbold"/>
              <w:rPr>
                <w:b/>
                <w:bCs/>
                <w:szCs w:val="20"/>
              </w:rPr>
            </w:pPr>
            <w:r w:rsidRPr="004B40E1">
              <w:rPr>
                <w:rFonts w:cs="Calibri"/>
                <w:b/>
                <w:bCs/>
                <w:color w:val="000000"/>
                <w:szCs w:val="20"/>
              </w:rPr>
              <w:t>1,358</w:t>
            </w:r>
          </w:p>
        </w:tc>
      </w:tr>
      <w:tr w:rsidR="00CF0E2D" w:rsidRPr="00D60558" w14:paraId="6BA4301D" w14:textId="77777777" w:rsidTr="00A60D4B">
        <w:trPr>
          <w:gridAfter w:val="1"/>
          <w:wAfter w:w="9" w:type="dxa"/>
          <w:jc w:val="center"/>
        </w:trPr>
        <w:tc>
          <w:tcPr>
            <w:tcW w:w="3355" w:type="dxa"/>
            <w:tcBorders>
              <w:top w:val="nil"/>
              <w:left w:val="nil"/>
              <w:bottom w:val="nil"/>
              <w:right w:val="nil"/>
            </w:tcBorders>
          </w:tcPr>
          <w:p w14:paraId="4E4C2947" w14:textId="77777777" w:rsidR="00CF0E2D" w:rsidRPr="00251FAB" w:rsidRDefault="00CF0E2D" w:rsidP="00A60D4B">
            <w:pPr>
              <w:pStyle w:val="Btabletextunbold"/>
              <w:rPr>
                <w:szCs w:val="20"/>
              </w:rPr>
            </w:pPr>
            <w:r>
              <w:rPr>
                <w:rFonts w:cs="Calibri"/>
                <w:color w:val="000000"/>
                <w:szCs w:val="20"/>
              </w:rPr>
              <w:t>–</w:t>
            </w:r>
            <w:r w:rsidRPr="00251FAB">
              <w:rPr>
                <w:rFonts w:cs="Calibri"/>
                <w:color w:val="000000"/>
                <w:szCs w:val="20"/>
              </w:rPr>
              <w:t xml:space="preserve"> Maintaining ACT Policing radio communication capability </w:t>
            </w:r>
          </w:p>
        </w:tc>
        <w:tc>
          <w:tcPr>
            <w:tcW w:w="1093" w:type="dxa"/>
            <w:tcBorders>
              <w:top w:val="nil"/>
              <w:left w:val="nil"/>
              <w:bottom w:val="nil"/>
              <w:right w:val="nil"/>
            </w:tcBorders>
          </w:tcPr>
          <w:p w14:paraId="5AD8560B" w14:textId="77777777" w:rsidR="00CF0E2D" w:rsidRPr="00251FAB" w:rsidRDefault="00CF0E2D" w:rsidP="00A60D4B">
            <w:pPr>
              <w:pStyle w:val="Btablefigureunbold"/>
              <w:ind w:left="0" w:firstLine="0"/>
              <w:jc w:val="left"/>
              <w:rPr>
                <w:rFonts w:cs="Calibri"/>
                <w:color w:val="000000"/>
                <w:szCs w:val="20"/>
              </w:rPr>
            </w:pPr>
            <w:r w:rsidRPr="00B32848">
              <w:rPr>
                <w:rFonts w:cs="Calibri"/>
                <w:color w:val="000000"/>
                <w:szCs w:val="20"/>
              </w:rPr>
              <w:t>Net cost</w:t>
            </w:r>
          </w:p>
        </w:tc>
        <w:tc>
          <w:tcPr>
            <w:tcW w:w="964" w:type="dxa"/>
            <w:gridSpan w:val="2"/>
            <w:tcBorders>
              <w:top w:val="nil"/>
              <w:left w:val="nil"/>
              <w:bottom w:val="nil"/>
              <w:right w:val="nil"/>
            </w:tcBorders>
          </w:tcPr>
          <w:p w14:paraId="3869C840" w14:textId="77777777" w:rsidR="00CF0E2D" w:rsidRPr="004B40E1" w:rsidRDefault="00CF0E2D" w:rsidP="00A60D4B">
            <w:pPr>
              <w:pStyle w:val="Btablefigureunbold"/>
              <w:rPr>
                <w:szCs w:val="20"/>
              </w:rPr>
            </w:pPr>
            <w:r w:rsidRPr="004B40E1">
              <w:rPr>
                <w:rFonts w:cs="Calibri"/>
                <w:szCs w:val="20"/>
              </w:rPr>
              <w:t>4,738</w:t>
            </w:r>
          </w:p>
        </w:tc>
        <w:tc>
          <w:tcPr>
            <w:tcW w:w="964" w:type="dxa"/>
            <w:gridSpan w:val="2"/>
            <w:tcBorders>
              <w:top w:val="nil"/>
              <w:left w:val="nil"/>
              <w:bottom w:val="nil"/>
              <w:right w:val="nil"/>
            </w:tcBorders>
          </w:tcPr>
          <w:p w14:paraId="4D341A70" w14:textId="77777777" w:rsidR="00CF0E2D" w:rsidRPr="004B40E1" w:rsidRDefault="00CF0E2D" w:rsidP="00A60D4B">
            <w:pPr>
              <w:pStyle w:val="Btablefigureunbold"/>
              <w:rPr>
                <w:szCs w:val="20"/>
              </w:rPr>
            </w:pPr>
            <w:r w:rsidRPr="004B40E1">
              <w:rPr>
                <w:rFonts w:cs="Calibri"/>
                <w:szCs w:val="20"/>
              </w:rPr>
              <w:t>789</w:t>
            </w:r>
          </w:p>
        </w:tc>
        <w:tc>
          <w:tcPr>
            <w:tcW w:w="964" w:type="dxa"/>
            <w:gridSpan w:val="2"/>
            <w:tcBorders>
              <w:top w:val="nil"/>
              <w:left w:val="nil"/>
              <w:bottom w:val="nil"/>
              <w:right w:val="nil"/>
            </w:tcBorders>
          </w:tcPr>
          <w:p w14:paraId="62E716B3" w14:textId="77777777" w:rsidR="00CF0E2D" w:rsidRPr="004B40E1" w:rsidRDefault="00CF0E2D" w:rsidP="00A60D4B">
            <w:pPr>
              <w:pStyle w:val="Btablefigureunbold"/>
              <w:rPr>
                <w:szCs w:val="20"/>
              </w:rPr>
            </w:pPr>
            <w:r w:rsidRPr="004B40E1">
              <w:rPr>
                <w:rFonts w:cs="Calibri"/>
                <w:szCs w:val="20"/>
              </w:rPr>
              <w:t>555</w:t>
            </w:r>
          </w:p>
        </w:tc>
        <w:tc>
          <w:tcPr>
            <w:tcW w:w="964" w:type="dxa"/>
            <w:gridSpan w:val="2"/>
            <w:tcBorders>
              <w:top w:val="nil"/>
              <w:left w:val="nil"/>
              <w:bottom w:val="nil"/>
              <w:right w:val="nil"/>
            </w:tcBorders>
          </w:tcPr>
          <w:p w14:paraId="565EACF7" w14:textId="77777777" w:rsidR="00CF0E2D" w:rsidRPr="004B40E1" w:rsidRDefault="00CF0E2D" w:rsidP="00A60D4B">
            <w:pPr>
              <w:pStyle w:val="Btablefigureunbold"/>
              <w:rPr>
                <w:szCs w:val="20"/>
              </w:rPr>
            </w:pPr>
            <w:r w:rsidRPr="004B40E1">
              <w:rPr>
                <w:rFonts w:cs="Calibri"/>
                <w:szCs w:val="20"/>
              </w:rPr>
              <w:t>555</w:t>
            </w:r>
          </w:p>
        </w:tc>
        <w:tc>
          <w:tcPr>
            <w:tcW w:w="954" w:type="dxa"/>
            <w:gridSpan w:val="2"/>
            <w:tcBorders>
              <w:top w:val="nil"/>
              <w:left w:val="nil"/>
              <w:bottom w:val="nil"/>
              <w:right w:val="nil"/>
            </w:tcBorders>
          </w:tcPr>
          <w:p w14:paraId="091E54B4" w14:textId="77777777" w:rsidR="00CF0E2D" w:rsidRPr="004B40E1" w:rsidRDefault="00CF0E2D" w:rsidP="00A60D4B">
            <w:pPr>
              <w:pStyle w:val="Btablefigureunbold"/>
              <w:rPr>
                <w:b/>
                <w:bCs/>
                <w:szCs w:val="20"/>
              </w:rPr>
            </w:pPr>
            <w:r w:rsidRPr="004B40E1">
              <w:rPr>
                <w:rFonts w:cs="Calibri"/>
                <w:b/>
                <w:bCs/>
                <w:szCs w:val="20"/>
              </w:rPr>
              <w:t>6,637</w:t>
            </w:r>
          </w:p>
        </w:tc>
      </w:tr>
      <w:tr w:rsidR="00CF0E2D" w:rsidRPr="00D60558" w14:paraId="1515D611" w14:textId="77777777" w:rsidTr="00A60D4B">
        <w:trPr>
          <w:gridAfter w:val="1"/>
          <w:wAfter w:w="9" w:type="dxa"/>
          <w:jc w:val="center"/>
        </w:trPr>
        <w:tc>
          <w:tcPr>
            <w:tcW w:w="3355" w:type="dxa"/>
            <w:tcBorders>
              <w:top w:val="nil"/>
              <w:left w:val="nil"/>
              <w:bottom w:val="nil"/>
              <w:right w:val="nil"/>
            </w:tcBorders>
          </w:tcPr>
          <w:p w14:paraId="14D6C79E" w14:textId="77777777" w:rsidR="00CF0E2D" w:rsidRPr="00251FAB" w:rsidRDefault="00CF0E2D" w:rsidP="00A60D4B">
            <w:pPr>
              <w:pStyle w:val="Btabletextunbold"/>
              <w:rPr>
                <w:szCs w:val="20"/>
              </w:rPr>
            </w:pPr>
            <w:r>
              <w:rPr>
                <w:rFonts w:cs="Calibri"/>
                <w:color w:val="000000"/>
                <w:szCs w:val="20"/>
              </w:rPr>
              <w:t>–</w:t>
            </w:r>
            <w:r w:rsidRPr="00251FAB">
              <w:rPr>
                <w:rFonts w:cs="Calibri"/>
                <w:color w:val="000000"/>
                <w:szCs w:val="20"/>
              </w:rPr>
              <w:t xml:space="preserve"> Remediating hazardous materials around the former West Belconnen ACT Fire </w:t>
            </w:r>
            <w:r>
              <w:rPr>
                <w:rFonts w:cs="Calibri"/>
                <w:color w:val="000000"/>
                <w:szCs w:val="20"/>
              </w:rPr>
              <w:t>&amp;</w:t>
            </w:r>
            <w:r w:rsidRPr="00251FAB">
              <w:rPr>
                <w:rFonts w:cs="Calibri"/>
                <w:color w:val="000000"/>
                <w:szCs w:val="20"/>
              </w:rPr>
              <w:t xml:space="preserve"> Rescue Station</w:t>
            </w:r>
          </w:p>
        </w:tc>
        <w:tc>
          <w:tcPr>
            <w:tcW w:w="1093" w:type="dxa"/>
            <w:tcBorders>
              <w:top w:val="nil"/>
              <w:left w:val="nil"/>
              <w:bottom w:val="nil"/>
              <w:right w:val="nil"/>
            </w:tcBorders>
          </w:tcPr>
          <w:p w14:paraId="0EB4AE46" w14:textId="77777777" w:rsidR="00CF0E2D" w:rsidRPr="00251FAB" w:rsidRDefault="00CF0E2D" w:rsidP="00A60D4B">
            <w:pPr>
              <w:pStyle w:val="Btablefigureunbold"/>
              <w:ind w:left="0" w:firstLine="0"/>
              <w:jc w:val="left"/>
              <w:rPr>
                <w:rFonts w:cs="Calibri"/>
                <w:color w:val="000000"/>
                <w:szCs w:val="20"/>
              </w:rPr>
            </w:pPr>
            <w:r w:rsidRPr="00B32848">
              <w:rPr>
                <w:rFonts w:cs="Calibri"/>
                <w:color w:val="000000"/>
                <w:szCs w:val="20"/>
              </w:rPr>
              <w:t>Net cost</w:t>
            </w:r>
          </w:p>
        </w:tc>
        <w:tc>
          <w:tcPr>
            <w:tcW w:w="964" w:type="dxa"/>
            <w:gridSpan w:val="2"/>
            <w:tcBorders>
              <w:top w:val="nil"/>
              <w:left w:val="nil"/>
              <w:bottom w:val="nil"/>
              <w:right w:val="nil"/>
            </w:tcBorders>
          </w:tcPr>
          <w:p w14:paraId="448E7DE9" w14:textId="77777777" w:rsidR="00CF0E2D" w:rsidRPr="004B40E1" w:rsidRDefault="00CF0E2D" w:rsidP="00A60D4B">
            <w:pPr>
              <w:pStyle w:val="Btablefigureunbold"/>
              <w:rPr>
                <w:szCs w:val="20"/>
              </w:rPr>
            </w:pPr>
            <w:r w:rsidRPr="004B40E1">
              <w:rPr>
                <w:rFonts w:cs="Calibri"/>
                <w:color w:val="000000"/>
                <w:szCs w:val="20"/>
              </w:rPr>
              <w:t>400</w:t>
            </w:r>
          </w:p>
        </w:tc>
        <w:tc>
          <w:tcPr>
            <w:tcW w:w="964" w:type="dxa"/>
            <w:gridSpan w:val="2"/>
            <w:tcBorders>
              <w:top w:val="nil"/>
              <w:left w:val="nil"/>
              <w:bottom w:val="nil"/>
              <w:right w:val="nil"/>
            </w:tcBorders>
          </w:tcPr>
          <w:p w14:paraId="29811C40" w14:textId="77777777" w:rsidR="00CF0E2D" w:rsidRPr="004B40E1" w:rsidRDefault="00CF0E2D" w:rsidP="00A60D4B">
            <w:pPr>
              <w:pStyle w:val="Btablefigureunbold"/>
              <w:rPr>
                <w:szCs w:val="20"/>
              </w:rPr>
            </w:pPr>
            <w:r w:rsidRPr="004B40E1">
              <w:rPr>
                <w:rFonts w:cs="Calibri"/>
                <w:color w:val="000000"/>
                <w:szCs w:val="20"/>
              </w:rPr>
              <w:t>516</w:t>
            </w:r>
          </w:p>
        </w:tc>
        <w:tc>
          <w:tcPr>
            <w:tcW w:w="964" w:type="dxa"/>
            <w:gridSpan w:val="2"/>
            <w:tcBorders>
              <w:top w:val="nil"/>
              <w:left w:val="nil"/>
              <w:bottom w:val="nil"/>
              <w:right w:val="nil"/>
            </w:tcBorders>
          </w:tcPr>
          <w:p w14:paraId="59259D76"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1316AC62" w14:textId="77777777" w:rsidR="00CF0E2D" w:rsidRPr="004B40E1" w:rsidRDefault="00CF0E2D" w:rsidP="00A60D4B">
            <w:pPr>
              <w:pStyle w:val="Btablefigureunbold"/>
              <w:rPr>
                <w:szCs w:val="20"/>
              </w:rPr>
            </w:pPr>
            <w:r w:rsidRPr="004B40E1">
              <w:rPr>
                <w:rFonts w:cs="Calibri"/>
                <w:color w:val="000000"/>
                <w:szCs w:val="20"/>
              </w:rPr>
              <w:t>0</w:t>
            </w:r>
          </w:p>
        </w:tc>
        <w:tc>
          <w:tcPr>
            <w:tcW w:w="954" w:type="dxa"/>
            <w:gridSpan w:val="2"/>
            <w:tcBorders>
              <w:top w:val="nil"/>
              <w:left w:val="nil"/>
              <w:bottom w:val="nil"/>
              <w:right w:val="nil"/>
            </w:tcBorders>
          </w:tcPr>
          <w:p w14:paraId="67DFF062" w14:textId="77777777" w:rsidR="00CF0E2D" w:rsidRPr="004B40E1" w:rsidRDefault="00CF0E2D" w:rsidP="00A60D4B">
            <w:pPr>
              <w:pStyle w:val="Btablefigureunbold"/>
              <w:rPr>
                <w:b/>
                <w:bCs/>
                <w:szCs w:val="20"/>
              </w:rPr>
            </w:pPr>
            <w:r w:rsidRPr="004B40E1">
              <w:rPr>
                <w:rFonts w:cs="Calibri"/>
                <w:b/>
                <w:bCs/>
                <w:color w:val="000000"/>
                <w:szCs w:val="20"/>
              </w:rPr>
              <w:t>916</w:t>
            </w:r>
          </w:p>
        </w:tc>
      </w:tr>
      <w:tr w:rsidR="00CF0E2D" w:rsidRPr="00D60558" w14:paraId="162B9A70" w14:textId="77777777" w:rsidTr="00A60D4B">
        <w:trPr>
          <w:gridAfter w:val="1"/>
          <w:wAfter w:w="9" w:type="dxa"/>
          <w:jc w:val="center"/>
        </w:trPr>
        <w:tc>
          <w:tcPr>
            <w:tcW w:w="3355" w:type="dxa"/>
            <w:tcBorders>
              <w:top w:val="nil"/>
              <w:left w:val="nil"/>
              <w:bottom w:val="nil"/>
              <w:right w:val="nil"/>
            </w:tcBorders>
          </w:tcPr>
          <w:p w14:paraId="01C20453" w14:textId="77777777" w:rsidR="00CF0E2D" w:rsidRPr="00251FAB" w:rsidRDefault="00CF0E2D" w:rsidP="00A60D4B">
            <w:pPr>
              <w:pStyle w:val="Btabletextunbold"/>
              <w:rPr>
                <w:szCs w:val="20"/>
              </w:rPr>
            </w:pPr>
            <w:r>
              <w:rPr>
                <w:rFonts w:cs="Calibri"/>
                <w:color w:val="000000"/>
                <w:szCs w:val="20"/>
              </w:rPr>
              <w:t>–</w:t>
            </w:r>
            <w:r w:rsidRPr="00251FAB">
              <w:rPr>
                <w:rFonts w:cs="Calibri"/>
                <w:color w:val="000000"/>
                <w:szCs w:val="20"/>
              </w:rPr>
              <w:t xml:space="preserve"> Strengthening ICT infrastructure</w:t>
            </w:r>
          </w:p>
        </w:tc>
        <w:tc>
          <w:tcPr>
            <w:tcW w:w="1093" w:type="dxa"/>
            <w:tcBorders>
              <w:top w:val="nil"/>
              <w:left w:val="nil"/>
              <w:bottom w:val="nil"/>
              <w:right w:val="nil"/>
            </w:tcBorders>
          </w:tcPr>
          <w:p w14:paraId="0B2C95D5" w14:textId="77777777" w:rsidR="00CF0E2D" w:rsidRPr="00251FAB" w:rsidRDefault="00CF0E2D" w:rsidP="00A60D4B">
            <w:pPr>
              <w:pStyle w:val="Btablefigureunbold"/>
              <w:ind w:left="0" w:firstLine="0"/>
              <w:jc w:val="left"/>
              <w:rPr>
                <w:rFonts w:cs="Calibri"/>
                <w:color w:val="000000"/>
                <w:szCs w:val="20"/>
              </w:rPr>
            </w:pPr>
            <w:r w:rsidRPr="00251FAB">
              <w:rPr>
                <w:rFonts w:cs="Calibri"/>
                <w:color w:val="000000"/>
                <w:szCs w:val="20"/>
              </w:rPr>
              <w:t>Net capital</w:t>
            </w:r>
          </w:p>
        </w:tc>
        <w:tc>
          <w:tcPr>
            <w:tcW w:w="964" w:type="dxa"/>
            <w:gridSpan w:val="2"/>
            <w:tcBorders>
              <w:top w:val="nil"/>
              <w:left w:val="nil"/>
              <w:bottom w:val="nil"/>
              <w:right w:val="nil"/>
            </w:tcBorders>
          </w:tcPr>
          <w:p w14:paraId="487CD044" w14:textId="77777777" w:rsidR="00CF0E2D" w:rsidRPr="004B40E1" w:rsidRDefault="00CF0E2D" w:rsidP="00A60D4B">
            <w:pPr>
              <w:pStyle w:val="Btablefigureunbold"/>
              <w:rPr>
                <w:szCs w:val="20"/>
              </w:rPr>
            </w:pPr>
            <w:r w:rsidRPr="004B40E1">
              <w:rPr>
                <w:rFonts w:cs="Calibri"/>
                <w:color w:val="000000"/>
                <w:szCs w:val="20"/>
              </w:rPr>
              <w:t>1,169</w:t>
            </w:r>
          </w:p>
        </w:tc>
        <w:tc>
          <w:tcPr>
            <w:tcW w:w="964" w:type="dxa"/>
            <w:gridSpan w:val="2"/>
            <w:tcBorders>
              <w:top w:val="nil"/>
              <w:left w:val="nil"/>
              <w:bottom w:val="nil"/>
              <w:right w:val="nil"/>
            </w:tcBorders>
          </w:tcPr>
          <w:p w14:paraId="774EA0E6" w14:textId="77777777" w:rsidR="00CF0E2D" w:rsidRPr="004B40E1" w:rsidRDefault="00CF0E2D" w:rsidP="00A60D4B">
            <w:pPr>
              <w:pStyle w:val="Btablefigureunbold"/>
              <w:rPr>
                <w:szCs w:val="20"/>
              </w:rPr>
            </w:pPr>
            <w:r w:rsidRPr="004B40E1">
              <w:rPr>
                <w:rFonts w:cs="Calibri"/>
                <w:color w:val="000000"/>
                <w:szCs w:val="20"/>
              </w:rPr>
              <w:t>541</w:t>
            </w:r>
          </w:p>
        </w:tc>
        <w:tc>
          <w:tcPr>
            <w:tcW w:w="964" w:type="dxa"/>
            <w:gridSpan w:val="2"/>
            <w:tcBorders>
              <w:top w:val="nil"/>
              <w:left w:val="nil"/>
              <w:bottom w:val="nil"/>
              <w:right w:val="nil"/>
            </w:tcBorders>
          </w:tcPr>
          <w:p w14:paraId="1E7F912A"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1EF0CA9B" w14:textId="77777777" w:rsidR="00CF0E2D" w:rsidRPr="004B40E1" w:rsidRDefault="00CF0E2D" w:rsidP="00A60D4B">
            <w:pPr>
              <w:pStyle w:val="Btablefigureunbold"/>
              <w:rPr>
                <w:szCs w:val="20"/>
              </w:rPr>
            </w:pPr>
            <w:r w:rsidRPr="004B40E1">
              <w:rPr>
                <w:rFonts w:cs="Calibri"/>
                <w:color w:val="000000"/>
                <w:szCs w:val="20"/>
              </w:rPr>
              <w:t>0</w:t>
            </w:r>
          </w:p>
        </w:tc>
        <w:tc>
          <w:tcPr>
            <w:tcW w:w="954" w:type="dxa"/>
            <w:gridSpan w:val="2"/>
            <w:tcBorders>
              <w:top w:val="nil"/>
              <w:left w:val="nil"/>
              <w:bottom w:val="nil"/>
              <w:right w:val="nil"/>
            </w:tcBorders>
          </w:tcPr>
          <w:p w14:paraId="169967B0" w14:textId="77777777" w:rsidR="00CF0E2D" w:rsidRPr="004B40E1" w:rsidRDefault="00CF0E2D" w:rsidP="00A60D4B">
            <w:pPr>
              <w:pStyle w:val="Btablefigureunbold"/>
              <w:rPr>
                <w:b/>
                <w:bCs/>
                <w:szCs w:val="20"/>
              </w:rPr>
            </w:pPr>
            <w:r w:rsidRPr="004B40E1">
              <w:rPr>
                <w:rFonts w:cs="Calibri"/>
                <w:b/>
                <w:bCs/>
                <w:color w:val="000000"/>
                <w:szCs w:val="20"/>
              </w:rPr>
              <w:t>1,710</w:t>
            </w:r>
          </w:p>
        </w:tc>
      </w:tr>
      <w:tr w:rsidR="00CF0E2D" w:rsidRPr="00D60558" w14:paraId="72A34D58" w14:textId="77777777" w:rsidTr="00A60D4B">
        <w:trPr>
          <w:gridAfter w:val="1"/>
          <w:wAfter w:w="9" w:type="dxa"/>
          <w:jc w:val="center"/>
        </w:trPr>
        <w:tc>
          <w:tcPr>
            <w:tcW w:w="3355" w:type="dxa"/>
            <w:tcBorders>
              <w:top w:val="nil"/>
              <w:left w:val="nil"/>
              <w:bottom w:val="nil"/>
              <w:right w:val="nil"/>
            </w:tcBorders>
          </w:tcPr>
          <w:p w14:paraId="21D089D0" w14:textId="77777777" w:rsidR="00CF0E2D" w:rsidRPr="00251FAB" w:rsidRDefault="00CF0E2D" w:rsidP="00A60D4B">
            <w:pPr>
              <w:pStyle w:val="Btabletextunbold"/>
              <w:rPr>
                <w:szCs w:val="20"/>
              </w:rPr>
            </w:pPr>
            <w:r>
              <w:rPr>
                <w:rFonts w:cs="Calibri"/>
                <w:color w:val="000000"/>
                <w:szCs w:val="20"/>
              </w:rPr>
              <w:t>–</w:t>
            </w:r>
            <w:r w:rsidRPr="00251FAB">
              <w:rPr>
                <w:rFonts w:cs="Calibri"/>
                <w:color w:val="000000"/>
                <w:szCs w:val="20"/>
              </w:rPr>
              <w:t xml:space="preserve"> Strengthening ICT infrastructure</w:t>
            </w:r>
          </w:p>
        </w:tc>
        <w:tc>
          <w:tcPr>
            <w:tcW w:w="1093" w:type="dxa"/>
            <w:tcBorders>
              <w:top w:val="nil"/>
              <w:left w:val="nil"/>
              <w:bottom w:val="nil"/>
              <w:right w:val="nil"/>
            </w:tcBorders>
          </w:tcPr>
          <w:p w14:paraId="5843C335" w14:textId="77777777" w:rsidR="00CF0E2D" w:rsidRPr="00251FAB" w:rsidRDefault="00CF0E2D" w:rsidP="00A60D4B">
            <w:pPr>
              <w:pStyle w:val="Btablefigureunbold"/>
              <w:ind w:left="0" w:firstLine="0"/>
              <w:jc w:val="left"/>
              <w:rPr>
                <w:rFonts w:cs="Calibri"/>
                <w:color w:val="000000"/>
                <w:szCs w:val="20"/>
              </w:rPr>
            </w:pPr>
            <w:r w:rsidRPr="00060682">
              <w:rPr>
                <w:rFonts w:cs="Calibri"/>
                <w:color w:val="000000"/>
                <w:szCs w:val="20"/>
              </w:rPr>
              <w:t>Net cost</w:t>
            </w:r>
          </w:p>
        </w:tc>
        <w:tc>
          <w:tcPr>
            <w:tcW w:w="964" w:type="dxa"/>
            <w:gridSpan w:val="2"/>
            <w:tcBorders>
              <w:top w:val="nil"/>
              <w:left w:val="nil"/>
              <w:bottom w:val="nil"/>
              <w:right w:val="nil"/>
            </w:tcBorders>
          </w:tcPr>
          <w:p w14:paraId="3AA4AF81" w14:textId="77777777" w:rsidR="00CF0E2D" w:rsidRPr="004B40E1" w:rsidRDefault="00CF0E2D" w:rsidP="00A60D4B">
            <w:pPr>
              <w:pStyle w:val="Btablefigureunbold"/>
              <w:rPr>
                <w:szCs w:val="20"/>
              </w:rPr>
            </w:pPr>
            <w:r w:rsidRPr="004B40E1">
              <w:rPr>
                <w:rFonts w:cs="Calibri"/>
                <w:color w:val="000000"/>
                <w:szCs w:val="20"/>
              </w:rPr>
              <w:t>25</w:t>
            </w:r>
          </w:p>
        </w:tc>
        <w:tc>
          <w:tcPr>
            <w:tcW w:w="964" w:type="dxa"/>
            <w:gridSpan w:val="2"/>
            <w:tcBorders>
              <w:top w:val="nil"/>
              <w:left w:val="nil"/>
              <w:bottom w:val="nil"/>
              <w:right w:val="nil"/>
            </w:tcBorders>
          </w:tcPr>
          <w:p w14:paraId="5AEDCD3D" w14:textId="77777777" w:rsidR="00CF0E2D" w:rsidRPr="004B40E1" w:rsidRDefault="00CF0E2D" w:rsidP="00A60D4B">
            <w:pPr>
              <w:pStyle w:val="Btablefigureunbold"/>
              <w:rPr>
                <w:szCs w:val="20"/>
              </w:rPr>
            </w:pPr>
            <w:r w:rsidRPr="004B40E1">
              <w:rPr>
                <w:rFonts w:cs="Calibri"/>
                <w:color w:val="000000"/>
                <w:szCs w:val="20"/>
              </w:rPr>
              <w:t>460</w:t>
            </w:r>
          </w:p>
        </w:tc>
        <w:tc>
          <w:tcPr>
            <w:tcW w:w="964" w:type="dxa"/>
            <w:gridSpan w:val="2"/>
            <w:tcBorders>
              <w:top w:val="nil"/>
              <w:left w:val="nil"/>
              <w:bottom w:val="nil"/>
              <w:right w:val="nil"/>
            </w:tcBorders>
          </w:tcPr>
          <w:p w14:paraId="6FE79425" w14:textId="77777777" w:rsidR="00CF0E2D" w:rsidRPr="004B40E1" w:rsidRDefault="00CF0E2D" w:rsidP="00A60D4B">
            <w:pPr>
              <w:pStyle w:val="Btablefigureunbold"/>
              <w:rPr>
                <w:szCs w:val="20"/>
              </w:rPr>
            </w:pPr>
            <w:r w:rsidRPr="004B40E1">
              <w:rPr>
                <w:rFonts w:cs="Calibri"/>
                <w:color w:val="000000"/>
                <w:szCs w:val="20"/>
              </w:rPr>
              <w:t>598</w:t>
            </w:r>
          </w:p>
        </w:tc>
        <w:tc>
          <w:tcPr>
            <w:tcW w:w="964" w:type="dxa"/>
            <w:gridSpan w:val="2"/>
            <w:tcBorders>
              <w:top w:val="nil"/>
              <w:left w:val="nil"/>
              <w:bottom w:val="nil"/>
              <w:right w:val="nil"/>
            </w:tcBorders>
          </w:tcPr>
          <w:p w14:paraId="222B3A5E" w14:textId="77777777" w:rsidR="00CF0E2D" w:rsidRPr="004B40E1" w:rsidRDefault="00CF0E2D" w:rsidP="00A60D4B">
            <w:pPr>
              <w:pStyle w:val="Btablefigureunbold"/>
              <w:rPr>
                <w:szCs w:val="20"/>
              </w:rPr>
            </w:pPr>
            <w:r w:rsidRPr="004B40E1">
              <w:rPr>
                <w:rFonts w:cs="Calibri"/>
                <w:color w:val="000000"/>
                <w:szCs w:val="20"/>
              </w:rPr>
              <w:t>603</w:t>
            </w:r>
          </w:p>
        </w:tc>
        <w:tc>
          <w:tcPr>
            <w:tcW w:w="954" w:type="dxa"/>
            <w:gridSpan w:val="2"/>
            <w:tcBorders>
              <w:top w:val="nil"/>
              <w:left w:val="nil"/>
              <w:bottom w:val="nil"/>
              <w:right w:val="nil"/>
            </w:tcBorders>
          </w:tcPr>
          <w:p w14:paraId="6F6AE36A" w14:textId="77777777" w:rsidR="00CF0E2D" w:rsidRPr="004B40E1" w:rsidRDefault="00CF0E2D" w:rsidP="00A60D4B">
            <w:pPr>
              <w:pStyle w:val="Btablefigureunbold"/>
              <w:rPr>
                <w:b/>
                <w:bCs/>
                <w:szCs w:val="20"/>
              </w:rPr>
            </w:pPr>
            <w:r w:rsidRPr="004B40E1">
              <w:rPr>
                <w:rFonts w:cs="Calibri"/>
                <w:b/>
                <w:bCs/>
                <w:color w:val="000000"/>
                <w:szCs w:val="20"/>
              </w:rPr>
              <w:t>1,686</w:t>
            </w:r>
          </w:p>
        </w:tc>
      </w:tr>
      <w:tr w:rsidR="00CF0E2D" w:rsidRPr="00D60558" w14:paraId="3A780027" w14:textId="77777777" w:rsidTr="00A60D4B">
        <w:trPr>
          <w:gridAfter w:val="1"/>
          <w:wAfter w:w="9" w:type="dxa"/>
          <w:jc w:val="center"/>
        </w:trPr>
        <w:tc>
          <w:tcPr>
            <w:tcW w:w="3355" w:type="dxa"/>
            <w:tcBorders>
              <w:top w:val="nil"/>
              <w:left w:val="nil"/>
              <w:bottom w:val="nil"/>
              <w:right w:val="nil"/>
            </w:tcBorders>
          </w:tcPr>
          <w:p w14:paraId="7DDB2246" w14:textId="77777777" w:rsidR="00CF0E2D" w:rsidRPr="00251FAB" w:rsidRDefault="00CF0E2D" w:rsidP="00A60D4B">
            <w:pPr>
              <w:pStyle w:val="Btabletextunbold"/>
              <w:rPr>
                <w:szCs w:val="20"/>
              </w:rPr>
            </w:pPr>
            <w:r>
              <w:rPr>
                <w:rFonts w:cs="Calibri"/>
                <w:color w:val="000000"/>
                <w:szCs w:val="20"/>
              </w:rPr>
              <w:t>–</w:t>
            </w:r>
            <w:r w:rsidRPr="00251FAB">
              <w:rPr>
                <w:rFonts w:cs="Calibri"/>
                <w:color w:val="000000"/>
                <w:szCs w:val="20"/>
              </w:rPr>
              <w:t xml:space="preserve"> Vehicle replacement program </w:t>
            </w:r>
          </w:p>
        </w:tc>
        <w:tc>
          <w:tcPr>
            <w:tcW w:w="1093" w:type="dxa"/>
            <w:tcBorders>
              <w:top w:val="nil"/>
              <w:left w:val="nil"/>
              <w:bottom w:val="nil"/>
              <w:right w:val="nil"/>
            </w:tcBorders>
          </w:tcPr>
          <w:p w14:paraId="5ABEDAA1" w14:textId="77777777" w:rsidR="00CF0E2D" w:rsidRPr="00251FAB" w:rsidRDefault="00CF0E2D" w:rsidP="00A60D4B">
            <w:pPr>
              <w:pStyle w:val="Btablefigureunbold"/>
              <w:ind w:left="0" w:firstLine="0"/>
              <w:jc w:val="left"/>
              <w:rPr>
                <w:rFonts w:cs="Calibri"/>
                <w:color w:val="000000"/>
                <w:szCs w:val="20"/>
              </w:rPr>
            </w:pPr>
            <w:r w:rsidRPr="00251FAB">
              <w:rPr>
                <w:rFonts w:cs="Calibri"/>
                <w:color w:val="000000"/>
                <w:szCs w:val="20"/>
              </w:rPr>
              <w:t>Net capital</w:t>
            </w:r>
          </w:p>
        </w:tc>
        <w:tc>
          <w:tcPr>
            <w:tcW w:w="964" w:type="dxa"/>
            <w:gridSpan w:val="2"/>
            <w:tcBorders>
              <w:top w:val="nil"/>
              <w:left w:val="nil"/>
              <w:bottom w:val="nil"/>
              <w:right w:val="nil"/>
            </w:tcBorders>
          </w:tcPr>
          <w:p w14:paraId="66D62E6C" w14:textId="77777777" w:rsidR="00CF0E2D" w:rsidRPr="004B40E1" w:rsidRDefault="00CF0E2D" w:rsidP="00A60D4B">
            <w:pPr>
              <w:pStyle w:val="Btablefigureunbold"/>
              <w:rPr>
                <w:szCs w:val="20"/>
              </w:rPr>
            </w:pPr>
            <w:r w:rsidRPr="004B40E1">
              <w:rPr>
                <w:rFonts w:cs="Calibri"/>
                <w:color w:val="000000"/>
                <w:szCs w:val="20"/>
              </w:rPr>
              <w:t>152</w:t>
            </w:r>
          </w:p>
        </w:tc>
        <w:tc>
          <w:tcPr>
            <w:tcW w:w="964" w:type="dxa"/>
            <w:gridSpan w:val="2"/>
            <w:tcBorders>
              <w:top w:val="nil"/>
              <w:left w:val="nil"/>
              <w:bottom w:val="nil"/>
              <w:right w:val="nil"/>
            </w:tcBorders>
          </w:tcPr>
          <w:p w14:paraId="41BFE091" w14:textId="77777777" w:rsidR="00CF0E2D" w:rsidRPr="004B40E1" w:rsidRDefault="00CF0E2D" w:rsidP="00A60D4B">
            <w:pPr>
              <w:pStyle w:val="Btablefigureunbold"/>
              <w:rPr>
                <w:szCs w:val="20"/>
              </w:rPr>
            </w:pPr>
            <w:r w:rsidRPr="004B40E1">
              <w:rPr>
                <w:rFonts w:cs="Calibri"/>
                <w:color w:val="000000"/>
                <w:szCs w:val="20"/>
              </w:rPr>
              <w:t>5,332</w:t>
            </w:r>
          </w:p>
        </w:tc>
        <w:tc>
          <w:tcPr>
            <w:tcW w:w="964" w:type="dxa"/>
            <w:gridSpan w:val="2"/>
            <w:tcBorders>
              <w:top w:val="nil"/>
              <w:left w:val="nil"/>
              <w:bottom w:val="nil"/>
              <w:right w:val="nil"/>
            </w:tcBorders>
          </w:tcPr>
          <w:p w14:paraId="7916F3C3" w14:textId="77777777" w:rsidR="00CF0E2D" w:rsidRPr="004B40E1" w:rsidRDefault="00CF0E2D" w:rsidP="00A60D4B">
            <w:pPr>
              <w:pStyle w:val="Btablefigureunbold"/>
              <w:rPr>
                <w:szCs w:val="20"/>
              </w:rPr>
            </w:pPr>
            <w:r w:rsidRPr="004B40E1">
              <w:rPr>
                <w:rFonts w:cs="Calibri"/>
                <w:color w:val="000000"/>
                <w:szCs w:val="20"/>
              </w:rPr>
              <w:t>4,767</w:t>
            </w:r>
          </w:p>
        </w:tc>
        <w:tc>
          <w:tcPr>
            <w:tcW w:w="964" w:type="dxa"/>
            <w:gridSpan w:val="2"/>
            <w:tcBorders>
              <w:top w:val="nil"/>
              <w:left w:val="nil"/>
              <w:bottom w:val="nil"/>
              <w:right w:val="nil"/>
            </w:tcBorders>
          </w:tcPr>
          <w:p w14:paraId="00927EEC" w14:textId="77777777" w:rsidR="00CF0E2D" w:rsidRPr="004B40E1" w:rsidRDefault="00CF0E2D" w:rsidP="00A60D4B">
            <w:pPr>
              <w:pStyle w:val="Btablefigureunbold"/>
              <w:rPr>
                <w:szCs w:val="20"/>
              </w:rPr>
            </w:pPr>
            <w:r w:rsidRPr="004B40E1">
              <w:rPr>
                <w:rFonts w:cs="Calibri"/>
                <w:color w:val="000000"/>
                <w:szCs w:val="20"/>
              </w:rPr>
              <w:t>3,204</w:t>
            </w:r>
          </w:p>
        </w:tc>
        <w:tc>
          <w:tcPr>
            <w:tcW w:w="954" w:type="dxa"/>
            <w:gridSpan w:val="2"/>
            <w:tcBorders>
              <w:top w:val="nil"/>
              <w:left w:val="nil"/>
              <w:bottom w:val="nil"/>
              <w:right w:val="nil"/>
            </w:tcBorders>
          </w:tcPr>
          <w:p w14:paraId="0F1BD99C" w14:textId="77777777" w:rsidR="00CF0E2D" w:rsidRPr="004B40E1" w:rsidRDefault="00CF0E2D" w:rsidP="00A60D4B">
            <w:pPr>
              <w:pStyle w:val="Btablefigureunbold"/>
              <w:rPr>
                <w:b/>
                <w:bCs/>
                <w:szCs w:val="20"/>
              </w:rPr>
            </w:pPr>
            <w:r w:rsidRPr="004B40E1">
              <w:rPr>
                <w:rFonts w:cs="Calibri"/>
                <w:b/>
                <w:bCs/>
                <w:color w:val="000000"/>
                <w:szCs w:val="20"/>
              </w:rPr>
              <w:t>13,455</w:t>
            </w:r>
          </w:p>
        </w:tc>
      </w:tr>
      <w:tr w:rsidR="00CF0E2D" w:rsidRPr="00D60558" w14:paraId="3F3A9908" w14:textId="77777777" w:rsidTr="00A60D4B">
        <w:trPr>
          <w:gridAfter w:val="1"/>
          <w:wAfter w:w="9" w:type="dxa"/>
          <w:jc w:val="center"/>
        </w:trPr>
        <w:tc>
          <w:tcPr>
            <w:tcW w:w="3355" w:type="dxa"/>
            <w:tcBorders>
              <w:top w:val="nil"/>
              <w:left w:val="nil"/>
              <w:bottom w:val="nil"/>
              <w:right w:val="nil"/>
            </w:tcBorders>
          </w:tcPr>
          <w:p w14:paraId="28AAAC47" w14:textId="77777777" w:rsidR="00CF0E2D" w:rsidRPr="00251FAB" w:rsidRDefault="00CF0E2D" w:rsidP="00A60D4B">
            <w:pPr>
              <w:pStyle w:val="Btabletextunbold"/>
              <w:rPr>
                <w:szCs w:val="20"/>
              </w:rPr>
            </w:pPr>
            <w:r>
              <w:rPr>
                <w:rFonts w:cs="Calibri"/>
                <w:color w:val="000000"/>
                <w:szCs w:val="20"/>
              </w:rPr>
              <w:t>–</w:t>
            </w:r>
            <w:r w:rsidRPr="00251FAB">
              <w:rPr>
                <w:rFonts w:cs="Calibri"/>
                <w:color w:val="000000"/>
                <w:szCs w:val="20"/>
              </w:rPr>
              <w:t xml:space="preserve"> Vehicle replacement program </w:t>
            </w:r>
          </w:p>
        </w:tc>
        <w:tc>
          <w:tcPr>
            <w:tcW w:w="1093" w:type="dxa"/>
            <w:tcBorders>
              <w:top w:val="nil"/>
              <w:left w:val="nil"/>
              <w:bottom w:val="nil"/>
              <w:right w:val="nil"/>
            </w:tcBorders>
          </w:tcPr>
          <w:p w14:paraId="369FE255" w14:textId="77777777" w:rsidR="00CF0E2D" w:rsidRPr="00251FAB" w:rsidRDefault="00CF0E2D" w:rsidP="00A60D4B">
            <w:pPr>
              <w:pStyle w:val="Btablefigureunbold"/>
              <w:ind w:left="0" w:firstLine="0"/>
              <w:jc w:val="left"/>
              <w:rPr>
                <w:rFonts w:cs="Calibri"/>
                <w:color w:val="000000"/>
                <w:szCs w:val="20"/>
              </w:rPr>
            </w:pPr>
            <w:r w:rsidRPr="00060682">
              <w:rPr>
                <w:rFonts w:cs="Calibri"/>
                <w:color w:val="000000"/>
                <w:szCs w:val="20"/>
              </w:rPr>
              <w:t>Net cost</w:t>
            </w:r>
          </w:p>
        </w:tc>
        <w:tc>
          <w:tcPr>
            <w:tcW w:w="964" w:type="dxa"/>
            <w:gridSpan w:val="2"/>
            <w:tcBorders>
              <w:top w:val="nil"/>
              <w:left w:val="nil"/>
              <w:bottom w:val="nil"/>
              <w:right w:val="nil"/>
            </w:tcBorders>
          </w:tcPr>
          <w:p w14:paraId="2EBA95BF"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470F8313" w14:textId="77777777" w:rsidR="00CF0E2D" w:rsidRPr="004B40E1" w:rsidRDefault="00CF0E2D" w:rsidP="00A60D4B">
            <w:pPr>
              <w:pStyle w:val="Btablefigureunbold"/>
              <w:rPr>
                <w:szCs w:val="20"/>
              </w:rPr>
            </w:pPr>
            <w:r w:rsidRPr="004B40E1">
              <w:rPr>
                <w:rFonts w:cs="Calibri"/>
                <w:color w:val="000000"/>
                <w:szCs w:val="20"/>
              </w:rPr>
              <w:t>86</w:t>
            </w:r>
          </w:p>
        </w:tc>
        <w:tc>
          <w:tcPr>
            <w:tcW w:w="964" w:type="dxa"/>
            <w:gridSpan w:val="2"/>
            <w:tcBorders>
              <w:top w:val="nil"/>
              <w:left w:val="nil"/>
              <w:bottom w:val="nil"/>
              <w:right w:val="nil"/>
            </w:tcBorders>
          </w:tcPr>
          <w:p w14:paraId="39243CB4" w14:textId="77777777" w:rsidR="00CF0E2D" w:rsidRPr="004B40E1" w:rsidRDefault="00CF0E2D" w:rsidP="00A60D4B">
            <w:pPr>
              <w:pStyle w:val="Btablefigureunbold"/>
              <w:rPr>
                <w:szCs w:val="20"/>
              </w:rPr>
            </w:pPr>
            <w:r w:rsidRPr="004B40E1">
              <w:rPr>
                <w:rFonts w:cs="Calibri"/>
                <w:color w:val="000000"/>
                <w:szCs w:val="20"/>
              </w:rPr>
              <w:t>411</w:t>
            </w:r>
          </w:p>
        </w:tc>
        <w:tc>
          <w:tcPr>
            <w:tcW w:w="964" w:type="dxa"/>
            <w:gridSpan w:val="2"/>
            <w:tcBorders>
              <w:top w:val="nil"/>
              <w:left w:val="nil"/>
              <w:bottom w:val="nil"/>
              <w:right w:val="nil"/>
            </w:tcBorders>
          </w:tcPr>
          <w:p w14:paraId="3E39A633" w14:textId="77777777" w:rsidR="00CF0E2D" w:rsidRPr="004B40E1" w:rsidRDefault="00CF0E2D" w:rsidP="00A60D4B">
            <w:pPr>
              <w:pStyle w:val="Btablefigureunbold"/>
              <w:rPr>
                <w:szCs w:val="20"/>
              </w:rPr>
            </w:pPr>
            <w:r w:rsidRPr="004B40E1">
              <w:rPr>
                <w:rFonts w:cs="Calibri"/>
                <w:color w:val="000000"/>
                <w:szCs w:val="20"/>
              </w:rPr>
              <w:t>679</w:t>
            </w:r>
          </w:p>
        </w:tc>
        <w:tc>
          <w:tcPr>
            <w:tcW w:w="954" w:type="dxa"/>
            <w:gridSpan w:val="2"/>
            <w:tcBorders>
              <w:top w:val="nil"/>
              <w:left w:val="nil"/>
              <w:bottom w:val="nil"/>
              <w:right w:val="nil"/>
            </w:tcBorders>
          </w:tcPr>
          <w:p w14:paraId="44A9C014" w14:textId="77777777" w:rsidR="00CF0E2D" w:rsidRPr="004B40E1" w:rsidRDefault="00CF0E2D" w:rsidP="00A60D4B">
            <w:pPr>
              <w:pStyle w:val="Btablefigureunbold"/>
              <w:rPr>
                <w:b/>
                <w:bCs/>
                <w:szCs w:val="20"/>
              </w:rPr>
            </w:pPr>
            <w:r w:rsidRPr="004B40E1">
              <w:rPr>
                <w:rFonts w:cs="Calibri"/>
                <w:b/>
                <w:bCs/>
                <w:color w:val="000000"/>
                <w:szCs w:val="20"/>
              </w:rPr>
              <w:t>1,176</w:t>
            </w:r>
          </w:p>
        </w:tc>
      </w:tr>
      <w:tr w:rsidR="00CF0E2D" w:rsidRPr="00D60558" w14:paraId="0A19F09C" w14:textId="77777777" w:rsidTr="00A60D4B">
        <w:trPr>
          <w:gridAfter w:val="1"/>
          <w:wAfter w:w="9" w:type="dxa"/>
          <w:trHeight w:val="340"/>
          <w:jc w:val="center"/>
        </w:trPr>
        <w:tc>
          <w:tcPr>
            <w:tcW w:w="3355" w:type="dxa"/>
            <w:tcBorders>
              <w:top w:val="nil"/>
              <w:left w:val="nil"/>
              <w:bottom w:val="nil"/>
              <w:right w:val="nil"/>
            </w:tcBorders>
            <w:vAlign w:val="bottom"/>
          </w:tcPr>
          <w:p w14:paraId="460D929C" w14:textId="77777777" w:rsidR="00CF0E2D" w:rsidRPr="00C05488" w:rsidRDefault="00CF0E2D" w:rsidP="00A60D4B">
            <w:pPr>
              <w:pStyle w:val="Btabletextunbold"/>
              <w:rPr>
                <w:b/>
                <w:bCs/>
                <w:szCs w:val="20"/>
              </w:rPr>
            </w:pPr>
            <w:r w:rsidRPr="00C05488">
              <w:rPr>
                <w:b/>
                <w:bCs/>
                <w:szCs w:val="20"/>
              </w:rPr>
              <w:t xml:space="preserve">Major Projects Canberra </w:t>
            </w:r>
          </w:p>
        </w:tc>
        <w:tc>
          <w:tcPr>
            <w:tcW w:w="1093" w:type="dxa"/>
            <w:tcBorders>
              <w:top w:val="nil"/>
              <w:left w:val="nil"/>
              <w:bottom w:val="nil"/>
              <w:right w:val="nil"/>
            </w:tcBorders>
          </w:tcPr>
          <w:p w14:paraId="11BE482F" w14:textId="77777777" w:rsidR="00CF0E2D" w:rsidRPr="00D60558"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4BE400ED" w14:textId="77777777" w:rsidR="00CF0E2D" w:rsidRPr="004B40E1" w:rsidRDefault="00CF0E2D" w:rsidP="00A60D4B">
            <w:pPr>
              <w:pStyle w:val="Btablefigureunbold"/>
              <w:rPr>
                <w:szCs w:val="20"/>
              </w:rPr>
            </w:pPr>
          </w:p>
        </w:tc>
        <w:tc>
          <w:tcPr>
            <w:tcW w:w="964" w:type="dxa"/>
            <w:gridSpan w:val="2"/>
            <w:tcBorders>
              <w:top w:val="nil"/>
              <w:left w:val="nil"/>
              <w:bottom w:val="nil"/>
              <w:right w:val="nil"/>
            </w:tcBorders>
          </w:tcPr>
          <w:p w14:paraId="05045360" w14:textId="77777777" w:rsidR="00CF0E2D" w:rsidRPr="004B40E1" w:rsidRDefault="00CF0E2D" w:rsidP="00A60D4B">
            <w:pPr>
              <w:pStyle w:val="Btablefigureunbold"/>
              <w:rPr>
                <w:szCs w:val="20"/>
              </w:rPr>
            </w:pPr>
          </w:p>
        </w:tc>
        <w:tc>
          <w:tcPr>
            <w:tcW w:w="964" w:type="dxa"/>
            <w:gridSpan w:val="2"/>
            <w:tcBorders>
              <w:top w:val="nil"/>
              <w:left w:val="nil"/>
              <w:bottom w:val="nil"/>
              <w:right w:val="nil"/>
            </w:tcBorders>
          </w:tcPr>
          <w:p w14:paraId="11FF4419" w14:textId="77777777" w:rsidR="00CF0E2D" w:rsidRPr="004B40E1" w:rsidRDefault="00CF0E2D" w:rsidP="00A60D4B">
            <w:pPr>
              <w:pStyle w:val="Btablefigureunbold"/>
              <w:rPr>
                <w:szCs w:val="20"/>
              </w:rPr>
            </w:pPr>
          </w:p>
        </w:tc>
        <w:tc>
          <w:tcPr>
            <w:tcW w:w="964" w:type="dxa"/>
            <w:gridSpan w:val="2"/>
            <w:tcBorders>
              <w:top w:val="nil"/>
              <w:left w:val="nil"/>
              <w:bottom w:val="nil"/>
              <w:right w:val="nil"/>
            </w:tcBorders>
          </w:tcPr>
          <w:p w14:paraId="08E42BBB" w14:textId="77777777" w:rsidR="00CF0E2D" w:rsidRPr="004B40E1" w:rsidRDefault="00CF0E2D" w:rsidP="00A60D4B">
            <w:pPr>
              <w:pStyle w:val="Btablefigureunbold"/>
              <w:rPr>
                <w:szCs w:val="20"/>
              </w:rPr>
            </w:pPr>
          </w:p>
        </w:tc>
        <w:tc>
          <w:tcPr>
            <w:tcW w:w="954" w:type="dxa"/>
            <w:gridSpan w:val="2"/>
            <w:tcBorders>
              <w:top w:val="nil"/>
              <w:left w:val="nil"/>
              <w:bottom w:val="nil"/>
              <w:right w:val="nil"/>
            </w:tcBorders>
          </w:tcPr>
          <w:p w14:paraId="346E64B3" w14:textId="77777777" w:rsidR="00CF0E2D" w:rsidRPr="004B40E1" w:rsidRDefault="00CF0E2D" w:rsidP="00A60D4B">
            <w:pPr>
              <w:pStyle w:val="Btablefigureunbold"/>
              <w:rPr>
                <w:b/>
                <w:bCs/>
                <w:szCs w:val="20"/>
              </w:rPr>
            </w:pPr>
          </w:p>
        </w:tc>
      </w:tr>
      <w:tr w:rsidR="00CF0E2D" w:rsidRPr="00D60558" w14:paraId="4830AD48" w14:textId="77777777" w:rsidTr="00A60D4B">
        <w:trPr>
          <w:gridAfter w:val="1"/>
          <w:wAfter w:w="9" w:type="dxa"/>
          <w:jc w:val="center"/>
        </w:trPr>
        <w:tc>
          <w:tcPr>
            <w:tcW w:w="3355" w:type="dxa"/>
            <w:tcBorders>
              <w:top w:val="nil"/>
              <w:left w:val="nil"/>
              <w:bottom w:val="nil"/>
              <w:right w:val="nil"/>
            </w:tcBorders>
          </w:tcPr>
          <w:p w14:paraId="20305263" w14:textId="77777777" w:rsidR="00CF0E2D" w:rsidRPr="00C05488" w:rsidRDefault="00CF0E2D" w:rsidP="00A60D4B">
            <w:pPr>
              <w:pStyle w:val="Btabletextunbold"/>
              <w:rPr>
                <w:szCs w:val="20"/>
              </w:rPr>
            </w:pPr>
            <w:r w:rsidRPr="00C05488">
              <w:rPr>
                <w:rFonts w:cs="Calibri"/>
                <w:color w:val="000000"/>
                <w:szCs w:val="20"/>
              </w:rPr>
              <w:t>Streamlining the funding of Major Projects Canberra</w:t>
            </w:r>
          </w:p>
        </w:tc>
        <w:tc>
          <w:tcPr>
            <w:tcW w:w="1093" w:type="dxa"/>
            <w:tcBorders>
              <w:top w:val="nil"/>
              <w:left w:val="nil"/>
              <w:bottom w:val="nil"/>
              <w:right w:val="nil"/>
            </w:tcBorders>
          </w:tcPr>
          <w:p w14:paraId="78D55EE7"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2CA6B3F0" w14:textId="77777777" w:rsidR="00CF0E2D" w:rsidRPr="004B40E1" w:rsidRDefault="00CF0E2D" w:rsidP="00A60D4B">
            <w:pPr>
              <w:pStyle w:val="Btablefigureunbold"/>
              <w:rPr>
                <w:szCs w:val="20"/>
              </w:rPr>
            </w:pPr>
            <w:r w:rsidRPr="004B40E1">
              <w:rPr>
                <w:rFonts w:cs="Calibri"/>
                <w:color w:val="000000"/>
                <w:szCs w:val="20"/>
              </w:rPr>
              <w:t>3,625</w:t>
            </w:r>
          </w:p>
        </w:tc>
        <w:tc>
          <w:tcPr>
            <w:tcW w:w="964" w:type="dxa"/>
            <w:gridSpan w:val="2"/>
            <w:tcBorders>
              <w:top w:val="nil"/>
              <w:left w:val="nil"/>
              <w:bottom w:val="nil"/>
              <w:right w:val="nil"/>
            </w:tcBorders>
          </w:tcPr>
          <w:p w14:paraId="1251C6F2" w14:textId="77777777" w:rsidR="00CF0E2D" w:rsidRPr="004B40E1" w:rsidRDefault="00CF0E2D" w:rsidP="00A60D4B">
            <w:pPr>
              <w:pStyle w:val="Btablefigureunbold"/>
              <w:rPr>
                <w:szCs w:val="20"/>
              </w:rPr>
            </w:pPr>
            <w:r w:rsidRPr="004B40E1">
              <w:rPr>
                <w:rFonts w:cs="Calibri"/>
                <w:color w:val="000000"/>
                <w:szCs w:val="20"/>
              </w:rPr>
              <w:t>3,690</w:t>
            </w:r>
          </w:p>
        </w:tc>
        <w:tc>
          <w:tcPr>
            <w:tcW w:w="964" w:type="dxa"/>
            <w:gridSpan w:val="2"/>
            <w:tcBorders>
              <w:top w:val="nil"/>
              <w:left w:val="nil"/>
              <w:bottom w:val="nil"/>
              <w:right w:val="nil"/>
            </w:tcBorders>
          </w:tcPr>
          <w:p w14:paraId="6649F3B3" w14:textId="77777777" w:rsidR="00CF0E2D" w:rsidRPr="004B40E1" w:rsidRDefault="00CF0E2D" w:rsidP="00A60D4B">
            <w:pPr>
              <w:pStyle w:val="Btablefigureunbold"/>
              <w:rPr>
                <w:szCs w:val="20"/>
              </w:rPr>
            </w:pPr>
            <w:r w:rsidRPr="004B40E1">
              <w:rPr>
                <w:rFonts w:cs="Calibri"/>
                <w:color w:val="000000"/>
                <w:szCs w:val="20"/>
              </w:rPr>
              <w:t>3,941</w:t>
            </w:r>
          </w:p>
        </w:tc>
        <w:tc>
          <w:tcPr>
            <w:tcW w:w="964" w:type="dxa"/>
            <w:gridSpan w:val="2"/>
            <w:tcBorders>
              <w:top w:val="nil"/>
              <w:left w:val="nil"/>
              <w:bottom w:val="nil"/>
              <w:right w:val="nil"/>
            </w:tcBorders>
          </w:tcPr>
          <w:p w14:paraId="3E17064D" w14:textId="77777777" w:rsidR="00CF0E2D" w:rsidRPr="004B40E1" w:rsidRDefault="00CF0E2D" w:rsidP="00A60D4B">
            <w:pPr>
              <w:pStyle w:val="Btablefigureunbold"/>
              <w:rPr>
                <w:szCs w:val="20"/>
              </w:rPr>
            </w:pPr>
            <w:r w:rsidRPr="004B40E1">
              <w:rPr>
                <w:rFonts w:cs="Calibri"/>
                <w:color w:val="000000"/>
                <w:szCs w:val="20"/>
              </w:rPr>
              <w:t>4,114</w:t>
            </w:r>
          </w:p>
        </w:tc>
        <w:tc>
          <w:tcPr>
            <w:tcW w:w="954" w:type="dxa"/>
            <w:gridSpan w:val="2"/>
            <w:tcBorders>
              <w:top w:val="nil"/>
              <w:left w:val="nil"/>
              <w:bottom w:val="nil"/>
              <w:right w:val="nil"/>
            </w:tcBorders>
          </w:tcPr>
          <w:p w14:paraId="14597D82" w14:textId="77777777" w:rsidR="00CF0E2D" w:rsidRPr="004B40E1" w:rsidRDefault="00CF0E2D" w:rsidP="00A60D4B">
            <w:pPr>
              <w:pStyle w:val="Btablefigureunbold"/>
              <w:rPr>
                <w:b/>
                <w:bCs/>
                <w:szCs w:val="20"/>
              </w:rPr>
            </w:pPr>
            <w:r w:rsidRPr="004B40E1">
              <w:rPr>
                <w:rFonts w:cs="Calibri"/>
                <w:b/>
                <w:bCs/>
                <w:color w:val="000000"/>
                <w:szCs w:val="20"/>
              </w:rPr>
              <w:t>15,370</w:t>
            </w:r>
          </w:p>
        </w:tc>
      </w:tr>
      <w:tr w:rsidR="00CF0E2D" w:rsidRPr="00D60558" w14:paraId="46B09267" w14:textId="77777777" w:rsidTr="00A60D4B">
        <w:trPr>
          <w:gridAfter w:val="1"/>
          <w:wAfter w:w="9" w:type="dxa"/>
          <w:jc w:val="center"/>
        </w:trPr>
        <w:tc>
          <w:tcPr>
            <w:tcW w:w="3355" w:type="dxa"/>
            <w:tcBorders>
              <w:top w:val="nil"/>
              <w:left w:val="nil"/>
              <w:bottom w:val="nil"/>
              <w:right w:val="nil"/>
            </w:tcBorders>
          </w:tcPr>
          <w:p w14:paraId="0E7480D2" w14:textId="77777777" w:rsidR="00CF0E2D" w:rsidRPr="00C05488" w:rsidRDefault="00CF0E2D" w:rsidP="00A60D4B">
            <w:pPr>
              <w:pStyle w:val="Btabletextunbold"/>
              <w:rPr>
                <w:szCs w:val="20"/>
              </w:rPr>
            </w:pPr>
            <w:r w:rsidRPr="00C05488">
              <w:rPr>
                <w:rFonts w:cs="Calibri"/>
                <w:color w:val="000000"/>
                <w:szCs w:val="20"/>
              </w:rPr>
              <w:t>Woden public transport stops and electric vehicle charging infrastructure</w:t>
            </w:r>
          </w:p>
        </w:tc>
        <w:tc>
          <w:tcPr>
            <w:tcW w:w="1093" w:type="dxa"/>
            <w:tcBorders>
              <w:top w:val="nil"/>
              <w:left w:val="nil"/>
              <w:bottom w:val="nil"/>
              <w:right w:val="nil"/>
            </w:tcBorders>
          </w:tcPr>
          <w:p w14:paraId="267EADB7"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64DB0C83" w14:textId="77777777" w:rsidR="00CF0E2D" w:rsidRPr="004B40E1" w:rsidRDefault="00CF0E2D" w:rsidP="00A60D4B">
            <w:pPr>
              <w:pStyle w:val="Btablefigureunbold"/>
              <w:rPr>
                <w:szCs w:val="20"/>
              </w:rPr>
            </w:pPr>
            <w:r w:rsidRPr="004B40E1">
              <w:rPr>
                <w:rFonts w:cs="Calibri"/>
                <w:color w:val="000000"/>
                <w:szCs w:val="20"/>
              </w:rPr>
              <w:t>-10,000</w:t>
            </w:r>
          </w:p>
        </w:tc>
        <w:tc>
          <w:tcPr>
            <w:tcW w:w="964" w:type="dxa"/>
            <w:gridSpan w:val="2"/>
            <w:tcBorders>
              <w:top w:val="nil"/>
              <w:left w:val="nil"/>
              <w:bottom w:val="nil"/>
              <w:right w:val="nil"/>
            </w:tcBorders>
          </w:tcPr>
          <w:p w14:paraId="427BDEEC" w14:textId="77777777" w:rsidR="00CF0E2D" w:rsidRPr="004B40E1" w:rsidRDefault="00CF0E2D" w:rsidP="00A60D4B">
            <w:pPr>
              <w:pStyle w:val="Btablefigureunbold"/>
              <w:rPr>
                <w:szCs w:val="20"/>
              </w:rPr>
            </w:pPr>
            <w:r w:rsidRPr="004B40E1">
              <w:rPr>
                <w:rFonts w:cs="Calibri"/>
                <w:color w:val="000000"/>
                <w:szCs w:val="20"/>
              </w:rPr>
              <w:t>10,000</w:t>
            </w:r>
          </w:p>
        </w:tc>
        <w:tc>
          <w:tcPr>
            <w:tcW w:w="964" w:type="dxa"/>
            <w:gridSpan w:val="2"/>
            <w:tcBorders>
              <w:top w:val="nil"/>
              <w:left w:val="nil"/>
              <w:bottom w:val="nil"/>
              <w:right w:val="nil"/>
            </w:tcBorders>
          </w:tcPr>
          <w:p w14:paraId="2523DBB4" w14:textId="77777777" w:rsidR="00CF0E2D" w:rsidRPr="004B40E1" w:rsidRDefault="00CF0E2D" w:rsidP="00A60D4B">
            <w:pPr>
              <w:pStyle w:val="Btablefigureunbold"/>
              <w:rPr>
                <w:szCs w:val="20"/>
              </w:rPr>
            </w:pPr>
            <w:r w:rsidRPr="004B40E1">
              <w:rPr>
                <w:rFonts w:cs="Calibri"/>
                <w:color w:val="000000"/>
                <w:szCs w:val="20"/>
              </w:rPr>
              <w:t>957</w:t>
            </w:r>
          </w:p>
        </w:tc>
        <w:tc>
          <w:tcPr>
            <w:tcW w:w="964" w:type="dxa"/>
            <w:gridSpan w:val="2"/>
            <w:tcBorders>
              <w:top w:val="nil"/>
              <w:left w:val="nil"/>
              <w:bottom w:val="nil"/>
              <w:right w:val="nil"/>
            </w:tcBorders>
          </w:tcPr>
          <w:p w14:paraId="6BB0454E" w14:textId="77777777" w:rsidR="00CF0E2D" w:rsidRPr="004B40E1" w:rsidRDefault="00CF0E2D" w:rsidP="00A60D4B">
            <w:pPr>
              <w:pStyle w:val="Btablefigureunbold"/>
              <w:rPr>
                <w:szCs w:val="20"/>
              </w:rPr>
            </w:pPr>
            <w:r w:rsidRPr="004B40E1">
              <w:rPr>
                <w:rFonts w:cs="Calibri"/>
                <w:color w:val="000000"/>
                <w:szCs w:val="20"/>
              </w:rPr>
              <w:t>0</w:t>
            </w:r>
          </w:p>
        </w:tc>
        <w:tc>
          <w:tcPr>
            <w:tcW w:w="954" w:type="dxa"/>
            <w:gridSpan w:val="2"/>
            <w:tcBorders>
              <w:top w:val="nil"/>
              <w:left w:val="nil"/>
              <w:bottom w:val="nil"/>
              <w:right w:val="nil"/>
            </w:tcBorders>
          </w:tcPr>
          <w:p w14:paraId="645FB506" w14:textId="77777777" w:rsidR="00CF0E2D" w:rsidRPr="004B40E1" w:rsidRDefault="00CF0E2D" w:rsidP="00A60D4B">
            <w:pPr>
              <w:pStyle w:val="Btablefigureunbold"/>
              <w:rPr>
                <w:b/>
                <w:bCs/>
                <w:szCs w:val="20"/>
              </w:rPr>
            </w:pPr>
            <w:r w:rsidRPr="004B40E1">
              <w:rPr>
                <w:rFonts w:cs="Calibri"/>
                <w:b/>
                <w:bCs/>
                <w:color w:val="000000"/>
                <w:szCs w:val="20"/>
              </w:rPr>
              <w:t>957</w:t>
            </w:r>
          </w:p>
        </w:tc>
      </w:tr>
      <w:tr w:rsidR="00CF0E2D" w:rsidRPr="00D60558" w14:paraId="28DF5BE3" w14:textId="77777777" w:rsidTr="00A60D4B">
        <w:trPr>
          <w:gridAfter w:val="1"/>
          <w:wAfter w:w="9" w:type="dxa"/>
          <w:jc w:val="center"/>
        </w:trPr>
        <w:tc>
          <w:tcPr>
            <w:tcW w:w="3355" w:type="dxa"/>
            <w:tcBorders>
              <w:top w:val="nil"/>
              <w:left w:val="nil"/>
              <w:bottom w:val="nil"/>
              <w:right w:val="nil"/>
            </w:tcBorders>
          </w:tcPr>
          <w:p w14:paraId="7EED507B" w14:textId="77777777" w:rsidR="00CF0E2D" w:rsidRPr="00C05488" w:rsidRDefault="00CF0E2D" w:rsidP="00A60D4B">
            <w:pPr>
              <w:pStyle w:val="Btabletextunbold"/>
              <w:rPr>
                <w:szCs w:val="20"/>
              </w:rPr>
            </w:pPr>
            <w:r w:rsidRPr="00C05488">
              <w:rPr>
                <w:rFonts w:cs="Calibri"/>
                <w:color w:val="000000"/>
                <w:szCs w:val="20"/>
              </w:rPr>
              <w:t>Woden public transport stops and electric vehicle charging infrastructure</w:t>
            </w:r>
          </w:p>
        </w:tc>
        <w:tc>
          <w:tcPr>
            <w:tcW w:w="1093" w:type="dxa"/>
            <w:tcBorders>
              <w:top w:val="nil"/>
              <w:left w:val="nil"/>
              <w:bottom w:val="nil"/>
              <w:right w:val="nil"/>
            </w:tcBorders>
          </w:tcPr>
          <w:p w14:paraId="7135816E"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2CB357D1" w14:textId="77777777" w:rsidR="00CF0E2D" w:rsidRPr="004B40E1" w:rsidRDefault="00CF0E2D" w:rsidP="00A60D4B">
            <w:pPr>
              <w:pStyle w:val="Btablefigureunbold"/>
              <w:rPr>
                <w:szCs w:val="20"/>
              </w:rPr>
            </w:pPr>
            <w:r w:rsidRPr="004B40E1">
              <w:rPr>
                <w:rFonts w:cs="Calibri"/>
                <w:color w:val="000000"/>
                <w:szCs w:val="20"/>
              </w:rPr>
              <w:t>0</w:t>
            </w:r>
          </w:p>
        </w:tc>
        <w:tc>
          <w:tcPr>
            <w:tcW w:w="964" w:type="dxa"/>
            <w:gridSpan w:val="2"/>
            <w:tcBorders>
              <w:top w:val="nil"/>
              <w:left w:val="nil"/>
              <w:bottom w:val="nil"/>
              <w:right w:val="nil"/>
            </w:tcBorders>
          </w:tcPr>
          <w:p w14:paraId="773CB454" w14:textId="77777777" w:rsidR="00CF0E2D" w:rsidRPr="004B40E1" w:rsidRDefault="00CF0E2D" w:rsidP="00A60D4B">
            <w:pPr>
              <w:pStyle w:val="Btablefigureunbold"/>
              <w:rPr>
                <w:szCs w:val="20"/>
              </w:rPr>
            </w:pPr>
            <w:r w:rsidRPr="004B40E1">
              <w:rPr>
                <w:rFonts w:cs="Calibri"/>
                <w:color w:val="000000"/>
                <w:szCs w:val="20"/>
              </w:rPr>
              <w:t>20</w:t>
            </w:r>
          </w:p>
        </w:tc>
        <w:tc>
          <w:tcPr>
            <w:tcW w:w="964" w:type="dxa"/>
            <w:gridSpan w:val="2"/>
            <w:tcBorders>
              <w:top w:val="nil"/>
              <w:left w:val="nil"/>
              <w:bottom w:val="nil"/>
              <w:right w:val="nil"/>
            </w:tcBorders>
          </w:tcPr>
          <w:p w14:paraId="6EDEFEB0" w14:textId="77777777" w:rsidR="00CF0E2D" w:rsidRPr="004B40E1" w:rsidRDefault="00CF0E2D" w:rsidP="00A60D4B">
            <w:pPr>
              <w:pStyle w:val="Btablefigureunbold"/>
              <w:rPr>
                <w:szCs w:val="20"/>
              </w:rPr>
            </w:pPr>
            <w:r w:rsidRPr="004B40E1">
              <w:rPr>
                <w:rFonts w:cs="Calibri"/>
                <w:color w:val="000000"/>
                <w:szCs w:val="20"/>
              </w:rPr>
              <w:t>240</w:t>
            </w:r>
          </w:p>
        </w:tc>
        <w:tc>
          <w:tcPr>
            <w:tcW w:w="964" w:type="dxa"/>
            <w:gridSpan w:val="2"/>
            <w:tcBorders>
              <w:top w:val="nil"/>
              <w:left w:val="nil"/>
              <w:bottom w:val="nil"/>
              <w:right w:val="nil"/>
            </w:tcBorders>
          </w:tcPr>
          <w:p w14:paraId="7BDD8FA8" w14:textId="77777777" w:rsidR="00CF0E2D" w:rsidRPr="004B40E1" w:rsidRDefault="00CF0E2D" w:rsidP="00A60D4B">
            <w:pPr>
              <w:pStyle w:val="Btablefigureunbold"/>
              <w:rPr>
                <w:szCs w:val="20"/>
              </w:rPr>
            </w:pPr>
            <w:r w:rsidRPr="004B40E1">
              <w:rPr>
                <w:rFonts w:cs="Calibri"/>
                <w:color w:val="000000"/>
                <w:szCs w:val="20"/>
              </w:rPr>
              <w:t>350</w:t>
            </w:r>
          </w:p>
        </w:tc>
        <w:tc>
          <w:tcPr>
            <w:tcW w:w="954" w:type="dxa"/>
            <w:gridSpan w:val="2"/>
            <w:tcBorders>
              <w:top w:val="nil"/>
              <w:left w:val="nil"/>
              <w:bottom w:val="nil"/>
              <w:right w:val="nil"/>
            </w:tcBorders>
          </w:tcPr>
          <w:p w14:paraId="7DDD2B9F" w14:textId="77777777" w:rsidR="00CF0E2D" w:rsidRPr="004B40E1" w:rsidRDefault="00CF0E2D" w:rsidP="00A60D4B">
            <w:pPr>
              <w:pStyle w:val="Btablefigureunbold"/>
              <w:rPr>
                <w:b/>
                <w:bCs/>
                <w:szCs w:val="20"/>
              </w:rPr>
            </w:pPr>
            <w:r w:rsidRPr="004B40E1">
              <w:rPr>
                <w:rFonts w:cs="Calibri"/>
                <w:b/>
                <w:bCs/>
                <w:color w:val="000000"/>
                <w:szCs w:val="20"/>
              </w:rPr>
              <w:t>610</w:t>
            </w:r>
          </w:p>
        </w:tc>
      </w:tr>
      <w:tr w:rsidR="00CF0E2D" w:rsidRPr="00D60558" w14:paraId="2AD28201" w14:textId="77777777" w:rsidTr="00465757">
        <w:trPr>
          <w:gridAfter w:val="1"/>
          <w:wAfter w:w="9" w:type="dxa"/>
          <w:trHeight w:val="340"/>
          <w:jc w:val="center"/>
        </w:trPr>
        <w:tc>
          <w:tcPr>
            <w:tcW w:w="3355" w:type="dxa"/>
            <w:tcBorders>
              <w:top w:val="nil"/>
              <w:left w:val="nil"/>
              <w:bottom w:val="nil"/>
              <w:right w:val="nil"/>
            </w:tcBorders>
            <w:vAlign w:val="bottom"/>
          </w:tcPr>
          <w:p w14:paraId="1BD4E750" w14:textId="77777777" w:rsidR="00CF0E2D" w:rsidRPr="00C05488" w:rsidRDefault="00CF0E2D" w:rsidP="00A60D4B">
            <w:pPr>
              <w:pStyle w:val="Btabletextunbold"/>
              <w:rPr>
                <w:b/>
                <w:bCs/>
                <w:szCs w:val="20"/>
              </w:rPr>
            </w:pPr>
            <w:r>
              <w:rPr>
                <w:b/>
                <w:bCs/>
                <w:szCs w:val="20"/>
              </w:rPr>
              <w:t>Public Trustee and Guardian</w:t>
            </w:r>
          </w:p>
        </w:tc>
        <w:tc>
          <w:tcPr>
            <w:tcW w:w="1093" w:type="dxa"/>
            <w:tcBorders>
              <w:top w:val="nil"/>
              <w:left w:val="nil"/>
              <w:bottom w:val="nil"/>
              <w:right w:val="nil"/>
            </w:tcBorders>
          </w:tcPr>
          <w:p w14:paraId="51BAA55A" w14:textId="77777777" w:rsidR="00CF0E2D" w:rsidRPr="00D60558"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00665DDE" w14:textId="77777777" w:rsidR="00CF0E2D" w:rsidRPr="004B40E1" w:rsidRDefault="00CF0E2D" w:rsidP="00A60D4B">
            <w:pPr>
              <w:pStyle w:val="Btablefigureunbold"/>
              <w:rPr>
                <w:szCs w:val="20"/>
              </w:rPr>
            </w:pPr>
          </w:p>
        </w:tc>
        <w:tc>
          <w:tcPr>
            <w:tcW w:w="964" w:type="dxa"/>
            <w:gridSpan w:val="2"/>
            <w:tcBorders>
              <w:top w:val="nil"/>
              <w:left w:val="nil"/>
              <w:bottom w:val="nil"/>
              <w:right w:val="nil"/>
            </w:tcBorders>
          </w:tcPr>
          <w:p w14:paraId="722BBDE6" w14:textId="77777777" w:rsidR="00CF0E2D" w:rsidRPr="004B40E1" w:rsidRDefault="00CF0E2D" w:rsidP="00A60D4B">
            <w:pPr>
              <w:pStyle w:val="Btablefigureunbold"/>
              <w:rPr>
                <w:szCs w:val="20"/>
              </w:rPr>
            </w:pPr>
          </w:p>
        </w:tc>
        <w:tc>
          <w:tcPr>
            <w:tcW w:w="964" w:type="dxa"/>
            <w:gridSpan w:val="2"/>
            <w:tcBorders>
              <w:top w:val="nil"/>
              <w:left w:val="nil"/>
              <w:bottom w:val="nil"/>
              <w:right w:val="nil"/>
            </w:tcBorders>
          </w:tcPr>
          <w:p w14:paraId="13211FDD" w14:textId="77777777" w:rsidR="00CF0E2D" w:rsidRPr="004B40E1" w:rsidRDefault="00CF0E2D" w:rsidP="00A60D4B">
            <w:pPr>
              <w:pStyle w:val="Btablefigureunbold"/>
              <w:rPr>
                <w:szCs w:val="20"/>
              </w:rPr>
            </w:pPr>
          </w:p>
        </w:tc>
        <w:tc>
          <w:tcPr>
            <w:tcW w:w="964" w:type="dxa"/>
            <w:gridSpan w:val="2"/>
            <w:tcBorders>
              <w:top w:val="nil"/>
              <w:left w:val="nil"/>
              <w:bottom w:val="nil"/>
              <w:right w:val="nil"/>
            </w:tcBorders>
          </w:tcPr>
          <w:p w14:paraId="78D01429" w14:textId="77777777" w:rsidR="00CF0E2D" w:rsidRPr="004B40E1" w:rsidRDefault="00CF0E2D" w:rsidP="00A60D4B">
            <w:pPr>
              <w:pStyle w:val="Btablefigureunbold"/>
              <w:rPr>
                <w:szCs w:val="20"/>
              </w:rPr>
            </w:pPr>
          </w:p>
        </w:tc>
        <w:tc>
          <w:tcPr>
            <w:tcW w:w="954" w:type="dxa"/>
            <w:gridSpan w:val="2"/>
            <w:tcBorders>
              <w:top w:val="nil"/>
              <w:left w:val="nil"/>
              <w:bottom w:val="nil"/>
              <w:right w:val="nil"/>
            </w:tcBorders>
          </w:tcPr>
          <w:p w14:paraId="61A24F8B" w14:textId="77777777" w:rsidR="00CF0E2D" w:rsidRPr="004B40E1" w:rsidRDefault="00CF0E2D" w:rsidP="00A60D4B">
            <w:pPr>
              <w:pStyle w:val="Btablefigureunbold"/>
              <w:rPr>
                <w:b/>
                <w:bCs/>
                <w:szCs w:val="20"/>
              </w:rPr>
            </w:pPr>
          </w:p>
        </w:tc>
      </w:tr>
      <w:tr w:rsidR="00CF0E2D" w:rsidRPr="00D60558" w14:paraId="7A24BF25" w14:textId="77777777" w:rsidTr="00A60D4B">
        <w:trPr>
          <w:gridAfter w:val="1"/>
          <w:wAfter w:w="9" w:type="dxa"/>
          <w:jc w:val="center"/>
        </w:trPr>
        <w:tc>
          <w:tcPr>
            <w:tcW w:w="3355" w:type="dxa"/>
            <w:tcBorders>
              <w:top w:val="nil"/>
              <w:left w:val="nil"/>
              <w:bottom w:val="nil"/>
              <w:right w:val="nil"/>
            </w:tcBorders>
          </w:tcPr>
          <w:p w14:paraId="68D23987" w14:textId="77777777" w:rsidR="00CF0E2D" w:rsidRPr="00D60558" w:rsidRDefault="00CF0E2D" w:rsidP="00A60D4B">
            <w:pPr>
              <w:pStyle w:val="Btabletextunbold"/>
              <w:rPr>
                <w:szCs w:val="20"/>
              </w:rPr>
            </w:pPr>
            <w:r w:rsidRPr="00C05488">
              <w:rPr>
                <w:szCs w:val="20"/>
              </w:rPr>
              <w:t>Supporting the Public Trustee and Guardian in caring for unclaimed deceased Canberrans</w:t>
            </w:r>
          </w:p>
        </w:tc>
        <w:tc>
          <w:tcPr>
            <w:tcW w:w="1093" w:type="dxa"/>
            <w:tcBorders>
              <w:top w:val="nil"/>
              <w:left w:val="nil"/>
              <w:bottom w:val="nil"/>
              <w:right w:val="nil"/>
            </w:tcBorders>
          </w:tcPr>
          <w:p w14:paraId="63F5CFB9"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682EEAAF" w14:textId="77777777" w:rsidR="00CF0E2D" w:rsidRPr="004B40E1" w:rsidRDefault="00CF0E2D" w:rsidP="00A60D4B">
            <w:pPr>
              <w:pStyle w:val="Btablefigureunbold"/>
              <w:rPr>
                <w:szCs w:val="20"/>
              </w:rPr>
            </w:pPr>
            <w:r w:rsidRPr="004B40E1">
              <w:rPr>
                <w:szCs w:val="20"/>
              </w:rPr>
              <w:t>0</w:t>
            </w:r>
          </w:p>
        </w:tc>
        <w:tc>
          <w:tcPr>
            <w:tcW w:w="964" w:type="dxa"/>
            <w:gridSpan w:val="2"/>
            <w:tcBorders>
              <w:top w:val="nil"/>
              <w:left w:val="nil"/>
              <w:bottom w:val="nil"/>
              <w:right w:val="nil"/>
            </w:tcBorders>
          </w:tcPr>
          <w:p w14:paraId="6AEE2CCA" w14:textId="77777777" w:rsidR="00CF0E2D" w:rsidRPr="004B40E1" w:rsidRDefault="00CF0E2D" w:rsidP="00A60D4B">
            <w:pPr>
              <w:pStyle w:val="Btablefigureunbold"/>
              <w:rPr>
                <w:szCs w:val="20"/>
              </w:rPr>
            </w:pPr>
            <w:r w:rsidRPr="004B40E1">
              <w:rPr>
                <w:szCs w:val="20"/>
              </w:rPr>
              <w:t>0</w:t>
            </w:r>
          </w:p>
        </w:tc>
        <w:tc>
          <w:tcPr>
            <w:tcW w:w="964" w:type="dxa"/>
            <w:gridSpan w:val="2"/>
            <w:tcBorders>
              <w:top w:val="nil"/>
              <w:left w:val="nil"/>
              <w:bottom w:val="nil"/>
              <w:right w:val="nil"/>
            </w:tcBorders>
          </w:tcPr>
          <w:p w14:paraId="4E392CD4" w14:textId="77777777" w:rsidR="00CF0E2D" w:rsidRPr="004B40E1" w:rsidRDefault="00CF0E2D" w:rsidP="00A60D4B">
            <w:pPr>
              <w:pStyle w:val="Btablefigureunbold"/>
              <w:rPr>
                <w:szCs w:val="20"/>
              </w:rPr>
            </w:pPr>
            <w:r w:rsidRPr="004B40E1">
              <w:rPr>
                <w:szCs w:val="20"/>
              </w:rPr>
              <w:t>0</w:t>
            </w:r>
          </w:p>
        </w:tc>
        <w:tc>
          <w:tcPr>
            <w:tcW w:w="964" w:type="dxa"/>
            <w:gridSpan w:val="2"/>
            <w:tcBorders>
              <w:top w:val="nil"/>
              <w:left w:val="nil"/>
              <w:bottom w:val="nil"/>
              <w:right w:val="nil"/>
            </w:tcBorders>
          </w:tcPr>
          <w:p w14:paraId="0279AD24" w14:textId="77777777" w:rsidR="00CF0E2D" w:rsidRPr="004B40E1" w:rsidRDefault="00CF0E2D" w:rsidP="00A60D4B">
            <w:pPr>
              <w:pStyle w:val="Btablefigureunbold"/>
              <w:rPr>
                <w:szCs w:val="20"/>
              </w:rPr>
            </w:pPr>
            <w:r w:rsidRPr="004B40E1">
              <w:rPr>
                <w:szCs w:val="20"/>
              </w:rPr>
              <w:t>0</w:t>
            </w:r>
          </w:p>
        </w:tc>
        <w:tc>
          <w:tcPr>
            <w:tcW w:w="954" w:type="dxa"/>
            <w:gridSpan w:val="2"/>
            <w:tcBorders>
              <w:top w:val="nil"/>
              <w:left w:val="nil"/>
              <w:bottom w:val="nil"/>
              <w:right w:val="nil"/>
            </w:tcBorders>
          </w:tcPr>
          <w:p w14:paraId="10F3F5AE" w14:textId="77777777" w:rsidR="00CF0E2D" w:rsidRPr="004B40E1" w:rsidRDefault="00CF0E2D" w:rsidP="00A60D4B">
            <w:pPr>
              <w:pStyle w:val="Btablefigureunbold"/>
              <w:rPr>
                <w:b/>
                <w:bCs/>
                <w:szCs w:val="20"/>
              </w:rPr>
            </w:pPr>
            <w:r w:rsidRPr="004B40E1">
              <w:rPr>
                <w:b/>
                <w:bCs/>
                <w:szCs w:val="20"/>
              </w:rPr>
              <w:t>0</w:t>
            </w:r>
          </w:p>
        </w:tc>
      </w:tr>
      <w:tr w:rsidR="00CF0E2D" w:rsidRPr="00D60558" w14:paraId="71C1E79C" w14:textId="77777777" w:rsidTr="00465757">
        <w:trPr>
          <w:gridAfter w:val="1"/>
          <w:wAfter w:w="9" w:type="dxa"/>
          <w:trHeight w:val="567"/>
          <w:jc w:val="center"/>
        </w:trPr>
        <w:tc>
          <w:tcPr>
            <w:tcW w:w="3355" w:type="dxa"/>
            <w:tcBorders>
              <w:top w:val="nil"/>
              <w:left w:val="nil"/>
              <w:bottom w:val="nil"/>
              <w:right w:val="nil"/>
            </w:tcBorders>
            <w:vAlign w:val="bottom"/>
          </w:tcPr>
          <w:p w14:paraId="6EC5E25A" w14:textId="77777777" w:rsidR="00CF0E2D" w:rsidRPr="00C05488" w:rsidRDefault="00CF0E2D" w:rsidP="00A60D4B">
            <w:pPr>
              <w:pStyle w:val="Btabletextunbold"/>
              <w:rPr>
                <w:b/>
                <w:bCs/>
                <w:szCs w:val="20"/>
              </w:rPr>
            </w:pPr>
            <w:r>
              <w:rPr>
                <w:b/>
                <w:bCs/>
                <w:szCs w:val="20"/>
              </w:rPr>
              <w:t>Transport and City Services Directorate</w:t>
            </w:r>
          </w:p>
        </w:tc>
        <w:tc>
          <w:tcPr>
            <w:tcW w:w="1093" w:type="dxa"/>
            <w:tcBorders>
              <w:top w:val="nil"/>
              <w:left w:val="nil"/>
              <w:bottom w:val="nil"/>
              <w:right w:val="nil"/>
            </w:tcBorders>
          </w:tcPr>
          <w:p w14:paraId="388996E6" w14:textId="77777777" w:rsidR="00CF0E2D" w:rsidRPr="00D60558"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116EC74E" w14:textId="77777777" w:rsidR="00CF0E2D" w:rsidRPr="004B40E1" w:rsidRDefault="00CF0E2D" w:rsidP="00A60D4B">
            <w:pPr>
              <w:pStyle w:val="Btablefigureunbold"/>
              <w:rPr>
                <w:szCs w:val="20"/>
              </w:rPr>
            </w:pPr>
          </w:p>
        </w:tc>
        <w:tc>
          <w:tcPr>
            <w:tcW w:w="964" w:type="dxa"/>
            <w:gridSpan w:val="2"/>
            <w:tcBorders>
              <w:top w:val="nil"/>
              <w:left w:val="nil"/>
              <w:bottom w:val="nil"/>
              <w:right w:val="nil"/>
            </w:tcBorders>
          </w:tcPr>
          <w:p w14:paraId="61E0B554" w14:textId="77777777" w:rsidR="00CF0E2D" w:rsidRPr="004B40E1" w:rsidRDefault="00CF0E2D" w:rsidP="00A60D4B">
            <w:pPr>
              <w:pStyle w:val="Btablefigureunbold"/>
              <w:rPr>
                <w:szCs w:val="20"/>
              </w:rPr>
            </w:pPr>
          </w:p>
        </w:tc>
        <w:tc>
          <w:tcPr>
            <w:tcW w:w="964" w:type="dxa"/>
            <w:gridSpan w:val="2"/>
            <w:tcBorders>
              <w:top w:val="nil"/>
              <w:left w:val="nil"/>
              <w:bottom w:val="nil"/>
              <w:right w:val="nil"/>
            </w:tcBorders>
          </w:tcPr>
          <w:p w14:paraId="049947FD" w14:textId="77777777" w:rsidR="00CF0E2D" w:rsidRPr="004B40E1" w:rsidRDefault="00CF0E2D" w:rsidP="00A60D4B">
            <w:pPr>
              <w:pStyle w:val="Btablefigureunbold"/>
              <w:rPr>
                <w:szCs w:val="20"/>
              </w:rPr>
            </w:pPr>
          </w:p>
        </w:tc>
        <w:tc>
          <w:tcPr>
            <w:tcW w:w="964" w:type="dxa"/>
            <w:gridSpan w:val="2"/>
            <w:tcBorders>
              <w:top w:val="nil"/>
              <w:left w:val="nil"/>
              <w:bottom w:val="nil"/>
              <w:right w:val="nil"/>
            </w:tcBorders>
          </w:tcPr>
          <w:p w14:paraId="076B5AAE" w14:textId="77777777" w:rsidR="00CF0E2D" w:rsidRPr="004B40E1" w:rsidRDefault="00CF0E2D" w:rsidP="00A60D4B">
            <w:pPr>
              <w:pStyle w:val="Btablefigureunbold"/>
              <w:rPr>
                <w:szCs w:val="20"/>
              </w:rPr>
            </w:pPr>
          </w:p>
        </w:tc>
        <w:tc>
          <w:tcPr>
            <w:tcW w:w="954" w:type="dxa"/>
            <w:gridSpan w:val="2"/>
            <w:tcBorders>
              <w:top w:val="nil"/>
              <w:left w:val="nil"/>
              <w:bottom w:val="nil"/>
              <w:right w:val="nil"/>
            </w:tcBorders>
          </w:tcPr>
          <w:p w14:paraId="3C82674E" w14:textId="77777777" w:rsidR="00CF0E2D" w:rsidRPr="004B40E1" w:rsidRDefault="00CF0E2D" w:rsidP="00A60D4B">
            <w:pPr>
              <w:pStyle w:val="Btablefigureunbold"/>
              <w:rPr>
                <w:b/>
                <w:bCs/>
                <w:szCs w:val="20"/>
              </w:rPr>
            </w:pPr>
          </w:p>
        </w:tc>
      </w:tr>
      <w:tr w:rsidR="00CF0E2D" w:rsidRPr="00D60558" w14:paraId="143B9BAE" w14:textId="77777777" w:rsidTr="00A60D4B">
        <w:trPr>
          <w:gridAfter w:val="1"/>
          <w:wAfter w:w="9" w:type="dxa"/>
          <w:jc w:val="center"/>
        </w:trPr>
        <w:tc>
          <w:tcPr>
            <w:tcW w:w="3355" w:type="dxa"/>
            <w:tcBorders>
              <w:top w:val="nil"/>
              <w:left w:val="nil"/>
              <w:bottom w:val="nil"/>
              <w:right w:val="nil"/>
            </w:tcBorders>
          </w:tcPr>
          <w:p w14:paraId="36DF486E" w14:textId="77777777" w:rsidR="00CF0E2D" w:rsidRPr="00D50D14" w:rsidRDefault="00CF0E2D" w:rsidP="00A60D4B">
            <w:pPr>
              <w:pStyle w:val="Btabletextunbold"/>
              <w:rPr>
                <w:rFonts w:cs="Calibri"/>
                <w:i/>
                <w:iCs/>
                <w:szCs w:val="20"/>
              </w:rPr>
            </w:pPr>
            <w:r w:rsidRPr="00D50D14">
              <w:rPr>
                <w:rFonts w:cs="Calibri"/>
                <w:i/>
                <w:iCs/>
                <w:szCs w:val="20"/>
              </w:rPr>
              <w:t>Better community infrastructure</w:t>
            </w:r>
          </w:p>
        </w:tc>
        <w:tc>
          <w:tcPr>
            <w:tcW w:w="1093" w:type="dxa"/>
            <w:tcBorders>
              <w:top w:val="nil"/>
              <w:left w:val="nil"/>
              <w:bottom w:val="nil"/>
              <w:right w:val="nil"/>
            </w:tcBorders>
          </w:tcPr>
          <w:p w14:paraId="2EEA6812" w14:textId="77777777" w:rsidR="00CF0E2D" w:rsidRPr="0044739F"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71A758A5" w14:textId="77777777" w:rsidR="00CF0E2D" w:rsidRPr="004B40E1" w:rsidRDefault="00CF0E2D" w:rsidP="00A60D4B">
            <w:pPr>
              <w:pStyle w:val="Btablefigureunbold"/>
              <w:rPr>
                <w:szCs w:val="20"/>
              </w:rPr>
            </w:pPr>
          </w:p>
        </w:tc>
        <w:tc>
          <w:tcPr>
            <w:tcW w:w="964" w:type="dxa"/>
            <w:gridSpan w:val="2"/>
            <w:tcBorders>
              <w:top w:val="nil"/>
              <w:left w:val="nil"/>
              <w:bottom w:val="nil"/>
              <w:right w:val="nil"/>
            </w:tcBorders>
          </w:tcPr>
          <w:p w14:paraId="3C00B78A" w14:textId="77777777" w:rsidR="00CF0E2D" w:rsidRPr="004B40E1" w:rsidRDefault="00CF0E2D" w:rsidP="00A60D4B">
            <w:pPr>
              <w:pStyle w:val="Btablefigureunbold"/>
              <w:rPr>
                <w:szCs w:val="20"/>
              </w:rPr>
            </w:pPr>
          </w:p>
        </w:tc>
        <w:tc>
          <w:tcPr>
            <w:tcW w:w="964" w:type="dxa"/>
            <w:gridSpan w:val="2"/>
            <w:tcBorders>
              <w:top w:val="nil"/>
              <w:left w:val="nil"/>
              <w:bottom w:val="nil"/>
              <w:right w:val="nil"/>
            </w:tcBorders>
          </w:tcPr>
          <w:p w14:paraId="028DFDE1" w14:textId="77777777" w:rsidR="00CF0E2D" w:rsidRPr="004B40E1" w:rsidRDefault="00CF0E2D" w:rsidP="00A60D4B">
            <w:pPr>
              <w:pStyle w:val="Btablefigureunbold"/>
              <w:rPr>
                <w:szCs w:val="20"/>
              </w:rPr>
            </w:pPr>
          </w:p>
        </w:tc>
        <w:tc>
          <w:tcPr>
            <w:tcW w:w="964" w:type="dxa"/>
            <w:gridSpan w:val="2"/>
            <w:tcBorders>
              <w:top w:val="nil"/>
              <w:left w:val="nil"/>
              <w:bottom w:val="nil"/>
              <w:right w:val="nil"/>
            </w:tcBorders>
          </w:tcPr>
          <w:p w14:paraId="1C5164ED" w14:textId="77777777" w:rsidR="00CF0E2D" w:rsidRPr="004B40E1" w:rsidRDefault="00CF0E2D" w:rsidP="00A60D4B">
            <w:pPr>
              <w:pStyle w:val="Btablefigureunbold"/>
              <w:rPr>
                <w:szCs w:val="20"/>
              </w:rPr>
            </w:pPr>
          </w:p>
        </w:tc>
        <w:tc>
          <w:tcPr>
            <w:tcW w:w="954" w:type="dxa"/>
            <w:gridSpan w:val="2"/>
            <w:tcBorders>
              <w:top w:val="nil"/>
              <w:left w:val="nil"/>
              <w:bottom w:val="nil"/>
              <w:right w:val="nil"/>
            </w:tcBorders>
          </w:tcPr>
          <w:p w14:paraId="799996D0" w14:textId="77777777" w:rsidR="00CF0E2D" w:rsidRPr="004B40E1" w:rsidRDefault="00CF0E2D" w:rsidP="00A60D4B">
            <w:pPr>
              <w:pStyle w:val="Btablefigureunbold"/>
              <w:rPr>
                <w:b/>
                <w:bCs/>
                <w:szCs w:val="20"/>
              </w:rPr>
            </w:pPr>
          </w:p>
        </w:tc>
      </w:tr>
      <w:tr w:rsidR="00CF0E2D" w:rsidRPr="00D60558" w14:paraId="26CE935D" w14:textId="77777777" w:rsidTr="00A60D4B">
        <w:trPr>
          <w:gridAfter w:val="1"/>
          <w:wAfter w:w="9" w:type="dxa"/>
          <w:jc w:val="center"/>
        </w:trPr>
        <w:tc>
          <w:tcPr>
            <w:tcW w:w="3355" w:type="dxa"/>
            <w:tcBorders>
              <w:top w:val="nil"/>
              <w:left w:val="nil"/>
              <w:bottom w:val="nil"/>
              <w:right w:val="nil"/>
            </w:tcBorders>
          </w:tcPr>
          <w:p w14:paraId="4DD02E43"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Better local shops</w:t>
            </w:r>
          </w:p>
        </w:tc>
        <w:tc>
          <w:tcPr>
            <w:tcW w:w="1093" w:type="dxa"/>
            <w:tcBorders>
              <w:top w:val="nil"/>
              <w:left w:val="nil"/>
              <w:bottom w:val="nil"/>
              <w:right w:val="nil"/>
            </w:tcBorders>
          </w:tcPr>
          <w:p w14:paraId="468BA831" w14:textId="77777777" w:rsidR="00CF0E2D" w:rsidRPr="0044739F" w:rsidRDefault="00CF0E2D" w:rsidP="00A60D4B">
            <w:pPr>
              <w:pStyle w:val="Btablefigureunbold"/>
              <w:ind w:left="0" w:firstLine="0"/>
              <w:jc w:val="left"/>
              <w:rPr>
                <w:rFonts w:cs="Calibri"/>
                <w:color w:val="000000"/>
                <w:szCs w:val="20"/>
              </w:rPr>
            </w:pPr>
            <w:r w:rsidRPr="0044739F">
              <w:rPr>
                <w:rFonts w:cs="Calibri"/>
                <w:color w:val="000000"/>
                <w:szCs w:val="20"/>
              </w:rPr>
              <w:t>Net capital</w:t>
            </w:r>
          </w:p>
        </w:tc>
        <w:tc>
          <w:tcPr>
            <w:tcW w:w="964" w:type="dxa"/>
            <w:gridSpan w:val="2"/>
            <w:tcBorders>
              <w:top w:val="nil"/>
              <w:left w:val="nil"/>
              <w:bottom w:val="nil"/>
              <w:right w:val="nil"/>
            </w:tcBorders>
          </w:tcPr>
          <w:p w14:paraId="76C03032" w14:textId="77777777" w:rsidR="00CF0E2D" w:rsidRPr="004B40E1" w:rsidRDefault="00CF0E2D" w:rsidP="00A60D4B">
            <w:pPr>
              <w:pStyle w:val="Btablefigureunbold"/>
              <w:rPr>
                <w:szCs w:val="20"/>
              </w:rPr>
            </w:pPr>
            <w:r>
              <w:rPr>
                <w:szCs w:val="20"/>
              </w:rPr>
              <w:t>0</w:t>
            </w:r>
          </w:p>
        </w:tc>
        <w:tc>
          <w:tcPr>
            <w:tcW w:w="964" w:type="dxa"/>
            <w:gridSpan w:val="2"/>
            <w:tcBorders>
              <w:top w:val="nil"/>
              <w:left w:val="nil"/>
              <w:bottom w:val="nil"/>
              <w:right w:val="nil"/>
            </w:tcBorders>
          </w:tcPr>
          <w:p w14:paraId="4605EA8C" w14:textId="77777777" w:rsidR="00CF0E2D" w:rsidRPr="004B40E1" w:rsidRDefault="00CF0E2D" w:rsidP="00A60D4B">
            <w:pPr>
              <w:pStyle w:val="Btablefigureunbold"/>
              <w:rPr>
                <w:szCs w:val="20"/>
              </w:rPr>
            </w:pPr>
            <w:r>
              <w:rPr>
                <w:szCs w:val="20"/>
              </w:rPr>
              <w:t>0</w:t>
            </w:r>
          </w:p>
        </w:tc>
        <w:tc>
          <w:tcPr>
            <w:tcW w:w="964" w:type="dxa"/>
            <w:gridSpan w:val="2"/>
            <w:tcBorders>
              <w:top w:val="nil"/>
              <w:left w:val="nil"/>
              <w:bottom w:val="nil"/>
              <w:right w:val="nil"/>
            </w:tcBorders>
          </w:tcPr>
          <w:p w14:paraId="6C03C46A" w14:textId="77777777" w:rsidR="00CF0E2D" w:rsidRPr="004B40E1" w:rsidRDefault="00CF0E2D" w:rsidP="00A60D4B">
            <w:pPr>
              <w:pStyle w:val="Btablefigureunbold"/>
              <w:rPr>
                <w:szCs w:val="20"/>
              </w:rPr>
            </w:pPr>
            <w:r>
              <w:rPr>
                <w:szCs w:val="20"/>
              </w:rPr>
              <w:t>0</w:t>
            </w:r>
          </w:p>
        </w:tc>
        <w:tc>
          <w:tcPr>
            <w:tcW w:w="964" w:type="dxa"/>
            <w:gridSpan w:val="2"/>
            <w:tcBorders>
              <w:top w:val="nil"/>
              <w:left w:val="nil"/>
              <w:bottom w:val="nil"/>
              <w:right w:val="nil"/>
            </w:tcBorders>
          </w:tcPr>
          <w:p w14:paraId="67930241" w14:textId="77777777" w:rsidR="00CF0E2D" w:rsidRPr="004B40E1" w:rsidRDefault="00CF0E2D" w:rsidP="00A60D4B">
            <w:pPr>
              <w:pStyle w:val="Btablefigureunbold"/>
              <w:rPr>
                <w:szCs w:val="20"/>
              </w:rPr>
            </w:pPr>
            <w:r>
              <w:rPr>
                <w:szCs w:val="20"/>
              </w:rPr>
              <w:t>0</w:t>
            </w:r>
          </w:p>
        </w:tc>
        <w:tc>
          <w:tcPr>
            <w:tcW w:w="954" w:type="dxa"/>
            <w:gridSpan w:val="2"/>
            <w:tcBorders>
              <w:top w:val="nil"/>
              <w:left w:val="nil"/>
              <w:bottom w:val="nil"/>
              <w:right w:val="nil"/>
            </w:tcBorders>
          </w:tcPr>
          <w:p w14:paraId="0DCA5940" w14:textId="77777777" w:rsidR="00CF0E2D" w:rsidRPr="004B40E1" w:rsidRDefault="00CF0E2D" w:rsidP="00A60D4B">
            <w:pPr>
              <w:pStyle w:val="Btablefigureunbold"/>
              <w:rPr>
                <w:b/>
                <w:bCs/>
                <w:szCs w:val="20"/>
              </w:rPr>
            </w:pPr>
            <w:r>
              <w:rPr>
                <w:b/>
                <w:bCs/>
                <w:szCs w:val="20"/>
              </w:rPr>
              <w:t>0</w:t>
            </w:r>
          </w:p>
        </w:tc>
      </w:tr>
      <w:tr w:rsidR="00CF0E2D" w:rsidRPr="00D60558" w14:paraId="74D275A6" w14:textId="77777777" w:rsidTr="00A60D4B">
        <w:trPr>
          <w:gridAfter w:val="1"/>
          <w:wAfter w:w="9" w:type="dxa"/>
          <w:jc w:val="center"/>
        </w:trPr>
        <w:tc>
          <w:tcPr>
            <w:tcW w:w="3355" w:type="dxa"/>
            <w:tcBorders>
              <w:top w:val="nil"/>
              <w:left w:val="nil"/>
              <w:bottom w:val="nil"/>
              <w:right w:val="nil"/>
            </w:tcBorders>
          </w:tcPr>
          <w:p w14:paraId="5DF82994"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Better play spaces and dog parks</w:t>
            </w:r>
          </w:p>
        </w:tc>
        <w:tc>
          <w:tcPr>
            <w:tcW w:w="1093" w:type="dxa"/>
            <w:tcBorders>
              <w:top w:val="nil"/>
              <w:left w:val="nil"/>
              <w:bottom w:val="nil"/>
              <w:right w:val="nil"/>
            </w:tcBorders>
          </w:tcPr>
          <w:p w14:paraId="146007F5" w14:textId="77777777" w:rsidR="00CF0E2D" w:rsidRPr="0044739F" w:rsidRDefault="00CF0E2D" w:rsidP="00A60D4B">
            <w:pPr>
              <w:pStyle w:val="Btablefigureunbold"/>
              <w:ind w:left="0" w:firstLine="0"/>
              <w:jc w:val="left"/>
              <w:rPr>
                <w:rFonts w:cs="Calibri"/>
                <w:color w:val="000000"/>
                <w:szCs w:val="20"/>
              </w:rPr>
            </w:pPr>
            <w:r w:rsidRPr="0044739F">
              <w:rPr>
                <w:rFonts w:cs="Calibri"/>
                <w:color w:val="000000"/>
                <w:szCs w:val="20"/>
              </w:rPr>
              <w:t>Net capital</w:t>
            </w:r>
          </w:p>
        </w:tc>
        <w:tc>
          <w:tcPr>
            <w:tcW w:w="964" w:type="dxa"/>
            <w:gridSpan w:val="2"/>
            <w:tcBorders>
              <w:top w:val="nil"/>
              <w:left w:val="nil"/>
              <w:bottom w:val="nil"/>
              <w:right w:val="nil"/>
            </w:tcBorders>
          </w:tcPr>
          <w:p w14:paraId="431DF8C7" w14:textId="77777777" w:rsidR="00CF0E2D" w:rsidRPr="00D60558" w:rsidRDefault="00CF0E2D" w:rsidP="00A60D4B">
            <w:pPr>
              <w:pStyle w:val="Btablefigureunbold"/>
              <w:rPr>
                <w:szCs w:val="20"/>
              </w:rPr>
            </w:pPr>
            <w:r>
              <w:rPr>
                <w:szCs w:val="20"/>
              </w:rPr>
              <w:t>0</w:t>
            </w:r>
          </w:p>
        </w:tc>
        <w:tc>
          <w:tcPr>
            <w:tcW w:w="964" w:type="dxa"/>
            <w:gridSpan w:val="2"/>
            <w:tcBorders>
              <w:top w:val="nil"/>
              <w:left w:val="nil"/>
              <w:bottom w:val="nil"/>
              <w:right w:val="nil"/>
            </w:tcBorders>
          </w:tcPr>
          <w:p w14:paraId="6FDDBBAA" w14:textId="77777777" w:rsidR="00CF0E2D" w:rsidRPr="00D60558" w:rsidRDefault="00CF0E2D" w:rsidP="00A60D4B">
            <w:pPr>
              <w:pStyle w:val="Btablefigureunbold"/>
              <w:rPr>
                <w:szCs w:val="20"/>
              </w:rPr>
            </w:pPr>
            <w:r>
              <w:rPr>
                <w:szCs w:val="20"/>
              </w:rPr>
              <w:t>0</w:t>
            </w:r>
          </w:p>
        </w:tc>
        <w:tc>
          <w:tcPr>
            <w:tcW w:w="964" w:type="dxa"/>
            <w:gridSpan w:val="2"/>
            <w:tcBorders>
              <w:top w:val="nil"/>
              <w:left w:val="nil"/>
              <w:bottom w:val="nil"/>
              <w:right w:val="nil"/>
            </w:tcBorders>
          </w:tcPr>
          <w:p w14:paraId="28754CA4" w14:textId="77777777" w:rsidR="00CF0E2D" w:rsidRPr="00D60558" w:rsidRDefault="00CF0E2D" w:rsidP="00A60D4B">
            <w:pPr>
              <w:pStyle w:val="Btablefigureunbold"/>
              <w:rPr>
                <w:szCs w:val="20"/>
              </w:rPr>
            </w:pPr>
            <w:r>
              <w:rPr>
                <w:szCs w:val="20"/>
              </w:rPr>
              <w:t>0</w:t>
            </w:r>
          </w:p>
        </w:tc>
        <w:tc>
          <w:tcPr>
            <w:tcW w:w="964" w:type="dxa"/>
            <w:gridSpan w:val="2"/>
            <w:tcBorders>
              <w:top w:val="nil"/>
              <w:left w:val="nil"/>
              <w:bottom w:val="nil"/>
              <w:right w:val="nil"/>
            </w:tcBorders>
          </w:tcPr>
          <w:p w14:paraId="3709E800" w14:textId="77777777" w:rsidR="00CF0E2D" w:rsidRPr="00D60558" w:rsidRDefault="00CF0E2D" w:rsidP="00A60D4B">
            <w:pPr>
              <w:pStyle w:val="Btablefigureunbold"/>
              <w:rPr>
                <w:szCs w:val="20"/>
              </w:rPr>
            </w:pPr>
            <w:r>
              <w:rPr>
                <w:szCs w:val="20"/>
              </w:rPr>
              <w:t>0</w:t>
            </w:r>
          </w:p>
        </w:tc>
        <w:tc>
          <w:tcPr>
            <w:tcW w:w="954" w:type="dxa"/>
            <w:gridSpan w:val="2"/>
            <w:tcBorders>
              <w:top w:val="nil"/>
              <w:left w:val="nil"/>
              <w:bottom w:val="nil"/>
              <w:right w:val="nil"/>
            </w:tcBorders>
          </w:tcPr>
          <w:p w14:paraId="1216193A" w14:textId="77777777" w:rsidR="00CF0E2D" w:rsidRPr="00D60558" w:rsidRDefault="00CF0E2D" w:rsidP="00A60D4B">
            <w:pPr>
              <w:pStyle w:val="Btablefigureunbold"/>
              <w:rPr>
                <w:b/>
                <w:bCs/>
                <w:szCs w:val="20"/>
              </w:rPr>
            </w:pPr>
            <w:r>
              <w:rPr>
                <w:b/>
                <w:bCs/>
                <w:szCs w:val="20"/>
              </w:rPr>
              <w:t>0</w:t>
            </w:r>
          </w:p>
        </w:tc>
      </w:tr>
      <w:tr w:rsidR="00CF0E2D" w:rsidRPr="00D60558" w14:paraId="432FD708" w14:textId="77777777" w:rsidTr="00A60D4B">
        <w:trPr>
          <w:gridAfter w:val="1"/>
          <w:wAfter w:w="9" w:type="dxa"/>
          <w:jc w:val="center"/>
        </w:trPr>
        <w:tc>
          <w:tcPr>
            <w:tcW w:w="3355" w:type="dxa"/>
            <w:tcBorders>
              <w:top w:val="nil"/>
              <w:left w:val="nil"/>
              <w:bottom w:val="nil"/>
              <w:right w:val="nil"/>
            </w:tcBorders>
          </w:tcPr>
          <w:p w14:paraId="48F84842"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Improving local roads and community infrastructure</w:t>
            </w:r>
          </w:p>
        </w:tc>
        <w:tc>
          <w:tcPr>
            <w:tcW w:w="1093" w:type="dxa"/>
            <w:tcBorders>
              <w:top w:val="nil"/>
              <w:left w:val="nil"/>
              <w:bottom w:val="nil"/>
              <w:right w:val="nil"/>
            </w:tcBorders>
          </w:tcPr>
          <w:p w14:paraId="77F8D5A1" w14:textId="77777777" w:rsidR="00CF0E2D" w:rsidRPr="0044739F"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20287089" w14:textId="77777777" w:rsidR="00CF0E2D" w:rsidRPr="00D60558" w:rsidRDefault="00CF0E2D" w:rsidP="00A60D4B">
            <w:pPr>
              <w:pStyle w:val="Btablefigureunbold"/>
              <w:rPr>
                <w:szCs w:val="20"/>
              </w:rPr>
            </w:pPr>
            <w:r w:rsidRPr="004B40E1">
              <w:rPr>
                <w:szCs w:val="20"/>
              </w:rPr>
              <w:t>3,400</w:t>
            </w:r>
          </w:p>
        </w:tc>
        <w:tc>
          <w:tcPr>
            <w:tcW w:w="964" w:type="dxa"/>
            <w:gridSpan w:val="2"/>
            <w:tcBorders>
              <w:top w:val="nil"/>
              <w:left w:val="nil"/>
              <w:bottom w:val="nil"/>
              <w:right w:val="nil"/>
            </w:tcBorders>
          </w:tcPr>
          <w:p w14:paraId="4A71F2BD" w14:textId="77777777" w:rsidR="00CF0E2D" w:rsidRPr="00D60558" w:rsidRDefault="00CF0E2D" w:rsidP="00A60D4B">
            <w:pPr>
              <w:pStyle w:val="Btablefigureunbold"/>
              <w:rPr>
                <w:szCs w:val="20"/>
              </w:rPr>
            </w:pPr>
            <w:r w:rsidRPr="004B40E1">
              <w:rPr>
                <w:szCs w:val="20"/>
              </w:rPr>
              <w:t>12,540</w:t>
            </w:r>
          </w:p>
        </w:tc>
        <w:tc>
          <w:tcPr>
            <w:tcW w:w="964" w:type="dxa"/>
            <w:gridSpan w:val="2"/>
            <w:tcBorders>
              <w:top w:val="nil"/>
              <w:left w:val="nil"/>
              <w:bottom w:val="nil"/>
              <w:right w:val="nil"/>
            </w:tcBorders>
          </w:tcPr>
          <w:p w14:paraId="107A14A1" w14:textId="77777777" w:rsidR="00CF0E2D" w:rsidRPr="00D60558" w:rsidRDefault="00CF0E2D" w:rsidP="00A60D4B">
            <w:pPr>
              <w:pStyle w:val="Btablefigureunbold"/>
              <w:rPr>
                <w:szCs w:val="20"/>
              </w:rPr>
            </w:pPr>
            <w:r w:rsidRPr="004B40E1">
              <w:rPr>
                <w:szCs w:val="20"/>
              </w:rPr>
              <w:t>0</w:t>
            </w:r>
          </w:p>
        </w:tc>
        <w:tc>
          <w:tcPr>
            <w:tcW w:w="964" w:type="dxa"/>
            <w:gridSpan w:val="2"/>
            <w:tcBorders>
              <w:top w:val="nil"/>
              <w:left w:val="nil"/>
              <w:bottom w:val="nil"/>
              <w:right w:val="nil"/>
            </w:tcBorders>
          </w:tcPr>
          <w:p w14:paraId="36762168" w14:textId="77777777" w:rsidR="00CF0E2D" w:rsidRPr="00D60558" w:rsidRDefault="00CF0E2D" w:rsidP="00A60D4B">
            <w:pPr>
              <w:pStyle w:val="Btablefigureunbold"/>
              <w:rPr>
                <w:szCs w:val="20"/>
              </w:rPr>
            </w:pPr>
            <w:r w:rsidRPr="004B40E1">
              <w:rPr>
                <w:szCs w:val="20"/>
              </w:rPr>
              <w:t>0</w:t>
            </w:r>
          </w:p>
        </w:tc>
        <w:tc>
          <w:tcPr>
            <w:tcW w:w="954" w:type="dxa"/>
            <w:gridSpan w:val="2"/>
            <w:tcBorders>
              <w:top w:val="nil"/>
              <w:left w:val="nil"/>
              <w:bottom w:val="nil"/>
              <w:right w:val="nil"/>
            </w:tcBorders>
          </w:tcPr>
          <w:p w14:paraId="6CEC601B" w14:textId="77777777" w:rsidR="00CF0E2D" w:rsidRPr="004B40E1" w:rsidRDefault="00CF0E2D" w:rsidP="00A60D4B">
            <w:pPr>
              <w:pStyle w:val="Btablefigureunbold"/>
              <w:rPr>
                <w:b/>
                <w:bCs/>
                <w:szCs w:val="20"/>
              </w:rPr>
            </w:pPr>
            <w:r w:rsidRPr="004B40E1">
              <w:rPr>
                <w:b/>
                <w:bCs/>
                <w:szCs w:val="20"/>
              </w:rPr>
              <w:t>15,940</w:t>
            </w:r>
          </w:p>
        </w:tc>
      </w:tr>
      <w:tr w:rsidR="00CF0E2D" w:rsidRPr="00D60558" w14:paraId="3470E736" w14:textId="77777777" w:rsidTr="00A60D4B">
        <w:trPr>
          <w:gridAfter w:val="1"/>
          <w:wAfter w:w="9" w:type="dxa"/>
          <w:jc w:val="center"/>
        </w:trPr>
        <w:tc>
          <w:tcPr>
            <w:tcW w:w="3355" w:type="dxa"/>
            <w:tcBorders>
              <w:top w:val="nil"/>
              <w:left w:val="nil"/>
              <w:bottom w:val="nil"/>
              <w:right w:val="nil"/>
            </w:tcBorders>
          </w:tcPr>
          <w:p w14:paraId="1D59250D"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Improving local roads and community infrastructure</w:t>
            </w:r>
          </w:p>
        </w:tc>
        <w:tc>
          <w:tcPr>
            <w:tcW w:w="1093" w:type="dxa"/>
            <w:tcBorders>
              <w:top w:val="nil"/>
              <w:left w:val="nil"/>
              <w:bottom w:val="nil"/>
              <w:right w:val="nil"/>
            </w:tcBorders>
          </w:tcPr>
          <w:p w14:paraId="7FEF20B6" w14:textId="77777777" w:rsidR="00CF0E2D" w:rsidRPr="0044739F" w:rsidRDefault="00CF0E2D" w:rsidP="00A60D4B">
            <w:pPr>
              <w:pStyle w:val="Btablefigureunbold"/>
              <w:ind w:left="0" w:firstLine="0"/>
              <w:jc w:val="left"/>
              <w:rPr>
                <w:rFonts w:cs="Calibri"/>
                <w:color w:val="000000"/>
                <w:szCs w:val="20"/>
              </w:rPr>
            </w:pPr>
            <w:r w:rsidRPr="0044739F">
              <w:rPr>
                <w:rFonts w:cs="Calibri"/>
                <w:color w:val="000000"/>
                <w:szCs w:val="20"/>
              </w:rPr>
              <w:t>Net c</w:t>
            </w:r>
            <w:r>
              <w:rPr>
                <w:rFonts w:cs="Calibri"/>
                <w:color w:val="000000"/>
                <w:szCs w:val="20"/>
              </w:rPr>
              <w:t>ost</w:t>
            </w:r>
          </w:p>
        </w:tc>
        <w:tc>
          <w:tcPr>
            <w:tcW w:w="964" w:type="dxa"/>
            <w:gridSpan w:val="2"/>
            <w:tcBorders>
              <w:top w:val="nil"/>
              <w:left w:val="nil"/>
              <w:bottom w:val="nil"/>
              <w:right w:val="nil"/>
            </w:tcBorders>
          </w:tcPr>
          <w:p w14:paraId="13C6E0C7" w14:textId="77777777" w:rsidR="00CF0E2D" w:rsidRPr="00D60558" w:rsidRDefault="00CF0E2D" w:rsidP="00A60D4B">
            <w:pPr>
              <w:pStyle w:val="Btablefigureunbold"/>
              <w:rPr>
                <w:szCs w:val="20"/>
              </w:rPr>
            </w:pPr>
            <w:r w:rsidRPr="004B40E1">
              <w:rPr>
                <w:szCs w:val="20"/>
              </w:rPr>
              <w:t>0</w:t>
            </w:r>
          </w:p>
        </w:tc>
        <w:tc>
          <w:tcPr>
            <w:tcW w:w="964" w:type="dxa"/>
            <w:gridSpan w:val="2"/>
            <w:tcBorders>
              <w:top w:val="nil"/>
              <w:left w:val="nil"/>
              <w:bottom w:val="nil"/>
              <w:right w:val="nil"/>
            </w:tcBorders>
          </w:tcPr>
          <w:p w14:paraId="4FA9F31B" w14:textId="77777777" w:rsidR="00CF0E2D" w:rsidRPr="00D60558" w:rsidRDefault="00CF0E2D" w:rsidP="00A60D4B">
            <w:pPr>
              <w:pStyle w:val="Btablefigureunbold"/>
              <w:rPr>
                <w:szCs w:val="20"/>
              </w:rPr>
            </w:pPr>
            <w:r w:rsidRPr="004B40E1">
              <w:rPr>
                <w:szCs w:val="20"/>
              </w:rPr>
              <w:t>0</w:t>
            </w:r>
          </w:p>
        </w:tc>
        <w:tc>
          <w:tcPr>
            <w:tcW w:w="964" w:type="dxa"/>
            <w:gridSpan w:val="2"/>
            <w:tcBorders>
              <w:top w:val="nil"/>
              <w:left w:val="nil"/>
              <w:bottom w:val="nil"/>
              <w:right w:val="nil"/>
            </w:tcBorders>
          </w:tcPr>
          <w:p w14:paraId="45E03138" w14:textId="77777777" w:rsidR="00CF0E2D" w:rsidRPr="00D60558" w:rsidRDefault="00CF0E2D" w:rsidP="00A60D4B">
            <w:pPr>
              <w:pStyle w:val="Btablefigureunbold"/>
              <w:rPr>
                <w:szCs w:val="20"/>
              </w:rPr>
            </w:pPr>
            <w:r w:rsidRPr="004B40E1">
              <w:rPr>
                <w:szCs w:val="20"/>
              </w:rPr>
              <w:t>656</w:t>
            </w:r>
          </w:p>
        </w:tc>
        <w:tc>
          <w:tcPr>
            <w:tcW w:w="964" w:type="dxa"/>
            <w:gridSpan w:val="2"/>
            <w:tcBorders>
              <w:top w:val="nil"/>
              <w:left w:val="nil"/>
              <w:bottom w:val="nil"/>
              <w:right w:val="nil"/>
            </w:tcBorders>
          </w:tcPr>
          <w:p w14:paraId="44CD0616" w14:textId="77777777" w:rsidR="00CF0E2D" w:rsidRPr="00D60558" w:rsidRDefault="00CF0E2D" w:rsidP="00A60D4B">
            <w:pPr>
              <w:pStyle w:val="Btablefigureunbold"/>
              <w:rPr>
                <w:szCs w:val="20"/>
              </w:rPr>
            </w:pPr>
            <w:r w:rsidRPr="004B40E1">
              <w:rPr>
                <w:szCs w:val="20"/>
              </w:rPr>
              <w:t>815</w:t>
            </w:r>
          </w:p>
        </w:tc>
        <w:tc>
          <w:tcPr>
            <w:tcW w:w="954" w:type="dxa"/>
            <w:gridSpan w:val="2"/>
            <w:tcBorders>
              <w:top w:val="nil"/>
              <w:left w:val="nil"/>
              <w:bottom w:val="nil"/>
              <w:right w:val="nil"/>
            </w:tcBorders>
          </w:tcPr>
          <w:p w14:paraId="086F648B" w14:textId="77777777" w:rsidR="00CF0E2D" w:rsidRPr="004B40E1" w:rsidRDefault="00CF0E2D" w:rsidP="00A60D4B">
            <w:pPr>
              <w:pStyle w:val="Btablefigureunbold"/>
              <w:rPr>
                <w:b/>
                <w:bCs/>
                <w:szCs w:val="20"/>
              </w:rPr>
            </w:pPr>
            <w:r w:rsidRPr="004B40E1">
              <w:rPr>
                <w:b/>
                <w:bCs/>
                <w:szCs w:val="20"/>
              </w:rPr>
              <w:t>1</w:t>
            </w:r>
            <w:r>
              <w:rPr>
                <w:b/>
                <w:bCs/>
                <w:szCs w:val="20"/>
              </w:rPr>
              <w:t>,</w:t>
            </w:r>
            <w:r w:rsidRPr="004B40E1">
              <w:rPr>
                <w:b/>
                <w:bCs/>
                <w:szCs w:val="20"/>
              </w:rPr>
              <w:t>471</w:t>
            </w:r>
          </w:p>
        </w:tc>
      </w:tr>
      <w:tr w:rsidR="00CF0E2D" w:rsidRPr="00D60558" w14:paraId="1A329862" w14:textId="77777777" w:rsidTr="00A60D4B">
        <w:trPr>
          <w:gridAfter w:val="1"/>
          <w:wAfter w:w="9" w:type="dxa"/>
          <w:jc w:val="center"/>
        </w:trPr>
        <w:tc>
          <w:tcPr>
            <w:tcW w:w="3355" w:type="dxa"/>
            <w:tcBorders>
              <w:top w:val="nil"/>
              <w:left w:val="nil"/>
              <w:bottom w:val="nil"/>
              <w:right w:val="nil"/>
            </w:tcBorders>
          </w:tcPr>
          <w:p w14:paraId="6A62DDBA"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Improving sport and recreation facilities</w:t>
            </w:r>
          </w:p>
        </w:tc>
        <w:tc>
          <w:tcPr>
            <w:tcW w:w="1093" w:type="dxa"/>
            <w:tcBorders>
              <w:top w:val="nil"/>
              <w:left w:val="nil"/>
              <w:bottom w:val="nil"/>
              <w:right w:val="nil"/>
            </w:tcBorders>
          </w:tcPr>
          <w:p w14:paraId="6DE123FA" w14:textId="77777777" w:rsidR="00CF0E2D" w:rsidRPr="0044739F" w:rsidRDefault="00CF0E2D" w:rsidP="00A60D4B">
            <w:pPr>
              <w:pStyle w:val="Btablefigureunbold"/>
              <w:ind w:left="0" w:firstLine="0"/>
              <w:jc w:val="left"/>
              <w:rPr>
                <w:rFonts w:cs="Calibri"/>
                <w:color w:val="000000"/>
                <w:szCs w:val="20"/>
              </w:rPr>
            </w:pPr>
            <w:r w:rsidRPr="0044739F">
              <w:rPr>
                <w:rFonts w:cs="Calibri"/>
                <w:color w:val="000000"/>
                <w:szCs w:val="20"/>
              </w:rPr>
              <w:t>Net capital</w:t>
            </w:r>
          </w:p>
        </w:tc>
        <w:tc>
          <w:tcPr>
            <w:tcW w:w="964" w:type="dxa"/>
            <w:gridSpan w:val="2"/>
            <w:tcBorders>
              <w:top w:val="nil"/>
              <w:left w:val="nil"/>
              <w:bottom w:val="nil"/>
              <w:right w:val="nil"/>
            </w:tcBorders>
          </w:tcPr>
          <w:p w14:paraId="712E0DE0" w14:textId="77777777" w:rsidR="00CF0E2D" w:rsidRPr="00D60558" w:rsidRDefault="00CF0E2D" w:rsidP="00A60D4B">
            <w:pPr>
              <w:pStyle w:val="Btablefigureunbold"/>
              <w:rPr>
                <w:szCs w:val="20"/>
              </w:rPr>
            </w:pPr>
            <w:r w:rsidRPr="004B40E1">
              <w:rPr>
                <w:szCs w:val="20"/>
              </w:rPr>
              <w:t>950</w:t>
            </w:r>
          </w:p>
        </w:tc>
        <w:tc>
          <w:tcPr>
            <w:tcW w:w="964" w:type="dxa"/>
            <w:gridSpan w:val="2"/>
            <w:tcBorders>
              <w:top w:val="nil"/>
              <w:left w:val="nil"/>
              <w:bottom w:val="nil"/>
              <w:right w:val="nil"/>
            </w:tcBorders>
          </w:tcPr>
          <w:p w14:paraId="0ED7457C" w14:textId="77777777" w:rsidR="00CF0E2D" w:rsidRPr="00D60558" w:rsidRDefault="00CF0E2D" w:rsidP="00A60D4B">
            <w:pPr>
              <w:pStyle w:val="Btablefigureunbold"/>
              <w:rPr>
                <w:szCs w:val="20"/>
              </w:rPr>
            </w:pPr>
            <w:r w:rsidRPr="004B40E1">
              <w:rPr>
                <w:szCs w:val="20"/>
              </w:rPr>
              <w:t>0</w:t>
            </w:r>
          </w:p>
        </w:tc>
        <w:tc>
          <w:tcPr>
            <w:tcW w:w="964" w:type="dxa"/>
            <w:gridSpan w:val="2"/>
            <w:tcBorders>
              <w:top w:val="nil"/>
              <w:left w:val="nil"/>
              <w:bottom w:val="nil"/>
              <w:right w:val="nil"/>
            </w:tcBorders>
          </w:tcPr>
          <w:p w14:paraId="73916A4E" w14:textId="77777777" w:rsidR="00CF0E2D" w:rsidRPr="00D60558" w:rsidRDefault="00CF0E2D" w:rsidP="00A60D4B">
            <w:pPr>
              <w:pStyle w:val="Btablefigureunbold"/>
              <w:rPr>
                <w:szCs w:val="20"/>
              </w:rPr>
            </w:pPr>
            <w:r w:rsidRPr="004B40E1">
              <w:rPr>
                <w:szCs w:val="20"/>
              </w:rPr>
              <w:t>0</w:t>
            </w:r>
          </w:p>
        </w:tc>
        <w:tc>
          <w:tcPr>
            <w:tcW w:w="964" w:type="dxa"/>
            <w:gridSpan w:val="2"/>
            <w:tcBorders>
              <w:top w:val="nil"/>
              <w:left w:val="nil"/>
              <w:bottom w:val="nil"/>
              <w:right w:val="nil"/>
            </w:tcBorders>
          </w:tcPr>
          <w:p w14:paraId="2CA81E62" w14:textId="77777777" w:rsidR="00CF0E2D" w:rsidRPr="00D60558" w:rsidRDefault="00CF0E2D" w:rsidP="00A60D4B">
            <w:pPr>
              <w:pStyle w:val="Btablefigureunbold"/>
              <w:rPr>
                <w:szCs w:val="20"/>
              </w:rPr>
            </w:pPr>
            <w:r w:rsidRPr="004B40E1">
              <w:rPr>
                <w:szCs w:val="20"/>
              </w:rPr>
              <w:t>0</w:t>
            </w:r>
          </w:p>
        </w:tc>
        <w:tc>
          <w:tcPr>
            <w:tcW w:w="954" w:type="dxa"/>
            <w:gridSpan w:val="2"/>
            <w:tcBorders>
              <w:top w:val="nil"/>
              <w:left w:val="nil"/>
              <w:bottom w:val="nil"/>
              <w:right w:val="nil"/>
            </w:tcBorders>
          </w:tcPr>
          <w:p w14:paraId="48A26CBE" w14:textId="77777777" w:rsidR="00CF0E2D" w:rsidRPr="004B40E1" w:rsidRDefault="00CF0E2D" w:rsidP="00A60D4B">
            <w:pPr>
              <w:pStyle w:val="Btablefigureunbold"/>
              <w:rPr>
                <w:b/>
                <w:bCs/>
                <w:szCs w:val="20"/>
              </w:rPr>
            </w:pPr>
            <w:r w:rsidRPr="004B40E1">
              <w:rPr>
                <w:b/>
                <w:bCs/>
                <w:szCs w:val="20"/>
              </w:rPr>
              <w:t>950</w:t>
            </w:r>
          </w:p>
        </w:tc>
      </w:tr>
      <w:tr w:rsidR="00CF0E2D" w:rsidRPr="00D60558" w14:paraId="144C15BD" w14:textId="77777777" w:rsidTr="00A60D4B">
        <w:trPr>
          <w:gridAfter w:val="1"/>
          <w:wAfter w:w="9" w:type="dxa"/>
          <w:jc w:val="center"/>
        </w:trPr>
        <w:tc>
          <w:tcPr>
            <w:tcW w:w="3355" w:type="dxa"/>
            <w:tcBorders>
              <w:top w:val="nil"/>
              <w:left w:val="nil"/>
              <w:bottom w:val="nil"/>
              <w:right w:val="nil"/>
            </w:tcBorders>
          </w:tcPr>
          <w:p w14:paraId="220C9589"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Improving sport and recreation facilities</w:t>
            </w:r>
          </w:p>
        </w:tc>
        <w:tc>
          <w:tcPr>
            <w:tcW w:w="1093" w:type="dxa"/>
            <w:tcBorders>
              <w:top w:val="nil"/>
              <w:left w:val="nil"/>
              <w:bottom w:val="nil"/>
              <w:right w:val="nil"/>
            </w:tcBorders>
          </w:tcPr>
          <w:p w14:paraId="57D16982" w14:textId="77777777" w:rsidR="00CF0E2D" w:rsidRPr="0044739F"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17C977AC" w14:textId="77777777" w:rsidR="00CF0E2D" w:rsidRPr="00D60558" w:rsidRDefault="00CF0E2D" w:rsidP="00A60D4B">
            <w:pPr>
              <w:pStyle w:val="Btablefigureunbold"/>
              <w:rPr>
                <w:szCs w:val="20"/>
              </w:rPr>
            </w:pPr>
            <w:r w:rsidRPr="004B40E1">
              <w:rPr>
                <w:szCs w:val="20"/>
              </w:rPr>
              <w:t>0</w:t>
            </w:r>
          </w:p>
        </w:tc>
        <w:tc>
          <w:tcPr>
            <w:tcW w:w="964" w:type="dxa"/>
            <w:gridSpan w:val="2"/>
            <w:tcBorders>
              <w:top w:val="nil"/>
              <w:left w:val="nil"/>
              <w:bottom w:val="nil"/>
              <w:right w:val="nil"/>
            </w:tcBorders>
          </w:tcPr>
          <w:p w14:paraId="2700B3FD" w14:textId="77777777" w:rsidR="00CF0E2D" w:rsidRPr="00D60558" w:rsidRDefault="00CF0E2D" w:rsidP="00A60D4B">
            <w:pPr>
              <w:pStyle w:val="Btablefigureunbold"/>
              <w:rPr>
                <w:szCs w:val="20"/>
              </w:rPr>
            </w:pPr>
            <w:r w:rsidRPr="004B40E1">
              <w:rPr>
                <w:szCs w:val="20"/>
              </w:rPr>
              <w:t>63</w:t>
            </w:r>
          </w:p>
        </w:tc>
        <w:tc>
          <w:tcPr>
            <w:tcW w:w="964" w:type="dxa"/>
            <w:gridSpan w:val="2"/>
            <w:tcBorders>
              <w:top w:val="nil"/>
              <w:left w:val="nil"/>
              <w:bottom w:val="nil"/>
              <w:right w:val="nil"/>
            </w:tcBorders>
          </w:tcPr>
          <w:p w14:paraId="6105B4B8" w14:textId="77777777" w:rsidR="00CF0E2D" w:rsidRPr="00D60558" w:rsidRDefault="00CF0E2D" w:rsidP="00A60D4B">
            <w:pPr>
              <w:pStyle w:val="Btablefigureunbold"/>
              <w:rPr>
                <w:szCs w:val="20"/>
              </w:rPr>
            </w:pPr>
            <w:r w:rsidRPr="004B40E1">
              <w:rPr>
                <w:szCs w:val="20"/>
              </w:rPr>
              <w:t>69</w:t>
            </w:r>
          </w:p>
        </w:tc>
        <w:tc>
          <w:tcPr>
            <w:tcW w:w="964" w:type="dxa"/>
            <w:gridSpan w:val="2"/>
            <w:tcBorders>
              <w:top w:val="nil"/>
              <w:left w:val="nil"/>
              <w:bottom w:val="nil"/>
              <w:right w:val="nil"/>
            </w:tcBorders>
          </w:tcPr>
          <w:p w14:paraId="32F2DF72" w14:textId="77777777" w:rsidR="00CF0E2D" w:rsidRPr="00D60558" w:rsidRDefault="00CF0E2D" w:rsidP="00A60D4B">
            <w:pPr>
              <w:pStyle w:val="Btablefigureunbold"/>
              <w:rPr>
                <w:szCs w:val="20"/>
              </w:rPr>
            </w:pPr>
            <w:r w:rsidRPr="004B40E1">
              <w:rPr>
                <w:szCs w:val="20"/>
              </w:rPr>
              <w:t>76</w:t>
            </w:r>
          </w:p>
        </w:tc>
        <w:tc>
          <w:tcPr>
            <w:tcW w:w="954" w:type="dxa"/>
            <w:gridSpan w:val="2"/>
            <w:tcBorders>
              <w:top w:val="nil"/>
              <w:left w:val="nil"/>
              <w:bottom w:val="nil"/>
              <w:right w:val="nil"/>
            </w:tcBorders>
          </w:tcPr>
          <w:p w14:paraId="2A72E1C5" w14:textId="77777777" w:rsidR="00CF0E2D" w:rsidRPr="004B40E1" w:rsidRDefault="00CF0E2D" w:rsidP="00A60D4B">
            <w:pPr>
              <w:pStyle w:val="Btablefigureunbold"/>
              <w:rPr>
                <w:b/>
                <w:bCs/>
                <w:szCs w:val="20"/>
              </w:rPr>
            </w:pPr>
            <w:r w:rsidRPr="004B40E1">
              <w:rPr>
                <w:b/>
                <w:bCs/>
                <w:szCs w:val="20"/>
              </w:rPr>
              <w:t>208</w:t>
            </w:r>
          </w:p>
        </w:tc>
      </w:tr>
      <w:tr w:rsidR="00CF0E2D" w:rsidRPr="00D60558" w14:paraId="69BC7DD2" w14:textId="77777777" w:rsidTr="00A60D4B">
        <w:trPr>
          <w:gridAfter w:val="1"/>
          <w:wAfter w:w="9" w:type="dxa"/>
          <w:jc w:val="center"/>
        </w:trPr>
        <w:tc>
          <w:tcPr>
            <w:tcW w:w="3355" w:type="dxa"/>
            <w:tcBorders>
              <w:top w:val="nil"/>
              <w:left w:val="nil"/>
              <w:bottom w:val="nil"/>
              <w:right w:val="nil"/>
            </w:tcBorders>
          </w:tcPr>
          <w:p w14:paraId="45EABEF7"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Tuggeranong Foreshore improvements</w:t>
            </w:r>
          </w:p>
        </w:tc>
        <w:tc>
          <w:tcPr>
            <w:tcW w:w="1093" w:type="dxa"/>
            <w:tcBorders>
              <w:top w:val="nil"/>
              <w:left w:val="nil"/>
              <w:bottom w:val="nil"/>
              <w:right w:val="nil"/>
            </w:tcBorders>
          </w:tcPr>
          <w:p w14:paraId="59ACD243" w14:textId="77777777" w:rsidR="00CF0E2D" w:rsidRPr="0044739F" w:rsidRDefault="00CF0E2D" w:rsidP="00A60D4B">
            <w:pPr>
              <w:pStyle w:val="Btablefigureunbold"/>
              <w:ind w:left="0" w:firstLine="0"/>
              <w:jc w:val="left"/>
              <w:rPr>
                <w:rFonts w:cs="Calibri"/>
                <w:color w:val="000000"/>
                <w:szCs w:val="20"/>
              </w:rPr>
            </w:pPr>
            <w:r w:rsidRPr="0044739F">
              <w:rPr>
                <w:rFonts w:cs="Calibri"/>
                <w:color w:val="000000"/>
                <w:szCs w:val="20"/>
              </w:rPr>
              <w:t>Net capital</w:t>
            </w:r>
          </w:p>
        </w:tc>
        <w:tc>
          <w:tcPr>
            <w:tcW w:w="964" w:type="dxa"/>
            <w:gridSpan w:val="2"/>
            <w:tcBorders>
              <w:top w:val="nil"/>
              <w:left w:val="nil"/>
              <w:bottom w:val="nil"/>
              <w:right w:val="nil"/>
            </w:tcBorders>
          </w:tcPr>
          <w:p w14:paraId="560B2796" w14:textId="77777777" w:rsidR="00CF0E2D" w:rsidRPr="00D60558" w:rsidRDefault="00CF0E2D" w:rsidP="00A60D4B">
            <w:pPr>
              <w:pStyle w:val="Btablefigureunbold"/>
              <w:rPr>
                <w:szCs w:val="20"/>
              </w:rPr>
            </w:pPr>
            <w:r>
              <w:rPr>
                <w:szCs w:val="20"/>
              </w:rPr>
              <w:t>0</w:t>
            </w:r>
          </w:p>
        </w:tc>
        <w:tc>
          <w:tcPr>
            <w:tcW w:w="964" w:type="dxa"/>
            <w:gridSpan w:val="2"/>
            <w:tcBorders>
              <w:top w:val="nil"/>
              <w:left w:val="nil"/>
              <w:bottom w:val="nil"/>
              <w:right w:val="nil"/>
            </w:tcBorders>
          </w:tcPr>
          <w:p w14:paraId="04FA77C4" w14:textId="77777777" w:rsidR="00CF0E2D" w:rsidRPr="00D60558" w:rsidRDefault="00CF0E2D" w:rsidP="00A60D4B">
            <w:pPr>
              <w:pStyle w:val="Btablefigureunbold"/>
              <w:rPr>
                <w:szCs w:val="20"/>
              </w:rPr>
            </w:pPr>
            <w:r>
              <w:rPr>
                <w:szCs w:val="20"/>
              </w:rPr>
              <w:t>0</w:t>
            </w:r>
          </w:p>
        </w:tc>
        <w:tc>
          <w:tcPr>
            <w:tcW w:w="964" w:type="dxa"/>
            <w:gridSpan w:val="2"/>
            <w:tcBorders>
              <w:top w:val="nil"/>
              <w:left w:val="nil"/>
              <w:bottom w:val="nil"/>
              <w:right w:val="nil"/>
            </w:tcBorders>
          </w:tcPr>
          <w:p w14:paraId="17D15E9E" w14:textId="77777777" w:rsidR="00CF0E2D" w:rsidRPr="00D60558" w:rsidRDefault="00CF0E2D" w:rsidP="00A60D4B">
            <w:pPr>
              <w:pStyle w:val="Btablefigureunbold"/>
              <w:rPr>
                <w:szCs w:val="20"/>
              </w:rPr>
            </w:pPr>
            <w:r>
              <w:rPr>
                <w:szCs w:val="20"/>
              </w:rPr>
              <w:t>0</w:t>
            </w:r>
          </w:p>
        </w:tc>
        <w:tc>
          <w:tcPr>
            <w:tcW w:w="964" w:type="dxa"/>
            <w:gridSpan w:val="2"/>
            <w:tcBorders>
              <w:top w:val="nil"/>
              <w:left w:val="nil"/>
              <w:bottom w:val="nil"/>
              <w:right w:val="nil"/>
            </w:tcBorders>
          </w:tcPr>
          <w:p w14:paraId="562780A7" w14:textId="77777777" w:rsidR="00CF0E2D" w:rsidRPr="00D60558" w:rsidRDefault="00CF0E2D" w:rsidP="00A60D4B">
            <w:pPr>
              <w:pStyle w:val="Btablefigureunbold"/>
              <w:rPr>
                <w:szCs w:val="20"/>
              </w:rPr>
            </w:pPr>
            <w:r>
              <w:rPr>
                <w:szCs w:val="20"/>
              </w:rPr>
              <w:t>0</w:t>
            </w:r>
          </w:p>
        </w:tc>
        <w:tc>
          <w:tcPr>
            <w:tcW w:w="954" w:type="dxa"/>
            <w:gridSpan w:val="2"/>
            <w:tcBorders>
              <w:top w:val="nil"/>
              <w:left w:val="nil"/>
              <w:bottom w:val="nil"/>
              <w:right w:val="nil"/>
            </w:tcBorders>
          </w:tcPr>
          <w:p w14:paraId="447F7BC8" w14:textId="77777777" w:rsidR="00CF0E2D" w:rsidRPr="00D60558" w:rsidRDefault="00CF0E2D" w:rsidP="00A60D4B">
            <w:pPr>
              <w:pStyle w:val="Btablefigureunbold"/>
              <w:rPr>
                <w:b/>
                <w:bCs/>
                <w:szCs w:val="20"/>
              </w:rPr>
            </w:pPr>
            <w:r>
              <w:rPr>
                <w:b/>
                <w:bCs/>
                <w:szCs w:val="20"/>
              </w:rPr>
              <w:t>0</w:t>
            </w:r>
          </w:p>
        </w:tc>
      </w:tr>
      <w:tr w:rsidR="00CF0E2D" w:rsidRPr="00D60558" w14:paraId="373A6134" w14:textId="77777777" w:rsidTr="00A60D4B">
        <w:trPr>
          <w:gridAfter w:val="1"/>
          <w:wAfter w:w="9" w:type="dxa"/>
          <w:jc w:val="center"/>
        </w:trPr>
        <w:tc>
          <w:tcPr>
            <w:tcW w:w="3355" w:type="dxa"/>
            <w:tcBorders>
              <w:top w:val="nil"/>
              <w:left w:val="nil"/>
              <w:bottom w:val="nil"/>
              <w:right w:val="nil"/>
            </w:tcBorders>
          </w:tcPr>
          <w:p w14:paraId="7F33DD24"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Yerrabi Pond District Park</w:t>
            </w:r>
          </w:p>
        </w:tc>
        <w:tc>
          <w:tcPr>
            <w:tcW w:w="1093" w:type="dxa"/>
            <w:tcBorders>
              <w:top w:val="nil"/>
              <w:left w:val="nil"/>
              <w:bottom w:val="nil"/>
              <w:right w:val="nil"/>
            </w:tcBorders>
          </w:tcPr>
          <w:p w14:paraId="03B7B7F3" w14:textId="77777777" w:rsidR="00CF0E2D" w:rsidRPr="0044739F" w:rsidRDefault="00CF0E2D" w:rsidP="00A60D4B">
            <w:pPr>
              <w:pStyle w:val="Btablefigureunbold"/>
              <w:ind w:left="0" w:firstLine="0"/>
              <w:jc w:val="left"/>
              <w:rPr>
                <w:rFonts w:cs="Calibri"/>
                <w:color w:val="000000"/>
                <w:szCs w:val="20"/>
              </w:rPr>
            </w:pPr>
            <w:r w:rsidRPr="0044739F">
              <w:rPr>
                <w:rFonts w:cs="Calibri"/>
                <w:color w:val="000000"/>
                <w:szCs w:val="20"/>
              </w:rPr>
              <w:t>Net capital</w:t>
            </w:r>
          </w:p>
        </w:tc>
        <w:tc>
          <w:tcPr>
            <w:tcW w:w="964" w:type="dxa"/>
            <w:gridSpan w:val="2"/>
            <w:tcBorders>
              <w:top w:val="nil"/>
              <w:left w:val="nil"/>
              <w:bottom w:val="nil"/>
              <w:right w:val="nil"/>
            </w:tcBorders>
          </w:tcPr>
          <w:p w14:paraId="3A18A125" w14:textId="77777777" w:rsidR="00CF0E2D" w:rsidRPr="00D60558" w:rsidRDefault="00CF0E2D" w:rsidP="00A60D4B">
            <w:pPr>
              <w:pStyle w:val="Btablefigureunbold"/>
              <w:rPr>
                <w:szCs w:val="20"/>
              </w:rPr>
            </w:pPr>
            <w:r>
              <w:rPr>
                <w:szCs w:val="20"/>
              </w:rPr>
              <w:t>0</w:t>
            </w:r>
          </w:p>
        </w:tc>
        <w:tc>
          <w:tcPr>
            <w:tcW w:w="964" w:type="dxa"/>
            <w:gridSpan w:val="2"/>
            <w:tcBorders>
              <w:top w:val="nil"/>
              <w:left w:val="nil"/>
              <w:bottom w:val="nil"/>
              <w:right w:val="nil"/>
            </w:tcBorders>
          </w:tcPr>
          <w:p w14:paraId="5DEAE74D" w14:textId="77777777" w:rsidR="00CF0E2D" w:rsidRPr="00D60558" w:rsidRDefault="00CF0E2D" w:rsidP="00A60D4B">
            <w:pPr>
              <w:pStyle w:val="Btablefigureunbold"/>
              <w:rPr>
                <w:szCs w:val="20"/>
              </w:rPr>
            </w:pPr>
            <w:r>
              <w:rPr>
                <w:szCs w:val="20"/>
              </w:rPr>
              <w:t>0</w:t>
            </w:r>
          </w:p>
        </w:tc>
        <w:tc>
          <w:tcPr>
            <w:tcW w:w="964" w:type="dxa"/>
            <w:gridSpan w:val="2"/>
            <w:tcBorders>
              <w:top w:val="nil"/>
              <w:left w:val="nil"/>
              <w:bottom w:val="nil"/>
              <w:right w:val="nil"/>
            </w:tcBorders>
          </w:tcPr>
          <w:p w14:paraId="17B84D2B" w14:textId="77777777" w:rsidR="00CF0E2D" w:rsidRPr="00D60558" w:rsidRDefault="00CF0E2D" w:rsidP="00A60D4B">
            <w:pPr>
              <w:pStyle w:val="Btablefigureunbold"/>
              <w:rPr>
                <w:szCs w:val="20"/>
              </w:rPr>
            </w:pPr>
            <w:r>
              <w:rPr>
                <w:szCs w:val="20"/>
              </w:rPr>
              <w:t>0</w:t>
            </w:r>
          </w:p>
        </w:tc>
        <w:tc>
          <w:tcPr>
            <w:tcW w:w="964" w:type="dxa"/>
            <w:gridSpan w:val="2"/>
            <w:tcBorders>
              <w:top w:val="nil"/>
              <w:left w:val="nil"/>
              <w:bottom w:val="nil"/>
              <w:right w:val="nil"/>
            </w:tcBorders>
          </w:tcPr>
          <w:p w14:paraId="14751615" w14:textId="77777777" w:rsidR="00CF0E2D" w:rsidRPr="00D60558" w:rsidRDefault="00CF0E2D" w:rsidP="00A60D4B">
            <w:pPr>
              <w:pStyle w:val="Btablefigureunbold"/>
              <w:rPr>
                <w:szCs w:val="20"/>
              </w:rPr>
            </w:pPr>
            <w:r>
              <w:rPr>
                <w:szCs w:val="20"/>
              </w:rPr>
              <w:t>0</w:t>
            </w:r>
          </w:p>
        </w:tc>
        <w:tc>
          <w:tcPr>
            <w:tcW w:w="954" w:type="dxa"/>
            <w:gridSpan w:val="2"/>
            <w:tcBorders>
              <w:top w:val="nil"/>
              <w:left w:val="nil"/>
              <w:bottom w:val="nil"/>
              <w:right w:val="nil"/>
            </w:tcBorders>
          </w:tcPr>
          <w:p w14:paraId="6ADCE497" w14:textId="77777777" w:rsidR="00CF0E2D" w:rsidRPr="00D60558" w:rsidRDefault="00CF0E2D" w:rsidP="00A60D4B">
            <w:pPr>
              <w:pStyle w:val="Btablefigureunbold"/>
              <w:rPr>
                <w:b/>
                <w:bCs/>
                <w:szCs w:val="20"/>
              </w:rPr>
            </w:pPr>
            <w:r>
              <w:rPr>
                <w:b/>
                <w:bCs/>
                <w:szCs w:val="20"/>
              </w:rPr>
              <w:t>0</w:t>
            </w:r>
          </w:p>
        </w:tc>
      </w:tr>
      <w:tr w:rsidR="00CF0E2D" w:rsidRPr="00D60558" w14:paraId="4C05EE52" w14:textId="77777777" w:rsidTr="00A60D4B">
        <w:trPr>
          <w:gridAfter w:val="1"/>
          <w:wAfter w:w="9" w:type="dxa"/>
          <w:jc w:val="center"/>
        </w:trPr>
        <w:tc>
          <w:tcPr>
            <w:tcW w:w="3355" w:type="dxa"/>
            <w:tcBorders>
              <w:top w:val="nil"/>
              <w:left w:val="nil"/>
              <w:bottom w:val="nil"/>
              <w:right w:val="nil"/>
            </w:tcBorders>
          </w:tcPr>
          <w:p w14:paraId="55AFD48B" w14:textId="77777777" w:rsidR="00CF0E2D" w:rsidRPr="00627DC1" w:rsidRDefault="00CF0E2D" w:rsidP="00A60D4B">
            <w:pPr>
              <w:pStyle w:val="Btabletextunbold"/>
              <w:rPr>
                <w:rFonts w:cs="Calibri"/>
                <w:i/>
                <w:iCs/>
                <w:szCs w:val="20"/>
              </w:rPr>
            </w:pPr>
            <w:r w:rsidRPr="00627DC1">
              <w:rPr>
                <w:rFonts w:cs="Calibri"/>
                <w:i/>
                <w:iCs/>
                <w:szCs w:val="20"/>
              </w:rPr>
              <w:t>Connected and sustainable Canberra</w:t>
            </w:r>
          </w:p>
        </w:tc>
        <w:tc>
          <w:tcPr>
            <w:tcW w:w="1093" w:type="dxa"/>
            <w:tcBorders>
              <w:top w:val="nil"/>
              <w:left w:val="nil"/>
              <w:bottom w:val="nil"/>
              <w:right w:val="nil"/>
            </w:tcBorders>
          </w:tcPr>
          <w:p w14:paraId="5579AB5E" w14:textId="77777777" w:rsidR="00CF0E2D" w:rsidRPr="0044739F"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37B00AF1"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77A09890"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6709C46C" w14:textId="77777777" w:rsidR="00CF0E2D" w:rsidRPr="00D60558" w:rsidRDefault="00CF0E2D" w:rsidP="00A60D4B">
            <w:pPr>
              <w:pStyle w:val="Btablefigureunbold"/>
              <w:rPr>
                <w:szCs w:val="20"/>
              </w:rPr>
            </w:pPr>
          </w:p>
        </w:tc>
        <w:tc>
          <w:tcPr>
            <w:tcW w:w="964" w:type="dxa"/>
            <w:gridSpan w:val="2"/>
            <w:tcBorders>
              <w:top w:val="nil"/>
              <w:left w:val="nil"/>
              <w:bottom w:val="nil"/>
              <w:right w:val="nil"/>
            </w:tcBorders>
          </w:tcPr>
          <w:p w14:paraId="7CC143AA" w14:textId="77777777" w:rsidR="00CF0E2D" w:rsidRPr="00D60558" w:rsidRDefault="00CF0E2D" w:rsidP="00A60D4B">
            <w:pPr>
              <w:pStyle w:val="Btablefigureunbold"/>
              <w:rPr>
                <w:szCs w:val="20"/>
              </w:rPr>
            </w:pPr>
          </w:p>
        </w:tc>
        <w:tc>
          <w:tcPr>
            <w:tcW w:w="954" w:type="dxa"/>
            <w:gridSpan w:val="2"/>
            <w:tcBorders>
              <w:top w:val="nil"/>
              <w:left w:val="nil"/>
              <w:bottom w:val="nil"/>
              <w:right w:val="nil"/>
            </w:tcBorders>
          </w:tcPr>
          <w:p w14:paraId="1D4DC832" w14:textId="77777777" w:rsidR="00CF0E2D" w:rsidRPr="00D60558" w:rsidRDefault="00CF0E2D" w:rsidP="00A60D4B">
            <w:pPr>
              <w:pStyle w:val="Btablefigureunbold"/>
              <w:rPr>
                <w:b/>
                <w:bCs/>
                <w:szCs w:val="20"/>
              </w:rPr>
            </w:pPr>
          </w:p>
        </w:tc>
      </w:tr>
      <w:tr w:rsidR="00CF0E2D" w:rsidRPr="00D60558" w14:paraId="7786C4C3" w14:textId="77777777" w:rsidTr="00A60D4B">
        <w:trPr>
          <w:gridAfter w:val="1"/>
          <w:wAfter w:w="9" w:type="dxa"/>
          <w:jc w:val="center"/>
        </w:trPr>
        <w:tc>
          <w:tcPr>
            <w:tcW w:w="3355" w:type="dxa"/>
            <w:tcBorders>
              <w:top w:val="nil"/>
              <w:left w:val="nil"/>
              <w:bottom w:val="nil"/>
              <w:right w:val="nil"/>
            </w:tcBorders>
          </w:tcPr>
          <w:p w14:paraId="1A94968F"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Active travel investments</w:t>
            </w:r>
          </w:p>
        </w:tc>
        <w:tc>
          <w:tcPr>
            <w:tcW w:w="1093" w:type="dxa"/>
            <w:tcBorders>
              <w:top w:val="nil"/>
              <w:left w:val="nil"/>
              <w:bottom w:val="nil"/>
              <w:right w:val="nil"/>
            </w:tcBorders>
          </w:tcPr>
          <w:p w14:paraId="5160AC76" w14:textId="77777777" w:rsidR="00CF0E2D" w:rsidRPr="0044739F" w:rsidRDefault="00CF0E2D" w:rsidP="00A60D4B">
            <w:pPr>
              <w:pStyle w:val="Btablefigureunbold"/>
              <w:ind w:left="0" w:firstLine="0"/>
              <w:jc w:val="left"/>
              <w:rPr>
                <w:rFonts w:cs="Calibri"/>
                <w:color w:val="000000"/>
                <w:szCs w:val="20"/>
              </w:rPr>
            </w:pPr>
            <w:r w:rsidRPr="0044739F">
              <w:rPr>
                <w:rFonts w:cs="Calibri"/>
                <w:color w:val="000000"/>
                <w:szCs w:val="20"/>
              </w:rPr>
              <w:t>Net capital</w:t>
            </w:r>
          </w:p>
        </w:tc>
        <w:tc>
          <w:tcPr>
            <w:tcW w:w="964" w:type="dxa"/>
            <w:gridSpan w:val="2"/>
            <w:tcBorders>
              <w:top w:val="nil"/>
              <w:left w:val="nil"/>
              <w:bottom w:val="nil"/>
              <w:right w:val="nil"/>
            </w:tcBorders>
          </w:tcPr>
          <w:p w14:paraId="04C513C5" w14:textId="77777777" w:rsidR="00CF0E2D" w:rsidRPr="00D60558" w:rsidRDefault="00CF0E2D" w:rsidP="00A60D4B">
            <w:pPr>
              <w:pStyle w:val="Btablefigureunbold"/>
              <w:rPr>
                <w:szCs w:val="20"/>
              </w:rPr>
            </w:pPr>
            <w:r w:rsidRPr="004B40E1">
              <w:rPr>
                <w:szCs w:val="20"/>
              </w:rPr>
              <w:t>600</w:t>
            </w:r>
          </w:p>
        </w:tc>
        <w:tc>
          <w:tcPr>
            <w:tcW w:w="964" w:type="dxa"/>
            <w:gridSpan w:val="2"/>
            <w:tcBorders>
              <w:top w:val="nil"/>
              <w:left w:val="nil"/>
              <w:bottom w:val="nil"/>
              <w:right w:val="nil"/>
            </w:tcBorders>
          </w:tcPr>
          <w:p w14:paraId="17942B6F" w14:textId="77777777" w:rsidR="00CF0E2D" w:rsidRPr="00D60558" w:rsidRDefault="00CF0E2D" w:rsidP="00A60D4B">
            <w:pPr>
              <w:pStyle w:val="Btablefigureunbold"/>
              <w:rPr>
                <w:szCs w:val="20"/>
              </w:rPr>
            </w:pPr>
            <w:r w:rsidRPr="004B40E1">
              <w:rPr>
                <w:szCs w:val="20"/>
              </w:rPr>
              <w:t>4,000</w:t>
            </w:r>
          </w:p>
        </w:tc>
        <w:tc>
          <w:tcPr>
            <w:tcW w:w="964" w:type="dxa"/>
            <w:gridSpan w:val="2"/>
            <w:tcBorders>
              <w:top w:val="nil"/>
              <w:left w:val="nil"/>
              <w:bottom w:val="nil"/>
              <w:right w:val="nil"/>
            </w:tcBorders>
          </w:tcPr>
          <w:p w14:paraId="2A530403" w14:textId="77777777" w:rsidR="00CF0E2D" w:rsidRPr="00D60558" w:rsidRDefault="00CF0E2D" w:rsidP="00A60D4B">
            <w:pPr>
              <w:pStyle w:val="Btablefigureunbold"/>
              <w:rPr>
                <w:szCs w:val="20"/>
              </w:rPr>
            </w:pPr>
            <w:r w:rsidRPr="004B40E1">
              <w:rPr>
                <w:szCs w:val="20"/>
              </w:rPr>
              <w:t>3,000</w:t>
            </w:r>
          </w:p>
        </w:tc>
        <w:tc>
          <w:tcPr>
            <w:tcW w:w="964" w:type="dxa"/>
            <w:gridSpan w:val="2"/>
            <w:tcBorders>
              <w:top w:val="nil"/>
              <w:left w:val="nil"/>
              <w:bottom w:val="nil"/>
              <w:right w:val="nil"/>
            </w:tcBorders>
          </w:tcPr>
          <w:p w14:paraId="4DCDB3E4" w14:textId="77777777" w:rsidR="00CF0E2D" w:rsidRPr="00D60558" w:rsidRDefault="00CF0E2D" w:rsidP="00A60D4B">
            <w:pPr>
              <w:pStyle w:val="Btablefigureunbold"/>
              <w:rPr>
                <w:szCs w:val="20"/>
              </w:rPr>
            </w:pPr>
            <w:r w:rsidRPr="004B40E1">
              <w:rPr>
                <w:szCs w:val="20"/>
              </w:rPr>
              <w:t>3,270</w:t>
            </w:r>
          </w:p>
        </w:tc>
        <w:tc>
          <w:tcPr>
            <w:tcW w:w="954" w:type="dxa"/>
            <w:gridSpan w:val="2"/>
            <w:tcBorders>
              <w:top w:val="nil"/>
              <w:left w:val="nil"/>
              <w:bottom w:val="nil"/>
              <w:right w:val="nil"/>
            </w:tcBorders>
          </w:tcPr>
          <w:p w14:paraId="677B12A2" w14:textId="77777777" w:rsidR="00CF0E2D" w:rsidRPr="004B40E1" w:rsidRDefault="00CF0E2D" w:rsidP="00A60D4B">
            <w:pPr>
              <w:pStyle w:val="Btablefigureunbold"/>
              <w:rPr>
                <w:b/>
                <w:bCs/>
                <w:szCs w:val="20"/>
              </w:rPr>
            </w:pPr>
            <w:r w:rsidRPr="004B40E1">
              <w:rPr>
                <w:b/>
                <w:bCs/>
                <w:szCs w:val="20"/>
              </w:rPr>
              <w:t>10,870</w:t>
            </w:r>
          </w:p>
        </w:tc>
      </w:tr>
      <w:tr w:rsidR="00CF0E2D" w:rsidRPr="00D60558" w14:paraId="14BC57B2" w14:textId="77777777" w:rsidTr="00A60D4B">
        <w:trPr>
          <w:gridAfter w:val="1"/>
          <w:wAfter w:w="9" w:type="dxa"/>
          <w:jc w:val="center"/>
        </w:trPr>
        <w:tc>
          <w:tcPr>
            <w:tcW w:w="3355" w:type="dxa"/>
            <w:tcBorders>
              <w:top w:val="nil"/>
              <w:left w:val="nil"/>
              <w:bottom w:val="nil"/>
              <w:right w:val="nil"/>
            </w:tcBorders>
          </w:tcPr>
          <w:p w14:paraId="08376CF9" w14:textId="77777777" w:rsidR="00CF0E2D" w:rsidRPr="00C05488" w:rsidRDefault="00CF0E2D" w:rsidP="00A60D4B">
            <w:pPr>
              <w:pStyle w:val="Btabletextunbold"/>
              <w:rPr>
                <w:szCs w:val="20"/>
              </w:rPr>
            </w:pPr>
            <w:r>
              <w:rPr>
                <w:rFonts w:cs="Calibri"/>
                <w:szCs w:val="20"/>
              </w:rPr>
              <w:t xml:space="preserve">– </w:t>
            </w:r>
            <w:r w:rsidRPr="00C05488">
              <w:rPr>
                <w:rFonts w:cs="Calibri"/>
                <w:szCs w:val="20"/>
              </w:rPr>
              <w:t>Active travel investments</w:t>
            </w:r>
          </w:p>
        </w:tc>
        <w:tc>
          <w:tcPr>
            <w:tcW w:w="1093" w:type="dxa"/>
            <w:tcBorders>
              <w:top w:val="nil"/>
              <w:left w:val="nil"/>
              <w:bottom w:val="nil"/>
              <w:right w:val="nil"/>
            </w:tcBorders>
          </w:tcPr>
          <w:p w14:paraId="515C30F2" w14:textId="77777777" w:rsidR="00CF0E2D" w:rsidRPr="0044739F"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58CE9F5C" w14:textId="77777777" w:rsidR="00CF0E2D" w:rsidRPr="00D60558" w:rsidRDefault="00CF0E2D" w:rsidP="00A60D4B">
            <w:pPr>
              <w:pStyle w:val="Btablefigureunbold"/>
              <w:rPr>
                <w:szCs w:val="20"/>
              </w:rPr>
            </w:pPr>
            <w:r w:rsidRPr="004B40E1">
              <w:rPr>
                <w:szCs w:val="20"/>
              </w:rPr>
              <w:t>297</w:t>
            </w:r>
          </w:p>
        </w:tc>
        <w:tc>
          <w:tcPr>
            <w:tcW w:w="964" w:type="dxa"/>
            <w:gridSpan w:val="2"/>
            <w:tcBorders>
              <w:top w:val="nil"/>
              <w:left w:val="nil"/>
              <w:bottom w:val="nil"/>
              <w:right w:val="nil"/>
            </w:tcBorders>
          </w:tcPr>
          <w:p w14:paraId="09C47866" w14:textId="77777777" w:rsidR="00CF0E2D" w:rsidRPr="00D60558" w:rsidRDefault="00CF0E2D" w:rsidP="00A60D4B">
            <w:pPr>
              <w:pStyle w:val="Btablefigureunbold"/>
              <w:rPr>
                <w:szCs w:val="20"/>
              </w:rPr>
            </w:pPr>
            <w:r w:rsidRPr="004B40E1">
              <w:rPr>
                <w:szCs w:val="20"/>
              </w:rPr>
              <w:t>10</w:t>
            </w:r>
          </w:p>
        </w:tc>
        <w:tc>
          <w:tcPr>
            <w:tcW w:w="964" w:type="dxa"/>
            <w:gridSpan w:val="2"/>
            <w:tcBorders>
              <w:top w:val="nil"/>
              <w:left w:val="nil"/>
              <w:bottom w:val="nil"/>
              <w:right w:val="nil"/>
            </w:tcBorders>
          </w:tcPr>
          <w:p w14:paraId="514B8AB7" w14:textId="77777777" w:rsidR="00CF0E2D" w:rsidRPr="00D60558" w:rsidRDefault="00CF0E2D" w:rsidP="00A60D4B">
            <w:pPr>
              <w:pStyle w:val="Btablefigureunbold"/>
              <w:rPr>
                <w:szCs w:val="20"/>
              </w:rPr>
            </w:pPr>
            <w:r w:rsidRPr="004B40E1">
              <w:rPr>
                <w:szCs w:val="20"/>
              </w:rPr>
              <w:t>89</w:t>
            </w:r>
          </w:p>
        </w:tc>
        <w:tc>
          <w:tcPr>
            <w:tcW w:w="964" w:type="dxa"/>
            <w:gridSpan w:val="2"/>
            <w:tcBorders>
              <w:top w:val="nil"/>
              <w:left w:val="nil"/>
              <w:bottom w:val="nil"/>
              <w:right w:val="nil"/>
            </w:tcBorders>
          </w:tcPr>
          <w:p w14:paraId="5A156805" w14:textId="77777777" w:rsidR="00CF0E2D" w:rsidRPr="00D60558" w:rsidRDefault="00CF0E2D" w:rsidP="00A60D4B">
            <w:pPr>
              <w:pStyle w:val="Btablefigureunbold"/>
              <w:rPr>
                <w:szCs w:val="20"/>
              </w:rPr>
            </w:pPr>
            <w:r w:rsidRPr="004B40E1">
              <w:rPr>
                <w:szCs w:val="20"/>
              </w:rPr>
              <w:t>198</w:t>
            </w:r>
          </w:p>
        </w:tc>
        <w:tc>
          <w:tcPr>
            <w:tcW w:w="954" w:type="dxa"/>
            <w:gridSpan w:val="2"/>
            <w:tcBorders>
              <w:top w:val="nil"/>
              <w:left w:val="nil"/>
              <w:bottom w:val="nil"/>
              <w:right w:val="nil"/>
            </w:tcBorders>
          </w:tcPr>
          <w:p w14:paraId="024463FB" w14:textId="77777777" w:rsidR="00CF0E2D" w:rsidRPr="004B40E1" w:rsidRDefault="00CF0E2D" w:rsidP="00A60D4B">
            <w:pPr>
              <w:pStyle w:val="Btablefigureunbold"/>
              <w:rPr>
                <w:b/>
                <w:bCs/>
                <w:szCs w:val="20"/>
              </w:rPr>
            </w:pPr>
            <w:r w:rsidRPr="004B40E1">
              <w:rPr>
                <w:b/>
                <w:bCs/>
                <w:szCs w:val="20"/>
              </w:rPr>
              <w:t>594</w:t>
            </w:r>
          </w:p>
        </w:tc>
      </w:tr>
      <w:tr w:rsidR="00CF0E2D" w:rsidRPr="00D60558" w14:paraId="2D3BB59B" w14:textId="77777777" w:rsidTr="00A60D4B">
        <w:trPr>
          <w:gridAfter w:val="1"/>
          <w:wAfter w:w="9" w:type="dxa"/>
          <w:jc w:val="center"/>
        </w:trPr>
        <w:tc>
          <w:tcPr>
            <w:tcW w:w="3355" w:type="dxa"/>
            <w:tcBorders>
              <w:top w:val="nil"/>
              <w:left w:val="nil"/>
              <w:bottom w:val="nil"/>
              <w:right w:val="nil"/>
            </w:tcBorders>
          </w:tcPr>
          <w:p w14:paraId="187D1465"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Constructing the William Hovell Drive duplication</w:t>
            </w:r>
          </w:p>
        </w:tc>
        <w:tc>
          <w:tcPr>
            <w:tcW w:w="1093" w:type="dxa"/>
            <w:tcBorders>
              <w:top w:val="nil"/>
              <w:left w:val="nil"/>
              <w:bottom w:val="nil"/>
              <w:right w:val="nil"/>
            </w:tcBorders>
          </w:tcPr>
          <w:p w14:paraId="1184312C" w14:textId="77777777" w:rsidR="00CF0E2D" w:rsidRPr="0044739F" w:rsidRDefault="00CF0E2D" w:rsidP="00A60D4B">
            <w:pPr>
              <w:pStyle w:val="Btablefigureunbold"/>
              <w:ind w:left="0" w:firstLine="0"/>
              <w:jc w:val="left"/>
              <w:rPr>
                <w:rFonts w:cs="Calibri"/>
                <w:color w:val="000000"/>
                <w:szCs w:val="20"/>
              </w:rPr>
            </w:pPr>
            <w:r w:rsidRPr="0044739F">
              <w:rPr>
                <w:rFonts w:cs="Calibri"/>
                <w:color w:val="000000"/>
                <w:szCs w:val="20"/>
              </w:rPr>
              <w:t>Net capital</w:t>
            </w:r>
          </w:p>
        </w:tc>
        <w:tc>
          <w:tcPr>
            <w:tcW w:w="964" w:type="dxa"/>
            <w:gridSpan w:val="2"/>
            <w:tcBorders>
              <w:top w:val="nil"/>
              <w:left w:val="nil"/>
              <w:bottom w:val="nil"/>
              <w:right w:val="nil"/>
            </w:tcBorders>
          </w:tcPr>
          <w:p w14:paraId="175F2D98" w14:textId="77777777" w:rsidR="00CF0E2D" w:rsidRPr="00E366D2" w:rsidRDefault="00CF0E2D" w:rsidP="00A60D4B">
            <w:pPr>
              <w:pStyle w:val="Btablefigureunbold"/>
              <w:rPr>
                <w:szCs w:val="20"/>
              </w:rPr>
            </w:pPr>
            <w:r w:rsidRPr="00E366D2">
              <w:rPr>
                <w:rFonts w:cs="Calibri"/>
                <w:color w:val="000000"/>
                <w:szCs w:val="20"/>
              </w:rPr>
              <w:t>-11,750</w:t>
            </w:r>
          </w:p>
        </w:tc>
        <w:tc>
          <w:tcPr>
            <w:tcW w:w="964" w:type="dxa"/>
            <w:gridSpan w:val="2"/>
            <w:tcBorders>
              <w:top w:val="nil"/>
              <w:left w:val="nil"/>
              <w:bottom w:val="nil"/>
              <w:right w:val="nil"/>
            </w:tcBorders>
          </w:tcPr>
          <w:p w14:paraId="3964D412" w14:textId="77777777" w:rsidR="00CF0E2D" w:rsidRPr="00E366D2" w:rsidRDefault="00CF0E2D" w:rsidP="00A60D4B">
            <w:pPr>
              <w:pStyle w:val="Btablefigureunbold"/>
              <w:rPr>
                <w:szCs w:val="20"/>
              </w:rPr>
            </w:pPr>
            <w:r w:rsidRPr="00E366D2">
              <w:rPr>
                <w:rFonts w:cs="Calibri"/>
                <w:color w:val="000000"/>
                <w:szCs w:val="20"/>
              </w:rPr>
              <w:t>-7,600</w:t>
            </w:r>
          </w:p>
        </w:tc>
        <w:tc>
          <w:tcPr>
            <w:tcW w:w="964" w:type="dxa"/>
            <w:gridSpan w:val="2"/>
            <w:tcBorders>
              <w:top w:val="nil"/>
              <w:left w:val="nil"/>
              <w:bottom w:val="nil"/>
              <w:right w:val="nil"/>
            </w:tcBorders>
          </w:tcPr>
          <w:p w14:paraId="6C2884B0" w14:textId="77777777" w:rsidR="00CF0E2D" w:rsidRPr="00E366D2" w:rsidRDefault="00CF0E2D" w:rsidP="00A60D4B">
            <w:pPr>
              <w:pStyle w:val="Btablefigureunbold"/>
              <w:rPr>
                <w:szCs w:val="20"/>
              </w:rPr>
            </w:pPr>
            <w:r w:rsidRPr="00E366D2">
              <w:rPr>
                <w:rFonts w:cs="Calibri"/>
                <w:color w:val="000000"/>
                <w:szCs w:val="20"/>
              </w:rPr>
              <w:t>-3,600</w:t>
            </w:r>
          </w:p>
        </w:tc>
        <w:tc>
          <w:tcPr>
            <w:tcW w:w="964" w:type="dxa"/>
            <w:gridSpan w:val="2"/>
            <w:tcBorders>
              <w:top w:val="nil"/>
              <w:left w:val="nil"/>
              <w:bottom w:val="nil"/>
              <w:right w:val="nil"/>
            </w:tcBorders>
          </w:tcPr>
          <w:p w14:paraId="69773F15" w14:textId="77777777" w:rsidR="00CF0E2D" w:rsidRPr="00E366D2" w:rsidRDefault="00CF0E2D" w:rsidP="00A60D4B">
            <w:pPr>
              <w:pStyle w:val="Btablefigureunbold"/>
              <w:rPr>
                <w:szCs w:val="20"/>
              </w:rPr>
            </w:pPr>
            <w:r w:rsidRPr="00E366D2">
              <w:rPr>
                <w:rFonts w:cs="Calibri"/>
                <w:color w:val="000000"/>
                <w:szCs w:val="20"/>
              </w:rPr>
              <w:t>31,200</w:t>
            </w:r>
          </w:p>
        </w:tc>
        <w:tc>
          <w:tcPr>
            <w:tcW w:w="954" w:type="dxa"/>
            <w:gridSpan w:val="2"/>
            <w:tcBorders>
              <w:top w:val="nil"/>
              <w:left w:val="nil"/>
              <w:bottom w:val="nil"/>
              <w:right w:val="nil"/>
            </w:tcBorders>
          </w:tcPr>
          <w:p w14:paraId="1EBBFF3E" w14:textId="77777777" w:rsidR="00CF0E2D" w:rsidRPr="00E366D2" w:rsidRDefault="00CF0E2D" w:rsidP="00A60D4B">
            <w:pPr>
              <w:pStyle w:val="Btablefigureunbold"/>
              <w:rPr>
                <w:b/>
                <w:bCs/>
                <w:szCs w:val="20"/>
              </w:rPr>
            </w:pPr>
            <w:r w:rsidRPr="00E366D2">
              <w:rPr>
                <w:rFonts w:cs="Calibri"/>
                <w:b/>
                <w:bCs/>
                <w:color w:val="000000"/>
                <w:szCs w:val="20"/>
              </w:rPr>
              <w:t>8,250</w:t>
            </w:r>
          </w:p>
        </w:tc>
      </w:tr>
      <w:tr w:rsidR="00CF0E2D" w:rsidRPr="00D60558" w14:paraId="5BCEB732" w14:textId="77777777" w:rsidTr="00A60D4B">
        <w:trPr>
          <w:gridAfter w:val="1"/>
          <w:wAfter w:w="9" w:type="dxa"/>
          <w:jc w:val="center"/>
        </w:trPr>
        <w:tc>
          <w:tcPr>
            <w:tcW w:w="3355" w:type="dxa"/>
            <w:tcBorders>
              <w:top w:val="nil"/>
              <w:left w:val="nil"/>
              <w:bottom w:val="nil"/>
              <w:right w:val="nil"/>
            </w:tcBorders>
          </w:tcPr>
          <w:p w14:paraId="66B2CB1B"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Improving the city's traffic network</w:t>
            </w:r>
          </w:p>
        </w:tc>
        <w:tc>
          <w:tcPr>
            <w:tcW w:w="1093" w:type="dxa"/>
            <w:tcBorders>
              <w:top w:val="nil"/>
              <w:left w:val="nil"/>
              <w:bottom w:val="nil"/>
              <w:right w:val="nil"/>
            </w:tcBorders>
          </w:tcPr>
          <w:p w14:paraId="7426B5CE" w14:textId="77777777" w:rsidR="00CF0E2D" w:rsidRPr="0044739F" w:rsidRDefault="00CF0E2D" w:rsidP="00A60D4B">
            <w:pPr>
              <w:pStyle w:val="Btablefigureunbold"/>
              <w:ind w:left="0" w:firstLine="0"/>
              <w:jc w:val="left"/>
              <w:rPr>
                <w:rFonts w:cs="Calibri"/>
                <w:color w:val="000000"/>
                <w:szCs w:val="20"/>
              </w:rPr>
            </w:pPr>
            <w:r w:rsidRPr="00ED47CD">
              <w:rPr>
                <w:rFonts w:cs="Calibri"/>
                <w:color w:val="000000"/>
                <w:szCs w:val="20"/>
              </w:rPr>
              <w:t>Net cost</w:t>
            </w:r>
          </w:p>
        </w:tc>
        <w:tc>
          <w:tcPr>
            <w:tcW w:w="964" w:type="dxa"/>
            <w:gridSpan w:val="2"/>
            <w:tcBorders>
              <w:top w:val="nil"/>
              <w:left w:val="nil"/>
              <w:bottom w:val="nil"/>
              <w:right w:val="nil"/>
            </w:tcBorders>
          </w:tcPr>
          <w:p w14:paraId="0C19885D" w14:textId="77777777" w:rsidR="00CF0E2D" w:rsidRPr="00E366D2" w:rsidRDefault="00CF0E2D" w:rsidP="00A60D4B">
            <w:pPr>
              <w:pStyle w:val="Btablefigureunbold"/>
              <w:rPr>
                <w:szCs w:val="20"/>
              </w:rPr>
            </w:pPr>
            <w:r w:rsidRPr="00E366D2">
              <w:rPr>
                <w:rFonts w:cs="Calibri"/>
                <w:color w:val="000000"/>
                <w:szCs w:val="20"/>
              </w:rPr>
              <w:t>150</w:t>
            </w:r>
          </w:p>
        </w:tc>
        <w:tc>
          <w:tcPr>
            <w:tcW w:w="964" w:type="dxa"/>
            <w:gridSpan w:val="2"/>
            <w:tcBorders>
              <w:top w:val="nil"/>
              <w:left w:val="nil"/>
              <w:bottom w:val="nil"/>
              <w:right w:val="nil"/>
            </w:tcBorders>
          </w:tcPr>
          <w:p w14:paraId="4A911A3F" w14:textId="77777777" w:rsidR="00CF0E2D" w:rsidRPr="00E366D2" w:rsidRDefault="00CF0E2D" w:rsidP="00A60D4B">
            <w:pPr>
              <w:pStyle w:val="Btablefigureunbold"/>
              <w:rPr>
                <w:szCs w:val="20"/>
              </w:rPr>
            </w:pPr>
            <w:r w:rsidRPr="00E366D2">
              <w:rPr>
                <w:rFonts w:cs="Calibri"/>
                <w:color w:val="000000"/>
                <w:szCs w:val="20"/>
              </w:rPr>
              <w:t>50</w:t>
            </w:r>
          </w:p>
        </w:tc>
        <w:tc>
          <w:tcPr>
            <w:tcW w:w="964" w:type="dxa"/>
            <w:gridSpan w:val="2"/>
            <w:tcBorders>
              <w:top w:val="nil"/>
              <w:left w:val="nil"/>
              <w:bottom w:val="nil"/>
              <w:right w:val="nil"/>
            </w:tcBorders>
          </w:tcPr>
          <w:p w14:paraId="3BA8C126"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5406959C" w14:textId="77777777" w:rsidR="00CF0E2D" w:rsidRPr="00E366D2" w:rsidRDefault="00CF0E2D" w:rsidP="00A60D4B">
            <w:pPr>
              <w:pStyle w:val="Btablefigureunbold"/>
              <w:rPr>
                <w:szCs w:val="20"/>
              </w:rPr>
            </w:pPr>
            <w:r w:rsidRPr="00E366D2">
              <w:rPr>
                <w:rFonts w:cs="Calibri"/>
                <w:color w:val="000000"/>
                <w:szCs w:val="20"/>
              </w:rPr>
              <w:t>0</w:t>
            </w:r>
          </w:p>
        </w:tc>
        <w:tc>
          <w:tcPr>
            <w:tcW w:w="954" w:type="dxa"/>
            <w:gridSpan w:val="2"/>
            <w:tcBorders>
              <w:top w:val="nil"/>
              <w:left w:val="nil"/>
              <w:bottom w:val="nil"/>
              <w:right w:val="nil"/>
            </w:tcBorders>
          </w:tcPr>
          <w:p w14:paraId="1BA67477" w14:textId="77777777" w:rsidR="00CF0E2D" w:rsidRPr="00E366D2" w:rsidRDefault="00CF0E2D" w:rsidP="00A60D4B">
            <w:pPr>
              <w:pStyle w:val="Btablefigureunbold"/>
              <w:rPr>
                <w:b/>
                <w:bCs/>
                <w:szCs w:val="20"/>
              </w:rPr>
            </w:pPr>
            <w:r w:rsidRPr="00E366D2">
              <w:rPr>
                <w:rFonts w:cs="Calibri"/>
                <w:b/>
                <w:bCs/>
                <w:color w:val="000000"/>
                <w:szCs w:val="20"/>
              </w:rPr>
              <w:t>200</w:t>
            </w:r>
          </w:p>
        </w:tc>
      </w:tr>
      <w:tr w:rsidR="00CF0E2D" w:rsidRPr="00D60558" w14:paraId="5578C5F4" w14:textId="77777777" w:rsidTr="00A60D4B">
        <w:trPr>
          <w:gridAfter w:val="1"/>
          <w:wAfter w:w="9" w:type="dxa"/>
          <w:jc w:val="center"/>
        </w:trPr>
        <w:tc>
          <w:tcPr>
            <w:tcW w:w="3355" w:type="dxa"/>
            <w:tcBorders>
              <w:top w:val="nil"/>
              <w:left w:val="nil"/>
              <w:bottom w:val="nil"/>
              <w:right w:val="nil"/>
            </w:tcBorders>
          </w:tcPr>
          <w:p w14:paraId="2456DB52" w14:textId="77777777" w:rsidR="00CF0E2D" w:rsidRPr="00C05488" w:rsidRDefault="00CF0E2D" w:rsidP="00A60D4B">
            <w:pPr>
              <w:pStyle w:val="Btabletextunbold"/>
              <w:rPr>
                <w:szCs w:val="20"/>
              </w:rPr>
            </w:pPr>
            <w:r>
              <w:rPr>
                <w:rFonts w:cs="Calibri"/>
                <w:szCs w:val="20"/>
              </w:rPr>
              <w:lastRenderedPageBreak/>
              <w:t>–</w:t>
            </w:r>
            <w:r w:rsidRPr="00C05488">
              <w:rPr>
                <w:rFonts w:cs="Calibri"/>
                <w:szCs w:val="20"/>
              </w:rPr>
              <w:t xml:space="preserve"> Modelling transport across Canberra</w:t>
            </w:r>
          </w:p>
        </w:tc>
        <w:tc>
          <w:tcPr>
            <w:tcW w:w="1093" w:type="dxa"/>
            <w:tcBorders>
              <w:top w:val="nil"/>
              <w:left w:val="nil"/>
              <w:bottom w:val="nil"/>
              <w:right w:val="nil"/>
            </w:tcBorders>
          </w:tcPr>
          <w:p w14:paraId="3328B0AE" w14:textId="77777777" w:rsidR="00CF0E2D" w:rsidRPr="0044739F" w:rsidRDefault="00CF0E2D" w:rsidP="00A60D4B">
            <w:pPr>
              <w:pStyle w:val="Btablefigureunbold"/>
              <w:ind w:left="0" w:firstLine="0"/>
              <w:jc w:val="left"/>
              <w:rPr>
                <w:rFonts w:cs="Calibri"/>
                <w:color w:val="000000"/>
                <w:szCs w:val="20"/>
              </w:rPr>
            </w:pPr>
            <w:r w:rsidRPr="00ED47CD">
              <w:rPr>
                <w:rFonts w:cs="Calibri"/>
                <w:color w:val="000000"/>
                <w:szCs w:val="20"/>
              </w:rPr>
              <w:t>Net cost</w:t>
            </w:r>
          </w:p>
        </w:tc>
        <w:tc>
          <w:tcPr>
            <w:tcW w:w="964" w:type="dxa"/>
            <w:gridSpan w:val="2"/>
            <w:tcBorders>
              <w:top w:val="nil"/>
              <w:left w:val="nil"/>
              <w:bottom w:val="nil"/>
              <w:right w:val="nil"/>
            </w:tcBorders>
          </w:tcPr>
          <w:p w14:paraId="3B0EDF86" w14:textId="77777777" w:rsidR="00CF0E2D" w:rsidRPr="00E366D2" w:rsidRDefault="00CF0E2D" w:rsidP="00A60D4B">
            <w:pPr>
              <w:pStyle w:val="Btablefigureunbold"/>
              <w:rPr>
                <w:szCs w:val="20"/>
              </w:rPr>
            </w:pPr>
            <w:r w:rsidRPr="00E366D2">
              <w:rPr>
                <w:rFonts w:cs="Calibri"/>
                <w:color w:val="000000"/>
                <w:szCs w:val="20"/>
              </w:rPr>
              <w:t>1,286</w:t>
            </w:r>
          </w:p>
        </w:tc>
        <w:tc>
          <w:tcPr>
            <w:tcW w:w="964" w:type="dxa"/>
            <w:gridSpan w:val="2"/>
            <w:tcBorders>
              <w:top w:val="nil"/>
              <w:left w:val="nil"/>
              <w:bottom w:val="nil"/>
              <w:right w:val="nil"/>
            </w:tcBorders>
          </w:tcPr>
          <w:p w14:paraId="44A1E920" w14:textId="77777777" w:rsidR="00CF0E2D" w:rsidRPr="00E366D2" w:rsidRDefault="00CF0E2D" w:rsidP="00A60D4B">
            <w:pPr>
              <w:pStyle w:val="Btablefigureunbold"/>
              <w:rPr>
                <w:szCs w:val="20"/>
              </w:rPr>
            </w:pPr>
            <w:r w:rsidRPr="00E366D2">
              <w:rPr>
                <w:rFonts w:cs="Calibri"/>
                <w:color w:val="000000"/>
                <w:szCs w:val="20"/>
              </w:rPr>
              <w:t>1,099</w:t>
            </w:r>
          </w:p>
        </w:tc>
        <w:tc>
          <w:tcPr>
            <w:tcW w:w="964" w:type="dxa"/>
            <w:gridSpan w:val="2"/>
            <w:tcBorders>
              <w:top w:val="nil"/>
              <w:left w:val="nil"/>
              <w:bottom w:val="nil"/>
              <w:right w:val="nil"/>
            </w:tcBorders>
          </w:tcPr>
          <w:p w14:paraId="12795B7A" w14:textId="77777777" w:rsidR="00CF0E2D" w:rsidRPr="00E366D2" w:rsidRDefault="00CF0E2D" w:rsidP="00A60D4B">
            <w:pPr>
              <w:pStyle w:val="Btablefigureunbold"/>
              <w:rPr>
                <w:szCs w:val="20"/>
              </w:rPr>
            </w:pPr>
            <w:r w:rsidRPr="00E366D2">
              <w:rPr>
                <w:rFonts w:cs="Calibri"/>
                <w:color w:val="000000"/>
                <w:szCs w:val="20"/>
              </w:rPr>
              <w:t>381</w:t>
            </w:r>
          </w:p>
        </w:tc>
        <w:tc>
          <w:tcPr>
            <w:tcW w:w="964" w:type="dxa"/>
            <w:gridSpan w:val="2"/>
            <w:tcBorders>
              <w:top w:val="nil"/>
              <w:left w:val="nil"/>
              <w:bottom w:val="nil"/>
              <w:right w:val="nil"/>
            </w:tcBorders>
          </w:tcPr>
          <w:p w14:paraId="54B70B8B" w14:textId="77777777" w:rsidR="00CF0E2D" w:rsidRPr="00E366D2" w:rsidRDefault="00CF0E2D" w:rsidP="00A60D4B">
            <w:pPr>
              <w:pStyle w:val="Btablefigureunbold"/>
              <w:rPr>
                <w:szCs w:val="20"/>
              </w:rPr>
            </w:pPr>
            <w:r w:rsidRPr="00E366D2">
              <w:rPr>
                <w:rFonts w:cs="Calibri"/>
                <w:color w:val="000000"/>
                <w:szCs w:val="20"/>
              </w:rPr>
              <w:t>173</w:t>
            </w:r>
          </w:p>
        </w:tc>
        <w:tc>
          <w:tcPr>
            <w:tcW w:w="954" w:type="dxa"/>
            <w:gridSpan w:val="2"/>
            <w:tcBorders>
              <w:top w:val="nil"/>
              <w:left w:val="nil"/>
              <w:bottom w:val="nil"/>
              <w:right w:val="nil"/>
            </w:tcBorders>
          </w:tcPr>
          <w:p w14:paraId="0D42C47E" w14:textId="77777777" w:rsidR="00CF0E2D" w:rsidRPr="00E366D2" w:rsidRDefault="00CF0E2D" w:rsidP="00A60D4B">
            <w:pPr>
              <w:pStyle w:val="Btablefigureunbold"/>
              <w:rPr>
                <w:b/>
                <w:bCs/>
                <w:szCs w:val="20"/>
              </w:rPr>
            </w:pPr>
            <w:r w:rsidRPr="00E366D2">
              <w:rPr>
                <w:rFonts w:cs="Calibri"/>
                <w:b/>
                <w:bCs/>
                <w:color w:val="000000"/>
                <w:szCs w:val="20"/>
              </w:rPr>
              <w:t>2,939</w:t>
            </w:r>
          </w:p>
        </w:tc>
      </w:tr>
      <w:tr w:rsidR="00CF0E2D" w:rsidRPr="00D60558" w14:paraId="2017D692" w14:textId="77777777" w:rsidTr="00A60D4B">
        <w:trPr>
          <w:gridAfter w:val="1"/>
          <w:wAfter w:w="9" w:type="dxa"/>
          <w:jc w:val="center"/>
        </w:trPr>
        <w:tc>
          <w:tcPr>
            <w:tcW w:w="3355" w:type="dxa"/>
            <w:tcBorders>
              <w:top w:val="nil"/>
              <w:left w:val="nil"/>
              <w:bottom w:val="nil"/>
              <w:right w:val="nil"/>
            </w:tcBorders>
          </w:tcPr>
          <w:p w14:paraId="154EF39D"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Monaro Highway upgrades</w:t>
            </w:r>
          </w:p>
        </w:tc>
        <w:tc>
          <w:tcPr>
            <w:tcW w:w="1093" w:type="dxa"/>
            <w:tcBorders>
              <w:top w:val="nil"/>
              <w:left w:val="nil"/>
              <w:bottom w:val="nil"/>
              <w:right w:val="nil"/>
            </w:tcBorders>
          </w:tcPr>
          <w:p w14:paraId="10E49CF0" w14:textId="77777777" w:rsidR="00CF0E2D" w:rsidRPr="0044739F" w:rsidRDefault="00CF0E2D" w:rsidP="00A60D4B">
            <w:pPr>
              <w:pStyle w:val="Btablefigureunbold"/>
              <w:ind w:left="0" w:firstLine="0"/>
              <w:jc w:val="left"/>
              <w:rPr>
                <w:rFonts w:cs="Calibri"/>
                <w:color w:val="000000"/>
                <w:szCs w:val="20"/>
              </w:rPr>
            </w:pPr>
            <w:r w:rsidRPr="0044739F">
              <w:rPr>
                <w:rFonts w:cs="Calibri"/>
                <w:color w:val="000000"/>
                <w:szCs w:val="20"/>
              </w:rPr>
              <w:t>Net capital</w:t>
            </w:r>
          </w:p>
        </w:tc>
        <w:tc>
          <w:tcPr>
            <w:tcW w:w="964" w:type="dxa"/>
            <w:gridSpan w:val="2"/>
            <w:tcBorders>
              <w:top w:val="nil"/>
              <w:left w:val="nil"/>
              <w:bottom w:val="nil"/>
              <w:right w:val="nil"/>
            </w:tcBorders>
          </w:tcPr>
          <w:p w14:paraId="2D6560EE" w14:textId="77777777" w:rsidR="00CF0E2D" w:rsidRPr="00E366D2" w:rsidRDefault="00CF0E2D" w:rsidP="00A60D4B">
            <w:pPr>
              <w:pStyle w:val="Btablefigureunbold"/>
              <w:rPr>
                <w:szCs w:val="20"/>
              </w:rPr>
            </w:pPr>
            <w:r w:rsidRPr="00E366D2">
              <w:rPr>
                <w:rFonts w:cs="Calibri"/>
                <w:color w:val="000000"/>
                <w:szCs w:val="20"/>
              </w:rPr>
              <w:t>1,500</w:t>
            </w:r>
          </w:p>
        </w:tc>
        <w:tc>
          <w:tcPr>
            <w:tcW w:w="964" w:type="dxa"/>
            <w:gridSpan w:val="2"/>
            <w:tcBorders>
              <w:top w:val="nil"/>
              <w:left w:val="nil"/>
              <w:bottom w:val="nil"/>
              <w:right w:val="nil"/>
            </w:tcBorders>
          </w:tcPr>
          <w:p w14:paraId="254457B7" w14:textId="77777777" w:rsidR="00CF0E2D" w:rsidRPr="00E366D2" w:rsidRDefault="00CF0E2D" w:rsidP="00A60D4B">
            <w:pPr>
              <w:pStyle w:val="Btablefigureunbold"/>
              <w:rPr>
                <w:szCs w:val="20"/>
              </w:rPr>
            </w:pPr>
            <w:r w:rsidRPr="00E366D2">
              <w:rPr>
                <w:rFonts w:cs="Calibri"/>
                <w:color w:val="000000"/>
                <w:szCs w:val="20"/>
              </w:rPr>
              <w:t>7,000</w:t>
            </w:r>
          </w:p>
        </w:tc>
        <w:tc>
          <w:tcPr>
            <w:tcW w:w="964" w:type="dxa"/>
            <w:gridSpan w:val="2"/>
            <w:tcBorders>
              <w:top w:val="nil"/>
              <w:left w:val="nil"/>
              <w:bottom w:val="nil"/>
              <w:right w:val="nil"/>
            </w:tcBorders>
          </w:tcPr>
          <w:p w14:paraId="49E5C55F" w14:textId="77777777" w:rsidR="00CF0E2D" w:rsidRPr="00E366D2" w:rsidRDefault="00CF0E2D" w:rsidP="00A60D4B">
            <w:pPr>
              <w:pStyle w:val="Btablefigureunbold"/>
              <w:rPr>
                <w:szCs w:val="20"/>
              </w:rPr>
            </w:pPr>
            <w:r w:rsidRPr="00E366D2">
              <w:rPr>
                <w:rFonts w:cs="Calibri"/>
                <w:color w:val="000000"/>
                <w:szCs w:val="20"/>
              </w:rPr>
              <w:t>-5,000</w:t>
            </w:r>
          </w:p>
        </w:tc>
        <w:tc>
          <w:tcPr>
            <w:tcW w:w="964" w:type="dxa"/>
            <w:gridSpan w:val="2"/>
            <w:tcBorders>
              <w:top w:val="nil"/>
              <w:left w:val="nil"/>
              <w:bottom w:val="nil"/>
              <w:right w:val="nil"/>
            </w:tcBorders>
          </w:tcPr>
          <w:p w14:paraId="0ED1A8B4" w14:textId="77777777" w:rsidR="00CF0E2D" w:rsidRPr="00E366D2" w:rsidRDefault="00CF0E2D" w:rsidP="00A60D4B">
            <w:pPr>
              <w:pStyle w:val="Btablefigureunbold"/>
              <w:rPr>
                <w:szCs w:val="20"/>
              </w:rPr>
            </w:pPr>
            <w:r w:rsidRPr="00E366D2">
              <w:rPr>
                <w:rFonts w:cs="Calibri"/>
                <w:color w:val="000000"/>
                <w:szCs w:val="20"/>
              </w:rPr>
              <w:t>24,500</w:t>
            </w:r>
          </w:p>
        </w:tc>
        <w:tc>
          <w:tcPr>
            <w:tcW w:w="954" w:type="dxa"/>
            <w:gridSpan w:val="2"/>
            <w:tcBorders>
              <w:top w:val="nil"/>
              <w:left w:val="nil"/>
              <w:bottom w:val="nil"/>
              <w:right w:val="nil"/>
            </w:tcBorders>
          </w:tcPr>
          <w:p w14:paraId="1C41B70B" w14:textId="77777777" w:rsidR="00CF0E2D" w:rsidRPr="00E366D2" w:rsidRDefault="00CF0E2D" w:rsidP="00A60D4B">
            <w:pPr>
              <w:pStyle w:val="Btablefigureunbold"/>
              <w:rPr>
                <w:b/>
                <w:bCs/>
                <w:szCs w:val="20"/>
              </w:rPr>
            </w:pPr>
            <w:r w:rsidRPr="00E366D2">
              <w:rPr>
                <w:rFonts w:cs="Calibri"/>
                <w:b/>
                <w:bCs/>
                <w:color w:val="000000"/>
                <w:szCs w:val="20"/>
              </w:rPr>
              <w:t>28,000</w:t>
            </w:r>
          </w:p>
        </w:tc>
      </w:tr>
      <w:tr w:rsidR="00CF0E2D" w:rsidRPr="00D60558" w14:paraId="67879EDC" w14:textId="77777777" w:rsidTr="00A60D4B">
        <w:trPr>
          <w:gridAfter w:val="1"/>
          <w:wAfter w:w="9" w:type="dxa"/>
          <w:jc w:val="center"/>
        </w:trPr>
        <w:tc>
          <w:tcPr>
            <w:tcW w:w="3355" w:type="dxa"/>
            <w:tcBorders>
              <w:top w:val="nil"/>
              <w:left w:val="nil"/>
              <w:bottom w:val="nil"/>
              <w:right w:val="nil"/>
            </w:tcBorders>
          </w:tcPr>
          <w:p w14:paraId="4D8F7402"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Parkes Way/Coranderrk Street intersection</w:t>
            </w:r>
          </w:p>
        </w:tc>
        <w:tc>
          <w:tcPr>
            <w:tcW w:w="1093" w:type="dxa"/>
            <w:tcBorders>
              <w:top w:val="nil"/>
              <w:left w:val="nil"/>
              <w:bottom w:val="nil"/>
              <w:right w:val="nil"/>
            </w:tcBorders>
          </w:tcPr>
          <w:p w14:paraId="136249D2" w14:textId="77777777" w:rsidR="00CF0E2D" w:rsidRPr="0044739F"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3CB6AFA4" w14:textId="77777777" w:rsidR="00CF0E2D" w:rsidRPr="00E366D2" w:rsidRDefault="00CF0E2D" w:rsidP="00A60D4B">
            <w:pPr>
              <w:pStyle w:val="Btablefigureunbold"/>
              <w:rPr>
                <w:szCs w:val="20"/>
              </w:rPr>
            </w:pPr>
            <w:r w:rsidRPr="00E366D2">
              <w:rPr>
                <w:rFonts w:cs="Calibri"/>
                <w:color w:val="000000"/>
                <w:szCs w:val="20"/>
              </w:rPr>
              <w:t>4,006</w:t>
            </w:r>
          </w:p>
        </w:tc>
        <w:tc>
          <w:tcPr>
            <w:tcW w:w="964" w:type="dxa"/>
            <w:gridSpan w:val="2"/>
            <w:tcBorders>
              <w:top w:val="nil"/>
              <w:left w:val="nil"/>
              <w:bottom w:val="nil"/>
              <w:right w:val="nil"/>
            </w:tcBorders>
          </w:tcPr>
          <w:p w14:paraId="477D02D1"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21E1D668"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6FEB1C62" w14:textId="77777777" w:rsidR="00CF0E2D" w:rsidRPr="00E366D2" w:rsidRDefault="00CF0E2D" w:rsidP="00A60D4B">
            <w:pPr>
              <w:pStyle w:val="Btablefigureunbold"/>
              <w:rPr>
                <w:szCs w:val="20"/>
              </w:rPr>
            </w:pPr>
            <w:r w:rsidRPr="00E366D2">
              <w:rPr>
                <w:rFonts w:cs="Calibri"/>
                <w:color w:val="000000"/>
                <w:szCs w:val="20"/>
              </w:rPr>
              <w:t>0</w:t>
            </w:r>
          </w:p>
        </w:tc>
        <w:tc>
          <w:tcPr>
            <w:tcW w:w="954" w:type="dxa"/>
            <w:gridSpan w:val="2"/>
            <w:tcBorders>
              <w:top w:val="nil"/>
              <w:left w:val="nil"/>
              <w:bottom w:val="nil"/>
              <w:right w:val="nil"/>
            </w:tcBorders>
          </w:tcPr>
          <w:p w14:paraId="29ACDC2E" w14:textId="77777777" w:rsidR="00CF0E2D" w:rsidRPr="00E366D2" w:rsidRDefault="00CF0E2D" w:rsidP="00A60D4B">
            <w:pPr>
              <w:pStyle w:val="Btablefigureunbold"/>
              <w:rPr>
                <w:b/>
                <w:bCs/>
                <w:szCs w:val="20"/>
              </w:rPr>
            </w:pPr>
            <w:r w:rsidRPr="00E366D2">
              <w:rPr>
                <w:rFonts w:cs="Calibri"/>
                <w:b/>
                <w:bCs/>
                <w:color w:val="000000"/>
                <w:szCs w:val="20"/>
              </w:rPr>
              <w:t>4,006</w:t>
            </w:r>
          </w:p>
        </w:tc>
      </w:tr>
      <w:tr w:rsidR="00CF0E2D" w:rsidRPr="00D60558" w14:paraId="0B1F6F04" w14:textId="77777777" w:rsidTr="00A60D4B">
        <w:trPr>
          <w:gridAfter w:val="1"/>
          <w:wAfter w:w="9" w:type="dxa"/>
          <w:jc w:val="center"/>
        </w:trPr>
        <w:tc>
          <w:tcPr>
            <w:tcW w:w="3355" w:type="dxa"/>
            <w:tcBorders>
              <w:top w:val="nil"/>
              <w:left w:val="nil"/>
              <w:bottom w:val="nil"/>
              <w:right w:val="nil"/>
            </w:tcBorders>
          </w:tcPr>
          <w:p w14:paraId="58E64911"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Upgrades for Pialligo</w:t>
            </w:r>
          </w:p>
        </w:tc>
        <w:tc>
          <w:tcPr>
            <w:tcW w:w="1093" w:type="dxa"/>
            <w:tcBorders>
              <w:top w:val="nil"/>
              <w:left w:val="nil"/>
              <w:bottom w:val="nil"/>
              <w:right w:val="nil"/>
            </w:tcBorders>
          </w:tcPr>
          <w:p w14:paraId="158E07A4" w14:textId="77777777" w:rsidR="00CF0E2D" w:rsidRPr="0044739F" w:rsidRDefault="00CF0E2D" w:rsidP="00A60D4B">
            <w:pPr>
              <w:pStyle w:val="Btablefigureunbold"/>
              <w:ind w:left="0" w:firstLine="0"/>
              <w:jc w:val="left"/>
              <w:rPr>
                <w:rFonts w:cs="Calibri"/>
                <w:color w:val="000000"/>
                <w:szCs w:val="20"/>
              </w:rPr>
            </w:pPr>
            <w:r w:rsidRPr="00A65F8A">
              <w:rPr>
                <w:rFonts w:cs="Calibri"/>
                <w:color w:val="000000"/>
                <w:szCs w:val="20"/>
              </w:rPr>
              <w:t>Net capital</w:t>
            </w:r>
          </w:p>
        </w:tc>
        <w:tc>
          <w:tcPr>
            <w:tcW w:w="964" w:type="dxa"/>
            <w:gridSpan w:val="2"/>
            <w:tcBorders>
              <w:top w:val="nil"/>
              <w:left w:val="nil"/>
              <w:bottom w:val="nil"/>
              <w:right w:val="nil"/>
            </w:tcBorders>
          </w:tcPr>
          <w:p w14:paraId="04C7D8BA" w14:textId="77777777" w:rsidR="00CF0E2D" w:rsidRPr="00E366D2" w:rsidRDefault="00CF0E2D" w:rsidP="00A60D4B">
            <w:pPr>
              <w:pStyle w:val="Btablefigureunbold"/>
              <w:rPr>
                <w:szCs w:val="20"/>
              </w:rPr>
            </w:pPr>
            <w:r w:rsidRPr="00E366D2">
              <w:rPr>
                <w:rFonts w:cs="Calibri"/>
                <w:color w:val="000000"/>
                <w:szCs w:val="20"/>
              </w:rPr>
              <w:t>500</w:t>
            </w:r>
          </w:p>
        </w:tc>
        <w:tc>
          <w:tcPr>
            <w:tcW w:w="964" w:type="dxa"/>
            <w:gridSpan w:val="2"/>
            <w:tcBorders>
              <w:top w:val="nil"/>
              <w:left w:val="nil"/>
              <w:bottom w:val="nil"/>
              <w:right w:val="nil"/>
            </w:tcBorders>
          </w:tcPr>
          <w:p w14:paraId="01D20940" w14:textId="77777777" w:rsidR="00CF0E2D" w:rsidRPr="00E366D2" w:rsidRDefault="00CF0E2D" w:rsidP="00A60D4B">
            <w:pPr>
              <w:pStyle w:val="Btablefigureunbold"/>
              <w:rPr>
                <w:szCs w:val="20"/>
              </w:rPr>
            </w:pPr>
            <w:r w:rsidRPr="00E366D2">
              <w:rPr>
                <w:rFonts w:cs="Calibri"/>
                <w:color w:val="000000"/>
                <w:szCs w:val="20"/>
              </w:rPr>
              <w:t>1,970</w:t>
            </w:r>
          </w:p>
        </w:tc>
        <w:tc>
          <w:tcPr>
            <w:tcW w:w="964" w:type="dxa"/>
            <w:gridSpan w:val="2"/>
            <w:tcBorders>
              <w:top w:val="nil"/>
              <w:left w:val="nil"/>
              <w:bottom w:val="nil"/>
              <w:right w:val="nil"/>
            </w:tcBorders>
          </w:tcPr>
          <w:p w14:paraId="71B9A022" w14:textId="77777777" w:rsidR="00CF0E2D" w:rsidRPr="00E366D2" w:rsidRDefault="00CF0E2D" w:rsidP="00A60D4B">
            <w:pPr>
              <w:pStyle w:val="Btablefigureunbold"/>
              <w:rPr>
                <w:szCs w:val="20"/>
              </w:rPr>
            </w:pPr>
            <w:r w:rsidRPr="00E366D2">
              <w:rPr>
                <w:rFonts w:cs="Calibri"/>
                <w:color w:val="000000"/>
                <w:szCs w:val="20"/>
              </w:rPr>
              <w:t>1,130</w:t>
            </w:r>
          </w:p>
        </w:tc>
        <w:tc>
          <w:tcPr>
            <w:tcW w:w="964" w:type="dxa"/>
            <w:gridSpan w:val="2"/>
            <w:tcBorders>
              <w:top w:val="nil"/>
              <w:left w:val="nil"/>
              <w:bottom w:val="nil"/>
              <w:right w:val="nil"/>
            </w:tcBorders>
          </w:tcPr>
          <w:p w14:paraId="794127EB" w14:textId="77777777" w:rsidR="00CF0E2D" w:rsidRPr="00E366D2" w:rsidRDefault="00CF0E2D" w:rsidP="00A60D4B">
            <w:pPr>
              <w:pStyle w:val="Btablefigureunbold"/>
              <w:rPr>
                <w:szCs w:val="20"/>
              </w:rPr>
            </w:pPr>
            <w:r w:rsidRPr="00E366D2">
              <w:rPr>
                <w:rFonts w:cs="Calibri"/>
                <w:color w:val="000000"/>
                <w:szCs w:val="20"/>
              </w:rPr>
              <w:t>400</w:t>
            </w:r>
          </w:p>
        </w:tc>
        <w:tc>
          <w:tcPr>
            <w:tcW w:w="954" w:type="dxa"/>
            <w:gridSpan w:val="2"/>
            <w:tcBorders>
              <w:top w:val="nil"/>
              <w:left w:val="nil"/>
              <w:bottom w:val="nil"/>
              <w:right w:val="nil"/>
            </w:tcBorders>
          </w:tcPr>
          <w:p w14:paraId="53A564F8" w14:textId="77777777" w:rsidR="00CF0E2D" w:rsidRPr="00E366D2" w:rsidRDefault="00CF0E2D" w:rsidP="00A60D4B">
            <w:pPr>
              <w:pStyle w:val="Btablefigureunbold"/>
              <w:rPr>
                <w:b/>
                <w:bCs/>
                <w:szCs w:val="20"/>
              </w:rPr>
            </w:pPr>
            <w:r w:rsidRPr="00E366D2">
              <w:rPr>
                <w:rFonts w:cs="Calibri"/>
                <w:b/>
                <w:bCs/>
                <w:color w:val="000000"/>
                <w:szCs w:val="20"/>
              </w:rPr>
              <w:t>4,000</w:t>
            </w:r>
          </w:p>
        </w:tc>
      </w:tr>
      <w:tr w:rsidR="00CF0E2D" w:rsidRPr="00D60558" w14:paraId="31CE3377" w14:textId="77777777" w:rsidTr="00A60D4B">
        <w:trPr>
          <w:gridAfter w:val="1"/>
          <w:wAfter w:w="9" w:type="dxa"/>
          <w:jc w:val="center"/>
        </w:trPr>
        <w:tc>
          <w:tcPr>
            <w:tcW w:w="3355" w:type="dxa"/>
            <w:tcBorders>
              <w:top w:val="nil"/>
              <w:left w:val="nil"/>
              <w:bottom w:val="nil"/>
              <w:right w:val="nil"/>
            </w:tcBorders>
          </w:tcPr>
          <w:p w14:paraId="4FF295AA"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Upgrading roads in south-west Canberra</w:t>
            </w:r>
          </w:p>
        </w:tc>
        <w:tc>
          <w:tcPr>
            <w:tcW w:w="1093" w:type="dxa"/>
            <w:tcBorders>
              <w:top w:val="nil"/>
              <w:left w:val="nil"/>
              <w:bottom w:val="nil"/>
              <w:right w:val="nil"/>
            </w:tcBorders>
          </w:tcPr>
          <w:p w14:paraId="286470DA" w14:textId="77777777" w:rsidR="00CF0E2D" w:rsidRPr="0044739F" w:rsidRDefault="00CF0E2D" w:rsidP="00A60D4B">
            <w:pPr>
              <w:pStyle w:val="Btablefigureunbold"/>
              <w:ind w:left="0" w:firstLine="0"/>
              <w:jc w:val="left"/>
              <w:rPr>
                <w:rFonts w:cs="Calibri"/>
                <w:color w:val="000000"/>
                <w:szCs w:val="20"/>
              </w:rPr>
            </w:pPr>
            <w:r w:rsidRPr="00A65F8A">
              <w:rPr>
                <w:rFonts w:cs="Calibri"/>
                <w:color w:val="000000"/>
                <w:szCs w:val="20"/>
              </w:rPr>
              <w:t>Net capital</w:t>
            </w:r>
          </w:p>
        </w:tc>
        <w:tc>
          <w:tcPr>
            <w:tcW w:w="964" w:type="dxa"/>
            <w:gridSpan w:val="2"/>
            <w:tcBorders>
              <w:top w:val="nil"/>
              <w:left w:val="nil"/>
              <w:bottom w:val="nil"/>
              <w:right w:val="nil"/>
            </w:tcBorders>
          </w:tcPr>
          <w:p w14:paraId="304A29B9" w14:textId="77777777" w:rsidR="00CF0E2D" w:rsidRPr="00E366D2" w:rsidRDefault="00CF0E2D" w:rsidP="00A60D4B">
            <w:pPr>
              <w:pStyle w:val="Btablefigureunbold"/>
              <w:rPr>
                <w:szCs w:val="20"/>
              </w:rPr>
            </w:pPr>
            <w:r w:rsidRPr="00E366D2">
              <w:rPr>
                <w:rFonts w:cs="Calibri"/>
                <w:color w:val="000000"/>
                <w:szCs w:val="20"/>
              </w:rPr>
              <w:t>-4,000</w:t>
            </w:r>
          </w:p>
        </w:tc>
        <w:tc>
          <w:tcPr>
            <w:tcW w:w="964" w:type="dxa"/>
            <w:gridSpan w:val="2"/>
            <w:tcBorders>
              <w:top w:val="nil"/>
              <w:left w:val="nil"/>
              <w:bottom w:val="nil"/>
              <w:right w:val="nil"/>
            </w:tcBorders>
          </w:tcPr>
          <w:p w14:paraId="282F5F79" w14:textId="77777777" w:rsidR="00CF0E2D" w:rsidRPr="00E366D2" w:rsidRDefault="00CF0E2D" w:rsidP="00A60D4B">
            <w:pPr>
              <w:pStyle w:val="Btablefigureunbold"/>
              <w:rPr>
                <w:szCs w:val="20"/>
              </w:rPr>
            </w:pPr>
            <w:r w:rsidRPr="00E366D2">
              <w:rPr>
                <w:rFonts w:cs="Calibri"/>
                <w:color w:val="000000"/>
                <w:szCs w:val="20"/>
              </w:rPr>
              <w:t>-4,100</w:t>
            </w:r>
          </w:p>
        </w:tc>
        <w:tc>
          <w:tcPr>
            <w:tcW w:w="964" w:type="dxa"/>
            <w:gridSpan w:val="2"/>
            <w:tcBorders>
              <w:top w:val="nil"/>
              <w:left w:val="nil"/>
              <w:bottom w:val="nil"/>
              <w:right w:val="nil"/>
            </w:tcBorders>
          </w:tcPr>
          <w:p w14:paraId="3C6E6073"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7176FE28" w14:textId="77777777" w:rsidR="00CF0E2D" w:rsidRPr="00E366D2" w:rsidRDefault="00CF0E2D" w:rsidP="00A60D4B">
            <w:pPr>
              <w:pStyle w:val="Btablefigureunbold"/>
              <w:rPr>
                <w:szCs w:val="20"/>
              </w:rPr>
            </w:pPr>
            <w:r w:rsidRPr="00E366D2">
              <w:rPr>
                <w:rFonts w:cs="Calibri"/>
                <w:color w:val="000000"/>
                <w:szCs w:val="20"/>
              </w:rPr>
              <w:t>15,000</w:t>
            </w:r>
          </w:p>
        </w:tc>
        <w:tc>
          <w:tcPr>
            <w:tcW w:w="954" w:type="dxa"/>
            <w:gridSpan w:val="2"/>
            <w:tcBorders>
              <w:top w:val="nil"/>
              <w:left w:val="nil"/>
              <w:bottom w:val="nil"/>
              <w:right w:val="nil"/>
            </w:tcBorders>
          </w:tcPr>
          <w:p w14:paraId="7D013153" w14:textId="77777777" w:rsidR="00CF0E2D" w:rsidRPr="00E366D2" w:rsidRDefault="00CF0E2D" w:rsidP="00A60D4B">
            <w:pPr>
              <w:pStyle w:val="Btablefigureunbold"/>
              <w:rPr>
                <w:b/>
                <w:bCs/>
                <w:szCs w:val="20"/>
              </w:rPr>
            </w:pPr>
            <w:r w:rsidRPr="00E366D2">
              <w:rPr>
                <w:rFonts w:cs="Calibri"/>
                <w:b/>
                <w:bCs/>
                <w:color w:val="000000"/>
                <w:szCs w:val="20"/>
              </w:rPr>
              <w:t>6,900</w:t>
            </w:r>
          </w:p>
        </w:tc>
      </w:tr>
      <w:tr w:rsidR="00CF0E2D" w:rsidRPr="00D60558" w14:paraId="3F5F9A5E" w14:textId="77777777" w:rsidTr="00A60D4B">
        <w:trPr>
          <w:gridAfter w:val="1"/>
          <w:wAfter w:w="9" w:type="dxa"/>
          <w:jc w:val="center"/>
        </w:trPr>
        <w:tc>
          <w:tcPr>
            <w:tcW w:w="3355" w:type="dxa"/>
            <w:tcBorders>
              <w:top w:val="nil"/>
              <w:left w:val="nil"/>
              <w:bottom w:val="nil"/>
              <w:right w:val="nil"/>
            </w:tcBorders>
          </w:tcPr>
          <w:p w14:paraId="4E992EE0"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Upgrading roads in south-west Canberra</w:t>
            </w:r>
          </w:p>
        </w:tc>
        <w:tc>
          <w:tcPr>
            <w:tcW w:w="1093" w:type="dxa"/>
            <w:tcBorders>
              <w:top w:val="nil"/>
              <w:left w:val="nil"/>
              <w:bottom w:val="nil"/>
              <w:right w:val="nil"/>
            </w:tcBorders>
          </w:tcPr>
          <w:p w14:paraId="65A82EA0" w14:textId="77777777" w:rsidR="00CF0E2D" w:rsidRPr="0044739F"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00119582" w14:textId="77777777" w:rsidR="00CF0E2D" w:rsidRPr="00E366D2" w:rsidRDefault="00CF0E2D" w:rsidP="00A60D4B">
            <w:pPr>
              <w:pStyle w:val="Btablefigureunbold"/>
              <w:rPr>
                <w:szCs w:val="20"/>
              </w:rPr>
            </w:pPr>
            <w:r w:rsidRPr="00E366D2">
              <w:rPr>
                <w:rFonts w:cs="Calibri"/>
                <w:color w:val="000000"/>
                <w:szCs w:val="20"/>
              </w:rPr>
              <w:t>800</w:t>
            </w:r>
          </w:p>
        </w:tc>
        <w:tc>
          <w:tcPr>
            <w:tcW w:w="964" w:type="dxa"/>
            <w:gridSpan w:val="2"/>
            <w:tcBorders>
              <w:top w:val="nil"/>
              <w:left w:val="nil"/>
              <w:bottom w:val="nil"/>
              <w:right w:val="nil"/>
            </w:tcBorders>
          </w:tcPr>
          <w:p w14:paraId="3DA1467D" w14:textId="77777777" w:rsidR="00CF0E2D" w:rsidRPr="00E366D2" w:rsidRDefault="00CF0E2D" w:rsidP="00A60D4B">
            <w:pPr>
              <w:pStyle w:val="Btablefigureunbold"/>
              <w:rPr>
                <w:szCs w:val="20"/>
              </w:rPr>
            </w:pPr>
            <w:r w:rsidRPr="00E366D2">
              <w:rPr>
                <w:rFonts w:cs="Calibri"/>
                <w:color w:val="000000"/>
                <w:szCs w:val="20"/>
              </w:rPr>
              <w:t>800</w:t>
            </w:r>
          </w:p>
        </w:tc>
        <w:tc>
          <w:tcPr>
            <w:tcW w:w="964" w:type="dxa"/>
            <w:gridSpan w:val="2"/>
            <w:tcBorders>
              <w:top w:val="nil"/>
              <w:left w:val="nil"/>
              <w:bottom w:val="nil"/>
              <w:right w:val="nil"/>
            </w:tcBorders>
          </w:tcPr>
          <w:p w14:paraId="6F19EDF8"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50CB3249" w14:textId="77777777" w:rsidR="00CF0E2D" w:rsidRPr="00E366D2" w:rsidRDefault="00CF0E2D" w:rsidP="00A60D4B">
            <w:pPr>
              <w:pStyle w:val="Btablefigureunbold"/>
              <w:rPr>
                <w:szCs w:val="20"/>
              </w:rPr>
            </w:pPr>
            <w:r w:rsidRPr="00E366D2">
              <w:rPr>
                <w:rFonts w:cs="Calibri"/>
                <w:color w:val="000000"/>
                <w:szCs w:val="20"/>
              </w:rPr>
              <w:t>0</w:t>
            </w:r>
          </w:p>
        </w:tc>
        <w:tc>
          <w:tcPr>
            <w:tcW w:w="954" w:type="dxa"/>
            <w:gridSpan w:val="2"/>
            <w:tcBorders>
              <w:top w:val="nil"/>
              <w:left w:val="nil"/>
              <w:bottom w:val="nil"/>
              <w:right w:val="nil"/>
            </w:tcBorders>
          </w:tcPr>
          <w:p w14:paraId="1E5509A4" w14:textId="77777777" w:rsidR="00CF0E2D" w:rsidRPr="00E366D2" w:rsidRDefault="00CF0E2D" w:rsidP="00A60D4B">
            <w:pPr>
              <w:pStyle w:val="Btablefigureunbold"/>
              <w:rPr>
                <w:b/>
                <w:bCs/>
                <w:szCs w:val="20"/>
              </w:rPr>
            </w:pPr>
            <w:r w:rsidRPr="00E366D2">
              <w:rPr>
                <w:rFonts w:cs="Calibri"/>
                <w:b/>
                <w:bCs/>
                <w:color w:val="000000"/>
                <w:szCs w:val="20"/>
              </w:rPr>
              <w:t>1,600</w:t>
            </w:r>
          </w:p>
        </w:tc>
      </w:tr>
      <w:tr w:rsidR="00CF0E2D" w:rsidRPr="00D60558" w14:paraId="777B1C9C" w14:textId="77777777" w:rsidTr="00A60D4B">
        <w:trPr>
          <w:gridAfter w:val="1"/>
          <w:wAfter w:w="9" w:type="dxa"/>
          <w:jc w:val="center"/>
        </w:trPr>
        <w:tc>
          <w:tcPr>
            <w:tcW w:w="3355" w:type="dxa"/>
            <w:tcBorders>
              <w:top w:val="nil"/>
              <w:left w:val="nil"/>
              <w:bottom w:val="nil"/>
              <w:right w:val="nil"/>
            </w:tcBorders>
          </w:tcPr>
          <w:p w14:paraId="51B1CE0E" w14:textId="77777777" w:rsidR="00CF0E2D" w:rsidRPr="00C05488" w:rsidRDefault="00CF0E2D" w:rsidP="00A60D4B">
            <w:pPr>
              <w:pStyle w:val="Btabletextunbold"/>
              <w:rPr>
                <w:szCs w:val="20"/>
              </w:rPr>
            </w:pPr>
            <w:r w:rsidRPr="00C05488">
              <w:rPr>
                <w:rFonts w:cs="Calibri"/>
                <w:szCs w:val="20"/>
              </w:rPr>
              <w:t>Early design works for a new RSPCA facility</w:t>
            </w:r>
          </w:p>
        </w:tc>
        <w:tc>
          <w:tcPr>
            <w:tcW w:w="1093" w:type="dxa"/>
            <w:tcBorders>
              <w:top w:val="nil"/>
              <w:left w:val="nil"/>
              <w:bottom w:val="nil"/>
              <w:right w:val="nil"/>
            </w:tcBorders>
          </w:tcPr>
          <w:p w14:paraId="2D3ADAFC" w14:textId="77777777" w:rsidR="00CF0E2D" w:rsidRPr="0044739F" w:rsidRDefault="00CF0E2D" w:rsidP="00A60D4B">
            <w:pPr>
              <w:pStyle w:val="Btablefigureunbold"/>
              <w:ind w:left="0" w:firstLine="0"/>
              <w:jc w:val="left"/>
              <w:rPr>
                <w:rFonts w:cs="Calibri"/>
                <w:color w:val="000000"/>
                <w:szCs w:val="20"/>
              </w:rPr>
            </w:pPr>
            <w:r w:rsidRPr="00277B68">
              <w:rPr>
                <w:rFonts w:cs="Calibri"/>
                <w:color w:val="000000"/>
                <w:szCs w:val="20"/>
              </w:rPr>
              <w:t>Net cost</w:t>
            </w:r>
          </w:p>
        </w:tc>
        <w:tc>
          <w:tcPr>
            <w:tcW w:w="964" w:type="dxa"/>
            <w:gridSpan w:val="2"/>
            <w:tcBorders>
              <w:top w:val="nil"/>
              <w:left w:val="nil"/>
              <w:bottom w:val="nil"/>
              <w:right w:val="nil"/>
            </w:tcBorders>
          </w:tcPr>
          <w:p w14:paraId="45EFBE9A" w14:textId="77777777" w:rsidR="00CF0E2D" w:rsidRPr="00E366D2" w:rsidRDefault="00CF0E2D" w:rsidP="00A60D4B">
            <w:pPr>
              <w:pStyle w:val="Btablefigureunbold"/>
              <w:rPr>
                <w:szCs w:val="20"/>
              </w:rPr>
            </w:pPr>
            <w:r w:rsidRPr="00E366D2">
              <w:rPr>
                <w:rFonts w:cs="Calibri"/>
                <w:color w:val="000000"/>
                <w:szCs w:val="20"/>
              </w:rPr>
              <w:t>500</w:t>
            </w:r>
          </w:p>
        </w:tc>
        <w:tc>
          <w:tcPr>
            <w:tcW w:w="964" w:type="dxa"/>
            <w:gridSpan w:val="2"/>
            <w:tcBorders>
              <w:top w:val="nil"/>
              <w:left w:val="nil"/>
              <w:bottom w:val="nil"/>
              <w:right w:val="nil"/>
            </w:tcBorders>
          </w:tcPr>
          <w:p w14:paraId="196FF79C" w14:textId="77777777" w:rsidR="00CF0E2D" w:rsidRPr="00E366D2" w:rsidRDefault="00CF0E2D" w:rsidP="00A60D4B">
            <w:pPr>
              <w:pStyle w:val="Btablefigureunbold"/>
              <w:rPr>
                <w:szCs w:val="20"/>
              </w:rPr>
            </w:pPr>
            <w:r w:rsidRPr="00E366D2">
              <w:rPr>
                <w:rFonts w:cs="Calibri"/>
                <w:color w:val="000000"/>
                <w:szCs w:val="20"/>
              </w:rPr>
              <w:t>525</w:t>
            </w:r>
          </w:p>
        </w:tc>
        <w:tc>
          <w:tcPr>
            <w:tcW w:w="964" w:type="dxa"/>
            <w:gridSpan w:val="2"/>
            <w:tcBorders>
              <w:top w:val="nil"/>
              <w:left w:val="nil"/>
              <w:bottom w:val="nil"/>
              <w:right w:val="nil"/>
            </w:tcBorders>
          </w:tcPr>
          <w:p w14:paraId="777AD118"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3DB4731D" w14:textId="77777777" w:rsidR="00CF0E2D" w:rsidRPr="00E366D2" w:rsidRDefault="00CF0E2D" w:rsidP="00A60D4B">
            <w:pPr>
              <w:pStyle w:val="Btablefigureunbold"/>
              <w:rPr>
                <w:szCs w:val="20"/>
              </w:rPr>
            </w:pPr>
            <w:r w:rsidRPr="00E366D2">
              <w:rPr>
                <w:rFonts w:cs="Calibri"/>
                <w:color w:val="000000"/>
                <w:szCs w:val="20"/>
              </w:rPr>
              <w:t>0</w:t>
            </w:r>
          </w:p>
        </w:tc>
        <w:tc>
          <w:tcPr>
            <w:tcW w:w="954" w:type="dxa"/>
            <w:gridSpan w:val="2"/>
            <w:tcBorders>
              <w:top w:val="nil"/>
              <w:left w:val="nil"/>
              <w:bottom w:val="nil"/>
              <w:right w:val="nil"/>
            </w:tcBorders>
          </w:tcPr>
          <w:p w14:paraId="4EB100DE" w14:textId="77777777" w:rsidR="00CF0E2D" w:rsidRPr="00E366D2" w:rsidRDefault="00CF0E2D" w:rsidP="00A60D4B">
            <w:pPr>
              <w:pStyle w:val="Btablefigureunbold"/>
              <w:rPr>
                <w:b/>
                <w:bCs/>
                <w:szCs w:val="20"/>
              </w:rPr>
            </w:pPr>
            <w:r w:rsidRPr="00E366D2">
              <w:rPr>
                <w:rFonts w:cs="Calibri"/>
                <w:b/>
                <w:bCs/>
                <w:color w:val="000000"/>
                <w:szCs w:val="20"/>
              </w:rPr>
              <w:t>1,025</w:t>
            </w:r>
          </w:p>
        </w:tc>
      </w:tr>
      <w:tr w:rsidR="00CF0E2D" w:rsidRPr="00D60558" w14:paraId="4AA9B83F" w14:textId="77777777" w:rsidTr="00A60D4B">
        <w:trPr>
          <w:gridAfter w:val="1"/>
          <w:wAfter w:w="9" w:type="dxa"/>
          <w:jc w:val="center"/>
        </w:trPr>
        <w:tc>
          <w:tcPr>
            <w:tcW w:w="3355" w:type="dxa"/>
            <w:tcBorders>
              <w:top w:val="nil"/>
              <w:left w:val="nil"/>
              <w:bottom w:val="nil"/>
              <w:right w:val="nil"/>
            </w:tcBorders>
          </w:tcPr>
          <w:p w14:paraId="49059651" w14:textId="77777777" w:rsidR="00CF0E2D" w:rsidRPr="00C05488" w:rsidRDefault="00CF0E2D" w:rsidP="00A60D4B">
            <w:pPr>
              <w:pStyle w:val="Btabletextunbold"/>
              <w:rPr>
                <w:szCs w:val="20"/>
              </w:rPr>
            </w:pPr>
            <w:r w:rsidRPr="00C05488">
              <w:rPr>
                <w:rFonts w:cs="Calibri"/>
                <w:szCs w:val="20"/>
              </w:rPr>
              <w:t xml:space="preserve">Flexible Bus Service </w:t>
            </w:r>
            <w:r>
              <w:rPr>
                <w:rFonts w:cs="Calibri"/>
                <w:szCs w:val="20"/>
              </w:rPr>
              <w:t>–</w:t>
            </w:r>
            <w:r w:rsidRPr="00C05488">
              <w:rPr>
                <w:rFonts w:cs="Calibri"/>
                <w:szCs w:val="20"/>
              </w:rPr>
              <w:t xml:space="preserve"> continuation</w:t>
            </w:r>
          </w:p>
        </w:tc>
        <w:tc>
          <w:tcPr>
            <w:tcW w:w="1093" w:type="dxa"/>
            <w:tcBorders>
              <w:top w:val="nil"/>
              <w:left w:val="nil"/>
              <w:bottom w:val="nil"/>
              <w:right w:val="nil"/>
            </w:tcBorders>
          </w:tcPr>
          <w:p w14:paraId="76646ED3" w14:textId="77777777" w:rsidR="00CF0E2D" w:rsidRPr="0044739F" w:rsidRDefault="00CF0E2D" w:rsidP="00A60D4B">
            <w:pPr>
              <w:pStyle w:val="Btablefigureunbold"/>
              <w:ind w:left="0" w:firstLine="0"/>
              <w:jc w:val="left"/>
              <w:rPr>
                <w:rFonts w:cs="Calibri"/>
                <w:color w:val="000000"/>
                <w:szCs w:val="20"/>
              </w:rPr>
            </w:pPr>
            <w:r w:rsidRPr="00277B68">
              <w:rPr>
                <w:rFonts w:cs="Calibri"/>
                <w:color w:val="000000"/>
                <w:szCs w:val="20"/>
              </w:rPr>
              <w:t>Net cost</w:t>
            </w:r>
          </w:p>
        </w:tc>
        <w:tc>
          <w:tcPr>
            <w:tcW w:w="964" w:type="dxa"/>
            <w:gridSpan w:val="2"/>
            <w:tcBorders>
              <w:top w:val="nil"/>
              <w:left w:val="nil"/>
              <w:bottom w:val="nil"/>
              <w:right w:val="nil"/>
            </w:tcBorders>
          </w:tcPr>
          <w:p w14:paraId="05FC86D9" w14:textId="77777777" w:rsidR="00CF0E2D" w:rsidRPr="00E366D2" w:rsidRDefault="00CF0E2D" w:rsidP="00A60D4B">
            <w:pPr>
              <w:pStyle w:val="Btablefigureunbold"/>
              <w:rPr>
                <w:szCs w:val="20"/>
              </w:rPr>
            </w:pPr>
            <w:r w:rsidRPr="00E366D2">
              <w:rPr>
                <w:rFonts w:cs="Calibri"/>
                <w:color w:val="000000"/>
                <w:szCs w:val="20"/>
              </w:rPr>
              <w:t>680</w:t>
            </w:r>
          </w:p>
        </w:tc>
        <w:tc>
          <w:tcPr>
            <w:tcW w:w="964" w:type="dxa"/>
            <w:gridSpan w:val="2"/>
            <w:tcBorders>
              <w:top w:val="nil"/>
              <w:left w:val="nil"/>
              <w:bottom w:val="nil"/>
              <w:right w:val="nil"/>
            </w:tcBorders>
          </w:tcPr>
          <w:p w14:paraId="43CDDF6A"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4C00C245"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5429A5F6" w14:textId="77777777" w:rsidR="00CF0E2D" w:rsidRPr="00E366D2" w:rsidRDefault="00CF0E2D" w:rsidP="00A60D4B">
            <w:pPr>
              <w:pStyle w:val="Btablefigureunbold"/>
              <w:rPr>
                <w:szCs w:val="20"/>
              </w:rPr>
            </w:pPr>
            <w:r w:rsidRPr="00E366D2">
              <w:rPr>
                <w:rFonts w:cs="Calibri"/>
                <w:color w:val="000000"/>
                <w:szCs w:val="20"/>
              </w:rPr>
              <w:t>0</w:t>
            </w:r>
          </w:p>
        </w:tc>
        <w:tc>
          <w:tcPr>
            <w:tcW w:w="954" w:type="dxa"/>
            <w:gridSpan w:val="2"/>
            <w:tcBorders>
              <w:top w:val="nil"/>
              <w:left w:val="nil"/>
              <w:bottom w:val="nil"/>
              <w:right w:val="nil"/>
            </w:tcBorders>
          </w:tcPr>
          <w:p w14:paraId="5CD0A07D" w14:textId="77777777" w:rsidR="00CF0E2D" w:rsidRPr="00E366D2" w:rsidRDefault="00CF0E2D" w:rsidP="00A60D4B">
            <w:pPr>
              <w:pStyle w:val="Btablefigureunbold"/>
              <w:rPr>
                <w:b/>
                <w:bCs/>
                <w:szCs w:val="20"/>
              </w:rPr>
            </w:pPr>
            <w:r w:rsidRPr="00E366D2">
              <w:rPr>
                <w:rFonts w:cs="Calibri"/>
                <w:b/>
                <w:bCs/>
                <w:color w:val="000000"/>
                <w:szCs w:val="20"/>
              </w:rPr>
              <w:t>680</w:t>
            </w:r>
          </w:p>
        </w:tc>
      </w:tr>
      <w:tr w:rsidR="00CF0E2D" w:rsidRPr="00D60558" w14:paraId="747EC3DC" w14:textId="77777777" w:rsidTr="00A60D4B">
        <w:trPr>
          <w:gridAfter w:val="1"/>
          <w:wAfter w:w="9" w:type="dxa"/>
          <w:jc w:val="center"/>
        </w:trPr>
        <w:tc>
          <w:tcPr>
            <w:tcW w:w="3355" w:type="dxa"/>
            <w:tcBorders>
              <w:top w:val="nil"/>
              <w:left w:val="nil"/>
              <w:bottom w:val="nil"/>
              <w:right w:val="nil"/>
            </w:tcBorders>
          </w:tcPr>
          <w:p w14:paraId="6C0E24BF" w14:textId="77777777" w:rsidR="00CF0E2D" w:rsidRPr="00627DC1" w:rsidRDefault="00CF0E2D" w:rsidP="00A60D4B">
            <w:pPr>
              <w:pStyle w:val="Btabletextunbold"/>
              <w:rPr>
                <w:rFonts w:cs="Calibri"/>
                <w:i/>
                <w:iCs/>
                <w:szCs w:val="20"/>
              </w:rPr>
            </w:pPr>
            <w:r w:rsidRPr="00627DC1">
              <w:rPr>
                <w:rFonts w:cs="Calibri"/>
                <w:i/>
                <w:iCs/>
                <w:szCs w:val="20"/>
              </w:rPr>
              <w:t>Food organics and garden organics</w:t>
            </w:r>
          </w:p>
        </w:tc>
        <w:tc>
          <w:tcPr>
            <w:tcW w:w="1093" w:type="dxa"/>
            <w:tcBorders>
              <w:top w:val="nil"/>
              <w:left w:val="nil"/>
              <w:bottom w:val="nil"/>
              <w:right w:val="nil"/>
            </w:tcBorders>
          </w:tcPr>
          <w:p w14:paraId="75A4A7BF" w14:textId="77777777" w:rsidR="00CF0E2D"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48C44E09" w14:textId="77777777" w:rsidR="00CF0E2D" w:rsidRPr="00E366D2" w:rsidRDefault="00CF0E2D" w:rsidP="00A60D4B">
            <w:pPr>
              <w:pStyle w:val="Btablefigureunbold"/>
              <w:rPr>
                <w:szCs w:val="20"/>
              </w:rPr>
            </w:pPr>
          </w:p>
        </w:tc>
        <w:tc>
          <w:tcPr>
            <w:tcW w:w="964" w:type="dxa"/>
            <w:gridSpan w:val="2"/>
            <w:tcBorders>
              <w:top w:val="nil"/>
              <w:left w:val="nil"/>
              <w:bottom w:val="nil"/>
              <w:right w:val="nil"/>
            </w:tcBorders>
          </w:tcPr>
          <w:p w14:paraId="2DF28EA8" w14:textId="77777777" w:rsidR="00CF0E2D" w:rsidRPr="00E366D2" w:rsidRDefault="00CF0E2D" w:rsidP="00A60D4B">
            <w:pPr>
              <w:pStyle w:val="Btablefigureunbold"/>
              <w:rPr>
                <w:szCs w:val="20"/>
              </w:rPr>
            </w:pPr>
          </w:p>
        </w:tc>
        <w:tc>
          <w:tcPr>
            <w:tcW w:w="964" w:type="dxa"/>
            <w:gridSpan w:val="2"/>
            <w:tcBorders>
              <w:top w:val="nil"/>
              <w:left w:val="nil"/>
              <w:bottom w:val="nil"/>
              <w:right w:val="nil"/>
            </w:tcBorders>
          </w:tcPr>
          <w:p w14:paraId="4D577F46" w14:textId="77777777" w:rsidR="00CF0E2D" w:rsidRPr="00E366D2" w:rsidRDefault="00CF0E2D" w:rsidP="00A60D4B">
            <w:pPr>
              <w:pStyle w:val="Btablefigureunbold"/>
              <w:rPr>
                <w:szCs w:val="20"/>
              </w:rPr>
            </w:pPr>
          </w:p>
        </w:tc>
        <w:tc>
          <w:tcPr>
            <w:tcW w:w="964" w:type="dxa"/>
            <w:gridSpan w:val="2"/>
            <w:tcBorders>
              <w:top w:val="nil"/>
              <w:left w:val="nil"/>
              <w:bottom w:val="nil"/>
              <w:right w:val="nil"/>
            </w:tcBorders>
          </w:tcPr>
          <w:p w14:paraId="30BA7BC5" w14:textId="77777777" w:rsidR="00CF0E2D" w:rsidRPr="00E366D2" w:rsidRDefault="00CF0E2D" w:rsidP="00A60D4B">
            <w:pPr>
              <w:pStyle w:val="Btablefigureunbold"/>
              <w:rPr>
                <w:szCs w:val="20"/>
              </w:rPr>
            </w:pPr>
          </w:p>
        </w:tc>
        <w:tc>
          <w:tcPr>
            <w:tcW w:w="954" w:type="dxa"/>
            <w:gridSpan w:val="2"/>
            <w:tcBorders>
              <w:top w:val="nil"/>
              <w:left w:val="nil"/>
              <w:bottom w:val="nil"/>
              <w:right w:val="nil"/>
            </w:tcBorders>
          </w:tcPr>
          <w:p w14:paraId="7D2AF826" w14:textId="77777777" w:rsidR="00CF0E2D" w:rsidRPr="00E366D2" w:rsidRDefault="00CF0E2D" w:rsidP="00A60D4B">
            <w:pPr>
              <w:pStyle w:val="Btablefigureunbold"/>
              <w:rPr>
                <w:b/>
                <w:bCs/>
                <w:szCs w:val="20"/>
              </w:rPr>
            </w:pPr>
          </w:p>
        </w:tc>
      </w:tr>
      <w:tr w:rsidR="00CF0E2D" w:rsidRPr="00D60558" w14:paraId="20C0C9B6" w14:textId="77777777" w:rsidTr="00A60D4B">
        <w:trPr>
          <w:gridAfter w:val="1"/>
          <w:wAfter w:w="9" w:type="dxa"/>
          <w:jc w:val="center"/>
        </w:trPr>
        <w:tc>
          <w:tcPr>
            <w:tcW w:w="3355" w:type="dxa"/>
            <w:tcBorders>
              <w:top w:val="nil"/>
              <w:left w:val="nil"/>
              <w:bottom w:val="nil"/>
              <w:right w:val="nil"/>
            </w:tcBorders>
          </w:tcPr>
          <w:p w14:paraId="3E2CCB14" w14:textId="77777777" w:rsidR="00CF0E2D" w:rsidRDefault="00CF0E2D" w:rsidP="00A60D4B">
            <w:pPr>
              <w:pStyle w:val="Btabletextunbold"/>
              <w:rPr>
                <w:rFonts w:cs="Calibri"/>
                <w:szCs w:val="20"/>
              </w:rPr>
            </w:pPr>
            <w:r>
              <w:rPr>
                <w:rFonts w:cs="Calibri"/>
                <w:szCs w:val="20"/>
              </w:rPr>
              <w:t>–</w:t>
            </w:r>
            <w:r w:rsidRPr="00C05488">
              <w:rPr>
                <w:rFonts w:cs="Calibri"/>
                <w:szCs w:val="20"/>
              </w:rPr>
              <w:t xml:space="preserve"> household waste trial</w:t>
            </w:r>
          </w:p>
        </w:tc>
        <w:tc>
          <w:tcPr>
            <w:tcW w:w="1093" w:type="dxa"/>
            <w:tcBorders>
              <w:top w:val="nil"/>
              <w:left w:val="nil"/>
              <w:bottom w:val="nil"/>
              <w:right w:val="nil"/>
            </w:tcBorders>
          </w:tcPr>
          <w:p w14:paraId="5777975B" w14:textId="77777777" w:rsidR="00CF0E2D" w:rsidRDefault="00CF0E2D" w:rsidP="00A60D4B">
            <w:pPr>
              <w:pStyle w:val="Btablefigureunbold"/>
              <w:ind w:left="0" w:firstLine="0"/>
              <w:jc w:val="left"/>
              <w:rPr>
                <w:rFonts w:cs="Calibri"/>
                <w:color w:val="000000"/>
                <w:szCs w:val="20"/>
              </w:rPr>
            </w:pPr>
            <w:r w:rsidRPr="0044739F">
              <w:rPr>
                <w:rFonts w:cs="Calibri"/>
                <w:color w:val="000000"/>
                <w:szCs w:val="20"/>
              </w:rPr>
              <w:t>Net capital</w:t>
            </w:r>
          </w:p>
        </w:tc>
        <w:tc>
          <w:tcPr>
            <w:tcW w:w="964" w:type="dxa"/>
            <w:gridSpan w:val="2"/>
            <w:tcBorders>
              <w:top w:val="nil"/>
              <w:left w:val="nil"/>
              <w:bottom w:val="nil"/>
              <w:right w:val="nil"/>
            </w:tcBorders>
          </w:tcPr>
          <w:p w14:paraId="21F656C7" w14:textId="77777777" w:rsidR="00CF0E2D" w:rsidRPr="00E366D2" w:rsidRDefault="00CF0E2D" w:rsidP="00A60D4B">
            <w:pPr>
              <w:pStyle w:val="Btablefigureunbold"/>
              <w:rPr>
                <w:szCs w:val="20"/>
              </w:rPr>
            </w:pPr>
            <w:r w:rsidRPr="00E366D2">
              <w:rPr>
                <w:rFonts w:cs="Calibri"/>
                <w:color w:val="000000"/>
                <w:szCs w:val="20"/>
              </w:rPr>
              <w:t>159</w:t>
            </w:r>
          </w:p>
        </w:tc>
        <w:tc>
          <w:tcPr>
            <w:tcW w:w="964" w:type="dxa"/>
            <w:gridSpan w:val="2"/>
            <w:tcBorders>
              <w:top w:val="nil"/>
              <w:left w:val="nil"/>
              <w:bottom w:val="nil"/>
              <w:right w:val="nil"/>
            </w:tcBorders>
          </w:tcPr>
          <w:p w14:paraId="026BC62C" w14:textId="77777777" w:rsidR="00CF0E2D" w:rsidRPr="00E366D2" w:rsidRDefault="00CF0E2D" w:rsidP="00A60D4B">
            <w:pPr>
              <w:pStyle w:val="Btablefigureunbold"/>
              <w:rPr>
                <w:szCs w:val="20"/>
              </w:rPr>
            </w:pPr>
            <w:r w:rsidRPr="00E366D2">
              <w:rPr>
                <w:rFonts w:cs="Calibri"/>
                <w:color w:val="000000"/>
                <w:szCs w:val="20"/>
              </w:rPr>
              <w:t>3</w:t>
            </w:r>
          </w:p>
        </w:tc>
        <w:tc>
          <w:tcPr>
            <w:tcW w:w="964" w:type="dxa"/>
            <w:gridSpan w:val="2"/>
            <w:tcBorders>
              <w:top w:val="nil"/>
              <w:left w:val="nil"/>
              <w:bottom w:val="nil"/>
              <w:right w:val="nil"/>
            </w:tcBorders>
          </w:tcPr>
          <w:p w14:paraId="7B9E2A19" w14:textId="77777777" w:rsidR="00CF0E2D" w:rsidRPr="00E366D2" w:rsidRDefault="00CF0E2D" w:rsidP="00A60D4B">
            <w:pPr>
              <w:pStyle w:val="Btablefigureunbold"/>
              <w:rPr>
                <w:szCs w:val="20"/>
              </w:rPr>
            </w:pPr>
            <w:r w:rsidRPr="00E366D2">
              <w:rPr>
                <w:rFonts w:cs="Calibri"/>
                <w:color w:val="000000"/>
                <w:szCs w:val="20"/>
              </w:rPr>
              <w:t>3</w:t>
            </w:r>
          </w:p>
        </w:tc>
        <w:tc>
          <w:tcPr>
            <w:tcW w:w="964" w:type="dxa"/>
            <w:gridSpan w:val="2"/>
            <w:tcBorders>
              <w:top w:val="nil"/>
              <w:left w:val="nil"/>
              <w:bottom w:val="nil"/>
              <w:right w:val="nil"/>
            </w:tcBorders>
          </w:tcPr>
          <w:p w14:paraId="7DC1F00D" w14:textId="77777777" w:rsidR="00CF0E2D" w:rsidRPr="00E366D2" w:rsidRDefault="00CF0E2D" w:rsidP="00A60D4B">
            <w:pPr>
              <w:pStyle w:val="Btablefigureunbold"/>
              <w:rPr>
                <w:szCs w:val="20"/>
              </w:rPr>
            </w:pPr>
            <w:r w:rsidRPr="00E366D2">
              <w:rPr>
                <w:rFonts w:cs="Calibri"/>
                <w:color w:val="000000"/>
                <w:szCs w:val="20"/>
              </w:rPr>
              <w:t>0</w:t>
            </w:r>
          </w:p>
        </w:tc>
        <w:tc>
          <w:tcPr>
            <w:tcW w:w="954" w:type="dxa"/>
            <w:gridSpan w:val="2"/>
            <w:tcBorders>
              <w:top w:val="nil"/>
              <w:left w:val="nil"/>
              <w:bottom w:val="nil"/>
              <w:right w:val="nil"/>
            </w:tcBorders>
          </w:tcPr>
          <w:p w14:paraId="142313F1" w14:textId="77777777" w:rsidR="00CF0E2D" w:rsidRPr="00E366D2" w:rsidRDefault="00CF0E2D" w:rsidP="00A60D4B">
            <w:pPr>
              <w:pStyle w:val="Btablefigureunbold"/>
              <w:rPr>
                <w:b/>
                <w:bCs/>
                <w:szCs w:val="20"/>
              </w:rPr>
            </w:pPr>
            <w:r w:rsidRPr="00E366D2">
              <w:rPr>
                <w:rFonts w:cs="Calibri"/>
                <w:b/>
                <w:bCs/>
                <w:color w:val="000000"/>
                <w:szCs w:val="20"/>
              </w:rPr>
              <w:t>165</w:t>
            </w:r>
          </w:p>
        </w:tc>
      </w:tr>
      <w:tr w:rsidR="00CF0E2D" w:rsidRPr="00D60558" w14:paraId="6B97411D" w14:textId="77777777" w:rsidTr="00A60D4B">
        <w:trPr>
          <w:gridAfter w:val="1"/>
          <w:wAfter w:w="9" w:type="dxa"/>
          <w:jc w:val="center"/>
        </w:trPr>
        <w:tc>
          <w:tcPr>
            <w:tcW w:w="3355" w:type="dxa"/>
            <w:tcBorders>
              <w:top w:val="nil"/>
              <w:left w:val="nil"/>
              <w:bottom w:val="nil"/>
              <w:right w:val="nil"/>
            </w:tcBorders>
          </w:tcPr>
          <w:p w14:paraId="1F0717B2"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household waste trial</w:t>
            </w:r>
          </w:p>
        </w:tc>
        <w:tc>
          <w:tcPr>
            <w:tcW w:w="1093" w:type="dxa"/>
            <w:tcBorders>
              <w:top w:val="nil"/>
              <w:left w:val="nil"/>
              <w:bottom w:val="nil"/>
              <w:right w:val="nil"/>
            </w:tcBorders>
          </w:tcPr>
          <w:p w14:paraId="6E24D390" w14:textId="77777777" w:rsidR="00CF0E2D" w:rsidRPr="0044739F"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15D53B98" w14:textId="77777777" w:rsidR="00CF0E2D" w:rsidRPr="00E366D2" w:rsidRDefault="00CF0E2D" w:rsidP="00A60D4B">
            <w:pPr>
              <w:pStyle w:val="Btablefigureunbold"/>
              <w:rPr>
                <w:szCs w:val="20"/>
              </w:rPr>
            </w:pPr>
            <w:r w:rsidRPr="00E366D2">
              <w:rPr>
                <w:rFonts w:cs="Calibri"/>
                <w:color w:val="000000"/>
                <w:szCs w:val="20"/>
              </w:rPr>
              <w:t>1,201</w:t>
            </w:r>
          </w:p>
        </w:tc>
        <w:tc>
          <w:tcPr>
            <w:tcW w:w="964" w:type="dxa"/>
            <w:gridSpan w:val="2"/>
            <w:tcBorders>
              <w:top w:val="nil"/>
              <w:left w:val="nil"/>
              <w:bottom w:val="nil"/>
              <w:right w:val="nil"/>
            </w:tcBorders>
          </w:tcPr>
          <w:p w14:paraId="305BE87F" w14:textId="77777777" w:rsidR="00CF0E2D" w:rsidRPr="00E366D2" w:rsidRDefault="00CF0E2D" w:rsidP="00A60D4B">
            <w:pPr>
              <w:pStyle w:val="Btablefigureunbold"/>
              <w:rPr>
                <w:szCs w:val="20"/>
              </w:rPr>
            </w:pPr>
            <w:r w:rsidRPr="00E366D2">
              <w:rPr>
                <w:rFonts w:cs="Calibri"/>
                <w:color w:val="000000"/>
                <w:szCs w:val="20"/>
              </w:rPr>
              <w:t>1,077</w:t>
            </w:r>
          </w:p>
        </w:tc>
        <w:tc>
          <w:tcPr>
            <w:tcW w:w="964" w:type="dxa"/>
            <w:gridSpan w:val="2"/>
            <w:tcBorders>
              <w:top w:val="nil"/>
              <w:left w:val="nil"/>
              <w:bottom w:val="nil"/>
              <w:right w:val="nil"/>
            </w:tcBorders>
          </w:tcPr>
          <w:p w14:paraId="50F32568" w14:textId="77777777" w:rsidR="00CF0E2D" w:rsidRPr="00E366D2" w:rsidRDefault="00CF0E2D" w:rsidP="00A60D4B">
            <w:pPr>
              <w:pStyle w:val="Btablefigureunbold"/>
              <w:rPr>
                <w:szCs w:val="20"/>
              </w:rPr>
            </w:pPr>
            <w:r w:rsidRPr="00E366D2">
              <w:rPr>
                <w:rFonts w:cs="Calibri"/>
                <w:color w:val="000000"/>
                <w:szCs w:val="20"/>
              </w:rPr>
              <w:t>544</w:t>
            </w:r>
          </w:p>
        </w:tc>
        <w:tc>
          <w:tcPr>
            <w:tcW w:w="964" w:type="dxa"/>
            <w:gridSpan w:val="2"/>
            <w:tcBorders>
              <w:top w:val="nil"/>
              <w:left w:val="nil"/>
              <w:bottom w:val="nil"/>
              <w:right w:val="nil"/>
            </w:tcBorders>
          </w:tcPr>
          <w:p w14:paraId="1AEED562" w14:textId="77777777" w:rsidR="00CF0E2D" w:rsidRPr="00E366D2" w:rsidRDefault="00CF0E2D" w:rsidP="00A60D4B">
            <w:pPr>
              <w:pStyle w:val="Btablefigureunbold"/>
              <w:rPr>
                <w:szCs w:val="20"/>
              </w:rPr>
            </w:pPr>
            <w:r w:rsidRPr="00E366D2">
              <w:rPr>
                <w:rFonts w:cs="Calibri"/>
                <w:color w:val="000000"/>
                <w:szCs w:val="20"/>
              </w:rPr>
              <w:t>27</w:t>
            </w:r>
          </w:p>
        </w:tc>
        <w:tc>
          <w:tcPr>
            <w:tcW w:w="954" w:type="dxa"/>
            <w:gridSpan w:val="2"/>
            <w:tcBorders>
              <w:top w:val="nil"/>
              <w:left w:val="nil"/>
              <w:bottom w:val="nil"/>
              <w:right w:val="nil"/>
            </w:tcBorders>
          </w:tcPr>
          <w:p w14:paraId="577CD8D5" w14:textId="77777777" w:rsidR="00CF0E2D" w:rsidRPr="00E366D2" w:rsidRDefault="00CF0E2D" w:rsidP="00A60D4B">
            <w:pPr>
              <w:pStyle w:val="Btablefigureunbold"/>
              <w:rPr>
                <w:b/>
                <w:bCs/>
                <w:szCs w:val="20"/>
              </w:rPr>
            </w:pPr>
            <w:r w:rsidRPr="00E366D2">
              <w:rPr>
                <w:rFonts w:cs="Calibri"/>
                <w:b/>
                <w:bCs/>
                <w:color w:val="000000"/>
                <w:szCs w:val="20"/>
              </w:rPr>
              <w:t>2,849</w:t>
            </w:r>
          </w:p>
        </w:tc>
      </w:tr>
      <w:tr w:rsidR="00CF0E2D" w:rsidRPr="00D60558" w14:paraId="2D4FB271" w14:textId="77777777" w:rsidTr="00A60D4B">
        <w:trPr>
          <w:gridAfter w:val="1"/>
          <w:wAfter w:w="9" w:type="dxa"/>
          <w:jc w:val="center"/>
        </w:trPr>
        <w:tc>
          <w:tcPr>
            <w:tcW w:w="3355" w:type="dxa"/>
            <w:tcBorders>
              <w:top w:val="nil"/>
              <w:left w:val="nil"/>
              <w:bottom w:val="nil"/>
              <w:right w:val="nil"/>
            </w:tcBorders>
          </w:tcPr>
          <w:p w14:paraId="24A9D84B"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waste recovery facility</w:t>
            </w:r>
          </w:p>
        </w:tc>
        <w:tc>
          <w:tcPr>
            <w:tcW w:w="1093" w:type="dxa"/>
            <w:tcBorders>
              <w:top w:val="nil"/>
              <w:left w:val="nil"/>
              <w:bottom w:val="nil"/>
              <w:right w:val="nil"/>
            </w:tcBorders>
          </w:tcPr>
          <w:p w14:paraId="22DB784F" w14:textId="77777777" w:rsidR="00CF0E2D" w:rsidRPr="0044739F" w:rsidRDefault="00CF0E2D" w:rsidP="00A60D4B">
            <w:pPr>
              <w:pStyle w:val="Btablefigureunbold"/>
              <w:ind w:left="0" w:firstLine="0"/>
              <w:jc w:val="left"/>
              <w:rPr>
                <w:rFonts w:cs="Calibri"/>
                <w:color w:val="000000"/>
                <w:szCs w:val="20"/>
              </w:rPr>
            </w:pPr>
            <w:r w:rsidRPr="00E3154F">
              <w:rPr>
                <w:rFonts w:cs="Calibri"/>
                <w:color w:val="000000"/>
                <w:szCs w:val="20"/>
              </w:rPr>
              <w:t>Net capital</w:t>
            </w:r>
          </w:p>
        </w:tc>
        <w:tc>
          <w:tcPr>
            <w:tcW w:w="964" w:type="dxa"/>
            <w:gridSpan w:val="2"/>
            <w:tcBorders>
              <w:top w:val="nil"/>
              <w:left w:val="nil"/>
              <w:bottom w:val="nil"/>
              <w:right w:val="nil"/>
            </w:tcBorders>
          </w:tcPr>
          <w:p w14:paraId="58A337FA" w14:textId="77777777" w:rsidR="00CF0E2D" w:rsidRPr="00E366D2" w:rsidRDefault="00CF0E2D" w:rsidP="00A60D4B">
            <w:pPr>
              <w:pStyle w:val="Btablefigureunbold"/>
              <w:rPr>
                <w:szCs w:val="20"/>
              </w:rPr>
            </w:pPr>
            <w:r w:rsidRPr="00E366D2">
              <w:rPr>
                <w:rFonts w:cs="Calibri"/>
                <w:color w:val="000000"/>
                <w:szCs w:val="20"/>
              </w:rPr>
              <w:t>700</w:t>
            </w:r>
          </w:p>
        </w:tc>
        <w:tc>
          <w:tcPr>
            <w:tcW w:w="964" w:type="dxa"/>
            <w:gridSpan w:val="2"/>
            <w:tcBorders>
              <w:top w:val="nil"/>
              <w:left w:val="nil"/>
              <w:bottom w:val="nil"/>
              <w:right w:val="nil"/>
            </w:tcBorders>
          </w:tcPr>
          <w:p w14:paraId="08A76464"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18C2F964"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0AE6397D" w14:textId="77777777" w:rsidR="00CF0E2D" w:rsidRPr="00E366D2" w:rsidRDefault="00CF0E2D" w:rsidP="00A60D4B">
            <w:pPr>
              <w:pStyle w:val="Btablefigureunbold"/>
              <w:rPr>
                <w:szCs w:val="20"/>
              </w:rPr>
            </w:pPr>
            <w:r w:rsidRPr="00E366D2">
              <w:rPr>
                <w:rFonts w:cs="Calibri"/>
                <w:color w:val="000000"/>
                <w:szCs w:val="20"/>
              </w:rPr>
              <w:t>0</w:t>
            </w:r>
          </w:p>
        </w:tc>
        <w:tc>
          <w:tcPr>
            <w:tcW w:w="954" w:type="dxa"/>
            <w:gridSpan w:val="2"/>
            <w:tcBorders>
              <w:top w:val="nil"/>
              <w:left w:val="nil"/>
              <w:bottom w:val="nil"/>
              <w:right w:val="nil"/>
            </w:tcBorders>
          </w:tcPr>
          <w:p w14:paraId="3D3820D0" w14:textId="77777777" w:rsidR="00CF0E2D" w:rsidRPr="00E366D2" w:rsidRDefault="00CF0E2D" w:rsidP="00A60D4B">
            <w:pPr>
              <w:pStyle w:val="Btablefigureunbold"/>
              <w:rPr>
                <w:b/>
                <w:bCs/>
                <w:szCs w:val="20"/>
              </w:rPr>
            </w:pPr>
            <w:r w:rsidRPr="00E366D2">
              <w:rPr>
                <w:rFonts w:cs="Calibri"/>
                <w:b/>
                <w:bCs/>
                <w:color w:val="000000"/>
                <w:szCs w:val="20"/>
              </w:rPr>
              <w:t>700</w:t>
            </w:r>
          </w:p>
        </w:tc>
      </w:tr>
      <w:tr w:rsidR="00CF0E2D" w:rsidRPr="00D60558" w14:paraId="29A3E32D" w14:textId="77777777" w:rsidTr="00A60D4B">
        <w:trPr>
          <w:gridAfter w:val="1"/>
          <w:wAfter w:w="9" w:type="dxa"/>
          <w:jc w:val="center"/>
        </w:trPr>
        <w:tc>
          <w:tcPr>
            <w:tcW w:w="3355" w:type="dxa"/>
            <w:tcBorders>
              <w:top w:val="nil"/>
              <w:left w:val="nil"/>
              <w:bottom w:val="nil"/>
              <w:right w:val="nil"/>
            </w:tcBorders>
          </w:tcPr>
          <w:p w14:paraId="657D5B96" w14:textId="77777777" w:rsidR="00CF0E2D" w:rsidRPr="00C05488" w:rsidRDefault="00CF0E2D" w:rsidP="00A60D4B">
            <w:pPr>
              <w:pStyle w:val="Btabletextunbold"/>
              <w:rPr>
                <w:szCs w:val="20"/>
              </w:rPr>
            </w:pPr>
            <w:r w:rsidRPr="00C05488">
              <w:rPr>
                <w:rFonts w:cs="Calibri"/>
                <w:szCs w:val="20"/>
              </w:rPr>
              <w:t>Growing the public transport network</w:t>
            </w:r>
          </w:p>
        </w:tc>
        <w:tc>
          <w:tcPr>
            <w:tcW w:w="1093" w:type="dxa"/>
            <w:tcBorders>
              <w:top w:val="nil"/>
              <w:left w:val="nil"/>
              <w:bottom w:val="nil"/>
              <w:right w:val="nil"/>
            </w:tcBorders>
          </w:tcPr>
          <w:p w14:paraId="152F6EB9" w14:textId="77777777" w:rsidR="00CF0E2D" w:rsidRPr="0044739F" w:rsidRDefault="00CF0E2D" w:rsidP="00A60D4B">
            <w:pPr>
              <w:pStyle w:val="Btablefigureunbold"/>
              <w:ind w:left="0" w:firstLine="0"/>
              <w:jc w:val="left"/>
              <w:rPr>
                <w:rFonts w:cs="Calibri"/>
                <w:color w:val="000000"/>
                <w:szCs w:val="20"/>
              </w:rPr>
            </w:pPr>
            <w:r w:rsidRPr="00E3154F">
              <w:rPr>
                <w:rFonts w:cs="Calibri"/>
                <w:color w:val="000000"/>
                <w:szCs w:val="20"/>
              </w:rPr>
              <w:t>Net capital</w:t>
            </w:r>
          </w:p>
        </w:tc>
        <w:tc>
          <w:tcPr>
            <w:tcW w:w="964" w:type="dxa"/>
            <w:gridSpan w:val="2"/>
            <w:tcBorders>
              <w:top w:val="nil"/>
              <w:left w:val="nil"/>
              <w:bottom w:val="nil"/>
              <w:right w:val="nil"/>
            </w:tcBorders>
          </w:tcPr>
          <w:p w14:paraId="57B771E4" w14:textId="77777777" w:rsidR="00CF0E2D" w:rsidRPr="00E366D2" w:rsidRDefault="00CF0E2D" w:rsidP="00A60D4B">
            <w:pPr>
              <w:pStyle w:val="Btablefigureunbold"/>
              <w:rPr>
                <w:szCs w:val="20"/>
              </w:rPr>
            </w:pPr>
            <w:r w:rsidRPr="00E366D2">
              <w:rPr>
                <w:rFonts w:cs="Calibri"/>
                <w:color w:val="000000"/>
                <w:szCs w:val="20"/>
              </w:rPr>
              <w:t>1,800</w:t>
            </w:r>
          </w:p>
        </w:tc>
        <w:tc>
          <w:tcPr>
            <w:tcW w:w="964" w:type="dxa"/>
            <w:gridSpan w:val="2"/>
            <w:tcBorders>
              <w:top w:val="nil"/>
              <w:left w:val="nil"/>
              <w:bottom w:val="nil"/>
              <w:right w:val="nil"/>
            </w:tcBorders>
          </w:tcPr>
          <w:p w14:paraId="33992AFE"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16133315"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799B7A2D" w14:textId="77777777" w:rsidR="00CF0E2D" w:rsidRPr="00E366D2" w:rsidRDefault="00CF0E2D" w:rsidP="00A60D4B">
            <w:pPr>
              <w:pStyle w:val="Btablefigureunbold"/>
              <w:rPr>
                <w:szCs w:val="20"/>
              </w:rPr>
            </w:pPr>
            <w:r w:rsidRPr="00E366D2">
              <w:rPr>
                <w:rFonts w:cs="Calibri"/>
                <w:color w:val="000000"/>
                <w:szCs w:val="20"/>
              </w:rPr>
              <w:t>0</w:t>
            </w:r>
          </w:p>
        </w:tc>
        <w:tc>
          <w:tcPr>
            <w:tcW w:w="954" w:type="dxa"/>
            <w:gridSpan w:val="2"/>
            <w:tcBorders>
              <w:top w:val="nil"/>
              <w:left w:val="nil"/>
              <w:bottom w:val="nil"/>
              <w:right w:val="nil"/>
            </w:tcBorders>
          </w:tcPr>
          <w:p w14:paraId="5CAB1079" w14:textId="77777777" w:rsidR="00CF0E2D" w:rsidRPr="00E366D2" w:rsidRDefault="00CF0E2D" w:rsidP="00A60D4B">
            <w:pPr>
              <w:pStyle w:val="Btablefigureunbold"/>
              <w:rPr>
                <w:b/>
                <w:bCs/>
                <w:szCs w:val="20"/>
              </w:rPr>
            </w:pPr>
            <w:r w:rsidRPr="00E366D2">
              <w:rPr>
                <w:rFonts w:cs="Calibri"/>
                <w:b/>
                <w:bCs/>
                <w:color w:val="000000"/>
                <w:szCs w:val="20"/>
              </w:rPr>
              <w:t>1,800</w:t>
            </w:r>
          </w:p>
        </w:tc>
      </w:tr>
      <w:tr w:rsidR="00CF0E2D" w:rsidRPr="00D60558" w14:paraId="112620A6" w14:textId="77777777" w:rsidTr="00A60D4B">
        <w:trPr>
          <w:gridAfter w:val="1"/>
          <w:wAfter w:w="9" w:type="dxa"/>
          <w:jc w:val="center"/>
        </w:trPr>
        <w:tc>
          <w:tcPr>
            <w:tcW w:w="3355" w:type="dxa"/>
            <w:tcBorders>
              <w:top w:val="nil"/>
              <w:left w:val="nil"/>
              <w:bottom w:val="nil"/>
              <w:right w:val="nil"/>
            </w:tcBorders>
          </w:tcPr>
          <w:p w14:paraId="0F4EFA6F" w14:textId="77777777" w:rsidR="00CF0E2D" w:rsidRPr="00C05488" w:rsidRDefault="00CF0E2D" w:rsidP="00A60D4B">
            <w:pPr>
              <w:pStyle w:val="Btabletextunbold"/>
              <w:rPr>
                <w:szCs w:val="20"/>
              </w:rPr>
            </w:pPr>
            <w:r w:rsidRPr="00C05488">
              <w:rPr>
                <w:rFonts w:cs="Calibri"/>
                <w:szCs w:val="20"/>
              </w:rPr>
              <w:t>Growing the public transport network</w:t>
            </w:r>
          </w:p>
        </w:tc>
        <w:tc>
          <w:tcPr>
            <w:tcW w:w="1093" w:type="dxa"/>
            <w:tcBorders>
              <w:top w:val="nil"/>
              <w:left w:val="nil"/>
              <w:bottom w:val="nil"/>
              <w:right w:val="nil"/>
            </w:tcBorders>
          </w:tcPr>
          <w:p w14:paraId="63EA39EE" w14:textId="77777777" w:rsidR="00CF0E2D" w:rsidRPr="0044739F" w:rsidRDefault="00CF0E2D" w:rsidP="00A60D4B">
            <w:pPr>
              <w:pStyle w:val="Btablefigureunbold"/>
              <w:ind w:left="0" w:firstLine="0"/>
              <w:jc w:val="left"/>
              <w:rPr>
                <w:rFonts w:cs="Calibri"/>
                <w:color w:val="000000"/>
                <w:szCs w:val="20"/>
              </w:rPr>
            </w:pPr>
            <w:r w:rsidRPr="00D4166C">
              <w:rPr>
                <w:rFonts w:cs="Calibri"/>
                <w:color w:val="000000"/>
                <w:szCs w:val="20"/>
              </w:rPr>
              <w:t>Net cost</w:t>
            </w:r>
          </w:p>
        </w:tc>
        <w:tc>
          <w:tcPr>
            <w:tcW w:w="964" w:type="dxa"/>
            <w:gridSpan w:val="2"/>
            <w:tcBorders>
              <w:top w:val="nil"/>
              <w:left w:val="nil"/>
              <w:bottom w:val="nil"/>
              <w:right w:val="nil"/>
            </w:tcBorders>
          </w:tcPr>
          <w:p w14:paraId="2BBD55D9" w14:textId="77777777" w:rsidR="00CF0E2D" w:rsidRPr="00E366D2" w:rsidRDefault="00CF0E2D" w:rsidP="00A60D4B">
            <w:pPr>
              <w:pStyle w:val="Btablefigureunbold"/>
              <w:rPr>
                <w:szCs w:val="20"/>
              </w:rPr>
            </w:pPr>
            <w:r w:rsidRPr="00E366D2">
              <w:rPr>
                <w:rFonts w:cs="Calibri"/>
                <w:color w:val="000000"/>
                <w:szCs w:val="20"/>
              </w:rPr>
              <w:t>707</w:t>
            </w:r>
          </w:p>
        </w:tc>
        <w:tc>
          <w:tcPr>
            <w:tcW w:w="964" w:type="dxa"/>
            <w:gridSpan w:val="2"/>
            <w:tcBorders>
              <w:top w:val="nil"/>
              <w:left w:val="nil"/>
              <w:bottom w:val="nil"/>
              <w:right w:val="nil"/>
            </w:tcBorders>
          </w:tcPr>
          <w:p w14:paraId="19933F60" w14:textId="77777777" w:rsidR="00CF0E2D" w:rsidRPr="00E366D2" w:rsidRDefault="00CF0E2D" w:rsidP="00A60D4B">
            <w:pPr>
              <w:pStyle w:val="Btablefigureunbold"/>
              <w:rPr>
                <w:szCs w:val="20"/>
              </w:rPr>
            </w:pPr>
            <w:r w:rsidRPr="00E366D2">
              <w:rPr>
                <w:rFonts w:cs="Calibri"/>
                <w:color w:val="000000"/>
                <w:szCs w:val="20"/>
              </w:rPr>
              <w:t>1</w:t>
            </w:r>
            <w:r>
              <w:rPr>
                <w:rFonts w:cs="Calibri"/>
                <w:color w:val="000000"/>
                <w:szCs w:val="20"/>
              </w:rPr>
              <w:t>,</w:t>
            </w:r>
            <w:r w:rsidRPr="00E366D2">
              <w:rPr>
                <w:rFonts w:cs="Calibri"/>
                <w:color w:val="000000"/>
                <w:szCs w:val="20"/>
              </w:rPr>
              <w:t>363</w:t>
            </w:r>
          </w:p>
        </w:tc>
        <w:tc>
          <w:tcPr>
            <w:tcW w:w="964" w:type="dxa"/>
            <w:gridSpan w:val="2"/>
            <w:tcBorders>
              <w:top w:val="nil"/>
              <w:left w:val="nil"/>
              <w:bottom w:val="nil"/>
              <w:right w:val="nil"/>
            </w:tcBorders>
          </w:tcPr>
          <w:p w14:paraId="40F2FBAC" w14:textId="77777777" w:rsidR="00CF0E2D" w:rsidRPr="00E366D2" w:rsidRDefault="00CF0E2D" w:rsidP="00A60D4B">
            <w:pPr>
              <w:pStyle w:val="Btablefigureunbold"/>
              <w:rPr>
                <w:szCs w:val="20"/>
              </w:rPr>
            </w:pPr>
            <w:r w:rsidRPr="00E366D2">
              <w:rPr>
                <w:rFonts w:cs="Calibri"/>
                <w:color w:val="000000"/>
                <w:szCs w:val="20"/>
              </w:rPr>
              <w:t>85</w:t>
            </w:r>
          </w:p>
        </w:tc>
        <w:tc>
          <w:tcPr>
            <w:tcW w:w="964" w:type="dxa"/>
            <w:gridSpan w:val="2"/>
            <w:tcBorders>
              <w:top w:val="nil"/>
              <w:left w:val="nil"/>
              <w:bottom w:val="nil"/>
              <w:right w:val="nil"/>
            </w:tcBorders>
          </w:tcPr>
          <w:p w14:paraId="44ADDF5C" w14:textId="77777777" w:rsidR="00CF0E2D" w:rsidRPr="00E366D2" w:rsidRDefault="00CF0E2D" w:rsidP="00A60D4B">
            <w:pPr>
              <w:pStyle w:val="Btablefigureunbold"/>
              <w:rPr>
                <w:szCs w:val="20"/>
              </w:rPr>
            </w:pPr>
            <w:r w:rsidRPr="00E366D2">
              <w:rPr>
                <w:rFonts w:cs="Calibri"/>
                <w:color w:val="000000"/>
                <w:szCs w:val="20"/>
              </w:rPr>
              <w:t>85</w:t>
            </w:r>
          </w:p>
        </w:tc>
        <w:tc>
          <w:tcPr>
            <w:tcW w:w="954" w:type="dxa"/>
            <w:gridSpan w:val="2"/>
            <w:tcBorders>
              <w:top w:val="nil"/>
              <w:left w:val="nil"/>
              <w:bottom w:val="nil"/>
              <w:right w:val="nil"/>
            </w:tcBorders>
          </w:tcPr>
          <w:p w14:paraId="5D5E9926" w14:textId="77777777" w:rsidR="00CF0E2D" w:rsidRPr="00E366D2" w:rsidRDefault="00CF0E2D" w:rsidP="00A60D4B">
            <w:pPr>
              <w:pStyle w:val="Btablefigureunbold"/>
              <w:rPr>
                <w:b/>
                <w:bCs/>
                <w:szCs w:val="20"/>
              </w:rPr>
            </w:pPr>
            <w:r w:rsidRPr="00E366D2">
              <w:rPr>
                <w:rFonts w:cs="Calibri"/>
                <w:b/>
                <w:bCs/>
                <w:color w:val="000000"/>
                <w:szCs w:val="20"/>
              </w:rPr>
              <w:t>2</w:t>
            </w:r>
            <w:r>
              <w:rPr>
                <w:rFonts w:cs="Calibri"/>
                <w:b/>
                <w:bCs/>
                <w:color w:val="000000"/>
                <w:szCs w:val="20"/>
              </w:rPr>
              <w:t>,</w:t>
            </w:r>
            <w:r w:rsidRPr="00E366D2">
              <w:rPr>
                <w:rFonts w:cs="Calibri"/>
                <w:b/>
                <w:bCs/>
                <w:color w:val="000000"/>
                <w:szCs w:val="20"/>
              </w:rPr>
              <w:t>240</w:t>
            </w:r>
          </w:p>
        </w:tc>
      </w:tr>
      <w:tr w:rsidR="00CF0E2D" w:rsidRPr="00D60558" w14:paraId="7F53C719" w14:textId="77777777" w:rsidTr="00A60D4B">
        <w:trPr>
          <w:gridAfter w:val="1"/>
          <w:wAfter w:w="9" w:type="dxa"/>
          <w:jc w:val="center"/>
        </w:trPr>
        <w:tc>
          <w:tcPr>
            <w:tcW w:w="3355" w:type="dxa"/>
            <w:tcBorders>
              <w:top w:val="nil"/>
              <w:left w:val="nil"/>
              <w:bottom w:val="nil"/>
              <w:right w:val="nil"/>
            </w:tcBorders>
          </w:tcPr>
          <w:p w14:paraId="7EBF2B9C" w14:textId="77777777" w:rsidR="00CF0E2D" w:rsidRPr="00C05488" w:rsidRDefault="00CF0E2D" w:rsidP="00A60D4B">
            <w:pPr>
              <w:pStyle w:val="Btabletextunbold"/>
              <w:rPr>
                <w:szCs w:val="20"/>
              </w:rPr>
            </w:pPr>
            <w:r w:rsidRPr="00C05488">
              <w:rPr>
                <w:rFonts w:cs="Calibri"/>
                <w:szCs w:val="20"/>
              </w:rPr>
              <w:t>Materials Recovery Facility gate fee increase</w:t>
            </w:r>
          </w:p>
        </w:tc>
        <w:tc>
          <w:tcPr>
            <w:tcW w:w="1093" w:type="dxa"/>
            <w:tcBorders>
              <w:top w:val="nil"/>
              <w:left w:val="nil"/>
              <w:bottom w:val="nil"/>
              <w:right w:val="nil"/>
            </w:tcBorders>
          </w:tcPr>
          <w:p w14:paraId="06F8FF6E" w14:textId="77777777" w:rsidR="00CF0E2D" w:rsidRPr="0044739F" w:rsidRDefault="00CF0E2D" w:rsidP="00A60D4B">
            <w:pPr>
              <w:pStyle w:val="Btablefigureunbold"/>
              <w:ind w:left="0" w:firstLine="0"/>
              <w:jc w:val="left"/>
              <w:rPr>
                <w:rFonts w:cs="Calibri"/>
                <w:color w:val="000000"/>
                <w:szCs w:val="20"/>
              </w:rPr>
            </w:pPr>
            <w:r w:rsidRPr="00D4166C">
              <w:rPr>
                <w:rFonts w:cs="Calibri"/>
                <w:color w:val="000000"/>
                <w:szCs w:val="20"/>
              </w:rPr>
              <w:t>Net cost</w:t>
            </w:r>
          </w:p>
        </w:tc>
        <w:tc>
          <w:tcPr>
            <w:tcW w:w="964" w:type="dxa"/>
            <w:gridSpan w:val="2"/>
            <w:tcBorders>
              <w:top w:val="nil"/>
              <w:left w:val="nil"/>
              <w:bottom w:val="nil"/>
              <w:right w:val="nil"/>
            </w:tcBorders>
          </w:tcPr>
          <w:p w14:paraId="196BC6E7" w14:textId="77777777" w:rsidR="00CF0E2D" w:rsidRPr="00E366D2" w:rsidRDefault="00CF0E2D" w:rsidP="00A60D4B">
            <w:pPr>
              <w:pStyle w:val="Btablefigureunbold"/>
              <w:rPr>
                <w:szCs w:val="20"/>
              </w:rPr>
            </w:pPr>
            <w:r w:rsidRPr="00E366D2">
              <w:rPr>
                <w:rFonts w:cs="Calibri"/>
                <w:color w:val="000000"/>
                <w:szCs w:val="20"/>
              </w:rPr>
              <w:t>1,990</w:t>
            </w:r>
          </w:p>
        </w:tc>
        <w:tc>
          <w:tcPr>
            <w:tcW w:w="964" w:type="dxa"/>
            <w:gridSpan w:val="2"/>
            <w:tcBorders>
              <w:top w:val="nil"/>
              <w:left w:val="nil"/>
              <w:bottom w:val="nil"/>
              <w:right w:val="nil"/>
            </w:tcBorders>
          </w:tcPr>
          <w:p w14:paraId="56BA3846" w14:textId="77777777" w:rsidR="00CF0E2D" w:rsidRPr="00E366D2" w:rsidRDefault="00CF0E2D" w:rsidP="00A60D4B">
            <w:pPr>
              <w:pStyle w:val="Btablefigureunbold"/>
              <w:rPr>
                <w:szCs w:val="20"/>
              </w:rPr>
            </w:pPr>
            <w:r w:rsidRPr="00E366D2">
              <w:rPr>
                <w:rFonts w:cs="Calibri"/>
                <w:color w:val="000000"/>
                <w:szCs w:val="20"/>
              </w:rPr>
              <w:t>2,040</w:t>
            </w:r>
          </w:p>
        </w:tc>
        <w:tc>
          <w:tcPr>
            <w:tcW w:w="964" w:type="dxa"/>
            <w:gridSpan w:val="2"/>
            <w:tcBorders>
              <w:top w:val="nil"/>
              <w:left w:val="nil"/>
              <w:bottom w:val="nil"/>
              <w:right w:val="nil"/>
            </w:tcBorders>
          </w:tcPr>
          <w:p w14:paraId="410DC3A6"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48179890" w14:textId="77777777" w:rsidR="00CF0E2D" w:rsidRPr="00E366D2" w:rsidRDefault="00CF0E2D" w:rsidP="00A60D4B">
            <w:pPr>
              <w:pStyle w:val="Btablefigureunbold"/>
              <w:rPr>
                <w:szCs w:val="20"/>
              </w:rPr>
            </w:pPr>
            <w:r w:rsidRPr="00E366D2">
              <w:rPr>
                <w:rFonts w:cs="Calibri"/>
                <w:color w:val="000000"/>
                <w:szCs w:val="20"/>
              </w:rPr>
              <w:t>0</w:t>
            </w:r>
          </w:p>
        </w:tc>
        <w:tc>
          <w:tcPr>
            <w:tcW w:w="954" w:type="dxa"/>
            <w:gridSpan w:val="2"/>
            <w:tcBorders>
              <w:top w:val="nil"/>
              <w:left w:val="nil"/>
              <w:bottom w:val="nil"/>
              <w:right w:val="nil"/>
            </w:tcBorders>
          </w:tcPr>
          <w:p w14:paraId="4C449D4F" w14:textId="77777777" w:rsidR="00CF0E2D" w:rsidRPr="00E366D2" w:rsidRDefault="00CF0E2D" w:rsidP="00A60D4B">
            <w:pPr>
              <w:pStyle w:val="Btablefigureunbold"/>
              <w:rPr>
                <w:b/>
                <w:bCs/>
                <w:szCs w:val="20"/>
              </w:rPr>
            </w:pPr>
            <w:r w:rsidRPr="00E366D2">
              <w:rPr>
                <w:rFonts w:cs="Calibri"/>
                <w:b/>
                <w:bCs/>
                <w:color w:val="000000"/>
                <w:szCs w:val="20"/>
              </w:rPr>
              <w:t>4,030</w:t>
            </w:r>
          </w:p>
        </w:tc>
      </w:tr>
      <w:tr w:rsidR="00CF0E2D" w:rsidRPr="00D60558" w14:paraId="15486DFB" w14:textId="77777777" w:rsidTr="00A60D4B">
        <w:trPr>
          <w:gridAfter w:val="1"/>
          <w:wAfter w:w="9" w:type="dxa"/>
          <w:jc w:val="center"/>
        </w:trPr>
        <w:tc>
          <w:tcPr>
            <w:tcW w:w="3355" w:type="dxa"/>
            <w:tcBorders>
              <w:top w:val="nil"/>
              <w:left w:val="nil"/>
              <w:bottom w:val="nil"/>
              <w:right w:val="nil"/>
            </w:tcBorders>
          </w:tcPr>
          <w:p w14:paraId="4C09FD65" w14:textId="77777777" w:rsidR="00CF0E2D" w:rsidRPr="00C05488" w:rsidRDefault="00CF0E2D" w:rsidP="00A60D4B">
            <w:pPr>
              <w:pStyle w:val="Btabletextunbold"/>
              <w:rPr>
                <w:szCs w:val="20"/>
              </w:rPr>
            </w:pPr>
            <w:r w:rsidRPr="00C05488">
              <w:rPr>
                <w:rFonts w:cs="Calibri"/>
                <w:szCs w:val="20"/>
              </w:rPr>
              <w:t xml:space="preserve">Mawson stormwater and placemaking improvements </w:t>
            </w:r>
            <w:r>
              <w:rPr>
                <w:rFonts w:cs="Calibri"/>
                <w:szCs w:val="20"/>
              </w:rPr>
              <w:t>–</w:t>
            </w:r>
            <w:r w:rsidRPr="00C05488">
              <w:rPr>
                <w:rFonts w:cs="Calibri"/>
                <w:szCs w:val="20"/>
              </w:rPr>
              <w:t xml:space="preserve"> construction</w:t>
            </w:r>
          </w:p>
        </w:tc>
        <w:tc>
          <w:tcPr>
            <w:tcW w:w="1093" w:type="dxa"/>
            <w:tcBorders>
              <w:top w:val="nil"/>
              <w:left w:val="nil"/>
              <w:bottom w:val="nil"/>
              <w:right w:val="nil"/>
            </w:tcBorders>
          </w:tcPr>
          <w:p w14:paraId="364AFA83" w14:textId="77777777" w:rsidR="00CF0E2D" w:rsidRPr="0044739F" w:rsidRDefault="00CF0E2D" w:rsidP="00A60D4B">
            <w:pPr>
              <w:pStyle w:val="Btablefigureunbold"/>
              <w:ind w:left="0" w:firstLine="0"/>
              <w:jc w:val="left"/>
              <w:rPr>
                <w:rFonts w:cs="Calibri"/>
                <w:color w:val="000000"/>
                <w:szCs w:val="20"/>
              </w:rPr>
            </w:pPr>
            <w:r w:rsidRPr="0044739F">
              <w:rPr>
                <w:rFonts w:cs="Calibri"/>
                <w:color w:val="000000"/>
                <w:szCs w:val="20"/>
              </w:rPr>
              <w:t>Net capital</w:t>
            </w:r>
          </w:p>
        </w:tc>
        <w:tc>
          <w:tcPr>
            <w:tcW w:w="964" w:type="dxa"/>
            <w:gridSpan w:val="2"/>
            <w:tcBorders>
              <w:top w:val="nil"/>
              <w:left w:val="nil"/>
              <w:bottom w:val="nil"/>
              <w:right w:val="nil"/>
            </w:tcBorders>
          </w:tcPr>
          <w:p w14:paraId="75793FDD" w14:textId="77777777" w:rsidR="00CF0E2D" w:rsidRPr="00E366D2" w:rsidRDefault="00CF0E2D" w:rsidP="00A60D4B">
            <w:pPr>
              <w:pStyle w:val="Btablefigureunbold"/>
              <w:rPr>
                <w:szCs w:val="20"/>
              </w:rPr>
            </w:pPr>
            <w:r w:rsidRPr="00E366D2">
              <w:rPr>
                <w:rFonts w:cs="Calibri"/>
                <w:color w:val="000000"/>
                <w:szCs w:val="20"/>
              </w:rPr>
              <w:t>-2,000</w:t>
            </w:r>
          </w:p>
        </w:tc>
        <w:tc>
          <w:tcPr>
            <w:tcW w:w="964" w:type="dxa"/>
            <w:gridSpan w:val="2"/>
            <w:tcBorders>
              <w:top w:val="nil"/>
              <w:left w:val="nil"/>
              <w:bottom w:val="nil"/>
              <w:right w:val="nil"/>
            </w:tcBorders>
          </w:tcPr>
          <w:p w14:paraId="4793FE0A" w14:textId="77777777" w:rsidR="00CF0E2D" w:rsidRPr="00E366D2" w:rsidRDefault="00CF0E2D" w:rsidP="00A60D4B">
            <w:pPr>
              <w:pStyle w:val="Btablefigureunbold"/>
              <w:rPr>
                <w:szCs w:val="20"/>
              </w:rPr>
            </w:pPr>
            <w:r w:rsidRPr="00E366D2">
              <w:rPr>
                <w:rFonts w:cs="Calibri"/>
                <w:color w:val="000000"/>
                <w:szCs w:val="20"/>
              </w:rPr>
              <w:t>2,000</w:t>
            </w:r>
          </w:p>
        </w:tc>
        <w:tc>
          <w:tcPr>
            <w:tcW w:w="964" w:type="dxa"/>
            <w:gridSpan w:val="2"/>
            <w:tcBorders>
              <w:top w:val="nil"/>
              <w:left w:val="nil"/>
              <w:bottom w:val="nil"/>
              <w:right w:val="nil"/>
            </w:tcBorders>
          </w:tcPr>
          <w:p w14:paraId="1385B01C"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0AC1D9EC" w14:textId="77777777" w:rsidR="00CF0E2D" w:rsidRPr="00E366D2" w:rsidRDefault="00CF0E2D" w:rsidP="00A60D4B">
            <w:pPr>
              <w:pStyle w:val="Btablefigureunbold"/>
              <w:rPr>
                <w:szCs w:val="20"/>
              </w:rPr>
            </w:pPr>
            <w:r w:rsidRPr="00E366D2">
              <w:rPr>
                <w:rFonts w:cs="Calibri"/>
                <w:color w:val="000000"/>
                <w:szCs w:val="20"/>
              </w:rPr>
              <w:t>0</w:t>
            </w:r>
          </w:p>
        </w:tc>
        <w:tc>
          <w:tcPr>
            <w:tcW w:w="954" w:type="dxa"/>
            <w:gridSpan w:val="2"/>
            <w:tcBorders>
              <w:top w:val="nil"/>
              <w:left w:val="nil"/>
              <w:bottom w:val="nil"/>
              <w:right w:val="nil"/>
            </w:tcBorders>
          </w:tcPr>
          <w:p w14:paraId="49D1EB9B" w14:textId="77777777" w:rsidR="00CF0E2D" w:rsidRPr="00E366D2" w:rsidRDefault="00CF0E2D" w:rsidP="00A60D4B">
            <w:pPr>
              <w:pStyle w:val="Btablefigureunbold"/>
              <w:rPr>
                <w:b/>
                <w:bCs/>
                <w:szCs w:val="20"/>
              </w:rPr>
            </w:pPr>
            <w:r w:rsidRPr="00E366D2">
              <w:rPr>
                <w:rFonts w:cs="Calibri"/>
                <w:b/>
                <w:bCs/>
                <w:color w:val="000000"/>
                <w:szCs w:val="20"/>
              </w:rPr>
              <w:t>0</w:t>
            </w:r>
          </w:p>
        </w:tc>
      </w:tr>
      <w:tr w:rsidR="00CF0E2D" w:rsidRPr="00D60558" w14:paraId="099026A5" w14:textId="77777777" w:rsidTr="00A60D4B">
        <w:trPr>
          <w:gridAfter w:val="1"/>
          <w:wAfter w:w="9" w:type="dxa"/>
          <w:jc w:val="center"/>
        </w:trPr>
        <w:tc>
          <w:tcPr>
            <w:tcW w:w="3355" w:type="dxa"/>
            <w:tcBorders>
              <w:top w:val="nil"/>
              <w:left w:val="nil"/>
              <w:bottom w:val="nil"/>
              <w:right w:val="nil"/>
            </w:tcBorders>
          </w:tcPr>
          <w:p w14:paraId="16AFF367" w14:textId="77777777" w:rsidR="00CF0E2D" w:rsidRPr="00C05488" w:rsidRDefault="00CF0E2D" w:rsidP="00A60D4B">
            <w:pPr>
              <w:pStyle w:val="Btabletextunbold"/>
              <w:rPr>
                <w:szCs w:val="20"/>
              </w:rPr>
            </w:pPr>
            <w:r w:rsidRPr="00C05488">
              <w:rPr>
                <w:rFonts w:cs="Calibri"/>
                <w:szCs w:val="20"/>
              </w:rPr>
              <w:t xml:space="preserve">Mawson stormwater and placemaking improvements </w:t>
            </w:r>
            <w:r>
              <w:rPr>
                <w:rFonts w:cs="Calibri"/>
                <w:szCs w:val="20"/>
              </w:rPr>
              <w:t>–</w:t>
            </w:r>
            <w:r w:rsidRPr="00C05488">
              <w:rPr>
                <w:rFonts w:cs="Calibri"/>
                <w:szCs w:val="20"/>
              </w:rPr>
              <w:t xml:space="preserve"> construction</w:t>
            </w:r>
          </w:p>
        </w:tc>
        <w:tc>
          <w:tcPr>
            <w:tcW w:w="1093" w:type="dxa"/>
            <w:tcBorders>
              <w:top w:val="nil"/>
              <w:left w:val="nil"/>
              <w:bottom w:val="nil"/>
              <w:right w:val="nil"/>
            </w:tcBorders>
          </w:tcPr>
          <w:p w14:paraId="77197940" w14:textId="77777777" w:rsidR="00CF0E2D" w:rsidRPr="0044739F"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274D8D5A"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65348E55"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2C454E83" w14:textId="77777777" w:rsidR="00CF0E2D" w:rsidRPr="00E366D2" w:rsidRDefault="00CF0E2D" w:rsidP="00A60D4B">
            <w:pPr>
              <w:pStyle w:val="Btablefigureunbold"/>
              <w:rPr>
                <w:szCs w:val="20"/>
              </w:rPr>
            </w:pPr>
            <w:r w:rsidRPr="00E366D2">
              <w:rPr>
                <w:rFonts w:cs="Calibri"/>
                <w:color w:val="000000"/>
                <w:szCs w:val="20"/>
              </w:rPr>
              <w:t>63</w:t>
            </w:r>
          </w:p>
        </w:tc>
        <w:tc>
          <w:tcPr>
            <w:tcW w:w="964" w:type="dxa"/>
            <w:gridSpan w:val="2"/>
            <w:tcBorders>
              <w:top w:val="nil"/>
              <w:left w:val="nil"/>
              <w:bottom w:val="nil"/>
              <w:right w:val="nil"/>
            </w:tcBorders>
          </w:tcPr>
          <w:p w14:paraId="79E1C630" w14:textId="77777777" w:rsidR="00CF0E2D" w:rsidRPr="00E366D2" w:rsidRDefault="00CF0E2D" w:rsidP="00A60D4B">
            <w:pPr>
              <w:pStyle w:val="Btablefigureunbold"/>
              <w:rPr>
                <w:szCs w:val="20"/>
              </w:rPr>
            </w:pPr>
            <w:r w:rsidRPr="00E366D2">
              <w:rPr>
                <w:rFonts w:cs="Calibri"/>
                <w:color w:val="000000"/>
                <w:szCs w:val="20"/>
              </w:rPr>
              <w:t>84</w:t>
            </w:r>
          </w:p>
        </w:tc>
        <w:tc>
          <w:tcPr>
            <w:tcW w:w="954" w:type="dxa"/>
            <w:gridSpan w:val="2"/>
            <w:tcBorders>
              <w:top w:val="nil"/>
              <w:left w:val="nil"/>
              <w:bottom w:val="nil"/>
              <w:right w:val="nil"/>
            </w:tcBorders>
          </w:tcPr>
          <w:p w14:paraId="657D0E08" w14:textId="77777777" w:rsidR="00CF0E2D" w:rsidRPr="00E366D2" w:rsidRDefault="00CF0E2D" w:rsidP="00A60D4B">
            <w:pPr>
              <w:pStyle w:val="Btablefigureunbold"/>
              <w:rPr>
                <w:b/>
                <w:bCs/>
                <w:szCs w:val="20"/>
              </w:rPr>
            </w:pPr>
            <w:r w:rsidRPr="00E366D2">
              <w:rPr>
                <w:rFonts w:cs="Calibri"/>
                <w:b/>
                <w:bCs/>
                <w:color w:val="000000"/>
                <w:szCs w:val="20"/>
              </w:rPr>
              <w:t>147</w:t>
            </w:r>
          </w:p>
        </w:tc>
      </w:tr>
      <w:tr w:rsidR="00CF0E2D" w:rsidRPr="00D60558" w14:paraId="7FADB703" w14:textId="77777777" w:rsidTr="00A60D4B">
        <w:trPr>
          <w:gridAfter w:val="1"/>
          <w:wAfter w:w="9" w:type="dxa"/>
          <w:jc w:val="center"/>
        </w:trPr>
        <w:tc>
          <w:tcPr>
            <w:tcW w:w="3355" w:type="dxa"/>
            <w:tcBorders>
              <w:top w:val="nil"/>
              <w:left w:val="nil"/>
              <w:bottom w:val="nil"/>
              <w:right w:val="nil"/>
            </w:tcBorders>
          </w:tcPr>
          <w:p w14:paraId="7A274455" w14:textId="77777777" w:rsidR="00CF0E2D" w:rsidRPr="00627DC1" w:rsidRDefault="00CF0E2D" w:rsidP="00A60D4B">
            <w:pPr>
              <w:pStyle w:val="Btabletextunbold"/>
              <w:rPr>
                <w:rFonts w:cs="Calibri"/>
                <w:i/>
                <w:iCs/>
                <w:szCs w:val="20"/>
              </w:rPr>
            </w:pPr>
            <w:r w:rsidRPr="00627DC1">
              <w:rPr>
                <w:rFonts w:cs="Calibri"/>
                <w:i/>
                <w:iCs/>
                <w:szCs w:val="20"/>
              </w:rPr>
              <w:t>New and expanded schools</w:t>
            </w:r>
          </w:p>
        </w:tc>
        <w:tc>
          <w:tcPr>
            <w:tcW w:w="1093" w:type="dxa"/>
            <w:tcBorders>
              <w:top w:val="nil"/>
              <w:left w:val="nil"/>
              <w:bottom w:val="nil"/>
              <w:right w:val="nil"/>
            </w:tcBorders>
          </w:tcPr>
          <w:p w14:paraId="4F755A27" w14:textId="77777777" w:rsidR="00CF0E2D" w:rsidRPr="0044739F"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64106BF3" w14:textId="77777777" w:rsidR="00CF0E2D" w:rsidRPr="00E366D2" w:rsidRDefault="00CF0E2D" w:rsidP="00A60D4B">
            <w:pPr>
              <w:pStyle w:val="Btablefigureunbold"/>
              <w:rPr>
                <w:szCs w:val="20"/>
              </w:rPr>
            </w:pPr>
          </w:p>
        </w:tc>
        <w:tc>
          <w:tcPr>
            <w:tcW w:w="964" w:type="dxa"/>
            <w:gridSpan w:val="2"/>
            <w:tcBorders>
              <w:top w:val="nil"/>
              <w:left w:val="nil"/>
              <w:bottom w:val="nil"/>
              <w:right w:val="nil"/>
            </w:tcBorders>
          </w:tcPr>
          <w:p w14:paraId="650A24B0" w14:textId="77777777" w:rsidR="00CF0E2D" w:rsidRPr="00E366D2" w:rsidRDefault="00CF0E2D" w:rsidP="00A60D4B">
            <w:pPr>
              <w:pStyle w:val="Btablefigureunbold"/>
              <w:rPr>
                <w:szCs w:val="20"/>
              </w:rPr>
            </w:pPr>
          </w:p>
        </w:tc>
        <w:tc>
          <w:tcPr>
            <w:tcW w:w="964" w:type="dxa"/>
            <w:gridSpan w:val="2"/>
            <w:tcBorders>
              <w:top w:val="nil"/>
              <w:left w:val="nil"/>
              <w:bottom w:val="nil"/>
              <w:right w:val="nil"/>
            </w:tcBorders>
          </w:tcPr>
          <w:p w14:paraId="512E64DB" w14:textId="77777777" w:rsidR="00CF0E2D" w:rsidRPr="00E366D2" w:rsidRDefault="00CF0E2D" w:rsidP="00A60D4B">
            <w:pPr>
              <w:pStyle w:val="Btablefigureunbold"/>
              <w:rPr>
                <w:szCs w:val="20"/>
              </w:rPr>
            </w:pPr>
          </w:p>
        </w:tc>
        <w:tc>
          <w:tcPr>
            <w:tcW w:w="964" w:type="dxa"/>
            <w:gridSpan w:val="2"/>
            <w:tcBorders>
              <w:top w:val="nil"/>
              <w:left w:val="nil"/>
              <w:bottom w:val="nil"/>
              <w:right w:val="nil"/>
            </w:tcBorders>
          </w:tcPr>
          <w:p w14:paraId="7BDFF521" w14:textId="77777777" w:rsidR="00CF0E2D" w:rsidRPr="00E366D2" w:rsidRDefault="00CF0E2D" w:rsidP="00A60D4B">
            <w:pPr>
              <w:pStyle w:val="Btablefigureunbold"/>
              <w:rPr>
                <w:szCs w:val="20"/>
              </w:rPr>
            </w:pPr>
          </w:p>
        </w:tc>
        <w:tc>
          <w:tcPr>
            <w:tcW w:w="954" w:type="dxa"/>
            <w:gridSpan w:val="2"/>
            <w:tcBorders>
              <w:top w:val="nil"/>
              <w:left w:val="nil"/>
              <w:bottom w:val="nil"/>
              <w:right w:val="nil"/>
            </w:tcBorders>
          </w:tcPr>
          <w:p w14:paraId="59CBEF71" w14:textId="77777777" w:rsidR="00CF0E2D" w:rsidRPr="00E366D2" w:rsidRDefault="00CF0E2D" w:rsidP="00A60D4B">
            <w:pPr>
              <w:pStyle w:val="Btablefigureunbold"/>
              <w:rPr>
                <w:b/>
                <w:bCs/>
                <w:szCs w:val="20"/>
              </w:rPr>
            </w:pPr>
          </w:p>
        </w:tc>
      </w:tr>
      <w:tr w:rsidR="00CF0E2D" w:rsidRPr="00D60558" w14:paraId="04A4D05F" w14:textId="77777777" w:rsidTr="00A60D4B">
        <w:trPr>
          <w:gridAfter w:val="1"/>
          <w:wAfter w:w="9" w:type="dxa"/>
          <w:jc w:val="center"/>
        </w:trPr>
        <w:tc>
          <w:tcPr>
            <w:tcW w:w="3355" w:type="dxa"/>
            <w:tcBorders>
              <w:top w:val="nil"/>
              <w:left w:val="nil"/>
              <w:bottom w:val="nil"/>
              <w:right w:val="nil"/>
            </w:tcBorders>
          </w:tcPr>
          <w:p w14:paraId="4652DCAF"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Roadworks to support East Gungahlin High School</w:t>
            </w:r>
          </w:p>
        </w:tc>
        <w:tc>
          <w:tcPr>
            <w:tcW w:w="1093" w:type="dxa"/>
            <w:tcBorders>
              <w:top w:val="nil"/>
              <w:left w:val="nil"/>
              <w:bottom w:val="nil"/>
              <w:right w:val="nil"/>
            </w:tcBorders>
          </w:tcPr>
          <w:p w14:paraId="73E9034F" w14:textId="77777777" w:rsidR="00CF0E2D" w:rsidRPr="0044739F" w:rsidRDefault="00CF0E2D" w:rsidP="00A60D4B">
            <w:pPr>
              <w:pStyle w:val="Btablefigureunbold"/>
              <w:ind w:left="0" w:firstLine="0"/>
              <w:jc w:val="left"/>
              <w:rPr>
                <w:rFonts w:cs="Calibri"/>
                <w:color w:val="000000"/>
                <w:szCs w:val="20"/>
              </w:rPr>
            </w:pPr>
            <w:r w:rsidRPr="0044739F">
              <w:rPr>
                <w:rFonts w:cs="Calibri"/>
                <w:color w:val="000000"/>
                <w:szCs w:val="20"/>
              </w:rPr>
              <w:t>Net capital</w:t>
            </w:r>
          </w:p>
        </w:tc>
        <w:tc>
          <w:tcPr>
            <w:tcW w:w="964" w:type="dxa"/>
            <w:gridSpan w:val="2"/>
            <w:tcBorders>
              <w:top w:val="nil"/>
              <w:left w:val="nil"/>
              <w:bottom w:val="nil"/>
              <w:right w:val="nil"/>
            </w:tcBorders>
          </w:tcPr>
          <w:p w14:paraId="4D30D074" w14:textId="77777777" w:rsidR="00CF0E2D" w:rsidRPr="00E366D2" w:rsidRDefault="00CF0E2D" w:rsidP="00A60D4B">
            <w:pPr>
              <w:pStyle w:val="Btablefigureunbold"/>
              <w:rPr>
                <w:szCs w:val="20"/>
              </w:rPr>
            </w:pPr>
            <w:r w:rsidRPr="00E366D2">
              <w:rPr>
                <w:rFonts w:cs="Calibri"/>
                <w:color w:val="000000"/>
                <w:szCs w:val="20"/>
              </w:rPr>
              <w:t>1,000</w:t>
            </w:r>
          </w:p>
        </w:tc>
        <w:tc>
          <w:tcPr>
            <w:tcW w:w="964" w:type="dxa"/>
            <w:gridSpan w:val="2"/>
            <w:tcBorders>
              <w:top w:val="nil"/>
              <w:left w:val="nil"/>
              <w:bottom w:val="nil"/>
              <w:right w:val="nil"/>
            </w:tcBorders>
          </w:tcPr>
          <w:p w14:paraId="64B9DB90" w14:textId="77777777" w:rsidR="00CF0E2D" w:rsidRPr="00E366D2" w:rsidRDefault="00CF0E2D" w:rsidP="00A60D4B">
            <w:pPr>
              <w:pStyle w:val="Btablefigureunbold"/>
              <w:rPr>
                <w:szCs w:val="20"/>
              </w:rPr>
            </w:pPr>
            <w:r w:rsidRPr="00E366D2">
              <w:rPr>
                <w:rFonts w:cs="Calibri"/>
                <w:color w:val="000000"/>
                <w:szCs w:val="20"/>
              </w:rPr>
              <w:t>4,000</w:t>
            </w:r>
          </w:p>
        </w:tc>
        <w:tc>
          <w:tcPr>
            <w:tcW w:w="964" w:type="dxa"/>
            <w:gridSpan w:val="2"/>
            <w:tcBorders>
              <w:top w:val="nil"/>
              <w:left w:val="nil"/>
              <w:bottom w:val="nil"/>
              <w:right w:val="nil"/>
            </w:tcBorders>
          </w:tcPr>
          <w:p w14:paraId="492912F5" w14:textId="77777777" w:rsidR="00CF0E2D" w:rsidRPr="00E366D2" w:rsidRDefault="00CF0E2D" w:rsidP="00A60D4B">
            <w:pPr>
              <w:pStyle w:val="Btablefigureunbold"/>
              <w:rPr>
                <w:szCs w:val="20"/>
              </w:rPr>
            </w:pPr>
            <w:r w:rsidRPr="00E366D2">
              <w:rPr>
                <w:rFonts w:cs="Calibri"/>
                <w:color w:val="000000"/>
                <w:szCs w:val="20"/>
              </w:rPr>
              <w:t>650</w:t>
            </w:r>
          </w:p>
        </w:tc>
        <w:tc>
          <w:tcPr>
            <w:tcW w:w="964" w:type="dxa"/>
            <w:gridSpan w:val="2"/>
            <w:tcBorders>
              <w:top w:val="nil"/>
              <w:left w:val="nil"/>
              <w:bottom w:val="nil"/>
              <w:right w:val="nil"/>
            </w:tcBorders>
          </w:tcPr>
          <w:p w14:paraId="47C90D35" w14:textId="77777777" w:rsidR="00CF0E2D" w:rsidRPr="00E366D2" w:rsidRDefault="00CF0E2D" w:rsidP="00A60D4B">
            <w:pPr>
              <w:pStyle w:val="Btablefigureunbold"/>
              <w:rPr>
                <w:szCs w:val="20"/>
              </w:rPr>
            </w:pPr>
            <w:r w:rsidRPr="00E366D2">
              <w:rPr>
                <w:rFonts w:cs="Calibri"/>
                <w:color w:val="000000"/>
                <w:szCs w:val="20"/>
              </w:rPr>
              <w:t>0</w:t>
            </w:r>
          </w:p>
        </w:tc>
        <w:tc>
          <w:tcPr>
            <w:tcW w:w="954" w:type="dxa"/>
            <w:gridSpan w:val="2"/>
            <w:tcBorders>
              <w:top w:val="nil"/>
              <w:left w:val="nil"/>
              <w:bottom w:val="nil"/>
              <w:right w:val="nil"/>
            </w:tcBorders>
          </w:tcPr>
          <w:p w14:paraId="070C79AF" w14:textId="77777777" w:rsidR="00CF0E2D" w:rsidRPr="00E366D2" w:rsidRDefault="00CF0E2D" w:rsidP="00A60D4B">
            <w:pPr>
              <w:pStyle w:val="Btablefigureunbold"/>
              <w:rPr>
                <w:b/>
                <w:bCs/>
                <w:szCs w:val="20"/>
              </w:rPr>
            </w:pPr>
            <w:r w:rsidRPr="00E366D2">
              <w:rPr>
                <w:rFonts w:cs="Calibri"/>
                <w:b/>
                <w:bCs/>
                <w:color w:val="000000"/>
                <w:szCs w:val="20"/>
              </w:rPr>
              <w:t>5,650</w:t>
            </w:r>
          </w:p>
        </w:tc>
      </w:tr>
      <w:tr w:rsidR="00CF0E2D" w:rsidRPr="00D60558" w14:paraId="2C5BEE42" w14:textId="77777777" w:rsidTr="00A60D4B">
        <w:trPr>
          <w:gridAfter w:val="1"/>
          <w:wAfter w:w="9" w:type="dxa"/>
          <w:jc w:val="center"/>
        </w:trPr>
        <w:tc>
          <w:tcPr>
            <w:tcW w:w="3355" w:type="dxa"/>
            <w:tcBorders>
              <w:top w:val="nil"/>
              <w:left w:val="nil"/>
              <w:bottom w:val="nil"/>
              <w:right w:val="nil"/>
            </w:tcBorders>
          </w:tcPr>
          <w:p w14:paraId="41DA7CEA"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Roadworks to support East Gungahlin High School</w:t>
            </w:r>
          </w:p>
        </w:tc>
        <w:tc>
          <w:tcPr>
            <w:tcW w:w="1093" w:type="dxa"/>
            <w:tcBorders>
              <w:top w:val="nil"/>
              <w:left w:val="nil"/>
              <w:bottom w:val="nil"/>
              <w:right w:val="nil"/>
            </w:tcBorders>
          </w:tcPr>
          <w:p w14:paraId="75F703E2" w14:textId="77777777" w:rsidR="00CF0E2D" w:rsidRPr="0044739F" w:rsidRDefault="00CF0E2D" w:rsidP="00A60D4B">
            <w:pPr>
              <w:pStyle w:val="Btablefigureunbold"/>
              <w:ind w:left="0" w:firstLine="0"/>
              <w:jc w:val="left"/>
              <w:rPr>
                <w:rFonts w:cs="Calibri"/>
                <w:color w:val="000000"/>
                <w:szCs w:val="20"/>
              </w:rPr>
            </w:pPr>
            <w:r w:rsidRPr="005C3337">
              <w:rPr>
                <w:rFonts w:cs="Calibri"/>
                <w:color w:val="000000"/>
                <w:szCs w:val="20"/>
              </w:rPr>
              <w:t>Net cost</w:t>
            </w:r>
          </w:p>
        </w:tc>
        <w:tc>
          <w:tcPr>
            <w:tcW w:w="964" w:type="dxa"/>
            <w:gridSpan w:val="2"/>
            <w:tcBorders>
              <w:top w:val="nil"/>
              <w:left w:val="nil"/>
              <w:bottom w:val="nil"/>
              <w:right w:val="nil"/>
            </w:tcBorders>
          </w:tcPr>
          <w:p w14:paraId="205CDE01"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25BD8B3B"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7393191E" w14:textId="77777777" w:rsidR="00CF0E2D" w:rsidRPr="00E366D2" w:rsidRDefault="00CF0E2D" w:rsidP="00A60D4B">
            <w:pPr>
              <w:pStyle w:val="Btablefigureunbold"/>
              <w:rPr>
                <w:szCs w:val="20"/>
              </w:rPr>
            </w:pPr>
            <w:r w:rsidRPr="00E366D2">
              <w:rPr>
                <w:rFonts w:cs="Calibri"/>
                <w:color w:val="000000"/>
                <w:szCs w:val="20"/>
              </w:rPr>
              <w:t>38</w:t>
            </w:r>
          </w:p>
        </w:tc>
        <w:tc>
          <w:tcPr>
            <w:tcW w:w="964" w:type="dxa"/>
            <w:gridSpan w:val="2"/>
            <w:tcBorders>
              <w:top w:val="nil"/>
              <w:left w:val="nil"/>
              <w:bottom w:val="nil"/>
              <w:right w:val="nil"/>
            </w:tcBorders>
          </w:tcPr>
          <w:p w14:paraId="6D378710" w14:textId="77777777" w:rsidR="00CF0E2D" w:rsidRPr="00E366D2" w:rsidRDefault="00CF0E2D" w:rsidP="00A60D4B">
            <w:pPr>
              <w:pStyle w:val="Btablefigureunbold"/>
              <w:rPr>
                <w:szCs w:val="20"/>
              </w:rPr>
            </w:pPr>
            <w:r w:rsidRPr="00E366D2">
              <w:rPr>
                <w:rFonts w:cs="Calibri"/>
                <w:color w:val="000000"/>
                <w:szCs w:val="20"/>
              </w:rPr>
              <w:t>132</w:t>
            </w:r>
          </w:p>
        </w:tc>
        <w:tc>
          <w:tcPr>
            <w:tcW w:w="954" w:type="dxa"/>
            <w:gridSpan w:val="2"/>
            <w:tcBorders>
              <w:top w:val="nil"/>
              <w:left w:val="nil"/>
              <w:bottom w:val="nil"/>
              <w:right w:val="nil"/>
            </w:tcBorders>
          </w:tcPr>
          <w:p w14:paraId="064551B3" w14:textId="77777777" w:rsidR="00CF0E2D" w:rsidRPr="00E366D2" w:rsidRDefault="00CF0E2D" w:rsidP="00A60D4B">
            <w:pPr>
              <w:pStyle w:val="Btablefigureunbold"/>
              <w:rPr>
                <w:b/>
                <w:bCs/>
                <w:szCs w:val="20"/>
              </w:rPr>
            </w:pPr>
            <w:r w:rsidRPr="00E366D2">
              <w:rPr>
                <w:rFonts w:cs="Calibri"/>
                <w:b/>
                <w:bCs/>
                <w:color w:val="000000"/>
                <w:szCs w:val="20"/>
              </w:rPr>
              <w:t>170</w:t>
            </w:r>
          </w:p>
        </w:tc>
      </w:tr>
      <w:tr w:rsidR="00CF0E2D" w:rsidRPr="00D60558" w14:paraId="06C8CA94" w14:textId="77777777" w:rsidTr="00A60D4B">
        <w:trPr>
          <w:gridAfter w:val="1"/>
          <w:wAfter w:w="9" w:type="dxa"/>
          <w:jc w:val="center"/>
        </w:trPr>
        <w:tc>
          <w:tcPr>
            <w:tcW w:w="3355" w:type="dxa"/>
            <w:tcBorders>
              <w:top w:val="nil"/>
              <w:left w:val="nil"/>
              <w:bottom w:val="nil"/>
              <w:right w:val="nil"/>
            </w:tcBorders>
          </w:tcPr>
          <w:p w14:paraId="5DD03696" w14:textId="77777777" w:rsidR="00CF0E2D" w:rsidRPr="00627DC1" w:rsidRDefault="00CF0E2D" w:rsidP="00A60D4B">
            <w:pPr>
              <w:pStyle w:val="Btabletextunbold"/>
              <w:rPr>
                <w:rFonts w:cs="Calibri"/>
                <w:i/>
                <w:iCs/>
                <w:szCs w:val="20"/>
              </w:rPr>
            </w:pPr>
            <w:r w:rsidRPr="00627DC1">
              <w:rPr>
                <w:rFonts w:cs="Calibri"/>
                <w:i/>
                <w:iCs/>
                <w:szCs w:val="20"/>
              </w:rPr>
              <w:t>Protecting Canberra's unique environment</w:t>
            </w:r>
          </w:p>
        </w:tc>
        <w:tc>
          <w:tcPr>
            <w:tcW w:w="1093" w:type="dxa"/>
            <w:tcBorders>
              <w:top w:val="nil"/>
              <w:left w:val="nil"/>
              <w:bottom w:val="nil"/>
              <w:right w:val="nil"/>
            </w:tcBorders>
          </w:tcPr>
          <w:p w14:paraId="17CB05D1" w14:textId="77777777" w:rsidR="00CF0E2D" w:rsidRPr="0044739F"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62AAD6ED" w14:textId="77777777" w:rsidR="00CF0E2D" w:rsidRPr="00E366D2" w:rsidRDefault="00CF0E2D" w:rsidP="00A60D4B">
            <w:pPr>
              <w:pStyle w:val="Btablefigureunbold"/>
              <w:rPr>
                <w:szCs w:val="20"/>
              </w:rPr>
            </w:pPr>
          </w:p>
        </w:tc>
        <w:tc>
          <w:tcPr>
            <w:tcW w:w="964" w:type="dxa"/>
            <w:gridSpan w:val="2"/>
            <w:tcBorders>
              <w:top w:val="nil"/>
              <w:left w:val="nil"/>
              <w:bottom w:val="nil"/>
              <w:right w:val="nil"/>
            </w:tcBorders>
          </w:tcPr>
          <w:p w14:paraId="4F041E2F" w14:textId="77777777" w:rsidR="00CF0E2D" w:rsidRPr="00E366D2" w:rsidRDefault="00CF0E2D" w:rsidP="00A60D4B">
            <w:pPr>
              <w:pStyle w:val="Btablefigureunbold"/>
              <w:rPr>
                <w:szCs w:val="20"/>
              </w:rPr>
            </w:pPr>
          </w:p>
        </w:tc>
        <w:tc>
          <w:tcPr>
            <w:tcW w:w="964" w:type="dxa"/>
            <w:gridSpan w:val="2"/>
            <w:tcBorders>
              <w:top w:val="nil"/>
              <w:left w:val="nil"/>
              <w:bottom w:val="nil"/>
              <w:right w:val="nil"/>
            </w:tcBorders>
          </w:tcPr>
          <w:p w14:paraId="6C06D3FA" w14:textId="77777777" w:rsidR="00CF0E2D" w:rsidRPr="00E366D2" w:rsidRDefault="00CF0E2D" w:rsidP="00A60D4B">
            <w:pPr>
              <w:pStyle w:val="Btablefigureunbold"/>
              <w:rPr>
                <w:szCs w:val="20"/>
              </w:rPr>
            </w:pPr>
          </w:p>
        </w:tc>
        <w:tc>
          <w:tcPr>
            <w:tcW w:w="964" w:type="dxa"/>
            <w:gridSpan w:val="2"/>
            <w:tcBorders>
              <w:top w:val="nil"/>
              <w:left w:val="nil"/>
              <w:bottom w:val="nil"/>
              <w:right w:val="nil"/>
            </w:tcBorders>
          </w:tcPr>
          <w:p w14:paraId="5CFF1508" w14:textId="77777777" w:rsidR="00CF0E2D" w:rsidRPr="00E366D2" w:rsidRDefault="00CF0E2D" w:rsidP="00A60D4B">
            <w:pPr>
              <w:pStyle w:val="Btablefigureunbold"/>
              <w:rPr>
                <w:szCs w:val="20"/>
              </w:rPr>
            </w:pPr>
          </w:p>
        </w:tc>
        <w:tc>
          <w:tcPr>
            <w:tcW w:w="954" w:type="dxa"/>
            <w:gridSpan w:val="2"/>
            <w:tcBorders>
              <w:top w:val="nil"/>
              <w:left w:val="nil"/>
              <w:bottom w:val="nil"/>
              <w:right w:val="nil"/>
            </w:tcBorders>
          </w:tcPr>
          <w:p w14:paraId="40D6AD72" w14:textId="77777777" w:rsidR="00CF0E2D" w:rsidRPr="00E366D2" w:rsidRDefault="00CF0E2D" w:rsidP="00A60D4B">
            <w:pPr>
              <w:pStyle w:val="Btablefigureunbold"/>
              <w:rPr>
                <w:b/>
                <w:bCs/>
                <w:szCs w:val="20"/>
              </w:rPr>
            </w:pPr>
          </w:p>
        </w:tc>
      </w:tr>
      <w:tr w:rsidR="00CF0E2D" w:rsidRPr="00D60558" w14:paraId="147EC45D" w14:textId="77777777" w:rsidTr="00A60D4B">
        <w:trPr>
          <w:gridAfter w:val="1"/>
          <w:wAfter w:w="9" w:type="dxa"/>
          <w:jc w:val="center"/>
        </w:trPr>
        <w:tc>
          <w:tcPr>
            <w:tcW w:w="3355" w:type="dxa"/>
            <w:tcBorders>
              <w:top w:val="nil"/>
              <w:left w:val="nil"/>
              <w:bottom w:val="nil"/>
              <w:right w:val="nil"/>
            </w:tcBorders>
          </w:tcPr>
          <w:p w14:paraId="60105346"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Growing our urban forest</w:t>
            </w:r>
          </w:p>
        </w:tc>
        <w:tc>
          <w:tcPr>
            <w:tcW w:w="1093" w:type="dxa"/>
            <w:tcBorders>
              <w:top w:val="nil"/>
              <w:left w:val="nil"/>
              <w:bottom w:val="nil"/>
              <w:right w:val="nil"/>
            </w:tcBorders>
          </w:tcPr>
          <w:p w14:paraId="6D579784" w14:textId="77777777" w:rsidR="00CF0E2D" w:rsidRPr="0044739F" w:rsidRDefault="00CF0E2D" w:rsidP="00A60D4B">
            <w:pPr>
              <w:pStyle w:val="Btablefigureunbold"/>
              <w:ind w:left="0" w:firstLine="0"/>
              <w:jc w:val="left"/>
              <w:rPr>
                <w:rFonts w:cs="Calibri"/>
                <w:color w:val="000000"/>
                <w:szCs w:val="20"/>
              </w:rPr>
            </w:pPr>
            <w:r w:rsidRPr="0044739F">
              <w:rPr>
                <w:rFonts w:cs="Calibri"/>
                <w:color w:val="000000"/>
                <w:szCs w:val="20"/>
              </w:rPr>
              <w:t>Net capital</w:t>
            </w:r>
          </w:p>
        </w:tc>
        <w:tc>
          <w:tcPr>
            <w:tcW w:w="964" w:type="dxa"/>
            <w:gridSpan w:val="2"/>
            <w:tcBorders>
              <w:top w:val="nil"/>
              <w:left w:val="nil"/>
              <w:bottom w:val="nil"/>
              <w:right w:val="nil"/>
            </w:tcBorders>
          </w:tcPr>
          <w:p w14:paraId="545CA328" w14:textId="77777777" w:rsidR="00CF0E2D" w:rsidRPr="00E366D2" w:rsidRDefault="00CF0E2D" w:rsidP="00A60D4B">
            <w:pPr>
              <w:pStyle w:val="Btablefigureunbold"/>
              <w:rPr>
                <w:szCs w:val="20"/>
              </w:rPr>
            </w:pPr>
            <w:r w:rsidRPr="00E366D2">
              <w:rPr>
                <w:rFonts w:cs="Calibri"/>
                <w:color w:val="000000"/>
                <w:szCs w:val="20"/>
              </w:rPr>
              <w:t>500</w:t>
            </w:r>
          </w:p>
        </w:tc>
        <w:tc>
          <w:tcPr>
            <w:tcW w:w="964" w:type="dxa"/>
            <w:gridSpan w:val="2"/>
            <w:tcBorders>
              <w:top w:val="nil"/>
              <w:left w:val="nil"/>
              <w:bottom w:val="nil"/>
              <w:right w:val="nil"/>
            </w:tcBorders>
          </w:tcPr>
          <w:p w14:paraId="00EC0748" w14:textId="77777777" w:rsidR="00CF0E2D" w:rsidRPr="00E366D2" w:rsidRDefault="00CF0E2D" w:rsidP="00A60D4B">
            <w:pPr>
              <w:pStyle w:val="Btablefigureunbold"/>
              <w:rPr>
                <w:szCs w:val="20"/>
              </w:rPr>
            </w:pPr>
            <w:r w:rsidRPr="00E366D2">
              <w:rPr>
                <w:rFonts w:cs="Calibri"/>
                <w:color w:val="000000"/>
                <w:szCs w:val="20"/>
              </w:rPr>
              <w:t>2,204</w:t>
            </w:r>
          </w:p>
        </w:tc>
        <w:tc>
          <w:tcPr>
            <w:tcW w:w="964" w:type="dxa"/>
            <w:gridSpan w:val="2"/>
            <w:tcBorders>
              <w:top w:val="nil"/>
              <w:left w:val="nil"/>
              <w:bottom w:val="nil"/>
              <w:right w:val="nil"/>
            </w:tcBorders>
          </w:tcPr>
          <w:p w14:paraId="79E00F26"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23B21546" w14:textId="77777777" w:rsidR="00CF0E2D" w:rsidRPr="00E366D2" w:rsidRDefault="00CF0E2D" w:rsidP="00A60D4B">
            <w:pPr>
              <w:pStyle w:val="Btablefigureunbold"/>
              <w:rPr>
                <w:szCs w:val="20"/>
              </w:rPr>
            </w:pPr>
            <w:r w:rsidRPr="00E366D2">
              <w:rPr>
                <w:rFonts w:cs="Calibri"/>
                <w:color w:val="000000"/>
                <w:szCs w:val="20"/>
              </w:rPr>
              <w:t>0</w:t>
            </w:r>
          </w:p>
        </w:tc>
        <w:tc>
          <w:tcPr>
            <w:tcW w:w="954" w:type="dxa"/>
            <w:gridSpan w:val="2"/>
            <w:tcBorders>
              <w:top w:val="nil"/>
              <w:left w:val="nil"/>
              <w:bottom w:val="nil"/>
              <w:right w:val="nil"/>
            </w:tcBorders>
          </w:tcPr>
          <w:p w14:paraId="01E6F62D" w14:textId="77777777" w:rsidR="00CF0E2D" w:rsidRPr="00E366D2" w:rsidRDefault="00CF0E2D" w:rsidP="00A60D4B">
            <w:pPr>
              <w:pStyle w:val="Btablefigureunbold"/>
              <w:rPr>
                <w:b/>
                <w:bCs/>
                <w:szCs w:val="20"/>
              </w:rPr>
            </w:pPr>
            <w:r w:rsidRPr="00E366D2">
              <w:rPr>
                <w:rFonts w:cs="Calibri"/>
                <w:b/>
                <w:bCs/>
                <w:color w:val="000000"/>
                <w:szCs w:val="20"/>
              </w:rPr>
              <w:t>2,704</w:t>
            </w:r>
          </w:p>
        </w:tc>
      </w:tr>
      <w:tr w:rsidR="00CF0E2D" w:rsidRPr="00D60558" w14:paraId="28E07859" w14:textId="77777777" w:rsidTr="00A60D4B">
        <w:trPr>
          <w:gridAfter w:val="1"/>
          <w:wAfter w:w="9" w:type="dxa"/>
          <w:jc w:val="center"/>
        </w:trPr>
        <w:tc>
          <w:tcPr>
            <w:tcW w:w="3355" w:type="dxa"/>
            <w:tcBorders>
              <w:top w:val="nil"/>
              <w:left w:val="nil"/>
              <w:bottom w:val="nil"/>
              <w:right w:val="nil"/>
            </w:tcBorders>
          </w:tcPr>
          <w:p w14:paraId="5E3FD71D"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Growing our urban forest</w:t>
            </w:r>
          </w:p>
        </w:tc>
        <w:tc>
          <w:tcPr>
            <w:tcW w:w="1093" w:type="dxa"/>
            <w:tcBorders>
              <w:top w:val="nil"/>
              <w:left w:val="nil"/>
              <w:bottom w:val="nil"/>
              <w:right w:val="nil"/>
            </w:tcBorders>
          </w:tcPr>
          <w:p w14:paraId="522C4E46" w14:textId="77777777" w:rsidR="00CF0E2D" w:rsidRPr="0044739F"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08C3AC00" w14:textId="77777777" w:rsidR="00CF0E2D" w:rsidRPr="00E366D2" w:rsidRDefault="00CF0E2D" w:rsidP="00A60D4B">
            <w:pPr>
              <w:pStyle w:val="Btablefigureunbold"/>
              <w:rPr>
                <w:szCs w:val="20"/>
              </w:rPr>
            </w:pPr>
            <w:r w:rsidRPr="00E366D2">
              <w:rPr>
                <w:rFonts w:cs="Calibri"/>
                <w:color w:val="000000"/>
                <w:szCs w:val="20"/>
              </w:rPr>
              <w:t>2,749</w:t>
            </w:r>
          </w:p>
        </w:tc>
        <w:tc>
          <w:tcPr>
            <w:tcW w:w="964" w:type="dxa"/>
            <w:gridSpan w:val="2"/>
            <w:tcBorders>
              <w:top w:val="nil"/>
              <w:left w:val="nil"/>
              <w:bottom w:val="nil"/>
              <w:right w:val="nil"/>
            </w:tcBorders>
          </w:tcPr>
          <w:p w14:paraId="55AA23F0" w14:textId="77777777" w:rsidR="00CF0E2D" w:rsidRPr="00E366D2" w:rsidRDefault="00CF0E2D" w:rsidP="00A60D4B">
            <w:pPr>
              <w:pStyle w:val="Btablefigureunbold"/>
              <w:rPr>
                <w:szCs w:val="20"/>
              </w:rPr>
            </w:pPr>
            <w:r w:rsidRPr="00E366D2">
              <w:rPr>
                <w:rFonts w:cs="Calibri"/>
                <w:color w:val="000000"/>
                <w:szCs w:val="20"/>
              </w:rPr>
              <w:t>4,161</w:t>
            </w:r>
          </w:p>
        </w:tc>
        <w:tc>
          <w:tcPr>
            <w:tcW w:w="964" w:type="dxa"/>
            <w:gridSpan w:val="2"/>
            <w:tcBorders>
              <w:top w:val="nil"/>
              <w:left w:val="nil"/>
              <w:bottom w:val="nil"/>
              <w:right w:val="nil"/>
            </w:tcBorders>
          </w:tcPr>
          <w:p w14:paraId="7B3180E8" w14:textId="77777777" w:rsidR="00CF0E2D" w:rsidRPr="00E366D2" w:rsidRDefault="00CF0E2D" w:rsidP="00A60D4B">
            <w:pPr>
              <w:pStyle w:val="Btablefigureunbold"/>
              <w:rPr>
                <w:szCs w:val="20"/>
              </w:rPr>
            </w:pPr>
            <w:r w:rsidRPr="00E366D2">
              <w:rPr>
                <w:rFonts w:cs="Calibri"/>
                <w:color w:val="000000"/>
                <w:szCs w:val="20"/>
              </w:rPr>
              <w:t>5,308</w:t>
            </w:r>
          </w:p>
        </w:tc>
        <w:tc>
          <w:tcPr>
            <w:tcW w:w="964" w:type="dxa"/>
            <w:gridSpan w:val="2"/>
            <w:tcBorders>
              <w:top w:val="nil"/>
              <w:left w:val="nil"/>
              <w:bottom w:val="nil"/>
              <w:right w:val="nil"/>
            </w:tcBorders>
          </w:tcPr>
          <w:p w14:paraId="352B3280" w14:textId="77777777" w:rsidR="00CF0E2D" w:rsidRPr="00E366D2" w:rsidRDefault="00CF0E2D" w:rsidP="00A60D4B">
            <w:pPr>
              <w:pStyle w:val="Btablefigureunbold"/>
              <w:rPr>
                <w:szCs w:val="20"/>
              </w:rPr>
            </w:pPr>
            <w:r w:rsidRPr="00E366D2">
              <w:rPr>
                <w:rFonts w:cs="Calibri"/>
                <w:color w:val="000000"/>
                <w:szCs w:val="20"/>
              </w:rPr>
              <w:t>59</w:t>
            </w:r>
          </w:p>
        </w:tc>
        <w:tc>
          <w:tcPr>
            <w:tcW w:w="954" w:type="dxa"/>
            <w:gridSpan w:val="2"/>
            <w:tcBorders>
              <w:top w:val="nil"/>
              <w:left w:val="nil"/>
              <w:bottom w:val="nil"/>
              <w:right w:val="nil"/>
            </w:tcBorders>
          </w:tcPr>
          <w:p w14:paraId="553D39D5" w14:textId="77777777" w:rsidR="00CF0E2D" w:rsidRPr="00E366D2" w:rsidRDefault="00CF0E2D" w:rsidP="00A60D4B">
            <w:pPr>
              <w:pStyle w:val="Btablefigureunbold"/>
              <w:rPr>
                <w:b/>
                <w:bCs/>
                <w:szCs w:val="20"/>
              </w:rPr>
            </w:pPr>
            <w:r w:rsidRPr="00E366D2">
              <w:rPr>
                <w:rFonts w:cs="Calibri"/>
                <w:b/>
                <w:bCs/>
                <w:color w:val="000000"/>
                <w:szCs w:val="20"/>
              </w:rPr>
              <w:t>12,277</w:t>
            </w:r>
          </w:p>
        </w:tc>
      </w:tr>
      <w:tr w:rsidR="00CF0E2D" w:rsidRPr="00D60558" w14:paraId="6EBC70B2" w14:textId="77777777" w:rsidTr="00A60D4B">
        <w:trPr>
          <w:gridAfter w:val="1"/>
          <w:wAfter w:w="9" w:type="dxa"/>
          <w:jc w:val="center"/>
        </w:trPr>
        <w:tc>
          <w:tcPr>
            <w:tcW w:w="3355" w:type="dxa"/>
            <w:tcBorders>
              <w:top w:val="nil"/>
              <w:left w:val="nil"/>
              <w:bottom w:val="nil"/>
              <w:right w:val="nil"/>
            </w:tcBorders>
          </w:tcPr>
          <w:p w14:paraId="4675AB40"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Upgrading the stormwater network</w:t>
            </w:r>
          </w:p>
        </w:tc>
        <w:tc>
          <w:tcPr>
            <w:tcW w:w="1093" w:type="dxa"/>
            <w:tcBorders>
              <w:top w:val="nil"/>
              <w:left w:val="nil"/>
              <w:bottom w:val="nil"/>
              <w:right w:val="nil"/>
            </w:tcBorders>
          </w:tcPr>
          <w:p w14:paraId="2B378394" w14:textId="77777777" w:rsidR="00CF0E2D" w:rsidRPr="0044739F" w:rsidRDefault="00CF0E2D" w:rsidP="00A60D4B">
            <w:pPr>
              <w:pStyle w:val="Btablefigureunbold"/>
              <w:ind w:left="0" w:firstLine="0"/>
              <w:jc w:val="left"/>
              <w:rPr>
                <w:rFonts w:cs="Calibri"/>
                <w:color w:val="000000"/>
                <w:szCs w:val="20"/>
              </w:rPr>
            </w:pPr>
            <w:r w:rsidRPr="0044739F">
              <w:rPr>
                <w:rFonts w:cs="Calibri"/>
                <w:color w:val="000000"/>
                <w:szCs w:val="20"/>
              </w:rPr>
              <w:t>Net capital</w:t>
            </w:r>
          </w:p>
        </w:tc>
        <w:tc>
          <w:tcPr>
            <w:tcW w:w="964" w:type="dxa"/>
            <w:gridSpan w:val="2"/>
            <w:tcBorders>
              <w:top w:val="nil"/>
              <w:left w:val="nil"/>
              <w:bottom w:val="nil"/>
              <w:right w:val="nil"/>
            </w:tcBorders>
          </w:tcPr>
          <w:p w14:paraId="0BBF89A1" w14:textId="77777777" w:rsidR="00CF0E2D" w:rsidRPr="00E366D2" w:rsidRDefault="00CF0E2D" w:rsidP="00A60D4B">
            <w:pPr>
              <w:pStyle w:val="Btablefigureunbold"/>
              <w:rPr>
                <w:szCs w:val="20"/>
              </w:rPr>
            </w:pPr>
            <w:r w:rsidRPr="00E366D2">
              <w:rPr>
                <w:rFonts w:cs="Calibri"/>
                <w:color w:val="000000"/>
                <w:szCs w:val="20"/>
              </w:rPr>
              <w:t>2,200</w:t>
            </w:r>
          </w:p>
        </w:tc>
        <w:tc>
          <w:tcPr>
            <w:tcW w:w="964" w:type="dxa"/>
            <w:gridSpan w:val="2"/>
            <w:tcBorders>
              <w:top w:val="nil"/>
              <w:left w:val="nil"/>
              <w:bottom w:val="nil"/>
              <w:right w:val="nil"/>
            </w:tcBorders>
          </w:tcPr>
          <w:p w14:paraId="4E0F9631" w14:textId="77777777" w:rsidR="00CF0E2D" w:rsidRPr="00E366D2" w:rsidRDefault="00CF0E2D" w:rsidP="00A60D4B">
            <w:pPr>
              <w:pStyle w:val="Btablefigureunbold"/>
              <w:rPr>
                <w:szCs w:val="20"/>
              </w:rPr>
            </w:pPr>
            <w:r w:rsidRPr="00E366D2">
              <w:rPr>
                <w:rFonts w:cs="Calibri"/>
                <w:color w:val="000000"/>
                <w:szCs w:val="20"/>
              </w:rPr>
              <w:t>2,130</w:t>
            </w:r>
          </w:p>
        </w:tc>
        <w:tc>
          <w:tcPr>
            <w:tcW w:w="964" w:type="dxa"/>
            <w:gridSpan w:val="2"/>
            <w:tcBorders>
              <w:top w:val="nil"/>
              <w:left w:val="nil"/>
              <w:bottom w:val="nil"/>
              <w:right w:val="nil"/>
            </w:tcBorders>
          </w:tcPr>
          <w:p w14:paraId="4701B230" w14:textId="77777777" w:rsidR="00CF0E2D" w:rsidRPr="00E366D2" w:rsidRDefault="00CF0E2D" w:rsidP="00A60D4B">
            <w:pPr>
              <w:pStyle w:val="Btablefigureunbold"/>
              <w:rPr>
                <w:szCs w:val="20"/>
              </w:rPr>
            </w:pPr>
            <w:r w:rsidRPr="00E366D2">
              <w:rPr>
                <w:rFonts w:cs="Calibri"/>
                <w:color w:val="000000"/>
                <w:szCs w:val="20"/>
              </w:rPr>
              <w:t>2,250</w:t>
            </w:r>
          </w:p>
        </w:tc>
        <w:tc>
          <w:tcPr>
            <w:tcW w:w="964" w:type="dxa"/>
            <w:gridSpan w:val="2"/>
            <w:tcBorders>
              <w:top w:val="nil"/>
              <w:left w:val="nil"/>
              <w:bottom w:val="nil"/>
              <w:right w:val="nil"/>
            </w:tcBorders>
          </w:tcPr>
          <w:p w14:paraId="271DB3DB" w14:textId="77777777" w:rsidR="00CF0E2D" w:rsidRPr="00E366D2" w:rsidRDefault="00CF0E2D" w:rsidP="00A60D4B">
            <w:pPr>
              <w:pStyle w:val="Btablefigureunbold"/>
              <w:rPr>
                <w:szCs w:val="20"/>
              </w:rPr>
            </w:pPr>
            <w:r w:rsidRPr="00E366D2">
              <w:rPr>
                <w:rFonts w:cs="Calibri"/>
                <w:color w:val="000000"/>
                <w:szCs w:val="20"/>
              </w:rPr>
              <w:t>0</w:t>
            </w:r>
          </w:p>
        </w:tc>
        <w:tc>
          <w:tcPr>
            <w:tcW w:w="954" w:type="dxa"/>
            <w:gridSpan w:val="2"/>
            <w:tcBorders>
              <w:top w:val="nil"/>
              <w:left w:val="nil"/>
              <w:bottom w:val="nil"/>
              <w:right w:val="nil"/>
            </w:tcBorders>
          </w:tcPr>
          <w:p w14:paraId="398998EC" w14:textId="77777777" w:rsidR="00CF0E2D" w:rsidRPr="00E366D2" w:rsidRDefault="00CF0E2D" w:rsidP="00A60D4B">
            <w:pPr>
              <w:pStyle w:val="Btablefigureunbold"/>
              <w:rPr>
                <w:b/>
                <w:bCs/>
                <w:szCs w:val="20"/>
              </w:rPr>
            </w:pPr>
            <w:r w:rsidRPr="00E366D2">
              <w:rPr>
                <w:rFonts w:cs="Calibri"/>
                <w:b/>
                <w:bCs/>
                <w:color w:val="000000"/>
                <w:szCs w:val="20"/>
              </w:rPr>
              <w:t>6,580</w:t>
            </w:r>
          </w:p>
        </w:tc>
      </w:tr>
      <w:tr w:rsidR="00CF0E2D" w:rsidRPr="00D60558" w14:paraId="10522F00" w14:textId="77777777" w:rsidTr="00A60D4B">
        <w:trPr>
          <w:gridAfter w:val="1"/>
          <w:wAfter w:w="9" w:type="dxa"/>
          <w:jc w:val="center"/>
        </w:trPr>
        <w:tc>
          <w:tcPr>
            <w:tcW w:w="3355" w:type="dxa"/>
            <w:tcBorders>
              <w:top w:val="nil"/>
              <w:left w:val="nil"/>
              <w:bottom w:val="nil"/>
              <w:right w:val="nil"/>
            </w:tcBorders>
          </w:tcPr>
          <w:p w14:paraId="4E3C4A22" w14:textId="77777777" w:rsidR="00CF0E2D" w:rsidRPr="00C05488" w:rsidRDefault="00CF0E2D" w:rsidP="00A60D4B">
            <w:pPr>
              <w:pStyle w:val="Btabletextunbold"/>
              <w:rPr>
                <w:szCs w:val="20"/>
              </w:rPr>
            </w:pPr>
            <w:r>
              <w:rPr>
                <w:rFonts w:cs="Calibri"/>
                <w:szCs w:val="20"/>
              </w:rPr>
              <w:t>–</w:t>
            </w:r>
            <w:r w:rsidRPr="00C05488">
              <w:rPr>
                <w:rFonts w:cs="Calibri"/>
                <w:szCs w:val="20"/>
              </w:rPr>
              <w:t xml:space="preserve"> Upgrading the stormwater network</w:t>
            </w:r>
          </w:p>
        </w:tc>
        <w:tc>
          <w:tcPr>
            <w:tcW w:w="1093" w:type="dxa"/>
            <w:tcBorders>
              <w:top w:val="nil"/>
              <w:left w:val="nil"/>
              <w:bottom w:val="nil"/>
              <w:right w:val="nil"/>
            </w:tcBorders>
          </w:tcPr>
          <w:p w14:paraId="79F4E2B9" w14:textId="77777777" w:rsidR="00CF0E2D" w:rsidRPr="0044739F"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42AAD462"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2EA29323" w14:textId="77777777" w:rsidR="00CF0E2D" w:rsidRPr="00E366D2" w:rsidRDefault="00CF0E2D" w:rsidP="00A60D4B">
            <w:pPr>
              <w:pStyle w:val="Btablefigureunbold"/>
              <w:rPr>
                <w:szCs w:val="20"/>
              </w:rPr>
            </w:pPr>
            <w:r w:rsidRPr="00E366D2">
              <w:rPr>
                <w:rFonts w:cs="Calibri"/>
                <w:color w:val="000000"/>
                <w:szCs w:val="20"/>
              </w:rPr>
              <w:t>20</w:t>
            </w:r>
          </w:p>
        </w:tc>
        <w:tc>
          <w:tcPr>
            <w:tcW w:w="964" w:type="dxa"/>
            <w:gridSpan w:val="2"/>
            <w:tcBorders>
              <w:top w:val="nil"/>
              <w:left w:val="nil"/>
              <w:bottom w:val="nil"/>
              <w:right w:val="nil"/>
            </w:tcBorders>
          </w:tcPr>
          <w:p w14:paraId="2DF36FE5" w14:textId="77777777" w:rsidR="00CF0E2D" w:rsidRPr="00E366D2" w:rsidRDefault="00CF0E2D" w:rsidP="00A60D4B">
            <w:pPr>
              <w:pStyle w:val="Btablefigureunbold"/>
              <w:rPr>
                <w:szCs w:val="20"/>
              </w:rPr>
            </w:pPr>
            <w:r w:rsidRPr="00E366D2">
              <w:rPr>
                <w:rFonts w:cs="Calibri"/>
                <w:color w:val="000000"/>
                <w:szCs w:val="20"/>
              </w:rPr>
              <w:t>40</w:t>
            </w:r>
          </w:p>
        </w:tc>
        <w:tc>
          <w:tcPr>
            <w:tcW w:w="964" w:type="dxa"/>
            <w:gridSpan w:val="2"/>
            <w:tcBorders>
              <w:top w:val="nil"/>
              <w:left w:val="nil"/>
              <w:bottom w:val="nil"/>
              <w:right w:val="nil"/>
            </w:tcBorders>
          </w:tcPr>
          <w:p w14:paraId="6F187749" w14:textId="77777777" w:rsidR="00CF0E2D" w:rsidRPr="00E366D2" w:rsidRDefault="00CF0E2D" w:rsidP="00A60D4B">
            <w:pPr>
              <w:pStyle w:val="Btablefigureunbold"/>
              <w:rPr>
                <w:szCs w:val="20"/>
              </w:rPr>
            </w:pPr>
            <w:r w:rsidRPr="00E366D2">
              <w:rPr>
                <w:rFonts w:cs="Calibri"/>
                <w:color w:val="000000"/>
                <w:szCs w:val="20"/>
              </w:rPr>
              <w:t>90</w:t>
            </w:r>
          </w:p>
        </w:tc>
        <w:tc>
          <w:tcPr>
            <w:tcW w:w="954" w:type="dxa"/>
            <w:gridSpan w:val="2"/>
            <w:tcBorders>
              <w:top w:val="nil"/>
              <w:left w:val="nil"/>
              <w:bottom w:val="nil"/>
              <w:right w:val="nil"/>
            </w:tcBorders>
          </w:tcPr>
          <w:p w14:paraId="18A51638" w14:textId="77777777" w:rsidR="00CF0E2D" w:rsidRPr="00E366D2" w:rsidRDefault="00CF0E2D" w:rsidP="00A60D4B">
            <w:pPr>
              <w:pStyle w:val="Btablefigureunbold"/>
              <w:rPr>
                <w:b/>
                <w:bCs/>
                <w:szCs w:val="20"/>
              </w:rPr>
            </w:pPr>
            <w:r w:rsidRPr="00E366D2">
              <w:rPr>
                <w:rFonts w:cs="Calibri"/>
                <w:b/>
                <w:bCs/>
                <w:color w:val="000000"/>
                <w:szCs w:val="20"/>
              </w:rPr>
              <w:t>150</w:t>
            </w:r>
          </w:p>
        </w:tc>
      </w:tr>
      <w:tr w:rsidR="00CF0E2D" w:rsidRPr="00D60558" w14:paraId="770A45D9" w14:textId="77777777" w:rsidTr="00A60D4B">
        <w:trPr>
          <w:gridAfter w:val="1"/>
          <w:wAfter w:w="9" w:type="dxa"/>
          <w:jc w:val="center"/>
        </w:trPr>
        <w:tc>
          <w:tcPr>
            <w:tcW w:w="3355" w:type="dxa"/>
            <w:tcBorders>
              <w:top w:val="nil"/>
              <w:left w:val="nil"/>
              <w:bottom w:val="nil"/>
              <w:right w:val="nil"/>
            </w:tcBorders>
          </w:tcPr>
          <w:p w14:paraId="3BE1BF82" w14:textId="77777777" w:rsidR="00CF0E2D" w:rsidRPr="00C05488" w:rsidRDefault="00CF0E2D" w:rsidP="00A60D4B">
            <w:pPr>
              <w:pStyle w:val="Btabletextunbold"/>
              <w:rPr>
                <w:szCs w:val="20"/>
              </w:rPr>
            </w:pPr>
            <w:r w:rsidRPr="00C05488">
              <w:rPr>
                <w:rFonts w:cs="Calibri"/>
                <w:szCs w:val="20"/>
              </w:rPr>
              <w:t>Southern Memorial Park</w:t>
            </w:r>
          </w:p>
        </w:tc>
        <w:tc>
          <w:tcPr>
            <w:tcW w:w="1093" w:type="dxa"/>
            <w:tcBorders>
              <w:top w:val="nil"/>
              <w:left w:val="nil"/>
              <w:bottom w:val="nil"/>
              <w:right w:val="nil"/>
            </w:tcBorders>
          </w:tcPr>
          <w:p w14:paraId="5E7CB405" w14:textId="77777777" w:rsidR="00CF0E2D" w:rsidRPr="0044739F" w:rsidRDefault="00CF0E2D" w:rsidP="00A60D4B">
            <w:pPr>
              <w:pStyle w:val="Btablefigureunbold"/>
              <w:ind w:left="0" w:firstLine="0"/>
              <w:jc w:val="left"/>
              <w:rPr>
                <w:rFonts w:cs="Calibri"/>
                <w:color w:val="000000"/>
                <w:szCs w:val="20"/>
              </w:rPr>
            </w:pPr>
            <w:r w:rsidRPr="00C5093A">
              <w:rPr>
                <w:rFonts w:cs="Calibri"/>
                <w:color w:val="000000"/>
                <w:szCs w:val="20"/>
              </w:rPr>
              <w:t>Net capital</w:t>
            </w:r>
          </w:p>
        </w:tc>
        <w:tc>
          <w:tcPr>
            <w:tcW w:w="964" w:type="dxa"/>
            <w:gridSpan w:val="2"/>
            <w:tcBorders>
              <w:top w:val="nil"/>
              <w:left w:val="nil"/>
              <w:bottom w:val="nil"/>
              <w:right w:val="nil"/>
            </w:tcBorders>
          </w:tcPr>
          <w:p w14:paraId="7112FCD4" w14:textId="77777777" w:rsidR="00CF0E2D" w:rsidRPr="00E366D2" w:rsidRDefault="00CF0E2D" w:rsidP="00A60D4B">
            <w:pPr>
              <w:pStyle w:val="Btablefigureunbold"/>
              <w:rPr>
                <w:szCs w:val="20"/>
              </w:rPr>
            </w:pPr>
            <w:r w:rsidRPr="00E366D2">
              <w:rPr>
                <w:rFonts w:cs="Calibri"/>
                <w:color w:val="000000"/>
                <w:szCs w:val="20"/>
              </w:rPr>
              <w:t>350</w:t>
            </w:r>
          </w:p>
        </w:tc>
        <w:tc>
          <w:tcPr>
            <w:tcW w:w="964" w:type="dxa"/>
            <w:gridSpan w:val="2"/>
            <w:tcBorders>
              <w:top w:val="nil"/>
              <w:left w:val="nil"/>
              <w:bottom w:val="nil"/>
              <w:right w:val="nil"/>
            </w:tcBorders>
          </w:tcPr>
          <w:p w14:paraId="007A4921" w14:textId="77777777" w:rsidR="00CF0E2D" w:rsidRPr="00E366D2" w:rsidRDefault="00CF0E2D" w:rsidP="00A60D4B">
            <w:pPr>
              <w:pStyle w:val="Btablefigureunbold"/>
              <w:rPr>
                <w:szCs w:val="20"/>
              </w:rPr>
            </w:pPr>
            <w:r w:rsidRPr="00E366D2">
              <w:rPr>
                <w:rFonts w:cs="Calibri"/>
                <w:color w:val="000000"/>
                <w:szCs w:val="20"/>
              </w:rPr>
              <w:t>500</w:t>
            </w:r>
          </w:p>
        </w:tc>
        <w:tc>
          <w:tcPr>
            <w:tcW w:w="964" w:type="dxa"/>
            <w:gridSpan w:val="2"/>
            <w:tcBorders>
              <w:top w:val="nil"/>
              <w:left w:val="nil"/>
              <w:bottom w:val="nil"/>
              <w:right w:val="nil"/>
            </w:tcBorders>
          </w:tcPr>
          <w:p w14:paraId="6E54310E" w14:textId="77777777" w:rsidR="00CF0E2D" w:rsidRPr="00E366D2" w:rsidRDefault="00CF0E2D" w:rsidP="00A60D4B">
            <w:pPr>
              <w:pStyle w:val="Btablefigureunbold"/>
              <w:rPr>
                <w:szCs w:val="20"/>
              </w:rPr>
            </w:pPr>
            <w:r w:rsidRPr="00E366D2">
              <w:rPr>
                <w:rFonts w:cs="Calibri"/>
                <w:color w:val="000000"/>
                <w:szCs w:val="20"/>
              </w:rPr>
              <w:t>800</w:t>
            </w:r>
          </w:p>
        </w:tc>
        <w:tc>
          <w:tcPr>
            <w:tcW w:w="964" w:type="dxa"/>
            <w:gridSpan w:val="2"/>
            <w:tcBorders>
              <w:top w:val="nil"/>
              <w:left w:val="nil"/>
              <w:bottom w:val="nil"/>
              <w:right w:val="nil"/>
            </w:tcBorders>
          </w:tcPr>
          <w:p w14:paraId="2EEADD86" w14:textId="77777777" w:rsidR="00CF0E2D" w:rsidRPr="00E366D2" w:rsidRDefault="00CF0E2D" w:rsidP="00A60D4B">
            <w:pPr>
              <w:pStyle w:val="Btablefigureunbold"/>
              <w:rPr>
                <w:szCs w:val="20"/>
              </w:rPr>
            </w:pPr>
            <w:r w:rsidRPr="00E366D2">
              <w:rPr>
                <w:rFonts w:cs="Calibri"/>
                <w:color w:val="000000"/>
                <w:szCs w:val="20"/>
              </w:rPr>
              <w:t>0</w:t>
            </w:r>
          </w:p>
        </w:tc>
        <w:tc>
          <w:tcPr>
            <w:tcW w:w="954" w:type="dxa"/>
            <w:gridSpan w:val="2"/>
            <w:tcBorders>
              <w:top w:val="nil"/>
              <w:left w:val="nil"/>
              <w:bottom w:val="nil"/>
              <w:right w:val="nil"/>
            </w:tcBorders>
          </w:tcPr>
          <w:p w14:paraId="0341313B" w14:textId="77777777" w:rsidR="00CF0E2D" w:rsidRPr="00E366D2" w:rsidRDefault="00CF0E2D" w:rsidP="00A60D4B">
            <w:pPr>
              <w:pStyle w:val="Btablefigureunbold"/>
              <w:rPr>
                <w:b/>
                <w:bCs/>
                <w:szCs w:val="20"/>
              </w:rPr>
            </w:pPr>
            <w:r w:rsidRPr="00E366D2">
              <w:rPr>
                <w:rFonts w:cs="Calibri"/>
                <w:b/>
                <w:bCs/>
                <w:color w:val="000000"/>
                <w:szCs w:val="20"/>
              </w:rPr>
              <w:t>1,650</w:t>
            </w:r>
          </w:p>
        </w:tc>
      </w:tr>
      <w:tr w:rsidR="00CF0E2D" w:rsidRPr="00D60558" w14:paraId="7727C019" w14:textId="77777777" w:rsidTr="00A60D4B">
        <w:trPr>
          <w:gridAfter w:val="1"/>
          <w:wAfter w:w="9" w:type="dxa"/>
          <w:jc w:val="center"/>
        </w:trPr>
        <w:tc>
          <w:tcPr>
            <w:tcW w:w="3355" w:type="dxa"/>
            <w:tcBorders>
              <w:top w:val="nil"/>
              <w:left w:val="nil"/>
              <w:bottom w:val="nil"/>
              <w:right w:val="nil"/>
            </w:tcBorders>
          </w:tcPr>
          <w:p w14:paraId="6026967C" w14:textId="77777777" w:rsidR="00CF0E2D" w:rsidRPr="00C05488" w:rsidRDefault="00CF0E2D" w:rsidP="00A60D4B">
            <w:pPr>
              <w:pStyle w:val="Btabletextunbold"/>
              <w:rPr>
                <w:szCs w:val="20"/>
              </w:rPr>
            </w:pPr>
            <w:r w:rsidRPr="00C05488">
              <w:rPr>
                <w:rFonts w:cs="Calibri"/>
                <w:szCs w:val="20"/>
              </w:rPr>
              <w:t>Weighbridge system replacement</w:t>
            </w:r>
          </w:p>
        </w:tc>
        <w:tc>
          <w:tcPr>
            <w:tcW w:w="1093" w:type="dxa"/>
            <w:tcBorders>
              <w:top w:val="nil"/>
              <w:left w:val="nil"/>
              <w:bottom w:val="nil"/>
              <w:right w:val="nil"/>
            </w:tcBorders>
          </w:tcPr>
          <w:p w14:paraId="4367FF2B" w14:textId="77777777" w:rsidR="00CF0E2D" w:rsidRPr="0044739F" w:rsidRDefault="00CF0E2D" w:rsidP="00A60D4B">
            <w:pPr>
              <w:pStyle w:val="Btablefigureunbold"/>
              <w:ind w:left="0" w:firstLine="0"/>
              <w:jc w:val="left"/>
              <w:rPr>
                <w:rFonts w:cs="Calibri"/>
                <w:color w:val="000000"/>
                <w:szCs w:val="20"/>
              </w:rPr>
            </w:pPr>
            <w:r w:rsidRPr="00C5093A">
              <w:rPr>
                <w:rFonts w:cs="Calibri"/>
                <w:color w:val="000000"/>
                <w:szCs w:val="20"/>
              </w:rPr>
              <w:t>Net capital</w:t>
            </w:r>
          </w:p>
        </w:tc>
        <w:tc>
          <w:tcPr>
            <w:tcW w:w="964" w:type="dxa"/>
            <w:gridSpan w:val="2"/>
            <w:tcBorders>
              <w:top w:val="nil"/>
              <w:left w:val="nil"/>
              <w:bottom w:val="nil"/>
              <w:right w:val="nil"/>
            </w:tcBorders>
          </w:tcPr>
          <w:p w14:paraId="07B4F296"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43CB0F6D" w14:textId="77777777" w:rsidR="00CF0E2D" w:rsidRPr="00E366D2" w:rsidRDefault="00CF0E2D" w:rsidP="00A60D4B">
            <w:pPr>
              <w:pStyle w:val="Btablefigureunbold"/>
              <w:rPr>
                <w:szCs w:val="20"/>
              </w:rPr>
            </w:pPr>
            <w:r w:rsidRPr="00E366D2">
              <w:rPr>
                <w:rFonts w:cs="Calibri"/>
                <w:color w:val="000000"/>
                <w:szCs w:val="20"/>
              </w:rPr>
              <w:t>750</w:t>
            </w:r>
          </w:p>
        </w:tc>
        <w:tc>
          <w:tcPr>
            <w:tcW w:w="964" w:type="dxa"/>
            <w:gridSpan w:val="2"/>
            <w:tcBorders>
              <w:top w:val="nil"/>
              <w:left w:val="nil"/>
              <w:bottom w:val="nil"/>
              <w:right w:val="nil"/>
            </w:tcBorders>
          </w:tcPr>
          <w:p w14:paraId="601BA582"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1FA94F0F" w14:textId="77777777" w:rsidR="00CF0E2D" w:rsidRPr="00E366D2" w:rsidRDefault="00CF0E2D" w:rsidP="00A60D4B">
            <w:pPr>
              <w:pStyle w:val="Btablefigureunbold"/>
              <w:rPr>
                <w:szCs w:val="20"/>
              </w:rPr>
            </w:pPr>
            <w:r w:rsidRPr="00E366D2">
              <w:rPr>
                <w:rFonts w:cs="Calibri"/>
                <w:color w:val="000000"/>
                <w:szCs w:val="20"/>
              </w:rPr>
              <w:t>0</w:t>
            </w:r>
          </w:p>
        </w:tc>
        <w:tc>
          <w:tcPr>
            <w:tcW w:w="954" w:type="dxa"/>
            <w:gridSpan w:val="2"/>
            <w:tcBorders>
              <w:top w:val="nil"/>
              <w:left w:val="nil"/>
              <w:bottom w:val="nil"/>
              <w:right w:val="nil"/>
            </w:tcBorders>
          </w:tcPr>
          <w:p w14:paraId="3D4ABC54" w14:textId="77777777" w:rsidR="00CF0E2D" w:rsidRPr="00E366D2" w:rsidRDefault="00CF0E2D" w:rsidP="00A60D4B">
            <w:pPr>
              <w:pStyle w:val="Btablefigureunbold"/>
              <w:rPr>
                <w:b/>
                <w:bCs/>
                <w:szCs w:val="20"/>
              </w:rPr>
            </w:pPr>
            <w:r w:rsidRPr="00E366D2">
              <w:rPr>
                <w:rFonts w:cs="Calibri"/>
                <w:b/>
                <w:bCs/>
                <w:color w:val="000000"/>
                <w:szCs w:val="20"/>
              </w:rPr>
              <w:t>750</w:t>
            </w:r>
          </w:p>
        </w:tc>
      </w:tr>
      <w:tr w:rsidR="00CF0E2D" w:rsidRPr="00D60558" w14:paraId="27BCE38D" w14:textId="77777777" w:rsidTr="00A60D4B">
        <w:trPr>
          <w:gridAfter w:val="1"/>
          <w:wAfter w:w="9" w:type="dxa"/>
          <w:jc w:val="center"/>
        </w:trPr>
        <w:tc>
          <w:tcPr>
            <w:tcW w:w="3355" w:type="dxa"/>
            <w:tcBorders>
              <w:top w:val="nil"/>
              <w:left w:val="nil"/>
              <w:bottom w:val="nil"/>
              <w:right w:val="nil"/>
            </w:tcBorders>
          </w:tcPr>
          <w:p w14:paraId="4B017A44" w14:textId="77777777" w:rsidR="00CF0E2D" w:rsidRPr="00C05488" w:rsidRDefault="00CF0E2D" w:rsidP="00A60D4B">
            <w:pPr>
              <w:pStyle w:val="Btabletextunbold"/>
              <w:rPr>
                <w:szCs w:val="20"/>
              </w:rPr>
            </w:pPr>
            <w:r w:rsidRPr="00C05488">
              <w:rPr>
                <w:rFonts w:cs="Calibri"/>
                <w:szCs w:val="20"/>
              </w:rPr>
              <w:t>Weighbridge system replacement</w:t>
            </w:r>
          </w:p>
        </w:tc>
        <w:tc>
          <w:tcPr>
            <w:tcW w:w="1093" w:type="dxa"/>
            <w:tcBorders>
              <w:top w:val="nil"/>
              <w:left w:val="nil"/>
              <w:bottom w:val="nil"/>
              <w:right w:val="nil"/>
            </w:tcBorders>
          </w:tcPr>
          <w:p w14:paraId="12BC4DDC" w14:textId="77777777" w:rsidR="00CF0E2D" w:rsidRPr="0044739F"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5D03AB84" w14:textId="77777777" w:rsidR="00CF0E2D" w:rsidRPr="00E366D2" w:rsidRDefault="00CF0E2D" w:rsidP="00A60D4B">
            <w:pPr>
              <w:pStyle w:val="Btablefigureunbold"/>
              <w:rPr>
                <w:szCs w:val="20"/>
              </w:rPr>
            </w:pPr>
            <w:r w:rsidRPr="00E366D2">
              <w:rPr>
                <w:rFonts w:cs="Calibri"/>
                <w:color w:val="000000"/>
                <w:szCs w:val="20"/>
              </w:rPr>
              <w:t>412</w:t>
            </w:r>
          </w:p>
        </w:tc>
        <w:tc>
          <w:tcPr>
            <w:tcW w:w="964" w:type="dxa"/>
            <w:gridSpan w:val="2"/>
            <w:tcBorders>
              <w:top w:val="nil"/>
              <w:left w:val="nil"/>
              <w:bottom w:val="nil"/>
              <w:right w:val="nil"/>
            </w:tcBorders>
          </w:tcPr>
          <w:p w14:paraId="70D7C270"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204B3A93" w14:textId="77777777" w:rsidR="00CF0E2D" w:rsidRPr="00E366D2" w:rsidRDefault="00CF0E2D" w:rsidP="00A60D4B">
            <w:pPr>
              <w:pStyle w:val="Btablefigureunbold"/>
              <w:rPr>
                <w:szCs w:val="20"/>
              </w:rPr>
            </w:pPr>
            <w:r w:rsidRPr="00E366D2">
              <w:rPr>
                <w:rFonts w:cs="Calibri"/>
                <w:color w:val="000000"/>
                <w:szCs w:val="20"/>
              </w:rPr>
              <w:t>0</w:t>
            </w:r>
          </w:p>
        </w:tc>
        <w:tc>
          <w:tcPr>
            <w:tcW w:w="964" w:type="dxa"/>
            <w:gridSpan w:val="2"/>
            <w:tcBorders>
              <w:top w:val="nil"/>
              <w:left w:val="nil"/>
              <w:bottom w:val="nil"/>
              <w:right w:val="nil"/>
            </w:tcBorders>
          </w:tcPr>
          <w:p w14:paraId="0112E4DC" w14:textId="77777777" w:rsidR="00CF0E2D" w:rsidRPr="00E366D2" w:rsidRDefault="00CF0E2D" w:rsidP="00A60D4B">
            <w:pPr>
              <w:pStyle w:val="Btablefigureunbold"/>
              <w:rPr>
                <w:szCs w:val="20"/>
              </w:rPr>
            </w:pPr>
            <w:r w:rsidRPr="00E366D2">
              <w:rPr>
                <w:rFonts w:cs="Calibri"/>
                <w:color w:val="000000"/>
                <w:szCs w:val="20"/>
              </w:rPr>
              <w:t>0</w:t>
            </w:r>
          </w:p>
        </w:tc>
        <w:tc>
          <w:tcPr>
            <w:tcW w:w="954" w:type="dxa"/>
            <w:gridSpan w:val="2"/>
            <w:tcBorders>
              <w:top w:val="nil"/>
              <w:left w:val="nil"/>
              <w:bottom w:val="nil"/>
              <w:right w:val="nil"/>
            </w:tcBorders>
          </w:tcPr>
          <w:p w14:paraId="4CE27C06" w14:textId="77777777" w:rsidR="00CF0E2D" w:rsidRPr="00E366D2" w:rsidRDefault="00CF0E2D" w:rsidP="00A60D4B">
            <w:pPr>
              <w:pStyle w:val="Btablefigureunbold"/>
              <w:rPr>
                <w:b/>
                <w:bCs/>
                <w:szCs w:val="20"/>
              </w:rPr>
            </w:pPr>
            <w:r w:rsidRPr="00E366D2">
              <w:rPr>
                <w:rFonts w:cs="Calibri"/>
                <w:b/>
                <w:bCs/>
                <w:color w:val="000000"/>
                <w:szCs w:val="20"/>
              </w:rPr>
              <w:t>412</w:t>
            </w:r>
          </w:p>
        </w:tc>
      </w:tr>
      <w:tr w:rsidR="00CF0E2D" w:rsidRPr="00D60558" w14:paraId="7AE0CC0C" w14:textId="77777777" w:rsidTr="00465757">
        <w:trPr>
          <w:gridAfter w:val="1"/>
          <w:wAfter w:w="9" w:type="dxa"/>
          <w:trHeight w:val="340"/>
          <w:jc w:val="center"/>
        </w:trPr>
        <w:tc>
          <w:tcPr>
            <w:tcW w:w="3355" w:type="dxa"/>
            <w:tcBorders>
              <w:top w:val="nil"/>
              <w:left w:val="nil"/>
              <w:bottom w:val="nil"/>
              <w:right w:val="nil"/>
            </w:tcBorders>
            <w:vAlign w:val="bottom"/>
          </w:tcPr>
          <w:p w14:paraId="14725059" w14:textId="77777777" w:rsidR="00CF0E2D" w:rsidRPr="00CC0D87" w:rsidRDefault="00CF0E2D" w:rsidP="00A60D4B">
            <w:pPr>
              <w:pStyle w:val="Btabletextunbold"/>
              <w:rPr>
                <w:b/>
                <w:bCs/>
                <w:szCs w:val="20"/>
              </w:rPr>
            </w:pPr>
            <w:r>
              <w:rPr>
                <w:b/>
                <w:bCs/>
                <w:szCs w:val="20"/>
              </w:rPr>
              <w:t>WorkSafe ACT</w:t>
            </w:r>
          </w:p>
        </w:tc>
        <w:tc>
          <w:tcPr>
            <w:tcW w:w="1093" w:type="dxa"/>
            <w:tcBorders>
              <w:top w:val="nil"/>
              <w:left w:val="nil"/>
              <w:bottom w:val="nil"/>
              <w:right w:val="nil"/>
            </w:tcBorders>
          </w:tcPr>
          <w:p w14:paraId="00811BAF" w14:textId="77777777" w:rsidR="00CF0E2D" w:rsidRPr="00D60558" w:rsidRDefault="00CF0E2D" w:rsidP="00A60D4B">
            <w:pPr>
              <w:pStyle w:val="Btablefigureunbold"/>
              <w:ind w:left="0" w:firstLine="0"/>
              <w:jc w:val="left"/>
              <w:rPr>
                <w:rFonts w:cs="Calibri"/>
                <w:color w:val="000000"/>
                <w:szCs w:val="20"/>
              </w:rPr>
            </w:pPr>
          </w:p>
        </w:tc>
        <w:tc>
          <w:tcPr>
            <w:tcW w:w="964" w:type="dxa"/>
            <w:gridSpan w:val="2"/>
            <w:tcBorders>
              <w:top w:val="nil"/>
              <w:left w:val="nil"/>
              <w:bottom w:val="nil"/>
              <w:right w:val="nil"/>
            </w:tcBorders>
          </w:tcPr>
          <w:p w14:paraId="740FC8A3" w14:textId="77777777" w:rsidR="00CF0E2D" w:rsidRPr="00E366D2" w:rsidRDefault="00CF0E2D" w:rsidP="00A60D4B">
            <w:pPr>
              <w:pStyle w:val="Btablefigureunbold"/>
              <w:rPr>
                <w:szCs w:val="20"/>
              </w:rPr>
            </w:pPr>
          </w:p>
        </w:tc>
        <w:tc>
          <w:tcPr>
            <w:tcW w:w="964" w:type="dxa"/>
            <w:gridSpan w:val="2"/>
            <w:tcBorders>
              <w:top w:val="nil"/>
              <w:left w:val="nil"/>
              <w:bottom w:val="nil"/>
              <w:right w:val="nil"/>
            </w:tcBorders>
          </w:tcPr>
          <w:p w14:paraId="1C90FAAC" w14:textId="77777777" w:rsidR="00CF0E2D" w:rsidRPr="00E366D2" w:rsidRDefault="00CF0E2D" w:rsidP="00A60D4B">
            <w:pPr>
              <w:pStyle w:val="Btablefigureunbold"/>
              <w:rPr>
                <w:szCs w:val="20"/>
              </w:rPr>
            </w:pPr>
          </w:p>
        </w:tc>
        <w:tc>
          <w:tcPr>
            <w:tcW w:w="964" w:type="dxa"/>
            <w:gridSpan w:val="2"/>
            <w:tcBorders>
              <w:top w:val="nil"/>
              <w:left w:val="nil"/>
              <w:bottom w:val="nil"/>
              <w:right w:val="nil"/>
            </w:tcBorders>
          </w:tcPr>
          <w:p w14:paraId="00ED5541" w14:textId="77777777" w:rsidR="00CF0E2D" w:rsidRPr="00E366D2" w:rsidRDefault="00CF0E2D" w:rsidP="00A60D4B">
            <w:pPr>
              <w:pStyle w:val="Btablefigureunbold"/>
              <w:rPr>
                <w:szCs w:val="20"/>
              </w:rPr>
            </w:pPr>
          </w:p>
        </w:tc>
        <w:tc>
          <w:tcPr>
            <w:tcW w:w="964" w:type="dxa"/>
            <w:gridSpan w:val="2"/>
            <w:tcBorders>
              <w:top w:val="nil"/>
              <w:left w:val="nil"/>
              <w:bottom w:val="nil"/>
              <w:right w:val="nil"/>
            </w:tcBorders>
          </w:tcPr>
          <w:p w14:paraId="2BEC5E01" w14:textId="77777777" w:rsidR="00CF0E2D" w:rsidRPr="00E366D2" w:rsidRDefault="00CF0E2D" w:rsidP="00A60D4B">
            <w:pPr>
              <w:pStyle w:val="Btablefigureunbold"/>
              <w:rPr>
                <w:szCs w:val="20"/>
              </w:rPr>
            </w:pPr>
          </w:p>
        </w:tc>
        <w:tc>
          <w:tcPr>
            <w:tcW w:w="954" w:type="dxa"/>
            <w:gridSpan w:val="2"/>
            <w:tcBorders>
              <w:top w:val="nil"/>
              <w:left w:val="nil"/>
              <w:bottom w:val="nil"/>
              <w:right w:val="nil"/>
            </w:tcBorders>
          </w:tcPr>
          <w:p w14:paraId="25DF1978" w14:textId="77777777" w:rsidR="00CF0E2D" w:rsidRPr="00E366D2" w:rsidRDefault="00CF0E2D" w:rsidP="00A60D4B">
            <w:pPr>
              <w:pStyle w:val="Btablefigureunbold"/>
              <w:rPr>
                <w:b/>
                <w:bCs/>
                <w:szCs w:val="20"/>
              </w:rPr>
            </w:pPr>
          </w:p>
        </w:tc>
      </w:tr>
      <w:tr w:rsidR="00CF0E2D" w:rsidRPr="00D60558" w14:paraId="11CE75BF" w14:textId="77777777" w:rsidTr="00A60D4B">
        <w:trPr>
          <w:gridAfter w:val="1"/>
          <w:wAfter w:w="9" w:type="dxa"/>
          <w:jc w:val="center"/>
        </w:trPr>
        <w:tc>
          <w:tcPr>
            <w:tcW w:w="3355" w:type="dxa"/>
            <w:tcBorders>
              <w:top w:val="nil"/>
              <w:left w:val="nil"/>
              <w:bottom w:val="nil"/>
              <w:right w:val="nil"/>
            </w:tcBorders>
          </w:tcPr>
          <w:p w14:paraId="1D00DA71" w14:textId="77777777" w:rsidR="00CF0E2D" w:rsidRPr="00CC0D87" w:rsidRDefault="00CF0E2D" w:rsidP="00A60D4B">
            <w:pPr>
              <w:pStyle w:val="Btabletextunbold"/>
              <w:rPr>
                <w:szCs w:val="20"/>
              </w:rPr>
            </w:pPr>
            <w:r w:rsidRPr="00CC0D87">
              <w:rPr>
                <w:rFonts w:cs="Calibri"/>
                <w:color w:val="000000"/>
                <w:szCs w:val="20"/>
              </w:rPr>
              <w:t>Workplace health and safety – Increased support</w:t>
            </w:r>
          </w:p>
        </w:tc>
        <w:tc>
          <w:tcPr>
            <w:tcW w:w="1093" w:type="dxa"/>
            <w:tcBorders>
              <w:top w:val="nil"/>
              <w:left w:val="nil"/>
              <w:bottom w:val="nil"/>
              <w:right w:val="nil"/>
            </w:tcBorders>
          </w:tcPr>
          <w:p w14:paraId="44C8D67A"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capital</w:t>
            </w:r>
          </w:p>
        </w:tc>
        <w:tc>
          <w:tcPr>
            <w:tcW w:w="964" w:type="dxa"/>
            <w:gridSpan w:val="2"/>
            <w:tcBorders>
              <w:top w:val="nil"/>
              <w:left w:val="nil"/>
              <w:bottom w:val="nil"/>
              <w:right w:val="nil"/>
            </w:tcBorders>
          </w:tcPr>
          <w:p w14:paraId="67D8CD5A" w14:textId="77777777" w:rsidR="00CF0E2D" w:rsidRPr="00E366D2" w:rsidRDefault="00CF0E2D" w:rsidP="00A60D4B">
            <w:pPr>
              <w:pStyle w:val="Btablefigureunbold"/>
              <w:rPr>
                <w:szCs w:val="20"/>
              </w:rPr>
            </w:pPr>
            <w:r w:rsidRPr="00E366D2">
              <w:rPr>
                <w:szCs w:val="20"/>
              </w:rPr>
              <w:t>350</w:t>
            </w:r>
          </w:p>
        </w:tc>
        <w:tc>
          <w:tcPr>
            <w:tcW w:w="964" w:type="dxa"/>
            <w:gridSpan w:val="2"/>
            <w:tcBorders>
              <w:top w:val="nil"/>
              <w:left w:val="nil"/>
              <w:bottom w:val="nil"/>
              <w:right w:val="nil"/>
            </w:tcBorders>
          </w:tcPr>
          <w:p w14:paraId="034AD708" w14:textId="77777777" w:rsidR="00CF0E2D" w:rsidRPr="00E366D2" w:rsidRDefault="00CF0E2D" w:rsidP="00A60D4B">
            <w:pPr>
              <w:pStyle w:val="Btablefigureunbold"/>
              <w:rPr>
                <w:szCs w:val="20"/>
              </w:rPr>
            </w:pPr>
            <w:r w:rsidRPr="00E366D2">
              <w:rPr>
                <w:szCs w:val="20"/>
              </w:rPr>
              <w:t>0</w:t>
            </w:r>
          </w:p>
        </w:tc>
        <w:tc>
          <w:tcPr>
            <w:tcW w:w="964" w:type="dxa"/>
            <w:gridSpan w:val="2"/>
            <w:tcBorders>
              <w:top w:val="nil"/>
              <w:left w:val="nil"/>
              <w:bottom w:val="nil"/>
              <w:right w:val="nil"/>
            </w:tcBorders>
          </w:tcPr>
          <w:p w14:paraId="6927FF82" w14:textId="77777777" w:rsidR="00CF0E2D" w:rsidRPr="00E366D2" w:rsidRDefault="00CF0E2D" w:rsidP="00A60D4B">
            <w:pPr>
              <w:pStyle w:val="Btablefigureunbold"/>
              <w:rPr>
                <w:szCs w:val="20"/>
              </w:rPr>
            </w:pPr>
            <w:r w:rsidRPr="00E366D2">
              <w:rPr>
                <w:szCs w:val="20"/>
              </w:rPr>
              <w:t>0</w:t>
            </w:r>
          </w:p>
        </w:tc>
        <w:tc>
          <w:tcPr>
            <w:tcW w:w="964" w:type="dxa"/>
            <w:gridSpan w:val="2"/>
            <w:tcBorders>
              <w:top w:val="nil"/>
              <w:left w:val="nil"/>
              <w:bottom w:val="nil"/>
              <w:right w:val="nil"/>
            </w:tcBorders>
          </w:tcPr>
          <w:p w14:paraId="3E820182" w14:textId="77777777" w:rsidR="00CF0E2D" w:rsidRPr="00E366D2" w:rsidRDefault="00CF0E2D" w:rsidP="00A60D4B">
            <w:pPr>
              <w:pStyle w:val="Btablefigureunbold"/>
              <w:rPr>
                <w:szCs w:val="20"/>
              </w:rPr>
            </w:pPr>
            <w:r w:rsidRPr="00E366D2">
              <w:rPr>
                <w:szCs w:val="20"/>
              </w:rPr>
              <w:t>0</w:t>
            </w:r>
          </w:p>
        </w:tc>
        <w:tc>
          <w:tcPr>
            <w:tcW w:w="954" w:type="dxa"/>
            <w:gridSpan w:val="2"/>
            <w:tcBorders>
              <w:top w:val="nil"/>
              <w:left w:val="nil"/>
              <w:bottom w:val="nil"/>
              <w:right w:val="nil"/>
            </w:tcBorders>
          </w:tcPr>
          <w:p w14:paraId="1C80BC8F" w14:textId="77777777" w:rsidR="00CF0E2D" w:rsidRPr="00E366D2" w:rsidRDefault="00CF0E2D" w:rsidP="00A60D4B">
            <w:pPr>
              <w:pStyle w:val="Btablefigureunbold"/>
              <w:rPr>
                <w:b/>
                <w:bCs/>
                <w:szCs w:val="20"/>
              </w:rPr>
            </w:pPr>
            <w:r w:rsidRPr="00E366D2">
              <w:rPr>
                <w:b/>
                <w:bCs/>
                <w:szCs w:val="20"/>
              </w:rPr>
              <w:t>350</w:t>
            </w:r>
          </w:p>
        </w:tc>
      </w:tr>
      <w:tr w:rsidR="00CF0E2D" w:rsidRPr="00D60558" w14:paraId="079F23AC" w14:textId="77777777" w:rsidTr="00A60D4B">
        <w:trPr>
          <w:gridAfter w:val="1"/>
          <w:wAfter w:w="9" w:type="dxa"/>
          <w:jc w:val="center"/>
        </w:trPr>
        <w:tc>
          <w:tcPr>
            <w:tcW w:w="3355" w:type="dxa"/>
            <w:tcBorders>
              <w:top w:val="nil"/>
              <w:left w:val="nil"/>
              <w:bottom w:val="nil"/>
              <w:right w:val="nil"/>
            </w:tcBorders>
          </w:tcPr>
          <w:p w14:paraId="3887D1EA" w14:textId="77777777" w:rsidR="00CF0E2D" w:rsidRDefault="00CF0E2D" w:rsidP="00A60D4B">
            <w:pPr>
              <w:pStyle w:val="Btabletextunbold"/>
              <w:rPr>
                <w:rFonts w:cs="Calibri"/>
                <w:color w:val="000000"/>
                <w:szCs w:val="20"/>
              </w:rPr>
            </w:pPr>
            <w:r w:rsidRPr="00CC0D87">
              <w:rPr>
                <w:rFonts w:cs="Calibri"/>
                <w:color w:val="000000"/>
                <w:szCs w:val="20"/>
              </w:rPr>
              <w:t>Workplace health and safety – Increased support</w:t>
            </w:r>
          </w:p>
          <w:p w14:paraId="4D8CDA52" w14:textId="5D4E152F" w:rsidR="00CF0E2D" w:rsidRPr="00CC0D87" w:rsidRDefault="001E39B7" w:rsidP="001E39B7">
            <w:pPr>
              <w:pStyle w:val="BNoteBold"/>
            </w:pPr>
            <w:r>
              <w:t>Notes:</w:t>
            </w:r>
          </w:p>
        </w:tc>
        <w:tc>
          <w:tcPr>
            <w:tcW w:w="1093" w:type="dxa"/>
            <w:tcBorders>
              <w:top w:val="nil"/>
              <w:left w:val="nil"/>
              <w:bottom w:val="nil"/>
              <w:right w:val="nil"/>
            </w:tcBorders>
          </w:tcPr>
          <w:p w14:paraId="2FA04D3D" w14:textId="77777777" w:rsidR="00CF0E2D" w:rsidRPr="00D60558" w:rsidRDefault="00CF0E2D" w:rsidP="00A60D4B">
            <w:pPr>
              <w:pStyle w:val="Btablefigureunbold"/>
              <w:ind w:left="0" w:firstLine="0"/>
              <w:jc w:val="left"/>
              <w:rPr>
                <w:rFonts w:cs="Calibri"/>
                <w:color w:val="000000"/>
                <w:szCs w:val="20"/>
              </w:rPr>
            </w:pPr>
            <w:r>
              <w:rPr>
                <w:rFonts w:cs="Calibri"/>
                <w:color w:val="000000"/>
                <w:szCs w:val="20"/>
              </w:rPr>
              <w:t>Net cost</w:t>
            </w:r>
          </w:p>
        </w:tc>
        <w:tc>
          <w:tcPr>
            <w:tcW w:w="964" w:type="dxa"/>
            <w:gridSpan w:val="2"/>
            <w:tcBorders>
              <w:top w:val="nil"/>
              <w:left w:val="nil"/>
              <w:bottom w:val="nil"/>
              <w:right w:val="nil"/>
            </w:tcBorders>
          </w:tcPr>
          <w:p w14:paraId="33BFE1A5" w14:textId="77777777" w:rsidR="00CF0E2D" w:rsidRPr="00E366D2" w:rsidRDefault="00CF0E2D" w:rsidP="00A60D4B">
            <w:pPr>
              <w:pStyle w:val="Btablefigureunbold"/>
              <w:rPr>
                <w:szCs w:val="20"/>
              </w:rPr>
            </w:pPr>
            <w:r w:rsidRPr="00E366D2">
              <w:rPr>
                <w:rFonts w:cs="Calibri"/>
                <w:color w:val="000000"/>
                <w:szCs w:val="20"/>
              </w:rPr>
              <w:t>929</w:t>
            </w:r>
          </w:p>
        </w:tc>
        <w:tc>
          <w:tcPr>
            <w:tcW w:w="964" w:type="dxa"/>
            <w:gridSpan w:val="2"/>
            <w:tcBorders>
              <w:top w:val="nil"/>
              <w:left w:val="nil"/>
              <w:bottom w:val="nil"/>
              <w:right w:val="nil"/>
            </w:tcBorders>
          </w:tcPr>
          <w:p w14:paraId="63405187" w14:textId="77777777" w:rsidR="00CF0E2D" w:rsidRPr="00E366D2" w:rsidRDefault="00CF0E2D" w:rsidP="00A60D4B">
            <w:pPr>
              <w:pStyle w:val="Btablefigureunbold"/>
              <w:rPr>
                <w:szCs w:val="20"/>
              </w:rPr>
            </w:pPr>
            <w:r w:rsidRPr="00E366D2">
              <w:rPr>
                <w:rFonts w:cs="Calibri"/>
                <w:color w:val="000000"/>
                <w:szCs w:val="20"/>
              </w:rPr>
              <w:t>459</w:t>
            </w:r>
          </w:p>
        </w:tc>
        <w:tc>
          <w:tcPr>
            <w:tcW w:w="964" w:type="dxa"/>
            <w:gridSpan w:val="2"/>
            <w:tcBorders>
              <w:top w:val="nil"/>
              <w:left w:val="nil"/>
              <w:bottom w:val="nil"/>
              <w:right w:val="nil"/>
            </w:tcBorders>
          </w:tcPr>
          <w:p w14:paraId="35849909" w14:textId="77777777" w:rsidR="00CF0E2D" w:rsidRPr="00E366D2" w:rsidRDefault="00CF0E2D" w:rsidP="00A60D4B">
            <w:pPr>
              <w:pStyle w:val="Btablefigureunbold"/>
              <w:rPr>
                <w:szCs w:val="20"/>
              </w:rPr>
            </w:pPr>
            <w:r w:rsidRPr="00E366D2">
              <w:rPr>
                <w:rFonts w:cs="Calibri"/>
                <w:color w:val="000000"/>
                <w:szCs w:val="20"/>
              </w:rPr>
              <w:t>121</w:t>
            </w:r>
          </w:p>
        </w:tc>
        <w:tc>
          <w:tcPr>
            <w:tcW w:w="964" w:type="dxa"/>
            <w:gridSpan w:val="2"/>
            <w:tcBorders>
              <w:top w:val="nil"/>
              <w:left w:val="nil"/>
              <w:bottom w:val="nil"/>
              <w:right w:val="nil"/>
            </w:tcBorders>
          </w:tcPr>
          <w:p w14:paraId="3AEFC4D0" w14:textId="77777777" w:rsidR="00CF0E2D" w:rsidRPr="00E366D2" w:rsidRDefault="00CF0E2D" w:rsidP="00A60D4B">
            <w:pPr>
              <w:pStyle w:val="Btablefigureunbold"/>
              <w:rPr>
                <w:szCs w:val="20"/>
              </w:rPr>
            </w:pPr>
            <w:r w:rsidRPr="00E366D2">
              <w:rPr>
                <w:rFonts w:cs="Calibri"/>
                <w:color w:val="000000"/>
                <w:szCs w:val="20"/>
              </w:rPr>
              <w:t>121</w:t>
            </w:r>
          </w:p>
        </w:tc>
        <w:tc>
          <w:tcPr>
            <w:tcW w:w="954" w:type="dxa"/>
            <w:gridSpan w:val="2"/>
            <w:tcBorders>
              <w:top w:val="nil"/>
              <w:left w:val="nil"/>
              <w:bottom w:val="nil"/>
              <w:right w:val="nil"/>
            </w:tcBorders>
          </w:tcPr>
          <w:p w14:paraId="1B5E3189" w14:textId="77777777" w:rsidR="00CF0E2D" w:rsidRPr="00E366D2" w:rsidRDefault="00CF0E2D" w:rsidP="00A60D4B">
            <w:pPr>
              <w:pStyle w:val="Btablefigureunbold"/>
              <w:rPr>
                <w:b/>
                <w:bCs/>
                <w:szCs w:val="20"/>
              </w:rPr>
            </w:pPr>
            <w:r w:rsidRPr="00E366D2">
              <w:rPr>
                <w:rFonts w:cs="Calibri"/>
                <w:b/>
                <w:bCs/>
                <w:color w:val="000000"/>
                <w:szCs w:val="20"/>
              </w:rPr>
              <w:t>1,630</w:t>
            </w:r>
          </w:p>
        </w:tc>
      </w:tr>
    </w:tbl>
    <w:p w14:paraId="7F283B39" w14:textId="77777777" w:rsidR="00CF0E2D" w:rsidRDefault="00CF0E2D" w:rsidP="001E39B7">
      <w:pPr>
        <w:pStyle w:val="BNotelist"/>
        <w:numPr>
          <w:ilvl w:val="0"/>
          <w:numId w:val="77"/>
        </w:numPr>
      </w:pPr>
      <w:r>
        <w:t xml:space="preserve"> This initiative is delivered by multiple agencies.</w:t>
      </w:r>
    </w:p>
    <w:p w14:paraId="4574ED52" w14:textId="77777777" w:rsidR="00CF0E2D" w:rsidRPr="00BE5C1B" w:rsidRDefault="00CF0E2D" w:rsidP="00A60D4B">
      <w:pPr>
        <w:pStyle w:val="BNotelist"/>
      </w:pPr>
      <w:r>
        <w:t>This initiative has funding outside the forward estimates.</w:t>
      </w:r>
    </w:p>
    <w:p w14:paraId="31C1471F" w14:textId="77777777" w:rsidR="00CF0E2D" w:rsidRPr="00224D79" w:rsidRDefault="00CF0E2D" w:rsidP="00A60D4B"/>
    <w:p w14:paraId="5ED22C0E" w14:textId="77777777" w:rsidR="00CF0E2D" w:rsidRDefault="00CF0E2D" w:rsidP="00A60D4B">
      <w:pPr>
        <w:pStyle w:val="Heading3"/>
      </w:pPr>
      <w:r>
        <w:br w:type="page"/>
      </w:r>
      <w:bookmarkStart w:id="30" w:name="_Toc63586631"/>
      <w:r>
        <w:lastRenderedPageBreak/>
        <w:t>New initiatives explained</w:t>
      </w:r>
      <w:bookmarkEnd w:id="30"/>
    </w:p>
    <w:p w14:paraId="3FF0ECFA" w14:textId="77777777" w:rsidR="00CF0E2D" w:rsidRDefault="00CF0E2D" w:rsidP="00A60D4B">
      <w:pPr>
        <w:pStyle w:val="Bbodytext"/>
      </w:pPr>
      <w:r w:rsidRPr="008D39C1">
        <w:t xml:space="preserve">The following section contains detailed </w:t>
      </w:r>
      <w:r>
        <w:t>descriptions</w:t>
      </w:r>
      <w:r w:rsidRPr="008D39C1">
        <w:t xml:space="preserve"> </w:t>
      </w:r>
      <w:r>
        <w:t>for</w:t>
      </w:r>
      <w:r w:rsidRPr="008D39C1">
        <w:t xml:space="preserve"> each initiative funded though the </w:t>
      </w:r>
      <w:r>
        <w:t>2021-22</w:t>
      </w:r>
      <w:r w:rsidRPr="008D39C1">
        <w:t xml:space="preserve"> Budget</w:t>
      </w:r>
      <w:r>
        <w:t>, grouped by agency or agency group in the case of health initiatives</w:t>
      </w:r>
      <w:r w:rsidRPr="008D39C1">
        <w:t>.</w:t>
      </w:r>
      <w:r>
        <w:t xml:space="preserve"> If an initiative has financial impacts across multiple agencies, the description is included in the lead agency section but outlines the financial impacts for supporting agencies. </w:t>
      </w:r>
    </w:p>
    <w:p w14:paraId="18C00F22" w14:textId="77777777" w:rsidR="00CF0E2D" w:rsidRDefault="00CF0E2D" w:rsidP="00A60D4B">
      <w:pPr>
        <w:pStyle w:val="Bbodytext"/>
      </w:pPr>
      <w:r>
        <w:t>The tables demonstrate the financial impacts to government of providing the services. The following information explains the treatment of each category within the tables:</w:t>
      </w:r>
    </w:p>
    <w:p w14:paraId="1B115CCD" w14:textId="77777777" w:rsidR="00CF0E2D" w:rsidRDefault="00CF0E2D" w:rsidP="00CF0E2D">
      <w:pPr>
        <w:pStyle w:val="Bbodytext"/>
        <w:numPr>
          <w:ilvl w:val="0"/>
          <w:numId w:val="35"/>
        </w:numPr>
        <w:ind w:left="567" w:hanging="567"/>
      </w:pPr>
      <w:r>
        <w:t xml:space="preserve">Items that represent financial outflows/investments from government include capital, expenses, expense provisions, revenue forgone and depreciation impacts. Increases in these items are presented as positive numbers, representing a cost to government of providing these services. </w:t>
      </w:r>
    </w:p>
    <w:p w14:paraId="0421E8F6" w14:textId="77777777" w:rsidR="00CF0E2D" w:rsidRDefault="00CF0E2D" w:rsidP="00CF0E2D">
      <w:pPr>
        <w:pStyle w:val="Bbodytext"/>
        <w:numPr>
          <w:ilvl w:val="0"/>
          <w:numId w:val="35"/>
        </w:numPr>
        <w:ind w:left="567" w:hanging="567"/>
      </w:pPr>
      <w:r>
        <w:t xml:space="preserve">Offsets, which represent a positive impact to government, are displayed as negative numbers as offsets reduce the cost to government of providing services. </w:t>
      </w:r>
    </w:p>
    <w:p w14:paraId="23F2D998" w14:textId="77777777" w:rsidR="00CF0E2D" w:rsidRDefault="00CF0E2D" w:rsidP="00CF0E2D">
      <w:pPr>
        <w:pStyle w:val="Bbodytext"/>
        <w:numPr>
          <w:ilvl w:val="0"/>
          <w:numId w:val="35"/>
        </w:numPr>
        <w:ind w:left="567" w:hanging="567"/>
      </w:pPr>
      <w:r>
        <w:t>Savings and revenue items provide a positive impact to government. For ease of reading, increases in these items are presented as positive numbers.</w:t>
      </w:r>
    </w:p>
    <w:p w14:paraId="369266D9" w14:textId="77777777" w:rsidR="00CF0E2D" w:rsidRDefault="00CF0E2D" w:rsidP="00A60D4B">
      <w:pPr>
        <w:pStyle w:val="Bbodytext"/>
        <w:keepNext/>
        <w:keepLines/>
      </w:pPr>
      <w:r>
        <w:t xml:space="preserve">The </w:t>
      </w:r>
      <w:r w:rsidRPr="00D3245A">
        <w:t>net cost of services</w:t>
      </w:r>
      <w:r>
        <w:t xml:space="preserve"> line is calculated by adding all the expenses, expense provisions, revenue forgone, and depreciation components, less any expense offsets, savings or revenue. Where this number is a positive it reflects an overall cost to government of providing the service, and where it is a negative it represents an overall financial benefit to government. The </w:t>
      </w:r>
      <w:r w:rsidRPr="00D3245A">
        <w:t>net cost of services</w:t>
      </w:r>
      <w:r>
        <w:t xml:space="preserve"> line is only included where there are multiple expense impacts. </w:t>
      </w:r>
    </w:p>
    <w:p w14:paraId="29806960" w14:textId="77777777" w:rsidR="00CF0E2D" w:rsidRDefault="00CF0E2D" w:rsidP="00A60D4B">
      <w:pPr>
        <w:pStyle w:val="Bbodytext"/>
      </w:pPr>
      <w:r>
        <w:t xml:space="preserve">Capital, capital provisions and capital offsets are not summed into the </w:t>
      </w:r>
      <w:r w:rsidRPr="008219EB">
        <w:rPr>
          <w:i/>
          <w:iCs/>
        </w:rPr>
        <w:t>net cost of services</w:t>
      </w:r>
      <w:r>
        <w:t xml:space="preserve"> line.</w:t>
      </w:r>
    </w:p>
    <w:p w14:paraId="3E5759D9" w14:textId="77777777" w:rsidR="00CF0E2D" w:rsidRDefault="00CF0E2D" w:rsidP="00A60D4B">
      <w:pPr>
        <w:pStyle w:val="Bbodytext"/>
      </w:pPr>
      <w:r>
        <w:t>Not for Publication (NFP) is used where the publication of detailed financial information could impact on the government’s ability to achieve value for money in the market, or where annual funding profiles are yet to be determined.</w:t>
      </w:r>
    </w:p>
    <w:p w14:paraId="381EA8BB" w14:textId="77777777" w:rsidR="00CF0E2D" w:rsidRDefault="00CF0E2D">
      <w:pPr>
        <w:rPr>
          <w:sz w:val="24"/>
        </w:rPr>
      </w:pPr>
      <w:r>
        <w:br w:type="page"/>
      </w:r>
    </w:p>
    <w:p w14:paraId="4518563E" w14:textId="77777777" w:rsidR="00CF0E2D" w:rsidRDefault="00CF0E2D" w:rsidP="00CF0E2D">
      <w:pPr>
        <w:pStyle w:val="Heading3"/>
      </w:pPr>
      <w:bookmarkStart w:id="31" w:name="_Hlk83989857"/>
      <w:bookmarkEnd w:id="31"/>
      <w:r>
        <w:lastRenderedPageBreak/>
        <w:t>ACT ELECTORAL COMMISSION</w:t>
      </w:r>
    </w:p>
    <w:p w14:paraId="51B164E9" w14:textId="77777777" w:rsidR="00CF0E2D" w:rsidRPr="00F331B9" w:rsidRDefault="00CF0E2D" w:rsidP="00CF0E2D"/>
    <w:p w14:paraId="1D791710" w14:textId="77777777" w:rsidR="00CF0E2D" w:rsidRPr="00C15FE5" w:rsidRDefault="00CF0E2D" w:rsidP="00CF0E2D">
      <w:pPr>
        <w:pStyle w:val="Heading4"/>
      </w:pPr>
      <w:r>
        <w:rPr>
          <w:b w:val="0"/>
          <w:noProof/>
          <w:color w:val="999789"/>
          <w:sz w:val="32"/>
          <w:szCs w:val="24"/>
        </w:rPr>
        <w:drawing>
          <wp:anchor distT="0" distB="0" distL="114300" distR="114300" simplePos="0" relativeHeight="251954176" behindDoc="0" locked="1" layoutInCell="1" allowOverlap="1" wp14:anchorId="798EB46B" wp14:editId="72AC540B">
            <wp:simplePos x="0" y="0"/>
            <wp:positionH relativeFrom="margin">
              <wp:posOffset>4302760</wp:posOffset>
            </wp:positionH>
            <wp:positionV relativeFrom="paragraph">
              <wp:posOffset>54610</wp:posOffset>
            </wp:positionV>
            <wp:extent cx="1421765" cy="503555"/>
            <wp:effectExtent l="0" t="0" r="6985" b="0"/>
            <wp:wrapSquare wrapText="bothSides"/>
            <wp:docPr id="133" name="Picture 133" descr="Icon representing the wellbeing domain of Governance and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con representing the wellbeing domain of Governance and institutions"/>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21765" cy="503555"/>
                    </a:xfrm>
                    <a:prstGeom prst="rect">
                      <a:avLst/>
                    </a:prstGeom>
                  </pic:spPr>
                </pic:pic>
              </a:graphicData>
            </a:graphic>
            <wp14:sizeRelH relativeFrom="margin">
              <wp14:pctWidth>0</wp14:pctWidth>
            </wp14:sizeRelH>
            <wp14:sizeRelV relativeFrom="margin">
              <wp14:pctHeight>0</wp14:pctHeight>
            </wp14:sizeRelV>
          </wp:anchor>
        </w:drawing>
      </w:r>
      <w:r w:rsidRPr="002E7BA7">
        <w:t xml:space="preserve">Implementing legislative agenda </w:t>
      </w:r>
      <w:r>
        <w:t xml:space="preserve">– </w:t>
      </w:r>
      <w:r w:rsidRPr="00EB652B">
        <w:rPr>
          <w:i/>
          <w:iCs w:val="0"/>
        </w:rPr>
        <w:t>Electoral Amendment Act 2020</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3D48229E" w14:textId="77777777" w:rsidTr="00A60D4B">
        <w:trPr>
          <w:cantSplit/>
          <w:jc w:val="center"/>
        </w:trPr>
        <w:tc>
          <w:tcPr>
            <w:tcW w:w="3652" w:type="dxa"/>
            <w:tcBorders>
              <w:top w:val="single" w:sz="4" w:space="0" w:color="auto"/>
              <w:bottom w:val="single" w:sz="4" w:space="0" w:color="auto"/>
            </w:tcBorders>
          </w:tcPr>
          <w:p w14:paraId="4976812D" w14:textId="77777777" w:rsidR="00CF0E2D" w:rsidRPr="002E7BA7" w:rsidRDefault="00CF0E2D" w:rsidP="00A60D4B">
            <w:pPr>
              <w:pStyle w:val="EmptyCell0"/>
              <w:rPr>
                <w:sz w:val="24"/>
                <w:szCs w:val="24"/>
              </w:rPr>
            </w:pPr>
            <w:r w:rsidRPr="002E7BA7">
              <w:rPr>
                <w:sz w:val="24"/>
                <w:szCs w:val="24"/>
              </w:rPr>
              <w:t>Empty Cell</w:t>
            </w:r>
          </w:p>
        </w:tc>
        <w:tc>
          <w:tcPr>
            <w:tcW w:w="1179" w:type="dxa"/>
            <w:tcBorders>
              <w:top w:val="single" w:sz="4" w:space="0" w:color="auto"/>
              <w:bottom w:val="single" w:sz="4" w:space="0" w:color="auto"/>
            </w:tcBorders>
          </w:tcPr>
          <w:p w14:paraId="6246764F" w14:textId="77777777" w:rsidR="00CF0E2D" w:rsidRPr="00A311AB" w:rsidRDefault="00CF0E2D" w:rsidP="00A60D4B">
            <w:pPr>
              <w:pStyle w:val="InitFigR"/>
              <w:rPr>
                <w:b/>
                <w:bCs/>
              </w:rPr>
            </w:pPr>
            <w:r w:rsidRPr="00A311AB">
              <w:rPr>
                <w:b/>
                <w:bCs/>
              </w:rPr>
              <w:t>2021-22</w:t>
            </w:r>
          </w:p>
          <w:p w14:paraId="4435A22B" w14:textId="77777777" w:rsidR="00CF0E2D" w:rsidRPr="00A311AB" w:rsidRDefault="00CF0E2D" w:rsidP="00A60D4B">
            <w:pPr>
              <w:pStyle w:val="InitFigR"/>
              <w:rPr>
                <w:b/>
                <w:bCs/>
              </w:rPr>
            </w:pPr>
            <w:r w:rsidRPr="00A311AB">
              <w:rPr>
                <w:b/>
                <w:bCs/>
              </w:rPr>
              <w:t>$’000</w:t>
            </w:r>
          </w:p>
        </w:tc>
        <w:tc>
          <w:tcPr>
            <w:tcW w:w="1041" w:type="dxa"/>
            <w:tcBorders>
              <w:top w:val="single" w:sz="4" w:space="0" w:color="auto"/>
              <w:bottom w:val="single" w:sz="4" w:space="0" w:color="auto"/>
            </w:tcBorders>
          </w:tcPr>
          <w:p w14:paraId="589B33EC" w14:textId="77777777" w:rsidR="00CF0E2D" w:rsidRPr="00A311AB" w:rsidRDefault="00CF0E2D" w:rsidP="00A60D4B">
            <w:pPr>
              <w:pStyle w:val="InitFigR"/>
              <w:rPr>
                <w:b/>
                <w:bCs/>
              </w:rPr>
            </w:pPr>
            <w:r w:rsidRPr="00A311AB">
              <w:rPr>
                <w:b/>
                <w:bCs/>
              </w:rPr>
              <w:t>2022-23</w:t>
            </w:r>
          </w:p>
          <w:p w14:paraId="5523B894" w14:textId="77777777" w:rsidR="00CF0E2D" w:rsidRPr="00A311AB" w:rsidRDefault="00CF0E2D" w:rsidP="00A60D4B">
            <w:pPr>
              <w:pStyle w:val="InitFigR"/>
              <w:rPr>
                <w:b/>
                <w:bCs/>
              </w:rPr>
            </w:pPr>
            <w:r w:rsidRPr="00A311AB">
              <w:rPr>
                <w:b/>
                <w:bCs/>
              </w:rPr>
              <w:t>$’000</w:t>
            </w:r>
          </w:p>
        </w:tc>
        <w:tc>
          <w:tcPr>
            <w:tcW w:w="1029" w:type="dxa"/>
            <w:tcBorders>
              <w:top w:val="single" w:sz="4" w:space="0" w:color="auto"/>
              <w:bottom w:val="single" w:sz="4" w:space="0" w:color="auto"/>
            </w:tcBorders>
          </w:tcPr>
          <w:p w14:paraId="566CE96B" w14:textId="77777777" w:rsidR="00CF0E2D" w:rsidRPr="00A311AB" w:rsidRDefault="00CF0E2D" w:rsidP="00A60D4B">
            <w:pPr>
              <w:pStyle w:val="InitFigR"/>
              <w:rPr>
                <w:b/>
                <w:bCs/>
              </w:rPr>
            </w:pPr>
            <w:r w:rsidRPr="00A311AB">
              <w:rPr>
                <w:b/>
                <w:bCs/>
              </w:rPr>
              <w:t>2023-24</w:t>
            </w:r>
          </w:p>
          <w:p w14:paraId="2B439E0A" w14:textId="77777777" w:rsidR="00CF0E2D" w:rsidRPr="00A311AB" w:rsidRDefault="00CF0E2D" w:rsidP="00A60D4B">
            <w:pPr>
              <w:pStyle w:val="InitFigR"/>
              <w:rPr>
                <w:b/>
                <w:bCs/>
              </w:rPr>
            </w:pPr>
            <w:r w:rsidRPr="00A311AB">
              <w:rPr>
                <w:b/>
                <w:bCs/>
              </w:rPr>
              <w:t>$’000</w:t>
            </w:r>
          </w:p>
        </w:tc>
        <w:tc>
          <w:tcPr>
            <w:tcW w:w="1029" w:type="dxa"/>
            <w:tcBorders>
              <w:top w:val="single" w:sz="4" w:space="0" w:color="auto"/>
              <w:bottom w:val="single" w:sz="4" w:space="0" w:color="auto"/>
            </w:tcBorders>
          </w:tcPr>
          <w:p w14:paraId="5C12BC40" w14:textId="77777777" w:rsidR="00CF0E2D" w:rsidRPr="00A311AB" w:rsidRDefault="00CF0E2D" w:rsidP="00A60D4B">
            <w:pPr>
              <w:pStyle w:val="InitFigR"/>
              <w:rPr>
                <w:b/>
                <w:bCs/>
              </w:rPr>
            </w:pPr>
            <w:r w:rsidRPr="00A311AB">
              <w:rPr>
                <w:b/>
                <w:bCs/>
              </w:rPr>
              <w:t>2024-25</w:t>
            </w:r>
          </w:p>
          <w:p w14:paraId="55CCBC30" w14:textId="77777777" w:rsidR="00CF0E2D" w:rsidRPr="00A311AB" w:rsidRDefault="00CF0E2D" w:rsidP="00A60D4B">
            <w:pPr>
              <w:pStyle w:val="InitFigR"/>
              <w:rPr>
                <w:b/>
                <w:bCs/>
              </w:rPr>
            </w:pPr>
            <w:r w:rsidRPr="00A311AB">
              <w:rPr>
                <w:b/>
                <w:bCs/>
              </w:rPr>
              <w:t>$’000</w:t>
            </w:r>
          </w:p>
        </w:tc>
        <w:tc>
          <w:tcPr>
            <w:tcW w:w="1029" w:type="dxa"/>
            <w:tcBorders>
              <w:top w:val="single" w:sz="4" w:space="0" w:color="auto"/>
              <w:bottom w:val="single" w:sz="4" w:space="0" w:color="auto"/>
            </w:tcBorders>
          </w:tcPr>
          <w:p w14:paraId="2A5C6E95" w14:textId="77777777" w:rsidR="00CF0E2D" w:rsidRPr="004E341E" w:rsidRDefault="00CF0E2D" w:rsidP="00A60D4B">
            <w:pPr>
              <w:pStyle w:val="InitFigRBold"/>
            </w:pPr>
            <w:r w:rsidRPr="004E341E">
              <w:t>Total</w:t>
            </w:r>
          </w:p>
          <w:p w14:paraId="370B083F" w14:textId="77777777" w:rsidR="00CF0E2D" w:rsidRPr="004E341E" w:rsidRDefault="00CF0E2D" w:rsidP="00A60D4B">
            <w:pPr>
              <w:pStyle w:val="InitFigBR"/>
            </w:pPr>
            <w:r w:rsidRPr="004E341E">
              <w:t>$’000</w:t>
            </w:r>
          </w:p>
        </w:tc>
      </w:tr>
      <w:tr w:rsidR="00CF0E2D" w:rsidRPr="00750793" w14:paraId="45598232" w14:textId="77777777" w:rsidTr="00A60D4B">
        <w:trPr>
          <w:cantSplit/>
          <w:jc w:val="center"/>
        </w:trPr>
        <w:tc>
          <w:tcPr>
            <w:tcW w:w="3652" w:type="dxa"/>
          </w:tcPr>
          <w:p w14:paraId="1364D70D" w14:textId="77777777" w:rsidR="00CF0E2D" w:rsidRPr="00F13FAB" w:rsidRDefault="00CF0E2D" w:rsidP="00A60D4B">
            <w:pPr>
              <w:pStyle w:val="InitTextL"/>
              <w:ind w:left="321" w:hanging="321"/>
            </w:pPr>
            <w:r w:rsidRPr="00882BE2">
              <w:t>Expenses</w:t>
            </w:r>
          </w:p>
        </w:tc>
        <w:tc>
          <w:tcPr>
            <w:tcW w:w="1179" w:type="dxa"/>
          </w:tcPr>
          <w:p w14:paraId="1E9AC46C" w14:textId="77777777" w:rsidR="00CF0E2D" w:rsidRPr="00424DA4" w:rsidRDefault="00CF0E2D" w:rsidP="00A60D4B">
            <w:pPr>
              <w:pStyle w:val="InitFigR"/>
            </w:pPr>
            <w:r>
              <w:t>186</w:t>
            </w:r>
          </w:p>
        </w:tc>
        <w:tc>
          <w:tcPr>
            <w:tcW w:w="1041" w:type="dxa"/>
          </w:tcPr>
          <w:p w14:paraId="326E2DA4" w14:textId="77777777" w:rsidR="00CF0E2D" w:rsidRPr="00424DA4" w:rsidRDefault="00CF0E2D" w:rsidP="00A60D4B">
            <w:pPr>
              <w:pStyle w:val="InitFigR"/>
            </w:pPr>
            <w:r>
              <w:t>218</w:t>
            </w:r>
          </w:p>
        </w:tc>
        <w:tc>
          <w:tcPr>
            <w:tcW w:w="1029" w:type="dxa"/>
          </w:tcPr>
          <w:p w14:paraId="47D9AE37" w14:textId="77777777" w:rsidR="00CF0E2D" w:rsidRPr="00424DA4" w:rsidRDefault="00CF0E2D" w:rsidP="00A60D4B">
            <w:pPr>
              <w:pStyle w:val="InitFigR"/>
            </w:pPr>
            <w:r>
              <w:t>0</w:t>
            </w:r>
          </w:p>
        </w:tc>
        <w:tc>
          <w:tcPr>
            <w:tcW w:w="1029" w:type="dxa"/>
          </w:tcPr>
          <w:p w14:paraId="04FD5252" w14:textId="77777777" w:rsidR="00CF0E2D" w:rsidRPr="00424DA4" w:rsidRDefault="00CF0E2D" w:rsidP="00A60D4B">
            <w:pPr>
              <w:pStyle w:val="InitFigR"/>
            </w:pPr>
            <w:r>
              <w:t>0</w:t>
            </w:r>
          </w:p>
        </w:tc>
        <w:tc>
          <w:tcPr>
            <w:tcW w:w="1029" w:type="dxa"/>
          </w:tcPr>
          <w:p w14:paraId="054BBB35" w14:textId="77777777" w:rsidR="00CF0E2D" w:rsidRPr="00424DA4" w:rsidRDefault="00CF0E2D" w:rsidP="00A60D4B">
            <w:pPr>
              <w:pStyle w:val="InitFigBR"/>
            </w:pPr>
            <w:r>
              <w:t>404</w:t>
            </w:r>
          </w:p>
        </w:tc>
      </w:tr>
      <w:tr w:rsidR="00CF0E2D" w:rsidRPr="00750793" w14:paraId="69A49125" w14:textId="77777777" w:rsidTr="00A60D4B">
        <w:trPr>
          <w:cantSplit/>
          <w:jc w:val="center"/>
        </w:trPr>
        <w:tc>
          <w:tcPr>
            <w:tcW w:w="3652" w:type="dxa"/>
          </w:tcPr>
          <w:p w14:paraId="15E49CDF" w14:textId="77777777" w:rsidR="00CF0E2D" w:rsidRPr="00915199" w:rsidDel="002B63D3" w:rsidRDefault="00CF0E2D" w:rsidP="00A60D4B">
            <w:pPr>
              <w:pStyle w:val="InitTextL"/>
              <w:ind w:left="321" w:hanging="321"/>
            </w:pPr>
            <w:r w:rsidRPr="00915199">
              <w:t xml:space="preserve">Expenses – </w:t>
            </w:r>
            <w:r>
              <w:t>Provision</w:t>
            </w:r>
          </w:p>
        </w:tc>
        <w:tc>
          <w:tcPr>
            <w:tcW w:w="1179" w:type="dxa"/>
          </w:tcPr>
          <w:p w14:paraId="7E62CF48" w14:textId="77777777" w:rsidR="00CF0E2D" w:rsidRPr="00424DA4" w:rsidRDefault="00CF0E2D" w:rsidP="00A60D4B">
            <w:pPr>
              <w:pStyle w:val="InitFigR"/>
            </w:pPr>
            <w:r>
              <w:t>0</w:t>
            </w:r>
          </w:p>
        </w:tc>
        <w:tc>
          <w:tcPr>
            <w:tcW w:w="1041" w:type="dxa"/>
          </w:tcPr>
          <w:p w14:paraId="2FB6E6CE" w14:textId="77777777" w:rsidR="00CF0E2D" w:rsidRPr="00424DA4" w:rsidRDefault="00CF0E2D" w:rsidP="00A60D4B">
            <w:pPr>
              <w:pStyle w:val="InitFigR"/>
            </w:pPr>
            <w:r>
              <w:t>0</w:t>
            </w:r>
          </w:p>
        </w:tc>
        <w:tc>
          <w:tcPr>
            <w:tcW w:w="1029" w:type="dxa"/>
          </w:tcPr>
          <w:p w14:paraId="16C14B2C" w14:textId="77777777" w:rsidR="00CF0E2D" w:rsidRPr="00424DA4" w:rsidRDefault="00CF0E2D" w:rsidP="00A60D4B">
            <w:pPr>
              <w:pStyle w:val="InitFigR"/>
            </w:pPr>
            <w:r>
              <w:t>249</w:t>
            </w:r>
          </w:p>
        </w:tc>
        <w:tc>
          <w:tcPr>
            <w:tcW w:w="1029" w:type="dxa"/>
          </w:tcPr>
          <w:p w14:paraId="106DA4C3" w14:textId="77777777" w:rsidR="00CF0E2D" w:rsidRPr="00424DA4" w:rsidRDefault="00CF0E2D" w:rsidP="00A60D4B">
            <w:pPr>
              <w:pStyle w:val="InitFigR"/>
            </w:pPr>
            <w:r>
              <w:t>265</w:t>
            </w:r>
          </w:p>
        </w:tc>
        <w:tc>
          <w:tcPr>
            <w:tcW w:w="1029" w:type="dxa"/>
          </w:tcPr>
          <w:p w14:paraId="59569525" w14:textId="77777777" w:rsidR="00CF0E2D" w:rsidRPr="00424DA4" w:rsidRDefault="00CF0E2D" w:rsidP="00A60D4B">
            <w:pPr>
              <w:pStyle w:val="InitFigBR"/>
            </w:pPr>
            <w:r>
              <w:t>514</w:t>
            </w:r>
          </w:p>
        </w:tc>
      </w:tr>
      <w:tr w:rsidR="00CF0E2D" w:rsidRPr="00750793" w14:paraId="79C33B08" w14:textId="77777777" w:rsidTr="00A60D4B">
        <w:trPr>
          <w:cantSplit/>
          <w:trHeight w:val="107"/>
          <w:jc w:val="center"/>
        </w:trPr>
        <w:tc>
          <w:tcPr>
            <w:tcW w:w="3652" w:type="dxa"/>
            <w:tcBorders>
              <w:top w:val="single" w:sz="4" w:space="0" w:color="auto"/>
              <w:bottom w:val="single" w:sz="4" w:space="0" w:color="auto"/>
            </w:tcBorders>
          </w:tcPr>
          <w:p w14:paraId="69611713" w14:textId="4069FEDC" w:rsidR="00CF0E2D"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4CBF1D8D" w14:textId="77777777" w:rsidR="00CF0E2D" w:rsidRPr="00424DA4" w:rsidRDefault="00CF0E2D" w:rsidP="00A60D4B">
            <w:pPr>
              <w:pStyle w:val="InitFigRBold"/>
            </w:pPr>
            <w:r>
              <w:t>186</w:t>
            </w:r>
          </w:p>
        </w:tc>
        <w:tc>
          <w:tcPr>
            <w:tcW w:w="1041" w:type="dxa"/>
            <w:tcBorders>
              <w:top w:val="single" w:sz="4" w:space="0" w:color="auto"/>
              <w:bottom w:val="single" w:sz="4" w:space="0" w:color="auto"/>
            </w:tcBorders>
          </w:tcPr>
          <w:p w14:paraId="5ADD8868" w14:textId="77777777" w:rsidR="00CF0E2D" w:rsidRPr="00424DA4" w:rsidRDefault="00CF0E2D" w:rsidP="00A60D4B">
            <w:pPr>
              <w:pStyle w:val="InitFigRBold"/>
            </w:pPr>
            <w:r>
              <w:t>218</w:t>
            </w:r>
          </w:p>
        </w:tc>
        <w:tc>
          <w:tcPr>
            <w:tcW w:w="1029" w:type="dxa"/>
            <w:tcBorders>
              <w:top w:val="single" w:sz="4" w:space="0" w:color="auto"/>
              <w:bottom w:val="single" w:sz="4" w:space="0" w:color="auto"/>
            </w:tcBorders>
          </w:tcPr>
          <w:p w14:paraId="7FC6E3FB" w14:textId="77777777" w:rsidR="00CF0E2D" w:rsidRPr="00424DA4" w:rsidRDefault="00CF0E2D" w:rsidP="00A60D4B">
            <w:pPr>
              <w:pStyle w:val="InitFigRBold"/>
            </w:pPr>
            <w:r>
              <w:t>249</w:t>
            </w:r>
          </w:p>
        </w:tc>
        <w:tc>
          <w:tcPr>
            <w:tcW w:w="1029" w:type="dxa"/>
            <w:tcBorders>
              <w:top w:val="single" w:sz="4" w:space="0" w:color="auto"/>
              <w:bottom w:val="single" w:sz="4" w:space="0" w:color="auto"/>
            </w:tcBorders>
          </w:tcPr>
          <w:p w14:paraId="0C250B19" w14:textId="77777777" w:rsidR="00CF0E2D" w:rsidRPr="00424DA4" w:rsidRDefault="00CF0E2D" w:rsidP="00A60D4B">
            <w:pPr>
              <w:pStyle w:val="InitFigRBold"/>
            </w:pPr>
            <w:r>
              <w:t>265</w:t>
            </w:r>
          </w:p>
        </w:tc>
        <w:tc>
          <w:tcPr>
            <w:tcW w:w="1029" w:type="dxa"/>
            <w:tcBorders>
              <w:top w:val="single" w:sz="4" w:space="0" w:color="auto"/>
              <w:bottom w:val="single" w:sz="4" w:space="0" w:color="auto"/>
            </w:tcBorders>
          </w:tcPr>
          <w:p w14:paraId="04277BC1" w14:textId="77777777" w:rsidR="00CF0E2D" w:rsidRPr="00424DA4" w:rsidRDefault="00CF0E2D" w:rsidP="00A60D4B">
            <w:pPr>
              <w:pStyle w:val="InitFigRBold"/>
            </w:pPr>
            <w:r>
              <w:t>918</w:t>
            </w:r>
          </w:p>
        </w:tc>
      </w:tr>
    </w:tbl>
    <w:p w14:paraId="51BC8A48" w14:textId="77777777" w:rsidR="00CF0E2D" w:rsidRPr="00982C86" w:rsidRDefault="00CF0E2D" w:rsidP="00CF0E2D">
      <w:pPr>
        <w:pStyle w:val="Bbodytext"/>
        <w:rPr>
          <w:rFonts w:ascii="Calibri" w:eastAsia="Times New Roman" w:hAnsi="Calibri" w:cs="Times New Roman"/>
          <w:szCs w:val="20"/>
        </w:rPr>
      </w:pPr>
      <w:r w:rsidRPr="00982C86">
        <w:t>The Government will provide funding to support t</w:t>
      </w:r>
      <w:r w:rsidRPr="00982C86">
        <w:rPr>
          <w:rFonts w:ascii="Calibri" w:eastAsia="Times New Roman" w:hAnsi="Calibri" w:cs="Times New Roman"/>
          <w:szCs w:val="20"/>
        </w:rPr>
        <w:t xml:space="preserve">he implementation and administration of the </w:t>
      </w:r>
      <w:r w:rsidRPr="00F92BDB">
        <w:rPr>
          <w:rFonts w:ascii="Calibri" w:eastAsia="Times New Roman" w:hAnsi="Calibri" w:cs="Times New Roman"/>
          <w:i/>
          <w:iCs/>
          <w:szCs w:val="20"/>
        </w:rPr>
        <w:t>Electoral Amendment Act 2020</w:t>
      </w:r>
      <w:r w:rsidRPr="00982C86">
        <w:rPr>
          <w:rFonts w:ascii="Calibri" w:eastAsia="Times New Roman" w:hAnsi="Calibri" w:cs="Times New Roman"/>
          <w:szCs w:val="20"/>
        </w:rPr>
        <w:t xml:space="preserve"> with additional resources for Elections ACT including specialised external investigative resources.   </w:t>
      </w:r>
    </w:p>
    <w:p w14:paraId="4911C70B" w14:textId="77777777" w:rsidR="00CF0E2D" w:rsidRDefault="00CF0E2D" w:rsidP="00CF0E2D">
      <w:pPr>
        <w:pStyle w:val="Bbodytext"/>
      </w:pPr>
      <w:r w:rsidRPr="00982C86">
        <w:t>This initiative contributes to the wellbeing domain of Governance and institutions.</w:t>
      </w:r>
    </w:p>
    <w:p w14:paraId="4A0DD77F" w14:textId="77777777" w:rsidR="00CF0E2D" w:rsidRDefault="00CF0E2D" w:rsidP="00CF0E2D"/>
    <w:p w14:paraId="10110F90" w14:textId="77777777" w:rsidR="00CF0E2D" w:rsidRDefault="00CF0E2D" w:rsidP="00CF0E2D">
      <w:pPr>
        <w:rPr>
          <w:sz w:val="24"/>
        </w:rPr>
      </w:pPr>
      <w:r>
        <w:br w:type="page"/>
      </w:r>
    </w:p>
    <w:p w14:paraId="0B3BF20B" w14:textId="77777777" w:rsidR="00CF0E2D" w:rsidRDefault="00CF0E2D" w:rsidP="00A60D4B">
      <w:pPr>
        <w:pStyle w:val="Heading3"/>
      </w:pPr>
      <w:r>
        <w:lastRenderedPageBreak/>
        <w:t>CHIEF MINISTER, TREASURY AND ECONOMIC DEVELOPMENT DIRECTORATE</w:t>
      </w:r>
      <w:r>
        <w:rPr>
          <w:b w:val="0"/>
          <w:noProof/>
        </w:rPr>
        <w:drawing>
          <wp:anchor distT="0" distB="0" distL="114300" distR="114300" simplePos="0" relativeHeight="251720704" behindDoc="0" locked="1" layoutInCell="1" allowOverlap="1" wp14:anchorId="76C5153B" wp14:editId="01CC8228">
            <wp:simplePos x="0" y="0"/>
            <wp:positionH relativeFrom="margin">
              <wp:posOffset>4268470</wp:posOffset>
            </wp:positionH>
            <wp:positionV relativeFrom="paragraph">
              <wp:posOffset>801370</wp:posOffset>
            </wp:positionV>
            <wp:extent cx="1421765" cy="503555"/>
            <wp:effectExtent l="0" t="0" r="6985" b="0"/>
            <wp:wrapSquare wrapText="bothSides"/>
            <wp:docPr id="233" name="Picture 233" descr="Icon representing the wellbeing domain of Governance and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con representing the wellbeing domain of Governance and institutions"/>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21765" cy="503555"/>
                    </a:xfrm>
                    <a:prstGeom prst="rect">
                      <a:avLst/>
                    </a:prstGeom>
                  </pic:spPr>
                </pic:pic>
              </a:graphicData>
            </a:graphic>
            <wp14:sizeRelH relativeFrom="margin">
              <wp14:pctWidth>0</wp14:pctWidth>
            </wp14:sizeRelH>
            <wp14:sizeRelV relativeFrom="margin">
              <wp14:pctHeight>0</wp14:pctHeight>
            </wp14:sizeRelV>
          </wp:anchor>
        </w:drawing>
      </w:r>
    </w:p>
    <w:p w14:paraId="15C136E3" w14:textId="77777777" w:rsidR="00CF0E2D" w:rsidRDefault="00CF0E2D">
      <w:pPr>
        <w:pStyle w:val="Heading4"/>
      </w:pPr>
    </w:p>
    <w:p w14:paraId="3063605B" w14:textId="77777777" w:rsidR="00CF0E2D" w:rsidRPr="009315FD" w:rsidRDefault="00CF0E2D">
      <w:pPr>
        <w:pStyle w:val="Heading4"/>
      </w:pPr>
      <w:r w:rsidRPr="00171A56">
        <w:t xml:space="preserve">ACT Government </w:t>
      </w:r>
      <w:r>
        <w:t>o</w:t>
      </w:r>
      <w:r w:rsidRPr="00171A56">
        <w:t xml:space="preserve">ffice </w:t>
      </w:r>
      <w:r>
        <w:t>a</w:t>
      </w:r>
      <w:r w:rsidRPr="00171A56">
        <w:t xml:space="preserve">ccommodation </w:t>
      </w:r>
      <w:r>
        <w:t>c</w:t>
      </w:r>
      <w:r w:rsidRPr="00171A56">
        <w:t xml:space="preserve">onsolidation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34323" w14:paraId="401AF41F" w14:textId="77777777" w:rsidTr="00A60D4B">
        <w:trPr>
          <w:cantSplit/>
          <w:jc w:val="center"/>
        </w:trPr>
        <w:tc>
          <w:tcPr>
            <w:tcW w:w="3652" w:type="dxa"/>
            <w:tcBorders>
              <w:top w:val="single" w:sz="4" w:space="0" w:color="auto"/>
              <w:bottom w:val="single" w:sz="4" w:space="0" w:color="auto"/>
            </w:tcBorders>
          </w:tcPr>
          <w:p w14:paraId="6F745E3E" w14:textId="77777777" w:rsidR="00CF0E2D" w:rsidRPr="00934323" w:rsidRDefault="00CF0E2D" w:rsidP="00A60D4B">
            <w:pPr>
              <w:pStyle w:val="EmptyCell0"/>
            </w:pPr>
            <w:r w:rsidRPr="00934323">
              <w:t>Empty Cell</w:t>
            </w:r>
          </w:p>
        </w:tc>
        <w:tc>
          <w:tcPr>
            <w:tcW w:w="1179" w:type="dxa"/>
            <w:tcBorders>
              <w:top w:val="single" w:sz="4" w:space="0" w:color="auto"/>
              <w:bottom w:val="single" w:sz="4" w:space="0" w:color="auto"/>
            </w:tcBorders>
          </w:tcPr>
          <w:p w14:paraId="5E5072E6" w14:textId="77777777" w:rsidR="00CF0E2D" w:rsidRPr="005F182D" w:rsidRDefault="00CF0E2D" w:rsidP="00A60D4B">
            <w:pPr>
              <w:pStyle w:val="InitFigR"/>
              <w:rPr>
                <w:b/>
                <w:bCs/>
              </w:rPr>
            </w:pPr>
            <w:r w:rsidRPr="005F182D">
              <w:rPr>
                <w:b/>
                <w:bCs/>
              </w:rPr>
              <w:t>2021-22</w:t>
            </w:r>
          </w:p>
          <w:p w14:paraId="4F54BD7E" w14:textId="77777777" w:rsidR="00CF0E2D" w:rsidRPr="005F182D" w:rsidRDefault="00CF0E2D" w:rsidP="00A60D4B">
            <w:pPr>
              <w:pStyle w:val="InitFigR"/>
              <w:rPr>
                <w:b/>
                <w:bCs/>
              </w:rPr>
            </w:pPr>
            <w:r w:rsidRPr="005F182D">
              <w:rPr>
                <w:b/>
                <w:bCs/>
              </w:rPr>
              <w:t>$’000</w:t>
            </w:r>
          </w:p>
        </w:tc>
        <w:tc>
          <w:tcPr>
            <w:tcW w:w="1041" w:type="dxa"/>
            <w:tcBorders>
              <w:top w:val="single" w:sz="4" w:space="0" w:color="auto"/>
              <w:bottom w:val="single" w:sz="4" w:space="0" w:color="auto"/>
            </w:tcBorders>
          </w:tcPr>
          <w:p w14:paraId="00F65FBF" w14:textId="77777777" w:rsidR="00CF0E2D" w:rsidRPr="005F182D" w:rsidRDefault="00CF0E2D" w:rsidP="00A60D4B">
            <w:pPr>
              <w:pStyle w:val="InitFigR"/>
              <w:rPr>
                <w:b/>
                <w:bCs/>
              </w:rPr>
            </w:pPr>
            <w:r w:rsidRPr="005F182D">
              <w:rPr>
                <w:b/>
                <w:bCs/>
              </w:rPr>
              <w:t>2022-23</w:t>
            </w:r>
          </w:p>
          <w:p w14:paraId="06C3D51E" w14:textId="77777777" w:rsidR="00CF0E2D" w:rsidRPr="005F182D" w:rsidRDefault="00CF0E2D" w:rsidP="00A60D4B">
            <w:pPr>
              <w:pStyle w:val="InitFigR"/>
              <w:rPr>
                <w:b/>
                <w:bCs/>
              </w:rPr>
            </w:pPr>
            <w:r w:rsidRPr="005F182D">
              <w:rPr>
                <w:b/>
                <w:bCs/>
              </w:rPr>
              <w:t>$’000</w:t>
            </w:r>
          </w:p>
        </w:tc>
        <w:tc>
          <w:tcPr>
            <w:tcW w:w="1029" w:type="dxa"/>
            <w:tcBorders>
              <w:top w:val="single" w:sz="4" w:space="0" w:color="auto"/>
              <w:bottom w:val="single" w:sz="4" w:space="0" w:color="auto"/>
            </w:tcBorders>
          </w:tcPr>
          <w:p w14:paraId="21D39241" w14:textId="77777777" w:rsidR="00CF0E2D" w:rsidRPr="005F182D" w:rsidRDefault="00CF0E2D" w:rsidP="00A60D4B">
            <w:pPr>
              <w:pStyle w:val="InitFigR"/>
              <w:rPr>
                <w:b/>
                <w:bCs/>
              </w:rPr>
            </w:pPr>
            <w:r w:rsidRPr="005F182D">
              <w:rPr>
                <w:b/>
                <w:bCs/>
              </w:rPr>
              <w:t>2023-24</w:t>
            </w:r>
          </w:p>
          <w:p w14:paraId="4C9E88FD" w14:textId="77777777" w:rsidR="00CF0E2D" w:rsidRPr="005F182D" w:rsidRDefault="00CF0E2D" w:rsidP="00A60D4B">
            <w:pPr>
              <w:pStyle w:val="InitFigR"/>
              <w:rPr>
                <w:b/>
                <w:bCs/>
              </w:rPr>
            </w:pPr>
            <w:r w:rsidRPr="005F182D">
              <w:rPr>
                <w:b/>
                <w:bCs/>
              </w:rPr>
              <w:t>$’000</w:t>
            </w:r>
          </w:p>
        </w:tc>
        <w:tc>
          <w:tcPr>
            <w:tcW w:w="1029" w:type="dxa"/>
            <w:tcBorders>
              <w:top w:val="single" w:sz="4" w:space="0" w:color="auto"/>
              <w:bottom w:val="single" w:sz="4" w:space="0" w:color="auto"/>
            </w:tcBorders>
          </w:tcPr>
          <w:p w14:paraId="78FA2B09" w14:textId="77777777" w:rsidR="00CF0E2D" w:rsidRPr="005F182D" w:rsidRDefault="00CF0E2D" w:rsidP="00A60D4B">
            <w:pPr>
              <w:pStyle w:val="InitFigR"/>
              <w:rPr>
                <w:b/>
                <w:bCs/>
              </w:rPr>
            </w:pPr>
            <w:r w:rsidRPr="005F182D">
              <w:rPr>
                <w:b/>
                <w:bCs/>
              </w:rPr>
              <w:t>2024-25</w:t>
            </w:r>
          </w:p>
          <w:p w14:paraId="3051E79D" w14:textId="77777777" w:rsidR="00CF0E2D" w:rsidRPr="005F182D" w:rsidRDefault="00CF0E2D" w:rsidP="00A60D4B">
            <w:pPr>
              <w:pStyle w:val="InitFigR"/>
              <w:rPr>
                <w:b/>
                <w:bCs/>
              </w:rPr>
            </w:pPr>
            <w:r w:rsidRPr="005F182D">
              <w:rPr>
                <w:b/>
                <w:bCs/>
              </w:rPr>
              <w:t>$’000</w:t>
            </w:r>
          </w:p>
        </w:tc>
        <w:tc>
          <w:tcPr>
            <w:tcW w:w="1029" w:type="dxa"/>
            <w:tcBorders>
              <w:top w:val="single" w:sz="4" w:space="0" w:color="auto"/>
              <w:bottom w:val="single" w:sz="4" w:space="0" w:color="auto"/>
            </w:tcBorders>
          </w:tcPr>
          <w:p w14:paraId="512F48E0" w14:textId="77777777" w:rsidR="00CF0E2D" w:rsidRPr="00934323" w:rsidRDefault="00CF0E2D" w:rsidP="00A60D4B">
            <w:pPr>
              <w:pStyle w:val="InitFigRBold"/>
            </w:pPr>
            <w:r w:rsidRPr="00934323">
              <w:t>Total</w:t>
            </w:r>
          </w:p>
          <w:p w14:paraId="1E0BA739" w14:textId="77777777" w:rsidR="00CF0E2D" w:rsidRPr="00934323" w:rsidRDefault="00CF0E2D" w:rsidP="00A60D4B">
            <w:pPr>
              <w:pStyle w:val="InitFigBR"/>
            </w:pPr>
            <w:r w:rsidRPr="00934323">
              <w:t>$’000</w:t>
            </w:r>
          </w:p>
        </w:tc>
      </w:tr>
      <w:tr w:rsidR="00CF0E2D" w:rsidRPr="00934323" w14:paraId="578B6E09" w14:textId="77777777" w:rsidTr="00A60D4B">
        <w:trPr>
          <w:cantSplit/>
          <w:jc w:val="center"/>
        </w:trPr>
        <w:tc>
          <w:tcPr>
            <w:tcW w:w="3652" w:type="dxa"/>
            <w:tcBorders>
              <w:top w:val="single" w:sz="4" w:space="0" w:color="auto"/>
            </w:tcBorders>
          </w:tcPr>
          <w:p w14:paraId="65142EDD" w14:textId="77777777" w:rsidR="00CF0E2D" w:rsidRPr="00934323" w:rsidRDefault="00CF0E2D" w:rsidP="00A60D4B">
            <w:pPr>
              <w:pStyle w:val="InitTextL"/>
              <w:ind w:left="321" w:hanging="321"/>
            </w:pPr>
            <w:r w:rsidRPr="00934323">
              <w:t>Capital</w:t>
            </w:r>
          </w:p>
        </w:tc>
        <w:tc>
          <w:tcPr>
            <w:tcW w:w="1179" w:type="dxa"/>
            <w:tcBorders>
              <w:top w:val="single" w:sz="4" w:space="0" w:color="auto"/>
            </w:tcBorders>
          </w:tcPr>
          <w:p w14:paraId="5256B9D0" w14:textId="77777777" w:rsidR="00CF0E2D" w:rsidRPr="00934323" w:rsidRDefault="00CF0E2D" w:rsidP="00A60D4B">
            <w:pPr>
              <w:pStyle w:val="InitFigR"/>
            </w:pPr>
            <w:r>
              <w:t>12,213</w:t>
            </w:r>
          </w:p>
        </w:tc>
        <w:tc>
          <w:tcPr>
            <w:tcW w:w="1041" w:type="dxa"/>
            <w:tcBorders>
              <w:top w:val="single" w:sz="4" w:space="0" w:color="auto"/>
            </w:tcBorders>
          </w:tcPr>
          <w:p w14:paraId="64233F1F" w14:textId="77777777" w:rsidR="00CF0E2D" w:rsidRPr="00934323" w:rsidRDefault="00CF0E2D" w:rsidP="00A60D4B">
            <w:pPr>
              <w:pStyle w:val="InitFigR"/>
            </w:pPr>
            <w:r>
              <w:t>0</w:t>
            </w:r>
          </w:p>
        </w:tc>
        <w:tc>
          <w:tcPr>
            <w:tcW w:w="1029" w:type="dxa"/>
            <w:tcBorders>
              <w:top w:val="single" w:sz="4" w:space="0" w:color="auto"/>
            </w:tcBorders>
          </w:tcPr>
          <w:p w14:paraId="37396AF1" w14:textId="77777777" w:rsidR="00CF0E2D" w:rsidRPr="00934323" w:rsidRDefault="00CF0E2D" w:rsidP="00A60D4B">
            <w:pPr>
              <w:pStyle w:val="InitFigR"/>
            </w:pPr>
            <w:r>
              <w:t>0</w:t>
            </w:r>
          </w:p>
        </w:tc>
        <w:tc>
          <w:tcPr>
            <w:tcW w:w="1029" w:type="dxa"/>
            <w:tcBorders>
              <w:top w:val="single" w:sz="4" w:space="0" w:color="auto"/>
            </w:tcBorders>
          </w:tcPr>
          <w:p w14:paraId="30C881DC" w14:textId="77777777" w:rsidR="00CF0E2D" w:rsidRPr="00934323" w:rsidRDefault="00CF0E2D" w:rsidP="00A60D4B">
            <w:pPr>
              <w:pStyle w:val="InitFigR"/>
            </w:pPr>
            <w:r>
              <w:t>0</w:t>
            </w:r>
          </w:p>
        </w:tc>
        <w:tc>
          <w:tcPr>
            <w:tcW w:w="1029" w:type="dxa"/>
            <w:tcBorders>
              <w:top w:val="single" w:sz="4" w:space="0" w:color="auto"/>
            </w:tcBorders>
          </w:tcPr>
          <w:p w14:paraId="172A9464" w14:textId="77777777" w:rsidR="00CF0E2D" w:rsidRPr="00934323" w:rsidRDefault="00CF0E2D" w:rsidP="00A60D4B">
            <w:pPr>
              <w:pStyle w:val="InitFigRBold"/>
              <w:rPr>
                <w:bCs/>
              </w:rPr>
            </w:pPr>
            <w:r>
              <w:rPr>
                <w:bCs/>
              </w:rPr>
              <w:t>12,213</w:t>
            </w:r>
          </w:p>
        </w:tc>
      </w:tr>
      <w:tr w:rsidR="00CF0E2D" w:rsidRPr="00934323" w14:paraId="62663C39" w14:textId="77777777" w:rsidTr="00A60D4B">
        <w:trPr>
          <w:cantSplit/>
          <w:jc w:val="center"/>
        </w:trPr>
        <w:tc>
          <w:tcPr>
            <w:tcW w:w="3652" w:type="dxa"/>
          </w:tcPr>
          <w:p w14:paraId="1B092178" w14:textId="77777777" w:rsidR="00CF0E2D" w:rsidRPr="00934323" w:rsidRDefault="00CF0E2D" w:rsidP="00A60D4B">
            <w:pPr>
              <w:pStyle w:val="InitTextL"/>
              <w:ind w:left="321" w:hanging="321"/>
            </w:pPr>
            <w:r>
              <w:t xml:space="preserve">Offset – Capital </w:t>
            </w:r>
          </w:p>
        </w:tc>
        <w:tc>
          <w:tcPr>
            <w:tcW w:w="1179" w:type="dxa"/>
          </w:tcPr>
          <w:p w14:paraId="4855B609" w14:textId="77777777" w:rsidR="00CF0E2D" w:rsidRPr="00934323" w:rsidRDefault="00CF0E2D" w:rsidP="00A60D4B">
            <w:pPr>
              <w:pStyle w:val="InitFigR"/>
            </w:pPr>
            <w:r>
              <w:t>-8,289</w:t>
            </w:r>
          </w:p>
        </w:tc>
        <w:tc>
          <w:tcPr>
            <w:tcW w:w="1041" w:type="dxa"/>
          </w:tcPr>
          <w:p w14:paraId="1B354F03" w14:textId="77777777" w:rsidR="00CF0E2D" w:rsidRPr="00934323" w:rsidRDefault="00CF0E2D" w:rsidP="00A60D4B">
            <w:pPr>
              <w:pStyle w:val="InitFigR"/>
            </w:pPr>
            <w:r>
              <w:t>0</w:t>
            </w:r>
          </w:p>
        </w:tc>
        <w:tc>
          <w:tcPr>
            <w:tcW w:w="1029" w:type="dxa"/>
          </w:tcPr>
          <w:p w14:paraId="6724F476" w14:textId="77777777" w:rsidR="00CF0E2D" w:rsidRPr="00934323" w:rsidRDefault="00CF0E2D" w:rsidP="00A60D4B">
            <w:pPr>
              <w:pStyle w:val="InitFigR"/>
            </w:pPr>
            <w:r>
              <w:t>0</w:t>
            </w:r>
          </w:p>
        </w:tc>
        <w:tc>
          <w:tcPr>
            <w:tcW w:w="1029" w:type="dxa"/>
          </w:tcPr>
          <w:p w14:paraId="0FC352EC" w14:textId="77777777" w:rsidR="00CF0E2D" w:rsidRPr="00934323" w:rsidRDefault="00CF0E2D" w:rsidP="00A60D4B">
            <w:pPr>
              <w:pStyle w:val="InitFigR"/>
            </w:pPr>
            <w:r>
              <w:t>0</w:t>
            </w:r>
          </w:p>
        </w:tc>
        <w:tc>
          <w:tcPr>
            <w:tcW w:w="1029" w:type="dxa"/>
          </w:tcPr>
          <w:p w14:paraId="5350EB78" w14:textId="77777777" w:rsidR="00CF0E2D" w:rsidRPr="00934323" w:rsidRDefault="00CF0E2D" w:rsidP="00A60D4B">
            <w:pPr>
              <w:pStyle w:val="InitFigRBold"/>
              <w:rPr>
                <w:bCs/>
              </w:rPr>
            </w:pPr>
            <w:r>
              <w:rPr>
                <w:bCs/>
              </w:rPr>
              <w:t>-8,289</w:t>
            </w:r>
          </w:p>
        </w:tc>
      </w:tr>
      <w:tr w:rsidR="00CF0E2D" w:rsidRPr="00934323" w14:paraId="7364BB41" w14:textId="77777777" w:rsidTr="00A60D4B">
        <w:trPr>
          <w:cantSplit/>
          <w:jc w:val="center"/>
        </w:trPr>
        <w:tc>
          <w:tcPr>
            <w:tcW w:w="3652" w:type="dxa"/>
            <w:tcBorders>
              <w:top w:val="single" w:sz="4" w:space="0" w:color="auto"/>
              <w:bottom w:val="single" w:sz="4" w:space="0" w:color="auto"/>
            </w:tcBorders>
          </w:tcPr>
          <w:p w14:paraId="07214A8D" w14:textId="1F50F178" w:rsidR="00CF0E2D" w:rsidRPr="00934323" w:rsidRDefault="00F57411" w:rsidP="00A60D4B">
            <w:pPr>
              <w:pStyle w:val="InitTextL"/>
              <w:ind w:left="321" w:hanging="321"/>
              <w:rPr>
                <w:b/>
                <w:bCs/>
              </w:rPr>
            </w:pPr>
            <w:r>
              <w:rPr>
                <w:b/>
                <w:bCs/>
              </w:rPr>
              <w:t>Net capital</w:t>
            </w:r>
          </w:p>
        </w:tc>
        <w:tc>
          <w:tcPr>
            <w:tcW w:w="1179" w:type="dxa"/>
            <w:tcBorders>
              <w:top w:val="single" w:sz="4" w:space="0" w:color="auto"/>
              <w:bottom w:val="single" w:sz="4" w:space="0" w:color="auto"/>
            </w:tcBorders>
          </w:tcPr>
          <w:p w14:paraId="2335AFA8" w14:textId="77777777" w:rsidR="00CF0E2D" w:rsidRPr="00934323" w:rsidRDefault="00CF0E2D" w:rsidP="00A60D4B">
            <w:pPr>
              <w:pStyle w:val="InitFigR"/>
              <w:rPr>
                <w:b/>
                <w:bCs/>
              </w:rPr>
            </w:pPr>
            <w:r>
              <w:rPr>
                <w:b/>
                <w:bCs/>
              </w:rPr>
              <w:t>3,924</w:t>
            </w:r>
          </w:p>
        </w:tc>
        <w:tc>
          <w:tcPr>
            <w:tcW w:w="1041" w:type="dxa"/>
            <w:tcBorders>
              <w:top w:val="single" w:sz="4" w:space="0" w:color="auto"/>
              <w:bottom w:val="single" w:sz="4" w:space="0" w:color="auto"/>
            </w:tcBorders>
          </w:tcPr>
          <w:p w14:paraId="5DA08EDB" w14:textId="77777777" w:rsidR="00CF0E2D" w:rsidRPr="00934323" w:rsidRDefault="00CF0E2D" w:rsidP="00A60D4B">
            <w:pPr>
              <w:pStyle w:val="InitFigR"/>
              <w:rPr>
                <w:b/>
                <w:bCs/>
              </w:rPr>
            </w:pPr>
            <w:r>
              <w:rPr>
                <w:b/>
                <w:bCs/>
              </w:rPr>
              <w:t>0</w:t>
            </w:r>
          </w:p>
        </w:tc>
        <w:tc>
          <w:tcPr>
            <w:tcW w:w="1029" w:type="dxa"/>
            <w:tcBorders>
              <w:top w:val="single" w:sz="4" w:space="0" w:color="auto"/>
              <w:bottom w:val="single" w:sz="4" w:space="0" w:color="auto"/>
            </w:tcBorders>
          </w:tcPr>
          <w:p w14:paraId="739544B1" w14:textId="77777777" w:rsidR="00CF0E2D" w:rsidRPr="00934323" w:rsidRDefault="00CF0E2D" w:rsidP="00A60D4B">
            <w:pPr>
              <w:pStyle w:val="InitFigR"/>
              <w:rPr>
                <w:b/>
                <w:bCs/>
              </w:rPr>
            </w:pPr>
            <w:r>
              <w:rPr>
                <w:b/>
                <w:bCs/>
              </w:rPr>
              <w:t>0</w:t>
            </w:r>
          </w:p>
        </w:tc>
        <w:tc>
          <w:tcPr>
            <w:tcW w:w="1029" w:type="dxa"/>
            <w:tcBorders>
              <w:top w:val="single" w:sz="4" w:space="0" w:color="auto"/>
              <w:bottom w:val="single" w:sz="4" w:space="0" w:color="auto"/>
            </w:tcBorders>
          </w:tcPr>
          <w:p w14:paraId="40793209" w14:textId="77777777" w:rsidR="00CF0E2D" w:rsidRPr="00934323" w:rsidRDefault="00CF0E2D" w:rsidP="00A60D4B">
            <w:pPr>
              <w:pStyle w:val="InitFigR"/>
              <w:rPr>
                <w:b/>
                <w:bCs/>
              </w:rPr>
            </w:pPr>
            <w:r>
              <w:rPr>
                <w:b/>
                <w:bCs/>
              </w:rPr>
              <w:t>0</w:t>
            </w:r>
          </w:p>
        </w:tc>
        <w:tc>
          <w:tcPr>
            <w:tcW w:w="1029" w:type="dxa"/>
            <w:tcBorders>
              <w:top w:val="single" w:sz="4" w:space="0" w:color="auto"/>
              <w:bottom w:val="single" w:sz="4" w:space="0" w:color="auto"/>
            </w:tcBorders>
          </w:tcPr>
          <w:p w14:paraId="0481674E" w14:textId="77777777" w:rsidR="00CF0E2D" w:rsidRPr="00934323" w:rsidRDefault="00CF0E2D" w:rsidP="00A60D4B">
            <w:pPr>
              <w:pStyle w:val="InitFigRBold"/>
              <w:rPr>
                <w:bCs/>
              </w:rPr>
            </w:pPr>
            <w:r>
              <w:rPr>
                <w:bCs/>
              </w:rPr>
              <w:t>3,924</w:t>
            </w:r>
          </w:p>
        </w:tc>
      </w:tr>
      <w:tr w:rsidR="00CF0E2D" w:rsidRPr="00934323" w14:paraId="6D1321D0" w14:textId="77777777" w:rsidTr="00A60D4B">
        <w:trPr>
          <w:cantSplit/>
          <w:jc w:val="center"/>
        </w:trPr>
        <w:tc>
          <w:tcPr>
            <w:tcW w:w="3652" w:type="dxa"/>
            <w:tcBorders>
              <w:top w:val="single" w:sz="4" w:space="0" w:color="auto"/>
            </w:tcBorders>
          </w:tcPr>
          <w:p w14:paraId="7A7094FC" w14:textId="77777777" w:rsidR="00CF0E2D" w:rsidRPr="00934323" w:rsidRDefault="00CF0E2D" w:rsidP="00A60D4B">
            <w:pPr>
              <w:pStyle w:val="InitTextL"/>
              <w:ind w:left="321" w:hanging="321"/>
              <w:rPr>
                <w:b/>
                <w:bCs/>
              </w:rPr>
            </w:pPr>
            <w:r w:rsidRPr="00934323">
              <w:t>Depreciation</w:t>
            </w:r>
          </w:p>
        </w:tc>
        <w:tc>
          <w:tcPr>
            <w:tcW w:w="1179" w:type="dxa"/>
            <w:tcBorders>
              <w:top w:val="single" w:sz="4" w:space="0" w:color="auto"/>
            </w:tcBorders>
          </w:tcPr>
          <w:p w14:paraId="4C1088CC" w14:textId="77777777" w:rsidR="00CF0E2D" w:rsidRPr="00934323" w:rsidRDefault="00CF0E2D" w:rsidP="00A60D4B">
            <w:pPr>
              <w:pStyle w:val="InitFigR"/>
            </w:pPr>
            <w:r>
              <w:t>195</w:t>
            </w:r>
          </w:p>
        </w:tc>
        <w:tc>
          <w:tcPr>
            <w:tcW w:w="1041" w:type="dxa"/>
            <w:tcBorders>
              <w:top w:val="single" w:sz="4" w:space="0" w:color="auto"/>
            </w:tcBorders>
          </w:tcPr>
          <w:p w14:paraId="315CE0B0" w14:textId="77777777" w:rsidR="00CF0E2D" w:rsidRPr="00934323" w:rsidRDefault="00CF0E2D" w:rsidP="00A60D4B">
            <w:pPr>
              <w:pStyle w:val="InitFigR"/>
            </w:pPr>
            <w:r>
              <w:t>728</w:t>
            </w:r>
          </w:p>
        </w:tc>
        <w:tc>
          <w:tcPr>
            <w:tcW w:w="1029" w:type="dxa"/>
            <w:tcBorders>
              <w:top w:val="single" w:sz="4" w:space="0" w:color="auto"/>
            </w:tcBorders>
          </w:tcPr>
          <w:p w14:paraId="53248CF7" w14:textId="77777777" w:rsidR="00CF0E2D" w:rsidRPr="00934323" w:rsidRDefault="00CF0E2D" w:rsidP="00A60D4B">
            <w:pPr>
              <w:pStyle w:val="InitFigR"/>
            </w:pPr>
            <w:r>
              <w:t>728</w:t>
            </w:r>
          </w:p>
        </w:tc>
        <w:tc>
          <w:tcPr>
            <w:tcW w:w="1029" w:type="dxa"/>
            <w:tcBorders>
              <w:top w:val="single" w:sz="4" w:space="0" w:color="auto"/>
            </w:tcBorders>
          </w:tcPr>
          <w:p w14:paraId="3C40AF15" w14:textId="77777777" w:rsidR="00CF0E2D" w:rsidRPr="00934323" w:rsidRDefault="00CF0E2D" w:rsidP="00A60D4B">
            <w:pPr>
              <w:pStyle w:val="InitFigR"/>
            </w:pPr>
            <w:r>
              <w:t>728</w:t>
            </w:r>
          </w:p>
        </w:tc>
        <w:tc>
          <w:tcPr>
            <w:tcW w:w="1029" w:type="dxa"/>
            <w:tcBorders>
              <w:top w:val="single" w:sz="4" w:space="0" w:color="auto"/>
            </w:tcBorders>
          </w:tcPr>
          <w:p w14:paraId="188979D2" w14:textId="77777777" w:rsidR="00CF0E2D" w:rsidRPr="00934323" w:rsidRDefault="00CF0E2D" w:rsidP="00A60D4B">
            <w:pPr>
              <w:pStyle w:val="InitFigRBold"/>
              <w:rPr>
                <w:bCs/>
              </w:rPr>
            </w:pPr>
            <w:r>
              <w:rPr>
                <w:bCs/>
              </w:rPr>
              <w:t>2,379</w:t>
            </w:r>
          </w:p>
        </w:tc>
      </w:tr>
      <w:tr w:rsidR="00CF0E2D" w:rsidRPr="00934323" w14:paraId="1479CE69" w14:textId="77777777" w:rsidTr="00A60D4B">
        <w:trPr>
          <w:cantSplit/>
          <w:jc w:val="center"/>
        </w:trPr>
        <w:tc>
          <w:tcPr>
            <w:tcW w:w="3652" w:type="dxa"/>
          </w:tcPr>
          <w:p w14:paraId="12050F11" w14:textId="77777777" w:rsidR="00CF0E2D" w:rsidRPr="00934323" w:rsidRDefault="00CF0E2D" w:rsidP="00A60D4B">
            <w:pPr>
              <w:pStyle w:val="InitTextL"/>
              <w:ind w:left="321" w:hanging="321"/>
            </w:pPr>
            <w:r>
              <w:t>Expenses</w:t>
            </w:r>
          </w:p>
        </w:tc>
        <w:tc>
          <w:tcPr>
            <w:tcW w:w="1179" w:type="dxa"/>
          </w:tcPr>
          <w:p w14:paraId="671FC53B" w14:textId="77777777" w:rsidR="00CF0E2D" w:rsidRDefault="00CF0E2D" w:rsidP="00A60D4B">
            <w:pPr>
              <w:pStyle w:val="InitFigR"/>
            </w:pPr>
            <w:r>
              <w:t>3,026</w:t>
            </w:r>
          </w:p>
        </w:tc>
        <w:tc>
          <w:tcPr>
            <w:tcW w:w="1041" w:type="dxa"/>
          </w:tcPr>
          <w:p w14:paraId="48DE6244" w14:textId="77777777" w:rsidR="00CF0E2D" w:rsidRDefault="00CF0E2D" w:rsidP="00A60D4B">
            <w:pPr>
              <w:pStyle w:val="InitFigR"/>
            </w:pPr>
            <w:r>
              <w:t>2,266</w:t>
            </w:r>
          </w:p>
        </w:tc>
        <w:tc>
          <w:tcPr>
            <w:tcW w:w="1029" w:type="dxa"/>
          </w:tcPr>
          <w:p w14:paraId="166CB1E2" w14:textId="77777777" w:rsidR="00CF0E2D" w:rsidRDefault="00CF0E2D" w:rsidP="00A60D4B">
            <w:pPr>
              <w:pStyle w:val="InitFigR"/>
            </w:pPr>
            <w:r>
              <w:t>1,385</w:t>
            </w:r>
          </w:p>
        </w:tc>
        <w:tc>
          <w:tcPr>
            <w:tcW w:w="1029" w:type="dxa"/>
          </w:tcPr>
          <w:p w14:paraId="62F0E325" w14:textId="77777777" w:rsidR="00CF0E2D" w:rsidRDefault="00CF0E2D" w:rsidP="00A60D4B">
            <w:pPr>
              <w:pStyle w:val="InitFigR"/>
            </w:pPr>
            <w:r>
              <w:t>1,432</w:t>
            </w:r>
          </w:p>
        </w:tc>
        <w:tc>
          <w:tcPr>
            <w:tcW w:w="1029" w:type="dxa"/>
          </w:tcPr>
          <w:p w14:paraId="4E46FD8C" w14:textId="77777777" w:rsidR="00CF0E2D" w:rsidRDefault="00CF0E2D" w:rsidP="00A60D4B">
            <w:pPr>
              <w:pStyle w:val="InitFigRBold"/>
              <w:rPr>
                <w:bCs/>
              </w:rPr>
            </w:pPr>
            <w:r>
              <w:rPr>
                <w:bCs/>
              </w:rPr>
              <w:t>8,109</w:t>
            </w:r>
          </w:p>
        </w:tc>
      </w:tr>
      <w:tr w:rsidR="00CF0E2D" w:rsidRPr="00934323" w14:paraId="5D2E4F98" w14:textId="77777777" w:rsidTr="00A60D4B">
        <w:trPr>
          <w:cantSplit/>
          <w:jc w:val="center"/>
        </w:trPr>
        <w:tc>
          <w:tcPr>
            <w:tcW w:w="3652" w:type="dxa"/>
          </w:tcPr>
          <w:p w14:paraId="1FF050DD" w14:textId="77777777" w:rsidR="00CF0E2D" w:rsidRPr="00934323" w:rsidRDefault="00CF0E2D" w:rsidP="00A60D4B">
            <w:pPr>
              <w:pStyle w:val="InitTextL"/>
              <w:ind w:left="321" w:hanging="321"/>
            </w:pPr>
            <w:r>
              <w:t>Offset – Expenses</w:t>
            </w:r>
          </w:p>
        </w:tc>
        <w:tc>
          <w:tcPr>
            <w:tcW w:w="1179" w:type="dxa"/>
          </w:tcPr>
          <w:p w14:paraId="615AE308" w14:textId="77777777" w:rsidR="00CF0E2D" w:rsidRDefault="00CF0E2D" w:rsidP="00A60D4B">
            <w:pPr>
              <w:pStyle w:val="InitFigR"/>
            </w:pPr>
            <w:r>
              <w:t>-2,141</w:t>
            </w:r>
          </w:p>
        </w:tc>
        <w:tc>
          <w:tcPr>
            <w:tcW w:w="1041" w:type="dxa"/>
          </w:tcPr>
          <w:p w14:paraId="76C4A54F" w14:textId="77777777" w:rsidR="00CF0E2D" w:rsidRDefault="00CF0E2D" w:rsidP="00A60D4B">
            <w:pPr>
              <w:pStyle w:val="InitFigR"/>
            </w:pPr>
            <w:r>
              <w:t>0</w:t>
            </w:r>
          </w:p>
        </w:tc>
        <w:tc>
          <w:tcPr>
            <w:tcW w:w="1029" w:type="dxa"/>
          </w:tcPr>
          <w:p w14:paraId="7106CE1E" w14:textId="77777777" w:rsidR="00CF0E2D" w:rsidRDefault="00CF0E2D" w:rsidP="00A60D4B">
            <w:pPr>
              <w:pStyle w:val="InitFigR"/>
            </w:pPr>
            <w:r>
              <w:t>0</w:t>
            </w:r>
          </w:p>
        </w:tc>
        <w:tc>
          <w:tcPr>
            <w:tcW w:w="1029" w:type="dxa"/>
          </w:tcPr>
          <w:p w14:paraId="2D1E5002" w14:textId="77777777" w:rsidR="00CF0E2D" w:rsidRDefault="00CF0E2D" w:rsidP="00A60D4B">
            <w:pPr>
              <w:pStyle w:val="InitFigR"/>
            </w:pPr>
            <w:r>
              <w:t>0</w:t>
            </w:r>
          </w:p>
        </w:tc>
        <w:tc>
          <w:tcPr>
            <w:tcW w:w="1029" w:type="dxa"/>
          </w:tcPr>
          <w:p w14:paraId="7EF020FC" w14:textId="77777777" w:rsidR="00CF0E2D" w:rsidRDefault="00CF0E2D" w:rsidP="00A60D4B">
            <w:pPr>
              <w:pStyle w:val="InitFigRBold"/>
              <w:rPr>
                <w:bCs/>
              </w:rPr>
            </w:pPr>
            <w:r>
              <w:rPr>
                <w:bCs/>
              </w:rPr>
              <w:t>-2,141</w:t>
            </w:r>
          </w:p>
        </w:tc>
      </w:tr>
      <w:tr w:rsidR="00CF0E2D" w:rsidRPr="00934323" w14:paraId="09A9E073" w14:textId="77777777" w:rsidTr="00A60D4B">
        <w:trPr>
          <w:cantSplit/>
          <w:jc w:val="center"/>
        </w:trPr>
        <w:tc>
          <w:tcPr>
            <w:tcW w:w="3652" w:type="dxa"/>
            <w:tcBorders>
              <w:bottom w:val="single" w:sz="4" w:space="0" w:color="auto"/>
            </w:tcBorders>
          </w:tcPr>
          <w:p w14:paraId="54B0515C" w14:textId="77777777" w:rsidR="00CF0E2D" w:rsidRPr="00934323" w:rsidRDefault="00CF0E2D" w:rsidP="00A60D4B">
            <w:pPr>
              <w:pStyle w:val="InitTextL"/>
              <w:ind w:left="321" w:hanging="321"/>
            </w:pPr>
            <w:r>
              <w:t>Offset – Existing provision</w:t>
            </w:r>
          </w:p>
        </w:tc>
        <w:tc>
          <w:tcPr>
            <w:tcW w:w="1179" w:type="dxa"/>
            <w:tcBorders>
              <w:bottom w:val="single" w:sz="4" w:space="0" w:color="auto"/>
            </w:tcBorders>
          </w:tcPr>
          <w:p w14:paraId="0B2E19C8" w14:textId="77777777" w:rsidR="00CF0E2D" w:rsidRDefault="00CF0E2D" w:rsidP="00A60D4B">
            <w:pPr>
              <w:pStyle w:val="InitFigR"/>
            </w:pPr>
            <w:r>
              <w:t>0</w:t>
            </w:r>
          </w:p>
        </w:tc>
        <w:tc>
          <w:tcPr>
            <w:tcW w:w="1041" w:type="dxa"/>
            <w:tcBorders>
              <w:bottom w:val="single" w:sz="4" w:space="0" w:color="auto"/>
            </w:tcBorders>
          </w:tcPr>
          <w:p w14:paraId="029FBB97" w14:textId="77777777" w:rsidR="00CF0E2D" w:rsidRDefault="00CF0E2D" w:rsidP="00A60D4B">
            <w:pPr>
              <w:pStyle w:val="InitFigR"/>
            </w:pPr>
            <w:r>
              <w:t>-93</w:t>
            </w:r>
          </w:p>
        </w:tc>
        <w:tc>
          <w:tcPr>
            <w:tcW w:w="1029" w:type="dxa"/>
            <w:tcBorders>
              <w:bottom w:val="single" w:sz="4" w:space="0" w:color="auto"/>
            </w:tcBorders>
          </w:tcPr>
          <w:p w14:paraId="44EC5098" w14:textId="77777777" w:rsidR="00CF0E2D" w:rsidRDefault="00CF0E2D" w:rsidP="00A60D4B">
            <w:pPr>
              <w:pStyle w:val="InitFigR"/>
            </w:pPr>
            <w:r>
              <w:t>-264</w:t>
            </w:r>
          </w:p>
        </w:tc>
        <w:tc>
          <w:tcPr>
            <w:tcW w:w="1029" w:type="dxa"/>
            <w:tcBorders>
              <w:bottom w:val="single" w:sz="4" w:space="0" w:color="auto"/>
            </w:tcBorders>
            <w:shd w:val="clear" w:color="auto" w:fill="auto"/>
          </w:tcPr>
          <w:p w14:paraId="38DCAEAA" w14:textId="77777777" w:rsidR="00CF0E2D" w:rsidRDefault="00CF0E2D" w:rsidP="00A60D4B">
            <w:pPr>
              <w:pStyle w:val="InitFigR"/>
            </w:pPr>
            <w:r w:rsidRPr="00DC2C9C">
              <w:t>-267</w:t>
            </w:r>
          </w:p>
        </w:tc>
        <w:tc>
          <w:tcPr>
            <w:tcW w:w="1029" w:type="dxa"/>
            <w:tcBorders>
              <w:bottom w:val="single" w:sz="4" w:space="0" w:color="auto"/>
            </w:tcBorders>
          </w:tcPr>
          <w:p w14:paraId="05257944" w14:textId="77777777" w:rsidR="00CF0E2D" w:rsidRDefault="00CF0E2D" w:rsidP="00A60D4B">
            <w:pPr>
              <w:pStyle w:val="InitFigRBold"/>
              <w:rPr>
                <w:bCs/>
              </w:rPr>
            </w:pPr>
            <w:r>
              <w:rPr>
                <w:bCs/>
              </w:rPr>
              <w:t>-624</w:t>
            </w:r>
          </w:p>
        </w:tc>
      </w:tr>
      <w:tr w:rsidR="00CF0E2D" w:rsidRPr="00934323" w14:paraId="74D4B5B8" w14:textId="77777777" w:rsidTr="00A60D4B">
        <w:trPr>
          <w:cantSplit/>
          <w:jc w:val="center"/>
        </w:trPr>
        <w:tc>
          <w:tcPr>
            <w:tcW w:w="3652" w:type="dxa"/>
            <w:tcBorders>
              <w:top w:val="single" w:sz="4" w:space="0" w:color="auto"/>
              <w:bottom w:val="single" w:sz="4" w:space="0" w:color="auto"/>
            </w:tcBorders>
          </w:tcPr>
          <w:p w14:paraId="55145ED6" w14:textId="77777777" w:rsidR="00CF0E2D" w:rsidRPr="000757FE" w:rsidRDefault="00CF0E2D" w:rsidP="00A60D4B">
            <w:pPr>
              <w:pStyle w:val="InitTextL"/>
              <w:ind w:left="321" w:hanging="321"/>
              <w:rPr>
                <w:b/>
                <w:bCs/>
              </w:rPr>
            </w:pPr>
            <w:r w:rsidRPr="000757FE">
              <w:rPr>
                <w:b/>
                <w:bCs/>
              </w:rPr>
              <w:t xml:space="preserve">Net </w:t>
            </w:r>
            <w:r>
              <w:rPr>
                <w:b/>
                <w:bCs/>
              </w:rPr>
              <w:t>c</w:t>
            </w:r>
            <w:r w:rsidRPr="000757FE">
              <w:rPr>
                <w:b/>
                <w:bCs/>
              </w:rPr>
              <w:t xml:space="preserve">ost of </w:t>
            </w:r>
            <w:r>
              <w:rPr>
                <w:b/>
                <w:bCs/>
              </w:rPr>
              <w:t>s</w:t>
            </w:r>
            <w:r w:rsidRPr="000757FE">
              <w:rPr>
                <w:b/>
                <w:bCs/>
              </w:rPr>
              <w:t>ervices</w:t>
            </w:r>
          </w:p>
        </w:tc>
        <w:tc>
          <w:tcPr>
            <w:tcW w:w="1179" w:type="dxa"/>
            <w:tcBorders>
              <w:top w:val="single" w:sz="4" w:space="0" w:color="auto"/>
              <w:bottom w:val="single" w:sz="4" w:space="0" w:color="auto"/>
            </w:tcBorders>
          </w:tcPr>
          <w:p w14:paraId="09872764" w14:textId="77777777" w:rsidR="00CF0E2D" w:rsidRPr="000757FE" w:rsidRDefault="00CF0E2D" w:rsidP="00A60D4B">
            <w:pPr>
              <w:pStyle w:val="InitFigR"/>
              <w:rPr>
                <w:b/>
                <w:bCs/>
              </w:rPr>
            </w:pPr>
            <w:r>
              <w:rPr>
                <w:b/>
                <w:bCs/>
              </w:rPr>
              <w:t>1,080</w:t>
            </w:r>
          </w:p>
        </w:tc>
        <w:tc>
          <w:tcPr>
            <w:tcW w:w="1041" w:type="dxa"/>
            <w:tcBorders>
              <w:top w:val="single" w:sz="4" w:space="0" w:color="auto"/>
              <w:bottom w:val="single" w:sz="4" w:space="0" w:color="auto"/>
            </w:tcBorders>
          </w:tcPr>
          <w:p w14:paraId="20FECD2B" w14:textId="77777777" w:rsidR="00CF0E2D" w:rsidRPr="000757FE" w:rsidRDefault="00CF0E2D" w:rsidP="00A60D4B">
            <w:pPr>
              <w:pStyle w:val="InitFigR"/>
              <w:rPr>
                <w:b/>
                <w:bCs/>
              </w:rPr>
            </w:pPr>
            <w:r>
              <w:rPr>
                <w:b/>
                <w:bCs/>
              </w:rPr>
              <w:t>2,901</w:t>
            </w:r>
          </w:p>
        </w:tc>
        <w:tc>
          <w:tcPr>
            <w:tcW w:w="1029" w:type="dxa"/>
            <w:tcBorders>
              <w:top w:val="single" w:sz="4" w:space="0" w:color="auto"/>
              <w:bottom w:val="single" w:sz="4" w:space="0" w:color="auto"/>
            </w:tcBorders>
          </w:tcPr>
          <w:p w14:paraId="6A11BA0B" w14:textId="77777777" w:rsidR="00CF0E2D" w:rsidRPr="000757FE" w:rsidRDefault="00CF0E2D" w:rsidP="00A60D4B">
            <w:pPr>
              <w:pStyle w:val="InitFigR"/>
              <w:rPr>
                <w:b/>
                <w:bCs/>
              </w:rPr>
            </w:pPr>
            <w:r>
              <w:rPr>
                <w:b/>
                <w:bCs/>
              </w:rPr>
              <w:t>1,849</w:t>
            </w:r>
          </w:p>
        </w:tc>
        <w:tc>
          <w:tcPr>
            <w:tcW w:w="1029" w:type="dxa"/>
            <w:tcBorders>
              <w:top w:val="single" w:sz="4" w:space="0" w:color="auto"/>
              <w:bottom w:val="single" w:sz="4" w:space="0" w:color="auto"/>
            </w:tcBorders>
          </w:tcPr>
          <w:p w14:paraId="451B2684" w14:textId="77777777" w:rsidR="00CF0E2D" w:rsidRPr="000757FE" w:rsidRDefault="00CF0E2D" w:rsidP="00A60D4B">
            <w:pPr>
              <w:pStyle w:val="InitFigR"/>
              <w:rPr>
                <w:b/>
                <w:bCs/>
              </w:rPr>
            </w:pPr>
            <w:r>
              <w:rPr>
                <w:b/>
                <w:bCs/>
              </w:rPr>
              <w:t>1,893</w:t>
            </w:r>
          </w:p>
        </w:tc>
        <w:tc>
          <w:tcPr>
            <w:tcW w:w="1029" w:type="dxa"/>
            <w:tcBorders>
              <w:top w:val="single" w:sz="4" w:space="0" w:color="auto"/>
              <w:bottom w:val="single" w:sz="4" w:space="0" w:color="auto"/>
            </w:tcBorders>
          </w:tcPr>
          <w:p w14:paraId="3DA16CB8" w14:textId="77777777" w:rsidR="00CF0E2D" w:rsidRPr="000757FE" w:rsidRDefault="00CF0E2D" w:rsidP="00A60D4B">
            <w:pPr>
              <w:pStyle w:val="InitFigRBold"/>
              <w:rPr>
                <w:bCs/>
              </w:rPr>
            </w:pPr>
            <w:r>
              <w:rPr>
                <w:bCs/>
              </w:rPr>
              <w:t>7,723</w:t>
            </w:r>
          </w:p>
        </w:tc>
      </w:tr>
    </w:tbl>
    <w:p w14:paraId="1F4C3CBF" w14:textId="77777777" w:rsidR="00CF0E2D" w:rsidRPr="00A14155" w:rsidRDefault="00CF0E2D" w:rsidP="00A60D4B">
      <w:pPr>
        <w:pStyle w:val="Bbodytext"/>
      </w:pPr>
      <w:r w:rsidRPr="00A14155">
        <w:t xml:space="preserve">The Government will support the further consolidation of ACT Public Service accommodation, as existing leases for office space end, by leasing and fitting out the mezzanine level within the Civic Office Building and providing funding for additional leased space within the City precinct to permanently accommodate Elections ACT. This will support flexible workspaces for the ACT Public Service and alleviate existing capacity and security constraints within the ACT Legislative Assembly building. </w:t>
      </w:r>
    </w:p>
    <w:p w14:paraId="4AC32A40" w14:textId="77777777" w:rsidR="00CF0E2D" w:rsidRPr="00A14155" w:rsidRDefault="00CF0E2D" w:rsidP="00A60D4B">
      <w:pPr>
        <w:pStyle w:val="Bbodytext"/>
      </w:pPr>
      <w:r w:rsidRPr="00A14155">
        <w:t>This initiative builds on recent Government actions to centralise the ACT Public Service into new office buildings in Dickson and the City.</w:t>
      </w:r>
    </w:p>
    <w:p w14:paraId="3C38C24D" w14:textId="77777777" w:rsidR="00CF0E2D" w:rsidRDefault="00CF0E2D" w:rsidP="00A60D4B">
      <w:pPr>
        <w:pStyle w:val="Bbodytext"/>
      </w:pPr>
      <w:r w:rsidRPr="00A14155">
        <w:t>It contributes to the wellbeing domain of Governance and institutions.</w:t>
      </w:r>
    </w:p>
    <w:p w14:paraId="6882D0C6" w14:textId="77777777" w:rsidR="00CF0E2D" w:rsidRPr="00A14155" w:rsidRDefault="00CF0E2D" w:rsidP="00A60D4B">
      <w:pPr>
        <w:pStyle w:val="Bbodytext"/>
      </w:pPr>
      <w:r>
        <w:rPr>
          <w:rFonts w:ascii="Calibri" w:eastAsiaTheme="majorEastAsia" w:hAnsi="Calibri" w:cstheme="majorBidi"/>
          <w:b/>
          <w:noProof/>
          <w:color w:val="999789"/>
          <w:sz w:val="32"/>
          <w:szCs w:val="24"/>
        </w:rPr>
        <w:drawing>
          <wp:anchor distT="0" distB="0" distL="114300" distR="114300" simplePos="0" relativeHeight="251721728" behindDoc="0" locked="1" layoutInCell="1" allowOverlap="1" wp14:anchorId="1DA9E69D" wp14:editId="1A00E3B7">
            <wp:simplePos x="0" y="0"/>
            <wp:positionH relativeFrom="margin">
              <wp:posOffset>4488180</wp:posOffset>
            </wp:positionH>
            <wp:positionV relativeFrom="paragraph">
              <wp:posOffset>149860</wp:posOffset>
            </wp:positionV>
            <wp:extent cx="1212850" cy="503555"/>
            <wp:effectExtent l="0" t="0" r="6350" b="0"/>
            <wp:wrapSquare wrapText="bothSides"/>
            <wp:docPr id="234" name="Picture 234" descr="Icon representing the wellbeing domain of Living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con representing the wellbeing domain of Living standards"/>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12850" cy="503555"/>
                    </a:xfrm>
                    <a:prstGeom prst="rect">
                      <a:avLst/>
                    </a:prstGeom>
                  </pic:spPr>
                </pic:pic>
              </a:graphicData>
            </a:graphic>
            <wp14:sizeRelH relativeFrom="margin">
              <wp14:pctWidth>0</wp14:pctWidth>
            </wp14:sizeRelH>
            <wp14:sizeRelV relativeFrom="margin">
              <wp14:pctHeight>0</wp14:pctHeight>
            </wp14:sizeRelV>
          </wp:anchor>
        </w:drawing>
      </w:r>
    </w:p>
    <w:p w14:paraId="7D901CBC" w14:textId="77777777" w:rsidR="00CF0E2D" w:rsidRPr="009315FD" w:rsidRDefault="00CF0E2D">
      <w:pPr>
        <w:pStyle w:val="Heading4"/>
      </w:pPr>
      <w:r w:rsidRPr="009E5937">
        <w:t xml:space="preserve">Asbestos Disease </w:t>
      </w:r>
      <w:r>
        <w:t>Support</w:t>
      </w:r>
      <w:r w:rsidRPr="009E5937">
        <w:t xml:space="preserve"> Fund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E5937" w14:paraId="09442A6D" w14:textId="77777777" w:rsidTr="00A60D4B">
        <w:trPr>
          <w:cantSplit/>
          <w:jc w:val="center"/>
        </w:trPr>
        <w:tc>
          <w:tcPr>
            <w:tcW w:w="3652" w:type="dxa"/>
            <w:tcBorders>
              <w:top w:val="single" w:sz="4" w:space="0" w:color="auto"/>
              <w:bottom w:val="single" w:sz="4" w:space="0" w:color="auto"/>
            </w:tcBorders>
          </w:tcPr>
          <w:p w14:paraId="1CAB4C37" w14:textId="77777777" w:rsidR="00CF0E2D" w:rsidRPr="009E5937" w:rsidRDefault="00CF0E2D" w:rsidP="00A60D4B">
            <w:pPr>
              <w:spacing w:after="0"/>
              <w:jc w:val="right"/>
              <w:rPr>
                <w:rFonts w:cs="Calibri"/>
                <w:color w:val="FFFFFF"/>
                <w:sz w:val="12"/>
              </w:rPr>
            </w:pPr>
            <w:r w:rsidRPr="009E5937">
              <w:rPr>
                <w:rFonts w:cs="Calibri"/>
                <w:color w:val="FFFFFF"/>
                <w:sz w:val="12"/>
              </w:rPr>
              <w:t>Empty Cell</w:t>
            </w:r>
          </w:p>
        </w:tc>
        <w:tc>
          <w:tcPr>
            <w:tcW w:w="1179" w:type="dxa"/>
            <w:tcBorders>
              <w:top w:val="single" w:sz="4" w:space="0" w:color="auto"/>
              <w:bottom w:val="single" w:sz="4" w:space="0" w:color="auto"/>
            </w:tcBorders>
          </w:tcPr>
          <w:p w14:paraId="72978D74" w14:textId="77777777" w:rsidR="00CF0E2D" w:rsidRPr="009E5937" w:rsidRDefault="00CF0E2D" w:rsidP="00A60D4B">
            <w:pPr>
              <w:pStyle w:val="InitFigRBold"/>
            </w:pPr>
            <w:r w:rsidRPr="009E5937">
              <w:t>2021-22</w:t>
            </w:r>
          </w:p>
          <w:p w14:paraId="3B1A932D" w14:textId="77777777" w:rsidR="00CF0E2D" w:rsidRPr="009E5937" w:rsidRDefault="00CF0E2D" w:rsidP="00A60D4B">
            <w:pPr>
              <w:pStyle w:val="InitFigRBold"/>
            </w:pPr>
            <w:r w:rsidRPr="009E5937">
              <w:t>$’000</w:t>
            </w:r>
          </w:p>
        </w:tc>
        <w:tc>
          <w:tcPr>
            <w:tcW w:w="1041" w:type="dxa"/>
            <w:tcBorders>
              <w:top w:val="single" w:sz="4" w:space="0" w:color="auto"/>
              <w:bottom w:val="single" w:sz="4" w:space="0" w:color="auto"/>
            </w:tcBorders>
          </w:tcPr>
          <w:p w14:paraId="058CFEE4" w14:textId="77777777" w:rsidR="00CF0E2D" w:rsidRPr="009E5937" w:rsidRDefault="00CF0E2D" w:rsidP="00A60D4B">
            <w:pPr>
              <w:pStyle w:val="InitFigRBold"/>
            </w:pPr>
            <w:r w:rsidRPr="009E5937">
              <w:t>2022-23</w:t>
            </w:r>
          </w:p>
          <w:p w14:paraId="0D1B26A1" w14:textId="77777777" w:rsidR="00CF0E2D" w:rsidRPr="009E5937" w:rsidRDefault="00CF0E2D" w:rsidP="00A60D4B">
            <w:pPr>
              <w:pStyle w:val="InitFigRBold"/>
            </w:pPr>
            <w:r w:rsidRPr="009E5937">
              <w:t>$’000</w:t>
            </w:r>
          </w:p>
        </w:tc>
        <w:tc>
          <w:tcPr>
            <w:tcW w:w="1029" w:type="dxa"/>
            <w:tcBorders>
              <w:top w:val="single" w:sz="4" w:space="0" w:color="auto"/>
              <w:bottom w:val="single" w:sz="4" w:space="0" w:color="auto"/>
            </w:tcBorders>
          </w:tcPr>
          <w:p w14:paraId="65A5B1FF" w14:textId="77777777" w:rsidR="00CF0E2D" w:rsidRPr="009E5937" w:rsidRDefault="00CF0E2D" w:rsidP="00A60D4B">
            <w:pPr>
              <w:pStyle w:val="InitFigRBold"/>
            </w:pPr>
            <w:r w:rsidRPr="009E5937">
              <w:t>2023-24</w:t>
            </w:r>
          </w:p>
          <w:p w14:paraId="20AA76BB" w14:textId="77777777" w:rsidR="00CF0E2D" w:rsidRPr="009E5937" w:rsidRDefault="00CF0E2D" w:rsidP="00A60D4B">
            <w:pPr>
              <w:pStyle w:val="InitFigRBold"/>
            </w:pPr>
            <w:r w:rsidRPr="009E5937">
              <w:t>$’000</w:t>
            </w:r>
          </w:p>
        </w:tc>
        <w:tc>
          <w:tcPr>
            <w:tcW w:w="1029" w:type="dxa"/>
            <w:tcBorders>
              <w:top w:val="single" w:sz="4" w:space="0" w:color="auto"/>
              <w:bottom w:val="single" w:sz="4" w:space="0" w:color="auto"/>
            </w:tcBorders>
          </w:tcPr>
          <w:p w14:paraId="46999769" w14:textId="77777777" w:rsidR="00CF0E2D" w:rsidRPr="009E5937" w:rsidRDefault="00CF0E2D" w:rsidP="00A60D4B">
            <w:pPr>
              <w:pStyle w:val="InitFigRBold"/>
            </w:pPr>
            <w:r w:rsidRPr="009E5937">
              <w:t>2024-25</w:t>
            </w:r>
          </w:p>
          <w:p w14:paraId="0D5268D2" w14:textId="77777777" w:rsidR="00CF0E2D" w:rsidRPr="009E5937" w:rsidRDefault="00CF0E2D" w:rsidP="00A60D4B">
            <w:pPr>
              <w:pStyle w:val="InitFigRBold"/>
            </w:pPr>
            <w:r w:rsidRPr="009E5937">
              <w:t>$’000</w:t>
            </w:r>
          </w:p>
        </w:tc>
        <w:tc>
          <w:tcPr>
            <w:tcW w:w="1029" w:type="dxa"/>
            <w:tcBorders>
              <w:top w:val="single" w:sz="4" w:space="0" w:color="auto"/>
              <w:bottom w:val="single" w:sz="4" w:space="0" w:color="auto"/>
            </w:tcBorders>
          </w:tcPr>
          <w:p w14:paraId="2D8BF351" w14:textId="77777777" w:rsidR="00CF0E2D" w:rsidRPr="009E5937" w:rsidRDefault="00CF0E2D" w:rsidP="00A60D4B">
            <w:pPr>
              <w:pStyle w:val="InitFigRBold"/>
            </w:pPr>
            <w:r w:rsidRPr="009E5937">
              <w:t>Total</w:t>
            </w:r>
          </w:p>
          <w:p w14:paraId="6D0238A6" w14:textId="77777777" w:rsidR="00CF0E2D" w:rsidRPr="009E5937" w:rsidRDefault="00CF0E2D" w:rsidP="00A60D4B">
            <w:pPr>
              <w:pStyle w:val="InitFigRBold"/>
            </w:pPr>
            <w:r w:rsidRPr="009E5937">
              <w:t>$’000</w:t>
            </w:r>
          </w:p>
        </w:tc>
      </w:tr>
      <w:tr w:rsidR="00CF0E2D" w:rsidRPr="009E5937" w14:paraId="188AB0AF" w14:textId="77777777" w:rsidTr="00A60D4B">
        <w:trPr>
          <w:cantSplit/>
          <w:jc w:val="center"/>
        </w:trPr>
        <w:tc>
          <w:tcPr>
            <w:tcW w:w="3652" w:type="dxa"/>
            <w:tcBorders>
              <w:top w:val="single" w:sz="4" w:space="0" w:color="auto"/>
              <w:bottom w:val="single" w:sz="4" w:space="0" w:color="auto"/>
            </w:tcBorders>
          </w:tcPr>
          <w:p w14:paraId="171C3D4A" w14:textId="77777777" w:rsidR="00CF0E2D" w:rsidRPr="009E5937" w:rsidRDefault="00CF0E2D" w:rsidP="00A60D4B">
            <w:pPr>
              <w:pStyle w:val="InitTextL"/>
            </w:pPr>
            <w:r w:rsidRPr="009E5937">
              <w:t>Expenses</w:t>
            </w:r>
          </w:p>
        </w:tc>
        <w:tc>
          <w:tcPr>
            <w:tcW w:w="1179" w:type="dxa"/>
            <w:tcBorders>
              <w:top w:val="single" w:sz="4" w:space="0" w:color="auto"/>
              <w:bottom w:val="single" w:sz="4" w:space="0" w:color="auto"/>
            </w:tcBorders>
          </w:tcPr>
          <w:p w14:paraId="3168015F" w14:textId="77777777" w:rsidR="00CF0E2D" w:rsidRPr="009E5937" w:rsidRDefault="00CF0E2D" w:rsidP="00A60D4B">
            <w:pPr>
              <w:pStyle w:val="InitFigR"/>
            </w:pPr>
            <w:r>
              <w:t>NFP</w:t>
            </w:r>
          </w:p>
        </w:tc>
        <w:tc>
          <w:tcPr>
            <w:tcW w:w="1041" w:type="dxa"/>
            <w:tcBorders>
              <w:top w:val="single" w:sz="4" w:space="0" w:color="auto"/>
              <w:bottom w:val="single" w:sz="4" w:space="0" w:color="auto"/>
            </w:tcBorders>
          </w:tcPr>
          <w:p w14:paraId="7E0969E8" w14:textId="77777777" w:rsidR="00CF0E2D" w:rsidRPr="009E5937" w:rsidRDefault="00CF0E2D" w:rsidP="00A60D4B">
            <w:pPr>
              <w:pStyle w:val="InitFigR"/>
            </w:pPr>
            <w:r>
              <w:t>NFP</w:t>
            </w:r>
          </w:p>
        </w:tc>
        <w:tc>
          <w:tcPr>
            <w:tcW w:w="1029" w:type="dxa"/>
            <w:tcBorders>
              <w:top w:val="single" w:sz="4" w:space="0" w:color="auto"/>
              <w:bottom w:val="single" w:sz="4" w:space="0" w:color="auto"/>
            </w:tcBorders>
          </w:tcPr>
          <w:p w14:paraId="4A30E5A9" w14:textId="77777777" w:rsidR="00CF0E2D" w:rsidRPr="009E5937" w:rsidRDefault="00CF0E2D" w:rsidP="00A60D4B">
            <w:pPr>
              <w:pStyle w:val="InitFigR"/>
            </w:pPr>
            <w:r>
              <w:t>NFP</w:t>
            </w:r>
          </w:p>
        </w:tc>
        <w:tc>
          <w:tcPr>
            <w:tcW w:w="1029" w:type="dxa"/>
            <w:tcBorders>
              <w:top w:val="single" w:sz="4" w:space="0" w:color="auto"/>
              <w:bottom w:val="single" w:sz="4" w:space="0" w:color="auto"/>
            </w:tcBorders>
          </w:tcPr>
          <w:p w14:paraId="50E77250" w14:textId="77777777" w:rsidR="00CF0E2D" w:rsidRPr="009E5937" w:rsidRDefault="00CF0E2D" w:rsidP="00A60D4B">
            <w:pPr>
              <w:pStyle w:val="InitFigR"/>
            </w:pPr>
            <w:r>
              <w:t>NFP</w:t>
            </w:r>
          </w:p>
        </w:tc>
        <w:tc>
          <w:tcPr>
            <w:tcW w:w="1029" w:type="dxa"/>
            <w:tcBorders>
              <w:top w:val="single" w:sz="4" w:space="0" w:color="auto"/>
              <w:bottom w:val="single" w:sz="4" w:space="0" w:color="auto"/>
            </w:tcBorders>
          </w:tcPr>
          <w:p w14:paraId="5A1952CF" w14:textId="77777777" w:rsidR="00CF0E2D" w:rsidRPr="009E5937" w:rsidRDefault="00CF0E2D" w:rsidP="00A60D4B">
            <w:pPr>
              <w:pStyle w:val="InitFigRBold"/>
            </w:pPr>
            <w:r>
              <w:t>16,000</w:t>
            </w:r>
          </w:p>
        </w:tc>
      </w:tr>
    </w:tbl>
    <w:p w14:paraId="1BA8E91E" w14:textId="77777777" w:rsidR="00CF0E2D" w:rsidRPr="00E3098A" w:rsidRDefault="00CF0E2D" w:rsidP="00A60D4B">
      <w:pPr>
        <w:pStyle w:val="Bbodytext"/>
        <w:rPr>
          <w:rFonts w:ascii="Calibri" w:eastAsia="Times New Roman" w:hAnsi="Calibri" w:cs="Times New Roman"/>
          <w:szCs w:val="20"/>
        </w:rPr>
      </w:pPr>
      <w:r w:rsidRPr="00E3098A">
        <w:t xml:space="preserve">The Government will </w:t>
      </w:r>
      <w:r w:rsidRPr="00E3098A">
        <w:rPr>
          <w:rFonts w:ascii="Calibri" w:eastAsia="Times New Roman" w:hAnsi="Calibri" w:cs="Times New Roman"/>
          <w:szCs w:val="20"/>
        </w:rPr>
        <w:t xml:space="preserve">establish a $16 million Asbestos Disease Support Fund to be jointly funded by the ACT and Commonwealth Governments. The scheme will provide financial assistance to people who contract an asbestos-related disease as a result of having lived in a loose fill asbestos insultation affected residential property in the ACT. Expenses are not for publication (NFP) at this stage as the scheme design is still being finalised. </w:t>
      </w:r>
    </w:p>
    <w:p w14:paraId="3A03D893" w14:textId="77777777" w:rsidR="00CF0E2D" w:rsidRDefault="00CF0E2D" w:rsidP="00A60D4B">
      <w:pPr>
        <w:pStyle w:val="Bbodytext"/>
      </w:pPr>
      <w:r w:rsidRPr="00E3098A">
        <w:t>This initiative contributes to the wellbeing domain of Living standards.</w:t>
      </w:r>
    </w:p>
    <w:p w14:paraId="40984D7A" w14:textId="77777777" w:rsidR="00CF0E2D" w:rsidRDefault="00CF0E2D">
      <w:pPr>
        <w:rPr>
          <w:sz w:val="24"/>
        </w:rPr>
      </w:pPr>
      <w:r>
        <w:br w:type="page"/>
      </w:r>
    </w:p>
    <w:p w14:paraId="2DE12580" w14:textId="77777777" w:rsidR="00CF0E2D" w:rsidRPr="00B05FB2" w:rsidRDefault="00CF0E2D" w:rsidP="00A60D4B">
      <w:pPr>
        <w:pStyle w:val="Heading4"/>
        <w:rPr>
          <w:bCs/>
          <w:szCs w:val="26"/>
        </w:rPr>
      </w:pPr>
      <w:r>
        <w:rPr>
          <w:b w:val="0"/>
          <w:noProof/>
          <w:color w:val="999789"/>
          <w:sz w:val="32"/>
          <w:szCs w:val="24"/>
        </w:rPr>
        <w:lastRenderedPageBreak/>
        <w:drawing>
          <wp:anchor distT="0" distB="0" distL="114300" distR="114300" simplePos="0" relativeHeight="251722752" behindDoc="0" locked="1" layoutInCell="1" allowOverlap="1" wp14:anchorId="2F2CA352" wp14:editId="5E825156">
            <wp:simplePos x="0" y="0"/>
            <wp:positionH relativeFrom="margin">
              <wp:posOffset>4479290</wp:posOffset>
            </wp:positionH>
            <wp:positionV relativeFrom="paragraph">
              <wp:posOffset>50165</wp:posOffset>
            </wp:positionV>
            <wp:extent cx="1212850" cy="503555"/>
            <wp:effectExtent l="0" t="0" r="6350" b="0"/>
            <wp:wrapSquare wrapText="bothSides"/>
            <wp:docPr id="11" name="Picture 11" descr="Icon representing the wellbeing domain of Living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con representing the wellbeing domain of Living standards"/>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12850" cy="503555"/>
                    </a:xfrm>
                    <a:prstGeom prst="rect">
                      <a:avLst/>
                    </a:prstGeom>
                  </pic:spPr>
                </pic:pic>
              </a:graphicData>
            </a:graphic>
            <wp14:sizeRelH relativeFrom="margin">
              <wp14:pctWidth>0</wp14:pctWidth>
            </wp14:sizeRelH>
            <wp14:sizeRelV relativeFrom="margin">
              <wp14:pctHeight>0</wp14:pctHeight>
            </wp14:sizeRelV>
          </wp:anchor>
        </w:drawing>
      </w:r>
      <w:r w:rsidRPr="00DD60C9">
        <w:t xml:space="preserve">Backing our </w:t>
      </w:r>
      <w:r w:rsidRPr="00AC26E4">
        <w:t xml:space="preserve">Arts </w:t>
      </w:r>
      <w:r w:rsidRPr="00DD60C9">
        <w:t>and Entertainment</w:t>
      </w:r>
      <w:r w:rsidRPr="00AC26E4">
        <w:t xml:space="preserve"> </w:t>
      </w:r>
      <w:r>
        <w:t xml:space="preserve">– </w:t>
      </w:r>
      <w:r w:rsidRPr="00D2529F">
        <w:t xml:space="preserve">Funding Canberra </w:t>
      </w:r>
      <w:r>
        <w:t>a</w:t>
      </w:r>
      <w:r w:rsidRPr="00D2529F">
        <w:t xml:space="preserve">rtists </w:t>
      </w:r>
      <w:r>
        <w:t>–</w:t>
      </w:r>
      <w:r w:rsidRPr="00D2529F">
        <w:t xml:space="preserve"> </w:t>
      </w:r>
      <w:r w:rsidRPr="00B05FB2">
        <w:rPr>
          <w:bCs/>
          <w:szCs w:val="26"/>
        </w:rPr>
        <w:t xml:space="preserve">Homefront </w:t>
      </w:r>
      <w:r>
        <w:rPr>
          <w:bCs/>
          <w:szCs w:val="26"/>
        </w:rPr>
        <w:t>p</w:t>
      </w:r>
      <w:r w:rsidRPr="00B05FB2">
        <w:rPr>
          <w:bCs/>
          <w:szCs w:val="26"/>
        </w:rPr>
        <w:t xml:space="preserve">rogram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EB6A70" w14:paraId="3094CF48" w14:textId="77777777" w:rsidTr="00A60D4B">
        <w:trPr>
          <w:cantSplit/>
          <w:jc w:val="center"/>
        </w:trPr>
        <w:tc>
          <w:tcPr>
            <w:tcW w:w="3652" w:type="dxa"/>
            <w:tcBorders>
              <w:top w:val="single" w:sz="4" w:space="0" w:color="auto"/>
              <w:bottom w:val="single" w:sz="4" w:space="0" w:color="auto"/>
            </w:tcBorders>
          </w:tcPr>
          <w:p w14:paraId="316873B8" w14:textId="77777777" w:rsidR="00CF0E2D" w:rsidRPr="00EB6A70" w:rsidRDefault="00CF0E2D" w:rsidP="00A60D4B">
            <w:pPr>
              <w:spacing w:after="0"/>
              <w:jc w:val="right"/>
              <w:rPr>
                <w:rFonts w:cs="Calibri"/>
                <w:color w:val="FFFFFF"/>
                <w:szCs w:val="24"/>
              </w:rPr>
            </w:pPr>
            <w:r w:rsidRPr="00EB6A70">
              <w:rPr>
                <w:rFonts w:cs="Calibri"/>
                <w:color w:val="FFFFFF"/>
                <w:szCs w:val="24"/>
              </w:rPr>
              <w:t>Empty Cell</w:t>
            </w:r>
          </w:p>
        </w:tc>
        <w:tc>
          <w:tcPr>
            <w:tcW w:w="1179" w:type="dxa"/>
            <w:tcBorders>
              <w:top w:val="single" w:sz="4" w:space="0" w:color="auto"/>
              <w:bottom w:val="single" w:sz="4" w:space="0" w:color="auto"/>
            </w:tcBorders>
          </w:tcPr>
          <w:p w14:paraId="0F2C39FB" w14:textId="77777777" w:rsidR="00CF0E2D" w:rsidRPr="00EB6A70" w:rsidRDefault="00CF0E2D" w:rsidP="00A60D4B">
            <w:pPr>
              <w:pStyle w:val="InitFigR"/>
              <w:rPr>
                <w:b/>
                <w:bCs/>
                <w:szCs w:val="24"/>
              </w:rPr>
            </w:pPr>
            <w:r w:rsidRPr="00EB6A70">
              <w:rPr>
                <w:b/>
                <w:bCs/>
                <w:szCs w:val="24"/>
              </w:rPr>
              <w:t>2021-22</w:t>
            </w:r>
          </w:p>
          <w:p w14:paraId="2EB90762" w14:textId="77777777" w:rsidR="00CF0E2D" w:rsidRPr="00EB6A70" w:rsidRDefault="00CF0E2D" w:rsidP="00A60D4B">
            <w:pPr>
              <w:pStyle w:val="InitFigR"/>
              <w:rPr>
                <w:b/>
                <w:bCs/>
                <w:szCs w:val="24"/>
              </w:rPr>
            </w:pPr>
            <w:r w:rsidRPr="00EB6A70">
              <w:rPr>
                <w:b/>
                <w:bCs/>
                <w:szCs w:val="24"/>
              </w:rPr>
              <w:t>$’000</w:t>
            </w:r>
          </w:p>
        </w:tc>
        <w:tc>
          <w:tcPr>
            <w:tcW w:w="1041" w:type="dxa"/>
            <w:tcBorders>
              <w:top w:val="single" w:sz="4" w:space="0" w:color="auto"/>
              <w:bottom w:val="single" w:sz="4" w:space="0" w:color="auto"/>
            </w:tcBorders>
          </w:tcPr>
          <w:p w14:paraId="0B5D1318" w14:textId="77777777" w:rsidR="00CF0E2D" w:rsidRPr="00EB6A70" w:rsidRDefault="00CF0E2D" w:rsidP="00A60D4B">
            <w:pPr>
              <w:pStyle w:val="InitFigR"/>
              <w:rPr>
                <w:b/>
                <w:bCs/>
                <w:szCs w:val="24"/>
              </w:rPr>
            </w:pPr>
            <w:r w:rsidRPr="00EB6A70">
              <w:rPr>
                <w:b/>
                <w:bCs/>
                <w:szCs w:val="24"/>
              </w:rPr>
              <w:t>2022-23</w:t>
            </w:r>
          </w:p>
          <w:p w14:paraId="0CB2470E" w14:textId="77777777" w:rsidR="00CF0E2D" w:rsidRPr="00EB6A70" w:rsidRDefault="00CF0E2D" w:rsidP="00A60D4B">
            <w:pPr>
              <w:pStyle w:val="InitFigR"/>
              <w:rPr>
                <w:b/>
                <w:bCs/>
                <w:szCs w:val="24"/>
              </w:rPr>
            </w:pPr>
            <w:r w:rsidRPr="00EB6A70">
              <w:rPr>
                <w:b/>
                <w:bCs/>
                <w:szCs w:val="24"/>
              </w:rPr>
              <w:t>$’000</w:t>
            </w:r>
          </w:p>
        </w:tc>
        <w:tc>
          <w:tcPr>
            <w:tcW w:w="1029" w:type="dxa"/>
            <w:tcBorders>
              <w:top w:val="single" w:sz="4" w:space="0" w:color="auto"/>
              <w:bottom w:val="single" w:sz="4" w:space="0" w:color="auto"/>
            </w:tcBorders>
          </w:tcPr>
          <w:p w14:paraId="2E5C9491" w14:textId="77777777" w:rsidR="00CF0E2D" w:rsidRPr="00EB6A70" w:rsidRDefault="00CF0E2D" w:rsidP="00A60D4B">
            <w:pPr>
              <w:pStyle w:val="InitFigR"/>
              <w:rPr>
                <w:b/>
                <w:bCs/>
                <w:szCs w:val="24"/>
              </w:rPr>
            </w:pPr>
            <w:r w:rsidRPr="00EB6A70">
              <w:rPr>
                <w:b/>
                <w:bCs/>
                <w:szCs w:val="24"/>
              </w:rPr>
              <w:t>2023-24</w:t>
            </w:r>
          </w:p>
          <w:p w14:paraId="30BC4629" w14:textId="77777777" w:rsidR="00CF0E2D" w:rsidRPr="00EB6A70" w:rsidRDefault="00CF0E2D" w:rsidP="00A60D4B">
            <w:pPr>
              <w:pStyle w:val="InitFigR"/>
              <w:rPr>
                <w:b/>
                <w:bCs/>
                <w:szCs w:val="24"/>
              </w:rPr>
            </w:pPr>
            <w:r w:rsidRPr="00EB6A70">
              <w:rPr>
                <w:b/>
                <w:bCs/>
                <w:szCs w:val="24"/>
              </w:rPr>
              <w:t>$’000</w:t>
            </w:r>
          </w:p>
        </w:tc>
        <w:tc>
          <w:tcPr>
            <w:tcW w:w="1029" w:type="dxa"/>
            <w:tcBorders>
              <w:top w:val="single" w:sz="4" w:space="0" w:color="auto"/>
              <w:bottom w:val="single" w:sz="4" w:space="0" w:color="auto"/>
            </w:tcBorders>
          </w:tcPr>
          <w:p w14:paraId="41DC514F" w14:textId="77777777" w:rsidR="00CF0E2D" w:rsidRPr="00EB6A70" w:rsidRDefault="00CF0E2D" w:rsidP="00A60D4B">
            <w:pPr>
              <w:pStyle w:val="InitFigR"/>
              <w:rPr>
                <w:b/>
                <w:bCs/>
                <w:szCs w:val="24"/>
              </w:rPr>
            </w:pPr>
            <w:r w:rsidRPr="00EB6A70">
              <w:rPr>
                <w:b/>
                <w:bCs/>
                <w:szCs w:val="24"/>
              </w:rPr>
              <w:t>2024-25</w:t>
            </w:r>
          </w:p>
          <w:p w14:paraId="3C28294D" w14:textId="77777777" w:rsidR="00CF0E2D" w:rsidRPr="00EB6A70" w:rsidRDefault="00CF0E2D" w:rsidP="00A60D4B">
            <w:pPr>
              <w:pStyle w:val="InitFigR"/>
              <w:rPr>
                <w:b/>
                <w:bCs/>
                <w:szCs w:val="24"/>
              </w:rPr>
            </w:pPr>
            <w:r w:rsidRPr="00EB6A70">
              <w:rPr>
                <w:b/>
                <w:bCs/>
                <w:szCs w:val="24"/>
              </w:rPr>
              <w:t>$’000</w:t>
            </w:r>
          </w:p>
        </w:tc>
        <w:tc>
          <w:tcPr>
            <w:tcW w:w="1029" w:type="dxa"/>
            <w:tcBorders>
              <w:top w:val="single" w:sz="4" w:space="0" w:color="auto"/>
              <w:bottom w:val="single" w:sz="4" w:space="0" w:color="auto"/>
            </w:tcBorders>
          </w:tcPr>
          <w:p w14:paraId="6BC55480" w14:textId="77777777" w:rsidR="00CF0E2D" w:rsidRPr="00EB6A70" w:rsidRDefault="00CF0E2D" w:rsidP="00A60D4B">
            <w:pPr>
              <w:pStyle w:val="InitFigR"/>
              <w:rPr>
                <w:b/>
                <w:bCs/>
                <w:szCs w:val="24"/>
              </w:rPr>
            </w:pPr>
            <w:r w:rsidRPr="00EB6A70">
              <w:rPr>
                <w:b/>
                <w:bCs/>
                <w:szCs w:val="24"/>
              </w:rPr>
              <w:t>Total</w:t>
            </w:r>
          </w:p>
          <w:p w14:paraId="0C479110" w14:textId="77777777" w:rsidR="00CF0E2D" w:rsidRPr="00EB6A70" w:rsidRDefault="00CF0E2D" w:rsidP="00A60D4B">
            <w:pPr>
              <w:pStyle w:val="InitFigR"/>
              <w:rPr>
                <w:b/>
                <w:bCs/>
                <w:szCs w:val="24"/>
              </w:rPr>
            </w:pPr>
            <w:r w:rsidRPr="00EB6A70">
              <w:rPr>
                <w:b/>
                <w:bCs/>
                <w:szCs w:val="24"/>
              </w:rPr>
              <w:t>$’000</w:t>
            </w:r>
          </w:p>
        </w:tc>
      </w:tr>
      <w:tr w:rsidR="00CF0E2D" w:rsidRPr="00EB6A70" w14:paraId="5BF4C023" w14:textId="77777777" w:rsidTr="00A60D4B">
        <w:trPr>
          <w:cantSplit/>
          <w:jc w:val="center"/>
        </w:trPr>
        <w:tc>
          <w:tcPr>
            <w:tcW w:w="3652" w:type="dxa"/>
            <w:tcBorders>
              <w:top w:val="single" w:sz="4" w:space="0" w:color="auto"/>
              <w:bottom w:val="single" w:sz="4" w:space="0" w:color="auto"/>
            </w:tcBorders>
          </w:tcPr>
          <w:p w14:paraId="57E0C709" w14:textId="77777777" w:rsidR="00CF0E2D" w:rsidRPr="00EB6A70" w:rsidRDefault="00CF0E2D" w:rsidP="00A60D4B">
            <w:pPr>
              <w:pStyle w:val="InitTextL"/>
              <w:ind w:left="321" w:hanging="321"/>
              <w:rPr>
                <w:szCs w:val="24"/>
              </w:rPr>
            </w:pPr>
            <w:r w:rsidRPr="00EB6A70">
              <w:rPr>
                <w:szCs w:val="24"/>
              </w:rPr>
              <w:t>Expenses</w:t>
            </w:r>
          </w:p>
        </w:tc>
        <w:tc>
          <w:tcPr>
            <w:tcW w:w="1179" w:type="dxa"/>
            <w:tcBorders>
              <w:top w:val="single" w:sz="4" w:space="0" w:color="auto"/>
              <w:bottom w:val="single" w:sz="4" w:space="0" w:color="auto"/>
            </w:tcBorders>
          </w:tcPr>
          <w:p w14:paraId="654081DA" w14:textId="77777777" w:rsidR="00CF0E2D" w:rsidRPr="00EB6A70" w:rsidRDefault="00CF0E2D" w:rsidP="00A60D4B">
            <w:pPr>
              <w:pStyle w:val="InitFigR"/>
              <w:rPr>
                <w:szCs w:val="24"/>
              </w:rPr>
            </w:pPr>
            <w:r w:rsidRPr="00EB6A70">
              <w:rPr>
                <w:szCs w:val="24"/>
              </w:rPr>
              <w:t>350</w:t>
            </w:r>
          </w:p>
        </w:tc>
        <w:tc>
          <w:tcPr>
            <w:tcW w:w="1041" w:type="dxa"/>
            <w:tcBorders>
              <w:top w:val="single" w:sz="4" w:space="0" w:color="auto"/>
              <w:bottom w:val="single" w:sz="4" w:space="0" w:color="auto"/>
            </w:tcBorders>
          </w:tcPr>
          <w:p w14:paraId="76C28360" w14:textId="77777777" w:rsidR="00CF0E2D" w:rsidRPr="00EB6A70" w:rsidRDefault="00CF0E2D" w:rsidP="00A60D4B">
            <w:pPr>
              <w:pStyle w:val="InitFigR"/>
              <w:rPr>
                <w:szCs w:val="24"/>
              </w:rPr>
            </w:pPr>
            <w:r w:rsidRPr="00EB6A70">
              <w:rPr>
                <w:szCs w:val="24"/>
              </w:rPr>
              <w:t>0</w:t>
            </w:r>
          </w:p>
        </w:tc>
        <w:tc>
          <w:tcPr>
            <w:tcW w:w="1029" w:type="dxa"/>
            <w:tcBorders>
              <w:top w:val="single" w:sz="4" w:space="0" w:color="auto"/>
              <w:bottom w:val="single" w:sz="4" w:space="0" w:color="auto"/>
            </w:tcBorders>
          </w:tcPr>
          <w:p w14:paraId="1F36EB65" w14:textId="77777777" w:rsidR="00CF0E2D" w:rsidRPr="00EB6A70" w:rsidRDefault="00CF0E2D" w:rsidP="00A60D4B">
            <w:pPr>
              <w:pStyle w:val="InitFigR"/>
              <w:rPr>
                <w:szCs w:val="24"/>
              </w:rPr>
            </w:pPr>
            <w:r w:rsidRPr="00EB6A70">
              <w:rPr>
                <w:szCs w:val="24"/>
              </w:rPr>
              <w:t>0</w:t>
            </w:r>
          </w:p>
        </w:tc>
        <w:tc>
          <w:tcPr>
            <w:tcW w:w="1029" w:type="dxa"/>
            <w:tcBorders>
              <w:top w:val="single" w:sz="4" w:space="0" w:color="auto"/>
              <w:bottom w:val="single" w:sz="4" w:space="0" w:color="auto"/>
            </w:tcBorders>
          </w:tcPr>
          <w:p w14:paraId="18F13C5D" w14:textId="77777777" w:rsidR="00CF0E2D" w:rsidRPr="00EB6A70" w:rsidRDefault="00CF0E2D" w:rsidP="00A60D4B">
            <w:pPr>
              <w:pStyle w:val="InitFigR"/>
              <w:rPr>
                <w:szCs w:val="24"/>
              </w:rPr>
            </w:pPr>
            <w:r w:rsidRPr="00EB6A70">
              <w:rPr>
                <w:szCs w:val="24"/>
              </w:rPr>
              <w:t>0</w:t>
            </w:r>
          </w:p>
        </w:tc>
        <w:tc>
          <w:tcPr>
            <w:tcW w:w="1029" w:type="dxa"/>
            <w:tcBorders>
              <w:top w:val="single" w:sz="4" w:space="0" w:color="auto"/>
              <w:bottom w:val="single" w:sz="4" w:space="0" w:color="auto"/>
            </w:tcBorders>
          </w:tcPr>
          <w:p w14:paraId="79A577E0" w14:textId="77777777" w:rsidR="00CF0E2D" w:rsidRPr="00EB6A70" w:rsidRDefault="00CF0E2D" w:rsidP="00A60D4B">
            <w:pPr>
              <w:pStyle w:val="InitFigBR"/>
              <w:rPr>
                <w:szCs w:val="24"/>
              </w:rPr>
            </w:pPr>
            <w:r w:rsidRPr="00EB6A70">
              <w:rPr>
                <w:szCs w:val="24"/>
              </w:rPr>
              <w:t>350</w:t>
            </w:r>
          </w:p>
        </w:tc>
      </w:tr>
      <w:tr w:rsidR="00CF0E2D" w:rsidRPr="00EB6A70" w14:paraId="3D114077" w14:textId="77777777" w:rsidTr="00A60D4B">
        <w:trPr>
          <w:cantSplit/>
          <w:jc w:val="center"/>
        </w:trPr>
        <w:tc>
          <w:tcPr>
            <w:tcW w:w="3652" w:type="dxa"/>
            <w:tcBorders>
              <w:top w:val="single" w:sz="4" w:space="0" w:color="auto"/>
              <w:bottom w:val="single" w:sz="4" w:space="0" w:color="auto"/>
            </w:tcBorders>
          </w:tcPr>
          <w:p w14:paraId="577BF0FB" w14:textId="77777777" w:rsidR="00CF0E2D" w:rsidRPr="00EB6A70" w:rsidRDefault="00CF0E2D" w:rsidP="00A60D4B">
            <w:pPr>
              <w:pStyle w:val="InitTextL"/>
              <w:ind w:left="321" w:hanging="321"/>
              <w:rPr>
                <w:szCs w:val="24"/>
              </w:rPr>
            </w:pPr>
            <w:r>
              <w:rPr>
                <w:szCs w:val="24"/>
              </w:rPr>
              <w:t>Offset – Expenses</w:t>
            </w:r>
          </w:p>
        </w:tc>
        <w:tc>
          <w:tcPr>
            <w:tcW w:w="1179" w:type="dxa"/>
            <w:tcBorders>
              <w:top w:val="single" w:sz="4" w:space="0" w:color="auto"/>
              <w:bottom w:val="single" w:sz="4" w:space="0" w:color="auto"/>
            </w:tcBorders>
          </w:tcPr>
          <w:p w14:paraId="48D8A719" w14:textId="77777777" w:rsidR="00CF0E2D" w:rsidRPr="00EB6A70" w:rsidRDefault="00CF0E2D" w:rsidP="00A60D4B">
            <w:pPr>
              <w:pStyle w:val="InitFigR"/>
              <w:rPr>
                <w:szCs w:val="24"/>
              </w:rPr>
            </w:pPr>
            <w:r>
              <w:rPr>
                <w:szCs w:val="24"/>
              </w:rPr>
              <w:t>-350</w:t>
            </w:r>
          </w:p>
        </w:tc>
        <w:tc>
          <w:tcPr>
            <w:tcW w:w="1041" w:type="dxa"/>
            <w:tcBorders>
              <w:top w:val="single" w:sz="4" w:space="0" w:color="auto"/>
              <w:bottom w:val="single" w:sz="4" w:space="0" w:color="auto"/>
            </w:tcBorders>
          </w:tcPr>
          <w:p w14:paraId="3A8F42B9" w14:textId="77777777" w:rsidR="00CF0E2D" w:rsidRPr="00EB6A70" w:rsidRDefault="00CF0E2D" w:rsidP="00A60D4B">
            <w:pPr>
              <w:pStyle w:val="InitFigR"/>
              <w:rPr>
                <w:szCs w:val="24"/>
              </w:rPr>
            </w:pPr>
            <w:r>
              <w:rPr>
                <w:szCs w:val="24"/>
              </w:rPr>
              <w:t>0</w:t>
            </w:r>
          </w:p>
        </w:tc>
        <w:tc>
          <w:tcPr>
            <w:tcW w:w="1029" w:type="dxa"/>
            <w:tcBorders>
              <w:top w:val="single" w:sz="4" w:space="0" w:color="auto"/>
              <w:bottom w:val="single" w:sz="4" w:space="0" w:color="auto"/>
            </w:tcBorders>
          </w:tcPr>
          <w:p w14:paraId="24FF887A" w14:textId="77777777" w:rsidR="00CF0E2D" w:rsidRPr="00EB6A70" w:rsidRDefault="00CF0E2D" w:rsidP="00A60D4B">
            <w:pPr>
              <w:pStyle w:val="InitFigR"/>
              <w:rPr>
                <w:szCs w:val="24"/>
              </w:rPr>
            </w:pPr>
            <w:r>
              <w:rPr>
                <w:szCs w:val="24"/>
              </w:rPr>
              <w:t>0</w:t>
            </w:r>
          </w:p>
        </w:tc>
        <w:tc>
          <w:tcPr>
            <w:tcW w:w="1029" w:type="dxa"/>
            <w:tcBorders>
              <w:top w:val="single" w:sz="4" w:space="0" w:color="auto"/>
              <w:bottom w:val="single" w:sz="4" w:space="0" w:color="auto"/>
            </w:tcBorders>
          </w:tcPr>
          <w:p w14:paraId="7A237EEB" w14:textId="77777777" w:rsidR="00CF0E2D" w:rsidRPr="00EB6A70" w:rsidRDefault="00CF0E2D" w:rsidP="00A60D4B">
            <w:pPr>
              <w:pStyle w:val="InitFigR"/>
              <w:rPr>
                <w:szCs w:val="24"/>
              </w:rPr>
            </w:pPr>
            <w:r>
              <w:rPr>
                <w:szCs w:val="24"/>
              </w:rPr>
              <w:t>0</w:t>
            </w:r>
          </w:p>
        </w:tc>
        <w:tc>
          <w:tcPr>
            <w:tcW w:w="1029" w:type="dxa"/>
            <w:tcBorders>
              <w:top w:val="single" w:sz="4" w:space="0" w:color="auto"/>
              <w:bottom w:val="single" w:sz="4" w:space="0" w:color="auto"/>
            </w:tcBorders>
          </w:tcPr>
          <w:p w14:paraId="3EC8EBF7" w14:textId="77777777" w:rsidR="00CF0E2D" w:rsidRPr="00EB6A70" w:rsidRDefault="00CF0E2D" w:rsidP="00A60D4B">
            <w:pPr>
              <w:pStyle w:val="InitFigBR"/>
              <w:rPr>
                <w:szCs w:val="24"/>
              </w:rPr>
            </w:pPr>
            <w:r>
              <w:rPr>
                <w:szCs w:val="24"/>
              </w:rPr>
              <w:t>-350</w:t>
            </w:r>
          </w:p>
        </w:tc>
      </w:tr>
      <w:tr w:rsidR="00CF0E2D" w:rsidRPr="00EB6A70" w14:paraId="0680BD48" w14:textId="77777777" w:rsidTr="00A60D4B">
        <w:trPr>
          <w:cantSplit/>
          <w:jc w:val="center"/>
        </w:trPr>
        <w:tc>
          <w:tcPr>
            <w:tcW w:w="3652" w:type="dxa"/>
            <w:tcBorders>
              <w:top w:val="single" w:sz="4" w:space="0" w:color="auto"/>
              <w:bottom w:val="single" w:sz="4" w:space="0" w:color="auto"/>
            </w:tcBorders>
          </w:tcPr>
          <w:p w14:paraId="59E2F7FC" w14:textId="77777777" w:rsidR="00CF0E2D" w:rsidRPr="0030191B" w:rsidRDefault="00CF0E2D" w:rsidP="00A60D4B">
            <w:pPr>
              <w:pStyle w:val="InitTextL"/>
              <w:ind w:left="321" w:hanging="321"/>
              <w:rPr>
                <w:b/>
                <w:bCs/>
                <w:szCs w:val="24"/>
              </w:rPr>
            </w:pPr>
            <w:r w:rsidRPr="0030191B">
              <w:rPr>
                <w:b/>
                <w:bCs/>
                <w:szCs w:val="24"/>
              </w:rPr>
              <w:t>Net cost of services</w:t>
            </w:r>
          </w:p>
        </w:tc>
        <w:tc>
          <w:tcPr>
            <w:tcW w:w="1179" w:type="dxa"/>
            <w:tcBorders>
              <w:top w:val="single" w:sz="4" w:space="0" w:color="auto"/>
              <w:bottom w:val="single" w:sz="4" w:space="0" w:color="auto"/>
            </w:tcBorders>
          </w:tcPr>
          <w:p w14:paraId="735067D1" w14:textId="77777777" w:rsidR="00CF0E2D" w:rsidRPr="0030191B" w:rsidRDefault="00CF0E2D" w:rsidP="00A60D4B">
            <w:pPr>
              <w:pStyle w:val="InitFigR"/>
              <w:rPr>
                <w:b/>
                <w:bCs/>
                <w:szCs w:val="24"/>
              </w:rPr>
            </w:pPr>
            <w:r w:rsidRPr="0030191B">
              <w:rPr>
                <w:b/>
                <w:bCs/>
                <w:szCs w:val="24"/>
              </w:rPr>
              <w:t>0</w:t>
            </w:r>
          </w:p>
        </w:tc>
        <w:tc>
          <w:tcPr>
            <w:tcW w:w="1041" w:type="dxa"/>
            <w:tcBorders>
              <w:top w:val="single" w:sz="4" w:space="0" w:color="auto"/>
              <w:bottom w:val="single" w:sz="4" w:space="0" w:color="auto"/>
            </w:tcBorders>
          </w:tcPr>
          <w:p w14:paraId="6EABC4FE" w14:textId="77777777" w:rsidR="00CF0E2D" w:rsidRPr="0030191B" w:rsidRDefault="00CF0E2D" w:rsidP="00A60D4B">
            <w:pPr>
              <w:pStyle w:val="InitFigR"/>
              <w:rPr>
                <w:b/>
                <w:bCs/>
                <w:szCs w:val="24"/>
              </w:rPr>
            </w:pPr>
            <w:r w:rsidRPr="0030191B">
              <w:rPr>
                <w:b/>
                <w:bCs/>
                <w:szCs w:val="24"/>
              </w:rPr>
              <w:t>0</w:t>
            </w:r>
          </w:p>
        </w:tc>
        <w:tc>
          <w:tcPr>
            <w:tcW w:w="1029" w:type="dxa"/>
            <w:tcBorders>
              <w:top w:val="single" w:sz="4" w:space="0" w:color="auto"/>
              <w:bottom w:val="single" w:sz="4" w:space="0" w:color="auto"/>
            </w:tcBorders>
          </w:tcPr>
          <w:p w14:paraId="4EB13F15" w14:textId="77777777" w:rsidR="00CF0E2D" w:rsidRPr="0030191B" w:rsidRDefault="00CF0E2D" w:rsidP="00A60D4B">
            <w:pPr>
              <w:pStyle w:val="InitFigR"/>
              <w:rPr>
                <w:b/>
                <w:bCs/>
                <w:szCs w:val="24"/>
              </w:rPr>
            </w:pPr>
            <w:r w:rsidRPr="0030191B">
              <w:rPr>
                <w:b/>
                <w:bCs/>
                <w:szCs w:val="24"/>
              </w:rPr>
              <w:t>0</w:t>
            </w:r>
          </w:p>
        </w:tc>
        <w:tc>
          <w:tcPr>
            <w:tcW w:w="1029" w:type="dxa"/>
            <w:tcBorders>
              <w:top w:val="single" w:sz="4" w:space="0" w:color="auto"/>
              <w:bottom w:val="single" w:sz="4" w:space="0" w:color="auto"/>
            </w:tcBorders>
          </w:tcPr>
          <w:p w14:paraId="00CDD762" w14:textId="77777777" w:rsidR="00CF0E2D" w:rsidRPr="0030191B" w:rsidRDefault="00CF0E2D" w:rsidP="00A60D4B">
            <w:pPr>
              <w:pStyle w:val="InitFigR"/>
              <w:rPr>
                <w:b/>
                <w:bCs/>
                <w:szCs w:val="24"/>
              </w:rPr>
            </w:pPr>
            <w:r w:rsidRPr="0030191B">
              <w:rPr>
                <w:b/>
                <w:bCs/>
                <w:szCs w:val="24"/>
              </w:rPr>
              <w:t>0</w:t>
            </w:r>
          </w:p>
        </w:tc>
        <w:tc>
          <w:tcPr>
            <w:tcW w:w="1029" w:type="dxa"/>
            <w:tcBorders>
              <w:top w:val="single" w:sz="4" w:space="0" w:color="auto"/>
              <w:bottom w:val="single" w:sz="4" w:space="0" w:color="auto"/>
            </w:tcBorders>
          </w:tcPr>
          <w:p w14:paraId="73CC7A67" w14:textId="77777777" w:rsidR="00CF0E2D" w:rsidRPr="0030191B" w:rsidRDefault="00CF0E2D" w:rsidP="00A60D4B">
            <w:pPr>
              <w:pStyle w:val="InitFigBR"/>
              <w:rPr>
                <w:bCs/>
                <w:szCs w:val="24"/>
              </w:rPr>
            </w:pPr>
            <w:r w:rsidRPr="0030191B">
              <w:rPr>
                <w:bCs/>
                <w:szCs w:val="24"/>
              </w:rPr>
              <w:t>0</w:t>
            </w:r>
          </w:p>
        </w:tc>
      </w:tr>
    </w:tbl>
    <w:p w14:paraId="13EA158D" w14:textId="77777777" w:rsidR="00CF0E2D" w:rsidRPr="00540D75" w:rsidRDefault="00CF0E2D" w:rsidP="00A60D4B">
      <w:pPr>
        <w:pStyle w:val="Bbodytext"/>
      </w:pPr>
      <w:r w:rsidRPr="00CE3E95">
        <w:t xml:space="preserve">The Government will deliver a third round </w:t>
      </w:r>
      <w:r w:rsidRPr="00540D75">
        <w:t xml:space="preserve">of HOMEFRONT grants to support artists who have been impacted by COVID-19. </w:t>
      </w:r>
      <w:r w:rsidRPr="00CA10DD">
        <w:t xml:space="preserve">This initiative builds on funding provided for the first two HOMEFRONT rounds in the </w:t>
      </w:r>
      <w:r w:rsidRPr="00D2529F">
        <w:t>August 2020 Economic and Fiscal Update</w:t>
      </w:r>
      <w:r w:rsidRPr="00CE3E95">
        <w:t xml:space="preserve">, which supported over 125 artists. </w:t>
      </w:r>
    </w:p>
    <w:p w14:paraId="16498403" w14:textId="77777777" w:rsidR="00CF0E2D" w:rsidRDefault="00CF0E2D" w:rsidP="00A60D4B">
      <w:pPr>
        <w:pStyle w:val="Bbodytext"/>
      </w:pPr>
      <w:r w:rsidRPr="00CA10DD">
        <w:t>This initiative contributes to the wellbeing domain of Living standards.</w:t>
      </w:r>
    </w:p>
    <w:p w14:paraId="1D5A2D00" w14:textId="77777777" w:rsidR="00CF0E2D" w:rsidRPr="00CA10DD" w:rsidRDefault="00CF0E2D" w:rsidP="00A60D4B">
      <w:pPr>
        <w:pStyle w:val="Bbodytext"/>
      </w:pPr>
    </w:p>
    <w:p w14:paraId="277D1E89" w14:textId="77777777" w:rsidR="00CF0E2D" w:rsidRPr="00B05FB2" w:rsidRDefault="00CF0E2D" w:rsidP="00A60D4B">
      <w:pPr>
        <w:pStyle w:val="Heading4"/>
        <w:rPr>
          <w:bCs/>
          <w:szCs w:val="26"/>
        </w:rPr>
      </w:pPr>
      <w:r>
        <w:rPr>
          <w:b w:val="0"/>
          <w:noProof/>
          <w:color w:val="999789"/>
          <w:sz w:val="32"/>
          <w:szCs w:val="24"/>
        </w:rPr>
        <w:drawing>
          <wp:anchor distT="0" distB="0" distL="114300" distR="114300" simplePos="0" relativeHeight="251723776" behindDoc="0" locked="1" layoutInCell="1" allowOverlap="1" wp14:anchorId="48773432" wp14:editId="201A47D8">
            <wp:simplePos x="0" y="0"/>
            <wp:positionH relativeFrom="margin">
              <wp:posOffset>4583430</wp:posOffset>
            </wp:positionH>
            <wp:positionV relativeFrom="paragraph">
              <wp:posOffset>88265</wp:posOffset>
            </wp:positionV>
            <wp:extent cx="1148080" cy="503555"/>
            <wp:effectExtent l="0" t="0" r="0" b="0"/>
            <wp:wrapSquare wrapText="bothSides"/>
            <wp:docPr id="235" name="Picture 235"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080" cy="503555"/>
                    </a:xfrm>
                    <a:prstGeom prst="rect">
                      <a:avLst/>
                    </a:prstGeom>
                  </pic:spPr>
                </pic:pic>
              </a:graphicData>
            </a:graphic>
            <wp14:sizeRelH relativeFrom="margin">
              <wp14:pctWidth>0</wp14:pctWidth>
            </wp14:sizeRelH>
            <wp14:sizeRelV relativeFrom="margin">
              <wp14:pctHeight>0</wp14:pctHeight>
            </wp14:sizeRelV>
          </wp:anchor>
        </w:drawing>
      </w:r>
      <w:r w:rsidRPr="00DD60C9">
        <w:t>Backing our</w:t>
      </w:r>
      <w:r w:rsidRPr="00DD60C9">
        <w:rPr>
          <w:bCs/>
          <w:szCs w:val="26"/>
        </w:rPr>
        <w:t xml:space="preserve"> Arts and </w:t>
      </w:r>
      <w:r w:rsidRPr="00002721">
        <w:rPr>
          <w:bCs/>
          <w:szCs w:val="26"/>
        </w:rPr>
        <w:t>Entertainment – More support</w:t>
      </w:r>
      <w:r w:rsidRPr="00B05FB2">
        <w:rPr>
          <w:bCs/>
          <w:szCs w:val="26"/>
        </w:rPr>
        <w:t xml:space="preserve"> for Screen Canberra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EB6A70" w14:paraId="2B41D9D5" w14:textId="77777777" w:rsidTr="00A60D4B">
        <w:trPr>
          <w:cantSplit/>
          <w:jc w:val="center"/>
        </w:trPr>
        <w:tc>
          <w:tcPr>
            <w:tcW w:w="3652" w:type="dxa"/>
            <w:tcBorders>
              <w:top w:val="single" w:sz="4" w:space="0" w:color="auto"/>
              <w:bottom w:val="single" w:sz="4" w:space="0" w:color="auto"/>
            </w:tcBorders>
          </w:tcPr>
          <w:p w14:paraId="060936D4" w14:textId="77777777" w:rsidR="00CF0E2D" w:rsidRPr="00EB6A70" w:rsidRDefault="00CF0E2D" w:rsidP="00A60D4B">
            <w:pPr>
              <w:spacing w:after="0"/>
              <w:jc w:val="right"/>
              <w:rPr>
                <w:rFonts w:cs="Calibri"/>
                <w:color w:val="FFFFFF"/>
                <w:szCs w:val="24"/>
              </w:rPr>
            </w:pPr>
            <w:r w:rsidRPr="00EB6A70">
              <w:rPr>
                <w:rFonts w:cs="Calibri"/>
                <w:color w:val="FFFFFF"/>
                <w:szCs w:val="24"/>
              </w:rPr>
              <w:t>Empty Cell</w:t>
            </w:r>
          </w:p>
        </w:tc>
        <w:tc>
          <w:tcPr>
            <w:tcW w:w="1179" w:type="dxa"/>
            <w:tcBorders>
              <w:top w:val="single" w:sz="4" w:space="0" w:color="auto"/>
              <w:bottom w:val="single" w:sz="4" w:space="0" w:color="auto"/>
            </w:tcBorders>
          </w:tcPr>
          <w:p w14:paraId="2A891A50" w14:textId="77777777" w:rsidR="00CF0E2D" w:rsidRPr="00EB6A70" w:rsidRDefault="00CF0E2D" w:rsidP="00A60D4B">
            <w:pPr>
              <w:pStyle w:val="InitFigR"/>
              <w:rPr>
                <w:b/>
                <w:bCs/>
                <w:szCs w:val="24"/>
              </w:rPr>
            </w:pPr>
            <w:r w:rsidRPr="00EB6A70">
              <w:rPr>
                <w:b/>
                <w:bCs/>
                <w:szCs w:val="24"/>
              </w:rPr>
              <w:t>2021-22</w:t>
            </w:r>
          </w:p>
          <w:p w14:paraId="68C34AD9" w14:textId="77777777" w:rsidR="00CF0E2D" w:rsidRPr="00EB6A70" w:rsidRDefault="00CF0E2D" w:rsidP="00A60D4B">
            <w:pPr>
              <w:pStyle w:val="InitFigR"/>
              <w:rPr>
                <w:b/>
                <w:bCs/>
                <w:szCs w:val="24"/>
              </w:rPr>
            </w:pPr>
            <w:r w:rsidRPr="00EB6A70">
              <w:rPr>
                <w:b/>
                <w:bCs/>
                <w:szCs w:val="24"/>
              </w:rPr>
              <w:t>$’000</w:t>
            </w:r>
          </w:p>
        </w:tc>
        <w:tc>
          <w:tcPr>
            <w:tcW w:w="1041" w:type="dxa"/>
            <w:tcBorders>
              <w:top w:val="single" w:sz="4" w:space="0" w:color="auto"/>
              <w:bottom w:val="single" w:sz="4" w:space="0" w:color="auto"/>
            </w:tcBorders>
          </w:tcPr>
          <w:p w14:paraId="271B543B" w14:textId="77777777" w:rsidR="00CF0E2D" w:rsidRPr="00EB6A70" w:rsidRDefault="00CF0E2D" w:rsidP="00A60D4B">
            <w:pPr>
              <w:pStyle w:val="InitFigR"/>
              <w:rPr>
                <w:b/>
                <w:bCs/>
                <w:szCs w:val="24"/>
              </w:rPr>
            </w:pPr>
            <w:r w:rsidRPr="00EB6A70">
              <w:rPr>
                <w:b/>
                <w:bCs/>
                <w:szCs w:val="24"/>
              </w:rPr>
              <w:t>2022-23</w:t>
            </w:r>
          </w:p>
          <w:p w14:paraId="5E7B1667" w14:textId="77777777" w:rsidR="00CF0E2D" w:rsidRPr="00EB6A70" w:rsidRDefault="00CF0E2D" w:rsidP="00A60D4B">
            <w:pPr>
              <w:pStyle w:val="InitFigR"/>
              <w:rPr>
                <w:b/>
                <w:bCs/>
                <w:szCs w:val="24"/>
              </w:rPr>
            </w:pPr>
            <w:r w:rsidRPr="00EB6A70">
              <w:rPr>
                <w:b/>
                <w:bCs/>
                <w:szCs w:val="24"/>
              </w:rPr>
              <w:t>$’000</w:t>
            </w:r>
          </w:p>
        </w:tc>
        <w:tc>
          <w:tcPr>
            <w:tcW w:w="1029" w:type="dxa"/>
            <w:tcBorders>
              <w:top w:val="single" w:sz="4" w:space="0" w:color="auto"/>
              <w:bottom w:val="single" w:sz="4" w:space="0" w:color="auto"/>
            </w:tcBorders>
          </w:tcPr>
          <w:p w14:paraId="33174563" w14:textId="77777777" w:rsidR="00CF0E2D" w:rsidRPr="00EB6A70" w:rsidRDefault="00CF0E2D" w:rsidP="00A60D4B">
            <w:pPr>
              <w:pStyle w:val="InitFigR"/>
              <w:rPr>
                <w:b/>
                <w:bCs/>
                <w:szCs w:val="24"/>
              </w:rPr>
            </w:pPr>
            <w:r w:rsidRPr="00EB6A70">
              <w:rPr>
                <w:b/>
                <w:bCs/>
                <w:szCs w:val="24"/>
              </w:rPr>
              <w:t>2023-24</w:t>
            </w:r>
          </w:p>
          <w:p w14:paraId="1ECDA3E2" w14:textId="77777777" w:rsidR="00CF0E2D" w:rsidRPr="00EB6A70" w:rsidRDefault="00CF0E2D" w:rsidP="00A60D4B">
            <w:pPr>
              <w:pStyle w:val="InitFigR"/>
              <w:rPr>
                <w:b/>
                <w:bCs/>
                <w:szCs w:val="24"/>
              </w:rPr>
            </w:pPr>
            <w:r w:rsidRPr="00EB6A70">
              <w:rPr>
                <w:b/>
                <w:bCs/>
                <w:szCs w:val="24"/>
              </w:rPr>
              <w:t>$’000</w:t>
            </w:r>
          </w:p>
        </w:tc>
        <w:tc>
          <w:tcPr>
            <w:tcW w:w="1029" w:type="dxa"/>
            <w:tcBorders>
              <w:top w:val="single" w:sz="4" w:space="0" w:color="auto"/>
              <w:bottom w:val="single" w:sz="4" w:space="0" w:color="auto"/>
            </w:tcBorders>
          </w:tcPr>
          <w:p w14:paraId="5214E26D" w14:textId="77777777" w:rsidR="00CF0E2D" w:rsidRPr="00EB6A70" w:rsidRDefault="00CF0E2D" w:rsidP="00A60D4B">
            <w:pPr>
              <w:pStyle w:val="InitFigR"/>
              <w:rPr>
                <w:b/>
                <w:bCs/>
                <w:szCs w:val="24"/>
              </w:rPr>
            </w:pPr>
            <w:r w:rsidRPr="00EB6A70">
              <w:rPr>
                <w:b/>
                <w:bCs/>
                <w:szCs w:val="24"/>
              </w:rPr>
              <w:t>2024-25</w:t>
            </w:r>
          </w:p>
          <w:p w14:paraId="063F5AD3" w14:textId="77777777" w:rsidR="00CF0E2D" w:rsidRPr="00EB6A70" w:rsidRDefault="00CF0E2D" w:rsidP="00A60D4B">
            <w:pPr>
              <w:pStyle w:val="InitFigR"/>
              <w:rPr>
                <w:b/>
                <w:bCs/>
                <w:szCs w:val="24"/>
              </w:rPr>
            </w:pPr>
            <w:r w:rsidRPr="00EB6A70">
              <w:rPr>
                <w:b/>
                <w:bCs/>
                <w:szCs w:val="24"/>
              </w:rPr>
              <w:t>$’000</w:t>
            </w:r>
          </w:p>
        </w:tc>
        <w:tc>
          <w:tcPr>
            <w:tcW w:w="1029" w:type="dxa"/>
            <w:tcBorders>
              <w:top w:val="single" w:sz="4" w:space="0" w:color="auto"/>
              <w:bottom w:val="single" w:sz="4" w:space="0" w:color="auto"/>
            </w:tcBorders>
          </w:tcPr>
          <w:p w14:paraId="478C015B" w14:textId="77777777" w:rsidR="00CF0E2D" w:rsidRPr="00EB6A70" w:rsidRDefault="00CF0E2D" w:rsidP="00A60D4B">
            <w:pPr>
              <w:pStyle w:val="InitFigR"/>
              <w:rPr>
                <w:b/>
                <w:bCs/>
                <w:szCs w:val="24"/>
              </w:rPr>
            </w:pPr>
            <w:r w:rsidRPr="00EB6A70">
              <w:rPr>
                <w:b/>
                <w:bCs/>
                <w:szCs w:val="24"/>
              </w:rPr>
              <w:t>Total</w:t>
            </w:r>
          </w:p>
          <w:p w14:paraId="611CDC72" w14:textId="77777777" w:rsidR="00CF0E2D" w:rsidRPr="00EB6A70" w:rsidRDefault="00CF0E2D" w:rsidP="00A60D4B">
            <w:pPr>
              <w:pStyle w:val="InitFigR"/>
              <w:rPr>
                <w:b/>
                <w:bCs/>
                <w:szCs w:val="24"/>
              </w:rPr>
            </w:pPr>
            <w:r w:rsidRPr="00EB6A70">
              <w:rPr>
                <w:b/>
                <w:bCs/>
                <w:szCs w:val="24"/>
              </w:rPr>
              <w:t>$’000</w:t>
            </w:r>
          </w:p>
        </w:tc>
      </w:tr>
      <w:tr w:rsidR="00CF0E2D" w:rsidRPr="00EB6A70" w14:paraId="3056635A" w14:textId="77777777" w:rsidTr="00A60D4B">
        <w:trPr>
          <w:cantSplit/>
          <w:jc w:val="center"/>
        </w:trPr>
        <w:tc>
          <w:tcPr>
            <w:tcW w:w="3652" w:type="dxa"/>
            <w:tcBorders>
              <w:top w:val="single" w:sz="4" w:space="0" w:color="auto"/>
              <w:bottom w:val="single" w:sz="4" w:space="0" w:color="auto"/>
            </w:tcBorders>
          </w:tcPr>
          <w:p w14:paraId="184E80BF" w14:textId="77777777" w:rsidR="00CF0E2D" w:rsidRPr="00EB6A70" w:rsidRDefault="00CF0E2D" w:rsidP="00A60D4B">
            <w:pPr>
              <w:pStyle w:val="InitTextL"/>
              <w:ind w:left="321" w:hanging="321"/>
              <w:rPr>
                <w:szCs w:val="24"/>
              </w:rPr>
            </w:pPr>
            <w:r w:rsidRPr="00EB6A70">
              <w:rPr>
                <w:szCs w:val="24"/>
              </w:rPr>
              <w:t>Expenses</w:t>
            </w:r>
          </w:p>
        </w:tc>
        <w:tc>
          <w:tcPr>
            <w:tcW w:w="1179" w:type="dxa"/>
            <w:tcBorders>
              <w:top w:val="single" w:sz="4" w:space="0" w:color="auto"/>
              <w:bottom w:val="single" w:sz="4" w:space="0" w:color="auto"/>
            </w:tcBorders>
          </w:tcPr>
          <w:p w14:paraId="16ADD3FD" w14:textId="77777777" w:rsidR="00CF0E2D" w:rsidRPr="00EB6A70" w:rsidRDefault="00CF0E2D" w:rsidP="00A60D4B">
            <w:pPr>
              <w:pStyle w:val="InitFigR"/>
              <w:rPr>
                <w:szCs w:val="24"/>
              </w:rPr>
            </w:pPr>
            <w:r w:rsidRPr="00EB6A70">
              <w:rPr>
                <w:szCs w:val="24"/>
              </w:rPr>
              <w:t>383</w:t>
            </w:r>
          </w:p>
        </w:tc>
        <w:tc>
          <w:tcPr>
            <w:tcW w:w="1041" w:type="dxa"/>
            <w:tcBorders>
              <w:top w:val="single" w:sz="4" w:space="0" w:color="auto"/>
              <w:bottom w:val="single" w:sz="4" w:space="0" w:color="auto"/>
            </w:tcBorders>
          </w:tcPr>
          <w:p w14:paraId="25AA5805" w14:textId="77777777" w:rsidR="00CF0E2D" w:rsidRPr="00EB6A70" w:rsidRDefault="00CF0E2D" w:rsidP="00A60D4B">
            <w:pPr>
              <w:pStyle w:val="InitFigR"/>
              <w:rPr>
                <w:szCs w:val="24"/>
              </w:rPr>
            </w:pPr>
            <w:r w:rsidRPr="00EB6A70">
              <w:rPr>
                <w:szCs w:val="24"/>
              </w:rPr>
              <w:t>390</w:t>
            </w:r>
          </w:p>
        </w:tc>
        <w:tc>
          <w:tcPr>
            <w:tcW w:w="1029" w:type="dxa"/>
            <w:tcBorders>
              <w:top w:val="single" w:sz="4" w:space="0" w:color="auto"/>
              <w:bottom w:val="single" w:sz="4" w:space="0" w:color="auto"/>
            </w:tcBorders>
          </w:tcPr>
          <w:p w14:paraId="12FF79C2" w14:textId="77777777" w:rsidR="00CF0E2D" w:rsidRPr="00EB6A70" w:rsidRDefault="00CF0E2D" w:rsidP="00A60D4B">
            <w:pPr>
              <w:pStyle w:val="InitFigR"/>
              <w:rPr>
                <w:szCs w:val="24"/>
              </w:rPr>
            </w:pPr>
            <w:r w:rsidRPr="00EB6A70">
              <w:rPr>
                <w:szCs w:val="24"/>
              </w:rPr>
              <w:t>397</w:t>
            </w:r>
          </w:p>
        </w:tc>
        <w:tc>
          <w:tcPr>
            <w:tcW w:w="1029" w:type="dxa"/>
            <w:tcBorders>
              <w:top w:val="single" w:sz="4" w:space="0" w:color="auto"/>
              <w:bottom w:val="single" w:sz="4" w:space="0" w:color="auto"/>
            </w:tcBorders>
          </w:tcPr>
          <w:p w14:paraId="6DEEB4F5" w14:textId="77777777" w:rsidR="00CF0E2D" w:rsidRPr="00EB6A70" w:rsidRDefault="00CF0E2D" w:rsidP="00A60D4B">
            <w:pPr>
              <w:pStyle w:val="InitFigR"/>
              <w:rPr>
                <w:szCs w:val="24"/>
              </w:rPr>
            </w:pPr>
            <w:r w:rsidRPr="00EB6A70">
              <w:rPr>
                <w:szCs w:val="24"/>
              </w:rPr>
              <w:t>405</w:t>
            </w:r>
          </w:p>
        </w:tc>
        <w:tc>
          <w:tcPr>
            <w:tcW w:w="1029" w:type="dxa"/>
            <w:tcBorders>
              <w:top w:val="single" w:sz="4" w:space="0" w:color="auto"/>
              <w:bottom w:val="single" w:sz="4" w:space="0" w:color="auto"/>
            </w:tcBorders>
          </w:tcPr>
          <w:p w14:paraId="79A0FEA8" w14:textId="77777777" w:rsidR="00CF0E2D" w:rsidRPr="00EB6A70" w:rsidRDefault="00CF0E2D" w:rsidP="00A60D4B">
            <w:pPr>
              <w:pStyle w:val="InitFigR"/>
              <w:rPr>
                <w:b/>
                <w:bCs/>
                <w:szCs w:val="24"/>
              </w:rPr>
            </w:pPr>
            <w:r w:rsidRPr="00EB6A70">
              <w:rPr>
                <w:b/>
                <w:bCs/>
                <w:szCs w:val="24"/>
              </w:rPr>
              <w:t>1,575</w:t>
            </w:r>
          </w:p>
        </w:tc>
      </w:tr>
    </w:tbl>
    <w:p w14:paraId="7D2E31F5" w14:textId="77777777" w:rsidR="00CF0E2D" w:rsidRPr="00540D75" w:rsidRDefault="00CF0E2D" w:rsidP="00A60D4B">
      <w:pPr>
        <w:pStyle w:val="Bbodytext"/>
      </w:pPr>
      <w:r w:rsidRPr="00CE3E95">
        <w:t>The Government will promote the local film</w:t>
      </w:r>
      <w:r w:rsidRPr="00540D75">
        <w:t xml:space="preserve"> industry by continuing support for Screen Canberra to develop local capacity and attract screen production projects to the Territory, including through the Canberra Screen Fund.</w:t>
      </w:r>
    </w:p>
    <w:p w14:paraId="703F8208" w14:textId="77777777" w:rsidR="00CF0E2D" w:rsidRDefault="00CF0E2D" w:rsidP="00A60D4B">
      <w:pPr>
        <w:pStyle w:val="Bbodytext"/>
      </w:pPr>
      <w:r w:rsidRPr="00CA10DD">
        <w:t xml:space="preserve">This initiative contributes to the wellbeing domains of Economy and Social connection. </w:t>
      </w:r>
    </w:p>
    <w:p w14:paraId="4F6C5AD3" w14:textId="77777777" w:rsidR="00CF0E2D" w:rsidRPr="00CA10DD" w:rsidRDefault="00CF0E2D" w:rsidP="00A60D4B">
      <w:pPr>
        <w:pStyle w:val="Bbodytext"/>
      </w:pPr>
    </w:p>
    <w:p w14:paraId="0AE53C7A" w14:textId="77777777" w:rsidR="00CF0E2D" w:rsidRPr="008010E8" w:rsidRDefault="00CF0E2D" w:rsidP="00A60D4B">
      <w:pPr>
        <w:pStyle w:val="Heading4"/>
        <w:rPr>
          <w:sz w:val="24"/>
        </w:rPr>
      </w:pPr>
      <w:r>
        <w:rPr>
          <w:b w:val="0"/>
          <w:noProof/>
          <w:color w:val="999789"/>
          <w:sz w:val="32"/>
          <w:szCs w:val="24"/>
        </w:rPr>
        <w:drawing>
          <wp:anchor distT="0" distB="0" distL="114300" distR="114300" simplePos="0" relativeHeight="251724800" behindDoc="0" locked="1" layoutInCell="1" allowOverlap="1" wp14:anchorId="2B42EF9A" wp14:editId="41EEC162">
            <wp:simplePos x="0" y="0"/>
            <wp:positionH relativeFrom="margin">
              <wp:align>right</wp:align>
            </wp:positionH>
            <wp:positionV relativeFrom="paragraph">
              <wp:posOffset>91440</wp:posOffset>
            </wp:positionV>
            <wp:extent cx="1216660" cy="503555"/>
            <wp:effectExtent l="0" t="0" r="2540" b="0"/>
            <wp:wrapSquare wrapText="bothSides"/>
            <wp:docPr id="236" name="Picture 236" descr="Icon representing the wellbeing domain of Identity and belo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 representing the wellbeing domain of Identity and belongi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16660" cy="503555"/>
                    </a:xfrm>
                    <a:prstGeom prst="rect">
                      <a:avLst/>
                    </a:prstGeom>
                  </pic:spPr>
                </pic:pic>
              </a:graphicData>
            </a:graphic>
            <wp14:sizeRelH relativeFrom="margin">
              <wp14:pctWidth>0</wp14:pctWidth>
            </wp14:sizeRelH>
            <wp14:sizeRelV relativeFrom="margin">
              <wp14:pctHeight>0</wp14:pctHeight>
            </wp14:sizeRelV>
          </wp:anchor>
        </w:drawing>
      </w:r>
      <w:r w:rsidRPr="00DD60C9">
        <w:rPr>
          <w:rFonts w:eastAsiaTheme="minorHAnsi"/>
        </w:rPr>
        <w:t xml:space="preserve">Backing our </w:t>
      </w:r>
      <w:r w:rsidRPr="0099620F">
        <w:rPr>
          <w:rFonts w:eastAsiaTheme="minorHAnsi"/>
        </w:rPr>
        <w:t xml:space="preserve">Arts </w:t>
      </w:r>
      <w:r w:rsidRPr="00DD60C9">
        <w:rPr>
          <w:rFonts w:eastAsiaTheme="minorHAnsi"/>
        </w:rPr>
        <w:t>and Entertainment</w:t>
      </w:r>
      <w:r w:rsidRPr="0099620F">
        <w:rPr>
          <w:rFonts w:eastAsiaTheme="minorHAnsi"/>
        </w:rPr>
        <w:t xml:space="preserve"> – More </w:t>
      </w:r>
      <w:r>
        <w:rPr>
          <w:rFonts w:eastAsiaTheme="minorHAnsi"/>
        </w:rPr>
        <w:t>s</w:t>
      </w:r>
      <w:r w:rsidRPr="0099620F">
        <w:rPr>
          <w:rFonts w:eastAsiaTheme="minorHAnsi"/>
        </w:rPr>
        <w:t>upport for the Belconnen and Ainslie Arts Centres</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8010E8" w14:paraId="038683E9" w14:textId="77777777" w:rsidTr="00A60D4B">
        <w:trPr>
          <w:cantSplit/>
          <w:jc w:val="center"/>
        </w:trPr>
        <w:tc>
          <w:tcPr>
            <w:tcW w:w="3652" w:type="dxa"/>
            <w:tcBorders>
              <w:top w:val="single" w:sz="4" w:space="0" w:color="auto"/>
              <w:bottom w:val="single" w:sz="4" w:space="0" w:color="auto"/>
            </w:tcBorders>
          </w:tcPr>
          <w:p w14:paraId="174DD669" w14:textId="77777777" w:rsidR="00CF0E2D" w:rsidRPr="00F56E47" w:rsidRDefault="00CF0E2D" w:rsidP="00A60D4B">
            <w:pPr>
              <w:keepNext/>
              <w:keepLines/>
              <w:spacing w:after="0"/>
              <w:rPr>
                <w:rFonts w:ascii="Calibri" w:hAnsi="Calibri"/>
                <w:sz w:val="24"/>
                <w:szCs w:val="24"/>
              </w:rPr>
            </w:pPr>
          </w:p>
        </w:tc>
        <w:tc>
          <w:tcPr>
            <w:tcW w:w="1179" w:type="dxa"/>
            <w:tcBorders>
              <w:top w:val="single" w:sz="4" w:space="0" w:color="auto"/>
              <w:bottom w:val="single" w:sz="4" w:space="0" w:color="auto"/>
            </w:tcBorders>
          </w:tcPr>
          <w:p w14:paraId="20273591" w14:textId="77777777" w:rsidR="00CF0E2D" w:rsidRPr="00F56E47" w:rsidRDefault="00CF0E2D" w:rsidP="00A60D4B">
            <w:pPr>
              <w:keepNext/>
              <w:keepLines/>
              <w:spacing w:after="0"/>
              <w:jc w:val="right"/>
              <w:rPr>
                <w:rFonts w:ascii="Calibri" w:hAnsi="Calibri"/>
                <w:b/>
                <w:sz w:val="24"/>
                <w:szCs w:val="24"/>
              </w:rPr>
            </w:pPr>
            <w:r w:rsidRPr="00F56E47">
              <w:rPr>
                <w:rFonts w:ascii="Calibri" w:hAnsi="Calibri"/>
                <w:b/>
                <w:sz w:val="24"/>
                <w:szCs w:val="24"/>
              </w:rPr>
              <w:t>2021-22</w:t>
            </w:r>
          </w:p>
          <w:p w14:paraId="1B3EB0BA" w14:textId="77777777" w:rsidR="00CF0E2D" w:rsidRPr="00F56E47" w:rsidRDefault="00CF0E2D" w:rsidP="00A60D4B">
            <w:pPr>
              <w:keepNext/>
              <w:keepLines/>
              <w:spacing w:after="0"/>
              <w:jc w:val="right"/>
              <w:rPr>
                <w:rFonts w:ascii="Calibri" w:hAnsi="Calibri"/>
                <w:b/>
                <w:sz w:val="24"/>
                <w:szCs w:val="24"/>
              </w:rPr>
            </w:pPr>
            <w:r w:rsidRPr="00F56E47">
              <w:rPr>
                <w:rFonts w:ascii="Calibri" w:hAnsi="Calibri"/>
                <w:b/>
                <w:sz w:val="24"/>
                <w:szCs w:val="24"/>
              </w:rPr>
              <w:t>$’000</w:t>
            </w:r>
          </w:p>
        </w:tc>
        <w:tc>
          <w:tcPr>
            <w:tcW w:w="1041" w:type="dxa"/>
            <w:tcBorders>
              <w:top w:val="single" w:sz="4" w:space="0" w:color="auto"/>
              <w:bottom w:val="single" w:sz="4" w:space="0" w:color="auto"/>
            </w:tcBorders>
          </w:tcPr>
          <w:p w14:paraId="4F0E9A20" w14:textId="77777777" w:rsidR="00CF0E2D" w:rsidRPr="00F56E47" w:rsidRDefault="00CF0E2D" w:rsidP="00A60D4B">
            <w:pPr>
              <w:keepNext/>
              <w:keepLines/>
              <w:spacing w:after="0"/>
              <w:jc w:val="right"/>
              <w:rPr>
                <w:rFonts w:ascii="Calibri" w:hAnsi="Calibri"/>
                <w:b/>
                <w:sz w:val="24"/>
                <w:szCs w:val="24"/>
              </w:rPr>
            </w:pPr>
            <w:r w:rsidRPr="00F56E47">
              <w:rPr>
                <w:rFonts w:ascii="Calibri" w:hAnsi="Calibri"/>
                <w:b/>
                <w:sz w:val="24"/>
                <w:szCs w:val="24"/>
              </w:rPr>
              <w:t>2022-23</w:t>
            </w:r>
          </w:p>
          <w:p w14:paraId="7E3B8D32" w14:textId="77777777" w:rsidR="00CF0E2D" w:rsidRPr="00F56E47" w:rsidRDefault="00CF0E2D" w:rsidP="00A60D4B">
            <w:pPr>
              <w:keepNext/>
              <w:keepLines/>
              <w:spacing w:after="0"/>
              <w:jc w:val="right"/>
              <w:rPr>
                <w:rFonts w:ascii="Calibri" w:hAnsi="Calibri"/>
                <w:b/>
                <w:sz w:val="24"/>
                <w:szCs w:val="24"/>
              </w:rPr>
            </w:pPr>
            <w:r w:rsidRPr="00F56E47">
              <w:rPr>
                <w:rFonts w:ascii="Calibri" w:hAnsi="Calibri"/>
                <w:b/>
                <w:sz w:val="24"/>
                <w:szCs w:val="24"/>
              </w:rPr>
              <w:t>$’000</w:t>
            </w:r>
          </w:p>
        </w:tc>
        <w:tc>
          <w:tcPr>
            <w:tcW w:w="1029" w:type="dxa"/>
            <w:tcBorders>
              <w:top w:val="single" w:sz="4" w:space="0" w:color="auto"/>
              <w:bottom w:val="single" w:sz="4" w:space="0" w:color="auto"/>
            </w:tcBorders>
          </w:tcPr>
          <w:p w14:paraId="4DA4B39F" w14:textId="77777777" w:rsidR="00CF0E2D" w:rsidRPr="00F56E47" w:rsidRDefault="00CF0E2D" w:rsidP="00A60D4B">
            <w:pPr>
              <w:keepNext/>
              <w:keepLines/>
              <w:spacing w:after="0"/>
              <w:jc w:val="right"/>
              <w:rPr>
                <w:rFonts w:ascii="Calibri" w:hAnsi="Calibri"/>
                <w:b/>
                <w:sz w:val="24"/>
                <w:szCs w:val="24"/>
              </w:rPr>
            </w:pPr>
            <w:r w:rsidRPr="00F56E47">
              <w:rPr>
                <w:rFonts w:ascii="Calibri" w:hAnsi="Calibri"/>
                <w:b/>
                <w:sz w:val="24"/>
                <w:szCs w:val="24"/>
              </w:rPr>
              <w:t>2023-24</w:t>
            </w:r>
          </w:p>
          <w:p w14:paraId="428BA95D" w14:textId="77777777" w:rsidR="00CF0E2D" w:rsidRPr="00F56E47" w:rsidRDefault="00CF0E2D" w:rsidP="00A60D4B">
            <w:pPr>
              <w:keepNext/>
              <w:keepLines/>
              <w:spacing w:after="0"/>
              <w:jc w:val="right"/>
              <w:rPr>
                <w:rFonts w:ascii="Calibri" w:hAnsi="Calibri"/>
                <w:b/>
                <w:sz w:val="24"/>
                <w:szCs w:val="24"/>
              </w:rPr>
            </w:pPr>
            <w:r w:rsidRPr="00F56E47">
              <w:rPr>
                <w:rFonts w:ascii="Calibri" w:hAnsi="Calibri"/>
                <w:b/>
                <w:sz w:val="24"/>
                <w:szCs w:val="24"/>
              </w:rPr>
              <w:t>$’000</w:t>
            </w:r>
          </w:p>
        </w:tc>
        <w:tc>
          <w:tcPr>
            <w:tcW w:w="1029" w:type="dxa"/>
            <w:tcBorders>
              <w:top w:val="single" w:sz="4" w:space="0" w:color="auto"/>
              <w:bottom w:val="single" w:sz="4" w:space="0" w:color="auto"/>
            </w:tcBorders>
          </w:tcPr>
          <w:p w14:paraId="02ED1D05" w14:textId="77777777" w:rsidR="00CF0E2D" w:rsidRPr="00F56E47" w:rsidRDefault="00CF0E2D" w:rsidP="00A60D4B">
            <w:pPr>
              <w:keepNext/>
              <w:keepLines/>
              <w:spacing w:after="0"/>
              <w:jc w:val="right"/>
              <w:rPr>
                <w:rFonts w:ascii="Calibri" w:hAnsi="Calibri"/>
                <w:b/>
                <w:sz w:val="24"/>
                <w:szCs w:val="24"/>
              </w:rPr>
            </w:pPr>
            <w:r w:rsidRPr="00F56E47">
              <w:rPr>
                <w:rFonts w:ascii="Calibri" w:hAnsi="Calibri"/>
                <w:b/>
                <w:sz w:val="24"/>
                <w:szCs w:val="24"/>
              </w:rPr>
              <w:t>2024-25</w:t>
            </w:r>
          </w:p>
          <w:p w14:paraId="5D7F0030" w14:textId="77777777" w:rsidR="00CF0E2D" w:rsidRPr="00F56E47" w:rsidRDefault="00CF0E2D" w:rsidP="00A60D4B">
            <w:pPr>
              <w:keepNext/>
              <w:keepLines/>
              <w:spacing w:after="0"/>
              <w:jc w:val="right"/>
              <w:rPr>
                <w:rFonts w:ascii="Calibri" w:hAnsi="Calibri"/>
                <w:b/>
                <w:sz w:val="24"/>
                <w:szCs w:val="24"/>
              </w:rPr>
            </w:pPr>
            <w:r w:rsidRPr="00F56E47">
              <w:rPr>
                <w:rFonts w:ascii="Calibri" w:hAnsi="Calibri"/>
                <w:b/>
                <w:sz w:val="24"/>
                <w:szCs w:val="24"/>
              </w:rPr>
              <w:t>$’000</w:t>
            </w:r>
          </w:p>
        </w:tc>
        <w:tc>
          <w:tcPr>
            <w:tcW w:w="1029" w:type="dxa"/>
            <w:tcBorders>
              <w:top w:val="single" w:sz="4" w:space="0" w:color="auto"/>
              <w:bottom w:val="single" w:sz="4" w:space="0" w:color="auto"/>
            </w:tcBorders>
          </w:tcPr>
          <w:p w14:paraId="6C371431" w14:textId="77777777" w:rsidR="00CF0E2D" w:rsidRPr="00F56E47" w:rsidRDefault="00CF0E2D" w:rsidP="00A60D4B">
            <w:pPr>
              <w:keepNext/>
              <w:keepLines/>
              <w:spacing w:after="0"/>
              <w:jc w:val="right"/>
              <w:rPr>
                <w:rFonts w:ascii="Calibri" w:hAnsi="Calibri"/>
                <w:b/>
                <w:sz w:val="24"/>
                <w:szCs w:val="24"/>
              </w:rPr>
            </w:pPr>
            <w:r w:rsidRPr="00F56E47">
              <w:rPr>
                <w:rFonts w:ascii="Calibri" w:hAnsi="Calibri"/>
                <w:b/>
                <w:sz w:val="24"/>
                <w:szCs w:val="24"/>
              </w:rPr>
              <w:t>Total</w:t>
            </w:r>
          </w:p>
          <w:p w14:paraId="180E9C15" w14:textId="77777777" w:rsidR="00CF0E2D" w:rsidRPr="00F56E47" w:rsidRDefault="00CF0E2D" w:rsidP="00A60D4B">
            <w:pPr>
              <w:keepNext/>
              <w:keepLines/>
              <w:spacing w:after="0"/>
              <w:jc w:val="right"/>
              <w:rPr>
                <w:rFonts w:ascii="Calibri" w:hAnsi="Calibri"/>
                <w:b/>
                <w:sz w:val="24"/>
                <w:szCs w:val="24"/>
              </w:rPr>
            </w:pPr>
            <w:r w:rsidRPr="00F56E47">
              <w:rPr>
                <w:rFonts w:ascii="Calibri" w:hAnsi="Calibri"/>
                <w:b/>
                <w:sz w:val="24"/>
                <w:szCs w:val="24"/>
              </w:rPr>
              <w:t>$’000</w:t>
            </w:r>
          </w:p>
        </w:tc>
      </w:tr>
      <w:tr w:rsidR="00CF0E2D" w:rsidRPr="008010E8" w14:paraId="56975E97" w14:textId="77777777" w:rsidTr="00A60D4B">
        <w:trPr>
          <w:cantSplit/>
          <w:jc w:val="center"/>
        </w:trPr>
        <w:tc>
          <w:tcPr>
            <w:tcW w:w="3652" w:type="dxa"/>
          </w:tcPr>
          <w:p w14:paraId="5A7F308C" w14:textId="77777777" w:rsidR="00CF0E2D" w:rsidRPr="00F56E47" w:rsidRDefault="00CF0E2D" w:rsidP="00A60D4B">
            <w:pPr>
              <w:keepNext/>
              <w:keepLines/>
              <w:spacing w:after="0"/>
              <w:rPr>
                <w:rFonts w:ascii="Calibri" w:hAnsi="Calibri"/>
                <w:sz w:val="24"/>
                <w:szCs w:val="24"/>
              </w:rPr>
            </w:pPr>
            <w:r w:rsidRPr="00F56E47">
              <w:rPr>
                <w:rFonts w:ascii="Calibri" w:hAnsi="Calibri"/>
                <w:sz w:val="24"/>
                <w:szCs w:val="24"/>
              </w:rPr>
              <w:t>Expenses</w:t>
            </w:r>
          </w:p>
        </w:tc>
        <w:tc>
          <w:tcPr>
            <w:tcW w:w="1179" w:type="dxa"/>
          </w:tcPr>
          <w:p w14:paraId="5C765FD2" w14:textId="77777777" w:rsidR="00CF0E2D" w:rsidRPr="00F56E47" w:rsidRDefault="00CF0E2D" w:rsidP="00A60D4B">
            <w:pPr>
              <w:keepNext/>
              <w:keepLines/>
              <w:spacing w:after="0"/>
              <w:jc w:val="right"/>
              <w:rPr>
                <w:rFonts w:ascii="Calibri" w:hAnsi="Calibri"/>
                <w:sz w:val="24"/>
                <w:szCs w:val="24"/>
              </w:rPr>
            </w:pPr>
            <w:r w:rsidRPr="00F56E47">
              <w:rPr>
                <w:rFonts w:ascii="Calibri" w:hAnsi="Calibri"/>
                <w:sz w:val="24"/>
                <w:szCs w:val="24"/>
              </w:rPr>
              <w:t>330</w:t>
            </w:r>
          </w:p>
        </w:tc>
        <w:tc>
          <w:tcPr>
            <w:tcW w:w="1041" w:type="dxa"/>
          </w:tcPr>
          <w:p w14:paraId="4446E9E2" w14:textId="77777777" w:rsidR="00CF0E2D" w:rsidRPr="00F56E47" w:rsidRDefault="00CF0E2D" w:rsidP="00A60D4B">
            <w:pPr>
              <w:keepNext/>
              <w:keepLines/>
              <w:spacing w:after="0"/>
              <w:jc w:val="right"/>
              <w:rPr>
                <w:rFonts w:ascii="Calibri" w:hAnsi="Calibri"/>
                <w:sz w:val="24"/>
                <w:szCs w:val="24"/>
              </w:rPr>
            </w:pPr>
            <w:r w:rsidRPr="00F56E47">
              <w:rPr>
                <w:rFonts w:ascii="Calibri" w:hAnsi="Calibri"/>
                <w:sz w:val="24"/>
                <w:szCs w:val="24"/>
              </w:rPr>
              <w:t>130</w:t>
            </w:r>
          </w:p>
        </w:tc>
        <w:tc>
          <w:tcPr>
            <w:tcW w:w="1029" w:type="dxa"/>
          </w:tcPr>
          <w:p w14:paraId="6F8760D6" w14:textId="77777777" w:rsidR="00CF0E2D" w:rsidRPr="00F56E47" w:rsidRDefault="00CF0E2D" w:rsidP="00A60D4B">
            <w:pPr>
              <w:keepNext/>
              <w:keepLines/>
              <w:spacing w:after="0"/>
              <w:jc w:val="right"/>
              <w:rPr>
                <w:rFonts w:ascii="Calibri" w:hAnsi="Calibri"/>
                <w:sz w:val="24"/>
                <w:szCs w:val="24"/>
              </w:rPr>
            </w:pPr>
            <w:r w:rsidRPr="00F56E47">
              <w:rPr>
                <w:rFonts w:ascii="Calibri" w:hAnsi="Calibri"/>
                <w:sz w:val="24"/>
                <w:szCs w:val="24"/>
              </w:rPr>
              <w:t>130</w:t>
            </w:r>
          </w:p>
        </w:tc>
        <w:tc>
          <w:tcPr>
            <w:tcW w:w="1029" w:type="dxa"/>
          </w:tcPr>
          <w:p w14:paraId="379AD480" w14:textId="77777777" w:rsidR="00CF0E2D" w:rsidRPr="00F56E47" w:rsidRDefault="00CF0E2D" w:rsidP="00A60D4B">
            <w:pPr>
              <w:keepNext/>
              <w:keepLines/>
              <w:spacing w:after="0"/>
              <w:jc w:val="right"/>
              <w:rPr>
                <w:rFonts w:ascii="Calibri" w:hAnsi="Calibri"/>
                <w:sz w:val="24"/>
                <w:szCs w:val="24"/>
              </w:rPr>
            </w:pPr>
            <w:r w:rsidRPr="00F56E47">
              <w:rPr>
                <w:rFonts w:ascii="Calibri" w:hAnsi="Calibri"/>
                <w:sz w:val="24"/>
                <w:szCs w:val="24"/>
              </w:rPr>
              <w:t>130</w:t>
            </w:r>
          </w:p>
        </w:tc>
        <w:tc>
          <w:tcPr>
            <w:tcW w:w="1029" w:type="dxa"/>
          </w:tcPr>
          <w:p w14:paraId="49D6F590" w14:textId="77777777" w:rsidR="00CF0E2D" w:rsidRPr="00F56E47" w:rsidRDefault="00CF0E2D" w:rsidP="00A60D4B">
            <w:pPr>
              <w:keepNext/>
              <w:keepLines/>
              <w:spacing w:after="0"/>
              <w:jc w:val="right"/>
              <w:rPr>
                <w:rFonts w:ascii="Calibri" w:hAnsi="Calibri"/>
                <w:b/>
                <w:sz w:val="24"/>
                <w:szCs w:val="24"/>
              </w:rPr>
            </w:pPr>
            <w:r w:rsidRPr="00F56E47">
              <w:rPr>
                <w:rFonts w:ascii="Calibri" w:hAnsi="Calibri"/>
                <w:b/>
                <w:sz w:val="24"/>
                <w:szCs w:val="24"/>
              </w:rPr>
              <w:t>720</w:t>
            </w:r>
          </w:p>
        </w:tc>
      </w:tr>
      <w:tr w:rsidR="00CF0E2D" w:rsidRPr="008010E8" w14:paraId="122DE062" w14:textId="77777777" w:rsidTr="00A60D4B">
        <w:trPr>
          <w:cantSplit/>
          <w:jc w:val="center"/>
        </w:trPr>
        <w:tc>
          <w:tcPr>
            <w:tcW w:w="3652" w:type="dxa"/>
          </w:tcPr>
          <w:p w14:paraId="0814B96D" w14:textId="77777777" w:rsidR="00CF0E2D" w:rsidRPr="00F56E47" w:rsidRDefault="00CF0E2D" w:rsidP="00A60D4B">
            <w:pPr>
              <w:keepNext/>
              <w:keepLines/>
              <w:spacing w:after="0"/>
              <w:rPr>
                <w:rFonts w:ascii="Calibri" w:hAnsi="Calibri"/>
                <w:sz w:val="24"/>
                <w:szCs w:val="24"/>
              </w:rPr>
            </w:pPr>
            <w:r w:rsidRPr="00F56E47">
              <w:rPr>
                <w:rFonts w:ascii="Calibri" w:hAnsi="Calibri"/>
                <w:sz w:val="24"/>
                <w:szCs w:val="24"/>
              </w:rPr>
              <w:t>Offset – Expenses</w:t>
            </w:r>
          </w:p>
        </w:tc>
        <w:tc>
          <w:tcPr>
            <w:tcW w:w="1179" w:type="dxa"/>
          </w:tcPr>
          <w:p w14:paraId="1E1A33A9" w14:textId="77777777" w:rsidR="00CF0E2D" w:rsidRPr="00F56E47" w:rsidRDefault="00CF0E2D" w:rsidP="00A60D4B">
            <w:pPr>
              <w:keepNext/>
              <w:keepLines/>
              <w:spacing w:after="0"/>
              <w:jc w:val="right"/>
              <w:rPr>
                <w:rFonts w:ascii="Calibri" w:hAnsi="Calibri"/>
                <w:sz w:val="24"/>
                <w:szCs w:val="24"/>
              </w:rPr>
            </w:pPr>
            <w:r>
              <w:rPr>
                <w:rFonts w:ascii="Calibri" w:hAnsi="Calibri"/>
                <w:sz w:val="24"/>
                <w:szCs w:val="24"/>
              </w:rPr>
              <w:t>-</w:t>
            </w:r>
            <w:r w:rsidRPr="00F56E47">
              <w:rPr>
                <w:rFonts w:ascii="Calibri" w:hAnsi="Calibri"/>
                <w:sz w:val="24"/>
                <w:szCs w:val="24"/>
              </w:rPr>
              <w:t>130</w:t>
            </w:r>
          </w:p>
        </w:tc>
        <w:tc>
          <w:tcPr>
            <w:tcW w:w="1041" w:type="dxa"/>
          </w:tcPr>
          <w:p w14:paraId="6E3CA28C" w14:textId="77777777" w:rsidR="00CF0E2D" w:rsidRPr="00F56E47" w:rsidRDefault="00CF0E2D" w:rsidP="00A60D4B">
            <w:pPr>
              <w:keepNext/>
              <w:keepLines/>
              <w:spacing w:after="0"/>
              <w:jc w:val="right"/>
              <w:rPr>
                <w:rFonts w:ascii="Calibri" w:hAnsi="Calibri"/>
                <w:sz w:val="24"/>
                <w:szCs w:val="24"/>
              </w:rPr>
            </w:pPr>
            <w:r>
              <w:rPr>
                <w:rFonts w:ascii="Calibri" w:hAnsi="Calibri"/>
                <w:sz w:val="24"/>
                <w:szCs w:val="24"/>
              </w:rPr>
              <w:t>-</w:t>
            </w:r>
            <w:r w:rsidRPr="00F56E47">
              <w:rPr>
                <w:rFonts w:ascii="Calibri" w:hAnsi="Calibri"/>
                <w:sz w:val="24"/>
                <w:szCs w:val="24"/>
              </w:rPr>
              <w:t>130</w:t>
            </w:r>
          </w:p>
        </w:tc>
        <w:tc>
          <w:tcPr>
            <w:tcW w:w="1029" w:type="dxa"/>
          </w:tcPr>
          <w:p w14:paraId="2734D1FE" w14:textId="77777777" w:rsidR="00CF0E2D" w:rsidRPr="00F56E47" w:rsidRDefault="00CF0E2D" w:rsidP="00A60D4B">
            <w:pPr>
              <w:keepNext/>
              <w:keepLines/>
              <w:spacing w:after="0"/>
              <w:jc w:val="right"/>
              <w:rPr>
                <w:rFonts w:ascii="Calibri" w:hAnsi="Calibri"/>
                <w:sz w:val="24"/>
                <w:szCs w:val="24"/>
              </w:rPr>
            </w:pPr>
            <w:r>
              <w:rPr>
                <w:rFonts w:ascii="Calibri" w:hAnsi="Calibri"/>
                <w:sz w:val="24"/>
                <w:szCs w:val="24"/>
              </w:rPr>
              <w:t>-</w:t>
            </w:r>
            <w:r w:rsidRPr="00F56E47">
              <w:rPr>
                <w:rFonts w:ascii="Calibri" w:hAnsi="Calibri"/>
                <w:sz w:val="24"/>
                <w:szCs w:val="24"/>
              </w:rPr>
              <w:t>130</w:t>
            </w:r>
          </w:p>
        </w:tc>
        <w:tc>
          <w:tcPr>
            <w:tcW w:w="1029" w:type="dxa"/>
          </w:tcPr>
          <w:p w14:paraId="3068BDF0" w14:textId="77777777" w:rsidR="00CF0E2D" w:rsidRPr="00F56E47" w:rsidRDefault="00CF0E2D" w:rsidP="00A60D4B">
            <w:pPr>
              <w:keepNext/>
              <w:keepLines/>
              <w:spacing w:after="0"/>
              <w:jc w:val="right"/>
              <w:rPr>
                <w:rFonts w:ascii="Calibri" w:hAnsi="Calibri"/>
                <w:sz w:val="24"/>
                <w:szCs w:val="24"/>
              </w:rPr>
            </w:pPr>
            <w:r>
              <w:rPr>
                <w:rFonts w:ascii="Calibri" w:hAnsi="Calibri"/>
                <w:sz w:val="24"/>
                <w:szCs w:val="24"/>
              </w:rPr>
              <w:t>-</w:t>
            </w:r>
            <w:r w:rsidRPr="00F56E47">
              <w:rPr>
                <w:rFonts w:ascii="Calibri" w:hAnsi="Calibri"/>
                <w:sz w:val="24"/>
                <w:szCs w:val="24"/>
              </w:rPr>
              <w:t>130</w:t>
            </w:r>
          </w:p>
        </w:tc>
        <w:tc>
          <w:tcPr>
            <w:tcW w:w="1029" w:type="dxa"/>
          </w:tcPr>
          <w:p w14:paraId="3D4B70A9" w14:textId="77777777" w:rsidR="00CF0E2D" w:rsidRPr="00F56E47" w:rsidRDefault="00CF0E2D" w:rsidP="00A60D4B">
            <w:pPr>
              <w:keepNext/>
              <w:keepLines/>
              <w:spacing w:after="0"/>
              <w:jc w:val="right"/>
              <w:rPr>
                <w:rFonts w:ascii="Calibri" w:hAnsi="Calibri"/>
                <w:b/>
                <w:sz w:val="24"/>
                <w:szCs w:val="24"/>
              </w:rPr>
            </w:pPr>
            <w:r>
              <w:rPr>
                <w:rFonts w:ascii="Calibri" w:hAnsi="Calibri"/>
                <w:b/>
                <w:bCs/>
                <w:sz w:val="24"/>
                <w:szCs w:val="24"/>
              </w:rPr>
              <w:t>-</w:t>
            </w:r>
            <w:r w:rsidRPr="00F56E47">
              <w:rPr>
                <w:rFonts w:ascii="Calibri" w:hAnsi="Calibri"/>
                <w:b/>
                <w:sz w:val="24"/>
                <w:szCs w:val="24"/>
              </w:rPr>
              <w:t>520</w:t>
            </w:r>
          </w:p>
        </w:tc>
      </w:tr>
      <w:tr w:rsidR="00CF0E2D" w:rsidRPr="008010E8" w14:paraId="098B361A" w14:textId="77777777" w:rsidTr="00A60D4B">
        <w:trPr>
          <w:cantSplit/>
          <w:trHeight w:val="107"/>
          <w:jc w:val="center"/>
        </w:trPr>
        <w:tc>
          <w:tcPr>
            <w:tcW w:w="3652" w:type="dxa"/>
            <w:tcBorders>
              <w:top w:val="single" w:sz="4" w:space="0" w:color="auto"/>
              <w:bottom w:val="single" w:sz="4" w:space="0" w:color="auto"/>
            </w:tcBorders>
          </w:tcPr>
          <w:p w14:paraId="0505D30A" w14:textId="77777777" w:rsidR="00CF0E2D" w:rsidRPr="00F56E47" w:rsidRDefault="00CF0E2D" w:rsidP="00A60D4B">
            <w:pPr>
              <w:keepNext/>
              <w:keepLines/>
              <w:spacing w:after="0"/>
              <w:rPr>
                <w:rFonts w:ascii="Calibri" w:hAnsi="Calibri"/>
                <w:b/>
                <w:sz w:val="24"/>
                <w:szCs w:val="24"/>
              </w:rPr>
            </w:pPr>
            <w:r w:rsidRPr="00F56E47">
              <w:rPr>
                <w:rFonts w:ascii="Calibri" w:hAnsi="Calibri"/>
                <w:b/>
                <w:sz w:val="24"/>
                <w:szCs w:val="24"/>
              </w:rPr>
              <w:t>Net cost of services</w:t>
            </w:r>
          </w:p>
        </w:tc>
        <w:tc>
          <w:tcPr>
            <w:tcW w:w="1179" w:type="dxa"/>
            <w:tcBorders>
              <w:top w:val="single" w:sz="4" w:space="0" w:color="auto"/>
              <w:bottom w:val="single" w:sz="4" w:space="0" w:color="auto"/>
            </w:tcBorders>
          </w:tcPr>
          <w:p w14:paraId="4B7DEC64" w14:textId="77777777" w:rsidR="00CF0E2D" w:rsidRPr="00F56E47" w:rsidRDefault="00CF0E2D" w:rsidP="00A60D4B">
            <w:pPr>
              <w:keepNext/>
              <w:keepLines/>
              <w:spacing w:after="0"/>
              <w:jc w:val="right"/>
              <w:rPr>
                <w:rFonts w:ascii="Calibri" w:hAnsi="Calibri"/>
                <w:b/>
                <w:sz w:val="24"/>
                <w:szCs w:val="24"/>
              </w:rPr>
            </w:pPr>
            <w:r w:rsidRPr="00F56E47">
              <w:rPr>
                <w:rFonts w:ascii="Calibri" w:hAnsi="Calibri"/>
                <w:b/>
                <w:sz w:val="24"/>
                <w:szCs w:val="24"/>
              </w:rPr>
              <w:t>200</w:t>
            </w:r>
          </w:p>
        </w:tc>
        <w:tc>
          <w:tcPr>
            <w:tcW w:w="1041" w:type="dxa"/>
            <w:tcBorders>
              <w:top w:val="single" w:sz="4" w:space="0" w:color="auto"/>
              <w:bottom w:val="single" w:sz="4" w:space="0" w:color="auto"/>
            </w:tcBorders>
          </w:tcPr>
          <w:p w14:paraId="38E2964A" w14:textId="77777777" w:rsidR="00CF0E2D" w:rsidRPr="00F56E47" w:rsidRDefault="00CF0E2D" w:rsidP="00A60D4B">
            <w:pPr>
              <w:keepNext/>
              <w:keepLines/>
              <w:spacing w:after="0"/>
              <w:jc w:val="right"/>
              <w:rPr>
                <w:rFonts w:ascii="Calibri" w:hAnsi="Calibri"/>
                <w:b/>
                <w:sz w:val="24"/>
                <w:szCs w:val="24"/>
              </w:rPr>
            </w:pPr>
            <w:r w:rsidRPr="00F56E47">
              <w:rPr>
                <w:rFonts w:ascii="Calibri" w:hAnsi="Calibri"/>
                <w:b/>
                <w:sz w:val="24"/>
                <w:szCs w:val="24"/>
              </w:rPr>
              <w:t>0</w:t>
            </w:r>
          </w:p>
        </w:tc>
        <w:tc>
          <w:tcPr>
            <w:tcW w:w="1029" w:type="dxa"/>
            <w:tcBorders>
              <w:top w:val="single" w:sz="4" w:space="0" w:color="auto"/>
              <w:bottom w:val="single" w:sz="4" w:space="0" w:color="auto"/>
            </w:tcBorders>
          </w:tcPr>
          <w:p w14:paraId="67AC662E" w14:textId="77777777" w:rsidR="00CF0E2D" w:rsidRPr="00F56E47" w:rsidRDefault="00CF0E2D" w:rsidP="00A60D4B">
            <w:pPr>
              <w:keepNext/>
              <w:keepLines/>
              <w:spacing w:after="0"/>
              <w:jc w:val="right"/>
              <w:rPr>
                <w:rFonts w:ascii="Calibri" w:hAnsi="Calibri"/>
                <w:b/>
                <w:sz w:val="24"/>
                <w:szCs w:val="24"/>
              </w:rPr>
            </w:pPr>
            <w:r w:rsidRPr="00F56E47">
              <w:rPr>
                <w:rFonts w:ascii="Calibri" w:hAnsi="Calibri"/>
                <w:b/>
                <w:sz w:val="24"/>
                <w:szCs w:val="24"/>
              </w:rPr>
              <w:t>0</w:t>
            </w:r>
          </w:p>
        </w:tc>
        <w:tc>
          <w:tcPr>
            <w:tcW w:w="1029" w:type="dxa"/>
            <w:tcBorders>
              <w:top w:val="single" w:sz="4" w:space="0" w:color="auto"/>
              <w:bottom w:val="single" w:sz="4" w:space="0" w:color="auto"/>
            </w:tcBorders>
          </w:tcPr>
          <w:p w14:paraId="5BD8CF9F" w14:textId="77777777" w:rsidR="00CF0E2D" w:rsidRPr="00F56E47" w:rsidRDefault="00CF0E2D" w:rsidP="00A60D4B">
            <w:pPr>
              <w:keepNext/>
              <w:keepLines/>
              <w:spacing w:after="0"/>
              <w:jc w:val="right"/>
              <w:rPr>
                <w:rFonts w:ascii="Calibri" w:hAnsi="Calibri"/>
                <w:b/>
                <w:sz w:val="24"/>
                <w:szCs w:val="24"/>
              </w:rPr>
            </w:pPr>
            <w:r w:rsidRPr="00F56E47">
              <w:rPr>
                <w:rFonts w:ascii="Calibri" w:hAnsi="Calibri"/>
                <w:b/>
                <w:sz w:val="24"/>
                <w:szCs w:val="24"/>
              </w:rPr>
              <w:t>0</w:t>
            </w:r>
          </w:p>
        </w:tc>
        <w:tc>
          <w:tcPr>
            <w:tcW w:w="1029" w:type="dxa"/>
            <w:tcBorders>
              <w:top w:val="single" w:sz="4" w:space="0" w:color="auto"/>
              <w:bottom w:val="single" w:sz="4" w:space="0" w:color="auto"/>
            </w:tcBorders>
          </w:tcPr>
          <w:p w14:paraId="27A1E998" w14:textId="77777777" w:rsidR="00CF0E2D" w:rsidRPr="00F56E47" w:rsidRDefault="00CF0E2D" w:rsidP="00A60D4B">
            <w:pPr>
              <w:keepNext/>
              <w:keepLines/>
              <w:spacing w:after="0"/>
              <w:jc w:val="right"/>
              <w:rPr>
                <w:rFonts w:ascii="Calibri" w:hAnsi="Calibri"/>
                <w:b/>
                <w:sz w:val="24"/>
                <w:szCs w:val="24"/>
              </w:rPr>
            </w:pPr>
            <w:r w:rsidRPr="00F56E47">
              <w:rPr>
                <w:rFonts w:ascii="Calibri" w:hAnsi="Calibri"/>
                <w:b/>
                <w:sz w:val="24"/>
                <w:szCs w:val="24"/>
              </w:rPr>
              <w:t>200</w:t>
            </w:r>
          </w:p>
        </w:tc>
      </w:tr>
    </w:tbl>
    <w:p w14:paraId="3CA73AAB" w14:textId="77777777" w:rsidR="00CF0E2D" w:rsidRPr="00A655B9" w:rsidRDefault="00CF0E2D" w:rsidP="00A60D4B">
      <w:pPr>
        <w:pStyle w:val="Bbodytext"/>
        <w:rPr>
          <w:sz w:val="22"/>
        </w:rPr>
      </w:pPr>
      <w:r w:rsidRPr="00A655B9">
        <w:t>The Government will provide supplementary operational funding for the Belconnen Arts Centre and Ainslie and Gorman Arts Centres. This is in addition to ongoing funding provided by the ACT Government.</w:t>
      </w:r>
    </w:p>
    <w:p w14:paraId="768286F0" w14:textId="77777777" w:rsidR="00CF0E2D" w:rsidRPr="00A655B9" w:rsidRDefault="00CF0E2D" w:rsidP="00A60D4B">
      <w:pPr>
        <w:pStyle w:val="Bbodytext"/>
      </w:pPr>
      <w:r w:rsidRPr="00A655B9">
        <w:t>This initiative contributes to the wellbeing domain of Identity and belonging.</w:t>
      </w:r>
    </w:p>
    <w:p w14:paraId="087F96B5" w14:textId="77777777" w:rsidR="00CF0E2D" w:rsidRPr="00A62B4C" w:rsidRDefault="00CF0E2D" w:rsidP="00A60D4B">
      <w:pPr>
        <w:pStyle w:val="Heading4"/>
        <w:rPr>
          <w:rFonts w:eastAsiaTheme="minorHAnsi"/>
        </w:rPr>
      </w:pPr>
      <w:r>
        <w:rPr>
          <w:b w:val="0"/>
          <w:noProof/>
          <w:color w:val="999789"/>
          <w:sz w:val="32"/>
          <w:szCs w:val="24"/>
        </w:rPr>
        <w:lastRenderedPageBreak/>
        <w:drawing>
          <wp:anchor distT="0" distB="0" distL="114300" distR="114300" simplePos="0" relativeHeight="251725824" behindDoc="0" locked="1" layoutInCell="1" allowOverlap="1" wp14:anchorId="7F7DAFA7" wp14:editId="13C89ED2">
            <wp:simplePos x="0" y="0"/>
            <wp:positionH relativeFrom="margin">
              <wp:align>right</wp:align>
            </wp:positionH>
            <wp:positionV relativeFrom="paragraph">
              <wp:posOffset>8890</wp:posOffset>
            </wp:positionV>
            <wp:extent cx="1216660" cy="503555"/>
            <wp:effectExtent l="0" t="0" r="2540" b="0"/>
            <wp:wrapSquare wrapText="bothSides"/>
            <wp:docPr id="237" name="Picture 237" descr="Icon representing the wellbeing domain of identity and belo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con representing the wellbeing domain of identity and belongi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16660" cy="503555"/>
                    </a:xfrm>
                    <a:prstGeom prst="rect">
                      <a:avLst/>
                    </a:prstGeom>
                  </pic:spPr>
                </pic:pic>
              </a:graphicData>
            </a:graphic>
            <wp14:sizeRelH relativeFrom="margin">
              <wp14:pctWidth>0</wp14:pctWidth>
            </wp14:sizeRelH>
            <wp14:sizeRelV relativeFrom="margin">
              <wp14:pctHeight>0</wp14:pctHeight>
            </wp14:sizeRelV>
          </wp:anchor>
        </w:drawing>
      </w:r>
      <w:r w:rsidRPr="00DD60C9">
        <w:rPr>
          <w:rFonts w:eastAsiaTheme="minorHAnsi"/>
        </w:rPr>
        <w:t xml:space="preserve">Backing our </w:t>
      </w:r>
      <w:r w:rsidRPr="00A62B4C">
        <w:rPr>
          <w:rFonts w:eastAsiaTheme="minorHAnsi"/>
        </w:rPr>
        <w:t xml:space="preserve">Arts </w:t>
      </w:r>
      <w:r w:rsidRPr="00DD60C9">
        <w:rPr>
          <w:rFonts w:eastAsiaTheme="minorHAnsi"/>
        </w:rPr>
        <w:t>and Entertainment</w:t>
      </w:r>
      <w:r w:rsidRPr="00A62B4C">
        <w:rPr>
          <w:rFonts w:eastAsiaTheme="minorHAnsi"/>
        </w:rPr>
        <w:t xml:space="preserve"> – Recognising </w:t>
      </w:r>
      <w:r>
        <w:rPr>
          <w:rFonts w:eastAsiaTheme="minorHAnsi"/>
        </w:rPr>
        <w:t>s</w:t>
      </w:r>
      <w:r w:rsidRPr="00A62B4C">
        <w:rPr>
          <w:rFonts w:eastAsiaTheme="minorHAnsi"/>
        </w:rPr>
        <w:t xml:space="preserve">ignificant </w:t>
      </w:r>
      <w:r>
        <w:rPr>
          <w:rFonts w:eastAsiaTheme="minorHAnsi"/>
        </w:rPr>
        <w:t>w</w:t>
      </w:r>
      <w:r w:rsidRPr="00A62B4C">
        <w:rPr>
          <w:rFonts w:eastAsiaTheme="minorHAnsi"/>
        </w:rPr>
        <w:t xml:space="preserve">omen </w:t>
      </w:r>
      <w:r>
        <w:rPr>
          <w:rFonts w:eastAsiaTheme="minorHAnsi"/>
        </w:rPr>
        <w:t>t</w:t>
      </w:r>
      <w:r w:rsidRPr="00A62B4C">
        <w:rPr>
          <w:rFonts w:eastAsiaTheme="minorHAnsi"/>
        </w:rPr>
        <w:t xml:space="preserve">hrough </w:t>
      </w:r>
      <w:r>
        <w:rPr>
          <w:rFonts w:eastAsiaTheme="minorHAnsi"/>
        </w:rPr>
        <w:t>p</w:t>
      </w:r>
      <w:r w:rsidRPr="00A62B4C">
        <w:rPr>
          <w:rFonts w:eastAsiaTheme="minorHAnsi"/>
        </w:rPr>
        <w:t xml:space="preserve">ublic </w:t>
      </w:r>
      <w:r>
        <w:rPr>
          <w:rFonts w:eastAsiaTheme="minorHAnsi"/>
        </w:rPr>
        <w:t>a</w:t>
      </w:r>
      <w:r w:rsidRPr="00A62B4C">
        <w:rPr>
          <w:rFonts w:eastAsiaTheme="minorHAnsi"/>
        </w:rPr>
        <w:t xml:space="preserve">rt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A62B4C" w14:paraId="010FC057" w14:textId="77777777" w:rsidTr="00A60D4B">
        <w:trPr>
          <w:cantSplit/>
          <w:jc w:val="center"/>
        </w:trPr>
        <w:tc>
          <w:tcPr>
            <w:tcW w:w="3652" w:type="dxa"/>
            <w:tcBorders>
              <w:top w:val="single" w:sz="4" w:space="0" w:color="auto"/>
              <w:bottom w:val="single" w:sz="4" w:space="0" w:color="auto"/>
            </w:tcBorders>
          </w:tcPr>
          <w:p w14:paraId="21C5586D" w14:textId="77777777" w:rsidR="00CF0E2D" w:rsidRPr="00E57AA1" w:rsidRDefault="00CF0E2D" w:rsidP="00A60D4B">
            <w:pPr>
              <w:spacing w:after="0"/>
              <w:rPr>
                <w:sz w:val="24"/>
                <w:szCs w:val="24"/>
              </w:rPr>
            </w:pPr>
          </w:p>
        </w:tc>
        <w:tc>
          <w:tcPr>
            <w:tcW w:w="1179" w:type="dxa"/>
            <w:tcBorders>
              <w:top w:val="single" w:sz="4" w:space="0" w:color="auto"/>
              <w:bottom w:val="single" w:sz="4" w:space="0" w:color="auto"/>
            </w:tcBorders>
          </w:tcPr>
          <w:p w14:paraId="2ADE09B1" w14:textId="77777777" w:rsidR="00CF0E2D" w:rsidRPr="00E57AA1" w:rsidRDefault="00CF0E2D" w:rsidP="00A60D4B">
            <w:pPr>
              <w:keepNext/>
              <w:keepLines/>
              <w:spacing w:after="0"/>
              <w:jc w:val="right"/>
              <w:rPr>
                <w:b/>
                <w:sz w:val="24"/>
                <w:szCs w:val="24"/>
              </w:rPr>
            </w:pPr>
            <w:r w:rsidRPr="00E57AA1">
              <w:rPr>
                <w:b/>
                <w:sz w:val="24"/>
                <w:szCs w:val="24"/>
              </w:rPr>
              <w:t>2021-22</w:t>
            </w:r>
          </w:p>
          <w:p w14:paraId="232698B4" w14:textId="77777777" w:rsidR="00CF0E2D" w:rsidRPr="00E57AA1" w:rsidRDefault="00CF0E2D" w:rsidP="00A60D4B">
            <w:pPr>
              <w:keepNext/>
              <w:keepLines/>
              <w:spacing w:after="0"/>
              <w:jc w:val="right"/>
              <w:rPr>
                <w:b/>
                <w:sz w:val="24"/>
                <w:szCs w:val="24"/>
              </w:rPr>
            </w:pPr>
            <w:r w:rsidRPr="00E57AA1">
              <w:rPr>
                <w:b/>
                <w:sz w:val="24"/>
                <w:szCs w:val="24"/>
              </w:rPr>
              <w:t>$’000</w:t>
            </w:r>
          </w:p>
        </w:tc>
        <w:tc>
          <w:tcPr>
            <w:tcW w:w="1041" w:type="dxa"/>
            <w:tcBorders>
              <w:top w:val="single" w:sz="4" w:space="0" w:color="auto"/>
              <w:bottom w:val="single" w:sz="4" w:space="0" w:color="auto"/>
            </w:tcBorders>
          </w:tcPr>
          <w:p w14:paraId="1ABCFD38" w14:textId="77777777" w:rsidR="00CF0E2D" w:rsidRPr="00E57AA1" w:rsidRDefault="00CF0E2D" w:rsidP="00A60D4B">
            <w:pPr>
              <w:keepNext/>
              <w:keepLines/>
              <w:spacing w:after="0"/>
              <w:jc w:val="right"/>
              <w:rPr>
                <w:b/>
                <w:sz w:val="24"/>
                <w:szCs w:val="24"/>
              </w:rPr>
            </w:pPr>
            <w:r w:rsidRPr="00E57AA1">
              <w:rPr>
                <w:b/>
                <w:sz w:val="24"/>
                <w:szCs w:val="24"/>
              </w:rPr>
              <w:t>2022-23</w:t>
            </w:r>
          </w:p>
          <w:p w14:paraId="5F4B204A" w14:textId="77777777" w:rsidR="00CF0E2D" w:rsidRPr="00E57AA1" w:rsidRDefault="00CF0E2D" w:rsidP="00A60D4B">
            <w:pPr>
              <w:keepNext/>
              <w:keepLines/>
              <w:spacing w:after="0"/>
              <w:jc w:val="right"/>
              <w:rPr>
                <w:b/>
                <w:sz w:val="24"/>
                <w:szCs w:val="24"/>
              </w:rPr>
            </w:pPr>
            <w:r w:rsidRPr="00E57AA1">
              <w:rPr>
                <w:b/>
                <w:sz w:val="24"/>
                <w:szCs w:val="24"/>
              </w:rPr>
              <w:t>$’000</w:t>
            </w:r>
          </w:p>
        </w:tc>
        <w:tc>
          <w:tcPr>
            <w:tcW w:w="1029" w:type="dxa"/>
            <w:tcBorders>
              <w:top w:val="single" w:sz="4" w:space="0" w:color="auto"/>
              <w:bottom w:val="single" w:sz="4" w:space="0" w:color="auto"/>
            </w:tcBorders>
          </w:tcPr>
          <w:p w14:paraId="602293A4" w14:textId="77777777" w:rsidR="00CF0E2D" w:rsidRPr="00E57AA1" w:rsidRDefault="00CF0E2D" w:rsidP="00A60D4B">
            <w:pPr>
              <w:keepNext/>
              <w:keepLines/>
              <w:spacing w:after="0"/>
              <w:jc w:val="right"/>
              <w:rPr>
                <w:b/>
                <w:sz w:val="24"/>
                <w:szCs w:val="24"/>
              </w:rPr>
            </w:pPr>
            <w:r w:rsidRPr="00E57AA1">
              <w:rPr>
                <w:b/>
                <w:sz w:val="24"/>
                <w:szCs w:val="24"/>
              </w:rPr>
              <w:t>2023-24</w:t>
            </w:r>
          </w:p>
          <w:p w14:paraId="2986F5D6" w14:textId="77777777" w:rsidR="00CF0E2D" w:rsidRPr="00E57AA1" w:rsidRDefault="00CF0E2D" w:rsidP="00A60D4B">
            <w:pPr>
              <w:keepNext/>
              <w:keepLines/>
              <w:spacing w:after="0"/>
              <w:jc w:val="right"/>
              <w:rPr>
                <w:b/>
                <w:sz w:val="24"/>
                <w:szCs w:val="24"/>
              </w:rPr>
            </w:pPr>
            <w:r w:rsidRPr="00E57AA1">
              <w:rPr>
                <w:b/>
                <w:sz w:val="24"/>
                <w:szCs w:val="24"/>
              </w:rPr>
              <w:t>$’000</w:t>
            </w:r>
          </w:p>
        </w:tc>
        <w:tc>
          <w:tcPr>
            <w:tcW w:w="1029" w:type="dxa"/>
            <w:tcBorders>
              <w:top w:val="single" w:sz="4" w:space="0" w:color="auto"/>
              <w:bottom w:val="single" w:sz="4" w:space="0" w:color="auto"/>
            </w:tcBorders>
          </w:tcPr>
          <w:p w14:paraId="3991E4DD" w14:textId="77777777" w:rsidR="00CF0E2D" w:rsidRPr="00E57AA1" w:rsidRDefault="00CF0E2D" w:rsidP="00A60D4B">
            <w:pPr>
              <w:keepNext/>
              <w:keepLines/>
              <w:spacing w:after="0"/>
              <w:jc w:val="right"/>
              <w:rPr>
                <w:b/>
                <w:sz w:val="24"/>
                <w:szCs w:val="24"/>
              </w:rPr>
            </w:pPr>
            <w:r w:rsidRPr="00E57AA1">
              <w:rPr>
                <w:b/>
                <w:sz w:val="24"/>
                <w:szCs w:val="24"/>
              </w:rPr>
              <w:t>2024-25</w:t>
            </w:r>
          </w:p>
          <w:p w14:paraId="2D05CF1F" w14:textId="77777777" w:rsidR="00CF0E2D" w:rsidRPr="00E57AA1" w:rsidRDefault="00CF0E2D" w:rsidP="00A60D4B">
            <w:pPr>
              <w:keepNext/>
              <w:keepLines/>
              <w:spacing w:after="0"/>
              <w:jc w:val="right"/>
              <w:rPr>
                <w:b/>
                <w:sz w:val="24"/>
                <w:szCs w:val="24"/>
              </w:rPr>
            </w:pPr>
            <w:r w:rsidRPr="00E57AA1">
              <w:rPr>
                <w:b/>
                <w:sz w:val="24"/>
                <w:szCs w:val="24"/>
              </w:rPr>
              <w:t>$’000</w:t>
            </w:r>
          </w:p>
        </w:tc>
        <w:tc>
          <w:tcPr>
            <w:tcW w:w="1029" w:type="dxa"/>
            <w:tcBorders>
              <w:top w:val="single" w:sz="4" w:space="0" w:color="auto"/>
              <w:bottom w:val="single" w:sz="4" w:space="0" w:color="auto"/>
            </w:tcBorders>
          </w:tcPr>
          <w:p w14:paraId="52E7B41F" w14:textId="77777777" w:rsidR="00CF0E2D" w:rsidRPr="00E57AA1" w:rsidRDefault="00CF0E2D" w:rsidP="00A60D4B">
            <w:pPr>
              <w:keepNext/>
              <w:keepLines/>
              <w:spacing w:after="0"/>
              <w:jc w:val="right"/>
              <w:rPr>
                <w:b/>
                <w:sz w:val="24"/>
                <w:szCs w:val="24"/>
              </w:rPr>
            </w:pPr>
            <w:r w:rsidRPr="00E57AA1">
              <w:rPr>
                <w:b/>
                <w:sz w:val="24"/>
                <w:szCs w:val="24"/>
              </w:rPr>
              <w:t>Total</w:t>
            </w:r>
          </w:p>
          <w:p w14:paraId="1DF5FDA1" w14:textId="77777777" w:rsidR="00CF0E2D" w:rsidRPr="00E57AA1" w:rsidRDefault="00CF0E2D" w:rsidP="00A60D4B">
            <w:pPr>
              <w:keepNext/>
              <w:keepLines/>
              <w:spacing w:after="0"/>
              <w:jc w:val="right"/>
              <w:rPr>
                <w:b/>
                <w:sz w:val="24"/>
                <w:szCs w:val="24"/>
              </w:rPr>
            </w:pPr>
            <w:r w:rsidRPr="00E57AA1">
              <w:rPr>
                <w:b/>
                <w:sz w:val="24"/>
                <w:szCs w:val="24"/>
              </w:rPr>
              <w:t>$’000</w:t>
            </w:r>
          </w:p>
        </w:tc>
      </w:tr>
      <w:tr w:rsidR="00CF0E2D" w:rsidRPr="008010E8" w14:paraId="0485A413" w14:textId="77777777" w:rsidTr="00A60D4B">
        <w:trPr>
          <w:cantSplit/>
          <w:jc w:val="center"/>
        </w:trPr>
        <w:tc>
          <w:tcPr>
            <w:tcW w:w="3652" w:type="dxa"/>
            <w:tcBorders>
              <w:top w:val="single" w:sz="4" w:space="0" w:color="auto"/>
            </w:tcBorders>
          </w:tcPr>
          <w:p w14:paraId="54527B95" w14:textId="77777777" w:rsidR="00CF0E2D" w:rsidRPr="00E57AA1" w:rsidRDefault="00CF0E2D" w:rsidP="00A60D4B">
            <w:pPr>
              <w:spacing w:after="0"/>
              <w:rPr>
                <w:sz w:val="24"/>
                <w:szCs w:val="24"/>
              </w:rPr>
            </w:pPr>
            <w:r w:rsidRPr="00E57AA1">
              <w:rPr>
                <w:sz w:val="24"/>
                <w:szCs w:val="24"/>
              </w:rPr>
              <w:t>Capital</w:t>
            </w:r>
          </w:p>
        </w:tc>
        <w:tc>
          <w:tcPr>
            <w:tcW w:w="1179" w:type="dxa"/>
            <w:tcBorders>
              <w:top w:val="single" w:sz="4" w:space="0" w:color="auto"/>
            </w:tcBorders>
          </w:tcPr>
          <w:p w14:paraId="7B5BE2E3" w14:textId="77777777" w:rsidR="00CF0E2D" w:rsidRPr="00E57AA1" w:rsidRDefault="00CF0E2D" w:rsidP="00A60D4B">
            <w:pPr>
              <w:spacing w:after="0"/>
              <w:jc w:val="right"/>
              <w:rPr>
                <w:sz w:val="24"/>
                <w:szCs w:val="24"/>
              </w:rPr>
            </w:pPr>
            <w:r w:rsidRPr="00E57AA1">
              <w:rPr>
                <w:sz w:val="24"/>
                <w:szCs w:val="24"/>
              </w:rPr>
              <w:t>200</w:t>
            </w:r>
          </w:p>
        </w:tc>
        <w:tc>
          <w:tcPr>
            <w:tcW w:w="1041" w:type="dxa"/>
            <w:tcBorders>
              <w:top w:val="single" w:sz="4" w:space="0" w:color="auto"/>
            </w:tcBorders>
          </w:tcPr>
          <w:p w14:paraId="0F1C0904" w14:textId="77777777" w:rsidR="00CF0E2D" w:rsidRPr="00E57AA1" w:rsidRDefault="00CF0E2D" w:rsidP="00A60D4B">
            <w:pPr>
              <w:spacing w:after="0"/>
              <w:jc w:val="right"/>
              <w:rPr>
                <w:sz w:val="24"/>
                <w:szCs w:val="24"/>
              </w:rPr>
            </w:pPr>
            <w:r w:rsidRPr="00E57AA1">
              <w:rPr>
                <w:sz w:val="24"/>
                <w:szCs w:val="24"/>
              </w:rPr>
              <w:t>0</w:t>
            </w:r>
          </w:p>
        </w:tc>
        <w:tc>
          <w:tcPr>
            <w:tcW w:w="1029" w:type="dxa"/>
            <w:tcBorders>
              <w:top w:val="single" w:sz="4" w:space="0" w:color="auto"/>
            </w:tcBorders>
          </w:tcPr>
          <w:p w14:paraId="41929D51" w14:textId="77777777" w:rsidR="00CF0E2D" w:rsidRPr="00E57AA1" w:rsidRDefault="00CF0E2D" w:rsidP="00A60D4B">
            <w:pPr>
              <w:spacing w:after="0"/>
              <w:jc w:val="right"/>
              <w:rPr>
                <w:sz w:val="24"/>
                <w:szCs w:val="24"/>
              </w:rPr>
            </w:pPr>
            <w:r w:rsidRPr="00E57AA1">
              <w:rPr>
                <w:sz w:val="24"/>
                <w:szCs w:val="24"/>
              </w:rPr>
              <w:t>0</w:t>
            </w:r>
          </w:p>
        </w:tc>
        <w:tc>
          <w:tcPr>
            <w:tcW w:w="1029" w:type="dxa"/>
            <w:tcBorders>
              <w:top w:val="single" w:sz="4" w:space="0" w:color="auto"/>
            </w:tcBorders>
          </w:tcPr>
          <w:p w14:paraId="30AA157A" w14:textId="77777777" w:rsidR="00CF0E2D" w:rsidRPr="00E57AA1" w:rsidRDefault="00CF0E2D" w:rsidP="00A60D4B">
            <w:pPr>
              <w:spacing w:after="0"/>
              <w:jc w:val="right"/>
              <w:rPr>
                <w:sz w:val="24"/>
                <w:szCs w:val="24"/>
              </w:rPr>
            </w:pPr>
            <w:r w:rsidRPr="00E57AA1">
              <w:rPr>
                <w:sz w:val="24"/>
                <w:szCs w:val="24"/>
              </w:rPr>
              <w:t>0</w:t>
            </w:r>
          </w:p>
        </w:tc>
        <w:tc>
          <w:tcPr>
            <w:tcW w:w="1029" w:type="dxa"/>
            <w:tcBorders>
              <w:top w:val="single" w:sz="4" w:space="0" w:color="auto"/>
            </w:tcBorders>
          </w:tcPr>
          <w:p w14:paraId="0806B620" w14:textId="77777777" w:rsidR="00CF0E2D" w:rsidRPr="00E57AA1" w:rsidRDefault="00CF0E2D" w:rsidP="00A60D4B">
            <w:pPr>
              <w:spacing w:after="0"/>
              <w:jc w:val="right"/>
              <w:rPr>
                <w:b/>
                <w:sz w:val="24"/>
                <w:szCs w:val="24"/>
              </w:rPr>
            </w:pPr>
            <w:r w:rsidRPr="00E57AA1">
              <w:rPr>
                <w:b/>
                <w:sz w:val="24"/>
                <w:szCs w:val="24"/>
              </w:rPr>
              <w:t>200</w:t>
            </w:r>
          </w:p>
        </w:tc>
      </w:tr>
      <w:tr w:rsidR="00CF0E2D" w:rsidRPr="008A619D" w14:paraId="7012E862" w14:textId="77777777" w:rsidTr="00A60D4B">
        <w:trPr>
          <w:cantSplit/>
          <w:jc w:val="center"/>
        </w:trPr>
        <w:tc>
          <w:tcPr>
            <w:tcW w:w="3652" w:type="dxa"/>
            <w:tcBorders>
              <w:bottom w:val="single" w:sz="4" w:space="0" w:color="auto"/>
            </w:tcBorders>
          </w:tcPr>
          <w:p w14:paraId="15F41418" w14:textId="77777777" w:rsidR="00CF0E2D" w:rsidRPr="00E57AA1" w:rsidRDefault="00CF0E2D" w:rsidP="00A60D4B">
            <w:pPr>
              <w:spacing w:after="0"/>
              <w:rPr>
                <w:sz w:val="24"/>
                <w:szCs w:val="24"/>
              </w:rPr>
            </w:pPr>
            <w:r w:rsidRPr="00E57AA1">
              <w:rPr>
                <w:sz w:val="24"/>
                <w:szCs w:val="24"/>
              </w:rPr>
              <w:t>Offset – Capital</w:t>
            </w:r>
          </w:p>
        </w:tc>
        <w:tc>
          <w:tcPr>
            <w:tcW w:w="1179" w:type="dxa"/>
            <w:tcBorders>
              <w:bottom w:val="single" w:sz="4" w:space="0" w:color="auto"/>
            </w:tcBorders>
            <w:shd w:val="clear" w:color="auto" w:fill="auto"/>
          </w:tcPr>
          <w:p w14:paraId="4FB3901E" w14:textId="77777777" w:rsidR="00CF0E2D" w:rsidRPr="008A619D" w:rsidRDefault="00CF0E2D" w:rsidP="00A60D4B">
            <w:pPr>
              <w:spacing w:after="0"/>
              <w:jc w:val="right"/>
              <w:rPr>
                <w:sz w:val="24"/>
                <w:szCs w:val="24"/>
              </w:rPr>
            </w:pPr>
            <w:r w:rsidRPr="008A619D">
              <w:rPr>
                <w:sz w:val="24"/>
                <w:szCs w:val="24"/>
              </w:rPr>
              <w:t>-102</w:t>
            </w:r>
          </w:p>
        </w:tc>
        <w:tc>
          <w:tcPr>
            <w:tcW w:w="1041" w:type="dxa"/>
            <w:tcBorders>
              <w:bottom w:val="single" w:sz="4" w:space="0" w:color="auto"/>
            </w:tcBorders>
            <w:shd w:val="clear" w:color="auto" w:fill="auto"/>
          </w:tcPr>
          <w:p w14:paraId="36ACBFF7" w14:textId="77777777" w:rsidR="00CF0E2D" w:rsidRPr="008A619D" w:rsidRDefault="00CF0E2D" w:rsidP="00A60D4B">
            <w:pPr>
              <w:spacing w:after="0"/>
              <w:jc w:val="right"/>
              <w:rPr>
                <w:sz w:val="24"/>
                <w:szCs w:val="24"/>
              </w:rPr>
            </w:pPr>
            <w:r w:rsidRPr="008A619D">
              <w:rPr>
                <w:sz w:val="24"/>
                <w:szCs w:val="24"/>
              </w:rPr>
              <w:t>0</w:t>
            </w:r>
          </w:p>
        </w:tc>
        <w:tc>
          <w:tcPr>
            <w:tcW w:w="1029" w:type="dxa"/>
            <w:tcBorders>
              <w:bottom w:val="single" w:sz="4" w:space="0" w:color="auto"/>
            </w:tcBorders>
            <w:shd w:val="clear" w:color="auto" w:fill="auto"/>
          </w:tcPr>
          <w:p w14:paraId="1C4D443E" w14:textId="77777777" w:rsidR="00CF0E2D" w:rsidRPr="008A619D" w:rsidRDefault="00CF0E2D" w:rsidP="00A60D4B">
            <w:pPr>
              <w:spacing w:after="0"/>
              <w:jc w:val="right"/>
              <w:rPr>
                <w:sz w:val="24"/>
                <w:szCs w:val="24"/>
              </w:rPr>
            </w:pPr>
            <w:r w:rsidRPr="008A619D">
              <w:rPr>
                <w:sz w:val="24"/>
                <w:szCs w:val="24"/>
              </w:rPr>
              <w:t>0</w:t>
            </w:r>
          </w:p>
        </w:tc>
        <w:tc>
          <w:tcPr>
            <w:tcW w:w="1029" w:type="dxa"/>
            <w:tcBorders>
              <w:bottom w:val="single" w:sz="4" w:space="0" w:color="auto"/>
            </w:tcBorders>
            <w:shd w:val="clear" w:color="auto" w:fill="auto"/>
          </w:tcPr>
          <w:p w14:paraId="5B3FCC5F" w14:textId="77777777" w:rsidR="00CF0E2D" w:rsidRPr="008A619D" w:rsidRDefault="00CF0E2D" w:rsidP="00A60D4B">
            <w:pPr>
              <w:spacing w:after="0"/>
              <w:jc w:val="right"/>
              <w:rPr>
                <w:sz w:val="24"/>
                <w:szCs w:val="24"/>
              </w:rPr>
            </w:pPr>
            <w:r w:rsidRPr="008A619D">
              <w:rPr>
                <w:sz w:val="24"/>
                <w:szCs w:val="24"/>
              </w:rPr>
              <w:t>0</w:t>
            </w:r>
          </w:p>
        </w:tc>
        <w:tc>
          <w:tcPr>
            <w:tcW w:w="1029" w:type="dxa"/>
            <w:tcBorders>
              <w:bottom w:val="single" w:sz="4" w:space="0" w:color="auto"/>
            </w:tcBorders>
            <w:shd w:val="clear" w:color="auto" w:fill="auto"/>
          </w:tcPr>
          <w:p w14:paraId="39904E26" w14:textId="77777777" w:rsidR="00CF0E2D" w:rsidRPr="008A619D" w:rsidRDefault="00CF0E2D" w:rsidP="00A60D4B">
            <w:pPr>
              <w:spacing w:after="0"/>
              <w:jc w:val="right"/>
              <w:rPr>
                <w:b/>
                <w:sz w:val="24"/>
                <w:szCs w:val="24"/>
              </w:rPr>
            </w:pPr>
            <w:r w:rsidRPr="008A619D">
              <w:rPr>
                <w:b/>
                <w:sz w:val="24"/>
                <w:szCs w:val="24"/>
              </w:rPr>
              <w:t>-102</w:t>
            </w:r>
          </w:p>
        </w:tc>
      </w:tr>
      <w:tr w:rsidR="00CF0E2D" w:rsidRPr="008010E8" w14:paraId="02216606" w14:textId="77777777" w:rsidTr="00A60D4B">
        <w:trPr>
          <w:cantSplit/>
          <w:jc w:val="center"/>
        </w:trPr>
        <w:tc>
          <w:tcPr>
            <w:tcW w:w="3652" w:type="dxa"/>
            <w:tcBorders>
              <w:top w:val="single" w:sz="4" w:space="0" w:color="auto"/>
              <w:bottom w:val="single" w:sz="4" w:space="0" w:color="auto"/>
            </w:tcBorders>
          </w:tcPr>
          <w:p w14:paraId="2069FCFA" w14:textId="2C9A99D7" w:rsidR="00CF0E2D" w:rsidRPr="00E57AA1" w:rsidRDefault="00F57411" w:rsidP="00A60D4B">
            <w:pPr>
              <w:spacing w:after="0"/>
              <w:rPr>
                <w:b/>
                <w:sz w:val="24"/>
                <w:szCs w:val="24"/>
              </w:rPr>
            </w:pPr>
            <w:r>
              <w:rPr>
                <w:b/>
                <w:sz w:val="24"/>
                <w:szCs w:val="24"/>
              </w:rPr>
              <w:t>Net capital</w:t>
            </w:r>
          </w:p>
        </w:tc>
        <w:tc>
          <w:tcPr>
            <w:tcW w:w="1179" w:type="dxa"/>
            <w:tcBorders>
              <w:top w:val="single" w:sz="4" w:space="0" w:color="auto"/>
              <w:bottom w:val="single" w:sz="4" w:space="0" w:color="auto"/>
            </w:tcBorders>
          </w:tcPr>
          <w:p w14:paraId="1D1AC296" w14:textId="77777777" w:rsidR="00CF0E2D" w:rsidRPr="00E57AA1" w:rsidRDefault="00CF0E2D" w:rsidP="00A60D4B">
            <w:pPr>
              <w:spacing w:after="0"/>
              <w:jc w:val="right"/>
              <w:rPr>
                <w:b/>
                <w:sz w:val="24"/>
                <w:szCs w:val="24"/>
              </w:rPr>
            </w:pPr>
            <w:r w:rsidRPr="00E57AA1">
              <w:rPr>
                <w:b/>
                <w:sz w:val="24"/>
                <w:szCs w:val="24"/>
              </w:rPr>
              <w:t>98</w:t>
            </w:r>
          </w:p>
        </w:tc>
        <w:tc>
          <w:tcPr>
            <w:tcW w:w="1041" w:type="dxa"/>
            <w:tcBorders>
              <w:top w:val="single" w:sz="4" w:space="0" w:color="auto"/>
              <w:bottom w:val="single" w:sz="4" w:space="0" w:color="auto"/>
            </w:tcBorders>
          </w:tcPr>
          <w:p w14:paraId="26A7BE13" w14:textId="77777777" w:rsidR="00CF0E2D" w:rsidRPr="00E57AA1" w:rsidRDefault="00CF0E2D" w:rsidP="00A60D4B">
            <w:pPr>
              <w:spacing w:after="0"/>
              <w:jc w:val="right"/>
              <w:rPr>
                <w:b/>
                <w:sz w:val="24"/>
                <w:szCs w:val="24"/>
              </w:rPr>
            </w:pPr>
            <w:r w:rsidRPr="00E57AA1">
              <w:rPr>
                <w:b/>
                <w:sz w:val="24"/>
                <w:szCs w:val="24"/>
              </w:rPr>
              <w:t>0</w:t>
            </w:r>
          </w:p>
        </w:tc>
        <w:tc>
          <w:tcPr>
            <w:tcW w:w="1029" w:type="dxa"/>
            <w:tcBorders>
              <w:top w:val="single" w:sz="4" w:space="0" w:color="auto"/>
              <w:bottom w:val="single" w:sz="4" w:space="0" w:color="auto"/>
            </w:tcBorders>
          </w:tcPr>
          <w:p w14:paraId="0C33A09E" w14:textId="77777777" w:rsidR="00CF0E2D" w:rsidRPr="00E57AA1" w:rsidRDefault="00CF0E2D" w:rsidP="00A60D4B">
            <w:pPr>
              <w:spacing w:after="0"/>
              <w:jc w:val="right"/>
              <w:rPr>
                <w:b/>
                <w:sz w:val="24"/>
                <w:szCs w:val="24"/>
              </w:rPr>
            </w:pPr>
            <w:r w:rsidRPr="00E57AA1">
              <w:rPr>
                <w:b/>
                <w:sz w:val="24"/>
                <w:szCs w:val="24"/>
              </w:rPr>
              <w:t>0</w:t>
            </w:r>
          </w:p>
        </w:tc>
        <w:tc>
          <w:tcPr>
            <w:tcW w:w="1029" w:type="dxa"/>
            <w:tcBorders>
              <w:top w:val="single" w:sz="4" w:space="0" w:color="auto"/>
              <w:bottom w:val="single" w:sz="4" w:space="0" w:color="auto"/>
            </w:tcBorders>
          </w:tcPr>
          <w:p w14:paraId="33A58C57" w14:textId="77777777" w:rsidR="00CF0E2D" w:rsidRPr="00E57AA1" w:rsidRDefault="00CF0E2D" w:rsidP="00A60D4B">
            <w:pPr>
              <w:spacing w:after="0"/>
              <w:jc w:val="right"/>
              <w:rPr>
                <w:b/>
                <w:sz w:val="24"/>
                <w:szCs w:val="24"/>
              </w:rPr>
            </w:pPr>
            <w:r w:rsidRPr="00E57AA1">
              <w:rPr>
                <w:b/>
                <w:sz w:val="24"/>
                <w:szCs w:val="24"/>
              </w:rPr>
              <w:t>0</w:t>
            </w:r>
          </w:p>
        </w:tc>
        <w:tc>
          <w:tcPr>
            <w:tcW w:w="1029" w:type="dxa"/>
            <w:tcBorders>
              <w:top w:val="single" w:sz="4" w:space="0" w:color="auto"/>
              <w:bottom w:val="single" w:sz="4" w:space="0" w:color="auto"/>
            </w:tcBorders>
          </w:tcPr>
          <w:p w14:paraId="7105AF42" w14:textId="77777777" w:rsidR="00CF0E2D" w:rsidRPr="00E57AA1" w:rsidRDefault="00CF0E2D" w:rsidP="00A60D4B">
            <w:pPr>
              <w:spacing w:after="0"/>
              <w:jc w:val="right"/>
              <w:rPr>
                <w:b/>
                <w:sz w:val="24"/>
                <w:szCs w:val="24"/>
              </w:rPr>
            </w:pPr>
            <w:r w:rsidRPr="00E57AA1">
              <w:rPr>
                <w:b/>
                <w:sz w:val="24"/>
                <w:szCs w:val="24"/>
              </w:rPr>
              <w:t>98</w:t>
            </w:r>
          </w:p>
        </w:tc>
      </w:tr>
      <w:tr w:rsidR="00CF0E2D" w:rsidRPr="008010E8" w14:paraId="137C3D62" w14:textId="77777777" w:rsidTr="00A60D4B">
        <w:trPr>
          <w:cantSplit/>
          <w:jc w:val="center"/>
        </w:trPr>
        <w:tc>
          <w:tcPr>
            <w:tcW w:w="3652" w:type="dxa"/>
            <w:tcBorders>
              <w:top w:val="single" w:sz="4" w:space="0" w:color="auto"/>
              <w:bottom w:val="single" w:sz="4" w:space="0" w:color="auto"/>
            </w:tcBorders>
          </w:tcPr>
          <w:p w14:paraId="5653AF26" w14:textId="77777777" w:rsidR="00CF0E2D" w:rsidRPr="00E57AA1" w:rsidRDefault="00CF0E2D" w:rsidP="00A60D4B">
            <w:pPr>
              <w:spacing w:after="0"/>
              <w:rPr>
                <w:sz w:val="24"/>
                <w:szCs w:val="24"/>
              </w:rPr>
            </w:pPr>
            <w:r w:rsidRPr="00E57AA1">
              <w:rPr>
                <w:sz w:val="24"/>
                <w:szCs w:val="24"/>
              </w:rPr>
              <w:t>Depreciation</w:t>
            </w:r>
          </w:p>
        </w:tc>
        <w:tc>
          <w:tcPr>
            <w:tcW w:w="1179" w:type="dxa"/>
            <w:tcBorders>
              <w:top w:val="single" w:sz="4" w:space="0" w:color="auto"/>
              <w:bottom w:val="single" w:sz="4" w:space="0" w:color="auto"/>
            </w:tcBorders>
          </w:tcPr>
          <w:p w14:paraId="63731CC5" w14:textId="77777777" w:rsidR="00CF0E2D" w:rsidRPr="00E57AA1" w:rsidRDefault="00CF0E2D" w:rsidP="00A60D4B">
            <w:pPr>
              <w:spacing w:after="0"/>
              <w:jc w:val="right"/>
              <w:rPr>
                <w:sz w:val="24"/>
                <w:szCs w:val="24"/>
              </w:rPr>
            </w:pPr>
            <w:r w:rsidRPr="00E57AA1">
              <w:rPr>
                <w:sz w:val="24"/>
                <w:szCs w:val="24"/>
              </w:rPr>
              <w:t>0</w:t>
            </w:r>
          </w:p>
        </w:tc>
        <w:tc>
          <w:tcPr>
            <w:tcW w:w="1041" w:type="dxa"/>
            <w:tcBorders>
              <w:top w:val="single" w:sz="4" w:space="0" w:color="auto"/>
              <w:bottom w:val="single" w:sz="4" w:space="0" w:color="auto"/>
            </w:tcBorders>
          </w:tcPr>
          <w:p w14:paraId="5223ABD9" w14:textId="77777777" w:rsidR="00CF0E2D" w:rsidRPr="00E57AA1" w:rsidRDefault="00CF0E2D" w:rsidP="00A60D4B">
            <w:pPr>
              <w:spacing w:after="0"/>
              <w:jc w:val="right"/>
              <w:rPr>
                <w:sz w:val="24"/>
                <w:szCs w:val="24"/>
              </w:rPr>
            </w:pPr>
            <w:r w:rsidRPr="00E57AA1">
              <w:rPr>
                <w:sz w:val="24"/>
                <w:szCs w:val="24"/>
              </w:rPr>
              <w:t>7</w:t>
            </w:r>
          </w:p>
        </w:tc>
        <w:tc>
          <w:tcPr>
            <w:tcW w:w="1029" w:type="dxa"/>
            <w:tcBorders>
              <w:top w:val="single" w:sz="4" w:space="0" w:color="auto"/>
              <w:bottom w:val="single" w:sz="4" w:space="0" w:color="auto"/>
            </w:tcBorders>
          </w:tcPr>
          <w:p w14:paraId="3D848E75" w14:textId="77777777" w:rsidR="00CF0E2D" w:rsidRPr="00E57AA1" w:rsidRDefault="00CF0E2D" w:rsidP="00A60D4B">
            <w:pPr>
              <w:spacing w:after="0"/>
              <w:jc w:val="right"/>
              <w:rPr>
                <w:sz w:val="24"/>
                <w:szCs w:val="24"/>
              </w:rPr>
            </w:pPr>
            <w:r w:rsidRPr="00E57AA1">
              <w:rPr>
                <w:sz w:val="24"/>
                <w:szCs w:val="24"/>
              </w:rPr>
              <w:t>7</w:t>
            </w:r>
          </w:p>
        </w:tc>
        <w:tc>
          <w:tcPr>
            <w:tcW w:w="1029" w:type="dxa"/>
            <w:tcBorders>
              <w:top w:val="single" w:sz="4" w:space="0" w:color="auto"/>
              <w:bottom w:val="single" w:sz="4" w:space="0" w:color="auto"/>
            </w:tcBorders>
          </w:tcPr>
          <w:p w14:paraId="2159E430" w14:textId="77777777" w:rsidR="00CF0E2D" w:rsidRPr="00E57AA1" w:rsidRDefault="00CF0E2D" w:rsidP="00A60D4B">
            <w:pPr>
              <w:spacing w:after="0"/>
              <w:jc w:val="right"/>
              <w:rPr>
                <w:sz w:val="24"/>
                <w:szCs w:val="24"/>
              </w:rPr>
            </w:pPr>
            <w:r w:rsidRPr="00E57AA1">
              <w:rPr>
                <w:sz w:val="24"/>
                <w:szCs w:val="24"/>
              </w:rPr>
              <w:t>7</w:t>
            </w:r>
          </w:p>
        </w:tc>
        <w:tc>
          <w:tcPr>
            <w:tcW w:w="1029" w:type="dxa"/>
            <w:tcBorders>
              <w:top w:val="single" w:sz="4" w:space="0" w:color="auto"/>
              <w:bottom w:val="single" w:sz="4" w:space="0" w:color="auto"/>
            </w:tcBorders>
          </w:tcPr>
          <w:p w14:paraId="1093DC6F" w14:textId="77777777" w:rsidR="00CF0E2D" w:rsidRPr="00E57AA1" w:rsidRDefault="00CF0E2D" w:rsidP="00A60D4B">
            <w:pPr>
              <w:spacing w:after="0"/>
              <w:jc w:val="right"/>
              <w:rPr>
                <w:b/>
                <w:sz w:val="24"/>
                <w:szCs w:val="24"/>
              </w:rPr>
            </w:pPr>
            <w:r w:rsidRPr="00E57AA1">
              <w:rPr>
                <w:b/>
                <w:sz w:val="24"/>
                <w:szCs w:val="24"/>
              </w:rPr>
              <w:t>21</w:t>
            </w:r>
          </w:p>
        </w:tc>
      </w:tr>
    </w:tbl>
    <w:p w14:paraId="204B8EC7" w14:textId="77777777" w:rsidR="00CF0E2D" w:rsidRPr="00A62B4C" w:rsidRDefault="00CF0E2D" w:rsidP="00A60D4B">
      <w:pPr>
        <w:pStyle w:val="Bbodytext"/>
      </w:pPr>
      <w:r w:rsidRPr="00A62B4C">
        <w:t xml:space="preserve">The Government will commission artwork by a female or non-binary artist celebrating a significant woman or non-binary </w:t>
      </w:r>
      <w:r>
        <w:t>individual</w:t>
      </w:r>
      <w:r w:rsidRPr="00A62B4C">
        <w:t xml:space="preserve"> through public art. This initiative is partly offset by funding from the Percent for Arts scheme.</w:t>
      </w:r>
    </w:p>
    <w:p w14:paraId="0DB12849" w14:textId="77777777" w:rsidR="00CF0E2D" w:rsidRDefault="00CF0E2D" w:rsidP="00A60D4B">
      <w:pPr>
        <w:pStyle w:val="Bbodytext"/>
      </w:pPr>
      <w:r w:rsidRPr="00A62B4C">
        <w:t xml:space="preserve">This initiative contributes to the wellbeing domains of Identity and belonging and Social connection.  </w:t>
      </w:r>
    </w:p>
    <w:p w14:paraId="606330A4" w14:textId="77777777" w:rsidR="00CF0E2D" w:rsidRPr="00A62B4C" w:rsidRDefault="00CF0E2D" w:rsidP="00A60D4B">
      <w:pPr>
        <w:pStyle w:val="Bbodytext"/>
      </w:pPr>
    </w:p>
    <w:p w14:paraId="584DDF4A" w14:textId="77777777" w:rsidR="00CF0E2D" w:rsidRPr="006D1875" w:rsidRDefault="00CF0E2D" w:rsidP="00A60D4B">
      <w:pPr>
        <w:pStyle w:val="Heading4"/>
        <w:rPr>
          <w:szCs w:val="26"/>
        </w:rPr>
      </w:pPr>
      <w:r>
        <w:rPr>
          <w:b w:val="0"/>
          <w:noProof/>
          <w:color w:val="999789"/>
          <w:sz w:val="32"/>
          <w:szCs w:val="24"/>
        </w:rPr>
        <w:drawing>
          <wp:anchor distT="0" distB="0" distL="114300" distR="114300" simplePos="0" relativeHeight="251726848" behindDoc="0" locked="1" layoutInCell="1" allowOverlap="1" wp14:anchorId="1281893A" wp14:editId="0E7A2C9F">
            <wp:simplePos x="0" y="0"/>
            <wp:positionH relativeFrom="margin">
              <wp:align>right</wp:align>
            </wp:positionH>
            <wp:positionV relativeFrom="paragraph">
              <wp:posOffset>76200</wp:posOffset>
            </wp:positionV>
            <wp:extent cx="1216660" cy="503555"/>
            <wp:effectExtent l="0" t="0" r="2540" b="0"/>
            <wp:wrapSquare wrapText="bothSides"/>
            <wp:docPr id="238" name="Picture 238" descr="Icon representing the wellbeing domain of Identity and belo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con representing the wellbeing domain of Identity and belongi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16660" cy="503555"/>
                    </a:xfrm>
                    <a:prstGeom prst="rect">
                      <a:avLst/>
                    </a:prstGeom>
                  </pic:spPr>
                </pic:pic>
              </a:graphicData>
            </a:graphic>
            <wp14:sizeRelH relativeFrom="margin">
              <wp14:pctWidth>0</wp14:pctWidth>
            </wp14:sizeRelH>
            <wp14:sizeRelV relativeFrom="margin">
              <wp14:pctHeight>0</wp14:pctHeight>
            </wp14:sizeRelV>
          </wp:anchor>
        </w:drawing>
      </w:r>
      <w:r w:rsidRPr="00DD60C9">
        <w:t xml:space="preserve">Backing our </w:t>
      </w:r>
      <w:r w:rsidRPr="00DD60C9">
        <w:rPr>
          <w:bCs/>
          <w:szCs w:val="26"/>
        </w:rPr>
        <w:t xml:space="preserve">Arts and </w:t>
      </w:r>
      <w:r w:rsidRPr="00FD5BE6">
        <w:rPr>
          <w:bCs/>
          <w:szCs w:val="26"/>
        </w:rPr>
        <w:t>Entertainment – Upgrades</w:t>
      </w:r>
      <w:r w:rsidRPr="00B05FB2">
        <w:rPr>
          <w:bCs/>
          <w:szCs w:val="26"/>
        </w:rPr>
        <w:t xml:space="preserve"> to Tuggeranong Arts Centre Theatre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8010E8" w14:paraId="0792DF28" w14:textId="77777777" w:rsidTr="00A60D4B">
        <w:trPr>
          <w:cantSplit/>
          <w:trHeight w:val="632"/>
          <w:jc w:val="center"/>
        </w:trPr>
        <w:tc>
          <w:tcPr>
            <w:tcW w:w="3652" w:type="dxa"/>
            <w:tcBorders>
              <w:top w:val="single" w:sz="4" w:space="0" w:color="auto"/>
              <w:bottom w:val="single" w:sz="4" w:space="0" w:color="auto"/>
            </w:tcBorders>
          </w:tcPr>
          <w:p w14:paraId="3E7C004F" w14:textId="77777777" w:rsidR="00CF0E2D" w:rsidRPr="001739DB" w:rsidRDefault="00CF0E2D" w:rsidP="00A60D4B">
            <w:pPr>
              <w:rPr>
                <w:sz w:val="24"/>
                <w:szCs w:val="24"/>
              </w:rPr>
            </w:pPr>
          </w:p>
        </w:tc>
        <w:tc>
          <w:tcPr>
            <w:tcW w:w="1179" w:type="dxa"/>
            <w:tcBorders>
              <w:top w:val="single" w:sz="4" w:space="0" w:color="auto"/>
              <w:bottom w:val="single" w:sz="4" w:space="0" w:color="auto"/>
            </w:tcBorders>
          </w:tcPr>
          <w:p w14:paraId="3624BC27" w14:textId="77777777" w:rsidR="00CF0E2D" w:rsidRPr="001739DB" w:rsidRDefault="00CF0E2D" w:rsidP="00A60D4B">
            <w:pPr>
              <w:spacing w:after="0"/>
              <w:jc w:val="right"/>
              <w:rPr>
                <w:b/>
                <w:sz w:val="24"/>
                <w:szCs w:val="24"/>
              </w:rPr>
            </w:pPr>
            <w:r w:rsidRPr="001739DB">
              <w:rPr>
                <w:b/>
                <w:sz w:val="24"/>
                <w:szCs w:val="24"/>
              </w:rPr>
              <w:t>2021-22</w:t>
            </w:r>
          </w:p>
          <w:p w14:paraId="3A52FBC3" w14:textId="77777777" w:rsidR="00CF0E2D" w:rsidRPr="001739DB" w:rsidRDefault="00CF0E2D" w:rsidP="00A60D4B">
            <w:pPr>
              <w:spacing w:after="0"/>
              <w:jc w:val="right"/>
              <w:rPr>
                <w:b/>
                <w:sz w:val="24"/>
                <w:szCs w:val="24"/>
              </w:rPr>
            </w:pPr>
            <w:r w:rsidRPr="001739DB">
              <w:rPr>
                <w:b/>
                <w:sz w:val="24"/>
                <w:szCs w:val="24"/>
              </w:rPr>
              <w:t>$’000</w:t>
            </w:r>
          </w:p>
        </w:tc>
        <w:tc>
          <w:tcPr>
            <w:tcW w:w="1041" w:type="dxa"/>
            <w:tcBorders>
              <w:top w:val="single" w:sz="4" w:space="0" w:color="auto"/>
              <w:bottom w:val="single" w:sz="4" w:space="0" w:color="auto"/>
            </w:tcBorders>
          </w:tcPr>
          <w:p w14:paraId="1C912848" w14:textId="77777777" w:rsidR="00CF0E2D" w:rsidRPr="001739DB" w:rsidRDefault="00CF0E2D" w:rsidP="00A60D4B">
            <w:pPr>
              <w:spacing w:after="0"/>
              <w:jc w:val="right"/>
              <w:rPr>
                <w:b/>
                <w:sz w:val="24"/>
                <w:szCs w:val="24"/>
              </w:rPr>
            </w:pPr>
            <w:r w:rsidRPr="001739DB">
              <w:rPr>
                <w:b/>
                <w:sz w:val="24"/>
                <w:szCs w:val="24"/>
              </w:rPr>
              <w:t>2022-23</w:t>
            </w:r>
          </w:p>
          <w:p w14:paraId="07C30DBA" w14:textId="77777777" w:rsidR="00CF0E2D" w:rsidRPr="001739DB" w:rsidRDefault="00CF0E2D" w:rsidP="00A60D4B">
            <w:pPr>
              <w:spacing w:after="0"/>
              <w:jc w:val="right"/>
              <w:rPr>
                <w:b/>
                <w:sz w:val="24"/>
                <w:szCs w:val="24"/>
              </w:rPr>
            </w:pPr>
            <w:r w:rsidRPr="001739DB">
              <w:rPr>
                <w:b/>
                <w:sz w:val="24"/>
                <w:szCs w:val="24"/>
              </w:rPr>
              <w:t>$’000</w:t>
            </w:r>
          </w:p>
        </w:tc>
        <w:tc>
          <w:tcPr>
            <w:tcW w:w="1029" w:type="dxa"/>
            <w:tcBorders>
              <w:top w:val="single" w:sz="4" w:space="0" w:color="auto"/>
              <w:bottom w:val="single" w:sz="4" w:space="0" w:color="auto"/>
            </w:tcBorders>
          </w:tcPr>
          <w:p w14:paraId="60F25B8E" w14:textId="77777777" w:rsidR="00CF0E2D" w:rsidRPr="001739DB" w:rsidRDefault="00CF0E2D" w:rsidP="00A60D4B">
            <w:pPr>
              <w:spacing w:after="0"/>
              <w:jc w:val="right"/>
              <w:rPr>
                <w:b/>
                <w:sz w:val="24"/>
                <w:szCs w:val="24"/>
              </w:rPr>
            </w:pPr>
            <w:r w:rsidRPr="001739DB">
              <w:rPr>
                <w:b/>
                <w:sz w:val="24"/>
                <w:szCs w:val="24"/>
              </w:rPr>
              <w:t>2023-24</w:t>
            </w:r>
          </w:p>
          <w:p w14:paraId="4CAF3F43" w14:textId="77777777" w:rsidR="00CF0E2D" w:rsidRPr="001739DB" w:rsidRDefault="00CF0E2D" w:rsidP="00A60D4B">
            <w:pPr>
              <w:spacing w:after="0"/>
              <w:jc w:val="right"/>
              <w:rPr>
                <w:b/>
                <w:sz w:val="24"/>
                <w:szCs w:val="24"/>
              </w:rPr>
            </w:pPr>
            <w:r w:rsidRPr="001739DB">
              <w:rPr>
                <w:b/>
                <w:sz w:val="24"/>
                <w:szCs w:val="24"/>
              </w:rPr>
              <w:t>$’000</w:t>
            </w:r>
          </w:p>
        </w:tc>
        <w:tc>
          <w:tcPr>
            <w:tcW w:w="1029" w:type="dxa"/>
            <w:tcBorders>
              <w:top w:val="single" w:sz="4" w:space="0" w:color="auto"/>
              <w:bottom w:val="single" w:sz="4" w:space="0" w:color="auto"/>
            </w:tcBorders>
          </w:tcPr>
          <w:p w14:paraId="7A1ABDA9" w14:textId="77777777" w:rsidR="00CF0E2D" w:rsidRPr="001739DB" w:rsidRDefault="00CF0E2D" w:rsidP="00A60D4B">
            <w:pPr>
              <w:spacing w:after="0"/>
              <w:jc w:val="right"/>
              <w:rPr>
                <w:b/>
                <w:sz w:val="24"/>
                <w:szCs w:val="24"/>
              </w:rPr>
            </w:pPr>
            <w:r w:rsidRPr="001739DB">
              <w:rPr>
                <w:b/>
                <w:sz w:val="24"/>
                <w:szCs w:val="24"/>
              </w:rPr>
              <w:t>2024-25</w:t>
            </w:r>
          </w:p>
          <w:p w14:paraId="6EEAF1CE" w14:textId="77777777" w:rsidR="00CF0E2D" w:rsidRPr="001739DB" w:rsidRDefault="00CF0E2D" w:rsidP="00A60D4B">
            <w:pPr>
              <w:spacing w:after="0"/>
              <w:jc w:val="right"/>
              <w:rPr>
                <w:b/>
                <w:sz w:val="24"/>
                <w:szCs w:val="24"/>
              </w:rPr>
            </w:pPr>
            <w:r w:rsidRPr="001739DB">
              <w:rPr>
                <w:b/>
                <w:sz w:val="24"/>
                <w:szCs w:val="24"/>
              </w:rPr>
              <w:t>$’000</w:t>
            </w:r>
          </w:p>
        </w:tc>
        <w:tc>
          <w:tcPr>
            <w:tcW w:w="1029" w:type="dxa"/>
            <w:tcBorders>
              <w:top w:val="single" w:sz="4" w:space="0" w:color="auto"/>
              <w:bottom w:val="single" w:sz="4" w:space="0" w:color="auto"/>
            </w:tcBorders>
          </w:tcPr>
          <w:p w14:paraId="464B5DF4" w14:textId="77777777" w:rsidR="00CF0E2D" w:rsidRPr="001739DB" w:rsidRDefault="00CF0E2D" w:rsidP="00A60D4B">
            <w:pPr>
              <w:spacing w:after="0"/>
              <w:jc w:val="right"/>
              <w:rPr>
                <w:b/>
                <w:sz w:val="24"/>
                <w:szCs w:val="24"/>
              </w:rPr>
            </w:pPr>
            <w:r w:rsidRPr="001739DB">
              <w:rPr>
                <w:b/>
                <w:sz w:val="24"/>
                <w:szCs w:val="24"/>
              </w:rPr>
              <w:t>Total</w:t>
            </w:r>
          </w:p>
          <w:p w14:paraId="546025B1" w14:textId="77777777" w:rsidR="00CF0E2D" w:rsidRPr="001739DB" w:rsidRDefault="00CF0E2D" w:rsidP="00A60D4B">
            <w:pPr>
              <w:spacing w:after="0"/>
              <w:jc w:val="right"/>
              <w:rPr>
                <w:b/>
                <w:sz w:val="24"/>
                <w:szCs w:val="24"/>
              </w:rPr>
            </w:pPr>
            <w:r w:rsidRPr="001739DB">
              <w:rPr>
                <w:b/>
                <w:sz w:val="24"/>
                <w:szCs w:val="24"/>
              </w:rPr>
              <w:t>$’000</w:t>
            </w:r>
          </w:p>
        </w:tc>
      </w:tr>
      <w:tr w:rsidR="00CF0E2D" w:rsidRPr="008010E8" w14:paraId="7545122E" w14:textId="77777777" w:rsidTr="00A60D4B">
        <w:trPr>
          <w:cantSplit/>
          <w:jc w:val="center"/>
        </w:trPr>
        <w:tc>
          <w:tcPr>
            <w:tcW w:w="3652" w:type="dxa"/>
            <w:tcBorders>
              <w:top w:val="single" w:sz="4" w:space="0" w:color="auto"/>
              <w:bottom w:val="single" w:sz="4" w:space="0" w:color="auto"/>
            </w:tcBorders>
          </w:tcPr>
          <w:p w14:paraId="2887AB91" w14:textId="77777777" w:rsidR="00CF0E2D" w:rsidRPr="001739DB" w:rsidRDefault="00CF0E2D" w:rsidP="00A60D4B">
            <w:pPr>
              <w:spacing w:after="0"/>
              <w:ind w:left="321" w:hanging="321"/>
              <w:rPr>
                <w:sz w:val="24"/>
                <w:szCs w:val="24"/>
              </w:rPr>
            </w:pPr>
            <w:r w:rsidRPr="001739DB">
              <w:rPr>
                <w:sz w:val="24"/>
                <w:szCs w:val="24"/>
              </w:rPr>
              <w:t>Capital</w:t>
            </w:r>
          </w:p>
        </w:tc>
        <w:tc>
          <w:tcPr>
            <w:tcW w:w="1179" w:type="dxa"/>
            <w:tcBorders>
              <w:top w:val="single" w:sz="4" w:space="0" w:color="auto"/>
              <w:bottom w:val="single" w:sz="4" w:space="0" w:color="auto"/>
            </w:tcBorders>
          </w:tcPr>
          <w:p w14:paraId="77CDAFB1" w14:textId="77777777" w:rsidR="00CF0E2D" w:rsidRPr="001739DB" w:rsidRDefault="00CF0E2D" w:rsidP="00A60D4B">
            <w:pPr>
              <w:spacing w:after="0"/>
              <w:ind w:left="321" w:hanging="321"/>
              <w:jc w:val="right"/>
              <w:rPr>
                <w:sz w:val="24"/>
                <w:szCs w:val="24"/>
              </w:rPr>
            </w:pPr>
            <w:r w:rsidRPr="001739DB">
              <w:rPr>
                <w:sz w:val="24"/>
                <w:szCs w:val="24"/>
              </w:rPr>
              <w:t>430</w:t>
            </w:r>
          </w:p>
        </w:tc>
        <w:tc>
          <w:tcPr>
            <w:tcW w:w="1041" w:type="dxa"/>
            <w:tcBorders>
              <w:top w:val="single" w:sz="4" w:space="0" w:color="auto"/>
              <w:bottom w:val="single" w:sz="4" w:space="0" w:color="auto"/>
            </w:tcBorders>
          </w:tcPr>
          <w:p w14:paraId="28DA0739" w14:textId="77777777" w:rsidR="00CF0E2D" w:rsidRPr="001739DB" w:rsidRDefault="00CF0E2D" w:rsidP="00A60D4B">
            <w:pPr>
              <w:spacing w:after="0"/>
              <w:ind w:left="321" w:hanging="321"/>
              <w:jc w:val="right"/>
              <w:rPr>
                <w:sz w:val="24"/>
                <w:szCs w:val="24"/>
              </w:rPr>
            </w:pPr>
            <w:r w:rsidRPr="001739DB">
              <w:rPr>
                <w:sz w:val="24"/>
                <w:szCs w:val="24"/>
              </w:rPr>
              <w:t>1,400</w:t>
            </w:r>
          </w:p>
        </w:tc>
        <w:tc>
          <w:tcPr>
            <w:tcW w:w="1029" w:type="dxa"/>
            <w:tcBorders>
              <w:top w:val="single" w:sz="4" w:space="0" w:color="auto"/>
              <w:bottom w:val="single" w:sz="4" w:space="0" w:color="auto"/>
            </w:tcBorders>
          </w:tcPr>
          <w:p w14:paraId="4F53DB2A" w14:textId="77777777" w:rsidR="00CF0E2D" w:rsidRPr="001739DB" w:rsidRDefault="00CF0E2D" w:rsidP="00A60D4B">
            <w:pPr>
              <w:spacing w:after="0"/>
              <w:ind w:left="321" w:hanging="321"/>
              <w:jc w:val="right"/>
              <w:rPr>
                <w:sz w:val="24"/>
                <w:szCs w:val="24"/>
              </w:rPr>
            </w:pPr>
            <w:r w:rsidRPr="001739DB">
              <w:rPr>
                <w:sz w:val="24"/>
                <w:szCs w:val="24"/>
              </w:rPr>
              <w:t>170</w:t>
            </w:r>
          </w:p>
        </w:tc>
        <w:tc>
          <w:tcPr>
            <w:tcW w:w="1029" w:type="dxa"/>
            <w:tcBorders>
              <w:top w:val="single" w:sz="4" w:space="0" w:color="auto"/>
              <w:bottom w:val="single" w:sz="4" w:space="0" w:color="auto"/>
            </w:tcBorders>
          </w:tcPr>
          <w:p w14:paraId="5F0BC2B5" w14:textId="77777777" w:rsidR="00CF0E2D" w:rsidRPr="001739DB" w:rsidRDefault="00CF0E2D" w:rsidP="00A60D4B">
            <w:pPr>
              <w:spacing w:after="0"/>
              <w:ind w:left="321" w:hanging="321"/>
              <w:jc w:val="right"/>
              <w:rPr>
                <w:sz w:val="24"/>
                <w:szCs w:val="24"/>
              </w:rPr>
            </w:pPr>
            <w:r w:rsidRPr="001739DB">
              <w:rPr>
                <w:sz w:val="24"/>
                <w:szCs w:val="24"/>
              </w:rPr>
              <w:t>0</w:t>
            </w:r>
          </w:p>
        </w:tc>
        <w:tc>
          <w:tcPr>
            <w:tcW w:w="1029" w:type="dxa"/>
            <w:tcBorders>
              <w:top w:val="single" w:sz="4" w:space="0" w:color="auto"/>
              <w:bottom w:val="single" w:sz="4" w:space="0" w:color="auto"/>
            </w:tcBorders>
          </w:tcPr>
          <w:p w14:paraId="61397B89" w14:textId="77777777" w:rsidR="00CF0E2D" w:rsidRPr="001739DB" w:rsidRDefault="00CF0E2D" w:rsidP="00A60D4B">
            <w:pPr>
              <w:spacing w:after="0"/>
              <w:ind w:left="321" w:hanging="321"/>
              <w:jc w:val="right"/>
              <w:rPr>
                <w:b/>
                <w:sz w:val="24"/>
                <w:szCs w:val="24"/>
              </w:rPr>
            </w:pPr>
            <w:r w:rsidRPr="001739DB">
              <w:rPr>
                <w:b/>
                <w:sz w:val="24"/>
                <w:szCs w:val="24"/>
              </w:rPr>
              <w:t>2,000</w:t>
            </w:r>
          </w:p>
        </w:tc>
      </w:tr>
      <w:tr w:rsidR="00CF0E2D" w:rsidRPr="008010E8" w14:paraId="0A0AF7DE" w14:textId="77777777" w:rsidTr="00A60D4B">
        <w:trPr>
          <w:cantSplit/>
          <w:jc w:val="center"/>
        </w:trPr>
        <w:tc>
          <w:tcPr>
            <w:tcW w:w="3652" w:type="dxa"/>
            <w:tcBorders>
              <w:top w:val="single" w:sz="4" w:space="0" w:color="auto"/>
              <w:bottom w:val="single" w:sz="4" w:space="0" w:color="auto"/>
            </w:tcBorders>
          </w:tcPr>
          <w:p w14:paraId="75D75FA0" w14:textId="77777777" w:rsidR="00CF0E2D" w:rsidRPr="001739DB" w:rsidRDefault="00CF0E2D" w:rsidP="00A60D4B">
            <w:pPr>
              <w:spacing w:after="0"/>
              <w:ind w:left="321" w:hanging="321"/>
              <w:rPr>
                <w:sz w:val="24"/>
                <w:szCs w:val="24"/>
              </w:rPr>
            </w:pPr>
            <w:r w:rsidRPr="001739DB">
              <w:rPr>
                <w:sz w:val="24"/>
                <w:szCs w:val="24"/>
              </w:rPr>
              <w:t>Depreciation</w:t>
            </w:r>
          </w:p>
        </w:tc>
        <w:tc>
          <w:tcPr>
            <w:tcW w:w="1179" w:type="dxa"/>
            <w:tcBorders>
              <w:top w:val="single" w:sz="4" w:space="0" w:color="auto"/>
              <w:bottom w:val="single" w:sz="4" w:space="0" w:color="auto"/>
            </w:tcBorders>
          </w:tcPr>
          <w:p w14:paraId="627C7323" w14:textId="77777777" w:rsidR="00CF0E2D" w:rsidRPr="001739DB" w:rsidRDefault="00CF0E2D" w:rsidP="00A60D4B">
            <w:pPr>
              <w:spacing w:after="0"/>
              <w:ind w:left="321" w:hanging="321"/>
              <w:jc w:val="right"/>
              <w:rPr>
                <w:sz w:val="24"/>
                <w:szCs w:val="24"/>
              </w:rPr>
            </w:pPr>
            <w:r w:rsidRPr="001739DB">
              <w:rPr>
                <w:sz w:val="24"/>
                <w:szCs w:val="24"/>
              </w:rPr>
              <w:t>0</w:t>
            </w:r>
          </w:p>
        </w:tc>
        <w:tc>
          <w:tcPr>
            <w:tcW w:w="1041" w:type="dxa"/>
            <w:tcBorders>
              <w:top w:val="single" w:sz="4" w:space="0" w:color="auto"/>
              <w:bottom w:val="single" w:sz="4" w:space="0" w:color="auto"/>
            </w:tcBorders>
          </w:tcPr>
          <w:p w14:paraId="5B59E2D9" w14:textId="77777777" w:rsidR="00CF0E2D" w:rsidRPr="001739DB" w:rsidRDefault="00CF0E2D" w:rsidP="00A60D4B">
            <w:pPr>
              <w:spacing w:after="0"/>
              <w:ind w:left="321" w:hanging="321"/>
              <w:jc w:val="right"/>
              <w:rPr>
                <w:sz w:val="24"/>
                <w:szCs w:val="24"/>
              </w:rPr>
            </w:pPr>
            <w:r w:rsidRPr="001739DB">
              <w:rPr>
                <w:sz w:val="24"/>
                <w:szCs w:val="24"/>
              </w:rPr>
              <w:t>0</w:t>
            </w:r>
          </w:p>
        </w:tc>
        <w:tc>
          <w:tcPr>
            <w:tcW w:w="1029" w:type="dxa"/>
            <w:tcBorders>
              <w:top w:val="single" w:sz="4" w:space="0" w:color="auto"/>
              <w:bottom w:val="single" w:sz="4" w:space="0" w:color="auto"/>
            </w:tcBorders>
          </w:tcPr>
          <w:p w14:paraId="22609692" w14:textId="77777777" w:rsidR="00CF0E2D" w:rsidRPr="001739DB" w:rsidRDefault="00CF0E2D" w:rsidP="00A60D4B">
            <w:pPr>
              <w:spacing w:after="0"/>
              <w:ind w:left="321" w:hanging="321"/>
              <w:jc w:val="right"/>
              <w:rPr>
                <w:sz w:val="24"/>
                <w:szCs w:val="24"/>
              </w:rPr>
            </w:pPr>
            <w:r w:rsidRPr="001739DB">
              <w:rPr>
                <w:sz w:val="24"/>
                <w:szCs w:val="24"/>
              </w:rPr>
              <w:t>0</w:t>
            </w:r>
          </w:p>
        </w:tc>
        <w:tc>
          <w:tcPr>
            <w:tcW w:w="1029" w:type="dxa"/>
            <w:tcBorders>
              <w:top w:val="single" w:sz="4" w:space="0" w:color="auto"/>
              <w:bottom w:val="single" w:sz="4" w:space="0" w:color="auto"/>
            </w:tcBorders>
          </w:tcPr>
          <w:p w14:paraId="6E7D1C8D" w14:textId="77777777" w:rsidR="00CF0E2D" w:rsidRPr="001739DB" w:rsidRDefault="00CF0E2D" w:rsidP="00A60D4B">
            <w:pPr>
              <w:spacing w:after="0"/>
              <w:ind w:left="321" w:hanging="321"/>
              <w:jc w:val="right"/>
              <w:rPr>
                <w:sz w:val="24"/>
                <w:szCs w:val="24"/>
              </w:rPr>
            </w:pPr>
            <w:r w:rsidRPr="001739DB">
              <w:rPr>
                <w:sz w:val="24"/>
                <w:szCs w:val="24"/>
              </w:rPr>
              <w:t>200</w:t>
            </w:r>
          </w:p>
        </w:tc>
        <w:tc>
          <w:tcPr>
            <w:tcW w:w="1029" w:type="dxa"/>
            <w:tcBorders>
              <w:top w:val="single" w:sz="4" w:space="0" w:color="auto"/>
              <w:bottom w:val="single" w:sz="4" w:space="0" w:color="auto"/>
            </w:tcBorders>
          </w:tcPr>
          <w:p w14:paraId="50BD524B" w14:textId="77777777" w:rsidR="00CF0E2D" w:rsidRPr="001739DB" w:rsidRDefault="00CF0E2D" w:rsidP="00A60D4B">
            <w:pPr>
              <w:spacing w:after="0"/>
              <w:ind w:left="321" w:hanging="321"/>
              <w:jc w:val="right"/>
              <w:rPr>
                <w:b/>
                <w:sz w:val="24"/>
                <w:szCs w:val="24"/>
              </w:rPr>
            </w:pPr>
            <w:r w:rsidRPr="001739DB">
              <w:rPr>
                <w:b/>
                <w:sz w:val="24"/>
                <w:szCs w:val="24"/>
              </w:rPr>
              <w:t>200</w:t>
            </w:r>
          </w:p>
        </w:tc>
      </w:tr>
    </w:tbl>
    <w:p w14:paraId="61D3B359" w14:textId="77777777" w:rsidR="00CF0E2D" w:rsidRPr="000C17C3" w:rsidRDefault="00CF0E2D" w:rsidP="00A60D4B">
      <w:pPr>
        <w:pStyle w:val="Bbodytext"/>
      </w:pPr>
      <w:r w:rsidRPr="00CA10DD">
        <w:t>The Government will enhance the Tuggeranong Arts Centre theatre</w:t>
      </w:r>
      <w:r w:rsidRPr="00AA77C4">
        <w:t xml:space="preserve">, including improving accessibility and upgrading the sound and lighting systems. </w:t>
      </w:r>
    </w:p>
    <w:p w14:paraId="119443E9" w14:textId="77777777" w:rsidR="00CF0E2D" w:rsidRDefault="00CF0E2D" w:rsidP="00A60D4B">
      <w:pPr>
        <w:pStyle w:val="Bbodytext"/>
      </w:pPr>
      <w:r w:rsidRPr="006D1875">
        <w:t xml:space="preserve">This initiative contributes to the wellbeing domains of Identity and belonging and Social connection.   </w:t>
      </w:r>
    </w:p>
    <w:p w14:paraId="7FFE0EAB" w14:textId="77777777" w:rsidR="00CF0E2D" w:rsidRPr="006D1875" w:rsidRDefault="00CF0E2D" w:rsidP="00A60D4B">
      <w:pPr>
        <w:pStyle w:val="Bbodytext"/>
      </w:pPr>
      <w:r>
        <w:rPr>
          <w:b/>
          <w:noProof/>
          <w:color w:val="999789"/>
          <w:sz w:val="32"/>
          <w:szCs w:val="24"/>
        </w:rPr>
        <w:drawing>
          <wp:anchor distT="0" distB="0" distL="114300" distR="114300" simplePos="0" relativeHeight="251727872" behindDoc="0" locked="1" layoutInCell="1" allowOverlap="1" wp14:anchorId="000E8C3C" wp14:editId="49267D50">
            <wp:simplePos x="0" y="0"/>
            <wp:positionH relativeFrom="margin">
              <wp:posOffset>4587240</wp:posOffset>
            </wp:positionH>
            <wp:positionV relativeFrom="paragraph">
              <wp:posOffset>194310</wp:posOffset>
            </wp:positionV>
            <wp:extent cx="1148400" cy="504000"/>
            <wp:effectExtent l="0" t="0" r="0" b="0"/>
            <wp:wrapSquare wrapText="bothSides"/>
            <wp:docPr id="239" name="Picture 239"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400" cy="504000"/>
                    </a:xfrm>
                    <a:prstGeom prst="rect">
                      <a:avLst/>
                    </a:prstGeom>
                  </pic:spPr>
                </pic:pic>
              </a:graphicData>
            </a:graphic>
            <wp14:sizeRelH relativeFrom="margin">
              <wp14:pctWidth>0</wp14:pctWidth>
            </wp14:sizeRelH>
            <wp14:sizeRelV relativeFrom="margin">
              <wp14:pctHeight>0</wp14:pctHeight>
            </wp14:sizeRelV>
          </wp:anchor>
        </w:drawing>
      </w:r>
    </w:p>
    <w:p w14:paraId="5085ABD5" w14:textId="77777777" w:rsidR="00CF0E2D" w:rsidRPr="00482A75" w:rsidRDefault="00CF0E2D" w:rsidP="00A60D4B">
      <w:pPr>
        <w:pStyle w:val="Heading4"/>
      </w:pPr>
      <w:r w:rsidRPr="00482A75">
        <w:t xml:space="preserve">Boosting Canberrans' Skills – JobTrainer </w:t>
      </w:r>
      <w:r>
        <w:t>e</w:t>
      </w:r>
      <w:r w:rsidRPr="00482A75">
        <w:t>xtension</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6C4429" w14:paraId="6F30F7F0" w14:textId="77777777" w:rsidTr="00A60D4B">
        <w:trPr>
          <w:cantSplit/>
          <w:jc w:val="center"/>
        </w:trPr>
        <w:tc>
          <w:tcPr>
            <w:tcW w:w="3652" w:type="dxa"/>
            <w:tcBorders>
              <w:top w:val="single" w:sz="4" w:space="0" w:color="auto"/>
              <w:bottom w:val="single" w:sz="4" w:space="0" w:color="auto"/>
            </w:tcBorders>
          </w:tcPr>
          <w:p w14:paraId="331DF201" w14:textId="77777777" w:rsidR="00CF0E2D" w:rsidRPr="00351D00" w:rsidRDefault="00CF0E2D" w:rsidP="00A60D4B">
            <w:pPr>
              <w:spacing w:after="0"/>
              <w:rPr>
                <w:sz w:val="24"/>
                <w:szCs w:val="24"/>
              </w:rPr>
            </w:pPr>
          </w:p>
        </w:tc>
        <w:tc>
          <w:tcPr>
            <w:tcW w:w="1179" w:type="dxa"/>
            <w:tcBorders>
              <w:top w:val="single" w:sz="4" w:space="0" w:color="auto"/>
              <w:bottom w:val="single" w:sz="4" w:space="0" w:color="auto"/>
            </w:tcBorders>
          </w:tcPr>
          <w:p w14:paraId="1ED9F239" w14:textId="77777777" w:rsidR="00CF0E2D" w:rsidRPr="00351D00" w:rsidRDefault="00CF0E2D" w:rsidP="00A60D4B">
            <w:pPr>
              <w:spacing w:after="0"/>
              <w:jc w:val="right"/>
              <w:rPr>
                <w:b/>
                <w:sz w:val="24"/>
                <w:szCs w:val="24"/>
              </w:rPr>
            </w:pPr>
            <w:r w:rsidRPr="00351D00">
              <w:rPr>
                <w:b/>
                <w:sz w:val="24"/>
                <w:szCs w:val="24"/>
              </w:rPr>
              <w:t>2021-22</w:t>
            </w:r>
          </w:p>
          <w:p w14:paraId="2A2E30BA" w14:textId="77777777" w:rsidR="00CF0E2D" w:rsidRPr="00351D00" w:rsidRDefault="00CF0E2D" w:rsidP="00A60D4B">
            <w:pPr>
              <w:spacing w:after="0"/>
              <w:jc w:val="right"/>
              <w:rPr>
                <w:b/>
                <w:sz w:val="24"/>
                <w:szCs w:val="24"/>
              </w:rPr>
            </w:pPr>
            <w:r w:rsidRPr="00351D00">
              <w:rPr>
                <w:b/>
                <w:sz w:val="24"/>
                <w:szCs w:val="24"/>
              </w:rPr>
              <w:t>$’000</w:t>
            </w:r>
          </w:p>
        </w:tc>
        <w:tc>
          <w:tcPr>
            <w:tcW w:w="1041" w:type="dxa"/>
            <w:tcBorders>
              <w:top w:val="single" w:sz="4" w:space="0" w:color="auto"/>
              <w:bottom w:val="single" w:sz="4" w:space="0" w:color="auto"/>
            </w:tcBorders>
          </w:tcPr>
          <w:p w14:paraId="49101601" w14:textId="77777777" w:rsidR="00CF0E2D" w:rsidRPr="00351D00" w:rsidRDefault="00CF0E2D" w:rsidP="00A60D4B">
            <w:pPr>
              <w:spacing w:after="0"/>
              <w:jc w:val="right"/>
              <w:rPr>
                <w:b/>
                <w:sz w:val="24"/>
                <w:szCs w:val="24"/>
              </w:rPr>
            </w:pPr>
            <w:r w:rsidRPr="00351D00">
              <w:rPr>
                <w:b/>
                <w:sz w:val="24"/>
                <w:szCs w:val="24"/>
              </w:rPr>
              <w:t>2022-23</w:t>
            </w:r>
          </w:p>
          <w:p w14:paraId="0928F451" w14:textId="77777777" w:rsidR="00CF0E2D" w:rsidRPr="00351D00" w:rsidRDefault="00CF0E2D" w:rsidP="00A60D4B">
            <w:pPr>
              <w:spacing w:after="0"/>
              <w:jc w:val="right"/>
              <w:rPr>
                <w:b/>
                <w:sz w:val="24"/>
                <w:szCs w:val="24"/>
              </w:rPr>
            </w:pPr>
            <w:r w:rsidRPr="00351D00">
              <w:rPr>
                <w:b/>
                <w:sz w:val="24"/>
                <w:szCs w:val="24"/>
              </w:rPr>
              <w:t>$’000</w:t>
            </w:r>
          </w:p>
        </w:tc>
        <w:tc>
          <w:tcPr>
            <w:tcW w:w="1029" w:type="dxa"/>
            <w:tcBorders>
              <w:top w:val="single" w:sz="4" w:space="0" w:color="auto"/>
              <w:bottom w:val="single" w:sz="4" w:space="0" w:color="auto"/>
            </w:tcBorders>
          </w:tcPr>
          <w:p w14:paraId="033173A3" w14:textId="77777777" w:rsidR="00CF0E2D" w:rsidRPr="00351D00" w:rsidRDefault="00CF0E2D" w:rsidP="00A60D4B">
            <w:pPr>
              <w:spacing w:after="0"/>
              <w:jc w:val="right"/>
              <w:rPr>
                <w:b/>
                <w:sz w:val="24"/>
                <w:szCs w:val="24"/>
              </w:rPr>
            </w:pPr>
            <w:r w:rsidRPr="00351D00">
              <w:rPr>
                <w:b/>
                <w:sz w:val="24"/>
                <w:szCs w:val="24"/>
              </w:rPr>
              <w:t>2023-24</w:t>
            </w:r>
          </w:p>
          <w:p w14:paraId="1B2DEE23" w14:textId="77777777" w:rsidR="00CF0E2D" w:rsidRPr="00351D00" w:rsidRDefault="00CF0E2D" w:rsidP="00A60D4B">
            <w:pPr>
              <w:spacing w:after="0"/>
              <w:jc w:val="right"/>
              <w:rPr>
                <w:b/>
                <w:sz w:val="24"/>
                <w:szCs w:val="24"/>
              </w:rPr>
            </w:pPr>
            <w:r w:rsidRPr="00351D00">
              <w:rPr>
                <w:b/>
                <w:sz w:val="24"/>
                <w:szCs w:val="24"/>
              </w:rPr>
              <w:t>$’000</w:t>
            </w:r>
          </w:p>
        </w:tc>
        <w:tc>
          <w:tcPr>
            <w:tcW w:w="1029" w:type="dxa"/>
            <w:tcBorders>
              <w:top w:val="single" w:sz="4" w:space="0" w:color="auto"/>
              <w:bottom w:val="single" w:sz="4" w:space="0" w:color="auto"/>
            </w:tcBorders>
          </w:tcPr>
          <w:p w14:paraId="4C1577DA" w14:textId="77777777" w:rsidR="00CF0E2D" w:rsidRPr="00351D00" w:rsidRDefault="00CF0E2D" w:rsidP="00A60D4B">
            <w:pPr>
              <w:spacing w:after="0"/>
              <w:jc w:val="right"/>
              <w:rPr>
                <w:b/>
                <w:sz w:val="24"/>
                <w:szCs w:val="24"/>
              </w:rPr>
            </w:pPr>
            <w:r w:rsidRPr="00351D00">
              <w:rPr>
                <w:b/>
                <w:sz w:val="24"/>
                <w:szCs w:val="24"/>
              </w:rPr>
              <w:t>2024-25</w:t>
            </w:r>
          </w:p>
          <w:p w14:paraId="6EA3CD72" w14:textId="77777777" w:rsidR="00CF0E2D" w:rsidRPr="00351D00" w:rsidRDefault="00CF0E2D" w:rsidP="00A60D4B">
            <w:pPr>
              <w:spacing w:after="0"/>
              <w:jc w:val="right"/>
              <w:rPr>
                <w:b/>
                <w:sz w:val="24"/>
                <w:szCs w:val="24"/>
              </w:rPr>
            </w:pPr>
            <w:r w:rsidRPr="00351D00">
              <w:rPr>
                <w:b/>
                <w:sz w:val="24"/>
                <w:szCs w:val="24"/>
              </w:rPr>
              <w:t>$’000</w:t>
            </w:r>
          </w:p>
        </w:tc>
        <w:tc>
          <w:tcPr>
            <w:tcW w:w="1029" w:type="dxa"/>
            <w:tcBorders>
              <w:top w:val="single" w:sz="4" w:space="0" w:color="auto"/>
              <w:bottom w:val="single" w:sz="4" w:space="0" w:color="auto"/>
            </w:tcBorders>
          </w:tcPr>
          <w:p w14:paraId="1D0D73CB" w14:textId="77777777" w:rsidR="00CF0E2D" w:rsidRPr="00351D00" w:rsidRDefault="00CF0E2D" w:rsidP="00A60D4B">
            <w:pPr>
              <w:spacing w:after="0"/>
              <w:jc w:val="right"/>
              <w:rPr>
                <w:b/>
                <w:sz w:val="24"/>
                <w:szCs w:val="24"/>
              </w:rPr>
            </w:pPr>
            <w:r w:rsidRPr="00351D00">
              <w:rPr>
                <w:b/>
                <w:sz w:val="24"/>
                <w:szCs w:val="24"/>
              </w:rPr>
              <w:t>Total</w:t>
            </w:r>
          </w:p>
          <w:p w14:paraId="28200372" w14:textId="77777777" w:rsidR="00CF0E2D" w:rsidRPr="00351D00" w:rsidRDefault="00CF0E2D" w:rsidP="00A60D4B">
            <w:pPr>
              <w:spacing w:after="0"/>
              <w:jc w:val="right"/>
              <w:rPr>
                <w:b/>
                <w:sz w:val="24"/>
                <w:szCs w:val="24"/>
              </w:rPr>
            </w:pPr>
            <w:r w:rsidRPr="00351D00">
              <w:rPr>
                <w:b/>
                <w:sz w:val="24"/>
                <w:szCs w:val="24"/>
              </w:rPr>
              <w:t>$’000</w:t>
            </w:r>
          </w:p>
        </w:tc>
      </w:tr>
      <w:tr w:rsidR="00CF0E2D" w:rsidRPr="006C4429" w14:paraId="71B09EBC" w14:textId="77777777" w:rsidTr="00A60D4B">
        <w:trPr>
          <w:cantSplit/>
          <w:jc w:val="center"/>
        </w:trPr>
        <w:tc>
          <w:tcPr>
            <w:tcW w:w="3652" w:type="dxa"/>
          </w:tcPr>
          <w:p w14:paraId="44A4B5FD" w14:textId="77777777" w:rsidR="00CF0E2D" w:rsidRPr="00351D00" w:rsidRDefault="00CF0E2D" w:rsidP="00A60D4B">
            <w:pPr>
              <w:spacing w:after="0"/>
              <w:rPr>
                <w:sz w:val="24"/>
                <w:szCs w:val="24"/>
              </w:rPr>
            </w:pPr>
            <w:r w:rsidRPr="00351D00">
              <w:rPr>
                <w:sz w:val="24"/>
                <w:szCs w:val="24"/>
              </w:rPr>
              <w:t xml:space="preserve">Expenses </w:t>
            </w:r>
          </w:p>
        </w:tc>
        <w:tc>
          <w:tcPr>
            <w:tcW w:w="1179" w:type="dxa"/>
          </w:tcPr>
          <w:p w14:paraId="7DE671DD" w14:textId="77777777" w:rsidR="00CF0E2D" w:rsidRPr="00351D00" w:rsidRDefault="00CF0E2D" w:rsidP="00A60D4B">
            <w:pPr>
              <w:spacing w:after="0"/>
              <w:jc w:val="right"/>
              <w:rPr>
                <w:sz w:val="24"/>
                <w:szCs w:val="24"/>
              </w:rPr>
            </w:pPr>
            <w:r w:rsidRPr="00351D00">
              <w:rPr>
                <w:sz w:val="24"/>
                <w:szCs w:val="24"/>
              </w:rPr>
              <w:t>10,050</w:t>
            </w:r>
          </w:p>
        </w:tc>
        <w:tc>
          <w:tcPr>
            <w:tcW w:w="1041" w:type="dxa"/>
          </w:tcPr>
          <w:p w14:paraId="0CAB2C04" w14:textId="77777777" w:rsidR="00CF0E2D" w:rsidRPr="00351D00" w:rsidRDefault="00CF0E2D" w:rsidP="00A60D4B">
            <w:pPr>
              <w:spacing w:after="0"/>
              <w:jc w:val="right"/>
              <w:rPr>
                <w:sz w:val="24"/>
                <w:szCs w:val="24"/>
              </w:rPr>
            </w:pPr>
            <w:r w:rsidRPr="00351D00">
              <w:rPr>
                <w:sz w:val="24"/>
                <w:szCs w:val="24"/>
              </w:rPr>
              <w:t>6,700</w:t>
            </w:r>
          </w:p>
        </w:tc>
        <w:tc>
          <w:tcPr>
            <w:tcW w:w="1029" w:type="dxa"/>
          </w:tcPr>
          <w:p w14:paraId="1DC44B54" w14:textId="77777777" w:rsidR="00CF0E2D" w:rsidRPr="00351D00" w:rsidRDefault="00CF0E2D" w:rsidP="00A60D4B">
            <w:pPr>
              <w:spacing w:after="0"/>
              <w:jc w:val="right"/>
              <w:rPr>
                <w:sz w:val="24"/>
                <w:szCs w:val="24"/>
              </w:rPr>
            </w:pPr>
            <w:r w:rsidRPr="00351D00">
              <w:rPr>
                <w:sz w:val="24"/>
                <w:szCs w:val="24"/>
              </w:rPr>
              <w:t>0</w:t>
            </w:r>
          </w:p>
        </w:tc>
        <w:tc>
          <w:tcPr>
            <w:tcW w:w="1029" w:type="dxa"/>
          </w:tcPr>
          <w:p w14:paraId="0E8A9FFF" w14:textId="77777777" w:rsidR="00CF0E2D" w:rsidRPr="00351D00" w:rsidRDefault="00CF0E2D" w:rsidP="00A60D4B">
            <w:pPr>
              <w:spacing w:after="0"/>
              <w:jc w:val="right"/>
              <w:rPr>
                <w:sz w:val="24"/>
                <w:szCs w:val="24"/>
              </w:rPr>
            </w:pPr>
            <w:r w:rsidRPr="00351D00">
              <w:rPr>
                <w:sz w:val="24"/>
                <w:szCs w:val="24"/>
              </w:rPr>
              <w:t>0</w:t>
            </w:r>
          </w:p>
        </w:tc>
        <w:tc>
          <w:tcPr>
            <w:tcW w:w="1029" w:type="dxa"/>
          </w:tcPr>
          <w:p w14:paraId="7728C23D" w14:textId="77777777" w:rsidR="00CF0E2D" w:rsidRPr="00351D00" w:rsidRDefault="00CF0E2D" w:rsidP="00A60D4B">
            <w:pPr>
              <w:spacing w:after="0"/>
              <w:jc w:val="right"/>
              <w:rPr>
                <w:b/>
                <w:sz w:val="24"/>
                <w:szCs w:val="24"/>
              </w:rPr>
            </w:pPr>
            <w:r w:rsidRPr="00351D00">
              <w:rPr>
                <w:b/>
                <w:sz w:val="24"/>
                <w:szCs w:val="24"/>
              </w:rPr>
              <w:t>16,750</w:t>
            </w:r>
          </w:p>
        </w:tc>
      </w:tr>
      <w:tr w:rsidR="00CF0E2D" w:rsidRPr="006C4429" w14:paraId="6FC6EB72" w14:textId="77777777" w:rsidTr="00A60D4B">
        <w:trPr>
          <w:cantSplit/>
          <w:jc w:val="center"/>
        </w:trPr>
        <w:tc>
          <w:tcPr>
            <w:tcW w:w="3652" w:type="dxa"/>
          </w:tcPr>
          <w:p w14:paraId="1FC686D0" w14:textId="77777777" w:rsidR="00CF0E2D" w:rsidRPr="00351D00" w:rsidRDefault="00CF0E2D" w:rsidP="00A60D4B">
            <w:pPr>
              <w:spacing w:after="0"/>
              <w:rPr>
                <w:sz w:val="24"/>
                <w:szCs w:val="24"/>
              </w:rPr>
            </w:pPr>
            <w:r w:rsidRPr="00351D00">
              <w:rPr>
                <w:sz w:val="24"/>
                <w:szCs w:val="24"/>
              </w:rPr>
              <w:t>Offset – Commonwealth Funding</w:t>
            </w:r>
          </w:p>
        </w:tc>
        <w:tc>
          <w:tcPr>
            <w:tcW w:w="1179" w:type="dxa"/>
          </w:tcPr>
          <w:p w14:paraId="1E2E9E6D" w14:textId="77777777" w:rsidR="00CF0E2D" w:rsidRPr="00351D00" w:rsidRDefault="00CF0E2D" w:rsidP="00A60D4B">
            <w:pPr>
              <w:spacing w:after="0"/>
              <w:jc w:val="right"/>
              <w:rPr>
                <w:sz w:val="24"/>
                <w:szCs w:val="24"/>
              </w:rPr>
            </w:pPr>
            <w:r w:rsidRPr="00351D00">
              <w:rPr>
                <w:sz w:val="24"/>
                <w:szCs w:val="24"/>
              </w:rPr>
              <w:t>-5,025</w:t>
            </w:r>
          </w:p>
        </w:tc>
        <w:tc>
          <w:tcPr>
            <w:tcW w:w="1041" w:type="dxa"/>
          </w:tcPr>
          <w:p w14:paraId="7D806C4C" w14:textId="77777777" w:rsidR="00CF0E2D" w:rsidRPr="00351D00" w:rsidRDefault="00CF0E2D" w:rsidP="00A60D4B">
            <w:pPr>
              <w:spacing w:after="0"/>
              <w:jc w:val="right"/>
              <w:rPr>
                <w:sz w:val="24"/>
                <w:szCs w:val="24"/>
              </w:rPr>
            </w:pPr>
            <w:r w:rsidRPr="00351D00">
              <w:rPr>
                <w:sz w:val="24"/>
                <w:szCs w:val="24"/>
              </w:rPr>
              <w:t>-3,350</w:t>
            </w:r>
          </w:p>
        </w:tc>
        <w:tc>
          <w:tcPr>
            <w:tcW w:w="1029" w:type="dxa"/>
          </w:tcPr>
          <w:p w14:paraId="42C7A25C" w14:textId="77777777" w:rsidR="00CF0E2D" w:rsidRPr="00351D00" w:rsidRDefault="00CF0E2D" w:rsidP="00A60D4B">
            <w:pPr>
              <w:spacing w:after="0"/>
              <w:jc w:val="right"/>
              <w:rPr>
                <w:sz w:val="24"/>
                <w:szCs w:val="24"/>
              </w:rPr>
            </w:pPr>
            <w:r w:rsidRPr="00351D00">
              <w:rPr>
                <w:sz w:val="24"/>
                <w:szCs w:val="24"/>
              </w:rPr>
              <w:t>0</w:t>
            </w:r>
          </w:p>
        </w:tc>
        <w:tc>
          <w:tcPr>
            <w:tcW w:w="1029" w:type="dxa"/>
          </w:tcPr>
          <w:p w14:paraId="7FAC7BE9" w14:textId="77777777" w:rsidR="00CF0E2D" w:rsidRPr="00351D00" w:rsidRDefault="00CF0E2D" w:rsidP="00A60D4B">
            <w:pPr>
              <w:spacing w:after="0"/>
              <w:jc w:val="right"/>
              <w:rPr>
                <w:sz w:val="24"/>
                <w:szCs w:val="24"/>
              </w:rPr>
            </w:pPr>
            <w:r w:rsidRPr="00351D00">
              <w:rPr>
                <w:sz w:val="24"/>
                <w:szCs w:val="24"/>
              </w:rPr>
              <w:t>0</w:t>
            </w:r>
          </w:p>
        </w:tc>
        <w:tc>
          <w:tcPr>
            <w:tcW w:w="1029" w:type="dxa"/>
          </w:tcPr>
          <w:p w14:paraId="171A8758" w14:textId="77777777" w:rsidR="00CF0E2D" w:rsidRPr="00351D00" w:rsidRDefault="00CF0E2D" w:rsidP="00A60D4B">
            <w:pPr>
              <w:spacing w:after="0"/>
              <w:jc w:val="right"/>
              <w:rPr>
                <w:b/>
                <w:sz w:val="24"/>
                <w:szCs w:val="24"/>
              </w:rPr>
            </w:pPr>
            <w:r w:rsidRPr="00351D00">
              <w:rPr>
                <w:b/>
                <w:sz w:val="24"/>
                <w:szCs w:val="24"/>
              </w:rPr>
              <w:t>-8,375</w:t>
            </w:r>
          </w:p>
        </w:tc>
      </w:tr>
      <w:tr w:rsidR="00CF0E2D" w:rsidRPr="006C4429" w14:paraId="3A306BA6" w14:textId="77777777" w:rsidTr="00A60D4B">
        <w:trPr>
          <w:cantSplit/>
          <w:trHeight w:val="107"/>
          <w:jc w:val="center"/>
        </w:trPr>
        <w:tc>
          <w:tcPr>
            <w:tcW w:w="3652" w:type="dxa"/>
            <w:tcBorders>
              <w:top w:val="single" w:sz="4" w:space="0" w:color="auto"/>
              <w:bottom w:val="single" w:sz="4" w:space="0" w:color="auto"/>
            </w:tcBorders>
          </w:tcPr>
          <w:p w14:paraId="3D436242" w14:textId="77777777" w:rsidR="00CF0E2D" w:rsidRPr="00351D00" w:rsidRDefault="00CF0E2D" w:rsidP="00A60D4B">
            <w:pPr>
              <w:spacing w:after="0"/>
              <w:rPr>
                <w:b/>
                <w:sz w:val="24"/>
                <w:szCs w:val="24"/>
              </w:rPr>
            </w:pPr>
            <w:r w:rsidRPr="00351D00">
              <w:rPr>
                <w:b/>
                <w:sz w:val="24"/>
                <w:szCs w:val="24"/>
              </w:rPr>
              <w:t>Net cost of services</w:t>
            </w:r>
          </w:p>
        </w:tc>
        <w:tc>
          <w:tcPr>
            <w:tcW w:w="1179" w:type="dxa"/>
            <w:tcBorders>
              <w:top w:val="single" w:sz="4" w:space="0" w:color="auto"/>
              <w:bottom w:val="single" w:sz="4" w:space="0" w:color="auto"/>
            </w:tcBorders>
          </w:tcPr>
          <w:p w14:paraId="5D1D62E7" w14:textId="77777777" w:rsidR="00CF0E2D" w:rsidRPr="00351D00" w:rsidRDefault="00CF0E2D" w:rsidP="00A60D4B">
            <w:pPr>
              <w:spacing w:after="0"/>
              <w:jc w:val="right"/>
              <w:rPr>
                <w:b/>
                <w:sz w:val="24"/>
                <w:szCs w:val="24"/>
              </w:rPr>
            </w:pPr>
            <w:r w:rsidRPr="00351D00">
              <w:rPr>
                <w:b/>
                <w:sz w:val="24"/>
                <w:szCs w:val="24"/>
              </w:rPr>
              <w:t>5,025</w:t>
            </w:r>
          </w:p>
        </w:tc>
        <w:tc>
          <w:tcPr>
            <w:tcW w:w="1041" w:type="dxa"/>
            <w:tcBorders>
              <w:top w:val="single" w:sz="4" w:space="0" w:color="auto"/>
              <w:bottom w:val="single" w:sz="4" w:space="0" w:color="auto"/>
            </w:tcBorders>
          </w:tcPr>
          <w:p w14:paraId="4B682B75" w14:textId="77777777" w:rsidR="00CF0E2D" w:rsidRPr="00351D00" w:rsidRDefault="00CF0E2D" w:rsidP="00A60D4B">
            <w:pPr>
              <w:spacing w:after="0"/>
              <w:jc w:val="right"/>
              <w:rPr>
                <w:b/>
                <w:sz w:val="24"/>
                <w:szCs w:val="24"/>
              </w:rPr>
            </w:pPr>
            <w:r w:rsidRPr="00351D00">
              <w:rPr>
                <w:b/>
                <w:sz w:val="24"/>
                <w:szCs w:val="24"/>
              </w:rPr>
              <w:t>3,350</w:t>
            </w:r>
          </w:p>
        </w:tc>
        <w:tc>
          <w:tcPr>
            <w:tcW w:w="1029" w:type="dxa"/>
            <w:tcBorders>
              <w:top w:val="single" w:sz="4" w:space="0" w:color="auto"/>
              <w:bottom w:val="single" w:sz="4" w:space="0" w:color="auto"/>
            </w:tcBorders>
          </w:tcPr>
          <w:p w14:paraId="765804C9" w14:textId="77777777" w:rsidR="00CF0E2D" w:rsidRPr="00351D00" w:rsidRDefault="00CF0E2D" w:rsidP="00A60D4B">
            <w:pPr>
              <w:spacing w:after="0"/>
              <w:jc w:val="right"/>
              <w:rPr>
                <w:b/>
                <w:sz w:val="24"/>
                <w:szCs w:val="24"/>
              </w:rPr>
            </w:pPr>
            <w:r w:rsidRPr="00351D00">
              <w:rPr>
                <w:b/>
                <w:sz w:val="24"/>
                <w:szCs w:val="24"/>
              </w:rPr>
              <w:t>0</w:t>
            </w:r>
          </w:p>
        </w:tc>
        <w:tc>
          <w:tcPr>
            <w:tcW w:w="1029" w:type="dxa"/>
            <w:tcBorders>
              <w:top w:val="single" w:sz="4" w:space="0" w:color="auto"/>
              <w:bottom w:val="single" w:sz="4" w:space="0" w:color="auto"/>
            </w:tcBorders>
          </w:tcPr>
          <w:p w14:paraId="29BC98B1" w14:textId="77777777" w:rsidR="00CF0E2D" w:rsidRPr="00351D00" w:rsidRDefault="00CF0E2D" w:rsidP="00A60D4B">
            <w:pPr>
              <w:spacing w:after="0"/>
              <w:jc w:val="right"/>
              <w:rPr>
                <w:b/>
                <w:sz w:val="24"/>
                <w:szCs w:val="24"/>
              </w:rPr>
            </w:pPr>
            <w:r w:rsidRPr="00351D00">
              <w:rPr>
                <w:b/>
                <w:sz w:val="24"/>
                <w:szCs w:val="24"/>
              </w:rPr>
              <w:t>0</w:t>
            </w:r>
          </w:p>
        </w:tc>
        <w:tc>
          <w:tcPr>
            <w:tcW w:w="1029" w:type="dxa"/>
            <w:tcBorders>
              <w:top w:val="single" w:sz="4" w:space="0" w:color="auto"/>
              <w:bottom w:val="single" w:sz="4" w:space="0" w:color="auto"/>
            </w:tcBorders>
          </w:tcPr>
          <w:p w14:paraId="433A99F0" w14:textId="77777777" w:rsidR="00CF0E2D" w:rsidRPr="00351D00" w:rsidRDefault="00CF0E2D" w:rsidP="00A60D4B">
            <w:pPr>
              <w:spacing w:after="0"/>
              <w:jc w:val="right"/>
              <w:rPr>
                <w:b/>
                <w:sz w:val="24"/>
                <w:szCs w:val="24"/>
              </w:rPr>
            </w:pPr>
            <w:r w:rsidRPr="00351D00">
              <w:rPr>
                <w:b/>
                <w:sz w:val="24"/>
                <w:szCs w:val="24"/>
              </w:rPr>
              <w:t>8,375</w:t>
            </w:r>
          </w:p>
        </w:tc>
      </w:tr>
    </w:tbl>
    <w:p w14:paraId="6E9E8283" w14:textId="77777777" w:rsidR="00CF0E2D" w:rsidRPr="00482A75" w:rsidRDefault="00CF0E2D" w:rsidP="00A60D4B">
      <w:pPr>
        <w:pStyle w:val="Bbodytext"/>
      </w:pPr>
      <w:r w:rsidRPr="00482A75">
        <w:t xml:space="preserve">The Government will participate in the national extension of the JobTrainer Fund to provide free training places for young people and others who face barriers in the labour market. The Fund will support the delivery of free training places in areas of skills need or employment growth, supporting the economic recovery from COVID-19 in the ACT.  The costs of the extension will be shared equally by the ACT and Commonwealth Governments. </w:t>
      </w:r>
    </w:p>
    <w:p w14:paraId="5201D92B" w14:textId="77777777" w:rsidR="00CF0E2D" w:rsidRDefault="00CF0E2D" w:rsidP="00A60D4B">
      <w:pPr>
        <w:pStyle w:val="Bbodytext"/>
      </w:pPr>
      <w:r w:rsidRPr="00482A75">
        <w:t xml:space="preserve">This initiative contributes to the wellbeing domains of Economy and Education and </w:t>
      </w:r>
      <w:r>
        <w:t>l</w:t>
      </w:r>
      <w:r w:rsidRPr="00482A75">
        <w:t>ife-long learning.</w:t>
      </w:r>
    </w:p>
    <w:p w14:paraId="2BF530F2" w14:textId="77777777" w:rsidR="00CF0E2D" w:rsidRPr="00883AF0" w:rsidRDefault="00CF0E2D" w:rsidP="00A60D4B">
      <w:pPr>
        <w:pStyle w:val="Heading4"/>
      </w:pPr>
      <w:r w:rsidRPr="00415329">
        <w:lastRenderedPageBreak/>
        <w:t xml:space="preserve">Boosting Canberrans’ Skills </w:t>
      </w:r>
      <w:r>
        <w:t>–</w:t>
      </w:r>
      <w:r w:rsidRPr="00415329">
        <w:t xml:space="preserve"> More support for </w:t>
      </w:r>
      <w:r>
        <w:t>v</w:t>
      </w:r>
      <w:r w:rsidRPr="00415329">
        <w:t xml:space="preserve">ocational </w:t>
      </w:r>
      <w:r>
        <w:t>e</w:t>
      </w:r>
      <w:r w:rsidRPr="00415329">
        <w:t>ducation and</w:t>
      </w:r>
      <w:r>
        <w:rPr>
          <w:b w:val="0"/>
          <w:noProof/>
          <w:color w:val="999789"/>
          <w:sz w:val="32"/>
          <w:szCs w:val="24"/>
        </w:rPr>
        <w:drawing>
          <wp:anchor distT="0" distB="0" distL="114300" distR="114300" simplePos="0" relativeHeight="251950080" behindDoc="0" locked="1" layoutInCell="1" allowOverlap="1" wp14:anchorId="64A243A6" wp14:editId="400A19C3">
            <wp:simplePos x="0" y="0"/>
            <wp:positionH relativeFrom="margin">
              <wp:align>right</wp:align>
            </wp:positionH>
            <wp:positionV relativeFrom="paragraph">
              <wp:posOffset>6985</wp:posOffset>
            </wp:positionV>
            <wp:extent cx="1356995" cy="503555"/>
            <wp:effectExtent l="0" t="0" r="0" b="0"/>
            <wp:wrapSquare wrapText="bothSides"/>
            <wp:docPr id="231" name="Picture 231"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r w:rsidRPr="00415329">
        <w:t xml:space="preserve"> </w:t>
      </w:r>
      <w:r>
        <w:t>t</w:t>
      </w:r>
      <w:r w:rsidRPr="00415329">
        <w:t xml:space="preserve">raining and apprenticeships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B018A" w14:paraId="5EF4E588" w14:textId="77777777" w:rsidTr="00A60D4B">
        <w:trPr>
          <w:cantSplit/>
          <w:jc w:val="center"/>
        </w:trPr>
        <w:tc>
          <w:tcPr>
            <w:tcW w:w="3652" w:type="dxa"/>
            <w:tcBorders>
              <w:top w:val="single" w:sz="4" w:space="0" w:color="auto"/>
              <w:bottom w:val="single" w:sz="4" w:space="0" w:color="auto"/>
            </w:tcBorders>
          </w:tcPr>
          <w:p w14:paraId="78638416" w14:textId="77777777" w:rsidR="00CF0E2D" w:rsidRPr="006C5FB0" w:rsidRDefault="00CF0E2D" w:rsidP="00A60D4B">
            <w:pPr>
              <w:spacing w:after="0"/>
              <w:jc w:val="right"/>
              <w:rPr>
                <w:rFonts w:cs="Calibri"/>
                <w:color w:val="FFFFFF"/>
                <w:sz w:val="24"/>
                <w:szCs w:val="24"/>
              </w:rPr>
            </w:pPr>
            <w:r w:rsidRPr="006C5FB0">
              <w:rPr>
                <w:rFonts w:cs="Calibri"/>
                <w:color w:val="FFFFFF"/>
                <w:sz w:val="24"/>
                <w:szCs w:val="24"/>
              </w:rPr>
              <w:t>Empty Cell</w:t>
            </w:r>
          </w:p>
        </w:tc>
        <w:tc>
          <w:tcPr>
            <w:tcW w:w="1179" w:type="dxa"/>
            <w:tcBorders>
              <w:top w:val="single" w:sz="4" w:space="0" w:color="auto"/>
              <w:bottom w:val="single" w:sz="4" w:space="0" w:color="auto"/>
            </w:tcBorders>
          </w:tcPr>
          <w:p w14:paraId="1CCF2778" w14:textId="77777777" w:rsidR="00CF0E2D" w:rsidRPr="006C5FB0" w:rsidRDefault="00CF0E2D" w:rsidP="00A60D4B">
            <w:pPr>
              <w:spacing w:after="0"/>
              <w:jc w:val="right"/>
              <w:rPr>
                <w:b/>
                <w:bCs/>
                <w:sz w:val="24"/>
                <w:szCs w:val="24"/>
              </w:rPr>
            </w:pPr>
            <w:r w:rsidRPr="006C5FB0">
              <w:rPr>
                <w:b/>
                <w:bCs/>
                <w:sz w:val="24"/>
                <w:szCs w:val="24"/>
              </w:rPr>
              <w:t>2021-22</w:t>
            </w:r>
          </w:p>
          <w:p w14:paraId="5229FA96" w14:textId="77777777" w:rsidR="00CF0E2D" w:rsidRPr="006C5FB0" w:rsidRDefault="00CF0E2D" w:rsidP="00A60D4B">
            <w:pPr>
              <w:spacing w:after="0"/>
              <w:jc w:val="right"/>
              <w:rPr>
                <w:b/>
                <w:bCs/>
                <w:sz w:val="24"/>
                <w:szCs w:val="24"/>
              </w:rPr>
            </w:pPr>
            <w:r w:rsidRPr="006C5FB0">
              <w:rPr>
                <w:b/>
                <w:bCs/>
                <w:sz w:val="24"/>
                <w:szCs w:val="24"/>
              </w:rPr>
              <w:t>$’000</w:t>
            </w:r>
          </w:p>
        </w:tc>
        <w:tc>
          <w:tcPr>
            <w:tcW w:w="1041" w:type="dxa"/>
            <w:tcBorders>
              <w:top w:val="single" w:sz="4" w:space="0" w:color="auto"/>
              <w:bottom w:val="single" w:sz="4" w:space="0" w:color="auto"/>
            </w:tcBorders>
          </w:tcPr>
          <w:p w14:paraId="2F7F3E16" w14:textId="77777777" w:rsidR="00CF0E2D" w:rsidRPr="006C5FB0" w:rsidRDefault="00CF0E2D" w:rsidP="00A60D4B">
            <w:pPr>
              <w:spacing w:after="0"/>
              <w:jc w:val="right"/>
              <w:rPr>
                <w:b/>
                <w:bCs/>
                <w:sz w:val="24"/>
                <w:szCs w:val="24"/>
              </w:rPr>
            </w:pPr>
            <w:r w:rsidRPr="006C5FB0">
              <w:rPr>
                <w:b/>
                <w:bCs/>
                <w:sz w:val="24"/>
                <w:szCs w:val="24"/>
              </w:rPr>
              <w:t>2022-23</w:t>
            </w:r>
          </w:p>
          <w:p w14:paraId="3F7D938E" w14:textId="77777777" w:rsidR="00CF0E2D" w:rsidRPr="006C5FB0" w:rsidRDefault="00CF0E2D" w:rsidP="00A60D4B">
            <w:pPr>
              <w:spacing w:after="0"/>
              <w:jc w:val="right"/>
              <w:rPr>
                <w:b/>
                <w:bCs/>
                <w:sz w:val="24"/>
                <w:szCs w:val="24"/>
              </w:rPr>
            </w:pPr>
            <w:r w:rsidRPr="006C5FB0">
              <w:rPr>
                <w:b/>
                <w:bCs/>
                <w:sz w:val="24"/>
                <w:szCs w:val="24"/>
              </w:rPr>
              <w:t>$’000</w:t>
            </w:r>
          </w:p>
        </w:tc>
        <w:tc>
          <w:tcPr>
            <w:tcW w:w="1029" w:type="dxa"/>
            <w:tcBorders>
              <w:top w:val="single" w:sz="4" w:space="0" w:color="auto"/>
              <w:bottom w:val="single" w:sz="4" w:space="0" w:color="auto"/>
            </w:tcBorders>
          </w:tcPr>
          <w:p w14:paraId="4F9285F4" w14:textId="77777777" w:rsidR="00CF0E2D" w:rsidRPr="006C5FB0" w:rsidRDefault="00CF0E2D" w:rsidP="00A60D4B">
            <w:pPr>
              <w:spacing w:after="0"/>
              <w:jc w:val="right"/>
              <w:rPr>
                <w:b/>
                <w:bCs/>
                <w:sz w:val="24"/>
                <w:szCs w:val="24"/>
              </w:rPr>
            </w:pPr>
            <w:r w:rsidRPr="006C5FB0">
              <w:rPr>
                <w:b/>
                <w:bCs/>
                <w:sz w:val="24"/>
                <w:szCs w:val="24"/>
              </w:rPr>
              <w:t>2023-24</w:t>
            </w:r>
          </w:p>
          <w:p w14:paraId="4329B38A" w14:textId="77777777" w:rsidR="00CF0E2D" w:rsidRPr="006C5FB0" w:rsidRDefault="00CF0E2D" w:rsidP="00A60D4B">
            <w:pPr>
              <w:spacing w:after="0"/>
              <w:jc w:val="right"/>
              <w:rPr>
                <w:b/>
                <w:bCs/>
                <w:sz w:val="24"/>
                <w:szCs w:val="24"/>
              </w:rPr>
            </w:pPr>
            <w:r w:rsidRPr="006C5FB0">
              <w:rPr>
                <w:b/>
                <w:bCs/>
                <w:sz w:val="24"/>
                <w:szCs w:val="24"/>
              </w:rPr>
              <w:t>$’000</w:t>
            </w:r>
          </w:p>
        </w:tc>
        <w:tc>
          <w:tcPr>
            <w:tcW w:w="1029" w:type="dxa"/>
            <w:tcBorders>
              <w:top w:val="single" w:sz="4" w:space="0" w:color="auto"/>
              <w:bottom w:val="single" w:sz="4" w:space="0" w:color="auto"/>
            </w:tcBorders>
          </w:tcPr>
          <w:p w14:paraId="31D97D11" w14:textId="77777777" w:rsidR="00CF0E2D" w:rsidRPr="006C5FB0" w:rsidRDefault="00CF0E2D" w:rsidP="00A60D4B">
            <w:pPr>
              <w:spacing w:after="0"/>
              <w:jc w:val="right"/>
              <w:rPr>
                <w:b/>
                <w:bCs/>
                <w:sz w:val="24"/>
                <w:szCs w:val="24"/>
              </w:rPr>
            </w:pPr>
            <w:r w:rsidRPr="006C5FB0">
              <w:rPr>
                <w:b/>
                <w:bCs/>
                <w:sz w:val="24"/>
                <w:szCs w:val="24"/>
              </w:rPr>
              <w:t>2024-25</w:t>
            </w:r>
          </w:p>
          <w:p w14:paraId="7F9FB709" w14:textId="77777777" w:rsidR="00CF0E2D" w:rsidRPr="006C5FB0" w:rsidRDefault="00CF0E2D" w:rsidP="00A60D4B">
            <w:pPr>
              <w:spacing w:after="0"/>
              <w:jc w:val="right"/>
              <w:rPr>
                <w:b/>
                <w:bCs/>
                <w:sz w:val="24"/>
                <w:szCs w:val="24"/>
              </w:rPr>
            </w:pPr>
            <w:r w:rsidRPr="006C5FB0">
              <w:rPr>
                <w:b/>
                <w:bCs/>
                <w:sz w:val="24"/>
                <w:szCs w:val="24"/>
              </w:rPr>
              <w:t>$’000</w:t>
            </w:r>
          </w:p>
        </w:tc>
        <w:tc>
          <w:tcPr>
            <w:tcW w:w="1029" w:type="dxa"/>
            <w:tcBorders>
              <w:top w:val="single" w:sz="4" w:space="0" w:color="auto"/>
              <w:bottom w:val="single" w:sz="4" w:space="0" w:color="auto"/>
            </w:tcBorders>
          </w:tcPr>
          <w:p w14:paraId="2D3DC783" w14:textId="77777777" w:rsidR="00CF0E2D" w:rsidRPr="006C5FB0" w:rsidRDefault="00CF0E2D" w:rsidP="00A60D4B">
            <w:pPr>
              <w:spacing w:after="0"/>
              <w:jc w:val="right"/>
              <w:rPr>
                <w:b/>
                <w:sz w:val="24"/>
                <w:szCs w:val="24"/>
              </w:rPr>
            </w:pPr>
            <w:r w:rsidRPr="006C5FB0">
              <w:rPr>
                <w:b/>
                <w:sz w:val="24"/>
                <w:szCs w:val="24"/>
              </w:rPr>
              <w:t>Total</w:t>
            </w:r>
          </w:p>
          <w:p w14:paraId="361BAE27" w14:textId="77777777" w:rsidR="00CF0E2D" w:rsidRPr="006C5FB0" w:rsidRDefault="00CF0E2D" w:rsidP="00A60D4B">
            <w:pPr>
              <w:spacing w:after="0"/>
              <w:jc w:val="right"/>
              <w:rPr>
                <w:b/>
                <w:sz w:val="24"/>
                <w:szCs w:val="24"/>
              </w:rPr>
            </w:pPr>
            <w:r w:rsidRPr="006C5FB0">
              <w:rPr>
                <w:b/>
                <w:sz w:val="24"/>
                <w:szCs w:val="24"/>
              </w:rPr>
              <w:t>$’000</w:t>
            </w:r>
          </w:p>
        </w:tc>
      </w:tr>
      <w:tr w:rsidR="00CF0E2D" w:rsidRPr="007B018A" w14:paraId="3A275D0A" w14:textId="77777777" w:rsidTr="00A60D4B">
        <w:trPr>
          <w:cantSplit/>
          <w:jc w:val="center"/>
        </w:trPr>
        <w:tc>
          <w:tcPr>
            <w:tcW w:w="3652" w:type="dxa"/>
            <w:tcBorders>
              <w:top w:val="single" w:sz="4" w:space="0" w:color="auto"/>
              <w:bottom w:val="single" w:sz="4" w:space="0" w:color="auto"/>
            </w:tcBorders>
          </w:tcPr>
          <w:p w14:paraId="74168AAA" w14:textId="77777777" w:rsidR="00CF0E2D" w:rsidRPr="006C5FB0" w:rsidRDefault="00CF0E2D" w:rsidP="00A60D4B">
            <w:pPr>
              <w:spacing w:after="0"/>
              <w:ind w:left="321" w:hanging="321"/>
              <w:rPr>
                <w:sz w:val="24"/>
                <w:szCs w:val="24"/>
              </w:rPr>
            </w:pPr>
            <w:r w:rsidRPr="006C5FB0">
              <w:rPr>
                <w:sz w:val="24"/>
                <w:szCs w:val="24"/>
              </w:rPr>
              <w:t>Expenses</w:t>
            </w:r>
          </w:p>
        </w:tc>
        <w:tc>
          <w:tcPr>
            <w:tcW w:w="1179" w:type="dxa"/>
            <w:tcBorders>
              <w:top w:val="single" w:sz="4" w:space="0" w:color="auto"/>
              <w:bottom w:val="single" w:sz="4" w:space="0" w:color="auto"/>
            </w:tcBorders>
          </w:tcPr>
          <w:p w14:paraId="1FD28A0E" w14:textId="77777777" w:rsidR="00CF0E2D" w:rsidRPr="006C5FB0" w:rsidRDefault="00CF0E2D" w:rsidP="00A60D4B">
            <w:pPr>
              <w:spacing w:after="0"/>
              <w:jc w:val="right"/>
              <w:rPr>
                <w:sz w:val="24"/>
                <w:szCs w:val="24"/>
              </w:rPr>
            </w:pPr>
            <w:r w:rsidRPr="006C5FB0">
              <w:rPr>
                <w:sz w:val="24"/>
                <w:szCs w:val="24"/>
              </w:rPr>
              <w:t>2,273</w:t>
            </w:r>
          </w:p>
        </w:tc>
        <w:tc>
          <w:tcPr>
            <w:tcW w:w="1041" w:type="dxa"/>
            <w:tcBorders>
              <w:top w:val="single" w:sz="4" w:space="0" w:color="auto"/>
              <w:bottom w:val="single" w:sz="4" w:space="0" w:color="auto"/>
            </w:tcBorders>
          </w:tcPr>
          <w:p w14:paraId="6B06FCF2" w14:textId="77777777" w:rsidR="00CF0E2D" w:rsidRPr="006C5FB0" w:rsidRDefault="00CF0E2D" w:rsidP="00A60D4B">
            <w:pPr>
              <w:spacing w:after="0"/>
              <w:jc w:val="right"/>
              <w:rPr>
                <w:sz w:val="24"/>
                <w:szCs w:val="24"/>
              </w:rPr>
            </w:pPr>
            <w:r w:rsidRPr="006C5FB0">
              <w:rPr>
                <w:sz w:val="24"/>
                <w:szCs w:val="24"/>
              </w:rPr>
              <w:t>0</w:t>
            </w:r>
          </w:p>
        </w:tc>
        <w:tc>
          <w:tcPr>
            <w:tcW w:w="1029" w:type="dxa"/>
            <w:tcBorders>
              <w:top w:val="single" w:sz="4" w:space="0" w:color="auto"/>
              <w:bottom w:val="single" w:sz="4" w:space="0" w:color="auto"/>
            </w:tcBorders>
          </w:tcPr>
          <w:p w14:paraId="0622C328" w14:textId="77777777" w:rsidR="00CF0E2D" w:rsidRPr="006C5FB0" w:rsidRDefault="00CF0E2D" w:rsidP="00A60D4B">
            <w:pPr>
              <w:spacing w:after="0"/>
              <w:jc w:val="right"/>
              <w:rPr>
                <w:sz w:val="24"/>
                <w:szCs w:val="24"/>
              </w:rPr>
            </w:pPr>
            <w:r w:rsidRPr="006C5FB0">
              <w:rPr>
                <w:sz w:val="24"/>
                <w:szCs w:val="24"/>
              </w:rPr>
              <w:t>0</w:t>
            </w:r>
          </w:p>
        </w:tc>
        <w:tc>
          <w:tcPr>
            <w:tcW w:w="1029" w:type="dxa"/>
            <w:tcBorders>
              <w:top w:val="single" w:sz="4" w:space="0" w:color="auto"/>
              <w:bottom w:val="single" w:sz="4" w:space="0" w:color="auto"/>
            </w:tcBorders>
          </w:tcPr>
          <w:p w14:paraId="7EA59717" w14:textId="77777777" w:rsidR="00CF0E2D" w:rsidRPr="006C5FB0" w:rsidRDefault="00CF0E2D" w:rsidP="00A60D4B">
            <w:pPr>
              <w:spacing w:after="0"/>
              <w:jc w:val="right"/>
              <w:rPr>
                <w:sz w:val="24"/>
                <w:szCs w:val="24"/>
              </w:rPr>
            </w:pPr>
            <w:r w:rsidRPr="006C5FB0">
              <w:rPr>
                <w:sz w:val="24"/>
                <w:szCs w:val="24"/>
              </w:rPr>
              <w:t>0</w:t>
            </w:r>
          </w:p>
        </w:tc>
        <w:tc>
          <w:tcPr>
            <w:tcW w:w="1029" w:type="dxa"/>
            <w:tcBorders>
              <w:top w:val="single" w:sz="4" w:space="0" w:color="auto"/>
              <w:bottom w:val="single" w:sz="4" w:space="0" w:color="auto"/>
            </w:tcBorders>
          </w:tcPr>
          <w:p w14:paraId="31A24B16" w14:textId="77777777" w:rsidR="00CF0E2D" w:rsidRPr="006C5FB0" w:rsidRDefault="00CF0E2D" w:rsidP="00A60D4B">
            <w:pPr>
              <w:spacing w:after="0"/>
              <w:jc w:val="right"/>
              <w:rPr>
                <w:b/>
                <w:sz w:val="24"/>
                <w:szCs w:val="24"/>
              </w:rPr>
            </w:pPr>
            <w:r w:rsidRPr="006C5FB0">
              <w:rPr>
                <w:b/>
                <w:sz w:val="24"/>
                <w:szCs w:val="24"/>
              </w:rPr>
              <w:t>2,273</w:t>
            </w:r>
          </w:p>
        </w:tc>
      </w:tr>
    </w:tbl>
    <w:p w14:paraId="13291E81" w14:textId="77777777" w:rsidR="00CF0E2D" w:rsidRPr="006C5FB0" w:rsidRDefault="00CF0E2D" w:rsidP="00A60D4B">
      <w:pPr>
        <w:pStyle w:val="Bbodytext"/>
      </w:pPr>
      <w:r w:rsidRPr="006C5FB0">
        <w:t xml:space="preserve">The Government will provide additional funding for apprenticeships, traineeships and other vocational education </w:t>
      </w:r>
      <w:r>
        <w:t xml:space="preserve">activities </w:t>
      </w:r>
      <w:r w:rsidRPr="006C5FB0">
        <w:t xml:space="preserve">through the User Choice (Australian Apprenticeships) and Skilled Capital programs, as well as to support delivery of existing skills and vocational education training programs in the transition to a new National Skills Agreement, which is scheduled to be finalised in 2022.  </w:t>
      </w:r>
    </w:p>
    <w:p w14:paraId="2B83F47C" w14:textId="77777777" w:rsidR="00CF0E2D" w:rsidRDefault="00CF0E2D" w:rsidP="00A60D4B">
      <w:pPr>
        <w:pStyle w:val="Bbodytext"/>
      </w:pPr>
      <w:r w:rsidRPr="006C5FB0">
        <w:t>This initiative contributes to the wellbeing domains of Education and life-long learning and Economy.</w:t>
      </w:r>
    </w:p>
    <w:p w14:paraId="004706AD" w14:textId="77777777" w:rsidR="00CF0E2D" w:rsidRDefault="00CF0E2D" w:rsidP="00A60D4B">
      <w:pPr>
        <w:pStyle w:val="Bbodytext"/>
      </w:pPr>
      <w:r>
        <w:rPr>
          <w:b/>
          <w:noProof/>
          <w:color w:val="999789"/>
          <w:sz w:val="32"/>
          <w:szCs w:val="24"/>
        </w:rPr>
        <w:drawing>
          <wp:anchor distT="0" distB="0" distL="114300" distR="114300" simplePos="0" relativeHeight="251730944" behindDoc="0" locked="1" layoutInCell="1" allowOverlap="1" wp14:anchorId="5E8B1B3D" wp14:editId="19A0E55B">
            <wp:simplePos x="0" y="0"/>
            <wp:positionH relativeFrom="margin">
              <wp:align>right</wp:align>
            </wp:positionH>
            <wp:positionV relativeFrom="paragraph">
              <wp:posOffset>121920</wp:posOffset>
            </wp:positionV>
            <wp:extent cx="1148080" cy="503555"/>
            <wp:effectExtent l="0" t="0" r="0" b="0"/>
            <wp:wrapSquare wrapText="bothSides"/>
            <wp:docPr id="240" name="Picture 240"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080" cy="503555"/>
                    </a:xfrm>
                    <a:prstGeom prst="rect">
                      <a:avLst/>
                    </a:prstGeom>
                  </pic:spPr>
                </pic:pic>
              </a:graphicData>
            </a:graphic>
            <wp14:sizeRelH relativeFrom="margin">
              <wp14:pctWidth>0</wp14:pctWidth>
            </wp14:sizeRelH>
            <wp14:sizeRelV relativeFrom="margin">
              <wp14:pctHeight>0</wp14:pctHeight>
            </wp14:sizeRelV>
          </wp:anchor>
        </w:drawing>
      </w:r>
    </w:p>
    <w:p w14:paraId="3FD7D538" w14:textId="77777777" w:rsidR="00CF0E2D" w:rsidRDefault="00CF0E2D" w:rsidP="00A60D4B">
      <w:pPr>
        <w:pStyle w:val="Heading4"/>
      </w:pPr>
      <w:r w:rsidRPr="00493314">
        <w:t xml:space="preserve">Business support </w:t>
      </w:r>
      <w:r>
        <w:t>–</w:t>
      </w:r>
      <w:r w:rsidRPr="00493314">
        <w:t xml:space="preserve"> </w:t>
      </w:r>
      <w:r w:rsidRPr="00B80FCA">
        <w:t>International trade and engagement</w:t>
      </w:r>
      <w:r w:rsidRPr="000A1CF2">
        <w:t xml:space="preserve">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591840C9" w14:textId="77777777" w:rsidTr="00A60D4B">
        <w:trPr>
          <w:cantSplit/>
          <w:jc w:val="center"/>
        </w:trPr>
        <w:tc>
          <w:tcPr>
            <w:tcW w:w="3652" w:type="dxa"/>
            <w:tcBorders>
              <w:top w:val="single" w:sz="4" w:space="0" w:color="auto"/>
              <w:bottom w:val="single" w:sz="4" w:space="0" w:color="auto"/>
            </w:tcBorders>
          </w:tcPr>
          <w:p w14:paraId="561B8BED"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79D3EF5E" w14:textId="77777777" w:rsidR="00CF0E2D" w:rsidRPr="00B841EE" w:rsidRDefault="00CF0E2D" w:rsidP="00A60D4B">
            <w:pPr>
              <w:pStyle w:val="InitFigR"/>
              <w:rPr>
                <w:b/>
                <w:bCs/>
              </w:rPr>
            </w:pPr>
            <w:r w:rsidRPr="00B841EE">
              <w:rPr>
                <w:b/>
                <w:bCs/>
              </w:rPr>
              <w:t>2021-22</w:t>
            </w:r>
          </w:p>
          <w:p w14:paraId="5292D50B" w14:textId="77777777" w:rsidR="00CF0E2D" w:rsidRPr="00B841EE" w:rsidRDefault="00CF0E2D" w:rsidP="00A60D4B">
            <w:pPr>
              <w:pStyle w:val="InitFigR"/>
              <w:rPr>
                <w:b/>
                <w:bCs/>
              </w:rPr>
            </w:pPr>
            <w:r w:rsidRPr="00B841EE">
              <w:rPr>
                <w:b/>
                <w:bCs/>
              </w:rPr>
              <w:t>$’000</w:t>
            </w:r>
          </w:p>
        </w:tc>
        <w:tc>
          <w:tcPr>
            <w:tcW w:w="1041" w:type="dxa"/>
            <w:tcBorders>
              <w:top w:val="single" w:sz="4" w:space="0" w:color="auto"/>
              <w:bottom w:val="single" w:sz="4" w:space="0" w:color="auto"/>
            </w:tcBorders>
          </w:tcPr>
          <w:p w14:paraId="6603F66A" w14:textId="77777777" w:rsidR="00CF0E2D" w:rsidRPr="00B841EE" w:rsidRDefault="00CF0E2D" w:rsidP="00A60D4B">
            <w:pPr>
              <w:pStyle w:val="InitFigR"/>
              <w:rPr>
                <w:b/>
                <w:bCs/>
              </w:rPr>
            </w:pPr>
            <w:r w:rsidRPr="00B841EE">
              <w:rPr>
                <w:b/>
                <w:bCs/>
              </w:rPr>
              <w:t>2022-23</w:t>
            </w:r>
          </w:p>
          <w:p w14:paraId="41111E2B" w14:textId="77777777" w:rsidR="00CF0E2D" w:rsidRPr="00B841EE" w:rsidRDefault="00CF0E2D" w:rsidP="00A60D4B">
            <w:pPr>
              <w:pStyle w:val="InitFigR"/>
              <w:rPr>
                <w:b/>
                <w:bCs/>
              </w:rPr>
            </w:pPr>
            <w:r w:rsidRPr="00B841EE">
              <w:rPr>
                <w:b/>
                <w:bCs/>
              </w:rPr>
              <w:t>$’000</w:t>
            </w:r>
          </w:p>
        </w:tc>
        <w:tc>
          <w:tcPr>
            <w:tcW w:w="1029" w:type="dxa"/>
            <w:tcBorders>
              <w:top w:val="single" w:sz="4" w:space="0" w:color="auto"/>
              <w:bottom w:val="single" w:sz="4" w:space="0" w:color="auto"/>
            </w:tcBorders>
          </w:tcPr>
          <w:p w14:paraId="48BF3368" w14:textId="77777777" w:rsidR="00CF0E2D" w:rsidRPr="00B841EE" w:rsidRDefault="00CF0E2D" w:rsidP="00A60D4B">
            <w:pPr>
              <w:pStyle w:val="InitFigR"/>
              <w:rPr>
                <w:b/>
                <w:bCs/>
              </w:rPr>
            </w:pPr>
            <w:r w:rsidRPr="00B841EE">
              <w:rPr>
                <w:b/>
                <w:bCs/>
              </w:rPr>
              <w:t>2023-24</w:t>
            </w:r>
          </w:p>
          <w:p w14:paraId="6A240A2D" w14:textId="77777777" w:rsidR="00CF0E2D" w:rsidRPr="00B841EE" w:rsidRDefault="00CF0E2D" w:rsidP="00A60D4B">
            <w:pPr>
              <w:pStyle w:val="InitFigR"/>
              <w:rPr>
                <w:b/>
                <w:bCs/>
              </w:rPr>
            </w:pPr>
            <w:r w:rsidRPr="00B841EE">
              <w:rPr>
                <w:b/>
                <w:bCs/>
              </w:rPr>
              <w:t>$’000</w:t>
            </w:r>
          </w:p>
        </w:tc>
        <w:tc>
          <w:tcPr>
            <w:tcW w:w="1029" w:type="dxa"/>
            <w:tcBorders>
              <w:top w:val="single" w:sz="4" w:space="0" w:color="auto"/>
              <w:bottom w:val="single" w:sz="4" w:space="0" w:color="auto"/>
            </w:tcBorders>
          </w:tcPr>
          <w:p w14:paraId="03A741AF" w14:textId="77777777" w:rsidR="00CF0E2D" w:rsidRPr="00B841EE" w:rsidRDefault="00CF0E2D" w:rsidP="00A60D4B">
            <w:pPr>
              <w:pStyle w:val="InitFigR"/>
              <w:rPr>
                <w:b/>
                <w:bCs/>
              </w:rPr>
            </w:pPr>
            <w:r w:rsidRPr="00B841EE">
              <w:rPr>
                <w:b/>
                <w:bCs/>
              </w:rPr>
              <w:t>2024-25</w:t>
            </w:r>
          </w:p>
          <w:p w14:paraId="428F882D" w14:textId="77777777" w:rsidR="00CF0E2D" w:rsidRPr="00B841EE" w:rsidRDefault="00CF0E2D" w:rsidP="00A60D4B">
            <w:pPr>
              <w:pStyle w:val="InitFigR"/>
              <w:rPr>
                <w:b/>
                <w:bCs/>
              </w:rPr>
            </w:pPr>
            <w:r w:rsidRPr="00B841EE">
              <w:rPr>
                <w:b/>
                <w:bCs/>
              </w:rPr>
              <w:t>$’000</w:t>
            </w:r>
          </w:p>
        </w:tc>
        <w:tc>
          <w:tcPr>
            <w:tcW w:w="1029" w:type="dxa"/>
            <w:tcBorders>
              <w:top w:val="single" w:sz="4" w:space="0" w:color="auto"/>
              <w:bottom w:val="single" w:sz="4" w:space="0" w:color="auto"/>
            </w:tcBorders>
          </w:tcPr>
          <w:p w14:paraId="176809A1" w14:textId="77777777" w:rsidR="00CF0E2D" w:rsidRPr="00B841EE" w:rsidRDefault="00CF0E2D" w:rsidP="00A60D4B">
            <w:pPr>
              <w:pStyle w:val="InitFigRBold"/>
              <w:rPr>
                <w:bCs/>
              </w:rPr>
            </w:pPr>
            <w:r w:rsidRPr="00B841EE">
              <w:rPr>
                <w:bCs/>
              </w:rPr>
              <w:t>Total</w:t>
            </w:r>
          </w:p>
          <w:p w14:paraId="0D4632D1" w14:textId="77777777" w:rsidR="00CF0E2D" w:rsidRPr="00B841EE" w:rsidRDefault="00CF0E2D" w:rsidP="00A60D4B">
            <w:pPr>
              <w:pStyle w:val="InitFigBR"/>
              <w:rPr>
                <w:bCs/>
              </w:rPr>
            </w:pPr>
            <w:r w:rsidRPr="00B841EE">
              <w:rPr>
                <w:bCs/>
              </w:rPr>
              <w:t>$’000</w:t>
            </w:r>
          </w:p>
        </w:tc>
      </w:tr>
      <w:tr w:rsidR="00CF0E2D" w:rsidRPr="00750793" w14:paraId="58419004" w14:textId="77777777" w:rsidTr="00A60D4B">
        <w:trPr>
          <w:cantSplit/>
          <w:jc w:val="center"/>
        </w:trPr>
        <w:tc>
          <w:tcPr>
            <w:tcW w:w="3652" w:type="dxa"/>
          </w:tcPr>
          <w:p w14:paraId="127A3617" w14:textId="77777777" w:rsidR="00CF0E2D" w:rsidRPr="00F13FAB" w:rsidRDefault="00CF0E2D" w:rsidP="00A60D4B">
            <w:pPr>
              <w:pStyle w:val="InitTextL"/>
              <w:ind w:left="321" w:hanging="321"/>
            </w:pPr>
            <w:r w:rsidRPr="00882BE2">
              <w:t>Expenses</w:t>
            </w:r>
          </w:p>
        </w:tc>
        <w:tc>
          <w:tcPr>
            <w:tcW w:w="1179" w:type="dxa"/>
          </w:tcPr>
          <w:p w14:paraId="7579C660" w14:textId="77777777" w:rsidR="00CF0E2D" w:rsidRPr="00424DA4" w:rsidRDefault="00CF0E2D" w:rsidP="00A60D4B">
            <w:pPr>
              <w:pStyle w:val="InitFigR"/>
            </w:pPr>
            <w:r>
              <w:t>889</w:t>
            </w:r>
          </w:p>
        </w:tc>
        <w:tc>
          <w:tcPr>
            <w:tcW w:w="1041" w:type="dxa"/>
          </w:tcPr>
          <w:p w14:paraId="5BBC4FA7" w14:textId="77777777" w:rsidR="00CF0E2D" w:rsidRPr="00424DA4" w:rsidRDefault="00CF0E2D" w:rsidP="00A60D4B">
            <w:pPr>
              <w:pStyle w:val="InitFigR"/>
            </w:pPr>
            <w:r>
              <w:t>1,183</w:t>
            </w:r>
          </w:p>
        </w:tc>
        <w:tc>
          <w:tcPr>
            <w:tcW w:w="1029" w:type="dxa"/>
          </w:tcPr>
          <w:p w14:paraId="6248A065" w14:textId="77777777" w:rsidR="00CF0E2D" w:rsidRPr="00424DA4" w:rsidRDefault="00CF0E2D" w:rsidP="00A60D4B">
            <w:pPr>
              <w:pStyle w:val="InitFigR"/>
            </w:pPr>
            <w:r>
              <w:t>1,108</w:t>
            </w:r>
          </w:p>
        </w:tc>
        <w:tc>
          <w:tcPr>
            <w:tcW w:w="1029" w:type="dxa"/>
          </w:tcPr>
          <w:p w14:paraId="173E1DA8" w14:textId="77777777" w:rsidR="00CF0E2D" w:rsidRPr="00424DA4" w:rsidRDefault="00CF0E2D" w:rsidP="00A60D4B">
            <w:pPr>
              <w:pStyle w:val="InitFigR"/>
            </w:pPr>
            <w:r>
              <w:t>0</w:t>
            </w:r>
          </w:p>
        </w:tc>
        <w:tc>
          <w:tcPr>
            <w:tcW w:w="1029" w:type="dxa"/>
          </w:tcPr>
          <w:p w14:paraId="45047D23" w14:textId="77777777" w:rsidR="00CF0E2D" w:rsidRPr="00424DA4" w:rsidRDefault="00CF0E2D" w:rsidP="00A60D4B">
            <w:pPr>
              <w:pStyle w:val="InitFigBR"/>
            </w:pPr>
            <w:r>
              <w:t>3,180</w:t>
            </w:r>
          </w:p>
        </w:tc>
      </w:tr>
      <w:tr w:rsidR="00CF0E2D" w:rsidRPr="00750793" w14:paraId="6A1BFE36" w14:textId="77777777" w:rsidTr="00A60D4B">
        <w:trPr>
          <w:cantSplit/>
          <w:trHeight w:val="107"/>
          <w:jc w:val="center"/>
        </w:trPr>
        <w:tc>
          <w:tcPr>
            <w:tcW w:w="3652" w:type="dxa"/>
          </w:tcPr>
          <w:p w14:paraId="663EBD4C" w14:textId="77777777" w:rsidR="00CF0E2D" w:rsidRDefault="00CF0E2D" w:rsidP="00A60D4B">
            <w:pPr>
              <w:pStyle w:val="InitTextL"/>
              <w:ind w:left="321" w:hanging="321"/>
            </w:pPr>
            <w:r>
              <w:t>Offset – Revenue</w:t>
            </w:r>
          </w:p>
        </w:tc>
        <w:tc>
          <w:tcPr>
            <w:tcW w:w="1179" w:type="dxa"/>
          </w:tcPr>
          <w:p w14:paraId="0FF0F044" w14:textId="77777777" w:rsidR="00CF0E2D" w:rsidRPr="00424DA4" w:rsidRDefault="00CF0E2D" w:rsidP="00A60D4B">
            <w:pPr>
              <w:pStyle w:val="InitFigR"/>
            </w:pPr>
            <w:r>
              <w:t>-102</w:t>
            </w:r>
          </w:p>
        </w:tc>
        <w:tc>
          <w:tcPr>
            <w:tcW w:w="1041" w:type="dxa"/>
          </w:tcPr>
          <w:p w14:paraId="293E2A82" w14:textId="77777777" w:rsidR="00CF0E2D" w:rsidRPr="00424DA4" w:rsidRDefault="00CF0E2D" w:rsidP="00A60D4B">
            <w:pPr>
              <w:pStyle w:val="InitFigR"/>
            </w:pPr>
            <w:r>
              <w:t>-105</w:t>
            </w:r>
          </w:p>
        </w:tc>
        <w:tc>
          <w:tcPr>
            <w:tcW w:w="1029" w:type="dxa"/>
          </w:tcPr>
          <w:p w14:paraId="50F193D8" w14:textId="77777777" w:rsidR="00CF0E2D" w:rsidRPr="00424DA4" w:rsidRDefault="00CF0E2D" w:rsidP="00A60D4B">
            <w:pPr>
              <w:pStyle w:val="InitFigR"/>
            </w:pPr>
            <w:r>
              <w:t>-107</w:t>
            </w:r>
          </w:p>
        </w:tc>
        <w:tc>
          <w:tcPr>
            <w:tcW w:w="1029" w:type="dxa"/>
          </w:tcPr>
          <w:p w14:paraId="5EC19E68" w14:textId="77777777" w:rsidR="00CF0E2D" w:rsidRPr="00424DA4" w:rsidRDefault="00CF0E2D" w:rsidP="00A60D4B">
            <w:pPr>
              <w:pStyle w:val="InitFigR"/>
            </w:pPr>
            <w:r>
              <w:t>0</w:t>
            </w:r>
          </w:p>
        </w:tc>
        <w:tc>
          <w:tcPr>
            <w:tcW w:w="1029" w:type="dxa"/>
          </w:tcPr>
          <w:p w14:paraId="44E6ECEC" w14:textId="77777777" w:rsidR="00CF0E2D" w:rsidRPr="00424DA4" w:rsidRDefault="00CF0E2D" w:rsidP="00A60D4B">
            <w:pPr>
              <w:pStyle w:val="InitFigBR"/>
            </w:pPr>
            <w:r>
              <w:t>-314</w:t>
            </w:r>
          </w:p>
        </w:tc>
      </w:tr>
      <w:tr w:rsidR="00CF0E2D" w:rsidRPr="00750793" w14:paraId="2597708C" w14:textId="77777777" w:rsidTr="00A60D4B">
        <w:trPr>
          <w:cantSplit/>
          <w:trHeight w:val="107"/>
          <w:jc w:val="center"/>
        </w:trPr>
        <w:tc>
          <w:tcPr>
            <w:tcW w:w="3652" w:type="dxa"/>
            <w:tcBorders>
              <w:top w:val="single" w:sz="4" w:space="0" w:color="auto"/>
              <w:bottom w:val="single" w:sz="4" w:space="0" w:color="auto"/>
            </w:tcBorders>
          </w:tcPr>
          <w:p w14:paraId="4EF44DB6"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0D560EC5" w14:textId="77777777" w:rsidR="00CF0E2D" w:rsidRPr="00424DA4" w:rsidRDefault="00CF0E2D" w:rsidP="00A60D4B">
            <w:pPr>
              <w:pStyle w:val="InitFigRBold"/>
            </w:pPr>
            <w:r>
              <w:t>787</w:t>
            </w:r>
          </w:p>
        </w:tc>
        <w:tc>
          <w:tcPr>
            <w:tcW w:w="1041" w:type="dxa"/>
            <w:tcBorders>
              <w:top w:val="single" w:sz="4" w:space="0" w:color="auto"/>
              <w:bottom w:val="single" w:sz="4" w:space="0" w:color="auto"/>
            </w:tcBorders>
          </w:tcPr>
          <w:p w14:paraId="39815244" w14:textId="77777777" w:rsidR="00CF0E2D" w:rsidRPr="00424DA4" w:rsidRDefault="00CF0E2D" w:rsidP="00A60D4B">
            <w:pPr>
              <w:pStyle w:val="InitFigRBold"/>
            </w:pPr>
            <w:r>
              <w:t>1,078</w:t>
            </w:r>
          </w:p>
        </w:tc>
        <w:tc>
          <w:tcPr>
            <w:tcW w:w="1029" w:type="dxa"/>
            <w:tcBorders>
              <w:top w:val="single" w:sz="4" w:space="0" w:color="auto"/>
              <w:bottom w:val="single" w:sz="4" w:space="0" w:color="auto"/>
            </w:tcBorders>
          </w:tcPr>
          <w:p w14:paraId="313DC51C" w14:textId="77777777" w:rsidR="00CF0E2D" w:rsidRPr="00424DA4" w:rsidRDefault="00CF0E2D" w:rsidP="00A60D4B">
            <w:pPr>
              <w:pStyle w:val="InitFigRBold"/>
            </w:pPr>
            <w:r>
              <w:t>1,001</w:t>
            </w:r>
          </w:p>
        </w:tc>
        <w:tc>
          <w:tcPr>
            <w:tcW w:w="1029" w:type="dxa"/>
            <w:tcBorders>
              <w:top w:val="single" w:sz="4" w:space="0" w:color="auto"/>
              <w:bottom w:val="single" w:sz="4" w:space="0" w:color="auto"/>
            </w:tcBorders>
          </w:tcPr>
          <w:p w14:paraId="29BF84D0"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3356D789" w14:textId="77777777" w:rsidR="00CF0E2D" w:rsidRPr="00424DA4" w:rsidRDefault="00CF0E2D" w:rsidP="00A60D4B">
            <w:pPr>
              <w:pStyle w:val="InitFigRBold"/>
            </w:pPr>
            <w:r>
              <w:t>2,866</w:t>
            </w:r>
          </w:p>
        </w:tc>
      </w:tr>
    </w:tbl>
    <w:p w14:paraId="3DC5732A" w14:textId="77777777" w:rsidR="00CF0E2D" w:rsidRDefault="00CF0E2D" w:rsidP="00A60D4B">
      <w:pPr>
        <w:pStyle w:val="Bbodytext"/>
      </w:pPr>
      <w:r w:rsidRPr="004C581D">
        <w:t>The Government wi</w:t>
      </w:r>
      <w:r>
        <w:t xml:space="preserve">ll continue to promote and generate opportunities for international trade with the ACT, including through continuing the TradeStart program, in-market business development manager in Singapore, the International Business Engagement Program, and the Chief Minister’s Export Awards. The initiative will also support outbound trade missions and roadshows, the hosting of inbound trade delegations and industry-based export events. This ongoing engagement is critical to support our economic recovery following the reopening of international borders. </w:t>
      </w:r>
    </w:p>
    <w:p w14:paraId="5ADFF6F6" w14:textId="77777777" w:rsidR="00CF0E2D" w:rsidRPr="008501E5" w:rsidRDefault="00CF0E2D" w:rsidP="00A60D4B">
      <w:pPr>
        <w:pStyle w:val="Bbodytext"/>
        <w:keepNext/>
        <w:keepLines/>
      </w:pPr>
      <w:r>
        <w:t xml:space="preserve">This initiative builds on the funding provided as part of the 2018-19 Budget initiative </w:t>
      </w:r>
      <w:r w:rsidRPr="00565CA9">
        <w:rPr>
          <w:i/>
          <w:iCs/>
        </w:rPr>
        <w:t>More and better jobs initiative – Supporting Canberra businesses to diversity, grow and innovate</w:t>
      </w:r>
      <w:r>
        <w:t xml:space="preserve"> and as part of the 2018-19 Budget Review initiative </w:t>
      </w:r>
      <w:r w:rsidRPr="00565CA9">
        <w:rPr>
          <w:i/>
          <w:iCs/>
        </w:rPr>
        <w:t xml:space="preserve">More jobs for our growing city – Attracting more trade and investment. </w:t>
      </w:r>
    </w:p>
    <w:p w14:paraId="5D121A00" w14:textId="77777777" w:rsidR="00CF0E2D" w:rsidRDefault="00CF0E2D" w:rsidP="00A60D4B">
      <w:pPr>
        <w:pStyle w:val="Bbodytext"/>
      </w:pPr>
      <w:r>
        <w:t>This initiative contributes to the wellbeing domains of Economy and Living standards.</w:t>
      </w:r>
    </w:p>
    <w:p w14:paraId="1A7C5BA7" w14:textId="77777777" w:rsidR="00CF0E2D" w:rsidRDefault="00CF0E2D">
      <w:pPr>
        <w:rPr>
          <w:sz w:val="24"/>
        </w:rPr>
      </w:pPr>
      <w:r>
        <w:br w:type="page"/>
      </w:r>
    </w:p>
    <w:p w14:paraId="2FD4CD7E" w14:textId="77777777" w:rsidR="00CF0E2D" w:rsidRPr="008F5C6A" w:rsidRDefault="00CF0E2D" w:rsidP="00A60D4B">
      <w:pPr>
        <w:pStyle w:val="Heading4"/>
        <w:rPr>
          <w:szCs w:val="26"/>
        </w:rPr>
      </w:pPr>
      <w:r>
        <w:rPr>
          <w:b w:val="0"/>
          <w:noProof/>
          <w:color w:val="999789"/>
          <w:sz w:val="32"/>
          <w:szCs w:val="24"/>
        </w:rPr>
        <w:lastRenderedPageBreak/>
        <w:drawing>
          <wp:anchor distT="0" distB="0" distL="114300" distR="114300" simplePos="0" relativeHeight="251732992" behindDoc="0" locked="1" layoutInCell="1" allowOverlap="1" wp14:anchorId="4C8B80A4" wp14:editId="1ED2F057">
            <wp:simplePos x="0" y="0"/>
            <wp:positionH relativeFrom="margin">
              <wp:posOffset>4564380</wp:posOffset>
            </wp:positionH>
            <wp:positionV relativeFrom="paragraph">
              <wp:posOffset>83185</wp:posOffset>
            </wp:positionV>
            <wp:extent cx="1148080" cy="503555"/>
            <wp:effectExtent l="0" t="0" r="0" b="0"/>
            <wp:wrapSquare wrapText="bothSides"/>
            <wp:docPr id="241" name="Picture 241"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080" cy="503555"/>
                    </a:xfrm>
                    <a:prstGeom prst="rect">
                      <a:avLst/>
                    </a:prstGeom>
                  </pic:spPr>
                </pic:pic>
              </a:graphicData>
            </a:graphic>
            <wp14:sizeRelH relativeFrom="margin">
              <wp14:pctWidth>0</wp14:pctWidth>
            </wp14:sizeRelH>
            <wp14:sizeRelV relativeFrom="margin">
              <wp14:pctHeight>0</wp14:pctHeight>
            </wp14:sizeRelV>
          </wp:anchor>
        </w:drawing>
      </w:r>
      <w:r w:rsidRPr="00493314">
        <w:t xml:space="preserve">Business support </w:t>
      </w:r>
      <w:r>
        <w:t>–</w:t>
      </w:r>
      <w:r w:rsidRPr="00493314">
        <w:t xml:space="preserve"> </w:t>
      </w:r>
      <w:r w:rsidRPr="008F5C6A">
        <w:rPr>
          <w:szCs w:val="26"/>
        </w:rPr>
        <w:t xml:space="preserve">More </w:t>
      </w:r>
      <w:r w:rsidRPr="00073522">
        <w:rPr>
          <w:szCs w:val="26"/>
        </w:rPr>
        <w:t>s</w:t>
      </w:r>
      <w:r w:rsidRPr="008F5C6A">
        <w:rPr>
          <w:szCs w:val="26"/>
        </w:rPr>
        <w:t xml:space="preserve">upport for Aboriginal and Torres Strait Islander </w:t>
      </w:r>
      <w:r w:rsidRPr="00073522">
        <w:rPr>
          <w:szCs w:val="26"/>
        </w:rPr>
        <w:t>b</w:t>
      </w:r>
      <w:r w:rsidRPr="008F5C6A">
        <w:rPr>
          <w:szCs w:val="26"/>
        </w:rPr>
        <w:t xml:space="preserve">usinesses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F23ED2" w14:paraId="29079928" w14:textId="77777777" w:rsidTr="00A60D4B">
        <w:trPr>
          <w:cantSplit/>
          <w:jc w:val="center"/>
        </w:trPr>
        <w:tc>
          <w:tcPr>
            <w:tcW w:w="3652" w:type="dxa"/>
            <w:tcBorders>
              <w:top w:val="single" w:sz="4" w:space="0" w:color="auto"/>
              <w:bottom w:val="single" w:sz="4" w:space="0" w:color="auto"/>
            </w:tcBorders>
          </w:tcPr>
          <w:p w14:paraId="11DC1A9E" w14:textId="77777777" w:rsidR="00CF0E2D" w:rsidRPr="00F23ED2" w:rsidRDefault="00CF0E2D" w:rsidP="00A60D4B">
            <w:pPr>
              <w:spacing w:after="0"/>
              <w:rPr>
                <w:sz w:val="24"/>
                <w:szCs w:val="24"/>
              </w:rPr>
            </w:pPr>
          </w:p>
        </w:tc>
        <w:tc>
          <w:tcPr>
            <w:tcW w:w="1179" w:type="dxa"/>
            <w:tcBorders>
              <w:top w:val="single" w:sz="4" w:space="0" w:color="auto"/>
              <w:bottom w:val="single" w:sz="4" w:space="0" w:color="auto"/>
            </w:tcBorders>
          </w:tcPr>
          <w:p w14:paraId="43F5C995" w14:textId="77777777" w:rsidR="00CF0E2D" w:rsidRPr="00F23ED2" w:rsidRDefault="00CF0E2D" w:rsidP="00A60D4B">
            <w:pPr>
              <w:spacing w:after="0"/>
              <w:jc w:val="right"/>
              <w:rPr>
                <w:b/>
                <w:sz w:val="24"/>
                <w:szCs w:val="24"/>
              </w:rPr>
            </w:pPr>
            <w:r w:rsidRPr="00F23ED2">
              <w:rPr>
                <w:b/>
                <w:sz w:val="24"/>
                <w:szCs w:val="24"/>
              </w:rPr>
              <w:t>2021-22</w:t>
            </w:r>
          </w:p>
          <w:p w14:paraId="47433D15" w14:textId="77777777" w:rsidR="00CF0E2D" w:rsidRPr="00F23ED2" w:rsidRDefault="00CF0E2D" w:rsidP="00A60D4B">
            <w:pPr>
              <w:spacing w:after="0"/>
              <w:jc w:val="right"/>
              <w:rPr>
                <w:b/>
                <w:sz w:val="24"/>
                <w:szCs w:val="24"/>
              </w:rPr>
            </w:pPr>
            <w:r w:rsidRPr="00F23ED2">
              <w:rPr>
                <w:b/>
                <w:sz w:val="24"/>
                <w:szCs w:val="24"/>
              </w:rPr>
              <w:t>$’000</w:t>
            </w:r>
          </w:p>
        </w:tc>
        <w:tc>
          <w:tcPr>
            <w:tcW w:w="1041" w:type="dxa"/>
            <w:tcBorders>
              <w:top w:val="single" w:sz="4" w:space="0" w:color="auto"/>
              <w:bottom w:val="single" w:sz="4" w:space="0" w:color="auto"/>
            </w:tcBorders>
          </w:tcPr>
          <w:p w14:paraId="798B344E" w14:textId="77777777" w:rsidR="00CF0E2D" w:rsidRPr="00F23ED2" w:rsidRDefault="00CF0E2D" w:rsidP="00A60D4B">
            <w:pPr>
              <w:spacing w:after="0"/>
              <w:jc w:val="right"/>
              <w:rPr>
                <w:b/>
                <w:sz w:val="24"/>
                <w:szCs w:val="24"/>
              </w:rPr>
            </w:pPr>
            <w:r w:rsidRPr="00F23ED2">
              <w:rPr>
                <w:b/>
                <w:sz w:val="24"/>
                <w:szCs w:val="24"/>
              </w:rPr>
              <w:t>2022-23</w:t>
            </w:r>
          </w:p>
          <w:p w14:paraId="6C6280D4" w14:textId="77777777" w:rsidR="00CF0E2D" w:rsidRPr="00F23ED2" w:rsidRDefault="00CF0E2D" w:rsidP="00A60D4B">
            <w:pPr>
              <w:spacing w:after="0"/>
              <w:jc w:val="right"/>
              <w:rPr>
                <w:b/>
                <w:sz w:val="24"/>
                <w:szCs w:val="24"/>
              </w:rPr>
            </w:pPr>
            <w:r w:rsidRPr="00F23ED2">
              <w:rPr>
                <w:b/>
                <w:sz w:val="24"/>
                <w:szCs w:val="24"/>
              </w:rPr>
              <w:t>$’000</w:t>
            </w:r>
          </w:p>
        </w:tc>
        <w:tc>
          <w:tcPr>
            <w:tcW w:w="1029" w:type="dxa"/>
            <w:tcBorders>
              <w:top w:val="single" w:sz="4" w:space="0" w:color="auto"/>
              <w:bottom w:val="single" w:sz="4" w:space="0" w:color="auto"/>
            </w:tcBorders>
          </w:tcPr>
          <w:p w14:paraId="19F545D2" w14:textId="77777777" w:rsidR="00CF0E2D" w:rsidRPr="00F23ED2" w:rsidRDefault="00CF0E2D" w:rsidP="00A60D4B">
            <w:pPr>
              <w:spacing w:after="0"/>
              <w:jc w:val="right"/>
              <w:rPr>
                <w:b/>
                <w:sz w:val="24"/>
                <w:szCs w:val="24"/>
              </w:rPr>
            </w:pPr>
            <w:r w:rsidRPr="00F23ED2">
              <w:rPr>
                <w:b/>
                <w:sz w:val="24"/>
                <w:szCs w:val="24"/>
              </w:rPr>
              <w:t>2023-24</w:t>
            </w:r>
          </w:p>
          <w:p w14:paraId="7184460E" w14:textId="77777777" w:rsidR="00CF0E2D" w:rsidRPr="00F23ED2" w:rsidRDefault="00CF0E2D" w:rsidP="00A60D4B">
            <w:pPr>
              <w:spacing w:after="0"/>
              <w:jc w:val="right"/>
              <w:rPr>
                <w:b/>
                <w:sz w:val="24"/>
                <w:szCs w:val="24"/>
              </w:rPr>
            </w:pPr>
            <w:r w:rsidRPr="00F23ED2">
              <w:rPr>
                <w:b/>
                <w:sz w:val="24"/>
                <w:szCs w:val="24"/>
              </w:rPr>
              <w:t>$’000</w:t>
            </w:r>
          </w:p>
        </w:tc>
        <w:tc>
          <w:tcPr>
            <w:tcW w:w="1029" w:type="dxa"/>
            <w:tcBorders>
              <w:top w:val="single" w:sz="4" w:space="0" w:color="auto"/>
              <w:bottom w:val="single" w:sz="4" w:space="0" w:color="auto"/>
            </w:tcBorders>
          </w:tcPr>
          <w:p w14:paraId="7A806CD6" w14:textId="77777777" w:rsidR="00CF0E2D" w:rsidRPr="00F23ED2" w:rsidRDefault="00CF0E2D" w:rsidP="00A60D4B">
            <w:pPr>
              <w:spacing w:after="0"/>
              <w:jc w:val="right"/>
              <w:rPr>
                <w:b/>
                <w:sz w:val="24"/>
                <w:szCs w:val="24"/>
              </w:rPr>
            </w:pPr>
            <w:r w:rsidRPr="00F23ED2">
              <w:rPr>
                <w:b/>
                <w:sz w:val="24"/>
                <w:szCs w:val="24"/>
              </w:rPr>
              <w:t>2024-25</w:t>
            </w:r>
          </w:p>
          <w:p w14:paraId="2BDC415C" w14:textId="77777777" w:rsidR="00CF0E2D" w:rsidRPr="00F23ED2" w:rsidRDefault="00CF0E2D" w:rsidP="00A60D4B">
            <w:pPr>
              <w:spacing w:after="0"/>
              <w:jc w:val="right"/>
              <w:rPr>
                <w:b/>
                <w:sz w:val="24"/>
                <w:szCs w:val="24"/>
              </w:rPr>
            </w:pPr>
            <w:r w:rsidRPr="00F23ED2">
              <w:rPr>
                <w:b/>
                <w:sz w:val="24"/>
                <w:szCs w:val="24"/>
              </w:rPr>
              <w:t>$’000</w:t>
            </w:r>
          </w:p>
        </w:tc>
        <w:tc>
          <w:tcPr>
            <w:tcW w:w="1029" w:type="dxa"/>
            <w:tcBorders>
              <w:top w:val="single" w:sz="4" w:space="0" w:color="auto"/>
              <w:bottom w:val="single" w:sz="4" w:space="0" w:color="auto"/>
            </w:tcBorders>
          </w:tcPr>
          <w:p w14:paraId="3BC42463" w14:textId="77777777" w:rsidR="00CF0E2D" w:rsidRPr="00F23ED2" w:rsidRDefault="00CF0E2D" w:rsidP="00A60D4B">
            <w:pPr>
              <w:spacing w:after="0"/>
              <w:jc w:val="right"/>
              <w:rPr>
                <w:b/>
                <w:sz w:val="24"/>
                <w:szCs w:val="24"/>
              </w:rPr>
            </w:pPr>
            <w:r w:rsidRPr="00F23ED2">
              <w:rPr>
                <w:b/>
                <w:sz w:val="24"/>
                <w:szCs w:val="24"/>
              </w:rPr>
              <w:t>Total</w:t>
            </w:r>
          </w:p>
          <w:p w14:paraId="6EB4CC1E" w14:textId="77777777" w:rsidR="00CF0E2D" w:rsidRPr="00F23ED2" w:rsidRDefault="00CF0E2D" w:rsidP="00A60D4B">
            <w:pPr>
              <w:spacing w:after="0"/>
              <w:jc w:val="right"/>
              <w:rPr>
                <w:b/>
                <w:sz w:val="24"/>
                <w:szCs w:val="24"/>
              </w:rPr>
            </w:pPr>
            <w:r w:rsidRPr="00F23ED2">
              <w:rPr>
                <w:b/>
                <w:sz w:val="24"/>
                <w:szCs w:val="24"/>
              </w:rPr>
              <w:t>$’000</w:t>
            </w:r>
          </w:p>
        </w:tc>
      </w:tr>
      <w:tr w:rsidR="00CF0E2D" w:rsidRPr="00F23ED2" w14:paraId="22EA1CB2" w14:textId="77777777" w:rsidTr="00A60D4B">
        <w:trPr>
          <w:cantSplit/>
          <w:jc w:val="center"/>
        </w:trPr>
        <w:tc>
          <w:tcPr>
            <w:tcW w:w="3652" w:type="dxa"/>
            <w:tcBorders>
              <w:top w:val="single" w:sz="4" w:space="0" w:color="auto"/>
              <w:bottom w:val="single" w:sz="4" w:space="0" w:color="auto"/>
            </w:tcBorders>
          </w:tcPr>
          <w:p w14:paraId="238B498E" w14:textId="77777777" w:rsidR="00CF0E2D" w:rsidRPr="00F23ED2" w:rsidRDefault="00CF0E2D" w:rsidP="00A60D4B">
            <w:pPr>
              <w:spacing w:after="0"/>
              <w:rPr>
                <w:sz w:val="24"/>
                <w:szCs w:val="24"/>
              </w:rPr>
            </w:pPr>
            <w:r w:rsidRPr="00F23ED2">
              <w:rPr>
                <w:sz w:val="24"/>
                <w:szCs w:val="24"/>
              </w:rPr>
              <w:t>Expenses</w:t>
            </w:r>
          </w:p>
        </w:tc>
        <w:tc>
          <w:tcPr>
            <w:tcW w:w="1179" w:type="dxa"/>
            <w:tcBorders>
              <w:top w:val="single" w:sz="4" w:space="0" w:color="auto"/>
              <w:bottom w:val="single" w:sz="4" w:space="0" w:color="auto"/>
            </w:tcBorders>
          </w:tcPr>
          <w:p w14:paraId="3191A501" w14:textId="77777777" w:rsidR="00CF0E2D" w:rsidRPr="00387F31" w:rsidRDefault="00CF0E2D" w:rsidP="00A60D4B">
            <w:pPr>
              <w:spacing w:after="0"/>
              <w:jc w:val="right"/>
              <w:rPr>
                <w:sz w:val="24"/>
                <w:szCs w:val="24"/>
              </w:rPr>
            </w:pPr>
            <w:r w:rsidRPr="00387F31">
              <w:rPr>
                <w:sz w:val="24"/>
                <w:szCs w:val="24"/>
              </w:rPr>
              <w:t>225</w:t>
            </w:r>
          </w:p>
        </w:tc>
        <w:tc>
          <w:tcPr>
            <w:tcW w:w="1041" w:type="dxa"/>
            <w:tcBorders>
              <w:top w:val="single" w:sz="4" w:space="0" w:color="auto"/>
              <w:bottom w:val="single" w:sz="4" w:space="0" w:color="auto"/>
            </w:tcBorders>
          </w:tcPr>
          <w:p w14:paraId="3B73D7BA" w14:textId="77777777" w:rsidR="00CF0E2D" w:rsidRPr="00387F31" w:rsidRDefault="00CF0E2D" w:rsidP="00A60D4B">
            <w:pPr>
              <w:spacing w:after="0"/>
              <w:jc w:val="right"/>
              <w:rPr>
                <w:sz w:val="24"/>
                <w:szCs w:val="24"/>
              </w:rPr>
            </w:pPr>
            <w:r w:rsidRPr="00387F31">
              <w:rPr>
                <w:sz w:val="24"/>
                <w:szCs w:val="24"/>
              </w:rPr>
              <w:t>228</w:t>
            </w:r>
          </w:p>
        </w:tc>
        <w:tc>
          <w:tcPr>
            <w:tcW w:w="1029" w:type="dxa"/>
            <w:tcBorders>
              <w:top w:val="single" w:sz="4" w:space="0" w:color="auto"/>
              <w:bottom w:val="single" w:sz="4" w:space="0" w:color="auto"/>
            </w:tcBorders>
          </w:tcPr>
          <w:p w14:paraId="6627D588" w14:textId="77777777" w:rsidR="00CF0E2D" w:rsidRPr="00387F31" w:rsidRDefault="00CF0E2D" w:rsidP="00A60D4B">
            <w:pPr>
              <w:spacing w:after="0"/>
              <w:jc w:val="right"/>
              <w:rPr>
                <w:sz w:val="24"/>
                <w:szCs w:val="24"/>
              </w:rPr>
            </w:pPr>
            <w:r w:rsidRPr="00387F31">
              <w:rPr>
                <w:sz w:val="24"/>
                <w:szCs w:val="24"/>
              </w:rPr>
              <w:t>232</w:t>
            </w:r>
          </w:p>
        </w:tc>
        <w:tc>
          <w:tcPr>
            <w:tcW w:w="1029" w:type="dxa"/>
            <w:tcBorders>
              <w:top w:val="single" w:sz="4" w:space="0" w:color="auto"/>
              <w:bottom w:val="single" w:sz="4" w:space="0" w:color="auto"/>
            </w:tcBorders>
          </w:tcPr>
          <w:p w14:paraId="2137AFE1" w14:textId="77777777" w:rsidR="00CF0E2D" w:rsidRPr="00387F31" w:rsidRDefault="00CF0E2D" w:rsidP="00A60D4B">
            <w:pPr>
              <w:spacing w:after="0"/>
              <w:jc w:val="right"/>
              <w:rPr>
                <w:sz w:val="24"/>
                <w:szCs w:val="24"/>
              </w:rPr>
            </w:pPr>
            <w:r w:rsidRPr="00387F31">
              <w:rPr>
                <w:sz w:val="24"/>
                <w:szCs w:val="24"/>
              </w:rPr>
              <w:t>235</w:t>
            </w:r>
          </w:p>
        </w:tc>
        <w:tc>
          <w:tcPr>
            <w:tcW w:w="1029" w:type="dxa"/>
            <w:tcBorders>
              <w:top w:val="single" w:sz="4" w:space="0" w:color="auto"/>
              <w:bottom w:val="single" w:sz="4" w:space="0" w:color="auto"/>
            </w:tcBorders>
          </w:tcPr>
          <w:p w14:paraId="70630CAC" w14:textId="77777777" w:rsidR="00CF0E2D" w:rsidRPr="00387F31" w:rsidRDefault="00CF0E2D" w:rsidP="00A60D4B">
            <w:pPr>
              <w:spacing w:after="0"/>
              <w:jc w:val="right"/>
              <w:rPr>
                <w:b/>
                <w:sz w:val="24"/>
                <w:szCs w:val="24"/>
              </w:rPr>
            </w:pPr>
            <w:r w:rsidRPr="00387F31">
              <w:rPr>
                <w:b/>
                <w:sz w:val="24"/>
                <w:szCs w:val="24"/>
              </w:rPr>
              <w:t>920</w:t>
            </w:r>
          </w:p>
        </w:tc>
      </w:tr>
    </w:tbl>
    <w:p w14:paraId="0A5B9609" w14:textId="77777777" w:rsidR="00CF0E2D" w:rsidRPr="00AA77C4" w:rsidRDefault="00CF0E2D" w:rsidP="00A60D4B">
      <w:pPr>
        <w:pStyle w:val="Bbodytext"/>
      </w:pPr>
      <w:r w:rsidRPr="00540D75">
        <w:t xml:space="preserve">The Government will deliver an enhanced Aboriginal and Torres Strait Islander business support package, including a Business Accelerator program and a networked concierge service that will link Aboriginal and Torres Strait Islander businesses to </w:t>
      </w:r>
      <w:r w:rsidRPr="00CA10DD">
        <w:t>appropriat</w:t>
      </w:r>
      <w:r w:rsidRPr="00AA77C4">
        <w:t xml:space="preserve">e support mechanisms. </w:t>
      </w:r>
    </w:p>
    <w:p w14:paraId="769781AD" w14:textId="77777777" w:rsidR="00CF0E2D" w:rsidRDefault="00CF0E2D" w:rsidP="00A60D4B">
      <w:pPr>
        <w:pStyle w:val="Bbodytext"/>
      </w:pPr>
      <w:r w:rsidRPr="006D1875">
        <w:t>This initiative contributes to the wellbeing domains of Economy and Identity and belonging.</w:t>
      </w:r>
    </w:p>
    <w:p w14:paraId="2D56C2B5" w14:textId="77777777" w:rsidR="00CF0E2D" w:rsidRPr="006D1875" w:rsidRDefault="00CF0E2D" w:rsidP="00A60D4B">
      <w:pPr>
        <w:pStyle w:val="Bbodytext"/>
      </w:pPr>
      <w:r>
        <w:rPr>
          <w:b/>
          <w:noProof/>
          <w:color w:val="999789"/>
          <w:sz w:val="32"/>
          <w:szCs w:val="24"/>
        </w:rPr>
        <w:drawing>
          <wp:anchor distT="0" distB="0" distL="114300" distR="114300" simplePos="0" relativeHeight="251735040" behindDoc="0" locked="1" layoutInCell="1" allowOverlap="1" wp14:anchorId="1D5B0E80" wp14:editId="4948169F">
            <wp:simplePos x="0" y="0"/>
            <wp:positionH relativeFrom="margin">
              <wp:align>right</wp:align>
            </wp:positionH>
            <wp:positionV relativeFrom="paragraph">
              <wp:posOffset>136525</wp:posOffset>
            </wp:positionV>
            <wp:extent cx="1148400" cy="504000"/>
            <wp:effectExtent l="0" t="0" r="0" b="0"/>
            <wp:wrapSquare wrapText="bothSides"/>
            <wp:docPr id="242" name="Picture 242"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400" cy="504000"/>
                    </a:xfrm>
                    <a:prstGeom prst="rect">
                      <a:avLst/>
                    </a:prstGeom>
                  </pic:spPr>
                </pic:pic>
              </a:graphicData>
            </a:graphic>
            <wp14:sizeRelH relativeFrom="margin">
              <wp14:pctWidth>0</wp14:pctWidth>
            </wp14:sizeRelH>
            <wp14:sizeRelV relativeFrom="margin">
              <wp14:pctHeight>0</wp14:pctHeight>
            </wp14:sizeRelV>
          </wp:anchor>
        </w:drawing>
      </w:r>
    </w:p>
    <w:p w14:paraId="74787324" w14:textId="77777777" w:rsidR="00CF0E2D" w:rsidRPr="00493314" w:rsidRDefault="00CF0E2D" w:rsidP="00A60D4B">
      <w:pPr>
        <w:pStyle w:val="Heading4"/>
        <w:rPr>
          <w:b w:val="0"/>
          <w:bCs/>
          <w:szCs w:val="26"/>
        </w:rPr>
      </w:pPr>
      <w:r w:rsidRPr="00493314">
        <w:t xml:space="preserve">Business support </w:t>
      </w:r>
      <w:r>
        <w:t>–</w:t>
      </w:r>
      <w:r w:rsidRPr="00493314">
        <w:t xml:space="preserve"> More support for business development</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BD13B4" w14:paraId="6D7965C8" w14:textId="77777777" w:rsidTr="00A60D4B">
        <w:trPr>
          <w:cantSplit/>
          <w:jc w:val="center"/>
        </w:trPr>
        <w:tc>
          <w:tcPr>
            <w:tcW w:w="3652" w:type="dxa"/>
            <w:tcBorders>
              <w:top w:val="single" w:sz="4" w:space="0" w:color="auto"/>
              <w:bottom w:val="single" w:sz="4" w:space="0" w:color="auto"/>
            </w:tcBorders>
          </w:tcPr>
          <w:p w14:paraId="4BE620AB" w14:textId="77777777" w:rsidR="00CF0E2D" w:rsidRPr="00BD13B4" w:rsidRDefault="00CF0E2D" w:rsidP="00A60D4B">
            <w:pPr>
              <w:pStyle w:val="EmptyCell0"/>
              <w:rPr>
                <w:sz w:val="24"/>
                <w:szCs w:val="24"/>
              </w:rPr>
            </w:pPr>
            <w:r w:rsidRPr="00BD13B4">
              <w:rPr>
                <w:sz w:val="24"/>
                <w:szCs w:val="24"/>
              </w:rPr>
              <w:t>Empty Cell</w:t>
            </w:r>
          </w:p>
        </w:tc>
        <w:tc>
          <w:tcPr>
            <w:tcW w:w="1179" w:type="dxa"/>
            <w:tcBorders>
              <w:top w:val="single" w:sz="4" w:space="0" w:color="auto"/>
              <w:bottom w:val="single" w:sz="4" w:space="0" w:color="auto"/>
            </w:tcBorders>
          </w:tcPr>
          <w:p w14:paraId="56800BDF" w14:textId="77777777" w:rsidR="00CF0E2D" w:rsidRPr="00AC7B4F" w:rsidRDefault="00CF0E2D" w:rsidP="00A60D4B">
            <w:pPr>
              <w:pStyle w:val="InitFigR"/>
              <w:rPr>
                <w:b/>
                <w:bCs/>
                <w:szCs w:val="24"/>
              </w:rPr>
            </w:pPr>
            <w:r w:rsidRPr="00AC7B4F">
              <w:rPr>
                <w:b/>
                <w:bCs/>
                <w:szCs w:val="24"/>
              </w:rPr>
              <w:t>2021-22</w:t>
            </w:r>
          </w:p>
          <w:p w14:paraId="09545C5B" w14:textId="77777777" w:rsidR="00CF0E2D" w:rsidRPr="00AC7B4F" w:rsidRDefault="00CF0E2D" w:rsidP="00A60D4B">
            <w:pPr>
              <w:pStyle w:val="InitFigR"/>
              <w:rPr>
                <w:b/>
                <w:bCs/>
                <w:szCs w:val="24"/>
              </w:rPr>
            </w:pPr>
            <w:r w:rsidRPr="00AC7B4F">
              <w:rPr>
                <w:b/>
                <w:bCs/>
                <w:szCs w:val="24"/>
              </w:rPr>
              <w:t>$’000</w:t>
            </w:r>
          </w:p>
        </w:tc>
        <w:tc>
          <w:tcPr>
            <w:tcW w:w="1041" w:type="dxa"/>
            <w:tcBorders>
              <w:top w:val="single" w:sz="4" w:space="0" w:color="auto"/>
              <w:bottom w:val="single" w:sz="4" w:space="0" w:color="auto"/>
            </w:tcBorders>
          </w:tcPr>
          <w:p w14:paraId="0467C995" w14:textId="77777777" w:rsidR="00CF0E2D" w:rsidRPr="00AC7B4F" w:rsidRDefault="00CF0E2D" w:rsidP="00A60D4B">
            <w:pPr>
              <w:pStyle w:val="InitFigR"/>
              <w:rPr>
                <w:b/>
                <w:bCs/>
                <w:szCs w:val="24"/>
              </w:rPr>
            </w:pPr>
            <w:r w:rsidRPr="00AC7B4F">
              <w:rPr>
                <w:b/>
                <w:bCs/>
                <w:szCs w:val="24"/>
              </w:rPr>
              <w:t>2022-23</w:t>
            </w:r>
          </w:p>
          <w:p w14:paraId="1CAD074A" w14:textId="77777777" w:rsidR="00CF0E2D" w:rsidRPr="00AC7B4F" w:rsidRDefault="00CF0E2D" w:rsidP="00A60D4B">
            <w:pPr>
              <w:pStyle w:val="InitFigR"/>
              <w:rPr>
                <w:b/>
                <w:bCs/>
                <w:szCs w:val="24"/>
              </w:rPr>
            </w:pPr>
            <w:r w:rsidRPr="00AC7B4F">
              <w:rPr>
                <w:b/>
                <w:bCs/>
                <w:szCs w:val="24"/>
              </w:rPr>
              <w:t>$’000</w:t>
            </w:r>
          </w:p>
        </w:tc>
        <w:tc>
          <w:tcPr>
            <w:tcW w:w="1029" w:type="dxa"/>
            <w:tcBorders>
              <w:top w:val="single" w:sz="4" w:space="0" w:color="auto"/>
              <w:bottom w:val="single" w:sz="4" w:space="0" w:color="auto"/>
            </w:tcBorders>
          </w:tcPr>
          <w:p w14:paraId="34FD512A" w14:textId="77777777" w:rsidR="00CF0E2D" w:rsidRPr="00AC7B4F" w:rsidRDefault="00CF0E2D" w:rsidP="00A60D4B">
            <w:pPr>
              <w:pStyle w:val="InitFigR"/>
              <w:rPr>
                <w:b/>
                <w:bCs/>
                <w:szCs w:val="24"/>
              </w:rPr>
            </w:pPr>
            <w:r w:rsidRPr="00AC7B4F">
              <w:rPr>
                <w:b/>
                <w:bCs/>
                <w:szCs w:val="24"/>
              </w:rPr>
              <w:t>2023-24</w:t>
            </w:r>
          </w:p>
          <w:p w14:paraId="751F8355" w14:textId="77777777" w:rsidR="00CF0E2D" w:rsidRPr="00AC7B4F" w:rsidRDefault="00CF0E2D" w:rsidP="00A60D4B">
            <w:pPr>
              <w:pStyle w:val="InitFigR"/>
              <w:rPr>
                <w:b/>
                <w:bCs/>
                <w:szCs w:val="24"/>
              </w:rPr>
            </w:pPr>
            <w:r w:rsidRPr="00AC7B4F">
              <w:rPr>
                <w:b/>
                <w:bCs/>
                <w:szCs w:val="24"/>
              </w:rPr>
              <w:t>$’000</w:t>
            </w:r>
          </w:p>
        </w:tc>
        <w:tc>
          <w:tcPr>
            <w:tcW w:w="1029" w:type="dxa"/>
            <w:tcBorders>
              <w:top w:val="single" w:sz="4" w:space="0" w:color="auto"/>
              <w:bottom w:val="single" w:sz="4" w:space="0" w:color="auto"/>
            </w:tcBorders>
          </w:tcPr>
          <w:p w14:paraId="54FE543B" w14:textId="77777777" w:rsidR="00CF0E2D" w:rsidRPr="00AC7B4F" w:rsidRDefault="00CF0E2D" w:rsidP="00A60D4B">
            <w:pPr>
              <w:pStyle w:val="InitFigR"/>
              <w:rPr>
                <w:b/>
                <w:bCs/>
                <w:szCs w:val="24"/>
              </w:rPr>
            </w:pPr>
            <w:r w:rsidRPr="00AC7B4F">
              <w:rPr>
                <w:b/>
                <w:bCs/>
                <w:szCs w:val="24"/>
              </w:rPr>
              <w:t>2024-25</w:t>
            </w:r>
          </w:p>
          <w:p w14:paraId="3BF23B1E" w14:textId="77777777" w:rsidR="00CF0E2D" w:rsidRPr="00AC7B4F" w:rsidRDefault="00CF0E2D" w:rsidP="00A60D4B">
            <w:pPr>
              <w:pStyle w:val="InitFigR"/>
              <w:rPr>
                <w:b/>
                <w:bCs/>
                <w:szCs w:val="24"/>
              </w:rPr>
            </w:pPr>
            <w:r w:rsidRPr="00AC7B4F">
              <w:rPr>
                <w:b/>
                <w:bCs/>
                <w:szCs w:val="24"/>
              </w:rPr>
              <w:t>$’000</w:t>
            </w:r>
          </w:p>
        </w:tc>
        <w:tc>
          <w:tcPr>
            <w:tcW w:w="1029" w:type="dxa"/>
            <w:tcBorders>
              <w:top w:val="single" w:sz="4" w:space="0" w:color="auto"/>
              <w:bottom w:val="single" w:sz="4" w:space="0" w:color="auto"/>
            </w:tcBorders>
          </w:tcPr>
          <w:p w14:paraId="56D2C603" w14:textId="77777777" w:rsidR="00CF0E2D" w:rsidRPr="00BD13B4" w:rsidRDefault="00CF0E2D" w:rsidP="00A60D4B">
            <w:pPr>
              <w:pStyle w:val="InitFigRBold"/>
              <w:rPr>
                <w:szCs w:val="24"/>
              </w:rPr>
            </w:pPr>
            <w:r w:rsidRPr="00BD13B4">
              <w:rPr>
                <w:szCs w:val="24"/>
              </w:rPr>
              <w:t>Total</w:t>
            </w:r>
          </w:p>
          <w:p w14:paraId="6F03524E" w14:textId="77777777" w:rsidR="00CF0E2D" w:rsidRPr="00BD13B4" w:rsidRDefault="00CF0E2D" w:rsidP="00A60D4B">
            <w:pPr>
              <w:pStyle w:val="InitFigBR"/>
              <w:rPr>
                <w:szCs w:val="24"/>
              </w:rPr>
            </w:pPr>
            <w:r w:rsidRPr="00BD13B4">
              <w:rPr>
                <w:szCs w:val="24"/>
              </w:rPr>
              <w:t>$’000</w:t>
            </w:r>
          </w:p>
        </w:tc>
      </w:tr>
      <w:tr w:rsidR="00CF0E2D" w:rsidRPr="00BD13B4" w14:paraId="37517851" w14:textId="77777777" w:rsidTr="00A60D4B">
        <w:trPr>
          <w:cantSplit/>
          <w:jc w:val="center"/>
        </w:trPr>
        <w:tc>
          <w:tcPr>
            <w:tcW w:w="3652" w:type="dxa"/>
          </w:tcPr>
          <w:p w14:paraId="654295C7" w14:textId="77777777" w:rsidR="00CF0E2D" w:rsidRPr="00BD13B4" w:rsidRDefault="00CF0E2D" w:rsidP="00A60D4B">
            <w:pPr>
              <w:pStyle w:val="InitTextL"/>
              <w:ind w:left="321" w:hanging="321"/>
              <w:rPr>
                <w:szCs w:val="24"/>
              </w:rPr>
            </w:pPr>
            <w:r w:rsidRPr="00BD13B4">
              <w:rPr>
                <w:szCs w:val="24"/>
              </w:rPr>
              <w:t>Expenses</w:t>
            </w:r>
          </w:p>
        </w:tc>
        <w:tc>
          <w:tcPr>
            <w:tcW w:w="1179" w:type="dxa"/>
          </w:tcPr>
          <w:p w14:paraId="4678D154" w14:textId="77777777" w:rsidR="00CF0E2D" w:rsidRPr="00BD13B4" w:rsidRDefault="00CF0E2D" w:rsidP="00A60D4B">
            <w:pPr>
              <w:pStyle w:val="InitFigR"/>
              <w:rPr>
                <w:szCs w:val="24"/>
              </w:rPr>
            </w:pPr>
            <w:r w:rsidRPr="00BD13B4">
              <w:rPr>
                <w:szCs w:val="24"/>
              </w:rPr>
              <w:t>1,</w:t>
            </w:r>
            <w:r>
              <w:rPr>
                <w:szCs w:val="24"/>
              </w:rPr>
              <w:t>100</w:t>
            </w:r>
          </w:p>
        </w:tc>
        <w:tc>
          <w:tcPr>
            <w:tcW w:w="1041" w:type="dxa"/>
          </w:tcPr>
          <w:p w14:paraId="24035BC8" w14:textId="77777777" w:rsidR="00CF0E2D" w:rsidRPr="00BD13B4" w:rsidRDefault="00CF0E2D" w:rsidP="00A60D4B">
            <w:pPr>
              <w:pStyle w:val="InitFigR"/>
              <w:rPr>
                <w:szCs w:val="24"/>
              </w:rPr>
            </w:pPr>
            <w:r w:rsidRPr="00BD13B4">
              <w:rPr>
                <w:szCs w:val="24"/>
              </w:rPr>
              <w:t>964</w:t>
            </w:r>
          </w:p>
        </w:tc>
        <w:tc>
          <w:tcPr>
            <w:tcW w:w="1029" w:type="dxa"/>
          </w:tcPr>
          <w:p w14:paraId="2FE4E073" w14:textId="77777777" w:rsidR="00CF0E2D" w:rsidRPr="00BD13B4" w:rsidRDefault="00CF0E2D" w:rsidP="00A60D4B">
            <w:pPr>
              <w:pStyle w:val="InitFigR"/>
              <w:rPr>
                <w:szCs w:val="24"/>
              </w:rPr>
            </w:pPr>
            <w:r w:rsidRPr="00BD13B4">
              <w:rPr>
                <w:szCs w:val="24"/>
              </w:rPr>
              <w:t>0</w:t>
            </w:r>
          </w:p>
        </w:tc>
        <w:tc>
          <w:tcPr>
            <w:tcW w:w="1029" w:type="dxa"/>
          </w:tcPr>
          <w:p w14:paraId="7A83589E" w14:textId="77777777" w:rsidR="00CF0E2D" w:rsidRPr="00BD13B4" w:rsidRDefault="00CF0E2D" w:rsidP="00A60D4B">
            <w:pPr>
              <w:pStyle w:val="InitFigR"/>
              <w:rPr>
                <w:szCs w:val="24"/>
              </w:rPr>
            </w:pPr>
            <w:r w:rsidRPr="00BD13B4">
              <w:rPr>
                <w:szCs w:val="24"/>
              </w:rPr>
              <w:t>0</w:t>
            </w:r>
          </w:p>
        </w:tc>
        <w:tc>
          <w:tcPr>
            <w:tcW w:w="1029" w:type="dxa"/>
          </w:tcPr>
          <w:p w14:paraId="1BEB921F" w14:textId="77777777" w:rsidR="00CF0E2D" w:rsidRPr="00BD13B4" w:rsidRDefault="00CF0E2D" w:rsidP="00A60D4B">
            <w:pPr>
              <w:pStyle w:val="InitFigBR"/>
              <w:rPr>
                <w:szCs w:val="24"/>
              </w:rPr>
            </w:pPr>
            <w:r w:rsidRPr="00BD13B4">
              <w:rPr>
                <w:szCs w:val="24"/>
              </w:rPr>
              <w:t>2,</w:t>
            </w:r>
            <w:r>
              <w:rPr>
                <w:szCs w:val="24"/>
              </w:rPr>
              <w:t>06</w:t>
            </w:r>
            <w:r w:rsidRPr="00BD13B4">
              <w:rPr>
                <w:szCs w:val="24"/>
              </w:rPr>
              <w:t>4</w:t>
            </w:r>
          </w:p>
        </w:tc>
      </w:tr>
      <w:tr w:rsidR="00CF0E2D" w:rsidRPr="00BD13B4" w14:paraId="04816D87" w14:textId="77777777" w:rsidTr="00A60D4B">
        <w:trPr>
          <w:cantSplit/>
          <w:jc w:val="center"/>
        </w:trPr>
        <w:tc>
          <w:tcPr>
            <w:tcW w:w="3652" w:type="dxa"/>
          </w:tcPr>
          <w:p w14:paraId="4B819916" w14:textId="77777777" w:rsidR="00CF0E2D" w:rsidRPr="00BD13B4" w:rsidRDefault="00CF0E2D" w:rsidP="00A60D4B">
            <w:pPr>
              <w:pStyle w:val="InitTextL"/>
              <w:ind w:left="321" w:hanging="321"/>
              <w:rPr>
                <w:szCs w:val="24"/>
              </w:rPr>
            </w:pPr>
            <w:r w:rsidRPr="00BD13B4">
              <w:rPr>
                <w:szCs w:val="24"/>
              </w:rPr>
              <w:t>Offset – Expenses</w:t>
            </w:r>
          </w:p>
        </w:tc>
        <w:tc>
          <w:tcPr>
            <w:tcW w:w="1179" w:type="dxa"/>
          </w:tcPr>
          <w:p w14:paraId="45DABCC8" w14:textId="77777777" w:rsidR="00CF0E2D" w:rsidRPr="00BD13B4" w:rsidRDefault="00CF0E2D" w:rsidP="00A60D4B">
            <w:pPr>
              <w:pStyle w:val="InitFigR"/>
              <w:rPr>
                <w:szCs w:val="24"/>
              </w:rPr>
            </w:pPr>
            <w:r>
              <w:rPr>
                <w:szCs w:val="24"/>
              </w:rPr>
              <w:t>-</w:t>
            </w:r>
            <w:r w:rsidRPr="00BD13B4">
              <w:rPr>
                <w:szCs w:val="24"/>
              </w:rPr>
              <w:t>150</w:t>
            </w:r>
          </w:p>
        </w:tc>
        <w:tc>
          <w:tcPr>
            <w:tcW w:w="1041" w:type="dxa"/>
          </w:tcPr>
          <w:p w14:paraId="73890BAF" w14:textId="77777777" w:rsidR="00CF0E2D" w:rsidRPr="00BD13B4" w:rsidRDefault="00CF0E2D" w:rsidP="00A60D4B">
            <w:pPr>
              <w:pStyle w:val="InitFigR"/>
              <w:rPr>
                <w:szCs w:val="24"/>
              </w:rPr>
            </w:pPr>
            <w:r w:rsidRPr="00BD13B4">
              <w:rPr>
                <w:szCs w:val="24"/>
              </w:rPr>
              <w:t>0</w:t>
            </w:r>
          </w:p>
        </w:tc>
        <w:tc>
          <w:tcPr>
            <w:tcW w:w="1029" w:type="dxa"/>
          </w:tcPr>
          <w:p w14:paraId="6B924044" w14:textId="77777777" w:rsidR="00CF0E2D" w:rsidRPr="00BD13B4" w:rsidRDefault="00CF0E2D" w:rsidP="00A60D4B">
            <w:pPr>
              <w:pStyle w:val="InitFigR"/>
              <w:rPr>
                <w:szCs w:val="24"/>
              </w:rPr>
            </w:pPr>
            <w:r w:rsidRPr="00BD13B4">
              <w:rPr>
                <w:szCs w:val="24"/>
              </w:rPr>
              <w:t>0</w:t>
            </w:r>
          </w:p>
        </w:tc>
        <w:tc>
          <w:tcPr>
            <w:tcW w:w="1029" w:type="dxa"/>
          </w:tcPr>
          <w:p w14:paraId="64B86F1B" w14:textId="77777777" w:rsidR="00CF0E2D" w:rsidRPr="00BD13B4" w:rsidRDefault="00CF0E2D" w:rsidP="00A60D4B">
            <w:pPr>
              <w:pStyle w:val="InitFigR"/>
              <w:rPr>
                <w:szCs w:val="24"/>
              </w:rPr>
            </w:pPr>
            <w:r w:rsidRPr="00BD13B4">
              <w:rPr>
                <w:szCs w:val="24"/>
              </w:rPr>
              <w:t>0</w:t>
            </w:r>
          </w:p>
        </w:tc>
        <w:tc>
          <w:tcPr>
            <w:tcW w:w="1029" w:type="dxa"/>
          </w:tcPr>
          <w:p w14:paraId="128B4923" w14:textId="77777777" w:rsidR="00CF0E2D" w:rsidRPr="00BD13B4" w:rsidRDefault="00CF0E2D" w:rsidP="00A60D4B">
            <w:pPr>
              <w:pStyle w:val="InitFigBR"/>
              <w:rPr>
                <w:szCs w:val="24"/>
              </w:rPr>
            </w:pPr>
            <w:r>
              <w:rPr>
                <w:szCs w:val="24"/>
              </w:rPr>
              <w:t>-</w:t>
            </w:r>
            <w:r w:rsidRPr="00BD13B4">
              <w:rPr>
                <w:szCs w:val="24"/>
              </w:rPr>
              <w:t>150</w:t>
            </w:r>
          </w:p>
        </w:tc>
      </w:tr>
      <w:tr w:rsidR="00CF0E2D" w:rsidRPr="00BD13B4" w14:paraId="277DC421" w14:textId="77777777" w:rsidTr="00A60D4B">
        <w:trPr>
          <w:cantSplit/>
          <w:trHeight w:val="107"/>
          <w:jc w:val="center"/>
        </w:trPr>
        <w:tc>
          <w:tcPr>
            <w:tcW w:w="3652" w:type="dxa"/>
            <w:tcBorders>
              <w:top w:val="single" w:sz="4" w:space="0" w:color="auto"/>
              <w:bottom w:val="single" w:sz="4" w:space="0" w:color="auto"/>
            </w:tcBorders>
          </w:tcPr>
          <w:p w14:paraId="74539527" w14:textId="77777777" w:rsidR="00CF0E2D" w:rsidRPr="00BD13B4" w:rsidRDefault="00CF0E2D" w:rsidP="00A60D4B">
            <w:pPr>
              <w:pStyle w:val="InitFigLBold"/>
              <w:ind w:left="321" w:hanging="321"/>
              <w:rPr>
                <w:szCs w:val="24"/>
              </w:rPr>
            </w:pPr>
            <w:r w:rsidRPr="00BD13B4">
              <w:rPr>
                <w:szCs w:val="24"/>
              </w:rPr>
              <w:t>Net cost of services</w:t>
            </w:r>
          </w:p>
        </w:tc>
        <w:tc>
          <w:tcPr>
            <w:tcW w:w="1179" w:type="dxa"/>
            <w:tcBorders>
              <w:top w:val="single" w:sz="4" w:space="0" w:color="auto"/>
              <w:bottom w:val="single" w:sz="4" w:space="0" w:color="auto"/>
            </w:tcBorders>
          </w:tcPr>
          <w:p w14:paraId="458DF373" w14:textId="77777777" w:rsidR="00CF0E2D" w:rsidRPr="00BD13B4" w:rsidRDefault="00CF0E2D" w:rsidP="00A60D4B">
            <w:pPr>
              <w:pStyle w:val="InitFigRBold"/>
              <w:rPr>
                <w:szCs w:val="24"/>
              </w:rPr>
            </w:pPr>
            <w:r>
              <w:rPr>
                <w:szCs w:val="24"/>
              </w:rPr>
              <w:t>950</w:t>
            </w:r>
          </w:p>
        </w:tc>
        <w:tc>
          <w:tcPr>
            <w:tcW w:w="1041" w:type="dxa"/>
            <w:tcBorders>
              <w:top w:val="single" w:sz="4" w:space="0" w:color="auto"/>
              <w:bottom w:val="single" w:sz="4" w:space="0" w:color="auto"/>
            </w:tcBorders>
          </w:tcPr>
          <w:p w14:paraId="71C16D66" w14:textId="77777777" w:rsidR="00CF0E2D" w:rsidRPr="00BD13B4" w:rsidRDefault="00CF0E2D" w:rsidP="00A60D4B">
            <w:pPr>
              <w:pStyle w:val="InitFigRBold"/>
              <w:rPr>
                <w:szCs w:val="24"/>
              </w:rPr>
            </w:pPr>
            <w:r w:rsidRPr="00BD13B4">
              <w:rPr>
                <w:szCs w:val="24"/>
              </w:rPr>
              <w:t>964</w:t>
            </w:r>
          </w:p>
        </w:tc>
        <w:tc>
          <w:tcPr>
            <w:tcW w:w="1029" w:type="dxa"/>
            <w:tcBorders>
              <w:top w:val="single" w:sz="4" w:space="0" w:color="auto"/>
              <w:bottom w:val="single" w:sz="4" w:space="0" w:color="auto"/>
            </w:tcBorders>
          </w:tcPr>
          <w:p w14:paraId="248ECE1A" w14:textId="77777777" w:rsidR="00CF0E2D" w:rsidRPr="00BD13B4" w:rsidRDefault="00CF0E2D" w:rsidP="00A60D4B">
            <w:pPr>
              <w:pStyle w:val="InitFigRBold"/>
              <w:rPr>
                <w:szCs w:val="24"/>
              </w:rPr>
            </w:pPr>
            <w:r w:rsidRPr="00BD13B4">
              <w:rPr>
                <w:szCs w:val="24"/>
              </w:rPr>
              <w:t>0</w:t>
            </w:r>
          </w:p>
        </w:tc>
        <w:tc>
          <w:tcPr>
            <w:tcW w:w="1029" w:type="dxa"/>
            <w:tcBorders>
              <w:top w:val="single" w:sz="4" w:space="0" w:color="auto"/>
              <w:bottom w:val="single" w:sz="4" w:space="0" w:color="auto"/>
            </w:tcBorders>
          </w:tcPr>
          <w:p w14:paraId="15859297" w14:textId="77777777" w:rsidR="00CF0E2D" w:rsidRPr="00BD13B4" w:rsidRDefault="00CF0E2D" w:rsidP="00A60D4B">
            <w:pPr>
              <w:pStyle w:val="InitFigRBold"/>
              <w:rPr>
                <w:szCs w:val="24"/>
              </w:rPr>
            </w:pPr>
            <w:r w:rsidRPr="00BD13B4">
              <w:rPr>
                <w:szCs w:val="24"/>
              </w:rPr>
              <w:t>0</w:t>
            </w:r>
          </w:p>
        </w:tc>
        <w:tc>
          <w:tcPr>
            <w:tcW w:w="1029" w:type="dxa"/>
            <w:tcBorders>
              <w:top w:val="single" w:sz="4" w:space="0" w:color="auto"/>
              <w:bottom w:val="single" w:sz="4" w:space="0" w:color="auto"/>
            </w:tcBorders>
          </w:tcPr>
          <w:p w14:paraId="405567D9" w14:textId="77777777" w:rsidR="00CF0E2D" w:rsidRPr="00BD13B4" w:rsidRDefault="00CF0E2D" w:rsidP="00A60D4B">
            <w:pPr>
              <w:pStyle w:val="InitFigRBold"/>
              <w:rPr>
                <w:szCs w:val="24"/>
              </w:rPr>
            </w:pPr>
            <w:r>
              <w:rPr>
                <w:szCs w:val="24"/>
              </w:rPr>
              <w:t>1</w:t>
            </w:r>
            <w:r w:rsidRPr="00BD13B4">
              <w:rPr>
                <w:szCs w:val="24"/>
              </w:rPr>
              <w:t>,</w:t>
            </w:r>
            <w:r>
              <w:rPr>
                <w:szCs w:val="24"/>
              </w:rPr>
              <w:t>91</w:t>
            </w:r>
            <w:r w:rsidRPr="00BD13B4">
              <w:rPr>
                <w:szCs w:val="24"/>
              </w:rPr>
              <w:t>4</w:t>
            </w:r>
          </w:p>
        </w:tc>
      </w:tr>
    </w:tbl>
    <w:p w14:paraId="1ED9E6BB" w14:textId="77777777" w:rsidR="00CF0E2D" w:rsidRPr="008F5C6A" w:rsidRDefault="00CF0E2D" w:rsidP="00A60D4B">
      <w:pPr>
        <w:pStyle w:val="Bbodytext"/>
      </w:pPr>
      <w:r w:rsidRPr="00540D75">
        <w:t xml:space="preserve">The Government will provide </w:t>
      </w:r>
      <w:r w:rsidRPr="00CA10DD">
        <w:t>additional support for innovati</w:t>
      </w:r>
      <w:r w:rsidRPr="00AA77C4">
        <w:t>on and investment in the Territory, including funding for Innovation Connect Grants and Significant Capital Ventures. The Government will also continue a range of activities to attract and f</w:t>
      </w:r>
      <w:r w:rsidRPr="008F5C6A">
        <w:t xml:space="preserve">acilitate investment in our local economy.  </w:t>
      </w:r>
    </w:p>
    <w:p w14:paraId="28754503" w14:textId="77777777" w:rsidR="00CF0E2D" w:rsidRDefault="00CF0E2D" w:rsidP="00A60D4B">
      <w:pPr>
        <w:pStyle w:val="Bbodytext"/>
      </w:pPr>
      <w:r w:rsidRPr="008F5C6A">
        <w:t xml:space="preserve">This initiative contributes to the wellbeing domains of Economy and Education and life-long learning.  </w:t>
      </w:r>
    </w:p>
    <w:p w14:paraId="35E55CF5" w14:textId="77777777" w:rsidR="00CF0E2D" w:rsidRPr="008F5C6A" w:rsidRDefault="00CF0E2D" w:rsidP="00A60D4B">
      <w:pPr>
        <w:pStyle w:val="Bbodytext"/>
      </w:pPr>
      <w:r>
        <w:rPr>
          <w:rFonts w:ascii="Calibri" w:eastAsiaTheme="majorEastAsia" w:hAnsi="Calibri" w:cstheme="majorBidi"/>
          <w:b/>
          <w:noProof/>
          <w:color w:val="999789"/>
          <w:sz w:val="32"/>
          <w:szCs w:val="24"/>
        </w:rPr>
        <w:drawing>
          <wp:anchor distT="0" distB="0" distL="114300" distR="114300" simplePos="0" relativeHeight="251737088" behindDoc="0" locked="1" layoutInCell="1" allowOverlap="1" wp14:anchorId="6D98AE98" wp14:editId="156EFF72">
            <wp:simplePos x="0" y="0"/>
            <wp:positionH relativeFrom="margin">
              <wp:posOffset>4429125</wp:posOffset>
            </wp:positionH>
            <wp:positionV relativeFrom="paragraph">
              <wp:posOffset>124460</wp:posOffset>
            </wp:positionV>
            <wp:extent cx="1284605" cy="503555"/>
            <wp:effectExtent l="0" t="0" r="0" b="0"/>
            <wp:wrapSquare wrapText="bothSides"/>
            <wp:docPr id="243" name="Picture 243" descr="Icon representing the wellbeing domain of Social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con representing the wellbeing domain of Social connection"/>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284605" cy="503555"/>
                    </a:xfrm>
                    <a:prstGeom prst="rect">
                      <a:avLst/>
                    </a:prstGeom>
                  </pic:spPr>
                </pic:pic>
              </a:graphicData>
            </a:graphic>
            <wp14:sizeRelH relativeFrom="margin">
              <wp14:pctWidth>0</wp14:pctWidth>
            </wp14:sizeRelH>
            <wp14:sizeRelV relativeFrom="margin">
              <wp14:pctHeight>0</wp14:pctHeight>
            </wp14:sizeRelV>
          </wp:anchor>
        </w:drawing>
      </w:r>
    </w:p>
    <w:p w14:paraId="3B2BE6D1" w14:textId="77777777" w:rsidR="00CF0E2D" w:rsidRPr="00445BBF" w:rsidRDefault="00CF0E2D" w:rsidP="00A60D4B">
      <w:pPr>
        <w:pStyle w:val="Heading4"/>
        <w:rPr>
          <w:b w:val="0"/>
          <w:bCs/>
          <w:szCs w:val="26"/>
        </w:rPr>
      </w:pPr>
      <w:r w:rsidRPr="00445BBF">
        <w:t xml:space="preserve">Casey Community Recreation Park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DE7F02" w14:paraId="4E4E7C2E" w14:textId="77777777" w:rsidTr="00A60D4B">
        <w:trPr>
          <w:cantSplit/>
          <w:jc w:val="center"/>
        </w:trPr>
        <w:tc>
          <w:tcPr>
            <w:tcW w:w="3652" w:type="dxa"/>
            <w:tcBorders>
              <w:top w:val="single" w:sz="4" w:space="0" w:color="auto"/>
              <w:bottom w:val="single" w:sz="4" w:space="0" w:color="auto"/>
            </w:tcBorders>
          </w:tcPr>
          <w:p w14:paraId="1E42A22A" w14:textId="77777777" w:rsidR="00CF0E2D" w:rsidRPr="00DE7F02" w:rsidRDefault="00CF0E2D" w:rsidP="00A60D4B">
            <w:pPr>
              <w:spacing w:after="0"/>
              <w:rPr>
                <w:szCs w:val="24"/>
              </w:rPr>
            </w:pPr>
          </w:p>
        </w:tc>
        <w:tc>
          <w:tcPr>
            <w:tcW w:w="1179" w:type="dxa"/>
            <w:tcBorders>
              <w:top w:val="single" w:sz="4" w:space="0" w:color="auto"/>
              <w:bottom w:val="single" w:sz="4" w:space="0" w:color="auto"/>
            </w:tcBorders>
          </w:tcPr>
          <w:p w14:paraId="7D53EE9C" w14:textId="77777777" w:rsidR="00CF0E2D" w:rsidRPr="00BC7F02" w:rsidRDefault="00CF0E2D" w:rsidP="00A60D4B">
            <w:pPr>
              <w:pStyle w:val="InitFigRBold"/>
            </w:pPr>
            <w:r w:rsidRPr="00BC7F02">
              <w:t>2021-22</w:t>
            </w:r>
          </w:p>
          <w:p w14:paraId="17F5D035" w14:textId="77777777" w:rsidR="00CF0E2D" w:rsidRPr="00BC7F02" w:rsidRDefault="00CF0E2D" w:rsidP="00A60D4B">
            <w:pPr>
              <w:pStyle w:val="InitFigRBold"/>
            </w:pPr>
            <w:r w:rsidRPr="00BC7F02">
              <w:t>$’000</w:t>
            </w:r>
          </w:p>
        </w:tc>
        <w:tc>
          <w:tcPr>
            <w:tcW w:w="1041" w:type="dxa"/>
            <w:tcBorders>
              <w:top w:val="single" w:sz="4" w:space="0" w:color="auto"/>
              <w:bottom w:val="single" w:sz="4" w:space="0" w:color="auto"/>
            </w:tcBorders>
          </w:tcPr>
          <w:p w14:paraId="4C414CB5" w14:textId="77777777" w:rsidR="00CF0E2D" w:rsidRPr="00BC7F02" w:rsidRDefault="00CF0E2D" w:rsidP="00A60D4B">
            <w:pPr>
              <w:pStyle w:val="InitFigRBold"/>
            </w:pPr>
            <w:r w:rsidRPr="00BC7F02">
              <w:t>2022-23</w:t>
            </w:r>
          </w:p>
          <w:p w14:paraId="0028923A" w14:textId="77777777" w:rsidR="00CF0E2D" w:rsidRPr="00BC7F02" w:rsidRDefault="00CF0E2D" w:rsidP="00A60D4B">
            <w:pPr>
              <w:pStyle w:val="InitFigRBold"/>
            </w:pPr>
            <w:r w:rsidRPr="00BC7F02">
              <w:t>$’000</w:t>
            </w:r>
          </w:p>
        </w:tc>
        <w:tc>
          <w:tcPr>
            <w:tcW w:w="1029" w:type="dxa"/>
            <w:tcBorders>
              <w:top w:val="single" w:sz="4" w:space="0" w:color="auto"/>
              <w:bottom w:val="single" w:sz="4" w:space="0" w:color="auto"/>
            </w:tcBorders>
          </w:tcPr>
          <w:p w14:paraId="2F7E5FB6" w14:textId="77777777" w:rsidR="00CF0E2D" w:rsidRPr="00BC7F02" w:rsidRDefault="00CF0E2D" w:rsidP="00A60D4B">
            <w:pPr>
              <w:pStyle w:val="InitFigRBold"/>
            </w:pPr>
            <w:r w:rsidRPr="00BC7F02">
              <w:t>2023-24</w:t>
            </w:r>
          </w:p>
          <w:p w14:paraId="1E2A9C24" w14:textId="77777777" w:rsidR="00CF0E2D" w:rsidRPr="00BC7F02" w:rsidRDefault="00CF0E2D" w:rsidP="00A60D4B">
            <w:pPr>
              <w:pStyle w:val="InitFigRBold"/>
            </w:pPr>
            <w:r w:rsidRPr="00BC7F02">
              <w:t>$’000</w:t>
            </w:r>
          </w:p>
        </w:tc>
        <w:tc>
          <w:tcPr>
            <w:tcW w:w="1029" w:type="dxa"/>
            <w:tcBorders>
              <w:top w:val="single" w:sz="4" w:space="0" w:color="auto"/>
              <w:bottom w:val="single" w:sz="4" w:space="0" w:color="auto"/>
            </w:tcBorders>
          </w:tcPr>
          <w:p w14:paraId="63B4DCD4" w14:textId="77777777" w:rsidR="00CF0E2D" w:rsidRPr="00BC7F02" w:rsidRDefault="00CF0E2D" w:rsidP="00A60D4B">
            <w:pPr>
              <w:pStyle w:val="InitFigRBold"/>
            </w:pPr>
            <w:r w:rsidRPr="00BC7F02">
              <w:t>2024-25</w:t>
            </w:r>
          </w:p>
          <w:p w14:paraId="2C88A35C" w14:textId="77777777" w:rsidR="00CF0E2D" w:rsidRPr="00BC7F02" w:rsidRDefault="00CF0E2D" w:rsidP="00A60D4B">
            <w:pPr>
              <w:pStyle w:val="InitFigRBold"/>
            </w:pPr>
            <w:r w:rsidRPr="00BC7F02">
              <w:t>$’000</w:t>
            </w:r>
          </w:p>
        </w:tc>
        <w:tc>
          <w:tcPr>
            <w:tcW w:w="1029" w:type="dxa"/>
            <w:tcBorders>
              <w:top w:val="single" w:sz="4" w:space="0" w:color="auto"/>
              <w:bottom w:val="single" w:sz="4" w:space="0" w:color="auto"/>
            </w:tcBorders>
          </w:tcPr>
          <w:p w14:paraId="10EFBAF2" w14:textId="77777777" w:rsidR="00CF0E2D" w:rsidRPr="00BC7F02" w:rsidRDefault="00CF0E2D" w:rsidP="00A60D4B">
            <w:pPr>
              <w:pStyle w:val="InitFigRBold"/>
            </w:pPr>
            <w:r w:rsidRPr="00BC7F02">
              <w:t>Total</w:t>
            </w:r>
          </w:p>
          <w:p w14:paraId="57E38412" w14:textId="77777777" w:rsidR="00CF0E2D" w:rsidRPr="00BC7F02" w:rsidRDefault="00CF0E2D" w:rsidP="00A60D4B">
            <w:pPr>
              <w:pStyle w:val="InitFigRBold"/>
            </w:pPr>
            <w:r w:rsidRPr="00BC7F02">
              <w:t>$’000</w:t>
            </w:r>
          </w:p>
        </w:tc>
      </w:tr>
      <w:tr w:rsidR="00CF0E2D" w:rsidRPr="00DE7F02" w14:paraId="4E10D0AB" w14:textId="77777777" w:rsidTr="00A60D4B">
        <w:trPr>
          <w:cantSplit/>
          <w:jc w:val="center"/>
        </w:trPr>
        <w:tc>
          <w:tcPr>
            <w:tcW w:w="3652" w:type="dxa"/>
            <w:tcBorders>
              <w:top w:val="single" w:sz="4" w:space="0" w:color="auto"/>
            </w:tcBorders>
          </w:tcPr>
          <w:p w14:paraId="33FEE227" w14:textId="77777777" w:rsidR="00CF0E2D" w:rsidRPr="00FD4323" w:rsidRDefault="00CF0E2D" w:rsidP="00A60D4B">
            <w:pPr>
              <w:pStyle w:val="InitTextL"/>
            </w:pPr>
            <w:r w:rsidRPr="00FD4323">
              <w:t>Capital</w:t>
            </w:r>
          </w:p>
        </w:tc>
        <w:tc>
          <w:tcPr>
            <w:tcW w:w="1179" w:type="dxa"/>
            <w:tcBorders>
              <w:top w:val="single" w:sz="4" w:space="0" w:color="auto"/>
            </w:tcBorders>
          </w:tcPr>
          <w:p w14:paraId="5436CC28" w14:textId="77777777" w:rsidR="00CF0E2D" w:rsidRPr="00DE7F02" w:rsidRDefault="00CF0E2D" w:rsidP="00A60D4B">
            <w:pPr>
              <w:pStyle w:val="InitFigR"/>
              <w:rPr>
                <w:szCs w:val="24"/>
              </w:rPr>
            </w:pPr>
            <w:r w:rsidRPr="00DE7F02">
              <w:rPr>
                <w:szCs w:val="24"/>
              </w:rPr>
              <w:t>500</w:t>
            </w:r>
          </w:p>
        </w:tc>
        <w:tc>
          <w:tcPr>
            <w:tcW w:w="1041" w:type="dxa"/>
            <w:tcBorders>
              <w:top w:val="single" w:sz="4" w:space="0" w:color="auto"/>
            </w:tcBorders>
          </w:tcPr>
          <w:p w14:paraId="5542FA24" w14:textId="77777777" w:rsidR="00CF0E2D" w:rsidRPr="00DE7F02" w:rsidRDefault="00CF0E2D" w:rsidP="00A60D4B">
            <w:pPr>
              <w:pStyle w:val="InitFigR"/>
              <w:rPr>
                <w:szCs w:val="24"/>
              </w:rPr>
            </w:pPr>
            <w:r w:rsidRPr="00DE7F02">
              <w:rPr>
                <w:szCs w:val="24"/>
              </w:rPr>
              <w:t>2,000</w:t>
            </w:r>
          </w:p>
        </w:tc>
        <w:tc>
          <w:tcPr>
            <w:tcW w:w="1029" w:type="dxa"/>
            <w:tcBorders>
              <w:top w:val="single" w:sz="4" w:space="0" w:color="auto"/>
            </w:tcBorders>
          </w:tcPr>
          <w:p w14:paraId="0583083B" w14:textId="77777777" w:rsidR="00CF0E2D" w:rsidRPr="00DE7F02" w:rsidRDefault="00CF0E2D" w:rsidP="00A60D4B">
            <w:pPr>
              <w:pStyle w:val="InitFigR"/>
              <w:rPr>
                <w:szCs w:val="24"/>
              </w:rPr>
            </w:pPr>
            <w:r w:rsidRPr="00DE7F02">
              <w:rPr>
                <w:szCs w:val="24"/>
              </w:rPr>
              <w:t>500</w:t>
            </w:r>
          </w:p>
        </w:tc>
        <w:tc>
          <w:tcPr>
            <w:tcW w:w="1029" w:type="dxa"/>
            <w:tcBorders>
              <w:top w:val="single" w:sz="4" w:space="0" w:color="auto"/>
            </w:tcBorders>
          </w:tcPr>
          <w:p w14:paraId="0EDF680C" w14:textId="77777777" w:rsidR="00CF0E2D" w:rsidRPr="00DE7F02" w:rsidRDefault="00CF0E2D" w:rsidP="00A60D4B">
            <w:pPr>
              <w:pStyle w:val="InitFigR"/>
              <w:rPr>
                <w:szCs w:val="24"/>
              </w:rPr>
            </w:pPr>
            <w:r w:rsidRPr="00DE7F02">
              <w:rPr>
                <w:szCs w:val="24"/>
              </w:rPr>
              <w:t>0</w:t>
            </w:r>
          </w:p>
        </w:tc>
        <w:tc>
          <w:tcPr>
            <w:tcW w:w="1029" w:type="dxa"/>
            <w:tcBorders>
              <w:top w:val="single" w:sz="4" w:space="0" w:color="auto"/>
            </w:tcBorders>
          </w:tcPr>
          <w:p w14:paraId="2BA75912" w14:textId="77777777" w:rsidR="00CF0E2D" w:rsidRPr="00BC7F02" w:rsidRDefault="00CF0E2D" w:rsidP="00A60D4B">
            <w:pPr>
              <w:pStyle w:val="InitFigRBold"/>
            </w:pPr>
            <w:r w:rsidRPr="00BC7F02">
              <w:t>3,000</w:t>
            </w:r>
          </w:p>
        </w:tc>
      </w:tr>
      <w:tr w:rsidR="00CF0E2D" w:rsidRPr="00DE7F02" w14:paraId="37867A08" w14:textId="77777777" w:rsidTr="00A60D4B">
        <w:trPr>
          <w:cantSplit/>
          <w:jc w:val="center"/>
        </w:trPr>
        <w:tc>
          <w:tcPr>
            <w:tcW w:w="3652" w:type="dxa"/>
            <w:tcBorders>
              <w:top w:val="single" w:sz="4" w:space="0" w:color="auto"/>
            </w:tcBorders>
          </w:tcPr>
          <w:p w14:paraId="762214BF" w14:textId="77777777" w:rsidR="00CF0E2D" w:rsidRPr="00FD4323" w:rsidRDefault="00CF0E2D" w:rsidP="00A60D4B">
            <w:pPr>
              <w:pStyle w:val="InitTextL"/>
            </w:pPr>
            <w:r w:rsidRPr="00FD4323">
              <w:t>Depreciation</w:t>
            </w:r>
          </w:p>
        </w:tc>
        <w:tc>
          <w:tcPr>
            <w:tcW w:w="1179" w:type="dxa"/>
            <w:tcBorders>
              <w:top w:val="single" w:sz="4" w:space="0" w:color="auto"/>
            </w:tcBorders>
          </w:tcPr>
          <w:p w14:paraId="1482E16B" w14:textId="77777777" w:rsidR="00CF0E2D" w:rsidRPr="00DE7F02" w:rsidRDefault="00CF0E2D" w:rsidP="00A60D4B">
            <w:pPr>
              <w:pStyle w:val="InitFigR"/>
              <w:rPr>
                <w:szCs w:val="24"/>
              </w:rPr>
            </w:pPr>
            <w:r w:rsidRPr="00DE7F02">
              <w:rPr>
                <w:szCs w:val="24"/>
              </w:rPr>
              <w:t>0</w:t>
            </w:r>
          </w:p>
        </w:tc>
        <w:tc>
          <w:tcPr>
            <w:tcW w:w="1041" w:type="dxa"/>
            <w:tcBorders>
              <w:top w:val="single" w:sz="4" w:space="0" w:color="auto"/>
            </w:tcBorders>
          </w:tcPr>
          <w:p w14:paraId="7C0E8D6D" w14:textId="77777777" w:rsidR="00CF0E2D" w:rsidRPr="00DE7F02" w:rsidRDefault="00CF0E2D" w:rsidP="00A60D4B">
            <w:pPr>
              <w:pStyle w:val="InitFigR"/>
              <w:rPr>
                <w:szCs w:val="24"/>
              </w:rPr>
            </w:pPr>
            <w:r w:rsidRPr="00DE7F02">
              <w:rPr>
                <w:szCs w:val="24"/>
              </w:rPr>
              <w:t>0</w:t>
            </w:r>
          </w:p>
        </w:tc>
        <w:tc>
          <w:tcPr>
            <w:tcW w:w="1029" w:type="dxa"/>
            <w:tcBorders>
              <w:top w:val="single" w:sz="4" w:space="0" w:color="auto"/>
            </w:tcBorders>
          </w:tcPr>
          <w:p w14:paraId="55547A58" w14:textId="77777777" w:rsidR="00CF0E2D" w:rsidRPr="00DE7F02" w:rsidRDefault="00CF0E2D" w:rsidP="00A60D4B">
            <w:pPr>
              <w:pStyle w:val="InitFigR"/>
              <w:rPr>
                <w:szCs w:val="24"/>
              </w:rPr>
            </w:pPr>
            <w:r w:rsidRPr="00DE7F02">
              <w:rPr>
                <w:szCs w:val="24"/>
              </w:rPr>
              <w:t>0</w:t>
            </w:r>
          </w:p>
        </w:tc>
        <w:tc>
          <w:tcPr>
            <w:tcW w:w="1029" w:type="dxa"/>
            <w:tcBorders>
              <w:top w:val="single" w:sz="4" w:space="0" w:color="auto"/>
            </w:tcBorders>
          </w:tcPr>
          <w:p w14:paraId="24E6639A" w14:textId="77777777" w:rsidR="00CF0E2D" w:rsidRPr="00DE7F02" w:rsidRDefault="00CF0E2D" w:rsidP="00A60D4B">
            <w:pPr>
              <w:pStyle w:val="InitFigR"/>
              <w:rPr>
                <w:szCs w:val="24"/>
              </w:rPr>
            </w:pPr>
            <w:r w:rsidRPr="00DE7F02">
              <w:rPr>
                <w:szCs w:val="24"/>
              </w:rPr>
              <w:t>75</w:t>
            </w:r>
          </w:p>
        </w:tc>
        <w:tc>
          <w:tcPr>
            <w:tcW w:w="1029" w:type="dxa"/>
            <w:tcBorders>
              <w:top w:val="single" w:sz="4" w:space="0" w:color="auto"/>
            </w:tcBorders>
          </w:tcPr>
          <w:p w14:paraId="3587D86C" w14:textId="77777777" w:rsidR="00CF0E2D" w:rsidRPr="00BC7F02" w:rsidRDefault="00CF0E2D" w:rsidP="00A60D4B">
            <w:pPr>
              <w:pStyle w:val="InitFigRBold"/>
            </w:pPr>
            <w:r w:rsidRPr="00BC7F02">
              <w:t>75</w:t>
            </w:r>
          </w:p>
        </w:tc>
      </w:tr>
      <w:tr w:rsidR="00CF0E2D" w:rsidRPr="00DE7F02" w14:paraId="6E8C2231" w14:textId="77777777" w:rsidTr="00A60D4B">
        <w:trPr>
          <w:cantSplit/>
          <w:jc w:val="center"/>
        </w:trPr>
        <w:tc>
          <w:tcPr>
            <w:tcW w:w="3652" w:type="dxa"/>
          </w:tcPr>
          <w:p w14:paraId="3D0453BB" w14:textId="77777777" w:rsidR="00CF0E2D" w:rsidRPr="00FD4323" w:rsidRDefault="00CF0E2D" w:rsidP="00A60D4B">
            <w:pPr>
              <w:pStyle w:val="InitTextL"/>
            </w:pPr>
            <w:r w:rsidRPr="00FD4323">
              <w:t>Expenses</w:t>
            </w:r>
          </w:p>
        </w:tc>
        <w:tc>
          <w:tcPr>
            <w:tcW w:w="1179" w:type="dxa"/>
          </w:tcPr>
          <w:p w14:paraId="6A0D0A11" w14:textId="77777777" w:rsidR="00CF0E2D" w:rsidRPr="00DE7F02" w:rsidRDefault="00CF0E2D" w:rsidP="00A60D4B">
            <w:pPr>
              <w:pStyle w:val="InitFigR"/>
              <w:rPr>
                <w:szCs w:val="24"/>
              </w:rPr>
            </w:pPr>
            <w:r w:rsidRPr="00DE7F02">
              <w:rPr>
                <w:szCs w:val="24"/>
              </w:rPr>
              <w:t>0</w:t>
            </w:r>
          </w:p>
        </w:tc>
        <w:tc>
          <w:tcPr>
            <w:tcW w:w="1041" w:type="dxa"/>
          </w:tcPr>
          <w:p w14:paraId="114825EA" w14:textId="77777777" w:rsidR="00CF0E2D" w:rsidRPr="00DE7F02" w:rsidRDefault="00CF0E2D" w:rsidP="00A60D4B">
            <w:pPr>
              <w:pStyle w:val="InitFigR"/>
              <w:rPr>
                <w:szCs w:val="24"/>
              </w:rPr>
            </w:pPr>
            <w:r w:rsidRPr="00DE7F02">
              <w:rPr>
                <w:szCs w:val="24"/>
              </w:rPr>
              <w:t>0</w:t>
            </w:r>
          </w:p>
        </w:tc>
        <w:tc>
          <w:tcPr>
            <w:tcW w:w="1029" w:type="dxa"/>
          </w:tcPr>
          <w:p w14:paraId="17E33F87" w14:textId="77777777" w:rsidR="00CF0E2D" w:rsidRPr="00DE7F02" w:rsidRDefault="00CF0E2D" w:rsidP="00A60D4B">
            <w:pPr>
              <w:pStyle w:val="InitFigR"/>
              <w:rPr>
                <w:szCs w:val="24"/>
              </w:rPr>
            </w:pPr>
            <w:r w:rsidRPr="00DE7F02">
              <w:rPr>
                <w:szCs w:val="24"/>
              </w:rPr>
              <w:t>75</w:t>
            </w:r>
          </w:p>
        </w:tc>
        <w:tc>
          <w:tcPr>
            <w:tcW w:w="1029" w:type="dxa"/>
          </w:tcPr>
          <w:p w14:paraId="0408D665" w14:textId="77777777" w:rsidR="00CF0E2D" w:rsidRPr="00DE7F02" w:rsidRDefault="00CF0E2D" w:rsidP="00A60D4B">
            <w:pPr>
              <w:pStyle w:val="InitFigR"/>
              <w:rPr>
                <w:szCs w:val="24"/>
              </w:rPr>
            </w:pPr>
            <w:r w:rsidRPr="00DE7F02">
              <w:rPr>
                <w:szCs w:val="24"/>
              </w:rPr>
              <w:t>107</w:t>
            </w:r>
          </w:p>
        </w:tc>
        <w:tc>
          <w:tcPr>
            <w:tcW w:w="1029" w:type="dxa"/>
          </w:tcPr>
          <w:p w14:paraId="62158495" w14:textId="77777777" w:rsidR="00CF0E2D" w:rsidRPr="00BC7F02" w:rsidRDefault="00CF0E2D" w:rsidP="00A60D4B">
            <w:pPr>
              <w:pStyle w:val="InitFigRBold"/>
            </w:pPr>
            <w:r w:rsidRPr="00BC7F02">
              <w:t>182</w:t>
            </w:r>
          </w:p>
        </w:tc>
      </w:tr>
      <w:tr w:rsidR="00CF0E2D" w:rsidRPr="00DE7F02" w14:paraId="077FC86E" w14:textId="77777777" w:rsidTr="00A60D4B">
        <w:trPr>
          <w:cantSplit/>
          <w:trHeight w:val="329"/>
          <w:jc w:val="center"/>
        </w:trPr>
        <w:tc>
          <w:tcPr>
            <w:tcW w:w="3652" w:type="dxa"/>
            <w:tcBorders>
              <w:top w:val="single" w:sz="4" w:space="0" w:color="auto"/>
              <w:bottom w:val="single" w:sz="4" w:space="0" w:color="auto"/>
            </w:tcBorders>
          </w:tcPr>
          <w:p w14:paraId="11089861" w14:textId="77777777" w:rsidR="00CF0E2D" w:rsidRPr="00DE7F02" w:rsidRDefault="00CF0E2D" w:rsidP="00A60D4B">
            <w:pPr>
              <w:pStyle w:val="InitTextL"/>
              <w:rPr>
                <w:b/>
                <w:bCs/>
                <w:szCs w:val="24"/>
              </w:rPr>
            </w:pPr>
            <w:r w:rsidRPr="00FD4323">
              <w:rPr>
                <w:b/>
              </w:rPr>
              <w:t>Net cost of services</w:t>
            </w:r>
          </w:p>
        </w:tc>
        <w:tc>
          <w:tcPr>
            <w:tcW w:w="1179" w:type="dxa"/>
            <w:tcBorders>
              <w:top w:val="single" w:sz="4" w:space="0" w:color="auto"/>
              <w:bottom w:val="single" w:sz="4" w:space="0" w:color="auto"/>
            </w:tcBorders>
          </w:tcPr>
          <w:p w14:paraId="11CA8E58" w14:textId="77777777" w:rsidR="00CF0E2D" w:rsidRPr="00FD4323" w:rsidRDefault="00CF0E2D" w:rsidP="00A60D4B">
            <w:pPr>
              <w:pStyle w:val="InitFigR"/>
              <w:rPr>
                <w:b/>
              </w:rPr>
            </w:pPr>
            <w:r w:rsidRPr="00FD4323">
              <w:rPr>
                <w:b/>
              </w:rPr>
              <w:t>0</w:t>
            </w:r>
          </w:p>
        </w:tc>
        <w:tc>
          <w:tcPr>
            <w:tcW w:w="1041" w:type="dxa"/>
            <w:tcBorders>
              <w:top w:val="single" w:sz="4" w:space="0" w:color="auto"/>
              <w:bottom w:val="single" w:sz="4" w:space="0" w:color="auto"/>
            </w:tcBorders>
          </w:tcPr>
          <w:p w14:paraId="22C375ED" w14:textId="77777777" w:rsidR="00CF0E2D" w:rsidRPr="00FD4323" w:rsidRDefault="00CF0E2D" w:rsidP="00A60D4B">
            <w:pPr>
              <w:pStyle w:val="InitFigR"/>
              <w:rPr>
                <w:b/>
              </w:rPr>
            </w:pPr>
            <w:r w:rsidRPr="00FD4323">
              <w:rPr>
                <w:b/>
              </w:rPr>
              <w:t>0</w:t>
            </w:r>
          </w:p>
        </w:tc>
        <w:tc>
          <w:tcPr>
            <w:tcW w:w="1029" w:type="dxa"/>
            <w:tcBorders>
              <w:top w:val="single" w:sz="4" w:space="0" w:color="auto"/>
              <w:bottom w:val="single" w:sz="4" w:space="0" w:color="auto"/>
            </w:tcBorders>
          </w:tcPr>
          <w:p w14:paraId="3F8FC22A" w14:textId="77777777" w:rsidR="00CF0E2D" w:rsidRPr="00FD4323" w:rsidRDefault="00CF0E2D" w:rsidP="00A60D4B">
            <w:pPr>
              <w:pStyle w:val="InitFigR"/>
              <w:rPr>
                <w:b/>
              </w:rPr>
            </w:pPr>
            <w:r w:rsidRPr="00FD4323">
              <w:rPr>
                <w:b/>
              </w:rPr>
              <w:t>75</w:t>
            </w:r>
          </w:p>
        </w:tc>
        <w:tc>
          <w:tcPr>
            <w:tcW w:w="1029" w:type="dxa"/>
            <w:tcBorders>
              <w:top w:val="single" w:sz="4" w:space="0" w:color="auto"/>
              <w:bottom w:val="single" w:sz="4" w:space="0" w:color="auto"/>
            </w:tcBorders>
          </w:tcPr>
          <w:p w14:paraId="0918A086" w14:textId="77777777" w:rsidR="00CF0E2D" w:rsidRPr="00FD4323" w:rsidRDefault="00CF0E2D" w:rsidP="00A60D4B">
            <w:pPr>
              <w:pStyle w:val="InitFigR"/>
              <w:rPr>
                <w:b/>
              </w:rPr>
            </w:pPr>
            <w:r w:rsidRPr="00FD4323">
              <w:rPr>
                <w:b/>
              </w:rPr>
              <w:t>182</w:t>
            </w:r>
          </w:p>
        </w:tc>
        <w:tc>
          <w:tcPr>
            <w:tcW w:w="1029" w:type="dxa"/>
            <w:tcBorders>
              <w:top w:val="single" w:sz="4" w:space="0" w:color="auto"/>
              <w:bottom w:val="single" w:sz="4" w:space="0" w:color="auto"/>
            </w:tcBorders>
          </w:tcPr>
          <w:p w14:paraId="10D2F14D" w14:textId="77777777" w:rsidR="00CF0E2D" w:rsidRPr="00FD4323" w:rsidRDefault="00CF0E2D" w:rsidP="00A60D4B">
            <w:pPr>
              <w:pStyle w:val="InitFigRBold"/>
            </w:pPr>
            <w:r w:rsidRPr="00BC7F02">
              <w:t>257</w:t>
            </w:r>
          </w:p>
        </w:tc>
      </w:tr>
    </w:tbl>
    <w:p w14:paraId="4C38D2F1" w14:textId="77777777" w:rsidR="00CF0E2D" w:rsidRPr="00445BBF" w:rsidRDefault="00CF0E2D" w:rsidP="00A60D4B">
      <w:pPr>
        <w:pStyle w:val="Bbodytext"/>
        <w:rPr>
          <w:rFonts w:ascii="Calibri" w:eastAsia="Times New Roman" w:hAnsi="Calibri" w:cs="Times New Roman"/>
          <w:szCs w:val="20"/>
        </w:rPr>
      </w:pPr>
      <w:r w:rsidRPr="00445BBF">
        <w:t>The Government will design, construct</w:t>
      </w:r>
      <w:r w:rsidRPr="00445BBF">
        <w:rPr>
          <w:rFonts w:ascii="Calibri" w:eastAsia="Times New Roman" w:hAnsi="Calibri" w:cs="Times New Roman"/>
          <w:szCs w:val="20"/>
        </w:rPr>
        <w:t xml:space="preserve"> and maintain a community recreation park in Casey to support the health and recreation needs of the local community.  </w:t>
      </w:r>
    </w:p>
    <w:p w14:paraId="3B013D1F" w14:textId="77777777" w:rsidR="00CF0E2D" w:rsidRDefault="00CF0E2D" w:rsidP="00A60D4B">
      <w:pPr>
        <w:pStyle w:val="Bbodytext"/>
        <w:rPr>
          <w:rFonts w:ascii="Calibri" w:eastAsia="Times New Roman" w:hAnsi="Calibri" w:cs="Times New Roman"/>
          <w:szCs w:val="20"/>
        </w:rPr>
      </w:pPr>
      <w:r w:rsidRPr="00445BBF">
        <w:t>This initiative contributes to the wellbeing domains of Social connection and Health.</w:t>
      </w:r>
      <w:r w:rsidRPr="00445BBF">
        <w:rPr>
          <w:rFonts w:ascii="Calibri" w:eastAsia="Times New Roman" w:hAnsi="Calibri" w:cs="Times New Roman"/>
          <w:szCs w:val="20"/>
        </w:rPr>
        <w:t xml:space="preserve">  </w:t>
      </w:r>
    </w:p>
    <w:p w14:paraId="3992925F" w14:textId="77777777" w:rsidR="00CF0E2D" w:rsidRDefault="00CF0E2D" w:rsidP="00A60D4B">
      <w:pPr>
        <w:pStyle w:val="Bbodytext"/>
        <w:rPr>
          <w:rFonts w:ascii="Calibri" w:eastAsia="Times New Roman" w:hAnsi="Calibri" w:cs="Times New Roman"/>
          <w:szCs w:val="20"/>
        </w:rPr>
      </w:pPr>
    </w:p>
    <w:p w14:paraId="4706249F" w14:textId="77777777" w:rsidR="00CF0E2D" w:rsidRDefault="00CF0E2D" w:rsidP="00A60D4B">
      <w:pPr>
        <w:pStyle w:val="Heading4"/>
      </w:pPr>
    </w:p>
    <w:p w14:paraId="51B7C6FF" w14:textId="77777777" w:rsidR="00CF0E2D" w:rsidRDefault="00CF0E2D" w:rsidP="00A60D4B">
      <w:pPr>
        <w:pStyle w:val="Heading4"/>
      </w:pPr>
      <w:r w:rsidRPr="00EB652B">
        <w:rPr>
          <w:noProof/>
        </w:rPr>
        <w:drawing>
          <wp:anchor distT="0" distB="0" distL="114300" distR="114300" simplePos="0" relativeHeight="251738112" behindDoc="0" locked="1" layoutInCell="1" allowOverlap="1" wp14:anchorId="5E4A8690" wp14:editId="6C192D75">
            <wp:simplePos x="0" y="0"/>
            <wp:positionH relativeFrom="margin">
              <wp:align>right</wp:align>
            </wp:positionH>
            <wp:positionV relativeFrom="paragraph">
              <wp:posOffset>-132715</wp:posOffset>
            </wp:positionV>
            <wp:extent cx="1393190" cy="503555"/>
            <wp:effectExtent l="0" t="0" r="0" b="0"/>
            <wp:wrapSquare wrapText="bothSides"/>
            <wp:docPr id="244" name="Picture 244" descr="Icon representing the wellbeing domain of Environment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con representing the wellbeing domain of Environment and clima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3190" cy="503555"/>
                    </a:xfrm>
                    <a:prstGeom prst="rect">
                      <a:avLst/>
                    </a:prstGeom>
                  </pic:spPr>
                </pic:pic>
              </a:graphicData>
            </a:graphic>
            <wp14:sizeRelH relativeFrom="margin">
              <wp14:pctWidth>0</wp14:pctWidth>
            </wp14:sizeRelH>
            <wp14:sizeRelV relativeFrom="margin">
              <wp14:pctHeight>0</wp14:pctHeight>
            </wp14:sizeRelV>
          </wp:anchor>
        </w:drawing>
      </w:r>
      <w:r>
        <w:t>Climate action – Supporting action on climate change</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AF5AC7" w14:paraId="3993DE18" w14:textId="77777777" w:rsidTr="00A60D4B">
        <w:trPr>
          <w:cantSplit/>
          <w:jc w:val="center"/>
        </w:trPr>
        <w:tc>
          <w:tcPr>
            <w:tcW w:w="3652" w:type="dxa"/>
            <w:tcBorders>
              <w:top w:val="single" w:sz="4" w:space="0" w:color="auto"/>
              <w:bottom w:val="single" w:sz="4" w:space="0" w:color="auto"/>
            </w:tcBorders>
          </w:tcPr>
          <w:p w14:paraId="1259F94F" w14:textId="77777777" w:rsidR="00CF0E2D" w:rsidRPr="00AF5AC7" w:rsidRDefault="00CF0E2D" w:rsidP="00A60D4B">
            <w:pPr>
              <w:pStyle w:val="EmptyCell0"/>
            </w:pPr>
            <w:r w:rsidRPr="00AF5AC7">
              <w:t>Empty Cell</w:t>
            </w:r>
          </w:p>
        </w:tc>
        <w:tc>
          <w:tcPr>
            <w:tcW w:w="1179" w:type="dxa"/>
            <w:tcBorders>
              <w:top w:val="single" w:sz="4" w:space="0" w:color="auto"/>
              <w:bottom w:val="single" w:sz="4" w:space="0" w:color="auto"/>
            </w:tcBorders>
          </w:tcPr>
          <w:p w14:paraId="20BE08EB" w14:textId="77777777" w:rsidR="00CF0E2D" w:rsidRPr="00AF5AC7" w:rsidRDefault="00CF0E2D" w:rsidP="00A60D4B">
            <w:pPr>
              <w:pStyle w:val="InitFigR"/>
              <w:rPr>
                <w:b/>
                <w:bCs/>
              </w:rPr>
            </w:pPr>
            <w:r w:rsidRPr="00AF5AC7">
              <w:rPr>
                <w:b/>
                <w:bCs/>
              </w:rPr>
              <w:t>2021-22</w:t>
            </w:r>
          </w:p>
          <w:p w14:paraId="3568E235" w14:textId="77777777" w:rsidR="00CF0E2D" w:rsidRPr="00AF5AC7" w:rsidRDefault="00CF0E2D" w:rsidP="00A60D4B">
            <w:pPr>
              <w:pStyle w:val="InitFigR"/>
              <w:rPr>
                <w:b/>
                <w:bCs/>
              </w:rPr>
            </w:pPr>
            <w:r w:rsidRPr="00AF5AC7">
              <w:rPr>
                <w:b/>
                <w:bCs/>
              </w:rPr>
              <w:t>$’000</w:t>
            </w:r>
          </w:p>
        </w:tc>
        <w:tc>
          <w:tcPr>
            <w:tcW w:w="1041" w:type="dxa"/>
            <w:tcBorders>
              <w:top w:val="single" w:sz="4" w:space="0" w:color="auto"/>
              <w:bottom w:val="single" w:sz="4" w:space="0" w:color="auto"/>
            </w:tcBorders>
          </w:tcPr>
          <w:p w14:paraId="13BAE5FF" w14:textId="77777777" w:rsidR="00CF0E2D" w:rsidRPr="00AF5AC7" w:rsidRDefault="00CF0E2D" w:rsidP="00A60D4B">
            <w:pPr>
              <w:pStyle w:val="InitFigR"/>
              <w:rPr>
                <w:b/>
                <w:bCs/>
              </w:rPr>
            </w:pPr>
            <w:r w:rsidRPr="00AF5AC7">
              <w:rPr>
                <w:b/>
                <w:bCs/>
              </w:rPr>
              <w:t>2022-23</w:t>
            </w:r>
          </w:p>
          <w:p w14:paraId="041619D8" w14:textId="77777777" w:rsidR="00CF0E2D" w:rsidRPr="00AF5AC7" w:rsidRDefault="00CF0E2D" w:rsidP="00A60D4B">
            <w:pPr>
              <w:pStyle w:val="InitFigR"/>
              <w:rPr>
                <w:b/>
                <w:bCs/>
              </w:rPr>
            </w:pPr>
            <w:r w:rsidRPr="00AF5AC7">
              <w:rPr>
                <w:b/>
                <w:bCs/>
              </w:rPr>
              <w:t>$’000</w:t>
            </w:r>
          </w:p>
        </w:tc>
        <w:tc>
          <w:tcPr>
            <w:tcW w:w="1029" w:type="dxa"/>
            <w:tcBorders>
              <w:top w:val="single" w:sz="4" w:space="0" w:color="auto"/>
              <w:bottom w:val="single" w:sz="4" w:space="0" w:color="auto"/>
            </w:tcBorders>
          </w:tcPr>
          <w:p w14:paraId="5EEA1B67" w14:textId="77777777" w:rsidR="00CF0E2D" w:rsidRPr="00AF5AC7" w:rsidRDefault="00CF0E2D" w:rsidP="00A60D4B">
            <w:pPr>
              <w:pStyle w:val="InitFigR"/>
              <w:rPr>
                <w:b/>
                <w:bCs/>
              </w:rPr>
            </w:pPr>
            <w:r w:rsidRPr="00AF5AC7">
              <w:rPr>
                <w:b/>
                <w:bCs/>
              </w:rPr>
              <w:t>2023-24</w:t>
            </w:r>
          </w:p>
          <w:p w14:paraId="562A3780" w14:textId="77777777" w:rsidR="00CF0E2D" w:rsidRPr="00AF5AC7" w:rsidRDefault="00CF0E2D" w:rsidP="00A60D4B">
            <w:pPr>
              <w:pStyle w:val="InitFigR"/>
              <w:rPr>
                <w:b/>
                <w:bCs/>
              </w:rPr>
            </w:pPr>
            <w:r w:rsidRPr="00AF5AC7">
              <w:rPr>
                <w:b/>
                <w:bCs/>
              </w:rPr>
              <w:t>$’000</w:t>
            </w:r>
          </w:p>
        </w:tc>
        <w:tc>
          <w:tcPr>
            <w:tcW w:w="1029" w:type="dxa"/>
            <w:tcBorders>
              <w:top w:val="single" w:sz="4" w:space="0" w:color="auto"/>
              <w:bottom w:val="single" w:sz="4" w:space="0" w:color="auto"/>
            </w:tcBorders>
          </w:tcPr>
          <w:p w14:paraId="2CA017B9" w14:textId="77777777" w:rsidR="00CF0E2D" w:rsidRPr="00AF5AC7" w:rsidRDefault="00CF0E2D" w:rsidP="00A60D4B">
            <w:pPr>
              <w:pStyle w:val="InitFigR"/>
              <w:rPr>
                <w:b/>
                <w:bCs/>
              </w:rPr>
            </w:pPr>
            <w:r w:rsidRPr="00AF5AC7">
              <w:rPr>
                <w:b/>
                <w:bCs/>
              </w:rPr>
              <w:t>2024-25</w:t>
            </w:r>
          </w:p>
          <w:p w14:paraId="14BACF1B" w14:textId="77777777" w:rsidR="00CF0E2D" w:rsidRPr="00AF5AC7" w:rsidRDefault="00CF0E2D" w:rsidP="00A60D4B">
            <w:pPr>
              <w:pStyle w:val="InitFigR"/>
              <w:rPr>
                <w:b/>
                <w:bCs/>
              </w:rPr>
            </w:pPr>
            <w:r w:rsidRPr="00AF5AC7">
              <w:rPr>
                <w:b/>
                <w:bCs/>
              </w:rPr>
              <w:t>$’000</w:t>
            </w:r>
          </w:p>
        </w:tc>
        <w:tc>
          <w:tcPr>
            <w:tcW w:w="1029" w:type="dxa"/>
            <w:tcBorders>
              <w:top w:val="single" w:sz="4" w:space="0" w:color="auto"/>
              <w:bottom w:val="single" w:sz="4" w:space="0" w:color="auto"/>
            </w:tcBorders>
          </w:tcPr>
          <w:p w14:paraId="5DA7E971" w14:textId="77777777" w:rsidR="00CF0E2D" w:rsidRPr="00AF5AC7" w:rsidRDefault="00CF0E2D" w:rsidP="00A60D4B">
            <w:pPr>
              <w:pStyle w:val="InitFigRBold"/>
            </w:pPr>
            <w:r w:rsidRPr="00AF5AC7">
              <w:t>Total</w:t>
            </w:r>
          </w:p>
          <w:p w14:paraId="0DB37B75" w14:textId="77777777" w:rsidR="00CF0E2D" w:rsidRPr="00AF5AC7" w:rsidRDefault="00CF0E2D" w:rsidP="00A60D4B">
            <w:pPr>
              <w:pStyle w:val="InitFigBR"/>
            </w:pPr>
            <w:r w:rsidRPr="00AF5AC7">
              <w:t>$’000</w:t>
            </w:r>
          </w:p>
        </w:tc>
      </w:tr>
      <w:tr w:rsidR="00CF0E2D" w:rsidRPr="00AF5AC7" w14:paraId="012E9198" w14:textId="77777777" w:rsidTr="00A60D4B">
        <w:trPr>
          <w:cantSplit/>
          <w:jc w:val="center"/>
        </w:trPr>
        <w:tc>
          <w:tcPr>
            <w:tcW w:w="3652" w:type="dxa"/>
            <w:tcBorders>
              <w:top w:val="single" w:sz="4" w:space="0" w:color="auto"/>
              <w:bottom w:val="single" w:sz="4" w:space="0" w:color="auto"/>
            </w:tcBorders>
          </w:tcPr>
          <w:p w14:paraId="78BC0719" w14:textId="77777777" w:rsidR="00CF0E2D" w:rsidRPr="00AF5AC7" w:rsidRDefault="00CF0E2D" w:rsidP="00A60D4B">
            <w:pPr>
              <w:pStyle w:val="InitTextL"/>
              <w:ind w:left="321" w:hanging="321"/>
            </w:pPr>
            <w:r w:rsidRPr="00AF5AC7">
              <w:t>Expenses</w:t>
            </w:r>
          </w:p>
        </w:tc>
        <w:tc>
          <w:tcPr>
            <w:tcW w:w="1179" w:type="dxa"/>
            <w:tcBorders>
              <w:top w:val="single" w:sz="4" w:space="0" w:color="auto"/>
              <w:bottom w:val="single" w:sz="4" w:space="0" w:color="auto"/>
            </w:tcBorders>
          </w:tcPr>
          <w:p w14:paraId="606935C1" w14:textId="77777777" w:rsidR="00CF0E2D" w:rsidRPr="00AF5AC7" w:rsidRDefault="00CF0E2D" w:rsidP="00A60D4B">
            <w:pPr>
              <w:pStyle w:val="InitFigR"/>
            </w:pPr>
            <w:r w:rsidRPr="00AF5AC7">
              <w:t>319</w:t>
            </w:r>
          </w:p>
        </w:tc>
        <w:tc>
          <w:tcPr>
            <w:tcW w:w="1041" w:type="dxa"/>
            <w:tcBorders>
              <w:top w:val="single" w:sz="4" w:space="0" w:color="auto"/>
              <w:bottom w:val="single" w:sz="4" w:space="0" w:color="auto"/>
            </w:tcBorders>
          </w:tcPr>
          <w:p w14:paraId="3F4007B4" w14:textId="77777777" w:rsidR="00CF0E2D" w:rsidRPr="00AF5AC7" w:rsidRDefault="00CF0E2D" w:rsidP="00A60D4B">
            <w:pPr>
              <w:pStyle w:val="InitFigR"/>
            </w:pPr>
            <w:r w:rsidRPr="00AF5AC7">
              <w:t>261</w:t>
            </w:r>
          </w:p>
        </w:tc>
        <w:tc>
          <w:tcPr>
            <w:tcW w:w="1029" w:type="dxa"/>
            <w:tcBorders>
              <w:top w:val="single" w:sz="4" w:space="0" w:color="auto"/>
              <w:bottom w:val="single" w:sz="4" w:space="0" w:color="auto"/>
            </w:tcBorders>
          </w:tcPr>
          <w:p w14:paraId="16744F06" w14:textId="77777777" w:rsidR="00CF0E2D" w:rsidRPr="00AF5AC7" w:rsidRDefault="00CF0E2D" w:rsidP="00A60D4B">
            <w:pPr>
              <w:pStyle w:val="InitFigR"/>
            </w:pPr>
            <w:r w:rsidRPr="00AF5AC7">
              <w:t>137</w:t>
            </w:r>
          </w:p>
        </w:tc>
        <w:tc>
          <w:tcPr>
            <w:tcW w:w="1029" w:type="dxa"/>
            <w:tcBorders>
              <w:top w:val="single" w:sz="4" w:space="0" w:color="auto"/>
              <w:bottom w:val="single" w:sz="4" w:space="0" w:color="auto"/>
            </w:tcBorders>
          </w:tcPr>
          <w:p w14:paraId="0708495D" w14:textId="77777777" w:rsidR="00CF0E2D" w:rsidRPr="00AF5AC7" w:rsidRDefault="00CF0E2D" w:rsidP="00A60D4B">
            <w:pPr>
              <w:pStyle w:val="InitFigR"/>
            </w:pPr>
            <w:r w:rsidRPr="00AF5AC7">
              <w:t>139</w:t>
            </w:r>
          </w:p>
        </w:tc>
        <w:tc>
          <w:tcPr>
            <w:tcW w:w="1029" w:type="dxa"/>
            <w:tcBorders>
              <w:top w:val="single" w:sz="4" w:space="0" w:color="auto"/>
              <w:bottom w:val="single" w:sz="4" w:space="0" w:color="auto"/>
            </w:tcBorders>
          </w:tcPr>
          <w:p w14:paraId="63F32064" w14:textId="77777777" w:rsidR="00CF0E2D" w:rsidRPr="00AF5AC7" w:rsidRDefault="00CF0E2D" w:rsidP="00A60D4B">
            <w:pPr>
              <w:pStyle w:val="InitFigBR"/>
              <w:rPr>
                <w:bCs/>
              </w:rPr>
            </w:pPr>
            <w:r w:rsidRPr="00AF5AC7">
              <w:rPr>
                <w:bCs/>
              </w:rPr>
              <w:t>856</w:t>
            </w:r>
          </w:p>
        </w:tc>
      </w:tr>
    </w:tbl>
    <w:p w14:paraId="729431F5" w14:textId="77777777" w:rsidR="00CF0E2D" w:rsidRPr="00934323" w:rsidRDefault="00CF0E2D" w:rsidP="00A60D4B">
      <w:pPr>
        <w:pStyle w:val="Bbodytext"/>
      </w:pPr>
      <w:r w:rsidRPr="00934323">
        <w:t xml:space="preserve">The Government will support the community to </w:t>
      </w:r>
      <w:r>
        <w:t>reduce their household emissions and save on their energy bills</w:t>
      </w:r>
      <w:r w:rsidRPr="00934323">
        <w:t xml:space="preserve"> </w:t>
      </w:r>
      <w:r>
        <w:t>through</w:t>
      </w:r>
      <w:r w:rsidRPr="00934323">
        <w:t xml:space="preserve"> </w:t>
      </w:r>
      <w:r>
        <w:t xml:space="preserve">community awareness </w:t>
      </w:r>
      <w:r w:rsidRPr="00934323">
        <w:t xml:space="preserve">and behavioural change activities.  </w:t>
      </w:r>
    </w:p>
    <w:p w14:paraId="3A4D779F" w14:textId="77777777" w:rsidR="00CF0E2D" w:rsidRPr="00934323" w:rsidRDefault="00CF0E2D" w:rsidP="00A60D4B">
      <w:pPr>
        <w:pStyle w:val="Bbodytext"/>
        <w:rPr>
          <w:i/>
          <w:iCs/>
        </w:rPr>
      </w:pPr>
      <w:r w:rsidRPr="00934323">
        <w:t xml:space="preserve">This initiative builds on </w:t>
      </w:r>
      <w:r>
        <w:t>other initiatives to reduce household emissions</w:t>
      </w:r>
      <w:r w:rsidRPr="00934323">
        <w:t xml:space="preserve"> including </w:t>
      </w:r>
      <w:r>
        <w:t xml:space="preserve">the </w:t>
      </w:r>
      <w:r w:rsidRPr="00D75583">
        <w:t>$150 million</w:t>
      </w:r>
      <w:r>
        <w:t xml:space="preserve"> </w:t>
      </w:r>
      <w:r w:rsidRPr="00D75583">
        <w:t>Sustainable</w:t>
      </w:r>
      <w:r w:rsidRPr="00934323">
        <w:t xml:space="preserve"> Household Scheme, </w:t>
      </w:r>
      <w:r>
        <w:t xml:space="preserve">the </w:t>
      </w:r>
      <w:r w:rsidRPr="00934323">
        <w:t xml:space="preserve">Vulnerable Household Energy Support scheme and the Big Canberra Battery. </w:t>
      </w:r>
    </w:p>
    <w:p w14:paraId="48F2D844" w14:textId="77777777" w:rsidR="00CF0E2D" w:rsidRDefault="00CF0E2D" w:rsidP="00A60D4B">
      <w:pPr>
        <w:pStyle w:val="Bbodytext"/>
      </w:pPr>
      <w:r>
        <w:t>This initiative</w:t>
      </w:r>
      <w:r w:rsidRPr="00934323">
        <w:t xml:space="preserve"> contributes to the wellbeing domain of Environment and climate</w:t>
      </w:r>
      <w:r>
        <w:t xml:space="preserve">.  </w:t>
      </w:r>
    </w:p>
    <w:p w14:paraId="275F89D0" w14:textId="77777777" w:rsidR="00CF0E2D" w:rsidRDefault="00CF0E2D" w:rsidP="00A60D4B">
      <w:pPr>
        <w:pStyle w:val="Bbodytext"/>
      </w:pPr>
      <w:r>
        <w:rPr>
          <w:rFonts w:ascii="Calibri" w:eastAsiaTheme="majorEastAsia" w:hAnsi="Calibri" w:cstheme="majorBidi"/>
          <w:b/>
          <w:noProof/>
          <w:color w:val="999789"/>
          <w:sz w:val="32"/>
          <w:szCs w:val="24"/>
        </w:rPr>
        <w:drawing>
          <wp:anchor distT="0" distB="0" distL="114300" distR="114300" simplePos="0" relativeHeight="251739136" behindDoc="0" locked="1" layoutInCell="1" allowOverlap="1" wp14:anchorId="1CF1D7F8" wp14:editId="04F6FF51">
            <wp:simplePos x="0" y="0"/>
            <wp:positionH relativeFrom="margin">
              <wp:posOffset>4330065</wp:posOffset>
            </wp:positionH>
            <wp:positionV relativeFrom="paragraph">
              <wp:posOffset>201930</wp:posOffset>
            </wp:positionV>
            <wp:extent cx="1393200" cy="504000"/>
            <wp:effectExtent l="0" t="0" r="0" b="0"/>
            <wp:wrapSquare wrapText="bothSides"/>
            <wp:docPr id="245" name="Picture 245" descr="Icon representing the wellbeing domain of Environment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con representing the wellbeing domain of Environment and clima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3200" cy="504000"/>
                    </a:xfrm>
                    <a:prstGeom prst="rect">
                      <a:avLst/>
                    </a:prstGeom>
                  </pic:spPr>
                </pic:pic>
              </a:graphicData>
            </a:graphic>
            <wp14:sizeRelH relativeFrom="margin">
              <wp14:pctWidth>0</wp14:pctWidth>
            </wp14:sizeRelH>
            <wp14:sizeRelV relativeFrom="margin">
              <wp14:pctHeight>0</wp14:pctHeight>
            </wp14:sizeRelV>
          </wp:anchor>
        </w:drawing>
      </w:r>
    </w:p>
    <w:p w14:paraId="1736B3A0" w14:textId="77777777" w:rsidR="00CF0E2D" w:rsidRPr="00844876" w:rsidRDefault="00CF0E2D" w:rsidP="00A60D4B">
      <w:pPr>
        <w:pStyle w:val="Heading4"/>
      </w:pPr>
      <w:r w:rsidRPr="00844876">
        <w:t>Climate action – Sustainable Household Scheme</w:t>
      </w:r>
    </w:p>
    <w:tbl>
      <w:tblPr>
        <w:tblW w:w="9072" w:type="dxa"/>
        <w:jc w:val="center"/>
        <w:tblLayout w:type="fixed"/>
        <w:tblLook w:val="0000" w:firstRow="0" w:lastRow="0" w:firstColumn="0" w:lastColumn="0" w:noHBand="0" w:noVBand="0"/>
      </w:tblPr>
      <w:tblGrid>
        <w:gridCol w:w="3652"/>
        <w:gridCol w:w="1179"/>
        <w:gridCol w:w="1041"/>
        <w:gridCol w:w="1029"/>
        <w:gridCol w:w="1029"/>
        <w:gridCol w:w="1142"/>
      </w:tblGrid>
      <w:tr w:rsidR="00CF0E2D" w:rsidRPr="004E341E" w14:paraId="1D2BEAF0" w14:textId="77777777" w:rsidTr="00A60D4B">
        <w:trPr>
          <w:cantSplit/>
          <w:jc w:val="center"/>
        </w:trPr>
        <w:tc>
          <w:tcPr>
            <w:tcW w:w="3652" w:type="dxa"/>
            <w:tcBorders>
              <w:top w:val="single" w:sz="4" w:space="0" w:color="auto"/>
              <w:bottom w:val="single" w:sz="4" w:space="0" w:color="auto"/>
            </w:tcBorders>
          </w:tcPr>
          <w:p w14:paraId="2895CA68"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1582C3FC" w14:textId="77777777" w:rsidR="00CF0E2D" w:rsidRPr="00B841EE" w:rsidRDefault="00CF0E2D" w:rsidP="00A60D4B">
            <w:pPr>
              <w:pStyle w:val="InitFigR"/>
              <w:rPr>
                <w:b/>
                <w:bCs/>
              </w:rPr>
            </w:pPr>
            <w:r w:rsidRPr="00B841EE">
              <w:rPr>
                <w:b/>
                <w:bCs/>
              </w:rPr>
              <w:t>2021-22</w:t>
            </w:r>
          </w:p>
          <w:p w14:paraId="54A569F8" w14:textId="77777777" w:rsidR="00CF0E2D" w:rsidRPr="00B841EE" w:rsidRDefault="00CF0E2D" w:rsidP="00A60D4B">
            <w:pPr>
              <w:pStyle w:val="InitFigR"/>
              <w:rPr>
                <w:b/>
                <w:bCs/>
              </w:rPr>
            </w:pPr>
            <w:r w:rsidRPr="00B841EE">
              <w:rPr>
                <w:b/>
                <w:bCs/>
              </w:rPr>
              <w:t>$’000</w:t>
            </w:r>
          </w:p>
        </w:tc>
        <w:tc>
          <w:tcPr>
            <w:tcW w:w="1041" w:type="dxa"/>
            <w:tcBorders>
              <w:top w:val="single" w:sz="4" w:space="0" w:color="auto"/>
              <w:bottom w:val="single" w:sz="4" w:space="0" w:color="auto"/>
            </w:tcBorders>
          </w:tcPr>
          <w:p w14:paraId="68DF3D9C" w14:textId="77777777" w:rsidR="00CF0E2D" w:rsidRPr="00B841EE" w:rsidRDefault="00CF0E2D" w:rsidP="00A60D4B">
            <w:pPr>
              <w:pStyle w:val="InitFigR"/>
              <w:rPr>
                <w:b/>
                <w:bCs/>
              </w:rPr>
            </w:pPr>
            <w:r w:rsidRPr="00B841EE">
              <w:rPr>
                <w:b/>
                <w:bCs/>
              </w:rPr>
              <w:t>2022-23</w:t>
            </w:r>
          </w:p>
          <w:p w14:paraId="574B86CD" w14:textId="77777777" w:rsidR="00CF0E2D" w:rsidRPr="00B841EE" w:rsidRDefault="00CF0E2D" w:rsidP="00A60D4B">
            <w:pPr>
              <w:pStyle w:val="InitFigR"/>
              <w:rPr>
                <w:b/>
                <w:bCs/>
              </w:rPr>
            </w:pPr>
            <w:r w:rsidRPr="00B841EE">
              <w:rPr>
                <w:b/>
                <w:bCs/>
              </w:rPr>
              <w:t>$’000</w:t>
            </w:r>
          </w:p>
        </w:tc>
        <w:tc>
          <w:tcPr>
            <w:tcW w:w="1029" w:type="dxa"/>
            <w:tcBorders>
              <w:top w:val="single" w:sz="4" w:space="0" w:color="auto"/>
              <w:bottom w:val="single" w:sz="4" w:space="0" w:color="auto"/>
            </w:tcBorders>
          </w:tcPr>
          <w:p w14:paraId="077F4D5A" w14:textId="77777777" w:rsidR="00CF0E2D" w:rsidRPr="00B841EE" w:rsidRDefault="00CF0E2D" w:rsidP="00A60D4B">
            <w:pPr>
              <w:pStyle w:val="InitFigR"/>
              <w:rPr>
                <w:b/>
                <w:bCs/>
              </w:rPr>
            </w:pPr>
            <w:r w:rsidRPr="00B841EE">
              <w:rPr>
                <w:b/>
                <w:bCs/>
              </w:rPr>
              <w:t>2023-24</w:t>
            </w:r>
          </w:p>
          <w:p w14:paraId="39C7383B" w14:textId="77777777" w:rsidR="00CF0E2D" w:rsidRPr="00B841EE" w:rsidRDefault="00CF0E2D" w:rsidP="00A60D4B">
            <w:pPr>
              <w:pStyle w:val="InitFigR"/>
              <w:rPr>
                <w:b/>
                <w:bCs/>
              </w:rPr>
            </w:pPr>
            <w:r w:rsidRPr="00B841EE">
              <w:rPr>
                <w:b/>
                <w:bCs/>
              </w:rPr>
              <w:t>$’000</w:t>
            </w:r>
          </w:p>
        </w:tc>
        <w:tc>
          <w:tcPr>
            <w:tcW w:w="1029" w:type="dxa"/>
            <w:tcBorders>
              <w:top w:val="single" w:sz="4" w:space="0" w:color="auto"/>
              <w:bottom w:val="single" w:sz="4" w:space="0" w:color="auto"/>
            </w:tcBorders>
          </w:tcPr>
          <w:p w14:paraId="2AC514AA" w14:textId="77777777" w:rsidR="00CF0E2D" w:rsidRPr="00B841EE" w:rsidRDefault="00CF0E2D" w:rsidP="00A60D4B">
            <w:pPr>
              <w:pStyle w:val="InitFigR"/>
              <w:rPr>
                <w:b/>
                <w:bCs/>
              </w:rPr>
            </w:pPr>
            <w:r w:rsidRPr="00B841EE">
              <w:rPr>
                <w:b/>
                <w:bCs/>
              </w:rPr>
              <w:t>2024-25</w:t>
            </w:r>
          </w:p>
          <w:p w14:paraId="65B68071" w14:textId="77777777" w:rsidR="00CF0E2D" w:rsidRPr="00B841EE" w:rsidRDefault="00CF0E2D" w:rsidP="00A60D4B">
            <w:pPr>
              <w:pStyle w:val="InitFigR"/>
              <w:rPr>
                <w:b/>
                <w:bCs/>
              </w:rPr>
            </w:pPr>
            <w:r w:rsidRPr="00B841EE">
              <w:rPr>
                <w:b/>
                <w:bCs/>
              </w:rPr>
              <w:t>$’000</w:t>
            </w:r>
          </w:p>
        </w:tc>
        <w:tc>
          <w:tcPr>
            <w:tcW w:w="1142" w:type="dxa"/>
            <w:tcBorders>
              <w:top w:val="single" w:sz="4" w:space="0" w:color="auto"/>
              <w:bottom w:val="single" w:sz="4" w:space="0" w:color="auto"/>
            </w:tcBorders>
          </w:tcPr>
          <w:p w14:paraId="256A6238" w14:textId="77777777" w:rsidR="00CF0E2D" w:rsidRPr="004E341E" w:rsidRDefault="00CF0E2D" w:rsidP="00A60D4B">
            <w:pPr>
              <w:pStyle w:val="InitFigRBold"/>
            </w:pPr>
            <w:r w:rsidRPr="004E341E">
              <w:t>Total</w:t>
            </w:r>
          </w:p>
          <w:p w14:paraId="7D46B8C9" w14:textId="77777777" w:rsidR="00CF0E2D" w:rsidRPr="004E341E" w:rsidRDefault="00CF0E2D" w:rsidP="00A60D4B">
            <w:pPr>
              <w:pStyle w:val="InitFigBR"/>
            </w:pPr>
            <w:r w:rsidRPr="004E341E">
              <w:t>$’000</w:t>
            </w:r>
          </w:p>
        </w:tc>
      </w:tr>
      <w:tr w:rsidR="00CF0E2D" w:rsidRPr="00B841EE" w14:paraId="75D27D24" w14:textId="77777777" w:rsidTr="00A60D4B">
        <w:trPr>
          <w:cantSplit/>
          <w:jc w:val="center"/>
        </w:trPr>
        <w:tc>
          <w:tcPr>
            <w:tcW w:w="3652" w:type="dxa"/>
          </w:tcPr>
          <w:p w14:paraId="38E0ACAA" w14:textId="77777777" w:rsidR="00CF0E2D" w:rsidRDefault="00CF0E2D" w:rsidP="00A60D4B">
            <w:pPr>
              <w:pStyle w:val="InitTextL"/>
              <w:ind w:left="321" w:hanging="321"/>
            </w:pPr>
            <w:r>
              <w:t>Capital – Loan Asset</w:t>
            </w:r>
          </w:p>
        </w:tc>
        <w:tc>
          <w:tcPr>
            <w:tcW w:w="1179" w:type="dxa"/>
          </w:tcPr>
          <w:p w14:paraId="1E4CC76F" w14:textId="77777777" w:rsidR="00CF0E2D" w:rsidRDefault="00CF0E2D" w:rsidP="00A60D4B">
            <w:pPr>
              <w:pStyle w:val="InitFigR"/>
            </w:pPr>
            <w:r>
              <w:t>0</w:t>
            </w:r>
          </w:p>
        </w:tc>
        <w:tc>
          <w:tcPr>
            <w:tcW w:w="1041" w:type="dxa"/>
          </w:tcPr>
          <w:p w14:paraId="028BA05B" w14:textId="77777777" w:rsidR="00CF0E2D" w:rsidRDefault="00CF0E2D" w:rsidP="00A60D4B">
            <w:pPr>
              <w:pStyle w:val="InitFigR"/>
            </w:pPr>
            <w:r>
              <w:t>30,529</w:t>
            </w:r>
          </w:p>
        </w:tc>
        <w:tc>
          <w:tcPr>
            <w:tcW w:w="1029" w:type="dxa"/>
          </w:tcPr>
          <w:p w14:paraId="41936AEC" w14:textId="77777777" w:rsidR="00CF0E2D" w:rsidRDefault="00CF0E2D" w:rsidP="00A60D4B">
            <w:pPr>
              <w:pStyle w:val="InitFigR"/>
            </w:pPr>
            <w:r>
              <w:t>30,529</w:t>
            </w:r>
          </w:p>
        </w:tc>
        <w:tc>
          <w:tcPr>
            <w:tcW w:w="1029" w:type="dxa"/>
          </w:tcPr>
          <w:p w14:paraId="4F79AB7D" w14:textId="77777777" w:rsidR="00CF0E2D" w:rsidRDefault="00CF0E2D" w:rsidP="00A60D4B">
            <w:pPr>
              <w:pStyle w:val="InitFigR"/>
            </w:pPr>
            <w:r>
              <w:t>30,529</w:t>
            </w:r>
          </w:p>
        </w:tc>
        <w:tc>
          <w:tcPr>
            <w:tcW w:w="1142" w:type="dxa"/>
          </w:tcPr>
          <w:p w14:paraId="09B4BD65" w14:textId="77777777" w:rsidR="00CF0E2D" w:rsidRPr="00B841EE" w:rsidRDefault="00CF0E2D" w:rsidP="00A60D4B">
            <w:pPr>
              <w:pStyle w:val="InitFigRBold"/>
              <w:rPr>
                <w:bCs/>
              </w:rPr>
            </w:pPr>
            <w:r w:rsidRPr="00B841EE">
              <w:rPr>
                <w:bCs/>
              </w:rPr>
              <w:t>91,587</w:t>
            </w:r>
          </w:p>
        </w:tc>
      </w:tr>
      <w:tr w:rsidR="00CF0E2D" w:rsidRPr="00B841EE" w14:paraId="4FB1E6EA" w14:textId="77777777" w:rsidTr="00A60D4B">
        <w:trPr>
          <w:cantSplit/>
          <w:jc w:val="center"/>
        </w:trPr>
        <w:tc>
          <w:tcPr>
            <w:tcW w:w="3652" w:type="dxa"/>
          </w:tcPr>
          <w:p w14:paraId="2717C9C9" w14:textId="77777777" w:rsidR="00CF0E2D" w:rsidRDefault="00CF0E2D" w:rsidP="00A60D4B">
            <w:pPr>
              <w:pStyle w:val="InitTextL"/>
              <w:ind w:left="321" w:hanging="321"/>
            </w:pPr>
            <w:r>
              <w:t>Capital – Repayments</w:t>
            </w:r>
          </w:p>
        </w:tc>
        <w:tc>
          <w:tcPr>
            <w:tcW w:w="1179" w:type="dxa"/>
          </w:tcPr>
          <w:p w14:paraId="56A4F9A9" w14:textId="77777777" w:rsidR="00CF0E2D" w:rsidRDefault="00CF0E2D" w:rsidP="00A60D4B">
            <w:pPr>
              <w:pStyle w:val="InitFigR"/>
            </w:pPr>
            <w:r>
              <w:t>0</w:t>
            </w:r>
          </w:p>
        </w:tc>
        <w:tc>
          <w:tcPr>
            <w:tcW w:w="1041" w:type="dxa"/>
          </w:tcPr>
          <w:p w14:paraId="120AB9D7" w14:textId="77777777" w:rsidR="00CF0E2D" w:rsidRDefault="00CF0E2D" w:rsidP="00A60D4B">
            <w:pPr>
              <w:pStyle w:val="InitFigR"/>
            </w:pPr>
            <w:r>
              <w:t>-2,900</w:t>
            </w:r>
          </w:p>
        </w:tc>
        <w:tc>
          <w:tcPr>
            <w:tcW w:w="1029" w:type="dxa"/>
          </w:tcPr>
          <w:p w14:paraId="408820BB" w14:textId="77777777" w:rsidR="00CF0E2D" w:rsidRDefault="00CF0E2D" w:rsidP="00A60D4B">
            <w:pPr>
              <w:pStyle w:val="InitFigR"/>
            </w:pPr>
            <w:r>
              <w:t>-5,801</w:t>
            </w:r>
          </w:p>
        </w:tc>
        <w:tc>
          <w:tcPr>
            <w:tcW w:w="1029" w:type="dxa"/>
          </w:tcPr>
          <w:p w14:paraId="415C858B" w14:textId="77777777" w:rsidR="00CF0E2D" w:rsidRDefault="00CF0E2D" w:rsidP="00A60D4B">
            <w:pPr>
              <w:pStyle w:val="InitFigR"/>
            </w:pPr>
            <w:r>
              <w:t>-8,701</w:t>
            </w:r>
          </w:p>
        </w:tc>
        <w:tc>
          <w:tcPr>
            <w:tcW w:w="1142" w:type="dxa"/>
          </w:tcPr>
          <w:p w14:paraId="157BF6A5" w14:textId="77777777" w:rsidR="00CF0E2D" w:rsidRPr="00B841EE" w:rsidRDefault="00CF0E2D" w:rsidP="00A60D4B">
            <w:pPr>
              <w:pStyle w:val="InitFigRBold"/>
              <w:rPr>
                <w:bCs/>
              </w:rPr>
            </w:pPr>
            <w:r w:rsidRPr="00B841EE">
              <w:rPr>
                <w:bCs/>
              </w:rPr>
              <w:t>-17,402</w:t>
            </w:r>
          </w:p>
        </w:tc>
      </w:tr>
      <w:tr w:rsidR="00CF0E2D" w:rsidRPr="00B841EE" w14:paraId="3544C8F7" w14:textId="77777777" w:rsidTr="00A60D4B">
        <w:trPr>
          <w:cantSplit/>
          <w:jc w:val="center"/>
        </w:trPr>
        <w:tc>
          <w:tcPr>
            <w:tcW w:w="3652" w:type="dxa"/>
          </w:tcPr>
          <w:p w14:paraId="76F48A14" w14:textId="77777777" w:rsidR="00CF0E2D" w:rsidRDefault="00CF0E2D" w:rsidP="00A60D4B">
            <w:pPr>
              <w:pStyle w:val="InitTextL"/>
              <w:ind w:left="321" w:hanging="321"/>
            </w:pPr>
            <w:r>
              <w:t>Offset – Existing Capital</w:t>
            </w:r>
          </w:p>
        </w:tc>
        <w:tc>
          <w:tcPr>
            <w:tcW w:w="1179" w:type="dxa"/>
          </w:tcPr>
          <w:p w14:paraId="1E6210C3" w14:textId="77777777" w:rsidR="00CF0E2D" w:rsidRDefault="00CF0E2D" w:rsidP="00A60D4B">
            <w:pPr>
              <w:pStyle w:val="InitFigR"/>
            </w:pPr>
            <w:r>
              <w:t>-27,555</w:t>
            </w:r>
          </w:p>
        </w:tc>
        <w:tc>
          <w:tcPr>
            <w:tcW w:w="1041" w:type="dxa"/>
          </w:tcPr>
          <w:p w14:paraId="3329C71B" w14:textId="77777777" w:rsidR="00CF0E2D" w:rsidRDefault="00CF0E2D" w:rsidP="00A60D4B">
            <w:pPr>
              <w:pStyle w:val="InitFigR"/>
            </w:pPr>
            <w:r>
              <w:t>-24,581</w:t>
            </w:r>
          </w:p>
        </w:tc>
        <w:tc>
          <w:tcPr>
            <w:tcW w:w="1029" w:type="dxa"/>
          </w:tcPr>
          <w:p w14:paraId="64C82E79" w14:textId="77777777" w:rsidR="00CF0E2D" w:rsidRDefault="00CF0E2D" w:rsidP="00A60D4B">
            <w:pPr>
              <w:pStyle w:val="InitFigR"/>
            </w:pPr>
            <w:r>
              <w:t>-21,608</w:t>
            </w:r>
          </w:p>
        </w:tc>
        <w:tc>
          <w:tcPr>
            <w:tcW w:w="1029" w:type="dxa"/>
          </w:tcPr>
          <w:p w14:paraId="6EABC5B9" w14:textId="77777777" w:rsidR="00CF0E2D" w:rsidRDefault="00CF0E2D" w:rsidP="00A60D4B">
            <w:pPr>
              <w:pStyle w:val="InitFigR"/>
            </w:pPr>
            <w:r>
              <w:t>0</w:t>
            </w:r>
          </w:p>
        </w:tc>
        <w:tc>
          <w:tcPr>
            <w:tcW w:w="1142" w:type="dxa"/>
          </w:tcPr>
          <w:p w14:paraId="4ECD4E61" w14:textId="77777777" w:rsidR="00CF0E2D" w:rsidRPr="00B841EE" w:rsidRDefault="00CF0E2D" w:rsidP="00A60D4B">
            <w:pPr>
              <w:pStyle w:val="InitFigRBold"/>
              <w:rPr>
                <w:bCs/>
              </w:rPr>
            </w:pPr>
            <w:r w:rsidRPr="00B841EE">
              <w:rPr>
                <w:bCs/>
              </w:rPr>
              <w:t>-</w:t>
            </w:r>
            <w:r>
              <w:rPr>
                <w:bCs/>
              </w:rPr>
              <w:t>73,744</w:t>
            </w:r>
          </w:p>
        </w:tc>
      </w:tr>
      <w:tr w:rsidR="00CF0E2D" w:rsidRPr="00266B42" w14:paraId="54ABBBD1" w14:textId="77777777" w:rsidTr="00A60D4B">
        <w:trPr>
          <w:cantSplit/>
          <w:jc w:val="center"/>
        </w:trPr>
        <w:tc>
          <w:tcPr>
            <w:tcW w:w="3652" w:type="dxa"/>
            <w:tcBorders>
              <w:top w:val="single" w:sz="4" w:space="0" w:color="auto"/>
              <w:bottom w:val="single" w:sz="4" w:space="0" w:color="auto"/>
            </w:tcBorders>
          </w:tcPr>
          <w:p w14:paraId="2ADE6A86" w14:textId="77038AE6" w:rsidR="00CF0E2D" w:rsidRPr="00266B42" w:rsidRDefault="00F57411" w:rsidP="00A60D4B">
            <w:pPr>
              <w:pStyle w:val="InitTextL"/>
              <w:ind w:left="321" w:hanging="321"/>
              <w:rPr>
                <w:b/>
                <w:bCs/>
              </w:rPr>
            </w:pPr>
            <w:r>
              <w:rPr>
                <w:b/>
                <w:bCs/>
              </w:rPr>
              <w:t>Net capital</w:t>
            </w:r>
          </w:p>
        </w:tc>
        <w:tc>
          <w:tcPr>
            <w:tcW w:w="1179" w:type="dxa"/>
            <w:tcBorders>
              <w:top w:val="single" w:sz="4" w:space="0" w:color="auto"/>
              <w:bottom w:val="single" w:sz="4" w:space="0" w:color="auto"/>
            </w:tcBorders>
          </w:tcPr>
          <w:p w14:paraId="31A95266" w14:textId="77777777" w:rsidR="00CF0E2D" w:rsidRPr="00266B42" w:rsidRDefault="00CF0E2D" w:rsidP="00A60D4B">
            <w:pPr>
              <w:pStyle w:val="InitFigR"/>
              <w:rPr>
                <w:b/>
                <w:bCs/>
              </w:rPr>
            </w:pPr>
            <w:r w:rsidRPr="00266B42">
              <w:rPr>
                <w:b/>
                <w:bCs/>
              </w:rPr>
              <w:t>-2</w:t>
            </w:r>
            <w:r>
              <w:rPr>
                <w:b/>
                <w:bCs/>
              </w:rPr>
              <w:t>7,555</w:t>
            </w:r>
          </w:p>
        </w:tc>
        <w:tc>
          <w:tcPr>
            <w:tcW w:w="1041" w:type="dxa"/>
            <w:tcBorders>
              <w:top w:val="single" w:sz="4" w:space="0" w:color="auto"/>
              <w:bottom w:val="single" w:sz="4" w:space="0" w:color="auto"/>
            </w:tcBorders>
          </w:tcPr>
          <w:p w14:paraId="47CAE3FA" w14:textId="77777777" w:rsidR="00CF0E2D" w:rsidRPr="00266B42" w:rsidRDefault="00CF0E2D" w:rsidP="00A60D4B">
            <w:pPr>
              <w:pStyle w:val="InitFigR"/>
              <w:rPr>
                <w:b/>
                <w:bCs/>
              </w:rPr>
            </w:pPr>
            <w:r>
              <w:rPr>
                <w:b/>
                <w:bCs/>
              </w:rPr>
              <w:t>3,048</w:t>
            </w:r>
          </w:p>
        </w:tc>
        <w:tc>
          <w:tcPr>
            <w:tcW w:w="1029" w:type="dxa"/>
            <w:tcBorders>
              <w:top w:val="single" w:sz="4" w:space="0" w:color="auto"/>
              <w:bottom w:val="single" w:sz="4" w:space="0" w:color="auto"/>
            </w:tcBorders>
          </w:tcPr>
          <w:p w14:paraId="4D98CE41" w14:textId="77777777" w:rsidR="00CF0E2D" w:rsidRPr="00266B42" w:rsidRDefault="00CF0E2D" w:rsidP="00A60D4B">
            <w:pPr>
              <w:pStyle w:val="InitFigR"/>
              <w:rPr>
                <w:b/>
                <w:bCs/>
              </w:rPr>
            </w:pPr>
            <w:r>
              <w:rPr>
                <w:b/>
                <w:bCs/>
              </w:rPr>
              <w:t>3,120</w:t>
            </w:r>
          </w:p>
        </w:tc>
        <w:tc>
          <w:tcPr>
            <w:tcW w:w="1029" w:type="dxa"/>
            <w:tcBorders>
              <w:top w:val="single" w:sz="4" w:space="0" w:color="auto"/>
              <w:bottom w:val="single" w:sz="4" w:space="0" w:color="auto"/>
            </w:tcBorders>
          </w:tcPr>
          <w:p w14:paraId="7A2D64AF" w14:textId="77777777" w:rsidR="00CF0E2D" w:rsidRPr="00266B42" w:rsidRDefault="00CF0E2D" w:rsidP="00A60D4B">
            <w:pPr>
              <w:pStyle w:val="InitFigR"/>
              <w:rPr>
                <w:b/>
                <w:bCs/>
              </w:rPr>
            </w:pPr>
            <w:r>
              <w:rPr>
                <w:b/>
                <w:bCs/>
              </w:rPr>
              <w:t>21,828</w:t>
            </w:r>
          </w:p>
        </w:tc>
        <w:tc>
          <w:tcPr>
            <w:tcW w:w="1142" w:type="dxa"/>
            <w:tcBorders>
              <w:top w:val="single" w:sz="4" w:space="0" w:color="auto"/>
              <w:bottom w:val="single" w:sz="4" w:space="0" w:color="auto"/>
            </w:tcBorders>
          </w:tcPr>
          <w:p w14:paraId="3A7C7BF2" w14:textId="77777777" w:rsidR="00CF0E2D" w:rsidRPr="00266B42" w:rsidRDefault="00CF0E2D" w:rsidP="00A60D4B">
            <w:pPr>
              <w:pStyle w:val="InitFigRBold"/>
              <w:rPr>
                <w:bCs/>
              </w:rPr>
            </w:pPr>
            <w:r>
              <w:rPr>
                <w:bCs/>
              </w:rPr>
              <w:t>441</w:t>
            </w:r>
          </w:p>
        </w:tc>
      </w:tr>
      <w:tr w:rsidR="00CF0E2D" w:rsidRPr="00424DA4" w14:paraId="55E0DF9E" w14:textId="77777777" w:rsidTr="00A60D4B">
        <w:trPr>
          <w:cantSplit/>
          <w:jc w:val="center"/>
        </w:trPr>
        <w:tc>
          <w:tcPr>
            <w:tcW w:w="3652" w:type="dxa"/>
          </w:tcPr>
          <w:p w14:paraId="5B513703" w14:textId="77777777" w:rsidR="00CF0E2D" w:rsidRDefault="00CF0E2D" w:rsidP="00A60D4B">
            <w:pPr>
              <w:pStyle w:val="InitTextL"/>
              <w:ind w:left="321" w:hanging="321"/>
            </w:pPr>
            <w:r>
              <w:t>Expenses</w:t>
            </w:r>
          </w:p>
        </w:tc>
        <w:tc>
          <w:tcPr>
            <w:tcW w:w="1179" w:type="dxa"/>
          </w:tcPr>
          <w:p w14:paraId="55B8521E" w14:textId="77777777" w:rsidR="00CF0E2D" w:rsidRPr="00424DA4" w:rsidRDefault="00CF0E2D" w:rsidP="00A60D4B">
            <w:pPr>
              <w:pStyle w:val="InitFigR"/>
            </w:pPr>
            <w:r>
              <w:t>2,679</w:t>
            </w:r>
          </w:p>
        </w:tc>
        <w:tc>
          <w:tcPr>
            <w:tcW w:w="1041" w:type="dxa"/>
          </w:tcPr>
          <w:p w14:paraId="1B33358C" w14:textId="77777777" w:rsidR="00CF0E2D" w:rsidRPr="00424DA4" w:rsidRDefault="00CF0E2D" w:rsidP="00A60D4B">
            <w:pPr>
              <w:pStyle w:val="InitFigR"/>
            </w:pPr>
            <w:r>
              <w:t>8,654</w:t>
            </w:r>
          </w:p>
        </w:tc>
        <w:tc>
          <w:tcPr>
            <w:tcW w:w="1029" w:type="dxa"/>
          </w:tcPr>
          <w:p w14:paraId="1699FDE0" w14:textId="77777777" w:rsidR="00CF0E2D" w:rsidRPr="00424DA4" w:rsidRDefault="00CF0E2D" w:rsidP="00A60D4B">
            <w:pPr>
              <w:pStyle w:val="InitFigR"/>
            </w:pPr>
            <w:r>
              <w:t>7,574</w:t>
            </w:r>
          </w:p>
        </w:tc>
        <w:tc>
          <w:tcPr>
            <w:tcW w:w="1029" w:type="dxa"/>
          </w:tcPr>
          <w:p w14:paraId="2CAD2ED4" w14:textId="77777777" w:rsidR="00CF0E2D" w:rsidRPr="00424DA4" w:rsidRDefault="00CF0E2D" w:rsidP="00A60D4B">
            <w:pPr>
              <w:pStyle w:val="InitFigR"/>
            </w:pPr>
            <w:r>
              <w:t>6,871</w:t>
            </w:r>
          </w:p>
        </w:tc>
        <w:tc>
          <w:tcPr>
            <w:tcW w:w="1142" w:type="dxa"/>
          </w:tcPr>
          <w:p w14:paraId="0AEA3431" w14:textId="77777777" w:rsidR="00CF0E2D" w:rsidRPr="00424DA4" w:rsidRDefault="00CF0E2D" w:rsidP="00A60D4B">
            <w:pPr>
              <w:pStyle w:val="InitFigBR"/>
            </w:pPr>
            <w:r>
              <w:t>25,778</w:t>
            </w:r>
          </w:p>
        </w:tc>
      </w:tr>
      <w:tr w:rsidR="00CF0E2D" w14:paraId="09EE8A4E" w14:textId="77777777" w:rsidTr="00A60D4B">
        <w:trPr>
          <w:cantSplit/>
          <w:jc w:val="center"/>
        </w:trPr>
        <w:tc>
          <w:tcPr>
            <w:tcW w:w="3652" w:type="dxa"/>
          </w:tcPr>
          <w:p w14:paraId="2EEF837F" w14:textId="77777777" w:rsidR="00CF0E2D" w:rsidRDefault="00CF0E2D" w:rsidP="00A60D4B">
            <w:pPr>
              <w:pStyle w:val="InitTextL"/>
              <w:ind w:left="321" w:hanging="321"/>
            </w:pPr>
            <w:r>
              <w:t xml:space="preserve">Offset – Existing Expenses </w:t>
            </w:r>
          </w:p>
        </w:tc>
        <w:tc>
          <w:tcPr>
            <w:tcW w:w="1179" w:type="dxa"/>
          </w:tcPr>
          <w:p w14:paraId="35946379" w14:textId="77777777" w:rsidR="00CF0E2D" w:rsidRDefault="00CF0E2D" w:rsidP="00A60D4B">
            <w:pPr>
              <w:pStyle w:val="InitFigR"/>
            </w:pPr>
            <w:r>
              <w:t>-7,850</w:t>
            </w:r>
          </w:p>
        </w:tc>
        <w:tc>
          <w:tcPr>
            <w:tcW w:w="1041" w:type="dxa"/>
          </w:tcPr>
          <w:p w14:paraId="18B8E59D" w14:textId="77777777" w:rsidR="00CF0E2D" w:rsidRDefault="00CF0E2D" w:rsidP="00A60D4B">
            <w:pPr>
              <w:pStyle w:val="InitFigR"/>
            </w:pPr>
            <w:r>
              <w:t>-6,556</w:t>
            </w:r>
          </w:p>
        </w:tc>
        <w:tc>
          <w:tcPr>
            <w:tcW w:w="1029" w:type="dxa"/>
          </w:tcPr>
          <w:p w14:paraId="084D648C" w14:textId="77777777" w:rsidR="00CF0E2D" w:rsidRDefault="00CF0E2D" w:rsidP="00A60D4B">
            <w:pPr>
              <w:pStyle w:val="InitFigR"/>
            </w:pPr>
            <w:r>
              <w:t>-5,770</w:t>
            </w:r>
          </w:p>
        </w:tc>
        <w:tc>
          <w:tcPr>
            <w:tcW w:w="1029" w:type="dxa"/>
          </w:tcPr>
          <w:p w14:paraId="1C16FE4B" w14:textId="77777777" w:rsidR="00CF0E2D" w:rsidRDefault="00CF0E2D" w:rsidP="00A60D4B">
            <w:pPr>
              <w:pStyle w:val="InitFigR"/>
            </w:pPr>
            <w:r>
              <w:t>0</w:t>
            </w:r>
          </w:p>
        </w:tc>
        <w:tc>
          <w:tcPr>
            <w:tcW w:w="1142" w:type="dxa"/>
          </w:tcPr>
          <w:p w14:paraId="392635E6" w14:textId="77777777" w:rsidR="00CF0E2D" w:rsidRDefault="00CF0E2D" w:rsidP="00A60D4B">
            <w:pPr>
              <w:pStyle w:val="InitFigBR"/>
            </w:pPr>
            <w:r>
              <w:t>-20,176</w:t>
            </w:r>
          </w:p>
        </w:tc>
      </w:tr>
      <w:tr w:rsidR="00CF0E2D" w:rsidRPr="00424DA4" w14:paraId="6CD8D0E2" w14:textId="77777777" w:rsidTr="00A60D4B">
        <w:trPr>
          <w:cantSplit/>
          <w:trHeight w:val="107"/>
          <w:jc w:val="center"/>
        </w:trPr>
        <w:tc>
          <w:tcPr>
            <w:tcW w:w="3652" w:type="dxa"/>
            <w:tcBorders>
              <w:top w:val="single" w:sz="4" w:space="0" w:color="auto"/>
              <w:bottom w:val="single" w:sz="4" w:space="0" w:color="auto"/>
            </w:tcBorders>
          </w:tcPr>
          <w:p w14:paraId="1F3C8C55"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70E062FB" w14:textId="77777777" w:rsidR="00CF0E2D" w:rsidRPr="00424DA4" w:rsidRDefault="00CF0E2D" w:rsidP="00A60D4B">
            <w:pPr>
              <w:pStyle w:val="InitFigRBold"/>
            </w:pPr>
            <w:r>
              <w:t>-5,171</w:t>
            </w:r>
          </w:p>
        </w:tc>
        <w:tc>
          <w:tcPr>
            <w:tcW w:w="1041" w:type="dxa"/>
            <w:tcBorders>
              <w:top w:val="single" w:sz="4" w:space="0" w:color="auto"/>
              <w:bottom w:val="single" w:sz="4" w:space="0" w:color="auto"/>
            </w:tcBorders>
          </w:tcPr>
          <w:p w14:paraId="6B4229AC" w14:textId="77777777" w:rsidR="00CF0E2D" w:rsidRPr="00424DA4" w:rsidRDefault="00CF0E2D" w:rsidP="00A60D4B">
            <w:pPr>
              <w:pStyle w:val="InitFigRBold"/>
            </w:pPr>
            <w:r>
              <w:t>2,098</w:t>
            </w:r>
          </w:p>
        </w:tc>
        <w:tc>
          <w:tcPr>
            <w:tcW w:w="1029" w:type="dxa"/>
            <w:tcBorders>
              <w:top w:val="single" w:sz="4" w:space="0" w:color="auto"/>
              <w:bottom w:val="single" w:sz="4" w:space="0" w:color="auto"/>
            </w:tcBorders>
          </w:tcPr>
          <w:p w14:paraId="64459A4D" w14:textId="77777777" w:rsidR="00CF0E2D" w:rsidRPr="00424DA4" w:rsidRDefault="00CF0E2D" w:rsidP="00A60D4B">
            <w:pPr>
              <w:pStyle w:val="InitFigRBold"/>
            </w:pPr>
            <w:r>
              <w:t>1,804</w:t>
            </w:r>
          </w:p>
        </w:tc>
        <w:tc>
          <w:tcPr>
            <w:tcW w:w="1029" w:type="dxa"/>
            <w:tcBorders>
              <w:top w:val="single" w:sz="4" w:space="0" w:color="auto"/>
              <w:bottom w:val="single" w:sz="4" w:space="0" w:color="auto"/>
            </w:tcBorders>
          </w:tcPr>
          <w:p w14:paraId="5D3D6EB0" w14:textId="77777777" w:rsidR="00CF0E2D" w:rsidRPr="00424DA4" w:rsidRDefault="00CF0E2D" w:rsidP="00A60D4B">
            <w:pPr>
              <w:pStyle w:val="InitFigRBold"/>
            </w:pPr>
            <w:r>
              <w:t>6,871</w:t>
            </w:r>
          </w:p>
        </w:tc>
        <w:tc>
          <w:tcPr>
            <w:tcW w:w="1142" w:type="dxa"/>
            <w:tcBorders>
              <w:top w:val="single" w:sz="4" w:space="0" w:color="auto"/>
              <w:bottom w:val="single" w:sz="4" w:space="0" w:color="auto"/>
            </w:tcBorders>
          </w:tcPr>
          <w:p w14:paraId="18CC334D" w14:textId="77777777" w:rsidR="00CF0E2D" w:rsidRPr="00424DA4" w:rsidRDefault="00CF0E2D" w:rsidP="00A60D4B">
            <w:pPr>
              <w:pStyle w:val="InitFigRBold"/>
            </w:pPr>
            <w:r>
              <w:t>5,602</w:t>
            </w:r>
          </w:p>
        </w:tc>
      </w:tr>
    </w:tbl>
    <w:p w14:paraId="54D26BFB" w14:textId="77777777" w:rsidR="00CF0E2D" w:rsidRDefault="00CF0E2D" w:rsidP="00A60D4B">
      <w:pPr>
        <w:pStyle w:val="Bbodytext"/>
      </w:pPr>
      <w:r w:rsidRPr="004C581D">
        <w:t>The Government wi</w:t>
      </w:r>
      <w:r>
        <w:t xml:space="preserve">ll roll-out the Sustainable Household Scheme to provide zero interest loans of up to $15,000 for households and not-for-profit community organisations to assist with the upfront costs of investing in rooftop solar panels, battery storage, zero emission vehicles and energy efficient electric appliances.  </w:t>
      </w:r>
    </w:p>
    <w:p w14:paraId="27855C05" w14:textId="77777777" w:rsidR="00CF0E2D" w:rsidRDefault="00CF0E2D" w:rsidP="00A60D4B">
      <w:pPr>
        <w:pStyle w:val="Bbodytext"/>
      </w:pPr>
      <w:r>
        <w:t xml:space="preserve">The Scheme also provides $771,000 per annum for subsidies for the cost of solar installations (capped at $2,500) for concession card holders under the Solar for Low Income program. </w:t>
      </w:r>
    </w:p>
    <w:p w14:paraId="4227EB81" w14:textId="77777777" w:rsidR="00CF0E2D" w:rsidRDefault="00CF0E2D" w:rsidP="00A60D4B">
      <w:pPr>
        <w:pStyle w:val="Bbodytext"/>
      </w:pPr>
      <w:r>
        <w:t>This initiative contributes to the wellbeing domains of Environment and climate and Living standards.</w:t>
      </w:r>
    </w:p>
    <w:p w14:paraId="10829CD7" w14:textId="77777777" w:rsidR="00CF0E2D" w:rsidRDefault="00CF0E2D" w:rsidP="00A60D4B">
      <w:pPr>
        <w:pStyle w:val="Bbodytext"/>
      </w:pPr>
    </w:p>
    <w:p w14:paraId="7DC7A9EF" w14:textId="77777777" w:rsidR="00CF0E2D" w:rsidRDefault="00CF0E2D" w:rsidP="00A60D4B">
      <w:pPr>
        <w:pStyle w:val="Bbodytext"/>
      </w:pPr>
    </w:p>
    <w:p w14:paraId="6FCF411D" w14:textId="77777777" w:rsidR="00CF0E2D" w:rsidRDefault="00CF0E2D" w:rsidP="00A60D4B">
      <w:pPr>
        <w:pStyle w:val="Heading4"/>
      </w:pPr>
    </w:p>
    <w:p w14:paraId="7D01E925" w14:textId="77777777" w:rsidR="00CF0E2D" w:rsidRDefault="00CF0E2D" w:rsidP="00A60D4B">
      <w:pPr>
        <w:pStyle w:val="Heading4"/>
      </w:pPr>
    </w:p>
    <w:p w14:paraId="4D5A3B22" w14:textId="77777777" w:rsidR="00CF0E2D" w:rsidRPr="00722D9D" w:rsidRDefault="00CF0E2D" w:rsidP="00A60D4B">
      <w:pPr>
        <w:pStyle w:val="Heading4"/>
      </w:pPr>
      <w:r w:rsidRPr="00722D9D">
        <w:t xml:space="preserve">Continuing </w:t>
      </w:r>
      <w:r>
        <w:t>i</w:t>
      </w:r>
      <w:r w:rsidRPr="00722D9D">
        <w:t xml:space="preserve">mplementation of the Wellbeing Framework  </w:t>
      </w:r>
      <w:r w:rsidRPr="00105486">
        <w:rPr>
          <w:noProof/>
          <w:sz w:val="24"/>
          <w:szCs w:val="24"/>
        </w:rPr>
        <w:t xml:space="preserve"> </w:t>
      </w:r>
      <w:r w:rsidRPr="00FD55BB">
        <w:rPr>
          <w:noProof/>
          <w:sz w:val="24"/>
          <w:szCs w:val="24"/>
        </w:rPr>
        <w:drawing>
          <wp:anchor distT="0" distB="0" distL="114300" distR="114300" simplePos="0" relativeHeight="251729920" behindDoc="0" locked="1" layoutInCell="1" allowOverlap="1" wp14:anchorId="12AD7F13" wp14:editId="24F0BBAB">
            <wp:simplePos x="0" y="0"/>
            <wp:positionH relativeFrom="margin">
              <wp:posOffset>4631690</wp:posOffset>
            </wp:positionH>
            <wp:positionV relativeFrom="margin">
              <wp:posOffset>0</wp:posOffset>
            </wp:positionV>
            <wp:extent cx="1072515" cy="1079500"/>
            <wp:effectExtent l="0" t="0" r="0" b="6350"/>
            <wp:wrapSquare wrapText="bothSides"/>
            <wp:docPr id="246" name="Picture 246" descr="Icon representing all of the Wellbeing dom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con representing all of the Wellbeing domains"/>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072515" cy="1079500"/>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5871EBC3" w14:textId="77777777" w:rsidTr="00A60D4B">
        <w:trPr>
          <w:cantSplit/>
          <w:jc w:val="center"/>
        </w:trPr>
        <w:tc>
          <w:tcPr>
            <w:tcW w:w="3652" w:type="dxa"/>
            <w:tcBorders>
              <w:top w:val="single" w:sz="4" w:space="0" w:color="auto"/>
              <w:bottom w:val="single" w:sz="4" w:space="0" w:color="auto"/>
            </w:tcBorders>
          </w:tcPr>
          <w:p w14:paraId="199B6996"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7A2E57FC" w14:textId="77777777" w:rsidR="00CF0E2D" w:rsidRPr="00B841EE" w:rsidRDefault="00CF0E2D" w:rsidP="00A60D4B">
            <w:pPr>
              <w:pStyle w:val="InitFigR"/>
              <w:rPr>
                <w:b/>
                <w:bCs/>
              </w:rPr>
            </w:pPr>
            <w:r w:rsidRPr="00B841EE">
              <w:rPr>
                <w:b/>
                <w:bCs/>
              </w:rPr>
              <w:t>2021-22</w:t>
            </w:r>
          </w:p>
          <w:p w14:paraId="5EF25D19" w14:textId="77777777" w:rsidR="00CF0E2D" w:rsidRPr="00B841EE" w:rsidRDefault="00CF0E2D" w:rsidP="00A60D4B">
            <w:pPr>
              <w:pStyle w:val="InitFigR"/>
              <w:rPr>
                <w:b/>
                <w:bCs/>
              </w:rPr>
            </w:pPr>
            <w:r w:rsidRPr="00B841EE">
              <w:rPr>
                <w:b/>
                <w:bCs/>
              </w:rPr>
              <w:t>$’000</w:t>
            </w:r>
          </w:p>
        </w:tc>
        <w:tc>
          <w:tcPr>
            <w:tcW w:w="1041" w:type="dxa"/>
            <w:tcBorders>
              <w:top w:val="single" w:sz="4" w:space="0" w:color="auto"/>
              <w:bottom w:val="single" w:sz="4" w:space="0" w:color="auto"/>
            </w:tcBorders>
          </w:tcPr>
          <w:p w14:paraId="12EA8058" w14:textId="77777777" w:rsidR="00CF0E2D" w:rsidRPr="00B841EE" w:rsidRDefault="00CF0E2D" w:rsidP="00A60D4B">
            <w:pPr>
              <w:pStyle w:val="InitFigR"/>
              <w:rPr>
                <w:b/>
                <w:bCs/>
              </w:rPr>
            </w:pPr>
            <w:r w:rsidRPr="00B841EE">
              <w:rPr>
                <w:b/>
                <w:bCs/>
              </w:rPr>
              <w:t>2022-23</w:t>
            </w:r>
          </w:p>
          <w:p w14:paraId="494A77E6" w14:textId="77777777" w:rsidR="00CF0E2D" w:rsidRPr="00B841EE" w:rsidRDefault="00CF0E2D" w:rsidP="00A60D4B">
            <w:pPr>
              <w:pStyle w:val="InitFigR"/>
              <w:rPr>
                <w:b/>
                <w:bCs/>
              </w:rPr>
            </w:pPr>
            <w:r w:rsidRPr="00B841EE">
              <w:rPr>
                <w:b/>
                <w:bCs/>
              </w:rPr>
              <w:t>$’000</w:t>
            </w:r>
          </w:p>
        </w:tc>
        <w:tc>
          <w:tcPr>
            <w:tcW w:w="1029" w:type="dxa"/>
            <w:tcBorders>
              <w:top w:val="single" w:sz="4" w:space="0" w:color="auto"/>
              <w:bottom w:val="single" w:sz="4" w:space="0" w:color="auto"/>
            </w:tcBorders>
          </w:tcPr>
          <w:p w14:paraId="48E69AC8" w14:textId="77777777" w:rsidR="00CF0E2D" w:rsidRPr="00B841EE" w:rsidRDefault="00CF0E2D" w:rsidP="00A60D4B">
            <w:pPr>
              <w:pStyle w:val="InitFigR"/>
              <w:rPr>
                <w:b/>
                <w:bCs/>
              </w:rPr>
            </w:pPr>
            <w:r w:rsidRPr="00B841EE">
              <w:rPr>
                <w:b/>
                <w:bCs/>
              </w:rPr>
              <w:t>2023-24</w:t>
            </w:r>
          </w:p>
          <w:p w14:paraId="51CCB788" w14:textId="77777777" w:rsidR="00CF0E2D" w:rsidRPr="00B841EE" w:rsidRDefault="00CF0E2D" w:rsidP="00A60D4B">
            <w:pPr>
              <w:pStyle w:val="InitFigR"/>
              <w:rPr>
                <w:b/>
                <w:bCs/>
              </w:rPr>
            </w:pPr>
            <w:r w:rsidRPr="00B841EE">
              <w:rPr>
                <w:b/>
                <w:bCs/>
              </w:rPr>
              <w:t>$’000</w:t>
            </w:r>
          </w:p>
        </w:tc>
        <w:tc>
          <w:tcPr>
            <w:tcW w:w="1029" w:type="dxa"/>
            <w:tcBorders>
              <w:top w:val="single" w:sz="4" w:space="0" w:color="auto"/>
              <w:bottom w:val="single" w:sz="4" w:space="0" w:color="auto"/>
            </w:tcBorders>
          </w:tcPr>
          <w:p w14:paraId="35A9C42F" w14:textId="77777777" w:rsidR="00CF0E2D" w:rsidRPr="00B841EE" w:rsidRDefault="00CF0E2D" w:rsidP="00A60D4B">
            <w:pPr>
              <w:pStyle w:val="InitFigR"/>
              <w:rPr>
                <w:b/>
                <w:bCs/>
              </w:rPr>
            </w:pPr>
            <w:r w:rsidRPr="00B841EE">
              <w:rPr>
                <w:b/>
                <w:bCs/>
              </w:rPr>
              <w:t>2024-25</w:t>
            </w:r>
          </w:p>
          <w:p w14:paraId="4CD80881" w14:textId="77777777" w:rsidR="00CF0E2D" w:rsidRPr="00B841EE" w:rsidRDefault="00CF0E2D" w:rsidP="00A60D4B">
            <w:pPr>
              <w:pStyle w:val="InitFigR"/>
              <w:rPr>
                <w:b/>
                <w:bCs/>
              </w:rPr>
            </w:pPr>
            <w:r w:rsidRPr="00B841EE">
              <w:rPr>
                <w:b/>
                <w:bCs/>
              </w:rPr>
              <w:t>$’000</w:t>
            </w:r>
          </w:p>
        </w:tc>
        <w:tc>
          <w:tcPr>
            <w:tcW w:w="1029" w:type="dxa"/>
            <w:tcBorders>
              <w:top w:val="single" w:sz="4" w:space="0" w:color="auto"/>
              <w:bottom w:val="single" w:sz="4" w:space="0" w:color="auto"/>
            </w:tcBorders>
          </w:tcPr>
          <w:p w14:paraId="16CB1701" w14:textId="77777777" w:rsidR="00CF0E2D" w:rsidRPr="004E341E" w:rsidRDefault="00CF0E2D" w:rsidP="00A60D4B">
            <w:pPr>
              <w:pStyle w:val="InitFigRBold"/>
            </w:pPr>
            <w:r w:rsidRPr="004E341E">
              <w:t>Total</w:t>
            </w:r>
          </w:p>
          <w:p w14:paraId="083E488D" w14:textId="77777777" w:rsidR="00CF0E2D" w:rsidRPr="004E341E" w:rsidRDefault="00CF0E2D" w:rsidP="00A60D4B">
            <w:pPr>
              <w:pStyle w:val="InitFigBR"/>
            </w:pPr>
            <w:r w:rsidRPr="004E341E">
              <w:t>$’000</w:t>
            </w:r>
          </w:p>
        </w:tc>
      </w:tr>
      <w:tr w:rsidR="00CF0E2D" w:rsidRPr="00750793" w14:paraId="08EE7C79" w14:textId="77777777" w:rsidTr="00A60D4B">
        <w:trPr>
          <w:cantSplit/>
          <w:jc w:val="center"/>
        </w:trPr>
        <w:tc>
          <w:tcPr>
            <w:tcW w:w="3652" w:type="dxa"/>
          </w:tcPr>
          <w:p w14:paraId="256E8DEE" w14:textId="77777777" w:rsidR="00CF0E2D" w:rsidRPr="00F13FAB" w:rsidRDefault="00CF0E2D" w:rsidP="00A60D4B">
            <w:pPr>
              <w:pStyle w:val="InitTextL"/>
              <w:ind w:left="321" w:hanging="321"/>
            </w:pPr>
            <w:r w:rsidRPr="00882BE2">
              <w:t>Expenses</w:t>
            </w:r>
          </w:p>
        </w:tc>
        <w:tc>
          <w:tcPr>
            <w:tcW w:w="1179" w:type="dxa"/>
          </w:tcPr>
          <w:p w14:paraId="1D47A121" w14:textId="77777777" w:rsidR="00CF0E2D" w:rsidRPr="00424DA4" w:rsidRDefault="00CF0E2D" w:rsidP="00A60D4B">
            <w:pPr>
              <w:pStyle w:val="InitFigR"/>
            </w:pPr>
            <w:r>
              <w:t>696</w:t>
            </w:r>
          </w:p>
        </w:tc>
        <w:tc>
          <w:tcPr>
            <w:tcW w:w="1041" w:type="dxa"/>
          </w:tcPr>
          <w:p w14:paraId="5FFD3545" w14:textId="77777777" w:rsidR="00CF0E2D" w:rsidRPr="00424DA4" w:rsidRDefault="00CF0E2D" w:rsidP="00A60D4B">
            <w:pPr>
              <w:pStyle w:val="InitFigR"/>
            </w:pPr>
            <w:r>
              <w:t>1,121</w:t>
            </w:r>
          </w:p>
        </w:tc>
        <w:tc>
          <w:tcPr>
            <w:tcW w:w="1029" w:type="dxa"/>
          </w:tcPr>
          <w:p w14:paraId="0FF18072" w14:textId="77777777" w:rsidR="00CF0E2D" w:rsidRPr="00424DA4" w:rsidRDefault="00CF0E2D" w:rsidP="00A60D4B">
            <w:pPr>
              <w:pStyle w:val="InitFigR"/>
            </w:pPr>
            <w:r>
              <w:t>1,076</w:t>
            </w:r>
          </w:p>
        </w:tc>
        <w:tc>
          <w:tcPr>
            <w:tcW w:w="1029" w:type="dxa"/>
          </w:tcPr>
          <w:p w14:paraId="3ED949DD" w14:textId="77777777" w:rsidR="00CF0E2D" w:rsidRPr="00424DA4" w:rsidRDefault="00CF0E2D" w:rsidP="00A60D4B">
            <w:pPr>
              <w:pStyle w:val="InitFigR"/>
            </w:pPr>
            <w:r>
              <w:t>1,063</w:t>
            </w:r>
          </w:p>
        </w:tc>
        <w:tc>
          <w:tcPr>
            <w:tcW w:w="1029" w:type="dxa"/>
          </w:tcPr>
          <w:p w14:paraId="30F382D2" w14:textId="77777777" w:rsidR="00CF0E2D" w:rsidRPr="00424DA4" w:rsidRDefault="00CF0E2D" w:rsidP="00A60D4B">
            <w:pPr>
              <w:pStyle w:val="InitFigBR"/>
            </w:pPr>
            <w:r>
              <w:t>3,956</w:t>
            </w:r>
          </w:p>
        </w:tc>
      </w:tr>
      <w:tr w:rsidR="00CF0E2D" w:rsidRPr="00750793" w14:paraId="4473AE2F" w14:textId="77777777" w:rsidTr="00A60D4B">
        <w:trPr>
          <w:cantSplit/>
          <w:jc w:val="center"/>
        </w:trPr>
        <w:tc>
          <w:tcPr>
            <w:tcW w:w="3652" w:type="dxa"/>
          </w:tcPr>
          <w:p w14:paraId="4029DAB1" w14:textId="77777777" w:rsidR="00CF0E2D" w:rsidRDefault="00CF0E2D" w:rsidP="00A60D4B">
            <w:pPr>
              <w:pStyle w:val="InitTextL"/>
              <w:ind w:left="321" w:hanging="321"/>
            </w:pPr>
            <w:r>
              <w:t>Offset – Expenses</w:t>
            </w:r>
          </w:p>
        </w:tc>
        <w:tc>
          <w:tcPr>
            <w:tcW w:w="1179" w:type="dxa"/>
          </w:tcPr>
          <w:p w14:paraId="20B77CA3" w14:textId="77777777" w:rsidR="00CF0E2D" w:rsidRPr="00424DA4" w:rsidRDefault="00CF0E2D" w:rsidP="00A60D4B">
            <w:pPr>
              <w:pStyle w:val="InitFigR"/>
            </w:pPr>
            <w:r>
              <w:t>-183</w:t>
            </w:r>
          </w:p>
        </w:tc>
        <w:tc>
          <w:tcPr>
            <w:tcW w:w="1041" w:type="dxa"/>
          </w:tcPr>
          <w:p w14:paraId="3A3545DE" w14:textId="77777777" w:rsidR="00CF0E2D" w:rsidRPr="00424DA4" w:rsidRDefault="00CF0E2D" w:rsidP="00A60D4B">
            <w:pPr>
              <w:pStyle w:val="InitFigR"/>
            </w:pPr>
            <w:r>
              <w:t>-185</w:t>
            </w:r>
          </w:p>
        </w:tc>
        <w:tc>
          <w:tcPr>
            <w:tcW w:w="1029" w:type="dxa"/>
          </w:tcPr>
          <w:p w14:paraId="28C62885" w14:textId="77777777" w:rsidR="00CF0E2D" w:rsidRPr="00424DA4" w:rsidRDefault="00CF0E2D" w:rsidP="00A60D4B">
            <w:pPr>
              <w:pStyle w:val="InitFigR"/>
            </w:pPr>
            <w:r>
              <w:t>-188</w:t>
            </w:r>
          </w:p>
        </w:tc>
        <w:tc>
          <w:tcPr>
            <w:tcW w:w="1029" w:type="dxa"/>
          </w:tcPr>
          <w:p w14:paraId="550D4C1C" w14:textId="77777777" w:rsidR="00CF0E2D" w:rsidRPr="00424DA4" w:rsidRDefault="00CF0E2D" w:rsidP="00A60D4B">
            <w:pPr>
              <w:pStyle w:val="InitFigR"/>
            </w:pPr>
            <w:r>
              <w:t>-191</w:t>
            </w:r>
          </w:p>
        </w:tc>
        <w:tc>
          <w:tcPr>
            <w:tcW w:w="1029" w:type="dxa"/>
          </w:tcPr>
          <w:p w14:paraId="7A2DA72F" w14:textId="77777777" w:rsidR="00CF0E2D" w:rsidRPr="00424DA4" w:rsidRDefault="00CF0E2D" w:rsidP="00A60D4B">
            <w:pPr>
              <w:pStyle w:val="InitFigBR"/>
            </w:pPr>
            <w:r>
              <w:t>-747</w:t>
            </w:r>
          </w:p>
        </w:tc>
      </w:tr>
      <w:tr w:rsidR="00CF0E2D" w:rsidRPr="00750793" w14:paraId="7FA5D6B0" w14:textId="77777777" w:rsidTr="00A60D4B">
        <w:trPr>
          <w:cantSplit/>
          <w:trHeight w:val="107"/>
          <w:jc w:val="center"/>
        </w:trPr>
        <w:tc>
          <w:tcPr>
            <w:tcW w:w="3652" w:type="dxa"/>
            <w:tcBorders>
              <w:top w:val="single" w:sz="4" w:space="0" w:color="auto"/>
              <w:bottom w:val="single" w:sz="4" w:space="0" w:color="auto"/>
            </w:tcBorders>
          </w:tcPr>
          <w:p w14:paraId="24EE2182"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5E88494C" w14:textId="77777777" w:rsidR="00CF0E2D" w:rsidRPr="00424DA4" w:rsidRDefault="00CF0E2D" w:rsidP="00A60D4B">
            <w:pPr>
              <w:pStyle w:val="InitFigRBold"/>
            </w:pPr>
            <w:r>
              <w:t>513</w:t>
            </w:r>
          </w:p>
        </w:tc>
        <w:tc>
          <w:tcPr>
            <w:tcW w:w="1041" w:type="dxa"/>
            <w:tcBorders>
              <w:top w:val="single" w:sz="4" w:space="0" w:color="auto"/>
              <w:bottom w:val="single" w:sz="4" w:space="0" w:color="auto"/>
            </w:tcBorders>
          </w:tcPr>
          <w:p w14:paraId="2D70D6FB" w14:textId="77777777" w:rsidR="00CF0E2D" w:rsidRPr="00424DA4" w:rsidRDefault="00CF0E2D" w:rsidP="00A60D4B">
            <w:pPr>
              <w:pStyle w:val="InitFigRBold"/>
            </w:pPr>
            <w:r>
              <w:t>936</w:t>
            </w:r>
          </w:p>
        </w:tc>
        <w:tc>
          <w:tcPr>
            <w:tcW w:w="1029" w:type="dxa"/>
            <w:tcBorders>
              <w:top w:val="single" w:sz="4" w:space="0" w:color="auto"/>
              <w:bottom w:val="single" w:sz="4" w:space="0" w:color="auto"/>
            </w:tcBorders>
          </w:tcPr>
          <w:p w14:paraId="5CF42403" w14:textId="77777777" w:rsidR="00CF0E2D" w:rsidRPr="00424DA4" w:rsidRDefault="00CF0E2D" w:rsidP="00A60D4B">
            <w:pPr>
              <w:pStyle w:val="InitFigRBold"/>
            </w:pPr>
            <w:r>
              <w:t>888</w:t>
            </w:r>
          </w:p>
        </w:tc>
        <w:tc>
          <w:tcPr>
            <w:tcW w:w="1029" w:type="dxa"/>
            <w:tcBorders>
              <w:top w:val="single" w:sz="4" w:space="0" w:color="auto"/>
              <w:bottom w:val="single" w:sz="4" w:space="0" w:color="auto"/>
            </w:tcBorders>
          </w:tcPr>
          <w:p w14:paraId="1D167636" w14:textId="77777777" w:rsidR="00CF0E2D" w:rsidRPr="00424DA4" w:rsidRDefault="00CF0E2D" w:rsidP="00A60D4B">
            <w:pPr>
              <w:pStyle w:val="InitFigRBold"/>
            </w:pPr>
            <w:r>
              <w:t>872</w:t>
            </w:r>
          </w:p>
        </w:tc>
        <w:tc>
          <w:tcPr>
            <w:tcW w:w="1029" w:type="dxa"/>
            <w:tcBorders>
              <w:top w:val="single" w:sz="4" w:space="0" w:color="auto"/>
              <w:bottom w:val="single" w:sz="4" w:space="0" w:color="auto"/>
            </w:tcBorders>
          </w:tcPr>
          <w:p w14:paraId="01C1B769" w14:textId="77777777" w:rsidR="00CF0E2D" w:rsidRPr="00424DA4" w:rsidRDefault="00CF0E2D" w:rsidP="00A60D4B">
            <w:pPr>
              <w:pStyle w:val="InitFigRBold"/>
            </w:pPr>
            <w:r>
              <w:t>3,209</w:t>
            </w:r>
          </w:p>
        </w:tc>
      </w:tr>
    </w:tbl>
    <w:p w14:paraId="182A09D7" w14:textId="77777777" w:rsidR="00CF0E2D" w:rsidRDefault="00CF0E2D" w:rsidP="00A60D4B">
      <w:pPr>
        <w:pStyle w:val="Bbodytext"/>
      </w:pPr>
      <w:r w:rsidRPr="004C581D">
        <w:t>The Government wi</w:t>
      </w:r>
      <w:r>
        <w:t xml:space="preserve">ll proceed with the next stage of the </w:t>
      </w:r>
      <w:r w:rsidRPr="00115C24">
        <w:t>Wellbeing Framework</w:t>
      </w:r>
      <w:r>
        <w:t>, including: reporting on the wellbeing of specific groups (</w:t>
      </w:r>
      <w:r w:rsidRPr="000D6357">
        <w:t xml:space="preserve">such as </w:t>
      </w:r>
      <w:r w:rsidRPr="00134F62">
        <w:t>c</w:t>
      </w:r>
      <w:r>
        <w:t xml:space="preserve">hildren and young people, and Aboriginal and Torres Strait Islander peoples); reviewing strategic and accountability indicators; evaluation of wellbeing outcomes; building evidence around initiatives that support wellbeing; and, producing data on wellbeing in the ACT. </w:t>
      </w:r>
    </w:p>
    <w:p w14:paraId="1FC836E1" w14:textId="77777777" w:rsidR="00CF0E2D" w:rsidRDefault="00CF0E2D" w:rsidP="00A60D4B">
      <w:pPr>
        <w:pStyle w:val="Bbodytext"/>
      </w:pPr>
      <w:r>
        <w:t xml:space="preserve">As part of the expanded implementation of the Wellbeing Framework, the Government will also develop approaches to gender budgeting. </w:t>
      </w:r>
    </w:p>
    <w:p w14:paraId="5EEE0AF0" w14:textId="77777777" w:rsidR="00CF0E2D" w:rsidRDefault="00CF0E2D" w:rsidP="00A60D4B">
      <w:pPr>
        <w:pStyle w:val="Bbodytext"/>
      </w:pPr>
      <w:r>
        <w:t xml:space="preserve">This initiative contributes to all wellbeing domains. </w:t>
      </w:r>
    </w:p>
    <w:p w14:paraId="6D2671AD" w14:textId="77777777" w:rsidR="00CF0E2D" w:rsidRDefault="00CF0E2D" w:rsidP="00A60D4B">
      <w:pPr>
        <w:pStyle w:val="Bbodytext"/>
      </w:pPr>
    </w:p>
    <w:p w14:paraId="76E3E78A" w14:textId="77777777" w:rsidR="00CF0E2D" w:rsidRPr="004C7234" w:rsidRDefault="00CF0E2D" w:rsidP="00A60D4B">
      <w:pPr>
        <w:pStyle w:val="Heading4"/>
      </w:pPr>
      <w:r w:rsidRPr="006254AD">
        <w:t xml:space="preserve">Continuing operations at </w:t>
      </w:r>
      <w:r w:rsidRPr="004C7234">
        <w:t xml:space="preserve">Canberra Olympic </w:t>
      </w:r>
      <w:r>
        <w:t>P</w:t>
      </w:r>
      <w:r w:rsidRPr="004C7234">
        <w:t xml:space="preserve">ool </w:t>
      </w:r>
      <w:r>
        <w:rPr>
          <w:b w:val="0"/>
          <w:noProof/>
          <w:color w:val="999789"/>
          <w:sz w:val="32"/>
          <w:szCs w:val="24"/>
        </w:rPr>
        <w:drawing>
          <wp:anchor distT="0" distB="0" distL="114300" distR="114300" simplePos="0" relativeHeight="251833344" behindDoc="0" locked="1" layoutInCell="1" allowOverlap="1" wp14:anchorId="425C58B3" wp14:editId="6BC3B31A">
            <wp:simplePos x="0" y="0"/>
            <wp:positionH relativeFrom="margin">
              <wp:align>right</wp:align>
            </wp:positionH>
            <wp:positionV relativeFrom="paragraph">
              <wp:posOffset>-146050</wp:posOffset>
            </wp:positionV>
            <wp:extent cx="1284605" cy="503555"/>
            <wp:effectExtent l="0" t="0" r="0" b="0"/>
            <wp:wrapSquare wrapText="bothSides"/>
            <wp:docPr id="247" name="Picture 247" descr="Icon representing the wellbeing domain of Social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con representing the wellbeing domain of Social connection"/>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284605" cy="503555"/>
                    </a:xfrm>
                    <a:prstGeom prst="rect">
                      <a:avLst/>
                    </a:prstGeom>
                  </pic:spPr>
                </pic:pic>
              </a:graphicData>
            </a:graphic>
            <wp14:sizeRelH relativeFrom="margin">
              <wp14:pctWidth>0</wp14:pctWidth>
            </wp14:sizeRelH>
            <wp14:sizeRelV relativeFrom="margin">
              <wp14:pctHeight>0</wp14:pctHeight>
            </wp14:sizeRelV>
          </wp:anchor>
        </w:drawing>
      </w:r>
    </w:p>
    <w:tbl>
      <w:tblPr>
        <w:tblW w:w="9053" w:type="dxa"/>
        <w:jc w:val="center"/>
        <w:tblLayout w:type="fixed"/>
        <w:tblLook w:val="0000" w:firstRow="0" w:lastRow="0" w:firstColumn="0" w:lastColumn="0" w:noHBand="0" w:noVBand="0"/>
      </w:tblPr>
      <w:tblGrid>
        <w:gridCol w:w="3746"/>
        <w:gridCol w:w="1179"/>
        <w:gridCol w:w="1041"/>
        <w:gridCol w:w="1029"/>
        <w:gridCol w:w="1029"/>
        <w:gridCol w:w="1029"/>
      </w:tblGrid>
      <w:tr w:rsidR="00CF0E2D" w:rsidRPr="00DE7F02" w14:paraId="54D7F34C" w14:textId="77777777" w:rsidTr="00A60D4B">
        <w:trPr>
          <w:cantSplit/>
          <w:jc w:val="center"/>
        </w:trPr>
        <w:tc>
          <w:tcPr>
            <w:tcW w:w="3746" w:type="dxa"/>
            <w:tcBorders>
              <w:top w:val="single" w:sz="4" w:space="0" w:color="auto"/>
              <w:bottom w:val="single" w:sz="4" w:space="0" w:color="auto"/>
            </w:tcBorders>
          </w:tcPr>
          <w:p w14:paraId="20369657" w14:textId="77777777" w:rsidR="00CF0E2D" w:rsidRPr="00DE7F02" w:rsidRDefault="00CF0E2D" w:rsidP="00A60D4B">
            <w:pPr>
              <w:spacing w:after="0"/>
              <w:jc w:val="right"/>
              <w:rPr>
                <w:rFonts w:cs="Calibri"/>
                <w:color w:val="FFFFFF"/>
                <w:sz w:val="12"/>
              </w:rPr>
            </w:pPr>
            <w:r w:rsidRPr="00DE7F02">
              <w:rPr>
                <w:rFonts w:cs="Calibri"/>
                <w:color w:val="FFFFFF"/>
                <w:sz w:val="12"/>
              </w:rPr>
              <w:t>Empty Cell</w:t>
            </w:r>
          </w:p>
        </w:tc>
        <w:tc>
          <w:tcPr>
            <w:tcW w:w="1179" w:type="dxa"/>
            <w:tcBorders>
              <w:top w:val="single" w:sz="4" w:space="0" w:color="auto"/>
              <w:bottom w:val="single" w:sz="4" w:space="0" w:color="auto"/>
            </w:tcBorders>
          </w:tcPr>
          <w:p w14:paraId="69324F29" w14:textId="77777777" w:rsidR="00CF0E2D" w:rsidRPr="00FF4BFE" w:rsidRDefault="00CF0E2D" w:rsidP="00A60D4B">
            <w:pPr>
              <w:pStyle w:val="InitFigRBold"/>
            </w:pPr>
            <w:r w:rsidRPr="00FF4BFE">
              <w:t>2021-22</w:t>
            </w:r>
          </w:p>
          <w:p w14:paraId="4A13C3A4" w14:textId="77777777" w:rsidR="00CF0E2D" w:rsidRPr="00FF4BFE" w:rsidRDefault="00CF0E2D" w:rsidP="00A60D4B">
            <w:pPr>
              <w:pStyle w:val="InitFigRBold"/>
            </w:pPr>
            <w:r w:rsidRPr="00FF4BFE">
              <w:t>$’000</w:t>
            </w:r>
          </w:p>
        </w:tc>
        <w:tc>
          <w:tcPr>
            <w:tcW w:w="1041" w:type="dxa"/>
            <w:tcBorders>
              <w:top w:val="single" w:sz="4" w:space="0" w:color="auto"/>
              <w:bottom w:val="single" w:sz="4" w:space="0" w:color="auto"/>
            </w:tcBorders>
          </w:tcPr>
          <w:p w14:paraId="73454C0F" w14:textId="77777777" w:rsidR="00CF0E2D" w:rsidRPr="00FF4BFE" w:rsidRDefault="00CF0E2D" w:rsidP="00A60D4B">
            <w:pPr>
              <w:pStyle w:val="InitFigRBold"/>
            </w:pPr>
            <w:r w:rsidRPr="00FF4BFE">
              <w:t>2022-23</w:t>
            </w:r>
          </w:p>
          <w:p w14:paraId="4483C15A" w14:textId="77777777" w:rsidR="00CF0E2D" w:rsidRPr="00FF4BFE" w:rsidRDefault="00CF0E2D" w:rsidP="00A60D4B">
            <w:pPr>
              <w:pStyle w:val="InitFigRBold"/>
            </w:pPr>
            <w:r w:rsidRPr="00FF4BFE">
              <w:t>$’000</w:t>
            </w:r>
          </w:p>
        </w:tc>
        <w:tc>
          <w:tcPr>
            <w:tcW w:w="1029" w:type="dxa"/>
            <w:tcBorders>
              <w:top w:val="single" w:sz="4" w:space="0" w:color="auto"/>
              <w:bottom w:val="single" w:sz="4" w:space="0" w:color="auto"/>
            </w:tcBorders>
          </w:tcPr>
          <w:p w14:paraId="0D9D74BD" w14:textId="77777777" w:rsidR="00CF0E2D" w:rsidRPr="00FF4BFE" w:rsidRDefault="00CF0E2D" w:rsidP="00A60D4B">
            <w:pPr>
              <w:pStyle w:val="InitFigRBold"/>
            </w:pPr>
            <w:r w:rsidRPr="00FF4BFE">
              <w:t>2023-24</w:t>
            </w:r>
          </w:p>
          <w:p w14:paraId="6C941E5F" w14:textId="77777777" w:rsidR="00CF0E2D" w:rsidRPr="00FF4BFE" w:rsidRDefault="00CF0E2D" w:rsidP="00A60D4B">
            <w:pPr>
              <w:pStyle w:val="InitFigRBold"/>
            </w:pPr>
            <w:r w:rsidRPr="00FF4BFE">
              <w:t>$’000</w:t>
            </w:r>
          </w:p>
        </w:tc>
        <w:tc>
          <w:tcPr>
            <w:tcW w:w="1029" w:type="dxa"/>
            <w:tcBorders>
              <w:top w:val="single" w:sz="4" w:space="0" w:color="auto"/>
              <w:bottom w:val="single" w:sz="4" w:space="0" w:color="auto"/>
            </w:tcBorders>
          </w:tcPr>
          <w:p w14:paraId="095E06B2" w14:textId="77777777" w:rsidR="00CF0E2D" w:rsidRPr="00FF4BFE" w:rsidRDefault="00CF0E2D" w:rsidP="00A60D4B">
            <w:pPr>
              <w:pStyle w:val="InitFigRBold"/>
            </w:pPr>
            <w:r w:rsidRPr="00FF4BFE">
              <w:t>2024-25</w:t>
            </w:r>
          </w:p>
          <w:p w14:paraId="77338898" w14:textId="77777777" w:rsidR="00CF0E2D" w:rsidRPr="00FF4BFE" w:rsidRDefault="00CF0E2D" w:rsidP="00A60D4B">
            <w:pPr>
              <w:pStyle w:val="InitFigRBold"/>
            </w:pPr>
            <w:r w:rsidRPr="00FF4BFE">
              <w:t>$’000</w:t>
            </w:r>
          </w:p>
        </w:tc>
        <w:tc>
          <w:tcPr>
            <w:tcW w:w="1029" w:type="dxa"/>
            <w:tcBorders>
              <w:top w:val="single" w:sz="4" w:space="0" w:color="auto"/>
              <w:bottom w:val="single" w:sz="4" w:space="0" w:color="auto"/>
            </w:tcBorders>
          </w:tcPr>
          <w:p w14:paraId="0F0C1653" w14:textId="77777777" w:rsidR="00CF0E2D" w:rsidRPr="00FF4BFE" w:rsidRDefault="00CF0E2D" w:rsidP="00A60D4B">
            <w:pPr>
              <w:pStyle w:val="InitFigRBold"/>
            </w:pPr>
            <w:r w:rsidRPr="00DE7F02">
              <w:t>Total</w:t>
            </w:r>
          </w:p>
          <w:p w14:paraId="5DC11F3B" w14:textId="77777777" w:rsidR="00CF0E2D" w:rsidRPr="00FF4BFE" w:rsidRDefault="00CF0E2D" w:rsidP="00A60D4B">
            <w:pPr>
              <w:pStyle w:val="InitFigRBold"/>
            </w:pPr>
            <w:r w:rsidRPr="00DE7F02">
              <w:t>$’000</w:t>
            </w:r>
          </w:p>
        </w:tc>
      </w:tr>
      <w:tr w:rsidR="00CF0E2D" w:rsidRPr="00DE7F02" w14:paraId="7D3D0925" w14:textId="77777777" w:rsidTr="00A60D4B">
        <w:trPr>
          <w:cantSplit/>
          <w:jc w:val="center"/>
        </w:trPr>
        <w:tc>
          <w:tcPr>
            <w:tcW w:w="3746" w:type="dxa"/>
            <w:tcBorders>
              <w:top w:val="single" w:sz="4" w:space="0" w:color="auto"/>
              <w:bottom w:val="single" w:sz="4" w:space="0" w:color="auto"/>
            </w:tcBorders>
          </w:tcPr>
          <w:p w14:paraId="7B9D94C8" w14:textId="77777777" w:rsidR="00CF0E2D" w:rsidRPr="00DE7F02" w:rsidRDefault="00CF0E2D" w:rsidP="00A60D4B">
            <w:pPr>
              <w:pStyle w:val="InitTextL"/>
            </w:pPr>
            <w:r w:rsidRPr="00DE7F02">
              <w:t>Expenses</w:t>
            </w:r>
          </w:p>
        </w:tc>
        <w:tc>
          <w:tcPr>
            <w:tcW w:w="1179" w:type="dxa"/>
            <w:tcBorders>
              <w:top w:val="single" w:sz="4" w:space="0" w:color="auto"/>
              <w:bottom w:val="single" w:sz="4" w:space="0" w:color="auto"/>
            </w:tcBorders>
          </w:tcPr>
          <w:p w14:paraId="6761A541" w14:textId="77777777" w:rsidR="00CF0E2D" w:rsidRPr="00FF4BFE" w:rsidRDefault="00CF0E2D" w:rsidP="00A60D4B">
            <w:pPr>
              <w:pStyle w:val="InitFigR"/>
              <w:rPr>
                <w:szCs w:val="24"/>
              </w:rPr>
            </w:pPr>
            <w:r w:rsidRPr="00FF4BFE">
              <w:rPr>
                <w:szCs w:val="24"/>
              </w:rPr>
              <w:t>1,300</w:t>
            </w:r>
          </w:p>
        </w:tc>
        <w:tc>
          <w:tcPr>
            <w:tcW w:w="1041" w:type="dxa"/>
            <w:tcBorders>
              <w:top w:val="single" w:sz="4" w:space="0" w:color="auto"/>
              <w:bottom w:val="single" w:sz="4" w:space="0" w:color="auto"/>
            </w:tcBorders>
          </w:tcPr>
          <w:p w14:paraId="280D9E55" w14:textId="77777777" w:rsidR="00CF0E2D" w:rsidRPr="00FF4BFE" w:rsidRDefault="00CF0E2D" w:rsidP="00A60D4B">
            <w:pPr>
              <w:pStyle w:val="InitFigR"/>
              <w:rPr>
                <w:szCs w:val="24"/>
              </w:rPr>
            </w:pPr>
            <w:r w:rsidRPr="00FF4BFE">
              <w:rPr>
                <w:szCs w:val="24"/>
              </w:rPr>
              <w:t>0</w:t>
            </w:r>
          </w:p>
        </w:tc>
        <w:tc>
          <w:tcPr>
            <w:tcW w:w="1029" w:type="dxa"/>
            <w:tcBorders>
              <w:top w:val="single" w:sz="4" w:space="0" w:color="auto"/>
              <w:bottom w:val="single" w:sz="4" w:space="0" w:color="auto"/>
            </w:tcBorders>
          </w:tcPr>
          <w:p w14:paraId="2D7FF60D" w14:textId="77777777" w:rsidR="00CF0E2D" w:rsidRPr="00FF4BFE" w:rsidRDefault="00CF0E2D" w:rsidP="00A60D4B">
            <w:pPr>
              <w:pStyle w:val="InitFigR"/>
              <w:rPr>
                <w:szCs w:val="24"/>
              </w:rPr>
            </w:pPr>
            <w:r w:rsidRPr="00FF4BFE">
              <w:rPr>
                <w:szCs w:val="24"/>
              </w:rPr>
              <w:t>0</w:t>
            </w:r>
          </w:p>
        </w:tc>
        <w:tc>
          <w:tcPr>
            <w:tcW w:w="1029" w:type="dxa"/>
            <w:tcBorders>
              <w:top w:val="single" w:sz="4" w:space="0" w:color="auto"/>
              <w:bottom w:val="single" w:sz="4" w:space="0" w:color="auto"/>
            </w:tcBorders>
          </w:tcPr>
          <w:p w14:paraId="210F1C07" w14:textId="77777777" w:rsidR="00CF0E2D" w:rsidRPr="00FF4BFE" w:rsidRDefault="00CF0E2D" w:rsidP="00A60D4B">
            <w:pPr>
              <w:pStyle w:val="InitFigR"/>
              <w:rPr>
                <w:szCs w:val="24"/>
              </w:rPr>
            </w:pPr>
            <w:r w:rsidRPr="00FF4BFE">
              <w:rPr>
                <w:szCs w:val="24"/>
              </w:rPr>
              <w:t>0</w:t>
            </w:r>
          </w:p>
        </w:tc>
        <w:tc>
          <w:tcPr>
            <w:tcW w:w="1029" w:type="dxa"/>
            <w:tcBorders>
              <w:top w:val="single" w:sz="4" w:space="0" w:color="auto"/>
              <w:bottom w:val="single" w:sz="4" w:space="0" w:color="auto"/>
            </w:tcBorders>
          </w:tcPr>
          <w:p w14:paraId="5BB30112" w14:textId="77777777" w:rsidR="00CF0E2D" w:rsidRPr="00FF4BFE" w:rsidRDefault="00CF0E2D" w:rsidP="00A60D4B">
            <w:pPr>
              <w:pStyle w:val="InitFigR"/>
              <w:rPr>
                <w:b/>
                <w:szCs w:val="24"/>
              </w:rPr>
            </w:pPr>
            <w:r w:rsidRPr="00FF4BFE">
              <w:rPr>
                <w:b/>
                <w:szCs w:val="24"/>
              </w:rPr>
              <w:t>1,300</w:t>
            </w:r>
          </w:p>
        </w:tc>
      </w:tr>
    </w:tbl>
    <w:p w14:paraId="2994C914" w14:textId="77777777" w:rsidR="00CF0E2D" w:rsidRPr="007F6C16" w:rsidRDefault="00CF0E2D" w:rsidP="00A60D4B">
      <w:pPr>
        <w:pStyle w:val="Bbodytext"/>
        <w:rPr>
          <w:rFonts w:ascii="Calibri" w:eastAsia="Times New Roman" w:hAnsi="Calibri" w:cs="Times New Roman"/>
          <w:szCs w:val="20"/>
        </w:rPr>
      </w:pPr>
      <w:r w:rsidRPr="007F6C16">
        <w:t>The Government will support the continued operation of the Canberra Olympic Pool in 2021-22 while an assessment of the Pool’s patronage continues following the recent opening of the Stromlo Leisure</w:t>
      </w:r>
      <w:r w:rsidRPr="007F6C16">
        <w:rPr>
          <w:rFonts w:ascii="Calibri" w:eastAsia="Times New Roman" w:hAnsi="Calibri" w:cs="Times New Roman"/>
          <w:szCs w:val="20"/>
        </w:rPr>
        <w:t xml:space="preserve"> Centre and the new ANU </w:t>
      </w:r>
      <w:r>
        <w:rPr>
          <w:rFonts w:ascii="Calibri" w:eastAsia="Times New Roman" w:hAnsi="Calibri" w:cs="Times New Roman"/>
          <w:szCs w:val="20"/>
        </w:rPr>
        <w:t>aquatic</w:t>
      </w:r>
      <w:r w:rsidRPr="007F6C16">
        <w:rPr>
          <w:rFonts w:ascii="Calibri" w:eastAsia="Times New Roman" w:hAnsi="Calibri" w:cs="Times New Roman"/>
          <w:szCs w:val="20"/>
        </w:rPr>
        <w:t xml:space="preserve"> facility.  </w:t>
      </w:r>
    </w:p>
    <w:p w14:paraId="4BF2C8D3" w14:textId="77777777" w:rsidR="00CF0E2D" w:rsidRDefault="00CF0E2D" w:rsidP="00A60D4B">
      <w:pPr>
        <w:pStyle w:val="Bbodytext"/>
        <w:rPr>
          <w:rFonts w:ascii="Calibri" w:eastAsia="Times New Roman" w:hAnsi="Calibri" w:cs="Times New Roman"/>
          <w:szCs w:val="20"/>
        </w:rPr>
      </w:pPr>
      <w:r w:rsidRPr="007F6C16">
        <w:t>This initiative</w:t>
      </w:r>
      <w:r w:rsidRPr="007F6C16">
        <w:rPr>
          <w:rFonts w:ascii="Calibri" w:eastAsia="Times New Roman" w:hAnsi="Calibri" w:cs="Times New Roman"/>
          <w:szCs w:val="20"/>
        </w:rPr>
        <w:t xml:space="preserve"> contributes to the wellbeing domain of Social connection.  </w:t>
      </w:r>
    </w:p>
    <w:p w14:paraId="3C0F2836" w14:textId="77777777" w:rsidR="00CF0E2D" w:rsidRDefault="00CF0E2D" w:rsidP="00A60D4B">
      <w:pPr>
        <w:pStyle w:val="Bbodytext"/>
        <w:rPr>
          <w:rFonts w:ascii="Calibri" w:eastAsia="Times New Roman" w:hAnsi="Calibri" w:cs="Times New Roman"/>
          <w:szCs w:val="20"/>
        </w:rPr>
      </w:pPr>
    </w:p>
    <w:p w14:paraId="2C866620" w14:textId="77777777" w:rsidR="00CF0E2D" w:rsidRPr="00803515" w:rsidRDefault="00CF0E2D" w:rsidP="00A60D4B">
      <w:pPr>
        <w:pStyle w:val="Heading4"/>
      </w:pPr>
      <w:r w:rsidRPr="004360D8">
        <w:t>Coombs Commun</w:t>
      </w:r>
      <w:r w:rsidRPr="00803515">
        <w:t xml:space="preserve">ity Facility </w:t>
      </w:r>
      <w:r w:rsidRPr="00105486">
        <w:rPr>
          <w:b w:val="0"/>
          <w:noProof/>
          <w:color w:val="999789"/>
          <w:sz w:val="32"/>
          <w:szCs w:val="24"/>
        </w:rPr>
        <w:t xml:space="preserve"> </w:t>
      </w:r>
      <w:r>
        <w:rPr>
          <w:b w:val="0"/>
          <w:noProof/>
          <w:color w:val="999789"/>
          <w:sz w:val="32"/>
          <w:szCs w:val="24"/>
        </w:rPr>
        <w:drawing>
          <wp:anchor distT="0" distB="0" distL="114300" distR="114300" simplePos="0" relativeHeight="251728896" behindDoc="0" locked="1" layoutInCell="1" allowOverlap="1" wp14:anchorId="4DBAD1BF" wp14:editId="130D7C68">
            <wp:simplePos x="0" y="0"/>
            <wp:positionH relativeFrom="margin">
              <wp:align>right</wp:align>
            </wp:positionH>
            <wp:positionV relativeFrom="paragraph">
              <wp:posOffset>-142875</wp:posOffset>
            </wp:positionV>
            <wp:extent cx="1284605" cy="503555"/>
            <wp:effectExtent l="0" t="0" r="0" b="0"/>
            <wp:wrapSquare wrapText="bothSides"/>
            <wp:docPr id="248" name="Picture 248" descr="Icon representing the wellbeing domain of Social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con representing the wellbeing domain of Social connection"/>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28460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2ED6E50C" w14:textId="77777777" w:rsidTr="00A60D4B">
        <w:trPr>
          <w:cantSplit/>
          <w:jc w:val="center"/>
        </w:trPr>
        <w:tc>
          <w:tcPr>
            <w:tcW w:w="3652" w:type="dxa"/>
            <w:tcBorders>
              <w:top w:val="single" w:sz="4" w:space="0" w:color="auto"/>
              <w:bottom w:val="single" w:sz="4" w:space="0" w:color="auto"/>
            </w:tcBorders>
          </w:tcPr>
          <w:p w14:paraId="3B08B08B"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576992F2" w14:textId="77777777" w:rsidR="00CF0E2D" w:rsidRPr="00B841EE" w:rsidRDefault="00CF0E2D" w:rsidP="00A60D4B">
            <w:pPr>
              <w:pStyle w:val="InitFigR"/>
              <w:rPr>
                <w:b/>
                <w:bCs/>
              </w:rPr>
            </w:pPr>
            <w:r w:rsidRPr="00B841EE">
              <w:rPr>
                <w:b/>
                <w:bCs/>
              </w:rPr>
              <w:t>2021-22</w:t>
            </w:r>
          </w:p>
          <w:p w14:paraId="08372E93" w14:textId="77777777" w:rsidR="00CF0E2D" w:rsidRPr="00B841EE" w:rsidRDefault="00CF0E2D" w:rsidP="00A60D4B">
            <w:pPr>
              <w:pStyle w:val="InitFigR"/>
              <w:rPr>
                <w:b/>
                <w:bCs/>
              </w:rPr>
            </w:pPr>
            <w:r w:rsidRPr="00B841EE">
              <w:rPr>
                <w:b/>
                <w:bCs/>
              </w:rPr>
              <w:t>$’000</w:t>
            </w:r>
          </w:p>
        </w:tc>
        <w:tc>
          <w:tcPr>
            <w:tcW w:w="1041" w:type="dxa"/>
            <w:tcBorders>
              <w:top w:val="single" w:sz="4" w:space="0" w:color="auto"/>
              <w:bottom w:val="single" w:sz="4" w:space="0" w:color="auto"/>
            </w:tcBorders>
          </w:tcPr>
          <w:p w14:paraId="48027D04" w14:textId="77777777" w:rsidR="00CF0E2D" w:rsidRPr="00B841EE" w:rsidRDefault="00CF0E2D" w:rsidP="00A60D4B">
            <w:pPr>
              <w:pStyle w:val="InitFigR"/>
              <w:rPr>
                <w:b/>
                <w:bCs/>
              </w:rPr>
            </w:pPr>
            <w:r w:rsidRPr="00B841EE">
              <w:rPr>
                <w:b/>
                <w:bCs/>
              </w:rPr>
              <w:t>2022-23</w:t>
            </w:r>
          </w:p>
          <w:p w14:paraId="2282E476" w14:textId="77777777" w:rsidR="00CF0E2D" w:rsidRPr="00B841EE" w:rsidRDefault="00CF0E2D" w:rsidP="00A60D4B">
            <w:pPr>
              <w:pStyle w:val="InitFigR"/>
              <w:rPr>
                <w:b/>
                <w:bCs/>
              </w:rPr>
            </w:pPr>
            <w:r w:rsidRPr="00B841EE">
              <w:rPr>
                <w:b/>
                <w:bCs/>
              </w:rPr>
              <w:t>$’000</w:t>
            </w:r>
          </w:p>
        </w:tc>
        <w:tc>
          <w:tcPr>
            <w:tcW w:w="1029" w:type="dxa"/>
            <w:tcBorders>
              <w:top w:val="single" w:sz="4" w:space="0" w:color="auto"/>
              <w:bottom w:val="single" w:sz="4" w:space="0" w:color="auto"/>
            </w:tcBorders>
          </w:tcPr>
          <w:p w14:paraId="12834CD3" w14:textId="77777777" w:rsidR="00CF0E2D" w:rsidRPr="00B841EE" w:rsidRDefault="00CF0E2D" w:rsidP="00A60D4B">
            <w:pPr>
              <w:pStyle w:val="InitFigR"/>
              <w:rPr>
                <w:b/>
                <w:bCs/>
              </w:rPr>
            </w:pPr>
            <w:r w:rsidRPr="00B841EE">
              <w:rPr>
                <w:b/>
                <w:bCs/>
              </w:rPr>
              <w:t>2023-24</w:t>
            </w:r>
          </w:p>
          <w:p w14:paraId="5226F8D8" w14:textId="77777777" w:rsidR="00CF0E2D" w:rsidRPr="00B841EE" w:rsidRDefault="00CF0E2D" w:rsidP="00A60D4B">
            <w:pPr>
              <w:pStyle w:val="InitFigR"/>
              <w:rPr>
                <w:b/>
                <w:bCs/>
              </w:rPr>
            </w:pPr>
            <w:r w:rsidRPr="00B841EE">
              <w:rPr>
                <w:b/>
                <w:bCs/>
              </w:rPr>
              <w:t>$’000</w:t>
            </w:r>
          </w:p>
        </w:tc>
        <w:tc>
          <w:tcPr>
            <w:tcW w:w="1029" w:type="dxa"/>
            <w:tcBorders>
              <w:top w:val="single" w:sz="4" w:space="0" w:color="auto"/>
              <w:bottom w:val="single" w:sz="4" w:space="0" w:color="auto"/>
            </w:tcBorders>
          </w:tcPr>
          <w:p w14:paraId="3C25472B" w14:textId="77777777" w:rsidR="00CF0E2D" w:rsidRPr="00B841EE" w:rsidRDefault="00CF0E2D" w:rsidP="00A60D4B">
            <w:pPr>
              <w:pStyle w:val="InitFigR"/>
              <w:rPr>
                <w:b/>
                <w:bCs/>
              </w:rPr>
            </w:pPr>
            <w:r w:rsidRPr="00B841EE">
              <w:rPr>
                <w:b/>
                <w:bCs/>
              </w:rPr>
              <w:t>2024-25</w:t>
            </w:r>
          </w:p>
          <w:p w14:paraId="7D280825" w14:textId="77777777" w:rsidR="00CF0E2D" w:rsidRPr="00B841EE" w:rsidRDefault="00CF0E2D" w:rsidP="00A60D4B">
            <w:pPr>
              <w:pStyle w:val="InitFigR"/>
              <w:rPr>
                <w:b/>
                <w:bCs/>
              </w:rPr>
            </w:pPr>
            <w:r w:rsidRPr="00B841EE">
              <w:rPr>
                <w:b/>
                <w:bCs/>
              </w:rPr>
              <w:t>$’000</w:t>
            </w:r>
          </w:p>
        </w:tc>
        <w:tc>
          <w:tcPr>
            <w:tcW w:w="1029" w:type="dxa"/>
            <w:tcBorders>
              <w:top w:val="single" w:sz="4" w:space="0" w:color="auto"/>
              <w:bottom w:val="single" w:sz="4" w:space="0" w:color="auto"/>
            </w:tcBorders>
          </w:tcPr>
          <w:p w14:paraId="03CD773F" w14:textId="77777777" w:rsidR="00CF0E2D" w:rsidRPr="004E341E" w:rsidRDefault="00CF0E2D" w:rsidP="00A60D4B">
            <w:pPr>
              <w:pStyle w:val="InitFigRBold"/>
            </w:pPr>
            <w:r w:rsidRPr="004E341E">
              <w:t>Total</w:t>
            </w:r>
          </w:p>
          <w:p w14:paraId="7C644C7A" w14:textId="77777777" w:rsidR="00CF0E2D" w:rsidRPr="004E341E" w:rsidRDefault="00CF0E2D" w:rsidP="00A60D4B">
            <w:pPr>
              <w:pStyle w:val="InitFigBR"/>
            </w:pPr>
            <w:r w:rsidRPr="004E341E">
              <w:t>$’000</w:t>
            </w:r>
          </w:p>
        </w:tc>
      </w:tr>
      <w:tr w:rsidR="00CF0E2D" w:rsidRPr="00750793" w14:paraId="3EB0611D" w14:textId="77777777" w:rsidTr="00A60D4B">
        <w:trPr>
          <w:cantSplit/>
          <w:jc w:val="center"/>
        </w:trPr>
        <w:tc>
          <w:tcPr>
            <w:tcW w:w="3652" w:type="dxa"/>
            <w:tcBorders>
              <w:top w:val="single" w:sz="4" w:space="0" w:color="auto"/>
              <w:bottom w:val="single" w:sz="4" w:space="0" w:color="auto"/>
            </w:tcBorders>
          </w:tcPr>
          <w:p w14:paraId="051DD99A" w14:textId="77777777" w:rsidR="00CF0E2D" w:rsidRPr="002221D2" w:rsidRDefault="00CF0E2D" w:rsidP="00A60D4B">
            <w:pPr>
              <w:pStyle w:val="InitTextL"/>
              <w:ind w:left="321" w:hanging="321"/>
            </w:pPr>
            <w:r w:rsidRPr="002221D2">
              <w:t>Capital</w:t>
            </w:r>
          </w:p>
        </w:tc>
        <w:tc>
          <w:tcPr>
            <w:tcW w:w="1179" w:type="dxa"/>
            <w:tcBorders>
              <w:top w:val="single" w:sz="4" w:space="0" w:color="auto"/>
              <w:bottom w:val="single" w:sz="4" w:space="0" w:color="auto"/>
            </w:tcBorders>
          </w:tcPr>
          <w:p w14:paraId="65318D0F" w14:textId="77777777" w:rsidR="00CF0E2D" w:rsidRDefault="00CF0E2D" w:rsidP="00A60D4B">
            <w:pPr>
              <w:pStyle w:val="InitFigR"/>
            </w:pPr>
            <w:r>
              <w:t>100</w:t>
            </w:r>
          </w:p>
        </w:tc>
        <w:tc>
          <w:tcPr>
            <w:tcW w:w="1041" w:type="dxa"/>
            <w:tcBorders>
              <w:top w:val="single" w:sz="4" w:space="0" w:color="auto"/>
              <w:bottom w:val="single" w:sz="4" w:space="0" w:color="auto"/>
            </w:tcBorders>
          </w:tcPr>
          <w:p w14:paraId="38FD676B" w14:textId="77777777" w:rsidR="00CF0E2D" w:rsidRDefault="00CF0E2D" w:rsidP="00A60D4B">
            <w:pPr>
              <w:pStyle w:val="InitFigR"/>
            </w:pPr>
            <w:r>
              <w:t>0</w:t>
            </w:r>
          </w:p>
        </w:tc>
        <w:tc>
          <w:tcPr>
            <w:tcW w:w="1029" w:type="dxa"/>
            <w:tcBorders>
              <w:top w:val="single" w:sz="4" w:space="0" w:color="auto"/>
              <w:bottom w:val="single" w:sz="4" w:space="0" w:color="auto"/>
            </w:tcBorders>
          </w:tcPr>
          <w:p w14:paraId="6C754E15" w14:textId="77777777" w:rsidR="00CF0E2D" w:rsidRDefault="00CF0E2D" w:rsidP="00A60D4B">
            <w:pPr>
              <w:pStyle w:val="InitFigR"/>
            </w:pPr>
            <w:r>
              <w:t>0</w:t>
            </w:r>
          </w:p>
        </w:tc>
        <w:tc>
          <w:tcPr>
            <w:tcW w:w="1029" w:type="dxa"/>
            <w:tcBorders>
              <w:top w:val="single" w:sz="4" w:space="0" w:color="auto"/>
              <w:bottom w:val="single" w:sz="4" w:space="0" w:color="auto"/>
            </w:tcBorders>
          </w:tcPr>
          <w:p w14:paraId="6B417024" w14:textId="77777777" w:rsidR="00CF0E2D" w:rsidRDefault="00CF0E2D" w:rsidP="00A60D4B">
            <w:pPr>
              <w:pStyle w:val="InitFigR"/>
            </w:pPr>
            <w:r>
              <w:t>0</w:t>
            </w:r>
          </w:p>
        </w:tc>
        <w:tc>
          <w:tcPr>
            <w:tcW w:w="1029" w:type="dxa"/>
            <w:tcBorders>
              <w:top w:val="single" w:sz="4" w:space="0" w:color="auto"/>
              <w:bottom w:val="single" w:sz="4" w:space="0" w:color="auto"/>
            </w:tcBorders>
          </w:tcPr>
          <w:p w14:paraId="4878004D" w14:textId="77777777" w:rsidR="00CF0E2D" w:rsidRPr="002221D2" w:rsidRDefault="00CF0E2D" w:rsidP="00A60D4B">
            <w:pPr>
              <w:pStyle w:val="InitFigRBold"/>
              <w:rPr>
                <w:bCs/>
              </w:rPr>
            </w:pPr>
            <w:r w:rsidRPr="002221D2">
              <w:rPr>
                <w:bCs/>
              </w:rPr>
              <w:t>100</w:t>
            </w:r>
          </w:p>
        </w:tc>
      </w:tr>
      <w:tr w:rsidR="00CF0E2D" w:rsidRPr="00750793" w14:paraId="0547A622" w14:textId="77777777" w:rsidTr="00A60D4B">
        <w:trPr>
          <w:cantSplit/>
          <w:jc w:val="center"/>
        </w:trPr>
        <w:tc>
          <w:tcPr>
            <w:tcW w:w="3652" w:type="dxa"/>
            <w:tcBorders>
              <w:top w:val="single" w:sz="4" w:space="0" w:color="auto"/>
            </w:tcBorders>
          </w:tcPr>
          <w:p w14:paraId="0F8A78E5" w14:textId="77777777" w:rsidR="00CF0E2D" w:rsidRPr="00D13A71" w:rsidRDefault="00CF0E2D" w:rsidP="00A60D4B">
            <w:pPr>
              <w:pStyle w:val="InitTextL"/>
              <w:ind w:left="321" w:hanging="321"/>
              <w:rPr>
                <w:b/>
                <w:bCs/>
              </w:rPr>
            </w:pPr>
            <w:r>
              <w:t>Depreciation</w:t>
            </w:r>
          </w:p>
        </w:tc>
        <w:tc>
          <w:tcPr>
            <w:tcW w:w="1179" w:type="dxa"/>
            <w:tcBorders>
              <w:top w:val="single" w:sz="4" w:space="0" w:color="auto"/>
            </w:tcBorders>
          </w:tcPr>
          <w:p w14:paraId="4E4C971F" w14:textId="77777777" w:rsidR="00CF0E2D" w:rsidRDefault="00CF0E2D" w:rsidP="00A60D4B">
            <w:pPr>
              <w:pStyle w:val="InitFigR"/>
            </w:pPr>
            <w:r>
              <w:t>0</w:t>
            </w:r>
          </w:p>
        </w:tc>
        <w:tc>
          <w:tcPr>
            <w:tcW w:w="1041" w:type="dxa"/>
            <w:tcBorders>
              <w:top w:val="single" w:sz="4" w:space="0" w:color="auto"/>
            </w:tcBorders>
          </w:tcPr>
          <w:p w14:paraId="6B4E675C" w14:textId="77777777" w:rsidR="00CF0E2D" w:rsidRDefault="00CF0E2D" w:rsidP="00A60D4B">
            <w:pPr>
              <w:pStyle w:val="InitFigR"/>
            </w:pPr>
            <w:r>
              <w:t>20</w:t>
            </w:r>
          </w:p>
        </w:tc>
        <w:tc>
          <w:tcPr>
            <w:tcW w:w="1029" w:type="dxa"/>
            <w:tcBorders>
              <w:top w:val="single" w:sz="4" w:space="0" w:color="auto"/>
            </w:tcBorders>
          </w:tcPr>
          <w:p w14:paraId="39E0323A" w14:textId="77777777" w:rsidR="00CF0E2D" w:rsidRDefault="00CF0E2D" w:rsidP="00A60D4B">
            <w:pPr>
              <w:pStyle w:val="InitFigR"/>
            </w:pPr>
            <w:r>
              <w:t>20</w:t>
            </w:r>
          </w:p>
        </w:tc>
        <w:tc>
          <w:tcPr>
            <w:tcW w:w="1029" w:type="dxa"/>
            <w:tcBorders>
              <w:top w:val="single" w:sz="4" w:space="0" w:color="auto"/>
            </w:tcBorders>
          </w:tcPr>
          <w:p w14:paraId="68F3B402" w14:textId="77777777" w:rsidR="00CF0E2D" w:rsidRDefault="00CF0E2D" w:rsidP="00A60D4B">
            <w:pPr>
              <w:pStyle w:val="InitFigR"/>
            </w:pPr>
            <w:r>
              <w:t>20</w:t>
            </w:r>
          </w:p>
        </w:tc>
        <w:tc>
          <w:tcPr>
            <w:tcW w:w="1029" w:type="dxa"/>
            <w:tcBorders>
              <w:top w:val="single" w:sz="4" w:space="0" w:color="auto"/>
            </w:tcBorders>
          </w:tcPr>
          <w:p w14:paraId="684DA1DE" w14:textId="77777777" w:rsidR="00CF0E2D" w:rsidRPr="002221D2" w:rsidRDefault="00CF0E2D" w:rsidP="00A60D4B">
            <w:pPr>
              <w:pStyle w:val="InitFigRBold"/>
              <w:rPr>
                <w:bCs/>
              </w:rPr>
            </w:pPr>
            <w:r w:rsidRPr="002221D2">
              <w:rPr>
                <w:bCs/>
              </w:rPr>
              <w:t>60</w:t>
            </w:r>
          </w:p>
        </w:tc>
      </w:tr>
      <w:tr w:rsidR="00CF0E2D" w:rsidRPr="00750793" w14:paraId="4E960D38" w14:textId="77777777" w:rsidTr="00A60D4B">
        <w:trPr>
          <w:cantSplit/>
          <w:jc w:val="center"/>
        </w:trPr>
        <w:tc>
          <w:tcPr>
            <w:tcW w:w="3652" w:type="dxa"/>
          </w:tcPr>
          <w:p w14:paraId="28BD09B8" w14:textId="77777777" w:rsidR="00CF0E2D" w:rsidRPr="00F13FAB" w:rsidRDefault="00CF0E2D" w:rsidP="00A60D4B">
            <w:pPr>
              <w:pStyle w:val="InitTextL"/>
              <w:ind w:left="321" w:hanging="321"/>
            </w:pPr>
            <w:r w:rsidRPr="00882BE2">
              <w:t>Expenses</w:t>
            </w:r>
          </w:p>
        </w:tc>
        <w:tc>
          <w:tcPr>
            <w:tcW w:w="1179" w:type="dxa"/>
          </w:tcPr>
          <w:p w14:paraId="772AA77D" w14:textId="77777777" w:rsidR="00CF0E2D" w:rsidRPr="00424DA4" w:rsidRDefault="00CF0E2D" w:rsidP="00A60D4B">
            <w:pPr>
              <w:pStyle w:val="InitFigR"/>
            </w:pPr>
            <w:r>
              <w:t>67</w:t>
            </w:r>
          </w:p>
        </w:tc>
        <w:tc>
          <w:tcPr>
            <w:tcW w:w="1041" w:type="dxa"/>
          </w:tcPr>
          <w:p w14:paraId="3A6869D6" w14:textId="77777777" w:rsidR="00CF0E2D" w:rsidRPr="00424DA4" w:rsidRDefault="00CF0E2D" w:rsidP="00A60D4B">
            <w:pPr>
              <w:pStyle w:val="InitFigR"/>
            </w:pPr>
            <w:r>
              <w:t>69</w:t>
            </w:r>
          </w:p>
        </w:tc>
        <w:tc>
          <w:tcPr>
            <w:tcW w:w="1029" w:type="dxa"/>
          </w:tcPr>
          <w:p w14:paraId="52B1014C" w14:textId="77777777" w:rsidR="00CF0E2D" w:rsidRPr="00424DA4" w:rsidRDefault="00CF0E2D" w:rsidP="00A60D4B">
            <w:pPr>
              <w:pStyle w:val="InitFigR"/>
            </w:pPr>
            <w:r>
              <w:t>71</w:t>
            </w:r>
          </w:p>
        </w:tc>
        <w:tc>
          <w:tcPr>
            <w:tcW w:w="1029" w:type="dxa"/>
          </w:tcPr>
          <w:p w14:paraId="6B8B902E" w14:textId="77777777" w:rsidR="00CF0E2D" w:rsidRPr="00424DA4" w:rsidRDefault="00CF0E2D" w:rsidP="00A60D4B">
            <w:pPr>
              <w:pStyle w:val="InitFigR"/>
            </w:pPr>
            <w:r>
              <w:t>73</w:t>
            </w:r>
          </w:p>
        </w:tc>
        <w:tc>
          <w:tcPr>
            <w:tcW w:w="1029" w:type="dxa"/>
          </w:tcPr>
          <w:p w14:paraId="6427312A" w14:textId="77777777" w:rsidR="00CF0E2D" w:rsidRPr="00424DA4" w:rsidRDefault="00CF0E2D" w:rsidP="00A60D4B">
            <w:pPr>
              <w:pStyle w:val="InitFigBR"/>
            </w:pPr>
            <w:r>
              <w:t>280</w:t>
            </w:r>
          </w:p>
        </w:tc>
      </w:tr>
      <w:tr w:rsidR="00CF0E2D" w:rsidRPr="00750793" w14:paraId="4A3E1DFD" w14:textId="77777777" w:rsidTr="00A60D4B">
        <w:trPr>
          <w:cantSplit/>
          <w:trHeight w:val="107"/>
          <w:jc w:val="center"/>
        </w:trPr>
        <w:tc>
          <w:tcPr>
            <w:tcW w:w="3652" w:type="dxa"/>
            <w:tcBorders>
              <w:top w:val="single" w:sz="4" w:space="0" w:color="auto"/>
              <w:bottom w:val="single" w:sz="4" w:space="0" w:color="auto"/>
            </w:tcBorders>
          </w:tcPr>
          <w:p w14:paraId="6D860BEF"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4A84D3EC" w14:textId="77777777" w:rsidR="00CF0E2D" w:rsidRPr="00424DA4" w:rsidRDefault="00CF0E2D" w:rsidP="00A60D4B">
            <w:pPr>
              <w:pStyle w:val="InitFigRBold"/>
            </w:pPr>
            <w:r>
              <w:t>67</w:t>
            </w:r>
          </w:p>
        </w:tc>
        <w:tc>
          <w:tcPr>
            <w:tcW w:w="1041" w:type="dxa"/>
            <w:tcBorders>
              <w:top w:val="single" w:sz="4" w:space="0" w:color="auto"/>
              <w:bottom w:val="single" w:sz="4" w:space="0" w:color="auto"/>
            </w:tcBorders>
          </w:tcPr>
          <w:p w14:paraId="64C2E790" w14:textId="77777777" w:rsidR="00CF0E2D" w:rsidRPr="00424DA4" w:rsidRDefault="00CF0E2D" w:rsidP="00A60D4B">
            <w:pPr>
              <w:pStyle w:val="InitFigRBold"/>
            </w:pPr>
            <w:r>
              <w:t>89</w:t>
            </w:r>
          </w:p>
        </w:tc>
        <w:tc>
          <w:tcPr>
            <w:tcW w:w="1029" w:type="dxa"/>
            <w:tcBorders>
              <w:top w:val="single" w:sz="4" w:space="0" w:color="auto"/>
              <w:bottom w:val="single" w:sz="4" w:space="0" w:color="auto"/>
            </w:tcBorders>
          </w:tcPr>
          <w:p w14:paraId="243A6F8F" w14:textId="77777777" w:rsidR="00CF0E2D" w:rsidRPr="00424DA4" w:rsidRDefault="00CF0E2D" w:rsidP="00A60D4B">
            <w:pPr>
              <w:pStyle w:val="InitFigRBold"/>
            </w:pPr>
            <w:r>
              <w:t>91</w:t>
            </w:r>
          </w:p>
        </w:tc>
        <w:tc>
          <w:tcPr>
            <w:tcW w:w="1029" w:type="dxa"/>
            <w:tcBorders>
              <w:top w:val="single" w:sz="4" w:space="0" w:color="auto"/>
              <w:bottom w:val="single" w:sz="4" w:space="0" w:color="auto"/>
            </w:tcBorders>
          </w:tcPr>
          <w:p w14:paraId="70D6782B" w14:textId="77777777" w:rsidR="00CF0E2D" w:rsidRPr="00424DA4" w:rsidRDefault="00CF0E2D" w:rsidP="00A60D4B">
            <w:pPr>
              <w:pStyle w:val="InitFigRBold"/>
            </w:pPr>
            <w:r>
              <w:t>93</w:t>
            </w:r>
          </w:p>
        </w:tc>
        <w:tc>
          <w:tcPr>
            <w:tcW w:w="1029" w:type="dxa"/>
            <w:tcBorders>
              <w:top w:val="single" w:sz="4" w:space="0" w:color="auto"/>
              <w:bottom w:val="single" w:sz="4" w:space="0" w:color="auto"/>
            </w:tcBorders>
          </w:tcPr>
          <w:p w14:paraId="6ECD04CD" w14:textId="77777777" w:rsidR="00CF0E2D" w:rsidRPr="00424DA4" w:rsidRDefault="00CF0E2D" w:rsidP="00A60D4B">
            <w:pPr>
              <w:pStyle w:val="InitFigRBold"/>
            </w:pPr>
            <w:r>
              <w:t>340</w:t>
            </w:r>
          </w:p>
        </w:tc>
      </w:tr>
    </w:tbl>
    <w:p w14:paraId="4C1153F1" w14:textId="77777777" w:rsidR="00CF0E2D" w:rsidRDefault="00CF0E2D" w:rsidP="00A60D4B">
      <w:pPr>
        <w:pStyle w:val="Bbodytext"/>
      </w:pPr>
      <w:r w:rsidRPr="004C581D">
        <w:t>The Government wi</w:t>
      </w:r>
      <w:r>
        <w:t xml:space="preserve">ll establish a new community facility in Coombs at the site of the Coombs Community Precinct to support community groups and provide access to a multipurpose facility in the Molonglo region as the community grows. The Community Activity Centre will accommodate up to 100 people. </w:t>
      </w:r>
    </w:p>
    <w:p w14:paraId="4FCE2702" w14:textId="77777777" w:rsidR="00CF0E2D" w:rsidRDefault="00CF0E2D" w:rsidP="00A60D4B">
      <w:pPr>
        <w:pStyle w:val="Bbodytext"/>
      </w:pPr>
      <w:r>
        <w:lastRenderedPageBreak/>
        <w:t>This initiative contributes to the wellbeing domains of Social connection, Identity and belonging, and Living standards.</w:t>
      </w:r>
    </w:p>
    <w:p w14:paraId="32BB4521" w14:textId="77777777" w:rsidR="00CF0E2D" w:rsidRDefault="00CF0E2D" w:rsidP="00A60D4B">
      <w:pPr>
        <w:pStyle w:val="Bbodytext"/>
        <w:rPr>
          <w:rFonts w:ascii="Calibri" w:eastAsia="Times New Roman" w:hAnsi="Calibri" w:cs="Times New Roman"/>
          <w:szCs w:val="20"/>
        </w:rPr>
      </w:pPr>
    </w:p>
    <w:p w14:paraId="5557CED1" w14:textId="77777777" w:rsidR="00CF0E2D" w:rsidRPr="006D013D" w:rsidRDefault="00CF0E2D" w:rsidP="00A60D4B">
      <w:pPr>
        <w:pStyle w:val="Heading4"/>
      </w:pPr>
      <w:r>
        <w:rPr>
          <w:b w:val="0"/>
          <w:noProof/>
          <w:color w:val="999789"/>
          <w:sz w:val="32"/>
          <w:szCs w:val="24"/>
        </w:rPr>
        <w:drawing>
          <wp:anchor distT="0" distB="0" distL="114300" distR="114300" simplePos="0" relativeHeight="251715584" behindDoc="0" locked="1" layoutInCell="1" allowOverlap="1" wp14:anchorId="076A6A77" wp14:editId="1883120D">
            <wp:simplePos x="0" y="0"/>
            <wp:positionH relativeFrom="margin">
              <wp:align>right</wp:align>
            </wp:positionH>
            <wp:positionV relativeFrom="paragraph">
              <wp:posOffset>107950</wp:posOffset>
            </wp:positionV>
            <wp:extent cx="1148400" cy="504000"/>
            <wp:effectExtent l="0" t="0" r="0" b="0"/>
            <wp:wrapSquare wrapText="bothSides"/>
            <wp:docPr id="249" name="Picture 249"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400" cy="504000"/>
                    </a:xfrm>
                    <a:prstGeom prst="rect">
                      <a:avLst/>
                    </a:prstGeom>
                  </pic:spPr>
                </pic:pic>
              </a:graphicData>
            </a:graphic>
            <wp14:sizeRelH relativeFrom="margin">
              <wp14:pctWidth>0</wp14:pctWidth>
            </wp14:sizeRelH>
            <wp14:sizeRelV relativeFrom="margin">
              <wp14:pctHeight>0</wp14:pctHeight>
            </wp14:sizeRelV>
          </wp:anchor>
        </w:drawing>
      </w:r>
      <w:r w:rsidRPr="006D013D">
        <w:t>COVID-19 Business Support – Business Support Grants and Extension Payments</w:t>
      </w:r>
    </w:p>
    <w:tbl>
      <w:tblPr>
        <w:tblW w:w="9072" w:type="dxa"/>
        <w:jc w:val="center"/>
        <w:tblLayout w:type="fixed"/>
        <w:tblLook w:val="0000" w:firstRow="0" w:lastRow="0" w:firstColumn="0" w:lastColumn="0" w:noHBand="0" w:noVBand="0"/>
      </w:tblPr>
      <w:tblGrid>
        <w:gridCol w:w="3652"/>
        <w:gridCol w:w="1179"/>
        <w:gridCol w:w="1041"/>
        <w:gridCol w:w="1029"/>
        <w:gridCol w:w="1029"/>
        <w:gridCol w:w="1142"/>
      </w:tblGrid>
      <w:tr w:rsidR="00CF0E2D" w:rsidRPr="00750793" w14:paraId="290804F6" w14:textId="77777777" w:rsidTr="00A60D4B">
        <w:trPr>
          <w:cantSplit/>
          <w:jc w:val="center"/>
        </w:trPr>
        <w:tc>
          <w:tcPr>
            <w:tcW w:w="3652" w:type="dxa"/>
            <w:tcBorders>
              <w:top w:val="single" w:sz="4" w:space="0" w:color="auto"/>
              <w:bottom w:val="single" w:sz="4" w:space="0" w:color="auto"/>
            </w:tcBorders>
          </w:tcPr>
          <w:p w14:paraId="24A5FAE0"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0E9619C7" w14:textId="77777777" w:rsidR="00CF0E2D" w:rsidRPr="008A0855" w:rsidRDefault="00CF0E2D" w:rsidP="00A60D4B">
            <w:pPr>
              <w:pStyle w:val="InitFigR"/>
              <w:rPr>
                <w:b/>
                <w:bCs/>
              </w:rPr>
            </w:pPr>
            <w:r w:rsidRPr="008A0855">
              <w:rPr>
                <w:b/>
                <w:bCs/>
              </w:rPr>
              <w:t>2021-22</w:t>
            </w:r>
          </w:p>
          <w:p w14:paraId="2F6795D3" w14:textId="77777777" w:rsidR="00CF0E2D" w:rsidRPr="008A0855" w:rsidRDefault="00CF0E2D" w:rsidP="00A60D4B">
            <w:pPr>
              <w:pStyle w:val="InitFigR"/>
              <w:rPr>
                <w:b/>
                <w:bCs/>
              </w:rPr>
            </w:pPr>
            <w:r w:rsidRPr="008A0855">
              <w:rPr>
                <w:b/>
                <w:bCs/>
              </w:rPr>
              <w:t>$’000</w:t>
            </w:r>
          </w:p>
        </w:tc>
        <w:tc>
          <w:tcPr>
            <w:tcW w:w="1041" w:type="dxa"/>
            <w:tcBorders>
              <w:top w:val="single" w:sz="4" w:space="0" w:color="auto"/>
              <w:bottom w:val="single" w:sz="4" w:space="0" w:color="auto"/>
            </w:tcBorders>
          </w:tcPr>
          <w:p w14:paraId="33EB91C6" w14:textId="77777777" w:rsidR="00CF0E2D" w:rsidRPr="008A0855" w:rsidRDefault="00CF0E2D" w:rsidP="00A60D4B">
            <w:pPr>
              <w:pStyle w:val="InitFigR"/>
              <w:rPr>
                <w:b/>
                <w:bCs/>
              </w:rPr>
            </w:pPr>
            <w:r w:rsidRPr="008A0855">
              <w:rPr>
                <w:b/>
                <w:bCs/>
              </w:rPr>
              <w:t>2022-23</w:t>
            </w:r>
          </w:p>
          <w:p w14:paraId="6F4435C3" w14:textId="77777777" w:rsidR="00CF0E2D" w:rsidRPr="008A0855" w:rsidRDefault="00CF0E2D" w:rsidP="00A60D4B">
            <w:pPr>
              <w:pStyle w:val="InitFigR"/>
              <w:rPr>
                <w:b/>
                <w:bCs/>
              </w:rPr>
            </w:pPr>
            <w:r w:rsidRPr="008A0855">
              <w:rPr>
                <w:b/>
                <w:bCs/>
              </w:rPr>
              <w:t>$’000</w:t>
            </w:r>
          </w:p>
        </w:tc>
        <w:tc>
          <w:tcPr>
            <w:tcW w:w="1029" w:type="dxa"/>
            <w:tcBorders>
              <w:top w:val="single" w:sz="4" w:space="0" w:color="auto"/>
              <w:bottom w:val="single" w:sz="4" w:space="0" w:color="auto"/>
            </w:tcBorders>
          </w:tcPr>
          <w:p w14:paraId="26CF7C11" w14:textId="77777777" w:rsidR="00CF0E2D" w:rsidRPr="008A0855" w:rsidRDefault="00CF0E2D" w:rsidP="00A60D4B">
            <w:pPr>
              <w:pStyle w:val="InitFigR"/>
              <w:rPr>
                <w:b/>
                <w:bCs/>
              </w:rPr>
            </w:pPr>
            <w:r w:rsidRPr="008A0855">
              <w:rPr>
                <w:b/>
                <w:bCs/>
              </w:rPr>
              <w:t>2023-24</w:t>
            </w:r>
          </w:p>
          <w:p w14:paraId="00D76655" w14:textId="77777777" w:rsidR="00CF0E2D" w:rsidRPr="008A0855" w:rsidRDefault="00CF0E2D" w:rsidP="00A60D4B">
            <w:pPr>
              <w:pStyle w:val="InitFigR"/>
              <w:rPr>
                <w:b/>
                <w:bCs/>
              </w:rPr>
            </w:pPr>
            <w:r w:rsidRPr="008A0855">
              <w:rPr>
                <w:b/>
                <w:bCs/>
              </w:rPr>
              <w:t>$’000</w:t>
            </w:r>
          </w:p>
        </w:tc>
        <w:tc>
          <w:tcPr>
            <w:tcW w:w="1029" w:type="dxa"/>
            <w:tcBorders>
              <w:top w:val="single" w:sz="4" w:space="0" w:color="auto"/>
              <w:bottom w:val="single" w:sz="4" w:space="0" w:color="auto"/>
            </w:tcBorders>
          </w:tcPr>
          <w:p w14:paraId="627D694C" w14:textId="77777777" w:rsidR="00CF0E2D" w:rsidRPr="008A0855" w:rsidRDefault="00CF0E2D" w:rsidP="00A60D4B">
            <w:pPr>
              <w:pStyle w:val="InitFigR"/>
              <w:rPr>
                <w:b/>
                <w:bCs/>
              </w:rPr>
            </w:pPr>
            <w:r w:rsidRPr="008A0855">
              <w:rPr>
                <w:b/>
                <w:bCs/>
              </w:rPr>
              <w:t>2024-25</w:t>
            </w:r>
          </w:p>
          <w:p w14:paraId="003D7F14" w14:textId="77777777" w:rsidR="00CF0E2D" w:rsidRPr="008A0855" w:rsidRDefault="00CF0E2D" w:rsidP="00A60D4B">
            <w:pPr>
              <w:pStyle w:val="InitFigR"/>
              <w:rPr>
                <w:b/>
                <w:bCs/>
              </w:rPr>
            </w:pPr>
            <w:r w:rsidRPr="008A0855">
              <w:rPr>
                <w:b/>
                <w:bCs/>
              </w:rPr>
              <w:t>$’000</w:t>
            </w:r>
          </w:p>
        </w:tc>
        <w:tc>
          <w:tcPr>
            <w:tcW w:w="1142" w:type="dxa"/>
            <w:tcBorders>
              <w:top w:val="single" w:sz="4" w:space="0" w:color="auto"/>
              <w:bottom w:val="single" w:sz="4" w:space="0" w:color="auto"/>
            </w:tcBorders>
          </w:tcPr>
          <w:p w14:paraId="5240C183" w14:textId="77777777" w:rsidR="00CF0E2D" w:rsidRPr="004E341E" w:rsidRDefault="00CF0E2D" w:rsidP="00A60D4B">
            <w:pPr>
              <w:pStyle w:val="InitFigRBold"/>
            </w:pPr>
            <w:r w:rsidRPr="004E341E">
              <w:t>Total</w:t>
            </w:r>
          </w:p>
          <w:p w14:paraId="194C8E9E" w14:textId="77777777" w:rsidR="00CF0E2D" w:rsidRPr="004E341E" w:rsidRDefault="00CF0E2D" w:rsidP="00A60D4B">
            <w:pPr>
              <w:pStyle w:val="InitFigBR"/>
            </w:pPr>
            <w:r w:rsidRPr="004E341E">
              <w:t>$’000</w:t>
            </w:r>
          </w:p>
        </w:tc>
      </w:tr>
      <w:tr w:rsidR="00CF0E2D" w:rsidRPr="00750793" w14:paraId="1C4F4B11" w14:textId="77777777" w:rsidTr="00A60D4B">
        <w:trPr>
          <w:cantSplit/>
          <w:jc w:val="center"/>
        </w:trPr>
        <w:tc>
          <w:tcPr>
            <w:tcW w:w="3652" w:type="dxa"/>
          </w:tcPr>
          <w:p w14:paraId="33B328BC" w14:textId="77777777" w:rsidR="00CF0E2D" w:rsidRPr="00F13FAB" w:rsidRDefault="00CF0E2D" w:rsidP="00A60D4B">
            <w:pPr>
              <w:pStyle w:val="InitTextL"/>
              <w:ind w:left="321" w:hanging="321"/>
            </w:pPr>
            <w:r w:rsidRPr="00882BE2">
              <w:t>Expenses</w:t>
            </w:r>
          </w:p>
        </w:tc>
        <w:tc>
          <w:tcPr>
            <w:tcW w:w="1179" w:type="dxa"/>
          </w:tcPr>
          <w:p w14:paraId="7B2E8631" w14:textId="77777777" w:rsidR="00CF0E2D" w:rsidRPr="00424DA4" w:rsidRDefault="00CF0E2D" w:rsidP="00A60D4B">
            <w:pPr>
              <w:pStyle w:val="InitFigR"/>
            </w:pPr>
            <w:r>
              <w:t>290,915</w:t>
            </w:r>
          </w:p>
        </w:tc>
        <w:tc>
          <w:tcPr>
            <w:tcW w:w="1041" w:type="dxa"/>
          </w:tcPr>
          <w:p w14:paraId="42DEF418" w14:textId="77777777" w:rsidR="00CF0E2D" w:rsidRPr="00424DA4" w:rsidRDefault="00CF0E2D" w:rsidP="00A60D4B">
            <w:pPr>
              <w:pStyle w:val="InitFigR"/>
            </w:pPr>
            <w:r>
              <w:t>0</w:t>
            </w:r>
          </w:p>
        </w:tc>
        <w:tc>
          <w:tcPr>
            <w:tcW w:w="1029" w:type="dxa"/>
          </w:tcPr>
          <w:p w14:paraId="7E4724F1" w14:textId="77777777" w:rsidR="00CF0E2D" w:rsidRPr="00424DA4" w:rsidRDefault="00CF0E2D" w:rsidP="00A60D4B">
            <w:pPr>
              <w:pStyle w:val="InitFigR"/>
            </w:pPr>
            <w:r>
              <w:t>0</w:t>
            </w:r>
          </w:p>
        </w:tc>
        <w:tc>
          <w:tcPr>
            <w:tcW w:w="1029" w:type="dxa"/>
          </w:tcPr>
          <w:p w14:paraId="0A6124CB" w14:textId="77777777" w:rsidR="00CF0E2D" w:rsidRPr="00424DA4" w:rsidRDefault="00CF0E2D" w:rsidP="00A60D4B">
            <w:pPr>
              <w:pStyle w:val="InitFigR"/>
            </w:pPr>
            <w:r>
              <w:t>0</w:t>
            </w:r>
          </w:p>
        </w:tc>
        <w:tc>
          <w:tcPr>
            <w:tcW w:w="1142" w:type="dxa"/>
          </w:tcPr>
          <w:p w14:paraId="4BCD414F" w14:textId="77777777" w:rsidR="00CF0E2D" w:rsidRPr="00424DA4" w:rsidRDefault="00CF0E2D" w:rsidP="00A60D4B">
            <w:pPr>
              <w:pStyle w:val="InitFigBR"/>
            </w:pPr>
            <w:r>
              <w:t>290,915</w:t>
            </w:r>
          </w:p>
        </w:tc>
      </w:tr>
      <w:tr w:rsidR="00CF0E2D" w:rsidRPr="00750793" w14:paraId="5AA62577" w14:textId="77777777" w:rsidTr="00A60D4B">
        <w:trPr>
          <w:cantSplit/>
          <w:jc w:val="center"/>
        </w:trPr>
        <w:tc>
          <w:tcPr>
            <w:tcW w:w="3652" w:type="dxa"/>
          </w:tcPr>
          <w:p w14:paraId="28FF9D13" w14:textId="77777777" w:rsidR="00CF0E2D" w:rsidRDefault="00CF0E2D" w:rsidP="00A60D4B">
            <w:pPr>
              <w:pStyle w:val="InitTextL"/>
              <w:ind w:left="321" w:hanging="321"/>
            </w:pPr>
            <w:r>
              <w:t>Offset – Commonwealth Revenue</w:t>
            </w:r>
          </w:p>
        </w:tc>
        <w:tc>
          <w:tcPr>
            <w:tcW w:w="1179" w:type="dxa"/>
          </w:tcPr>
          <w:p w14:paraId="7139A9D5" w14:textId="77777777" w:rsidR="00CF0E2D" w:rsidRDefault="00CF0E2D" w:rsidP="00A60D4B">
            <w:pPr>
              <w:pStyle w:val="InitFigR"/>
            </w:pPr>
            <w:r>
              <w:t>-144,602</w:t>
            </w:r>
          </w:p>
        </w:tc>
        <w:tc>
          <w:tcPr>
            <w:tcW w:w="1041" w:type="dxa"/>
          </w:tcPr>
          <w:p w14:paraId="4C35389B" w14:textId="77777777" w:rsidR="00CF0E2D" w:rsidRDefault="00CF0E2D" w:rsidP="00A60D4B">
            <w:pPr>
              <w:pStyle w:val="InitFigR"/>
            </w:pPr>
            <w:r>
              <w:t>0</w:t>
            </w:r>
          </w:p>
        </w:tc>
        <w:tc>
          <w:tcPr>
            <w:tcW w:w="1029" w:type="dxa"/>
          </w:tcPr>
          <w:p w14:paraId="30C95F43" w14:textId="77777777" w:rsidR="00CF0E2D" w:rsidRDefault="00CF0E2D" w:rsidP="00A60D4B">
            <w:pPr>
              <w:pStyle w:val="InitFigR"/>
            </w:pPr>
            <w:r>
              <w:t>0</w:t>
            </w:r>
          </w:p>
        </w:tc>
        <w:tc>
          <w:tcPr>
            <w:tcW w:w="1029" w:type="dxa"/>
          </w:tcPr>
          <w:p w14:paraId="385855B9" w14:textId="77777777" w:rsidR="00CF0E2D" w:rsidRDefault="00CF0E2D" w:rsidP="00A60D4B">
            <w:pPr>
              <w:pStyle w:val="InitFigR"/>
            </w:pPr>
            <w:r>
              <w:t>0</w:t>
            </w:r>
          </w:p>
        </w:tc>
        <w:tc>
          <w:tcPr>
            <w:tcW w:w="1142" w:type="dxa"/>
          </w:tcPr>
          <w:p w14:paraId="2FDD5F84" w14:textId="77777777" w:rsidR="00CF0E2D" w:rsidRDefault="00CF0E2D" w:rsidP="00A60D4B">
            <w:pPr>
              <w:pStyle w:val="InitFigBR"/>
            </w:pPr>
            <w:r>
              <w:t>-144,602</w:t>
            </w:r>
          </w:p>
        </w:tc>
      </w:tr>
      <w:tr w:rsidR="00CF0E2D" w:rsidRPr="00750793" w14:paraId="1E453B92" w14:textId="77777777" w:rsidTr="00A60D4B">
        <w:trPr>
          <w:cantSplit/>
          <w:trHeight w:val="107"/>
          <w:jc w:val="center"/>
        </w:trPr>
        <w:tc>
          <w:tcPr>
            <w:tcW w:w="3652" w:type="dxa"/>
            <w:tcBorders>
              <w:top w:val="single" w:sz="4" w:space="0" w:color="auto"/>
              <w:bottom w:val="single" w:sz="4" w:space="0" w:color="auto"/>
            </w:tcBorders>
          </w:tcPr>
          <w:p w14:paraId="32F83041"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76600846" w14:textId="77777777" w:rsidR="00CF0E2D" w:rsidRPr="00424DA4" w:rsidRDefault="00CF0E2D" w:rsidP="00A60D4B">
            <w:pPr>
              <w:pStyle w:val="InitFigRBold"/>
            </w:pPr>
            <w:r>
              <w:t>146,313</w:t>
            </w:r>
          </w:p>
        </w:tc>
        <w:tc>
          <w:tcPr>
            <w:tcW w:w="1041" w:type="dxa"/>
            <w:tcBorders>
              <w:top w:val="single" w:sz="4" w:space="0" w:color="auto"/>
              <w:bottom w:val="single" w:sz="4" w:space="0" w:color="auto"/>
            </w:tcBorders>
          </w:tcPr>
          <w:p w14:paraId="5D2A5D63"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3D4D97D3"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64C652F7" w14:textId="77777777" w:rsidR="00CF0E2D" w:rsidRPr="00424DA4" w:rsidRDefault="00CF0E2D" w:rsidP="00A60D4B">
            <w:pPr>
              <w:pStyle w:val="InitFigRBold"/>
            </w:pPr>
            <w:r>
              <w:t>0</w:t>
            </w:r>
          </w:p>
        </w:tc>
        <w:tc>
          <w:tcPr>
            <w:tcW w:w="1142" w:type="dxa"/>
            <w:tcBorders>
              <w:top w:val="single" w:sz="4" w:space="0" w:color="auto"/>
              <w:bottom w:val="single" w:sz="4" w:space="0" w:color="auto"/>
            </w:tcBorders>
          </w:tcPr>
          <w:p w14:paraId="2769BB5A" w14:textId="77777777" w:rsidR="00CF0E2D" w:rsidRPr="00424DA4" w:rsidRDefault="00CF0E2D" w:rsidP="00A60D4B">
            <w:pPr>
              <w:pStyle w:val="InitFigRBold"/>
            </w:pPr>
            <w:r>
              <w:t>146,313</w:t>
            </w:r>
          </w:p>
        </w:tc>
      </w:tr>
    </w:tbl>
    <w:p w14:paraId="610B1BA4" w14:textId="77777777" w:rsidR="00CF0E2D" w:rsidRDefault="00CF0E2D" w:rsidP="00A60D4B">
      <w:pPr>
        <w:pStyle w:val="Bbodytext"/>
      </w:pPr>
      <w:r w:rsidRPr="004C581D">
        <w:t xml:space="preserve">The Government </w:t>
      </w:r>
      <w:r>
        <w:t>is providing COVID-19 Business Support Grants and Grant Extension Payments, jointly funded with the Commonwealth.</w:t>
      </w:r>
    </w:p>
    <w:p w14:paraId="023046FC" w14:textId="77777777" w:rsidR="00CF0E2D" w:rsidRDefault="00CF0E2D" w:rsidP="00A60D4B">
      <w:pPr>
        <w:pStyle w:val="Bbodytext"/>
      </w:pPr>
      <w:r>
        <w:t>Businesses must be able to demonstrate their primary operation is in the ACT, have an annual turnover of more than $75,000, be registered for GST and have a total payroll of less than $10 million. They also need to provide evidence of a 30 per cent reduction or more in their turnover as a result of the COVID-19 health restriction.</w:t>
      </w:r>
    </w:p>
    <w:p w14:paraId="111FF450" w14:textId="77777777" w:rsidR="00CF0E2D" w:rsidRDefault="00CF0E2D" w:rsidP="00A60D4B">
      <w:pPr>
        <w:pStyle w:val="Bbodytext"/>
      </w:pPr>
      <w:r>
        <w:t xml:space="preserve">For the period 13 August to 17 September 2021, </w:t>
      </w:r>
      <w:r w:rsidRPr="00F26608">
        <w:t>one-off grants of up to $20,000 for employing businesses and $7,500 for non-employing businesses</w:t>
      </w:r>
      <w:r>
        <w:t xml:space="preserve"> are available</w:t>
      </w:r>
      <w:r w:rsidRPr="00F26608">
        <w:t>.</w:t>
      </w:r>
      <w:r>
        <w:t xml:space="preserve"> </w:t>
      </w:r>
    </w:p>
    <w:p w14:paraId="11EC4E79" w14:textId="77777777" w:rsidR="00CF0E2D" w:rsidRDefault="00CF0E2D" w:rsidP="00A60D4B">
      <w:pPr>
        <w:pStyle w:val="Bbodytext"/>
      </w:pPr>
      <w:r>
        <w:t>For the period 18 September to 15 October 2021, the Government announced an additional COVID-19 Business Grant Extension payment of $10,000 for employing businesses and $3,750 for non-employing businesses per two-week period. This extension payment will be paid to all businesses who were eligible for the COVID-19 Business Support Grant in industries still significantly impacted by the public health restrictions.</w:t>
      </w:r>
    </w:p>
    <w:p w14:paraId="318B4549" w14:textId="77777777" w:rsidR="00CF0E2D" w:rsidRPr="00A94124" w:rsidRDefault="00CF0E2D" w:rsidP="00A60D4B">
      <w:pPr>
        <w:pStyle w:val="Bbodytext"/>
        <w:rPr>
          <w:sz w:val="40"/>
          <w:szCs w:val="32"/>
        </w:rPr>
      </w:pPr>
      <w:r>
        <w:t>Additional top-up payments will also be available for larger businesses:</w:t>
      </w:r>
    </w:p>
    <w:p w14:paraId="46EDC661" w14:textId="77777777" w:rsidR="00CF0E2D" w:rsidRPr="00A94124" w:rsidRDefault="00CF0E2D" w:rsidP="00CF0E2D">
      <w:pPr>
        <w:pStyle w:val="Bbodytext"/>
        <w:numPr>
          <w:ilvl w:val="0"/>
          <w:numId w:val="37"/>
        </w:numPr>
        <w:rPr>
          <w:szCs w:val="40"/>
        </w:rPr>
      </w:pPr>
      <w:r w:rsidRPr="00A94124">
        <w:rPr>
          <w:szCs w:val="40"/>
        </w:rPr>
        <w:t>$</w:t>
      </w:r>
      <w:r>
        <w:rPr>
          <w:szCs w:val="40"/>
        </w:rPr>
        <w:t>2</w:t>
      </w:r>
      <w:r w:rsidRPr="00A94124">
        <w:rPr>
          <w:szCs w:val="40"/>
        </w:rPr>
        <w:t>0,000 for employing businesses with a turnover greater than $2 million and less than $5 million</w:t>
      </w:r>
      <w:r>
        <w:rPr>
          <w:szCs w:val="40"/>
        </w:rPr>
        <w:t>;</w:t>
      </w:r>
    </w:p>
    <w:p w14:paraId="2AE04E4E" w14:textId="77777777" w:rsidR="00CF0E2D" w:rsidRPr="00A94124" w:rsidRDefault="00CF0E2D" w:rsidP="00CF0E2D">
      <w:pPr>
        <w:pStyle w:val="Bbodytext"/>
        <w:numPr>
          <w:ilvl w:val="0"/>
          <w:numId w:val="37"/>
        </w:numPr>
        <w:rPr>
          <w:szCs w:val="40"/>
        </w:rPr>
      </w:pPr>
      <w:r w:rsidRPr="00A94124">
        <w:rPr>
          <w:szCs w:val="40"/>
        </w:rPr>
        <w:t>$</w:t>
      </w:r>
      <w:r>
        <w:rPr>
          <w:szCs w:val="40"/>
        </w:rPr>
        <w:t>4</w:t>
      </w:r>
      <w:r w:rsidRPr="00A94124">
        <w:rPr>
          <w:szCs w:val="40"/>
        </w:rPr>
        <w:t>0,000 for employing businesses with a turnover greater than $5 million and less than $10 million</w:t>
      </w:r>
      <w:r>
        <w:rPr>
          <w:szCs w:val="40"/>
        </w:rPr>
        <w:t>; and</w:t>
      </w:r>
    </w:p>
    <w:p w14:paraId="7A28E2B8" w14:textId="77777777" w:rsidR="00CF0E2D" w:rsidRPr="00E5133D" w:rsidRDefault="00CF0E2D" w:rsidP="00CF0E2D">
      <w:pPr>
        <w:pStyle w:val="Bbodytext"/>
        <w:numPr>
          <w:ilvl w:val="0"/>
          <w:numId w:val="37"/>
        </w:numPr>
        <w:rPr>
          <w:szCs w:val="40"/>
        </w:rPr>
      </w:pPr>
      <w:r w:rsidRPr="00A94124">
        <w:rPr>
          <w:szCs w:val="40"/>
        </w:rPr>
        <w:t>$</w:t>
      </w:r>
      <w:r>
        <w:rPr>
          <w:szCs w:val="40"/>
        </w:rPr>
        <w:t>6</w:t>
      </w:r>
      <w:r w:rsidRPr="00A94124">
        <w:rPr>
          <w:szCs w:val="40"/>
        </w:rPr>
        <w:t>0,000 for employing businesses with a turnover greater than $10 million</w:t>
      </w:r>
      <w:r>
        <w:rPr>
          <w:szCs w:val="40"/>
        </w:rPr>
        <w:t>.</w:t>
      </w:r>
    </w:p>
    <w:p w14:paraId="0D8EABA0" w14:textId="77777777" w:rsidR="00CF0E2D" w:rsidRDefault="00CF0E2D" w:rsidP="00A60D4B">
      <w:pPr>
        <w:pStyle w:val="Bbodytext"/>
      </w:pPr>
      <w:r>
        <w:t xml:space="preserve">This initiative contributes to the wellbeing domain of Economy. </w:t>
      </w:r>
    </w:p>
    <w:p w14:paraId="355AD97D" w14:textId="77777777" w:rsidR="00CF0E2D" w:rsidRDefault="00CF0E2D">
      <w:pPr>
        <w:rPr>
          <w:sz w:val="24"/>
        </w:rPr>
      </w:pPr>
      <w:r>
        <w:br w:type="page"/>
      </w:r>
    </w:p>
    <w:p w14:paraId="79566B5F" w14:textId="77777777" w:rsidR="00CF0E2D" w:rsidRPr="000C43D7" w:rsidRDefault="00CF0E2D" w:rsidP="00A60D4B">
      <w:pPr>
        <w:pStyle w:val="Heading4"/>
      </w:pPr>
      <w:r>
        <w:rPr>
          <w:b w:val="0"/>
          <w:noProof/>
          <w:color w:val="999789"/>
          <w:sz w:val="32"/>
          <w:szCs w:val="24"/>
        </w:rPr>
        <w:lastRenderedPageBreak/>
        <w:drawing>
          <wp:anchor distT="0" distB="0" distL="114300" distR="114300" simplePos="0" relativeHeight="251716608" behindDoc="0" locked="1" layoutInCell="1" allowOverlap="1" wp14:anchorId="775846C0" wp14:editId="109F1F46">
            <wp:simplePos x="0" y="0"/>
            <wp:positionH relativeFrom="margin">
              <wp:posOffset>4566920</wp:posOffset>
            </wp:positionH>
            <wp:positionV relativeFrom="paragraph">
              <wp:posOffset>76835</wp:posOffset>
            </wp:positionV>
            <wp:extent cx="1148080" cy="503555"/>
            <wp:effectExtent l="0" t="0" r="0" b="0"/>
            <wp:wrapSquare wrapText="bothSides"/>
            <wp:docPr id="33" name="Picture 33"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080" cy="503555"/>
                    </a:xfrm>
                    <a:prstGeom prst="rect">
                      <a:avLst/>
                    </a:prstGeom>
                  </pic:spPr>
                </pic:pic>
              </a:graphicData>
            </a:graphic>
            <wp14:sizeRelH relativeFrom="margin">
              <wp14:pctWidth>0</wp14:pctWidth>
            </wp14:sizeRelH>
            <wp14:sizeRelV relativeFrom="margin">
              <wp14:pctHeight>0</wp14:pctHeight>
            </wp14:sizeRelV>
          </wp:anchor>
        </w:drawing>
      </w:r>
      <w:r w:rsidRPr="000C43D7">
        <w:t>COVID-19 Business support – Commercial tenancy assistance</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141D166A" w14:textId="77777777" w:rsidTr="00A60D4B">
        <w:trPr>
          <w:cantSplit/>
          <w:jc w:val="center"/>
        </w:trPr>
        <w:tc>
          <w:tcPr>
            <w:tcW w:w="3652" w:type="dxa"/>
            <w:tcBorders>
              <w:top w:val="single" w:sz="4" w:space="0" w:color="auto"/>
              <w:bottom w:val="single" w:sz="4" w:space="0" w:color="auto"/>
            </w:tcBorders>
          </w:tcPr>
          <w:p w14:paraId="036208FC"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62FF6D8F" w14:textId="77777777" w:rsidR="00CF0E2D" w:rsidRPr="00F96994" w:rsidRDefault="00CF0E2D" w:rsidP="00A60D4B">
            <w:pPr>
              <w:pStyle w:val="InitFigR"/>
              <w:rPr>
                <w:b/>
                <w:bCs/>
              </w:rPr>
            </w:pPr>
            <w:r w:rsidRPr="00F96994">
              <w:rPr>
                <w:b/>
                <w:bCs/>
              </w:rPr>
              <w:t>2021-22</w:t>
            </w:r>
          </w:p>
          <w:p w14:paraId="7C1AE1C2" w14:textId="77777777" w:rsidR="00CF0E2D" w:rsidRPr="00F96994" w:rsidRDefault="00CF0E2D" w:rsidP="00A60D4B">
            <w:pPr>
              <w:pStyle w:val="InitFigR"/>
              <w:rPr>
                <w:b/>
                <w:bCs/>
              </w:rPr>
            </w:pPr>
            <w:r w:rsidRPr="00F96994">
              <w:rPr>
                <w:b/>
                <w:bCs/>
              </w:rPr>
              <w:t>$’000</w:t>
            </w:r>
          </w:p>
        </w:tc>
        <w:tc>
          <w:tcPr>
            <w:tcW w:w="1041" w:type="dxa"/>
            <w:tcBorders>
              <w:top w:val="single" w:sz="4" w:space="0" w:color="auto"/>
              <w:bottom w:val="single" w:sz="4" w:space="0" w:color="auto"/>
            </w:tcBorders>
          </w:tcPr>
          <w:p w14:paraId="2E53D560" w14:textId="77777777" w:rsidR="00CF0E2D" w:rsidRPr="00F96994" w:rsidRDefault="00CF0E2D" w:rsidP="00A60D4B">
            <w:pPr>
              <w:pStyle w:val="InitFigR"/>
              <w:rPr>
                <w:b/>
                <w:bCs/>
              </w:rPr>
            </w:pPr>
            <w:r w:rsidRPr="00F96994">
              <w:rPr>
                <w:b/>
                <w:bCs/>
              </w:rPr>
              <w:t>2022-23</w:t>
            </w:r>
          </w:p>
          <w:p w14:paraId="612D8E21" w14:textId="77777777" w:rsidR="00CF0E2D" w:rsidRPr="00F96994" w:rsidRDefault="00CF0E2D" w:rsidP="00A60D4B">
            <w:pPr>
              <w:pStyle w:val="InitFigR"/>
              <w:rPr>
                <w:b/>
                <w:bCs/>
              </w:rPr>
            </w:pPr>
            <w:r w:rsidRPr="00F96994">
              <w:rPr>
                <w:b/>
                <w:bCs/>
              </w:rPr>
              <w:t>$’000</w:t>
            </w:r>
          </w:p>
        </w:tc>
        <w:tc>
          <w:tcPr>
            <w:tcW w:w="1029" w:type="dxa"/>
            <w:tcBorders>
              <w:top w:val="single" w:sz="4" w:space="0" w:color="auto"/>
              <w:bottom w:val="single" w:sz="4" w:space="0" w:color="auto"/>
            </w:tcBorders>
          </w:tcPr>
          <w:p w14:paraId="2BB2620E" w14:textId="77777777" w:rsidR="00CF0E2D" w:rsidRPr="00F96994" w:rsidRDefault="00CF0E2D" w:rsidP="00A60D4B">
            <w:pPr>
              <w:pStyle w:val="InitFigR"/>
              <w:rPr>
                <w:b/>
                <w:bCs/>
              </w:rPr>
            </w:pPr>
            <w:r w:rsidRPr="00F96994">
              <w:rPr>
                <w:b/>
                <w:bCs/>
              </w:rPr>
              <w:t>2023-24</w:t>
            </w:r>
          </w:p>
          <w:p w14:paraId="7568734C" w14:textId="77777777" w:rsidR="00CF0E2D" w:rsidRPr="00F96994" w:rsidRDefault="00CF0E2D" w:rsidP="00A60D4B">
            <w:pPr>
              <w:pStyle w:val="InitFigR"/>
              <w:rPr>
                <w:b/>
                <w:bCs/>
              </w:rPr>
            </w:pPr>
            <w:r w:rsidRPr="00F96994">
              <w:rPr>
                <w:b/>
                <w:bCs/>
              </w:rPr>
              <w:t>$’000</w:t>
            </w:r>
          </w:p>
        </w:tc>
        <w:tc>
          <w:tcPr>
            <w:tcW w:w="1029" w:type="dxa"/>
            <w:tcBorders>
              <w:top w:val="single" w:sz="4" w:space="0" w:color="auto"/>
              <w:bottom w:val="single" w:sz="4" w:space="0" w:color="auto"/>
            </w:tcBorders>
          </w:tcPr>
          <w:p w14:paraId="431C1E00" w14:textId="77777777" w:rsidR="00CF0E2D" w:rsidRPr="00F96994" w:rsidRDefault="00CF0E2D" w:rsidP="00A60D4B">
            <w:pPr>
              <w:pStyle w:val="InitFigR"/>
              <w:rPr>
                <w:b/>
                <w:bCs/>
              </w:rPr>
            </w:pPr>
            <w:r w:rsidRPr="00F96994">
              <w:rPr>
                <w:b/>
                <w:bCs/>
              </w:rPr>
              <w:t>2024-25</w:t>
            </w:r>
          </w:p>
          <w:p w14:paraId="28B7B55A" w14:textId="77777777" w:rsidR="00CF0E2D" w:rsidRPr="00F96994" w:rsidRDefault="00CF0E2D" w:rsidP="00A60D4B">
            <w:pPr>
              <w:pStyle w:val="InitFigR"/>
              <w:rPr>
                <w:b/>
                <w:bCs/>
              </w:rPr>
            </w:pPr>
            <w:r w:rsidRPr="00F96994">
              <w:rPr>
                <w:b/>
                <w:bCs/>
              </w:rPr>
              <w:t>$’000</w:t>
            </w:r>
          </w:p>
        </w:tc>
        <w:tc>
          <w:tcPr>
            <w:tcW w:w="1029" w:type="dxa"/>
            <w:tcBorders>
              <w:top w:val="single" w:sz="4" w:space="0" w:color="auto"/>
              <w:bottom w:val="single" w:sz="4" w:space="0" w:color="auto"/>
            </w:tcBorders>
          </w:tcPr>
          <w:p w14:paraId="2AB4FEE2" w14:textId="77777777" w:rsidR="00CF0E2D" w:rsidRPr="004E341E" w:rsidRDefault="00CF0E2D" w:rsidP="00A60D4B">
            <w:pPr>
              <w:pStyle w:val="InitFigRBold"/>
            </w:pPr>
            <w:r w:rsidRPr="004E341E">
              <w:t>Total</w:t>
            </w:r>
          </w:p>
          <w:p w14:paraId="7CA2FEFC" w14:textId="77777777" w:rsidR="00CF0E2D" w:rsidRPr="004E341E" w:rsidRDefault="00CF0E2D" w:rsidP="00A60D4B">
            <w:pPr>
              <w:pStyle w:val="InitFigBR"/>
            </w:pPr>
            <w:r w:rsidRPr="004E341E">
              <w:t>$’000</w:t>
            </w:r>
          </w:p>
        </w:tc>
      </w:tr>
      <w:tr w:rsidR="00CF0E2D" w:rsidRPr="00750793" w14:paraId="23AD6250" w14:textId="77777777" w:rsidTr="00A60D4B">
        <w:trPr>
          <w:cantSplit/>
          <w:trHeight w:val="107"/>
          <w:jc w:val="center"/>
        </w:trPr>
        <w:tc>
          <w:tcPr>
            <w:tcW w:w="3652" w:type="dxa"/>
          </w:tcPr>
          <w:p w14:paraId="3AF1A691" w14:textId="77777777" w:rsidR="00CF0E2D" w:rsidDel="002B63D3" w:rsidRDefault="00CF0E2D" w:rsidP="00A60D4B">
            <w:pPr>
              <w:pStyle w:val="InitTextL"/>
              <w:ind w:left="321" w:hanging="321"/>
            </w:pPr>
            <w:r>
              <w:t>Expense</w:t>
            </w:r>
          </w:p>
        </w:tc>
        <w:tc>
          <w:tcPr>
            <w:tcW w:w="1179" w:type="dxa"/>
          </w:tcPr>
          <w:p w14:paraId="638FDC25" w14:textId="77777777" w:rsidR="00CF0E2D" w:rsidRPr="00424DA4" w:rsidRDefault="00CF0E2D" w:rsidP="00A60D4B">
            <w:pPr>
              <w:pStyle w:val="InitFigR"/>
            </w:pPr>
            <w:r>
              <w:t>210</w:t>
            </w:r>
          </w:p>
        </w:tc>
        <w:tc>
          <w:tcPr>
            <w:tcW w:w="1041" w:type="dxa"/>
          </w:tcPr>
          <w:p w14:paraId="20FD5E9F" w14:textId="77777777" w:rsidR="00CF0E2D" w:rsidRPr="00424DA4" w:rsidRDefault="00CF0E2D" w:rsidP="00A60D4B">
            <w:pPr>
              <w:pStyle w:val="InitFigR"/>
            </w:pPr>
            <w:r>
              <w:t>0</w:t>
            </w:r>
          </w:p>
        </w:tc>
        <w:tc>
          <w:tcPr>
            <w:tcW w:w="1029" w:type="dxa"/>
          </w:tcPr>
          <w:p w14:paraId="3323B1CF" w14:textId="77777777" w:rsidR="00CF0E2D" w:rsidRPr="00424DA4" w:rsidRDefault="00CF0E2D" w:rsidP="00A60D4B">
            <w:pPr>
              <w:pStyle w:val="InitFigR"/>
            </w:pPr>
            <w:r>
              <w:t>0</w:t>
            </w:r>
          </w:p>
        </w:tc>
        <w:tc>
          <w:tcPr>
            <w:tcW w:w="1029" w:type="dxa"/>
          </w:tcPr>
          <w:p w14:paraId="7B6926F1" w14:textId="77777777" w:rsidR="00CF0E2D" w:rsidRPr="00424DA4" w:rsidRDefault="00CF0E2D" w:rsidP="00A60D4B">
            <w:pPr>
              <w:pStyle w:val="InitFigR"/>
            </w:pPr>
            <w:r>
              <w:t>0</w:t>
            </w:r>
          </w:p>
        </w:tc>
        <w:tc>
          <w:tcPr>
            <w:tcW w:w="1029" w:type="dxa"/>
          </w:tcPr>
          <w:p w14:paraId="0C07D61A" w14:textId="77777777" w:rsidR="00CF0E2D" w:rsidRPr="00424DA4" w:rsidRDefault="00CF0E2D" w:rsidP="00A60D4B">
            <w:pPr>
              <w:pStyle w:val="InitFigBR"/>
            </w:pPr>
            <w:r>
              <w:t>210</w:t>
            </w:r>
          </w:p>
        </w:tc>
      </w:tr>
      <w:tr w:rsidR="00CF0E2D" w:rsidRPr="00750793" w14:paraId="1849CF14" w14:textId="77777777" w:rsidTr="00A60D4B">
        <w:trPr>
          <w:cantSplit/>
          <w:trHeight w:val="107"/>
          <w:jc w:val="center"/>
        </w:trPr>
        <w:tc>
          <w:tcPr>
            <w:tcW w:w="3652" w:type="dxa"/>
          </w:tcPr>
          <w:p w14:paraId="4DA159C0" w14:textId="77777777" w:rsidR="00CF0E2D" w:rsidRDefault="00CF0E2D" w:rsidP="00A60D4B">
            <w:pPr>
              <w:pStyle w:val="InitTextL"/>
              <w:ind w:left="321" w:hanging="321"/>
            </w:pPr>
            <w:r>
              <w:t>Revenue forgone</w:t>
            </w:r>
          </w:p>
        </w:tc>
        <w:tc>
          <w:tcPr>
            <w:tcW w:w="1179" w:type="dxa"/>
          </w:tcPr>
          <w:p w14:paraId="41FCE78D" w14:textId="77777777" w:rsidR="00CF0E2D" w:rsidRDefault="00CF0E2D" w:rsidP="00A60D4B">
            <w:pPr>
              <w:pStyle w:val="InitFigR"/>
            </w:pPr>
            <w:r>
              <w:t>5,500</w:t>
            </w:r>
          </w:p>
        </w:tc>
        <w:tc>
          <w:tcPr>
            <w:tcW w:w="1041" w:type="dxa"/>
          </w:tcPr>
          <w:p w14:paraId="1E4BED08" w14:textId="77777777" w:rsidR="00CF0E2D" w:rsidRDefault="00CF0E2D" w:rsidP="00A60D4B">
            <w:pPr>
              <w:pStyle w:val="InitFigR"/>
            </w:pPr>
            <w:r>
              <w:t>0</w:t>
            </w:r>
          </w:p>
        </w:tc>
        <w:tc>
          <w:tcPr>
            <w:tcW w:w="1029" w:type="dxa"/>
          </w:tcPr>
          <w:p w14:paraId="61D11975" w14:textId="77777777" w:rsidR="00CF0E2D" w:rsidRDefault="00CF0E2D" w:rsidP="00A60D4B">
            <w:pPr>
              <w:pStyle w:val="InitFigR"/>
            </w:pPr>
            <w:r>
              <w:t>0</w:t>
            </w:r>
          </w:p>
        </w:tc>
        <w:tc>
          <w:tcPr>
            <w:tcW w:w="1029" w:type="dxa"/>
          </w:tcPr>
          <w:p w14:paraId="2DCA7745" w14:textId="77777777" w:rsidR="00CF0E2D" w:rsidRDefault="00CF0E2D" w:rsidP="00A60D4B">
            <w:pPr>
              <w:pStyle w:val="InitFigR"/>
            </w:pPr>
            <w:r>
              <w:t>0</w:t>
            </w:r>
          </w:p>
        </w:tc>
        <w:tc>
          <w:tcPr>
            <w:tcW w:w="1029" w:type="dxa"/>
          </w:tcPr>
          <w:p w14:paraId="4B4E5CC5" w14:textId="77777777" w:rsidR="00CF0E2D" w:rsidRDefault="00CF0E2D" w:rsidP="00A60D4B">
            <w:pPr>
              <w:pStyle w:val="InitFigBR"/>
            </w:pPr>
            <w:r>
              <w:t>5,500</w:t>
            </w:r>
          </w:p>
        </w:tc>
      </w:tr>
      <w:tr w:rsidR="00CF0E2D" w:rsidRPr="00750793" w14:paraId="57C30E2B" w14:textId="77777777" w:rsidTr="00A60D4B">
        <w:trPr>
          <w:cantSplit/>
          <w:trHeight w:val="107"/>
          <w:jc w:val="center"/>
        </w:trPr>
        <w:tc>
          <w:tcPr>
            <w:tcW w:w="3652" w:type="dxa"/>
            <w:tcBorders>
              <w:top w:val="single" w:sz="4" w:space="0" w:color="auto"/>
              <w:bottom w:val="single" w:sz="4" w:space="0" w:color="auto"/>
            </w:tcBorders>
          </w:tcPr>
          <w:p w14:paraId="629A001D"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49034E2C" w14:textId="77777777" w:rsidR="00CF0E2D" w:rsidRPr="00424DA4" w:rsidRDefault="00CF0E2D" w:rsidP="00A60D4B">
            <w:pPr>
              <w:pStyle w:val="InitFigRBold"/>
            </w:pPr>
            <w:r>
              <w:t>5,710</w:t>
            </w:r>
          </w:p>
        </w:tc>
        <w:tc>
          <w:tcPr>
            <w:tcW w:w="1041" w:type="dxa"/>
            <w:tcBorders>
              <w:top w:val="single" w:sz="4" w:space="0" w:color="auto"/>
              <w:bottom w:val="single" w:sz="4" w:space="0" w:color="auto"/>
            </w:tcBorders>
          </w:tcPr>
          <w:p w14:paraId="1EDACE92"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4B336FAF"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0F5072B4"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1C4D2CF9" w14:textId="77777777" w:rsidR="00CF0E2D" w:rsidRPr="00424DA4" w:rsidRDefault="00CF0E2D" w:rsidP="00A60D4B">
            <w:pPr>
              <w:pStyle w:val="InitFigRBold"/>
            </w:pPr>
            <w:r>
              <w:t>5,710</w:t>
            </w:r>
          </w:p>
        </w:tc>
      </w:tr>
    </w:tbl>
    <w:p w14:paraId="71036CEC" w14:textId="77777777" w:rsidR="00CF0E2D" w:rsidRDefault="00CF0E2D" w:rsidP="00A60D4B">
      <w:pPr>
        <w:pStyle w:val="Bbodytext"/>
      </w:pPr>
      <w:r w:rsidRPr="004C581D">
        <w:t>The Government wi</w:t>
      </w:r>
      <w:r>
        <w:t>ll provide commercial rates rebates to eligible commercial landlords who reduce rent payable by business tenants significantly impacted by COVID-19, from 1 August to 31 December 2021. Rebates will also be available to eligible commercial property owners who operate a business from their premises (owner</w:t>
      </w:r>
      <w:r>
        <w:noBreakHyphen/>
        <w:t xml:space="preserve">operators). </w:t>
      </w:r>
    </w:p>
    <w:p w14:paraId="2B7689C1" w14:textId="77777777" w:rsidR="00CF0E2D" w:rsidRDefault="00CF0E2D" w:rsidP="00A60D4B">
      <w:pPr>
        <w:pStyle w:val="Bbodytext"/>
      </w:pPr>
      <w:r>
        <w:t>Eligible landlords will receive rates rebates equal to 50 per cent of rent reductions provided to business tenants, capped at the lower of $10,000 or two quarters of rates for 2021-22. Eligible owner-operators will receive rates rebates equal to 80 per cent of two quarters of their 2021-22 rates, capped at $10,000.</w:t>
      </w:r>
    </w:p>
    <w:p w14:paraId="7D8F79DD" w14:textId="77777777" w:rsidR="00CF0E2D" w:rsidRDefault="00CF0E2D" w:rsidP="00A60D4B">
      <w:pPr>
        <w:pStyle w:val="Bbodytext"/>
      </w:pPr>
      <w:r>
        <w:t xml:space="preserve">To be eligible, business tenants and owner-operators must have annual turnover of less than $50 million and have experienced a specified reduction in turnover. Landlords must also reduce rent for their tenant for at least one month during the period. </w:t>
      </w:r>
    </w:p>
    <w:p w14:paraId="044321CE" w14:textId="77777777" w:rsidR="00CF0E2D" w:rsidRDefault="00CF0E2D" w:rsidP="00A60D4B">
      <w:pPr>
        <w:pStyle w:val="Bbodytext"/>
      </w:pPr>
      <w:r>
        <w:t>This initiative is part of broader support for commercial property owners and tenants during the current COVID-19 outbreak, including the temporary commercial leases declaration, the reinstatement of the COVID-19 Local Business Commissioner, the provision of free mediation services, and rent waivers for tenants of government-owned properties.</w:t>
      </w:r>
    </w:p>
    <w:p w14:paraId="1E747B88" w14:textId="77777777" w:rsidR="00CF0E2D" w:rsidRDefault="00CF0E2D" w:rsidP="00A60D4B">
      <w:pPr>
        <w:pStyle w:val="Bbodytext"/>
      </w:pPr>
      <w:r>
        <w:t xml:space="preserve">This initiative contributes to the wellbeing domains of Economy and Living standards. </w:t>
      </w:r>
    </w:p>
    <w:p w14:paraId="75B3E3E0" w14:textId="77777777" w:rsidR="00CF0E2D" w:rsidRDefault="00CF0E2D" w:rsidP="00A60D4B">
      <w:pPr>
        <w:pStyle w:val="Bbodytext"/>
      </w:pPr>
      <w:r>
        <w:rPr>
          <w:b/>
          <w:noProof/>
          <w:color w:val="999789"/>
          <w:sz w:val="32"/>
          <w:szCs w:val="24"/>
        </w:rPr>
        <w:drawing>
          <wp:anchor distT="0" distB="0" distL="114300" distR="114300" simplePos="0" relativeHeight="251717632" behindDoc="0" locked="1" layoutInCell="1" allowOverlap="1" wp14:anchorId="437F8D15" wp14:editId="0F543181">
            <wp:simplePos x="0" y="0"/>
            <wp:positionH relativeFrom="margin">
              <wp:align>right</wp:align>
            </wp:positionH>
            <wp:positionV relativeFrom="paragraph">
              <wp:posOffset>121920</wp:posOffset>
            </wp:positionV>
            <wp:extent cx="1148080" cy="503555"/>
            <wp:effectExtent l="0" t="0" r="0" b="0"/>
            <wp:wrapSquare wrapText="bothSides"/>
            <wp:docPr id="250" name="Picture 250"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080" cy="503555"/>
                    </a:xfrm>
                    <a:prstGeom prst="rect">
                      <a:avLst/>
                    </a:prstGeom>
                  </pic:spPr>
                </pic:pic>
              </a:graphicData>
            </a:graphic>
            <wp14:sizeRelH relativeFrom="margin">
              <wp14:pctWidth>0</wp14:pctWidth>
            </wp14:sizeRelH>
            <wp14:sizeRelV relativeFrom="margin">
              <wp14:pctHeight>0</wp14:pctHeight>
            </wp14:sizeRelV>
          </wp:anchor>
        </w:drawing>
      </w:r>
    </w:p>
    <w:p w14:paraId="1139EF8E" w14:textId="77777777" w:rsidR="00CF0E2D" w:rsidRDefault="00CF0E2D" w:rsidP="00A60D4B">
      <w:pPr>
        <w:pStyle w:val="Heading4"/>
        <w:rPr>
          <w:rFonts w:eastAsia="Times New Roman"/>
        </w:rPr>
      </w:pPr>
      <w:r w:rsidRPr="000B7680">
        <w:rPr>
          <w:rFonts w:eastAsia="Times New Roman"/>
        </w:rPr>
        <w:t xml:space="preserve">COVID-19 Business support </w:t>
      </w:r>
      <w:r>
        <w:rPr>
          <w:rFonts w:eastAsia="Times New Roman"/>
        </w:rPr>
        <w:t>–</w:t>
      </w:r>
      <w:r w:rsidRPr="000B7680">
        <w:rPr>
          <w:rFonts w:eastAsia="Times New Roman"/>
        </w:rPr>
        <w:t xml:space="preserve"> Fee reduction </w:t>
      </w:r>
    </w:p>
    <w:tbl>
      <w:tblPr>
        <w:tblW w:w="9053" w:type="dxa"/>
        <w:jc w:val="center"/>
        <w:tblLayout w:type="fixed"/>
        <w:tblLook w:val="0000" w:firstRow="0" w:lastRow="0" w:firstColumn="0" w:lastColumn="0" w:noHBand="0" w:noVBand="0"/>
      </w:tblPr>
      <w:tblGrid>
        <w:gridCol w:w="3746"/>
        <w:gridCol w:w="1179"/>
        <w:gridCol w:w="1041"/>
        <w:gridCol w:w="1029"/>
        <w:gridCol w:w="1029"/>
        <w:gridCol w:w="1029"/>
      </w:tblGrid>
      <w:tr w:rsidR="00CF0E2D" w:rsidRPr="00DE7F02" w14:paraId="41EEFD56" w14:textId="77777777" w:rsidTr="00A60D4B">
        <w:trPr>
          <w:cantSplit/>
          <w:jc w:val="center"/>
        </w:trPr>
        <w:tc>
          <w:tcPr>
            <w:tcW w:w="3746" w:type="dxa"/>
            <w:tcBorders>
              <w:top w:val="single" w:sz="4" w:space="0" w:color="auto"/>
              <w:bottom w:val="single" w:sz="4" w:space="0" w:color="auto"/>
            </w:tcBorders>
          </w:tcPr>
          <w:p w14:paraId="76A7D2B4" w14:textId="77777777" w:rsidR="00CF0E2D" w:rsidRPr="00DE7F02" w:rsidRDefault="00CF0E2D" w:rsidP="00A60D4B">
            <w:pPr>
              <w:spacing w:after="0"/>
              <w:jc w:val="right"/>
              <w:rPr>
                <w:rFonts w:cs="Calibri"/>
                <w:color w:val="FFFFFF"/>
                <w:sz w:val="12"/>
              </w:rPr>
            </w:pPr>
            <w:r w:rsidRPr="00DE7F02">
              <w:rPr>
                <w:rFonts w:cs="Calibri"/>
                <w:color w:val="FFFFFF"/>
                <w:sz w:val="12"/>
              </w:rPr>
              <w:t>Empty Cell</w:t>
            </w:r>
          </w:p>
        </w:tc>
        <w:tc>
          <w:tcPr>
            <w:tcW w:w="1179" w:type="dxa"/>
            <w:tcBorders>
              <w:top w:val="single" w:sz="4" w:space="0" w:color="auto"/>
              <w:bottom w:val="single" w:sz="4" w:space="0" w:color="auto"/>
            </w:tcBorders>
          </w:tcPr>
          <w:p w14:paraId="1F4B4578" w14:textId="77777777" w:rsidR="00CF0E2D" w:rsidRPr="00FF4BFE" w:rsidRDefault="00CF0E2D" w:rsidP="00A60D4B">
            <w:pPr>
              <w:pStyle w:val="InitFigRBold"/>
            </w:pPr>
            <w:r w:rsidRPr="00FF4BFE">
              <w:t>2021-22</w:t>
            </w:r>
          </w:p>
          <w:p w14:paraId="25B4CCA9" w14:textId="77777777" w:rsidR="00CF0E2D" w:rsidRPr="00FF4BFE" w:rsidRDefault="00CF0E2D" w:rsidP="00A60D4B">
            <w:pPr>
              <w:pStyle w:val="InitFigRBold"/>
            </w:pPr>
            <w:r w:rsidRPr="00FF4BFE">
              <w:t>$’000</w:t>
            </w:r>
          </w:p>
        </w:tc>
        <w:tc>
          <w:tcPr>
            <w:tcW w:w="1041" w:type="dxa"/>
            <w:tcBorders>
              <w:top w:val="single" w:sz="4" w:space="0" w:color="auto"/>
              <w:bottom w:val="single" w:sz="4" w:space="0" w:color="auto"/>
            </w:tcBorders>
          </w:tcPr>
          <w:p w14:paraId="241C2E7C" w14:textId="77777777" w:rsidR="00CF0E2D" w:rsidRPr="00FF4BFE" w:rsidRDefault="00CF0E2D" w:rsidP="00A60D4B">
            <w:pPr>
              <w:pStyle w:val="InitFigRBold"/>
            </w:pPr>
            <w:r w:rsidRPr="00FF4BFE">
              <w:t>2022-23</w:t>
            </w:r>
          </w:p>
          <w:p w14:paraId="683022A3" w14:textId="77777777" w:rsidR="00CF0E2D" w:rsidRPr="00FF4BFE" w:rsidRDefault="00CF0E2D" w:rsidP="00A60D4B">
            <w:pPr>
              <w:pStyle w:val="InitFigRBold"/>
            </w:pPr>
            <w:r w:rsidRPr="00FF4BFE">
              <w:t>$’000</w:t>
            </w:r>
          </w:p>
        </w:tc>
        <w:tc>
          <w:tcPr>
            <w:tcW w:w="1029" w:type="dxa"/>
            <w:tcBorders>
              <w:top w:val="single" w:sz="4" w:space="0" w:color="auto"/>
              <w:bottom w:val="single" w:sz="4" w:space="0" w:color="auto"/>
            </w:tcBorders>
          </w:tcPr>
          <w:p w14:paraId="19ADAE05" w14:textId="77777777" w:rsidR="00CF0E2D" w:rsidRPr="00FF4BFE" w:rsidRDefault="00CF0E2D" w:rsidP="00A60D4B">
            <w:pPr>
              <w:pStyle w:val="InitFigRBold"/>
            </w:pPr>
            <w:r w:rsidRPr="00FF4BFE">
              <w:t>2023-24</w:t>
            </w:r>
          </w:p>
          <w:p w14:paraId="36F9B163" w14:textId="77777777" w:rsidR="00CF0E2D" w:rsidRPr="00FF4BFE" w:rsidRDefault="00CF0E2D" w:rsidP="00A60D4B">
            <w:pPr>
              <w:pStyle w:val="InitFigRBold"/>
            </w:pPr>
            <w:r w:rsidRPr="00FF4BFE">
              <w:t>$’000</w:t>
            </w:r>
          </w:p>
        </w:tc>
        <w:tc>
          <w:tcPr>
            <w:tcW w:w="1029" w:type="dxa"/>
            <w:tcBorders>
              <w:top w:val="single" w:sz="4" w:space="0" w:color="auto"/>
              <w:bottom w:val="single" w:sz="4" w:space="0" w:color="auto"/>
            </w:tcBorders>
          </w:tcPr>
          <w:p w14:paraId="2416E5F4" w14:textId="77777777" w:rsidR="00CF0E2D" w:rsidRPr="00FF4BFE" w:rsidRDefault="00CF0E2D" w:rsidP="00A60D4B">
            <w:pPr>
              <w:pStyle w:val="InitFigRBold"/>
            </w:pPr>
            <w:r w:rsidRPr="00FF4BFE">
              <w:t>2024-25</w:t>
            </w:r>
          </w:p>
          <w:p w14:paraId="1D8083F4" w14:textId="77777777" w:rsidR="00CF0E2D" w:rsidRPr="00FF4BFE" w:rsidRDefault="00CF0E2D" w:rsidP="00A60D4B">
            <w:pPr>
              <w:pStyle w:val="InitFigRBold"/>
            </w:pPr>
            <w:r w:rsidRPr="00FF4BFE">
              <w:t>$’000</w:t>
            </w:r>
          </w:p>
        </w:tc>
        <w:tc>
          <w:tcPr>
            <w:tcW w:w="1029" w:type="dxa"/>
            <w:tcBorders>
              <w:top w:val="single" w:sz="4" w:space="0" w:color="auto"/>
              <w:bottom w:val="single" w:sz="4" w:space="0" w:color="auto"/>
            </w:tcBorders>
          </w:tcPr>
          <w:p w14:paraId="6652F7F6" w14:textId="77777777" w:rsidR="00CF0E2D" w:rsidRPr="00FF4BFE" w:rsidRDefault="00CF0E2D" w:rsidP="00A60D4B">
            <w:pPr>
              <w:pStyle w:val="InitFigRBold"/>
            </w:pPr>
            <w:r w:rsidRPr="00DE7F02">
              <w:t>Total</w:t>
            </w:r>
          </w:p>
          <w:p w14:paraId="17FF8DC8" w14:textId="77777777" w:rsidR="00CF0E2D" w:rsidRPr="00FF4BFE" w:rsidRDefault="00CF0E2D" w:rsidP="00A60D4B">
            <w:pPr>
              <w:pStyle w:val="InitFigRBold"/>
            </w:pPr>
            <w:r w:rsidRPr="00DE7F02">
              <w:t>$’000</w:t>
            </w:r>
          </w:p>
        </w:tc>
      </w:tr>
      <w:tr w:rsidR="00CF0E2D" w:rsidRPr="00DE7F02" w14:paraId="3305A55C" w14:textId="77777777" w:rsidTr="00A60D4B">
        <w:trPr>
          <w:cantSplit/>
          <w:jc w:val="center"/>
        </w:trPr>
        <w:tc>
          <w:tcPr>
            <w:tcW w:w="3746" w:type="dxa"/>
            <w:tcBorders>
              <w:top w:val="single" w:sz="4" w:space="0" w:color="auto"/>
              <w:bottom w:val="single" w:sz="4" w:space="0" w:color="auto"/>
            </w:tcBorders>
          </w:tcPr>
          <w:p w14:paraId="08799141" w14:textId="77777777" w:rsidR="00CF0E2D" w:rsidRPr="00DE7F02" w:rsidRDefault="00CF0E2D" w:rsidP="00A60D4B">
            <w:pPr>
              <w:pStyle w:val="InitTextL"/>
            </w:pPr>
            <w:r>
              <w:t>Net cost of services</w:t>
            </w:r>
          </w:p>
        </w:tc>
        <w:tc>
          <w:tcPr>
            <w:tcW w:w="1179" w:type="dxa"/>
            <w:tcBorders>
              <w:top w:val="single" w:sz="4" w:space="0" w:color="auto"/>
              <w:bottom w:val="single" w:sz="4" w:space="0" w:color="auto"/>
            </w:tcBorders>
          </w:tcPr>
          <w:p w14:paraId="3AC62941" w14:textId="77777777" w:rsidR="00CF0E2D" w:rsidRPr="00FF4BFE" w:rsidRDefault="00CF0E2D" w:rsidP="00A60D4B">
            <w:pPr>
              <w:pStyle w:val="InitFigR"/>
              <w:rPr>
                <w:szCs w:val="24"/>
              </w:rPr>
            </w:pPr>
            <w:r>
              <w:rPr>
                <w:szCs w:val="24"/>
              </w:rPr>
              <w:t>0</w:t>
            </w:r>
          </w:p>
        </w:tc>
        <w:tc>
          <w:tcPr>
            <w:tcW w:w="1041" w:type="dxa"/>
            <w:tcBorders>
              <w:top w:val="single" w:sz="4" w:space="0" w:color="auto"/>
              <w:bottom w:val="single" w:sz="4" w:space="0" w:color="auto"/>
            </w:tcBorders>
          </w:tcPr>
          <w:p w14:paraId="5F2976C2" w14:textId="77777777" w:rsidR="00CF0E2D" w:rsidRPr="00FF4BFE" w:rsidRDefault="00CF0E2D" w:rsidP="00A60D4B">
            <w:pPr>
              <w:pStyle w:val="InitFigR"/>
              <w:rPr>
                <w:szCs w:val="24"/>
              </w:rPr>
            </w:pPr>
            <w:r>
              <w:rPr>
                <w:szCs w:val="24"/>
              </w:rPr>
              <w:t>0</w:t>
            </w:r>
          </w:p>
        </w:tc>
        <w:tc>
          <w:tcPr>
            <w:tcW w:w="1029" w:type="dxa"/>
            <w:tcBorders>
              <w:top w:val="single" w:sz="4" w:space="0" w:color="auto"/>
              <w:bottom w:val="single" w:sz="4" w:space="0" w:color="auto"/>
            </w:tcBorders>
          </w:tcPr>
          <w:p w14:paraId="54BDC9A4" w14:textId="77777777" w:rsidR="00CF0E2D" w:rsidRPr="00FF4BFE" w:rsidRDefault="00CF0E2D" w:rsidP="00A60D4B">
            <w:pPr>
              <w:pStyle w:val="InitFigR"/>
              <w:rPr>
                <w:szCs w:val="24"/>
              </w:rPr>
            </w:pPr>
            <w:r>
              <w:rPr>
                <w:szCs w:val="24"/>
              </w:rPr>
              <w:t>0</w:t>
            </w:r>
          </w:p>
        </w:tc>
        <w:tc>
          <w:tcPr>
            <w:tcW w:w="1029" w:type="dxa"/>
            <w:tcBorders>
              <w:top w:val="single" w:sz="4" w:space="0" w:color="auto"/>
              <w:bottom w:val="single" w:sz="4" w:space="0" w:color="auto"/>
            </w:tcBorders>
          </w:tcPr>
          <w:p w14:paraId="0FED7844" w14:textId="77777777" w:rsidR="00CF0E2D" w:rsidRPr="00FF4BFE" w:rsidRDefault="00CF0E2D" w:rsidP="00A60D4B">
            <w:pPr>
              <w:pStyle w:val="InitFigR"/>
              <w:rPr>
                <w:szCs w:val="24"/>
              </w:rPr>
            </w:pPr>
            <w:r>
              <w:rPr>
                <w:szCs w:val="24"/>
              </w:rPr>
              <w:t>0</w:t>
            </w:r>
          </w:p>
        </w:tc>
        <w:tc>
          <w:tcPr>
            <w:tcW w:w="1029" w:type="dxa"/>
            <w:tcBorders>
              <w:top w:val="single" w:sz="4" w:space="0" w:color="auto"/>
              <w:bottom w:val="single" w:sz="4" w:space="0" w:color="auto"/>
            </w:tcBorders>
          </w:tcPr>
          <w:p w14:paraId="242B7A75" w14:textId="77777777" w:rsidR="00CF0E2D" w:rsidRPr="00FF4BFE" w:rsidRDefault="00CF0E2D" w:rsidP="00A60D4B">
            <w:pPr>
              <w:pStyle w:val="InitFigR"/>
              <w:rPr>
                <w:b/>
                <w:szCs w:val="24"/>
              </w:rPr>
            </w:pPr>
            <w:r>
              <w:rPr>
                <w:b/>
                <w:szCs w:val="24"/>
              </w:rPr>
              <w:t>0</w:t>
            </w:r>
          </w:p>
        </w:tc>
      </w:tr>
    </w:tbl>
    <w:p w14:paraId="7AA57F81" w14:textId="77777777" w:rsidR="00CF0E2D" w:rsidRDefault="00CF0E2D" w:rsidP="00A60D4B">
      <w:pPr>
        <w:pStyle w:val="Bbodytext"/>
      </w:pPr>
      <w:r w:rsidRPr="009609CE">
        <w:t xml:space="preserve">The Government </w:t>
      </w:r>
      <w:r>
        <w:t>is extending the Commercial Liquor Permit fee waiver</w:t>
      </w:r>
      <w:r w:rsidRPr="00F97EBE">
        <w:t xml:space="preserve"> </w:t>
      </w:r>
      <w:r>
        <w:t xml:space="preserve">until 31 March 2022. The waiver applies to application fees for ‘on licensees’ for the sale of takeaway liquor and will be automatically applied for current permit holders.   </w:t>
      </w:r>
    </w:p>
    <w:p w14:paraId="3A1963D6" w14:textId="77777777" w:rsidR="00CF0E2D" w:rsidRDefault="00CF0E2D" w:rsidP="00A60D4B">
      <w:pPr>
        <w:pStyle w:val="Bbodytext"/>
      </w:pPr>
      <w:r>
        <w:t xml:space="preserve">This initiative is part of the </w:t>
      </w:r>
      <w:r w:rsidRPr="009609CE">
        <w:t>Government</w:t>
      </w:r>
      <w:r>
        <w:t>’s</w:t>
      </w:r>
      <w:r w:rsidRPr="009609CE">
        <w:t xml:space="preserve"> </w:t>
      </w:r>
      <w:r>
        <w:t>ongoing support to the local hospitality industry that has been significantly affected during the COVID-19 pandemic.</w:t>
      </w:r>
    </w:p>
    <w:p w14:paraId="7B17D8D6" w14:textId="77777777" w:rsidR="00CF0E2D" w:rsidRDefault="00CF0E2D" w:rsidP="00A60D4B">
      <w:pPr>
        <w:pStyle w:val="Bbodytext"/>
      </w:pPr>
      <w:r>
        <w:t xml:space="preserve">This initiative </w:t>
      </w:r>
      <w:r w:rsidRPr="009609CE">
        <w:t xml:space="preserve">contributes to the wellbeing domain of </w:t>
      </w:r>
      <w:r>
        <w:t>Economy.</w:t>
      </w:r>
    </w:p>
    <w:p w14:paraId="5CE6909D" w14:textId="77777777" w:rsidR="00CF0E2D" w:rsidRDefault="00CF0E2D">
      <w:pPr>
        <w:rPr>
          <w:sz w:val="24"/>
        </w:rPr>
      </w:pPr>
      <w:r>
        <w:br w:type="page"/>
      </w:r>
    </w:p>
    <w:p w14:paraId="1446AF14" w14:textId="77777777" w:rsidR="00CF0E2D" w:rsidRDefault="00CF0E2D" w:rsidP="00A60D4B">
      <w:pPr>
        <w:pStyle w:val="Heading4"/>
      </w:pPr>
      <w:r>
        <w:rPr>
          <w:b w:val="0"/>
          <w:noProof/>
          <w:color w:val="999789"/>
          <w:sz w:val="32"/>
          <w:szCs w:val="24"/>
        </w:rPr>
        <w:lastRenderedPageBreak/>
        <w:drawing>
          <wp:anchor distT="0" distB="0" distL="114300" distR="114300" simplePos="0" relativeHeight="251718656" behindDoc="0" locked="1" layoutInCell="1" allowOverlap="1" wp14:anchorId="2BFBD14B" wp14:editId="76990342">
            <wp:simplePos x="0" y="0"/>
            <wp:positionH relativeFrom="margin">
              <wp:posOffset>4579620</wp:posOffset>
            </wp:positionH>
            <wp:positionV relativeFrom="paragraph">
              <wp:posOffset>107950</wp:posOffset>
            </wp:positionV>
            <wp:extent cx="1148400" cy="504000"/>
            <wp:effectExtent l="0" t="0" r="0" b="0"/>
            <wp:wrapSquare wrapText="bothSides"/>
            <wp:docPr id="37" name="Picture 37"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400" cy="504000"/>
                    </a:xfrm>
                    <a:prstGeom prst="rect">
                      <a:avLst/>
                    </a:prstGeom>
                  </pic:spPr>
                </pic:pic>
              </a:graphicData>
            </a:graphic>
            <wp14:sizeRelH relativeFrom="margin">
              <wp14:pctWidth>0</wp14:pctWidth>
            </wp14:sizeRelH>
            <wp14:sizeRelV relativeFrom="margin">
              <wp14:pctHeight>0</wp14:pctHeight>
            </wp14:sizeRelV>
          </wp:anchor>
        </w:drawing>
      </w:r>
      <w:r w:rsidRPr="0085649E">
        <w:rPr>
          <w:noProof/>
        </w:rPr>
        <w:t xml:space="preserve">COVID-19 Business support </w:t>
      </w:r>
      <w:r>
        <w:t>– Mediation support services for commercial lease negotiations</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4E341E" w14:paraId="66FF3B61" w14:textId="77777777" w:rsidTr="00A60D4B">
        <w:trPr>
          <w:cantSplit/>
          <w:jc w:val="center"/>
        </w:trPr>
        <w:tc>
          <w:tcPr>
            <w:tcW w:w="3652" w:type="dxa"/>
            <w:tcBorders>
              <w:top w:val="single" w:sz="4" w:space="0" w:color="auto"/>
              <w:bottom w:val="single" w:sz="4" w:space="0" w:color="auto"/>
            </w:tcBorders>
          </w:tcPr>
          <w:p w14:paraId="76B75626"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7270DF5F" w14:textId="77777777" w:rsidR="00CF0E2D" w:rsidRPr="000262BB" w:rsidRDefault="00CF0E2D" w:rsidP="00A60D4B">
            <w:pPr>
              <w:pStyle w:val="InitFigR"/>
              <w:rPr>
                <w:b/>
                <w:bCs/>
              </w:rPr>
            </w:pPr>
            <w:r w:rsidRPr="000262BB">
              <w:rPr>
                <w:b/>
                <w:bCs/>
              </w:rPr>
              <w:t>2021-22</w:t>
            </w:r>
          </w:p>
          <w:p w14:paraId="6F362B2E" w14:textId="77777777" w:rsidR="00CF0E2D" w:rsidRPr="000262BB" w:rsidRDefault="00CF0E2D" w:rsidP="00A60D4B">
            <w:pPr>
              <w:pStyle w:val="InitFigR"/>
              <w:rPr>
                <w:b/>
                <w:bCs/>
              </w:rPr>
            </w:pPr>
            <w:r w:rsidRPr="000262BB">
              <w:rPr>
                <w:b/>
                <w:bCs/>
              </w:rPr>
              <w:t>$’000</w:t>
            </w:r>
          </w:p>
        </w:tc>
        <w:tc>
          <w:tcPr>
            <w:tcW w:w="1041" w:type="dxa"/>
            <w:tcBorders>
              <w:top w:val="single" w:sz="4" w:space="0" w:color="auto"/>
              <w:bottom w:val="single" w:sz="4" w:space="0" w:color="auto"/>
            </w:tcBorders>
          </w:tcPr>
          <w:p w14:paraId="0C2384AB" w14:textId="77777777" w:rsidR="00CF0E2D" w:rsidRPr="000262BB" w:rsidRDefault="00CF0E2D" w:rsidP="00A60D4B">
            <w:pPr>
              <w:pStyle w:val="InitFigR"/>
              <w:rPr>
                <w:b/>
                <w:bCs/>
              </w:rPr>
            </w:pPr>
            <w:r w:rsidRPr="000262BB">
              <w:rPr>
                <w:b/>
                <w:bCs/>
              </w:rPr>
              <w:t>2022-23</w:t>
            </w:r>
          </w:p>
          <w:p w14:paraId="49A53876" w14:textId="77777777" w:rsidR="00CF0E2D" w:rsidRPr="000262BB" w:rsidRDefault="00CF0E2D" w:rsidP="00A60D4B">
            <w:pPr>
              <w:pStyle w:val="InitFigR"/>
              <w:rPr>
                <w:b/>
                <w:bCs/>
              </w:rPr>
            </w:pPr>
            <w:r w:rsidRPr="000262BB">
              <w:rPr>
                <w:b/>
                <w:bCs/>
              </w:rPr>
              <w:t>$’000</w:t>
            </w:r>
          </w:p>
        </w:tc>
        <w:tc>
          <w:tcPr>
            <w:tcW w:w="1029" w:type="dxa"/>
            <w:tcBorders>
              <w:top w:val="single" w:sz="4" w:space="0" w:color="auto"/>
              <w:bottom w:val="single" w:sz="4" w:space="0" w:color="auto"/>
            </w:tcBorders>
          </w:tcPr>
          <w:p w14:paraId="6273E460" w14:textId="77777777" w:rsidR="00CF0E2D" w:rsidRPr="000262BB" w:rsidRDefault="00CF0E2D" w:rsidP="00A60D4B">
            <w:pPr>
              <w:pStyle w:val="InitFigR"/>
              <w:rPr>
                <w:b/>
                <w:bCs/>
              </w:rPr>
            </w:pPr>
            <w:r w:rsidRPr="000262BB">
              <w:rPr>
                <w:b/>
                <w:bCs/>
              </w:rPr>
              <w:t>2023-24</w:t>
            </w:r>
          </w:p>
          <w:p w14:paraId="130D2B18" w14:textId="77777777" w:rsidR="00CF0E2D" w:rsidRPr="000262BB" w:rsidRDefault="00CF0E2D" w:rsidP="00A60D4B">
            <w:pPr>
              <w:pStyle w:val="InitFigR"/>
              <w:rPr>
                <w:b/>
                <w:bCs/>
              </w:rPr>
            </w:pPr>
            <w:r w:rsidRPr="000262BB">
              <w:rPr>
                <w:b/>
                <w:bCs/>
              </w:rPr>
              <w:t>$’000</w:t>
            </w:r>
          </w:p>
        </w:tc>
        <w:tc>
          <w:tcPr>
            <w:tcW w:w="1029" w:type="dxa"/>
            <w:tcBorders>
              <w:top w:val="single" w:sz="4" w:space="0" w:color="auto"/>
              <w:bottom w:val="single" w:sz="4" w:space="0" w:color="auto"/>
            </w:tcBorders>
          </w:tcPr>
          <w:p w14:paraId="7B3AE0A0" w14:textId="77777777" w:rsidR="00CF0E2D" w:rsidRPr="000262BB" w:rsidRDefault="00CF0E2D" w:rsidP="00A60D4B">
            <w:pPr>
              <w:pStyle w:val="InitFigR"/>
              <w:rPr>
                <w:b/>
                <w:bCs/>
              </w:rPr>
            </w:pPr>
            <w:r w:rsidRPr="000262BB">
              <w:rPr>
                <w:b/>
                <w:bCs/>
              </w:rPr>
              <w:t>2024-25</w:t>
            </w:r>
          </w:p>
          <w:p w14:paraId="1CC86113" w14:textId="77777777" w:rsidR="00CF0E2D" w:rsidRPr="000262BB" w:rsidRDefault="00CF0E2D" w:rsidP="00A60D4B">
            <w:pPr>
              <w:pStyle w:val="InitFigR"/>
              <w:rPr>
                <w:b/>
                <w:bCs/>
              </w:rPr>
            </w:pPr>
            <w:r w:rsidRPr="000262BB">
              <w:rPr>
                <w:b/>
                <w:bCs/>
              </w:rPr>
              <w:t>$’000</w:t>
            </w:r>
          </w:p>
        </w:tc>
        <w:tc>
          <w:tcPr>
            <w:tcW w:w="1029" w:type="dxa"/>
            <w:tcBorders>
              <w:top w:val="single" w:sz="4" w:space="0" w:color="auto"/>
              <w:bottom w:val="single" w:sz="4" w:space="0" w:color="auto"/>
            </w:tcBorders>
          </w:tcPr>
          <w:p w14:paraId="4E40CE9F" w14:textId="77777777" w:rsidR="00CF0E2D" w:rsidRPr="004E341E" w:rsidRDefault="00CF0E2D" w:rsidP="00A60D4B">
            <w:pPr>
              <w:pStyle w:val="InitFigRBold"/>
            </w:pPr>
            <w:r w:rsidRPr="004E341E">
              <w:t>Total</w:t>
            </w:r>
          </w:p>
          <w:p w14:paraId="274396DC" w14:textId="77777777" w:rsidR="00CF0E2D" w:rsidRPr="004E341E" w:rsidRDefault="00CF0E2D" w:rsidP="00A60D4B">
            <w:pPr>
              <w:pStyle w:val="InitFigBR"/>
            </w:pPr>
            <w:r w:rsidRPr="004E341E">
              <w:t>$’000</w:t>
            </w:r>
          </w:p>
        </w:tc>
      </w:tr>
      <w:tr w:rsidR="00CF0E2D" w:rsidRPr="00424DA4" w14:paraId="72572A51" w14:textId="77777777" w:rsidTr="00A60D4B">
        <w:trPr>
          <w:cantSplit/>
          <w:jc w:val="center"/>
        </w:trPr>
        <w:tc>
          <w:tcPr>
            <w:tcW w:w="3652" w:type="dxa"/>
            <w:tcBorders>
              <w:top w:val="single" w:sz="4" w:space="0" w:color="auto"/>
              <w:bottom w:val="single" w:sz="4" w:space="0" w:color="auto"/>
            </w:tcBorders>
          </w:tcPr>
          <w:p w14:paraId="6895E0B0"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58D9A1B8" w14:textId="77777777" w:rsidR="00CF0E2D" w:rsidRPr="00424DA4" w:rsidRDefault="00CF0E2D" w:rsidP="00A60D4B">
            <w:pPr>
              <w:pStyle w:val="InitFigR"/>
            </w:pPr>
            <w:r>
              <w:t>250</w:t>
            </w:r>
          </w:p>
        </w:tc>
        <w:tc>
          <w:tcPr>
            <w:tcW w:w="1041" w:type="dxa"/>
            <w:tcBorders>
              <w:top w:val="single" w:sz="4" w:space="0" w:color="auto"/>
              <w:bottom w:val="single" w:sz="4" w:space="0" w:color="auto"/>
            </w:tcBorders>
          </w:tcPr>
          <w:p w14:paraId="301DEB42"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06D70D89"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032EE9FC"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39D31847" w14:textId="77777777" w:rsidR="00CF0E2D" w:rsidRPr="00424DA4" w:rsidRDefault="00CF0E2D" w:rsidP="00A60D4B">
            <w:pPr>
              <w:pStyle w:val="InitFigBR"/>
            </w:pPr>
            <w:r>
              <w:t>250</w:t>
            </w:r>
          </w:p>
        </w:tc>
      </w:tr>
    </w:tbl>
    <w:p w14:paraId="14FF640F" w14:textId="77777777" w:rsidR="00CF0E2D" w:rsidRDefault="00CF0E2D" w:rsidP="00A60D4B">
      <w:pPr>
        <w:pStyle w:val="Bbodytext"/>
      </w:pPr>
      <w:r w:rsidRPr="004C581D">
        <w:t>The Government wi</w:t>
      </w:r>
      <w:r>
        <w:t xml:space="preserve">ll provide funding for mediation support services for tenants and landlords to constructively engage in good faith negotiations where a tenant has been impacted by the current COVID-19 lockdown. </w:t>
      </w:r>
    </w:p>
    <w:p w14:paraId="24AE4607" w14:textId="77777777" w:rsidR="00CF0E2D" w:rsidRDefault="00CF0E2D" w:rsidP="00A60D4B">
      <w:pPr>
        <w:pStyle w:val="Bbodytext"/>
      </w:pPr>
      <w:r>
        <w:t xml:space="preserve">This initiative contributes to the wellbeing domain of Economy. </w:t>
      </w:r>
    </w:p>
    <w:p w14:paraId="4CC14552" w14:textId="77777777" w:rsidR="00CF0E2D" w:rsidRDefault="00CF0E2D" w:rsidP="00A60D4B">
      <w:pPr>
        <w:pStyle w:val="Bbodytext"/>
      </w:pPr>
    </w:p>
    <w:p w14:paraId="2D8D3F45" w14:textId="77777777" w:rsidR="00CF0E2D" w:rsidRDefault="00CF0E2D" w:rsidP="00A60D4B">
      <w:pPr>
        <w:pStyle w:val="Heading4"/>
      </w:pPr>
      <w:r w:rsidRPr="007E45FB">
        <w:rPr>
          <w:b w:val="0"/>
          <w:noProof/>
          <w:color w:val="999789"/>
          <w:sz w:val="32"/>
          <w:szCs w:val="24"/>
        </w:rPr>
        <w:drawing>
          <wp:anchor distT="0" distB="0" distL="114300" distR="114300" simplePos="0" relativeHeight="251825152" behindDoc="0" locked="1" layoutInCell="1" allowOverlap="1" wp14:anchorId="671EF316" wp14:editId="2960736D">
            <wp:simplePos x="0" y="0"/>
            <wp:positionH relativeFrom="margin">
              <wp:posOffset>4583430</wp:posOffset>
            </wp:positionH>
            <wp:positionV relativeFrom="paragraph">
              <wp:posOffset>100965</wp:posOffset>
            </wp:positionV>
            <wp:extent cx="1148400" cy="504000"/>
            <wp:effectExtent l="0" t="0" r="0" b="0"/>
            <wp:wrapSquare wrapText="bothSides"/>
            <wp:docPr id="251" name="Picture 251"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400" cy="504000"/>
                    </a:xfrm>
                    <a:prstGeom prst="rect">
                      <a:avLst/>
                    </a:prstGeom>
                  </pic:spPr>
                </pic:pic>
              </a:graphicData>
            </a:graphic>
            <wp14:sizeRelH relativeFrom="margin">
              <wp14:pctWidth>0</wp14:pctWidth>
            </wp14:sizeRelH>
            <wp14:sizeRelV relativeFrom="margin">
              <wp14:pctHeight>0</wp14:pctHeight>
            </wp14:sizeRelV>
          </wp:anchor>
        </w:drawing>
      </w:r>
      <w:r w:rsidRPr="007E45FB">
        <w:t>COVID-19 Business support – Payroll tax exemptions for new apprenticeships and trainees - continuation</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4E341E" w14:paraId="31DF7C78" w14:textId="77777777" w:rsidTr="00A60D4B">
        <w:trPr>
          <w:cantSplit/>
          <w:jc w:val="center"/>
        </w:trPr>
        <w:tc>
          <w:tcPr>
            <w:tcW w:w="3652" w:type="dxa"/>
            <w:tcBorders>
              <w:top w:val="single" w:sz="4" w:space="0" w:color="auto"/>
              <w:bottom w:val="single" w:sz="4" w:space="0" w:color="auto"/>
            </w:tcBorders>
          </w:tcPr>
          <w:p w14:paraId="1EC103CC"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6DBB78C1" w14:textId="77777777" w:rsidR="00CF0E2D" w:rsidRPr="00443845" w:rsidRDefault="00CF0E2D" w:rsidP="00A60D4B">
            <w:pPr>
              <w:pStyle w:val="InitFigR"/>
              <w:rPr>
                <w:b/>
                <w:bCs/>
              </w:rPr>
            </w:pPr>
            <w:r w:rsidRPr="00443845">
              <w:rPr>
                <w:b/>
                <w:bCs/>
              </w:rPr>
              <w:t>2021-22</w:t>
            </w:r>
          </w:p>
          <w:p w14:paraId="4C148789" w14:textId="77777777" w:rsidR="00CF0E2D" w:rsidRPr="00443845" w:rsidRDefault="00CF0E2D" w:rsidP="00A60D4B">
            <w:pPr>
              <w:pStyle w:val="InitFigR"/>
              <w:rPr>
                <w:b/>
                <w:bCs/>
              </w:rPr>
            </w:pPr>
            <w:r w:rsidRPr="00443845">
              <w:rPr>
                <w:b/>
                <w:bCs/>
              </w:rPr>
              <w:t>$’000</w:t>
            </w:r>
          </w:p>
        </w:tc>
        <w:tc>
          <w:tcPr>
            <w:tcW w:w="1041" w:type="dxa"/>
            <w:tcBorders>
              <w:top w:val="single" w:sz="4" w:space="0" w:color="auto"/>
              <w:bottom w:val="single" w:sz="4" w:space="0" w:color="auto"/>
            </w:tcBorders>
          </w:tcPr>
          <w:p w14:paraId="4AA083B0" w14:textId="77777777" w:rsidR="00CF0E2D" w:rsidRPr="00443845" w:rsidRDefault="00CF0E2D" w:rsidP="00A60D4B">
            <w:pPr>
              <w:pStyle w:val="InitFigR"/>
              <w:rPr>
                <w:b/>
                <w:bCs/>
              </w:rPr>
            </w:pPr>
            <w:r w:rsidRPr="00443845">
              <w:rPr>
                <w:b/>
                <w:bCs/>
              </w:rPr>
              <w:t>2022-23</w:t>
            </w:r>
          </w:p>
          <w:p w14:paraId="0AE8C684" w14:textId="77777777" w:rsidR="00CF0E2D" w:rsidRPr="00443845" w:rsidRDefault="00CF0E2D" w:rsidP="00A60D4B">
            <w:pPr>
              <w:pStyle w:val="InitFigR"/>
              <w:rPr>
                <w:b/>
                <w:bCs/>
              </w:rPr>
            </w:pPr>
            <w:r w:rsidRPr="00443845">
              <w:rPr>
                <w:b/>
                <w:bCs/>
              </w:rPr>
              <w:t>$’000</w:t>
            </w:r>
          </w:p>
        </w:tc>
        <w:tc>
          <w:tcPr>
            <w:tcW w:w="1029" w:type="dxa"/>
            <w:tcBorders>
              <w:top w:val="single" w:sz="4" w:space="0" w:color="auto"/>
              <w:bottom w:val="single" w:sz="4" w:space="0" w:color="auto"/>
            </w:tcBorders>
          </w:tcPr>
          <w:p w14:paraId="1F1465AF" w14:textId="77777777" w:rsidR="00CF0E2D" w:rsidRPr="00443845" w:rsidRDefault="00CF0E2D" w:rsidP="00A60D4B">
            <w:pPr>
              <w:pStyle w:val="InitFigR"/>
              <w:rPr>
                <w:b/>
                <w:bCs/>
              </w:rPr>
            </w:pPr>
            <w:r w:rsidRPr="00443845">
              <w:rPr>
                <w:b/>
                <w:bCs/>
              </w:rPr>
              <w:t>2023-24</w:t>
            </w:r>
          </w:p>
          <w:p w14:paraId="6C8DB919" w14:textId="77777777" w:rsidR="00CF0E2D" w:rsidRPr="00443845" w:rsidRDefault="00CF0E2D" w:rsidP="00A60D4B">
            <w:pPr>
              <w:pStyle w:val="InitFigR"/>
              <w:rPr>
                <w:b/>
                <w:bCs/>
              </w:rPr>
            </w:pPr>
            <w:r w:rsidRPr="00443845">
              <w:rPr>
                <w:b/>
                <w:bCs/>
              </w:rPr>
              <w:t>$’000</w:t>
            </w:r>
          </w:p>
        </w:tc>
        <w:tc>
          <w:tcPr>
            <w:tcW w:w="1029" w:type="dxa"/>
            <w:tcBorders>
              <w:top w:val="single" w:sz="4" w:space="0" w:color="auto"/>
              <w:bottom w:val="single" w:sz="4" w:space="0" w:color="auto"/>
            </w:tcBorders>
          </w:tcPr>
          <w:p w14:paraId="1402DBB6" w14:textId="77777777" w:rsidR="00CF0E2D" w:rsidRPr="00443845" w:rsidRDefault="00CF0E2D" w:rsidP="00A60D4B">
            <w:pPr>
              <w:pStyle w:val="InitFigR"/>
              <w:rPr>
                <w:b/>
                <w:bCs/>
              </w:rPr>
            </w:pPr>
            <w:r w:rsidRPr="00443845">
              <w:rPr>
                <w:b/>
                <w:bCs/>
              </w:rPr>
              <w:t>2024-25</w:t>
            </w:r>
          </w:p>
          <w:p w14:paraId="4CB390AF" w14:textId="77777777" w:rsidR="00CF0E2D" w:rsidRPr="00443845" w:rsidRDefault="00CF0E2D" w:rsidP="00A60D4B">
            <w:pPr>
              <w:pStyle w:val="InitFigR"/>
              <w:rPr>
                <w:b/>
                <w:bCs/>
              </w:rPr>
            </w:pPr>
            <w:r w:rsidRPr="00443845">
              <w:rPr>
                <w:b/>
                <w:bCs/>
              </w:rPr>
              <w:t>$’000</w:t>
            </w:r>
          </w:p>
        </w:tc>
        <w:tc>
          <w:tcPr>
            <w:tcW w:w="1029" w:type="dxa"/>
            <w:tcBorders>
              <w:top w:val="single" w:sz="4" w:space="0" w:color="auto"/>
              <w:bottom w:val="single" w:sz="4" w:space="0" w:color="auto"/>
            </w:tcBorders>
          </w:tcPr>
          <w:p w14:paraId="1FC272ED" w14:textId="77777777" w:rsidR="00CF0E2D" w:rsidRPr="004E341E" w:rsidRDefault="00CF0E2D" w:rsidP="00A60D4B">
            <w:pPr>
              <w:pStyle w:val="InitFigRBold"/>
            </w:pPr>
            <w:r w:rsidRPr="004E341E">
              <w:t>Total</w:t>
            </w:r>
          </w:p>
          <w:p w14:paraId="01BFB06A" w14:textId="77777777" w:rsidR="00CF0E2D" w:rsidRPr="004E341E" w:rsidRDefault="00CF0E2D" w:rsidP="00A60D4B">
            <w:pPr>
              <w:pStyle w:val="InitFigBR"/>
            </w:pPr>
            <w:r w:rsidRPr="004E341E">
              <w:t>$’000</w:t>
            </w:r>
          </w:p>
        </w:tc>
      </w:tr>
      <w:tr w:rsidR="00CF0E2D" w:rsidRPr="00424DA4" w14:paraId="5B7A621F" w14:textId="77777777" w:rsidTr="00A60D4B">
        <w:trPr>
          <w:cantSplit/>
          <w:trHeight w:val="107"/>
          <w:jc w:val="center"/>
        </w:trPr>
        <w:tc>
          <w:tcPr>
            <w:tcW w:w="3652" w:type="dxa"/>
            <w:tcBorders>
              <w:top w:val="single" w:sz="4" w:space="0" w:color="auto"/>
              <w:bottom w:val="single" w:sz="4" w:space="0" w:color="auto"/>
            </w:tcBorders>
          </w:tcPr>
          <w:p w14:paraId="65B6D6A5" w14:textId="77777777" w:rsidR="00CF0E2D" w:rsidRDefault="00CF0E2D" w:rsidP="00A60D4B">
            <w:pPr>
              <w:pStyle w:val="InitTextL"/>
              <w:ind w:left="321" w:hanging="321"/>
            </w:pPr>
            <w:r>
              <w:t>Revenue forgone</w:t>
            </w:r>
          </w:p>
        </w:tc>
        <w:tc>
          <w:tcPr>
            <w:tcW w:w="1179" w:type="dxa"/>
            <w:tcBorders>
              <w:top w:val="single" w:sz="4" w:space="0" w:color="auto"/>
              <w:bottom w:val="single" w:sz="4" w:space="0" w:color="auto"/>
            </w:tcBorders>
          </w:tcPr>
          <w:p w14:paraId="32555AA0" w14:textId="77777777" w:rsidR="00CF0E2D" w:rsidRPr="00424DA4" w:rsidRDefault="00CF0E2D" w:rsidP="00A60D4B">
            <w:pPr>
              <w:pStyle w:val="InitFigR"/>
            </w:pPr>
            <w:r>
              <w:t>200</w:t>
            </w:r>
          </w:p>
        </w:tc>
        <w:tc>
          <w:tcPr>
            <w:tcW w:w="1041" w:type="dxa"/>
            <w:tcBorders>
              <w:top w:val="single" w:sz="4" w:space="0" w:color="auto"/>
              <w:bottom w:val="single" w:sz="4" w:space="0" w:color="auto"/>
            </w:tcBorders>
          </w:tcPr>
          <w:p w14:paraId="0F826812"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18DF3A02"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46C10C6F"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7706D084" w14:textId="77777777" w:rsidR="00CF0E2D" w:rsidRPr="00424DA4" w:rsidRDefault="00CF0E2D" w:rsidP="00A60D4B">
            <w:pPr>
              <w:pStyle w:val="InitFigBR"/>
            </w:pPr>
            <w:r>
              <w:t>200</w:t>
            </w:r>
          </w:p>
        </w:tc>
      </w:tr>
    </w:tbl>
    <w:p w14:paraId="01131702" w14:textId="77777777" w:rsidR="00CF0E2D" w:rsidRPr="007F123B" w:rsidRDefault="00CF0E2D" w:rsidP="00A60D4B">
      <w:pPr>
        <w:pStyle w:val="Bbodytext"/>
      </w:pPr>
      <w:r w:rsidRPr="007F123B">
        <w:t xml:space="preserve">The Government </w:t>
      </w:r>
      <w:r>
        <w:t>has</w:t>
      </w:r>
      <w:r w:rsidRPr="007F123B">
        <w:t xml:space="preserve"> extend</w:t>
      </w:r>
      <w:r>
        <w:t>ed</w:t>
      </w:r>
      <w:r w:rsidRPr="007F123B">
        <w:t xml:space="preserve"> the COVID-19 payroll tax exemption for wages paid to new apprentices or trainees employed after 1 August 2020 from the start of employment until 30 June 2022.</w:t>
      </w:r>
    </w:p>
    <w:p w14:paraId="54664FBD" w14:textId="77777777" w:rsidR="00CF0E2D" w:rsidRDefault="00CF0E2D" w:rsidP="00A60D4B">
      <w:pPr>
        <w:pStyle w:val="Bbodytext"/>
      </w:pPr>
      <w:r w:rsidRPr="007F123B">
        <w:t>This initiative contributes to the wellbeing domain of Economy</w:t>
      </w:r>
      <w:r>
        <w:t>.</w:t>
      </w:r>
    </w:p>
    <w:p w14:paraId="740DDF59" w14:textId="77777777" w:rsidR="00CF0E2D" w:rsidRDefault="00CF0E2D" w:rsidP="00A60D4B">
      <w:pPr>
        <w:pStyle w:val="Bbodytext"/>
      </w:pPr>
    </w:p>
    <w:p w14:paraId="533E4EE5" w14:textId="77777777" w:rsidR="00CF0E2D" w:rsidRDefault="00CF0E2D" w:rsidP="00A60D4B">
      <w:pPr>
        <w:pStyle w:val="Heading4"/>
      </w:pPr>
      <w:r>
        <w:rPr>
          <w:b w:val="0"/>
          <w:noProof/>
          <w:color w:val="999789"/>
          <w:sz w:val="32"/>
          <w:szCs w:val="24"/>
        </w:rPr>
        <w:drawing>
          <wp:anchor distT="0" distB="0" distL="114300" distR="114300" simplePos="0" relativeHeight="251740160" behindDoc="0" locked="1" layoutInCell="1" allowOverlap="1" wp14:anchorId="7438EDAB" wp14:editId="4702A77E">
            <wp:simplePos x="0" y="0"/>
            <wp:positionH relativeFrom="margin">
              <wp:align>right</wp:align>
            </wp:positionH>
            <wp:positionV relativeFrom="paragraph">
              <wp:posOffset>82550</wp:posOffset>
            </wp:positionV>
            <wp:extent cx="1148080" cy="503555"/>
            <wp:effectExtent l="0" t="0" r="0" b="0"/>
            <wp:wrapSquare wrapText="bothSides"/>
            <wp:docPr id="252" name="Picture 252"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080" cy="503555"/>
                    </a:xfrm>
                    <a:prstGeom prst="rect">
                      <a:avLst/>
                    </a:prstGeom>
                  </pic:spPr>
                </pic:pic>
              </a:graphicData>
            </a:graphic>
            <wp14:sizeRelH relativeFrom="margin">
              <wp14:pctWidth>0</wp14:pctWidth>
            </wp14:sizeRelH>
            <wp14:sizeRelV relativeFrom="margin">
              <wp14:pctHeight>0</wp14:pctHeight>
            </wp14:sizeRelV>
          </wp:anchor>
        </w:drawing>
      </w:r>
      <w:r w:rsidRPr="0085649E">
        <w:t xml:space="preserve">COVID-19 Business support </w:t>
      </w:r>
      <w:r>
        <w:t>–</w:t>
      </w:r>
      <w:r w:rsidRPr="0085649E">
        <w:t xml:space="preserve"> </w:t>
      </w:r>
      <w:r>
        <w:t xml:space="preserve">Rental Relief – ACT Government Properties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7A9DC8B7" w14:textId="77777777" w:rsidTr="00A60D4B">
        <w:trPr>
          <w:cantSplit/>
          <w:jc w:val="center"/>
        </w:trPr>
        <w:tc>
          <w:tcPr>
            <w:tcW w:w="3652" w:type="dxa"/>
            <w:tcBorders>
              <w:top w:val="single" w:sz="4" w:space="0" w:color="auto"/>
              <w:bottom w:val="single" w:sz="4" w:space="0" w:color="auto"/>
            </w:tcBorders>
          </w:tcPr>
          <w:p w14:paraId="186580E2"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090E21D7" w14:textId="77777777" w:rsidR="00CF0E2D" w:rsidRPr="000262BB" w:rsidRDefault="00CF0E2D" w:rsidP="00A60D4B">
            <w:pPr>
              <w:pStyle w:val="InitFigR"/>
              <w:rPr>
                <w:b/>
                <w:bCs/>
              </w:rPr>
            </w:pPr>
            <w:r w:rsidRPr="000262BB">
              <w:rPr>
                <w:b/>
                <w:bCs/>
              </w:rPr>
              <w:t>2021-22</w:t>
            </w:r>
          </w:p>
          <w:p w14:paraId="7E34F05F" w14:textId="77777777" w:rsidR="00CF0E2D" w:rsidRPr="000262BB" w:rsidRDefault="00CF0E2D" w:rsidP="00A60D4B">
            <w:pPr>
              <w:pStyle w:val="InitFigR"/>
              <w:rPr>
                <w:b/>
                <w:bCs/>
              </w:rPr>
            </w:pPr>
            <w:r w:rsidRPr="000262BB">
              <w:rPr>
                <w:b/>
                <w:bCs/>
              </w:rPr>
              <w:t>$’000</w:t>
            </w:r>
          </w:p>
        </w:tc>
        <w:tc>
          <w:tcPr>
            <w:tcW w:w="1041" w:type="dxa"/>
            <w:tcBorders>
              <w:top w:val="single" w:sz="4" w:space="0" w:color="auto"/>
              <w:bottom w:val="single" w:sz="4" w:space="0" w:color="auto"/>
            </w:tcBorders>
          </w:tcPr>
          <w:p w14:paraId="4FF6605A" w14:textId="77777777" w:rsidR="00CF0E2D" w:rsidRPr="000262BB" w:rsidRDefault="00CF0E2D" w:rsidP="00A60D4B">
            <w:pPr>
              <w:pStyle w:val="InitFigR"/>
              <w:rPr>
                <w:b/>
                <w:bCs/>
              </w:rPr>
            </w:pPr>
            <w:r w:rsidRPr="000262BB">
              <w:rPr>
                <w:b/>
                <w:bCs/>
              </w:rPr>
              <w:t>2022-23</w:t>
            </w:r>
          </w:p>
          <w:p w14:paraId="39DB2FA4" w14:textId="77777777" w:rsidR="00CF0E2D" w:rsidRPr="000262BB" w:rsidRDefault="00CF0E2D" w:rsidP="00A60D4B">
            <w:pPr>
              <w:pStyle w:val="InitFigR"/>
              <w:rPr>
                <w:b/>
                <w:bCs/>
              </w:rPr>
            </w:pPr>
            <w:r w:rsidRPr="000262BB">
              <w:rPr>
                <w:b/>
                <w:bCs/>
              </w:rPr>
              <w:t>$’000</w:t>
            </w:r>
          </w:p>
        </w:tc>
        <w:tc>
          <w:tcPr>
            <w:tcW w:w="1029" w:type="dxa"/>
            <w:tcBorders>
              <w:top w:val="single" w:sz="4" w:space="0" w:color="auto"/>
              <w:bottom w:val="single" w:sz="4" w:space="0" w:color="auto"/>
            </w:tcBorders>
          </w:tcPr>
          <w:p w14:paraId="28BF8357" w14:textId="77777777" w:rsidR="00CF0E2D" w:rsidRPr="000262BB" w:rsidRDefault="00CF0E2D" w:rsidP="00A60D4B">
            <w:pPr>
              <w:pStyle w:val="InitFigR"/>
              <w:rPr>
                <w:b/>
                <w:bCs/>
              </w:rPr>
            </w:pPr>
            <w:r w:rsidRPr="000262BB">
              <w:rPr>
                <w:b/>
                <w:bCs/>
              </w:rPr>
              <w:t>2023-24</w:t>
            </w:r>
          </w:p>
          <w:p w14:paraId="561E7580" w14:textId="77777777" w:rsidR="00CF0E2D" w:rsidRPr="000262BB" w:rsidRDefault="00CF0E2D" w:rsidP="00A60D4B">
            <w:pPr>
              <w:pStyle w:val="InitFigR"/>
              <w:rPr>
                <w:b/>
                <w:bCs/>
              </w:rPr>
            </w:pPr>
            <w:r w:rsidRPr="000262BB">
              <w:rPr>
                <w:b/>
                <w:bCs/>
              </w:rPr>
              <w:t>$’000</w:t>
            </w:r>
          </w:p>
        </w:tc>
        <w:tc>
          <w:tcPr>
            <w:tcW w:w="1029" w:type="dxa"/>
            <w:tcBorders>
              <w:top w:val="single" w:sz="4" w:space="0" w:color="auto"/>
              <w:bottom w:val="single" w:sz="4" w:space="0" w:color="auto"/>
            </w:tcBorders>
          </w:tcPr>
          <w:p w14:paraId="698E819F" w14:textId="77777777" w:rsidR="00CF0E2D" w:rsidRPr="000262BB" w:rsidRDefault="00CF0E2D" w:rsidP="00A60D4B">
            <w:pPr>
              <w:pStyle w:val="InitFigR"/>
              <w:rPr>
                <w:b/>
                <w:bCs/>
              </w:rPr>
            </w:pPr>
            <w:r w:rsidRPr="000262BB">
              <w:rPr>
                <w:b/>
                <w:bCs/>
              </w:rPr>
              <w:t>2024-25</w:t>
            </w:r>
          </w:p>
          <w:p w14:paraId="1B0F8D9A" w14:textId="77777777" w:rsidR="00CF0E2D" w:rsidRPr="000262BB" w:rsidRDefault="00CF0E2D" w:rsidP="00A60D4B">
            <w:pPr>
              <w:pStyle w:val="InitFigR"/>
              <w:rPr>
                <w:b/>
                <w:bCs/>
              </w:rPr>
            </w:pPr>
            <w:r w:rsidRPr="000262BB">
              <w:rPr>
                <w:b/>
                <w:bCs/>
              </w:rPr>
              <w:t>$’000</w:t>
            </w:r>
          </w:p>
        </w:tc>
        <w:tc>
          <w:tcPr>
            <w:tcW w:w="1029" w:type="dxa"/>
            <w:tcBorders>
              <w:top w:val="single" w:sz="4" w:space="0" w:color="auto"/>
              <w:bottom w:val="single" w:sz="4" w:space="0" w:color="auto"/>
            </w:tcBorders>
          </w:tcPr>
          <w:p w14:paraId="3EB80272" w14:textId="77777777" w:rsidR="00CF0E2D" w:rsidRPr="004E341E" w:rsidRDefault="00CF0E2D" w:rsidP="00A60D4B">
            <w:pPr>
              <w:pStyle w:val="InitFigRBold"/>
            </w:pPr>
            <w:r w:rsidRPr="004E341E">
              <w:t>Total</w:t>
            </w:r>
          </w:p>
          <w:p w14:paraId="34429D6A" w14:textId="77777777" w:rsidR="00CF0E2D" w:rsidRPr="004E341E" w:rsidRDefault="00CF0E2D" w:rsidP="00A60D4B">
            <w:pPr>
              <w:pStyle w:val="InitFigBR"/>
            </w:pPr>
            <w:r w:rsidRPr="004E341E">
              <w:t>$’000</w:t>
            </w:r>
          </w:p>
        </w:tc>
      </w:tr>
      <w:tr w:rsidR="00CF0E2D" w:rsidRPr="00750793" w14:paraId="070DDD4E" w14:textId="77777777" w:rsidTr="00A60D4B">
        <w:trPr>
          <w:cantSplit/>
          <w:jc w:val="center"/>
        </w:trPr>
        <w:tc>
          <w:tcPr>
            <w:tcW w:w="3652" w:type="dxa"/>
          </w:tcPr>
          <w:p w14:paraId="122A1330" w14:textId="77777777" w:rsidR="00CF0E2D" w:rsidRPr="00F13FAB" w:rsidRDefault="00CF0E2D" w:rsidP="00A60D4B">
            <w:pPr>
              <w:pStyle w:val="InitTextL"/>
              <w:ind w:left="321" w:hanging="321"/>
            </w:pPr>
            <w:r w:rsidRPr="00882BE2">
              <w:t>Expenses</w:t>
            </w:r>
          </w:p>
        </w:tc>
        <w:tc>
          <w:tcPr>
            <w:tcW w:w="1179" w:type="dxa"/>
          </w:tcPr>
          <w:p w14:paraId="732ED1E8" w14:textId="77777777" w:rsidR="00CF0E2D" w:rsidRPr="00424DA4" w:rsidRDefault="00CF0E2D" w:rsidP="00A60D4B">
            <w:pPr>
              <w:pStyle w:val="InitFigR"/>
            </w:pPr>
            <w:r>
              <w:t>3,934</w:t>
            </w:r>
          </w:p>
        </w:tc>
        <w:tc>
          <w:tcPr>
            <w:tcW w:w="1041" w:type="dxa"/>
          </w:tcPr>
          <w:p w14:paraId="66379755" w14:textId="77777777" w:rsidR="00CF0E2D" w:rsidRPr="00424DA4" w:rsidRDefault="00CF0E2D" w:rsidP="00A60D4B">
            <w:pPr>
              <w:pStyle w:val="InitFigR"/>
            </w:pPr>
            <w:r>
              <w:t>0</w:t>
            </w:r>
          </w:p>
        </w:tc>
        <w:tc>
          <w:tcPr>
            <w:tcW w:w="1029" w:type="dxa"/>
          </w:tcPr>
          <w:p w14:paraId="7DB58100" w14:textId="77777777" w:rsidR="00CF0E2D" w:rsidRPr="00424DA4" w:rsidRDefault="00CF0E2D" w:rsidP="00A60D4B">
            <w:pPr>
              <w:pStyle w:val="InitFigR"/>
            </w:pPr>
            <w:r>
              <w:t>0</w:t>
            </w:r>
          </w:p>
        </w:tc>
        <w:tc>
          <w:tcPr>
            <w:tcW w:w="1029" w:type="dxa"/>
          </w:tcPr>
          <w:p w14:paraId="3722D722" w14:textId="77777777" w:rsidR="00CF0E2D" w:rsidRPr="00424DA4" w:rsidRDefault="00CF0E2D" w:rsidP="00A60D4B">
            <w:pPr>
              <w:pStyle w:val="InitFigR"/>
            </w:pPr>
            <w:r>
              <w:t>0</w:t>
            </w:r>
          </w:p>
        </w:tc>
        <w:tc>
          <w:tcPr>
            <w:tcW w:w="1029" w:type="dxa"/>
          </w:tcPr>
          <w:p w14:paraId="4EA41030" w14:textId="77777777" w:rsidR="00CF0E2D" w:rsidRPr="00424DA4" w:rsidRDefault="00CF0E2D" w:rsidP="00A60D4B">
            <w:pPr>
              <w:pStyle w:val="InitFigBR"/>
            </w:pPr>
            <w:r>
              <w:t>3,934</w:t>
            </w:r>
          </w:p>
        </w:tc>
      </w:tr>
      <w:tr w:rsidR="00CF0E2D" w:rsidRPr="00750793" w14:paraId="21E55028" w14:textId="77777777" w:rsidTr="00A60D4B">
        <w:trPr>
          <w:cantSplit/>
          <w:jc w:val="center"/>
        </w:trPr>
        <w:tc>
          <w:tcPr>
            <w:tcW w:w="3652" w:type="dxa"/>
          </w:tcPr>
          <w:p w14:paraId="39EFA0F9" w14:textId="77777777" w:rsidR="00CF0E2D" w:rsidRDefault="00CF0E2D" w:rsidP="00A60D4B">
            <w:pPr>
              <w:pStyle w:val="InitTextL"/>
              <w:ind w:left="321" w:hanging="321"/>
            </w:pPr>
            <w:r>
              <w:t>Offset – Expenses</w:t>
            </w:r>
          </w:p>
        </w:tc>
        <w:tc>
          <w:tcPr>
            <w:tcW w:w="1179" w:type="dxa"/>
          </w:tcPr>
          <w:p w14:paraId="38FF4DAB" w14:textId="77777777" w:rsidR="00CF0E2D" w:rsidRPr="00424DA4" w:rsidRDefault="00CF0E2D" w:rsidP="00A60D4B">
            <w:pPr>
              <w:pStyle w:val="InitFigR"/>
            </w:pPr>
            <w:r>
              <w:t>-2,326</w:t>
            </w:r>
          </w:p>
        </w:tc>
        <w:tc>
          <w:tcPr>
            <w:tcW w:w="1041" w:type="dxa"/>
          </w:tcPr>
          <w:p w14:paraId="35537176" w14:textId="77777777" w:rsidR="00CF0E2D" w:rsidRPr="00424DA4" w:rsidRDefault="00CF0E2D" w:rsidP="00A60D4B">
            <w:pPr>
              <w:pStyle w:val="InitFigR"/>
            </w:pPr>
            <w:r>
              <w:t>0</w:t>
            </w:r>
          </w:p>
        </w:tc>
        <w:tc>
          <w:tcPr>
            <w:tcW w:w="1029" w:type="dxa"/>
          </w:tcPr>
          <w:p w14:paraId="5D349BA0" w14:textId="77777777" w:rsidR="00CF0E2D" w:rsidRPr="00424DA4" w:rsidRDefault="00CF0E2D" w:rsidP="00A60D4B">
            <w:pPr>
              <w:pStyle w:val="InitFigR"/>
            </w:pPr>
            <w:r>
              <w:t>0</w:t>
            </w:r>
          </w:p>
        </w:tc>
        <w:tc>
          <w:tcPr>
            <w:tcW w:w="1029" w:type="dxa"/>
          </w:tcPr>
          <w:p w14:paraId="46432835" w14:textId="77777777" w:rsidR="00CF0E2D" w:rsidRPr="00424DA4" w:rsidRDefault="00CF0E2D" w:rsidP="00A60D4B">
            <w:pPr>
              <w:pStyle w:val="InitFigR"/>
            </w:pPr>
            <w:r>
              <w:t>0</w:t>
            </w:r>
          </w:p>
        </w:tc>
        <w:tc>
          <w:tcPr>
            <w:tcW w:w="1029" w:type="dxa"/>
          </w:tcPr>
          <w:p w14:paraId="196A665A" w14:textId="77777777" w:rsidR="00CF0E2D" w:rsidRPr="00424DA4" w:rsidRDefault="00CF0E2D" w:rsidP="00A60D4B">
            <w:pPr>
              <w:pStyle w:val="InitFigBR"/>
            </w:pPr>
            <w:r>
              <w:t>-2,326</w:t>
            </w:r>
          </w:p>
        </w:tc>
      </w:tr>
      <w:tr w:rsidR="00CF0E2D" w:rsidRPr="00750793" w14:paraId="6740CFED" w14:textId="77777777" w:rsidTr="00A60D4B">
        <w:trPr>
          <w:cantSplit/>
          <w:trHeight w:val="107"/>
          <w:jc w:val="center"/>
        </w:trPr>
        <w:tc>
          <w:tcPr>
            <w:tcW w:w="3652" w:type="dxa"/>
            <w:tcBorders>
              <w:top w:val="single" w:sz="4" w:space="0" w:color="auto"/>
              <w:bottom w:val="single" w:sz="4" w:space="0" w:color="auto"/>
            </w:tcBorders>
          </w:tcPr>
          <w:p w14:paraId="7540D09D"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52901F2E" w14:textId="77777777" w:rsidR="00CF0E2D" w:rsidRPr="00424DA4" w:rsidRDefault="00CF0E2D" w:rsidP="00A60D4B">
            <w:pPr>
              <w:pStyle w:val="InitFigRBold"/>
            </w:pPr>
            <w:r>
              <w:t>1,608</w:t>
            </w:r>
          </w:p>
        </w:tc>
        <w:tc>
          <w:tcPr>
            <w:tcW w:w="1041" w:type="dxa"/>
            <w:tcBorders>
              <w:top w:val="single" w:sz="4" w:space="0" w:color="auto"/>
              <w:bottom w:val="single" w:sz="4" w:space="0" w:color="auto"/>
            </w:tcBorders>
          </w:tcPr>
          <w:p w14:paraId="7E090332"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3ACC8D0D"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544BF72D"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01564FD2" w14:textId="77777777" w:rsidR="00CF0E2D" w:rsidRPr="00424DA4" w:rsidRDefault="00CF0E2D" w:rsidP="00A60D4B">
            <w:pPr>
              <w:pStyle w:val="InitFigRBold"/>
            </w:pPr>
            <w:r>
              <w:t>1,608</w:t>
            </w:r>
          </w:p>
        </w:tc>
      </w:tr>
    </w:tbl>
    <w:p w14:paraId="3C75B07C" w14:textId="77777777" w:rsidR="00CF0E2D" w:rsidRDefault="00CF0E2D" w:rsidP="00A60D4B">
      <w:pPr>
        <w:pStyle w:val="Bbodytext"/>
      </w:pPr>
      <w:r w:rsidRPr="004C581D">
        <w:t>The Government wi</w:t>
      </w:r>
      <w:r>
        <w:t xml:space="preserve">ll waive rents for eligible community and business tenants </w:t>
      </w:r>
      <w:r w:rsidRPr="0013062D">
        <w:t>affected by the COVID-19 lockdown</w:t>
      </w:r>
      <w:r>
        <w:t xml:space="preserve"> at ACT Government-owned properties from 1 September to 31 December 2021. Waivers will be available for tenants suffering a reduction in revenue resulting from the current COVID-19 lockdown. </w:t>
      </w:r>
    </w:p>
    <w:p w14:paraId="0A004DE1" w14:textId="77777777" w:rsidR="00CF0E2D" w:rsidRDefault="00CF0E2D" w:rsidP="00A60D4B">
      <w:pPr>
        <w:pStyle w:val="Bbodytext"/>
      </w:pPr>
      <w:r>
        <w:t xml:space="preserve">The cost of this initiative will be partially offset from funding previously provided for rent relief for business tenants at ACT Government-owned properties in </w:t>
      </w:r>
      <w:r w:rsidRPr="00527663">
        <w:t xml:space="preserve">the </w:t>
      </w:r>
      <w:r w:rsidRPr="00F103FF">
        <w:t>August 2020 Economic and Fiscal Update</w:t>
      </w:r>
      <w:r w:rsidRPr="00527663">
        <w:t xml:space="preserve"> and the 2020-21 Budget.</w:t>
      </w:r>
    </w:p>
    <w:p w14:paraId="48B8797E" w14:textId="77777777" w:rsidR="00CF0E2D" w:rsidRDefault="00CF0E2D" w:rsidP="00A60D4B">
      <w:pPr>
        <w:pStyle w:val="Bbodytext"/>
      </w:pPr>
      <w:r w:rsidRPr="002C6502">
        <w:t>This initiative contributes to the wellbeing domain of</w:t>
      </w:r>
      <w:r>
        <w:t xml:space="preserve"> </w:t>
      </w:r>
      <w:r w:rsidRPr="002C6502">
        <w:t>Economy.</w:t>
      </w:r>
      <w:r>
        <w:t xml:space="preserve">  </w:t>
      </w:r>
    </w:p>
    <w:p w14:paraId="6819BEEC" w14:textId="77777777" w:rsidR="00CF0E2D" w:rsidRDefault="00CF0E2D" w:rsidP="00A60D4B">
      <w:pPr>
        <w:pStyle w:val="Bbodytext"/>
      </w:pPr>
    </w:p>
    <w:p w14:paraId="3EBE5002" w14:textId="77777777" w:rsidR="00CF0E2D" w:rsidRPr="005E1EF2" w:rsidRDefault="00CF0E2D" w:rsidP="00A60D4B">
      <w:pPr>
        <w:pStyle w:val="Heading4"/>
      </w:pPr>
      <w:r>
        <w:rPr>
          <w:b w:val="0"/>
          <w:noProof/>
          <w:color w:val="999789"/>
          <w:sz w:val="32"/>
          <w:szCs w:val="24"/>
        </w:rPr>
        <w:lastRenderedPageBreak/>
        <w:drawing>
          <wp:anchor distT="0" distB="0" distL="114300" distR="114300" simplePos="0" relativeHeight="251741184" behindDoc="0" locked="1" layoutInCell="1" allowOverlap="1" wp14:anchorId="4BE055AE" wp14:editId="7843C3EE">
            <wp:simplePos x="0" y="0"/>
            <wp:positionH relativeFrom="margin">
              <wp:posOffset>4545965</wp:posOffset>
            </wp:positionH>
            <wp:positionV relativeFrom="paragraph">
              <wp:posOffset>0</wp:posOffset>
            </wp:positionV>
            <wp:extent cx="1148080" cy="503555"/>
            <wp:effectExtent l="0" t="0" r="0" b="0"/>
            <wp:wrapSquare wrapText="bothSides"/>
            <wp:docPr id="46" name="Picture 46"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080" cy="503555"/>
                    </a:xfrm>
                    <a:prstGeom prst="rect">
                      <a:avLst/>
                    </a:prstGeom>
                  </pic:spPr>
                </pic:pic>
              </a:graphicData>
            </a:graphic>
            <wp14:sizeRelH relativeFrom="margin">
              <wp14:pctWidth>0</wp14:pctWidth>
            </wp14:sizeRelH>
            <wp14:sizeRelV relativeFrom="margin">
              <wp14:pctHeight>0</wp14:pctHeight>
            </wp14:sizeRelV>
          </wp:anchor>
        </w:drawing>
      </w:r>
      <w:r w:rsidRPr="005E1EF2">
        <w:t xml:space="preserve">COVID-19 Business support – Small Business Hardship Scheme </w:t>
      </w:r>
    </w:p>
    <w:tbl>
      <w:tblPr>
        <w:tblpPr w:leftFromText="181" w:rightFromText="181" w:vertAnchor="text" w:horzAnchor="margin" w:tblpY="1"/>
        <w:tblOverlap w:val="never"/>
        <w:tblW w:w="8959" w:type="dxa"/>
        <w:tblLayout w:type="fixed"/>
        <w:tblLook w:val="0000" w:firstRow="0" w:lastRow="0" w:firstColumn="0" w:lastColumn="0" w:noHBand="0" w:noVBand="0"/>
      </w:tblPr>
      <w:tblGrid>
        <w:gridCol w:w="3652"/>
        <w:gridCol w:w="1179"/>
        <w:gridCol w:w="1041"/>
        <w:gridCol w:w="1029"/>
        <w:gridCol w:w="1029"/>
        <w:gridCol w:w="1029"/>
      </w:tblGrid>
      <w:tr w:rsidR="00CF0E2D" w:rsidRPr="00D2610C" w14:paraId="63CB4140" w14:textId="77777777" w:rsidTr="00A60D4B">
        <w:trPr>
          <w:cantSplit/>
        </w:trPr>
        <w:tc>
          <w:tcPr>
            <w:tcW w:w="3652" w:type="dxa"/>
            <w:tcBorders>
              <w:top w:val="single" w:sz="4" w:space="0" w:color="auto"/>
              <w:bottom w:val="single" w:sz="4" w:space="0" w:color="auto"/>
            </w:tcBorders>
          </w:tcPr>
          <w:p w14:paraId="26102243" w14:textId="77777777" w:rsidR="00CF0E2D" w:rsidRPr="00382065" w:rsidRDefault="00CF0E2D" w:rsidP="00A60D4B">
            <w:pPr>
              <w:spacing w:after="0"/>
              <w:jc w:val="right"/>
              <w:rPr>
                <w:rFonts w:cs="Calibri"/>
                <w:color w:val="FFFFFF"/>
                <w:sz w:val="24"/>
                <w:szCs w:val="24"/>
              </w:rPr>
            </w:pPr>
            <w:r w:rsidRPr="00382065">
              <w:rPr>
                <w:rFonts w:cs="Calibri"/>
                <w:color w:val="FFFFFF"/>
                <w:sz w:val="24"/>
                <w:szCs w:val="24"/>
              </w:rPr>
              <w:t>Empty Cell</w:t>
            </w:r>
          </w:p>
        </w:tc>
        <w:tc>
          <w:tcPr>
            <w:tcW w:w="1179" w:type="dxa"/>
            <w:tcBorders>
              <w:top w:val="single" w:sz="4" w:space="0" w:color="auto"/>
              <w:bottom w:val="single" w:sz="4" w:space="0" w:color="auto"/>
            </w:tcBorders>
          </w:tcPr>
          <w:p w14:paraId="53FF2D65" w14:textId="77777777" w:rsidR="00CF0E2D" w:rsidRPr="00382065" w:rsidRDefault="00CF0E2D" w:rsidP="00A60D4B">
            <w:pPr>
              <w:spacing w:after="0"/>
              <w:jc w:val="right"/>
              <w:rPr>
                <w:b/>
                <w:bCs/>
                <w:sz w:val="24"/>
                <w:szCs w:val="24"/>
              </w:rPr>
            </w:pPr>
            <w:r w:rsidRPr="00382065">
              <w:rPr>
                <w:b/>
                <w:bCs/>
                <w:sz w:val="24"/>
                <w:szCs w:val="24"/>
              </w:rPr>
              <w:t>2021-22</w:t>
            </w:r>
          </w:p>
          <w:p w14:paraId="7F7D5959" w14:textId="77777777" w:rsidR="00CF0E2D" w:rsidRPr="00382065" w:rsidRDefault="00CF0E2D" w:rsidP="00A60D4B">
            <w:pPr>
              <w:spacing w:after="0"/>
              <w:jc w:val="right"/>
              <w:rPr>
                <w:b/>
                <w:bCs/>
                <w:sz w:val="24"/>
                <w:szCs w:val="24"/>
              </w:rPr>
            </w:pPr>
            <w:r w:rsidRPr="00382065">
              <w:rPr>
                <w:b/>
                <w:bCs/>
                <w:sz w:val="24"/>
                <w:szCs w:val="24"/>
              </w:rPr>
              <w:t>$’000</w:t>
            </w:r>
          </w:p>
        </w:tc>
        <w:tc>
          <w:tcPr>
            <w:tcW w:w="1041" w:type="dxa"/>
            <w:tcBorders>
              <w:top w:val="single" w:sz="4" w:space="0" w:color="auto"/>
              <w:bottom w:val="single" w:sz="4" w:space="0" w:color="auto"/>
            </w:tcBorders>
          </w:tcPr>
          <w:p w14:paraId="06D9AD7C" w14:textId="77777777" w:rsidR="00CF0E2D" w:rsidRPr="00382065" w:rsidRDefault="00CF0E2D" w:rsidP="00A60D4B">
            <w:pPr>
              <w:spacing w:after="0"/>
              <w:jc w:val="right"/>
              <w:rPr>
                <w:b/>
                <w:bCs/>
                <w:sz w:val="24"/>
                <w:szCs w:val="24"/>
              </w:rPr>
            </w:pPr>
            <w:r w:rsidRPr="00382065">
              <w:rPr>
                <w:b/>
                <w:bCs/>
                <w:sz w:val="24"/>
                <w:szCs w:val="24"/>
              </w:rPr>
              <w:t>2022-23</w:t>
            </w:r>
          </w:p>
          <w:p w14:paraId="67E13527" w14:textId="77777777" w:rsidR="00CF0E2D" w:rsidRPr="00382065" w:rsidRDefault="00CF0E2D" w:rsidP="00A60D4B">
            <w:pPr>
              <w:spacing w:after="0"/>
              <w:jc w:val="right"/>
              <w:rPr>
                <w:b/>
                <w:bCs/>
                <w:sz w:val="24"/>
                <w:szCs w:val="24"/>
              </w:rPr>
            </w:pPr>
            <w:r w:rsidRPr="00382065">
              <w:rPr>
                <w:b/>
                <w:bCs/>
                <w:sz w:val="24"/>
                <w:szCs w:val="24"/>
              </w:rPr>
              <w:t>$’000</w:t>
            </w:r>
          </w:p>
        </w:tc>
        <w:tc>
          <w:tcPr>
            <w:tcW w:w="1029" w:type="dxa"/>
            <w:tcBorders>
              <w:top w:val="single" w:sz="4" w:space="0" w:color="auto"/>
              <w:bottom w:val="single" w:sz="4" w:space="0" w:color="auto"/>
            </w:tcBorders>
          </w:tcPr>
          <w:p w14:paraId="45C10178" w14:textId="77777777" w:rsidR="00CF0E2D" w:rsidRPr="00382065" w:rsidRDefault="00CF0E2D" w:rsidP="00A60D4B">
            <w:pPr>
              <w:spacing w:after="0"/>
              <w:jc w:val="right"/>
              <w:rPr>
                <w:b/>
                <w:bCs/>
                <w:sz w:val="24"/>
                <w:szCs w:val="24"/>
              </w:rPr>
            </w:pPr>
            <w:r w:rsidRPr="00382065">
              <w:rPr>
                <w:b/>
                <w:bCs/>
                <w:sz w:val="24"/>
                <w:szCs w:val="24"/>
              </w:rPr>
              <w:t>2023-24</w:t>
            </w:r>
          </w:p>
          <w:p w14:paraId="18622C71" w14:textId="77777777" w:rsidR="00CF0E2D" w:rsidRPr="00382065" w:rsidRDefault="00CF0E2D" w:rsidP="00A60D4B">
            <w:pPr>
              <w:spacing w:after="0"/>
              <w:jc w:val="right"/>
              <w:rPr>
                <w:b/>
                <w:bCs/>
                <w:sz w:val="24"/>
                <w:szCs w:val="24"/>
              </w:rPr>
            </w:pPr>
            <w:r w:rsidRPr="00382065">
              <w:rPr>
                <w:b/>
                <w:bCs/>
                <w:sz w:val="24"/>
                <w:szCs w:val="24"/>
              </w:rPr>
              <w:t>$’000</w:t>
            </w:r>
          </w:p>
        </w:tc>
        <w:tc>
          <w:tcPr>
            <w:tcW w:w="1029" w:type="dxa"/>
            <w:tcBorders>
              <w:top w:val="single" w:sz="4" w:space="0" w:color="auto"/>
              <w:bottom w:val="single" w:sz="4" w:space="0" w:color="auto"/>
            </w:tcBorders>
          </w:tcPr>
          <w:p w14:paraId="094FA859" w14:textId="77777777" w:rsidR="00CF0E2D" w:rsidRPr="00382065" w:rsidRDefault="00CF0E2D" w:rsidP="00A60D4B">
            <w:pPr>
              <w:spacing w:after="0"/>
              <w:jc w:val="right"/>
              <w:rPr>
                <w:b/>
                <w:bCs/>
                <w:sz w:val="24"/>
                <w:szCs w:val="24"/>
              </w:rPr>
            </w:pPr>
            <w:r w:rsidRPr="00382065">
              <w:rPr>
                <w:b/>
                <w:bCs/>
                <w:sz w:val="24"/>
                <w:szCs w:val="24"/>
              </w:rPr>
              <w:t>2024-25</w:t>
            </w:r>
          </w:p>
          <w:p w14:paraId="4FFA01C6" w14:textId="77777777" w:rsidR="00CF0E2D" w:rsidRPr="00382065" w:rsidRDefault="00CF0E2D" w:rsidP="00A60D4B">
            <w:pPr>
              <w:spacing w:after="0"/>
              <w:jc w:val="right"/>
              <w:rPr>
                <w:b/>
                <w:bCs/>
                <w:sz w:val="24"/>
                <w:szCs w:val="24"/>
              </w:rPr>
            </w:pPr>
            <w:r w:rsidRPr="00382065">
              <w:rPr>
                <w:b/>
                <w:bCs/>
                <w:sz w:val="24"/>
                <w:szCs w:val="24"/>
              </w:rPr>
              <w:t>$’000</w:t>
            </w:r>
          </w:p>
        </w:tc>
        <w:tc>
          <w:tcPr>
            <w:tcW w:w="1029" w:type="dxa"/>
            <w:tcBorders>
              <w:top w:val="single" w:sz="4" w:space="0" w:color="auto"/>
              <w:bottom w:val="single" w:sz="4" w:space="0" w:color="auto"/>
            </w:tcBorders>
          </w:tcPr>
          <w:p w14:paraId="4522DF8C" w14:textId="77777777" w:rsidR="00CF0E2D" w:rsidRPr="00382065" w:rsidRDefault="00CF0E2D" w:rsidP="00A60D4B">
            <w:pPr>
              <w:spacing w:after="0"/>
              <w:jc w:val="right"/>
              <w:rPr>
                <w:b/>
                <w:bCs/>
                <w:sz w:val="24"/>
                <w:szCs w:val="24"/>
              </w:rPr>
            </w:pPr>
            <w:r w:rsidRPr="00382065">
              <w:rPr>
                <w:b/>
                <w:bCs/>
                <w:sz w:val="24"/>
                <w:szCs w:val="24"/>
              </w:rPr>
              <w:t>Total</w:t>
            </w:r>
          </w:p>
          <w:p w14:paraId="65E6D6CC" w14:textId="77777777" w:rsidR="00CF0E2D" w:rsidRPr="00382065" w:rsidRDefault="00CF0E2D" w:rsidP="00A60D4B">
            <w:pPr>
              <w:spacing w:after="0"/>
              <w:jc w:val="right"/>
              <w:rPr>
                <w:b/>
                <w:bCs/>
                <w:sz w:val="24"/>
                <w:szCs w:val="24"/>
              </w:rPr>
            </w:pPr>
            <w:r w:rsidRPr="00382065">
              <w:rPr>
                <w:b/>
                <w:bCs/>
                <w:sz w:val="24"/>
                <w:szCs w:val="24"/>
              </w:rPr>
              <w:t>$’000</w:t>
            </w:r>
          </w:p>
        </w:tc>
      </w:tr>
      <w:tr w:rsidR="00CF0E2D" w:rsidRPr="00D2610C" w14:paraId="2CA48235" w14:textId="77777777" w:rsidTr="00A60D4B">
        <w:trPr>
          <w:cantSplit/>
        </w:trPr>
        <w:tc>
          <w:tcPr>
            <w:tcW w:w="3652" w:type="dxa"/>
            <w:tcBorders>
              <w:top w:val="single" w:sz="4" w:space="0" w:color="auto"/>
              <w:bottom w:val="single" w:sz="4" w:space="0" w:color="auto"/>
            </w:tcBorders>
          </w:tcPr>
          <w:p w14:paraId="079318BC" w14:textId="77777777" w:rsidR="00CF0E2D" w:rsidRPr="00382065" w:rsidRDefault="00CF0E2D" w:rsidP="00A60D4B">
            <w:pPr>
              <w:spacing w:after="0"/>
              <w:ind w:left="321" w:hanging="321"/>
              <w:rPr>
                <w:sz w:val="24"/>
                <w:szCs w:val="24"/>
              </w:rPr>
            </w:pPr>
            <w:r w:rsidRPr="00382065">
              <w:rPr>
                <w:sz w:val="24"/>
                <w:szCs w:val="24"/>
              </w:rPr>
              <w:t>Expense</w:t>
            </w:r>
          </w:p>
        </w:tc>
        <w:tc>
          <w:tcPr>
            <w:tcW w:w="1179" w:type="dxa"/>
            <w:tcBorders>
              <w:top w:val="single" w:sz="4" w:space="0" w:color="auto"/>
              <w:bottom w:val="single" w:sz="4" w:space="0" w:color="auto"/>
            </w:tcBorders>
          </w:tcPr>
          <w:p w14:paraId="312887AA" w14:textId="20E7B575" w:rsidR="00CF0E2D" w:rsidRPr="00382065" w:rsidRDefault="00CF0E2D" w:rsidP="00A60D4B">
            <w:pPr>
              <w:spacing w:after="0"/>
              <w:jc w:val="right"/>
              <w:rPr>
                <w:sz w:val="24"/>
                <w:szCs w:val="24"/>
              </w:rPr>
            </w:pPr>
            <w:r w:rsidRPr="00382065">
              <w:rPr>
                <w:sz w:val="24"/>
                <w:szCs w:val="24"/>
              </w:rPr>
              <w:t>46,500</w:t>
            </w:r>
          </w:p>
        </w:tc>
        <w:tc>
          <w:tcPr>
            <w:tcW w:w="1041" w:type="dxa"/>
            <w:tcBorders>
              <w:top w:val="single" w:sz="4" w:space="0" w:color="auto"/>
              <w:bottom w:val="single" w:sz="4" w:space="0" w:color="auto"/>
            </w:tcBorders>
          </w:tcPr>
          <w:p w14:paraId="7AE95467" w14:textId="77777777" w:rsidR="00CF0E2D" w:rsidRPr="00382065" w:rsidRDefault="00CF0E2D" w:rsidP="00A60D4B">
            <w:pPr>
              <w:spacing w:after="0"/>
              <w:jc w:val="right"/>
              <w:rPr>
                <w:sz w:val="24"/>
                <w:szCs w:val="24"/>
              </w:rPr>
            </w:pPr>
            <w:r w:rsidRPr="00382065">
              <w:rPr>
                <w:sz w:val="24"/>
                <w:szCs w:val="24"/>
              </w:rPr>
              <w:t>0</w:t>
            </w:r>
          </w:p>
        </w:tc>
        <w:tc>
          <w:tcPr>
            <w:tcW w:w="1029" w:type="dxa"/>
            <w:tcBorders>
              <w:top w:val="single" w:sz="4" w:space="0" w:color="auto"/>
              <w:bottom w:val="single" w:sz="4" w:space="0" w:color="auto"/>
            </w:tcBorders>
          </w:tcPr>
          <w:p w14:paraId="6457F6D7" w14:textId="77777777" w:rsidR="00CF0E2D" w:rsidRPr="00382065" w:rsidRDefault="00CF0E2D" w:rsidP="00A60D4B">
            <w:pPr>
              <w:spacing w:after="0"/>
              <w:jc w:val="right"/>
              <w:rPr>
                <w:sz w:val="24"/>
                <w:szCs w:val="24"/>
              </w:rPr>
            </w:pPr>
            <w:r w:rsidRPr="00382065">
              <w:rPr>
                <w:sz w:val="24"/>
                <w:szCs w:val="24"/>
              </w:rPr>
              <w:t>0</w:t>
            </w:r>
          </w:p>
        </w:tc>
        <w:tc>
          <w:tcPr>
            <w:tcW w:w="1029" w:type="dxa"/>
            <w:tcBorders>
              <w:top w:val="single" w:sz="4" w:space="0" w:color="auto"/>
              <w:bottom w:val="single" w:sz="4" w:space="0" w:color="auto"/>
            </w:tcBorders>
          </w:tcPr>
          <w:p w14:paraId="1DA58706" w14:textId="77777777" w:rsidR="00CF0E2D" w:rsidRPr="00382065" w:rsidRDefault="00CF0E2D" w:rsidP="00A60D4B">
            <w:pPr>
              <w:spacing w:after="0"/>
              <w:jc w:val="right"/>
              <w:rPr>
                <w:sz w:val="24"/>
                <w:szCs w:val="24"/>
              </w:rPr>
            </w:pPr>
            <w:r w:rsidRPr="00382065">
              <w:rPr>
                <w:sz w:val="24"/>
                <w:szCs w:val="24"/>
              </w:rPr>
              <w:t>0</w:t>
            </w:r>
          </w:p>
        </w:tc>
        <w:tc>
          <w:tcPr>
            <w:tcW w:w="1029" w:type="dxa"/>
            <w:tcBorders>
              <w:top w:val="single" w:sz="4" w:space="0" w:color="auto"/>
              <w:bottom w:val="single" w:sz="4" w:space="0" w:color="auto"/>
            </w:tcBorders>
          </w:tcPr>
          <w:p w14:paraId="7239C0C0" w14:textId="258E613A" w:rsidR="00CF0E2D" w:rsidRPr="00382065" w:rsidRDefault="00CF0E2D" w:rsidP="00A60D4B">
            <w:pPr>
              <w:spacing w:after="0"/>
              <w:jc w:val="right"/>
              <w:rPr>
                <w:b/>
                <w:bCs/>
                <w:sz w:val="24"/>
                <w:szCs w:val="24"/>
              </w:rPr>
            </w:pPr>
            <w:r w:rsidRPr="00382065">
              <w:rPr>
                <w:b/>
                <w:bCs/>
                <w:sz w:val="24"/>
                <w:szCs w:val="24"/>
              </w:rPr>
              <w:t>46,500</w:t>
            </w:r>
          </w:p>
        </w:tc>
      </w:tr>
    </w:tbl>
    <w:p w14:paraId="3E23F9DB" w14:textId="77777777" w:rsidR="00CF0E2D" w:rsidRPr="00F70AAA" w:rsidRDefault="00CF0E2D" w:rsidP="00A60D4B">
      <w:pPr>
        <w:pStyle w:val="Bbodytext"/>
      </w:pPr>
      <w:r w:rsidRPr="006B27EC">
        <w:t>The Government is establishing a</w:t>
      </w:r>
      <w:r w:rsidRPr="00E51070">
        <w:t xml:space="preserve"> Small Business Hardship Scheme to provide financial support to businesses that have been significantly affected during the COVID-19 pandemic. The scheme provides assistance to offset Government and utility fees and charges up to a maximum of $10,000. Businesses</w:t>
      </w:r>
      <w:r w:rsidRPr="00C90D4D">
        <w:t xml:space="preserve"> with turnover between $30,000 and $10 million per annum that can demonstrate a 30 per cent loss in revenue </w:t>
      </w:r>
      <w:r w:rsidRPr="00382065">
        <w:t>will be able to apply.</w:t>
      </w:r>
    </w:p>
    <w:p w14:paraId="05350ECB" w14:textId="77777777" w:rsidR="00CF0E2D" w:rsidRPr="00AE005C" w:rsidRDefault="00CF0E2D" w:rsidP="00A60D4B">
      <w:pPr>
        <w:pStyle w:val="Bbodytext"/>
      </w:pPr>
      <w:r w:rsidRPr="00AE005C">
        <w:t>This initiative contributes to the wellbeing domain of Economy.</w:t>
      </w:r>
    </w:p>
    <w:p w14:paraId="5F85391E" w14:textId="77777777" w:rsidR="00CF0E2D" w:rsidRDefault="00CF0E2D" w:rsidP="00A60D4B">
      <w:pPr>
        <w:pStyle w:val="Bbodytext"/>
      </w:pPr>
    </w:p>
    <w:p w14:paraId="14ED16A8" w14:textId="77777777" w:rsidR="00CF0E2D" w:rsidRPr="005E1EF2" w:rsidRDefault="00CF0E2D" w:rsidP="00A60D4B">
      <w:pPr>
        <w:pStyle w:val="Heading4"/>
      </w:pPr>
      <w:r>
        <w:rPr>
          <w:b w:val="0"/>
          <w:noProof/>
          <w:color w:val="999789"/>
          <w:sz w:val="32"/>
          <w:szCs w:val="24"/>
        </w:rPr>
        <w:drawing>
          <wp:anchor distT="0" distB="0" distL="114300" distR="114300" simplePos="0" relativeHeight="251742208" behindDoc="0" locked="1" layoutInCell="1" allowOverlap="1" wp14:anchorId="5AC08BDA" wp14:editId="27C216EB">
            <wp:simplePos x="0" y="0"/>
            <wp:positionH relativeFrom="margin">
              <wp:posOffset>4559935</wp:posOffset>
            </wp:positionH>
            <wp:positionV relativeFrom="paragraph">
              <wp:posOffset>78105</wp:posOffset>
            </wp:positionV>
            <wp:extent cx="1148080" cy="503555"/>
            <wp:effectExtent l="0" t="0" r="0" b="0"/>
            <wp:wrapSquare wrapText="bothSides"/>
            <wp:docPr id="253" name="Picture 253"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080" cy="503555"/>
                    </a:xfrm>
                    <a:prstGeom prst="rect">
                      <a:avLst/>
                    </a:prstGeom>
                  </pic:spPr>
                </pic:pic>
              </a:graphicData>
            </a:graphic>
            <wp14:sizeRelH relativeFrom="margin">
              <wp14:pctWidth>0</wp14:pctWidth>
            </wp14:sizeRelH>
            <wp14:sizeRelV relativeFrom="margin">
              <wp14:pctHeight>0</wp14:pctHeight>
            </wp14:sizeRelV>
          </wp:anchor>
        </w:drawing>
      </w:r>
      <w:r w:rsidRPr="005E1EF2">
        <w:t>COVID-19 Business support – Support for restricted occupations</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BE5764" w14:paraId="3D5DD7C1" w14:textId="77777777" w:rsidTr="00A60D4B">
        <w:trPr>
          <w:cantSplit/>
          <w:jc w:val="center"/>
        </w:trPr>
        <w:tc>
          <w:tcPr>
            <w:tcW w:w="3652" w:type="dxa"/>
            <w:tcBorders>
              <w:top w:val="single" w:sz="4" w:space="0" w:color="auto"/>
              <w:bottom w:val="single" w:sz="4" w:space="0" w:color="auto"/>
            </w:tcBorders>
          </w:tcPr>
          <w:p w14:paraId="668AEDF1" w14:textId="77777777" w:rsidR="00CF0E2D" w:rsidRPr="00BE5764" w:rsidRDefault="00CF0E2D" w:rsidP="00A60D4B">
            <w:pPr>
              <w:spacing w:after="0"/>
              <w:jc w:val="right"/>
              <w:rPr>
                <w:rFonts w:cs="Calibri"/>
                <w:color w:val="FFFFFF"/>
                <w:sz w:val="24"/>
                <w:szCs w:val="24"/>
              </w:rPr>
            </w:pPr>
            <w:r w:rsidRPr="00BE5764">
              <w:rPr>
                <w:rFonts w:cs="Calibri"/>
                <w:color w:val="FFFFFF"/>
                <w:sz w:val="24"/>
                <w:szCs w:val="24"/>
              </w:rPr>
              <w:t>Empty Cell</w:t>
            </w:r>
          </w:p>
        </w:tc>
        <w:tc>
          <w:tcPr>
            <w:tcW w:w="1179" w:type="dxa"/>
            <w:tcBorders>
              <w:top w:val="single" w:sz="4" w:space="0" w:color="auto"/>
              <w:bottom w:val="single" w:sz="4" w:space="0" w:color="auto"/>
            </w:tcBorders>
          </w:tcPr>
          <w:p w14:paraId="7AD71841" w14:textId="77777777" w:rsidR="00CF0E2D" w:rsidRPr="0055003E" w:rsidRDefault="00CF0E2D" w:rsidP="00A60D4B">
            <w:pPr>
              <w:spacing w:after="0"/>
              <w:jc w:val="right"/>
              <w:rPr>
                <w:b/>
                <w:sz w:val="24"/>
                <w:szCs w:val="24"/>
              </w:rPr>
            </w:pPr>
            <w:r w:rsidRPr="006A2A45">
              <w:rPr>
                <w:b/>
                <w:sz w:val="24"/>
                <w:szCs w:val="24"/>
              </w:rPr>
              <w:t>2021-22</w:t>
            </w:r>
          </w:p>
          <w:p w14:paraId="28CA706C" w14:textId="77777777" w:rsidR="00CF0E2D" w:rsidRPr="00AD23FE" w:rsidRDefault="00CF0E2D" w:rsidP="00A60D4B">
            <w:pPr>
              <w:spacing w:after="0"/>
              <w:jc w:val="right"/>
              <w:rPr>
                <w:b/>
                <w:sz w:val="24"/>
                <w:szCs w:val="24"/>
              </w:rPr>
            </w:pPr>
            <w:r w:rsidRPr="00AD23FE">
              <w:rPr>
                <w:b/>
                <w:sz w:val="24"/>
                <w:szCs w:val="24"/>
              </w:rPr>
              <w:t>$’000</w:t>
            </w:r>
          </w:p>
        </w:tc>
        <w:tc>
          <w:tcPr>
            <w:tcW w:w="1041" w:type="dxa"/>
            <w:tcBorders>
              <w:top w:val="single" w:sz="4" w:space="0" w:color="auto"/>
              <w:bottom w:val="single" w:sz="4" w:space="0" w:color="auto"/>
            </w:tcBorders>
          </w:tcPr>
          <w:p w14:paraId="7947ADFB" w14:textId="77777777" w:rsidR="00CF0E2D" w:rsidRPr="00485EA9" w:rsidRDefault="00CF0E2D" w:rsidP="00A60D4B">
            <w:pPr>
              <w:spacing w:after="0"/>
              <w:jc w:val="right"/>
              <w:rPr>
                <w:b/>
                <w:sz w:val="24"/>
                <w:szCs w:val="24"/>
              </w:rPr>
            </w:pPr>
            <w:r w:rsidRPr="00614C0B">
              <w:rPr>
                <w:b/>
                <w:sz w:val="24"/>
                <w:szCs w:val="24"/>
              </w:rPr>
              <w:t>2022-23</w:t>
            </w:r>
          </w:p>
          <w:p w14:paraId="4DEA72B7" w14:textId="77777777" w:rsidR="00CF0E2D" w:rsidRPr="00A25633" w:rsidRDefault="00CF0E2D" w:rsidP="00A60D4B">
            <w:pPr>
              <w:spacing w:after="0"/>
              <w:jc w:val="right"/>
              <w:rPr>
                <w:b/>
                <w:sz w:val="24"/>
                <w:szCs w:val="24"/>
              </w:rPr>
            </w:pPr>
            <w:r w:rsidRPr="00485EA9">
              <w:rPr>
                <w:b/>
                <w:sz w:val="24"/>
                <w:szCs w:val="24"/>
              </w:rPr>
              <w:t>$’000</w:t>
            </w:r>
          </w:p>
        </w:tc>
        <w:tc>
          <w:tcPr>
            <w:tcW w:w="1029" w:type="dxa"/>
            <w:tcBorders>
              <w:top w:val="single" w:sz="4" w:space="0" w:color="auto"/>
              <w:bottom w:val="single" w:sz="4" w:space="0" w:color="auto"/>
            </w:tcBorders>
          </w:tcPr>
          <w:p w14:paraId="363FAC20" w14:textId="77777777" w:rsidR="00CF0E2D" w:rsidRPr="00E35F24" w:rsidRDefault="00CF0E2D" w:rsidP="00A60D4B">
            <w:pPr>
              <w:spacing w:after="0"/>
              <w:jc w:val="right"/>
              <w:rPr>
                <w:b/>
                <w:sz w:val="24"/>
                <w:szCs w:val="24"/>
              </w:rPr>
            </w:pPr>
            <w:r w:rsidRPr="00080432">
              <w:rPr>
                <w:b/>
                <w:sz w:val="24"/>
                <w:szCs w:val="24"/>
              </w:rPr>
              <w:t>2023-24</w:t>
            </w:r>
          </w:p>
          <w:p w14:paraId="43BB12B4" w14:textId="77777777" w:rsidR="00CF0E2D" w:rsidRPr="00E0473F" w:rsidRDefault="00CF0E2D" w:rsidP="00A60D4B">
            <w:pPr>
              <w:spacing w:after="0"/>
              <w:jc w:val="right"/>
              <w:rPr>
                <w:b/>
                <w:sz w:val="24"/>
                <w:szCs w:val="24"/>
              </w:rPr>
            </w:pPr>
            <w:r w:rsidRPr="00E0473F">
              <w:rPr>
                <w:b/>
                <w:sz w:val="24"/>
                <w:szCs w:val="24"/>
              </w:rPr>
              <w:t>$’000</w:t>
            </w:r>
          </w:p>
        </w:tc>
        <w:tc>
          <w:tcPr>
            <w:tcW w:w="1029" w:type="dxa"/>
            <w:tcBorders>
              <w:top w:val="single" w:sz="4" w:space="0" w:color="auto"/>
              <w:bottom w:val="single" w:sz="4" w:space="0" w:color="auto"/>
            </w:tcBorders>
          </w:tcPr>
          <w:p w14:paraId="7AC95D60" w14:textId="77777777" w:rsidR="00CF0E2D" w:rsidRPr="00BA6C66" w:rsidRDefault="00CF0E2D" w:rsidP="00A60D4B">
            <w:pPr>
              <w:spacing w:after="0"/>
              <w:jc w:val="right"/>
              <w:rPr>
                <w:b/>
                <w:sz w:val="24"/>
                <w:szCs w:val="24"/>
              </w:rPr>
            </w:pPr>
            <w:r w:rsidRPr="00BA6C66">
              <w:rPr>
                <w:b/>
                <w:sz w:val="24"/>
                <w:szCs w:val="24"/>
              </w:rPr>
              <w:t>2024-25</w:t>
            </w:r>
          </w:p>
          <w:p w14:paraId="1A1031D9" w14:textId="77777777" w:rsidR="00CF0E2D" w:rsidRPr="0079366B" w:rsidRDefault="00CF0E2D" w:rsidP="00A60D4B">
            <w:pPr>
              <w:spacing w:after="0"/>
              <w:jc w:val="right"/>
              <w:rPr>
                <w:b/>
                <w:sz w:val="24"/>
                <w:szCs w:val="24"/>
              </w:rPr>
            </w:pPr>
            <w:r w:rsidRPr="00425395">
              <w:rPr>
                <w:b/>
                <w:sz w:val="24"/>
                <w:szCs w:val="24"/>
              </w:rPr>
              <w:t>$’000</w:t>
            </w:r>
          </w:p>
        </w:tc>
        <w:tc>
          <w:tcPr>
            <w:tcW w:w="1029" w:type="dxa"/>
            <w:tcBorders>
              <w:top w:val="single" w:sz="4" w:space="0" w:color="auto"/>
              <w:bottom w:val="single" w:sz="4" w:space="0" w:color="auto"/>
            </w:tcBorders>
          </w:tcPr>
          <w:p w14:paraId="7A5522FA" w14:textId="77777777" w:rsidR="00CF0E2D" w:rsidRPr="00BE5764" w:rsidRDefault="00CF0E2D" w:rsidP="00A60D4B">
            <w:pPr>
              <w:spacing w:after="0"/>
              <w:jc w:val="right"/>
              <w:rPr>
                <w:b/>
                <w:sz w:val="24"/>
                <w:szCs w:val="24"/>
              </w:rPr>
            </w:pPr>
            <w:r w:rsidRPr="00BE5764">
              <w:rPr>
                <w:b/>
                <w:sz w:val="24"/>
                <w:szCs w:val="24"/>
              </w:rPr>
              <w:t>Total</w:t>
            </w:r>
          </w:p>
          <w:p w14:paraId="2F2BC629" w14:textId="77777777" w:rsidR="00CF0E2D" w:rsidRPr="00BE5764" w:rsidRDefault="00CF0E2D" w:rsidP="00A60D4B">
            <w:pPr>
              <w:spacing w:after="0"/>
              <w:jc w:val="right"/>
              <w:rPr>
                <w:b/>
                <w:sz w:val="24"/>
                <w:szCs w:val="24"/>
              </w:rPr>
            </w:pPr>
            <w:r w:rsidRPr="00BE5764">
              <w:rPr>
                <w:b/>
                <w:sz w:val="24"/>
                <w:szCs w:val="24"/>
              </w:rPr>
              <w:t>$’000</w:t>
            </w:r>
          </w:p>
        </w:tc>
      </w:tr>
      <w:tr w:rsidR="00CF0E2D" w:rsidRPr="00BE5764" w14:paraId="3F8D7A5C" w14:textId="77777777" w:rsidTr="00A60D4B">
        <w:trPr>
          <w:cantSplit/>
          <w:jc w:val="center"/>
        </w:trPr>
        <w:tc>
          <w:tcPr>
            <w:tcW w:w="3652" w:type="dxa"/>
            <w:tcBorders>
              <w:top w:val="single" w:sz="4" w:space="0" w:color="auto"/>
              <w:bottom w:val="single" w:sz="4" w:space="0" w:color="auto"/>
            </w:tcBorders>
          </w:tcPr>
          <w:p w14:paraId="542ADE2E" w14:textId="77777777" w:rsidR="00CF0E2D" w:rsidRPr="00BE5764" w:rsidRDefault="00CF0E2D" w:rsidP="00A60D4B">
            <w:pPr>
              <w:spacing w:after="0"/>
              <w:ind w:left="321" w:hanging="321"/>
              <w:rPr>
                <w:sz w:val="24"/>
                <w:szCs w:val="24"/>
              </w:rPr>
            </w:pPr>
            <w:r>
              <w:rPr>
                <w:sz w:val="24"/>
                <w:szCs w:val="24"/>
              </w:rPr>
              <w:t>Revenue forgone</w:t>
            </w:r>
          </w:p>
        </w:tc>
        <w:tc>
          <w:tcPr>
            <w:tcW w:w="1179" w:type="dxa"/>
            <w:tcBorders>
              <w:top w:val="single" w:sz="4" w:space="0" w:color="auto"/>
              <w:bottom w:val="single" w:sz="4" w:space="0" w:color="auto"/>
            </w:tcBorders>
          </w:tcPr>
          <w:p w14:paraId="0B9A671A" w14:textId="77777777" w:rsidR="00CF0E2D" w:rsidRPr="00BE5764" w:rsidRDefault="00CF0E2D" w:rsidP="00A60D4B">
            <w:pPr>
              <w:spacing w:after="0"/>
              <w:jc w:val="right"/>
              <w:rPr>
                <w:sz w:val="24"/>
                <w:szCs w:val="24"/>
              </w:rPr>
            </w:pPr>
            <w:r>
              <w:rPr>
                <w:sz w:val="24"/>
                <w:szCs w:val="24"/>
              </w:rPr>
              <w:t>1,090</w:t>
            </w:r>
          </w:p>
        </w:tc>
        <w:tc>
          <w:tcPr>
            <w:tcW w:w="1041" w:type="dxa"/>
            <w:tcBorders>
              <w:top w:val="single" w:sz="4" w:space="0" w:color="auto"/>
              <w:bottom w:val="single" w:sz="4" w:space="0" w:color="auto"/>
            </w:tcBorders>
          </w:tcPr>
          <w:p w14:paraId="3D72027F" w14:textId="77777777" w:rsidR="00CF0E2D" w:rsidRPr="0016070E" w:rsidRDefault="00CF0E2D" w:rsidP="00A60D4B">
            <w:pPr>
              <w:spacing w:after="0"/>
              <w:jc w:val="right"/>
              <w:rPr>
                <w:sz w:val="24"/>
                <w:szCs w:val="24"/>
              </w:rPr>
            </w:pPr>
            <w:r>
              <w:rPr>
                <w:sz w:val="24"/>
                <w:szCs w:val="24"/>
              </w:rPr>
              <w:t>0</w:t>
            </w:r>
          </w:p>
        </w:tc>
        <w:tc>
          <w:tcPr>
            <w:tcW w:w="1029" w:type="dxa"/>
            <w:tcBorders>
              <w:top w:val="single" w:sz="4" w:space="0" w:color="auto"/>
              <w:bottom w:val="single" w:sz="4" w:space="0" w:color="auto"/>
            </w:tcBorders>
          </w:tcPr>
          <w:p w14:paraId="59D6A8DD" w14:textId="77777777" w:rsidR="00CF0E2D" w:rsidRPr="0055003E" w:rsidRDefault="00CF0E2D" w:rsidP="00A60D4B">
            <w:pPr>
              <w:spacing w:after="0"/>
              <w:jc w:val="right"/>
              <w:rPr>
                <w:sz w:val="24"/>
                <w:szCs w:val="24"/>
              </w:rPr>
            </w:pPr>
            <w:r>
              <w:rPr>
                <w:sz w:val="24"/>
                <w:szCs w:val="24"/>
              </w:rPr>
              <w:t>0</w:t>
            </w:r>
          </w:p>
        </w:tc>
        <w:tc>
          <w:tcPr>
            <w:tcW w:w="1029" w:type="dxa"/>
            <w:tcBorders>
              <w:top w:val="single" w:sz="4" w:space="0" w:color="auto"/>
              <w:bottom w:val="single" w:sz="4" w:space="0" w:color="auto"/>
            </w:tcBorders>
          </w:tcPr>
          <w:p w14:paraId="1B190140" w14:textId="77777777" w:rsidR="00CF0E2D" w:rsidRPr="00AD23FE" w:rsidRDefault="00CF0E2D" w:rsidP="00A60D4B">
            <w:pPr>
              <w:spacing w:after="0"/>
              <w:jc w:val="right"/>
              <w:rPr>
                <w:sz w:val="24"/>
                <w:szCs w:val="24"/>
              </w:rPr>
            </w:pPr>
            <w:r>
              <w:rPr>
                <w:sz w:val="24"/>
                <w:szCs w:val="24"/>
              </w:rPr>
              <w:t>0</w:t>
            </w:r>
          </w:p>
        </w:tc>
        <w:tc>
          <w:tcPr>
            <w:tcW w:w="1029" w:type="dxa"/>
            <w:tcBorders>
              <w:top w:val="single" w:sz="4" w:space="0" w:color="auto"/>
              <w:bottom w:val="single" w:sz="4" w:space="0" w:color="auto"/>
            </w:tcBorders>
          </w:tcPr>
          <w:p w14:paraId="2951BB5C" w14:textId="77777777" w:rsidR="00CF0E2D" w:rsidRPr="00BE5764" w:rsidRDefault="00CF0E2D" w:rsidP="00A60D4B">
            <w:pPr>
              <w:spacing w:after="0"/>
              <w:jc w:val="right"/>
              <w:rPr>
                <w:b/>
                <w:sz w:val="24"/>
                <w:szCs w:val="24"/>
              </w:rPr>
            </w:pPr>
            <w:r>
              <w:rPr>
                <w:b/>
                <w:sz w:val="24"/>
                <w:szCs w:val="24"/>
              </w:rPr>
              <w:t>1,090</w:t>
            </w:r>
          </w:p>
        </w:tc>
      </w:tr>
    </w:tbl>
    <w:p w14:paraId="319BEF45" w14:textId="77777777" w:rsidR="00CF0E2D" w:rsidRDefault="00CF0E2D" w:rsidP="00A60D4B">
      <w:pPr>
        <w:pStyle w:val="Bbodytext"/>
      </w:pPr>
      <w:r w:rsidRPr="009609CE">
        <w:t xml:space="preserve">The Government </w:t>
      </w:r>
      <w:r>
        <w:t xml:space="preserve">is providing support to occupations that have been significantly affected during the COVID-19 pandemic by reducing licence renewal fees for construction occupational licences. </w:t>
      </w:r>
    </w:p>
    <w:p w14:paraId="4636E75C" w14:textId="77777777" w:rsidR="00CF0E2D" w:rsidRDefault="00CF0E2D" w:rsidP="00A60D4B">
      <w:pPr>
        <w:pStyle w:val="Bbodytext"/>
      </w:pPr>
      <w:r>
        <w:t>The Government will waive late renewal fees for the construction sector and provide a 20 per cent reduction in annual licence renewal fees for a range of construction occupational licences in 2021-22. These licences include:</w:t>
      </w:r>
    </w:p>
    <w:p w14:paraId="43567E3A" w14:textId="77777777" w:rsidR="00CF0E2D" w:rsidRPr="0013631F" w:rsidRDefault="00CF0E2D" w:rsidP="00CF0E2D">
      <w:pPr>
        <w:pStyle w:val="Bbodytext"/>
        <w:numPr>
          <w:ilvl w:val="0"/>
          <w:numId w:val="36"/>
        </w:numPr>
      </w:pPr>
      <w:r w:rsidRPr="0013631F">
        <w:t>Builder;</w:t>
      </w:r>
    </w:p>
    <w:p w14:paraId="68354DAF" w14:textId="77777777" w:rsidR="00CF0E2D" w:rsidRPr="0013631F" w:rsidRDefault="00CF0E2D" w:rsidP="00CF0E2D">
      <w:pPr>
        <w:pStyle w:val="Bbodytext"/>
        <w:numPr>
          <w:ilvl w:val="0"/>
          <w:numId w:val="36"/>
        </w:numPr>
      </w:pPr>
      <w:r w:rsidRPr="0013631F">
        <w:t>Builder Class D;</w:t>
      </w:r>
    </w:p>
    <w:p w14:paraId="5FF231E0" w14:textId="77777777" w:rsidR="00CF0E2D" w:rsidRPr="0013631F" w:rsidRDefault="00CF0E2D" w:rsidP="00CF0E2D">
      <w:pPr>
        <w:pStyle w:val="Bbodytext"/>
        <w:numPr>
          <w:ilvl w:val="0"/>
          <w:numId w:val="36"/>
        </w:numPr>
      </w:pPr>
      <w:r w:rsidRPr="0013631F">
        <w:t>Plumbers, Drainers Gasfitters, Electricians;</w:t>
      </w:r>
    </w:p>
    <w:p w14:paraId="69704F84" w14:textId="77777777" w:rsidR="00CF0E2D" w:rsidRPr="0013631F" w:rsidRDefault="00CF0E2D" w:rsidP="00CF0E2D">
      <w:pPr>
        <w:pStyle w:val="Bbodytext"/>
        <w:numPr>
          <w:ilvl w:val="0"/>
          <w:numId w:val="36"/>
        </w:numPr>
      </w:pPr>
      <w:r w:rsidRPr="0013631F">
        <w:t>Company Builder;</w:t>
      </w:r>
    </w:p>
    <w:p w14:paraId="14A75F6F" w14:textId="77777777" w:rsidR="00CF0E2D" w:rsidRPr="0013631F" w:rsidRDefault="00CF0E2D" w:rsidP="00CF0E2D">
      <w:pPr>
        <w:pStyle w:val="Bbodytext"/>
        <w:numPr>
          <w:ilvl w:val="0"/>
          <w:numId w:val="36"/>
        </w:numPr>
      </w:pPr>
      <w:r w:rsidRPr="0013631F">
        <w:t>Company other;</w:t>
      </w:r>
    </w:p>
    <w:p w14:paraId="7404EF0D" w14:textId="77777777" w:rsidR="00CF0E2D" w:rsidRPr="0013631F" w:rsidRDefault="00CF0E2D" w:rsidP="00CF0E2D">
      <w:pPr>
        <w:pStyle w:val="Bbodytext"/>
        <w:numPr>
          <w:ilvl w:val="0"/>
          <w:numId w:val="36"/>
        </w:numPr>
      </w:pPr>
      <w:r w:rsidRPr="0013631F">
        <w:t>Owner Builder; and</w:t>
      </w:r>
    </w:p>
    <w:p w14:paraId="7C53BBBB" w14:textId="77777777" w:rsidR="00CF0E2D" w:rsidRPr="0013631F" w:rsidRDefault="00CF0E2D" w:rsidP="00CF0E2D">
      <w:pPr>
        <w:pStyle w:val="Bbodytext"/>
        <w:numPr>
          <w:ilvl w:val="0"/>
          <w:numId w:val="36"/>
        </w:numPr>
      </w:pPr>
      <w:r w:rsidRPr="0013631F">
        <w:t xml:space="preserve">Occupations with insurance. </w:t>
      </w:r>
    </w:p>
    <w:p w14:paraId="3355F86F" w14:textId="77777777" w:rsidR="00CF0E2D" w:rsidRDefault="00CF0E2D" w:rsidP="00A60D4B">
      <w:pPr>
        <w:pStyle w:val="Bbodytext"/>
      </w:pPr>
      <w:r>
        <w:t>The waiver of rideshare vehicle licence fees has also been extended to 31 August 2022.</w:t>
      </w:r>
    </w:p>
    <w:p w14:paraId="04288BC6" w14:textId="77777777" w:rsidR="00CF0E2D" w:rsidRDefault="00CF0E2D" w:rsidP="00A60D4B">
      <w:pPr>
        <w:pStyle w:val="Bbodytext"/>
      </w:pPr>
      <w:r>
        <w:t>This initiative</w:t>
      </w:r>
      <w:r w:rsidRPr="009609CE">
        <w:t xml:space="preserve"> contributes to the wellbeing domain of </w:t>
      </w:r>
      <w:r>
        <w:t>Economy.</w:t>
      </w:r>
    </w:p>
    <w:p w14:paraId="2286EF6B" w14:textId="77777777" w:rsidR="00CF0E2D" w:rsidRDefault="00CF0E2D" w:rsidP="00A60D4B">
      <w:pPr>
        <w:pStyle w:val="Bbodytext"/>
      </w:pPr>
    </w:p>
    <w:p w14:paraId="2D9B9019" w14:textId="77777777" w:rsidR="00CF0E2D" w:rsidRPr="00DF4873" w:rsidRDefault="00CF0E2D" w:rsidP="00A60D4B">
      <w:pPr>
        <w:pStyle w:val="Heading4"/>
        <w:rPr>
          <w:rFonts w:eastAsia="Times New Roman"/>
        </w:rPr>
      </w:pPr>
      <w:r w:rsidRPr="00DF4873">
        <w:rPr>
          <w:b w:val="0"/>
          <w:noProof/>
          <w:color w:val="999789"/>
          <w:sz w:val="32"/>
          <w:szCs w:val="24"/>
        </w:rPr>
        <w:lastRenderedPageBreak/>
        <w:drawing>
          <wp:anchor distT="0" distB="0" distL="114300" distR="114300" simplePos="0" relativeHeight="251719680" behindDoc="0" locked="1" layoutInCell="1" allowOverlap="1" wp14:anchorId="5BF5FE5A" wp14:editId="072B9964">
            <wp:simplePos x="0" y="0"/>
            <wp:positionH relativeFrom="margin">
              <wp:posOffset>4583430</wp:posOffset>
            </wp:positionH>
            <wp:positionV relativeFrom="paragraph">
              <wp:posOffset>60325</wp:posOffset>
            </wp:positionV>
            <wp:extent cx="1148080" cy="503555"/>
            <wp:effectExtent l="0" t="0" r="0" b="0"/>
            <wp:wrapSquare wrapText="bothSides"/>
            <wp:docPr id="254" name="Picture 254"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080" cy="503555"/>
                    </a:xfrm>
                    <a:prstGeom prst="rect">
                      <a:avLst/>
                    </a:prstGeom>
                  </pic:spPr>
                </pic:pic>
              </a:graphicData>
            </a:graphic>
            <wp14:sizeRelH relativeFrom="margin">
              <wp14:pctWidth>0</wp14:pctWidth>
            </wp14:sizeRelH>
            <wp14:sizeRelV relativeFrom="margin">
              <wp14:pctHeight>0</wp14:pctHeight>
            </wp14:sizeRelV>
          </wp:anchor>
        </w:drawing>
      </w:r>
      <w:r w:rsidRPr="00DF4873">
        <w:rPr>
          <w:rFonts w:eastAsia="Times New Roman"/>
        </w:rPr>
        <w:t xml:space="preserve">COVID-19 Business support – Supporting Canberra's tourism sector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BD13B4" w14:paraId="28288BE5" w14:textId="77777777" w:rsidTr="00A60D4B">
        <w:trPr>
          <w:cantSplit/>
          <w:jc w:val="center"/>
        </w:trPr>
        <w:tc>
          <w:tcPr>
            <w:tcW w:w="3652" w:type="dxa"/>
            <w:tcBorders>
              <w:top w:val="single" w:sz="4" w:space="0" w:color="auto"/>
              <w:bottom w:val="single" w:sz="4" w:space="0" w:color="auto"/>
            </w:tcBorders>
          </w:tcPr>
          <w:p w14:paraId="43F3D9B6" w14:textId="77777777" w:rsidR="00CF0E2D" w:rsidRPr="00BE5764" w:rsidRDefault="00CF0E2D" w:rsidP="00A60D4B">
            <w:pPr>
              <w:spacing w:after="0"/>
              <w:jc w:val="right"/>
              <w:rPr>
                <w:rFonts w:cs="Calibri"/>
                <w:color w:val="FFFFFF"/>
                <w:sz w:val="24"/>
                <w:szCs w:val="24"/>
              </w:rPr>
            </w:pPr>
            <w:r w:rsidRPr="00BE5764">
              <w:rPr>
                <w:rFonts w:cs="Calibri"/>
                <w:color w:val="FFFFFF"/>
                <w:sz w:val="24"/>
                <w:szCs w:val="24"/>
              </w:rPr>
              <w:t>Empty Cell</w:t>
            </w:r>
          </w:p>
        </w:tc>
        <w:tc>
          <w:tcPr>
            <w:tcW w:w="1179" w:type="dxa"/>
            <w:tcBorders>
              <w:top w:val="single" w:sz="4" w:space="0" w:color="auto"/>
              <w:bottom w:val="single" w:sz="4" w:space="0" w:color="auto"/>
            </w:tcBorders>
          </w:tcPr>
          <w:p w14:paraId="7CF3F1A8" w14:textId="77777777" w:rsidR="00CF0E2D" w:rsidRPr="0055003E" w:rsidRDefault="00CF0E2D" w:rsidP="00A60D4B">
            <w:pPr>
              <w:spacing w:after="0"/>
              <w:jc w:val="right"/>
              <w:rPr>
                <w:b/>
                <w:sz w:val="24"/>
                <w:szCs w:val="24"/>
              </w:rPr>
            </w:pPr>
            <w:r w:rsidRPr="006A2A45">
              <w:rPr>
                <w:b/>
                <w:sz w:val="24"/>
                <w:szCs w:val="24"/>
              </w:rPr>
              <w:t>2021-22</w:t>
            </w:r>
          </w:p>
          <w:p w14:paraId="358AB25E" w14:textId="77777777" w:rsidR="00CF0E2D" w:rsidRPr="00AD23FE" w:rsidRDefault="00CF0E2D" w:rsidP="00A60D4B">
            <w:pPr>
              <w:spacing w:after="0"/>
              <w:jc w:val="right"/>
              <w:rPr>
                <w:b/>
                <w:sz w:val="24"/>
                <w:szCs w:val="24"/>
              </w:rPr>
            </w:pPr>
            <w:r w:rsidRPr="00AD23FE">
              <w:rPr>
                <w:b/>
                <w:sz w:val="24"/>
                <w:szCs w:val="24"/>
              </w:rPr>
              <w:t>$’000</w:t>
            </w:r>
          </w:p>
        </w:tc>
        <w:tc>
          <w:tcPr>
            <w:tcW w:w="1041" w:type="dxa"/>
            <w:tcBorders>
              <w:top w:val="single" w:sz="4" w:space="0" w:color="auto"/>
              <w:bottom w:val="single" w:sz="4" w:space="0" w:color="auto"/>
            </w:tcBorders>
          </w:tcPr>
          <w:p w14:paraId="24E98F33" w14:textId="77777777" w:rsidR="00CF0E2D" w:rsidRPr="00485EA9" w:rsidRDefault="00CF0E2D" w:rsidP="00A60D4B">
            <w:pPr>
              <w:spacing w:after="0"/>
              <w:jc w:val="right"/>
              <w:rPr>
                <w:b/>
                <w:sz w:val="24"/>
                <w:szCs w:val="24"/>
              </w:rPr>
            </w:pPr>
            <w:r w:rsidRPr="00614C0B">
              <w:rPr>
                <w:b/>
                <w:sz w:val="24"/>
                <w:szCs w:val="24"/>
              </w:rPr>
              <w:t>2022-23</w:t>
            </w:r>
          </w:p>
          <w:p w14:paraId="2F276335" w14:textId="77777777" w:rsidR="00CF0E2D" w:rsidRPr="00A25633" w:rsidRDefault="00CF0E2D" w:rsidP="00A60D4B">
            <w:pPr>
              <w:spacing w:after="0"/>
              <w:jc w:val="right"/>
              <w:rPr>
                <w:b/>
                <w:sz w:val="24"/>
                <w:szCs w:val="24"/>
              </w:rPr>
            </w:pPr>
            <w:r w:rsidRPr="00485EA9">
              <w:rPr>
                <w:b/>
                <w:sz w:val="24"/>
                <w:szCs w:val="24"/>
              </w:rPr>
              <w:t>$’000</w:t>
            </w:r>
          </w:p>
        </w:tc>
        <w:tc>
          <w:tcPr>
            <w:tcW w:w="1029" w:type="dxa"/>
            <w:tcBorders>
              <w:top w:val="single" w:sz="4" w:space="0" w:color="auto"/>
              <w:bottom w:val="single" w:sz="4" w:space="0" w:color="auto"/>
            </w:tcBorders>
          </w:tcPr>
          <w:p w14:paraId="1515AD44" w14:textId="77777777" w:rsidR="00CF0E2D" w:rsidRPr="00E35F24" w:rsidRDefault="00CF0E2D" w:rsidP="00A60D4B">
            <w:pPr>
              <w:spacing w:after="0"/>
              <w:jc w:val="right"/>
              <w:rPr>
                <w:b/>
                <w:sz w:val="24"/>
                <w:szCs w:val="24"/>
              </w:rPr>
            </w:pPr>
            <w:r w:rsidRPr="00080432">
              <w:rPr>
                <w:b/>
                <w:sz w:val="24"/>
                <w:szCs w:val="24"/>
              </w:rPr>
              <w:t>2023-24</w:t>
            </w:r>
          </w:p>
          <w:p w14:paraId="7BA4C857" w14:textId="77777777" w:rsidR="00CF0E2D" w:rsidRPr="00E0473F" w:rsidRDefault="00CF0E2D" w:rsidP="00A60D4B">
            <w:pPr>
              <w:spacing w:after="0"/>
              <w:jc w:val="right"/>
              <w:rPr>
                <w:b/>
                <w:sz w:val="24"/>
                <w:szCs w:val="24"/>
              </w:rPr>
            </w:pPr>
            <w:r w:rsidRPr="00E0473F">
              <w:rPr>
                <w:b/>
                <w:sz w:val="24"/>
                <w:szCs w:val="24"/>
              </w:rPr>
              <w:t>$’000</w:t>
            </w:r>
          </w:p>
        </w:tc>
        <w:tc>
          <w:tcPr>
            <w:tcW w:w="1029" w:type="dxa"/>
            <w:tcBorders>
              <w:top w:val="single" w:sz="4" w:space="0" w:color="auto"/>
              <w:bottom w:val="single" w:sz="4" w:space="0" w:color="auto"/>
            </w:tcBorders>
          </w:tcPr>
          <w:p w14:paraId="7BA6AC1C" w14:textId="77777777" w:rsidR="00CF0E2D" w:rsidRPr="00BA6C66" w:rsidRDefault="00CF0E2D" w:rsidP="00A60D4B">
            <w:pPr>
              <w:spacing w:after="0"/>
              <w:jc w:val="right"/>
              <w:rPr>
                <w:b/>
                <w:sz w:val="24"/>
                <w:szCs w:val="24"/>
              </w:rPr>
            </w:pPr>
            <w:r w:rsidRPr="00BA6C66">
              <w:rPr>
                <w:b/>
                <w:sz w:val="24"/>
                <w:szCs w:val="24"/>
              </w:rPr>
              <w:t>2024-25</w:t>
            </w:r>
          </w:p>
          <w:p w14:paraId="4425ADC6" w14:textId="77777777" w:rsidR="00CF0E2D" w:rsidRPr="0079366B" w:rsidRDefault="00CF0E2D" w:rsidP="00A60D4B">
            <w:pPr>
              <w:spacing w:after="0"/>
              <w:jc w:val="right"/>
              <w:rPr>
                <w:b/>
                <w:sz w:val="24"/>
                <w:szCs w:val="24"/>
              </w:rPr>
            </w:pPr>
            <w:r w:rsidRPr="00425395">
              <w:rPr>
                <w:b/>
                <w:sz w:val="24"/>
                <w:szCs w:val="24"/>
              </w:rPr>
              <w:t>$’000</w:t>
            </w:r>
          </w:p>
        </w:tc>
        <w:tc>
          <w:tcPr>
            <w:tcW w:w="1029" w:type="dxa"/>
            <w:tcBorders>
              <w:top w:val="single" w:sz="4" w:space="0" w:color="auto"/>
              <w:bottom w:val="single" w:sz="4" w:space="0" w:color="auto"/>
            </w:tcBorders>
          </w:tcPr>
          <w:p w14:paraId="74886BA7" w14:textId="77777777" w:rsidR="00CF0E2D" w:rsidRPr="00BE5764" w:rsidRDefault="00CF0E2D" w:rsidP="00A60D4B">
            <w:pPr>
              <w:spacing w:after="0"/>
              <w:jc w:val="right"/>
              <w:rPr>
                <w:b/>
                <w:sz w:val="24"/>
                <w:szCs w:val="24"/>
              </w:rPr>
            </w:pPr>
            <w:r w:rsidRPr="00BE5764">
              <w:rPr>
                <w:b/>
                <w:sz w:val="24"/>
                <w:szCs w:val="24"/>
              </w:rPr>
              <w:t>Total</w:t>
            </w:r>
          </w:p>
          <w:p w14:paraId="3096E6FF" w14:textId="77777777" w:rsidR="00CF0E2D" w:rsidRPr="00BE5764" w:rsidRDefault="00CF0E2D" w:rsidP="00A60D4B">
            <w:pPr>
              <w:spacing w:after="0"/>
              <w:jc w:val="right"/>
              <w:rPr>
                <w:b/>
                <w:sz w:val="24"/>
                <w:szCs w:val="24"/>
              </w:rPr>
            </w:pPr>
            <w:r w:rsidRPr="00BE5764">
              <w:rPr>
                <w:b/>
                <w:sz w:val="24"/>
                <w:szCs w:val="24"/>
              </w:rPr>
              <w:t>$’000</w:t>
            </w:r>
          </w:p>
        </w:tc>
      </w:tr>
      <w:tr w:rsidR="00CF0E2D" w:rsidRPr="00BD13B4" w14:paraId="2C43B887" w14:textId="77777777" w:rsidTr="00A60D4B">
        <w:trPr>
          <w:cantSplit/>
          <w:jc w:val="center"/>
        </w:trPr>
        <w:tc>
          <w:tcPr>
            <w:tcW w:w="3652" w:type="dxa"/>
          </w:tcPr>
          <w:p w14:paraId="368BA011" w14:textId="77777777" w:rsidR="00CF0E2D" w:rsidRPr="00BE5764" w:rsidRDefault="00CF0E2D" w:rsidP="00A60D4B">
            <w:pPr>
              <w:spacing w:after="0"/>
              <w:ind w:left="321" w:hanging="321"/>
              <w:rPr>
                <w:sz w:val="24"/>
                <w:szCs w:val="24"/>
              </w:rPr>
            </w:pPr>
            <w:r w:rsidRPr="00BE5764">
              <w:rPr>
                <w:sz w:val="24"/>
                <w:szCs w:val="24"/>
              </w:rPr>
              <w:t>Expenses</w:t>
            </w:r>
          </w:p>
        </w:tc>
        <w:tc>
          <w:tcPr>
            <w:tcW w:w="1179" w:type="dxa"/>
          </w:tcPr>
          <w:p w14:paraId="258877C8" w14:textId="77777777" w:rsidR="00CF0E2D" w:rsidRPr="00BE5764" w:rsidRDefault="00CF0E2D" w:rsidP="00A60D4B">
            <w:pPr>
              <w:spacing w:after="0"/>
              <w:jc w:val="right"/>
              <w:rPr>
                <w:sz w:val="24"/>
                <w:szCs w:val="24"/>
              </w:rPr>
            </w:pPr>
            <w:r>
              <w:rPr>
                <w:sz w:val="24"/>
                <w:szCs w:val="24"/>
              </w:rPr>
              <w:t>6,640</w:t>
            </w:r>
          </w:p>
        </w:tc>
        <w:tc>
          <w:tcPr>
            <w:tcW w:w="1041" w:type="dxa"/>
          </w:tcPr>
          <w:p w14:paraId="7F67F1B1" w14:textId="77777777" w:rsidR="00CF0E2D" w:rsidRPr="0016070E" w:rsidRDefault="00CF0E2D" w:rsidP="00A60D4B">
            <w:pPr>
              <w:spacing w:after="0"/>
              <w:jc w:val="right"/>
              <w:rPr>
                <w:sz w:val="24"/>
                <w:szCs w:val="24"/>
              </w:rPr>
            </w:pPr>
            <w:r w:rsidRPr="000740DB">
              <w:rPr>
                <w:sz w:val="24"/>
                <w:szCs w:val="24"/>
              </w:rPr>
              <w:t>2,335</w:t>
            </w:r>
          </w:p>
        </w:tc>
        <w:tc>
          <w:tcPr>
            <w:tcW w:w="1029" w:type="dxa"/>
          </w:tcPr>
          <w:p w14:paraId="51B022CA" w14:textId="77777777" w:rsidR="00CF0E2D" w:rsidRPr="0055003E" w:rsidRDefault="00CF0E2D" w:rsidP="00A60D4B">
            <w:pPr>
              <w:spacing w:after="0"/>
              <w:jc w:val="right"/>
              <w:rPr>
                <w:sz w:val="24"/>
                <w:szCs w:val="24"/>
              </w:rPr>
            </w:pPr>
            <w:r w:rsidRPr="006A2A45">
              <w:rPr>
                <w:sz w:val="24"/>
                <w:szCs w:val="24"/>
              </w:rPr>
              <w:t>350</w:t>
            </w:r>
          </w:p>
        </w:tc>
        <w:tc>
          <w:tcPr>
            <w:tcW w:w="1029" w:type="dxa"/>
          </w:tcPr>
          <w:p w14:paraId="6D33733A" w14:textId="77777777" w:rsidR="00CF0E2D" w:rsidRPr="00AD23FE" w:rsidRDefault="00CF0E2D" w:rsidP="00A60D4B">
            <w:pPr>
              <w:spacing w:after="0"/>
              <w:jc w:val="right"/>
              <w:rPr>
                <w:sz w:val="24"/>
                <w:szCs w:val="24"/>
              </w:rPr>
            </w:pPr>
            <w:r w:rsidRPr="00AD23FE">
              <w:rPr>
                <w:sz w:val="24"/>
                <w:szCs w:val="24"/>
              </w:rPr>
              <w:t>350</w:t>
            </w:r>
          </w:p>
        </w:tc>
        <w:tc>
          <w:tcPr>
            <w:tcW w:w="1029" w:type="dxa"/>
          </w:tcPr>
          <w:p w14:paraId="69D85BB9" w14:textId="77777777" w:rsidR="00CF0E2D" w:rsidRPr="00BE5764" w:rsidRDefault="00CF0E2D" w:rsidP="00A60D4B">
            <w:pPr>
              <w:spacing w:after="0"/>
              <w:jc w:val="right"/>
              <w:rPr>
                <w:b/>
                <w:sz w:val="24"/>
                <w:szCs w:val="24"/>
              </w:rPr>
            </w:pPr>
            <w:r>
              <w:rPr>
                <w:b/>
                <w:sz w:val="24"/>
                <w:szCs w:val="24"/>
              </w:rPr>
              <w:t>9,675</w:t>
            </w:r>
          </w:p>
        </w:tc>
      </w:tr>
      <w:tr w:rsidR="00CF0E2D" w:rsidRPr="00BD13B4" w14:paraId="42DCD152" w14:textId="77777777" w:rsidTr="00A60D4B">
        <w:trPr>
          <w:cantSplit/>
          <w:jc w:val="center"/>
        </w:trPr>
        <w:tc>
          <w:tcPr>
            <w:tcW w:w="3652" w:type="dxa"/>
          </w:tcPr>
          <w:p w14:paraId="3D0AD13C" w14:textId="4CC17B9B" w:rsidR="00CF0E2D" w:rsidRPr="00BE5764" w:rsidRDefault="00CF0E2D" w:rsidP="00A60D4B">
            <w:pPr>
              <w:spacing w:after="0"/>
              <w:ind w:left="321" w:hanging="321"/>
              <w:rPr>
                <w:sz w:val="24"/>
                <w:szCs w:val="24"/>
              </w:rPr>
            </w:pPr>
            <w:r w:rsidRPr="00BE5764">
              <w:rPr>
                <w:sz w:val="24"/>
                <w:szCs w:val="24"/>
              </w:rPr>
              <w:t>Offset – Expense</w:t>
            </w:r>
            <w:r w:rsidR="00F57411">
              <w:rPr>
                <w:sz w:val="24"/>
                <w:szCs w:val="24"/>
              </w:rPr>
              <w:t>s</w:t>
            </w:r>
          </w:p>
        </w:tc>
        <w:tc>
          <w:tcPr>
            <w:tcW w:w="1179" w:type="dxa"/>
          </w:tcPr>
          <w:p w14:paraId="6309BB7E" w14:textId="77777777" w:rsidR="00CF0E2D" w:rsidRPr="0016070E" w:rsidRDefault="00CF0E2D" w:rsidP="00A60D4B">
            <w:pPr>
              <w:spacing w:after="0"/>
              <w:jc w:val="right"/>
              <w:rPr>
                <w:sz w:val="24"/>
                <w:szCs w:val="24"/>
              </w:rPr>
            </w:pPr>
            <w:r w:rsidRPr="000740DB">
              <w:rPr>
                <w:sz w:val="24"/>
                <w:szCs w:val="24"/>
              </w:rPr>
              <w:t>-300</w:t>
            </w:r>
          </w:p>
        </w:tc>
        <w:tc>
          <w:tcPr>
            <w:tcW w:w="1041" w:type="dxa"/>
          </w:tcPr>
          <w:p w14:paraId="076AC2AB" w14:textId="77777777" w:rsidR="00CF0E2D" w:rsidRPr="0055003E" w:rsidRDefault="00CF0E2D" w:rsidP="00A60D4B">
            <w:pPr>
              <w:spacing w:after="0"/>
              <w:jc w:val="right"/>
              <w:rPr>
                <w:sz w:val="24"/>
                <w:szCs w:val="24"/>
              </w:rPr>
            </w:pPr>
            <w:r w:rsidRPr="006A2A45">
              <w:rPr>
                <w:sz w:val="24"/>
                <w:szCs w:val="24"/>
              </w:rPr>
              <w:t>0</w:t>
            </w:r>
          </w:p>
        </w:tc>
        <w:tc>
          <w:tcPr>
            <w:tcW w:w="1029" w:type="dxa"/>
          </w:tcPr>
          <w:p w14:paraId="25BAD132" w14:textId="77777777" w:rsidR="00CF0E2D" w:rsidRPr="00AD23FE" w:rsidRDefault="00CF0E2D" w:rsidP="00A60D4B">
            <w:pPr>
              <w:spacing w:after="0"/>
              <w:jc w:val="right"/>
              <w:rPr>
                <w:sz w:val="24"/>
                <w:szCs w:val="24"/>
              </w:rPr>
            </w:pPr>
            <w:r w:rsidRPr="00AD23FE">
              <w:rPr>
                <w:sz w:val="24"/>
                <w:szCs w:val="24"/>
              </w:rPr>
              <w:t>0</w:t>
            </w:r>
          </w:p>
        </w:tc>
        <w:tc>
          <w:tcPr>
            <w:tcW w:w="1029" w:type="dxa"/>
          </w:tcPr>
          <w:p w14:paraId="0AF8320D" w14:textId="77777777" w:rsidR="00CF0E2D" w:rsidRPr="00485EA9" w:rsidRDefault="00CF0E2D" w:rsidP="00A60D4B">
            <w:pPr>
              <w:spacing w:after="0"/>
              <w:jc w:val="right"/>
              <w:rPr>
                <w:sz w:val="24"/>
                <w:szCs w:val="24"/>
              </w:rPr>
            </w:pPr>
            <w:r w:rsidRPr="00614C0B">
              <w:rPr>
                <w:sz w:val="24"/>
                <w:szCs w:val="24"/>
              </w:rPr>
              <w:t>0</w:t>
            </w:r>
          </w:p>
        </w:tc>
        <w:tc>
          <w:tcPr>
            <w:tcW w:w="1029" w:type="dxa"/>
          </w:tcPr>
          <w:p w14:paraId="6EA4C9C1" w14:textId="77777777" w:rsidR="00CF0E2D" w:rsidRPr="00A25633" w:rsidRDefault="00CF0E2D" w:rsidP="00A60D4B">
            <w:pPr>
              <w:spacing w:after="0"/>
              <w:jc w:val="right"/>
              <w:rPr>
                <w:b/>
                <w:sz w:val="24"/>
                <w:szCs w:val="24"/>
              </w:rPr>
            </w:pPr>
            <w:r w:rsidRPr="00485EA9">
              <w:rPr>
                <w:b/>
                <w:sz w:val="24"/>
                <w:szCs w:val="24"/>
              </w:rPr>
              <w:t>-300</w:t>
            </w:r>
          </w:p>
        </w:tc>
      </w:tr>
      <w:tr w:rsidR="00CF0E2D" w:rsidRPr="00BD13B4" w14:paraId="72E569C1" w14:textId="77777777" w:rsidTr="00A60D4B">
        <w:trPr>
          <w:cantSplit/>
          <w:jc w:val="center"/>
        </w:trPr>
        <w:tc>
          <w:tcPr>
            <w:tcW w:w="3652" w:type="dxa"/>
          </w:tcPr>
          <w:p w14:paraId="2C571952" w14:textId="77777777" w:rsidR="00CF0E2D" w:rsidRPr="00BE5764" w:rsidRDefault="00CF0E2D" w:rsidP="00A60D4B">
            <w:pPr>
              <w:spacing w:after="0"/>
              <w:ind w:left="321" w:hanging="321"/>
              <w:rPr>
                <w:sz w:val="24"/>
                <w:szCs w:val="24"/>
              </w:rPr>
            </w:pPr>
            <w:r w:rsidRPr="00BE5764">
              <w:rPr>
                <w:sz w:val="24"/>
                <w:szCs w:val="24"/>
              </w:rPr>
              <w:t>Offset – Expenses – Provision</w:t>
            </w:r>
          </w:p>
        </w:tc>
        <w:tc>
          <w:tcPr>
            <w:tcW w:w="1179" w:type="dxa"/>
          </w:tcPr>
          <w:p w14:paraId="24733329" w14:textId="77777777" w:rsidR="00CF0E2D" w:rsidRPr="0016070E" w:rsidRDefault="00CF0E2D" w:rsidP="00A60D4B">
            <w:pPr>
              <w:spacing w:after="0"/>
              <w:jc w:val="right"/>
              <w:rPr>
                <w:sz w:val="24"/>
                <w:szCs w:val="24"/>
              </w:rPr>
            </w:pPr>
            <w:r w:rsidRPr="000740DB">
              <w:rPr>
                <w:sz w:val="24"/>
                <w:szCs w:val="24"/>
              </w:rPr>
              <w:t>-750</w:t>
            </w:r>
          </w:p>
        </w:tc>
        <w:tc>
          <w:tcPr>
            <w:tcW w:w="1041" w:type="dxa"/>
          </w:tcPr>
          <w:p w14:paraId="727E7399" w14:textId="77777777" w:rsidR="00CF0E2D" w:rsidRPr="0055003E" w:rsidRDefault="00CF0E2D" w:rsidP="00A60D4B">
            <w:pPr>
              <w:spacing w:after="0"/>
              <w:jc w:val="right"/>
              <w:rPr>
                <w:sz w:val="24"/>
                <w:szCs w:val="24"/>
              </w:rPr>
            </w:pPr>
            <w:r w:rsidRPr="006A2A45">
              <w:rPr>
                <w:sz w:val="24"/>
                <w:szCs w:val="24"/>
              </w:rPr>
              <w:t>0</w:t>
            </w:r>
          </w:p>
        </w:tc>
        <w:tc>
          <w:tcPr>
            <w:tcW w:w="1029" w:type="dxa"/>
          </w:tcPr>
          <w:p w14:paraId="7825AE43" w14:textId="77777777" w:rsidR="00CF0E2D" w:rsidRPr="00AD23FE" w:rsidRDefault="00CF0E2D" w:rsidP="00A60D4B">
            <w:pPr>
              <w:spacing w:after="0"/>
              <w:jc w:val="right"/>
              <w:rPr>
                <w:sz w:val="24"/>
                <w:szCs w:val="24"/>
              </w:rPr>
            </w:pPr>
            <w:r w:rsidRPr="00AD23FE">
              <w:rPr>
                <w:sz w:val="24"/>
                <w:szCs w:val="24"/>
              </w:rPr>
              <w:t>0</w:t>
            </w:r>
          </w:p>
        </w:tc>
        <w:tc>
          <w:tcPr>
            <w:tcW w:w="1029" w:type="dxa"/>
          </w:tcPr>
          <w:p w14:paraId="589B3FF1" w14:textId="77777777" w:rsidR="00CF0E2D" w:rsidRPr="00485EA9" w:rsidRDefault="00CF0E2D" w:rsidP="00A60D4B">
            <w:pPr>
              <w:spacing w:after="0"/>
              <w:jc w:val="right"/>
              <w:rPr>
                <w:sz w:val="24"/>
                <w:szCs w:val="24"/>
              </w:rPr>
            </w:pPr>
            <w:r w:rsidRPr="00614C0B">
              <w:rPr>
                <w:sz w:val="24"/>
                <w:szCs w:val="24"/>
              </w:rPr>
              <w:t>0</w:t>
            </w:r>
          </w:p>
        </w:tc>
        <w:tc>
          <w:tcPr>
            <w:tcW w:w="1029" w:type="dxa"/>
          </w:tcPr>
          <w:p w14:paraId="56F0E747" w14:textId="77777777" w:rsidR="00CF0E2D" w:rsidRPr="00A25633" w:rsidRDefault="00CF0E2D" w:rsidP="00A60D4B">
            <w:pPr>
              <w:spacing w:after="0"/>
              <w:jc w:val="right"/>
              <w:rPr>
                <w:b/>
                <w:sz w:val="24"/>
                <w:szCs w:val="24"/>
              </w:rPr>
            </w:pPr>
            <w:r w:rsidRPr="00485EA9">
              <w:rPr>
                <w:b/>
                <w:sz w:val="24"/>
                <w:szCs w:val="24"/>
              </w:rPr>
              <w:t>-750</w:t>
            </w:r>
          </w:p>
        </w:tc>
      </w:tr>
      <w:tr w:rsidR="00CF0E2D" w:rsidRPr="00BD13B4" w14:paraId="035D2574" w14:textId="77777777" w:rsidTr="00A60D4B">
        <w:trPr>
          <w:cantSplit/>
          <w:trHeight w:val="107"/>
          <w:jc w:val="center"/>
        </w:trPr>
        <w:tc>
          <w:tcPr>
            <w:tcW w:w="3652" w:type="dxa"/>
            <w:tcBorders>
              <w:top w:val="single" w:sz="4" w:space="0" w:color="auto"/>
              <w:bottom w:val="single" w:sz="4" w:space="0" w:color="auto"/>
            </w:tcBorders>
          </w:tcPr>
          <w:p w14:paraId="6616FE95" w14:textId="77777777" w:rsidR="00CF0E2D" w:rsidRPr="00BE5764" w:rsidRDefault="00CF0E2D" w:rsidP="00A60D4B">
            <w:pPr>
              <w:spacing w:after="0"/>
              <w:ind w:left="321" w:hanging="321"/>
              <w:rPr>
                <w:b/>
                <w:sz w:val="24"/>
                <w:szCs w:val="24"/>
              </w:rPr>
            </w:pPr>
            <w:r w:rsidRPr="00BE5764">
              <w:rPr>
                <w:b/>
                <w:sz w:val="24"/>
                <w:szCs w:val="24"/>
              </w:rPr>
              <w:t>Net cost of services</w:t>
            </w:r>
          </w:p>
        </w:tc>
        <w:tc>
          <w:tcPr>
            <w:tcW w:w="1179" w:type="dxa"/>
            <w:tcBorders>
              <w:top w:val="single" w:sz="4" w:space="0" w:color="auto"/>
              <w:bottom w:val="single" w:sz="4" w:space="0" w:color="auto"/>
            </w:tcBorders>
          </w:tcPr>
          <w:p w14:paraId="1B318282" w14:textId="77777777" w:rsidR="00CF0E2D" w:rsidRPr="0016070E" w:rsidRDefault="00CF0E2D" w:rsidP="00A60D4B">
            <w:pPr>
              <w:spacing w:after="0"/>
              <w:jc w:val="right"/>
              <w:rPr>
                <w:b/>
                <w:sz w:val="24"/>
                <w:szCs w:val="24"/>
              </w:rPr>
            </w:pPr>
            <w:r w:rsidRPr="000740DB">
              <w:rPr>
                <w:b/>
                <w:sz w:val="24"/>
                <w:szCs w:val="24"/>
              </w:rPr>
              <w:t>5,590</w:t>
            </w:r>
          </w:p>
        </w:tc>
        <w:tc>
          <w:tcPr>
            <w:tcW w:w="1041" w:type="dxa"/>
            <w:tcBorders>
              <w:top w:val="single" w:sz="4" w:space="0" w:color="auto"/>
              <w:bottom w:val="single" w:sz="4" w:space="0" w:color="auto"/>
            </w:tcBorders>
          </w:tcPr>
          <w:p w14:paraId="556869AD" w14:textId="77777777" w:rsidR="00CF0E2D" w:rsidRPr="0055003E" w:rsidRDefault="00CF0E2D" w:rsidP="00A60D4B">
            <w:pPr>
              <w:spacing w:after="0"/>
              <w:jc w:val="right"/>
              <w:rPr>
                <w:b/>
                <w:sz w:val="24"/>
                <w:szCs w:val="24"/>
              </w:rPr>
            </w:pPr>
            <w:r w:rsidRPr="006A2A45">
              <w:rPr>
                <w:b/>
                <w:sz w:val="24"/>
                <w:szCs w:val="24"/>
              </w:rPr>
              <w:t>2,335</w:t>
            </w:r>
          </w:p>
        </w:tc>
        <w:tc>
          <w:tcPr>
            <w:tcW w:w="1029" w:type="dxa"/>
            <w:tcBorders>
              <w:top w:val="single" w:sz="4" w:space="0" w:color="auto"/>
              <w:bottom w:val="single" w:sz="4" w:space="0" w:color="auto"/>
            </w:tcBorders>
          </w:tcPr>
          <w:p w14:paraId="21AAF162" w14:textId="77777777" w:rsidR="00CF0E2D" w:rsidRPr="00AD23FE" w:rsidRDefault="00CF0E2D" w:rsidP="00A60D4B">
            <w:pPr>
              <w:spacing w:after="0"/>
              <w:jc w:val="right"/>
              <w:rPr>
                <w:b/>
                <w:sz w:val="24"/>
                <w:szCs w:val="24"/>
              </w:rPr>
            </w:pPr>
            <w:r w:rsidRPr="00AD23FE">
              <w:rPr>
                <w:b/>
                <w:sz w:val="24"/>
                <w:szCs w:val="24"/>
              </w:rPr>
              <w:t>350</w:t>
            </w:r>
          </w:p>
        </w:tc>
        <w:tc>
          <w:tcPr>
            <w:tcW w:w="1029" w:type="dxa"/>
            <w:tcBorders>
              <w:top w:val="single" w:sz="4" w:space="0" w:color="auto"/>
              <w:bottom w:val="single" w:sz="4" w:space="0" w:color="auto"/>
            </w:tcBorders>
          </w:tcPr>
          <w:p w14:paraId="35FB06C8" w14:textId="77777777" w:rsidR="00CF0E2D" w:rsidRPr="00485EA9" w:rsidRDefault="00CF0E2D" w:rsidP="00A60D4B">
            <w:pPr>
              <w:spacing w:after="0"/>
              <w:jc w:val="right"/>
              <w:rPr>
                <w:b/>
                <w:sz w:val="24"/>
                <w:szCs w:val="24"/>
              </w:rPr>
            </w:pPr>
            <w:r w:rsidRPr="00614C0B">
              <w:rPr>
                <w:b/>
                <w:sz w:val="24"/>
                <w:szCs w:val="24"/>
              </w:rPr>
              <w:t>350</w:t>
            </w:r>
          </w:p>
        </w:tc>
        <w:tc>
          <w:tcPr>
            <w:tcW w:w="1029" w:type="dxa"/>
            <w:tcBorders>
              <w:top w:val="single" w:sz="4" w:space="0" w:color="auto"/>
              <w:bottom w:val="single" w:sz="4" w:space="0" w:color="auto"/>
            </w:tcBorders>
          </w:tcPr>
          <w:p w14:paraId="7A3FF9C0" w14:textId="77777777" w:rsidR="00CF0E2D" w:rsidRPr="00A25633" w:rsidRDefault="00CF0E2D" w:rsidP="00A60D4B">
            <w:pPr>
              <w:spacing w:after="0"/>
              <w:jc w:val="right"/>
              <w:rPr>
                <w:b/>
                <w:sz w:val="24"/>
                <w:szCs w:val="24"/>
              </w:rPr>
            </w:pPr>
            <w:r w:rsidRPr="00485EA9">
              <w:rPr>
                <w:b/>
                <w:sz w:val="24"/>
                <w:szCs w:val="24"/>
              </w:rPr>
              <w:t>8,625</w:t>
            </w:r>
          </w:p>
        </w:tc>
      </w:tr>
    </w:tbl>
    <w:p w14:paraId="2772796E" w14:textId="77777777" w:rsidR="00CF0E2D" w:rsidRPr="00407207" w:rsidRDefault="00CF0E2D" w:rsidP="00A60D4B">
      <w:pPr>
        <w:pStyle w:val="Bbodytext"/>
        <w:spacing w:before="200" w:after="200"/>
      </w:pPr>
      <w:r w:rsidRPr="00407207">
        <w:t xml:space="preserve">The Government will continue to support the recovery of the ACT tourism sector, with funding to expand destination marketing activities, provide support for the aviation sector, continue support for the National Capital Educational Tourism Project, support the continuation of Brand Canberra and extend the Tourism Cooperative Marketing Fund. </w:t>
      </w:r>
    </w:p>
    <w:p w14:paraId="6DA943D4" w14:textId="77777777" w:rsidR="00CF0E2D" w:rsidRDefault="00CF0E2D" w:rsidP="00A60D4B">
      <w:pPr>
        <w:pStyle w:val="Bbodytext"/>
        <w:keepNext/>
        <w:keepLines/>
        <w:spacing w:before="200" w:after="200"/>
      </w:pPr>
      <w:r w:rsidRPr="009609CE">
        <w:t xml:space="preserve">The Government </w:t>
      </w:r>
      <w:r>
        <w:t xml:space="preserve">will also support accommodation providers and private tourism venue operators through the Accommodation and Tourism Venue Operator Support Program, Small Tourism Operator COVID Recovery Payment and vehicle registration fee waivers for hire cars and chartered buses. </w:t>
      </w:r>
    </w:p>
    <w:p w14:paraId="119C182D" w14:textId="77777777" w:rsidR="00CF0E2D" w:rsidRDefault="00CF0E2D" w:rsidP="00A60D4B">
      <w:pPr>
        <w:pStyle w:val="Bbodytext"/>
        <w:spacing w:before="200" w:after="200"/>
      </w:pPr>
      <w:r>
        <w:t>The Accommodation and Tourism Venue Operator Support Program</w:t>
      </w:r>
      <w:r w:rsidDel="000C7723">
        <w:t xml:space="preserve"> </w:t>
      </w:r>
      <w:r>
        <w:t>provides eligible operators with a full rebate on their fixed water and sewerage charges for the first two quarters of 2021-22 and the Small Tourism Operator COVID Recovery Payment provides eligible operators a reimbursement of up to $15,000 for specified business expenses incurred in June and July 2021. Waivers of vehicle registration fees for hire cars and charter buses registered in the ACT have also been extended by six months to 31 March 2022.</w:t>
      </w:r>
    </w:p>
    <w:p w14:paraId="2C582913" w14:textId="77777777" w:rsidR="00CF0E2D" w:rsidRDefault="00CF0E2D" w:rsidP="00A60D4B">
      <w:pPr>
        <w:pStyle w:val="Bbodytext"/>
        <w:spacing w:before="200" w:after="200"/>
      </w:pPr>
      <w:r w:rsidRPr="00407207">
        <w:t xml:space="preserve">This initiative builds on funding provided as part of the 2020-21 Budget initiative </w:t>
      </w:r>
      <w:r w:rsidRPr="00EB652B">
        <w:rPr>
          <w:i/>
          <w:iCs/>
        </w:rPr>
        <w:t>Marketing Canberra as a COVID-safe destination for domestic travellers</w:t>
      </w:r>
      <w:r w:rsidRPr="00407207">
        <w:t xml:space="preserve">. </w:t>
      </w:r>
      <w:r>
        <w:t>These</w:t>
      </w:r>
      <w:r w:rsidRPr="009609CE">
        <w:t xml:space="preserve"> </w:t>
      </w:r>
      <w:r>
        <w:t>measures</w:t>
      </w:r>
      <w:r w:rsidRPr="009609CE">
        <w:t xml:space="preserve"> </w:t>
      </w:r>
      <w:r>
        <w:t xml:space="preserve">are part of the </w:t>
      </w:r>
      <w:r w:rsidRPr="009609CE">
        <w:t>Government</w:t>
      </w:r>
      <w:r>
        <w:t>’s</w:t>
      </w:r>
      <w:r w:rsidRPr="009609CE">
        <w:t xml:space="preserve"> </w:t>
      </w:r>
      <w:r>
        <w:t xml:space="preserve">ongoing financial support to the local tourism industry that has been significantly affected during the COVID-19 pandemic, including the Tourism Cooperative Marketing Fund and the COVID-Safe Tourism Co-Investment Program. </w:t>
      </w:r>
    </w:p>
    <w:p w14:paraId="4D2C969E" w14:textId="77777777" w:rsidR="00CF0E2D" w:rsidRDefault="00CF0E2D" w:rsidP="00A60D4B">
      <w:pPr>
        <w:pStyle w:val="Bbodytext"/>
        <w:spacing w:before="200" w:after="200"/>
      </w:pPr>
      <w:r w:rsidRPr="00407207">
        <w:t>This initiative contributes to the wellbeing domains of Economy and Social connection.</w:t>
      </w:r>
    </w:p>
    <w:p w14:paraId="429B07A3" w14:textId="77777777" w:rsidR="00CF0E2D" w:rsidRPr="00B50762" w:rsidRDefault="00CF0E2D" w:rsidP="00A60D4B">
      <w:pPr>
        <w:rPr>
          <w:sz w:val="24"/>
        </w:rPr>
      </w:pPr>
      <w:r>
        <w:br w:type="page"/>
      </w:r>
    </w:p>
    <w:p w14:paraId="5080C2B1" w14:textId="77777777" w:rsidR="00CF0E2D" w:rsidRPr="00B60A32" w:rsidRDefault="00CF0E2D" w:rsidP="00A60D4B">
      <w:pPr>
        <w:pStyle w:val="Heading4"/>
        <w:rPr>
          <w:rFonts w:eastAsia="Times New Roman"/>
        </w:rPr>
      </w:pPr>
      <w:r w:rsidRPr="00B60A32">
        <w:rPr>
          <w:rFonts w:eastAsia="Times New Roman"/>
        </w:rPr>
        <w:lastRenderedPageBreak/>
        <w:t xml:space="preserve">COVID-19 Business support – Tourism, Accommodation Provider </w:t>
      </w:r>
      <w:r>
        <w:rPr>
          <w:b w:val="0"/>
          <w:noProof/>
          <w:color w:val="999789"/>
          <w:sz w:val="32"/>
          <w:szCs w:val="24"/>
        </w:rPr>
        <w:drawing>
          <wp:anchor distT="0" distB="0" distL="114300" distR="114300" simplePos="0" relativeHeight="251951104" behindDoc="0" locked="1" layoutInCell="1" allowOverlap="1" wp14:anchorId="2EA84AE0" wp14:editId="094D3A09">
            <wp:simplePos x="0" y="0"/>
            <wp:positionH relativeFrom="margin">
              <wp:posOffset>4563745</wp:posOffset>
            </wp:positionH>
            <wp:positionV relativeFrom="paragraph">
              <wp:posOffset>6350</wp:posOffset>
            </wp:positionV>
            <wp:extent cx="1148080" cy="503555"/>
            <wp:effectExtent l="0" t="0" r="0" b="0"/>
            <wp:wrapSquare wrapText="bothSides"/>
            <wp:docPr id="40" name="Picture 40"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080" cy="503555"/>
                    </a:xfrm>
                    <a:prstGeom prst="rect">
                      <a:avLst/>
                    </a:prstGeom>
                  </pic:spPr>
                </pic:pic>
              </a:graphicData>
            </a:graphic>
            <wp14:sizeRelH relativeFrom="margin">
              <wp14:pctWidth>0</wp14:pctWidth>
            </wp14:sizeRelH>
            <wp14:sizeRelV relativeFrom="margin">
              <wp14:pctHeight>0</wp14:pctHeight>
            </wp14:sizeRelV>
          </wp:anchor>
        </w:drawing>
      </w:r>
      <w:r w:rsidRPr="00B60A32">
        <w:rPr>
          <w:rFonts w:eastAsia="Times New Roman"/>
        </w:rPr>
        <w:t>and Hospitality Industry Support</w:t>
      </w:r>
      <w:r>
        <w:rPr>
          <w:rFonts w:eastAsia="Times New Roman"/>
        </w:rPr>
        <w:t xml:space="preserve"> Fund</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22177A0D" w14:textId="77777777" w:rsidTr="00A60D4B">
        <w:trPr>
          <w:cantSplit/>
          <w:jc w:val="center"/>
        </w:trPr>
        <w:tc>
          <w:tcPr>
            <w:tcW w:w="3652" w:type="dxa"/>
            <w:tcBorders>
              <w:top w:val="single" w:sz="4" w:space="0" w:color="auto"/>
              <w:bottom w:val="single" w:sz="4" w:space="0" w:color="auto"/>
            </w:tcBorders>
          </w:tcPr>
          <w:p w14:paraId="76B9EF44"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561D0447" w14:textId="77777777" w:rsidR="00CF0E2D" w:rsidRPr="000262BB" w:rsidRDefault="00CF0E2D" w:rsidP="00A60D4B">
            <w:pPr>
              <w:pStyle w:val="InitFigR"/>
              <w:rPr>
                <w:b/>
                <w:bCs/>
              </w:rPr>
            </w:pPr>
            <w:r w:rsidRPr="000262BB">
              <w:rPr>
                <w:b/>
                <w:bCs/>
              </w:rPr>
              <w:t>2021-22</w:t>
            </w:r>
          </w:p>
          <w:p w14:paraId="323A0C4F" w14:textId="77777777" w:rsidR="00CF0E2D" w:rsidRPr="000262BB" w:rsidRDefault="00CF0E2D" w:rsidP="00A60D4B">
            <w:pPr>
              <w:pStyle w:val="InitFigR"/>
              <w:rPr>
                <w:b/>
                <w:bCs/>
              </w:rPr>
            </w:pPr>
            <w:r w:rsidRPr="000262BB">
              <w:rPr>
                <w:b/>
                <w:bCs/>
              </w:rPr>
              <w:t>$’000</w:t>
            </w:r>
          </w:p>
        </w:tc>
        <w:tc>
          <w:tcPr>
            <w:tcW w:w="1041" w:type="dxa"/>
            <w:tcBorders>
              <w:top w:val="single" w:sz="4" w:space="0" w:color="auto"/>
              <w:bottom w:val="single" w:sz="4" w:space="0" w:color="auto"/>
            </w:tcBorders>
          </w:tcPr>
          <w:p w14:paraId="77F6F77B" w14:textId="77777777" w:rsidR="00CF0E2D" w:rsidRPr="000262BB" w:rsidRDefault="00CF0E2D" w:rsidP="00A60D4B">
            <w:pPr>
              <w:pStyle w:val="InitFigR"/>
              <w:rPr>
                <w:b/>
                <w:bCs/>
              </w:rPr>
            </w:pPr>
            <w:r w:rsidRPr="000262BB">
              <w:rPr>
                <w:b/>
                <w:bCs/>
              </w:rPr>
              <w:t>2022-23</w:t>
            </w:r>
          </w:p>
          <w:p w14:paraId="58812025" w14:textId="77777777" w:rsidR="00CF0E2D" w:rsidRPr="000262BB" w:rsidRDefault="00CF0E2D" w:rsidP="00A60D4B">
            <w:pPr>
              <w:pStyle w:val="InitFigR"/>
              <w:rPr>
                <w:b/>
                <w:bCs/>
              </w:rPr>
            </w:pPr>
            <w:r w:rsidRPr="000262BB">
              <w:rPr>
                <w:b/>
                <w:bCs/>
              </w:rPr>
              <w:t>$’000</w:t>
            </w:r>
          </w:p>
        </w:tc>
        <w:tc>
          <w:tcPr>
            <w:tcW w:w="1029" w:type="dxa"/>
            <w:tcBorders>
              <w:top w:val="single" w:sz="4" w:space="0" w:color="auto"/>
              <w:bottom w:val="single" w:sz="4" w:space="0" w:color="auto"/>
            </w:tcBorders>
          </w:tcPr>
          <w:p w14:paraId="6CBB0C06" w14:textId="77777777" w:rsidR="00CF0E2D" w:rsidRPr="000262BB" w:rsidRDefault="00CF0E2D" w:rsidP="00A60D4B">
            <w:pPr>
              <w:pStyle w:val="InitFigR"/>
              <w:rPr>
                <w:b/>
                <w:bCs/>
              </w:rPr>
            </w:pPr>
            <w:r w:rsidRPr="000262BB">
              <w:rPr>
                <w:b/>
                <w:bCs/>
              </w:rPr>
              <w:t>2023-24</w:t>
            </w:r>
          </w:p>
          <w:p w14:paraId="5EC92130" w14:textId="77777777" w:rsidR="00CF0E2D" w:rsidRPr="000262BB" w:rsidRDefault="00CF0E2D" w:rsidP="00A60D4B">
            <w:pPr>
              <w:pStyle w:val="InitFigR"/>
              <w:rPr>
                <w:b/>
                <w:bCs/>
              </w:rPr>
            </w:pPr>
            <w:r w:rsidRPr="000262BB">
              <w:rPr>
                <w:b/>
                <w:bCs/>
              </w:rPr>
              <w:t>$’000</w:t>
            </w:r>
          </w:p>
        </w:tc>
        <w:tc>
          <w:tcPr>
            <w:tcW w:w="1029" w:type="dxa"/>
            <w:tcBorders>
              <w:top w:val="single" w:sz="4" w:space="0" w:color="auto"/>
              <w:bottom w:val="single" w:sz="4" w:space="0" w:color="auto"/>
            </w:tcBorders>
          </w:tcPr>
          <w:p w14:paraId="650B1490" w14:textId="77777777" w:rsidR="00CF0E2D" w:rsidRPr="000262BB" w:rsidRDefault="00CF0E2D" w:rsidP="00A60D4B">
            <w:pPr>
              <w:pStyle w:val="InitFigR"/>
              <w:rPr>
                <w:b/>
                <w:bCs/>
              </w:rPr>
            </w:pPr>
            <w:r w:rsidRPr="000262BB">
              <w:rPr>
                <w:b/>
                <w:bCs/>
              </w:rPr>
              <w:t>2024-25</w:t>
            </w:r>
          </w:p>
          <w:p w14:paraId="7520C841" w14:textId="77777777" w:rsidR="00CF0E2D" w:rsidRPr="000262BB" w:rsidRDefault="00CF0E2D" w:rsidP="00A60D4B">
            <w:pPr>
              <w:pStyle w:val="InitFigR"/>
              <w:rPr>
                <w:b/>
                <w:bCs/>
              </w:rPr>
            </w:pPr>
            <w:r w:rsidRPr="000262BB">
              <w:rPr>
                <w:b/>
                <w:bCs/>
              </w:rPr>
              <w:t>$’000</w:t>
            </w:r>
          </w:p>
        </w:tc>
        <w:tc>
          <w:tcPr>
            <w:tcW w:w="1029" w:type="dxa"/>
            <w:tcBorders>
              <w:top w:val="single" w:sz="4" w:space="0" w:color="auto"/>
              <w:bottom w:val="single" w:sz="4" w:space="0" w:color="auto"/>
            </w:tcBorders>
          </w:tcPr>
          <w:p w14:paraId="05AF4DB1" w14:textId="77777777" w:rsidR="00CF0E2D" w:rsidRPr="004E341E" w:rsidRDefault="00CF0E2D" w:rsidP="00A60D4B">
            <w:pPr>
              <w:pStyle w:val="InitFigRBold"/>
            </w:pPr>
            <w:r w:rsidRPr="004E341E">
              <w:t>Total</w:t>
            </w:r>
          </w:p>
          <w:p w14:paraId="31443E51" w14:textId="77777777" w:rsidR="00CF0E2D" w:rsidRPr="004E341E" w:rsidRDefault="00CF0E2D" w:rsidP="00A60D4B">
            <w:pPr>
              <w:pStyle w:val="InitFigBR"/>
            </w:pPr>
            <w:r w:rsidRPr="004E341E">
              <w:t>$’000</w:t>
            </w:r>
          </w:p>
        </w:tc>
      </w:tr>
      <w:tr w:rsidR="00CF0E2D" w:rsidRPr="00750793" w14:paraId="6A19872E" w14:textId="77777777" w:rsidTr="00A60D4B">
        <w:trPr>
          <w:cantSplit/>
          <w:jc w:val="center"/>
        </w:trPr>
        <w:tc>
          <w:tcPr>
            <w:tcW w:w="3652" w:type="dxa"/>
            <w:tcBorders>
              <w:top w:val="single" w:sz="4" w:space="0" w:color="auto"/>
            </w:tcBorders>
          </w:tcPr>
          <w:p w14:paraId="79B20947" w14:textId="77777777" w:rsidR="00CF0E2D" w:rsidRPr="00F13FAB" w:rsidRDefault="00CF0E2D" w:rsidP="00A60D4B">
            <w:pPr>
              <w:pStyle w:val="InitTextL"/>
              <w:ind w:left="321" w:hanging="321"/>
            </w:pPr>
            <w:r w:rsidRPr="00882BE2">
              <w:t>Expenses</w:t>
            </w:r>
          </w:p>
        </w:tc>
        <w:tc>
          <w:tcPr>
            <w:tcW w:w="1179" w:type="dxa"/>
            <w:tcBorders>
              <w:top w:val="single" w:sz="4" w:space="0" w:color="auto"/>
            </w:tcBorders>
          </w:tcPr>
          <w:p w14:paraId="3E1AF0B7" w14:textId="77777777" w:rsidR="00CF0E2D" w:rsidRPr="00424DA4" w:rsidRDefault="00CF0E2D" w:rsidP="00A60D4B">
            <w:pPr>
              <w:pStyle w:val="InitFigR"/>
            </w:pPr>
            <w:r>
              <w:t>7,200</w:t>
            </w:r>
          </w:p>
        </w:tc>
        <w:tc>
          <w:tcPr>
            <w:tcW w:w="1041" w:type="dxa"/>
            <w:tcBorders>
              <w:top w:val="single" w:sz="4" w:space="0" w:color="auto"/>
            </w:tcBorders>
          </w:tcPr>
          <w:p w14:paraId="2A916324" w14:textId="77777777" w:rsidR="00CF0E2D" w:rsidRPr="00424DA4" w:rsidRDefault="00CF0E2D" w:rsidP="00A60D4B">
            <w:pPr>
              <w:pStyle w:val="InitFigR"/>
            </w:pPr>
            <w:r>
              <w:t>0</w:t>
            </w:r>
          </w:p>
        </w:tc>
        <w:tc>
          <w:tcPr>
            <w:tcW w:w="1029" w:type="dxa"/>
            <w:tcBorders>
              <w:top w:val="single" w:sz="4" w:space="0" w:color="auto"/>
            </w:tcBorders>
          </w:tcPr>
          <w:p w14:paraId="26951A92" w14:textId="77777777" w:rsidR="00CF0E2D" w:rsidRPr="00424DA4" w:rsidRDefault="00CF0E2D" w:rsidP="00A60D4B">
            <w:pPr>
              <w:pStyle w:val="InitFigR"/>
            </w:pPr>
            <w:r>
              <w:t>0</w:t>
            </w:r>
          </w:p>
        </w:tc>
        <w:tc>
          <w:tcPr>
            <w:tcW w:w="1029" w:type="dxa"/>
            <w:tcBorders>
              <w:top w:val="single" w:sz="4" w:space="0" w:color="auto"/>
            </w:tcBorders>
          </w:tcPr>
          <w:p w14:paraId="4129193F" w14:textId="77777777" w:rsidR="00CF0E2D" w:rsidRPr="00424DA4" w:rsidRDefault="00CF0E2D" w:rsidP="00A60D4B">
            <w:pPr>
              <w:pStyle w:val="InitFigR"/>
            </w:pPr>
            <w:r>
              <w:t>0</w:t>
            </w:r>
          </w:p>
        </w:tc>
        <w:tc>
          <w:tcPr>
            <w:tcW w:w="1029" w:type="dxa"/>
            <w:tcBorders>
              <w:top w:val="single" w:sz="4" w:space="0" w:color="auto"/>
            </w:tcBorders>
          </w:tcPr>
          <w:p w14:paraId="60BA674B" w14:textId="77777777" w:rsidR="00CF0E2D" w:rsidRPr="00424DA4" w:rsidRDefault="00CF0E2D" w:rsidP="00A60D4B">
            <w:pPr>
              <w:pStyle w:val="InitFigBR"/>
            </w:pPr>
            <w:r>
              <w:t>7,200</w:t>
            </w:r>
          </w:p>
        </w:tc>
      </w:tr>
      <w:tr w:rsidR="00CF0E2D" w:rsidRPr="00750793" w14:paraId="74F7697F" w14:textId="77777777" w:rsidTr="00A60D4B">
        <w:trPr>
          <w:cantSplit/>
          <w:jc w:val="center"/>
        </w:trPr>
        <w:tc>
          <w:tcPr>
            <w:tcW w:w="3652" w:type="dxa"/>
            <w:tcBorders>
              <w:bottom w:val="single" w:sz="4" w:space="0" w:color="auto"/>
            </w:tcBorders>
          </w:tcPr>
          <w:p w14:paraId="7063CEDE" w14:textId="77777777" w:rsidR="00CF0E2D" w:rsidRPr="00882BE2" w:rsidRDefault="00CF0E2D" w:rsidP="00A60D4B">
            <w:pPr>
              <w:pStyle w:val="InitTextL"/>
              <w:ind w:left="321" w:hanging="321"/>
            </w:pPr>
            <w:r>
              <w:t>Offset – Commonwealth funding</w:t>
            </w:r>
          </w:p>
        </w:tc>
        <w:tc>
          <w:tcPr>
            <w:tcW w:w="1179" w:type="dxa"/>
            <w:tcBorders>
              <w:bottom w:val="single" w:sz="4" w:space="0" w:color="auto"/>
            </w:tcBorders>
          </w:tcPr>
          <w:p w14:paraId="40040EB6" w14:textId="77777777" w:rsidR="00CF0E2D" w:rsidRDefault="00CF0E2D" w:rsidP="00A60D4B">
            <w:pPr>
              <w:pStyle w:val="InitFigR"/>
            </w:pPr>
            <w:r>
              <w:t>-3,600</w:t>
            </w:r>
          </w:p>
        </w:tc>
        <w:tc>
          <w:tcPr>
            <w:tcW w:w="1041" w:type="dxa"/>
            <w:tcBorders>
              <w:bottom w:val="single" w:sz="4" w:space="0" w:color="auto"/>
            </w:tcBorders>
          </w:tcPr>
          <w:p w14:paraId="76B543E4" w14:textId="77777777" w:rsidR="00CF0E2D" w:rsidRDefault="00CF0E2D" w:rsidP="00A60D4B">
            <w:pPr>
              <w:pStyle w:val="InitFigR"/>
            </w:pPr>
            <w:r>
              <w:t>0</w:t>
            </w:r>
          </w:p>
        </w:tc>
        <w:tc>
          <w:tcPr>
            <w:tcW w:w="1029" w:type="dxa"/>
            <w:tcBorders>
              <w:bottom w:val="single" w:sz="4" w:space="0" w:color="auto"/>
            </w:tcBorders>
          </w:tcPr>
          <w:p w14:paraId="22FA71A0" w14:textId="77777777" w:rsidR="00CF0E2D" w:rsidRDefault="00CF0E2D" w:rsidP="00A60D4B">
            <w:pPr>
              <w:pStyle w:val="InitFigR"/>
            </w:pPr>
            <w:r>
              <w:t>0</w:t>
            </w:r>
          </w:p>
        </w:tc>
        <w:tc>
          <w:tcPr>
            <w:tcW w:w="1029" w:type="dxa"/>
            <w:tcBorders>
              <w:bottom w:val="single" w:sz="4" w:space="0" w:color="auto"/>
            </w:tcBorders>
          </w:tcPr>
          <w:p w14:paraId="7CE5BAE6" w14:textId="77777777" w:rsidR="00CF0E2D" w:rsidRDefault="00CF0E2D" w:rsidP="00A60D4B">
            <w:pPr>
              <w:pStyle w:val="InitFigR"/>
            </w:pPr>
            <w:r>
              <w:t>0</w:t>
            </w:r>
          </w:p>
        </w:tc>
        <w:tc>
          <w:tcPr>
            <w:tcW w:w="1029" w:type="dxa"/>
            <w:tcBorders>
              <w:bottom w:val="single" w:sz="4" w:space="0" w:color="auto"/>
            </w:tcBorders>
          </w:tcPr>
          <w:p w14:paraId="143FF71A" w14:textId="77777777" w:rsidR="00CF0E2D" w:rsidRDefault="00CF0E2D" w:rsidP="00A60D4B">
            <w:pPr>
              <w:pStyle w:val="InitFigBR"/>
            </w:pPr>
            <w:r>
              <w:t>-3,600</w:t>
            </w:r>
          </w:p>
        </w:tc>
      </w:tr>
      <w:tr w:rsidR="00CF0E2D" w:rsidRPr="00750793" w14:paraId="098EF36F" w14:textId="77777777" w:rsidTr="00A60D4B">
        <w:trPr>
          <w:cantSplit/>
          <w:jc w:val="center"/>
        </w:trPr>
        <w:tc>
          <w:tcPr>
            <w:tcW w:w="3652" w:type="dxa"/>
            <w:tcBorders>
              <w:top w:val="single" w:sz="4" w:space="0" w:color="auto"/>
              <w:bottom w:val="single" w:sz="4" w:space="0" w:color="auto"/>
            </w:tcBorders>
          </w:tcPr>
          <w:p w14:paraId="52973129" w14:textId="77777777" w:rsidR="00CF0E2D" w:rsidRPr="00DC361D" w:rsidRDefault="00CF0E2D" w:rsidP="00A60D4B">
            <w:pPr>
              <w:pStyle w:val="InitTextL"/>
              <w:ind w:left="321" w:hanging="321"/>
              <w:rPr>
                <w:b/>
                <w:bCs/>
              </w:rPr>
            </w:pPr>
            <w:r w:rsidRPr="00DC361D">
              <w:rPr>
                <w:b/>
                <w:bCs/>
              </w:rPr>
              <w:t>Net cost of services</w:t>
            </w:r>
          </w:p>
        </w:tc>
        <w:tc>
          <w:tcPr>
            <w:tcW w:w="1179" w:type="dxa"/>
            <w:tcBorders>
              <w:top w:val="single" w:sz="4" w:space="0" w:color="auto"/>
              <w:bottom w:val="single" w:sz="4" w:space="0" w:color="auto"/>
            </w:tcBorders>
          </w:tcPr>
          <w:p w14:paraId="0D45CDD6" w14:textId="77777777" w:rsidR="00CF0E2D" w:rsidRPr="00DC361D" w:rsidRDefault="00CF0E2D" w:rsidP="00A60D4B">
            <w:pPr>
              <w:pStyle w:val="InitFigR"/>
              <w:rPr>
                <w:b/>
                <w:bCs/>
              </w:rPr>
            </w:pPr>
            <w:r w:rsidRPr="00DC361D">
              <w:rPr>
                <w:b/>
                <w:bCs/>
              </w:rPr>
              <w:t>3,600</w:t>
            </w:r>
          </w:p>
        </w:tc>
        <w:tc>
          <w:tcPr>
            <w:tcW w:w="1041" w:type="dxa"/>
            <w:tcBorders>
              <w:top w:val="single" w:sz="4" w:space="0" w:color="auto"/>
              <w:bottom w:val="single" w:sz="4" w:space="0" w:color="auto"/>
            </w:tcBorders>
          </w:tcPr>
          <w:p w14:paraId="49F63959" w14:textId="77777777" w:rsidR="00CF0E2D" w:rsidRPr="00DC361D" w:rsidRDefault="00CF0E2D" w:rsidP="00A60D4B">
            <w:pPr>
              <w:pStyle w:val="InitFigR"/>
              <w:rPr>
                <w:b/>
                <w:bCs/>
              </w:rPr>
            </w:pPr>
            <w:r w:rsidRPr="00DC361D">
              <w:rPr>
                <w:b/>
                <w:bCs/>
              </w:rPr>
              <w:t>0</w:t>
            </w:r>
          </w:p>
        </w:tc>
        <w:tc>
          <w:tcPr>
            <w:tcW w:w="1029" w:type="dxa"/>
            <w:tcBorders>
              <w:top w:val="single" w:sz="4" w:space="0" w:color="auto"/>
              <w:bottom w:val="single" w:sz="4" w:space="0" w:color="auto"/>
            </w:tcBorders>
          </w:tcPr>
          <w:p w14:paraId="0602E46D" w14:textId="77777777" w:rsidR="00CF0E2D" w:rsidRPr="00DC361D" w:rsidRDefault="00CF0E2D" w:rsidP="00A60D4B">
            <w:pPr>
              <w:pStyle w:val="InitFigR"/>
              <w:rPr>
                <w:b/>
                <w:bCs/>
              </w:rPr>
            </w:pPr>
            <w:r w:rsidRPr="00DC361D">
              <w:rPr>
                <w:b/>
                <w:bCs/>
              </w:rPr>
              <w:t>0</w:t>
            </w:r>
          </w:p>
        </w:tc>
        <w:tc>
          <w:tcPr>
            <w:tcW w:w="1029" w:type="dxa"/>
            <w:tcBorders>
              <w:top w:val="single" w:sz="4" w:space="0" w:color="auto"/>
              <w:bottom w:val="single" w:sz="4" w:space="0" w:color="auto"/>
            </w:tcBorders>
          </w:tcPr>
          <w:p w14:paraId="3801DBF3" w14:textId="77777777" w:rsidR="00CF0E2D" w:rsidRPr="00DC361D" w:rsidRDefault="00CF0E2D" w:rsidP="00A60D4B">
            <w:pPr>
              <w:pStyle w:val="InitFigR"/>
              <w:rPr>
                <w:b/>
                <w:bCs/>
              </w:rPr>
            </w:pPr>
            <w:r w:rsidRPr="00DC361D">
              <w:rPr>
                <w:b/>
                <w:bCs/>
              </w:rPr>
              <w:t>0</w:t>
            </w:r>
          </w:p>
        </w:tc>
        <w:tc>
          <w:tcPr>
            <w:tcW w:w="1029" w:type="dxa"/>
            <w:tcBorders>
              <w:top w:val="single" w:sz="4" w:space="0" w:color="auto"/>
              <w:bottom w:val="single" w:sz="4" w:space="0" w:color="auto"/>
            </w:tcBorders>
          </w:tcPr>
          <w:p w14:paraId="3A5FD584" w14:textId="77777777" w:rsidR="00CF0E2D" w:rsidRDefault="00CF0E2D" w:rsidP="00A60D4B">
            <w:pPr>
              <w:pStyle w:val="InitFigBR"/>
            </w:pPr>
            <w:r>
              <w:t>3,600</w:t>
            </w:r>
          </w:p>
        </w:tc>
      </w:tr>
    </w:tbl>
    <w:p w14:paraId="4C1DB1EE" w14:textId="77777777" w:rsidR="00CF0E2D" w:rsidRDefault="00CF0E2D" w:rsidP="00A60D4B">
      <w:pPr>
        <w:pStyle w:val="Bbodytext"/>
      </w:pPr>
      <w:r w:rsidRPr="004C581D">
        <w:t>The Government wi</w:t>
      </w:r>
      <w:r>
        <w:t xml:space="preserve">ll provide one-off grants to eligible businesses in the tourism, accommodation, arts and events, hospitality, education, fitness and sports industries. The grants will range from $5,000 to $25,000 per business, depending on turnover and whether the business employs staff. </w:t>
      </w:r>
    </w:p>
    <w:p w14:paraId="2A3FD1AD" w14:textId="77777777" w:rsidR="00CF0E2D" w:rsidRDefault="00CF0E2D" w:rsidP="00A60D4B">
      <w:pPr>
        <w:pStyle w:val="Bbodytext"/>
      </w:pPr>
      <w:r>
        <w:t>The cost of the initiative will be shared equally with the Commonwealth Government. Since the close of the 2021-22 Budget, negotiations with the Commonwealth have resulted in an increase to this initiative to $22.7 million, which will be reflected in the ACT Government’s subsequent budget publications.</w:t>
      </w:r>
    </w:p>
    <w:p w14:paraId="6D5BA7FF" w14:textId="77777777" w:rsidR="00CF0E2D" w:rsidRDefault="00CF0E2D" w:rsidP="00A60D4B">
      <w:pPr>
        <w:pStyle w:val="Bbodytext"/>
      </w:pPr>
      <w:r>
        <w:t xml:space="preserve">This initiative contributes to the wellbeing domain of Economy. </w:t>
      </w:r>
    </w:p>
    <w:p w14:paraId="7048CCC8" w14:textId="77777777" w:rsidR="00CF0E2D" w:rsidRDefault="00CF0E2D" w:rsidP="00A60D4B">
      <w:pPr>
        <w:pStyle w:val="Heading4"/>
      </w:pPr>
    </w:p>
    <w:p w14:paraId="33E50B45" w14:textId="77777777" w:rsidR="00CF0E2D" w:rsidRDefault="00CF0E2D" w:rsidP="00A60D4B">
      <w:pPr>
        <w:pStyle w:val="Heading4"/>
      </w:pPr>
      <w:r>
        <w:t xml:space="preserve">COVID-19 Response Fund </w:t>
      </w:r>
      <w:r>
        <w:rPr>
          <w:b w:val="0"/>
          <w:noProof/>
          <w:color w:val="999789"/>
          <w:sz w:val="32"/>
          <w:szCs w:val="24"/>
        </w:rPr>
        <w:drawing>
          <wp:anchor distT="0" distB="0" distL="114300" distR="114300" simplePos="0" relativeHeight="251823104" behindDoc="0" locked="1" layoutInCell="1" allowOverlap="1" wp14:anchorId="72B829C2" wp14:editId="1E26E40D">
            <wp:simplePos x="0" y="0"/>
            <wp:positionH relativeFrom="margin">
              <wp:align>right</wp:align>
            </wp:positionH>
            <wp:positionV relativeFrom="paragraph">
              <wp:posOffset>-131445</wp:posOffset>
            </wp:positionV>
            <wp:extent cx="993140" cy="503555"/>
            <wp:effectExtent l="0" t="0" r="0" b="0"/>
            <wp:wrapSquare wrapText="bothSides"/>
            <wp:docPr id="255" name="Picture 255"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252F99B9" w14:textId="77777777" w:rsidTr="00A60D4B">
        <w:trPr>
          <w:cantSplit/>
          <w:jc w:val="center"/>
        </w:trPr>
        <w:tc>
          <w:tcPr>
            <w:tcW w:w="3652" w:type="dxa"/>
            <w:tcBorders>
              <w:top w:val="single" w:sz="4" w:space="0" w:color="auto"/>
              <w:bottom w:val="single" w:sz="4" w:space="0" w:color="auto"/>
            </w:tcBorders>
          </w:tcPr>
          <w:p w14:paraId="74EE1E38"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6E0A4779" w14:textId="77777777" w:rsidR="00CF0E2D" w:rsidRPr="000262BB" w:rsidRDefault="00CF0E2D" w:rsidP="00A60D4B">
            <w:pPr>
              <w:pStyle w:val="InitFigR"/>
              <w:keepNext/>
              <w:keepLines/>
              <w:rPr>
                <w:b/>
                <w:bCs/>
              </w:rPr>
            </w:pPr>
            <w:r w:rsidRPr="000262BB">
              <w:rPr>
                <w:b/>
                <w:bCs/>
              </w:rPr>
              <w:t>2021-22</w:t>
            </w:r>
          </w:p>
          <w:p w14:paraId="1B64D3FC" w14:textId="77777777" w:rsidR="00CF0E2D" w:rsidRPr="000262BB" w:rsidRDefault="00CF0E2D" w:rsidP="00A60D4B">
            <w:pPr>
              <w:pStyle w:val="InitFigR"/>
              <w:keepNext/>
              <w:keepLines/>
              <w:rPr>
                <w:b/>
                <w:bCs/>
              </w:rPr>
            </w:pPr>
            <w:r w:rsidRPr="000262BB">
              <w:rPr>
                <w:b/>
                <w:bCs/>
              </w:rPr>
              <w:t>$’000</w:t>
            </w:r>
          </w:p>
        </w:tc>
        <w:tc>
          <w:tcPr>
            <w:tcW w:w="1041" w:type="dxa"/>
            <w:tcBorders>
              <w:top w:val="single" w:sz="4" w:space="0" w:color="auto"/>
              <w:bottom w:val="single" w:sz="4" w:space="0" w:color="auto"/>
            </w:tcBorders>
          </w:tcPr>
          <w:p w14:paraId="06253B19" w14:textId="77777777" w:rsidR="00CF0E2D" w:rsidRPr="000262BB" w:rsidRDefault="00CF0E2D" w:rsidP="00A60D4B">
            <w:pPr>
              <w:pStyle w:val="InitFigR"/>
              <w:keepNext/>
              <w:keepLines/>
              <w:rPr>
                <w:b/>
                <w:bCs/>
              </w:rPr>
            </w:pPr>
            <w:r w:rsidRPr="000262BB">
              <w:rPr>
                <w:b/>
                <w:bCs/>
              </w:rPr>
              <w:t>2022-23</w:t>
            </w:r>
          </w:p>
          <w:p w14:paraId="5D58EBAC" w14:textId="77777777" w:rsidR="00CF0E2D" w:rsidRPr="000262BB" w:rsidRDefault="00CF0E2D" w:rsidP="00A60D4B">
            <w:pPr>
              <w:pStyle w:val="InitFigR"/>
              <w:keepNext/>
              <w:keepLines/>
              <w:rPr>
                <w:b/>
                <w:bCs/>
              </w:rPr>
            </w:pPr>
            <w:r w:rsidRPr="000262BB">
              <w:rPr>
                <w:b/>
                <w:bCs/>
              </w:rPr>
              <w:t>$’000</w:t>
            </w:r>
          </w:p>
        </w:tc>
        <w:tc>
          <w:tcPr>
            <w:tcW w:w="1029" w:type="dxa"/>
            <w:tcBorders>
              <w:top w:val="single" w:sz="4" w:space="0" w:color="auto"/>
              <w:bottom w:val="single" w:sz="4" w:space="0" w:color="auto"/>
            </w:tcBorders>
          </w:tcPr>
          <w:p w14:paraId="37560B2A" w14:textId="77777777" w:rsidR="00CF0E2D" w:rsidRPr="000262BB" w:rsidRDefault="00CF0E2D" w:rsidP="00A60D4B">
            <w:pPr>
              <w:pStyle w:val="InitFigR"/>
              <w:keepNext/>
              <w:keepLines/>
              <w:rPr>
                <w:b/>
                <w:bCs/>
              </w:rPr>
            </w:pPr>
            <w:r w:rsidRPr="000262BB">
              <w:rPr>
                <w:b/>
                <w:bCs/>
              </w:rPr>
              <w:t>2023-24</w:t>
            </w:r>
          </w:p>
          <w:p w14:paraId="7AF71063" w14:textId="77777777" w:rsidR="00CF0E2D" w:rsidRPr="000262BB" w:rsidRDefault="00CF0E2D" w:rsidP="00A60D4B">
            <w:pPr>
              <w:pStyle w:val="InitFigR"/>
              <w:keepNext/>
              <w:keepLines/>
              <w:rPr>
                <w:b/>
                <w:bCs/>
              </w:rPr>
            </w:pPr>
            <w:r w:rsidRPr="000262BB">
              <w:rPr>
                <w:b/>
                <w:bCs/>
              </w:rPr>
              <w:t>$’000</w:t>
            </w:r>
          </w:p>
        </w:tc>
        <w:tc>
          <w:tcPr>
            <w:tcW w:w="1029" w:type="dxa"/>
            <w:tcBorders>
              <w:top w:val="single" w:sz="4" w:space="0" w:color="auto"/>
              <w:bottom w:val="single" w:sz="4" w:space="0" w:color="auto"/>
            </w:tcBorders>
          </w:tcPr>
          <w:p w14:paraId="733CA6C4" w14:textId="77777777" w:rsidR="00CF0E2D" w:rsidRPr="000262BB" w:rsidRDefault="00CF0E2D" w:rsidP="00A60D4B">
            <w:pPr>
              <w:pStyle w:val="InitFigR"/>
              <w:keepNext/>
              <w:keepLines/>
              <w:rPr>
                <w:b/>
                <w:bCs/>
              </w:rPr>
            </w:pPr>
            <w:r w:rsidRPr="000262BB">
              <w:rPr>
                <w:b/>
                <w:bCs/>
              </w:rPr>
              <w:t>2024-25</w:t>
            </w:r>
          </w:p>
          <w:p w14:paraId="78D69055" w14:textId="77777777" w:rsidR="00CF0E2D" w:rsidRPr="000262BB" w:rsidRDefault="00CF0E2D" w:rsidP="00A60D4B">
            <w:pPr>
              <w:pStyle w:val="InitFigR"/>
              <w:keepNext/>
              <w:keepLines/>
              <w:rPr>
                <w:b/>
                <w:bCs/>
              </w:rPr>
            </w:pPr>
            <w:r w:rsidRPr="000262BB">
              <w:rPr>
                <w:b/>
                <w:bCs/>
              </w:rPr>
              <w:t>$’000</w:t>
            </w:r>
          </w:p>
        </w:tc>
        <w:tc>
          <w:tcPr>
            <w:tcW w:w="1029" w:type="dxa"/>
            <w:tcBorders>
              <w:top w:val="single" w:sz="4" w:space="0" w:color="auto"/>
              <w:bottom w:val="single" w:sz="4" w:space="0" w:color="auto"/>
            </w:tcBorders>
          </w:tcPr>
          <w:p w14:paraId="5A6BF2B5" w14:textId="77777777" w:rsidR="00CF0E2D" w:rsidRPr="004E341E" w:rsidRDefault="00CF0E2D" w:rsidP="00A60D4B">
            <w:pPr>
              <w:pStyle w:val="InitFigRBold"/>
              <w:keepNext/>
              <w:keepLines/>
            </w:pPr>
            <w:r w:rsidRPr="004E341E">
              <w:t>Total</w:t>
            </w:r>
          </w:p>
          <w:p w14:paraId="7A4ADDE5" w14:textId="77777777" w:rsidR="00CF0E2D" w:rsidRPr="004E341E" w:rsidRDefault="00CF0E2D" w:rsidP="00A60D4B">
            <w:pPr>
              <w:pStyle w:val="InitFigBR"/>
              <w:keepNext/>
              <w:keepLines/>
            </w:pPr>
            <w:r w:rsidRPr="004E341E">
              <w:t>$’000</w:t>
            </w:r>
          </w:p>
        </w:tc>
      </w:tr>
      <w:tr w:rsidR="00CF0E2D" w:rsidRPr="00750793" w14:paraId="3B2C28C9" w14:textId="77777777" w:rsidTr="00A60D4B">
        <w:trPr>
          <w:cantSplit/>
          <w:jc w:val="center"/>
        </w:trPr>
        <w:tc>
          <w:tcPr>
            <w:tcW w:w="3652" w:type="dxa"/>
            <w:tcBorders>
              <w:top w:val="single" w:sz="4" w:space="0" w:color="auto"/>
              <w:bottom w:val="single" w:sz="4" w:space="0" w:color="auto"/>
            </w:tcBorders>
          </w:tcPr>
          <w:p w14:paraId="2E2907AE" w14:textId="77777777" w:rsidR="00CF0E2D" w:rsidRPr="00F13FAB" w:rsidRDefault="00CF0E2D" w:rsidP="00A60D4B">
            <w:pPr>
              <w:pStyle w:val="InitTextL"/>
              <w:keepNext/>
              <w:keepLines/>
              <w:ind w:left="321" w:hanging="321"/>
            </w:pPr>
            <w:r w:rsidRPr="00882BE2">
              <w:t>Expenses</w:t>
            </w:r>
          </w:p>
        </w:tc>
        <w:tc>
          <w:tcPr>
            <w:tcW w:w="1179" w:type="dxa"/>
            <w:tcBorders>
              <w:top w:val="single" w:sz="4" w:space="0" w:color="auto"/>
              <w:bottom w:val="single" w:sz="4" w:space="0" w:color="auto"/>
            </w:tcBorders>
          </w:tcPr>
          <w:p w14:paraId="77185DE6" w14:textId="77777777" w:rsidR="00CF0E2D" w:rsidRPr="00424DA4" w:rsidRDefault="00CF0E2D" w:rsidP="00A60D4B">
            <w:pPr>
              <w:pStyle w:val="InitFigR"/>
              <w:keepNext/>
              <w:keepLines/>
            </w:pPr>
            <w:r>
              <w:t>50,000</w:t>
            </w:r>
          </w:p>
        </w:tc>
        <w:tc>
          <w:tcPr>
            <w:tcW w:w="1041" w:type="dxa"/>
            <w:tcBorders>
              <w:top w:val="single" w:sz="4" w:space="0" w:color="auto"/>
              <w:bottom w:val="single" w:sz="4" w:space="0" w:color="auto"/>
            </w:tcBorders>
          </w:tcPr>
          <w:p w14:paraId="7CD72987" w14:textId="77777777" w:rsidR="00CF0E2D" w:rsidRPr="00424DA4" w:rsidRDefault="00CF0E2D" w:rsidP="00A60D4B">
            <w:pPr>
              <w:pStyle w:val="InitFigR"/>
              <w:keepNext/>
              <w:keepLines/>
            </w:pPr>
            <w:r>
              <w:t>0</w:t>
            </w:r>
          </w:p>
        </w:tc>
        <w:tc>
          <w:tcPr>
            <w:tcW w:w="1029" w:type="dxa"/>
            <w:tcBorders>
              <w:top w:val="single" w:sz="4" w:space="0" w:color="auto"/>
              <w:bottom w:val="single" w:sz="4" w:space="0" w:color="auto"/>
            </w:tcBorders>
          </w:tcPr>
          <w:p w14:paraId="65610C50" w14:textId="77777777" w:rsidR="00CF0E2D" w:rsidRPr="00424DA4" w:rsidRDefault="00CF0E2D" w:rsidP="00A60D4B">
            <w:pPr>
              <w:pStyle w:val="InitFigR"/>
              <w:keepNext/>
              <w:keepLines/>
            </w:pPr>
            <w:r>
              <w:t>0</w:t>
            </w:r>
          </w:p>
        </w:tc>
        <w:tc>
          <w:tcPr>
            <w:tcW w:w="1029" w:type="dxa"/>
            <w:tcBorders>
              <w:top w:val="single" w:sz="4" w:space="0" w:color="auto"/>
              <w:bottom w:val="single" w:sz="4" w:space="0" w:color="auto"/>
            </w:tcBorders>
          </w:tcPr>
          <w:p w14:paraId="57224508" w14:textId="77777777" w:rsidR="00CF0E2D" w:rsidRPr="00424DA4" w:rsidRDefault="00CF0E2D" w:rsidP="00A60D4B">
            <w:pPr>
              <w:pStyle w:val="InitFigR"/>
              <w:keepNext/>
              <w:keepLines/>
            </w:pPr>
            <w:r>
              <w:t>0</w:t>
            </w:r>
          </w:p>
        </w:tc>
        <w:tc>
          <w:tcPr>
            <w:tcW w:w="1029" w:type="dxa"/>
            <w:tcBorders>
              <w:top w:val="single" w:sz="4" w:space="0" w:color="auto"/>
              <w:bottom w:val="single" w:sz="4" w:space="0" w:color="auto"/>
            </w:tcBorders>
          </w:tcPr>
          <w:p w14:paraId="58BF3A4B" w14:textId="77777777" w:rsidR="00CF0E2D" w:rsidRPr="00424DA4" w:rsidRDefault="00CF0E2D" w:rsidP="00A60D4B">
            <w:pPr>
              <w:pStyle w:val="InitFigBR"/>
              <w:keepNext/>
              <w:keepLines/>
            </w:pPr>
            <w:r>
              <w:t>50,000</w:t>
            </w:r>
          </w:p>
        </w:tc>
      </w:tr>
    </w:tbl>
    <w:p w14:paraId="2825832F" w14:textId="77777777" w:rsidR="00CF0E2D" w:rsidRDefault="00CF0E2D" w:rsidP="00A60D4B">
      <w:pPr>
        <w:pStyle w:val="Bbodytext"/>
        <w:keepNext/>
        <w:keepLines/>
      </w:pPr>
      <w:r w:rsidRPr="004C581D">
        <w:t>The Government wi</w:t>
      </w:r>
      <w:r>
        <w:t>ll establish a COVID-19 Response Fund to enable it to respond quickly and flexibly to the public health emergency, noting the uncertainty around future measures that may be required. Funding will be available for a range of activities, including additional public health measures and economic and community support.</w:t>
      </w:r>
    </w:p>
    <w:p w14:paraId="42266596" w14:textId="77777777" w:rsidR="00CF0E2D" w:rsidRDefault="00CF0E2D" w:rsidP="00A60D4B">
      <w:pPr>
        <w:pStyle w:val="Bbodytext"/>
      </w:pPr>
      <w:r>
        <w:t xml:space="preserve">This initiative contributes to the wellbeing domains of Health, Living standards, Economy, Education and life-long learning and Safety.  </w:t>
      </w:r>
    </w:p>
    <w:p w14:paraId="5613F838" w14:textId="77777777" w:rsidR="00CF0E2D" w:rsidRDefault="00CF0E2D" w:rsidP="00A60D4B">
      <w:pPr>
        <w:pStyle w:val="Bbodytext"/>
      </w:pPr>
    </w:p>
    <w:p w14:paraId="5726562F" w14:textId="77777777" w:rsidR="00CF0E2D" w:rsidRPr="000B7680" w:rsidRDefault="00CF0E2D" w:rsidP="00A60D4B">
      <w:pPr>
        <w:pStyle w:val="Heading4"/>
        <w:rPr>
          <w:rFonts w:eastAsia="Times New Roman" w:cs="Times New Roman"/>
          <w:b w:val="0"/>
          <w:szCs w:val="26"/>
        </w:rPr>
      </w:pPr>
      <w:r>
        <w:rPr>
          <w:b w:val="0"/>
          <w:noProof/>
          <w:color w:val="999789"/>
          <w:sz w:val="32"/>
          <w:szCs w:val="24"/>
        </w:rPr>
        <w:drawing>
          <wp:anchor distT="0" distB="0" distL="114300" distR="114300" simplePos="0" relativeHeight="251826176" behindDoc="0" locked="1" layoutInCell="1" allowOverlap="1" wp14:anchorId="550781D7" wp14:editId="1C0CFB03">
            <wp:simplePos x="0" y="0"/>
            <wp:positionH relativeFrom="margin">
              <wp:align>right</wp:align>
            </wp:positionH>
            <wp:positionV relativeFrom="paragraph">
              <wp:posOffset>83185</wp:posOffset>
            </wp:positionV>
            <wp:extent cx="1212850" cy="503555"/>
            <wp:effectExtent l="0" t="0" r="6350" b="0"/>
            <wp:wrapSquare wrapText="bothSides"/>
            <wp:docPr id="256" name="Picture 256" descr="Icon representing the wellbeing domain of Living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con representing the wellbeing domain of Living standards"/>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12850" cy="503555"/>
                    </a:xfrm>
                    <a:prstGeom prst="rect">
                      <a:avLst/>
                    </a:prstGeom>
                  </pic:spPr>
                </pic:pic>
              </a:graphicData>
            </a:graphic>
            <wp14:sizeRelH relativeFrom="margin">
              <wp14:pctWidth>0</wp14:pctWidth>
            </wp14:sizeRelH>
            <wp14:sizeRelV relativeFrom="margin">
              <wp14:pctHeight>0</wp14:pctHeight>
            </wp14:sizeRelV>
          </wp:anchor>
        </w:drawing>
      </w:r>
      <w:r w:rsidRPr="000575E7">
        <w:rPr>
          <w:rFonts w:eastAsia="Times New Roman"/>
        </w:rPr>
        <w:t>COVID-19 Re</w:t>
      </w:r>
      <w:r>
        <w:rPr>
          <w:rFonts w:eastAsia="Times New Roman"/>
        </w:rPr>
        <w:t>s</w:t>
      </w:r>
      <w:r w:rsidRPr="000575E7">
        <w:rPr>
          <w:rFonts w:eastAsia="Times New Roman"/>
        </w:rPr>
        <w:t xml:space="preserve">ponse </w:t>
      </w:r>
      <w:r>
        <w:rPr>
          <w:rFonts w:eastAsia="Times New Roman"/>
        </w:rPr>
        <w:t>–</w:t>
      </w:r>
      <w:r w:rsidRPr="000575E7">
        <w:rPr>
          <w:rFonts w:eastAsia="Times New Roman"/>
        </w:rPr>
        <w:t xml:space="preserve"> </w:t>
      </w:r>
      <w:r w:rsidRPr="000B7680">
        <w:rPr>
          <w:rFonts w:eastAsia="Times New Roman" w:cs="Times New Roman"/>
          <w:szCs w:val="26"/>
        </w:rPr>
        <w:t>Additional $200 rebate for Canberra's most vulnerable</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38420450" w14:textId="77777777" w:rsidTr="00A60D4B">
        <w:trPr>
          <w:cantSplit/>
          <w:jc w:val="center"/>
        </w:trPr>
        <w:tc>
          <w:tcPr>
            <w:tcW w:w="3652" w:type="dxa"/>
            <w:tcBorders>
              <w:top w:val="single" w:sz="4" w:space="0" w:color="auto"/>
              <w:bottom w:val="single" w:sz="4" w:space="0" w:color="auto"/>
            </w:tcBorders>
          </w:tcPr>
          <w:p w14:paraId="74C51ABE"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489FEAC7" w14:textId="77777777" w:rsidR="00CF0E2D" w:rsidRPr="00C6251C" w:rsidRDefault="00CF0E2D" w:rsidP="00A60D4B">
            <w:pPr>
              <w:pStyle w:val="InitFigR"/>
              <w:rPr>
                <w:b/>
                <w:bCs/>
              </w:rPr>
            </w:pPr>
            <w:r w:rsidRPr="00C6251C">
              <w:rPr>
                <w:b/>
                <w:bCs/>
              </w:rPr>
              <w:t>2021-22</w:t>
            </w:r>
          </w:p>
          <w:p w14:paraId="39FEA298" w14:textId="77777777" w:rsidR="00CF0E2D" w:rsidRPr="00C6251C" w:rsidRDefault="00CF0E2D" w:rsidP="00A60D4B">
            <w:pPr>
              <w:pStyle w:val="InitFigR"/>
              <w:rPr>
                <w:b/>
                <w:bCs/>
              </w:rPr>
            </w:pPr>
            <w:r w:rsidRPr="00C6251C">
              <w:rPr>
                <w:b/>
                <w:bCs/>
              </w:rPr>
              <w:t>$’000</w:t>
            </w:r>
          </w:p>
        </w:tc>
        <w:tc>
          <w:tcPr>
            <w:tcW w:w="1041" w:type="dxa"/>
            <w:tcBorders>
              <w:top w:val="single" w:sz="4" w:space="0" w:color="auto"/>
              <w:bottom w:val="single" w:sz="4" w:space="0" w:color="auto"/>
            </w:tcBorders>
          </w:tcPr>
          <w:p w14:paraId="78B073F0" w14:textId="77777777" w:rsidR="00CF0E2D" w:rsidRPr="00C6251C" w:rsidRDefault="00CF0E2D" w:rsidP="00A60D4B">
            <w:pPr>
              <w:pStyle w:val="InitFigR"/>
              <w:rPr>
                <w:b/>
                <w:bCs/>
              </w:rPr>
            </w:pPr>
            <w:r w:rsidRPr="00C6251C">
              <w:rPr>
                <w:b/>
                <w:bCs/>
              </w:rPr>
              <w:t>2022-23</w:t>
            </w:r>
          </w:p>
          <w:p w14:paraId="245CAC69" w14:textId="77777777" w:rsidR="00CF0E2D" w:rsidRPr="00C6251C" w:rsidRDefault="00CF0E2D" w:rsidP="00A60D4B">
            <w:pPr>
              <w:pStyle w:val="InitFigR"/>
              <w:rPr>
                <w:b/>
                <w:bCs/>
              </w:rPr>
            </w:pPr>
            <w:r w:rsidRPr="00C6251C">
              <w:rPr>
                <w:b/>
                <w:bCs/>
              </w:rPr>
              <w:t>$’000</w:t>
            </w:r>
          </w:p>
        </w:tc>
        <w:tc>
          <w:tcPr>
            <w:tcW w:w="1029" w:type="dxa"/>
            <w:tcBorders>
              <w:top w:val="single" w:sz="4" w:space="0" w:color="auto"/>
              <w:bottom w:val="single" w:sz="4" w:space="0" w:color="auto"/>
            </w:tcBorders>
          </w:tcPr>
          <w:p w14:paraId="124EF31E" w14:textId="77777777" w:rsidR="00CF0E2D" w:rsidRPr="00C6251C" w:rsidRDefault="00CF0E2D" w:rsidP="00A60D4B">
            <w:pPr>
              <w:pStyle w:val="InitFigR"/>
              <w:rPr>
                <w:b/>
                <w:bCs/>
              </w:rPr>
            </w:pPr>
            <w:r w:rsidRPr="00C6251C">
              <w:rPr>
                <w:b/>
                <w:bCs/>
              </w:rPr>
              <w:t>2023-24</w:t>
            </w:r>
          </w:p>
          <w:p w14:paraId="79D1777F" w14:textId="77777777" w:rsidR="00CF0E2D" w:rsidRPr="00C6251C" w:rsidRDefault="00CF0E2D" w:rsidP="00A60D4B">
            <w:pPr>
              <w:pStyle w:val="InitFigR"/>
              <w:rPr>
                <w:b/>
                <w:bCs/>
              </w:rPr>
            </w:pPr>
            <w:r w:rsidRPr="00C6251C">
              <w:rPr>
                <w:b/>
                <w:bCs/>
              </w:rPr>
              <w:t>$’000</w:t>
            </w:r>
          </w:p>
        </w:tc>
        <w:tc>
          <w:tcPr>
            <w:tcW w:w="1029" w:type="dxa"/>
            <w:tcBorders>
              <w:top w:val="single" w:sz="4" w:space="0" w:color="auto"/>
              <w:bottom w:val="single" w:sz="4" w:space="0" w:color="auto"/>
            </w:tcBorders>
          </w:tcPr>
          <w:p w14:paraId="73E24CC7" w14:textId="77777777" w:rsidR="00CF0E2D" w:rsidRPr="00C6251C" w:rsidRDefault="00CF0E2D" w:rsidP="00A60D4B">
            <w:pPr>
              <w:pStyle w:val="InitFigR"/>
              <w:rPr>
                <w:b/>
                <w:bCs/>
              </w:rPr>
            </w:pPr>
            <w:r w:rsidRPr="00C6251C">
              <w:rPr>
                <w:b/>
                <w:bCs/>
              </w:rPr>
              <w:t>2024-25</w:t>
            </w:r>
          </w:p>
          <w:p w14:paraId="4BA8620F" w14:textId="77777777" w:rsidR="00CF0E2D" w:rsidRPr="00C6251C" w:rsidRDefault="00CF0E2D" w:rsidP="00A60D4B">
            <w:pPr>
              <w:pStyle w:val="InitFigR"/>
              <w:rPr>
                <w:b/>
                <w:bCs/>
              </w:rPr>
            </w:pPr>
            <w:r w:rsidRPr="00C6251C">
              <w:rPr>
                <w:b/>
                <w:bCs/>
              </w:rPr>
              <w:t>$’000</w:t>
            </w:r>
          </w:p>
        </w:tc>
        <w:tc>
          <w:tcPr>
            <w:tcW w:w="1029" w:type="dxa"/>
            <w:tcBorders>
              <w:top w:val="single" w:sz="4" w:space="0" w:color="auto"/>
              <w:bottom w:val="single" w:sz="4" w:space="0" w:color="auto"/>
            </w:tcBorders>
          </w:tcPr>
          <w:p w14:paraId="15C6A55B" w14:textId="77777777" w:rsidR="00CF0E2D" w:rsidRPr="004E341E" w:rsidRDefault="00CF0E2D" w:rsidP="00A60D4B">
            <w:pPr>
              <w:pStyle w:val="InitFigRBold"/>
            </w:pPr>
            <w:r w:rsidRPr="004E341E">
              <w:t>Total</w:t>
            </w:r>
          </w:p>
          <w:p w14:paraId="00C2479D" w14:textId="77777777" w:rsidR="00CF0E2D" w:rsidRPr="004E341E" w:rsidRDefault="00CF0E2D" w:rsidP="00A60D4B">
            <w:pPr>
              <w:pStyle w:val="InitFigBR"/>
            </w:pPr>
            <w:r w:rsidRPr="004E341E">
              <w:t>$’000</w:t>
            </w:r>
          </w:p>
        </w:tc>
      </w:tr>
      <w:tr w:rsidR="00CF0E2D" w:rsidRPr="00750793" w14:paraId="27B13C12" w14:textId="77777777" w:rsidTr="00A60D4B">
        <w:trPr>
          <w:cantSplit/>
          <w:jc w:val="center"/>
        </w:trPr>
        <w:tc>
          <w:tcPr>
            <w:tcW w:w="3652" w:type="dxa"/>
            <w:tcBorders>
              <w:top w:val="single" w:sz="4" w:space="0" w:color="auto"/>
              <w:bottom w:val="single" w:sz="4" w:space="0" w:color="auto"/>
            </w:tcBorders>
          </w:tcPr>
          <w:p w14:paraId="57AC4655"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071304F2" w14:textId="77777777" w:rsidR="00CF0E2D" w:rsidRPr="00424DA4" w:rsidRDefault="00CF0E2D" w:rsidP="00A60D4B">
            <w:pPr>
              <w:pStyle w:val="InitFigR"/>
            </w:pPr>
            <w:r>
              <w:t>6,200</w:t>
            </w:r>
          </w:p>
        </w:tc>
        <w:tc>
          <w:tcPr>
            <w:tcW w:w="1041" w:type="dxa"/>
            <w:tcBorders>
              <w:top w:val="single" w:sz="4" w:space="0" w:color="auto"/>
              <w:bottom w:val="single" w:sz="4" w:space="0" w:color="auto"/>
            </w:tcBorders>
          </w:tcPr>
          <w:p w14:paraId="7FB17820"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565A5703"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62C903CD"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54A3B706" w14:textId="77777777" w:rsidR="00CF0E2D" w:rsidRPr="00424DA4" w:rsidRDefault="00CF0E2D" w:rsidP="00A60D4B">
            <w:pPr>
              <w:pStyle w:val="InitFigBR"/>
            </w:pPr>
            <w:r>
              <w:t>6,200</w:t>
            </w:r>
          </w:p>
        </w:tc>
      </w:tr>
    </w:tbl>
    <w:p w14:paraId="555A3EAD" w14:textId="77777777" w:rsidR="00CF0E2D" w:rsidRDefault="00CF0E2D" w:rsidP="00A60D4B">
      <w:pPr>
        <w:pStyle w:val="Bbodytext"/>
      </w:pPr>
      <w:r w:rsidRPr="004C581D">
        <w:t>The Government wi</w:t>
      </w:r>
      <w:r>
        <w:t>ll provide an additional one-off $200 increase in the Utilities Concession to support those households most in need during the current COVID-19 outbreak.</w:t>
      </w:r>
    </w:p>
    <w:p w14:paraId="02235F46" w14:textId="77777777" w:rsidR="00CF0E2D" w:rsidRDefault="00CF0E2D" w:rsidP="00A60D4B">
      <w:pPr>
        <w:pStyle w:val="Bbodytext"/>
      </w:pPr>
      <w:r>
        <w:t xml:space="preserve">Around 31,000 households receiving the Utilities Concession will automatically receive the additional $200 rebate on their next electricity bill. Eligible households include those with Centrelink Pensioner Concession Card holders, Department of Veterans’ Affairs Pensioner Concession Card or Gold Card holders, and ACT Services Access Card holders. </w:t>
      </w:r>
    </w:p>
    <w:p w14:paraId="220AAD8A" w14:textId="3398021F" w:rsidR="00CF0E2D" w:rsidRDefault="00CF0E2D" w:rsidP="00A60D4B">
      <w:pPr>
        <w:pStyle w:val="Bbodytext"/>
      </w:pPr>
      <w:r>
        <w:lastRenderedPageBreak/>
        <w:t>The additional rebate builds on the $100 increase announced in June 2021, increasing the Utilities Concession from $700 in 2020-21 to $1,000 in 2021-22 providing assistance to the most vulnerable members of our community</w:t>
      </w:r>
      <w:r w:rsidR="00465757">
        <w:t>.</w:t>
      </w:r>
    </w:p>
    <w:p w14:paraId="0EB047F4" w14:textId="77777777" w:rsidR="00CF0E2D" w:rsidRDefault="00CF0E2D" w:rsidP="00A60D4B">
      <w:pPr>
        <w:pStyle w:val="Bbodytext"/>
      </w:pPr>
      <w:r w:rsidRPr="009609CE">
        <w:t xml:space="preserve">This </w:t>
      </w:r>
      <w:r>
        <w:t>initiative</w:t>
      </w:r>
      <w:r w:rsidRPr="009609CE">
        <w:t xml:space="preserve"> contributes to the wellbeing domain</w:t>
      </w:r>
      <w:r>
        <w:t>s</w:t>
      </w:r>
      <w:r w:rsidRPr="009609CE">
        <w:t xml:space="preserve"> of </w:t>
      </w:r>
      <w:r>
        <w:t>Living Standards and Economy.</w:t>
      </w:r>
    </w:p>
    <w:p w14:paraId="1BC50454" w14:textId="77777777" w:rsidR="00CF0E2D" w:rsidRDefault="00CF0E2D" w:rsidP="00A60D4B"/>
    <w:p w14:paraId="7043D631" w14:textId="77777777" w:rsidR="00CF0E2D" w:rsidRPr="00CB3EB0" w:rsidRDefault="00CF0E2D" w:rsidP="00A60D4B">
      <w:pPr>
        <w:pStyle w:val="Heading4"/>
        <w:rPr>
          <w:rFonts w:eastAsia="Times New Roman"/>
        </w:rPr>
      </w:pPr>
      <w:r w:rsidRPr="00CB3EB0">
        <w:rPr>
          <w:rFonts w:eastAsia="Times New Roman"/>
        </w:rPr>
        <w:t xml:space="preserve">COVID-19 Response – Continuing Government </w:t>
      </w:r>
      <w:r>
        <w:rPr>
          <w:rFonts w:eastAsia="Times New Roman"/>
        </w:rPr>
        <w:t>s</w:t>
      </w:r>
      <w:r w:rsidRPr="00CB3EB0">
        <w:rPr>
          <w:rFonts w:eastAsia="Times New Roman"/>
        </w:rPr>
        <w:t xml:space="preserve">ervices </w:t>
      </w:r>
      <w:r>
        <w:rPr>
          <w:b w:val="0"/>
          <w:noProof/>
          <w:color w:val="999789"/>
          <w:sz w:val="32"/>
          <w:szCs w:val="24"/>
        </w:rPr>
        <w:drawing>
          <wp:anchor distT="0" distB="0" distL="114300" distR="114300" simplePos="0" relativeHeight="251731968" behindDoc="0" locked="1" layoutInCell="1" allowOverlap="1" wp14:anchorId="390656C4" wp14:editId="433B6B47">
            <wp:simplePos x="0" y="0"/>
            <wp:positionH relativeFrom="margin">
              <wp:align>right</wp:align>
            </wp:positionH>
            <wp:positionV relativeFrom="paragraph">
              <wp:posOffset>-136525</wp:posOffset>
            </wp:positionV>
            <wp:extent cx="1148400" cy="504000"/>
            <wp:effectExtent l="0" t="0" r="0" b="0"/>
            <wp:wrapSquare wrapText="bothSides"/>
            <wp:docPr id="48" name="Picture 48"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400" cy="504000"/>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007828" w14:paraId="297AADCE" w14:textId="77777777" w:rsidTr="00A60D4B">
        <w:trPr>
          <w:cantSplit/>
          <w:jc w:val="center"/>
        </w:trPr>
        <w:tc>
          <w:tcPr>
            <w:tcW w:w="3652" w:type="dxa"/>
            <w:tcBorders>
              <w:top w:val="single" w:sz="4" w:space="0" w:color="auto"/>
              <w:bottom w:val="single" w:sz="4" w:space="0" w:color="auto"/>
            </w:tcBorders>
          </w:tcPr>
          <w:p w14:paraId="757D012C" w14:textId="77777777" w:rsidR="00CF0E2D" w:rsidRPr="001218C3" w:rsidRDefault="00CF0E2D" w:rsidP="00A60D4B">
            <w:pPr>
              <w:spacing w:after="0"/>
              <w:jc w:val="right"/>
              <w:rPr>
                <w:rFonts w:cs="Calibri"/>
                <w:color w:val="FFFFFF"/>
                <w:sz w:val="24"/>
                <w:szCs w:val="24"/>
              </w:rPr>
            </w:pPr>
            <w:r w:rsidRPr="001218C3">
              <w:rPr>
                <w:rFonts w:cs="Calibri"/>
                <w:color w:val="FFFFFF"/>
                <w:sz w:val="24"/>
                <w:szCs w:val="24"/>
              </w:rPr>
              <w:t>Empty Cell</w:t>
            </w:r>
          </w:p>
        </w:tc>
        <w:tc>
          <w:tcPr>
            <w:tcW w:w="1179" w:type="dxa"/>
            <w:tcBorders>
              <w:top w:val="single" w:sz="4" w:space="0" w:color="auto"/>
              <w:bottom w:val="single" w:sz="4" w:space="0" w:color="auto"/>
            </w:tcBorders>
          </w:tcPr>
          <w:p w14:paraId="57A2DA10" w14:textId="77777777" w:rsidR="00CF0E2D" w:rsidRPr="001218C3" w:rsidRDefault="00CF0E2D" w:rsidP="00A60D4B">
            <w:pPr>
              <w:spacing w:after="0"/>
              <w:jc w:val="right"/>
              <w:rPr>
                <w:b/>
                <w:bCs/>
                <w:sz w:val="24"/>
                <w:szCs w:val="24"/>
              </w:rPr>
            </w:pPr>
            <w:r w:rsidRPr="001218C3">
              <w:rPr>
                <w:b/>
                <w:bCs/>
                <w:sz w:val="24"/>
                <w:szCs w:val="24"/>
              </w:rPr>
              <w:t>2021-22</w:t>
            </w:r>
          </w:p>
          <w:p w14:paraId="1D947301" w14:textId="77777777" w:rsidR="00CF0E2D" w:rsidRPr="001218C3" w:rsidRDefault="00CF0E2D" w:rsidP="00A60D4B">
            <w:pPr>
              <w:spacing w:after="0"/>
              <w:jc w:val="right"/>
              <w:rPr>
                <w:b/>
                <w:bCs/>
                <w:sz w:val="24"/>
                <w:szCs w:val="24"/>
              </w:rPr>
            </w:pPr>
            <w:r w:rsidRPr="001218C3">
              <w:rPr>
                <w:b/>
                <w:bCs/>
                <w:sz w:val="24"/>
                <w:szCs w:val="24"/>
              </w:rPr>
              <w:t>$’000</w:t>
            </w:r>
          </w:p>
        </w:tc>
        <w:tc>
          <w:tcPr>
            <w:tcW w:w="1041" w:type="dxa"/>
            <w:tcBorders>
              <w:top w:val="single" w:sz="4" w:space="0" w:color="auto"/>
              <w:bottom w:val="single" w:sz="4" w:space="0" w:color="auto"/>
            </w:tcBorders>
          </w:tcPr>
          <w:p w14:paraId="630CA303" w14:textId="77777777" w:rsidR="00CF0E2D" w:rsidRPr="001218C3" w:rsidRDefault="00CF0E2D" w:rsidP="00A60D4B">
            <w:pPr>
              <w:spacing w:after="0"/>
              <w:jc w:val="right"/>
              <w:rPr>
                <w:b/>
                <w:bCs/>
                <w:sz w:val="24"/>
                <w:szCs w:val="24"/>
              </w:rPr>
            </w:pPr>
            <w:r w:rsidRPr="001218C3">
              <w:rPr>
                <w:b/>
                <w:bCs/>
                <w:sz w:val="24"/>
                <w:szCs w:val="24"/>
              </w:rPr>
              <w:t>2022-23</w:t>
            </w:r>
          </w:p>
          <w:p w14:paraId="76D68606" w14:textId="77777777" w:rsidR="00CF0E2D" w:rsidRPr="001218C3" w:rsidRDefault="00CF0E2D" w:rsidP="00A60D4B">
            <w:pPr>
              <w:spacing w:after="0"/>
              <w:jc w:val="right"/>
              <w:rPr>
                <w:b/>
                <w:bCs/>
                <w:sz w:val="24"/>
                <w:szCs w:val="24"/>
              </w:rPr>
            </w:pPr>
            <w:r w:rsidRPr="001218C3">
              <w:rPr>
                <w:b/>
                <w:bCs/>
                <w:sz w:val="24"/>
                <w:szCs w:val="24"/>
              </w:rPr>
              <w:t>$’000</w:t>
            </w:r>
          </w:p>
        </w:tc>
        <w:tc>
          <w:tcPr>
            <w:tcW w:w="1029" w:type="dxa"/>
            <w:tcBorders>
              <w:top w:val="single" w:sz="4" w:space="0" w:color="auto"/>
              <w:bottom w:val="single" w:sz="4" w:space="0" w:color="auto"/>
            </w:tcBorders>
          </w:tcPr>
          <w:p w14:paraId="1EE08F84" w14:textId="77777777" w:rsidR="00CF0E2D" w:rsidRPr="001218C3" w:rsidRDefault="00CF0E2D" w:rsidP="00A60D4B">
            <w:pPr>
              <w:spacing w:after="0"/>
              <w:jc w:val="right"/>
              <w:rPr>
                <w:b/>
                <w:bCs/>
                <w:sz w:val="24"/>
                <w:szCs w:val="24"/>
              </w:rPr>
            </w:pPr>
            <w:r w:rsidRPr="001218C3">
              <w:rPr>
                <w:b/>
                <w:bCs/>
                <w:sz w:val="24"/>
                <w:szCs w:val="24"/>
              </w:rPr>
              <w:t>2023-24</w:t>
            </w:r>
          </w:p>
          <w:p w14:paraId="27EE6DD5" w14:textId="77777777" w:rsidR="00CF0E2D" w:rsidRPr="001218C3" w:rsidRDefault="00CF0E2D" w:rsidP="00A60D4B">
            <w:pPr>
              <w:spacing w:after="0"/>
              <w:jc w:val="right"/>
              <w:rPr>
                <w:b/>
                <w:bCs/>
                <w:sz w:val="24"/>
                <w:szCs w:val="24"/>
              </w:rPr>
            </w:pPr>
            <w:r w:rsidRPr="001218C3">
              <w:rPr>
                <w:b/>
                <w:bCs/>
                <w:sz w:val="24"/>
                <w:szCs w:val="24"/>
              </w:rPr>
              <w:t>$’000</w:t>
            </w:r>
          </w:p>
        </w:tc>
        <w:tc>
          <w:tcPr>
            <w:tcW w:w="1029" w:type="dxa"/>
            <w:tcBorders>
              <w:top w:val="single" w:sz="4" w:space="0" w:color="auto"/>
              <w:bottom w:val="single" w:sz="4" w:space="0" w:color="auto"/>
            </w:tcBorders>
          </w:tcPr>
          <w:p w14:paraId="00F844AC" w14:textId="77777777" w:rsidR="00CF0E2D" w:rsidRPr="001218C3" w:rsidRDefault="00CF0E2D" w:rsidP="00A60D4B">
            <w:pPr>
              <w:spacing w:after="0"/>
              <w:jc w:val="right"/>
              <w:rPr>
                <w:b/>
                <w:bCs/>
                <w:sz w:val="24"/>
                <w:szCs w:val="24"/>
              </w:rPr>
            </w:pPr>
            <w:r w:rsidRPr="001218C3">
              <w:rPr>
                <w:b/>
                <w:bCs/>
                <w:sz w:val="24"/>
                <w:szCs w:val="24"/>
              </w:rPr>
              <w:t>2024-25</w:t>
            </w:r>
          </w:p>
          <w:p w14:paraId="4F6F281D" w14:textId="77777777" w:rsidR="00CF0E2D" w:rsidRPr="001218C3" w:rsidRDefault="00CF0E2D" w:rsidP="00A60D4B">
            <w:pPr>
              <w:spacing w:after="0"/>
              <w:jc w:val="right"/>
              <w:rPr>
                <w:b/>
                <w:bCs/>
                <w:sz w:val="24"/>
                <w:szCs w:val="24"/>
              </w:rPr>
            </w:pPr>
            <w:r w:rsidRPr="001218C3">
              <w:rPr>
                <w:b/>
                <w:bCs/>
                <w:sz w:val="24"/>
                <w:szCs w:val="24"/>
              </w:rPr>
              <w:t>$’000</w:t>
            </w:r>
          </w:p>
        </w:tc>
        <w:tc>
          <w:tcPr>
            <w:tcW w:w="1029" w:type="dxa"/>
            <w:tcBorders>
              <w:top w:val="single" w:sz="4" w:space="0" w:color="auto"/>
              <w:bottom w:val="single" w:sz="4" w:space="0" w:color="auto"/>
            </w:tcBorders>
          </w:tcPr>
          <w:p w14:paraId="7662D220" w14:textId="77777777" w:rsidR="00CF0E2D" w:rsidRPr="001218C3" w:rsidRDefault="00CF0E2D" w:rsidP="00A60D4B">
            <w:pPr>
              <w:spacing w:after="0"/>
              <w:jc w:val="right"/>
              <w:rPr>
                <w:b/>
                <w:sz w:val="24"/>
                <w:szCs w:val="24"/>
              </w:rPr>
            </w:pPr>
            <w:r w:rsidRPr="001218C3">
              <w:rPr>
                <w:b/>
                <w:sz w:val="24"/>
                <w:szCs w:val="24"/>
              </w:rPr>
              <w:t>Total</w:t>
            </w:r>
          </w:p>
          <w:p w14:paraId="48240904" w14:textId="77777777" w:rsidR="00CF0E2D" w:rsidRPr="001218C3" w:rsidRDefault="00CF0E2D" w:rsidP="00A60D4B">
            <w:pPr>
              <w:spacing w:after="0"/>
              <w:jc w:val="right"/>
              <w:rPr>
                <w:b/>
                <w:sz w:val="24"/>
                <w:szCs w:val="24"/>
              </w:rPr>
            </w:pPr>
            <w:r w:rsidRPr="001218C3">
              <w:rPr>
                <w:b/>
                <w:sz w:val="24"/>
                <w:szCs w:val="24"/>
              </w:rPr>
              <w:t>$’000</w:t>
            </w:r>
          </w:p>
        </w:tc>
      </w:tr>
      <w:tr w:rsidR="00CF0E2D" w:rsidRPr="00007828" w14:paraId="3BD39F11" w14:textId="77777777" w:rsidTr="00A60D4B">
        <w:trPr>
          <w:cantSplit/>
          <w:jc w:val="center"/>
        </w:trPr>
        <w:tc>
          <w:tcPr>
            <w:tcW w:w="3652" w:type="dxa"/>
            <w:tcBorders>
              <w:top w:val="single" w:sz="4" w:space="0" w:color="auto"/>
              <w:bottom w:val="single" w:sz="4" w:space="0" w:color="auto"/>
            </w:tcBorders>
          </w:tcPr>
          <w:p w14:paraId="626A7906" w14:textId="77777777" w:rsidR="00CF0E2D" w:rsidRPr="001218C3" w:rsidRDefault="00CF0E2D" w:rsidP="00A60D4B">
            <w:pPr>
              <w:spacing w:after="0"/>
              <w:ind w:left="321" w:hanging="321"/>
              <w:rPr>
                <w:sz w:val="24"/>
                <w:szCs w:val="24"/>
              </w:rPr>
            </w:pPr>
            <w:r w:rsidRPr="001218C3">
              <w:rPr>
                <w:sz w:val="24"/>
                <w:szCs w:val="24"/>
              </w:rPr>
              <w:t>Expenses</w:t>
            </w:r>
          </w:p>
        </w:tc>
        <w:tc>
          <w:tcPr>
            <w:tcW w:w="1179" w:type="dxa"/>
            <w:tcBorders>
              <w:top w:val="single" w:sz="4" w:space="0" w:color="auto"/>
              <w:bottom w:val="single" w:sz="4" w:space="0" w:color="auto"/>
            </w:tcBorders>
          </w:tcPr>
          <w:p w14:paraId="29B1B612" w14:textId="77777777" w:rsidR="00CF0E2D" w:rsidRPr="001218C3" w:rsidRDefault="00CF0E2D" w:rsidP="00A60D4B">
            <w:pPr>
              <w:spacing w:after="0"/>
              <w:jc w:val="right"/>
              <w:rPr>
                <w:sz w:val="24"/>
                <w:szCs w:val="24"/>
              </w:rPr>
            </w:pPr>
            <w:r w:rsidRPr="001218C3">
              <w:rPr>
                <w:sz w:val="24"/>
                <w:szCs w:val="24"/>
              </w:rPr>
              <w:t>5,485</w:t>
            </w:r>
          </w:p>
        </w:tc>
        <w:tc>
          <w:tcPr>
            <w:tcW w:w="1041" w:type="dxa"/>
            <w:tcBorders>
              <w:top w:val="single" w:sz="4" w:space="0" w:color="auto"/>
              <w:bottom w:val="single" w:sz="4" w:space="0" w:color="auto"/>
            </w:tcBorders>
          </w:tcPr>
          <w:p w14:paraId="21A290AE" w14:textId="77777777" w:rsidR="00CF0E2D" w:rsidRPr="001218C3" w:rsidRDefault="00CF0E2D" w:rsidP="00A60D4B">
            <w:pPr>
              <w:spacing w:after="0"/>
              <w:jc w:val="right"/>
              <w:rPr>
                <w:sz w:val="24"/>
                <w:szCs w:val="24"/>
              </w:rPr>
            </w:pPr>
            <w:r w:rsidRPr="001218C3">
              <w:rPr>
                <w:sz w:val="24"/>
                <w:szCs w:val="24"/>
              </w:rPr>
              <w:t>0</w:t>
            </w:r>
          </w:p>
        </w:tc>
        <w:tc>
          <w:tcPr>
            <w:tcW w:w="1029" w:type="dxa"/>
            <w:tcBorders>
              <w:top w:val="single" w:sz="4" w:space="0" w:color="auto"/>
              <w:bottom w:val="single" w:sz="4" w:space="0" w:color="auto"/>
            </w:tcBorders>
          </w:tcPr>
          <w:p w14:paraId="74952944" w14:textId="77777777" w:rsidR="00CF0E2D" w:rsidRPr="001218C3" w:rsidRDefault="00CF0E2D" w:rsidP="00A60D4B">
            <w:pPr>
              <w:spacing w:after="0"/>
              <w:jc w:val="right"/>
              <w:rPr>
                <w:sz w:val="24"/>
                <w:szCs w:val="24"/>
              </w:rPr>
            </w:pPr>
            <w:r w:rsidRPr="001218C3">
              <w:rPr>
                <w:sz w:val="24"/>
                <w:szCs w:val="24"/>
              </w:rPr>
              <w:t>0</w:t>
            </w:r>
          </w:p>
        </w:tc>
        <w:tc>
          <w:tcPr>
            <w:tcW w:w="1029" w:type="dxa"/>
            <w:tcBorders>
              <w:top w:val="single" w:sz="4" w:space="0" w:color="auto"/>
              <w:bottom w:val="single" w:sz="4" w:space="0" w:color="auto"/>
            </w:tcBorders>
          </w:tcPr>
          <w:p w14:paraId="195D0F8A" w14:textId="77777777" w:rsidR="00CF0E2D" w:rsidRPr="001218C3" w:rsidRDefault="00CF0E2D" w:rsidP="00A60D4B">
            <w:pPr>
              <w:spacing w:after="0"/>
              <w:jc w:val="right"/>
              <w:rPr>
                <w:sz w:val="24"/>
                <w:szCs w:val="24"/>
              </w:rPr>
            </w:pPr>
            <w:r w:rsidRPr="001218C3">
              <w:rPr>
                <w:sz w:val="24"/>
                <w:szCs w:val="24"/>
              </w:rPr>
              <w:t>0</w:t>
            </w:r>
          </w:p>
        </w:tc>
        <w:tc>
          <w:tcPr>
            <w:tcW w:w="1029" w:type="dxa"/>
            <w:tcBorders>
              <w:top w:val="single" w:sz="4" w:space="0" w:color="auto"/>
              <w:bottom w:val="single" w:sz="4" w:space="0" w:color="auto"/>
            </w:tcBorders>
          </w:tcPr>
          <w:p w14:paraId="2229E219" w14:textId="77777777" w:rsidR="00CF0E2D" w:rsidRPr="001218C3" w:rsidRDefault="00CF0E2D" w:rsidP="00A60D4B">
            <w:pPr>
              <w:spacing w:after="0"/>
              <w:jc w:val="right"/>
              <w:rPr>
                <w:b/>
                <w:sz w:val="24"/>
                <w:szCs w:val="24"/>
              </w:rPr>
            </w:pPr>
            <w:r w:rsidRPr="001218C3">
              <w:rPr>
                <w:b/>
                <w:sz w:val="24"/>
                <w:szCs w:val="24"/>
              </w:rPr>
              <w:t>5,485</w:t>
            </w:r>
          </w:p>
        </w:tc>
      </w:tr>
    </w:tbl>
    <w:p w14:paraId="408A1BAE" w14:textId="77777777" w:rsidR="00CF0E2D" w:rsidRPr="00007828" w:rsidRDefault="00CF0E2D" w:rsidP="00A60D4B">
      <w:pPr>
        <w:pStyle w:val="Bbodytext"/>
        <w:spacing w:before="200" w:after="200"/>
      </w:pPr>
      <w:r w:rsidRPr="00007828">
        <w:t>The Government will provide</w:t>
      </w:r>
      <w:r>
        <w:t xml:space="preserve"> funding to support increased government services related to the COVID-19 pandemic and ongoing public health response. This will include: continued security arrangements at Access Canberra Service Centres; resourcing required to process Working with Vulnerable People registrations that were automatically extended to 2021-22; funding support for the Canberra and Region Visitor Centre following a reduction in its revenue; additional support for the operations of GIO Stadium, EPIC and Manuka Oval following the cancellation of revenue-generating events; and, additional cleaning services for ACT Public Service workplaces, libraries, public barbeques and playgrounds.    </w:t>
      </w:r>
    </w:p>
    <w:p w14:paraId="0D54A726" w14:textId="77777777" w:rsidR="00CF0E2D" w:rsidRDefault="00CF0E2D" w:rsidP="00A60D4B">
      <w:pPr>
        <w:pStyle w:val="Bbodytext"/>
        <w:spacing w:before="200" w:after="200"/>
      </w:pPr>
      <w:r>
        <w:t>This initiative contributes to the wellbeing domains of Economy, Health, Safety, Access and connectivity and Living standards.</w:t>
      </w:r>
    </w:p>
    <w:p w14:paraId="039D147B" w14:textId="77777777" w:rsidR="00CF0E2D" w:rsidRDefault="00CF0E2D" w:rsidP="00A60D4B">
      <w:pPr>
        <w:pStyle w:val="Bbodytext"/>
      </w:pPr>
    </w:p>
    <w:p w14:paraId="3C276496" w14:textId="77777777" w:rsidR="00CF0E2D" w:rsidRPr="009D214D" w:rsidRDefault="00CF0E2D" w:rsidP="00A60D4B">
      <w:pPr>
        <w:pStyle w:val="Heading4"/>
      </w:pPr>
      <w:r w:rsidRPr="009D214D">
        <w:t xml:space="preserve">COVID-19 Response </w:t>
      </w:r>
      <w:r>
        <w:t>–</w:t>
      </w:r>
      <w:r w:rsidRPr="009D214D">
        <w:t xml:space="preserve"> Extension of temporary contract positions </w:t>
      </w:r>
      <w:r>
        <w:rPr>
          <w:b w:val="0"/>
          <w:noProof/>
          <w:color w:val="999789"/>
          <w:sz w:val="32"/>
          <w:szCs w:val="24"/>
        </w:rPr>
        <w:drawing>
          <wp:anchor distT="0" distB="0" distL="114300" distR="114300" simplePos="0" relativeHeight="251734016" behindDoc="0" locked="1" layoutInCell="1" allowOverlap="1" wp14:anchorId="598F66F9" wp14:editId="6D6E32AD">
            <wp:simplePos x="0" y="0"/>
            <wp:positionH relativeFrom="margin">
              <wp:align>right</wp:align>
            </wp:positionH>
            <wp:positionV relativeFrom="paragraph">
              <wp:posOffset>90170</wp:posOffset>
            </wp:positionV>
            <wp:extent cx="1213200" cy="504000"/>
            <wp:effectExtent l="0" t="0" r="6350" b="0"/>
            <wp:wrapSquare wrapText="bothSides"/>
            <wp:docPr id="50" name="Picture 50" descr="Icon representing the wellbeing domain of Living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con representing the wellbeing domain of Living standards"/>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13200" cy="504000"/>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7A193E7D" w14:textId="77777777" w:rsidTr="00A60D4B">
        <w:trPr>
          <w:cantSplit/>
          <w:jc w:val="center"/>
        </w:trPr>
        <w:tc>
          <w:tcPr>
            <w:tcW w:w="3652" w:type="dxa"/>
            <w:tcBorders>
              <w:top w:val="single" w:sz="4" w:space="0" w:color="auto"/>
              <w:bottom w:val="single" w:sz="4" w:space="0" w:color="auto"/>
            </w:tcBorders>
          </w:tcPr>
          <w:p w14:paraId="4E4AA748"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2100585D" w14:textId="77777777" w:rsidR="00CF0E2D" w:rsidRPr="00335F07" w:rsidRDefault="00CF0E2D" w:rsidP="00A60D4B">
            <w:pPr>
              <w:pStyle w:val="InitFigR"/>
              <w:rPr>
                <w:b/>
                <w:bCs/>
              </w:rPr>
            </w:pPr>
            <w:r w:rsidRPr="00335F07">
              <w:rPr>
                <w:b/>
                <w:bCs/>
              </w:rPr>
              <w:t>2021-22</w:t>
            </w:r>
          </w:p>
          <w:p w14:paraId="254AAE25" w14:textId="77777777" w:rsidR="00CF0E2D" w:rsidRPr="00335F07" w:rsidRDefault="00CF0E2D" w:rsidP="00A60D4B">
            <w:pPr>
              <w:pStyle w:val="InitFigR"/>
              <w:rPr>
                <w:b/>
                <w:bCs/>
              </w:rPr>
            </w:pPr>
            <w:r w:rsidRPr="00335F07">
              <w:rPr>
                <w:b/>
                <w:bCs/>
              </w:rPr>
              <w:t>$’000</w:t>
            </w:r>
          </w:p>
        </w:tc>
        <w:tc>
          <w:tcPr>
            <w:tcW w:w="1041" w:type="dxa"/>
            <w:tcBorders>
              <w:top w:val="single" w:sz="4" w:space="0" w:color="auto"/>
              <w:bottom w:val="single" w:sz="4" w:space="0" w:color="auto"/>
            </w:tcBorders>
          </w:tcPr>
          <w:p w14:paraId="3D078A6C" w14:textId="77777777" w:rsidR="00CF0E2D" w:rsidRPr="00335F07" w:rsidRDefault="00CF0E2D" w:rsidP="00A60D4B">
            <w:pPr>
              <w:pStyle w:val="InitFigR"/>
              <w:rPr>
                <w:b/>
                <w:bCs/>
              </w:rPr>
            </w:pPr>
            <w:r w:rsidRPr="00335F07">
              <w:rPr>
                <w:b/>
                <w:bCs/>
              </w:rPr>
              <w:t>2022-23</w:t>
            </w:r>
          </w:p>
          <w:p w14:paraId="655627ED" w14:textId="77777777" w:rsidR="00CF0E2D" w:rsidRPr="00335F07" w:rsidRDefault="00CF0E2D" w:rsidP="00A60D4B">
            <w:pPr>
              <w:pStyle w:val="InitFigR"/>
              <w:rPr>
                <w:b/>
                <w:bCs/>
              </w:rPr>
            </w:pPr>
            <w:r w:rsidRPr="00335F07">
              <w:rPr>
                <w:b/>
                <w:bCs/>
              </w:rPr>
              <w:t>$’000</w:t>
            </w:r>
          </w:p>
        </w:tc>
        <w:tc>
          <w:tcPr>
            <w:tcW w:w="1029" w:type="dxa"/>
            <w:tcBorders>
              <w:top w:val="single" w:sz="4" w:space="0" w:color="auto"/>
              <w:bottom w:val="single" w:sz="4" w:space="0" w:color="auto"/>
            </w:tcBorders>
          </w:tcPr>
          <w:p w14:paraId="35468F02" w14:textId="77777777" w:rsidR="00CF0E2D" w:rsidRPr="00335F07" w:rsidRDefault="00CF0E2D" w:rsidP="00A60D4B">
            <w:pPr>
              <w:pStyle w:val="InitFigR"/>
              <w:rPr>
                <w:b/>
                <w:bCs/>
              </w:rPr>
            </w:pPr>
            <w:r w:rsidRPr="00335F07">
              <w:rPr>
                <w:b/>
                <w:bCs/>
              </w:rPr>
              <w:t>2023-24</w:t>
            </w:r>
          </w:p>
          <w:p w14:paraId="6EE90662" w14:textId="77777777" w:rsidR="00CF0E2D" w:rsidRPr="00335F07" w:rsidRDefault="00CF0E2D" w:rsidP="00A60D4B">
            <w:pPr>
              <w:pStyle w:val="InitFigR"/>
              <w:rPr>
                <w:b/>
                <w:bCs/>
              </w:rPr>
            </w:pPr>
            <w:r w:rsidRPr="00335F07">
              <w:rPr>
                <w:b/>
                <w:bCs/>
              </w:rPr>
              <w:t>$’000</w:t>
            </w:r>
          </w:p>
        </w:tc>
        <w:tc>
          <w:tcPr>
            <w:tcW w:w="1029" w:type="dxa"/>
            <w:tcBorders>
              <w:top w:val="single" w:sz="4" w:space="0" w:color="auto"/>
              <w:bottom w:val="single" w:sz="4" w:space="0" w:color="auto"/>
            </w:tcBorders>
          </w:tcPr>
          <w:p w14:paraId="7CA6C274" w14:textId="77777777" w:rsidR="00CF0E2D" w:rsidRPr="00335F07" w:rsidRDefault="00CF0E2D" w:rsidP="00A60D4B">
            <w:pPr>
              <w:pStyle w:val="InitFigR"/>
              <w:rPr>
                <w:b/>
                <w:bCs/>
              </w:rPr>
            </w:pPr>
            <w:r w:rsidRPr="00335F07">
              <w:rPr>
                <w:b/>
                <w:bCs/>
              </w:rPr>
              <w:t>2024-25</w:t>
            </w:r>
          </w:p>
          <w:p w14:paraId="247EC8DD" w14:textId="77777777" w:rsidR="00CF0E2D" w:rsidRPr="00335F07" w:rsidRDefault="00CF0E2D" w:rsidP="00A60D4B">
            <w:pPr>
              <w:pStyle w:val="InitFigR"/>
              <w:rPr>
                <w:b/>
                <w:bCs/>
              </w:rPr>
            </w:pPr>
            <w:r w:rsidRPr="00335F07">
              <w:rPr>
                <w:b/>
                <w:bCs/>
              </w:rPr>
              <w:t>$’000</w:t>
            </w:r>
          </w:p>
        </w:tc>
        <w:tc>
          <w:tcPr>
            <w:tcW w:w="1029" w:type="dxa"/>
            <w:tcBorders>
              <w:top w:val="single" w:sz="4" w:space="0" w:color="auto"/>
              <w:bottom w:val="single" w:sz="4" w:space="0" w:color="auto"/>
            </w:tcBorders>
          </w:tcPr>
          <w:p w14:paraId="2EEC8F57" w14:textId="77777777" w:rsidR="00CF0E2D" w:rsidRPr="004E341E" w:rsidRDefault="00CF0E2D" w:rsidP="00A60D4B">
            <w:pPr>
              <w:pStyle w:val="InitFigRBold"/>
            </w:pPr>
            <w:r w:rsidRPr="004E341E">
              <w:t>Total</w:t>
            </w:r>
          </w:p>
          <w:p w14:paraId="4443DA44" w14:textId="77777777" w:rsidR="00CF0E2D" w:rsidRPr="004E341E" w:rsidRDefault="00CF0E2D" w:rsidP="00A60D4B">
            <w:pPr>
              <w:pStyle w:val="InitFigBR"/>
            </w:pPr>
            <w:r w:rsidRPr="004E341E">
              <w:t>$’000</w:t>
            </w:r>
          </w:p>
        </w:tc>
      </w:tr>
      <w:tr w:rsidR="00CF0E2D" w:rsidRPr="00750793" w14:paraId="566145AD" w14:textId="77777777" w:rsidTr="00A60D4B">
        <w:trPr>
          <w:cantSplit/>
          <w:trHeight w:val="107"/>
          <w:jc w:val="center"/>
        </w:trPr>
        <w:tc>
          <w:tcPr>
            <w:tcW w:w="3652" w:type="dxa"/>
            <w:tcBorders>
              <w:top w:val="single" w:sz="4" w:space="0" w:color="auto"/>
              <w:bottom w:val="single" w:sz="4" w:space="0" w:color="auto"/>
            </w:tcBorders>
          </w:tcPr>
          <w:p w14:paraId="357F2ECE" w14:textId="77777777" w:rsidR="00CF0E2D" w:rsidRPr="00894CD3" w:rsidRDefault="00CF0E2D" w:rsidP="00A60D4B">
            <w:pPr>
              <w:pStyle w:val="InitFigLBold"/>
              <w:ind w:left="321" w:hanging="321"/>
              <w:rPr>
                <w:b w:val="0"/>
                <w:bCs/>
              </w:rPr>
            </w:pPr>
            <w:r w:rsidRPr="00894CD3">
              <w:rPr>
                <w:b w:val="0"/>
                <w:bCs/>
              </w:rPr>
              <w:t>Expenses</w:t>
            </w:r>
          </w:p>
        </w:tc>
        <w:tc>
          <w:tcPr>
            <w:tcW w:w="1179" w:type="dxa"/>
            <w:tcBorders>
              <w:top w:val="single" w:sz="4" w:space="0" w:color="auto"/>
              <w:bottom w:val="single" w:sz="4" w:space="0" w:color="auto"/>
            </w:tcBorders>
          </w:tcPr>
          <w:p w14:paraId="6B33762A" w14:textId="77777777" w:rsidR="00CF0E2D" w:rsidRPr="00894CD3" w:rsidRDefault="00CF0E2D" w:rsidP="00A60D4B">
            <w:pPr>
              <w:pStyle w:val="InitFigRBold"/>
              <w:rPr>
                <w:b w:val="0"/>
                <w:bCs/>
              </w:rPr>
            </w:pPr>
            <w:r w:rsidRPr="00894CD3">
              <w:rPr>
                <w:b w:val="0"/>
                <w:bCs/>
              </w:rPr>
              <w:t>1,790</w:t>
            </w:r>
          </w:p>
        </w:tc>
        <w:tc>
          <w:tcPr>
            <w:tcW w:w="1041" w:type="dxa"/>
            <w:tcBorders>
              <w:top w:val="single" w:sz="4" w:space="0" w:color="auto"/>
              <w:bottom w:val="single" w:sz="4" w:space="0" w:color="auto"/>
            </w:tcBorders>
          </w:tcPr>
          <w:p w14:paraId="30492797" w14:textId="77777777" w:rsidR="00CF0E2D" w:rsidRPr="00894CD3" w:rsidRDefault="00CF0E2D" w:rsidP="00A60D4B">
            <w:pPr>
              <w:pStyle w:val="InitFigRBold"/>
              <w:rPr>
                <w:b w:val="0"/>
                <w:bCs/>
              </w:rPr>
            </w:pPr>
            <w:r w:rsidRPr="00894CD3">
              <w:rPr>
                <w:b w:val="0"/>
                <w:bCs/>
              </w:rPr>
              <w:t>0</w:t>
            </w:r>
          </w:p>
        </w:tc>
        <w:tc>
          <w:tcPr>
            <w:tcW w:w="1029" w:type="dxa"/>
            <w:tcBorders>
              <w:top w:val="single" w:sz="4" w:space="0" w:color="auto"/>
              <w:bottom w:val="single" w:sz="4" w:space="0" w:color="auto"/>
            </w:tcBorders>
          </w:tcPr>
          <w:p w14:paraId="018088ED" w14:textId="77777777" w:rsidR="00CF0E2D" w:rsidRPr="00894CD3" w:rsidRDefault="00CF0E2D" w:rsidP="00A60D4B">
            <w:pPr>
              <w:pStyle w:val="InitFigRBold"/>
              <w:rPr>
                <w:b w:val="0"/>
                <w:bCs/>
              </w:rPr>
            </w:pPr>
            <w:r w:rsidRPr="00894CD3">
              <w:rPr>
                <w:b w:val="0"/>
                <w:bCs/>
              </w:rPr>
              <w:t>0</w:t>
            </w:r>
          </w:p>
        </w:tc>
        <w:tc>
          <w:tcPr>
            <w:tcW w:w="1029" w:type="dxa"/>
            <w:tcBorders>
              <w:top w:val="single" w:sz="4" w:space="0" w:color="auto"/>
              <w:bottom w:val="single" w:sz="4" w:space="0" w:color="auto"/>
            </w:tcBorders>
          </w:tcPr>
          <w:p w14:paraId="3B11A0FF" w14:textId="77777777" w:rsidR="00CF0E2D" w:rsidRPr="00894CD3" w:rsidRDefault="00CF0E2D" w:rsidP="00A60D4B">
            <w:pPr>
              <w:pStyle w:val="InitFigRBold"/>
              <w:rPr>
                <w:b w:val="0"/>
                <w:bCs/>
              </w:rPr>
            </w:pPr>
            <w:r w:rsidRPr="00894CD3">
              <w:rPr>
                <w:b w:val="0"/>
                <w:bCs/>
              </w:rPr>
              <w:t>0</w:t>
            </w:r>
          </w:p>
        </w:tc>
        <w:tc>
          <w:tcPr>
            <w:tcW w:w="1029" w:type="dxa"/>
            <w:tcBorders>
              <w:top w:val="single" w:sz="4" w:space="0" w:color="auto"/>
              <w:bottom w:val="single" w:sz="4" w:space="0" w:color="auto"/>
            </w:tcBorders>
          </w:tcPr>
          <w:p w14:paraId="2E5A399F" w14:textId="77777777" w:rsidR="00CF0E2D" w:rsidRPr="00424DA4" w:rsidRDefault="00CF0E2D" w:rsidP="00A60D4B">
            <w:pPr>
              <w:pStyle w:val="InitFigRBold"/>
            </w:pPr>
            <w:r>
              <w:t>1,790</w:t>
            </w:r>
          </w:p>
        </w:tc>
      </w:tr>
    </w:tbl>
    <w:p w14:paraId="6CBAF189" w14:textId="77777777" w:rsidR="00CF0E2D" w:rsidRDefault="00CF0E2D" w:rsidP="00A60D4B">
      <w:pPr>
        <w:pStyle w:val="Bbodytext"/>
      </w:pPr>
      <w:r w:rsidRPr="004C581D">
        <w:t>The Government wi</w:t>
      </w:r>
      <w:r>
        <w:t xml:space="preserve">ll extend ACT Public Sector </w:t>
      </w:r>
      <w:r>
        <w:rPr>
          <w:lang w:eastAsia="en-AU"/>
        </w:rPr>
        <w:t xml:space="preserve">temporary employment contracts to provide greater job security during the current COVID-19 Pandemic lockdown. </w:t>
      </w:r>
    </w:p>
    <w:p w14:paraId="5AD0FFFE" w14:textId="77777777" w:rsidR="00CF0E2D" w:rsidRDefault="00CF0E2D" w:rsidP="00A60D4B">
      <w:pPr>
        <w:pStyle w:val="Bbodytext"/>
      </w:pPr>
      <w:r>
        <w:t xml:space="preserve">This initiative contributes to the wellbeing domains of Living standards, Economy, and Governance and Institutions. </w:t>
      </w:r>
    </w:p>
    <w:p w14:paraId="1EF98A6B" w14:textId="77777777" w:rsidR="00CF0E2D" w:rsidRDefault="00CF0E2D">
      <w:pPr>
        <w:rPr>
          <w:sz w:val="24"/>
        </w:rPr>
      </w:pPr>
      <w:r>
        <w:br w:type="page"/>
      </w:r>
    </w:p>
    <w:p w14:paraId="663FE7DC" w14:textId="77777777" w:rsidR="00CF0E2D" w:rsidRDefault="00CF0E2D" w:rsidP="00A60D4B">
      <w:pPr>
        <w:pStyle w:val="Bbodytext"/>
      </w:pPr>
      <w:r>
        <w:rPr>
          <w:rFonts w:eastAsia="Times New Roman"/>
          <w:noProof/>
        </w:rPr>
        <w:lastRenderedPageBreak/>
        <w:drawing>
          <wp:anchor distT="0" distB="0" distL="114300" distR="114300" simplePos="0" relativeHeight="251743232" behindDoc="0" locked="1" layoutInCell="1" allowOverlap="1" wp14:anchorId="379AF6FB" wp14:editId="4F01D6D2">
            <wp:simplePos x="0" y="0"/>
            <wp:positionH relativeFrom="margin">
              <wp:align>right</wp:align>
            </wp:positionH>
            <wp:positionV relativeFrom="paragraph">
              <wp:posOffset>131445</wp:posOffset>
            </wp:positionV>
            <wp:extent cx="1212850" cy="507365"/>
            <wp:effectExtent l="0" t="0" r="6350" b="6985"/>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12850" cy="507365"/>
                    </a:xfrm>
                    <a:prstGeom prst="rect">
                      <a:avLst/>
                    </a:prstGeom>
                    <a:noFill/>
                  </pic:spPr>
                </pic:pic>
              </a:graphicData>
            </a:graphic>
            <wp14:sizeRelH relativeFrom="margin">
              <wp14:pctWidth>0</wp14:pctWidth>
            </wp14:sizeRelH>
            <wp14:sizeRelV relativeFrom="margin">
              <wp14:pctHeight>0</wp14:pctHeight>
            </wp14:sizeRelV>
          </wp:anchor>
        </w:drawing>
      </w:r>
    </w:p>
    <w:p w14:paraId="3CAEDD94" w14:textId="77777777" w:rsidR="00CF0E2D" w:rsidRDefault="00CF0E2D" w:rsidP="00A60D4B">
      <w:pPr>
        <w:pStyle w:val="Heading4"/>
      </w:pPr>
      <w:r w:rsidRPr="006D419B">
        <w:rPr>
          <w:rFonts w:eastAsia="Times New Roman"/>
        </w:rPr>
        <w:t xml:space="preserve">COVID-19 </w:t>
      </w:r>
      <w:r>
        <w:rPr>
          <w:rFonts w:eastAsia="Times New Roman"/>
        </w:rPr>
        <w:t>Response</w:t>
      </w:r>
      <w:r w:rsidRPr="006D419B">
        <w:rPr>
          <w:rFonts w:eastAsia="Times New Roman"/>
        </w:rPr>
        <w:t xml:space="preserve"> </w:t>
      </w:r>
      <w:r>
        <w:rPr>
          <w:rFonts w:eastAsia="Times New Roman"/>
        </w:rPr>
        <w:t xml:space="preserve">– </w:t>
      </w:r>
      <w:r w:rsidRPr="000B7680">
        <w:rPr>
          <w:rFonts w:eastAsia="Times New Roman"/>
        </w:rPr>
        <w:t>Residential tenancy assistance</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60A2DAE9" w14:textId="77777777" w:rsidTr="00A60D4B">
        <w:trPr>
          <w:cantSplit/>
          <w:jc w:val="center"/>
        </w:trPr>
        <w:tc>
          <w:tcPr>
            <w:tcW w:w="3652" w:type="dxa"/>
            <w:tcBorders>
              <w:top w:val="single" w:sz="4" w:space="0" w:color="auto"/>
              <w:bottom w:val="single" w:sz="4" w:space="0" w:color="auto"/>
            </w:tcBorders>
          </w:tcPr>
          <w:p w14:paraId="1B775DDF"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4D58E517" w14:textId="77777777" w:rsidR="00CF0E2D" w:rsidRPr="000B1F5B" w:rsidRDefault="00CF0E2D" w:rsidP="00A60D4B">
            <w:pPr>
              <w:pStyle w:val="InitFigR"/>
              <w:rPr>
                <w:b/>
                <w:bCs/>
              </w:rPr>
            </w:pPr>
            <w:r w:rsidRPr="000B1F5B">
              <w:rPr>
                <w:b/>
                <w:bCs/>
              </w:rPr>
              <w:t>2021-22</w:t>
            </w:r>
          </w:p>
          <w:p w14:paraId="66597C38" w14:textId="77777777" w:rsidR="00CF0E2D" w:rsidRPr="000B1F5B" w:rsidRDefault="00CF0E2D" w:rsidP="00A60D4B">
            <w:pPr>
              <w:pStyle w:val="InitFigR"/>
              <w:rPr>
                <w:b/>
                <w:bCs/>
              </w:rPr>
            </w:pPr>
            <w:r w:rsidRPr="000B1F5B">
              <w:rPr>
                <w:b/>
                <w:bCs/>
              </w:rPr>
              <w:t>$’000</w:t>
            </w:r>
          </w:p>
        </w:tc>
        <w:tc>
          <w:tcPr>
            <w:tcW w:w="1041" w:type="dxa"/>
            <w:tcBorders>
              <w:top w:val="single" w:sz="4" w:space="0" w:color="auto"/>
              <w:bottom w:val="single" w:sz="4" w:space="0" w:color="auto"/>
            </w:tcBorders>
          </w:tcPr>
          <w:p w14:paraId="11FF5A85" w14:textId="77777777" w:rsidR="00CF0E2D" w:rsidRPr="000B1F5B" w:rsidRDefault="00CF0E2D" w:rsidP="00A60D4B">
            <w:pPr>
              <w:pStyle w:val="InitFigR"/>
              <w:rPr>
                <w:b/>
                <w:bCs/>
              </w:rPr>
            </w:pPr>
            <w:r w:rsidRPr="000B1F5B">
              <w:rPr>
                <w:b/>
                <w:bCs/>
              </w:rPr>
              <w:t>2022-23</w:t>
            </w:r>
          </w:p>
          <w:p w14:paraId="0C40628E" w14:textId="77777777" w:rsidR="00CF0E2D" w:rsidRPr="000B1F5B" w:rsidRDefault="00CF0E2D" w:rsidP="00A60D4B">
            <w:pPr>
              <w:pStyle w:val="InitFigR"/>
              <w:rPr>
                <w:b/>
                <w:bCs/>
              </w:rPr>
            </w:pPr>
            <w:r w:rsidRPr="000B1F5B">
              <w:rPr>
                <w:b/>
                <w:bCs/>
              </w:rPr>
              <w:t>$’000</w:t>
            </w:r>
          </w:p>
        </w:tc>
        <w:tc>
          <w:tcPr>
            <w:tcW w:w="1029" w:type="dxa"/>
            <w:tcBorders>
              <w:top w:val="single" w:sz="4" w:space="0" w:color="auto"/>
              <w:bottom w:val="single" w:sz="4" w:space="0" w:color="auto"/>
            </w:tcBorders>
          </w:tcPr>
          <w:p w14:paraId="1D11AAF1" w14:textId="77777777" w:rsidR="00CF0E2D" w:rsidRPr="000B1F5B" w:rsidRDefault="00CF0E2D" w:rsidP="00A60D4B">
            <w:pPr>
              <w:pStyle w:val="InitFigR"/>
              <w:rPr>
                <w:b/>
                <w:bCs/>
              </w:rPr>
            </w:pPr>
            <w:r w:rsidRPr="000B1F5B">
              <w:rPr>
                <w:b/>
                <w:bCs/>
              </w:rPr>
              <w:t>2023-24</w:t>
            </w:r>
          </w:p>
          <w:p w14:paraId="49D7B2B9" w14:textId="77777777" w:rsidR="00CF0E2D" w:rsidRPr="000B1F5B" w:rsidRDefault="00CF0E2D" w:rsidP="00A60D4B">
            <w:pPr>
              <w:pStyle w:val="InitFigR"/>
              <w:rPr>
                <w:b/>
                <w:bCs/>
              </w:rPr>
            </w:pPr>
            <w:r w:rsidRPr="000B1F5B">
              <w:rPr>
                <w:b/>
                <w:bCs/>
              </w:rPr>
              <w:t>$’000</w:t>
            </w:r>
          </w:p>
        </w:tc>
        <w:tc>
          <w:tcPr>
            <w:tcW w:w="1029" w:type="dxa"/>
            <w:tcBorders>
              <w:top w:val="single" w:sz="4" w:space="0" w:color="auto"/>
              <w:bottom w:val="single" w:sz="4" w:space="0" w:color="auto"/>
            </w:tcBorders>
          </w:tcPr>
          <w:p w14:paraId="72F02E82" w14:textId="77777777" w:rsidR="00CF0E2D" w:rsidRPr="000B1F5B" w:rsidRDefault="00CF0E2D" w:rsidP="00A60D4B">
            <w:pPr>
              <w:pStyle w:val="InitFigR"/>
              <w:rPr>
                <w:b/>
                <w:bCs/>
              </w:rPr>
            </w:pPr>
            <w:r w:rsidRPr="000B1F5B">
              <w:rPr>
                <w:b/>
                <w:bCs/>
              </w:rPr>
              <w:t>2024-25</w:t>
            </w:r>
          </w:p>
          <w:p w14:paraId="03352020" w14:textId="77777777" w:rsidR="00CF0E2D" w:rsidRPr="000B1F5B" w:rsidRDefault="00CF0E2D" w:rsidP="00A60D4B">
            <w:pPr>
              <w:pStyle w:val="InitFigR"/>
              <w:rPr>
                <w:b/>
                <w:bCs/>
              </w:rPr>
            </w:pPr>
            <w:r w:rsidRPr="000B1F5B">
              <w:rPr>
                <w:b/>
                <w:bCs/>
              </w:rPr>
              <w:t>$’000</w:t>
            </w:r>
          </w:p>
        </w:tc>
        <w:tc>
          <w:tcPr>
            <w:tcW w:w="1029" w:type="dxa"/>
            <w:tcBorders>
              <w:top w:val="single" w:sz="4" w:space="0" w:color="auto"/>
              <w:bottom w:val="single" w:sz="4" w:space="0" w:color="auto"/>
            </w:tcBorders>
          </w:tcPr>
          <w:p w14:paraId="281E1882" w14:textId="77777777" w:rsidR="00CF0E2D" w:rsidRPr="004E341E" w:rsidRDefault="00CF0E2D" w:rsidP="00A60D4B">
            <w:pPr>
              <w:pStyle w:val="InitFigRBold"/>
            </w:pPr>
            <w:r w:rsidRPr="004E341E">
              <w:t>Total</w:t>
            </w:r>
          </w:p>
          <w:p w14:paraId="259F0581" w14:textId="77777777" w:rsidR="00CF0E2D" w:rsidRPr="004E341E" w:rsidRDefault="00CF0E2D" w:rsidP="00A60D4B">
            <w:pPr>
              <w:pStyle w:val="InitFigBR"/>
            </w:pPr>
            <w:r w:rsidRPr="004E341E">
              <w:t>$’000</w:t>
            </w:r>
          </w:p>
        </w:tc>
      </w:tr>
      <w:tr w:rsidR="00CF0E2D" w:rsidRPr="00750793" w14:paraId="4B2709ED" w14:textId="77777777" w:rsidTr="00A60D4B">
        <w:trPr>
          <w:cantSplit/>
          <w:trHeight w:val="107"/>
          <w:jc w:val="center"/>
        </w:trPr>
        <w:tc>
          <w:tcPr>
            <w:tcW w:w="3652" w:type="dxa"/>
            <w:tcBorders>
              <w:top w:val="single" w:sz="4" w:space="0" w:color="auto"/>
              <w:bottom w:val="single" w:sz="4" w:space="0" w:color="auto"/>
            </w:tcBorders>
          </w:tcPr>
          <w:p w14:paraId="62B50D8F" w14:textId="77777777" w:rsidR="00CF0E2D" w:rsidDel="002B63D3" w:rsidRDefault="00CF0E2D" w:rsidP="00A60D4B">
            <w:pPr>
              <w:pStyle w:val="InitTextL"/>
              <w:ind w:left="321" w:hanging="321"/>
            </w:pPr>
            <w:r>
              <w:t>Expense</w:t>
            </w:r>
          </w:p>
        </w:tc>
        <w:tc>
          <w:tcPr>
            <w:tcW w:w="1179" w:type="dxa"/>
            <w:tcBorders>
              <w:top w:val="single" w:sz="4" w:space="0" w:color="auto"/>
              <w:bottom w:val="single" w:sz="4" w:space="0" w:color="auto"/>
            </w:tcBorders>
          </w:tcPr>
          <w:p w14:paraId="56D61CE3" w14:textId="77777777" w:rsidR="00CF0E2D" w:rsidRPr="00424DA4" w:rsidRDefault="00CF0E2D" w:rsidP="00A60D4B">
            <w:pPr>
              <w:pStyle w:val="InitFigR"/>
            </w:pPr>
            <w:r>
              <w:t>2,466</w:t>
            </w:r>
          </w:p>
        </w:tc>
        <w:tc>
          <w:tcPr>
            <w:tcW w:w="1041" w:type="dxa"/>
            <w:tcBorders>
              <w:top w:val="single" w:sz="4" w:space="0" w:color="auto"/>
              <w:bottom w:val="single" w:sz="4" w:space="0" w:color="auto"/>
            </w:tcBorders>
          </w:tcPr>
          <w:p w14:paraId="6F1F068E"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144B6A7A"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2C408B96"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4337B4FC" w14:textId="77777777" w:rsidR="00CF0E2D" w:rsidRPr="00424DA4" w:rsidRDefault="00CF0E2D" w:rsidP="00A60D4B">
            <w:pPr>
              <w:pStyle w:val="InitFigBR"/>
            </w:pPr>
            <w:r>
              <w:t>2,466</w:t>
            </w:r>
          </w:p>
        </w:tc>
      </w:tr>
    </w:tbl>
    <w:p w14:paraId="33B4B5E5" w14:textId="77777777" w:rsidR="00CF0E2D" w:rsidRDefault="00CF0E2D" w:rsidP="00A60D4B">
      <w:pPr>
        <w:pStyle w:val="Bbodytext"/>
      </w:pPr>
      <w:r w:rsidRPr="004C581D">
        <w:t>The Government wi</w:t>
      </w:r>
      <w:r>
        <w:t xml:space="preserve">ll provide land tax credits to residential landlords who reduce rent for tenants whose income has been affected by the current COVID-19 outbreak. </w:t>
      </w:r>
    </w:p>
    <w:p w14:paraId="36B2E224" w14:textId="77777777" w:rsidR="00CF0E2D" w:rsidRDefault="00CF0E2D" w:rsidP="00A60D4B">
      <w:pPr>
        <w:pStyle w:val="Bbodytext"/>
      </w:pPr>
      <w:r>
        <w:t>To be eligible, landlords must reduce the rent payable by their tenants by at least 25 per cent. Eligible landlords will be provided land tax credits of 50 per cent of the rent reduction up to $100 per week</w:t>
      </w:r>
      <w:r w:rsidRPr="00C569BA">
        <w:t xml:space="preserve"> </w:t>
      </w:r>
      <w:r>
        <w:t xml:space="preserve">from 1 August to 31 December 2021. </w:t>
      </w:r>
    </w:p>
    <w:p w14:paraId="079A51A7" w14:textId="77777777" w:rsidR="00CF0E2D" w:rsidRDefault="00CF0E2D" w:rsidP="00A60D4B">
      <w:pPr>
        <w:pStyle w:val="Bbodytext"/>
      </w:pPr>
      <w:bookmarkStart w:id="32" w:name="_Hlk83206075"/>
      <w:r>
        <w:t xml:space="preserve">An application form is available on the </w:t>
      </w:r>
      <w:hyperlink r:id="rId121" w:history="1">
        <w:r w:rsidRPr="006D419B">
          <w:t>ACT Revenue Office Website</w:t>
        </w:r>
      </w:hyperlink>
      <w:r>
        <w:t>.</w:t>
      </w:r>
    </w:p>
    <w:bookmarkEnd w:id="32"/>
    <w:p w14:paraId="463B2D96" w14:textId="77777777" w:rsidR="00CF0E2D" w:rsidRDefault="00CF0E2D" w:rsidP="00A60D4B">
      <w:pPr>
        <w:pStyle w:val="Bbodytext"/>
      </w:pPr>
      <w:r>
        <w:t xml:space="preserve">This initiative contributes to the wellbeing domain of Living standards. </w:t>
      </w:r>
    </w:p>
    <w:p w14:paraId="6750BCFD" w14:textId="77777777" w:rsidR="00CF0E2D" w:rsidRDefault="00CF0E2D" w:rsidP="00A60D4B">
      <w:pPr>
        <w:pStyle w:val="Bbodytext"/>
      </w:pPr>
    </w:p>
    <w:p w14:paraId="1F6F2C86" w14:textId="77777777" w:rsidR="00CF0E2D" w:rsidRDefault="00CF0E2D" w:rsidP="00A60D4B">
      <w:pPr>
        <w:pStyle w:val="Heading4"/>
      </w:pPr>
      <w:r>
        <w:t>COVID-19 response continuation – ACT Hardship Fund</w:t>
      </w:r>
      <w:r>
        <w:rPr>
          <w:rFonts w:eastAsia="Times New Roman"/>
          <w:noProof/>
        </w:rPr>
        <w:drawing>
          <wp:anchor distT="0" distB="0" distL="114300" distR="114300" simplePos="0" relativeHeight="251736064" behindDoc="0" locked="1" layoutInCell="1" allowOverlap="1" wp14:anchorId="149B15C0" wp14:editId="1C9E29F7">
            <wp:simplePos x="0" y="0"/>
            <wp:positionH relativeFrom="margin">
              <wp:align>right</wp:align>
            </wp:positionH>
            <wp:positionV relativeFrom="paragraph">
              <wp:posOffset>-139065</wp:posOffset>
            </wp:positionV>
            <wp:extent cx="1212850" cy="507365"/>
            <wp:effectExtent l="0" t="0" r="6350" b="6985"/>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12850"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5F182D" w14:paraId="409FCF53" w14:textId="77777777" w:rsidTr="00A60D4B">
        <w:trPr>
          <w:cantSplit/>
          <w:jc w:val="center"/>
        </w:trPr>
        <w:tc>
          <w:tcPr>
            <w:tcW w:w="3652" w:type="dxa"/>
            <w:tcBorders>
              <w:top w:val="single" w:sz="4" w:space="0" w:color="auto"/>
              <w:bottom w:val="single" w:sz="4" w:space="0" w:color="auto"/>
            </w:tcBorders>
          </w:tcPr>
          <w:p w14:paraId="070BD8C4" w14:textId="77777777" w:rsidR="00CF0E2D" w:rsidRPr="00982B67" w:rsidRDefault="00CF0E2D" w:rsidP="00A60D4B">
            <w:pPr>
              <w:spacing w:after="0"/>
              <w:jc w:val="right"/>
              <w:rPr>
                <w:rFonts w:cs="Calibri"/>
                <w:color w:val="FFFFFF"/>
                <w:sz w:val="24"/>
                <w:szCs w:val="24"/>
              </w:rPr>
            </w:pPr>
            <w:r w:rsidRPr="00982B67">
              <w:rPr>
                <w:rFonts w:cs="Calibri"/>
                <w:color w:val="FFFFFF"/>
                <w:sz w:val="24"/>
                <w:szCs w:val="24"/>
              </w:rPr>
              <w:t>Empty Cell</w:t>
            </w:r>
          </w:p>
        </w:tc>
        <w:tc>
          <w:tcPr>
            <w:tcW w:w="1179" w:type="dxa"/>
            <w:tcBorders>
              <w:top w:val="single" w:sz="4" w:space="0" w:color="auto"/>
              <w:bottom w:val="single" w:sz="4" w:space="0" w:color="auto"/>
            </w:tcBorders>
          </w:tcPr>
          <w:p w14:paraId="6C8780A3" w14:textId="77777777" w:rsidR="00CF0E2D" w:rsidRPr="00982B67" w:rsidRDefault="00CF0E2D" w:rsidP="00A60D4B">
            <w:pPr>
              <w:spacing w:after="0"/>
              <w:jc w:val="right"/>
              <w:rPr>
                <w:b/>
                <w:bCs/>
                <w:sz w:val="24"/>
                <w:szCs w:val="24"/>
              </w:rPr>
            </w:pPr>
            <w:r w:rsidRPr="00982B67">
              <w:rPr>
                <w:b/>
                <w:bCs/>
                <w:sz w:val="24"/>
                <w:szCs w:val="24"/>
              </w:rPr>
              <w:t>2021-22</w:t>
            </w:r>
          </w:p>
          <w:p w14:paraId="255ED837" w14:textId="77777777" w:rsidR="00CF0E2D" w:rsidRPr="00982B67" w:rsidRDefault="00CF0E2D" w:rsidP="00A60D4B">
            <w:pPr>
              <w:spacing w:after="0"/>
              <w:jc w:val="right"/>
              <w:rPr>
                <w:b/>
                <w:bCs/>
                <w:sz w:val="24"/>
                <w:szCs w:val="24"/>
              </w:rPr>
            </w:pPr>
            <w:r w:rsidRPr="00982B67">
              <w:rPr>
                <w:b/>
                <w:bCs/>
                <w:sz w:val="24"/>
                <w:szCs w:val="24"/>
              </w:rPr>
              <w:t>$’000</w:t>
            </w:r>
          </w:p>
        </w:tc>
        <w:tc>
          <w:tcPr>
            <w:tcW w:w="1041" w:type="dxa"/>
            <w:tcBorders>
              <w:top w:val="single" w:sz="4" w:space="0" w:color="auto"/>
              <w:bottom w:val="single" w:sz="4" w:space="0" w:color="auto"/>
            </w:tcBorders>
          </w:tcPr>
          <w:p w14:paraId="42997824" w14:textId="77777777" w:rsidR="00CF0E2D" w:rsidRPr="00982B67" w:rsidRDefault="00CF0E2D" w:rsidP="00A60D4B">
            <w:pPr>
              <w:spacing w:after="0"/>
              <w:jc w:val="right"/>
              <w:rPr>
                <w:b/>
                <w:bCs/>
                <w:sz w:val="24"/>
                <w:szCs w:val="24"/>
              </w:rPr>
            </w:pPr>
            <w:r w:rsidRPr="00982B67">
              <w:rPr>
                <w:b/>
                <w:bCs/>
                <w:sz w:val="24"/>
                <w:szCs w:val="24"/>
              </w:rPr>
              <w:t>2022-23</w:t>
            </w:r>
          </w:p>
          <w:p w14:paraId="14A2E5D5" w14:textId="77777777" w:rsidR="00CF0E2D" w:rsidRPr="00982B67" w:rsidRDefault="00CF0E2D" w:rsidP="00A60D4B">
            <w:pPr>
              <w:spacing w:after="0"/>
              <w:jc w:val="right"/>
              <w:rPr>
                <w:b/>
                <w:bCs/>
                <w:sz w:val="24"/>
                <w:szCs w:val="24"/>
              </w:rPr>
            </w:pPr>
            <w:r w:rsidRPr="00982B67">
              <w:rPr>
                <w:b/>
                <w:bCs/>
                <w:sz w:val="24"/>
                <w:szCs w:val="24"/>
              </w:rPr>
              <w:t>$’000</w:t>
            </w:r>
          </w:p>
        </w:tc>
        <w:tc>
          <w:tcPr>
            <w:tcW w:w="1029" w:type="dxa"/>
            <w:tcBorders>
              <w:top w:val="single" w:sz="4" w:space="0" w:color="auto"/>
              <w:bottom w:val="single" w:sz="4" w:space="0" w:color="auto"/>
            </w:tcBorders>
          </w:tcPr>
          <w:p w14:paraId="4857CD4F" w14:textId="77777777" w:rsidR="00CF0E2D" w:rsidRPr="00982B67" w:rsidRDefault="00CF0E2D" w:rsidP="00A60D4B">
            <w:pPr>
              <w:spacing w:after="0"/>
              <w:jc w:val="right"/>
              <w:rPr>
                <w:b/>
                <w:bCs/>
                <w:sz w:val="24"/>
                <w:szCs w:val="24"/>
              </w:rPr>
            </w:pPr>
            <w:r w:rsidRPr="00982B67">
              <w:rPr>
                <w:b/>
                <w:bCs/>
                <w:sz w:val="24"/>
                <w:szCs w:val="24"/>
              </w:rPr>
              <w:t>2023-24</w:t>
            </w:r>
          </w:p>
          <w:p w14:paraId="6B6C1AA0" w14:textId="77777777" w:rsidR="00CF0E2D" w:rsidRPr="00982B67" w:rsidRDefault="00CF0E2D" w:rsidP="00A60D4B">
            <w:pPr>
              <w:spacing w:after="0"/>
              <w:jc w:val="right"/>
              <w:rPr>
                <w:b/>
                <w:bCs/>
                <w:sz w:val="24"/>
                <w:szCs w:val="24"/>
              </w:rPr>
            </w:pPr>
            <w:r w:rsidRPr="00982B67">
              <w:rPr>
                <w:b/>
                <w:bCs/>
                <w:sz w:val="24"/>
                <w:szCs w:val="24"/>
              </w:rPr>
              <w:t>$’000</w:t>
            </w:r>
          </w:p>
        </w:tc>
        <w:tc>
          <w:tcPr>
            <w:tcW w:w="1029" w:type="dxa"/>
            <w:tcBorders>
              <w:top w:val="single" w:sz="4" w:space="0" w:color="auto"/>
              <w:bottom w:val="single" w:sz="4" w:space="0" w:color="auto"/>
            </w:tcBorders>
          </w:tcPr>
          <w:p w14:paraId="2D465E8B" w14:textId="77777777" w:rsidR="00CF0E2D" w:rsidRPr="00982B67" w:rsidRDefault="00CF0E2D" w:rsidP="00A60D4B">
            <w:pPr>
              <w:spacing w:after="0"/>
              <w:jc w:val="right"/>
              <w:rPr>
                <w:b/>
                <w:bCs/>
                <w:sz w:val="24"/>
                <w:szCs w:val="24"/>
              </w:rPr>
            </w:pPr>
            <w:r w:rsidRPr="00982B67">
              <w:rPr>
                <w:b/>
                <w:bCs/>
                <w:sz w:val="24"/>
                <w:szCs w:val="24"/>
              </w:rPr>
              <w:t>2024-25</w:t>
            </w:r>
          </w:p>
          <w:p w14:paraId="7FA5BC0E" w14:textId="77777777" w:rsidR="00CF0E2D" w:rsidRPr="00982B67" w:rsidRDefault="00CF0E2D" w:rsidP="00A60D4B">
            <w:pPr>
              <w:spacing w:after="0"/>
              <w:jc w:val="right"/>
              <w:rPr>
                <w:b/>
                <w:bCs/>
                <w:sz w:val="24"/>
                <w:szCs w:val="24"/>
              </w:rPr>
            </w:pPr>
            <w:r w:rsidRPr="00982B67">
              <w:rPr>
                <w:b/>
                <w:bCs/>
                <w:sz w:val="24"/>
                <w:szCs w:val="24"/>
              </w:rPr>
              <w:t>$’000</w:t>
            </w:r>
          </w:p>
        </w:tc>
        <w:tc>
          <w:tcPr>
            <w:tcW w:w="1029" w:type="dxa"/>
            <w:tcBorders>
              <w:top w:val="single" w:sz="4" w:space="0" w:color="auto"/>
              <w:bottom w:val="single" w:sz="4" w:space="0" w:color="auto"/>
            </w:tcBorders>
          </w:tcPr>
          <w:p w14:paraId="142C62D2" w14:textId="77777777" w:rsidR="00CF0E2D" w:rsidRPr="00982B67" w:rsidRDefault="00CF0E2D" w:rsidP="00A60D4B">
            <w:pPr>
              <w:spacing w:after="0"/>
              <w:jc w:val="right"/>
              <w:rPr>
                <w:b/>
                <w:sz w:val="24"/>
                <w:szCs w:val="24"/>
              </w:rPr>
            </w:pPr>
            <w:r w:rsidRPr="00982B67">
              <w:rPr>
                <w:b/>
                <w:sz w:val="24"/>
                <w:szCs w:val="24"/>
              </w:rPr>
              <w:t>Total</w:t>
            </w:r>
          </w:p>
          <w:p w14:paraId="05D7BDFA" w14:textId="77777777" w:rsidR="00CF0E2D" w:rsidRPr="00982B67" w:rsidRDefault="00CF0E2D" w:rsidP="00A60D4B">
            <w:pPr>
              <w:spacing w:after="0"/>
              <w:jc w:val="right"/>
              <w:rPr>
                <w:b/>
                <w:sz w:val="24"/>
                <w:szCs w:val="24"/>
              </w:rPr>
            </w:pPr>
            <w:r w:rsidRPr="00982B67">
              <w:rPr>
                <w:b/>
                <w:sz w:val="24"/>
                <w:szCs w:val="24"/>
              </w:rPr>
              <w:t>$’000</w:t>
            </w:r>
          </w:p>
        </w:tc>
      </w:tr>
      <w:tr w:rsidR="00CF0E2D" w:rsidRPr="005F182D" w14:paraId="1D8F090A" w14:textId="77777777" w:rsidTr="00A60D4B">
        <w:trPr>
          <w:cantSplit/>
          <w:jc w:val="center"/>
        </w:trPr>
        <w:tc>
          <w:tcPr>
            <w:tcW w:w="3652" w:type="dxa"/>
          </w:tcPr>
          <w:p w14:paraId="4DE18323" w14:textId="77777777" w:rsidR="00CF0E2D" w:rsidRPr="00982B67" w:rsidRDefault="00CF0E2D" w:rsidP="00A60D4B">
            <w:pPr>
              <w:spacing w:after="0"/>
              <w:ind w:left="321" w:hanging="321"/>
              <w:rPr>
                <w:sz w:val="24"/>
                <w:szCs w:val="24"/>
              </w:rPr>
            </w:pPr>
            <w:r w:rsidRPr="00982B67">
              <w:rPr>
                <w:sz w:val="24"/>
                <w:szCs w:val="24"/>
              </w:rPr>
              <w:t>Expenses</w:t>
            </w:r>
          </w:p>
        </w:tc>
        <w:tc>
          <w:tcPr>
            <w:tcW w:w="1179" w:type="dxa"/>
            <w:shd w:val="clear" w:color="auto" w:fill="auto"/>
          </w:tcPr>
          <w:p w14:paraId="5F70A357" w14:textId="77777777" w:rsidR="00CF0E2D" w:rsidRPr="008603BF" w:rsidRDefault="00CF0E2D" w:rsidP="00A60D4B">
            <w:pPr>
              <w:spacing w:after="0"/>
              <w:jc w:val="right"/>
              <w:rPr>
                <w:sz w:val="24"/>
                <w:szCs w:val="24"/>
              </w:rPr>
            </w:pPr>
            <w:r w:rsidRPr="008603BF">
              <w:rPr>
                <w:sz w:val="24"/>
                <w:szCs w:val="24"/>
              </w:rPr>
              <w:t>250</w:t>
            </w:r>
          </w:p>
        </w:tc>
        <w:tc>
          <w:tcPr>
            <w:tcW w:w="1041" w:type="dxa"/>
            <w:shd w:val="clear" w:color="auto" w:fill="auto"/>
          </w:tcPr>
          <w:p w14:paraId="7F372156" w14:textId="77777777" w:rsidR="00CF0E2D" w:rsidRPr="008603BF" w:rsidRDefault="00CF0E2D" w:rsidP="00A60D4B">
            <w:pPr>
              <w:spacing w:after="0"/>
              <w:jc w:val="right"/>
              <w:rPr>
                <w:sz w:val="24"/>
                <w:szCs w:val="24"/>
              </w:rPr>
            </w:pPr>
            <w:r w:rsidRPr="008603BF">
              <w:rPr>
                <w:sz w:val="24"/>
                <w:szCs w:val="24"/>
              </w:rPr>
              <w:t>0</w:t>
            </w:r>
          </w:p>
        </w:tc>
        <w:tc>
          <w:tcPr>
            <w:tcW w:w="1029" w:type="dxa"/>
            <w:shd w:val="clear" w:color="auto" w:fill="auto"/>
          </w:tcPr>
          <w:p w14:paraId="0106CD31" w14:textId="77777777" w:rsidR="00CF0E2D" w:rsidRPr="008603BF" w:rsidRDefault="00CF0E2D" w:rsidP="00A60D4B">
            <w:pPr>
              <w:spacing w:after="0"/>
              <w:jc w:val="right"/>
              <w:rPr>
                <w:sz w:val="24"/>
                <w:szCs w:val="24"/>
              </w:rPr>
            </w:pPr>
            <w:r w:rsidRPr="008603BF">
              <w:rPr>
                <w:sz w:val="24"/>
                <w:szCs w:val="24"/>
              </w:rPr>
              <w:t>0</w:t>
            </w:r>
          </w:p>
        </w:tc>
        <w:tc>
          <w:tcPr>
            <w:tcW w:w="1029" w:type="dxa"/>
            <w:shd w:val="clear" w:color="auto" w:fill="auto"/>
          </w:tcPr>
          <w:p w14:paraId="7CFA8878" w14:textId="77777777" w:rsidR="00CF0E2D" w:rsidRPr="008603BF" w:rsidRDefault="00CF0E2D" w:rsidP="00A60D4B">
            <w:pPr>
              <w:spacing w:after="0"/>
              <w:jc w:val="right"/>
              <w:rPr>
                <w:sz w:val="24"/>
                <w:szCs w:val="24"/>
              </w:rPr>
            </w:pPr>
            <w:r w:rsidRPr="008603BF">
              <w:rPr>
                <w:sz w:val="24"/>
                <w:szCs w:val="24"/>
              </w:rPr>
              <w:t>0</w:t>
            </w:r>
          </w:p>
        </w:tc>
        <w:tc>
          <w:tcPr>
            <w:tcW w:w="1029" w:type="dxa"/>
            <w:shd w:val="clear" w:color="auto" w:fill="auto"/>
          </w:tcPr>
          <w:p w14:paraId="3252623A" w14:textId="77777777" w:rsidR="00CF0E2D" w:rsidRPr="008603BF" w:rsidRDefault="00CF0E2D" w:rsidP="00A60D4B">
            <w:pPr>
              <w:spacing w:after="0"/>
              <w:jc w:val="right"/>
              <w:rPr>
                <w:b/>
                <w:sz w:val="24"/>
                <w:szCs w:val="24"/>
              </w:rPr>
            </w:pPr>
            <w:r w:rsidRPr="008603BF">
              <w:rPr>
                <w:b/>
                <w:sz w:val="24"/>
                <w:szCs w:val="24"/>
              </w:rPr>
              <w:t>250</w:t>
            </w:r>
          </w:p>
        </w:tc>
      </w:tr>
      <w:tr w:rsidR="00CF0E2D" w:rsidRPr="005F182D" w14:paraId="25CAD420" w14:textId="77777777" w:rsidTr="00A60D4B">
        <w:trPr>
          <w:cantSplit/>
          <w:jc w:val="center"/>
        </w:trPr>
        <w:tc>
          <w:tcPr>
            <w:tcW w:w="3652" w:type="dxa"/>
          </w:tcPr>
          <w:p w14:paraId="135A806E" w14:textId="77777777" w:rsidR="00CF0E2D" w:rsidRPr="00982B67" w:rsidRDefault="00CF0E2D" w:rsidP="00A60D4B">
            <w:pPr>
              <w:spacing w:after="0"/>
              <w:ind w:left="321" w:hanging="321"/>
              <w:rPr>
                <w:sz w:val="24"/>
                <w:szCs w:val="24"/>
              </w:rPr>
            </w:pPr>
            <w:r w:rsidRPr="00982B67">
              <w:rPr>
                <w:sz w:val="24"/>
                <w:szCs w:val="24"/>
              </w:rPr>
              <w:t>Offset – Expenses</w:t>
            </w:r>
          </w:p>
        </w:tc>
        <w:tc>
          <w:tcPr>
            <w:tcW w:w="1179" w:type="dxa"/>
            <w:shd w:val="clear" w:color="auto" w:fill="auto"/>
          </w:tcPr>
          <w:p w14:paraId="11FDAD7E" w14:textId="77777777" w:rsidR="00CF0E2D" w:rsidRPr="008603BF" w:rsidRDefault="00CF0E2D" w:rsidP="00A60D4B">
            <w:pPr>
              <w:spacing w:after="0"/>
              <w:jc w:val="right"/>
              <w:rPr>
                <w:sz w:val="24"/>
                <w:szCs w:val="24"/>
              </w:rPr>
            </w:pPr>
            <w:r w:rsidRPr="008603BF">
              <w:rPr>
                <w:sz w:val="24"/>
                <w:szCs w:val="24"/>
              </w:rPr>
              <w:t>-250</w:t>
            </w:r>
          </w:p>
        </w:tc>
        <w:tc>
          <w:tcPr>
            <w:tcW w:w="1041" w:type="dxa"/>
            <w:shd w:val="clear" w:color="auto" w:fill="auto"/>
          </w:tcPr>
          <w:p w14:paraId="4BF570B9" w14:textId="77777777" w:rsidR="00CF0E2D" w:rsidRPr="008603BF" w:rsidRDefault="00CF0E2D" w:rsidP="00A60D4B">
            <w:pPr>
              <w:spacing w:after="0"/>
              <w:jc w:val="right"/>
              <w:rPr>
                <w:sz w:val="24"/>
                <w:szCs w:val="24"/>
              </w:rPr>
            </w:pPr>
            <w:r w:rsidRPr="008603BF">
              <w:rPr>
                <w:sz w:val="24"/>
                <w:szCs w:val="24"/>
              </w:rPr>
              <w:t>0</w:t>
            </w:r>
          </w:p>
        </w:tc>
        <w:tc>
          <w:tcPr>
            <w:tcW w:w="1029" w:type="dxa"/>
            <w:shd w:val="clear" w:color="auto" w:fill="auto"/>
          </w:tcPr>
          <w:p w14:paraId="21F23AA8" w14:textId="77777777" w:rsidR="00CF0E2D" w:rsidRPr="008603BF" w:rsidRDefault="00CF0E2D" w:rsidP="00A60D4B">
            <w:pPr>
              <w:spacing w:after="0"/>
              <w:jc w:val="right"/>
              <w:rPr>
                <w:sz w:val="24"/>
                <w:szCs w:val="24"/>
              </w:rPr>
            </w:pPr>
            <w:r w:rsidRPr="008603BF">
              <w:rPr>
                <w:sz w:val="24"/>
                <w:szCs w:val="24"/>
              </w:rPr>
              <w:t>0</w:t>
            </w:r>
          </w:p>
        </w:tc>
        <w:tc>
          <w:tcPr>
            <w:tcW w:w="1029" w:type="dxa"/>
            <w:shd w:val="clear" w:color="auto" w:fill="auto"/>
          </w:tcPr>
          <w:p w14:paraId="64C10384" w14:textId="77777777" w:rsidR="00CF0E2D" w:rsidRPr="008603BF" w:rsidRDefault="00CF0E2D" w:rsidP="00A60D4B">
            <w:pPr>
              <w:spacing w:after="0"/>
              <w:jc w:val="right"/>
              <w:rPr>
                <w:sz w:val="24"/>
                <w:szCs w:val="24"/>
              </w:rPr>
            </w:pPr>
            <w:r w:rsidRPr="008603BF">
              <w:rPr>
                <w:sz w:val="24"/>
                <w:szCs w:val="24"/>
              </w:rPr>
              <w:t>0</w:t>
            </w:r>
          </w:p>
        </w:tc>
        <w:tc>
          <w:tcPr>
            <w:tcW w:w="1029" w:type="dxa"/>
            <w:shd w:val="clear" w:color="auto" w:fill="auto"/>
          </w:tcPr>
          <w:p w14:paraId="5BB0B98A" w14:textId="77777777" w:rsidR="00CF0E2D" w:rsidRPr="008603BF" w:rsidRDefault="00CF0E2D" w:rsidP="00A60D4B">
            <w:pPr>
              <w:spacing w:after="0"/>
              <w:jc w:val="right"/>
              <w:rPr>
                <w:b/>
                <w:sz w:val="24"/>
                <w:szCs w:val="24"/>
              </w:rPr>
            </w:pPr>
            <w:r w:rsidRPr="008603BF">
              <w:rPr>
                <w:b/>
                <w:sz w:val="24"/>
                <w:szCs w:val="24"/>
              </w:rPr>
              <w:t>-250</w:t>
            </w:r>
          </w:p>
        </w:tc>
      </w:tr>
      <w:tr w:rsidR="00CF0E2D" w:rsidRPr="005F182D" w14:paraId="088FF850" w14:textId="77777777" w:rsidTr="00A60D4B">
        <w:trPr>
          <w:cantSplit/>
          <w:trHeight w:val="107"/>
          <w:jc w:val="center"/>
        </w:trPr>
        <w:tc>
          <w:tcPr>
            <w:tcW w:w="3652" w:type="dxa"/>
            <w:tcBorders>
              <w:top w:val="single" w:sz="4" w:space="0" w:color="auto"/>
              <w:bottom w:val="single" w:sz="4" w:space="0" w:color="auto"/>
            </w:tcBorders>
          </w:tcPr>
          <w:p w14:paraId="7138A62A" w14:textId="77777777" w:rsidR="00CF0E2D" w:rsidRPr="00982B67" w:rsidRDefault="00CF0E2D" w:rsidP="00A60D4B">
            <w:pPr>
              <w:spacing w:after="0"/>
              <w:ind w:left="321" w:hanging="321"/>
              <w:rPr>
                <w:b/>
                <w:sz w:val="24"/>
                <w:szCs w:val="24"/>
              </w:rPr>
            </w:pPr>
            <w:r w:rsidRPr="00982B67">
              <w:rPr>
                <w:b/>
                <w:sz w:val="24"/>
                <w:szCs w:val="24"/>
              </w:rPr>
              <w:t>Net cost of services</w:t>
            </w:r>
          </w:p>
        </w:tc>
        <w:tc>
          <w:tcPr>
            <w:tcW w:w="1179" w:type="dxa"/>
            <w:tcBorders>
              <w:top w:val="single" w:sz="4" w:space="0" w:color="auto"/>
              <w:bottom w:val="single" w:sz="4" w:space="0" w:color="auto"/>
            </w:tcBorders>
            <w:shd w:val="clear" w:color="auto" w:fill="auto"/>
          </w:tcPr>
          <w:p w14:paraId="254B9198" w14:textId="77777777" w:rsidR="00CF0E2D" w:rsidRPr="008603BF" w:rsidRDefault="00CF0E2D" w:rsidP="00A60D4B">
            <w:pPr>
              <w:spacing w:after="0"/>
              <w:jc w:val="right"/>
              <w:rPr>
                <w:b/>
                <w:sz w:val="24"/>
                <w:szCs w:val="24"/>
              </w:rPr>
            </w:pPr>
            <w:r w:rsidRPr="008603BF">
              <w:rPr>
                <w:b/>
                <w:sz w:val="24"/>
                <w:szCs w:val="24"/>
              </w:rPr>
              <w:t>0</w:t>
            </w:r>
          </w:p>
        </w:tc>
        <w:tc>
          <w:tcPr>
            <w:tcW w:w="1041" w:type="dxa"/>
            <w:tcBorders>
              <w:top w:val="single" w:sz="4" w:space="0" w:color="auto"/>
              <w:bottom w:val="single" w:sz="4" w:space="0" w:color="auto"/>
            </w:tcBorders>
            <w:shd w:val="clear" w:color="auto" w:fill="auto"/>
          </w:tcPr>
          <w:p w14:paraId="5F1D4344" w14:textId="77777777" w:rsidR="00CF0E2D" w:rsidRPr="008603BF" w:rsidRDefault="00CF0E2D" w:rsidP="00A60D4B">
            <w:pPr>
              <w:spacing w:after="0"/>
              <w:jc w:val="right"/>
              <w:rPr>
                <w:b/>
                <w:sz w:val="24"/>
                <w:szCs w:val="24"/>
              </w:rPr>
            </w:pPr>
            <w:r w:rsidRPr="008603BF">
              <w:rPr>
                <w:b/>
                <w:sz w:val="24"/>
                <w:szCs w:val="24"/>
              </w:rPr>
              <w:t>0</w:t>
            </w:r>
          </w:p>
        </w:tc>
        <w:tc>
          <w:tcPr>
            <w:tcW w:w="1029" w:type="dxa"/>
            <w:tcBorders>
              <w:top w:val="single" w:sz="4" w:space="0" w:color="auto"/>
              <w:bottom w:val="single" w:sz="4" w:space="0" w:color="auto"/>
            </w:tcBorders>
            <w:shd w:val="clear" w:color="auto" w:fill="auto"/>
          </w:tcPr>
          <w:p w14:paraId="00AA79C0" w14:textId="77777777" w:rsidR="00CF0E2D" w:rsidRPr="008603BF" w:rsidRDefault="00CF0E2D" w:rsidP="00A60D4B">
            <w:pPr>
              <w:spacing w:after="0"/>
              <w:jc w:val="right"/>
              <w:rPr>
                <w:b/>
                <w:sz w:val="24"/>
                <w:szCs w:val="24"/>
              </w:rPr>
            </w:pPr>
            <w:r w:rsidRPr="008603BF">
              <w:rPr>
                <w:b/>
                <w:sz w:val="24"/>
                <w:szCs w:val="24"/>
              </w:rPr>
              <w:t>0</w:t>
            </w:r>
          </w:p>
        </w:tc>
        <w:tc>
          <w:tcPr>
            <w:tcW w:w="1029" w:type="dxa"/>
            <w:tcBorders>
              <w:top w:val="single" w:sz="4" w:space="0" w:color="auto"/>
              <w:bottom w:val="single" w:sz="4" w:space="0" w:color="auto"/>
            </w:tcBorders>
            <w:shd w:val="clear" w:color="auto" w:fill="auto"/>
          </w:tcPr>
          <w:p w14:paraId="270D5966" w14:textId="77777777" w:rsidR="00CF0E2D" w:rsidRPr="008603BF" w:rsidRDefault="00CF0E2D" w:rsidP="00A60D4B">
            <w:pPr>
              <w:spacing w:after="0"/>
              <w:jc w:val="right"/>
              <w:rPr>
                <w:b/>
                <w:sz w:val="24"/>
                <w:szCs w:val="24"/>
              </w:rPr>
            </w:pPr>
            <w:r w:rsidRPr="008603BF">
              <w:rPr>
                <w:b/>
                <w:sz w:val="24"/>
                <w:szCs w:val="24"/>
              </w:rPr>
              <w:t>0</w:t>
            </w:r>
          </w:p>
        </w:tc>
        <w:tc>
          <w:tcPr>
            <w:tcW w:w="1029" w:type="dxa"/>
            <w:tcBorders>
              <w:top w:val="single" w:sz="4" w:space="0" w:color="auto"/>
              <w:bottom w:val="single" w:sz="4" w:space="0" w:color="auto"/>
            </w:tcBorders>
            <w:shd w:val="clear" w:color="auto" w:fill="auto"/>
          </w:tcPr>
          <w:p w14:paraId="462B5CB2" w14:textId="77777777" w:rsidR="00CF0E2D" w:rsidRPr="008603BF" w:rsidRDefault="00CF0E2D" w:rsidP="00A60D4B">
            <w:pPr>
              <w:spacing w:after="0"/>
              <w:jc w:val="right"/>
              <w:rPr>
                <w:b/>
                <w:sz w:val="24"/>
                <w:szCs w:val="24"/>
              </w:rPr>
            </w:pPr>
            <w:r w:rsidRPr="008603BF">
              <w:rPr>
                <w:b/>
                <w:sz w:val="24"/>
                <w:szCs w:val="24"/>
              </w:rPr>
              <w:t>0</w:t>
            </w:r>
          </w:p>
        </w:tc>
      </w:tr>
    </w:tbl>
    <w:p w14:paraId="1635D68D" w14:textId="77777777" w:rsidR="00CF0E2D" w:rsidRDefault="00CF0E2D" w:rsidP="00A60D4B">
      <w:pPr>
        <w:pStyle w:val="Bbodytext"/>
      </w:pPr>
      <w:r w:rsidRPr="005F182D">
        <w:t>The Government will extend the ACT Hardship Fund for a further 12 months to 30 June 2022</w:t>
      </w:r>
      <w:r>
        <w:t>.</w:t>
      </w:r>
      <w:r w:rsidRPr="005F182D">
        <w:t xml:space="preserve"> The ACT Hardship Fund provide</w:t>
      </w:r>
      <w:r>
        <w:t>s</w:t>
      </w:r>
      <w:r w:rsidRPr="005F182D">
        <w:t xml:space="preserve"> financial assistance to individuals who are unable to work as a result of being tested for, or contracting, COVID-19 and are ineligible for other forms of support. </w:t>
      </w:r>
    </w:p>
    <w:p w14:paraId="2A74AF9F" w14:textId="77777777" w:rsidR="00CF0E2D" w:rsidRPr="005F182D" w:rsidRDefault="00CF0E2D" w:rsidP="00A60D4B">
      <w:pPr>
        <w:pStyle w:val="Bbodytext"/>
      </w:pPr>
      <w:r w:rsidRPr="005F182D">
        <w:t xml:space="preserve">Payments of up to $1,500 are available on application for those experiencing financial hardship to help protect our community and most vulnerable Canberrans. </w:t>
      </w:r>
      <w:r>
        <w:t xml:space="preserve">This initiative is funded </w:t>
      </w:r>
      <w:r w:rsidRPr="005F182D">
        <w:t>through</w:t>
      </w:r>
      <w:r>
        <w:t xml:space="preserve"> resources</w:t>
      </w:r>
      <w:r w:rsidRPr="005F182D">
        <w:t xml:space="preserve"> previously committed </w:t>
      </w:r>
      <w:r>
        <w:t>to the Hardship Fund</w:t>
      </w:r>
      <w:r w:rsidRPr="005F182D">
        <w:t>.</w:t>
      </w:r>
    </w:p>
    <w:p w14:paraId="59823CC7" w14:textId="77777777" w:rsidR="00CF0E2D" w:rsidRDefault="00CF0E2D" w:rsidP="00A60D4B">
      <w:pPr>
        <w:pStyle w:val="Bbodytext"/>
      </w:pPr>
      <w:r w:rsidRPr="005F182D">
        <w:t>This initiative contributes to the wellbeing domains of Living standards and Economy.</w:t>
      </w:r>
      <w:r>
        <w:t xml:space="preserve"> </w:t>
      </w:r>
    </w:p>
    <w:p w14:paraId="74628C36" w14:textId="77777777" w:rsidR="00CF0E2D" w:rsidRDefault="00CF0E2D">
      <w:pPr>
        <w:rPr>
          <w:sz w:val="24"/>
        </w:rPr>
      </w:pPr>
      <w:r>
        <w:br w:type="page"/>
      </w:r>
    </w:p>
    <w:p w14:paraId="03A9DF5E" w14:textId="77777777" w:rsidR="00CF0E2D" w:rsidRDefault="00CF0E2D" w:rsidP="00A60D4B">
      <w:pPr>
        <w:pStyle w:val="Heading4"/>
      </w:pPr>
    </w:p>
    <w:p w14:paraId="26EAD46B" w14:textId="77777777" w:rsidR="00CF0E2D" w:rsidRPr="00D31CD8" w:rsidRDefault="00CF0E2D" w:rsidP="00A60D4B">
      <w:pPr>
        <w:pStyle w:val="Heading4"/>
      </w:pPr>
      <w:r>
        <w:t xml:space="preserve">COVID-19 response continuation – </w:t>
      </w:r>
      <w:r w:rsidRPr="00D31CD8">
        <w:t>Jobs for Canberrans</w:t>
      </w:r>
      <w:r>
        <w:rPr>
          <w:b w:val="0"/>
          <w:noProof/>
          <w:color w:val="999789"/>
          <w:sz w:val="32"/>
          <w:szCs w:val="24"/>
        </w:rPr>
        <w:drawing>
          <wp:anchor distT="0" distB="0" distL="114300" distR="114300" simplePos="0" relativeHeight="251827200" behindDoc="0" locked="1" layoutInCell="1" allowOverlap="1" wp14:anchorId="7ABC9995" wp14:editId="305CD374">
            <wp:simplePos x="0" y="0"/>
            <wp:positionH relativeFrom="margin">
              <wp:align>right</wp:align>
            </wp:positionH>
            <wp:positionV relativeFrom="paragraph">
              <wp:posOffset>-100330</wp:posOffset>
            </wp:positionV>
            <wp:extent cx="1212850" cy="503555"/>
            <wp:effectExtent l="0" t="0" r="6350" b="0"/>
            <wp:wrapSquare wrapText="bothSides"/>
            <wp:docPr id="51" name="Picture 51" descr="Icon representing the wellbeing domain of Living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con representing the wellbeing domain of Living standards"/>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12850" cy="503555"/>
                    </a:xfrm>
                    <a:prstGeom prst="rect">
                      <a:avLst/>
                    </a:prstGeom>
                  </pic:spPr>
                </pic:pic>
              </a:graphicData>
            </a:graphic>
            <wp14:sizeRelH relativeFrom="margin">
              <wp14:pctWidth>0</wp14:pctWidth>
            </wp14:sizeRelH>
            <wp14:sizeRelV relativeFrom="margin">
              <wp14:pctHeight>0</wp14:pctHeight>
            </wp14:sizeRelV>
          </wp:anchor>
        </w:drawing>
      </w:r>
      <w:r>
        <w:t xml:space="preserve">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D31CD8" w14:paraId="4205136E" w14:textId="77777777" w:rsidTr="00A60D4B">
        <w:trPr>
          <w:cantSplit/>
          <w:jc w:val="center"/>
        </w:trPr>
        <w:tc>
          <w:tcPr>
            <w:tcW w:w="3652" w:type="dxa"/>
            <w:tcBorders>
              <w:top w:val="single" w:sz="4" w:space="0" w:color="auto"/>
              <w:bottom w:val="single" w:sz="4" w:space="0" w:color="auto"/>
            </w:tcBorders>
          </w:tcPr>
          <w:p w14:paraId="19E3DA59" w14:textId="77777777" w:rsidR="00CF0E2D" w:rsidRPr="00E9693C" w:rsidRDefault="00CF0E2D" w:rsidP="00A60D4B">
            <w:pPr>
              <w:spacing w:after="0"/>
              <w:jc w:val="right"/>
              <w:rPr>
                <w:rFonts w:cs="Calibri"/>
                <w:color w:val="FFFFFF"/>
                <w:sz w:val="24"/>
                <w:szCs w:val="24"/>
              </w:rPr>
            </w:pPr>
            <w:r w:rsidRPr="00E9693C">
              <w:rPr>
                <w:rFonts w:cs="Calibri"/>
                <w:color w:val="FFFFFF"/>
                <w:sz w:val="24"/>
                <w:szCs w:val="24"/>
              </w:rPr>
              <w:t>Empty Cell</w:t>
            </w:r>
          </w:p>
        </w:tc>
        <w:tc>
          <w:tcPr>
            <w:tcW w:w="1179" w:type="dxa"/>
            <w:tcBorders>
              <w:top w:val="single" w:sz="4" w:space="0" w:color="auto"/>
              <w:bottom w:val="single" w:sz="4" w:space="0" w:color="auto"/>
            </w:tcBorders>
          </w:tcPr>
          <w:p w14:paraId="553C5B20" w14:textId="77777777" w:rsidR="00CF0E2D" w:rsidRPr="00E9693C" w:rsidRDefault="00CF0E2D" w:rsidP="00A60D4B">
            <w:pPr>
              <w:spacing w:after="0"/>
              <w:jc w:val="right"/>
              <w:rPr>
                <w:b/>
                <w:bCs/>
                <w:sz w:val="24"/>
                <w:szCs w:val="24"/>
              </w:rPr>
            </w:pPr>
            <w:r w:rsidRPr="00E9693C">
              <w:rPr>
                <w:b/>
                <w:bCs/>
                <w:sz w:val="24"/>
                <w:szCs w:val="24"/>
              </w:rPr>
              <w:t>2021-22</w:t>
            </w:r>
          </w:p>
          <w:p w14:paraId="0780CFD1" w14:textId="77777777" w:rsidR="00CF0E2D" w:rsidRPr="00E9693C" w:rsidRDefault="00CF0E2D" w:rsidP="00A60D4B">
            <w:pPr>
              <w:spacing w:after="0"/>
              <w:jc w:val="right"/>
              <w:rPr>
                <w:b/>
                <w:bCs/>
                <w:sz w:val="24"/>
                <w:szCs w:val="24"/>
              </w:rPr>
            </w:pPr>
            <w:r w:rsidRPr="00E9693C">
              <w:rPr>
                <w:b/>
                <w:bCs/>
                <w:sz w:val="24"/>
                <w:szCs w:val="24"/>
              </w:rPr>
              <w:t>$’000</w:t>
            </w:r>
          </w:p>
        </w:tc>
        <w:tc>
          <w:tcPr>
            <w:tcW w:w="1041" w:type="dxa"/>
            <w:tcBorders>
              <w:top w:val="single" w:sz="4" w:space="0" w:color="auto"/>
              <w:bottom w:val="single" w:sz="4" w:space="0" w:color="auto"/>
            </w:tcBorders>
          </w:tcPr>
          <w:p w14:paraId="73B13BB2" w14:textId="77777777" w:rsidR="00CF0E2D" w:rsidRPr="00E9693C" w:rsidRDefault="00CF0E2D" w:rsidP="00A60D4B">
            <w:pPr>
              <w:spacing w:after="0"/>
              <w:jc w:val="right"/>
              <w:rPr>
                <w:b/>
                <w:bCs/>
                <w:sz w:val="24"/>
                <w:szCs w:val="24"/>
              </w:rPr>
            </w:pPr>
            <w:r w:rsidRPr="00E9693C">
              <w:rPr>
                <w:b/>
                <w:bCs/>
                <w:sz w:val="24"/>
                <w:szCs w:val="24"/>
              </w:rPr>
              <w:t>2022-23</w:t>
            </w:r>
          </w:p>
          <w:p w14:paraId="714C1366" w14:textId="77777777" w:rsidR="00CF0E2D" w:rsidRPr="00E9693C" w:rsidRDefault="00CF0E2D" w:rsidP="00A60D4B">
            <w:pPr>
              <w:spacing w:after="0"/>
              <w:jc w:val="right"/>
              <w:rPr>
                <w:b/>
                <w:bCs/>
                <w:sz w:val="24"/>
                <w:szCs w:val="24"/>
              </w:rPr>
            </w:pPr>
            <w:r w:rsidRPr="00E9693C">
              <w:rPr>
                <w:b/>
                <w:bCs/>
                <w:sz w:val="24"/>
                <w:szCs w:val="24"/>
              </w:rPr>
              <w:t>$’000</w:t>
            </w:r>
          </w:p>
        </w:tc>
        <w:tc>
          <w:tcPr>
            <w:tcW w:w="1029" w:type="dxa"/>
            <w:tcBorders>
              <w:top w:val="single" w:sz="4" w:space="0" w:color="auto"/>
              <w:bottom w:val="single" w:sz="4" w:space="0" w:color="auto"/>
            </w:tcBorders>
          </w:tcPr>
          <w:p w14:paraId="0E911416" w14:textId="77777777" w:rsidR="00CF0E2D" w:rsidRPr="00E9693C" w:rsidRDefault="00CF0E2D" w:rsidP="00A60D4B">
            <w:pPr>
              <w:spacing w:after="0"/>
              <w:jc w:val="right"/>
              <w:rPr>
                <w:b/>
                <w:bCs/>
                <w:sz w:val="24"/>
                <w:szCs w:val="24"/>
              </w:rPr>
            </w:pPr>
            <w:r w:rsidRPr="00E9693C">
              <w:rPr>
                <w:b/>
                <w:bCs/>
                <w:sz w:val="24"/>
                <w:szCs w:val="24"/>
              </w:rPr>
              <w:t>2023-24</w:t>
            </w:r>
          </w:p>
          <w:p w14:paraId="6EBC5659" w14:textId="77777777" w:rsidR="00CF0E2D" w:rsidRPr="00E9693C" w:rsidRDefault="00CF0E2D" w:rsidP="00A60D4B">
            <w:pPr>
              <w:spacing w:after="0"/>
              <w:jc w:val="right"/>
              <w:rPr>
                <w:b/>
                <w:bCs/>
                <w:sz w:val="24"/>
                <w:szCs w:val="24"/>
              </w:rPr>
            </w:pPr>
            <w:r w:rsidRPr="00E9693C">
              <w:rPr>
                <w:b/>
                <w:bCs/>
                <w:sz w:val="24"/>
                <w:szCs w:val="24"/>
              </w:rPr>
              <w:t>$’000</w:t>
            </w:r>
          </w:p>
        </w:tc>
        <w:tc>
          <w:tcPr>
            <w:tcW w:w="1029" w:type="dxa"/>
            <w:tcBorders>
              <w:top w:val="single" w:sz="4" w:space="0" w:color="auto"/>
              <w:bottom w:val="single" w:sz="4" w:space="0" w:color="auto"/>
            </w:tcBorders>
          </w:tcPr>
          <w:p w14:paraId="4A4983AD" w14:textId="77777777" w:rsidR="00CF0E2D" w:rsidRPr="00E9693C" w:rsidRDefault="00CF0E2D" w:rsidP="00A60D4B">
            <w:pPr>
              <w:spacing w:after="0"/>
              <w:jc w:val="right"/>
              <w:rPr>
                <w:b/>
                <w:bCs/>
                <w:sz w:val="24"/>
                <w:szCs w:val="24"/>
              </w:rPr>
            </w:pPr>
            <w:r w:rsidRPr="00E9693C">
              <w:rPr>
                <w:b/>
                <w:bCs/>
                <w:sz w:val="24"/>
                <w:szCs w:val="24"/>
              </w:rPr>
              <w:t>2024-25</w:t>
            </w:r>
          </w:p>
          <w:p w14:paraId="014D5AB2" w14:textId="77777777" w:rsidR="00CF0E2D" w:rsidRPr="00E9693C" w:rsidRDefault="00CF0E2D" w:rsidP="00A60D4B">
            <w:pPr>
              <w:spacing w:after="0"/>
              <w:jc w:val="right"/>
              <w:rPr>
                <w:b/>
                <w:bCs/>
                <w:sz w:val="24"/>
                <w:szCs w:val="24"/>
              </w:rPr>
            </w:pPr>
            <w:r w:rsidRPr="00E9693C">
              <w:rPr>
                <w:b/>
                <w:bCs/>
                <w:sz w:val="24"/>
                <w:szCs w:val="24"/>
              </w:rPr>
              <w:t>$’000</w:t>
            </w:r>
          </w:p>
        </w:tc>
        <w:tc>
          <w:tcPr>
            <w:tcW w:w="1029" w:type="dxa"/>
            <w:tcBorders>
              <w:top w:val="single" w:sz="4" w:space="0" w:color="auto"/>
              <w:bottom w:val="single" w:sz="4" w:space="0" w:color="auto"/>
            </w:tcBorders>
          </w:tcPr>
          <w:p w14:paraId="0F9CFFC9" w14:textId="77777777" w:rsidR="00CF0E2D" w:rsidRPr="00E9693C" w:rsidRDefault="00CF0E2D" w:rsidP="00A60D4B">
            <w:pPr>
              <w:spacing w:after="0"/>
              <w:jc w:val="right"/>
              <w:rPr>
                <w:b/>
                <w:sz w:val="24"/>
                <w:szCs w:val="24"/>
              </w:rPr>
            </w:pPr>
            <w:r w:rsidRPr="00E9693C">
              <w:rPr>
                <w:b/>
                <w:sz w:val="24"/>
                <w:szCs w:val="24"/>
              </w:rPr>
              <w:t>Total</w:t>
            </w:r>
          </w:p>
          <w:p w14:paraId="150D8070" w14:textId="77777777" w:rsidR="00CF0E2D" w:rsidRPr="00E9693C" w:rsidRDefault="00CF0E2D" w:rsidP="00A60D4B">
            <w:pPr>
              <w:spacing w:after="0"/>
              <w:jc w:val="right"/>
              <w:rPr>
                <w:b/>
                <w:sz w:val="24"/>
                <w:szCs w:val="24"/>
              </w:rPr>
            </w:pPr>
            <w:r w:rsidRPr="00E9693C">
              <w:rPr>
                <w:b/>
                <w:sz w:val="24"/>
                <w:szCs w:val="24"/>
              </w:rPr>
              <w:t>$’000</w:t>
            </w:r>
          </w:p>
        </w:tc>
      </w:tr>
      <w:tr w:rsidR="00CF0E2D" w:rsidRPr="00D31CD8" w14:paraId="0BE030EE" w14:textId="77777777" w:rsidTr="00A60D4B">
        <w:trPr>
          <w:cantSplit/>
          <w:jc w:val="center"/>
        </w:trPr>
        <w:tc>
          <w:tcPr>
            <w:tcW w:w="3652" w:type="dxa"/>
          </w:tcPr>
          <w:p w14:paraId="57C730C6" w14:textId="77777777" w:rsidR="00CF0E2D" w:rsidRPr="00E9693C" w:rsidRDefault="00CF0E2D" w:rsidP="00A60D4B">
            <w:pPr>
              <w:spacing w:after="0"/>
              <w:ind w:left="321" w:hanging="321"/>
              <w:rPr>
                <w:sz w:val="24"/>
                <w:szCs w:val="24"/>
              </w:rPr>
            </w:pPr>
            <w:r w:rsidRPr="00E9693C">
              <w:rPr>
                <w:sz w:val="24"/>
                <w:szCs w:val="24"/>
              </w:rPr>
              <w:t>Expenses</w:t>
            </w:r>
          </w:p>
        </w:tc>
        <w:tc>
          <w:tcPr>
            <w:tcW w:w="1179" w:type="dxa"/>
          </w:tcPr>
          <w:p w14:paraId="0FA6FAF1" w14:textId="77777777" w:rsidR="00CF0E2D" w:rsidRPr="00E9693C" w:rsidRDefault="00CF0E2D" w:rsidP="00A60D4B">
            <w:pPr>
              <w:spacing w:after="0"/>
              <w:jc w:val="right"/>
              <w:rPr>
                <w:sz w:val="24"/>
                <w:szCs w:val="24"/>
              </w:rPr>
            </w:pPr>
            <w:r w:rsidRPr="00E9693C">
              <w:rPr>
                <w:sz w:val="24"/>
                <w:szCs w:val="24"/>
              </w:rPr>
              <w:t>6,222</w:t>
            </w:r>
          </w:p>
        </w:tc>
        <w:tc>
          <w:tcPr>
            <w:tcW w:w="1041" w:type="dxa"/>
          </w:tcPr>
          <w:p w14:paraId="13F5AF51" w14:textId="77777777" w:rsidR="00CF0E2D" w:rsidRPr="00E9693C" w:rsidRDefault="00CF0E2D" w:rsidP="00A60D4B">
            <w:pPr>
              <w:spacing w:after="0"/>
              <w:jc w:val="right"/>
              <w:rPr>
                <w:sz w:val="24"/>
                <w:szCs w:val="24"/>
              </w:rPr>
            </w:pPr>
            <w:r w:rsidRPr="00E9693C">
              <w:rPr>
                <w:sz w:val="24"/>
                <w:szCs w:val="24"/>
              </w:rPr>
              <w:t>0</w:t>
            </w:r>
          </w:p>
        </w:tc>
        <w:tc>
          <w:tcPr>
            <w:tcW w:w="1029" w:type="dxa"/>
          </w:tcPr>
          <w:p w14:paraId="53538001" w14:textId="77777777" w:rsidR="00CF0E2D" w:rsidRPr="00E9693C" w:rsidRDefault="00CF0E2D" w:rsidP="00A60D4B">
            <w:pPr>
              <w:spacing w:after="0"/>
              <w:jc w:val="right"/>
              <w:rPr>
                <w:sz w:val="24"/>
                <w:szCs w:val="24"/>
              </w:rPr>
            </w:pPr>
            <w:r w:rsidRPr="00E9693C">
              <w:rPr>
                <w:sz w:val="24"/>
                <w:szCs w:val="24"/>
              </w:rPr>
              <w:t>0</w:t>
            </w:r>
          </w:p>
        </w:tc>
        <w:tc>
          <w:tcPr>
            <w:tcW w:w="1029" w:type="dxa"/>
          </w:tcPr>
          <w:p w14:paraId="45628E70" w14:textId="77777777" w:rsidR="00CF0E2D" w:rsidRPr="00E9693C" w:rsidRDefault="00CF0E2D" w:rsidP="00A60D4B">
            <w:pPr>
              <w:spacing w:after="0"/>
              <w:jc w:val="right"/>
              <w:rPr>
                <w:sz w:val="24"/>
                <w:szCs w:val="24"/>
              </w:rPr>
            </w:pPr>
            <w:r w:rsidRPr="00E9693C">
              <w:rPr>
                <w:sz w:val="24"/>
                <w:szCs w:val="24"/>
              </w:rPr>
              <w:t>0</w:t>
            </w:r>
          </w:p>
        </w:tc>
        <w:tc>
          <w:tcPr>
            <w:tcW w:w="1029" w:type="dxa"/>
          </w:tcPr>
          <w:p w14:paraId="70FF43FD" w14:textId="77777777" w:rsidR="00CF0E2D" w:rsidRPr="00E9693C" w:rsidRDefault="00CF0E2D" w:rsidP="00A60D4B">
            <w:pPr>
              <w:spacing w:after="0"/>
              <w:jc w:val="right"/>
              <w:rPr>
                <w:b/>
                <w:sz w:val="24"/>
                <w:szCs w:val="24"/>
              </w:rPr>
            </w:pPr>
            <w:r w:rsidRPr="00E9693C">
              <w:rPr>
                <w:b/>
                <w:sz w:val="24"/>
                <w:szCs w:val="24"/>
              </w:rPr>
              <w:t>6,222</w:t>
            </w:r>
          </w:p>
        </w:tc>
      </w:tr>
      <w:tr w:rsidR="00CF0E2D" w:rsidRPr="00D31CD8" w14:paraId="60C8508C" w14:textId="77777777" w:rsidTr="00A60D4B">
        <w:trPr>
          <w:cantSplit/>
          <w:jc w:val="center"/>
        </w:trPr>
        <w:tc>
          <w:tcPr>
            <w:tcW w:w="3652" w:type="dxa"/>
          </w:tcPr>
          <w:p w14:paraId="32C1E338" w14:textId="77777777" w:rsidR="00CF0E2D" w:rsidRPr="00E9693C" w:rsidRDefault="00CF0E2D" w:rsidP="00A60D4B">
            <w:pPr>
              <w:spacing w:after="0"/>
              <w:ind w:left="321" w:hanging="321"/>
              <w:rPr>
                <w:sz w:val="24"/>
                <w:szCs w:val="24"/>
              </w:rPr>
            </w:pPr>
            <w:r w:rsidRPr="00E9693C">
              <w:rPr>
                <w:sz w:val="24"/>
                <w:szCs w:val="24"/>
              </w:rPr>
              <w:t>Offset – Expenses</w:t>
            </w:r>
          </w:p>
        </w:tc>
        <w:tc>
          <w:tcPr>
            <w:tcW w:w="1179" w:type="dxa"/>
          </w:tcPr>
          <w:p w14:paraId="53369D21" w14:textId="77777777" w:rsidR="00CF0E2D" w:rsidRPr="00E9693C" w:rsidRDefault="00CF0E2D" w:rsidP="00A60D4B">
            <w:pPr>
              <w:spacing w:after="0"/>
              <w:jc w:val="right"/>
              <w:rPr>
                <w:sz w:val="24"/>
                <w:szCs w:val="24"/>
              </w:rPr>
            </w:pPr>
            <w:r w:rsidRPr="00E9693C">
              <w:rPr>
                <w:sz w:val="24"/>
                <w:szCs w:val="24"/>
              </w:rPr>
              <w:t>-2,694</w:t>
            </w:r>
          </w:p>
        </w:tc>
        <w:tc>
          <w:tcPr>
            <w:tcW w:w="1041" w:type="dxa"/>
          </w:tcPr>
          <w:p w14:paraId="7136E742" w14:textId="77777777" w:rsidR="00CF0E2D" w:rsidRPr="00E9693C" w:rsidRDefault="00CF0E2D" w:rsidP="00A60D4B">
            <w:pPr>
              <w:spacing w:after="0"/>
              <w:jc w:val="right"/>
              <w:rPr>
                <w:sz w:val="24"/>
                <w:szCs w:val="24"/>
              </w:rPr>
            </w:pPr>
            <w:r w:rsidRPr="00E9693C">
              <w:rPr>
                <w:sz w:val="24"/>
                <w:szCs w:val="24"/>
              </w:rPr>
              <w:t>0</w:t>
            </w:r>
          </w:p>
        </w:tc>
        <w:tc>
          <w:tcPr>
            <w:tcW w:w="1029" w:type="dxa"/>
          </w:tcPr>
          <w:p w14:paraId="6252BADF" w14:textId="77777777" w:rsidR="00CF0E2D" w:rsidRPr="00E9693C" w:rsidRDefault="00CF0E2D" w:rsidP="00A60D4B">
            <w:pPr>
              <w:spacing w:after="0"/>
              <w:jc w:val="right"/>
              <w:rPr>
                <w:sz w:val="24"/>
                <w:szCs w:val="24"/>
              </w:rPr>
            </w:pPr>
            <w:r w:rsidRPr="00E9693C">
              <w:rPr>
                <w:sz w:val="24"/>
                <w:szCs w:val="24"/>
              </w:rPr>
              <w:t>0</w:t>
            </w:r>
          </w:p>
        </w:tc>
        <w:tc>
          <w:tcPr>
            <w:tcW w:w="1029" w:type="dxa"/>
          </w:tcPr>
          <w:p w14:paraId="1AD7EC6F" w14:textId="77777777" w:rsidR="00CF0E2D" w:rsidRPr="00E9693C" w:rsidRDefault="00CF0E2D" w:rsidP="00A60D4B">
            <w:pPr>
              <w:spacing w:after="0"/>
              <w:jc w:val="right"/>
              <w:rPr>
                <w:sz w:val="24"/>
                <w:szCs w:val="24"/>
              </w:rPr>
            </w:pPr>
            <w:r w:rsidRPr="00E9693C">
              <w:rPr>
                <w:sz w:val="24"/>
                <w:szCs w:val="24"/>
              </w:rPr>
              <w:t>0</w:t>
            </w:r>
          </w:p>
        </w:tc>
        <w:tc>
          <w:tcPr>
            <w:tcW w:w="1029" w:type="dxa"/>
          </w:tcPr>
          <w:p w14:paraId="6896159F" w14:textId="77777777" w:rsidR="00CF0E2D" w:rsidRPr="00E9693C" w:rsidRDefault="00CF0E2D" w:rsidP="00A60D4B">
            <w:pPr>
              <w:spacing w:after="0"/>
              <w:jc w:val="right"/>
              <w:rPr>
                <w:b/>
                <w:sz w:val="24"/>
                <w:szCs w:val="24"/>
              </w:rPr>
            </w:pPr>
            <w:r w:rsidRPr="00E9693C">
              <w:rPr>
                <w:b/>
                <w:sz w:val="24"/>
                <w:szCs w:val="24"/>
              </w:rPr>
              <w:t>-2,694</w:t>
            </w:r>
          </w:p>
        </w:tc>
      </w:tr>
      <w:tr w:rsidR="00CF0E2D" w:rsidRPr="00D31CD8" w14:paraId="37DB6D48" w14:textId="77777777" w:rsidTr="00A60D4B">
        <w:trPr>
          <w:cantSplit/>
          <w:trHeight w:val="107"/>
          <w:jc w:val="center"/>
        </w:trPr>
        <w:tc>
          <w:tcPr>
            <w:tcW w:w="3652" w:type="dxa"/>
            <w:tcBorders>
              <w:top w:val="single" w:sz="4" w:space="0" w:color="auto"/>
              <w:bottom w:val="single" w:sz="4" w:space="0" w:color="auto"/>
            </w:tcBorders>
          </w:tcPr>
          <w:p w14:paraId="7FC6F840" w14:textId="77777777" w:rsidR="00CF0E2D" w:rsidRPr="00E9693C" w:rsidRDefault="00CF0E2D" w:rsidP="00A60D4B">
            <w:pPr>
              <w:spacing w:after="0"/>
              <w:ind w:left="321" w:hanging="321"/>
              <w:rPr>
                <w:b/>
                <w:sz w:val="24"/>
                <w:szCs w:val="24"/>
              </w:rPr>
            </w:pPr>
            <w:r w:rsidRPr="00E9693C">
              <w:rPr>
                <w:b/>
                <w:sz w:val="24"/>
                <w:szCs w:val="24"/>
              </w:rPr>
              <w:t>Net cost of services</w:t>
            </w:r>
          </w:p>
        </w:tc>
        <w:tc>
          <w:tcPr>
            <w:tcW w:w="1179" w:type="dxa"/>
            <w:tcBorders>
              <w:top w:val="single" w:sz="4" w:space="0" w:color="auto"/>
              <w:bottom w:val="single" w:sz="4" w:space="0" w:color="auto"/>
            </w:tcBorders>
          </w:tcPr>
          <w:p w14:paraId="0F2EB6F3" w14:textId="77777777" w:rsidR="00CF0E2D" w:rsidRPr="00E9693C" w:rsidRDefault="00CF0E2D" w:rsidP="00A60D4B">
            <w:pPr>
              <w:spacing w:after="0"/>
              <w:jc w:val="right"/>
              <w:rPr>
                <w:b/>
                <w:sz w:val="24"/>
                <w:szCs w:val="24"/>
              </w:rPr>
            </w:pPr>
            <w:r w:rsidRPr="00E9693C">
              <w:rPr>
                <w:b/>
                <w:sz w:val="24"/>
                <w:szCs w:val="24"/>
              </w:rPr>
              <w:t>3,528</w:t>
            </w:r>
          </w:p>
        </w:tc>
        <w:tc>
          <w:tcPr>
            <w:tcW w:w="1041" w:type="dxa"/>
            <w:tcBorders>
              <w:top w:val="single" w:sz="4" w:space="0" w:color="auto"/>
              <w:bottom w:val="single" w:sz="4" w:space="0" w:color="auto"/>
            </w:tcBorders>
          </w:tcPr>
          <w:p w14:paraId="0E2D39F5" w14:textId="77777777" w:rsidR="00CF0E2D" w:rsidRPr="00E9693C" w:rsidRDefault="00CF0E2D" w:rsidP="00A60D4B">
            <w:pPr>
              <w:spacing w:after="0"/>
              <w:jc w:val="right"/>
              <w:rPr>
                <w:b/>
                <w:sz w:val="24"/>
                <w:szCs w:val="24"/>
              </w:rPr>
            </w:pPr>
            <w:r w:rsidRPr="00E9693C">
              <w:rPr>
                <w:b/>
                <w:sz w:val="24"/>
                <w:szCs w:val="24"/>
              </w:rPr>
              <w:t>0</w:t>
            </w:r>
          </w:p>
        </w:tc>
        <w:tc>
          <w:tcPr>
            <w:tcW w:w="1029" w:type="dxa"/>
            <w:tcBorders>
              <w:top w:val="single" w:sz="4" w:space="0" w:color="auto"/>
              <w:bottom w:val="single" w:sz="4" w:space="0" w:color="auto"/>
            </w:tcBorders>
          </w:tcPr>
          <w:p w14:paraId="78152FE3" w14:textId="77777777" w:rsidR="00CF0E2D" w:rsidRPr="00E9693C" w:rsidRDefault="00CF0E2D" w:rsidP="00A60D4B">
            <w:pPr>
              <w:spacing w:after="0"/>
              <w:jc w:val="right"/>
              <w:rPr>
                <w:b/>
                <w:sz w:val="24"/>
                <w:szCs w:val="24"/>
              </w:rPr>
            </w:pPr>
            <w:r w:rsidRPr="00E9693C">
              <w:rPr>
                <w:b/>
                <w:sz w:val="24"/>
                <w:szCs w:val="24"/>
              </w:rPr>
              <w:t>0</w:t>
            </w:r>
          </w:p>
        </w:tc>
        <w:tc>
          <w:tcPr>
            <w:tcW w:w="1029" w:type="dxa"/>
            <w:tcBorders>
              <w:top w:val="single" w:sz="4" w:space="0" w:color="auto"/>
              <w:bottom w:val="single" w:sz="4" w:space="0" w:color="auto"/>
            </w:tcBorders>
          </w:tcPr>
          <w:p w14:paraId="5FDB0708" w14:textId="77777777" w:rsidR="00CF0E2D" w:rsidRPr="00E9693C" w:rsidRDefault="00CF0E2D" w:rsidP="00A60D4B">
            <w:pPr>
              <w:spacing w:after="0"/>
              <w:jc w:val="right"/>
              <w:rPr>
                <w:b/>
                <w:sz w:val="24"/>
                <w:szCs w:val="24"/>
              </w:rPr>
            </w:pPr>
            <w:r w:rsidRPr="00E9693C">
              <w:rPr>
                <w:b/>
                <w:sz w:val="24"/>
                <w:szCs w:val="24"/>
              </w:rPr>
              <w:t>0</w:t>
            </w:r>
          </w:p>
        </w:tc>
        <w:tc>
          <w:tcPr>
            <w:tcW w:w="1029" w:type="dxa"/>
            <w:tcBorders>
              <w:top w:val="single" w:sz="4" w:space="0" w:color="auto"/>
              <w:bottom w:val="single" w:sz="4" w:space="0" w:color="auto"/>
            </w:tcBorders>
          </w:tcPr>
          <w:p w14:paraId="70A9A993" w14:textId="77777777" w:rsidR="00CF0E2D" w:rsidRPr="00E9693C" w:rsidRDefault="00CF0E2D" w:rsidP="00A60D4B">
            <w:pPr>
              <w:spacing w:after="0"/>
              <w:jc w:val="right"/>
              <w:rPr>
                <w:b/>
                <w:sz w:val="24"/>
                <w:szCs w:val="24"/>
              </w:rPr>
            </w:pPr>
            <w:r w:rsidRPr="00E9693C">
              <w:rPr>
                <w:b/>
                <w:sz w:val="24"/>
                <w:szCs w:val="24"/>
              </w:rPr>
              <w:t>3,528</w:t>
            </w:r>
          </w:p>
        </w:tc>
      </w:tr>
    </w:tbl>
    <w:p w14:paraId="77FC26D0" w14:textId="77777777" w:rsidR="00CF0E2D" w:rsidRDefault="00CF0E2D" w:rsidP="00A60D4B">
      <w:pPr>
        <w:pStyle w:val="Bbodytext"/>
      </w:pPr>
      <w:r w:rsidRPr="00D31CD8">
        <w:t>The Government will extend short-term contracts into 2021-22 for critical positions currently supported through the Jobs for Canberrans Fund</w:t>
      </w:r>
      <w:r>
        <w:t xml:space="preserve"> until the end of 2021</w:t>
      </w:r>
      <w:r w:rsidRPr="00D31CD8">
        <w:t xml:space="preserve">. </w:t>
      </w:r>
    </w:p>
    <w:p w14:paraId="1F69FA97" w14:textId="77777777" w:rsidR="00CF0E2D" w:rsidRPr="00D31CD8" w:rsidRDefault="00CF0E2D" w:rsidP="00A60D4B">
      <w:pPr>
        <w:pStyle w:val="Bbodytext"/>
      </w:pPr>
      <w:r w:rsidRPr="00D31CD8">
        <w:t>The Government established the Jobs for Canberrans Fund to allow the ACT Public Service to employ additional workers on short-term contracts to help deliver projects and programs of benefit to the Canberra community during the COVID-19 pandemic. The costs of exten</w:t>
      </w:r>
      <w:r>
        <w:t>ding</w:t>
      </w:r>
      <w:r w:rsidRPr="00D31CD8">
        <w:t xml:space="preserve"> this initiative will be partially met from resources previously committed to the Jobs for Canberrans Fund.</w:t>
      </w:r>
    </w:p>
    <w:p w14:paraId="3FBF449A" w14:textId="77777777" w:rsidR="00CF0E2D" w:rsidRDefault="00CF0E2D" w:rsidP="00A60D4B">
      <w:pPr>
        <w:pStyle w:val="Bbodytext"/>
      </w:pPr>
      <w:r w:rsidRPr="00D31CD8">
        <w:t>This initiative contributes to the wellbeing domains of Living standards and Economy.</w:t>
      </w:r>
    </w:p>
    <w:p w14:paraId="27B7A84E" w14:textId="77777777" w:rsidR="00CF0E2D" w:rsidRDefault="00CF0E2D" w:rsidP="00A60D4B">
      <w:pPr>
        <w:pStyle w:val="Bbodytext"/>
        <w:rPr>
          <w:rFonts w:ascii="Calibri" w:eastAsia="Times New Roman" w:hAnsi="Calibri" w:cs="Times New Roman"/>
          <w:szCs w:val="20"/>
        </w:rPr>
      </w:pPr>
      <w:r>
        <w:rPr>
          <w:noProof/>
        </w:rPr>
        <w:drawing>
          <wp:anchor distT="0" distB="0" distL="114300" distR="114300" simplePos="0" relativeHeight="251744256" behindDoc="0" locked="1" layoutInCell="1" allowOverlap="1" wp14:anchorId="7428D963" wp14:editId="5E289968">
            <wp:simplePos x="0" y="0"/>
            <wp:positionH relativeFrom="margin">
              <wp:posOffset>4330700</wp:posOffset>
            </wp:positionH>
            <wp:positionV relativeFrom="paragraph">
              <wp:posOffset>140970</wp:posOffset>
            </wp:positionV>
            <wp:extent cx="1378585" cy="507365"/>
            <wp:effectExtent l="0" t="0" r="0" b="6985"/>
            <wp:wrapSquare wrapText="bothSides"/>
            <wp:docPr id="259" name="Picture 259"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p w14:paraId="4BC08271" w14:textId="77777777" w:rsidR="00CF0E2D" w:rsidRDefault="00CF0E2D" w:rsidP="00A60D4B">
      <w:pPr>
        <w:pStyle w:val="Heading4"/>
      </w:pPr>
      <w:r>
        <w:t>Digitising Government services</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34323" w14:paraId="1F3FD4D7" w14:textId="77777777" w:rsidTr="00A60D4B">
        <w:trPr>
          <w:cantSplit/>
          <w:jc w:val="center"/>
        </w:trPr>
        <w:tc>
          <w:tcPr>
            <w:tcW w:w="3652" w:type="dxa"/>
            <w:tcBorders>
              <w:top w:val="single" w:sz="4" w:space="0" w:color="auto"/>
              <w:bottom w:val="single" w:sz="4" w:space="0" w:color="auto"/>
            </w:tcBorders>
          </w:tcPr>
          <w:p w14:paraId="3358F52E" w14:textId="77777777" w:rsidR="00CF0E2D" w:rsidRPr="00934323" w:rsidRDefault="00CF0E2D" w:rsidP="00A60D4B">
            <w:pPr>
              <w:pStyle w:val="EmptyCell0"/>
            </w:pPr>
            <w:bookmarkStart w:id="33" w:name="_Hlk83542722"/>
            <w:bookmarkEnd w:id="33"/>
            <w:r w:rsidRPr="00442CF1">
              <w:rPr>
                <w:noProof/>
              </w:rPr>
              <w:t xml:space="preserve"> </w:t>
            </w:r>
            <w:r w:rsidRPr="00934323">
              <w:t>Empty Cell</w:t>
            </w:r>
          </w:p>
        </w:tc>
        <w:tc>
          <w:tcPr>
            <w:tcW w:w="1179" w:type="dxa"/>
            <w:tcBorders>
              <w:top w:val="single" w:sz="4" w:space="0" w:color="auto"/>
              <w:bottom w:val="single" w:sz="4" w:space="0" w:color="auto"/>
            </w:tcBorders>
          </w:tcPr>
          <w:p w14:paraId="76C2AE2A" w14:textId="77777777" w:rsidR="00CF0E2D" w:rsidRPr="005F182D" w:rsidRDefault="00CF0E2D" w:rsidP="00A60D4B">
            <w:pPr>
              <w:pStyle w:val="InitFigR"/>
              <w:rPr>
                <w:b/>
                <w:bCs/>
              </w:rPr>
            </w:pPr>
            <w:r w:rsidRPr="005F182D">
              <w:rPr>
                <w:b/>
                <w:bCs/>
              </w:rPr>
              <w:t>2021-22</w:t>
            </w:r>
          </w:p>
          <w:p w14:paraId="25A073E6" w14:textId="77777777" w:rsidR="00CF0E2D" w:rsidRPr="005F182D" w:rsidRDefault="00CF0E2D" w:rsidP="00A60D4B">
            <w:pPr>
              <w:pStyle w:val="InitFigR"/>
              <w:rPr>
                <w:b/>
                <w:bCs/>
              </w:rPr>
            </w:pPr>
            <w:r w:rsidRPr="005F182D">
              <w:rPr>
                <w:b/>
                <w:bCs/>
              </w:rPr>
              <w:t>$’000</w:t>
            </w:r>
          </w:p>
        </w:tc>
        <w:tc>
          <w:tcPr>
            <w:tcW w:w="1041" w:type="dxa"/>
            <w:tcBorders>
              <w:top w:val="single" w:sz="4" w:space="0" w:color="auto"/>
              <w:bottom w:val="single" w:sz="4" w:space="0" w:color="auto"/>
            </w:tcBorders>
          </w:tcPr>
          <w:p w14:paraId="178B151A" w14:textId="77777777" w:rsidR="00CF0E2D" w:rsidRPr="005F182D" w:rsidRDefault="00CF0E2D" w:rsidP="00A60D4B">
            <w:pPr>
              <w:pStyle w:val="InitFigR"/>
              <w:rPr>
                <w:b/>
                <w:bCs/>
              </w:rPr>
            </w:pPr>
            <w:r w:rsidRPr="005F182D">
              <w:rPr>
                <w:b/>
                <w:bCs/>
              </w:rPr>
              <w:t>2022-23</w:t>
            </w:r>
          </w:p>
          <w:p w14:paraId="4DB5320E" w14:textId="77777777" w:rsidR="00CF0E2D" w:rsidRPr="005F182D" w:rsidRDefault="00CF0E2D" w:rsidP="00A60D4B">
            <w:pPr>
              <w:pStyle w:val="InitFigR"/>
              <w:rPr>
                <w:b/>
                <w:bCs/>
              </w:rPr>
            </w:pPr>
            <w:r w:rsidRPr="005F182D">
              <w:rPr>
                <w:b/>
                <w:bCs/>
              </w:rPr>
              <w:t>$’000</w:t>
            </w:r>
          </w:p>
        </w:tc>
        <w:tc>
          <w:tcPr>
            <w:tcW w:w="1029" w:type="dxa"/>
            <w:tcBorders>
              <w:top w:val="single" w:sz="4" w:space="0" w:color="auto"/>
              <w:bottom w:val="single" w:sz="4" w:space="0" w:color="auto"/>
            </w:tcBorders>
          </w:tcPr>
          <w:p w14:paraId="3B4E11FC" w14:textId="77777777" w:rsidR="00CF0E2D" w:rsidRPr="005F182D" w:rsidRDefault="00CF0E2D" w:rsidP="00A60D4B">
            <w:pPr>
              <w:pStyle w:val="InitFigR"/>
              <w:rPr>
                <w:b/>
                <w:bCs/>
              </w:rPr>
            </w:pPr>
            <w:r w:rsidRPr="005F182D">
              <w:rPr>
                <w:b/>
                <w:bCs/>
              </w:rPr>
              <w:t>2023-24</w:t>
            </w:r>
          </w:p>
          <w:p w14:paraId="3D14D4A7" w14:textId="77777777" w:rsidR="00CF0E2D" w:rsidRPr="005F182D" w:rsidRDefault="00CF0E2D" w:rsidP="00A60D4B">
            <w:pPr>
              <w:pStyle w:val="InitFigR"/>
              <w:rPr>
                <w:b/>
                <w:bCs/>
              </w:rPr>
            </w:pPr>
            <w:r w:rsidRPr="005F182D">
              <w:rPr>
                <w:b/>
                <w:bCs/>
              </w:rPr>
              <w:t>$’000</w:t>
            </w:r>
          </w:p>
        </w:tc>
        <w:tc>
          <w:tcPr>
            <w:tcW w:w="1029" w:type="dxa"/>
            <w:tcBorders>
              <w:top w:val="single" w:sz="4" w:space="0" w:color="auto"/>
              <w:bottom w:val="single" w:sz="4" w:space="0" w:color="auto"/>
            </w:tcBorders>
          </w:tcPr>
          <w:p w14:paraId="632ED7EB" w14:textId="77777777" w:rsidR="00CF0E2D" w:rsidRPr="005F182D" w:rsidRDefault="00CF0E2D" w:rsidP="00A60D4B">
            <w:pPr>
              <w:pStyle w:val="InitFigR"/>
              <w:rPr>
                <w:b/>
                <w:bCs/>
              </w:rPr>
            </w:pPr>
            <w:r w:rsidRPr="005F182D">
              <w:rPr>
                <w:b/>
                <w:bCs/>
              </w:rPr>
              <w:t>2024-25</w:t>
            </w:r>
          </w:p>
          <w:p w14:paraId="171E36A1" w14:textId="77777777" w:rsidR="00CF0E2D" w:rsidRPr="005F182D" w:rsidRDefault="00CF0E2D" w:rsidP="00A60D4B">
            <w:pPr>
              <w:pStyle w:val="InitFigR"/>
              <w:rPr>
                <w:b/>
                <w:bCs/>
              </w:rPr>
            </w:pPr>
            <w:r w:rsidRPr="005F182D">
              <w:rPr>
                <w:b/>
                <w:bCs/>
              </w:rPr>
              <w:t>$’000</w:t>
            </w:r>
          </w:p>
        </w:tc>
        <w:tc>
          <w:tcPr>
            <w:tcW w:w="1029" w:type="dxa"/>
            <w:tcBorders>
              <w:top w:val="single" w:sz="4" w:space="0" w:color="auto"/>
              <w:bottom w:val="single" w:sz="4" w:space="0" w:color="auto"/>
            </w:tcBorders>
          </w:tcPr>
          <w:p w14:paraId="7D22734F" w14:textId="77777777" w:rsidR="00CF0E2D" w:rsidRPr="00934323" w:rsidRDefault="00CF0E2D" w:rsidP="00A60D4B">
            <w:pPr>
              <w:pStyle w:val="InitFigRBold"/>
            </w:pPr>
            <w:r w:rsidRPr="00934323">
              <w:t>Total</w:t>
            </w:r>
          </w:p>
          <w:p w14:paraId="2DAEA013" w14:textId="77777777" w:rsidR="00CF0E2D" w:rsidRPr="00934323" w:rsidRDefault="00CF0E2D" w:rsidP="00A60D4B">
            <w:pPr>
              <w:pStyle w:val="InitFigBR"/>
            </w:pPr>
            <w:r w:rsidRPr="00934323">
              <w:t>$’000</w:t>
            </w:r>
          </w:p>
        </w:tc>
      </w:tr>
      <w:tr w:rsidR="00CF0E2D" w:rsidRPr="00934323" w14:paraId="28D92A7D" w14:textId="77777777" w:rsidTr="00A60D4B">
        <w:trPr>
          <w:cantSplit/>
          <w:jc w:val="center"/>
        </w:trPr>
        <w:tc>
          <w:tcPr>
            <w:tcW w:w="3652" w:type="dxa"/>
            <w:tcBorders>
              <w:top w:val="single" w:sz="4" w:space="0" w:color="auto"/>
            </w:tcBorders>
          </w:tcPr>
          <w:p w14:paraId="6ED51112" w14:textId="77777777" w:rsidR="00CF0E2D" w:rsidRPr="005F182D" w:rsidRDefault="00CF0E2D" w:rsidP="00A60D4B">
            <w:pPr>
              <w:pStyle w:val="InitTextL"/>
              <w:ind w:left="321" w:hanging="321"/>
            </w:pPr>
            <w:r w:rsidRPr="005F182D">
              <w:t>Capital</w:t>
            </w:r>
          </w:p>
        </w:tc>
        <w:tc>
          <w:tcPr>
            <w:tcW w:w="1179" w:type="dxa"/>
            <w:tcBorders>
              <w:top w:val="single" w:sz="4" w:space="0" w:color="auto"/>
            </w:tcBorders>
            <w:vAlign w:val="center"/>
          </w:tcPr>
          <w:p w14:paraId="7EFCDEFD" w14:textId="77777777" w:rsidR="00CF0E2D" w:rsidRPr="005F182D" w:rsidRDefault="00CF0E2D" w:rsidP="00A60D4B">
            <w:pPr>
              <w:pStyle w:val="InitFigR"/>
            </w:pPr>
            <w:r>
              <w:rPr>
                <w:rFonts w:cs="Calibri"/>
                <w:color w:val="000000"/>
              </w:rPr>
              <w:t>10,222</w:t>
            </w:r>
          </w:p>
        </w:tc>
        <w:tc>
          <w:tcPr>
            <w:tcW w:w="1041" w:type="dxa"/>
            <w:tcBorders>
              <w:top w:val="single" w:sz="4" w:space="0" w:color="auto"/>
            </w:tcBorders>
            <w:vAlign w:val="center"/>
          </w:tcPr>
          <w:p w14:paraId="46038F10" w14:textId="77777777" w:rsidR="00CF0E2D" w:rsidRPr="005F182D" w:rsidRDefault="00CF0E2D" w:rsidP="00A60D4B">
            <w:pPr>
              <w:pStyle w:val="InitFigR"/>
            </w:pPr>
            <w:r>
              <w:rPr>
                <w:rFonts w:cs="Calibri"/>
                <w:color w:val="000000"/>
              </w:rPr>
              <w:t>1,742</w:t>
            </w:r>
          </w:p>
        </w:tc>
        <w:tc>
          <w:tcPr>
            <w:tcW w:w="1029" w:type="dxa"/>
            <w:tcBorders>
              <w:top w:val="single" w:sz="4" w:space="0" w:color="auto"/>
            </w:tcBorders>
            <w:vAlign w:val="center"/>
          </w:tcPr>
          <w:p w14:paraId="11943C18" w14:textId="77777777" w:rsidR="00CF0E2D" w:rsidRPr="005F182D" w:rsidRDefault="00CF0E2D" w:rsidP="00A60D4B">
            <w:pPr>
              <w:pStyle w:val="InitFigR"/>
            </w:pPr>
            <w:r>
              <w:rPr>
                <w:rFonts w:cs="Calibri"/>
                <w:color w:val="000000"/>
              </w:rPr>
              <w:t>0</w:t>
            </w:r>
          </w:p>
        </w:tc>
        <w:tc>
          <w:tcPr>
            <w:tcW w:w="1029" w:type="dxa"/>
            <w:tcBorders>
              <w:top w:val="single" w:sz="4" w:space="0" w:color="auto"/>
            </w:tcBorders>
            <w:vAlign w:val="center"/>
          </w:tcPr>
          <w:p w14:paraId="7ED2320B" w14:textId="77777777" w:rsidR="00CF0E2D" w:rsidRPr="005F182D" w:rsidRDefault="00CF0E2D" w:rsidP="00A60D4B">
            <w:pPr>
              <w:pStyle w:val="InitFigR"/>
            </w:pPr>
            <w:r>
              <w:rPr>
                <w:rFonts w:cs="Calibri"/>
                <w:color w:val="000000"/>
              </w:rPr>
              <w:t>0</w:t>
            </w:r>
          </w:p>
        </w:tc>
        <w:tc>
          <w:tcPr>
            <w:tcW w:w="1029" w:type="dxa"/>
            <w:tcBorders>
              <w:top w:val="single" w:sz="4" w:space="0" w:color="auto"/>
            </w:tcBorders>
            <w:vAlign w:val="center"/>
          </w:tcPr>
          <w:p w14:paraId="60D6BB38" w14:textId="77777777" w:rsidR="00CF0E2D" w:rsidRPr="00934323" w:rsidRDefault="00CF0E2D" w:rsidP="00A60D4B">
            <w:pPr>
              <w:pStyle w:val="InitFigRBold"/>
              <w:rPr>
                <w:bCs/>
              </w:rPr>
            </w:pPr>
            <w:r>
              <w:rPr>
                <w:rFonts w:cs="Calibri"/>
                <w:bCs/>
                <w:color w:val="000000"/>
              </w:rPr>
              <w:t>11,964</w:t>
            </w:r>
          </w:p>
        </w:tc>
      </w:tr>
      <w:tr w:rsidR="00CF0E2D" w:rsidRPr="00934323" w14:paraId="48FE1208" w14:textId="77777777" w:rsidTr="00A60D4B">
        <w:trPr>
          <w:cantSplit/>
          <w:jc w:val="center"/>
        </w:trPr>
        <w:tc>
          <w:tcPr>
            <w:tcW w:w="3652" w:type="dxa"/>
            <w:tcBorders>
              <w:top w:val="single" w:sz="4" w:space="0" w:color="auto"/>
            </w:tcBorders>
          </w:tcPr>
          <w:p w14:paraId="2E3FBA67" w14:textId="77777777" w:rsidR="00CF0E2D" w:rsidRPr="00934323" w:rsidRDefault="00CF0E2D" w:rsidP="00A60D4B">
            <w:pPr>
              <w:pStyle w:val="InitTextL"/>
              <w:ind w:left="321" w:hanging="321"/>
              <w:rPr>
                <w:b/>
                <w:bCs/>
              </w:rPr>
            </w:pPr>
            <w:r w:rsidRPr="00934323">
              <w:t>Depreciation</w:t>
            </w:r>
          </w:p>
        </w:tc>
        <w:tc>
          <w:tcPr>
            <w:tcW w:w="1179" w:type="dxa"/>
            <w:tcBorders>
              <w:top w:val="single" w:sz="4" w:space="0" w:color="auto"/>
            </w:tcBorders>
            <w:vAlign w:val="center"/>
          </w:tcPr>
          <w:p w14:paraId="5DDED5B6" w14:textId="77777777" w:rsidR="00CF0E2D" w:rsidRPr="00934323" w:rsidRDefault="00CF0E2D" w:rsidP="00A60D4B">
            <w:pPr>
              <w:pStyle w:val="InitFigR"/>
            </w:pPr>
            <w:r>
              <w:rPr>
                <w:rFonts w:cs="Calibri"/>
                <w:color w:val="000000"/>
              </w:rPr>
              <w:t>0</w:t>
            </w:r>
          </w:p>
        </w:tc>
        <w:tc>
          <w:tcPr>
            <w:tcW w:w="1041" w:type="dxa"/>
            <w:tcBorders>
              <w:top w:val="single" w:sz="4" w:space="0" w:color="auto"/>
            </w:tcBorders>
            <w:vAlign w:val="center"/>
          </w:tcPr>
          <w:p w14:paraId="48B98E38" w14:textId="77777777" w:rsidR="00CF0E2D" w:rsidRPr="00934323" w:rsidRDefault="00CF0E2D" w:rsidP="00A60D4B">
            <w:pPr>
              <w:pStyle w:val="InitFigR"/>
            </w:pPr>
            <w:r>
              <w:rPr>
                <w:rFonts w:cs="Calibri"/>
                <w:color w:val="000000"/>
              </w:rPr>
              <w:t>850</w:t>
            </w:r>
          </w:p>
        </w:tc>
        <w:tc>
          <w:tcPr>
            <w:tcW w:w="1029" w:type="dxa"/>
            <w:tcBorders>
              <w:top w:val="single" w:sz="4" w:space="0" w:color="auto"/>
            </w:tcBorders>
            <w:vAlign w:val="center"/>
          </w:tcPr>
          <w:p w14:paraId="1191D1CA" w14:textId="77777777" w:rsidR="00CF0E2D" w:rsidRPr="00934323" w:rsidRDefault="00CF0E2D" w:rsidP="00A60D4B">
            <w:pPr>
              <w:pStyle w:val="InitFigR"/>
            </w:pPr>
            <w:r>
              <w:rPr>
                <w:rFonts w:cs="Calibri"/>
                <w:color w:val="000000"/>
              </w:rPr>
              <w:t>1,542</w:t>
            </w:r>
          </w:p>
        </w:tc>
        <w:tc>
          <w:tcPr>
            <w:tcW w:w="1029" w:type="dxa"/>
            <w:tcBorders>
              <w:top w:val="single" w:sz="4" w:space="0" w:color="auto"/>
            </w:tcBorders>
            <w:vAlign w:val="center"/>
          </w:tcPr>
          <w:p w14:paraId="2229E4E3" w14:textId="77777777" w:rsidR="00CF0E2D" w:rsidRPr="00934323" w:rsidRDefault="00CF0E2D" w:rsidP="00A60D4B">
            <w:pPr>
              <w:pStyle w:val="InitFigR"/>
            </w:pPr>
            <w:r>
              <w:rPr>
                <w:rFonts w:cs="Calibri"/>
                <w:color w:val="000000"/>
              </w:rPr>
              <w:t>1,542</w:t>
            </w:r>
          </w:p>
        </w:tc>
        <w:tc>
          <w:tcPr>
            <w:tcW w:w="1029" w:type="dxa"/>
            <w:tcBorders>
              <w:top w:val="single" w:sz="4" w:space="0" w:color="auto"/>
            </w:tcBorders>
            <w:vAlign w:val="center"/>
          </w:tcPr>
          <w:p w14:paraId="3C3E9C47" w14:textId="77777777" w:rsidR="00CF0E2D" w:rsidRPr="00934323" w:rsidRDefault="00CF0E2D" w:rsidP="00A60D4B">
            <w:pPr>
              <w:pStyle w:val="InitFigRBold"/>
              <w:rPr>
                <w:bCs/>
              </w:rPr>
            </w:pPr>
            <w:r>
              <w:rPr>
                <w:rFonts w:cs="Calibri"/>
                <w:bCs/>
                <w:color w:val="000000"/>
              </w:rPr>
              <w:t>3,934</w:t>
            </w:r>
          </w:p>
        </w:tc>
      </w:tr>
      <w:tr w:rsidR="00CF0E2D" w:rsidRPr="00934323" w14:paraId="2C58CF12" w14:textId="77777777" w:rsidTr="00A60D4B">
        <w:trPr>
          <w:cantSplit/>
          <w:jc w:val="center"/>
        </w:trPr>
        <w:tc>
          <w:tcPr>
            <w:tcW w:w="3652" w:type="dxa"/>
          </w:tcPr>
          <w:p w14:paraId="56068643" w14:textId="77777777" w:rsidR="00CF0E2D" w:rsidRPr="00934323" w:rsidRDefault="00CF0E2D" w:rsidP="00A60D4B">
            <w:pPr>
              <w:pStyle w:val="InitTextL"/>
              <w:ind w:left="321" w:hanging="321"/>
            </w:pPr>
            <w:r w:rsidRPr="00934323">
              <w:t>Expenses</w:t>
            </w:r>
          </w:p>
        </w:tc>
        <w:tc>
          <w:tcPr>
            <w:tcW w:w="1179" w:type="dxa"/>
            <w:vAlign w:val="center"/>
          </w:tcPr>
          <w:p w14:paraId="53598B82" w14:textId="77777777" w:rsidR="00CF0E2D" w:rsidRPr="00934323" w:rsidRDefault="00CF0E2D" w:rsidP="00A60D4B">
            <w:pPr>
              <w:pStyle w:val="InitFigR"/>
            </w:pPr>
            <w:r>
              <w:rPr>
                <w:rFonts w:cs="Calibri"/>
                <w:color w:val="000000"/>
              </w:rPr>
              <w:t>3,343</w:t>
            </w:r>
          </w:p>
        </w:tc>
        <w:tc>
          <w:tcPr>
            <w:tcW w:w="1041" w:type="dxa"/>
            <w:vAlign w:val="center"/>
          </w:tcPr>
          <w:p w14:paraId="2D49EBE5" w14:textId="77777777" w:rsidR="00CF0E2D" w:rsidRPr="00934323" w:rsidRDefault="00CF0E2D" w:rsidP="00A60D4B">
            <w:pPr>
              <w:pStyle w:val="InitFigR"/>
            </w:pPr>
            <w:r>
              <w:rPr>
                <w:rFonts w:cs="Calibri"/>
                <w:color w:val="000000"/>
              </w:rPr>
              <w:t>2,452</w:t>
            </w:r>
          </w:p>
        </w:tc>
        <w:tc>
          <w:tcPr>
            <w:tcW w:w="1029" w:type="dxa"/>
            <w:vAlign w:val="center"/>
          </w:tcPr>
          <w:p w14:paraId="07EB78BA" w14:textId="77777777" w:rsidR="00CF0E2D" w:rsidRPr="00934323" w:rsidRDefault="00CF0E2D" w:rsidP="00A60D4B">
            <w:pPr>
              <w:pStyle w:val="InitFigR"/>
            </w:pPr>
            <w:r>
              <w:rPr>
                <w:rFonts w:cs="Calibri"/>
                <w:color w:val="000000"/>
              </w:rPr>
              <w:t>2,510</w:t>
            </w:r>
          </w:p>
        </w:tc>
        <w:tc>
          <w:tcPr>
            <w:tcW w:w="1029" w:type="dxa"/>
            <w:vAlign w:val="center"/>
          </w:tcPr>
          <w:p w14:paraId="6F832473" w14:textId="77777777" w:rsidR="00CF0E2D" w:rsidRPr="00934323" w:rsidRDefault="00CF0E2D" w:rsidP="00A60D4B">
            <w:pPr>
              <w:pStyle w:val="InitFigR"/>
            </w:pPr>
            <w:r>
              <w:rPr>
                <w:rFonts w:cs="Calibri"/>
                <w:color w:val="000000"/>
              </w:rPr>
              <w:t>2,573</w:t>
            </w:r>
          </w:p>
        </w:tc>
        <w:tc>
          <w:tcPr>
            <w:tcW w:w="1029" w:type="dxa"/>
            <w:vAlign w:val="center"/>
          </w:tcPr>
          <w:p w14:paraId="151A486A" w14:textId="77777777" w:rsidR="00CF0E2D" w:rsidRPr="00934323" w:rsidRDefault="00CF0E2D" w:rsidP="00A60D4B">
            <w:pPr>
              <w:pStyle w:val="InitFigBR"/>
            </w:pPr>
            <w:r>
              <w:rPr>
                <w:rFonts w:cs="Calibri"/>
                <w:bCs/>
                <w:color w:val="000000"/>
              </w:rPr>
              <w:t>10,878</w:t>
            </w:r>
          </w:p>
        </w:tc>
      </w:tr>
      <w:tr w:rsidR="00CF0E2D" w:rsidRPr="00934323" w14:paraId="13CE898C" w14:textId="77777777" w:rsidTr="00A60D4B">
        <w:trPr>
          <w:cantSplit/>
          <w:jc w:val="center"/>
        </w:trPr>
        <w:tc>
          <w:tcPr>
            <w:tcW w:w="3652" w:type="dxa"/>
          </w:tcPr>
          <w:p w14:paraId="660CA0BB" w14:textId="77777777" w:rsidR="00CF0E2D" w:rsidRPr="00934323" w:rsidRDefault="00CF0E2D" w:rsidP="00A60D4B">
            <w:pPr>
              <w:pStyle w:val="InitTextL"/>
              <w:ind w:left="321" w:hanging="321"/>
            </w:pPr>
            <w:r w:rsidRPr="00934323">
              <w:t>Expenses – Provision</w:t>
            </w:r>
          </w:p>
        </w:tc>
        <w:tc>
          <w:tcPr>
            <w:tcW w:w="1179" w:type="dxa"/>
          </w:tcPr>
          <w:p w14:paraId="0D7F12CF" w14:textId="77777777" w:rsidR="00CF0E2D" w:rsidRPr="00934323" w:rsidRDefault="00CF0E2D" w:rsidP="00A60D4B">
            <w:pPr>
              <w:pStyle w:val="InitFigR"/>
            </w:pPr>
            <w:r w:rsidRPr="00934323">
              <w:t>0</w:t>
            </w:r>
          </w:p>
        </w:tc>
        <w:tc>
          <w:tcPr>
            <w:tcW w:w="1041" w:type="dxa"/>
          </w:tcPr>
          <w:p w14:paraId="5F013FC0" w14:textId="77777777" w:rsidR="00CF0E2D" w:rsidRPr="00934323" w:rsidRDefault="00CF0E2D" w:rsidP="00A60D4B">
            <w:pPr>
              <w:pStyle w:val="InitFigR"/>
            </w:pPr>
            <w:r w:rsidRPr="00934323">
              <w:t>1,035</w:t>
            </w:r>
          </w:p>
        </w:tc>
        <w:tc>
          <w:tcPr>
            <w:tcW w:w="1029" w:type="dxa"/>
          </w:tcPr>
          <w:p w14:paraId="4DF79D90" w14:textId="77777777" w:rsidR="00CF0E2D" w:rsidRPr="00934323" w:rsidRDefault="00CF0E2D" w:rsidP="00A60D4B">
            <w:pPr>
              <w:pStyle w:val="InitFigR"/>
            </w:pPr>
            <w:r w:rsidRPr="00934323">
              <w:t>1,053</w:t>
            </w:r>
          </w:p>
        </w:tc>
        <w:tc>
          <w:tcPr>
            <w:tcW w:w="1029" w:type="dxa"/>
          </w:tcPr>
          <w:p w14:paraId="2F647DF9" w14:textId="77777777" w:rsidR="00CF0E2D" w:rsidRPr="00934323" w:rsidRDefault="00CF0E2D" w:rsidP="00A60D4B">
            <w:pPr>
              <w:pStyle w:val="InitFigR"/>
            </w:pPr>
            <w:r w:rsidRPr="00934323">
              <w:t>1,074</w:t>
            </w:r>
          </w:p>
        </w:tc>
        <w:tc>
          <w:tcPr>
            <w:tcW w:w="1029" w:type="dxa"/>
          </w:tcPr>
          <w:p w14:paraId="3D417912" w14:textId="77777777" w:rsidR="00CF0E2D" w:rsidRPr="00934323" w:rsidRDefault="00CF0E2D" w:rsidP="00A60D4B">
            <w:pPr>
              <w:pStyle w:val="InitFigBR"/>
            </w:pPr>
            <w:r w:rsidRPr="00934323">
              <w:t>3,162</w:t>
            </w:r>
          </w:p>
        </w:tc>
      </w:tr>
      <w:tr w:rsidR="00CF0E2D" w:rsidRPr="00934323" w14:paraId="703C08B7" w14:textId="77777777" w:rsidTr="00A60D4B">
        <w:trPr>
          <w:cantSplit/>
          <w:trHeight w:val="107"/>
          <w:jc w:val="center"/>
        </w:trPr>
        <w:tc>
          <w:tcPr>
            <w:tcW w:w="3652" w:type="dxa"/>
          </w:tcPr>
          <w:p w14:paraId="757F89D0" w14:textId="77777777" w:rsidR="00CF0E2D" w:rsidRPr="00934323" w:rsidRDefault="00CF0E2D" w:rsidP="00A60D4B">
            <w:pPr>
              <w:pStyle w:val="InitTextL"/>
              <w:ind w:left="321" w:hanging="321"/>
            </w:pPr>
            <w:r>
              <w:t xml:space="preserve">Offset – </w:t>
            </w:r>
            <w:r w:rsidRPr="00934323">
              <w:t xml:space="preserve">Revenue – Provision </w:t>
            </w:r>
          </w:p>
        </w:tc>
        <w:tc>
          <w:tcPr>
            <w:tcW w:w="1179" w:type="dxa"/>
          </w:tcPr>
          <w:p w14:paraId="38D6D51E" w14:textId="77777777" w:rsidR="00CF0E2D" w:rsidRPr="00934323" w:rsidRDefault="00CF0E2D" w:rsidP="00A60D4B">
            <w:pPr>
              <w:pStyle w:val="InitFigR"/>
            </w:pPr>
            <w:r w:rsidRPr="00934323">
              <w:t>0</w:t>
            </w:r>
          </w:p>
        </w:tc>
        <w:tc>
          <w:tcPr>
            <w:tcW w:w="1041" w:type="dxa"/>
          </w:tcPr>
          <w:p w14:paraId="24BAB0C0" w14:textId="77777777" w:rsidR="00CF0E2D" w:rsidRPr="00934323" w:rsidRDefault="00CF0E2D" w:rsidP="00A60D4B">
            <w:pPr>
              <w:pStyle w:val="InitFigR"/>
            </w:pPr>
            <w:r>
              <w:t>-</w:t>
            </w:r>
            <w:r w:rsidRPr="00934323">
              <w:t>1,035</w:t>
            </w:r>
          </w:p>
        </w:tc>
        <w:tc>
          <w:tcPr>
            <w:tcW w:w="1029" w:type="dxa"/>
          </w:tcPr>
          <w:p w14:paraId="291B68DA" w14:textId="77777777" w:rsidR="00CF0E2D" w:rsidRPr="00934323" w:rsidRDefault="00CF0E2D" w:rsidP="00A60D4B">
            <w:pPr>
              <w:pStyle w:val="InitFigR"/>
            </w:pPr>
            <w:r>
              <w:t>-</w:t>
            </w:r>
            <w:r w:rsidRPr="00934323">
              <w:t>1,053</w:t>
            </w:r>
          </w:p>
        </w:tc>
        <w:tc>
          <w:tcPr>
            <w:tcW w:w="1029" w:type="dxa"/>
          </w:tcPr>
          <w:p w14:paraId="1B924864" w14:textId="77777777" w:rsidR="00CF0E2D" w:rsidRPr="00934323" w:rsidRDefault="00CF0E2D" w:rsidP="00A60D4B">
            <w:pPr>
              <w:pStyle w:val="InitFigR"/>
            </w:pPr>
            <w:r>
              <w:t>-</w:t>
            </w:r>
            <w:r w:rsidRPr="00934323">
              <w:t>1,074</w:t>
            </w:r>
          </w:p>
        </w:tc>
        <w:tc>
          <w:tcPr>
            <w:tcW w:w="1029" w:type="dxa"/>
          </w:tcPr>
          <w:p w14:paraId="55EFEBF5" w14:textId="77777777" w:rsidR="00CF0E2D" w:rsidRPr="00934323" w:rsidRDefault="00CF0E2D" w:rsidP="00A60D4B">
            <w:pPr>
              <w:pStyle w:val="InitFigBR"/>
            </w:pPr>
            <w:r>
              <w:t>-</w:t>
            </w:r>
            <w:r w:rsidRPr="00934323">
              <w:t>3,162</w:t>
            </w:r>
          </w:p>
        </w:tc>
      </w:tr>
      <w:tr w:rsidR="00CF0E2D" w:rsidRPr="00934323" w14:paraId="6948942B" w14:textId="77777777" w:rsidTr="00A60D4B">
        <w:trPr>
          <w:cantSplit/>
          <w:trHeight w:val="107"/>
          <w:jc w:val="center"/>
        </w:trPr>
        <w:tc>
          <w:tcPr>
            <w:tcW w:w="3652" w:type="dxa"/>
            <w:tcBorders>
              <w:top w:val="single" w:sz="4" w:space="0" w:color="auto"/>
              <w:bottom w:val="single" w:sz="4" w:space="0" w:color="auto"/>
            </w:tcBorders>
          </w:tcPr>
          <w:p w14:paraId="4A275834" w14:textId="77777777" w:rsidR="00CF0E2D" w:rsidRPr="00934323" w:rsidRDefault="00CF0E2D" w:rsidP="00A60D4B">
            <w:pPr>
              <w:pStyle w:val="InitFigLBold"/>
              <w:ind w:left="321" w:hanging="321"/>
            </w:pPr>
            <w:r w:rsidRPr="00934323">
              <w:t>Net cost of services</w:t>
            </w:r>
          </w:p>
        </w:tc>
        <w:tc>
          <w:tcPr>
            <w:tcW w:w="1179" w:type="dxa"/>
            <w:tcBorders>
              <w:top w:val="single" w:sz="4" w:space="0" w:color="auto"/>
              <w:bottom w:val="single" w:sz="4" w:space="0" w:color="auto"/>
            </w:tcBorders>
            <w:vAlign w:val="center"/>
          </w:tcPr>
          <w:p w14:paraId="626FA951" w14:textId="77777777" w:rsidR="00CF0E2D" w:rsidRPr="00934323" w:rsidRDefault="00CF0E2D" w:rsidP="00A60D4B">
            <w:pPr>
              <w:pStyle w:val="InitFigRBold"/>
            </w:pPr>
            <w:r>
              <w:rPr>
                <w:rFonts w:cs="Calibri"/>
                <w:color w:val="000000"/>
              </w:rPr>
              <w:t>3,343</w:t>
            </w:r>
          </w:p>
        </w:tc>
        <w:tc>
          <w:tcPr>
            <w:tcW w:w="1041" w:type="dxa"/>
            <w:tcBorders>
              <w:top w:val="single" w:sz="4" w:space="0" w:color="auto"/>
              <w:bottom w:val="single" w:sz="4" w:space="0" w:color="auto"/>
            </w:tcBorders>
            <w:vAlign w:val="center"/>
          </w:tcPr>
          <w:p w14:paraId="70BF6DE0" w14:textId="77777777" w:rsidR="00CF0E2D" w:rsidRPr="00934323" w:rsidRDefault="00CF0E2D" w:rsidP="00A60D4B">
            <w:pPr>
              <w:pStyle w:val="InitFigRBold"/>
            </w:pPr>
            <w:r>
              <w:rPr>
                <w:rFonts w:cs="Calibri"/>
                <w:color w:val="000000"/>
              </w:rPr>
              <w:t>3,302</w:t>
            </w:r>
          </w:p>
        </w:tc>
        <w:tc>
          <w:tcPr>
            <w:tcW w:w="1029" w:type="dxa"/>
            <w:tcBorders>
              <w:top w:val="single" w:sz="4" w:space="0" w:color="auto"/>
              <w:bottom w:val="single" w:sz="4" w:space="0" w:color="auto"/>
            </w:tcBorders>
            <w:vAlign w:val="center"/>
          </w:tcPr>
          <w:p w14:paraId="7AE72854" w14:textId="77777777" w:rsidR="00CF0E2D" w:rsidRPr="00934323" w:rsidRDefault="00CF0E2D" w:rsidP="00A60D4B">
            <w:pPr>
              <w:pStyle w:val="InitFigRBold"/>
            </w:pPr>
            <w:r>
              <w:rPr>
                <w:rFonts w:cs="Calibri"/>
                <w:color w:val="000000"/>
              </w:rPr>
              <w:t>4,052</w:t>
            </w:r>
          </w:p>
        </w:tc>
        <w:tc>
          <w:tcPr>
            <w:tcW w:w="1029" w:type="dxa"/>
            <w:tcBorders>
              <w:top w:val="single" w:sz="4" w:space="0" w:color="auto"/>
              <w:bottom w:val="single" w:sz="4" w:space="0" w:color="auto"/>
            </w:tcBorders>
            <w:vAlign w:val="center"/>
          </w:tcPr>
          <w:p w14:paraId="11030565" w14:textId="77777777" w:rsidR="00CF0E2D" w:rsidRPr="00934323" w:rsidRDefault="00CF0E2D" w:rsidP="00A60D4B">
            <w:pPr>
              <w:pStyle w:val="InitFigRBold"/>
            </w:pPr>
            <w:r>
              <w:rPr>
                <w:rFonts w:cs="Calibri"/>
                <w:color w:val="000000"/>
              </w:rPr>
              <w:t>4,115</w:t>
            </w:r>
          </w:p>
        </w:tc>
        <w:tc>
          <w:tcPr>
            <w:tcW w:w="1029" w:type="dxa"/>
            <w:tcBorders>
              <w:top w:val="single" w:sz="4" w:space="0" w:color="auto"/>
              <w:bottom w:val="single" w:sz="4" w:space="0" w:color="auto"/>
            </w:tcBorders>
            <w:vAlign w:val="center"/>
          </w:tcPr>
          <w:p w14:paraId="3BF2B64E" w14:textId="77777777" w:rsidR="00CF0E2D" w:rsidRPr="00934323" w:rsidRDefault="00CF0E2D" w:rsidP="00A60D4B">
            <w:pPr>
              <w:pStyle w:val="InitFigRBold"/>
            </w:pPr>
            <w:r>
              <w:rPr>
                <w:rFonts w:cs="Calibri"/>
                <w:bCs/>
                <w:color w:val="000000"/>
              </w:rPr>
              <w:t>14,812</w:t>
            </w:r>
          </w:p>
        </w:tc>
      </w:tr>
    </w:tbl>
    <w:p w14:paraId="20691A8D" w14:textId="77777777" w:rsidR="00CF0E2D" w:rsidRPr="005F3D78" w:rsidRDefault="00CF0E2D" w:rsidP="00A60D4B">
      <w:pPr>
        <w:pStyle w:val="Bbodytext"/>
      </w:pPr>
      <w:r w:rsidRPr="005F3D78">
        <w:t xml:space="preserve">The Government will </w:t>
      </w:r>
      <w:r>
        <w:t xml:space="preserve">continue to make it easier for people to access essential services by making more of them available online, including the delivery of concessions and notifying Government of a change of a person’s circumstances. This initiative will also support implementing automatic recognition of occupational licenses from other states and territories (see initiative </w:t>
      </w:r>
      <w:r w:rsidRPr="00564696">
        <w:rPr>
          <w:i/>
          <w:iCs/>
        </w:rPr>
        <w:t>Automatic Mutual Recognition scheme implementation</w:t>
      </w:r>
      <w:r>
        <w:t xml:space="preserve">). </w:t>
      </w:r>
    </w:p>
    <w:p w14:paraId="7B2C6065" w14:textId="77777777" w:rsidR="00CF0E2D" w:rsidRPr="00934323" w:rsidRDefault="00CF0E2D" w:rsidP="00A60D4B">
      <w:pPr>
        <w:pStyle w:val="Bbodytext"/>
        <w:keepLines/>
      </w:pPr>
      <w:r w:rsidRPr="00934323">
        <w:t xml:space="preserve">The Government will </w:t>
      </w:r>
      <w:r>
        <w:t xml:space="preserve">also further </w:t>
      </w:r>
      <w:r w:rsidRPr="00934323">
        <w:t xml:space="preserve">support the delivery of essential services to Canberrans </w:t>
      </w:r>
      <w:r>
        <w:t xml:space="preserve">by </w:t>
      </w:r>
      <w:r w:rsidRPr="00934323">
        <w:t xml:space="preserve">Access Canberra. The funding will support the continued operation of the Wheelchair Accessible Taxi Scheme, </w:t>
      </w:r>
      <w:r>
        <w:t xml:space="preserve">increase </w:t>
      </w:r>
      <w:r w:rsidRPr="00934323">
        <w:t xml:space="preserve">resourcing for drivers licence medical assessments, support the implementation of the </w:t>
      </w:r>
      <w:r>
        <w:t xml:space="preserve">Binding </w:t>
      </w:r>
      <w:r w:rsidRPr="00934323">
        <w:t>Conciliation Scheme</w:t>
      </w:r>
      <w:r>
        <w:t xml:space="preserve"> and </w:t>
      </w:r>
      <w:r w:rsidRPr="00934323">
        <w:t xml:space="preserve">enable </w:t>
      </w:r>
      <w:r>
        <w:t xml:space="preserve">modernisation of </w:t>
      </w:r>
      <w:r w:rsidRPr="00934323">
        <w:t>the rego.act system</w:t>
      </w:r>
      <w:r>
        <w:t xml:space="preserve"> to commence</w:t>
      </w:r>
      <w:r w:rsidRPr="00934323">
        <w:t>.</w:t>
      </w:r>
    </w:p>
    <w:p w14:paraId="707B0656" w14:textId="77777777" w:rsidR="00CF0E2D" w:rsidRPr="00934323" w:rsidRDefault="00CF0E2D" w:rsidP="00A60D4B">
      <w:pPr>
        <w:pStyle w:val="Bbodytext"/>
      </w:pPr>
      <w:r w:rsidRPr="005F3D78">
        <w:t xml:space="preserve">This initiative builds on </w:t>
      </w:r>
      <w:r>
        <w:t xml:space="preserve">funding provided in the 2019-20 Budget initiative </w:t>
      </w:r>
      <w:r>
        <w:rPr>
          <w:i/>
          <w:iCs/>
        </w:rPr>
        <w:t>Moving delivery of more community services online</w:t>
      </w:r>
      <w:r>
        <w:t xml:space="preserve">, which was extended in the </w:t>
      </w:r>
      <w:r w:rsidRPr="00835ED2">
        <w:t>August 2020 Economic and Fiscal Update</w:t>
      </w:r>
      <w:r>
        <w:rPr>
          <w:i/>
          <w:iCs/>
        </w:rPr>
        <w:t xml:space="preserve"> </w:t>
      </w:r>
      <w:r>
        <w:t xml:space="preserve">to continue this work through 2020-21. </w:t>
      </w:r>
    </w:p>
    <w:p w14:paraId="3AAF16FD" w14:textId="77777777" w:rsidR="00CF0E2D" w:rsidRDefault="00CF0E2D" w:rsidP="00A60D4B">
      <w:pPr>
        <w:pStyle w:val="Bbodytext"/>
      </w:pPr>
      <w:r w:rsidRPr="00934323">
        <w:t>This initiative contributes to the wellbeing domain</w:t>
      </w:r>
      <w:r>
        <w:t>s</w:t>
      </w:r>
      <w:r w:rsidRPr="00934323">
        <w:t xml:space="preserve"> of Access and connectivity</w:t>
      </w:r>
      <w:r>
        <w:t xml:space="preserve"> and</w:t>
      </w:r>
      <w:r w:rsidRPr="00934323">
        <w:t xml:space="preserve"> Safety</w:t>
      </w:r>
      <w:r>
        <w:t>.</w:t>
      </w:r>
      <w:r w:rsidRPr="00934323">
        <w:t xml:space="preserve"> </w:t>
      </w:r>
    </w:p>
    <w:p w14:paraId="6A11CA97" w14:textId="77777777" w:rsidR="00CF0E2D" w:rsidRPr="00CA34D5" w:rsidRDefault="00CF0E2D" w:rsidP="00A60D4B"/>
    <w:p w14:paraId="4795E529" w14:textId="77777777" w:rsidR="00CF0E2D" w:rsidRDefault="00CF0E2D" w:rsidP="00A60D4B">
      <w:pPr>
        <w:pStyle w:val="Heading4"/>
      </w:pPr>
    </w:p>
    <w:p w14:paraId="5C853BB8" w14:textId="77777777" w:rsidR="00CF0E2D" w:rsidRPr="00784139" w:rsidRDefault="00CF0E2D" w:rsidP="00A60D4B">
      <w:pPr>
        <w:pStyle w:val="Heading4"/>
        <w:rPr>
          <w:rFonts w:asciiTheme="minorHAnsi" w:eastAsiaTheme="minorHAnsi" w:hAnsiTheme="minorHAnsi" w:cstheme="minorBidi"/>
          <w:bCs/>
          <w:szCs w:val="26"/>
        </w:rPr>
      </w:pPr>
      <w:r w:rsidRPr="009D1DDA">
        <w:t>E</w:t>
      </w:r>
      <w:r w:rsidRPr="00784139">
        <w:rPr>
          <w:rFonts w:asciiTheme="minorHAnsi" w:eastAsiaTheme="minorHAnsi" w:hAnsiTheme="minorHAnsi" w:cstheme="minorBidi"/>
          <w:bCs/>
          <w:szCs w:val="26"/>
        </w:rPr>
        <w:t xml:space="preserve">xhibition Park </w:t>
      </w:r>
      <w:r>
        <w:rPr>
          <w:rFonts w:asciiTheme="minorHAnsi" w:eastAsiaTheme="minorHAnsi" w:hAnsiTheme="minorHAnsi" w:cstheme="minorBidi"/>
          <w:szCs w:val="26"/>
        </w:rPr>
        <w:t>r</w:t>
      </w:r>
      <w:r w:rsidRPr="009D1DDA">
        <w:rPr>
          <w:rFonts w:asciiTheme="minorHAnsi" w:eastAsiaTheme="minorHAnsi" w:hAnsiTheme="minorHAnsi" w:cstheme="minorBidi"/>
          <w:szCs w:val="26"/>
        </w:rPr>
        <w:t>edevelopment</w:t>
      </w:r>
      <w:r w:rsidRPr="00784139">
        <w:rPr>
          <w:rFonts w:asciiTheme="minorHAnsi" w:eastAsiaTheme="minorHAnsi" w:hAnsiTheme="minorHAnsi" w:cstheme="minorBidi"/>
          <w:bCs/>
          <w:szCs w:val="26"/>
        </w:rPr>
        <w:t xml:space="preserve"> and </w:t>
      </w:r>
      <w:r>
        <w:rPr>
          <w:rFonts w:asciiTheme="minorHAnsi" w:eastAsiaTheme="minorHAnsi" w:hAnsiTheme="minorHAnsi" w:cstheme="minorBidi"/>
          <w:szCs w:val="26"/>
        </w:rPr>
        <w:t>e</w:t>
      </w:r>
      <w:r w:rsidRPr="009D1DDA">
        <w:rPr>
          <w:rFonts w:asciiTheme="minorHAnsi" w:eastAsiaTheme="minorHAnsi" w:hAnsiTheme="minorHAnsi" w:cstheme="minorBidi"/>
          <w:szCs w:val="26"/>
        </w:rPr>
        <w:t>xpansion</w:t>
      </w:r>
      <w:r w:rsidRPr="00784139">
        <w:rPr>
          <w:rFonts w:asciiTheme="minorHAnsi" w:eastAsiaTheme="minorHAnsi" w:hAnsiTheme="minorHAnsi" w:cstheme="minorBidi"/>
          <w:bCs/>
          <w:szCs w:val="26"/>
        </w:rPr>
        <w:t xml:space="preserve"> </w:t>
      </w:r>
      <w:r>
        <w:rPr>
          <w:b w:val="0"/>
          <w:noProof/>
          <w:color w:val="999789"/>
          <w:sz w:val="32"/>
          <w:szCs w:val="24"/>
        </w:rPr>
        <w:drawing>
          <wp:anchor distT="0" distB="0" distL="114300" distR="114300" simplePos="0" relativeHeight="251745280" behindDoc="0" locked="1" layoutInCell="1" allowOverlap="1" wp14:anchorId="56922118" wp14:editId="3F0C684A">
            <wp:simplePos x="0" y="0"/>
            <wp:positionH relativeFrom="margin">
              <wp:posOffset>4561205</wp:posOffset>
            </wp:positionH>
            <wp:positionV relativeFrom="paragraph">
              <wp:posOffset>-131445</wp:posOffset>
            </wp:positionV>
            <wp:extent cx="1148080" cy="503555"/>
            <wp:effectExtent l="0" t="0" r="0" b="0"/>
            <wp:wrapSquare wrapText="bothSides"/>
            <wp:docPr id="260" name="Picture 260"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08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B73D57" w14:paraId="27B281B4" w14:textId="77777777" w:rsidTr="00A60D4B">
        <w:trPr>
          <w:cantSplit/>
          <w:jc w:val="center"/>
        </w:trPr>
        <w:tc>
          <w:tcPr>
            <w:tcW w:w="3652" w:type="dxa"/>
            <w:tcBorders>
              <w:top w:val="single" w:sz="4" w:space="0" w:color="auto"/>
              <w:bottom w:val="single" w:sz="4" w:space="0" w:color="auto"/>
            </w:tcBorders>
          </w:tcPr>
          <w:p w14:paraId="7E50FC46" w14:textId="77777777" w:rsidR="00CF0E2D" w:rsidRPr="00FF45BE" w:rsidRDefault="00CF0E2D" w:rsidP="00A60D4B">
            <w:pPr>
              <w:spacing w:after="0"/>
              <w:rPr>
                <w:sz w:val="24"/>
                <w:szCs w:val="24"/>
              </w:rPr>
            </w:pPr>
          </w:p>
        </w:tc>
        <w:tc>
          <w:tcPr>
            <w:tcW w:w="1179" w:type="dxa"/>
            <w:tcBorders>
              <w:top w:val="single" w:sz="4" w:space="0" w:color="auto"/>
              <w:bottom w:val="single" w:sz="4" w:space="0" w:color="auto"/>
            </w:tcBorders>
          </w:tcPr>
          <w:p w14:paraId="03EB01FE" w14:textId="77777777" w:rsidR="00CF0E2D" w:rsidRPr="00FF45BE" w:rsidRDefault="00CF0E2D" w:rsidP="00A60D4B">
            <w:pPr>
              <w:pStyle w:val="InitFigR"/>
              <w:keepNext/>
              <w:keepLines/>
              <w:rPr>
                <w:b/>
                <w:szCs w:val="24"/>
              </w:rPr>
            </w:pPr>
            <w:r w:rsidRPr="00FF45BE">
              <w:rPr>
                <w:b/>
                <w:szCs w:val="24"/>
              </w:rPr>
              <w:t>2021-22</w:t>
            </w:r>
          </w:p>
          <w:p w14:paraId="69B82ACA" w14:textId="77777777" w:rsidR="00CF0E2D" w:rsidRPr="00FF45BE" w:rsidRDefault="00CF0E2D" w:rsidP="00A60D4B">
            <w:pPr>
              <w:pStyle w:val="InitFigR"/>
              <w:keepNext/>
              <w:keepLines/>
              <w:rPr>
                <w:b/>
                <w:szCs w:val="24"/>
              </w:rPr>
            </w:pPr>
            <w:r w:rsidRPr="00FF45BE">
              <w:rPr>
                <w:b/>
                <w:szCs w:val="24"/>
              </w:rPr>
              <w:t>$’000</w:t>
            </w:r>
          </w:p>
        </w:tc>
        <w:tc>
          <w:tcPr>
            <w:tcW w:w="1041" w:type="dxa"/>
            <w:tcBorders>
              <w:top w:val="single" w:sz="4" w:space="0" w:color="auto"/>
              <w:bottom w:val="single" w:sz="4" w:space="0" w:color="auto"/>
            </w:tcBorders>
          </w:tcPr>
          <w:p w14:paraId="594E6617" w14:textId="77777777" w:rsidR="00CF0E2D" w:rsidRPr="00FF45BE" w:rsidRDefault="00CF0E2D" w:rsidP="00A60D4B">
            <w:pPr>
              <w:pStyle w:val="InitFigR"/>
              <w:keepNext/>
              <w:keepLines/>
              <w:rPr>
                <w:b/>
                <w:szCs w:val="24"/>
              </w:rPr>
            </w:pPr>
            <w:r w:rsidRPr="00FF45BE">
              <w:rPr>
                <w:b/>
                <w:szCs w:val="24"/>
              </w:rPr>
              <w:t>2022-23</w:t>
            </w:r>
          </w:p>
          <w:p w14:paraId="2FAF70F9" w14:textId="77777777" w:rsidR="00CF0E2D" w:rsidRPr="00FF45BE" w:rsidRDefault="00CF0E2D" w:rsidP="00A60D4B">
            <w:pPr>
              <w:pStyle w:val="InitFigR"/>
              <w:keepNext/>
              <w:keepLines/>
              <w:rPr>
                <w:b/>
                <w:szCs w:val="24"/>
              </w:rPr>
            </w:pPr>
            <w:r w:rsidRPr="00FF45BE">
              <w:rPr>
                <w:b/>
                <w:szCs w:val="24"/>
              </w:rPr>
              <w:t>$’000</w:t>
            </w:r>
          </w:p>
        </w:tc>
        <w:tc>
          <w:tcPr>
            <w:tcW w:w="1029" w:type="dxa"/>
            <w:tcBorders>
              <w:top w:val="single" w:sz="4" w:space="0" w:color="auto"/>
              <w:bottom w:val="single" w:sz="4" w:space="0" w:color="auto"/>
            </w:tcBorders>
          </w:tcPr>
          <w:p w14:paraId="788DDA85" w14:textId="77777777" w:rsidR="00CF0E2D" w:rsidRPr="00FF45BE" w:rsidRDefault="00CF0E2D" w:rsidP="00A60D4B">
            <w:pPr>
              <w:pStyle w:val="InitFigR"/>
              <w:keepNext/>
              <w:keepLines/>
              <w:rPr>
                <w:b/>
                <w:szCs w:val="24"/>
              </w:rPr>
            </w:pPr>
            <w:r w:rsidRPr="00FF45BE">
              <w:rPr>
                <w:b/>
                <w:szCs w:val="24"/>
              </w:rPr>
              <w:t>2023-24</w:t>
            </w:r>
          </w:p>
          <w:p w14:paraId="750506E4" w14:textId="77777777" w:rsidR="00CF0E2D" w:rsidRPr="00FF45BE" w:rsidRDefault="00CF0E2D" w:rsidP="00A60D4B">
            <w:pPr>
              <w:pStyle w:val="InitFigR"/>
              <w:keepNext/>
              <w:keepLines/>
              <w:rPr>
                <w:b/>
                <w:szCs w:val="24"/>
              </w:rPr>
            </w:pPr>
            <w:r w:rsidRPr="00FF45BE">
              <w:rPr>
                <w:b/>
                <w:szCs w:val="24"/>
              </w:rPr>
              <w:t>$’000</w:t>
            </w:r>
          </w:p>
        </w:tc>
        <w:tc>
          <w:tcPr>
            <w:tcW w:w="1029" w:type="dxa"/>
            <w:tcBorders>
              <w:top w:val="single" w:sz="4" w:space="0" w:color="auto"/>
              <w:bottom w:val="single" w:sz="4" w:space="0" w:color="auto"/>
            </w:tcBorders>
          </w:tcPr>
          <w:p w14:paraId="5CE64C4B" w14:textId="77777777" w:rsidR="00CF0E2D" w:rsidRPr="00FF45BE" w:rsidRDefault="00CF0E2D" w:rsidP="00A60D4B">
            <w:pPr>
              <w:pStyle w:val="InitFigR"/>
              <w:keepNext/>
              <w:keepLines/>
              <w:rPr>
                <w:b/>
                <w:szCs w:val="24"/>
              </w:rPr>
            </w:pPr>
            <w:r w:rsidRPr="00FF45BE">
              <w:rPr>
                <w:b/>
                <w:szCs w:val="24"/>
              </w:rPr>
              <w:t>2024-25</w:t>
            </w:r>
          </w:p>
          <w:p w14:paraId="0A09AFA4" w14:textId="77777777" w:rsidR="00CF0E2D" w:rsidRPr="00FF45BE" w:rsidRDefault="00CF0E2D" w:rsidP="00A60D4B">
            <w:pPr>
              <w:pStyle w:val="InitFigR"/>
              <w:keepNext/>
              <w:keepLines/>
              <w:rPr>
                <w:b/>
                <w:szCs w:val="24"/>
              </w:rPr>
            </w:pPr>
            <w:r w:rsidRPr="00FF45BE">
              <w:rPr>
                <w:b/>
                <w:szCs w:val="24"/>
              </w:rPr>
              <w:t>$’000</w:t>
            </w:r>
          </w:p>
        </w:tc>
        <w:tc>
          <w:tcPr>
            <w:tcW w:w="1029" w:type="dxa"/>
            <w:tcBorders>
              <w:top w:val="single" w:sz="4" w:space="0" w:color="auto"/>
              <w:bottom w:val="single" w:sz="4" w:space="0" w:color="auto"/>
            </w:tcBorders>
          </w:tcPr>
          <w:p w14:paraId="30A3EA9D" w14:textId="77777777" w:rsidR="00CF0E2D" w:rsidRPr="00FF45BE" w:rsidRDefault="00CF0E2D" w:rsidP="00A60D4B">
            <w:pPr>
              <w:pStyle w:val="InitFigR"/>
              <w:keepNext/>
              <w:keepLines/>
              <w:rPr>
                <w:b/>
                <w:szCs w:val="24"/>
              </w:rPr>
            </w:pPr>
            <w:r w:rsidRPr="00FF45BE">
              <w:rPr>
                <w:b/>
                <w:szCs w:val="24"/>
              </w:rPr>
              <w:t>Total</w:t>
            </w:r>
          </w:p>
          <w:p w14:paraId="1B6C602E" w14:textId="77777777" w:rsidR="00CF0E2D" w:rsidRPr="00FF45BE" w:rsidRDefault="00CF0E2D" w:rsidP="00A60D4B">
            <w:pPr>
              <w:pStyle w:val="InitFigR"/>
              <w:keepNext/>
              <w:keepLines/>
              <w:rPr>
                <w:b/>
                <w:szCs w:val="24"/>
              </w:rPr>
            </w:pPr>
            <w:r w:rsidRPr="00FF45BE">
              <w:rPr>
                <w:b/>
                <w:szCs w:val="24"/>
              </w:rPr>
              <w:t>$’000</w:t>
            </w:r>
          </w:p>
        </w:tc>
      </w:tr>
      <w:tr w:rsidR="00CF0E2D" w:rsidRPr="00B73D57" w14:paraId="0FFE7683" w14:textId="77777777" w:rsidTr="00A60D4B">
        <w:trPr>
          <w:cantSplit/>
          <w:jc w:val="center"/>
        </w:trPr>
        <w:tc>
          <w:tcPr>
            <w:tcW w:w="3652" w:type="dxa"/>
            <w:tcBorders>
              <w:top w:val="single" w:sz="4" w:space="0" w:color="auto"/>
            </w:tcBorders>
          </w:tcPr>
          <w:p w14:paraId="0626AAB0" w14:textId="77777777" w:rsidR="00CF0E2D" w:rsidRPr="00FF45BE" w:rsidRDefault="00CF0E2D" w:rsidP="00A60D4B">
            <w:pPr>
              <w:spacing w:after="0"/>
              <w:rPr>
                <w:sz w:val="24"/>
                <w:szCs w:val="24"/>
              </w:rPr>
            </w:pPr>
            <w:r w:rsidRPr="00FF45BE">
              <w:rPr>
                <w:sz w:val="24"/>
                <w:szCs w:val="24"/>
              </w:rPr>
              <w:t>Capital</w:t>
            </w:r>
          </w:p>
        </w:tc>
        <w:tc>
          <w:tcPr>
            <w:tcW w:w="1179" w:type="dxa"/>
            <w:tcBorders>
              <w:top w:val="single" w:sz="4" w:space="0" w:color="auto"/>
            </w:tcBorders>
          </w:tcPr>
          <w:p w14:paraId="146EE2AE" w14:textId="77777777" w:rsidR="00CF0E2D" w:rsidRPr="00FF45BE" w:rsidRDefault="00CF0E2D" w:rsidP="00A60D4B">
            <w:pPr>
              <w:pStyle w:val="InitFigR"/>
              <w:keepNext/>
              <w:keepLines/>
              <w:rPr>
                <w:szCs w:val="24"/>
              </w:rPr>
            </w:pPr>
            <w:r w:rsidRPr="00FF45BE">
              <w:rPr>
                <w:szCs w:val="24"/>
              </w:rPr>
              <w:t>104</w:t>
            </w:r>
          </w:p>
        </w:tc>
        <w:tc>
          <w:tcPr>
            <w:tcW w:w="1041" w:type="dxa"/>
            <w:tcBorders>
              <w:top w:val="single" w:sz="4" w:space="0" w:color="auto"/>
            </w:tcBorders>
          </w:tcPr>
          <w:p w14:paraId="7CFADE49" w14:textId="77777777" w:rsidR="00CF0E2D" w:rsidRPr="00FF45BE" w:rsidRDefault="00CF0E2D" w:rsidP="00A60D4B">
            <w:pPr>
              <w:pStyle w:val="InitFigR"/>
              <w:keepNext/>
              <w:keepLines/>
              <w:rPr>
                <w:szCs w:val="24"/>
              </w:rPr>
            </w:pPr>
            <w:r w:rsidRPr="00FF45BE">
              <w:rPr>
                <w:szCs w:val="24"/>
              </w:rPr>
              <w:t>0</w:t>
            </w:r>
          </w:p>
        </w:tc>
        <w:tc>
          <w:tcPr>
            <w:tcW w:w="1029" w:type="dxa"/>
            <w:tcBorders>
              <w:top w:val="single" w:sz="4" w:space="0" w:color="auto"/>
            </w:tcBorders>
          </w:tcPr>
          <w:p w14:paraId="3F2E95C0" w14:textId="77777777" w:rsidR="00CF0E2D" w:rsidRPr="00FF45BE" w:rsidRDefault="00CF0E2D" w:rsidP="00A60D4B">
            <w:pPr>
              <w:pStyle w:val="InitFigR"/>
              <w:keepNext/>
              <w:keepLines/>
              <w:rPr>
                <w:szCs w:val="24"/>
              </w:rPr>
            </w:pPr>
            <w:r w:rsidRPr="00FF45BE">
              <w:rPr>
                <w:szCs w:val="24"/>
              </w:rPr>
              <w:t>0</w:t>
            </w:r>
          </w:p>
        </w:tc>
        <w:tc>
          <w:tcPr>
            <w:tcW w:w="1029" w:type="dxa"/>
            <w:tcBorders>
              <w:top w:val="single" w:sz="4" w:space="0" w:color="auto"/>
            </w:tcBorders>
          </w:tcPr>
          <w:p w14:paraId="7933AAB5" w14:textId="77777777" w:rsidR="00CF0E2D" w:rsidRPr="00FF45BE" w:rsidRDefault="00CF0E2D" w:rsidP="00A60D4B">
            <w:pPr>
              <w:pStyle w:val="InitFigR"/>
              <w:keepNext/>
              <w:keepLines/>
              <w:rPr>
                <w:szCs w:val="24"/>
              </w:rPr>
            </w:pPr>
            <w:r w:rsidRPr="00FF45BE">
              <w:rPr>
                <w:szCs w:val="24"/>
              </w:rPr>
              <w:t>0</w:t>
            </w:r>
          </w:p>
        </w:tc>
        <w:tc>
          <w:tcPr>
            <w:tcW w:w="1029" w:type="dxa"/>
            <w:tcBorders>
              <w:top w:val="single" w:sz="4" w:space="0" w:color="auto"/>
            </w:tcBorders>
          </w:tcPr>
          <w:p w14:paraId="4E28D84A" w14:textId="77777777" w:rsidR="00CF0E2D" w:rsidRPr="00FF45BE" w:rsidRDefault="00CF0E2D" w:rsidP="00A60D4B">
            <w:pPr>
              <w:pStyle w:val="InitFigR"/>
              <w:keepNext/>
              <w:keepLines/>
              <w:rPr>
                <w:b/>
                <w:szCs w:val="24"/>
              </w:rPr>
            </w:pPr>
            <w:r w:rsidRPr="00FF45BE">
              <w:rPr>
                <w:b/>
                <w:szCs w:val="24"/>
              </w:rPr>
              <w:t>104</w:t>
            </w:r>
          </w:p>
        </w:tc>
      </w:tr>
      <w:tr w:rsidR="00CF0E2D" w:rsidRPr="00B73D57" w14:paraId="1CE4256F" w14:textId="77777777" w:rsidTr="00A60D4B">
        <w:trPr>
          <w:cantSplit/>
          <w:jc w:val="center"/>
        </w:trPr>
        <w:tc>
          <w:tcPr>
            <w:tcW w:w="3652" w:type="dxa"/>
            <w:tcBorders>
              <w:top w:val="single" w:sz="4" w:space="0" w:color="auto"/>
            </w:tcBorders>
          </w:tcPr>
          <w:p w14:paraId="30153B16" w14:textId="77777777" w:rsidR="00CF0E2D" w:rsidRPr="00FF45BE" w:rsidRDefault="00CF0E2D" w:rsidP="00A60D4B">
            <w:pPr>
              <w:spacing w:after="0"/>
              <w:rPr>
                <w:sz w:val="24"/>
                <w:szCs w:val="24"/>
              </w:rPr>
            </w:pPr>
            <w:r w:rsidRPr="00FF45BE">
              <w:rPr>
                <w:sz w:val="24"/>
                <w:szCs w:val="24"/>
              </w:rPr>
              <w:t>Depreciation</w:t>
            </w:r>
          </w:p>
        </w:tc>
        <w:tc>
          <w:tcPr>
            <w:tcW w:w="1179" w:type="dxa"/>
            <w:tcBorders>
              <w:top w:val="single" w:sz="4" w:space="0" w:color="auto"/>
            </w:tcBorders>
          </w:tcPr>
          <w:p w14:paraId="39887703" w14:textId="77777777" w:rsidR="00CF0E2D" w:rsidRPr="00FF45BE" w:rsidRDefault="00CF0E2D" w:rsidP="00A60D4B">
            <w:pPr>
              <w:pStyle w:val="InitFigR"/>
              <w:keepNext/>
              <w:keepLines/>
              <w:rPr>
                <w:szCs w:val="24"/>
              </w:rPr>
            </w:pPr>
            <w:r w:rsidRPr="00FF45BE">
              <w:rPr>
                <w:szCs w:val="24"/>
              </w:rPr>
              <w:t>0</w:t>
            </w:r>
          </w:p>
        </w:tc>
        <w:tc>
          <w:tcPr>
            <w:tcW w:w="1041" w:type="dxa"/>
            <w:tcBorders>
              <w:top w:val="single" w:sz="4" w:space="0" w:color="auto"/>
            </w:tcBorders>
          </w:tcPr>
          <w:p w14:paraId="434A7486" w14:textId="77777777" w:rsidR="00CF0E2D" w:rsidRPr="00FF45BE" w:rsidRDefault="00CF0E2D" w:rsidP="00A60D4B">
            <w:pPr>
              <w:pStyle w:val="InitFigR"/>
              <w:keepNext/>
              <w:keepLines/>
              <w:rPr>
                <w:szCs w:val="24"/>
              </w:rPr>
            </w:pPr>
            <w:r w:rsidRPr="00FF45BE">
              <w:rPr>
                <w:szCs w:val="24"/>
              </w:rPr>
              <w:t>0</w:t>
            </w:r>
          </w:p>
        </w:tc>
        <w:tc>
          <w:tcPr>
            <w:tcW w:w="1029" w:type="dxa"/>
            <w:tcBorders>
              <w:top w:val="single" w:sz="4" w:space="0" w:color="auto"/>
            </w:tcBorders>
          </w:tcPr>
          <w:p w14:paraId="1A6508A1" w14:textId="77777777" w:rsidR="00CF0E2D" w:rsidRPr="00FF45BE" w:rsidRDefault="00CF0E2D" w:rsidP="00A60D4B">
            <w:pPr>
              <w:pStyle w:val="InitFigR"/>
              <w:keepNext/>
              <w:keepLines/>
              <w:rPr>
                <w:szCs w:val="24"/>
              </w:rPr>
            </w:pPr>
            <w:r w:rsidRPr="00FF45BE">
              <w:rPr>
                <w:szCs w:val="24"/>
              </w:rPr>
              <w:t>0</w:t>
            </w:r>
          </w:p>
        </w:tc>
        <w:tc>
          <w:tcPr>
            <w:tcW w:w="1029" w:type="dxa"/>
            <w:tcBorders>
              <w:top w:val="single" w:sz="4" w:space="0" w:color="auto"/>
            </w:tcBorders>
          </w:tcPr>
          <w:p w14:paraId="3108DB0F" w14:textId="77777777" w:rsidR="00CF0E2D" w:rsidRPr="00FF45BE" w:rsidRDefault="00CF0E2D" w:rsidP="00A60D4B">
            <w:pPr>
              <w:pStyle w:val="InitFigR"/>
              <w:keepNext/>
              <w:keepLines/>
              <w:rPr>
                <w:szCs w:val="24"/>
              </w:rPr>
            </w:pPr>
            <w:r w:rsidRPr="00FF45BE">
              <w:rPr>
                <w:szCs w:val="24"/>
              </w:rPr>
              <w:t>2</w:t>
            </w:r>
          </w:p>
        </w:tc>
        <w:tc>
          <w:tcPr>
            <w:tcW w:w="1029" w:type="dxa"/>
            <w:tcBorders>
              <w:top w:val="single" w:sz="4" w:space="0" w:color="auto"/>
            </w:tcBorders>
          </w:tcPr>
          <w:p w14:paraId="3BC8AEBC" w14:textId="77777777" w:rsidR="00CF0E2D" w:rsidRPr="00FF45BE" w:rsidRDefault="00CF0E2D" w:rsidP="00A60D4B">
            <w:pPr>
              <w:pStyle w:val="InitFigR"/>
              <w:keepNext/>
              <w:keepLines/>
              <w:rPr>
                <w:b/>
                <w:szCs w:val="24"/>
              </w:rPr>
            </w:pPr>
            <w:r w:rsidRPr="00FF45BE">
              <w:rPr>
                <w:b/>
                <w:szCs w:val="24"/>
              </w:rPr>
              <w:t>2</w:t>
            </w:r>
          </w:p>
        </w:tc>
      </w:tr>
      <w:tr w:rsidR="00CF0E2D" w:rsidRPr="00B73D57" w14:paraId="0CDE649D" w14:textId="77777777" w:rsidTr="00A60D4B">
        <w:trPr>
          <w:cantSplit/>
          <w:jc w:val="center"/>
        </w:trPr>
        <w:tc>
          <w:tcPr>
            <w:tcW w:w="3652" w:type="dxa"/>
          </w:tcPr>
          <w:p w14:paraId="777CE392" w14:textId="77777777" w:rsidR="00CF0E2D" w:rsidRPr="00FF45BE" w:rsidRDefault="00CF0E2D" w:rsidP="00A60D4B">
            <w:pPr>
              <w:spacing w:after="0"/>
              <w:rPr>
                <w:sz w:val="24"/>
                <w:szCs w:val="24"/>
              </w:rPr>
            </w:pPr>
            <w:r w:rsidRPr="00FF45BE">
              <w:rPr>
                <w:sz w:val="24"/>
                <w:szCs w:val="24"/>
              </w:rPr>
              <w:t>Expenses</w:t>
            </w:r>
          </w:p>
        </w:tc>
        <w:tc>
          <w:tcPr>
            <w:tcW w:w="1179" w:type="dxa"/>
          </w:tcPr>
          <w:p w14:paraId="0D33467D" w14:textId="77777777" w:rsidR="00CF0E2D" w:rsidRPr="00FF45BE" w:rsidRDefault="00CF0E2D" w:rsidP="00A60D4B">
            <w:pPr>
              <w:pStyle w:val="InitFigR"/>
              <w:keepNext/>
              <w:keepLines/>
              <w:rPr>
                <w:szCs w:val="24"/>
              </w:rPr>
            </w:pPr>
            <w:r w:rsidRPr="00FF45BE">
              <w:rPr>
                <w:szCs w:val="24"/>
              </w:rPr>
              <w:t>416</w:t>
            </w:r>
          </w:p>
        </w:tc>
        <w:tc>
          <w:tcPr>
            <w:tcW w:w="1041" w:type="dxa"/>
          </w:tcPr>
          <w:p w14:paraId="0323D300" w14:textId="77777777" w:rsidR="00CF0E2D" w:rsidRPr="00FF45BE" w:rsidRDefault="00CF0E2D" w:rsidP="00A60D4B">
            <w:pPr>
              <w:pStyle w:val="InitFigR"/>
              <w:keepNext/>
              <w:keepLines/>
              <w:rPr>
                <w:szCs w:val="24"/>
              </w:rPr>
            </w:pPr>
            <w:r w:rsidRPr="00FF45BE">
              <w:rPr>
                <w:szCs w:val="24"/>
              </w:rPr>
              <w:t>0</w:t>
            </w:r>
          </w:p>
        </w:tc>
        <w:tc>
          <w:tcPr>
            <w:tcW w:w="1029" w:type="dxa"/>
          </w:tcPr>
          <w:p w14:paraId="10625336" w14:textId="77777777" w:rsidR="00CF0E2D" w:rsidRPr="00FF45BE" w:rsidRDefault="00CF0E2D" w:rsidP="00A60D4B">
            <w:pPr>
              <w:pStyle w:val="InitFigR"/>
              <w:keepNext/>
              <w:keepLines/>
              <w:rPr>
                <w:szCs w:val="24"/>
              </w:rPr>
            </w:pPr>
            <w:r w:rsidRPr="00FF45BE">
              <w:rPr>
                <w:szCs w:val="24"/>
              </w:rPr>
              <w:t>0</w:t>
            </w:r>
          </w:p>
        </w:tc>
        <w:tc>
          <w:tcPr>
            <w:tcW w:w="1029" w:type="dxa"/>
          </w:tcPr>
          <w:p w14:paraId="271EF88A" w14:textId="77777777" w:rsidR="00CF0E2D" w:rsidRPr="00FF45BE" w:rsidRDefault="00CF0E2D" w:rsidP="00A60D4B">
            <w:pPr>
              <w:pStyle w:val="InitFigR"/>
              <w:keepNext/>
              <w:keepLines/>
              <w:rPr>
                <w:szCs w:val="24"/>
              </w:rPr>
            </w:pPr>
            <w:r w:rsidRPr="00FF45BE">
              <w:rPr>
                <w:szCs w:val="24"/>
              </w:rPr>
              <w:t>0</w:t>
            </w:r>
          </w:p>
        </w:tc>
        <w:tc>
          <w:tcPr>
            <w:tcW w:w="1029" w:type="dxa"/>
          </w:tcPr>
          <w:p w14:paraId="6A31A045" w14:textId="77777777" w:rsidR="00CF0E2D" w:rsidRPr="00FF45BE" w:rsidRDefault="00CF0E2D" w:rsidP="00A60D4B">
            <w:pPr>
              <w:pStyle w:val="InitFigR"/>
              <w:keepNext/>
              <w:keepLines/>
              <w:rPr>
                <w:b/>
                <w:szCs w:val="24"/>
              </w:rPr>
            </w:pPr>
            <w:r w:rsidRPr="00FF45BE">
              <w:rPr>
                <w:b/>
                <w:szCs w:val="24"/>
              </w:rPr>
              <w:t>416</w:t>
            </w:r>
          </w:p>
        </w:tc>
      </w:tr>
      <w:tr w:rsidR="00CF0E2D" w:rsidRPr="00B73D57" w14:paraId="3C3F0F37" w14:textId="77777777" w:rsidTr="00A60D4B">
        <w:trPr>
          <w:cantSplit/>
          <w:trHeight w:val="107"/>
          <w:jc w:val="center"/>
        </w:trPr>
        <w:tc>
          <w:tcPr>
            <w:tcW w:w="3652" w:type="dxa"/>
            <w:tcBorders>
              <w:top w:val="single" w:sz="4" w:space="0" w:color="auto"/>
              <w:bottom w:val="single" w:sz="4" w:space="0" w:color="auto"/>
            </w:tcBorders>
          </w:tcPr>
          <w:p w14:paraId="4AC6A3F1" w14:textId="77777777" w:rsidR="00CF0E2D" w:rsidRPr="00FF45BE" w:rsidRDefault="00CF0E2D" w:rsidP="00A60D4B">
            <w:pPr>
              <w:spacing w:after="0"/>
              <w:rPr>
                <w:b/>
                <w:sz w:val="24"/>
                <w:szCs w:val="24"/>
              </w:rPr>
            </w:pPr>
            <w:r w:rsidRPr="00FF45BE">
              <w:rPr>
                <w:b/>
                <w:sz w:val="24"/>
                <w:szCs w:val="24"/>
              </w:rPr>
              <w:t>Net cost of services</w:t>
            </w:r>
          </w:p>
        </w:tc>
        <w:tc>
          <w:tcPr>
            <w:tcW w:w="1179" w:type="dxa"/>
            <w:tcBorders>
              <w:top w:val="single" w:sz="4" w:space="0" w:color="auto"/>
              <w:bottom w:val="single" w:sz="4" w:space="0" w:color="auto"/>
            </w:tcBorders>
          </w:tcPr>
          <w:p w14:paraId="418C2446" w14:textId="77777777" w:rsidR="00CF0E2D" w:rsidRPr="00FF45BE" w:rsidRDefault="00CF0E2D" w:rsidP="00A60D4B">
            <w:pPr>
              <w:pStyle w:val="InitFigR"/>
              <w:keepNext/>
              <w:keepLines/>
              <w:rPr>
                <w:b/>
                <w:szCs w:val="24"/>
              </w:rPr>
            </w:pPr>
            <w:r w:rsidRPr="00FF45BE">
              <w:rPr>
                <w:b/>
                <w:szCs w:val="24"/>
              </w:rPr>
              <w:t>416</w:t>
            </w:r>
          </w:p>
        </w:tc>
        <w:tc>
          <w:tcPr>
            <w:tcW w:w="1041" w:type="dxa"/>
            <w:tcBorders>
              <w:top w:val="single" w:sz="4" w:space="0" w:color="auto"/>
              <w:bottom w:val="single" w:sz="4" w:space="0" w:color="auto"/>
            </w:tcBorders>
          </w:tcPr>
          <w:p w14:paraId="38587576" w14:textId="77777777" w:rsidR="00CF0E2D" w:rsidRPr="00FF45BE" w:rsidRDefault="00CF0E2D" w:rsidP="00A60D4B">
            <w:pPr>
              <w:pStyle w:val="InitFigR"/>
              <w:keepNext/>
              <w:keepLines/>
              <w:rPr>
                <w:b/>
                <w:szCs w:val="24"/>
              </w:rPr>
            </w:pPr>
            <w:r w:rsidRPr="00FF45BE">
              <w:rPr>
                <w:b/>
                <w:szCs w:val="24"/>
              </w:rPr>
              <w:t>0</w:t>
            </w:r>
          </w:p>
        </w:tc>
        <w:tc>
          <w:tcPr>
            <w:tcW w:w="1029" w:type="dxa"/>
            <w:tcBorders>
              <w:top w:val="single" w:sz="4" w:space="0" w:color="auto"/>
              <w:bottom w:val="single" w:sz="4" w:space="0" w:color="auto"/>
            </w:tcBorders>
          </w:tcPr>
          <w:p w14:paraId="349EF627" w14:textId="77777777" w:rsidR="00CF0E2D" w:rsidRPr="00FF45BE" w:rsidRDefault="00CF0E2D" w:rsidP="00A60D4B">
            <w:pPr>
              <w:pStyle w:val="InitFigR"/>
              <w:keepNext/>
              <w:keepLines/>
              <w:rPr>
                <w:b/>
                <w:szCs w:val="24"/>
              </w:rPr>
            </w:pPr>
            <w:r w:rsidRPr="00FF45BE">
              <w:rPr>
                <w:b/>
                <w:szCs w:val="24"/>
              </w:rPr>
              <w:t>0</w:t>
            </w:r>
          </w:p>
        </w:tc>
        <w:tc>
          <w:tcPr>
            <w:tcW w:w="1029" w:type="dxa"/>
            <w:tcBorders>
              <w:top w:val="single" w:sz="4" w:space="0" w:color="auto"/>
              <w:bottom w:val="single" w:sz="4" w:space="0" w:color="auto"/>
            </w:tcBorders>
          </w:tcPr>
          <w:p w14:paraId="5155F82E" w14:textId="77777777" w:rsidR="00CF0E2D" w:rsidRPr="00FF45BE" w:rsidRDefault="00CF0E2D" w:rsidP="00A60D4B">
            <w:pPr>
              <w:pStyle w:val="InitFigR"/>
              <w:keepNext/>
              <w:keepLines/>
              <w:rPr>
                <w:b/>
                <w:szCs w:val="24"/>
              </w:rPr>
            </w:pPr>
            <w:r w:rsidRPr="00FF45BE">
              <w:rPr>
                <w:b/>
                <w:szCs w:val="24"/>
              </w:rPr>
              <w:t>2</w:t>
            </w:r>
          </w:p>
        </w:tc>
        <w:tc>
          <w:tcPr>
            <w:tcW w:w="1029" w:type="dxa"/>
            <w:tcBorders>
              <w:top w:val="single" w:sz="4" w:space="0" w:color="auto"/>
              <w:bottom w:val="single" w:sz="4" w:space="0" w:color="auto"/>
            </w:tcBorders>
          </w:tcPr>
          <w:p w14:paraId="6A1ED786" w14:textId="77777777" w:rsidR="00CF0E2D" w:rsidRPr="00FF45BE" w:rsidRDefault="00CF0E2D" w:rsidP="00A60D4B">
            <w:pPr>
              <w:pStyle w:val="InitFigR"/>
              <w:keepNext/>
              <w:keepLines/>
              <w:rPr>
                <w:b/>
                <w:szCs w:val="24"/>
              </w:rPr>
            </w:pPr>
            <w:r w:rsidRPr="00FF45BE">
              <w:rPr>
                <w:b/>
                <w:szCs w:val="24"/>
              </w:rPr>
              <w:t>418</w:t>
            </w:r>
          </w:p>
        </w:tc>
      </w:tr>
    </w:tbl>
    <w:p w14:paraId="5A377B29" w14:textId="77777777" w:rsidR="00CF0E2D" w:rsidRPr="00784139" w:rsidRDefault="00CF0E2D" w:rsidP="00A60D4B">
      <w:pPr>
        <w:pStyle w:val="Bbodytext"/>
      </w:pPr>
      <w:r w:rsidRPr="00784139">
        <w:t xml:space="preserve">The Government will undertake planning and stakeholder consultation for the staged expansion and redevelopment of the Exhibition Park in Canberra precinct, including consideration of options for the construction of a 10,000 square-metre indoor venue to support major and community events. </w:t>
      </w:r>
    </w:p>
    <w:p w14:paraId="1D7CA6FE" w14:textId="77777777" w:rsidR="00CF0E2D" w:rsidRDefault="00CF0E2D" w:rsidP="00A60D4B">
      <w:pPr>
        <w:pStyle w:val="Bbodytext"/>
      </w:pPr>
      <w:r w:rsidRPr="00784139">
        <w:t xml:space="preserve">This initiative contributes to the wellbeing domains of Economy and Social connection. </w:t>
      </w:r>
    </w:p>
    <w:p w14:paraId="521F229B" w14:textId="77777777" w:rsidR="00CF0E2D" w:rsidRPr="000A26E7" w:rsidRDefault="00CF0E2D" w:rsidP="00A60D4B">
      <w:r>
        <w:rPr>
          <w:rFonts w:ascii="Calibri" w:eastAsiaTheme="majorEastAsia" w:hAnsi="Calibri" w:cstheme="majorBidi"/>
          <w:b/>
          <w:noProof/>
          <w:color w:val="999789"/>
          <w:sz w:val="32"/>
          <w:szCs w:val="24"/>
        </w:rPr>
        <w:drawing>
          <wp:anchor distT="0" distB="0" distL="114300" distR="114300" simplePos="0" relativeHeight="251746304" behindDoc="0" locked="1" layoutInCell="1" allowOverlap="1" wp14:anchorId="5A09BF2A" wp14:editId="42F797C2">
            <wp:simplePos x="0" y="0"/>
            <wp:positionH relativeFrom="margin">
              <wp:align>right</wp:align>
            </wp:positionH>
            <wp:positionV relativeFrom="paragraph">
              <wp:posOffset>132715</wp:posOffset>
            </wp:positionV>
            <wp:extent cx="1284605" cy="503555"/>
            <wp:effectExtent l="0" t="0" r="0" b="0"/>
            <wp:wrapSquare wrapText="bothSides"/>
            <wp:docPr id="261" name="Picture 261" descr="Icon representing the wellbeing domain of Social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con representing the wellbeing domain of Social connection"/>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84605" cy="503555"/>
                    </a:xfrm>
                    <a:prstGeom prst="rect">
                      <a:avLst/>
                    </a:prstGeom>
                  </pic:spPr>
                </pic:pic>
              </a:graphicData>
            </a:graphic>
            <wp14:sizeRelH relativeFrom="margin">
              <wp14:pctWidth>0</wp14:pctWidth>
            </wp14:sizeRelH>
            <wp14:sizeRelV relativeFrom="margin">
              <wp14:pctHeight>0</wp14:pctHeight>
            </wp14:sizeRelV>
          </wp:anchor>
        </w:drawing>
      </w:r>
    </w:p>
    <w:p w14:paraId="0F7F8754" w14:textId="77777777" w:rsidR="00CF0E2D" w:rsidRPr="003F2F35" w:rsidRDefault="00CF0E2D" w:rsidP="00A60D4B">
      <w:pPr>
        <w:pStyle w:val="Heading4"/>
      </w:pPr>
      <w:r w:rsidRPr="003F2F35">
        <w:t xml:space="preserve">Gungahlin Community Centre – feasibility and design  </w:t>
      </w:r>
    </w:p>
    <w:tbl>
      <w:tblPr>
        <w:tblW w:w="8955" w:type="dxa"/>
        <w:jc w:val="center"/>
        <w:tblLayout w:type="fixed"/>
        <w:tblLook w:val="04A0" w:firstRow="1" w:lastRow="0" w:firstColumn="1" w:lastColumn="0" w:noHBand="0" w:noVBand="1"/>
      </w:tblPr>
      <w:tblGrid>
        <w:gridCol w:w="3649"/>
        <w:gridCol w:w="1178"/>
        <w:gridCol w:w="1041"/>
        <w:gridCol w:w="1029"/>
        <w:gridCol w:w="1029"/>
        <w:gridCol w:w="1029"/>
      </w:tblGrid>
      <w:tr w:rsidR="00CF0E2D" w14:paraId="18D74B8F" w14:textId="77777777" w:rsidTr="00A60D4B">
        <w:trPr>
          <w:cantSplit/>
          <w:jc w:val="center"/>
        </w:trPr>
        <w:tc>
          <w:tcPr>
            <w:tcW w:w="3652" w:type="dxa"/>
            <w:tcBorders>
              <w:top w:val="single" w:sz="4" w:space="0" w:color="auto"/>
              <w:left w:val="nil"/>
              <w:bottom w:val="single" w:sz="4" w:space="0" w:color="auto"/>
              <w:right w:val="nil"/>
            </w:tcBorders>
            <w:hideMark/>
          </w:tcPr>
          <w:p w14:paraId="2A774E06" w14:textId="77777777" w:rsidR="00CF0E2D" w:rsidRDefault="00CF0E2D" w:rsidP="00A60D4B">
            <w:pPr>
              <w:pStyle w:val="EmptyCell0"/>
            </w:pPr>
            <w:r>
              <w:t>Empty Cell</w:t>
            </w:r>
          </w:p>
        </w:tc>
        <w:tc>
          <w:tcPr>
            <w:tcW w:w="1179" w:type="dxa"/>
            <w:tcBorders>
              <w:top w:val="single" w:sz="4" w:space="0" w:color="auto"/>
              <w:left w:val="nil"/>
              <w:bottom w:val="single" w:sz="4" w:space="0" w:color="auto"/>
              <w:right w:val="nil"/>
            </w:tcBorders>
            <w:hideMark/>
          </w:tcPr>
          <w:p w14:paraId="3DF911F9" w14:textId="77777777" w:rsidR="00CF0E2D" w:rsidRDefault="00CF0E2D" w:rsidP="00A60D4B">
            <w:pPr>
              <w:pStyle w:val="InitFigR"/>
              <w:rPr>
                <w:b/>
                <w:bCs/>
              </w:rPr>
            </w:pPr>
            <w:r>
              <w:rPr>
                <w:b/>
                <w:bCs/>
              </w:rPr>
              <w:t>2021-22</w:t>
            </w:r>
          </w:p>
          <w:p w14:paraId="1733567A" w14:textId="77777777" w:rsidR="00CF0E2D" w:rsidRDefault="00CF0E2D" w:rsidP="00A60D4B">
            <w:pPr>
              <w:pStyle w:val="InitFigR"/>
              <w:rPr>
                <w:b/>
                <w:bCs/>
              </w:rPr>
            </w:pPr>
            <w:r>
              <w:rPr>
                <w:b/>
                <w:bCs/>
              </w:rPr>
              <w:t>$’000</w:t>
            </w:r>
          </w:p>
        </w:tc>
        <w:tc>
          <w:tcPr>
            <w:tcW w:w="1041" w:type="dxa"/>
            <w:tcBorders>
              <w:top w:val="single" w:sz="4" w:space="0" w:color="auto"/>
              <w:left w:val="nil"/>
              <w:bottom w:val="single" w:sz="4" w:space="0" w:color="auto"/>
              <w:right w:val="nil"/>
            </w:tcBorders>
            <w:hideMark/>
          </w:tcPr>
          <w:p w14:paraId="278931B5" w14:textId="77777777" w:rsidR="00CF0E2D" w:rsidRDefault="00CF0E2D" w:rsidP="00A60D4B">
            <w:pPr>
              <w:pStyle w:val="InitFigR"/>
              <w:rPr>
                <w:b/>
                <w:bCs/>
              </w:rPr>
            </w:pPr>
            <w:r>
              <w:rPr>
                <w:b/>
                <w:bCs/>
              </w:rPr>
              <w:t>2022-23</w:t>
            </w:r>
          </w:p>
          <w:p w14:paraId="5544A6BF" w14:textId="77777777" w:rsidR="00CF0E2D" w:rsidRDefault="00CF0E2D" w:rsidP="00A60D4B">
            <w:pPr>
              <w:pStyle w:val="InitFigR"/>
              <w:rPr>
                <w:b/>
                <w:bCs/>
              </w:rPr>
            </w:pPr>
            <w:r>
              <w:rPr>
                <w:b/>
                <w:bCs/>
              </w:rPr>
              <w:t>$’000</w:t>
            </w:r>
          </w:p>
        </w:tc>
        <w:tc>
          <w:tcPr>
            <w:tcW w:w="1029" w:type="dxa"/>
            <w:tcBorders>
              <w:top w:val="single" w:sz="4" w:space="0" w:color="auto"/>
              <w:left w:val="nil"/>
              <w:bottom w:val="single" w:sz="4" w:space="0" w:color="auto"/>
              <w:right w:val="nil"/>
            </w:tcBorders>
            <w:hideMark/>
          </w:tcPr>
          <w:p w14:paraId="45BDDDDB" w14:textId="77777777" w:rsidR="00CF0E2D" w:rsidRDefault="00CF0E2D" w:rsidP="00A60D4B">
            <w:pPr>
              <w:pStyle w:val="InitFigR"/>
              <w:rPr>
                <w:b/>
                <w:bCs/>
              </w:rPr>
            </w:pPr>
            <w:r>
              <w:rPr>
                <w:b/>
                <w:bCs/>
              </w:rPr>
              <w:t>2023-24</w:t>
            </w:r>
          </w:p>
          <w:p w14:paraId="1FF4E6B0" w14:textId="77777777" w:rsidR="00CF0E2D" w:rsidRDefault="00CF0E2D" w:rsidP="00A60D4B">
            <w:pPr>
              <w:pStyle w:val="InitFigR"/>
              <w:rPr>
                <w:b/>
                <w:bCs/>
              </w:rPr>
            </w:pPr>
            <w:r>
              <w:rPr>
                <w:b/>
                <w:bCs/>
              </w:rPr>
              <w:t>$’000</w:t>
            </w:r>
          </w:p>
        </w:tc>
        <w:tc>
          <w:tcPr>
            <w:tcW w:w="1029" w:type="dxa"/>
            <w:tcBorders>
              <w:top w:val="single" w:sz="4" w:space="0" w:color="auto"/>
              <w:left w:val="nil"/>
              <w:bottom w:val="single" w:sz="4" w:space="0" w:color="auto"/>
              <w:right w:val="nil"/>
            </w:tcBorders>
            <w:hideMark/>
          </w:tcPr>
          <w:p w14:paraId="1142B665" w14:textId="77777777" w:rsidR="00CF0E2D" w:rsidRDefault="00CF0E2D" w:rsidP="00A60D4B">
            <w:pPr>
              <w:pStyle w:val="InitFigR"/>
              <w:rPr>
                <w:b/>
                <w:bCs/>
              </w:rPr>
            </w:pPr>
            <w:r>
              <w:rPr>
                <w:b/>
                <w:bCs/>
              </w:rPr>
              <w:t>2024-25</w:t>
            </w:r>
          </w:p>
          <w:p w14:paraId="475C0CF8" w14:textId="77777777" w:rsidR="00CF0E2D" w:rsidRDefault="00CF0E2D" w:rsidP="00A60D4B">
            <w:pPr>
              <w:pStyle w:val="InitFigR"/>
              <w:rPr>
                <w:b/>
                <w:bCs/>
              </w:rPr>
            </w:pPr>
            <w:r>
              <w:rPr>
                <w:b/>
                <w:bCs/>
              </w:rPr>
              <w:t>$’000</w:t>
            </w:r>
          </w:p>
        </w:tc>
        <w:tc>
          <w:tcPr>
            <w:tcW w:w="1029" w:type="dxa"/>
            <w:tcBorders>
              <w:top w:val="single" w:sz="4" w:space="0" w:color="auto"/>
              <w:left w:val="nil"/>
              <w:bottom w:val="single" w:sz="4" w:space="0" w:color="auto"/>
              <w:right w:val="nil"/>
            </w:tcBorders>
            <w:hideMark/>
          </w:tcPr>
          <w:p w14:paraId="316A5C7D" w14:textId="77777777" w:rsidR="00CF0E2D" w:rsidRDefault="00CF0E2D" w:rsidP="00A60D4B">
            <w:pPr>
              <w:pStyle w:val="InitFigRBold"/>
            </w:pPr>
            <w:r>
              <w:t>Total</w:t>
            </w:r>
          </w:p>
          <w:p w14:paraId="586AEB72" w14:textId="77777777" w:rsidR="00CF0E2D" w:rsidRDefault="00CF0E2D" w:rsidP="00A60D4B">
            <w:pPr>
              <w:pStyle w:val="InitFigBR"/>
            </w:pPr>
            <w:r>
              <w:t>$’000</w:t>
            </w:r>
          </w:p>
        </w:tc>
      </w:tr>
      <w:tr w:rsidR="00CF0E2D" w14:paraId="500B5695" w14:textId="77777777" w:rsidTr="00A60D4B">
        <w:trPr>
          <w:cantSplit/>
          <w:jc w:val="center"/>
        </w:trPr>
        <w:tc>
          <w:tcPr>
            <w:tcW w:w="3652" w:type="dxa"/>
            <w:tcBorders>
              <w:top w:val="single" w:sz="4" w:space="0" w:color="auto"/>
              <w:bottom w:val="single" w:sz="4" w:space="0" w:color="auto"/>
            </w:tcBorders>
            <w:hideMark/>
          </w:tcPr>
          <w:p w14:paraId="167A69F2" w14:textId="77777777" w:rsidR="00CF0E2D" w:rsidRDefault="00CF0E2D" w:rsidP="00A60D4B">
            <w:pPr>
              <w:pStyle w:val="InitTextL"/>
              <w:ind w:left="321" w:hanging="321"/>
            </w:pPr>
            <w:r>
              <w:t>Expenses</w:t>
            </w:r>
          </w:p>
        </w:tc>
        <w:tc>
          <w:tcPr>
            <w:tcW w:w="1179" w:type="dxa"/>
            <w:tcBorders>
              <w:top w:val="single" w:sz="4" w:space="0" w:color="auto"/>
              <w:bottom w:val="single" w:sz="4" w:space="0" w:color="auto"/>
            </w:tcBorders>
            <w:hideMark/>
          </w:tcPr>
          <w:p w14:paraId="713F16D8" w14:textId="77777777" w:rsidR="00CF0E2D" w:rsidRDefault="00CF0E2D" w:rsidP="00A60D4B">
            <w:pPr>
              <w:pStyle w:val="InitFigR"/>
            </w:pPr>
            <w:r>
              <w:t>150</w:t>
            </w:r>
          </w:p>
        </w:tc>
        <w:tc>
          <w:tcPr>
            <w:tcW w:w="1041" w:type="dxa"/>
            <w:tcBorders>
              <w:top w:val="single" w:sz="4" w:space="0" w:color="auto"/>
              <w:bottom w:val="single" w:sz="4" w:space="0" w:color="auto"/>
            </w:tcBorders>
            <w:hideMark/>
          </w:tcPr>
          <w:p w14:paraId="1C5C4393" w14:textId="77777777" w:rsidR="00CF0E2D" w:rsidRDefault="00CF0E2D" w:rsidP="00A60D4B">
            <w:pPr>
              <w:pStyle w:val="InitFigR"/>
            </w:pPr>
            <w:r>
              <w:t>150</w:t>
            </w:r>
          </w:p>
        </w:tc>
        <w:tc>
          <w:tcPr>
            <w:tcW w:w="1029" w:type="dxa"/>
            <w:tcBorders>
              <w:top w:val="single" w:sz="4" w:space="0" w:color="auto"/>
              <w:bottom w:val="single" w:sz="4" w:space="0" w:color="auto"/>
            </w:tcBorders>
            <w:hideMark/>
          </w:tcPr>
          <w:p w14:paraId="1A990F7C" w14:textId="77777777" w:rsidR="00CF0E2D" w:rsidRDefault="00CF0E2D" w:rsidP="00A60D4B">
            <w:pPr>
              <w:pStyle w:val="InitFigR"/>
            </w:pPr>
            <w:r>
              <w:t>0</w:t>
            </w:r>
          </w:p>
        </w:tc>
        <w:tc>
          <w:tcPr>
            <w:tcW w:w="1029" w:type="dxa"/>
            <w:tcBorders>
              <w:top w:val="single" w:sz="4" w:space="0" w:color="auto"/>
              <w:bottom w:val="single" w:sz="4" w:space="0" w:color="auto"/>
            </w:tcBorders>
            <w:hideMark/>
          </w:tcPr>
          <w:p w14:paraId="7CF3BA8C" w14:textId="77777777" w:rsidR="00CF0E2D" w:rsidRDefault="00CF0E2D" w:rsidP="00A60D4B">
            <w:pPr>
              <w:pStyle w:val="InitFigR"/>
            </w:pPr>
            <w:r>
              <w:t>0</w:t>
            </w:r>
          </w:p>
        </w:tc>
        <w:tc>
          <w:tcPr>
            <w:tcW w:w="1029" w:type="dxa"/>
            <w:tcBorders>
              <w:top w:val="single" w:sz="4" w:space="0" w:color="auto"/>
              <w:bottom w:val="single" w:sz="4" w:space="0" w:color="auto"/>
            </w:tcBorders>
            <w:hideMark/>
          </w:tcPr>
          <w:p w14:paraId="2D487709" w14:textId="77777777" w:rsidR="00CF0E2D" w:rsidRDefault="00CF0E2D" w:rsidP="00A60D4B">
            <w:pPr>
              <w:pStyle w:val="InitFigBR"/>
            </w:pPr>
            <w:r>
              <w:t>300</w:t>
            </w:r>
          </w:p>
        </w:tc>
      </w:tr>
    </w:tbl>
    <w:p w14:paraId="5E056273" w14:textId="77777777" w:rsidR="00CF0E2D" w:rsidRDefault="00CF0E2D" w:rsidP="00A60D4B">
      <w:pPr>
        <w:pStyle w:val="Bbodytext"/>
      </w:pPr>
      <w:r>
        <w:t xml:space="preserve">The Government will undertake a feasibility study into the community facility needs of the Gungahlin Town Centre and surrounding area and, through a community co-design process, develop concept designs to inform potential development and construction. </w:t>
      </w:r>
    </w:p>
    <w:p w14:paraId="0F9ECB31" w14:textId="77777777" w:rsidR="00CF0E2D" w:rsidRDefault="00CF0E2D" w:rsidP="00A60D4B">
      <w:pPr>
        <w:pStyle w:val="Bbodytext"/>
      </w:pPr>
      <w:r>
        <w:t>This initiative contributes to the wellbeing domain of Social connection.</w:t>
      </w:r>
    </w:p>
    <w:p w14:paraId="59E5E27A" w14:textId="77777777" w:rsidR="00CF0E2D" w:rsidRPr="008C263D" w:rsidRDefault="00CF0E2D" w:rsidP="00A60D4B">
      <w:pPr>
        <w:pStyle w:val="Bbodytext"/>
      </w:pPr>
      <w:r>
        <w:rPr>
          <w:rFonts w:ascii="Calibri" w:eastAsiaTheme="majorEastAsia" w:hAnsi="Calibri" w:cstheme="majorBidi"/>
          <w:b/>
          <w:noProof/>
          <w:color w:val="999789"/>
          <w:sz w:val="32"/>
          <w:szCs w:val="24"/>
        </w:rPr>
        <w:drawing>
          <wp:anchor distT="0" distB="0" distL="114300" distR="114300" simplePos="0" relativeHeight="251747328" behindDoc="0" locked="1" layoutInCell="1" allowOverlap="1" wp14:anchorId="2F85BDBA" wp14:editId="38CC50A7">
            <wp:simplePos x="0" y="0"/>
            <wp:positionH relativeFrom="margin">
              <wp:align>right</wp:align>
            </wp:positionH>
            <wp:positionV relativeFrom="paragraph">
              <wp:posOffset>135890</wp:posOffset>
            </wp:positionV>
            <wp:extent cx="1216660" cy="503555"/>
            <wp:effectExtent l="0" t="0" r="2540" b="0"/>
            <wp:wrapSquare wrapText="bothSides"/>
            <wp:docPr id="262" name="Picture 262" descr="Icon representing the wellbeing domain of Identity and belo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 representing the wellbeing domain of Identity and belongi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16660" cy="503555"/>
                    </a:xfrm>
                    <a:prstGeom prst="rect">
                      <a:avLst/>
                    </a:prstGeom>
                  </pic:spPr>
                </pic:pic>
              </a:graphicData>
            </a:graphic>
            <wp14:sizeRelH relativeFrom="margin">
              <wp14:pctWidth>0</wp14:pctWidth>
            </wp14:sizeRelH>
            <wp14:sizeRelV relativeFrom="margin">
              <wp14:pctHeight>0</wp14:pctHeight>
            </wp14:sizeRelV>
          </wp:anchor>
        </w:drawing>
      </w:r>
    </w:p>
    <w:p w14:paraId="632E4DB1" w14:textId="77777777" w:rsidR="00CF0E2D" w:rsidRPr="00520C2D" w:rsidRDefault="00CF0E2D" w:rsidP="00A60D4B">
      <w:pPr>
        <w:pStyle w:val="Heading4"/>
        <w:rPr>
          <w:b w:val="0"/>
          <w:bCs/>
          <w:szCs w:val="26"/>
        </w:rPr>
      </w:pPr>
      <w:r w:rsidRPr="00520C2D">
        <w:t xml:space="preserve">Holocaust Museum and Education Centre </w:t>
      </w:r>
      <w:r w:rsidRPr="004174F8">
        <w:t>in Canberra</w:t>
      </w:r>
      <w:r w:rsidRPr="00520C2D">
        <w:rPr>
          <w:b w:val="0"/>
          <w:bCs/>
          <w:szCs w:val="26"/>
        </w:rPr>
        <w:t xml:space="preserve">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0A3F08" w14:paraId="25E10981" w14:textId="77777777" w:rsidTr="00A60D4B">
        <w:trPr>
          <w:cantSplit/>
          <w:jc w:val="center"/>
        </w:trPr>
        <w:tc>
          <w:tcPr>
            <w:tcW w:w="3652" w:type="dxa"/>
            <w:tcBorders>
              <w:top w:val="single" w:sz="4" w:space="0" w:color="auto"/>
              <w:bottom w:val="single" w:sz="4" w:space="0" w:color="auto"/>
            </w:tcBorders>
          </w:tcPr>
          <w:p w14:paraId="0267644F" w14:textId="77777777" w:rsidR="00CF0E2D" w:rsidRPr="000A3F08" w:rsidRDefault="00CF0E2D" w:rsidP="00A60D4B">
            <w:pPr>
              <w:spacing w:after="0"/>
              <w:rPr>
                <w:szCs w:val="24"/>
              </w:rPr>
            </w:pPr>
          </w:p>
        </w:tc>
        <w:tc>
          <w:tcPr>
            <w:tcW w:w="1179" w:type="dxa"/>
            <w:tcBorders>
              <w:top w:val="single" w:sz="4" w:space="0" w:color="auto"/>
              <w:bottom w:val="single" w:sz="4" w:space="0" w:color="auto"/>
            </w:tcBorders>
          </w:tcPr>
          <w:p w14:paraId="537FD87B" w14:textId="77777777" w:rsidR="00CF0E2D" w:rsidRPr="00D84288" w:rsidRDefault="00CF0E2D" w:rsidP="00A60D4B">
            <w:pPr>
              <w:pStyle w:val="InitFigR"/>
              <w:keepNext/>
              <w:keepLines/>
              <w:rPr>
                <w:b/>
                <w:bCs/>
              </w:rPr>
            </w:pPr>
            <w:r w:rsidRPr="00D84288">
              <w:rPr>
                <w:b/>
                <w:bCs/>
              </w:rPr>
              <w:t>2021-22</w:t>
            </w:r>
          </w:p>
          <w:p w14:paraId="6AA0BFD9" w14:textId="77777777" w:rsidR="00CF0E2D" w:rsidRPr="00D84288" w:rsidRDefault="00CF0E2D" w:rsidP="00A60D4B">
            <w:pPr>
              <w:pStyle w:val="InitFigR"/>
              <w:keepNext/>
              <w:keepLines/>
              <w:rPr>
                <w:b/>
                <w:bCs/>
              </w:rPr>
            </w:pPr>
            <w:r w:rsidRPr="00D84288">
              <w:rPr>
                <w:b/>
                <w:bCs/>
              </w:rPr>
              <w:t>$’000</w:t>
            </w:r>
          </w:p>
        </w:tc>
        <w:tc>
          <w:tcPr>
            <w:tcW w:w="1041" w:type="dxa"/>
            <w:tcBorders>
              <w:top w:val="single" w:sz="4" w:space="0" w:color="auto"/>
              <w:bottom w:val="single" w:sz="4" w:space="0" w:color="auto"/>
            </w:tcBorders>
          </w:tcPr>
          <w:p w14:paraId="33ECDE85" w14:textId="77777777" w:rsidR="00CF0E2D" w:rsidRPr="00D84288" w:rsidRDefault="00CF0E2D" w:rsidP="00A60D4B">
            <w:pPr>
              <w:pStyle w:val="InitFigR"/>
              <w:keepNext/>
              <w:keepLines/>
              <w:rPr>
                <w:b/>
                <w:bCs/>
              </w:rPr>
            </w:pPr>
            <w:r w:rsidRPr="00D84288">
              <w:rPr>
                <w:b/>
                <w:bCs/>
              </w:rPr>
              <w:t>2022-23</w:t>
            </w:r>
          </w:p>
          <w:p w14:paraId="2121635E" w14:textId="77777777" w:rsidR="00CF0E2D" w:rsidRPr="00D84288" w:rsidRDefault="00CF0E2D" w:rsidP="00A60D4B">
            <w:pPr>
              <w:pStyle w:val="InitFigR"/>
              <w:keepNext/>
              <w:keepLines/>
              <w:rPr>
                <w:b/>
                <w:bCs/>
              </w:rPr>
            </w:pPr>
            <w:r w:rsidRPr="00D84288">
              <w:rPr>
                <w:b/>
                <w:bCs/>
              </w:rPr>
              <w:t>$’000</w:t>
            </w:r>
          </w:p>
        </w:tc>
        <w:tc>
          <w:tcPr>
            <w:tcW w:w="1029" w:type="dxa"/>
            <w:tcBorders>
              <w:top w:val="single" w:sz="4" w:space="0" w:color="auto"/>
              <w:bottom w:val="single" w:sz="4" w:space="0" w:color="auto"/>
            </w:tcBorders>
          </w:tcPr>
          <w:p w14:paraId="18EDD8D4" w14:textId="77777777" w:rsidR="00CF0E2D" w:rsidRPr="00D84288" w:rsidRDefault="00CF0E2D" w:rsidP="00A60D4B">
            <w:pPr>
              <w:pStyle w:val="InitFigR"/>
              <w:keepNext/>
              <w:keepLines/>
              <w:rPr>
                <w:b/>
                <w:bCs/>
              </w:rPr>
            </w:pPr>
            <w:r w:rsidRPr="00D84288">
              <w:rPr>
                <w:b/>
                <w:bCs/>
              </w:rPr>
              <w:t>2023-24</w:t>
            </w:r>
          </w:p>
          <w:p w14:paraId="77A40206" w14:textId="77777777" w:rsidR="00CF0E2D" w:rsidRPr="00D84288" w:rsidRDefault="00CF0E2D" w:rsidP="00A60D4B">
            <w:pPr>
              <w:pStyle w:val="InitFigR"/>
              <w:keepNext/>
              <w:keepLines/>
              <w:rPr>
                <w:b/>
                <w:bCs/>
              </w:rPr>
            </w:pPr>
            <w:r w:rsidRPr="00D84288">
              <w:rPr>
                <w:b/>
                <w:bCs/>
              </w:rPr>
              <w:t>$’000</w:t>
            </w:r>
          </w:p>
        </w:tc>
        <w:tc>
          <w:tcPr>
            <w:tcW w:w="1029" w:type="dxa"/>
            <w:tcBorders>
              <w:top w:val="single" w:sz="4" w:space="0" w:color="auto"/>
              <w:bottom w:val="single" w:sz="4" w:space="0" w:color="auto"/>
            </w:tcBorders>
          </w:tcPr>
          <w:p w14:paraId="69EE852E" w14:textId="77777777" w:rsidR="00CF0E2D" w:rsidRPr="00D84288" w:rsidRDefault="00CF0E2D" w:rsidP="00A60D4B">
            <w:pPr>
              <w:pStyle w:val="InitFigR"/>
              <w:keepNext/>
              <w:keepLines/>
              <w:rPr>
                <w:b/>
                <w:bCs/>
              </w:rPr>
            </w:pPr>
            <w:r w:rsidRPr="00D84288">
              <w:rPr>
                <w:b/>
                <w:bCs/>
              </w:rPr>
              <w:t>2024-25</w:t>
            </w:r>
          </w:p>
          <w:p w14:paraId="7E783037" w14:textId="77777777" w:rsidR="00CF0E2D" w:rsidRPr="00D84288" w:rsidRDefault="00CF0E2D" w:rsidP="00A60D4B">
            <w:pPr>
              <w:pStyle w:val="InitFigR"/>
              <w:keepNext/>
              <w:keepLines/>
              <w:rPr>
                <w:b/>
                <w:bCs/>
              </w:rPr>
            </w:pPr>
            <w:r w:rsidRPr="00D84288">
              <w:rPr>
                <w:b/>
                <w:bCs/>
              </w:rPr>
              <w:t>$’000</w:t>
            </w:r>
          </w:p>
        </w:tc>
        <w:tc>
          <w:tcPr>
            <w:tcW w:w="1029" w:type="dxa"/>
            <w:tcBorders>
              <w:top w:val="single" w:sz="4" w:space="0" w:color="auto"/>
              <w:bottom w:val="single" w:sz="4" w:space="0" w:color="auto"/>
            </w:tcBorders>
          </w:tcPr>
          <w:p w14:paraId="63DEAD82" w14:textId="77777777" w:rsidR="00CF0E2D" w:rsidRPr="00D84288" w:rsidRDefault="00CF0E2D" w:rsidP="00A60D4B">
            <w:pPr>
              <w:pStyle w:val="InitFigR"/>
              <w:keepNext/>
              <w:keepLines/>
              <w:rPr>
                <w:b/>
                <w:bCs/>
              </w:rPr>
            </w:pPr>
            <w:r w:rsidRPr="00D84288">
              <w:rPr>
                <w:b/>
                <w:bCs/>
              </w:rPr>
              <w:t>Total</w:t>
            </w:r>
          </w:p>
          <w:p w14:paraId="70B3340F" w14:textId="77777777" w:rsidR="00CF0E2D" w:rsidRPr="00D84288" w:rsidRDefault="00CF0E2D" w:rsidP="00A60D4B">
            <w:pPr>
              <w:pStyle w:val="InitFigR"/>
              <w:keepNext/>
              <w:keepLines/>
              <w:rPr>
                <w:b/>
                <w:bCs/>
              </w:rPr>
            </w:pPr>
            <w:r w:rsidRPr="00D84288">
              <w:rPr>
                <w:b/>
                <w:bCs/>
              </w:rPr>
              <w:t>$’000</w:t>
            </w:r>
          </w:p>
        </w:tc>
      </w:tr>
      <w:tr w:rsidR="00CF0E2D" w:rsidRPr="000A3F08" w14:paraId="23B36541" w14:textId="77777777" w:rsidTr="00A60D4B">
        <w:trPr>
          <w:cantSplit/>
          <w:jc w:val="center"/>
        </w:trPr>
        <w:tc>
          <w:tcPr>
            <w:tcW w:w="3652" w:type="dxa"/>
            <w:tcBorders>
              <w:top w:val="single" w:sz="4" w:space="0" w:color="auto"/>
              <w:bottom w:val="single" w:sz="4" w:space="0" w:color="auto"/>
            </w:tcBorders>
          </w:tcPr>
          <w:p w14:paraId="45365CA0" w14:textId="77777777" w:rsidR="00CF0E2D" w:rsidRPr="000A3F08" w:rsidRDefault="00CF0E2D" w:rsidP="00A60D4B">
            <w:pPr>
              <w:pStyle w:val="InitTextL"/>
              <w:keepNext/>
              <w:keepLines/>
              <w:ind w:left="321" w:hanging="321"/>
              <w:rPr>
                <w:szCs w:val="24"/>
              </w:rPr>
            </w:pPr>
            <w:r w:rsidRPr="00D84288">
              <w:t>Expenses</w:t>
            </w:r>
          </w:p>
        </w:tc>
        <w:tc>
          <w:tcPr>
            <w:tcW w:w="1179" w:type="dxa"/>
            <w:tcBorders>
              <w:top w:val="single" w:sz="4" w:space="0" w:color="auto"/>
              <w:bottom w:val="single" w:sz="4" w:space="0" w:color="auto"/>
            </w:tcBorders>
          </w:tcPr>
          <w:p w14:paraId="518C39E5" w14:textId="77777777" w:rsidR="00CF0E2D" w:rsidRPr="00D84288" w:rsidRDefault="00CF0E2D" w:rsidP="00A60D4B">
            <w:pPr>
              <w:pStyle w:val="InitFigR"/>
              <w:keepNext/>
              <w:keepLines/>
            </w:pPr>
            <w:r w:rsidRPr="00D84288">
              <w:t>750</w:t>
            </w:r>
          </w:p>
        </w:tc>
        <w:tc>
          <w:tcPr>
            <w:tcW w:w="1041" w:type="dxa"/>
            <w:tcBorders>
              <w:top w:val="single" w:sz="4" w:space="0" w:color="auto"/>
              <w:bottom w:val="single" w:sz="4" w:space="0" w:color="auto"/>
            </w:tcBorders>
          </w:tcPr>
          <w:p w14:paraId="0B95E2E2" w14:textId="77777777" w:rsidR="00CF0E2D" w:rsidRPr="00D84288" w:rsidRDefault="00CF0E2D" w:rsidP="00A60D4B">
            <w:pPr>
              <w:pStyle w:val="InitFigR"/>
              <w:keepNext/>
              <w:keepLines/>
            </w:pPr>
            <w:r w:rsidRPr="00D84288">
              <w:t>0</w:t>
            </w:r>
          </w:p>
        </w:tc>
        <w:tc>
          <w:tcPr>
            <w:tcW w:w="1029" w:type="dxa"/>
            <w:tcBorders>
              <w:top w:val="single" w:sz="4" w:space="0" w:color="auto"/>
              <w:bottom w:val="single" w:sz="4" w:space="0" w:color="auto"/>
            </w:tcBorders>
          </w:tcPr>
          <w:p w14:paraId="102D9FAB" w14:textId="77777777" w:rsidR="00CF0E2D" w:rsidRPr="00D84288" w:rsidRDefault="00CF0E2D" w:rsidP="00A60D4B">
            <w:pPr>
              <w:pStyle w:val="InitFigR"/>
              <w:keepNext/>
              <w:keepLines/>
            </w:pPr>
            <w:r w:rsidRPr="00D84288">
              <w:t>0</w:t>
            </w:r>
          </w:p>
        </w:tc>
        <w:tc>
          <w:tcPr>
            <w:tcW w:w="1029" w:type="dxa"/>
            <w:tcBorders>
              <w:top w:val="single" w:sz="4" w:space="0" w:color="auto"/>
              <w:bottom w:val="single" w:sz="4" w:space="0" w:color="auto"/>
            </w:tcBorders>
          </w:tcPr>
          <w:p w14:paraId="41531300" w14:textId="77777777" w:rsidR="00CF0E2D" w:rsidRPr="00D84288" w:rsidRDefault="00CF0E2D" w:rsidP="00A60D4B">
            <w:pPr>
              <w:pStyle w:val="InitFigR"/>
              <w:keepNext/>
              <w:keepLines/>
            </w:pPr>
            <w:r w:rsidRPr="00D84288">
              <w:t>0</w:t>
            </w:r>
          </w:p>
        </w:tc>
        <w:tc>
          <w:tcPr>
            <w:tcW w:w="1029" w:type="dxa"/>
            <w:tcBorders>
              <w:top w:val="single" w:sz="4" w:space="0" w:color="auto"/>
              <w:bottom w:val="single" w:sz="4" w:space="0" w:color="auto"/>
            </w:tcBorders>
          </w:tcPr>
          <w:p w14:paraId="2B0CC377" w14:textId="77777777" w:rsidR="00CF0E2D" w:rsidRPr="00D84288" w:rsidRDefault="00CF0E2D" w:rsidP="00A60D4B">
            <w:pPr>
              <w:pStyle w:val="InitFigR"/>
              <w:keepNext/>
              <w:keepLines/>
              <w:rPr>
                <w:b/>
                <w:bCs/>
              </w:rPr>
            </w:pPr>
            <w:r w:rsidRPr="00D84288">
              <w:rPr>
                <w:b/>
                <w:bCs/>
              </w:rPr>
              <w:t>750</w:t>
            </w:r>
          </w:p>
        </w:tc>
      </w:tr>
    </w:tbl>
    <w:p w14:paraId="34402ADB" w14:textId="77777777" w:rsidR="00CF0E2D" w:rsidRPr="000A3F08" w:rsidRDefault="00CF0E2D" w:rsidP="00A60D4B">
      <w:pPr>
        <w:pStyle w:val="Bbodytext"/>
        <w:rPr>
          <w:szCs w:val="24"/>
        </w:rPr>
      </w:pPr>
      <w:r w:rsidRPr="000A3F08">
        <w:rPr>
          <w:szCs w:val="24"/>
        </w:rPr>
        <w:t xml:space="preserve">The Government will </w:t>
      </w:r>
      <w:r>
        <w:rPr>
          <w:szCs w:val="24"/>
        </w:rPr>
        <w:t>jointly fund with the</w:t>
      </w:r>
      <w:r w:rsidRPr="000A3F08">
        <w:rPr>
          <w:szCs w:val="24"/>
        </w:rPr>
        <w:t xml:space="preserve"> Commonwealth a Holocaust Museum and Education Centre at the National Jewish Memorial Centre in Canberra.</w:t>
      </w:r>
    </w:p>
    <w:p w14:paraId="1CB8EEE6" w14:textId="77777777" w:rsidR="00CF0E2D" w:rsidRDefault="00CF0E2D" w:rsidP="00A60D4B">
      <w:pPr>
        <w:pStyle w:val="Bbodytext"/>
      </w:pPr>
      <w:r w:rsidRPr="000A3F08">
        <w:rPr>
          <w:szCs w:val="24"/>
        </w:rPr>
        <w:t xml:space="preserve">This initiative contributes to the wellbeing domains of Identity and </w:t>
      </w:r>
      <w:r>
        <w:rPr>
          <w:szCs w:val="24"/>
        </w:rPr>
        <w:t>b</w:t>
      </w:r>
      <w:r w:rsidRPr="000A3F08">
        <w:rPr>
          <w:szCs w:val="24"/>
        </w:rPr>
        <w:t>elonging</w:t>
      </w:r>
      <w:r>
        <w:rPr>
          <w:szCs w:val="24"/>
        </w:rPr>
        <w:t>, and Social connection</w:t>
      </w:r>
      <w:r>
        <w:t>.</w:t>
      </w:r>
    </w:p>
    <w:p w14:paraId="7DB1B123" w14:textId="77777777" w:rsidR="00CF0E2D" w:rsidRDefault="00CF0E2D">
      <w:pPr>
        <w:rPr>
          <w:sz w:val="24"/>
        </w:rPr>
      </w:pPr>
      <w:r>
        <w:br w:type="page"/>
      </w:r>
    </w:p>
    <w:p w14:paraId="24E585C6" w14:textId="77777777" w:rsidR="00CF0E2D" w:rsidRPr="008858F4" w:rsidRDefault="00CF0E2D" w:rsidP="00A60D4B">
      <w:pPr>
        <w:pStyle w:val="Heading4"/>
        <w:rPr>
          <w:b w:val="0"/>
          <w:bCs/>
          <w:szCs w:val="26"/>
        </w:rPr>
      </w:pPr>
      <w:r w:rsidRPr="008858F4">
        <w:lastRenderedPageBreak/>
        <w:t>Implementing recommendations on the Secure Local Jobs Code</w:t>
      </w:r>
      <w:r>
        <w:rPr>
          <w:b w:val="0"/>
          <w:noProof/>
          <w:color w:val="999789"/>
          <w:sz w:val="32"/>
          <w:szCs w:val="24"/>
        </w:rPr>
        <w:drawing>
          <wp:anchor distT="0" distB="0" distL="114300" distR="114300" simplePos="0" relativeHeight="251748352" behindDoc="0" locked="1" layoutInCell="1" allowOverlap="1" wp14:anchorId="113EE678" wp14:editId="351C4E3B">
            <wp:simplePos x="0" y="0"/>
            <wp:positionH relativeFrom="margin">
              <wp:align>right</wp:align>
            </wp:positionH>
            <wp:positionV relativeFrom="paragraph">
              <wp:posOffset>5080</wp:posOffset>
            </wp:positionV>
            <wp:extent cx="1148080" cy="503555"/>
            <wp:effectExtent l="0" t="0" r="0" b="0"/>
            <wp:wrapSquare wrapText="bothSides"/>
            <wp:docPr id="263" name="Picture 263"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08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B73D57" w14:paraId="166EEBCD" w14:textId="77777777" w:rsidTr="00A60D4B">
        <w:trPr>
          <w:cantSplit/>
          <w:jc w:val="center"/>
        </w:trPr>
        <w:tc>
          <w:tcPr>
            <w:tcW w:w="3652" w:type="dxa"/>
            <w:tcBorders>
              <w:top w:val="single" w:sz="4" w:space="0" w:color="auto"/>
              <w:bottom w:val="single" w:sz="4" w:space="0" w:color="auto"/>
            </w:tcBorders>
          </w:tcPr>
          <w:p w14:paraId="1449D2BA" w14:textId="77777777" w:rsidR="00CF0E2D" w:rsidRPr="00433634" w:rsidRDefault="00CF0E2D" w:rsidP="00A60D4B">
            <w:pPr>
              <w:pStyle w:val="EmptyCell0"/>
              <w:rPr>
                <w:sz w:val="24"/>
                <w:szCs w:val="24"/>
              </w:rPr>
            </w:pPr>
            <w:r w:rsidRPr="00433634">
              <w:rPr>
                <w:sz w:val="24"/>
                <w:szCs w:val="24"/>
              </w:rPr>
              <w:t>Empty Cell</w:t>
            </w:r>
          </w:p>
        </w:tc>
        <w:tc>
          <w:tcPr>
            <w:tcW w:w="1179" w:type="dxa"/>
            <w:tcBorders>
              <w:top w:val="single" w:sz="4" w:space="0" w:color="auto"/>
              <w:bottom w:val="single" w:sz="4" w:space="0" w:color="auto"/>
            </w:tcBorders>
          </w:tcPr>
          <w:p w14:paraId="6F25DC38" w14:textId="77777777" w:rsidR="00CF0E2D" w:rsidRPr="005F0068" w:rsidRDefault="00CF0E2D" w:rsidP="00A60D4B">
            <w:pPr>
              <w:pStyle w:val="InitFigR"/>
              <w:rPr>
                <w:b/>
                <w:bCs/>
                <w:szCs w:val="24"/>
              </w:rPr>
            </w:pPr>
            <w:r w:rsidRPr="005F0068">
              <w:rPr>
                <w:b/>
                <w:bCs/>
                <w:szCs w:val="24"/>
              </w:rPr>
              <w:t>2021-22</w:t>
            </w:r>
          </w:p>
          <w:p w14:paraId="1A7E4875" w14:textId="77777777" w:rsidR="00CF0E2D" w:rsidRPr="005F0068" w:rsidRDefault="00CF0E2D" w:rsidP="00A60D4B">
            <w:pPr>
              <w:pStyle w:val="InitFigR"/>
              <w:rPr>
                <w:b/>
                <w:bCs/>
                <w:szCs w:val="24"/>
              </w:rPr>
            </w:pPr>
            <w:r w:rsidRPr="005F0068">
              <w:rPr>
                <w:b/>
                <w:bCs/>
                <w:szCs w:val="24"/>
              </w:rPr>
              <w:t>$’000</w:t>
            </w:r>
          </w:p>
        </w:tc>
        <w:tc>
          <w:tcPr>
            <w:tcW w:w="1041" w:type="dxa"/>
            <w:tcBorders>
              <w:top w:val="single" w:sz="4" w:space="0" w:color="auto"/>
              <w:bottom w:val="single" w:sz="4" w:space="0" w:color="auto"/>
            </w:tcBorders>
          </w:tcPr>
          <w:p w14:paraId="79AE6A92" w14:textId="77777777" w:rsidR="00CF0E2D" w:rsidRPr="005F0068" w:rsidRDefault="00CF0E2D" w:rsidP="00A60D4B">
            <w:pPr>
              <w:pStyle w:val="InitFigR"/>
              <w:rPr>
                <w:b/>
                <w:bCs/>
                <w:szCs w:val="24"/>
              </w:rPr>
            </w:pPr>
            <w:r w:rsidRPr="005F0068">
              <w:rPr>
                <w:b/>
                <w:bCs/>
                <w:szCs w:val="24"/>
              </w:rPr>
              <w:t>2022-23</w:t>
            </w:r>
          </w:p>
          <w:p w14:paraId="333B5A7A" w14:textId="77777777" w:rsidR="00CF0E2D" w:rsidRPr="005F0068" w:rsidRDefault="00CF0E2D" w:rsidP="00A60D4B">
            <w:pPr>
              <w:pStyle w:val="InitFigR"/>
              <w:rPr>
                <w:b/>
                <w:bCs/>
                <w:szCs w:val="24"/>
              </w:rPr>
            </w:pPr>
            <w:r w:rsidRPr="005F0068">
              <w:rPr>
                <w:b/>
                <w:bCs/>
                <w:szCs w:val="24"/>
              </w:rPr>
              <w:t>$’000</w:t>
            </w:r>
          </w:p>
        </w:tc>
        <w:tc>
          <w:tcPr>
            <w:tcW w:w="1029" w:type="dxa"/>
            <w:tcBorders>
              <w:top w:val="single" w:sz="4" w:space="0" w:color="auto"/>
              <w:bottom w:val="single" w:sz="4" w:space="0" w:color="auto"/>
            </w:tcBorders>
          </w:tcPr>
          <w:p w14:paraId="070AC27B" w14:textId="77777777" w:rsidR="00CF0E2D" w:rsidRPr="005F0068" w:rsidRDefault="00CF0E2D" w:rsidP="00A60D4B">
            <w:pPr>
              <w:pStyle w:val="InitFigR"/>
              <w:rPr>
                <w:b/>
                <w:bCs/>
                <w:szCs w:val="24"/>
              </w:rPr>
            </w:pPr>
            <w:r w:rsidRPr="005F0068">
              <w:rPr>
                <w:b/>
                <w:bCs/>
                <w:szCs w:val="24"/>
              </w:rPr>
              <w:t>2023-24</w:t>
            </w:r>
          </w:p>
          <w:p w14:paraId="42D39916" w14:textId="77777777" w:rsidR="00CF0E2D" w:rsidRPr="005F0068" w:rsidRDefault="00CF0E2D" w:rsidP="00A60D4B">
            <w:pPr>
              <w:pStyle w:val="InitFigR"/>
              <w:rPr>
                <w:b/>
                <w:bCs/>
                <w:szCs w:val="24"/>
              </w:rPr>
            </w:pPr>
            <w:r w:rsidRPr="005F0068">
              <w:rPr>
                <w:b/>
                <w:bCs/>
                <w:szCs w:val="24"/>
              </w:rPr>
              <w:t>$’000</w:t>
            </w:r>
          </w:p>
        </w:tc>
        <w:tc>
          <w:tcPr>
            <w:tcW w:w="1029" w:type="dxa"/>
            <w:tcBorders>
              <w:top w:val="single" w:sz="4" w:space="0" w:color="auto"/>
              <w:bottom w:val="single" w:sz="4" w:space="0" w:color="auto"/>
            </w:tcBorders>
          </w:tcPr>
          <w:p w14:paraId="4AA4C7DE" w14:textId="77777777" w:rsidR="00CF0E2D" w:rsidRPr="005F0068" w:rsidRDefault="00CF0E2D" w:rsidP="00A60D4B">
            <w:pPr>
              <w:pStyle w:val="InitFigR"/>
              <w:rPr>
                <w:b/>
                <w:bCs/>
                <w:szCs w:val="24"/>
              </w:rPr>
            </w:pPr>
            <w:r w:rsidRPr="005F0068">
              <w:rPr>
                <w:b/>
                <w:bCs/>
                <w:szCs w:val="24"/>
              </w:rPr>
              <w:t>2024-25</w:t>
            </w:r>
          </w:p>
          <w:p w14:paraId="2E94788D" w14:textId="77777777" w:rsidR="00CF0E2D" w:rsidRPr="005F0068" w:rsidRDefault="00CF0E2D" w:rsidP="00A60D4B">
            <w:pPr>
              <w:pStyle w:val="InitFigR"/>
              <w:rPr>
                <w:b/>
                <w:bCs/>
                <w:szCs w:val="24"/>
              </w:rPr>
            </w:pPr>
            <w:r w:rsidRPr="005F0068">
              <w:rPr>
                <w:b/>
                <w:bCs/>
                <w:szCs w:val="24"/>
              </w:rPr>
              <w:t>$’000</w:t>
            </w:r>
          </w:p>
        </w:tc>
        <w:tc>
          <w:tcPr>
            <w:tcW w:w="1029" w:type="dxa"/>
            <w:tcBorders>
              <w:top w:val="single" w:sz="4" w:space="0" w:color="auto"/>
              <w:bottom w:val="single" w:sz="4" w:space="0" w:color="auto"/>
            </w:tcBorders>
          </w:tcPr>
          <w:p w14:paraId="10E17817" w14:textId="77777777" w:rsidR="00CF0E2D" w:rsidRPr="00750BD7" w:rsidRDefault="00CF0E2D" w:rsidP="00A60D4B">
            <w:pPr>
              <w:pStyle w:val="InitFigRBold"/>
              <w:rPr>
                <w:szCs w:val="24"/>
              </w:rPr>
            </w:pPr>
            <w:r w:rsidRPr="00750BD7">
              <w:rPr>
                <w:szCs w:val="24"/>
              </w:rPr>
              <w:t>Total</w:t>
            </w:r>
          </w:p>
          <w:p w14:paraId="34C8CD0B" w14:textId="77777777" w:rsidR="00CF0E2D" w:rsidRPr="0042780A" w:rsidRDefault="00CF0E2D" w:rsidP="00A60D4B">
            <w:pPr>
              <w:pStyle w:val="InitFigBR"/>
              <w:rPr>
                <w:szCs w:val="24"/>
              </w:rPr>
            </w:pPr>
            <w:r w:rsidRPr="0042780A">
              <w:rPr>
                <w:szCs w:val="24"/>
              </w:rPr>
              <w:t>$’000</w:t>
            </w:r>
          </w:p>
        </w:tc>
      </w:tr>
      <w:tr w:rsidR="00CF0E2D" w:rsidRPr="00B73D57" w14:paraId="1C2D1858" w14:textId="77777777" w:rsidTr="00A60D4B">
        <w:trPr>
          <w:cantSplit/>
          <w:jc w:val="center"/>
        </w:trPr>
        <w:tc>
          <w:tcPr>
            <w:tcW w:w="3652" w:type="dxa"/>
            <w:tcBorders>
              <w:top w:val="single" w:sz="4" w:space="0" w:color="auto"/>
              <w:bottom w:val="single" w:sz="4" w:space="0" w:color="auto"/>
            </w:tcBorders>
          </w:tcPr>
          <w:p w14:paraId="3858D1EB" w14:textId="77777777" w:rsidR="00CF0E2D" w:rsidRPr="00BD13B4" w:rsidRDefault="00CF0E2D" w:rsidP="00A60D4B">
            <w:pPr>
              <w:pStyle w:val="InitTextL"/>
              <w:ind w:left="321" w:hanging="321"/>
              <w:rPr>
                <w:szCs w:val="24"/>
              </w:rPr>
            </w:pPr>
            <w:r w:rsidRPr="00BD13B4">
              <w:rPr>
                <w:szCs w:val="24"/>
              </w:rPr>
              <w:t>Expenses</w:t>
            </w:r>
          </w:p>
        </w:tc>
        <w:tc>
          <w:tcPr>
            <w:tcW w:w="1179" w:type="dxa"/>
            <w:tcBorders>
              <w:top w:val="single" w:sz="4" w:space="0" w:color="auto"/>
              <w:bottom w:val="single" w:sz="4" w:space="0" w:color="auto"/>
            </w:tcBorders>
          </w:tcPr>
          <w:p w14:paraId="4279F1EC" w14:textId="77777777" w:rsidR="00CF0E2D" w:rsidRPr="000A3F08" w:rsidRDefault="00CF0E2D" w:rsidP="00A60D4B">
            <w:pPr>
              <w:pStyle w:val="InitFigR"/>
              <w:rPr>
                <w:szCs w:val="24"/>
              </w:rPr>
            </w:pPr>
            <w:r w:rsidRPr="00BD13B4">
              <w:rPr>
                <w:szCs w:val="24"/>
              </w:rPr>
              <w:t>615</w:t>
            </w:r>
          </w:p>
        </w:tc>
        <w:tc>
          <w:tcPr>
            <w:tcW w:w="1041" w:type="dxa"/>
            <w:tcBorders>
              <w:top w:val="single" w:sz="4" w:space="0" w:color="auto"/>
              <w:bottom w:val="single" w:sz="4" w:space="0" w:color="auto"/>
            </w:tcBorders>
          </w:tcPr>
          <w:p w14:paraId="5B42C47F" w14:textId="77777777" w:rsidR="00CF0E2D" w:rsidRPr="00AE2956" w:rsidRDefault="00CF0E2D" w:rsidP="00A60D4B">
            <w:pPr>
              <w:pStyle w:val="InitFigR"/>
              <w:rPr>
                <w:szCs w:val="24"/>
              </w:rPr>
            </w:pPr>
            <w:r w:rsidRPr="00AE2956">
              <w:rPr>
                <w:szCs w:val="24"/>
              </w:rPr>
              <w:t>935</w:t>
            </w:r>
          </w:p>
        </w:tc>
        <w:tc>
          <w:tcPr>
            <w:tcW w:w="1029" w:type="dxa"/>
            <w:tcBorders>
              <w:top w:val="single" w:sz="4" w:space="0" w:color="auto"/>
              <w:bottom w:val="single" w:sz="4" w:space="0" w:color="auto"/>
            </w:tcBorders>
          </w:tcPr>
          <w:p w14:paraId="2B792D35" w14:textId="77777777" w:rsidR="00CF0E2D" w:rsidRPr="0000505E" w:rsidRDefault="00CF0E2D" w:rsidP="00A60D4B">
            <w:pPr>
              <w:pStyle w:val="InitFigR"/>
              <w:rPr>
                <w:szCs w:val="24"/>
              </w:rPr>
            </w:pPr>
            <w:r w:rsidRPr="00AE2956">
              <w:rPr>
                <w:szCs w:val="24"/>
              </w:rPr>
              <w:t>948</w:t>
            </w:r>
          </w:p>
        </w:tc>
        <w:tc>
          <w:tcPr>
            <w:tcW w:w="1029" w:type="dxa"/>
            <w:tcBorders>
              <w:top w:val="single" w:sz="4" w:space="0" w:color="auto"/>
              <w:bottom w:val="single" w:sz="4" w:space="0" w:color="auto"/>
            </w:tcBorders>
          </w:tcPr>
          <w:p w14:paraId="62C80166" w14:textId="77777777" w:rsidR="00CF0E2D" w:rsidRPr="000C3CAE" w:rsidRDefault="00CF0E2D" w:rsidP="00A60D4B">
            <w:pPr>
              <w:pStyle w:val="InitFigR"/>
              <w:rPr>
                <w:szCs w:val="24"/>
              </w:rPr>
            </w:pPr>
            <w:r w:rsidRPr="0000505E">
              <w:rPr>
                <w:szCs w:val="24"/>
              </w:rPr>
              <w:t>961</w:t>
            </w:r>
          </w:p>
        </w:tc>
        <w:tc>
          <w:tcPr>
            <w:tcW w:w="1029" w:type="dxa"/>
            <w:tcBorders>
              <w:top w:val="single" w:sz="4" w:space="0" w:color="auto"/>
              <w:bottom w:val="single" w:sz="4" w:space="0" w:color="auto"/>
            </w:tcBorders>
          </w:tcPr>
          <w:p w14:paraId="2DEA9A45" w14:textId="77777777" w:rsidR="00CF0E2D" w:rsidRPr="00E30BBE" w:rsidRDefault="00CF0E2D" w:rsidP="00A60D4B">
            <w:pPr>
              <w:pStyle w:val="InitFigBR"/>
              <w:rPr>
                <w:szCs w:val="24"/>
              </w:rPr>
            </w:pPr>
            <w:r w:rsidRPr="004806B8">
              <w:rPr>
                <w:szCs w:val="24"/>
              </w:rPr>
              <w:t>3,459</w:t>
            </w:r>
          </w:p>
        </w:tc>
      </w:tr>
    </w:tbl>
    <w:p w14:paraId="090BA231" w14:textId="77777777" w:rsidR="00CF0E2D" w:rsidRPr="00E52BF5" w:rsidRDefault="00CF0E2D" w:rsidP="00A60D4B">
      <w:pPr>
        <w:pStyle w:val="Bbodytext"/>
      </w:pPr>
      <w:r w:rsidRPr="00E52BF5">
        <w:t xml:space="preserve">The Government will provide additional resources to the Secure Local Jobs Code Registrar to implement the recommendations from the Secure Local Jobs Advisory Council review of the operations of the Secure Local Jobs Code. The funding will support compliance, enforcement, and policy and legislative reforms to implement a new two-stage procurement process for Government. </w:t>
      </w:r>
    </w:p>
    <w:p w14:paraId="1E59EA73" w14:textId="77777777" w:rsidR="00CF0E2D" w:rsidRDefault="00CF0E2D" w:rsidP="00A60D4B">
      <w:pPr>
        <w:pStyle w:val="Bbodytext"/>
      </w:pPr>
      <w:r w:rsidRPr="00E52BF5">
        <w:t xml:space="preserve">This initiative contributes to the wellbeing domains of Economy and Governance and institutions. </w:t>
      </w:r>
    </w:p>
    <w:p w14:paraId="7A83FD8A" w14:textId="77777777" w:rsidR="00CF0E2D" w:rsidRPr="00E52BF5" w:rsidRDefault="00CF0E2D" w:rsidP="00A60D4B">
      <w:pPr>
        <w:pStyle w:val="Bbodytext"/>
      </w:pPr>
    </w:p>
    <w:p w14:paraId="34A28714" w14:textId="77777777" w:rsidR="00CF0E2D" w:rsidRPr="00A94E9D" w:rsidRDefault="00CF0E2D" w:rsidP="00A60D4B">
      <w:pPr>
        <w:pStyle w:val="Heading4"/>
        <w:rPr>
          <w:b w:val="0"/>
          <w:bCs/>
          <w:szCs w:val="26"/>
        </w:rPr>
      </w:pPr>
      <w:r w:rsidRPr="00A94E9D">
        <w:t xml:space="preserve">Implementing the </w:t>
      </w:r>
      <w:r w:rsidRPr="009C0EE0">
        <w:t>Automatic Mutual Recognition Scheme</w:t>
      </w:r>
      <w:r w:rsidRPr="00A94E9D">
        <w:rPr>
          <w:b w:val="0"/>
          <w:bCs/>
          <w:szCs w:val="26"/>
        </w:rPr>
        <w:t xml:space="preserve"> </w:t>
      </w:r>
      <w:r>
        <w:rPr>
          <w:b w:val="0"/>
          <w:noProof/>
          <w:color w:val="999789"/>
          <w:sz w:val="32"/>
          <w:szCs w:val="24"/>
        </w:rPr>
        <w:drawing>
          <wp:anchor distT="0" distB="0" distL="114300" distR="114300" simplePos="0" relativeHeight="251749376" behindDoc="0" locked="1" layoutInCell="1" allowOverlap="1" wp14:anchorId="19F1EF99" wp14:editId="718182F7">
            <wp:simplePos x="0" y="0"/>
            <wp:positionH relativeFrom="margin">
              <wp:align>right</wp:align>
            </wp:positionH>
            <wp:positionV relativeFrom="paragraph">
              <wp:posOffset>-132715</wp:posOffset>
            </wp:positionV>
            <wp:extent cx="1148080" cy="503555"/>
            <wp:effectExtent l="0" t="0" r="0" b="0"/>
            <wp:wrapSquare wrapText="bothSides"/>
            <wp:docPr id="264" name="Picture 264"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08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3D4C76BA" w14:textId="77777777" w:rsidTr="00A60D4B">
        <w:trPr>
          <w:cantSplit/>
          <w:jc w:val="center"/>
        </w:trPr>
        <w:tc>
          <w:tcPr>
            <w:tcW w:w="3652" w:type="dxa"/>
            <w:tcBorders>
              <w:top w:val="single" w:sz="4" w:space="0" w:color="auto"/>
              <w:bottom w:val="single" w:sz="4" w:space="0" w:color="auto"/>
            </w:tcBorders>
          </w:tcPr>
          <w:p w14:paraId="5A24CC20"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50B7DADD" w14:textId="77777777" w:rsidR="00CF0E2D" w:rsidRPr="005F182D" w:rsidRDefault="00CF0E2D" w:rsidP="00A60D4B">
            <w:pPr>
              <w:pStyle w:val="InitFigR"/>
              <w:rPr>
                <w:b/>
                <w:bCs/>
              </w:rPr>
            </w:pPr>
            <w:r w:rsidRPr="005F182D">
              <w:rPr>
                <w:b/>
                <w:bCs/>
              </w:rPr>
              <w:t>2021-22</w:t>
            </w:r>
          </w:p>
          <w:p w14:paraId="38543810" w14:textId="77777777" w:rsidR="00CF0E2D" w:rsidRPr="005F182D" w:rsidRDefault="00CF0E2D" w:rsidP="00A60D4B">
            <w:pPr>
              <w:pStyle w:val="InitFigR"/>
              <w:rPr>
                <w:b/>
                <w:bCs/>
              </w:rPr>
            </w:pPr>
            <w:r w:rsidRPr="005F182D">
              <w:rPr>
                <w:b/>
                <w:bCs/>
              </w:rPr>
              <w:t>$’000</w:t>
            </w:r>
          </w:p>
        </w:tc>
        <w:tc>
          <w:tcPr>
            <w:tcW w:w="1041" w:type="dxa"/>
            <w:tcBorders>
              <w:top w:val="single" w:sz="4" w:space="0" w:color="auto"/>
              <w:bottom w:val="single" w:sz="4" w:space="0" w:color="auto"/>
            </w:tcBorders>
          </w:tcPr>
          <w:p w14:paraId="11F7873F" w14:textId="77777777" w:rsidR="00CF0E2D" w:rsidRPr="005F182D" w:rsidRDefault="00CF0E2D" w:rsidP="00A60D4B">
            <w:pPr>
              <w:pStyle w:val="InitFigR"/>
              <w:rPr>
                <w:b/>
                <w:bCs/>
              </w:rPr>
            </w:pPr>
            <w:r w:rsidRPr="005F182D">
              <w:rPr>
                <w:b/>
                <w:bCs/>
              </w:rPr>
              <w:t>2022-23</w:t>
            </w:r>
          </w:p>
          <w:p w14:paraId="600C2FA9" w14:textId="77777777" w:rsidR="00CF0E2D" w:rsidRPr="005F182D" w:rsidRDefault="00CF0E2D" w:rsidP="00A60D4B">
            <w:pPr>
              <w:pStyle w:val="InitFigR"/>
              <w:rPr>
                <w:b/>
                <w:bCs/>
              </w:rPr>
            </w:pPr>
            <w:r w:rsidRPr="005F182D">
              <w:rPr>
                <w:b/>
                <w:bCs/>
              </w:rPr>
              <w:t>$’000</w:t>
            </w:r>
          </w:p>
        </w:tc>
        <w:tc>
          <w:tcPr>
            <w:tcW w:w="1029" w:type="dxa"/>
            <w:tcBorders>
              <w:top w:val="single" w:sz="4" w:space="0" w:color="auto"/>
              <w:bottom w:val="single" w:sz="4" w:space="0" w:color="auto"/>
            </w:tcBorders>
          </w:tcPr>
          <w:p w14:paraId="4E8D53F0" w14:textId="77777777" w:rsidR="00CF0E2D" w:rsidRPr="005F182D" w:rsidRDefault="00CF0E2D" w:rsidP="00A60D4B">
            <w:pPr>
              <w:pStyle w:val="InitFigR"/>
              <w:rPr>
                <w:b/>
                <w:bCs/>
              </w:rPr>
            </w:pPr>
            <w:r w:rsidRPr="005F182D">
              <w:rPr>
                <w:b/>
                <w:bCs/>
              </w:rPr>
              <w:t>2023-24</w:t>
            </w:r>
          </w:p>
          <w:p w14:paraId="1EDA0D75" w14:textId="77777777" w:rsidR="00CF0E2D" w:rsidRPr="005F182D" w:rsidRDefault="00CF0E2D" w:rsidP="00A60D4B">
            <w:pPr>
              <w:pStyle w:val="InitFigR"/>
              <w:rPr>
                <w:b/>
                <w:bCs/>
              </w:rPr>
            </w:pPr>
            <w:r w:rsidRPr="005F182D">
              <w:rPr>
                <w:b/>
                <w:bCs/>
              </w:rPr>
              <w:t>$’000</w:t>
            </w:r>
          </w:p>
        </w:tc>
        <w:tc>
          <w:tcPr>
            <w:tcW w:w="1029" w:type="dxa"/>
            <w:tcBorders>
              <w:top w:val="single" w:sz="4" w:space="0" w:color="auto"/>
              <w:bottom w:val="single" w:sz="4" w:space="0" w:color="auto"/>
            </w:tcBorders>
          </w:tcPr>
          <w:p w14:paraId="2E43113B" w14:textId="77777777" w:rsidR="00CF0E2D" w:rsidRPr="005F182D" w:rsidRDefault="00CF0E2D" w:rsidP="00A60D4B">
            <w:pPr>
              <w:pStyle w:val="InitFigR"/>
              <w:rPr>
                <w:b/>
                <w:bCs/>
              </w:rPr>
            </w:pPr>
            <w:r w:rsidRPr="005F182D">
              <w:rPr>
                <w:b/>
                <w:bCs/>
              </w:rPr>
              <w:t>2024-25</w:t>
            </w:r>
          </w:p>
          <w:p w14:paraId="5DF8C219" w14:textId="77777777" w:rsidR="00CF0E2D" w:rsidRPr="005F182D" w:rsidRDefault="00CF0E2D" w:rsidP="00A60D4B">
            <w:pPr>
              <w:pStyle w:val="InitFigR"/>
              <w:rPr>
                <w:b/>
                <w:bCs/>
              </w:rPr>
            </w:pPr>
            <w:r w:rsidRPr="005F182D">
              <w:rPr>
                <w:b/>
                <w:bCs/>
              </w:rPr>
              <w:t>$’000</w:t>
            </w:r>
          </w:p>
        </w:tc>
        <w:tc>
          <w:tcPr>
            <w:tcW w:w="1029" w:type="dxa"/>
            <w:tcBorders>
              <w:top w:val="single" w:sz="4" w:space="0" w:color="auto"/>
              <w:bottom w:val="single" w:sz="4" w:space="0" w:color="auto"/>
            </w:tcBorders>
          </w:tcPr>
          <w:p w14:paraId="2B3B25BB" w14:textId="77777777" w:rsidR="00CF0E2D" w:rsidRPr="004E341E" w:rsidRDefault="00CF0E2D" w:rsidP="00A60D4B">
            <w:pPr>
              <w:pStyle w:val="InitFigRBold"/>
            </w:pPr>
            <w:r w:rsidRPr="004E341E">
              <w:t>Total</w:t>
            </w:r>
          </w:p>
          <w:p w14:paraId="172338F3" w14:textId="77777777" w:rsidR="00CF0E2D" w:rsidRPr="004E341E" w:rsidRDefault="00CF0E2D" w:rsidP="00A60D4B">
            <w:pPr>
              <w:pStyle w:val="InitFigBR"/>
            </w:pPr>
            <w:r w:rsidRPr="004E341E">
              <w:t>$’000</w:t>
            </w:r>
          </w:p>
        </w:tc>
      </w:tr>
      <w:tr w:rsidR="00CF0E2D" w:rsidRPr="00750793" w14:paraId="12DB0D30" w14:textId="77777777" w:rsidTr="00A60D4B">
        <w:trPr>
          <w:cantSplit/>
          <w:jc w:val="center"/>
        </w:trPr>
        <w:tc>
          <w:tcPr>
            <w:tcW w:w="3652" w:type="dxa"/>
          </w:tcPr>
          <w:p w14:paraId="39739D1B" w14:textId="77777777" w:rsidR="00CF0E2D" w:rsidRPr="00F13FAB" w:rsidRDefault="00CF0E2D" w:rsidP="00A60D4B">
            <w:pPr>
              <w:pStyle w:val="InitTextL"/>
              <w:ind w:left="321" w:hanging="321"/>
            </w:pPr>
            <w:r w:rsidRPr="00882BE2">
              <w:t>Expenses</w:t>
            </w:r>
          </w:p>
        </w:tc>
        <w:tc>
          <w:tcPr>
            <w:tcW w:w="1179" w:type="dxa"/>
          </w:tcPr>
          <w:p w14:paraId="235EDEFD" w14:textId="77777777" w:rsidR="00CF0E2D" w:rsidRPr="00424DA4" w:rsidRDefault="00CF0E2D" w:rsidP="00A60D4B">
            <w:pPr>
              <w:pStyle w:val="InitFigR"/>
            </w:pPr>
            <w:r>
              <w:t>917</w:t>
            </w:r>
          </w:p>
        </w:tc>
        <w:tc>
          <w:tcPr>
            <w:tcW w:w="1041" w:type="dxa"/>
          </w:tcPr>
          <w:p w14:paraId="099D6302" w14:textId="77777777" w:rsidR="00CF0E2D" w:rsidRPr="00424DA4" w:rsidRDefault="00CF0E2D" w:rsidP="00A60D4B">
            <w:pPr>
              <w:pStyle w:val="InitFigR"/>
            </w:pPr>
            <w:r>
              <w:t>329</w:t>
            </w:r>
          </w:p>
        </w:tc>
        <w:tc>
          <w:tcPr>
            <w:tcW w:w="1029" w:type="dxa"/>
          </w:tcPr>
          <w:p w14:paraId="75EC080F" w14:textId="77777777" w:rsidR="00CF0E2D" w:rsidRPr="00424DA4" w:rsidRDefault="00CF0E2D" w:rsidP="00A60D4B">
            <w:pPr>
              <w:pStyle w:val="InitFigR"/>
            </w:pPr>
            <w:r>
              <w:t>0</w:t>
            </w:r>
          </w:p>
        </w:tc>
        <w:tc>
          <w:tcPr>
            <w:tcW w:w="1029" w:type="dxa"/>
          </w:tcPr>
          <w:p w14:paraId="7AFE1A76" w14:textId="77777777" w:rsidR="00CF0E2D" w:rsidRPr="00424DA4" w:rsidRDefault="00CF0E2D" w:rsidP="00A60D4B">
            <w:pPr>
              <w:pStyle w:val="InitFigR"/>
            </w:pPr>
            <w:r>
              <w:t>0</w:t>
            </w:r>
          </w:p>
        </w:tc>
        <w:tc>
          <w:tcPr>
            <w:tcW w:w="1029" w:type="dxa"/>
          </w:tcPr>
          <w:p w14:paraId="014A1A2E" w14:textId="77777777" w:rsidR="00CF0E2D" w:rsidRPr="00424DA4" w:rsidRDefault="00CF0E2D" w:rsidP="00A60D4B">
            <w:pPr>
              <w:pStyle w:val="InitFigBR"/>
            </w:pPr>
            <w:r>
              <w:t>1,246</w:t>
            </w:r>
          </w:p>
        </w:tc>
      </w:tr>
      <w:tr w:rsidR="00CF0E2D" w:rsidRPr="00750793" w14:paraId="73C2399B" w14:textId="77777777" w:rsidTr="00A60D4B">
        <w:trPr>
          <w:cantSplit/>
          <w:trHeight w:val="107"/>
          <w:jc w:val="center"/>
        </w:trPr>
        <w:tc>
          <w:tcPr>
            <w:tcW w:w="3652" w:type="dxa"/>
          </w:tcPr>
          <w:p w14:paraId="78959FEF" w14:textId="77777777" w:rsidR="00CF0E2D" w:rsidRDefault="00CF0E2D" w:rsidP="00A60D4B">
            <w:pPr>
              <w:pStyle w:val="InitTextL"/>
              <w:ind w:left="321" w:hanging="321"/>
            </w:pPr>
            <w:r>
              <w:t>Revenue forgone</w:t>
            </w:r>
          </w:p>
        </w:tc>
        <w:tc>
          <w:tcPr>
            <w:tcW w:w="1179" w:type="dxa"/>
          </w:tcPr>
          <w:p w14:paraId="1F2593B1" w14:textId="77777777" w:rsidR="00CF0E2D" w:rsidRPr="00424DA4" w:rsidRDefault="00CF0E2D" w:rsidP="00A60D4B">
            <w:pPr>
              <w:pStyle w:val="InitFigR"/>
            </w:pPr>
            <w:r>
              <w:t>0</w:t>
            </w:r>
          </w:p>
        </w:tc>
        <w:tc>
          <w:tcPr>
            <w:tcW w:w="1041" w:type="dxa"/>
          </w:tcPr>
          <w:p w14:paraId="7F9FB2E8" w14:textId="77777777" w:rsidR="00CF0E2D" w:rsidRPr="00424DA4" w:rsidRDefault="00CF0E2D" w:rsidP="00A60D4B">
            <w:pPr>
              <w:pStyle w:val="InitFigR"/>
            </w:pPr>
            <w:r>
              <w:t>782</w:t>
            </w:r>
          </w:p>
        </w:tc>
        <w:tc>
          <w:tcPr>
            <w:tcW w:w="1029" w:type="dxa"/>
          </w:tcPr>
          <w:p w14:paraId="2C9F64AB" w14:textId="77777777" w:rsidR="00CF0E2D" w:rsidRPr="00424DA4" w:rsidRDefault="00CF0E2D" w:rsidP="00A60D4B">
            <w:pPr>
              <w:pStyle w:val="InitFigR"/>
            </w:pPr>
            <w:r>
              <w:t>795</w:t>
            </w:r>
          </w:p>
        </w:tc>
        <w:tc>
          <w:tcPr>
            <w:tcW w:w="1029" w:type="dxa"/>
          </w:tcPr>
          <w:p w14:paraId="79E5CDA8" w14:textId="77777777" w:rsidR="00CF0E2D" w:rsidRPr="00424DA4" w:rsidRDefault="00CF0E2D" w:rsidP="00A60D4B">
            <w:pPr>
              <w:pStyle w:val="InitFigR"/>
            </w:pPr>
            <w:r>
              <w:t>809</w:t>
            </w:r>
          </w:p>
        </w:tc>
        <w:tc>
          <w:tcPr>
            <w:tcW w:w="1029" w:type="dxa"/>
          </w:tcPr>
          <w:p w14:paraId="000FA890" w14:textId="77777777" w:rsidR="00CF0E2D" w:rsidRPr="00424DA4" w:rsidRDefault="00CF0E2D" w:rsidP="00A60D4B">
            <w:pPr>
              <w:pStyle w:val="InitFigBR"/>
            </w:pPr>
            <w:r>
              <w:t>2,386</w:t>
            </w:r>
          </w:p>
        </w:tc>
      </w:tr>
      <w:tr w:rsidR="00CF0E2D" w:rsidRPr="00750793" w14:paraId="54810BE4" w14:textId="77777777" w:rsidTr="00A60D4B">
        <w:trPr>
          <w:cantSplit/>
          <w:trHeight w:val="107"/>
          <w:jc w:val="center"/>
        </w:trPr>
        <w:tc>
          <w:tcPr>
            <w:tcW w:w="3652" w:type="dxa"/>
            <w:tcBorders>
              <w:top w:val="single" w:sz="4" w:space="0" w:color="auto"/>
              <w:bottom w:val="single" w:sz="4" w:space="0" w:color="auto"/>
            </w:tcBorders>
          </w:tcPr>
          <w:p w14:paraId="7D28F055"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2698F2A1" w14:textId="77777777" w:rsidR="00CF0E2D" w:rsidRPr="00424DA4" w:rsidRDefault="00CF0E2D" w:rsidP="00A60D4B">
            <w:pPr>
              <w:pStyle w:val="InitFigRBold"/>
            </w:pPr>
            <w:r>
              <w:t>917</w:t>
            </w:r>
          </w:p>
        </w:tc>
        <w:tc>
          <w:tcPr>
            <w:tcW w:w="1041" w:type="dxa"/>
            <w:tcBorders>
              <w:top w:val="single" w:sz="4" w:space="0" w:color="auto"/>
              <w:bottom w:val="single" w:sz="4" w:space="0" w:color="auto"/>
            </w:tcBorders>
          </w:tcPr>
          <w:p w14:paraId="54A0C6CE" w14:textId="77777777" w:rsidR="00CF0E2D" w:rsidRPr="00424DA4" w:rsidRDefault="00CF0E2D" w:rsidP="00A60D4B">
            <w:pPr>
              <w:pStyle w:val="InitFigRBold"/>
            </w:pPr>
            <w:r>
              <w:t>1,111</w:t>
            </w:r>
          </w:p>
        </w:tc>
        <w:tc>
          <w:tcPr>
            <w:tcW w:w="1029" w:type="dxa"/>
            <w:tcBorders>
              <w:top w:val="single" w:sz="4" w:space="0" w:color="auto"/>
              <w:bottom w:val="single" w:sz="4" w:space="0" w:color="auto"/>
            </w:tcBorders>
          </w:tcPr>
          <w:p w14:paraId="36F7AF25" w14:textId="77777777" w:rsidR="00CF0E2D" w:rsidRPr="00424DA4" w:rsidRDefault="00CF0E2D" w:rsidP="00A60D4B">
            <w:pPr>
              <w:pStyle w:val="InitFigRBold"/>
            </w:pPr>
            <w:r>
              <w:t>795</w:t>
            </w:r>
          </w:p>
        </w:tc>
        <w:tc>
          <w:tcPr>
            <w:tcW w:w="1029" w:type="dxa"/>
            <w:tcBorders>
              <w:top w:val="single" w:sz="4" w:space="0" w:color="auto"/>
              <w:bottom w:val="single" w:sz="4" w:space="0" w:color="auto"/>
            </w:tcBorders>
          </w:tcPr>
          <w:p w14:paraId="5706DDE8" w14:textId="77777777" w:rsidR="00CF0E2D" w:rsidRPr="00424DA4" w:rsidRDefault="00CF0E2D" w:rsidP="00A60D4B">
            <w:pPr>
              <w:pStyle w:val="InitFigRBold"/>
            </w:pPr>
            <w:r>
              <w:t>809</w:t>
            </w:r>
          </w:p>
        </w:tc>
        <w:tc>
          <w:tcPr>
            <w:tcW w:w="1029" w:type="dxa"/>
            <w:tcBorders>
              <w:top w:val="single" w:sz="4" w:space="0" w:color="auto"/>
              <w:bottom w:val="single" w:sz="4" w:space="0" w:color="auto"/>
            </w:tcBorders>
          </w:tcPr>
          <w:p w14:paraId="3D7BE15A" w14:textId="77777777" w:rsidR="00CF0E2D" w:rsidRPr="00424DA4" w:rsidRDefault="00CF0E2D" w:rsidP="00A60D4B">
            <w:pPr>
              <w:pStyle w:val="InitFigRBold"/>
            </w:pPr>
            <w:r>
              <w:t>3,632</w:t>
            </w:r>
          </w:p>
        </w:tc>
      </w:tr>
    </w:tbl>
    <w:p w14:paraId="75B20DA1" w14:textId="77777777" w:rsidR="00CF0E2D" w:rsidRPr="00E52BF5" w:rsidRDefault="00CF0E2D" w:rsidP="00A60D4B">
      <w:pPr>
        <w:pStyle w:val="Bbodytext"/>
      </w:pPr>
      <w:r w:rsidRPr="00E52BF5">
        <w:t>The Government will support detailed planning and preparation for the introduction of the Automatic Mutual Recognition scheme, which will seek to reduce cross jurisdictional barriers around occupational registrations and licencing. Automatic Mutual Recognition was recently agreed between the Commonwealth and states and territories.</w:t>
      </w:r>
    </w:p>
    <w:p w14:paraId="4AC1D798" w14:textId="77777777" w:rsidR="00CF0E2D" w:rsidRDefault="00CF0E2D" w:rsidP="00A60D4B">
      <w:pPr>
        <w:pStyle w:val="Bbodytext"/>
      </w:pPr>
      <w:r w:rsidRPr="00E52BF5">
        <w:t xml:space="preserve">This initiative contributes to the wellbeing domain of Economy. </w:t>
      </w:r>
    </w:p>
    <w:p w14:paraId="0978B0AC" w14:textId="77777777" w:rsidR="00CF0E2D" w:rsidRPr="00E52BF5" w:rsidRDefault="00CF0E2D" w:rsidP="00A60D4B">
      <w:pPr>
        <w:pStyle w:val="Bbodytext"/>
      </w:pPr>
    </w:p>
    <w:p w14:paraId="761E70C7" w14:textId="77777777" w:rsidR="00CF0E2D" w:rsidRPr="00017878" w:rsidRDefault="00CF0E2D" w:rsidP="00A60D4B">
      <w:pPr>
        <w:pStyle w:val="Heading4"/>
        <w:rPr>
          <w:rFonts w:eastAsia="Times New Roman"/>
        </w:rPr>
      </w:pPr>
      <w:r w:rsidRPr="00017878">
        <w:rPr>
          <w:rFonts w:eastAsia="Times New Roman"/>
        </w:rPr>
        <w:t xml:space="preserve">Improvements to the Canberra Museum and Gallery and the North Building </w:t>
      </w:r>
      <w:r>
        <w:rPr>
          <w:b w:val="0"/>
          <w:noProof/>
          <w:color w:val="999789"/>
          <w:sz w:val="32"/>
          <w:szCs w:val="24"/>
        </w:rPr>
        <w:drawing>
          <wp:anchor distT="0" distB="0" distL="114300" distR="114300" simplePos="0" relativeHeight="251750400" behindDoc="0" locked="1" layoutInCell="1" allowOverlap="1" wp14:anchorId="108A3B63" wp14:editId="22150FF8">
            <wp:simplePos x="0" y="0"/>
            <wp:positionH relativeFrom="margin">
              <wp:align>right</wp:align>
            </wp:positionH>
            <wp:positionV relativeFrom="paragraph">
              <wp:posOffset>75565</wp:posOffset>
            </wp:positionV>
            <wp:extent cx="1284605" cy="503555"/>
            <wp:effectExtent l="0" t="0" r="0" b="0"/>
            <wp:wrapSquare wrapText="bothSides"/>
            <wp:docPr id="41" name="Picture 41" descr="Icon representing the wellbeing domain of Social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con representing the wellbeing domain of Social connection"/>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8460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34323" w14:paraId="25168598" w14:textId="77777777" w:rsidTr="00A60D4B">
        <w:trPr>
          <w:cantSplit/>
          <w:jc w:val="center"/>
        </w:trPr>
        <w:tc>
          <w:tcPr>
            <w:tcW w:w="3652" w:type="dxa"/>
            <w:tcBorders>
              <w:top w:val="single" w:sz="4" w:space="0" w:color="auto"/>
              <w:bottom w:val="single" w:sz="4" w:space="0" w:color="auto"/>
            </w:tcBorders>
          </w:tcPr>
          <w:p w14:paraId="08D96846" w14:textId="77777777" w:rsidR="00CF0E2D" w:rsidRPr="00934323" w:rsidRDefault="00CF0E2D" w:rsidP="00A60D4B">
            <w:pPr>
              <w:pStyle w:val="EmptyCell0"/>
            </w:pPr>
            <w:r w:rsidRPr="00934323">
              <w:t>Empty Cell</w:t>
            </w:r>
          </w:p>
        </w:tc>
        <w:tc>
          <w:tcPr>
            <w:tcW w:w="1179" w:type="dxa"/>
            <w:tcBorders>
              <w:top w:val="single" w:sz="4" w:space="0" w:color="auto"/>
              <w:bottom w:val="single" w:sz="4" w:space="0" w:color="auto"/>
            </w:tcBorders>
          </w:tcPr>
          <w:p w14:paraId="17820126" w14:textId="77777777" w:rsidR="00CF0E2D" w:rsidRPr="005F182D" w:rsidRDefault="00CF0E2D" w:rsidP="00A60D4B">
            <w:pPr>
              <w:pStyle w:val="InitFigR"/>
              <w:rPr>
                <w:b/>
                <w:bCs/>
              </w:rPr>
            </w:pPr>
            <w:r w:rsidRPr="005F182D">
              <w:rPr>
                <w:b/>
                <w:bCs/>
              </w:rPr>
              <w:t>2021-22</w:t>
            </w:r>
          </w:p>
          <w:p w14:paraId="7172DFB9" w14:textId="77777777" w:rsidR="00CF0E2D" w:rsidRPr="005F182D" w:rsidRDefault="00CF0E2D" w:rsidP="00A60D4B">
            <w:pPr>
              <w:pStyle w:val="InitFigR"/>
              <w:rPr>
                <w:b/>
                <w:bCs/>
              </w:rPr>
            </w:pPr>
            <w:r w:rsidRPr="005F182D">
              <w:rPr>
                <w:b/>
                <w:bCs/>
              </w:rPr>
              <w:t>$’000</w:t>
            </w:r>
          </w:p>
        </w:tc>
        <w:tc>
          <w:tcPr>
            <w:tcW w:w="1041" w:type="dxa"/>
            <w:tcBorders>
              <w:top w:val="single" w:sz="4" w:space="0" w:color="auto"/>
              <w:bottom w:val="single" w:sz="4" w:space="0" w:color="auto"/>
            </w:tcBorders>
          </w:tcPr>
          <w:p w14:paraId="5EFDC300" w14:textId="77777777" w:rsidR="00CF0E2D" w:rsidRPr="005F182D" w:rsidRDefault="00CF0E2D" w:rsidP="00A60D4B">
            <w:pPr>
              <w:pStyle w:val="InitFigR"/>
              <w:rPr>
                <w:b/>
                <w:bCs/>
              </w:rPr>
            </w:pPr>
            <w:r w:rsidRPr="005F182D">
              <w:rPr>
                <w:b/>
                <w:bCs/>
              </w:rPr>
              <w:t>2022-23</w:t>
            </w:r>
          </w:p>
          <w:p w14:paraId="482ECE83" w14:textId="77777777" w:rsidR="00CF0E2D" w:rsidRPr="005F182D" w:rsidRDefault="00CF0E2D" w:rsidP="00A60D4B">
            <w:pPr>
              <w:pStyle w:val="InitFigR"/>
              <w:rPr>
                <w:b/>
                <w:bCs/>
              </w:rPr>
            </w:pPr>
            <w:r w:rsidRPr="005F182D">
              <w:rPr>
                <w:b/>
                <w:bCs/>
              </w:rPr>
              <w:t>$’000</w:t>
            </w:r>
          </w:p>
        </w:tc>
        <w:tc>
          <w:tcPr>
            <w:tcW w:w="1029" w:type="dxa"/>
            <w:tcBorders>
              <w:top w:val="single" w:sz="4" w:space="0" w:color="auto"/>
              <w:bottom w:val="single" w:sz="4" w:space="0" w:color="auto"/>
            </w:tcBorders>
          </w:tcPr>
          <w:p w14:paraId="46B54690" w14:textId="77777777" w:rsidR="00CF0E2D" w:rsidRPr="005F182D" w:rsidRDefault="00CF0E2D" w:rsidP="00A60D4B">
            <w:pPr>
              <w:pStyle w:val="InitFigR"/>
              <w:rPr>
                <w:b/>
                <w:bCs/>
              </w:rPr>
            </w:pPr>
            <w:r w:rsidRPr="005F182D">
              <w:rPr>
                <w:b/>
                <w:bCs/>
              </w:rPr>
              <w:t>2023-24</w:t>
            </w:r>
          </w:p>
          <w:p w14:paraId="3360ED63" w14:textId="77777777" w:rsidR="00CF0E2D" w:rsidRPr="005F182D" w:rsidRDefault="00CF0E2D" w:rsidP="00A60D4B">
            <w:pPr>
              <w:pStyle w:val="InitFigR"/>
              <w:rPr>
                <w:b/>
                <w:bCs/>
              </w:rPr>
            </w:pPr>
            <w:r w:rsidRPr="005F182D">
              <w:rPr>
                <w:b/>
                <w:bCs/>
              </w:rPr>
              <w:t>$’000</w:t>
            </w:r>
          </w:p>
        </w:tc>
        <w:tc>
          <w:tcPr>
            <w:tcW w:w="1029" w:type="dxa"/>
            <w:tcBorders>
              <w:top w:val="single" w:sz="4" w:space="0" w:color="auto"/>
              <w:bottom w:val="single" w:sz="4" w:space="0" w:color="auto"/>
            </w:tcBorders>
          </w:tcPr>
          <w:p w14:paraId="287FB819" w14:textId="77777777" w:rsidR="00CF0E2D" w:rsidRPr="005F182D" w:rsidRDefault="00CF0E2D" w:rsidP="00A60D4B">
            <w:pPr>
              <w:pStyle w:val="InitFigR"/>
              <w:rPr>
                <w:b/>
                <w:bCs/>
              </w:rPr>
            </w:pPr>
            <w:r w:rsidRPr="005F182D">
              <w:rPr>
                <w:b/>
                <w:bCs/>
              </w:rPr>
              <w:t>2024-25</w:t>
            </w:r>
          </w:p>
          <w:p w14:paraId="46C65559" w14:textId="77777777" w:rsidR="00CF0E2D" w:rsidRPr="005F182D" w:rsidRDefault="00CF0E2D" w:rsidP="00A60D4B">
            <w:pPr>
              <w:pStyle w:val="InitFigR"/>
              <w:rPr>
                <w:b/>
                <w:bCs/>
              </w:rPr>
            </w:pPr>
            <w:r w:rsidRPr="005F182D">
              <w:rPr>
                <w:b/>
                <w:bCs/>
              </w:rPr>
              <w:t>$’000</w:t>
            </w:r>
          </w:p>
        </w:tc>
        <w:tc>
          <w:tcPr>
            <w:tcW w:w="1029" w:type="dxa"/>
            <w:tcBorders>
              <w:top w:val="single" w:sz="4" w:space="0" w:color="auto"/>
              <w:bottom w:val="single" w:sz="4" w:space="0" w:color="auto"/>
            </w:tcBorders>
          </w:tcPr>
          <w:p w14:paraId="41C50F00" w14:textId="77777777" w:rsidR="00CF0E2D" w:rsidRPr="00934323" w:rsidRDefault="00CF0E2D" w:rsidP="00A60D4B">
            <w:pPr>
              <w:pStyle w:val="InitFigRBold"/>
            </w:pPr>
            <w:r w:rsidRPr="00934323">
              <w:t>Total</w:t>
            </w:r>
          </w:p>
          <w:p w14:paraId="3FDD3A68" w14:textId="77777777" w:rsidR="00CF0E2D" w:rsidRPr="00934323" w:rsidRDefault="00CF0E2D" w:rsidP="00A60D4B">
            <w:pPr>
              <w:pStyle w:val="InitFigBR"/>
            </w:pPr>
            <w:r w:rsidRPr="00934323">
              <w:t>$’000</w:t>
            </w:r>
          </w:p>
        </w:tc>
      </w:tr>
      <w:tr w:rsidR="00CF0E2D" w:rsidRPr="00934323" w14:paraId="34C95C1D" w14:textId="77777777" w:rsidTr="00A60D4B">
        <w:trPr>
          <w:cantSplit/>
          <w:jc w:val="center"/>
        </w:trPr>
        <w:tc>
          <w:tcPr>
            <w:tcW w:w="3652" w:type="dxa"/>
            <w:tcBorders>
              <w:top w:val="single" w:sz="4" w:space="0" w:color="auto"/>
              <w:bottom w:val="single" w:sz="4" w:space="0" w:color="auto"/>
            </w:tcBorders>
          </w:tcPr>
          <w:p w14:paraId="6C0FDB94" w14:textId="77777777" w:rsidR="00CF0E2D" w:rsidRPr="005F182D" w:rsidRDefault="00CF0E2D" w:rsidP="00A60D4B">
            <w:pPr>
              <w:pStyle w:val="InitTextL"/>
              <w:ind w:left="321" w:hanging="321"/>
            </w:pPr>
            <w:r w:rsidRPr="005F182D">
              <w:t>Capital</w:t>
            </w:r>
          </w:p>
        </w:tc>
        <w:tc>
          <w:tcPr>
            <w:tcW w:w="1179" w:type="dxa"/>
            <w:tcBorders>
              <w:top w:val="single" w:sz="4" w:space="0" w:color="auto"/>
              <w:bottom w:val="single" w:sz="4" w:space="0" w:color="auto"/>
            </w:tcBorders>
          </w:tcPr>
          <w:p w14:paraId="3767A1EB" w14:textId="77777777" w:rsidR="00CF0E2D" w:rsidRPr="005F182D" w:rsidRDefault="00CF0E2D" w:rsidP="00A60D4B">
            <w:pPr>
              <w:pStyle w:val="InitFigR"/>
            </w:pPr>
            <w:r>
              <w:t>47</w:t>
            </w:r>
            <w:r w:rsidRPr="005F182D">
              <w:t>0</w:t>
            </w:r>
          </w:p>
        </w:tc>
        <w:tc>
          <w:tcPr>
            <w:tcW w:w="1041" w:type="dxa"/>
            <w:tcBorders>
              <w:top w:val="single" w:sz="4" w:space="0" w:color="auto"/>
              <w:bottom w:val="single" w:sz="4" w:space="0" w:color="auto"/>
            </w:tcBorders>
          </w:tcPr>
          <w:p w14:paraId="1DBB969B" w14:textId="77777777" w:rsidR="00CF0E2D" w:rsidRPr="005F182D" w:rsidRDefault="00CF0E2D" w:rsidP="00A60D4B">
            <w:pPr>
              <w:pStyle w:val="InitFigR"/>
            </w:pPr>
            <w:r>
              <w:t>87</w:t>
            </w:r>
            <w:r w:rsidRPr="005F182D">
              <w:t>3</w:t>
            </w:r>
          </w:p>
        </w:tc>
        <w:tc>
          <w:tcPr>
            <w:tcW w:w="1029" w:type="dxa"/>
            <w:tcBorders>
              <w:top w:val="single" w:sz="4" w:space="0" w:color="auto"/>
              <w:bottom w:val="single" w:sz="4" w:space="0" w:color="auto"/>
            </w:tcBorders>
          </w:tcPr>
          <w:p w14:paraId="408D70CE" w14:textId="77777777" w:rsidR="00CF0E2D" w:rsidRPr="005F182D" w:rsidRDefault="00CF0E2D" w:rsidP="00A60D4B">
            <w:pPr>
              <w:pStyle w:val="InitFigR"/>
            </w:pPr>
            <w:r w:rsidRPr="005F182D">
              <w:t>624</w:t>
            </w:r>
          </w:p>
        </w:tc>
        <w:tc>
          <w:tcPr>
            <w:tcW w:w="1029" w:type="dxa"/>
            <w:tcBorders>
              <w:top w:val="single" w:sz="4" w:space="0" w:color="auto"/>
              <w:bottom w:val="single" w:sz="4" w:space="0" w:color="auto"/>
            </w:tcBorders>
          </w:tcPr>
          <w:p w14:paraId="0D2D6708" w14:textId="77777777" w:rsidR="00CF0E2D" w:rsidRPr="005F182D" w:rsidRDefault="00CF0E2D" w:rsidP="00A60D4B">
            <w:pPr>
              <w:pStyle w:val="InitFigR"/>
            </w:pPr>
            <w:r w:rsidRPr="005F182D">
              <w:t>0</w:t>
            </w:r>
          </w:p>
        </w:tc>
        <w:tc>
          <w:tcPr>
            <w:tcW w:w="1029" w:type="dxa"/>
            <w:tcBorders>
              <w:top w:val="single" w:sz="4" w:space="0" w:color="auto"/>
              <w:bottom w:val="single" w:sz="4" w:space="0" w:color="auto"/>
            </w:tcBorders>
          </w:tcPr>
          <w:p w14:paraId="21D6495E" w14:textId="77777777" w:rsidR="00CF0E2D" w:rsidRPr="00934323" w:rsidRDefault="00CF0E2D" w:rsidP="00A60D4B">
            <w:pPr>
              <w:pStyle w:val="InitFigRBold"/>
              <w:rPr>
                <w:bCs/>
              </w:rPr>
            </w:pPr>
            <w:r>
              <w:rPr>
                <w:bCs/>
              </w:rPr>
              <w:t>1,9</w:t>
            </w:r>
            <w:r w:rsidRPr="00934323">
              <w:rPr>
                <w:bCs/>
              </w:rPr>
              <w:t>67</w:t>
            </w:r>
          </w:p>
        </w:tc>
      </w:tr>
      <w:tr w:rsidR="00CF0E2D" w:rsidRPr="00934323" w14:paraId="04BC96B2" w14:textId="77777777" w:rsidTr="00A60D4B">
        <w:trPr>
          <w:cantSplit/>
          <w:jc w:val="center"/>
        </w:trPr>
        <w:tc>
          <w:tcPr>
            <w:tcW w:w="3652" w:type="dxa"/>
            <w:tcBorders>
              <w:top w:val="single" w:sz="4" w:space="0" w:color="auto"/>
            </w:tcBorders>
          </w:tcPr>
          <w:p w14:paraId="2BDF8A85" w14:textId="77777777" w:rsidR="00CF0E2D" w:rsidRPr="005F182D" w:rsidRDefault="00CF0E2D" w:rsidP="00A60D4B">
            <w:pPr>
              <w:pStyle w:val="InitTextL"/>
              <w:ind w:left="321" w:hanging="321"/>
            </w:pPr>
            <w:r w:rsidRPr="005F182D">
              <w:t>Depreciation</w:t>
            </w:r>
          </w:p>
        </w:tc>
        <w:tc>
          <w:tcPr>
            <w:tcW w:w="1179" w:type="dxa"/>
            <w:tcBorders>
              <w:top w:val="single" w:sz="4" w:space="0" w:color="auto"/>
            </w:tcBorders>
          </w:tcPr>
          <w:p w14:paraId="39D1DCD2" w14:textId="77777777" w:rsidR="00CF0E2D" w:rsidRPr="005F182D" w:rsidRDefault="00CF0E2D" w:rsidP="00A60D4B">
            <w:pPr>
              <w:pStyle w:val="InitFigR"/>
            </w:pPr>
            <w:r>
              <w:t>17</w:t>
            </w:r>
          </w:p>
        </w:tc>
        <w:tc>
          <w:tcPr>
            <w:tcW w:w="1041" w:type="dxa"/>
            <w:tcBorders>
              <w:top w:val="single" w:sz="4" w:space="0" w:color="auto"/>
            </w:tcBorders>
          </w:tcPr>
          <w:p w14:paraId="43112939" w14:textId="77777777" w:rsidR="00CF0E2D" w:rsidRPr="005F182D" w:rsidRDefault="00CF0E2D" w:rsidP="00A60D4B">
            <w:pPr>
              <w:pStyle w:val="InitFigR"/>
            </w:pPr>
            <w:r w:rsidRPr="005F182D">
              <w:t>5</w:t>
            </w:r>
            <w:r>
              <w:t>3</w:t>
            </w:r>
          </w:p>
        </w:tc>
        <w:tc>
          <w:tcPr>
            <w:tcW w:w="1029" w:type="dxa"/>
            <w:tcBorders>
              <w:top w:val="single" w:sz="4" w:space="0" w:color="auto"/>
            </w:tcBorders>
          </w:tcPr>
          <w:p w14:paraId="04674DBF" w14:textId="77777777" w:rsidR="00CF0E2D" w:rsidRPr="005F182D" w:rsidRDefault="00CF0E2D" w:rsidP="00A60D4B">
            <w:pPr>
              <w:pStyle w:val="InitFigR"/>
            </w:pPr>
            <w:r>
              <w:t>8</w:t>
            </w:r>
            <w:r w:rsidRPr="005F182D">
              <w:t>5</w:t>
            </w:r>
          </w:p>
        </w:tc>
        <w:tc>
          <w:tcPr>
            <w:tcW w:w="1029" w:type="dxa"/>
            <w:tcBorders>
              <w:top w:val="single" w:sz="4" w:space="0" w:color="auto"/>
            </w:tcBorders>
          </w:tcPr>
          <w:p w14:paraId="0A1E4A4B" w14:textId="77777777" w:rsidR="00CF0E2D" w:rsidRPr="005F182D" w:rsidRDefault="00CF0E2D" w:rsidP="00A60D4B">
            <w:pPr>
              <w:pStyle w:val="InitFigR"/>
            </w:pPr>
            <w:r>
              <w:t>10</w:t>
            </w:r>
            <w:r w:rsidRPr="005F182D">
              <w:t>6</w:t>
            </w:r>
          </w:p>
        </w:tc>
        <w:tc>
          <w:tcPr>
            <w:tcW w:w="1029" w:type="dxa"/>
            <w:tcBorders>
              <w:top w:val="single" w:sz="4" w:space="0" w:color="auto"/>
            </w:tcBorders>
          </w:tcPr>
          <w:p w14:paraId="4714D1AC" w14:textId="77777777" w:rsidR="00CF0E2D" w:rsidRPr="00934323" w:rsidRDefault="00CF0E2D" w:rsidP="00A60D4B">
            <w:pPr>
              <w:pStyle w:val="InitFigRBold"/>
              <w:rPr>
                <w:bCs/>
              </w:rPr>
            </w:pPr>
            <w:r>
              <w:rPr>
                <w:bCs/>
              </w:rPr>
              <w:t>261</w:t>
            </w:r>
          </w:p>
        </w:tc>
      </w:tr>
      <w:tr w:rsidR="00CF0E2D" w:rsidRPr="00934323" w14:paraId="082BD19B" w14:textId="77777777" w:rsidTr="00A60D4B">
        <w:trPr>
          <w:cantSplit/>
          <w:jc w:val="center"/>
        </w:trPr>
        <w:tc>
          <w:tcPr>
            <w:tcW w:w="3652" w:type="dxa"/>
            <w:tcBorders>
              <w:bottom w:val="single" w:sz="4" w:space="0" w:color="auto"/>
            </w:tcBorders>
          </w:tcPr>
          <w:p w14:paraId="51EDCAA8" w14:textId="77777777" w:rsidR="00CF0E2D" w:rsidRPr="005F182D" w:rsidRDefault="00CF0E2D" w:rsidP="00A60D4B">
            <w:pPr>
              <w:pStyle w:val="InitTextL"/>
              <w:ind w:left="321" w:hanging="321"/>
            </w:pPr>
            <w:r>
              <w:t>Expenses</w:t>
            </w:r>
          </w:p>
        </w:tc>
        <w:tc>
          <w:tcPr>
            <w:tcW w:w="1179" w:type="dxa"/>
            <w:tcBorders>
              <w:bottom w:val="single" w:sz="4" w:space="0" w:color="auto"/>
            </w:tcBorders>
          </w:tcPr>
          <w:p w14:paraId="2A847E60" w14:textId="77777777" w:rsidR="00CF0E2D" w:rsidRPr="005F182D" w:rsidRDefault="00CF0E2D" w:rsidP="00A60D4B">
            <w:pPr>
              <w:pStyle w:val="InitFigR"/>
            </w:pPr>
            <w:r>
              <w:t>173</w:t>
            </w:r>
          </w:p>
        </w:tc>
        <w:tc>
          <w:tcPr>
            <w:tcW w:w="1041" w:type="dxa"/>
            <w:tcBorders>
              <w:bottom w:val="single" w:sz="4" w:space="0" w:color="auto"/>
            </w:tcBorders>
          </w:tcPr>
          <w:p w14:paraId="37F0FF91" w14:textId="77777777" w:rsidR="00CF0E2D" w:rsidRPr="005F182D" w:rsidRDefault="00CF0E2D" w:rsidP="00A60D4B">
            <w:pPr>
              <w:pStyle w:val="InitFigR"/>
            </w:pPr>
            <w:r>
              <w:t>190</w:t>
            </w:r>
          </w:p>
        </w:tc>
        <w:tc>
          <w:tcPr>
            <w:tcW w:w="1029" w:type="dxa"/>
            <w:tcBorders>
              <w:bottom w:val="single" w:sz="4" w:space="0" w:color="auto"/>
            </w:tcBorders>
          </w:tcPr>
          <w:p w14:paraId="33893D96" w14:textId="77777777" w:rsidR="00CF0E2D" w:rsidRPr="005F182D" w:rsidRDefault="00CF0E2D" w:rsidP="00A60D4B">
            <w:pPr>
              <w:pStyle w:val="InitFigR"/>
            </w:pPr>
            <w:r>
              <w:t>0</w:t>
            </w:r>
          </w:p>
        </w:tc>
        <w:tc>
          <w:tcPr>
            <w:tcW w:w="1029" w:type="dxa"/>
            <w:tcBorders>
              <w:bottom w:val="single" w:sz="4" w:space="0" w:color="auto"/>
            </w:tcBorders>
          </w:tcPr>
          <w:p w14:paraId="330C6A27" w14:textId="77777777" w:rsidR="00CF0E2D" w:rsidRPr="005F182D" w:rsidRDefault="00CF0E2D" w:rsidP="00A60D4B">
            <w:pPr>
              <w:pStyle w:val="InitFigR"/>
            </w:pPr>
            <w:r>
              <w:t>0</w:t>
            </w:r>
          </w:p>
        </w:tc>
        <w:tc>
          <w:tcPr>
            <w:tcW w:w="1029" w:type="dxa"/>
            <w:tcBorders>
              <w:bottom w:val="single" w:sz="4" w:space="0" w:color="auto"/>
            </w:tcBorders>
          </w:tcPr>
          <w:p w14:paraId="7E5118A8" w14:textId="77777777" w:rsidR="00CF0E2D" w:rsidRPr="00934323" w:rsidRDefault="00CF0E2D" w:rsidP="00A60D4B">
            <w:pPr>
              <w:pStyle w:val="InitFigRBold"/>
              <w:rPr>
                <w:bCs/>
              </w:rPr>
            </w:pPr>
            <w:r>
              <w:rPr>
                <w:bCs/>
              </w:rPr>
              <w:t>363</w:t>
            </w:r>
          </w:p>
        </w:tc>
      </w:tr>
      <w:tr w:rsidR="00CF0E2D" w:rsidRPr="00934323" w14:paraId="0D8F1630" w14:textId="77777777" w:rsidTr="00A60D4B">
        <w:trPr>
          <w:cantSplit/>
          <w:jc w:val="center"/>
        </w:trPr>
        <w:tc>
          <w:tcPr>
            <w:tcW w:w="3652" w:type="dxa"/>
            <w:tcBorders>
              <w:top w:val="single" w:sz="4" w:space="0" w:color="auto"/>
              <w:bottom w:val="single" w:sz="4" w:space="0" w:color="auto"/>
            </w:tcBorders>
          </w:tcPr>
          <w:p w14:paraId="1414E26E" w14:textId="6FBE8502" w:rsidR="00CF0E2D" w:rsidRPr="00561ABE" w:rsidRDefault="00CF0E2D" w:rsidP="00A60D4B">
            <w:pPr>
              <w:pStyle w:val="InitTextL"/>
              <w:ind w:left="321" w:hanging="321"/>
              <w:rPr>
                <w:b/>
                <w:bCs/>
              </w:rPr>
            </w:pPr>
            <w:r w:rsidRPr="00561ABE">
              <w:rPr>
                <w:b/>
                <w:bCs/>
              </w:rPr>
              <w:t xml:space="preserve">Net </w:t>
            </w:r>
            <w:r w:rsidR="00B86042">
              <w:rPr>
                <w:b/>
                <w:bCs/>
              </w:rPr>
              <w:t>c</w:t>
            </w:r>
            <w:r w:rsidRPr="00561ABE">
              <w:rPr>
                <w:b/>
                <w:bCs/>
              </w:rPr>
              <w:t xml:space="preserve">ost of </w:t>
            </w:r>
            <w:r w:rsidR="00B86042">
              <w:rPr>
                <w:b/>
                <w:bCs/>
              </w:rPr>
              <w:t>s</w:t>
            </w:r>
            <w:r w:rsidRPr="00561ABE">
              <w:rPr>
                <w:b/>
                <w:bCs/>
              </w:rPr>
              <w:t>ervices</w:t>
            </w:r>
          </w:p>
        </w:tc>
        <w:tc>
          <w:tcPr>
            <w:tcW w:w="1179" w:type="dxa"/>
            <w:tcBorders>
              <w:top w:val="single" w:sz="4" w:space="0" w:color="auto"/>
              <w:bottom w:val="single" w:sz="4" w:space="0" w:color="auto"/>
            </w:tcBorders>
          </w:tcPr>
          <w:p w14:paraId="003F5581" w14:textId="77777777" w:rsidR="00CF0E2D" w:rsidRPr="00561ABE" w:rsidRDefault="00CF0E2D" w:rsidP="00A60D4B">
            <w:pPr>
              <w:pStyle w:val="InitFigR"/>
              <w:rPr>
                <w:b/>
                <w:bCs/>
              </w:rPr>
            </w:pPr>
            <w:r w:rsidRPr="00561ABE">
              <w:rPr>
                <w:b/>
                <w:bCs/>
              </w:rPr>
              <w:t>190</w:t>
            </w:r>
          </w:p>
        </w:tc>
        <w:tc>
          <w:tcPr>
            <w:tcW w:w="1041" w:type="dxa"/>
            <w:tcBorders>
              <w:top w:val="single" w:sz="4" w:space="0" w:color="auto"/>
              <w:bottom w:val="single" w:sz="4" w:space="0" w:color="auto"/>
            </w:tcBorders>
          </w:tcPr>
          <w:p w14:paraId="18BFEA8A" w14:textId="77777777" w:rsidR="00CF0E2D" w:rsidRPr="00561ABE" w:rsidRDefault="00CF0E2D" w:rsidP="00A60D4B">
            <w:pPr>
              <w:pStyle w:val="InitFigR"/>
              <w:rPr>
                <w:b/>
                <w:bCs/>
              </w:rPr>
            </w:pPr>
            <w:r>
              <w:rPr>
                <w:b/>
                <w:bCs/>
              </w:rPr>
              <w:t>243</w:t>
            </w:r>
          </w:p>
        </w:tc>
        <w:tc>
          <w:tcPr>
            <w:tcW w:w="1029" w:type="dxa"/>
            <w:tcBorders>
              <w:top w:val="single" w:sz="4" w:space="0" w:color="auto"/>
              <w:bottom w:val="single" w:sz="4" w:space="0" w:color="auto"/>
            </w:tcBorders>
          </w:tcPr>
          <w:p w14:paraId="15957E36" w14:textId="77777777" w:rsidR="00CF0E2D" w:rsidRPr="00561ABE" w:rsidRDefault="00CF0E2D" w:rsidP="00A60D4B">
            <w:pPr>
              <w:pStyle w:val="InitFigR"/>
              <w:rPr>
                <w:b/>
                <w:bCs/>
              </w:rPr>
            </w:pPr>
            <w:r>
              <w:rPr>
                <w:b/>
                <w:bCs/>
              </w:rPr>
              <w:t>85</w:t>
            </w:r>
          </w:p>
        </w:tc>
        <w:tc>
          <w:tcPr>
            <w:tcW w:w="1029" w:type="dxa"/>
            <w:tcBorders>
              <w:top w:val="single" w:sz="4" w:space="0" w:color="auto"/>
              <w:bottom w:val="single" w:sz="4" w:space="0" w:color="auto"/>
            </w:tcBorders>
          </w:tcPr>
          <w:p w14:paraId="2317A9CD" w14:textId="77777777" w:rsidR="00CF0E2D" w:rsidRPr="00561ABE" w:rsidRDefault="00CF0E2D" w:rsidP="00A60D4B">
            <w:pPr>
              <w:pStyle w:val="InitFigR"/>
              <w:rPr>
                <w:b/>
                <w:bCs/>
              </w:rPr>
            </w:pPr>
            <w:r>
              <w:rPr>
                <w:b/>
                <w:bCs/>
              </w:rPr>
              <w:t>106</w:t>
            </w:r>
          </w:p>
        </w:tc>
        <w:tc>
          <w:tcPr>
            <w:tcW w:w="1029" w:type="dxa"/>
            <w:tcBorders>
              <w:top w:val="single" w:sz="4" w:space="0" w:color="auto"/>
              <w:bottom w:val="single" w:sz="4" w:space="0" w:color="auto"/>
            </w:tcBorders>
          </w:tcPr>
          <w:p w14:paraId="5DD9F4BE" w14:textId="77777777" w:rsidR="00CF0E2D" w:rsidRPr="00EF396D" w:rsidRDefault="00CF0E2D" w:rsidP="00A60D4B">
            <w:pPr>
              <w:pStyle w:val="InitFigRBold"/>
              <w:rPr>
                <w:bCs/>
              </w:rPr>
            </w:pPr>
            <w:r>
              <w:rPr>
                <w:bCs/>
              </w:rPr>
              <w:t>624</w:t>
            </w:r>
          </w:p>
        </w:tc>
      </w:tr>
    </w:tbl>
    <w:p w14:paraId="4552D7E6" w14:textId="77777777" w:rsidR="00CF0E2D" w:rsidRPr="00E52BF5" w:rsidRDefault="00CF0E2D" w:rsidP="00A60D4B">
      <w:pPr>
        <w:pStyle w:val="Bbodytext"/>
      </w:pPr>
      <w:r w:rsidRPr="00E52BF5">
        <w:t xml:space="preserve">The Government will undertake works to improve Canberra Museum and Gallery (CMAG), North Building and Legislative Assembly building. This includes safety and disability access at the CMAG, supporting activation of the CMAG precinct, upgrading glazing in the North Building and roof repairs in the North and Legislative Assembly buildings. </w:t>
      </w:r>
    </w:p>
    <w:p w14:paraId="16316FB2" w14:textId="77777777" w:rsidR="00CF0E2D" w:rsidRPr="00E52BF5" w:rsidRDefault="00CF0E2D" w:rsidP="00A60D4B">
      <w:pPr>
        <w:pStyle w:val="Bbodytext"/>
      </w:pPr>
      <w:r w:rsidRPr="00E52BF5">
        <w:t>This initiative contributes to the wellbeing domains of Social connection, Identity and belonging, Environment and climate and Governance and institutions.</w:t>
      </w:r>
    </w:p>
    <w:p w14:paraId="0196AAAD" w14:textId="77777777" w:rsidR="00CF0E2D" w:rsidRDefault="00CF0E2D" w:rsidP="00A60D4B">
      <w:pPr>
        <w:pStyle w:val="Heading4"/>
      </w:pPr>
    </w:p>
    <w:p w14:paraId="0C1E6C5E" w14:textId="77777777" w:rsidR="00CF0E2D" w:rsidRPr="00443845" w:rsidRDefault="00CF0E2D" w:rsidP="00A60D4B">
      <w:pPr>
        <w:pStyle w:val="Heading4"/>
      </w:pPr>
      <w:r w:rsidRPr="001D56A9">
        <w:t>Improving ACT Revenue Office capability</w:t>
      </w:r>
      <w:r w:rsidRPr="00443845">
        <w:t xml:space="preserve"> </w:t>
      </w:r>
      <w:r>
        <w:rPr>
          <w:b w:val="0"/>
          <w:noProof/>
          <w:color w:val="999789"/>
          <w:sz w:val="32"/>
          <w:szCs w:val="24"/>
        </w:rPr>
        <w:drawing>
          <wp:anchor distT="0" distB="0" distL="114300" distR="114300" simplePos="0" relativeHeight="251952128" behindDoc="0" locked="1" layoutInCell="1" allowOverlap="1" wp14:anchorId="1D12701E" wp14:editId="6763EC43">
            <wp:simplePos x="0" y="0"/>
            <wp:positionH relativeFrom="margin">
              <wp:align>right</wp:align>
            </wp:positionH>
            <wp:positionV relativeFrom="paragraph">
              <wp:posOffset>-140335</wp:posOffset>
            </wp:positionV>
            <wp:extent cx="1148080" cy="503555"/>
            <wp:effectExtent l="0" t="0" r="0" b="0"/>
            <wp:wrapSquare wrapText="bothSides"/>
            <wp:docPr id="232" name="Picture 232"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08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AB1B1F" w14:paraId="1D7AD459" w14:textId="77777777" w:rsidTr="00A60D4B">
        <w:trPr>
          <w:cantSplit/>
          <w:jc w:val="center"/>
        </w:trPr>
        <w:tc>
          <w:tcPr>
            <w:tcW w:w="3652" w:type="dxa"/>
            <w:tcBorders>
              <w:top w:val="single" w:sz="4" w:space="0" w:color="auto"/>
              <w:bottom w:val="single" w:sz="4" w:space="0" w:color="auto"/>
            </w:tcBorders>
          </w:tcPr>
          <w:p w14:paraId="06300A80" w14:textId="77777777" w:rsidR="00CF0E2D" w:rsidRPr="00CD3EFE" w:rsidRDefault="00CF0E2D" w:rsidP="00A60D4B">
            <w:pPr>
              <w:pStyle w:val="EmptyCell0"/>
              <w:keepNext/>
              <w:keepLines/>
              <w:rPr>
                <w:sz w:val="24"/>
                <w:szCs w:val="24"/>
              </w:rPr>
            </w:pPr>
            <w:r w:rsidRPr="00CD3EFE">
              <w:rPr>
                <w:sz w:val="24"/>
                <w:szCs w:val="24"/>
              </w:rPr>
              <w:t>Empty Cell</w:t>
            </w:r>
          </w:p>
        </w:tc>
        <w:tc>
          <w:tcPr>
            <w:tcW w:w="1179" w:type="dxa"/>
            <w:tcBorders>
              <w:top w:val="single" w:sz="4" w:space="0" w:color="auto"/>
              <w:bottom w:val="single" w:sz="4" w:space="0" w:color="auto"/>
            </w:tcBorders>
          </w:tcPr>
          <w:p w14:paraId="7C0F7FE4" w14:textId="77777777" w:rsidR="00CF0E2D" w:rsidRPr="00CD3EFE" w:rsidRDefault="00CF0E2D" w:rsidP="00A60D4B">
            <w:pPr>
              <w:pStyle w:val="InitFigR"/>
              <w:keepNext/>
              <w:keepLines/>
              <w:rPr>
                <w:b/>
                <w:bCs/>
                <w:szCs w:val="24"/>
              </w:rPr>
            </w:pPr>
            <w:r w:rsidRPr="00CD3EFE">
              <w:rPr>
                <w:b/>
                <w:bCs/>
                <w:szCs w:val="24"/>
              </w:rPr>
              <w:t>2021-22</w:t>
            </w:r>
          </w:p>
          <w:p w14:paraId="79AA368A" w14:textId="77777777" w:rsidR="00CF0E2D" w:rsidRPr="00CD3EFE" w:rsidRDefault="00CF0E2D" w:rsidP="00A60D4B">
            <w:pPr>
              <w:pStyle w:val="InitFigR"/>
              <w:keepNext/>
              <w:keepLines/>
              <w:rPr>
                <w:b/>
                <w:bCs/>
                <w:szCs w:val="24"/>
              </w:rPr>
            </w:pPr>
            <w:r w:rsidRPr="00CD3EFE">
              <w:rPr>
                <w:b/>
                <w:bCs/>
                <w:szCs w:val="24"/>
              </w:rPr>
              <w:t>$’000</w:t>
            </w:r>
          </w:p>
        </w:tc>
        <w:tc>
          <w:tcPr>
            <w:tcW w:w="1041" w:type="dxa"/>
            <w:tcBorders>
              <w:top w:val="single" w:sz="4" w:space="0" w:color="auto"/>
              <w:bottom w:val="single" w:sz="4" w:space="0" w:color="auto"/>
            </w:tcBorders>
          </w:tcPr>
          <w:p w14:paraId="11FB332A" w14:textId="77777777" w:rsidR="00CF0E2D" w:rsidRPr="00CD3EFE" w:rsidRDefault="00CF0E2D" w:rsidP="00A60D4B">
            <w:pPr>
              <w:pStyle w:val="InitFigR"/>
              <w:keepNext/>
              <w:keepLines/>
              <w:rPr>
                <w:b/>
                <w:bCs/>
                <w:szCs w:val="24"/>
              </w:rPr>
            </w:pPr>
            <w:r w:rsidRPr="00CD3EFE">
              <w:rPr>
                <w:b/>
                <w:bCs/>
                <w:szCs w:val="24"/>
              </w:rPr>
              <w:t>2022-23</w:t>
            </w:r>
          </w:p>
          <w:p w14:paraId="6CE67C71" w14:textId="77777777" w:rsidR="00CF0E2D" w:rsidRPr="00CD3EFE" w:rsidRDefault="00CF0E2D" w:rsidP="00A60D4B">
            <w:pPr>
              <w:pStyle w:val="InitFigR"/>
              <w:keepNext/>
              <w:keepLines/>
              <w:rPr>
                <w:b/>
                <w:bCs/>
                <w:szCs w:val="24"/>
              </w:rPr>
            </w:pPr>
            <w:r w:rsidRPr="00CD3EFE">
              <w:rPr>
                <w:b/>
                <w:bCs/>
                <w:szCs w:val="24"/>
              </w:rPr>
              <w:t>$’000</w:t>
            </w:r>
          </w:p>
        </w:tc>
        <w:tc>
          <w:tcPr>
            <w:tcW w:w="1029" w:type="dxa"/>
            <w:tcBorders>
              <w:top w:val="single" w:sz="4" w:space="0" w:color="auto"/>
              <w:bottom w:val="single" w:sz="4" w:space="0" w:color="auto"/>
            </w:tcBorders>
          </w:tcPr>
          <w:p w14:paraId="6140DF01" w14:textId="77777777" w:rsidR="00CF0E2D" w:rsidRPr="00CD3EFE" w:rsidRDefault="00CF0E2D" w:rsidP="00A60D4B">
            <w:pPr>
              <w:pStyle w:val="InitFigR"/>
              <w:keepNext/>
              <w:keepLines/>
              <w:rPr>
                <w:b/>
                <w:bCs/>
                <w:szCs w:val="24"/>
              </w:rPr>
            </w:pPr>
            <w:r w:rsidRPr="00CD3EFE">
              <w:rPr>
                <w:b/>
                <w:bCs/>
                <w:szCs w:val="24"/>
              </w:rPr>
              <w:t>2023-24</w:t>
            </w:r>
          </w:p>
          <w:p w14:paraId="10B80F32" w14:textId="77777777" w:rsidR="00CF0E2D" w:rsidRPr="00CD3EFE" w:rsidRDefault="00CF0E2D" w:rsidP="00A60D4B">
            <w:pPr>
              <w:pStyle w:val="InitFigR"/>
              <w:keepNext/>
              <w:keepLines/>
              <w:rPr>
                <w:b/>
                <w:bCs/>
                <w:szCs w:val="24"/>
              </w:rPr>
            </w:pPr>
            <w:r w:rsidRPr="00CD3EFE">
              <w:rPr>
                <w:b/>
                <w:bCs/>
                <w:szCs w:val="24"/>
              </w:rPr>
              <w:t>$’000</w:t>
            </w:r>
          </w:p>
        </w:tc>
        <w:tc>
          <w:tcPr>
            <w:tcW w:w="1029" w:type="dxa"/>
            <w:tcBorders>
              <w:top w:val="single" w:sz="4" w:space="0" w:color="auto"/>
              <w:bottom w:val="single" w:sz="4" w:space="0" w:color="auto"/>
            </w:tcBorders>
          </w:tcPr>
          <w:p w14:paraId="002B9EE0" w14:textId="77777777" w:rsidR="00CF0E2D" w:rsidRPr="00CD3EFE" w:rsidRDefault="00CF0E2D" w:rsidP="00A60D4B">
            <w:pPr>
              <w:pStyle w:val="InitFigR"/>
              <w:keepNext/>
              <w:keepLines/>
              <w:rPr>
                <w:b/>
                <w:bCs/>
                <w:szCs w:val="24"/>
              </w:rPr>
            </w:pPr>
            <w:r w:rsidRPr="00CD3EFE">
              <w:rPr>
                <w:b/>
                <w:bCs/>
                <w:szCs w:val="24"/>
              </w:rPr>
              <w:t>2024-25</w:t>
            </w:r>
          </w:p>
          <w:p w14:paraId="247AA336" w14:textId="77777777" w:rsidR="00CF0E2D" w:rsidRPr="00CD3EFE" w:rsidRDefault="00CF0E2D" w:rsidP="00A60D4B">
            <w:pPr>
              <w:pStyle w:val="InitFigR"/>
              <w:keepNext/>
              <w:keepLines/>
              <w:rPr>
                <w:b/>
                <w:bCs/>
                <w:szCs w:val="24"/>
              </w:rPr>
            </w:pPr>
            <w:r w:rsidRPr="00CD3EFE">
              <w:rPr>
                <w:b/>
                <w:bCs/>
                <w:szCs w:val="24"/>
              </w:rPr>
              <w:t>$’000</w:t>
            </w:r>
          </w:p>
        </w:tc>
        <w:tc>
          <w:tcPr>
            <w:tcW w:w="1029" w:type="dxa"/>
            <w:tcBorders>
              <w:top w:val="single" w:sz="4" w:space="0" w:color="auto"/>
              <w:bottom w:val="single" w:sz="4" w:space="0" w:color="auto"/>
            </w:tcBorders>
          </w:tcPr>
          <w:p w14:paraId="0FD40C10" w14:textId="77777777" w:rsidR="00CF0E2D" w:rsidRPr="00CD3EFE" w:rsidRDefault="00CF0E2D" w:rsidP="00A60D4B">
            <w:pPr>
              <w:pStyle w:val="InitFigRBold"/>
              <w:keepNext/>
              <w:keepLines/>
              <w:rPr>
                <w:szCs w:val="24"/>
              </w:rPr>
            </w:pPr>
            <w:r w:rsidRPr="00CD3EFE">
              <w:rPr>
                <w:szCs w:val="24"/>
              </w:rPr>
              <w:t>Total</w:t>
            </w:r>
          </w:p>
          <w:p w14:paraId="54DF8193" w14:textId="77777777" w:rsidR="00CF0E2D" w:rsidRPr="00CD3EFE" w:rsidRDefault="00CF0E2D" w:rsidP="00A60D4B">
            <w:pPr>
              <w:pStyle w:val="InitFigBR"/>
              <w:keepNext/>
              <w:keepLines/>
              <w:rPr>
                <w:szCs w:val="24"/>
              </w:rPr>
            </w:pPr>
            <w:r w:rsidRPr="00CD3EFE">
              <w:rPr>
                <w:szCs w:val="24"/>
              </w:rPr>
              <w:t>$’000</w:t>
            </w:r>
          </w:p>
        </w:tc>
      </w:tr>
      <w:tr w:rsidR="00CF0E2D" w:rsidRPr="00AB1B1F" w14:paraId="31CA0EAE" w14:textId="77777777" w:rsidTr="00A60D4B">
        <w:trPr>
          <w:cantSplit/>
          <w:jc w:val="center"/>
        </w:trPr>
        <w:tc>
          <w:tcPr>
            <w:tcW w:w="3652" w:type="dxa"/>
          </w:tcPr>
          <w:p w14:paraId="0C311C0C" w14:textId="77777777" w:rsidR="00CF0E2D" w:rsidRPr="00CD3EFE" w:rsidRDefault="00CF0E2D" w:rsidP="00A60D4B">
            <w:pPr>
              <w:pStyle w:val="InitTextL"/>
              <w:keepNext/>
              <w:keepLines/>
              <w:ind w:left="321" w:hanging="321"/>
              <w:rPr>
                <w:szCs w:val="24"/>
              </w:rPr>
            </w:pPr>
            <w:r w:rsidRPr="00CD3EFE">
              <w:rPr>
                <w:szCs w:val="24"/>
              </w:rPr>
              <w:t>Expenses</w:t>
            </w:r>
          </w:p>
        </w:tc>
        <w:tc>
          <w:tcPr>
            <w:tcW w:w="1179" w:type="dxa"/>
          </w:tcPr>
          <w:p w14:paraId="530DB74C" w14:textId="77777777" w:rsidR="00CF0E2D" w:rsidRPr="00CD3EFE" w:rsidRDefault="00CF0E2D" w:rsidP="00A60D4B">
            <w:pPr>
              <w:pStyle w:val="InitFigR"/>
              <w:keepNext/>
              <w:keepLines/>
              <w:rPr>
                <w:szCs w:val="24"/>
              </w:rPr>
            </w:pPr>
            <w:r w:rsidRPr="00CD3EFE">
              <w:rPr>
                <w:szCs w:val="24"/>
              </w:rPr>
              <w:t>2,324</w:t>
            </w:r>
          </w:p>
        </w:tc>
        <w:tc>
          <w:tcPr>
            <w:tcW w:w="1041" w:type="dxa"/>
          </w:tcPr>
          <w:p w14:paraId="503DCEA0" w14:textId="77777777" w:rsidR="00CF0E2D" w:rsidRPr="00CD3EFE" w:rsidRDefault="00CF0E2D" w:rsidP="00A60D4B">
            <w:pPr>
              <w:pStyle w:val="InitFigR"/>
              <w:keepNext/>
              <w:keepLines/>
              <w:rPr>
                <w:szCs w:val="24"/>
              </w:rPr>
            </w:pPr>
            <w:r w:rsidRPr="00CD3EFE">
              <w:rPr>
                <w:szCs w:val="24"/>
              </w:rPr>
              <w:t>1,446</w:t>
            </w:r>
          </w:p>
        </w:tc>
        <w:tc>
          <w:tcPr>
            <w:tcW w:w="1029" w:type="dxa"/>
          </w:tcPr>
          <w:p w14:paraId="6E2CBF2B" w14:textId="77777777" w:rsidR="00CF0E2D" w:rsidRPr="00CD3EFE" w:rsidRDefault="00CF0E2D" w:rsidP="00A60D4B">
            <w:pPr>
              <w:pStyle w:val="InitFigR"/>
              <w:keepNext/>
              <w:keepLines/>
              <w:rPr>
                <w:szCs w:val="24"/>
              </w:rPr>
            </w:pPr>
            <w:r w:rsidRPr="00CD3EFE">
              <w:rPr>
                <w:szCs w:val="24"/>
              </w:rPr>
              <w:t>1,477</w:t>
            </w:r>
          </w:p>
        </w:tc>
        <w:tc>
          <w:tcPr>
            <w:tcW w:w="1029" w:type="dxa"/>
          </w:tcPr>
          <w:p w14:paraId="45AEB5CE" w14:textId="77777777" w:rsidR="00CF0E2D" w:rsidRPr="00CD3EFE" w:rsidRDefault="00CF0E2D" w:rsidP="00A60D4B">
            <w:pPr>
              <w:pStyle w:val="InitFigR"/>
              <w:keepNext/>
              <w:keepLines/>
              <w:rPr>
                <w:szCs w:val="24"/>
              </w:rPr>
            </w:pPr>
            <w:r w:rsidRPr="00CD3EFE">
              <w:rPr>
                <w:szCs w:val="24"/>
              </w:rPr>
              <w:t>1,508</w:t>
            </w:r>
          </w:p>
        </w:tc>
        <w:tc>
          <w:tcPr>
            <w:tcW w:w="1029" w:type="dxa"/>
          </w:tcPr>
          <w:p w14:paraId="5A8169F0" w14:textId="77777777" w:rsidR="00CF0E2D" w:rsidRPr="00CD3EFE" w:rsidRDefault="00CF0E2D" w:rsidP="00A60D4B">
            <w:pPr>
              <w:pStyle w:val="InitFigBR"/>
              <w:keepNext/>
              <w:keepLines/>
              <w:rPr>
                <w:szCs w:val="24"/>
              </w:rPr>
            </w:pPr>
            <w:r w:rsidRPr="00CD3EFE">
              <w:rPr>
                <w:szCs w:val="24"/>
              </w:rPr>
              <w:t>6,755</w:t>
            </w:r>
          </w:p>
        </w:tc>
      </w:tr>
      <w:tr w:rsidR="00CF0E2D" w:rsidRPr="00AB1B1F" w14:paraId="4DA85AA5" w14:textId="77777777" w:rsidTr="00A60D4B">
        <w:trPr>
          <w:cantSplit/>
          <w:trHeight w:val="107"/>
          <w:jc w:val="center"/>
        </w:trPr>
        <w:tc>
          <w:tcPr>
            <w:tcW w:w="3652" w:type="dxa"/>
          </w:tcPr>
          <w:p w14:paraId="2FA1F1AB" w14:textId="77777777" w:rsidR="00CF0E2D" w:rsidRPr="00CD3EFE" w:rsidRDefault="00CF0E2D" w:rsidP="00A60D4B">
            <w:pPr>
              <w:pStyle w:val="InitTextL"/>
              <w:keepNext/>
              <w:keepLines/>
              <w:ind w:left="321" w:hanging="321"/>
              <w:rPr>
                <w:szCs w:val="24"/>
              </w:rPr>
            </w:pPr>
            <w:r>
              <w:rPr>
                <w:szCs w:val="24"/>
              </w:rPr>
              <w:t xml:space="preserve">Offset – </w:t>
            </w:r>
            <w:r w:rsidRPr="00CD3EFE">
              <w:rPr>
                <w:szCs w:val="24"/>
              </w:rPr>
              <w:t>Revenue</w:t>
            </w:r>
          </w:p>
        </w:tc>
        <w:tc>
          <w:tcPr>
            <w:tcW w:w="1179" w:type="dxa"/>
          </w:tcPr>
          <w:p w14:paraId="72C0F965" w14:textId="77777777" w:rsidR="00CF0E2D" w:rsidRPr="00CD3EFE" w:rsidRDefault="00CF0E2D" w:rsidP="00A60D4B">
            <w:pPr>
              <w:pStyle w:val="InitFigR"/>
              <w:keepNext/>
              <w:keepLines/>
              <w:rPr>
                <w:szCs w:val="24"/>
              </w:rPr>
            </w:pPr>
            <w:r>
              <w:rPr>
                <w:szCs w:val="24"/>
              </w:rPr>
              <w:t>-</w:t>
            </w:r>
            <w:r w:rsidRPr="00CD3EFE">
              <w:rPr>
                <w:szCs w:val="24"/>
              </w:rPr>
              <w:t>2,000</w:t>
            </w:r>
          </w:p>
        </w:tc>
        <w:tc>
          <w:tcPr>
            <w:tcW w:w="1041" w:type="dxa"/>
          </w:tcPr>
          <w:p w14:paraId="702C9472" w14:textId="77777777" w:rsidR="00CF0E2D" w:rsidRPr="00CD3EFE" w:rsidRDefault="00CF0E2D" w:rsidP="00A60D4B">
            <w:pPr>
              <w:pStyle w:val="InitFigR"/>
              <w:keepNext/>
              <w:keepLines/>
              <w:rPr>
                <w:szCs w:val="24"/>
              </w:rPr>
            </w:pPr>
            <w:r>
              <w:rPr>
                <w:szCs w:val="24"/>
              </w:rPr>
              <w:t>-</w:t>
            </w:r>
            <w:r w:rsidRPr="00CD3EFE">
              <w:rPr>
                <w:szCs w:val="24"/>
              </w:rPr>
              <w:t>2,000</w:t>
            </w:r>
          </w:p>
        </w:tc>
        <w:tc>
          <w:tcPr>
            <w:tcW w:w="1029" w:type="dxa"/>
          </w:tcPr>
          <w:p w14:paraId="7947C3E2" w14:textId="77777777" w:rsidR="00CF0E2D" w:rsidRPr="00CD3EFE" w:rsidRDefault="00CF0E2D" w:rsidP="00A60D4B">
            <w:pPr>
              <w:pStyle w:val="InitFigR"/>
              <w:keepNext/>
              <w:keepLines/>
              <w:rPr>
                <w:szCs w:val="24"/>
              </w:rPr>
            </w:pPr>
            <w:r>
              <w:rPr>
                <w:szCs w:val="24"/>
              </w:rPr>
              <w:t>-</w:t>
            </w:r>
            <w:r w:rsidRPr="00CD3EFE">
              <w:rPr>
                <w:szCs w:val="24"/>
              </w:rPr>
              <w:t>2,000</w:t>
            </w:r>
          </w:p>
        </w:tc>
        <w:tc>
          <w:tcPr>
            <w:tcW w:w="1029" w:type="dxa"/>
          </w:tcPr>
          <w:p w14:paraId="5132B9A6" w14:textId="77777777" w:rsidR="00CF0E2D" w:rsidRPr="00CD3EFE" w:rsidRDefault="00CF0E2D" w:rsidP="00A60D4B">
            <w:pPr>
              <w:pStyle w:val="InitFigR"/>
              <w:keepNext/>
              <w:keepLines/>
              <w:rPr>
                <w:szCs w:val="24"/>
              </w:rPr>
            </w:pPr>
            <w:r>
              <w:rPr>
                <w:szCs w:val="24"/>
              </w:rPr>
              <w:t>-</w:t>
            </w:r>
            <w:r w:rsidRPr="00CD3EFE">
              <w:rPr>
                <w:szCs w:val="24"/>
              </w:rPr>
              <w:t>2,000</w:t>
            </w:r>
          </w:p>
        </w:tc>
        <w:tc>
          <w:tcPr>
            <w:tcW w:w="1029" w:type="dxa"/>
          </w:tcPr>
          <w:p w14:paraId="2208FB95" w14:textId="77777777" w:rsidR="00CF0E2D" w:rsidRPr="00CD3EFE" w:rsidRDefault="00CF0E2D" w:rsidP="00A60D4B">
            <w:pPr>
              <w:pStyle w:val="InitFigBR"/>
              <w:keepNext/>
              <w:keepLines/>
              <w:rPr>
                <w:szCs w:val="24"/>
              </w:rPr>
            </w:pPr>
            <w:r>
              <w:rPr>
                <w:szCs w:val="24"/>
              </w:rPr>
              <w:t>-</w:t>
            </w:r>
            <w:r w:rsidRPr="00CD3EFE">
              <w:rPr>
                <w:szCs w:val="24"/>
              </w:rPr>
              <w:t>8,000</w:t>
            </w:r>
          </w:p>
        </w:tc>
      </w:tr>
      <w:tr w:rsidR="00CF0E2D" w:rsidRPr="00AB1B1F" w14:paraId="4DD6B556" w14:textId="77777777" w:rsidTr="00A60D4B">
        <w:trPr>
          <w:cantSplit/>
          <w:trHeight w:val="107"/>
          <w:jc w:val="center"/>
        </w:trPr>
        <w:tc>
          <w:tcPr>
            <w:tcW w:w="3652" w:type="dxa"/>
            <w:tcBorders>
              <w:top w:val="single" w:sz="4" w:space="0" w:color="auto"/>
              <w:bottom w:val="single" w:sz="4" w:space="0" w:color="auto"/>
            </w:tcBorders>
          </w:tcPr>
          <w:p w14:paraId="4EAA4BC6" w14:textId="77777777" w:rsidR="00CF0E2D" w:rsidRPr="00CD3EFE" w:rsidRDefault="00CF0E2D" w:rsidP="00A60D4B">
            <w:pPr>
              <w:pStyle w:val="InitFigLBold"/>
              <w:keepNext/>
              <w:keepLines/>
              <w:ind w:left="321" w:hanging="321"/>
              <w:rPr>
                <w:szCs w:val="24"/>
              </w:rPr>
            </w:pPr>
            <w:r w:rsidRPr="00CD3EFE">
              <w:rPr>
                <w:szCs w:val="24"/>
              </w:rPr>
              <w:t>Net cost of services</w:t>
            </w:r>
          </w:p>
        </w:tc>
        <w:tc>
          <w:tcPr>
            <w:tcW w:w="1179" w:type="dxa"/>
            <w:tcBorders>
              <w:top w:val="single" w:sz="4" w:space="0" w:color="auto"/>
              <w:bottom w:val="single" w:sz="4" w:space="0" w:color="auto"/>
            </w:tcBorders>
          </w:tcPr>
          <w:p w14:paraId="7629D0FB" w14:textId="77777777" w:rsidR="00CF0E2D" w:rsidRPr="00CD3EFE" w:rsidRDefault="00CF0E2D" w:rsidP="00A60D4B">
            <w:pPr>
              <w:pStyle w:val="InitFigRBold"/>
              <w:keepNext/>
              <w:keepLines/>
              <w:rPr>
                <w:szCs w:val="24"/>
              </w:rPr>
            </w:pPr>
            <w:r w:rsidRPr="00CD3EFE">
              <w:rPr>
                <w:szCs w:val="24"/>
              </w:rPr>
              <w:t>324</w:t>
            </w:r>
          </w:p>
        </w:tc>
        <w:tc>
          <w:tcPr>
            <w:tcW w:w="1041" w:type="dxa"/>
            <w:tcBorders>
              <w:top w:val="single" w:sz="4" w:space="0" w:color="auto"/>
              <w:bottom w:val="single" w:sz="4" w:space="0" w:color="auto"/>
            </w:tcBorders>
          </w:tcPr>
          <w:p w14:paraId="3D431629" w14:textId="77777777" w:rsidR="00CF0E2D" w:rsidRPr="00CD3EFE" w:rsidRDefault="00CF0E2D" w:rsidP="00A60D4B">
            <w:pPr>
              <w:pStyle w:val="InitFigRBold"/>
              <w:keepNext/>
              <w:keepLines/>
              <w:rPr>
                <w:szCs w:val="24"/>
              </w:rPr>
            </w:pPr>
            <w:r w:rsidRPr="00CD3EFE">
              <w:rPr>
                <w:szCs w:val="24"/>
              </w:rPr>
              <w:t>-554</w:t>
            </w:r>
          </w:p>
        </w:tc>
        <w:tc>
          <w:tcPr>
            <w:tcW w:w="1029" w:type="dxa"/>
            <w:tcBorders>
              <w:top w:val="single" w:sz="4" w:space="0" w:color="auto"/>
              <w:bottom w:val="single" w:sz="4" w:space="0" w:color="auto"/>
            </w:tcBorders>
          </w:tcPr>
          <w:p w14:paraId="51B5E8CD" w14:textId="77777777" w:rsidR="00CF0E2D" w:rsidRPr="00CD3EFE" w:rsidRDefault="00CF0E2D" w:rsidP="00A60D4B">
            <w:pPr>
              <w:pStyle w:val="InitFigRBold"/>
              <w:keepNext/>
              <w:keepLines/>
              <w:rPr>
                <w:szCs w:val="24"/>
              </w:rPr>
            </w:pPr>
            <w:r w:rsidRPr="00CD3EFE">
              <w:rPr>
                <w:szCs w:val="24"/>
              </w:rPr>
              <w:t>-523</w:t>
            </w:r>
          </w:p>
        </w:tc>
        <w:tc>
          <w:tcPr>
            <w:tcW w:w="1029" w:type="dxa"/>
            <w:tcBorders>
              <w:top w:val="single" w:sz="4" w:space="0" w:color="auto"/>
              <w:bottom w:val="single" w:sz="4" w:space="0" w:color="auto"/>
            </w:tcBorders>
          </w:tcPr>
          <w:p w14:paraId="4AB0EC5E" w14:textId="77777777" w:rsidR="00CF0E2D" w:rsidRPr="00CD3EFE" w:rsidRDefault="00CF0E2D" w:rsidP="00A60D4B">
            <w:pPr>
              <w:pStyle w:val="InitFigRBold"/>
              <w:keepNext/>
              <w:keepLines/>
              <w:rPr>
                <w:szCs w:val="24"/>
              </w:rPr>
            </w:pPr>
            <w:r w:rsidRPr="00CD3EFE">
              <w:rPr>
                <w:szCs w:val="24"/>
              </w:rPr>
              <w:t>-492</w:t>
            </w:r>
          </w:p>
        </w:tc>
        <w:tc>
          <w:tcPr>
            <w:tcW w:w="1029" w:type="dxa"/>
            <w:tcBorders>
              <w:top w:val="single" w:sz="4" w:space="0" w:color="auto"/>
              <w:bottom w:val="single" w:sz="4" w:space="0" w:color="auto"/>
            </w:tcBorders>
          </w:tcPr>
          <w:p w14:paraId="0068C192" w14:textId="77777777" w:rsidR="00CF0E2D" w:rsidRPr="00CD3EFE" w:rsidRDefault="00CF0E2D" w:rsidP="00A60D4B">
            <w:pPr>
              <w:pStyle w:val="InitFigRBold"/>
              <w:keepNext/>
              <w:keepLines/>
              <w:rPr>
                <w:szCs w:val="24"/>
              </w:rPr>
            </w:pPr>
            <w:r w:rsidRPr="00CD3EFE">
              <w:rPr>
                <w:szCs w:val="24"/>
              </w:rPr>
              <w:t>-1,245</w:t>
            </w:r>
          </w:p>
        </w:tc>
      </w:tr>
    </w:tbl>
    <w:p w14:paraId="40F78008" w14:textId="77777777" w:rsidR="00CF0E2D" w:rsidRPr="00E52BF5" w:rsidRDefault="00CF0E2D" w:rsidP="00A60D4B">
      <w:pPr>
        <w:pStyle w:val="Bbodytext"/>
        <w:keepNext/>
        <w:keepLines/>
      </w:pPr>
      <w:r w:rsidRPr="00E52BF5">
        <w:t xml:space="preserve">The Government will provide funding to extend the business intelligence and data analytics landholder duty compliance program within the ACT Revenue Office. This program was originally funded through the 2018-19 Budget initiative </w:t>
      </w:r>
      <w:r w:rsidRPr="00EB652B">
        <w:rPr>
          <w:i/>
          <w:iCs/>
        </w:rPr>
        <w:t>Fairer revenue – Landholder duty compliance</w:t>
      </w:r>
      <w:r w:rsidRPr="00E52BF5">
        <w:t>.</w:t>
      </w:r>
    </w:p>
    <w:p w14:paraId="71F78852" w14:textId="77777777" w:rsidR="00CF0E2D" w:rsidRPr="00E52BF5" w:rsidRDefault="00CF0E2D" w:rsidP="00A60D4B">
      <w:pPr>
        <w:pStyle w:val="Bbodytext"/>
      </w:pPr>
      <w:r w:rsidRPr="00E52BF5">
        <w:t>The Government will also develop options to replace the ageing ACT Valuation Office IT system, which is critical to the Territory's rates system.</w:t>
      </w:r>
    </w:p>
    <w:p w14:paraId="4035B4B0" w14:textId="77777777" w:rsidR="00CF0E2D" w:rsidRPr="00E52BF5" w:rsidRDefault="00CF0E2D" w:rsidP="00A60D4B">
      <w:pPr>
        <w:pStyle w:val="Bbodytext"/>
      </w:pPr>
      <w:r w:rsidRPr="00E52BF5">
        <w:t>This initiative contributes to the wellbeing domain of Economy.</w:t>
      </w:r>
    </w:p>
    <w:p w14:paraId="6761AA5D" w14:textId="77777777" w:rsidR="00CF0E2D" w:rsidRDefault="00CF0E2D" w:rsidP="00A60D4B">
      <w:pPr>
        <w:pStyle w:val="Bbodytext"/>
        <w:rPr>
          <w:szCs w:val="24"/>
        </w:rPr>
      </w:pPr>
      <w:r>
        <w:rPr>
          <w:noProof/>
        </w:rPr>
        <w:drawing>
          <wp:anchor distT="0" distB="0" distL="114300" distR="114300" simplePos="0" relativeHeight="251751424" behindDoc="0" locked="1" layoutInCell="1" allowOverlap="1" wp14:anchorId="7F6BBD79" wp14:editId="6350C3D1">
            <wp:simplePos x="0" y="0"/>
            <wp:positionH relativeFrom="margin">
              <wp:align>right</wp:align>
            </wp:positionH>
            <wp:positionV relativeFrom="paragraph">
              <wp:posOffset>125730</wp:posOffset>
            </wp:positionV>
            <wp:extent cx="1378800" cy="507600"/>
            <wp:effectExtent l="0" t="0" r="0" b="6985"/>
            <wp:wrapSquare wrapText="bothSides"/>
            <wp:docPr id="265" name="Picture 265"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800" cy="507600"/>
                    </a:xfrm>
                    <a:prstGeom prst="rect">
                      <a:avLst/>
                    </a:prstGeom>
                    <a:noFill/>
                  </pic:spPr>
                </pic:pic>
              </a:graphicData>
            </a:graphic>
            <wp14:sizeRelH relativeFrom="margin">
              <wp14:pctWidth>0</wp14:pctWidth>
            </wp14:sizeRelH>
            <wp14:sizeRelV relativeFrom="margin">
              <wp14:pctHeight>0</wp14:pctHeight>
            </wp14:sizeRelV>
          </wp:anchor>
        </w:drawing>
      </w:r>
    </w:p>
    <w:p w14:paraId="28D1973D" w14:textId="77777777" w:rsidR="00CF0E2D" w:rsidRPr="00826C41" w:rsidRDefault="00CF0E2D" w:rsidP="00A60D4B">
      <w:pPr>
        <w:pStyle w:val="Heading4"/>
        <w:rPr>
          <w:rFonts w:eastAsia="Times New Roman" w:cs="Times New Roman"/>
          <w:bCs/>
          <w:szCs w:val="26"/>
          <w:lang w:val="x-none"/>
        </w:rPr>
      </w:pPr>
      <w:r w:rsidRPr="00826C41">
        <w:rPr>
          <w:rFonts w:eastAsia="Times New Roman"/>
        </w:rPr>
        <w:t>Improving and upgrading government accommodati</w:t>
      </w:r>
      <w:r w:rsidRPr="00826C41">
        <w:rPr>
          <w:rFonts w:eastAsia="Times New Roman" w:cs="Times New Roman"/>
          <w:bCs/>
          <w:szCs w:val="26"/>
          <w:lang w:val="x-none"/>
        </w:rPr>
        <w:t>on</w:t>
      </w:r>
      <w:bookmarkStart w:id="34" w:name="_Hlk81322590"/>
      <w:r w:rsidRPr="00826C41">
        <w:rPr>
          <w:rFonts w:eastAsia="Times New Roman" w:cs="Times New Roman"/>
          <w:bCs/>
          <w:szCs w:val="26"/>
          <w:lang w:val="x-none"/>
        </w:rPr>
        <w:t xml:space="preserve">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B73D57" w14:paraId="367D5A0C" w14:textId="77777777" w:rsidTr="00A60D4B">
        <w:trPr>
          <w:cantSplit/>
          <w:jc w:val="center"/>
        </w:trPr>
        <w:tc>
          <w:tcPr>
            <w:tcW w:w="3652" w:type="dxa"/>
            <w:tcBorders>
              <w:top w:val="single" w:sz="4" w:space="0" w:color="auto"/>
              <w:bottom w:val="single" w:sz="4" w:space="0" w:color="auto"/>
            </w:tcBorders>
          </w:tcPr>
          <w:bookmarkEnd w:id="34"/>
          <w:p w14:paraId="0BA3D6C1" w14:textId="77777777" w:rsidR="00CF0E2D" w:rsidRPr="00DB5EDD" w:rsidRDefault="00CF0E2D" w:rsidP="00A60D4B">
            <w:pPr>
              <w:pStyle w:val="EmptyCell0"/>
            </w:pPr>
            <w:r w:rsidRPr="00DB5EDD">
              <w:t>Empty Cell</w:t>
            </w:r>
          </w:p>
        </w:tc>
        <w:tc>
          <w:tcPr>
            <w:tcW w:w="1179" w:type="dxa"/>
            <w:tcBorders>
              <w:top w:val="single" w:sz="4" w:space="0" w:color="auto"/>
              <w:bottom w:val="single" w:sz="4" w:space="0" w:color="auto"/>
            </w:tcBorders>
          </w:tcPr>
          <w:p w14:paraId="27726A8E" w14:textId="77777777" w:rsidR="00CF0E2D" w:rsidRPr="00BF1186" w:rsidRDefault="00CF0E2D" w:rsidP="00A60D4B">
            <w:pPr>
              <w:pStyle w:val="InitFigR"/>
              <w:rPr>
                <w:b/>
                <w:bCs/>
                <w:szCs w:val="24"/>
              </w:rPr>
            </w:pPr>
            <w:r w:rsidRPr="00BF1186">
              <w:rPr>
                <w:b/>
                <w:bCs/>
                <w:szCs w:val="24"/>
              </w:rPr>
              <w:t>2021-22</w:t>
            </w:r>
          </w:p>
          <w:p w14:paraId="6B6E8527" w14:textId="77777777" w:rsidR="00CF0E2D" w:rsidRPr="00BF1186" w:rsidRDefault="00CF0E2D" w:rsidP="00A60D4B">
            <w:pPr>
              <w:pStyle w:val="InitFigR"/>
              <w:rPr>
                <w:b/>
                <w:bCs/>
                <w:szCs w:val="24"/>
              </w:rPr>
            </w:pPr>
            <w:r w:rsidRPr="00BF1186">
              <w:rPr>
                <w:b/>
                <w:bCs/>
                <w:szCs w:val="24"/>
              </w:rPr>
              <w:t>$’000</w:t>
            </w:r>
          </w:p>
        </w:tc>
        <w:tc>
          <w:tcPr>
            <w:tcW w:w="1041" w:type="dxa"/>
            <w:tcBorders>
              <w:top w:val="single" w:sz="4" w:space="0" w:color="auto"/>
              <w:bottom w:val="single" w:sz="4" w:space="0" w:color="auto"/>
            </w:tcBorders>
          </w:tcPr>
          <w:p w14:paraId="09F71285" w14:textId="77777777" w:rsidR="00CF0E2D" w:rsidRPr="00BF1186" w:rsidRDefault="00CF0E2D" w:rsidP="00A60D4B">
            <w:pPr>
              <w:pStyle w:val="InitFigR"/>
              <w:rPr>
                <w:b/>
                <w:bCs/>
                <w:szCs w:val="24"/>
              </w:rPr>
            </w:pPr>
            <w:r w:rsidRPr="00BF1186">
              <w:rPr>
                <w:b/>
                <w:bCs/>
                <w:szCs w:val="24"/>
              </w:rPr>
              <w:t>2022-23</w:t>
            </w:r>
          </w:p>
          <w:p w14:paraId="668E3AC7" w14:textId="77777777" w:rsidR="00CF0E2D" w:rsidRPr="00BF1186" w:rsidRDefault="00CF0E2D" w:rsidP="00A60D4B">
            <w:pPr>
              <w:pStyle w:val="InitFigR"/>
              <w:rPr>
                <w:b/>
                <w:bCs/>
                <w:szCs w:val="24"/>
              </w:rPr>
            </w:pPr>
            <w:r w:rsidRPr="00BF1186">
              <w:rPr>
                <w:b/>
                <w:bCs/>
                <w:szCs w:val="24"/>
              </w:rPr>
              <w:t>$’000</w:t>
            </w:r>
          </w:p>
        </w:tc>
        <w:tc>
          <w:tcPr>
            <w:tcW w:w="1029" w:type="dxa"/>
            <w:tcBorders>
              <w:top w:val="single" w:sz="4" w:space="0" w:color="auto"/>
              <w:bottom w:val="single" w:sz="4" w:space="0" w:color="auto"/>
            </w:tcBorders>
          </w:tcPr>
          <w:p w14:paraId="7971C28D" w14:textId="77777777" w:rsidR="00CF0E2D" w:rsidRPr="00BF1186" w:rsidRDefault="00CF0E2D" w:rsidP="00A60D4B">
            <w:pPr>
              <w:pStyle w:val="InitFigR"/>
              <w:rPr>
                <w:b/>
                <w:bCs/>
                <w:szCs w:val="24"/>
              </w:rPr>
            </w:pPr>
            <w:r w:rsidRPr="00BF1186">
              <w:rPr>
                <w:b/>
                <w:bCs/>
                <w:szCs w:val="24"/>
              </w:rPr>
              <w:t>2023-24</w:t>
            </w:r>
          </w:p>
          <w:p w14:paraId="1C418865" w14:textId="77777777" w:rsidR="00CF0E2D" w:rsidRPr="00BF1186" w:rsidRDefault="00CF0E2D" w:rsidP="00A60D4B">
            <w:pPr>
              <w:pStyle w:val="InitFigR"/>
              <w:rPr>
                <w:b/>
                <w:bCs/>
                <w:szCs w:val="24"/>
              </w:rPr>
            </w:pPr>
            <w:r w:rsidRPr="00BF1186">
              <w:rPr>
                <w:b/>
                <w:bCs/>
                <w:szCs w:val="24"/>
              </w:rPr>
              <w:t>$’000</w:t>
            </w:r>
          </w:p>
        </w:tc>
        <w:tc>
          <w:tcPr>
            <w:tcW w:w="1029" w:type="dxa"/>
            <w:tcBorders>
              <w:top w:val="single" w:sz="4" w:space="0" w:color="auto"/>
              <w:bottom w:val="single" w:sz="4" w:space="0" w:color="auto"/>
            </w:tcBorders>
          </w:tcPr>
          <w:p w14:paraId="191A5732" w14:textId="77777777" w:rsidR="00CF0E2D" w:rsidRPr="00BF1186" w:rsidRDefault="00CF0E2D" w:rsidP="00A60D4B">
            <w:pPr>
              <w:pStyle w:val="InitFigR"/>
              <w:rPr>
                <w:b/>
                <w:bCs/>
                <w:szCs w:val="24"/>
              </w:rPr>
            </w:pPr>
            <w:r w:rsidRPr="00BF1186">
              <w:rPr>
                <w:b/>
                <w:bCs/>
                <w:szCs w:val="24"/>
              </w:rPr>
              <w:t>2024-25</w:t>
            </w:r>
          </w:p>
          <w:p w14:paraId="228FDE1A" w14:textId="77777777" w:rsidR="00CF0E2D" w:rsidRPr="00BF1186" w:rsidRDefault="00CF0E2D" w:rsidP="00A60D4B">
            <w:pPr>
              <w:pStyle w:val="InitFigR"/>
              <w:rPr>
                <w:b/>
                <w:bCs/>
                <w:szCs w:val="24"/>
              </w:rPr>
            </w:pPr>
            <w:r w:rsidRPr="00BF1186">
              <w:rPr>
                <w:b/>
                <w:bCs/>
                <w:szCs w:val="24"/>
              </w:rPr>
              <w:t>$’000</w:t>
            </w:r>
          </w:p>
        </w:tc>
        <w:tc>
          <w:tcPr>
            <w:tcW w:w="1029" w:type="dxa"/>
            <w:tcBorders>
              <w:top w:val="single" w:sz="4" w:space="0" w:color="auto"/>
              <w:bottom w:val="single" w:sz="4" w:space="0" w:color="auto"/>
            </w:tcBorders>
          </w:tcPr>
          <w:p w14:paraId="0448431F" w14:textId="77777777" w:rsidR="00CF0E2D" w:rsidRPr="0042780A" w:rsidRDefault="00CF0E2D" w:rsidP="00A60D4B">
            <w:pPr>
              <w:pStyle w:val="InitFigRBold"/>
              <w:rPr>
                <w:szCs w:val="24"/>
              </w:rPr>
            </w:pPr>
            <w:r w:rsidRPr="00750BD7">
              <w:rPr>
                <w:szCs w:val="24"/>
              </w:rPr>
              <w:t>Total</w:t>
            </w:r>
          </w:p>
          <w:p w14:paraId="6343AE2A" w14:textId="77777777" w:rsidR="00CF0E2D" w:rsidRPr="00B416C7" w:rsidRDefault="00CF0E2D" w:rsidP="00A60D4B">
            <w:pPr>
              <w:pStyle w:val="InitFigBR"/>
              <w:rPr>
                <w:szCs w:val="24"/>
              </w:rPr>
            </w:pPr>
            <w:r w:rsidRPr="0042780A">
              <w:rPr>
                <w:szCs w:val="24"/>
              </w:rPr>
              <w:t>$’000</w:t>
            </w:r>
          </w:p>
        </w:tc>
      </w:tr>
      <w:tr w:rsidR="00CF0E2D" w:rsidRPr="00B73D57" w14:paraId="6880F6A7" w14:textId="77777777" w:rsidTr="00A60D4B">
        <w:trPr>
          <w:cantSplit/>
          <w:jc w:val="center"/>
        </w:trPr>
        <w:tc>
          <w:tcPr>
            <w:tcW w:w="3652" w:type="dxa"/>
            <w:tcBorders>
              <w:top w:val="single" w:sz="4" w:space="0" w:color="auto"/>
              <w:bottom w:val="single" w:sz="4" w:space="0" w:color="auto"/>
            </w:tcBorders>
          </w:tcPr>
          <w:p w14:paraId="01F46192" w14:textId="77777777" w:rsidR="00CF0E2D" w:rsidRPr="00BF1186" w:rsidRDefault="00CF0E2D" w:rsidP="00A60D4B">
            <w:pPr>
              <w:pStyle w:val="InitTextL"/>
              <w:ind w:left="321" w:hanging="321"/>
              <w:rPr>
                <w:szCs w:val="24"/>
              </w:rPr>
            </w:pPr>
            <w:r w:rsidRPr="00BF1186">
              <w:rPr>
                <w:szCs w:val="24"/>
              </w:rPr>
              <w:t>Capital</w:t>
            </w:r>
          </w:p>
        </w:tc>
        <w:tc>
          <w:tcPr>
            <w:tcW w:w="1179" w:type="dxa"/>
            <w:tcBorders>
              <w:top w:val="single" w:sz="4" w:space="0" w:color="auto"/>
              <w:bottom w:val="single" w:sz="4" w:space="0" w:color="auto"/>
            </w:tcBorders>
          </w:tcPr>
          <w:p w14:paraId="174FBE09" w14:textId="77777777" w:rsidR="00CF0E2D" w:rsidRPr="000A3F08" w:rsidRDefault="00CF0E2D" w:rsidP="00A60D4B">
            <w:pPr>
              <w:pStyle w:val="InitFigR"/>
              <w:rPr>
                <w:szCs w:val="24"/>
              </w:rPr>
            </w:pPr>
            <w:r w:rsidRPr="00BD13B4">
              <w:rPr>
                <w:szCs w:val="24"/>
              </w:rPr>
              <w:t>3,384</w:t>
            </w:r>
          </w:p>
        </w:tc>
        <w:tc>
          <w:tcPr>
            <w:tcW w:w="1041" w:type="dxa"/>
            <w:tcBorders>
              <w:top w:val="single" w:sz="4" w:space="0" w:color="auto"/>
              <w:bottom w:val="single" w:sz="4" w:space="0" w:color="auto"/>
            </w:tcBorders>
          </w:tcPr>
          <w:p w14:paraId="693A2840" w14:textId="77777777" w:rsidR="00CF0E2D" w:rsidRPr="00AE2956" w:rsidRDefault="00CF0E2D" w:rsidP="00A60D4B">
            <w:pPr>
              <w:pStyle w:val="InitFigR"/>
              <w:rPr>
                <w:szCs w:val="24"/>
              </w:rPr>
            </w:pPr>
            <w:r w:rsidRPr="00AE2956">
              <w:rPr>
                <w:szCs w:val="24"/>
              </w:rPr>
              <w:t>1,128</w:t>
            </w:r>
          </w:p>
        </w:tc>
        <w:tc>
          <w:tcPr>
            <w:tcW w:w="1029" w:type="dxa"/>
            <w:tcBorders>
              <w:top w:val="single" w:sz="4" w:space="0" w:color="auto"/>
              <w:bottom w:val="single" w:sz="4" w:space="0" w:color="auto"/>
            </w:tcBorders>
          </w:tcPr>
          <w:p w14:paraId="77270CF1" w14:textId="77777777" w:rsidR="00CF0E2D" w:rsidRPr="0000505E" w:rsidRDefault="00CF0E2D" w:rsidP="00A60D4B">
            <w:pPr>
              <w:pStyle w:val="InitFigR"/>
              <w:rPr>
                <w:szCs w:val="24"/>
              </w:rPr>
            </w:pPr>
            <w:r w:rsidRPr="00AE2956">
              <w:rPr>
                <w:szCs w:val="24"/>
              </w:rPr>
              <w:t>0</w:t>
            </w:r>
          </w:p>
        </w:tc>
        <w:tc>
          <w:tcPr>
            <w:tcW w:w="1029" w:type="dxa"/>
            <w:tcBorders>
              <w:top w:val="single" w:sz="4" w:space="0" w:color="auto"/>
              <w:bottom w:val="single" w:sz="4" w:space="0" w:color="auto"/>
            </w:tcBorders>
          </w:tcPr>
          <w:p w14:paraId="302876C2" w14:textId="77777777" w:rsidR="00CF0E2D" w:rsidRPr="000C3CAE" w:rsidRDefault="00CF0E2D" w:rsidP="00A60D4B">
            <w:pPr>
              <w:pStyle w:val="InitFigR"/>
              <w:rPr>
                <w:szCs w:val="24"/>
              </w:rPr>
            </w:pPr>
            <w:r w:rsidRPr="0000505E">
              <w:rPr>
                <w:szCs w:val="24"/>
              </w:rPr>
              <w:t>0</w:t>
            </w:r>
          </w:p>
        </w:tc>
        <w:tc>
          <w:tcPr>
            <w:tcW w:w="1029" w:type="dxa"/>
            <w:tcBorders>
              <w:top w:val="single" w:sz="4" w:space="0" w:color="auto"/>
              <w:bottom w:val="single" w:sz="4" w:space="0" w:color="auto"/>
            </w:tcBorders>
          </w:tcPr>
          <w:p w14:paraId="1B60B809" w14:textId="77777777" w:rsidR="00CF0E2D" w:rsidRPr="00433634" w:rsidRDefault="00CF0E2D" w:rsidP="00A60D4B">
            <w:pPr>
              <w:pStyle w:val="InitFigRBold"/>
              <w:rPr>
                <w:bCs/>
                <w:szCs w:val="24"/>
              </w:rPr>
            </w:pPr>
            <w:r w:rsidRPr="00433634">
              <w:rPr>
                <w:bCs/>
                <w:szCs w:val="24"/>
              </w:rPr>
              <w:t>4,512</w:t>
            </w:r>
          </w:p>
        </w:tc>
      </w:tr>
      <w:tr w:rsidR="00CF0E2D" w:rsidRPr="00B73D57" w14:paraId="3D3C52B2" w14:textId="77777777" w:rsidTr="00A60D4B">
        <w:trPr>
          <w:cantSplit/>
          <w:jc w:val="center"/>
        </w:trPr>
        <w:tc>
          <w:tcPr>
            <w:tcW w:w="3652" w:type="dxa"/>
            <w:tcBorders>
              <w:top w:val="single" w:sz="4" w:space="0" w:color="auto"/>
            </w:tcBorders>
          </w:tcPr>
          <w:p w14:paraId="36834627" w14:textId="77777777" w:rsidR="00CF0E2D" w:rsidRPr="00BD13B4" w:rsidRDefault="00CF0E2D" w:rsidP="00A60D4B">
            <w:pPr>
              <w:pStyle w:val="InitTextL"/>
              <w:ind w:left="321" w:hanging="321"/>
              <w:rPr>
                <w:szCs w:val="24"/>
              </w:rPr>
            </w:pPr>
            <w:r w:rsidRPr="00BD13B4">
              <w:rPr>
                <w:szCs w:val="24"/>
              </w:rPr>
              <w:t>Depreciation</w:t>
            </w:r>
          </w:p>
        </w:tc>
        <w:tc>
          <w:tcPr>
            <w:tcW w:w="1179" w:type="dxa"/>
            <w:tcBorders>
              <w:top w:val="single" w:sz="4" w:space="0" w:color="auto"/>
            </w:tcBorders>
          </w:tcPr>
          <w:p w14:paraId="652705B5" w14:textId="77777777" w:rsidR="00CF0E2D" w:rsidRPr="000A3F08" w:rsidRDefault="00CF0E2D" w:rsidP="00A60D4B">
            <w:pPr>
              <w:pStyle w:val="InitFigR"/>
              <w:rPr>
                <w:szCs w:val="24"/>
              </w:rPr>
            </w:pPr>
            <w:r w:rsidRPr="00BD13B4">
              <w:rPr>
                <w:szCs w:val="24"/>
              </w:rPr>
              <w:t>0</w:t>
            </w:r>
          </w:p>
        </w:tc>
        <w:tc>
          <w:tcPr>
            <w:tcW w:w="1041" w:type="dxa"/>
            <w:tcBorders>
              <w:top w:val="single" w:sz="4" w:space="0" w:color="auto"/>
            </w:tcBorders>
          </w:tcPr>
          <w:p w14:paraId="2512CBCB" w14:textId="77777777" w:rsidR="00CF0E2D" w:rsidRPr="00AE2956" w:rsidRDefault="00CF0E2D" w:rsidP="00A60D4B">
            <w:pPr>
              <w:pStyle w:val="InitFigR"/>
              <w:rPr>
                <w:szCs w:val="24"/>
              </w:rPr>
            </w:pPr>
            <w:r w:rsidRPr="00AE2956">
              <w:rPr>
                <w:szCs w:val="24"/>
              </w:rPr>
              <w:t>0</w:t>
            </w:r>
          </w:p>
        </w:tc>
        <w:tc>
          <w:tcPr>
            <w:tcW w:w="1029" w:type="dxa"/>
            <w:tcBorders>
              <w:top w:val="single" w:sz="4" w:space="0" w:color="auto"/>
            </w:tcBorders>
          </w:tcPr>
          <w:p w14:paraId="5D20F8D2" w14:textId="77777777" w:rsidR="00CF0E2D" w:rsidRPr="0000505E" w:rsidRDefault="00CF0E2D" w:rsidP="00A60D4B">
            <w:pPr>
              <w:pStyle w:val="InitFigR"/>
              <w:rPr>
                <w:szCs w:val="24"/>
              </w:rPr>
            </w:pPr>
            <w:r w:rsidRPr="00AE2956">
              <w:rPr>
                <w:szCs w:val="24"/>
              </w:rPr>
              <w:t>301</w:t>
            </w:r>
          </w:p>
        </w:tc>
        <w:tc>
          <w:tcPr>
            <w:tcW w:w="1029" w:type="dxa"/>
            <w:tcBorders>
              <w:top w:val="single" w:sz="4" w:space="0" w:color="auto"/>
            </w:tcBorders>
          </w:tcPr>
          <w:p w14:paraId="54F67478" w14:textId="77777777" w:rsidR="00CF0E2D" w:rsidRPr="000C3CAE" w:rsidRDefault="00CF0E2D" w:rsidP="00A60D4B">
            <w:pPr>
              <w:pStyle w:val="InitFigR"/>
              <w:rPr>
                <w:szCs w:val="24"/>
              </w:rPr>
            </w:pPr>
            <w:r w:rsidRPr="0000505E">
              <w:rPr>
                <w:szCs w:val="24"/>
              </w:rPr>
              <w:t>301</w:t>
            </w:r>
          </w:p>
        </w:tc>
        <w:tc>
          <w:tcPr>
            <w:tcW w:w="1029" w:type="dxa"/>
            <w:tcBorders>
              <w:top w:val="single" w:sz="4" w:space="0" w:color="auto"/>
            </w:tcBorders>
          </w:tcPr>
          <w:p w14:paraId="0DDEF3D1" w14:textId="77777777" w:rsidR="00CF0E2D" w:rsidRPr="00E30BBE" w:rsidRDefault="00CF0E2D" w:rsidP="00A60D4B">
            <w:pPr>
              <w:pStyle w:val="InitFigBR"/>
              <w:rPr>
                <w:szCs w:val="24"/>
              </w:rPr>
            </w:pPr>
            <w:r>
              <w:rPr>
                <w:szCs w:val="24"/>
              </w:rPr>
              <w:t>602</w:t>
            </w:r>
          </w:p>
        </w:tc>
      </w:tr>
      <w:tr w:rsidR="00CF0E2D" w:rsidRPr="00B73D57" w14:paraId="4F20B823" w14:textId="77777777" w:rsidTr="00A60D4B">
        <w:trPr>
          <w:cantSplit/>
          <w:jc w:val="center"/>
        </w:trPr>
        <w:tc>
          <w:tcPr>
            <w:tcW w:w="3652" w:type="dxa"/>
          </w:tcPr>
          <w:p w14:paraId="4E3D523A" w14:textId="77777777" w:rsidR="00CF0E2D" w:rsidRPr="00BD13B4" w:rsidRDefault="00CF0E2D" w:rsidP="00A60D4B">
            <w:pPr>
              <w:pStyle w:val="InitTextL"/>
              <w:ind w:left="321" w:hanging="321"/>
              <w:rPr>
                <w:szCs w:val="24"/>
              </w:rPr>
            </w:pPr>
            <w:r w:rsidRPr="00BD13B4">
              <w:rPr>
                <w:szCs w:val="24"/>
              </w:rPr>
              <w:t>Expenses</w:t>
            </w:r>
          </w:p>
        </w:tc>
        <w:tc>
          <w:tcPr>
            <w:tcW w:w="1179" w:type="dxa"/>
          </w:tcPr>
          <w:p w14:paraId="21885390" w14:textId="77777777" w:rsidR="00CF0E2D" w:rsidRPr="000A3F08" w:rsidRDefault="00CF0E2D" w:rsidP="00A60D4B">
            <w:pPr>
              <w:pStyle w:val="InitFigR"/>
              <w:rPr>
                <w:szCs w:val="24"/>
              </w:rPr>
            </w:pPr>
            <w:r w:rsidRPr="00BD13B4">
              <w:rPr>
                <w:szCs w:val="24"/>
              </w:rPr>
              <w:t>880</w:t>
            </w:r>
          </w:p>
        </w:tc>
        <w:tc>
          <w:tcPr>
            <w:tcW w:w="1041" w:type="dxa"/>
          </w:tcPr>
          <w:p w14:paraId="05FA82A6" w14:textId="77777777" w:rsidR="00CF0E2D" w:rsidRPr="00AE2956" w:rsidRDefault="00CF0E2D" w:rsidP="00A60D4B">
            <w:pPr>
              <w:pStyle w:val="InitFigR"/>
              <w:rPr>
                <w:szCs w:val="24"/>
              </w:rPr>
            </w:pPr>
            <w:r w:rsidRPr="00AE2956">
              <w:rPr>
                <w:szCs w:val="24"/>
              </w:rPr>
              <w:t>342</w:t>
            </w:r>
          </w:p>
        </w:tc>
        <w:tc>
          <w:tcPr>
            <w:tcW w:w="1029" w:type="dxa"/>
          </w:tcPr>
          <w:p w14:paraId="7672CAC8" w14:textId="77777777" w:rsidR="00CF0E2D" w:rsidRPr="0000505E" w:rsidRDefault="00CF0E2D" w:rsidP="00A60D4B">
            <w:pPr>
              <w:pStyle w:val="InitFigR"/>
              <w:rPr>
                <w:szCs w:val="24"/>
              </w:rPr>
            </w:pPr>
            <w:r w:rsidRPr="00AE2956">
              <w:rPr>
                <w:szCs w:val="24"/>
              </w:rPr>
              <w:t>344</w:t>
            </w:r>
          </w:p>
        </w:tc>
        <w:tc>
          <w:tcPr>
            <w:tcW w:w="1029" w:type="dxa"/>
          </w:tcPr>
          <w:p w14:paraId="2CDA4881" w14:textId="77777777" w:rsidR="00CF0E2D" w:rsidRPr="000C3CAE" w:rsidRDefault="00CF0E2D" w:rsidP="00A60D4B">
            <w:pPr>
              <w:pStyle w:val="InitFigR"/>
              <w:rPr>
                <w:szCs w:val="24"/>
              </w:rPr>
            </w:pPr>
            <w:r w:rsidRPr="0000505E">
              <w:rPr>
                <w:szCs w:val="24"/>
              </w:rPr>
              <w:t>345</w:t>
            </w:r>
          </w:p>
        </w:tc>
        <w:tc>
          <w:tcPr>
            <w:tcW w:w="1029" w:type="dxa"/>
          </w:tcPr>
          <w:p w14:paraId="4D1C3B6E" w14:textId="77777777" w:rsidR="00CF0E2D" w:rsidRPr="00E30BBE" w:rsidRDefault="00CF0E2D" w:rsidP="00A60D4B">
            <w:pPr>
              <w:pStyle w:val="InitFigBR"/>
              <w:rPr>
                <w:szCs w:val="24"/>
              </w:rPr>
            </w:pPr>
            <w:r w:rsidRPr="004806B8">
              <w:rPr>
                <w:szCs w:val="24"/>
              </w:rPr>
              <w:t>1,911</w:t>
            </w:r>
          </w:p>
        </w:tc>
      </w:tr>
      <w:tr w:rsidR="00CF0E2D" w:rsidRPr="00B73D57" w14:paraId="22826D38" w14:textId="77777777" w:rsidTr="00A60D4B">
        <w:trPr>
          <w:cantSplit/>
          <w:trHeight w:val="107"/>
          <w:jc w:val="center"/>
        </w:trPr>
        <w:tc>
          <w:tcPr>
            <w:tcW w:w="3652" w:type="dxa"/>
            <w:tcBorders>
              <w:top w:val="single" w:sz="4" w:space="0" w:color="auto"/>
              <w:bottom w:val="single" w:sz="4" w:space="0" w:color="auto"/>
            </w:tcBorders>
          </w:tcPr>
          <w:p w14:paraId="3544F400" w14:textId="77777777" w:rsidR="00CF0E2D" w:rsidRPr="00BD13B4" w:rsidRDefault="00CF0E2D" w:rsidP="00A60D4B">
            <w:pPr>
              <w:pStyle w:val="InitFigLBold"/>
              <w:ind w:left="321" w:hanging="321"/>
              <w:rPr>
                <w:szCs w:val="24"/>
              </w:rPr>
            </w:pPr>
            <w:r w:rsidRPr="00BD13B4">
              <w:rPr>
                <w:szCs w:val="24"/>
              </w:rPr>
              <w:t>Net cost of services</w:t>
            </w:r>
          </w:p>
        </w:tc>
        <w:tc>
          <w:tcPr>
            <w:tcW w:w="1179" w:type="dxa"/>
            <w:tcBorders>
              <w:top w:val="single" w:sz="4" w:space="0" w:color="auto"/>
              <w:bottom w:val="single" w:sz="4" w:space="0" w:color="auto"/>
            </w:tcBorders>
          </w:tcPr>
          <w:p w14:paraId="3151834F" w14:textId="77777777" w:rsidR="00CF0E2D" w:rsidRPr="00AE2956" w:rsidRDefault="00CF0E2D" w:rsidP="00A60D4B">
            <w:pPr>
              <w:pStyle w:val="InitFigRBold"/>
              <w:rPr>
                <w:szCs w:val="24"/>
              </w:rPr>
            </w:pPr>
            <w:r w:rsidRPr="000A3F08">
              <w:rPr>
                <w:szCs w:val="24"/>
              </w:rPr>
              <w:t>880</w:t>
            </w:r>
          </w:p>
        </w:tc>
        <w:tc>
          <w:tcPr>
            <w:tcW w:w="1041" w:type="dxa"/>
            <w:tcBorders>
              <w:top w:val="single" w:sz="4" w:space="0" w:color="auto"/>
              <w:bottom w:val="single" w:sz="4" w:space="0" w:color="auto"/>
            </w:tcBorders>
          </w:tcPr>
          <w:p w14:paraId="1F274957" w14:textId="77777777" w:rsidR="00CF0E2D" w:rsidRPr="0000505E" w:rsidRDefault="00CF0E2D" w:rsidP="00A60D4B">
            <w:pPr>
              <w:pStyle w:val="InitFigRBold"/>
              <w:rPr>
                <w:szCs w:val="24"/>
              </w:rPr>
            </w:pPr>
            <w:r w:rsidRPr="00AE2956">
              <w:rPr>
                <w:szCs w:val="24"/>
              </w:rPr>
              <w:t>342</w:t>
            </w:r>
          </w:p>
        </w:tc>
        <w:tc>
          <w:tcPr>
            <w:tcW w:w="1029" w:type="dxa"/>
            <w:tcBorders>
              <w:top w:val="single" w:sz="4" w:space="0" w:color="auto"/>
              <w:bottom w:val="single" w:sz="4" w:space="0" w:color="auto"/>
            </w:tcBorders>
          </w:tcPr>
          <w:p w14:paraId="413547B3" w14:textId="77777777" w:rsidR="00CF0E2D" w:rsidRPr="000C3CAE" w:rsidRDefault="00CF0E2D" w:rsidP="00A60D4B">
            <w:pPr>
              <w:pStyle w:val="InitFigRBold"/>
              <w:rPr>
                <w:szCs w:val="24"/>
              </w:rPr>
            </w:pPr>
            <w:r w:rsidRPr="0000505E">
              <w:rPr>
                <w:szCs w:val="24"/>
              </w:rPr>
              <w:t>645</w:t>
            </w:r>
          </w:p>
        </w:tc>
        <w:tc>
          <w:tcPr>
            <w:tcW w:w="1029" w:type="dxa"/>
            <w:tcBorders>
              <w:top w:val="single" w:sz="4" w:space="0" w:color="auto"/>
              <w:bottom w:val="single" w:sz="4" w:space="0" w:color="auto"/>
            </w:tcBorders>
          </w:tcPr>
          <w:p w14:paraId="340C879A" w14:textId="77777777" w:rsidR="00CF0E2D" w:rsidRPr="00E30BBE" w:rsidRDefault="00CF0E2D" w:rsidP="00A60D4B">
            <w:pPr>
              <w:pStyle w:val="InitFigRBold"/>
              <w:rPr>
                <w:szCs w:val="24"/>
              </w:rPr>
            </w:pPr>
            <w:r w:rsidRPr="004806B8">
              <w:rPr>
                <w:szCs w:val="24"/>
              </w:rPr>
              <w:t>646</w:t>
            </w:r>
          </w:p>
        </w:tc>
        <w:tc>
          <w:tcPr>
            <w:tcW w:w="1029" w:type="dxa"/>
            <w:tcBorders>
              <w:top w:val="single" w:sz="4" w:space="0" w:color="auto"/>
              <w:bottom w:val="single" w:sz="4" w:space="0" w:color="auto"/>
            </w:tcBorders>
          </w:tcPr>
          <w:p w14:paraId="5FBAF629" w14:textId="77777777" w:rsidR="00CF0E2D" w:rsidRPr="00F26115" w:rsidRDefault="00CF0E2D" w:rsidP="00A60D4B">
            <w:pPr>
              <w:pStyle w:val="InitFigRBold"/>
              <w:rPr>
                <w:szCs w:val="24"/>
              </w:rPr>
            </w:pPr>
            <w:r w:rsidRPr="00E30BBE">
              <w:rPr>
                <w:szCs w:val="24"/>
              </w:rPr>
              <w:t>2,513</w:t>
            </w:r>
          </w:p>
        </w:tc>
      </w:tr>
    </w:tbl>
    <w:p w14:paraId="00A4CD85" w14:textId="77777777" w:rsidR="00CF0E2D" w:rsidRPr="00F0591A" w:rsidRDefault="00CF0E2D" w:rsidP="00A60D4B">
      <w:pPr>
        <w:pStyle w:val="Bbodytext"/>
        <w:rPr>
          <w:rFonts w:ascii="Calibri" w:eastAsia="Times New Roman" w:hAnsi="Calibri" w:cs="Times New Roman"/>
          <w:szCs w:val="24"/>
        </w:rPr>
      </w:pPr>
      <w:r w:rsidRPr="00F0591A">
        <w:t>The Government will continue the Flexible Work Program and refurbish existing office space in Tuggeranong and Belconnen to create flexi hubs to s</w:t>
      </w:r>
      <w:r w:rsidRPr="00F0591A">
        <w:rPr>
          <w:rFonts w:ascii="Calibri" w:eastAsia="Times New Roman" w:hAnsi="Calibri" w:cs="Times New Roman"/>
          <w:szCs w:val="24"/>
        </w:rPr>
        <w:t xml:space="preserve">upport new ways of working. This program will allow ACT Public Service employees to commute to a flexi hub located in their nearest town centre and will enhance the flexible work practices established in the new Civic and Dickson Office Buildings. </w:t>
      </w:r>
    </w:p>
    <w:p w14:paraId="4D6D286E" w14:textId="77777777" w:rsidR="00CF0E2D" w:rsidRDefault="00CF0E2D" w:rsidP="00A60D4B">
      <w:pPr>
        <w:pStyle w:val="Bbodytext"/>
        <w:rPr>
          <w:rFonts w:ascii="Calibri" w:eastAsia="Times New Roman" w:hAnsi="Calibri" w:cs="Times New Roman"/>
          <w:szCs w:val="24"/>
        </w:rPr>
      </w:pPr>
      <w:r w:rsidRPr="00F0591A">
        <w:t>Th</w:t>
      </w:r>
      <w:r w:rsidRPr="00F0591A">
        <w:rPr>
          <w:rFonts w:ascii="Calibri" w:eastAsia="Times New Roman" w:hAnsi="Calibri" w:cs="Times New Roman"/>
          <w:szCs w:val="24"/>
        </w:rPr>
        <w:t>is initiative contributes to the wellbeing domains of Access and connectivity and Time.</w:t>
      </w:r>
    </w:p>
    <w:p w14:paraId="6FB4D7E1" w14:textId="77777777" w:rsidR="00CF0E2D" w:rsidRPr="00F0591A" w:rsidRDefault="00CF0E2D" w:rsidP="00A60D4B">
      <w:pPr>
        <w:pStyle w:val="Bbodytext"/>
        <w:rPr>
          <w:rFonts w:ascii="Calibri" w:eastAsia="Times New Roman" w:hAnsi="Calibri" w:cs="Times New Roman"/>
          <w:szCs w:val="24"/>
        </w:rPr>
      </w:pPr>
      <w:r>
        <w:rPr>
          <w:rFonts w:ascii="Calibri" w:eastAsiaTheme="majorEastAsia" w:hAnsi="Calibri" w:cstheme="majorBidi"/>
          <w:b/>
          <w:noProof/>
          <w:color w:val="999789"/>
          <w:sz w:val="32"/>
          <w:szCs w:val="24"/>
        </w:rPr>
        <w:drawing>
          <wp:anchor distT="0" distB="0" distL="114300" distR="114300" simplePos="0" relativeHeight="251752448" behindDoc="0" locked="1" layoutInCell="1" allowOverlap="1" wp14:anchorId="2C750251" wp14:editId="1FE6ABA7">
            <wp:simplePos x="0" y="0"/>
            <wp:positionH relativeFrom="margin">
              <wp:align>right</wp:align>
            </wp:positionH>
            <wp:positionV relativeFrom="paragraph">
              <wp:posOffset>198755</wp:posOffset>
            </wp:positionV>
            <wp:extent cx="1422000" cy="504000"/>
            <wp:effectExtent l="0" t="0" r="6985" b="0"/>
            <wp:wrapSquare wrapText="bothSides"/>
            <wp:docPr id="57" name="Picture 57" descr="Icon representing the wellbeing domain of Governance and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con representing the wellbeing domain of Governance and institutions"/>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22000" cy="504000"/>
                    </a:xfrm>
                    <a:prstGeom prst="rect">
                      <a:avLst/>
                    </a:prstGeom>
                  </pic:spPr>
                </pic:pic>
              </a:graphicData>
            </a:graphic>
            <wp14:sizeRelH relativeFrom="margin">
              <wp14:pctWidth>0</wp14:pctWidth>
            </wp14:sizeRelH>
            <wp14:sizeRelV relativeFrom="margin">
              <wp14:pctHeight>0</wp14:pctHeight>
            </wp14:sizeRelV>
          </wp:anchor>
        </w:drawing>
      </w:r>
    </w:p>
    <w:p w14:paraId="07CAC8D4" w14:textId="77777777" w:rsidR="00CF0E2D" w:rsidRDefault="00CF0E2D" w:rsidP="00A60D4B">
      <w:pPr>
        <w:pStyle w:val="Heading4"/>
        <w:rPr>
          <w:rFonts w:eastAsia="Times New Roman"/>
        </w:rPr>
      </w:pPr>
      <w:r>
        <w:rPr>
          <w:rFonts w:eastAsia="Times New Roman"/>
        </w:rPr>
        <w:t>Investing in public services – Critical ICT infrastructure</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BD7" w14:paraId="1D58E9F4" w14:textId="77777777" w:rsidTr="00A60D4B">
        <w:trPr>
          <w:cantSplit/>
          <w:jc w:val="center"/>
        </w:trPr>
        <w:tc>
          <w:tcPr>
            <w:tcW w:w="3652" w:type="dxa"/>
            <w:tcBorders>
              <w:top w:val="single" w:sz="4" w:space="0" w:color="auto"/>
              <w:bottom w:val="single" w:sz="4" w:space="0" w:color="auto"/>
            </w:tcBorders>
          </w:tcPr>
          <w:p w14:paraId="09872AAF" w14:textId="77777777" w:rsidR="00CF0E2D" w:rsidRPr="004D69A4" w:rsidRDefault="00CF0E2D" w:rsidP="00A60D4B">
            <w:pPr>
              <w:pStyle w:val="EmptyCell0"/>
              <w:rPr>
                <w:sz w:val="24"/>
                <w:szCs w:val="24"/>
              </w:rPr>
            </w:pPr>
            <w:r w:rsidRPr="004D69A4">
              <w:rPr>
                <w:sz w:val="24"/>
                <w:szCs w:val="24"/>
              </w:rPr>
              <w:t>Empty Cell</w:t>
            </w:r>
          </w:p>
        </w:tc>
        <w:tc>
          <w:tcPr>
            <w:tcW w:w="1179" w:type="dxa"/>
            <w:tcBorders>
              <w:top w:val="single" w:sz="4" w:space="0" w:color="auto"/>
              <w:bottom w:val="single" w:sz="4" w:space="0" w:color="auto"/>
            </w:tcBorders>
          </w:tcPr>
          <w:p w14:paraId="217D41DC" w14:textId="77777777" w:rsidR="00CF0E2D" w:rsidRPr="00BF1186" w:rsidRDefault="00CF0E2D" w:rsidP="00A60D4B">
            <w:pPr>
              <w:pStyle w:val="InitFigR"/>
              <w:rPr>
                <w:b/>
                <w:bCs/>
                <w:szCs w:val="24"/>
              </w:rPr>
            </w:pPr>
            <w:r w:rsidRPr="00BF1186">
              <w:rPr>
                <w:b/>
                <w:bCs/>
                <w:szCs w:val="24"/>
              </w:rPr>
              <w:t>2021-22</w:t>
            </w:r>
          </w:p>
          <w:p w14:paraId="5D5456EF" w14:textId="77777777" w:rsidR="00CF0E2D" w:rsidRPr="00BF1186" w:rsidRDefault="00CF0E2D" w:rsidP="00A60D4B">
            <w:pPr>
              <w:pStyle w:val="InitFigR"/>
              <w:rPr>
                <w:b/>
                <w:bCs/>
                <w:szCs w:val="24"/>
              </w:rPr>
            </w:pPr>
            <w:r w:rsidRPr="00BF1186">
              <w:rPr>
                <w:b/>
                <w:bCs/>
                <w:szCs w:val="24"/>
              </w:rPr>
              <w:t>$’000</w:t>
            </w:r>
          </w:p>
        </w:tc>
        <w:tc>
          <w:tcPr>
            <w:tcW w:w="1041" w:type="dxa"/>
            <w:tcBorders>
              <w:top w:val="single" w:sz="4" w:space="0" w:color="auto"/>
              <w:bottom w:val="single" w:sz="4" w:space="0" w:color="auto"/>
            </w:tcBorders>
          </w:tcPr>
          <w:p w14:paraId="0797E9A4" w14:textId="77777777" w:rsidR="00CF0E2D" w:rsidRPr="00BF1186" w:rsidRDefault="00CF0E2D" w:rsidP="00A60D4B">
            <w:pPr>
              <w:pStyle w:val="InitFigR"/>
              <w:rPr>
                <w:b/>
                <w:bCs/>
                <w:szCs w:val="24"/>
              </w:rPr>
            </w:pPr>
            <w:r w:rsidRPr="00BF1186">
              <w:rPr>
                <w:b/>
                <w:bCs/>
                <w:szCs w:val="24"/>
              </w:rPr>
              <w:t>2022-23</w:t>
            </w:r>
          </w:p>
          <w:p w14:paraId="69EAF1BF" w14:textId="77777777" w:rsidR="00CF0E2D" w:rsidRPr="00BF1186" w:rsidRDefault="00CF0E2D" w:rsidP="00A60D4B">
            <w:pPr>
              <w:pStyle w:val="InitFigR"/>
              <w:rPr>
                <w:b/>
                <w:bCs/>
                <w:szCs w:val="24"/>
              </w:rPr>
            </w:pPr>
            <w:r w:rsidRPr="00BF1186">
              <w:rPr>
                <w:b/>
                <w:bCs/>
                <w:szCs w:val="24"/>
              </w:rPr>
              <w:t>$’000</w:t>
            </w:r>
          </w:p>
        </w:tc>
        <w:tc>
          <w:tcPr>
            <w:tcW w:w="1029" w:type="dxa"/>
            <w:tcBorders>
              <w:top w:val="single" w:sz="4" w:space="0" w:color="auto"/>
              <w:bottom w:val="single" w:sz="4" w:space="0" w:color="auto"/>
            </w:tcBorders>
          </w:tcPr>
          <w:p w14:paraId="75491CED" w14:textId="77777777" w:rsidR="00CF0E2D" w:rsidRPr="00BF1186" w:rsidRDefault="00CF0E2D" w:rsidP="00A60D4B">
            <w:pPr>
              <w:pStyle w:val="InitFigR"/>
              <w:rPr>
                <w:b/>
                <w:bCs/>
                <w:szCs w:val="24"/>
              </w:rPr>
            </w:pPr>
            <w:r w:rsidRPr="00BF1186">
              <w:rPr>
                <w:b/>
                <w:bCs/>
                <w:szCs w:val="24"/>
              </w:rPr>
              <w:t>2023-24</w:t>
            </w:r>
          </w:p>
          <w:p w14:paraId="10E7A98F" w14:textId="77777777" w:rsidR="00CF0E2D" w:rsidRPr="00BF1186" w:rsidRDefault="00CF0E2D" w:rsidP="00A60D4B">
            <w:pPr>
              <w:pStyle w:val="InitFigR"/>
              <w:rPr>
                <w:b/>
                <w:bCs/>
                <w:szCs w:val="24"/>
              </w:rPr>
            </w:pPr>
            <w:r w:rsidRPr="00BF1186">
              <w:rPr>
                <w:b/>
                <w:bCs/>
                <w:szCs w:val="24"/>
              </w:rPr>
              <w:t>$’000</w:t>
            </w:r>
          </w:p>
        </w:tc>
        <w:tc>
          <w:tcPr>
            <w:tcW w:w="1029" w:type="dxa"/>
            <w:tcBorders>
              <w:top w:val="single" w:sz="4" w:space="0" w:color="auto"/>
              <w:bottom w:val="single" w:sz="4" w:space="0" w:color="auto"/>
            </w:tcBorders>
          </w:tcPr>
          <w:p w14:paraId="2260975C" w14:textId="77777777" w:rsidR="00CF0E2D" w:rsidRPr="00BF1186" w:rsidRDefault="00CF0E2D" w:rsidP="00A60D4B">
            <w:pPr>
              <w:pStyle w:val="InitFigR"/>
              <w:rPr>
                <w:b/>
                <w:bCs/>
                <w:szCs w:val="24"/>
              </w:rPr>
            </w:pPr>
            <w:r w:rsidRPr="00BF1186">
              <w:rPr>
                <w:b/>
                <w:bCs/>
                <w:szCs w:val="24"/>
              </w:rPr>
              <w:t>2024-25</w:t>
            </w:r>
          </w:p>
          <w:p w14:paraId="6E9B780A" w14:textId="77777777" w:rsidR="00CF0E2D" w:rsidRPr="00BF1186" w:rsidRDefault="00CF0E2D" w:rsidP="00A60D4B">
            <w:pPr>
              <w:pStyle w:val="InitFigR"/>
              <w:rPr>
                <w:b/>
                <w:bCs/>
                <w:szCs w:val="24"/>
              </w:rPr>
            </w:pPr>
            <w:r w:rsidRPr="00BF1186">
              <w:rPr>
                <w:b/>
                <w:bCs/>
                <w:szCs w:val="24"/>
              </w:rPr>
              <w:t>$’000</w:t>
            </w:r>
          </w:p>
        </w:tc>
        <w:tc>
          <w:tcPr>
            <w:tcW w:w="1029" w:type="dxa"/>
            <w:tcBorders>
              <w:top w:val="single" w:sz="4" w:space="0" w:color="auto"/>
              <w:bottom w:val="single" w:sz="4" w:space="0" w:color="auto"/>
            </w:tcBorders>
          </w:tcPr>
          <w:p w14:paraId="5D590CBF" w14:textId="77777777" w:rsidR="00CF0E2D" w:rsidRPr="001C120A" w:rsidRDefault="00CF0E2D" w:rsidP="00A60D4B">
            <w:pPr>
              <w:pStyle w:val="InitFigRBold"/>
              <w:rPr>
                <w:szCs w:val="24"/>
              </w:rPr>
            </w:pPr>
            <w:r w:rsidRPr="00F26115">
              <w:rPr>
                <w:szCs w:val="24"/>
              </w:rPr>
              <w:t>Total</w:t>
            </w:r>
          </w:p>
          <w:p w14:paraId="3C4AD1A1" w14:textId="77777777" w:rsidR="00CF0E2D" w:rsidRPr="00750BD7" w:rsidRDefault="00CF0E2D" w:rsidP="00A60D4B">
            <w:pPr>
              <w:pStyle w:val="InitFigBR"/>
              <w:rPr>
                <w:szCs w:val="24"/>
              </w:rPr>
            </w:pPr>
            <w:r w:rsidRPr="00750BD7">
              <w:rPr>
                <w:szCs w:val="24"/>
              </w:rPr>
              <w:t>$’000</w:t>
            </w:r>
          </w:p>
        </w:tc>
      </w:tr>
      <w:tr w:rsidR="00CF0E2D" w:rsidRPr="00DB4B69" w14:paraId="6F4F8B62" w14:textId="77777777" w:rsidTr="00A60D4B">
        <w:trPr>
          <w:cantSplit/>
          <w:jc w:val="center"/>
        </w:trPr>
        <w:tc>
          <w:tcPr>
            <w:tcW w:w="3652" w:type="dxa"/>
            <w:tcBorders>
              <w:top w:val="single" w:sz="4" w:space="0" w:color="auto"/>
            </w:tcBorders>
          </w:tcPr>
          <w:p w14:paraId="7713EEA8" w14:textId="77777777" w:rsidR="00CF0E2D" w:rsidRPr="00BD13B4" w:rsidRDefault="00CF0E2D" w:rsidP="00A60D4B">
            <w:pPr>
              <w:pStyle w:val="InitTextL"/>
              <w:ind w:left="321" w:hanging="321"/>
              <w:rPr>
                <w:szCs w:val="24"/>
              </w:rPr>
            </w:pPr>
            <w:r w:rsidRPr="00BD13B4">
              <w:rPr>
                <w:szCs w:val="24"/>
              </w:rPr>
              <w:t>Capital</w:t>
            </w:r>
          </w:p>
        </w:tc>
        <w:tc>
          <w:tcPr>
            <w:tcW w:w="1179" w:type="dxa"/>
            <w:tcBorders>
              <w:top w:val="single" w:sz="4" w:space="0" w:color="auto"/>
            </w:tcBorders>
          </w:tcPr>
          <w:p w14:paraId="52B7AC00" w14:textId="77777777" w:rsidR="00CF0E2D" w:rsidRPr="000A3F08" w:rsidRDefault="00CF0E2D" w:rsidP="00A60D4B">
            <w:pPr>
              <w:pStyle w:val="InitFigR"/>
              <w:rPr>
                <w:szCs w:val="24"/>
              </w:rPr>
            </w:pPr>
            <w:r w:rsidRPr="00BD13B4">
              <w:rPr>
                <w:szCs w:val="24"/>
              </w:rPr>
              <w:t>4,810</w:t>
            </w:r>
          </w:p>
        </w:tc>
        <w:tc>
          <w:tcPr>
            <w:tcW w:w="1041" w:type="dxa"/>
            <w:tcBorders>
              <w:top w:val="single" w:sz="4" w:space="0" w:color="auto"/>
            </w:tcBorders>
          </w:tcPr>
          <w:p w14:paraId="6B4E5756" w14:textId="77777777" w:rsidR="00CF0E2D" w:rsidRPr="00AE2956" w:rsidRDefault="00CF0E2D" w:rsidP="00A60D4B">
            <w:pPr>
              <w:pStyle w:val="InitFigR"/>
              <w:rPr>
                <w:szCs w:val="24"/>
              </w:rPr>
            </w:pPr>
            <w:r w:rsidRPr="00AE2956">
              <w:rPr>
                <w:szCs w:val="24"/>
              </w:rPr>
              <w:t>5,620</w:t>
            </w:r>
          </w:p>
        </w:tc>
        <w:tc>
          <w:tcPr>
            <w:tcW w:w="1029" w:type="dxa"/>
            <w:tcBorders>
              <w:top w:val="single" w:sz="4" w:space="0" w:color="auto"/>
            </w:tcBorders>
          </w:tcPr>
          <w:p w14:paraId="37796831" w14:textId="77777777" w:rsidR="00CF0E2D" w:rsidRPr="0000505E" w:rsidRDefault="00CF0E2D" w:rsidP="00A60D4B">
            <w:pPr>
              <w:pStyle w:val="InitFigR"/>
              <w:rPr>
                <w:szCs w:val="24"/>
              </w:rPr>
            </w:pPr>
            <w:r w:rsidRPr="00AE2956">
              <w:rPr>
                <w:szCs w:val="24"/>
              </w:rPr>
              <w:t>7,030</w:t>
            </w:r>
          </w:p>
        </w:tc>
        <w:tc>
          <w:tcPr>
            <w:tcW w:w="1029" w:type="dxa"/>
            <w:tcBorders>
              <w:top w:val="single" w:sz="4" w:space="0" w:color="auto"/>
            </w:tcBorders>
          </w:tcPr>
          <w:p w14:paraId="479EF3A5" w14:textId="77777777" w:rsidR="00CF0E2D" w:rsidRPr="000C3CAE" w:rsidRDefault="00CF0E2D" w:rsidP="00A60D4B">
            <w:pPr>
              <w:pStyle w:val="InitFigR"/>
              <w:rPr>
                <w:szCs w:val="24"/>
              </w:rPr>
            </w:pPr>
            <w:r w:rsidRPr="0000505E">
              <w:rPr>
                <w:szCs w:val="24"/>
              </w:rPr>
              <w:t>5,340</w:t>
            </w:r>
          </w:p>
        </w:tc>
        <w:tc>
          <w:tcPr>
            <w:tcW w:w="1029" w:type="dxa"/>
            <w:tcBorders>
              <w:top w:val="single" w:sz="4" w:space="0" w:color="auto"/>
            </w:tcBorders>
          </w:tcPr>
          <w:p w14:paraId="37F5E499" w14:textId="77777777" w:rsidR="00CF0E2D" w:rsidRPr="00DB4B69" w:rsidRDefault="00CF0E2D" w:rsidP="00A60D4B">
            <w:pPr>
              <w:pStyle w:val="InitFigRBold"/>
              <w:rPr>
                <w:bCs/>
                <w:szCs w:val="24"/>
              </w:rPr>
            </w:pPr>
            <w:r w:rsidRPr="004806B8">
              <w:rPr>
                <w:bCs/>
                <w:szCs w:val="24"/>
              </w:rPr>
              <w:t>22,800</w:t>
            </w:r>
          </w:p>
        </w:tc>
      </w:tr>
      <w:tr w:rsidR="00CF0E2D" w:rsidRPr="00E30BBE" w14:paraId="4F53B3B8" w14:textId="77777777" w:rsidTr="00A60D4B">
        <w:trPr>
          <w:cantSplit/>
          <w:jc w:val="center"/>
        </w:trPr>
        <w:tc>
          <w:tcPr>
            <w:tcW w:w="3652" w:type="dxa"/>
          </w:tcPr>
          <w:p w14:paraId="59A32B95" w14:textId="77777777" w:rsidR="00CF0E2D" w:rsidRPr="00BD13B4" w:rsidRDefault="00CF0E2D" w:rsidP="00A60D4B">
            <w:pPr>
              <w:pStyle w:val="InitTextL"/>
              <w:ind w:left="321" w:hanging="321"/>
              <w:rPr>
                <w:szCs w:val="24"/>
              </w:rPr>
            </w:pPr>
            <w:r w:rsidRPr="00BD13B4">
              <w:rPr>
                <w:szCs w:val="24"/>
              </w:rPr>
              <w:t>Offset – Capital</w:t>
            </w:r>
          </w:p>
        </w:tc>
        <w:tc>
          <w:tcPr>
            <w:tcW w:w="1179" w:type="dxa"/>
          </w:tcPr>
          <w:p w14:paraId="63CBCC11" w14:textId="77777777" w:rsidR="00CF0E2D" w:rsidRPr="000A3F08" w:rsidRDefault="00CF0E2D" w:rsidP="00A60D4B">
            <w:pPr>
              <w:pStyle w:val="InitFigR"/>
              <w:rPr>
                <w:szCs w:val="24"/>
              </w:rPr>
            </w:pPr>
            <w:r>
              <w:rPr>
                <w:szCs w:val="24"/>
              </w:rPr>
              <w:t>-</w:t>
            </w:r>
            <w:r w:rsidRPr="00BD13B4">
              <w:rPr>
                <w:szCs w:val="24"/>
              </w:rPr>
              <w:t>2,000</w:t>
            </w:r>
          </w:p>
        </w:tc>
        <w:tc>
          <w:tcPr>
            <w:tcW w:w="1041" w:type="dxa"/>
          </w:tcPr>
          <w:p w14:paraId="1C609952" w14:textId="77777777" w:rsidR="00CF0E2D" w:rsidRPr="00AE2956" w:rsidRDefault="00CF0E2D" w:rsidP="00A60D4B">
            <w:pPr>
              <w:pStyle w:val="InitFigR"/>
              <w:rPr>
                <w:szCs w:val="24"/>
              </w:rPr>
            </w:pPr>
            <w:r>
              <w:rPr>
                <w:szCs w:val="24"/>
              </w:rPr>
              <w:t>-</w:t>
            </w:r>
            <w:r w:rsidRPr="00AE2956">
              <w:rPr>
                <w:szCs w:val="24"/>
              </w:rPr>
              <w:t>1,000</w:t>
            </w:r>
          </w:p>
        </w:tc>
        <w:tc>
          <w:tcPr>
            <w:tcW w:w="1029" w:type="dxa"/>
          </w:tcPr>
          <w:p w14:paraId="40E69CE8" w14:textId="77777777" w:rsidR="00CF0E2D" w:rsidRPr="0000505E" w:rsidRDefault="00CF0E2D" w:rsidP="00A60D4B">
            <w:pPr>
              <w:pStyle w:val="InitFigR"/>
              <w:rPr>
                <w:szCs w:val="24"/>
              </w:rPr>
            </w:pPr>
            <w:r>
              <w:rPr>
                <w:szCs w:val="24"/>
              </w:rPr>
              <w:t>-</w:t>
            </w:r>
            <w:r w:rsidRPr="00AE2956">
              <w:rPr>
                <w:szCs w:val="24"/>
              </w:rPr>
              <w:t>1,000</w:t>
            </w:r>
          </w:p>
        </w:tc>
        <w:tc>
          <w:tcPr>
            <w:tcW w:w="1029" w:type="dxa"/>
          </w:tcPr>
          <w:p w14:paraId="6A1E3A02" w14:textId="77777777" w:rsidR="00CF0E2D" w:rsidRPr="000C3CAE" w:rsidRDefault="00CF0E2D" w:rsidP="00A60D4B">
            <w:pPr>
              <w:pStyle w:val="InitFigR"/>
              <w:rPr>
                <w:szCs w:val="24"/>
              </w:rPr>
            </w:pPr>
            <w:r>
              <w:rPr>
                <w:szCs w:val="24"/>
              </w:rPr>
              <w:t>-</w:t>
            </w:r>
            <w:r w:rsidRPr="0000505E">
              <w:rPr>
                <w:szCs w:val="24"/>
              </w:rPr>
              <w:t>1,000</w:t>
            </w:r>
          </w:p>
        </w:tc>
        <w:tc>
          <w:tcPr>
            <w:tcW w:w="1029" w:type="dxa"/>
          </w:tcPr>
          <w:p w14:paraId="24A454BE" w14:textId="77777777" w:rsidR="00CF0E2D" w:rsidRPr="00E30BBE" w:rsidRDefault="00CF0E2D" w:rsidP="00A60D4B">
            <w:pPr>
              <w:pStyle w:val="InitFigRBold"/>
              <w:rPr>
                <w:bCs/>
                <w:szCs w:val="24"/>
              </w:rPr>
            </w:pPr>
            <w:r>
              <w:rPr>
                <w:bCs/>
                <w:szCs w:val="24"/>
              </w:rPr>
              <w:t>-</w:t>
            </w:r>
            <w:r w:rsidRPr="004806B8">
              <w:rPr>
                <w:bCs/>
                <w:szCs w:val="24"/>
              </w:rPr>
              <w:t>5,00</w:t>
            </w:r>
            <w:r w:rsidRPr="00DB4B69">
              <w:rPr>
                <w:bCs/>
                <w:szCs w:val="24"/>
              </w:rPr>
              <w:t>0</w:t>
            </w:r>
          </w:p>
        </w:tc>
      </w:tr>
      <w:tr w:rsidR="00CF0E2D" w:rsidRPr="00DB4B69" w14:paraId="0AEA1379" w14:textId="77777777" w:rsidTr="00A60D4B">
        <w:trPr>
          <w:cantSplit/>
          <w:jc w:val="center"/>
        </w:trPr>
        <w:tc>
          <w:tcPr>
            <w:tcW w:w="3652" w:type="dxa"/>
            <w:tcBorders>
              <w:top w:val="single" w:sz="4" w:space="0" w:color="auto"/>
              <w:bottom w:val="single" w:sz="4" w:space="0" w:color="auto"/>
            </w:tcBorders>
          </w:tcPr>
          <w:p w14:paraId="59228A9C" w14:textId="09B050C4" w:rsidR="00CF0E2D" w:rsidRPr="00BD13B4" w:rsidRDefault="00F57411" w:rsidP="00A60D4B">
            <w:pPr>
              <w:pStyle w:val="InitTextL"/>
              <w:ind w:left="321" w:hanging="321"/>
              <w:rPr>
                <w:b/>
                <w:bCs/>
                <w:szCs w:val="24"/>
              </w:rPr>
            </w:pPr>
            <w:r>
              <w:rPr>
                <w:b/>
                <w:bCs/>
                <w:szCs w:val="24"/>
              </w:rPr>
              <w:t>Net capital</w:t>
            </w:r>
          </w:p>
        </w:tc>
        <w:tc>
          <w:tcPr>
            <w:tcW w:w="1179" w:type="dxa"/>
            <w:tcBorders>
              <w:top w:val="single" w:sz="4" w:space="0" w:color="auto"/>
              <w:bottom w:val="single" w:sz="4" w:space="0" w:color="auto"/>
            </w:tcBorders>
          </w:tcPr>
          <w:p w14:paraId="1D2C6AAD" w14:textId="77777777" w:rsidR="00CF0E2D" w:rsidRPr="000A3F08" w:rsidRDefault="00CF0E2D" w:rsidP="00A60D4B">
            <w:pPr>
              <w:pStyle w:val="InitFigR"/>
              <w:rPr>
                <w:b/>
                <w:bCs/>
                <w:szCs w:val="24"/>
              </w:rPr>
            </w:pPr>
            <w:r w:rsidRPr="00BD13B4">
              <w:rPr>
                <w:b/>
                <w:bCs/>
                <w:szCs w:val="24"/>
              </w:rPr>
              <w:t>2,810</w:t>
            </w:r>
          </w:p>
        </w:tc>
        <w:tc>
          <w:tcPr>
            <w:tcW w:w="1041" w:type="dxa"/>
            <w:tcBorders>
              <w:top w:val="single" w:sz="4" w:space="0" w:color="auto"/>
              <w:bottom w:val="single" w:sz="4" w:space="0" w:color="auto"/>
            </w:tcBorders>
          </w:tcPr>
          <w:p w14:paraId="4C0526D2" w14:textId="77777777" w:rsidR="00CF0E2D" w:rsidRPr="00AE2956" w:rsidRDefault="00CF0E2D" w:rsidP="00A60D4B">
            <w:pPr>
              <w:pStyle w:val="InitFigR"/>
              <w:rPr>
                <w:b/>
                <w:bCs/>
                <w:szCs w:val="24"/>
              </w:rPr>
            </w:pPr>
            <w:r w:rsidRPr="00AE2956">
              <w:rPr>
                <w:b/>
                <w:bCs/>
                <w:szCs w:val="24"/>
              </w:rPr>
              <w:t>4,620</w:t>
            </w:r>
          </w:p>
        </w:tc>
        <w:tc>
          <w:tcPr>
            <w:tcW w:w="1029" w:type="dxa"/>
            <w:tcBorders>
              <w:top w:val="single" w:sz="4" w:space="0" w:color="auto"/>
              <w:bottom w:val="single" w:sz="4" w:space="0" w:color="auto"/>
            </w:tcBorders>
          </w:tcPr>
          <w:p w14:paraId="7CAF1410" w14:textId="77777777" w:rsidR="00CF0E2D" w:rsidRPr="0000505E" w:rsidRDefault="00CF0E2D" w:rsidP="00A60D4B">
            <w:pPr>
              <w:pStyle w:val="InitFigR"/>
              <w:rPr>
                <w:b/>
                <w:bCs/>
                <w:szCs w:val="24"/>
              </w:rPr>
            </w:pPr>
            <w:r w:rsidRPr="00AE2956">
              <w:rPr>
                <w:b/>
                <w:bCs/>
                <w:szCs w:val="24"/>
              </w:rPr>
              <w:t>6,030</w:t>
            </w:r>
          </w:p>
        </w:tc>
        <w:tc>
          <w:tcPr>
            <w:tcW w:w="1029" w:type="dxa"/>
            <w:tcBorders>
              <w:top w:val="single" w:sz="4" w:space="0" w:color="auto"/>
              <w:bottom w:val="single" w:sz="4" w:space="0" w:color="auto"/>
            </w:tcBorders>
          </w:tcPr>
          <w:p w14:paraId="63A1987B" w14:textId="77777777" w:rsidR="00CF0E2D" w:rsidRPr="000C3CAE" w:rsidRDefault="00CF0E2D" w:rsidP="00A60D4B">
            <w:pPr>
              <w:pStyle w:val="InitFigR"/>
              <w:rPr>
                <w:b/>
                <w:bCs/>
                <w:szCs w:val="24"/>
              </w:rPr>
            </w:pPr>
            <w:r w:rsidRPr="0000505E">
              <w:rPr>
                <w:b/>
                <w:bCs/>
                <w:szCs w:val="24"/>
              </w:rPr>
              <w:t>4,340</w:t>
            </w:r>
          </w:p>
        </w:tc>
        <w:tc>
          <w:tcPr>
            <w:tcW w:w="1029" w:type="dxa"/>
            <w:tcBorders>
              <w:top w:val="single" w:sz="4" w:space="0" w:color="auto"/>
              <w:bottom w:val="single" w:sz="4" w:space="0" w:color="auto"/>
            </w:tcBorders>
          </w:tcPr>
          <w:p w14:paraId="49638B76" w14:textId="77777777" w:rsidR="00CF0E2D" w:rsidRPr="00DB4B69" w:rsidRDefault="00CF0E2D" w:rsidP="00A60D4B">
            <w:pPr>
              <w:pStyle w:val="InitFigRBold"/>
              <w:rPr>
                <w:bCs/>
                <w:szCs w:val="24"/>
              </w:rPr>
            </w:pPr>
            <w:r w:rsidRPr="004806B8">
              <w:rPr>
                <w:bCs/>
                <w:szCs w:val="24"/>
              </w:rPr>
              <w:t>17,800</w:t>
            </w:r>
          </w:p>
        </w:tc>
      </w:tr>
      <w:tr w:rsidR="00CF0E2D" w:rsidRPr="004A4728" w14:paraId="57A0B754" w14:textId="77777777" w:rsidTr="00A60D4B">
        <w:trPr>
          <w:cantSplit/>
          <w:jc w:val="center"/>
        </w:trPr>
        <w:tc>
          <w:tcPr>
            <w:tcW w:w="3652" w:type="dxa"/>
            <w:tcBorders>
              <w:top w:val="single" w:sz="4" w:space="0" w:color="auto"/>
              <w:bottom w:val="single" w:sz="4" w:space="0" w:color="auto"/>
            </w:tcBorders>
          </w:tcPr>
          <w:p w14:paraId="50F9C81F" w14:textId="77777777" w:rsidR="00CF0E2D" w:rsidRPr="00D278EA" w:rsidRDefault="00CF0E2D" w:rsidP="00A60D4B">
            <w:pPr>
              <w:pStyle w:val="InitTextL"/>
              <w:ind w:left="321" w:hanging="321"/>
              <w:rPr>
                <w:szCs w:val="24"/>
              </w:rPr>
            </w:pPr>
            <w:r w:rsidRPr="00D278EA">
              <w:rPr>
                <w:szCs w:val="24"/>
              </w:rPr>
              <w:t>Depreciation</w:t>
            </w:r>
          </w:p>
        </w:tc>
        <w:tc>
          <w:tcPr>
            <w:tcW w:w="1179" w:type="dxa"/>
            <w:tcBorders>
              <w:top w:val="single" w:sz="4" w:space="0" w:color="auto"/>
              <w:bottom w:val="single" w:sz="4" w:space="0" w:color="auto"/>
            </w:tcBorders>
          </w:tcPr>
          <w:p w14:paraId="197F2BD3" w14:textId="77777777" w:rsidR="00CF0E2D" w:rsidRPr="00D278EA" w:rsidRDefault="00CF0E2D" w:rsidP="00A60D4B">
            <w:pPr>
              <w:pStyle w:val="InitFigR"/>
              <w:rPr>
                <w:szCs w:val="24"/>
              </w:rPr>
            </w:pPr>
            <w:r w:rsidRPr="00D278EA">
              <w:rPr>
                <w:szCs w:val="24"/>
              </w:rPr>
              <w:t>0</w:t>
            </w:r>
          </w:p>
        </w:tc>
        <w:tc>
          <w:tcPr>
            <w:tcW w:w="1041" w:type="dxa"/>
            <w:tcBorders>
              <w:top w:val="single" w:sz="4" w:space="0" w:color="auto"/>
              <w:bottom w:val="single" w:sz="4" w:space="0" w:color="auto"/>
            </w:tcBorders>
          </w:tcPr>
          <w:p w14:paraId="3EC0F9F8" w14:textId="77777777" w:rsidR="00CF0E2D" w:rsidRPr="00D278EA" w:rsidRDefault="00CF0E2D" w:rsidP="00A60D4B">
            <w:pPr>
              <w:pStyle w:val="InitFigR"/>
              <w:rPr>
                <w:szCs w:val="24"/>
              </w:rPr>
            </w:pPr>
            <w:r w:rsidRPr="00D278EA">
              <w:rPr>
                <w:szCs w:val="24"/>
              </w:rPr>
              <w:t>962</w:t>
            </w:r>
          </w:p>
        </w:tc>
        <w:tc>
          <w:tcPr>
            <w:tcW w:w="1029" w:type="dxa"/>
            <w:tcBorders>
              <w:top w:val="single" w:sz="4" w:space="0" w:color="auto"/>
              <w:bottom w:val="single" w:sz="4" w:space="0" w:color="auto"/>
            </w:tcBorders>
          </w:tcPr>
          <w:p w14:paraId="0C428167" w14:textId="77777777" w:rsidR="00CF0E2D" w:rsidRPr="00D278EA" w:rsidRDefault="00CF0E2D" w:rsidP="00A60D4B">
            <w:pPr>
              <w:pStyle w:val="InitFigR"/>
              <w:rPr>
                <w:szCs w:val="24"/>
              </w:rPr>
            </w:pPr>
            <w:r w:rsidRPr="00D278EA">
              <w:rPr>
                <w:szCs w:val="24"/>
              </w:rPr>
              <w:t>2,086</w:t>
            </w:r>
          </w:p>
        </w:tc>
        <w:tc>
          <w:tcPr>
            <w:tcW w:w="1029" w:type="dxa"/>
            <w:tcBorders>
              <w:top w:val="single" w:sz="4" w:space="0" w:color="auto"/>
              <w:bottom w:val="single" w:sz="4" w:space="0" w:color="auto"/>
            </w:tcBorders>
          </w:tcPr>
          <w:p w14:paraId="6E6B0BE1" w14:textId="77777777" w:rsidR="00CF0E2D" w:rsidRPr="00D278EA" w:rsidRDefault="00CF0E2D" w:rsidP="00A60D4B">
            <w:pPr>
              <w:pStyle w:val="InitFigR"/>
              <w:rPr>
                <w:szCs w:val="24"/>
              </w:rPr>
            </w:pPr>
            <w:r w:rsidRPr="00D278EA">
              <w:rPr>
                <w:szCs w:val="24"/>
              </w:rPr>
              <w:t>3,492</w:t>
            </w:r>
          </w:p>
        </w:tc>
        <w:tc>
          <w:tcPr>
            <w:tcW w:w="1029" w:type="dxa"/>
            <w:tcBorders>
              <w:top w:val="single" w:sz="4" w:space="0" w:color="auto"/>
              <w:bottom w:val="single" w:sz="4" w:space="0" w:color="auto"/>
            </w:tcBorders>
          </w:tcPr>
          <w:p w14:paraId="1BB3B12C" w14:textId="77777777" w:rsidR="00CF0E2D" w:rsidRPr="004A4728" w:rsidRDefault="00CF0E2D" w:rsidP="00A60D4B">
            <w:pPr>
              <w:pStyle w:val="InitFigRBold"/>
              <w:rPr>
                <w:bCs/>
                <w:szCs w:val="24"/>
              </w:rPr>
            </w:pPr>
            <w:r w:rsidRPr="004A4728">
              <w:rPr>
                <w:bCs/>
                <w:szCs w:val="24"/>
              </w:rPr>
              <w:t>6,540</w:t>
            </w:r>
          </w:p>
        </w:tc>
      </w:tr>
    </w:tbl>
    <w:p w14:paraId="4BA60342" w14:textId="77777777" w:rsidR="00CF0E2D" w:rsidRPr="004A4728" w:rsidRDefault="00CF0E2D" w:rsidP="00A60D4B">
      <w:pPr>
        <w:pStyle w:val="Bbodytext"/>
      </w:pPr>
      <w:r w:rsidRPr="004A4728">
        <w:t xml:space="preserve">The Government will replace and upgrade ageing ICT network infrastructure to ensure the </w:t>
      </w:r>
      <w:r>
        <w:t>effective operation</w:t>
      </w:r>
      <w:r w:rsidRPr="004A4728">
        <w:t xml:space="preserve"> of the ACT Government network. The </w:t>
      </w:r>
      <w:r>
        <w:t xml:space="preserve">cost of this </w:t>
      </w:r>
      <w:r w:rsidRPr="004A4728">
        <w:t xml:space="preserve">initiative </w:t>
      </w:r>
      <w:r>
        <w:t>will be</w:t>
      </w:r>
      <w:r w:rsidRPr="004A4728">
        <w:t xml:space="preserve"> partially </w:t>
      </w:r>
      <w:r>
        <w:t xml:space="preserve">met </w:t>
      </w:r>
      <w:r w:rsidRPr="004A4728">
        <w:t xml:space="preserve">through </w:t>
      </w:r>
      <w:r>
        <w:t xml:space="preserve">reprioritising </w:t>
      </w:r>
      <w:r w:rsidRPr="004A4728">
        <w:t xml:space="preserve">existing resources. </w:t>
      </w:r>
    </w:p>
    <w:p w14:paraId="3AD7CA7A" w14:textId="77777777" w:rsidR="00CF0E2D" w:rsidRDefault="00CF0E2D" w:rsidP="00A60D4B">
      <w:pPr>
        <w:pStyle w:val="Bbodytext"/>
      </w:pPr>
      <w:r w:rsidRPr="004A4728">
        <w:lastRenderedPageBreak/>
        <w:t xml:space="preserve">This initiative contributes to the wellbeing domain of </w:t>
      </w:r>
      <w:r w:rsidRPr="00AA7768">
        <w:t>Governance and institutions</w:t>
      </w:r>
      <w:r w:rsidRPr="004A4728">
        <w:t xml:space="preserve">. </w:t>
      </w:r>
    </w:p>
    <w:p w14:paraId="037F7973" w14:textId="77777777" w:rsidR="00CF0E2D" w:rsidRPr="00531924" w:rsidRDefault="00CF0E2D" w:rsidP="00A60D4B">
      <w:r>
        <w:rPr>
          <w:rFonts w:ascii="Calibri" w:eastAsiaTheme="majorEastAsia" w:hAnsi="Calibri" w:cstheme="majorBidi"/>
          <w:b/>
          <w:noProof/>
          <w:color w:val="999789"/>
          <w:sz w:val="32"/>
          <w:szCs w:val="24"/>
        </w:rPr>
        <w:drawing>
          <wp:anchor distT="0" distB="0" distL="114300" distR="114300" simplePos="0" relativeHeight="251753472" behindDoc="0" locked="1" layoutInCell="1" allowOverlap="1" wp14:anchorId="6F53F16B" wp14:editId="02618837">
            <wp:simplePos x="0" y="0"/>
            <wp:positionH relativeFrom="margin">
              <wp:posOffset>4740910</wp:posOffset>
            </wp:positionH>
            <wp:positionV relativeFrom="paragraph">
              <wp:posOffset>140970</wp:posOffset>
            </wp:positionV>
            <wp:extent cx="989965" cy="503555"/>
            <wp:effectExtent l="0" t="0" r="635" b="0"/>
            <wp:wrapSquare wrapText="bothSides"/>
            <wp:docPr id="266" name="Picture 266"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p w14:paraId="4C62DD0F" w14:textId="77777777" w:rsidR="00CF0E2D" w:rsidRPr="00CA7401" w:rsidRDefault="00CF0E2D" w:rsidP="00A60D4B">
      <w:pPr>
        <w:pStyle w:val="Heading4"/>
        <w:rPr>
          <w:sz w:val="24"/>
        </w:rPr>
      </w:pPr>
      <w:r w:rsidRPr="000A5A32">
        <w:rPr>
          <w:rFonts w:eastAsia="Times New Roman"/>
        </w:rPr>
        <w:t xml:space="preserve">Investing in public services </w:t>
      </w:r>
      <w:r>
        <w:rPr>
          <w:rFonts w:eastAsia="Times New Roman" w:cs="Times New Roman"/>
          <w:bCs/>
          <w:szCs w:val="26"/>
        </w:rPr>
        <w:t xml:space="preserve">– </w:t>
      </w:r>
      <w:r w:rsidRPr="00A95FA1">
        <w:rPr>
          <w:rFonts w:eastAsia="Times New Roman" w:cs="Times New Roman"/>
          <w:bCs/>
          <w:szCs w:val="26"/>
          <w:lang w:val="x-none"/>
        </w:rPr>
        <w:t xml:space="preserve">Strengthening </w:t>
      </w:r>
      <w:r>
        <w:rPr>
          <w:rFonts w:eastAsia="Times New Roman" w:cs="Times New Roman"/>
          <w:bCs/>
          <w:szCs w:val="26"/>
        </w:rPr>
        <w:t>c</w:t>
      </w:r>
      <w:r w:rsidRPr="00A95FA1">
        <w:rPr>
          <w:rFonts w:eastAsia="Times New Roman" w:cs="Times New Roman"/>
          <w:bCs/>
          <w:szCs w:val="26"/>
          <w:lang w:val="x-none"/>
        </w:rPr>
        <w:t>yber-</w:t>
      </w:r>
      <w:r>
        <w:rPr>
          <w:rFonts w:eastAsia="Times New Roman" w:cs="Times New Roman"/>
          <w:bCs/>
          <w:szCs w:val="26"/>
        </w:rPr>
        <w:t>s</w:t>
      </w:r>
      <w:r w:rsidRPr="00A95FA1">
        <w:rPr>
          <w:rFonts w:eastAsia="Times New Roman" w:cs="Times New Roman"/>
          <w:bCs/>
          <w:szCs w:val="26"/>
          <w:lang w:val="x-none"/>
        </w:rPr>
        <w:t>ecurity</w:t>
      </w:r>
      <w:r>
        <w:t xml:space="preserve">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B73D57" w14:paraId="1460559F" w14:textId="77777777" w:rsidTr="00A60D4B">
        <w:trPr>
          <w:cantSplit/>
          <w:jc w:val="center"/>
        </w:trPr>
        <w:tc>
          <w:tcPr>
            <w:tcW w:w="3652" w:type="dxa"/>
            <w:tcBorders>
              <w:top w:val="single" w:sz="4" w:space="0" w:color="auto"/>
              <w:bottom w:val="single" w:sz="4" w:space="0" w:color="auto"/>
            </w:tcBorders>
          </w:tcPr>
          <w:p w14:paraId="07C76FB4" w14:textId="77777777" w:rsidR="00CF0E2D" w:rsidRPr="009A577F" w:rsidRDefault="00CF0E2D" w:rsidP="00A60D4B">
            <w:pPr>
              <w:pStyle w:val="EmptyCell0"/>
              <w:rPr>
                <w:sz w:val="24"/>
                <w:szCs w:val="24"/>
              </w:rPr>
            </w:pPr>
            <w:r w:rsidRPr="009A577F">
              <w:rPr>
                <w:sz w:val="24"/>
                <w:szCs w:val="24"/>
              </w:rPr>
              <w:t>Empty Cell</w:t>
            </w:r>
          </w:p>
        </w:tc>
        <w:tc>
          <w:tcPr>
            <w:tcW w:w="1179" w:type="dxa"/>
            <w:tcBorders>
              <w:top w:val="single" w:sz="4" w:space="0" w:color="auto"/>
              <w:bottom w:val="single" w:sz="4" w:space="0" w:color="auto"/>
            </w:tcBorders>
          </w:tcPr>
          <w:p w14:paraId="09150B69" w14:textId="77777777" w:rsidR="00CF0E2D" w:rsidRPr="00BF1186" w:rsidRDefault="00CF0E2D" w:rsidP="00A60D4B">
            <w:pPr>
              <w:pStyle w:val="InitFigR"/>
              <w:rPr>
                <w:b/>
                <w:bCs/>
                <w:szCs w:val="24"/>
              </w:rPr>
            </w:pPr>
            <w:r w:rsidRPr="00BF1186">
              <w:rPr>
                <w:b/>
                <w:bCs/>
                <w:szCs w:val="24"/>
              </w:rPr>
              <w:t>2021-22</w:t>
            </w:r>
          </w:p>
          <w:p w14:paraId="07636568" w14:textId="77777777" w:rsidR="00CF0E2D" w:rsidRPr="00BF1186" w:rsidRDefault="00CF0E2D" w:rsidP="00A60D4B">
            <w:pPr>
              <w:pStyle w:val="InitFigR"/>
              <w:rPr>
                <w:b/>
                <w:bCs/>
                <w:szCs w:val="24"/>
              </w:rPr>
            </w:pPr>
            <w:r w:rsidRPr="00BF1186">
              <w:rPr>
                <w:b/>
                <w:bCs/>
                <w:szCs w:val="24"/>
              </w:rPr>
              <w:t>$’000</w:t>
            </w:r>
          </w:p>
        </w:tc>
        <w:tc>
          <w:tcPr>
            <w:tcW w:w="1041" w:type="dxa"/>
            <w:tcBorders>
              <w:top w:val="single" w:sz="4" w:space="0" w:color="auto"/>
              <w:bottom w:val="single" w:sz="4" w:space="0" w:color="auto"/>
            </w:tcBorders>
          </w:tcPr>
          <w:p w14:paraId="0B360B58" w14:textId="77777777" w:rsidR="00CF0E2D" w:rsidRPr="00BF1186" w:rsidRDefault="00CF0E2D" w:rsidP="00A60D4B">
            <w:pPr>
              <w:pStyle w:val="InitFigR"/>
              <w:rPr>
                <w:b/>
                <w:bCs/>
                <w:szCs w:val="24"/>
              </w:rPr>
            </w:pPr>
            <w:r w:rsidRPr="00BF1186">
              <w:rPr>
                <w:b/>
                <w:bCs/>
                <w:szCs w:val="24"/>
              </w:rPr>
              <w:t>2022-23</w:t>
            </w:r>
          </w:p>
          <w:p w14:paraId="335DEA2A" w14:textId="77777777" w:rsidR="00CF0E2D" w:rsidRPr="00BF1186" w:rsidRDefault="00CF0E2D" w:rsidP="00A60D4B">
            <w:pPr>
              <w:pStyle w:val="InitFigR"/>
              <w:rPr>
                <w:b/>
                <w:bCs/>
                <w:szCs w:val="24"/>
              </w:rPr>
            </w:pPr>
            <w:r w:rsidRPr="00BF1186">
              <w:rPr>
                <w:b/>
                <w:bCs/>
                <w:szCs w:val="24"/>
              </w:rPr>
              <w:t>$’000</w:t>
            </w:r>
          </w:p>
        </w:tc>
        <w:tc>
          <w:tcPr>
            <w:tcW w:w="1029" w:type="dxa"/>
            <w:tcBorders>
              <w:top w:val="single" w:sz="4" w:space="0" w:color="auto"/>
              <w:bottom w:val="single" w:sz="4" w:space="0" w:color="auto"/>
            </w:tcBorders>
          </w:tcPr>
          <w:p w14:paraId="34ED13C4" w14:textId="77777777" w:rsidR="00CF0E2D" w:rsidRPr="00BF1186" w:rsidRDefault="00CF0E2D" w:rsidP="00A60D4B">
            <w:pPr>
              <w:pStyle w:val="InitFigR"/>
              <w:rPr>
                <w:b/>
                <w:bCs/>
                <w:szCs w:val="24"/>
              </w:rPr>
            </w:pPr>
            <w:r w:rsidRPr="00BF1186">
              <w:rPr>
                <w:b/>
                <w:bCs/>
                <w:szCs w:val="24"/>
              </w:rPr>
              <w:t>2023-24</w:t>
            </w:r>
          </w:p>
          <w:p w14:paraId="061C1D20" w14:textId="77777777" w:rsidR="00CF0E2D" w:rsidRPr="00BF1186" w:rsidRDefault="00CF0E2D" w:rsidP="00A60D4B">
            <w:pPr>
              <w:pStyle w:val="InitFigR"/>
              <w:rPr>
                <w:b/>
                <w:bCs/>
                <w:szCs w:val="24"/>
              </w:rPr>
            </w:pPr>
            <w:r w:rsidRPr="00BF1186">
              <w:rPr>
                <w:b/>
                <w:bCs/>
                <w:szCs w:val="24"/>
              </w:rPr>
              <w:t>$’000</w:t>
            </w:r>
          </w:p>
        </w:tc>
        <w:tc>
          <w:tcPr>
            <w:tcW w:w="1029" w:type="dxa"/>
            <w:tcBorders>
              <w:top w:val="single" w:sz="4" w:space="0" w:color="auto"/>
              <w:bottom w:val="single" w:sz="4" w:space="0" w:color="auto"/>
            </w:tcBorders>
          </w:tcPr>
          <w:p w14:paraId="7F95FCB5" w14:textId="77777777" w:rsidR="00CF0E2D" w:rsidRPr="00BF1186" w:rsidRDefault="00CF0E2D" w:rsidP="00A60D4B">
            <w:pPr>
              <w:pStyle w:val="InitFigR"/>
              <w:rPr>
                <w:b/>
                <w:bCs/>
                <w:szCs w:val="24"/>
              </w:rPr>
            </w:pPr>
            <w:r w:rsidRPr="00BF1186">
              <w:rPr>
                <w:b/>
                <w:bCs/>
                <w:szCs w:val="24"/>
              </w:rPr>
              <w:t>2024-25</w:t>
            </w:r>
          </w:p>
          <w:p w14:paraId="380CB2C7" w14:textId="77777777" w:rsidR="00CF0E2D" w:rsidRPr="00BF1186" w:rsidRDefault="00CF0E2D" w:rsidP="00A60D4B">
            <w:pPr>
              <w:pStyle w:val="InitFigR"/>
              <w:rPr>
                <w:b/>
                <w:bCs/>
                <w:szCs w:val="24"/>
              </w:rPr>
            </w:pPr>
            <w:r w:rsidRPr="00BF1186">
              <w:rPr>
                <w:b/>
                <w:bCs/>
                <w:szCs w:val="24"/>
              </w:rPr>
              <w:t>$’000</w:t>
            </w:r>
          </w:p>
        </w:tc>
        <w:tc>
          <w:tcPr>
            <w:tcW w:w="1029" w:type="dxa"/>
            <w:tcBorders>
              <w:top w:val="single" w:sz="4" w:space="0" w:color="auto"/>
              <w:bottom w:val="single" w:sz="4" w:space="0" w:color="auto"/>
            </w:tcBorders>
          </w:tcPr>
          <w:p w14:paraId="5A333C0E" w14:textId="77777777" w:rsidR="00CF0E2D" w:rsidRPr="00750BD7" w:rsidRDefault="00CF0E2D" w:rsidP="00A60D4B">
            <w:pPr>
              <w:pStyle w:val="InitFigRBold"/>
              <w:rPr>
                <w:szCs w:val="24"/>
              </w:rPr>
            </w:pPr>
            <w:r w:rsidRPr="00750BD7">
              <w:rPr>
                <w:szCs w:val="24"/>
              </w:rPr>
              <w:t>Total</w:t>
            </w:r>
          </w:p>
          <w:p w14:paraId="7A93D507" w14:textId="77777777" w:rsidR="00CF0E2D" w:rsidRPr="0042780A" w:rsidRDefault="00CF0E2D" w:rsidP="00A60D4B">
            <w:pPr>
              <w:pStyle w:val="InitFigBR"/>
              <w:rPr>
                <w:szCs w:val="24"/>
              </w:rPr>
            </w:pPr>
            <w:r w:rsidRPr="0042780A">
              <w:rPr>
                <w:szCs w:val="24"/>
              </w:rPr>
              <w:t>$’000</w:t>
            </w:r>
          </w:p>
        </w:tc>
      </w:tr>
      <w:tr w:rsidR="00CF0E2D" w:rsidRPr="00B73D57" w14:paraId="52E0AE31" w14:textId="77777777" w:rsidTr="00A60D4B">
        <w:trPr>
          <w:cantSplit/>
          <w:jc w:val="center"/>
        </w:trPr>
        <w:tc>
          <w:tcPr>
            <w:tcW w:w="3652" w:type="dxa"/>
          </w:tcPr>
          <w:p w14:paraId="4EC173C7" w14:textId="77777777" w:rsidR="00CF0E2D" w:rsidRPr="00BD13B4" w:rsidRDefault="00CF0E2D" w:rsidP="00A60D4B">
            <w:pPr>
              <w:pStyle w:val="InitTextL"/>
              <w:ind w:left="321" w:hanging="321"/>
              <w:rPr>
                <w:szCs w:val="24"/>
              </w:rPr>
            </w:pPr>
            <w:r w:rsidRPr="00BD13B4">
              <w:rPr>
                <w:szCs w:val="24"/>
              </w:rPr>
              <w:t>Expenses</w:t>
            </w:r>
          </w:p>
        </w:tc>
        <w:tc>
          <w:tcPr>
            <w:tcW w:w="1179" w:type="dxa"/>
          </w:tcPr>
          <w:p w14:paraId="6E8369EA" w14:textId="77777777" w:rsidR="00CF0E2D" w:rsidRPr="000A3F08" w:rsidRDefault="00CF0E2D" w:rsidP="00A60D4B">
            <w:pPr>
              <w:pStyle w:val="InitFigR"/>
              <w:rPr>
                <w:szCs w:val="24"/>
              </w:rPr>
            </w:pPr>
            <w:r w:rsidRPr="00BD13B4">
              <w:rPr>
                <w:szCs w:val="24"/>
              </w:rPr>
              <w:t>4,907</w:t>
            </w:r>
          </w:p>
        </w:tc>
        <w:tc>
          <w:tcPr>
            <w:tcW w:w="1041" w:type="dxa"/>
          </w:tcPr>
          <w:p w14:paraId="428320EE" w14:textId="77777777" w:rsidR="00CF0E2D" w:rsidRPr="00AE2956" w:rsidRDefault="00CF0E2D" w:rsidP="00A60D4B">
            <w:pPr>
              <w:pStyle w:val="InitFigR"/>
              <w:rPr>
                <w:szCs w:val="24"/>
              </w:rPr>
            </w:pPr>
            <w:r w:rsidRPr="00AE2956">
              <w:rPr>
                <w:szCs w:val="24"/>
              </w:rPr>
              <w:t>5,477</w:t>
            </w:r>
          </w:p>
        </w:tc>
        <w:tc>
          <w:tcPr>
            <w:tcW w:w="1029" w:type="dxa"/>
          </w:tcPr>
          <w:p w14:paraId="3B932C18" w14:textId="77777777" w:rsidR="00CF0E2D" w:rsidRPr="0000505E" w:rsidRDefault="00CF0E2D" w:rsidP="00A60D4B">
            <w:pPr>
              <w:pStyle w:val="InitFigR"/>
              <w:rPr>
                <w:szCs w:val="24"/>
              </w:rPr>
            </w:pPr>
            <w:r w:rsidRPr="00AE2956">
              <w:rPr>
                <w:szCs w:val="24"/>
              </w:rPr>
              <w:t>0</w:t>
            </w:r>
          </w:p>
        </w:tc>
        <w:tc>
          <w:tcPr>
            <w:tcW w:w="1029" w:type="dxa"/>
          </w:tcPr>
          <w:p w14:paraId="180F6233" w14:textId="77777777" w:rsidR="00CF0E2D" w:rsidRPr="000C3CAE" w:rsidRDefault="00CF0E2D" w:rsidP="00A60D4B">
            <w:pPr>
              <w:pStyle w:val="InitFigR"/>
              <w:rPr>
                <w:szCs w:val="24"/>
              </w:rPr>
            </w:pPr>
            <w:r w:rsidRPr="0000505E">
              <w:rPr>
                <w:szCs w:val="24"/>
              </w:rPr>
              <w:t>0</w:t>
            </w:r>
          </w:p>
        </w:tc>
        <w:tc>
          <w:tcPr>
            <w:tcW w:w="1029" w:type="dxa"/>
          </w:tcPr>
          <w:p w14:paraId="2136EAF6" w14:textId="77777777" w:rsidR="00CF0E2D" w:rsidRPr="00E30BBE" w:rsidRDefault="00CF0E2D" w:rsidP="00A60D4B">
            <w:pPr>
              <w:pStyle w:val="InitFigBR"/>
              <w:rPr>
                <w:szCs w:val="24"/>
              </w:rPr>
            </w:pPr>
            <w:r w:rsidRPr="004806B8">
              <w:rPr>
                <w:szCs w:val="24"/>
              </w:rPr>
              <w:t>10,384</w:t>
            </w:r>
          </w:p>
        </w:tc>
      </w:tr>
      <w:tr w:rsidR="00CF0E2D" w:rsidRPr="00B73D57" w14:paraId="7D066E0E" w14:textId="77777777" w:rsidTr="00A60D4B">
        <w:trPr>
          <w:cantSplit/>
          <w:jc w:val="center"/>
        </w:trPr>
        <w:tc>
          <w:tcPr>
            <w:tcW w:w="3652" w:type="dxa"/>
          </w:tcPr>
          <w:p w14:paraId="10876AF1" w14:textId="77777777" w:rsidR="00CF0E2D" w:rsidRPr="00BD13B4" w:rsidRDefault="00CF0E2D" w:rsidP="00A60D4B">
            <w:pPr>
              <w:pStyle w:val="InitTextL"/>
              <w:ind w:left="321" w:hanging="321"/>
              <w:rPr>
                <w:szCs w:val="24"/>
              </w:rPr>
            </w:pPr>
            <w:r w:rsidRPr="00BD13B4">
              <w:rPr>
                <w:szCs w:val="24"/>
              </w:rPr>
              <w:t>Expenses – Provision</w:t>
            </w:r>
          </w:p>
        </w:tc>
        <w:tc>
          <w:tcPr>
            <w:tcW w:w="1179" w:type="dxa"/>
          </w:tcPr>
          <w:p w14:paraId="361E4A90" w14:textId="77777777" w:rsidR="00CF0E2D" w:rsidRPr="000A3F08" w:rsidRDefault="00CF0E2D" w:rsidP="00A60D4B">
            <w:pPr>
              <w:pStyle w:val="InitFigR"/>
              <w:rPr>
                <w:szCs w:val="24"/>
              </w:rPr>
            </w:pPr>
            <w:r w:rsidRPr="00BD13B4">
              <w:rPr>
                <w:szCs w:val="24"/>
              </w:rPr>
              <w:t>0</w:t>
            </w:r>
          </w:p>
        </w:tc>
        <w:tc>
          <w:tcPr>
            <w:tcW w:w="1041" w:type="dxa"/>
          </w:tcPr>
          <w:p w14:paraId="431F33D4" w14:textId="77777777" w:rsidR="00CF0E2D" w:rsidRPr="00AE2956" w:rsidRDefault="00CF0E2D" w:rsidP="00A60D4B">
            <w:pPr>
              <w:pStyle w:val="InitFigR"/>
              <w:rPr>
                <w:szCs w:val="24"/>
              </w:rPr>
            </w:pPr>
            <w:r w:rsidRPr="00AE2956">
              <w:rPr>
                <w:szCs w:val="24"/>
              </w:rPr>
              <w:t>0</w:t>
            </w:r>
          </w:p>
        </w:tc>
        <w:tc>
          <w:tcPr>
            <w:tcW w:w="1029" w:type="dxa"/>
          </w:tcPr>
          <w:p w14:paraId="1F142ABA" w14:textId="77777777" w:rsidR="00CF0E2D" w:rsidRPr="0000505E" w:rsidRDefault="00CF0E2D" w:rsidP="00A60D4B">
            <w:pPr>
              <w:pStyle w:val="InitFigR"/>
              <w:rPr>
                <w:szCs w:val="24"/>
              </w:rPr>
            </w:pPr>
            <w:r w:rsidRPr="00AE2956">
              <w:rPr>
                <w:szCs w:val="24"/>
              </w:rPr>
              <w:t>2,839</w:t>
            </w:r>
          </w:p>
        </w:tc>
        <w:tc>
          <w:tcPr>
            <w:tcW w:w="1029" w:type="dxa"/>
          </w:tcPr>
          <w:p w14:paraId="63B7EBD3" w14:textId="77777777" w:rsidR="00CF0E2D" w:rsidRPr="000C3CAE" w:rsidRDefault="00CF0E2D" w:rsidP="00A60D4B">
            <w:pPr>
              <w:pStyle w:val="InitFigR"/>
              <w:rPr>
                <w:szCs w:val="24"/>
              </w:rPr>
            </w:pPr>
            <w:r w:rsidRPr="0000505E">
              <w:rPr>
                <w:szCs w:val="24"/>
              </w:rPr>
              <w:t>3,125</w:t>
            </w:r>
          </w:p>
        </w:tc>
        <w:tc>
          <w:tcPr>
            <w:tcW w:w="1029" w:type="dxa"/>
          </w:tcPr>
          <w:p w14:paraId="21DED7B8" w14:textId="77777777" w:rsidR="00CF0E2D" w:rsidRPr="00E30BBE" w:rsidRDefault="00CF0E2D" w:rsidP="00A60D4B">
            <w:pPr>
              <w:pStyle w:val="InitFigBR"/>
              <w:rPr>
                <w:szCs w:val="24"/>
              </w:rPr>
            </w:pPr>
            <w:r w:rsidRPr="004806B8">
              <w:rPr>
                <w:szCs w:val="24"/>
              </w:rPr>
              <w:t>5,964</w:t>
            </w:r>
          </w:p>
        </w:tc>
      </w:tr>
      <w:tr w:rsidR="00CF0E2D" w:rsidRPr="00B73D57" w14:paraId="40FA9BBA" w14:textId="77777777" w:rsidTr="00A60D4B">
        <w:trPr>
          <w:cantSplit/>
          <w:jc w:val="center"/>
        </w:trPr>
        <w:tc>
          <w:tcPr>
            <w:tcW w:w="3652" w:type="dxa"/>
          </w:tcPr>
          <w:p w14:paraId="7AB90279" w14:textId="77777777" w:rsidR="00CF0E2D" w:rsidRPr="00BD13B4" w:rsidRDefault="00CF0E2D" w:rsidP="00A60D4B">
            <w:pPr>
              <w:pStyle w:val="InitTextL"/>
              <w:ind w:left="321" w:hanging="321"/>
              <w:rPr>
                <w:szCs w:val="24"/>
              </w:rPr>
            </w:pPr>
            <w:r w:rsidRPr="00BD13B4">
              <w:rPr>
                <w:szCs w:val="24"/>
              </w:rPr>
              <w:t>Offset – Expenses</w:t>
            </w:r>
          </w:p>
        </w:tc>
        <w:tc>
          <w:tcPr>
            <w:tcW w:w="1179" w:type="dxa"/>
          </w:tcPr>
          <w:p w14:paraId="26A0D1AC" w14:textId="77777777" w:rsidR="00CF0E2D" w:rsidRPr="000A3F08" w:rsidRDefault="00CF0E2D" w:rsidP="00A60D4B">
            <w:pPr>
              <w:pStyle w:val="InitFigR"/>
              <w:rPr>
                <w:szCs w:val="24"/>
              </w:rPr>
            </w:pPr>
            <w:r>
              <w:rPr>
                <w:szCs w:val="24"/>
              </w:rPr>
              <w:t>-</w:t>
            </w:r>
            <w:r w:rsidRPr="00BD13B4">
              <w:rPr>
                <w:szCs w:val="24"/>
              </w:rPr>
              <w:t>3,004</w:t>
            </w:r>
          </w:p>
        </w:tc>
        <w:tc>
          <w:tcPr>
            <w:tcW w:w="1041" w:type="dxa"/>
          </w:tcPr>
          <w:p w14:paraId="029874C0" w14:textId="77777777" w:rsidR="00CF0E2D" w:rsidRPr="00AE2956" w:rsidRDefault="00CF0E2D" w:rsidP="00A60D4B">
            <w:pPr>
              <w:pStyle w:val="InitFigR"/>
              <w:rPr>
                <w:szCs w:val="24"/>
              </w:rPr>
            </w:pPr>
            <w:r>
              <w:rPr>
                <w:szCs w:val="24"/>
              </w:rPr>
              <w:t>-</w:t>
            </w:r>
            <w:r w:rsidRPr="00AE2956">
              <w:rPr>
                <w:szCs w:val="24"/>
              </w:rPr>
              <w:t>3,064</w:t>
            </w:r>
          </w:p>
        </w:tc>
        <w:tc>
          <w:tcPr>
            <w:tcW w:w="1029" w:type="dxa"/>
          </w:tcPr>
          <w:p w14:paraId="2DC3A53F" w14:textId="77777777" w:rsidR="00CF0E2D" w:rsidRPr="0000505E" w:rsidRDefault="00CF0E2D" w:rsidP="00A60D4B">
            <w:pPr>
              <w:pStyle w:val="InitFigR"/>
              <w:rPr>
                <w:szCs w:val="24"/>
              </w:rPr>
            </w:pPr>
            <w:r w:rsidRPr="00AE2956">
              <w:rPr>
                <w:szCs w:val="24"/>
              </w:rPr>
              <w:t>0</w:t>
            </w:r>
          </w:p>
        </w:tc>
        <w:tc>
          <w:tcPr>
            <w:tcW w:w="1029" w:type="dxa"/>
          </w:tcPr>
          <w:p w14:paraId="45A71DE8" w14:textId="77777777" w:rsidR="00CF0E2D" w:rsidRPr="000C3CAE" w:rsidRDefault="00CF0E2D" w:rsidP="00A60D4B">
            <w:pPr>
              <w:pStyle w:val="InitFigR"/>
              <w:rPr>
                <w:szCs w:val="24"/>
              </w:rPr>
            </w:pPr>
            <w:r w:rsidRPr="0000505E">
              <w:rPr>
                <w:szCs w:val="24"/>
              </w:rPr>
              <w:t>0</w:t>
            </w:r>
          </w:p>
        </w:tc>
        <w:tc>
          <w:tcPr>
            <w:tcW w:w="1029" w:type="dxa"/>
          </w:tcPr>
          <w:p w14:paraId="37332AB8" w14:textId="77777777" w:rsidR="00CF0E2D" w:rsidRPr="00E30BBE" w:rsidRDefault="00CF0E2D" w:rsidP="00A60D4B">
            <w:pPr>
              <w:pStyle w:val="InitFigBR"/>
              <w:rPr>
                <w:szCs w:val="24"/>
              </w:rPr>
            </w:pPr>
            <w:r>
              <w:rPr>
                <w:szCs w:val="24"/>
              </w:rPr>
              <w:t>-</w:t>
            </w:r>
            <w:r w:rsidRPr="004806B8">
              <w:rPr>
                <w:szCs w:val="24"/>
              </w:rPr>
              <w:t>6,068</w:t>
            </w:r>
          </w:p>
        </w:tc>
      </w:tr>
      <w:tr w:rsidR="00CF0E2D" w:rsidRPr="00B73D57" w14:paraId="3A6A9D38" w14:textId="77777777" w:rsidTr="00A60D4B">
        <w:trPr>
          <w:cantSplit/>
          <w:trHeight w:val="107"/>
          <w:jc w:val="center"/>
        </w:trPr>
        <w:tc>
          <w:tcPr>
            <w:tcW w:w="3652" w:type="dxa"/>
            <w:tcBorders>
              <w:top w:val="single" w:sz="4" w:space="0" w:color="auto"/>
              <w:bottom w:val="single" w:sz="4" w:space="0" w:color="auto"/>
            </w:tcBorders>
          </w:tcPr>
          <w:p w14:paraId="693501F7" w14:textId="77777777" w:rsidR="00CF0E2D" w:rsidRPr="00BD13B4" w:rsidRDefault="00CF0E2D" w:rsidP="00A60D4B">
            <w:pPr>
              <w:pStyle w:val="InitFigLBold"/>
              <w:ind w:left="321" w:hanging="321"/>
              <w:rPr>
                <w:szCs w:val="24"/>
              </w:rPr>
            </w:pPr>
            <w:r w:rsidRPr="00BD13B4">
              <w:rPr>
                <w:szCs w:val="24"/>
              </w:rPr>
              <w:t>Net cost of services</w:t>
            </w:r>
          </w:p>
        </w:tc>
        <w:tc>
          <w:tcPr>
            <w:tcW w:w="1179" w:type="dxa"/>
            <w:tcBorders>
              <w:top w:val="single" w:sz="4" w:space="0" w:color="auto"/>
              <w:bottom w:val="single" w:sz="4" w:space="0" w:color="auto"/>
            </w:tcBorders>
          </w:tcPr>
          <w:p w14:paraId="319940F1" w14:textId="77777777" w:rsidR="00CF0E2D" w:rsidRPr="000A3F08" w:rsidRDefault="00CF0E2D" w:rsidP="00A60D4B">
            <w:pPr>
              <w:pStyle w:val="InitFigRBold"/>
              <w:rPr>
                <w:szCs w:val="24"/>
              </w:rPr>
            </w:pPr>
            <w:r w:rsidRPr="00BD13B4">
              <w:rPr>
                <w:szCs w:val="24"/>
              </w:rPr>
              <w:t>1,903</w:t>
            </w:r>
          </w:p>
        </w:tc>
        <w:tc>
          <w:tcPr>
            <w:tcW w:w="1041" w:type="dxa"/>
            <w:tcBorders>
              <w:top w:val="single" w:sz="4" w:space="0" w:color="auto"/>
              <w:bottom w:val="single" w:sz="4" w:space="0" w:color="auto"/>
            </w:tcBorders>
          </w:tcPr>
          <w:p w14:paraId="5F5D19B7" w14:textId="77777777" w:rsidR="00CF0E2D" w:rsidRPr="00AE2956" w:rsidRDefault="00CF0E2D" w:rsidP="00A60D4B">
            <w:pPr>
              <w:pStyle w:val="InitFigRBold"/>
              <w:rPr>
                <w:szCs w:val="24"/>
              </w:rPr>
            </w:pPr>
            <w:r w:rsidRPr="00AE2956">
              <w:rPr>
                <w:szCs w:val="24"/>
              </w:rPr>
              <w:t>2,413</w:t>
            </w:r>
          </w:p>
        </w:tc>
        <w:tc>
          <w:tcPr>
            <w:tcW w:w="1029" w:type="dxa"/>
            <w:tcBorders>
              <w:top w:val="single" w:sz="4" w:space="0" w:color="auto"/>
              <w:bottom w:val="single" w:sz="4" w:space="0" w:color="auto"/>
            </w:tcBorders>
          </w:tcPr>
          <w:p w14:paraId="11B07C37" w14:textId="77777777" w:rsidR="00CF0E2D" w:rsidRPr="0000505E" w:rsidRDefault="00CF0E2D" w:rsidP="00A60D4B">
            <w:pPr>
              <w:pStyle w:val="InitFigRBold"/>
              <w:rPr>
                <w:szCs w:val="24"/>
              </w:rPr>
            </w:pPr>
            <w:r w:rsidRPr="00AE2956">
              <w:rPr>
                <w:szCs w:val="24"/>
              </w:rPr>
              <w:t>2,839</w:t>
            </w:r>
          </w:p>
        </w:tc>
        <w:tc>
          <w:tcPr>
            <w:tcW w:w="1029" w:type="dxa"/>
            <w:tcBorders>
              <w:top w:val="single" w:sz="4" w:space="0" w:color="auto"/>
              <w:bottom w:val="single" w:sz="4" w:space="0" w:color="auto"/>
            </w:tcBorders>
          </w:tcPr>
          <w:p w14:paraId="3A9A11B0" w14:textId="77777777" w:rsidR="00CF0E2D" w:rsidRPr="000C3CAE" w:rsidRDefault="00CF0E2D" w:rsidP="00A60D4B">
            <w:pPr>
              <w:pStyle w:val="InitFigRBold"/>
              <w:rPr>
                <w:szCs w:val="24"/>
              </w:rPr>
            </w:pPr>
            <w:r w:rsidRPr="0000505E">
              <w:rPr>
                <w:szCs w:val="24"/>
              </w:rPr>
              <w:t>3,125</w:t>
            </w:r>
          </w:p>
        </w:tc>
        <w:tc>
          <w:tcPr>
            <w:tcW w:w="1029" w:type="dxa"/>
            <w:tcBorders>
              <w:top w:val="single" w:sz="4" w:space="0" w:color="auto"/>
              <w:bottom w:val="single" w:sz="4" w:space="0" w:color="auto"/>
            </w:tcBorders>
          </w:tcPr>
          <w:p w14:paraId="43A56042" w14:textId="77777777" w:rsidR="00CF0E2D" w:rsidRPr="00E30BBE" w:rsidRDefault="00CF0E2D" w:rsidP="00A60D4B">
            <w:pPr>
              <w:pStyle w:val="InitFigRBold"/>
              <w:rPr>
                <w:szCs w:val="24"/>
              </w:rPr>
            </w:pPr>
            <w:r w:rsidRPr="004806B8">
              <w:rPr>
                <w:szCs w:val="24"/>
              </w:rPr>
              <w:t>10,280</w:t>
            </w:r>
          </w:p>
        </w:tc>
      </w:tr>
    </w:tbl>
    <w:p w14:paraId="271E2DA2" w14:textId="77777777" w:rsidR="00CF0E2D" w:rsidRPr="00A95FA1" w:rsidRDefault="00CF0E2D" w:rsidP="00A60D4B">
      <w:pPr>
        <w:pStyle w:val="Bbodytext"/>
        <w:rPr>
          <w:rFonts w:ascii="Calibri" w:eastAsia="Times New Roman" w:hAnsi="Calibri" w:cs="Times New Roman"/>
          <w:szCs w:val="24"/>
        </w:rPr>
      </w:pPr>
      <w:r w:rsidRPr="00A95FA1">
        <w:t>The Government will establish a Cyber Security Centre to improve our resilience to potential cyber-attacks a</w:t>
      </w:r>
      <w:r w:rsidRPr="00A95FA1">
        <w:rPr>
          <w:rFonts w:ascii="Calibri" w:eastAsia="Times New Roman" w:hAnsi="Calibri" w:cs="Times New Roman"/>
          <w:szCs w:val="24"/>
        </w:rPr>
        <w:t xml:space="preserve">nd better protect the ACT Government ICT network. This will ensure operational continuity of the ACT Public Service and secure delivery of essential services to Canberrans. </w:t>
      </w:r>
    </w:p>
    <w:p w14:paraId="4BC973D9" w14:textId="77777777" w:rsidR="00CF0E2D" w:rsidRDefault="00CF0E2D" w:rsidP="00A60D4B">
      <w:pPr>
        <w:pStyle w:val="Bbodytext"/>
        <w:rPr>
          <w:rFonts w:ascii="Calibri" w:eastAsia="Times New Roman" w:hAnsi="Calibri" w:cs="Times New Roman"/>
          <w:szCs w:val="24"/>
        </w:rPr>
      </w:pPr>
      <w:r w:rsidRPr="00A95FA1">
        <w:t xml:space="preserve">This initiative contributes to the wellbeing domains of Safety and Governance and </w:t>
      </w:r>
      <w:r w:rsidRPr="00A95FA1">
        <w:rPr>
          <w:rFonts w:ascii="Calibri" w:eastAsia="Times New Roman" w:hAnsi="Calibri" w:cs="Times New Roman"/>
          <w:szCs w:val="24"/>
        </w:rPr>
        <w:t xml:space="preserve">institutions. </w:t>
      </w:r>
    </w:p>
    <w:p w14:paraId="0A6E1710" w14:textId="77777777" w:rsidR="00CF0E2D" w:rsidRPr="00A95FA1" w:rsidRDefault="00CF0E2D" w:rsidP="00A60D4B">
      <w:pPr>
        <w:pStyle w:val="Bbodytext"/>
        <w:rPr>
          <w:rFonts w:ascii="Calibri" w:eastAsia="Times New Roman" w:hAnsi="Calibri" w:cs="Times New Roman"/>
          <w:szCs w:val="24"/>
        </w:rPr>
      </w:pPr>
    </w:p>
    <w:p w14:paraId="3C778260" w14:textId="77777777" w:rsidR="00CF0E2D" w:rsidRPr="00883AF0" w:rsidRDefault="00CF0E2D" w:rsidP="00A60D4B">
      <w:pPr>
        <w:pStyle w:val="Heading4"/>
      </w:pPr>
      <w:r w:rsidRPr="00787F93">
        <w:t xml:space="preserve">Investing in public services </w:t>
      </w:r>
      <w:r>
        <w:t xml:space="preserve">– </w:t>
      </w:r>
      <w:r w:rsidRPr="003E5CD8">
        <w:rPr>
          <w:rFonts w:eastAsia="Times New Roman"/>
        </w:rPr>
        <w:t xml:space="preserve">Strengthening data analytics capability and digital solutions </w:t>
      </w:r>
      <w:r>
        <w:rPr>
          <w:b w:val="0"/>
          <w:noProof/>
          <w:color w:val="999789"/>
          <w:sz w:val="32"/>
          <w:szCs w:val="24"/>
        </w:rPr>
        <w:drawing>
          <wp:anchor distT="0" distB="0" distL="114300" distR="114300" simplePos="0" relativeHeight="251754496" behindDoc="0" locked="1" layoutInCell="1" allowOverlap="1" wp14:anchorId="72B360A6" wp14:editId="668FA2C3">
            <wp:simplePos x="0" y="0"/>
            <wp:positionH relativeFrom="margin">
              <wp:align>right</wp:align>
            </wp:positionH>
            <wp:positionV relativeFrom="paragraph">
              <wp:posOffset>102870</wp:posOffset>
            </wp:positionV>
            <wp:extent cx="1422000" cy="504000"/>
            <wp:effectExtent l="0" t="0" r="6985" b="0"/>
            <wp:wrapSquare wrapText="bothSides"/>
            <wp:docPr id="267" name="Picture 267" descr="Icon representing the wellbeing domain of Governance and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con representing the wellbeing domain of Governance and institutions"/>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22000" cy="504000"/>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B018A" w14:paraId="79D36554" w14:textId="77777777" w:rsidTr="00A60D4B">
        <w:trPr>
          <w:cantSplit/>
          <w:jc w:val="center"/>
        </w:trPr>
        <w:tc>
          <w:tcPr>
            <w:tcW w:w="3652" w:type="dxa"/>
            <w:tcBorders>
              <w:top w:val="single" w:sz="4" w:space="0" w:color="auto"/>
              <w:bottom w:val="single" w:sz="4" w:space="0" w:color="auto"/>
            </w:tcBorders>
          </w:tcPr>
          <w:p w14:paraId="4FD1743E" w14:textId="77777777" w:rsidR="00CF0E2D" w:rsidRPr="00E52BF5" w:rsidRDefault="00CF0E2D" w:rsidP="00A60D4B">
            <w:pPr>
              <w:spacing w:after="0"/>
              <w:jc w:val="right"/>
              <w:rPr>
                <w:rFonts w:cs="Calibri"/>
                <w:color w:val="FFFFFF"/>
                <w:sz w:val="24"/>
                <w:szCs w:val="24"/>
              </w:rPr>
            </w:pPr>
            <w:r w:rsidRPr="00E52BF5">
              <w:rPr>
                <w:rFonts w:cs="Calibri"/>
                <w:color w:val="FFFFFF"/>
                <w:sz w:val="24"/>
                <w:szCs w:val="24"/>
              </w:rPr>
              <w:t>Empty Cell</w:t>
            </w:r>
          </w:p>
        </w:tc>
        <w:tc>
          <w:tcPr>
            <w:tcW w:w="1179" w:type="dxa"/>
            <w:tcBorders>
              <w:top w:val="single" w:sz="4" w:space="0" w:color="auto"/>
              <w:bottom w:val="single" w:sz="4" w:space="0" w:color="auto"/>
            </w:tcBorders>
          </w:tcPr>
          <w:p w14:paraId="3165406C" w14:textId="77777777" w:rsidR="00CF0E2D" w:rsidRPr="00E52BF5" w:rsidRDefault="00CF0E2D" w:rsidP="00A60D4B">
            <w:pPr>
              <w:spacing w:after="0"/>
              <w:jc w:val="right"/>
              <w:rPr>
                <w:b/>
                <w:bCs/>
                <w:sz w:val="24"/>
                <w:szCs w:val="24"/>
              </w:rPr>
            </w:pPr>
            <w:r w:rsidRPr="00E52BF5">
              <w:rPr>
                <w:b/>
                <w:bCs/>
                <w:sz w:val="24"/>
                <w:szCs w:val="24"/>
              </w:rPr>
              <w:t>2021-22</w:t>
            </w:r>
          </w:p>
          <w:p w14:paraId="1465372B" w14:textId="77777777" w:rsidR="00CF0E2D" w:rsidRPr="00E52BF5" w:rsidRDefault="00CF0E2D" w:rsidP="00A60D4B">
            <w:pPr>
              <w:spacing w:after="0"/>
              <w:jc w:val="right"/>
              <w:rPr>
                <w:b/>
                <w:bCs/>
                <w:sz w:val="24"/>
                <w:szCs w:val="24"/>
              </w:rPr>
            </w:pPr>
            <w:r w:rsidRPr="00E52BF5">
              <w:rPr>
                <w:b/>
                <w:bCs/>
                <w:sz w:val="24"/>
                <w:szCs w:val="24"/>
              </w:rPr>
              <w:t>$’000</w:t>
            </w:r>
          </w:p>
        </w:tc>
        <w:tc>
          <w:tcPr>
            <w:tcW w:w="1041" w:type="dxa"/>
            <w:tcBorders>
              <w:top w:val="single" w:sz="4" w:space="0" w:color="auto"/>
              <w:bottom w:val="single" w:sz="4" w:space="0" w:color="auto"/>
            </w:tcBorders>
          </w:tcPr>
          <w:p w14:paraId="0A022E7D" w14:textId="77777777" w:rsidR="00CF0E2D" w:rsidRPr="00E52BF5" w:rsidRDefault="00CF0E2D" w:rsidP="00A60D4B">
            <w:pPr>
              <w:spacing w:after="0"/>
              <w:jc w:val="right"/>
              <w:rPr>
                <w:b/>
                <w:bCs/>
                <w:sz w:val="24"/>
                <w:szCs w:val="24"/>
              </w:rPr>
            </w:pPr>
            <w:r w:rsidRPr="00E52BF5">
              <w:rPr>
                <w:b/>
                <w:bCs/>
                <w:sz w:val="24"/>
                <w:szCs w:val="24"/>
              </w:rPr>
              <w:t>2022-23</w:t>
            </w:r>
          </w:p>
          <w:p w14:paraId="10BE17ED" w14:textId="77777777" w:rsidR="00CF0E2D" w:rsidRPr="00E52BF5" w:rsidRDefault="00CF0E2D" w:rsidP="00A60D4B">
            <w:pPr>
              <w:spacing w:after="0"/>
              <w:jc w:val="right"/>
              <w:rPr>
                <w:b/>
                <w:bCs/>
                <w:sz w:val="24"/>
                <w:szCs w:val="24"/>
              </w:rPr>
            </w:pPr>
            <w:r w:rsidRPr="00E52BF5">
              <w:rPr>
                <w:b/>
                <w:bCs/>
                <w:sz w:val="24"/>
                <w:szCs w:val="24"/>
              </w:rPr>
              <w:t>$’000</w:t>
            </w:r>
          </w:p>
        </w:tc>
        <w:tc>
          <w:tcPr>
            <w:tcW w:w="1029" w:type="dxa"/>
            <w:tcBorders>
              <w:top w:val="single" w:sz="4" w:space="0" w:color="auto"/>
              <w:bottom w:val="single" w:sz="4" w:space="0" w:color="auto"/>
            </w:tcBorders>
          </w:tcPr>
          <w:p w14:paraId="67A8A082" w14:textId="77777777" w:rsidR="00CF0E2D" w:rsidRPr="00E52BF5" w:rsidRDefault="00CF0E2D" w:rsidP="00A60D4B">
            <w:pPr>
              <w:spacing w:after="0"/>
              <w:jc w:val="right"/>
              <w:rPr>
                <w:b/>
                <w:bCs/>
                <w:sz w:val="24"/>
                <w:szCs w:val="24"/>
              </w:rPr>
            </w:pPr>
            <w:r w:rsidRPr="00E52BF5">
              <w:rPr>
                <w:b/>
                <w:bCs/>
                <w:sz w:val="24"/>
                <w:szCs w:val="24"/>
              </w:rPr>
              <w:t>2023-24</w:t>
            </w:r>
          </w:p>
          <w:p w14:paraId="4B228B05" w14:textId="77777777" w:rsidR="00CF0E2D" w:rsidRPr="00E52BF5" w:rsidRDefault="00CF0E2D" w:rsidP="00A60D4B">
            <w:pPr>
              <w:spacing w:after="0"/>
              <w:jc w:val="right"/>
              <w:rPr>
                <w:b/>
                <w:bCs/>
                <w:sz w:val="24"/>
                <w:szCs w:val="24"/>
              </w:rPr>
            </w:pPr>
            <w:r w:rsidRPr="00E52BF5">
              <w:rPr>
                <w:b/>
                <w:bCs/>
                <w:sz w:val="24"/>
                <w:szCs w:val="24"/>
              </w:rPr>
              <w:t>$’000</w:t>
            </w:r>
          </w:p>
        </w:tc>
        <w:tc>
          <w:tcPr>
            <w:tcW w:w="1029" w:type="dxa"/>
            <w:tcBorders>
              <w:top w:val="single" w:sz="4" w:space="0" w:color="auto"/>
              <w:bottom w:val="single" w:sz="4" w:space="0" w:color="auto"/>
            </w:tcBorders>
          </w:tcPr>
          <w:p w14:paraId="073C18F5" w14:textId="77777777" w:rsidR="00CF0E2D" w:rsidRPr="00E52BF5" w:rsidRDefault="00CF0E2D" w:rsidP="00A60D4B">
            <w:pPr>
              <w:spacing w:after="0"/>
              <w:jc w:val="right"/>
              <w:rPr>
                <w:b/>
                <w:bCs/>
                <w:sz w:val="24"/>
                <w:szCs w:val="24"/>
              </w:rPr>
            </w:pPr>
            <w:r w:rsidRPr="00E52BF5">
              <w:rPr>
                <w:b/>
                <w:bCs/>
                <w:sz w:val="24"/>
                <w:szCs w:val="24"/>
              </w:rPr>
              <w:t>2024-25</w:t>
            </w:r>
          </w:p>
          <w:p w14:paraId="27963630" w14:textId="77777777" w:rsidR="00CF0E2D" w:rsidRPr="00E52BF5" w:rsidRDefault="00CF0E2D" w:rsidP="00A60D4B">
            <w:pPr>
              <w:spacing w:after="0"/>
              <w:jc w:val="right"/>
              <w:rPr>
                <w:b/>
                <w:bCs/>
                <w:sz w:val="24"/>
                <w:szCs w:val="24"/>
              </w:rPr>
            </w:pPr>
            <w:r w:rsidRPr="00E52BF5">
              <w:rPr>
                <w:b/>
                <w:bCs/>
                <w:sz w:val="24"/>
                <w:szCs w:val="24"/>
              </w:rPr>
              <w:t>$’000</w:t>
            </w:r>
          </w:p>
        </w:tc>
        <w:tc>
          <w:tcPr>
            <w:tcW w:w="1029" w:type="dxa"/>
            <w:tcBorders>
              <w:top w:val="single" w:sz="4" w:space="0" w:color="auto"/>
              <w:bottom w:val="single" w:sz="4" w:space="0" w:color="auto"/>
            </w:tcBorders>
          </w:tcPr>
          <w:p w14:paraId="48A99858" w14:textId="77777777" w:rsidR="00CF0E2D" w:rsidRPr="00E52BF5" w:rsidRDefault="00CF0E2D" w:rsidP="00A60D4B">
            <w:pPr>
              <w:spacing w:after="0"/>
              <w:jc w:val="right"/>
              <w:rPr>
                <w:b/>
                <w:sz w:val="24"/>
                <w:szCs w:val="24"/>
              </w:rPr>
            </w:pPr>
            <w:r w:rsidRPr="00E52BF5">
              <w:rPr>
                <w:b/>
                <w:sz w:val="24"/>
                <w:szCs w:val="24"/>
              </w:rPr>
              <w:t>Total</w:t>
            </w:r>
          </w:p>
          <w:p w14:paraId="2D4637B2" w14:textId="77777777" w:rsidR="00CF0E2D" w:rsidRPr="00E52BF5" w:rsidRDefault="00CF0E2D" w:rsidP="00A60D4B">
            <w:pPr>
              <w:spacing w:after="0"/>
              <w:jc w:val="right"/>
              <w:rPr>
                <w:b/>
                <w:sz w:val="24"/>
                <w:szCs w:val="24"/>
              </w:rPr>
            </w:pPr>
            <w:r w:rsidRPr="00E52BF5">
              <w:rPr>
                <w:b/>
                <w:sz w:val="24"/>
                <w:szCs w:val="24"/>
              </w:rPr>
              <w:t>$’000</w:t>
            </w:r>
          </w:p>
        </w:tc>
      </w:tr>
      <w:tr w:rsidR="00CF0E2D" w:rsidRPr="007B018A" w14:paraId="588726CA" w14:textId="77777777" w:rsidTr="00A60D4B">
        <w:trPr>
          <w:cantSplit/>
          <w:jc w:val="center"/>
        </w:trPr>
        <w:tc>
          <w:tcPr>
            <w:tcW w:w="3652" w:type="dxa"/>
          </w:tcPr>
          <w:p w14:paraId="3DE3342A" w14:textId="77777777" w:rsidR="00CF0E2D" w:rsidRPr="00E52BF5" w:rsidRDefault="00CF0E2D" w:rsidP="00A60D4B">
            <w:pPr>
              <w:spacing w:after="0"/>
              <w:ind w:left="321" w:hanging="321"/>
              <w:rPr>
                <w:sz w:val="24"/>
                <w:szCs w:val="24"/>
              </w:rPr>
            </w:pPr>
            <w:r w:rsidRPr="00E52BF5">
              <w:rPr>
                <w:sz w:val="24"/>
                <w:szCs w:val="24"/>
              </w:rPr>
              <w:t>Expenses</w:t>
            </w:r>
          </w:p>
        </w:tc>
        <w:tc>
          <w:tcPr>
            <w:tcW w:w="1179" w:type="dxa"/>
          </w:tcPr>
          <w:p w14:paraId="5054F16B" w14:textId="77777777" w:rsidR="00CF0E2D" w:rsidRPr="00E52BF5" w:rsidRDefault="00CF0E2D" w:rsidP="00A60D4B">
            <w:pPr>
              <w:spacing w:after="0"/>
              <w:jc w:val="right"/>
              <w:rPr>
                <w:sz w:val="24"/>
                <w:szCs w:val="24"/>
              </w:rPr>
            </w:pPr>
            <w:r w:rsidRPr="00E52BF5">
              <w:rPr>
                <w:sz w:val="24"/>
                <w:szCs w:val="24"/>
              </w:rPr>
              <w:t>10,375</w:t>
            </w:r>
          </w:p>
        </w:tc>
        <w:tc>
          <w:tcPr>
            <w:tcW w:w="1041" w:type="dxa"/>
          </w:tcPr>
          <w:p w14:paraId="65BE7E9E" w14:textId="77777777" w:rsidR="00CF0E2D" w:rsidRPr="00E52BF5" w:rsidRDefault="00CF0E2D" w:rsidP="00A60D4B">
            <w:pPr>
              <w:spacing w:after="0"/>
              <w:jc w:val="right"/>
              <w:rPr>
                <w:sz w:val="24"/>
                <w:szCs w:val="24"/>
              </w:rPr>
            </w:pPr>
            <w:r w:rsidRPr="00E52BF5">
              <w:rPr>
                <w:sz w:val="24"/>
                <w:szCs w:val="24"/>
              </w:rPr>
              <w:t>3,300</w:t>
            </w:r>
          </w:p>
        </w:tc>
        <w:tc>
          <w:tcPr>
            <w:tcW w:w="1029" w:type="dxa"/>
          </w:tcPr>
          <w:p w14:paraId="580C710D" w14:textId="77777777" w:rsidR="00CF0E2D" w:rsidRPr="00E52BF5" w:rsidRDefault="00CF0E2D" w:rsidP="00A60D4B">
            <w:pPr>
              <w:spacing w:after="0"/>
              <w:jc w:val="right"/>
              <w:rPr>
                <w:sz w:val="24"/>
                <w:szCs w:val="24"/>
              </w:rPr>
            </w:pPr>
            <w:r w:rsidRPr="00E52BF5">
              <w:rPr>
                <w:sz w:val="24"/>
                <w:szCs w:val="24"/>
              </w:rPr>
              <w:t>0</w:t>
            </w:r>
          </w:p>
        </w:tc>
        <w:tc>
          <w:tcPr>
            <w:tcW w:w="1029" w:type="dxa"/>
          </w:tcPr>
          <w:p w14:paraId="7059F103" w14:textId="77777777" w:rsidR="00CF0E2D" w:rsidRPr="00E52BF5" w:rsidRDefault="00CF0E2D" w:rsidP="00A60D4B">
            <w:pPr>
              <w:spacing w:after="0"/>
              <w:jc w:val="right"/>
              <w:rPr>
                <w:sz w:val="24"/>
                <w:szCs w:val="24"/>
              </w:rPr>
            </w:pPr>
            <w:r w:rsidRPr="00E52BF5">
              <w:rPr>
                <w:sz w:val="24"/>
                <w:szCs w:val="24"/>
              </w:rPr>
              <w:t>0</w:t>
            </w:r>
          </w:p>
        </w:tc>
        <w:tc>
          <w:tcPr>
            <w:tcW w:w="1029" w:type="dxa"/>
          </w:tcPr>
          <w:p w14:paraId="457FF281" w14:textId="77777777" w:rsidR="00CF0E2D" w:rsidRPr="00E52BF5" w:rsidRDefault="00CF0E2D" w:rsidP="00A60D4B">
            <w:pPr>
              <w:spacing w:after="0"/>
              <w:jc w:val="right"/>
              <w:rPr>
                <w:b/>
                <w:sz w:val="24"/>
                <w:szCs w:val="24"/>
              </w:rPr>
            </w:pPr>
            <w:r w:rsidRPr="00E52BF5">
              <w:rPr>
                <w:b/>
                <w:sz w:val="24"/>
                <w:szCs w:val="24"/>
              </w:rPr>
              <w:t>13,675</w:t>
            </w:r>
          </w:p>
        </w:tc>
      </w:tr>
      <w:tr w:rsidR="00CF0E2D" w:rsidRPr="007B018A" w14:paraId="599B9A05" w14:textId="77777777" w:rsidTr="00A60D4B">
        <w:trPr>
          <w:cantSplit/>
          <w:jc w:val="center"/>
        </w:trPr>
        <w:tc>
          <w:tcPr>
            <w:tcW w:w="3652" w:type="dxa"/>
          </w:tcPr>
          <w:p w14:paraId="53E7EAC0" w14:textId="77777777" w:rsidR="00CF0E2D" w:rsidRPr="00E52BF5" w:rsidRDefault="00CF0E2D" w:rsidP="00A60D4B">
            <w:pPr>
              <w:spacing w:after="0"/>
              <w:ind w:left="321" w:hanging="321"/>
              <w:rPr>
                <w:sz w:val="24"/>
                <w:szCs w:val="24"/>
              </w:rPr>
            </w:pPr>
            <w:r w:rsidRPr="00E52BF5">
              <w:rPr>
                <w:sz w:val="24"/>
                <w:szCs w:val="24"/>
              </w:rPr>
              <w:t>Expenses – Provision</w:t>
            </w:r>
          </w:p>
        </w:tc>
        <w:tc>
          <w:tcPr>
            <w:tcW w:w="1179" w:type="dxa"/>
          </w:tcPr>
          <w:p w14:paraId="032599A7" w14:textId="77777777" w:rsidR="00CF0E2D" w:rsidRPr="00E52BF5" w:rsidRDefault="00CF0E2D" w:rsidP="00A60D4B">
            <w:pPr>
              <w:spacing w:after="0"/>
              <w:jc w:val="right"/>
              <w:rPr>
                <w:sz w:val="24"/>
                <w:szCs w:val="24"/>
              </w:rPr>
            </w:pPr>
            <w:r w:rsidRPr="00E52BF5">
              <w:rPr>
                <w:sz w:val="24"/>
                <w:szCs w:val="24"/>
              </w:rPr>
              <w:t>0</w:t>
            </w:r>
          </w:p>
        </w:tc>
        <w:tc>
          <w:tcPr>
            <w:tcW w:w="1041" w:type="dxa"/>
          </w:tcPr>
          <w:p w14:paraId="54843D3C" w14:textId="77777777" w:rsidR="00CF0E2D" w:rsidRPr="00E52BF5" w:rsidRDefault="00CF0E2D" w:rsidP="00A60D4B">
            <w:pPr>
              <w:spacing w:after="0"/>
              <w:jc w:val="right"/>
              <w:rPr>
                <w:sz w:val="24"/>
                <w:szCs w:val="24"/>
              </w:rPr>
            </w:pPr>
            <w:r w:rsidRPr="00E52BF5">
              <w:rPr>
                <w:sz w:val="24"/>
                <w:szCs w:val="24"/>
              </w:rPr>
              <w:t>0</w:t>
            </w:r>
          </w:p>
        </w:tc>
        <w:tc>
          <w:tcPr>
            <w:tcW w:w="1029" w:type="dxa"/>
          </w:tcPr>
          <w:p w14:paraId="702E0F06" w14:textId="77777777" w:rsidR="00CF0E2D" w:rsidRPr="00E52BF5" w:rsidRDefault="00CF0E2D" w:rsidP="00A60D4B">
            <w:pPr>
              <w:spacing w:after="0"/>
              <w:jc w:val="right"/>
              <w:rPr>
                <w:sz w:val="24"/>
                <w:szCs w:val="24"/>
              </w:rPr>
            </w:pPr>
            <w:r w:rsidRPr="00E52BF5">
              <w:rPr>
                <w:sz w:val="24"/>
                <w:szCs w:val="24"/>
              </w:rPr>
              <w:t>1,711</w:t>
            </w:r>
          </w:p>
        </w:tc>
        <w:tc>
          <w:tcPr>
            <w:tcW w:w="1029" w:type="dxa"/>
          </w:tcPr>
          <w:p w14:paraId="32033D0F" w14:textId="77777777" w:rsidR="00CF0E2D" w:rsidRPr="00E52BF5" w:rsidRDefault="00CF0E2D" w:rsidP="00A60D4B">
            <w:pPr>
              <w:spacing w:after="0"/>
              <w:jc w:val="right"/>
              <w:rPr>
                <w:sz w:val="24"/>
                <w:szCs w:val="24"/>
              </w:rPr>
            </w:pPr>
            <w:r w:rsidRPr="00E52BF5">
              <w:rPr>
                <w:sz w:val="24"/>
                <w:szCs w:val="24"/>
              </w:rPr>
              <w:t>1,876</w:t>
            </w:r>
          </w:p>
        </w:tc>
        <w:tc>
          <w:tcPr>
            <w:tcW w:w="1029" w:type="dxa"/>
          </w:tcPr>
          <w:p w14:paraId="414A473C" w14:textId="77777777" w:rsidR="00CF0E2D" w:rsidRPr="00E52BF5" w:rsidRDefault="00CF0E2D" w:rsidP="00A60D4B">
            <w:pPr>
              <w:spacing w:after="0"/>
              <w:jc w:val="right"/>
              <w:rPr>
                <w:b/>
                <w:sz w:val="24"/>
                <w:szCs w:val="24"/>
              </w:rPr>
            </w:pPr>
            <w:r w:rsidRPr="00E52BF5">
              <w:rPr>
                <w:b/>
                <w:sz w:val="24"/>
                <w:szCs w:val="24"/>
              </w:rPr>
              <w:t>3,587</w:t>
            </w:r>
          </w:p>
        </w:tc>
      </w:tr>
      <w:tr w:rsidR="00CF0E2D" w:rsidRPr="007B018A" w14:paraId="6F5A239E" w14:textId="77777777" w:rsidTr="00A60D4B">
        <w:trPr>
          <w:cantSplit/>
          <w:trHeight w:val="107"/>
          <w:jc w:val="center"/>
        </w:trPr>
        <w:tc>
          <w:tcPr>
            <w:tcW w:w="3652" w:type="dxa"/>
            <w:tcBorders>
              <w:top w:val="single" w:sz="4" w:space="0" w:color="auto"/>
              <w:bottom w:val="single" w:sz="4" w:space="0" w:color="auto"/>
            </w:tcBorders>
          </w:tcPr>
          <w:p w14:paraId="417087C2" w14:textId="77777777" w:rsidR="00CF0E2D" w:rsidRPr="00E52BF5" w:rsidRDefault="00CF0E2D" w:rsidP="00A60D4B">
            <w:pPr>
              <w:spacing w:after="0"/>
              <w:ind w:left="321" w:hanging="321"/>
              <w:rPr>
                <w:b/>
                <w:sz w:val="24"/>
                <w:szCs w:val="24"/>
              </w:rPr>
            </w:pPr>
            <w:r w:rsidRPr="00E52BF5">
              <w:rPr>
                <w:b/>
                <w:sz w:val="24"/>
                <w:szCs w:val="24"/>
              </w:rPr>
              <w:t>Net cost of services</w:t>
            </w:r>
          </w:p>
        </w:tc>
        <w:tc>
          <w:tcPr>
            <w:tcW w:w="1179" w:type="dxa"/>
            <w:tcBorders>
              <w:top w:val="single" w:sz="4" w:space="0" w:color="auto"/>
              <w:bottom w:val="single" w:sz="4" w:space="0" w:color="auto"/>
            </w:tcBorders>
          </w:tcPr>
          <w:p w14:paraId="1515046E" w14:textId="77777777" w:rsidR="00CF0E2D" w:rsidRPr="00E52BF5" w:rsidRDefault="00CF0E2D" w:rsidP="00A60D4B">
            <w:pPr>
              <w:spacing w:after="0"/>
              <w:jc w:val="right"/>
              <w:rPr>
                <w:b/>
                <w:sz w:val="24"/>
                <w:szCs w:val="24"/>
              </w:rPr>
            </w:pPr>
            <w:r w:rsidRPr="00E52BF5">
              <w:rPr>
                <w:b/>
                <w:sz w:val="24"/>
                <w:szCs w:val="24"/>
              </w:rPr>
              <w:t>10,375</w:t>
            </w:r>
          </w:p>
        </w:tc>
        <w:tc>
          <w:tcPr>
            <w:tcW w:w="1041" w:type="dxa"/>
            <w:tcBorders>
              <w:top w:val="single" w:sz="4" w:space="0" w:color="auto"/>
              <w:bottom w:val="single" w:sz="4" w:space="0" w:color="auto"/>
            </w:tcBorders>
          </w:tcPr>
          <w:p w14:paraId="6257B977" w14:textId="77777777" w:rsidR="00CF0E2D" w:rsidRPr="00E52BF5" w:rsidRDefault="00CF0E2D" w:rsidP="00A60D4B">
            <w:pPr>
              <w:spacing w:after="0"/>
              <w:jc w:val="right"/>
              <w:rPr>
                <w:b/>
                <w:sz w:val="24"/>
                <w:szCs w:val="24"/>
              </w:rPr>
            </w:pPr>
            <w:r w:rsidRPr="00E52BF5">
              <w:rPr>
                <w:b/>
                <w:sz w:val="24"/>
                <w:szCs w:val="24"/>
              </w:rPr>
              <w:t>3,300</w:t>
            </w:r>
          </w:p>
        </w:tc>
        <w:tc>
          <w:tcPr>
            <w:tcW w:w="1029" w:type="dxa"/>
            <w:tcBorders>
              <w:top w:val="single" w:sz="4" w:space="0" w:color="auto"/>
              <w:bottom w:val="single" w:sz="4" w:space="0" w:color="auto"/>
            </w:tcBorders>
          </w:tcPr>
          <w:p w14:paraId="5A72EB56" w14:textId="77777777" w:rsidR="00CF0E2D" w:rsidRPr="00E52BF5" w:rsidRDefault="00CF0E2D" w:rsidP="00A60D4B">
            <w:pPr>
              <w:spacing w:after="0"/>
              <w:jc w:val="right"/>
              <w:rPr>
                <w:b/>
                <w:sz w:val="24"/>
                <w:szCs w:val="24"/>
              </w:rPr>
            </w:pPr>
            <w:r w:rsidRPr="00E52BF5">
              <w:rPr>
                <w:b/>
                <w:sz w:val="24"/>
                <w:szCs w:val="24"/>
              </w:rPr>
              <w:t>1,711</w:t>
            </w:r>
          </w:p>
        </w:tc>
        <w:tc>
          <w:tcPr>
            <w:tcW w:w="1029" w:type="dxa"/>
            <w:tcBorders>
              <w:top w:val="single" w:sz="4" w:space="0" w:color="auto"/>
              <w:bottom w:val="single" w:sz="4" w:space="0" w:color="auto"/>
            </w:tcBorders>
          </w:tcPr>
          <w:p w14:paraId="05BB2BAC" w14:textId="77777777" w:rsidR="00CF0E2D" w:rsidRPr="00E52BF5" w:rsidRDefault="00CF0E2D" w:rsidP="00A60D4B">
            <w:pPr>
              <w:spacing w:after="0"/>
              <w:jc w:val="right"/>
              <w:rPr>
                <w:b/>
                <w:sz w:val="24"/>
                <w:szCs w:val="24"/>
              </w:rPr>
            </w:pPr>
            <w:r w:rsidRPr="00E52BF5">
              <w:rPr>
                <w:b/>
                <w:sz w:val="24"/>
                <w:szCs w:val="24"/>
              </w:rPr>
              <w:t>1,876</w:t>
            </w:r>
          </w:p>
        </w:tc>
        <w:tc>
          <w:tcPr>
            <w:tcW w:w="1029" w:type="dxa"/>
            <w:tcBorders>
              <w:top w:val="single" w:sz="4" w:space="0" w:color="auto"/>
              <w:bottom w:val="single" w:sz="4" w:space="0" w:color="auto"/>
            </w:tcBorders>
          </w:tcPr>
          <w:p w14:paraId="78870866" w14:textId="77777777" w:rsidR="00CF0E2D" w:rsidRPr="00E52BF5" w:rsidRDefault="00CF0E2D" w:rsidP="00A60D4B">
            <w:pPr>
              <w:spacing w:after="0"/>
              <w:jc w:val="right"/>
              <w:rPr>
                <w:b/>
                <w:sz w:val="24"/>
                <w:szCs w:val="24"/>
              </w:rPr>
            </w:pPr>
            <w:r w:rsidRPr="00E52BF5">
              <w:rPr>
                <w:b/>
                <w:sz w:val="24"/>
                <w:szCs w:val="24"/>
              </w:rPr>
              <w:t>1</w:t>
            </w:r>
            <w:r>
              <w:rPr>
                <w:b/>
                <w:sz w:val="24"/>
                <w:szCs w:val="24"/>
              </w:rPr>
              <w:t>7</w:t>
            </w:r>
            <w:r w:rsidRPr="00E52BF5">
              <w:rPr>
                <w:b/>
                <w:sz w:val="24"/>
                <w:szCs w:val="24"/>
              </w:rPr>
              <w:t>,</w:t>
            </w:r>
            <w:r>
              <w:rPr>
                <w:b/>
                <w:sz w:val="24"/>
                <w:szCs w:val="24"/>
              </w:rPr>
              <w:t>262</w:t>
            </w:r>
          </w:p>
        </w:tc>
      </w:tr>
    </w:tbl>
    <w:p w14:paraId="70155A42" w14:textId="77777777" w:rsidR="00CF0E2D" w:rsidRPr="00B547C2" w:rsidRDefault="00CF0E2D" w:rsidP="00A60D4B">
      <w:pPr>
        <w:pStyle w:val="Bbodytext"/>
        <w:rPr>
          <w:szCs w:val="24"/>
        </w:rPr>
      </w:pPr>
      <w:r w:rsidRPr="00B547C2">
        <w:t>The Government will provide continued funding for the ACT Data Analytics Centre, the ACT Data Lake, the Data and Analytics Hub, and for necessary digital licence</w:t>
      </w:r>
      <w:r w:rsidRPr="00B547C2">
        <w:rPr>
          <w:szCs w:val="24"/>
        </w:rPr>
        <w:t xml:space="preserve"> agreements and consumption charges to support Government’s commitment to improve how we use, manage and govern public sector data as an effective tool to benefit the ACT community.  </w:t>
      </w:r>
    </w:p>
    <w:p w14:paraId="7E348B89" w14:textId="77777777" w:rsidR="00CF0E2D" w:rsidRPr="00B547C2" w:rsidRDefault="00CF0E2D" w:rsidP="00A60D4B">
      <w:pPr>
        <w:pStyle w:val="Bbodytext"/>
        <w:rPr>
          <w:szCs w:val="24"/>
        </w:rPr>
      </w:pPr>
      <w:r w:rsidRPr="00B547C2">
        <w:t xml:space="preserve">This initiative builds on the 2017-18 Budget Review initiative </w:t>
      </w:r>
      <w:r w:rsidRPr="00B547C2">
        <w:rPr>
          <w:i/>
          <w:szCs w:val="24"/>
        </w:rPr>
        <w:t xml:space="preserve">More and better jobs – Data analytics for smarter policy. </w:t>
      </w:r>
    </w:p>
    <w:p w14:paraId="40DA06D2" w14:textId="77777777" w:rsidR="00CF0E2D" w:rsidRDefault="00CF0E2D" w:rsidP="00A60D4B">
      <w:pPr>
        <w:pStyle w:val="Bbodytext"/>
        <w:rPr>
          <w:szCs w:val="24"/>
        </w:rPr>
      </w:pPr>
      <w:r w:rsidRPr="00B547C2">
        <w:t>It contributes to the wellbeing domain of Gov</w:t>
      </w:r>
      <w:r w:rsidRPr="00B547C2">
        <w:rPr>
          <w:szCs w:val="24"/>
        </w:rPr>
        <w:t xml:space="preserve">ernance and institutions.  </w:t>
      </w:r>
    </w:p>
    <w:p w14:paraId="07449077" w14:textId="77777777" w:rsidR="00CF0E2D" w:rsidRDefault="00CF0E2D">
      <w:pPr>
        <w:rPr>
          <w:sz w:val="24"/>
          <w:szCs w:val="24"/>
        </w:rPr>
      </w:pPr>
      <w:r>
        <w:rPr>
          <w:szCs w:val="24"/>
        </w:rPr>
        <w:br w:type="page"/>
      </w:r>
    </w:p>
    <w:p w14:paraId="6C66E777" w14:textId="77777777" w:rsidR="00CF0E2D" w:rsidRPr="00B547C2" w:rsidRDefault="00CF0E2D" w:rsidP="00A60D4B">
      <w:pPr>
        <w:pStyle w:val="Bbodytext"/>
        <w:rPr>
          <w:szCs w:val="24"/>
        </w:rPr>
      </w:pPr>
    </w:p>
    <w:p w14:paraId="42CAAFF3" w14:textId="77777777" w:rsidR="00CF0E2D" w:rsidRPr="00BB5FAD" w:rsidRDefault="00CF0E2D" w:rsidP="00A60D4B">
      <w:pPr>
        <w:pStyle w:val="Heading4"/>
        <w:rPr>
          <w:rFonts w:eastAsia="Times New Roman" w:cs="Times New Roman"/>
          <w:bCs/>
          <w:szCs w:val="26"/>
          <w:lang w:val="x-none"/>
        </w:rPr>
      </w:pPr>
      <w:r w:rsidRPr="00BB5FAD">
        <w:rPr>
          <w:rFonts w:eastAsia="Times New Roman"/>
        </w:rPr>
        <w:t xml:space="preserve">Knowledge Capital – Future Jobs Fund  </w:t>
      </w:r>
      <w:r>
        <w:rPr>
          <w:b w:val="0"/>
          <w:noProof/>
          <w:color w:val="999789"/>
          <w:sz w:val="32"/>
          <w:szCs w:val="24"/>
        </w:rPr>
        <w:drawing>
          <wp:anchor distT="0" distB="0" distL="114300" distR="114300" simplePos="0" relativeHeight="251755520" behindDoc="0" locked="1" layoutInCell="1" allowOverlap="1" wp14:anchorId="2F63F752" wp14:editId="2913CE85">
            <wp:simplePos x="0" y="0"/>
            <wp:positionH relativeFrom="margin">
              <wp:align>right</wp:align>
            </wp:positionH>
            <wp:positionV relativeFrom="paragraph">
              <wp:posOffset>-148590</wp:posOffset>
            </wp:positionV>
            <wp:extent cx="1148080" cy="503555"/>
            <wp:effectExtent l="0" t="0" r="0" b="0"/>
            <wp:wrapSquare wrapText="bothSides"/>
            <wp:docPr id="268" name="Picture 268"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08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B73D57" w14:paraId="0D717C71" w14:textId="77777777" w:rsidTr="00A60D4B">
        <w:trPr>
          <w:cantSplit/>
          <w:jc w:val="center"/>
        </w:trPr>
        <w:tc>
          <w:tcPr>
            <w:tcW w:w="3652" w:type="dxa"/>
            <w:tcBorders>
              <w:top w:val="single" w:sz="4" w:space="0" w:color="auto"/>
              <w:bottom w:val="single" w:sz="4" w:space="0" w:color="auto"/>
            </w:tcBorders>
          </w:tcPr>
          <w:p w14:paraId="74CCD085" w14:textId="77777777" w:rsidR="00CF0E2D" w:rsidRPr="0042780A" w:rsidRDefault="00CF0E2D" w:rsidP="00A60D4B">
            <w:pPr>
              <w:spacing w:after="0"/>
              <w:rPr>
                <w:szCs w:val="24"/>
              </w:rPr>
            </w:pPr>
          </w:p>
        </w:tc>
        <w:tc>
          <w:tcPr>
            <w:tcW w:w="1179" w:type="dxa"/>
            <w:tcBorders>
              <w:top w:val="single" w:sz="4" w:space="0" w:color="auto"/>
              <w:bottom w:val="single" w:sz="4" w:space="0" w:color="auto"/>
            </w:tcBorders>
          </w:tcPr>
          <w:p w14:paraId="706876F3" w14:textId="77777777" w:rsidR="00CF0E2D" w:rsidRPr="00BF1186" w:rsidRDefault="00CF0E2D" w:rsidP="00A60D4B">
            <w:pPr>
              <w:pStyle w:val="InitFigR"/>
              <w:rPr>
                <w:b/>
                <w:bCs/>
                <w:szCs w:val="24"/>
              </w:rPr>
            </w:pPr>
            <w:r w:rsidRPr="00BF1186">
              <w:rPr>
                <w:b/>
                <w:bCs/>
                <w:szCs w:val="24"/>
              </w:rPr>
              <w:t>2021-22</w:t>
            </w:r>
          </w:p>
          <w:p w14:paraId="72A83332" w14:textId="77777777" w:rsidR="00CF0E2D" w:rsidRPr="00BF1186" w:rsidRDefault="00CF0E2D" w:rsidP="00A60D4B">
            <w:pPr>
              <w:pStyle w:val="InitFigR"/>
              <w:rPr>
                <w:b/>
                <w:bCs/>
                <w:szCs w:val="24"/>
              </w:rPr>
            </w:pPr>
            <w:r w:rsidRPr="00BF1186">
              <w:rPr>
                <w:b/>
                <w:bCs/>
                <w:szCs w:val="24"/>
              </w:rPr>
              <w:t>$’000</w:t>
            </w:r>
          </w:p>
        </w:tc>
        <w:tc>
          <w:tcPr>
            <w:tcW w:w="1041" w:type="dxa"/>
            <w:tcBorders>
              <w:top w:val="single" w:sz="4" w:space="0" w:color="auto"/>
              <w:bottom w:val="single" w:sz="4" w:space="0" w:color="auto"/>
            </w:tcBorders>
          </w:tcPr>
          <w:p w14:paraId="39C10D29" w14:textId="77777777" w:rsidR="00CF0E2D" w:rsidRPr="00BF1186" w:rsidRDefault="00CF0E2D" w:rsidP="00A60D4B">
            <w:pPr>
              <w:pStyle w:val="InitFigR"/>
              <w:rPr>
                <w:b/>
                <w:bCs/>
                <w:szCs w:val="24"/>
              </w:rPr>
            </w:pPr>
            <w:r w:rsidRPr="00BF1186">
              <w:rPr>
                <w:b/>
                <w:bCs/>
                <w:szCs w:val="24"/>
              </w:rPr>
              <w:t>2022-23</w:t>
            </w:r>
          </w:p>
          <w:p w14:paraId="3E22AB72" w14:textId="77777777" w:rsidR="00CF0E2D" w:rsidRPr="00BF1186" w:rsidRDefault="00CF0E2D" w:rsidP="00A60D4B">
            <w:pPr>
              <w:pStyle w:val="InitFigR"/>
              <w:rPr>
                <w:b/>
                <w:bCs/>
                <w:szCs w:val="24"/>
              </w:rPr>
            </w:pPr>
            <w:r w:rsidRPr="00BF1186">
              <w:rPr>
                <w:b/>
                <w:bCs/>
                <w:szCs w:val="24"/>
              </w:rPr>
              <w:t>$’000</w:t>
            </w:r>
          </w:p>
        </w:tc>
        <w:tc>
          <w:tcPr>
            <w:tcW w:w="1029" w:type="dxa"/>
            <w:tcBorders>
              <w:top w:val="single" w:sz="4" w:space="0" w:color="auto"/>
              <w:bottom w:val="single" w:sz="4" w:space="0" w:color="auto"/>
            </w:tcBorders>
          </w:tcPr>
          <w:p w14:paraId="53180E2D" w14:textId="77777777" w:rsidR="00CF0E2D" w:rsidRPr="00BF1186" w:rsidRDefault="00CF0E2D" w:rsidP="00A60D4B">
            <w:pPr>
              <w:pStyle w:val="InitFigR"/>
              <w:rPr>
                <w:b/>
                <w:bCs/>
                <w:szCs w:val="24"/>
              </w:rPr>
            </w:pPr>
            <w:r w:rsidRPr="00BF1186">
              <w:rPr>
                <w:b/>
                <w:bCs/>
                <w:szCs w:val="24"/>
              </w:rPr>
              <w:t>2023-24</w:t>
            </w:r>
          </w:p>
          <w:p w14:paraId="5CE4C56A" w14:textId="77777777" w:rsidR="00CF0E2D" w:rsidRPr="00BF1186" w:rsidRDefault="00CF0E2D" w:rsidP="00A60D4B">
            <w:pPr>
              <w:pStyle w:val="InitFigR"/>
              <w:rPr>
                <w:b/>
                <w:bCs/>
                <w:szCs w:val="24"/>
              </w:rPr>
            </w:pPr>
            <w:r w:rsidRPr="00BF1186">
              <w:rPr>
                <w:b/>
                <w:bCs/>
                <w:szCs w:val="24"/>
              </w:rPr>
              <w:t>$’000</w:t>
            </w:r>
          </w:p>
        </w:tc>
        <w:tc>
          <w:tcPr>
            <w:tcW w:w="1029" w:type="dxa"/>
            <w:tcBorders>
              <w:top w:val="single" w:sz="4" w:space="0" w:color="auto"/>
              <w:bottom w:val="single" w:sz="4" w:space="0" w:color="auto"/>
            </w:tcBorders>
          </w:tcPr>
          <w:p w14:paraId="4F765105" w14:textId="77777777" w:rsidR="00CF0E2D" w:rsidRPr="00BF1186" w:rsidRDefault="00CF0E2D" w:rsidP="00A60D4B">
            <w:pPr>
              <w:pStyle w:val="InitFigR"/>
              <w:rPr>
                <w:b/>
                <w:bCs/>
                <w:szCs w:val="24"/>
              </w:rPr>
            </w:pPr>
            <w:r w:rsidRPr="00BF1186">
              <w:rPr>
                <w:b/>
                <w:bCs/>
                <w:szCs w:val="24"/>
              </w:rPr>
              <w:t>2024-25</w:t>
            </w:r>
          </w:p>
          <w:p w14:paraId="090EFAAC" w14:textId="77777777" w:rsidR="00CF0E2D" w:rsidRPr="00BF1186" w:rsidRDefault="00CF0E2D" w:rsidP="00A60D4B">
            <w:pPr>
              <w:pStyle w:val="InitFigR"/>
              <w:rPr>
                <w:b/>
                <w:bCs/>
                <w:szCs w:val="24"/>
              </w:rPr>
            </w:pPr>
            <w:r w:rsidRPr="00BF1186">
              <w:rPr>
                <w:b/>
                <w:bCs/>
                <w:szCs w:val="24"/>
              </w:rPr>
              <w:t>$’000</w:t>
            </w:r>
          </w:p>
        </w:tc>
        <w:tc>
          <w:tcPr>
            <w:tcW w:w="1029" w:type="dxa"/>
            <w:tcBorders>
              <w:top w:val="single" w:sz="4" w:space="0" w:color="auto"/>
              <w:bottom w:val="single" w:sz="4" w:space="0" w:color="auto"/>
            </w:tcBorders>
          </w:tcPr>
          <w:p w14:paraId="1EB34166" w14:textId="77777777" w:rsidR="00CF0E2D" w:rsidRPr="0042780A" w:rsidRDefault="00CF0E2D" w:rsidP="00A60D4B">
            <w:pPr>
              <w:pStyle w:val="InitFigR"/>
              <w:rPr>
                <w:b/>
                <w:bCs/>
                <w:szCs w:val="24"/>
              </w:rPr>
            </w:pPr>
            <w:r w:rsidRPr="0042780A">
              <w:rPr>
                <w:b/>
                <w:bCs/>
                <w:szCs w:val="24"/>
              </w:rPr>
              <w:t>Total</w:t>
            </w:r>
          </w:p>
          <w:p w14:paraId="5DE0A046" w14:textId="77777777" w:rsidR="00CF0E2D" w:rsidRPr="0042780A" w:rsidRDefault="00CF0E2D" w:rsidP="00A60D4B">
            <w:pPr>
              <w:pStyle w:val="InitFigR"/>
              <w:rPr>
                <w:b/>
                <w:bCs/>
                <w:szCs w:val="24"/>
              </w:rPr>
            </w:pPr>
            <w:r w:rsidRPr="0042780A">
              <w:rPr>
                <w:b/>
                <w:bCs/>
                <w:szCs w:val="24"/>
              </w:rPr>
              <w:t>$’000</w:t>
            </w:r>
          </w:p>
        </w:tc>
      </w:tr>
      <w:tr w:rsidR="00CF0E2D" w:rsidRPr="00B73D57" w14:paraId="62C6DCC2" w14:textId="77777777" w:rsidTr="00A60D4B">
        <w:trPr>
          <w:cantSplit/>
          <w:jc w:val="center"/>
        </w:trPr>
        <w:tc>
          <w:tcPr>
            <w:tcW w:w="3652" w:type="dxa"/>
          </w:tcPr>
          <w:p w14:paraId="55BFBAD0" w14:textId="77777777" w:rsidR="00CF0E2D" w:rsidRPr="0042780A" w:rsidRDefault="00CF0E2D" w:rsidP="00A60D4B">
            <w:pPr>
              <w:pStyle w:val="InitTextL"/>
              <w:ind w:left="321" w:hanging="321"/>
              <w:rPr>
                <w:szCs w:val="24"/>
              </w:rPr>
            </w:pPr>
            <w:r w:rsidRPr="0042780A">
              <w:rPr>
                <w:szCs w:val="24"/>
              </w:rPr>
              <w:t>Expenses</w:t>
            </w:r>
          </w:p>
        </w:tc>
        <w:tc>
          <w:tcPr>
            <w:tcW w:w="1179" w:type="dxa"/>
          </w:tcPr>
          <w:p w14:paraId="376EAD82" w14:textId="77777777" w:rsidR="00CF0E2D" w:rsidRPr="0042780A" w:rsidRDefault="00CF0E2D" w:rsidP="00A60D4B">
            <w:pPr>
              <w:pStyle w:val="InitFigR"/>
              <w:rPr>
                <w:szCs w:val="24"/>
              </w:rPr>
            </w:pPr>
            <w:r w:rsidRPr="0042780A">
              <w:rPr>
                <w:szCs w:val="24"/>
              </w:rPr>
              <w:t>2,000</w:t>
            </w:r>
          </w:p>
        </w:tc>
        <w:tc>
          <w:tcPr>
            <w:tcW w:w="1041" w:type="dxa"/>
          </w:tcPr>
          <w:p w14:paraId="2C0315F1" w14:textId="77777777" w:rsidR="00CF0E2D" w:rsidRPr="0042780A" w:rsidRDefault="00CF0E2D" w:rsidP="00A60D4B">
            <w:pPr>
              <w:pStyle w:val="InitFigR"/>
              <w:rPr>
                <w:szCs w:val="24"/>
              </w:rPr>
            </w:pPr>
            <w:r w:rsidRPr="0042780A">
              <w:rPr>
                <w:szCs w:val="24"/>
              </w:rPr>
              <w:t>0</w:t>
            </w:r>
          </w:p>
        </w:tc>
        <w:tc>
          <w:tcPr>
            <w:tcW w:w="1029" w:type="dxa"/>
          </w:tcPr>
          <w:p w14:paraId="0D6D7D7E" w14:textId="77777777" w:rsidR="00CF0E2D" w:rsidRPr="0042780A" w:rsidRDefault="00CF0E2D" w:rsidP="00A60D4B">
            <w:pPr>
              <w:pStyle w:val="InitFigR"/>
              <w:rPr>
                <w:szCs w:val="24"/>
              </w:rPr>
            </w:pPr>
            <w:r w:rsidRPr="0042780A">
              <w:rPr>
                <w:szCs w:val="24"/>
              </w:rPr>
              <w:t>0</w:t>
            </w:r>
          </w:p>
        </w:tc>
        <w:tc>
          <w:tcPr>
            <w:tcW w:w="1029" w:type="dxa"/>
          </w:tcPr>
          <w:p w14:paraId="3C74146E" w14:textId="77777777" w:rsidR="00CF0E2D" w:rsidRPr="0042780A" w:rsidRDefault="00CF0E2D" w:rsidP="00A60D4B">
            <w:pPr>
              <w:pStyle w:val="InitFigR"/>
              <w:rPr>
                <w:szCs w:val="24"/>
              </w:rPr>
            </w:pPr>
            <w:r w:rsidRPr="0042780A">
              <w:rPr>
                <w:szCs w:val="24"/>
              </w:rPr>
              <w:t>0</w:t>
            </w:r>
          </w:p>
        </w:tc>
        <w:tc>
          <w:tcPr>
            <w:tcW w:w="1029" w:type="dxa"/>
          </w:tcPr>
          <w:p w14:paraId="4C4088A4" w14:textId="77777777" w:rsidR="00CF0E2D" w:rsidRPr="00CB5E52" w:rsidRDefault="00CF0E2D" w:rsidP="00A60D4B">
            <w:pPr>
              <w:pStyle w:val="InitFigR"/>
              <w:rPr>
                <w:b/>
                <w:bCs/>
                <w:szCs w:val="24"/>
              </w:rPr>
            </w:pPr>
            <w:r w:rsidRPr="00CB5E52">
              <w:rPr>
                <w:b/>
                <w:bCs/>
                <w:szCs w:val="24"/>
              </w:rPr>
              <w:t>2,000</w:t>
            </w:r>
          </w:p>
        </w:tc>
      </w:tr>
      <w:tr w:rsidR="00CF0E2D" w:rsidRPr="00B73D57" w14:paraId="592014E5" w14:textId="77777777" w:rsidTr="00A60D4B">
        <w:trPr>
          <w:cantSplit/>
          <w:jc w:val="center"/>
        </w:trPr>
        <w:tc>
          <w:tcPr>
            <w:tcW w:w="3652" w:type="dxa"/>
          </w:tcPr>
          <w:p w14:paraId="020FEEE0" w14:textId="77777777" w:rsidR="00CF0E2D" w:rsidRPr="0042780A" w:rsidRDefault="00CF0E2D" w:rsidP="00A60D4B">
            <w:pPr>
              <w:pStyle w:val="InitTextL"/>
              <w:ind w:left="321" w:hanging="321"/>
              <w:rPr>
                <w:szCs w:val="24"/>
              </w:rPr>
            </w:pPr>
            <w:r w:rsidRPr="0042780A">
              <w:rPr>
                <w:szCs w:val="24"/>
              </w:rPr>
              <w:t>Offset – Expenses – Provision</w:t>
            </w:r>
          </w:p>
        </w:tc>
        <w:tc>
          <w:tcPr>
            <w:tcW w:w="1179" w:type="dxa"/>
          </w:tcPr>
          <w:p w14:paraId="384BA62C" w14:textId="77777777" w:rsidR="00CF0E2D" w:rsidRPr="0042780A" w:rsidRDefault="00CF0E2D" w:rsidP="00A60D4B">
            <w:pPr>
              <w:pStyle w:val="InitFigR"/>
              <w:rPr>
                <w:szCs w:val="24"/>
              </w:rPr>
            </w:pPr>
            <w:r w:rsidRPr="0042780A">
              <w:rPr>
                <w:szCs w:val="24"/>
              </w:rPr>
              <w:t>-2,000</w:t>
            </w:r>
          </w:p>
        </w:tc>
        <w:tc>
          <w:tcPr>
            <w:tcW w:w="1041" w:type="dxa"/>
          </w:tcPr>
          <w:p w14:paraId="4932B290" w14:textId="77777777" w:rsidR="00CF0E2D" w:rsidRPr="0042780A" w:rsidRDefault="00CF0E2D" w:rsidP="00A60D4B">
            <w:pPr>
              <w:pStyle w:val="InitFigR"/>
              <w:rPr>
                <w:szCs w:val="24"/>
              </w:rPr>
            </w:pPr>
            <w:r w:rsidRPr="0042780A">
              <w:rPr>
                <w:szCs w:val="24"/>
              </w:rPr>
              <w:t>0</w:t>
            </w:r>
          </w:p>
        </w:tc>
        <w:tc>
          <w:tcPr>
            <w:tcW w:w="1029" w:type="dxa"/>
          </w:tcPr>
          <w:p w14:paraId="38F92138" w14:textId="77777777" w:rsidR="00CF0E2D" w:rsidRPr="0042780A" w:rsidRDefault="00CF0E2D" w:rsidP="00A60D4B">
            <w:pPr>
              <w:pStyle w:val="InitFigR"/>
              <w:rPr>
                <w:szCs w:val="24"/>
              </w:rPr>
            </w:pPr>
            <w:r w:rsidRPr="0042780A">
              <w:rPr>
                <w:szCs w:val="24"/>
              </w:rPr>
              <w:t>0</w:t>
            </w:r>
          </w:p>
        </w:tc>
        <w:tc>
          <w:tcPr>
            <w:tcW w:w="1029" w:type="dxa"/>
          </w:tcPr>
          <w:p w14:paraId="487C3231" w14:textId="77777777" w:rsidR="00CF0E2D" w:rsidRPr="0042780A" w:rsidRDefault="00CF0E2D" w:rsidP="00A60D4B">
            <w:pPr>
              <w:pStyle w:val="InitFigR"/>
              <w:rPr>
                <w:szCs w:val="24"/>
              </w:rPr>
            </w:pPr>
            <w:r w:rsidRPr="0042780A">
              <w:rPr>
                <w:szCs w:val="24"/>
              </w:rPr>
              <w:t>0</w:t>
            </w:r>
          </w:p>
        </w:tc>
        <w:tc>
          <w:tcPr>
            <w:tcW w:w="1029" w:type="dxa"/>
          </w:tcPr>
          <w:p w14:paraId="5F9E5B43" w14:textId="77777777" w:rsidR="00CF0E2D" w:rsidRPr="00CB5E52" w:rsidRDefault="00CF0E2D" w:rsidP="00A60D4B">
            <w:pPr>
              <w:pStyle w:val="InitFigR"/>
              <w:rPr>
                <w:b/>
                <w:bCs/>
                <w:szCs w:val="24"/>
              </w:rPr>
            </w:pPr>
            <w:r w:rsidRPr="00CB5E52">
              <w:rPr>
                <w:b/>
                <w:bCs/>
                <w:szCs w:val="24"/>
              </w:rPr>
              <w:t>2,000</w:t>
            </w:r>
          </w:p>
        </w:tc>
      </w:tr>
      <w:tr w:rsidR="00CF0E2D" w:rsidRPr="00B73D57" w14:paraId="5A6EB377" w14:textId="77777777" w:rsidTr="00A60D4B">
        <w:trPr>
          <w:cantSplit/>
          <w:trHeight w:val="107"/>
          <w:jc w:val="center"/>
        </w:trPr>
        <w:tc>
          <w:tcPr>
            <w:tcW w:w="3652" w:type="dxa"/>
            <w:tcBorders>
              <w:top w:val="single" w:sz="4" w:space="0" w:color="auto"/>
              <w:bottom w:val="single" w:sz="4" w:space="0" w:color="auto"/>
            </w:tcBorders>
          </w:tcPr>
          <w:p w14:paraId="3ECE8330" w14:textId="77777777" w:rsidR="00CF0E2D" w:rsidRPr="00CB5E52" w:rsidRDefault="00CF0E2D" w:rsidP="00A60D4B">
            <w:pPr>
              <w:pStyle w:val="InitTextL"/>
              <w:ind w:left="321" w:hanging="321"/>
              <w:rPr>
                <w:b/>
                <w:bCs/>
                <w:szCs w:val="24"/>
              </w:rPr>
            </w:pPr>
            <w:r w:rsidRPr="00CB5E52">
              <w:rPr>
                <w:b/>
                <w:bCs/>
                <w:szCs w:val="24"/>
              </w:rPr>
              <w:t>Net cost of services</w:t>
            </w:r>
          </w:p>
        </w:tc>
        <w:tc>
          <w:tcPr>
            <w:tcW w:w="1179" w:type="dxa"/>
            <w:tcBorders>
              <w:top w:val="single" w:sz="4" w:space="0" w:color="auto"/>
              <w:bottom w:val="single" w:sz="4" w:space="0" w:color="auto"/>
            </w:tcBorders>
          </w:tcPr>
          <w:p w14:paraId="138B94CB" w14:textId="77777777" w:rsidR="00CF0E2D" w:rsidRPr="00CB5E52" w:rsidRDefault="00CF0E2D" w:rsidP="00A60D4B">
            <w:pPr>
              <w:pStyle w:val="InitFigR"/>
              <w:rPr>
                <w:b/>
                <w:bCs/>
                <w:szCs w:val="24"/>
              </w:rPr>
            </w:pPr>
            <w:r w:rsidRPr="00CB5E52">
              <w:rPr>
                <w:b/>
                <w:bCs/>
                <w:szCs w:val="24"/>
              </w:rPr>
              <w:t>0</w:t>
            </w:r>
          </w:p>
        </w:tc>
        <w:tc>
          <w:tcPr>
            <w:tcW w:w="1041" w:type="dxa"/>
            <w:tcBorders>
              <w:top w:val="single" w:sz="4" w:space="0" w:color="auto"/>
              <w:bottom w:val="single" w:sz="4" w:space="0" w:color="auto"/>
            </w:tcBorders>
          </w:tcPr>
          <w:p w14:paraId="6CD7E6BE" w14:textId="77777777" w:rsidR="00CF0E2D" w:rsidRPr="00CB5E52" w:rsidRDefault="00CF0E2D" w:rsidP="00A60D4B">
            <w:pPr>
              <w:pStyle w:val="InitFigR"/>
              <w:rPr>
                <w:b/>
                <w:bCs/>
                <w:szCs w:val="24"/>
              </w:rPr>
            </w:pPr>
            <w:r w:rsidRPr="00CB5E52">
              <w:rPr>
                <w:b/>
                <w:bCs/>
                <w:szCs w:val="24"/>
              </w:rPr>
              <w:t>0</w:t>
            </w:r>
          </w:p>
        </w:tc>
        <w:tc>
          <w:tcPr>
            <w:tcW w:w="1029" w:type="dxa"/>
            <w:tcBorders>
              <w:top w:val="single" w:sz="4" w:space="0" w:color="auto"/>
              <w:bottom w:val="single" w:sz="4" w:space="0" w:color="auto"/>
            </w:tcBorders>
          </w:tcPr>
          <w:p w14:paraId="31BBED4D" w14:textId="77777777" w:rsidR="00CF0E2D" w:rsidRPr="00CB5E52" w:rsidRDefault="00CF0E2D" w:rsidP="00A60D4B">
            <w:pPr>
              <w:pStyle w:val="InitFigR"/>
              <w:rPr>
                <w:b/>
                <w:bCs/>
                <w:szCs w:val="24"/>
              </w:rPr>
            </w:pPr>
            <w:r w:rsidRPr="00CB5E52">
              <w:rPr>
                <w:b/>
                <w:bCs/>
                <w:szCs w:val="24"/>
              </w:rPr>
              <w:t>0</w:t>
            </w:r>
          </w:p>
        </w:tc>
        <w:tc>
          <w:tcPr>
            <w:tcW w:w="1029" w:type="dxa"/>
            <w:tcBorders>
              <w:top w:val="single" w:sz="4" w:space="0" w:color="auto"/>
              <w:bottom w:val="single" w:sz="4" w:space="0" w:color="auto"/>
            </w:tcBorders>
          </w:tcPr>
          <w:p w14:paraId="118B7A91" w14:textId="77777777" w:rsidR="00CF0E2D" w:rsidRPr="00CB5E52" w:rsidRDefault="00CF0E2D" w:rsidP="00A60D4B">
            <w:pPr>
              <w:pStyle w:val="InitFigR"/>
              <w:rPr>
                <w:b/>
                <w:bCs/>
                <w:szCs w:val="24"/>
              </w:rPr>
            </w:pPr>
            <w:r w:rsidRPr="00CB5E52">
              <w:rPr>
                <w:b/>
                <w:bCs/>
                <w:szCs w:val="24"/>
              </w:rPr>
              <w:t>0</w:t>
            </w:r>
          </w:p>
        </w:tc>
        <w:tc>
          <w:tcPr>
            <w:tcW w:w="1029" w:type="dxa"/>
            <w:tcBorders>
              <w:top w:val="single" w:sz="4" w:space="0" w:color="auto"/>
              <w:bottom w:val="single" w:sz="4" w:space="0" w:color="auto"/>
            </w:tcBorders>
          </w:tcPr>
          <w:p w14:paraId="2EE9CD1E" w14:textId="77777777" w:rsidR="00CF0E2D" w:rsidRPr="00CB5E52" w:rsidRDefault="00CF0E2D" w:rsidP="00A60D4B">
            <w:pPr>
              <w:pStyle w:val="InitFigR"/>
              <w:rPr>
                <w:b/>
                <w:bCs/>
                <w:szCs w:val="24"/>
              </w:rPr>
            </w:pPr>
            <w:r w:rsidRPr="00CB5E52">
              <w:rPr>
                <w:b/>
                <w:bCs/>
                <w:szCs w:val="24"/>
              </w:rPr>
              <w:t>0</w:t>
            </w:r>
          </w:p>
        </w:tc>
      </w:tr>
    </w:tbl>
    <w:p w14:paraId="63E7C594" w14:textId="77777777" w:rsidR="00CF0E2D" w:rsidRPr="002C6072" w:rsidRDefault="00CF0E2D" w:rsidP="00A60D4B">
      <w:pPr>
        <w:pStyle w:val="Bbodytext"/>
        <w:keepNext/>
        <w:keepLines/>
        <w:rPr>
          <w:rFonts w:ascii="Calibri" w:eastAsia="Times New Roman" w:hAnsi="Calibri" w:cs="Times New Roman"/>
          <w:szCs w:val="24"/>
        </w:rPr>
      </w:pPr>
      <w:r w:rsidRPr="002C6072">
        <w:t>The Future Jobs Fund was established in 2020-21 to support the recovery of the economy and jobs from the COVID-19 pandemic. The Government will expand the Future Jobs Fu</w:t>
      </w:r>
      <w:r w:rsidRPr="002C6072">
        <w:rPr>
          <w:rFonts w:ascii="Calibri" w:eastAsia="Times New Roman" w:hAnsi="Calibri" w:cs="Times New Roman"/>
          <w:szCs w:val="24"/>
        </w:rPr>
        <w:t>nd to provide grants to the higher education and research sector to create and sustain jobs in growth industries. We will also support the establishment of the Canberra</w:t>
      </w:r>
      <w:r>
        <w:rPr>
          <w:rFonts w:ascii="Calibri" w:eastAsia="Times New Roman" w:hAnsi="Calibri" w:cs="Times New Roman"/>
          <w:szCs w:val="24"/>
        </w:rPr>
        <w:t xml:space="preserve"> </w:t>
      </w:r>
      <w:r w:rsidRPr="002C6072">
        <w:rPr>
          <w:rFonts w:ascii="Calibri" w:eastAsia="Times New Roman" w:hAnsi="Calibri" w:cs="Times New Roman"/>
          <w:szCs w:val="24"/>
        </w:rPr>
        <w:t xml:space="preserve">Cyber Hub. </w:t>
      </w:r>
    </w:p>
    <w:p w14:paraId="4D93A771" w14:textId="77777777" w:rsidR="00CF0E2D" w:rsidRDefault="00CF0E2D" w:rsidP="00A60D4B">
      <w:pPr>
        <w:pStyle w:val="Bbodytext"/>
      </w:pPr>
      <w:r w:rsidRPr="002C6072">
        <w:t xml:space="preserve">This initiative contributes to the wellbeing domain of Economy. </w:t>
      </w:r>
    </w:p>
    <w:p w14:paraId="348B6A60" w14:textId="77777777" w:rsidR="00CF0E2D" w:rsidRDefault="00CF0E2D" w:rsidP="00A60D4B">
      <w:pPr>
        <w:pStyle w:val="Bbodytext"/>
        <w:rPr>
          <w:rFonts w:ascii="Calibri" w:eastAsia="Times New Roman" w:hAnsi="Calibri" w:cs="Times New Roman"/>
          <w:szCs w:val="24"/>
        </w:rPr>
      </w:pPr>
    </w:p>
    <w:p w14:paraId="637CB3EC" w14:textId="77777777" w:rsidR="00CF0E2D" w:rsidRDefault="00CF0E2D" w:rsidP="00A60D4B">
      <w:pPr>
        <w:keepNext/>
        <w:keepLines/>
      </w:pPr>
      <w:r>
        <w:rPr>
          <w:b/>
          <w:bCs/>
          <w:sz w:val="28"/>
          <w:szCs w:val="26"/>
        </w:rPr>
        <w:t xml:space="preserve">Maintaining accountability and transparency of government </w:t>
      </w:r>
      <w:r>
        <w:rPr>
          <w:rFonts w:ascii="Calibri" w:eastAsiaTheme="majorEastAsia" w:hAnsi="Calibri" w:cstheme="majorBidi"/>
          <w:b/>
          <w:noProof/>
          <w:color w:val="999789"/>
          <w:sz w:val="32"/>
          <w:szCs w:val="24"/>
        </w:rPr>
        <w:drawing>
          <wp:anchor distT="0" distB="0" distL="114300" distR="114300" simplePos="0" relativeHeight="251756544" behindDoc="0" locked="1" layoutInCell="1" allowOverlap="1" wp14:anchorId="77E693F6" wp14:editId="63C747CA">
            <wp:simplePos x="0" y="0"/>
            <wp:positionH relativeFrom="margin">
              <wp:align>right</wp:align>
            </wp:positionH>
            <wp:positionV relativeFrom="paragraph">
              <wp:posOffset>54610</wp:posOffset>
            </wp:positionV>
            <wp:extent cx="1421765" cy="503555"/>
            <wp:effectExtent l="0" t="0" r="6985" b="0"/>
            <wp:wrapSquare wrapText="bothSides"/>
            <wp:docPr id="269" name="Picture 269" descr="Icon representing the wellbeing domain of Governance and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con representing the wellbeing domain of Governance and institutions"/>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217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5" w:type="dxa"/>
        <w:jc w:val="center"/>
        <w:tblLayout w:type="fixed"/>
        <w:tblLook w:val="04A0" w:firstRow="1" w:lastRow="0" w:firstColumn="1" w:lastColumn="0" w:noHBand="0" w:noVBand="1"/>
      </w:tblPr>
      <w:tblGrid>
        <w:gridCol w:w="3683"/>
        <w:gridCol w:w="1144"/>
        <w:gridCol w:w="1041"/>
        <w:gridCol w:w="1029"/>
        <w:gridCol w:w="1029"/>
        <w:gridCol w:w="1029"/>
      </w:tblGrid>
      <w:tr w:rsidR="00CF0E2D" w14:paraId="4EF4D3D9" w14:textId="77777777" w:rsidTr="00A60D4B">
        <w:trPr>
          <w:cantSplit/>
          <w:jc w:val="center"/>
        </w:trPr>
        <w:tc>
          <w:tcPr>
            <w:tcW w:w="3686" w:type="dxa"/>
            <w:tcBorders>
              <w:top w:val="single" w:sz="4" w:space="0" w:color="auto"/>
              <w:left w:val="nil"/>
              <w:bottom w:val="single" w:sz="4" w:space="0" w:color="auto"/>
              <w:right w:val="nil"/>
            </w:tcBorders>
            <w:hideMark/>
          </w:tcPr>
          <w:p w14:paraId="420F56C7" w14:textId="77777777" w:rsidR="00CF0E2D" w:rsidRDefault="00CF0E2D">
            <w:pPr>
              <w:pStyle w:val="EmptyCell0"/>
              <w:spacing w:line="256" w:lineRule="auto"/>
            </w:pPr>
            <w:r>
              <w:t>Empty Cell</w:t>
            </w:r>
          </w:p>
        </w:tc>
        <w:tc>
          <w:tcPr>
            <w:tcW w:w="1145" w:type="dxa"/>
            <w:tcBorders>
              <w:top w:val="single" w:sz="4" w:space="0" w:color="auto"/>
              <w:left w:val="nil"/>
              <w:bottom w:val="single" w:sz="4" w:space="0" w:color="auto"/>
              <w:right w:val="nil"/>
            </w:tcBorders>
            <w:hideMark/>
          </w:tcPr>
          <w:p w14:paraId="6180D54D" w14:textId="77777777" w:rsidR="00CF0E2D" w:rsidRDefault="00CF0E2D">
            <w:pPr>
              <w:pStyle w:val="InitFigR"/>
              <w:spacing w:line="256" w:lineRule="auto"/>
              <w:rPr>
                <w:b/>
                <w:bCs/>
              </w:rPr>
            </w:pPr>
            <w:r>
              <w:rPr>
                <w:b/>
                <w:bCs/>
              </w:rPr>
              <w:t>2021-22</w:t>
            </w:r>
          </w:p>
          <w:p w14:paraId="2683CFFA" w14:textId="77777777" w:rsidR="00CF0E2D" w:rsidRDefault="00CF0E2D">
            <w:pPr>
              <w:pStyle w:val="InitFigR"/>
              <w:spacing w:line="256" w:lineRule="auto"/>
              <w:rPr>
                <w:b/>
                <w:bCs/>
              </w:rPr>
            </w:pPr>
            <w:r>
              <w:rPr>
                <w:b/>
                <w:bCs/>
              </w:rPr>
              <w:t>$’000</w:t>
            </w:r>
          </w:p>
        </w:tc>
        <w:tc>
          <w:tcPr>
            <w:tcW w:w="1041" w:type="dxa"/>
            <w:tcBorders>
              <w:top w:val="single" w:sz="4" w:space="0" w:color="auto"/>
              <w:left w:val="nil"/>
              <w:bottom w:val="single" w:sz="4" w:space="0" w:color="auto"/>
              <w:right w:val="nil"/>
            </w:tcBorders>
            <w:hideMark/>
          </w:tcPr>
          <w:p w14:paraId="29CE7DF7" w14:textId="77777777" w:rsidR="00CF0E2D" w:rsidRDefault="00CF0E2D">
            <w:pPr>
              <w:pStyle w:val="InitFigR"/>
              <w:spacing w:line="256" w:lineRule="auto"/>
              <w:rPr>
                <w:b/>
                <w:bCs/>
              </w:rPr>
            </w:pPr>
            <w:r>
              <w:rPr>
                <w:b/>
                <w:bCs/>
              </w:rPr>
              <w:t>2022-23</w:t>
            </w:r>
          </w:p>
          <w:p w14:paraId="71C345E4" w14:textId="77777777" w:rsidR="00CF0E2D" w:rsidRDefault="00CF0E2D">
            <w:pPr>
              <w:pStyle w:val="InitFigR"/>
              <w:spacing w:line="256" w:lineRule="auto"/>
              <w:rPr>
                <w:b/>
                <w:bCs/>
              </w:rPr>
            </w:pPr>
            <w:r>
              <w:rPr>
                <w:b/>
                <w:bCs/>
              </w:rPr>
              <w:t>$’000</w:t>
            </w:r>
          </w:p>
        </w:tc>
        <w:tc>
          <w:tcPr>
            <w:tcW w:w="1029" w:type="dxa"/>
            <w:tcBorders>
              <w:top w:val="single" w:sz="4" w:space="0" w:color="auto"/>
              <w:left w:val="nil"/>
              <w:bottom w:val="single" w:sz="4" w:space="0" w:color="auto"/>
              <w:right w:val="nil"/>
            </w:tcBorders>
            <w:hideMark/>
          </w:tcPr>
          <w:p w14:paraId="6B5D41DF" w14:textId="77777777" w:rsidR="00CF0E2D" w:rsidRDefault="00CF0E2D">
            <w:pPr>
              <w:pStyle w:val="InitFigR"/>
              <w:spacing w:line="256" w:lineRule="auto"/>
              <w:rPr>
                <w:b/>
                <w:bCs/>
              </w:rPr>
            </w:pPr>
            <w:r>
              <w:rPr>
                <w:b/>
                <w:bCs/>
              </w:rPr>
              <w:t>2023-24</w:t>
            </w:r>
          </w:p>
          <w:p w14:paraId="73B50690" w14:textId="77777777" w:rsidR="00CF0E2D" w:rsidRDefault="00CF0E2D">
            <w:pPr>
              <w:pStyle w:val="InitFigR"/>
              <w:spacing w:line="256" w:lineRule="auto"/>
              <w:rPr>
                <w:b/>
                <w:bCs/>
              </w:rPr>
            </w:pPr>
            <w:r>
              <w:rPr>
                <w:b/>
                <w:bCs/>
              </w:rPr>
              <w:t>$’000</w:t>
            </w:r>
          </w:p>
        </w:tc>
        <w:tc>
          <w:tcPr>
            <w:tcW w:w="1029" w:type="dxa"/>
            <w:tcBorders>
              <w:top w:val="single" w:sz="4" w:space="0" w:color="auto"/>
              <w:left w:val="nil"/>
              <w:bottom w:val="single" w:sz="4" w:space="0" w:color="auto"/>
              <w:right w:val="nil"/>
            </w:tcBorders>
            <w:hideMark/>
          </w:tcPr>
          <w:p w14:paraId="02C9BA94" w14:textId="77777777" w:rsidR="00CF0E2D" w:rsidRDefault="00CF0E2D">
            <w:pPr>
              <w:pStyle w:val="InitFigR"/>
              <w:spacing w:line="256" w:lineRule="auto"/>
              <w:rPr>
                <w:b/>
                <w:bCs/>
              </w:rPr>
            </w:pPr>
            <w:r>
              <w:rPr>
                <w:b/>
                <w:bCs/>
              </w:rPr>
              <w:t>2024-25</w:t>
            </w:r>
          </w:p>
          <w:p w14:paraId="10076169" w14:textId="77777777" w:rsidR="00CF0E2D" w:rsidRDefault="00CF0E2D">
            <w:pPr>
              <w:pStyle w:val="InitFigR"/>
              <w:spacing w:line="256" w:lineRule="auto"/>
              <w:rPr>
                <w:b/>
                <w:bCs/>
              </w:rPr>
            </w:pPr>
            <w:r>
              <w:rPr>
                <w:b/>
                <w:bCs/>
              </w:rPr>
              <w:t>$’000</w:t>
            </w:r>
          </w:p>
        </w:tc>
        <w:tc>
          <w:tcPr>
            <w:tcW w:w="1029" w:type="dxa"/>
            <w:tcBorders>
              <w:top w:val="single" w:sz="4" w:space="0" w:color="auto"/>
              <w:left w:val="nil"/>
              <w:bottom w:val="single" w:sz="4" w:space="0" w:color="auto"/>
              <w:right w:val="nil"/>
            </w:tcBorders>
            <w:hideMark/>
          </w:tcPr>
          <w:p w14:paraId="0630C1FB" w14:textId="77777777" w:rsidR="00CF0E2D" w:rsidRDefault="00CF0E2D">
            <w:pPr>
              <w:pStyle w:val="InitFigRBold"/>
              <w:spacing w:line="256" w:lineRule="auto"/>
            </w:pPr>
            <w:r>
              <w:t>Total</w:t>
            </w:r>
          </w:p>
          <w:p w14:paraId="178E7395" w14:textId="77777777" w:rsidR="00CF0E2D" w:rsidRDefault="00CF0E2D">
            <w:pPr>
              <w:pStyle w:val="InitFigBR"/>
              <w:spacing w:line="256" w:lineRule="auto"/>
            </w:pPr>
            <w:r>
              <w:t>$’000</w:t>
            </w:r>
          </w:p>
        </w:tc>
      </w:tr>
      <w:tr w:rsidR="00CF0E2D" w14:paraId="06903DBE" w14:textId="77777777" w:rsidTr="00A60D4B">
        <w:trPr>
          <w:cantSplit/>
          <w:jc w:val="center"/>
        </w:trPr>
        <w:tc>
          <w:tcPr>
            <w:tcW w:w="3686" w:type="dxa"/>
            <w:tcBorders>
              <w:top w:val="single" w:sz="4" w:space="0" w:color="auto"/>
              <w:left w:val="nil"/>
              <w:bottom w:val="nil"/>
              <w:right w:val="nil"/>
            </w:tcBorders>
            <w:hideMark/>
          </w:tcPr>
          <w:p w14:paraId="217018EE" w14:textId="77777777" w:rsidR="00CF0E2D" w:rsidRDefault="00CF0E2D">
            <w:pPr>
              <w:pStyle w:val="InitTextL"/>
              <w:spacing w:line="256" w:lineRule="auto"/>
              <w:ind w:left="321" w:hanging="321"/>
            </w:pPr>
            <w:r>
              <w:t>Capital – ACT Integrity Commission</w:t>
            </w:r>
          </w:p>
        </w:tc>
        <w:tc>
          <w:tcPr>
            <w:tcW w:w="1145" w:type="dxa"/>
            <w:tcBorders>
              <w:top w:val="single" w:sz="4" w:space="0" w:color="auto"/>
              <w:left w:val="nil"/>
              <w:bottom w:val="nil"/>
              <w:right w:val="nil"/>
            </w:tcBorders>
            <w:hideMark/>
          </w:tcPr>
          <w:p w14:paraId="647927EB" w14:textId="77777777" w:rsidR="00CF0E2D" w:rsidRDefault="00CF0E2D">
            <w:pPr>
              <w:pStyle w:val="InitFigR"/>
              <w:spacing w:line="256" w:lineRule="auto"/>
            </w:pPr>
            <w:r>
              <w:t>390</w:t>
            </w:r>
          </w:p>
        </w:tc>
        <w:tc>
          <w:tcPr>
            <w:tcW w:w="1041" w:type="dxa"/>
            <w:tcBorders>
              <w:top w:val="single" w:sz="4" w:space="0" w:color="auto"/>
              <w:left w:val="nil"/>
              <w:bottom w:val="nil"/>
              <w:right w:val="nil"/>
            </w:tcBorders>
            <w:hideMark/>
          </w:tcPr>
          <w:p w14:paraId="16FD4AD3" w14:textId="77777777" w:rsidR="00CF0E2D" w:rsidRDefault="00CF0E2D">
            <w:pPr>
              <w:pStyle w:val="InitFigR"/>
              <w:spacing w:line="256" w:lineRule="auto"/>
            </w:pPr>
            <w:r>
              <w:t>731</w:t>
            </w:r>
          </w:p>
        </w:tc>
        <w:tc>
          <w:tcPr>
            <w:tcW w:w="1029" w:type="dxa"/>
            <w:tcBorders>
              <w:top w:val="single" w:sz="4" w:space="0" w:color="auto"/>
              <w:left w:val="nil"/>
              <w:bottom w:val="nil"/>
              <w:right w:val="nil"/>
            </w:tcBorders>
            <w:hideMark/>
          </w:tcPr>
          <w:p w14:paraId="0E2C3C13" w14:textId="77777777" w:rsidR="00CF0E2D" w:rsidRDefault="00CF0E2D">
            <w:pPr>
              <w:pStyle w:val="InitFigR"/>
              <w:spacing w:line="256" w:lineRule="auto"/>
            </w:pPr>
            <w:r>
              <w:t>0</w:t>
            </w:r>
          </w:p>
        </w:tc>
        <w:tc>
          <w:tcPr>
            <w:tcW w:w="1029" w:type="dxa"/>
            <w:tcBorders>
              <w:top w:val="single" w:sz="4" w:space="0" w:color="auto"/>
              <w:left w:val="nil"/>
              <w:bottom w:val="nil"/>
              <w:right w:val="nil"/>
            </w:tcBorders>
            <w:hideMark/>
          </w:tcPr>
          <w:p w14:paraId="520959F3" w14:textId="77777777" w:rsidR="00CF0E2D" w:rsidRDefault="00CF0E2D">
            <w:pPr>
              <w:pStyle w:val="InitFigR"/>
              <w:spacing w:line="256" w:lineRule="auto"/>
            </w:pPr>
            <w:r>
              <w:t>0</w:t>
            </w:r>
          </w:p>
        </w:tc>
        <w:tc>
          <w:tcPr>
            <w:tcW w:w="1029" w:type="dxa"/>
            <w:tcBorders>
              <w:top w:val="single" w:sz="4" w:space="0" w:color="auto"/>
              <w:left w:val="nil"/>
              <w:bottom w:val="nil"/>
              <w:right w:val="nil"/>
            </w:tcBorders>
            <w:hideMark/>
          </w:tcPr>
          <w:p w14:paraId="4BCCB032" w14:textId="77777777" w:rsidR="00CF0E2D" w:rsidRDefault="00CF0E2D">
            <w:pPr>
              <w:pStyle w:val="InitFigRBold"/>
              <w:spacing w:line="256" w:lineRule="auto"/>
            </w:pPr>
            <w:r>
              <w:t>1,121</w:t>
            </w:r>
          </w:p>
        </w:tc>
      </w:tr>
      <w:tr w:rsidR="00CF0E2D" w14:paraId="681ADA05" w14:textId="77777777" w:rsidTr="00A60D4B">
        <w:trPr>
          <w:cantSplit/>
          <w:jc w:val="center"/>
        </w:trPr>
        <w:tc>
          <w:tcPr>
            <w:tcW w:w="3686" w:type="dxa"/>
            <w:tcBorders>
              <w:top w:val="single" w:sz="4" w:space="0" w:color="auto"/>
              <w:left w:val="nil"/>
              <w:bottom w:val="nil"/>
              <w:right w:val="nil"/>
            </w:tcBorders>
            <w:hideMark/>
          </w:tcPr>
          <w:p w14:paraId="669D51C0" w14:textId="77777777" w:rsidR="00CF0E2D" w:rsidRDefault="00CF0E2D">
            <w:pPr>
              <w:pStyle w:val="InitTextL"/>
              <w:spacing w:line="256" w:lineRule="auto"/>
              <w:ind w:left="321" w:hanging="321"/>
            </w:pPr>
            <w:r>
              <w:t>Depreciation – ACT Integrity Commission</w:t>
            </w:r>
          </w:p>
        </w:tc>
        <w:tc>
          <w:tcPr>
            <w:tcW w:w="1145" w:type="dxa"/>
            <w:tcBorders>
              <w:top w:val="single" w:sz="4" w:space="0" w:color="auto"/>
              <w:left w:val="nil"/>
              <w:bottom w:val="nil"/>
              <w:right w:val="nil"/>
            </w:tcBorders>
            <w:hideMark/>
          </w:tcPr>
          <w:p w14:paraId="3C5627A4" w14:textId="77777777" w:rsidR="00CF0E2D" w:rsidRDefault="00CF0E2D">
            <w:pPr>
              <w:pStyle w:val="InitFigR"/>
              <w:spacing w:line="256" w:lineRule="auto"/>
            </w:pPr>
            <w:r>
              <w:t>11</w:t>
            </w:r>
          </w:p>
        </w:tc>
        <w:tc>
          <w:tcPr>
            <w:tcW w:w="1041" w:type="dxa"/>
            <w:tcBorders>
              <w:top w:val="single" w:sz="4" w:space="0" w:color="auto"/>
              <w:left w:val="nil"/>
              <w:bottom w:val="nil"/>
              <w:right w:val="nil"/>
            </w:tcBorders>
            <w:hideMark/>
          </w:tcPr>
          <w:p w14:paraId="503B7FD7" w14:textId="77777777" w:rsidR="00CF0E2D" w:rsidRDefault="00CF0E2D">
            <w:pPr>
              <w:pStyle w:val="InitFigR"/>
              <w:spacing w:line="256" w:lineRule="auto"/>
            </w:pPr>
            <w:r>
              <w:t>123</w:t>
            </w:r>
          </w:p>
        </w:tc>
        <w:tc>
          <w:tcPr>
            <w:tcW w:w="1029" w:type="dxa"/>
            <w:tcBorders>
              <w:top w:val="single" w:sz="4" w:space="0" w:color="auto"/>
              <w:left w:val="nil"/>
              <w:bottom w:val="nil"/>
              <w:right w:val="nil"/>
            </w:tcBorders>
            <w:hideMark/>
          </w:tcPr>
          <w:p w14:paraId="15A43CF7" w14:textId="77777777" w:rsidR="00CF0E2D" w:rsidRDefault="00CF0E2D">
            <w:pPr>
              <w:pStyle w:val="InitFigR"/>
              <w:spacing w:line="256" w:lineRule="auto"/>
            </w:pPr>
            <w:r>
              <w:t>224</w:t>
            </w:r>
          </w:p>
        </w:tc>
        <w:tc>
          <w:tcPr>
            <w:tcW w:w="1029" w:type="dxa"/>
            <w:tcBorders>
              <w:top w:val="single" w:sz="4" w:space="0" w:color="auto"/>
              <w:left w:val="nil"/>
              <w:bottom w:val="nil"/>
              <w:right w:val="nil"/>
            </w:tcBorders>
            <w:hideMark/>
          </w:tcPr>
          <w:p w14:paraId="58C38BBF" w14:textId="77777777" w:rsidR="00CF0E2D" w:rsidRDefault="00CF0E2D">
            <w:pPr>
              <w:pStyle w:val="InitFigR"/>
              <w:spacing w:line="256" w:lineRule="auto"/>
            </w:pPr>
            <w:r>
              <w:t>224</w:t>
            </w:r>
          </w:p>
        </w:tc>
        <w:tc>
          <w:tcPr>
            <w:tcW w:w="1029" w:type="dxa"/>
            <w:tcBorders>
              <w:top w:val="single" w:sz="4" w:space="0" w:color="auto"/>
              <w:left w:val="nil"/>
              <w:bottom w:val="nil"/>
              <w:right w:val="nil"/>
            </w:tcBorders>
            <w:hideMark/>
          </w:tcPr>
          <w:p w14:paraId="60D50B2E" w14:textId="77777777" w:rsidR="00CF0E2D" w:rsidRDefault="00CF0E2D">
            <w:pPr>
              <w:pStyle w:val="InitFigRBold"/>
              <w:spacing w:line="256" w:lineRule="auto"/>
            </w:pPr>
            <w:r>
              <w:t>582</w:t>
            </w:r>
          </w:p>
        </w:tc>
      </w:tr>
      <w:tr w:rsidR="00CF0E2D" w14:paraId="59AB55CA" w14:textId="77777777" w:rsidTr="00A60D4B">
        <w:trPr>
          <w:cantSplit/>
          <w:jc w:val="center"/>
        </w:trPr>
        <w:tc>
          <w:tcPr>
            <w:tcW w:w="3686" w:type="dxa"/>
            <w:hideMark/>
          </w:tcPr>
          <w:p w14:paraId="692AEAC0" w14:textId="77777777" w:rsidR="00CF0E2D" w:rsidRDefault="00CF0E2D">
            <w:pPr>
              <w:pStyle w:val="InitTextL"/>
              <w:spacing w:line="256" w:lineRule="auto"/>
              <w:ind w:left="321" w:hanging="321"/>
            </w:pPr>
            <w:r>
              <w:t>Expenses – ACT Integrity Commission</w:t>
            </w:r>
          </w:p>
        </w:tc>
        <w:tc>
          <w:tcPr>
            <w:tcW w:w="1145" w:type="dxa"/>
            <w:hideMark/>
          </w:tcPr>
          <w:p w14:paraId="2E7CA809" w14:textId="77777777" w:rsidR="00CF0E2D" w:rsidRDefault="00CF0E2D">
            <w:pPr>
              <w:pStyle w:val="InitFigR"/>
              <w:spacing w:line="256" w:lineRule="auto"/>
            </w:pPr>
            <w:r>
              <w:t>1,865</w:t>
            </w:r>
          </w:p>
        </w:tc>
        <w:tc>
          <w:tcPr>
            <w:tcW w:w="1041" w:type="dxa"/>
            <w:hideMark/>
          </w:tcPr>
          <w:p w14:paraId="7F472467" w14:textId="77777777" w:rsidR="00CF0E2D" w:rsidRDefault="00CF0E2D">
            <w:pPr>
              <w:pStyle w:val="InitFigR"/>
              <w:spacing w:line="256" w:lineRule="auto"/>
            </w:pPr>
            <w:r>
              <w:t>2,059</w:t>
            </w:r>
          </w:p>
        </w:tc>
        <w:tc>
          <w:tcPr>
            <w:tcW w:w="1029" w:type="dxa"/>
            <w:hideMark/>
          </w:tcPr>
          <w:p w14:paraId="674C7A07" w14:textId="77777777" w:rsidR="00CF0E2D" w:rsidRDefault="00CF0E2D">
            <w:pPr>
              <w:pStyle w:val="InitFigR"/>
              <w:spacing w:line="256" w:lineRule="auto"/>
            </w:pPr>
            <w:r>
              <w:t>2,087</w:t>
            </w:r>
          </w:p>
        </w:tc>
        <w:tc>
          <w:tcPr>
            <w:tcW w:w="1029" w:type="dxa"/>
            <w:hideMark/>
          </w:tcPr>
          <w:p w14:paraId="7BF24D0F" w14:textId="77777777" w:rsidR="00CF0E2D" w:rsidRDefault="00CF0E2D">
            <w:pPr>
              <w:pStyle w:val="InitFigR"/>
              <w:spacing w:line="256" w:lineRule="auto"/>
            </w:pPr>
            <w:r>
              <w:t>2,116</w:t>
            </w:r>
          </w:p>
        </w:tc>
        <w:tc>
          <w:tcPr>
            <w:tcW w:w="1029" w:type="dxa"/>
            <w:hideMark/>
          </w:tcPr>
          <w:p w14:paraId="19833595" w14:textId="77777777" w:rsidR="00CF0E2D" w:rsidRDefault="00CF0E2D">
            <w:pPr>
              <w:pStyle w:val="InitFigRBold"/>
              <w:spacing w:line="256" w:lineRule="auto"/>
            </w:pPr>
            <w:r>
              <w:t>8,127</w:t>
            </w:r>
          </w:p>
        </w:tc>
      </w:tr>
      <w:tr w:rsidR="00CF0E2D" w14:paraId="4BABD996" w14:textId="77777777" w:rsidTr="00A60D4B">
        <w:trPr>
          <w:cantSplit/>
          <w:jc w:val="center"/>
        </w:trPr>
        <w:tc>
          <w:tcPr>
            <w:tcW w:w="3686" w:type="dxa"/>
            <w:hideMark/>
          </w:tcPr>
          <w:p w14:paraId="1D071D39" w14:textId="77777777" w:rsidR="00CF0E2D" w:rsidRDefault="00CF0E2D">
            <w:pPr>
              <w:pStyle w:val="InitTextL"/>
              <w:spacing w:line="256" w:lineRule="auto"/>
              <w:ind w:left="321" w:hanging="321"/>
            </w:pPr>
            <w:r>
              <w:t>Expenses – Auditor-General</w:t>
            </w:r>
          </w:p>
        </w:tc>
        <w:tc>
          <w:tcPr>
            <w:tcW w:w="1145" w:type="dxa"/>
            <w:hideMark/>
          </w:tcPr>
          <w:p w14:paraId="34F8CA55" w14:textId="77777777" w:rsidR="00CF0E2D" w:rsidRDefault="00CF0E2D">
            <w:pPr>
              <w:pStyle w:val="InitFigR"/>
              <w:spacing w:line="256" w:lineRule="auto"/>
            </w:pPr>
            <w:r>
              <w:t>500</w:t>
            </w:r>
          </w:p>
        </w:tc>
        <w:tc>
          <w:tcPr>
            <w:tcW w:w="1041" w:type="dxa"/>
            <w:hideMark/>
          </w:tcPr>
          <w:p w14:paraId="4776E250" w14:textId="77777777" w:rsidR="00CF0E2D" w:rsidRDefault="00CF0E2D">
            <w:pPr>
              <w:pStyle w:val="InitFigR"/>
              <w:spacing w:line="256" w:lineRule="auto"/>
            </w:pPr>
            <w:r>
              <w:t>572</w:t>
            </w:r>
          </w:p>
        </w:tc>
        <w:tc>
          <w:tcPr>
            <w:tcW w:w="1029" w:type="dxa"/>
            <w:hideMark/>
          </w:tcPr>
          <w:p w14:paraId="36D5032F" w14:textId="77777777" w:rsidR="00CF0E2D" w:rsidRDefault="00CF0E2D">
            <w:pPr>
              <w:pStyle w:val="InitFigR"/>
              <w:spacing w:line="256" w:lineRule="auto"/>
            </w:pPr>
            <w:r>
              <w:t>572</w:t>
            </w:r>
          </w:p>
        </w:tc>
        <w:tc>
          <w:tcPr>
            <w:tcW w:w="1029" w:type="dxa"/>
            <w:hideMark/>
          </w:tcPr>
          <w:p w14:paraId="24E80009" w14:textId="77777777" w:rsidR="00CF0E2D" w:rsidRDefault="00CF0E2D">
            <w:pPr>
              <w:pStyle w:val="InitFigR"/>
              <w:spacing w:line="256" w:lineRule="auto"/>
            </w:pPr>
            <w:r>
              <w:t>572</w:t>
            </w:r>
          </w:p>
        </w:tc>
        <w:tc>
          <w:tcPr>
            <w:tcW w:w="1029" w:type="dxa"/>
            <w:hideMark/>
          </w:tcPr>
          <w:p w14:paraId="73562A90" w14:textId="77777777" w:rsidR="00CF0E2D" w:rsidRDefault="00CF0E2D">
            <w:pPr>
              <w:pStyle w:val="InitFigRBold"/>
              <w:spacing w:line="256" w:lineRule="auto"/>
            </w:pPr>
            <w:r>
              <w:t>2,216</w:t>
            </w:r>
          </w:p>
        </w:tc>
      </w:tr>
      <w:tr w:rsidR="00CF0E2D" w14:paraId="01BE3416" w14:textId="77777777" w:rsidTr="00A60D4B">
        <w:trPr>
          <w:cantSplit/>
          <w:jc w:val="center"/>
        </w:trPr>
        <w:tc>
          <w:tcPr>
            <w:tcW w:w="3686" w:type="dxa"/>
            <w:hideMark/>
          </w:tcPr>
          <w:p w14:paraId="1AC73253" w14:textId="77777777" w:rsidR="00CF0E2D" w:rsidRDefault="00CF0E2D">
            <w:pPr>
              <w:pStyle w:val="InitTextL"/>
              <w:spacing w:line="256" w:lineRule="auto"/>
              <w:ind w:left="321" w:hanging="321"/>
            </w:pPr>
            <w:r>
              <w:t>Expenses – JACS</w:t>
            </w:r>
          </w:p>
        </w:tc>
        <w:tc>
          <w:tcPr>
            <w:tcW w:w="1145" w:type="dxa"/>
            <w:hideMark/>
          </w:tcPr>
          <w:p w14:paraId="66E26408" w14:textId="77777777" w:rsidR="00CF0E2D" w:rsidRDefault="00CF0E2D">
            <w:pPr>
              <w:pStyle w:val="InitFigR"/>
              <w:spacing w:line="256" w:lineRule="auto"/>
              <w:rPr>
                <w:b/>
                <w:bCs/>
              </w:rPr>
            </w:pPr>
            <w:r>
              <w:t>135</w:t>
            </w:r>
          </w:p>
        </w:tc>
        <w:tc>
          <w:tcPr>
            <w:tcW w:w="1041" w:type="dxa"/>
            <w:hideMark/>
          </w:tcPr>
          <w:p w14:paraId="1624647F" w14:textId="77777777" w:rsidR="00CF0E2D" w:rsidRDefault="00CF0E2D">
            <w:pPr>
              <w:pStyle w:val="InitFigR"/>
              <w:spacing w:line="256" w:lineRule="auto"/>
              <w:rPr>
                <w:b/>
                <w:bCs/>
              </w:rPr>
            </w:pPr>
            <w:r>
              <w:t>137</w:t>
            </w:r>
          </w:p>
        </w:tc>
        <w:tc>
          <w:tcPr>
            <w:tcW w:w="1029" w:type="dxa"/>
            <w:hideMark/>
          </w:tcPr>
          <w:p w14:paraId="0D300A98" w14:textId="77777777" w:rsidR="00CF0E2D" w:rsidRDefault="00CF0E2D">
            <w:pPr>
              <w:pStyle w:val="InitFigR"/>
              <w:spacing w:line="256" w:lineRule="auto"/>
              <w:rPr>
                <w:b/>
                <w:bCs/>
              </w:rPr>
            </w:pPr>
            <w:r>
              <w:t>0</w:t>
            </w:r>
          </w:p>
        </w:tc>
        <w:tc>
          <w:tcPr>
            <w:tcW w:w="1029" w:type="dxa"/>
            <w:hideMark/>
          </w:tcPr>
          <w:p w14:paraId="07133460" w14:textId="77777777" w:rsidR="00CF0E2D" w:rsidRDefault="00CF0E2D">
            <w:pPr>
              <w:pStyle w:val="InitFigR"/>
              <w:spacing w:line="256" w:lineRule="auto"/>
              <w:rPr>
                <w:b/>
                <w:bCs/>
              </w:rPr>
            </w:pPr>
            <w:r>
              <w:t>0</w:t>
            </w:r>
          </w:p>
        </w:tc>
        <w:tc>
          <w:tcPr>
            <w:tcW w:w="1029" w:type="dxa"/>
            <w:hideMark/>
          </w:tcPr>
          <w:p w14:paraId="06CD0179" w14:textId="77777777" w:rsidR="00CF0E2D" w:rsidRDefault="00CF0E2D">
            <w:pPr>
              <w:pStyle w:val="InitFigRBold"/>
              <w:spacing w:line="256" w:lineRule="auto"/>
            </w:pPr>
            <w:r>
              <w:t>272</w:t>
            </w:r>
          </w:p>
        </w:tc>
      </w:tr>
      <w:tr w:rsidR="00CF0E2D" w14:paraId="14D5B41B" w14:textId="77777777" w:rsidTr="00A60D4B">
        <w:trPr>
          <w:cantSplit/>
          <w:trHeight w:val="129"/>
          <w:jc w:val="center"/>
        </w:trPr>
        <w:tc>
          <w:tcPr>
            <w:tcW w:w="3686" w:type="dxa"/>
            <w:hideMark/>
          </w:tcPr>
          <w:p w14:paraId="78E0DB26" w14:textId="77777777" w:rsidR="00CF0E2D" w:rsidRDefault="00CF0E2D">
            <w:pPr>
              <w:pStyle w:val="InitTextL"/>
              <w:spacing w:line="256" w:lineRule="auto"/>
              <w:ind w:left="321" w:hanging="321"/>
            </w:pPr>
            <w:r>
              <w:t>Expenses – CMTEDD</w:t>
            </w:r>
          </w:p>
        </w:tc>
        <w:tc>
          <w:tcPr>
            <w:tcW w:w="1145" w:type="dxa"/>
            <w:hideMark/>
          </w:tcPr>
          <w:p w14:paraId="6544329F" w14:textId="77777777" w:rsidR="00CF0E2D" w:rsidRDefault="00CF0E2D">
            <w:pPr>
              <w:pStyle w:val="InitFigR"/>
              <w:spacing w:line="256" w:lineRule="auto"/>
            </w:pPr>
            <w:r>
              <w:t>4,759</w:t>
            </w:r>
          </w:p>
        </w:tc>
        <w:tc>
          <w:tcPr>
            <w:tcW w:w="1041" w:type="dxa"/>
            <w:hideMark/>
          </w:tcPr>
          <w:p w14:paraId="0456EB3C" w14:textId="77777777" w:rsidR="00CF0E2D" w:rsidRDefault="00CF0E2D">
            <w:pPr>
              <w:pStyle w:val="InitFigR"/>
              <w:spacing w:line="256" w:lineRule="auto"/>
            </w:pPr>
            <w:r>
              <w:t>4,830</w:t>
            </w:r>
          </w:p>
        </w:tc>
        <w:tc>
          <w:tcPr>
            <w:tcW w:w="1029" w:type="dxa"/>
            <w:hideMark/>
          </w:tcPr>
          <w:p w14:paraId="158B1EBD" w14:textId="77777777" w:rsidR="00CF0E2D" w:rsidRDefault="00CF0E2D">
            <w:pPr>
              <w:pStyle w:val="InitFigR"/>
              <w:spacing w:line="256" w:lineRule="auto"/>
            </w:pPr>
            <w:r>
              <w:t>4,763</w:t>
            </w:r>
          </w:p>
        </w:tc>
        <w:tc>
          <w:tcPr>
            <w:tcW w:w="1029" w:type="dxa"/>
            <w:hideMark/>
          </w:tcPr>
          <w:p w14:paraId="1526E625" w14:textId="77777777" w:rsidR="00CF0E2D" w:rsidRDefault="00CF0E2D">
            <w:pPr>
              <w:pStyle w:val="InitFigR"/>
              <w:spacing w:line="256" w:lineRule="auto"/>
            </w:pPr>
            <w:r>
              <w:t>4,858</w:t>
            </w:r>
          </w:p>
        </w:tc>
        <w:tc>
          <w:tcPr>
            <w:tcW w:w="1029" w:type="dxa"/>
            <w:hideMark/>
          </w:tcPr>
          <w:p w14:paraId="1057D6BC" w14:textId="77777777" w:rsidR="00CF0E2D" w:rsidRDefault="00CF0E2D">
            <w:pPr>
              <w:pStyle w:val="InitFigBR"/>
              <w:spacing w:line="256" w:lineRule="auto"/>
            </w:pPr>
            <w:r>
              <w:t>19,210</w:t>
            </w:r>
          </w:p>
        </w:tc>
      </w:tr>
      <w:tr w:rsidR="00CF0E2D" w14:paraId="746583BB" w14:textId="77777777" w:rsidTr="00A60D4B">
        <w:trPr>
          <w:cantSplit/>
          <w:trHeight w:val="129"/>
          <w:jc w:val="center"/>
        </w:trPr>
        <w:tc>
          <w:tcPr>
            <w:tcW w:w="3686" w:type="dxa"/>
            <w:hideMark/>
          </w:tcPr>
          <w:p w14:paraId="656B200F" w14:textId="77777777" w:rsidR="00CF0E2D" w:rsidRDefault="00CF0E2D">
            <w:pPr>
              <w:pStyle w:val="InitTextL"/>
              <w:spacing w:line="256" w:lineRule="auto"/>
              <w:ind w:left="321" w:hanging="321"/>
            </w:pPr>
            <w:r>
              <w:t>Expenses – CSD</w:t>
            </w:r>
          </w:p>
        </w:tc>
        <w:tc>
          <w:tcPr>
            <w:tcW w:w="1145" w:type="dxa"/>
            <w:hideMark/>
          </w:tcPr>
          <w:p w14:paraId="59B9DEC0" w14:textId="77777777" w:rsidR="00CF0E2D" w:rsidRDefault="00CF0E2D">
            <w:pPr>
              <w:pStyle w:val="InitFigR"/>
              <w:spacing w:line="256" w:lineRule="auto"/>
            </w:pPr>
            <w:r>
              <w:t>1,054</w:t>
            </w:r>
          </w:p>
        </w:tc>
        <w:tc>
          <w:tcPr>
            <w:tcW w:w="1041" w:type="dxa"/>
            <w:hideMark/>
          </w:tcPr>
          <w:p w14:paraId="4AA35CE4" w14:textId="77777777" w:rsidR="00CF0E2D" w:rsidRDefault="00CF0E2D">
            <w:pPr>
              <w:pStyle w:val="InitFigR"/>
              <w:spacing w:line="256" w:lineRule="auto"/>
            </w:pPr>
            <w:r>
              <w:t>1,068</w:t>
            </w:r>
          </w:p>
        </w:tc>
        <w:tc>
          <w:tcPr>
            <w:tcW w:w="1029" w:type="dxa"/>
            <w:hideMark/>
          </w:tcPr>
          <w:p w14:paraId="782F7B4E" w14:textId="77777777" w:rsidR="00CF0E2D" w:rsidRDefault="00CF0E2D">
            <w:pPr>
              <w:pStyle w:val="InitFigR"/>
              <w:spacing w:line="256" w:lineRule="auto"/>
            </w:pPr>
            <w:r>
              <w:t>0</w:t>
            </w:r>
          </w:p>
        </w:tc>
        <w:tc>
          <w:tcPr>
            <w:tcW w:w="1029" w:type="dxa"/>
            <w:hideMark/>
          </w:tcPr>
          <w:p w14:paraId="509A4F6E" w14:textId="77777777" w:rsidR="00CF0E2D" w:rsidRDefault="00CF0E2D">
            <w:pPr>
              <w:pStyle w:val="InitFigR"/>
              <w:spacing w:line="256" w:lineRule="auto"/>
            </w:pPr>
            <w:r>
              <w:t>0</w:t>
            </w:r>
          </w:p>
        </w:tc>
        <w:tc>
          <w:tcPr>
            <w:tcW w:w="1029" w:type="dxa"/>
            <w:hideMark/>
          </w:tcPr>
          <w:p w14:paraId="4AE5FE9C" w14:textId="77777777" w:rsidR="00CF0E2D" w:rsidRDefault="00CF0E2D">
            <w:pPr>
              <w:pStyle w:val="InitFigBR"/>
              <w:spacing w:line="256" w:lineRule="auto"/>
            </w:pPr>
            <w:r>
              <w:t>2,122</w:t>
            </w:r>
          </w:p>
        </w:tc>
      </w:tr>
      <w:tr w:rsidR="00CF0E2D" w14:paraId="60154B1F" w14:textId="77777777" w:rsidTr="00A60D4B">
        <w:trPr>
          <w:cantSplit/>
          <w:trHeight w:val="129"/>
          <w:jc w:val="center"/>
        </w:trPr>
        <w:tc>
          <w:tcPr>
            <w:tcW w:w="3686" w:type="dxa"/>
            <w:hideMark/>
          </w:tcPr>
          <w:p w14:paraId="757B8DB3" w14:textId="77777777" w:rsidR="00CF0E2D" w:rsidRDefault="00CF0E2D">
            <w:pPr>
              <w:pStyle w:val="InitTextL"/>
              <w:spacing w:line="256" w:lineRule="auto"/>
              <w:ind w:left="321" w:hanging="321"/>
            </w:pPr>
            <w:r>
              <w:t>Expenses – EPSDD</w:t>
            </w:r>
          </w:p>
        </w:tc>
        <w:tc>
          <w:tcPr>
            <w:tcW w:w="1145" w:type="dxa"/>
            <w:hideMark/>
          </w:tcPr>
          <w:p w14:paraId="1FF7F41B" w14:textId="77777777" w:rsidR="00CF0E2D" w:rsidRDefault="00CF0E2D">
            <w:pPr>
              <w:pStyle w:val="InitFigR"/>
              <w:spacing w:line="256" w:lineRule="auto"/>
            </w:pPr>
            <w:r>
              <w:t>135</w:t>
            </w:r>
          </w:p>
        </w:tc>
        <w:tc>
          <w:tcPr>
            <w:tcW w:w="1041" w:type="dxa"/>
            <w:hideMark/>
          </w:tcPr>
          <w:p w14:paraId="065C6ED4" w14:textId="77777777" w:rsidR="00CF0E2D" w:rsidRDefault="00CF0E2D">
            <w:pPr>
              <w:pStyle w:val="InitFigR"/>
              <w:spacing w:line="256" w:lineRule="auto"/>
            </w:pPr>
            <w:r>
              <w:t>137</w:t>
            </w:r>
          </w:p>
        </w:tc>
        <w:tc>
          <w:tcPr>
            <w:tcW w:w="1029" w:type="dxa"/>
            <w:hideMark/>
          </w:tcPr>
          <w:p w14:paraId="23146547" w14:textId="77777777" w:rsidR="00CF0E2D" w:rsidRDefault="00CF0E2D">
            <w:pPr>
              <w:pStyle w:val="InitFigR"/>
              <w:spacing w:line="256" w:lineRule="auto"/>
            </w:pPr>
            <w:r>
              <w:t>0</w:t>
            </w:r>
          </w:p>
        </w:tc>
        <w:tc>
          <w:tcPr>
            <w:tcW w:w="1029" w:type="dxa"/>
            <w:hideMark/>
          </w:tcPr>
          <w:p w14:paraId="607E195A" w14:textId="77777777" w:rsidR="00CF0E2D" w:rsidRDefault="00CF0E2D">
            <w:pPr>
              <w:pStyle w:val="InitFigR"/>
              <w:spacing w:line="256" w:lineRule="auto"/>
            </w:pPr>
            <w:r>
              <w:t>0</w:t>
            </w:r>
          </w:p>
        </w:tc>
        <w:tc>
          <w:tcPr>
            <w:tcW w:w="1029" w:type="dxa"/>
            <w:hideMark/>
          </w:tcPr>
          <w:p w14:paraId="609F7340" w14:textId="77777777" w:rsidR="00CF0E2D" w:rsidRDefault="00CF0E2D">
            <w:pPr>
              <w:pStyle w:val="InitFigBR"/>
              <w:spacing w:line="256" w:lineRule="auto"/>
            </w:pPr>
            <w:r>
              <w:t>272</w:t>
            </w:r>
          </w:p>
        </w:tc>
      </w:tr>
      <w:tr w:rsidR="00CF0E2D" w14:paraId="7C0A72C2" w14:textId="77777777" w:rsidTr="00A60D4B">
        <w:trPr>
          <w:cantSplit/>
          <w:trHeight w:val="129"/>
          <w:jc w:val="center"/>
        </w:trPr>
        <w:tc>
          <w:tcPr>
            <w:tcW w:w="3686" w:type="dxa"/>
            <w:hideMark/>
          </w:tcPr>
          <w:p w14:paraId="2BEFBB2E" w14:textId="77777777" w:rsidR="00CF0E2D" w:rsidRDefault="00CF0E2D">
            <w:pPr>
              <w:pStyle w:val="InitTextL"/>
              <w:spacing w:line="256" w:lineRule="auto"/>
              <w:ind w:left="321" w:hanging="321"/>
            </w:pPr>
            <w:r>
              <w:t>Expenses – Education</w:t>
            </w:r>
          </w:p>
        </w:tc>
        <w:tc>
          <w:tcPr>
            <w:tcW w:w="1145" w:type="dxa"/>
            <w:hideMark/>
          </w:tcPr>
          <w:p w14:paraId="26ECA22A" w14:textId="77777777" w:rsidR="00CF0E2D" w:rsidRDefault="00CF0E2D">
            <w:pPr>
              <w:pStyle w:val="InitFigR"/>
              <w:spacing w:line="256" w:lineRule="auto"/>
            </w:pPr>
            <w:r>
              <w:t>161</w:t>
            </w:r>
          </w:p>
        </w:tc>
        <w:tc>
          <w:tcPr>
            <w:tcW w:w="1041" w:type="dxa"/>
            <w:hideMark/>
          </w:tcPr>
          <w:p w14:paraId="5F15DF8D" w14:textId="77777777" w:rsidR="00CF0E2D" w:rsidRDefault="00CF0E2D">
            <w:pPr>
              <w:pStyle w:val="InitFigR"/>
              <w:spacing w:line="256" w:lineRule="auto"/>
            </w:pPr>
            <w:r>
              <w:t>163</w:t>
            </w:r>
          </w:p>
        </w:tc>
        <w:tc>
          <w:tcPr>
            <w:tcW w:w="1029" w:type="dxa"/>
            <w:hideMark/>
          </w:tcPr>
          <w:p w14:paraId="652E0A33" w14:textId="77777777" w:rsidR="00CF0E2D" w:rsidRDefault="00CF0E2D">
            <w:pPr>
              <w:pStyle w:val="InitFigR"/>
              <w:spacing w:line="256" w:lineRule="auto"/>
            </w:pPr>
            <w:r>
              <w:t>0</w:t>
            </w:r>
          </w:p>
        </w:tc>
        <w:tc>
          <w:tcPr>
            <w:tcW w:w="1029" w:type="dxa"/>
            <w:hideMark/>
          </w:tcPr>
          <w:p w14:paraId="324A2889" w14:textId="77777777" w:rsidR="00CF0E2D" w:rsidRDefault="00CF0E2D">
            <w:pPr>
              <w:pStyle w:val="InitFigR"/>
              <w:spacing w:line="256" w:lineRule="auto"/>
            </w:pPr>
            <w:r>
              <w:t>0</w:t>
            </w:r>
          </w:p>
        </w:tc>
        <w:tc>
          <w:tcPr>
            <w:tcW w:w="1029" w:type="dxa"/>
            <w:hideMark/>
          </w:tcPr>
          <w:p w14:paraId="6201D9B9" w14:textId="77777777" w:rsidR="00CF0E2D" w:rsidRDefault="00CF0E2D">
            <w:pPr>
              <w:pStyle w:val="InitFigBR"/>
              <w:spacing w:line="256" w:lineRule="auto"/>
            </w:pPr>
            <w:r>
              <w:t>324</w:t>
            </w:r>
          </w:p>
        </w:tc>
      </w:tr>
      <w:tr w:rsidR="00CF0E2D" w14:paraId="650E454C" w14:textId="77777777" w:rsidTr="00A60D4B">
        <w:trPr>
          <w:cantSplit/>
          <w:trHeight w:val="129"/>
          <w:jc w:val="center"/>
        </w:trPr>
        <w:tc>
          <w:tcPr>
            <w:tcW w:w="3686" w:type="dxa"/>
            <w:hideMark/>
          </w:tcPr>
          <w:p w14:paraId="37E1738A" w14:textId="77777777" w:rsidR="00CF0E2D" w:rsidRDefault="00CF0E2D">
            <w:pPr>
              <w:pStyle w:val="InitTextL"/>
              <w:spacing w:line="256" w:lineRule="auto"/>
              <w:ind w:left="321" w:hanging="321"/>
            </w:pPr>
            <w:r>
              <w:t>Expenses – TCCS</w:t>
            </w:r>
          </w:p>
        </w:tc>
        <w:tc>
          <w:tcPr>
            <w:tcW w:w="1145" w:type="dxa"/>
            <w:hideMark/>
          </w:tcPr>
          <w:p w14:paraId="5F1A40BC" w14:textId="77777777" w:rsidR="00CF0E2D" w:rsidRDefault="00CF0E2D">
            <w:pPr>
              <w:pStyle w:val="InitFigR"/>
              <w:spacing w:line="256" w:lineRule="auto"/>
            </w:pPr>
            <w:r>
              <w:t>161</w:t>
            </w:r>
          </w:p>
        </w:tc>
        <w:tc>
          <w:tcPr>
            <w:tcW w:w="1041" w:type="dxa"/>
            <w:hideMark/>
          </w:tcPr>
          <w:p w14:paraId="0D3250B4" w14:textId="77777777" w:rsidR="00CF0E2D" w:rsidRDefault="00CF0E2D">
            <w:pPr>
              <w:pStyle w:val="InitFigR"/>
              <w:spacing w:line="256" w:lineRule="auto"/>
            </w:pPr>
            <w:r>
              <w:t>163</w:t>
            </w:r>
          </w:p>
        </w:tc>
        <w:tc>
          <w:tcPr>
            <w:tcW w:w="1029" w:type="dxa"/>
            <w:hideMark/>
          </w:tcPr>
          <w:p w14:paraId="5E4ECC26" w14:textId="77777777" w:rsidR="00CF0E2D" w:rsidRDefault="00CF0E2D">
            <w:pPr>
              <w:pStyle w:val="InitFigR"/>
              <w:spacing w:line="256" w:lineRule="auto"/>
            </w:pPr>
            <w:r>
              <w:t>0</w:t>
            </w:r>
          </w:p>
        </w:tc>
        <w:tc>
          <w:tcPr>
            <w:tcW w:w="1029" w:type="dxa"/>
            <w:hideMark/>
          </w:tcPr>
          <w:p w14:paraId="0FFAC7F1" w14:textId="77777777" w:rsidR="00CF0E2D" w:rsidRDefault="00CF0E2D">
            <w:pPr>
              <w:pStyle w:val="InitFigR"/>
              <w:spacing w:line="256" w:lineRule="auto"/>
            </w:pPr>
            <w:r>
              <w:t>0</w:t>
            </w:r>
          </w:p>
        </w:tc>
        <w:tc>
          <w:tcPr>
            <w:tcW w:w="1029" w:type="dxa"/>
            <w:hideMark/>
          </w:tcPr>
          <w:p w14:paraId="22D51EE0" w14:textId="77777777" w:rsidR="00CF0E2D" w:rsidRDefault="00CF0E2D">
            <w:pPr>
              <w:pStyle w:val="InitFigBR"/>
              <w:spacing w:line="256" w:lineRule="auto"/>
            </w:pPr>
            <w:r>
              <w:t>324</w:t>
            </w:r>
          </w:p>
        </w:tc>
      </w:tr>
      <w:tr w:rsidR="00CF0E2D" w14:paraId="59C4D220" w14:textId="77777777" w:rsidTr="00A60D4B">
        <w:trPr>
          <w:cantSplit/>
          <w:trHeight w:val="129"/>
          <w:jc w:val="center"/>
        </w:trPr>
        <w:tc>
          <w:tcPr>
            <w:tcW w:w="3686" w:type="dxa"/>
            <w:hideMark/>
          </w:tcPr>
          <w:p w14:paraId="6F857136" w14:textId="77777777" w:rsidR="00CF0E2D" w:rsidRDefault="00CF0E2D">
            <w:pPr>
              <w:pStyle w:val="InitTextL"/>
              <w:spacing w:line="256" w:lineRule="auto"/>
              <w:ind w:left="321" w:hanging="321"/>
            </w:pPr>
            <w:r>
              <w:t>Offset – Existing IT support funding</w:t>
            </w:r>
          </w:p>
        </w:tc>
        <w:tc>
          <w:tcPr>
            <w:tcW w:w="1145" w:type="dxa"/>
            <w:hideMark/>
          </w:tcPr>
          <w:p w14:paraId="6D552771" w14:textId="77777777" w:rsidR="00CF0E2D" w:rsidRDefault="00CF0E2D">
            <w:pPr>
              <w:pStyle w:val="InitFigR"/>
              <w:spacing w:line="256" w:lineRule="auto"/>
            </w:pPr>
            <w:r>
              <w:t>-41</w:t>
            </w:r>
          </w:p>
        </w:tc>
        <w:tc>
          <w:tcPr>
            <w:tcW w:w="1041" w:type="dxa"/>
            <w:hideMark/>
          </w:tcPr>
          <w:p w14:paraId="76D6F995" w14:textId="77777777" w:rsidR="00CF0E2D" w:rsidRDefault="00CF0E2D">
            <w:pPr>
              <w:pStyle w:val="InitFigR"/>
              <w:spacing w:line="256" w:lineRule="auto"/>
            </w:pPr>
            <w:r>
              <w:t>-41</w:t>
            </w:r>
          </w:p>
        </w:tc>
        <w:tc>
          <w:tcPr>
            <w:tcW w:w="1029" w:type="dxa"/>
            <w:hideMark/>
          </w:tcPr>
          <w:p w14:paraId="3031B9BF" w14:textId="77777777" w:rsidR="00CF0E2D" w:rsidRDefault="00CF0E2D">
            <w:pPr>
              <w:pStyle w:val="InitFigR"/>
              <w:spacing w:line="256" w:lineRule="auto"/>
            </w:pPr>
            <w:r>
              <w:t>-42</w:t>
            </w:r>
          </w:p>
        </w:tc>
        <w:tc>
          <w:tcPr>
            <w:tcW w:w="1029" w:type="dxa"/>
            <w:hideMark/>
          </w:tcPr>
          <w:p w14:paraId="7EAFAE86" w14:textId="77777777" w:rsidR="00CF0E2D" w:rsidRDefault="00CF0E2D">
            <w:pPr>
              <w:pStyle w:val="InitFigR"/>
              <w:spacing w:line="256" w:lineRule="auto"/>
            </w:pPr>
            <w:r>
              <w:t>-43</w:t>
            </w:r>
          </w:p>
        </w:tc>
        <w:tc>
          <w:tcPr>
            <w:tcW w:w="1029" w:type="dxa"/>
            <w:hideMark/>
          </w:tcPr>
          <w:p w14:paraId="34C7383A" w14:textId="77777777" w:rsidR="00CF0E2D" w:rsidRDefault="00CF0E2D">
            <w:pPr>
              <w:pStyle w:val="InitFigBR"/>
              <w:spacing w:line="256" w:lineRule="auto"/>
            </w:pPr>
            <w:r>
              <w:t>-167</w:t>
            </w:r>
          </w:p>
        </w:tc>
      </w:tr>
      <w:tr w:rsidR="00CF0E2D" w14:paraId="178919FD" w14:textId="77777777" w:rsidTr="00A60D4B">
        <w:trPr>
          <w:cantSplit/>
          <w:trHeight w:val="129"/>
          <w:jc w:val="center"/>
        </w:trPr>
        <w:tc>
          <w:tcPr>
            <w:tcW w:w="3686" w:type="dxa"/>
            <w:hideMark/>
          </w:tcPr>
          <w:p w14:paraId="6EBDF348" w14:textId="77777777" w:rsidR="00CF0E2D" w:rsidRDefault="00CF0E2D">
            <w:pPr>
              <w:pStyle w:val="InitTextL"/>
              <w:spacing w:line="256" w:lineRule="auto"/>
              <w:ind w:left="321" w:hanging="321"/>
            </w:pPr>
            <w:r>
              <w:t>Offset – Savings</w:t>
            </w:r>
          </w:p>
        </w:tc>
        <w:tc>
          <w:tcPr>
            <w:tcW w:w="1145" w:type="dxa"/>
            <w:hideMark/>
          </w:tcPr>
          <w:p w14:paraId="082B134F" w14:textId="77777777" w:rsidR="00CF0E2D" w:rsidRDefault="00CF0E2D">
            <w:pPr>
              <w:pStyle w:val="InitFigR"/>
              <w:spacing w:line="256" w:lineRule="auto"/>
            </w:pPr>
            <w:r>
              <w:t>-3,714</w:t>
            </w:r>
          </w:p>
        </w:tc>
        <w:tc>
          <w:tcPr>
            <w:tcW w:w="1041" w:type="dxa"/>
            <w:hideMark/>
          </w:tcPr>
          <w:p w14:paraId="779084CE" w14:textId="77777777" w:rsidR="00CF0E2D" w:rsidRDefault="00CF0E2D">
            <w:pPr>
              <w:pStyle w:val="InitFigR"/>
              <w:spacing w:line="256" w:lineRule="auto"/>
            </w:pPr>
            <w:r>
              <w:t>-3,771</w:t>
            </w:r>
          </w:p>
        </w:tc>
        <w:tc>
          <w:tcPr>
            <w:tcW w:w="1029" w:type="dxa"/>
            <w:hideMark/>
          </w:tcPr>
          <w:p w14:paraId="7E43BB22" w14:textId="77777777" w:rsidR="00CF0E2D" w:rsidRDefault="00CF0E2D">
            <w:pPr>
              <w:pStyle w:val="InitFigR"/>
              <w:spacing w:line="256" w:lineRule="auto"/>
            </w:pPr>
            <w:r>
              <w:t>-3,828</w:t>
            </w:r>
          </w:p>
        </w:tc>
        <w:tc>
          <w:tcPr>
            <w:tcW w:w="1029" w:type="dxa"/>
            <w:hideMark/>
          </w:tcPr>
          <w:p w14:paraId="076F0190" w14:textId="77777777" w:rsidR="00CF0E2D" w:rsidRDefault="00CF0E2D">
            <w:pPr>
              <w:pStyle w:val="InitFigR"/>
              <w:spacing w:line="256" w:lineRule="auto"/>
            </w:pPr>
            <w:r>
              <w:t>-3,902</w:t>
            </w:r>
          </w:p>
        </w:tc>
        <w:tc>
          <w:tcPr>
            <w:tcW w:w="1029" w:type="dxa"/>
            <w:hideMark/>
          </w:tcPr>
          <w:p w14:paraId="489BAEAE" w14:textId="77777777" w:rsidR="00CF0E2D" w:rsidRDefault="00CF0E2D">
            <w:pPr>
              <w:pStyle w:val="InitFigBR"/>
              <w:spacing w:line="256" w:lineRule="auto"/>
            </w:pPr>
            <w:r>
              <w:t>-15,215</w:t>
            </w:r>
          </w:p>
        </w:tc>
      </w:tr>
      <w:tr w:rsidR="00CF0E2D" w14:paraId="2F9C9A08" w14:textId="77777777" w:rsidTr="00A60D4B">
        <w:trPr>
          <w:cantSplit/>
          <w:trHeight w:val="107"/>
          <w:jc w:val="center"/>
        </w:trPr>
        <w:tc>
          <w:tcPr>
            <w:tcW w:w="3686" w:type="dxa"/>
            <w:tcBorders>
              <w:top w:val="single" w:sz="4" w:space="0" w:color="auto"/>
              <w:left w:val="nil"/>
              <w:bottom w:val="single" w:sz="4" w:space="0" w:color="auto"/>
              <w:right w:val="nil"/>
            </w:tcBorders>
            <w:hideMark/>
          </w:tcPr>
          <w:p w14:paraId="01B6AB0C" w14:textId="77777777" w:rsidR="00CF0E2D" w:rsidRDefault="00CF0E2D">
            <w:pPr>
              <w:pStyle w:val="InitFigLBold"/>
              <w:spacing w:line="256" w:lineRule="auto"/>
              <w:ind w:left="321" w:hanging="321"/>
            </w:pPr>
            <w:r>
              <w:t>Net cost of services</w:t>
            </w:r>
          </w:p>
        </w:tc>
        <w:tc>
          <w:tcPr>
            <w:tcW w:w="1145" w:type="dxa"/>
            <w:tcBorders>
              <w:top w:val="single" w:sz="4" w:space="0" w:color="auto"/>
              <w:left w:val="nil"/>
              <w:bottom w:val="single" w:sz="4" w:space="0" w:color="auto"/>
              <w:right w:val="nil"/>
            </w:tcBorders>
            <w:hideMark/>
          </w:tcPr>
          <w:p w14:paraId="57CC9E4F" w14:textId="77777777" w:rsidR="00CF0E2D" w:rsidRDefault="00CF0E2D">
            <w:pPr>
              <w:pStyle w:val="InitFigRBold"/>
              <w:spacing w:line="256" w:lineRule="auto"/>
            </w:pPr>
            <w:r>
              <w:t>5,026</w:t>
            </w:r>
          </w:p>
        </w:tc>
        <w:tc>
          <w:tcPr>
            <w:tcW w:w="1041" w:type="dxa"/>
            <w:tcBorders>
              <w:top w:val="single" w:sz="4" w:space="0" w:color="auto"/>
              <w:left w:val="nil"/>
              <w:bottom w:val="single" w:sz="4" w:space="0" w:color="auto"/>
              <w:right w:val="nil"/>
            </w:tcBorders>
            <w:hideMark/>
          </w:tcPr>
          <w:p w14:paraId="5FE22A52" w14:textId="77777777" w:rsidR="00CF0E2D" w:rsidRDefault="00CF0E2D">
            <w:pPr>
              <w:pStyle w:val="InitFigRBold"/>
              <w:spacing w:line="256" w:lineRule="auto"/>
            </w:pPr>
            <w:r>
              <w:t>5,440</w:t>
            </w:r>
          </w:p>
        </w:tc>
        <w:tc>
          <w:tcPr>
            <w:tcW w:w="1029" w:type="dxa"/>
            <w:tcBorders>
              <w:top w:val="single" w:sz="4" w:space="0" w:color="auto"/>
              <w:left w:val="nil"/>
              <w:bottom w:val="single" w:sz="4" w:space="0" w:color="auto"/>
              <w:right w:val="nil"/>
            </w:tcBorders>
            <w:hideMark/>
          </w:tcPr>
          <w:p w14:paraId="027E72AB" w14:textId="77777777" w:rsidR="00CF0E2D" w:rsidRDefault="00CF0E2D">
            <w:pPr>
              <w:pStyle w:val="InitFigRBold"/>
              <w:spacing w:line="256" w:lineRule="auto"/>
            </w:pPr>
            <w:r>
              <w:t>3,776</w:t>
            </w:r>
          </w:p>
        </w:tc>
        <w:tc>
          <w:tcPr>
            <w:tcW w:w="1029" w:type="dxa"/>
            <w:tcBorders>
              <w:top w:val="single" w:sz="4" w:space="0" w:color="auto"/>
              <w:left w:val="nil"/>
              <w:bottom w:val="single" w:sz="4" w:space="0" w:color="auto"/>
              <w:right w:val="nil"/>
            </w:tcBorders>
            <w:hideMark/>
          </w:tcPr>
          <w:p w14:paraId="4801CCA8" w14:textId="77777777" w:rsidR="00CF0E2D" w:rsidRDefault="00CF0E2D">
            <w:pPr>
              <w:pStyle w:val="InitFigRBold"/>
              <w:spacing w:line="256" w:lineRule="auto"/>
            </w:pPr>
            <w:r>
              <w:t>3,825</w:t>
            </w:r>
          </w:p>
        </w:tc>
        <w:tc>
          <w:tcPr>
            <w:tcW w:w="1029" w:type="dxa"/>
            <w:tcBorders>
              <w:top w:val="single" w:sz="4" w:space="0" w:color="auto"/>
              <w:left w:val="nil"/>
              <w:bottom w:val="single" w:sz="4" w:space="0" w:color="auto"/>
              <w:right w:val="nil"/>
            </w:tcBorders>
            <w:hideMark/>
          </w:tcPr>
          <w:p w14:paraId="08152E44" w14:textId="77777777" w:rsidR="00CF0E2D" w:rsidRDefault="00CF0E2D">
            <w:pPr>
              <w:pStyle w:val="InitFigRBold"/>
              <w:spacing w:line="256" w:lineRule="auto"/>
            </w:pPr>
            <w:r>
              <w:t>18,067</w:t>
            </w:r>
          </w:p>
        </w:tc>
      </w:tr>
    </w:tbl>
    <w:p w14:paraId="25CDE8A5" w14:textId="77777777" w:rsidR="00CF0E2D" w:rsidRPr="003B70AD" w:rsidRDefault="00CF0E2D" w:rsidP="00A60D4B">
      <w:pPr>
        <w:spacing w:before="200" w:after="200"/>
        <w:rPr>
          <w:rFonts w:ascii="Calibri" w:eastAsia="Times New Roman" w:hAnsi="Calibri"/>
          <w:sz w:val="24"/>
          <w:szCs w:val="24"/>
          <w:lang w:eastAsia="en-AU"/>
        </w:rPr>
      </w:pPr>
      <w:r w:rsidRPr="003B70AD">
        <w:rPr>
          <w:sz w:val="24"/>
          <w:szCs w:val="24"/>
        </w:rPr>
        <w:t xml:space="preserve">The Government will continue to </w:t>
      </w:r>
      <w:r w:rsidRPr="003B70AD">
        <w:rPr>
          <w:sz w:val="24"/>
          <w:szCs w:val="24"/>
          <w:lang w:eastAsia="en-AU"/>
        </w:rPr>
        <w:t>promote accountable and transparent government through additional resourcing:</w:t>
      </w:r>
    </w:p>
    <w:p w14:paraId="6762BD35" w14:textId="77777777" w:rsidR="00CF0E2D" w:rsidRDefault="00CF0E2D" w:rsidP="00CF0E2D">
      <w:pPr>
        <w:pStyle w:val="ListParagraph"/>
        <w:numPr>
          <w:ilvl w:val="0"/>
          <w:numId w:val="34"/>
        </w:numPr>
        <w:spacing w:before="200" w:after="0" w:line="240" w:lineRule="auto"/>
        <w:ind w:left="360"/>
        <w:contextualSpacing w:val="0"/>
        <w:rPr>
          <w:sz w:val="24"/>
          <w:lang w:eastAsia="en-AU"/>
        </w:rPr>
      </w:pPr>
      <w:r>
        <w:rPr>
          <w:sz w:val="24"/>
          <w:lang w:eastAsia="en-AU"/>
        </w:rPr>
        <w:t xml:space="preserve">to facilitate positive compliance with the </w:t>
      </w:r>
      <w:r>
        <w:rPr>
          <w:i/>
          <w:iCs/>
          <w:sz w:val="24"/>
          <w:lang w:eastAsia="en-AU"/>
        </w:rPr>
        <w:t xml:space="preserve">Freedom of Information Act 2016 </w:t>
      </w:r>
      <w:r>
        <w:rPr>
          <w:sz w:val="24"/>
          <w:lang w:eastAsia="en-AU"/>
        </w:rPr>
        <w:t xml:space="preserve">and the ACT’s proactive information disclosure regime by supporting ACT Government directorates to respond to a growing number of Freedom of Information requests in a timely way; </w:t>
      </w:r>
    </w:p>
    <w:p w14:paraId="52018E18" w14:textId="77777777" w:rsidR="00CF0E2D" w:rsidRDefault="00CF0E2D" w:rsidP="00CF0E2D">
      <w:pPr>
        <w:pStyle w:val="ListParagraph"/>
        <w:numPr>
          <w:ilvl w:val="0"/>
          <w:numId w:val="34"/>
        </w:numPr>
        <w:spacing w:before="200" w:after="0" w:line="240" w:lineRule="auto"/>
        <w:ind w:left="360"/>
        <w:contextualSpacing w:val="0"/>
        <w:rPr>
          <w:sz w:val="24"/>
          <w:lang w:eastAsia="en-AU"/>
        </w:rPr>
      </w:pPr>
      <w:r>
        <w:rPr>
          <w:sz w:val="24"/>
          <w:lang w:eastAsia="en-AU"/>
        </w:rPr>
        <w:lastRenderedPageBreak/>
        <w:t>for the Public Sector Standards Commissioner and the Professional Standards Unit to ensure that all public servants and officials in the ACT conduct themselves with the high standards of probity and professionalism that Canberrans expect;</w:t>
      </w:r>
    </w:p>
    <w:p w14:paraId="20B50184" w14:textId="77777777" w:rsidR="00CF0E2D" w:rsidRDefault="00CF0E2D" w:rsidP="00CF0E2D">
      <w:pPr>
        <w:pStyle w:val="ListParagraph"/>
        <w:numPr>
          <w:ilvl w:val="0"/>
          <w:numId w:val="34"/>
        </w:numPr>
        <w:spacing w:before="200" w:after="0" w:line="240" w:lineRule="auto"/>
        <w:ind w:left="360"/>
        <w:contextualSpacing w:val="0"/>
        <w:rPr>
          <w:sz w:val="24"/>
          <w:lang w:eastAsia="en-AU"/>
        </w:rPr>
      </w:pPr>
      <w:r>
        <w:rPr>
          <w:sz w:val="24"/>
          <w:lang w:eastAsia="en-AU"/>
        </w:rPr>
        <w:t xml:space="preserve">to support the continuation of services provided by the ACT Ombudsman including investigations of complaints against ACT Government agencies and ACT Policing, the Reportable Conduct Scheme, Freedom of Information and the Inspector of the ACT Integrity Commission; </w:t>
      </w:r>
    </w:p>
    <w:p w14:paraId="5B07F3C7" w14:textId="77777777" w:rsidR="00CF0E2D" w:rsidRDefault="00CF0E2D" w:rsidP="00CF0E2D">
      <w:pPr>
        <w:pStyle w:val="ListParagraph"/>
        <w:numPr>
          <w:ilvl w:val="0"/>
          <w:numId w:val="34"/>
        </w:numPr>
        <w:spacing w:before="200" w:after="0" w:line="240" w:lineRule="auto"/>
        <w:ind w:left="360"/>
        <w:contextualSpacing w:val="0"/>
        <w:rPr>
          <w:sz w:val="24"/>
          <w:lang w:eastAsia="en-AU"/>
        </w:rPr>
      </w:pPr>
      <w:r>
        <w:rPr>
          <w:sz w:val="24"/>
          <w:lang w:eastAsia="en-AU"/>
        </w:rPr>
        <w:t xml:space="preserve">for an expansion in staffing and associated resources to support the ACT Integrity Commission to meet its legislative responsibilities, including administering the </w:t>
      </w:r>
      <w:r>
        <w:rPr>
          <w:i/>
          <w:iCs/>
          <w:sz w:val="24"/>
          <w:lang w:eastAsia="en-AU"/>
        </w:rPr>
        <w:t>Public Interest Disclosure Act 2012</w:t>
      </w:r>
      <w:r>
        <w:rPr>
          <w:sz w:val="24"/>
          <w:lang w:eastAsia="en-AU"/>
        </w:rPr>
        <w:t>; and</w:t>
      </w:r>
    </w:p>
    <w:p w14:paraId="5B1FF66D" w14:textId="77777777" w:rsidR="00CF0E2D" w:rsidRDefault="00CF0E2D" w:rsidP="00CF0E2D">
      <w:pPr>
        <w:pStyle w:val="ListParagraph"/>
        <w:numPr>
          <w:ilvl w:val="0"/>
          <w:numId w:val="34"/>
        </w:numPr>
        <w:spacing w:before="200" w:after="0" w:line="240" w:lineRule="auto"/>
        <w:ind w:left="360"/>
        <w:contextualSpacing w:val="0"/>
        <w:rPr>
          <w:sz w:val="24"/>
          <w:lang w:eastAsia="en-AU"/>
        </w:rPr>
      </w:pPr>
      <w:r>
        <w:rPr>
          <w:sz w:val="24"/>
          <w:lang w:eastAsia="en-AU"/>
        </w:rPr>
        <w:t>to support the Auditor-General in the delivery of performance audits and other services to the ACT Legislative Assembly.</w:t>
      </w:r>
    </w:p>
    <w:p w14:paraId="743DAB55" w14:textId="77777777" w:rsidR="00CF0E2D" w:rsidRDefault="00CF0E2D" w:rsidP="00A60D4B">
      <w:pPr>
        <w:rPr>
          <w:sz w:val="24"/>
          <w:szCs w:val="24"/>
          <w:lang w:eastAsia="en-AU"/>
        </w:rPr>
      </w:pPr>
    </w:p>
    <w:p w14:paraId="7CE2BFC1" w14:textId="77777777" w:rsidR="00CF0E2D" w:rsidRPr="003B70AD" w:rsidRDefault="00CF0E2D" w:rsidP="00A60D4B">
      <w:pPr>
        <w:rPr>
          <w:sz w:val="24"/>
          <w:szCs w:val="24"/>
        </w:rPr>
      </w:pPr>
      <w:r w:rsidRPr="003B70AD">
        <w:rPr>
          <w:sz w:val="24"/>
          <w:szCs w:val="24"/>
          <w:lang w:eastAsia="en-AU"/>
        </w:rPr>
        <w:t xml:space="preserve">The cost of this initiative will be partially offset from within existing resources across Government. </w:t>
      </w:r>
      <w:r w:rsidRPr="003B70AD">
        <w:rPr>
          <w:sz w:val="24"/>
          <w:szCs w:val="24"/>
        </w:rPr>
        <w:t xml:space="preserve">It builds on funding provided in the 2019-20 Budget initiative </w:t>
      </w:r>
      <w:r w:rsidRPr="003B70AD">
        <w:rPr>
          <w:i/>
          <w:sz w:val="24"/>
          <w:szCs w:val="24"/>
        </w:rPr>
        <w:t>Strengthening the ACT Ombudsman for more transparent government</w:t>
      </w:r>
      <w:r w:rsidRPr="003B70AD">
        <w:rPr>
          <w:sz w:val="24"/>
          <w:szCs w:val="24"/>
        </w:rPr>
        <w:t xml:space="preserve"> and extends funding provided in the 2019-20 Budget initiative </w:t>
      </w:r>
      <w:r w:rsidRPr="003B70AD">
        <w:rPr>
          <w:i/>
          <w:sz w:val="24"/>
          <w:szCs w:val="24"/>
        </w:rPr>
        <w:t>Better Government – Strengthening transparent government</w:t>
      </w:r>
      <w:r w:rsidRPr="003B70AD">
        <w:rPr>
          <w:sz w:val="24"/>
          <w:szCs w:val="24"/>
        </w:rPr>
        <w:t>.</w:t>
      </w:r>
    </w:p>
    <w:p w14:paraId="21E35443" w14:textId="77777777" w:rsidR="00CF0E2D" w:rsidRDefault="00CF0E2D" w:rsidP="00A60D4B">
      <w:pPr>
        <w:rPr>
          <w:sz w:val="24"/>
          <w:szCs w:val="24"/>
        </w:rPr>
      </w:pPr>
      <w:r w:rsidRPr="003B70AD">
        <w:rPr>
          <w:sz w:val="24"/>
          <w:szCs w:val="24"/>
        </w:rPr>
        <w:t>This initiative contributes to the wellbeing domain of Governance and institutions.</w:t>
      </w:r>
    </w:p>
    <w:p w14:paraId="29245FA4" w14:textId="77777777" w:rsidR="00CF0E2D" w:rsidRPr="003B70AD" w:rsidRDefault="00CF0E2D" w:rsidP="00A60D4B">
      <w:pPr>
        <w:rPr>
          <w:sz w:val="24"/>
          <w:szCs w:val="24"/>
        </w:rPr>
      </w:pPr>
    </w:p>
    <w:p w14:paraId="7375CD20" w14:textId="77777777" w:rsidR="00CF0E2D" w:rsidRDefault="00CF0E2D" w:rsidP="00A60D4B">
      <w:pPr>
        <w:pStyle w:val="Heading4"/>
        <w:rPr>
          <w:rFonts w:eastAsia="Times New Roman"/>
        </w:rPr>
      </w:pPr>
      <w:r>
        <w:rPr>
          <w:b w:val="0"/>
          <w:noProof/>
          <w:color w:val="999789"/>
          <w:sz w:val="32"/>
          <w:szCs w:val="24"/>
        </w:rPr>
        <w:drawing>
          <wp:anchor distT="0" distB="0" distL="114300" distR="114300" simplePos="0" relativeHeight="251757568" behindDoc="0" locked="1" layoutInCell="1" allowOverlap="1" wp14:anchorId="6F1A014C" wp14:editId="53B0B68C">
            <wp:simplePos x="0" y="0"/>
            <wp:positionH relativeFrom="margin">
              <wp:align>right</wp:align>
            </wp:positionH>
            <wp:positionV relativeFrom="paragraph">
              <wp:posOffset>53975</wp:posOffset>
            </wp:positionV>
            <wp:extent cx="1105200" cy="504000"/>
            <wp:effectExtent l="0" t="0" r="0" b="0"/>
            <wp:wrapSquare wrapText="bothSides"/>
            <wp:docPr id="270" name="Picture 270" descr="Icon representing the wellbeing domain of Housing and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Icon representing the wellbeing domain of Housing and ho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105200" cy="50400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rPr>
        <w:t>Maintaining and growing affordable housing – Financial support for Community Housing Canberra Limited (CHC)</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2221D2" w14:paraId="007F16A2" w14:textId="77777777" w:rsidTr="00A60D4B">
        <w:trPr>
          <w:cantSplit/>
          <w:jc w:val="center"/>
        </w:trPr>
        <w:tc>
          <w:tcPr>
            <w:tcW w:w="3652" w:type="dxa"/>
            <w:tcBorders>
              <w:top w:val="single" w:sz="4" w:space="0" w:color="auto"/>
              <w:bottom w:val="single" w:sz="4" w:space="0" w:color="auto"/>
            </w:tcBorders>
          </w:tcPr>
          <w:p w14:paraId="094B2776" w14:textId="77777777" w:rsidR="00CF0E2D" w:rsidRPr="002221D2" w:rsidRDefault="00CF0E2D" w:rsidP="00A60D4B">
            <w:pPr>
              <w:pStyle w:val="EmptyCell0"/>
            </w:pPr>
            <w:r w:rsidRPr="002221D2">
              <w:t>Empty Cell</w:t>
            </w:r>
          </w:p>
        </w:tc>
        <w:tc>
          <w:tcPr>
            <w:tcW w:w="1179" w:type="dxa"/>
            <w:tcBorders>
              <w:top w:val="single" w:sz="4" w:space="0" w:color="auto"/>
              <w:bottom w:val="single" w:sz="4" w:space="0" w:color="auto"/>
            </w:tcBorders>
          </w:tcPr>
          <w:p w14:paraId="23357D76" w14:textId="77777777" w:rsidR="00CF0E2D" w:rsidRPr="002221D2" w:rsidRDefault="00CF0E2D" w:rsidP="00A60D4B">
            <w:pPr>
              <w:pStyle w:val="InitFigR"/>
              <w:rPr>
                <w:b/>
                <w:bCs/>
              </w:rPr>
            </w:pPr>
            <w:r w:rsidRPr="002221D2">
              <w:rPr>
                <w:b/>
                <w:bCs/>
              </w:rPr>
              <w:t>2021-22</w:t>
            </w:r>
          </w:p>
          <w:p w14:paraId="561AD60F" w14:textId="77777777" w:rsidR="00CF0E2D" w:rsidRPr="002221D2" w:rsidRDefault="00CF0E2D" w:rsidP="00A60D4B">
            <w:pPr>
              <w:pStyle w:val="InitFigR"/>
              <w:rPr>
                <w:b/>
                <w:bCs/>
              </w:rPr>
            </w:pPr>
            <w:r w:rsidRPr="002221D2">
              <w:rPr>
                <w:b/>
                <w:bCs/>
              </w:rPr>
              <w:t>$’000</w:t>
            </w:r>
          </w:p>
        </w:tc>
        <w:tc>
          <w:tcPr>
            <w:tcW w:w="1041" w:type="dxa"/>
            <w:tcBorders>
              <w:top w:val="single" w:sz="4" w:space="0" w:color="auto"/>
              <w:bottom w:val="single" w:sz="4" w:space="0" w:color="auto"/>
            </w:tcBorders>
          </w:tcPr>
          <w:p w14:paraId="5E92CE25" w14:textId="77777777" w:rsidR="00CF0E2D" w:rsidRPr="002221D2" w:rsidRDefault="00CF0E2D" w:rsidP="00A60D4B">
            <w:pPr>
              <w:pStyle w:val="InitFigR"/>
              <w:rPr>
                <w:b/>
                <w:bCs/>
              </w:rPr>
            </w:pPr>
            <w:r w:rsidRPr="002221D2">
              <w:rPr>
                <w:b/>
                <w:bCs/>
              </w:rPr>
              <w:t>2022-23</w:t>
            </w:r>
          </w:p>
          <w:p w14:paraId="40FB5355" w14:textId="77777777" w:rsidR="00CF0E2D" w:rsidRPr="002221D2" w:rsidRDefault="00CF0E2D" w:rsidP="00A60D4B">
            <w:pPr>
              <w:pStyle w:val="InitFigR"/>
              <w:rPr>
                <w:b/>
                <w:bCs/>
              </w:rPr>
            </w:pPr>
            <w:r w:rsidRPr="002221D2">
              <w:rPr>
                <w:b/>
                <w:bCs/>
              </w:rPr>
              <w:t>$’000</w:t>
            </w:r>
          </w:p>
        </w:tc>
        <w:tc>
          <w:tcPr>
            <w:tcW w:w="1029" w:type="dxa"/>
            <w:tcBorders>
              <w:top w:val="single" w:sz="4" w:space="0" w:color="auto"/>
              <w:bottom w:val="single" w:sz="4" w:space="0" w:color="auto"/>
            </w:tcBorders>
          </w:tcPr>
          <w:p w14:paraId="04B8C152" w14:textId="77777777" w:rsidR="00CF0E2D" w:rsidRPr="002221D2" w:rsidRDefault="00CF0E2D" w:rsidP="00A60D4B">
            <w:pPr>
              <w:pStyle w:val="InitFigR"/>
              <w:rPr>
                <w:b/>
                <w:bCs/>
              </w:rPr>
            </w:pPr>
            <w:r w:rsidRPr="002221D2">
              <w:rPr>
                <w:b/>
                <w:bCs/>
              </w:rPr>
              <w:t>2023-24</w:t>
            </w:r>
          </w:p>
          <w:p w14:paraId="3EDD074F" w14:textId="77777777" w:rsidR="00CF0E2D" w:rsidRPr="002221D2" w:rsidRDefault="00CF0E2D" w:rsidP="00A60D4B">
            <w:pPr>
              <w:pStyle w:val="InitFigR"/>
              <w:rPr>
                <w:b/>
                <w:bCs/>
              </w:rPr>
            </w:pPr>
            <w:r w:rsidRPr="002221D2">
              <w:rPr>
                <w:b/>
                <w:bCs/>
              </w:rPr>
              <w:t>$’000</w:t>
            </w:r>
          </w:p>
        </w:tc>
        <w:tc>
          <w:tcPr>
            <w:tcW w:w="1029" w:type="dxa"/>
            <w:tcBorders>
              <w:top w:val="single" w:sz="4" w:space="0" w:color="auto"/>
              <w:bottom w:val="single" w:sz="4" w:space="0" w:color="auto"/>
            </w:tcBorders>
          </w:tcPr>
          <w:p w14:paraId="406E3518" w14:textId="77777777" w:rsidR="00CF0E2D" w:rsidRPr="002221D2" w:rsidRDefault="00CF0E2D" w:rsidP="00A60D4B">
            <w:pPr>
              <w:pStyle w:val="InitFigR"/>
              <w:rPr>
                <w:b/>
                <w:bCs/>
              </w:rPr>
            </w:pPr>
            <w:r w:rsidRPr="002221D2">
              <w:rPr>
                <w:b/>
                <w:bCs/>
              </w:rPr>
              <w:t>2024-25</w:t>
            </w:r>
          </w:p>
          <w:p w14:paraId="5EF7B9ED" w14:textId="77777777" w:rsidR="00CF0E2D" w:rsidRPr="002221D2" w:rsidRDefault="00CF0E2D" w:rsidP="00A60D4B">
            <w:pPr>
              <w:pStyle w:val="InitFigR"/>
              <w:rPr>
                <w:b/>
                <w:bCs/>
              </w:rPr>
            </w:pPr>
            <w:r w:rsidRPr="002221D2">
              <w:rPr>
                <w:b/>
                <w:bCs/>
              </w:rPr>
              <w:t>$’000</w:t>
            </w:r>
          </w:p>
        </w:tc>
        <w:tc>
          <w:tcPr>
            <w:tcW w:w="1029" w:type="dxa"/>
            <w:tcBorders>
              <w:top w:val="single" w:sz="4" w:space="0" w:color="auto"/>
              <w:bottom w:val="single" w:sz="4" w:space="0" w:color="auto"/>
            </w:tcBorders>
          </w:tcPr>
          <w:p w14:paraId="60A49BA0" w14:textId="77777777" w:rsidR="00CF0E2D" w:rsidRPr="002221D2" w:rsidRDefault="00CF0E2D" w:rsidP="00A60D4B">
            <w:pPr>
              <w:pStyle w:val="InitFigRBold"/>
            </w:pPr>
            <w:r w:rsidRPr="002221D2">
              <w:t>Total</w:t>
            </w:r>
          </w:p>
          <w:p w14:paraId="25F343DC" w14:textId="77777777" w:rsidR="00CF0E2D" w:rsidRPr="002221D2" w:rsidRDefault="00CF0E2D" w:rsidP="00A60D4B">
            <w:pPr>
              <w:pStyle w:val="InitFigBR"/>
            </w:pPr>
            <w:r w:rsidRPr="002221D2">
              <w:t>$’000</w:t>
            </w:r>
          </w:p>
        </w:tc>
      </w:tr>
      <w:tr w:rsidR="00CF0E2D" w:rsidRPr="002221D2" w14:paraId="7A359318" w14:textId="77777777" w:rsidTr="00A60D4B">
        <w:trPr>
          <w:cantSplit/>
          <w:jc w:val="center"/>
        </w:trPr>
        <w:tc>
          <w:tcPr>
            <w:tcW w:w="3652" w:type="dxa"/>
            <w:tcBorders>
              <w:top w:val="single" w:sz="4" w:space="0" w:color="auto"/>
            </w:tcBorders>
          </w:tcPr>
          <w:p w14:paraId="2693F1CF" w14:textId="77777777" w:rsidR="00CF0E2D" w:rsidRPr="002221D2" w:rsidRDefault="00CF0E2D" w:rsidP="00A60D4B">
            <w:pPr>
              <w:pStyle w:val="InitTextL"/>
              <w:ind w:left="321" w:hanging="321"/>
            </w:pPr>
            <w:r w:rsidRPr="002221D2">
              <w:t>Capital</w:t>
            </w:r>
            <w:r>
              <w:t xml:space="preserve"> – </w:t>
            </w:r>
            <w:r w:rsidRPr="002221D2">
              <w:t>New Assets</w:t>
            </w:r>
          </w:p>
        </w:tc>
        <w:tc>
          <w:tcPr>
            <w:tcW w:w="1179" w:type="dxa"/>
            <w:tcBorders>
              <w:top w:val="single" w:sz="4" w:space="0" w:color="auto"/>
            </w:tcBorders>
          </w:tcPr>
          <w:p w14:paraId="14B06B71" w14:textId="77777777" w:rsidR="00CF0E2D" w:rsidRPr="002221D2" w:rsidRDefault="00CF0E2D" w:rsidP="00A60D4B">
            <w:pPr>
              <w:pStyle w:val="InitFigR"/>
            </w:pPr>
            <w:r w:rsidRPr="002221D2">
              <w:t>63,118</w:t>
            </w:r>
          </w:p>
        </w:tc>
        <w:tc>
          <w:tcPr>
            <w:tcW w:w="1041" w:type="dxa"/>
            <w:tcBorders>
              <w:top w:val="single" w:sz="4" w:space="0" w:color="auto"/>
            </w:tcBorders>
          </w:tcPr>
          <w:p w14:paraId="4F1699D7" w14:textId="77777777" w:rsidR="00CF0E2D" w:rsidRPr="002221D2" w:rsidRDefault="00CF0E2D" w:rsidP="00A60D4B">
            <w:pPr>
              <w:pStyle w:val="InitFigR"/>
            </w:pPr>
            <w:r>
              <w:t>0</w:t>
            </w:r>
          </w:p>
        </w:tc>
        <w:tc>
          <w:tcPr>
            <w:tcW w:w="1029" w:type="dxa"/>
            <w:tcBorders>
              <w:top w:val="single" w:sz="4" w:space="0" w:color="auto"/>
            </w:tcBorders>
          </w:tcPr>
          <w:p w14:paraId="3118AFC0" w14:textId="77777777" w:rsidR="00CF0E2D" w:rsidRPr="002221D2" w:rsidRDefault="00CF0E2D" w:rsidP="00A60D4B">
            <w:pPr>
              <w:pStyle w:val="InitFigR"/>
            </w:pPr>
            <w:r>
              <w:t>0</w:t>
            </w:r>
          </w:p>
        </w:tc>
        <w:tc>
          <w:tcPr>
            <w:tcW w:w="1029" w:type="dxa"/>
            <w:tcBorders>
              <w:top w:val="single" w:sz="4" w:space="0" w:color="auto"/>
            </w:tcBorders>
          </w:tcPr>
          <w:p w14:paraId="1B1B246E" w14:textId="77777777" w:rsidR="00CF0E2D" w:rsidRPr="002221D2" w:rsidRDefault="00CF0E2D" w:rsidP="00A60D4B">
            <w:pPr>
              <w:pStyle w:val="InitFigR"/>
            </w:pPr>
            <w:r>
              <w:t>0</w:t>
            </w:r>
          </w:p>
        </w:tc>
        <w:tc>
          <w:tcPr>
            <w:tcW w:w="1029" w:type="dxa"/>
            <w:tcBorders>
              <w:top w:val="single" w:sz="4" w:space="0" w:color="auto"/>
            </w:tcBorders>
          </w:tcPr>
          <w:p w14:paraId="7B5154F7" w14:textId="77777777" w:rsidR="00CF0E2D" w:rsidRPr="002221D2" w:rsidRDefault="00CF0E2D" w:rsidP="00A60D4B">
            <w:pPr>
              <w:pStyle w:val="InitFigRBold"/>
              <w:rPr>
                <w:bCs/>
              </w:rPr>
            </w:pPr>
            <w:r w:rsidRPr="002221D2">
              <w:rPr>
                <w:bCs/>
              </w:rPr>
              <w:t>63,118</w:t>
            </w:r>
          </w:p>
        </w:tc>
      </w:tr>
      <w:tr w:rsidR="00CF0E2D" w:rsidRPr="002221D2" w14:paraId="22EDD4D5" w14:textId="77777777" w:rsidTr="00A60D4B">
        <w:trPr>
          <w:cantSplit/>
          <w:jc w:val="center"/>
        </w:trPr>
        <w:tc>
          <w:tcPr>
            <w:tcW w:w="3652" w:type="dxa"/>
          </w:tcPr>
          <w:p w14:paraId="7458FA39" w14:textId="77777777" w:rsidR="00CF0E2D" w:rsidRPr="002221D2" w:rsidRDefault="00CF0E2D" w:rsidP="00A60D4B">
            <w:pPr>
              <w:pStyle w:val="InitTextL"/>
            </w:pPr>
            <w:r>
              <w:t xml:space="preserve">Capital </w:t>
            </w:r>
            <w:r w:rsidRPr="002221D2">
              <w:t>Offset – Loan Receivable</w:t>
            </w:r>
          </w:p>
        </w:tc>
        <w:tc>
          <w:tcPr>
            <w:tcW w:w="1179" w:type="dxa"/>
          </w:tcPr>
          <w:p w14:paraId="14845C50" w14:textId="77777777" w:rsidR="00CF0E2D" w:rsidRPr="002221D2" w:rsidRDefault="00CF0E2D" w:rsidP="00A60D4B">
            <w:pPr>
              <w:pStyle w:val="InitFigR"/>
            </w:pPr>
            <w:r w:rsidRPr="002221D2">
              <w:t>-63,118</w:t>
            </w:r>
          </w:p>
        </w:tc>
        <w:tc>
          <w:tcPr>
            <w:tcW w:w="1041" w:type="dxa"/>
          </w:tcPr>
          <w:p w14:paraId="34D6296D" w14:textId="77777777" w:rsidR="00CF0E2D" w:rsidRPr="002221D2" w:rsidRDefault="00CF0E2D" w:rsidP="00A60D4B">
            <w:pPr>
              <w:pStyle w:val="InitFigR"/>
            </w:pPr>
            <w:r>
              <w:t>0</w:t>
            </w:r>
          </w:p>
        </w:tc>
        <w:tc>
          <w:tcPr>
            <w:tcW w:w="1029" w:type="dxa"/>
          </w:tcPr>
          <w:p w14:paraId="17001590" w14:textId="77777777" w:rsidR="00CF0E2D" w:rsidRPr="002221D2" w:rsidRDefault="00CF0E2D" w:rsidP="00A60D4B">
            <w:pPr>
              <w:pStyle w:val="InitFigR"/>
            </w:pPr>
            <w:r>
              <w:t>0</w:t>
            </w:r>
          </w:p>
        </w:tc>
        <w:tc>
          <w:tcPr>
            <w:tcW w:w="1029" w:type="dxa"/>
          </w:tcPr>
          <w:p w14:paraId="7947FC6B" w14:textId="77777777" w:rsidR="00CF0E2D" w:rsidRPr="002221D2" w:rsidRDefault="00CF0E2D" w:rsidP="00A60D4B">
            <w:pPr>
              <w:pStyle w:val="InitFigR"/>
            </w:pPr>
            <w:r>
              <w:t>0</w:t>
            </w:r>
          </w:p>
        </w:tc>
        <w:tc>
          <w:tcPr>
            <w:tcW w:w="1029" w:type="dxa"/>
          </w:tcPr>
          <w:p w14:paraId="59AB7D2C" w14:textId="77777777" w:rsidR="00CF0E2D" w:rsidRPr="002221D2" w:rsidRDefault="00CF0E2D" w:rsidP="00A60D4B">
            <w:pPr>
              <w:pStyle w:val="InitFigRBold"/>
              <w:rPr>
                <w:bCs/>
              </w:rPr>
            </w:pPr>
            <w:r w:rsidRPr="002221D2">
              <w:rPr>
                <w:bCs/>
              </w:rPr>
              <w:t>-63,118</w:t>
            </w:r>
          </w:p>
        </w:tc>
      </w:tr>
      <w:tr w:rsidR="00CF0E2D" w:rsidRPr="002221D2" w14:paraId="5D9433DD" w14:textId="77777777" w:rsidTr="00A60D4B">
        <w:trPr>
          <w:cantSplit/>
          <w:jc w:val="center"/>
        </w:trPr>
        <w:tc>
          <w:tcPr>
            <w:tcW w:w="3652" w:type="dxa"/>
            <w:tcBorders>
              <w:top w:val="single" w:sz="4" w:space="0" w:color="auto"/>
              <w:bottom w:val="single" w:sz="4" w:space="0" w:color="auto"/>
            </w:tcBorders>
          </w:tcPr>
          <w:p w14:paraId="190AACAC" w14:textId="2CFF3161" w:rsidR="00CF0E2D" w:rsidRPr="002221D2" w:rsidRDefault="00F57411" w:rsidP="00A60D4B">
            <w:pPr>
              <w:pStyle w:val="InitTextL"/>
              <w:ind w:left="321" w:hanging="321"/>
              <w:rPr>
                <w:b/>
                <w:bCs/>
              </w:rPr>
            </w:pPr>
            <w:r>
              <w:rPr>
                <w:b/>
                <w:bCs/>
              </w:rPr>
              <w:t>Net capital</w:t>
            </w:r>
          </w:p>
        </w:tc>
        <w:tc>
          <w:tcPr>
            <w:tcW w:w="1179" w:type="dxa"/>
            <w:tcBorders>
              <w:top w:val="single" w:sz="4" w:space="0" w:color="auto"/>
              <w:bottom w:val="single" w:sz="4" w:space="0" w:color="auto"/>
            </w:tcBorders>
          </w:tcPr>
          <w:p w14:paraId="498F0C4A" w14:textId="77777777" w:rsidR="00CF0E2D" w:rsidRPr="004E33EA" w:rsidRDefault="00CF0E2D" w:rsidP="00A60D4B">
            <w:pPr>
              <w:pStyle w:val="InitFigR"/>
              <w:rPr>
                <w:b/>
                <w:bCs/>
              </w:rPr>
            </w:pPr>
            <w:r w:rsidRPr="004E33EA">
              <w:rPr>
                <w:b/>
                <w:bCs/>
              </w:rPr>
              <w:t>0</w:t>
            </w:r>
          </w:p>
        </w:tc>
        <w:tc>
          <w:tcPr>
            <w:tcW w:w="1041" w:type="dxa"/>
            <w:tcBorders>
              <w:top w:val="single" w:sz="4" w:space="0" w:color="auto"/>
              <w:bottom w:val="single" w:sz="4" w:space="0" w:color="auto"/>
            </w:tcBorders>
          </w:tcPr>
          <w:p w14:paraId="0FD74981" w14:textId="77777777" w:rsidR="00CF0E2D" w:rsidRPr="004E33EA" w:rsidRDefault="00CF0E2D" w:rsidP="00A60D4B">
            <w:pPr>
              <w:pStyle w:val="InitFigR"/>
              <w:rPr>
                <w:b/>
                <w:bCs/>
              </w:rPr>
            </w:pPr>
            <w:r>
              <w:rPr>
                <w:b/>
                <w:bCs/>
              </w:rPr>
              <w:t>0</w:t>
            </w:r>
          </w:p>
        </w:tc>
        <w:tc>
          <w:tcPr>
            <w:tcW w:w="1029" w:type="dxa"/>
            <w:tcBorders>
              <w:top w:val="single" w:sz="4" w:space="0" w:color="auto"/>
              <w:bottom w:val="single" w:sz="4" w:space="0" w:color="auto"/>
            </w:tcBorders>
          </w:tcPr>
          <w:p w14:paraId="512B8C70" w14:textId="77777777" w:rsidR="00CF0E2D" w:rsidRPr="004E33EA" w:rsidRDefault="00CF0E2D" w:rsidP="00A60D4B">
            <w:pPr>
              <w:pStyle w:val="InitFigR"/>
              <w:rPr>
                <w:b/>
                <w:bCs/>
              </w:rPr>
            </w:pPr>
            <w:r>
              <w:rPr>
                <w:b/>
                <w:bCs/>
              </w:rPr>
              <w:t>0</w:t>
            </w:r>
          </w:p>
        </w:tc>
        <w:tc>
          <w:tcPr>
            <w:tcW w:w="1029" w:type="dxa"/>
            <w:tcBorders>
              <w:top w:val="single" w:sz="4" w:space="0" w:color="auto"/>
              <w:bottom w:val="single" w:sz="4" w:space="0" w:color="auto"/>
            </w:tcBorders>
          </w:tcPr>
          <w:p w14:paraId="0EB795D5" w14:textId="77777777" w:rsidR="00CF0E2D" w:rsidRPr="004E33EA" w:rsidRDefault="00CF0E2D" w:rsidP="00A60D4B">
            <w:pPr>
              <w:pStyle w:val="InitFigR"/>
              <w:rPr>
                <w:b/>
                <w:bCs/>
              </w:rPr>
            </w:pPr>
            <w:r>
              <w:rPr>
                <w:b/>
                <w:bCs/>
              </w:rPr>
              <w:t>0</w:t>
            </w:r>
          </w:p>
        </w:tc>
        <w:tc>
          <w:tcPr>
            <w:tcW w:w="1029" w:type="dxa"/>
            <w:tcBorders>
              <w:top w:val="single" w:sz="4" w:space="0" w:color="auto"/>
              <w:bottom w:val="single" w:sz="4" w:space="0" w:color="auto"/>
            </w:tcBorders>
          </w:tcPr>
          <w:p w14:paraId="33FBCA7F" w14:textId="77777777" w:rsidR="00CF0E2D" w:rsidRPr="002221D2" w:rsidRDefault="00CF0E2D" w:rsidP="00A60D4B">
            <w:pPr>
              <w:pStyle w:val="InitFigRBold"/>
              <w:rPr>
                <w:bCs/>
              </w:rPr>
            </w:pPr>
            <w:r w:rsidRPr="002221D2">
              <w:rPr>
                <w:bCs/>
              </w:rPr>
              <w:t>0</w:t>
            </w:r>
          </w:p>
        </w:tc>
      </w:tr>
      <w:tr w:rsidR="00CF0E2D" w:rsidRPr="002221D2" w14:paraId="44E9AC72" w14:textId="77777777" w:rsidTr="00A60D4B">
        <w:trPr>
          <w:cantSplit/>
          <w:jc w:val="center"/>
        </w:trPr>
        <w:tc>
          <w:tcPr>
            <w:tcW w:w="3652" w:type="dxa"/>
            <w:tcBorders>
              <w:top w:val="single" w:sz="4" w:space="0" w:color="auto"/>
            </w:tcBorders>
          </w:tcPr>
          <w:p w14:paraId="19969B4D" w14:textId="77777777" w:rsidR="00CF0E2D" w:rsidRPr="0065651A" w:rsidRDefault="00CF0E2D" w:rsidP="00A60D4B">
            <w:pPr>
              <w:pStyle w:val="InitTextL"/>
              <w:ind w:left="321" w:hanging="321"/>
            </w:pPr>
            <w:r w:rsidRPr="004F5F73">
              <w:t>Depreciation</w:t>
            </w:r>
          </w:p>
        </w:tc>
        <w:tc>
          <w:tcPr>
            <w:tcW w:w="1179" w:type="dxa"/>
            <w:tcBorders>
              <w:top w:val="single" w:sz="4" w:space="0" w:color="auto"/>
            </w:tcBorders>
          </w:tcPr>
          <w:p w14:paraId="41D08FAC" w14:textId="77777777" w:rsidR="00CF0E2D" w:rsidRPr="002221D2" w:rsidRDefault="00CF0E2D" w:rsidP="00A60D4B">
            <w:pPr>
              <w:pStyle w:val="InitFigR"/>
            </w:pPr>
            <w:r w:rsidRPr="002221D2">
              <w:t>465</w:t>
            </w:r>
          </w:p>
        </w:tc>
        <w:tc>
          <w:tcPr>
            <w:tcW w:w="1041" w:type="dxa"/>
            <w:tcBorders>
              <w:top w:val="single" w:sz="4" w:space="0" w:color="auto"/>
            </w:tcBorders>
          </w:tcPr>
          <w:p w14:paraId="792483E3" w14:textId="77777777" w:rsidR="00CF0E2D" w:rsidRPr="002221D2" w:rsidRDefault="00CF0E2D" w:rsidP="00A60D4B">
            <w:pPr>
              <w:pStyle w:val="InitFigR"/>
            </w:pPr>
            <w:r w:rsidRPr="002221D2">
              <w:t>930</w:t>
            </w:r>
          </w:p>
        </w:tc>
        <w:tc>
          <w:tcPr>
            <w:tcW w:w="1029" w:type="dxa"/>
            <w:tcBorders>
              <w:top w:val="single" w:sz="4" w:space="0" w:color="auto"/>
            </w:tcBorders>
          </w:tcPr>
          <w:p w14:paraId="08E48378" w14:textId="77777777" w:rsidR="00CF0E2D" w:rsidRPr="002221D2" w:rsidRDefault="00CF0E2D" w:rsidP="00A60D4B">
            <w:pPr>
              <w:pStyle w:val="InitFigR"/>
            </w:pPr>
            <w:r w:rsidRPr="002221D2">
              <w:t>930</w:t>
            </w:r>
          </w:p>
        </w:tc>
        <w:tc>
          <w:tcPr>
            <w:tcW w:w="1029" w:type="dxa"/>
            <w:tcBorders>
              <w:top w:val="single" w:sz="4" w:space="0" w:color="auto"/>
            </w:tcBorders>
          </w:tcPr>
          <w:p w14:paraId="41944A91" w14:textId="77777777" w:rsidR="00CF0E2D" w:rsidRPr="002221D2" w:rsidRDefault="00CF0E2D" w:rsidP="00A60D4B">
            <w:pPr>
              <w:pStyle w:val="InitFigR"/>
            </w:pPr>
            <w:r w:rsidRPr="002221D2">
              <w:t>976</w:t>
            </w:r>
          </w:p>
        </w:tc>
        <w:tc>
          <w:tcPr>
            <w:tcW w:w="1029" w:type="dxa"/>
            <w:tcBorders>
              <w:top w:val="single" w:sz="4" w:space="0" w:color="auto"/>
            </w:tcBorders>
          </w:tcPr>
          <w:p w14:paraId="70FD6A73" w14:textId="77777777" w:rsidR="00CF0E2D" w:rsidRPr="002221D2" w:rsidRDefault="00CF0E2D" w:rsidP="00A60D4B">
            <w:pPr>
              <w:pStyle w:val="InitFigRBold"/>
              <w:rPr>
                <w:bCs/>
              </w:rPr>
            </w:pPr>
            <w:r w:rsidRPr="002221D2">
              <w:rPr>
                <w:bCs/>
              </w:rPr>
              <w:t>3,301</w:t>
            </w:r>
          </w:p>
        </w:tc>
      </w:tr>
      <w:tr w:rsidR="00CF0E2D" w:rsidRPr="002221D2" w14:paraId="31FDE825" w14:textId="77777777" w:rsidTr="00A60D4B">
        <w:trPr>
          <w:cantSplit/>
          <w:jc w:val="center"/>
        </w:trPr>
        <w:tc>
          <w:tcPr>
            <w:tcW w:w="3652" w:type="dxa"/>
          </w:tcPr>
          <w:p w14:paraId="53897631" w14:textId="77777777" w:rsidR="00CF0E2D" w:rsidRPr="004F5F73" w:rsidRDefault="00CF0E2D" w:rsidP="00A60D4B">
            <w:pPr>
              <w:pStyle w:val="InitTextL"/>
              <w:ind w:left="321" w:hanging="321"/>
            </w:pPr>
            <w:r w:rsidRPr="004F5F73">
              <w:t>Expenses</w:t>
            </w:r>
          </w:p>
        </w:tc>
        <w:tc>
          <w:tcPr>
            <w:tcW w:w="1179" w:type="dxa"/>
          </w:tcPr>
          <w:p w14:paraId="5B881B67" w14:textId="77777777" w:rsidR="00CF0E2D" w:rsidRPr="002221D2" w:rsidRDefault="00CF0E2D" w:rsidP="00A60D4B">
            <w:pPr>
              <w:pStyle w:val="InitFigR"/>
            </w:pPr>
            <w:r w:rsidRPr="002221D2">
              <w:t>145</w:t>
            </w:r>
          </w:p>
        </w:tc>
        <w:tc>
          <w:tcPr>
            <w:tcW w:w="1041" w:type="dxa"/>
          </w:tcPr>
          <w:p w14:paraId="0F9023F3" w14:textId="77777777" w:rsidR="00CF0E2D" w:rsidRPr="002221D2" w:rsidRDefault="00CF0E2D" w:rsidP="00A60D4B">
            <w:pPr>
              <w:pStyle w:val="InitFigR"/>
            </w:pPr>
            <w:r w:rsidRPr="002221D2">
              <w:t>10</w:t>
            </w:r>
          </w:p>
        </w:tc>
        <w:tc>
          <w:tcPr>
            <w:tcW w:w="1029" w:type="dxa"/>
          </w:tcPr>
          <w:p w14:paraId="27BFD97A" w14:textId="77777777" w:rsidR="00CF0E2D" w:rsidRPr="002221D2" w:rsidRDefault="00CF0E2D" w:rsidP="00A60D4B">
            <w:pPr>
              <w:pStyle w:val="InitFigR"/>
            </w:pPr>
            <w:r w:rsidRPr="002221D2">
              <w:t>10</w:t>
            </w:r>
          </w:p>
        </w:tc>
        <w:tc>
          <w:tcPr>
            <w:tcW w:w="1029" w:type="dxa"/>
          </w:tcPr>
          <w:p w14:paraId="0606D9A4" w14:textId="77777777" w:rsidR="00CF0E2D" w:rsidRPr="002221D2" w:rsidRDefault="00CF0E2D" w:rsidP="00A60D4B">
            <w:pPr>
              <w:pStyle w:val="InitFigR"/>
            </w:pPr>
            <w:r w:rsidRPr="002221D2">
              <w:t>10</w:t>
            </w:r>
          </w:p>
        </w:tc>
        <w:tc>
          <w:tcPr>
            <w:tcW w:w="1029" w:type="dxa"/>
          </w:tcPr>
          <w:p w14:paraId="4FD82485" w14:textId="77777777" w:rsidR="00CF0E2D" w:rsidRPr="002221D2" w:rsidRDefault="00CF0E2D" w:rsidP="00A60D4B">
            <w:pPr>
              <w:pStyle w:val="InitFigBR"/>
              <w:rPr>
                <w:bCs/>
              </w:rPr>
            </w:pPr>
            <w:r w:rsidRPr="002221D2">
              <w:rPr>
                <w:bCs/>
              </w:rPr>
              <w:t>175</w:t>
            </w:r>
          </w:p>
        </w:tc>
      </w:tr>
      <w:tr w:rsidR="00CF0E2D" w:rsidRPr="002221D2" w14:paraId="3A6CCFF5" w14:textId="77777777" w:rsidTr="00A60D4B">
        <w:trPr>
          <w:cantSplit/>
          <w:jc w:val="center"/>
        </w:trPr>
        <w:tc>
          <w:tcPr>
            <w:tcW w:w="3652" w:type="dxa"/>
          </w:tcPr>
          <w:p w14:paraId="74BFA782" w14:textId="77777777" w:rsidR="00CF0E2D" w:rsidRPr="002221D2" w:rsidDel="002B63D3" w:rsidRDefault="00CF0E2D" w:rsidP="00A60D4B">
            <w:pPr>
              <w:pStyle w:val="InitTextL"/>
              <w:ind w:left="321" w:hanging="321"/>
            </w:pPr>
            <w:r w:rsidRPr="002221D2">
              <w:t>Revenue Forgone</w:t>
            </w:r>
          </w:p>
        </w:tc>
        <w:tc>
          <w:tcPr>
            <w:tcW w:w="1179" w:type="dxa"/>
          </w:tcPr>
          <w:p w14:paraId="778A1EC8" w14:textId="77777777" w:rsidR="00CF0E2D" w:rsidRPr="002221D2" w:rsidRDefault="00CF0E2D" w:rsidP="00A60D4B">
            <w:pPr>
              <w:pStyle w:val="InitFigR"/>
            </w:pPr>
            <w:r w:rsidRPr="002221D2">
              <w:t>24</w:t>
            </w:r>
          </w:p>
        </w:tc>
        <w:tc>
          <w:tcPr>
            <w:tcW w:w="1041" w:type="dxa"/>
          </w:tcPr>
          <w:p w14:paraId="08CBE8E7" w14:textId="77777777" w:rsidR="00CF0E2D" w:rsidRPr="002221D2" w:rsidRDefault="00CF0E2D" w:rsidP="00A60D4B">
            <w:pPr>
              <w:pStyle w:val="InitFigR"/>
            </w:pPr>
            <w:r w:rsidRPr="002221D2">
              <w:t>22</w:t>
            </w:r>
          </w:p>
        </w:tc>
        <w:tc>
          <w:tcPr>
            <w:tcW w:w="1029" w:type="dxa"/>
          </w:tcPr>
          <w:p w14:paraId="11B29E58" w14:textId="77777777" w:rsidR="00CF0E2D" w:rsidRPr="002221D2" w:rsidRDefault="00CF0E2D" w:rsidP="00A60D4B">
            <w:pPr>
              <w:pStyle w:val="InitFigR"/>
            </w:pPr>
            <w:r w:rsidRPr="002221D2">
              <w:t>21</w:t>
            </w:r>
          </w:p>
        </w:tc>
        <w:tc>
          <w:tcPr>
            <w:tcW w:w="1029" w:type="dxa"/>
          </w:tcPr>
          <w:p w14:paraId="0C7140D5" w14:textId="77777777" w:rsidR="00CF0E2D" w:rsidRPr="002221D2" w:rsidRDefault="00CF0E2D" w:rsidP="00A60D4B">
            <w:pPr>
              <w:pStyle w:val="InitFigR"/>
            </w:pPr>
            <w:r w:rsidRPr="002221D2">
              <w:t>19</w:t>
            </w:r>
          </w:p>
        </w:tc>
        <w:tc>
          <w:tcPr>
            <w:tcW w:w="1029" w:type="dxa"/>
          </w:tcPr>
          <w:p w14:paraId="6FD0DAF5" w14:textId="77777777" w:rsidR="00CF0E2D" w:rsidRPr="002221D2" w:rsidRDefault="00CF0E2D" w:rsidP="00A60D4B">
            <w:pPr>
              <w:pStyle w:val="InitFigBR"/>
              <w:rPr>
                <w:bCs/>
              </w:rPr>
            </w:pPr>
            <w:r w:rsidRPr="002221D2">
              <w:rPr>
                <w:bCs/>
              </w:rPr>
              <w:t>86</w:t>
            </w:r>
          </w:p>
        </w:tc>
      </w:tr>
      <w:tr w:rsidR="00CF0E2D" w:rsidRPr="002221D2" w14:paraId="0F6B85EC" w14:textId="77777777" w:rsidTr="00A60D4B">
        <w:trPr>
          <w:cantSplit/>
          <w:trHeight w:val="107"/>
          <w:jc w:val="center"/>
        </w:trPr>
        <w:tc>
          <w:tcPr>
            <w:tcW w:w="3652" w:type="dxa"/>
            <w:tcBorders>
              <w:top w:val="single" w:sz="4" w:space="0" w:color="auto"/>
              <w:bottom w:val="single" w:sz="4" w:space="0" w:color="auto"/>
            </w:tcBorders>
          </w:tcPr>
          <w:p w14:paraId="7B72B3A8" w14:textId="77777777" w:rsidR="00CF0E2D" w:rsidRPr="002221D2" w:rsidRDefault="00CF0E2D" w:rsidP="00A60D4B">
            <w:pPr>
              <w:pStyle w:val="InitFigLBold"/>
              <w:ind w:left="321" w:hanging="321"/>
            </w:pPr>
            <w:r w:rsidRPr="002221D2">
              <w:t>Net cost of services</w:t>
            </w:r>
          </w:p>
        </w:tc>
        <w:tc>
          <w:tcPr>
            <w:tcW w:w="1179" w:type="dxa"/>
            <w:tcBorders>
              <w:top w:val="single" w:sz="4" w:space="0" w:color="auto"/>
              <w:bottom w:val="single" w:sz="4" w:space="0" w:color="auto"/>
            </w:tcBorders>
          </w:tcPr>
          <w:p w14:paraId="7A632312" w14:textId="77777777" w:rsidR="00CF0E2D" w:rsidRPr="002221D2" w:rsidRDefault="00CF0E2D" w:rsidP="00A60D4B">
            <w:pPr>
              <w:pStyle w:val="InitFigRBold"/>
            </w:pPr>
            <w:r w:rsidRPr="002221D2">
              <w:t>634</w:t>
            </w:r>
          </w:p>
        </w:tc>
        <w:tc>
          <w:tcPr>
            <w:tcW w:w="1041" w:type="dxa"/>
            <w:tcBorders>
              <w:top w:val="single" w:sz="4" w:space="0" w:color="auto"/>
              <w:bottom w:val="single" w:sz="4" w:space="0" w:color="auto"/>
            </w:tcBorders>
          </w:tcPr>
          <w:p w14:paraId="4845713C" w14:textId="77777777" w:rsidR="00CF0E2D" w:rsidRPr="002221D2" w:rsidRDefault="00CF0E2D" w:rsidP="00A60D4B">
            <w:pPr>
              <w:pStyle w:val="InitFigRBold"/>
            </w:pPr>
            <w:r w:rsidRPr="002221D2">
              <w:t>962</w:t>
            </w:r>
          </w:p>
        </w:tc>
        <w:tc>
          <w:tcPr>
            <w:tcW w:w="1029" w:type="dxa"/>
            <w:tcBorders>
              <w:top w:val="single" w:sz="4" w:space="0" w:color="auto"/>
              <w:bottom w:val="single" w:sz="4" w:space="0" w:color="auto"/>
            </w:tcBorders>
          </w:tcPr>
          <w:p w14:paraId="2B15E2D7" w14:textId="77777777" w:rsidR="00CF0E2D" w:rsidRPr="002221D2" w:rsidRDefault="00CF0E2D" w:rsidP="00A60D4B">
            <w:pPr>
              <w:pStyle w:val="InitFigRBold"/>
            </w:pPr>
            <w:r w:rsidRPr="002221D2">
              <w:t>961</w:t>
            </w:r>
          </w:p>
        </w:tc>
        <w:tc>
          <w:tcPr>
            <w:tcW w:w="1029" w:type="dxa"/>
            <w:tcBorders>
              <w:top w:val="single" w:sz="4" w:space="0" w:color="auto"/>
              <w:bottom w:val="single" w:sz="4" w:space="0" w:color="auto"/>
            </w:tcBorders>
          </w:tcPr>
          <w:p w14:paraId="01AC15FF" w14:textId="77777777" w:rsidR="00CF0E2D" w:rsidRPr="002221D2" w:rsidRDefault="00CF0E2D" w:rsidP="00A60D4B">
            <w:pPr>
              <w:pStyle w:val="InitFigRBold"/>
            </w:pPr>
            <w:r w:rsidRPr="002221D2">
              <w:t>1,005</w:t>
            </w:r>
          </w:p>
        </w:tc>
        <w:tc>
          <w:tcPr>
            <w:tcW w:w="1029" w:type="dxa"/>
            <w:tcBorders>
              <w:top w:val="single" w:sz="4" w:space="0" w:color="auto"/>
              <w:bottom w:val="single" w:sz="4" w:space="0" w:color="auto"/>
            </w:tcBorders>
          </w:tcPr>
          <w:p w14:paraId="41D47A7B" w14:textId="77777777" w:rsidR="00CF0E2D" w:rsidRPr="002221D2" w:rsidRDefault="00CF0E2D" w:rsidP="00A60D4B">
            <w:pPr>
              <w:pStyle w:val="InitFigRBold"/>
            </w:pPr>
            <w:r w:rsidRPr="002221D2">
              <w:t>3,562</w:t>
            </w:r>
          </w:p>
        </w:tc>
      </w:tr>
    </w:tbl>
    <w:p w14:paraId="2AFD72EC" w14:textId="77777777" w:rsidR="00CF0E2D" w:rsidRPr="002221D2" w:rsidRDefault="00CF0E2D" w:rsidP="00A60D4B">
      <w:pPr>
        <w:pStyle w:val="Bbodytext"/>
      </w:pPr>
      <w:r w:rsidRPr="002221D2">
        <w:t>The Government will</w:t>
      </w:r>
      <w:r>
        <w:t xml:space="preserve"> restructure the financial support it provides to</w:t>
      </w:r>
      <w:r w:rsidRPr="002221D2">
        <w:t xml:space="preserve"> Community Housing Canberra Limited (CHC) </w:t>
      </w:r>
      <w:r>
        <w:t xml:space="preserve">to maintain and grow affordable housing. </w:t>
      </w:r>
      <w:r w:rsidRPr="002221D2">
        <w:t xml:space="preserve">CHC's outstanding loans </w:t>
      </w:r>
      <w:r>
        <w:t xml:space="preserve">to the Territory will be extinguished </w:t>
      </w:r>
      <w:r w:rsidRPr="002221D2">
        <w:t>through a transfer of properties from CHC to the Territory</w:t>
      </w:r>
      <w:r>
        <w:t>, with the properties continuing to be managed by CHC as affordable rentals on behalf of the Government under a long-term management contract</w:t>
      </w:r>
      <w:r w:rsidRPr="002221D2">
        <w:t>.</w:t>
      </w:r>
      <w:r>
        <w:t xml:space="preserve"> This will maintain the level of affordable rental stock available and support CHC to grow its affordable rental portfolio.</w:t>
      </w:r>
      <w:r w:rsidRPr="002221D2">
        <w:t xml:space="preserve">  </w:t>
      </w:r>
    </w:p>
    <w:p w14:paraId="582E8673" w14:textId="77777777" w:rsidR="00CF0E2D" w:rsidRDefault="00CF0E2D" w:rsidP="00A60D4B">
      <w:pPr>
        <w:pStyle w:val="Bbodytext"/>
      </w:pPr>
      <w:r w:rsidRPr="002221D2">
        <w:t xml:space="preserve">This </w:t>
      </w:r>
      <w:r>
        <w:t>initiative contributes to the Government’s affordable housing commitments and supports</w:t>
      </w:r>
      <w:r w:rsidRPr="002221D2">
        <w:t xml:space="preserve"> the wellbeing domain</w:t>
      </w:r>
      <w:r>
        <w:t>s</w:t>
      </w:r>
      <w:r w:rsidRPr="002221D2">
        <w:t xml:space="preserve"> of Housing and </w:t>
      </w:r>
      <w:r>
        <w:t>h</w:t>
      </w:r>
      <w:r w:rsidRPr="002221D2">
        <w:t>ome</w:t>
      </w:r>
      <w:r>
        <w:t xml:space="preserve"> and</w:t>
      </w:r>
      <w:r w:rsidRPr="002221D2">
        <w:t xml:space="preserve"> Living </w:t>
      </w:r>
      <w:r>
        <w:t>s</w:t>
      </w:r>
      <w:r w:rsidRPr="002221D2">
        <w:t xml:space="preserve">tandards. </w:t>
      </w:r>
    </w:p>
    <w:p w14:paraId="0BE8C4E5" w14:textId="77777777" w:rsidR="00CF0E2D" w:rsidRDefault="00CF0E2D" w:rsidP="00A60D4B">
      <w:pPr>
        <w:pStyle w:val="Bbodytext"/>
      </w:pPr>
    </w:p>
    <w:p w14:paraId="7BD633DE" w14:textId="77777777" w:rsidR="00CF0E2D" w:rsidRDefault="00CF0E2D" w:rsidP="00A60D4B">
      <w:pPr>
        <w:pStyle w:val="Heading4"/>
      </w:pPr>
      <w:bookmarkStart w:id="35" w:name="_Hlk84171686"/>
      <w:r w:rsidRPr="00016E62">
        <w:lastRenderedPageBreak/>
        <w:t xml:space="preserve">Maintaining and growing affordable housing </w:t>
      </w:r>
      <w:r>
        <w:t>–</w:t>
      </w:r>
      <w:r w:rsidRPr="00016E62">
        <w:t xml:space="preserve"> Increased awareness and compliance of 2021-22 tax settings</w:t>
      </w:r>
      <w:r>
        <w:t xml:space="preserve"> </w:t>
      </w:r>
      <w:r>
        <w:rPr>
          <w:b w:val="0"/>
          <w:noProof/>
          <w:color w:val="999789"/>
          <w:sz w:val="32"/>
          <w:szCs w:val="24"/>
        </w:rPr>
        <w:drawing>
          <wp:anchor distT="0" distB="0" distL="114300" distR="114300" simplePos="0" relativeHeight="251758592" behindDoc="0" locked="1" layoutInCell="1" allowOverlap="1" wp14:anchorId="3D57EF1A" wp14:editId="717C94E7">
            <wp:simplePos x="0" y="0"/>
            <wp:positionH relativeFrom="margin">
              <wp:align>right</wp:align>
            </wp:positionH>
            <wp:positionV relativeFrom="paragraph">
              <wp:posOffset>45720</wp:posOffset>
            </wp:positionV>
            <wp:extent cx="1421765" cy="503555"/>
            <wp:effectExtent l="0" t="0" r="6985" b="0"/>
            <wp:wrapSquare wrapText="bothSides"/>
            <wp:docPr id="271" name="Picture 271" descr="Icon representing the wellbeing domain of Governance and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con representing the wellbeing domain of Governance and institutions"/>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21765" cy="503555"/>
                    </a:xfrm>
                    <a:prstGeom prst="rect">
                      <a:avLst/>
                    </a:prstGeom>
                  </pic:spPr>
                </pic:pic>
              </a:graphicData>
            </a:graphic>
            <wp14:sizeRelH relativeFrom="margin">
              <wp14:pctWidth>0</wp14:pctWidth>
            </wp14:sizeRelH>
            <wp14:sizeRelV relativeFrom="margin">
              <wp14:pctHeight>0</wp14:pctHeight>
            </wp14:sizeRelV>
          </wp:anchor>
        </w:drawing>
      </w:r>
    </w:p>
    <w:tbl>
      <w:tblPr>
        <w:tblW w:w="9072" w:type="dxa"/>
        <w:jc w:val="center"/>
        <w:tblBorders>
          <w:top w:val="single" w:sz="4" w:space="0" w:color="auto"/>
          <w:bottom w:val="single" w:sz="4" w:space="0" w:color="auto"/>
        </w:tblBorders>
        <w:tblLayout w:type="fixed"/>
        <w:tblLook w:val="0000" w:firstRow="0" w:lastRow="0" w:firstColumn="0" w:lastColumn="0" w:noHBand="0" w:noVBand="0"/>
      </w:tblPr>
      <w:tblGrid>
        <w:gridCol w:w="3652"/>
        <w:gridCol w:w="1179"/>
        <w:gridCol w:w="1041"/>
        <w:gridCol w:w="1029"/>
        <w:gridCol w:w="1029"/>
        <w:gridCol w:w="1142"/>
      </w:tblGrid>
      <w:tr w:rsidR="00CF0E2D" w:rsidRPr="00750793" w14:paraId="199F8714" w14:textId="77777777" w:rsidTr="00A60D4B">
        <w:trPr>
          <w:cantSplit/>
          <w:jc w:val="center"/>
        </w:trPr>
        <w:tc>
          <w:tcPr>
            <w:tcW w:w="3652" w:type="dxa"/>
            <w:tcBorders>
              <w:top w:val="single" w:sz="4" w:space="0" w:color="auto"/>
              <w:bottom w:val="single" w:sz="4" w:space="0" w:color="auto"/>
            </w:tcBorders>
          </w:tcPr>
          <w:p w14:paraId="6390D211"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45D7D148" w14:textId="77777777" w:rsidR="00CF0E2D" w:rsidRPr="008B552F" w:rsidRDefault="00CF0E2D" w:rsidP="00A60D4B">
            <w:pPr>
              <w:pStyle w:val="InitFigR"/>
              <w:rPr>
                <w:b/>
                <w:bCs/>
              </w:rPr>
            </w:pPr>
            <w:r w:rsidRPr="008B552F">
              <w:rPr>
                <w:b/>
                <w:bCs/>
              </w:rPr>
              <w:t>2021-22</w:t>
            </w:r>
          </w:p>
          <w:p w14:paraId="0384A1B5" w14:textId="77777777" w:rsidR="00CF0E2D" w:rsidRPr="008B552F" w:rsidRDefault="00CF0E2D" w:rsidP="00A60D4B">
            <w:pPr>
              <w:pStyle w:val="InitFigR"/>
              <w:rPr>
                <w:b/>
                <w:bCs/>
              </w:rPr>
            </w:pPr>
            <w:r w:rsidRPr="008B552F">
              <w:rPr>
                <w:b/>
                <w:bCs/>
              </w:rPr>
              <w:t>$’000</w:t>
            </w:r>
          </w:p>
        </w:tc>
        <w:tc>
          <w:tcPr>
            <w:tcW w:w="1041" w:type="dxa"/>
            <w:tcBorders>
              <w:top w:val="single" w:sz="4" w:space="0" w:color="auto"/>
              <w:bottom w:val="single" w:sz="4" w:space="0" w:color="auto"/>
            </w:tcBorders>
          </w:tcPr>
          <w:p w14:paraId="123C5B79" w14:textId="77777777" w:rsidR="00CF0E2D" w:rsidRPr="008B552F" w:rsidRDefault="00CF0E2D" w:rsidP="00A60D4B">
            <w:pPr>
              <w:pStyle w:val="InitFigR"/>
              <w:rPr>
                <w:b/>
                <w:bCs/>
              </w:rPr>
            </w:pPr>
            <w:r w:rsidRPr="008B552F">
              <w:rPr>
                <w:b/>
                <w:bCs/>
              </w:rPr>
              <w:t>2022-23</w:t>
            </w:r>
          </w:p>
          <w:p w14:paraId="308DE5B5" w14:textId="77777777" w:rsidR="00CF0E2D" w:rsidRPr="008B552F" w:rsidRDefault="00CF0E2D" w:rsidP="00A60D4B">
            <w:pPr>
              <w:pStyle w:val="InitFigR"/>
              <w:rPr>
                <w:b/>
                <w:bCs/>
              </w:rPr>
            </w:pPr>
            <w:r w:rsidRPr="008B552F">
              <w:rPr>
                <w:b/>
                <w:bCs/>
              </w:rPr>
              <w:t>$’000</w:t>
            </w:r>
          </w:p>
        </w:tc>
        <w:tc>
          <w:tcPr>
            <w:tcW w:w="1029" w:type="dxa"/>
            <w:tcBorders>
              <w:top w:val="single" w:sz="4" w:space="0" w:color="auto"/>
              <w:bottom w:val="single" w:sz="4" w:space="0" w:color="auto"/>
            </w:tcBorders>
          </w:tcPr>
          <w:p w14:paraId="4EB225CC" w14:textId="77777777" w:rsidR="00CF0E2D" w:rsidRPr="008B552F" w:rsidRDefault="00CF0E2D" w:rsidP="00A60D4B">
            <w:pPr>
              <w:pStyle w:val="InitFigR"/>
              <w:rPr>
                <w:b/>
                <w:bCs/>
              </w:rPr>
            </w:pPr>
            <w:r w:rsidRPr="008B552F">
              <w:rPr>
                <w:b/>
                <w:bCs/>
              </w:rPr>
              <w:t>2023-24</w:t>
            </w:r>
          </w:p>
          <w:p w14:paraId="2360E32B" w14:textId="77777777" w:rsidR="00CF0E2D" w:rsidRPr="008B552F" w:rsidRDefault="00CF0E2D" w:rsidP="00A60D4B">
            <w:pPr>
              <w:pStyle w:val="InitFigR"/>
              <w:rPr>
                <w:b/>
                <w:bCs/>
              </w:rPr>
            </w:pPr>
            <w:r w:rsidRPr="008B552F">
              <w:rPr>
                <w:b/>
                <w:bCs/>
              </w:rPr>
              <w:t>$’000</w:t>
            </w:r>
          </w:p>
        </w:tc>
        <w:tc>
          <w:tcPr>
            <w:tcW w:w="1029" w:type="dxa"/>
            <w:tcBorders>
              <w:top w:val="single" w:sz="4" w:space="0" w:color="auto"/>
              <w:bottom w:val="single" w:sz="4" w:space="0" w:color="auto"/>
            </w:tcBorders>
          </w:tcPr>
          <w:p w14:paraId="56F7BD37" w14:textId="77777777" w:rsidR="00CF0E2D" w:rsidRPr="008B552F" w:rsidRDefault="00CF0E2D" w:rsidP="00A60D4B">
            <w:pPr>
              <w:pStyle w:val="InitFigR"/>
              <w:rPr>
                <w:b/>
                <w:bCs/>
              </w:rPr>
            </w:pPr>
            <w:r w:rsidRPr="008B552F">
              <w:rPr>
                <w:b/>
                <w:bCs/>
              </w:rPr>
              <w:t>2024-25</w:t>
            </w:r>
          </w:p>
          <w:p w14:paraId="7922C397" w14:textId="77777777" w:rsidR="00CF0E2D" w:rsidRPr="008B552F" w:rsidRDefault="00CF0E2D" w:rsidP="00A60D4B">
            <w:pPr>
              <w:pStyle w:val="InitFigR"/>
              <w:rPr>
                <w:b/>
                <w:bCs/>
              </w:rPr>
            </w:pPr>
            <w:r w:rsidRPr="008B552F">
              <w:rPr>
                <w:b/>
                <w:bCs/>
              </w:rPr>
              <w:t>$’000</w:t>
            </w:r>
          </w:p>
        </w:tc>
        <w:tc>
          <w:tcPr>
            <w:tcW w:w="1142" w:type="dxa"/>
            <w:tcBorders>
              <w:top w:val="single" w:sz="4" w:space="0" w:color="auto"/>
              <w:bottom w:val="single" w:sz="4" w:space="0" w:color="auto"/>
            </w:tcBorders>
          </w:tcPr>
          <w:p w14:paraId="45B6652D" w14:textId="77777777" w:rsidR="00CF0E2D" w:rsidRPr="008B552F" w:rsidRDefault="00CF0E2D" w:rsidP="00A60D4B">
            <w:pPr>
              <w:pStyle w:val="InitFigRBold"/>
              <w:rPr>
                <w:bCs/>
              </w:rPr>
            </w:pPr>
            <w:r w:rsidRPr="008B552F">
              <w:rPr>
                <w:bCs/>
              </w:rPr>
              <w:t>Total</w:t>
            </w:r>
          </w:p>
          <w:p w14:paraId="015449CA" w14:textId="77777777" w:rsidR="00CF0E2D" w:rsidRPr="008B552F" w:rsidRDefault="00CF0E2D" w:rsidP="00A60D4B">
            <w:pPr>
              <w:pStyle w:val="InitFigBR"/>
              <w:rPr>
                <w:bCs/>
              </w:rPr>
            </w:pPr>
            <w:r w:rsidRPr="008B552F">
              <w:rPr>
                <w:bCs/>
              </w:rPr>
              <w:t>$’000</w:t>
            </w:r>
          </w:p>
        </w:tc>
      </w:tr>
      <w:tr w:rsidR="00CF0E2D" w:rsidRPr="00750793" w14:paraId="115BC03D" w14:textId="77777777" w:rsidTr="00A60D4B">
        <w:trPr>
          <w:cantSplit/>
          <w:jc w:val="center"/>
        </w:trPr>
        <w:tc>
          <w:tcPr>
            <w:tcW w:w="3652" w:type="dxa"/>
            <w:tcBorders>
              <w:bottom w:val="single" w:sz="4" w:space="0" w:color="auto"/>
            </w:tcBorders>
          </w:tcPr>
          <w:p w14:paraId="180DC2B1" w14:textId="77777777" w:rsidR="00CF0E2D" w:rsidRPr="006D3156" w:rsidRDefault="00CF0E2D" w:rsidP="00A60D4B">
            <w:pPr>
              <w:pStyle w:val="InitTextL"/>
              <w:ind w:left="321" w:hanging="321"/>
            </w:pPr>
            <w:r w:rsidRPr="006D3156">
              <w:t>Expense</w:t>
            </w:r>
          </w:p>
        </w:tc>
        <w:tc>
          <w:tcPr>
            <w:tcW w:w="1179" w:type="dxa"/>
            <w:tcBorders>
              <w:bottom w:val="single" w:sz="4" w:space="0" w:color="auto"/>
            </w:tcBorders>
          </w:tcPr>
          <w:p w14:paraId="62F2B6A9" w14:textId="77777777" w:rsidR="00CF0E2D" w:rsidRDefault="00CF0E2D" w:rsidP="00A60D4B">
            <w:pPr>
              <w:pStyle w:val="InitFigR"/>
            </w:pPr>
            <w:r w:rsidRPr="00E0498B">
              <w:t>500</w:t>
            </w:r>
          </w:p>
        </w:tc>
        <w:tc>
          <w:tcPr>
            <w:tcW w:w="1041" w:type="dxa"/>
            <w:tcBorders>
              <w:bottom w:val="single" w:sz="4" w:space="0" w:color="auto"/>
            </w:tcBorders>
          </w:tcPr>
          <w:p w14:paraId="145655FD" w14:textId="77777777" w:rsidR="00CF0E2D" w:rsidRDefault="00CF0E2D" w:rsidP="00A60D4B">
            <w:pPr>
              <w:pStyle w:val="InitFigR"/>
            </w:pPr>
            <w:r w:rsidRPr="00E0498B">
              <w:t>507</w:t>
            </w:r>
          </w:p>
        </w:tc>
        <w:tc>
          <w:tcPr>
            <w:tcW w:w="1029" w:type="dxa"/>
            <w:tcBorders>
              <w:bottom w:val="single" w:sz="4" w:space="0" w:color="auto"/>
            </w:tcBorders>
          </w:tcPr>
          <w:p w14:paraId="4F2D8BF3" w14:textId="77777777" w:rsidR="00CF0E2D" w:rsidRDefault="00CF0E2D" w:rsidP="00A60D4B">
            <w:pPr>
              <w:pStyle w:val="InitFigR"/>
            </w:pPr>
            <w:r w:rsidRPr="00E0498B">
              <w:t>514</w:t>
            </w:r>
          </w:p>
        </w:tc>
        <w:tc>
          <w:tcPr>
            <w:tcW w:w="1029" w:type="dxa"/>
            <w:tcBorders>
              <w:bottom w:val="single" w:sz="4" w:space="0" w:color="auto"/>
            </w:tcBorders>
          </w:tcPr>
          <w:p w14:paraId="215EB63B" w14:textId="77777777" w:rsidR="00CF0E2D" w:rsidRDefault="00CF0E2D" w:rsidP="00A60D4B">
            <w:pPr>
              <w:pStyle w:val="InitFigR"/>
            </w:pPr>
            <w:r w:rsidRPr="00E0498B">
              <w:t>521</w:t>
            </w:r>
          </w:p>
        </w:tc>
        <w:tc>
          <w:tcPr>
            <w:tcW w:w="1142" w:type="dxa"/>
            <w:tcBorders>
              <w:bottom w:val="single" w:sz="4" w:space="0" w:color="auto"/>
            </w:tcBorders>
          </w:tcPr>
          <w:p w14:paraId="4981BDD0" w14:textId="77777777" w:rsidR="00CF0E2D" w:rsidRDefault="00CF0E2D" w:rsidP="00A60D4B">
            <w:pPr>
              <w:pStyle w:val="InitFigBR"/>
            </w:pPr>
            <w:r w:rsidRPr="0081063C">
              <w:t>2</w:t>
            </w:r>
            <w:r>
              <w:t>,</w:t>
            </w:r>
            <w:r w:rsidRPr="0081063C">
              <w:t>042</w:t>
            </w:r>
          </w:p>
        </w:tc>
      </w:tr>
    </w:tbl>
    <w:p w14:paraId="07EA9850" w14:textId="77777777" w:rsidR="00CF0E2D" w:rsidRPr="00722E56" w:rsidRDefault="00CF0E2D" w:rsidP="00A60D4B">
      <w:pPr>
        <w:pStyle w:val="Bbodytext"/>
      </w:pPr>
      <w:r w:rsidRPr="00722E56">
        <w:t xml:space="preserve">The Government is providing additional resources to the </w:t>
      </w:r>
      <w:r>
        <w:t xml:space="preserve">ACT </w:t>
      </w:r>
      <w:r w:rsidRPr="00722E56">
        <w:t>Revenue Office to administer and undertake communication activities</w:t>
      </w:r>
      <w:r>
        <w:t xml:space="preserve"> and</w:t>
      </w:r>
      <w:r w:rsidRPr="00722E56">
        <w:t xml:space="preserve"> compliance associated with the following 2021-22 tax initiatives that support affordable housing purchases by owner-occupiers:</w:t>
      </w:r>
    </w:p>
    <w:p w14:paraId="4DE1F8B9" w14:textId="77777777" w:rsidR="00CF0E2D" w:rsidRPr="00B50762" w:rsidRDefault="00CF0E2D" w:rsidP="00CF0E2D">
      <w:pPr>
        <w:pStyle w:val="ListParagraph"/>
        <w:numPr>
          <w:ilvl w:val="0"/>
          <w:numId w:val="34"/>
        </w:numPr>
        <w:spacing w:before="200" w:after="0" w:line="240" w:lineRule="auto"/>
        <w:ind w:left="360"/>
        <w:contextualSpacing w:val="0"/>
        <w:rPr>
          <w:sz w:val="24"/>
          <w:lang w:eastAsia="en-AU"/>
        </w:rPr>
      </w:pPr>
      <w:r w:rsidRPr="00EB652B">
        <w:rPr>
          <w:sz w:val="24"/>
          <w:lang w:eastAsia="en-AU"/>
        </w:rPr>
        <w:t>conveyance duty concessions for off-the-plan units valued at $500,000 or below purchased by owner-occupiers, which have been extended on a permanent basis; and</w:t>
      </w:r>
    </w:p>
    <w:p w14:paraId="710FABDE" w14:textId="77777777" w:rsidR="00CF0E2D" w:rsidRPr="00B50762" w:rsidRDefault="00CF0E2D" w:rsidP="00CF0E2D">
      <w:pPr>
        <w:pStyle w:val="ListParagraph"/>
        <w:numPr>
          <w:ilvl w:val="0"/>
          <w:numId w:val="34"/>
        </w:numPr>
        <w:spacing w:before="200" w:after="0" w:line="240" w:lineRule="auto"/>
        <w:ind w:left="360"/>
        <w:contextualSpacing w:val="0"/>
        <w:rPr>
          <w:sz w:val="24"/>
          <w:lang w:eastAsia="en-AU"/>
        </w:rPr>
      </w:pPr>
      <w:r w:rsidRPr="00EB652B">
        <w:rPr>
          <w:sz w:val="24"/>
          <w:lang w:eastAsia="en-AU"/>
        </w:rPr>
        <w:t>a lower residential conveyance duty tax rate at the bottom threshold for owner</w:t>
      </w:r>
      <w:r w:rsidRPr="00EB652B">
        <w:rPr>
          <w:sz w:val="24"/>
          <w:lang w:eastAsia="en-AU"/>
        </w:rPr>
        <w:noBreakHyphen/>
        <w:t>occupiers.</w:t>
      </w:r>
    </w:p>
    <w:p w14:paraId="01415B9D" w14:textId="77777777" w:rsidR="00CF0E2D" w:rsidRPr="00722E56" w:rsidRDefault="00CF0E2D" w:rsidP="00A60D4B">
      <w:pPr>
        <w:pStyle w:val="Bbodytext"/>
      </w:pPr>
      <w:r w:rsidRPr="00722E56">
        <w:t>This initiative contributes to the wellbeing domain of Governance and institutions.</w:t>
      </w:r>
    </w:p>
    <w:bookmarkEnd w:id="35"/>
    <w:p w14:paraId="4364422B" w14:textId="77777777" w:rsidR="00CF0E2D" w:rsidRPr="00CA129C" w:rsidRDefault="00CF0E2D" w:rsidP="00A60D4B"/>
    <w:p w14:paraId="784B44EF" w14:textId="77777777" w:rsidR="00CF0E2D" w:rsidRPr="00A775CB" w:rsidRDefault="00CF0E2D" w:rsidP="00A60D4B">
      <w:pPr>
        <w:pStyle w:val="Heading4"/>
        <w:rPr>
          <w:rFonts w:eastAsia="Times New Roman" w:cs="Times New Roman"/>
          <w:bCs/>
          <w:szCs w:val="26"/>
          <w:lang w:val="x-none"/>
        </w:rPr>
      </w:pPr>
      <w:r w:rsidRPr="00FD6BF3">
        <w:rPr>
          <w:rFonts w:eastAsia="Times New Roman"/>
        </w:rPr>
        <w:t xml:space="preserve">Maintaining and growing affordable housing </w:t>
      </w:r>
      <w:r>
        <w:rPr>
          <w:rFonts w:eastAsia="Times New Roman" w:cs="Times New Roman"/>
          <w:bCs/>
          <w:szCs w:val="26"/>
        </w:rPr>
        <w:t>–</w:t>
      </w:r>
      <w:r w:rsidRPr="00FD6BF3">
        <w:rPr>
          <w:rFonts w:eastAsia="Times New Roman" w:cs="Times New Roman"/>
          <w:bCs/>
          <w:szCs w:val="26"/>
          <w:lang w:val="x-none"/>
        </w:rPr>
        <w:t xml:space="preserve"> Piloting build-to-rent projects with affordable rental</w:t>
      </w:r>
      <w:r>
        <w:rPr>
          <w:b w:val="0"/>
          <w:noProof/>
          <w:color w:val="999789"/>
          <w:sz w:val="32"/>
          <w:szCs w:val="24"/>
        </w:rPr>
        <w:drawing>
          <wp:anchor distT="0" distB="0" distL="114300" distR="114300" simplePos="0" relativeHeight="251759616" behindDoc="0" locked="1" layoutInCell="1" allowOverlap="1" wp14:anchorId="536967AA" wp14:editId="0DBAC771">
            <wp:simplePos x="0" y="0"/>
            <wp:positionH relativeFrom="margin">
              <wp:align>right</wp:align>
            </wp:positionH>
            <wp:positionV relativeFrom="paragraph">
              <wp:posOffset>59055</wp:posOffset>
            </wp:positionV>
            <wp:extent cx="1104900" cy="503555"/>
            <wp:effectExtent l="0" t="0" r="0" b="0"/>
            <wp:wrapSquare wrapText="bothSides"/>
            <wp:docPr id="272" name="Picture 272" descr="Icon representing the wellbeing domain of Housing and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Icon representing the wellbeing domain of Housing and ho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10490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2221D2" w14:paraId="291AE77F" w14:textId="77777777" w:rsidTr="00A60D4B">
        <w:trPr>
          <w:cantSplit/>
          <w:jc w:val="center"/>
        </w:trPr>
        <w:tc>
          <w:tcPr>
            <w:tcW w:w="3652" w:type="dxa"/>
            <w:tcBorders>
              <w:top w:val="single" w:sz="4" w:space="0" w:color="auto"/>
              <w:bottom w:val="single" w:sz="4" w:space="0" w:color="auto"/>
            </w:tcBorders>
          </w:tcPr>
          <w:p w14:paraId="7AA07DE8" w14:textId="77777777" w:rsidR="00CF0E2D" w:rsidRPr="002221D2" w:rsidRDefault="00CF0E2D" w:rsidP="00A60D4B">
            <w:pPr>
              <w:pStyle w:val="EmptyCell0"/>
              <w:keepNext/>
              <w:keepLines/>
            </w:pPr>
            <w:r w:rsidRPr="002221D2">
              <w:t>Empty Cell</w:t>
            </w:r>
          </w:p>
        </w:tc>
        <w:tc>
          <w:tcPr>
            <w:tcW w:w="1179" w:type="dxa"/>
            <w:tcBorders>
              <w:top w:val="single" w:sz="4" w:space="0" w:color="auto"/>
              <w:bottom w:val="single" w:sz="4" w:space="0" w:color="auto"/>
            </w:tcBorders>
          </w:tcPr>
          <w:p w14:paraId="7A0B1B7F" w14:textId="77777777" w:rsidR="00CF0E2D" w:rsidRPr="002221D2" w:rsidRDefault="00CF0E2D" w:rsidP="00A60D4B">
            <w:pPr>
              <w:pStyle w:val="InitFigR"/>
              <w:keepNext/>
              <w:keepLines/>
              <w:rPr>
                <w:b/>
                <w:bCs/>
              </w:rPr>
            </w:pPr>
            <w:r w:rsidRPr="002221D2">
              <w:rPr>
                <w:b/>
                <w:bCs/>
              </w:rPr>
              <w:t>2021-22</w:t>
            </w:r>
          </w:p>
          <w:p w14:paraId="172ADED6" w14:textId="77777777" w:rsidR="00CF0E2D" w:rsidRPr="002221D2" w:rsidRDefault="00CF0E2D" w:rsidP="00A60D4B">
            <w:pPr>
              <w:pStyle w:val="InitFigR"/>
              <w:keepNext/>
              <w:keepLines/>
              <w:rPr>
                <w:b/>
                <w:bCs/>
              </w:rPr>
            </w:pPr>
            <w:r w:rsidRPr="002221D2">
              <w:rPr>
                <w:b/>
                <w:bCs/>
              </w:rPr>
              <w:t>$’000</w:t>
            </w:r>
          </w:p>
        </w:tc>
        <w:tc>
          <w:tcPr>
            <w:tcW w:w="1041" w:type="dxa"/>
            <w:tcBorders>
              <w:top w:val="single" w:sz="4" w:space="0" w:color="auto"/>
              <w:bottom w:val="single" w:sz="4" w:space="0" w:color="auto"/>
            </w:tcBorders>
          </w:tcPr>
          <w:p w14:paraId="62B3696B" w14:textId="77777777" w:rsidR="00CF0E2D" w:rsidRPr="002221D2" w:rsidRDefault="00CF0E2D" w:rsidP="00A60D4B">
            <w:pPr>
              <w:pStyle w:val="InitFigR"/>
              <w:keepNext/>
              <w:keepLines/>
              <w:rPr>
                <w:b/>
                <w:bCs/>
              </w:rPr>
            </w:pPr>
            <w:r w:rsidRPr="002221D2">
              <w:rPr>
                <w:b/>
                <w:bCs/>
              </w:rPr>
              <w:t>2022-23</w:t>
            </w:r>
          </w:p>
          <w:p w14:paraId="17E0181F" w14:textId="77777777" w:rsidR="00CF0E2D" w:rsidRPr="002221D2" w:rsidRDefault="00CF0E2D" w:rsidP="00A60D4B">
            <w:pPr>
              <w:pStyle w:val="InitFigR"/>
              <w:keepNext/>
              <w:keepLines/>
              <w:rPr>
                <w:b/>
                <w:bCs/>
              </w:rPr>
            </w:pPr>
            <w:r w:rsidRPr="002221D2">
              <w:rPr>
                <w:b/>
                <w:bCs/>
              </w:rPr>
              <w:t>$’000</w:t>
            </w:r>
          </w:p>
        </w:tc>
        <w:tc>
          <w:tcPr>
            <w:tcW w:w="1029" w:type="dxa"/>
            <w:tcBorders>
              <w:top w:val="single" w:sz="4" w:space="0" w:color="auto"/>
              <w:bottom w:val="single" w:sz="4" w:space="0" w:color="auto"/>
            </w:tcBorders>
          </w:tcPr>
          <w:p w14:paraId="0B0A2678" w14:textId="77777777" w:rsidR="00CF0E2D" w:rsidRPr="002221D2" w:rsidRDefault="00CF0E2D" w:rsidP="00A60D4B">
            <w:pPr>
              <w:pStyle w:val="InitFigR"/>
              <w:keepNext/>
              <w:keepLines/>
              <w:rPr>
                <w:b/>
                <w:bCs/>
              </w:rPr>
            </w:pPr>
            <w:r w:rsidRPr="002221D2">
              <w:rPr>
                <w:b/>
                <w:bCs/>
              </w:rPr>
              <w:t>2023-24</w:t>
            </w:r>
          </w:p>
          <w:p w14:paraId="1F728ED4" w14:textId="77777777" w:rsidR="00CF0E2D" w:rsidRPr="002221D2" w:rsidRDefault="00CF0E2D" w:rsidP="00A60D4B">
            <w:pPr>
              <w:pStyle w:val="InitFigR"/>
              <w:keepNext/>
              <w:keepLines/>
              <w:rPr>
                <w:b/>
                <w:bCs/>
              </w:rPr>
            </w:pPr>
            <w:r w:rsidRPr="002221D2">
              <w:rPr>
                <w:b/>
                <w:bCs/>
              </w:rPr>
              <w:t>$’000</w:t>
            </w:r>
          </w:p>
        </w:tc>
        <w:tc>
          <w:tcPr>
            <w:tcW w:w="1029" w:type="dxa"/>
            <w:tcBorders>
              <w:top w:val="single" w:sz="4" w:space="0" w:color="auto"/>
              <w:bottom w:val="single" w:sz="4" w:space="0" w:color="auto"/>
            </w:tcBorders>
          </w:tcPr>
          <w:p w14:paraId="08DE2E90" w14:textId="77777777" w:rsidR="00CF0E2D" w:rsidRPr="002221D2" w:rsidRDefault="00CF0E2D" w:rsidP="00A60D4B">
            <w:pPr>
              <w:pStyle w:val="InitFigR"/>
              <w:keepNext/>
              <w:keepLines/>
              <w:rPr>
                <w:b/>
                <w:bCs/>
              </w:rPr>
            </w:pPr>
            <w:r w:rsidRPr="002221D2">
              <w:rPr>
                <w:b/>
                <w:bCs/>
              </w:rPr>
              <w:t>2024-25</w:t>
            </w:r>
          </w:p>
          <w:p w14:paraId="4EAD1218" w14:textId="77777777" w:rsidR="00CF0E2D" w:rsidRPr="002221D2" w:rsidRDefault="00CF0E2D" w:rsidP="00A60D4B">
            <w:pPr>
              <w:pStyle w:val="InitFigR"/>
              <w:keepNext/>
              <w:keepLines/>
              <w:rPr>
                <w:b/>
                <w:bCs/>
              </w:rPr>
            </w:pPr>
            <w:r w:rsidRPr="002221D2">
              <w:rPr>
                <w:b/>
                <w:bCs/>
              </w:rPr>
              <w:t>$’000</w:t>
            </w:r>
          </w:p>
        </w:tc>
        <w:tc>
          <w:tcPr>
            <w:tcW w:w="1029" w:type="dxa"/>
            <w:tcBorders>
              <w:top w:val="single" w:sz="4" w:space="0" w:color="auto"/>
              <w:bottom w:val="single" w:sz="4" w:space="0" w:color="auto"/>
            </w:tcBorders>
          </w:tcPr>
          <w:p w14:paraId="609BFD01" w14:textId="77777777" w:rsidR="00CF0E2D" w:rsidRPr="002221D2" w:rsidRDefault="00CF0E2D" w:rsidP="00A60D4B">
            <w:pPr>
              <w:pStyle w:val="InitFigRBold"/>
              <w:keepNext/>
              <w:keepLines/>
            </w:pPr>
            <w:r w:rsidRPr="002221D2">
              <w:t>Total</w:t>
            </w:r>
          </w:p>
          <w:p w14:paraId="5B460AD8" w14:textId="77777777" w:rsidR="00CF0E2D" w:rsidRPr="002221D2" w:rsidRDefault="00CF0E2D" w:rsidP="00A60D4B">
            <w:pPr>
              <w:pStyle w:val="InitFigBR"/>
              <w:keepNext/>
              <w:keepLines/>
            </w:pPr>
            <w:r w:rsidRPr="002221D2">
              <w:t>$’000</w:t>
            </w:r>
          </w:p>
        </w:tc>
      </w:tr>
      <w:tr w:rsidR="00CF0E2D" w:rsidRPr="002221D2" w14:paraId="6BC9595A" w14:textId="77777777" w:rsidTr="00A60D4B">
        <w:trPr>
          <w:cantSplit/>
          <w:jc w:val="center"/>
        </w:trPr>
        <w:tc>
          <w:tcPr>
            <w:tcW w:w="3652" w:type="dxa"/>
            <w:tcBorders>
              <w:top w:val="single" w:sz="4" w:space="0" w:color="auto"/>
              <w:bottom w:val="single" w:sz="4" w:space="0" w:color="auto"/>
            </w:tcBorders>
          </w:tcPr>
          <w:p w14:paraId="082FC39D" w14:textId="77777777" w:rsidR="00CF0E2D" w:rsidRPr="002221D2" w:rsidRDefault="00CF0E2D" w:rsidP="00A60D4B">
            <w:pPr>
              <w:pStyle w:val="InitTextL"/>
              <w:keepNext/>
              <w:keepLines/>
              <w:ind w:left="321" w:hanging="321"/>
            </w:pPr>
            <w:r w:rsidRPr="002221D2">
              <w:t>Expenses</w:t>
            </w:r>
          </w:p>
        </w:tc>
        <w:tc>
          <w:tcPr>
            <w:tcW w:w="1179" w:type="dxa"/>
            <w:tcBorders>
              <w:top w:val="single" w:sz="4" w:space="0" w:color="auto"/>
              <w:bottom w:val="single" w:sz="4" w:space="0" w:color="auto"/>
            </w:tcBorders>
          </w:tcPr>
          <w:p w14:paraId="2B7014A9" w14:textId="77777777" w:rsidR="00CF0E2D" w:rsidRPr="002221D2" w:rsidRDefault="00CF0E2D" w:rsidP="00A60D4B">
            <w:pPr>
              <w:pStyle w:val="InitFigR"/>
              <w:keepNext/>
              <w:keepLines/>
            </w:pPr>
            <w:r>
              <w:t>236</w:t>
            </w:r>
          </w:p>
        </w:tc>
        <w:tc>
          <w:tcPr>
            <w:tcW w:w="1041" w:type="dxa"/>
            <w:tcBorders>
              <w:top w:val="single" w:sz="4" w:space="0" w:color="auto"/>
              <w:bottom w:val="single" w:sz="4" w:space="0" w:color="auto"/>
            </w:tcBorders>
          </w:tcPr>
          <w:p w14:paraId="05D55AD5" w14:textId="77777777" w:rsidR="00CF0E2D" w:rsidRPr="002221D2" w:rsidRDefault="00CF0E2D" w:rsidP="00A60D4B">
            <w:pPr>
              <w:pStyle w:val="InitFigR"/>
              <w:keepNext/>
              <w:keepLines/>
            </w:pPr>
            <w:r w:rsidRPr="002221D2">
              <w:t>159</w:t>
            </w:r>
          </w:p>
        </w:tc>
        <w:tc>
          <w:tcPr>
            <w:tcW w:w="1029" w:type="dxa"/>
            <w:tcBorders>
              <w:top w:val="single" w:sz="4" w:space="0" w:color="auto"/>
              <w:bottom w:val="single" w:sz="4" w:space="0" w:color="auto"/>
            </w:tcBorders>
          </w:tcPr>
          <w:p w14:paraId="650A6323" w14:textId="77777777" w:rsidR="00CF0E2D" w:rsidRPr="002221D2" w:rsidRDefault="00CF0E2D" w:rsidP="00A60D4B">
            <w:pPr>
              <w:pStyle w:val="InitFigR"/>
              <w:keepNext/>
              <w:keepLines/>
            </w:pPr>
            <w:r w:rsidRPr="002221D2">
              <w:t>161</w:t>
            </w:r>
          </w:p>
        </w:tc>
        <w:tc>
          <w:tcPr>
            <w:tcW w:w="1029" w:type="dxa"/>
            <w:tcBorders>
              <w:top w:val="single" w:sz="4" w:space="0" w:color="auto"/>
              <w:bottom w:val="single" w:sz="4" w:space="0" w:color="auto"/>
            </w:tcBorders>
          </w:tcPr>
          <w:p w14:paraId="5A8A13AC" w14:textId="77777777" w:rsidR="00CF0E2D" w:rsidRPr="002221D2" w:rsidRDefault="00CF0E2D" w:rsidP="00A60D4B">
            <w:pPr>
              <w:pStyle w:val="InitFigR"/>
              <w:keepNext/>
              <w:keepLines/>
            </w:pPr>
            <w:r w:rsidRPr="002221D2">
              <w:t>164</w:t>
            </w:r>
          </w:p>
        </w:tc>
        <w:tc>
          <w:tcPr>
            <w:tcW w:w="1029" w:type="dxa"/>
            <w:tcBorders>
              <w:top w:val="single" w:sz="4" w:space="0" w:color="auto"/>
              <w:bottom w:val="single" w:sz="4" w:space="0" w:color="auto"/>
            </w:tcBorders>
          </w:tcPr>
          <w:p w14:paraId="7E21A524" w14:textId="77777777" w:rsidR="00CF0E2D" w:rsidRPr="002221D2" w:rsidRDefault="00CF0E2D" w:rsidP="00A60D4B">
            <w:pPr>
              <w:pStyle w:val="InitFigBR"/>
              <w:keepNext/>
              <w:keepLines/>
            </w:pPr>
            <w:r>
              <w:t>720</w:t>
            </w:r>
          </w:p>
        </w:tc>
      </w:tr>
    </w:tbl>
    <w:p w14:paraId="2675B487" w14:textId="77777777" w:rsidR="00CF0E2D" w:rsidRPr="002221D2" w:rsidRDefault="00CF0E2D" w:rsidP="00A60D4B">
      <w:pPr>
        <w:pStyle w:val="Bbodytext"/>
      </w:pPr>
      <w:r w:rsidRPr="002221D2">
        <w:t xml:space="preserve">The Government will seek expressions of interest to build and operate long-term rental (Build-to-Rent) accommodation with an affordable rental component on nominated land release sites.  </w:t>
      </w:r>
    </w:p>
    <w:p w14:paraId="0C9B6900" w14:textId="77777777" w:rsidR="00CF0E2D" w:rsidRPr="002221D2" w:rsidRDefault="00CF0E2D" w:rsidP="00A60D4B">
      <w:pPr>
        <w:pStyle w:val="Bbodytext"/>
      </w:pPr>
      <w:r w:rsidRPr="002221D2">
        <w:t xml:space="preserve">This initiative will enable the Government to work with community housing providers and the private sector to identify the nature and level of Government support necessary to deliver a financially viable Build-to-Rent development that grows the affordable rental market, including any legislative changes </w:t>
      </w:r>
      <w:r>
        <w:t>needed</w:t>
      </w:r>
      <w:r w:rsidRPr="002221D2">
        <w:t xml:space="preserve"> to facilitate genuine Build-to-Rent developments.</w:t>
      </w:r>
    </w:p>
    <w:p w14:paraId="4117E331" w14:textId="77777777" w:rsidR="00CF0E2D" w:rsidRPr="002221D2" w:rsidRDefault="00CF0E2D" w:rsidP="00A60D4B">
      <w:pPr>
        <w:pStyle w:val="Bbodytext"/>
      </w:pPr>
      <w:r w:rsidRPr="002221D2">
        <w:t xml:space="preserve">This initiative builds on recent </w:t>
      </w:r>
      <w:r>
        <w:t>affordable housing measures</w:t>
      </w:r>
      <w:r w:rsidRPr="002221D2">
        <w:t xml:space="preserve"> including the commitment to establish an affordable rental development on the site of Common Ground Gungahlin and the land tax exemption provided to landlords who rent their properties through a community housing provider at less than 75 per cent of market rent. </w:t>
      </w:r>
    </w:p>
    <w:p w14:paraId="4C739F80" w14:textId="77777777" w:rsidR="00CF0E2D" w:rsidRDefault="00CF0E2D" w:rsidP="00A60D4B">
      <w:pPr>
        <w:pStyle w:val="Bbodytext"/>
      </w:pPr>
      <w:r>
        <w:t>This initiative</w:t>
      </w:r>
      <w:r w:rsidRPr="002221D2">
        <w:t xml:space="preserve"> contributes to the wellbeing domain</w:t>
      </w:r>
      <w:r>
        <w:t>s</w:t>
      </w:r>
      <w:r w:rsidRPr="002221D2">
        <w:t xml:space="preserve"> of Housing and </w:t>
      </w:r>
      <w:r>
        <w:t>h</w:t>
      </w:r>
      <w:r w:rsidRPr="002221D2">
        <w:t>ome</w:t>
      </w:r>
      <w:r>
        <w:t xml:space="preserve"> and</w:t>
      </w:r>
      <w:r w:rsidRPr="002221D2">
        <w:t xml:space="preserve"> Living </w:t>
      </w:r>
      <w:r>
        <w:t>s</w:t>
      </w:r>
      <w:r w:rsidRPr="002221D2">
        <w:t xml:space="preserve">tandards. </w:t>
      </w:r>
    </w:p>
    <w:p w14:paraId="0ABABD08" w14:textId="77777777" w:rsidR="00CF0E2D" w:rsidRDefault="00CF0E2D">
      <w:r>
        <w:br w:type="page"/>
      </w:r>
    </w:p>
    <w:p w14:paraId="38F292FB" w14:textId="77777777" w:rsidR="00CF0E2D" w:rsidRPr="00135CF2" w:rsidRDefault="00CF0E2D" w:rsidP="00A60D4B"/>
    <w:p w14:paraId="4CFD6E11" w14:textId="77777777" w:rsidR="00CF0E2D" w:rsidRPr="00484674" w:rsidRDefault="00CF0E2D" w:rsidP="00A60D4B">
      <w:pPr>
        <w:pStyle w:val="Heading4"/>
        <w:rPr>
          <w:rFonts w:eastAsia="Times New Roman" w:cs="Times New Roman"/>
          <w:bCs/>
          <w:szCs w:val="26"/>
        </w:rPr>
      </w:pPr>
      <w:r w:rsidRPr="00484674">
        <w:rPr>
          <w:rFonts w:eastAsia="Times New Roman"/>
        </w:rPr>
        <w:t>Major</w:t>
      </w:r>
      <w:r w:rsidRPr="00484674">
        <w:rPr>
          <w:rFonts w:eastAsia="Times New Roman" w:cs="Times New Roman"/>
          <w:szCs w:val="26"/>
        </w:rPr>
        <w:t xml:space="preserve"> </w:t>
      </w:r>
      <w:r>
        <w:rPr>
          <w:rFonts w:eastAsia="Times New Roman" w:cs="Times New Roman"/>
          <w:szCs w:val="26"/>
        </w:rPr>
        <w:t>e</w:t>
      </w:r>
      <w:r w:rsidRPr="00484674">
        <w:rPr>
          <w:rFonts w:eastAsia="Times New Roman" w:cs="Times New Roman"/>
          <w:szCs w:val="26"/>
        </w:rPr>
        <w:t xml:space="preserve">vents </w:t>
      </w:r>
      <w:r>
        <w:rPr>
          <w:rFonts w:eastAsia="Times New Roman" w:cs="Times New Roman"/>
          <w:szCs w:val="26"/>
        </w:rPr>
        <w:t>f</w:t>
      </w:r>
      <w:r w:rsidRPr="00484674">
        <w:rPr>
          <w:rFonts w:eastAsia="Times New Roman" w:cs="Times New Roman"/>
          <w:szCs w:val="26"/>
        </w:rPr>
        <w:t xml:space="preserve">unding </w:t>
      </w:r>
      <w:r>
        <w:rPr>
          <w:b w:val="0"/>
          <w:noProof/>
          <w:color w:val="999789"/>
          <w:sz w:val="32"/>
          <w:szCs w:val="24"/>
        </w:rPr>
        <w:drawing>
          <wp:anchor distT="0" distB="0" distL="114300" distR="114300" simplePos="0" relativeHeight="251829248" behindDoc="0" locked="1" layoutInCell="1" allowOverlap="1" wp14:anchorId="5181F5FE" wp14:editId="01C6F71B">
            <wp:simplePos x="0" y="0"/>
            <wp:positionH relativeFrom="margin">
              <wp:align>right</wp:align>
            </wp:positionH>
            <wp:positionV relativeFrom="paragraph">
              <wp:posOffset>-166370</wp:posOffset>
            </wp:positionV>
            <wp:extent cx="1284605" cy="503555"/>
            <wp:effectExtent l="0" t="0" r="0" b="0"/>
            <wp:wrapSquare wrapText="bothSides"/>
            <wp:docPr id="273" name="Picture 273" descr="Icon representing the wellbeing domain of Social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Icon representing the wellbeing domain of Social Connection"/>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8460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BD13B4" w14:paraId="62B96847" w14:textId="77777777" w:rsidTr="00A60D4B">
        <w:trPr>
          <w:cantSplit/>
          <w:jc w:val="center"/>
        </w:trPr>
        <w:tc>
          <w:tcPr>
            <w:tcW w:w="3652" w:type="dxa"/>
            <w:tcBorders>
              <w:top w:val="single" w:sz="4" w:space="0" w:color="auto"/>
              <w:bottom w:val="single" w:sz="4" w:space="0" w:color="auto"/>
            </w:tcBorders>
          </w:tcPr>
          <w:p w14:paraId="31745592" w14:textId="77777777" w:rsidR="00CF0E2D" w:rsidRPr="00371D75" w:rsidRDefault="00CF0E2D" w:rsidP="00A60D4B">
            <w:pPr>
              <w:spacing w:after="0"/>
              <w:jc w:val="right"/>
              <w:rPr>
                <w:rFonts w:cs="Calibri"/>
                <w:color w:val="FFFFFF"/>
                <w:sz w:val="24"/>
                <w:szCs w:val="24"/>
              </w:rPr>
            </w:pPr>
            <w:r w:rsidRPr="00371D75">
              <w:rPr>
                <w:rFonts w:cs="Calibri"/>
                <w:color w:val="FFFFFF"/>
                <w:sz w:val="24"/>
                <w:szCs w:val="24"/>
              </w:rPr>
              <w:t>Empty Cell</w:t>
            </w:r>
          </w:p>
        </w:tc>
        <w:tc>
          <w:tcPr>
            <w:tcW w:w="1179" w:type="dxa"/>
            <w:tcBorders>
              <w:top w:val="single" w:sz="4" w:space="0" w:color="auto"/>
              <w:bottom w:val="single" w:sz="4" w:space="0" w:color="auto"/>
            </w:tcBorders>
          </w:tcPr>
          <w:p w14:paraId="5703A23F" w14:textId="77777777" w:rsidR="00CF0E2D" w:rsidRPr="00371D75" w:rsidRDefault="00CF0E2D" w:rsidP="00A60D4B">
            <w:pPr>
              <w:spacing w:after="0"/>
              <w:jc w:val="right"/>
              <w:rPr>
                <w:b/>
                <w:sz w:val="24"/>
                <w:szCs w:val="24"/>
              </w:rPr>
            </w:pPr>
            <w:r w:rsidRPr="00371D75">
              <w:rPr>
                <w:b/>
                <w:sz w:val="24"/>
                <w:szCs w:val="24"/>
              </w:rPr>
              <w:t>2021-22</w:t>
            </w:r>
          </w:p>
          <w:p w14:paraId="41742D6B" w14:textId="77777777" w:rsidR="00CF0E2D" w:rsidRPr="00371D75" w:rsidRDefault="00CF0E2D" w:rsidP="00A60D4B">
            <w:pPr>
              <w:spacing w:after="0"/>
              <w:jc w:val="right"/>
              <w:rPr>
                <w:b/>
                <w:sz w:val="24"/>
                <w:szCs w:val="24"/>
              </w:rPr>
            </w:pPr>
            <w:r w:rsidRPr="00371D75">
              <w:rPr>
                <w:b/>
                <w:sz w:val="24"/>
                <w:szCs w:val="24"/>
              </w:rPr>
              <w:t>$’000</w:t>
            </w:r>
          </w:p>
        </w:tc>
        <w:tc>
          <w:tcPr>
            <w:tcW w:w="1041" w:type="dxa"/>
            <w:tcBorders>
              <w:top w:val="single" w:sz="4" w:space="0" w:color="auto"/>
              <w:bottom w:val="single" w:sz="4" w:space="0" w:color="auto"/>
            </w:tcBorders>
          </w:tcPr>
          <w:p w14:paraId="20FF363E" w14:textId="77777777" w:rsidR="00CF0E2D" w:rsidRPr="00371D75" w:rsidRDefault="00CF0E2D" w:rsidP="00A60D4B">
            <w:pPr>
              <w:spacing w:after="0"/>
              <w:jc w:val="right"/>
              <w:rPr>
                <w:b/>
                <w:sz w:val="24"/>
                <w:szCs w:val="24"/>
              </w:rPr>
            </w:pPr>
            <w:r w:rsidRPr="00371D75">
              <w:rPr>
                <w:b/>
                <w:sz w:val="24"/>
                <w:szCs w:val="24"/>
              </w:rPr>
              <w:t>2022-23</w:t>
            </w:r>
          </w:p>
          <w:p w14:paraId="79D0B03A" w14:textId="77777777" w:rsidR="00CF0E2D" w:rsidRPr="00371D75" w:rsidRDefault="00CF0E2D" w:rsidP="00A60D4B">
            <w:pPr>
              <w:spacing w:after="0"/>
              <w:jc w:val="right"/>
              <w:rPr>
                <w:b/>
                <w:sz w:val="24"/>
                <w:szCs w:val="24"/>
              </w:rPr>
            </w:pPr>
            <w:r w:rsidRPr="00371D75">
              <w:rPr>
                <w:b/>
                <w:sz w:val="24"/>
                <w:szCs w:val="24"/>
              </w:rPr>
              <w:t>$’000</w:t>
            </w:r>
          </w:p>
        </w:tc>
        <w:tc>
          <w:tcPr>
            <w:tcW w:w="1029" w:type="dxa"/>
            <w:tcBorders>
              <w:top w:val="single" w:sz="4" w:space="0" w:color="auto"/>
              <w:bottom w:val="single" w:sz="4" w:space="0" w:color="auto"/>
            </w:tcBorders>
          </w:tcPr>
          <w:p w14:paraId="56059AC1" w14:textId="77777777" w:rsidR="00CF0E2D" w:rsidRPr="00371D75" w:rsidRDefault="00CF0E2D" w:rsidP="00A60D4B">
            <w:pPr>
              <w:spacing w:after="0"/>
              <w:jc w:val="right"/>
              <w:rPr>
                <w:b/>
                <w:sz w:val="24"/>
                <w:szCs w:val="24"/>
              </w:rPr>
            </w:pPr>
            <w:r w:rsidRPr="00371D75">
              <w:rPr>
                <w:b/>
                <w:sz w:val="24"/>
                <w:szCs w:val="24"/>
              </w:rPr>
              <w:t>2023-24</w:t>
            </w:r>
          </w:p>
          <w:p w14:paraId="300EB75B" w14:textId="77777777" w:rsidR="00CF0E2D" w:rsidRPr="00371D75" w:rsidRDefault="00CF0E2D" w:rsidP="00A60D4B">
            <w:pPr>
              <w:spacing w:after="0"/>
              <w:jc w:val="right"/>
              <w:rPr>
                <w:b/>
                <w:sz w:val="24"/>
                <w:szCs w:val="24"/>
              </w:rPr>
            </w:pPr>
            <w:r w:rsidRPr="00371D75">
              <w:rPr>
                <w:b/>
                <w:sz w:val="24"/>
                <w:szCs w:val="24"/>
              </w:rPr>
              <w:t>$’000</w:t>
            </w:r>
          </w:p>
        </w:tc>
        <w:tc>
          <w:tcPr>
            <w:tcW w:w="1029" w:type="dxa"/>
            <w:tcBorders>
              <w:top w:val="single" w:sz="4" w:space="0" w:color="auto"/>
              <w:bottom w:val="single" w:sz="4" w:space="0" w:color="auto"/>
            </w:tcBorders>
          </w:tcPr>
          <w:p w14:paraId="3F9CDE59" w14:textId="77777777" w:rsidR="00CF0E2D" w:rsidRPr="00371D75" w:rsidRDefault="00CF0E2D" w:rsidP="00A60D4B">
            <w:pPr>
              <w:spacing w:after="0"/>
              <w:jc w:val="right"/>
              <w:rPr>
                <w:b/>
                <w:sz w:val="24"/>
                <w:szCs w:val="24"/>
              </w:rPr>
            </w:pPr>
            <w:r w:rsidRPr="00371D75">
              <w:rPr>
                <w:b/>
                <w:sz w:val="24"/>
                <w:szCs w:val="24"/>
              </w:rPr>
              <w:t>2024-25</w:t>
            </w:r>
          </w:p>
          <w:p w14:paraId="000AD055" w14:textId="77777777" w:rsidR="00CF0E2D" w:rsidRPr="00371D75" w:rsidRDefault="00CF0E2D" w:rsidP="00A60D4B">
            <w:pPr>
              <w:spacing w:after="0"/>
              <w:jc w:val="right"/>
              <w:rPr>
                <w:b/>
                <w:sz w:val="24"/>
                <w:szCs w:val="24"/>
              </w:rPr>
            </w:pPr>
            <w:r w:rsidRPr="00371D75">
              <w:rPr>
                <w:b/>
                <w:sz w:val="24"/>
                <w:szCs w:val="24"/>
              </w:rPr>
              <w:t>$’000</w:t>
            </w:r>
          </w:p>
        </w:tc>
        <w:tc>
          <w:tcPr>
            <w:tcW w:w="1029" w:type="dxa"/>
            <w:tcBorders>
              <w:top w:val="single" w:sz="4" w:space="0" w:color="auto"/>
              <w:bottom w:val="single" w:sz="4" w:space="0" w:color="auto"/>
            </w:tcBorders>
          </w:tcPr>
          <w:p w14:paraId="39E6F1BF" w14:textId="77777777" w:rsidR="00CF0E2D" w:rsidRPr="00371D75" w:rsidRDefault="00CF0E2D" w:rsidP="00A60D4B">
            <w:pPr>
              <w:spacing w:after="0"/>
              <w:jc w:val="right"/>
              <w:rPr>
                <w:b/>
                <w:sz w:val="24"/>
                <w:szCs w:val="24"/>
              </w:rPr>
            </w:pPr>
            <w:r w:rsidRPr="00371D75">
              <w:rPr>
                <w:b/>
                <w:sz w:val="24"/>
                <w:szCs w:val="24"/>
              </w:rPr>
              <w:t>Total</w:t>
            </w:r>
          </w:p>
          <w:p w14:paraId="6BD4EDF3" w14:textId="77777777" w:rsidR="00CF0E2D" w:rsidRPr="00371D75" w:rsidRDefault="00CF0E2D" w:rsidP="00A60D4B">
            <w:pPr>
              <w:spacing w:after="0"/>
              <w:jc w:val="right"/>
              <w:rPr>
                <w:b/>
                <w:sz w:val="24"/>
                <w:szCs w:val="24"/>
              </w:rPr>
            </w:pPr>
            <w:r w:rsidRPr="00371D75">
              <w:rPr>
                <w:b/>
                <w:sz w:val="24"/>
                <w:szCs w:val="24"/>
              </w:rPr>
              <w:t>$’000</w:t>
            </w:r>
          </w:p>
        </w:tc>
      </w:tr>
      <w:tr w:rsidR="00CF0E2D" w:rsidRPr="00BD13B4" w14:paraId="448EB75A" w14:textId="77777777" w:rsidTr="00A60D4B">
        <w:trPr>
          <w:cantSplit/>
          <w:jc w:val="center"/>
        </w:trPr>
        <w:tc>
          <w:tcPr>
            <w:tcW w:w="3652" w:type="dxa"/>
          </w:tcPr>
          <w:p w14:paraId="7DE2664C" w14:textId="77777777" w:rsidR="00CF0E2D" w:rsidRPr="00371D75" w:rsidRDefault="00CF0E2D" w:rsidP="00A60D4B">
            <w:pPr>
              <w:spacing w:after="0"/>
              <w:ind w:left="321" w:hanging="321"/>
              <w:rPr>
                <w:sz w:val="24"/>
                <w:szCs w:val="24"/>
              </w:rPr>
            </w:pPr>
            <w:r w:rsidRPr="00371D75">
              <w:rPr>
                <w:sz w:val="24"/>
                <w:szCs w:val="24"/>
              </w:rPr>
              <w:t>Expenses</w:t>
            </w:r>
          </w:p>
        </w:tc>
        <w:tc>
          <w:tcPr>
            <w:tcW w:w="1179" w:type="dxa"/>
          </w:tcPr>
          <w:p w14:paraId="717B7122" w14:textId="77777777" w:rsidR="00CF0E2D" w:rsidRPr="00371D75" w:rsidRDefault="00CF0E2D" w:rsidP="00A60D4B">
            <w:pPr>
              <w:spacing w:after="0"/>
              <w:jc w:val="right"/>
              <w:rPr>
                <w:sz w:val="24"/>
                <w:szCs w:val="24"/>
              </w:rPr>
            </w:pPr>
            <w:r w:rsidRPr="00371D75">
              <w:rPr>
                <w:sz w:val="24"/>
                <w:szCs w:val="24"/>
              </w:rPr>
              <w:t>4,102</w:t>
            </w:r>
          </w:p>
        </w:tc>
        <w:tc>
          <w:tcPr>
            <w:tcW w:w="1041" w:type="dxa"/>
          </w:tcPr>
          <w:p w14:paraId="27B02B8D" w14:textId="77777777" w:rsidR="00CF0E2D" w:rsidRPr="00371D75" w:rsidRDefault="00CF0E2D" w:rsidP="00A60D4B">
            <w:pPr>
              <w:spacing w:after="0"/>
              <w:jc w:val="right"/>
              <w:rPr>
                <w:sz w:val="24"/>
                <w:szCs w:val="24"/>
              </w:rPr>
            </w:pPr>
            <w:r w:rsidRPr="00371D75">
              <w:rPr>
                <w:sz w:val="24"/>
                <w:szCs w:val="24"/>
              </w:rPr>
              <w:t>3,644</w:t>
            </w:r>
          </w:p>
        </w:tc>
        <w:tc>
          <w:tcPr>
            <w:tcW w:w="1029" w:type="dxa"/>
          </w:tcPr>
          <w:p w14:paraId="2C837FFD" w14:textId="77777777" w:rsidR="00CF0E2D" w:rsidRPr="00371D75" w:rsidRDefault="00CF0E2D" w:rsidP="00A60D4B">
            <w:pPr>
              <w:spacing w:after="0"/>
              <w:jc w:val="right"/>
              <w:rPr>
                <w:sz w:val="24"/>
                <w:szCs w:val="24"/>
              </w:rPr>
            </w:pPr>
            <w:r w:rsidRPr="00371D75">
              <w:rPr>
                <w:sz w:val="24"/>
                <w:szCs w:val="24"/>
              </w:rPr>
              <w:t>2,586</w:t>
            </w:r>
          </w:p>
        </w:tc>
        <w:tc>
          <w:tcPr>
            <w:tcW w:w="1029" w:type="dxa"/>
          </w:tcPr>
          <w:p w14:paraId="4BD1D67D" w14:textId="77777777" w:rsidR="00CF0E2D" w:rsidRPr="00371D75" w:rsidRDefault="00CF0E2D" w:rsidP="00A60D4B">
            <w:pPr>
              <w:spacing w:after="0"/>
              <w:jc w:val="right"/>
              <w:rPr>
                <w:sz w:val="24"/>
                <w:szCs w:val="24"/>
              </w:rPr>
            </w:pPr>
            <w:r w:rsidRPr="00371D75">
              <w:rPr>
                <w:sz w:val="24"/>
                <w:szCs w:val="24"/>
              </w:rPr>
              <w:t>2,623</w:t>
            </w:r>
          </w:p>
        </w:tc>
        <w:tc>
          <w:tcPr>
            <w:tcW w:w="1029" w:type="dxa"/>
          </w:tcPr>
          <w:p w14:paraId="4C1E617C" w14:textId="77777777" w:rsidR="00CF0E2D" w:rsidRPr="00371D75" w:rsidRDefault="00CF0E2D" w:rsidP="00A60D4B">
            <w:pPr>
              <w:spacing w:after="0"/>
              <w:jc w:val="right"/>
              <w:rPr>
                <w:b/>
                <w:sz w:val="24"/>
                <w:szCs w:val="24"/>
              </w:rPr>
            </w:pPr>
            <w:r w:rsidRPr="00371D75">
              <w:rPr>
                <w:b/>
                <w:sz w:val="24"/>
                <w:szCs w:val="24"/>
              </w:rPr>
              <w:t>12,955</w:t>
            </w:r>
          </w:p>
        </w:tc>
      </w:tr>
      <w:tr w:rsidR="00CF0E2D" w:rsidRPr="00BD13B4" w14:paraId="298DAD43" w14:textId="77777777" w:rsidTr="00A60D4B">
        <w:trPr>
          <w:cantSplit/>
          <w:jc w:val="center"/>
        </w:trPr>
        <w:tc>
          <w:tcPr>
            <w:tcW w:w="3652" w:type="dxa"/>
          </w:tcPr>
          <w:p w14:paraId="321CC15A" w14:textId="77777777" w:rsidR="00CF0E2D" w:rsidRPr="00371D75" w:rsidRDefault="00CF0E2D" w:rsidP="00A60D4B">
            <w:pPr>
              <w:spacing w:after="0"/>
              <w:ind w:left="321" w:hanging="321"/>
              <w:rPr>
                <w:sz w:val="24"/>
                <w:szCs w:val="24"/>
              </w:rPr>
            </w:pPr>
            <w:r w:rsidRPr="00371D75">
              <w:rPr>
                <w:sz w:val="24"/>
                <w:szCs w:val="24"/>
              </w:rPr>
              <w:t>Offset – Expenses</w:t>
            </w:r>
          </w:p>
        </w:tc>
        <w:tc>
          <w:tcPr>
            <w:tcW w:w="1179" w:type="dxa"/>
          </w:tcPr>
          <w:p w14:paraId="14326261" w14:textId="77777777" w:rsidR="00CF0E2D" w:rsidRPr="00371D75" w:rsidRDefault="00CF0E2D" w:rsidP="00A60D4B">
            <w:pPr>
              <w:spacing w:after="0"/>
              <w:jc w:val="right"/>
              <w:rPr>
                <w:sz w:val="24"/>
                <w:szCs w:val="24"/>
              </w:rPr>
            </w:pPr>
            <w:r>
              <w:rPr>
                <w:sz w:val="24"/>
                <w:szCs w:val="24"/>
              </w:rPr>
              <w:t>-</w:t>
            </w:r>
            <w:r w:rsidRPr="00371D75">
              <w:rPr>
                <w:sz w:val="24"/>
                <w:szCs w:val="24"/>
              </w:rPr>
              <w:t>75</w:t>
            </w:r>
          </w:p>
        </w:tc>
        <w:tc>
          <w:tcPr>
            <w:tcW w:w="1041" w:type="dxa"/>
          </w:tcPr>
          <w:p w14:paraId="6BF4DE0E" w14:textId="77777777" w:rsidR="00CF0E2D" w:rsidRPr="00371D75" w:rsidRDefault="00CF0E2D" w:rsidP="00A60D4B">
            <w:pPr>
              <w:spacing w:after="0"/>
              <w:jc w:val="right"/>
              <w:rPr>
                <w:sz w:val="24"/>
                <w:szCs w:val="24"/>
              </w:rPr>
            </w:pPr>
            <w:r>
              <w:rPr>
                <w:sz w:val="24"/>
                <w:szCs w:val="24"/>
              </w:rPr>
              <w:t>-</w:t>
            </w:r>
            <w:r w:rsidRPr="00371D75">
              <w:rPr>
                <w:sz w:val="24"/>
                <w:szCs w:val="24"/>
              </w:rPr>
              <w:t>75</w:t>
            </w:r>
          </w:p>
        </w:tc>
        <w:tc>
          <w:tcPr>
            <w:tcW w:w="1029" w:type="dxa"/>
          </w:tcPr>
          <w:p w14:paraId="2BF7AF7B" w14:textId="77777777" w:rsidR="00CF0E2D" w:rsidRPr="00371D75" w:rsidRDefault="00CF0E2D" w:rsidP="00A60D4B">
            <w:pPr>
              <w:spacing w:after="0"/>
              <w:jc w:val="right"/>
              <w:rPr>
                <w:sz w:val="24"/>
                <w:szCs w:val="24"/>
              </w:rPr>
            </w:pPr>
            <w:r>
              <w:rPr>
                <w:sz w:val="24"/>
                <w:szCs w:val="24"/>
              </w:rPr>
              <w:t>-</w:t>
            </w:r>
            <w:r w:rsidRPr="00371D75">
              <w:rPr>
                <w:sz w:val="24"/>
                <w:szCs w:val="24"/>
              </w:rPr>
              <w:t>75</w:t>
            </w:r>
          </w:p>
        </w:tc>
        <w:tc>
          <w:tcPr>
            <w:tcW w:w="1029" w:type="dxa"/>
          </w:tcPr>
          <w:p w14:paraId="5813C6D7" w14:textId="77777777" w:rsidR="00CF0E2D" w:rsidRPr="00371D75" w:rsidRDefault="00CF0E2D" w:rsidP="00A60D4B">
            <w:pPr>
              <w:spacing w:after="0"/>
              <w:jc w:val="right"/>
              <w:rPr>
                <w:sz w:val="24"/>
                <w:szCs w:val="24"/>
              </w:rPr>
            </w:pPr>
            <w:r>
              <w:rPr>
                <w:sz w:val="24"/>
                <w:szCs w:val="24"/>
              </w:rPr>
              <w:t>-</w:t>
            </w:r>
            <w:r w:rsidRPr="00371D75">
              <w:rPr>
                <w:sz w:val="24"/>
                <w:szCs w:val="24"/>
              </w:rPr>
              <w:t>75</w:t>
            </w:r>
          </w:p>
        </w:tc>
        <w:tc>
          <w:tcPr>
            <w:tcW w:w="1029" w:type="dxa"/>
          </w:tcPr>
          <w:p w14:paraId="09C0190D" w14:textId="77777777" w:rsidR="00CF0E2D" w:rsidRPr="00371D75" w:rsidRDefault="00CF0E2D" w:rsidP="00A60D4B">
            <w:pPr>
              <w:spacing w:after="0"/>
              <w:jc w:val="right"/>
              <w:rPr>
                <w:b/>
                <w:sz w:val="24"/>
                <w:szCs w:val="24"/>
              </w:rPr>
            </w:pPr>
            <w:r>
              <w:rPr>
                <w:b/>
                <w:sz w:val="24"/>
                <w:szCs w:val="24"/>
              </w:rPr>
              <w:t>-</w:t>
            </w:r>
            <w:r w:rsidRPr="00371D75">
              <w:rPr>
                <w:b/>
                <w:sz w:val="24"/>
                <w:szCs w:val="24"/>
              </w:rPr>
              <w:t>300</w:t>
            </w:r>
          </w:p>
        </w:tc>
      </w:tr>
      <w:tr w:rsidR="00CF0E2D" w:rsidRPr="00BD13B4" w14:paraId="3A71A1E5" w14:textId="77777777" w:rsidTr="00A60D4B">
        <w:trPr>
          <w:cantSplit/>
          <w:jc w:val="center"/>
        </w:trPr>
        <w:tc>
          <w:tcPr>
            <w:tcW w:w="3652" w:type="dxa"/>
          </w:tcPr>
          <w:p w14:paraId="3B3CBD41" w14:textId="77777777" w:rsidR="00CF0E2D" w:rsidRPr="00371D75" w:rsidRDefault="00CF0E2D" w:rsidP="00A60D4B">
            <w:pPr>
              <w:spacing w:after="0"/>
              <w:ind w:left="321" w:hanging="321"/>
              <w:rPr>
                <w:sz w:val="24"/>
                <w:szCs w:val="24"/>
              </w:rPr>
            </w:pPr>
            <w:r w:rsidRPr="00371D75">
              <w:rPr>
                <w:sz w:val="24"/>
                <w:szCs w:val="24"/>
              </w:rPr>
              <w:t>Offset – Expenses – Provision</w:t>
            </w:r>
          </w:p>
        </w:tc>
        <w:tc>
          <w:tcPr>
            <w:tcW w:w="1179" w:type="dxa"/>
          </w:tcPr>
          <w:p w14:paraId="24353F41" w14:textId="77777777" w:rsidR="00CF0E2D" w:rsidRPr="00371D75" w:rsidRDefault="00CF0E2D" w:rsidP="00A60D4B">
            <w:pPr>
              <w:spacing w:after="0"/>
              <w:jc w:val="right"/>
              <w:rPr>
                <w:sz w:val="24"/>
                <w:szCs w:val="24"/>
              </w:rPr>
            </w:pPr>
            <w:r>
              <w:rPr>
                <w:sz w:val="24"/>
                <w:szCs w:val="24"/>
              </w:rPr>
              <w:t>-</w:t>
            </w:r>
            <w:r w:rsidRPr="00371D75">
              <w:rPr>
                <w:sz w:val="24"/>
                <w:szCs w:val="24"/>
              </w:rPr>
              <w:t>2,905</w:t>
            </w:r>
          </w:p>
        </w:tc>
        <w:tc>
          <w:tcPr>
            <w:tcW w:w="1041" w:type="dxa"/>
          </w:tcPr>
          <w:p w14:paraId="29C875E2" w14:textId="77777777" w:rsidR="00CF0E2D" w:rsidRPr="00371D75" w:rsidRDefault="00CF0E2D" w:rsidP="00A60D4B">
            <w:pPr>
              <w:spacing w:after="0"/>
              <w:jc w:val="right"/>
              <w:rPr>
                <w:sz w:val="24"/>
                <w:szCs w:val="24"/>
              </w:rPr>
            </w:pPr>
            <w:r>
              <w:rPr>
                <w:sz w:val="24"/>
                <w:szCs w:val="24"/>
              </w:rPr>
              <w:t>-</w:t>
            </w:r>
            <w:r w:rsidRPr="00371D75">
              <w:rPr>
                <w:sz w:val="24"/>
                <w:szCs w:val="24"/>
              </w:rPr>
              <w:t>1,905</w:t>
            </w:r>
          </w:p>
        </w:tc>
        <w:tc>
          <w:tcPr>
            <w:tcW w:w="1029" w:type="dxa"/>
          </w:tcPr>
          <w:p w14:paraId="0A5F2DB4" w14:textId="77777777" w:rsidR="00CF0E2D" w:rsidRPr="00371D75" w:rsidRDefault="00CF0E2D" w:rsidP="00A60D4B">
            <w:pPr>
              <w:spacing w:after="0"/>
              <w:jc w:val="right"/>
              <w:rPr>
                <w:sz w:val="24"/>
                <w:szCs w:val="24"/>
              </w:rPr>
            </w:pPr>
            <w:r>
              <w:rPr>
                <w:sz w:val="24"/>
                <w:szCs w:val="24"/>
              </w:rPr>
              <w:t>-</w:t>
            </w:r>
            <w:r w:rsidRPr="00371D75">
              <w:rPr>
                <w:sz w:val="24"/>
                <w:szCs w:val="24"/>
              </w:rPr>
              <w:t>1,905</w:t>
            </w:r>
          </w:p>
        </w:tc>
        <w:tc>
          <w:tcPr>
            <w:tcW w:w="1029" w:type="dxa"/>
          </w:tcPr>
          <w:p w14:paraId="00691AA0" w14:textId="77777777" w:rsidR="00CF0E2D" w:rsidRPr="00371D75" w:rsidRDefault="00CF0E2D" w:rsidP="00A60D4B">
            <w:pPr>
              <w:spacing w:after="0"/>
              <w:jc w:val="right"/>
              <w:rPr>
                <w:sz w:val="24"/>
                <w:szCs w:val="24"/>
              </w:rPr>
            </w:pPr>
            <w:r>
              <w:rPr>
                <w:sz w:val="24"/>
                <w:szCs w:val="24"/>
              </w:rPr>
              <w:t>-</w:t>
            </w:r>
            <w:r w:rsidRPr="00371D75">
              <w:rPr>
                <w:sz w:val="24"/>
                <w:szCs w:val="24"/>
              </w:rPr>
              <w:t>1,905</w:t>
            </w:r>
          </w:p>
        </w:tc>
        <w:tc>
          <w:tcPr>
            <w:tcW w:w="1029" w:type="dxa"/>
          </w:tcPr>
          <w:p w14:paraId="5B2F237F" w14:textId="77777777" w:rsidR="00CF0E2D" w:rsidRPr="00371D75" w:rsidRDefault="00CF0E2D" w:rsidP="00A60D4B">
            <w:pPr>
              <w:spacing w:after="0"/>
              <w:jc w:val="right"/>
              <w:rPr>
                <w:b/>
                <w:sz w:val="24"/>
                <w:szCs w:val="24"/>
              </w:rPr>
            </w:pPr>
            <w:r>
              <w:rPr>
                <w:b/>
                <w:sz w:val="24"/>
                <w:szCs w:val="24"/>
              </w:rPr>
              <w:t>-</w:t>
            </w:r>
            <w:r w:rsidRPr="00371D75">
              <w:rPr>
                <w:b/>
                <w:sz w:val="24"/>
                <w:szCs w:val="24"/>
              </w:rPr>
              <w:t>8,620</w:t>
            </w:r>
          </w:p>
        </w:tc>
      </w:tr>
      <w:tr w:rsidR="00CF0E2D" w:rsidRPr="00BD13B4" w14:paraId="6E505F6B" w14:textId="77777777" w:rsidTr="00A60D4B">
        <w:trPr>
          <w:cantSplit/>
          <w:trHeight w:val="107"/>
          <w:jc w:val="center"/>
        </w:trPr>
        <w:tc>
          <w:tcPr>
            <w:tcW w:w="3652" w:type="dxa"/>
            <w:tcBorders>
              <w:top w:val="single" w:sz="4" w:space="0" w:color="auto"/>
              <w:bottom w:val="single" w:sz="4" w:space="0" w:color="auto"/>
            </w:tcBorders>
          </w:tcPr>
          <w:p w14:paraId="345C9F7D" w14:textId="77777777" w:rsidR="00CF0E2D" w:rsidRPr="00371D75" w:rsidRDefault="00CF0E2D" w:rsidP="00A60D4B">
            <w:pPr>
              <w:spacing w:after="0"/>
              <w:ind w:left="321" w:hanging="321"/>
              <w:rPr>
                <w:b/>
                <w:sz w:val="24"/>
                <w:szCs w:val="24"/>
              </w:rPr>
            </w:pPr>
            <w:r w:rsidRPr="00371D75">
              <w:rPr>
                <w:b/>
                <w:sz w:val="24"/>
                <w:szCs w:val="24"/>
              </w:rPr>
              <w:t>Net cost of services</w:t>
            </w:r>
          </w:p>
        </w:tc>
        <w:tc>
          <w:tcPr>
            <w:tcW w:w="1179" w:type="dxa"/>
            <w:tcBorders>
              <w:top w:val="single" w:sz="4" w:space="0" w:color="auto"/>
              <w:bottom w:val="single" w:sz="4" w:space="0" w:color="auto"/>
            </w:tcBorders>
          </w:tcPr>
          <w:p w14:paraId="605F5B52" w14:textId="77777777" w:rsidR="00CF0E2D" w:rsidRPr="00371D75" w:rsidRDefault="00CF0E2D" w:rsidP="00A60D4B">
            <w:pPr>
              <w:spacing w:after="0"/>
              <w:jc w:val="right"/>
              <w:rPr>
                <w:b/>
                <w:sz w:val="24"/>
                <w:szCs w:val="24"/>
              </w:rPr>
            </w:pPr>
            <w:r w:rsidRPr="00371D75">
              <w:rPr>
                <w:b/>
                <w:sz w:val="24"/>
                <w:szCs w:val="24"/>
              </w:rPr>
              <w:t>1,122</w:t>
            </w:r>
          </w:p>
        </w:tc>
        <w:tc>
          <w:tcPr>
            <w:tcW w:w="1041" w:type="dxa"/>
            <w:tcBorders>
              <w:top w:val="single" w:sz="4" w:space="0" w:color="auto"/>
              <w:bottom w:val="single" w:sz="4" w:space="0" w:color="auto"/>
            </w:tcBorders>
          </w:tcPr>
          <w:p w14:paraId="453F3B9F" w14:textId="77777777" w:rsidR="00CF0E2D" w:rsidRPr="00371D75" w:rsidRDefault="00CF0E2D" w:rsidP="00A60D4B">
            <w:pPr>
              <w:spacing w:after="0"/>
              <w:jc w:val="right"/>
              <w:rPr>
                <w:b/>
                <w:sz w:val="24"/>
                <w:szCs w:val="24"/>
              </w:rPr>
            </w:pPr>
            <w:r w:rsidRPr="00371D75">
              <w:rPr>
                <w:b/>
                <w:sz w:val="24"/>
                <w:szCs w:val="24"/>
              </w:rPr>
              <w:t>1,664</w:t>
            </w:r>
          </w:p>
        </w:tc>
        <w:tc>
          <w:tcPr>
            <w:tcW w:w="1029" w:type="dxa"/>
            <w:tcBorders>
              <w:top w:val="single" w:sz="4" w:space="0" w:color="auto"/>
              <w:bottom w:val="single" w:sz="4" w:space="0" w:color="auto"/>
            </w:tcBorders>
          </w:tcPr>
          <w:p w14:paraId="25DF0CA5" w14:textId="77777777" w:rsidR="00CF0E2D" w:rsidRPr="00371D75" w:rsidRDefault="00CF0E2D" w:rsidP="00A60D4B">
            <w:pPr>
              <w:spacing w:after="0"/>
              <w:jc w:val="right"/>
              <w:rPr>
                <w:b/>
                <w:sz w:val="24"/>
                <w:szCs w:val="24"/>
              </w:rPr>
            </w:pPr>
            <w:r w:rsidRPr="00371D75">
              <w:rPr>
                <w:b/>
                <w:sz w:val="24"/>
                <w:szCs w:val="24"/>
              </w:rPr>
              <w:t>606</w:t>
            </w:r>
          </w:p>
        </w:tc>
        <w:tc>
          <w:tcPr>
            <w:tcW w:w="1029" w:type="dxa"/>
            <w:tcBorders>
              <w:top w:val="single" w:sz="4" w:space="0" w:color="auto"/>
              <w:bottom w:val="single" w:sz="4" w:space="0" w:color="auto"/>
            </w:tcBorders>
          </w:tcPr>
          <w:p w14:paraId="78F4CD29" w14:textId="77777777" w:rsidR="00CF0E2D" w:rsidRPr="00371D75" w:rsidRDefault="00CF0E2D" w:rsidP="00A60D4B">
            <w:pPr>
              <w:spacing w:after="0"/>
              <w:jc w:val="right"/>
              <w:rPr>
                <w:b/>
                <w:sz w:val="24"/>
                <w:szCs w:val="24"/>
              </w:rPr>
            </w:pPr>
            <w:r w:rsidRPr="00371D75">
              <w:rPr>
                <w:b/>
                <w:sz w:val="24"/>
                <w:szCs w:val="24"/>
              </w:rPr>
              <w:t>643</w:t>
            </w:r>
          </w:p>
        </w:tc>
        <w:tc>
          <w:tcPr>
            <w:tcW w:w="1029" w:type="dxa"/>
            <w:tcBorders>
              <w:top w:val="single" w:sz="4" w:space="0" w:color="auto"/>
              <w:bottom w:val="single" w:sz="4" w:space="0" w:color="auto"/>
            </w:tcBorders>
          </w:tcPr>
          <w:p w14:paraId="626F9913" w14:textId="77777777" w:rsidR="00CF0E2D" w:rsidRPr="00371D75" w:rsidRDefault="00CF0E2D" w:rsidP="00A60D4B">
            <w:pPr>
              <w:spacing w:after="0"/>
              <w:jc w:val="right"/>
              <w:rPr>
                <w:b/>
                <w:sz w:val="24"/>
                <w:szCs w:val="24"/>
              </w:rPr>
            </w:pPr>
            <w:r w:rsidRPr="00371D75">
              <w:rPr>
                <w:b/>
                <w:sz w:val="24"/>
                <w:szCs w:val="24"/>
              </w:rPr>
              <w:t>4,035</w:t>
            </w:r>
          </w:p>
        </w:tc>
      </w:tr>
    </w:tbl>
    <w:p w14:paraId="1C696CD5" w14:textId="77777777" w:rsidR="00CF0E2D" w:rsidRPr="00CD11DD" w:rsidRDefault="00CF0E2D" w:rsidP="00A60D4B">
      <w:pPr>
        <w:pStyle w:val="Bbodytext"/>
      </w:pPr>
      <w:r w:rsidRPr="00CD11DD">
        <w:t>The Government will support the continued delivery of the Canberra events calendar</w:t>
      </w:r>
      <w:r>
        <w:t xml:space="preserve">, </w:t>
      </w:r>
      <w:r w:rsidRPr="00CD11DD">
        <w:t xml:space="preserve">including </w:t>
      </w:r>
      <w:r>
        <w:t xml:space="preserve">the </w:t>
      </w:r>
      <w:r w:rsidRPr="00CD11DD">
        <w:t>Enlighten</w:t>
      </w:r>
      <w:r>
        <w:t xml:space="preserve"> Festival</w:t>
      </w:r>
      <w:r w:rsidRPr="00CD11DD">
        <w:t>, Canberra Day</w:t>
      </w:r>
      <w:r>
        <w:t xml:space="preserve"> and</w:t>
      </w:r>
      <w:r w:rsidRPr="00CD11DD">
        <w:t xml:space="preserve"> Australia Day</w:t>
      </w:r>
      <w:r>
        <w:t>. It will also</w:t>
      </w:r>
      <w:r w:rsidRPr="00CD11DD">
        <w:t xml:space="preserve"> </w:t>
      </w:r>
      <w:r>
        <w:t>provide</w:t>
      </w:r>
      <w:r w:rsidRPr="00CD11DD">
        <w:t xml:space="preserve"> funding </w:t>
      </w:r>
      <w:r>
        <w:t>to attract high economic impact events through the</w:t>
      </w:r>
      <w:r w:rsidRPr="00CD11DD">
        <w:t xml:space="preserve"> Major Event Fund</w:t>
      </w:r>
      <w:r>
        <w:t xml:space="preserve"> and business events in partnership with </w:t>
      </w:r>
      <w:r w:rsidRPr="00CD11DD">
        <w:t>the</w:t>
      </w:r>
      <w:r>
        <w:t xml:space="preserve"> </w:t>
      </w:r>
      <w:r w:rsidRPr="00CD11DD">
        <w:t>Canberra Convention Bureau.</w:t>
      </w:r>
    </w:p>
    <w:p w14:paraId="1380DCA8" w14:textId="77777777" w:rsidR="00CF0E2D" w:rsidRDefault="00CF0E2D" w:rsidP="00A60D4B">
      <w:pPr>
        <w:pStyle w:val="Bbodytext"/>
      </w:pPr>
      <w:r w:rsidRPr="00BD13B4">
        <w:t>This initiative contributes to the wellbeing domain</w:t>
      </w:r>
      <w:r>
        <w:t>s</w:t>
      </w:r>
      <w:r w:rsidRPr="00BD13B4">
        <w:t xml:space="preserve"> of </w:t>
      </w:r>
      <w:r>
        <w:t>Social connection and</w:t>
      </w:r>
      <w:r w:rsidRPr="00BD13B4">
        <w:t xml:space="preserve"> </w:t>
      </w:r>
      <w:r>
        <w:t>Economy</w:t>
      </w:r>
      <w:r w:rsidRPr="00BD13B4">
        <w:t xml:space="preserve">.  </w:t>
      </w:r>
    </w:p>
    <w:p w14:paraId="519DD220" w14:textId="77777777" w:rsidR="00CF0E2D" w:rsidRDefault="00CF0E2D" w:rsidP="00A60D4B">
      <w:pPr>
        <w:pStyle w:val="Bbodytext"/>
      </w:pPr>
      <w:r>
        <w:rPr>
          <w:rFonts w:ascii="Calibri" w:eastAsiaTheme="majorEastAsia" w:hAnsi="Calibri" w:cstheme="majorBidi"/>
          <w:b/>
          <w:noProof/>
          <w:color w:val="999789"/>
          <w:sz w:val="32"/>
          <w:szCs w:val="24"/>
        </w:rPr>
        <w:drawing>
          <wp:anchor distT="0" distB="0" distL="114300" distR="114300" simplePos="0" relativeHeight="251760640" behindDoc="0" locked="1" layoutInCell="1" allowOverlap="1" wp14:anchorId="49027484" wp14:editId="7E3CBE26">
            <wp:simplePos x="0" y="0"/>
            <wp:positionH relativeFrom="margin">
              <wp:align>right</wp:align>
            </wp:positionH>
            <wp:positionV relativeFrom="paragraph">
              <wp:posOffset>132715</wp:posOffset>
            </wp:positionV>
            <wp:extent cx="1393190" cy="503555"/>
            <wp:effectExtent l="0" t="0" r="0" b="0"/>
            <wp:wrapSquare wrapText="bothSides"/>
            <wp:docPr id="69" name="Picture 69" descr="Icon representing the wellbeing domain of Environment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con representing the wellbeing domain of Environment and clima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3190" cy="503555"/>
                    </a:xfrm>
                    <a:prstGeom prst="rect">
                      <a:avLst/>
                    </a:prstGeom>
                  </pic:spPr>
                </pic:pic>
              </a:graphicData>
            </a:graphic>
            <wp14:sizeRelH relativeFrom="margin">
              <wp14:pctWidth>0</wp14:pctWidth>
            </wp14:sizeRelH>
            <wp14:sizeRelV relativeFrom="margin">
              <wp14:pctHeight>0</wp14:pctHeight>
            </wp14:sizeRelV>
          </wp:anchor>
        </w:drawing>
      </w:r>
    </w:p>
    <w:p w14:paraId="2E92FF33" w14:textId="77777777" w:rsidR="00CF0E2D" w:rsidRPr="004E3F9A" w:rsidRDefault="00CF0E2D" w:rsidP="00A60D4B">
      <w:pPr>
        <w:pStyle w:val="Heading4"/>
        <w:rPr>
          <w:rFonts w:eastAsia="Times New Roman" w:cs="Times New Roman"/>
          <w:bCs/>
          <w:szCs w:val="26"/>
        </w:rPr>
      </w:pPr>
      <w:r w:rsidRPr="004E3F9A">
        <w:rPr>
          <w:rFonts w:eastAsia="Times New Roman"/>
        </w:rPr>
        <w:t xml:space="preserve">More </w:t>
      </w:r>
      <w:r>
        <w:rPr>
          <w:rFonts w:eastAsia="Times New Roman"/>
        </w:rPr>
        <w:t>e</w:t>
      </w:r>
      <w:r w:rsidRPr="004E3F9A">
        <w:rPr>
          <w:rFonts w:eastAsia="Times New Roman"/>
        </w:rPr>
        <w:t xml:space="preserve">nergy </w:t>
      </w:r>
      <w:r>
        <w:rPr>
          <w:rFonts w:eastAsia="Times New Roman"/>
        </w:rPr>
        <w:t>e</w:t>
      </w:r>
      <w:r w:rsidRPr="004E3F9A">
        <w:rPr>
          <w:rFonts w:eastAsia="Times New Roman"/>
        </w:rPr>
        <w:t xml:space="preserve">fficient Government </w:t>
      </w:r>
      <w:r>
        <w:rPr>
          <w:rFonts w:eastAsia="Times New Roman"/>
        </w:rPr>
        <w:t>a</w:t>
      </w:r>
      <w:r w:rsidRPr="004E3F9A">
        <w:rPr>
          <w:rFonts w:eastAsia="Times New Roman"/>
        </w:rPr>
        <w:t xml:space="preserve">ccommodation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34323" w14:paraId="3840C1B4" w14:textId="77777777" w:rsidTr="00A60D4B">
        <w:trPr>
          <w:cantSplit/>
          <w:jc w:val="center"/>
        </w:trPr>
        <w:tc>
          <w:tcPr>
            <w:tcW w:w="3652" w:type="dxa"/>
            <w:tcBorders>
              <w:top w:val="single" w:sz="4" w:space="0" w:color="auto"/>
              <w:bottom w:val="single" w:sz="4" w:space="0" w:color="auto"/>
            </w:tcBorders>
          </w:tcPr>
          <w:p w14:paraId="58551EBE" w14:textId="77777777" w:rsidR="00CF0E2D" w:rsidRPr="00934323" w:rsidRDefault="00CF0E2D" w:rsidP="00A60D4B">
            <w:pPr>
              <w:pStyle w:val="EmptyCell0"/>
            </w:pPr>
            <w:r w:rsidRPr="00934323">
              <w:t>Empty Cell</w:t>
            </w:r>
          </w:p>
        </w:tc>
        <w:tc>
          <w:tcPr>
            <w:tcW w:w="1179" w:type="dxa"/>
            <w:tcBorders>
              <w:top w:val="single" w:sz="4" w:space="0" w:color="auto"/>
              <w:bottom w:val="single" w:sz="4" w:space="0" w:color="auto"/>
            </w:tcBorders>
          </w:tcPr>
          <w:p w14:paraId="54894959" w14:textId="77777777" w:rsidR="00CF0E2D" w:rsidRPr="005F182D" w:rsidRDefault="00CF0E2D" w:rsidP="00A60D4B">
            <w:pPr>
              <w:pStyle w:val="InitFigR"/>
              <w:rPr>
                <w:b/>
                <w:bCs/>
              </w:rPr>
            </w:pPr>
            <w:r w:rsidRPr="005F182D">
              <w:rPr>
                <w:b/>
                <w:bCs/>
              </w:rPr>
              <w:t>2021-22</w:t>
            </w:r>
          </w:p>
          <w:p w14:paraId="31CFAB82" w14:textId="77777777" w:rsidR="00CF0E2D" w:rsidRPr="005F182D" w:rsidRDefault="00CF0E2D" w:rsidP="00A60D4B">
            <w:pPr>
              <w:pStyle w:val="InitFigR"/>
              <w:rPr>
                <w:b/>
                <w:bCs/>
              </w:rPr>
            </w:pPr>
            <w:r w:rsidRPr="005F182D">
              <w:rPr>
                <w:b/>
                <w:bCs/>
              </w:rPr>
              <w:t>$’000</w:t>
            </w:r>
          </w:p>
        </w:tc>
        <w:tc>
          <w:tcPr>
            <w:tcW w:w="1041" w:type="dxa"/>
            <w:tcBorders>
              <w:top w:val="single" w:sz="4" w:space="0" w:color="auto"/>
              <w:bottom w:val="single" w:sz="4" w:space="0" w:color="auto"/>
            </w:tcBorders>
          </w:tcPr>
          <w:p w14:paraId="06F35B58" w14:textId="77777777" w:rsidR="00CF0E2D" w:rsidRPr="005F182D" w:rsidRDefault="00CF0E2D" w:rsidP="00A60D4B">
            <w:pPr>
              <w:pStyle w:val="InitFigR"/>
              <w:rPr>
                <w:b/>
                <w:bCs/>
              </w:rPr>
            </w:pPr>
            <w:r w:rsidRPr="005F182D">
              <w:rPr>
                <w:b/>
                <w:bCs/>
              </w:rPr>
              <w:t>2022-23</w:t>
            </w:r>
          </w:p>
          <w:p w14:paraId="4103EC87" w14:textId="77777777" w:rsidR="00CF0E2D" w:rsidRPr="005F182D" w:rsidRDefault="00CF0E2D" w:rsidP="00A60D4B">
            <w:pPr>
              <w:pStyle w:val="InitFigR"/>
              <w:rPr>
                <w:b/>
                <w:bCs/>
              </w:rPr>
            </w:pPr>
            <w:r w:rsidRPr="005F182D">
              <w:rPr>
                <w:b/>
                <w:bCs/>
              </w:rPr>
              <w:t>$’000</w:t>
            </w:r>
          </w:p>
        </w:tc>
        <w:tc>
          <w:tcPr>
            <w:tcW w:w="1029" w:type="dxa"/>
            <w:tcBorders>
              <w:top w:val="single" w:sz="4" w:space="0" w:color="auto"/>
              <w:bottom w:val="single" w:sz="4" w:space="0" w:color="auto"/>
            </w:tcBorders>
          </w:tcPr>
          <w:p w14:paraId="4E95BB4D" w14:textId="77777777" w:rsidR="00CF0E2D" w:rsidRPr="005F182D" w:rsidRDefault="00CF0E2D" w:rsidP="00A60D4B">
            <w:pPr>
              <w:pStyle w:val="InitFigR"/>
              <w:rPr>
                <w:b/>
                <w:bCs/>
              </w:rPr>
            </w:pPr>
            <w:r w:rsidRPr="005F182D">
              <w:rPr>
                <w:b/>
                <w:bCs/>
              </w:rPr>
              <w:t>2023-24</w:t>
            </w:r>
          </w:p>
          <w:p w14:paraId="613F6504" w14:textId="77777777" w:rsidR="00CF0E2D" w:rsidRPr="005F182D" w:rsidRDefault="00CF0E2D" w:rsidP="00A60D4B">
            <w:pPr>
              <w:pStyle w:val="InitFigR"/>
              <w:rPr>
                <w:b/>
                <w:bCs/>
              </w:rPr>
            </w:pPr>
            <w:r w:rsidRPr="005F182D">
              <w:rPr>
                <w:b/>
                <w:bCs/>
              </w:rPr>
              <w:t>$’000</w:t>
            </w:r>
          </w:p>
        </w:tc>
        <w:tc>
          <w:tcPr>
            <w:tcW w:w="1029" w:type="dxa"/>
            <w:tcBorders>
              <w:top w:val="single" w:sz="4" w:space="0" w:color="auto"/>
              <w:bottom w:val="single" w:sz="4" w:space="0" w:color="auto"/>
            </w:tcBorders>
          </w:tcPr>
          <w:p w14:paraId="581347CF" w14:textId="77777777" w:rsidR="00CF0E2D" w:rsidRPr="005F182D" w:rsidRDefault="00CF0E2D" w:rsidP="00A60D4B">
            <w:pPr>
              <w:pStyle w:val="InitFigR"/>
              <w:rPr>
                <w:b/>
                <w:bCs/>
              </w:rPr>
            </w:pPr>
            <w:r w:rsidRPr="005F182D">
              <w:rPr>
                <w:b/>
                <w:bCs/>
              </w:rPr>
              <w:t>2024-25</w:t>
            </w:r>
          </w:p>
          <w:p w14:paraId="76B6A59D" w14:textId="77777777" w:rsidR="00CF0E2D" w:rsidRPr="005F182D" w:rsidRDefault="00CF0E2D" w:rsidP="00A60D4B">
            <w:pPr>
              <w:pStyle w:val="InitFigR"/>
              <w:rPr>
                <w:b/>
                <w:bCs/>
              </w:rPr>
            </w:pPr>
            <w:r w:rsidRPr="005F182D">
              <w:rPr>
                <w:b/>
                <w:bCs/>
              </w:rPr>
              <w:t>$’000</w:t>
            </w:r>
          </w:p>
        </w:tc>
        <w:tc>
          <w:tcPr>
            <w:tcW w:w="1029" w:type="dxa"/>
            <w:tcBorders>
              <w:top w:val="single" w:sz="4" w:space="0" w:color="auto"/>
              <w:bottom w:val="single" w:sz="4" w:space="0" w:color="auto"/>
            </w:tcBorders>
          </w:tcPr>
          <w:p w14:paraId="57FC7AEF" w14:textId="77777777" w:rsidR="00CF0E2D" w:rsidRPr="005F182D" w:rsidRDefault="00CF0E2D" w:rsidP="00A60D4B">
            <w:pPr>
              <w:pStyle w:val="InitFigRBold"/>
              <w:rPr>
                <w:bCs/>
              </w:rPr>
            </w:pPr>
            <w:r w:rsidRPr="005F182D">
              <w:rPr>
                <w:bCs/>
              </w:rPr>
              <w:t>Total</w:t>
            </w:r>
          </w:p>
          <w:p w14:paraId="0C050941" w14:textId="77777777" w:rsidR="00CF0E2D" w:rsidRPr="005F182D" w:rsidRDefault="00CF0E2D" w:rsidP="00A60D4B">
            <w:pPr>
              <w:pStyle w:val="InitFigBR"/>
              <w:rPr>
                <w:bCs/>
              </w:rPr>
            </w:pPr>
            <w:r w:rsidRPr="005F182D">
              <w:rPr>
                <w:bCs/>
              </w:rPr>
              <w:t>$’000</w:t>
            </w:r>
          </w:p>
        </w:tc>
      </w:tr>
      <w:tr w:rsidR="00CF0E2D" w:rsidRPr="00934323" w14:paraId="1C6DE960" w14:textId="77777777" w:rsidTr="00A60D4B">
        <w:trPr>
          <w:cantSplit/>
          <w:jc w:val="center"/>
        </w:trPr>
        <w:tc>
          <w:tcPr>
            <w:tcW w:w="3652" w:type="dxa"/>
            <w:tcBorders>
              <w:top w:val="single" w:sz="4" w:space="0" w:color="auto"/>
              <w:bottom w:val="single" w:sz="4" w:space="0" w:color="auto"/>
            </w:tcBorders>
          </w:tcPr>
          <w:p w14:paraId="2753EDFC" w14:textId="77777777" w:rsidR="00CF0E2D" w:rsidRPr="005F182D" w:rsidRDefault="00CF0E2D" w:rsidP="00A60D4B">
            <w:pPr>
              <w:pStyle w:val="InitTextL"/>
              <w:ind w:left="321" w:hanging="321"/>
            </w:pPr>
            <w:r w:rsidRPr="005F182D">
              <w:t>Capital</w:t>
            </w:r>
          </w:p>
        </w:tc>
        <w:tc>
          <w:tcPr>
            <w:tcW w:w="1179" w:type="dxa"/>
            <w:tcBorders>
              <w:top w:val="single" w:sz="4" w:space="0" w:color="auto"/>
              <w:bottom w:val="single" w:sz="4" w:space="0" w:color="auto"/>
            </w:tcBorders>
          </w:tcPr>
          <w:p w14:paraId="59DD9CFC" w14:textId="77777777" w:rsidR="00CF0E2D" w:rsidRPr="005F182D" w:rsidRDefault="00CF0E2D" w:rsidP="00A60D4B">
            <w:pPr>
              <w:pStyle w:val="InitFigR"/>
            </w:pPr>
            <w:r w:rsidRPr="005F182D">
              <w:t>1,861</w:t>
            </w:r>
          </w:p>
        </w:tc>
        <w:tc>
          <w:tcPr>
            <w:tcW w:w="1041" w:type="dxa"/>
            <w:tcBorders>
              <w:top w:val="single" w:sz="4" w:space="0" w:color="auto"/>
              <w:bottom w:val="single" w:sz="4" w:space="0" w:color="auto"/>
            </w:tcBorders>
          </w:tcPr>
          <w:p w14:paraId="25DC517B" w14:textId="77777777" w:rsidR="00CF0E2D" w:rsidRPr="005F182D" w:rsidRDefault="00CF0E2D" w:rsidP="00A60D4B">
            <w:pPr>
              <w:pStyle w:val="InitFigR"/>
            </w:pPr>
            <w:r w:rsidRPr="005F182D">
              <w:t>3,768</w:t>
            </w:r>
          </w:p>
        </w:tc>
        <w:tc>
          <w:tcPr>
            <w:tcW w:w="1029" w:type="dxa"/>
            <w:tcBorders>
              <w:top w:val="single" w:sz="4" w:space="0" w:color="auto"/>
              <w:bottom w:val="single" w:sz="4" w:space="0" w:color="auto"/>
            </w:tcBorders>
          </w:tcPr>
          <w:p w14:paraId="102E9EAC" w14:textId="77777777" w:rsidR="00CF0E2D" w:rsidRPr="005F182D" w:rsidRDefault="00CF0E2D" w:rsidP="00A60D4B">
            <w:pPr>
              <w:pStyle w:val="InitFigR"/>
            </w:pPr>
            <w:r w:rsidRPr="005F182D">
              <w:t>4,722</w:t>
            </w:r>
          </w:p>
        </w:tc>
        <w:tc>
          <w:tcPr>
            <w:tcW w:w="1029" w:type="dxa"/>
            <w:tcBorders>
              <w:top w:val="single" w:sz="4" w:space="0" w:color="auto"/>
              <w:bottom w:val="single" w:sz="4" w:space="0" w:color="auto"/>
            </w:tcBorders>
          </w:tcPr>
          <w:p w14:paraId="6789EECB" w14:textId="77777777" w:rsidR="00CF0E2D" w:rsidRPr="005F182D" w:rsidRDefault="00CF0E2D" w:rsidP="00A60D4B">
            <w:pPr>
              <w:pStyle w:val="InitFigR"/>
            </w:pPr>
            <w:r w:rsidRPr="005F182D">
              <w:t>4,901</w:t>
            </w:r>
          </w:p>
        </w:tc>
        <w:tc>
          <w:tcPr>
            <w:tcW w:w="1029" w:type="dxa"/>
            <w:tcBorders>
              <w:top w:val="single" w:sz="4" w:space="0" w:color="auto"/>
              <w:bottom w:val="single" w:sz="4" w:space="0" w:color="auto"/>
            </w:tcBorders>
          </w:tcPr>
          <w:p w14:paraId="319AD86F" w14:textId="77777777" w:rsidR="00CF0E2D" w:rsidRPr="00934323" w:rsidRDefault="00CF0E2D" w:rsidP="00A60D4B">
            <w:pPr>
              <w:pStyle w:val="InitFigRBold"/>
              <w:rPr>
                <w:bCs/>
              </w:rPr>
            </w:pPr>
            <w:r w:rsidRPr="00934323">
              <w:rPr>
                <w:bCs/>
              </w:rPr>
              <w:t>15,252</w:t>
            </w:r>
          </w:p>
        </w:tc>
      </w:tr>
      <w:tr w:rsidR="00CF0E2D" w:rsidRPr="00934323" w14:paraId="337CE5ED" w14:textId="77777777" w:rsidTr="00A60D4B">
        <w:trPr>
          <w:cantSplit/>
          <w:jc w:val="center"/>
        </w:trPr>
        <w:tc>
          <w:tcPr>
            <w:tcW w:w="3652" w:type="dxa"/>
            <w:tcBorders>
              <w:top w:val="single" w:sz="4" w:space="0" w:color="auto"/>
              <w:bottom w:val="single" w:sz="4" w:space="0" w:color="auto"/>
            </w:tcBorders>
          </w:tcPr>
          <w:p w14:paraId="3F9ED38E" w14:textId="77777777" w:rsidR="00CF0E2D" w:rsidRPr="00934323" w:rsidRDefault="00CF0E2D" w:rsidP="00A60D4B">
            <w:pPr>
              <w:pStyle w:val="InitTextL"/>
              <w:ind w:left="321" w:hanging="321"/>
              <w:rPr>
                <w:b/>
                <w:bCs/>
              </w:rPr>
            </w:pPr>
            <w:r w:rsidRPr="00934323">
              <w:t>Depreciation</w:t>
            </w:r>
          </w:p>
        </w:tc>
        <w:tc>
          <w:tcPr>
            <w:tcW w:w="1179" w:type="dxa"/>
            <w:tcBorders>
              <w:top w:val="single" w:sz="4" w:space="0" w:color="auto"/>
              <w:bottom w:val="single" w:sz="4" w:space="0" w:color="auto"/>
            </w:tcBorders>
          </w:tcPr>
          <w:p w14:paraId="4B26B398" w14:textId="77777777" w:rsidR="00CF0E2D" w:rsidRPr="00903FE9" w:rsidRDefault="00CF0E2D" w:rsidP="00A60D4B">
            <w:pPr>
              <w:pStyle w:val="InitFigR"/>
            </w:pPr>
            <w:r w:rsidRPr="00903FE9">
              <w:t>0</w:t>
            </w:r>
          </w:p>
        </w:tc>
        <w:tc>
          <w:tcPr>
            <w:tcW w:w="1041" w:type="dxa"/>
            <w:tcBorders>
              <w:top w:val="single" w:sz="4" w:space="0" w:color="auto"/>
              <w:bottom w:val="single" w:sz="4" w:space="0" w:color="auto"/>
            </w:tcBorders>
          </w:tcPr>
          <w:p w14:paraId="26C4B339" w14:textId="77777777" w:rsidR="00CF0E2D" w:rsidRPr="00903FE9" w:rsidRDefault="00CF0E2D" w:rsidP="00A60D4B">
            <w:pPr>
              <w:pStyle w:val="InitFigR"/>
            </w:pPr>
            <w:r w:rsidRPr="00903FE9">
              <w:t>103</w:t>
            </w:r>
          </w:p>
        </w:tc>
        <w:tc>
          <w:tcPr>
            <w:tcW w:w="1029" w:type="dxa"/>
            <w:tcBorders>
              <w:top w:val="single" w:sz="4" w:space="0" w:color="auto"/>
              <w:bottom w:val="single" w:sz="4" w:space="0" w:color="auto"/>
            </w:tcBorders>
          </w:tcPr>
          <w:p w14:paraId="631C65DA" w14:textId="77777777" w:rsidR="00CF0E2D" w:rsidRPr="00903FE9" w:rsidRDefault="00CF0E2D" w:rsidP="00A60D4B">
            <w:pPr>
              <w:pStyle w:val="InitFigR"/>
            </w:pPr>
            <w:r w:rsidRPr="00903FE9">
              <w:t>311</w:t>
            </w:r>
          </w:p>
        </w:tc>
        <w:tc>
          <w:tcPr>
            <w:tcW w:w="1029" w:type="dxa"/>
            <w:tcBorders>
              <w:top w:val="single" w:sz="4" w:space="0" w:color="auto"/>
              <w:bottom w:val="single" w:sz="4" w:space="0" w:color="auto"/>
            </w:tcBorders>
          </w:tcPr>
          <w:p w14:paraId="537C355C" w14:textId="77777777" w:rsidR="00CF0E2D" w:rsidRPr="00903FE9" w:rsidRDefault="00CF0E2D" w:rsidP="00A60D4B">
            <w:pPr>
              <w:pStyle w:val="InitFigR"/>
            </w:pPr>
            <w:r w:rsidRPr="00903FE9">
              <w:t>572</w:t>
            </w:r>
          </w:p>
        </w:tc>
        <w:tc>
          <w:tcPr>
            <w:tcW w:w="1029" w:type="dxa"/>
            <w:tcBorders>
              <w:top w:val="single" w:sz="4" w:space="0" w:color="auto"/>
              <w:bottom w:val="single" w:sz="4" w:space="0" w:color="auto"/>
            </w:tcBorders>
          </w:tcPr>
          <w:p w14:paraId="5F17EA1B" w14:textId="77777777" w:rsidR="00CF0E2D" w:rsidRPr="005F182D" w:rsidRDefault="00CF0E2D" w:rsidP="00A60D4B">
            <w:pPr>
              <w:pStyle w:val="InitFigRBold"/>
              <w:rPr>
                <w:bCs/>
              </w:rPr>
            </w:pPr>
            <w:r w:rsidRPr="005F182D">
              <w:rPr>
                <w:bCs/>
              </w:rPr>
              <w:t>986</w:t>
            </w:r>
          </w:p>
        </w:tc>
      </w:tr>
    </w:tbl>
    <w:p w14:paraId="598D7FF3" w14:textId="77777777" w:rsidR="00CF0E2D" w:rsidRPr="00934323" w:rsidRDefault="00CF0E2D" w:rsidP="00A60D4B">
      <w:pPr>
        <w:pStyle w:val="Bbodytext"/>
      </w:pPr>
      <w:r w:rsidRPr="00934323">
        <w:t xml:space="preserve">The Government will </w:t>
      </w:r>
      <w:r>
        <w:t xml:space="preserve">progress </w:t>
      </w:r>
      <w:r w:rsidRPr="00934323">
        <w:t xml:space="preserve">the installation of a new </w:t>
      </w:r>
      <w:r>
        <w:t>h</w:t>
      </w:r>
      <w:r w:rsidRPr="00934323">
        <w:t xml:space="preserve">eating, </w:t>
      </w:r>
      <w:r>
        <w:t>v</w:t>
      </w:r>
      <w:r w:rsidRPr="00934323">
        <w:t xml:space="preserve">entilation and </w:t>
      </w:r>
      <w:r>
        <w:t>c</w:t>
      </w:r>
      <w:r w:rsidRPr="00934323">
        <w:t xml:space="preserve">ooling system at Callam </w:t>
      </w:r>
      <w:r>
        <w:t>O</w:t>
      </w:r>
      <w:r w:rsidRPr="00934323">
        <w:t>ffices</w:t>
      </w:r>
      <w:r>
        <w:t xml:space="preserve"> and other building upgrades which will improve energy efficiency and effectively maintain this heritage-listed asset.</w:t>
      </w:r>
    </w:p>
    <w:p w14:paraId="247278BA" w14:textId="77777777" w:rsidR="00CF0E2D" w:rsidRDefault="00CF0E2D" w:rsidP="00A60D4B">
      <w:pPr>
        <w:pStyle w:val="Bbodytext"/>
        <w:rPr>
          <w:rFonts w:eastAsia="Times New Roman"/>
        </w:rPr>
      </w:pPr>
      <w:r w:rsidRPr="00934323">
        <w:t>This initiative contributes to the wellbeing domain</w:t>
      </w:r>
      <w:r>
        <w:t>s</w:t>
      </w:r>
      <w:r w:rsidRPr="00934323">
        <w:t xml:space="preserve"> of Environment and climate</w:t>
      </w:r>
      <w:r>
        <w:t xml:space="preserve"> and</w:t>
      </w:r>
      <w:r w:rsidRPr="00934323">
        <w:t xml:space="preserve"> Economy.</w:t>
      </w:r>
      <w:r w:rsidRPr="004C4EE3">
        <w:rPr>
          <w:rFonts w:eastAsia="Times New Roman"/>
        </w:rPr>
        <w:t xml:space="preserve"> </w:t>
      </w:r>
    </w:p>
    <w:p w14:paraId="568E3D2D" w14:textId="77777777" w:rsidR="00CF0E2D" w:rsidRDefault="00CF0E2D" w:rsidP="00A60D4B">
      <w:pPr>
        <w:pStyle w:val="Bbodytext"/>
      </w:pPr>
      <w:r>
        <w:rPr>
          <w:noProof/>
        </w:rPr>
        <w:drawing>
          <wp:anchor distT="0" distB="0" distL="114300" distR="114300" simplePos="0" relativeHeight="251761664" behindDoc="0" locked="1" layoutInCell="1" allowOverlap="1" wp14:anchorId="7B57B29C" wp14:editId="6E6BFFC8">
            <wp:simplePos x="0" y="0"/>
            <wp:positionH relativeFrom="margin">
              <wp:align>right</wp:align>
            </wp:positionH>
            <wp:positionV relativeFrom="paragraph">
              <wp:posOffset>158115</wp:posOffset>
            </wp:positionV>
            <wp:extent cx="993140" cy="503555"/>
            <wp:effectExtent l="0" t="0" r="0" b="0"/>
            <wp:wrapSquare wrapText="bothSides"/>
            <wp:docPr id="71" name="Picture 71"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1" w:rightFromText="181" w:vertAnchor="text" w:horzAnchor="margin" w:tblpY="647"/>
        <w:tblW w:w="8959" w:type="dxa"/>
        <w:tblLayout w:type="fixed"/>
        <w:tblLook w:val="0000" w:firstRow="0" w:lastRow="0" w:firstColumn="0" w:lastColumn="0" w:noHBand="0" w:noVBand="0"/>
      </w:tblPr>
      <w:tblGrid>
        <w:gridCol w:w="3652"/>
        <w:gridCol w:w="1179"/>
        <w:gridCol w:w="1041"/>
        <w:gridCol w:w="1029"/>
        <w:gridCol w:w="1029"/>
        <w:gridCol w:w="1029"/>
      </w:tblGrid>
      <w:tr w:rsidR="00CF0E2D" w:rsidRPr="00DE7F02" w14:paraId="1C9C952C" w14:textId="77777777" w:rsidTr="00A60D4B">
        <w:trPr>
          <w:cantSplit/>
        </w:trPr>
        <w:tc>
          <w:tcPr>
            <w:tcW w:w="3652" w:type="dxa"/>
            <w:tcBorders>
              <w:top w:val="single" w:sz="4" w:space="0" w:color="auto"/>
              <w:bottom w:val="single" w:sz="4" w:space="0" w:color="auto"/>
            </w:tcBorders>
          </w:tcPr>
          <w:p w14:paraId="29CDDDBC" w14:textId="77777777" w:rsidR="00CF0E2D" w:rsidRPr="00DE7F02" w:rsidRDefault="00CF0E2D" w:rsidP="00A60D4B">
            <w:pPr>
              <w:pStyle w:val="EmptyCell0"/>
            </w:pPr>
            <w:r w:rsidRPr="00DE7F02">
              <w:t>Empty Cell</w:t>
            </w:r>
          </w:p>
        </w:tc>
        <w:tc>
          <w:tcPr>
            <w:tcW w:w="1179" w:type="dxa"/>
            <w:tcBorders>
              <w:top w:val="single" w:sz="4" w:space="0" w:color="auto"/>
              <w:bottom w:val="single" w:sz="4" w:space="0" w:color="auto"/>
            </w:tcBorders>
          </w:tcPr>
          <w:p w14:paraId="59C04ED6" w14:textId="77777777" w:rsidR="00CF0E2D" w:rsidRPr="00DE7F02" w:rsidRDefault="00CF0E2D" w:rsidP="00A60D4B">
            <w:pPr>
              <w:pStyle w:val="InitFigR"/>
              <w:rPr>
                <w:b/>
                <w:bCs/>
              </w:rPr>
            </w:pPr>
            <w:r w:rsidRPr="00DE7F02">
              <w:rPr>
                <w:b/>
                <w:bCs/>
              </w:rPr>
              <w:t>2021-22</w:t>
            </w:r>
          </w:p>
          <w:p w14:paraId="419D43E7" w14:textId="77777777" w:rsidR="00CF0E2D" w:rsidRPr="00DE7F02" w:rsidRDefault="00CF0E2D" w:rsidP="00A60D4B">
            <w:pPr>
              <w:pStyle w:val="InitFigR"/>
              <w:rPr>
                <w:b/>
                <w:bCs/>
              </w:rPr>
            </w:pPr>
            <w:r w:rsidRPr="00DE7F02">
              <w:rPr>
                <w:b/>
                <w:bCs/>
              </w:rPr>
              <w:t>$’000</w:t>
            </w:r>
          </w:p>
        </w:tc>
        <w:tc>
          <w:tcPr>
            <w:tcW w:w="1041" w:type="dxa"/>
            <w:tcBorders>
              <w:top w:val="single" w:sz="4" w:space="0" w:color="auto"/>
              <w:bottom w:val="single" w:sz="4" w:space="0" w:color="auto"/>
            </w:tcBorders>
          </w:tcPr>
          <w:p w14:paraId="4942DECB" w14:textId="77777777" w:rsidR="00CF0E2D" w:rsidRPr="00DE7F02" w:rsidRDefault="00CF0E2D" w:rsidP="00A60D4B">
            <w:pPr>
              <w:pStyle w:val="InitFigR"/>
              <w:rPr>
                <w:b/>
                <w:bCs/>
              </w:rPr>
            </w:pPr>
            <w:r w:rsidRPr="00DE7F02">
              <w:rPr>
                <w:b/>
                <w:bCs/>
              </w:rPr>
              <w:t>2022-23</w:t>
            </w:r>
          </w:p>
          <w:p w14:paraId="2569DE7A" w14:textId="77777777" w:rsidR="00CF0E2D" w:rsidRPr="00DE7F02" w:rsidRDefault="00CF0E2D" w:rsidP="00A60D4B">
            <w:pPr>
              <w:pStyle w:val="InitFigR"/>
              <w:rPr>
                <w:b/>
                <w:bCs/>
              </w:rPr>
            </w:pPr>
            <w:r w:rsidRPr="00DE7F02">
              <w:rPr>
                <w:b/>
                <w:bCs/>
              </w:rPr>
              <w:t>$’000</w:t>
            </w:r>
          </w:p>
        </w:tc>
        <w:tc>
          <w:tcPr>
            <w:tcW w:w="1029" w:type="dxa"/>
            <w:tcBorders>
              <w:top w:val="single" w:sz="4" w:space="0" w:color="auto"/>
              <w:bottom w:val="single" w:sz="4" w:space="0" w:color="auto"/>
            </w:tcBorders>
          </w:tcPr>
          <w:p w14:paraId="6988A1CB" w14:textId="77777777" w:rsidR="00CF0E2D" w:rsidRPr="00DE7F02" w:rsidRDefault="00CF0E2D" w:rsidP="00A60D4B">
            <w:pPr>
              <w:pStyle w:val="InitFigR"/>
              <w:rPr>
                <w:b/>
                <w:bCs/>
              </w:rPr>
            </w:pPr>
            <w:r w:rsidRPr="00DE7F02">
              <w:rPr>
                <w:b/>
                <w:bCs/>
              </w:rPr>
              <w:t>2023-24</w:t>
            </w:r>
          </w:p>
          <w:p w14:paraId="39B3E0C8" w14:textId="77777777" w:rsidR="00CF0E2D" w:rsidRPr="00DE7F02" w:rsidRDefault="00CF0E2D" w:rsidP="00A60D4B">
            <w:pPr>
              <w:pStyle w:val="InitFigR"/>
              <w:rPr>
                <w:b/>
                <w:bCs/>
              </w:rPr>
            </w:pPr>
            <w:r w:rsidRPr="00DE7F02">
              <w:rPr>
                <w:b/>
                <w:bCs/>
              </w:rPr>
              <w:t>$’000</w:t>
            </w:r>
          </w:p>
        </w:tc>
        <w:tc>
          <w:tcPr>
            <w:tcW w:w="1029" w:type="dxa"/>
            <w:tcBorders>
              <w:top w:val="single" w:sz="4" w:space="0" w:color="auto"/>
              <w:bottom w:val="single" w:sz="4" w:space="0" w:color="auto"/>
            </w:tcBorders>
          </w:tcPr>
          <w:p w14:paraId="44C3320C" w14:textId="77777777" w:rsidR="00CF0E2D" w:rsidRPr="00DE7F02" w:rsidRDefault="00CF0E2D" w:rsidP="00A60D4B">
            <w:pPr>
              <w:pStyle w:val="InitFigR"/>
              <w:rPr>
                <w:b/>
                <w:bCs/>
              </w:rPr>
            </w:pPr>
            <w:r w:rsidRPr="00DE7F02">
              <w:rPr>
                <w:b/>
                <w:bCs/>
              </w:rPr>
              <w:t>2024-25</w:t>
            </w:r>
          </w:p>
          <w:p w14:paraId="0F63C496" w14:textId="77777777" w:rsidR="00CF0E2D" w:rsidRPr="00DE7F02" w:rsidRDefault="00CF0E2D" w:rsidP="00A60D4B">
            <w:pPr>
              <w:pStyle w:val="InitFigR"/>
              <w:rPr>
                <w:b/>
                <w:bCs/>
              </w:rPr>
            </w:pPr>
            <w:r w:rsidRPr="00DE7F02">
              <w:rPr>
                <w:b/>
                <w:bCs/>
              </w:rPr>
              <w:t>$’000</w:t>
            </w:r>
          </w:p>
        </w:tc>
        <w:tc>
          <w:tcPr>
            <w:tcW w:w="1029" w:type="dxa"/>
            <w:tcBorders>
              <w:top w:val="single" w:sz="4" w:space="0" w:color="auto"/>
              <w:bottom w:val="single" w:sz="4" w:space="0" w:color="auto"/>
            </w:tcBorders>
          </w:tcPr>
          <w:p w14:paraId="01797A40" w14:textId="77777777" w:rsidR="00CF0E2D" w:rsidRPr="00DE7F02" w:rsidRDefault="00CF0E2D" w:rsidP="00A60D4B">
            <w:pPr>
              <w:pStyle w:val="InitFigRBold"/>
              <w:rPr>
                <w:bCs/>
              </w:rPr>
            </w:pPr>
            <w:r w:rsidRPr="00DE7F02">
              <w:rPr>
                <w:bCs/>
              </w:rPr>
              <w:t>Total</w:t>
            </w:r>
          </w:p>
          <w:p w14:paraId="2C538EDE" w14:textId="77777777" w:rsidR="00CF0E2D" w:rsidRPr="00DE7F02" w:rsidRDefault="00CF0E2D" w:rsidP="00A60D4B">
            <w:pPr>
              <w:pStyle w:val="InitFigBR"/>
              <w:rPr>
                <w:bCs/>
              </w:rPr>
            </w:pPr>
            <w:r w:rsidRPr="00DE7F02">
              <w:rPr>
                <w:bCs/>
              </w:rPr>
              <w:t>$’000</w:t>
            </w:r>
          </w:p>
        </w:tc>
      </w:tr>
      <w:tr w:rsidR="00CF0E2D" w:rsidRPr="00DE7F02" w14:paraId="12AC97F1" w14:textId="77777777" w:rsidTr="00A60D4B">
        <w:trPr>
          <w:cantSplit/>
        </w:trPr>
        <w:tc>
          <w:tcPr>
            <w:tcW w:w="3652" w:type="dxa"/>
            <w:tcBorders>
              <w:top w:val="single" w:sz="4" w:space="0" w:color="auto"/>
              <w:bottom w:val="single" w:sz="4" w:space="0" w:color="auto"/>
            </w:tcBorders>
          </w:tcPr>
          <w:p w14:paraId="3E1372A4" w14:textId="77777777" w:rsidR="00CF0E2D" w:rsidRPr="00DE7F02" w:rsidRDefault="00CF0E2D" w:rsidP="00A60D4B">
            <w:pPr>
              <w:pStyle w:val="InitTextL"/>
              <w:ind w:left="321" w:hanging="321"/>
            </w:pPr>
            <w:r w:rsidRPr="00DE7F02">
              <w:t>Capital</w:t>
            </w:r>
          </w:p>
        </w:tc>
        <w:tc>
          <w:tcPr>
            <w:tcW w:w="1179" w:type="dxa"/>
            <w:tcBorders>
              <w:top w:val="single" w:sz="4" w:space="0" w:color="auto"/>
              <w:bottom w:val="single" w:sz="4" w:space="0" w:color="auto"/>
            </w:tcBorders>
          </w:tcPr>
          <w:p w14:paraId="0B21E1E0" w14:textId="77777777" w:rsidR="00CF0E2D" w:rsidRPr="00DE7F02" w:rsidRDefault="00CF0E2D" w:rsidP="00A60D4B">
            <w:pPr>
              <w:pStyle w:val="InitFigR"/>
            </w:pPr>
            <w:r w:rsidRPr="00DE7F02">
              <w:t>360</w:t>
            </w:r>
          </w:p>
        </w:tc>
        <w:tc>
          <w:tcPr>
            <w:tcW w:w="1041" w:type="dxa"/>
            <w:tcBorders>
              <w:top w:val="single" w:sz="4" w:space="0" w:color="auto"/>
              <w:bottom w:val="single" w:sz="4" w:space="0" w:color="auto"/>
            </w:tcBorders>
          </w:tcPr>
          <w:p w14:paraId="2DE2F38A" w14:textId="77777777" w:rsidR="00CF0E2D" w:rsidRPr="00DE7F02" w:rsidRDefault="00CF0E2D" w:rsidP="00A60D4B">
            <w:pPr>
              <w:pStyle w:val="InitFigR"/>
            </w:pPr>
            <w:r w:rsidRPr="00DE7F02">
              <w:t>0</w:t>
            </w:r>
          </w:p>
        </w:tc>
        <w:tc>
          <w:tcPr>
            <w:tcW w:w="1029" w:type="dxa"/>
            <w:tcBorders>
              <w:top w:val="single" w:sz="4" w:space="0" w:color="auto"/>
              <w:bottom w:val="single" w:sz="4" w:space="0" w:color="auto"/>
            </w:tcBorders>
          </w:tcPr>
          <w:p w14:paraId="76A5D291" w14:textId="77777777" w:rsidR="00CF0E2D" w:rsidRPr="00DE7F02" w:rsidRDefault="00CF0E2D" w:rsidP="00A60D4B">
            <w:pPr>
              <w:pStyle w:val="InitFigR"/>
            </w:pPr>
            <w:r w:rsidRPr="00DE7F02">
              <w:t>0</w:t>
            </w:r>
          </w:p>
        </w:tc>
        <w:tc>
          <w:tcPr>
            <w:tcW w:w="1029" w:type="dxa"/>
            <w:tcBorders>
              <w:top w:val="single" w:sz="4" w:space="0" w:color="auto"/>
              <w:bottom w:val="single" w:sz="4" w:space="0" w:color="auto"/>
            </w:tcBorders>
          </w:tcPr>
          <w:p w14:paraId="528BF1EC" w14:textId="77777777" w:rsidR="00CF0E2D" w:rsidRPr="00DE7F02" w:rsidRDefault="00CF0E2D" w:rsidP="00A60D4B">
            <w:pPr>
              <w:pStyle w:val="InitFigR"/>
            </w:pPr>
            <w:r w:rsidRPr="00DE7F02">
              <w:t>0</w:t>
            </w:r>
          </w:p>
        </w:tc>
        <w:tc>
          <w:tcPr>
            <w:tcW w:w="1029" w:type="dxa"/>
            <w:tcBorders>
              <w:top w:val="single" w:sz="4" w:space="0" w:color="auto"/>
              <w:bottom w:val="single" w:sz="4" w:space="0" w:color="auto"/>
            </w:tcBorders>
          </w:tcPr>
          <w:p w14:paraId="5DCCBE47" w14:textId="77777777" w:rsidR="00CF0E2D" w:rsidRPr="00DE7F02" w:rsidRDefault="00CF0E2D" w:rsidP="00A60D4B">
            <w:pPr>
              <w:pStyle w:val="InitFigRBold"/>
              <w:rPr>
                <w:bCs/>
              </w:rPr>
            </w:pPr>
            <w:r w:rsidRPr="00DE7F02">
              <w:rPr>
                <w:bCs/>
              </w:rPr>
              <w:t>360</w:t>
            </w:r>
          </w:p>
        </w:tc>
      </w:tr>
      <w:tr w:rsidR="00CF0E2D" w:rsidRPr="00DE7F02" w14:paraId="4BD2341B" w14:textId="77777777" w:rsidTr="00A60D4B">
        <w:trPr>
          <w:cantSplit/>
        </w:trPr>
        <w:tc>
          <w:tcPr>
            <w:tcW w:w="3652" w:type="dxa"/>
            <w:tcBorders>
              <w:top w:val="single" w:sz="4" w:space="0" w:color="auto"/>
            </w:tcBorders>
          </w:tcPr>
          <w:p w14:paraId="024DAC7B" w14:textId="77777777" w:rsidR="00CF0E2D" w:rsidRPr="00DE7F02" w:rsidRDefault="00CF0E2D" w:rsidP="00A60D4B">
            <w:pPr>
              <w:pStyle w:val="InitTextL"/>
              <w:ind w:left="321" w:hanging="321"/>
              <w:rPr>
                <w:b/>
                <w:bCs/>
              </w:rPr>
            </w:pPr>
            <w:r w:rsidRPr="00DE7F02">
              <w:t>Depreciation</w:t>
            </w:r>
          </w:p>
        </w:tc>
        <w:tc>
          <w:tcPr>
            <w:tcW w:w="1179" w:type="dxa"/>
            <w:tcBorders>
              <w:top w:val="single" w:sz="4" w:space="0" w:color="auto"/>
            </w:tcBorders>
          </w:tcPr>
          <w:p w14:paraId="78DE9970" w14:textId="77777777" w:rsidR="00CF0E2D" w:rsidRPr="00DE7F02" w:rsidRDefault="00CF0E2D" w:rsidP="00A60D4B">
            <w:pPr>
              <w:pStyle w:val="InitFigR"/>
            </w:pPr>
            <w:r>
              <w:t>0</w:t>
            </w:r>
          </w:p>
        </w:tc>
        <w:tc>
          <w:tcPr>
            <w:tcW w:w="1041" w:type="dxa"/>
            <w:tcBorders>
              <w:top w:val="single" w:sz="4" w:space="0" w:color="auto"/>
            </w:tcBorders>
          </w:tcPr>
          <w:p w14:paraId="0EB144B8" w14:textId="77777777" w:rsidR="00CF0E2D" w:rsidRPr="00DE7F02" w:rsidRDefault="00CF0E2D" w:rsidP="00A60D4B">
            <w:pPr>
              <w:pStyle w:val="InitFigR"/>
            </w:pPr>
            <w:r w:rsidRPr="00DE7F02">
              <w:t>12</w:t>
            </w:r>
          </w:p>
        </w:tc>
        <w:tc>
          <w:tcPr>
            <w:tcW w:w="1029" w:type="dxa"/>
            <w:tcBorders>
              <w:top w:val="single" w:sz="4" w:space="0" w:color="auto"/>
            </w:tcBorders>
          </w:tcPr>
          <w:p w14:paraId="41A607F5" w14:textId="77777777" w:rsidR="00CF0E2D" w:rsidRPr="00DE7F02" w:rsidRDefault="00CF0E2D" w:rsidP="00A60D4B">
            <w:pPr>
              <w:pStyle w:val="InitFigR"/>
            </w:pPr>
            <w:r w:rsidRPr="00DE7F02">
              <w:t>12</w:t>
            </w:r>
          </w:p>
        </w:tc>
        <w:tc>
          <w:tcPr>
            <w:tcW w:w="1029" w:type="dxa"/>
            <w:tcBorders>
              <w:top w:val="single" w:sz="4" w:space="0" w:color="auto"/>
            </w:tcBorders>
          </w:tcPr>
          <w:p w14:paraId="198C15ED" w14:textId="77777777" w:rsidR="00CF0E2D" w:rsidRPr="00DE7F02" w:rsidRDefault="00CF0E2D" w:rsidP="00A60D4B">
            <w:pPr>
              <w:pStyle w:val="InitFigR"/>
            </w:pPr>
            <w:r w:rsidRPr="00DE7F02">
              <w:t>12</w:t>
            </w:r>
          </w:p>
        </w:tc>
        <w:tc>
          <w:tcPr>
            <w:tcW w:w="1029" w:type="dxa"/>
            <w:tcBorders>
              <w:top w:val="single" w:sz="4" w:space="0" w:color="auto"/>
            </w:tcBorders>
          </w:tcPr>
          <w:p w14:paraId="2E31E95C" w14:textId="77777777" w:rsidR="00CF0E2D" w:rsidRPr="00DE7F02" w:rsidRDefault="00CF0E2D" w:rsidP="00A60D4B">
            <w:pPr>
              <w:pStyle w:val="InitFigRBold"/>
              <w:rPr>
                <w:bCs/>
              </w:rPr>
            </w:pPr>
            <w:r w:rsidRPr="00DE7F02">
              <w:rPr>
                <w:bCs/>
              </w:rPr>
              <w:t>36</w:t>
            </w:r>
          </w:p>
        </w:tc>
      </w:tr>
      <w:tr w:rsidR="00CF0E2D" w:rsidRPr="00DE7F02" w14:paraId="76D063C9" w14:textId="77777777" w:rsidTr="00A60D4B">
        <w:trPr>
          <w:cantSplit/>
        </w:trPr>
        <w:tc>
          <w:tcPr>
            <w:tcW w:w="3652" w:type="dxa"/>
          </w:tcPr>
          <w:p w14:paraId="5A25C6CD" w14:textId="77777777" w:rsidR="00CF0E2D" w:rsidRPr="00DE7F02" w:rsidRDefault="00CF0E2D" w:rsidP="00A60D4B">
            <w:pPr>
              <w:pStyle w:val="InitTextL"/>
              <w:ind w:left="321" w:hanging="321"/>
            </w:pPr>
            <w:r w:rsidRPr="00DE7F02">
              <w:t>Expenses</w:t>
            </w:r>
          </w:p>
        </w:tc>
        <w:tc>
          <w:tcPr>
            <w:tcW w:w="1179" w:type="dxa"/>
          </w:tcPr>
          <w:p w14:paraId="76487BE3" w14:textId="77777777" w:rsidR="00CF0E2D" w:rsidRPr="00DE7F02" w:rsidRDefault="00CF0E2D" w:rsidP="00A60D4B">
            <w:pPr>
              <w:pStyle w:val="InitFigR"/>
            </w:pPr>
            <w:r w:rsidRPr="00DE7F02">
              <w:t>832</w:t>
            </w:r>
          </w:p>
        </w:tc>
        <w:tc>
          <w:tcPr>
            <w:tcW w:w="1041" w:type="dxa"/>
          </w:tcPr>
          <w:p w14:paraId="55C5B65D" w14:textId="77777777" w:rsidR="00CF0E2D" w:rsidRPr="00DE7F02" w:rsidRDefault="00CF0E2D" w:rsidP="00A60D4B">
            <w:pPr>
              <w:pStyle w:val="InitFigR"/>
            </w:pPr>
            <w:r w:rsidRPr="00DE7F02">
              <w:t>0</w:t>
            </w:r>
          </w:p>
        </w:tc>
        <w:tc>
          <w:tcPr>
            <w:tcW w:w="1029" w:type="dxa"/>
          </w:tcPr>
          <w:p w14:paraId="1CF1F437" w14:textId="77777777" w:rsidR="00CF0E2D" w:rsidRPr="00DE7F02" w:rsidRDefault="00CF0E2D" w:rsidP="00A60D4B">
            <w:pPr>
              <w:pStyle w:val="InitFigR"/>
            </w:pPr>
            <w:r w:rsidRPr="00DE7F02">
              <w:t>0</w:t>
            </w:r>
          </w:p>
        </w:tc>
        <w:tc>
          <w:tcPr>
            <w:tcW w:w="1029" w:type="dxa"/>
          </w:tcPr>
          <w:p w14:paraId="0932A113" w14:textId="77777777" w:rsidR="00CF0E2D" w:rsidRPr="00DE7F02" w:rsidRDefault="00CF0E2D" w:rsidP="00A60D4B">
            <w:pPr>
              <w:pStyle w:val="InitFigR"/>
            </w:pPr>
            <w:r w:rsidRPr="00DE7F02">
              <w:t>0</w:t>
            </w:r>
          </w:p>
        </w:tc>
        <w:tc>
          <w:tcPr>
            <w:tcW w:w="1029" w:type="dxa"/>
          </w:tcPr>
          <w:p w14:paraId="765A0721" w14:textId="77777777" w:rsidR="00CF0E2D" w:rsidRPr="00DE7F02" w:rsidRDefault="00CF0E2D" w:rsidP="00A60D4B">
            <w:pPr>
              <w:pStyle w:val="InitFigBR"/>
            </w:pPr>
            <w:r w:rsidRPr="00DE7F02">
              <w:t>832</w:t>
            </w:r>
          </w:p>
        </w:tc>
      </w:tr>
      <w:tr w:rsidR="00CF0E2D" w:rsidRPr="00DE7F02" w14:paraId="43D0E2E7" w14:textId="77777777" w:rsidTr="00A60D4B">
        <w:trPr>
          <w:cantSplit/>
          <w:trHeight w:val="107"/>
        </w:trPr>
        <w:tc>
          <w:tcPr>
            <w:tcW w:w="3652" w:type="dxa"/>
            <w:tcBorders>
              <w:top w:val="single" w:sz="4" w:space="0" w:color="auto"/>
              <w:bottom w:val="single" w:sz="4" w:space="0" w:color="auto"/>
            </w:tcBorders>
          </w:tcPr>
          <w:p w14:paraId="33911E51" w14:textId="77777777" w:rsidR="00CF0E2D" w:rsidRPr="00DE7F02" w:rsidRDefault="00CF0E2D" w:rsidP="00A60D4B">
            <w:pPr>
              <w:pStyle w:val="InitFigLBold"/>
              <w:ind w:left="321" w:hanging="321"/>
            </w:pPr>
            <w:r w:rsidRPr="00DE7F02">
              <w:t>Net cost of services</w:t>
            </w:r>
          </w:p>
        </w:tc>
        <w:tc>
          <w:tcPr>
            <w:tcW w:w="1179" w:type="dxa"/>
            <w:tcBorders>
              <w:top w:val="single" w:sz="4" w:space="0" w:color="auto"/>
              <w:bottom w:val="single" w:sz="4" w:space="0" w:color="auto"/>
            </w:tcBorders>
          </w:tcPr>
          <w:p w14:paraId="6144CC7C" w14:textId="77777777" w:rsidR="00CF0E2D" w:rsidRPr="00DE7F02" w:rsidRDefault="00CF0E2D" w:rsidP="00A60D4B">
            <w:pPr>
              <w:pStyle w:val="InitFigRBold"/>
            </w:pPr>
            <w:r w:rsidRPr="00DE7F02">
              <w:t>832</w:t>
            </w:r>
          </w:p>
        </w:tc>
        <w:tc>
          <w:tcPr>
            <w:tcW w:w="1041" w:type="dxa"/>
            <w:tcBorders>
              <w:top w:val="single" w:sz="4" w:space="0" w:color="auto"/>
              <w:bottom w:val="single" w:sz="4" w:space="0" w:color="auto"/>
            </w:tcBorders>
          </w:tcPr>
          <w:p w14:paraId="2765A0B1" w14:textId="77777777" w:rsidR="00CF0E2D" w:rsidRPr="00DE7F02" w:rsidRDefault="00CF0E2D" w:rsidP="00A60D4B">
            <w:pPr>
              <w:pStyle w:val="InitFigRBold"/>
            </w:pPr>
            <w:r w:rsidRPr="00DE7F02">
              <w:t>12</w:t>
            </w:r>
          </w:p>
        </w:tc>
        <w:tc>
          <w:tcPr>
            <w:tcW w:w="1029" w:type="dxa"/>
            <w:tcBorders>
              <w:top w:val="single" w:sz="4" w:space="0" w:color="auto"/>
              <w:bottom w:val="single" w:sz="4" w:space="0" w:color="auto"/>
            </w:tcBorders>
          </w:tcPr>
          <w:p w14:paraId="00D27282" w14:textId="77777777" w:rsidR="00CF0E2D" w:rsidRPr="00DE7F02" w:rsidRDefault="00CF0E2D" w:rsidP="00A60D4B">
            <w:pPr>
              <w:pStyle w:val="InitFigRBold"/>
            </w:pPr>
            <w:r w:rsidRPr="00DE7F02">
              <w:t>12</w:t>
            </w:r>
          </w:p>
        </w:tc>
        <w:tc>
          <w:tcPr>
            <w:tcW w:w="1029" w:type="dxa"/>
            <w:tcBorders>
              <w:top w:val="single" w:sz="4" w:space="0" w:color="auto"/>
              <w:bottom w:val="single" w:sz="4" w:space="0" w:color="auto"/>
            </w:tcBorders>
          </w:tcPr>
          <w:p w14:paraId="247F8E4A" w14:textId="77777777" w:rsidR="00CF0E2D" w:rsidRPr="00DE7F02" w:rsidRDefault="00CF0E2D" w:rsidP="00A60D4B">
            <w:pPr>
              <w:pStyle w:val="InitFigRBold"/>
            </w:pPr>
            <w:r w:rsidRPr="00DE7F02">
              <w:t>12</w:t>
            </w:r>
          </w:p>
        </w:tc>
        <w:tc>
          <w:tcPr>
            <w:tcW w:w="1029" w:type="dxa"/>
            <w:tcBorders>
              <w:top w:val="single" w:sz="4" w:space="0" w:color="auto"/>
              <w:bottom w:val="single" w:sz="4" w:space="0" w:color="auto"/>
            </w:tcBorders>
          </w:tcPr>
          <w:p w14:paraId="4C82750A" w14:textId="77777777" w:rsidR="00CF0E2D" w:rsidRPr="00DE7F02" w:rsidRDefault="00CF0E2D" w:rsidP="00A60D4B">
            <w:pPr>
              <w:pStyle w:val="InitFigRBold"/>
            </w:pPr>
            <w:r w:rsidRPr="00DE7F02">
              <w:t>868</w:t>
            </w:r>
          </w:p>
        </w:tc>
      </w:tr>
    </w:tbl>
    <w:p w14:paraId="3F9D870B" w14:textId="77777777" w:rsidR="00CF0E2D" w:rsidRPr="00484674" w:rsidRDefault="00CF0E2D" w:rsidP="00A60D4B">
      <w:pPr>
        <w:pStyle w:val="Heading4"/>
        <w:rPr>
          <w:rFonts w:asciiTheme="minorHAnsi" w:eastAsiaTheme="minorHAnsi" w:hAnsiTheme="minorHAnsi" w:cstheme="minorBidi"/>
          <w:sz w:val="22"/>
        </w:rPr>
      </w:pPr>
      <w:r w:rsidRPr="00215B07">
        <w:rPr>
          <w:rFonts w:eastAsia="Times New Roman"/>
        </w:rPr>
        <w:t xml:space="preserve">More support for the </w:t>
      </w:r>
      <w:r w:rsidRPr="00215B07">
        <w:rPr>
          <w:rFonts w:eastAsia="Times New Roman" w:cs="Times New Roman"/>
          <w:bCs/>
          <w:szCs w:val="26"/>
        </w:rPr>
        <w:t>Gungahlin Leisure Centre</w:t>
      </w:r>
      <w:r w:rsidRPr="00DE7F02">
        <w:t xml:space="preserve"> </w:t>
      </w:r>
    </w:p>
    <w:p w14:paraId="195283A5" w14:textId="77777777" w:rsidR="00CF0E2D" w:rsidRPr="004C4EE3" w:rsidRDefault="00CF0E2D" w:rsidP="00A60D4B">
      <w:pPr>
        <w:pStyle w:val="Bbodytext"/>
        <w:spacing w:before="240"/>
      </w:pPr>
      <w:r w:rsidRPr="004C4EE3">
        <w:t xml:space="preserve">The Government will fund improvement and repairs at the Gungahlin Leisure Centre. This includes completing repairs of the 50-metre pool, lighting improvements and installing new acoustic ceilings. </w:t>
      </w:r>
    </w:p>
    <w:p w14:paraId="0D9111D5" w14:textId="77777777" w:rsidR="00CF0E2D" w:rsidRPr="004C4EE3" w:rsidRDefault="00CF0E2D" w:rsidP="00A60D4B">
      <w:pPr>
        <w:pStyle w:val="Bbodytext"/>
      </w:pPr>
      <w:r w:rsidRPr="004C4EE3">
        <w:t xml:space="preserve">This builds on the funding provided through the 2020-21 Budget initiative </w:t>
      </w:r>
      <w:r w:rsidRPr="00EB652B">
        <w:rPr>
          <w:i/>
          <w:iCs/>
        </w:rPr>
        <w:t>Repairing Gungahlin Leisure Centre</w:t>
      </w:r>
      <w:r w:rsidRPr="004C4EE3">
        <w:t xml:space="preserve">. </w:t>
      </w:r>
    </w:p>
    <w:p w14:paraId="1165D766" w14:textId="77777777" w:rsidR="00CF0E2D" w:rsidRDefault="00CF0E2D" w:rsidP="00A60D4B">
      <w:pPr>
        <w:pStyle w:val="Bbodytext"/>
      </w:pPr>
      <w:r w:rsidRPr="004C4EE3">
        <w:t xml:space="preserve">This initiative contributes to the wellbeing domains of Health and Social connection. </w:t>
      </w:r>
    </w:p>
    <w:p w14:paraId="0B050E51" w14:textId="77777777" w:rsidR="00CF0E2D" w:rsidRPr="008F02CF" w:rsidRDefault="00CF0E2D" w:rsidP="00A60D4B">
      <w:pPr>
        <w:pStyle w:val="Heading4"/>
        <w:rPr>
          <w:rFonts w:eastAsia="Times New Roman" w:cs="Times New Roman"/>
          <w:bCs/>
          <w:szCs w:val="26"/>
        </w:rPr>
      </w:pPr>
      <w:r>
        <w:rPr>
          <w:b w:val="0"/>
          <w:noProof/>
          <w:color w:val="999789"/>
          <w:sz w:val="32"/>
          <w:szCs w:val="24"/>
        </w:rPr>
        <w:lastRenderedPageBreak/>
        <w:drawing>
          <wp:anchor distT="0" distB="0" distL="114300" distR="114300" simplePos="0" relativeHeight="251762688" behindDoc="0" locked="1" layoutInCell="1" allowOverlap="1" wp14:anchorId="40409843" wp14:editId="091E1EE1">
            <wp:simplePos x="0" y="0"/>
            <wp:positionH relativeFrom="margin">
              <wp:align>right</wp:align>
            </wp:positionH>
            <wp:positionV relativeFrom="paragraph">
              <wp:posOffset>68580</wp:posOffset>
            </wp:positionV>
            <wp:extent cx="1216800" cy="504000"/>
            <wp:effectExtent l="0" t="0" r="2540" b="0"/>
            <wp:wrapSquare wrapText="bothSides"/>
            <wp:docPr id="72" name="Picture 72" descr="Icon representing the wellbeing domain of Identity and belo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 representing the wellbeing domain of Identity and belongi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16800" cy="504000"/>
                    </a:xfrm>
                    <a:prstGeom prst="rect">
                      <a:avLst/>
                    </a:prstGeom>
                  </pic:spPr>
                </pic:pic>
              </a:graphicData>
            </a:graphic>
            <wp14:sizeRelH relativeFrom="margin">
              <wp14:pctWidth>0</wp14:pctWidth>
            </wp14:sizeRelH>
            <wp14:sizeRelV relativeFrom="margin">
              <wp14:pctHeight>0</wp14:pctHeight>
            </wp14:sizeRelV>
          </wp:anchor>
        </w:drawing>
      </w:r>
      <w:r w:rsidRPr="008F02CF">
        <w:rPr>
          <w:rFonts w:eastAsia="Times New Roman"/>
        </w:rPr>
        <w:t xml:space="preserve">More </w:t>
      </w:r>
      <w:r w:rsidRPr="008F02CF">
        <w:rPr>
          <w:rFonts w:eastAsia="Times New Roman" w:cs="Times New Roman"/>
          <w:bCs/>
          <w:szCs w:val="26"/>
        </w:rPr>
        <w:t xml:space="preserve">support for trans, gender diverse and intersex Canberrans </w:t>
      </w:r>
    </w:p>
    <w:tbl>
      <w:tblPr>
        <w:tblW w:w="8955" w:type="dxa"/>
        <w:jc w:val="center"/>
        <w:tblLayout w:type="fixed"/>
        <w:tblLook w:val="04A0" w:firstRow="1" w:lastRow="0" w:firstColumn="1" w:lastColumn="0" w:noHBand="0" w:noVBand="1"/>
      </w:tblPr>
      <w:tblGrid>
        <w:gridCol w:w="3649"/>
        <w:gridCol w:w="1178"/>
        <w:gridCol w:w="1041"/>
        <w:gridCol w:w="1029"/>
        <w:gridCol w:w="1029"/>
        <w:gridCol w:w="1029"/>
      </w:tblGrid>
      <w:tr w:rsidR="00CF0E2D" w14:paraId="64FE17DF" w14:textId="77777777" w:rsidTr="00A60D4B">
        <w:trPr>
          <w:cantSplit/>
          <w:jc w:val="center"/>
        </w:trPr>
        <w:tc>
          <w:tcPr>
            <w:tcW w:w="3652" w:type="dxa"/>
            <w:tcBorders>
              <w:top w:val="single" w:sz="4" w:space="0" w:color="auto"/>
              <w:left w:val="nil"/>
              <w:bottom w:val="single" w:sz="4" w:space="0" w:color="auto"/>
              <w:right w:val="nil"/>
            </w:tcBorders>
            <w:hideMark/>
          </w:tcPr>
          <w:p w14:paraId="5C02FDFC" w14:textId="77777777" w:rsidR="00CF0E2D" w:rsidRPr="00572B26" w:rsidRDefault="00CF0E2D" w:rsidP="00A60D4B">
            <w:pPr>
              <w:spacing w:after="0"/>
              <w:jc w:val="right"/>
              <w:rPr>
                <w:rFonts w:cs="Calibri"/>
                <w:color w:val="FFFFFF"/>
                <w:sz w:val="24"/>
                <w:szCs w:val="24"/>
              </w:rPr>
            </w:pPr>
            <w:r w:rsidRPr="00572B26">
              <w:rPr>
                <w:rFonts w:cs="Calibri"/>
                <w:color w:val="FFFFFF"/>
                <w:sz w:val="24"/>
                <w:szCs w:val="24"/>
              </w:rPr>
              <w:t>Empty Cell</w:t>
            </w:r>
          </w:p>
        </w:tc>
        <w:tc>
          <w:tcPr>
            <w:tcW w:w="1179" w:type="dxa"/>
            <w:tcBorders>
              <w:top w:val="single" w:sz="4" w:space="0" w:color="auto"/>
              <w:left w:val="nil"/>
              <w:bottom w:val="single" w:sz="4" w:space="0" w:color="auto"/>
              <w:right w:val="nil"/>
            </w:tcBorders>
            <w:hideMark/>
          </w:tcPr>
          <w:p w14:paraId="79D68E1A" w14:textId="77777777" w:rsidR="00CF0E2D" w:rsidRPr="00572B26" w:rsidRDefault="00CF0E2D" w:rsidP="00A60D4B">
            <w:pPr>
              <w:spacing w:after="0"/>
              <w:jc w:val="right"/>
              <w:rPr>
                <w:b/>
                <w:sz w:val="24"/>
                <w:szCs w:val="24"/>
              </w:rPr>
            </w:pPr>
            <w:r w:rsidRPr="00572B26">
              <w:rPr>
                <w:b/>
                <w:sz w:val="24"/>
                <w:szCs w:val="24"/>
              </w:rPr>
              <w:t>2021-22</w:t>
            </w:r>
          </w:p>
          <w:p w14:paraId="37166851" w14:textId="77777777" w:rsidR="00CF0E2D" w:rsidRPr="00572B26" w:rsidRDefault="00CF0E2D" w:rsidP="00A60D4B">
            <w:pPr>
              <w:spacing w:after="0"/>
              <w:jc w:val="right"/>
              <w:rPr>
                <w:b/>
                <w:sz w:val="24"/>
                <w:szCs w:val="24"/>
              </w:rPr>
            </w:pPr>
            <w:r w:rsidRPr="00572B26">
              <w:rPr>
                <w:b/>
                <w:sz w:val="24"/>
                <w:szCs w:val="24"/>
              </w:rPr>
              <w:t>$’000</w:t>
            </w:r>
          </w:p>
        </w:tc>
        <w:tc>
          <w:tcPr>
            <w:tcW w:w="1041" w:type="dxa"/>
            <w:tcBorders>
              <w:top w:val="single" w:sz="4" w:space="0" w:color="auto"/>
              <w:left w:val="nil"/>
              <w:bottom w:val="single" w:sz="4" w:space="0" w:color="auto"/>
              <w:right w:val="nil"/>
            </w:tcBorders>
            <w:hideMark/>
          </w:tcPr>
          <w:p w14:paraId="71ACC26A" w14:textId="77777777" w:rsidR="00CF0E2D" w:rsidRPr="00572B26" w:rsidRDefault="00CF0E2D" w:rsidP="00A60D4B">
            <w:pPr>
              <w:spacing w:after="0"/>
              <w:jc w:val="right"/>
              <w:rPr>
                <w:b/>
                <w:sz w:val="24"/>
                <w:szCs w:val="24"/>
              </w:rPr>
            </w:pPr>
            <w:r w:rsidRPr="00572B26">
              <w:rPr>
                <w:b/>
                <w:sz w:val="24"/>
                <w:szCs w:val="24"/>
              </w:rPr>
              <w:t>2022-23</w:t>
            </w:r>
          </w:p>
          <w:p w14:paraId="0BAB584B" w14:textId="77777777" w:rsidR="00CF0E2D" w:rsidRPr="00572B26" w:rsidRDefault="00CF0E2D" w:rsidP="00A60D4B">
            <w:pPr>
              <w:spacing w:after="0"/>
              <w:jc w:val="right"/>
              <w:rPr>
                <w:b/>
                <w:sz w:val="24"/>
                <w:szCs w:val="24"/>
              </w:rPr>
            </w:pPr>
            <w:r w:rsidRPr="00572B26">
              <w:rPr>
                <w:b/>
                <w:sz w:val="24"/>
                <w:szCs w:val="24"/>
              </w:rPr>
              <w:t>$’000</w:t>
            </w:r>
          </w:p>
        </w:tc>
        <w:tc>
          <w:tcPr>
            <w:tcW w:w="1029" w:type="dxa"/>
            <w:tcBorders>
              <w:top w:val="single" w:sz="4" w:space="0" w:color="auto"/>
              <w:left w:val="nil"/>
              <w:bottom w:val="single" w:sz="4" w:space="0" w:color="auto"/>
              <w:right w:val="nil"/>
            </w:tcBorders>
            <w:hideMark/>
          </w:tcPr>
          <w:p w14:paraId="4766EB6B" w14:textId="77777777" w:rsidR="00CF0E2D" w:rsidRPr="00572B26" w:rsidRDefault="00CF0E2D" w:rsidP="00A60D4B">
            <w:pPr>
              <w:spacing w:after="0"/>
              <w:jc w:val="right"/>
              <w:rPr>
                <w:b/>
                <w:sz w:val="24"/>
                <w:szCs w:val="24"/>
              </w:rPr>
            </w:pPr>
            <w:r w:rsidRPr="00572B26">
              <w:rPr>
                <w:b/>
                <w:sz w:val="24"/>
                <w:szCs w:val="24"/>
              </w:rPr>
              <w:t>2023-24</w:t>
            </w:r>
          </w:p>
          <w:p w14:paraId="52624E39" w14:textId="77777777" w:rsidR="00CF0E2D" w:rsidRPr="00572B26" w:rsidRDefault="00CF0E2D" w:rsidP="00A60D4B">
            <w:pPr>
              <w:spacing w:after="0"/>
              <w:jc w:val="right"/>
              <w:rPr>
                <w:b/>
                <w:sz w:val="24"/>
                <w:szCs w:val="24"/>
              </w:rPr>
            </w:pPr>
            <w:r w:rsidRPr="00572B26">
              <w:rPr>
                <w:b/>
                <w:sz w:val="24"/>
                <w:szCs w:val="24"/>
              </w:rPr>
              <w:t>$’000</w:t>
            </w:r>
          </w:p>
        </w:tc>
        <w:tc>
          <w:tcPr>
            <w:tcW w:w="1029" w:type="dxa"/>
            <w:tcBorders>
              <w:top w:val="single" w:sz="4" w:space="0" w:color="auto"/>
              <w:left w:val="nil"/>
              <w:bottom w:val="single" w:sz="4" w:space="0" w:color="auto"/>
              <w:right w:val="nil"/>
            </w:tcBorders>
            <w:hideMark/>
          </w:tcPr>
          <w:p w14:paraId="205FBF32" w14:textId="77777777" w:rsidR="00CF0E2D" w:rsidRPr="00572B26" w:rsidRDefault="00CF0E2D" w:rsidP="00A60D4B">
            <w:pPr>
              <w:spacing w:after="0"/>
              <w:jc w:val="right"/>
              <w:rPr>
                <w:b/>
                <w:sz w:val="24"/>
                <w:szCs w:val="24"/>
              </w:rPr>
            </w:pPr>
            <w:r w:rsidRPr="00572B26">
              <w:rPr>
                <w:b/>
                <w:sz w:val="24"/>
                <w:szCs w:val="24"/>
              </w:rPr>
              <w:t>2024-25</w:t>
            </w:r>
          </w:p>
          <w:p w14:paraId="14369684" w14:textId="77777777" w:rsidR="00CF0E2D" w:rsidRPr="00572B26" w:rsidRDefault="00CF0E2D" w:rsidP="00A60D4B">
            <w:pPr>
              <w:spacing w:after="0"/>
              <w:jc w:val="right"/>
              <w:rPr>
                <w:b/>
                <w:sz w:val="24"/>
                <w:szCs w:val="24"/>
              </w:rPr>
            </w:pPr>
            <w:r w:rsidRPr="00572B26">
              <w:rPr>
                <w:b/>
                <w:sz w:val="24"/>
                <w:szCs w:val="24"/>
              </w:rPr>
              <w:t>$’000</w:t>
            </w:r>
          </w:p>
        </w:tc>
        <w:tc>
          <w:tcPr>
            <w:tcW w:w="1029" w:type="dxa"/>
            <w:tcBorders>
              <w:top w:val="single" w:sz="4" w:space="0" w:color="auto"/>
              <w:left w:val="nil"/>
              <w:bottom w:val="single" w:sz="4" w:space="0" w:color="auto"/>
              <w:right w:val="nil"/>
            </w:tcBorders>
            <w:hideMark/>
          </w:tcPr>
          <w:p w14:paraId="0D390605" w14:textId="77777777" w:rsidR="00CF0E2D" w:rsidRPr="00572B26" w:rsidRDefault="00CF0E2D" w:rsidP="00A60D4B">
            <w:pPr>
              <w:spacing w:after="0"/>
              <w:jc w:val="right"/>
              <w:rPr>
                <w:b/>
                <w:sz w:val="24"/>
                <w:szCs w:val="24"/>
              </w:rPr>
            </w:pPr>
            <w:r w:rsidRPr="00572B26">
              <w:rPr>
                <w:b/>
                <w:sz w:val="24"/>
                <w:szCs w:val="24"/>
              </w:rPr>
              <w:t>Total</w:t>
            </w:r>
          </w:p>
          <w:p w14:paraId="5FA8ACE8" w14:textId="77777777" w:rsidR="00CF0E2D" w:rsidRPr="00572B26" w:rsidRDefault="00CF0E2D" w:rsidP="00A60D4B">
            <w:pPr>
              <w:spacing w:after="0"/>
              <w:jc w:val="right"/>
              <w:rPr>
                <w:b/>
                <w:sz w:val="24"/>
                <w:szCs w:val="24"/>
              </w:rPr>
            </w:pPr>
            <w:r w:rsidRPr="00572B26">
              <w:rPr>
                <w:b/>
                <w:sz w:val="24"/>
                <w:szCs w:val="24"/>
              </w:rPr>
              <w:t>$’000</w:t>
            </w:r>
          </w:p>
        </w:tc>
      </w:tr>
      <w:tr w:rsidR="00CF0E2D" w14:paraId="3C05CD81" w14:textId="77777777" w:rsidTr="00A60D4B">
        <w:trPr>
          <w:cantSplit/>
          <w:jc w:val="center"/>
        </w:trPr>
        <w:tc>
          <w:tcPr>
            <w:tcW w:w="3652" w:type="dxa"/>
            <w:tcBorders>
              <w:top w:val="single" w:sz="4" w:space="0" w:color="auto"/>
              <w:left w:val="nil"/>
              <w:bottom w:val="single" w:sz="4" w:space="0" w:color="auto"/>
              <w:right w:val="nil"/>
            </w:tcBorders>
            <w:hideMark/>
          </w:tcPr>
          <w:p w14:paraId="02E6ACD1" w14:textId="77777777" w:rsidR="00CF0E2D" w:rsidRPr="00572B26" w:rsidRDefault="00CF0E2D" w:rsidP="00A60D4B">
            <w:pPr>
              <w:spacing w:after="0"/>
              <w:ind w:left="321" w:hanging="321"/>
              <w:rPr>
                <w:sz w:val="24"/>
                <w:szCs w:val="24"/>
              </w:rPr>
            </w:pPr>
            <w:r w:rsidRPr="00572B26">
              <w:rPr>
                <w:sz w:val="24"/>
                <w:szCs w:val="24"/>
              </w:rPr>
              <w:t>Expenses</w:t>
            </w:r>
          </w:p>
        </w:tc>
        <w:tc>
          <w:tcPr>
            <w:tcW w:w="1179" w:type="dxa"/>
            <w:tcBorders>
              <w:top w:val="single" w:sz="4" w:space="0" w:color="auto"/>
              <w:left w:val="nil"/>
              <w:bottom w:val="single" w:sz="4" w:space="0" w:color="auto"/>
              <w:right w:val="nil"/>
            </w:tcBorders>
            <w:hideMark/>
          </w:tcPr>
          <w:p w14:paraId="6680897E" w14:textId="77777777" w:rsidR="00CF0E2D" w:rsidRPr="00572B26" w:rsidRDefault="00CF0E2D" w:rsidP="00A60D4B">
            <w:pPr>
              <w:spacing w:after="0"/>
              <w:jc w:val="right"/>
              <w:rPr>
                <w:sz w:val="24"/>
                <w:szCs w:val="24"/>
              </w:rPr>
            </w:pPr>
            <w:r w:rsidRPr="00572B26">
              <w:rPr>
                <w:sz w:val="24"/>
                <w:szCs w:val="24"/>
              </w:rPr>
              <w:t>150</w:t>
            </w:r>
          </w:p>
        </w:tc>
        <w:tc>
          <w:tcPr>
            <w:tcW w:w="1041" w:type="dxa"/>
            <w:tcBorders>
              <w:top w:val="single" w:sz="4" w:space="0" w:color="auto"/>
              <w:left w:val="nil"/>
              <w:bottom w:val="single" w:sz="4" w:space="0" w:color="auto"/>
              <w:right w:val="nil"/>
            </w:tcBorders>
            <w:hideMark/>
          </w:tcPr>
          <w:p w14:paraId="6C27901F" w14:textId="77777777" w:rsidR="00CF0E2D" w:rsidRPr="00572B26" w:rsidRDefault="00CF0E2D" w:rsidP="00A60D4B">
            <w:pPr>
              <w:spacing w:after="0"/>
              <w:jc w:val="right"/>
              <w:rPr>
                <w:sz w:val="24"/>
                <w:szCs w:val="24"/>
              </w:rPr>
            </w:pPr>
            <w:r w:rsidRPr="00572B26">
              <w:rPr>
                <w:sz w:val="24"/>
                <w:szCs w:val="24"/>
              </w:rPr>
              <w:t>154</w:t>
            </w:r>
          </w:p>
        </w:tc>
        <w:tc>
          <w:tcPr>
            <w:tcW w:w="1029" w:type="dxa"/>
            <w:tcBorders>
              <w:top w:val="single" w:sz="4" w:space="0" w:color="auto"/>
              <w:left w:val="nil"/>
              <w:bottom w:val="single" w:sz="4" w:space="0" w:color="auto"/>
              <w:right w:val="nil"/>
            </w:tcBorders>
            <w:hideMark/>
          </w:tcPr>
          <w:p w14:paraId="44D0F4F1" w14:textId="77777777" w:rsidR="00CF0E2D" w:rsidRPr="00572B26" w:rsidRDefault="00CF0E2D" w:rsidP="00A60D4B">
            <w:pPr>
              <w:spacing w:after="0"/>
              <w:jc w:val="right"/>
              <w:rPr>
                <w:sz w:val="24"/>
                <w:szCs w:val="24"/>
              </w:rPr>
            </w:pPr>
            <w:r w:rsidRPr="00572B26">
              <w:rPr>
                <w:sz w:val="24"/>
                <w:szCs w:val="24"/>
              </w:rPr>
              <w:t>158</w:t>
            </w:r>
          </w:p>
        </w:tc>
        <w:tc>
          <w:tcPr>
            <w:tcW w:w="1029" w:type="dxa"/>
            <w:tcBorders>
              <w:top w:val="single" w:sz="4" w:space="0" w:color="auto"/>
              <w:left w:val="nil"/>
              <w:bottom w:val="single" w:sz="4" w:space="0" w:color="auto"/>
              <w:right w:val="nil"/>
            </w:tcBorders>
            <w:hideMark/>
          </w:tcPr>
          <w:p w14:paraId="1F5188CF" w14:textId="77777777" w:rsidR="00CF0E2D" w:rsidRPr="00572B26" w:rsidRDefault="00CF0E2D" w:rsidP="00A60D4B">
            <w:pPr>
              <w:spacing w:after="0"/>
              <w:jc w:val="right"/>
              <w:rPr>
                <w:sz w:val="24"/>
                <w:szCs w:val="24"/>
              </w:rPr>
            </w:pPr>
            <w:r w:rsidRPr="00572B26">
              <w:rPr>
                <w:sz w:val="24"/>
                <w:szCs w:val="24"/>
              </w:rPr>
              <w:t>162</w:t>
            </w:r>
          </w:p>
        </w:tc>
        <w:tc>
          <w:tcPr>
            <w:tcW w:w="1029" w:type="dxa"/>
            <w:tcBorders>
              <w:top w:val="single" w:sz="4" w:space="0" w:color="auto"/>
              <w:left w:val="nil"/>
              <w:bottom w:val="single" w:sz="4" w:space="0" w:color="auto"/>
              <w:right w:val="nil"/>
            </w:tcBorders>
            <w:hideMark/>
          </w:tcPr>
          <w:p w14:paraId="15FA3D13" w14:textId="77777777" w:rsidR="00CF0E2D" w:rsidRPr="00572B26" w:rsidRDefault="00CF0E2D" w:rsidP="00A60D4B">
            <w:pPr>
              <w:spacing w:after="0"/>
              <w:jc w:val="right"/>
              <w:rPr>
                <w:b/>
                <w:sz w:val="24"/>
                <w:szCs w:val="24"/>
              </w:rPr>
            </w:pPr>
            <w:r w:rsidRPr="00572B26">
              <w:rPr>
                <w:b/>
                <w:sz w:val="24"/>
                <w:szCs w:val="24"/>
              </w:rPr>
              <w:t>624</w:t>
            </w:r>
          </w:p>
        </w:tc>
      </w:tr>
    </w:tbl>
    <w:p w14:paraId="45A9B244" w14:textId="77777777" w:rsidR="00CF0E2D" w:rsidRDefault="00CF0E2D" w:rsidP="00A60D4B">
      <w:pPr>
        <w:pStyle w:val="Bbodytext"/>
      </w:pPr>
      <w:r>
        <w:t xml:space="preserve">The Government will continue to support A Gender Agenda (AGA) in delivering specialist services to trans, gender diverse and intersex people. </w:t>
      </w:r>
    </w:p>
    <w:p w14:paraId="1A28C3D5" w14:textId="77777777" w:rsidR="00CF0E2D" w:rsidRDefault="00CF0E2D" w:rsidP="00A60D4B">
      <w:pPr>
        <w:pStyle w:val="Bbodytext"/>
      </w:pPr>
      <w:r>
        <w:t>This initiative contributes to the wellbeing domain of Identity and belonging.</w:t>
      </w:r>
    </w:p>
    <w:p w14:paraId="28ED6FCA" w14:textId="77777777" w:rsidR="00CF0E2D" w:rsidRDefault="00CF0E2D" w:rsidP="00A60D4B">
      <w:pPr>
        <w:pStyle w:val="Bbodytext"/>
      </w:pPr>
    </w:p>
    <w:p w14:paraId="37E64EB5" w14:textId="77777777" w:rsidR="00CF0E2D" w:rsidRPr="002D7CCB" w:rsidRDefault="00CF0E2D" w:rsidP="00A60D4B">
      <w:pPr>
        <w:pStyle w:val="Heading4"/>
        <w:rPr>
          <w:rFonts w:eastAsia="Times New Roman" w:cs="Times New Roman"/>
          <w:bCs/>
          <w:szCs w:val="26"/>
        </w:rPr>
      </w:pPr>
      <w:r w:rsidRPr="002D7CCB">
        <w:rPr>
          <w:rFonts w:eastAsia="Times New Roman"/>
        </w:rPr>
        <w:t xml:space="preserve">More </w:t>
      </w:r>
      <w:r>
        <w:rPr>
          <w:rFonts w:eastAsia="Times New Roman" w:cs="Times New Roman"/>
          <w:bCs/>
          <w:szCs w:val="26"/>
        </w:rPr>
        <w:t>s</w:t>
      </w:r>
      <w:r w:rsidRPr="002D7CCB">
        <w:rPr>
          <w:rFonts w:eastAsia="Times New Roman" w:cs="Times New Roman"/>
          <w:bCs/>
          <w:szCs w:val="26"/>
        </w:rPr>
        <w:t xml:space="preserve">upport for </w:t>
      </w:r>
      <w:r>
        <w:rPr>
          <w:rFonts w:eastAsia="Times New Roman" w:cs="Times New Roman"/>
          <w:bCs/>
          <w:szCs w:val="26"/>
        </w:rPr>
        <w:t>w</w:t>
      </w:r>
      <w:r w:rsidRPr="002D7CCB">
        <w:rPr>
          <w:rFonts w:eastAsia="Times New Roman" w:cs="Times New Roman"/>
          <w:bCs/>
          <w:szCs w:val="26"/>
        </w:rPr>
        <w:t xml:space="preserve">omen’s </w:t>
      </w:r>
      <w:r>
        <w:rPr>
          <w:rFonts w:eastAsia="Times New Roman" w:cs="Times New Roman"/>
          <w:bCs/>
          <w:szCs w:val="26"/>
        </w:rPr>
        <w:t>e</w:t>
      </w:r>
      <w:r w:rsidRPr="002D7CCB">
        <w:rPr>
          <w:rFonts w:eastAsia="Times New Roman" w:cs="Times New Roman"/>
          <w:bCs/>
          <w:szCs w:val="26"/>
        </w:rPr>
        <w:t xml:space="preserve">lite </w:t>
      </w:r>
      <w:r>
        <w:rPr>
          <w:rFonts w:eastAsia="Times New Roman" w:cs="Times New Roman"/>
          <w:bCs/>
          <w:szCs w:val="26"/>
        </w:rPr>
        <w:t>s</w:t>
      </w:r>
      <w:r w:rsidRPr="002D7CCB">
        <w:rPr>
          <w:rFonts w:eastAsia="Times New Roman" w:cs="Times New Roman"/>
          <w:bCs/>
          <w:szCs w:val="26"/>
        </w:rPr>
        <w:t xml:space="preserve">port </w:t>
      </w:r>
      <w:r>
        <w:rPr>
          <w:b w:val="0"/>
          <w:noProof/>
          <w:color w:val="999789"/>
          <w:sz w:val="32"/>
          <w:szCs w:val="24"/>
        </w:rPr>
        <w:drawing>
          <wp:anchor distT="0" distB="0" distL="114300" distR="114300" simplePos="0" relativeHeight="251763712" behindDoc="0" locked="1" layoutInCell="1" allowOverlap="1" wp14:anchorId="63935DBA" wp14:editId="277F870F">
            <wp:simplePos x="0" y="0"/>
            <wp:positionH relativeFrom="margin">
              <wp:align>right</wp:align>
            </wp:positionH>
            <wp:positionV relativeFrom="paragraph">
              <wp:posOffset>-134620</wp:posOffset>
            </wp:positionV>
            <wp:extent cx="1284605" cy="503555"/>
            <wp:effectExtent l="0" t="0" r="0" b="0"/>
            <wp:wrapSquare wrapText="bothSides"/>
            <wp:docPr id="73" name="Picture 73" descr="Icon representing the wellbeing domain of Social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Icon representing the wellbeing domain of Social Connection"/>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8460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DE7F02" w14:paraId="1726FA6C" w14:textId="77777777" w:rsidTr="00A60D4B">
        <w:trPr>
          <w:cantSplit/>
          <w:jc w:val="center"/>
        </w:trPr>
        <w:tc>
          <w:tcPr>
            <w:tcW w:w="3652" w:type="dxa"/>
            <w:tcBorders>
              <w:top w:val="single" w:sz="4" w:space="0" w:color="auto"/>
              <w:bottom w:val="single" w:sz="4" w:space="0" w:color="auto"/>
            </w:tcBorders>
          </w:tcPr>
          <w:p w14:paraId="196643AF" w14:textId="77777777" w:rsidR="00CF0E2D" w:rsidRPr="00D5210A" w:rsidRDefault="00CF0E2D" w:rsidP="00A60D4B">
            <w:pPr>
              <w:spacing w:after="0"/>
              <w:rPr>
                <w:sz w:val="24"/>
                <w:szCs w:val="24"/>
              </w:rPr>
            </w:pPr>
          </w:p>
        </w:tc>
        <w:tc>
          <w:tcPr>
            <w:tcW w:w="1179" w:type="dxa"/>
            <w:tcBorders>
              <w:top w:val="single" w:sz="4" w:space="0" w:color="auto"/>
              <w:bottom w:val="single" w:sz="4" w:space="0" w:color="auto"/>
            </w:tcBorders>
          </w:tcPr>
          <w:p w14:paraId="033F4075" w14:textId="77777777" w:rsidR="00CF0E2D" w:rsidRPr="00D5210A" w:rsidRDefault="00CF0E2D" w:rsidP="00A60D4B">
            <w:pPr>
              <w:spacing w:after="0"/>
              <w:jc w:val="right"/>
              <w:rPr>
                <w:b/>
                <w:sz w:val="24"/>
                <w:szCs w:val="24"/>
              </w:rPr>
            </w:pPr>
            <w:r w:rsidRPr="00D5210A">
              <w:rPr>
                <w:b/>
                <w:sz w:val="24"/>
                <w:szCs w:val="24"/>
              </w:rPr>
              <w:t>2021-22</w:t>
            </w:r>
          </w:p>
          <w:p w14:paraId="2C987E9B" w14:textId="77777777" w:rsidR="00CF0E2D" w:rsidRPr="00D5210A" w:rsidRDefault="00CF0E2D" w:rsidP="00A60D4B">
            <w:pPr>
              <w:spacing w:after="0"/>
              <w:jc w:val="right"/>
              <w:rPr>
                <w:b/>
                <w:sz w:val="24"/>
                <w:szCs w:val="24"/>
              </w:rPr>
            </w:pPr>
            <w:r w:rsidRPr="00D5210A">
              <w:rPr>
                <w:b/>
                <w:sz w:val="24"/>
                <w:szCs w:val="24"/>
              </w:rPr>
              <w:t>$’000</w:t>
            </w:r>
          </w:p>
        </w:tc>
        <w:tc>
          <w:tcPr>
            <w:tcW w:w="1041" w:type="dxa"/>
            <w:tcBorders>
              <w:top w:val="single" w:sz="4" w:space="0" w:color="auto"/>
              <w:bottom w:val="single" w:sz="4" w:space="0" w:color="auto"/>
            </w:tcBorders>
          </w:tcPr>
          <w:p w14:paraId="713DB954" w14:textId="77777777" w:rsidR="00CF0E2D" w:rsidRPr="00D5210A" w:rsidRDefault="00CF0E2D" w:rsidP="00A60D4B">
            <w:pPr>
              <w:spacing w:after="0"/>
              <w:jc w:val="right"/>
              <w:rPr>
                <w:b/>
                <w:sz w:val="24"/>
                <w:szCs w:val="24"/>
              </w:rPr>
            </w:pPr>
            <w:r w:rsidRPr="00D5210A">
              <w:rPr>
                <w:b/>
                <w:sz w:val="24"/>
                <w:szCs w:val="24"/>
              </w:rPr>
              <w:t>2022-23</w:t>
            </w:r>
          </w:p>
          <w:p w14:paraId="67FBC51F" w14:textId="77777777" w:rsidR="00CF0E2D" w:rsidRPr="00D5210A" w:rsidRDefault="00CF0E2D" w:rsidP="00A60D4B">
            <w:pPr>
              <w:spacing w:after="0"/>
              <w:jc w:val="right"/>
              <w:rPr>
                <w:b/>
                <w:sz w:val="24"/>
                <w:szCs w:val="24"/>
              </w:rPr>
            </w:pPr>
            <w:r w:rsidRPr="00D5210A">
              <w:rPr>
                <w:b/>
                <w:sz w:val="24"/>
                <w:szCs w:val="24"/>
              </w:rPr>
              <w:t>$’000</w:t>
            </w:r>
          </w:p>
        </w:tc>
        <w:tc>
          <w:tcPr>
            <w:tcW w:w="1029" w:type="dxa"/>
            <w:tcBorders>
              <w:top w:val="single" w:sz="4" w:space="0" w:color="auto"/>
              <w:bottom w:val="single" w:sz="4" w:space="0" w:color="auto"/>
            </w:tcBorders>
          </w:tcPr>
          <w:p w14:paraId="40C62EF9" w14:textId="77777777" w:rsidR="00CF0E2D" w:rsidRPr="00D5210A" w:rsidRDefault="00CF0E2D" w:rsidP="00A60D4B">
            <w:pPr>
              <w:spacing w:after="0"/>
              <w:jc w:val="right"/>
              <w:rPr>
                <w:b/>
                <w:sz w:val="24"/>
                <w:szCs w:val="24"/>
              </w:rPr>
            </w:pPr>
            <w:r w:rsidRPr="00D5210A">
              <w:rPr>
                <w:b/>
                <w:sz w:val="24"/>
                <w:szCs w:val="24"/>
              </w:rPr>
              <w:t>2023-24</w:t>
            </w:r>
          </w:p>
          <w:p w14:paraId="0E04D1D7" w14:textId="77777777" w:rsidR="00CF0E2D" w:rsidRPr="00D5210A" w:rsidRDefault="00CF0E2D" w:rsidP="00A60D4B">
            <w:pPr>
              <w:spacing w:after="0"/>
              <w:jc w:val="right"/>
              <w:rPr>
                <w:b/>
                <w:sz w:val="24"/>
                <w:szCs w:val="24"/>
              </w:rPr>
            </w:pPr>
            <w:r w:rsidRPr="00D5210A">
              <w:rPr>
                <w:b/>
                <w:sz w:val="24"/>
                <w:szCs w:val="24"/>
              </w:rPr>
              <w:t>$’000</w:t>
            </w:r>
          </w:p>
        </w:tc>
        <w:tc>
          <w:tcPr>
            <w:tcW w:w="1029" w:type="dxa"/>
            <w:tcBorders>
              <w:top w:val="single" w:sz="4" w:space="0" w:color="auto"/>
              <w:bottom w:val="single" w:sz="4" w:space="0" w:color="auto"/>
            </w:tcBorders>
          </w:tcPr>
          <w:p w14:paraId="69F2CE3D" w14:textId="77777777" w:rsidR="00CF0E2D" w:rsidRPr="00D5210A" w:rsidRDefault="00CF0E2D" w:rsidP="00A60D4B">
            <w:pPr>
              <w:spacing w:after="0"/>
              <w:jc w:val="right"/>
              <w:rPr>
                <w:b/>
                <w:sz w:val="24"/>
                <w:szCs w:val="24"/>
              </w:rPr>
            </w:pPr>
            <w:r w:rsidRPr="00D5210A">
              <w:rPr>
                <w:b/>
                <w:sz w:val="24"/>
                <w:szCs w:val="24"/>
              </w:rPr>
              <w:t>2024-25</w:t>
            </w:r>
          </w:p>
          <w:p w14:paraId="22DEEFA6" w14:textId="77777777" w:rsidR="00CF0E2D" w:rsidRPr="00D5210A" w:rsidRDefault="00CF0E2D" w:rsidP="00A60D4B">
            <w:pPr>
              <w:spacing w:after="0"/>
              <w:jc w:val="right"/>
              <w:rPr>
                <w:b/>
                <w:sz w:val="24"/>
                <w:szCs w:val="24"/>
              </w:rPr>
            </w:pPr>
            <w:r w:rsidRPr="00D5210A">
              <w:rPr>
                <w:b/>
                <w:sz w:val="24"/>
                <w:szCs w:val="24"/>
              </w:rPr>
              <w:t>$’000</w:t>
            </w:r>
          </w:p>
        </w:tc>
        <w:tc>
          <w:tcPr>
            <w:tcW w:w="1029" w:type="dxa"/>
            <w:tcBorders>
              <w:top w:val="single" w:sz="4" w:space="0" w:color="auto"/>
              <w:bottom w:val="single" w:sz="4" w:space="0" w:color="auto"/>
            </w:tcBorders>
          </w:tcPr>
          <w:p w14:paraId="5D9C85F3" w14:textId="77777777" w:rsidR="00CF0E2D" w:rsidRPr="00D5210A" w:rsidRDefault="00CF0E2D" w:rsidP="00A60D4B">
            <w:pPr>
              <w:spacing w:after="0"/>
              <w:jc w:val="right"/>
              <w:rPr>
                <w:b/>
                <w:sz w:val="24"/>
                <w:szCs w:val="24"/>
              </w:rPr>
            </w:pPr>
            <w:r w:rsidRPr="00D5210A">
              <w:rPr>
                <w:b/>
                <w:sz w:val="24"/>
                <w:szCs w:val="24"/>
              </w:rPr>
              <w:t>Total</w:t>
            </w:r>
          </w:p>
          <w:p w14:paraId="58CBA287" w14:textId="77777777" w:rsidR="00CF0E2D" w:rsidRPr="00D5210A" w:rsidRDefault="00CF0E2D" w:rsidP="00A60D4B">
            <w:pPr>
              <w:spacing w:after="0"/>
              <w:jc w:val="right"/>
              <w:rPr>
                <w:b/>
                <w:sz w:val="24"/>
                <w:szCs w:val="24"/>
              </w:rPr>
            </w:pPr>
            <w:r w:rsidRPr="00D5210A">
              <w:rPr>
                <w:b/>
                <w:sz w:val="24"/>
                <w:szCs w:val="24"/>
              </w:rPr>
              <w:t>$’000</w:t>
            </w:r>
          </w:p>
        </w:tc>
      </w:tr>
      <w:tr w:rsidR="00CF0E2D" w:rsidRPr="00DE7F02" w14:paraId="0E478A1B" w14:textId="77777777" w:rsidTr="00A60D4B">
        <w:trPr>
          <w:cantSplit/>
          <w:jc w:val="center"/>
        </w:trPr>
        <w:tc>
          <w:tcPr>
            <w:tcW w:w="3652" w:type="dxa"/>
            <w:tcBorders>
              <w:top w:val="single" w:sz="4" w:space="0" w:color="auto"/>
              <w:bottom w:val="single" w:sz="4" w:space="0" w:color="auto"/>
            </w:tcBorders>
          </w:tcPr>
          <w:p w14:paraId="4D61D1DB" w14:textId="77777777" w:rsidR="00CF0E2D" w:rsidRPr="00D5210A" w:rsidRDefault="00CF0E2D" w:rsidP="00A60D4B">
            <w:pPr>
              <w:spacing w:after="0"/>
              <w:rPr>
                <w:sz w:val="24"/>
                <w:szCs w:val="24"/>
              </w:rPr>
            </w:pPr>
            <w:r w:rsidRPr="00D5210A">
              <w:rPr>
                <w:sz w:val="24"/>
                <w:szCs w:val="24"/>
              </w:rPr>
              <w:t>Expenses</w:t>
            </w:r>
          </w:p>
        </w:tc>
        <w:tc>
          <w:tcPr>
            <w:tcW w:w="1179" w:type="dxa"/>
            <w:tcBorders>
              <w:top w:val="single" w:sz="4" w:space="0" w:color="auto"/>
              <w:bottom w:val="single" w:sz="4" w:space="0" w:color="auto"/>
            </w:tcBorders>
          </w:tcPr>
          <w:p w14:paraId="3CBCA97B" w14:textId="77777777" w:rsidR="00CF0E2D" w:rsidRPr="00D5210A" w:rsidRDefault="00CF0E2D" w:rsidP="00A60D4B">
            <w:pPr>
              <w:spacing w:after="0"/>
              <w:jc w:val="right"/>
              <w:rPr>
                <w:sz w:val="24"/>
                <w:szCs w:val="24"/>
              </w:rPr>
            </w:pPr>
            <w:r w:rsidRPr="00D5210A">
              <w:rPr>
                <w:sz w:val="24"/>
                <w:szCs w:val="24"/>
              </w:rPr>
              <w:t>425</w:t>
            </w:r>
          </w:p>
        </w:tc>
        <w:tc>
          <w:tcPr>
            <w:tcW w:w="1041" w:type="dxa"/>
            <w:tcBorders>
              <w:top w:val="single" w:sz="4" w:space="0" w:color="auto"/>
              <w:bottom w:val="single" w:sz="4" w:space="0" w:color="auto"/>
            </w:tcBorders>
          </w:tcPr>
          <w:p w14:paraId="2CBEB53E" w14:textId="77777777" w:rsidR="00CF0E2D" w:rsidRPr="00D5210A" w:rsidRDefault="00CF0E2D" w:rsidP="00A60D4B">
            <w:pPr>
              <w:spacing w:after="0"/>
              <w:jc w:val="right"/>
              <w:rPr>
                <w:sz w:val="24"/>
                <w:szCs w:val="24"/>
              </w:rPr>
            </w:pPr>
            <w:r w:rsidRPr="00D5210A">
              <w:rPr>
                <w:sz w:val="24"/>
                <w:szCs w:val="24"/>
              </w:rPr>
              <w:t>382</w:t>
            </w:r>
          </w:p>
        </w:tc>
        <w:tc>
          <w:tcPr>
            <w:tcW w:w="1029" w:type="dxa"/>
            <w:tcBorders>
              <w:top w:val="single" w:sz="4" w:space="0" w:color="auto"/>
              <w:bottom w:val="single" w:sz="4" w:space="0" w:color="auto"/>
            </w:tcBorders>
          </w:tcPr>
          <w:p w14:paraId="2B3BD208" w14:textId="77777777" w:rsidR="00CF0E2D" w:rsidRPr="00D5210A" w:rsidRDefault="00CF0E2D" w:rsidP="00A60D4B">
            <w:pPr>
              <w:spacing w:after="0"/>
              <w:jc w:val="right"/>
              <w:rPr>
                <w:sz w:val="24"/>
                <w:szCs w:val="24"/>
              </w:rPr>
            </w:pPr>
            <w:r w:rsidRPr="00D5210A">
              <w:rPr>
                <w:sz w:val="24"/>
                <w:szCs w:val="24"/>
              </w:rPr>
              <w:t>388</w:t>
            </w:r>
          </w:p>
        </w:tc>
        <w:tc>
          <w:tcPr>
            <w:tcW w:w="1029" w:type="dxa"/>
            <w:tcBorders>
              <w:top w:val="single" w:sz="4" w:space="0" w:color="auto"/>
              <w:bottom w:val="single" w:sz="4" w:space="0" w:color="auto"/>
            </w:tcBorders>
          </w:tcPr>
          <w:p w14:paraId="30F553D3" w14:textId="77777777" w:rsidR="00CF0E2D" w:rsidRPr="00D5210A" w:rsidRDefault="00CF0E2D" w:rsidP="00A60D4B">
            <w:pPr>
              <w:spacing w:after="0"/>
              <w:jc w:val="right"/>
              <w:rPr>
                <w:sz w:val="24"/>
                <w:szCs w:val="24"/>
              </w:rPr>
            </w:pPr>
            <w:r w:rsidRPr="00D5210A">
              <w:rPr>
                <w:sz w:val="24"/>
                <w:szCs w:val="24"/>
              </w:rPr>
              <w:t>396</w:t>
            </w:r>
          </w:p>
        </w:tc>
        <w:tc>
          <w:tcPr>
            <w:tcW w:w="1029" w:type="dxa"/>
            <w:tcBorders>
              <w:top w:val="single" w:sz="4" w:space="0" w:color="auto"/>
              <w:bottom w:val="single" w:sz="4" w:space="0" w:color="auto"/>
            </w:tcBorders>
          </w:tcPr>
          <w:p w14:paraId="4E9D941A" w14:textId="77777777" w:rsidR="00CF0E2D" w:rsidRPr="00D5210A" w:rsidRDefault="00CF0E2D" w:rsidP="00A60D4B">
            <w:pPr>
              <w:spacing w:after="0"/>
              <w:jc w:val="right"/>
              <w:rPr>
                <w:b/>
                <w:sz w:val="24"/>
                <w:szCs w:val="24"/>
              </w:rPr>
            </w:pPr>
            <w:r w:rsidRPr="00D5210A">
              <w:rPr>
                <w:b/>
                <w:sz w:val="24"/>
                <w:szCs w:val="24"/>
              </w:rPr>
              <w:t>1,591</w:t>
            </w:r>
          </w:p>
        </w:tc>
      </w:tr>
    </w:tbl>
    <w:p w14:paraId="6989ED6C" w14:textId="77777777" w:rsidR="00CF0E2D" w:rsidRPr="002D7CCB" w:rsidRDefault="00CF0E2D" w:rsidP="00A60D4B">
      <w:pPr>
        <w:pStyle w:val="Bbodytext"/>
      </w:pPr>
      <w:r w:rsidRPr="002D7CCB">
        <w:t>The Government will continue to support elite women’s sport in the Territory by providing ongoing funding to the Canberra Capitals and Canberra United. The Government will also undertake a review of suitable alternative venues to the Australian Institute of Sport Arena</w:t>
      </w:r>
      <w:r w:rsidRPr="002D7CCB" w:rsidDel="002C64CB">
        <w:t xml:space="preserve"> </w:t>
      </w:r>
      <w:r w:rsidRPr="002D7CCB">
        <w:t>that could accommodate large capacity crowds for indoor sports.</w:t>
      </w:r>
    </w:p>
    <w:p w14:paraId="6B662A3D" w14:textId="77777777" w:rsidR="00CF0E2D" w:rsidRDefault="00CF0E2D" w:rsidP="00A60D4B">
      <w:pPr>
        <w:pStyle w:val="Bbodytext"/>
      </w:pPr>
      <w:r w:rsidRPr="002D7CCB">
        <w:t xml:space="preserve">This initiative contributes to the wellbeing domains of Social connection and Economy. </w:t>
      </w:r>
    </w:p>
    <w:p w14:paraId="496F567A" w14:textId="77777777" w:rsidR="00CF0E2D" w:rsidRDefault="00CF0E2D" w:rsidP="00A60D4B">
      <w:pPr>
        <w:pStyle w:val="Bbodytext"/>
      </w:pPr>
    </w:p>
    <w:p w14:paraId="4F556AF3" w14:textId="77777777" w:rsidR="00CF0E2D" w:rsidRDefault="00CF0E2D" w:rsidP="00A60D4B">
      <w:pPr>
        <w:pStyle w:val="Heading4"/>
      </w:pPr>
      <w:r w:rsidRPr="00EB652B">
        <w:rPr>
          <w:rFonts w:eastAsia="Times New Roman" w:cs="Times New Roman"/>
          <w:bCs/>
          <w:szCs w:val="26"/>
        </w:rPr>
        <w:t>Non-potable water rebate for high-intensity club users</w:t>
      </w:r>
      <w:r>
        <w:rPr>
          <w:b w:val="0"/>
          <w:noProof/>
          <w:color w:val="999789"/>
          <w:sz w:val="32"/>
          <w:szCs w:val="24"/>
        </w:rPr>
        <w:drawing>
          <wp:anchor distT="0" distB="0" distL="114300" distR="114300" simplePos="0" relativeHeight="251764736" behindDoc="0" locked="1" layoutInCell="1" allowOverlap="1" wp14:anchorId="626CFFCC" wp14:editId="0A9E1B8A">
            <wp:simplePos x="0" y="0"/>
            <wp:positionH relativeFrom="margin">
              <wp:posOffset>4422775</wp:posOffset>
            </wp:positionH>
            <wp:positionV relativeFrom="paragraph">
              <wp:posOffset>-96520</wp:posOffset>
            </wp:positionV>
            <wp:extent cx="1284605" cy="503555"/>
            <wp:effectExtent l="0" t="0" r="0" b="0"/>
            <wp:wrapSquare wrapText="bothSides"/>
            <wp:docPr id="74" name="Picture 74" descr="Icon representing the wellbeing domain of Social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Icon representing the wellbeing domain of Social Connection"/>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8460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F92C91" w14:paraId="61BB60A4" w14:textId="77777777" w:rsidTr="00A60D4B">
        <w:trPr>
          <w:cantSplit/>
          <w:jc w:val="center"/>
        </w:trPr>
        <w:tc>
          <w:tcPr>
            <w:tcW w:w="3652" w:type="dxa"/>
            <w:tcBorders>
              <w:top w:val="single" w:sz="4" w:space="0" w:color="auto"/>
              <w:bottom w:val="single" w:sz="4" w:space="0" w:color="auto"/>
            </w:tcBorders>
          </w:tcPr>
          <w:p w14:paraId="1AF4C3F2" w14:textId="77777777" w:rsidR="00CF0E2D" w:rsidRPr="00F92C91" w:rsidRDefault="00CF0E2D" w:rsidP="00A60D4B">
            <w:pPr>
              <w:pStyle w:val="EmptyCell0"/>
            </w:pPr>
            <w:r w:rsidRPr="00F92C91">
              <w:t>Empty Cell</w:t>
            </w:r>
          </w:p>
        </w:tc>
        <w:tc>
          <w:tcPr>
            <w:tcW w:w="1179" w:type="dxa"/>
            <w:tcBorders>
              <w:top w:val="single" w:sz="4" w:space="0" w:color="auto"/>
              <w:bottom w:val="single" w:sz="4" w:space="0" w:color="auto"/>
            </w:tcBorders>
          </w:tcPr>
          <w:p w14:paraId="3B0DE252" w14:textId="77777777" w:rsidR="00CF0E2D" w:rsidRPr="00F92C91" w:rsidRDefault="00CF0E2D" w:rsidP="00A60D4B">
            <w:pPr>
              <w:pStyle w:val="InitFigR"/>
              <w:rPr>
                <w:b/>
                <w:bCs/>
              </w:rPr>
            </w:pPr>
            <w:r w:rsidRPr="00F92C91">
              <w:rPr>
                <w:b/>
                <w:bCs/>
              </w:rPr>
              <w:t>2021-22</w:t>
            </w:r>
          </w:p>
          <w:p w14:paraId="1EB0419A" w14:textId="77777777" w:rsidR="00CF0E2D" w:rsidRPr="00F92C91" w:rsidRDefault="00CF0E2D" w:rsidP="00A60D4B">
            <w:pPr>
              <w:pStyle w:val="InitFigR"/>
              <w:rPr>
                <w:b/>
                <w:bCs/>
              </w:rPr>
            </w:pPr>
            <w:r w:rsidRPr="00F92C91">
              <w:rPr>
                <w:b/>
                <w:bCs/>
              </w:rPr>
              <w:t>$’000</w:t>
            </w:r>
          </w:p>
        </w:tc>
        <w:tc>
          <w:tcPr>
            <w:tcW w:w="1041" w:type="dxa"/>
            <w:tcBorders>
              <w:top w:val="single" w:sz="4" w:space="0" w:color="auto"/>
              <w:bottom w:val="single" w:sz="4" w:space="0" w:color="auto"/>
            </w:tcBorders>
          </w:tcPr>
          <w:p w14:paraId="6AD1744E" w14:textId="77777777" w:rsidR="00CF0E2D" w:rsidRPr="00F92C91" w:rsidRDefault="00CF0E2D" w:rsidP="00A60D4B">
            <w:pPr>
              <w:pStyle w:val="InitFigR"/>
              <w:rPr>
                <w:b/>
                <w:bCs/>
              </w:rPr>
            </w:pPr>
            <w:r w:rsidRPr="00F92C91">
              <w:rPr>
                <w:b/>
                <w:bCs/>
              </w:rPr>
              <w:t>2022-23</w:t>
            </w:r>
          </w:p>
          <w:p w14:paraId="0067B97E" w14:textId="77777777" w:rsidR="00CF0E2D" w:rsidRPr="00F92C91" w:rsidRDefault="00CF0E2D" w:rsidP="00A60D4B">
            <w:pPr>
              <w:pStyle w:val="InitFigR"/>
              <w:rPr>
                <w:b/>
                <w:bCs/>
              </w:rPr>
            </w:pPr>
            <w:r w:rsidRPr="00F92C91">
              <w:rPr>
                <w:b/>
                <w:bCs/>
              </w:rPr>
              <w:t>$’000</w:t>
            </w:r>
          </w:p>
        </w:tc>
        <w:tc>
          <w:tcPr>
            <w:tcW w:w="1029" w:type="dxa"/>
            <w:tcBorders>
              <w:top w:val="single" w:sz="4" w:space="0" w:color="auto"/>
              <w:bottom w:val="single" w:sz="4" w:space="0" w:color="auto"/>
            </w:tcBorders>
          </w:tcPr>
          <w:p w14:paraId="2643D2A5" w14:textId="77777777" w:rsidR="00CF0E2D" w:rsidRPr="00F92C91" w:rsidRDefault="00CF0E2D" w:rsidP="00A60D4B">
            <w:pPr>
              <w:pStyle w:val="InitFigR"/>
              <w:rPr>
                <w:b/>
                <w:bCs/>
              </w:rPr>
            </w:pPr>
            <w:r w:rsidRPr="00F92C91">
              <w:rPr>
                <w:b/>
                <w:bCs/>
              </w:rPr>
              <w:t>2023-24</w:t>
            </w:r>
          </w:p>
          <w:p w14:paraId="12F4BC71" w14:textId="77777777" w:rsidR="00CF0E2D" w:rsidRPr="00F92C91" w:rsidRDefault="00CF0E2D" w:rsidP="00A60D4B">
            <w:pPr>
              <w:pStyle w:val="InitFigR"/>
              <w:rPr>
                <w:b/>
                <w:bCs/>
              </w:rPr>
            </w:pPr>
            <w:r w:rsidRPr="00F92C91">
              <w:rPr>
                <w:b/>
                <w:bCs/>
              </w:rPr>
              <w:t>$’000</w:t>
            </w:r>
          </w:p>
        </w:tc>
        <w:tc>
          <w:tcPr>
            <w:tcW w:w="1029" w:type="dxa"/>
            <w:tcBorders>
              <w:top w:val="single" w:sz="4" w:space="0" w:color="auto"/>
              <w:bottom w:val="single" w:sz="4" w:space="0" w:color="auto"/>
            </w:tcBorders>
          </w:tcPr>
          <w:p w14:paraId="51EDFB43" w14:textId="77777777" w:rsidR="00CF0E2D" w:rsidRPr="00F92C91" w:rsidRDefault="00CF0E2D" w:rsidP="00A60D4B">
            <w:pPr>
              <w:pStyle w:val="InitFigR"/>
              <w:rPr>
                <w:b/>
                <w:bCs/>
              </w:rPr>
            </w:pPr>
            <w:r w:rsidRPr="00F92C91">
              <w:rPr>
                <w:b/>
                <w:bCs/>
              </w:rPr>
              <w:t>2024-25</w:t>
            </w:r>
          </w:p>
          <w:p w14:paraId="31CD2CBB" w14:textId="77777777" w:rsidR="00CF0E2D" w:rsidRPr="00F92C91" w:rsidRDefault="00CF0E2D" w:rsidP="00A60D4B">
            <w:pPr>
              <w:pStyle w:val="InitFigR"/>
              <w:rPr>
                <w:b/>
                <w:bCs/>
              </w:rPr>
            </w:pPr>
            <w:r w:rsidRPr="00F92C91">
              <w:rPr>
                <w:b/>
                <w:bCs/>
              </w:rPr>
              <w:t>$’000</w:t>
            </w:r>
          </w:p>
        </w:tc>
        <w:tc>
          <w:tcPr>
            <w:tcW w:w="1029" w:type="dxa"/>
            <w:tcBorders>
              <w:top w:val="single" w:sz="4" w:space="0" w:color="auto"/>
              <w:bottom w:val="single" w:sz="4" w:space="0" w:color="auto"/>
            </w:tcBorders>
          </w:tcPr>
          <w:p w14:paraId="2739D149" w14:textId="77777777" w:rsidR="00CF0E2D" w:rsidRPr="00F92C91" w:rsidRDefault="00CF0E2D" w:rsidP="00A60D4B">
            <w:pPr>
              <w:pStyle w:val="InitFigRBold"/>
            </w:pPr>
            <w:r w:rsidRPr="00F92C91">
              <w:t>Total</w:t>
            </w:r>
          </w:p>
          <w:p w14:paraId="701E9EB4" w14:textId="77777777" w:rsidR="00CF0E2D" w:rsidRPr="00F92C91" w:rsidRDefault="00CF0E2D" w:rsidP="00A60D4B">
            <w:pPr>
              <w:pStyle w:val="InitFigBR"/>
            </w:pPr>
            <w:r w:rsidRPr="00F92C91">
              <w:t>$’000</w:t>
            </w:r>
          </w:p>
        </w:tc>
      </w:tr>
      <w:tr w:rsidR="00CF0E2D" w:rsidRPr="00F92C91" w14:paraId="6ABF21F3" w14:textId="77777777" w:rsidTr="00A60D4B">
        <w:trPr>
          <w:cantSplit/>
          <w:jc w:val="center"/>
        </w:trPr>
        <w:tc>
          <w:tcPr>
            <w:tcW w:w="3652" w:type="dxa"/>
            <w:tcBorders>
              <w:top w:val="single" w:sz="4" w:space="0" w:color="auto"/>
              <w:bottom w:val="single" w:sz="4" w:space="0" w:color="auto"/>
            </w:tcBorders>
          </w:tcPr>
          <w:p w14:paraId="6C775A27" w14:textId="77777777" w:rsidR="00CF0E2D" w:rsidRPr="00F92C91" w:rsidRDefault="00CF0E2D" w:rsidP="00A60D4B">
            <w:pPr>
              <w:pStyle w:val="InitTextL"/>
              <w:ind w:left="321" w:hanging="321"/>
            </w:pPr>
            <w:r w:rsidRPr="00F92C91">
              <w:t>Expenses</w:t>
            </w:r>
          </w:p>
        </w:tc>
        <w:tc>
          <w:tcPr>
            <w:tcW w:w="1179" w:type="dxa"/>
            <w:tcBorders>
              <w:top w:val="single" w:sz="4" w:space="0" w:color="auto"/>
              <w:bottom w:val="single" w:sz="4" w:space="0" w:color="auto"/>
            </w:tcBorders>
          </w:tcPr>
          <w:p w14:paraId="39CA7D8F" w14:textId="77777777" w:rsidR="00CF0E2D" w:rsidRPr="00F92C91" w:rsidRDefault="00CF0E2D" w:rsidP="00A60D4B">
            <w:pPr>
              <w:pStyle w:val="InitFigR"/>
            </w:pPr>
            <w:r>
              <w:t>100</w:t>
            </w:r>
          </w:p>
        </w:tc>
        <w:tc>
          <w:tcPr>
            <w:tcW w:w="1041" w:type="dxa"/>
            <w:tcBorders>
              <w:top w:val="single" w:sz="4" w:space="0" w:color="auto"/>
              <w:bottom w:val="single" w:sz="4" w:space="0" w:color="auto"/>
            </w:tcBorders>
          </w:tcPr>
          <w:p w14:paraId="283FA64D" w14:textId="77777777" w:rsidR="00CF0E2D" w:rsidRPr="00F92C91" w:rsidRDefault="00CF0E2D" w:rsidP="00A60D4B">
            <w:pPr>
              <w:pStyle w:val="InitFigR"/>
            </w:pPr>
            <w:r w:rsidRPr="00F92C91">
              <w:t>0</w:t>
            </w:r>
          </w:p>
        </w:tc>
        <w:tc>
          <w:tcPr>
            <w:tcW w:w="1029" w:type="dxa"/>
            <w:tcBorders>
              <w:top w:val="single" w:sz="4" w:space="0" w:color="auto"/>
              <w:bottom w:val="single" w:sz="4" w:space="0" w:color="auto"/>
            </w:tcBorders>
          </w:tcPr>
          <w:p w14:paraId="2CDB9929" w14:textId="77777777" w:rsidR="00CF0E2D" w:rsidRPr="00F92C91" w:rsidRDefault="00CF0E2D" w:rsidP="00A60D4B">
            <w:pPr>
              <w:pStyle w:val="InitFigR"/>
            </w:pPr>
            <w:r w:rsidRPr="00F92C91">
              <w:t>0</w:t>
            </w:r>
          </w:p>
        </w:tc>
        <w:tc>
          <w:tcPr>
            <w:tcW w:w="1029" w:type="dxa"/>
            <w:tcBorders>
              <w:top w:val="single" w:sz="4" w:space="0" w:color="auto"/>
              <w:bottom w:val="single" w:sz="4" w:space="0" w:color="auto"/>
            </w:tcBorders>
          </w:tcPr>
          <w:p w14:paraId="7F8F94C7" w14:textId="77777777" w:rsidR="00CF0E2D" w:rsidRPr="00F92C91" w:rsidRDefault="00CF0E2D" w:rsidP="00A60D4B">
            <w:pPr>
              <w:pStyle w:val="InitFigR"/>
            </w:pPr>
            <w:r w:rsidRPr="00F92C91">
              <w:t>0</w:t>
            </w:r>
          </w:p>
        </w:tc>
        <w:tc>
          <w:tcPr>
            <w:tcW w:w="1029" w:type="dxa"/>
            <w:tcBorders>
              <w:top w:val="single" w:sz="4" w:space="0" w:color="auto"/>
              <w:bottom w:val="single" w:sz="4" w:space="0" w:color="auto"/>
            </w:tcBorders>
          </w:tcPr>
          <w:p w14:paraId="424BA329" w14:textId="77777777" w:rsidR="00CF0E2D" w:rsidRPr="00F92C91" w:rsidRDefault="00CF0E2D" w:rsidP="00A60D4B">
            <w:pPr>
              <w:pStyle w:val="InitFigBR"/>
            </w:pPr>
            <w:r>
              <w:t>100</w:t>
            </w:r>
          </w:p>
        </w:tc>
      </w:tr>
    </w:tbl>
    <w:p w14:paraId="4186611C" w14:textId="77777777" w:rsidR="00CF0E2D" w:rsidRPr="00F92C91" w:rsidRDefault="00CF0E2D" w:rsidP="00A60D4B">
      <w:pPr>
        <w:pStyle w:val="Bbodytext"/>
      </w:pPr>
      <w:r w:rsidRPr="00F92C91">
        <w:t xml:space="preserve">The Government has extended the non-potable water rebate for high-intensity club users until 31 December 2021, or until each eligible club’s share of funds is exhausted. </w:t>
      </w:r>
    </w:p>
    <w:p w14:paraId="5B485659" w14:textId="77777777" w:rsidR="00CF0E2D" w:rsidRPr="00F92C91" w:rsidRDefault="00CF0E2D" w:rsidP="00A60D4B">
      <w:pPr>
        <w:pStyle w:val="Bbodytext"/>
      </w:pPr>
      <w:r w:rsidRPr="00F92C91">
        <w:t>This initiative continues support for high-intensity club users of non-potable water while a review of non-potable water costs is underway.</w:t>
      </w:r>
    </w:p>
    <w:p w14:paraId="012572BF" w14:textId="77777777" w:rsidR="00CF0E2D" w:rsidRPr="002221D2" w:rsidRDefault="00CF0E2D" w:rsidP="00A60D4B">
      <w:pPr>
        <w:pStyle w:val="Bbodytext"/>
      </w:pPr>
      <w:r w:rsidRPr="00F92C91">
        <w:t>This initiative contributes to the wellbeing domain of Social connection.</w:t>
      </w:r>
      <w:r w:rsidRPr="002221D2">
        <w:t xml:space="preserve"> </w:t>
      </w:r>
    </w:p>
    <w:p w14:paraId="14AFB7C5" w14:textId="77777777" w:rsidR="00CF0E2D" w:rsidRDefault="00CF0E2D">
      <w:r>
        <w:br w:type="page"/>
      </w:r>
    </w:p>
    <w:p w14:paraId="3429C4C1" w14:textId="77777777" w:rsidR="00CF0E2D" w:rsidRPr="00AE5FDC" w:rsidRDefault="00CF0E2D" w:rsidP="00A60D4B">
      <w:pPr>
        <w:pStyle w:val="Heading4"/>
        <w:rPr>
          <w:rFonts w:eastAsia="Times New Roman" w:cs="Times New Roman"/>
          <w:bCs/>
          <w:szCs w:val="26"/>
        </w:rPr>
      </w:pPr>
      <w:r w:rsidRPr="00AE5FDC">
        <w:rPr>
          <w:rFonts w:eastAsia="Times New Roman"/>
        </w:rPr>
        <w:lastRenderedPageBreak/>
        <w:t xml:space="preserve">Planning for a </w:t>
      </w:r>
      <w:r>
        <w:rPr>
          <w:rFonts w:eastAsia="Times New Roman"/>
        </w:rPr>
        <w:t>s</w:t>
      </w:r>
      <w:r w:rsidRPr="00AE5FDC">
        <w:rPr>
          <w:rFonts w:eastAsia="Times New Roman"/>
        </w:rPr>
        <w:t xml:space="preserve">econd </w:t>
      </w:r>
      <w:r>
        <w:rPr>
          <w:rFonts w:eastAsia="Times New Roman"/>
        </w:rPr>
        <w:t>a</w:t>
      </w:r>
      <w:r w:rsidRPr="00AE5FDC">
        <w:rPr>
          <w:rFonts w:eastAsia="Times New Roman"/>
        </w:rPr>
        <w:t xml:space="preserve">ccess </w:t>
      </w:r>
      <w:r>
        <w:rPr>
          <w:rFonts w:eastAsia="Times New Roman"/>
        </w:rPr>
        <w:t>r</w:t>
      </w:r>
      <w:r w:rsidRPr="00AE5FDC">
        <w:rPr>
          <w:rFonts w:eastAsia="Times New Roman"/>
        </w:rPr>
        <w:t xml:space="preserve">oad at the </w:t>
      </w:r>
      <w:r w:rsidRPr="00AE5FDC">
        <w:rPr>
          <w:rFonts w:eastAsia="Times New Roman" w:cs="Times New Roman"/>
          <w:bCs/>
          <w:szCs w:val="26"/>
        </w:rPr>
        <w:t xml:space="preserve">National Arboretum </w:t>
      </w:r>
      <w:r>
        <w:rPr>
          <w:rFonts w:eastAsia="Times New Roman" w:cs="Times New Roman"/>
          <w:bCs/>
          <w:szCs w:val="26"/>
        </w:rPr>
        <w:t>Canberra</w:t>
      </w:r>
      <w:r>
        <w:rPr>
          <w:noProof/>
        </w:rPr>
        <w:drawing>
          <wp:anchor distT="0" distB="0" distL="114300" distR="114300" simplePos="0" relativeHeight="251824128" behindDoc="0" locked="1" layoutInCell="1" allowOverlap="1" wp14:anchorId="6E933C38" wp14:editId="217A2E4D">
            <wp:simplePos x="0" y="0"/>
            <wp:positionH relativeFrom="margin">
              <wp:align>right</wp:align>
            </wp:positionH>
            <wp:positionV relativeFrom="paragraph">
              <wp:posOffset>4445</wp:posOffset>
            </wp:positionV>
            <wp:extent cx="1378585" cy="507365"/>
            <wp:effectExtent l="0" t="0" r="0" b="6985"/>
            <wp:wrapSquare wrapText="bothSides"/>
            <wp:docPr id="274" name="Picture 274"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B73D57" w14:paraId="10DF5EEF" w14:textId="77777777" w:rsidTr="00A60D4B">
        <w:trPr>
          <w:cantSplit/>
          <w:jc w:val="center"/>
        </w:trPr>
        <w:tc>
          <w:tcPr>
            <w:tcW w:w="3652" w:type="dxa"/>
            <w:tcBorders>
              <w:top w:val="single" w:sz="4" w:space="0" w:color="auto"/>
              <w:bottom w:val="single" w:sz="4" w:space="0" w:color="auto"/>
            </w:tcBorders>
          </w:tcPr>
          <w:p w14:paraId="416DEA54" w14:textId="77777777" w:rsidR="00CF0E2D" w:rsidRPr="00F26115" w:rsidRDefault="00CF0E2D" w:rsidP="00A60D4B">
            <w:pPr>
              <w:keepNext/>
              <w:keepLines/>
              <w:spacing w:after="0"/>
              <w:rPr>
                <w:szCs w:val="24"/>
              </w:rPr>
            </w:pPr>
          </w:p>
        </w:tc>
        <w:tc>
          <w:tcPr>
            <w:tcW w:w="1179" w:type="dxa"/>
            <w:tcBorders>
              <w:top w:val="single" w:sz="4" w:space="0" w:color="auto"/>
              <w:bottom w:val="single" w:sz="4" w:space="0" w:color="auto"/>
            </w:tcBorders>
          </w:tcPr>
          <w:p w14:paraId="30C38247" w14:textId="77777777" w:rsidR="00CF0E2D" w:rsidRPr="00D84288" w:rsidRDefault="00CF0E2D" w:rsidP="00A60D4B">
            <w:pPr>
              <w:pStyle w:val="InitFigR"/>
              <w:keepNext/>
              <w:keepLines/>
              <w:rPr>
                <w:b/>
                <w:bCs/>
              </w:rPr>
            </w:pPr>
            <w:r w:rsidRPr="00D84288">
              <w:rPr>
                <w:b/>
                <w:bCs/>
              </w:rPr>
              <w:t>2021-22</w:t>
            </w:r>
          </w:p>
          <w:p w14:paraId="5769B336" w14:textId="77777777" w:rsidR="00CF0E2D" w:rsidRPr="00D84288" w:rsidRDefault="00CF0E2D" w:rsidP="00A60D4B">
            <w:pPr>
              <w:pStyle w:val="InitFigR"/>
              <w:keepNext/>
              <w:keepLines/>
              <w:rPr>
                <w:b/>
                <w:bCs/>
              </w:rPr>
            </w:pPr>
            <w:r w:rsidRPr="00D84288">
              <w:rPr>
                <w:b/>
                <w:bCs/>
              </w:rPr>
              <w:t>$’000</w:t>
            </w:r>
          </w:p>
        </w:tc>
        <w:tc>
          <w:tcPr>
            <w:tcW w:w="1041" w:type="dxa"/>
            <w:tcBorders>
              <w:top w:val="single" w:sz="4" w:space="0" w:color="auto"/>
              <w:bottom w:val="single" w:sz="4" w:space="0" w:color="auto"/>
            </w:tcBorders>
          </w:tcPr>
          <w:p w14:paraId="0D0CFB28" w14:textId="77777777" w:rsidR="00CF0E2D" w:rsidRPr="00D84288" w:rsidRDefault="00CF0E2D" w:rsidP="00A60D4B">
            <w:pPr>
              <w:pStyle w:val="InitFigR"/>
              <w:keepNext/>
              <w:keepLines/>
              <w:rPr>
                <w:b/>
                <w:bCs/>
              </w:rPr>
            </w:pPr>
            <w:r w:rsidRPr="00D84288">
              <w:rPr>
                <w:b/>
                <w:bCs/>
              </w:rPr>
              <w:t>2022-23</w:t>
            </w:r>
          </w:p>
          <w:p w14:paraId="460BED85" w14:textId="77777777" w:rsidR="00CF0E2D" w:rsidRPr="00D84288" w:rsidRDefault="00CF0E2D" w:rsidP="00A60D4B">
            <w:pPr>
              <w:pStyle w:val="InitFigR"/>
              <w:keepNext/>
              <w:keepLines/>
              <w:rPr>
                <w:b/>
                <w:bCs/>
              </w:rPr>
            </w:pPr>
            <w:r w:rsidRPr="00D84288">
              <w:rPr>
                <w:b/>
                <w:bCs/>
              </w:rPr>
              <w:t>$’000</w:t>
            </w:r>
          </w:p>
        </w:tc>
        <w:tc>
          <w:tcPr>
            <w:tcW w:w="1029" w:type="dxa"/>
            <w:tcBorders>
              <w:top w:val="single" w:sz="4" w:space="0" w:color="auto"/>
              <w:bottom w:val="single" w:sz="4" w:space="0" w:color="auto"/>
            </w:tcBorders>
          </w:tcPr>
          <w:p w14:paraId="52A3E5CD" w14:textId="77777777" w:rsidR="00CF0E2D" w:rsidRPr="00D84288" w:rsidRDefault="00CF0E2D" w:rsidP="00A60D4B">
            <w:pPr>
              <w:pStyle w:val="InitFigR"/>
              <w:keepNext/>
              <w:keepLines/>
              <w:rPr>
                <w:b/>
                <w:bCs/>
              </w:rPr>
            </w:pPr>
            <w:r w:rsidRPr="00D84288">
              <w:rPr>
                <w:b/>
                <w:bCs/>
              </w:rPr>
              <w:t>2023-24</w:t>
            </w:r>
          </w:p>
          <w:p w14:paraId="74B3C52F" w14:textId="77777777" w:rsidR="00CF0E2D" w:rsidRPr="00D84288" w:rsidRDefault="00CF0E2D" w:rsidP="00A60D4B">
            <w:pPr>
              <w:pStyle w:val="InitFigR"/>
              <w:keepNext/>
              <w:keepLines/>
              <w:rPr>
                <w:b/>
                <w:bCs/>
              </w:rPr>
            </w:pPr>
            <w:r w:rsidRPr="00D84288">
              <w:rPr>
                <w:b/>
                <w:bCs/>
              </w:rPr>
              <w:t>$’000</w:t>
            </w:r>
          </w:p>
        </w:tc>
        <w:tc>
          <w:tcPr>
            <w:tcW w:w="1029" w:type="dxa"/>
            <w:tcBorders>
              <w:top w:val="single" w:sz="4" w:space="0" w:color="auto"/>
              <w:bottom w:val="single" w:sz="4" w:space="0" w:color="auto"/>
            </w:tcBorders>
          </w:tcPr>
          <w:p w14:paraId="2FA08281" w14:textId="77777777" w:rsidR="00CF0E2D" w:rsidRPr="00D84288" w:rsidRDefault="00CF0E2D" w:rsidP="00A60D4B">
            <w:pPr>
              <w:pStyle w:val="InitFigR"/>
              <w:keepNext/>
              <w:keepLines/>
              <w:rPr>
                <w:b/>
                <w:bCs/>
              </w:rPr>
            </w:pPr>
            <w:r w:rsidRPr="00D84288">
              <w:rPr>
                <w:b/>
                <w:bCs/>
              </w:rPr>
              <w:t>2024-25</w:t>
            </w:r>
          </w:p>
          <w:p w14:paraId="3BBB4E07" w14:textId="77777777" w:rsidR="00CF0E2D" w:rsidRPr="00D84288" w:rsidRDefault="00CF0E2D" w:rsidP="00A60D4B">
            <w:pPr>
              <w:pStyle w:val="InitFigR"/>
              <w:keepNext/>
              <w:keepLines/>
              <w:rPr>
                <w:b/>
                <w:bCs/>
              </w:rPr>
            </w:pPr>
            <w:r w:rsidRPr="00D84288">
              <w:rPr>
                <w:b/>
                <w:bCs/>
              </w:rPr>
              <w:t>$’000</w:t>
            </w:r>
          </w:p>
        </w:tc>
        <w:tc>
          <w:tcPr>
            <w:tcW w:w="1029" w:type="dxa"/>
            <w:tcBorders>
              <w:top w:val="single" w:sz="4" w:space="0" w:color="auto"/>
              <w:bottom w:val="single" w:sz="4" w:space="0" w:color="auto"/>
            </w:tcBorders>
          </w:tcPr>
          <w:p w14:paraId="1BAD411B" w14:textId="77777777" w:rsidR="00CF0E2D" w:rsidRPr="00D84288" w:rsidRDefault="00CF0E2D" w:rsidP="00A60D4B">
            <w:pPr>
              <w:pStyle w:val="InitFigR"/>
              <w:keepNext/>
              <w:keepLines/>
              <w:rPr>
                <w:b/>
                <w:bCs/>
              </w:rPr>
            </w:pPr>
            <w:r w:rsidRPr="00D84288">
              <w:rPr>
                <w:b/>
                <w:bCs/>
              </w:rPr>
              <w:t>Total</w:t>
            </w:r>
          </w:p>
          <w:p w14:paraId="60A76520" w14:textId="77777777" w:rsidR="00CF0E2D" w:rsidRPr="00D84288" w:rsidRDefault="00CF0E2D" w:rsidP="00A60D4B">
            <w:pPr>
              <w:pStyle w:val="InitFigR"/>
              <w:keepNext/>
              <w:keepLines/>
              <w:rPr>
                <w:b/>
                <w:bCs/>
              </w:rPr>
            </w:pPr>
            <w:r w:rsidRPr="00D84288">
              <w:rPr>
                <w:b/>
                <w:bCs/>
              </w:rPr>
              <w:t>$’000</w:t>
            </w:r>
          </w:p>
        </w:tc>
      </w:tr>
      <w:tr w:rsidR="00CF0E2D" w:rsidRPr="00B73D57" w14:paraId="05EF0C93" w14:textId="77777777" w:rsidTr="00A60D4B">
        <w:trPr>
          <w:cantSplit/>
          <w:jc w:val="center"/>
        </w:trPr>
        <w:tc>
          <w:tcPr>
            <w:tcW w:w="3652" w:type="dxa"/>
            <w:tcBorders>
              <w:top w:val="single" w:sz="4" w:space="0" w:color="auto"/>
              <w:bottom w:val="single" w:sz="4" w:space="0" w:color="auto"/>
            </w:tcBorders>
          </w:tcPr>
          <w:p w14:paraId="6449B649" w14:textId="77777777" w:rsidR="00CF0E2D" w:rsidRPr="00F26115" w:rsidRDefault="00CF0E2D" w:rsidP="00A60D4B">
            <w:pPr>
              <w:keepNext/>
              <w:keepLines/>
              <w:spacing w:after="0"/>
              <w:rPr>
                <w:szCs w:val="24"/>
              </w:rPr>
            </w:pPr>
            <w:r w:rsidRPr="00D84288">
              <w:t>Expenses</w:t>
            </w:r>
          </w:p>
        </w:tc>
        <w:tc>
          <w:tcPr>
            <w:tcW w:w="1179" w:type="dxa"/>
            <w:tcBorders>
              <w:top w:val="single" w:sz="4" w:space="0" w:color="auto"/>
              <w:bottom w:val="single" w:sz="4" w:space="0" w:color="auto"/>
            </w:tcBorders>
          </w:tcPr>
          <w:p w14:paraId="7AE308F3" w14:textId="77777777" w:rsidR="00CF0E2D" w:rsidRPr="00D84288" w:rsidRDefault="00CF0E2D" w:rsidP="00A60D4B">
            <w:pPr>
              <w:pStyle w:val="InitFigR"/>
              <w:keepNext/>
              <w:keepLines/>
            </w:pPr>
            <w:r w:rsidRPr="00D84288">
              <w:t>110</w:t>
            </w:r>
          </w:p>
        </w:tc>
        <w:tc>
          <w:tcPr>
            <w:tcW w:w="1041" w:type="dxa"/>
            <w:tcBorders>
              <w:top w:val="single" w:sz="4" w:space="0" w:color="auto"/>
              <w:bottom w:val="single" w:sz="4" w:space="0" w:color="auto"/>
            </w:tcBorders>
          </w:tcPr>
          <w:p w14:paraId="72DB4AD6" w14:textId="77777777" w:rsidR="00CF0E2D" w:rsidRPr="00D84288" w:rsidRDefault="00CF0E2D" w:rsidP="00A60D4B">
            <w:pPr>
              <w:pStyle w:val="InitFigR"/>
              <w:keepNext/>
              <w:keepLines/>
            </w:pPr>
            <w:r w:rsidRPr="00D84288">
              <w:t>0</w:t>
            </w:r>
          </w:p>
        </w:tc>
        <w:tc>
          <w:tcPr>
            <w:tcW w:w="1029" w:type="dxa"/>
            <w:tcBorders>
              <w:top w:val="single" w:sz="4" w:space="0" w:color="auto"/>
              <w:bottom w:val="single" w:sz="4" w:space="0" w:color="auto"/>
            </w:tcBorders>
          </w:tcPr>
          <w:p w14:paraId="61D2D79F" w14:textId="77777777" w:rsidR="00CF0E2D" w:rsidRPr="00D84288" w:rsidRDefault="00CF0E2D" w:rsidP="00A60D4B">
            <w:pPr>
              <w:pStyle w:val="InitFigR"/>
              <w:keepNext/>
              <w:keepLines/>
            </w:pPr>
            <w:r w:rsidRPr="00D84288">
              <w:t>0</w:t>
            </w:r>
          </w:p>
        </w:tc>
        <w:tc>
          <w:tcPr>
            <w:tcW w:w="1029" w:type="dxa"/>
            <w:tcBorders>
              <w:top w:val="single" w:sz="4" w:space="0" w:color="auto"/>
              <w:bottom w:val="single" w:sz="4" w:space="0" w:color="auto"/>
            </w:tcBorders>
          </w:tcPr>
          <w:p w14:paraId="70A6CD8B" w14:textId="77777777" w:rsidR="00CF0E2D" w:rsidRPr="00D84288" w:rsidRDefault="00CF0E2D" w:rsidP="00A60D4B">
            <w:pPr>
              <w:pStyle w:val="InitFigR"/>
              <w:keepNext/>
              <w:keepLines/>
            </w:pPr>
            <w:r w:rsidRPr="00D84288">
              <w:t>0</w:t>
            </w:r>
          </w:p>
        </w:tc>
        <w:tc>
          <w:tcPr>
            <w:tcW w:w="1029" w:type="dxa"/>
            <w:tcBorders>
              <w:top w:val="single" w:sz="4" w:space="0" w:color="auto"/>
              <w:bottom w:val="single" w:sz="4" w:space="0" w:color="auto"/>
            </w:tcBorders>
          </w:tcPr>
          <w:p w14:paraId="4A284515" w14:textId="77777777" w:rsidR="00CF0E2D" w:rsidRPr="00D84288" w:rsidRDefault="00CF0E2D" w:rsidP="00A60D4B">
            <w:pPr>
              <w:pStyle w:val="InitFigR"/>
              <w:keepNext/>
              <w:keepLines/>
              <w:rPr>
                <w:b/>
                <w:bCs/>
              </w:rPr>
            </w:pPr>
            <w:r w:rsidRPr="00D84288">
              <w:rPr>
                <w:b/>
                <w:bCs/>
              </w:rPr>
              <w:t>110</w:t>
            </w:r>
          </w:p>
        </w:tc>
      </w:tr>
    </w:tbl>
    <w:p w14:paraId="3EC223FE" w14:textId="77777777" w:rsidR="00CF0E2D" w:rsidRPr="00AE5FDC" w:rsidRDefault="00CF0E2D" w:rsidP="00A60D4B">
      <w:pPr>
        <w:pStyle w:val="Bbodytext"/>
      </w:pPr>
      <w:r w:rsidRPr="00AE5FDC">
        <w:t xml:space="preserve">The Government will undertake feasibility and concept design for a second sealed access road into the National Arboretum Canberra. </w:t>
      </w:r>
    </w:p>
    <w:p w14:paraId="38EB90C7" w14:textId="77777777" w:rsidR="00CF0E2D" w:rsidRPr="00AE5FDC" w:rsidRDefault="00CF0E2D" w:rsidP="00A60D4B">
      <w:pPr>
        <w:pStyle w:val="Bbodytext"/>
      </w:pPr>
      <w:r w:rsidRPr="00AE5FDC">
        <w:t>This initiative contributes to the wellbeing domains of Access and connectivity and Social connection.</w:t>
      </w:r>
    </w:p>
    <w:p w14:paraId="401E0366" w14:textId="77777777" w:rsidR="00CF0E2D" w:rsidRDefault="00CF0E2D" w:rsidP="00A60D4B">
      <w:pPr>
        <w:pStyle w:val="Bbodytext"/>
      </w:pPr>
    </w:p>
    <w:p w14:paraId="5A75497A" w14:textId="77777777" w:rsidR="00CF0E2D" w:rsidRDefault="00CF0E2D" w:rsidP="00A60D4B">
      <w:pPr>
        <w:pStyle w:val="Heading4"/>
        <w:rPr>
          <w:rFonts w:eastAsia="Times New Roman"/>
        </w:rPr>
      </w:pPr>
      <w:r>
        <w:rPr>
          <w:rFonts w:eastAsia="Times New Roman"/>
        </w:rPr>
        <w:t>Remediating lead dust at the former transport depot in Kingston</w:t>
      </w:r>
      <w:r>
        <w:rPr>
          <w:b w:val="0"/>
          <w:noProof/>
          <w:color w:val="999789"/>
          <w:sz w:val="32"/>
          <w:szCs w:val="24"/>
        </w:rPr>
        <w:drawing>
          <wp:anchor distT="0" distB="0" distL="114300" distR="114300" simplePos="0" relativeHeight="251765760" behindDoc="0" locked="1" layoutInCell="1" allowOverlap="1" wp14:anchorId="674F007C" wp14:editId="5CD27DF2">
            <wp:simplePos x="0" y="0"/>
            <wp:positionH relativeFrom="margin">
              <wp:posOffset>4740910</wp:posOffset>
            </wp:positionH>
            <wp:positionV relativeFrom="paragraph">
              <wp:posOffset>84455</wp:posOffset>
            </wp:positionV>
            <wp:extent cx="989965" cy="503555"/>
            <wp:effectExtent l="0" t="0" r="635" b="0"/>
            <wp:wrapSquare wrapText="bothSides"/>
            <wp:docPr id="76" name="Picture 76"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8010E8" w14:paraId="46B98679" w14:textId="77777777" w:rsidTr="00A60D4B">
        <w:trPr>
          <w:cantSplit/>
          <w:jc w:val="center"/>
        </w:trPr>
        <w:tc>
          <w:tcPr>
            <w:tcW w:w="3652" w:type="dxa"/>
            <w:tcBorders>
              <w:top w:val="single" w:sz="4" w:space="0" w:color="auto"/>
              <w:bottom w:val="single" w:sz="4" w:space="0" w:color="auto"/>
            </w:tcBorders>
          </w:tcPr>
          <w:p w14:paraId="6090BCF6" w14:textId="77777777" w:rsidR="00CF0E2D" w:rsidRPr="0027393E" w:rsidRDefault="00CF0E2D" w:rsidP="00A60D4B">
            <w:pPr>
              <w:spacing w:after="0"/>
              <w:rPr>
                <w:sz w:val="24"/>
                <w:szCs w:val="24"/>
              </w:rPr>
            </w:pPr>
          </w:p>
        </w:tc>
        <w:tc>
          <w:tcPr>
            <w:tcW w:w="1179" w:type="dxa"/>
            <w:tcBorders>
              <w:top w:val="single" w:sz="4" w:space="0" w:color="auto"/>
              <w:bottom w:val="single" w:sz="4" w:space="0" w:color="auto"/>
            </w:tcBorders>
          </w:tcPr>
          <w:p w14:paraId="2BAE1BEF" w14:textId="77777777" w:rsidR="00CF0E2D" w:rsidRPr="0027393E" w:rsidRDefault="00CF0E2D" w:rsidP="00A60D4B">
            <w:pPr>
              <w:spacing w:after="0"/>
              <w:jc w:val="right"/>
              <w:rPr>
                <w:b/>
                <w:bCs/>
                <w:sz w:val="24"/>
                <w:szCs w:val="24"/>
              </w:rPr>
            </w:pPr>
            <w:r w:rsidRPr="0027393E">
              <w:rPr>
                <w:b/>
                <w:bCs/>
                <w:sz w:val="24"/>
                <w:szCs w:val="24"/>
              </w:rPr>
              <w:t>2021-22</w:t>
            </w:r>
          </w:p>
          <w:p w14:paraId="51726F3F" w14:textId="77777777" w:rsidR="00CF0E2D" w:rsidRPr="00DF363E" w:rsidRDefault="00CF0E2D" w:rsidP="00A60D4B">
            <w:pPr>
              <w:spacing w:after="0"/>
              <w:jc w:val="right"/>
              <w:rPr>
                <w:b/>
                <w:bCs/>
                <w:sz w:val="24"/>
                <w:szCs w:val="24"/>
              </w:rPr>
            </w:pPr>
            <w:r w:rsidRPr="0027393E">
              <w:rPr>
                <w:b/>
                <w:bCs/>
                <w:sz w:val="24"/>
                <w:szCs w:val="24"/>
              </w:rPr>
              <w:t>$’000</w:t>
            </w:r>
          </w:p>
        </w:tc>
        <w:tc>
          <w:tcPr>
            <w:tcW w:w="1041" w:type="dxa"/>
            <w:tcBorders>
              <w:top w:val="single" w:sz="4" w:space="0" w:color="auto"/>
              <w:bottom w:val="single" w:sz="4" w:space="0" w:color="auto"/>
            </w:tcBorders>
          </w:tcPr>
          <w:p w14:paraId="2E22B268" w14:textId="77777777" w:rsidR="00CF0E2D" w:rsidRPr="0027393E" w:rsidRDefault="00CF0E2D" w:rsidP="00A60D4B">
            <w:pPr>
              <w:spacing w:after="0"/>
              <w:jc w:val="right"/>
              <w:rPr>
                <w:b/>
                <w:bCs/>
                <w:sz w:val="24"/>
                <w:szCs w:val="24"/>
              </w:rPr>
            </w:pPr>
            <w:r w:rsidRPr="0027393E">
              <w:rPr>
                <w:b/>
                <w:bCs/>
                <w:sz w:val="24"/>
                <w:szCs w:val="24"/>
              </w:rPr>
              <w:t>2022-23</w:t>
            </w:r>
          </w:p>
          <w:p w14:paraId="0423168D" w14:textId="77777777" w:rsidR="00CF0E2D" w:rsidRPr="0027393E" w:rsidRDefault="00CF0E2D" w:rsidP="00A60D4B">
            <w:pPr>
              <w:spacing w:after="0"/>
              <w:jc w:val="right"/>
              <w:rPr>
                <w:b/>
                <w:bCs/>
                <w:sz w:val="24"/>
                <w:szCs w:val="24"/>
              </w:rPr>
            </w:pPr>
            <w:r w:rsidRPr="0027393E">
              <w:rPr>
                <w:b/>
                <w:bCs/>
                <w:sz w:val="24"/>
                <w:szCs w:val="24"/>
              </w:rPr>
              <w:t>$’000</w:t>
            </w:r>
          </w:p>
        </w:tc>
        <w:tc>
          <w:tcPr>
            <w:tcW w:w="1029" w:type="dxa"/>
            <w:tcBorders>
              <w:top w:val="single" w:sz="4" w:space="0" w:color="auto"/>
              <w:bottom w:val="single" w:sz="4" w:space="0" w:color="auto"/>
            </w:tcBorders>
          </w:tcPr>
          <w:p w14:paraId="5124DFBC" w14:textId="77777777" w:rsidR="00CF0E2D" w:rsidRPr="0027393E" w:rsidRDefault="00CF0E2D" w:rsidP="00A60D4B">
            <w:pPr>
              <w:spacing w:after="0"/>
              <w:jc w:val="right"/>
              <w:rPr>
                <w:b/>
                <w:bCs/>
                <w:sz w:val="24"/>
                <w:szCs w:val="24"/>
              </w:rPr>
            </w:pPr>
            <w:r w:rsidRPr="0027393E">
              <w:rPr>
                <w:b/>
                <w:bCs/>
                <w:sz w:val="24"/>
                <w:szCs w:val="24"/>
              </w:rPr>
              <w:t>2023-24</w:t>
            </w:r>
          </w:p>
          <w:p w14:paraId="0EA81833" w14:textId="77777777" w:rsidR="00CF0E2D" w:rsidRPr="0027393E" w:rsidRDefault="00CF0E2D" w:rsidP="00A60D4B">
            <w:pPr>
              <w:spacing w:after="0"/>
              <w:jc w:val="right"/>
              <w:rPr>
                <w:b/>
                <w:bCs/>
                <w:sz w:val="24"/>
                <w:szCs w:val="24"/>
              </w:rPr>
            </w:pPr>
            <w:r w:rsidRPr="0027393E">
              <w:rPr>
                <w:b/>
                <w:bCs/>
                <w:sz w:val="24"/>
                <w:szCs w:val="24"/>
              </w:rPr>
              <w:t>$’000</w:t>
            </w:r>
          </w:p>
        </w:tc>
        <w:tc>
          <w:tcPr>
            <w:tcW w:w="1029" w:type="dxa"/>
            <w:tcBorders>
              <w:top w:val="single" w:sz="4" w:space="0" w:color="auto"/>
              <w:bottom w:val="single" w:sz="4" w:space="0" w:color="auto"/>
            </w:tcBorders>
          </w:tcPr>
          <w:p w14:paraId="61B51B64" w14:textId="77777777" w:rsidR="00CF0E2D" w:rsidRPr="0027393E" w:rsidRDefault="00CF0E2D" w:rsidP="00A60D4B">
            <w:pPr>
              <w:spacing w:after="0"/>
              <w:jc w:val="right"/>
              <w:rPr>
                <w:b/>
                <w:bCs/>
                <w:sz w:val="24"/>
                <w:szCs w:val="24"/>
              </w:rPr>
            </w:pPr>
            <w:r w:rsidRPr="0027393E">
              <w:rPr>
                <w:b/>
                <w:bCs/>
                <w:sz w:val="24"/>
                <w:szCs w:val="24"/>
              </w:rPr>
              <w:t>2024-25</w:t>
            </w:r>
          </w:p>
          <w:p w14:paraId="7BE8B460" w14:textId="77777777" w:rsidR="00CF0E2D" w:rsidRPr="0027393E" w:rsidRDefault="00CF0E2D" w:rsidP="00A60D4B">
            <w:pPr>
              <w:spacing w:after="0"/>
              <w:jc w:val="right"/>
              <w:rPr>
                <w:b/>
                <w:bCs/>
                <w:sz w:val="24"/>
                <w:szCs w:val="24"/>
              </w:rPr>
            </w:pPr>
            <w:r w:rsidRPr="0027393E">
              <w:rPr>
                <w:b/>
                <w:bCs/>
                <w:sz w:val="24"/>
                <w:szCs w:val="24"/>
              </w:rPr>
              <w:t>$’000</w:t>
            </w:r>
          </w:p>
        </w:tc>
        <w:tc>
          <w:tcPr>
            <w:tcW w:w="1029" w:type="dxa"/>
            <w:tcBorders>
              <w:top w:val="single" w:sz="4" w:space="0" w:color="auto"/>
              <w:bottom w:val="single" w:sz="4" w:space="0" w:color="auto"/>
            </w:tcBorders>
          </w:tcPr>
          <w:p w14:paraId="295CBA0B" w14:textId="77777777" w:rsidR="00CF0E2D" w:rsidRPr="0027393E" w:rsidRDefault="00CF0E2D" w:rsidP="00A60D4B">
            <w:pPr>
              <w:spacing w:after="0"/>
              <w:jc w:val="right"/>
              <w:rPr>
                <w:b/>
                <w:bCs/>
                <w:sz w:val="24"/>
                <w:szCs w:val="24"/>
              </w:rPr>
            </w:pPr>
            <w:r w:rsidRPr="0027393E">
              <w:rPr>
                <w:b/>
                <w:bCs/>
                <w:sz w:val="24"/>
                <w:szCs w:val="24"/>
              </w:rPr>
              <w:t>Total</w:t>
            </w:r>
          </w:p>
          <w:p w14:paraId="6559F283" w14:textId="77777777" w:rsidR="00CF0E2D" w:rsidRPr="0027393E" w:rsidRDefault="00CF0E2D" w:rsidP="00A60D4B">
            <w:pPr>
              <w:spacing w:after="0"/>
              <w:jc w:val="right"/>
              <w:rPr>
                <w:b/>
                <w:bCs/>
                <w:sz w:val="24"/>
                <w:szCs w:val="24"/>
              </w:rPr>
            </w:pPr>
            <w:r w:rsidRPr="0027393E">
              <w:rPr>
                <w:b/>
                <w:bCs/>
                <w:sz w:val="24"/>
                <w:szCs w:val="24"/>
              </w:rPr>
              <w:t>$’000</w:t>
            </w:r>
          </w:p>
        </w:tc>
      </w:tr>
      <w:tr w:rsidR="00CF0E2D" w:rsidRPr="008010E8" w14:paraId="00735486" w14:textId="77777777" w:rsidTr="00A60D4B">
        <w:trPr>
          <w:cantSplit/>
          <w:jc w:val="center"/>
        </w:trPr>
        <w:tc>
          <w:tcPr>
            <w:tcW w:w="3652" w:type="dxa"/>
            <w:tcBorders>
              <w:top w:val="single" w:sz="4" w:space="0" w:color="auto"/>
              <w:bottom w:val="single" w:sz="4" w:space="0" w:color="auto"/>
            </w:tcBorders>
          </w:tcPr>
          <w:p w14:paraId="5668A599" w14:textId="77777777" w:rsidR="00CF0E2D" w:rsidRPr="0027393E" w:rsidRDefault="00CF0E2D" w:rsidP="00A60D4B">
            <w:pPr>
              <w:spacing w:after="0"/>
              <w:rPr>
                <w:sz w:val="24"/>
                <w:szCs w:val="24"/>
              </w:rPr>
            </w:pPr>
            <w:r w:rsidRPr="0027393E">
              <w:rPr>
                <w:sz w:val="24"/>
                <w:szCs w:val="24"/>
              </w:rPr>
              <w:t>Capital</w:t>
            </w:r>
          </w:p>
        </w:tc>
        <w:tc>
          <w:tcPr>
            <w:tcW w:w="1179" w:type="dxa"/>
            <w:tcBorders>
              <w:top w:val="single" w:sz="4" w:space="0" w:color="auto"/>
              <w:bottom w:val="single" w:sz="4" w:space="0" w:color="auto"/>
            </w:tcBorders>
          </w:tcPr>
          <w:p w14:paraId="07A5D007" w14:textId="77777777" w:rsidR="00CF0E2D" w:rsidRPr="001C361C" w:rsidRDefault="00CF0E2D" w:rsidP="00A60D4B">
            <w:pPr>
              <w:spacing w:after="0"/>
              <w:jc w:val="right"/>
              <w:rPr>
                <w:sz w:val="24"/>
                <w:szCs w:val="24"/>
              </w:rPr>
            </w:pPr>
            <w:r w:rsidRPr="0027393E">
              <w:rPr>
                <w:sz w:val="24"/>
                <w:szCs w:val="24"/>
              </w:rPr>
              <w:t>1,300</w:t>
            </w:r>
          </w:p>
        </w:tc>
        <w:tc>
          <w:tcPr>
            <w:tcW w:w="1041" w:type="dxa"/>
            <w:tcBorders>
              <w:top w:val="single" w:sz="4" w:space="0" w:color="auto"/>
              <w:bottom w:val="single" w:sz="4" w:space="0" w:color="auto"/>
            </w:tcBorders>
          </w:tcPr>
          <w:p w14:paraId="7F2A502A" w14:textId="77777777" w:rsidR="00CF0E2D" w:rsidRPr="0027393E" w:rsidRDefault="00CF0E2D" w:rsidP="00A60D4B">
            <w:pPr>
              <w:spacing w:after="0"/>
              <w:jc w:val="right"/>
              <w:rPr>
                <w:sz w:val="24"/>
                <w:szCs w:val="24"/>
              </w:rPr>
            </w:pPr>
            <w:r w:rsidRPr="0027393E">
              <w:rPr>
                <w:sz w:val="24"/>
                <w:szCs w:val="24"/>
              </w:rPr>
              <w:t>0</w:t>
            </w:r>
          </w:p>
        </w:tc>
        <w:tc>
          <w:tcPr>
            <w:tcW w:w="1029" w:type="dxa"/>
            <w:tcBorders>
              <w:top w:val="single" w:sz="4" w:space="0" w:color="auto"/>
              <w:bottom w:val="single" w:sz="4" w:space="0" w:color="auto"/>
            </w:tcBorders>
          </w:tcPr>
          <w:p w14:paraId="1552613C" w14:textId="77777777" w:rsidR="00CF0E2D" w:rsidRPr="0027393E" w:rsidRDefault="00CF0E2D" w:rsidP="00A60D4B">
            <w:pPr>
              <w:spacing w:after="0"/>
              <w:jc w:val="right"/>
              <w:rPr>
                <w:sz w:val="24"/>
                <w:szCs w:val="24"/>
              </w:rPr>
            </w:pPr>
            <w:r w:rsidRPr="0027393E">
              <w:rPr>
                <w:sz w:val="24"/>
                <w:szCs w:val="24"/>
              </w:rPr>
              <w:t>0</w:t>
            </w:r>
          </w:p>
        </w:tc>
        <w:tc>
          <w:tcPr>
            <w:tcW w:w="1029" w:type="dxa"/>
            <w:tcBorders>
              <w:top w:val="single" w:sz="4" w:space="0" w:color="auto"/>
              <w:bottom w:val="single" w:sz="4" w:space="0" w:color="auto"/>
            </w:tcBorders>
          </w:tcPr>
          <w:p w14:paraId="1468E595" w14:textId="77777777" w:rsidR="00CF0E2D" w:rsidRPr="0027393E" w:rsidRDefault="00CF0E2D" w:rsidP="00A60D4B">
            <w:pPr>
              <w:spacing w:after="0"/>
              <w:jc w:val="right"/>
              <w:rPr>
                <w:sz w:val="24"/>
                <w:szCs w:val="24"/>
              </w:rPr>
            </w:pPr>
            <w:r w:rsidRPr="0027393E">
              <w:rPr>
                <w:sz w:val="24"/>
                <w:szCs w:val="24"/>
              </w:rPr>
              <w:t>0</w:t>
            </w:r>
          </w:p>
        </w:tc>
        <w:tc>
          <w:tcPr>
            <w:tcW w:w="1029" w:type="dxa"/>
            <w:tcBorders>
              <w:top w:val="single" w:sz="4" w:space="0" w:color="auto"/>
              <w:bottom w:val="single" w:sz="4" w:space="0" w:color="auto"/>
            </w:tcBorders>
          </w:tcPr>
          <w:p w14:paraId="173C541B" w14:textId="77777777" w:rsidR="00CF0E2D" w:rsidRPr="0027393E" w:rsidRDefault="00CF0E2D" w:rsidP="00A60D4B">
            <w:pPr>
              <w:spacing w:after="0"/>
              <w:jc w:val="right"/>
              <w:rPr>
                <w:b/>
                <w:bCs/>
                <w:sz w:val="24"/>
                <w:szCs w:val="24"/>
              </w:rPr>
            </w:pPr>
            <w:r w:rsidRPr="0027393E">
              <w:rPr>
                <w:b/>
                <w:bCs/>
                <w:sz w:val="24"/>
                <w:szCs w:val="24"/>
              </w:rPr>
              <w:t>1,300</w:t>
            </w:r>
          </w:p>
        </w:tc>
      </w:tr>
      <w:tr w:rsidR="00CF0E2D" w:rsidRPr="008010E8" w14:paraId="342A9D5E" w14:textId="77777777" w:rsidTr="00A60D4B">
        <w:trPr>
          <w:cantSplit/>
          <w:jc w:val="center"/>
        </w:trPr>
        <w:tc>
          <w:tcPr>
            <w:tcW w:w="3652" w:type="dxa"/>
          </w:tcPr>
          <w:p w14:paraId="637E3B72" w14:textId="77777777" w:rsidR="00CF0E2D" w:rsidRPr="0027393E" w:rsidRDefault="00CF0E2D" w:rsidP="00A60D4B">
            <w:pPr>
              <w:spacing w:after="0"/>
              <w:rPr>
                <w:sz w:val="24"/>
                <w:szCs w:val="24"/>
              </w:rPr>
            </w:pPr>
            <w:r w:rsidRPr="0027393E">
              <w:rPr>
                <w:sz w:val="24"/>
                <w:szCs w:val="24"/>
              </w:rPr>
              <w:t>Depreciation</w:t>
            </w:r>
          </w:p>
        </w:tc>
        <w:tc>
          <w:tcPr>
            <w:tcW w:w="1179" w:type="dxa"/>
          </w:tcPr>
          <w:p w14:paraId="7CBB690A" w14:textId="77777777" w:rsidR="00CF0E2D" w:rsidRPr="001C361C" w:rsidRDefault="00CF0E2D" w:rsidP="00A60D4B">
            <w:pPr>
              <w:spacing w:after="0"/>
              <w:jc w:val="right"/>
              <w:rPr>
                <w:sz w:val="24"/>
                <w:szCs w:val="24"/>
              </w:rPr>
            </w:pPr>
            <w:r w:rsidRPr="0027393E">
              <w:rPr>
                <w:sz w:val="24"/>
                <w:szCs w:val="24"/>
              </w:rPr>
              <w:t>0</w:t>
            </w:r>
          </w:p>
        </w:tc>
        <w:tc>
          <w:tcPr>
            <w:tcW w:w="1041" w:type="dxa"/>
          </w:tcPr>
          <w:p w14:paraId="3CB9AE20" w14:textId="77777777" w:rsidR="00CF0E2D" w:rsidRPr="0027393E" w:rsidRDefault="00CF0E2D" w:rsidP="00A60D4B">
            <w:pPr>
              <w:spacing w:after="0"/>
              <w:jc w:val="right"/>
              <w:rPr>
                <w:sz w:val="24"/>
                <w:szCs w:val="24"/>
              </w:rPr>
            </w:pPr>
            <w:r w:rsidRPr="0027393E">
              <w:rPr>
                <w:sz w:val="24"/>
                <w:szCs w:val="24"/>
              </w:rPr>
              <w:t>33</w:t>
            </w:r>
          </w:p>
        </w:tc>
        <w:tc>
          <w:tcPr>
            <w:tcW w:w="1029" w:type="dxa"/>
          </w:tcPr>
          <w:p w14:paraId="3A59E774" w14:textId="77777777" w:rsidR="00CF0E2D" w:rsidRPr="0027393E" w:rsidRDefault="00CF0E2D" w:rsidP="00A60D4B">
            <w:pPr>
              <w:spacing w:after="0"/>
              <w:jc w:val="right"/>
              <w:rPr>
                <w:sz w:val="24"/>
                <w:szCs w:val="24"/>
              </w:rPr>
            </w:pPr>
            <w:r w:rsidRPr="0027393E">
              <w:rPr>
                <w:sz w:val="24"/>
                <w:szCs w:val="24"/>
              </w:rPr>
              <w:t>33</w:t>
            </w:r>
          </w:p>
        </w:tc>
        <w:tc>
          <w:tcPr>
            <w:tcW w:w="1029" w:type="dxa"/>
          </w:tcPr>
          <w:p w14:paraId="26112136" w14:textId="77777777" w:rsidR="00CF0E2D" w:rsidRPr="0027393E" w:rsidRDefault="00CF0E2D" w:rsidP="00A60D4B">
            <w:pPr>
              <w:spacing w:after="0"/>
              <w:jc w:val="right"/>
              <w:rPr>
                <w:sz w:val="24"/>
                <w:szCs w:val="24"/>
              </w:rPr>
            </w:pPr>
            <w:r w:rsidRPr="0027393E">
              <w:rPr>
                <w:sz w:val="24"/>
                <w:szCs w:val="24"/>
              </w:rPr>
              <w:t>33</w:t>
            </w:r>
          </w:p>
        </w:tc>
        <w:tc>
          <w:tcPr>
            <w:tcW w:w="1029" w:type="dxa"/>
          </w:tcPr>
          <w:p w14:paraId="7A33E6CF" w14:textId="77777777" w:rsidR="00CF0E2D" w:rsidRPr="0027393E" w:rsidRDefault="00CF0E2D" w:rsidP="00A60D4B">
            <w:pPr>
              <w:spacing w:after="0"/>
              <w:jc w:val="right"/>
              <w:rPr>
                <w:b/>
                <w:bCs/>
                <w:sz w:val="24"/>
                <w:szCs w:val="24"/>
              </w:rPr>
            </w:pPr>
            <w:r w:rsidRPr="0027393E">
              <w:rPr>
                <w:b/>
                <w:bCs/>
                <w:sz w:val="24"/>
                <w:szCs w:val="24"/>
              </w:rPr>
              <w:t>99</w:t>
            </w:r>
          </w:p>
        </w:tc>
      </w:tr>
      <w:tr w:rsidR="00CF0E2D" w:rsidRPr="008010E8" w14:paraId="15C862CF" w14:textId="77777777" w:rsidTr="00A60D4B">
        <w:trPr>
          <w:cantSplit/>
          <w:jc w:val="center"/>
        </w:trPr>
        <w:tc>
          <w:tcPr>
            <w:tcW w:w="3652" w:type="dxa"/>
          </w:tcPr>
          <w:p w14:paraId="61E3F6E3" w14:textId="77777777" w:rsidR="00CF0E2D" w:rsidRPr="0027393E" w:rsidRDefault="00CF0E2D" w:rsidP="00A60D4B">
            <w:pPr>
              <w:spacing w:after="0"/>
              <w:rPr>
                <w:sz w:val="24"/>
                <w:szCs w:val="24"/>
              </w:rPr>
            </w:pPr>
            <w:r w:rsidRPr="0027393E">
              <w:rPr>
                <w:sz w:val="24"/>
                <w:szCs w:val="24"/>
              </w:rPr>
              <w:t>Expenses</w:t>
            </w:r>
          </w:p>
        </w:tc>
        <w:tc>
          <w:tcPr>
            <w:tcW w:w="1179" w:type="dxa"/>
          </w:tcPr>
          <w:p w14:paraId="01835735" w14:textId="77777777" w:rsidR="00CF0E2D" w:rsidRPr="0027393E" w:rsidRDefault="00CF0E2D" w:rsidP="00A60D4B">
            <w:pPr>
              <w:spacing w:after="0"/>
              <w:jc w:val="right"/>
              <w:rPr>
                <w:sz w:val="24"/>
                <w:szCs w:val="24"/>
              </w:rPr>
            </w:pPr>
            <w:r>
              <w:rPr>
                <w:sz w:val="24"/>
                <w:szCs w:val="24"/>
              </w:rPr>
              <w:t>799</w:t>
            </w:r>
          </w:p>
        </w:tc>
        <w:tc>
          <w:tcPr>
            <w:tcW w:w="1041" w:type="dxa"/>
          </w:tcPr>
          <w:p w14:paraId="26B53F95" w14:textId="77777777" w:rsidR="00CF0E2D" w:rsidRPr="0027393E" w:rsidRDefault="00CF0E2D" w:rsidP="00A60D4B">
            <w:pPr>
              <w:spacing w:after="0"/>
              <w:jc w:val="right"/>
              <w:rPr>
                <w:sz w:val="24"/>
                <w:szCs w:val="24"/>
              </w:rPr>
            </w:pPr>
            <w:r w:rsidRPr="0027393E">
              <w:rPr>
                <w:sz w:val="24"/>
                <w:szCs w:val="24"/>
              </w:rPr>
              <w:t>0</w:t>
            </w:r>
          </w:p>
        </w:tc>
        <w:tc>
          <w:tcPr>
            <w:tcW w:w="1029" w:type="dxa"/>
          </w:tcPr>
          <w:p w14:paraId="1254FADE" w14:textId="77777777" w:rsidR="00CF0E2D" w:rsidRPr="0027393E" w:rsidRDefault="00CF0E2D" w:rsidP="00A60D4B">
            <w:pPr>
              <w:spacing w:after="0"/>
              <w:jc w:val="right"/>
              <w:rPr>
                <w:sz w:val="24"/>
                <w:szCs w:val="24"/>
              </w:rPr>
            </w:pPr>
            <w:r w:rsidRPr="0027393E">
              <w:rPr>
                <w:sz w:val="24"/>
                <w:szCs w:val="24"/>
              </w:rPr>
              <w:t>0</w:t>
            </w:r>
          </w:p>
        </w:tc>
        <w:tc>
          <w:tcPr>
            <w:tcW w:w="1029" w:type="dxa"/>
          </w:tcPr>
          <w:p w14:paraId="6128DD6B" w14:textId="77777777" w:rsidR="00CF0E2D" w:rsidRPr="0027393E" w:rsidRDefault="00CF0E2D" w:rsidP="00A60D4B">
            <w:pPr>
              <w:spacing w:after="0"/>
              <w:jc w:val="right"/>
              <w:rPr>
                <w:sz w:val="24"/>
                <w:szCs w:val="24"/>
              </w:rPr>
            </w:pPr>
            <w:r w:rsidRPr="0027393E">
              <w:rPr>
                <w:sz w:val="24"/>
                <w:szCs w:val="24"/>
              </w:rPr>
              <w:t>0</w:t>
            </w:r>
          </w:p>
        </w:tc>
        <w:tc>
          <w:tcPr>
            <w:tcW w:w="1029" w:type="dxa"/>
          </w:tcPr>
          <w:p w14:paraId="77C32DFE" w14:textId="77777777" w:rsidR="00CF0E2D" w:rsidRPr="0027393E" w:rsidRDefault="00CF0E2D" w:rsidP="00A60D4B">
            <w:pPr>
              <w:spacing w:after="0"/>
              <w:jc w:val="right"/>
              <w:rPr>
                <w:b/>
                <w:bCs/>
                <w:sz w:val="24"/>
                <w:szCs w:val="24"/>
              </w:rPr>
            </w:pPr>
            <w:r>
              <w:rPr>
                <w:b/>
                <w:bCs/>
                <w:sz w:val="24"/>
                <w:szCs w:val="24"/>
              </w:rPr>
              <w:t>799</w:t>
            </w:r>
          </w:p>
        </w:tc>
      </w:tr>
      <w:tr w:rsidR="00CF0E2D" w:rsidRPr="008010E8" w14:paraId="20A3DC92" w14:textId="77777777" w:rsidTr="00A60D4B">
        <w:trPr>
          <w:cantSplit/>
          <w:trHeight w:val="107"/>
          <w:jc w:val="center"/>
        </w:trPr>
        <w:tc>
          <w:tcPr>
            <w:tcW w:w="3652" w:type="dxa"/>
            <w:tcBorders>
              <w:top w:val="single" w:sz="4" w:space="0" w:color="auto"/>
              <w:bottom w:val="single" w:sz="4" w:space="0" w:color="auto"/>
            </w:tcBorders>
          </w:tcPr>
          <w:p w14:paraId="43836AA7" w14:textId="77777777" w:rsidR="00CF0E2D" w:rsidRPr="0027393E" w:rsidRDefault="00CF0E2D" w:rsidP="00A60D4B">
            <w:pPr>
              <w:spacing w:after="0"/>
              <w:rPr>
                <w:b/>
                <w:bCs/>
                <w:sz w:val="24"/>
                <w:szCs w:val="24"/>
              </w:rPr>
            </w:pPr>
            <w:r w:rsidRPr="0027393E">
              <w:rPr>
                <w:b/>
                <w:bCs/>
                <w:sz w:val="24"/>
                <w:szCs w:val="24"/>
              </w:rPr>
              <w:t>Net cost of services</w:t>
            </w:r>
          </w:p>
        </w:tc>
        <w:tc>
          <w:tcPr>
            <w:tcW w:w="1179" w:type="dxa"/>
            <w:tcBorders>
              <w:top w:val="single" w:sz="4" w:space="0" w:color="auto"/>
              <w:bottom w:val="single" w:sz="4" w:space="0" w:color="auto"/>
            </w:tcBorders>
          </w:tcPr>
          <w:p w14:paraId="239F5F23" w14:textId="77777777" w:rsidR="00CF0E2D" w:rsidRPr="0027393E" w:rsidRDefault="00CF0E2D" w:rsidP="00A60D4B">
            <w:pPr>
              <w:spacing w:after="0"/>
              <w:jc w:val="right"/>
              <w:rPr>
                <w:b/>
                <w:bCs/>
                <w:sz w:val="24"/>
                <w:szCs w:val="24"/>
              </w:rPr>
            </w:pPr>
            <w:r>
              <w:rPr>
                <w:b/>
                <w:bCs/>
                <w:sz w:val="24"/>
                <w:szCs w:val="24"/>
              </w:rPr>
              <w:t>799</w:t>
            </w:r>
          </w:p>
        </w:tc>
        <w:tc>
          <w:tcPr>
            <w:tcW w:w="1041" w:type="dxa"/>
            <w:tcBorders>
              <w:top w:val="single" w:sz="4" w:space="0" w:color="auto"/>
              <w:bottom w:val="single" w:sz="4" w:space="0" w:color="auto"/>
            </w:tcBorders>
          </w:tcPr>
          <w:p w14:paraId="34118CB8" w14:textId="77777777" w:rsidR="00CF0E2D" w:rsidRPr="0027393E" w:rsidRDefault="00CF0E2D" w:rsidP="00A60D4B">
            <w:pPr>
              <w:spacing w:after="0"/>
              <w:jc w:val="right"/>
              <w:rPr>
                <w:b/>
                <w:bCs/>
                <w:sz w:val="24"/>
                <w:szCs w:val="24"/>
              </w:rPr>
            </w:pPr>
            <w:r w:rsidRPr="0027393E">
              <w:rPr>
                <w:b/>
                <w:bCs/>
                <w:sz w:val="24"/>
                <w:szCs w:val="24"/>
              </w:rPr>
              <w:t>33</w:t>
            </w:r>
          </w:p>
        </w:tc>
        <w:tc>
          <w:tcPr>
            <w:tcW w:w="1029" w:type="dxa"/>
            <w:tcBorders>
              <w:top w:val="single" w:sz="4" w:space="0" w:color="auto"/>
              <w:bottom w:val="single" w:sz="4" w:space="0" w:color="auto"/>
            </w:tcBorders>
          </w:tcPr>
          <w:p w14:paraId="205041DE" w14:textId="77777777" w:rsidR="00CF0E2D" w:rsidRPr="0027393E" w:rsidRDefault="00CF0E2D" w:rsidP="00A60D4B">
            <w:pPr>
              <w:spacing w:after="0"/>
              <w:jc w:val="right"/>
              <w:rPr>
                <w:b/>
                <w:bCs/>
                <w:sz w:val="24"/>
                <w:szCs w:val="24"/>
              </w:rPr>
            </w:pPr>
            <w:r w:rsidRPr="0027393E">
              <w:rPr>
                <w:b/>
                <w:bCs/>
                <w:sz w:val="24"/>
                <w:szCs w:val="24"/>
              </w:rPr>
              <w:t>33</w:t>
            </w:r>
          </w:p>
        </w:tc>
        <w:tc>
          <w:tcPr>
            <w:tcW w:w="1029" w:type="dxa"/>
            <w:tcBorders>
              <w:top w:val="single" w:sz="4" w:space="0" w:color="auto"/>
              <w:bottom w:val="single" w:sz="4" w:space="0" w:color="auto"/>
            </w:tcBorders>
          </w:tcPr>
          <w:p w14:paraId="41FB9F04" w14:textId="77777777" w:rsidR="00CF0E2D" w:rsidRPr="0027393E" w:rsidRDefault="00CF0E2D" w:rsidP="00A60D4B">
            <w:pPr>
              <w:spacing w:after="0"/>
              <w:jc w:val="right"/>
              <w:rPr>
                <w:b/>
                <w:bCs/>
                <w:sz w:val="24"/>
                <w:szCs w:val="24"/>
              </w:rPr>
            </w:pPr>
            <w:r w:rsidRPr="0027393E">
              <w:rPr>
                <w:b/>
                <w:bCs/>
                <w:sz w:val="24"/>
                <w:szCs w:val="24"/>
              </w:rPr>
              <w:t>33</w:t>
            </w:r>
          </w:p>
        </w:tc>
        <w:tc>
          <w:tcPr>
            <w:tcW w:w="1029" w:type="dxa"/>
            <w:tcBorders>
              <w:top w:val="single" w:sz="4" w:space="0" w:color="auto"/>
              <w:bottom w:val="single" w:sz="4" w:space="0" w:color="auto"/>
            </w:tcBorders>
          </w:tcPr>
          <w:p w14:paraId="6D102D39" w14:textId="77777777" w:rsidR="00CF0E2D" w:rsidRPr="0027393E" w:rsidRDefault="00CF0E2D" w:rsidP="00A60D4B">
            <w:pPr>
              <w:spacing w:after="0"/>
              <w:jc w:val="right"/>
              <w:rPr>
                <w:b/>
                <w:bCs/>
                <w:sz w:val="24"/>
                <w:szCs w:val="24"/>
              </w:rPr>
            </w:pPr>
            <w:r>
              <w:rPr>
                <w:b/>
                <w:bCs/>
                <w:sz w:val="24"/>
                <w:szCs w:val="24"/>
              </w:rPr>
              <w:t>898</w:t>
            </w:r>
          </w:p>
        </w:tc>
      </w:tr>
    </w:tbl>
    <w:p w14:paraId="49518011" w14:textId="77777777" w:rsidR="00CF0E2D" w:rsidRPr="008010E8" w:rsidRDefault="00CF0E2D" w:rsidP="00A60D4B">
      <w:pPr>
        <w:pStyle w:val="Bbodytext"/>
      </w:pPr>
      <w:r w:rsidRPr="008010E8">
        <w:t xml:space="preserve">The Government will remediate the Former Transport Depot in Kingston (Old Bus Depot) and reimburse stallholders and market operators for equipment and stock contaminated by lead dust. </w:t>
      </w:r>
    </w:p>
    <w:p w14:paraId="56AADA66" w14:textId="77777777" w:rsidR="00CF0E2D" w:rsidRPr="008010E8" w:rsidRDefault="00CF0E2D" w:rsidP="00A60D4B">
      <w:pPr>
        <w:pStyle w:val="Bbodytext"/>
      </w:pPr>
      <w:r w:rsidRPr="008010E8">
        <w:t xml:space="preserve">This initiative builds on the upgrades to the Old Bus Depot through the 2019-20 Budget initiative </w:t>
      </w:r>
      <w:r w:rsidRPr="008010E8">
        <w:rPr>
          <w:i/>
          <w:iCs/>
        </w:rPr>
        <w:t>More services for our suburbs – Upgrading the Old Kingston Bus Depot</w:t>
      </w:r>
      <w:r w:rsidRPr="008010E8">
        <w:t xml:space="preserve">. </w:t>
      </w:r>
    </w:p>
    <w:p w14:paraId="73896D2B" w14:textId="77777777" w:rsidR="00CF0E2D" w:rsidRDefault="00CF0E2D" w:rsidP="00A60D4B">
      <w:pPr>
        <w:pStyle w:val="Bbodytext"/>
      </w:pPr>
      <w:r w:rsidRPr="008010E8">
        <w:t xml:space="preserve">This initiative contributes to the wellbeing domains of Safety, Economy and Social connection. </w:t>
      </w:r>
    </w:p>
    <w:p w14:paraId="7A2DFCF5" w14:textId="77777777" w:rsidR="00CF0E2D" w:rsidRPr="008010E8" w:rsidRDefault="00CF0E2D" w:rsidP="00A60D4B">
      <w:pPr>
        <w:pStyle w:val="Bbodytext"/>
      </w:pPr>
    </w:p>
    <w:p w14:paraId="514E4A66" w14:textId="77777777" w:rsidR="00CF0E2D" w:rsidRPr="00AE6670" w:rsidRDefault="00CF0E2D" w:rsidP="00A60D4B">
      <w:pPr>
        <w:pStyle w:val="Heading4"/>
      </w:pPr>
      <w:r w:rsidRPr="00AD6591">
        <w:t xml:space="preserve">Strengthening building quality regulation </w:t>
      </w:r>
      <w:r w:rsidRPr="00DC2412">
        <w:rPr>
          <w:b w:val="0"/>
          <w:noProof/>
          <w:color w:val="999789"/>
          <w:sz w:val="32"/>
          <w:szCs w:val="24"/>
        </w:rPr>
        <w:t xml:space="preserve"> </w:t>
      </w:r>
      <w:r>
        <w:rPr>
          <w:b w:val="0"/>
          <w:noProof/>
          <w:color w:val="999789"/>
          <w:sz w:val="32"/>
          <w:szCs w:val="24"/>
        </w:rPr>
        <w:drawing>
          <wp:anchor distT="0" distB="0" distL="114300" distR="114300" simplePos="0" relativeHeight="251828224" behindDoc="0" locked="1" layoutInCell="1" allowOverlap="1" wp14:anchorId="12369225" wp14:editId="52915820">
            <wp:simplePos x="0" y="0"/>
            <wp:positionH relativeFrom="margin">
              <wp:align>right</wp:align>
            </wp:positionH>
            <wp:positionV relativeFrom="paragraph">
              <wp:posOffset>-129540</wp:posOffset>
            </wp:positionV>
            <wp:extent cx="989965" cy="503555"/>
            <wp:effectExtent l="0" t="0" r="635" b="0"/>
            <wp:wrapSquare wrapText="bothSides"/>
            <wp:docPr id="275" name="Picture 275"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F92C91" w14:paraId="77BA38F4" w14:textId="77777777" w:rsidTr="00A60D4B">
        <w:trPr>
          <w:cantSplit/>
          <w:trHeight w:val="70"/>
          <w:jc w:val="center"/>
        </w:trPr>
        <w:tc>
          <w:tcPr>
            <w:tcW w:w="3652" w:type="dxa"/>
            <w:tcBorders>
              <w:top w:val="single" w:sz="4" w:space="0" w:color="auto"/>
              <w:bottom w:val="single" w:sz="4" w:space="0" w:color="auto"/>
            </w:tcBorders>
          </w:tcPr>
          <w:p w14:paraId="43890D96" w14:textId="77777777" w:rsidR="00CF0E2D" w:rsidRPr="00F92C91" w:rsidRDefault="00CF0E2D" w:rsidP="00A60D4B">
            <w:pPr>
              <w:pStyle w:val="EmptyCell0"/>
            </w:pPr>
            <w:r w:rsidRPr="00F92C91">
              <w:t>Empty Cell</w:t>
            </w:r>
          </w:p>
        </w:tc>
        <w:tc>
          <w:tcPr>
            <w:tcW w:w="1179" w:type="dxa"/>
            <w:tcBorders>
              <w:top w:val="single" w:sz="4" w:space="0" w:color="auto"/>
              <w:bottom w:val="single" w:sz="4" w:space="0" w:color="auto"/>
            </w:tcBorders>
          </w:tcPr>
          <w:p w14:paraId="7BDB07DC" w14:textId="77777777" w:rsidR="00CF0E2D" w:rsidRPr="00F92C91" w:rsidRDefault="00CF0E2D" w:rsidP="00A60D4B">
            <w:pPr>
              <w:pStyle w:val="InitFigR"/>
              <w:rPr>
                <w:b/>
                <w:bCs/>
              </w:rPr>
            </w:pPr>
            <w:r w:rsidRPr="00F92C91">
              <w:rPr>
                <w:b/>
                <w:bCs/>
              </w:rPr>
              <w:t>2021-22</w:t>
            </w:r>
          </w:p>
          <w:p w14:paraId="1CC970FE" w14:textId="77777777" w:rsidR="00CF0E2D" w:rsidRPr="00F92C91" w:rsidRDefault="00CF0E2D" w:rsidP="00A60D4B">
            <w:pPr>
              <w:pStyle w:val="InitFigR"/>
              <w:rPr>
                <w:b/>
                <w:bCs/>
              </w:rPr>
            </w:pPr>
            <w:r w:rsidRPr="00F92C91">
              <w:rPr>
                <w:b/>
                <w:bCs/>
              </w:rPr>
              <w:t>$’000</w:t>
            </w:r>
          </w:p>
        </w:tc>
        <w:tc>
          <w:tcPr>
            <w:tcW w:w="1041" w:type="dxa"/>
            <w:tcBorders>
              <w:top w:val="single" w:sz="4" w:space="0" w:color="auto"/>
              <w:bottom w:val="single" w:sz="4" w:space="0" w:color="auto"/>
            </w:tcBorders>
          </w:tcPr>
          <w:p w14:paraId="770093AA" w14:textId="77777777" w:rsidR="00CF0E2D" w:rsidRPr="00F92C91" w:rsidRDefault="00CF0E2D" w:rsidP="00A60D4B">
            <w:pPr>
              <w:pStyle w:val="InitFigR"/>
              <w:rPr>
                <w:b/>
                <w:bCs/>
              </w:rPr>
            </w:pPr>
            <w:r w:rsidRPr="00F92C91">
              <w:rPr>
                <w:b/>
                <w:bCs/>
              </w:rPr>
              <w:t>2022-23</w:t>
            </w:r>
          </w:p>
          <w:p w14:paraId="6C2DE754" w14:textId="77777777" w:rsidR="00CF0E2D" w:rsidRPr="00F92C91" w:rsidRDefault="00CF0E2D" w:rsidP="00A60D4B">
            <w:pPr>
              <w:pStyle w:val="InitFigR"/>
              <w:rPr>
                <w:b/>
                <w:bCs/>
              </w:rPr>
            </w:pPr>
            <w:r w:rsidRPr="00F92C91">
              <w:rPr>
                <w:b/>
                <w:bCs/>
              </w:rPr>
              <w:t>$’000</w:t>
            </w:r>
          </w:p>
        </w:tc>
        <w:tc>
          <w:tcPr>
            <w:tcW w:w="1029" w:type="dxa"/>
            <w:tcBorders>
              <w:top w:val="single" w:sz="4" w:space="0" w:color="auto"/>
              <w:bottom w:val="single" w:sz="4" w:space="0" w:color="auto"/>
            </w:tcBorders>
          </w:tcPr>
          <w:p w14:paraId="3810640C" w14:textId="77777777" w:rsidR="00CF0E2D" w:rsidRPr="00F92C91" w:rsidRDefault="00CF0E2D" w:rsidP="00A60D4B">
            <w:pPr>
              <w:pStyle w:val="InitFigR"/>
              <w:rPr>
                <w:b/>
                <w:bCs/>
              </w:rPr>
            </w:pPr>
            <w:r w:rsidRPr="00F92C91">
              <w:rPr>
                <w:b/>
                <w:bCs/>
              </w:rPr>
              <w:t>2023-24</w:t>
            </w:r>
          </w:p>
          <w:p w14:paraId="67DAF4CD" w14:textId="77777777" w:rsidR="00CF0E2D" w:rsidRPr="00F92C91" w:rsidRDefault="00CF0E2D" w:rsidP="00A60D4B">
            <w:pPr>
              <w:pStyle w:val="InitFigR"/>
              <w:rPr>
                <w:b/>
                <w:bCs/>
              </w:rPr>
            </w:pPr>
            <w:r w:rsidRPr="00F92C91">
              <w:rPr>
                <w:b/>
                <w:bCs/>
              </w:rPr>
              <w:t>$’000</w:t>
            </w:r>
          </w:p>
        </w:tc>
        <w:tc>
          <w:tcPr>
            <w:tcW w:w="1029" w:type="dxa"/>
            <w:tcBorders>
              <w:top w:val="single" w:sz="4" w:space="0" w:color="auto"/>
              <w:bottom w:val="single" w:sz="4" w:space="0" w:color="auto"/>
            </w:tcBorders>
          </w:tcPr>
          <w:p w14:paraId="55EE5182" w14:textId="77777777" w:rsidR="00CF0E2D" w:rsidRPr="00F92C91" w:rsidRDefault="00CF0E2D" w:rsidP="00A60D4B">
            <w:pPr>
              <w:pStyle w:val="InitFigR"/>
              <w:rPr>
                <w:b/>
                <w:bCs/>
              </w:rPr>
            </w:pPr>
            <w:r w:rsidRPr="00F92C91">
              <w:rPr>
                <w:b/>
                <w:bCs/>
              </w:rPr>
              <w:t>2024-25</w:t>
            </w:r>
          </w:p>
          <w:p w14:paraId="32B9DDCA" w14:textId="77777777" w:rsidR="00CF0E2D" w:rsidRPr="00F92C91" w:rsidRDefault="00CF0E2D" w:rsidP="00A60D4B">
            <w:pPr>
              <w:pStyle w:val="InitFigR"/>
              <w:rPr>
                <w:b/>
                <w:bCs/>
              </w:rPr>
            </w:pPr>
            <w:r w:rsidRPr="00F92C91">
              <w:rPr>
                <w:b/>
                <w:bCs/>
              </w:rPr>
              <w:t>$’000</w:t>
            </w:r>
          </w:p>
        </w:tc>
        <w:tc>
          <w:tcPr>
            <w:tcW w:w="1029" w:type="dxa"/>
            <w:tcBorders>
              <w:top w:val="single" w:sz="4" w:space="0" w:color="auto"/>
              <w:bottom w:val="single" w:sz="4" w:space="0" w:color="auto"/>
            </w:tcBorders>
          </w:tcPr>
          <w:p w14:paraId="1F7E6800" w14:textId="77777777" w:rsidR="00CF0E2D" w:rsidRPr="00F92C91" w:rsidRDefault="00CF0E2D" w:rsidP="00A60D4B">
            <w:pPr>
              <w:pStyle w:val="InitFigRBold"/>
            </w:pPr>
            <w:r w:rsidRPr="00F92C91">
              <w:t>Total</w:t>
            </w:r>
          </w:p>
          <w:p w14:paraId="4F6884C4" w14:textId="77777777" w:rsidR="00CF0E2D" w:rsidRPr="00F92C91" w:rsidRDefault="00CF0E2D" w:rsidP="00A60D4B">
            <w:pPr>
              <w:pStyle w:val="InitFigBR"/>
            </w:pPr>
            <w:r w:rsidRPr="00F92C91">
              <w:t>$’000</w:t>
            </w:r>
          </w:p>
        </w:tc>
      </w:tr>
      <w:tr w:rsidR="00CF0E2D" w:rsidRPr="00F92C91" w14:paraId="4FBF04FE" w14:textId="77777777" w:rsidTr="00A60D4B">
        <w:trPr>
          <w:cantSplit/>
          <w:jc w:val="center"/>
        </w:trPr>
        <w:tc>
          <w:tcPr>
            <w:tcW w:w="3652" w:type="dxa"/>
          </w:tcPr>
          <w:p w14:paraId="3E27DC1B" w14:textId="77777777" w:rsidR="00CF0E2D" w:rsidRPr="00F92C91" w:rsidRDefault="00CF0E2D" w:rsidP="00A60D4B">
            <w:pPr>
              <w:pStyle w:val="InitTextL"/>
              <w:ind w:left="321" w:hanging="321"/>
            </w:pPr>
            <w:r w:rsidRPr="00F92C91">
              <w:t>Expenses</w:t>
            </w:r>
          </w:p>
        </w:tc>
        <w:tc>
          <w:tcPr>
            <w:tcW w:w="1179" w:type="dxa"/>
          </w:tcPr>
          <w:p w14:paraId="1A33CE34" w14:textId="77777777" w:rsidR="00CF0E2D" w:rsidRPr="00F92C91" w:rsidRDefault="00CF0E2D" w:rsidP="00A60D4B">
            <w:pPr>
              <w:pStyle w:val="InitFigR"/>
            </w:pPr>
            <w:r w:rsidRPr="00F92C91">
              <w:t>1,090</w:t>
            </w:r>
          </w:p>
        </w:tc>
        <w:tc>
          <w:tcPr>
            <w:tcW w:w="1041" w:type="dxa"/>
          </w:tcPr>
          <w:p w14:paraId="507A64ED" w14:textId="77777777" w:rsidR="00CF0E2D" w:rsidRPr="00F92C91" w:rsidRDefault="00CF0E2D" w:rsidP="00A60D4B">
            <w:pPr>
              <w:pStyle w:val="InitFigR"/>
            </w:pPr>
            <w:r w:rsidRPr="00F92C91">
              <w:t>1,426</w:t>
            </w:r>
          </w:p>
        </w:tc>
        <w:tc>
          <w:tcPr>
            <w:tcW w:w="1029" w:type="dxa"/>
          </w:tcPr>
          <w:p w14:paraId="027EAF3E" w14:textId="77777777" w:rsidR="00CF0E2D" w:rsidRPr="00F92C91" w:rsidRDefault="00CF0E2D" w:rsidP="00A60D4B">
            <w:pPr>
              <w:pStyle w:val="InitFigR"/>
            </w:pPr>
            <w:r w:rsidRPr="00F92C91">
              <w:t>1,442</w:t>
            </w:r>
          </w:p>
        </w:tc>
        <w:tc>
          <w:tcPr>
            <w:tcW w:w="1029" w:type="dxa"/>
          </w:tcPr>
          <w:p w14:paraId="51159A84" w14:textId="77777777" w:rsidR="00CF0E2D" w:rsidRPr="00F92C91" w:rsidRDefault="00CF0E2D" w:rsidP="00A60D4B">
            <w:pPr>
              <w:pStyle w:val="InitFigR"/>
            </w:pPr>
            <w:r w:rsidRPr="00F92C91">
              <w:t>1,459</w:t>
            </w:r>
          </w:p>
        </w:tc>
        <w:tc>
          <w:tcPr>
            <w:tcW w:w="1029" w:type="dxa"/>
          </w:tcPr>
          <w:p w14:paraId="44D58E40" w14:textId="77777777" w:rsidR="00CF0E2D" w:rsidRPr="00F92C91" w:rsidRDefault="00CF0E2D" w:rsidP="00A60D4B">
            <w:pPr>
              <w:pStyle w:val="InitFigBR"/>
            </w:pPr>
            <w:r w:rsidRPr="00F92C91">
              <w:t>5,417</w:t>
            </w:r>
          </w:p>
        </w:tc>
      </w:tr>
      <w:tr w:rsidR="00CF0E2D" w:rsidRPr="00F92C91" w14:paraId="6338A8AF" w14:textId="77777777" w:rsidTr="00A60D4B">
        <w:trPr>
          <w:cantSplit/>
          <w:trHeight w:val="107"/>
          <w:jc w:val="center"/>
        </w:trPr>
        <w:tc>
          <w:tcPr>
            <w:tcW w:w="3652" w:type="dxa"/>
          </w:tcPr>
          <w:p w14:paraId="6E2F52A5" w14:textId="77777777" w:rsidR="00CF0E2D" w:rsidRPr="00F92C91" w:rsidRDefault="00CF0E2D" w:rsidP="00A60D4B">
            <w:pPr>
              <w:pStyle w:val="InitTextL"/>
              <w:ind w:left="321" w:hanging="321"/>
            </w:pPr>
            <w:r>
              <w:t xml:space="preserve">Offset – </w:t>
            </w:r>
            <w:r w:rsidRPr="00F92C91">
              <w:t>Revenue</w:t>
            </w:r>
          </w:p>
        </w:tc>
        <w:tc>
          <w:tcPr>
            <w:tcW w:w="1179" w:type="dxa"/>
          </w:tcPr>
          <w:p w14:paraId="288283FF" w14:textId="77777777" w:rsidR="00CF0E2D" w:rsidRPr="00F92C91" w:rsidRDefault="00CF0E2D" w:rsidP="00A60D4B">
            <w:pPr>
              <w:pStyle w:val="InitFigR"/>
            </w:pPr>
            <w:r w:rsidRPr="00F92C91">
              <w:t>0</w:t>
            </w:r>
          </w:p>
        </w:tc>
        <w:tc>
          <w:tcPr>
            <w:tcW w:w="1041" w:type="dxa"/>
          </w:tcPr>
          <w:p w14:paraId="320E9173" w14:textId="77777777" w:rsidR="00CF0E2D" w:rsidRPr="00F92C91" w:rsidRDefault="00CF0E2D" w:rsidP="00A60D4B">
            <w:pPr>
              <w:pStyle w:val="InitFigR"/>
            </w:pPr>
            <w:r>
              <w:t>-</w:t>
            </w:r>
            <w:r w:rsidRPr="00F92C91">
              <w:t>1,426</w:t>
            </w:r>
          </w:p>
        </w:tc>
        <w:tc>
          <w:tcPr>
            <w:tcW w:w="1029" w:type="dxa"/>
          </w:tcPr>
          <w:p w14:paraId="73EEAB03" w14:textId="77777777" w:rsidR="00CF0E2D" w:rsidRPr="00F92C91" w:rsidRDefault="00CF0E2D" w:rsidP="00A60D4B">
            <w:pPr>
              <w:pStyle w:val="InitFigR"/>
            </w:pPr>
            <w:r>
              <w:t>-</w:t>
            </w:r>
            <w:r w:rsidRPr="00F92C91">
              <w:t>1,442</w:t>
            </w:r>
          </w:p>
        </w:tc>
        <w:tc>
          <w:tcPr>
            <w:tcW w:w="1029" w:type="dxa"/>
          </w:tcPr>
          <w:p w14:paraId="262381CF" w14:textId="77777777" w:rsidR="00CF0E2D" w:rsidRPr="00F92C91" w:rsidRDefault="00CF0E2D" w:rsidP="00A60D4B">
            <w:pPr>
              <w:pStyle w:val="InitFigR"/>
            </w:pPr>
            <w:r>
              <w:t>-</w:t>
            </w:r>
            <w:r w:rsidRPr="00F92C91">
              <w:t>1,459</w:t>
            </w:r>
          </w:p>
        </w:tc>
        <w:tc>
          <w:tcPr>
            <w:tcW w:w="1029" w:type="dxa"/>
          </w:tcPr>
          <w:p w14:paraId="3B37B572" w14:textId="77777777" w:rsidR="00CF0E2D" w:rsidRPr="00F92C91" w:rsidRDefault="00CF0E2D" w:rsidP="00A60D4B">
            <w:pPr>
              <w:pStyle w:val="InitFigBR"/>
            </w:pPr>
            <w:r>
              <w:t>-4,327</w:t>
            </w:r>
          </w:p>
        </w:tc>
      </w:tr>
      <w:tr w:rsidR="00CF0E2D" w:rsidRPr="00F92C91" w14:paraId="684B7881" w14:textId="77777777" w:rsidTr="00A60D4B">
        <w:trPr>
          <w:cantSplit/>
          <w:trHeight w:val="107"/>
          <w:jc w:val="center"/>
        </w:trPr>
        <w:tc>
          <w:tcPr>
            <w:tcW w:w="3652" w:type="dxa"/>
            <w:tcBorders>
              <w:top w:val="single" w:sz="4" w:space="0" w:color="auto"/>
              <w:bottom w:val="single" w:sz="4" w:space="0" w:color="auto"/>
            </w:tcBorders>
          </w:tcPr>
          <w:p w14:paraId="0FAC2C5A" w14:textId="77777777" w:rsidR="00CF0E2D" w:rsidRPr="00F92C91" w:rsidRDefault="00CF0E2D" w:rsidP="00A60D4B">
            <w:pPr>
              <w:pStyle w:val="InitFigLBold"/>
              <w:ind w:left="321" w:hanging="321"/>
            </w:pPr>
            <w:r w:rsidRPr="00F92C91">
              <w:t>Net cost of services</w:t>
            </w:r>
          </w:p>
        </w:tc>
        <w:tc>
          <w:tcPr>
            <w:tcW w:w="1179" w:type="dxa"/>
            <w:tcBorders>
              <w:top w:val="single" w:sz="4" w:space="0" w:color="auto"/>
              <w:bottom w:val="single" w:sz="4" w:space="0" w:color="auto"/>
            </w:tcBorders>
          </w:tcPr>
          <w:p w14:paraId="5B2E25F3" w14:textId="77777777" w:rsidR="00CF0E2D" w:rsidRPr="00F92C91" w:rsidRDefault="00CF0E2D" w:rsidP="00A60D4B">
            <w:pPr>
              <w:pStyle w:val="InitFigRBold"/>
            </w:pPr>
            <w:r>
              <w:t>1,090</w:t>
            </w:r>
          </w:p>
        </w:tc>
        <w:tc>
          <w:tcPr>
            <w:tcW w:w="1041" w:type="dxa"/>
            <w:tcBorders>
              <w:top w:val="single" w:sz="4" w:space="0" w:color="auto"/>
              <w:bottom w:val="single" w:sz="4" w:space="0" w:color="auto"/>
            </w:tcBorders>
          </w:tcPr>
          <w:p w14:paraId="1472D065" w14:textId="77777777" w:rsidR="00CF0E2D" w:rsidRPr="00F92C91" w:rsidRDefault="00CF0E2D" w:rsidP="00A60D4B">
            <w:pPr>
              <w:pStyle w:val="InitFigRBold"/>
            </w:pPr>
            <w:r w:rsidRPr="00F92C91">
              <w:t>0</w:t>
            </w:r>
          </w:p>
        </w:tc>
        <w:tc>
          <w:tcPr>
            <w:tcW w:w="1029" w:type="dxa"/>
            <w:tcBorders>
              <w:top w:val="single" w:sz="4" w:space="0" w:color="auto"/>
              <w:bottom w:val="single" w:sz="4" w:space="0" w:color="auto"/>
            </w:tcBorders>
          </w:tcPr>
          <w:p w14:paraId="13B16280" w14:textId="77777777" w:rsidR="00CF0E2D" w:rsidRPr="00F92C91" w:rsidRDefault="00CF0E2D" w:rsidP="00A60D4B">
            <w:pPr>
              <w:pStyle w:val="InitFigRBold"/>
            </w:pPr>
            <w:r w:rsidRPr="00F92C91">
              <w:t>0</w:t>
            </w:r>
          </w:p>
        </w:tc>
        <w:tc>
          <w:tcPr>
            <w:tcW w:w="1029" w:type="dxa"/>
            <w:tcBorders>
              <w:top w:val="single" w:sz="4" w:space="0" w:color="auto"/>
              <w:bottom w:val="single" w:sz="4" w:space="0" w:color="auto"/>
            </w:tcBorders>
          </w:tcPr>
          <w:p w14:paraId="171C77A2" w14:textId="77777777" w:rsidR="00CF0E2D" w:rsidRPr="00F92C91" w:rsidRDefault="00CF0E2D" w:rsidP="00A60D4B">
            <w:pPr>
              <w:pStyle w:val="InitFigRBold"/>
            </w:pPr>
            <w:r w:rsidRPr="00F92C91">
              <w:t>0</w:t>
            </w:r>
          </w:p>
        </w:tc>
        <w:tc>
          <w:tcPr>
            <w:tcW w:w="1029" w:type="dxa"/>
            <w:tcBorders>
              <w:top w:val="single" w:sz="4" w:space="0" w:color="auto"/>
              <w:bottom w:val="single" w:sz="4" w:space="0" w:color="auto"/>
            </w:tcBorders>
          </w:tcPr>
          <w:p w14:paraId="3A263EFE" w14:textId="77777777" w:rsidR="00CF0E2D" w:rsidRPr="00F92C91" w:rsidRDefault="00CF0E2D" w:rsidP="00A60D4B">
            <w:pPr>
              <w:pStyle w:val="InitFigRBold"/>
            </w:pPr>
            <w:r>
              <w:t>1,090</w:t>
            </w:r>
          </w:p>
        </w:tc>
      </w:tr>
    </w:tbl>
    <w:p w14:paraId="325ACBB9" w14:textId="77777777" w:rsidR="00CF0E2D" w:rsidRPr="00F92C91" w:rsidRDefault="00CF0E2D" w:rsidP="00A60D4B">
      <w:pPr>
        <w:pStyle w:val="Bbodytext"/>
      </w:pPr>
      <w:r w:rsidRPr="00F92C91">
        <w:t>The Government will strengthen Access Canberra’s capacity to regulate building quality and respond to increasing activity in the construction sector.</w:t>
      </w:r>
      <w:r>
        <w:t xml:space="preserve"> Additional compliance officers will be recruited in this financial year.</w:t>
      </w:r>
      <w:r w:rsidRPr="00F92C91">
        <w:t xml:space="preserve"> This initiative will be funded through a </w:t>
      </w:r>
      <w:r>
        <w:t>seven</w:t>
      </w:r>
      <w:r w:rsidRPr="00F92C91">
        <w:t> per cent increase in the Building Levy</w:t>
      </w:r>
      <w:r>
        <w:t xml:space="preserve"> commencing from 1 July 2022</w:t>
      </w:r>
      <w:r w:rsidRPr="00F92C91">
        <w:t xml:space="preserve">.  </w:t>
      </w:r>
    </w:p>
    <w:p w14:paraId="60465065" w14:textId="77777777" w:rsidR="00CF0E2D" w:rsidRDefault="00CF0E2D" w:rsidP="00A60D4B">
      <w:pPr>
        <w:pStyle w:val="Bbodytext"/>
      </w:pPr>
      <w:r w:rsidRPr="00F92C91">
        <w:t>This initiative contributes to the wellbeing domains of Safety and Living standards.</w:t>
      </w:r>
      <w:r>
        <w:t xml:space="preserve">  </w:t>
      </w:r>
    </w:p>
    <w:p w14:paraId="04872AE1" w14:textId="77777777" w:rsidR="00CF0E2D" w:rsidRPr="0027393E" w:rsidRDefault="00CF0E2D" w:rsidP="00A60D4B"/>
    <w:p w14:paraId="5084BAB3" w14:textId="77777777" w:rsidR="00CF0E2D" w:rsidRPr="00D16381" w:rsidRDefault="00CF0E2D" w:rsidP="00A60D4B">
      <w:pPr>
        <w:pStyle w:val="Heading4"/>
        <w:rPr>
          <w:rFonts w:eastAsia="Times New Roman"/>
        </w:rPr>
      </w:pPr>
      <w:r w:rsidRPr="00D16381">
        <w:rPr>
          <w:rFonts w:eastAsia="Times New Roman"/>
        </w:rPr>
        <w:lastRenderedPageBreak/>
        <w:t xml:space="preserve">Strengthening </w:t>
      </w:r>
      <w:r>
        <w:rPr>
          <w:rFonts w:eastAsia="Times New Roman"/>
        </w:rPr>
        <w:t>f</w:t>
      </w:r>
      <w:r w:rsidRPr="00D16381">
        <w:rPr>
          <w:rFonts w:eastAsia="Times New Roman"/>
        </w:rPr>
        <w:t xml:space="preserve">inancial and </w:t>
      </w:r>
      <w:r>
        <w:rPr>
          <w:rFonts w:eastAsia="Times New Roman"/>
        </w:rPr>
        <w:t>e</w:t>
      </w:r>
      <w:r w:rsidRPr="00D16381">
        <w:rPr>
          <w:rFonts w:eastAsia="Times New Roman"/>
        </w:rPr>
        <w:t xml:space="preserve">conomic </w:t>
      </w:r>
      <w:r>
        <w:rPr>
          <w:rFonts w:eastAsia="Times New Roman"/>
        </w:rPr>
        <w:t>m</w:t>
      </w:r>
      <w:r w:rsidRPr="00D16381">
        <w:rPr>
          <w:rFonts w:eastAsia="Times New Roman"/>
        </w:rPr>
        <w:t xml:space="preserve">anagement and </w:t>
      </w:r>
      <w:r>
        <w:rPr>
          <w:rFonts w:eastAsia="Times New Roman"/>
        </w:rPr>
        <w:t>a</w:t>
      </w:r>
      <w:r w:rsidRPr="00D16381">
        <w:rPr>
          <w:rFonts w:eastAsia="Times New Roman"/>
        </w:rPr>
        <w:t xml:space="preserve">dvisory </w:t>
      </w:r>
      <w:r>
        <w:rPr>
          <w:rFonts w:eastAsia="Times New Roman"/>
        </w:rPr>
        <w:t>s</w:t>
      </w:r>
      <w:r w:rsidRPr="00D16381">
        <w:rPr>
          <w:rFonts w:eastAsia="Times New Roman"/>
        </w:rPr>
        <w:t xml:space="preserve">ervices </w:t>
      </w:r>
      <w:r>
        <w:rPr>
          <w:b w:val="0"/>
          <w:noProof/>
          <w:color w:val="999789"/>
          <w:sz w:val="32"/>
          <w:szCs w:val="24"/>
        </w:rPr>
        <w:drawing>
          <wp:anchor distT="0" distB="0" distL="114300" distR="114300" simplePos="0" relativeHeight="251830272" behindDoc="0" locked="1" layoutInCell="1" allowOverlap="1" wp14:anchorId="2CEEB6CB" wp14:editId="5CE74430">
            <wp:simplePos x="0" y="0"/>
            <wp:positionH relativeFrom="margin">
              <wp:posOffset>4627880</wp:posOffset>
            </wp:positionH>
            <wp:positionV relativeFrom="paragraph">
              <wp:posOffset>6985</wp:posOffset>
            </wp:positionV>
            <wp:extent cx="1148080" cy="503555"/>
            <wp:effectExtent l="0" t="0" r="0" b="0"/>
            <wp:wrapSquare wrapText="bothSides"/>
            <wp:docPr id="276" name="Picture 276"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08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5F182D" w14:paraId="2810FBB6" w14:textId="77777777" w:rsidTr="00A60D4B">
        <w:trPr>
          <w:cantSplit/>
          <w:jc w:val="center"/>
        </w:trPr>
        <w:tc>
          <w:tcPr>
            <w:tcW w:w="3652" w:type="dxa"/>
            <w:tcBorders>
              <w:top w:val="single" w:sz="4" w:space="0" w:color="auto"/>
              <w:bottom w:val="single" w:sz="4" w:space="0" w:color="auto"/>
            </w:tcBorders>
          </w:tcPr>
          <w:p w14:paraId="0EFB5161" w14:textId="77777777" w:rsidR="00CF0E2D" w:rsidRPr="005F182D" w:rsidRDefault="00CF0E2D" w:rsidP="00A60D4B">
            <w:pPr>
              <w:pStyle w:val="EmptyCell0"/>
            </w:pPr>
            <w:r w:rsidRPr="005F182D">
              <w:t>Empty Cell</w:t>
            </w:r>
          </w:p>
        </w:tc>
        <w:tc>
          <w:tcPr>
            <w:tcW w:w="1179" w:type="dxa"/>
            <w:tcBorders>
              <w:top w:val="single" w:sz="4" w:space="0" w:color="auto"/>
              <w:bottom w:val="single" w:sz="4" w:space="0" w:color="auto"/>
            </w:tcBorders>
          </w:tcPr>
          <w:p w14:paraId="5A6D9C60" w14:textId="77777777" w:rsidR="00CF0E2D" w:rsidRPr="00593F03" w:rsidRDefault="00CF0E2D" w:rsidP="00A60D4B">
            <w:pPr>
              <w:pStyle w:val="InitFigR"/>
              <w:rPr>
                <w:b/>
                <w:bCs/>
              </w:rPr>
            </w:pPr>
            <w:r w:rsidRPr="00593F03">
              <w:rPr>
                <w:b/>
                <w:bCs/>
              </w:rPr>
              <w:t>2021-22</w:t>
            </w:r>
          </w:p>
          <w:p w14:paraId="3A14FA2C" w14:textId="77777777" w:rsidR="00CF0E2D" w:rsidRPr="00593F03" w:rsidRDefault="00CF0E2D" w:rsidP="00A60D4B">
            <w:pPr>
              <w:pStyle w:val="InitFigR"/>
              <w:rPr>
                <w:b/>
                <w:bCs/>
              </w:rPr>
            </w:pPr>
            <w:r w:rsidRPr="00593F03">
              <w:rPr>
                <w:b/>
                <w:bCs/>
              </w:rPr>
              <w:t>$’000</w:t>
            </w:r>
          </w:p>
        </w:tc>
        <w:tc>
          <w:tcPr>
            <w:tcW w:w="1041" w:type="dxa"/>
            <w:tcBorders>
              <w:top w:val="single" w:sz="4" w:space="0" w:color="auto"/>
              <w:bottom w:val="single" w:sz="4" w:space="0" w:color="auto"/>
            </w:tcBorders>
          </w:tcPr>
          <w:p w14:paraId="51CE4805" w14:textId="77777777" w:rsidR="00CF0E2D" w:rsidRPr="00593F03" w:rsidRDefault="00CF0E2D" w:rsidP="00A60D4B">
            <w:pPr>
              <w:pStyle w:val="InitFigR"/>
              <w:rPr>
                <w:b/>
                <w:bCs/>
              </w:rPr>
            </w:pPr>
            <w:r w:rsidRPr="00593F03">
              <w:rPr>
                <w:b/>
                <w:bCs/>
              </w:rPr>
              <w:t>2022-23</w:t>
            </w:r>
          </w:p>
          <w:p w14:paraId="71ADC014" w14:textId="77777777" w:rsidR="00CF0E2D" w:rsidRPr="00593F03" w:rsidRDefault="00CF0E2D" w:rsidP="00A60D4B">
            <w:pPr>
              <w:pStyle w:val="InitFigR"/>
              <w:rPr>
                <w:b/>
                <w:bCs/>
              </w:rPr>
            </w:pPr>
            <w:r w:rsidRPr="00593F03">
              <w:rPr>
                <w:b/>
                <w:bCs/>
              </w:rPr>
              <w:t>$’000</w:t>
            </w:r>
          </w:p>
        </w:tc>
        <w:tc>
          <w:tcPr>
            <w:tcW w:w="1029" w:type="dxa"/>
            <w:tcBorders>
              <w:top w:val="single" w:sz="4" w:space="0" w:color="auto"/>
              <w:bottom w:val="single" w:sz="4" w:space="0" w:color="auto"/>
            </w:tcBorders>
          </w:tcPr>
          <w:p w14:paraId="31AEBE6C" w14:textId="77777777" w:rsidR="00CF0E2D" w:rsidRPr="00593F03" w:rsidRDefault="00CF0E2D" w:rsidP="00A60D4B">
            <w:pPr>
              <w:pStyle w:val="InitFigR"/>
              <w:rPr>
                <w:b/>
                <w:bCs/>
              </w:rPr>
            </w:pPr>
            <w:r w:rsidRPr="00593F03">
              <w:rPr>
                <w:b/>
                <w:bCs/>
              </w:rPr>
              <w:t>2023-24</w:t>
            </w:r>
          </w:p>
          <w:p w14:paraId="17CBF227" w14:textId="77777777" w:rsidR="00CF0E2D" w:rsidRPr="00593F03" w:rsidRDefault="00CF0E2D" w:rsidP="00A60D4B">
            <w:pPr>
              <w:pStyle w:val="InitFigR"/>
              <w:rPr>
                <w:b/>
                <w:bCs/>
              </w:rPr>
            </w:pPr>
            <w:r w:rsidRPr="00593F03">
              <w:rPr>
                <w:b/>
                <w:bCs/>
              </w:rPr>
              <w:t>$’000</w:t>
            </w:r>
          </w:p>
        </w:tc>
        <w:tc>
          <w:tcPr>
            <w:tcW w:w="1029" w:type="dxa"/>
            <w:tcBorders>
              <w:top w:val="single" w:sz="4" w:space="0" w:color="auto"/>
              <w:bottom w:val="single" w:sz="4" w:space="0" w:color="auto"/>
            </w:tcBorders>
          </w:tcPr>
          <w:p w14:paraId="06158F7F" w14:textId="77777777" w:rsidR="00CF0E2D" w:rsidRPr="00593F03" w:rsidRDefault="00CF0E2D" w:rsidP="00A60D4B">
            <w:pPr>
              <w:pStyle w:val="InitFigR"/>
              <w:rPr>
                <w:b/>
                <w:bCs/>
              </w:rPr>
            </w:pPr>
            <w:r w:rsidRPr="00593F03">
              <w:rPr>
                <w:b/>
                <w:bCs/>
              </w:rPr>
              <w:t>2024-25</w:t>
            </w:r>
          </w:p>
          <w:p w14:paraId="042EC000" w14:textId="77777777" w:rsidR="00CF0E2D" w:rsidRPr="00593F03" w:rsidRDefault="00CF0E2D" w:rsidP="00A60D4B">
            <w:pPr>
              <w:pStyle w:val="InitFigR"/>
              <w:rPr>
                <w:b/>
                <w:bCs/>
              </w:rPr>
            </w:pPr>
            <w:r w:rsidRPr="00593F03">
              <w:rPr>
                <w:b/>
                <w:bCs/>
              </w:rPr>
              <w:t>$’000</w:t>
            </w:r>
          </w:p>
        </w:tc>
        <w:tc>
          <w:tcPr>
            <w:tcW w:w="1029" w:type="dxa"/>
            <w:tcBorders>
              <w:top w:val="single" w:sz="4" w:space="0" w:color="auto"/>
              <w:bottom w:val="single" w:sz="4" w:space="0" w:color="auto"/>
            </w:tcBorders>
          </w:tcPr>
          <w:p w14:paraId="108870B5" w14:textId="77777777" w:rsidR="00CF0E2D" w:rsidRPr="00593F03" w:rsidRDefault="00CF0E2D" w:rsidP="00A60D4B">
            <w:pPr>
              <w:pStyle w:val="InitFigRBold"/>
            </w:pPr>
            <w:r w:rsidRPr="00593F03">
              <w:t>Total</w:t>
            </w:r>
          </w:p>
          <w:p w14:paraId="5D5885C7" w14:textId="77777777" w:rsidR="00CF0E2D" w:rsidRPr="00593F03" w:rsidRDefault="00CF0E2D" w:rsidP="00A60D4B">
            <w:pPr>
              <w:pStyle w:val="InitFigBR"/>
            </w:pPr>
            <w:r w:rsidRPr="00593F03">
              <w:t>$’000</w:t>
            </w:r>
          </w:p>
        </w:tc>
      </w:tr>
      <w:tr w:rsidR="00CF0E2D" w:rsidRPr="005F182D" w14:paraId="524899A8" w14:textId="77777777" w:rsidTr="00A60D4B">
        <w:trPr>
          <w:cantSplit/>
          <w:jc w:val="center"/>
        </w:trPr>
        <w:tc>
          <w:tcPr>
            <w:tcW w:w="3652" w:type="dxa"/>
            <w:tcBorders>
              <w:top w:val="single" w:sz="4" w:space="0" w:color="auto"/>
              <w:bottom w:val="single" w:sz="4" w:space="0" w:color="auto"/>
            </w:tcBorders>
          </w:tcPr>
          <w:p w14:paraId="2E95357B" w14:textId="77777777" w:rsidR="00CF0E2D" w:rsidRPr="005F182D" w:rsidRDefault="00CF0E2D" w:rsidP="00A60D4B">
            <w:pPr>
              <w:pStyle w:val="InitTextL"/>
              <w:ind w:left="321" w:hanging="321"/>
            </w:pPr>
            <w:r w:rsidRPr="005F182D">
              <w:t>Expenses</w:t>
            </w:r>
          </w:p>
        </w:tc>
        <w:tc>
          <w:tcPr>
            <w:tcW w:w="1179" w:type="dxa"/>
            <w:tcBorders>
              <w:top w:val="single" w:sz="4" w:space="0" w:color="auto"/>
              <w:bottom w:val="single" w:sz="4" w:space="0" w:color="auto"/>
            </w:tcBorders>
          </w:tcPr>
          <w:p w14:paraId="2D318AA6" w14:textId="77777777" w:rsidR="00CF0E2D" w:rsidRPr="00593F03" w:rsidRDefault="00CF0E2D" w:rsidP="00A60D4B">
            <w:pPr>
              <w:pStyle w:val="InitFigR"/>
            </w:pPr>
            <w:r w:rsidRPr="00593F03">
              <w:t>3,381</w:t>
            </w:r>
          </w:p>
        </w:tc>
        <w:tc>
          <w:tcPr>
            <w:tcW w:w="1041" w:type="dxa"/>
            <w:tcBorders>
              <w:top w:val="single" w:sz="4" w:space="0" w:color="auto"/>
              <w:bottom w:val="single" w:sz="4" w:space="0" w:color="auto"/>
            </w:tcBorders>
          </w:tcPr>
          <w:p w14:paraId="60A0C969" w14:textId="77777777" w:rsidR="00CF0E2D" w:rsidRPr="00593F03" w:rsidRDefault="00CF0E2D" w:rsidP="00A60D4B">
            <w:pPr>
              <w:pStyle w:val="InitFigR"/>
            </w:pPr>
            <w:r w:rsidRPr="00593F03">
              <w:t>2,080</w:t>
            </w:r>
          </w:p>
        </w:tc>
        <w:tc>
          <w:tcPr>
            <w:tcW w:w="1029" w:type="dxa"/>
            <w:tcBorders>
              <w:top w:val="single" w:sz="4" w:space="0" w:color="auto"/>
              <w:bottom w:val="single" w:sz="4" w:space="0" w:color="auto"/>
            </w:tcBorders>
          </w:tcPr>
          <w:p w14:paraId="135BA973" w14:textId="77777777" w:rsidR="00CF0E2D" w:rsidRPr="00593F03" w:rsidRDefault="00CF0E2D" w:rsidP="00A60D4B">
            <w:pPr>
              <w:pStyle w:val="InitFigR"/>
            </w:pPr>
            <w:r w:rsidRPr="00593F03">
              <w:t>1,789</w:t>
            </w:r>
          </w:p>
        </w:tc>
        <w:tc>
          <w:tcPr>
            <w:tcW w:w="1029" w:type="dxa"/>
            <w:tcBorders>
              <w:top w:val="single" w:sz="4" w:space="0" w:color="auto"/>
              <w:bottom w:val="single" w:sz="4" w:space="0" w:color="auto"/>
            </w:tcBorders>
          </w:tcPr>
          <w:p w14:paraId="3E804E42" w14:textId="77777777" w:rsidR="00CF0E2D" w:rsidRPr="00593F03" w:rsidRDefault="00CF0E2D" w:rsidP="00A60D4B">
            <w:pPr>
              <w:pStyle w:val="InitFigR"/>
            </w:pPr>
            <w:r w:rsidRPr="00593F03">
              <w:t>1,816</w:t>
            </w:r>
          </w:p>
        </w:tc>
        <w:tc>
          <w:tcPr>
            <w:tcW w:w="1029" w:type="dxa"/>
            <w:tcBorders>
              <w:top w:val="single" w:sz="4" w:space="0" w:color="auto"/>
              <w:bottom w:val="single" w:sz="4" w:space="0" w:color="auto"/>
            </w:tcBorders>
          </w:tcPr>
          <w:p w14:paraId="5B471DA1" w14:textId="77777777" w:rsidR="00CF0E2D" w:rsidRPr="00593F03" w:rsidRDefault="00CF0E2D" w:rsidP="00A60D4B">
            <w:pPr>
              <w:pStyle w:val="InitFigBR"/>
            </w:pPr>
            <w:r w:rsidRPr="00593F03">
              <w:t>9,066</w:t>
            </w:r>
          </w:p>
        </w:tc>
      </w:tr>
    </w:tbl>
    <w:p w14:paraId="463B98A6" w14:textId="77777777" w:rsidR="00CF0E2D" w:rsidRDefault="00CF0E2D" w:rsidP="00A60D4B">
      <w:pPr>
        <w:pStyle w:val="Bbodytext"/>
      </w:pPr>
      <w:r w:rsidRPr="00155677">
        <w:t>The Government will provide additional resourcing to enhance the capacity of the ACT public service to provide advice on economic and financial issues, including the management of major infrastructure projects, and to deliver on the financial management requirements of the Territory. This includes funding to:</w:t>
      </w:r>
    </w:p>
    <w:p w14:paraId="775BF13E" w14:textId="77777777" w:rsidR="00CF0E2D" w:rsidRPr="008A2CCD" w:rsidRDefault="00CF0E2D" w:rsidP="00A60D4B">
      <w:pPr>
        <w:pStyle w:val="BBullet1"/>
        <w:ind w:left="340" w:hanging="340"/>
      </w:pPr>
      <w:r w:rsidRPr="008A2CCD">
        <w:t>ACT Treasury to meet an increased workload and strengthen its financial and economic policy capabilities;</w:t>
      </w:r>
    </w:p>
    <w:p w14:paraId="1D42C8AB" w14:textId="77777777" w:rsidR="00CF0E2D" w:rsidRPr="008A2CCD" w:rsidRDefault="00CF0E2D" w:rsidP="00A60D4B">
      <w:pPr>
        <w:pStyle w:val="BBullet1"/>
        <w:ind w:left="340" w:hanging="340"/>
      </w:pPr>
      <w:r w:rsidRPr="008A2CCD">
        <w:t>continue the Infrastructure Finance &amp; Reform Division within the Chief Minister, Treasury and Economic Development Directorate, which has responsibility for advising Government on the development of complex major infrastructure projects, including unsolicited proposals;</w:t>
      </w:r>
    </w:p>
    <w:p w14:paraId="26190663" w14:textId="77777777" w:rsidR="00CF0E2D" w:rsidRPr="008A2CCD" w:rsidRDefault="00CF0E2D" w:rsidP="00A60D4B">
      <w:pPr>
        <w:pStyle w:val="BBullet1"/>
        <w:ind w:left="340" w:hanging="340"/>
      </w:pPr>
      <w:r w:rsidRPr="008A2CCD">
        <w:t xml:space="preserve">explore options for the potential transition to a new Whole of Government Software as a Service (SaaS) solution to replace Government’s existing corporate financial management software; and </w:t>
      </w:r>
    </w:p>
    <w:p w14:paraId="2916DBA2" w14:textId="77777777" w:rsidR="00CF0E2D" w:rsidRPr="008A2CCD" w:rsidRDefault="00CF0E2D" w:rsidP="00A60D4B">
      <w:pPr>
        <w:pStyle w:val="BBullet1"/>
        <w:ind w:left="340" w:hanging="340"/>
      </w:pPr>
      <w:r w:rsidRPr="008A2CCD">
        <w:t>support the Territory’s future banking arrangements</w:t>
      </w:r>
      <w:r>
        <w:t>.</w:t>
      </w:r>
      <w:r w:rsidRPr="008A2CCD">
        <w:t xml:space="preserve"> </w:t>
      </w:r>
    </w:p>
    <w:p w14:paraId="6CF49D41" w14:textId="77777777" w:rsidR="00CF0E2D" w:rsidRDefault="00CF0E2D" w:rsidP="00A60D4B">
      <w:pPr>
        <w:pStyle w:val="Bbodytext"/>
        <w:rPr>
          <w:szCs w:val="24"/>
        </w:rPr>
      </w:pPr>
      <w:r>
        <w:rPr>
          <w:szCs w:val="24"/>
        </w:rPr>
        <w:t>T</w:t>
      </w:r>
      <w:r w:rsidRPr="008A2CCD">
        <w:rPr>
          <w:szCs w:val="24"/>
        </w:rPr>
        <w:t>his initiative contributes to the wellbeing domains of Economy and Governance and institutions, and Access and connectivity</w:t>
      </w:r>
      <w:r>
        <w:rPr>
          <w:szCs w:val="24"/>
        </w:rPr>
        <w:t>.</w:t>
      </w:r>
    </w:p>
    <w:p w14:paraId="7F41CAC9" w14:textId="77777777" w:rsidR="00CF0E2D" w:rsidRPr="008A2CCD" w:rsidRDefault="00CF0E2D" w:rsidP="00A60D4B">
      <w:pPr>
        <w:pStyle w:val="Bbodytext"/>
      </w:pPr>
    </w:p>
    <w:p w14:paraId="1A0D6ABF" w14:textId="77777777" w:rsidR="00CF0E2D" w:rsidRPr="00621606" w:rsidRDefault="00CF0E2D" w:rsidP="00A60D4B">
      <w:pPr>
        <w:pStyle w:val="Heading4"/>
        <w:rPr>
          <w:rFonts w:eastAsia="Times New Roman" w:cs="Times New Roman"/>
          <w:bCs/>
          <w:szCs w:val="26"/>
        </w:rPr>
      </w:pPr>
      <w:r w:rsidRPr="00621606">
        <w:rPr>
          <w:rFonts w:eastAsia="Times New Roman"/>
        </w:rPr>
        <w:t>Stromlo Forest Park</w:t>
      </w:r>
      <w:r w:rsidRPr="00621606">
        <w:rPr>
          <w:rFonts w:eastAsia="Times New Roman" w:cs="Times New Roman"/>
          <w:bCs/>
          <w:szCs w:val="26"/>
        </w:rPr>
        <w:t xml:space="preserve"> – Improved </w:t>
      </w:r>
      <w:r>
        <w:rPr>
          <w:rFonts w:eastAsia="Times New Roman" w:cs="Times New Roman"/>
          <w:bCs/>
          <w:szCs w:val="26"/>
        </w:rPr>
        <w:t>p</w:t>
      </w:r>
      <w:r w:rsidRPr="00621606">
        <w:rPr>
          <w:rFonts w:eastAsia="Times New Roman" w:cs="Times New Roman"/>
          <w:bCs/>
          <w:szCs w:val="26"/>
        </w:rPr>
        <w:t xml:space="preserve">arking  </w:t>
      </w:r>
      <w:r>
        <w:rPr>
          <w:noProof/>
        </w:rPr>
        <w:drawing>
          <wp:anchor distT="0" distB="0" distL="114300" distR="114300" simplePos="0" relativeHeight="251766784" behindDoc="0" locked="1" layoutInCell="1" allowOverlap="1" wp14:anchorId="2F2FD95A" wp14:editId="59B22B75">
            <wp:simplePos x="0" y="0"/>
            <wp:positionH relativeFrom="margin">
              <wp:align>right</wp:align>
            </wp:positionH>
            <wp:positionV relativeFrom="paragraph">
              <wp:posOffset>-137160</wp:posOffset>
            </wp:positionV>
            <wp:extent cx="1378585" cy="507365"/>
            <wp:effectExtent l="0" t="0" r="0" b="6985"/>
            <wp:wrapSquare wrapText="bothSides"/>
            <wp:docPr id="78" name="Picture 78"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9053" w:type="dxa"/>
        <w:jc w:val="center"/>
        <w:tblLayout w:type="fixed"/>
        <w:tblLook w:val="0000" w:firstRow="0" w:lastRow="0" w:firstColumn="0" w:lastColumn="0" w:noHBand="0" w:noVBand="0"/>
      </w:tblPr>
      <w:tblGrid>
        <w:gridCol w:w="3746"/>
        <w:gridCol w:w="1179"/>
        <w:gridCol w:w="1041"/>
        <w:gridCol w:w="1029"/>
        <w:gridCol w:w="1029"/>
        <w:gridCol w:w="1029"/>
      </w:tblGrid>
      <w:tr w:rsidR="00CF0E2D" w:rsidRPr="00BD13B4" w14:paraId="48A47684" w14:textId="77777777" w:rsidTr="00A60D4B">
        <w:trPr>
          <w:cantSplit/>
          <w:jc w:val="center"/>
        </w:trPr>
        <w:tc>
          <w:tcPr>
            <w:tcW w:w="3746" w:type="dxa"/>
            <w:tcBorders>
              <w:top w:val="single" w:sz="4" w:space="0" w:color="auto"/>
              <w:bottom w:val="single" w:sz="4" w:space="0" w:color="auto"/>
            </w:tcBorders>
          </w:tcPr>
          <w:p w14:paraId="0FC4E041" w14:textId="77777777" w:rsidR="00CF0E2D" w:rsidRPr="00BD13B4" w:rsidRDefault="00CF0E2D" w:rsidP="00A60D4B">
            <w:pPr>
              <w:spacing w:after="0"/>
              <w:rPr>
                <w:szCs w:val="24"/>
              </w:rPr>
            </w:pPr>
          </w:p>
        </w:tc>
        <w:tc>
          <w:tcPr>
            <w:tcW w:w="1179" w:type="dxa"/>
            <w:tcBorders>
              <w:top w:val="single" w:sz="4" w:space="0" w:color="auto"/>
              <w:bottom w:val="single" w:sz="4" w:space="0" w:color="auto"/>
            </w:tcBorders>
          </w:tcPr>
          <w:p w14:paraId="0EDBE04E" w14:textId="77777777" w:rsidR="00CF0E2D" w:rsidRPr="00D84288" w:rsidRDefault="00CF0E2D" w:rsidP="00A60D4B">
            <w:pPr>
              <w:pStyle w:val="InitFigR"/>
              <w:keepNext/>
              <w:keepLines/>
              <w:rPr>
                <w:b/>
                <w:bCs/>
              </w:rPr>
            </w:pPr>
            <w:r w:rsidRPr="00D84288">
              <w:rPr>
                <w:b/>
                <w:bCs/>
              </w:rPr>
              <w:t>2021-22</w:t>
            </w:r>
          </w:p>
          <w:p w14:paraId="2438B6C7" w14:textId="77777777" w:rsidR="00CF0E2D" w:rsidRPr="00D84288" w:rsidRDefault="00CF0E2D" w:rsidP="00A60D4B">
            <w:pPr>
              <w:pStyle w:val="InitFigR"/>
              <w:keepNext/>
              <w:keepLines/>
              <w:rPr>
                <w:b/>
                <w:bCs/>
              </w:rPr>
            </w:pPr>
            <w:r w:rsidRPr="00D84288">
              <w:rPr>
                <w:b/>
                <w:bCs/>
              </w:rPr>
              <w:t>$’000</w:t>
            </w:r>
          </w:p>
        </w:tc>
        <w:tc>
          <w:tcPr>
            <w:tcW w:w="1041" w:type="dxa"/>
            <w:tcBorders>
              <w:top w:val="single" w:sz="4" w:space="0" w:color="auto"/>
              <w:bottom w:val="single" w:sz="4" w:space="0" w:color="auto"/>
            </w:tcBorders>
          </w:tcPr>
          <w:p w14:paraId="2EC8AABD" w14:textId="77777777" w:rsidR="00CF0E2D" w:rsidRPr="00D84288" w:rsidRDefault="00CF0E2D" w:rsidP="00A60D4B">
            <w:pPr>
              <w:pStyle w:val="InitFigR"/>
              <w:keepNext/>
              <w:keepLines/>
              <w:rPr>
                <w:b/>
                <w:bCs/>
              </w:rPr>
            </w:pPr>
            <w:r w:rsidRPr="00D84288">
              <w:rPr>
                <w:b/>
                <w:bCs/>
              </w:rPr>
              <w:t>2022-23</w:t>
            </w:r>
          </w:p>
          <w:p w14:paraId="634AE236" w14:textId="77777777" w:rsidR="00CF0E2D" w:rsidRPr="00D84288" w:rsidRDefault="00CF0E2D" w:rsidP="00A60D4B">
            <w:pPr>
              <w:pStyle w:val="InitFigR"/>
              <w:keepNext/>
              <w:keepLines/>
              <w:rPr>
                <w:b/>
                <w:bCs/>
              </w:rPr>
            </w:pPr>
            <w:r w:rsidRPr="00D84288">
              <w:rPr>
                <w:b/>
                <w:bCs/>
              </w:rPr>
              <w:t>$’000</w:t>
            </w:r>
          </w:p>
        </w:tc>
        <w:tc>
          <w:tcPr>
            <w:tcW w:w="1029" w:type="dxa"/>
            <w:tcBorders>
              <w:top w:val="single" w:sz="4" w:space="0" w:color="auto"/>
              <w:bottom w:val="single" w:sz="4" w:space="0" w:color="auto"/>
            </w:tcBorders>
          </w:tcPr>
          <w:p w14:paraId="4AD50B62" w14:textId="77777777" w:rsidR="00CF0E2D" w:rsidRPr="00D84288" w:rsidRDefault="00CF0E2D" w:rsidP="00A60D4B">
            <w:pPr>
              <w:pStyle w:val="InitFigR"/>
              <w:keepNext/>
              <w:keepLines/>
              <w:rPr>
                <w:b/>
                <w:bCs/>
              </w:rPr>
            </w:pPr>
            <w:r w:rsidRPr="00D84288">
              <w:rPr>
                <w:b/>
                <w:bCs/>
              </w:rPr>
              <w:t>2023-24</w:t>
            </w:r>
          </w:p>
          <w:p w14:paraId="6A22794E" w14:textId="77777777" w:rsidR="00CF0E2D" w:rsidRPr="00D84288" w:rsidRDefault="00CF0E2D" w:rsidP="00A60D4B">
            <w:pPr>
              <w:pStyle w:val="InitFigR"/>
              <w:keepNext/>
              <w:keepLines/>
              <w:rPr>
                <w:b/>
                <w:bCs/>
              </w:rPr>
            </w:pPr>
            <w:r w:rsidRPr="00D84288">
              <w:rPr>
                <w:b/>
                <w:bCs/>
              </w:rPr>
              <w:t>$’000</w:t>
            </w:r>
          </w:p>
        </w:tc>
        <w:tc>
          <w:tcPr>
            <w:tcW w:w="1029" w:type="dxa"/>
            <w:tcBorders>
              <w:top w:val="single" w:sz="4" w:space="0" w:color="auto"/>
              <w:bottom w:val="single" w:sz="4" w:space="0" w:color="auto"/>
            </w:tcBorders>
          </w:tcPr>
          <w:p w14:paraId="479482D9" w14:textId="77777777" w:rsidR="00CF0E2D" w:rsidRPr="00D84288" w:rsidRDefault="00CF0E2D" w:rsidP="00A60D4B">
            <w:pPr>
              <w:pStyle w:val="InitFigR"/>
              <w:keepNext/>
              <w:keepLines/>
              <w:rPr>
                <w:b/>
                <w:bCs/>
              </w:rPr>
            </w:pPr>
            <w:r w:rsidRPr="00D84288">
              <w:rPr>
                <w:b/>
                <w:bCs/>
              </w:rPr>
              <w:t>2024-25</w:t>
            </w:r>
          </w:p>
          <w:p w14:paraId="276C8CAF" w14:textId="77777777" w:rsidR="00CF0E2D" w:rsidRPr="00D84288" w:rsidRDefault="00CF0E2D" w:rsidP="00A60D4B">
            <w:pPr>
              <w:pStyle w:val="InitFigR"/>
              <w:keepNext/>
              <w:keepLines/>
              <w:rPr>
                <w:b/>
                <w:bCs/>
              </w:rPr>
            </w:pPr>
            <w:r w:rsidRPr="00D84288">
              <w:rPr>
                <w:b/>
                <w:bCs/>
              </w:rPr>
              <w:t>$’000</w:t>
            </w:r>
          </w:p>
        </w:tc>
        <w:tc>
          <w:tcPr>
            <w:tcW w:w="1029" w:type="dxa"/>
            <w:tcBorders>
              <w:top w:val="single" w:sz="4" w:space="0" w:color="auto"/>
              <w:bottom w:val="single" w:sz="4" w:space="0" w:color="auto"/>
            </w:tcBorders>
          </w:tcPr>
          <w:p w14:paraId="0A5DE4DA" w14:textId="77777777" w:rsidR="00CF0E2D" w:rsidRPr="00D84288" w:rsidRDefault="00CF0E2D" w:rsidP="00A60D4B">
            <w:pPr>
              <w:pStyle w:val="InitFigR"/>
              <w:keepNext/>
              <w:keepLines/>
              <w:rPr>
                <w:b/>
                <w:bCs/>
              </w:rPr>
            </w:pPr>
            <w:r w:rsidRPr="00D84288">
              <w:rPr>
                <w:b/>
                <w:bCs/>
              </w:rPr>
              <w:t>Total</w:t>
            </w:r>
          </w:p>
          <w:p w14:paraId="4F21396A" w14:textId="77777777" w:rsidR="00CF0E2D" w:rsidRPr="00D84288" w:rsidRDefault="00CF0E2D" w:rsidP="00A60D4B">
            <w:pPr>
              <w:pStyle w:val="InitFigR"/>
              <w:keepNext/>
              <w:keepLines/>
              <w:rPr>
                <w:b/>
                <w:bCs/>
              </w:rPr>
            </w:pPr>
            <w:r w:rsidRPr="00D84288">
              <w:rPr>
                <w:b/>
                <w:bCs/>
              </w:rPr>
              <w:t>$’000</w:t>
            </w:r>
          </w:p>
        </w:tc>
      </w:tr>
      <w:tr w:rsidR="00CF0E2D" w:rsidRPr="00BD13B4" w14:paraId="37218C67" w14:textId="77777777" w:rsidTr="00A60D4B">
        <w:trPr>
          <w:cantSplit/>
          <w:jc w:val="center"/>
        </w:trPr>
        <w:tc>
          <w:tcPr>
            <w:tcW w:w="3746" w:type="dxa"/>
            <w:tcBorders>
              <w:top w:val="single" w:sz="4" w:space="0" w:color="auto"/>
              <w:bottom w:val="single" w:sz="4" w:space="0" w:color="auto"/>
            </w:tcBorders>
          </w:tcPr>
          <w:p w14:paraId="68638C14" w14:textId="77777777" w:rsidR="00CF0E2D" w:rsidRPr="00D84288" w:rsidRDefault="00CF0E2D" w:rsidP="00A60D4B">
            <w:pPr>
              <w:pStyle w:val="InitTextL"/>
              <w:keepNext/>
              <w:keepLines/>
              <w:ind w:left="321" w:hanging="321"/>
            </w:pPr>
            <w:r w:rsidRPr="00D84288">
              <w:t>Capital</w:t>
            </w:r>
          </w:p>
        </w:tc>
        <w:tc>
          <w:tcPr>
            <w:tcW w:w="1179" w:type="dxa"/>
            <w:tcBorders>
              <w:top w:val="single" w:sz="4" w:space="0" w:color="auto"/>
              <w:bottom w:val="single" w:sz="4" w:space="0" w:color="auto"/>
            </w:tcBorders>
          </w:tcPr>
          <w:p w14:paraId="4E01CB35" w14:textId="77777777" w:rsidR="00CF0E2D" w:rsidRPr="00D84288" w:rsidRDefault="00CF0E2D" w:rsidP="00A60D4B">
            <w:pPr>
              <w:pStyle w:val="InitFigR"/>
              <w:keepNext/>
              <w:keepLines/>
            </w:pPr>
            <w:r w:rsidRPr="00D84288">
              <w:t>343</w:t>
            </w:r>
          </w:p>
        </w:tc>
        <w:tc>
          <w:tcPr>
            <w:tcW w:w="1041" w:type="dxa"/>
            <w:tcBorders>
              <w:top w:val="single" w:sz="4" w:space="0" w:color="auto"/>
              <w:bottom w:val="single" w:sz="4" w:space="0" w:color="auto"/>
            </w:tcBorders>
          </w:tcPr>
          <w:p w14:paraId="35DD9855" w14:textId="77777777" w:rsidR="00CF0E2D" w:rsidRPr="00D84288" w:rsidRDefault="00CF0E2D" w:rsidP="00A60D4B">
            <w:pPr>
              <w:pStyle w:val="InitFigR"/>
              <w:keepNext/>
              <w:keepLines/>
            </w:pPr>
            <w:r w:rsidRPr="00D84288">
              <w:t>2,543</w:t>
            </w:r>
          </w:p>
        </w:tc>
        <w:tc>
          <w:tcPr>
            <w:tcW w:w="1029" w:type="dxa"/>
            <w:tcBorders>
              <w:top w:val="single" w:sz="4" w:space="0" w:color="auto"/>
              <w:bottom w:val="single" w:sz="4" w:space="0" w:color="auto"/>
            </w:tcBorders>
          </w:tcPr>
          <w:p w14:paraId="1129B3D2" w14:textId="77777777" w:rsidR="00CF0E2D" w:rsidRPr="00D84288" w:rsidRDefault="00CF0E2D" w:rsidP="00A60D4B">
            <w:pPr>
              <w:pStyle w:val="InitFigR"/>
              <w:keepNext/>
              <w:keepLines/>
            </w:pPr>
            <w:r w:rsidRPr="00D84288">
              <w:t>0</w:t>
            </w:r>
          </w:p>
        </w:tc>
        <w:tc>
          <w:tcPr>
            <w:tcW w:w="1029" w:type="dxa"/>
            <w:tcBorders>
              <w:top w:val="single" w:sz="4" w:space="0" w:color="auto"/>
              <w:bottom w:val="single" w:sz="4" w:space="0" w:color="auto"/>
            </w:tcBorders>
          </w:tcPr>
          <w:p w14:paraId="07E448F3" w14:textId="77777777" w:rsidR="00CF0E2D" w:rsidRPr="00D84288" w:rsidRDefault="00CF0E2D" w:rsidP="00A60D4B">
            <w:pPr>
              <w:pStyle w:val="InitFigR"/>
              <w:keepNext/>
              <w:keepLines/>
            </w:pPr>
            <w:r w:rsidRPr="00D84288">
              <w:t>0</w:t>
            </w:r>
          </w:p>
        </w:tc>
        <w:tc>
          <w:tcPr>
            <w:tcW w:w="1029" w:type="dxa"/>
            <w:tcBorders>
              <w:top w:val="single" w:sz="4" w:space="0" w:color="auto"/>
              <w:bottom w:val="single" w:sz="4" w:space="0" w:color="auto"/>
            </w:tcBorders>
          </w:tcPr>
          <w:p w14:paraId="5BCF3498" w14:textId="77777777" w:rsidR="00CF0E2D" w:rsidRPr="00D84288" w:rsidRDefault="00CF0E2D" w:rsidP="00A60D4B">
            <w:pPr>
              <w:pStyle w:val="InitFigR"/>
              <w:keepNext/>
              <w:keepLines/>
              <w:rPr>
                <w:b/>
                <w:bCs/>
              </w:rPr>
            </w:pPr>
            <w:r w:rsidRPr="00D84288">
              <w:rPr>
                <w:b/>
                <w:bCs/>
              </w:rPr>
              <w:t>2,886</w:t>
            </w:r>
          </w:p>
        </w:tc>
      </w:tr>
      <w:tr w:rsidR="00CF0E2D" w:rsidRPr="00BD13B4" w14:paraId="623FEB2C" w14:textId="77777777" w:rsidTr="00A60D4B">
        <w:trPr>
          <w:cantSplit/>
          <w:jc w:val="center"/>
        </w:trPr>
        <w:tc>
          <w:tcPr>
            <w:tcW w:w="3746" w:type="dxa"/>
            <w:tcBorders>
              <w:top w:val="single" w:sz="4" w:space="0" w:color="auto"/>
              <w:bottom w:val="single" w:sz="4" w:space="0" w:color="auto"/>
            </w:tcBorders>
          </w:tcPr>
          <w:p w14:paraId="1D141573" w14:textId="77777777" w:rsidR="00CF0E2D" w:rsidRPr="00D84288" w:rsidRDefault="00CF0E2D" w:rsidP="00A60D4B">
            <w:pPr>
              <w:pStyle w:val="InitTextL"/>
              <w:keepNext/>
              <w:keepLines/>
              <w:ind w:left="321" w:hanging="321"/>
            </w:pPr>
            <w:r w:rsidRPr="00D84288">
              <w:t>Depreciation</w:t>
            </w:r>
          </w:p>
        </w:tc>
        <w:tc>
          <w:tcPr>
            <w:tcW w:w="1179" w:type="dxa"/>
            <w:tcBorders>
              <w:top w:val="single" w:sz="4" w:space="0" w:color="auto"/>
              <w:bottom w:val="single" w:sz="4" w:space="0" w:color="auto"/>
            </w:tcBorders>
          </w:tcPr>
          <w:p w14:paraId="2687A1F0" w14:textId="77777777" w:rsidR="00CF0E2D" w:rsidRPr="00D84288" w:rsidRDefault="00CF0E2D" w:rsidP="00A60D4B">
            <w:pPr>
              <w:pStyle w:val="InitFigR"/>
              <w:keepNext/>
              <w:keepLines/>
            </w:pPr>
            <w:r w:rsidRPr="00D84288">
              <w:t>0</w:t>
            </w:r>
          </w:p>
        </w:tc>
        <w:tc>
          <w:tcPr>
            <w:tcW w:w="1041" w:type="dxa"/>
            <w:tcBorders>
              <w:top w:val="single" w:sz="4" w:space="0" w:color="auto"/>
              <w:bottom w:val="single" w:sz="4" w:space="0" w:color="auto"/>
            </w:tcBorders>
          </w:tcPr>
          <w:p w14:paraId="3C5C40C4" w14:textId="77777777" w:rsidR="00CF0E2D" w:rsidRPr="00D84288" w:rsidRDefault="00CF0E2D" w:rsidP="00A60D4B">
            <w:pPr>
              <w:pStyle w:val="InitFigR"/>
              <w:keepNext/>
              <w:keepLines/>
            </w:pPr>
            <w:r w:rsidRPr="00D84288">
              <w:t>0</w:t>
            </w:r>
          </w:p>
        </w:tc>
        <w:tc>
          <w:tcPr>
            <w:tcW w:w="1029" w:type="dxa"/>
            <w:tcBorders>
              <w:top w:val="single" w:sz="4" w:space="0" w:color="auto"/>
              <w:bottom w:val="single" w:sz="4" w:space="0" w:color="auto"/>
            </w:tcBorders>
          </w:tcPr>
          <w:p w14:paraId="3A2D6B1B" w14:textId="77777777" w:rsidR="00CF0E2D" w:rsidRPr="00D84288" w:rsidRDefault="00CF0E2D" w:rsidP="00A60D4B">
            <w:pPr>
              <w:pStyle w:val="InitFigR"/>
              <w:keepNext/>
              <w:keepLines/>
            </w:pPr>
            <w:r w:rsidRPr="00D84288">
              <w:t>96</w:t>
            </w:r>
          </w:p>
        </w:tc>
        <w:tc>
          <w:tcPr>
            <w:tcW w:w="1029" w:type="dxa"/>
            <w:tcBorders>
              <w:top w:val="single" w:sz="4" w:space="0" w:color="auto"/>
              <w:bottom w:val="single" w:sz="4" w:space="0" w:color="auto"/>
            </w:tcBorders>
          </w:tcPr>
          <w:p w14:paraId="7B72C4B8" w14:textId="77777777" w:rsidR="00CF0E2D" w:rsidRPr="00D84288" w:rsidRDefault="00CF0E2D" w:rsidP="00A60D4B">
            <w:pPr>
              <w:pStyle w:val="InitFigR"/>
              <w:keepNext/>
              <w:keepLines/>
            </w:pPr>
            <w:r w:rsidRPr="00D84288">
              <w:t>96</w:t>
            </w:r>
          </w:p>
        </w:tc>
        <w:tc>
          <w:tcPr>
            <w:tcW w:w="1029" w:type="dxa"/>
            <w:tcBorders>
              <w:top w:val="single" w:sz="4" w:space="0" w:color="auto"/>
              <w:bottom w:val="single" w:sz="4" w:space="0" w:color="auto"/>
            </w:tcBorders>
          </w:tcPr>
          <w:p w14:paraId="7CF1C5D8" w14:textId="77777777" w:rsidR="00CF0E2D" w:rsidRPr="00D84288" w:rsidRDefault="00CF0E2D" w:rsidP="00A60D4B">
            <w:pPr>
              <w:pStyle w:val="InitFigR"/>
              <w:keepNext/>
              <w:keepLines/>
              <w:rPr>
                <w:b/>
                <w:bCs/>
              </w:rPr>
            </w:pPr>
            <w:r w:rsidRPr="00D84288">
              <w:rPr>
                <w:b/>
                <w:bCs/>
              </w:rPr>
              <w:t>192</w:t>
            </w:r>
          </w:p>
        </w:tc>
      </w:tr>
    </w:tbl>
    <w:p w14:paraId="492DF2FE" w14:textId="77777777" w:rsidR="00CF0E2D" w:rsidRPr="00BD13B4" w:rsidRDefault="00CF0E2D" w:rsidP="00A60D4B">
      <w:pPr>
        <w:pStyle w:val="Bbodytext"/>
        <w:rPr>
          <w:szCs w:val="24"/>
        </w:rPr>
      </w:pPr>
      <w:r w:rsidRPr="00BD13B4">
        <w:rPr>
          <w:szCs w:val="24"/>
        </w:rPr>
        <w:t xml:space="preserve">The Government will </w:t>
      </w:r>
      <w:r>
        <w:rPr>
          <w:szCs w:val="24"/>
        </w:rPr>
        <w:t xml:space="preserve">enhance facilities at the </w:t>
      </w:r>
      <w:r w:rsidRPr="00BD13B4">
        <w:rPr>
          <w:szCs w:val="24"/>
        </w:rPr>
        <w:t xml:space="preserve">Stromlo Forest Park </w:t>
      </w:r>
      <w:r>
        <w:rPr>
          <w:szCs w:val="24"/>
        </w:rPr>
        <w:t xml:space="preserve">by sealing the </w:t>
      </w:r>
      <w:r w:rsidRPr="00BD13B4">
        <w:rPr>
          <w:szCs w:val="24"/>
        </w:rPr>
        <w:t>carpark and reseal</w:t>
      </w:r>
      <w:r>
        <w:rPr>
          <w:szCs w:val="24"/>
        </w:rPr>
        <w:t>ing</w:t>
      </w:r>
      <w:r w:rsidRPr="00BD13B4">
        <w:rPr>
          <w:szCs w:val="24"/>
        </w:rPr>
        <w:t xml:space="preserve"> Dave McInnes Road</w:t>
      </w:r>
      <w:r>
        <w:rPr>
          <w:szCs w:val="24"/>
        </w:rPr>
        <w:t>.</w:t>
      </w:r>
    </w:p>
    <w:p w14:paraId="02CFC55B" w14:textId="77777777" w:rsidR="00CF0E2D" w:rsidRDefault="00CF0E2D" w:rsidP="00A60D4B">
      <w:pPr>
        <w:pStyle w:val="Bbodytext"/>
        <w:rPr>
          <w:szCs w:val="24"/>
        </w:rPr>
      </w:pPr>
      <w:r w:rsidRPr="00BD13B4">
        <w:rPr>
          <w:szCs w:val="24"/>
        </w:rPr>
        <w:t>This initiative contributes to the wellbeing domains of Access and connectivity</w:t>
      </w:r>
      <w:r>
        <w:rPr>
          <w:szCs w:val="24"/>
        </w:rPr>
        <w:t xml:space="preserve"> and </w:t>
      </w:r>
      <w:r w:rsidRPr="00BD13B4">
        <w:rPr>
          <w:szCs w:val="24"/>
        </w:rPr>
        <w:t xml:space="preserve">Social connection. </w:t>
      </w:r>
    </w:p>
    <w:p w14:paraId="77D2E7AE" w14:textId="77777777" w:rsidR="00CF0E2D" w:rsidRDefault="00CF0E2D">
      <w:pPr>
        <w:rPr>
          <w:sz w:val="24"/>
          <w:szCs w:val="24"/>
        </w:rPr>
      </w:pPr>
      <w:r>
        <w:rPr>
          <w:szCs w:val="24"/>
        </w:rPr>
        <w:br w:type="page"/>
      </w:r>
    </w:p>
    <w:p w14:paraId="710F042F" w14:textId="77777777" w:rsidR="00CF0E2D" w:rsidRDefault="00CF0E2D" w:rsidP="00A60D4B">
      <w:pPr>
        <w:pStyle w:val="Bbodytext"/>
        <w:rPr>
          <w:szCs w:val="24"/>
        </w:rPr>
      </w:pPr>
    </w:p>
    <w:p w14:paraId="6820674C" w14:textId="77777777" w:rsidR="00CF0E2D" w:rsidRPr="00666ADA" w:rsidRDefault="00CF0E2D" w:rsidP="00A60D4B">
      <w:pPr>
        <w:pStyle w:val="Heading4"/>
        <w:rPr>
          <w:rFonts w:eastAsia="Times New Roman" w:cs="Times New Roman"/>
          <w:bCs/>
          <w:szCs w:val="26"/>
        </w:rPr>
      </w:pPr>
      <w:r w:rsidRPr="00666ADA">
        <w:rPr>
          <w:rFonts w:eastAsia="Times New Roman"/>
        </w:rPr>
        <w:t>T</w:t>
      </w:r>
      <w:r w:rsidRPr="00666ADA">
        <w:rPr>
          <w:rFonts w:eastAsia="Times New Roman" w:cs="Times New Roman"/>
          <w:bCs/>
          <w:szCs w:val="26"/>
        </w:rPr>
        <w:t xml:space="preserve">hrosby Home of Football – Stage 2 </w:t>
      </w:r>
      <w:r>
        <w:rPr>
          <w:b w:val="0"/>
          <w:noProof/>
          <w:color w:val="999789"/>
          <w:sz w:val="32"/>
          <w:szCs w:val="24"/>
        </w:rPr>
        <w:drawing>
          <wp:anchor distT="0" distB="0" distL="114300" distR="114300" simplePos="0" relativeHeight="251767808" behindDoc="0" locked="1" layoutInCell="1" allowOverlap="1" wp14:anchorId="233A1893" wp14:editId="06CD768E">
            <wp:simplePos x="0" y="0"/>
            <wp:positionH relativeFrom="margin">
              <wp:align>right</wp:align>
            </wp:positionH>
            <wp:positionV relativeFrom="paragraph">
              <wp:posOffset>-140335</wp:posOffset>
            </wp:positionV>
            <wp:extent cx="1284605" cy="503555"/>
            <wp:effectExtent l="0" t="0" r="0" b="0"/>
            <wp:wrapSquare wrapText="bothSides"/>
            <wp:docPr id="79" name="Picture 79" descr="Icon representing the wellbeing domain of Social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Icon representing the wellbeing domain of Social Connection"/>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8460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DE7F02" w14:paraId="3A6A84D8" w14:textId="77777777" w:rsidTr="00A60D4B">
        <w:trPr>
          <w:cantSplit/>
          <w:jc w:val="center"/>
        </w:trPr>
        <w:tc>
          <w:tcPr>
            <w:tcW w:w="3652" w:type="dxa"/>
            <w:tcBorders>
              <w:top w:val="single" w:sz="4" w:space="0" w:color="auto"/>
              <w:bottom w:val="single" w:sz="4" w:space="0" w:color="auto"/>
            </w:tcBorders>
          </w:tcPr>
          <w:p w14:paraId="3E27C1ED" w14:textId="77777777" w:rsidR="00CF0E2D" w:rsidRPr="00D079AD" w:rsidRDefault="00CF0E2D" w:rsidP="00A60D4B">
            <w:pPr>
              <w:spacing w:after="0"/>
              <w:rPr>
                <w:sz w:val="24"/>
                <w:szCs w:val="28"/>
              </w:rPr>
            </w:pPr>
          </w:p>
        </w:tc>
        <w:tc>
          <w:tcPr>
            <w:tcW w:w="1179" w:type="dxa"/>
            <w:tcBorders>
              <w:top w:val="single" w:sz="4" w:space="0" w:color="auto"/>
              <w:bottom w:val="single" w:sz="4" w:space="0" w:color="auto"/>
            </w:tcBorders>
          </w:tcPr>
          <w:p w14:paraId="1647697B" w14:textId="77777777" w:rsidR="00CF0E2D" w:rsidRPr="00D079AD" w:rsidRDefault="00CF0E2D" w:rsidP="00A60D4B">
            <w:pPr>
              <w:spacing w:after="0"/>
              <w:jc w:val="right"/>
              <w:rPr>
                <w:b/>
                <w:sz w:val="24"/>
                <w:szCs w:val="28"/>
              </w:rPr>
            </w:pPr>
            <w:r w:rsidRPr="00D079AD">
              <w:rPr>
                <w:b/>
                <w:sz w:val="24"/>
                <w:szCs w:val="28"/>
              </w:rPr>
              <w:t>2021-22</w:t>
            </w:r>
          </w:p>
          <w:p w14:paraId="4CA658FE" w14:textId="77777777" w:rsidR="00CF0E2D" w:rsidRPr="00D079AD" w:rsidRDefault="00CF0E2D" w:rsidP="00A60D4B">
            <w:pPr>
              <w:spacing w:after="0"/>
              <w:jc w:val="right"/>
              <w:rPr>
                <w:b/>
                <w:sz w:val="24"/>
                <w:szCs w:val="28"/>
              </w:rPr>
            </w:pPr>
            <w:r w:rsidRPr="00D079AD">
              <w:rPr>
                <w:b/>
                <w:sz w:val="24"/>
                <w:szCs w:val="28"/>
              </w:rPr>
              <w:t>$’000</w:t>
            </w:r>
          </w:p>
        </w:tc>
        <w:tc>
          <w:tcPr>
            <w:tcW w:w="1041" w:type="dxa"/>
            <w:tcBorders>
              <w:top w:val="single" w:sz="4" w:space="0" w:color="auto"/>
              <w:bottom w:val="single" w:sz="4" w:space="0" w:color="auto"/>
            </w:tcBorders>
          </w:tcPr>
          <w:p w14:paraId="24B0E2CA" w14:textId="77777777" w:rsidR="00CF0E2D" w:rsidRPr="00D079AD" w:rsidRDefault="00CF0E2D" w:rsidP="00A60D4B">
            <w:pPr>
              <w:spacing w:after="0"/>
              <w:jc w:val="right"/>
              <w:rPr>
                <w:b/>
                <w:sz w:val="24"/>
                <w:szCs w:val="28"/>
              </w:rPr>
            </w:pPr>
            <w:r w:rsidRPr="00D079AD">
              <w:rPr>
                <w:b/>
                <w:sz w:val="24"/>
                <w:szCs w:val="28"/>
              </w:rPr>
              <w:t>2022-23</w:t>
            </w:r>
          </w:p>
          <w:p w14:paraId="30F9230B" w14:textId="77777777" w:rsidR="00CF0E2D" w:rsidRPr="00D079AD" w:rsidRDefault="00CF0E2D" w:rsidP="00A60D4B">
            <w:pPr>
              <w:spacing w:after="0"/>
              <w:jc w:val="right"/>
              <w:rPr>
                <w:b/>
                <w:sz w:val="24"/>
                <w:szCs w:val="28"/>
              </w:rPr>
            </w:pPr>
            <w:r w:rsidRPr="00D079AD">
              <w:rPr>
                <w:b/>
                <w:sz w:val="24"/>
                <w:szCs w:val="28"/>
              </w:rPr>
              <w:t>$’000</w:t>
            </w:r>
          </w:p>
        </w:tc>
        <w:tc>
          <w:tcPr>
            <w:tcW w:w="1029" w:type="dxa"/>
            <w:tcBorders>
              <w:top w:val="single" w:sz="4" w:space="0" w:color="auto"/>
              <w:bottom w:val="single" w:sz="4" w:space="0" w:color="auto"/>
            </w:tcBorders>
          </w:tcPr>
          <w:p w14:paraId="60C237A8" w14:textId="77777777" w:rsidR="00CF0E2D" w:rsidRPr="00D079AD" w:rsidRDefault="00CF0E2D" w:rsidP="00A60D4B">
            <w:pPr>
              <w:spacing w:after="0"/>
              <w:jc w:val="right"/>
              <w:rPr>
                <w:b/>
                <w:sz w:val="24"/>
                <w:szCs w:val="28"/>
              </w:rPr>
            </w:pPr>
            <w:r w:rsidRPr="00D079AD">
              <w:rPr>
                <w:b/>
                <w:sz w:val="24"/>
                <w:szCs w:val="28"/>
              </w:rPr>
              <w:t>2023-24</w:t>
            </w:r>
          </w:p>
          <w:p w14:paraId="15DE1FFF" w14:textId="77777777" w:rsidR="00CF0E2D" w:rsidRPr="00D079AD" w:rsidRDefault="00CF0E2D" w:rsidP="00A60D4B">
            <w:pPr>
              <w:spacing w:after="0"/>
              <w:jc w:val="right"/>
              <w:rPr>
                <w:b/>
                <w:sz w:val="24"/>
                <w:szCs w:val="28"/>
              </w:rPr>
            </w:pPr>
            <w:r w:rsidRPr="00D079AD">
              <w:rPr>
                <w:b/>
                <w:sz w:val="24"/>
                <w:szCs w:val="28"/>
              </w:rPr>
              <w:t>$’000</w:t>
            </w:r>
          </w:p>
        </w:tc>
        <w:tc>
          <w:tcPr>
            <w:tcW w:w="1029" w:type="dxa"/>
            <w:tcBorders>
              <w:top w:val="single" w:sz="4" w:space="0" w:color="auto"/>
              <w:bottom w:val="single" w:sz="4" w:space="0" w:color="auto"/>
            </w:tcBorders>
          </w:tcPr>
          <w:p w14:paraId="057E25B3" w14:textId="77777777" w:rsidR="00CF0E2D" w:rsidRPr="00D079AD" w:rsidRDefault="00CF0E2D" w:rsidP="00A60D4B">
            <w:pPr>
              <w:spacing w:after="0"/>
              <w:jc w:val="right"/>
              <w:rPr>
                <w:b/>
                <w:sz w:val="24"/>
                <w:szCs w:val="28"/>
              </w:rPr>
            </w:pPr>
            <w:r w:rsidRPr="00D079AD">
              <w:rPr>
                <w:b/>
                <w:sz w:val="24"/>
                <w:szCs w:val="28"/>
              </w:rPr>
              <w:t>2024-25</w:t>
            </w:r>
          </w:p>
          <w:p w14:paraId="5378F002" w14:textId="77777777" w:rsidR="00CF0E2D" w:rsidRPr="00D079AD" w:rsidRDefault="00CF0E2D" w:rsidP="00A60D4B">
            <w:pPr>
              <w:spacing w:after="0"/>
              <w:jc w:val="right"/>
              <w:rPr>
                <w:b/>
                <w:sz w:val="24"/>
                <w:szCs w:val="28"/>
              </w:rPr>
            </w:pPr>
            <w:r w:rsidRPr="00D079AD">
              <w:rPr>
                <w:b/>
                <w:sz w:val="24"/>
                <w:szCs w:val="28"/>
              </w:rPr>
              <w:t>$’000</w:t>
            </w:r>
          </w:p>
        </w:tc>
        <w:tc>
          <w:tcPr>
            <w:tcW w:w="1029" w:type="dxa"/>
            <w:tcBorders>
              <w:top w:val="single" w:sz="4" w:space="0" w:color="auto"/>
              <w:bottom w:val="single" w:sz="4" w:space="0" w:color="auto"/>
            </w:tcBorders>
          </w:tcPr>
          <w:p w14:paraId="619C6E77" w14:textId="77777777" w:rsidR="00CF0E2D" w:rsidRPr="00D079AD" w:rsidRDefault="00CF0E2D" w:rsidP="00A60D4B">
            <w:pPr>
              <w:spacing w:after="0"/>
              <w:jc w:val="right"/>
              <w:rPr>
                <w:b/>
                <w:sz w:val="24"/>
                <w:szCs w:val="28"/>
              </w:rPr>
            </w:pPr>
            <w:r w:rsidRPr="00D079AD">
              <w:rPr>
                <w:b/>
                <w:sz w:val="24"/>
                <w:szCs w:val="28"/>
              </w:rPr>
              <w:t>Total</w:t>
            </w:r>
          </w:p>
          <w:p w14:paraId="4946C118" w14:textId="77777777" w:rsidR="00CF0E2D" w:rsidRPr="00D079AD" w:rsidRDefault="00CF0E2D" w:rsidP="00A60D4B">
            <w:pPr>
              <w:spacing w:after="0"/>
              <w:jc w:val="right"/>
              <w:rPr>
                <w:b/>
                <w:sz w:val="24"/>
                <w:szCs w:val="28"/>
              </w:rPr>
            </w:pPr>
            <w:r w:rsidRPr="00D079AD">
              <w:rPr>
                <w:b/>
                <w:sz w:val="24"/>
                <w:szCs w:val="28"/>
              </w:rPr>
              <w:t>$’000</w:t>
            </w:r>
          </w:p>
        </w:tc>
      </w:tr>
      <w:tr w:rsidR="00CF0E2D" w:rsidRPr="00DE7F02" w14:paraId="47B97D22" w14:textId="77777777" w:rsidTr="00A60D4B">
        <w:trPr>
          <w:cantSplit/>
          <w:jc w:val="center"/>
        </w:trPr>
        <w:tc>
          <w:tcPr>
            <w:tcW w:w="3652" w:type="dxa"/>
            <w:tcBorders>
              <w:top w:val="single" w:sz="4" w:space="0" w:color="auto"/>
              <w:bottom w:val="single" w:sz="4" w:space="0" w:color="auto"/>
            </w:tcBorders>
          </w:tcPr>
          <w:p w14:paraId="2377251E" w14:textId="77777777" w:rsidR="00CF0E2D" w:rsidRPr="00D079AD" w:rsidRDefault="00CF0E2D" w:rsidP="00A60D4B">
            <w:pPr>
              <w:spacing w:after="0"/>
              <w:rPr>
                <w:sz w:val="24"/>
                <w:szCs w:val="28"/>
              </w:rPr>
            </w:pPr>
            <w:r w:rsidRPr="00D079AD">
              <w:rPr>
                <w:sz w:val="24"/>
                <w:szCs w:val="28"/>
              </w:rPr>
              <w:t>Capital</w:t>
            </w:r>
          </w:p>
        </w:tc>
        <w:tc>
          <w:tcPr>
            <w:tcW w:w="1179" w:type="dxa"/>
            <w:tcBorders>
              <w:top w:val="single" w:sz="4" w:space="0" w:color="auto"/>
              <w:bottom w:val="single" w:sz="4" w:space="0" w:color="auto"/>
            </w:tcBorders>
          </w:tcPr>
          <w:p w14:paraId="2CD7B0CA" w14:textId="77777777" w:rsidR="00CF0E2D" w:rsidRPr="00D079AD" w:rsidRDefault="00CF0E2D" w:rsidP="00A60D4B">
            <w:pPr>
              <w:spacing w:after="0"/>
              <w:jc w:val="right"/>
              <w:rPr>
                <w:sz w:val="24"/>
                <w:szCs w:val="28"/>
              </w:rPr>
            </w:pPr>
            <w:r w:rsidRPr="00D079AD">
              <w:rPr>
                <w:sz w:val="24"/>
                <w:szCs w:val="28"/>
              </w:rPr>
              <w:t>0</w:t>
            </w:r>
          </w:p>
        </w:tc>
        <w:tc>
          <w:tcPr>
            <w:tcW w:w="1041" w:type="dxa"/>
            <w:tcBorders>
              <w:top w:val="single" w:sz="4" w:space="0" w:color="auto"/>
              <w:bottom w:val="single" w:sz="4" w:space="0" w:color="auto"/>
            </w:tcBorders>
          </w:tcPr>
          <w:p w14:paraId="69A5F465" w14:textId="77777777" w:rsidR="00CF0E2D" w:rsidRPr="00D079AD" w:rsidRDefault="00CF0E2D" w:rsidP="00A60D4B">
            <w:pPr>
              <w:spacing w:after="0"/>
              <w:jc w:val="right"/>
              <w:rPr>
                <w:sz w:val="24"/>
                <w:szCs w:val="28"/>
              </w:rPr>
            </w:pPr>
            <w:r w:rsidRPr="00D079AD">
              <w:rPr>
                <w:sz w:val="24"/>
                <w:szCs w:val="28"/>
              </w:rPr>
              <w:t>3,000</w:t>
            </w:r>
          </w:p>
        </w:tc>
        <w:tc>
          <w:tcPr>
            <w:tcW w:w="1029" w:type="dxa"/>
            <w:tcBorders>
              <w:top w:val="single" w:sz="4" w:space="0" w:color="auto"/>
              <w:bottom w:val="single" w:sz="4" w:space="0" w:color="auto"/>
            </w:tcBorders>
          </w:tcPr>
          <w:p w14:paraId="1E9DBDAE" w14:textId="77777777" w:rsidR="00CF0E2D" w:rsidRPr="00D079AD" w:rsidRDefault="00CF0E2D" w:rsidP="00A60D4B">
            <w:pPr>
              <w:spacing w:after="0"/>
              <w:jc w:val="right"/>
              <w:rPr>
                <w:sz w:val="24"/>
                <w:szCs w:val="28"/>
              </w:rPr>
            </w:pPr>
            <w:r w:rsidRPr="00D079AD">
              <w:rPr>
                <w:sz w:val="24"/>
                <w:szCs w:val="28"/>
              </w:rPr>
              <w:t>6,000</w:t>
            </w:r>
          </w:p>
        </w:tc>
        <w:tc>
          <w:tcPr>
            <w:tcW w:w="1029" w:type="dxa"/>
            <w:tcBorders>
              <w:top w:val="single" w:sz="4" w:space="0" w:color="auto"/>
              <w:bottom w:val="single" w:sz="4" w:space="0" w:color="auto"/>
            </w:tcBorders>
          </w:tcPr>
          <w:p w14:paraId="248280C6" w14:textId="77777777" w:rsidR="00CF0E2D" w:rsidRPr="00D079AD" w:rsidRDefault="00CF0E2D" w:rsidP="00A60D4B">
            <w:pPr>
              <w:spacing w:after="0"/>
              <w:jc w:val="right"/>
              <w:rPr>
                <w:sz w:val="24"/>
                <w:szCs w:val="28"/>
              </w:rPr>
            </w:pPr>
            <w:r w:rsidRPr="00D079AD">
              <w:rPr>
                <w:sz w:val="24"/>
                <w:szCs w:val="28"/>
              </w:rPr>
              <w:t>0</w:t>
            </w:r>
          </w:p>
        </w:tc>
        <w:tc>
          <w:tcPr>
            <w:tcW w:w="1029" w:type="dxa"/>
            <w:tcBorders>
              <w:top w:val="single" w:sz="4" w:space="0" w:color="auto"/>
              <w:bottom w:val="single" w:sz="4" w:space="0" w:color="auto"/>
            </w:tcBorders>
          </w:tcPr>
          <w:p w14:paraId="3D92E720" w14:textId="77777777" w:rsidR="00CF0E2D" w:rsidRPr="00D079AD" w:rsidRDefault="00CF0E2D" w:rsidP="00A60D4B">
            <w:pPr>
              <w:spacing w:after="0"/>
              <w:jc w:val="right"/>
              <w:rPr>
                <w:b/>
                <w:sz w:val="24"/>
                <w:szCs w:val="28"/>
              </w:rPr>
            </w:pPr>
            <w:r w:rsidRPr="00D079AD">
              <w:rPr>
                <w:b/>
                <w:sz w:val="24"/>
                <w:szCs w:val="28"/>
              </w:rPr>
              <w:t>9,000</w:t>
            </w:r>
          </w:p>
        </w:tc>
      </w:tr>
      <w:tr w:rsidR="00CF0E2D" w:rsidRPr="00DE7F02" w14:paraId="24717A15" w14:textId="77777777" w:rsidTr="00A60D4B">
        <w:trPr>
          <w:cantSplit/>
          <w:jc w:val="center"/>
        </w:trPr>
        <w:tc>
          <w:tcPr>
            <w:tcW w:w="3652" w:type="dxa"/>
            <w:tcBorders>
              <w:top w:val="single" w:sz="4" w:space="0" w:color="auto"/>
              <w:bottom w:val="single" w:sz="4" w:space="0" w:color="auto"/>
            </w:tcBorders>
          </w:tcPr>
          <w:p w14:paraId="32025845" w14:textId="77777777" w:rsidR="00CF0E2D" w:rsidRPr="00D079AD" w:rsidRDefault="00CF0E2D" w:rsidP="00A60D4B">
            <w:pPr>
              <w:spacing w:after="0"/>
              <w:rPr>
                <w:sz w:val="24"/>
                <w:szCs w:val="28"/>
              </w:rPr>
            </w:pPr>
            <w:r w:rsidRPr="00D079AD">
              <w:rPr>
                <w:sz w:val="24"/>
                <w:szCs w:val="28"/>
              </w:rPr>
              <w:t>Depreciation</w:t>
            </w:r>
          </w:p>
        </w:tc>
        <w:tc>
          <w:tcPr>
            <w:tcW w:w="1179" w:type="dxa"/>
            <w:tcBorders>
              <w:top w:val="single" w:sz="4" w:space="0" w:color="auto"/>
              <w:bottom w:val="single" w:sz="4" w:space="0" w:color="auto"/>
            </w:tcBorders>
          </w:tcPr>
          <w:p w14:paraId="1F011D85" w14:textId="77777777" w:rsidR="00CF0E2D" w:rsidRPr="00D079AD" w:rsidRDefault="00CF0E2D" w:rsidP="00A60D4B">
            <w:pPr>
              <w:spacing w:after="0"/>
              <w:jc w:val="right"/>
              <w:rPr>
                <w:sz w:val="24"/>
                <w:szCs w:val="28"/>
              </w:rPr>
            </w:pPr>
            <w:r w:rsidRPr="00D079AD">
              <w:rPr>
                <w:sz w:val="24"/>
                <w:szCs w:val="28"/>
              </w:rPr>
              <w:t>0</w:t>
            </w:r>
          </w:p>
        </w:tc>
        <w:tc>
          <w:tcPr>
            <w:tcW w:w="1041" w:type="dxa"/>
            <w:tcBorders>
              <w:top w:val="single" w:sz="4" w:space="0" w:color="auto"/>
              <w:bottom w:val="single" w:sz="4" w:space="0" w:color="auto"/>
            </w:tcBorders>
          </w:tcPr>
          <w:p w14:paraId="08D6319D" w14:textId="77777777" w:rsidR="00CF0E2D" w:rsidRPr="00D079AD" w:rsidRDefault="00CF0E2D" w:rsidP="00A60D4B">
            <w:pPr>
              <w:spacing w:after="0"/>
              <w:jc w:val="right"/>
              <w:rPr>
                <w:sz w:val="24"/>
                <w:szCs w:val="28"/>
              </w:rPr>
            </w:pPr>
            <w:r w:rsidRPr="00D079AD">
              <w:rPr>
                <w:sz w:val="24"/>
                <w:szCs w:val="28"/>
              </w:rPr>
              <w:t>0</w:t>
            </w:r>
          </w:p>
        </w:tc>
        <w:tc>
          <w:tcPr>
            <w:tcW w:w="1029" w:type="dxa"/>
            <w:tcBorders>
              <w:top w:val="single" w:sz="4" w:space="0" w:color="auto"/>
              <w:bottom w:val="single" w:sz="4" w:space="0" w:color="auto"/>
            </w:tcBorders>
          </w:tcPr>
          <w:p w14:paraId="1C3A13A7" w14:textId="77777777" w:rsidR="00CF0E2D" w:rsidRPr="00D079AD" w:rsidRDefault="00CF0E2D" w:rsidP="00A60D4B">
            <w:pPr>
              <w:spacing w:after="0"/>
              <w:jc w:val="right"/>
              <w:rPr>
                <w:sz w:val="24"/>
                <w:szCs w:val="28"/>
              </w:rPr>
            </w:pPr>
            <w:r w:rsidRPr="00D079AD">
              <w:rPr>
                <w:sz w:val="24"/>
                <w:szCs w:val="28"/>
              </w:rPr>
              <w:t>0</w:t>
            </w:r>
          </w:p>
        </w:tc>
        <w:tc>
          <w:tcPr>
            <w:tcW w:w="1029" w:type="dxa"/>
            <w:tcBorders>
              <w:top w:val="single" w:sz="4" w:space="0" w:color="auto"/>
              <w:bottom w:val="single" w:sz="4" w:space="0" w:color="auto"/>
            </w:tcBorders>
          </w:tcPr>
          <w:p w14:paraId="7B10A94F" w14:textId="77777777" w:rsidR="00CF0E2D" w:rsidRPr="00D079AD" w:rsidRDefault="00CF0E2D" w:rsidP="00A60D4B">
            <w:pPr>
              <w:spacing w:after="0"/>
              <w:jc w:val="right"/>
              <w:rPr>
                <w:sz w:val="24"/>
                <w:szCs w:val="28"/>
              </w:rPr>
            </w:pPr>
            <w:r w:rsidRPr="00D079AD">
              <w:rPr>
                <w:sz w:val="24"/>
                <w:szCs w:val="28"/>
              </w:rPr>
              <w:t>225</w:t>
            </w:r>
          </w:p>
        </w:tc>
        <w:tc>
          <w:tcPr>
            <w:tcW w:w="1029" w:type="dxa"/>
            <w:tcBorders>
              <w:top w:val="single" w:sz="4" w:space="0" w:color="auto"/>
              <w:bottom w:val="single" w:sz="4" w:space="0" w:color="auto"/>
            </w:tcBorders>
          </w:tcPr>
          <w:p w14:paraId="493C2C04" w14:textId="77777777" w:rsidR="00CF0E2D" w:rsidRPr="00D079AD" w:rsidRDefault="00CF0E2D" w:rsidP="00A60D4B">
            <w:pPr>
              <w:spacing w:after="0"/>
              <w:jc w:val="right"/>
              <w:rPr>
                <w:b/>
                <w:sz w:val="24"/>
                <w:szCs w:val="28"/>
              </w:rPr>
            </w:pPr>
            <w:r w:rsidRPr="00D079AD">
              <w:rPr>
                <w:b/>
                <w:sz w:val="24"/>
                <w:szCs w:val="28"/>
              </w:rPr>
              <w:t>225</w:t>
            </w:r>
          </w:p>
        </w:tc>
      </w:tr>
    </w:tbl>
    <w:p w14:paraId="30654F4C" w14:textId="77777777" w:rsidR="00CF0E2D" w:rsidRPr="00B83A74" w:rsidRDefault="00CF0E2D" w:rsidP="00A60D4B">
      <w:pPr>
        <w:pStyle w:val="Bbodytext"/>
        <w:rPr>
          <w:rFonts w:ascii="Calibri" w:eastAsia="Times New Roman" w:hAnsi="Calibri" w:cs="Times New Roman"/>
          <w:szCs w:val="20"/>
        </w:rPr>
      </w:pPr>
      <w:r w:rsidRPr="00B83A74">
        <w:t>The Government will continue to deliver o</w:t>
      </w:r>
      <w:r w:rsidRPr="00B83A74">
        <w:rPr>
          <w:rFonts w:ascii="Calibri" w:eastAsia="Times New Roman" w:hAnsi="Calibri" w:cs="Times New Roman"/>
          <w:szCs w:val="20"/>
        </w:rPr>
        <w:t xml:space="preserve">n the Home of Football at Throsby, adding to the funding provided in the 2019-20 Budget initiative </w:t>
      </w:r>
      <w:r w:rsidRPr="00EB652B">
        <w:rPr>
          <w:rFonts w:ascii="Calibri" w:eastAsia="Times New Roman" w:hAnsi="Calibri" w:cs="Times New Roman"/>
          <w:i/>
          <w:iCs/>
          <w:szCs w:val="20"/>
        </w:rPr>
        <w:t>Delivering the Home of Football at Throsby</w:t>
      </w:r>
      <w:r w:rsidRPr="00B83A74">
        <w:rPr>
          <w:rFonts w:ascii="Calibri" w:eastAsia="Times New Roman" w:hAnsi="Calibri" w:cs="Times New Roman"/>
          <w:szCs w:val="20"/>
        </w:rPr>
        <w:t xml:space="preserve">. The facility will include football pitches, an indoor futsal facility, office space and associated amenities. </w:t>
      </w:r>
    </w:p>
    <w:p w14:paraId="399FDE04" w14:textId="77777777" w:rsidR="00CF0E2D" w:rsidRDefault="00CF0E2D" w:rsidP="00A60D4B">
      <w:pPr>
        <w:pStyle w:val="Bbodytext"/>
      </w:pPr>
      <w:r w:rsidRPr="00B83A74">
        <w:t xml:space="preserve">This initiative contributes to the wellbeing domains of Social connection and Health. </w:t>
      </w:r>
    </w:p>
    <w:p w14:paraId="45151D43" w14:textId="77777777" w:rsidR="00CF0E2D" w:rsidRPr="00B83A74" w:rsidRDefault="00CF0E2D" w:rsidP="00A60D4B">
      <w:pPr>
        <w:pStyle w:val="Bbodytext"/>
        <w:rPr>
          <w:rFonts w:ascii="Calibri" w:eastAsia="Times New Roman" w:hAnsi="Calibri" w:cs="Times New Roman"/>
          <w:szCs w:val="20"/>
        </w:rPr>
      </w:pPr>
    </w:p>
    <w:p w14:paraId="56107D10" w14:textId="77777777" w:rsidR="00CF0E2D" w:rsidRPr="00A51925" w:rsidRDefault="00CF0E2D" w:rsidP="00A60D4B">
      <w:pPr>
        <w:pStyle w:val="Heading4"/>
        <w:rPr>
          <w:rFonts w:eastAsia="Times New Roman"/>
        </w:rPr>
      </w:pPr>
      <w:r w:rsidRPr="00A51925">
        <w:rPr>
          <w:rFonts w:eastAsia="Times New Roman"/>
        </w:rPr>
        <w:t xml:space="preserve">Upgrading Canberra Venues </w:t>
      </w:r>
      <w:r>
        <w:rPr>
          <w:b w:val="0"/>
          <w:noProof/>
          <w:color w:val="999789"/>
          <w:sz w:val="32"/>
          <w:szCs w:val="24"/>
        </w:rPr>
        <w:drawing>
          <wp:anchor distT="0" distB="0" distL="114300" distR="114300" simplePos="0" relativeHeight="251768832" behindDoc="0" locked="1" layoutInCell="1" allowOverlap="1" wp14:anchorId="1349CD14" wp14:editId="114D212E">
            <wp:simplePos x="0" y="0"/>
            <wp:positionH relativeFrom="margin">
              <wp:align>right</wp:align>
            </wp:positionH>
            <wp:positionV relativeFrom="paragraph">
              <wp:posOffset>-132080</wp:posOffset>
            </wp:positionV>
            <wp:extent cx="1284605" cy="503555"/>
            <wp:effectExtent l="0" t="0" r="0" b="0"/>
            <wp:wrapSquare wrapText="bothSides"/>
            <wp:docPr id="81" name="Picture 81" descr="Icon representing the wellbeing domain of Social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Icon representing the wellbeing domain of Social Connection"/>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8460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34323" w14:paraId="78042260" w14:textId="77777777" w:rsidTr="00A60D4B">
        <w:trPr>
          <w:cantSplit/>
          <w:jc w:val="center"/>
        </w:trPr>
        <w:tc>
          <w:tcPr>
            <w:tcW w:w="3652" w:type="dxa"/>
            <w:tcBorders>
              <w:top w:val="single" w:sz="4" w:space="0" w:color="auto"/>
              <w:bottom w:val="single" w:sz="4" w:space="0" w:color="auto"/>
            </w:tcBorders>
          </w:tcPr>
          <w:p w14:paraId="519AB3F7" w14:textId="77777777" w:rsidR="00CF0E2D" w:rsidRPr="00934323" w:rsidRDefault="00CF0E2D" w:rsidP="00A60D4B">
            <w:pPr>
              <w:pStyle w:val="EmptyCell0"/>
            </w:pPr>
            <w:r w:rsidRPr="00934323">
              <w:t>Empty Cell</w:t>
            </w:r>
          </w:p>
        </w:tc>
        <w:tc>
          <w:tcPr>
            <w:tcW w:w="1179" w:type="dxa"/>
            <w:tcBorders>
              <w:top w:val="single" w:sz="4" w:space="0" w:color="auto"/>
              <w:bottom w:val="single" w:sz="4" w:space="0" w:color="auto"/>
            </w:tcBorders>
          </w:tcPr>
          <w:p w14:paraId="36F6ECD0" w14:textId="77777777" w:rsidR="00CF0E2D" w:rsidRPr="005F182D" w:rsidRDefault="00CF0E2D" w:rsidP="00A60D4B">
            <w:pPr>
              <w:pStyle w:val="InitFigR"/>
              <w:rPr>
                <w:b/>
                <w:bCs/>
              </w:rPr>
            </w:pPr>
            <w:r w:rsidRPr="005F182D">
              <w:rPr>
                <w:b/>
                <w:bCs/>
              </w:rPr>
              <w:t>2021-22</w:t>
            </w:r>
          </w:p>
          <w:p w14:paraId="39E7B87C" w14:textId="77777777" w:rsidR="00CF0E2D" w:rsidRPr="005F182D" w:rsidRDefault="00CF0E2D" w:rsidP="00A60D4B">
            <w:pPr>
              <w:pStyle w:val="InitFigR"/>
              <w:rPr>
                <w:b/>
                <w:bCs/>
              </w:rPr>
            </w:pPr>
            <w:r w:rsidRPr="005F182D">
              <w:rPr>
                <w:b/>
                <w:bCs/>
              </w:rPr>
              <w:t>$’000</w:t>
            </w:r>
          </w:p>
        </w:tc>
        <w:tc>
          <w:tcPr>
            <w:tcW w:w="1041" w:type="dxa"/>
            <w:tcBorders>
              <w:top w:val="single" w:sz="4" w:space="0" w:color="auto"/>
              <w:bottom w:val="single" w:sz="4" w:space="0" w:color="auto"/>
            </w:tcBorders>
          </w:tcPr>
          <w:p w14:paraId="099D4D7C" w14:textId="77777777" w:rsidR="00CF0E2D" w:rsidRPr="005F182D" w:rsidRDefault="00CF0E2D" w:rsidP="00A60D4B">
            <w:pPr>
              <w:pStyle w:val="InitFigR"/>
              <w:rPr>
                <w:b/>
                <w:bCs/>
              </w:rPr>
            </w:pPr>
            <w:r w:rsidRPr="005F182D">
              <w:rPr>
                <w:b/>
                <w:bCs/>
              </w:rPr>
              <w:t>2022-23</w:t>
            </w:r>
          </w:p>
          <w:p w14:paraId="72B238C1" w14:textId="77777777" w:rsidR="00CF0E2D" w:rsidRPr="005F182D" w:rsidRDefault="00CF0E2D" w:rsidP="00A60D4B">
            <w:pPr>
              <w:pStyle w:val="InitFigR"/>
              <w:rPr>
                <w:b/>
                <w:bCs/>
              </w:rPr>
            </w:pPr>
            <w:r w:rsidRPr="005F182D">
              <w:rPr>
                <w:b/>
                <w:bCs/>
              </w:rPr>
              <w:t>$’000</w:t>
            </w:r>
          </w:p>
        </w:tc>
        <w:tc>
          <w:tcPr>
            <w:tcW w:w="1029" w:type="dxa"/>
            <w:tcBorders>
              <w:top w:val="single" w:sz="4" w:space="0" w:color="auto"/>
              <w:bottom w:val="single" w:sz="4" w:space="0" w:color="auto"/>
            </w:tcBorders>
          </w:tcPr>
          <w:p w14:paraId="3A38327C" w14:textId="77777777" w:rsidR="00CF0E2D" w:rsidRPr="005F182D" w:rsidRDefault="00CF0E2D" w:rsidP="00A60D4B">
            <w:pPr>
              <w:pStyle w:val="InitFigR"/>
              <w:rPr>
                <w:b/>
                <w:bCs/>
              </w:rPr>
            </w:pPr>
            <w:r w:rsidRPr="005F182D">
              <w:rPr>
                <w:b/>
                <w:bCs/>
              </w:rPr>
              <w:t>2023-24</w:t>
            </w:r>
          </w:p>
          <w:p w14:paraId="18F587F4" w14:textId="77777777" w:rsidR="00CF0E2D" w:rsidRPr="005F182D" w:rsidRDefault="00CF0E2D" w:rsidP="00A60D4B">
            <w:pPr>
              <w:pStyle w:val="InitFigR"/>
              <w:rPr>
                <w:b/>
                <w:bCs/>
              </w:rPr>
            </w:pPr>
            <w:r w:rsidRPr="005F182D">
              <w:rPr>
                <w:b/>
                <w:bCs/>
              </w:rPr>
              <w:t>$’000</w:t>
            </w:r>
          </w:p>
        </w:tc>
        <w:tc>
          <w:tcPr>
            <w:tcW w:w="1029" w:type="dxa"/>
            <w:tcBorders>
              <w:top w:val="single" w:sz="4" w:space="0" w:color="auto"/>
              <w:bottom w:val="single" w:sz="4" w:space="0" w:color="auto"/>
            </w:tcBorders>
          </w:tcPr>
          <w:p w14:paraId="1E6D6B5E" w14:textId="77777777" w:rsidR="00CF0E2D" w:rsidRPr="005F182D" w:rsidRDefault="00CF0E2D" w:rsidP="00A60D4B">
            <w:pPr>
              <w:pStyle w:val="InitFigR"/>
              <w:rPr>
                <w:b/>
                <w:bCs/>
              </w:rPr>
            </w:pPr>
            <w:r w:rsidRPr="005F182D">
              <w:rPr>
                <w:b/>
                <w:bCs/>
              </w:rPr>
              <w:t>2024-25</w:t>
            </w:r>
          </w:p>
          <w:p w14:paraId="66BCB2D0" w14:textId="77777777" w:rsidR="00CF0E2D" w:rsidRPr="005F182D" w:rsidRDefault="00CF0E2D" w:rsidP="00A60D4B">
            <w:pPr>
              <w:pStyle w:val="InitFigR"/>
              <w:rPr>
                <w:b/>
                <w:bCs/>
              </w:rPr>
            </w:pPr>
            <w:r w:rsidRPr="005F182D">
              <w:rPr>
                <w:b/>
                <w:bCs/>
              </w:rPr>
              <w:t>$’000</w:t>
            </w:r>
          </w:p>
        </w:tc>
        <w:tc>
          <w:tcPr>
            <w:tcW w:w="1029" w:type="dxa"/>
            <w:tcBorders>
              <w:top w:val="single" w:sz="4" w:space="0" w:color="auto"/>
              <w:bottom w:val="single" w:sz="4" w:space="0" w:color="auto"/>
            </w:tcBorders>
          </w:tcPr>
          <w:p w14:paraId="7024C235" w14:textId="77777777" w:rsidR="00CF0E2D" w:rsidRPr="00934323" w:rsidRDefault="00CF0E2D" w:rsidP="00A60D4B">
            <w:pPr>
              <w:pStyle w:val="InitFigRBold"/>
            </w:pPr>
            <w:r w:rsidRPr="00934323">
              <w:t>Total</w:t>
            </w:r>
          </w:p>
          <w:p w14:paraId="4D3B53A1" w14:textId="77777777" w:rsidR="00CF0E2D" w:rsidRPr="00934323" w:rsidRDefault="00CF0E2D" w:rsidP="00A60D4B">
            <w:pPr>
              <w:pStyle w:val="InitFigBR"/>
            </w:pPr>
            <w:r w:rsidRPr="00934323">
              <w:t>$’000</w:t>
            </w:r>
          </w:p>
        </w:tc>
      </w:tr>
      <w:tr w:rsidR="00CF0E2D" w:rsidRPr="00934323" w14:paraId="1FB1B41D" w14:textId="77777777" w:rsidTr="00A60D4B">
        <w:trPr>
          <w:cantSplit/>
          <w:jc w:val="center"/>
        </w:trPr>
        <w:tc>
          <w:tcPr>
            <w:tcW w:w="3652" w:type="dxa"/>
            <w:tcBorders>
              <w:top w:val="single" w:sz="4" w:space="0" w:color="auto"/>
            </w:tcBorders>
          </w:tcPr>
          <w:p w14:paraId="51A7A360" w14:textId="77777777" w:rsidR="00CF0E2D" w:rsidRPr="00934323" w:rsidRDefault="00CF0E2D" w:rsidP="00A60D4B">
            <w:pPr>
              <w:pStyle w:val="InitTextL"/>
              <w:ind w:left="321" w:hanging="321"/>
            </w:pPr>
            <w:r w:rsidRPr="00934323">
              <w:t>Capital</w:t>
            </w:r>
          </w:p>
        </w:tc>
        <w:tc>
          <w:tcPr>
            <w:tcW w:w="1179" w:type="dxa"/>
            <w:tcBorders>
              <w:top w:val="single" w:sz="4" w:space="0" w:color="auto"/>
            </w:tcBorders>
          </w:tcPr>
          <w:p w14:paraId="2733864C" w14:textId="77777777" w:rsidR="00CF0E2D" w:rsidRPr="00934323" w:rsidRDefault="00CF0E2D" w:rsidP="00A60D4B">
            <w:pPr>
              <w:pStyle w:val="InitFigR"/>
            </w:pPr>
            <w:r w:rsidRPr="00335BA7">
              <w:t>4,859</w:t>
            </w:r>
          </w:p>
        </w:tc>
        <w:tc>
          <w:tcPr>
            <w:tcW w:w="1041" w:type="dxa"/>
            <w:tcBorders>
              <w:top w:val="single" w:sz="4" w:space="0" w:color="auto"/>
            </w:tcBorders>
          </w:tcPr>
          <w:p w14:paraId="7EB3E513" w14:textId="77777777" w:rsidR="00CF0E2D" w:rsidRPr="00934323" w:rsidRDefault="00CF0E2D" w:rsidP="00A60D4B">
            <w:pPr>
              <w:pStyle w:val="InitFigR"/>
            </w:pPr>
            <w:r w:rsidRPr="00335BA7">
              <w:t>3,200</w:t>
            </w:r>
          </w:p>
        </w:tc>
        <w:tc>
          <w:tcPr>
            <w:tcW w:w="1029" w:type="dxa"/>
            <w:tcBorders>
              <w:top w:val="single" w:sz="4" w:space="0" w:color="auto"/>
            </w:tcBorders>
          </w:tcPr>
          <w:p w14:paraId="56681771" w14:textId="77777777" w:rsidR="00CF0E2D" w:rsidRPr="00934323" w:rsidRDefault="00CF0E2D" w:rsidP="00A60D4B">
            <w:pPr>
              <w:pStyle w:val="InitFigR"/>
            </w:pPr>
            <w:r>
              <w:t>0</w:t>
            </w:r>
          </w:p>
        </w:tc>
        <w:tc>
          <w:tcPr>
            <w:tcW w:w="1029" w:type="dxa"/>
            <w:tcBorders>
              <w:top w:val="single" w:sz="4" w:space="0" w:color="auto"/>
            </w:tcBorders>
          </w:tcPr>
          <w:p w14:paraId="72582888" w14:textId="77777777" w:rsidR="00CF0E2D" w:rsidRPr="00934323" w:rsidRDefault="00CF0E2D" w:rsidP="00A60D4B">
            <w:pPr>
              <w:pStyle w:val="InitFigR"/>
            </w:pPr>
            <w:r>
              <w:t>0</w:t>
            </w:r>
          </w:p>
        </w:tc>
        <w:tc>
          <w:tcPr>
            <w:tcW w:w="1029" w:type="dxa"/>
            <w:tcBorders>
              <w:top w:val="single" w:sz="4" w:space="0" w:color="auto"/>
            </w:tcBorders>
          </w:tcPr>
          <w:p w14:paraId="3B17EB7B" w14:textId="77777777" w:rsidR="00CF0E2D" w:rsidRPr="00934323" w:rsidRDefault="00CF0E2D" w:rsidP="00A60D4B">
            <w:pPr>
              <w:pStyle w:val="InitFigRBold"/>
              <w:rPr>
                <w:bCs/>
              </w:rPr>
            </w:pPr>
            <w:r>
              <w:rPr>
                <w:bCs/>
              </w:rPr>
              <w:t>8,059</w:t>
            </w:r>
          </w:p>
        </w:tc>
      </w:tr>
      <w:tr w:rsidR="00CF0E2D" w:rsidRPr="00934323" w14:paraId="481F97DA" w14:textId="77777777" w:rsidTr="00A60D4B">
        <w:trPr>
          <w:cantSplit/>
          <w:jc w:val="center"/>
        </w:trPr>
        <w:tc>
          <w:tcPr>
            <w:tcW w:w="3652" w:type="dxa"/>
          </w:tcPr>
          <w:p w14:paraId="7F577B9F" w14:textId="77777777" w:rsidR="00CF0E2D" w:rsidRPr="00934323" w:rsidRDefault="00CF0E2D" w:rsidP="00A60D4B">
            <w:pPr>
              <w:pStyle w:val="InitTextL"/>
              <w:ind w:left="321" w:hanging="321"/>
            </w:pPr>
            <w:r>
              <w:t xml:space="preserve">Capital – Provision </w:t>
            </w:r>
          </w:p>
        </w:tc>
        <w:tc>
          <w:tcPr>
            <w:tcW w:w="1179" w:type="dxa"/>
          </w:tcPr>
          <w:p w14:paraId="5A2E80B7" w14:textId="77777777" w:rsidR="00CF0E2D" w:rsidRPr="00934323" w:rsidRDefault="00CF0E2D" w:rsidP="00A60D4B">
            <w:pPr>
              <w:pStyle w:val="InitFigR"/>
            </w:pPr>
            <w:r>
              <w:t>0</w:t>
            </w:r>
          </w:p>
        </w:tc>
        <w:tc>
          <w:tcPr>
            <w:tcW w:w="1041" w:type="dxa"/>
          </w:tcPr>
          <w:p w14:paraId="450CD35B" w14:textId="77777777" w:rsidR="00CF0E2D" w:rsidRPr="00934323" w:rsidRDefault="00CF0E2D" w:rsidP="00A60D4B">
            <w:pPr>
              <w:pStyle w:val="InitFigR"/>
            </w:pPr>
            <w:r>
              <w:t>1,500</w:t>
            </w:r>
          </w:p>
        </w:tc>
        <w:tc>
          <w:tcPr>
            <w:tcW w:w="1029" w:type="dxa"/>
          </w:tcPr>
          <w:p w14:paraId="181532F6" w14:textId="77777777" w:rsidR="00CF0E2D" w:rsidRPr="00934323" w:rsidRDefault="00CF0E2D" w:rsidP="00A60D4B">
            <w:pPr>
              <w:pStyle w:val="InitFigR"/>
            </w:pPr>
            <w:r>
              <w:t>1,500</w:t>
            </w:r>
          </w:p>
        </w:tc>
        <w:tc>
          <w:tcPr>
            <w:tcW w:w="1029" w:type="dxa"/>
          </w:tcPr>
          <w:p w14:paraId="0050C63C" w14:textId="77777777" w:rsidR="00CF0E2D" w:rsidRPr="00934323" w:rsidRDefault="00CF0E2D" w:rsidP="00A60D4B">
            <w:pPr>
              <w:pStyle w:val="InitFigR"/>
            </w:pPr>
            <w:r>
              <w:t>1,500</w:t>
            </w:r>
          </w:p>
        </w:tc>
        <w:tc>
          <w:tcPr>
            <w:tcW w:w="1029" w:type="dxa"/>
          </w:tcPr>
          <w:p w14:paraId="35D1AE7C" w14:textId="77777777" w:rsidR="00CF0E2D" w:rsidRPr="00934323" w:rsidRDefault="00CF0E2D" w:rsidP="00A60D4B">
            <w:pPr>
              <w:pStyle w:val="InitFigRBold"/>
              <w:rPr>
                <w:bCs/>
              </w:rPr>
            </w:pPr>
            <w:r>
              <w:rPr>
                <w:bCs/>
              </w:rPr>
              <w:t>4,500</w:t>
            </w:r>
          </w:p>
        </w:tc>
      </w:tr>
      <w:tr w:rsidR="00CF0E2D" w:rsidRPr="00934323" w14:paraId="03010138" w14:textId="77777777" w:rsidTr="00A60D4B">
        <w:trPr>
          <w:cantSplit/>
          <w:jc w:val="center"/>
        </w:trPr>
        <w:tc>
          <w:tcPr>
            <w:tcW w:w="3652" w:type="dxa"/>
            <w:tcBorders>
              <w:top w:val="single" w:sz="4" w:space="0" w:color="auto"/>
              <w:bottom w:val="single" w:sz="4" w:space="0" w:color="auto"/>
            </w:tcBorders>
          </w:tcPr>
          <w:p w14:paraId="7F114F06" w14:textId="0E57C968" w:rsidR="00CF0E2D" w:rsidRPr="00934323" w:rsidRDefault="00B86042" w:rsidP="00A60D4B">
            <w:pPr>
              <w:pStyle w:val="InitTextL"/>
              <w:ind w:left="321" w:hanging="321"/>
              <w:rPr>
                <w:b/>
                <w:bCs/>
              </w:rPr>
            </w:pPr>
            <w:r>
              <w:rPr>
                <w:b/>
                <w:bCs/>
              </w:rPr>
              <w:t>Total capital</w:t>
            </w:r>
          </w:p>
        </w:tc>
        <w:tc>
          <w:tcPr>
            <w:tcW w:w="1179" w:type="dxa"/>
            <w:tcBorders>
              <w:top w:val="single" w:sz="4" w:space="0" w:color="auto"/>
              <w:bottom w:val="single" w:sz="4" w:space="0" w:color="auto"/>
            </w:tcBorders>
          </w:tcPr>
          <w:p w14:paraId="5611884C" w14:textId="77777777" w:rsidR="00CF0E2D" w:rsidRPr="00934323" w:rsidRDefault="00CF0E2D" w:rsidP="00A60D4B">
            <w:pPr>
              <w:pStyle w:val="InitFigR"/>
              <w:rPr>
                <w:b/>
                <w:bCs/>
              </w:rPr>
            </w:pPr>
            <w:r w:rsidRPr="00C55B32">
              <w:rPr>
                <w:b/>
                <w:bCs/>
              </w:rPr>
              <w:t>4,859</w:t>
            </w:r>
          </w:p>
        </w:tc>
        <w:tc>
          <w:tcPr>
            <w:tcW w:w="1041" w:type="dxa"/>
            <w:tcBorders>
              <w:top w:val="single" w:sz="4" w:space="0" w:color="auto"/>
              <w:bottom w:val="single" w:sz="4" w:space="0" w:color="auto"/>
            </w:tcBorders>
          </w:tcPr>
          <w:p w14:paraId="79A6B3D5" w14:textId="77777777" w:rsidR="00CF0E2D" w:rsidRPr="00934323" w:rsidRDefault="00CF0E2D" w:rsidP="00A60D4B">
            <w:pPr>
              <w:pStyle w:val="InitFigR"/>
              <w:rPr>
                <w:b/>
                <w:bCs/>
              </w:rPr>
            </w:pPr>
            <w:r w:rsidRPr="00C55B32">
              <w:rPr>
                <w:b/>
                <w:bCs/>
              </w:rPr>
              <w:t>4,700</w:t>
            </w:r>
          </w:p>
        </w:tc>
        <w:tc>
          <w:tcPr>
            <w:tcW w:w="1029" w:type="dxa"/>
            <w:tcBorders>
              <w:top w:val="single" w:sz="4" w:space="0" w:color="auto"/>
              <w:bottom w:val="single" w:sz="4" w:space="0" w:color="auto"/>
            </w:tcBorders>
          </w:tcPr>
          <w:p w14:paraId="0B4DE59F" w14:textId="77777777" w:rsidR="00CF0E2D" w:rsidRPr="00934323" w:rsidRDefault="00CF0E2D" w:rsidP="00A60D4B">
            <w:pPr>
              <w:pStyle w:val="InitFigR"/>
              <w:rPr>
                <w:b/>
                <w:bCs/>
              </w:rPr>
            </w:pPr>
            <w:r>
              <w:rPr>
                <w:b/>
                <w:bCs/>
              </w:rPr>
              <w:t>1,500</w:t>
            </w:r>
          </w:p>
        </w:tc>
        <w:tc>
          <w:tcPr>
            <w:tcW w:w="1029" w:type="dxa"/>
            <w:tcBorders>
              <w:top w:val="single" w:sz="4" w:space="0" w:color="auto"/>
              <w:bottom w:val="single" w:sz="4" w:space="0" w:color="auto"/>
            </w:tcBorders>
          </w:tcPr>
          <w:p w14:paraId="466EC653" w14:textId="77777777" w:rsidR="00CF0E2D" w:rsidRPr="00934323" w:rsidRDefault="00CF0E2D" w:rsidP="00A60D4B">
            <w:pPr>
              <w:pStyle w:val="InitFigR"/>
              <w:rPr>
                <w:b/>
                <w:bCs/>
              </w:rPr>
            </w:pPr>
            <w:r>
              <w:rPr>
                <w:b/>
                <w:bCs/>
              </w:rPr>
              <w:t>1,500</w:t>
            </w:r>
          </w:p>
        </w:tc>
        <w:tc>
          <w:tcPr>
            <w:tcW w:w="1029" w:type="dxa"/>
            <w:tcBorders>
              <w:top w:val="single" w:sz="4" w:space="0" w:color="auto"/>
              <w:bottom w:val="single" w:sz="4" w:space="0" w:color="auto"/>
            </w:tcBorders>
          </w:tcPr>
          <w:p w14:paraId="22BB3585" w14:textId="77777777" w:rsidR="00CF0E2D" w:rsidRPr="00934323" w:rsidRDefault="00CF0E2D" w:rsidP="00A60D4B">
            <w:pPr>
              <w:pStyle w:val="InitFigRBold"/>
              <w:rPr>
                <w:bCs/>
              </w:rPr>
            </w:pPr>
            <w:r>
              <w:rPr>
                <w:bCs/>
              </w:rPr>
              <w:t>12,559</w:t>
            </w:r>
          </w:p>
        </w:tc>
      </w:tr>
      <w:tr w:rsidR="00CF0E2D" w:rsidRPr="00A51925" w14:paraId="453DF21F" w14:textId="77777777" w:rsidTr="00A60D4B">
        <w:trPr>
          <w:cantSplit/>
          <w:jc w:val="center"/>
        </w:trPr>
        <w:tc>
          <w:tcPr>
            <w:tcW w:w="3652" w:type="dxa"/>
            <w:tcBorders>
              <w:top w:val="single" w:sz="4" w:space="0" w:color="auto"/>
              <w:bottom w:val="single" w:sz="4" w:space="0" w:color="auto"/>
            </w:tcBorders>
          </w:tcPr>
          <w:p w14:paraId="589862E9" w14:textId="77777777" w:rsidR="00CF0E2D" w:rsidRPr="00A51925" w:rsidRDefault="00CF0E2D" w:rsidP="00A60D4B">
            <w:pPr>
              <w:pStyle w:val="InitTextL"/>
              <w:ind w:left="321" w:hanging="321"/>
              <w:rPr>
                <w:b/>
                <w:bCs/>
                <w:szCs w:val="24"/>
              </w:rPr>
            </w:pPr>
            <w:r w:rsidRPr="00A51925">
              <w:rPr>
                <w:szCs w:val="24"/>
              </w:rPr>
              <w:t>Depreciation</w:t>
            </w:r>
          </w:p>
        </w:tc>
        <w:tc>
          <w:tcPr>
            <w:tcW w:w="1179" w:type="dxa"/>
            <w:tcBorders>
              <w:top w:val="single" w:sz="4" w:space="0" w:color="auto"/>
              <w:bottom w:val="single" w:sz="4" w:space="0" w:color="auto"/>
            </w:tcBorders>
          </w:tcPr>
          <w:p w14:paraId="69176CDF" w14:textId="77777777" w:rsidR="00CF0E2D" w:rsidRPr="00A51925" w:rsidRDefault="00CF0E2D" w:rsidP="00A60D4B">
            <w:pPr>
              <w:pStyle w:val="InitFigR"/>
              <w:rPr>
                <w:szCs w:val="24"/>
              </w:rPr>
            </w:pPr>
            <w:r w:rsidRPr="00A51925">
              <w:rPr>
                <w:szCs w:val="24"/>
              </w:rPr>
              <w:t>0</w:t>
            </w:r>
          </w:p>
        </w:tc>
        <w:tc>
          <w:tcPr>
            <w:tcW w:w="1041" w:type="dxa"/>
            <w:tcBorders>
              <w:top w:val="single" w:sz="4" w:space="0" w:color="auto"/>
              <w:bottom w:val="single" w:sz="4" w:space="0" w:color="auto"/>
            </w:tcBorders>
          </w:tcPr>
          <w:p w14:paraId="42B88AE4" w14:textId="77777777" w:rsidR="00CF0E2D" w:rsidRPr="00A51925" w:rsidRDefault="00CF0E2D" w:rsidP="00A60D4B">
            <w:pPr>
              <w:pStyle w:val="InitFigR"/>
              <w:rPr>
                <w:szCs w:val="24"/>
              </w:rPr>
            </w:pPr>
            <w:r w:rsidRPr="00A51925">
              <w:rPr>
                <w:szCs w:val="24"/>
              </w:rPr>
              <w:t>244</w:t>
            </w:r>
          </w:p>
        </w:tc>
        <w:tc>
          <w:tcPr>
            <w:tcW w:w="1029" w:type="dxa"/>
            <w:tcBorders>
              <w:top w:val="single" w:sz="4" w:space="0" w:color="auto"/>
              <w:bottom w:val="single" w:sz="4" w:space="0" w:color="auto"/>
            </w:tcBorders>
          </w:tcPr>
          <w:p w14:paraId="3CB52B8A" w14:textId="77777777" w:rsidR="00CF0E2D" w:rsidRPr="00A51925" w:rsidRDefault="00CF0E2D" w:rsidP="00A60D4B">
            <w:pPr>
              <w:pStyle w:val="InitFigR"/>
              <w:rPr>
                <w:szCs w:val="24"/>
              </w:rPr>
            </w:pPr>
            <w:r w:rsidRPr="00A51925">
              <w:rPr>
                <w:szCs w:val="24"/>
              </w:rPr>
              <w:t>304</w:t>
            </w:r>
          </w:p>
        </w:tc>
        <w:tc>
          <w:tcPr>
            <w:tcW w:w="1029" w:type="dxa"/>
            <w:tcBorders>
              <w:top w:val="single" w:sz="4" w:space="0" w:color="auto"/>
              <w:bottom w:val="single" w:sz="4" w:space="0" w:color="auto"/>
            </w:tcBorders>
          </w:tcPr>
          <w:p w14:paraId="0D541764" w14:textId="77777777" w:rsidR="00CF0E2D" w:rsidRPr="00A51925" w:rsidRDefault="00CF0E2D" w:rsidP="00A60D4B">
            <w:pPr>
              <w:pStyle w:val="InitFigR"/>
              <w:rPr>
                <w:szCs w:val="24"/>
              </w:rPr>
            </w:pPr>
            <w:r w:rsidRPr="00A51925">
              <w:rPr>
                <w:szCs w:val="24"/>
              </w:rPr>
              <w:t>304</w:t>
            </w:r>
          </w:p>
        </w:tc>
        <w:tc>
          <w:tcPr>
            <w:tcW w:w="1029" w:type="dxa"/>
            <w:tcBorders>
              <w:top w:val="single" w:sz="4" w:space="0" w:color="auto"/>
              <w:bottom w:val="single" w:sz="4" w:space="0" w:color="auto"/>
            </w:tcBorders>
          </w:tcPr>
          <w:p w14:paraId="6E120B07" w14:textId="77777777" w:rsidR="00CF0E2D" w:rsidRPr="00A51925" w:rsidRDefault="00CF0E2D" w:rsidP="00A60D4B">
            <w:pPr>
              <w:pStyle w:val="InitFigRBold"/>
              <w:rPr>
                <w:bCs/>
                <w:szCs w:val="24"/>
              </w:rPr>
            </w:pPr>
            <w:r w:rsidRPr="00A51925">
              <w:rPr>
                <w:bCs/>
                <w:szCs w:val="24"/>
              </w:rPr>
              <w:t>852</w:t>
            </w:r>
          </w:p>
        </w:tc>
      </w:tr>
    </w:tbl>
    <w:p w14:paraId="747E5C5C" w14:textId="77777777" w:rsidR="00CF0E2D" w:rsidRPr="00A51925" w:rsidRDefault="00CF0E2D" w:rsidP="00A60D4B">
      <w:pPr>
        <w:pStyle w:val="Bbodytext"/>
      </w:pPr>
      <w:r w:rsidRPr="00A51925">
        <w:t xml:space="preserve">The Government will replace the Northern Video Replay Board at the GIO Stadium, provide permanent toilet facilities and a new video scoreboard at Manual Oval, and undertake upgrades at Manuka Oval, GIO Stadium and Exhibition Park in Canberra (EPIC). The initiative will also provision ongoing funding for additional repairs and maintenance at the three venues. </w:t>
      </w:r>
    </w:p>
    <w:p w14:paraId="2EAA321B" w14:textId="77777777" w:rsidR="00CF0E2D" w:rsidRDefault="00CF0E2D" w:rsidP="00A60D4B">
      <w:pPr>
        <w:spacing w:before="200" w:after="200"/>
        <w:rPr>
          <w:sz w:val="24"/>
          <w:szCs w:val="24"/>
        </w:rPr>
      </w:pPr>
      <w:r w:rsidRPr="00A51925">
        <w:rPr>
          <w:sz w:val="24"/>
          <w:szCs w:val="24"/>
        </w:rPr>
        <w:t>This initiative contributes to the wellbeing domains of Social connection and Economy.</w:t>
      </w:r>
    </w:p>
    <w:p w14:paraId="5250F2E0" w14:textId="77777777" w:rsidR="00CF0E2D" w:rsidRDefault="00CF0E2D">
      <w:pPr>
        <w:rPr>
          <w:sz w:val="24"/>
          <w:szCs w:val="24"/>
        </w:rPr>
      </w:pPr>
      <w:r>
        <w:rPr>
          <w:sz w:val="24"/>
          <w:szCs w:val="24"/>
        </w:rPr>
        <w:br w:type="page"/>
      </w:r>
    </w:p>
    <w:p w14:paraId="068256A4" w14:textId="77777777" w:rsidR="00CF0E2D" w:rsidRPr="00A51925" w:rsidRDefault="00CF0E2D" w:rsidP="00A60D4B">
      <w:pPr>
        <w:pStyle w:val="Heading4"/>
        <w:rPr>
          <w:sz w:val="24"/>
          <w:szCs w:val="24"/>
        </w:rPr>
      </w:pPr>
      <w:bookmarkStart w:id="36" w:name="_Hlk84171620"/>
      <w:r w:rsidRPr="0098087B">
        <w:rPr>
          <w:rFonts w:eastAsia="Times New Roman"/>
        </w:rPr>
        <w:lastRenderedPageBreak/>
        <w:t xml:space="preserve">2021-22 tax settings - Expanding concessions and assistance measures </w:t>
      </w:r>
      <w:r>
        <w:rPr>
          <w:b w:val="0"/>
          <w:noProof/>
          <w:color w:val="999789"/>
          <w:sz w:val="32"/>
          <w:szCs w:val="24"/>
        </w:rPr>
        <w:drawing>
          <wp:anchor distT="0" distB="0" distL="114300" distR="114300" simplePos="0" relativeHeight="251822080" behindDoc="0" locked="1" layoutInCell="1" allowOverlap="1" wp14:anchorId="56FE9BEE" wp14:editId="00B0D879">
            <wp:simplePos x="0" y="0"/>
            <wp:positionH relativeFrom="margin">
              <wp:posOffset>4551045</wp:posOffset>
            </wp:positionH>
            <wp:positionV relativeFrom="paragraph">
              <wp:posOffset>6985</wp:posOffset>
            </wp:positionV>
            <wp:extent cx="1212850" cy="503555"/>
            <wp:effectExtent l="0" t="0" r="6350" b="0"/>
            <wp:wrapSquare wrapText="bothSides"/>
            <wp:docPr id="277" name="Picture 277" descr="Icon representing the wellbeing domain of Living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con representing the wellbeing domain of Living standards"/>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12850" cy="503555"/>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1" w:rightFromText="181" w:vertAnchor="text" w:tblpY="1"/>
        <w:tblW w:w="9072" w:type="dxa"/>
        <w:tblBorders>
          <w:top w:val="single" w:sz="4" w:space="0" w:color="auto"/>
          <w:bottom w:val="single" w:sz="4" w:space="0" w:color="auto"/>
        </w:tblBorders>
        <w:tblLayout w:type="fixed"/>
        <w:tblLook w:val="0000" w:firstRow="0" w:lastRow="0" w:firstColumn="0" w:lastColumn="0" w:noHBand="0" w:noVBand="0"/>
      </w:tblPr>
      <w:tblGrid>
        <w:gridCol w:w="3652"/>
        <w:gridCol w:w="1179"/>
        <w:gridCol w:w="1041"/>
        <w:gridCol w:w="1029"/>
        <w:gridCol w:w="1029"/>
        <w:gridCol w:w="1142"/>
      </w:tblGrid>
      <w:tr w:rsidR="00CF0E2D" w:rsidRPr="00750793" w14:paraId="3EA52285" w14:textId="77777777" w:rsidTr="00A60D4B">
        <w:trPr>
          <w:cantSplit/>
        </w:trPr>
        <w:tc>
          <w:tcPr>
            <w:tcW w:w="3652" w:type="dxa"/>
            <w:tcBorders>
              <w:top w:val="single" w:sz="4" w:space="0" w:color="auto"/>
              <w:bottom w:val="single" w:sz="4" w:space="0" w:color="auto"/>
            </w:tcBorders>
          </w:tcPr>
          <w:p w14:paraId="51428E32"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0155EBFC" w14:textId="77777777" w:rsidR="00CF0E2D" w:rsidRPr="00894CD3" w:rsidRDefault="00CF0E2D" w:rsidP="00A60D4B">
            <w:pPr>
              <w:pStyle w:val="InitFigR"/>
              <w:keepNext/>
              <w:keepLines/>
              <w:rPr>
                <w:b/>
                <w:bCs/>
              </w:rPr>
            </w:pPr>
            <w:r w:rsidRPr="00894CD3">
              <w:rPr>
                <w:b/>
                <w:bCs/>
              </w:rPr>
              <w:t>2021-22</w:t>
            </w:r>
          </w:p>
          <w:p w14:paraId="584AD187" w14:textId="77777777" w:rsidR="00CF0E2D" w:rsidRPr="00894CD3" w:rsidRDefault="00CF0E2D" w:rsidP="00A60D4B">
            <w:pPr>
              <w:pStyle w:val="InitFigR"/>
              <w:keepNext/>
              <w:keepLines/>
              <w:rPr>
                <w:b/>
                <w:bCs/>
              </w:rPr>
            </w:pPr>
            <w:r w:rsidRPr="00894CD3">
              <w:rPr>
                <w:b/>
                <w:bCs/>
              </w:rPr>
              <w:t>$’000</w:t>
            </w:r>
          </w:p>
        </w:tc>
        <w:tc>
          <w:tcPr>
            <w:tcW w:w="1041" w:type="dxa"/>
            <w:tcBorders>
              <w:top w:val="single" w:sz="4" w:space="0" w:color="auto"/>
              <w:bottom w:val="single" w:sz="4" w:space="0" w:color="auto"/>
            </w:tcBorders>
          </w:tcPr>
          <w:p w14:paraId="4954FD9D" w14:textId="77777777" w:rsidR="00CF0E2D" w:rsidRPr="00894CD3" w:rsidRDefault="00CF0E2D" w:rsidP="00A60D4B">
            <w:pPr>
              <w:pStyle w:val="InitFigR"/>
              <w:keepNext/>
              <w:keepLines/>
              <w:rPr>
                <w:b/>
                <w:bCs/>
              </w:rPr>
            </w:pPr>
            <w:r w:rsidRPr="00894CD3">
              <w:rPr>
                <w:b/>
                <w:bCs/>
              </w:rPr>
              <w:t>2022-23</w:t>
            </w:r>
          </w:p>
          <w:p w14:paraId="5C923F9C" w14:textId="77777777" w:rsidR="00CF0E2D" w:rsidRPr="00894CD3" w:rsidRDefault="00CF0E2D" w:rsidP="00A60D4B">
            <w:pPr>
              <w:pStyle w:val="InitFigR"/>
              <w:keepNext/>
              <w:keepLines/>
              <w:rPr>
                <w:b/>
                <w:bCs/>
              </w:rPr>
            </w:pPr>
            <w:r w:rsidRPr="00894CD3">
              <w:rPr>
                <w:b/>
                <w:bCs/>
              </w:rPr>
              <w:t>$’000</w:t>
            </w:r>
          </w:p>
        </w:tc>
        <w:tc>
          <w:tcPr>
            <w:tcW w:w="1029" w:type="dxa"/>
            <w:tcBorders>
              <w:top w:val="single" w:sz="4" w:space="0" w:color="auto"/>
              <w:bottom w:val="single" w:sz="4" w:space="0" w:color="auto"/>
            </w:tcBorders>
          </w:tcPr>
          <w:p w14:paraId="719F19C3" w14:textId="77777777" w:rsidR="00CF0E2D" w:rsidRPr="00894CD3" w:rsidRDefault="00CF0E2D" w:rsidP="00A60D4B">
            <w:pPr>
              <w:pStyle w:val="InitFigR"/>
              <w:keepNext/>
              <w:keepLines/>
              <w:rPr>
                <w:b/>
                <w:bCs/>
              </w:rPr>
            </w:pPr>
            <w:r w:rsidRPr="00894CD3">
              <w:rPr>
                <w:b/>
                <w:bCs/>
              </w:rPr>
              <w:t>2023-24</w:t>
            </w:r>
          </w:p>
          <w:p w14:paraId="7FAC42B9" w14:textId="77777777" w:rsidR="00CF0E2D" w:rsidRPr="00894CD3" w:rsidRDefault="00CF0E2D" w:rsidP="00A60D4B">
            <w:pPr>
              <w:pStyle w:val="InitFigR"/>
              <w:keepNext/>
              <w:keepLines/>
              <w:rPr>
                <w:b/>
                <w:bCs/>
              </w:rPr>
            </w:pPr>
            <w:r w:rsidRPr="00894CD3">
              <w:rPr>
                <w:b/>
                <w:bCs/>
              </w:rPr>
              <w:t>$’000</w:t>
            </w:r>
          </w:p>
        </w:tc>
        <w:tc>
          <w:tcPr>
            <w:tcW w:w="1029" w:type="dxa"/>
            <w:tcBorders>
              <w:top w:val="single" w:sz="4" w:space="0" w:color="auto"/>
              <w:bottom w:val="single" w:sz="4" w:space="0" w:color="auto"/>
            </w:tcBorders>
          </w:tcPr>
          <w:p w14:paraId="0E88C133" w14:textId="77777777" w:rsidR="00CF0E2D" w:rsidRPr="00894CD3" w:rsidRDefault="00CF0E2D" w:rsidP="00A60D4B">
            <w:pPr>
              <w:pStyle w:val="InitFigR"/>
              <w:keepNext/>
              <w:keepLines/>
              <w:rPr>
                <w:b/>
                <w:bCs/>
              </w:rPr>
            </w:pPr>
            <w:r w:rsidRPr="00894CD3">
              <w:rPr>
                <w:b/>
                <w:bCs/>
              </w:rPr>
              <w:t>2024-25</w:t>
            </w:r>
          </w:p>
          <w:p w14:paraId="2F687D19" w14:textId="77777777" w:rsidR="00CF0E2D" w:rsidRPr="00894CD3" w:rsidRDefault="00CF0E2D" w:rsidP="00A60D4B">
            <w:pPr>
              <w:pStyle w:val="InitFigR"/>
              <w:keepNext/>
              <w:keepLines/>
              <w:rPr>
                <w:b/>
                <w:bCs/>
              </w:rPr>
            </w:pPr>
            <w:r w:rsidRPr="00894CD3">
              <w:rPr>
                <w:b/>
                <w:bCs/>
              </w:rPr>
              <w:t>$’000</w:t>
            </w:r>
          </w:p>
        </w:tc>
        <w:tc>
          <w:tcPr>
            <w:tcW w:w="1142" w:type="dxa"/>
            <w:tcBorders>
              <w:top w:val="single" w:sz="4" w:space="0" w:color="auto"/>
              <w:bottom w:val="single" w:sz="4" w:space="0" w:color="auto"/>
            </w:tcBorders>
          </w:tcPr>
          <w:p w14:paraId="5693EB11" w14:textId="77777777" w:rsidR="00CF0E2D" w:rsidRPr="004E341E" w:rsidRDefault="00CF0E2D" w:rsidP="00A60D4B">
            <w:pPr>
              <w:pStyle w:val="InitFigRBold"/>
              <w:keepNext/>
              <w:keepLines/>
            </w:pPr>
            <w:r w:rsidRPr="004E341E">
              <w:t>Total</w:t>
            </w:r>
          </w:p>
          <w:p w14:paraId="03ADD3DB" w14:textId="77777777" w:rsidR="00CF0E2D" w:rsidRPr="004E341E" w:rsidRDefault="00CF0E2D" w:rsidP="00A60D4B">
            <w:pPr>
              <w:pStyle w:val="InitFigBR"/>
              <w:keepNext/>
              <w:keepLines/>
            </w:pPr>
            <w:r w:rsidRPr="004E341E">
              <w:t>$’000</w:t>
            </w:r>
          </w:p>
        </w:tc>
      </w:tr>
      <w:tr w:rsidR="00CF0E2D" w:rsidRPr="00750793" w14:paraId="2ECCC810" w14:textId="77777777" w:rsidTr="00A60D4B">
        <w:trPr>
          <w:cantSplit/>
        </w:trPr>
        <w:tc>
          <w:tcPr>
            <w:tcW w:w="3652" w:type="dxa"/>
            <w:tcBorders>
              <w:top w:val="single" w:sz="4" w:space="0" w:color="auto"/>
            </w:tcBorders>
          </w:tcPr>
          <w:p w14:paraId="602A175D" w14:textId="77777777" w:rsidR="00CF0E2D" w:rsidRPr="006D3156" w:rsidRDefault="00CF0E2D" w:rsidP="00A60D4B">
            <w:pPr>
              <w:pStyle w:val="InitTextL"/>
              <w:keepNext/>
              <w:keepLines/>
              <w:ind w:left="321" w:hanging="321"/>
            </w:pPr>
            <w:r w:rsidRPr="006D3156">
              <w:t>Revenue forgone (pensioner general rates rebate cap)</w:t>
            </w:r>
          </w:p>
        </w:tc>
        <w:tc>
          <w:tcPr>
            <w:tcW w:w="1179" w:type="dxa"/>
            <w:tcBorders>
              <w:top w:val="single" w:sz="4" w:space="0" w:color="auto"/>
            </w:tcBorders>
          </w:tcPr>
          <w:p w14:paraId="49CF3CD3" w14:textId="77777777" w:rsidR="00CF0E2D" w:rsidRPr="00424DA4" w:rsidRDefault="00CF0E2D" w:rsidP="00A60D4B">
            <w:pPr>
              <w:pStyle w:val="InitFigR"/>
              <w:keepNext/>
              <w:keepLines/>
            </w:pPr>
            <w:r w:rsidRPr="00004F51">
              <w:t>745</w:t>
            </w:r>
          </w:p>
        </w:tc>
        <w:tc>
          <w:tcPr>
            <w:tcW w:w="1041" w:type="dxa"/>
            <w:tcBorders>
              <w:top w:val="single" w:sz="4" w:space="0" w:color="auto"/>
            </w:tcBorders>
          </w:tcPr>
          <w:p w14:paraId="2E5D5607" w14:textId="77777777" w:rsidR="00CF0E2D" w:rsidRPr="00424DA4" w:rsidRDefault="00CF0E2D" w:rsidP="00A60D4B">
            <w:pPr>
              <w:pStyle w:val="InitFigR"/>
              <w:keepNext/>
              <w:keepLines/>
            </w:pPr>
            <w:r w:rsidRPr="00004F51">
              <w:t>750</w:t>
            </w:r>
          </w:p>
        </w:tc>
        <w:tc>
          <w:tcPr>
            <w:tcW w:w="1029" w:type="dxa"/>
            <w:tcBorders>
              <w:top w:val="single" w:sz="4" w:space="0" w:color="auto"/>
            </w:tcBorders>
          </w:tcPr>
          <w:p w14:paraId="4DBA092F" w14:textId="77777777" w:rsidR="00CF0E2D" w:rsidRPr="00424DA4" w:rsidRDefault="00CF0E2D" w:rsidP="00A60D4B">
            <w:pPr>
              <w:pStyle w:val="InitFigR"/>
              <w:keepNext/>
              <w:keepLines/>
            </w:pPr>
            <w:r w:rsidRPr="00004F51">
              <w:t>755</w:t>
            </w:r>
          </w:p>
        </w:tc>
        <w:tc>
          <w:tcPr>
            <w:tcW w:w="1029" w:type="dxa"/>
            <w:tcBorders>
              <w:top w:val="single" w:sz="4" w:space="0" w:color="auto"/>
            </w:tcBorders>
          </w:tcPr>
          <w:p w14:paraId="74FF2437" w14:textId="77777777" w:rsidR="00CF0E2D" w:rsidRPr="00424DA4" w:rsidRDefault="00CF0E2D" w:rsidP="00A60D4B">
            <w:pPr>
              <w:pStyle w:val="InitFigR"/>
              <w:keepNext/>
              <w:keepLines/>
            </w:pPr>
            <w:r w:rsidRPr="00004F51">
              <w:t>760</w:t>
            </w:r>
          </w:p>
        </w:tc>
        <w:tc>
          <w:tcPr>
            <w:tcW w:w="1142" w:type="dxa"/>
            <w:tcBorders>
              <w:top w:val="single" w:sz="4" w:space="0" w:color="auto"/>
            </w:tcBorders>
          </w:tcPr>
          <w:p w14:paraId="7B1D5181" w14:textId="77777777" w:rsidR="00CF0E2D" w:rsidRPr="00424DA4" w:rsidRDefault="00CF0E2D" w:rsidP="00A60D4B">
            <w:pPr>
              <w:pStyle w:val="InitFigBR"/>
              <w:keepNext/>
              <w:keepLines/>
            </w:pPr>
            <w:r w:rsidRPr="0081063C">
              <w:t>3</w:t>
            </w:r>
            <w:r>
              <w:t>,</w:t>
            </w:r>
            <w:r w:rsidRPr="0081063C">
              <w:t>010</w:t>
            </w:r>
          </w:p>
        </w:tc>
      </w:tr>
      <w:tr w:rsidR="00CF0E2D" w:rsidRPr="00750793" w14:paraId="78FC7AB7" w14:textId="77777777" w:rsidTr="00A60D4B">
        <w:trPr>
          <w:cantSplit/>
        </w:trPr>
        <w:tc>
          <w:tcPr>
            <w:tcW w:w="3652" w:type="dxa"/>
          </w:tcPr>
          <w:p w14:paraId="0123CD95" w14:textId="77777777" w:rsidR="00CF0E2D" w:rsidRPr="006D3156" w:rsidRDefault="00CF0E2D" w:rsidP="00A60D4B">
            <w:pPr>
              <w:pStyle w:val="InitTextL"/>
              <w:keepNext/>
              <w:keepLines/>
              <w:ind w:left="321" w:hanging="321"/>
            </w:pPr>
            <w:r w:rsidRPr="006D3156">
              <w:t>Expenses (permanent increase in utilities concession)</w:t>
            </w:r>
          </w:p>
        </w:tc>
        <w:tc>
          <w:tcPr>
            <w:tcW w:w="1179" w:type="dxa"/>
          </w:tcPr>
          <w:p w14:paraId="55927058" w14:textId="77777777" w:rsidR="00CF0E2D" w:rsidRDefault="00CF0E2D" w:rsidP="00A60D4B">
            <w:pPr>
              <w:pStyle w:val="InitFigR"/>
              <w:keepNext/>
              <w:keepLines/>
            </w:pPr>
            <w:r w:rsidRPr="005E671C">
              <w:t>1,550</w:t>
            </w:r>
          </w:p>
        </w:tc>
        <w:tc>
          <w:tcPr>
            <w:tcW w:w="1041" w:type="dxa"/>
          </w:tcPr>
          <w:p w14:paraId="6DECC80B" w14:textId="77777777" w:rsidR="00CF0E2D" w:rsidRDefault="00CF0E2D" w:rsidP="00A60D4B">
            <w:pPr>
              <w:pStyle w:val="InitFigR"/>
              <w:keepNext/>
              <w:keepLines/>
            </w:pPr>
            <w:r w:rsidRPr="005E671C">
              <w:t>1,560</w:t>
            </w:r>
          </w:p>
        </w:tc>
        <w:tc>
          <w:tcPr>
            <w:tcW w:w="1029" w:type="dxa"/>
          </w:tcPr>
          <w:p w14:paraId="2FC33EC4" w14:textId="77777777" w:rsidR="00CF0E2D" w:rsidRDefault="00CF0E2D" w:rsidP="00A60D4B">
            <w:pPr>
              <w:pStyle w:val="InitFigR"/>
              <w:keepNext/>
              <w:keepLines/>
            </w:pPr>
            <w:r w:rsidRPr="005E671C">
              <w:t>1,580</w:t>
            </w:r>
          </w:p>
        </w:tc>
        <w:tc>
          <w:tcPr>
            <w:tcW w:w="1029" w:type="dxa"/>
          </w:tcPr>
          <w:p w14:paraId="704BA6EA" w14:textId="77777777" w:rsidR="00CF0E2D" w:rsidRDefault="00CF0E2D" w:rsidP="00A60D4B">
            <w:pPr>
              <w:pStyle w:val="InitFigR"/>
              <w:keepNext/>
              <w:keepLines/>
            </w:pPr>
            <w:r w:rsidRPr="005E671C">
              <w:t>1,600</w:t>
            </w:r>
          </w:p>
        </w:tc>
        <w:tc>
          <w:tcPr>
            <w:tcW w:w="1142" w:type="dxa"/>
          </w:tcPr>
          <w:p w14:paraId="214F4450" w14:textId="77777777" w:rsidR="00CF0E2D" w:rsidRDefault="00CF0E2D" w:rsidP="00A60D4B">
            <w:pPr>
              <w:pStyle w:val="InitFigBR"/>
              <w:keepNext/>
              <w:keepLines/>
            </w:pPr>
            <w:r w:rsidRPr="0081063C">
              <w:t>6</w:t>
            </w:r>
            <w:r>
              <w:t>,</w:t>
            </w:r>
            <w:r w:rsidRPr="0081063C">
              <w:t>290</w:t>
            </w:r>
          </w:p>
        </w:tc>
      </w:tr>
      <w:tr w:rsidR="00CF0E2D" w:rsidRPr="00750793" w14:paraId="639779C7" w14:textId="77777777" w:rsidTr="00A60D4B">
        <w:trPr>
          <w:cantSplit/>
        </w:trPr>
        <w:tc>
          <w:tcPr>
            <w:tcW w:w="3652" w:type="dxa"/>
          </w:tcPr>
          <w:p w14:paraId="08FCAD87" w14:textId="77777777" w:rsidR="00CF0E2D" w:rsidRPr="006D3156" w:rsidRDefault="00CF0E2D" w:rsidP="00A60D4B">
            <w:pPr>
              <w:pStyle w:val="InitTextL"/>
              <w:keepNext/>
              <w:keepLines/>
              <w:ind w:left="321" w:hanging="321"/>
            </w:pPr>
            <w:r w:rsidRPr="006D3156">
              <w:t>Expense (additional one-off increase in utilities concession)</w:t>
            </w:r>
          </w:p>
        </w:tc>
        <w:tc>
          <w:tcPr>
            <w:tcW w:w="1179" w:type="dxa"/>
          </w:tcPr>
          <w:p w14:paraId="6099CF03" w14:textId="77777777" w:rsidR="00CF0E2D" w:rsidRDefault="00CF0E2D" w:rsidP="00A60D4B">
            <w:pPr>
              <w:pStyle w:val="InitFigR"/>
              <w:keepNext/>
              <w:keepLines/>
            </w:pPr>
            <w:r w:rsidRPr="0040144C">
              <w:t>1,550</w:t>
            </w:r>
          </w:p>
        </w:tc>
        <w:tc>
          <w:tcPr>
            <w:tcW w:w="1041" w:type="dxa"/>
          </w:tcPr>
          <w:p w14:paraId="07A77E0F" w14:textId="77777777" w:rsidR="00CF0E2D" w:rsidRDefault="00CF0E2D" w:rsidP="00A60D4B">
            <w:pPr>
              <w:pStyle w:val="InitFigR"/>
              <w:keepNext/>
              <w:keepLines/>
            </w:pPr>
            <w:r>
              <w:t>0</w:t>
            </w:r>
          </w:p>
        </w:tc>
        <w:tc>
          <w:tcPr>
            <w:tcW w:w="1029" w:type="dxa"/>
          </w:tcPr>
          <w:p w14:paraId="3F9BC25E" w14:textId="77777777" w:rsidR="00CF0E2D" w:rsidRDefault="00CF0E2D" w:rsidP="00A60D4B">
            <w:pPr>
              <w:pStyle w:val="InitFigR"/>
              <w:keepNext/>
              <w:keepLines/>
            </w:pPr>
            <w:r>
              <w:t>0</w:t>
            </w:r>
          </w:p>
        </w:tc>
        <w:tc>
          <w:tcPr>
            <w:tcW w:w="1029" w:type="dxa"/>
          </w:tcPr>
          <w:p w14:paraId="557C5D79" w14:textId="77777777" w:rsidR="00CF0E2D" w:rsidRDefault="00CF0E2D" w:rsidP="00A60D4B">
            <w:pPr>
              <w:pStyle w:val="InitFigR"/>
              <w:keepNext/>
              <w:keepLines/>
            </w:pPr>
            <w:r>
              <w:t>0</w:t>
            </w:r>
          </w:p>
        </w:tc>
        <w:tc>
          <w:tcPr>
            <w:tcW w:w="1142" w:type="dxa"/>
          </w:tcPr>
          <w:p w14:paraId="1F1AD62F" w14:textId="77777777" w:rsidR="00CF0E2D" w:rsidRDefault="00CF0E2D" w:rsidP="00A60D4B">
            <w:pPr>
              <w:pStyle w:val="InitFigBR"/>
              <w:keepNext/>
              <w:keepLines/>
            </w:pPr>
            <w:r w:rsidRPr="0081063C">
              <w:t>1</w:t>
            </w:r>
            <w:r>
              <w:t>,</w:t>
            </w:r>
            <w:r w:rsidRPr="0081063C">
              <w:t>550</w:t>
            </w:r>
          </w:p>
        </w:tc>
      </w:tr>
      <w:tr w:rsidR="00CF0E2D" w:rsidRPr="00750793" w14:paraId="23989D79" w14:textId="77777777" w:rsidTr="00A60D4B">
        <w:trPr>
          <w:cantSplit/>
        </w:trPr>
        <w:tc>
          <w:tcPr>
            <w:tcW w:w="3652" w:type="dxa"/>
          </w:tcPr>
          <w:p w14:paraId="4527A3AE" w14:textId="77777777" w:rsidR="00CF0E2D" w:rsidRPr="006D3156" w:rsidRDefault="00CF0E2D" w:rsidP="00A60D4B">
            <w:pPr>
              <w:pStyle w:val="InitTextL"/>
              <w:keepNext/>
              <w:keepLines/>
              <w:ind w:left="321" w:hanging="321"/>
            </w:pPr>
            <w:r w:rsidRPr="006D3156">
              <w:t>Expense (utilities concession to holders of ACT Services Access Card)</w:t>
            </w:r>
          </w:p>
        </w:tc>
        <w:tc>
          <w:tcPr>
            <w:tcW w:w="1179" w:type="dxa"/>
          </w:tcPr>
          <w:p w14:paraId="1CBF22A1" w14:textId="77777777" w:rsidR="00CF0E2D" w:rsidRDefault="00CF0E2D" w:rsidP="00A60D4B">
            <w:pPr>
              <w:pStyle w:val="InitFigR"/>
              <w:keepNext/>
              <w:keepLines/>
            </w:pPr>
            <w:r w:rsidRPr="005F1601">
              <w:t>20</w:t>
            </w:r>
          </w:p>
        </w:tc>
        <w:tc>
          <w:tcPr>
            <w:tcW w:w="1041" w:type="dxa"/>
          </w:tcPr>
          <w:p w14:paraId="6BA03AD9" w14:textId="77777777" w:rsidR="00CF0E2D" w:rsidRDefault="00CF0E2D" w:rsidP="00A60D4B">
            <w:pPr>
              <w:pStyle w:val="InitFigR"/>
              <w:keepNext/>
              <w:keepLines/>
            </w:pPr>
            <w:r w:rsidRPr="005F1601">
              <w:t>20</w:t>
            </w:r>
          </w:p>
        </w:tc>
        <w:tc>
          <w:tcPr>
            <w:tcW w:w="1029" w:type="dxa"/>
          </w:tcPr>
          <w:p w14:paraId="7CFE9828" w14:textId="77777777" w:rsidR="00CF0E2D" w:rsidRDefault="00CF0E2D" w:rsidP="00A60D4B">
            <w:pPr>
              <w:pStyle w:val="InitFigR"/>
              <w:keepNext/>
              <w:keepLines/>
            </w:pPr>
            <w:r w:rsidRPr="005F1601">
              <w:t>20</w:t>
            </w:r>
          </w:p>
        </w:tc>
        <w:tc>
          <w:tcPr>
            <w:tcW w:w="1029" w:type="dxa"/>
          </w:tcPr>
          <w:p w14:paraId="4E202427" w14:textId="77777777" w:rsidR="00CF0E2D" w:rsidRDefault="00CF0E2D" w:rsidP="00A60D4B">
            <w:pPr>
              <w:pStyle w:val="InitFigR"/>
              <w:keepNext/>
              <w:keepLines/>
            </w:pPr>
            <w:r w:rsidRPr="005F1601">
              <w:t>20</w:t>
            </w:r>
          </w:p>
        </w:tc>
        <w:tc>
          <w:tcPr>
            <w:tcW w:w="1142" w:type="dxa"/>
          </w:tcPr>
          <w:p w14:paraId="4217BC1E" w14:textId="77777777" w:rsidR="00CF0E2D" w:rsidRDefault="00CF0E2D" w:rsidP="00A60D4B">
            <w:pPr>
              <w:pStyle w:val="InitFigBR"/>
              <w:keepNext/>
              <w:keepLines/>
            </w:pPr>
            <w:r w:rsidRPr="0081063C">
              <w:t>80</w:t>
            </w:r>
          </w:p>
        </w:tc>
      </w:tr>
      <w:tr w:rsidR="00CF0E2D" w:rsidRPr="00750793" w14:paraId="12DB7E5F" w14:textId="77777777" w:rsidTr="00A60D4B">
        <w:trPr>
          <w:cantSplit/>
        </w:trPr>
        <w:tc>
          <w:tcPr>
            <w:tcW w:w="3652" w:type="dxa"/>
          </w:tcPr>
          <w:p w14:paraId="30DDE4E1" w14:textId="77777777" w:rsidR="00CF0E2D" w:rsidRPr="006D3156" w:rsidRDefault="00CF0E2D" w:rsidP="00A60D4B">
            <w:pPr>
              <w:pStyle w:val="InitTextL"/>
              <w:keepNext/>
              <w:keepLines/>
              <w:ind w:left="321" w:hanging="321"/>
            </w:pPr>
            <w:r w:rsidRPr="006D3156">
              <w:t>Expense (utilities hardship fund)</w:t>
            </w:r>
          </w:p>
        </w:tc>
        <w:tc>
          <w:tcPr>
            <w:tcW w:w="1179" w:type="dxa"/>
          </w:tcPr>
          <w:p w14:paraId="4BA24EE0" w14:textId="77777777" w:rsidR="00CF0E2D" w:rsidRDefault="00CF0E2D" w:rsidP="00A60D4B">
            <w:pPr>
              <w:pStyle w:val="InitFigR"/>
              <w:keepNext/>
              <w:keepLines/>
            </w:pPr>
            <w:r w:rsidRPr="006424CA">
              <w:t>250</w:t>
            </w:r>
          </w:p>
        </w:tc>
        <w:tc>
          <w:tcPr>
            <w:tcW w:w="1041" w:type="dxa"/>
          </w:tcPr>
          <w:p w14:paraId="2CB8B7A0" w14:textId="77777777" w:rsidR="00CF0E2D" w:rsidRDefault="00CF0E2D" w:rsidP="00A60D4B">
            <w:pPr>
              <w:pStyle w:val="InitFigR"/>
              <w:keepNext/>
              <w:keepLines/>
            </w:pPr>
            <w:r w:rsidRPr="006424CA">
              <w:t>250</w:t>
            </w:r>
          </w:p>
        </w:tc>
        <w:tc>
          <w:tcPr>
            <w:tcW w:w="1029" w:type="dxa"/>
          </w:tcPr>
          <w:p w14:paraId="45693D35" w14:textId="77777777" w:rsidR="00CF0E2D" w:rsidRDefault="00CF0E2D" w:rsidP="00A60D4B">
            <w:pPr>
              <w:pStyle w:val="InitFigR"/>
              <w:keepNext/>
              <w:keepLines/>
            </w:pPr>
            <w:r w:rsidRPr="006424CA">
              <w:t>250</w:t>
            </w:r>
          </w:p>
        </w:tc>
        <w:tc>
          <w:tcPr>
            <w:tcW w:w="1029" w:type="dxa"/>
          </w:tcPr>
          <w:p w14:paraId="715DEA0D" w14:textId="77777777" w:rsidR="00CF0E2D" w:rsidRDefault="00CF0E2D" w:rsidP="00A60D4B">
            <w:pPr>
              <w:pStyle w:val="InitFigR"/>
              <w:keepNext/>
              <w:keepLines/>
            </w:pPr>
            <w:r w:rsidRPr="006424CA">
              <w:t>250</w:t>
            </w:r>
          </w:p>
        </w:tc>
        <w:tc>
          <w:tcPr>
            <w:tcW w:w="1142" w:type="dxa"/>
          </w:tcPr>
          <w:p w14:paraId="3AE8DFB9" w14:textId="77777777" w:rsidR="00CF0E2D" w:rsidRDefault="00CF0E2D" w:rsidP="00A60D4B">
            <w:pPr>
              <w:pStyle w:val="InitFigBR"/>
              <w:keepNext/>
              <w:keepLines/>
            </w:pPr>
            <w:r w:rsidRPr="0081063C">
              <w:t>1</w:t>
            </w:r>
            <w:r>
              <w:t>,</w:t>
            </w:r>
            <w:r w:rsidRPr="0081063C">
              <w:t>000</w:t>
            </w:r>
          </w:p>
        </w:tc>
      </w:tr>
      <w:tr w:rsidR="00CF0E2D" w:rsidRPr="00750793" w14:paraId="622E2694" w14:textId="77777777" w:rsidTr="00A60D4B">
        <w:trPr>
          <w:cantSplit/>
        </w:trPr>
        <w:tc>
          <w:tcPr>
            <w:tcW w:w="3652" w:type="dxa"/>
          </w:tcPr>
          <w:p w14:paraId="098BC4E7" w14:textId="77777777" w:rsidR="00CF0E2D" w:rsidRPr="006D3156" w:rsidRDefault="00CF0E2D" w:rsidP="00A60D4B">
            <w:pPr>
              <w:pStyle w:val="InitTextL"/>
              <w:keepNext/>
              <w:keepLines/>
              <w:ind w:left="321" w:hanging="321"/>
            </w:pPr>
            <w:r w:rsidRPr="006D3156">
              <w:t>Expense (energy literacy</w:t>
            </w:r>
            <w:r>
              <w:t xml:space="preserve"> EPSDD</w:t>
            </w:r>
            <w:r w:rsidRPr="006D3156">
              <w:t>)</w:t>
            </w:r>
          </w:p>
        </w:tc>
        <w:tc>
          <w:tcPr>
            <w:tcW w:w="1179" w:type="dxa"/>
          </w:tcPr>
          <w:p w14:paraId="520D82D8" w14:textId="77777777" w:rsidR="00CF0E2D" w:rsidRDefault="00CF0E2D" w:rsidP="00A60D4B">
            <w:pPr>
              <w:pStyle w:val="InitFigR"/>
              <w:keepNext/>
              <w:keepLines/>
            </w:pPr>
            <w:r>
              <w:t>2</w:t>
            </w:r>
            <w:r w:rsidRPr="00357E40">
              <w:t>00</w:t>
            </w:r>
          </w:p>
        </w:tc>
        <w:tc>
          <w:tcPr>
            <w:tcW w:w="1041" w:type="dxa"/>
          </w:tcPr>
          <w:p w14:paraId="6B6189C2" w14:textId="77777777" w:rsidR="00CF0E2D" w:rsidRDefault="00CF0E2D" w:rsidP="00A60D4B">
            <w:pPr>
              <w:pStyle w:val="InitFigR"/>
              <w:keepNext/>
              <w:keepLines/>
            </w:pPr>
            <w:r w:rsidRPr="00357E40">
              <w:t>250</w:t>
            </w:r>
          </w:p>
        </w:tc>
        <w:tc>
          <w:tcPr>
            <w:tcW w:w="1029" w:type="dxa"/>
          </w:tcPr>
          <w:p w14:paraId="17EEC9E5" w14:textId="77777777" w:rsidR="00CF0E2D" w:rsidRDefault="00CF0E2D" w:rsidP="00A60D4B">
            <w:pPr>
              <w:pStyle w:val="InitFigR"/>
              <w:keepNext/>
              <w:keepLines/>
            </w:pPr>
            <w:r w:rsidRPr="00357E40">
              <w:t>200</w:t>
            </w:r>
          </w:p>
        </w:tc>
        <w:tc>
          <w:tcPr>
            <w:tcW w:w="1029" w:type="dxa"/>
          </w:tcPr>
          <w:p w14:paraId="3EC417C1" w14:textId="77777777" w:rsidR="00CF0E2D" w:rsidRDefault="00CF0E2D" w:rsidP="00A60D4B">
            <w:pPr>
              <w:pStyle w:val="InitFigR"/>
              <w:keepNext/>
              <w:keepLines/>
            </w:pPr>
            <w:r w:rsidRPr="00357E40">
              <w:t>200</w:t>
            </w:r>
          </w:p>
        </w:tc>
        <w:tc>
          <w:tcPr>
            <w:tcW w:w="1142" w:type="dxa"/>
          </w:tcPr>
          <w:p w14:paraId="03D01E7C" w14:textId="77777777" w:rsidR="00CF0E2D" w:rsidRPr="0052731B" w:rsidRDefault="00CF0E2D" w:rsidP="00A60D4B">
            <w:pPr>
              <w:pStyle w:val="InitFigBR"/>
              <w:keepNext/>
              <w:keepLines/>
            </w:pPr>
            <w:r w:rsidRPr="0052731B">
              <w:t>850</w:t>
            </w:r>
          </w:p>
        </w:tc>
      </w:tr>
      <w:tr w:rsidR="00CF0E2D" w:rsidRPr="00750793" w14:paraId="4C97BE8C" w14:textId="77777777" w:rsidTr="00A60D4B">
        <w:trPr>
          <w:cantSplit/>
        </w:trPr>
        <w:tc>
          <w:tcPr>
            <w:tcW w:w="3652" w:type="dxa"/>
          </w:tcPr>
          <w:p w14:paraId="1F8AEA10" w14:textId="77777777" w:rsidR="00CF0E2D" w:rsidRPr="006D3156" w:rsidRDefault="00CF0E2D" w:rsidP="00A60D4B">
            <w:pPr>
              <w:pStyle w:val="InitTextL"/>
              <w:keepNext/>
              <w:keepLines/>
              <w:ind w:left="321" w:hanging="321"/>
            </w:pPr>
            <w:r w:rsidRPr="006D3156">
              <w:t>Expense (energy literacy</w:t>
            </w:r>
            <w:r>
              <w:t xml:space="preserve"> CMTEDD</w:t>
            </w:r>
            <w:r w:rsidRPr="006D3156">
              <w:t>)</w:t>
            </w:r>
          </w:p>
        </w:tc>
        <w:tc>
          <w:tcPr>
            <w:tcW w:w="1179" w:type="dxa"/>
          </w:tcPr>
          <w:p w14:paraId="2F4229AD" w14:textId="77777777" w:rsidR="00CF0E2D" w:rsidRPr="00357E40" w:rsidRDefault="00CF0E2D" w:rsidP="00A60D4B">
            <w:pPr>
              <w:pStyle w:val="InitFigR"/>
              <w:keepNext/>
              <w:keepLines/>
            </w:pPr>
            <w:r>
              <w:t>100</w:t>
            </w:r>
          </w:p>
        </w:tc>
        <w:tc>
          <w:tcPr>
            <w:tcW w:w="1041" w:type="dxa"/>
          </w:tcPr>
          <w:p w14:paraId="18459EBA" w14:textId="77777777" w:rsidR="00CF0E2D" w:rsidRPr="00357E40" w:rsidRDefault="00CF0E2D" w:rsidP="00A60D4B">
            <w:pPr>
              <w:pStyle w:val="InitFigR"/>
              <w:keepNext/>
              <w:keepLines/>
            </w:pPr>
            <w:r>
              <w:t>0</w:t>
            </w:r>
          </w:p>
        </w:tc>
        <w:tc>
          <w:tcPr>
            <w:tcW w:w="1029" w:type="dxa"/>
          </w:tcPr>
          <w:p w14:paraId="41E706FC" w14:textId="77777777" w:rsidR="00CF0E2D" w:rsidRPr="00357E40" w:rsidRDefault="00CF0E2D" w:rsidP="00A60D4B">
            <w:pPr>
              <w:pStyle w:val="InitFigR"/>
              <w:keepNext/>
              <w:keepLines/>
            </w:pPr>
            <w:r>
              <w:t>0</w:t>
            </w:r>
          </w:p>
        </w:tc>
        <w:tc>
          <w:tcPr>
            <w:tcW w:w="1029" w:type="dxa"/>
          </w:tcPr>
          <w:p w14:paraId="5703BAFA" w14:textId="77777777" w:rsidR="00CF0E2D" w:rsidRPr="00357E40" w:rsidRDefault="00CF0E2D" w:rsidP="00A60D4B">
            <w:pPr>
              <w:pStyle w:val="InitFigR"/>
              <w:keepNext/>
              <w:keepLines/>
            </w:pPr>
            <w:r>
              <w:t>0</w:t>
            </w:r>
          </w:p>
        </w:tc>
        <w:tc>
          <w:tcPr>
            <w:tcW w:w="1142" w:type="dxa"/>
          </w:tcPr>
          <w:p w14:paraId="4528E2F6" w14:textId="77777777" w:rsidR="00CF0E2D" w:rsidRPr="0052731B" w:rsidRDefault="00CF0E2D" w:rsidP="00A60D4B">
            <w:pPr>
              <w:pStyle w:val="InitFigBR"/>
              <w:keepNext/>
              <w:keepLines/>
            </w:pPr>
            <w:r w:rsidRPr="0052731B">
              <w:t>100</w:t>
            </w:r>
          </w:p>
        </w:tc>
      </w:tr>
      <w:tr w:rsidR="00CF0E2D" w:rsidRPr="00750793" w14:paraId="1480D02E" w14:textId="77777777" w:rsidTr="00A60D4B">
        <w:trPr>
          <w:cantSplit/>
        </w:trPr>
        <w:tc>
          <w:tcPr>
            <w:tcW w:w="3652" w:type="dxa"/>
          </w:tcPr>
          <w:p w14:paraId="7475F020" w14:textId="77777777" w:rsidR="00CF0E2D" w:rsidRPr="006D3156" w:rsidRDefault="00CF0E2D" w:rsidP="00A60D4B">
            <w:pPr>
              <w:pStyle w:val="InitTextL"/>
              <w:keepNext/>
              <w:keepLines/>
              <w:ind w:left="321" w:hanging="321"/>
            </w:pPr>
            <w:r w:rsidRPr="006D3156">
              <w:t>Revenue forgone (off-the</w:t>
            </w:r>
            <w:r>
              <w:t>-</w:t>
            </w:r>
            <w:r w:rsidRPr="006D3156">
              <w:t xml:space="preserve">plan unit </w:t>
            </w:r>
            <w:r>
              <w:t>conveyance</w:t>
            </w:r>
            <w:r w:rsidRPr="006D3156">
              <w:t xml:space="preserve"> duty concession)</w:t>
            </w:r>
          </w:p>
        </w:tc>
        <w:tc>
          <w:tcPr>
            <w:tcW w:w="1179" w:type="dxa"/>
          </w:tcPr>
          <w:p w14:paraId="6B89F1B6" w14:textId="77777777" w:rsidR="00CF0E2D" w:rsidRDefault="00CF0E2D" w:rsidP="00A60D4B">
            <w:pPr>
              <w:pStyle w:val="InitFigR"/>
              <w:keepNext/>
              <w:keepLines/>
            </w:pPr>
            <w:r w:rsidRPr="006C6BA5">
              <w:t>1,900</w:t>
            </w:r>
          </w:p>
        </w:tc>
        <w:tc>
          <w:tcPr>
            <w:tcW w:w="1041" w:type="dxa"/>
          </w:tcPr>
          <w:p w14:paraId="260AB726" w14:textId="77777777" w:rsidR="00CF0E2D" w:rsidRDefault="00CF0E2D" w:rsidP="00A60D4B">
            <w:pPr>
              <w:pStyle w:val="InitFigR"/>
              <w:keepNext/>
              <w:keepLines/>
            </w:pPr>
            <w:r w:rsidRPr="006C6BA5">
              <w:t>1,900</w:t>
            </w:r>
          </w:p>
        </w:tc>
        <w:tc>
          <w:tcPr>
            <w:tcW w:w="1029" w:type="dxa"/>
          </w:tcPr>
          <w:p w14:paraId="0420F32B" w14:textId="77777777" w:rsidR="00CF0E2D" w:rsidRDefault="00CF0E2D" w:rsidP="00A60D4B">
            <w:pPr>
              <w:pStyle w:val="InitFigR"/>
              <w:keepNext/>
              <w:keepLines/>
            </w:pPr>
            <w:r w:rsidRPr="006C6BA5">
              <w:t>1,900</w:t>
            </w:r>
          </w:p>
        </w:tc>
        <w:tc>
          <w:tcPr>
            <w:tcW w:w="1029" w:type="dxa"/>
          </w:tcPr>
          <w:p w14:paraId="7F1D5B3C" w14:textId="77777777" w:rsidR="00CF0E2D" w:rsidRDefault="00CF0E2D" w:rsidP="00A60D4B">
            <w:pPr>
              <w:pStyle w:val="InitFigR"/>
              <w:keepNext/>
              <w:keepLines/>
            </w:pPr>
            <w:r w:rsidRPr="006C6BA5">
              <w:t>1,900</w:t>
            </w:r>
          </w:p>
        </w:tc>
        <w:tc>
          <w:tcPr>
            <w:tcW w:w="1142" w:type="dxa"/>
          </w:tcPr>
          <w:p w14:paraId="244209DB" w14:textId="77777777" w:rsidR="00CF0E2D" w:rsidRPr="0052731B" w:rsidRDefault="00CF0E2D" w:rsidP="00A60D4B">
            <w:pPr>
              <w:pStyle w:val="InitFigBR"/>
              <w:keepNext/>
              <w:keepLines/>
            </w:pPr>
            <w:r w:rsidRPr="0052731B">
              <w:t>7,600</w:t>
            </w:r>
          </w:p>
        </w:tc>
      </w:tr>
      <w:tr w:rsidR="00CF0E2D" w:rsidRPr="00750793" w14:paraId="475EEAD7" w14:textId="77777777" w:rsidTr="00A60D4B">
        <w:trPr>
          <w:cantSplit/>
          <w:trHeight w:val="107"/>
        </w:trPr>
        <w:tc>
          <w:tcPr>
            <w:tcW w:w="3652" w:type="dxa"/>
            <w:tcBorders>
              <w:top w:val="single" w:sz="4" w:space="0" w:color="auto"/>
              <w:bottom w:val="single" w:sz="4" w:space="0" w:color="auto"/>
            </w:tcBorders>
          </w:tcPr>
          <w:p w14:paraId="2CBF4257" w14:textId="77777777" w:rsidR="00CF0E2D" w:rsidRPr="00694DCE" w:rsidRDefault="00CF0E2D" w:rsidP="00A60D4B">
            <w:pPr>
              <w:pStyle w:val="InitFigLBold"/>
              <w:keepNext/>
              <w:keepLines/>
              <w:ind w:left="321" w:hanging="321"/>
              <w:rPr>
                <w:highlight w:val="yellow"/>
              </w:rPr>
            </w:pPr>
            <w:r w:rsidRPr="00C658FE">
              <w:t>Net cost of services</w:t>
            </w:r>
          </w:p>
        </w:tc>
        <w:tc>
          <w:tcPr>
            <w:tcW w:w="1179" w:type="dxa"/>
            <w:tcBorders>
              <w:top w:val="single" w:sz="4" w:space="0" w:color="auto"/>
              <w:bottom w:val="single" w:sz="4" w:space="0" w:color="auto"/>
            </w:tcBorders>
          </w:tcPr>
          <w:p w14:paraId="4060BDFA" w14:textId="77777777" w:rsidR="00CF0E2D" w:rsidRPr="00694DCE" w:rsidRDefault="00CF0E2D" w:rsidP="00A60D4B">
            <w:pPr>
              <w:pStyle w:val="InitFigRBold"/>
              <w:keepNext/>
              <w:keepLines/>
              <w:rPr>
                <w:highlight w:val="yellow"/>
              </w:rPr>
            </w:pPr>
            <w:r w:rsidRPr="00562E7D">
              <w:t>6</w:t>
            </w:r>
            <w:r>
              <w:t>,</w:t>
            </w:r>
            <w:r w:rsidRPr="00562E7D">
              <w:t>315</w:t>
            </w:r>
          </w:p>
        </w:tc>
        <w:tc>
          <w:tcPr>
            <w:tcW w:w="1041" w:type="dxa"/>
            <w:tcBorders>
              <w:top w:val="single" w:sz="4" w:space="0" w:color="auto"/>
              <w:bottom w:val="single" w:sz="4" w:space="0" w:color="auto"/>
            </w:tcBorders>
          </w:tcPr>
          <w:p w14:paraId="5A64E667" w14:textId="77777777" w:rsidR="00CF0E2D" w:rsidRPr="00694DCE" w:rsidRDefault="00CF0E2D" w:rsidP="00A60D4B">
            <w:pPr>
              <w:pStyle w:val="InitFigRBold"/>
              <w:keepNext/>
              <w:keepLines/>
              <w:rPr>
                <w:highlight w:val="yellow"/>
              </w:rPr>
            </w:pPr>
            <w:r w:rsidRPr="00562E7D">
              <w:t>4</w:t>
            </w:r>
            <w:r>
              <w:t>,</w:t>
            </w:r>
            <w:r w:rsidRPr="00562E7D">
              <w:t>730</w:t>
            </w:r>
          </w:p>
        </w:tc>
        <w:tc>
          <w:tcPr>
            <w:tcW w:w="1029" w:type="dxa"/>
            <w:tcBorders>
              <w:top w:val="single" w:sz="4" w:space="0" w:color="auto"/>
              <w:bottom w:val="single" w:sz="4" w:space="0" w:color="auto"/>
            </w:tcBorders>
          </w:tcPr>
          <w:p w14:paraId="6BE7DB4D" w14:textId="77777777" w:rsidR="00CF0E2D" w:rsidRPr="00694DCE" w:rsidRDefault="00CF0E2D" w:rsidP="00A60D4B">
            <w:pPr>
              <w:pStyle w:val="InitFigRBold"/>
              <w:keepNext/>
              <w:keepLines/>
              <w:rPr>
                <w:highlight w:val="yellow"/>
              </w:rPr>
            </w:pPr>
            <w:r w:rsidRPr="00562E7D">
              <w:t>4</w:t>
            </w:r>
            <w:r>
              <w:t>,</w:t>
            </w:r>
            <w:r w:rsidRPr="00562E7D">
              <w:t>705</w:t>
            </w:r>
          </w:p>
        </w:tc>
        <w:tc>
          <w:tcPr>
            <w:tcW w:w="1029" w:type="dxa"/>
            <w:tcBorders>
              <w:top w:val="single" w:sz="4" w:space="0" w:color="auto"/>
              <w:bottom w:val="single" w:sz="4" w:space="0" w:color="auto"/>
            </w:tcBorders>
          </w:tcPr>
          <w:p w14:paraId="38D509AA" w14:textId="77777777" w:rsidR="00CF0E2D" w:rsidRPr="00694DCE" w:rsidRDefault="00CF0E2D" w:rsidP="00A60D4B">
            <w:pPr>
              <w:pStyle w:val="InitFigRBold"/>
              <w:keepNext/>
              <w:keepLines/>
              <w:rPr>
                <w:highlight w:val="yellow"/>
              </w:rPr>
            </w:pPr>
            <w:r w:rsidRPr="00562E7D">
              <w:t>4</w:t>
            </w:r>
            <w:r>
              <w:t>,</w:t>
            </w:r>
            <w:r w:rsidRPr="00562E7D">
              <w:t>730</w:t>
            </w:r>
          </w:p>
        </w:tc>
        <w:tc>
          <w:tcPr>
            <w:tcW w:w="1142" w:type="dxa"/>
            <w:tcBorders>
              <w:top w:val="single" w:sz="4" w:space="0" w:color="auto"/>
              <w:bottom w:val="single" w:sz="4" w:space="0" w:color="auto"/>
            </w:tcBorders>
          </w:tcPr>
          <w:p w14:paraId="5FE09FCA" w14:textId="77777777" w:rsidR="00CF0E2D" w:rsidRPr="00694DCE" w:rsidRDefault="00CF0E2D" w:rsidP="00A60D4B">
            <w:pPr>
              <w:pStyle w:val="InitFigRBold"/>
              <w:keepNext/>
              <w:keepLines/>
              <w:rPr>
                <w:highlight w:val="yellow"/>
              </w:rPr>
            </w:pPr>
            <w:r w:rsidRPr="00562E7D">
              <w:t>20</w:t>
            </w:r>
            <w:r>
              <w:t>,</w:t>
            </w:r>
            <w:r w:rsidRPr="00562E7D">
              <w:t>480</w:t>
            </w:r>
          </w:p>
        </w:tc>
      </w:tr>
    </w:tbl>
    <w:p w14:paraId="1F640782" w14:textId="77777777" w:rsidR="00CF0E2D" w:rsidRPr="0098087B" w:rsidRDefault="00CF0E2D" w:rsidP="00A60D4B">
      <w:pPr>
        <w:keepNext/>
        <w:keepLines/>
        <w:spacing w:before="120" w:after="120"/>
        <w:rPr>
          <w:sz w:val="24"/>
        </w:rPr>
      </w:pPr>
      <w:r w:rsidRPr="0098087B">
        <w:rPr>
          <w:sz w:val="24"/>
        </w:rPr>
        <w:t>To support those households most in the need, the Government is:</w:t>
      </w:r>
    </w:p>
    <w:p w14:paraId="5B80D20D" w14:textId="77777777" w:rsidR="00CF0E2D" w:rsidRPr="0098087B" w:rsidRDefault="00CF0E2D" w:rsidP="00A60D4B">
      <w:pPr>
        <w:pStyle w:val="BBullet1"/>
        <w:ind w:left="340" w:hanging="340"/>
      </w:pPr>
      <w:r w:rsidRPr="0098087B">
        <w:t>permanently increasing the Pensioner General Rates Rebate cap by $50 to $750 from 2021-22;</w:t>
      </w:r>
    </w:p>
    <w:p w14:paraId="78073607" w14:textId="77777777" w:rsidR="00CF0E2D" w:rsidRPr="0098087B" w:rsidRDefault="00CF0E2D" w:rsidP="00A60D4B">
      <w:pPr>
        <w:pStyle w:val="BBullet1"/>
        <w:ind w:left="340" w:hanging="340"/>
      </w:pPr>
      <w:r w:rsidRPr="0098087B">
        <w:t>permanently increasing the Utilities Concession by $50 to $750 from 2021-22;</w:t>
      </w:r>
    </w:p>
    <w:p w14:paraId="47B0ADAB" w14:textId="77777777" w:rsidR="00CF0E2D" w:rsidRPr="0098087B" w:rsidRDefault="00CF0E2D" w:rsidP="00A60D4B">
      <w:pPr>
        <w:pStyle w:val="BBullet1"/>
        <w:ind w:left="340" w:hanging="340"/>
      </w:pPr>
      <w:r w:rsidRPr="0098087B">
        <w:t>providing an additional one-off $50 rebate to Utilities Concession recipients in 2021</w:t>
      </w:r>
      <w:r w:rsidRPr="0098087B">
        <w:noBreakHyphen/>
        <w:t>22 (in addition to the one-off $200 increase announced in September 2021, increasing the total concession to $1,000 in 2021-22)</w:t>
      </w:r>
      <w:r>
        <w:t>;</w:t>
      </w:r>
    </w:p>
    <w:p w14:paraId="60034E2A" w14:textId="77777777" w:rsidR="00CF0E2D" w:rsidRPr="0098087B" w:rsidRDefault="00CF0E2D" w:rsidP="00A60D4B">
      <w:pPr>
        <w:pStyle w:val="BBullet1"/>
        <w:ind w:left="340" w:hanging="340"/>
      </w:pPr>
      <w:r w:rsidRPr="0098087B">
        <w:t>expanding the Utilities Concession to ACT households where an account holder also holds an ACT Services Access Card;</w:t>
      </w:r>
    </w:p>
    <w:p w14:paraId="79DA8150" w14:textId="77777777" w:rsidR="00CF0E2D" w:rsidRPr="0098087B" w:rsidRDefault="00CF0E2D" w:rsidP="00A60D4B">
      <w:pPr>
        <w:pStyle w:val="BBullet1"/>
        <w:ind w:left="340" w:hanging="340"/>
      </w:pPr>
      <w:r w:rsidRPr="0098087B">
        <w:t>providing an additional $0.25 million to the Utilities Hardship Fund in 2021-22 and forward years;</w:t>
      </w:r>
    </w:p>
    <w:p w14:paraId="4E9FD505" w14:textId="77777777" w:rsidR="00CF0E2D" w:rsidRPr="0098087B" w:rsidRDefault="00CF0E2D" w:rsidP="00A60D4B">
      <w:pPr>
        <w:pStyle w:val="BBullet1"/>
        <w:ind w:left="340" w:hanging="340"/>
      </w:pPr>
      <w:r w:rsidRPr="0098087B">
        <w:t>allocating $300,000 in 2021-22, $250,000 in 2022-23 and $200,000 over the remaining forward years to help improve energy literacy among vulnerable community members and improve awareness of available assistance measures; and</w:t>
      </w:r>
    </w:p>
    <w:p w14:paraId="64BBFD80" w14:textId="77777777" w:rsidR="00CF0E2D" w:rsidRPr="0098087B" w:rsidRDefault="00CF0E2D" w:rsidP="00A60D4B">
      <w:pPr>
        <w:pStyle w:val="BBullet1"/>
        <w:ind w:left="340" w:hanging="340"/>
      </w:pPr>
      <w:r w:rsidRPr="0098087B">
        <w:t>extending the current temporary conveyance duty concessions for off-the-plan units valued at $500,000 or below purchased by owner-occupiers on a permanent basis.</w:t>
      </w:r>
    </w:p>
    <w:p w14:paraId="1AF90BCB" w14:textId="77777777" w:rsidR="00CF0E2D" w:rsidRPr="0098087B" w:rsidRDefault="00CF0E2D" w:rsidP="00A60D4B">
      <w:pPr>
        <w:keepNext/>
        <w:keepLines/>
        <w:rPr>
          <w:sz w:val="24"/>
          <w:szCs w:val="24"/>
        </w:rPr>
      </w:pPr>
      <w:r w:rsidRPr="0098087B">
        <w:rPr>
          <w:sz w:val="24"/>
          <w:szCs w:val="24"/>
        </w:rPr>
        <w:t xml:space="preserve">This initiative contributes to the wellbeing domains of Living </w:t>
      </w:r>
      <w:r>
        <w:rPr>
          <w:sz w:val="24"/>
          <w:szCs w:val="24"/>
        </w:rPr>
        <w:t>s</w:t>
      </w:r>
      <w:r w:rsidRPr="0098087B">
        <w:rPr>
          <w:sz w:val="24"/>
          <w:szCs w:val="24"/>
        </w:rPr>
        <w:t xml:space="preserve">tandards and Housing and </w:t>
      </w:r>
      <w:r>
        <w:rPr>
          <w:sz w:val="24"/>
          <w:szCs w:val="24"/>
        </w:rPr>
        <w:t>h</w:t>
      </w:r>
      <w:r w:rsidRPr="0098087B">
        <w:rPr>
          <w:sz w:val="24"/>
          <w:szCs w:val="24"/>
        </w:rPr>
        <w:t>ome.</w:t>
      </w:r>
    </w:p>
    <w:bookmarkEnd w:id="36"/>
    <w:p w14:paraId="5F461AA0" w14:textId="77777777" w:rsidR="00CF0E2D" w:rsidRDefault="00CF0E2D">
      <w:r>
        <w:br w:type="page"/>
      </w:r>
    </w:p>
    <w:p w14:paraId="1F784897" w14:textId="77777777" w:rsidR="00CF0E2D" w:rsidRDefault="00CF0E2D" w:rsidP="00A60D4B">
      <w:pPr>
        <w:pStyle w:val="Heading3"/>
      </w:pPr>
      <w:r w:rsidRPr="00976E63">
        <w:lastRenderedPageBreak/>
        <w:t>CITY RENEWAL AUTHORITY</w:t>
      </w:r>
    </w:p>
    <w:p w14:paraId="648581E0" w14:textId="77777777" w:rsidR="00CF0E2D" w:rsidRPr="00862CC2" w:rsidRDefault="00CF0E2D" w:rsidP="00A60D4B"/>
    <w:p w14:paraId="70D450FA" w14:textId="77777777" w:rsidR="00CF0E2D" w:rsidRPr="000D1BBF" w:rsidRDefault="00CF0E2D" w:rsidP="00A60D4B">
      <w:pPr>
        <w:pStyle w:val="Heading4"/>
        <w:rPr>
          <w:rFonts w:eastAsia="Times New Roman" w:cs="Times New Roman"/>
          <w:bCs/>
          <w:szCs w:val="26"/>
        </w:rPr>
      </w:pPr>
      <w:r w:rsidRPr="000D1BBF">
        <w:rPr>
          <w:rFonts w:eastAsia="Times New Roman"/>
        </w:rPr>
        <w:t>Acton Waterfront Parkland</w:t>
      </w:r>
      <w:r>
        <w:rPr>
          <w:noProof/>
        </w:rPr>
        <w:drawing>
          <wp:anchor distT="0" distB="0" distL="114300" distR="114300" simplePos="0" relativeHeight="251769856" behindDoc="0" locked="1" layoutInCell="1" allowOverlap="1" wp14:anchorId="1B6D59B9" wp14:editId="4D17D7CA">
            <wp:simplePos x="0" y="0"/>
            <wp:positionH relativeFrom="margin">
              <wp:posOffset>4351655</wp:posOffset>
            </wp:positionH>
            <wp:positionV relativeFrom="paragraph">
              <wp:posOffset>-142875</wp:posOffset>
            </wp:positionV>
            <wp:extent cx="1378585" cy="507365"/>
            <wp:effectExtent l="0" t="0" r="0" b="6985"/>
            <wp:wrapSquare wrapText="bothSides"/>
            <wp:docPr id="82" name="Picture 82"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0465B980" w14:textId="77777777" w:rsidTr="00A60D4B">
        <w:trPr>
          <w:cantSplit/>
          <w:jc w:val="center"/>
        </w:trPr>
        <w:tc>
          <w:tcPr>
            <w:tcW w:w="3652" w:type="dxa"/>
            <w:tcBorders>
              <w:top w:val="single" w:sz="4" w:space="0" w:color="auto"/>
              <w:bottom w:val="single" w:sz="4" w:space="0" w:color="auto"/>
            </w:tcBorders>
          </w:tcPr>
          <w:p w14:paraId="1C338886"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00094058" w14:textId="77777777" w:rsidR="00CF0E2D" w:rsidRPr="005255D0" w:rsidRDefault="00CF0E2D" w:rsidP="00A60D4B">
            <w:pPr>
              <w:pStyle w:val="InitFigR"/>
              <w:rPr>
                <w:b/>
                <w:bCs/>
              </w:rPr>
            </w:pPr>
            <w:r w:rsidRPr="005255D0">
              <w:rPr>
                <w:b/>
                <w:bCs/>
              </w:rPr>
              <w:t>2021-22</w:t>
            </w:r>
          </w:p>
          <w:p w14:paraId="7DF62444" w14:textId="77777777" w:rsidR="00CF0E2D" w:rsidRPr="005255D0" w:rsidRDefault="00CF0E2D" w:rsidP="00A60D4B">
            <w:pPr>
              <w:pStyle w:val="InitFigR"/>
              <w:rPr>
                <w:b/>
                <w:bCs/>
              </w:rPr>
            </w:pPr>
            <w:r w:rsidRPr="005255D0">
              <w:rPr>
                <w:b/>
                <w:bCs/>
              </w:rPr>
              <w:t>$’000</w:t>
            </w:r>
          </w:p>
        </w:tc>
        <w:tc>
          <w:tcPr>
            <w:tcW w:w="1041" w:type="dxa"/>
            <w:tcBorders>
              <w:top w:val="single" w:sz="4" w:space="0" w:color="auto"/>
              <w:bottom w:val="single" w:sz="4" w:space="0" w:color="auto"/>
            </w:tcBorders>
          </w:tcPr>
          <w:p w14:paraId="66DA3CAA" w14:textId="77777777" w:rsidR="00CF0E2D" w:rsidRPr="005255D0" w:rsidRDefault="00CF0E2D" w:rsidP="00A60D4B">
            <w:pPr>
              <w:pStyle w:val="InitFigR"/>
              <w:rPr>
                <w:b/>
                <w:bCs/>
              </w:rPr>
            </w:pPr>
            <w:r w:rsidRPr="005255D0">
              <w:rPr>
                <w:b/>
                <w:bCs/>
              </w:rPr>
              <w:t>2022-23</w:t>
            </w:r>
          </w:p>
          <w:p w14:paraId="5D5625E4" w14:textId="77777777" w:rsidR="00CF0E2D" w:rsidRPr="005255D0" w:rsidRDefault="00CF0E2D" w:rsidP="00A60D4B">
            <w:pPr>
              <w:pStyle w:val="InitFigR"/>
              <w:rPr>
                <w:b/>
                <w:bCs/>
              </w:rPr>
            </w:pPr>
            <w:r w:rsidRPr="005255D0">
              <w:rPr>
                <w:b/>
                <w:bCs/>
              </w:rPr>
              <w:t>$’000</w:t>
            </w:r>
          </w:p>
        </w:tc>
        <w:tc>
          <w:tcPr>
            <w:tcW w:w="1029" w:type="dxa"/>
            <w:tcBorders>
              <w:top w:val="single" w:sz="4" w:space="0" w:color="auto"/>
              <w:bottom w:val="single" w:sz="4" w:space="0" w:color="auto"/>
            </w:tcBorders>
          </w:tcPr>
          <w:p w14:paraId="4CF87764" w14:textId="77777777" w:rsidR="00CF0E2D" w:rsidRPr="005255D0" w:rsidRDefault="00CF0E2D" w:rsidP="00A60D4B">
            <w:pPr>
              <w:pStyle w:val="InitFigR"/>
              <w:rPr>
                <w:b/>
                <w:bCs/>
              </w:rPr>
            </w:pPr>
            <w:r w:rsidRPr="005255D0">
              <w:rPr>
                <w:b/>
                <w:bCs/>
              </w:rPr>
              <w:t>2023-24</w:t>
            </w:r>
          </w:p>
          <w:p w14:paraId="73090FD1" w14:textId="77777777" w:rsidR="00CF0E2D" w:rsidRPr="005255D0" w:rsidRDefault="00CF0E2D" w:rsidP="00A60D4B">
            <w:pPr>
              <w:pStyle w:val="InitFigR"/>
              <w:rPr>
                <w:b/>
                <w:bCs/>
              </w:rPr>
            </w:pPr>
            <w:r w:rsidRPr="005255D0">
              <w:rPr>
                <w:b/>
                <w:bCs/>
              </w:rPr>
              <w:t>$’000</w:t>
            </w:r>
          </w:p>
        </w:tc>
        <w:tc>
          <w:tcPr>
            <w:tcW w:w="1029" w:type="dxa"/>
            <w:tcBorders>
              <w:top w:val="single" w:sz="4" w:space="0" w:color="auto"/>
              <w:bottom w:val="single" w:sz="4" w:space="0" w:color="auto"/>
            </w:tcBorders>
          </w:tcPr>
          <w:p w14:paraId="3DB0B29F" w14:textId="77777777" w:rsidR="00CF0E2D" w:rsidRPr="005255D0" w:rsidRDefault="00CF0E2D" w:rsidP="00A60D4B">
            <w:pPr>
              <w:pStyle w:val="InitFigR"/>
              <w:rPr>
                <w:b/>
                <w:bCs/>
              </w:rPr>
            </w:pPr>
            <w:r w:rsidRPr="005255D0">
              <w:rPr>
                <w:b/>
                <w:bCs/>
              </w:rPr>
              <w:t>2024-25</w:t>
            </w:r>
          </w:p>
          <w:p w14:paraId="3EC1549B" w14:textId="77777777" w:rsidR="00CF0E2D" w:rsidRPr="005255D0" w:rsidRDefault="00CF0E2D" w:rsidP="00A60D4B">
            <w:pPr>
              <w:pStyle w:val="InitFigR"/>
              <w:rPr>
                <w:b/>
                <w:bCs/>
              </w:rPr>
            </w:pPr>
            <w:r w:rsidRPr="005255D0">
              <w:rPr>
                <w:b/>
                <w:bCs/>
              </w:rPr>
              <w:t>$’000</w:t>
            </w:r>
          </w:p>
        </w:tc>
        <w:tc>
          <w:tcPr>
            <w:tcW w:w="1029" w:type="dxa"/>
            <w:tcBorders>
              <w:top w:val="single" w:sz="4" w:space="0" w:color="auto"/>
              <w:bottom w:val="single" w:sz="4" w:space="0" w:color="auto"/>
            </w:tcBorders>
          </w:tcPr>
          <w:p w14:paraId="19D785CB" w14:textId="77777777" w:rsidR="00CF0E2D" w:rsidRPr="004E341E" w:rsidRDefault="00CF0E2D" w:rsidP="00A60D4B">
            <w:pPr>
              <w:pStyle w:val="InitFigRBold"/>
            </w:pPr>
            <w:r w:rsidRPr="004E341E">
              <w:t>Total</w:t>
            </w:r>
          </w:p>
          <w:p w14:paraId="7C347B28" w14:textId="77777777" w:rsidR="00CF0E2D" w:rsidRPr="004E341E" w:rsidRDefault="00CF0E2D" w:rsidP="00A60D4B">
            <w:pPr>
              <w:pStyle w:val="InitFigBR"/>
            </w:pPr>
            <w:r w:rsidRPr="004E341E">
              <w:t>$’000</w:t>
            </w:r>
          </w:p>
        </w:tc>
      </w:tr>
      <w:tr w:rsidR="00CF0E2D" w:rsidRPr="00750793" w14:paraId="19817EC2" w14:textId="77777777" w:rsidTr="00A60D4B">
        <w:trPr>
          <w:cantSplit/>
          <w:jc w:val="center"/>
        </w:trPr>
        <w:tc>
          <w:tcPr>
            <w:tcW w:w="3652" w:type="dxa"/>
            <w:tcBorders>
              <w:top w:val="single" w:sz="4" w:space="0" w:color="auto"/>
            </w:tcBorders>
          </w:tcPr>
          <w:p w14:paraId="4D8A22AA" w14:textId="77777777" w:rsidR="00CF0E2D" w:rsidRDefault="00CF0E2D" w:rsidP="00A60D4B">
            <w:pPr>
              <w:pStyle w:val="InitTextL"/>
              <w:ind w:left="321" w:hanging="321"/>
            </w:pPr>
            <w:r>
              <w:t>Capital</w:t>
            </w:r>
          </w:p>
        </w:tc>
        <w:tc>
          <w:tcPr>
            <w:tcW w:w="1179" w:type="dxa"/>
            <w:tcBorders>
              <w:top w:val="single" w:sz="4" w:space="0" w:color="auto"/>
            </w:tcBorders>
          </w:tcPr>
          <w:p w14:paraId="4760B251" w14:textId="77777777" w:rsidR="00CF0E2D" w:rsidRDefault="00CF0E2D" w:rsidP="00A60D4B">
            <w:pPr>
              <w:pStyle w:val="InitFigR"/>
            </w:pPr>
            <w:r>
              <w:t>1,910</w:t>
            </w:r>
          </w:p>
        </w:tc>
        <w:tc>
          <w:tcPr>
            <w:tcW w:w="1041" w:type="dxa"/>
            <w:tcBorders>
              <w:top w:val="single" w:sz="4" w:space="0" w:color="auto"/>
            </w:tcBorders>
          </w:tcPr>
          <w:p w14:paraId="63A5B01B" w14:textId="77777777" w:rsidR="00CF0E2D" w:rsidRDefault="00CF0E2D" w:rsidP="00A60D4B">
            <w:pPr>
              <w:pStyle w:val="InitFigR"/>
            </w:pPr>
            <w:r>
              <w:t>890</w:t>
            </w:r>
          </w:p>
        </w:tc>
        <w:tc>
          <w:tcPr>
            <w:tcW w:w="1029" w:type="dxa"/>
            <w:tcBorders>
              <w:top w:val="single" w:sz="4" w:space="0" w:color="auto"/>
            </w:tcBorders>
          </w:tcPr>
          <w:p w14:paraId="6661DE1D" w14:textId="77777777" w:rsidR="00CF0E2D" w:rsidRDefault="00CF0E2D" w:rsidP="00A60D4B">
            <w:pPr>
              <w:pStyle w:val="InitFigR"/>
            </w:pPr>
            <w:r>
              <w:t>0</w:t>
            </w:r>
          </w:p>
        </w:tc>
        <w:tc>
          <w:tcPr>
            <w:tcW w:w="1029" w:type="dxa"/>
            <w:tcBorders>
              <w:top w:val="single" w:sz="4" w:space="0" w:color="auto"/>
            </w:tcBorders>
          </w:tcPr>
          <w:p w14:paraId="5392E45D" w14:textId="77777777" w:rsidR="00CF0E2D" w:rsidRDefault="00CF0E2D" w:rsidP="00A60D4B">
            <w:pPr>
              <w:pStyle w:val="InitFigR"/>
            </w:pPr>
            <w:r>
              <w:t>0</w:t>
            </w:r>
          </w:p>
        </w:tc>
        <w:tc>
          <w:tcPr>
            <w:tcW w:w="1029" w:type="dxa"/>
            <w:tcBorders>
              <w:top w:val="single" w:sz="4" w:space="0" w:color="auto"/>
            </w:tcBorders>
          </w:tcPr>
          <w:p w14:paraId="454F97DB" w14:textId="77777777" w:rsidR="00CF0E2D" w:rsidRPr="005255D0" w:rsidRDefault="00CF0E2D" w:rsidP="00A60D4B">
            <w:pPr>
              <w:pStyle w:val="InitFigRBold"/>
              <w:rPr>
                <w:bCs/>
              </w:rPr>
            </w:pPr>
            <w:r w:rsidRPr="005255D0">
              <w:rPr>
                <w:bCs/>
              </w:rPr>
              <w:t>2,800</w:t>
            </w:r>
          </w:p>
        </w:tc>
      </w:tr>
      <w:tr w:rsidR="00CF0E2D" w:rsidRPr="00750793" w14:paraId="0ACAC7B2" w14:textId="77777777" w:rsidTr="00A60D4B">
        <w:trPr>
          <w:cantSplit/>
          <w:jc w:val="center"/>
        </w:trPr>
        <w:tc>
          <w:tcPr>
            <w:tcW w:w="3652" w:type="dxa"/>
            <w:tcBorders>
              <w:bottom w:val="single" w:sz="4" w:space="0" w:color="auto"/>
            </w:tcBorders>
          </w:tcPr>
          <w:p w14:paraId="17E895EC" w14:textId="77777777" w:rsidR="00CF0E2D" w:rsidRDefault="00CF0E2D" w:rsidP="00A60D4B">
            <w:pPr>
              <w:pStyle w:val="InitTextL"/>
              <w:ind w:left="321" w:hanging="321"/>
            </w:pPr>
            <w:r>
              <w:t>Capital – Provision</w:t>
            </w:r>
          </w:p>
        </w:tc>
        <w:tc>
          <w:tcPr>
            <w:tcW w:w="1179" w:type="dxa"/>
            <w:tcBorders>
              <w:bottom w:val="single" w:sz="4" w:space="0" w:color="auto"/>
            </w:tcBorders>
          </w:tcPr>
          <w:p w14:paraId="50CC301D" w14:textId="77777777" w:rsidR="00CF0E2D" w:rsidRDefault="00CF0E2D" w:rsidP="00A60D4B">
            <w:pPr>
              <w:pStyle w:val="InitFigR"/>
            </w:pPr>
            <w:r>
              <w:t>NFP</w:t>
            </w:r>
          </w:p>
        </w:tc>
        <w:tc>
          <w:tcPr>
            <w:tcW w:w="1041" w:type="dxa"/>
            <w:tcBorders>
              <w:bottom w:val="single" w:sz="4" w:space="0" w:color="auto"/>
            </w:tcBorders>
          </w:tcPr>
          <w:p w14:paraId="445E96E9" w14:textId="77777777" w:rsidR="00CF0E2D" w:rsidRDefault="00CF0E2D" w:rsidP="00A60D4B">
            <w:pPr>
              <w:pStyle w:val="InitFigR"/>
            </w:pPr>
            <w:r>
              <w:t>NFP</w:t>
            </w:r>
          </w:p>
        </w:tc>
        <w:tc>
          <w:tcPr>
            <w:tcW w:w="1029" w:type="dxa"/>
            <w:tcBorders>
              <w:bottom w:val="single" w:sz="4" w:space="0" w:color="auto"/>
            </w:tcBorders>
          </w:tcPr>
          <w:p w14:paraId="7BD04255" w14:textId="77777777" w:rsidR="00CF0E2D" w:rsidRDefault="00CF0E2D" w:rsidP="00A60D4B">
            <w:pPr>
              <w:pStyle w:val="InitFigR"/>
            </w:pPr>
            <w:r>
              <w:t>NFP</w:t>
            </w:r>
          </w:p>
        </w:tc>
        <w:tc>
          <w:tcPr>
            <w:tcW w:w="1029" w:type="dxa"/>
            <w:tcBorders>
              <w:bottom w:val="single" w:sz="4" w:space="0" w:color="auto"/>
            </w:tcBorders>
          </w:tcPr>
          <w:p w14:paraId="7F8DA0F9" w14:textId="77777777" w:rsidR="00CF0E2D" w:rsidRDefault="00CF0E2D" w:rsidP="00A60D4B">
            <w:pPr>
              <w:pStyle w:val="InitFigR"/>
            </w:pPr>
            <w:r>
              <w:t>NFP</w:t>
            </w:r>
          </w:p>
        </w:tc>
        <w:tc>
          <w:tcPr>
            <w:tcW w:w="1029" w:type="dxa"/>
            <w:tcBorders>
              <w:bottom w:val="single" w:sz="4" w:space="0" w:color="auto"/>
            </w:tcBorders>
          </w:tcPr>
          <w:p w14:paraId="77657873" w14:textId="77777777" w:rsidR="00CF0E2D" w:rsidRPr="005255D0" w:rsidRDefault="00CF0E2D" w:rsidP="00A60D4B">
            <w:pPr>
              <w:pStyle w:val="InitFigRBold"/>
              <w:rPr>
                <w:bCs/>
              </w:rPr>
            </w:pPr>
            <w:r>
              <w:rPr>
                <w:bCs/>
              </w:rPr>
              <w:t>NFP</w:t>
            </w:r>
          </w:p>
        </w:tc>
      </w:tr>
      <w:tr w:rsidR="00CF0E2D" w:rsidRPr="00750793" w14:paraId="6CD44EF6" w14:textId="77777777" w:rsidTr="00A60D4B">
        <w:trPr>
          <w:cantSplit/>
          <w:jc w:val="center"/>
        </w:trPr>
        <w:tc>
          <w:tcPr>
            <w:tcW w:w="3652" w:type="dxa"/>
            <w:tcBorders>
              <w:top w:val="single" w:sz="4" w:space="0" w:color="auto"/>
              <w:bottom w:val="single" w:sz="4" w:space="0" w:color="auto"/>
            </w:tcBorders>
          </w:tcPr>
          <w:p w14:paraId="205BAB24" w14:textId="342861BF" w:rsidR="00CF0E2D" w:rsidRPr="001236CE" w:rsidRDefault="00B86042" w:rsidP="00A60D4B">
            <w:pPr>
              <w:pStyle w:val="InitTextL"/>
              <w:ind w:left="321" w:hanging="321"/>
              <w:rPr>
                <w:b/>
                <w:bCs/>
              </w:rPr>
            </w:pPr>
            <w:r>
              <w:rPr>
                <w:b/>
                <w:bCs/>
              </w:rPr>
              <w:t>Total capital</w:t>
            </w:r>
          </w:p>
        </w:tc>
        <w:tc>
          <w:tcPr>
            <w:tcW w:w="1179" w:type="dxa"/>
            <w:tcBorders>
              <w:top w:val="single" w:sz="4" w:space="0" w:color="auto"/>
              <w:bottom w:val="single" w:sz="4" w:space="0" w:color="auto"/>
            </w:tcBorders>
          </w:tcPr>
          <w:p w14:paraId="77C155BF" w14:textId="77777777" w:rsidR="00CF0E2D" w:rsidRPr="001236CE" w:rsidRDefault="00CF0E2D" w:rsidP="00A60D4B">
            <w:pPr>
              <w:pStyle w:val="InitFigR"/>
              <w:rPr>
                <w:b/>
                <w:bCs/>
              </w:rPr>
            </w:pPr>
            <w:r w:rsidRPr="001236CE">
              <w:rPr>
                <w:b/>
                <w:bCs/>
              </w:rPr>
              <w:t>1,910</w:t>
            </w:r>
          </w:p>
        </w:tc>
        <w:tc>
          <w:tcPr>
            <w:tcW w:w="1041" w:type="dxa"/>
            <w:tcBorders>
              <w:top w:val="single" w:sz="4" w:space="0" w:color="auto"/>
              <w:bottom w:val="single" w:sz="4" w:space="0" w:color="auto"/>
            </w:tcBorders>
          </w:tcPr>
          <w:p w14:paraId="4F038024" w14:textId="77777777" w:rsidR="00CF0E2D" w:rsidRPr="001236CE" w:rsidRDefault="00CF0E2D" w:rsidP="00A60D4B">
            <w:pPr>
              <w:pStyle w:val="InitFigR"/>
              <w:rPr>
                <w:b/>
                <w:bCs/>
              </w:rPr>
            </w:pPr>
            <w:r>
              <w:rPr>
                <w:b/>
                <w:bCs/>
              </w:rPr>
              <w:t>890</w:t>
            </w:r>
          </w:p>
        </w:tc>
        <w:tc>
          <w:tcPr>
            <w:tcW w:w="1029" w:type="dxa"/>
            <w:tcBorders>
              <w:top w:val="single" w:sz="4" w:space="0" w:color="auto"/>
              <w:bottom w:val="single" w:sz="4" w:space="0" w:color="auto"/>
            </w:tcBorders>
          </w:tcPr>
          <w:p w14:paraId="5457B361" w14:textId="77777777" w:rsidR="00CF0E2D" w:rsidRPr="001236CE" w:rsidRDefault="00CF0E2D" w:rsidP="00A60D4B">
            <w:pPr>
              <w:pStyle w:val="InitFigR"/>
              <w:rPr>
                <w:b/>
                <w:bCs/>
              </w:rPr>
            </w:pPr>
            <w:r>
              <w:rPr>
                <w:b/>
                <w:bCs/>
              </w:rPr>
              <w:t>0</w:t>
            </w:r>
          </w:p>
        </w:tc>
        <w:tc>
          <w:tcPr>
            <w:tcW w:w="1029" w:type="dxa"/>
            <w:tcBorders>
              <w:top w:val="single" w:sz="4" w:space="0" w:color="auto"/>
              <w:bottom w:val="single" w:sz="4" w:space="0" w:color="auto"/>
            </w:tcBorders>
          </w:tcPr>
          <w:p w14:paraId="438962F6" w14:textId="77777777" w:rsidR="00CF0E2D" w:rsidRPr="001236CE" w:rsidRDefault="00CF0E2D" w:rsidP="00A60D4B">
            <w:pPr>
              <w:pStyle w:val="InitFigR"/>
              <w:rPr>
                <w:b/>
                <w:bCs/>
              </w:rPr>
            </w:pPr>
            <w:r>
              <w:rPr>
                <w:b/>
                <w:bCs/>
              </w:rPr>
              <w:t>0</w:t>
            </w:r>
          </w:p>
        </w:tc>
        <w:tc>
          <w:tcPr>
            <w:tcW w:w="1029" w:type="dxa"/>
            <w:tcBorders>
              <w:top w:val="single" w:sz="4" w:space="0" w:color="auto"/>
              <w:bottom w:val="single" w:sz="4" w:space="0" w:color="auto"/>
            </w:tcBorders>
          </w:tcPr>
          <w:p w14:paraId="08A63F3A" w14:textId="77777777" w:rsidR="00CF0E2D" w:rsidRDefault="00CF0E2D" w:rsidP="00A60D4B">
            <w:pPr>
              <w:pStyle w:val="InitFigRBold"/>
              <w:rPr>
                <w:bCs/>
              </w:rPr>
            </w:pPr>
            <w:r>
              <w:rPr>
                <w:bCs/>
              </w:rPr>
              <w:t>2,800</w:t>
            </w:r>
          </w:p>
        </w:tc>
      </w:tr>
    </w:tbl>
    <w:p w14:paraId="27E62ABB" w14:textId="77777777" w:rsidR="00CF0E2D" w:rsidRPr="00AA45D1" w:rsidRDefault="00CF0E2D" w:rsidP="00A60D4B">
      <w:pPr>
        <w:pStyle w:val="Bbodytext"/>
        <w:rPr>
          <w:rFonts w:ascii="Calibri" w:eastAsia="Times New Roman" w:hAnsi="Calibri" w:cs="Times New Roman"/>
          <w:szCs w:val="20"/>
        </w:rPr>
      </w:pPr>
      <w:r w:rsidRPr="00AA45D1">
        <w:t>T</w:t>
      </w:r>
      <w:r w:rsidRPr="00AA45D1">
        <w:rPr>
          <w:rFonts w:ascii="Calibri" w:eastAsia="Times New Roman" w:hAnsi="Calibri" w:cs="Times New Roman"/>
          <w:szCs w:val="20"/>
        </w:rPr>
        <w:t xml:space="preserve">he Government will design and consult on a new four-hectare lakefront park to be situated on land reclaimed from Lake Burley Griffin. This park will complement the other developments at the Acton Waterfront, including Henry Rolland Park and the boardwalk extension forming the new lake edge. The initiative includes the creation of a phased provision for design and construction costs over </w:t>
      </w:r>
      <w:r>
        <w:rPr>
          <w:rFonts w:ascii="Calibri" w:eastAsia="Times New Roman" w:hAnsi="Calibri" w:cs="Times New Roman"/>
          <w:szCs w:val="20"/>
        </w:rPr>
        <w:t xml:space="preserve">the </w:t>
      </w:r>
      <w:r w:rsidRPr="00AA45D1">
        <w:rPr>
          <w:rFonts w:ascii="Calibri" w:eastAsia="Times New Roman" w:hAnsi="Calibri" w:cs="Times New Roman"/>
          <w:szCs w:val="20"/>
        </w:rPr>
        <w:t>four years to 2025-26.</w:t>
      </w:r>
    </w:p>
    <w:p w14:paraId="4402090C" w14:textId="77777777" w:rsidR="00CF0E2D" w:rsidRDefault="00CF0E2D" w:rsidP="00A60D4B">
      <w:pPr>
        <w:pStyle w:val="Bbodytext"/>
      </w:pPr>
      <w:r w:rsidRPr="00AA45D1">
        <w:t>This initiative contributes to the wellbeing domain</w:t>
      </w:r>
      <w:r>
        <w:t>s</w:t>
      </w:r>
      <w:r w:rsidRPr="00AA45D1">
        <w:t xml:space="preserve"> of Access and connectivity.</w:t>
      </w:r>
    </w:p>
    <w:p w14:paraId="1D21E548" w14:textId="77777777" w:rsidR="00CF0E2D" w:rsidRDefault="00CF0E2D" w:rsidP="00A60D4B">
      <w:pPr>
        <w:pStyle w:val="Bbodytext"/>
      </w:pPr>
    </w:p>
    <w:p w14:paraId="3865BF6B" w14:textId="77777777" w:rsidR="00CF0E2D" w:rsidRPr="000D1BBF" w:rsidRDefault="00CF0E2D" w:rsidP="00A60D4B">
      <w:pPr>
        <w:pStyle w:val="Heading4"/>
        <w:rPr>
          <w:rFonts w:eastAsia="Times New Roman" w:cs="Times New Roman"/>
          <w:bCs/>
          <w:szCs w:val="26"/>
        </w:rPr>
      </w:pPr>
      <w:r w:rsidRPr="000D1BBF">
        <w:rPr>
          <w:rFonts w:eastAsia="Times New Roman"/>
        </w:rPr>
        <w:t xml:space="preserve">City Renewal Authority </w:t>
      </w:r>
      <w:r w:rsidRPr="007E1473">
        <w:rPr>
          <w:rFonts w:eastAsia="Times New Roman" w:cs="Times New Roman"/>
          <w:bCs/>
          <w:szCs w:val="26"/>
        </w:rPr>
        <w:t>operational funding</w:t>
      </w:r>
      <w:r>
        <w:rPr>
          <w:b w:val="0"/>
          <w:noProof/>
          <w:color w:val="999789"/>
          <w:sz w:val="32"/>
          <w:szCs w:val="24"/>
        </w:rPr>
        <w:drawing>
          <wp:anchor distT="0" distB="0" distL="114300" distR="114300" simplePos="0" relativeHeight="251770880" behindDoc="0" locked="1" layoutInCell="1" allowOverlap="1" wp14:anchorId="26BE2D99" wp14:editId="68E81435">
            <wp:simplePos x="0" y="0"/>
            <wp:positionH relativeFrom="margin">
              <wp:align>right</wp:align>
            </wp:positionH>
            <wp:positionV relativeFrom="paragraph">
              <wp:posOffset>-132080</wp:posOffset>
            </wp:positionV>
            <wp:extent cx="1216660" cy="503555"/>
            <wp:effectExtent l="0" t="0" r="2540" b="0"/>
            <wp:wrapSquare wrapText="bothSides"/>
            <wp:docPr id="83" name="Picture 83" descr="Icon representing the wellbeing domain of Identity and belo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 representing the wellbeing domain of Identity and belongi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1666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413D58F5" w14:textId="77777777" w:rsidTr="00A60D4B">
        <w:trPr>
          <w:cantSplit/>
          <w:jc w:val="center"/>
        </w:trPr>
        <w:tc>
          <w:tcPr>
            <w:tcW w:w="3652" w:type="dxa"/>
            <w:tcBorders>
              <w:top w:val="single" w:sz="4" w:space="0" w:color="auto"/>
              <w:bottom w:val="single" w:sz="4" w:space="0" w:color="auto"/>
            </w:tcBorders>
          </w:tcPr>
          <w:p w14:paraId="326D318E"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2212EB94" w14:textId="77777777" w:rsidR="00CF0E2D" w:rsidRPr="005255D0" w:rsidRDefault="00CF0E2D" w:rsidP="00A60D4B">
            <w:pPr>
              <w:pStyle w:val="InitFigR"/>
              <w:rPr>
                <w:b/>
                <w:bCs/>
              </w:rPr>
            </w:pPr>
            <w:r w:rsidRPr="005255D0">
              <w:rPr>
                <w:b/>
                <w:bCs/>
              </w:rPr>
              <w:t>2021-22</w:t>
            </w:r>
          </w:p>
          <w:p w14:paraId="4AE4622F" w14:textId="77777777" w:rsidR="00CF0E2D" w:rsidRPr="005255D0" w:rsidRDefault="00CF0E2D" w:rsidP="00A60D4B">
            <w:pPr>
              <w:pStyle w:val="InitFigR"/>
              <w:rPr>
                <w:b/>
                <w:bCs/>
              </w:rPr>
            </w:pPr>
            <w:r w:rsidRPr="005255D0">
              <w:rPr>
                <w:b/>
                <w:bCs/>
              </w:rPr>
              <w:t>$’000</w:t>
            </w:r>
          </w:p>
        </w:tc>
        <w:tc>
          <w:tcPr>
            <w:tcW w:w="1041" w:type="dxa"/>
            <w:tcBorders>
              <w:top w:val="single" w:sz="4" w:space="0" w:color="auto"/>
              <w:bottom w:val="single" w:sz="4" w:space="0" w:color="auto"/>
            </w:tcBorders>
          </w:tcPr>
          <w:p w14:paraId="3697819D" w14:textId="77777777" w:rsidR="00CF0E2D" w:rsidRPr="005255D0" w:rsidRDefault="00CF0E2D" w:rsidP="00A60D4B">
            <w:pPr>
              <w:pStyle w:val="InitFigR"/>
              <w:rPr>
                <w:b/>
                <w:bCs/>
              </w:rPr>
            </w:pPr>
            <w:r w:rsidRPr="005255D0">
              <w:rPr>
                <w:b/>
                <w:bCs/>
              </w:rPr>
              <w:t>2022-23</w:t>
            </w:r>
          </w:p>
          <w:p w14:paraId="6D542405" w14:textId="77777777" w:rsidR="00CF0E2D" w:rsidRPr="005255D0" w:rsidRDefault="00CF0E2D" w:rsidP="00A60D4B">
            <w:pPr>
              <w:pStyle w:val="InitFigR"/>
              <w:rPr>
                <w:b/>
                <w:bCs/>
              </w:rPr>
            </w:pPr>
            <w:r w:rsidRPr="005255D0">
              <w:rPr>
                <w:b/>
                <w:bCs/>
              </w:rPr>
              <w:t>$’000</w:t>
            </w:r>
          </w:p>
        </w:tc>
        <w:tc>
          <w:tcPr>
            <w:tcW w:w="1029" w:type="dxa"/>
            <w:tcBorders>
              <w:top w:val="single" w:sz="4" w:space="0" w:color="auto"/>
              <w:bottom w:val="single" w:sz="4" w:space="0" w:color="auto"/>
            </w:tcBorders>
          </w:tcPr>
          <w:p w14:paraId="4FF6D8AA" w14:textId="77777777" w:rsidR="00CF0E2D" w:rsidRPr="005255D0" w:rsidRDefault="00CF0E2D" w:rsidP="00A60D4B">
            <w:pPr>
              <w:pStyle w:val="InitFigR"/>
              <w:rPr>
                <w:b/>
                <w:bCs/>
              </w:rPr>
            </w:pPr>
            <w:r w:rsidRPr="005255D0">
              <w:rPr>
                <w:b/>
                <w:bCs/>
              </w:rPr>
              <w:t>2023-24</w:t>
            </w:r>
          </w:p>
          <w:p w14:paraId="4BE2CD8B" w14:textId="77777777" w:rsidR="00CF0E2D" w:rsidRPr="005255D0" w:rsidRDefault="00CF0E2D" w:rsidP="00A60D4B">
            <w:pPr>
              <w:pStyle w:val="InitFigR"/>
              <w:rPr>
                <w:b/>
                <w:bCs/>
              </w:rPr>
            </w:pPr>
            <w:r w:rsidRPr="005255D0">
              <w:rPr>
                <w:b/>
                <w:bCs/>
              </w:rPr>
              <w:t>$’000</w:t>
            </w:r>
          </w:p>
        </w:tc>
        <w:tc>
          <w:tcPr>
            <w:tcW w:w="1029" w:type="dxa"/>
            <w:tcBorders>
              <w:top w:val="single" w:sz="4" w:space="0" w:color="auto"/>
              <w:bottom w:val="single" w:sz="4" w:space="0" w:color="auto"/>
            </w:tcBorders>
          </w:tcPr>
          <w:p w14:paraId="56F43AE4" w14:textId="77777777" w:rsidR="00CF0E2D" w:rsidRPr="005255D0" w:rsidRDefault="00CF0E2D" w:rsidP="00A60D4B">
            <w:pPr>
              <w:pStyle w:val="InitFigR"/>
              <w:rPr>
                <w:b/>
                <w:bCs/>
              </w:rPr>
            </w:pPr>
            <w:r w:rsidRPr="005255D0">
              <w:rPr>
                <w:b/>
                <w:bCs/>
              </w:rPr>
              <w:t>2024-25</w:t>
            </w:r>
          </w:p>
          <w:p w14:paraId="72841E28" w14:textId="77777777" w:rsidR="00CF0E2D" w:rsidRPr="005255D0" w:rsidRDefault="00CF0E2D" w:rsidP="00A60D4B">
            <w:pPr>
              <w:pStyle w:val="InitFigR"/>
              <w:rPr>
                <w:b/>
                <w:bCs/>
              </w:rPr>
            </w:pPr>
            <w:r w:rsidRPr="005255D0">
              <w:rPr>
                <w:b/>
                <w:bCs/>
              </w:rPr>
              <w:t>$’000</w:t>
            </w:r>
          </w:p>
        </w:tc>
        <w:tc>
          <w:tcPr>
            <w:tcW w:w="1029" w:type="dxa"/>
            <w:tcBorders>
              <w:top w:val="single" w:sz="4" w:space="0" w:color="auto"/>
              <w:bottom w:val="single" w:sz="4" w:space="0" w:color="auto"/>
            </w:tcBorders>
          </w:tcPr>
          <w:p w14:paraId="5185E2DC" w14:textId="77777777" w:rsidR="00CF0E2D" w:rsidRPr="004E341E" w:rsidRDefault="00CF0E2D" w:rsidP="00A60D4B">
            <w:pPr>
              <w:pStyle w:val="InitFigRBold"/>
            </w:pPr>
            <w:r w:rsidRPr="004E341E">
              <w:t>Total</w:t>
            </w:r>
          </w:p>
          <w:p w14:paraId="185CF55B" w14:textId="77777777" w:rsidR="00CF0E2D" w:rsidRPr="004E341E" w:rsidRDefault="00CF0E2D" w:rsidP="00A60D4B">
            <w:pPr>
              <w:pStyle w:val="InitFigBR"/>
            </w:pPr>
            <w:r w:rsidRPr="004E341E">
              <w:t>$’000</w:t>
            </w:r>
          </w:p>
        </w:tc>
      </w:tr>
      <w:tr w:rsidR="00CF0E2D" w:rsidRPr="00750793" w14:paraId="69A5782E" w14:textId="77777777" w:rsidTr="00A60D4B">
        <w:trPr>
          <w:cantSplit/>
          <w:jc w:val="center"/>
        </w:trPr>
        <w:tc>
          <w:tcPr>
            <w:tcW w:w="3652" w:type="dxa"/>
            <w:tcBorders>
              <w:top w:val="single" w:sz="4" w:space="0" w:color="auto"/>
            </w:tcBorders>
          </w:tcPr>
          <w:p w14:paraId="698A91FB" w14:textId="77777777" w:rsidR="00CF0E2D" w:rsidRPr="00F13FAB" w:rsidRDefault="00CF0E2D" w:rsidP="00A60D4B">
            <w:pPr>
              <w:pStyle w:val="InitTextL"/>
              <w:ind w:left="321" w:hanging="321"/>
            </w:pPr>
            <w:r w:rsidRPr="00882BE2">
              <w:t>Expenses</w:t>
            </w:r>
          </w:p>
        </w:tc>
        <w:tc>
          <w:tcPr>
            <w:tcW w:w="1179" w:type="dxa"/>
            <w:tcBorders>
              <w:top w:val="single" w:sz="4" w:space="0" w:color="auto"/>
            </w:tcBorders>
          </w:tcPr>
          <w:p w14:paraId="040F485E" w14:textId="77777777" w:rsidR="00CF0E2D" w:rsidRPr="00424DA4" w:rsidRDefault="00CF0E2D" w:rsidP="00A60D4B">
            <w:pPr>
              <w:pStyle w:val="InitFigR"/>
            </w:pPr>
            <w:r>
              <w:t>9,188</w:t>
            </w:r>
          </w:p>
        </w:tc>
        <w:tc>
          <w:tcPr>
            <w:tcW w:w="1041" w:type="dxa"/>
            <w:tcBorders>
              <w:top w:val="single" w:sz="4" w:space="0" w:color="auto"/>
            </w:tcBorders>
          </w:tcPr>
          <w:p w14:paraId="5957ED21" w14:textId="77777777" w:rsidR="00CF0E2D" w:rsidRPr="00424DA4" w:rsidRDefault="00CF0E2D" w:rsidP="00A60D4B">
            <w:pPr>
              <w:pStyle w:val="InitFigR"/>
            </w:pPr>
            <w:r>
              <w:t>9,342</w:t>
            </w:r>
          </w:p>
        </w:tc>
        <w:tc>
          <w:tcPr>
            <w:tcW w:w="1029" w:type="dxa"/>
            <w:tcBorders>
              <w:top w:val="single" w:sz="4" w:space="0" w:color="auto"/>
            </w:tcBorders>
          </w:tcPr>
          <w:p w14:paraId="1D30E08F" w14:textId="77777777" w:rsidR="00CF0E2D" w:rsidRPr="00424DA4" w:rsidRDefault="00CF0E2D" w:rsidP="00A60D4B">
            <w:pPr>
              <w:pStyle w:val="InitFigR"/>
            </w:pPr>
            <w:r>
              <w:t>9,528</w:t>
            </w:r>
          </w:p>
        </w:tc>
        <w:tc>
          <w:tcPr>
            <w:tcW w:w="1029" w:type="dxa"/>
            <w:tcBorders>
              <w:top w:val="single" w:sz="4" w:space="0" w:color="auto"/>
            </w:tcBorders>
          </w:tcPr>
          <w:p w14:paraId="7723920E" w14:textId="77777777" w:rsidR="00CF0E2D" w:rsidRPr="00424DA4" w:rsidRDefault="00CF0E2D" w:rsidP="00A60D4B">
            <w:pPr>
              <w:pStyle w:val="InitFigR"/>
            </w:pPr>
            <w:r>
              <w:t>9,717</w:t>
            </w:r>
          </w:p>
        </w:tc>
        <w:tc>
          <w:tcPr>
            <w:tcW w:w="1029" w:type="dxa"/>
            <w:tcBorders>
              <w:top w:val="single" w:sz="4" w:space="0" w:color="auto"/>
            </w:tcBorders>
          </w:tcPr>
          <w:p w14:paraId="2AA72790" w14:textId="77777777" w:rsidR="00CF0E2D" w:rsidRPr="00424DA4" w:rsidRDefault="00CF0E2D" w:rsidP="00A60D4B">
            <w:pPr>
              <w:pStyle w:val="InitFigBR"/>
            </w:pPr>
            <w:r>
              <w:t>37,775</w:t>
            </w:r>
          </w:p>
        </w:tc>
      </w:tr>
      <w:tr w:rsidR="00CF0E2D" w:rsidRPr="00750793" w14:paraId="6E5D502E" w14:textId="77777777" w:rsidTr="00A60D4B">
        <w:trPr>
          <w:cantSplit/>
          <w:jc w:val="center"/>
        </w:trPr>
        <w:tc>
          <w:tcPr>
            <w:tcW w:w="3652" w:type="dxa"/>
            <w:tcBorders>
              <w:bottom w:val="single" w:sz="4" w:space="0" w:color="auto"/>
            </w:tcBorders>
          </w:tcPr>
          <w:p w14:paraId="0C0077BF" w14:textId="77777777" w:rsidR="00CF0E2D" w:rsidRPr="00882BE2" w:rsidRDefault="00CF0E2D" w:rsidP="00A60D4B">
            <w:pPr>
              <w:pStyle w:val="InitTextL"/>
              <w:ind w:left="321" w:hanging="321"/>
            </w:pPr>
            <w:r>
              <w:t>Offset – Existing Funding</w:t>
            </w:r>
          </w:p>
        </w:tc>
        <w:tc>
          <w:tcPr>
            <w:tcW w:w="1179" w:type="dxa"/>
            <w:tcBorders>
              <w:bottom w:val="single" w:sz="4" w:space="0" w:color="auto"/>
            </w:tcBorders>
          </w:tcPr>
          <w:p w14:paraId="08FE979B" w14:textId="77777777" w:rsidR="00CF0E2D" w:rsidRDefault="00CF0E2D" w:rsidP="00A60D4B">
            <w:pPr>
              <w:pStyle w:val="InitFigR"/>
            </w:pPr>
            <w:r>
              <w:t>-596</w:t>
            </w:r>
          </w:p>
        </w:tc>
        <w:tc>
          <w:tcPr>
            <w:tcW w:w="1041" w:type="dxa"/>
            <w:tcBorders>
              <w:bottom w:val="single" w:sz="4" w:space="0" w:color="auto"/>
            </w:tcBorders>
          </w:tcPr>
          <w:p w14:paraId="2A0AD825" w14:textId="77777777" w:rsidR="00CF0E2D" w:rsidRDefault="00CF0E2D" w:rsidP="00A60D4B">
            <w:pPr>
              <w:pStyle w:val="InitFigR"/>
            </w:pPr>
            <w:r>
              <w:t>-606</w:t>
            </w:r>
          </w:p>
        </w:tc>
        <w:tc>
          <w:tcPr>
            <w:tcW w:w="1029" w:type="dxa"/>
            <w:tcBorders>
              <w:bottom w:val="single" w:sz="4" w:space="0" w:color="auto"/>
            </w:tcBorders>
          </w:tcPr>
          <w:p w14:paraId="7D12DE2D" w14:textId="77777777" w:rsidR="00CF0E2D" w:rsidRDefault="00CF0E2D" w:rsidP="00A60D4B">
            <w:pPr>
              <w:pStyle w:val="InitFigR"/>
            </w:pPr>
            <w:r>
              <w:t>-621</w:t>
            </w:r>
          </w:p>
        </w:tc>
        <w:tc>
          <w:tcPr>
            <w:tcW w:w="1029" w:type="dxa"/>
            <w:tcBorders>
              <w:bottom w:val="single" w:sz="4" w:space="0" w:color="auto"/>
            </w:tcBorders>
          </w:tcPr>
          <w:p w14:paraId="57E26346" w14:textId="77777777" w:rsidR="00CF0E2D" w:rsidRDefault="00CF0E2D" w:rsidP="00A60D4B">
            <w:pPr>
              <w:pStyle w:val="InitFigR"/>
            </w:pPr>
            <w:r>
              <w:t>-637</w:t>
            </w:r>
          </w:p>
        </w:tc>
        <w:tc>
          <w:tcPr>
            <w:tcW w:w="1029" w:type="dxa"/>
            <w:tcBorders>
              <w:bottom w:val="single" w:sz="4" w:space="0" w:color="auto"/>
            </w:tcBorders>
          </w:tcPr>
          <w:p w14:paraId="2307693F" w14:textId="77777777" w:rsidR="00CF0E2D" w:rsidRDefault="00CF0E2D" w:rsidP="00A60D4B">
            <w:pPr>
              <w:pStyle w:val="InitFigBR"/>
            </w:pPr>
            <w:r>
              <w:t>-2,460</w:t>
            </w:r>
          </w:p>
        </w:tc>
      </w:tr>
      <w:tr w:rsidR="00CF0E2D" w:rsidRPr="00750793" w14:paraId="3BB39FF2" w14:textId="77777777" w:rsidTr="00A60D4B">
        <w:trPr>
          <w:cantSplit/>
          <w:jc w:val="center"/>
        </w:trPr>
        <w:tc>
          <w:tcPr>
            <w:tcW w:w="3652" w:type="dxa"/>
            <w:tcBorders>
              <w:top w:val="single" w:sz="4" w:space="0" w:color="auto"/>
              <w:bottom w:val="single" w:sz="4" w:space="0" w:color="auto"/>
            </w:tcBorders>
          </w:tcPr>
          <w:p w14:paraId="0CD9DAB1" w14:textId="77777777" w:rsidR="00CF0E2D" w:rsidRPr="00576394" w:rsidRDefault="00CF0E2D" w:rsidP="00A60D4B">
            <w:pPr>
              <w:pStyle w:val="InitTextL"/>
              <w:ind w:left="321" w:hanging="321"/>
              <w:rPr>
                <w:b/>
                <w:bCs/>
              </w:rPr>
            </w:pPr>
            <w:r w:rsidRPr="00576394">
              <w:rPr>
                <w:b/>
                <w:bCs/>
              </w:rPr>
              <w:t>Net cost of services</w:t>
            </w:r>
          </w:p>
        </w:tc>
        <w:tc>
          <w:tcPr>
            <w:tcW w:w="1179" w:type="dxa"/>
            <w:tcBorders>
              <w:top w:val="single" w:sz="4" w:space="0" w:color="auto"/>
              <w:bottom w:val="single" w:sz="4" w:space="0" w:color="auto"/>
            </w:tcBorders>
          </w:tcPr>
          <w:p w14:paraId="1CA77405" w14:textId="77777777" w:rsidR="00CF0E2D" w:rsidRPr="005255D0" w:rsidRDefault="00CF0E2D" w:rsidP="00A60D4B">
            <w:pPr>
              <w:pStyle w:val="InitFigR"/>
              <w:rPr>
                <w:b/>
                <w:bCs/>
              </w:rPr>
            </w:pPr>
            <w:r w:rsidRPr="005255D0">
              <w:rPr>
                <w:b/>
                <w:bCs/>
              </w:rPr>
              <w:t>8,592</w:t>
            </w:r>
          </w:p>
        </w:tc>
        <w:tc>
          <w:tcPr>
            <w:tcW w:w="1041" w:type="dxa"/>
            <w:tcBorders>
              <w:top w:val="single" w:sz="4" w:space="0" w:color="auto"/>
              <w:bottom w:val="single" w:sz="4" w:space="0" w:color="auto"/>
            </w:tcBorders>
          </w:tcPr>
          <w:p w14:paraId="5F1AB4BD" w14:textId="77777777" w:rsidR="00CF0E2D" w:rsidRPr="005255D0" w:rsidRDefault="00CF0E2D" w:rsidP="00A60D4B">
            <w:pPr>
              <w:pStyle w:val="InitFigR"/>
              <w:rPr>
                <w:b/>
                <w:bCs/>
              </w:rPr>
            </w:pPr>
            <w:r w:rsidRPr="005255D0">
              <w:rPr>
                <w:b/>
                <w:bCs/>
              </w:rPr>
              <w:t>8,736</w:t>
            </w:r>
          </w:p>
        </w:tc>
        <w:tc>
          <w:tcPr>
            <w:tcW w:w="1029" w:type="dxa"/>
            <w:tcBorders>
              <w:top w:val="single" w:sz="4" w:space="0" w:color="auto"/>
              <w:bottom w:val="single" w:sz="4" w:space="0" w:color="auto"/>
            </w:tcBorders>
          </w:tcPr>
          <w:p w14:paraId="1E949718" w14:textId="77777777" w:rsidR="00CF0E2D" w:rsidRPr="005255D0" w:rsidRDefault="00CF0E2D" w:rsidP="00A60D4B">
            <w:pPr>
              <w:pStyle w:val="InitFigR"/>
              <w:rPr>
                <w:b/>
                <w:bCs/>
              </w:rPr>
            </w:pPr>
            <w:r w:rsidRPr="005255D0">
              <w:rPr>
                <w:b/>
                <w:bCs/>
              </w:rPr>
              <w:t>8,907</w:t>
            </w:r>
          </w:p>
        </w:tc>
        <w:tc>
          <w:tcPr>
            <w:tcW w:w="1029" w:type="dxa"/>
            <w:tcBorders>
              <w:top w:val="single" w:sz="4" w:space="0" w:color="auto"/>
              <w:bottom w:val="single" w:sz="4" w:space="0" w:color="auto"/>
            </w:tcBorders>
          </w:tcPr>
          <w:p w14:paraId="457544CB" w14:textId="77777777" w:rsidR="00CF0E2D" w:rsidRPr="005255D0" w:rsidRDefault="00CF0E2D" w:rsidP="00A60D4B">
            <w:pPr>
              <w:pStyle w:val="InitFigR"/>
              <w:rPr>
                <w:b/>
                <w:bCs/>
              </w:rPr>
            </w:pPr>
            <w:r w:rsidRPr="005255D0">
              <w:rPr>
                <w:b/>
                <w:bCs/>
              </w:rPr>
              <w:t>9,080</w:t>
            </w:r>
          </w:p>
        </w:tc>
        <w:tc>
          <w:tcPr>
            <w:tcW w:w="1029" w:type="dxa"/>
            <w:tcBorders>
              <w:top w:val="single" w:sz="4" w:space="0" w:color="auto"/>
              <w:bottom w:val="single" w:sz="4" w:space="0" w:color="auto"/>
            </w:tcBorders>
          </w:tcPr>
          <w:p w14:paraId="3EDCE7C1" w14:textId="77777777" w:rsidR="00CF0E2D" w:rsidRDefault="00CF0E2D" w:rsidP="00A60D4B">
            <w:pPr>
              <w:pStyle w:val="InitFigBR"/>
            </w:pPr>
            <w:r>
              <w:t>35,315</w:t>
            </w:r>
          </w:p>
        </w:tc>
      </w:tr>
    </w:tbl>
    <w:p w14:paraId="750BCFAB" w14:textId="77777777" w:rsidR="00CF0E2D" w:rsidRPr="00AA45D1" w:rsidRDefault="00CF0E2D" w:rsidP="00A60D4B">
      <w:pPr>
        <w:pStyle w:val="Bbodytext"/>
        <w:rPr>
          <w:rFonts w:ascii="Calibri" w:eastAsia="Times New Roman" w:hAnsi="Calibri" w:cs="Times New Roman"/>
          <w:szCs w:val="20"/>
        </w:rPr>
      </w:pPr>
      <w:r w:rsidRPr="00AA45D1">
        <w:t>The Government wi</w:t>
      </w:r>
      <w:r w:rsidRPr="00AA45D1">
        <w:rPr>
          <w:rFonts w:ascii="Calibri" w:eastAsia="Times New Roman" w:hAnsi="Calibri" w:cs="Times New Roman"/>
          <w:szCs w:val="20"/>
        </w:rPr>
        <w:t xml:space="preserve">ll provide ongoing operational funding to the City Renewal Authority to continue leading the community-focused revitalisation of the City Renewal Precinct, including improvements at Haig Park, Acton, Dickson, Braddon and the City Centre. </w:t>
      </w:r>
    </w:p>
    <w:p w14:paraId="612ABB45" w14:textId="77777777" w:rsidR="00CF0E2D" w:rsidRPr="00AA45D1" w:rsidRDefault="00CF0E2D" w:rsidP="00A60D4B">
      <w:pPr>
        <w:pStyle w:val="Bbodytext"/>
        <w:rPr>
          <w:rFonts w:ascii="Calibri" w:eastAsia="Times New Roman" w:hAnsi="Calibri" w:cs="Times New Roman"/>
          <w:szCs w:val="20"/>
        </w:rPr>
      </w:pPr>
      <w:r w:rsidRPr="00AA45D1">
        <w:t>This initiative will</w:t>
      </w:r>
      <w:r w:rsidRPr="00AA45D1">
        <w:rPr>
          <w:rFonts w:ascii="Calibri" w:eastAsia="Times New Roman" w:hAnsi="Calibri" w:cs="Times New Roman"/>
          <w:szCs w:val="20"/>
        </w:rPr>
        <w:t xml:space="preserve"> ensure continuity of the Authority’s service delivery and will also facilitate future land releases, public space development in the Acton Waterfront, and revitalisation of the Sydney and Melbourne Buildings. </w:t>
      </w:r>
    </w:p>
    <w:p w14:paraId="3F5F327D" w14:textId="77777777" w:rsidR="00CF0E2D" w:rsidRPr="00AA45D1" w:rsidRDefault="00CF0E2D" w:rsidP="00A60D4B">
      <w:pPr>
        <w:pStyle w:val="Bbodytext"/>
        <w:rPr>
          <w:rFonts w:ascii="Calibri" w:eastAsia="Times New Roman" w:hAnsi="Calibri" w:cs="Times New Roman"/>
          <w:szCs w:val="20"/>
        </w:rPr>
      </w:pPr>
      <w:r w:rsidRPr="00AA45D1">
        <w:t>This initiative contributes to the wellbeing domain</w:t>
      </w:r>
      <w:r w:rsidRPr="00AA45D1">
        <w:rPr>
          <w:rFonts w:ascii="Calibri" w:eastAsia="Times New Roman" w:hAnsi="Calibri" w:cs="Times New Roman"/>
          <w:szCs w:val="20"/>
        </w:rPr>
        <w:t xml:space="preserve">s of Identity and belonging and Economy. </w:t>
      </w:r>
    </w:p>
    <w:p w14:paraId="4220B8E1" w14:textId="77777777" w:rsidR="00CF0E2D" w:rsidRPr="00AA45D1" w:rsidRDefault="00CF0E2D" w:rsidP="00A60D4B">
      <w:pPr>
        <w:pStyle w:val="Bbodytext"/>
        <w:rPr>
          <w:rFonts w:ascii="Calibri" w:eastAsia="Times New Roman" w:hAnsi="Calibri" w:cs="Times New Roman"/>
          <w:szCs w:val="20"/>
        </w:rPr>
      </w:pPr>
    </w:p>
    <w:p w14:paraId="7C6176E9" w14:textId="77777777" w:rsidR="00CF0E2D" w:rsidRDefault="00CF0E2D">
      <w:r>
        <w:br w:type="page"/>
      </w:r>
    </w:p>
    <w:p w14:paraId="421BCD6B" w14:textId="77777777" w:rsidR="00CF0E2D" w:rsidRDefault="00CF0E2D" w:rsidP="00A60D4B">
      <w:pPr>
        <w:pStyle w:val="Heading3"/>
      </w:pPr>
      <w:r>
        <w:rPr>
          <w:b w:val="0"/>
          <w:noProof/>
        </w:rPr>
        <w:lastRenderedPageBreak/>
        <w:drawing>
          <wp:anchor distT="0" distB="0" distL="114300" distR="114300" simplePos="0" relativeHeight="251771904" behindDoc="0" locked="1" layoutInCell="1" allowOverlap="1" wp14:anchorId="2A5C15FD" wp14:editId="29C4517F">
            <wp:simplePos x="0" y="0"/>
            <wp:positionH relativeFrom="margin">
              <wp:align>right</wp:align>
            </wp:positionH>
            <wp:positionV relativeFrom="paragraph">
              <wp:posOffset>555625</wp:posOffset>
            </wp:positionV>
            <wp:extent cx="993140" cy="503555"/>
            <wp:effectExtent l="0" t="0" r="0" b="0"/>
            <wp:wrapSquare wrapText="bothSides"/>
            <wp:docPr id="84" name="Picture 84"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r w:rsidRPr="008D7AA2">
        <w:t>COMMUNITY SERVICES DIRECTORATE</w:t>
      </w:r>
    </w:p>
    <w:p w14:paraId="3FA4569E" w14:textId="77777777" w:rsidR="00CF0E2D" w:rsidRDefault="00CF0E2D" w:rsidP="00A60D4B">
      <w:pPr>
        <w:pStyle w:val="Heading4"/>
        <w:rPr>
          <w:rFonts w:eastAsia="Times New Roman"/>
        </w:rPr>
      </w:pPr>
    </w:p>
    <w:p w14:paraId="1E9BAF96" w14:textId="77777777" w:rsidR="00CF0E2D" w:rsidRPr="00807215" w:rsidRDefault="00CF0E2D" w:rsidP="00A60D4B">
      <w:pPr>
        <w:pStyle w:val="Heading4"/>
        <w:rPr>
          <w:rFonts w:eastAsia="Times New Roman" w:cs="Times New Roman"/>
          <w:bCs/>
          <w:szCs w:val="26"/>
        </w:rPr>
      </w:pPr>
      <w:r w:rsidRPr="00807215">
        <w:rPr>
          <w:rFonts w:eastAsia="Times New Roman"/>
        </w:rPr>
        <w:t xml:space="preserve">Child Development Service – </w:t>
      </w:r>
      <w:r>
        <w:rPr>
          <w:rFonts w:eastAsia="Times New Roman" w:cs="Times New Roman"/>
          <w:bCs/>
          <w:szCs w:val="26"/>
        </w:rPr>
        <w:t>f</w:t>
      </w:r>
      <w:r w:rsidRPr="00807215">
        <w:rPr>
          <w:rFonts w:eastAsia="Times New Roman" w:cs="Times New Roman"/>
          <w:bCs/>
          <w:szCs w:val="26"/>
        </w:rPr>
        <w:t xml:space="preserve">acility </w:t>
      </w:r>
      <w:r>
        <w:rPr>
          <w:rFonts w:eastAsia="Times New Roman" w:cs="Times New Roman"/>
          <w:bCs/>
          <w:szCs w:val="26"/>
        </w:rPr>
        <w:t>u</w:t>
      </w:r>
      <w:r w:rsidRPr="00807215">
        <w:rPr>
          <w:rFonts w:eastAsia="Times New Roman" w:cs="Times New Roman"/>
          <w:bCs/>
          <w:szCs w:val="26"/>
        </w:rPr>
        <w:t xml:space="preserve">pgrades and </w:t>
      </w:r>
      <w:r>
        <w:rPr>
          <w:rFonts w:eastAsia="Times New Roman" w:cs="Times New Roman"/>
          <w:bCs/>
          <w:szCs w:val="26"/>
        </w:rPr>
        <w:t>p</w:t>
      </w:r>
      <w:r w:rsidRPr="00807215">
        <w:rPr>
          <w:rFonts w:eastAsia="Times New Roman" w:cs="Times New Roman"/>
          <w:bCs/>
          <w:szCs w:val="26"/>
        </w:rPr>
        <w:t xml:space="preserve">lanning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4AD3C4C9" w14:textId="77777777" w:rsidTr="00A60D4B">
        <w:trPr>
          <w:cantSplit/>
          <w:jc w:val="center"/>
        </w:trPr>
        <w:tc>
          <w:tcPr>
            <w:tcW w:w="3652" w:type="dxa"/>
            <w:tcBorders>
              <w:top w:val="single" w:sz="4" w:space="0" w:color="auto"/>
              <w:bottom w:val="single" w:sz="4" w:space="0" w:color="auto"/>
            </w:tcBorders>
          </w:tcPr>
          <w:p w14:paraId="55ABCC35" w14:textId="77777777" w:rsidR="00CF0E2D" w:rsidRPr="00D079AD" w:rsidRDefault="00CF0E2D" w:rsidP="00A60D4B">
            <w:pPr>
              <w:pStyle w:val="EmptyCell0"/>
              <w:rPr>
                <w:sz w:val="24"/>
                <w:szCs w:val="24"/>
              </w:rPr>
            </w:pPr>
            <w:r w:rsidRPr="00D079AD">
              <w:rPr>
                <w:sz w:val="24"/>
                <w:szCs w:val="24"/>
              </w:rPr>
              <w:t>Empty Cell</w:t>
            </w:r>
          </w:p>
        </w:tc>
        <w:tc>
          <w:tcPr>
            <w:tcW w:w="1179" w:type="dxa"/>
            <w:tcBorders>
              <w:top w:val="single" w:sz="4" w:space="0" w:color="auto"/>
              <w:bottom w:val="single" w:sz="4" w:space="0" w:color="auto"/>
            </w:tcBorders>
          </w:tcPr>
          <w:p w14:paraId="3AC5E85E" w14:textId="77777777" w:rsidR="00CF0E2D" w:rsidRPr="00CF2A8E" w:rsidRDefault="00CF0E2D" w:rsidP="00A60D4B">
            <w:pPr>
              <w:pStyle w:val="InitFigR"/>
              <w:rPr>
                <w:b/>
                <w:bCs/>
              </w:rPr>
            </w:pPr>
            <w:r w:rsidRPr="00CF2A8E">
              <w:rPr>
                <w:b/>
                <w:bCs/>
              </w:rPr>
              <w:t>2021-22</w:t>
            </w:r>
          </w:p>
          <w:p w14:paraId="55703331" w14:textId="77777777" w:rsidR="00CF0E2D" w:rsidRPr="00CF2A8E" w:rsidRDefault="00CF0E2D" w:rsidP="00A60D4B">
            <w:pPr>
              <w:pStyle w:val="InitFigR"/>
              <w:rPr>
                <w:b/>
                <w:bCs/>
              </w:rPr>
            </w:pPr>
            <w:r w:rsidRPr="00CF2A8E">
              <w:rPr>
                <w:b/>
                <w:bCs/>
              </w:rPr>
              <w:t>$’000</w:t>
            </w:r>
          </w:p>
        </w:tc>
        <w:tc>
          <w:tcPr>
            <w:tcW w:w="1041" w:type="dxa"/>
            <w:tcBorders>
              <w:top w:val="single" w:sz="4" w:space="0" w:color="auto"/>
              <w:bottom w:val="single" w:sz="4" w:space="0" w:color="auto"/>
            </w:tcBorders>
          </w:tcPr>
          <w:p w14:paraId="4C68BEDC" w14:textId="77777777" w:rsidR="00CF0E2D" w:rsidRPr="00CF2A8E" w:rsidRDefault="00CF0E2D" w:rsidP="00A60D4B">
            <w:pPr>
              <w:pStyle w:val="InitFigR"/>
              <w:rPr>
                <w:b/>
                <w:bCs/>
              </w:rPr>
            </w:pPr>
            <w:r w:rsidRPr="00CF2A8E">
              <w:rPr>
                <w:b/>
                <w:bCs/>
              </w:rPr>
              <w:t>2022-23</w:t>
            </w:r>
          </w:p>
          <w:p w14:paraId="696ED284" w14:textId="77777777" w:rsidR="00CF0E2D" w:rsidRPr="00CF2A8E" w:rsidRDefault="00CF0E2D" w:rsidP="00A60D4B">
            <w:pPr>
              <w:pStyle w:val="InitFigR"/>
              <w:rPr>
                <w:b/>
                <w:bCs/>
              </w:rPr>
            </w:pPr>
            <w:r w:rsidRPr="00CF2A8E">
              <w:rPr>
                <w:b/>
                <w:bCs/>
              </w:rPr>
              <w:t>$’000</w:t>
            </w:r>
          </w:p>
        </w:tc>
        <w:tc>
          <w:tcPr>
            <w:tcW w:w="1029" w:type="dxa"/>
            <w:tcBorders>
              <w:top w:val="single" w:sz="4" w:space="0" w:color="auto"/>
              <w:bottom w:val="single" w:sz="4" w:space="0" w:color="auto"/>
            </w:tcBorders>
          </w:tcPr>
          <w:p w14:paraId="5B8EEE90" w14:textId="77777777" w:rsidR="00CF0E2D" w:rsidRPr="00CF2A8E" w:rsidRDefault="00CF0E2D" w:rsidP="00A60D4B">
            <w:pPr>
              <w:pStyle w:val="InitFigR"/>
              <w:rPr>
                <w:b/>
                <w:bCs/>
              </w:rPr>
            </w:pPr>
            <w:r w:rsidRPr="00CF2A8E">
              <w:rPr>
                <w:b/>
                <w:bCs/>
              </w:rPr>
              <w:t>2023-24</w:t>
            </w:r>
          </w:p>
          <w:p w14:paraId="1562F7A3" w14:textId="77777777" w:rsidR="00CF0E2D" w:rsidRPr="00CF2A8E" w:rsidRDefault="00CF0E2D" w:rsidP="00A60D4B">
            <w:pPr>
              <w:pStyle w:val="InitFigR"/>
              <w:rPr>
                <w:b/>
                <w:bCs/>
              </w:rPr>
            </w:pPr>
            <w:r w:rsidRPr="00CF2A8E">
              <w:rPr>
                <w:b/>
                <w:bCs/>
              </w:rPr>
              <w:t>$’000</w:t>
            </w:r>
          </w:p>
        </w:tc>
        <w:tc>
          <w:tcPr>
            <w:tcW w:w="1029" w:type="dxa"/>
            <w:tcBorders>
              <w:top w:val="single" w:sz="4" w:space="0" w:color="auto"/>
              <w:bottom w:val="single" w:sz="4" w:space="0" w:color="auto"/>
            </w:tcBorders>
          </w:tcPr>
          <w:p w14:paraId="10C2DC38" w14:textId="77777777" w:rsidR="00CF0E2D" w:rsidRPr="00CF2A8E" w:rsidRDefault="00CF0E2D" w:rsidP="00A60D4B">
            <w:pPr>
              <w:pStyle w:val="InitFigR"/>
              <w:rPr>
                <w:b/>
                <w:bCs/>
              </w:rPr>
            </w:pPr>
            <w:r w:rsidRPr="00CF2A8E">
              <w:rPr>
                <w:b/>
                <w:bCs/>
              </w:rPr>
              <w:t>2024-25</w:t>
            </w:r>
          </w:p>
          <w:p w14:paraId="1E870612" w14:textId="77777777" w:rsidR="00CF0E2D" w:rsidRPr="00CF2A8E" w:rsidRDefault="00CF0E2D" w:rsidP="00A60D4B">
            <w:pPr>
              <w:pStyle w:val="InitFigR"/>
              <w:rPr>
                <w:b/>
                <w:bCs/>
              </w:rPr>
            </w:pPr>
            <w:r w:rsidRPr="00CF2A8E">
              <w:rPr>
                <w:b/>
                <w:bCs/>
              </w:rPr>
              <w:t>$’000</w:t>
            </w:r>
          </w:p>
        </w:tc>
        <w:tc>
          <w:tcPr>
            <w:tcW w:w="1029" w:type="dxa"/>
            <w:tcBorders>
              <w:top w:val="single" w:sz="4" w:space="0" w:color="auto"/>
              <w:bottom w:val="single" w:sz="4" w:space="0" w:color="auto"/>
            </w:tcBorders>
          </w:tcPr>
          <w:p w14:paraId="3D009D15" w14:textId="77777777" w:rsidR="00CF0E2D" w:rsidRPr="004E341E" w:rsidRDefault="00CF0E2D" w:rsidP="00A60D4B">
            <w:pPr>
              <w:pStyle w:val="InitFigRBold"/>
            </w:pPr>
            <w:r w:rsidRPr="004E341E">
              <w:t>Total</w:t>
            </w:r>
          </w:p>
          <w:p w14:paraId="5B96FF7A" w14:textId="77777777" w:rsidR="00CF0E2D" w:rsidRPr="004E341E" w:rsidRDefault="00CF0E2D" w:rsidP="00A60D4B">
            <w:pPr>
              <w:pStyle w:val="InitFigBR"/>
            </w:pPr>
            <w:r w:rsidRPr="004E341E">
              <w:t>$’000</w:t>
            </w:r>
          </w:p>
        </w:tc>
      </w:tr>
      <w:tr w:rsidR="00CF0E2D" w:rsidRPr="00750793" w14:paraId="0558A028" w14:textId="77777777" w:rsidTr="00A60D4B">
        <w:trPr>
          <w:cantSplit/>
          <w:jc w:val="center"/>
        </w:trPr>
        <w:tc>
          <w:tcPr>
            <w:tcW w:w="3652" w:type="dxa"/>
            <w:tcBorders>
              <w:top w:val="single" w:sz="4" w:space="0" w:color="auto"/>
              <w:bottom w:val="single" w:sz="4" w:space="0" w:color="auto"/>
            </w:tcBorders>
          </w:tcPr>
          <w:p w14:paraId="39312837"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vAlign w:val="center"/>
          </w:tcPr>
          <w:p w14:paraId="2DE08D9D" w14:textId="77777777" w:rsidR="00CF0E2D" w:rsidRPr="00424DA4" w:rsidRDefault="00CF0E2D" w:rsidP="00A60D4B">
            <w:pPr>
              <w:pStyle w:val="InitTextL"/>
              <w:ind w:left="321" w:hanging="321"/>
              <w:jc w:val="right"/>
            </w:pPr>
            <w:r>
              <w:t>589</w:t>
            </w:r>
          </w:p>
        </w:tc>
        <w:tc>
          <w:tcPr>
            <w:tcW w:w="1041" w:type="dxa"/>
            <w:tcBorders>
              <w:top w:val="single" w:sz="4" w:space="0" w:color="auto"/>
              <w:bottom w:val="single" w:sz="4" w:space="0" w:color="auto"/>
            </w:tcBorders>
            <w:vAlign w:val="center"/>
          </w:tcPr>
          <w:p w14:paraId="1AA58C64" w14:textId="77777777" w:rsidR="00CF0E2D" w:rsidRPr="00424DA4" w:rsidRDefault="00CF0E2D" w:rsidP="00A60D4B">
            <w:pPr>
              <w:pStyle w:val="InitTextL"/>
              <w:ind w:left="321" w:hanging="321"/>
              <w:jc w:val="right"/>
            </w:pPr>
            <w:r>
              <w:t>281</w:t>
            </w:r>
          </w:p>
        </w:tc>
        <w:tc>
          <w:tcPr>
            <w:tcW w:w="1029" w:type="dxa"/>
            <w:tcBorders>
              <w:top w:val="single" w:sz="4" w:space="0" w:color="auto"/>
              <w:bottom w:val="single" w:sz="4" w:space="0" w:color="auto"/>
            </w:tcBorders>
            <w:vAlign w:val="center"/>
          </w:tcPr>
          <w:p w14:paraId="5C078F53" w14:textId="77777777" w:rsidR="00CF0E2D" w:rsidRPr="00424DA4" w:rsidRDefault="00CF0E2D" w:rsidP="00A60D4B">
            <w:pPr>
              <w:pStyle w:val="InitTextL"/>
              <w:ind w:left="321" w:hanging="321"/>
              <w:jc w:val="right"/>
            </w:pPr>
            <w:r>
              <w:t>0</w:t>
            </w:r>
          </w:p>
        </w:tc>
        <w:tc>
          <w:tcPr>
            <w:tcW w:w="1029" w:type="dxa"/>
            <w:tcBorders>
              <w:top w:val="single" w:sz="4" w:space="0" w:color="auto"/>
              <w:bottom w:val="single" w:sz="4" w:space="0" w:color="auto"/>
            </w:tcBorders>
            <w:vAlign w:val="center"/>
          </w:tcPr>
          <w:p w14:paraId="2912496E" w14:textId="77777777" w:rsidR="00CF0E2D" w:rsidRPr="00424DA4" w:rsidRDefault="00CF0E2D" w:rsidP="00A60D4B">
            <w:pPr>
              <w:pStyle w:val="InitTextL"/>
              <w:ind w:left="321" w:hanging="321"/>
              <w:jc w:val="right"/>
            </w:pPr>
            <w:r>
              <w:t>0</w:t>
            </w:r>
          </w:p>
        </w:tc>
        <w:tc>
          <w:tcPr>
            <w:tcW w:w="1029" w:type="dxa"/>
            <w:tcBorders>
              <w:top w:val="single" w:sz="4" w:space="0" w:color="auto"/>
              <w:bottom w:val="single" w:sz="4" w:space="0" w:color="auto"/>
            </w:tcBorders>
            <w:vAlign w:val="center"/>
          </w:tcPr>
          <w:p w14:paraId="3D97D87A" w14:textId="77777777" w:rsidR="00CF0E2D" w:rsidRPr="00D079AD" w:rsidRDefault="00CF0E2D" w:rsidP="00A60D4B">
            <w:pPr>
              <w:pStyle w:val="InitTextL"/>
              <w:ind w:left="321" w:hanging="321"/>
              <w:jc w:val="right"/>
              <w:rPr>
                <w:b/>
                <w:szCs w:val="24"/>
              </w:rPr>
            </w:pPr>
            <w:r w:rsidRPr="00D079AD">
              <w:rPr>
                <w:b/>
                <w:szCs w:val="24"/>
              </w:rPr>
              <w:t>870</w:t>
            </w:r>
          </w:p>
        </w:tc>
      </w:tr>
    </w:tbl>
    <w:p w14:paraId="3404DE39" w14:textId="77777777" w:rsidR="00CF0E2D" w:rsidRPr="00347417" w:rsidRDefault="00CF0E2D" w:rsidP="00A60D4B">
      <w:pPr>
        <w:pStyle w:val="Bbodytext"/>
      </w:pPr>
      <w:r w:rsidRPr="007E4BCF">
        <w:t>The Government will</w:t>
      </w:r>
      <w:r w:rsidRPr="00347417">
        <w:t xml:space="preserve"> undertake repairs at the Child Development Service at Holder and conduct a feasibility study to identify options for future service delivery infrastructure requirements.</w:t>
      </w:r>
    </w:p>
    <w:p w14:paraId="39CDF352" w14:textId="77777777" w:rsidR="00CF0E2D" w:rsidRPr="00347417" w:rsidRDefault="00CF0E2D" w:rsidP="00A60D4B">
      <w:pPr>
        <w:pStyle w:val="Bbodytext"/>
      </w:pPr>
      <w:r w:rsidRPr="007E4BCF">
        <w:t xml:space="preserve">This initiative contributes to the wellbeing domains of </w:t>
      </w:r>
      <w:r w:rsidRPr="00347417">
        <w:t>Health and Education and life-long learning.</w:t>
      </w:r>
      <w:r>
        <w:t xml:space="preserve"> </w:t>
      </w:r>
    </w:p>
    <w:p w14:paraId="2CFC56A0" w14:textId="77777777" w:rsidR="00CF0E2D" w:rsidRDefault="00CF0E2D" w:rsidP="00A60D4B"/>
    <w:p w14:paraId="6793F6B0" w14:textId="77777777" w:rsidR="00CF0E2D" w:rsidRPr="00FE1BBA" w:rsidRDefault="00CF0E2D" w:rsidP="00A60D4B">
      <w:pPr>
        <w:pStyle w:val="Heading4"/>
        <w:rPr>
          <w:rFonts w:eastAsia="Times New Roman" w:cs="Times New Roman"/>
          <w:bCs/>
          <w:szCs w:val="26"/>
        </w:rPr>
      </w:pPr>
      <w:r>
        <w:rPr>
          <w:b w:val="0"/>
          <w:noProof/>
          <w:color w:val="999789"/>
          <w:sz w:val="32"/>
          <w:szCs w:val="24"/>
        </w:rPr>
        <w:drawing>
          <wp:anchor distT="0" distB="0" distL="114300" distR="114300" simplePos="0" relativeHeight="251772928" behindDoc="0" locked="1" layoutInCell="1" allowOverlap="1" wp14:anchorId="6B772CA8" wp14:editId="55F919B9">
            <wp:simplePos x="0" y="0"/>
            <wp:positionH relativeFrom="margin">
              <wp:align>right</wp:align>
            </wp:positionH>
            <wp:positionV relativeFrom="paragraph">
              <wp:posOffset>64770</wp:posOffset>
            </wp:positionV>
            <wp:extent cx="1212850" cy="503555"/>
            <wp:effectExtent l="0" t="0" r="6350" b="0"/>
            <wp:wrapSquare wrapText="bothSides"/>
            <wp:docPr id="86" name="Picture 86" descr="Icon representing the wellbeing domain of Living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con representing the wellbeing domain of Living standards"/>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12850" cy="503555"/>
                    </a:xfrm>
                    <a:prstGeom prst="rect">
                      <a:avLst/>
                    </a:prstGeom>
                  </pic:spPr>
                </pic:pic>
              </a:graphicData>
            </a:graphic>
            <wp14:sizeRelH relativeFrom="margin">
              <wp14:pctWidth>0</wp14:pctWidth>
            </wp14:sizeRelH>
            <wp14:sizeRelV relativeFrom="margin">
              <wp14:pctHeight>0</wp14:pctHeight>
            </wp14:sizeRelV>
          </wp:anchor>
        </w:drawing>
      </w:r>
      <w:r w:rsidRPr="00CB265B">
        <w:rPr>
          <w:rFonts w:eastAsia="Times New Roman"/>
        </w:rPr>
        <w:t xml:space="preserve">Community sector partnerships </w:t>
      </w:r>
      <w:r>
        <w:rPr>
          <w:rFonts w:eastAsia="Times New Roman" w:cs="Times New Roman"/>
          <w:bCs/>
          <w:szCs w:val="26"/>
        </w:rPr>
        <w:t xml:space="preserve">– </w:t>
      </w:r>
      <w:r w:rsidRPr="00FE1BBA">
        <w:rPr>
          <w:rFonts w:eastAsia="Times New Roman" w:cs="Times New Roman"/>
          <w:bCs/>
          <w:szCs w:val="26"/>
        </w:rPr>
        <w:t xml:space="preserve">More </w:t>
      </w:r>
      <w:r>
        <w:rPr>
          <w:rFonts w:eastAsia="Times New Roman" w:cs="Times New Roman"/>
          <w:bCs/>
          <w:szCs w:val="26"/>
        </w:rPr>
        <w:t>s</w:t>
      </w:r>
      <w:r w:rsidRPr="00FE1BBA">
        <w:rPr>
          <w:rFonts w:eastAsia="Times New Roman" w:cs="Times New Roman"/>
          <w:bCs/>
          <w:szCs w:val="26"/>
        </w:rPr>
        <w:t xml:space="preserve">upport for </w:t>
      </w:r>
      <w:r>
        <w:rPr>
          <w:rFonts w:eastAsia="Times New Roman" w:cs="Times New Roman"/>
          <w:bCs/>
          <w:szCs w:val="26"/>
        </w:rPr>
        <w:t>c</w:t>
      </w:r>
      <w:r w:rsidRPr="00FE1BBA">
        <w:rPr>
          <w:rFonts w:eastAsia="Times New Roman" w:cs="Times New Roman"/>
          <w:bCs/>
          <w:szCs w:val="26"/>
        </w:rPr>
        <w:t xml:space="preserve">ommunity </w:t>
      </w:r>
      <w:r>
        <w:rPr>
          <w:rFonts w:eastAsia="Times New Roman" w:cs="Times New Roman"/>
          <w:bCs/>
          <w:szCs w:val="26"/>
        </w:rPr>
        <w:t>s</w:t>
      </w:r>
      <w:r w:rsidRPr="00FE1BBA">
        <w:rPr>
          <w:rFonts w:eastAsia="Times New Roman" w:cs="Times New Roman"/>
          <w:bCs/>
          <w:szCs w:val="26"/>
        </w:rPr>
        <w:t xml:space="preserve">ector </w:t>
      </w:r>
      <w:r>
        <w:rPr>
          <w:rFonts w:eastAsia="Times New Roman" w:cs="Times New Roman"/>
          <w:bCs/>
          <w:szCs w:val="26"/>
        </w:rPr>
        <w:t>o</w:t>
      </w:r>
      <w:r w:rsidRPr="00FE1BBA">
        <w:rPr>
          <w:rFonts w:eastAsia="Times New Roman" w:cs="Times New Roman"/>
          <w:bCs/>
          <w:szCs w:val="26"/>
        </w:rPr>
        <w:t xml:space="preserve">rganisations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13710ED8" w14:textId="77777777" w:rsidTr="00A60D4B">
        <w:trPr>
          <w:cantSplit/>
          <w:jc w:val="center"/>
        </w:trPr>
        <w:tc>
          <w:tcPr>
            <w:tcW w:w="3652" w:type="dxa"/>
            <w:tcBorders>
              <w:top w:val="single" w:sz="4" w:space="0" w:color="auto"/>
              <w:bottom w:val="single" w:sz="4" w:space="0" w:color="auto"/>
            </w:tcBorders>
          </w:tcPr>
          <w:p w14:paraId="326BB17A"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6884729B" w14:textId="77777777" w:rsidR="00CF0E2D" w:rsidRPr="00176A83" w:rsidRDefault="00CF0E2D" w:rsidP="00A60D4B">
            <w:pPr>
              <w:pStyle w:val="InitFigR"/>
              <w:rPr>
                <w:b/>
                <w:bCs/>
              </w:rPr>
            </w:pPr>
            <w:r w:rsidRPr="00176A83">
              <w:rPr>
                <w:b/>
                <w:bCs/>
              </w:rPr>
              <w:t>2021-22</w:t>
            </w:r>
          </w:p>
          <w:p w14:paraId="3C2D839E" w14:textId="77777777" w:rsidR="00CF0E2D" w:rsidRPr="00176A83" w:rsidRDefault="00CF0E2D" w:rsidP="00A60D4B">
            <w:pPr>
              <w:pStyle w:val="InitFigR"/>
              <w:rPr>
                <w:b/>
                <w:bCs/>
              </w:rPr>
            </w:pPr>
            <w:r w:rsidRPr="00176A83">
              <w:rPr>
                <w:b/>
                <w:bCs/>
              </w:rPr>
              <w:t>$’000</w:t>
            </w:r>
          </w:p>
        </w:tc>
        <w:tc>
          <w:tcPr>
            <w:tcW w:w="1041" w:type="dxa"/>
            <w:tcBorders>
              <w:top w:val="single" w:sz="4" w:space="0" w:color="auto"/>
              <w:bottom w:val="single" w:sz="4" w:space="0" w:color="auto"/>
            </w:tcBorders>
          </w:tcPr>
          <w:p w14:paraId="391F2009" w14:textId="77777777" w:rsidR="00CF0E2D" w:rsidRPr="00176A83" w:rsidRDefault="00CF0E2D" w:rsidP="00A60D4B">
            <w:pPr>
              <w:pStyle w:val="InitFigR"/>
              <w:rPr>
                <w:b/>
                <w:bCs/>
              </w:rPr>
            </w:pPr>
            <w:r w:rsidRPr="00176A83">
              <w:rPr>
                <w:b/>
                <w:bCs/>
              </w:rPr>
              <w:t>2022-23</w:t>
            </w:r>
          </w:p>
          <w:p w14:paraId="7A1CD8BA" w14:textId="77777777" w:rsidR="00CF0E2D" w:rsidRPr="00176A83" w:rsidRDefault="00CF0E2D" w:rsidP="00A60D4B">
            <w:pPr>
              <w:pStyle w:val="InitFigR"/>
              <w:rPr>
                <w:b/>
                <w:bCs/>
              </w:rPr>
            </w:pPr>
            <w:r w:rsidRPr="00176A83">
              <w:rPr>
                <w:b/>
                <w:bCs/>
              </w:rPr>
              <w:t>$’000</w:t>
            </w:r>
          </w:p>
        </w:tc>
        <w:tc>
          <w:tcPr>
            <w:tcW w:w="1029" w:type="dxa"/>
            <w:tcBorders>
              <w:top w:val="single" w:sz="4" w:space="0" w:color="auto"/>
              <w:bottom w:val="single" w:sz="4" w:space="0" w:color="auto"/>
            </w:tcBorders>
          </w:tcPr>
          <w:p w14:paraId="3FB34125" w14:textId="77777777" w:rsidR="00CF0E2D" w:rsidRPr="00176A83" w:rsidRDefault="00CF0E2D" w:rsidP="00A60D4B">
            <w:pPr>
              <w:pStyle w:val="InitFigR"/>
              <w:rPr>
                <w:b/>
                <w:bCs/>
              </w:rPr>
            </w:pPr>
            <w:r w:rsidRPr="00176A83">
              <w:rPr>
                <w:b/>
                <w:bCs/>
              </w:rPr>
              <w:t>2023-24</w:t>
            </w:r>
          </w:p>
          <w:p w14:paraId="5AD6FFBB" w14:textId="77777777" w:rsidR="00CF0E2D" w:rsidRPr="00176A83" w:rsidRDefault="00CF0E2D" w:rsidP="00A60D4B">
            <w:pPr>
              <w:pStyle w:val="InitFigR"/>
              <w:rPr>
                <w:b/>
                <w:bCs/>
              </w:rPr>
            </w:pPr>
            <w:r w:rsidRPr="00176A83">
              <w:rPr>
                <w:b/>
                <w:bCs/>
              </w:rPr>
              <w:t>$’000</w:t>
            </w:r>
          </w:p>
        </w:tc>
        <w:tc>
          <w:tcPr>
            <w:tcW w:w="1029" w:type="dxa"/>
            <w:tcBorders>
              <w:top w:val="single" w:sz="4" w:space="0" w:color="auto"/>
              <w:bottom w:val="single" w:sz="4" w:space="0" w:color="auto"/>
            </w:tcBorders>
          </w:tcPr>
          <w:p w14:paraId="051D9A3B" w14:textId="77777777" w:rsidR="00CF0E2D" w:rsidRPr="00176A83" w:rsidRDefault="00CF0E2D" w:rsidP="00A60D4B">
            <w:pPr>
              <w:pStyle w:val="InitFigR"/>
              <w:rPr>
                <w:b/>
                <w:bCs/>
              </w:rPr>
            </w:pPr>
            <w:r w:rsidRPr="00176A83">
              <w:rPr>
                <w:b/>
                <w:bCs/>
              </w:rPr>
              <w:t>2024-25</w:t>
            </w:r>
          </w:p>
          <w:p w14:paraId="5BB26F1F" w14:textId="77777777" w:rsidR="00CF0E2D" w:rsidRPr="00176A83" w:rsidRDefault="00CF0E2D" w:rsidP="00A60D4B">
            <w:pPr>
              <w:pStyle w:val="InitFigR"/>
              <w:rPr>
                <w:b/>
                <w:bCs/>
              </w:rPr>
            </w:pPr>
            <w:r w:rsidRPr="00176A83">
              <w:rPr>
                <w:b/>
                <w:bCs/>
              </w:rPr>
              <w:t>$’000</w:t>
            </w:r>
          </w:p>
        </w:tc>
        <w:tc>
          <w:tcPr>
            <w:tcW w:w="1029" w:type="dxa"/>
            <w:tcBorders>
              <w:top w:val="single" w:sz="4" w:space="0" w:color="auto"/>
              <w:bottom w:val="single" w:sz="4" w:space="0" w:color="auto"/>
            </w:tcBorders>
          </w:tcPr>
          <w:p w14:paraId="675DE01C" w14:textId="77777777" w:rsidR="00CF0E2D" w:rsidRPr="004E341E" w:rsidRDefault="00CF0E2D" w:rsidP="00A60D4B">
            <w:pPr>
              <w:pStyle w:val="InitFigRBold"/>
            </w:pPr>
            <w:r w:rsidRPr="004E341E">
              <w:t>Total</w:t>
            </w:r>
          </w:p>
          <w:p w14:paraId="176B88F0" w14:textId="77777777" w:rsidR="00CF0E2D" w:rsidRPr="004E341E" w:rsidRDefault="00CF0E2D" w:rsidP="00A60D4B">
            <w:pPr>
              <w:pStyle w:val="InitFigBR"/>
            </w:pPr>
            <w:r w:rsidRPr="004E341E">
              <w:t>$’000</w:t>
            </w:r>
          </w:p>
        </w:tc>
      </w:tr>
      <w:tr w:rsidR="00CF0E2D" w:rsidRPr="00750793" w14:paraId="7F1B6702" w14:textId="77777777" w:rsidTr="00A60D4B">
        <w:trPr>
          <w:cantSplit/>
          <w:jc w:val="center"/>
        </w:trPr>
        <w:tc>
          <w:tcPr>
            <w:tcW w:w="3652" w:type="dxa"/>
          </w:tcPr>
          <w:p w14:paraId="73533C06" w14:textId="77777777" w:rsidR="00CF0E2D" w:rsidRPr="00F13FAB" w:rsidRDefault="00CF0E2D" w:rsidP="00A60D4B">
            <w:pPr>
              <w:pStyle w:val="InitTextL"/>
              <w:ind w:left="321" w:hanging="321"/>
            </w:pPr>
            <w:r w:rsidRPr="00882BE2">
              <w:t>Expenses</w:t>
            </w:r>
            <w:r>
              <w:t xml:space="preserve"> – Community Services Directorate</w:t>
            </w:r>
          </w:p>
        </w:tc>
        <w:tc>
          <w:tcPr>
            <w:tcW w:w="1179" w:type="dxa"/>
          </w:tcPr>
          <w:p w14:paraId="5B329DED" w14:textId="77777777" w:rsidR="00CF0E2D" w:rsidRPr="00424DA4" w:rsidRDefault="00CF0E2D" w:rsidP="00A60D4B">
            <w:pPr>
              <w:pStyle w:val="InitFigR"/>
            </w:pPr>
            <w:r>
              <w:t>448</w:t>
            </w:r>
          </w:p>
        </w:tc>
        <w:tc>
          <w:tcPr>
            <w:tcW w:w="1041" w:type="dxa"/>
          </w:tcPr>
          <w:p w14:paraId="3FE16EBB" w14:textId="77777777" w:rsidR="00CF0E2D" w:rsidRPr="00424DA4" w:rsidRDefault="00CF0E2D" w:rsidP="00A60D4B">
            <w:pPr>
              <w:pStyle w:val="InitFigR"/>
            </w:pPr>
            <w:r>
              <w:t>452</w:t>
            </w:r>
          </w:p>
        </w:tc>
        <w:tc>
          <w:tcPr>
            <w:tcW w:w="1029" w:type="dxa"/>
          </w:tcPr>
          <w:p w14:paraId="4661C969" w14:textId="77777777" w:rsidR="00CF0E2D" w:rsidRPr="00424DA4" w:rsidRDefault="00CF0E2D" w:rsidP="00A60D4B">
            <w:pPr>
              <w:pStyle w:val="InitFigR"/>
            </w:pPr>
            <w:r>
              <w:t>456</w:t>
            </w:r>
          </w:p>
        </w:tc>
        <w:tc>
          <w:tcPr>
            <w:tcW w:w="1029" w:type="dxa"/>
          </w:tcPr>
          <w:p w14:paraId="307893F1" w14:textId="77777777" w:rsidR="00CF0E2D" w:rsidRPr="00424DA4" w:rsidRDefault="00CF0E2D" w:rsidP="00A60D4B">
            <w:pPr>
              <w:pStyle w:val="InitFigR"/>
            </w:pPr>
            <w:r>
              <w:t>505</w:t>
            </w:r>
          </w:p>
        </w:tc>
        <w:tc>
          <w:tcPr>
            <w:tcW w:w="1029" w:type="dxa"/>
          </w:tcPr>
          <w:p w14:paraId="1CD05361" w14:textId="77777777" w:rsidR="00CF0E2D" w:rsidRPr="00424DA4" w:rsidRDefault="00CF0E2D" w:rsidP="00A60D4B">
            <w:pPr>
              <w:pStyle w:val="InitFigBR"/>
            </w:pPr>
            <w:r>
              <w:t>1,861</w:t>
            </w:r>
          </w:p>
        </w:tc>
      </w:tr>
      <w:tr w:rsidR="00CF0E2D" w:rsidRPr="00750793" w14:paraId="5CF312D8" w14:textId="77777777" w:rsidTr="00A60D4B">
        <w:trPr>
          <w:cantSplit/>
          <w:jc w:val="center"/>
        </w:trPr>
        <w:tc>
          <w:tcPr>
            <w:tcW w:w="3652" w:type="dxa"/>
          </w:tcPr>
          <w:p w14:paraId="594BAF76" w14:textId="77777777" w:rsidR="00CF0E2D" w:rsidRPr="00915199" w:rsidDel="002B63D3" w:rsidRDefault="00CF0E2D" w:rsidP="00A60D4B">
            <w:pPr>
              <w:pStyle w:val="InitTextL"/>
              <w:ind w:left="321" w:hanging="321"/>
            </w:pPr>
            <w:r w:rsidRPr="00915199">
              <w:t xml:space="preserve">Expenses – </w:t>
            </w:r>
            <w:r>
              <w:t>ACT Health Directorate</w:t>
            </w:r>
          </w:p>
        </w:tc>
        <w:tc>
          <w:tcPr>
            <w:tcW w:w="1179" w:type="dxa"/>
          </w:tcPr>
          <w:p w14:paraId="479725E5" w14:textId="77777777" w:rsidR="00CF0E2D" w:rsidRPr="00424DA4" w:rsidRDefault="00CF0E2D" w:rsidP="00A60D4B">
            <w:pPr>
              <w:pStyle w:val="InitFigR"/>
            </w:pPr>
            <w:r>
              <w:t>398</w:t>
            </w:r>
          </w:p>
        </w:tc>
        <w:tc>
          <w:tcPr>
            <w:tcW w:w="1041" w:type="dxa"/>
          </w:tcPr>
          <w:p w14:paraId="0C95AED7" w14:textId="77777777" w:rsidR="00CF0E2D" w:rsidRPr="00424DA4" w:rsidRDefault="00CF0E2D" w:rsidP="00A60D4B">
            <w:pPr>
              <w:pStyle w:val="InitFigR"/>
            </w:pPr>
            <w:r>
              <w:t>402</w:t>
            </w:r>
          </w:p>
        </w:tc>
        <w:tc>
          <w:tcPr>
            <w:tcW w:w="1029" w:type="dxa"/>
          </w:tcPr>
          <w:p w14:paraId="6561301E" w14:textId="77777777" w:rsidR="00CF0E2D" w:rsidRPr="00424DA4" w:rsidRDefault="00CF0E2D" w:rsidP="00A60D4B">
            <w:pPr>
              <w:pStyle w:val="InitFigR"/>
            </w:pPr>
            <w:r>
              <w:t>405</w:t>
            </w:r>
          </w:p>
        </w:tc>
        <w:tc>
          <w:tcPr>
            <w:tcW w:w="1029" w:type="dxa"/>
          </w:tcPr>
          <w:p w14:paraId="5C7FC9B6" w14:textId="77777777" w:rsidR="00CF0E2D" w:rsidRPr="00424DA4" w:rsidRDefault="00CF0E2D" w:rsidP="00A60D4B">
            <w:pPr>
              <w:pStyle w:val="InitFigR"/>
            </w:pPr>
            <w:r>
              <w:t>449</w:t>
            </w:r>
          </w:p>
        </w:tc>
        <w:tc>
          <w:tcPr>
            <w:tcW w:w="1029" w:type="dxa"/>
          </w:tcPr>
          <w:p w14:paraId="2D6A2AA7" w14:textId="77777777" w:rsidR="00CF0E2D" w:rsidRPr="00424DA4" w:rsidRDefault="00CF0E2D" w:rsidP="00A60D4B">
            <w:pPr>
              <w:pStyle w:val="InitFigBR"/>
            </w:pPr>
            <w:r>
              <w:t>1,654</w:t>
            </w:r>
          </w:p>
        </w:tc>
      </w:tr>
      <w:tr w:rsidR="00CF0E2D" w:rsidRPr="00750793" w14:paraId="2948C6ED" w14:textId="77777777" w:rsidTr="00A60D4B">
        <w:trPr>
          <w:cantSplit/>
          <w:jc w:val="center"/>
        </w:trPr>
        <w:tc>
          <w:tcPr>
            <w:tcW w:w="3652" w:type="dxa"/>
          </w:tcPr>
          <w:p w14:paraId="7426E1ED" w14:textId="77777777" w:rsidR="00CF0E2D" w:rsidRPr="00882BE2" w:rsidRDefault="00CF0E2D" w:rsidP="00A60D4B">
            <w:pPr>
              <w:pStyle w:val="InitTextL"/>
              <w:ind w:left="321" w:hanging="321"/>
            </w:pPr>
            <w:r>
              <w:t>Expenses – ACT Local Hospital Network</w:t>
            </w:r>
          </w:p>
        </w:tc>
        <w:tc>
          <w:tcPr>
            <w:tcW w:w="1179" w:type="dxa"/>
          </w:tcPr>
          <w:p w14:paraId="12B62BCC" w14:textId="77777777" w:rsidR="00CF0E2D" w:rsidRPr="00424DA4" w:rsidRDefault="00CF0E2D" w:rsidP="00A60D4B">
            <w:pPr>
              <w:pStyle w:val="InitFigR"/>
            </w:pPr>
            <w:r>
              <w:t>101</w:t>
            </w:r>
          </w:p>
        </w:tc>
        <w:tc>
          <w:tcPr>
            <w:tcW w:w="1041" w:type="dxa"/>
          </w:tcPr>
          <w:p w14:paraId="71BAFDC2" w14:textId="77777777" w:rsidR="00CF0E2D" w:rsidRPr="00424DA4" w:rsidRDefault="00CF0E2D" w:rsidP="00A60D4B">
            <w:pPr>
              <w:pStyle w:val="InitFigR"/>
            </w:pPr>
            <w:r>
              <w:t>102</w:t>
            </w:r>
          </w:p>
        </w:tc>
        <w:tc>
          <w:tcPr>
            <w:tcW w:w="1029" w:type="dxa"/>
          </w:tcPr>
          <w:p w14:paraId="2DA5F4B6" w14:textId="77777777" w:rsidR="00CF0E2D" w:rsidRPr="00424DA4" w:rsidRDefault="00CF0E2D" w:rsidP="00A60D4B">
            <w:pPr>
              <w:pStyle w:val="InitFigR"/>
            </w:pPr>
            <w:r>
              <w:t>103</w:t>
            </w:r>
          </w:p>
        </w:tc>
        <w:tc>
          <w:tcPr>
            <w:tcW w:w="1029" w:type="dxa"/>
          </w:tcPr>
          <w:p w14:paraId="52A9C00F" w14:textId="77777777" w:rsidR="00CF0E2D" w:rsidRPr="00424DA4" w:rsidRDefault="00CF0E2D" w:rsidP="00A60D4B">
            <w:pPr>
              <w:pStyle w:val="InitFigR"/>
            </w:pPr>
            <w:r>
              <w:t>115</w:t>
            </w:r>
          </w:p>
        </w:tc>
        <w:tc>
          <w:tcPr>
            <w:tcW w:w="1029" w:type="dxa"/>
          </w:tcPr>
          <w:p w14:paraId="5539E666" w14:textId="77777777" w:rsidR="00CF0E2D" w:rsidRPr="00424DA4" w:rsidRDefault="00CF0E2D" w:rsidP="00A60D4B">
            <w:pPr>
              <w:pStyle w:val="InitFigBR"/>
            </w:pPr>
            <w:r>
              <w:t>421</w:t>
            </w:r>
          </w:p>
        </w:tc>
      </w:tr>
      <w:tr w:rsidR="00CF0E2D" w:rsidRPr="00750793" w14:paraId="3D6EEF2B" w14:textId="77777777" w:rsidTr="00A60D4B">
        <w:trPr>
          <w:cantSplit/>
          <w:jc w:val="center"/>
        </w:trPr>
        <w:tc>
          <w:tcPr>
            <w:tcW w:w="3652" w:type="dxa"/>
          </w:tcPr>
          <w:p w14:paraId="68042CD7" w14:textId="77777777" w:rsidR="00CF0E2D" w:rsidRDefault="00CF0E2D" w:rsidP="00A60D4B">
            <w:pPr>
              <w:pStyle w:val="InitTextL"/>
              <w:ind w:left="321" w:hanging="321"/>
            </w:pPr>
            <w:r>
              <w:t>Expenses – CMTEDD</w:t>
            </w:r>
          </w:p>
        </w:tc>
        <w:tc>
          <w:tcPr>
            <w:tcW w:w="1179" w:type="dxa"/>
          </w:tcPr>
          <w:p w14:paraId="03391D89" w14:textId="77777777" w:rsidR="00CF0E2D" w:rsidRPr="00424DA4" w:rsidRDefault="00CF0E2D" w:rsidP="00A60D4B">
            <w:pPr>
              <w:pStyle w:val="InitFigR"/>
            </w:pPr>
            <w:r>
              <w:t>19</w:t>
            </w:r>
          </w:p>
        </w:tc>
        <w:tc>
          <w:tcPr>
            <w:tcW w:w="1041" w:type="dxa"/>
          </w:tcPr>
          <w:p w14:paraId="412EB3B0" w14:textId="77777777" w:rsidR="00CF0E2D" w:rsidRPr="00424DA4" w:rsidRDefault="00CF0E2D" w:rsidP="00A60D4B">
            <w:pPr>
              <w:pStyle w:val="InitFigR"/>
            </w:pPr>
            <w:r>
              <w:t>19</w:t>
            </w:r>
          </w:p>
        </w:tc>
        <w:tc>
          <w:tcPr>
            <w:tcW w:w="1029" w:type="dxa"/>
          </w:tcPr>
          <w:p w14:paraId="37B03325" w14:textId="77777777" w:rsidR="00CF0E2D" w:rsidRPr="00424DA4" w:rsidRDefault="00CF0E2D" w:rsidP="00A60D4B">
            <w:pPr>
              <w:pStyle w:val="InitFigR"/>
            </w:pPr>
            <w:r>
              <w:t>19</w:t>
            </w:r>
          </w:p>
        </w:tc>
        <w:tc>
          <w:tcPr>
            <w:tcW w:w="1029" w:type="dxa"/>
          </w:tcPr>
          <w:p w14:paraId="7DA6D280" w14:textId="77777777" w:rsidR="00CF0E2D" w:rsidRPr="00424DA4" w:rsidRDefault="00CF0E2D" w:rsidP="00A60D4B">
            <w:pPr>
              <w:pStyle w:val="InitFigR"/>
            </w:pPr>
            <w:r>
              <w:t>21</w:t>
            </w:r>
          </w:p>
        </w:tc>
        <w:tc>
          <w:tcPr>
            <w:tcW w:w="1029" w:type="dxa"/>
          </w:tcPr>
          <w:p w14:paraId="03E68452" w14:textId="77777777" w:rsidR="00CF0E2D" w:rsidRPr="00424DA4" w:rsidRDefault="00CF0E2D" w:rsidP="00A60D4B">
            <w:pPr>
              <w:pStyle w:val="InitFigBR"/>
            </w:pPr>
            <w:r>
              <w:t>78</w:t>
            </w:r>
          </w:p>
        </w:tc>
      </w:tr>
      <w:tr w:rsidR="00CF0E2D" w:rsidRPr="00750793" w14:paraId="70C70A22" w14:textId="77777777" w:rsidTr="00A60D4B">
        <w:trPr>
          <w:cantSplit/>
          <w:trHeight w:val="107"/>
          <w:jc w:val="center"/>
        </w:trPr>
        <w:tc>
          <w:tcPr>
            <w:tcW w:w="3652" w:type="dxa"/>
            <w:tcBorders>
              <w:top w:val="single" w:sz="4" w:space="0" w:color="auto"/>
              <w:bottom w:val="single" w:sz="4" w:space="0" w:color="auto"/>
            </w:tcBorders>
          </w:tcPr>
          <w:p w14:paraId="63DA12FF"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40179A54" w14:textId="77777777" w:rsidR="00CF0E2D" w:rsidRPr="00424DA4" w:rsidRDefault="00CF0E2D" w:rsidP="00A60D4B">
            <w:pPr>
              <w:pStyle w:val="InitFigRBold"/>
            </w:pPr>
            <w:r>
              <w:t>966</w:t>
            </w:r>
          </w:p>
        </w:tc>
        <w:tc>
          <w:tcPr>
            <w:tcW w:w="1041" w:type="dxa"/>
            <w:tcBorders>
              <w:top w:val="single" w:sz="4" w:space="0" w:color="auto"/>
              <w:bottom w:val="single" w:sz="4" w:space="0" w:color="auto"/>
            </w:tcBorders>
          </w:tcPr>
          <w:p w14:paraId="64884C40" w14:textId="77777777" w:rsidR="00CF0E2D" w:rsidRPr="00424DA4" w:rsidRDefault="00CF0E2D" w:rsidP="00A60D4B">
            <w:pPr>
              <w:pStyle w:val="InitFigRBold"/>
            </w:pPr>
            <w:r>
              <w:t>975</w:t>
            </w:r>
          </w:p>
        </w:tc>
        <w:tc>
          <w:tcPr>
            <w:tcW w:w="1029" w:type="dxa"/>
            <w:tcBorders>
              <w:top w:val="single" w:sz="4" w:space="0" w:color="auto"/>
              <w:bottom w:val="single" w:sz="4" w:space="0" w:color="auto"/>
            </w:tcBorders>
          </w:tcPr>
          <w:p w14:paraId="5BE214E1" w14:textId="77777777" w:rsidR="00CF0E2D" w:rsidRPr="00424DA4" w:rsidRDefault="00CF0E2D" w:rsidP="00A60D4B">
            <w:pPr>
              <w:pStyle w:val="InitFigRBold"/>
            </w:pPr>
            <w:r>
              <w:t>983</w:t>
            </w:r>
          </w:p>
        </w:tc>
        <w:tc>
          <w:tcPr>
            <w:tcW w:w="1029" w:type="dxa"/>
            <w:tcBorders>
              <w:top w:val="single" w:sz="4" w:space="0" w:color="auto"/>
              <w:bottom w:val="single" w:sz="4" w:space="0" w:color="auto"/>
            </w:tcBorders>
          </w:tcPr>
          <w:p w14:paraId="0B47EF95" w14:textId="77777777" w:rsidR="00CF0E2D" w:rsidRPr="00424DA4" w:rsidRDefault="00CF0E2D" w:rsidP="00A60D4B">
            <w:pPr>
              <w:pStyle w:val="InitFigRBold"/>
            </w:pPr>
            <w:r>
              <w:t>1,090</w:t>
            </w:r>
          </w:p>
        </w:tc>
        <w:tc>
          <w:tcPr>
            <w:tcW w:w="1029" w:type="dxa"/>
            <w:tcBorders>
              <w:top w:val="single" w:sz="4" w:space="0" w:color="auto"/>
              <w:bottom w:val="single" w:sz="4" w:space="0" w:color="auto"/>
            </w:tcBorders>
          </w:tcPr>
          <w:p w14:paraId="61BED38F" w14:textId="77777777" w:rsidR="00CF0E2D" w:rsidRPr="00424DA4" w:rsidRDefault="00CF0E2D" w:rsidP="00A60D4B">
            <w:pPr>
              <w:pStyle w:val="InitFigRBold"/>
            </w:pPr>
            <w:r>
              <w:t>4,014</w:t>
            </w:r>
          </w:p>
        </w:tc>
      </w:tr>
    </w:tbl>
    <w:p w14:paraId="1EDCBDDA" w14:textId="77777777" w:rsidR="00CF0E2D" w:rsidRPr="00720BFA" w:rsidRDefault="00CF0E2D" w:rsidP="00A60D4B">
      <w:pPr>
        <w:pStyle w:val="Bbodytext"/>
      </w:pPr>
      <w:r w:rsidRPr="00720BFA">
        <w:t>The Government will increase funding to community sector organisations to support them to meet higher wage costs following the recent Fair Work Commission decision to increase the national minimum wage and all award wages by 2.5 per cent.</w:t>
      </w:r>
    </w:p>
    <w:p w14:paraId="156C25A5" w14:textId="77777777" w:rsidR="00CF0E2D" w:rsidRDefault="00CF0E2D" w:rsidP="00A60D4B">
      <w:pPr>
        <w:pStyle w:val="Bbodytext"/>
      </w:pPr>
      <w:r w:rsidRPr="00720BFA">
        <w:t xml:space="preserve">This initiative contributes to the wellbeing domain of Living standards.  </w:t>
      </w:r>
    </w:p>
    <w:p w14:paraId="70ECEF6C" w14:textId="77777777" w:rsidR="00CF0E2D" w:rsidRDefault="00CF0E2D" w:rsidP="00A60D4B">
      <w:pPr>
        <w:pStyle w:val="Bbodytext"/>
      </w:pPr>
    </w:p>
    <w:p w14:paraId="4CAA032F" w14:textId="77777777" w:rsidR="00CF0E2D" w:rsidRPr="001045F3" w:rsidRDefault="00CF0E2D" w:rsidP="00A60D4B">
      <w:pPr>
        <w:rPr>
          <w:strike/>
        </w:rPr>
      </w:pPr>
      <w:r w:rsidRPr="001045F3">
        <w:rPr>
          <w:b/>
          <w:bCs/>
          <w:sz w:val="28"/>
          <w:szCs w:val="26"/>
        </w:rPr>
        <w:t>COVID-19</w:t>
      </w:r>
      <w:r>
        <w:rPr>
          <w:b/>
          <w:bCs/>
          <w:sz w:val="28"/>
          <w:szCs w:val="26"/>
        </w:rPr>
        <w:t xml:space="preserve"> Response – Community support package </w:t>
      </w:r>
      <w:r>
        <w:rPr>
          <w:b/>
          <w:noProof/>
          <w:color w:val="999789"/>
          <w:sz w:val="32"/>
          <w:szCs w:val="24"/>
        </w:rPr>
        <w:drawing>
          <wp:anchor distT="0" distB="0" distL="114300" distR="114300" simplePos="0" relativeHeight="251832320" behindDoc="0" locked="1" layoutInCell="1" allowOverlap="1" wp14:anchorId="505CAF3D" wp14:editId="0EBB999F">
            <wp:simplePos x="0" y="0"/>
            <wp:positionH relativeFrom="margin">
              <wp:align>right</wp:align>
            </wp:positionH>
            <wp:positionV relativeFrom="paragraph">
              <wp:posOffset>-170180</wp:posOffset>
            </wp:positionV>
            <wp:extent cx="1212850" cy="503555"/>
            <wp:effectExtent l="0" t="0" r="6350" b="0"/>
            <wp:wrapSquare wrapText="bothSides"/>
            <wp:docPr id="278" name="Picture 278" descr="Icon representing the wellbeing domain of Living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con representing the wellbeing domain of Living standards"/>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1285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69220C2F" w14:textId="77777777" w:rsidTr="00A60D4B">
        <w:trPr>
          <w:cantSplit/>
          <w:jc w:val="center"/>
        </w:trPr>
        <w:tc>
          <w:tcPr>
            <w:tcW w:w="3652" w:type="dxa"/>
            <w:tcBorders>
              <w:top w:val="single" w:sz="4" w:space="0" w:color="auto"/>
              <w:bottom w:val="single" w:sz="4" w:space="0" w:color="auto"/>
            </w:tcBorders>
          </w:tcPr>
          <w:p w14:paraId="31491324"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5B702996" w14:textId="77777777" w:rsidR="00CF0E2D" w:rsidRPr="00CD217F" w:rsidRDefault="00CF0E2D" w:rsidP="00A60D4B">
            <w:pPr>
              <w:pStyle w:val="InitFigR"/>
              <w:rPr>
                <w:b/>
                <w:bCs/>
              </w:rPr>
            </w:pPr>
            <w:r w:rsidRPr="00CD217F">
              <w:rPr>
                <w:b/>
                <w:bCs/>
              </w:rPr>
              <w:t>2021-22</w:t>
            </w:r>
          </w:p>
          <w:p w14:paraId="78F853B4" w14:textId="77777777" w:rsidR="00CF0E2D" w:rsidRPr="00CD217F" w:rsidRDefault="00CF0E2D" w:rsidP="00A60D4B">
            <w:pPr>
              <w:pStyle w:val="InitFigR"/>
              <w:rPr>
                <w:b/>
                <w:bCs/>
              </w:rPr>
            </w:pPr>
            <w:r w:rsidRPr="00CD217F">
              <w:rPr>
                <w:b/>
                <w:bCs/>
              </w:rPr>
              <w:t>$’000</w:t>
            </w:r>
          </w:p>
        </w:tc>
        <w:tc>
          <w:tcPr>
            <w:tcW w:w="1041" w:type="dxa"/>
            <w:tcBorders>
              <w:top w:val="single" w:sz="4" w:space="0" w:color="auto"/>
              <w:bottom w:val="single" w:sz="4" w:space="0" w:color="auto"/>
            </w:tcBorders>
          </w:tcPr>
          <w:p w14:paraId="69B01607" w14:textId="77777777" w:rsidR="00CF0E2D" w:rsidRPr="00CD217F" w:rsidRDefault="00CF0E2D" w:rsidP="00A60D4B">
            <w:pPr>
              <w:pStyle w:val="InitFigR"/>
              <w:rPr>
                <w:b/>
                <w:bCs/>
              </w:rPr>
            </w:pPr>
            <w:r w:rsidRPr="00CD217F">
              <w:rPr>
                <w:b/>
                <w:bCs/>
              </w:rPr>
              <w:t>2022-23</w:t>
            </w:r>
          </w:p>
          <w:p w14:paraId="2349EB47" w14:textId="77777777" w:rsidR="00CF0E2D" w:rsidRPr="00CD217F" w:rsidRDefault="00CF0E2D" w:rsidP="00A60D4B">
            <w:pPr>
              <w:pStyle w:val="InitFigR"/>
              <w:rPr>
                <w:b/>
                <w:bCs/>
              </w:rPr>
            </w:pPr>
            <w:r w:rsidRPr="00CD217F">
              <w:rPr>
                <w:b/>
                <w:bCs/>
              </w:rPr>
              <w:t>$’000</w:t>
            </w:r>
          </w:p>
        </w:tc>
        <w:tc>
          <w:tcPr>
            <w:tcW w:w="1029" w:type="dxa"/>
            <w:tcBorders>
              <w:top w:val="single" w:sz="4" w:space="0" w:color="auto"/>
              <w:bottom w:val="single" w:sz="4" w:space="0" w:color="auto"/>
            </w:tcBorders>
          </w:tcPr>
          <w:p w14:paraId="65D3C960" w14:textId="77777777" w:rsidR="00CF0E2D" w:rsidRPr="00CD217F" w:rsidRDefault="00CF0E2D" w:rsidP="00A60D4B">
            <w:pPr>
              <w:pStyle w:val="InitFigR"/>
              <w:rPr>
                <w:b/>
                <w:bCs/>
              </w:rPr>
            </w:pPr>
            <w:r w:rsidRPr="00CD217F">
              <w:rPr>
                <w:b/>
                <w:bCs/>
              </w:rPr>
              <w:t>2023-24</w:t>
            </w:r>
          </w:p>
          <w:p w14:paraId="08E145C4" w14:textId="77777777" w:rsidR="00CF0E2D" w:rsidRPr="00CD217F" w:rsidRDefault="00CF0E2D" w:rsidP="00A60D4B">
            <w:pPr>
              <w:pStyle w:val="InitFigR"/>
              <w:rPr>
                <w:b/>
                <w:bCs/>
              </w:rPr>
            </w:pPr>
            <w:r w:rsidRPr="00CD217F">
              <w:rPr>
                <w:b/>
                <w:bCs/>
              </w:rPr>
              <w:t>$’000</w:t>
            </w:r>
          </w:p>
        </w:tc>
        <w:tc>
          <w:tcPr>
            <w:tcW w:w="1029" w:type="dxa"/>
            <w:tcBorders>
              <w:top w:val="single" w:sz="4" w:space="0" w:color="auto"/>
              <w:bottom w:val="single" w:sz="4" w:space="0" w:color="auto"/>
            </w:tcBorders>
          </w:tcPr>
          <w:p w14:paraId="453E142B" w14:textId="77777777" w:rsidR="00CF0E2D" w:rsidRPr="00CD217F" w:rsidRDefault="00CF0E2D" w:rsidP="00A60D4B">
            <w:pPr>
              <w:pStyle w:val="InitFigR"/>
              <w:rPr>
                <w:b/>
                <w:bCs/>
              </w:rPr>
            </w:pPr>
            <w:r w:rsidRPr="00CD217F">
              <w:rPr>
                <w:b/>
                <w:bCs/>
              </w:rPr>
              <w:t>2024-25</w:t>
            </w:r>
          </w:p>
          <w:p w14:paraId="799896A6" w14:textId="77777777" w:rsidR="00CF0E2D" w:rsidRPr="00CD217F" w:rsidRDefault="00CF0E2D" w:rsidP="00A60D4B">
            <w:pPr>
              <w:pStyle w:val="InitFigR"/>
              <w:rPr>
                <w:b/>
                <w:bCs/>
              </w:rPr>
            </w:pPr>
            <w:r w:rsidRPr="00CD217F">
              <w:rPr>
                <w:b/>
                <w:bCs/>
              </w:rPr>
              <w:t>$’000</w:t>
            </w:r>
          </w:p>
        </w:tc>
        <w:tc>
          <w:tcPr>
            <w:tcW w:w="1029" w:type="dxa"/>
            <w:tcBorders>
              <w:top w:val="single" w:sz="4" w:space="0" w:color="auto"/>
              <w:bottom w:val="single" w:sz="4" w:space="0" w:color="auto"/>
            </w:tcBorders>
          </w:tcPr>
          <w:p w14:paraId="6DD8671F" w14:textId="77777777" w:rsidR="00CF0E2D" w:rsidRPr="004E341E" w:rsidRDefault="00CF0E2D" w:rsidP="00A60D4B">
            <w:pPr>
              <w:pStyle w:val="InitFigRBold"/>
            </w:pPr>
            <w:r w:rsidRPr="004E341E">
              <w:t>Total</w:t>
            </w:r>
          </w:p>
          <w:p w14:paraId="21F9042E" w14:textId="77777777" w:rsidR="00CF0E2D" w:rsidRPr="004E341E" w:rsidRDefault="00CF0E2D" w:rsidP="00A60D4B">
            <w:pPr>
              <w:pStyle w:val="InitFigBR"/>
            </w:pPr>
            <w:r w:rsidRPr="004E341E">
              <w:t>$’000</w:t>
            </w:r>
          </w:p>
        </w:tc>
      </w:tr>
      <w:tr w:rsidR="00CF0E2D" w:rsidRPr="00750793" w14:paraId="437DFD58" w14:textId="77777777" w:rsidTr="00A60D4B">
        <w:trPr>
          <w:cantSplit/>
          <w:jc w:val="center"/>
        </w:trPr>
        <w:tc>
          <w:tcPr>
            <w:tcW w:w="3652" w:type="dxa"/>
            <w:tcBorders>
              <w:bottom w:val="single" w:sz="4" w:space="0" w:color="auto"/>
            </w:tcBorders>
          </w:tcPr>
          <w:p w14:paraId="5A3A5F1C" w14:textId="77777777" w:rsidR="00CF0E2D" w:rsidRPr="00F13FAB" w:rsidRDefault="00CF0E2D" w:rsidP="00A60D4B">
            <w:pPr>
              <w:pStyle w:val="InitTextL"/>
              <w:ind w:left="321" w:hanging="321"/>
            </w:pPr>
            <w:r w:rsidRPr="00882BE2">
              <w:t>Expenses</w:t>
            </w:r>
            <w:r>
              <w:t xml:space="preserve"> </w:t>
            </w:r>
          </w:p>
        </w:tc>
        <w:tc>
          <w:tcPr>
            <w:tcW w:w="1179" w:type="dxa"/>
            <w:tcBorders>
              <w:bottom w:val="single" w:sz="4" w:space="0" w:color="auto"/>
            </w:tcBorders>
          </w:tcPr>
          <w:p w14:paraId="0C5F8E91" w14:textId="77777777" w:rsidR="00CF0E2D" w:rsidRPr="00424DA4" w:rsidRDefault="00CF0E2D" w:rsidP="00A60D4B">
            <w:pPr>
              <w:pStyle w:val="InitFigR"/>
            </w:pPr>
            <w:r>
              <w:t>1,100</w:t>
            </w:r>
          </w:p>
        </w:tc>
        <w:tc>
          <w:tcPr>
            <w:tcW w:w="1041" w:type="dxa"/>
            <w:tcBorders>
              <w:bottom w:val="single" w:sz="4" w:space="0" w:color="auto"/>
            </w:tcBorders>
          </w:tcPr>
          <w:p w14:paraId="48ECF88A" w14:textId="77777777" w:rsidR="00CF0E2D" w:rsidRPr="00424DA4" w:rsidRDefault="00CF0E2D" w:rsidP="00A60D4B">
            <w:pPr>
              <w:pStyle w:val="InitFigR"/>
            </w:pPr>
            <w:r>
              <w:t>0</w:t>
            </w:r>
          </w:p>
        </w:tc>
        <w:tc>
          <w:tcPr>
            <w:tcW w:w="1029" w:type="dxa"/>
            <w:tcBorders>
              <w:bottom w:val="single" w:sz="4" w:space="0" w:color="auto"/>
            </w:tcBorders>
          </w:tcPr>
          <w:p w14:paraId="460791E3" w14:textId="77777777" w:rsidR="00CF0E2D" w:rsidRPr="00424DA4" w:rsidRDefault="00CF0E2D" w:rsidP="00A60D4B">
            <w:pPr>
              <w:pStyle w:val="InitFigR"/>
            </w:pPr>
            <w:r>
              <w:t>0</w:t>
            </w:r>
          </w:p>
        </w:tc>
        <w:tc>
          <w:tcPr>
            <w:tcW w:w="1029" w:type="dxa"/>
            <w:tcBorders>
              <w:bottom w:val="single" w:sz="4" w:space="0" w:color="auto"/>
            </w:tcBorders>
          </w:tcPr>
          <w:p w14:paraId="2B747D72" w14:textId="77777777" w:rsidR="00CF0E2D" w:rsidRPr="00424DA4" w:rsidRDefault="00CF0E2D" w:rsidP="00A60D4B">
            <w:pPr>
              <w:pStyle w:val="InitFigR"/>
            </w:pPr>
            <w:r>
              <w:t>0</w:t>
            </w:r>
          </w:p>
        </w:tc>
        <w:tc>
          <w:tcPr>
            <w:tcW w:w="1029" w:type="dxa"/>
            <w:tcBorders>
              <w:bottom w:val="single" w:sz="4" w:space="0" w:color="auto"/>
            </w:tcBorders>
          </w:tcPr>
          <w:p w14:paraId="2EFD38EF" w14:textId="77777777" w:rsidR="00CF0E2D" w:rsidRPr="00424DA4" w:rsidRDefault="00CF0E2D" w:rsidP="00A60D4B">
            <w:pPr>
              <w:pStyle w:val="InitFigBR"/>
            </w:pPr>
            <w:r>
              <w:t>1,100</w:t>
            </w:r>
          </w:p>
        </w:tc>
      </w:tr>
    </w:tbl>
    <w:p w14:paraId="536CEE9C" w14:textId="77777777" w:rsidR="00CF0E2D" w:rsidRDefault="00CF0E2D" w:rsidP="00A60D4B">
      <w:pPr>
        <w:pStyle w:val="Bbodytext"/>
      </w:pPr>
      <w:r w:rsidRPr="004C581D">
        <w:t>The Government wi</w:t>
      </w:r>
      <w:r>
        <w:t>ll provide increased economic and social support in response to the impact of the current COVID-19 public health emergency</w:t>
      </w:r>
      <w:r w:rsidRPr="003919A3">
        <w:t xml:space="preserve"> </w:t>
      </w:r>
      <w:r>
        <w:t>on the community</w:t>
      </w:r>
      <w:r w:rsidRPr="00402F30">
        <w:t xml:space="preserve">, particularly </w:t>
      </w:r>
      <w:r>
        <w:t xml:space="preserve">for </w:t>
      </w:r>
      <w:r w:rsidRPr="00402F30">
        <w:t xml:space="preserve">Canberrans with </w:t>
      </w:r>
      <w:r>
        <w:t xml:space="preserve">a </w:t>
      </w:r>
      <w:r w:rsidRPr="00402F30">
        <w:t xml:space="preserve">disability, </w:t>
      </w:r>
      <w:r>
        <w:t>o</w:t>
      </w:r>
      <w:r w:rsidRPr="00402F30">
        <w:t>lder Canberrans and people experiencing financial hardship</w:t>
      </w:r>
      <w:r>
        <w:t>. This initiative includes increased funding:</w:t>
      </w:r>
    </w:p>
    <w:p w14:paraId="150AC81E" w14:textId="77777777" w:rsidR="00CF0E2D" w:rsidRPr="00CD217F" w:rsidRDefault="00CF0E2D" w:rsidP="00CF0E2D">
      <w:pPr>
        <w:pStyle w:val="ListParagraph"/>
        <w:numPr>
          <w:ilvl w:val="0"/>
          <w:numId w:val="33"/>
        </w:numPr>
        <w:spacing w:before="200" w:after="0" w:line="240" w:lineRule="auto"/>
        <w:ind w:left="360"/>
        <w:contextualSpacing w:val="0"/>
        <w:rPr>
          <w:sz w:val="24"/>
        </w:rPr>
      </w:pPr>
      <w:r>
        <w:rPr>
          <w:sz w:val="24"/>
        </w:rPr>
        <w:lastRenderedPageBreak/>
        <w:t>to</w:t>
      </w:r>
      <w:r w:rsidRPr="00CD217F">
        <w:rPr>
          <w:sz w:val="24"/>
        </w:rPr>
        <w:t xml:space="preserve"> community organisations to provide a range of crisis and emergency supports</w:t>
      </w:r>
      <w:r>
        <w:rPr>
          <w:sz w:val="24"/>
        </w:rPr>
        <w:t>,</w:t>
      </w:r>
      <w:r w:rsidRPr="00CD217F">
        <w:rPr>
          <w:sz w:val="24"/>
        </w:rPr>
        <w:t xml:space="preserve"> including emergency financial aid, domestic and family violence services, disability and carer support and support for the Aboriginal and Torres Strait Islander community</w:t>
      </w:r>
      <w:r>
        <w:rPr>
          <w:sz w:val="24"/>
        </w:rPr>
        <w:t>;</w:t>
      </w:r>
    </w:p>
    <w:p w14:paraId="59ABDA86" w14:textId="77777777" w:rsidR="00CF0E2D" w:rsidRPr="00CD217F" w:rsidRDefault="00CF0E2D" w:rsidP="00CF0E2D">
      <w:pPr>
        <w:pStyle w:val="ListParagraph"/>
        <w:numPr>
          <w:ilvl w:val="0"/>
          <w:numId w:val="33"/>
        </w:numPr>
        <w:spacing w:before="200" w:after="0" w:line="240" w:lineRule="auto"/>
        <w:ind w:left="360"/>
        <w:contextualSpacing w:val="0"/>
        <w:rPr>
          <w:sz w:val="24"/>
        </w:rPr>
      </w:pPr>
      <w:r>
        <w:rPr>
          <w:sz w:val="24"/>
        </w:rPr>
        <w:t>for</w:t>
      </w:r>
      <w:r w:rsidRPr="00581949">
        <w:rPr>
          <w:sz w:val="24"/>
        </w:rPr>
        <w:t xml:space="preserve"> emergency material aid and support for vulnerable people in the multicultural community</w:t>
      </w:r>
      <w:r>
        <w:rPr>
          <w:sz w:val="24"/>
        </w:rPr>
        <w:t>,</w:t>
      </w:r>
      <w:r w:rsidRPr="00581949">
        <w:rPr>
          <w:sz w:val="24"/>
        </w:rPr>
        <w:t xml:space="preserve"> including ensuring necessary supports for temporary visa holders through the Refugee, Asylum Seeker and Humanitarian Committee</w:t>
      </w:r>
      <w:r>
        <w:rPr>
          <w:sz w:val="24"/>
        </w:rPr>
        <w:t>;</w:t>
      </w:r>
    </w:p>
    <w:p w14:paraId="30EB264A" w14:textId="77777777" w:rsidR="00CF0E2D" w:rsidRPr="00CD217F" w:rsidRDefault="00CF0E2D" w:rsidP="00CF0E2D">
      <w:pPr>
        <w:pStyle w:val="ListParagraph"/>
        <w:numPr>
          <w:ilvl w:val="0"/>
          <w:numId w:val="33"/>
        </w:numPr>
        <w:spacing w:before="200" w:after="0" w:line="240" w:lineRule="auto"/>
        <w:ind w:left="360"/>
        <w:contextualSpacing w:val="0"/>
        <w:rPr>
          <w:sz w:val="24"/>
        </w:rPr>
      </w:pPr>
      <w:r w:rsidRPr="00581949">
        <w:rPr>
          <w:sz w:val="24"/>
        </w:rPr>
        <w:t>for the Canberra Relief Network to provide emergency food relief to vulnerable households until December 2021</w:t>
      </w:r>
      <w:r>
        <w:rPr>
          <w:sz w:val="24"/>
        </w:rPr>
        <w:t>; and</w:t>
      </w:r>
    </w:p>
    <w:p w14:paraId="4828B608" w14:textId="77777777" w:rsidR="00CF0E2D" w:rsidRPr="00CD217F" w:rsidRDefault="00CF0E2D" w:rsidP="00CF0E2D">
      <w:pPr>
        <w:pStyle w:val="ListParagraph"/>
        <w:numPr>
          <w:ilvl w:val="0"/>
          <w:numId w:val="33"/>
        </w:numPr>
        <w:spacing w:before="200" w:after="0" w:line="240" w:lineRule="auto"/>
        <w:ind w:left="360"/>
        <w:contextualSpacing w:val="0"/>
        <w:rPr>
          <w:sz w:val="24"/>
        </w:rPr>
      </w:pPr>
      <w:r w:rsidRPr="00C31154">
        <w:rPr>
          <w:sz w:val="24"/>
        </w:rPr>
        <w:t>to the Red Cross for emergency relief for refugee and asylum seeker community members during the COVID-19 lockdown.</w:t>
      </w:r>
    </w:p>
    <w:p w14:paraId="5CDC1FE1" w14:textId="77777777" w:rsidR="00CF0E2D" w:rsidRDefault="00CF0E2D" w:rsidP="00A60D4B">
      <w:pPr>
        <w:pStyle w:val="Bbodytext"/>
      </w:pPr>
      <w:r>
        <w:t>This initiative contributes to the wellbeing domains of Living standards, Health, Safety and Identity and belonging.</w:t>
      </w:r>
    </w:p>
    <w:p w14:paraId="03BFE5D1" w14:textId="77777777" w:rsidR="00CF0E2D" w:rsidRDefault="00CF0E2D" w:rsidP="00A60D4B">
      <w:pPr>
        <w:pStyle w:val="Bbodytext"/>
      </w:pPr>
    </w:p>
    <w:p w14:paraId="73E025B1" w14:textId="77777777" w:rsidR="00CF0E2D" w:rsidRPr="00312665" w:rsidRDefault="00CF0E2D" w:rsidP="00A60D4B">
      <w:pPr>
        <w:pStyle w:val="Heading4"/>
        <w:keepNext w:val="0"/>
        <w:keepLines w:val="0"/>
        <w:rPr>
          <w:rFonts w:eastAsia="Times New Roman" w:cs="Times New Roman"/>
          <w:bCs/>
          <w:szCs w:val="26"/>
        </w:rPr>
      </w:pPr>
      <w:r w:rsidRPr="00312665">
        <w:rPr>
          <w:rFonts w:eastAsia="Times New Roman"/>
        </w:rPr>
        <w:t xml:space="preserve">COVID-19 </w:t>
      </w:r>
      <w:r>
        <w:rPr>
          <w:rFonts w:eastAsia="Times New Roman" w:cs="Times New Roman"/>
          <w:bCs/>
          <w:szCs w:val="26"/>
        </w:rPr>
        <w:t>r</w:t>
      </w:r>
      <w:r w:rsidRPr="00312665">
        <w:rPr>
          <w:rFonts w:eastAsia="Times New Roman" w:cs="Times New Roman"/>
          <w:bCs/>
          <w:szCs w:val="26"/>
        </w:rPr>
        <w:t xml:space="preserve">esponse </w:t>
      </w:r>
      <w:r>
        <w:rPr>
          <w:rFonts w:eastAsia="Times New Roman" w:cs="Times New Roman"/>
          <w:bCs/>
          <w:szCs w:val="26"/>
        </w:rPr>
        <w:t>c</w:t>
      </w:r>
      <w:r w:rsidRPr="00312665">
        <w:rPr>
          <w:rFonts w:eastAsia="Times New Roman" w:cs="Times New Roman"/>
          <w:bCs/>
          <w:szCs w:val="26"/>
        </w:rPr>
        <w:t xml:space="preserve">ontinuation </w:t>
      </w:r>
      <w:r>
        <w:rPr>
          <w:rFonts w:eastAsia="Times New Roman" w:cs="Times New Roman"/>
          <w:bCs/>
          <w:szCs w:val="26"/>
        </w:rPr>
        <w:t>–</w:t>
      </w:r>
      <w:r w:rsidRPr="00312665">
        <w:rPr>
          <w:rFonts w:eastAsia="Times New Roman" w:cs="Times New Roman"/>
          <w:bCs/>
          <w:szCs w:val="26"/>
        </w:rPr>
        <w:t xml:space="preserve"> Community Recovery Roadmap</w:t>
      </w:r>
      <w:r>
        <w:rPr>
          <w:b w:val="0"/>
          <w:noProof/>
          <w:color w:val="999789"/>
          <w:sz w:val="32"/>
          <w:szCs w:val="24"/>
        </w:rPr>
        <w:drawing>
          <wp:anchor distT="0" distB="0" distL="114300" distR="114300" simplePos="0" relativeHeight="251773952" behindDoc="0" locked="1" layoutInCell="1" allowOverlap="1" wp14:anchorId="4E010FCD" wp14:editId="19C7F74E">
            <wp:simplePos x="0" y="0"/>
            <wp:positionH relativeFrom="margin">
              <wp:align>right</wp:align>
            </wp:positionH>
            <wp:positionV relativeFrom="paragraph">
              <wp:posOffset>81280</wp:posOffset>
            </wp:positionV>
            <wp:extent cx="1212850" cy="503555"/>
            <wp:effectExtent l="0" t="0" r="6350" b="0"/>
            <wp:wrapSquare wrapText="bothSides"/>
            <wp:docPr id="88" name="Picture 88" descr="Icon representing the wellbeing domain of Living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con representing the wellbeing domain of Living standards"/>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1285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025F5CBA" w14:textId="77777777" w:rsidTr="00A60D4B">
        <w:trPr>
          <w:cantSplit/>
          <w:jc w:val="center"/>
        </w:trPr>
        <w:tc>
          <w:tcPr>
            <w:tcW w:w="3652" w:type="dxa"/>
            <w:tcBorders>
              <w:top w:val="single" w:sz="4" w:space="0" w:color="auto"/>
              <w:bottom w:val="single" w:sz="4" w:space="0" w:color="auto"/>
            </w:tcBorders>
          </w:tcPr>
          <w:p w14:paraId="7912DBED"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638C1133" w14:textId="77777777" w:rsidR="00CF0E2D" w:rsidRPr="00E168E6" w:rsidRDefault="00CF0E2D" w:rsidP="00A60D4B">
            <w:pPr>
              <w:pStyle w:val="InitFigR"/>
              <w:rPr>
                <w:b/>
                <w:bCs/>
              </w:rPr>
            </w:pPr>
            <w:r w:rsidRPr="00E168E6">
              <w:rPr>
                <w:b/>
                <w:bCs/>
              </w:rPr>
              <w:t>2021-22</w:t>
            </w:r>
          </w:p>
          <w:p w14:paraId="0F7CC658" w14:textId="77777777" w:rsidR="00CF0E2D" w:rsidRPr="00E168E6" w:rsidRDefault="00CF0E2D" w:rsidP="00A60D4B">
            <w:pPr>
              <w:pStyle w:val="InitFigR"/>
              <w:rPr>
                <w:b/>
                <w:bCs/>
              </w:rPr>
            </w:pPr>
            <w:r w:rsidRPr="00E168E6">
              <w:rPr>
                <w:b/>
                <w:bCs/>
              </w:rPr>
              <w:t>$’000</w:t>
            </w:r>
          </w:p>
        </w:tc>
        <w:tc>
          <w:tcPr>
            <w:tcW w:w="1041" w:type="dxa"/>
            <w:tcBorders>
              <w:top w:val="single" w:sz="4" w:space="0" w:color="auto"/>
              <w:bottom w:val="single" w:sz="4" w:space="0" w:color="auto"/>
            </w:tcBorders>
          </w:tcPr>
          <w:p w14:paraId="40D1D843" w14:textId="77777777" w:rsidR="00CF0E2D" w:rsidRPr="00E168E6" w:rsidRDefault="00CF0E2D" w:rsidP="00A60D4B">
            <w:pPr>
              <w:pStyle w:val="InitFigR"/>
              <w:rPr>
                <w:b/>
                <w:bCs/>
              </w:rPr>
            </w:pPr>
            <w:r w:rsidRPr="00E168E6">
              <w:rPr>
                <w:b/>
                <w:bCs/>
              </w:rPr>
              <w:t>2022-23</w:t>
            </w:r>
          </w:p>
          <w:p w14:paraId="4D626851" w14:textId="77777777" w:rsidR="00CF0E2D" w:rsidRPr="00E168E6" w:rsidRDefault="00CF0E2D" w:rsidP="00A60D4B">
            <w:pPr>
              <w:pStyle w:val="InitFigR"/>
              <w:rPr>
                <w:b/>
                <w:bCs/>
              </w:rPr>
            </w:pPr>
            <w:r w:rsidRPr="00E168E6">
              <w:rPr>
                <w:b/>
                <w:bCs/>
              </w:rPr>
              <w:t>$’000</w:t>
            </w:r>
          </w:p>
        </w:tc>
        <w:tc>
          <w:tcPr>
            <w:tcW w:w="1029" w:type="dxa"/>
            <w:tcBorders>
              <w:top w:val="single" w:sz="4" w:space="0" w:color="auto"/>
              <w:bottom w:val="single" w:sz="4" w:space="0" w:color="auto"/>
            </w:tcBorders>
          </w:tcPr>
          <w:p w14:paraId="5348CD6E" w14:textId="77777777" w:rsidR="00CF0E2D" w:rsidRPr="00E168E6" w:rsidRDefault="00CF0E2D" w:rsidP="00A60D4B">
            <w:pPr>
              <w:pStyle w:val="InitFigR"/>
              <w:rPr>
                <w:b/>
                <w:bCs/>
              </w:rPr>
            </w:pPr>
            <w:r w:rsidRPr="00E168E6">
              <w:rPr>
                <w:b/>
                <w:bCs/>
              </w:rPr>
              <w:t>2023-24</w:t>
            </w:r>
          </w:p>
          <w:p w14:paraId="2AFDE548" w14:textId="77777777" w:rsidR="00CF0E2D" w:rsidRPr="00E168E6" w:rsidRDefault="00CF0E2D" w:rsidP="00A60D4B">
            <w:pPr>
              <w:pStyle w:val="InitFigR"/>
              <w:rPr>
                <w:b/>
                <w:bCs/>
              </w:rPr>
            </w:pPr>
            <w:r w:rsidRPr="00E168E6">
              <w:rPr>
                <w:b/>
                <w:bCs/>
              </w:rPr>
              <w:t>$’000</w:t>
            </w:r>
          </w:p>
        </w:tc>
        <w:tc>
          <w:tcPr>
            <w:tcW w:w="1029" w:type="dxa"/>
            <w:tcBorders>
              <w:top w:val="single" w:sz="4" w:space="0" w:color="auto"/>
              <w:bottom w:val="single" w:sz="4" w:space="0" w:color="auto"/>
            </w:tcBorders>
          </w:tcPr>
          <w:p w14:paraId="6951B958" w14:textId="77777777" w:rsidR="00CF0E2D" w:rsidRPr="00E168E6" w:rsidRDefault="00CF0E2D" w:rsidP="00A60D4B">
            <w:pPr>
              <w:pStyle w:val="InitFigR"/>
              <w:rPr>
                <w:b/>
                <w:bCs/>
              </w:rPr>
            </w:pPr>
            <w:r w:rsidRPr="00E168E6">
              <w:rPr>
                <w:b/>
                <w:bCs/>
              </w:rPr>
              <w:t>2024-25</w:t>
            </w:r>
          </w:p>
          <w:p w14:paraId="7F405C07" w14:textId="77777777" w:rsidR="00CF0E2D" w:rsidRPr="00E168E6" w:rsidRDefault="00CF0E2D" w:rsidP="00A60D4B">
            <w:pPr>
              <w:pStyle w:val="InitFigR"/>
              <w:rPr>
                <w:b/>
                <w:bCs/>
              </w:rPr>
            </w:pPr>
            <w:r w:rsidRPr="00E168E6">
              <w:rPr>
                <w:b/>
                <w:bCs/>
              </w:rPr>
              <w:t>$’000</w:t>
            </w:r>
          </w:p>
        </w:tc>
        <w:tc>
          <w:tcPr>
            <w:tcW w:w="1029" w:type="dxa"/>
            <w:tcBorders>
              <w:top w:val="single" w:sz="4" w:space="0" w:color="auto"/>
              <w:bottom w:val="single" w:sz="4" w:space="0" w:color="auto"/>
            </w:tcBorders>
          </w:tcPr>
          <w:p w14:paraId="63176A6F" w14:textId="77777777" w:rsidR="00CF0E2D" w:rsidRPr="004E341E" w:rsidRDefault="00CF0E2D" w:rsidP="00A60D4B">
            <w:pPr>
              <w:pStyle w:val="InitFigRBold"/>
            </w:pPr>
            <w:r w:rsidRPr="004E341E">
              <w:t>Total</w:t>
            </w:r>
          </w:p>
          <w:p w14:paraId="145B01C3" w14:textId="77777777" w:rsidR="00CF0E2D" w:rsidRPr="004E341E" w:rsidRDefault="00CF0E2D" w:rsidP="00A60D4B">
            <w:pPr>
              <w:pStyle w:val="InitFigBR"/>
            </w:pPr>
            <w:r w:rsidRPr="004E341E">
              <w:t>$’000</w:t>
            </w:r>
          </w:p>
        </w:tc>
      </w:tr>
      <w:tr w:rsidR="00CF0E2D" w:rsidRPr="00750793" w14:paraId="789F697D" w14:textId="77777777" w:rsidTr="00A60D4B">
        <w:trPr>
          <w:cantSplit/>
          <w:jc w:val="center"/>
        </w:trPr>
        <w:tc>
          <w:tcPr>
            <w:tcW w:w="3652" w:type="dxa"/>
            <w:tcBorders>
              <w:top w:val="single" w:sz="4" w:space="0" w:color="auto"/>
            </w:tcBorders>
          </w:tcPr>
          <w:p w14:paraId="1F74F89B" w14:textId="77777777" w:rsidR="00CF0E2D" w:rsidRPr="00F13FAB" w:rsidRDefault="00CF0E2D" w:rsidP="00A60D4B">
            <w:pPr>
              <w:pStyle w:val="InitTextL"/>
              <w:ind w:left="321" w:hanging="321"/>
            </w:pPr>
            <w:r w:rsidRPr="00882BE2">
              <w:t>Expenses</w:t>
            </w:r>
          </w:p>
        </w:tc>
        <w:tc>
          <w:tcPr>
            <w:tcW w:w="1179" w:type="dxa"/>
            <w:tcBorders>
              <w:top w:val="single" w:sz="4" w:space="0" w:color="auto"/>
            </w:tcBorders>
          </w:tcPr>
          <w:p w14:paraId="65720C27" w14:textId="77777777" w:rsidR="00CF0E2D" w:rsidRPr="00424DA4" w:rsidRDefault="00CF0E2D" w:rsidP="00A60D4B">
            <w:pPr>
              <w:pStyle w:val="InitFigR"/>
            </w:pPr>
            <w:r>
              <w:t>509</w:t>
            </w:r>
          </w:p>
        </w:tc>
        <w:tc>
          <w:tcPr>
            <w:tcW w:w="1041" w:type="dxa"/>
            <w:tcBorders>
              <w:top w:val="single" w:sz="4" w:space="0" w:color="auto"/>
            </w:tcBorders>
          </w:tcPr>
          <w:p w14:paraId="63492DB3" w14:textId="77777777" w:rsidR="00CF0E2D" w:rsidRPr="00424DA4" w:rsidRDefault="00CF0E2D" w:rsidP="00A60D4B">
            <w:pPr>
              <w:pStyle w:val="InitFigR"/>
            </w:pPr>
            <w:r>
              <w:t>0</w:t>
            </w:r>
          </w:p>
        </w:tc>
        <w:tc>
          <w:tcPr>
            <w:tcW w:w="1029" w:type="dxa"/>
            <w:tcBorders>
              <w:top w:val="single" w:sz="4" w:space="0" w:color="auto"/>
            </w:tcBorders>
          </w:tcPr>
          <w:p w14:paraId="096B1DB2" w14:textId="77777777" w:rsidR="00CF0E2D" w:rsidRPr="00424DA4" w:rsidRDefault="00CF0E2D" w:rsidP="00A60D4B">
            <w:pPr>
              <w:pStyle w:val="InitFigR"/>
            </w:pPr>
            <w:r>
              <w:t>0</w:t>
            </w:r>
          </w:p>
        </w:tc>
        <w:tc>
          <w:tcPr>
            <w:tcW w:w="1029" w:type="dxa"/>
            <w:tcBorders>
              <w:top w:val="single" w:sz="4" w:space="0" w:color="auto"/>
            </w:tcBorders>
          </w:tcPr>
          <w:p w14:paraId="6D5EFE31" w14:textId="77777777" w:rsidR="00CF0E2D" w:rsidRPr="00424DA4" w:rsidRDefault="00CF0E2D" w:rsidP="00A60D4B">
            <w:pPr>
              <w:pStyle w:val="InitFigR"/>
            </w:pPr>
            <w:r>
              <w:t>0</w:t>
            </w:r>
          </w:p>
        </w:tc>
        <w:tc>
          <w:tcPr>
            <w:tcW w:w="1029" w:type="dxa"/>
            <w:tcBorders>
              <w:top w:val="single" w:sz="4" w:space="0" w:color="auto"/>
            </w:tcBorders>
          </w:tcPr>
          <w:p w14:paraId="704A9768" w14:textId="77777777" w:rsidR="00CF0E2D" w:rsidRPr="00424DA4" w:rsidRDefault="00CF0E2D" w:rsidP="00A60D4B">
            <w:pPr>
              <w:pStyle w:val="InitFigBR"/>
            </w:pPr>
            <w:r>
              <w:t>509</w:t>
            </w:r>
          </w:p>
        </w:tc>
      </w:tr>
      <w:tr w:rsidR="00CF0E2D" w:rsidRPr="00750793" w14:paraId="3E3DACD4" w14:textId="77777777" w:rsidTr="00A60D4B">
        <w:trPr>
          <w:cantSplit/>
          <w:jc w:val="center"/>
        </w:trPr>
        <w:tc>
          <w:tcPr>
            <w:tcW w:w="3652" w:type="dxa"/>
            <w:tcBorders>
              <w:bottom w:val="single" w:sz="4" w:space="0" w:color="auto"/>
            </w:tcBorders>
          </w:tcPr>
          <w:p w14:paraId="169ED23B" w14:textId="77777777" w:rsidR="00CF0E2D" w:rsidRPr="00882BE2" w:rsidRDefault="00CF0E2D" w:rsidP="00A60D4B">
            <w:pPr>
              <w:pStyle w:val="InitTextL"/>
              <w:ind w:left="321" w:hanging="321"/>
            </w:pPr>
            <w:r>
              <w:t>Offset – Expenses – Provision</w:t>
            </w:r>
          </w:p>
        </w:tc>
        <w:tc>
          <w:tcPr>
            <w:tcW w:w="1179" w:type="dxa"/>
            <w:tcBorders>
              <w:bottom w:val="single" w:sz="4" w:space="0" w:color="auto"/>
            </w:tcBorders>
          </w:tcPr>
          <w:p w14:paraId="65F3D19C" w14:textId="77777777" w:rsidR="00CF0E2D" w:rsidRDefault="00CF0E2D" w:rsidP="00A60D4B">
            <w:pPr>
              <w:pStyle w:val="InitFigR"/>
            </w:pPr>
            <w:r>
              <w:t>-750</w:t>
            </w:r>
          </w:p>
        </w:tc>
        <w:tc>
          <w:tcPr>
            <w:tcW w:w="1041" w:type="dxa"/>
            <w:tcBorders>
              <w:bottom w:val="single" w:sz="4" w:space="0" w:color="auto"/>
            </w:tcBorders>
          </w:tcPr>
          <w:p w14:paraId="55BD4601" w14:textId="77777777" w:rsidR="00CF0E2D" w:rsidRDefault="00CF0E2D" w:rsidP="00A60D4B">
            <w:pPr>
              <w:pStyle w:val="InitFigR"/>
            </w:pPr>
            <w:r>
              <w:t>0</w:t>
            </w:r>
          </w:p>
        </w:tc>
        <w:tc>
          <w:tcPr>
            <w:tcW w:w="1029" w:type="dxa"/>
            <w:tcBorders>
              <w:bottom w:val="single" w:sz="4" w:space="0" w:color="auto"/>
            </w:tcBorders>
          </w:tcPr>
          <w:p w14:paraId="593389A0" w14:textId="77777777" w:rsidR="00CF0E2D" w:rsidRDefault="00CF0E2D" w:rsidP="00A60D4B">
            <w:pPr>
              <w:pStyle w:val="InitFigR"/>
            </w:pPr>
            <w:r>
              <w:t>0</w:t>
            </w:r>
          </w:p>
        </w:tc>
        <w:tc>
          <w:tcPr>
            <w:tcW w:w="1029" w:type="dxa"/>
            <w:tcBorders>
              <w:bottom w:val="single" w:sz="4" w:space="0" w:color="auto"/>
            </w:tcBorders>
          </w:tcPr>
          <w:p w14:paraId="2933A33B" w14:textId="77777777" w:rsidR="00CF0E2D" w:rsidRDefault="00CF0E2D" w:rsidP="00A60D4B">
            <w:pPr>
              <w:pStyle w:val="InitFigR"/>
            </w:pPr>
            <w:r>
              <w:t>0</w:t>
            </w:r>
          </w:p>
        </w:tc>
        <w:tc>
          <w:tcPr>
            <w:tcW w:w="1029" w:type="dxa"/>
            <w:tcBorders>
              <w:bottom w:val="single" w:sz="4" w:space="0" w:color="auto"/>
            </w:tcBorders>
          </w:tcPr>
          <w:p w14:paraId="3D09DBAF" w14:textId="77777777" w:rsidR="00CF0E2D" w:rsidRDefault="00CF0E2D" w:rsidP="00A60D4B">
            <w:pPr>
              <w:pStyle w:val="InitFigBR"/>
            </w:pPr>
            <w:r>
              <w:t>-750</w:t>
            </w:r>
          </w:p>
        </w:tc>
      </w:tr>
      <w:tr w:rsidR="00CF0E2D" w:rsidRPr="00750793" w14:paraId="6AA01A69" w14:textId="77777777" w:rsidTr="00A60D4B">
        <w:trPr>
          <w:cantSplit/>
          <w:jc w:val="center"/>
        </w:trPr>
        <w:tc>
          <w:tcPr>
            <w:tcW w:w="3652" w:type="dxa"/>
            <w:tcBorders>
              <w:top w:val="single" w:sz="4" w:space="0" w:color="auto"/>
              <w:bottom w:val="single" w:sz="4" w:space="0" w:color="auto"/>
            </w:tcBorders>
          </w:tcPr>
          <w:p w14:paraId="5F1C1C34" w14:textId="77777777" w:rsidR="00CF0E2D" w:rsidRDefault="00CF0E2D" w:rsidP="00A60D4B">
            <w:pPr>
              <w:pStyle w:val="InitTextL"/>
              <w:ind w:left="321" w:hanging="321"/>
            </w:pPr>
            <w:r>
              <w:rPr>
                <w:b/>
                <w:bCs/>
              </w:rPr>
              <w:t>Net cost of services</w:t>
            </w:r>
          </w:p>
        </w:tc>
        <w:tc>
          <w:tcPr>
            <w:tcW w:w="1179" w:type="dxa"/>
            <w:tcBorders>
              <w:top w:val="single" w:sz="4" w:space="0" w:color="auto"/>
              <w:bottom w:val="single" w:sz="4" w:space="0" w:color="auto"/>
            </w:tcBorders>
          </w:tcPr>
          <w:p w14:paraId="5472D2E7" w14:textId="77777777" w:rsidR="00CF0E2D" w:rsidRDefault="00CF0E2D" w:rsidP="00A60D4B">
            <w:pPr>
              <w:pStyle w:val="InitFigR"/>
            </w:pPr>
            <w:r>
              <w:rPr>
                <w:b/>
                <w:bCs/>
              </w:rPr>
              <w:t>-241</w:t>
            </w:r>
          </w:p>
        </w:tc>
        <w:tc>
          <w:tcPr>
            <w:tcW w:w="1041" w:type="dxa"/>
            <w:tcBorders>
              <w:top w:val="single" w:sz="4" w:space="0" w:color="auto"/>
              <w:bottom w:val="single" w:sz="4" w:space="0" w:color="auto"/>
            </w:tcBorders>
          </w:tcPr>
          <w:p w14:paraId="5411C3DB" w14:textId="77777777" w:rsidR="00CF0E2D" w:rsidRDefault="00CF0E2D" w:rsidP="00A60D4B">
            <w:pPr>
              <w:pStyle w:val="InitFigR"/>
            </w:pPr>
            <w:r>
              <w:rPr>
                <w:b/>
                <w:bCs/>
              </w:rPr>
              <w:t>0</w:t>
            </w:r>
          </w:p>
        </w:tc>
        <w:tc>
          <w:tcPr>
            <w:tcW w:w="1029" w:type="dxa"/>
            <w:tcBorders>
              <w:top w:val="single" w:sz="4" w:space="0" w:color="auto"/>
              <w:bottom w:val="single" w:sz="4" w:space="0" w:color="auto"/>
            </w:tcBorders>
          </w:tcPr>
          <w:p w14:paraId="48937D87" w14:textId="77777777" w:rsidR="00CF0E2D" w:rsidRDefault="00CF0E2D" w:rsidP="00A60D4B">
            <w:pPr>
              <w:pStyle w:val="InitFigR"/>
            </w:pPr>
            <w:r>
              <w:rPr>
                <w:b/>
                <w:bCs/>
              </w:rPr>
              <w:t>0</w:t>
            </w:r>
          </w:p>
        </w:tc>
        <w:tc>
          <w:tcPr>
            <w:tcW w:w="1029" w:type="dxa"/>
            <w:tcBorders>
              <w:top w:val="single" w:sz="4" w:space="0" w:color="auto"/>
              <w:bottom w:val="single" w:sz="4" w:space="0" w:color="auto"/>
            </w:tcBorders>
          </w:tcPr>
          <w:p w14:paraId="5D437D22" w14:textId="77777777" w:rsidR="00CF0E2D" w:rsidRDefault="00CF0E2D" w:rsidP="00A60D4B">
            <w:pPr>
              <w:pStyle w:val="InitFigR"/>
            </w:pPr>
            <w:r>
              <w:rPr>
                <w:b/>
                <w:bCs/>
              </w:rPr>
              <w:t>0</w:t>
            </w:r>
          </w:p>
        </w:tc>
        <w:tc>
          <w:tcPr>
            <w:tcW w:w="1029" w:type="dxa"/>
            <w:tcBorders>
              <w:top w:val="single" w:sz="4" w:space="0" w:color="auto"/>
              <w:bottom w:val="single" w:sz="4" w:space="0" w:color="auto"/>
            </w:tcBorders>
          </w:tcPr>
          <w:p w14:paraId="01245A12" w14:textId="77777777" w:rsidR="00CF0E2D" w:rsidRDefault="00CF0E2D" w:rsidP="00A60D4B">
            <w:pPr>
              <w:pStyle w:val="InitFigBR"/>
            </w:pPr>
            <w:r>
              <w:rPr>
                <w:bCs/>
              </w:rPr>
              <w:t>-241</w:t>
            </w:r>
          </w:p>
        </w:tc>
      </w:tr>
    </w:tbl>
    <w:p w14:paraId="1B221EFE" w14:textId="77777777" w:rsidR="00CF0E2D" w:rsidRPr="00312665" w:rsidRDefault="00CF0E2D" w:rsidP="00A60D4B">
      <w:pPr>
        <w:spacing w:before="200" w:after="200" w:line="240" w:lineRule="auto"/>
        <w:rPr>
          <w:rFonts w:ascii="Calibri" w:eastAsia="Times New Roman" w:hAnsi="Calibri" w:cs="Times New Roman"/>
          <w:sz w:val="24"/>
          <w:szCs w:val="20"/>
        </w:rPr>
      </w:pPr>
      <w:r w:rsidRPr="00312665">
        <w:rPr>
          <w:rFonts w:ascii="Calibri" w:eastAsia="Times New Roman" w:hAnsi="Calibri" w:cs="Times New Roman"/>
          <w:sz w:val="24"/>
          <w:szCs w:val="20"/>
        </w:rPr>
        <w:t>The Government will provide funding to the CSD pandemic response team to continue implementation of the ACT Government Community Recovery Roadmap as part of the ongoing whole-of-government response to the pandemic.</w:t>
      </w:r>
    </w:p>
    <w:p w14:paraId="070BA3FC" w14:textId="77777777" w:rsidR="00CF0E2D" w:rsidRPr="00312665" w:rsidRDefault="00CF0E2D" w:rsidP="00A60D4B">
      <w:pPr>
        <w:spacing w:before="200" w:after="200" w:line="240" w:lineRule="auto"/>
        <w:rPr>
          <w:rFonts w:ascii="Calibri" w:eastAsia="Times New Roman" w:hAnsi="Calibri" w:cs="Times New Roman"/>
          <w:sz w:val="24"/>
          <w:szCs w:val="20"/>
        </w:rPr>
      </w:pPr>
      <w:r w:rsidRPr="00312665">
        <w:rPr>
          <w:rFonts w:ascii="Calibri" w:eastAsia="Times New Roman" w:hAnsi="Calibri" w:cs="Times New Roman"/>
          <w:sz w:val="24"/>
          <w:szCs w:val="20"/>
        </w:rPr>
        <w:t>This initiative builds on recent Government actions in this area including the 2020-21 Health COVID-19 Response initiative which received funding of $1.078 million in the 2020 Economic and Fiscal Update, of which $750,000 was provisioned for 2021-22.</w:t>
      </w:r>
    </w:p>
    <w:p w14:paraId="649EA661" w14:textId="77777777" w:rsidR="00CF0E2D" w:rsidRDefault="00CF0E2D" w:rsidP="00A60D4B">
      <w:pPr>
        <w:spacing w:before="200" w:after="200" w:line="240" w:lineRule="auto"/>
        <w:rPr>
          <w:rFonts w:ascii="Calibri" w:eastAsia="Times New Roman" w:hAnsi="Calibri" w:cs="Times New Roman"/>
          <w:sz w:val="24"/>
          <w:szCs w:val="20"/>
        </w:rPr>
      </w:pPr>
      <w:r w:rsidRPr="00312665">
        <w:rPr>
          <w:rFonts w:ascii="Calibri" w:eastAsia="Times New Roman" w:hAnsi="Calibri" w:cs="Times New Roman"/>
          <w:sz w:val="24"/>
          <w:szCs w:val="20"/>
        </w:rPr>
        <w:t>This initiative contributes to the wellbeing domain of Living standards.</w:t>
      </w:r>
    </w:p>
    <w:p w14:paraId="3561BB0B" w14:textId="77777777" w:rsidR="00CF0E2D" w:rsidRDefault="00CF0E2D" w:rsidP="00A60D4B">
      <w:pPr>
        <w:spacing w:before="200" w:after="200" w:line="240" w:lineRule="auto"/>
        <w:rPr>
          <w:rFonts w:ascii="Calibri" w:eastAsia="Times New Roman" w:hAnsi="Calibri" w:cs="Times New Roman"/>
          <w:sz w:val="24"/>
          <w:szCs w:val="20"/>
        </w:rPr>
      </w:pPr>
    </w:p>
    <w:p w14:paraId="01516CBE" w14:textId="77777777" w:rsidR="00CF0E2D" w:rsidRDefault="00CF0E2D" w:rsidP="00A60D4B">
      <w:pPr>
        <w:pStyle w:val="Heading4"/>
        <w:rPr>
          <w:rFonts w:eastAsia="Times New Roman"/>
        </w:rPr>
      </w:pPr>
      <w:r>
        <w:rPr>
          <w:rFonts w:eastAsia="Times New Roman"/>
        </w:rPr>
        <w:t>COVID-19 response continuation – More support to improve food security</w:t>
      </w:r>
      <w:r>
        <w:rPr>
          <w:b w:val="0"/>
          <w:noProof/>
          <w:color w:val="999789"/>
          <w:sz w:val="32"/>
          <w:szCs w:val="24"/>
        </w:rPr>
        <w:drawing>
          <wp:anchor distT="0" distB="0" distL="114300" distR="114300" simplePos="0" relativeHeight="251777024" behindDoc="0" locked="1" layoutInCell="1" allowOverlap="1" wp14:anchorId="276717EC" wp14:editId="390D6F22">
            <wp:simplePos x="0" y="0"/>
            <wp:positionH relativeFrom="margin">
              <wp:align>right</wp:align>
            </wp:positionH>
            <wp:positionV relativeFrom="paragraph">
              <wp:posOffset>23495</wp:posOffset>
            </wp:positionV>
            <wp:extent cx="993140" cy="503555"/>
            <wp:effectExtent l="0" t="0" r="0" b="0"/>
            <wp:wrapSquare wrapText="bothSides"/>
            <wp:docPr id="91" name="Picture 91"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28AE3297" w14:textId="77777777" w:rsidTr="00A60D4B">
        <w:trPr>
          <w:cantSplit/>
          <w:jc w:val="center"/>
        </w:trPr>
        <w:tc>
          <w:tcPr>
            <w:tcW w:w="3652" w:type="dxa"/>
            <w:tcBorders>
              <w:top w:val="single" w:sz="4" w:space="0" w:color="auto"/>
              <w:bottom w:val="single" w:sz="4" w:space="0" w:color="auto"/>
            </w:tcBorders>
          </w:tcPr>
          <w:p w14:paraId="2BC55D09"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4D8EFBF6" w14:textId="77777777" w:rsidR="00CF0E2D" w:rsidRPr="00A1035B" w:rsidRDefault="00CF0E2D" w:rsidP="00A60D4B">
            <w:pPr>
              <w:pStyle w:val="InitFigR"/>
              <w:rPr>
                <w:b/>
                <w:bCs/>
              </w:rPr>
            </w:pPr>
            <w:r w:rsidRPr="00A1035B">
              <w:rPr>
                <w:b/>
                <w:bCs/>
              </w:rPr>
              <w:t>2021-22</w:t>
            </w:r>
          </w:p>
          <w:p w14:paraId="0164DB9C" w14:textId="77777777" w:rsidR="00CF0E2D" w:rsidRPr="00A1035B" w:rsidRDefault="00CF0E2D" w:rsidP="00A60D4B">
            <w:pPr>
              <w:pStyle w:val="InitFigR"/>
              <w:rPr>
                <w:b/>
                <w:bCs/>
              </w:rPr>
            </w:pPr>
            <w:r w:rsidRPr="00A1035B">
              <w:rPr>
                <w:b/>
                <w:bCs/>
              </w:rPr>
              <w:t>$’000</w:t>
            </w:r>
          </w:p>
        </w:tc>
        <w:tc>
          <w:tcPr>
            <w:tcW w:w="1041" w:type="dxa"/>
            <w:tcBorders>
              <w:top w:val="single" w:sz="4" w:space="0" w:color="auto"/>
              <w:bottom w:val="single" w:sz="4" w:space="0" w:color="auto"/>
            </w:tcBorders>
          </w:tcPr>
          <w:p w14:paraId="15499331" w14:textId="77777777" w:rsidR="00CF0E2D" w:rsidRPr="00A1035B" w:rsidRDefault="00CF0E2D" w:rsidP="00A60D4B">
            <w:pPr>
              <w:pStyle w:val="InitFigR"/>
              <w:rPr>
                <w:b/>
                <w:bCs/>
              </w:rPr>
            </w:pPr>
            <w:r w:rsidRPr="00A1035B">
              <w:rPr>
                <w:b/>
                <w:bCs/>
              </w:rPr>
              <w:t>2022-23</w:t>
            </w:r>
          </w:p>
          <w:p w14:paraId="42A07606" w14:textId="77777777" w:rsidR="00CF0E2D" w:rsidRPr="00A1035B" w:rsidRDefault="00CF0E2D" w:rsidP="00A60D4B">
            <w:pPr>
              <w:pStyle w:val="InitFigR"/>
              <w:rPr>
                <w:b/>
                <w:bCs/>
              </w:rPr>
            </w:pPr>
            <w:r w:rsidRPr="00A1035B">
              <w:rPr>
                <w:b/>
                <w:bCs/>
              </w:rPr>
              <w:t>$’000</w:t>
            </w:r>
          </w:p>
        </w:tc>
        <w:tc>
          <w:tcPr>
            <w:tcW w:w="1029" w:type="dxa"/>
            <w:tcBorders>
              <w:top w:val="single" w:sz="4" w:space="0" w:color="auto"/>
              <w:bottom w:val="single" w:sz="4" w:space="0" w:color="auto"/>
            </w:tcBorders>
          </w:tcPr>
          <w:p w14:paraId="20DCA481" w14:textId="77777777" w:rsidR="00CF0E2D" w:rsidRPr="00A1035B" w:rsidRDefault="00CF0E2D" w:rsidP="00A60D4B">
            <w:pPr>
              <w:pStyle w:val="InitFigR"/>
              <w:rPr>
                <w:b/>
                <w:bCs/>
              </w:rPr>
            </w:pPr>
            <w:r w:rsidRPr="00A1035B">
              <w:rPr>
                <w:b/>
                <w:bCs/>
              </w:rPr>
              <w:t>2023-24</w:t>
            </w:r>
          </w:p>
          <w:p w14:paraId="4B9F9C44" w14:textId="77777777" w:rsidR="00CF0E2D" w:rsidRPr="00A1035B" w:rsidRDefault="00CF0E2D" w:rsidP="00A60D4B">
            <w:pPr>
              <w:pStyle w:val="InitFigR"/>
              <w:rPr>
                <w:b/>
                <w:bCs/>
              </w:rPr>
            </w:pPr>
            <w:r w:rsidRPr="00A1035B">
              <w:rPr>
                <w:b/>
                <w:bCs/>
              </w:rPr>
              <w:t>$’000</w:t>
            </w:r>
          </w:p>
        </w:tc>
        <w:tc>
          <w:tcPr>
            <w:tcW w:w="1029" w:type="dxa"/>
            <w:tcBorders>
              <w:top w:val="single" w:sz="4" w:space="0" w:color="auto"/>
              <w:bottom w:val="single" w:sz="4" w:space="0" w:color="auto"/>
            </w:tcBorders>
          </w:tcPr>
          <w:p w14:paraId="453AA768" w14:textId="77777777" w:rsidR="00CF0E2D" w:rsidRPr="00A1035B" w:rsidRDefault="00CF0E2D" w:rsidP="00A60D4B">
            <w:pPr>
              <w:pStyle w:val="InitFigR"/>
              <w:rPr>
                <w:b/>
                <w:bCs/>
              </w:rPr>
            </w:pPr>
            <w:r w:rsidRPr="00A1035B">
              <w:rPr>
                <w:b/>
                <w:bCs/>
              </w:rPr>
              <w:t>2024-25</w:t>
            </w:r>
          </w:p>
          <w:p w14:paraId="76351E4A" w14:textId="77777777" w:rsidR="00CF0E2D" w:rsidRPr="00A1035B" w:rsidRDefault="00CF0E2D" w:rsidP="00A60D4B">
            <w:pPr>
              <w:pStyle w:val="InitFigR"/>
              <w:rPr>
                <w:b/>
                <w:bCs/>
              </w:rPr>
            </w:pPr>
            <w:r w:rsidRPr="00A1035B">
              <w:rPr>
                <w:b/>
                <w:bCs/>
              </w:rPr>
              <w:t>$’000</w:t>
            </w:r>
          </w:p>
        </w:tc>
        <w:tc>
          <w:tcPr>
            <w:tcW w:w="1029" w:type="dxa"/>
            <w:tcBorders>
              <w:top w:val="single" w:sz="4" w:space="0" w:color="auto"/>
              <w:bottom w:val="single" w:sz="4" w:space="0" w:color="auto"/>
            </w:tcBorders>
          </w:tcPr>
          <w:p w14:paraId="6ED7F118" w14:textId="77777777" w:rsidR="00CF0E2D" w:rsidRPr="004E341E" w:rsidRDefault="00CF0E2D" w:rsidP="00A60D4B">
            <w:pPr>
              <w:pStyle w:val="InitFigRBold"/>
            </w:pPr>
            <w:r w:rsidRPr="004E341E">
              <w:t>Total</w:t>
            </w:r>
          </w:p>
          <w:p w14:paraId="6D491B6E" w14:textId="77777777" w:rsidR="00CF0E2D" w:rsidRPr="004E341E" w:rsidRDefault="00CF0E2D" w:rsidP="00A60D4B">
            <w:pPr>
              <w:pStyle w:val="InitFigBR"/>
            </w:pPr>
            <w:r w:rsidRPr="004E341E">
              <w:t>$’000</w:t>
            </w:r>
          </w:p>
        </w:tc>
      </w:tr>
      <w:tr w:rsidR="00CF0E2D" w:rsidRPr="00750793" w14:paraId="176D7F3B" w14:textId="77777777" w:rsidTr="00A60D4B">
        <w:trPr>
          <w:cantSplit/>
          <w:jc w:val="center"/>
        </w:trPr>
        <w:tc>
          <w:tcPr>
            <w:tcW w:w="3652" w:type="dxa"/>
            <w:tcBorders>
              <w:top w:val="single" w:sz="4" w:space="0" w:color="auto"/>
            </w:tcBorders>
          </w:tcPr>
          <w:p w14:paraId="3DD7866D" w14:textId="77777777" w:rsidR="00CF0E2D" w:rsidRPr="00F13FAB" w:rsidRDefault="00CF0E2D" w:rsidP="00A60D4B">
            <w:pPr>
              <w:pStyle w:val="InitTextL"/>
              <w:ind w:left="321" w:hanging="321"/>
            </w:pPr>
            <w:r w:rsidRPr="00882BE2">
              <w:t>Expenses</w:t>
            </w:r>
          </w:p>
        </w:tc>
        <w:tc>
          <w:tcPr>
            <w:tcW w:w="1179" w:type="dxa"/>
            <w:tcBorders>
              <w:top w:val="single" w:sz="4" w:space="0" w:color="auto"/>
            </w:tcBorders>
          </w:tcPr>
          <w:p w14:paraId="104CC696" w14:textId="77777777" w:rsidR="00CF0E2D" w:rsidRPr="00424DA4" w:rsidRDefault="00CF0E2D" w:rsidP="00A60D4B">
            <w:pPr>
              <w:pStyle w:val="InitFigR"/>
            </w:pPr>
            <w:r>
              <w:t>240</w:t>
            </w:r>
          </w:p>
        </w:tc>
        <w:tc>
          <w:tcPr>
            <w:tcW w:w="1041" w:type="dxa"/>
            <w:tcBorders>
              <w:top w:val="single" w:sz="4" w:space="0" w:color="auto"/>
            </w:tcBorders>
          </w:tcPr>
          <w:p w14:paraId="6C6B2ACD" w14:textId="77777777" w:rsidR="00CF0E2D" w:rsidRPr="00424DA4" w:rsidRDefault="00CF0E2D" w:rsidP="00A60D4B">
            <w:pPr>
              <w:pStyle w:val="InitFigR"/>
            </w:pPr>
            <w:r>
              <w:t>78</w:t>
            </w:r>
          </w:p>
        </w:tc>
        <w:tc>
          <w:tcPr>
            <w:tcW w:w="1029" w:type="dxa"/>
            <w:tcBorders>
              <w:top w:val="single" w:sz="4" w:space="0" w:color="auto"/>
            </w:tcBorders>
          </w:tcPr>
          <w:p w14:paraId="6655F128" w14:textId="77777777" w:rsidR="00CF0E2D" w:rsidRPr="00424DA4" w:rsidRDefault="00CF0E2D" w:rsidP="00A60D4B">
            <w:pPr>
              <w:pStyle w:val="InitFigR"/>
            </w:pPr>
            <w:r>
              <w:t>78</w:t>
            </w:r>
          </w:p>
        </w:tc>
        <w:tc>
          <w:tcPr>
            <w:tcW w:w="1029" w:type="dxa"/>
            <w:tcBorders>
              <w:top w:val="single" w:sz="4" w:space="0" w:color="auto"/>
            </w:tcBorders>
          </w:tcPr>
          <w:p w14:paraId="0A1180F3" w14:textId="77777777" w:rsidR="00CF0E2D" w:rsidRPr="00424DA4" w:rsidRDefault="00CF0E2D" w:rsidP="00A60D4B">
            <w:pPr>
              <w:pStyle w:val="InitFigR"/>
            </w:pPr>
            <w:r>
              <w:t>79</w:t>
            </w:r>
          </w:p>
        </w:tc>
        <w:tc>
          <w:tcPr>
            <w:tcW w:w="1029" w:type="dxa"/>
            <w:tcBorders>
              <w:top w:val="single" w:sz="4" w:space="0" w:color="auto"/>
            </w:tcBorders>
          </w:tcPr>
          <w:p w14:paraId="5C8C8F97" w14:textId="77777777" w:rsidR="00CF0E2D" w:rsidRPr="00424DA4" w:rsidRDefault="00CF0E2D" w:rsidP="00A60D4B">
            <w:pPr>
              <w:pStyle w:val="InitFigBR"/>
            </w:pPr>
            <w:r>
              <w:t>475</w:t>
            </w:r>
          </w:p>
        </w:tc>
      </w:tr>
      <w:tr w:rsidR="00CF0E2D" w:rsidRPr="00750793" w14:paraId="02182B05" w14:textId="77777777" w:rsidTr="00A60D4B">
        <w:trPr>
          <w:cantSplit/>
          <w:jc w:val="center"/>
        </w:trPr>
        <w:tc>
          <w:tcPr>
            <w:tcW w:w="3652" w:type="dxa"/>
            <w:tcBorders>
              <w:bottom w:val="single" w:sz="4" w:space="0" w:color="auto"/>
            </w:tcBorders>
          </w:tcPr>
          <w:p w14:paraId="5EB6B912" w14:textId="77777777" w:rsidR="00CF0E2D" w:rsidRPr="00E91E8F" w:rsidRDefault="00CF0E2D" w:rsidP="00A60D4B">
            <w:pPr>
              <w:pStyle w:val="InitTextL"/>
              <w:ind w:left="321" w:hanging="321"/>
              <w:rPr>
                <w:highlight w:val="yellow"/>
              </w:rPr>
            </w:pPr>
            <w:r w:rsidRPr="00E91E8F">
              <w:t>Offset – Expenses</w:t>
            </w:r>
          </w:p>
        </w:tc>
        <w:tc>
          <w:tcPr>
            <w:tcW w:w="1179" w:type="dxa"/>
            <w:tcBorders>
              <w:bottom w:val="single" w:sz="4" w:space="0" w:color="auto"/>
            </w:tcBorders>
          </w:tcPr>
          <w:p w14:paraId="22E6E20D" w14:textId="77777777" w:rsidR="00CF0E2D" w:rsidRDefault="00CF0E2D" w:rsidP="00A60D4B">
            <w:pPr>
              <w:pStyle w:val="InitFigR"/>
            </w:pPr>
            <w:r>
              <w:t>-240</w:t>
            </w:r>
          </w:p>
        </w:tc>
        <w:tc>
          <w:tcPr>
            <w:tcW w:w="1041" w:type="dxa"/>
            <w:tcBorders>
              <w:bottom w:val="single" w:sz="4" w:space="0" w:color="auto"/>
            </w:tcBorders>
          </w:tcPr>
          <w:p w14:paraId="0E7ABF87" w14:textId="77777777" w:rsidR="00CF0E2D" w:rsidRDefault="00CF0E2D" w:rsidP="00A60D4B">
            <w:pPr>
              <w:pStyle w:val="InitFigR"/>
            </w:pPr>
            <w:r>
              <w:t>-78</w:t>
            </w:r>
          </w:p>
        </w:tc>
        <w:tc>
          <w:tcPr>
            <w:tcW w:w="1029" w:type="dxa"/>
            <w:tcBorders>
              <w:bottom w:val="single" w:sz="4" w:space="0" w:color="auto"/>
            </w:tcBorders>
          </w:tcPr>
          <w:p w14:paraId="1612575E" w14:textId="77777777" w:rsidR="00CF0E2D" w:rsidRDefault="00CF0E2D" w:rsidP="00A60D4B">
            <w:pPr>
              <w:pStyle w:val="InitFigR"/>
            </w:pPr>
            <w:r>
              <w:t>-78</w:t>
            </w:r>
          </w:p>
        </w:tc>
        <w:tc>
          <w:tcPr>
            <w:tcW w:w="1029" w:type="dxa"/>
            <w:tcBorders>
              <w:bottom w:val="single" w:sz="4" w:space="0" w:color="auto"/>
            </w:tcBorders>
          </w:tcPr>
          <w:p w14:paraId="58AE62E6" w14:textId="77777777" w:rsidR="00CF0E2D" w:rsidRDefault="00CF0E2D" w:rsidP="00A60D4B">
            <w:pPr>
              <w:pStyle w:val="InitFigR"/>
            </w:pPr>
            <w:r>
              <w:t>-79</w:t>
            </w:r>
          </w:p>
        </w:tc>
        <w:tc>
          <w:tcPr>
            <w:tcW w:w="1029" w:type="dxa"/>
            <w:tcBorders>
              <w:bottom w:val="single" w:sz="4" w:space="0" w:color="auto"/>
            </w:tcBorders>
          </w:tcPr>
          <w:p w14:paraId="351502C6" w14:textId="77777777" w:rsidR="00CF0E2D" w:rsidRDefault="00CF0E2D" w:rsidP="00A60D4B">
            <w:pPr>
              <w:pStyle w:val="InitFigBR"/>
            </w:pPr>
            <w:r>
              <w:t>-475</w:t>
            </w:r>
          </w:p>
        </w:tc>
      </w:tr>
      <w:tr w:rsidR="00CF0E2D" w:rsidRPr="00750793" w14:paraId="35F485B9" w14:textId="77777777" w:rsidTr="00A60D4B">
        <w:trPr>
          <w:cantSplit/>
          <w:jc w:val="center"/>
        </w:trPr>
        <w:tc>
          <w:tcPr>
            <w:tcW w:w="3652" w:type="dxa"/>
            <w:tcBorders>
              <w:top w:val="single" w:sz="4" w:space="0" w:color="auto"/>
              <w:bottom w:val="single" w:sz="4" w:space="0" w:color="auto"/>
            </w:tcBorders>
          </w:tcPr>
          <w:p w14:paraId="7436FE0F" w14:textId="77777777" w:rsidR="00CF0E2D" w:rsidRDefault="00CF0E2D" w:rsidP="00A60D4B">
            <w:pPr>
              <w:pStyle w:val="InitTextL"/>
              <w:ind w:left="321" w:hanging="321"/>
            </w:pPr>
            <w:r>
              <w:rPr>
                <w:b/>
                <w:bCs/>
              </w:rPr>
              <w:t>Net cost of services</w:t>
            </w:r>
          </w:p>
        </w:tc>
        <w:tc>
          <w:tcPr>
            <w:tcW w:w="1179" w:type="dxa"/>
            <w:tcBorders>
              <w:top w:val="single" w:sz="4" w:space="0" w:color="auto"/>
              <w:bottom w:val="single" w:sz="4" w:space="0" w:color="auto"/>
            </w:tcBorders>
          </w:tcPr>
          <w:p w14:paraId="7CBD7BD6" w14:textId="77777777" w:rsidR="00CF0E2D" w:rsidRDefault="00CF0E2D" w:rsidP="00A60D4B">
            <w:pPr>
              <w:pStyle w:val="InitFigR"/>
            </w:pPr>
            <w:r>
              <w:rPr>
                <w:b/>
                <w:bCs/>
              </w:rPr>
              <w:t>0</w:t>
            </w:r>
          </w:p>
        </w:tc>
        <w:tc>
          <w:tcPr>
            <w:tcW w:w="1041" w:type="dxa"/>
            <w:tcBorders>
              <w:top w:val="single" w:sz="4" w:space="0" w:color="auto"/>
              <w:bottom w:val="single" w:sz="4" w:space="0" w:color="auto"/>
            </w:tcBorders>
          </w:tcPr>
          <w:p w14:paraId="0C44B15D" w14:textId="77777777" w:rsidR="00CF0E2D" w:rsidRDefault="00CF0E2D" w:rsidP="00A60D4B">
            <w:pPr>
              <w:pStyle w:val="InitFigR"/>
            </w:pPr>
            <w:r>
              <w:rPr>
                <w:b/>
                <w:bCs/>
              </w:rPr>
              <w:t>0</w:t>
            </w:r>
          </w:p>
        </w:tc>
        <w:tc>
          <w:tcPr>
            <w:tcW w:w="1029" w:type="dxa"/>
            <w:tcBorders>
              <w:top w:val="single" w:sz="4" w:space="0" w:color="auto"/>
              <w:bottom w:val="single" w:sz="4" w:space="0" w:color="auto"/>
            </w:tcBorders>
          </w:tcPr>
          <w:p w14:paraId="4254F090" w14:textId="77777777" w:rsidR="00CF0E2D" w:rsidRDefault="00CF0E2D" w:rsidP="00A60D4B">
            <w:pPr>
              <w:pStyle w:val="InitFigR"/>
            </w:pPr>
            <w:r>
              <w:rPr>
                <w:b/>
                <w:bCs/>
              </w:rPr>
              <w:t>0</w:t>
            </w:r>
          </w:p>
        </w:tc>
        <w:tc>
          <w:tcPr>
            <w:tcW w:w="1029" w:type="dxa"/>
            <w:tcBorders>
              <w:top w:val="single" w:sz="4" w:space="0" w:color="auto"/>
              <w:bottom w:val="single" w:sz="4" w:space="0" w:color="auto"/>
            </w:tcBorders>
          </w:tcPr>
          <w:p w14:paraId="4F9D8B7E" w14:textId="77777777" w:rsidR="00CF0E2D" w:rsidRDefault="00CF0E2D" w:rsidP="00A60D4B">
            <w:pPr>
              <w:pStyle w:val="InitFigR"/>
            </w:pPr>
            <w:r>
              <w:rPr>
                <w:b/>
                <w:bCs/>
              </w:rPr>
              <w:t>0</w:t>
            </w:r>
          </w:p>
        </w:tc>
        <w:tc>
          <w:tcPr>
            <w:tcW w:w="1029" w:type="dxa"/>
            <w:tcBorders>
              <w:top w:val="single" w:sz="4" w:space="0" w:color="auto"/>
              <w:bottom w:val="single" w:sz="4" w:space="0" w:color="auto"/>
            </w:tcBorders>
          </w:tcPr>
          <w:p w14:paraId="69FD500A" w14:textId="77777777" w:rsidR="00CF0E2D" w:rsidRDefault="00CF0E2D" w:rsidP="00A60D4B">
            <w:pPr>
              <w:pStyle w:val="InitFigBR"/>
            </w:pPr>
            <w:r>
              <w:rPr>
                <w:bCs/>
              </w:rPr>
              <w:t>0</w:t>
            </w:r>
          </w:p>
        </w:tc>
      </w:tr>
    </w:tbl>
    <w:p w14:paraId="00BAC7E1" w14:textId="77777777" w:rsidR="00CF0E2D" w:rsidRDefault="00CF0E2D" w:rsidP="00A60D4B">
      <w:pPr>
        <w:pStyle w:val="Bbodytext"/>
      </w:pPr>
      <w:r w:rsidRPr="00232EB5">
        <w:t xml:space="preserve">The Government will </w:t>
      </w:r>
      <w:r>
        <w:t xml:space="preserve">support the transition of the Canberra Relief Network (CRN) to </w:t>
      </w:r>
      <w:r w:rsidRPr="00232EB5">
        <w:t>a community-led model to provide planning, data collection and a streamlined response to food security beyond the public health emergency of COVID-19</w:t>
      </w:r>
      <w:r>
        <w:t xml:space="preserve">. </w:t>
      </w:r>
    </w:p>
    <w:p w14:paraId="1892A2A9" w14:textId="77777777" w:rsidR="00CF0E2D" w:rsidRDefault="00CF0E2D" w:rsidP="00A60D4B">
      <w:pPr>
        <w:pStyle w:val="Bbodytext"/>
      </w:pPr>
      <w:r>
        <w:lastRenderedPageBreak/>
        <w:t xml:space="preserve">The Government established the CRN in March 2020 to ensure Canberrans would have access to regular household and food supplies during the pandemic. </w:t>
      </w:r>
    </w:p>
    <w:p w14:paraId="4C76EF68" w14:textId="77777777" w:rsidR="00CF0E2D" w:rsidRDefault="00CF0E2D" w:rsidP="00A60D4B">
      <w:pPr>
        <w:pStyle w:val="Bbodytext"/>
      </w:pPr>
      <w:r>
        <w:t>This initiative contributes to the wellbeing domains of Health and Living standards.</w:t>
      </w:r>
    </w:p>
    <w:p w14:paraId="09CB4F19" w14:textId="77777777" w:rsidR="00CF0E2D" w:rsidRPr="001900E3" w:rsidRDefault="00CF0E2D" w:rsidP="00A60D4B">
      <w:pPr>
        <w:pStyle w:val="Bbodytext"/>
      </w:pPr>
    </w:p>
    <w:p w14:paraId="57A639DD" w14:textId="77777777" w:rsidR="00CF0E2D" w:rsidRPr="006F07CD" w:rsidRDefault="00CF0E2D" w:rsidP="00A60D4B">
      <w:pPr>
        <w:pStyle w:val="Heading4"/>
        <w:rPr>
          <w:rFonts w:eastAsia="Times New Roman" w:cs="Times New Roman"/>
          <w:bCs/>
          <w:szCs w:val="26"/>
        </w:rPr>
      </w:pPr>
      <w:r w:rsidRPr="00312665">
        <w:rPr>
          <w:rFonts w:eastAsia="Times New Roman"/>
        </w:rPr>
        <w:t xml:space="preserve">COVID-19 </w:t>
      </w:r>
      <w:r>
        <w:rPr>
          <w:rFonts w:eastAsia="Times New Roman" w:cs="Times New Roman"/>
          <w:bCs/>
          <w:szCs w:val="26"/>
        </w:rPr>
        <w:t>r</w:t>
      </w:r>
      <w:r w:rsidRPr="00312665">
        <w:rPr>
          <w:rFonts w:eastAsia="Times New Roman" w:cs="Times New Roman"/>
          <w:bCs/>
          <w:szCs w:val="26"/>
        </w:rPr>
        <w:t xml:space="preserve">esponse </w:t>
      </w:r>
      <w:r>
        <w:rPr>
          <w:rFonts w:eastAsia="Times New Roman" w:cs="Times New Roman"/>
          <w:bCs/>
          <w:szCs w:val="26"/>
        </w:rPr>
        <w:t>c</w:t>
      </w:r>
      <w:r w:rsidRPr="00312665">
        <w:rPr>
          <w:rFonts w:eastAsia="Times New Roman" w:cs="Times New Roman"/>
          <w:bCs/>
          <w:szCs w:val="26"/>
        </w:rPr>
        <w:t xml:space="preserve">ontinuation </w:t>
      </w:r>
      <w:r>
        <w:rPr>
          <w:rFonts w:eastAsia="Times New Roman" w:cs="Times New Roman"/>
          <w:bCs/>
          <w:szCs w:val="26"/>
        </w:rPr>
        <w:t>–</w:t>
      </w:r>
      <w:r w:rsidRPr="00312665">
        <w:rPr>
          <w:rFonts w:eastAsia="Times New Roman" w:cs="Times New Roman"/>
          <w:bCs/>
          <w:szCs w:val="26"/>
        </w:rPr>
        <w:t xml:space="preserve"> </w:t>
      </w:r>
      <w:r w:rsidRPr="006F07CD">
        <w:rPr>
          <w:rFonts w:eastAsia="Times New Roman" w:cs="Times New Roman"/>
          <w:bCs/>
          <w:szCs w:val="26"/>
        </w:rPr>
        <w:t xml:space="preserve">Refugee, </w:t>
      </w:r>
      <w:r>
        <w:rPr>
          <w:rFonts w:eastAsia="Times New Roman" w:cs="Times New Roman"/>
          <w:bCs/>
          <w:szCs w:val="26"/>
        </w:rPr>
        <w:t>a</w:t>
      </w:r>
      <w:r w:rsidRPr="006F07CD">
        <w:rPr>
          <w:rFonts w:eastAsia="Times New Roman" w:cs="Times New Roman"/>
          <w:bCs/>
          <w:szCs w:val="26"/>
        </w:rPr>
        <w:t xml:space="preserve">sylum </w:t>
      </w:r>
      <w:r>
        <w:rPr>
          <w:rFonts w:eastAsia="Times New Roman" w:cs="Times New Roman"/>
          <w:bCs/>
          <w:szCs w:val="26"/>
        </w:rPr>
        <w:t>s</w:t>
      </w:r>
      <w:r w:rsidRPr="006F07CD">
        <w:rPr>
          <w:rFonts w:eastAsia="Times New Roman" w:cs="Times New Roman"/>
          <w:bCs/>
          <w:szCs w:val="26"/>
        </w:rPr>
        <w:t xml:space="preserve">eeker and </w:t>
      </w:r>
      <w:r>
        <w:rPr>
          <w:rFonts w:eastAsia="Times New Roman" w:cs="Times New Roman"/>
          <w:bCs/>
          <w:szCs w:val="26"/>
        </w:rPr>
        <w:t>h</w:t>
      </w:r>
      <w:r w:rsidRPr="006F07CD">
        <w:rPr>
          <w:rFonts w:eastAsia="Times New Roman" w:cs="Times New Roman"/>
          <w:bCs/>
          <w:szCs w:val="26"/>
        </w:rPr>
        <w:t xml:space="preserve">umanitarian </w:t>
      </w:r>
      <w:r>
        <w:rPr>
          <w:rFonts w:eastAsia="Times New Roman" w:cs="Times New Roman"/>
          <w:bCs/>
          <w:szCs w:val="26"/>
        </w:rPr>
        <w:t>s</w:t>
      </w:r>
      <w:r w:rsidRPr="006F07CD">
        <w:rPr>
          <w:rFonts w:eastAsia="Times New Roman" w:cs="Times New Roman"/>
          <w:bCs/>
          <w:szCs w:val="26"/>
        </w:rPr>
        <w:t xml:space="preserve">upport  </w:t>
      </w:r>
      <w:r>
        <w:rPr>
          <w:b w:val="0"/>
          <w:noProof/>
          <w:color w:val="999789"/>
          <w:sz w:val="32"/>
          <w:szCs w:val="24"/>
        </w:rPr>
        <w:drawing>
          <wp:anchor distT="0" distB="0" distL="114300" distR="114300" simplePos="0" relativeHeight="251774976" behindDoc="0" locked="1" layoutInCell="1" allowOverlap="1" wp14:anchorId="536D403F" wp14:editId="21468303">
            <wp:simplePos x="0" y="0"/>
            <wp:positionH relativeFrom="margin">
              <wp:posOffset>4495800</wp:posOffset>
            </wp:positionH>
            <wp:positionV relativeFrom="paragraph">
              <wp:posOffset>57785</wp:posOffset>
            </wp:positionV>
            <wp:extent cx="1212850" cy="503555"/>
            <wp:effectExtent l="0" t="0" r="6350" b="0"/>
            <wp:wrapSquare wrapText="bothSides"/>
            <wp:docPr id="89" name="Picture 89" descr="Icon representing the wellbeing domain of Living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con representing the wellbeing domain of Living standards"/>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1285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237D55BE" w14:textId="77777777" w:rsidTr="00A60D4B">
        <w:trPr>
          <w:cantSplit/>
          <w:jc w:val="center"/>
        </w:trPr>
        <w:tc>
          <w:tcPr>
            <w:tcW w:w="3652" w:type="dxa"/>
            <w:tcBorders>
              <w:top w:val="single" w:sz="4" w:space="0" w:color="auto"/>
              <w:bottom w:val="single" w:sz="4" w:space="0" w:color="auto"/>
            </w:tcBorders>
          </w:tcPr>
          <w:p w14:paraId="1F06AD93"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5E3DB585" w14:textId="77777777" w:rsidR="00CF0E2D" w:rsidRPr="00E168E6" w:rsidRDefault="00CF0E2D" w:rsidP="00A60D4B">
            <w:pPr>
              <w:pStyle w:val="InitFigR"/>
              <w:rPr>
                <w:b/>
                <w:bCs/>
              </w:rPr>
            </w:pPr>
            <w:r w:rsidRPr="00E168E6">
              <w:rPr>
                <w:b/>
                <w:bCs/>
              </w:rPr>
              <w:t>2021-22</w:t>
            </w:r>
          </w:p>
          <w:p w14:paraId="00699659" w14:textId="77777777" w:rsidR="00CF0E2D" w:rsidRPr="00E168E6" w:rsidRDefault="00CF0E2D" w:rsidP="00A60D4B">
            <w:pPr>
              <w:pStyle w:val="InitFigR"/>
              <w:rPr>
                <w:b/>
                <w:bCs/>
              </w:rPr>
            </w:pPr>
            <w:r w:rsidRPr="00E168E6">
              <w:rPr>
                <w:b/>
                <w:bCs/>
              </w:rPr>
              <w:t>$’000</w:t>
            </w:r>
          </w:p>
        </w:tc>
        <w:tc>
          <w:tcPr>
            <w:tcW w:w="1041" w:type="dxa"/>
            <w:tcBorders>
              <w:top w:val="single" w:sz="4" w:space="0" w:color="auto"/>
              <w:bottom w:val="single" w:sz="4" w:space="0" w:color="auto"/>
            </w:tcBorders>
          </w:tcPr>
          <w:p w14:paraId="6DB97E70" w14:textId="77777777" w:rsidR="00CF0E2D" w:rsidRPr="00E168E6" w:rsidRDefault="00CF0E2D" w:rsidP="00A60D4B">
            <w:pPr>
              <w:pStyle w:val="InitFigR"/>
              <w:rPr>
                <w:b/>
                <w:bCs/>
              </w:rPr>
            </w:pPr>
            <w:r w:rsidRPr="00E168E6">
              <w:rPr>
                <w:b/>
                <w:bCs/>
              </w:rPr>
              <w:t>2022-23</w:t>
            </w:r>
          </w:p>
          <w:p w14:paraId="0034920B" w14:textId="77777777" w:rsidR="00CF0E2D" w:rsidRPr="00E168E6" w:rsidRDefault="00CF0E2D" w:rsidP="00A60D4B">
            <w:pPr>
              <w:pStyle w:val="InitFigR"/>
              <w:rPr>
                <w:b/>
                <w:bCs/>
              </w:rPr>
            </w:pPr>
            <w:r w:rsidRPr="00E168E6">
              <w:rPr>
                <w:b/>
                <w:bCs/>
              </w:rPr>
              <w:t>$’000</w:t>
            </w:r>
          </w:p>
        </w:tc>
        <w:tc>
          <w:tcPr>
            <w:tcW w:w="1029" w:type="dxa"/>
            <w:tcBorders>
              <w:top w:val="single" w:sz="4" w:space="0" w:color="auto"/>
              <w:bottom w:val="single" w:sz="4" w:space="0" w:color="auto"/>
            </w:tcBorders>
          </w:tcPr>
          <w:p w14:paraId="7BD35B87" w14:textId="77777777" w:rsidR="00CF0E2D" w:rsidRPr="00E168E6" w:rsidRDefault="00CF0E2D" w:rsidP="00A60D4B">
            <w:pPr>
              <w:pStyle w:val="InitFigR"/>
              <w:rPr>
                <w:b/>
                <w:bCs/>
              </w:rPr>
            </w:pPr>
            <w:r w:rsidRPr="00E168E6">
              <w:rPr>
                <w:b/>
                <w:bCs/>
              </w:rPr>
              <w:t>2023-24</w:t>
            </w:r>
          </w:p>
          <w:p w14:paraId="766B3856" w14:textId="77777777" w:rsidR="00CF0E2D" w:rsidRPr="00E168E6" w:rsidRDefault="00CF0E2D" w:rsidP="00A60D4B">
            <w:pPr>
              <w:pStyle w:val="InitFigR"/>
              <w:rPr>
                <w:b/>
                <w:bCs/>
              </w:rPr>
            </w:pPr>
            <w:r w:rsidRPr="00E168E6">
              <w:rPr>
                <w:b/>
                <w:bCs/>
              </w:rPr>
              <w:t>$’000</w:t>
            </w:r>
          </w:p>
        </w:tc>
        <w:tc>
          <w:tcPr>
            <w:tcW w:w="1029" w:type="dxa"/>
            <w:tcBorders>
              <w:top w:val="single" w:sz="4" w:space="0" w:color="auto"/>
              <w:bottom w:val="single" w:sz="4" w:space="0" w:color="auto"/>
            </w:tcBorders>
          </w:tcPr>
          <w:p w14:paraId="0A5D31DB" w14:textId="77777777" w:rsidR="00CF0E2D" w:rsidRPr="00E168E6" w:rsidRDefault="00CF0E2D" w:rsidP="00A60D4B">
            <w:pPr>
              <w:pStyle w:val="InitFigR"/>
              <w:rPr>
                <w:b/>
                <w:bCs/>
              </w:rPr>
            </w:pPr>
            <w:r w:rsidRPr="00E168E6">
              <w:rPr>
                <w:b/>
                <w:bCs/>
              </w:rPr>
              <w:t>2024-25</w:t>
            </w:r>
          </w:p>
          <w:p w14:paraId="344E66B7" w14:textId="77777777" w:rsidR="00CF0E2D" w:rsidRPr="00E168E6" w:rsidRDefault="00CF0E2D" w:rsidP="00A60D4B">
            <w:pPr>
              <w:pStyle w:val="InitFigR"/>
              <w:rPr>
                <w:b/>
                <w:bCs/>
              </w:rPr>
            </w:pPr>
            <w:r w:rsidRPr="00E168E6">
              <w:rPr>
                <w:b/>
                <w:bCs/>
              </w:rPr>
              <w:t>$’000</w:t>
            </w:r>
          </w:p>
        </w:tc>
        <w:tc>
          <w:tcPr>
            <w:tcW w:w="1029" w:type="dxa"/>
            <w:tcBorders>
              <w:top w:val="single" w:sz="4" w:space="0" w:color="auto"/>
              <w:bottom w:val="single" w:sz="4" w:space="0" w:color="auto"/>
            </w:tcBorders>
          </w:tcPr>
          <w:p w14:paraId="3EC7513F" w14:textId="77777777" w:rsidR="00CF0E2D" w:rsidRPr="004E341E" w:rsidRDefault="00CF0E2D" w:rsidP="00A60D4B">
            <w:pPr>
              <w:pStyle w:val="InitFigRBold"/>
            </w:pPr>
            <w:r w:rsidRPr="004E341E">
              <w:t>Total</w:t>
            </w:r>
          </w:p>
          <w:p w14:paraId="7F84C4C2" w14:textId="77777777" w:rsidR="00CF0E2D" w:rsidRPr="004E341E" w:rsidRDefault="00CF0E2D" w:rsidP="00A60D4B">
            <w:pPr>
              <w:pStyle w:val="InitFigBR"/>
            </w:pPr>
            <w:r w:rsidRPr="004E341E">
              <w:t>$’000</w:t>
            </w:r>
          </w:p>
        </w:tc>
      </w:tr>
      <w:tr w:rsidR="00CF0E2D" w:rsidRPr="00750793" w14:paraId="1055713A" w14:textId="77777777" w:rsidTr="00A60D4B">
        <w:trPr>
          <w:cantSplit/>
          <w:jc w:val="center"/>
        </w:trPr>
        <w:tc>
          <w:tcPr>
            <w:tcW w:w="3652" w:type="dxa"/>
            <w:tcBorders>
              <w:top w:val="single" w:sz="4" w:space="0" w:color="auto"/>
              <w:bottom w:val="single" w:sz="4" w:space="0" w:color="auto"/>
            </w:tcBorders>
          </w:tcPr>
          <w:p w14:paraId="1A4F18E4"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677AA583" w14:textId="77777777" w:rsidR="00CF0E2D" w:rsidRPr="00D20B05" w:rsidRDefault="00CF0E2D" w:rsidP="00A60D4B">
            <w:pPr>
              <w:pStyle w:val="InitFigR"/>
              <w:rPr>
                <w:szCs w:val="24"/>
              </w:rPr>
            </w:pPr>
            <w:r w:rsidRPr="00D20B05">
              <w:rPr>
                <w:szCs w:val="24"/>
              </w:rPr>
              <w:t>120</w:t>
            </w:r>
          </w:p>
        </w:tc>
        <w:tc>
          <w:tcPr>
            <w:tcW w:w="1041" w:type="dxa"/>
            <w:tcBorders>
              <w:top w:val="single" w:sz="4" w:space="0" w:color="auto"/>
              <w:bottom w:val="single" w:sz="4" w:space="0" w:color="auto"/>
            </w:tcBorders>
          </w:tcPr>
          <w:p w14:paraId="672C85C1" w14:textId="77777777" w:rsidR="00CF0E2D" w:rsidRPr="00D20B05" w:rsidRDefault="00CF0E2D" w:rsidP="00A60D4B">
            <w:pPr>
              <w:pStyle w:val="InitFigR"/>
              <w:rPr>
                <w:szCs w:val="24"/>
              </w:rPr>
            </w:pPr>
            <w:r w:rsidRPr="00D20B05">
              <w:rPr>
                <w:szCs w:val="24"/>
              </w:rPr>
              <w:t>0</w:t>
            </w:r>
          </w:p>
        </w:tc>
        <w:tc>
          <w:tcPr>
            <w:tcW w:w="1029" w:type="dxa"/>
            <w:tcBorders>
              <w:top w:val="single" w:sz="4" w:space="0" w:color="auto"/>
              <w:bottom w:val="single" w:sz="4" w:space="0" w:color="auto"/>
            </w:tcBorders>
          </w:tcPr>
          <w:p w14:paraId="32141DEC" w14:textId="77777777" w:rsidR="00CF0E2D" w:rsidRPr="00D20B05" w:rsidRDefault="00CF0E2D" w:rsidP="00A60D4B">
            <w:pPr>
              <w:pStyle w:val="InitFigR"/>
              <w:rPr>
                <w:szCs w:val="24"/>
              </w:rPr>
            </w:pPr>
            <w:r w:rsidRPr="00D20B05">
              <w:rPr>
                <w:szCs w:val="24"/>
              </w:rPr>
              <w:t>0</w:t>
            </w:r>
          </w:p>
        </w:tc>
        <w:tc>
          <w:tcPr>
            <w:tcW w:w="1029" w:type="dxa"/>
            <w:tcBorders>
              <w:top w:val="single" w:sz="4" w:space="0" w:color="auto"/>
              <w:bottom w:val="single" w:sz="4" w:space="0" w:color="auto"/>
            </w:tcBorders>
          </w:tcPr>
          <w:p w14:paraId="48CCB449" w14:textId="77777777" w:rsidR="00CF0E2D" w:rsidRPr="00D20B05" w:rsidRDefault="00CF0E2D" w:rsidP="00A60D4B">
            <w:pPr>
              <w:pStyle w:val="InitFigR"/>
              <w:rPr>
                <w:szCs w:val="24"/>
              </w:rPr>
            </w:pPr>
            <w:r w:rsidRPr="00D20B05">
              <w:rPr>
                <w:szCs w:val="24"/>
              </w:rPr>
              <w:t>0</w:t>
            </w:r>
          </w:p>
        </w:tc>
        <w:tc>
          <w:tcPr>
            <w:tcW w:w="1029" w:type="dxa"/>
            <w:tcBorders>
              <w:top w:val="single" w:sz="4" w:space="0" w:color="auto"/>
              <w:bottom w:val="single" w:sz="4" w:space="0" w:color="auto"/>
            </w:tcBorders>
          </w:tcPr>
          <w:p w14:paraId="702D2E48" w14:textId="77777777" w:rsidR="00CF0E2D" w:rsidRPr="00424DA4" w:rsidRDefault="00CF0E2D" w:rsidP="00A60D4B">
            <w:pPr>
              <w:pStyle w:val="InitFigBR"/>
            </w:pPr>
            <w:r>
              <w:t>120</w:t>
            </w:r>
          </w:p>
        </w:tc>
      </w:tr>
    </w:tbl>
    <w:p w14:paraId="38E5754B" w14:textId="77777777" w:rsidR="00CF0E2D" w:rsidRPr="00294CFB" w:rsidRDefault="00CF0E2D" w:rsidP="00A60D4B">
      <w:pPr>
        <w:keepNext/>
        <w:keepLines/>
        <w:spacing w:before="200" w:after="200" w:line="240" w:lineRule="auto"/>
        <w:rPr>
          <w:rFonts w:ascii="Calibri" w:eastAsia="Times New Roman" w:hAnsi="Calibri" w:cs="Times New Roman"/>
          <w:sz w:val="24"/>
          <w:szCs w:val="20"/>
        </w:rPr>
      </w:pPr>
      <w:r w:rsidRPr="00294CFB">
        <w:rPr>
          <w:rFonts w:ascii="Calibri" w:eastAsia="Times New Roman" w:hAnsi="Calibri" w:cs="Times New Roman"/>
          <w:sz w:val="24"/>
          <w:szCs w:val="20"/>
        </w:rPr>
        <w:t>The Government will continue to support the Refugee, Asylum Seeker and Humanitarian program to provide financial assistance for clients who hold an ACT Services Access Card and to support the resettlement of refugees, asylum seekers and humanitarian visa entrants living in the ACT.</w:t>
      </w:r>
    </w:p>
    <w:p w14:paraId="55D19310" w14:textId="77777777" w:rsidR="00CF0E2D" w:rsidRPr="00294CFB" w:rsidRDefault="00CF0E2D" w:rsidP="00A60D4B">
      <w:pPr>
        <w:keepNext/>
        <w:keepLines/>
        <w:spacing w:before="200" w:after="200" w:line="240" w:lineRule="auto"/>
        <w:rPr>
          <w:rFonts w:ascii="Calibri" w:eastAsia="Times New Roman" w:hAnsi="Calibri" w:cs="Times New Roman"/>
          <w:sz w:val="24"/>
          <w:szCs w:val="20"/>
        </w:rPr>
      </w:pPr>
      <w:r w:rsidRPr="00294CFB">
        <w:rPr>
          <w:rFonts w:ascii="Calibri" w:eastAsia="Times New Roman" w:hAnsi="Calibri" w:cs="Times New Roman"/>
          <w:sz w:val="24"/>
          <w:szCs w:val="20"/>
        </w:rPr>
        <w:t>This initiative contributes to the wellbeing domain</w:t>
      </w:r>
      <w:r>
        <w:rPr>
          <w:rFonts w:ascii="Calibri" w:eastAsia="Times New Roman" w:hAnsi="Calibri" w:cs="Times New Roman"/>
          <w:sz w:val="24"/>
          <w:szCs w:val="20"/>
        </w:rPr>
        <w:t>s</w:t>
      </w:r>
      <w:r w:rsidRPr="00294CFB">
        <w:rPr>
          <w:rFonts w:ascii="Calibri" w:eastAsia="Times New Roman" w:hAnsi="Calibri" w:cs="Times New Roman"/>
          <w:sz w:val="24"/>
          <w:szCs w:val="20"/>
        </w:rPr>
        <w:t xml:space="preserve"> of Living standards and Economy. </w:t>
      </w:r>
    </w:p>
    <w:p w14:paraId="6403BE54" w14:textId="77777777" w:rsidR="00CF0E2D" w:rsidRDefault="00CF0E2D" w:rsidP="00A60D4B"/>
    <w:p w14:paraId="7EA97D78" w14:textId="77777777" w:rsidR="00CF0E2D" w:rsidRPr="00D015FE" w:rsidRDefault="00CF0E2D" w:rsidP="00A60D4B">
      <w:pPr>
        <w:pStyle w:val="Heading4"/>
        <w:rPr>
          <w:rFonts w:eastAsia="Times New Roman" w:cs="Times New Roman"/>
          <w:bCs/>
          <w:szCs w:val="26"/>
        </w:rPr>
      </w:pPr>
      <w:r w:rsidRPr="00D015FE">
        <w:rPr>
          <w:rFonts w:eastAsia="Times New Roman"/>
        </w:rPr>
        <w:t xml:space="preserve">Deliver a </w:t>
      </w:r>
      <w:r w:rsidRPr="00D015FE">
        <w:rPr>
          <w:rFonts w:eastAsia="Times New Roman" w:cs="Times New Roman"/>
          <w:bCs/>
          <w:szCs w:val="26"/>
        </w:rPr>
        <w:t xml:space="preserve">purpose-built facility with the Gugan Gulwan Youth Aboriginal Corporation </w:t>
      </w:r>
      <w:r>
        <w:rPr>
          <w:b w:val="0"/>
          <w:noProof/>
          <w:color w:val="999789"/>
          <w:sz w:val="32"/>
          <w:szCs w:val="24"/>
        </w:rPr>
        <w:drawing>
          <wp:anchor distT="0" distB="0" distL="114300" distR="114300" simplePos="0" relativeHeight="251779072" behindDoc="0" locked="1" layoutInCell="1" allowOverlap="1" wp14:anchorId="291CC090" wp14:editId="4F14302D">
            <wp:simplePos x="0" y="0"/>
            <wp:positionH relativeFrom="margin">
              <wp:align>right</wp:align>
            </wp:positionH>
            <wp:positionV relativeFrom="paragraph">
              <wp:posOffset>57150</wp:posOffset>
            </wp:positionV>
            <wp:extent cx="1216660" cy="503555"/>
            <wp:effectExtent l="0" t="0" r="2540" b="0"/>
            <wp:wrapSquare wrapText="bothSides"/>
            <wp:docPr id="93" name="Picture 93" descr="Icon representing the wellbeing domain of Identity and belo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 representing the wellbeing domain of Identity and belongi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1666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B1045" w14:paraId="09F67DEE" w14:textId="77777777" w:rsidTr="00A60D4B">
        <w:trPr>
          <w:cantSplit/>
          <w:jc w:val="center"/>
        </w:trPr>
        <w:tc>
          <w:tcPr>
            <w:tcW w:w="3652" w:type="dxa"/>
            <w:tcBorders>
              <w:top w:val="single" w:sz="4" w:space="0" w:color="auto"/>
              <w:bottom w:val="single" w:sz="4" w:space="0" w:color="auto"/>
            </w:tcBorders>
          </w:tcPr>
          <w:p w14:paraId="473F6672" w14:textId="77777777" w:rsidR="00CF0E2D" w:rsidRPr="009B1045" w:rsidRDefault="00CF0E2D" w:rsidP="00A60D4B">
            <w:pPr>
              <w:spacing w:after="0"/>
              <w:jc w:val="right"/>
              <w:rPr>
                <w:rFonts w:cs="Calibri"/>
                <w:color w:val="FFFFFF"/>
                <w:sz w:val="12"/>
              </w:rPr>
            </w:pPr>
            <w:r w:rsidRPr="009B1045">
              <w:rPr>
                <w:rFonts w:cs="Calibri"/>
                <w:color w:val="FFFFFF"/>
                <w:sz w:val="12"/>
              </w:rPr>
              <w:t>Empty Cell</w:t>
            </w:r>
          </w:p>
        </w:tc>
        <w:tc>
          <w:tcPr>
            <w:tcW w:w="1179" w:type="dxa"/>
            <w:tcBorders>
              <w:top w:val="single" w:sz="4" w:space="0" w:color="auto"/>
              <w:bottom w:val="single" w:sz="4" w:space="0" w:color="auto"/>
            </w:tcBorders>
          </w:tcPr>
          <w:p w14:paraId="6649F502" w14:textId="77777777" w:rsidR="00CF0E2D" w:rsidRPr="00A5376D" w:rsidRDefault="00CF0E2D" w:rsidP="00A60D4B">
            <w:pPr>
              <w:spacing w:after="0"/>
              <w:jc w:val="right"/>
              <w:rPr>
                <w:b/>
                <w:sz w:val="24"/>
                <w:szCs w:val="24"/>
              </w:rPr>
            </w:pPr>
            <w:r w:rsidRPr="00A5376D">
              <w:rPr>
                <w:b/>
                <w:sz w:val="24"/>
                <w:szCs w:val="24"/>
              </w:rPr>
              <w:t>2021-22</w:t>
            </w:r>
          </w:p>
          <w:p w14:paraId="3E494683" w14:textId="77777777" w:rsidR="00CF0E2D" w:rsidRPr="00A5376D" w:rsidRDefault="00CF0E2D" w:rsidP="00A60D4B">
            <w:pPr>
              <w:spacing w:after="0"/>
              <w:jc w:val="right"/>
              <w:rPr>
                <w:b/>
                <w:sz w:val="24"/>
                <w:szCs w:val="24"/>
              </w:rPr>
            </w:pPr>
            <w:r w:rsidRPr="00A5376D">
              <w:rPr>
                <w:b/>
                <w:sz w:val="24"/>
                <w:szCs w:val="24"/>
              </w:rPr>
              <w:t>$’000</w:t>
            </w:r>
          </w:p>
        </w:tc>
        <w:tc>
          <w:tcPr>
            <w:tcW w:w="1041" w:type="dxa"/>
            <w:tcBorders>
              <w:top w:val="single" w:sz="4" w:space="0" w:color="auto"/>
              <w:bottom w:val="single" w:sz="4" w:space="0" w:color="auto"/>
            </w:tcBorders>
          </w:tcPr>
          <w:p w14:paraId="1C22E1F0" w14:textId="77777777" w:rsidR="00CF0E2D" w:rsidRPr="00A5376D" w:rsidRDefault="00CF0E2D" w:rsidP="00A60D4B">
            <w:pPr>
              <w:spacing w:after="0"/>
              <w:jc w:val="right"/>
              <w:rPr>
                <w:b/>
                <w:sz w:val="24"/>
                <w:szCs w:val="24"/>
              </w:rPr>
            </w:pPr>
            <w:r w:rsidRPr="00A5376D">
              <w:rPr>
                <w:b/>
                <w:sz w:val="24"/>
                <w:szCs w:val="24"/>
              </w:rPr>
              <w:t>2022-23</w:t>
            </w:r>
          </w:p>
          <w:p w14:paraId="01427F92" w14:textId="77777777" w:rsidR="00CF0E2D" w:rsidRPr="00A5376D" w:rsidRDefault="00CF0E2D" w:rsidP="00A60D4B">
            <w:pPr>
              <w:spacing w:after="0"/>
              <w:jc w:val="right"/>
              <w:rPr>
                <w:b/>
                <w:sz w:val="24"/>
                <w:szCs w:val="24"/>
              </w:rPr>
            </w:pPr>
            <w:r w:rsidRPr="00A5376D">
              <w:rPr>
                <w:b/>
                <w:sz w:val="24"/>
                <w:szCs w:val="24"/>
              </w:rPr>
              <w:t>$’000</w:t>
            </w:r>
          </w:p>
        </w:tc>
        <w:tc>
          <w:tcPr>
            <w:tcW w:w="1029" w:type="dxa"/>
            <w:tcBorders>
              <w:top w:val="single" w:sz="4" w:space="0" w:color="auto"/>
              <w:bottom w:val="single" w:sz="4" w:space="0" w:color="auto"/>
            </w:tcBorders>
          </w:tcPr>
          <w:p w14:paraId="6F24AD2C" w14:textId="77777777" w:rsidR="00CF0E2D" w:rsidRPr="00A5376D" w:rsidRDefault="00CF0E2D" w:rsidP="00A60D4B">
            <w:pPr>
              <w:spacing w:after="0"/>
              <w:jc w:val="right"/>
              <w:rPr>
                <w:b/>
                <w:sz w:val="24"/>
                <w:szCs w:val="24"/>
              </w:rPr>
            </w:pPr>
            <w:r w:rsidRPr="00A5376D">
              <w:rPr>
                <w:b/>
                <w:sz w:val="24"/>
                <w:szCs w:val="24"/>
              </w:rPr>
              <w:t>2023-24</w:t>
            </w:r>
          </w:p>
          <w:p w14:paraId="6D146678" w14:textId="77777777" w:rsidR="00CF0E2D" w:rsidRPr="00A5376D" w:rsidRDefault="00CF0E2D" w:rsidP="00A60D4B">
            <w:pPr>
              <w:spacing w:after="0"/>
              <w:jc w:val="right"/>
              <w:rPr>
                <w:b/>
                <w:sz w:val="24"/>
                <w:szCs w:val="24"/>
              </w:rPr>
            </w:pPr>
            <w:r w:rsidRPr="00A5376D">
              <w:rPr>
                <w:b/>
                <w:sz w:val="24"/>
                <w:szCs w:val="24"/>
              </w:rPr>
              <w:t>$’000</w:t>
            </w:r>
          </w:p>
        </w:tc>
        <w:tc>
          <w:tcPr>
            <w:tcW w:w="1029" w:type="dxa"/>
            <w:tcBorders>
              <w:top w:val="single" w:sz="4" w:space="0" w:color="auto"/>
              <w:bottom w:val="single" w:sz="4" w:space="0" w:color="auto"/>
            </w:tcBorders>
          </w:tcPr>
          <w:p w14:paraId="42AC0E24" w14:textId="77777777" w:rsidR="00CF0E2D" w:rsidRPr="00A5376D" w:rsidRDefault="00CF0E2D" w:rsidP="00A60D4B">
            <w:pPr>
              <w:spacing w:after="0"/>
              <w:jc w:val="right"/>
              <w:rPr>
                <w:b/>
                <w:sz w:val="24"/>
                <w:szCs w:val="24"/>
              </w:rPr>
            </w:pPr>
            <w:r w:rsidRPr="00A5376D">
              <w:rPr>
                <w:b/>
                <w:sz w:val="24"/>
                <w:szCs w:val="24"/>
              </w:rPr>
              <w:t>2024-25</w:t>
            </w:r>
          </w:p>
          <w:p w14:paraId="5DA7615B" w14:textId="77777777" w:rsidR="00CF0E2D" w:rsidRPr="00A5376D" w:rsidRDefault="00CF0E2D" w:rsidP="00A60D4B">
            <w:pPr>
              <w:spacing w:after="0"/>
              <w:jc w:val="right"/>
              <w:rPr>
                <w:b/>
                <w:sz w:val="24"/>
                <w:szCs w:val="24"/>
              </w:rPr>
            </w:pPr>
            <w:r w:rsidRPr="00A5376D">
              <w:rPr>
                <w:b/>
                <w:sz w:val="24"/>
                <w:szCs w:val="24"/>
              </w:rPr>
              <w:t>$’000</w:t>
            </w:r>
          </w:p>
        </w:tc>
        <w:tc>
          <w:tcPr>
            <w:tcW w:w="1029" w:type="dxa"/>
            <w:tcBorders>
              <w:top w:val="single" w:sz="4" w:space="0" w:color="auto"/>
              <w:bottom w:val="single" w:sz="4" w:space="0" w:color="auto"/>
            </w:tcBorders>
          </w:tcPr>
          <w:p w14:paraId="794EB792" w14:textId="77777777" w:rsidR="00CF0E2D" w:rsidRPr="00A5376D" w:rsidRDefault="00CF0E2D" w:rsidP="00A60D4B">
            <w:pPr>
              <w:spacing w:after="0"/>
              <w:jc w:val="right"/>
              <w:rPr>
                <w:b/>
                <w:sz w:val="24"/>
                <w:szCs w:val="24"/>
              </w:rPr>
            </w:pPr>
            <w:r w:rsidRPr="00A5376D">
              <w:rPr>
                <w:b/>
                <w:sz w:val="24"/>
                <w:szCs w:val="24"/>
              </w:rPr>
              <w:t>Total</w:t>
            </w:r>
          </w:p>
          <w:p w14:paraId="5BE5623C" w14:textId="77777777" w:rsidR="00CF0E2D" w:rsidRPr="00A5376D" w:rsidRDefault="00CF0E2D" w:rsidP="00A60D4B">
            <w:pPr>
              <w:spacing w:after="0"/>
              <w:jc w:val="right"/>
              <w:rPr>
                <w:b/>
                <w:sz w:val="24"/>
                <w:szCs w:val="24"/>
              </w:rPr>
            </w:pPr>
            <w:r w:rsidRPr="00A5376D">
              <w:rPr>
                <w:b/>
                <w:sz w:val="24"/>
                <w:szCs w:val="24"/>
              </w:rPr>
              <w:t>$’000</w:t>
            </w:r>
          </w:p>
        </w:tc>
      </w:tr>
      <w:tr w:rsidR="00CF0E2D" w:rsidRPr="00750793" w14:paraId="290CDDEE" w14:textId="77777777" w:rsidTr="00A60D4B">
        <w:trPr>
          <w:cantSplit/>
          <w:jc w:val="center"/>
        </w:trPr>
        <w:tc>
          <w:tcPr>
            <w:tcW w:w="3652" w:type="dxa"/>
            <w:tcBorders>
              <w:top w:val="single" w:sz="4" w:space="0" w:color="auto"/>
            </w:tcBorders>
          </w:tcPr>
          <w:p w14:paraId="5049B6AD" w14:textId="77777777" w:rsidR="00CF0E2D" w:rsidRPr="003C7F94" w:rsidRDefault="00CF0E2D" w:rsidP="00A60D4B">
            <w:pPr>
              <w:pStyle w:val="InitTextL"/>
              <w:ind w:left="321" w:hanging="321"/>
              <w:rPr>
                <w:szCs w:val="24"/>
              </w:rPr>
            </w:pPr>
            <w:r w:rsidRPr="003C7F94">
              <w:rPr>
                <w:szCs w:val="24"/>
              </w:rPr>
              <w:t>Capital</w:t>
            </w:r>
          </w:p>
        </w:tc>
        <w:tc>
          <w:tcPr>
            <w:tcW w:w="1179" w:type="dxa"/>
            <w:tcBorders>
              <w:top w:val="single" w:sz="4" w:space="0" w:color="auto"/>
            </w:tcBorders>
          </w:tcPr>
          <w:p w14:paraId="36F1F2ED" w14:textId="77777777" w:rsidR="00CF0E2D" w:rsidRPr="00A5376D" w:rsidRDefault="00CF0E2D" w:rsidP="00A60D4B">
            <w:pPr>
              <w:pStyle w:val="InitFigR"/>
              <w:rPr>
                <w:szCs w:val="24"/>
              </w:rPr>
            </w:pPr>
            <w:r w:rsidRPr="00A5376D">
              <w:rPr>
                <w:szCs w:val="24"/>
              </w:rPr>
              <w:t>2,000</w:t>
            </w:r>
          </w:p>
        </w:tc>
        <w:tc>
          <w:tcPr>
            <w:tcW w:w="1041" w:type="dxa"/>
            <w:tcBorders>
              <w:top w:val="single" w:sz="4" w:space="0" w:color="auto"/>
            </w:tcBorders>
          </w:tcPr>
          <w:p w14:paraId="7B012D09" w14:textId="77777777" w:rsidR="00CF0E2D" w:rsidRPr="00A5376D" w:rsidRDefault="00CF0E2D" w:rsidP="00A60D4B">
            <w:pPr>
              <w:pStyle w:val="InitFigR"/>
              <w:rPr>
                <w:szCs w:val="24"/>
              </w:rPr>
            </w:pPr>
            <w:r w:rsidRPr="00A5376D">
              <w:rPr>
                <w:szCs w:val="24"/>
              </w:rPr>
              <w:t>0</w:t>
            </w:r>
          </w:p>
        </w:tc>
        <w:tc>
          <w:tcPr>
            <w:tcW w:w="1029" w:type="dxa"/>
            <w:tcBorders>
              <w:top w:val="single" w:sz="4" w:space="0" w:color="auto"/>
            </w:tcBorders>
          </w:tcPr>
          <w:p w14:paraId="7729A249" w14:textId="77777777" w:rsidR="00CF0E2D" w:rsidRPr="00A5376D" w:rsidRDefault="00CF0E2D" w:rsidP="00A60D4B">
            <w:pPr>
              <w:pStyle w:val="InitFigR"/>
              <w:rPr>
                <w:szCs w:val="24"/>
              </w:rPr>
            </w:pPr>
            <w:r w:rsidRPr="00A5376D">
              <w:rPr>
                <w:szCs w:val="24"/>
              </w:rPr>
              <w:t>0</w:t>
            </w:r>
          </w:p>
        </w:tc>
        <w:tc>
          <w:tcPr>
            <w:tcW w:w="1029" w:type="dxa"/>
            <w:tcBorders>
              <w:top w:val="single" w:sz="4" w:space="0" w:color="auto"/>
            </w:tcBorders>
          </w:tcPr>
          <w:p w14:paraId="1343B9A4" w14:textId="77777777" w:rsidR="00CF0E2D" w:rsidRPr="00A5376D" w:rsidRDefault="00CF0E2D" w:rsidP="00A60D4B">
            <w:pPr>
              <w:pStyle w:val="InitFigR"/>
              <w:rPr>
                <w:szCs w:val="24"/>
              </w:rPr>
            </w:pPr>
            <w:r w:rsidRPr="00A5376D">
              <w:rPr>
                <w:szCs w:val="24"/>
              </w:rPr>
              <w:t>0</w:t>
            </w:r>
          </w:p>
        </w:tc>
        <w:tc>
          <w:tcPr>
            <w:tcW w:w="1029" w:type="dxa"/>
            <w:tcBorders>
              <w:top w:val="single" w:sz="4" w:space="0" w:color="auto"/>
            </w:tcBorders>
          </w:tcPr>
          <w:p w14:paraId="28358A71" w14:textId="77777777" w:rsidR="00CF0E2D" w:rsidRPr="00A5376D" w:rsidRDefault="00CF0E2D" w:rsidP="00A60D4B">
            <w:pPr>
              <w:pStyle w:val="InitFigRBold"/>
              <w:rPr>
                <w:szCs w:val="24"/>
              </w:rPr>
            </w:pPr>
            <w:r w:rsidRPr="00A5376D">
              <w:rPr>
                <w:szCs w:val="24"/>
              </w:rPr>
              <w:t>2,000</w:t>
            </w:r>
          </w:p>
        </w:tc>
      </w:tr>
      <w:tr w:rsidR="00CF0E2D" w:rsidRPr="00750793" w14:paraId="70E3F269" w14:textId="77777777" w:rsidTr="00A60D4B">
        <w:trPr>
          <w:cantSplit/>
          <w:jc w:val="center"/>
        </w:trPr>
        <w:tc>
          <w:tcPr>
            <w:tcW w:w="3652" w:type="dxa"/>
          </w:tcPr>
          <w:p w14:paraId="6DAAB4DF" w14:textId="77777777" w:rsidR="00CF0E2D" w:rsidRPr="003C7F94" w:rsidRDefault="00CF0E2D" w:rsidP="00A60D4B">
            <w:pPr>
              <w:pStyle w:val="InitTextL"/>
              <w:ind w:left="321" w:hanging="321"/>
              <w:rPr>
                <w:szCs w:val="24"/>
              </w:rPr>
            </w:pPr>
            <w:r w:rsidRPr="003C7F94">
              <w:rPr>
                <w:szCs w:val="24"/>
              </w:rPr>
              <w:t>Capital – Provision</w:t>
            </w:r>
          </w:p>
        </w:tc>
        <w:tc>
          <w:tcPr>
            <w:tcW w:w="1179" w:type="dxa"/>
          </w:tcPr>
          <w:p w14:paraId="48E9BECE" w14:textId="77777777" w:rsidR="00CF0E2D" w:rsidRPr="00A5376D" w:rsidRDefault="00CF0E2D" w:rsidP="00A60D4B">
            <w:pPr>
              <w:pStyle w:val="InitFigR"/>
              <w:rPr>
                <w:szCs w:val="24"/>
              </w:rPr>
            </w:pPr>
            <w:r w:rsidRPr="00A5376D">
              <w:rPr>
                <w:szCs w:val="24"/>
              </w:rPr>
              <w:t>0</w:t>
            </w:r>
          </w:p>
        </w:tc>
        <w:tc>
          <w:tcPr>
            <w:tcW w:w="1041" w:type="dxa"/>
          </w:tcPr>
          <w:p w14:paraId="4A49BEF9" w14:textId="77777777" w:rsidR="00CF0E2D" w:rsidRPr="00A5376D" w:rsidRDefault="00CF0E2D" w:rsidP="00A60D4B">
            <w:pPr>
              <w:pStyle w:val="InitFigR"/>
              <w:rPr>
                <w:szCs w:val="24"/>
              </w:rPr>
            </w:pPr>
            <w:r w:rsidRPr="00A5376D">
              <w:rPr>
                <w:szCs w:val="24"/>
              </w:rPr>
              <w:t>8,886</w:t>
            </w:r>
          </w:p>
        </w:tc>
        <w:tc>
          <w:tcPr>
            <w:tcW w:w="1029" w:type="dxa"/>
          </w:tcPr>
          <w:p w14:paraId="0A304401" w14:textId="77777777" w:rsidR="00CF0E2D" w:rsidRPr="00A5376D" w:rsidRDefault="00CF0E2D" w:rsidP="00A60D4B">
            <w:pPr>
              <w:pStyle w:val="InitFigR"/>
              <w:rPr>
                <w:szCs w:val="24"/>
              </w:rPr>
            </w:pPr>
            <w:r w:rsidRPr="00A5376D">
              <w:rPr>
                <w:szCs w:val="24"/>
              </w:rPr>
              <w:t>4,000</w:t>
            </w:r>
          </w:p>
        </w:tc>
        <w:tc>
          <w:tcPr>
            <w:tcW w:w="1029" w:type="dxa"/>
          </w:tcPr>
          <w:p w14:paraId="78ADA344" w14:textId="77777777" w:rsidR="00CF0E2D" w:rsidRPr="00A5376D" w:rsidRDefault="00CF0E2D" w:rsidP="00A60D4B">
            <w:pPr>
              <w:pStyle w:val="InitFigR"/>
              <w:rPr>
                <w:szCs w:val="24"/>
              </w:rPr>
            </w:pPr>
            <w:r w:rsidRPr="00A5376D">
              <w:rPr>
                <w:szCs w:val="24"/>
              </w:rPr>
              <w:t>0</w:t>
            </w:r>
          </w:p>
        </w:tc>
        <w:tc>
          <w:tcPr>
            <w:tcW w:w="1029" w:type="dxa"/>
          </w:tcPr>
          <w:p w14:paraId="385D5DCA" w14:textId="77777777" w:rsidR="00CF0E2D" w:rsidRPr="00A5376D" w:rsidRDefault="00CF0E2D" w:rsidP="00A60D4B">
            <w:pPr>
              <w:pStyle w:val="InitFigRBold"/>
              <w:rPr>
                <w:szCs w:val="24"/>
              </w:rPr>
            </w:pPr>
            <w:r w:rsidRPr="00A5376D">
              <w:rPr>
                <w:szCs w:val="24"/>
              </w:rPr>
              <w:t>12,886</w:t>
            </w:r>
          </w:p>
        </w:tc>
      </w:tr>
      <w:tr w:rsidR="00CF0E2D" w:rsidRPr="00750793" w14:paraId="0319DFBE" w14:textId="77777777" w:rsidTr="00A60D4B">
        <w:trPr>
          <w:cantSplit/>
          <w:jc w:val="center"/>
        </w:trPr>
        <w:tc>
          <w:tcPr>
            <w:tcW w:w="3652" w:type="dxa"/>
            <w:tcBorders>
              <w:top w:val="single" w:sz="4" w:space="0" w:color="auto"/>
              <w:bottom w:val="single" w:sz="4" w:space="0" w:color="auto"/>
            </w:tcBorders>
          </w:tcPr>
          <w:p w14:paraId="73D792CA" w14:textId="447BD496" w:rsidR="00CF0E2D" w:rsidRPr="003C7F94" w:rsidRDefault="00B86042" w:rsidP="00A60D4B">
            <w:pPr>
              <w:pStyle w:val="InitTextL"/>
              <w:ind w:left="321" w:hanging="321"/>
              <w:rPr>
                <w:b/>
                <w:szCs w:val="24"/>
              </w:rPr>
            </w:pPr>
            <w:r>
              <w:rPr>
                <w:b/>
                <w:szCs w:val="24"/>
              </w:rPr>
              <w:t>Total capital</w:t>
            </w:r>
          </w:p>
        </w:tc>
        <w:tc>
          <w:tcPr>
            <w:tcW w:w="1179" w:type="dxa"/>
            <w:tcBorders>
              <w:top w:val="single" w:sz="4" w:space="0" w:color="auto"/>
              <w:bottom w:val="single" w:sz="4" w:space="0" w:color="auto"/>
            </w:tcBorders>
          </w:tcPr>
          <w:p w14:paraId="302737E9" w14:textId="77777777" w:rsidR="00CF0E2D" w:rsidRPr="00A5376D" w:rsidRDefault="00CF0E2D" w:rsidP="00A60D4B">
            <w:pPr>
              <w:pStyle w:val="InitFigR"/>
              <w:rPr>
                <w:b/>
                <w:szCs w:val="24"/>
              </w:rPr>
            </w:pPr>
            <w:r w:rsidRPr="00A5376D">
              <w:rPr>
                <w:b/>
                <w:szCs w:val="24"/>
              </w:rPr>
              <w:t>2,000</w:t>
            </w:r>
          </w:p>
        </w:tc>
        <w:tc>
          <w:tcPr>
            <w:tcW w:w="1041" w:type="dxa"/>
            <w:tcBorders>
              <w:top w:val="single" w:sz="4" w:space="0" w:color="auto"/>
              <w:bottom w:val="single" w:sz="4" w:space="0" w:color="auto"/>
            </w:tcBorders>
          </w:tcPr>
          <w:p w14:paraId="6B98A81B" w14:textId="77777777" w:rsidR="00CF0E2D" w:rsidRPr="00A5376D" w:rsidRDefault="00CF0E2D" w:rsidP="00A60D4B">
            <w:pPr>
              <w:pStyle w:val="InitFigR"/>
              <w:rPr>
                <w:b/>
                <w:szCs w:val="24"/>
              </w:rPr>
            </w:pPr>
            <w:r w:rsidRPr="00A5376D">
              <w:rPr>
                <w:b/>
                <w:szCs w:val="24"/>
              </w:rPr>
              <w:t>8,886</w:t>
            </w:r>
          </w:p>
        </w:tc>
        <w:tc>
          <w:tcPr>
            <w:tcW w:w="1029" w:type="dxa"/>
            <w:tcBorders>
              <w:top w:val="single" w:sz="4" w:space="0" w:color="auto"/>
              <w:bottom w:val="single" w:sz="4" w:space="0" w:color="auto"/>
            </w:tcBorders>
          </w:tcPr>
          <w:p w14:paraId="5A75F211" w14:textId="77777777" w:rsidR="00CF0E2D" w:rsidRPr="00A5376D" w:rsidRDefault="00CF0E2D" w:rsidP="00A60D4B">
            <w:pPr>
              <w:pStyle w:val="InitFigR"/>
              <w:rPr>
                <w:b/>
                <w:szCs w:val="24"/>
              </w:rPr>
            </w:pPr>
            <w:r w:rsidRPr="00A5376D">
              <w:rPr>
                <w:b/>
                <w:szCs w:val="24"/>
              </w:rPr>
              <w:t>4,000</w:t>
            </w:r>
          </w:p>
        </w:tc>
        <w:tc>
          <w:tcPr>
            <w:tcW w:w="1029" w:type="dxa"/>
            <w:tcBorders>
              <w:top w:val="single" w:sz="4" w:space="0" w:color="auto"/>
              <w:bottom w:val="single" w:sz="4" w:space="0" w:color="auto"/>
            </w:tcBorders>
          </w:tcPr>
          <w:p w14:paraId="79D4637E" w14:textId="77777777" w:rsidR="00CF0E2D" w:rsidRPr="00A5376D" w:rsidRDefault="00CF0E2D" w:rsidP="00A60D4B">
            <w:pPr>
              <w:pStyle w:val="InitFigR"/>
              <w:rPr>
                <w:b/>
                <w:szCs w:val="24"/>
              </w:rPr>
            </w:pPr>
            <w:r w:rsidRPr="00A5376D">
              <w:rPr>
                <w:b/>
                <w:szCs w:val="24"/>
              </w:rPr>
              <w:t>0</w:t>
            </w:r>
          </w:p>
        </w:tc>
        <w:tc>
          <w:tcPr>
            <w:tcW w:w="1029" w:type="dxa"/>
            <w:tcBorders>
              <w:top w:val="single" w:sz="4" w:space="0" w:color="auto"/>
              <w:bottom w:val="single" w:sz="4" w:space="0" w:color="auto"/>
            </w:tcBorders>
          </w:tcPr>
          <w:p w14:paraId="63F9D980" w14:textId="77777777" w:rsidR="00CF0E2D" w:rsidRPr="00A5376D" w:rsidRDefault="00CF0E2D" w:rsidP="00A60D4B">
            <w:pPr>
              <w:pStyle w:val="InitFigRBold"/>
              <w:rPr>
                <w:szCs w:val="24"/>
              </w:rPr>
            </w:pPr>
            <w:r w:rsidRPr="00A5376D">
              <w:rPr>
                <w:szCs w:val="24"/>
              </w:rPr>
              <w:t>14,886</w:t>
            </w:r>
          </w:p>
        </w:tc>
      </w:tr>
      <w:tr w:rsidR="00CF0E2D" w:rsidRPr="00750793" w14:paraId="09016292" w14:textId="77777777" w:rsidTr="00A60D4B">
        <w:trPr>
          <w:cantSplit/>
          <w:jc w:val="center"/>
        </w:trPr>
        <w:tc>
          <w:tcPr>
            <w:tcW w:w="3652" w:type="dxa"/>
            <w:tcBorders>
              <w:top w:val="single" w:sz="4" w:space="0" w:color="auto"/>
            </w:tcBorders>
          </w:tcPr>
          <w:p w14:paraId="12A92024" w14:textId="77777777" w:rsidR="00CF0E2D" w:rsidRPr="003C7F94" w:rsidRDefault="00CF0E2D" w:rsidP="00A60D4B">
            <w:pPr>
              <w:pStyle w:val="InitTextL"/>
              <w:ind w:left="321" w:hanging="321"/>
              <w:rPr>
                <w:szCs w:val="24"/>
              </w:rPr>
            </w:pPr>
            <w:r w:rsidRPr="003C7F94">
              <w:rPr>
                <w:szCs w:val="24"/>
              </w:rPr>
              <w:t>Depreciation</w:t>
            </w:r>
          </w:p>
        </w:tc>
        <w:tc>
          <w:tcPr>
            <w:tcW w:w="1179" w:type="dxa"/>
            <w:tcBorders>
              <w:top w:val="single" w:sz="4" w:space="0" w:color="auto"/>
            </w:tcBorders>
          </w:tcPr>
          <w:p w14:paraId="7D42CDAF" w14:textId="77777777" w:rsidR="00CF0E2D" w:rsidRPr="00A5376D" w:rsidRDefault="00CF0E2D" w:rsidP="00A60D4B">
            <w:pPr>
              <w:pStyle w:val="InitFigR"/>
              <w:rPr>
                <w:szCs w:val="24"/>
              </w:rPr>
            </w:pPr>
            <w:r w:rsidRPr="00A5376D">
              <w:rPr>
                <w:szCs w:val="24"/>
              </w:rPr>
              <w:t>0</w:t>
            </w:r>
          </w:p>
        </w:tc>
        <w:tc>
          <w:tcPr>
            <w:tcW w:w="1041" w:type="dxa"/>
            <w:tcBorders>
              <w:top w:val="single" w:sz="4" w:space="0" w:color="auto"/>
            </w:tcBorders>
          </w:tcPr>
          <w:p w14:paraId="06D9A3CB" w14:textId="77777777" w:rsidR="00CF0E2D" w:rsidRPr="00A5376D" w:rsidRDefault="00CF0E2D" w:rsidP="00A60D4B">
            <w:pPr>
              <w:pStyle w:val="InitFigR"/>
              <w:rPr>
                <w:szCs w:val="24"/>
              </w:rPr>
            </w:pPr>
            <w:r w:rsidRPr="00A5376D">
              <w:rPr>
                <w:szCs w:val="24"/>
              </w:rPr>
              <w:t>0</w:t>
            </w:r>
          </w:p>
        </w:tc>
        <w:tc>
          <w:tcPr>
            <w:tcW w:w="1029" w:type="dxa"/>
            <w:tcBorders>
              <w:top w:val="single" w:sz="4" w:space="0" w:color="auto"/>
            </w:tcBorders>
          </w:tcPr>
          <w:p w14:paraId="666D67E7" w14:textId="77777777" w:rsidR="00CF0E2D" w:rsidRPr="00A5376D" w:rsidRDefault="00CF0E2D" w:rsidP="00A60D4B">
            <w:pPr>
              <w:pStyle w:val="InitFigR"/>
              <w:rPr>
                <w:szCs w:val="24"/>
              </w:rPr>
            </w:pPr>
            <w:r w:rsidRPr="00A5376D">
              <w:rPr>
                <w:szCs w:val="24"/>
              </w:rPr>
              <w:t>415</w:t>
            </w:r>
          </w:p>
        </w:tc>
        <w:tc>
          <w:tcPr>
            <w:tcW w:w="1029" w:type="dxa"/>
            <w:tcBorders>
              <w:top w:val="single" w:sz="4" w:space="0" w:color="auto"/>
            </w:tcBorders>
          </w:tcPr>
          <w:p w14:paraId="0E37FBDD" w14:textId="77777777" w:rsidR="00CF0E2D" w:rsidRPr="00A5376D" w:rsidRDefault="00CF0E2D" w:rsidP="00A60D4B">
            <w:pPr>
              <w:pStyle w:val="InitFigR"/>
              <w:rPr>
                <w:szCs w:val="24"/>
              </w:rPr>
            </w:pPr>
            <w:r w:rsidRPr="00A5376D">
              <w:rPr>
                <w:szCs w:val="24"/>
              </w:rPr>
              <w:t>415</w:t>
            </w:r>
          </w:p>
        </w:tc>
        <w:tc>
          <w:tcPr>
            <w:tcW w:w="1029" w:type="dxa"/>
            <w:tcBorders>
              <w:top w:val="single" w:sz="4" w:space="0" w:color="auto"/>
            </w:tcBorders>
          </w:tcPr>
          <w:p w14:paraId="14C5F2D4" w14:textId="77777777" w:rsidR="00CF0E2D" w:rsidRPr="00A5376D" w:rsidRDefault="00CF0E2D" w:rsidP="00A60D4B">
            <w:pPr>
              <w:pStyle w:val="InitFigRBold"/>
              <w:rPr>
                <w:szCs w:val="24"/>
              </w:rPr>
            </w:pPr>
            <w:r w:rsidRPr="00A5376D">
              <w:rPr>
                <w:szCs w:val="24"/>
              </w:rPr>
              <w:t>830</w:t>
            </w:r>
          </w:p>
        </w:tc>
      </w:tr>
      <w:tr w:rsidR="00CF0E2D" w:rsidRPr="009B1045" w14:paraId="3C84B09C" w14:textId="77777777" w:rsidTr="00A60D4B">
        <w:trPr>
          <w:cantSplit/>
          <w:jc w:val="center"/>
        </w:trPr>
        <w:tc>
          <w:tcPr>
            <w:tcW w:w="3652" w:type="dxa"/>
            <w:tcBorders>
              <w:bottom w:val="single" w:sz="4" w:space="0" w:color="auto"/>
            </w:tcBorders>
          </w:tcPr>
          <w:p w14:paraId="152F2D52" w14:textId="77777777" w:rsidR="00CF0E2D" w:rsidRPr="003C7F94" w:rsidRDefault="00CF0E2D" w:rsidP="00A60D4B">
            <w:pPr>
              <w:spacing w:after="0"/>
              <w:ind w:left="321" w:hanging="321"/>
              <w:rPr>
                <w:sz w:val="24"/>
                <w:szCs w:val="24"/>
              </w:rPr>
            </w:pPr>
            <w:r w:rsidRPr="003C7F94">
              <w:rPr>
                <w:sz w:val="24"/>
                <w:szCs w:val="24"/>
              </w:rPr>
              <w:t>Expenses</w:t>
            </w:r>
          </w:p>
        </w:tc>
        <w:tc>
          <w:tcPr>
            <w:tcW w:w="1179" w:type="dxa"/>
            <w:tcBorders>
              <w:bottom w:val="single" w:sz="4" w:space="0" w:color="auto"/>
            </w:tcBorders>
          </w:tcPr>
          <w:p w14:paraId="4DEA51B2" w14:textId="77777777" w:rsidR="00CF0E2D" w:rsidRPr="00A5376D" w:rsidRDefault="00CF0E2D" w:rsidP="00A60D4B">
            <w:pPr>
              <w:spacing w:after="0"/>
              <w:jc w:val="right"/>
              <w:rPr>
                <w:sz w:val="24"/>
                <w:szCs w:val="24"/>
              </w:rPr>
            </w:pPr>
            <w:r w:rsidRPr="00A5376D">
              <w:rPr>
                <w:sz w:val="24"/>
                <w:szCs w:val="24"/>
              </w:rPr>
              <w:t>35</w:t>
            </w:r>
          </w:p>
        </w:tc>
        <w:tc>
          <w:tcPr>
            <w:tcW w:w="1041" w:type="dxa"/>
            <w:tcBorders>
              <w:bottom w:val="single" w:sz="4" w:space="0" w:color="auto"/>
            </w:tcBorders>
          </w:tcPr>
          <w:p w14:paraId="314CE844" w14:textId="77777777" w:rsidR="00CF0E2D" w:rsidRPr="00A5376D" w:rsidRDefault="00CF0E2D" w:rsidP="00A60D4B">
            <w:pPr>
              <w:spacing w:after="0"/>
              <w:jc w:val="right"/>
              <w:rPr>
                <w:sz w:val="24"/>
                <w:szCs w:val="24"/>
              </w:rPr>
            </w:pPr>
            <w:r w:rsidRPr="00A5376D">
              <w:rPr>
                <w:sz w:val="24"/>
                <w:szCs w:val="24"/>
              </w:rPr>
              <w:t>286</w:t>
            </w:r>
          </w:p>
        </w:tc>
        <w:tc>
          <w:tcPr>
            <w:tcW w:w="1029" w:type="dxa"/>
            <w:tcBorders>
              <w:bottom w:val="single" w:sz="4" w:space="0" w:color="auto"/>
            </w:tcBorders>
          </w:tcPr>
          <w:p w14:paraId="6E7740EE" w14:textId="77777777" w:rsidR="00CF0E2D" w:rsidRPr="00A5376D" w:rsidRDefault="00CF0E2D" w:rsidP="00A60D4B">
            <w:pPr>
              <w:spacing w:after="0"/>
              <w:jc w:val="right"/>
              <w:rPr>
                <w:sz w:val="24"/>
                <w:szCs w:val="24"/>
              </w:rPr>
            </w:pPr>
            <w:r w:rsidRPr="00A5376D">
              <w:rPr>
                <w:sz w:val="24"/>
                <w:szCs w:val="24"/>
              </w:rPr>
              <w:t>256</w:t>
            </w:r>
          </w:p>
        </w:tc>
        <w:tc>
          <w:tcPr>
            <w:tcW w:w="1029" w:type="dxa"/>
            <w:tcBorders>
              <w:bottom w:val="single" w:sz="4" w:space="0" w:color="auto"/>
            </w:tcBorders>
          </w:tcPr>
          <w:p w14:paraId="7002EE8F" w14:textId="77777777" w:rsidR="00CF0E2D" w:rsidRPr="00A5376D" w:rsidRDefault="00CF0E2D" w:rsidP="00A60D4B">
            <w:pPr>
              <w:spacing w:after="0"/>
              <w:jc w:val="right"/>
              <w:rPr>
                <w:sz w:val="24"/>
                <w:szCs w:val="24"/>
              </w:rPr>
            </w:pPr>
            <w:r w:rsidRPr="00A5376D">
              <w:rPr>
                <w:sz w:val="24"/>
                <w:szCs w:val="24"/>
              </w:rPr>
              <w:t>0</w:t>
            </w:r>
          </w:p>
        </w:tc>
        <w:tc>
          <w:tcPr>
            <w:tcW w:w="1029" w:type="dxa"/>
            <w:tcBorders>
              <w:bottom w:val="single" w:sz="4" w:space="0" w:color="auto"/>
            </w:tcBorders>
          </w:tcPr>
          <w:p w14:paraId="3B86C6C8" w14:textId="77777777" w:rsidR="00CF0E2D" w:rsidRPr="00A5376D" w:rsidRDefault="00CF0E2D" w:rsidP="00A60D4B">
            <w:pPr>
              <w:spacing w:after="0"/>
              <w:jc w:val="right"/>
              <w:rPr>
                <w:b/>
                <w:sz w:val="24"/>
                <w:szCs w:val="24"/>
              </w:rPr>
            </w:pPr>
            <w:r w:rsidRPr="00A5376D">
              <w:rPr>
                <w:b/>
                <w:sz w:val="24"/>
                <w:szCs w:val="24"/>
              </w:rPr>
              <w:t>577</w:t>
            </w:r>
          </w:p>
        </w:tc>
      </w:tr>
      <w:tr w:rsidR="00CF0E2D" w:rsidRPr="009B1045" w14:paraId="35BFF521" w14:textId="77777777" w:rsidTr="00A60D4B">
        <w:trPr>
          <w:cantSplit/>
          <w:jc w:val="center"/>
        </w:trPr>
        <w:tc>
          <w:tcPr>
            <w:tcW w:w="3652" w:type="dxa"/>
            <w:tcBorders>
              <w:top w:val="single" w:sz="4" w:space="0" w:color="auto"/>
              <w:bottom w:val="single" w:sz="4" w:space="0" w:color="auto"/>
            </w:tcBorders>
          </w:tcPr>
          <w:p w14:paraId="4978353A" w14:textId="05F53DBB" w:rsidR="00CF0E2D" w:rsidRPr="003C7F94" w:rsidRDefault="00CF0E2D" w:rsidP="00A60D4B">
            <w:pPr>
              <w:spacing w:after="0"/>
              <w:ind w:left="321" w:hanging="321"/>
              <w:rPr>
                <w:rFonts w:cstheme="minorHAnsi"/>
                <w:sz w:val="24"/>
                <w:szCs w:val="24"/>
              </w:rPr>
            </w:pPr>
            <w:r w:rsidRPr="003C7F94">
              <w:rPr>
                <w:rFonts w:cstheme="minorHAnsi"/>
                <w:b/>
                <w:sz w:val="24"/>
                <w:szCs w:val="24"/>
              </w:rPr>
              <w:t xml:space="preserve">Net </w:t>
            </w:r>
            <w:r w:rsidR="00B86042">
              <w:rPr>
                <w:rFonts w:cstheme="minorHAnsi"/>
                <w:b/>
                <w:sz w:val="24"/>
                <w:szCs w:val="24"/>
              </w:rPr>
              <w:t>c</w:t>
            </w:r>
            <w:r w:rsidRPr="003C7F94">
              <w:rPr>
                <w:rFonts w:cstheme="minorHAnsi"/>
                <w:b/>
                <w:sz w:val="24"/>
                <w:szCs w:val="24"/>
              </w:rPr>
              <w:t>ost of services</w:t>
            </w:r>
          </w:p>
        </w:tc>
        <w:tc>
          <w:tcPr>
            <w:tcW w:w="1179" w:type="dxa"/>
            <w:tcBorders>
              <w:top w:val="single" w:sz="4" w:space="0" w:color="auto"/>
              <w:bottom w:val="single" w:sz="4" w:space="0" w:color="auto"/>
            </w:tcBorders>
          </w:tcPr>
          <w:p w14:paraId="239EC2C5" w14:textId="77777777" w:rsidR="00CF0E2D" w:rsidRPr="00A5376D" w:rsidRDefault="00CF0E2D" w:rsidP="00A60D4B">
            <w:pPr>
              <w:spacing w:after="0"/>
              <w:jc w:val="right"/>
              <w:rPr>
                <w:sz w:val="24"/>
                <w:szCs w:val="24"/>
              </w:rPr>
            </w:pPr>
            <w:r w:rsidRPr="00A5376D">
              <w:rPr>
                <w:b/>
                <w:sz w:val="24"/>
                <w:szCs w:val="24"/>
              </w:rPr>
              <w:t>35</w:t>
            </w:r>
          </w:p>
        </w:tc>
        <w:tc>
          <w:tcPr>
            <w:tcW w:w="1041" w:type="dxa"/>
            <w:tcBorders>
              <w:top w:val="single" w:sz="4" w:space="0" w:color="auto"/>
              <w:bottom w:val="single" w:sz="4" w:space="0" w:color="auto"/>
            </w:tcBorders>
          </w:tcPr>
          <w:p w14:paraId="1CA2CB19" w14:textId="77777777" w:rsidR="00CF0E2D" w:rsidRPr="00A5376D" w:rsidRDefault="00CF0E2D" w:rsidP="00A60D4B">
            <w:pPr>
              <w:spacing w:after="0"/>
              <w:jc w:val="right"/>
              <w:rPr>
                <w:sz w:val="24"/>
                <w:szCs w:val="24"/>
              </w:rPr>
            </w:pPr>
            <w:r w:rsidRPr="00A5376D">
              <w:rPr>
                <w:b/>
                <w:sz w:val="24"/>
                <w:szCs w:val="24"/>
              </w:rPr>
              <w:t>286</w:t>
            </w:r>
          </w:p>
        </w:tc>
        <w:tc>
          <w:tcPr>
            <w:tcW w:w="1029" w:type="dxa"/>
            <w:tcBorders>
              <w:top w:val="single" w:sz="4" w:space="0" w:color="auto"/>
              <w:bottom w:val="single" w:sz="4" w:space="0" w:color="auto"/>
            </w:tcBorders>
          </w:tcPr>
          <w:p w14:paraId="2C563528" w14:textId="77777777" w:rsidR="00CF0E2D" w:rsidRPr="00A5376D" w:rsidRDefault="00CF0E2D" w:rsidP="00A60D4B">
            <w:pPr>
              <w:spacing w:after="0"/>
              <w:jc w:val="right"/>
              <w:rPr>
                <w:sz w:val="24"/>
                <w:szCs w:val="24"/>
              </w:rPr>
            </w:pPr>
            <w:r w:rsidRPr="00A5376D">
              <w:rPr>
                <w:b/>
                <w:sz w:val="24"/>
                <w:szCs w:val="24"/>
              </w:rPr>
              <w:t>671</w:t>
            </w:r>
          </w:p>
        </w:tc>
        <w:tc>
          <w:tcPr>
            <w:tcW w:w="1029" w:type="dxa"/>
            <w:tcBorders>
              <w:top w:val="single" w:sz="4" w:space="0" w:color="auto"/>
              <w:bottom w:val="single" w:sz="4" w:space="0" w:color="auto"/>
            </w:tcBorders>
          </w:tcPr>
          <w:p w14:paraId="0242066B" w14:textId="77777777" w:rsidR="00CF0E2D" w:rsidRPr="00A5376D" w:rsidRDefault="00CF0E2D" w:rsidP="00A60D4B">
            <w:pPr>
              <w:spacing w:after="0"/>
              <w:jc w:val="right"/>
              <w:rPr>
                <w:sz w:val="24"/>
                <w:szCs w:val="24"/>
              </w:rPr>
            </w:pPr>
            <w:r w:rsidRPr="00A5376D">
              <w:rPr>
                <w:b/>
                <w:sz w:val="24"/>
                <w:szCs w:val="24"/>
              </w:rPr>
              <w:t>415</w:t>
            </w:r>
          </w:p>
        </w:tc>
        <w:tc>
          <w:tcPr>
            <w:tcW w:w="1029" w:type="dxa"/>
            <w:tcBorders>
              <w:top w:val="single" w:sz="4" w:space="0" w:color="auto"/>
              <w:bottom w:val="single" w:sz="4" w:space="0" w:color="auto"/>
            </w:tcBorders>
          </w:tcPr>
          <w:p w14:paraId="39FCE3E7" w14:textId="77777777" w:rsidR="00CF0E2D" w:rsidRPr="00A5376D" w:rsidRDefault="00CF0E2D" w:rsidP="00A60D4B">
            <w:pPr>
              <w:spacing w:after="0"/>
              <w:jc w:val="right"/>
              <w:rPr>
                <w:b/>
                <w:sz w:val="24"/>
                <w:szCs w:val="24"/>
              </w:rPr>
            </w:pPr>
            <w:r w:rsidRPr="00A5376D">
              <w:rPr>
                <w:b/>
                <w:sz w:val="24"/>
                <w:szCs w:val="24"/>
              </w:rPr>
              <w:t>1,407</w:t>
            </w:r>
          </w:p>
        </w:tc>
      </w:tr>
    </w:tbl>
    <w:p w14:paraId="202BC629" w14:textId="77777777" w:rsidR="00CF0E2D" w:rsidRPr="00457669" w:rsidRDefault="00CF0E2D" w:rsidP="00A60D4B">
      <w:pPr>
        <w:pStyle w:val="Bbodytext"/>
      </w:pPr>
      <w:r w:rsidRPr="00457669">
        <w:t xml:space="preserve">The Government will fund the construction of a purpose-built facility for Gugan Gulwan Youth Aboriginal Corporation on their current premises in Wanniassa. </w:t>
      </w:r>
    </w:p>
    <w:p w14:paraId="4A5DDE32" w14:textId="77777777" w:rsidR="00CF0E2D" w:rsidRPr="00457669" w:rsidRDefault="00CF0E2D" w:rsidP="00A60D4B">
      <w:pPr>
        <w:pStyle w:val="Bbodytext"/>
      </w:pPr>
      <w:r w:rsidRPr="00457669">
        <w:t xml:space="preserve">This initiative builds on funding of $150,000 for early planning work in the 2018-19 Budget and $568,000 for a feasibility study and structural and services design work funded in the </w:t>
      </w:r>
      <w:r w:rsidRPr="00224B74">
        <w:t>August 2020 Economic and Fiscal Update</w:t>
      </w:r>
      <w:r w:rsidRPr="00457669">
        <w:t xml:space="preserve"> and 2020</w:t>
      </w:r>
      <w:r>
        <w:t>-</w:t>
      </w:r>
      <w:r w:rsidRPr="00457669">
        <w:t>21 Budget – delivered in partnership with Gugan Gulwan.</w:t>
      </w:r>
    </w:p>
    <w:p w14:paraId="0E221310" w14:textId="77777777" w:rsidR="00CF0E2D" w:rsidRDefault="00CF0E2D" w:rsidP="00A60D4B">
      <w:pPr>
        <w:pStyle w:val="Bbodytext"/>
      </w:pPr>
      <w:r w:rsidRPr="00457669">
        <w:t>This initiative contributes to the wellbeing domains of Identity and belonging and Social connection.</w:t>
      </w:r>
    </w:p>
    <w:p w14:paraId="4C41F9B2" w14:textId="77777777" w:rsidR="00CF0E2D" w:rsidRDefault="00CF0E2D">
      <w:pPr>
        <w:rPr>
          <w:sz w:val="24"/>
        </w:rPr>
      </w:pPr>
      <w:r>
        <w:br w:type="page"/>
      </w:r>
    </w:p>
    <w:p w14:paraId="1A14F3F0" w14:textId="77777777" w:rsidR="00CF0E2D" w:rsidRPr="00457669" w:rsidRDefault="00CF0E2D" w:rsidP="00A60D4B">
      <w:pPr>
        <w:pStyle w:val="Bbodytext"/>
      </w:pPr>
      <w:r>
        <w:rPr>
          <w:rFonts w:ascii="Calibri" w:eastAsiaTheme="majorEastAsia" w:hAnsi="Calibri" w:cstheme="majorBidi"/>
          <w:b/>
          <w:noProof/>
          <w:color w:val="999789"/>
          <w:sz w:val="32"/>
          <w:szCs w:val="24"/>
        </w:rPr>
        <w:lastRenderedPageBreak/>
        <w:drawing>
          <wp:anchor distT="0" distB="0" distL="114300" distR="114300" simplePos="0" relativeHeight="251780096" behindDoc="0" locked="1" layoutInCell="1" allowOverlap="1" wp14:anchorId="5488FC59" wp14:editId="2645BF8B">
            <wp:simplePos x="0" y="0"/>
            <wp:positionH relativeFrom="margin">
              <wp:align>right</wp:align>
            </wp:positionH>
            <wp:positionV relativeFrom="paragraph">
              <wp:posOffset>117475</wp:posOffset>
            </wp:positionV>
            <wp:extent cx="1216660" cy="503555"/>
            <wp:effectExtent l="0" t="0" r="2540" b="0"/>
            <wp:wrapSquare wrapText="bothSides"/>
            <wp:docPr id="94" name="Picture 94" descr="Icon representing the wellbeing domain of Identity and belo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 representing the wellbeing domain of Identity and belongi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16660" cy="503555"/>
                    </a:xfrm>
                    <a:prstGeom prst="rect">
                      <a:avLst/>
                    </a:prstGeom>
                  </pic:spPr>
                </pic:pic>
              </a:graphicData>
            </a:graphic>
            <wp14:sizeRelH relativeFrom="margin">
              <wp14:pctWidth>0</wp14:pctWidth>
            </wp14:sizeRelH>
            <wp14:sizeRelV relativeFrom="margin">
              <wp14:pctHeight>0</wp14:pctHeight>
            </wp14:sizeRelV>
          </wp:anchor>
        </w:drawing>
      </w:r>
    </w:p>
    <w:p w14:paraId="30DF0299" w14:textId="77777777" w:rsidR="00CF0E2D" w:rsidRPr="00233DAB" w:rsidRDefault="00CF0E2D" w:rsidP="00A60D4B">
      <w:pPr>
        <w:pStyle w:val="Heading4"/>
        <w:rPr>
          <w:rFonts w:eastAsia="Times New Roman" w:cs="Times New Roman"/>
          <w:bCs/>
          <w:szCs w:val="26"/>
        </w:rPr>
      </w:pPr>
      <w:r w:rsidRPr="00233DAB">
        <w:rPr>
          <w:rFonts w:eastAsia="Times New Roman"/>
        </w:rPr>
        <w:t xml:space="preserve">Healing and Reconciliation Fund </w:t>
      </w:r>
      <w:r w:rsidRPr="00233DAB">
        <w:rPr>
          <w:rFonts w:eastAsia="Times New Roman" w:cs="Times New Roman"/>
          <w:bCs/>
          <w:szCs w:val="26"/>
        </w:rPr>
        <w:t xml:space="preserve"> </w:t>
      </w:r>
    </w:p>
    <w:tbl>
      <w:tblPr>
        <w:tblW w:w="8958" w:type="dxa"/>
        <w:jc w:val="center"/>
        <w:tblLayout w:type="fixed"/>
        <w:tblCellMar>
          <w:left w:w="28" w:type="dxa"/>
          <w:right w:w="28" w:type="dxa"/>
        </w:tblCellMar>
        <w:tblLook w:val="0000" w:firstRow="0" w:lastRow="0" w:firstColumn="0" w:lastColumn="0" w:noHBand="0" w:noVBand="0"/>
      </w:tblPr>
      <w:tblGrid>
        <w:gridCol w:w="3798"/>
        <w:gridCol w:w="1032"/>
        <w:gridCol w:w="1032"/>
        <w:gridCol w:w="1032"/>
        <w:gridCol w:w="1032"/>
        <w:gridCol w:w="1032"/>
      </w:tblGrid>
      <w:tr w:rsidR="00CF0E2D" w:rsidRPr="00750793" w14:paraId="443F77B0" w14:textId="77777777" w:rsidTr="00A60D4B">
        <w:trPr>
          <w:cantSplit/>
          <w:jc w:val="center"/>
        </w:trPr>
        <w:tc>
          <w:tcPr>
            <w:tcW w:w="3798" w:type="dxa"/>
            <w:tcBorders>
              <w:top w:val="single" w:sz="4" w:space="0" w:color="auto"/>
              <w:bottom w:val="single" w:sz="4" w:space="0" w:color="auto"/>
            </w:tcBorders>
          </w:tcPr>
          <w:p w14:paraId="76737B33" w14:textId="77777777" w:rsidR="00CF0E2D" w:rsidRPr="004E341E" w:rsidRDefault="00CF0E2D" w:rsidP="00A60D4B">
            <w:pPr>
              <w:pStyle w:val="EmptyCell0"/>
            </w:pPr>
            <w:r>
              <w:t>Empty Cell</w:t>
            </w:r>
          </w:p>
        </w:tc>
        <w:tc>
          <w:tcPr>
            <w:tcW w:w="1032" w:type="dxa"/>
            <w:tcBorders>
              <w:top w:val="single" w:sz="4" w:space="0" w:color="auto"/>
              <w:bottom w:val="single" w:sz="4" w:space="0" w:color="auto"/>
            </w:tcBorders>
          </w:tcPr>
          <w:p w14:paraId="474A48A4" w14:textId="77777777" w:rsidR="00CF0E2D" w:rsidRPr="00CF2A8E" w:rsidRDefault="00CF0E2D" w:rsidP="00A60D4B">
            <w:pPr>
              <w:pStyle w:val="InitFigR"/>
              <w:rPr>
                <w:b/>
                <w:bCs/>
              </w:rPr>
            </w:pPr>
            <w:r w:rsidRPr="00CF2A8E">
              <w:rPr>
                <w:b/>
                <w:bCs/>
              </w:rPr>
              <w:t>2021-22</w:t>
            </w:r>
          </w:p>
          <w:p w14:paraId="07D191D3" w14:textId="77777777" w:rsidR="00CF0E2D" w:rsidRPr="00CF2A8E" w:rsidRDefault="00CF0E2D" w:rsidP="00A60D4B">
            <w:pPr>
              <w:pStyle w:val="InitFigR"/>
              <w:rPr>
                <w:b/>
                <w:bCs/>
              </w:rPr>
            </w:pPr>
            <w:r w:rsidRPr="00CF2A8E">
              <w:rPr>
                <w:b/>
                <w:bCs/>
              </w:rPr>
              <w:t>$’000</w:t>
            </w:r>
          </w:p>
        </w:tc>
        <w:tc>
          <w:tcPr>
            <w:tcW w:w="1032" w:type="dxa"/>
            <w:tcBorders>
              <w:top w:val="single" w:sz="4" w:space="0" w:color="auto"/>
              <w:bottom w:val="single" w:sz="4" w:space="0" w:color="auto"/>
            </w:tcBorders>
          </w:tcPr>
          <w:p w14:paraId="0DD401C1" w14:textId="77777777" w:rsidR="00CF0E2D" w:rsidRPr="00CF2A8E" w:rsidRDefault="00CF0E2D" w:rsidP="00A60D4B">
            <w:pPr>
              <w:pStyle w:val="InitFigR"/>
              <w:rPr>
                <w:b/>
                <w:bCs/>
              </w:rPr>
            </w:pPr>
            <w:r w:rsidRPr="00CF2A8E">
              <w:rPr>
                <w:b/>
                <w:bCs/>
              </w:rPr>
              <w:t>2022-23</w:t>
            </w:r>
          </w:p>
          <w:p w14:paraId="19540223" w14:textId="77777777" w:rsidR="00CF0E2D" w:rsidRPr="00CF2A8E" w:rsidRDefault="00CF0E2D" w:rsidP="00A60D4B">
            <w:pPr>
              <w:pStyle w:val="InitFigR"/>
              <w:rPr>
                <w:b/>
                <w:bCs/>
              </w:rPr>
            </w:pPr>
            <w:r w:rsidRPr="00CF2A8E">
              <w:rPr>
                <w:b/>
                <w:bCs/>
              </w:rPr>
              <w:t>$’000</w:t>
            </w:r>
          </w:p>
        </w:tc>
        <w:tc>
          <w:tcPr>
            <w:tcW w:w="1032" w:type="dxa"/>
            <w:tcBorders>
              <w:top w:val="single" w:sz="4" w:space="0" w:color="auto"/>
              <w:bottom w:val="single" w:sz="4" w:space="0" w:color="auto"/>
            </w:tcBorders>
          </w:tcPr>
          <w:p w14:paraId="46E2B4F5" w14:textId="77777777" w:rsidR="00CF0E2D" w:rsidRPr="00CF2A8E" w:rsidRDefault="00CF0E2D" w:rsidP="00A60D4B">
            <w:pPr>
              <w:pStyle w:val="InitFigR"/>
              <w:rPr>
                <w:b/>
                <w:bCs/>
              </w:rPr>
            </w:pPr>
            <w:r w:rsidRPr="00CF2A8E">
              <w:rPr>
                <w:b/>
                <w:bCs/>
              </w:rPr>
              <w:t>2023-24</w:t>
            </w:r>
          </w:p>
          <w:p w14:paraId="0244F658" w14:textId="77777777" w:rsidR="00CF0E2D" w:rsidRPr="00CF2A8E" w:rsidRDefault="00CF0E2D" w:rsidP="00A60D4B">
            <w:pPr>
              <w:pStyle w:val="InitFigR"/>
              <w:rPr>
                <w:b/>
                <w:bCs/>
              </w:rPr>
            </w:pPr>
            <w:r w:rsidRPr="00CF2A8E">
              <w:rPr>
                <w:b/>
                <w:bCs/>
              </w:rPr>
              <w:t>$’000</w:t>
            </w:r>
          </w:p>
        </w:tc>
        <w:tc>
          <w:tcPr>
            <w:tcW w:w="1032" w:type="dxa"/>
            <w:tcBorders>
              <w:top w:val="single" w:sz="4" w:space="0" w:color="auto"/>
              <w:bottom w:val="single" w:sz="4" w:space="0" w:color="auto"/>
            </w:tcBorders>
          </w:tcPr>
          <w:p w14:paraId="2AAB518E" w14:textId="77777777" w:rsidR="00CF0E2D" w:rsidRPr="00CF2A8E" w:rsidRDefault="00CF0E2D" w:rsidP="00A60D4B">
            <w:pPr>
              <w:pStyle w:val="InitFigR"/>
              <w:rPr>
                <w:b/>
                <w:bCs/>
              </w:rPr>
            </w:pPr>
            <w:r w:rsidRPr="00CF2A8E">
              <w:rPr>
                <w:b/>
                <w:bCs/>
              </w:rPr>
              <w:t>2024-25</w:t>
            </w:r>
          </w:p>
          <w:p w14:paraId="09648849" w14:textId="77777777" w:rsidR="00CF0E2D" w:rsidRPr="00CF2A8E" w:rsidRDefault="00CF0E2D" w:rsidP="00A60D4B">
            <w:pPr>
              <w:pStyle w:val="InitFigR"/>
              <w:rPr>
                <w:b/>
                <w:bCs/>
              </w:rPr>
            </w:pPr>
            <w:r w:rsidRPr="00CF2A8E">
              <w:rPr>
                <w:b/>
                <w:bCs/>
              </w:rPr>
              <w:t>$’000</w:t>
            </w:r>
          </w:p>
        </w:tc>
        <w:tc>
          <w:tcPr>
            <w:tcW w:w="1032" w:type="dxa"/>
            <w:tcBorders>
              <w:top w:val="single" w:sz="4" w:space="0" w:color="auto"/>
              <w:bottom w:val="single" w:sz="4" w:space="0" w:color="auto"/>
            </w:tcBorders>
          </w:tcPr>
          <w:p w14:paraId="70CD1EE0" w14:textId="77777777" w:rsidR="00CF0E2D" w:rsidRPr="004E341E" w:rsidRDefault="00CF0E2D" w:rsidP="00A60D4B">
            <w:pPr>
              <w:pStyle w:val="InitFigRBold"/>
            </w:pPr>
            <w:r w:rsidRPr="004E341E">
              <w:t>Total</w:t>
            </w:r>
          </w:p>
          <w:p w14:paraId="082666B9" w14:textId="77777777" w:rsidR="00CF0E2D" w:rsidRPr="004E341E" w:rsidRDefault="00CF0E2D" w:rsidP="00A60D4B">
            <w:pPr>
              <w:pStyle w:val="InitFigBR"/>
            </w:pPr>
            <w:r w:rsidRPr="004E341E">
              <w:t>$’000</w:t>
            </w:r>
          </w:p>
        </w:tc>
      </w:tr>
      <w:tr w:rsidR="00CF0E2D" w:rsidRPr="005374BA" w14:paraId="6C821624" w14:textId="77777777" w:rsidTr="00A60D4B">
        <w:trPr>
          <w:cantSplit/>
          <w:jc w:val="center"/>
        </w:trPr>
        <w:tc>
          <w:tcPr>
            <w:tcW w:w="3798" w:type="dxa"/>
          </w:tcPr>
          <w:p w14:paraId="51DF626B" w14:textId="77777777" w:rsidR="00CF0E2D" w:rsidRPr="005374BA" w:rsidRDefault="00CF0E2D" w:rsidP="00A60D4B">
            <w:pPr>
              <w:pStyle w:val="InitTextL"/>
              <w:ind w:left="321" w:hanging="321"/>
            </w:pPr>
            <w:r>
              <w:t xml:space="preserve">Expenses </w:t>
            </w:r>
          </w:p>
        </w:tc>
        <w:tc>
          <w:tcPr>
            <w:tcW w:w="1032" w:type="dxa"/>
          </w:tcPr>
          <w:p w14:paraId="01CF87A7" w14:textId="77777777" w:rsidR="00CF0E2D" w:rsidRPr="005374BA" w:rsidRDefault="00CF0E2D" w:rsidP="00A60D4B">
            <w:pPr>
              <w:pStyle w:val="InitFigR"/>
            </w:pPr>
            <w:r>
              <w:t>463</w:t>
            </w:r>
          </w:p>
        </w:tc>
        <w:tc>
          <w:tcPr>
            <w:tcW w:w="1032" w:type="dxa"/>
          </w:tcPr>
          <w:p w14:paraId="1193D0E9" w14:textId="77777777" w:rsidR="00CF0E2D" w:rsidRDefault="00CF0E2D" w:rsidP="00A60D4B">
            <w:pPr>
              <w:pStyle w:val="InitFigR"/>
            </w:pPr>
            <w:r>
              <w:t>80</w:t>
            </w:r>
          </w:p>
        </w:tc>
        <w:tc>
          <w:tcPr>
            <w:tcW w:w="1032" w:type="dxa"/>
          </w:tcPr>
          <w:p w14:paraId="6EC239CF" w14:textId="77777777" w:rsidR="00CF0E2D" w:rsidRPr="005374BA" w:rsidRDefault="00CF0E2D" w:rsidP="00A60D4B">
            <w:pPr>
              <w:pStyle w:val="InitFigR"/>
            </w:pPr>
            <w:r>
              <w:t>0</w:t>
            </w:r>
          </w:p>
        </w:tc>
        <w:tc>
          <w:tcPr>
            <w:tcW w:w="1032" w:type="dxa"/>
          </w:tcPr>
          <w:p w14:paraId="2C30AFC3" w14:textId="77777777" w:rsidR="00CF0E2D" w:rsidRPr="005374BA" w:rsidRDefault="00CF0E2D" w:rsidP="00A60D4B">
            <w:pPr>
              <w:pStyle w:val="InitFigR"/>
            </w:pPr>
            <w:r>
              <w:t>0</w:t>
            </w:r>
          </w:p>
        </w:tc>
        <w:tc>
          <w:tcPr>
            <w:tcW w:w="1032" w:type="dxa"/>
          </w:tcPr>
          <w:p w14:paraId="62D3A587" w14:textId="77777777" w:rsidR="00CF0E2D" w:rsidRPr="005374BA" w:rsidRDefault="00CF0E2D" w:rsidP="00A60D4B">
            <w:pPr>
              <w:pStyle w:val="InitFigBR"/>
            </w:pPr>
            <w:r>
              <w:t>543</w:t>
            </w:r>
          </w:p>
        </w:tc>
      </w:tr>
      <w:tr w:rsidR="00CF0E2D" w:rsidRPr="005374BA" w14:paraId="6C1B3E2A" w14:textId="77777777" w:rsidTr="00A60D4B">
        <w:trPr>
          <w:cantSplit/>
          <w:jc w:val="center"/>
        </w:trPr>
        <w:tc>
          <w:tcPr>
            <w:tcW w:w="3798" w:type="dxa"/>
          </w:tcPr>
          <w:p w14:paraId="559844B5" w14:textId="77777777" w:rsidR="00CF0E2D" w:rsidRPr="005374BA" w:rsidRDefault="00CF0E2D" w:rsidP="00A60D4B">
            <w:pPr>
              <w:pStyle w:val="InitTextL"/>
              <w:ind w:left="321" w:hanging="321"/>
            </w:pPr>
            <w:r w:rsidRPr="005374BA">
              <w:t>Expense</w:t>
            </w:r>
            <w:r>
              <w:t>s – Provision</w:t>
            </w:r>
            <w:r w:rsidRPr="005374BA">
              <w:t xml:space="preserve"> </w:t>
            </w:r>
          </w:p>
        </w:tc>
        <w:tc>
          <w:tcPr>
            <w:tcW w:w="1032" w:type="dxa"/>
          </w:tcPr>
          <w:p w14:paraId="4D90C7AB" w14:textId="77777777" w:rsidR="00CF0E2D" w:rsidRPr="005374BA" w:rsidRDefault="00CF0E2D" w:rsidP="00A60D4B">
            <w:pPr>
              <w:pStyle w:val="InitFigR"/>
            </w:pPr>
            <w:r w:rsidRPr="005374BA">
              <w:t>0</w:t>
            </w:r>
          </w:p>
        </w:tc>
        <w:tc>
          <w:tcPr>
            <w:tcW w:w="1032" w:type="dxa"/>
          </w:tcPr>
          <w:p w14:paraId="4648C4E3" w14:textId="77777777" w:rsidR="00CF0E2D" w:rsidRPr="005374BA" w:rsidRDefault="00CF0E2D" w:rsidP="00A60D4B">
            <w:pPr>
              <w:pStyle w:val="InitFigR"/>
            </w:pPr>
            <w:r>
              <w:t>1,466</w:t>
            </w:r>
          </w:p>
        </w:tc>
        <w:tc>
          <w:tcPr>
            <w:tcW w:w="1032" w:type="dxa"/>
          </w:tcPr>
          <w:p w14:paraId="70B6032A" w14:textId="77777777" w:rsidR="00CF0E2D" w:rsidRPr="005374BA" w:rsidRDefault="00CF0E2D" w:rsidP="00A60D4B">
            <w:pPr>
              <w:pStyle w:val="InitFigR"/>
            </w:pPr>
            <w:r w:rsidRPr="005374BA">
              <w:t>2,000</w:t>
            </w:r>
          </w:p>
        </w:tc>
        <w:tc>
          <w:tcPr>
            <w:tcW w:w="1032" w:type="dxa"/>
          </w:tcPr>
          <w:p w14:paraId="11A46622" w14:textId="77777777" w:rsidR="00CF0E2D" w:rsidRPr="005374BA" w:rsidRDefault="00CF0E2D" w:rsidP="00A60D4B">
            <w:pPr>
              <w:pStyle w:val="InitFigR"/>
            </w:pPr>
            <w:r w:rsidRPr="005374BA">
              <w:t>2,000</w:t>
            </w:r>
          </w:p>
        </w:tc>
        <w:tc>
          <w:tcPr>
            <w:tcW w:w="1032" w:type="dxa"/>
          </w:tcPr>
          <w:p w14:paraId="6AEEF433" w14:textId="77777777" w:rsidR="00CF0E2D" w:rsidRPr="005374BA" w:rsidRDefault="00CF0E2D" w:rsidP="00A60D4B">
            <w:pPr>
              <w:pStyle w:val="InitFigBR"/>
            </w:pPr>
            <w:r>
              <w:t>5,466</w:t>
            </w:r>
          </w:p>
        </w:tc>
      </w:tr>
      <w:tr w:rsidR="00CF0E2D" w:rsidRPr="00750793" w14:paraId="61AD362C" w14:textId="77777777" w:rsidTr="00A60D4B">
        <w:trPr>
          <w:cantSplit/>
          <w:jc w:val="center"/>
        </w:trPr>
        <w:tc>
          <w:tcPr>
            <w:tcW w:w="3798" w:type="dxa"/>
            <w:tcBorders>
              <w:top w:val="single" w:sz="4" w:space="0" w:color="auto"/>
              <w:bottom w:val="single" w:sz="4" w:space="0" w:color="auto"/>
            </w:tcBorders>
          </w:tcPr>
          <w:p w14:paraId="6C2CB1FD" w14:textId="77777777" w:rsidR="00CF0E2D" w:rsidRPr="00795E7C" w:rsidRDefault="00CF0E2D" w:rsidP="00A60D4B">
            <w:pPr>
              <w:pStyle w:val="InitTextL"/>
              <w:ind w:left="321" w:hanging="321"/>
            </w:pPr>
            <w:r w:rsidRPr="00795E7C">
              <w:rPr>
                <w:b/>
                <w:bCs/>
              </w:rPr>
              <w:t>Net cost of services</w:t>
            </w:r>
          </w:p>
        </w:tc>
        <w:tc>
          <w:tcPr>
            <w:tcW w:w="1032" w:type="dxa"/>
            <w:tcBorders>
              <w:top w:val="single" w:sz="4" w:space="0" w:color="auto"/>
              <w:bottom w:val="single" w:sz="4" w:space="0" w:color="auto"/>
            </w:tcBorders>
          </w:tcPr>
          <w:p w14:paraId="09B523EF" w14:textId="77777777" w:rsidR="00CF0E2D" w:rsidRPr="005F6303" w:rsidRDefault="00CF0E2D" w:rsidP="00A60D4B">
            <w:pPr>
              <w:pStyle w:val="InitFigR"/>
              <w:rPr>
                <w:b/>
                <w:bCs/>
              </w:rPr>
            </w:pPr>
            <w:r>
              <w:rPr>
                <w:b/>
                <w:bCs/>
              </w:rPr>
              <w:t>463</w:t>
            </w:r>
          </w:p>
        </w:tc>
        <w:tc>
          <w:tcPr>
            <w:tcW w:w="1032" w:type="dxa"/>
            <w:tcBorders>
              <w:top w:val="single" w:sz="4" w:space="0" w:color="auto"/>
              <w:bottom w:val="single" w:sz="4" w:space="0" w:color="auto"/>
            </w:tcBorders>
          </w:tcPr>
          <w:p w14:paraId="05304665" w14:textId="77777777" w:rsidR="00CF0E2D" w:rsidRPr="00795E7C" w:rsidRDefault="00CF0E2D" w:rsidP="00A60D4B">
            <w:pPr>
              <w:pStyle w:val="InitFigR"/>
            </w:pPr>
            <w:r w:rsidRPr="00795E7C">
              <w:rPr>
                <w:b/>
                <w:bCs/>
              </w:rPr>
              <w:t>1,</w:t>
            </w:r>
            <w:r>
              <w:rPr>
                <w:b/>
                <w:bCs/>
              </w:rPr>
              <w:t>54</w:t>
            </w:r>
            <w:r w:rsidRPr="00795E7C">
              <w:rPr>
                <w:b/>
                <w:bCs/>
              </w:rPr>
              <w:t>6</w:t>
            </w:r>
          </w:p>
        </w:tc>
        <w:tc>
          <w:tcPr>
            <w:tcW w:w="1032" w:type="dxa"/>
            <w:tcBorders>
              <w:top w:val="single" w:sz="4" w:space="0" w:color="auto"/>
              <w:bottom w:val="single" w:sz="4" w:space="0" w:color="auto"/>
            </w:tcBorders>
          </w:tcPr>
          <w:p w14:paraId="28093782" w14:textId="77777777" w:rsidR="00CF0E2D" w:rsidRPr="00795E7C" w:rsidRDefault="00CF0E2D" w:rsidP="00A60D4B">
            <w:pPr>
              <w:pStyle w:val="InitFigR"/>
            </w:pPr>
            <w:r w:rsidRPr="00795E7C">
              <w:rPr>
                <w:b/>
                <w:bCs/>
              </w:rPr>
              <w:t>2,000</w:t>
            </w:r>
          </w:p>
        </w:tc>
        <w:tc>
          <w:tcPr>
            <w:tcW w:w="1032" w:type="dxa"/>
            <w:tcBorders>
              <w:top w:val="single" w:sz="4" w:space="0" w:color="auto"/>
              <w:bottom w:val="single" w:sz="4" w:space="0" w:color="auto"/>
            </w:tcBorders>
          </w:tcPr>
          <w:p w14:paraId="04A32D27" w14:textId="77777777" w:rsidR="00CF0E2D" w:rsidRPr="00795E7C" w:rsidRDefault="00CF0E2D" w:rsidP="00A60D4B">
            <w:pPr>
              <w:pStyle w:val="InitFigR"/>
            </w:pPr>
            <w:r w:rsidRPr="00795E7C">
              <w:rPr>
                <w:b/>
                <w:bCs/>
              </w:rPr>
              <w:t>2,000</w:t>
            </w:r>
          </w:p>
        </w:tc>
        <w:tc>
          <w:tcPr>
            <w:tcW w:w="1032" w:type="dxa"/>
            <w:tcBorders>
              <w:top w:val="single" w:sz="4" w:space="0" w:color="auto"/>
              <w:bottom w:val="single" w:sz="4" w:space="0" w:color="auto"/>
              <w:right w:val="single" w:sz="4" w:space="0" w:color="auto"/>
            </w:tcBorders>
            <w:shd w:val="clear" w:color="auto" w:fill="auto"/>
          </w:tcPr>
          <w:p w14:paraId="0307EA1E" w14:textId="77777777" w:rsidR="00CF0E2D" w:rsidRPr="00F927B7" w:rsidRDefault="00CF0E2D" w:rsidP="00A60D4B">
            <w:pPr>
              <w:pStyle w:val="InitFigBR"/>
            </w:pPr>
            <w:r w:rsidRPr="00F927B7">
              <w:t>6,009</w:t>
            </w:r>
          </w:p>
        </w:tc>
      </w:tr>
    </w:tbl>
    <w:p w14:paraId="4D041572" w14:textId="77777777" w:rsidR="00CF0E2D" w:rsidRPr="00781335" w:rsidRDefault="00CF0E2D" w:rsidP="00A60D4B">
      <w:pPr>
        <w:pStyle w:val="Bbodytext"/>
      </w:pPr>
      <w:r w:rsidRPr="00781335">
        <w:t>The Government will establish a Healing and Reconciliation Fund, supporting delivery on local priorities set out in the A</w:t>
      </w:r>
      <w:r w:rsidRPr="00947996">
        <w:rPr>
          <w:i/>
        </w:rPr>
        <w:t>CT Aboriginal and Torres Strait Islander Agreement 2019</w:t>
      </w:r>
      <w:r>
        <w:rPr>
          <w:i/>
        </w:rPr>
        <w:noBreakHyphen/>
      </w:r>
      <w:r w:rsidRPr="00947996">
        <w:rPr>
          <w:i/>
        </w:rPr>
        <w:t xml:space="preserve">2028. </w:t>
      </w:r>
      <w:r w:rsidRPr="00781335">
        <w:t xml:space="preserve">An additional $14 million is provisioned beyond the 2024-25 financial year to bring the total investment over ten years to $20 million, including $150,000 provided in the 2020-21 Budget to facilitate community conversations about a Treaty process for the ACT. </w:t>
      </w:r>
    </w:p>
    <w:p w14:paraId="30B790A1" w14:textId="77777777" w:rsidR="00CF0E2D" w:rsidRPr="00781335" w:rsidRDefault="00CF0E2D" w:rsidP="00A60D4B">
      <w:pPr>
        <w:pStyle w:val="Bbodytext"/>
      </w:pPr>
      <w:r w:rsidRPr="00781335">
        <w:t>In 2021-22, the Healing and Reconciliation Fund will support work with the Winangg</w:t>
      </w:r>
      <w:r>
        <w:t>a</w:t>
      </w:r>
      <w:r w:rsidRPr="00781335">
        <w:t>ay Ngunnawal Language Group to establish a Ngunnawal Language Centre. Funding is also provided to develop the governance arrangements to oversee the administration of the Healing and Reconciliation Fund.</w:t>
      </w:r>
    </w:p>
    <w:p w14:paraId="0D343EA4" w14:textId="77777777" w:rsidR="00CF0E2D" w:rsidRPr="00781335" w:rsidRDefault="00CF0E2D" w:rsidP="00A60D4B">
      <w:pPr>
        <w:pStyle w:val="Bbodytext"/>
      </w:pPr>
      <w:r w:rsidRPr="00781335">
        <w:t xml:space="preserve">This initiative is direct action toward achieving the outcomes in the </w:t>
      </w:r>
      <w:r w:rsidRPr="005374C4">
        <w:rPr>
          <w:i/>
        </w:rPr>
        <w:t>ACT Aboriginal and Torres Strait Islander Agreement 2019-2028</w:t>
      </w:r>
      <w:r w:rsidRPr="00781335">
        <w:t xml:space="preserve"> and Priority Reform Area Two as outlined in the </w:t>
      </w:r>
      <w:r w:rsidRPr="00947996">
        <w:rPr>
          <w:i/>
        </w:rPr>
        <w:t>National Agreement on Closing the Gap</w:t>
      </w:r>
      <w:r w:rsidRPr="00781335">
        <w:t xml:space="preserve">. </w:t>
      </w:r>
    </w:p>
    <w:p w14:paraId="2853DE5D" w14:textId="77777777" w:rsidR="00CF0E2D" w:rsidRDefault="00CF0E2D" w:rsidP="00A60D4B">
      <w:pPr>
        <w:pStyle w:val="Bbodytext"/>
      </w:pPr>
      <w:r w:rsidRPr="00781335">
        <w:t>This initiative contributes to the wellbeing domain of Identity and belonging.</w:t>
      </w:r>
    </w:p>
    <w:p w14:paraId="348665E2" w14:textId="77777777" w:rsidR="00CF0E2D" w:rsidRPr="005374C4" w:rsidRDefault="00CF0E2D" w:rsidP="00A60D4B">
      <w:pPr>
        <w:pStyle w:val="Bbodytext"/>
      </w:pPr>
    </w:p>
    <w:p w14:paraId="22FF6F9C" w14:textId="77777777" w:rsidR="00CF0E2D" w:rsidRPr="00293209" w:rsidRDefault="00CF0E2D" w:rsidP="00A60D4B">
      <w:pPr>
        <w:pStyle w:val="Heading4"/>
        <w:rPr>
          <w:rFonts w:eastAsia="Times New Roman" w:cs="Times New Roman"/>
          <w:bCs/>
          <w:szCs w:val="26"/>
        </w:rPr>
      </w:pPr>
      <w:r w:rsidRPr="00293209">
        <w:rPr>
          <w:rFonts w:eastAsia="Times New Roman"/>
        </w:rPr>
        <w:t xml:space="preserve">Implementing </w:t>
      </w:r>
      <w:r>
        <w:rPr>
          <w:rFonts w:eastAsia="Times New Roman" w:cs="Times New Roman"/>
          <w:szCs w:val="26"/>
        </w:rPr>
        <w:t>l</w:t>
      </w:r>
      <w:r w:rsidRPr="00293209">
        <w:rPr>
          <w:rFonts w:eastAsia="Times New Roman" w:cs="Times New Roman"/>
          <w:szCs w:val="26"/>
        </w:rPr>
        <w:t xml:space="preserve">egislative </w:t>
      </w:r>
      <w:r>
        <w:rPr>
          <w:rFonts w:eastAsia="Times New Roman" w:cs="Times New Roman"/>
          <w:szCs w:val="26"/>
        </w:rPr>
        <w:t>a</w:t>
      </w:r>
      <w:r w:rsidRPr="00293209">
        <w:rPr>
          <w:rFonts w:eastAsia="Times New Roman" w:cs="Times New Roman"/>
          <w:szCs w:val="26"/>
        </w:rPr>
        <w:t>genda</w:t>
      </w:r>
      <w:r w:rsidRPr="00293209">
        <w:rPr>
          <w:rFonts w:eastAsia="Times New Roman" w:cs="Times New Roman"/>
          <w:bCs/>
          <w:szCs w:val="26"/>
        </w:rPr>
        <w:t xml:space="preserve"> </w:t>
      </w:r>
      <w:r>
        <w:rPr>
          <w:rFonts w:eastAsia="Times New Roman" w:cs="Times New Roman"/>
          <w:bCs/>
          <w:szCs w:val="26"/>
        </w:rPr>
        <w:t>–</w:t>
      </w:r>
      <w:r w:rsidRPr="00293209">
        <w:rPr>
          <w:rFonts w:eastAsia="Times New Roman" w:cs="Times New Roman"/>
          <w:bCs/>
          <w:szCs w:val="26"/>
        </w:rPr>
        <w:t xml:space="preserve"> Delivering the Multicultural Recognition Act</w:t>
      </w:r>
      <w:r>
        <w:rPr>
          <w:b w:val="0"/>
          <w:noProof/>
          <w:color w:val="999789"/>
          <w:sz w:val="32"/>
          <w:szCs w:val="24"/>
        </w:rPr>
        <w:drawing>
          <wp:anchor distT="0" distB="0" distL="114300" distR="114300" simplePos="0" relativeHeight="251781120" behindDoc="0" locked="1" layoutInCell="1" allowOverlap="1" wp14:anchorId="5CD20FD6" wp14:editId="01B66481">
            <wp:simplePos x="0" y="0"/>
            <wp:positionH relativeFrom="margin">
              <wp:align>right</wp:align>
            </wp:positionH>
            <wp:positionV relativeFrom="paragraph">
              <wp:posOffset>78105</wp:posOffset>
            </wp:positionV>
            <wp:extent cx="1216660" cy="503555"/>
            <wp:effectExtent l="0" t="0" r="2540" b="0"/>
            <wp:wrapSquare wrapText="bothSides"/>
            <wp:docPr id="95" name="Picture 95" descr="Icon representing the wellbeing domain of Identity and belo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 representing the wellbeing domain of Identity and belongi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1666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657E17DB" w14:textId="77777777" w:rsidTr="00A60D4B">
        <w:trPr>
          <w:cantSplit/>
          <w:jc w:val="center"/>
        </w:trPr>
        <w:tc>
          <w:tcPr>
            <w:tcW w:w="3652" w:type="dxa"/>
            <w:tcBorders>
              <w:top w:val="single" w:sz="4" w:space="0" w:color="auto"/>
              <w:bottom w:val="single" w:sz="4" w:space="0" w:color="auto"/>
            </w:tcBorders>
          </w:tcPr>
          <w:p w14:paraId="3C698BB7" w14:textId="77777777" w:rsidR="00CF0E2D" w:rsidRPr="00B529F7" w:rsidRDefault="00CF0E2D" w:rsidP="00A60D4B">
            <w:pPr>
              <w:pStyle w:val="EmptyCell0"/>
              <w:keepNext/>
              <w:keepLines/>
              <w:rPr>
                <w:sz w:val="24"/>
                <w:szCs w:val="24"/>
              </w:rPr>
            </w:pPr>
            <w:r w:rsidRPr="00B529F7">
              <w:rPr>
                <w:sz w:val="24"/>
                <w:szCs w:val="24"/>
              </w:rPr>
              <w:t>Empty Cell</w:t>
            </w:r>
          </w:p>
        </w:tc>
        <w:tc>
          <w:tcPr>
            <w:tcW w:w="1179" w:type="dxa"/>
            <w:tcBorders>
              <w:top w:val="single" w:sz="4" w:space="0" w:color="auto"/>
              <w:bottom w:val="single" w:sz="4" w:space="0" w:color="auto"/>
            </w:tcBorders>
          </w:tcPr>
          <w:p w14:paraId="3821AF5E" w14:textId="77777777" w:rsidR="00CF0E2D" w:rsidRPr="00B529F7" w:rsidRDefault="00CF0E2D" w:rsidP="00A60D4B">
            <w:pPr>
              <w:pStyle w:val="InitFigR"/>
              <w:keepNext/>
              <w:keepLines/>
              <w:rPr>
                <w:b/>
                <w:szCs w:val="24"/>
              </w:rPr>
            </w:pPr>
            <w:r w:rsidRPr="00B529F7">
              <w:rPr>
                <w:b/>
                <w:szCs w:val="24"/>
              </w:rPr>
              <w:t>2021-22</w:t>
            </w:r>
          </w:p>
          <w:p w14:paraId="7F51725A" w14:textId="77777777" w:rsidR="00CF0E2D" w:rsidRPr="00B529F7" w:rsidRDefault="00CF0E2D" w:rsidP="00A60D4B">
            <w:pPr>
              <w:pStyle w:val="InitFigR"/>
              <w:keepNext/>
              <w:keepLines/>
              <w:rPr>
                <w:b/>
                <w:szCs w:val="24"/>
              </w:rPr>
            </w:pPr>
            <w:r w:rsidRPr="00B529F7">
              <w:rPr>
                <w:b/>
                <w:szCs w:val="24"/>
              </w:rPr>
              <w:t>$’000</w:t>
            </w:r>
          </w:p>
        </w:tc>
        <w:tc>
          <w:tcPr>
            <w:tcW w:w="1041" w:type="dxa"/>
            <w:tcBorders>
              <w:top w:val="single" w:sz="4" w:space="0" w:color="auto"/>
              <w:bottom w:val="single" w:sz="4" w:space="0" w:color="auto"/>
            </w:tcBorders>
          </w:tcPr>
          <w:p w14:paraId="729CD24A" w14:textId="77777777" w:rsidR="00CF0E2D" w:rsidRPr="00B529F7" w:rsidRDefault="00CF0E2D" w:rsidP="00A60D4B">
            <w:pPr>
              <w:pStyle w:val="InitFigR"/>
              <w:keepNext/>
              <w:keepLines/>
              <w:rPr>
                <w:b/>
                <w:szCs w:val="24"/>
              </w:rPr>
            </w:pPr>
            <w:r w:rsidRPr="00B529F7">
              <w:rPr>
                <w:b/>
                <w:szCs w:val="24"/>
              </w:rPr>
              <w:t>2022-23</w:t>
            </w:r>
          </w:p>
          <w:p w14:paraId="053C5ACC" w14:textId="77777777" w:rsidR="00CF0E2D" w:rsidRPr="00B529F7" w:rsidRDefault="00CF0E2D" w:rsidP="00A60D4B">
            <w:pPr>
              <w:pStyle w:val="InitFigR"/>
              <w:keepNext/>
              <w:keepLines/>
              <w:rPr>
                <w:b/>
                <w:szCs w:val="24"/>
              </w:rPr>
            </w:pPr>
            <w:r w:rsidRPr="00B529F7">
              <w:rPr>
                <w:b/>
                <w:szCs w:val="24"/>
              </w:rPr>
              <w:t>$’000</w:t>
            </w:r>
          </w:p>
        </w:tc>
        <w:tc>
          <w:tcPr>
            <w:tcW w:w="1029" w:type="dxa"/>
            <w:tcBorders>
              <w:top w:val="single" w:sz="4" w:space="0" w:color="auto"/>
              <w:bottom w:val="single" w:sz="4" w:space="0" w:color="auto"/>
            </w:tcBorders>
          </w:tcPr>
          <w:p w14:paraId="7773E599" w14:textId="77777777" w:rsidR="00CF0E2D" w:rsidRPr="00B529F7" w:rsidRDefault="00CF0E2D" w:rsidP="00A60D4B">
            <w:pPr>
              <w:pStyle w:val="InitFigR"/>
              <w:keepNext/>
              <w:keepLines/>
              <w:rPr>
                <w:b/>
                <w:szCs w:val="24"/>
              </w:rPr>
            </w:pPr>
            <w:r w:rsidRPr="00B529F7">
              <w:rPr>
                <w:b/>
                <w:szCs w:val="24"/>
              </w:rPr>
              <w:t>2023-24</w:t>
            </w:r>
          </w:p>
          <w:p w14:paraId="343C2634" w14:textId="77777777" w:rsidR="00CF0E2D" w:rsidRPr="00B529F7" w:rsidRDefault="00CF0E2D" w:rsidP="00A60D4B">
            <w:pPr>
              <w:pStyle w:val="InitFigR"/>
              <w:keepNext/>
              <w:keepLines/>
              <w:rPr>
                <w:b/>
                <w:szCs w:val="24"/>
              </w:rPr>
            </w:pPr>
            <w:r w:rsidRPr="00B529F7">
              <w:rPr>
                <w:b/>
                <w:szCs w:val="24"/>
              </w:rPr>
              <w:t>$’000</w:t>
            </w:r>
          </w:p>
        </w:tc>
        <w:tc>
          <w:tcPr>
            <w:tcW w:w="1029" w:type="dxa"/>
            <w:tcBorders>
              <w:top w:val="single" w:sz="4" w:space="0" w:color="auto"/>
              <w:bottom w:val="single" w:sz="4" w:space="0" w:color="auto"/>
            </w:tcBorders>
          </w:tcPr>
          <w:p w14:paraId="02926A0B" w14:textId="77777777" w:rsidR="00CF0E2D" w:rsidRPr="00B529F7" w:rsidRDefault="00CF0E2D" w:rsidP="00A60D4B">
            <w:pPr>
              <w:pStyle w:val="InitFigR"/>
              <w:keepNext/>
              <w:keepLines/>
              <w:rPr>
                <w:b/>
                <w:szCs w:val="24"/>
              </w:rPr>
            </w:pPr>
            <w:r w:rsidRPr="00B529F7">
              <w:rPr>
                <w:b/>
                <w:szCs w:val="24"/>
              </w:rPr>
              <w:t>2024-25</w:t>
            </w:r>
          </w:p>
          <w:p w14:paraId="45FAD09B" w14:textId="77777777" w:rsidR="00CF0E2D" w:rsidRPr="00B529F7" w:rsidRDefault="00CF0E2D" w:rsidP="00A60D4B">
            <w:pPr>
              <w:pStyle w:val="InitFigR"/>
              <w:keepNext/>
              <w:keepLines/>
              <w:rPr>
                <w:b/>
                <w:szCs w:val="24"/>
              </w:rPr>
            </w:pPr>
            <w:r w:rsidRPr="00B529F7">
              <w:rPr>
                <w:b/>
                <w:szCs w:val="24"/>
              </w:rPr>
              <w:t>$’000</w:t>
            </w:r>
          </w:p>
        </w:tc>
        <w:tc>
          <w:tcPr>
            <w:tcW w:w="1029" w:type="dxa"/>
            <w:tcBorders>
              <w:top w:val="single" w:sz="4" w:space="0" w:color="auto"/>
              <w:bottom w:val="single" w:sz="4" w:space="0" w:color="auto"/>
            </w:tcBorders>
          </w:tcPr>
          <w:p w14:paraId="4221B562" w14:textId="77777777" w:rsidR="00CF0E2D" w:rsidRPr="00B529F7" w:rsidRDefault="00CF0E2D" w:rsidP="00A60D4B">
            <w:pPr>
              <w:pStyle w:val="InitFigRBold"/>
              <w:keepNext/>
              <w:keepLines/>
              <w:rPr>
                <w:szCs w:val="24"/>
              </w:rPr>
            </w:pPr>
            <w:r w:rsidRPr="00B529F7">
              <w:rPr>
                <w:szCs w:val="24"/>
              </w:rPr>
              <w:t>Total</w:t>
            </w:r>
          </w:p>
          <w:p w14:paraId="223850BD" w14:textId="77777777" w:rsidR="00CF0E2D" w:rsidRPr="00B529F7" w:rsidRDefault="00CF0E2D" w:rsidP="00A60D4B">
            <w:pPr>
              <w:pStyle w:val="InitFigBR"/>
              <w:keepNext/>
              <w:keepLines/>
              <w:rPr>
                <w:szCs w:val="24"/>
              </w:rPr>
            </w:pPr>
            <w:r w:rsidRPr="00B529F7">
              <w:rPr>
                <w:szCs w:val="24"/>
              </w:rPr>
              <w:t>$’000</w:t>
            </w:r>
          </w:p>
        </w:tc>
      </w:tr>
      <w:tr w:rsidR="00CF0E2D" w:rsidRPr="00750793" w14:paraId="02C2E078" w14:textId="77777777" w:rsidTr="00A60D4B">
        <w:trPr>
          <w:cantSplit/>
          <w:jc w:val="center"/>
        </w:trPr>
        <w:tc>
          <w:tcPr>
            <w:tcW w:w="3652" w:type="dxa"/>
            <w:tcBorders>
              <w:top w:val="single" w:sz="4" w:space="0" w:color="auto"/>
              <w:bottom w:val="single" w:sz="4" w:space="0" w:color="auto"/>
            </w:tcBorders>
          </w:tcPr>
          <w:p w14:paraId="31662B6A" w14:textId="77777777" w:rsidR="00CF0E2D" w:rsidRPr="00DB49AA" w:rsidRDefault="00CF0E2D" w:rsidP="00A60D4B">
            <w:pPr>
              <w:pStyle w:val="InitTextL"/>
              <w:keepNext/>
              <w:keepLines/>
              <w:ind w:left="321" w:hanging="321"/>
              <w:rPr>
                <w:szCs w:val="24"/>
              </w:rPr>
            </w:pPr>
            <w:r w:rsidRPr="00B529F7">
              <w:rPr>
                <w:szCs w:val="24"/>
              </w:rPr>
              <w:t>Expenses</w:t>
            </w:r>
          </w:p>
        </w:tc>
        <w:tc>
          <w:tcPr>
            <w:tcW w:w="1179" w:type="dxa"/>
            <w:tcBorders>
              <w:top w:val="single" w:sz="4" w:space="0" w:color="auto"/>
              <w:bottom w:val="single" w:sz="4" w:space="0" w:color="auto"/>
            </w:tcBorders>
          </w:tcPr>
          <w:p w14:paraId="379C48D7" w14:textId="77777777" w:rsidR="00CF0E2D" w:rsidRPr="00DB49AA" w:rsidRDefault="00CF0E2D" w:rsidP="00A60D4B">
            <w:pPr>
              <w:pStyle w:val="InitFigR"/>
              <w:keepNext/>
              <w:keepLines/>
              <w:rPr>
                <w:szCs w:val="24"/>
              </w:rPr>
            </w:pPr>
            <w:r>
              <w:rPr>
                <w:szCs w:val="24"/>
              </w:rPr>
              <w:t>218</w:t>
            </w:r>
          </w:p>
        </w:tc>
        <w:tc>
          <w:tcPr>
            <w:tcW w:w="1041" w:type="dxa"/>
            <w:tcBorders>
              <w:top w:val="single" w:sz="4" w:space="0" w:color="auto"/>
              <w:bottom w:val="single" w:sz="4" w:space="0" w:color="auto"/>
            </w:tcBorders>
          </w:tcPr>
          <w:p w14:paraId="01A336F4" w14:textId="77777777" w:rsidR="00CF0E2D" w:rsidRPr="00DB49AA" w:rsidRDefault="00CF0E2D" w:rsidP="00A60D4B">
            <w:pPr>
              <w:pStyle w:val="InitFigR"/>
              <w:keepNext/>
              <w:keepLines/>
              <w:rPr>
                <w:szCs w:val="24"/>
              </w:rPr>
            </w:pPr>
            <w:r>
              <w:rPr>
                <w:szCs w:val="24"/>
              </w:rPr>
              <w:t>267</w:t>
            </w:r>
          </w:p>
        </w:tc>
        <w:tc>
          <w:tcPr>
            <w:tcW w:w="1029" w:type="dxa"/>
            <w:tcBorders>
              <w:top w:val="single" w:sz="4" w:space="0" w:color="auto"/>
              <w:bottom w:val="single" w:sz="4" w:space="0" w:color="auto"/>
            </w:tcBorders>
          </w:tcPr>
          <w:p w14:paraId="6D7FCFC2" w14:textId="77777777" w:rsidR="00CF0E2D" w:rsidRPr="007C677A" w:rsidRDefault="00CF0E2D" w:rsidP="00A60D4B">
            <w:pPr>
              <w:pStyle w:val="InitFigR"/>
              <w:keepNext/>
              <w:keepLines/>
              <w:rPr>
                <w:szCs w:val="24"/>
              </w:rPr>
            </w:pPr>
            <w:r w:rsidRPr="007C677A">
              <w:rPr>
                <w:szCs w:val="24"/>
              </w:rPr>
              <w:t>0</w:t>
            </w:r>
          </w:p>
        </w:tc>
        <w:tc>
          <w:tcPr>
            <w:tcW w:w="1029" w:type="dxa"/>
            <w:tcBorders>
              <w:top w:val="single" w:sz="4" w:space="0" w:color="auto"/>
              <w:bottom w:val="single" w:sz="4" w:space="0" w:color="auto"/>
            </w:tcBorders>
          </w:tcPr>
          <w:p w14:paraId="5B522A41" w14:textId="77777777" w:rsidR="00CF0E2D" w:rsidRPr="000C7426" w:rsidRDefault="00CF0E2D" w:rsidP="00A60D4B">
            <w:pPr>
              <w:pStyle w:val="InitFigR"/>
              <w:keepNext/>
              <w:keepLines/>
              <w:rPr>
                <w:szCs w:val="24"/>
              </w:rPr>
            </w:pPr>
            <w:r w:rsidRPr="000C7426">
              <w:rPr>
                <w:szCs w:val="24"/>
              </w:rPr>
              <w:t>0</w:t>
            </w:r>
          </w:p>
        </w:tc>
        <w:tc>
          <w:tcPr>
            <w:tcW w:w="1029" w:type="dxa"/>
            <w:tcBorders>
              <w:top w:val="single" w:sz="4" w:space="0" w:color="auto"/>
              <w:bottom w:val="single" w:sz="4" w:space="0" w:color="auto"/>
            </w:tcBorders>
          </w:tcPr>
          <w:p w14:paraId="7A2BF0D4" w14:textId="77777777" w:rsidR="00CF0E2D" w:rsidRPr="00DB49AA" w:rsidRDefault="00CF0E2D" w:rsidP="00A60D4B">
            <w:pPr>
              <w:pStyle w:val="InitFigBR"/>
              <w:keepNext/>
              <w:keepLines/>
              <w:rPr>
                <w:szCs w:val="24"/>
              </w:rPr>
            </w:pPr>
            <w:r>
              <w:rPr>
                <w:szCs w:val="24"/>
              </w:rPr>
              <w:t>485</w:t>
            </w:r>
          </w:p>
        </w:tc>
      </w:tr>
    </w:tbl>
    <w:p w14:paraId="0929FAFE" w14:textId="77777777" w:rsidR="00CF0E2D" w:rsidRPr="00293209" w:rsidRDefault="00CF0E2D" w:rsidP="00A60D4B">
      <w:pPr>
        <w:keepNext/>
        <w:keepLines/>
        <w:spacing w:before="200" w:after="200" w:line="240" w:lineRule="auto"/>
        <w:rPr>
          <w:rFonts w:ascii="Calibri" w:eastAsia="Times New Roman" w:hAnsi="Calibri" w:cs="Times New Roman"/>
          <w:sz w:val="24"/>
          <w:szCs w:val="20"/>
        </w:rPr>
      </w:pPr>
      <w:r w:rsidRPr="00293209">
        <w:rPr>
          <w:rFonts w:ascii="Calibri" w:eastAsia="Times New Roman" w:hAnsi="Calibri" w:cs="Times New Roman"/>
          <w:sz w:val="24"/>
          <w:szCs w:val="20"/>
        </w:rPr>
        <w:t>The Government will develop and implement the Multicultural Recognition Act, including establishing a multicultural charter. Funding will also be used to progress the accreditation and recognition of Canberra as a Welcoming City to ‘Advanced’ Level.</w:t>
      </w:r>
    </w:p>
    <w:p w14:paraId="2A8E99E0" w14:textId="77777777" w:rsidR="00CF0E2D" w:rsidRDefault="00CF0E2D" w:rsidP="00A60D4B">
      <w:pPr>
        <w:keepNext/>
        <w:keepLines/>
        <w:spacing w:before="200" w:after="200" w:line="240" w:lineRule="auto"/>
        <w:rPr>
          <w:rFonts w:ascii="Calibri" w:eastAsia="Times New Roman" w:hAnsi="Calibri" w:cs="Times New Roman"/>
          <w:sz w:val="24"/>
          <w:szCs w:val="20"/>
        </w:rPr>
      </w:pPr>
      <w:r w:rsidRPr="00293209">
        <w:rPr>
          <w:rFonts w:ascii="Calibri" w:eastAsia="Times New Roman" w:hAnsi="Calibri" w:cs="Times New Roman"/>
          <w:sz w:val="24"/>
          <w:szCs w:val="20"/>
        </w:rPr>
        <w:t>This initiative contributes to the wellbeing domain of Identity and belonging.</w:t>
      </w:r>
    </w:p>
    <w:p w14:paraId="3BB1E84E" w14:textId="77777777" w:rsidR="00CF0E2D" w:rsidRDefault="00CF0E2D">
      <w:pPr>
        <w:rPr>
          <w:rFonts w:ascii="Calibri" w:eastAsia="Times New Roman" w:hAnsi="Calibri" w:cs="Times New Roman"/>
          <w:sz w:val="24"/>
          <w:szCs w:val="20"/>
        </w:rPr>
      </w:pPr>
      <w:r>
        <w:rPr>
          <w:rFonts w:ascii="Calibri" w:eastAsia="Times New Roman" w:hAnsi="Calibri" w:cs="Times New Roman"/>
          <w:sz w:val="24"/>
          <w:szCs w:val="20"/>
        </w:rPr>
        <w:br w:type="page"/>
      </w:r>
    </w:p>
    <w:p w14:paraId="3329BCEF" w14:textId="77777777" w:rsidR="00CF0E2D" w:rsidRPr="009E4D1E" w:rsidRDefault="00CF0E2D" w:rsidP="00A60D4B">
      <w:pPr>
        <w:pStyle w:val="Heading4"/>
        <w:rPr>
          <w:rFonts w:eastAsia="Times New Roman" w:cs="Times New Roman"/>
          <w:bCs/>
          <w:szCs w:val="26"/>
        </w:rPr>
      </w:pPr>
      <w:r>
        <w:rPr>
          <w:b w:val="0"/>
          <w:noProof/>
          <w:color w:val="999789"/>
          <w:sz w:val="32"/>
          <w:szCs w:val="24"/>
        </w:rPr>
        <w:lastRenderedPageBreak/>
        <w:drawing>
          <wp:anchor distT="0" distB="0" distL="114300" distR="114300" simplePos="0" relativeHeight="251783168" behindDoc="0" locked="1" layoutInCell="1" allowOverlap="1" wp14:anchorId="4D3A6195" wp14:editId="53BE7E3A">
            <wp:simplePos x="0" y="0"/>
            <wp:positionH relativeFrom="margin">
              <wp:align>right</wp:align>
            </wp:positionH>
            <wp:positionV relativeFrom="paragraph">
              <wp:posOffset>36195</wp:posOffset>
            </wp:positionV>
            <wp:extent cx="990000" cy="504000"/>
            <wp:effectExtent l="0" t="0" r="635" b="0"/>
            <wp:wrapSquare wrapText="bothSides"/>
            <wp:docPr id="97" name="Picture 97"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90000" cy="504000"/>
                    </a:xfrm>
                    <a:prstGeom prst="rect">
                      <a:avLst/>
                    </a:prstGeom>
                  </pic:spPr>
                </pic:pic>
              </a:graphicData>
            </a:graphic>
            <wp14:sizeRelH relativeFrom="margin">
              <wp14:pctWidth>0</wp14:pctWidth>
            </wp14:sizeRelH>
            <wp14:sizeRelV relativeFrom="margin">
              <wp14:pctHeight>0</wp14:pctHeight>
            </wp14:sizeRelV>
          </wp:anchor>
        </w:drawing>
      </w:r>
      <w:r w:rsidRPr="009E4D1E">
        <w:rPr>
          <w:rFonts w:eastAsia="Times New Roman"/>
        </w:rPr>
        <w:t xml:space="preserve">Implementing </w:t>
      </w:r>
      <w:r>
        <w:rPr>
          <w:rFonts w:eastAsia="Times New Roman" w:cs="Times New Roman"/>
          <w:bCs/>
          <w:szCs w:val="26"/>
        </w:rPr>
        <w:t>l</w:t>
      </w:r>
      <w:r w:rsidRPr="009E4D1E">
        <w:rPr>
          <w:rFonts w:eastAsia="Times New Roman" w:cs="Times New Roman"/>
          <w:bCs/>
          <w:szCs w:val="26"/>
        </w:rPr>
        <w:t xml:space="preserve">egislative </w:t>
      </w:r>
      <w:r>
        <w:rPr>
          <w:rFonts w:eastAsia="Times New Roman" w:cs="Times New Roman"/>
          <w:szCs w:val="26"/>
        </w:rPr>
        <w:t>a</w:t>
      </w:r>
      <w:r w:rsidRPr="009E4D1E">
        <w:rPr>
          <w:rFonts w:eastAsia="Times New Roman" w:cs="Times New Roman"/>
          <w:szCs w:val="26"/>
        </w:rPr>
        <w:t>genda</w:t>
      </w:r>
      <w:r w:rsidRPr="009E4D1E">
        <w:rPr>
          <w:rFonts w:eastAsia="Times New Roman" w:cs="Times New Roman"/>
          <w:bCs/>
          <w:szCs w:val="26"/>
        </w:rPr>
        <w:t xml:space="preserve"> </w:t>
      </w:r>
      <w:r>
        <w:rPr>
          <w:rFonts w:eastAsia="Times New Roman" w:cs="Times New Roman"/>
          <w:bCs/>
          <w:szCs w:val="26"/>
        </w:rPr>
        <w:t>–</w:t>
      </w:r>
      <w:r w:rsidRPr="009E4D1E">
        <w:rPr>
          <w:rFonts w:eastAsia="Times New Roman" w:cs="Times New Roman"/>
          <w:bCs/>
          <w:szCs w:val="26"/>
        </w:rPr>
        <w:t xml:space="preserve"> Modernising the </w:t>
      </w:r>
      <w:r w:rsidRPr="00293209">
        <w:rPr>
          <w:rFonts w:eastAsia="Times New Roman" w:cs="Times New Roman"/>
          <w:bCs/>
          <w:i/>
          <w:iCs w:val="0"/>
          <w:szCs w:val="26"/>
        </w:rPr>
        <w:t>Children and Young People Act 2008</w:t>
      </w:r>
      <w:r w:rsidRPr="009E4D1E">
        <w:rPr>
          <w:rFonts w:eastAsia="Times New Roman" w:cs="Times New Roman"/>
          <w:bCs/>
          <w:szCs w:val="26"/>
        </w:rPr>
        <w:t xml:space="preserve">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3C398692" w14:textId="77777777" w:rsidTr="00A60D4B">
        <w:trPr>
          <w:cantSplit/>
          <w:jc w:val="center"/>
        </w:trPr>
        <w:tc>
          <w:tcPr>
            <w:tcW w:w="3652" w:type="dxa"/>
            <w:tcBorders>
              <w:top w:val="single" w:sz="4" w:space="0" w:color="auto"/>
              <w:bottom w:val="single" w:sz="4" w:space="0" w:color="auto"/>
            </w:tcBorders>
          </w:tcPr>
          <w:p w14:paraId="6341EEA5" w14:textId="77777777" w:rsidR="00CF0E2D" w:rsidRPr="00BF31B9" w:rsidRDefault="00CF0E2D" w:rsidP="00A60D4B">
            <w:pPr>
              <w:pStyle w:val="EmptyCell0"/>
              <w:keepNext/>
              <w:keepLines/>
              <w:rPr>
                <w:sz w:val="24"/>
                <w:szCs w:val="24"/>
              </w:rPr>
            </w:pPr>
            <w:r w:rsidRPr="00BF31B9">
              <w:rPr>
                <w:sz w:val="24"/>
                <w:szCs w:val="24"/>
              </w:rPr>
              <w:t>Empty Cell</w:t>
            </w:r>
          </w:p>
        </w:tc>
        <w:tc>
          <w:tcPr>
            <w:tcW w:w="1179" w:type="dxa"/>
            <w:tcBorders>
              <w:top w:val="single" w:sz="4" w:space="0" w:color="auto"/>
              <w:bottom w:val="single" w:sz="4" w:space="0" w:color="auto"/>
            </w:tcBorders>
          </w:tcPr>
          <w:p w14:paraId="736D1744" w14:textId="77777777" w:rsidR="00CF0E2D" w:rsidRPr="00BF31B9" w:rsidRDefault="00CF0E2D" w:rsidP="00A60D4B">
            <w:pPr>
              <w:pStyle w:val="InitFigR"/>
              <w:keepNext/>
              <w:keepLines/>
              <w:rPr>
                <w:b/>
                <w:szCs w:val="24"/>
              </w:rPr>
            </w:pPr>
            <w:r w:rsidRPr="00BF31B9">
              <w:rPr>
                <w:b/>
                <w:szCs w:val="24"/>
              </w:rPr>
              <w:t>2021-22</w:t>
            </w:r>
          </w:p>
          <w:p w14:paraId="3B22780D" w14:textId="77777777" w:rsidR="00CF0E2D" w:rsidRPr="00BF31B9" w:rsidRDefault="00CF0E2D" w:rsidP="00A60D4B">
            <w:pPr>
              <w:pStyle w:val="InitFigR"/>
              <w:keepNext/>
              <w:keepLines/>
              <w:rPr>
                <w:b/>
                <w:szCs w:val="24"/>
              </w:rPr>
            </w:pPr>
            <w:r w:rsidRPr="00BF31B9">
              <w:rPr>
                <w:b/>
                <w:szCs w:val="24"/>
              </w:rPr>
              <w:t>$’000</w:t>
            </w:r>
          </w:p>
        </w:tc>
        <w:tc>
          <w:tcPr>
            <w:tcW w:w="1041" w:type="dxa"/>
            <w:tcBorders>
              <w:top w:val="single" w:sz="4" w:space="0" w:color="auto"/>
              <w:bottom w:val="single" w:sz="4" w:space="0" w:color="auto"/>
            </w:tcBorders>
          </w:tcPr>
          <w:p w14:paraId="34645760" w14:textId="77777777" w:rsidR="00CF0E2D" w:rsidRPr="00BF31B9" w:rsidRDefault="00CF0E2D" w:rsidP="00A60D4B">
            <w:pPr>
              <w:pStyle w:val="InitFigR"/>
              <w:keepNext/>
              <w:keepLines/>
              <w:rPr>
                <w:b/>
                <w:szCs w:val="24"/>
              </w:rPr>
            </w:pPr>
            <w:r w:rsidRPr="00BF31B9">
              <w:rPr>
                <w:b/>
                <w:szCs w:val="24"/>
              </w:rPr>
              <w:t>2022-23</w:t>
            </w:r>
          </w:p>
          <w:p w14:paraId="0878D0C0" w14:textId="77777777" w:rsidR="00CF0E2D" w:rsidRPr="00BF31B9" w:rsidRDefault="00CF0E2D" w:rsidP="00A60D4B">
            <w:pPr>
              <w:pStyle w:val="InitFigR"/>
              <w:keepNext/>
              <w:keepLines/>
              <w:rPr>
                <w:b/>
                <w:szCs w:val="24"/>
              </w:rPr>
            </w:pPr>
            <w:r w:rsidRPr="00BF31B9">
              <w:rPr>
                <w:b/>
                <w:szCs w:val="24"/>
              </w:rPr>
              <w:t>$’000</w:t>
            </w:r>
          </w:p>
        </w:tc>
        <w:tc>
          <w:tcPr>
            <w:tcW w:w="1029" w:type="dxa"/>
            <w:tcBorders>
              <w:top w:val="single" w:sz="4" w:space="0" w:color="auto"/>
              <w:bottom w:val="single" w:sz="4" w:space="0" w:color="auto"/>
            </w:tcBorders>
          </w:tcPr>
          <w:p w14:paraId="1DED052F" w14:textId="77777777" w:rsidR="00CF0E2D" w:rsidRPr="00BF31B9" w:rsidRDefault="00CF0E2D" w:rsidP="00A60D4B">
            <w:pPr>
              <w:pStyle w:val="InitFigR"/>
              <w:keepNext/>
              <w:keepLines/>
              <w:rPr>
                <w:b/>
                <w:szCs w:val="24"/>
              </w:rPr>
            </w:pPr>
            <w:r w:rsidRPr="00BF31B9">
              <w:rPr>
                <w:b/>
                <w:szCs w:val="24"/>
              </w:rPr>
              <w:t>2023-24</w:t>
            </w:r>
          </w:p>
          <w:p w14:paraId="28EC8EBA" w14:textId="77777777" w:rsidR="00CF0E2D" w:rsidRPr="00BF31B9" w:rsidRDefault="00CF0E2D" w:rsidP="00A60D4B">
            <w:pPr>
              <w:pStyle w:val="InitFigR"/>
              <w:keepNext/>
              <w:keepLines/>
              <w:rPr>
                <w:b/>
                <w:szCs w:val="24"/>
              </w:rPr>
            </w:pPr>
            <w:r w:rsidRPr="00BF31B9">
              <w:rPr>
                <w:b/>
                <w:szCs w:val="24"/>
              </w:rPr>
              <w:t>$’000</w:t>
            </w:r>
          </w:p>
        </w:tc>
        <w:tc>
          <w:tcPr>
            <w:tcW w:w="1029" w:type="dxa"/>
            <w:tcBorders>
              <w:top w:val="single" w:sz="4" w:space="0" w:color="auto"/>
              <w:bottom w:val="single" w:sz="4" w:space="0" w:color="auto"/>
            </w:tcBorders>
          </w:tcPr>
          <w:p w14:paraId="162C4752" w14:textId="77777777" w:rsidR="00CF0E2D" w:rsidRPr="00BF31B9" w:rsidRDefault="00CF0E2D" w:rsidP="00A60D4B">
            <w:pPr>
              <w:pStyle w:val="InitFigR"/>
              <w:keepNext/>
              <w:keepLines/>
              <w:rPr>
                <w:b/>
                <w:szCs w:val="24"/>
              </w:rPr>
            </w:pPr>
            <w:r w:rsidRPr="00BF31B9">
              <w:rPr>
                <w:b/>
                <w:szCs w:val="24"/>
              </w:rPr>
              <w:t>2024-25</w:t>
            </w:r>
          </w:p>
          <w:p w14:paraId="3BB8CEC9" w14:textId="77777777" w:rsidR="00CF0E2D" w:rsidRPr="00BF31B9" w:rsidRDefault="00CF0E2D" w:rsidP="00A60D4B">
            <w:pPr>
              <w:pStyle w:val="InitFigR"/>
              <w:keepNext/>
              <w:keepLines/>
              <w:rPr>
                <w:b/>
                <w:szCs w:val="24"/>
              </w:rPr>
            </w:pPr>
            <w:r w:rsidRPr="00BF31B9">
              <w:rPr>
                <w:b/>
                <w:szCs w:val="24"/>
              </w:rPr>
              <w:t>$’000</w:t>
            </w:r>
          </w:p>
        </w:tc>
        <w:tc>
          <w:tcPr>
            <w:tcW w:w="1029" w:type="dxa"/>
            <w:tcBorders>
              <w:top w:val="single" w:sz="4" w:space="0" w:color="auto"/>
              <w:bottom w:val="single" w:sz="4" w:space="0" w:color="auto"/>
            </w:tcBorders>
          </w:tcPr>
          <w:p w14:paraId="3BE1BF20" w14:textId="77777777" w:rsidR="00CF0E2D" w:rsidRPr="00BF31B9" w:rsidRDefault="00CF0E2D" w:rsidP="00A60D4B">
            <w:pPr>
              <w:pStyle w:val="InitFigRBold"/>
              <w:keepNext/>
              <w:keepLines/>
              <w:rPr>
                <w:szCs w:val="24"/>
              </w:rPr>
            </w:pPr>
            <w:r w:rsidRPr="00BF31B9">
              <w:rPr>
                <w:szCs w:val="24"/>
              </w:rPr>
              <w:t>Total</w:t>
            </w:r>
          </w:p>
          <w:p w14:paraId="5E6DFAC0" w14:textId="77777777" w:rsidR="00CF0E2D" w:rsidRPr="00BF31B9" w:rsidRDefault="00CF0E2D" w:rsidP="00A60D4B">
            <w:pPr>
              <w:pStyle w:val="InitFigBR"/>
              <w:keepNext/>
              <w:keepLines/>
              <w:rPr>
                <w:szCs w:val="24"/>
              </w:rPr>
            </w:pPr>
            <w:r w:rsidRPr="00BF31B9">
              <w:rPr>
                <w:szCs w:val="24"/>
              </w:rPr>
              <w:t>$’000</w:t>
            </w:r>
          </w:p>
        </w:tc>
      </w:tr>
      <w:tr w:rsidR="00CF0E2D" w:rsidRPr="00750793" w14:paraId="18593A44" w14:textId="77777777" w:rsidTr="00A60D4B">
        <w:trPr>
          <w:cantSplit/>
          <w:jc w:val="center"/>
        </w:trPr>
        <w:tc>
          <w:tcPr>
            <w:tcW w:w="3652" w:type="dxa"/>
            <w:tcBorders>
              <w:top w:val="single" w:sz="4" w:space="0" w:color="auto"/>
              <w:bottom w:val="single" w:sz="4" w:space="0" w:color="auto"/>
            </w:tcBorders>
          </w:tcPr>
          <w:p w14:paraId="05EC5B52" w14:textId="77777777" w:rsidR="00CF0E2D" w:rsidRPr="00BF31B9" w:rsidRDefault="00CF0E2D" w:rsidP="00A60D4B">
            <w:pPr>
              <w:pStyle w:val="InitTextL"/>
              <w:keepNext/>
              <w:keepLines/>
              <w:ind w:left="321" w:hanging="321"/>
              <w:rPr>
                <w:szCs w:val="24"/>
              </w:rPr>
            </w:pPr>
            <w:r w:rsidRPr="00BF31B9">
              <w:rPr>
                <w:szCs w:val="24"/>
              </w:rPr>
              <w:t>Expenses</w:t>
            </w:r>
          </w:p>
        </w:tc>
        <w:tc>
          <w:tcPr>
            <w:tcW w:w="1179" w:type="dxa"/>
            <w:tcBorders>
              <w:top w:val="single" w:sz="4" w:space="0" w:color="auto"/>
              <w:bottom w:val="single" w:sz="4" w:space="0" w:color="auto"/>
            </w:tcBorders>
          </w:tcPr>
          <w:p w14:paraId="577808D1" w14:textId="77777777" w:rsidR="00CF0E2D" w:rsidRPr="00BF31B9" w:rsidRDefault="00CF0E2D" w:rsidP="00A60D4B">
            <w:pPr>
              <w:pStyle w:val="InitFigR"/>
              <w:keepNext/>
              <w:keepLines/>
              <w:rPr>
                <w:szCs w:val="24"/>
              </w:rPr>
            </w:pPr>
            <w:r w:rsidRPr="00BF31B9">
              <w:rPr>
                <w:szCs w:val="24"/>
              </w:rPr>
              <w:t>597</w:t>
            </w:r>
          </w:p>
        </w:tc>
        <w:tc>
          <w:tcPr>
            <w:tcW w:w="1041" w:type="dxa"/>
            <w:tcBorders>
              <w:top w:val="single" w:sz="4" w:space="0" w:color="auto"/>
              <w:bottom w:val="single" w:sz="4" w:space="0" w:color="auto"/>
            </w:tcBorders>
          </w:tcPr>
          <w:p w14:paraId="32F72453" w14:textId="77777777" w:rsidR="00CF0E2D" w:rsidRPr="00BF31B9" w:rsidRDefault="00CF0E2D" w:rsidP="00A60D4B">
            <w:pPr>
              <w:pStyle w:val="InitFigR"/>
              <w:keepNext/>
              <w:keepLines/>
              <w:rPr>
                <w:szCs w:val="24"/>
              </w:rPr>
            </w:pPr>
            <w:r w:rsidRPr="00BF31B9">
              <w:rPr>
                <w:szCs w:val="24"/>
              </w:rPr>
              <w:t>783</w:t>
            </w:r>
          </w:p>
        </w:tc>
        <w:tc>
          <w:tcPr>
            <w:tcW w:w="1029" w:type="dxa"/>
            <w:tcBorders>
              <w:top w:val="single" w:sz="4" w:space="0" w:color="auto"/>
              <w:bottom w:val="single" w:sz="4" w:space="0" w:color="auto"/>
            </w:tcBorders>
          </w:tcPr>
          <w:p w14:paraId="4E395B4B" w14:textId="77777777" w:rsidR="00CF0E2D" w:rsidRPr="00BF31B9" w:rsidRDefault="00CF0E2D" w:rsidP="00A60D4B">
            <w:pPr>
              <w:pStyle w:val="InitFigR"/>
              <w:keepNext/>
              <w:keepLines/>
              <w:rPr>
                <w:szCs w:val="24"/>
              </w:rPr>
            </w:pPr>
            <w:r w:rsidRPr="00BF31B9">
              <w:rPr>
                <w:szCs w:val="24"/>
              </w:rPr>
              <w:t>595</w:t>
            </w:r>
          </w:p>
        </w:tc>
        <w:tc>
          <w:tcPr>
            <w:tcW w:w="1029" w:type="dxa"/>
            <w:tcBorders>
              <w:top w:val="single" w:sz="4" w:space="0" w:color="auto"/>
              <w:bottom w:val="single" w:sz="4" w:space="0" w:color="auto"/>
            </w:tcBorders>
          </w:tcPr>
          <w:p w14:paraId="09702F9B" w14:textId="77777777" w:rsidR="00CF0E2D" w:rsidRPr="00BF31B9" w:rsidRDefault="00CF0E2D" w:rsidP="00A60D4B">
            <w:pPr>
              <w:pStyle w:val="InitFigR"/>
              <w:keepNext/>
              <w:keepLines/>
              <w:rPr>
                <w:szCs w:val="24"/>
              </w:rPr>
            </w:pPr>
            <w:r w:rsidRPr="00BF31B9">
              <w:rPr>
                <w:szCs w:val="24"/>
              </w:rPr>
              <w:t>0</w:t>
            </w:r>
          </w:p>
        </w:tc>
        <w:tc>
          <w:tcPr>
            <w:tcW w:w="1029" w:type="dxa"/>
            <w:tcBorders>
              <w:top w:val="single" w:sz="4" w:space="0" w:color="auto"/>
              <w:bottom w:val="single" w:sz="4" w:space="0" w:color="auto"/>
            </w:tcBorders>
          </w:tcPr>
          <w:p w14:paraId="2FDEFB3E" w14:textId="77777777" w:rsidR="00CF0E2D" w:rsidRPr="00BF31B9" w:rsidRDefault="00CF0E2D" w:rsidP="00A60D4B">
            <w:pPr>
              <w:pStyle w:val="InitFigBR"/>
              <w:keepNext/>
              <w:keepLines/>
              <w:rPr>
                <w:szCs w:val="24"/>
              </w:rPr>
            </w:pPr>
            <w:r w:rsidRPr="00BF31B9">
              <w:rPr>
                <w:szCs w:val="24"/>
              </w:rPr>
              <w:t>1,975</w:t>
            </w:r>
          </w:p>
        </w:tc>
      </w:tr>
    </w:tbl>
    <w:p w14:paraId="321CF3C8" w14:textId="77777777" w:rsidR="00CF0E2D" w:rsidRPr="009E4D1E" w:rsidRDefault="00CF0E2D" w:rsidP="00A60D4B">
      <w:pPr>
        <w:pStyle w:val="Bbodytext"/>
      </w:pPr>
      <w:r w:rsidRPr="009E4D1E">
        <w:t xml:space="preserve">The Government will revise the </w:t>
      </w:r>
      <w:r w:rsidRPr="00EB652B">
        <w:rPr>
          <w:i/>
          <w:iCs/>
        </w:rPr>
        <w:t>Children and Young People Act 2008</w:t>
      </w:r>
      <w:r w:rsidRPr="009E4D1E">
        <w:t xml:space="preserve"> to ensure a quality legislative framework for the ACT's child protection and family support system.</w:t>
      </w:r>
    </w:p>
    <w:p w14:paraId="1BC11886" w14:textId="77777777" w:rsidR="00CF0E2D" w:rsidRPr="009E4D1E" w:rsidRDefault="00CF0E2D" w:rsidP="00A60D4B">
      <w:pPr>
        <w:pStyle w:val="Bbodytext"/>
      </w:pPr>
      <w:r w:rsidRPr="009E4D1E">
        <w:t>This initiative contributes to the wellbeing domains of Safety, Identity and belonging and Governance and institutions.</w:t>
      </w:r>
    </w:p>
    <w:p w14:paraId="59D6907D" w14:textId="77777777" w:rsidR="00CF0E2D" w:rsidRDefault="00CF0E2D" w:rsidP="00A60D4B">
      <w:r>
        <w:rPr>
          <w:rFonts w:ascii="Calibri" w:eastAsiaTheme="majorEastAsia" w:hAnsi="Calibri" w:cstheme="majorBidi"/>
          <w:b/>
          <w:noProof/>
          <w:color w:val="999789"/>
          <w:sz w:val="32"/>
          <w:szCs w:val="24"/>
        </w:rPr>
        <w:drawing>
          <wp:anchor distT="0" distB="0" distL="114300" distR="114300" simplePos="0" relativeHeight="251784192" behindDoc="0" locked="1" layoutInCell="1" allowOverlap="1" wp14:anchorId="4DFD5388" wp14:editId="0A7A67CB">
            <wp:simplePos x="0" y="0"/>
            <wp:positionH relativeFrom="margin">
              <wp:posOffset>4739640</wp:posOffset>
            </wp:positionH>
            <wp:positionV relativeFrom="paragraph">
              <wp:posOffset>137160</wp:posOffset>
            </wp:positionV>
            <wp:extent cx="989965" cy="503555"/>
            <wp:effectExtent l="0" t="0" r="635" b="0"/>
            <wp:wrapSquare wrapText="bothSides"/>
            <wp:docPr id="98" name="Picture 98"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p w14:paraId="1771F403" w14:textId="77777777" w:rsidR="00CF0E2D" w:rsidRPr="00FF770A" w:rsidRDefault="00CF0E2D" w:rsidP="00A60D4B">
      <w:pPr>
        <w:pStyle w:val="Heading4"/>
        <w:rPr>
          <w:rFonts w:eastAsia="Times New Roman" w:cs="Times New Roman"/>
          <w:bCs/>
          <w:szCs w:val="26"/>
        </w:rPr>
      </w:pPr>
      <w:r w:rsidRPr="00FF770A">
        <w:rPr>
          <w:rFonts w:eastAsia="Times New Roman"/>
        </w:rPr>
        <w:t xml:space="preserve">Improving </w:t>
      </w:r>
      <w:r>
        <w:rPr>
          <w:rFonts w:eastAsia="Times New Roman" w:cs="Times New Roman"/>
          <w:szCs w:val="26"/>
        </w:rPr>
        <w:t>s</w:t>
      </w:r>
      <w:r w:rsidRPr="00FF770A">
        <w:rPr>
          <w:rFonts w:eastAsia="Times New Roman" w:cs="Times New Roman"/>
          <w:szCs w:val="26"/>
        </w:rPr>
        <w:t>afety</w:t>
      </w:r>
      <w:r w:rsidRPr="00FF770A">
        <w:rPr>
          <w:rFonts w:eastAsia="Times New Roman" w:cs="Times New Roman"/>
          <w:bCs/>
          <w:szCs w:val="26"/>
        </w:rPr>
        <w:t xml:space="preserve"> at Bimberi Youth Justice Centre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401F208C" w14:textId="77777777" w:rsidTr="00A60D4B">
        <w:trPr>
          <w:cantSplit/>
          <w:jc w:val="center"/>
        </w:trPr>
        <w:tc>
          <w:tcPr>
            <w:tcW w:w="3652" w:type="dxa"/>
            <w:tcBorders>
              <w:top w:val="single" w:sz="4" w:space="0" w:color="auto"/>
              <w:bottom w:val="single" w:sz="4" w:space="0" w:color="auto"/>
            </w:tcBorders>
          </w:tcPr>
          <w:p w14:paraId="09AAE073"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7B714895" w14:textId="77777777" w:rsidR="00CF0E2D" w:rsidRPr="00CF2A8E" w:rsidRDefault="00CF0E2D" w:rsidP="00A60D4B">
            <w:pPr>
              <w:pStyle w:val="InitFigR"/>
              <w:keepNext/>
              <w:keepLines/>
              <w:rPr>
                <w:b/>
                <w:bCs/>
              </w:rPr>
            </w:pPr>
            <w:r w:rsidRPr="00CF2A8E">
              <w:rPr>
                <w:b/>
                <w:bCs/>
              </w:rPr>
              <w:t>2021-22</w:t>
            </w:r>
          </w:p>
          <w:p w14:paraId="43FA6DCC" w14:textId="77777777" w:rsidR="00CF0E2D" w:rsidRPr="00CF2A8E" w:rsidRDefault="00CF0E2D" w:rsidP="00A60D4B">
            <w:pPr>
              <w:pStyle w:val="InitFigR"/>
              <w:keepNext/>
              <w:keepLines/>
              <w:rPr>
                <w:b/>
                <w:bCs/>
              </w:rPr>
            </w:pPr>
            <w:r w:rsidRPr="00CF2A8E">
              <w:rPr>
                <w:b/>
                <w:bCs/>
              </w:rPr>
              <w:t>$’000</w:t>
            </w:r>
          </w:p>
        </w:tc>
        <w:tc>
          <w:tcPr>
            <w:tcW w:w="1041" w:type="dxa"/>
            <w:tcBorders>
              <w:top w:val="single" w:sz="4" w:space="0" w:color="auto"/>
              <w:bottom w:val="single" w:sz="4" w:space="0" w:color="auto"/>
            </w:tcBorders>
          </w:tcPr>
          <w:p w14:paraId="7952F3B6" w14:textId="77777777" w:rsidR="00CF0E2D" w:rsidRPr="00CF2A8E" w:rsidRDefault="00CF0E2D" w:rsidP="00A60D4B">
            <w:pPr>
              <w:pStyle w:val="InitFigR"/>
              <w:keepNext/>
              <w:keepLines/>
              <w:rPr>
                <w:b/>
                <w:bCs/>
              </w:rPr>
            </w:pPr>
            <w:r w:rsidRPr="00CF2A8E">
              <w:rPr>
                <w:b/>
                <w:bCs/>
              </w:rPr>
              <w:t>2022-23</w:t>
            </w:r>
          </w:p>
          <w:p w14:paraId="7E5C8DB1" w14:textId="77777777" w:rsidR="00CF0E2D" w:rsidRPr="00CF2A8E" w:rsidRDefault="00CF0E2D" w:rsidP="00A60D4B">
            <w:pPr>
              <w:pStyle w:val="InitFigR"/>
              <w:keepNext/>
              <w:keepLines/>
              <w:rPr>
                <w:b/>
                <w:bCs/>
              </w:rPr>
            </w:pPr>
            <w:r w:rsidRPr="00CF2A8E">
              <w:rPr>
                <w:b/>
                <w:bCs/>
              </w:rPr>
              <w:t>$’000</w:t>
            </w:r>
          </w:p>
        </w:tc>
        <w:tc>
          <w:tcPr>
            <w:tcW w:w="1029" w:type="dxa"/>
            <w:tcBorders>
              <w:top w:val="single" w:sz="4" w:space="0" w:color="auto"/>
              <w:bottom w:val="single" w:sz="4" w:space="0" w:color="auto"/>
            </w:tcBorders>
          </w:tcPr>
          <w:p w14:paraId="3FB4B3D1" w14:textId="77777777" w:rsidR="00CF0E2D" w:rsidRPr="00CF2A8E" w:rsidRDefault="00CF0E2D" w:rsidP="00A60D4B">
            <w:pPr>
              <w:pStyle w:val="InitFigR"/>
              <w:keepNext/>
              <w:keepLines/>
              <w:rPr>
                <w:b/>
                <w:bCs/>
              </w:rPr>
            </w:pPr>
            <w:r w:rsidRPr="00CF2A8E">
              <w:rPr>
                <w:b/>
                <w:bCs/>
              </w:rPr>
              <w:t>2023-24</w:t>
            </w:r>
          </w:p>
          <w:p w14:paraId="12631DCA" w14:textId="77777777" w:rsidR="00CF0E2D" w:rsidRPr="00CF2A8E" w:rsidRDefault="00CF0E2D" w:rsidP="00A60D4B">
            <w:pPr>
              <w:pStyle w:val="InitFigR"/>
              <w:keepNext/>
              <w:keepLines/>
              <w:rPr>
                <w:b/>
                <w:bCs/>
              </w:rPr>
            </w:pPr>
            <w:r w:rsidRPr="00CF2A8E">
              <w:rPr>
                <w:b/>
                <w:bCs/>
              </w:rPr>
              <w:t>$’000</w:t>
            </w:r>
          </w:p>
        </w:tc>
        <w:tc>
          <w:tcPr>
            <w:tcW w:w="1029" w:type="dxa"/>
            <w:tcBorders>
              <w:top w:val="single" w:sz="4" w:space="0" w:color="auto"/>
              <w:bottom w:val="single" w:sz="4" w:space="0" w:color="auto"/>
            </w:tcBorders>
          </w:tcPr>
          <w:p w14:paraId="7F7A7F15" w14:textId="77777777" w:rsidR="00CF0E2D" w:rsidRPr="00CF2A8E" w:rsidRDefault="00CF0E2D" w:rsidP="00A60D4B">
            <w:pPr>
              <w:pStyle w:val="InitFigR"/>
              <w:keepNext/>
              <w:keepLines/>
              <w:rPr>
                <w:b/>
                <w:bCs/>
              </w:rPr>
            </w:pPr>
            <w:r w:rsidRPr="00CF2A8E">
              <w:rPr>
                <w:b/>
                <w:bCs/>
              </w:rPr>
              <w:t>2024-25</w:t>
            </w:r>
          </w:p>
          <w:p w14:paraId="196A4B62" w14:textId="77777777" w:rsidR="00CF0E2D" w:rsidRPr="00CF2A8E" w:rsidRDefault="00CF0E2D" w:rsidP="00A60D4B">
            <w:pPr>
              <w:pStyle w:val="InitFigR"/>
              <w:keepNext/>
              <w:keepLines/>
              <w:rPr>
                <w:b/>
                <w:bCs/>
              </w:rPr>
            </w:pPr>
            <w:r w:rsidRPr="00CF2A8E">
              <w:rPr>
                <w:b/>
                <w:bCs/>
              </w:rPr>
              <w:t>$’000</w:t>
            </w:r>
          </w:p>
        </w:tc>
        <w:tc>
          <w:tcPr>
            <w:tcW w:w="1029" w:type="dxa"/>
            <w:tcBorders>
              <w:top w:val="single" w:sz="4" w:space="0" w:color="auto"/>
              <w:bottom w:val="single" w:sz="4" w:space="0" w:color="auto"/>
            </w:tcBorders>
          </w:tcPr>
          <w:p w14:paraId="1DDAA0BB" w14:textId="77777777" w:rsidR="00CF0E2D" w:rsidRPr="004E341E" w:rsidRDefault="00CF0E2D" w:rsidP="00A60D4B">
            <w:pPr>
              <w:pStyle w:val="InitFigRBold"/>
              <w:keepNext/>
              <w:keepLines/>
            </w:pPr>
            <w:r w:rsidRPr="004E341E">
              <w:t>Total</w:t>
            </w:r>
          </w:p>
          <w:p w14:paraId="6754ED43" w14:textId="77777777" w:rsidR="00CF0E2D" w:rsidRPr="004E341E" w:rsidRDefault="00CF0E2D" w:rsidP="00A60D4B">
            <w:pPr>
              <w:pStyle w:val="InitFigBR"/>
              <w:keepNext/>
              <w:keepLines/>
            </w:pPr>
            <w:r w:rsidRPr="004E341E">
              <w:t>$’000</w:t>
            </w:r>
          </w:p>
        </w:tc>
      </w:tr>
      <w:tr w:rsidR="00CF0E2D" w:rsidRPr="00750793" w14:paraId="0682F7E3" w14:textId="77777777" w:rsidTr="00A60D4B">
        <w:trPr>
          <w:cantSplit/>
          <w:jc w:val="center"/>
        </w:trPr>
        <w:tc>
          <w:tcPr>
            <w:tcW w:w="3652" w:type="dxa"/>
            <w:tcBorders>
              <w:top w:val="single" w:sz="4" w:space="0" w:color="auto"/>
            </w:tcBorders>
          </w:tcPr>
          <w:p w14:paraId="05306258" w14:textId="77777777" w:rsidR="00CF0E2D" w:rsidRDefault="00CF0E2D" w:rsidP="00A60D4B">
            <w:pPr>
              <w:pStyle w:val="InitTextL"/>
              <w:keepNext/>
              <w:keepLines/>
              <w:ind w:left="321" w:hanging="321"/>
            </w:pPr>
            <w:bookmarkStart w:id="37" w:name="_Hlk78804394"/>
            <w:r>
              <w:t>Capital</w:t>
            </w:r>
          </w:p>
        </w:tc>
        <w:tc>
          <w:tcPr>
            <w:tcW w:w="1179" w:type="dxa"/>
            <w:tcBorders>
              <w:top w:val="single" w:sz="4" w:space="0" w:color="auto"/>
            </w:tcBorders>
          </w:tcPr>
          <w:p w14:paraId="2C398863" w14:textId="77777777" w:rsidR="00CF0E2D" w:rsidRDefault="00CF0E2D" w:rsidP="00A60D4B">
            <w:pPr>
              <w:pStyle w:val="InitFigR"/>
              <w:keepNext/>
              <w:keepLines/>
            </w:pPr>
            <w:r>
              <w:t>315</w:t>
            </w:r>
          </w:p>
        </w:tc>
        <w:tc>
          <w:tcPr>
            <w:tcW w:w="1041" w:type="dxa"/>
            <w:tcBorders>
              <w:top w:val="single" w:sz="4" w:space="0" w:color="auto"/>
            </w:tcBorders>
          </w:tcPr>
          <w:p w14:paraId="3631FD35" w14:textId="77777777" w:rsidR="00CF0E2D" w:rsidRDefault="00CF0E2D" w:rsidP="00A60D4B">
            <w:pPr>
              <w:pStyle w:val="InitFigR"/>
              <w:keepNext/>
              <w:keepLines/>
            </w:pPr>
            <w:r>
              <w:t>0</w:t>
            </w:r>
          </w:p>
        </w:tc>
        <w:tc>
          <w:tcPr>
            <w:tcW w:w="1029" w:type="dxa"/>
            <w:tcBorders>
              <w:top w:val="single" w:sz="4" w:space="0" w:color="auto"/>
            </w:tcBorders>
          </w:tcPr>
          <w:p w14:paraId="36CB996B" w14:textId="77777777" w:rsidR="00CF0E2D" w:rsidRDefault="00CF0E2D" w:rsidP="00A60D4B">
            <w:pPr>
              <w:pStyle w:val="InitFigR"/>
              <w:keepNext/>
              <w:keepLines/>
            </w:pPr>
            <w:r>
              <w:t>0</w:t>
            </w:r>
          </w:p>
        </w:tc>
        <w:tc>
          <w:tcPr>
            <w:tcW w:w="1029" w:type="dxa"/>
            <w:tcBorders>
              <w:top w:val="single" w:sz="4" w:space="0" w:color="auto"/>
            </w:tcBorders>
          </w:tcPr>
          <w:p w14:paraId="3BC97C6E" w14:textId="77777777" w:rsidR="00CF0E2D" w:rsidRDefault="00CF0E2D" w:rsidP="00A60D4B">
            <w:pPr>
              <w:pStyle w:val="InitFigR"/>
              <w:keepNext/>
              <w:keepLines/>
            </w:pPr>
            <w:r>
              <w:t>0</w:t>
            </w:r>
          </w:p>
        </w:tc>
        <w:tc>
          <w:tcPr>
            <w:tcW w:w="1029" w:type="dxa"/>
            <w:tcBorders>
              <w:top w:val="single" w:sz="4" w:space="0" w:color="auto"/>
            </w:tcBorders>
          </w:tcPr>
          <w:p w14:paraId="3BB76AA4" w14:textId="77777777" w:rsidR="00CF0E2D" w:rsidRPr="00CF2A8E" w:rsidRDefault="00CF0E2D" w:rsidP="00A60D4B">
            <w:pPr>
              <w:pStyle w:val="InitFigRBold"/>
              <w:keepNext/>
              <w:keepLines/>
              <w:rPr>
                <w:bCs/>
              </w:rPr>
            </w:pPr>
            <w:r w:rsidRPr="00CF2A8E">
              <w:rPr>
                <w:bCs/>
              </w:rPr>
              <w:t>315</w:t>
            </w:r>
          </w:p>
        </w:tc>
      </w:tr>
      <w:tr w:rsidR="00CF0E2D" w:rsidRPr="00750793" w14:paraId="036C26EE" w14:textId="77777777" w:rsidTr="00A60D4B">
        <w:trPr>
          <w:cantSplit/>
          <w:jc w:val="center"/>
        </w:trPr>
        <w:tc>
          <w:tcPr>
            <w:tcW w:w="3652" w:type="dxa"/>
          </w:tcPr>
          <w:p w14:paraId="696C7EED" w14:textId="77777777" w:rsidR="00CF0E2D" w:rsidRDefault="00CF0E2D" w:rsidP="00A60D4B">
            <w:pPr>
              <w:pStyle w:val="InitTextL"/>
              <w:keepNext/>
              <w:keepLines/>
              <w:ind w:left="321" w:hanging="321"/>
            </w:pPr>
            <w:r>
              <w:t>Capital – Provision</w:t>
            </w:r>
          </w:p>
        </w:tc>
        <w:tc>
          <w:tcPr>
            <w:tcW w:w="1179" w:type="dxa"/>
          </w:tcPr>
          <w:p w14:paraId="024E4489" w14:textId="77777777" w:rsidR="00CF0E2D" w:rsidRDefault="00CF0E2D" w:rsidP="00A60D4B">
            <w:pPr>
              <w:pStyle w:val="InitFigR"/>
              <w:keepNext/>
              <w:keepLines/>
            </w:pPr>
            <w:r>
              <w:t>0</w:t>
            </w:r>
          </w:p>
        </w:tc>
        <w:tc>
          <w:tcPr>
            <w:tcW w:w="1041" w:type="dxa"/>
          </w:tcPr>
          <w:p w14:paraId="0FA7E79B" w14:textId="77777777" w:rsidR="00CF0E2D" w:rsidRDefault="00CF0E2D" w:rsidP="00A60D4B">
            <w:pPr>
              <w:pStyle w:val="InitFigR"/>
              <w:keepNext/>
              <w:keepLines/>
            </w:pPr>
            <w:r>
              <w:t>315</w:t>
            </w:r>
          </w:p>
        </w:tc>
        <w:tc>
          <w:tcPr>
            <w:tcW w:w="1029" w:type="dxa"/>
          </w:tcPr>
          <w:p w14:paraId="376CE2C1" w14:textId="77777777" w:rsidR="00CF0E2D" w:rsidRDefault="00CF0E2D" w:rsidP="00A60D4B">
            <w:pPr>
              <w:pStyle w:val="InitFigR"/>
              <w:keepNext/>
              <w:keepLines/>
            </w:pPr>
            <w:r>
              <w:t>0</w:t>
            </w:r>
          </w:p>
        </w:tc>
        <w:tc>
          <w:tcPr>
            <w:tcW w:w="1029" w:type="dxa"/>
          </w:tcPr>
          <w:p w14:paraId="6743CE7E" w14:textId="77777777" w:rsidR="00CF0E2D" w:rsidRDefault="00CF0E2D" w:rsidP="00A60D4B">
            <w:pPr>
              <w:pStyle w:val="InitFigR"/>
              <w:keepNext/>
              <w:keepLines/>
            </w:pPr>
            <w:r>
              <w:t>0</w:t>
            </w:r>
          </w:p>
        </w:tc>
        <w:tc>
          <w:tcPr>
            <w:tcW w:w="1029" w:type="dxa"/>
          </w:tcPr>
          <w:p w14:paraId="2F55A372" w14:textId="77777777" w:rsidR="00CF0E2D" w:rsidRPr="00CF2A8E" w:rsidRDefault="00CF0E2D" w:rsidP="00A60D4B">
            <w:pPr>
              <w:pStyle w:val="InitFigRBold"/>
              <w:keepNext/>
              <w:keepLines/>
              <w:rPr>
                <w:bCs/>
              </w:rPr>
            </w:pPr>
            <w:r w:rsidRPr="00CF2A8E">
              <w:rPr>
                <w:bCs/>
              </w:rPr>
              <w:t>315</w:t>
            </w:r>
          </w:p>
        </w:tc>
      </w:tr>
      <w:tr w:rsidR="00CF0E2D" w:rsidRPr="00750793" w14:paraId="2EAA740C" w14:textId="77777777" w:rsidTr="00A60D4B">
        <w:trPr>
          <w:cantSplit/>
          <w:jc w:val="center"/>
        </w:trPr>
        <w:tc>
          <w:tcPr>
            <w:tcW w:w="3652" w:type="dxa"/>
            <w:tcBorders>
              <w:top w:val="single" w:sz="4" w:space="0" w:color="auto"/>
              <w:bottom w:val="single" w:sz="4" w:space="0" w:color="auto"/>
            </w:tcBorders>
          </w:tcPr>
          <w:p w14:paraId="671E3C1E" w14:textId="11838DCC" w:rsidR="00CF0E2D" w:rsidRPr="00D13A71" w:rsidRDefault="00B86042" w:rsidP="00A60D4B">
            <w:pPr>
              <w:pStyle w:val="InitTextL"/>
              <w:keepNext/>
              <w:keepLines/>
              <w:ind w:left="321" w:hanging="321"/>
              <w:rPr>
                <w:b/>
                <w:bCs/>
              </w:rPr>
            </w:pPr>
            <w:r>
              <w:rPr>
                <w:b/>
                <w:bCs/>
              </w:rPr>
              <w:t>Total capital</w:t>
            </w:r>
          </w:p>
        </w:tc>
        <w:tc>
          <w:tcPr>
            <w:tcW w:w="1179" w:type="dxa"/>
            <w:tcBorders>
              <w:top w:val="single" w:sz="4" w:space="0" w:color="auto"/>
              <w:bottom w:val="single" w:sz="4" w:space="0" w:color="auto"/>
            </w:tcBorders>
          </w:tcPr>
          <w:p w14:paraId="0DF54BEE" w14:textId="77777777" w:rsidR="00CF0E2D" w:rsidRPr="00CF2A8E" w:rsidRDefault="00CF0E2D" w:rsidP="00A60D4B">
            <w:pPr>
              <w:pStyle w:val="InitFigR"/>
              <w:keepNext/>
              <w:keepLines/>
              <w:rPr>
                <w:b/>
                <w:bCs/>
              </w:rPr>
            </w:pPr>
            <w:r w:rsidRPr="00CF2A8E">
              <w:rPr>
                <w:b/>
                <w:bCs/>
              </w:rPr>
              <w:t>315</w:t>
            </w:r>
          </w:p>
        </w:tc>
        <w:tc>
          <w:tcPr>
            <w:tcW w:w="1041" w:type="dxa"/>
            <w:tcBorders>
              <w:top w:val="single" w:sz="4" w:space="0" w:color="auto"/>
              <w:bottom w:val="single" w:sz="4" w:space="0" w:color="auto"/>
            </w:tcBorders>
          </w:tcPr>
          <w:p w14:paraId="166E94B3" w14:textId="77777777" w:rsidR="00CF0E2D" w:rsidRPr="00CF2A8E" w:rsidRDefault="00CF0E2D" w:rsidP="00A60D4B">
            <w:pPr>
              <w:pStyle w:val="InitFigR"/>
              <w:keepNext/>
              <w:keepLines/>
              <w:rPr>
                <w:b/>
                <w:bCs/>
              </w:rPr>
            </w:pPr>
            <w:r w:rsidRPr="00CF2A8E">
              <w:rPr>
                <w:b/>
                <w:bCs/>
              </w:rPr>
              <w:t>315</w:t>
            </w:r>
          </w:p>
        </w:tc>
        <w:tc>
          <w:tcPr>
            <w:tcW w:w="1029" w:type="dxa"/>
            <w:tcBorders>
              <w:top w:val="single" w:sz="4" w:space="0" w:color="auto"/>
              <w:bottom w:val="single" w:sz="4" w:space="0" w:color="auto"/>
            </w:tcBorders>
          </w:tcPr>
          <w:p w14:paraId="2B4B4316" w14:textId="77777777" w:rsidR="00CF0E2D" w:rsidRPr="00CF2A8E" w:rsidRDefault="00CF0E2D" w:rsidP="00A60D4B">
            <w:pPr>
              <w:pStyle w:val="InitFigR"/>
              <w:keepNext/>
              <w:keepLines/>
              <w:rPr>
                <w:b/>
                <w:bCs/>
              </w:rPr>
            </w:pPr>
            <w:r w:rsidRPr="00CF2A8E">
              <w:rPr>
                <w:b/>
                <w:bCs/>
              </w:rPr>
              <w:t>0</w:t>
            </w:r>
          </w:p>
        </w:tc>
        <w:tc>
          <w:tcPr>
            <w:tcW w:w="1029" w:type="dxa"/>
            <w:tcBorders>
              <w:top w:val="single" w:sz="4" w:space="0" w:color="auto"/>
              <w:bottom w:val="single" w:sz="4" w:space="0" w:color="auto"/>
            </w:tcBorders>
          </w:tcPr>
          <w:p w14:paraId="01597558" w14:textId="77777777" w:rsidR="00CF0E2D" w:rsidRPr="00CF2A8E" w:rsidRDefault="00CF0E2D" w:rsidP="00A60D4B">
            <w:pPr>
              <w:pStyle w:val="InitFigR"/>
              <w:keepNext/>
              <w:keepLines/>
              <w:rPr>
                <w:b/>
                <w:bCs/>
              </w:rPr>
            </w:pPr>
            <w:r w:rsidRPr="00CF2A8E">
              <w:rPr>
                <w:b/>
                <w:bCs/>
              </w:rPr>
              <w:t>0</w:t>
            </w:r>
          </w:p>
        </w:tc>
        <w:tc>
          <w:tcPr>
            <w:tcW w:w="1029" w:type="dxa"/>
            <w:tcBorders>
              <w:top w:val="single" w:sz="4" w:space="0" w:color="auto"/>
              <w:bottom w:val="single" w:sz="4" w:space="0" w:color="auto"/>
            </w:tcBorders>
          </w:tcPr>
          <w:p w14:paraId="5FF755FB" w14:textId="77777777" w:rsidR="00CF0E2D" w:rsidRPr="00CF2A8E" w:rsidRDefault="00CF0E2D" w:rsidP="00A60D4B">
            <w:pPr>
              <w:pStyle w:val="InitFigRBold"/>
              <w:keepNext/>
              <w:keepLines/>
              <w:rPr>
                <w:bCs/>
              </w:rPr>
            </w:pPr>
            <w:r w:rsidRPr="00CF2A8E">
              <w:rPr>
                <w:bCs/>
              </w:rPr>
              <w:t>630</w:t>
            </w:r>
          </w:p>
        </w:tc>
      </w:tr>
      <w:bookmarkEnd w:id="37"/>
      <w:tr w:rsidR="00CF0E2D" w:rsidRPr="00750793" w14:paraId="706398A3" w14:textId="77777777" w:rsidTr="00A60D4B">
        <w:trPr>
          <w:cantSplit/>
          <w:jc w:val="center"/>
        </w:trPr>
        <w:tc>
          <w:tcPr>
            <w:tcW w:w="3652" w:type="dxa"/>
            <w:tcBorders>
              <w:top w:val="single" w:sz="4" w:space="0" w:color="auto"/>
              <w:bottom w:val="single" w:sz="4" w:space="0" w:color="auto"/>
            </w:tcBorders>
          </w:tcPr>
          <w:p w14:paraId="5C32CAF2" w14:textId="77777777" w:rsidR="00CF0E2D" w:rsidRPr="00F13FAB" w:rsidRDefault="00CF0E2D" w:rsidP="00A60D4B">
            <w:pPr>
              <w:pStyle w:val="InitTextL"/>
              <w:keepNext/>
              <w:keepLines/>
              <w:ind w:left="321" w:hanging="321"/>
            </w:pPr>
            <w:r>
              <w:t>Expenses</w:t>
            </w:r>
          </w:p>
        </w:tc>
        <w:tc>
          <w:tcPr>
            <w:tcW w:w="1179" w:type="dxa"/>
            <w:tcBorders>
              <w:top w:val="single" w:sz="4" w:space="0" w:color="auto"/>
              <w:bottom w:val="single" w:sz="4" w:space="0" w:color="auto"/>
            </w:tcBorders>
          </w:tcPr>
          <w:p w14:paraId="23A096E8" w14:textId="77777777" w:rsidR="00CF0E2D" w:rsidRPr="00424DA4" w:rsidRDefault="00CF0E2D" w:rsidP="00A60D4B">
            <w:pPr>
              <w:pStyle w:val="InitFigR"/>
              <w:keepNext/>
              <w:keepLines/>
            </w:pPr>
            <w:r>
              <w:t>225</w:t>
            </w:r>
          </w:p>
        </w:tc>
        <w:tc>
          <w:tcPr>
            <w:tcW w:w="1041" w:type="dxa"/>
            <w:tcBorders>
              <w:top w:val="single" w:sz="4" w:space="0" w:color="auto"/>
              <w:bottom w:val="single" w:sz="4" w:space="0" w:color="auto"/>
            </w:tcBorders>
          </w:tcPr>
          <w:p w14:paraId="62CA18D2" w14:textId="77777777" w:rsidR="00CF0E2D" w:rsidRPr="00424DA4" w:rsidRDefault="00CF0E2D" w:rsidP="00A60D4B">
            <w:pPr>
              <w:pStyle w:val="InitFigR"/>
              <w:keepNext/>
              <w:keepLines/>
            </w:pPr>
            <w:r>
              <w:t>228</w:t>
            </w:r>
          </w:p>
        </w:tc>
        <w:tc>
          <w:tcPr>
            <w:tcW w:w="1029" w:type="dxa"/>
            <w:tcBorders>
              <w:top w:val="single" w:sz="4" w:space="0" w:color="auto"/>
              <w:bottom w:val="single" w:sz="4" w:space="0" w:color="auto"/>
            </w:tcBorders>
          </w:tcPr>
          <w:p w14:paraId="7E27289F" w14:textId="77777777" w:rsidR="00CF0E2D" w:rsidRPr="00424DA4" w:rsidRDefault="00CF0E2D" w:rsidP="00A60D4B">
            <w:pPr>
              <w:pStyle w:val="InitFigR"/>
              <w:keepNext/>
              <w:keepLines/>
            </w:pPr>
            <w:r>
              <w:t>231</w:t>
            </w:r>
          </w:p>
        </w:tc>
        <w:tc>
          <w:tcPr>
            <w:tcW w:w="1029" w:type="dxa"/>
            <w:tcBorders>
              <w:top w:val="single" w:sz="4" w:space="0" w:color="auto"/>
              <w:bottom w:val="single" w:sz="4" w:space="0" w:color="auto"/>
            </w:tcBorders>
          </w:tcPr>
          <w:p w14:paraId="3F4E5106" w14:textId="77777777" w:rsidR="00CF0E2D" w:rsidRPr="00424DA4" w:rsidRDefault="00CF0E2D" w:rsidP="00A60D4B">
            <w:pPr>
              <w:pStyle w:val="InitFigR"/>
              <w:keepNext/>
              <w:keepLines/>
            </w:pPr>
            <w:r>
              <w:t>234</w:t>
            </w:r>
          </w:p>
        </w:tc>
        <w:tc>
          <w:tcPr>
            <w:tcW w:w="1029" w:type="dxa"/>
            <w:tcBorders>
              <w:top w:val="single" w:sz="4" w:space="0" w:color="auto"/>
              <w:bottom w:val="single" w:sz="4" w:space="0" w:color="auto"/>
            </w:tcBorders>
          </w:tcPr>
          <w:p w14:paraId="3A87375C" w14:textId="77777777" w:rsidR="00CF0E2D" w:rsidRPr="00424DA4" w:rsidRDefault="00CF0E2D" w:rsidP="00A60D4B">
            <w:pPr>
              <w:pStyle w:val="InitFigBR"/>
              <w:keepNext/>
              <w:keepLines/>
            </w:pPr>
            <w:r>
              <w:t>918</w:t>
            </w:r>
          </w:p>
        </w:tc>
      </w:tr>
    </w:tbl>
    <w:p w14:paraId="37E3ABB6" w14:textId="77777777" w:rsidR="00CF0E2D" w:rsidRPr="007E4BCF" w:rsidRDefault="00CF0E2D" w:rsidP="00A60D4B">
      <w:pPr>
        <w:pStyle w:val="Bbodytext"/>
      </w:pPr>
      <w:r w:rsidRPr="007E4BCF">
        <w:t>The Government will implement safety improvements at Bimberi Youth Justice Centre to address the terms of an enforceable undertaking between CSD and WorkSafe ACT.</w:t>
      </w:r>
    </w:p>
    <w:p w14:paraId="343F40C1" w14:textId="77777777" w:rsidR="00CF0E2D" w:rsidRPr="007E4BCF" w:rsidRDefault="00CF0E2D" w:rsidP="00A60D4B">
      <w:pPr>
        <w:pStyle w:val="Bbodytext"/>
      </w:pPr>
      <w:r w:rsidRPr="007E4BCF">
        <w:t>This initiative builds on recent Government decisions including funding provided in the 2019-20 Budget Review for infrastructure upgrades and work health and safety improvements</w:t>
      </w:r>
      <w:r>
        <w:t xml:space="preserve"> at Bimberi Youth Justice Centre</w:t>
      </w:r>
      <w:r w:rsidRPr="007E4BCF">
        <w:t>.</w:t>
      </w:r>
    </w:p>
    <w:p w14:paraId="79A40B92" w14:textId="77777777" w:rsidR="00CF0E2D" w:rsidRDefault="00CF0E2D" w:rsidP="00A60D4B">
      <w:pPr>
        <w:pStyle w:val="Bbodytext"/>
      </w:pPr>
      <w:r w:rsidRPr="007E4BCF">
        <w:t>This initiative contributes to the wellbeing domain of Safety.</w:t>
      </w:r>
    </w:p>
    <w:p w14:paraId="255CC99D" w14:textId="77777777" w:rsidR="00CF0E2D" w:rsidRDefault="00CF0E2D" w:rsidP="00A60D4B">
      <w:pPr>
        <w:pStyle w:val="Bbodytext"/>
      </w:pPr>
      <w:bookmarkStart w:id="38" w:name="_Hlk82099780"/>
    </w:p>
    <w:p w14:paraId="73AF6353" w14:textId="77777777" w:rsidR="00CF0E2D" w:rsidRPr="00AE01EC" w:rsidRDefault="00CF0E2D" w:rsidP="00A60D4B">
      <w:pPr>
        <w:pStyle w:val="Heading4"/>
        <w:rPr>
          <w:rFonts w:eastAsia="Times New Roman" w:cs="Times New Roman"/>
          <w:bCs/>
          <w:szCs w:val="26"/>
        </w:rPr>
      </w:pPr>
      <w:r w:rsidRPr="00AE01EC">
        <w:rPr>
          <w:rFonts w:eastAsia="Times New Roman"/>
        </w:rPr>
        <w:t xml:space="preserve">Integrated Service Response Program </w:t>
      </w:r>
      <w:bookmarkEnd w:id="38"/>
      <w:r>
        <w:rPr>
          <w:b w:val="0"/>
          <w:noProof/>
          <w:color w:val="999789"/>
          <w:sz w:val="32"/>
          <w:szCs w:val="24"/>
        </w:rPr>
        <w:drawing>
          <wp:anchor distT="0" distB="0" distL="114300" distR="114300" simplePos="0" relativeHeight="251793408" behindDoc="0" locked="1" layoutInCell="1" allowOverlap="1" wp14:anchorId="14EC92FE" wp14:editId="52CFCF3F">
            <wp:simplePos x="0" y="0"/>
            <wp:positionH relativeFrom="margin">
              <wp:align>right</wp:align>
            </wp:positionH>
            <wp:positionV relativeFrom="paragraph">
              <wp:posOffset>-142875</wp:posOffset>
            </wp:positionV>
            <wp:extent cx="1104900" cy="503555"/>
            <wp:effectExtent l="0" t="0" r="0" b="0"/>
            <wp:wrapSquare wrapText="bothSides"/>
            <wp:docPr id="108" name="Picture 108" descr="Icon representing the wellbeing domain of Housing and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Icon representing the wellbeing domain of Housing and ho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10490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1A93DE5F" w14:textId="77777777" w:rsidTr="00A60D4B">
        <w:trPr>
          <w:cantSplit/>
          <w:jc w:val="center"/>
        </w:trPr>
        <w:tc>
          <w:tcPr>
            <w:tcW w:w="3652" w:type="dxa"/>
            <w:tcBorders>
              <w:top w:val="single" w:sz="4" w:space="0" w:color="auto"/>
              <w:bottom w:val="single" w:sz="4" w:space="0" w:color="auto"/>
            </w:tcBorders>
          </w:tcPr>
          <w:p w14:paraId="2A825872" w14:textId="77777777" w:rsidR="00CF0E2D" w:rsidRPr="00295097" w:rsidRDefault="00CF0E2D" w:rsidP="00A60D4B">
            <w:pPr>
              <w:pStyle w:val="EmptyCell0"/>
              <w:keepNext/>
              <w:keepLines/>
              <w:rPr>
                <w:sz w:val="24"/>
                <w:szCs w:val="24"/>
              </w:rPr>
            </w:pPr>
            <w:r w:rsidRPr="00295097">
              <w:rPr>
                <w:sz w:val="24"/>
                <w:szCs w:val="24"/>
              </w:rPr>
              <w:t>Empty Cell</w:t>
            </w:r>
          </w:p>
        </w:tc>
        <w:tc>
          <w:tcPr>
            <w:tcW w:w="1179" w:type="dxa"/>
            <w:tcBorders>
              <w:top w:val="single" w:sz="4" w:space="0" w:color="auto"/>
              <w:bottom w:val="single" w:sz="4" w:space="0" w:color="auto"/>
            </w:tcBorders>
          </w:tcPr>
          <w:p w14:paraId="6587D977" w14:textId="77777777" w:rsidR="00CF0E2D" w:rsidRPr="00295097" w:rsidRDefault="00CF0E2D" w:rsidP="00A60D4B">
            <w:pPr>
              <w:pStyle w:val="InitFigR"/>
              <w:keepNext/>
              <w:keepLines/>
              <w:rPr>
                <w:b/>
                <w:szCs w:val="24"/>
              </w:rPr>
            </w:pPr>
            <w:r w:rsidRPr="00295097">
              <w:rPr>
                <w:b/>
                <w:szCs w:val="24"/>
              </w:rPr>
              <w:t>2021-22</w:t>
            </w:r>
          </w:p>
          <w:p w14:paraId="27AE9215" w14:textId="77777777" w:rsidR="00CF0E2D" w:rsidRPr="00295097" w:rsidRDefault="00CF0E2D" w:rsidP="00A60D4B">
            <w:pPr>
              <w:pStyle w:val="InitFigR"/>
              <w:keepNext/>
              <w:keepLines/>
              <w:rPr>
                <w:b/>
                <w:szCs w:val="24"/>
              </w:rPr>
            </w:pPr>
            <w:r w:rsidRPr="00295097">
              <w:rPr>
                <w:b/>
                <w:szCs w:val="24"/>
              </w:rPr>
              <w:t>$’000</w:t>
            </w:r>
          </w:p>
        </w:tc>
        <w:tc>
          <w:tcPr>
            <w:tcW w:w="1041" w:type="dxa"/>
            <w:tcBorders>
              <w:top w:val="single" w:sz="4" w:space="0" w:color="auto"/>
              <w:bottom w:val="single" w:sz="4" w:space="0" w:color="auto"/>
            </w:tcBorders>
          </w:tcPr>
          <w:p w14:paraId="6F270006" w14:textId="77777777" w:rsidR="00CF0E2D" w:rsidRPr="00295097" w:rsidRDefault="00CF0E2D" w:rsidP="00A60D4B">
            <w:pPr>
              <w:pStyle w:val="InitFigR"/>
              <w:keepNext/>
              <w:keepLines/>
              <w:rPr>
                <w:b/>
                <w:szCs w:val="24"/>
              </w:rPr>
            </w:pPr>
            <w:r w:rsidRPr="00295097">
              <w:rPr>
                <w:b/>
                <w:szCs w:val="24"/>
              </w:rPr>
              <w:t>2022-23</w:t>
            </w:r>
          </w:p>
          <w:p w14:paraId="4638E290" w14:textId="77777777" w:rsidR="00CF0E2D" w:rsidRPr="00295097" w:rsidRDefault="00CF0E2D" w:rsidP="00A60D4B">
            <w:pPr>
              <w:pStyle w:val="InitFigR"/>
              <w:keepNext/>
              <w:keepLines/>
              <w:rPr>
                <w:b/>
                <w:szCs w:val="24"/>
              </w:rPr>
            </w:pPr>
            <w:r w:rsidRPr="00295097">
              <w:rPr>
                <w:b/>
                <w:szCs w:val="24"/>
              </w:rPr>
              <w:t>$’000</w:t>
            </w:r>
          </w:p>
        </w:tc>
        <w:tc>
          <w:tcPr>
            <w:tcW w:w="1029" w:type="dxa"/>
            <w:tcBorders>
              <w:top w:val="single" w:sz="4" w:space="0" w:color="auto"/>
              <w:bottom w:val="single" w:sz="4" w:space="0" w:color="auto"/>
            </w:tcBorders>
          </w:tcPr>
          <w:p w14:paraId="0F5875DF" w14:textId="77777777" w:rsidR="00CF0E2D" w:rsidRPr="00295097" w:rsidRDefault="00CF0E2D" w:rsidP="00A60D4B">
            <w:pPr>
              <w:pStyle w:val="InitFigR"/>
              <w:keepNext/>
              <w:keepLines/>
              <w:rPr>
                <w:b/>
                <w:szCs w:val="24"/>
              </w:rPr>
            </w:pPr>
            <w:r w:rsidRPr="00295097">
              <w:rPr>
                <w:b/>
                <w:szCs w:val="24"/>
              </w:rPr>
              <w:t>2023-24</w:t>
            </w:r>
          </w:p>
          <w:p w14:paraId="4FAEB165" w14:textId="77777777" w:rsidR="00CF0E2D" w:rsidRPr="00295097" w:rsidRDefault="00CF0E2D" w:rsidP="00A60D4B">
            <w:pPr>
              <w:pStyle w:val="InitFigR"/>
              <w:keepNext/>
              <w:keepLines/>
              <w:rPr>
                <w:b/>
                <w:szCs w:val="24"/>
              </w:rPr>
            </w:pPr>
            <w:r w:rsidRPr="00295097">
              <w:rPr>
                <w:b/>
                <w:szCs w:val="24"/>
              </w:rPr>
              <w:t>$’000</w:t>
            </w:r>
          </w:p>
        </w:tc>
        <w:tc>
          <w:tcPr>
            <w:tcW w:w="1029" w:type="dxa"/>
            <w:tcBorders>
              <w:top w:val="single" w:sz="4" w:space="0" w:color="auto"/>
              <w:bottom w:val="single" w:sz="4" w:space="0" w:color="auto"/>
            </w:tcBorders>
          </w:tcPr>
          <w:p w14:paraId="7BD8512B" w14:textId="77777777" w:rsidR="00CF0E2D" w:rsidRPr="00295097" w:rsidRDefault="00CF0E2D" w:rsidP="00A60D4B">
            <w:pPr>
              <w:pStyle w:val="InitFigR"/>
              <w:keepNext/>
              <w:keepLines/>
              <w:rPr>
                <w:b/>
                <w:szCs w:val="24"/>
              </w:rPr>
            </w:pPr>
            <w:r w:rsidRPr="00295097">
              <w:rPr>
                <w:b/>
                <w:szCs w:val="24"/>
              </w:rPr>
              <w:t>2024-25</w:t>
            </w:r>
          </w:p>
          <w:p w14:paraId="34AEEAE3" w14:textId="77777777" w:rsidR="00CF0E2D" w:rsidRPr="00295097" w:rsidRDefault="00CF0E2D" w:rsidP="00A60D4B">
            <w:pPr>
              <w:pStyle w:val="InitFigR"/>
              <w:keepNext/>
              <w:keepLines/>
              <w:rPr>
                <w:b/>
                <w:szCs w:val="24"/>
              </w:rPr>
            </w:pPr>
            <w:r w:rsidRPr="00295097">
              <w:rPr>
                <w:b/>
                <w:szCs w:val="24"/>
              </w:rPr>
              <w:t>$’000</w:t>
            </w:r>
          </w:p>
        </w:tc>
        <w:tc>
          <w:tcPr>
            <w:tcW w:w="1029" w:type="dxa"/>
            <w:tcBorders>
              <w:top w:val="single" w:sz="4" w:space="0" w:color="auto"/>
              <w:bottom w:val="single" w:sz="4" w:space="0" w:color="auto"/>
            </w:tcBorders>
          </w:tcPr>
          <w:p w14:paraId="3575E181" w14:textId="77777777" w:rsidR="00CF0E2D" w:rsidRPr="00295097" w:rsidRDefault="00CF0E2D" w:rsidP="00A60D4B">
            <w:pPr>
              <w:pStyle w:val="InitFigRBold"/>
              <w:keepNext/>
              <w:keepLines/>
              <w:rPr>
                <w:szCs w:val="24"/>
              </w:rPr>
            </w:pPr>
            <w:r w:rsidRPr="00295097">
              <w:rPr>
                <w:szCs w:val="24"/>
              </w:rPr>
              <w:t>Total</w:t>
            </w:r>
          </w:p>
          <w:p w14:paraId="0658DFF1" w14:textId="77777777" w:rsidR="00CF0E2D" w:rsidRPr="00295097" w:rsidRDefault="00CF0E2D" w:rsidP="00A60D4B">
            <w:pPr>
              <w:pStyle w:val="InitFigBR"/>
              <w:keepNext/>
              <w:keepLines/>
              <w:rPr>
                <w:szCs w:val="24"/>
              </w:rPr>
            </w:pPr>
            <w:r w:rsidRPr="00295097">
              <w:rPr>
                <w:szCs w:val="24"/>
              </w:rPr>
              <w:t>$’000</w:t>
            </w:r>
          </w:p>
        </w:tc>
      </w:tr>
      <w:tr w:rsidR="00CF0E2D" w:rsidRPr="00750793" w14:paraId="3F71F272" w14:textId="77777777" w:rsidTr="00A60D4B">
        <w:trPr>
          <w:cantSplit/>
          <w:jc w:val="center"/>
        </w:trPr>
        <w:tc>
          <w:tcPr>
            <w:tcW w:w="3652" w:type="dxa"/>
            <w:tcBorders>
              <w:top w:val="single" w:sz="4" w:space="0" w:color="auto"/>
            </w:tcBorders>
          </w:tcPr>
          <w:p w14:paraId="35C6905E" w14:textId="77777777" w:rsidR="00CF0E2D" w:rsidRPr="00295097" w:rsidRDefault="00CF0E2D" w:rsidP="00A60D4B">
            <w:pPr>
              <w:pStyle w:val="InitTextL"/>
              <w:keepNext/>
              <w:keepLines/>
              <w:ind w:left="321" w:hanging="321"/>
              <w:rPr>
                <w:szCs w:val="24"/>
              </w:rPr>
            </w:pPr>
            <w:r w:rsidRPr="00295097">
              <w:rPr>
                <w:szCs w:val="24"/>
              </w:rPr>
              <w:t>Capital</w:t>
            </w:r>
          </w:p>
        </w:tc>
        <w:tc>
          <w:tcPr>
            <w:tcW w:w="1179" w:type="dxa"/>
            <w:tcBorders>
              <w:top w:val="single" w:sz="4" w:space="0" w:color="auto"/>
            </w:tcBorders>
          </w:tcPr>
          <w:p w14:paraId="1D9D4649" w14:textId="77777777" w:rsidR="00CF0E2D" w:rsidRPr="000C08FF" w:rsidRDefault="00CF0E2D" w:rsidP="00A60D4B">
            <w:pPr>
              <w:pStyle w:val="InitFigR"/>
              <w:keepNext/>
              <w:keepLines/>
              <w:rPr>
                <w:szCs w:val="24"/>
              </w:rPr>
            </w:pPr>
            <w:r w:rsidRPr="000F63A1">
              <w:rPr>
                <w:szCs w:val="24"/>
              </w:rPr>
              <w:t>60</w:t>
            </w:r>
          </w:p>
        </w:tc>
        <w:tc>
          <w:tcPr>
            <w:tcW w:w="1041" w:type="dxa"/>
            <w:tcBorders>
              <w:top w:val="single" w:sz="4" w:space="0" w:color="auto"/>
            </w:tcBorders>
          </w:tcPr>
          <w:p w14:paraId="359E13B8" w14:textId="77777777" w:rsidR="00CF0E2D" w:rsidRPr="0087104A" w:rsidRDefault="00CF0E2D" w:rsidP="00A60D4B">
            <w:pPr>
              <w:pStyle w:val="InitFigR"/>
              <w:keepNext/>
              <w:keepLines/>
              <w:rPr>
                <w:szCs w:val="24"/>
              </w:rPr>
            </w:pPr>
            <w:r w:rsidRPr="0087104A">
              <w:rPr>
                <w:szCs w:val="24"/>
              </w:rPr>
              <w:t>0</w:t>
            </w:r>
          </w:p>
        </w:tc>
        <w:tc>
          <w:tcPr>
            <w:tcW w:w="1029" w:type="dxa"/>
            <w:tcBorders>
              <w:top w:val="single" w:sz="4" w:space="0" w:color="auto"/>
            </w:tcBorders>
          </w:tcPr>
          <w:p w14:paraId="0C675256" w14:textId="77777777" w:rsidR="00CF0E2D" w:rsidRPr="0087104A" w:rsidRDefault="00CF0E2D" w:rsidP="00A60D4B">
            <w:pPr>
              <w:pStyle w:val="InitFigR"/>
              <w:keepNext/>
              <w:keepLines/>
              <w:rPr>
                <w:szCs w:val="24"/>
              </w:rPr>
            </w:pPr>
            <w:r w:rsidRPr="0087104A">
              <w:rPr>
                <w:szCs w:val="24"/>
              </w:rPr>
              <w:t>0</w:t>
            </w:r>
          </w:p>
        </w:tc>
        <w:tc>
          <w:tcPr>
            <w:tcW w:w="1029" w:type="dxa"/>
            <w:tcBorders>
              <w:top w:val="single" w:sz="4" w:space="0" w:color="auto"/>
            </w:tcBorders>
          </w:tcPr>
          <w:p w14:paraId="72CE7492" w14:textId="77777777" w:rsidR="00CF0E2D" w:rsidRPr="00180114" w:rsidRDefault="00CF0E2D" w:rsidP="00A60D4B">
            <w:pPr>
              <w:pStyle w:val="InitFigR"/>
              <w:keepNext/>
              <w:keepLines/>
              <w:rPr>
                <w:szCs w:val="24"/>
              </w:rPr>
            </w:pPr>
            <w:r w:rsidRPr="00486A29">
              <w:rPr>
                <w:szCs w:val="24"/>
              </w:rPr>
              <w:t>0</w:t>
            </w:r>
          </w:p>
        </w:tc>
        <w:tc>
          <w:tcPr>
            <w:tcW w:w="1029" w:type="dxa"/>
            <w:tcBorders>
              <w:top w:val="single" w:sz="4" w:space="0" w:color="auto"/>
            </w:tcBorders>
          </w:tcPr>
          <w:p w14:paraId="755B023E" w14:textId="77777777" w:rsidR="00CF0E2D" w:rsidRPr="00846B61" w:rsidRDefault="00CF0E2D" w:rsidP="00A60D4B">
            <w:pPr>
              <w:pStyle w:val="InitFigRBold"/>
              <w:keepNext/>
              <w:keepLines/>
              <w:rPr>
                <w:szCs w:val="24"/>
              </w:rPr>
            </w:pPr>
            <w:r w:rsidRPr="00846B61">
              <w:rPr>
                <w:szCs w:val="24"/>
              </w:rPr>
              <w:t>60</w:t>
            </w:r>
          </w:p>
        </w:tc>
      </w:tr>
      <w:tr w:rsidR="00CF0E2D" w:rsidRPr="00750793" w14:paraId="54E3E594" w14:textId="77777777" w:rsidTr="00A60D4B">
        <w:trPr>
          <w:cantSplit/>
          <w:jc w:val="center"/>
        </w:trPr>
        <w:tc>
          <w:tcPr>
            <w:tcW w:w="3652" w:type="dxa"/>
          </w:tcPr>
          <w:p w14:paraId="116EC4E0" w14:textId="77777777" w:rsidR="00CF0E2D" w:rsidRPr="00295097" w:rsidRDefault="00CF0E2D" w:rsidP="00A60D4B">
            <w:pPr>
              <w:pStyle w:val="InitTextL"/>
              <w:keepNext/>
              <w:keepLines/>
              <w:ind w:left="321" w:hanging="321"/>
              <w:rPr>
                <w:szCs w:val="24"/>
              </w:rPr>
            </w:pPr>
            <w:r w:rsidRPr="00295097">
              <w:rPr>
                <w:szCs w:val="24"/>
              </w:rPr>
              <w:t>Capital – Provision</w:t>
            </w:r>
          </w:p>
        </w:tc>
        <w:tc>
          <w:tcPr>
            <w:tcW w:w="1179" w:type="dxa"/>
          </w:tcPr>
          <w:p w14:paraId="61838776" w14:textId="77777777" w:rsidR="00CF0E2D" w:rsidRPr="000C08FF" w:rsidRDefault="00CF0E2D" w:rsidP="00A60D4B">
            <w:pPr>
              <w:pStyle w:val="InitFigR"/>
              <w:keepNext/>
              <w:keepLines/>
              <w:rPr>
                <w:szCs w:val="24"/>
              </w:rPr>
            </w:pPr>
            <w:r w:rsidRPr="000F63A1">
              <w:rPr>
                <w:szCs w:val="24"/>
              </w:rPr>
              <w:t>0</w:t>
            </w:r>
          </w:p>
        </w:tc>
        <w:tc>
          <w:tcPr>
            <w:tcW w:w="1041" w:type="dxa"/>
          </w:tcPr>
          <w:p w14:paraId="0DF09BA7" w14:textId="77777777" w:rsidR="00CF0E2D" w:rsidRPr="0087104A" w:rsidRDefault="00CF0E2D" w:rsidP="00A60D4B">
            <w:pPr>
              <w:pStyle w:val="InitFigR"/>
              <w:keepNext/>
              <w:keepLines/>
              <w:rPr>
                <w:szCs w:val="24"/>
              </w:rPr>
            </w:pPr>
            <w:r w:rsidRPr="0087104A">
              <w:rPr>
                <w:szCs w:val="24"/>
              </w:rPr>
              <w:t>519</w:t>
            </w:r>
          </w:p>
        </w:tc>
        <w:tc>
          <w:tcPr>
            <w:tcW w:w="1029" w:type="dxa"/>
          </w:tcPr>
          <w:p w14:paraId="62900AB7" w14:textId="77777777" w:rsidR="00CF0E2D" w:rsidRPr="0087104A" w:rsidRDefault="00CF0E2D" w:rsidP="00A60D4B">
            <w:pPr>
              <w:pStyle w:val="InitFigR"/>
              <w:keepNext/>
              <w:keepLines/>
              <w:rPr>
                <w:szCs w:val="24"/>
              </w:rPr>
            </w:pPr>
            <w:r w:rsidRPr="0087104A">
              <w:rPr>
                <w:szCs w:val="24"/>
              </w:rPr>
              <w:t>0</w:t>
            </w:r>
          </w:p>
        </w:tc>
        <w:tc>
          <w:tcPr>
            <w:tcW w:w="1029" w:type="dxa"/>
          </w:tcPr>
          <w:p w14:paraId="4AF7FF66" w14:textId="77777777" w:rsidR="00CF0E2D" w:rsidRPr="00180114" w:rsidRDefault="00CF0E2D" w:rsidP="00A60D4B">
            <w:pPr>
              <w:pStyle w:val="InitFigR"/>
              <w:keepNext/>
              <w:keepLines/>
              <w:rPr>
                <w:szCs w:val="24"/>
              </w:rPr>
            </w:pPr>
            <w:r w:rsidRPr="00486A29">
              <w:rPr>
                <w:szCs w:val="24"/>
              </w:rPr>
              <w:t>0</w:t>
            </w:r>
          </w:p>
        </w:tc>
        <w:tc>
          <w:tcPr>
            <w:tcW w:w="1029" w:type="dxa"/>
          </w:tcPr>
          <w:p w14:paraId="270DBBA1" w14:textId="77777777" w:rsidR="00CF0E2D" w:rsidRPr="00846B61" w:rsidRDefault="00CF0E2D" w:rsidP="00A60D4B">
            <w:pPr>
              <w:pStyle w:val="InitFigRBold"/>
              <w:keepNext/>
              <w:keepLines/>
              <w:rPr>
                <w:szCs w:val="24"/>
              </w:rPr>
            </w:pPr>
            <w:r w:rsidRPr="00846B61">
              <w:rPr>
                <w:szCs w:val="24"/>
              </w:rPr>
              <w:t>519</w:t>
            </w:r>
          </w:p>
        </w:tc>
      </w:tr>
      <w:tr w:rsidR="00CF0E2D" w:rsidRPr="00750793" w14:paraId="212C178D" w14:textId="77777777" w:rsidTr="00A60D4B">
        <w:trPr>
          <w:cantSplit/>
          <w:jc w:val="center"/>
        </w:trPr>
        <w:tc>
          <w:tcPr>
            <w:tcW w:w="3652" w:type="dxa"/>
            <w:tcBorders>
              <w:top w:val="single" w:sz="4" w:space="0" w:color="auto"/>
              <w:bottom w:val="single" w:sz="4" w:space="0" w:color="auto"/>
            </w:tcBorders>
          </w:tcPr>
          <w:p w14:paraId="45EB53A7" w14:textId="7C863065" w:rsidR="00CF0E2D" w:rsidRPr="00295097" w:rsidRDefault="00CF0E2D" w:rsidP="00A60D4B">
            <w:pPr>
              <w:pStyle w:val="InitTextL"/>
              <w:keepNext/>
              <w:keepLines/>
              <w:ind w:left="321" w:hanging="321"/>
              <w:rPr>
                <w:b/>
                <w:szCs w:val="24"/>
              </w:rPr>
            </w:pPr>
            <w:r w:rsidRPr="00295097">
              <w:rPr>
                <w:b/>
                <w:szCs w:val="24"/>
              </w:rPr>
              <w:t xml:space="preserve">Total </w:t>
            </w:r>
            <w:r w:rsidR="00B86042">
              <w:rPr>
                <w:b/>
                <w:szCs w:val="24"/>
              </w:rPr>
              <w:t>c</w:t>
            </w:r>
            <w:r w:rsidRPr="00295097">
              <w:rPr>
                <w:b/>
                <w:szCs w:val="24"/>
              </w:rPr>
              <w:t>apital</w:t>
            </w:r>
          </w:p>
        </w:tc>
        <w:tc>
          <w:tcPr>
            <w:tcW w:w="1179" w:type="dxa"/>
            <w:tcBorders>
              <w:top w:val="single" w:sz="4" w:space="0" w:color="auto"/>
              <w:bottom w:val="single" w:sz="4" w:space="0" w:color="auto"/>
            </w:tcBorders>
          </w:tcPr>
          <w:p w14:paraId="6FF5154B" w14:textId="77777777" w:rsidR="00CF0E2D" w:rsidRPr="000C08FF" w:rsidRDefault="00CF0E2D" w:rsidP="00A60D4B">
            <w:pPr>
              <w:pStyle w:val="InitFigR"/>
              <w:keepNext/>
              <w:keepLines/>
              <w:rPr>
                <w:b/>
                <w:szCs w:val="24"/>
              </w:rPr>
            </w:pPr>
            <w:r w:rsidRPr="000F63A1">
              <w:rPr>
                <w:b/>
                <w:szCs w:val="24"/>
              </w:rPr>
              <w:t>60</w:t>
            </w:r>
          </w:p>
        </w:tc>
        <w:tc>
          <w:tcPr>
            <w:tcW w:w="1041" w:type="dxa"/>
            <w:tcBorders>
              <w:top w:val="single" w:sz="4" w:space="0" w:color="auto"/>
              <w:bottom w:val="single" w:sz="4" w:space="0" w:color="auto"/>
            </w:tcBorders>
          </w:tcPr>
          <w:p w14:paraId="283EC01B" w14:textId="77777777" w:rsidR="00CF0E2D" w:rsidRPr="0087104A" w:rsidRDefault="00CF0E2D" w:rsidP="00A60D4B">
            <w:pPr>
              <w:pStyle w:val="InitFigR"/>
              <w:keepNext/>
              <w:keepLines/>
              <w:rPr>
                <w:b/>
                <w:szCs w:val="24"/>
              </w:rPr>
            </w:pPr>
            <w:r w:rsidRPr="0087104A">
              <w:rPr>
                <w:b/>
                <w:szCs w:val="24"/>
              </w:rPr>
              <w:t>519</w:t>
            </w:r>
          </w:p>
        </w:tc>
        <w:tc>
          <w:tcPr>
            <w:tcW w:w="1029" w:type="dxa"/>
            <w:tcBorders>
              <w:top w:val="single" w:sz="4" w:space="0" w:color="auto"/>
              <w:bottom w:val="single" w:sz="4" w:space="0" w:color="auto"/>
            </w:tcBorders>
          </w:tcPr>
          <w:p w14:paraId="0A5C87FB" w14:textId="77777777" w:rsidR="00CF0E2D" w:rsidRPr="0087104A" w:rsidRDefault="00CF0E2D" w:rsidP="00A60D4B">
            <w:pPr>
              <w:pStyle w:val="InitFigR"/>
              <w:keepNext/>
              <w:keepLines/>
              <w:rPr>
                <w:b/>
                <w:szCs w:val="24"/>
              </w:rPr>
            </w:pPr>
            <w:r w:rsidRPr="0087104A">
              <w:rPr>
                <w:b/>
                <w:szCs w:val="24"/>
              </w:rPr>
              <w:t>0</w:t>
            </w:r>
          </w:p>
        </w:tc>
        <w:tc>
          <w:tcPr>
            <w:tcW w:w="1029" w:type="dxa"/>
            <w:tcBorders>
              <w:top w:val="single" w:sz="4" w:space="0" w:color="auto"/>
              <w:bottom w:val="single" w:sz="4" w:space="0" w:color="auto"/>
            </w:tcBorders>
          </w:tcPr>
          <w:p w14:paraId="1AD95631" w14:textId="77777777" w:rsidR="00CF0E2D" w:rsidRPr="00180114" w:rsidRDefault="00CF0E2D" w:rsidP="00A60D4B">
            <w:pPr>
              <w:pStyle w:val="InitFigR"/>
              <w:keepNext/>
              <w:keepLines/>
              <w:rPr>
                <w:b/>
                <w:szCs w:val="24"/>
              </w:rPr>
            </w:pPr>
            <w:r w:rsidRPr="00486A29">
              <w:rPr>
                <w:b/>
                <w:szCs w:val="24"/>
              </w:rPr>
              <w:t>0</w:t>
            </w:r>
          </w:p>
        </w:tc>
        <w:tc>
          <w:tcPr>
            <w:tcW w:w="1029" w:type="dxa"/>
            <w:tcBorders>
              <w:top w:val="single" w:sz="4" w:space="0" w:color="auto"/>
              <w:bottom w:val="single" w:sz="4" w:space="0" w:color="auto"/>
            </w:tcBorders>
          </w:tcPr>
          <w:p w14:paraId="1ECC5D82" w14:textId="77777777" w:rsidR="00CF0E2D" w:rsidRPr="00846B61" w:rsidRDefault="00CF0E2D" w:rsidP="00A60D4B">
            <w:pPr>
              <w:pStyle w:val="InitFigRBold"/>
              <w:keepNext/>
              <w:keepLines/>
              <w:rPr>
                <w:szCs w:val="24"/>
              </w:rPr>
            </w:pPr>
            <w:r w:rsidRPr="00846B61">
              <w:rPr>
                <w:szCs w:val="24"/>
              </w:rPr>
              <w:t>579</w:t>
            </w:r>
          </w:p>
        </w:tc>
      </w:tr>
      <w:tr w:rsidR="00CF0E2D" w:rsidRPr="00750793" w14:paraId="6F021F7D" w14:textId="77777777" w:rsidTr="00A60D4B">
        <w:trPr>
          <w:cantSplit/>
          <w:jc w:val="center"/>
        </w:trPr>
        <w:tc>
          <w:tcPr>
            <w:tcW w:w="3652" w:type="dxa"/>
          </w:tcPr>
          <w:p w14:paraId="33902F1A" w14:textId="77777777" w:rsidR="00CF0E2D" w:rsidRPr="00295097" w:rsidRDefault="00CF0E2D" w:rsidP="00A60D4B">
            <w:pPr>
              <w:pStyle w:val="InitTextL"/>
              <w:keepNext/>
              <w:keepLines/>
              <w:ind w:left="321" w:hanging="321"/>
              <w:rPr>
                <w:szCs w:val="24"/>
              </w:rPr>
            </w:pPr>
            <w:r w:rsidRPr="00295097">
              <w:rPr>
                <w:szCs w:val="24"/>
              </w:rPr>
              <w:t>Expense – Provision</w:t>
            </w:r>
          </w:p>
        </w:tc>
        <w:tc>
          <w:tcPr>
            <w:tcW w:w="1179" w:type="dxa"/>
          </w:tcPr>
          <w:p w14:paraId="3D6BB8BC" w14:textId="77777777" w:rsidR="00CF0E2D" w:rsidRPr="000C08FF" w:rsidRDefault="00CF0E2D" w:rsidP="00A60D4B">
            <w:pPr>
              <w:pStyle w:val="InitFigR"/>
              <w:keepNext/>
              <w:keepLines/>
              <w:rPr>
                <w:szCs w:val="24"/>
              </w:rPr>
            </w:pPr>
            <w:r w:rsidRPr="000F63A1">
              <w:rPr>
                <w:szCs w:val="24"/>
              </w:rPr>
              <w:t>0</w:t>
            </w:r>
          </w:p>
        </w:tc>
        <w:tc>
          <w:tcPr>
            <w:tcW w:w="1041" w:type="dxa"/>
          </w:tcPr>
          <w:p w14:paraId="689AD84A" w14:textId="77777777" w:rsidR="00CF0E2D" w:rsidRPr="0087104A" w:rsidRDefault="00CF0E2D" w:rsidP="00A60D4B">
            <w:pPr>
              <w:pStyle w:val="InitFigR"/>
              <w:keepNext/>
              <w:keepLines/>
              <w:rPr>
                <w:szCs w:val="24"/>
              </w:rPr>
            </w:pPr>
            <w:r w:rsidRPr="0087104A">
              <w:rPr>
                <w:szCs w:val="24"/>
              </w:rPr>
              <w:t>178</w:t>
            </w:r>
          </w:p>
        </w:tc>
        <w:tc>
          <w:tcPr>
            <w:tcW w:w="1029" w:type="dxa"/>
          </w:tcPr>
          <w:p w14:paraId="1768807A" w14:textId="77777777" w:rsidR="00CF0E2D" w:rsidRPr="0087104A" w:rsidRDefault="00CF0E2D" w:rsidP="00A60D4B">
            <w:pPr>
              <w:pStyle w:val="InitFigR"/>
              <w:keepNext/>
              <w:keepLines/>
              <w:rPr>
                <w:szCs w:val="24"/>
              </w:rPr>
            </w:pPr>
            <w:r w:rsidRPr="0087104A">
              <w:rPr>
                <w:szCs w:val="24"/>
              </w:rPr>
              <w:t>178</w:t>
            </w:r>
          </w:p>
        </w:tc>
        <w:tc>
          <w:tcPr>
            <w:tcW w:w="1029" w:type="dxa"/>
          </w:tcPr>
          <w:p w14:paraId="1F1589E3" w14:textId="77777777" w:rsidR="00CF0E2D" w:rsidRPr="00180114" w:rsidRDefault="00CF0E2D" w:rsidP="00A60D4B">
            <w:pPr>
              <w:pStyle w:val="InitFigR"/>
              <w:keepNext/>
              <w:keepLines/>
              <w:rPr>
                <w:szCs w:val="24"/>
              </w:rPr>
            </w:pPr>
            <w:r w:rsidRPr="00486A29">
              <w:rPr>
                <w:szCs w:val="24"/>
              </w:rPr>
              <w:t>178</w:t>
            </w:r>
          </w:p>
        </w:tc>
        <w:tc>
          <w:tcPr>
            <w:tcW w:w="1029" w:type="dxa"/>
          </w:tcPr>
          <w:p w14:paraId="18577A78" w14:textId="77777777" w:rsidR="00CF0E2D" w:rsidRPr="00846B61" w:rsidRDefault="00CF0E2D" w:rsidP="00A60D4B">
            <w:pPr>
              <w:pStyle w:val="InitFigBR"/>
              <w:keepNext/>
              <w:keepLines/>
              <w:rPr>
                <w:szCs w:val="24"/>
              </w:rPr>
            </w:pPr>
            <w:r w:rsidRPr="00846B61">
              <w:rPr>
                <w:szCs w:val="24"/>
              </w:rPr>
              <w:t>534</w:t>
            </w:r>
          </w:p>
        </w:tc>
      </w:tr>
      <w:tr w:rsidR="00CF0E2D" w:rsidRPr="00750793" w14:paraId="39F50BC8" w14:textId="77777777" w:rsidTr="00A60D4B">
        <w:trPr>
          <w:cantSplit/>
          <w:jc w:val="center"/>
        </w:trPr>
        <w:tc>
          <w:tcPr>
            <w:tcW w:w="3652" w:type="dxa"/>
          </w:tcPr>
          <w:p w14:paraId="3F7EECB4" w14:textId="77777777" w:rsidR="00CF0E2D" w:rsidRPr="00295097" w:rsidRDefault="00CF0E2D" w:rsidP="00A60D4B">
            <w:pPr>
              <w:pStyle w:val="InitTextL"/>
              <w:keepNext/>
              <w:keepLines/>
              <w:ind w:left="321" w:hanging="321"/>
              <w:rPr>
                <w:szCs w:val="24"/>
              </w:rPr>
            </w:pPr>
            <w:r w:rsidRPr="00295097">
              <w:rPr>
                <w:szCs w:val="24"/>
              </w:rPr>
              <w:t>Expenses</w:t>
            </w:r>
          </w:p>
        </w:tc>
        <w:tc>
          <w:tcPr>
            <w:tcW w:w="1179" w:type="dxa"/>
          </w:tcPr>
          <w:p w14:paraId="034B9D9F" w14:textId="77777777" w:rsidR="00CF0E2D" w:rsidRPr="000C08FF" w:rsidRDefault="00CF0E2D" w:rsidP="00A60D4B">
            <w:pPr>
              <w:pStyle w:val="InitFigR"/>
              <w:keepNext/>
              <w:keepLines/>
              <w:rPr>
                <w:szCs w:val="24"/>
              </w:rPr>
            </w:pPr>
            <w:r w:rsidRPr="000F63A1">
              <w:rPr>
                <w:szCs w:val="24"/>
              </w:rPr>
              <w:t>1,048</w:t>
            </w:r>
          </w:p>
        </w:tc>
        <w:tc>
          <w:tcPr>
            <w:tcW w:w="1041" w:type="dxa"/>
          </w:tcPr>
          <w:p w14:paraId="06EA8347" w14:textId="77777777" w:rsidR="00CF0E2D" w:rsidRPr="0087104A" w:rsidRDefault="00CF0E2D" w:rsidP="00A60D4B">
            <w:pPr>
              <w:pStyle w:val="InitFigR"/>
              <w:keepNext/>
              <w:keepLines/>
              <w:rPr>
                <w:szCs w:val="24"/>
              </w:rPr>
            </w:pPr>
            <w:r w:rsidRPr="0087104A">
              <w:rPr>
                <w:szCs w:val="24"/>
              </w:rPr>
              <w:t>936</w:t>
            </w:r>
          </w:p>
        </w:tc>
        <w:tc>
          <w:tcPr>
            <w:tcW w:w="1029" w:type="dxa"/>
          </w:tcPr>
          <w:p w14:paraId="6DBAFC35" w14:textId="77777777" w:rsidR="00CF0E2D" w:rsidRPr="0087104A" w:rsidRDefault="00CF0E2D" w:rsidP="00A60D4B">
            <w:pPr>
              <w:pStyle w:val="InitFigR"/>
              <w:keepNext/>
              <w:keepLines/>
              <w:rPr>
                <w:szCs w:val="24"/>
              </w:rPr>
            </w:pPr>
            <w:r w:rsidRPr="0087104A">
              <w:rPr>
                <w:szCs w:val="24"/>
              </w:rPr>
              <w:t>943</w:t>
            </w:r>
          </w:p>
        </w:tc>
        <w:tc>
          <w:tcPr>
            <w:tcW w:w="1029" w:type="dxa"/>
          </w:tcPr>
          <w:p w14:paraId="396A5DAE" w14:textId="77777777" w:rsidR="00CF0E2D" w:rsidRPr="00180114" w:rsidRDefault="00CF0E2D" w:rsidP="00A60D4B">
            <w:pPr>
              <w:pStyle w:val="InitFigR"/>
              <w:keepNext/>
              <w:keepLines/>
              <w:rPr>
                <w:szCs w:val="24"/>
              </w:rPr>
            </w:pPr>
            <w:r w:rsidRPr="00486A29">
              <w:rPr>
                <w:szCs w:val="24"/>
              </w:rPr>
              <w:t>948</w:t>
            </w:r>
          </w:p>
        </w:tc>
        <w:tc>
          <w:tcPr>
            <w:tcW w:w="1029" w:type="dxa"/>
          </w:tcPr>
          <w:p w14:paraId="40989E13" w14:textId="77777777" w:rsidR="00CF0E2D" w:rsidRPr="00846B61" w:rsidRDefault="00CF0E2D" w:rsidP="00A60D4B">
            <w:pPr>
              <w:pStyle w:val="InitFigBR"/>
              <w:keepNext/>
              <w:keepLines/>
              <w:rPr>
                <w:szCs w:val="24"/>
              </w:rPr>
            </w:pPr>
            <w:r w:rsidRPr="00846B61">
              <w:rPr>
                <w:szCs w:val="24"/>
              </w:rPr>
              <w:t>3,875</w:t>
            </w:r>
          </w:p>
        </w:tc>
      </w:tr>
      <w:tr w:rsidR="00CF0E2D" w:rsidRPr="00750793" w14:paraId="54624B7F" w14:textId="77777777" w:rsidTr="00A60D4B">
        <w:trPr>
          <w:cantSplit/>
          <w:trHeight w:val="107"/>
          <w:jc w:val="center"/>
        </w:trPr>
        <w:tc>
          <w:tcPr>
            <w:tcW w:w="3652" w:type="dxa"/>
            <w:tcBorders>
              <w:top w:val="single" w:sz="4" w:space="0" w:color="auto"/>
              <w:bottom w:val="single" w:sz="4" w:space="0" w:color="auto"/>
            </w:tcBorders>
          </w:tcPr>
          <w:p w14:paraId="08D1B913" w14:textId="77777777" w:rsidR="00CF0E2D" w:rsidRPr="00295097" w:rsidRDefault="00CF0E2D" w:rsidP="00A60D4B">
            <w:pPr>
              <w:pStyle w:val="InitFigLBold"/>
              <w:keepNext/>
              <w:keepLines/>
              <w:ind w:left="321" w:hanging="321"/>
              <w:rPr>
                <w:szCs w:val="24"/>
              </w:rPr>
            </w:pPr>
            <w:r w:rsidRPr="00295097">
              <w:rPr>
                <w:szCs w:val="24"/>
              </w:rPr>
              <w:t>Net cost of services</w:t>
            </w:r>
          </w:p>
        </w:tc>
        <w:tc>
          <w:tcPr>
            <w:tcW w:w="1179" w:type="dxa"/>
            <w:tcBorders>
              <w:top w:val="single" w:sz="4" w:space="0" w:color="auto"/>
              <w:bottom w:val="single" w:sz="4" w:space="0" w:color="auto"/>
            </w:tcBorders>
          </w:tcPr>
          <w:p w14:paraId="70B5B0F7" w14:textId="77777777" w:rsidR="00CF0E2D" w:rsidRPr="000C08FF" w:rsidRDefault="00CF0E2D" w:rsidP="00A60D4B">
            <w:pPr>
              <w:pStyle w:val="InitFigRBold"/>
              <w:keepNext/>
              <w:keepLines/>
              <w:rPr>
                <w:szCs w:val="24"/>
              </w:rPr>
            </w:pPr>
            <w:r w:rsidRPr="000F63A1">
              <w:rPr>
                <w:szCs w:val="24"/>
              </w:rPr>
              <w:t>1,048</w:t>
            </w:r>
          </w:p>
        </w:tc>
        <w:tc>
          <w:tcPr>
            <w:tcW w:w="1041" w:type="dxa"/>
            <w:tcBorders>
              <w:top w:val="single" w:sz="4" w:space="0" w:color="auto"/>
              <w:bottom w:val="single" w:sz="4" w:space="0" w:color="auto"/>
            </w:tcBorders>
          </w:tcPr>
          <w:p w14:paraId="0552F43D" w14:textId="77777777" w:rsidR="00CF0E2D" w:rsidRPr="0087104A" w:rsidRDefault="00CF0E2D" w:rsidP="00A60D4B">
            <w:pPr>
              <w:pStyle w:val="InitFigRBold"/>
              <w:keepNext/>
              <w:keepLines/>
              <w:rPr>
                <w:szCs w:val="24"/>
              </w:rPr>
            </w:pPr>
            <w:r w:rsidRPr="0087104A">
              <w:rPr>
                <w:szCs w:val="24"/>
              </w:rPr>
              <w:t>1,114</w:t>
            </w:r>
          </w:p>
        </w:tc>
        <w:tc>
          <w:tcPr>
            <w:tcW w:w="1029" w:type="dxa"/>
            <w:tcBorders>
              <w:top w:val="single" w:sz="4" w:space="0" w:color="auto"/>
              <w:bottom w:val="single" w:sz="4" w:space="0" w:color="auto"/>
            </w:tcBorders>
          </w:tcPr>
          <w:p w14:paraId="5A70690D" w14:textId="77777777" w:rsidR="00CF0E2D" w:rsidRPr="0087104A" w:rsidRDefault="00CF0E2D" w:rsidP="00A60D4B">
            <w:pPr>
              <w:pStyle w:val="InitFigRBold"/>
              <w:keepNext/>
              <w:keepLines/>
              <w:rPr>
                <w:szCs w:val="24"/>
              </w:rPr>
            </w:pPr>
            <w:r w:rsidRPr="0087104A">
              <w:rPr>
                <w:szCs w:val="24"/>
              </w:rPr>
              <w:t>1,121</w:t>
            </w:r>
          </w:p>
        </w:tc>
        <w:tc>
          <w:tcPr>
            <w:tcW w:w="1029" w:type="dxa"/>
            <w:tcBorders>
              <w:top w:val="single" w:sz="4" w:space="0" w:color="auto"/>
              <w:bottom w:val="single" w:sz="4" w:space="0" w:color="auto"/>
            </w:tcBorders>
          </w:tcPr>
          <w:p w14:paraId="257B0DF6" w14:textId="77777777" w:rsidR="00CF0E2D" w:rsidRPr="00180114" w:rsidRDefault="00CF0E2D" w:rsidP="00A60D4B">
            <w:pPr>
              <w:pStyle w:val="InitFigRBold"/>
              <w:keepNext/>
              <w:keepLines/>
              <w:rPr>
                <w:szCs w:val="24"/>
              </w:rPr>
            </w:pPr>
            <w:r w:rsidRPr="00486A29">
              <w:rPr>
                <w:szCs w:val="24"/>
              </w:rPr>
              <w:t>1,126</w:t>
            </w:r>
          </w:p>
        </w:tc>
        <w:tc>
          <w:tcPr>
            <w:tcW w:w="1029" w:type="dxa"/>
            <w:tcBorders>
              <w:top w:val="single" w:sz="4" w:space="0" w:color="auto"/>
              <w:bottom w:val="single" w:sz="4" w:space="0" w:color="auto"/>
            </w:tcBorders>
          </w:tcPr>
          <w:p w14:paraId="7CD361F7" w14:textId="77777777" w:rsidR="00CF0E2D" w:rsidRPr="00846B61" w:rsidRDefault="00CF0E2D" w:rsidP="00A60D4B">
            <w:pPr>
              <w:pStyle w:val="InitFigRBold"/>
              <w:keepNext/>
              <w:keepLines/>
              <w:rPr>
                <w:szCs w:val="24"/>
              </w:rPr>
            </w:pPr>
            <w:r w:rsidRPr="00846B61">
              <w:rPr>
                <w:szCs w:val="24"/>
              </w:rPr>
              <w:t>4,409</w:t>
            </w:r>
          </w:p>
        </w:tc>
      </w:tr>
    </w:tbl>
    <w:p w14:paraId="59F73043" w14:textId="77777777" w:rsidR="00CF0E2D" w:rsidRPr="00AE01EC" w:rsidRDefault="00CF0E2D" w:rsidP="00A60D4B">
      <w:pPr>
        <w:pStyle w:val="Bbodytext"/>
      </w:pPr>
      <w:bookmarkStart w:id="39" w:name="_Hlk82099849"/>
      <w:r w:rsidRPr="00AE01EC">
        <w:t xml:space="preserve">The Government will expand the Integrated Service Response Program to provide case coordination and emergency funding for people with disability with high and complex needs not met by the National Disability Insurance Scheme (NDIS). </w:t>
      </w:r>
      <w:bookmarkEnd w:id="39"/>
      <w:r w:rsidRPr="00AE01EC">
        <w:t>The program supports people who may not be eligible for the NDIS due to residency requirements and provides board and lodging for children who can no longer live in their family home due to disability.</w:t>
      </w:r>
    </w:p>
    <w:p w14:paraId="7B034E1B" w14:textId="77777777" w:rsidR="00CF0E2D" w:rsidRDefault="00CF0E2D" w:rsidP="00A60D4B">
      <w:pPr>
        <w:pStyle w:val="Bbodytext"/>
      </w:pPr>
      <w:r w:rsidRPr="00AE01EC">
        <w:t>This initiative contributes to the wellbeing domains of Housing and home and Safety.</w:t>
      </w:r>
    </w:p>
    <w:p w14:paraId="48D864DC" w14:textId="77777777" w:rsidR="00CF0E2D" w:rsidRPr="007D2F2E" w:rsidRDefault="00CF0E2D" w:rsidP="00A60D4B">
      <w:pPr>
        <w:pStyle w:val="Heading4"/>
        <w:rPr>
          <w:rFonts w:eastAsia="Times New Roman" w:cs="Times New Roman"/>
          <w:bCs/>
          <w:szCs w:val="26"/>
        </w:rPr>
      </w:pPr>
      <w:r w:rsidRPr="00EB652B">
        <w:rPr>
          <w:b w:val="0"/>
          <w:noProof/>
          <w:color w:val="999789"/>
          <w:sz w:val="32"/>
          <w:szCs w:val="24"/>
          <w:highlight w:val="yellow"/>
        </w:rPr>
        <w:lastRenderedPageBreak/>
        <w:drawing>
          <wp:anchor distT="0" distB="0" distL="114300" distR="114300" simplePos="0" relativeHeight="251831296" behindDoc="0" locked="1" layoutInCell="1" allowOverlap="1" wp14:anchorId="094E8DD7" wp14:editId="25A41E70">
            <wp:simplePos x="0" y="0"/>
            <wp:positionH relativeFrom="margin">
              <wp:align>right</wp:align>
            </wp:positionH>
            <wp:positionV relativeFrom="paragraph">
              <wp:posOffset>60960</wp:posOffset>
            </wp:positionV>
            <wp:extent cx="990000" cy="504000"/>
            <wp:effectExtent l="0" t="0" r="635" b="0"/>
            <wp:wrapSquare wrapText="bothSides"/>
            <wp:docPr id="85" name="Picture 85"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90000" cy="504000"/>
                    </a:xfrm>
                    <a:prstGeom prst="rect">
                      <a:avLst/>
                    </a:prstGeom>
                  </pic:spPr>
                </pic:pic>
              </a:graphicData>
            </a:graphic>
            <wp14:sizeRelH relativeFrom="margin">
              <wp14:pctWidth>0</wp14:pctWidth>
            </wp14:sizeRelH>
            <wp14:sizeRelV relativeFrom="margin">
              <wp14:pctHeight>0</wp14:pctHeight>
            </wp14:sizeRelV>
          </wp:anchor>
        </w:drawing>
      </w:r>
      <w:r w:rsidRPr="007D2F2E">
        <w:rPr>
          <w:rFonts w:eastAsia="Times New Roman" w:cs="Times New Roman"/>
          <w:bCs/>
          <w:szCs w:val="26"/>
        </w:rPr>
        <w:t xml:space="preserve">Maintaining systems, </w:t>
      </w:r>
      <w:r>
        <w:rPr>
          <w:rFonts w:eastAsia="Times New Roman" w:cs="Times New Roman"/>
          <w:bCs/>
          <w:szCs w:val="26"/>
        </w:rPr>
        <w:t>s</w:t>
      </w:r>
      <w:r w:rsidRPr="007D2F2E">
        <w:rPr>
          <w:rFonts w:eastAsia="Times New Roman" w:cs="Times New Roman"/>
          <w:bCs/>
          <w:szCs w:val="26"/>
        </w:rPr>
        <w:t xml:space="preserve">upporting </w:t>
      </w:r>
      <w:r>
        <w:rPr>
          <w:rFonts w:eastAsia="Times New Roman" w:cs="Times New Roman"/>
          <w:bCs/>
          <w:szCs w:val="26"/>
        </w:rPr>
        <w:t>p</w:t>
      </w:r>
      <w:r w:rsidRPr="007D2F2E">
        <w:rPr>
          <w:rFonts w:eastAsia="Times New Roman" w:cs="Times New Roman"/>
          <w:bCs/>
          <w:szCs w:val="26"/>
        </w:rPr>
        <w:t xml:space="preserve">ractice – Record Information System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16D2B8C7" w14:textId="77777777" w:rsidTr="00A60D4B">
        <w:trPr>
          <w:cantSplit/>
          <w:jc w:val="center"/>
        </w:trPr>
        <w:tc>
          <w:tcPr>
            <w:tcW w:w="3652" w:type="dxa"/>
            <w:tcBorders>
              <w:top w:val="single" w:sz="4" w:space="0" w:color="auto"/>
              <w:bottom w:val="single" w:sz="4" w:space="0" w:color="auto"/>
            </w:tcBorders>
          </w:tcPr>
          <w:p w14:paraId="30A219EC"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55C94FF2" w14:textId="77777777" w:rsidR="00CF0E2D" w:rsidRPr="00297081" w:rsidRDefault="00CF0E2D" w:rsidP="00A60D4B">
            <w:pPr>
              <w:pStyle w:val="InitFigR"/>
              <w:rPr>
                <w:b/>
                <w:bCs/>
              </w:rPr>
            </w:pPr>
            <w:r w:rsidRPr="00297081">
              <w:rPr>
                <w:b/>
                <w:bCs/>
              </w:rPr>
              <w:t>2021-22</w:t>
            </w:r>
          </w:p>
          <w:p w14:paraId="270CCF42" w14:textId="77777777" w:rsidR="00CF0E2D" w:rsidRPr="00297081" w:rsidRDefault="00CF0E2D" w:rsidP="00A60D4B">
            <w:pPr>
              <w:pStyle w:val="InitFigR"/>
              <w:rPr>
                <w:b/>
                <w:bCs/>
              </w:rPr>
            </w:pPr>
            <w:r w:rsidRPr="00297081">
              <w:rPr>
                <w:b/>
                <w:bCs/>
              </w:rPr>
              <w:t>$’000</w:t>
            </w:r>
          </w:p>
        </w:tc>
        <w:tc>
          <w:tcPr>
            <w:tcW w:w="1041" w:type="dxa"/>
            <w:tcBorders>
              <w:top w:val="single" w:sz="4" w:space="0" w:color="auto"/>
              <w:bottom w:val="single" w:sz="4" w:space="0" w:color="auto"/>
            </w:tcBorders>
          </w:tcPr>
          <w:p w14:paraId="3177D05F" w14:textId="77777777" w:rsidR="00CF0E2D" w:rsidRPr="00297081" w:rsidRDefault="00CF0E2D" w:rsidP="00A60D4B">
            <w:pPr>
              <w:pStyle w:val="InitFigR"/>
              <w:rPr>
                <w:b/>
                <w:bCs/>
              </w:rPr>
            </w:pPr>
            <w:r w:rsidRPr="00297081">
              <w:rPr>
                <w:b/>
                <w:bCs/>
              </w:rPr>
              <w:t>2022-23</w:t>
            </w:r>
          </w:p>
          <w:p w14:paraId="5C81AB98" w14:textId="77777777" w:rsidR="00CF0E2D" w:rsidRPr="00297081" w:rsidRDefault="00CF0E2D" w:rsidP="00A60D4B">
            <w:pPr>
              <w:pStyle w:val="InitFigR"/>
              <w:rPr>
                <w:b/>
                <w:bCs/>
              </w:rPr>
            </w:pPr>
            <w:r w:rsidRPr="00297081">
              <w:rPr>
                <w:b/>
                <w:bCs/>
              </w:rPr>
              <w:t>$’000</w:t>
            </w:r>
          </w:p>
        </w:tc>
        <w:tc>
          <w:tcPr>
            <w:tcW w:w="1029" w:type="dxa"/>
            <w:tcBorders>
              <w:top w:val="single" w:sz="4" w:space="0" w:color="auto"/>
              <w:bottom w:val="single" w:sz="4" w:space="0" w:color="auto"/>
            </w:tcBorders>
          </w:tcPr>
          <w:p w14:paraId="75A0D350" w14:textId="77777777" w:rsidR="00CF0E2D" w:rsidRPr="00297081" w:rsidRDefault="00CF0E2D" w:rsidP="00A60D4B">
            <w:pPr>
              <w:pStyle w:val="InitFigR"/>
              <w:rPr>
                <w:b/>
                <w:bCs/>
              </w:rPr>
            </w:pPr>
            <w:r w:rsidRPr="00297081">
              <w:rPr>
                <w:b/>
                <w:bCs/>
              </w:rPr>
              <w:t>2023-24</w:t>
            </w:r>
          </w:p>
          <w:p w14:paraId="35D78FE3" w14:textId="77777777" w:rsidR="00CF0E2D" w:rsidRPr="00297081" w:rsidRDefault="00CF0E2D" w:rsidP="00A60D4B">
            <w:pPr>
              <w:pStyle w:val="InitFigR"/>
              <w:rPr>
                <w:b/>
                <w:bCs/>
              </w:rPr>
            </w:pPr>
            <w:r w:rsidRPr="00297081">
              <w:rPr>
                <w:b/>
                <w:bCs/>
              </w:rPr>
              <w:t>$’000</w:t>
            </w:r>
          </w:p>
        </w:tc>
        <w:tc>
          <w:tcPr>
            <w:tcW w:w="1029" w:type="dxa"/>
            <w:tcBorders>
              <w:top w:val="single" w:sz="4" w:space="0" w:color="auto"/>
              <w:bottom w:val="single" w:sz="4" w:space="0" w:color="auto"/>
            </w:tcBorders>
          </w:tcPr>
          <w:p w14:paraId="29B7B9A1" w14:textId="77777777" w:rsidR="00CF0E2D" w:rsidRPr="00297081" w:rsidRDefault="00CF0E2D" w:rsidP="00A60D4B">
            <w:pPr>
              <w:pStyle w:val="InitFigR"/>
              <w:rPr>
                <w:b/>
                <w:bCs/>
              </w:rPr>
            </w:pPr>
            <w:r w:rsidRPr="00297081">
              <w:rPr>
                <w:b/>
                <w:bCs/>
              </w:rPr>
              <w:t>2024-25</w:t>
            </w:r>
          </w:p>
          <w:p w14:paraId="085917E1" w14:textId="77777777" w:rsidR="00CF0E2D" w:rsidRPr="00297081" w:rsidRDefault="00CF0E2D" w:rsidP="00A60D4B">
            <w:pPr>
              <w:pStyle w:val="InitFigR"/>
              <w:rPr>
                <w:b/>
                <w:bCs/>
              </w:rPr>
            </w:pPr>
            <w:r w:rsidRPr="00297081">
              <w:rPr>
                <w:b/>
                <w:bCs/>
              </w:rPr>
              <w:t>$’000</w:t>
            </w:r>
          </w:p>
        </w:tc>
        <w:tc>
          <w:tcPr>
            <w:tcW w:w="1029" w:type="dxa"/>
            <w:tcBorders>
              <w:top w:val="single" w:sz="4" w:space="0" w:color="auto"/>
              <w:bottom w:val="single" w:sz="4" w:space="0" w:color="auto"/>
            </w:tcBorders>
          </w:tcPr>
          <w:p w14:paraId="5CF5C3AA" w14:textId="77777777" w:rsidR="00CF0E2D" w:rsidRPr="004E341E" w:rsidRDefault="00CF0E2D" w:rsidP="00A60D4B">
            <w:pPr>
              <w:pStyle w:val="InitFigRBold"/>
            </w:pPr>
            <w:r w:rsidRPr="004E341E">
              <w:t>Total</w:t>
            </w:r>
          </w:p>
          <w:p w14:paraId="5B60420C" w14:textId="77777777" w:rsidR="00CF0E2D" w:rsidRPr="004E341E" w:rsidRDefault="00CF0E2D" w:rsidP="00A60D4B">
            <w:pPr>
              <w:pStyle w:val="InitFigBR"/>
            </w:pPr>
            <w:r w:rsidRPr="004E341E">
              <w:t>$’000</w:t>
            </w:r>
          </w:p>
        </w:tc>
      </w:tr>
      <w:tr w:rsidR="00CF0E2D" w:rsidRPr="00750793" w14:paraId="17830743" w14:textId="77777777" w:rsidTr="00A60D4B">
        <w:trPr>
          <w:cantSplit/>
          <w:jc w:val="center"/>
        </w:trPr>
        <w:tc>
          <w:tcPr>
            <w:tcW w:w="3652" w:type="dxa"/>
            <w:tcBorders>
              <w:top w:val="single" w:sz="4" w:space="0" w:color="auto"/>
              <w:bottom w:val="single" w:sz="4" w:space="0" w:color="auto"/>
            </w:tcBorders>
          </w:tcPr>
          <w:p w14:paraId="2D076BC8"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10BEA80F" w14:textId="77777777" w:rsidR="00CF0E2D" w:rsidRPr="00424DA4" w:rsidRDefault="00CF0E2D" w:rsidP="00A60D4B">
            <w:pPr>
              <w:pStyle w:val="InitFigR"/>
            </w:pPr>
            <w:r>
              <w:t>1,557</w:t>
            </w:r>
          </w:p>
        </w:tc>
        <w:tc>
          <w:tcPr>
            <w:tcW w:w="1041" w:type="dxa"/>
            <w:tcBorders>
              <w:top w:val="single" w:sz="4" w:space="0" w:color="auto"/>
              <w:bottom w:val="single" w:sz="4" w:space="0" w:color="auto"/>
            </w:tcBorders>
          </w:tcPr>
          <w:p w14:paraId="7D41F71A" w14:textId="77777777" w:rsidR="00CF0E2D" w:rsidRPr="00424DA4" w:rsidRDefault="00CF0E2D" w:rsidP="00A60D4B">
            <w:pPr>
              <w:pStyle w:val="InitFigR"/>
            </w:pPr>
            <w:r>
              <w:t>1,619</w:t>
            </w:r>
          </w:p>
        </w:tc>
        <w:tc>
          <w:tcPr>
            <w:tcW w:w="1029" w:type="dxa"/>
            <w:tcBorders>
              <w:top w:val="single" w:sz="4" w:space="0" w:color="auto"/>
              <w:bottom w:val="single" w:sz="4" w:space="0" w:color="auto"/>
            </w:tcBorders>
          </w:tcPr>
          <w:p w14:paraId="66B18E5D" w14:textId="77777777" w:rsidR="00CF0E2D" w:rsidRPr="00424DA4" w:rsidRDefault="00CF0E2D" w:rsidP="00A60D4B">
            <w:pPr>
              <w:pStyle w:val="InitFigR"/>
            </w:pPr>
            <w:r>
              <w:t>1,643</w:t>
            </w:r>
          </w:p>
        </w:tc>
        <w:tc>
          <w:tcPr>
            <w:tcW w:w="1029" w:type="dxa"/>
            <w:tcBorders>
              <w:top w:val="single" w:sz="4" w:space="0" w:color="auto"/>
              <w:bottom w:val="single" w:sz="4" w:space="0" w:color="auto"/>
            </w:tcBorders>
          </w:tcPr>
          <w:p w14:paraId="44AF719B" w14:textId="77777777" w:rsidR="00CF0E2D" w:rsidRPr="00424DA4" w:rsidRDefault="00CF0E2D" w:rsidP="00A60D4B">
            <w:pPr>
              <w:pStyle w:val="InitFigR"/>
            </w:pPr>
            <w:r>
              <w:t>1,669</w:t>
            </w:r>
          </w:p>
        </w:tc>
        <w:tc>
          <w:tcPr>
            <w:tcW w:w="1029" w:type="dxa"/>
            <w:tcBorders>
              <w:top w:val="single" w:sz="4" w:space="0" w:color="auto"/>
              <w:bottom w:val="single" w:sz="4" w:space="0" w:color="auto"/>
            </w:tcBorders>
          </w:tcPr>
          <w:p w14:paraId="19A62FC3" w14:textId="77777777" w:rsidR="00CF0E2D" w:rsidRPr="00424DA4" w:rsidRDefault="00CF0E2D" w:rsidP="00A60D4B">
            <w:pPr>
              <w:pStyle w:val="InitFigBR"/>
            </w:pPr>
            <w:r>
              <w:t>6,488</w:t>
            </w:r>
          </w:p>
        </w:tc>
      </w:tr>
    </w:tbl>
    <w:p w14:paraId="18BA4A64" w14:textId="77777777" w:rsidR="00CF0E2D" w:rsidRPr="007D2F2E" w:rsidRDefault="00CF0E2D" w:rsidP="00A60D4B">
      <w:pPr>
        <w:spacing w:before="200" w:after="200" w:line="240" w:lineRule="auto"/>
        <w:rPr>
          <w:rFonts w:ascii="Calibri" w:eastAsia="Times New Roman" w:hAnsi="Calibri" w:cs="Times New Roman"/>
          <w:sz w:val="24"/>
          <w:szCs w:val="20"/>
        </w:rPr>
      </w:pPr>
      <w:r w:rsidRPr="007D2F2E">
        <w:rPr>
          <w:rFonts w:ascii="Calibri" w:eastAsia="Times New Roman" w:hAnsi="Calibri" w:cs="Times New Roman"/>
          <w:sz w:val="24"/>
          <w:szCs w:val="20"/>
        </w:rPr>
        <w:t xml:space="preserve">The Government will further develop the Child and Youth Record Information System (CYRIS) to ensure high quality information is available to comprehensively assess the risk experienced by vulnerable children and young people. The funding also provides for system technical upgrades, management of security obligations and support. </w:t>
      </w:r>
    </w:p>
    <w:p w14:paraId="3DC4A8E2" w14:textId="77777777" w:rsidR="00CF0E2D" w:rsidRDefault="00CF0E2D" w:rsidP="00A60D4B">
      <w:pPr>
        <w:spacing w:before="200" w:after="200" w:line="240" w:lineRule="auto"/>
        <w:rPr>
          <w:rFonts w:ascii="Calibri" w:eastAsia="Times New Roman" w:hAnsi="Calibri" w:cs="Times New Roman"/>
          <w:sz w:val="24"/>
          <w:szCs w:val="20"/>
        </w:rPr>
      </w:pPr>
      <w:r w:rsidRPr="007D2F2E">
        <w:rPr>
          <w:rFonts w:ascii="Calibri" w:eastAsia="Times New Roman" w:hAnsi="Calibri" w:cs="Times New Roman"/>
          <w:sz w:val="24"/>
          <w:szCs w:val="20"/>
        </w:rPr>
        <w:t>This initiative contributes to the wellbeing domain of Safety.</w:t>
      </w:r>
    </w:p>
    <w:p w14:paraId="3C8FB5AD" w14:textId="77777777" w:rsidR="00CF0E2D" w:rsidRPr="00A442A3" w:rsidRDefault="00CF0E2D" w:rsidP="00A60D4B">
      <w:pPr>
        <w:pStyle w:val="Bbodytext"/>
      </w:pPr>
    </w:p>
    <w:p w14:paraId="703983F0" w14:textId="77777777" w:rsidR="00CF0E2D" w:rsidRPr="00532977" w:rsidRDefault="00CF0E2D" w:rsidP="00A60D4B">
      <w:pPr>
        <w:pStyle w:val="Heading4"/>
        <w:rPr>
          <w:rFonts w:eastAsia="Times New Roman" w:cs="Times New Roman"/>
          <w:bCs/>
          <w:szCs w:val="26"/>
        </w:rPr>
      </w:pPr>
      <w:r w:rsidRPr="00532977">
        <w:rPr>
          <w:rFonts w:eastAsia="Times New Roman"/>
        </w:rPr>
        <w:t xml:space="preserve">More </w:t>
      </w:r>
      <w:r>
        <w:rPr>
          <w:rFonts w:eastAsia="Times New Roman" w:cs="Times New Roman"/>
          <w:szCs w:val="26"/>
        </w:rPr>
        <w:t>s</w:t>
      </w:r>
      <w:r w:rsidRPr="00532977">
        <w:rPr>
          <w:rFonts w:eastAsia="Times New Roman" w:cs="Times New Roman"/>
          <w:szCs w:val="26"/>
        </w:rPr>
        <w:t>upport</w:t>
      </w:r>
      <w:r w:rsidRPr="00532977">
        <w:rPr>
          <w:rFonts w:eastAsia="Times New Roman" w:cs="Times New Roman"/>
          <w:bCs/>
          <w:szCs w:val="26"/>
        </w:rPr>
        <w:t xml:space="preserve"> for the Children and Young People Equipment Loan Service </w:t>
      </w:r>
      <w:r>
        <w:rPr>
          <w:b w:val="0"/>
          <w:noProof/>
          <w:color w:val="999789"/>
          <w:sz w:val="32"/>
          <w:szCs w:val="24"/>
        </w:rPr>
        <w:drawing>
          <wp:anchor distT="0" distB="0" distL="114300" distR="114300" simplePos="0" relativeHeight="251778048" behindDoc="0" locked="1" layoutInCell="1" allowOverlap="1" wp14:anchorId="24308468" wp14:editId="74545BD3">
            <wp:simplePos x="0" y="0"/>
            <wp:positionH relativeFrom="margin">
              <wp:align>right</wp:align>
            </wp:positionH>
            <wp:positionV relativeFrom="paragraph">
              <wp:posOffset>95250</wp:posOffset>
            </wp:positionV>
            <wp:extent cx="993140" cy="503555"/>
            <wp:effectExtent l="0" t="0" r="0" b="0"/>
            <wp:wrapSquare wrapText="bothSides"/>
            <wp:docPr id="92" name="Picture 92"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6994DCE5" w14:textId="77777777" w:rsidTr="00A60D4B">
        <w:trPr>
          <w:cantSplit/>
          <w:jc w:val="center"/>
        </w:trPr>
        <w:tc>
          <w:tcPr>
            <w:tcW w:w="3652" w:type="dxa"/>
            <w:tcBorders>
              <w:top w:val="single" w:sz="4" w:space="0" w:color="auto"/>
              <w:bottom w:val="single" w:sz="4" w:space="0" w:color="auto"/>
            </w:tcBorders>
          </w:tcPr>
          <w:p w14:paraId="69878313" w14:textId="77777777" w:rsidR="00CF0E2D" w:rsidRPr="004E341E" w:rsidRDefault="00CF0E2D" w:rsidP="00A60D4B">
            <w:pPr>
              <w:pStyle w:val="EmptyCell0"/>
              <w:keepNext/>
              <w:keepLines/>
            </w:pPr>
            <w:bookmarkStart w:id="40" w:name="_Hlk78201724"/>
            <w:r>
              <w:t>Empty Cell</w:t>
            </w:r>
          </w:p>
        </w:tc>
        <w:tc>
          <w:tcPr>
            <w:tcW w:w="1179" w:type="dxa"/>
            <w:tcBorders>
              <w:top w:val="single" w:sz="4" w:space="0" w:color="auto"/>
              <w:bottom w:val="single" w:sz="4" w:space="0" w:color="auto"/>
            </w:tcBorders>
          </w:tcPr>
          <w:p w14:paraId="0EBC5788" w14:textId="77777777" w:rsidR="00CF0E2D" w:rsidRPr="00CF2A8E" w:rsidRDefault="00CF0E2D" w:rsidP="00A60D4B">
            <w:pPr>
              <w:pStyle w:val="InitFigR"/>
              <w:keepNext/>
              <w:keepLines/>
              <w:rPr>
                <w:b/>
                <w:bCs/>
              </w:rPr>
            </w:pPr>
            <w:r w:rsidRPr="00CF2A8E">
              <w:rPr>
                <w:b/>
                <w:bCs/>
              </w:rPr>
              <w:t>2021-22</w:t>
            </w:r>
          </w:p>
          <w:p w14:paraId="6A76B7E6" w14:textId="77777777" w:rsidR="00CF0E2D" w:rsidRPr="00CF2A8E" w:rsidRDefault="00CF0E2D" w:rsidP="00A60D4B">
            <w:pPr>
              <w:pStyle w:val="InitFigR"/>
              <w:keepNext/>
              <w:keepLines/>
              <w:rPr>
                <w:b/>
                <w:bCs/>
              </w:rPr>
            </w:pPr>
            <w:r w:rsidRPr="00CF2A8E">
              <w:rPr>
                <w:b/>
                <w:bCs/>
              </w:rPr>
              <w:t>$’000</w:t>
            </w:r>
          </w:p>
        </w:tc>
        <w:tc>
          <w:tcPr>
            <w:tcW w:w="1041" w:type="dxa"/>
            <w:tcBorders>
              <w:top w:val="single" w:sz="4" w:space="0" w:color="auto"/>
              <w:bottom w:val="single" w:sz="4" w:space="0" w:color="auto"/>
            </w:tcBorders>
          </w:tcPr>
          <w:p w14:paraId="6779D4EF" w14:textId="77777777" w:rsidR="00CF0E2D" w:rsidRPr="00CF2A8E" w:rsidRDefault="00CF0E2D" w:rsidP="00A60D4B">
            <w:pPr>
              <w:pStyle w:val="InitFigR"/>
              <w:keepNext/>
              <w:keepLines/>
              <w:rPr>
                <w:b/>
                <w:bCs/>
              </w:rPr>
            </w:pPr>
            <w:r w:rsidRPr="00CF2A8E">
              <w:rPr>
                <w:b/>
                <w:bCs/>
              </w:rPr>
              <w:t>2022-23</w:t>
            </w:r>
          </w:p>
          <w:p w14:paraId="47EAC19F" w14:textId="77777777" w:rsidR="00CF0E2D" w:rsidRPr="00CF2A8E" w:rsidRDefault="00CF0E2D" w:rsidP="00A60D4B">
            <w:pPr>
              <w:pStyle w:val="InitFigR"/>
              <w:keepNext/>
              <w:keepLines/>
              <w:rPr>
                <w:b/>
                <w:bCs/>
              </w:rPr>
            </w:pPr>
            <w:r w:rsidRPr="00CF2A8E">
              <w:rPr>
                <w:b/>
                <w:bCs/>
              </w:rPr>
              <w:t>$’000</w:t>
            </w:r>
          </w:p>
        </w:tc>
        <w:tc>
          <w:tcPr>
            <w:tcW w:w="1029" w:type="dxa"/>
            <w:tcBorders>
              <w:top w:val="single" w:sz="4" w:space="0" w:color="auto"/>
              <w:bottom w:val="single" w:sz="4" w:space="0" w:color="auto"/>
            </w:tcBorders>
          </w:tcPr>
          <w:p w14:paraId="1412C0B7" w14:textId="77777777" w:rsidR="00CF0E2D" w:rsidRPr="00CF2A8E" w:rsidRDefault="00CF0E2D" w:rsidP="00A60D4B">
            <w:pPr>
              <w:pStyle w:val="InitFigR"/>
              <w:keepNext/>
              <w:keepLines/>
              <w:rPr>
                <w:b/>
                <w:bCs/>
              </w:rPr>
            </w:pPr>
            <w:r w:rsidRPr="00CF2A8E">
              <w:rPr>
                <w:b/>
                <w:bCs/>
              </w:rPr>
              <w:t>2023-24</w:t>
            </w:r>
          </w:p>
          <w:p w14:paraId="2E77D8B1" w14:textId="77777777" w:rsidR="00CF0E2D" w:rsidRPr="00CF2A8E" w:rsidRDefault="00CF0E2D" w:rsidP="00A60D4B">
            <w:pPr>
              <w:pStyle w:val="InitFigR"/>
              <w:keepNext/>
              <w:keepLines/>
              <w:rPr>
                <w:b/>
                <w:bCs/>
              </w:rPr>
            </w:pPr>
            <w:r w:rsidRPr="00CF2A8E">
              <w:rPr>
                <w:b/>
                <w:bCs/>
              </w:rPr>
              <w:t>$’000</w:t>
            </w:r>
          </w:p>
        </w:tc>
        <w:tc>
          <w:tcPr>
            <w:tcW w:w="1029" w:type="dxa"/>
            <w:tcBorders>
              <w:top w:val="single" w:sz="4" w:space="0" w:color="auto"/>
              <w:bottom w:val="single" w:sz="4" w:space="0" w:color="auto"/>
            </w:tcBorders>
          </w:tcPr>
          <w:p w14:paraId="46C0B838" w14:textId="77777777" w:rsidR="00CF0E2D" w:rsidRPr="00CF2A8E" w:rsidRDefault="00CF0E2D" w:rsidP="00A60D4B">
            <w:pPr>
              <w:pStyle w:val="InitFigR"/>
              <w:keepNext/>
              <w:keepLines/>
              <w:rPr>
                <w:b/>
                <w:bCs/>
              </w:rPr>
            </w:pPr>
            <w:r w:rsidRPr="00CF2A8E">
              <w:rPr>
                <w:b/>
                <w:bCs/>
              </w:rPr>
              <w:t>2024-25</w:t>
            </w:r>
          </w:p>
          <w:p w14:paraId="6A6825D7" w14:textId="77777777" w:rsidR="00CF0E2D" w:rsidRPr="00CF2A8E" w:rsidRDefault="00CF0E2D" w:rsidP="00A60D4B">
            <w:pPr>
              <w:pStyle w:val="InitFigR"/>
              <w:keepNext/>
              <w:keepLines/>
              <w:rPr>
                <w:b/>
                <w:bCs/>
              </w:rPr>
            </w:pPr>
            <w:r w:rsidRPr="00CF2A8E">
              <w:rPr>
                <w:b/>
                <w:bCs/>
              </w:rPr>
              <w:t>$’000</w:t>
            </w:r>
          </w:p>
        </w:tc>
        <w:tc>
          <w:tcPr>
            <w:tcW w:w="1029" w:type="dxa"/>
            <w:tcBorders>
              <w:top w:val="single" w:sz="4" w:space="0" w:color="auto"/>
              <w:bottom w:val="single" w:sz="4" w:space="0" w:color="auto"/>
            </w:tcBorders>
          </w:tcPr>
          <w:p w14:paraId="38809FB8" w14:textId="77777777" w:rsidR="00CF0E2D" w:rsidRPr="004E341E" w:rsidRDefault="00CF0E2D" w:rsidP="00A60D4B">
            <w:pPr>
              <w:pStyle w:val="InitFigRBold"/>
              <w:keepNext/>
              <w:keepLines/>
            </w:pPr>
            <w:r w:rsidRPr="004E341E">
              <w:t>Total</w:t>
            </w:r>
          </w:p>
          <w:p w14:paraId="397C1DED" w14:textId="77777777" w:rsidR="00CF0E2D" w:rsidRPr="004E341E" w:rsidRDefault="00CF0E2D" w:rsidP="00A60D4B">
            <w:pPr>
              <w:pStyle w:val="InitFigBR"/>
              <w:keepNext/>
              <w:keepLines/>
            </w:pPr>
            <w:r w:rsidRPr="004E341E">
              <w:t>$’000</w:t>
            </w:r>
          </w:p>
        </w:tc>
      </w:tr>
      <w:tr w:rsidR="00CF0E2D" w:rsidRPr="00750793" w14:paraId="1ACF4BE1" w14:textId="77777777" w:rsidTr="00A60D4B">
        <w:trPr>
          <w:cantSplit/>
          <w:jc w:val="center"/>
        </w:trPr>
        <w:tc>
          <w:tcPr>
            <w:tcW w:w="3652" w:type="dxa"/>
            <w:tcBorders>
              <w:top w:val="single" w:sz="4" w:space="0" w:color="auto"/>
            </w:tcBorders>
          </w:tcPr>
          <w:p w14:paraId="0EEB2831" w14:textId="77777777" w:rsidR="00CF0E2D" w:rsidRDefault="00CF0E2D" w:rsidP="00A60D4B">
            <w:pPr>
              <w:pStyle w:val="InitTextL"/>
              <w:keepNext/>
              <w:keepLines/>
              <w:ind w:left="321" w:hanging="321"/>
            </w:pPr>
            <w:r>
              <w:t>Capital</w:t>
            </w:r>
          </w:p>
        </w:tc>
        <w:tc>
          <w:tcPr>
            <w:tcW w:w="1179" w:type="dxa"/>
            <w:tcBorders>
              <w:top w:val="single" w:sz="4" w:space="0" w:color="auto"/>
            </w:tcBorders>
          </w:tcPr>
          <w:p w14:paraId="6E71A1F6" w14:textId="77777777" w:rsidR="00CF0E2D" w:rsidRDefault="00CF0E2D" w:rsidP="00A60D4B">
            <w:pPr>
              <w:pStyle w:val="InitFigR"/>
              <w:keepNext/>
              <w:keepLines/>
            </w:pPr>
            <w:r>
              <w:t>207</w:t>
            </w:r>
          </w:p>
        </w:tc>
        <w:tc>
          <w:tcPr>
            <w:tcW w:w="1041" w:type="dxa"/>
            <w:tcBorders>
              <w:top w:val="single" w:sz="4" w:space="0" w:color="auto"/>
            </w:tcBorders>
          </w:tcPr>
          <w:p w14:paraId="185F431F" w14:textId="77777777" w:rsidR="00CF0E2D" w:rsidRDefault="00CF0E2D" w:rsidP="00A60D4B">
            <w:pPr>
              <w:pStyle w:val="InitFigR"/>
              <w:keepNext/>
              <w:keepLines/>
            </w:pPr>
            <w:r>
              <w:t>0</w:t>
            </w:r>
          </w:p>
        </w:tc>
        <w:tc>
          <w:tcPr>
            <w:tcW w:w="1029" w:type="dxa"/>
            <w:tcBorders>
              <w:top w:val="single" w:sz="4" w:space="0" w:color="auto"/>
            </w:tcBorders>
          </w:tcPr>
          <w:p w14:paraId="199EAD58" w14:textId="77777777" w:rsidR="00CF0E2D" w:rsidRDefault="00CF0E2D" w:rsidP="00A60D4B">
            <w:pPr>
              <w:pStyle w:val="InitFigR"/>
              <w:keepNext/>
              <w:keepLines/>
            </w:pPr>
            <w:r>
              <w:t>0</w:t>
            </w:r>
          </w:p>
        </w:tc>
        <w:tc>
          <w:tcPr>
            <w:tcW w:w="1029" w:type="dxa"/>
            <w:tcBorders>
              <w:top w:val="single" w:sz="4" w:space="0" w:color="auto"/>
            </w:tcBorders>
          </w:tcPr>
          <w:p w14:paraId="776CBB78" w14:textId="77777777" w:rsidR="00CF0E2D" w:rsidRDefault="00CF0E2D" w:rsidP="00A60D4B">
            <w:pPr>
              <w:pStyle w:val="InitFigR"/>
              <w:keepNext/>
              <w:keepLines/>
            </w:pPr>
            <w:r>
              <w:t>0</w:t>
            </w:r>
          </w:p>
        </w:tc>
        <w:tc>
          <w:tcPr>
            <w:tcW w:w="1029" w:type="dxa"/>
            <w:tcBorders>
              <w:top w:val="single" w:sz="4" w:space="0" w:color="auto"/>
            </w:tcBorders>
          </w:tcPr>
          <w:p w14:paraId="2160D4C5" w14:textId="77777777" w:rsidR="00CF0E2D" w:rsidRPr="00CF2A8E" w:rsidRDefault="00CF0E2D" w:rsidP="00A60D4B">
            <w:pPr>
              <w:pStyle w:val="InitFigRBold"/>
              <w:keepNext/>
              <w:keepLines/>
              <w:rPr>
                <w:bCs/>
              </w:rPr>
            </w:pPr>
            <w:r w:rsidRPr="00CF2A8E">
              <w:rPr>
                <w:bCs/>
              </w:rPr>
              <w:t>207</w:t>
            </w:r>
          </w:p>
        </w:tc>
      </w:tr>
      <w:tr w:rsidR="00CF0E2D" w:rsidRPr="00750793" w14:paraId="5DFEF37D" w14:textId="77777777" w:rsidTr="00A60D4B">
        <w:trPr>
          <w:cantSplit/>
          <w:jc w:val="center"/>
        </w:trPr>
        <w:tc>
          <w:tcPr>
            <w:tcW w:w="3652" w:type="dxa"/>
            <w:tcBorders>
              <w:top w:val="single" w:sz="4" w:space="0" w:color="auto"/>
            </w:tcBorders>
          </w:tcPr>
          <w:p w14:paraId="1D9EC710" w14:textId="77777777" w:rsidR="00CF0E2D" w:rsidRPr="00D13A71" w:rsidRDefault="00CF0E2D" w:rsidP="00A60D4B">
            <w:pPr>
              <w:pStyle w:val="InitTextL"/>
              <w:keepNext/>
              <w:keepLines/>
              <w:ind w:left="321" w:hanging="321"/>
              <w:rPr>
                <w:b/>
                <w:bCs/>
              </w:rPr>
            </w:pPr>
            <w:r>
              <w:t>Depreciation</w:t>
            </w:r>
          </w:p>
        </w:tc>
        <w:tc>
          <w:tcPr>
            <w:tcW w:w="1179" w:type="dxa"/>
            <w:tcBorders>
              <w:top w:val="single" w:sz="4" w:space="0" w:color="auto"/>
            </w:tcBorders>
          </w:tcPr>
          <w:p w14:paraId="6F477FDC" w14:textId="77777777" w:rsidR="00CF0E2D" w:rsidRDefault="00CF0E2D" w:rsidP="00A60D4B">
            <w:pPr>
              <w:pStyle w:val="InitFigR"/>
              <w:keepNext/>
              <w:keepLines/>
            </w:pPr>
            <w:r>
              <w:t>0</w:t>
            </w:r>
          </w:p>
        </w:tc>
        <w:tc>
          <w:tcPr>
            <w:tcW w:w="1041" w:type="dxa"/>
            <w:tcBorders>
              <w:top w:val="single" w:sz="4" w:space="0" w:color="auto"/>
            </w:tcBorders>
          </w:tcPr>
          <w:p w14:paraId="25010CF7" w14:textId="77777777" w:rsidR="00CF0E2D" w:rsidRDefault="00CF0E2D" w:rsidP="00A60D4B">
            <w:pPr>
              <w:pStyle w:val="InitFigR"/>
              <w:keepNext/>
              <w:keepLines/>
            </w:pPr>
            <w:r>
              <w:t>41</w:t>
            </w:r>
          </w:p>
        </w:tc>
        <w:tc>
          <w:tcPr>
            <w:tcW w:w="1029" w:type="dxa"/>
            <w:tcBorders>
              <w:top w:val="single" w:sz="4" w:space="0" w:color="auto"/>
            </w:tcBorders>
          </w:tcPr>
          <w:p w14:paraId="345B24E4" w14:textId="77777777" w:rsidR="00CF0E2D" w:rsidRDefault="00CF0E2D" w:rsidP="00A60D4B">
            <w:pPr>
              <w:pStyle w:val="InitFigR"/>
              <w:keepNext/>
              <w:keepLines/>
            </w:pPr>
            <w:r>
              <w:t>41</w:t>
            </w:r>
          </w:p>
        </w:tc>
        <w:tc>
          <w:tcPr>
            <w:tcW w:w="1029" w:type="dxa"/>
            <w:tcBorders>
              <w:top w:val="single" w:sz="4" w:space="0" w:color="auto"/>
            </w:tcBorders>
          </w:tcPr>
          <w:p w14:paraId="27A30B68" w14:textId="77777777" w:rsidR="00CF0E2D" w:rsidRDefault="00CF0E2D" w:rsidP="00A60D4B">
            <w:pPr>
              <w:pStyle w:val="InitFigR"/>
              <w:keepNext/>
              <w:keepLines/>
            </w:pPr>
            <w:r>
              <w:t>41</w:t>
            </w:r>
          </w:p>
        </w:tc>
        <w:tc>
          <w:tcPr>
            <w:tcW w:w="1029" w:type="dxa"/>
            <w:tcBorders>
              <w:top w:val="single" w:sz="4" w:space="0" w:color="auto"/>
            </w:tcBorders>
          </w:tcPr>
          <w:p w14:paraId="34F960AF" w14:textId="77777777" w:rsidR="00CF0E2D" w:rsidRPr="00CF2A8E" w:rsidRDefault="00CF0E2D" w:rsidP="00A60D4B">
            <w:pPr>
              <w:pStyle w:val="InitFigRBold"/>
              <w:keepNext/>
              <w:keepLines/>
              <w:rPr>
                <w:bCs/>
              </w:rPr>
            </w:pPr>
            <w:r w:rsidRPr="00CF2A8E">
              <w:rPr>
                <w:bCs/>
              </w:rPr>
              <w:t>123</w:t>
            </w:r>
          </w:p>
        </w:tc>
      </w:tr>
      <w:tr w:rsidR="00CF0E2D" w:rsidRPr="00750793" w14:paraId="289A421F" w14:textId="77777777" w:rsidTr="00A60D4B">
        <w:trPr>
          <w:cantSplit/>
          <w:jc w:val="center"/>
        </w:trPr>
        <w:tc>
          <w:tcPr>
            <w:tcW w:w="3652" w:type="dxa"/>
          </w:tcPr>
          <w:p w14:paraId="18CFDB0E" w14:textId="77777777" w:rsidR="00CF0E2D" w:rsidRPr="00F13FAB" w:rsidRDefault="00CF0E2D" w:rsidP="00A60D4B">
            <w:pPr>
              <w:pStyle w:val="InitTextL"/>
              <w:keepNext/>
              <w:keepLines/>
              <w:ind w:left="321" w:hanging="321"/>
            </w:pPr>
            <w:r w:rsidRPr="00882BE2">
              <w:t>Expenses</w:t>
            </w:r>
          </w:p>
        </w:tc>
        <w:tc>
          <w:tcPr>
            <w:tcW w:w="1179" w:type="dxa"/>
          </w:tcPr>
          <w:p w14:paraId="791356FD" w14:textId="77777777" w:rsidR="00CF0E2D" w:rsidRPr="00424DA4" w:rsidRDefault="00CF0E2D" w:rsidP="00A60D4B">
            <w:pPr>
              <w:pStyle w:val="InitFigR"/>
              <w:keepNext/>
              <w:keepLines/>
            </w:pPr>
            <w:r>
              <w:t>555</w:t>
            </w:r>
          </w:p>
        </w:tc>
        <w:tc>
          <w:tcPr>
            <w:tcW w:w="1041" w:type="dxa"/>
          </w:tcPr>
          <w:p w14:paraId="75FD1CDF" w14:textId="77777777" w:rsidR="00CF0E2D" w:rsidRPr="00424DA4" w:rsidRDefault="00CF0E2D" w:rsidP="00A60D4B">
            <w:pPr>
              <w:pStyle w:val="InitFigR"/>
              <w:keepNext/>
              <w:keepLines/>
            </w:pPr>
            <w:r>
              <w:t>0</w:t>
            </w:r>
          </w:p>
        </w:tc>
        <w:tc>
          <w:tcPr>
            <w:tcW w:w="1029" w:type="dxa"/>
          </w:tcPr>
          <w:p w14:paraId="0A4985AF" w14:textId="77777777" w:rsidR="00CF0E2D" w:rsidRPr="00424DA4" w:rsidRDefault="00CF0E2D" w:rsidP="00A60D4B">
            <w:pPr>
              <w:pStyle w:val="InitFigR"/>
              <w:keepNext/>
              <w:keepLines/>
            </w:pPr>
            <w:r>
              <w:t>0</w:t>
            </w:r>
          </w:p>
        </w:tc>
        <w:tc>
          <w:tcPr>
            <w:tcW w:w="1029" w:type="dxa"/>
          </w:tcPr>
          <w:p w14:paraId="419A48FD" w14:textId="77777777" w:rsidR="00CF0E2D" w:rsidRPr="00424DA4" w:rsidRDefault="00CF0E2D" w:rsidP="00A60D4B">
            <w:pPr>
              <w:pStyle w:val="InitFigR"/>
              <w:keepNext/>
              <w:keepLines/>
            </w:pPr>
            <w:r>
              <w:t>0</w:t>
            </w:r>
          </w:p>
        </w:tc>
        <w:tc>
          <w:tcPr>
            <w:tcW w:w="1029" w:type="dxa"/>
          </w:tcPr>
          <w:p w14:paraId="56EEF783" w14:textId="77777777" w:rsidR="00CF0E2D" w:rsidRPr="00CF2A8E" w:rsidRDefault="00CF0E2D" w:rsidP="00A60D4B">
            <w:pPr>
              <w:pStyle w:val="InitFigBR"/>
              <w:keepNext/>
              <w:keepLines/>
              <w:rPr>
                <w:bCs/>
              </w:rPr>
            </w:pPr>
            <w:r w:rsidRPr="00CF2A8E">
              <w:rPr>
                <w:bCs/>
              </w:rPr>
              <w:t>555</w:t>
            </w:r>
          </w:p>
        </w:tc>
      </w:tr>
      <w:tr w:rsidR="00CF0E2D" w:rsidRPr="00750793" w14:paraId="57EFF66F" w14:textId="77777777" w:rsidTr="00A60D4B">
        <w:trPr>
          <w:cantSplit/>
          <w:trHeight w:val="107"/>
          <w:jc w:val="center"/>
        </w:trPr>
        <w:tc>
          <w:tcPr>
            <w:tcW w:w="3652" w:type="dxa"/>
            <w:tcBorders>
              <w:top w:val="single" w:sz="4" w:space="0" w:color="auto"/>
              <w:bottom w:val="single" w:sz="4" w:space="0" w:color="auto"/>
            </w:tcBorders>
          </w:tcPr>
          <w:p w14:paraId="40E75775" w14:textId="77777777" w:rsidR="00CF0E2D" w:rsidRDefault="00CF0E2D" w:rsidP="00A60D4B">
            <w:pPr>
              <w:pStyle w:val="InitFigLBold"/>
              <w:keepNext/>
              <w:keepLines/>
              <w:ind w:left="321" w:hanging="321"/>
            </w:pPr>
            <w:r>
              <w:t>Net cost of services</w:t>
            </w:r>
          </w:p>
        </w:tc>
        <w:tc>
          <w:tcPr>
            <w:tcW w:w="1179" w:type="dxa"/>
            <w:tcBorders>
              <w:top w:val="single" w:sz="4" w:space="0" w:color="auto"/>
              <w:bottom w:val="single" w:sz="4" w:space="0" w:color="auto"/>
            </w:tcBorders>
          </w:tcPr>
          <w:p w14:paraId="06130630" w14:textId="77777777" w:rsidR="00CF0E2D" w:rsidRPr="00424DA4" w:rsidRDefault="00CF0E2D" w:rsidP="00A60D4B">
            <w:pPr>
              <w:pStyle w:val="InitFigRBold"/>
              <w:keepNext/>
              <w:keepLines/>
            </w:pPr>
            <w:r>
              <w:t>555</w:t>
            </w:r>
          </w:p>
        </w:tc>
        <w:tc>
          <w:tcPr>
            <w:tcW w:w="1041" w:type="dxa"/>
            <w:tcBorders>
              <w:top w:val="single" w:sz="4" w:space="0" w:color="auto"/>
              <w:bottom w:val="single" w:sz="4" w:space="0" w:color="auto"/>
            </w:tcBorders>
          </w:tcPr>
          <w:p w14:paraId="22E11B62" w14:textId="77777777" w:rsidR="00CF0E2D" w:rsidRPr="00424DA4" w:rsidRDefault="00CF0E2D" w:rsidP="00A60D4B">
            <w:pPr>
              <w:pStyle w:val="InitFigRBold"/>
              <w:keepNext/>
              <w:keepLines/>
            </w:pPr>
            <w:r>
              <w:t>41</w:t>
            </w:r>
          </w:p>
        </w:tc>
        <w:tc>
          <w:tcPr>
            <w:tcW w:w="1029" w:type="dxa"/>
            <w:tcBorders>
              <w:top w:val="single" w:sz="4" w:space="0" w:color="auto"/>
              <w:bottom w:val="single" w:sz="4" w:space="0" w:color="auto"/>
            </w:tcBorders>
          </w:tcPr>
          <w:p w14:paraId="30E43E11" w14:textId="77777777" w:rsidR="00CF0E2D" w:rsidRPr="00424DA4" w:rsidRDefault="00CF0E2D" w:rsidP="00A60D4B">
            <w:pPr>
              <w:pStyle w:val="InitFigRBold"/>
              <w:keepNext/>
              <w:keepLines/>
            </w:pPr>
            <w:r>
              <w:t>41</w:t>
            </w:r>
          </w:p>
        </w:tc>
        <w:tc>
          <w:tcPr>
            <w:tcW w:w="1029" w:type="dxa"/>
            <w:tcBorders>
              <w:top w:val="single" w:sz="4" w:space="0" w:color="auto"/>
              <w:bottom w:val="single" w:sz="4" w:space="0" w:color="auto"/>
            </w:tcBorders>
          </w:tcPr>
          <w:p w14:paraId="3F2DE63F" w14:textId="77777777" w:rsidR="00CF0E2D" w:rsidRPr="00424DA4" w:rsidRDefault="00CF0E2D" w:rsidP="00A60D4B">
            <w:pPr>
              <w:pStyle w:val="InitFigRBold"/>
              <w:keepNext/>
              <w:keepLines/>
            </w:pPr>
            <w:r>
              <w:t>41</w:t>
            </w:r>
          </w:p>
        </w:tc>
        <w:tc>
          <w:tcPr>
            <w:tcW w:w="1029" w:type="dxa"/>
            <w:tcBorders>
              <w:top w:val="single" w:sz="4" w:space="0" w:color="auto"/>
              <w:bottom w:val="single" w:sz="4" w:space="0" w:color="auto"/>
            </w:tcBorders>
          </w:tcPr>
          <w:p w14:paraId="5EE6D115" w14:textId="77777777" w:rsidR="00CF0E2D" w:rsidRPr="00424DA4" w:rsidRDefault="00CF0E2D" w:rsidP="00A60D4B">
            <w:pPr>
              <w:pStyle w:val="InitFigRBold"/>
              <w:keepNext/>
              <w:keepLines/>
            </w:pPr>
            <w:r>
              <w:t>678</w:t>
            </w:r>
          </w:p>
        </w:tc>
      </w:tr>
    </w:tbl>
    <w:bookmarkEnd w:id="40"/>
    <w:p w14:paraId="2BCDD811" w14:textId="77777777" w:rsidR="00CF0E2D" w:rsidRPr="00532977" w:rsidRDefault="00CF0E2D" w:rsidP="00A60D4B">
      <w:pPr>
        <w:pStyle w:val="Bbodytext"/>
      </w:pPr>
      <w:r w:rsidRPr="00532977">
        <w:t>The Government will continue the Children and Young People Equipment Loan Service (CAYPELS) and develop a service planning model to inform the future operation of the service. The Government will also refresh specialised paediatric equipment provided by CAYPELS.</w:t>
      </w:r>
    </w:p>
    <w:p w14:paraId="12E6D28E" w14:textId="77777777" w:rsidR="00CF0E2D" w:rsidRDefault="00CF0E2D" w:rsidP="00A60D4B">
      <w:pPr>
        <w:pStyle w:val="Bbodytext"/>
      </w:pPr>
      <w:r w:rsidRPr="00532977">
        <w:t xml:space="preserve">This initiative contributes to the wellbeing domains of Health and Education and life-long learning. </w:t>
      </w:r>
    </w:p>
    <w:p w14:paraId="3C2844EA" w14:textId="77777777" w:rsidR="00CF0E2D" w:rsidRPr="00532977" w:rsidRDefault="00CF0E2D" w:rsidP="00A60D4B">
      <w:pPr>
        <w:pStyle w:val="Bbodytext"/>
      </w:pPr>
    </w:p>
    <w:p w14:paraId="6FE888BE" w14:textId="77777777" w:rsidR="00CF0E2D" w:rsidRPr="00E32833" w:rsidRDefault="00CF0E2D" w:rsidP="00A60D4B">
      <w:pPr>
        <w:pStyle w:val="Heading4"/>
        <w:rPr>
          <w:rFonts w:eastAsia="Times New Roman" w:cs="Times New Roman"/>
          <w:bCs/>
          <w:szCs w:val="26"/>
        </w:rPr>
      </w:pPr>
      <w:r w:rsidRPr="00E32833">
        <w:rPr>
          <w:rFonts w:eastAsia="Times New Roman"/>
        </w:rPr>
        <w:t>National Multicultural Festival – 25</w:t>
      </w:r>
      <w:r w:rsidRPr="00E32833">
        <w:rPr>
          <w:rFonts w:eastAsia="Times New Roman" w:cs="Times New Roman"/>
          <w:bCs/>
          <w:szCs w:val="26"/>
        </w:rPr>
        <w:t>th Anniversary</w:t>
      </w:r>
      <w:r>
        <w:rPr>
          <w:b w:val="0"/>
          <w:noProof/>
          <w:color w:val="999789"/>
          <w:sz w:val="32"/>
          <w:szCs w:val="24"/>
        </w:rPr>
        <w:drawing>
          <wp:anchor distT="0" distB="0" distL="114300" distR="114300" simplePos="0" relativeHeight="251782144" behindDoc="0" locked="1" layoutInCell="1" allowOverlap="1" wp14:anchorId="6353A9E2" wp14:editId="1BA9233D">
            <wp:simplePos x="0" y="0"/>
            <wp:positionH relativeFrom="margin">
              <wp:align>right</wp:align>
            </wp:positionH>
            <wp:positionV relativeFrom="paragraph">
              <wp:posOffset>-149860</wp:posOffset>
            </wp:positionV>
            <wp:extent cx="1216660" cy="503555"/>
            <wp:effectExtent l="0" t="0" r="2540" b="0"/>
            <wp:wrapSquare wrapText="bothSides"/>
            <wp:docPr id="96" name="Picture 96" descr="Icon representing the wellbeing domain of Identity and belo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 representing the wellbeing domain of Identity and belongi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1666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47AD7B17" w14:textId="77777777" w:rsidTr="00A60D4B">
        <w:trPr>
          <w:cantSplit/>
          <w:jc w:val="center"/>
        </w:trPr>
        <w:tc>
          <w:tcPr>
            <w:tcW w:w="3652" w:type="dxa"/>
            <w:tcBorders>
              <w:top w:val="single" w:sz="4" w:space="0" w:color="auto"/>
              <w:bottom w:val="single" w:sz="4" w:space="0" w:color="auto"/>
            </w:tcBorders>
          </w:tcPr>
          <w:p w14:paraId="46D2C2A8"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1E827496" w14:textId="77777777" w:rsidR="00CF0E2D" w:rsidRPr="00E168E6" w:rsidRDefault="00CF0E2D" w:rsidP="00A60D4B">
            <w:pPr>
              <w:pStyle w:val="InitFigR"/>
              <w:rPr>
                <w:b/>
                <w:bCs/>
              </w:rPr>
            </w:pPr>
            <w:r w:rsidRPr="00E168E6">
              <w:rPr>
                <w:b/>
                <w:bCs/>
              </w:rPr>
              <w:t>2021-22</w:t>
            </w:r>
          </w:p>
          <w:p w14:paraId="0DBF51E5" w14:textId="77777777" w:rsidR="00CF0E2D" w:rsidRPr="00E168E6" w:rsidRDefault="00CF0E2D" w:rsidP="00A60D4B">
            <w:pPr>
              <w:pStyle w:val="InitFigR"/>
              <w:rPr>
                <w:b/>
                <w:bCs/>
              </w:rPr>
            </w:pPr>
            <w:r w:rsidRPr="00E168E6">
              <w:rPr>
                <w:b/>
                <w:bCs/>
              </w:rPr>
              <w:t>$’000</w:t>
            </w:r>
          </w:p>
        </w:tc>
        <w:tc>
          <w:tcPr>
            <w:tcW w:w="1041" w:type="dxa"/>
            <w:tcBorders>
              <w:top w:val="single" w:sz="4" w:space="0" w:color="auto"/>
              <w:bottom w:val="single" w:sz="4" w:space="0" w:color="auto"/>
            </w:tcBorders>
          </w:tcPr>
          <w:p w14:paraId="7FB588E4" w14:textId="77777777" w:rsidR="00CF0E2D" w:rsidRPr="00E168E6" w:rsidRDefault="00CF0E2D" w:rsidP="00A60D4B">
            <w:pPr>
              <w:pStyle w:val="InitFigR"/>
              <w:rPr>
                <w:b/>
                <w:bCs/>
              </w:rPr>
            </w:pPr>
            <w:r w:rsidRPr="00E168E6">
              <w:rPr>
                <w:b/>
                <w:bCs/>
              </w:rPr>
              <w:t>2022-23</w:t>
            </w:r>
          </w:p>
          <w:p w14:paraId="725196B3" w14:textId="77777777" w:rsidR="00CF0E2D" w:rsidRPr="00E168E6" w:rsidRDefault="00CF0E2D" w:rsidP="00A60D4B">
            <w:pPr>
              <w:pStyle w:val="InitFigR"/>
              <w:rPr>
                <w:b/>
                <w:bCs/>
              </w:rPr>
            </w:pPr>
            <w:r w:rsidRPr="00E168E6">
              <w:rPr>
                <w:b/>
                <w:bCs/>
              </w:rPr>
              <w:t>$’000</w:t>
            </w:r>
          </w:p>
        </w:tc>
        <w:tc>
          <w:tcPr>
            <w:tcW w:w="1029" w:type="dxa"/>
            <w:tcBorders>
              <w:top w:val="single" w:sz="4" w:space="0" w:color="auto"/>
              <w:bottom w:val="single" w:sz="4" w:space="0" w:color="auto"/>
            </w:tcBorders>
          </w:tcPr>
          <w:p w14:paraId="3F0F453E" w14:textId="77777777" w:rsidR="00CF0E2D" w:rsidRPr="00E168E6" w:rsidRDefault="00CF0E2D" w:rsidP="00A60D4B">
            <w:pPr>
              <w:pStyle w:val="InitFigR"/>
              <w:rPr>
                <w:b/>
                <w:bCs/>
              </w:rPr>
            </w:pPr>
            <w:r w:rsidRPr="00E168E6">
              <w:rPr>
                <w:b/>
                <w:bCs/>
              </w:rPr>
              <w:t>2023-24</w:t>
            </w:r>
          </w:p>
          <w:p w14:paraId="47E02ADF" w14:textId="77777777" w:rsidR="00CF0E2D" w:rsidRPr="00E168E6" w:rsidRDefault="00CF0E2D" w:rsidP="00A60D4B">
            <w:pPr>
              <w:pStyle w:val="InitFigR"/>
              <w:rPr>
                <w:b/>
                <w:bCs/>
              </w:rPr>
            </w:pPr>
            <w:r w:rsidRPr="00E168E6">
              <w:rPr>
                <w:b/>
                <w:bCs/>
              </w:rPr>
              <w:t>$’000</w:t>
            </w:r>
          </w:p>
        </w:tc>
        <w:tc>
          <w:tcPr>
            <w:tcW w:w="1029" w:type="dxa"/>
            <w:tcBorders>
              <w:top w:val="single" w:sz="4" w:space="0" w:color="auto"/>
              <w:bottom w:val="single" w:sz="4" w:space="0" w:color="auto"/>
            </w:tcBorders>
          </w:tcPr>
          <w:p w14:paraId="7DD9948F" w14:textId="77777777" w:rsidR="00CF0E2D" w:rsidRPr="00E168E6" w:rsidRDefault="00CF0E2D" w:rsidP="00A60D4B">
            <w:pPr>
              <w:pStyle w:val="InitFigR"/>
              <w:rPr>
                <w:b/>
                <w:bCs/>
              </w:rPr>
            </w:pPr>
            <w:r w:rsidRPr="00E168E6">
              <w:rPr>
                <w:b/>
                <w:bCs/>
              </w:rPr>
              <w:t>2024-25</w:t>
            </w:r>
          </w:p>
          <w:p w14:paraId="1F253334" w14:textId="77777777" w:rsidR="00CF0E2D" w:rsidRPr="00E168E6" w:rsidRDefault="00CF0E2D" w:rsidP="00A60D4B">
            <w:pPr>
              <w:pStyle w:val="InitFigR"/>
              <w:rPr>
                <w:b/>
                <w:bCs/>
              </w:rPr>
            </w:pPr>
            <w:r w:rsidRPr="00E168E6">
              <w:rPr>
                <w:b/>
                <w:bCs/>
              </w:rPr>
              <w:t>$’000</w:t>
            </w:r>
          </w:p>
        </w:tc>
        <w:tc>
          <w:tcPr>
            <w:tcW w:w="1029" w:type="dxa"/>
            <w:tcBorders>
              <w:top w:val="single" w:sz="4" w:space="0" w:color="auto"/>
              <w:bottom w:val="single" w:sz="4" w:space="0" w:color="auto"/>
            </w:tcBorders>
          </w:tcPr>
          <w:p w14:paraId="712A121A" w14:textId="77777777" w:rsidR="00CF0E2D" w:rsidRPr="004E341E" w:rsidRDefault="00CF0E2D" w:rsidP="00A60D4B">
            <w:pPr>
              <w:pStyle w:val="InitFigRBold"/>
            </w:pPr>
            <w:r w:rsidRPr="004E341E">
              <w:t>Total</w:t>
            </w:r>
          </w:p>
          <w:p w14:paraId="760562D5" w14:textId="77777777" w:rsidR="00CF0E2D" w:rsidRPr="004E341E" w:rsidRDefault="00CF0E2D" w:rsidP="00A60D4B">
            <w:pPr>
              <w:pStyle w:val="InitFigBR"/>
            </w:pPr>
            <w:r w:rsidRPr="004E341E">
              <w:t>$’000</w:t>
            </w:r>
          </w:p>
        </w:tc>
      </w:tr>
      <w:tr w:rsidR="00CF0E2D" w:rsidRPr="005866F0" w14:paraId="6426150C" w14:textId="77777777" w:rsidTr="00A60D4B">
        <w:trPr>
          <w:cantSplit/>
          <w:jc w:val="center"/>
        </w:trPr>
        <w:tc>
          <w:tcPr>
            <w:tcW w:w="3652" w:type="dxa"/>
            <w:tcBorders>
              <w:top w:val="single" w:sz="4" w:space="0" w:color="auto"/>
              <w:bottom w:val="single" w:sz="4" w:space="0" w:color="auto"/>
            </w:tcBorders>
          </w:tcPr>
          <w:p w14:paraId="655808FB" w14:textId="77777777" w:rsidR="00CF0E2D" w:rsidRPr="005866F0" w:rsidRDefault="00CF0E2D" w:rsidP="00A60D4B">
            <w:pPr>
              <w:pStyle w:val="InitTextL"/>
              <w:ind w:left="321" w:hanging="321"/>
            </w:pPr>
            <w:r w:rsidRPr="005866F0">
              <w:t>Expenses</w:t>
            </w:r>
          </w:p>
        </w:tc>
        <w:tc>
          <w:tcPr>
            <w:tcW w:w="1179" w:type="dxa"/>
            <w:tcBorders>
              <w:top w:val="single" w:sz="4" w:space="0" w:color="auto"/>
              <w:bottom w:val="single" w:sz="4" w:space="0" w:color="auto"/>
            </w:tcBorders>
          </w:tcPr>
          <w:p w14:paraId="7D5D6709" w14:textId="77777777" w:rsidR="00CF0E2D" w:rsidRPr="005866F0" w:rsidRDefault="00CF0E2D" w:rsidP="00A60D4B">
            <w:pPr>
              <w:pStyle w:val="InitFigR"/>
            </w:pPr>
            <w:r w:rsidRPr="005866F0">
              <w:t>400</w:t>
            </w:r>
          </w:p>
        </w:tc>
        <w:tc>
          <w:tcPr>
            <w:tcW w:w="1041" w:type="dxa"/>
            <w:tcBorders>
              <w:top w:val="single" w:sz="4" w:space="0" w:color="auto"/>
              <w:bottom w:val="single" w:sz="4" w:space="0" w:color="auto"/>
            </w:tcBorders>
          </w:tcPr>
          <w:p w14:paraId="0346CD05" w14:textId="77777777" w:rsidR="00CF0E2D" w:rsidRPr="005866F0" w:rsidRDefault="00CF0E2D" w:rsidP="00A60D4B">
            <w:pPr>
              <w:pStyle w:val="InitFigR"/>
            </w:pPr>
            <w:r w:rsidRPr="005866F0">
              <w:t>0</w:t>
            </w:r>
          </w:p>
        </w:tc>
        <w:tc>
          <w:tcPr>
            <w:tcW w:w="1029" w:type="dxa"/>
            <w:tcBorders>
              <w:top w:val="single" w:sz="4" w:space="0" w:color="auto"/>
              <w:bottom w:val="single" w:sz="4" w:space="0" w:color="auto"/>
            </w:tcBorders>
          </w:tcPr>
          <w:p w14:paraId="4E33D8F6" w14:textId="77777777" w:rsidR="00CF0E2D" w:rsidRPr="005866F0" w:rsidRDefault="00CF0E2D" w:rsidP="00A60D4B">
            <w:pPr>
              <w:pStyle w:val="InitFigR"/>
            </w:pPr>
            <w:r w:rsidRPr="005866F0">
              <w:t>0</w:t>
            </w:r>
          </w:p>
        </w:tc>
        <w:tc>
          <w:tcPr>
            <w:tcW w:w="1029" w:type="dxa"/>
            <w:tcBorders>
              <w:top w:val="single" w:sz="4" w:space="0" w:color="auto"/>
              <w:bottom w:val="single" w:sz="4" w:space="0" w:color="auto"/>
            </w:tcBorders>
          </w:tcPr>
          <w:p w14:paraId="36172C4A" w14:textId="77777777" w:rsidR="00CF0E2D" w:rsidRPr="005866F0" w:rsidRDefault="00CF0E2D" w:rsidP="00A60D4B">
            <w:pPr>
              <w:pStyle w:val="InitFigR"/>
            </w:pPr>
            <w:r w:rsidRPr="005866F0">
              <w:t>0</w:t>
            </w:r>
          </w:p>
        </w:tc>
        <w:tc>
          <w:tcPr>
            <w:tcW w:w="1029" w:type="dxa"/>
            <w:tcBorders>
              <w:top w:val="single" w:sz="4" w:space="0" w:color="auto"/>
              <w:bottom w:val="single" w:sz="4" w:space="0" w:color="auto"/>
            </w:tcBorders>
          </w:tcPr>
          <w:p w14:paraId="320AD1F9" w14:textId="77777777" w:rsidR="00CF0E2D" w:rsidRPr="005866F0" w:rsidRDefault="00CF0E2D" w:rsidP="00A60D4B">
            <w:pPr>
              <w:pStyle w:val="InitFigBR"/>
            </w:pPr>
            <w:r w:rsidRPr="005866F0">
              <w:t>400</w:t>
            </w:r>
          </w:p>
        </w:tc>
      </w:tr>
    </w:tbl>
    <w:p w14:paraId="2402542A" w14:textId="77777777" w:rsidR="00CF0E2D" w:rsidRPr="00AD152D" w:rsidRDefault="00CF0E2D" w:rsidP="00A60D4B">
      <w:pPr>
        <w:pStyle w:val="Bbodytext"/>
      </w:pPr>
      <w:r w:rsidRPr="00AD152D">
        <w:t>The Government will provide additional funding to deliver the National Multicultural Festival (NMF) 25th anniversary in 2022. This funding will allow for an expanded footprint and additional resources to provide a COVID-safe environment.</w:t>
      </w:r>
    </w:p>
    <w:p w14:paraId="08638AD4" w14:textId="77777777" w:rsidR="00CF0E2D" w:rsidRPr="00AD152D" w:rsidRDefault="00CF0E2D" w:rsidP="00A60D4B">
      <w:pPr>
        <w:pStyle w:val="Bbodytext"/>
      </w:pPr>
      <w:r w:rsidRPr="00AD152D">
        <w:t>This initiative contributes to the wellbeing domains of Identity and belonging and Social connection.</w:t>
      </w:r>
    </w:p>
    <w:p w14:paraId="6DD1AA00" w14:textId="77777777" w:rsidR="00CF0E2D" w:rsidRDefault="00CF0E2D" w:rsidP="00A60D4B">
      <w:pPr>
        <w:pStyle w:val="Bbodytext"/>
      </w:pPr>
    </w:p>
    <w:p w14:paraId="1F73AAAD" w14:textId="77777777" w:rsidR="00CF0E2D" w:rsidRDefault="00CF0E2D" w:rsidP="00A60D4B">
      <w:pPr>
        <w:pStyle w:val="Heading4"/>
        <w:rPr>
          <w:rFonts w:eastAsia="Times New Roman"/>
        </w:rPr>
      </w:pPr>
    </w:p>
    <w:p w14:paraId="33677F3F" w14:textId="77777777" w:rsidR="00CF0E2D" w:rsidRPr="00DB77E3" w:rsidRDefault="00CF0E2D" w:rsidP="00A60D4B">
      <w:pPr>
        <w:pStyle w:val="Heading4"/>
        <w:rPr>
          <w:rFonts w:eastAsia="Times New Roman" w:cs="Times New Roman"/>
          <w:bCs/>
          <w:szCs w:val="26"/>
        </w:rPr>
      </w:pPr>
      <w:r w:rsidRPr="00DB77E3">
        <w:rPr>
          <w:rFonts w:eastAsia="Times New Roman"/>
        </w:rPr>
        <w:t xml:space="preserve">Safe and </w:t>
      </w:r>
      <w:r>
        <w:rPr>
          <w:rFonts w:eastAsia="Times New Roman" w:cs="Times New Roman"/>
          <w:bCs/>
          <w:szCs w:val="26"/>
        </w:rPr>
        <w:t>c</w:t>
      </w:r>
      <w:r w:rsidRPr="00DB77E3">
        <w:rPr>
          <w:rFonts w:eastAsia="Times New Roman" w:cs="Times New Roman"/>
          <w:bCs/>
          <w:szCs w:val="26"/>
        </w:rPr>
        <w:t xml:space="preserve">onnected </w:t>
      </w:r>
      <w:r>
        <w:rPr>
          <w:rFonts w:eastAsia="Times New Roman" w:cs="Times New Roman"/>
          <w:bCs/>
          <w:szCs w:val="26"/>
        </w:rPr>
        <w:t>y</w:t>
      </w:r>
      <w:r w:rsidRPr="00DB77E3">
        <w:rPr>
          <w:rFonts w:eastAsia="Times New Roman" w:cs="Times New Roman"/>
          <w:bCs/>
          <w:szCs w:val="26"/>
        </w:rPr>
        <w:t>outh</w:t>
      </w:r>
      <w:r>
        <w:rPr>
          <w:b w:val="0"/>
          <w:noProof/>
          <w:color w:val="999789"/>
          <w:sz w:val="32"/>
          <w:szCs w:val="24"/>
        </w:rPr>
        <w:drawing>
          <wp:anchor distT="0" distB="0" distL="114300" distR="114300" simplePos="0" relativeHeight="251785216" behindDoc="0" locked="1" layoutInCell="1" allowOverlap="1" wp14:anchorId="42B9905C" wp14:editId="63E3F1E9">
            <wp:simplePos x="0" y="0"/>
            <wp:positionH relativeFrom="margin">
              <wp:posOffset>4733290</wp:posOffset>
            </wp:positionH>
            <wp:positionV relativeFrom="paragraph">
              <wp:posOffset>-133350</wp:posOffset>
            </wp:positionV>
            <wp:extent cx="989965" cy="503555"/>
            <wp:effectExtent l="0" t="0" r="635" b="0"/>
            <wp:wrapSquare wrapText="bothSides"/>
            <wp:docPr id="99" name="Picture 99"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7664D81B" w14:textId="77777777" w:rsidTr="00A60D4B">
        <w:trPr>
          <w:cantSplit/>
          <w:jc w:val="center"/>
        </w:trPr>
        <w:tc>
          <w:tcPr>
            <w:tcW w:w="3652" w:type="dxa"/>
            <w:tcBorders>
              <w:top w:val="single" w:sz="4" w:space="0" w:color="auto"/>
              <w:bottom w:val="single" w:sz="4" w:space="0" w:color="auto"/>
            </w:tcBorders>
          </w:tcPr>
          <w:p w14:paraId="248969E8"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46B0B0D6" w14:textId="77777777" w:rsidR="00CF0E2D" w:rsidRPr="00297081" w:rsidRDefault="00CF0E2D" w:rsidP="00A60D4B">
            <w:pPr>
              <w:pStyle w:val="InitFigR"/>
              <w:keepNext/>
              <w:keepLines/>
              <w:rPr>
                <w:b/>
                <w:bCs/>
              </w:rPr>
            </w:pPr>
            <w:r w:rsidRPr="00297081">
              <w:rPr>
                <w:b/>
                <w:bCs/>
              </w:rPr>
              <w:t>2021-22</w:t>
            </w:r>
          </w:p>
          <w:p w14:paraId="037CED7E" w14:textId="77777777" w:rsidR="00CF0E2D" w:rsidRPr="00297081" w:rsidRDefault="00CF0E2D" w:rsidP="00A60D4B">
            <w:pPr>
              <w:pStyle w:val="InitFigR"/>
              <w:keepNext/>
              <w:keepLines/>
              <w:rPr>
                <w:b/>
                <w:bCs/>
              </w:rPr>
            </w:pPr>
            <w:r w:rsidRPr="00297081">
              <w:rPr>
                <w:b/>
                <w:bCs/>
              </w:rPr>
              <w:t>$’000</w:t>
            </w:r>
          </w:p>
        </w:tc>
        <w:tc>
          <w:tcPr>
            <w:tcW w:w="1041" w:type="dxa"/>
            <w:tcBorders>
              <w:top w:val="single" w:sz="4" w:space="0" w:color="auto"/>
              <w:bottom w:val="single" w:sz="4" w:space="0" w:color="auto"/>
            </w:tcBorders>
          </w:tcPr>
          <w:p w14:paraId="6AAFB5E4" w14:textId="77777777" w:rsidR="00CF0E2D" w:rsidRPr="00297081" w:rsidRDefault="00CF0E2D" w:rsidP="00A60D4B">
            <w:pPr>
              <w:pStyle w:val="InitFigR"/>
              <w:keepNext/>
              <w:keepLines/>
              <w:rPr>
                <w:b/>
                <w:bCs/>
              </w:rPr>
            </w:pPr>
            <w:r w:rsidRPr="00297081">
              <w:rPr>
                <w:b/>
                <w:bCs/>
              </w:rPr>
              <w:t>2022-23</w:t>
            </w:r>
          </w:p>
          <w:p w14:paraId="71E1D1BA" w14:textId="77777777" w:rsidR="00CF0E2D" w:rsidRPr="00297081" w:rsidRDefault="00CF0E2D" w:rsidP="00A60D4B">
            <w:pPr>
              <w:pStyle w:val="InitFigR"/>
              <w:keepNext/>
              <w:keepLines/>
              <w:rPr>
                <w:b/>
                <w:bCs/>
              </w:rPr>
            </w:pPr>
            <w:r w:rsidRPr="00297081">
              <w:rPr>
                <w:b/>
                <w:bCs/>
              </w:rPr>
              <w:t>$’000</w:t>
            </w:r>
          </w:p>
        </w:tc>
        <w:tc>
          <w:tcPr>
            <w:tcW w:w="1029" w:type="dxa"/>
            <w:tcBorders>
              <w:top w:val="single" w:sz="4" w:space="0" w:color="auto"/>
              <w:bottom w:val="single" w:sz="4" w:space="0" w:color="auto"/>
            </w:tcBorders>
          </w:tcPr>
          <w:p w14:paraId="7F37CDF8" w14:textId="77777777" w:rsidR="00CF0E2D" w:rsidRPr="00297081" w:rsidRDefault="00CF0E2D" w:rsidP="00A60D4B">
            <w:pPr>
              <w:pStyle w:val="InitFigR"/>
              <w:keepNext/>
              <w:keepLines/>
              <w:rPr>
                <w:b/>
                <w:bCs/>
              </w:rPr>
            </w:pPr>
            <w:r w:rsidRPr="00297081">
              <w:rPr>
                <w:b/>
                <w:bCs/>
              </w:rPr>
              <w:t>2023-24</w:t>
            </w:r>
          </w:p>
          <w:p w14:paraId="1AE5979C" w14:textId="77777777" w:rsidR="00CF0E2D" w:rsidRPr="00297081" w:rsidRDefault="00CF0E2D" w:rsidP="00A60D4B">
            <w:pPr>
              <w:pStyle w:val="InitFigR"/>
              <w:keepNext/>
              <w:keepLines/>
              <w:rPr>
                <w:b/>
                <w:bCs/>
              </w:rPr>
            </w:pPr>
            <w:r w:rsidRPr="00297081">
              <w:rPr>
                <w:b/>
                <w:bCs/>
              </w:rPr>
              <w:t>$’000</w:t>
            </w:r>
          </w:p>
        </w:tc>
        <w:tc>
          <w:tcPr>
            <w:tcW w:w="1029" w:type="dxa"/>
            <w:tcBorders>
              <w:top w:val="single" w:sz="4" w:space="0" w:color="auto"/>
              <w:bottom w:val="single" w:sz="4" w:space="0" w:color="auto"/>
            </w:tcBorders>
          </w:tcPr>
          <w:p w14:paraId="74F60087" w14:textId="77777777" w:rsidR="00CF0E2D" w:rsidRPr="00297081" w:rsidRDefault="00CF0E2D" w:rsidP="00A60D4B">
            <w:pPr>
              <w:pStyle w:val="InitFigR"/>
              <w:keepNext/>
              <w:keepLines/>
              <w:rPr>
                <w:b/>
                <w:bCs/>
              </w:rPr>
            </w:pPr>
            <w:r w:rsidRPr="00297081">
              <w:rPr>
                <w:b/>
                <w:bCs/>
              </w:rPr>
              <w:t>2024-25</w:t>
            </w:r>
          </w:p>
          <w:p w14:paraId="1C7F387A" w14:textId="77777777" w:rsidR="00CF0E2D" w:rsidRPr="00297081" w:rsidRDefault="00CF0E2D" w:rsidP="00A60D4B">
            <w:pPr>
              <w:pStyle w:val="InitFigR"/>
              <w:keepNext/>
              <w:keepLines/>
              <w:rPr>
                <w:b/>
                <w:bCs/>
              </w:rPr>
            </w:pPr>
            <w:r w:rsidRPr="00297081">
              <w:rPr>
                <w:b/>
                <w:bCs/>
              </w:rPr>
              <w:t>$’000</w:t>
            </w:r>
          </w:p>
        </w:tc>
        <w:tc>
          <w:tcPr>
            <w:tcW w:w="1029" w:type="dxa"/>
            <w:tcBorders>
              <w:top w:val="single" w:sz="4" w:space="0" w:color="auto"/>
              <w:bottom w:val="single" w:sz="4" w:space="0" w:color="auto"/>
            </w:tcBorders>
          </w:tcPr>
          <w:p w14:paraId="57A6567E" w14:textId="77777777" w:rsidR="00CF0E2D" w:rsidRPr="004E341E" w:rsidRDefault="00CF0E2D" w:rsidP="00A60D4B">
            <w:pPr>
              <w:pStyle w:val="InitFigRBold"/>
              <w:keepNext/>
              <w:keepLines/>
            </w:pPr>
            <w:r w:rsidRPr="004E341E">
              <w:t>Total</w:t>
            </w:r>
          </w:p>
          <w:p w14:paraId="23510621" w14:textId="77777777" w:rsidR="00CF0E2D" w:rsidRPr="004E341E" w:rsidRDefault="00CF0E2D" w:rsidP="00A60D4B">
            <w:pPr>
              <w:pStyle w:val="InitFigBR"/>
              <w:keepNext/>
              <w:keepLines/>
            </w:pPr>
            <w:r w:rsidRPr="004E341E">
              <w:t>$’000</w:t>
            </w:r>
          </w:p>
        </w:tc>
      </w:tr>
      <w:tr w:rsidR="00CF0E2D" w:rsidRPr="00750793" w14:paraId="25C3207A" w14:textId="77777777" w:rsidTr="00A60D4B">
        <w:trPr>
          <w:cantSplit/>
          <w:jc w:val="center"/>
        </w:trPr>
        <w:tc>
          <w:tcPr>
            <w:tcW w:w="3652" w:type="dxa"/>
          </w:tcPr>
          <w:p w14:paraId="15C385E3" w14:textId="77777777" w:rsidR="00CF0E2D" w:rsidRPr="00F13FAB" w:rsidRDefault="00CF0E2D" w:rsidP="00A60D4B">
            <w:pPr>
              <w:pStyle w:val="InitTextL"/>
              <w:keepNext/>
              <w:keepLines/>
              <w:ind w:left="321" w:hanging="321"/>
            </w:pPr>
            <w:r w:rsidRPr="00882BE2">
              <w:t>Expenses</w:t>
            </w:r>
          </w:p>
        </w:tc>
        <w:tc>
          <w:tcPr>
            <w:tcW w:w="1179" w:type="dxa"/>
          </w:tcPr>
          <w:p w14:paraId="08F41588" w14:textId="77777777" w:rsidR="00CF0E2D" w:rsidRPr="00424DA4" w:rsidRDefault="00CF0E2D" w:rsidP="00A60D4B">
            <w:pPr>
              <w:pStyle w:val="InitFigR"/>
              <w:keepNext/>
              <w:keepLines/>
            </w:pPr>
            <w:r>
              <w:t>1,558</w:t>
            </w:r>
          </w:p>
        </w:tc>
        <w:tc>
          <w:tcPr>
            <w:tcW w:w="1041" w:type="dxa"/>
          </w:tcPr>
          <w:p w14:paraId="16EAC180" w14:textId="77777777" w:rsidR="00CF0E2D" w:rsidRPr="00424DA4" w:rsidRDefault="00CF0E2D" w:rsidP="00A60D4B">
            <w:pPr>
              <w:pStyle w:val="InitFigR"/>
              <w:keepNext/>
              <w:keepLines/>
            </w:pPr>
            <w:r>
              <w:t>1,797</w:t>
            </w:r>
          </w:p>
        </w:tc>
        <w:tc>
          <w:tcPr>
            <w:tcW w:w="1029" w:type="dxa"/>
          </w:tcPr>
          <w:p w14:paraId="470DFCBA" w14:textId="77777777" w:rsidR="00CF0E2D" w:rsidRPr="00424DA4" w:rsidRDefault="00CF0E2D" w:rsidP="00A60D4B">
            <w:pPr>
              <w:pStyle w:val="InitFigR"/>
              <w:keepNext/>
              <w:keepLines/>
            </w:pPr>
            <w:r>
              <w:t>1,831</w:t>
            </w:r>
          </w:p>
        </w:tc>
        <w:tc>
          <w:tcPr>
            <w:tcW w:w="1029" w:type="dxa"/>
          </w:tcPr>
          <w:p w14:paraId="7EA5525E" w14:textId="77777777" w:rsidR="00CF0E2D" w:rsidRPr="00424DA4" w:rsidRDefault="00CF0E2D" w:rsidP="00A60D4B">
            <w:pPr>
              <w:pStyle w:val="InitFigR"/>
              <w:keepNext/>
              <w:keepLines/>
            </w:pPr>
            <w:r>
              <w:t>1,867</w:t>
            </w:r>
          </w:p>
        </w:tc>
        <w:tc>
          <w:tcPr>
            <w:tcW w:w="1029" w:type="dxa"/>
          </w:tcPr>
          <w:p w14:paraId="2755E872" w14:textId="77777777" w:rsidR="00CF0E2D" w:rsidRPr="00424DA4" w:rsidRDefault="00CF0E2D" w:rsidP="00A60D4B">
            <w:pPr>
              <w:pStyle w:val="InitFigBR"/>
              <w:keepNext/>
              <w:keepLines/>
            </w:pPr>
            <w:r>
              <w:t>7,053</w:t>
            </w:r>
          </w:p>
        </w:tc>
      </w:tr>
      <w:tr w:rsidR="00CF0E2D" w:rsidRPr="00750793" w14:paraId="17E36C1E" w14:textId="77777777" w:rsidTr="00A60D4B">
        <w:trPr>
          <w:cantSplit/>
          <w:trHeight w:val="107"/>
          <w:jc w:val="center"/>
        </w:trPr>
        <w:tc>
          <w:tcPr>
            <w:tcW w:w="3652" w:type="dxa"/>
          </w:tcPr>
          <w:p w14:paraId="49C1B19A" w14:textId="77777777" w:rsidR="00CF0E2D" w:rsidRDefault="00CF0E2D" w:rsidP="00A60D4B">
            <w:pPr>
              <w:pStyle w:val="InitTextL"/>
              <w:keepNext/>
              <w:keepLines/>
              <w:ind w:left="321" w:hanging="321"/>
            </w:pPr>
            <w:r>
              <w:t>Offset – Revenue</w:t>
            </w:r>
          </w:p>
        </w:tc>
        <w:tc>
          <w:tcPr>
            <w:tcW w:w="1179" w:type="dxa"/>
          </w:tcPr>
          <w:p w14:paraId="26C72D26" w14:textId="77777777" w:rsidR="00CF0E2D" w:rsidRPr="00424DA4" w:rsidRDefault="00CF0E2D" w:rsidP="00A60D4B">
            <w:pPr>
              <w:pStyle w:val="InitFigR"/>
              <w:keepNext/>
              <w:keepLines/>
            </w:pPr>
            <w:r>
              <w:t>-1</w:t>
            </w:r>
          </w:p>
        </w:tc>
        <w:tc>
          <w:tcPr>
            <w:tcW w:w="1041" w:type="dxa"/>
          </w:tcPr>
          <w:p w14:paraId="421BDA3B" w14:textId="77777777" w:rsidR="00CF0E2D" w:rsidRPr="00424DA4" w:rsidRDefault="00CF0E2D" w:rsidP="00A60D4B">
            <w:pPr>
              <w:pStyle w:val="InitFigR"/>
              <w:keepNext/>
              <w:keepLines/>
            </w:pPr>
            <w:r>
              <w:t>-1</w:t>
            </w:r>
          </w:p>
        </w:tc>
        <w:tc>
          <w:tcPr>
            <w:tcW w:w="1029" w:type="dxa"/>
          </w:tcPr>
          <w:p w14:paraId="418FD197" w14:textId="77777777" w:rsidR="00CF0E2D" w:rsidRPr="00424DA4" w:rsidRDefault="00CF0E2D" w:rsidP="00A60D4B">
            <w:pPr>
              <w:pStyle w:val="InitFigR"/>
              <w:keepNext/>
              <w:keepLines/>
            </w:pPr>
            <w:r>
              <w:t>-1</w:t>
            </w:r>
          </w:p>
        </w:tc>
        <w:tc>
          <w:tcPr>
            <w:tcW w:w="1029" w:type="dxa"/>
          </w:tcPr>
          <w:p w14:paraId="4568649F" w14:textId="77777777" w:rsidR="00CF0E2D" w:rsidRPr="00424DA4" w:rsidRDefault="00CF0E2D" w:rsidP="00A60D4B">
            <w:pPr>
              <w:pStyle w:val="InitFigR"/>
              <w:keepNext/>
              <w:keepLines/>
            </w:pPr>
            <w:r>
              <w:t>-1</w:t>
            </w:r>
          </w:p>
        </w:tc>
        <w:tc>
          <w:tcPr>
            <w:tcW w:w="1029" w:type="dxa"/>
          </w:tcPr>
          <w:p w14:paraId="50E90EA3" w14:textId="77777777" w:rsidR="00CF0E2D" w:rsidRPr="00424DA4" w:rsidRDefault="00CF0E2D" w:rsidP="00A60D4B">
            <w:pPr>
              <w:pStyle w:val="InitFigBR"/>
              <w:keepNext/>
              <w:keepLines/>
            </w:pPr>
            <w:r>
              <w:t>-4</w:t>
            </w:r>
          </w:p>
        </w:tc>
      </w:tr>
      <w:tr w:rsidR="00CF0E2D" w:rsidRPr="00750793" w14:paraId="2D9CE719" w14:textId="77777777" w:rsidTr="00A60D4B">
        <w:trPr>
          <w:cantSplit/>
          <w:trHeight w:val="107"/>
          <w:jc w:val="center"/>
        </w:trPr>
        <w:tc>
          <w:tcPr>
            <w:tcW w:w="3652" w:type="dxa"/>
            <w:tcBorders>
              <w:top w:val="single" w:sz="4" w:space="0" w:color="auto"/>
              <w:bottom w:val="single" w:sz="4" w:space="0" w:color="auto"/>
            </w:tcBorders>
          </w:tcPr>
          <w:p w14:paraId="0AB779C4" w14:textId="77777777" w:rsidR="00CF0E2D" w:rsidRDefault="00CF0E2D" w:rsidP="00A60D4B">
            <w:pPr>
              <w:pStyle w:val="InitFigLBold"/>
              <w:keepNext/>
              <w:keepLines/>
              <w:ind w:left="321" w:hanging="321"/>
            </w:pPr>
            <w:r>
              <w:t>Net cost of services</w:t>
            </w:r>
          </w:p>
        </w:tc>
        <w:tc>
          <w:tcPr>
            <w:tcW w:w="1179" w:type="dxa"/>
            <w:tcBorders>
              <w:top w:val="single" w:sz="4" w:space="0" w:color="auto"/>
              <w:bottom w:val="single" w:sz="4" w:space="0" w:color="auto"/>
            </w:tcBorders>
          </w:tcPr>
          <w:p w14:paraId="3BC716E4" w14:textId="77777777" w:rsidR="00CF0E2D" w:rsidRPr="00424DA4" w:rsidRDefault="00CF0E2D" w:rsidP="00A60D4B">
            <w:pPr>
              <w:pStyle w:val="InitFigRBold"/>
              <w:keepNext/>
              <w:keepLines/>
            </w:pPr>
            <w:r>
              <w:t>1,557</w:t>
            </w:r>
          </w:p>
        </w:tc>
        <w:tc>
          <w:tcPr>
            <w:tcW w:w="1041" w:type="dxa"/>
            <w:tcBorders>
              <w:top w:val="single" w:sz="4" w:space="0" w:color="auto"/>
              <w:bottom w:val="single" w:sz="4" w:space="0" w:color="auto"/>
            </w:tcBorders>
          </w:tcPr>
          <w:p w14:paraId="5FC5F5A1" w14:textId="77777777" w:rsidR="00CF0E2D" w:rsidRPr="00424DA4" w:rsidRDefault="00CF0E2D" w:rsidP="00A60D4B">
            <w:pPr>
              <w:pStyle w:val="InitFigRBold"/>
              <w:keepNext/>
              <w:keepLines/>
            </w:pPr>
            <w:r>
              <w:t>1,796</w:t>
            </w:r>
          </w:p>
        </w:tc>
        <w:tc>
          <w:tcPr>
            <w:tcW w:w="1029" w:type="dxa"/>
            <w:tcBorders>
              <w:top w:val="single" w:sz="4" w:space="0" w:color="auto"/>
              <w:bottom w:val="single" w:sz="4" w:space="0" w:color="auto"/>
            </w:tcBorders>
          </w:tcPr>
          <w:p w14:paraId="486D024C" w14:textId="77777777" w:rsidR="00CF0E2D" w:rsidRPr="00424DA4" w:rsidRDefault="00CF0E2D" w:rsidP="00A60D4B">
            <w:pPr>
              <w:pStyle w:val="InitFigRBold"/>
              <w:keepNext/>
              <w:keepLines/>
            </w:pPr>
            <w:r>
              <w:t>1,830</w:t>
            </w:r>
          </w:p>
        </w:tc>
        <w:tc>
          <w:tcPr>
            <w:tcW w:w="1029" w:type="dxa"/>
            <w:tcBorders>
              <w:top w:val="single" w:sz="4" w:space="0" w:color="auto"/>
              <w:bottom w:val="single" w:sz="4" w:space="0" w:color="auto"/>
            </w:tcBorders>
          </w:tcPr>
          <w:p w14:paraId="18FDEB2A" w14:textId="77777777" w:rsidR="00CF0E2D" w:rsidRPr="00424DA4" w:rsidRDefault="00CF0E2D" w:rsidP="00A60D4B">
            <w:pPr>
              <w:pStyle w:val="InitFigRBold"/>
              <w:keepNext/>
              <w:keepLines/>
            </w:pPr>
            <w:r>
              <w:t>1,866</w:t>
            </w:r>
          </w:p>
        </w:tc>
        <w:tc>
          <w:tcPr>
            <w:tcW w:w="1029" w:type="dxa"/>
            <w:tcBorders>
              <w:top w:val="single" w:sz="4" w:space="0" w:color="auto"/>
              <w:bottom w:val="single" w:sz="4" w:space="0" w:color="auto"/>
            </w:tcBorders>
          </w:tcPr>
          <w:p w14:paraId="60335DA8" w14:textId="77777777" w:rsidR="00CF0E2D" w:rsidRPr="00424DA4" w:rsidRDefault="00CF0E2D" w:rsidP="00A60D4B">
            <w:pPr>
              <w:pStyle w:val="InitFigRBold"/>
              <w:keepNext/>
              <w:keepLines/>
            </w:pPr>
            <w:r>
              <w:t>7,049</w:t>
            </w:r>
          </w:p>
        </w:tc>
      </w:tr>
    </w:tbl>
    <w:p w14:paraId="775A8797" w14:textId="77777777" w:rsidR="00CF0E2D" w:rsidRPr="00A742EA" w:rsidRDefault="00CF0E2D" w:rsidP="00A60D4B">
      <w:pPr>
        <w:pStyle w:val="Bbodytext"/>
      </w:pPr>
      <w:r w:rsidRPr="00DB77E3">
        <w:t xml:space="preserve">The Government will deliver a coordinated service response and respite accommodation program for children and young people aged eight to 15 years affected by family conflict and at risk of homelessness and/or engagement with the child protection and youth </w:t>
      </w:r>
      <w:r w:rsidRPr="000C7426">
        <w:t>justice systems.</w:t>
      </w:r>
      <w:r w:rsidRPr="00730AFB">
        <w:t xml:space="preserve"> </w:t>
      </w:r>
    </w:p>
    <w:p w14:paraId="6710A011" w14:textId="77777777" w:rsidR="00CF0E2D" w:rsidRPr="0087104A" w:rsidRDefault="00CF0E2D" w:rsidP="00A60D4B">
      <w:pPr>
        <w:pStyle w:val="Bbodytext"/>
      </w:pPr>
      <w:r w:rsidRPr="0087104A">
        <w:t>Funding was provided in the</w:t>
      </w:r>
      <w:r>
        <w:t xml:space="preserve"> August</w:t>
      </w:r>
      <w:r w:rsidRPr="0087104A">
        <w:t xml:space="preserve"> 2020 Economic and Fiscal Update to refurbish the respite accommodation for this initiative. </w:t>
      </w:r>
    </w:p>
    <w:p w14:paraId="03D9A1E4" w14:textId="77777777" w:rsidR="00CF0E2D" w:rsidRDefault="00CF0E2D" w:rsidP="00A60D4B">
      <w:pPr>
        <w:pStyle w:val="Bbodytext"/>
      </w:pPr>
      <w:r w:rsidRPr="0087104A">
        <w:t>This initiative contributes to the wellbeing domains of Safety and</w:t>
      </w:r>
      <w:r w:rsidRPr="00486A29">
        <w:t xml:space="preserve"> Social connection.</w:t>
      </w:r>
    </w:p>
    <w:p w14:paraId="4F246904" w14:textId="77777777" w:rsidR="00CF0E2D" w:rsidRPr="00486A29" w:rsidRDefault="00CF0E2D" w:rsidP="00A60D4B">
      <w:pPr>
        <w:pStyle w:val="Bbodytext"/>
      </w:pPr>
    </w:p>
    <w:p w14:paraId="42DD9957" w14:textId="77777777" w:rsidR="00CF0E2D" w:rsidRPr="002E197D" w:rsidRDefault="00CF0E2D" w:rsidP="00A60D4B">
      <w:pPr>
        <w:pStyle w:val="Heading4"/>
        <w:keepNext w:val="0"/>
        <w:keepLines w:val="0"/>
        <w:rPr>
          <w:rFonts w:eastAsia="Times New Roman" w:cs="Times New Roman"/>
          <w:bCs/>
          <w:szCs w:val="26"/>
        </w:rPr>
      </w:pPr>
      <w:r w:rsidRPr="002E197D">
        <w:rPr>
          <w:rFonts w:eastAsia="Times New Roman"/>
        </w:rPr>
        <w:t xml:space="preserve">Safer Families Levy – </w:t>
      </w:r>
      <w:r w:rsidRPr="002E197D">
        <w:rPr>
          <w:rFonts w:eastAsia="Times New Roman" w:cs="Times New Roman"/>
          <w:bCs/>
          <w:szCs w:val="26"/>
        </w:rPr>
        <w:t xml:space="preserve">Critical domestic and family violence support in health and </w:t>
      </w:r>
      <w:r>
        <w:rPr>
          <w:rFonts w:eastAsia="Times New Roman" w:cs="Times New Roman"/>
          <w:bCs/>
          <w:szCs w:val="26"/>
        </w:rPr>
        <w:t>c</w:t>
      </w:r>
      <w:r w:rsidRPr="002E197D">
        <w:rPr>
          <w:rFonts w:eastAsia="Times New Roman" w:cs="Times New Roman"/>
          <w:bCs/>
          <w:szCs w:val="26"/>
        </w:rPr>
        <w:t xml:space="preserve">ommunity </w:t>
      </w:r>
      <w:r>
        <w:rPr>
          <w:rFonts w:eastAsia="Times New Roman" w:cs="Times New Roman"/>
          <w:bCs/>
          <w:szCs w:val="26"/>
        </w:rPr>
        <w:t>s</w:t>
      </w:r>
      <w:r w:rsidRPr="002E197D">
        <w:rPr>
          <w:rFonts w:eastAsia="Times New Roman" w:cs="Times New Roman"/>
          <w:bCs/>
          <w:szCs w:val="26"/>
        </w:rPr>
        <w:t xml:space="preserve">ettings </w:t>
      </w:r>
      <w:r>
        <w:rPr>
          <w:b w:val="0"/>
          <w:noProof/>
          <w:color w:val="999789"/>
          <w:sz w:val="32"/>
          <w:szCs w:val="24"/>
        </w:rPr>
        <w:drawing>
          <wp:anchor distT="0" distB="0" distL="114300" distR="114300" simplePos="0" relativeHeight="251786240" behindDoc="0" locked="1" layoutInCell="1" allowOverlap="1" wp14:anchorId="3AC46557" wp14:editId="1B709173">
            <wp:simplePos x="0" y="0"/>
            <wp:positionH relativeFrom="margin">
              <wp:align>right</wp:align>
            </wp:positionH>
            <wp:positionV relativeFrom="paragraph">
              <wp:posOffset>84455</wp:posOffset>
            </wp:positionV>
            <wp:extent cx="989965" cy="503555"/>
            <wp:effectExtent l="0" t="0" r="635" b="0"/>
            <wp:wrapSquare wrapText="bothSides"/>
            <wp:docPr id="100" name="Picture 100"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6E32ED85" w14:textId="77777777" w:rsidTr="00A60D4B">
        <w:trPr>
          <w:cantSplit/>
          <w:jc w:val="center"/>
        </w:trPr>
        <w:tc>
          <w:tcPr>
            <w:tcW w:w="3652" w:type="dxa"/>
            <w:tcBorders>
              <w:top w:val="single" w:sz="4" w:space="0" w:color="auto"/>
              <w:bottom w:val="single" w:sz="4" w:space="0" w:color="auto"/>
            </w:tcBorders>
          </w:tcPr>
          <w:p w14:paraId="4A50851B"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0E0F493C" w14:textId="77777777" w:rsidR="00CF0E2D" w:rsidRPr="00297081" w:rsidRDefault="00CF0E2D" w:rsidP="00A60D4B">
            <w:pPr>
              <w:pStyle w:val="InitFigR"/>
              <w:rPr>
                <w:b/>
                <w:bCs/>
              </w:rPr>
            </w:pPr>
            <w:r w:rsidRPr="00297081">
              <w:rPr>
                <w:b/>
                <w:bCs/>
              </w:rPr>
              <w:t>2021-22</w:t>
            </w:r>
          </w:p>
          <w:p w14:paraId="7B792FE7" w14:textId="77777777" w:rsidR="00CF0E2D" w:rsidRPr="00297081" w:rsidRDefault="00CF0E2D" w:rsidP="00A60D4B">
            <w:pPr>
              <w:pStyle w:val="InitFigR"/>
              <w:rPr>
                <w:b/>
                <w:bCs/>
              </w:rPr>
            </w:pPr>
            <w:r w:rsidRPr="00297081">
              <w:rPr>
                <w:b/>
                <w:bCs/>
              </w:rPr>
              <w:t>$’000</w:t>
            </w:r>
          </w:p>
        </w:tc>
        <w:tc>
          <w:tcPr>
            <w:tcW w:w="1041" w:type="dxa"/>
            <w:tcBorders>
              <w:top w:val="single" w:sz="4" w:space="0" w:color="auto"/>
              <w:bottom w:val="single" w:sz="4" w:space="0" w:color="auto"/>
            </w:tcBorders>
          </w:tcPr>
          <w:p w14:paraId="732F9817" w14:textId="77777777" w:rsidR="00CF0E2D" w:rsidRPr="00297081" w:rsidRDefault="00CF0E2D" w:rsidP="00A60D4B">
            <w:pPr>
              <w:pStyle w:val="InitFigR"/>
              <w:rPr>
                <w:b/>
                <w:bCs/>
              </w:rPr>
            </w:pPr>
            <w:r w:rsidRPr="00297081">
              <w:rPr>
                <w:b/>
                <w:bCs/>
              </w:rPr>
              <w:t>2022-23</w:t>
            </w:r>
          </w:p>
          <w:p w14:paraId="03EAAF35" w14:textId="77777777" w:rsidR="00CF0E2D" w:rsidRPr="00297081" w:rsidRDefault="00CF0E2D" w:rsidP="00A60D4B">
            <w:pPr>
              <w:pStyle w:val="InitFigR"/>
              <w:rPr>
                <w:b/>
                <w:bCs/>
              </w:rPr>
            </w:pPr>
            <w:r w:rsidRPr="00297081">
              <w:rPr>
                <w:b/>
                <w:bCs/>
              </w:rPr>
              <w:t>$’000</w:t>
            </w:r>
          </w:p>
        </w:tc>
        <w:tc>
          <w:tcPr>
            <w:tcW w:w="1029" w:type="dxa"/>
            <w:tcBorders>
              <w:top w:val="single" w:sz="4" w:space="0" w:color="auto"/>
              <w:bottom w:val="single" w:sz="4" w:space="0" w:color="auto"/>
            </w:tcBorders>
          </w:tcPr>
          <w:p w14:paraId="5D5039AD" w14:textId="77777777" w:rsidR="00CF0E2D" w:rsidRPr="00297081" w:rsidRDefault="00CF0E2D" w:rsidP="00A60D4B">
            <w:pPr>
              <w:pStyle w:val="InitFigR"/>
              <w:rPr>
                <w:b/>
                <w:bCs/>
              </w:rPr>
            </w:pPr>
            <w:r w:rsidRPr="00297081">
              <w:rPr>
                <w:b/>
                <w:bCs/>
              </w:rPr>
              <w:t>2023-24</w:t>
            </w:r>
          </w:p>
          <w:p w14:paraId="69C18F3E" w14:textId="77777777" w:rsidR="00CF0E2D" w:rsidRPr="00297081" w:rsidRDefault="00CF0E2D" w:rsidP="00A60D4B">
            <w:pPr>
              <w:pStyle w:val="InitFigR"/>
              <w:rPr>
                <w:b/>
                <w:bCs/>
              </w:rPr>
            </w:pPr>
            <w:r w:rsidRPr="00297081">
              <w:rPr>
                <w:b/>
                <w:bCs/>
              </w:rPr>
              <w:t>$’000</w:t>
            </w:r>
          </w:p>
        </w:tc>
        <w:tc>
          <w:tcPr>
            <w:tcW w:w="1029" w:type="dxa"/>
            <w:tcBorders>
              <w:top w:val="single" w:sz="4" w:space="0" w:color="auto"/>
              <w:bottom w:val="single" w:sz="4" w:space="0" w:color="auto"/>
            </w:tcBorders>
          </w:tcPr>
          <w:p w14:paraId="41A11EDB" w14:textId="77777777" w:rsidR="00CF0E2D" w:rsidRPr="00297081" w:rsidRDefault="00CF0E2D" w:rsidP="00A60D4B">
            <w:pPr>
              <w:pStyle w:val="InitFigR"/>
              <w:rPr>
                <w:b/>
                <w:bCs/>
              </w:rPr>
            </w:pPr>
            <w:r w:rsidRPr="00297081">
              <w:rPr>
                <w:b/>
                <w:bCs/>
              </w:rPr>
              <w:t>2024-25</w:t>
            </w:r>
          </w:p>
          <w:p w14:paraId="5D298F86" w14:textId="77777777" w:rsidR="00CF0E2D" w:rsidRPr="00297081" w:rsidRDefault="00CF0E2D" w:rsidP="00A60D4B">
            <w:pPr>
              <w:pStyle w:val="InitFigR"/>
              <w:rPr>
                <w:b/>
                <w:bCs/>
              </w:rPr>
            </w:pPr>
            <w:r w:rsidRPr="00297081">
              <w:rPr>
                <w:b/>
                <w:bCs/>
              </w:rPr>
              <w:t>$’000</w:t>
            </w:r>
          </w:p>
        </w:tc>
        <w:tc>
          <w:tcPr>
            <w:tcW w:w="1029" w:type="dxa"/>
            <w:tcBorders>
              <w:top w:val="single" w:sz="4" w:space="0" w:color="auto"/>
              <w:bottom w:val="single" w:sz="4" w:space="0" w:color="auto"/>
            </w:tcBorders>
          </w:tcPr>
          <w:p w14:paraId="1E73EAF6" w14:textId="77777777" w:rsidR="00CF0E2D" w:rsidRPr="004E341E" w:rsidRDefault="00CF0E2D" w:rsidP="00A60D4B">
            <w:pPr>
              <w:pStyle w:val="InitFigRBold"/>
            </w:pPr>
            <w:r w:rsidRPr="004E341E">
              <w:t>Total</w:t>
            </w:r>
          </w:p>
          <w:p w14:paraId="6009ACB1" w14:textId="77777777" w:rsidR="00CF0E2D" w:rsidRPr="004E341E" w:rsidRDefault="00CF0E2D" w:rsidP="00A60D4B">
            <w:pPr>
              <w:pStyle w:val="InitFigBR"/>
            </w:pPr>
            <w:r w:rsidRPr="004E341E">
              <w:t>$’000</w:t>
            </w:r>
          </w:p>
        </w:tc>
      </w:tr>
      <w:tr w:rsidR="00CF0E2D" w:rsidRPr="00750793" w14:paraId="030C9456" w14:textId="77777777" w:rsidTr="00A60D4B">
        <w:trPr>
          <w:cantSplit/>
          <w:jc w:val="center"/>
        </w:trPr>
        <w:tc>
          <w:tcPr>
            <w:tcW w:w="3652" w:type="dxa"/>
            <w:tcBorders>
              <w:top w:val="single" w:sz="4" w:space="0" w:color="auto"/>
            </w:tcBorders>
          </w:tcPr>
          <w:p w14:paraId="32CF04BF" w14:textId="77777777" w:rsidR="00CF0E2D" w:rsidRPr="00F13FAB" w:rsidRDefault="00CF0E2D" w:rsidP="00A60D4B">
            <w:pPr>
              <w:pStyle w:val="InitTextL"/>
              <w:ind w:left="321" w:hanging="321"/>
            </w:pPr>
            <w:r w:rsidRPr="00882BE2">
              <w:t>Expenses</w:t>
            </w:r>
          </w:p>
        </w:tc>
        <w:tc>
          <w:tcPr>
            <w:tcW w:w="1179" w:type="dxa"/>
            <w:tcBorders>
              <w:top w:val="single" w:sz="4" w:space="0" w:color="auto"/>
            </w:tcBorders>
          </w:tcPr>
          <w:p w14:paraId="4AF5EFEC" w14:textId="77777777" w:rsidR="00CF0E2D" w:rsidRPr="00424DA4" w:rsidRDefault="00CF0E2D" w:rsidP="00A60D4B">
            <w:pPr>
              <w:pStyle w:val="InitFigR"/>
            </w:pPr>
            <w:r>
              <w:t>980</w:t>
            </w:r>
          </w:p>
        </w:tc>
        <w:tc>
          <w:tcPr>
            <w:tcW w:w="1041" w:type="dxa"/>
            <w:tcBorders>
              <w:top w:val="single" w:sz="4" w:space="0" w:color="auto"/>
            </w:tcBorders>
          </w:tcPr>
          <w:p w14:paraId="58021716" w14:textId="77777777" w:rsidR="00CF0E2D" w:rsidRPr="00424DA4" w:rsidRDefault="00CF0E2D" w:rsidP="00A60D4B">
            <w:pPr>
              <w:pStyle w:val="InitFigR"/>
            </w:pPr>
            <w:r>
              <w:t>1,016</w:t>
            </w:r>
          </w:p>
        </w:tc>
        <w:tc>
          <w:tcPr>
            <w:tcW w:w="1029" w:type="dxa"/>
            <w:tcBorders>
              <w:top w:val="single" w:sz="4" w:space="0" w:color="auto"/>
            </w:tcBorders>
          </w:tcPr>
          <w:p w14:paraId="633C857A" w14:textId="77777777" w:rsidR="00CF0E2D" w:rsidRPr="00424DA4" w:rsidRDefault="00CF0E2D" w:rsidP="00A60D4B">
            <w:pPr>
              <w:pStyle w:val="InitFigR"/>
            </w:pPr>
            <w:r>
              <w:t>1,022</w:t>
            </w:r>
          </w:p>
        </w:tc>
        <w:tc>
          <w:tcPr>
            <w:tcW w:w="1029" w:type="dxa"/>
            <w:tcBorders>
              <w:top w:val="single" w:sz="4" w:space="0" w:color="auto"/>
            </w:tcBorders>
          </w:tcPr>
          <w:p w14:paraId="23D97509" w14:textId="77777777" w:rsidR="00CF0E2D" w:rsidRPr="00424DA4" w:rsidRDefault="00CF0E2D" w:rsidP="00A60D4B">
            <w:pPr>
              <w:pStyle w:val="InitFigR"/>
            </w:pPr>
            <w:r>
              <w:t>1,046</w:t>
            </w:r>
          </w:p>
        </w:tc>
        <w:tc>
          <w:tcPr>
            <w:tcW w:w="1029" w:type="dxa"/>
            <w:tcBorders>
              <w:top w:val="single" w:sz="4" w:space="0" w:color="auto"/>
            </w:tcBorders>
          </w:tcPr>
          <w:p w14:paraId="686B9A55" w14:textId="77777777" w:rsidR="00CF0E2D" w:rsidRPr="00424DA4" w:rsidRDefault="00CF0E2D" w:rsidP="00A60D4B">
            <w:pPr>
              <w:pStyle w:val="InitFigBR"/>
            </w:pPr>
            <w:r>
              <w:t>4,064</w:t>
            </w:r>
          </w:p>
        </w:tc>
      </w:tr>
      <w:tr w:rsidR="00CF0E2D" w:rsidRPr="006F5650" w14:paraId="1FCE8FC1" w14:textId="77777777" w:rsidTr="00A60D4B">
        <w:trPr>
          <w:cantSplit/>
          <w:jc w:val="center"/>
        </w:trPr>
        <w:tc>
          <w:tcPr>
            <w:tcW w:w="3652" w:type="dxa"/>
            <w:tcBorders>
              <w:bottom w:val="single" w:sz="4" w:space="0" w:color="auto"/>
            </w:tcBorders>
          </w:tcPr>
          <w:p w14:paraId="14A35879" w14:textId="77777777" w:rsidR="00CF0E2D" w:rsidRPr="006F5650" w:rsidRDefault="00CF0E2D" w:rsidP="00A60D4B">
            <w:pPr>
              <w:pStyle w:val="InitTextL"/>
              <w:ind w:left="321" w:hanging="321"/>
            </w:pPr>
            <w:bookmarkStart w:id="41" w:name="_Hlk78278617"/>
            <w:r w:rsidRPr="006F5650">
              <w:t xml:space="preserve">Offset </w:t>
            </w:r>
            <w:r>
              <w:t>–</w:t>
            </w:r>
            <w:r w:rsidRPr="006F5650">
              <w:t xml:space="preserve"> Expenses</w:t>
            </w:r>
          </w:p>
        </w:tc>
        <w:tc>
          <w:tcPr>
            <w:tcW w:w="1179" w:type="dxa"/>
            <w:tcBorders>
              <w:bottom w:val="single" w:sz="4" w:space="0" w:color="auto"/>
            </w:tcBorders>
          </w:tcPr>
          <w:p w14:paraId="5985DA65" w14:textId="77777777" w:rsidR="00CF0E2D" w:rsidRPr="006F5650" w:rsidRDefault="00CF0E2D" w:rsidP="00A60D4B">
            <w:pPr>
              <w:pStyle w:val="InitFigR"/>
            </w:pPr>
            <w:r>
              <w:t>-940</w:t>
            </w:r>
          </w:p>
        </w:tc>
        <w:tc>
          <w:tcPr>
            <w:tcW w:w="1041" w:type="dxa"/>
            <w:tcBorders>
              <w:bottom w:val="single" w:sz="4" w:space="0" w:color="auto"/>
            </w:tcBorders>
          </w:tcPr>
          <w:p w14:paraId="7F184D9F" w14:textId="77777777" w:rsidR="00CF0E2D" w:rsidRPr="006F5650" w:rsidRDefault="00CF0E2D" w:rsidP="00A60D4B">
            <w:pPr>
              <w:pStyle w:val="InitFigR"/>
            </w:pPr>
            <w:r>
              <w:t>-976</w:t>
            </w:r>
          </w:p>
        </w:tc>
        <w:tc>
          <w:tcPr>
            <w:tcW w:w="1029" w:type="dxa"/>
            <w:tcBorders>
              <w:bottom w:val="single" w:sz="4" w:space="0" w:color="auto"/>
            </w:tcBorders>
          </w:tcPr>
          <w:p w14:paraId="6266D368" w14:textId="77777777" w:rsidR="00CF0E2D" w:rsidRPr="006F5650" w:rsidRDefault="00CF0E2D" w:rsidP="00A60D4B">
            <w:pPr>
              <w:pStyle w:val="InitFigR"/>
            </w:pPr>
            <w:r>
              <w:t>-981</w:t>
            </w:r>
          </w:p>
        </w:tc>
        <w:tc>
          <w:tcPr>
            <w:tcW w:w="1029" w:type="dxa"/>
            <w:tcBorders>
              <w:bottom w:val="single" w:sz="4" w:space="0" w:color="auto"/>
            </w:tcBorders>
          </w:tcPr>
          <w:p w14:paraId="1DC9265C" w14:textId="77777777" w:rsidR="00CF0E2D" w:rsidRPr="006F5650" w:rsidRDefault="00CF0E2D" w:rsidP="00A60D4B">
            <w:pPr>
              <w:pStyle w:val="InitFigR"/>
            </w:pPr>
            <w:r>
              <w:t>-1,005</w:t>
            </w:r>
          </w:p>
        </w:tc>
        <w:tc>
          <w:tcPr>
            <w:tcW w:w="1029" w:type="dxa"/>
            <w:tcBorders>
              <w:bottom w:val="single" w:sz="4" w:space="0" w:color="auto"/>
            </w:tcBorders>
          </w:tcPr>
          <w:p w14:paraId="48D14846" w14:textId="77777777" w:rsidR="00CF0E2D" w:rsidRPr="006F5650" w:rsidRDefault="00CF0E2D" w:rsidP="00A60D4B">
            <w:pPr>
              <w:pStyle w:val="InitFigBR"/>
              <w:rPr>
                <w:bCs/>
              </w:rPr>
            </w:pPr>
            <w:r>
              <w:rPr>
                <w:bCs/>
              </w:rPr>
              <w:t>-3,902</w:t>
            </w:r>
          </w:p>
        </w:tc>
      </w:tr>
      <w:tr w:rsidR="00CF0E2D" w:rsidRPr="00750793" w14:paraId="601F8426" w14:textId="77777777" w:rsidTr="00A60D4B">
        <w:trPr>
          <w:cantSplit/>
          <w:jc w:val="center"/>
        </w:trPr>
        <w:tc>
          <w:tcPr>
            <w:tcW w:w="3652" w:type="dxa"/>
            <w:tcBorders>
              <w:top w:val="single" w:sz="4" w:space="0" w:color="auto"/>
              <w:bottom w:val="single" w:sz="4" w:space="0" w:color="auto"/>
            </w:tcBorders>
          </w:tcPr>
          <w:p w14:paraId="526DAF49" w14:textId="77777777" w:rsidR="00CF0E2D" w:rsidRDefault="00CF0E2D" w:rsidP="00A60D4B">
            <w:pPr>
              <w:pStyle w:val="InitTextL"/>
              <w:ind w:left="321" w:hanging="321"/>
            </w:pPr>
            <w:r>
              <w:rPr>
                <w:b/>
                <w:bCs/>
              </w:rPr>
              <w:t>Net cost of services</w:t>
            </w:r>
          </w:p>
        </w:tc>
        <w:tc>
          <w:tcPr>
            <w:tcW w:w="1179" w:type="dxa"/>
            <w:tcBorders>
              <w:top w:val="single" w:sz="4" w:space="0" w:color="auto"/>
              <w:bottom w:val="single" w:sz="4" w:space="0" w:color="auto"/>
            </w:tcBorders>
          </w:tcPr>
          <w:p w14:paraId="54EA6AFF" w14:textId="77777777" w:rsidR="00CF0E2D" w:rsidRDefault="00CF0E2D" w:rsidP="00A60D4B">
            <w:pPr>
              <w:pStyle w:val="InitFigR"/>
            </w:pPr>
            <w:r>
              <w:rPr>
                <w:b/>
                <w:bCs/>
              </w:rPr>
              <w:t>40</w:t>
            </w:r>
          </w:p>
        </w:tc>
        <w:tc>
          <w:tcPr>
            <w:tcW w:w="1041" w:type="dxa"/>
            <w:tcBorders>
              <w:top w:val="single" w:sz="4" w:space="0" w:color="auto"/>
              <w:bottom w:val="single" w:sz="4" w:space="0" w:color="auto"/>
            </w:tcBorders>
          </w:tcPr>
          <w:p w14:paraId="40178C8F" w14:textId="77777777" w:rsidR="00CF0E2D" w:rsidRDefault="00CF0E2D" w:rsidP="00A60D4B">
            <w:pPr>
              <w:pStyle w:val="InitFigR"/>
            </w:pPr>
            <w:r>
              <w:rPr>
                <w:b/>
                <w:bCs/>
              </w:rPr>
              <w:t>40</w:t>
            </w:r>
          </w:p>
        </w:tc>
        <w:tc>
          <w:tcPr>
            <w:tcW w:w="1029" w:type="dxa"/>
            <w:tcBorders>
              <w:top w:val="single" w:sz="4" w:space="0" w:color="auto"/>
              <w:bottom w:val="single" w:sz="4" w:space="0" w:color="auto"/>
            </w:tcBorders>
          </w:tcPr>
          <w:p w14:paraId="62780E35" w14:textId="77777777" w:rsidR="00CF0E2D" w:rsidRDefault="00CF0E2D" w:rsidP="00A60D4B">
            <w:pPr>
              <w:pStyle w:val="InitFigR"/>
            </w:pPr>
            <w:r>
              <w:rPr>
                <w:b/>
                <w:bCs/>
              </w:rPr>
              <w:t>41</w:t>
            </w:r>
          </w:p>
        </w:tc>
        <w:tc>
          <w:tcPr>
            <w:tcW w:w="1029" w:type="dxa"/>
            <w:tcBorders>
              <w:top w:val="single" w:sz="4" w:space="0" w:color="auto"/>
              <w:bottom w:val="single" w:sz="4" w:space="0" w:color="auto"/>
            </w:tcBorders>
          </w:tcPr>
          <w:p w14:paraId="32C5F34D" w14:textId="77777777" w:rsidR="00CF0E2D" w:rsidRDefault="00CF0E2D" w:rsidP="00A60D4B">
            <w:pPr>
              <w:pStyle w:val="InitFigR"/>
            </w:pPr>
            <w:r>
              <w:rPr>
                <w:b/>
                <w:bCs/>
              </w:rPr>
              <w:t>41</w:t>
            </w:r>
          </w:p>
        </w:tc>
        <w:tc>
          <w:tcPr>
            <w:tcW w:w="1029" w:type="dxa"/>
            <w:tcBorders>
              <w:top w:val="single" w:sz="4" w:space="0" w:color="auto"/>
              <w:bottom w:val="single" w:sz="4" w:space="0" w:color="auto"/>
            </w:tcBorders>
          </w:tcPr>
          <w:p w14:paraId="6F13A7F6" w14:textId="77777777" w:rsidR="00CF0E2D" w:rsidRDefault="00CF0E2D" w:rsidP="00A60D4B">
            <w:pPr>
              <w:pStyle w:val="InitFigBR"/>
            </w:pPr>
            <w:r>
              <w:rPr>
                <w:bCs/>
              </w:rPr>
              <w:t>162</w:t>
            </w:r>
          </w:p>
        </w:tc>
      </w:tr>
    </w:tbl>
    <w:bookmarkEnd w:id="41"/>
    <w:p w14:paraId="341D8258" w14:textId="77777777" w:rsidR="00CF0E2D" w:rsidRPr="002E197D" w:rsidRDefault="00CF0E2D" w:rsidP="00A60D4B">
      <w:pPr>
        <w:spacing w:before="200" w:after="200" w:line="240" w:lineRule="auto"/>
        <w:rPr>
          <w:rFonts w:ascii="Calibri" w:eastAsia="Times New Roman" w:hAnsi="Calibri" w:cs="Times New Roman"/>
          <w:sz w:val="24"/>
          <w:szCs w:val="20"/>
        </w:rPr>
      </w:pPr>
      <w:r w:rsidRPr="002E197D">
        <w:rPr>
          <w:rFonts w:ascii="Calibri" w:eastAsia="Times New Roman" w:hAnsi="Calibri" w:cs="Times New Roman"/>
          <w:sz w:val="24"/>
          <w:szCs w:val="20"/>
        </w:rPr>
        <w:t>The Government will continue funding the Health Justice Partnership program, which provides wrap-around health and legal support in healthcare settings, primarily to pregnant women and new families experiencing or at risk of domestic and family violence.</w:t>
      </w:r>
    </w:p>
    <w:p w14:paraId="6B1E29F5" w14:textId="77777777" w:rsidR="00CF0E2D" w:rsidRPr="002E197D" w:rsidRDefault="00CF0E2D" w:rsidP="00A60D4B">
      <w:pPr>
        <w:spacing w:before="200" w:after="200" w:line="240" w:lineRule="auto"/>
        <w:rPr>
          <w:rFonts w:ascii="Calibri" w:eastAsia="Times New Roman" w:hAnsi="Calibri" w:cs="Times New Roman"/>
          <w:sz w:val="24"/>
          <w:szCs w:val="20"/>
        </w:rPr>
      </w:pPr>
      <w:r w:rsidRPr="002E197D">
        <w:rPr>
          <w:rFonts w:ascii="Calibri" w:eastAsia="Times New Roman" w:hAnsi="Calibri" w:cs="Times New Roman"/>
          <w:sz w:val="24"/>
          <w:szCs w:val="20"/>
        </w:rPr>
        <w:t xml:space="preserve">This initiative will be </w:t>
      </w:r>
      <w:r>
        <w:rPr>
          <w:rFonts w:ascii="Calibri" w:eastAsia="Times New Roman" w:hAnsi="Calibri" w:cs="Times New Roman"/>
          <w:sz w:val="24"/>
          <w:szCs w:val="20"/>
        </w:rPr>
        <w:t xml:space="preserve">partially </w:t>
      </w:r>
      <w:r w:rsidRPr="002E197D">
        <w:rPr>
          <w:rFonts w:ascii="Calibri" w:eastAsia="Times New Roman" w:hAnsi="Calibri" w:cs="Times New Roman"/>
          <w:sz w:val="24"/>
          <w:szCs w:val="20"/>
        </w:rPr>
        <w:t>funded by the Safer Families Levy</w:t>
      </w:r>
      <w:r w:rsidRPr="002E197D" w:rsidDel="00315D6A">
        <w:rPr>
          <w:rFonts w:ascii="Calibri" w:eastAsia="Times New Roman" w:hAnsi="Calibri" w:cs="Times New Roman"/>
          <w:sz w:val="24"/>
          <w:szCs w:val="20"/>
        </w:rPr>
        <w:t xml:space="preserve"> </w:t>
      </w:r>
      <w:r w:rsidRPr="002E197D">
        <w:rPr>
          <w:rFonts w:ascii="Calibri" w:eastAsia="Times New Roman" w:hAnsi="Calibri" w:cs="Times New Roman"/>
          <w:sz w:val="24"/>
          <w:szCs w:val="20"/>
        </w:rPr>
        <w:t xml:space="preserve">and continues the support for new parents experiencing domestic and family violence which was initially piloted as a Family Safety Hub in the 2019-20 Budget. </w:t>
      </w:r>
    </w:p>
    <w:p w14:paraId="7F3C7A7C" w14:textId="77777777" w:rsidR="00CF0E2D" w:rsidRDefault="00CF0E2D" w:rsidP="00A60D4B">
      <w:pPr>
        <w:spacing w:before="200" w:after="200" w:line="240" w:lineRule="auto"/>
        <w:rPr>
          <w:rFonts w:ascii="Calibri" w:eastAsia="Times New Roman" w:hAnsi="Calibri" w:cs="Times New Roman"/>
          <w:sz w:val="24"/>
          <w:szCs w:val="20"/>
        </w:rPr>
      </w:pPr>
      <w:r w:rsidRPr="002E197D">
        <w:rPr>
          <w:rFonts w:ascii="Calibri" w:eastAsia="Times New Roman" w:hAnsi="Calibri" w:cs="Times New Roman"/>
          <w:sz w:val="24"/>
          <w:szCs w:val="20"/>
        </w:rPr>
        <w:t>Th</w:t>
      </w:r>
      <w:r>
        <w:rPr>
          <w:rFonts w:ascii="Calibri" w:eastAsia="Times New Roman" w:hAnsi="Calibri" w:cs="Times New Roman"/>
          <w:sz w:val="24"/>
          <w:szCs w:val="20"/>
        </w:rPr>
        <w:t>is</w:t>
      </w:r>
      <w:r w:rsidRPr="002E197D">
        <w:rPr>
          <w:rFonts w:ascii="Calibri" w:eastAsia="Times New Roman" w:hAnsi="Calibri" w:cs="Times New Roman"/>
          <w:sz w:val="24"/>
          <w:szCs w:val="20"/>
        </w:rPr>
        <w:t xml:space="preserve"> initiative contributes to the wellbeing domain of Safety.</w:t>
      </w:r>
    </w:p>
    <w:p w14:paraId="4E33E932" w14:textId="77777777" w:rsidR="00CF0E2D" w:rsidRDefault="00CF0E2D">
      <w:pPr>
        <w:rPr>
          <w:rFonts w:ascii="Calibri" w:eastAsia="Times New Roman" w:hAnsi="Calibri" w:cs="Times New Roman"/>
          <w:sz w:val="24"/>
          <w:szCs w:val="20"/>
        </w:rPr>
      </w:pPr>
      <w:r>
        <w:rPr>
          <w:rFonts w:ascii="Calibri" w:eastAsia="Times New Roman" w:hAnsi="Calibri" w:cs="Times New Roman"/>
          <w:sz w:val="24"/>
          <w:szCs w:val="20"/>
        </w:rPr>
        <w:br w:type="page"/>
      </w:r>
    </w:p>
    <w:p w14:paraId="388610A3" w14:textId="77777777" w:rsidR="00CF0E2D" w:rsidRPr="00B45967" w:rsidRDefault="00CF0E2D" w:rsidP="00A60D4B">
      <w:pPr>
        <w:pStyle w:val="Heading4"/>
        <w:keepNext w:val="0"/>
        <w:keepLines w:val="0"/>
        <w:rPr>
          <w:rFonts w:eastAsia="Times New Roman" w:cs="Times New Roman"/>
          <w:bCs/>
          <w:szCs w:val="26"/>
        </w:rPr>
      </w:pPr>
      <w:r w:rsidRPr="00F2171A">
        <w:rPr>
          <w:rFonts w:eastAsia="Times New Roman"/>
        </w:rPr>
        <w:lastRenderedPageBreak/>
        <w:t xml:space="preserve">Safer Families Levy </w:t>
      </w:r>
      <w:r>
        <w:rPr>
          <w:rFonts w:eastAsia="Times New Roman" w:cs="Times New Roman"/>
          <w:bCs/>
          <w:szCs w:val="26"/>
        </w:rPr>
        <w:t>–</w:t>
      </w:r>
      <w:r w:rsidRPr="00F2171A">
        <w:rPr>
          <w:rFonts w:eastAsia="Times New Roman" w:cs="Times New Roman"/>
          <w:bCs/>
          <w:szCs w:val="26"/>
        </w:rPr>
        <w:t xml:space="preserve"> </w:t>
      </w:r>
      <w:r w:rsidRPr="00B45967">
        <w:rPr>
          <w:rFonts w:eastAsia="Times New Roman" w:cs="Times New Roman"/>
          <w:bCs/>
          <w:szCs w:val="26"/>
        </w:rPr>
        <w:t xml:space="preserve">Family Violence Safety Action Pilot </w:t>
      </w:r>
      <w:r>
        <w:rPr>
          <w:rFonts w:eastAsia="Times New Roman" w:cs="Times New Roman"/>
          <w:bCs/>
          <w:szCs w:val="26"/>
        </w:rPr>
        <w:t>–</w:t>
      </w:r>
      <w:r w:rsidRPr="00B45967">
        <w:rPr>
          <w:rFonts w:eastAsia="Times New Roman" w:cs="Times New Roman"/>
          <w:bCs/>
          <w:szCs w:val="26"/>
        </w:rPr>
        <w:t xml:space="preserve"> </w:t>
      </w:r>
      <w:r>
        <w:rPr>
          <w:rFonts w:eastAsia="Times New Roman" w:cs="Times New Roman"/>
          <w:szCs w:val="26"/>
        </w:rPr>
        <w:t>c</w:t>
      </w:r>
      <w:r w:rsidRPr="00B45967">
        <w:rPr>
          <w:rFonts w:eastAsia="Times New Roman" w:cs="Times New Roman"/>
          <w:szCs w:val="26"/>
        </w:rPr>
        <w:t>ontinuation</w:t>
      </w:r>
      <w:r w:rsidRPr="00B45967">
        <w:rPr>
          <w:rFonts w:eastAsia="Times New Roman" w:cs="Times New Roman"/>
          <w:bCs/>
          <w:szCs w:val="26"/>
        </w:rPr>
        <w:t xml:space="preserve"> </w:t>
      </w:r>
      <w:r>
        <w:rPr>
          <w:b w:val="0"/>
          <w:noProof/>
          <w:color w:val="999789"/>
          <w:sz w:val="32"/>
          <w:szCs w:val="24"/>
        </w:rPr>
        <w:drawing>
          <wp:anchor distT="0" distB="0" distL="114300" distR="114300" simplePos="0" relativeHeight="251787264" behindDoc="0" locked="1" layoutInCell="1" allowOverlap="1" wp14:anchorId="4888B042" wp14:editId="3EDEB8C1">
            <wp:simplePos x="0" y="0"/>
            <wp:positionH relativeFrom="margin">
              <wp:align>right</wp:align>
            </wp:positionH>
            <wp:positionV relativeFrom="paragraph">
              <wp:posOffset>5080</wp:posOffset>
            </wp:positionV>
            <wp:extent cx="989965" cy="503555"/>
            <wp:effectExtent l="0" t="0" r="635" b="0"/>
            <wp:wrapSquare wrapText="bothSides"/>
            <wp:docPr id="101" name="Picture 101"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08A43E2B" w14:textId="77777777" w:rsidTr="00A60D4B">
        <w:trPr>
          <w:cantSplit/>
          <w:jc w:val="center"/>
        </w:trPr>
        <w:tc>
          <w:tcPr>
            <w:tcW w:w="3652" w:type="dxa"/>
            <w:tcBorders>
              <w:top w:val="single" w:sz="4" w:space="0" w:color="auto"/>
              <w:bottom w:val="single" w:sz="4" w:space="0" w:color="auto"/>
            </w:tcBorders>
          </w:tcPr>
          <w:p w14:paraId="0A38FF28"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47A14F03" w14:textId="77777777" w:rsidR="00CF0E2D" w:rsidRPr="00297081" w:rsidRDefault="00CF0E2D" w:rsidP="00A60D4B">
            <w:pPr>
              <w:pStyle w:val="InitFigR"/>
              <w:rPr>
                <w:b/>
                <w:bCs/>
              </w:rPr>
            </w:pPr>
            <w:r w:rsidRPr="00297081">
              <w:rPr>
                <w:b/>
                <w:bCs/>
              </w:rPr>
              <w:t>2021-22</w:t>
            </w:r>
          </w:p>
          <w:p w14:paraId="126109BF" w14:textId="77777777" w:rsidR="00CF0E2D" w:rsidRPr="00297081" w:rsidRDefault="00CF0E2D" w:rsidP="00A60D4B">
            <w:pPr>
              <w:pStyle w:val="InitFigR"/>
              <w:rPr>
                <w:b/>
                <w:bCs/>
              </w:rPr>
            </w:pPr>
            <w:r w:rsidRPr="00297081">
              <w:rPr>
                <w:b/>
                <w:bCs/>
              </w:rPr>
              <w:t>$’000</w:t>
            </w:r>
          </w:p>
        </w:tc>
        <w:tc>
          <w:tcPr>
            <w:tcW w:w="1041" w:type="dxa"/>
            <w:tcBorders>
              <w:top w:val="single" w:sz="4" w:space="0" w:color="auto"/>
              <w:bottom w:val="single" w:sz="4" w:space="0" w:color="auto"/>
            </w:tcBorders>
          </w:tcPr>
          <w:p w14:paraId="2FBFAE31" w14:textId="77777777" w:rsidR="00CF0E2D" w:rsidRPr="00297081" w:rsidRDefault="00CF0E2D" w:rsidP="00A60D4B">
            <w:pPr>
              <w:pStyle w:val="InitFigR"/>
              <w:rPr>
                <w:b/>
                <w:bCs/>
              </w:rPr>
            </w:pPr>
            <w:r w:rsidRPr="00297081">
              <w:rPr>
                <w:b/>
                <w:bCs/>
              </w:rPr>
              <w:t>2022-23</w:t>
            </w:r>
          </w:p>
          <w:p w14:paraId="678A646A" w14:textId="77777777" w:rsidR="00CF0E2D" w:rsidRPr="00297081" w:rsidRDefault="00CF0E2D" w:rsidP="00A60D4B">
            <w:pPr>
              <w:pStyle w:val="InitFigR"/>
              <w:rPr>
                <w:b/>
                <w:bCs/>
              </w:rPr>
            </w:pPr>
            <w:r w:rsidRPr="00297081">
              <w:rPr>
                <w:b/>
                <w:bCs/>
              </w:rPr>
              <w:t>$’000</w:t>
            </w:r>
          </w:p>
        </w:tc>
        <w:tc>
          <w:tcPr>
            <w:tcW w:w="1029" w:type="dxa"/>
            <w:tcBorders>
              <w:top w:val="single" w:sz="4" w:space="0" w:color="auto"/>
              <w:bottom w:val="single" w:sz="4" w:space="0" w:color="auto"/>
            </w:tcBorders>
          </w:tcPr>
          <w:p w14:paraId="433B35D0" w14:textId="77777777" w:rsidR="00CF0E2D" w:rsidRPr="00297081" w:rsidRDefault="00CF0E2D" w:rsidP="00A60D4B">
            <w:pPr>
              <w:pStyle w:val="InitFigR"/>
              <w:rPr>
                <w:b/>
                <w:bCs/>
              </w:rPr>
            </w:pPr>
            <w:r w:rsidRPr="00297081">
              <w:rPr>
                <w:b/>
                <w:bCs/>
              </w:rPr>
              <w:t>2023-24</w:t>
            </w:r>
          </w:p>
          <w:p w14:paraId="518C3757" w14:textId="77777777" w:rsidR="00CF0E2D" w:rsidRPr="00297081" w:rsidRDefault="00CF0E2D" w:rsidP="00A60D4B">
            <w:pPr>
              <w:pStyle w:val="InitFigR"/>
              <w:rPr>
                <w:b/>
                <w:bCs/>
              </w:rPr>
            </w:pPr>
            <w:r w:rsidRPr="00297081">
              <w:rPr>
                <w:b/>
                <w:bCs/>
              </w:rPr>
              <w:t>$’000</w:t>
            </w:r>
          </w:p>
        </w:tc>
        <w:tc>
          <w:tcPr>
            <w:tcW w:w="1029" w:type="dxa"/>
            <w:tcBorders>
              <w:top w:val="single" w:sz="4" w:space="0" w:color="auto"/>
              <w:bottom w:val="single" w:sz="4" w:space="0" w:color="auto"/>
            </w:tcBorders>
          </w:tcPr>
          <w:p w14:paraId="0B33E916" w14:textId="77777777" w:rsidR="00CF0E2D" w:rsidRPr="00297081" w:rsidRDefault="00CF0E2D" w:rsidP="00A60D4B">
            <w:pPr>
              <w:pStyle w:val="InitFigR"/>
              <w:rPr>
                <w:b/>
                <w:bCs/>
              </w:rPr>
            </w:pPr>
            <w:r w:rsidRPr="00297081">
              <w:rPr>
                <w:b/>
                <w:bCs/>
              </w:rPr>
              <w:t>2024-25</w:t>
            </w:r>
          </w:p>
          <w:p w14:paraId="6181BAB8" w14:textId="77777777" w:rsidR="00CF0E2D" w:rsidRPr="00297081" w:rsidRDefault="00CF0E2D" w:rsidP="00A60D4B">
            <w:pPr>
              <w:pStyle w:val="InitFigR"/>
              <w:rPr>
                <w:b/>
                <w:bCs/>
              </w:rPr>
            </w:pPr>
            <w:r w:rsidRPr="00297081">
              <w:rPr>
                <w:b/>
                <w:bCs/>
              </w:rPr>
              <w:t>$’000</w:t>
            </w:r>
          </w:p>
        </w:tc>
        <w:tc>
          <w:tcPr>
            <w:tcW w:w="1029" w:type="dxa"/>
            <w:tcBorders>
              <w:top w:val="single" w:sz="4" w:space="0" w:color="auto"/>
              <w:bottom w:val="single" w:sz="4" w:space="0" w:color="auto"/>
            </w:tcBorders>
          </w:tcPr>
          <w:p w14:paraId="48E51ADB" w14:textId="77777777" w:rsidR="00CF0E2D" w:rsidRPr="004E341E" w:rsidRDefault="00CF0E2D" w:rsidP="00A60D4B">
            <w:pPr>
              <w:pStyle w:val="InitFigRBold"/>
            </w:pPr>
            <w:r w:rsidRPr="004E341E">
              <w:t>Total</w:t>
            </w:r>
          </w:p>
          <w:p w14:paraId="1844209F" w14:textId="77777777" w:rsidR="00CF0E2D" w:rsidRPr="004E341E" w:rsidRDefault="00CF0E2D" w:rsidP="00A60D4B">
            <w:pPr>
              <w:pStyle w:val="InitFigBR"/>
            </w:pPr>
            <w:r w:rsidRPr="004E341E">
              <w:t>$’000</w:t>
            </w:r>
          </w:p>
        </w:tc>
      </w:tr>
      <w:tr w:rsidR="00CF0E2D" w:rsidRPr="00750793" w14:paraId="53BFEAE1" w14:textId="77777777" w:rsidTr="00A60D4B">
        <w:trPr>
          <w:cantSplit/>
          <w:jc w:val="center"/>
        </w:trPr>
        <w:tc>
          <w:tcPr>
            <w:tcW w:w="3652" w:type="dxa"/>
            <w:tcBorders>
              <w:top w:val="single" w:sz="4" w:space="0" w:color="auto"/>
            </w:tcBorders>
          </w:tcPr>
          <w:p w14:paraId="1FF1B943" w14:textId="77777777" w:rsidR="00CF0E2D" w:rsidRPr="00F13FAB" w:rsidRDefault="00CF0E2D" w:rsidP="00A60D4B">
            <w:pPr>
              <w:pStyle w:val="InitTextL"/>
              <w:ind w:left="321" w:hanging="321"/>
            </w:pPr>
            <w:r w:rsidRPr="00882BE2">
              <w:t>Expenses</w:t>
            </w:r>
          </w:p>
        </w:tc>
        <w:tc>
          <w:tcPr>
            <w:tcW w:w="1179" w:type="dxa"/>
            <w:tcBorders>
              <w:top w:val="single" w:sz="4" w:space="0" w:color="auto"/>
            </w:tcBorders>
          </w:tcPr>
          <w:p w14:paraId="175CF750" w14:textId="77777777" w:rsidR="00CF0E2D" w:rsidRPr="00424DA4" w:rsidRDefault="00CF0E2D" w:rsidP="00A60D4B">
            <w:pPr>
              <w:pStyle w:val="InitFigR"/>
            </w:pPr>
            <w:r>
              <w:t>249</w:t>
            </w:r>
          </w:p>
        </w:tc>
        <w:tc>
          <w:tcPr>
            <w:tcW w:w="1041" w:type="dxa"/>
            <w:tcBorders>
              <w:top w:val="single" w:sz="4" w:space="0" w:color="auto"/>
            </w:tcBorders>
          </w:tcPr>
          <w:p w14:paraId="648885D6" w14:textId="77777777" w:rsidR="00CF0E2D" w:rsidRPr="00424DA4" w:rsidRDefault="00CF0E2D" w:rsidP="00A60D4B">
            <w:pPr>
              <w:pStyle w:val="InitFigR"/>
            </w:pPr>
            <w:r>
              <w:t>0</w:t>
            </w:r>
          </w:p>
        </w:tc>
        <w:tc>
          <w:tcPr>
            <w:tcW w:w="1029" w:type="dxa"/>
            <w:tcBorders>
              <w:top w:val="single" w:sz="4" w:space="0" w:color="auto"/>
            </w:tcBorders>
          </w:tcPr>
          <w:p w14:paraId="64835169" w14:textId="77777777" w:rsidR="00CF0E2D" w:rsidRPr="00424DA4" w:rsidRDefault="00CF0E2D" w:rsidP="00A60D4B">
            <w:pPr>
              <w:pStyle w:val="InitFigR"/>
            </w:pPr>
            <w:r>
              <w:t>0</w:t>
            </w:r>
          </w:p>
        </w:tc>
        <w:tc>
          <w:tcPr>
            <w:tcW w:w="1029" w:type="dxa"/>
            <w:tcBorders>
              <w:top w:val="single" w:sz="4" w:space="0" w:color="auto"/>
            </w:tcBorders>
          </w:tcPr>
          <w:p w14:paraId="1CD70DDA" w14:textId="77777777" w:rsidR="00CF0E2D" w:rsidRPr="00424DA4" w:rsidRDefault="00CF0E2D" w:rsidP="00A60D4B">
            <w:pPr>
              <w:pStyle w:val="InitFigR"/>
            </w:pPr>
            <w:r>
              <w:t>0</w:t>
            </w:r>
          </w:p>
        </w:tc>
        <w:tc>
          <w:tcPr>
            <w:tcW w:w="1029" w:type="dxa"/>
            <w:tcBorders>
              <w:top w:val="single" w:sz="4" w:space="0" w:color="auto"/>
            </w:tcBorders>
          </w:tcPr>
          <w:p w14:paraId="013B1C78" w14:textId="77777777" w:rsidR="00CF0E2D" w:rsidRPr="00424DA4" w:rsidRDefault="00CF0E2D" w:rsidP="00A60D4B">
            <w:pPr>
              <w:pStyle w:val="InitFigBR"/>
            </w:pPr>
            <w:r>
              <w:t>249</w:t>
            </w:r>
          </w:p>
        </w:tc>
      </w:tr>
      <w:tr w:rsidR="00CF0E2D" w:rsidRPr="006F5650" w14:paraId="6997A13B" w14:textId="77777777" w:rsidTr="00A60D4B">
        <w:trPr>
          <w:cantSplit/>
          <w:jc w:val="center"/>
        </w:trPr>
        <w:tc>
          <w:tcPr>
            <w:tcW w:w="3652" w:type="dxa"/>
            <w:tcBorders>
              <w:bottom w:val="single" w:sz="4" w:space="0" w:color="auto"/>
            </w:tcBorders>
          </w:tcPr>
          <w:p w14:paraId="04A297EE" w14:textId="77777777" w:rsidR="00CF0E2D" w:rsidRPr="006F5650" w:rsidRDefault="00CF0E2D" w:rsidP="00A60D4B">
            <w:pPr>
              <w:pStyle w:val="InitTextL"/>
              <w:ind w:left="321" w:hanging="321"/>
            </w:pPr>
            <w:r w:rsidRPr="006F5650">
              <w:t xml:space="preserve">Offset </w:t>
            </w:r>
            <w:r>
              <w:t>–</w:t>
            </w:r>
            <w:r w:rsidRPr="006F5650">
              <w:t xml:space="preserve"> Expenses</w:t>
            </w:r>
          </w:p>
        </w:tc>
        <w:tc>
          <w:tcPr>
            <w:tcW w:w="1179" w:type="dxa"/>
            <w:tcBorders>
              <w:bottom w:val="single" w:sz="4" w:space="0" w:color="auto"/>
            </w:tcBorders>
          </w:tcPr>
          <w:p w14:paraId="6CAB2A66" w14:textId="77777777" w:rsidR="00CF0E2D" w:rsidRPr="006F5650" w:rsidRDefault="00CF0E2D" w:rsidP="00A60D4B">
            <w:pPr>
              <w:pStyle w:val="InitFigR"/>
            </w:pPr>
            <w:r>
              <w:t>-249</w:t>
            </w:r>
          </w:p>
        </w:tc>
        <w:tc>
          <w:tcPr>
            <w:tcW w:w="1041" w:type="dxa"/>
            <w:tcBorders>
              <w:bottom w:val="single" w:sz="4" w:space="0" w:color="auto"/>
            </w:tcBorders>
          </w:tcPr>
          <w:p w14:paraId="7D8679F2" w14:textId="77777777" w:rsidR="00CF0E2D" w:rsidRPr="006F5650" w:rsidRDefault="00CF0E2D" w:rsidP="00A60D4B">
            <w:pPr>
              <w:pStyle w:val="InitFigR"/>
            </w:pPr>
            <w:r>
              <w:t>0</w:t>
            </w:r>
          </w:p>
        </w:tc>
        <w:tc>
          <w:tcPr>
            <w:tcW w:w="1029" w:type="dxa"/>
            <w:tcBorders>
              <w:bottom w:val="single" w:sz="4" w:space="0" w:color="auto"/>
            </w:tcBorders>
          </w:tcPr>
          <w:p w14:paraId="2B013286" w14:textId="77777777" w:rsidR="00CF0E2D" w:rsidRPr="006F5650" w:rsidRDefault="00CF0E2D" w:rsidP="00A60D4B">
            <w:pPr>
              <w:pStyle w:val="InitFigR"/>
            </w:pPr>
            <w:r>
              <w:t>0</w:t>
            </w:r>
          </w:p>
        </w:tc>
        <w:tc>
          <w:tcPr>
            <w:tcW w:w="1029" w:type="dxa"/>
            <w:tcBorders>
              <w:bottom w:val="single" w:sz="4" w:space="0" w:color="auto"/>
            </w:tcBorders>
          </w:tcPr>
          <w:p w14:paraId="67FC1106" w14:textId="77777777" w:rsidR="00CF0E2D" w:rsidRPr="006F5650" w:rsidRDefault="00CF0E2D" w:rsidP="00A60D4B">
            <w:pPr>
              <w:pStyle w:val="InitFigR"/>
            </w:pPr>
            <w:r>
              <w:t>0</w:t>
            </w:r>
          </w:p>
        </w:tc>
        <w:tc>
          <w:tcPr>
            <w:tcW w:w="1029" w:type="dxa"/>
            <w:tcBorders>
              <w:bottom w:val="single" w:sz="4" w:space="0" w:color="auto"/>
            </w:tcBorders>
          </w:tcPr>
          <w:p w14:paraId="4C2604EC" w14:textId="77777777" w:rsidR="00CF0E2D" w:rsidRPr="006F5650" w:rsidRDefault="00CF0E2D" w:rsidP="00A60D4B">
            <w:pPr>
              <w:pStyle w:val="InitFigBR"/>
              <w:rPr>
                <w:bCs/>
              </w:rPr>
            </w:pPr>
            <w:r w:rsidRPr="006F5650">
              <w:rPr>
                <w:bCs/>
              </w:rPr>
              <w:t>-</w:t>
            </w:r>
            <w:r>
              <w:rPr>
                <w:bCs/>
              </w:rPr>
              <w:t>249</w:t>
            </w:r>
          </w:p>
        </w:tc>
      </w:tr>
      <w:tr w:rsidR="00CF0E2D" w:rsidRPr="00750793" w14:paraId="128E113B" w14:textId="77777777" w:rsidTr="00A60D4B">
        <w:trPr>
          <w:cantSplit/>
          <w:jc w:val="center"/>
        </w:trPr>
        <w:tc>
          <w:tcPr>
            <w:tcW w:w="3652" w:type="dxa"/>
            <w:tcBorders>
              <w:top w:val="single" w:sz="4" w:space="0" w:color="auto"/>
              <w:bottom w:val="single" w:sz="4" w:space="0" w:color="auto"/>
            </w:tcBorders>
          </w:tcPr>
          <w:p w14:paraId="791149EB" w14:textId="77777777" w:rsidR="00CF0E2D" w:rsidRDefault="00CF0E2D" w:rsidP="00A60D4B">
            <w:pPr>
              <w:pStyle w:val="InitTextL"/>
              <w:ind w:left="321" w:hanging="321"/>
            </w:pPr>
            <w:r>
              <w:rPr>
                <w:b/>
                <w:bCs/>
              </w:rPr>
              <w:t>Net cost of services</w:t>
            </w:r>
          </w:p>
        </w:tc>
        <w:tc>
          <w:tcPr>
            <w:tcW w:w="1179" w:type="dxa"/>
            <w:tcBorders>
              <w:top w:val="single" w:sz="4" w:space="0" w:color="auto"/>
              <w:bottom w:val="single" w:sz="4" w:space="0" w:color="auto"/>
            </w:tcBorders>
          </w:tcPr>
          <w:p w14:paraId="274DB562" w14:textId="77777777" w:rsidR="00CF0E2D" w:rsidRDefault="00CF0E2D" w:rsidP="00A60D4B">
            <w:pPr>
              <w:pStyle w:val="InitFigR"/>
            </w:pPr>
            <w:r>
              <w:rPr>
                <w:b/>
                <w:bCs/>
              </w:rPr>
              <w:t>0</w:t>
            </w:r>
          </w:p>
        </w:tc>
        <w:tc>
          <w:tcPr>
            <w:tcW w:w="1041" w:type="dxa"/>
            <w:tcBorders>
              <w:top w:val="single" w:sz="4" w:space="0" w:color="auto"/>
              <w:bottom w:val="single" w:sz="4" w:space="0" w:color="auto"/>
            </w:tcBorders>
          </w:tcPr>
          <w:p w14:paraId="6B343190" w14:textId="77777777" w:rsidR="00CF0E2D" w:rsidRDefault="00CF0E2D" w:rsidP="00A60D4B">
            <w:pPr>
              <w:pStyle w:val="InitFigR"/>
            </w:pPr>
            <w:r>
              <w:rPr>
                <w:b/>
                <w:bCs/>
              </w:rPr>
              <w:t>0</w:t>
            </w:r>
          </w:p>
        </w:tc>
        <w:tc>
          <w:tcPr>
            <w:tcW w:w="1029" w:type="dxa"/>
            <w:tcBorders>
              <w:top w:val="single" w:sz="4" w:space="0" w:color="auto"/>
              <w:bottom w:val="single" w:sz="4" w:space="0" w:color="auto"/>
            </w:tcBorders>
          </w:tcPr>
          <w:p w14:paraId="4C5E4DA9" w14:textId="77777777" w:rsidR="00CF0E2D" w:rsidRDefault="00CF0E2D" w:rsidP="00A60D4B">
            <w:pPr>
              <w:pStyle w:val="InitFigR"/>
            </w:pPr>
            <w:r>
              <w:rPr>
                <w:b/>
                <w:bCs/>
              </w:rPr>
              <w:t>0</w:t>
            </w:r>
          </w:p>
        </w:tc>
        <w:tc>
          <w:tcPr>
            <w:tcW w:w="1029" w:type="dxa"/>
            <w:tcBorders>
              <w:top w:val="single" w:sz="4" w:space="0" w:color="auto"/>
              <w:bottom w:val="single" w:sz="4" w:space="0" w:color="auto"/>
            </w:tcBorders>
          </w:tcPr>
          <w:p w14:paraId="58D6190C" w14:textId="77777777" w:rsidR="00CF0E2D" w:rsidRDefault="00CF0E2D" w:rsidP="00A60D4B">
            <w:pPr>
              <w:pStyle w:val="InitFigR"/>
            </w:pPr>
            <w:r>
              <w:rPr>
                <w:b/>
                <w:bCs/>
              </w:rPr>
              <w:t>0</w:t>
            </w:r>
          </w:p>
        </w:tc>
        <w:tc>
          <w:tcPr>
            <w:tcW w:w="1029" w:type="dxa"/>
            <w:tcBorders>
              <w:top w:val="single" w:sz="4" w:space="0" w:color="auto"/>
              <w:bottom w:val="single" w:sz="4" w:space="0" w:color="auto"/>
            </w:tcBorders>
          </w:tcPr>
          <w:p w14:paraId="288BB43B" w14:textId="77777777" w:rsidR="00CF0E2D" w:rsidRDefault="00CF0E2D" w:rsidP="00A60D4B">
            <w:pPr>
              <w:pStyle w:val="InitFigBR"/>
            </w:pPr>
            <w:r>
              <w:rPr>
                <w:bCs/>
              </w:rPr>
              <w:t>0</w:t>
            </w:r>
          </w:p>
        </w:tc>
      </w:tr>
    </w:tbl>
    <w:p w14:paraId="6F37B715" w14:textId="77777777" w:rsidR="00CF0E2D" w:rsidRDefault="00CF0E2D" w:rsidP="00A60D4B">
      <w:pPr>
        <w:pStyle w:val="Bbodytext"/>
      </w:pPr>
      <w:r w:rsidRPr="004C581D">
        <w:t>The Government will</w:t>
      </w:r>
      <w:r>
        <w:t xml:space="preserve"> increase capacity for the Family Violence Safety Action Pilot to respond to high-risk situations of domestic and family violence by sharing information to identify, assess and manage risk. The Pilot also provides case management, case coordination and support for individuals and families. </w:t>
      </w:r>
    </w:p>
    <w:p w14:paraId="477798BD" w14:textId="77777777" w:rsidR="00CF0E2D" w:rsidRDefault="00CF0E2D" w:rsidP="00A60D4B">
      <w:pPr>
        <w:pStyle w:val="Bbodytext"/>
      </w:pPr>
      <w:r>
        <w:t xml:space="preserve">This initiative will be funded by the Safer Families Levy and through the Commonwealth </w:t>
      </w:r>
      <w:r w:rsidRPr="00B45967">
        <w:t xml:space="preserve">National Partnership on </w:t>
      </w:r>
      <w:r w:rsidRPr="00B45967">
        <w:rPr>
          <w:i/>
          <w:iCs/>
        </w:rPr>
        <w:t>COVID-19 Domestic and Family Violence Responses</w:t>
      </w:r>
      <w:r>
        <w:t xml:space="preserve"> until June 2022.</w:t>
      </w:r>
    </w:p>
    <w:p w14:paraId="522B6B18" w14:textId="77777777" w:rsidR="00CF0E2D" w:rsidRDefault="00CF0E2D" w:rsidP="00A60D4B">
      <w:pPr>
        <w:pStyle w:val="Bbodytext"/>
      </w:pPr>
      <w:r>
        <w:t xml:space="preserve">This initiative contributes to the wellbeing domain of Safety. </w:t>
      </w:r>
    </w:p>
    <w:p w14:paraId="66B848CA" w14:textId="77777777" w:rsidR="00CF0E2D" w:rsidRDefault="00CF0E2D" w:rsidP="00A60D4B">
      <w:pPr>
        <w:pStyle w:val="Bbodytext"/>
      </w:pPr>
    </w:p>
    <w:p w14:paraId="46CD5BC1" w14:textId="77777777" w:rsidR="00CF0E2D" w:rsidRPr="001B24F2" w:rsidRDefault="00CF0E2D" w:rsidP="00A60D4B">
      <w:pPr>
        <w:pStyle w:val="Heading4"/>
        <w:rPr>
          <w:rFonts w:eastAsia="Times New Roman" w:cs="Times New Roman"/>
          <w:bCs/>
          <w:szCs w:val="26"/>
        </w:rPr>
      </w:pPr>
      <w:r w:rsidRPr="00F2171A">
        <w:rPr>
          <w:rFonts w:eastAsia="Times New Roman"/>
        </w:rPr>
        <w:t xml:space="preserve">Safer Families Levy </w:t>
      </w:r>
      <w:r>
        <w:rPr>
          <w:rFonts w:eastAsia="Times New Roman" w:cs="Times New Roman"/>
          <w:bCs/>
          <w:szCs w:val="26"/>
        </w:rPr>
        <w:t>–</w:t>
      </w:r>
      <w:r w:rsidRPr="00F2171A">
        <w:rPr>
          <w:rFonts w:eastAsia="Times New Roman" w:cs="Times New Roman"/>
          <w:bCs/>
          <w:szCs w:val="26"/>
        </w:rPr>
        <w:t xml:space="preserve"> </w:t>
      </w:r>
      <w:r>
        <w:rPr>
          <w:rFonts w:eastAsia="Times New Roman" w:cs="Times New Roman"/>
          <w:bCs/>
          <w:szCs w:val="26"/>
        </w:rPr>
        <w:t>F</w:t>
      </w:r>
      <w:r w:rsidRPr="001B24F2">
        <w:rPr>
          <w:rFonts w:eastAsia="Times New Roman" w:cs="Times New Roman"/>
          <w:bCs/>
          <w:szCs w:val="26"/>
        </w:rPr>
        <w:t xml:space="preserve">rontline domestic violence and rape crisis services </w:t>
      </w:r>
      <w:r>
        <w:rPr>
          <w:b w:val="0"/>
          <w:noProof/>
          <w:color w:val="999789"/>
          <w:sz w:val="32"/>
          <w:szCs w:val="24"/>
        </w:rPr>
        <w:drawing>
          <wp:anchor distT="0" distB="0" distL="114300" distR="114300" simplePos="0" relativeHeight="251788288" behindDoc="0" locked="1" layoutInCell="1" allowOverlap="1" wp14:anchorId="0162A9B8" wp14:editId="4115B702">
            <wp:simplePos x="0" y="0"/>
            <wp:positionH relativeFrom="margin">
              <wp:align>right</wp:align>
            </wp:positionH>
            <wp:positionV relativeFrom="paragraph">
              <wp:posOffset>85090</wp:posOffset>
            </wp:positionV>
            <wp:extent cx="989965" cy="503555"/>
            <wp:effectExtent l="0" t="0" r="635" b="0"/>
            <wp:wrapSquare wrapText="bothSides"/>
            <wp:docPr id="102" name="Picture 102"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7D6608AC" w14:textId="77777777" w:rsidTr="00A60D4B">
        <w:trPr>
          <w:cantSplit/>
          <w:jc w:val="center"/>
        </w:trPr>
        <w:tc>
          <w:tcPr>
            <w:tcW w:w="3652" w:type="dxa"/>
            <w:tcBorders>
              <w:top w:val="single" w:sz="4" w:space="0" w:color="auto"/>
              <w:bottom w:val="single" w:sz="4" w:space="0" w:color="auto"/>
            </w:tcBorders>
          </w:tcPr>
          <w:p w14:paraId="4F45C3F1" w14:textId="77777777" w:rsidR="00CF0E2D" w:rsidRPr="00BD450A" w:rsidRDefault="00CF0E2D" w:rsidP="00A60D4B">
            <w:pPr>
              <w:pStyle w:val="EmptyCell0"/>
              <w:keepNext/>
              <w:keepLines/>
              <w:rPr>
                <w:sz w:val="24"/>
                <w:szCs w:val="24"/>
              </w:rPr>
            </w:pPr>
            <w:r w:rsidRPr="00BD450A">
              <w:rPr>
                <w:sz w:val="24"/>
                <w:szCs w:val="24"/>
              </w:rPr>
              <w:t>Empty Cell</w:t>
            </w:r>
          </w:p>
        </w:tc>
        <w:tc>
          <w:tcPr>
            <w:tcW w:w="1179" w:type="dxa"/>
            <w:tcBorders>
              <w:top w:val="single" w:sz="4" w:space="0" w:color="auto"/>
              <w:bottom w:val="single" w:sz="4" w:space="0" w:color="auto"/>
            </w:tcBorders>
          </w:tcPr>
          <w:p w14:paraId="427AE3AB" w14:textId="77777777" w:rsidR="00CF0E2D" w:rsidRPr="00BD450A" w:rsidRDefault="00CF0E2D" w:rsidP="00A60D4B">
            <w:pPr>
              <w:pStyle w:val="InitFigR"/>
              <w:keepNext/>
              <w:keepLines/>
              <w:rPr>
                <w:b/>
                <w:szCs w:val="24"/>
              </w:rPr>
            </w:pPr>
            <w:r w:rsidRPr="00BD450A">
              <w:rPr>
                <w:b/>
                <w:szCs w:val="24"/>
              </w:rPr>
              <w:t>2021-22</w:t>
            </w:r>
          </w:p>
          <w:p w14:paraId="7F7CFF45" w14:textId="77777777" w:rsidR="00CF0E2D" w:rsidRPr="00BD450A" w:rsidRDefault="00CF0E2D" w:rsidP="00A60D4B">
            <w:pPr>
              <w:pStyle w:val="InitFigR"/>
              <w:keepNext/>
              <w:keepLines/>
              <w:rPr>
                <w:b/>
                <w:szCs w:val="24"/>
              </w:rPr>
            </w:pPr>
            <w:r w:rsidRPr="00BD450A">
              <w:rPr>
                <w:b/>
                <w:szCs w:val="24"/>
              </w:rPr>
              <w:t>$’000</w:t>
            </w:r>
          </w:p>
        </w:tc>
        <w:tc>
          <w:tcPr>
            <w:tcW w:w="1041" w:type="dxa"/>
            <w:tcBorders>
              <w:top w:val="single" w:sz="4" w:space="0" w:color="auto"/>
              <w:bottom w:val="single" w:sz="4" w:space="0" w:color="auto"/>
            </w:tcBorders>
          </w:tcPr>
          <w:p w14:paraId="7959E656" w14:textId="77777777" w:rsidR="00CF0E2D" w:rsidRPr="00BD450A" w:rsidRDefault="00CF0E2D" w:rsidP="00A60D4B">
            <w:pPr>
              <w:pStyle w:val="InitFigR"/>
              <w:keepNext/>
              <w:keepLines/>
              <w:rPr>
                <w:b/>
                <w:szCs w:val="24"/>
              </w:rPr>
            </w:pPr>
            <w:r w:rsidRPr="00BD450A">
              <w:rPr>
                <w:b/>
                <w:szCs w:val="24"/>
              </w:rPr>
              <w:t>2022-23</w:t>
            </w:r>
          </w:p>
          <w:p w14:paraId="08E65D38" w14:textId="77777777" w:rsidR="00CF0E2D" w:rsidRPr="00BD450A" w:rsidRDefault="00CF0E2D" w:rsidP="00A60D4B">
            <w:pPr>
              <w:pStyle w:val="InitFigR"/>
              <w:keepNext/>
              <w:keepLines/>
              <w:rPr>
                <w:b/>
                <w:szCs w:val="24"/>
              </w:rPr>
            </w:pPr>
            <w:r w:rsidRPr="00BD450A">
              <w:rPr>
                <w:b/>
                <w:szCs w:val="24"/>
              </w:rPr>
              <w:t>$’000</w:t>
            </w:r>
          </w:p>
        </w:tc>
        <w:tc>
          <w:tcPr>
            <w:tcW w:w="1029" w:type="dxa"/>
            <w:tcBorders>
              <w:top w:val="single" w:sz="4" w:space="0" w:color="auto"/>
              <w:bottom w:val="single" w:sz="4" w:space="0" w:color="auto"/>
            </w:tcBorders>
          </w:tcPr>
          <w:p w14:paraId="0892D715" w14:textId="77777777" w:rsidR="00CF0E2D" w:rsidRPr="00BD450A" w:rsidRDefault="00CF0E2D" w:rsidP="00A60D4B">
            <w:pPr>
              <w:pStyle w:val="InitFigR"/>
              <w:keepNext/>
              <w:keepLines/>
              <w:rPr>
                <w:b/>
                <w:szCs w:val="24"/>
              </w:rPr>
            </w:pPr>
            <w:r w:rsidRPr="00BD450A">
              <w:rPr>
                <w:b/>
                <w:szCs w:val="24"/>
              </w:rPr>
              <w:t>2023-24</w:t>
            </w:r>
          </w:p>
          <w:p w14:paraId="0451FAC7" w14:textId="77777777" w:rsidR="00CF0E2D" w:rsidRPr="00BD450A" w:rsidRDefault="00CF0E2D" w:rsidP="00A60D4B">
            <w:pPr>
              <w:pStyle w:val="InitFigR"/>
              <w:keepNext/>
              <w:keepLines/>
              <w:rPr>
                <w:b/>
                <w:szCs w:val="24"/>
              </w:rPr>
            </w:pPr>
            <w:r w:rsidRPr="00BD450A">
              <w:rPr>
                <w:b/>
                <w:szCs w:val="24"/>
              </w:rPr>
              <w:t>$’000</w:t>
            </w:r>
          </w:p>
        </w:tc>
        <w:tc>
          <w:tcPr>
            <w:tcW w:w="1029" w:type="dxa"/>
            <w:tcBorders>
              <w:top w:val="single" w:sz="4" w:space="0" w:color="auto"/>
              <w:bottom w:val="single" w:sz="4" w:space="0" w:color="auto"/>
            </w:tcBorders>
          </w:tcPr>
          <w:p w14:paraId="580E55F8" w14:textId="77777777" w:rsidR="00CF0E2D" w:rsidRPr="00BD450A" w:rsidRDefault="00CF0E2D" w:rsidP="00A60D4B">
            <w:pPr>
              <w:pStyle w:val="InitFigR"/>
              <w:keepNext/>
              <w:keepLines/>
              <w:rPr>
                <w:b/>
                <w:szCs w:val="24"/>
              </w:rPr>
            </w:pPr>
            <w:r w:rsidRPr="00BD450A">
              <w:rPr>
                <w:b/>
                <w:szCs w:val="24"/>
              </w:rPr>
              <w:t>2024-25</w:t>
            </w:r>
          </w:p>
          <w:p w14:paraId="3904F558" w14:textId="77777777" w:rsidR="00CF0E2D" w:rsidRPr="00BD450A" w:rsidRDefault="00CF0E2D" w:rsidP="00A60D4B">
            <w:pPr>
              <w:pStyle w:val="InitFigR"/>
              <w:keepNext/>
              <w:keepLines/>
              <w:rPr>
                <w:b/>
                <w:szCs w:val="24"/>
              </w:rPr>
            </w:pPr>
            <w:r w:rsidRPr="00BD450A">
              <w:rPr>
                <w:b/>
                <w:szCs w:val="24"/>
              </w:rPr>
              <w:t>$’000</w:t>
            </w:r>
          </w:p>
        </w:tc>
        <w:tc>
          <w:tcPr>
            <w:tcW w:w="1029" w:type="dxa"/>
            <w:tcBorders>
              <w:top w:val="single" w:sz="4" w:space="0" w:color="auto"/>
              <w:bottom w:val="single" w:sz="4" w:space="0" w:color="auto"/>
            </w:tcBorders>
          </w:tcPr>
          <w:p w14:paraId="0E44FA2D" w14:textId="77777777" w:rsidR="00CF0E2D" w:rsidRPr="00BD450A" w:rsidRDefault="00CF0E2D" w:rsidP="00A60D4B">
            <w:pPr>
              <w:pStyle w:val="InitFigRBold"/>
              <w:keepNext/>
              <w:keepLines/>
              <w:rPr>
                <w:szCs w:val="24"/>
              </w:rPr>
            </w:pPr>
            <w:r w:rsidRPr="00BD450A">
              <w:rPr>
                <w:szCs w:val="24"/>
              </w:rPr>
              <w:t>Total</w:t>
            </w:r>
          </w:p>
          <w:p w14:paraId="073E5596" w14:textId="77777777" w:rsidR="00CF0E2D" w:rsidRPr="00BD450A" w:rsidRDefault="00CF0E2D" w:rsidP="00A60D4B">
            <w:pPr>
              <w:pStyle w:val="InitFigBR"/>
              <w:keepNext/>
              <w:keepLines/>
              <w:rPr>
                <w:szCs w:val="24"/>
              </w:rPr>
            </w:pPr>
            <w:r w:rsidRPr="00BD450A">
              <w:rPr>
                <w:szCs w:val="24"/>
              </w:rPr>
              <w:t>$’000</w:t>
            </w:r>
          </w:p>
        </w:tc>
      </w:tr>
      <w:tr w:rsidR="00CF0E2D" w:rsidRPr="00750793" w14:paraId="4C2E586D" w14:textId="77777777" w:rsidTr="00A60D4B">
        <w:trPr>
          <w:cantSplit/>
          <w:jc w:val="center"/>
        </w:trPr>
        <w:tc>
          <w:tcPr>
            <w:tcW w:w="3652" w:type="dxa"/>
            <w:tcBorders>
              <w:top w:val="single" w:sz="4" w:space="0" w:color="auto"/>
            </w:tcBorders>
          </w:tcPr>
          <w:p w14:paraId="4E679CA1" w14:textId="77777777" w:rsidR="00CF0E2D" w:rsidRPr="00BD450A" w:rsidRDefault="00CF0E2D" w:rsidP="00A60D4B">
            <w:pPr>
              <w:pStyle w:val="InitTextL"/>
              <w:keepNext/>
              <w:keepLines/>
              <w:ind w:left="321" w:hanging="321"/>
              <w:rPr>
                <w:szCs w:val="24"/>
              </w:rPr>
            </w:pPr>
            <w:r w:rsidRPr="00BD450A">
              <w:rPr>
                <w:szCs w:val="24"/>
              </w:rPr>
              <w:t>Expenses</w:t>
            </w:r>
          </w:p>
        </w:tc>
        <w:tc>
          <w:tcPr>
            <w:tcW w:w="1179" w:type="dxa"/>
            <w:tcBorders>
              <w:top w:val="single" w:sz="4" w:space="0" w:color="auto"/>
            </w:tcBorders>
          </w:tcPr>
          <w:p w14:paraId="77F0A6EC" w14:textId="77777777" w:rsidR="00CF0E2D" w:rsidRPr="00194D20" w:rsidRDefault="00CF0E2D" w:rsidP="00A60D4B">
            <w:pPr>
              <w:pStyle w:val="InitFigR"/>
              <w:keepNext/>
              <w:keepLines/>
              <w:rPr>
                <w:szCs w:val="24"/>
              </w:rPr>
            </w:pPr>
            <w:r w:rsidRPr="00BD450A">
              <w:rPr>
                <w:szCs w:val="24"/>
              </w:rPr>
              <w:t>759</w:t>
            </w:r>
          </w:p>
        </w:tc>
        <w:tc>
          <w:tcPr>
            <w:tcW w:w="1041" w:type="dxa"/>
            <w:tcBorders>
              <w:top w:val="single" w:sz="4" w:space="0" w:color="auto"/>
            </w:tcBorders>
          </w:tcPr>
          <w:p w14:paraId="6640B527" w14:textId="77777777" w:rsidR="00CF0E2D" w:rsidRPr="0087104A" w:rsidRDefault="00CF0E2D" w:rsidP="00A60D4B">
            <w:pPr>
              <w:pStyle w:val="InitFigR"/>
              <w:keepNext/>
              <w:keepLines/>
              <w:rPr>
                <w:szCs w:val="24"/>
              </w:rPr>
            </w:pPr>
            <w:r w:rsidRPr="0087104A">
              <w:rPr>
                <w:szCs w:val="24"/>
              </w:rPr>
              <w:t>458</w:t>
            </w:r>
          </w:p>
        </w:tc>
        <w:tc>
          <w:tcPr>
            <w:tcW w:w="1029" w:type="dxa"/>
            <w:tcBorders>
              <w:top w:val="single" w:sz="4" w:space="0" w:color="auto"/>
            </w:tcBorders>
          </w:tcPr>
          <w:p w14:paraId="5B72781A" w14:textId="77777777" w:rsidR="00CF0E2D" w:rsidRPr="0087104A" w:rsidRDefault="00CF0E2D" w:rsidP="00A60D4B">
            <w:pPr>
              <w:pStyle w:val="InitFigR"/>
              <w:keepNext/>
              <w:keepLines/>
              <w:rPr>
                <w:szCs w:val="24"/>
              </w:rPr>
            </w:pPr>
            <w:r w:rsidRPr="0087104A">
              <w:rPr>
                <w:szCs w:val="24"/>
              </w:rPr>
              <w:t>465</w:t>
            </w:r>
          </w:p>
        </w:tc>
        <w:tc>
          <w:tcPr>
            <w:tcW w:w="1029" w:type="dxa"/>
            <w:tcBorders>
              <w:top w:val="single" w:sz="4" w:space="0" w:color="auto"/>
            </w:tcBorders>
          </w:tcPr>
          <w:p w14:paraId="51765C9A" w14:textId="77777777" w:rsidR="00CF0E2D" w:rsidRPr="00180114" w:rsidRDefault="00CF0E2D" w:rsidP="00A60D4B">
            <w:pPr>
              <w:pStyle w:val="InitFigR"/>
              <w:keepNext/>
              <w:keepLines/>
              <w:rPr>
                <w:szCs w:val="24"/>
              </w:rPr>
            </w:pPr>
            <w:r w:rsidRPr="00486A29">
              <w:rPr>
                <w:szCs w:val="24"/>
              </w:rPr>
              <w:t>476</w:t>
            </w:r>
          </w:p>
        </w:tc>
        <w:tc>
          <w:tcPr>
            <w:tcW w:w="1029" w:type="dxa"/>
            <w:tcBorders>
              <w:top w:val="single" w:sz="4" w:space="0" w:color="auto"/>
            </w:tcBorders>
          </w:tcPr>
          <w:p w14:paraId="44CB7402" w14:textId="77777777" w:rsidR="00CF0E2D" w:rsidRPr="00846B61" w:rsidRDefault="00CF0E2D" w:rsidP="00A60D4B">
            <w:pPr>
              <w:pStyle w:val="InitFigBR"/>
              <w:keepNext/>
              <w:keepLines/>
              <w:rPr>
                <w:szCs w:val="24"/>
              </w:rPr>
            </w:pPr>
            <w:r w:rsidRPr="00846B61">
              <w:rPr>
                <w:szCs w:val="24"/>
              </w:rPr>
              <w:t>2,158</w:t>
            </w:r>
          </w:p>
        </w:tc>
      </w:tr>
      <w:tr w:rsidR="00CF0E2D" w:rsidRPr="00750793" w14:paraId="25DF5147" w14:textId="77777777" w:rsidTr="00A60D4B">
        <w:trPr>
          <w:cantSplit/>
          <w:jc w:val="center"/>
        </w:trPr>
        <w:tc>
          <w:tcPr>
            <w:tcW w:w="3652" w:type="dxa"/>
          </w:tcPr>
          <w:p w14:paraId="2903366D" w14:textId="77777777" w:rsidR="00CF0E2D" w:rsidRPr="00BD450A" w:rsidRDefault="00CF0E2D" w:rsidP="00A60D4B">
            <w:pPr>
              <w:pStyle w:val="InitTextL"/>
              <w:keepNext/>
              <w:keepLines/>
              <w:ind w:left="321" w:hanging="321"/>
              <w:rPr>
                <w:szCs w:val="24"/>
              </w:rPr>
            </w:pPr>
            <w:r w:rsidRPr="00BD450A">
              <w:rPr>
                <w:szCs w:val="24"/>
              </w:rPr>
              <w:t>Offset – Expenses – Provision</w:t>
            </w:r>
          </w:p>
        </w:tc>
        <w:tc>
          <w:tcPr>
            <w:tcW w:w="1179" w:type="dxa"/>
          </w:tcPr>
          <w:p w14:paraId="7B4BAB7E" w14:textId="77777777" w:rsidR="00CF0E2D" w:rsidRPr="00194D20" w:rsidRDefault="00CF0E2D" w:rsidP="00A60D4B">
            <w:pPr>
              <w:pStyle w:val="InitFigR"/>
              <w:keepNext/>
              <w:keepLines/>
              <w:rPr>
                <w:szCs w:val="24"/>
              </w:rPr>
            </w:pPr>
            <w:r w:rsidRPr="00BD450A">
              <w:rPr>
                <w:szCs w:val="24"/>
              </w:rPr>
              <w:t>-420</w:t>
            </w:r>
          </w:p>
        </w:tc>
        <w:tc>
          <w:tcPr>
            <w:tcW w:w="1041" w:type="dxa"/>
          </w:tcPr>
          <w:p w14:paraId="20FEEDF2" w14:textId="77777777" w:rsidR="00CF0E2D" w:rsidRPr="0087104A" w:rsidRDefault="00CF0E2D" w:rsidP="00A60D4B">
            <w:pPr>
              <w:pStyle w:val="InitFigR"/>
              <w:keepNext/>
              <w:keepLines/>
              <w:rPr>
                <w:szCs w:val="24"/>
              </w:rPr>
            </w:pPr>
            <w:r w:rsidRPr="0087104A">
              <w:rPr>
                <w:szCs w:val="24"/>
              </w:rPr>
              <w:t>-420</w:t>
            </w:r>
          </w:p>
        </w:tc>
        <w:tc>
          <w:tcPr>
            <w:tcW w:w="1029" w:type="dxa"/>
          </w:tcPr>
          <w:p w14:paraId="6EFB296A" w14:textId="77777777" w:rsidR="00CF0E2D" w:rsidRPr="0087104A" w:rsidRDefault="00CF0E2D" w:rsidP="00A60D4B">
            <w:pPr>
              <w:pStyle w:val="InitFigR"/>
              <w:keepNext/>
              <w:keepLines/>
              <w:rPr>
                <w:szCs w:val="24"/>
              </w:rPr>
            </w:pPr>
            <w:r w:rsidRPr="0087104A">
              <w:rPr>
                <w:szCs w:val="24"/>
              </w:rPr>
              <w:t>-420</w:t>
            </w:r>
          </w:p>
        </w:tc>
        <w:tc>
          <w:tcPr>
            <w:tcW w:w="1029" w:type="dxa"/>
          </w:tcPr>
          <w:p w14:paraId="3470B2CE" w14:textId="77777777" w:rsidR="00CF0E2D" w:rsidRPr="00180114" w:rsidRDefault="00CF0E2D" w:rsidP="00A60D4B">
            <w:pPr>
              <w:pStyle w:val="InitFigR"/>
              <w:keepNext/>
              <w:keepLines/>
              <w:rPr>
                <w:szCs w:val="24"/>
              </w:rPr>
            </w:pPr>
            <w:r w:rsidRPr="00486A29">
              <w:rPr>
                <w:szCs w:val="24"/>
              </w:rPr>
              <w:t>-420</w:t>
            </w:r>
          </w:p>
        </w:tc>
        <w:tc>
          <w:tcPr>
            <w:tcW w:w="1029" w:type="dxa"/>
          </w:tcPr>
          <w:p w14:paraId="628866DF" w14:textId="77777777" w:rsidR="00CF0E2D" w:rsidRPr="00846B61" w:rsidRDefault="00CF0E2D" w:rsidP="00A60D4B">
            <w:pPr>
              <w:pStyle w:val="InitFigBR"/>
              <w:keepNext/>
              <w:keepLines/>
              <w:rPr>
                <w:szCs w:val="24"/>
              </w:rPr>
            </w:pPr>
            <w:r w:rsidRPr="00846B61">
              <w:rPr>
                <w:szCs w:val="24"/>
              </w:rPr>
              <w:t>-1,680</w:t>
            </w:r>
          </w:p>
        </w:tc>
      </w:tr>
      <w:tr w:rsidR="00CF0E2D" w:rsidRPr="006F5650" w14:paraId="030E3E28" w14:textId="77777777" w:rsidTr="00A60D4B">
        <w:trPr>
          <w:cantSplit/>
          <w:jc w:val="center"/>
        </w:trPr>
        <w:tc>
          <w:tcPr>
            <w:tcW w:w="3652" w:type="dxa"/>
            <w:tcBorders>
              <w:bottom w:val="single" w:sz="4" w:space="0" w:color="auto"/>
            </w:tcBorders>
          </w:tcPr>
          <w:p w14:paraId="033DE996" w14:textId="77777777" w:rsidR="00CF0E2D" w:rsidRPr="00BD450A" w:rsidRDefault="00CF0E2D" w:rsidP="00A60D4B">
            <w:pPr>
              <w:pStyle w:val="InitTextL"/>
              <w:keepNext/>
              <w:keepLines/>
              <w:ind w:left="321" w:hanging="321"/>
              <w:rPr>
                <w:szCs w:val="24"/>
              </w:rPr>
            </w:pPr>
            <w:bookmarkStart w:id="42" w:name="_Hlk78277382"/>
            <w:r w:rsidRPr="00BD450A">
              <w:rPr>
                <w:szCs w:val="24"/>
              </w:rPr>
              <w:t>Offset – Expenses</w:t>
            </w:r>
          </w:p>
        </w:tc>
        <w:tc>
          <w:tcPr>
            <w:tcW w:w="1179" w:type="dxa"/>
            <w:tcBorders>
              <w:bottom w:val="single" w:sz="4" w:space="0" w:color="auto"/>
            </w:tcBorders>
          </w:tcPr>
          <w:p w14:paraId="7936DC55" w14:textId="77777777" w:rsidR="00CF0E2D" w:rsidRPr="00194D20" w:rsidRDefault="00CF0E2D" w:rsidP="00A60D4B">
            <w:pPr>
              <w:pStyle w:val="InitFigR"/>
              <w:keepNext/>
              <w:keepLines/>
              <w:rPr>
                <w:szCs w:val="24"/>
              </w:rPr>
            </w:pPr>
            <w:r w:rsidRPr="00BD450A">
              <w:rPr>
                <w:szCs w:val="24"/>
              </w:rPr>
              <w:t>-339</w:t>
            </w:r>
          </w:p>
        </w:tc>
        <w:tc>
          <w:tcPr>
            <w:tcW w:w="1041" w:type="dxa"/>
            <w:tcBorders>
              <w:bottom w:val="single" w:sz="4" w:space="0" w:color="auto"/>
            </w:tcBorders>
          </w:tcPr>
          <w:p w14:paraId="48AF959A" w14:textId="77777777" w:rsidR="00CF0E2D" w:rsidRPr="0087104A" w:rsidRDefault="00CF0E2D" w:rsidP="00A60D4B">
            <w:pPr>
              <w:pStyle w:val="InitFigR"/>
              <w:keepNext/>
              <w:keepLines/>
              <w:rPr>
                <w:szCs w:val="24"/>
              </w:rPr>
            </w:pPr>
            <w:r w:rsidRPr="0087104A">
              <w:rPr>
                <w:szCs w:val="24"/>
              </w:rPr>
              <w:t>-38</w:t>
            </w:r>
          </w:p>
        </w:tc>
        <w:tc>
          <w:tcPr>
            <w:tcW w:w="1029" w:type="dxa"/>
            <w:tcBorders>
              <w:bottom w:val="single" w:sz="4" w:space="0" w:color="auto"/>
            </w:tcBorders>
          </w:tcPr>
          <w:p w14:paraId="130B14EE" w14:textId="77777777" w:rsidR="00CF0E2D" w:rsidRPr="0087104A" w:rsidRDefault="00CF0E2D" w:rsidP="00A60D4B">
            <w:pPr>
              <w:pStyle w:val="InitFigR"/>
              <w:keepNext/>
              <w:keepLines/>
              <w:rPr>
                <w:szCs w:val="24"/>
              </w:rPr>
            </w:pPr>
            <w:r w:rsidRPr="0087104A">
              <w:rPr>
                <w:szCs w:val="24"/>
              </w:rPr>
              <w:t>-45</w:t>
            </w:r>
          </w:p>
        </w:tc>
        <w:tc>
          <w:tcPr>
            <w:tcW w:w="1029" w:type="dxa"/>
            <w:tcBorders>
              <w:bottom w:val="single" w:sz="4" w:space="0" w:color="auto"/>
            </w:tcBorders>
          </w:tcPr>
          <w:p w14:paraId="2B2EBC17" w14:textId="77777777" w:rsidR="00CF0E2D" w:rsidRPr="00180114" w:rsidRDefault="00CF0E2D" w:rsidP="00A60D4B">
            <w:pPr>
              <w:pStyle w:val="InitFigR"/>
              <w:keepNext/>
              <w:keepLines/>
              <w:rPr>
                <w:szCs w:val="24"/>
              </w:rPr>
            </w:pPr>
            <w:r w:rsidRPr="00486A29">
              <w:rPr>
                <w:szCs w:val="24"/>
              </w:rPr>
              <w:t>-56</w:t>
            </w:r>
          </w:p>
        </w:tc>
        <w:tc>
          <w:tcPr>
            <w:tcW w:w="1029" w:type="dxa"/>
            <w:tcBorders>
              <w:bottom w:val="single" w:sz="4" w:space="0" w:color="auto"/>
            </w:tcBorders>
          </w:tcPr>
          <w:p w14:paraId="3AF278BA" w14:textId="77777777" w:rsidR="00CF0E2D" w:rsidRPr="00846B61" w:rsidRDefault="00CF0E2D" w:rsidP="00A60D4B">
            <w:pPr>
              <w:pStyle w:val="InitFigBR"/>
              <w:keepNext/>
              <w:keepLines/>
              <w:rPr>
                <w:szCs w:val="24"/>
              </w:rPr>
            </w:pPr>
            <w:r w:rsidRPr="00846B61">
              <w:rPr>
                <w:szCs w:val="24"/>
              </w:rPr>
              <w:t>-478</w:t>
            </w:r>
          </w:p>
        </w:tc>
      </w:tr>
      <w:tr w:rsidR="00CF0E2D" w:rsidRPr="00750793" w14:paraId="22E1EF11" w14:textId="77777777" w:rsidTr="00A60D4B">
        <w:trPr>
          <w:cantSplit/>
          <w:jc w:val="center"/>
        </w:trPr>
        <w:tc>
          <w:tcPr>
            <w:tcW w:w="3652" w:type="dxa"/>
            <w:tcBorders>
              <w:top w:val="single" w:sz="4" w:space="0" w:color="auto"/>
              <w:bottom w:val="single" w:sz="4" w:space="0" w:color="auto"/>
            </w:tcBorders>
          </w:tcPr>
          <w:p w14:paraId="54733C0D" w14:textId="77777777" w:rsidR="00CF0E2D" w:rsidRPr="00BD450A" w:rsidRDefault="00CF0E2D" w:rsidP="00A60D4B">
            <w:pPr>
              <w:pStyle w:val="InitTextL"/>
              <w:keepNext/>
              <w:keepLines/>
              <w:ind w:left="321" w:hanging="321"/>
              <w:rPr>
                <w:szCs w:val="24"/>
              </w:rPr>
            </w:pPr>
            <w:r w:rsidRPr="00BD450A">
              <w:rPr>
                <w:b/>
                <w:szCs w:val="24"/>
              </w:rPr>
              <w:t>Net cost of services</w:t>
            </w:r>
          </w:p>
        </w:tc>
        <w:tc>
          <w:tcPr>
            <w:tcW w:w="1179" w:type="dxa"/>
            <w:tcBorders>
              <w:top w:val="single" w:sz="4" w:space="0" w:color="auto"/>
              <w:bottom w:val="single" w:sz="4" w:space="0" w:color="auto"/>
            </w:tcBorders>
          </w:tcPr>
          <w:p w14:paraId="63D3AF6A" w14:textId="77777777" w:rsidR="00CF0E2D" w:rsidRPr="00194D20" w:rsidRDefault="00CF0E2D" w:rsidP="00A60D4B">
            <w:pPr>
              <w:pStyle w:val="InitFigR"/>
              <w:keepNext/>
              <w:keepLines/>
              <w:rPr>
                <w:szCs w:val="24"/>
              </w:rPr>
            </w:pPr>
            <w:r w:rsidRPr="00BD450A">
              <w:rPr>
                <w:b/>
                <w:szCs w:val="24"/>
              </w:rPr>
              <w:t>0</w:t>
            </w:r>
          </w:p>
        </w:tc>
        <w:tc>
          <w:tcPr>
            <w:tcW w:w="1041" w:type="dxa"/>
            <w:tcBorders>
              <w:top w:val="single" w:sz="4" w:space="0" w:color="auto"/>
              <w:bottom w:val="single" w:sz="4" w:space="0" w:color="auto"/>
            </w:tcBorders>
          </w:tcPr>
          <w:p w14:paraId="4AFD6D8B" w14:textId="77777777" w:rsidR="00CF0E2D" w:rsidRPr="0087104A" w:rsidRDefault="00CF0E2D" w:rsidP="00A60D4B">
            <w:pPr>
              <w:pStyle w:val="InitFigR"/>
              <w:keepNext/>
              <w:keepLines/>
              <w:rPr>
                <w:szCs w:val="24"/>
              </w:rPr>
            </w:pPr>
            <w:r w:rsidRPr="0087104A">
              <w:rPr>
                <w:b/>
                <w:szCs w:val="24"/>
              </w:rPr>
              <w:t>0</w:t>
            </w:r>
          </w:p>
        </w:tc>
        <w:tc>
          <w:tcPr>
            <w:tcW w:w="1029" w:type="dxa"/>
            <w:tcBorders>
              <w:top w:val="single" w:sz="4" w:space="0" w:color="auto"/>
              <w:bottom w:val="single" w:sz="4" w:space="0" w:color="auto"/>
            </w:tcBorders>
          </w:tcPr>
          <w:p w14:paraId="776046E2" w14:textId="77777777" w:rsidR="00CF0E2D" w:rsidRPr="0087104A" w:rsidRDefault="00CF0E2D" w:rsidP="00A60D4B">
            <w:pPr>
              <w:pStyle w:val="InitFigR"/>
              <w:keepNext/>
              <w:keepLines/>
              <w:rPr>
                <w:szCs w:val="24"/>
              </w:rPr>
            </w:pPr>
            <w:r w:rsidRPr="0087104A">
              <w:rPr>
                <w:b/>
                <w:szCs w:val="24"/>
              </w:rPr>
              <w:t>0</w:t>
            </w:r>
          </w:p>
        </w:tc>
        <w:tc>
          <w:tcPr>
            <w:tcW w:w="1029" w:type="dxa"/>
            <w:tcBorders>
              <w:top w:val="single" w:sz="4" w:space="0" w:color="auto"/>
              <w:bottom w:val="single" w:sz="4" w:space="0" w:color="auto"/>
            </w:tcBorders>
          </w:tcPr>
          <w:p w14:paraId="438C40B1" w14:textId="77777777" w:rsidR="00CF0E2D" w:rsidRPr="00180114" w:rsidRDefault="00CF0E2D" w:rsidP="00A60D4B">
            <w:pPr>
              <w:pStyle w:val="InitFigR"/>
              <w:keepNext/>
              <w:keepLines/>
              <w:rPr>
                <w:szCs w:val="24"/>
              </w:rPr>
            </w:pPr>
            <w:r w:rsidRPr="00486A29">
              <w:rPr>
                <w:b/>
                <w:szCs w:val="24"/>
              </w:rPr>
              <w:t>0</w:t>
            </w:r>
          </w:p>
        </w:tc>
        <w:tc>
          <w:tcPr>
            <w:tcW w:w="1029" w:type="dxa"/>
            <w:tcBorders>
              <w:top w:val="single" w:sz="4" w:space="0" w:color="auto"/>
              <w:bottom w:val="single" w:sz="4" w:space="0" w:color="auto"/>
            </w:tcBorders>
          </w:tcPr>
          <w:p w14:paraId="769A920D" w14:textId="77777777" w:rsidR="00CF0E2D" w:rsidRPr="00846B61" w:rsidRDefault="00CF0E2D" w:rsidP="00A60D4B">
            <w:pPr>
              <w:pStyle w:val="InitFigBR"/>
              <w:keepNext/>
              <w:keepLines/>
              <w:rPr>
                <w:szCs w:val="24"/>
              </w:rPr>
            </w:pPr>
            <w:r w:rsidRPr="00846B61">
              <w:rPr>
                <w:szCs w:val="24"/>
              </w:rPr>
              <w:t>0</w:t>
            </w:r>
          </w:p>
        </w:tc>
      </w:tr>
    </w:tbl>
    <w:bookmarkEnd w:id="42"/>
    <w:p w14:paraId="509D19D8" w14:textId="77777777" w:rsidR="00CF0E2D" w:rsidRPr="001B24F2" w:rsidRDefault="00CF0E2D" w:rsidP="00A60D4B">
      <w:pPr>
        <w:pStyle w:val="Bbodytext"/>
        <w:rPr>
          <w:rFonts w:ascii="Calibri" w:eastAsia="Times New Roman" w:hAnsi="Calibri" w:cs="Times New Roman"/>
          <w:szCs w:val="20"/>
        </w:rPr>
      </w:pPr>
      <w:r w:rsidRPr="001B24F2">
        <w:t>The Government</w:t>
      </w:r>
      <w:r w:rsidRPr="001B24F2">
        <w:rPr>
          <w:rFonts w:ascii="Calibri" w:eastAsia="Times New Roman" w:hAnsi="Calibri" w:cs="Times New Roman"/>
          <w:szCs w:val="20"/>
        </w:rPr>
        <w:t xml:space="preserve"> will provide ongoing funding for the Canberra Rape Crisis Centre (CRCC) and the Domestic Violence Crisis </w:t>
      </w:r>
      <w:r>
        <w:rPr>
          <w:rFonts w:ascii="Calibri" w:eastAsia="Times New Roman" w:hAnsi="Calibri" w:cs="Times New Roman"/>
          <w:szCs w:val="20"/>
        </w:rPr>
        <w:t>Service</w:t>
      </w:r>
      <w:r w:rsidRPr="001B24F2">
        <w:rPr>
          <w:rFonts w:ascii="Calibri" w:eastAsia="Times New Roman" w:hAnsi="Calibri" w:cs="Times New Roman"/>
          <w:szCs w:val="20"/>
        </w:rPr>
        <w:t xml:space="preserve"> (DVC</w:t>
      </w:r>
      <w:r>
        <w:rPr>
          <w:rFonts w:ascii="Calibri" w:eastAsia="Times New Roman" w:hAnsi="Calibri" w:cs="Times New Roman"/>
          <w:szCs w:val="20"/>
        </w:rPr>
        <w:t>S</w:t>
      </w:r>
      <w:r w:rsidRPr="001B24F2">
        <w:rPr>
          <w:rFonts w:ascii="Calibri" w:eastAsia="Times New Roman" w:hAnsi="Calibri" w:cs="Times New Roman"/>
          <w:szCs w:val="20"/>
        </w:rPr>
        <w:t>) and provide additional support in 2021</w:t>
      </w:r>
      <w:r w:rsidRPr="001B24F2">
        <w:rPr>
          <w:rFonts w:ascii="Calibri" w:eastAsia="Times New Roman" w:hAnsi="Calibri" w:cs="Times New Roman"/>
          <w:szCs w:val="20"/>
        </w:rPr>
        <w:noBreakHyphen/>
        <w:t>22 reflecting the increase in demand as a result of COVID-19.</w:t>
      </w:r>
      <w:bookmarkStart w:id="43" w:name="_Hlk78280621"/>
    </w:p>
    <w:bookmarkEnd w:id="43"/>
    <w:p w14:paraId="35F555ED" w14:textId="77777777" w:rsidR="00CF0E2D" w:rsidRPr="001B24F2" w:rsidRDefault="00CF0E2D" w:rsidP="00A60D4B">
      <w:pPr>
        <w:pStyle w:val="Bbodytext"/>
        <w:rPr>
          <w:rFonts w:ascii="Calibri" w:eastAsia="Times New Roman" w:hAnsi="Calibri" w:cs="Times New Roman"/>
          <w:szCs w:val="20"/>
        </w:rPr>
      </w:pPr>
      <w:r w:rsidRPr="001B24F2">
        <w:t>This initiative will be funded by the Safer Families Levy</w:t>
      </w:r>
      <w:r w:rsidRPr="001B24F2" w:rsidDel="00726E08">
        <w:rPr>
          <w:rFonts w:ascii="Calibri" w:eastAsia="Times New Roman" w:hAnsi="Calibri" w:cs="Times New Roman"/>
          <w:szCs w:val="20"/>
        </w:rPr>
        <w:t xml:space="preserve"> </w:t>
      </w:r>
      <w:r w:rsidRPr="001B24F2">
        <w:rPr>
          <w:rFonts w:ascii="Calibri" w:eastAsia="Times New Roman" w:hAnsi="Calibri" w:cs="Times New Roman"/>
          <w:szCs w:val="20"/>
        </w:rPr>
        <w:t xml:space="preserve">and continues the support for frontline domestic violence and rape crisis services and </w:t>
      </w:r>
      <w:r>
        <w:rPr>
          <w:rFonts w:ascii="Calibri" w:eastAsia="Times New Roman" w:hAnsi="Calibri" w:cs="Times New Roman"/>
          <w:szCs w:val="20"/>
        </w:rPr>
        <w:t>the S</w:t>
      </w:r>
      <w:r w:rsidRPr="001B24F2">
        <w:rPr>
          <w:rFonts w:ascii="Calibri" w:eastAsia="Times New Roman" w:hAnsi="Calibri" w:cs="Times New Roman"/>
          <w:szCs w:val="20"/>
        </w:rPr>
        <w:t xml:space="preserve">afer </w:t>
      </w:r>
      <w:r>
        <w:rPr>
          <w:rFonts w:ascii="Calibri" w:eastAsia="Times New Roman" w:hAnsi="Calibri" w:cs="Times New Roman"/>
          <w:szCs w:val="20"/>
        </w:rPr>
        <w:t>F</w:t>
      </w:r>
      <w:r w:rsidRPr="001B24F2">
        <w:rPr>
          <w:rFonts w:ascii="Calibri" w:eastAsia="Times New Roman" w:hAnsi="Calibri" w:cs="Times New Roman"/>
          <w:szCs w:val="20"/>
        </w:rPr>
        <w:t xml:space="preserve">amilies </w:t>
      </w:r>
      <w:r>
        <w:rPr>
          <w:rFonts w:ascii="Calibri" w:eastAsia="Times New Roman" w:hAnsi="Calibri" w:cs="Times New Roman"/>
          <w:szCs w:val="20"/>
        </w:rPr>
        <w:t>C</w:t>
      </w:r>
      <w:r w:rsidRPr="001B24F2">
        <w:rPr>
          <w:rFonts w:ascii="Calibri" w:eastAsia="Times New Roman" w:hAnsi="Calibri" w:cs="Times New Roman"/>
          <w:szCs w:val="20"/>
        </w:rPr>
        <w:t xml:space="preserve">ollaboration </w:t>
      </w:r>
      <w:r>
        <w:rPr>
          <w:rFonts w:ascii="Calibri" w:eastAsia="Times New Roman" w:hAnsi="Calibri" w:cs="Times New Roman"/>
          <w:szCs w:val="20"/>
        </w:rPr>
        <w:t xml:space="preserve">program </w:t>
      </w:r>
      <w:r w:rsidRPr="001B24F2">
        <w:rPr>
          <w:rFonts w:ascii="Calibri" w:eastAsia="Times New Roman" w:hAnsi="Calibri" w:cs="Times New Roman"/>
          <w:szCs w:val="20"/>
        </w:rPr>
        <w:t>provided in the 2020-21 Budget.</w:t>
      </w:r>
    </w:p>
    <w:p w14:paraId="1FEE3280" w14:textId="77777777" w:rsidR="00CF0E2D" w:rsidRDefault="00CF0E2D" w:rsidP="00A60D4B">
      <w:pPr>
        <w:pStyle w:val="Bbodytext"/>
        <w:rPr>
          <w:rFonts w:ascii="Calibri" w:eastAsia="Times New Roman" w:hAnsi="Calibri" w:cs="Times New Roman"/>
          <w:szCs w:val="20"/>
        </w:rPr>
      </w:pPr>
      <w:r w:rsidRPr="001B24F2">
        <w:t>This initiative</w:t>
      </w:r>
      <w:r w:rsidRPr="001B24F2">
        <w:rPr>
          <w:rFonts w:ascii="Calibri" w:eastAsia="Times New Roman" w:hAnsi="Calibri" w:cs="Times New Roman"/>
          <w:szCs w:val="20"/>
        </w:rPr>
        <w:t xml:space="preserve"> contributes to the wellbeing domain of Safety.</w:t>
      </w:r>
    </w:p>
    <w:p w14:paraId="10142455" w14:textId="77777777" w:rsidR="00CF0E2D" w:rsidRDefault="00CF0E2D">
      <w:pPr>
        <w:rPr>
          <w:rFonts w:ascii="Calibri" w:eastAsia="Times New Roman" w:hAnsi="Calibri" w:cs="Times New Roman"/>
          <w:sz w:val="24"/>
          <w:szCs w:val="20"/>
        </w:rPr>
      </w:pPr>
      <w:r>
        <w:rPr>
          <w:rFonts w:ascii="Calibri" w:eastAsia="Times New Roman" w:hAnsi="Calibri" w:cs="Times New Roman"/>
          <w:szCs w:val="20"/>
        </w:rPr>
        <w:br w:type="page"/>
      </w:r>
    </w:p>
    <w:p w14:paraId="6FC27D75" w14:textId="77777777" w:rsidR="00CF0E2D" w:rsidRPr="00E40E13" w:rsidRDefault="00CF0E2D" w:rsidP="00A60D4B">
      <w:pPr>
        <w:pStyle w:val="Heading4"/>
        <w:keepNext w:val="0"/>
        <w:keepLines w:val="0"/>
        <w:rPr>
          <w:rFonts w:eastAsia="Times New Roman" w:cs="Times New Roman"/>
          <w:bCs/>
          <w:szCs w:val="26"/>
        </w:rPr>
      </w:pPr>
      <w:r w:rsidRPr="00F2171A">
        <w:rPr>
          <w:rFonts w:eastAsia="Times New Roman"/>
        </w:rPr>
        <w:lastRenderedPageBreak/>
        <w:t xml:space="preserve">Safer Families Levy </w:t>
      </w:r>
      <w:r>
        <w:rPr>
          <w:rFonts w:eastAsia="Times New Roman" w:cs="Times New Roman"/>
          <w:szCs w:val="26"/>
        </w:rPr>
        <w:t>–</w:t>
      </w:r>
      <w:r w:rsidRPr="00F2171A">
        <w:rPr>
          <w:rFonts w:eastAsia="Times New Roman" w:cs="Times New Roman"/>
          <w:szCs w:val="26"/>
        </w:rPr>
        <w:t xml:space="preserve"> </w:t>
      </w:r>
      <w:r w:rsidRPr="00E40E13">
        <w:rPr>
          <w:rFonts w:eastAsia="Times New Roman" w:cs="Times New Roman"/>
          <w:szCs w:val="26"/>
        </w:rPr>
        <w:t xml:space="preserve">Private </w:t>
      </w:r>
      <w:r>
        <w:rPr>
          <w:rFonts w:eastAsia="Times New Roman" w:cs="Times New Roman"/>
          <w:szCs w:val="26"/>
        </w:rPr>
        <w:t>r</w:t>
      </w:r>
      <w:r w:rsidRPr="00E40E13">
        <w:rPr>
          <w:rFonts w:eastAsia="Times New Roman" w:cs="Times New Roman"/>
          <w:szCs w:val="26"/>
        </w:rPr>
        <w:t xml:space="preserve">ental </w:t>
      </w:r>
      <w:r>
        <w:rPr>
          <w:rFonts w:eastAsia="Times New Roman" w:cs="Times New Roman"/>
          <w:szCs w:val="26"/>
        </w:rPr>
        <w:t>a</w:t>
      </w:r>
      <w:r w:rsidRPr="00E40E13">
        <w:rPr>
          <w:rFonts w:eastAsia="Times New Roman" w:cs="Times New Roman"/>
          <w:szCs w:val="26"/>
        </w:rPr>
        <w:t xml:space="preserve">ssistance for </w:t>
      </w:r>
      <w:r>
        <w:rPr>
          <w:rFonts w:eastAsia="Times New Roman" w:cs="Times New Roman"/>
          <w:szCs w:val="26"/>
        </w:rPr>
        <w:t>p</w:t>
      </w:r>
      <w:r w:rsidRPr="00E40E13">
        <w:rPr>
          <w:rFonts w:eastAsia="Times New Roman" w:cs="Times New Roman"/>
          <w:szCs w:val="26"/>
        </w:rPr>
        <w:t xml:space="preserve">eople </w:t>
      </w:r>
      <w:r>
        <w:rPr>
          <w:rFonts w:eastAsia="Times New Roman" w:cs="Times New Roman"/>
          <w:szCs w:val="26"/>
        </w:rPr>
        <w:t>e</w:t>
      </w:r>
      <w:r w:rsidRPr="00E40E13">
        <w:rPr>
          <w:rFonts w:eastAsia="Times New Roman" w:cs="Times New Roman"/>
          <w:szCs w:val="26"/>
        </w:rPr>
        <w:t xml:space="preserve">xperiencing </w:t>
      </w:r>
      <w:r>
        <w:rPr>
          <w:rFonts w:eastAsia="Times New Roman" w:cs="Times New Roman"/>
          <w:szCs w:val="26"/>
        </w:rPr>
        <w:t>d</w:t>
      </w:r>
      <w:r w:rsidRPr="00E40E13">
        <w:rPr>
          <w:rFonts w:eastAsia="Times New Roman" w:cs="Times New Roman"/>
          <w:szCs w:val="26"/>
        </w:rPr>
        <w:t xml:space="preserve">omestic </w:t>
      </w:r>
      <w:r>
        <w:rPr>
          <w:rFonts w:eastAsia="Times New Roman" w:cs="Times New Roman"/>
          <w:szCs w:val="26"/>
        </w:rPr>
        <w:t>v</w:t>
      </w:r>
      <w:r w:rsidRPr="00E40E13">
        <w:rPr>
          <w:rFonts w:eastAsia="Times New Roman" w:cs="Times New Roman"/>
          <w:szCs w:val="26"/>
        </w:rPr>
        <w:t xml:space="preserve">iolence </w:t>
      </w:r>
      <w:r>
        <w:rPr>
          <w:b w:val="0"/>
          <w:noProof/>
          <w:color w:val="999789"/>
          <w:sz w:val="32"/>
          <w:szCs w:val="24"/>
        </w:rPr>
        <w:drawing>
          <wp:anchor distT="0" distB="0" distL="114300" distR="114300" simplePos="0" relativeHeight="251794432" behindDoc="0" locked="1" layoutInCell="1" allowOverlap="1" wp14:anchorId="791AA649" wp14:editId="0E6A2CAB">
            <wp:simplePos x="0" y="0"/>
            <wp:positionH relativeFrom="margin">
              <wp:posOffset>4628515</wp:posOffset>
            </wp:positionH>
            <wp:positionV relativeFrom="paragraph">
              <wp:posOffset>57150</wp:posOffset>
            </wp:positionV>
            <wp:extent cx="1104900" cy="503555"/>
            <wp:effectExtent l="0" t="0" r="0" b="0"/>
            <wp:wrapSquare wrapText="bothSides"/>
            <wp:docPr id="109" name="Picture 109" descr="Icon representing the wellbeing domain of Housing and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Icon representing the wellbeing domain of Housing and ho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10490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6873B6E5" w14:textId="77777777" w:rsidTr="00A60D4B">
        <w:trPr>
          <w:cantSplit/>
          <w:jc w:val="center"/>
        </w:trPr>
        <w:tc>
          <w:tcPr>
            <w:tcW w:w="3652" w:type="dxa"/>
            <w:tcBorders>
              <w:top w:val="single" w:sz="4" w:space="0" w:color="auto"/>
              <w:bottom w:val="single" w:sz="4" w:space="0" w:color="auto"/>
            </w:tcBorders>
          </w:tcPr>
          <w:p w14:paraId="1353F4A2"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16DC9989" w14:textId="77777777" w:rsidR="00CF0E2D" w:rsidRPr="00297081" w:rsidRDefault="00CF0E2D" w:rsidP="00A60D4B">
            <w:pPr>
              <w:pStyle w:val="InitFigR"/>
              <w:rPr>
                <w:b/>
                <w:bCs/>
              </w:rPr>
            </w:pPr>
            <w:r w:rsidRPr="00297081">
              <w:rPr>
                <w:b/>
                <w:bCs/>
              </w:rPr>
              <w:t>2021-22</w:t>
            </w:r>
          </w:p>
          <w:p w14:paraId="27FAD677" w14:textId="77777777" w:rsidR="00CF0E2D" w:rsidRPr="00297081" w:rsidRDefault="00CF0E2D" w:rsidP="00A60D4B">
            <w:pPr>
              <w:pStyle w:val="InitFigR"/>
              <w:rPr>
                <w:b/>
                <w:bCs/>
              </w:rPr>
            </w:pPr>
            <w:r w:rsidRPr="00297081">
              <w:rPr>
                <w:b/>
                <w:bCs/>
              </w:rPr>
              <w:t>$’000</w:t>
            </w:r>
          </w:p>
        </w:tc>
        <w:tc>
          <w:tcPr>
            <w:tcW w:w="1041" w:type="dxa"/>
            <w:tcBorders>
              <w:top w:val="single" w:sz="4" w:space="0" w:color="auto"/>
              <w:bottom w:val="single" w:sz="4" w:space="0" w:color="auto"/>
            </w:tcBorders>
          </w:tcPr>
          <w:p w14:paraId="5D0267D3" w14:textId="77777777" w:rsidR="00CF0E2D" w:rsidRPr="00297081" w:rsidRDefault="00CF0E2D" w:rsidP="00A60D4B">
            <w:pPr>
              <w:pStyle w:val="InitFigR"/>
              <w:rPr>
                <w:b/>
                <w:bCs/>
              </w:rPr>
            </w:pPr>
            <w:r w:rsidRPr="00297081">
              <w:rPr>
                <w:b/>
                <w:bCs/>
              </w:rPr>
              <w:t>2022-23</w:t>
            </w:r>
          </w:p>
          <w:p w14:paraId="4055E644" w14:textId="77777777" w:rsidR="00CF0E2D" w:rsidRPr="00297081" w:rsidRDefault="00CF0E2D" w:rsidP="00A60D4B">
            <w:pPr>
              <w:pStyle w:val="InitFigR"/>
              <w:rPr>
                <w:b/>
                <w:bCs/>
              </w:rPr>
            </w:pPr>
            <w:r w:rsidRPr="00297081">
              <w:rPr>
                <w:b/>
                <w:bCs/>
              </w:rPr>
              <w:t>$’000</w:t>
            </w:r>
          </w:p>
        </w:tc>
        <w:tc>
          <w:tcPr>
            <w:tcW w:w="1029" w:type="dxa"/>
            <w:tcBorders>
              <w:top w:val="single" w:sz="4" w:space="0" w:color="auto"/>
              <w:bottom w:val="single" w:sz="4" w:space="0" w:color="auto"/>
            </w:tcBorders>
          </w:tcPr>
          <w:p w14:paraId="3A6F85A9" w14:textId="77777777" w:rsidR="00CF0E2D" w:rsidRPr="00297081" w:rsidRDefault="00CF0E2D" w:rsidP="00A60D4B">
            <w:pPr>
              <w:pStyle w:val="InitFigR"/>
              <w:rPr>
                <w:b/>
                <w:bCs/>
              </w:rPr>
            </w:pPr>
            <w:r w:rsidRPr="00297081">
              <w:rPr>
                <w:b/>
                <w:bCs/>
              </w:rPr>
              <w:t>2023-24</w:t>
            </w:r>
          </w:p>
          <w:p w14:paraId="63677EC2" w14:textId="77777777" w:rsidR="00CF0E2D" w:rsidRPr="00297081" w:rsidRDefault="00CF0E2D" w:rsidP="00A60D4B">
            <w:pPr>
              <w:pStyle w:val="InitFigR"/>
              <w:rPr>
                <w:b/>
                <w:bCs/>
              </w:rPr>
            </w:pPr>
            <w:r w:rsidRPr="00297081">
              <w:rPr>
                <w:b/>
                <w:bCs/>
              </w:rPr>
              <w:t>$’000</w:t>
            </w:r>
          </w:p>
        </w:tc>
        <w:tc>
          <w:tcPr>
            <w:tcW w:w="1029" w:type="dxa"/>
            <w:tcBorders>
              <w:top w:val="single" w:sz="4" w:space="0" w:color="auto"/>
              <w:bottom w:val="single" w:sz="4" w:space="0" w:color="auto"/>
            </w:tcBorders>
          </w:tcPr>
          <w:p w14:paraId="1476B491" w14:textId="77777777" w:rsidR="00CF0E2D" w:rsidRPr="00297081" w:rsidRDefault="00CF0E2D" w:rsidP="00A60D4B">
            <w:pPr>
              <w:pStyle w:val="InitFigR"/>
              <w:rPr>
                <w:b/>
                <w:bCs/>
              </w:rPr>
            </w:pPr>
            <w:r w:rsidRPr="00297081">
              <w:rPr>
                <w:b/>
                <w:bCs/>
              </w:rPr>
              <w:t>2024-25</w:t>
            </w:r>
          </w:p>
          <w:p w14:paraId="28F9DB38" w14:textId="77777777" w:rsidR="00CF0E2D" w:rsidRPr="00297081" w:rsidRDefault="00CF0E2D" w:rsidP="00A60D4B">
            <w:pPr>
              <w:pStyle w:val="InitFigR"/>
              <w:rPr>
                <w:b/>
                <w:bCs/>
              </w:rPr>
            </w:pPr>
            <w:r w:rsidRPr="00297081">
              <w:rPr>
                <w:b/>
                <w:bCs/>
              </w:rPr>
              <w:t>$’000</w:t>
            </w:r>
          </w:p>
        </w:tc>
        <w:tc>
          <w:tcPr>
            <w:tcW w:w="1029" w:type="dxa"/>
            <w:tcBorders>
              <w:top w:val="single" w:sz="4" w:space="0" w:color="auto"/>
              <w:bottom w:val="single" w:sz="4" w:space="0" w:color="auto"/>
            </w:tcBorders>
          </w:tcPr>
          <w:p w14:paraId="145BC432" w14:textId="77777777" w:rsidR="00CF0E2D" w:rsidRPr="004E341E" w:rsidRDefault="00CF0E2D" w:rsidP="00A60D4B">
            <w:pPr>
              <w:pStyle w:val="InitFigRBold"/>
            </w:pPr>
            <w:r w:rsidRPr="004E341E">
              <w:t>Total</w:t>
            </w:r>
          </w:p>
          <w:p w14:paraId="1F826544" w14:textId="77777777" w:rsidR="00CF0E2D" w:rsidRPr="004E341E" w:rsidRDefault="00CF0E2D" w:rsidP="00A60D4B">
            <w:pPr>
              <w:pStyle w:val="InitFigBR"/>
            </w:pPr>
            <w:r w:rsidRPr="004E341E">
              <w:t>$’000</w:t>
            </w:r>
          </w:p>
        </w:tc>
      </w:tr>
      <w:tr w:rsidR="00CF0E2D" w:rsidRPr="00750793" w14:paraId="7D029393" w14:textId="77777777" w:rsidTr="00A60D4B">
        <w:trPr>
          <w:cantSplit/>
          <w:jc w:val="center"/>
        </w:trPr>
        <w:tc>
          <w:tcPr>
            <w:tcW w:w="3652" w:type="dxa"/>
          </w:tcPr>
          <w:p w14:paraId="3A3C5D30" w14:textId="77777777" w:rsidR="00CF0E2D" w:rsidRPr="00F13FAB" w:rsidRDefault="00CF0E2D" w:rsidP="00A60D4B">
            <w:pPr>
              <w:pStyle w:val="InitTextL"/>
              <w:ind w:left="321" w:hanging="321"/>
            </w:pPr>
            <w:r w:rsidRPr="00882BE2">
              <w:t>Expenses</w:t>
            </w:r>
            <w:r>
              <w:t xml:space="preserve"> – Community Services Directorate</w:t>
            </w:r>
          </w:p>
        </w:tc>
        <w:tc>
          <w:tcPr>
            <w:tcW w:w="1179" w:type="dxa"/>
          </w:tcPr>
          <w:p w14:paraId="38CFC6CA" w14:textId="77777777" w:rsidR="00CF0E2D" w:rsidRPr="00424DA4" w:rsidRDefault="00CF0E2D" w:rsidP="00A60D4B">
            <w:pPr>
              <w:pStyle w:val="InitFigR"/>
            </w:pPr>
            <w:r>
              <w:t>158</w:t>
            </w:r>
          </w:p>
        </w:tc>
        <w:tc>
          <w:tcPr>
            <w:tcW w:w="1041" w:type="dxa"/>
          </w:tcPr>
          <w:p w14:paraId="160A10BF" w14:textId="77777777" w:rsidR="00CF0E2D" w:rsidRPr="00424DA4" w:rsidRDefault="00CF0E2D" w:rsidP="00A60D4B">
            <w:pPr>
              <w:pStyle w:val="InitFigR"/>
            </w:pPr>
            <w:r>
              <w:t>160</w:t>
            </w:r>
          </w:p>
        </w:tc>
        <w:tc>
          <w:tcPr>
            <w:tcW w:w="1029" w:type="dxa"/>
          </w:tcPr>
          <w:p w14:paraId="1B312F4E" w14:textId="77777777" w:rsidR="00CF0E2D" w:rsidRPr="00424DA4" w:rsidRDefault="00CF0E2D" w:rsidP="00A60D4B">
            <w:pPr>
              <w:pStyle w:val="InitFigR"/>
            </w:pPr>
            <w:r>
              <w:t>0</w:t>
            </w:r>
          </w:p>
        </w:tc>
        <w:tc>
          <w:tcPr>
            <w:tcW w:w="1029" w:type="dxa"/>
          </w:tcPr>
          <w:p w14:paraId="48F0747D" w14:textId="77777777" w:rsidR="00CF0E2D" w:rsidRPr="00424DA4" w:rsidRDefault="00CF0E2D" w:rsidP="00A60D4B">
            <w:pPr>
              <w:pStyle w:val="InitFigR"/>
            </w:pPr>
            <w:r>
              <w:t>0</w:t>
            </w:r>
          </w:p>
        </w:tc>
        <w:tc>
          <w:tcPr>
            <w:tcW w:w="1029" w:type="dxa"/>
          </w:tcPr>
          <w:p w14:paraId="4BB1BF3E" w14:textId="77777777" w:rsidR="00CF0E2D" w:rsidRPr="00424DA4" w:rsidRDefault="00CF0E2D" w:rsidP="00A60D4B">
            <w:pPr>
              <w:pStyle w:val="InitFigBR"/>
            </w:pPr>
            <w:r>
              <w:t>318</w:t>
            </w:r>
          </w:p>
        </w:tc>
      </w:tr>
      <w:tr w:rsidR="00CF0E2D" w:rsidRPr="00750793" w14:paraId="09CC5869" w14:textId="77777777" w:rsidTr="00A60D4B">
        <w:trPr>
          <w:cantSplit/>
          <w:jc w:val="center"/>
        </w:trPr>
        <w:tc>
          <w:tcPr>
            <w:tcW w:w="3652" w:type="dxa"/>
          </w:tcPr>
          <w:p w14:paraId="66E45760" w14:textId="77777777" w:rsidR="00CF0E2D" w:rsidRPr="00882BE2" w:rsidRDefault="00CF0E2D" w:rsidP="00A60D4B">
            <w:pPr>
              <w:pStyle w:val="InitTextL"/>
              <w:ind w:left="321" w:hanging="321"/>
            </w:pPr>
            <w:r>
              <w:t>Expenses – Housing ACT</w:t>
            </w:r>
          </w:p>
        </w:tc>
        <w:tc>
          <w:tcPr>
            <w:tcW w:w="1179" w:type="dxa"/>
          </w:tcPr>
          <w:p w14:paraId="60F8EA25" w14:textId="77777777" w:rsidR="00CF0E2D" w:rsidRDefault="00CF0E2D" w:rsidP="00A60D4B">
            <w:pPr>
              <w:pStyle w:val="InitFigR"/>
            </w:pPr>
            <w:r>
              <w:t>120</w:t>
            </w:r>
          </w:p>
        </w:tc>
        <w:tc>
          <w:tcPr>
            <w:tcW w:w="1041" w:type="dxa"/>
          </w:tcPr>
          <w:p w14:paraId="483B7957" w14:textId="77777777" w:rsidR="00CF0E2D" w:rsidRDefault="00CF0E2D" w:rsidP="00A60D4B">
            <w:pPr>
              <w:pStyle w:val="InitFigR"/>
            </w:pPr>
            <w:r>
              <w:t>123</w:t>
            </w:r>
          </w:p>
        </w:tc>
        <w:tc>
          <w:tcPr>
            <w:tcW w:w="1029" w:type="dxa"/>
          </w:tcPr>
          <w:p w14:paraId="2CAAC7A9" w14:textId="77777777" w:rsidR="00CF0E2D" w:rsidRDefault="00CF0E2D" w:rsidP="00A60D4B">
            <w:pPr>
              <w:pStyle w:val="InitFigR"/>
            </w:pPr>
            <w:r>
              <w:t>126</w:t>
            </w:r>
          </w:p>
        </w:tc>
        <w:tc>
          <w:tcPr>
            <w:tcW w:w="1029" w:type="dxa"/>
          </w:tcPr>
          <w:p w14:paraId="2EBA7C0E" w14:textId="77777777" w:rsidR="00CF0E2D" w:rsidRDefault="00CF0E2D" w:rsidP="00A60D4B">
            <w:pPr>
              <w:pStyle w:val="InitFigR"/>
            </w:pPr>
            <w:r>
              <w:t>130</w:t>
            </w:r>
          </w:p>
        </w:tc>
        <w:tc>
          <w:tcPr>
            <w:tcW w:w="1029" w:type="dxa"/>
          </w:tcPr>
          <w:p w14:paraId="433600E0" w14:textId="77777777" w:rsidR="00CF0E2D" w:rsidRDefault="00CF0E2D" w:rsidP="00A60D4B">
            <w:pPr>
              <w:pStyle w:val="InitFigBR"/>
            </w:pPr>
            <w:r>
              <w:t>499</w:t>
            </w:r>
          </w:p>
        </w:tc>
      </w:tr>
      <w:tr w:rsidR="00CF0E2D" w:rsidRPr="00750793" w14:paraId="78BAE8BC" w14:textId="77777777" w:rsidTr="00A60D4B">
        <w:trPr>
          <w:cantSplit/>
          <w:trHeight w:val="107"/>
          <w:jc w:val="center"/>
        </w:trPr>
        <w:tc>
          <w:tcPr>
            <w:tcW w:w="3652" w:type="dxa"/>
            <w:tcBorders>
              <w:bottom w:val="single" w:sz="4" w:space="0" w:color="auto"/>
            </w:tcBorders>
          </w:tcPr>
          <w:p w14:paraId="7F686F1C" w14:textId="77777777" w:rsidR="00CF0E2D" w:rsidRDefault="00CF0E2D" w:rsidP="00A60D4B">
            <w:pPr>
              <w:pStyle w:val="InitTextL"/>
              <w:ind w:left="321" w:hanging="321"/>
            </w:pPr>
            <w:r>
              <w:t>Offset – Expenses</w:t>
            </w:r>
          </w:p>
        </w:tc>
        <w:tc>
          <w:tcPr>
            <w:tcW w:w="1179" w:type="dxa"/>
            <w:tcBorders>
              <w:bottom w:val="single" w:sz="4" w:space="0" w:color="auto"/>
            </w:tcBorders>
          </w:tcPr>
          <w:p w14:paraId="647B8380" w14:textId="77777777" w:rsidR="00CF0E2D" w:rsidRPr="00424DA4" w:rsidRDefault="00CF0E2D" w:rsidP="00A60D4B">
            <w:pPr>
              <w:pStyle w:val="InitFigR"/>
            </w:pPr>
            <w:r>
              <w:t>-120</w:t>
            </w:r>
          </w:p>
        </w:tc>
        <w:tc>
          <w:tcPr>
            <w:tcW w:w="1041" w:type="dxa"/>
            <w:tcBorders>
              <w:bottom w:val="single" w:sz="4" w:space="0" w:color="auto"/>
            </w:tcBorders>
          </w:tcPr>
          <w:p w14:paraId="7170A8ED" w14:textId="77777777" w:rsidR="00CF0E2D" w:rsidRPr="00424DA4" w:rsidRDefault="00CF0E2D" w:rsidP="00A60D4B">
            <w:pPr>
              <w:pStyle w:val="InitFigR"/>
            </w:pPr>
            <w:r>
              <w:t>-123</w:t>
            </w:r>
          </w:p>
        </w:tc>
        <w:tc>
          <w:tcPr>
            <w:tcW w:w="1029" w:type="dxa"/>
            <w:tcBorders>
              <w:bottom w:val="single" w:sz="4" w:space="0" w:color="auto"/>
            </w:tcBorders>
          </w:tcPr>
          <w:p w14:paraId="0A0D8DBA" w14:textId="77777777" w:rsidR="00CF0E2D" w:rsidRPr="00424DA4" w:rsidRDefault="00CF0E2D" w:rsidP="00A60D4B">
            <w:pPr>
              <w:pStyle w:val="InitFigR"/>
            </w:pPr>
            <w:r>
              <w:t>-126</w:t>
            </w:r>
          </w:p>
        </w:tc>
        <w:tc>
          <w:tcPr>
            <w:tcW w:w="1029" w:type="dxa"/>
            <w:tcBorders>
              <w:bottom w:val="single" w:sz="4" w:space="0" w:color="auto"/>
            </w:tcBorders>
          </w:tcPr>
          <w:p w14:paraId="4502D556" w14:textId="77777777" w:rsidR="00CF0E2D" w:rsidRPr="00424DA4" w:rsidRDefault="00CF0E2D" w:rsidP="00A60D4B">
            <w:pPr>
              <w:pStyle w:val="InitFigR"/>
            </w:pPr>
            <w:r>
              <w:t>-130</w:t>
            </w:r>
          </w:p>
        </w:tc>
        <w:tc>
          <w:tcPr>
            <w:tcW w:w="1029" w:type="dxa"/>
            <w:tcBorders>
              <w:bottom w:val="single" w:sz="4" w:space="0" w:color="auto"/>
            </w:tcBorders>
          </w:tcPr>
          <w:p w14:paraId="18BF29FF" w14:textId="77777777" w:rsidR="00CF0E2D" w:rsidRPr="00424DA4" w:rsidRDefault="00CF0E2D" w:rsidP="00A60D4B">
            <w:pPr>
              <w:pStyle w:val="InitFigBR"/>
            </w:pPr>
            <w:r>
              <w:t>-499</w:t>
            </w:r>
          </w:p>
        </w:tc>
      </w:tr>
      <w:tr w:rsidR="00CF0E2D" w:rsidRPr="00750793" w14:paraId="6836C1E4" w14:textId="77777777" w:rsidTr="00A60D4B">
        <w:trPr>
          <w:cantSplit/>
          <w:trHeight w:val="107"/>
          <w:jc w:val="center"/>
        </w:trPr>
        <w:tc>
          <w:tcPr>
            <w:tcW w:w="3652" w:type="dxa"/>
            <w:tcBorders>
              <w:top w:val="single" w:sz="4" w:space="0" w:color="auto"/>
              <w:bottom w:val="single" w:sz="4" w:space="0" w:color="auto"/>
            </w:tcBorders>
          </w:tcPr>
          <w:p w14:paraId="357F70FB"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751E0A3F" w14:textId="77777777" w:rsidR="00CF0E2D" w:rsidRPr="00424DA4" w:rsidRDefault="00CF0E2D" w:rsidP="00A60D4B">
            <w:pPr>
              <w:pStyle w:val="InitFigRBold"/>
            </w:pPr>
            <w:r>
              <w:t>158</w:t>
            </w:r>
          </w:p>
        </w:tc>
        <w:tc>
          <w:tcPr>
            <w:tcW w:w="1041" w:type="dxa"/>
            <w:tcBorders>
              <w:top w:val="single" w:sz="4" w:space="0" w:color="auto"/>
              <w:bottom w:val="single" w:sz="4" w:space="0" w:color="auto"/>
            </w:tcBorders>
          </w:tcPr>
          <w:p w14:paraId="1C7C1484" w14:textId="77777777" w:rsidR="00CF0E2D" w:rsidRPr="00424DA4" w:rsidRDefault="00CF0E2D" w:rsidP="00A60D4B">
            <w:pPr>
              <w:pStyle w:val="InitFigRBold"/>
            </w:pPr>
            <w:r>
              <w:t>160</w:t>
            </w:r>
          </w:p>
        </w:tc>
        <w:tc>
          <w:tcPr>
            <w:tcW w:w="1029" w:type="dxa"/>
            <w:tcBorders>
              <w:top w:val="single" w:sz="4" w:space="0" w:color="auto"/>
              <w:bottom w:val="single" w:sz="4" w:space="0" w:color="auto"/>
            </w:tcBorders>
          </w:tcPr>
          <w:p w14:paraId="5F2BC8B8"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2DC02099"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3EAF5AAF" w14:textId="77777777" w:rsidR="00CF0E2D" w:rsidRPr="00424DA4" w:rsidRDefault="00CF0E2D" w:rsidP="00A60D4B">
            <w:pPr>
              <w:pStyle w:val="InitFigRBold"/>
            </w:pPr>
            <w:r>
              <w:t>318</w:t>
            </w:r>
          </w:p>
        </w:tc>
      </w:tr>
    </w:tbl>
    <w:p w14:paraId="17B92B43" w14:textId="77777777" w:rsidR="00CF0E2D" w:rsidRPr="00E40E13" w:rsidRDefault="00CF0E2D" w:rsidP="00A60D4B">
      <w:pPr>
        <w:pStyle w:val="Bbodytext"/>
        <w:rPr>
          <w:rFonts w:ascii="Calibri" w:eastAsia="Times New Roman" w:hAnsi="Calibri" w:cs="Times New Roman"/>
          <w:szCs w:val="20"/>
        </w:rPr>
      </w:pPr>
      <w:r w:rsidRPr="00E40E13">
        <w:t xml:space="preserve">The Government will </w:t>
      </w:r>
      <w:r w:rsidRPr="00E40E13">
        <w:rPr>
          <w:rFonts w:ascii="Calibri" w:eastAsia="Times New Roman" w:hAnsi="Calibri" w:cs="Times New Roman"/>
          <w:szCs w:val="20"/>
        </w:rPr>
        <w:t>increase support for individuals and families experiencing domestic and family violence through the Safer Families Assistance Program. The Government will also fund the development and design of a new assistance program in collaboration with the domestic and family violence and housing and homelessness sectors.</w:t>
      </w:r>
    </w:p>
    <w:p w14:paraId="35BD5E3D" w14:textId="77777777" w:rsidR="00CF0E2D" w:rsidRPr="00E40E13" w:rsidRDefault="00CF0E2D" w:rsidP="00A60D4B">
      <w:pPr>
        <w:pStyle w:val="Bbodytext"/>
        <w:rPr>
          <w:rFonts w:ascii="Calibri" w:eastAsia="Times New Roman" w:hAnsi="Calibri" w:cs="Times New Roman"/>
          <w:szCs w:val="20"/>
        </w:rPr>
      </w:pPr>
      <w:r w:rsidRPr="00E40E13">
        <w:t xml:space="preserve">This initiative will be </w:t>
      </w:r>
      <w:r>
        <w:t xml:space="preserve">partially </w:t>
      </w:r>
      <w:r w:rsidRPr="00E40E13">
        <w:t>funded by the Safer Families Levy</w:t>
      </w:r>
      <w:r w:rsidRPr="00E40E13" w:rsidDel="00477E57">
        <w:rPr>
          <w:rFonts w:ascii="Calibri" w:eastAsia="Times New Roman" w:hAnsi="Calibri" w:cs="Times New Roman"/>
          <w:szCs w:val="20"/>
        </w:rPr>
        <w:t xml:space="preserve"> </w:t>
      </w:r>
      <w:r w:rsidRPr="00E40E13">
        <w:rPr>
          <w:rFonts w:ascii="Calibri" w:eastAsia="Times New Roman" w:hAnsi="Calibri" w:cs="Times New Roman"/>
          <w:szCs w:val="20"/>
        </w:rPr>
        <w:t xml:space="preserve">and builds on the </w:t>
      </w:r>
      <w:r w:rsidRPr="00EB652B">
        <w:rPr>
          <w:rFonts w:ascii="Calibri" w:eastAsia="Times New Roman" w:hAnsi="Calibri" w:cs="Times New Roman"/>
          <w:i/>
          <w:iCs/>
          <w:szCs w:val="20"/>
        </w:rPr>
        <w:t>Safer Families – Support for women and children to leave violence</w:t>
      </w:r>
      <w:r w:rsidRPr="00E40E13">
        <w:rPr>
          <w:rFonts w:ascii="Calibri" w:eastAsia="Times New Roman" w:hAnsi="Calibri" w:cs="Times New Roman"/>
          <w:szCs w:val="20"/>
        </w:rPr>
        <w:t xml:space="preserve"> also funded through the Safer Families Levy since 2016-17.</w:t>
      </w:r>
      <w:r>
        <w:rPr>
          <w:rFonts w:ascii="Calibri" w:eastAsia="Times New Roman" w:hAnsi="Calibri" w:cs="Times New Roman"/>
          <w:szCs w:val="20"/>
        </w:rPr>
        <w:t xml:space="preserve"> </w:t>
      </w:r>
    </w:p>
    <w:p w14:paraId="3CD52D24" w14:textId="77777777" w:rsidR="00CF0E2D" w:rsidRDefault="00CF0E2D" w:rsidP="00A60D4B">
      <w:pPr>
        <w:pStyle w:val="Bbodytext"/>
        <w:rPr>
          <w:rFonts w:ascii="Calibri" w:eastAsia="Times New Roman" w:hAnsi="Calibri" w:cs="Times New Roman"/>
          <w:szCs w:val="20"/>
        </w:rPr>
      </w:pPr>
      <w:r w:rsidRPr="00E40E13">
        <w:t xml:space="preserve">This </w:t>
      </w:r>
      <w:r w:rsidRPr="00E40E13">
        <w:rPr>
          <w:rFonts w:ascii="Calibri" w:eastAsia="Times New Roman" w:hAnsi="Calibri" w:cs="Times New Roman"/>
          <w:szCs w:val="20"/>
        </w:rPr>
        <w:t>initiative contributes to the wellbeing domains of Housing and home and Safety.</w:t>
      </w:r>
    </w:p>
    <w:p w14:paraId="593195E5" w14:textId="77777777" w:rsidR="00CF0E2D" w:rsidRPr="00E40E13" w:rsidRDefault="00CF0E2D" w:rsidP="00A60D4B">
      <w:pPr>
        <w:pStyle w:val="Bbodytext"/>
        <w:rPr>
          <w:rFonts w:ascii="Calibri" w:eastAsia="Times New Roman" w:hAnsi="Calibri" w:cs="Times New Roman"/>
          <w:szCs w:val="20"/>
        </w:rPr>
      </w:pPr>
    </w:p>
    <w:p w14:paraId="5E504789" w14:textId="77777777" w:rsidR="00CF0E2D" w:rsidRPr="00175A10" w:rsidRDefault="00CF0E2D" w:rsidP="00A60D4B">
      <w:pPr>
        <w:pStyle w:val="Heading4"/>
        <w:rPr>
          <w:rFonts w:eastAsia="Times New Roman" w:cs="Times New Roman"/>
          <w:bCs/>
          <w:szCs w:val="26"/>
        </w:rPr>
      </w:pPr>
      <w:r w:rsidRPr="00F2171A">
        <w:rPr>
          <w:rFonts w:eastAsia="Times New Roman"/>
        </w:rPr>
        <w:t xml:space="preserve">Safer Families Levy </w:t>
      </w:r>
      <w:r>
        <w:rPr>
          <w:rFonts w:eastAsia="Times New Roman" w:cs="Times New Roman"/>
          <w:bCs/>
          <w:szCs w:val="26"/>
        </w:rPr>
        <w:t>–</w:t>
      </w:r>
      <w:r w:rsidRPr="00F2171A">
        <w:rPr>
          <w:rFonts w:eastAsia="Times New Roman" w:cs="Times New Roman"/>
          <w:bCs/>
          <w:szCs w:val="26"/>
        </w:rPr>
        <w:t xml:space="preserve"> </w:t>
      </w:r>
      <w:r w:rsidRPr="00175A10">
        <w:rPr>
          <w:rFonts w:eastAsia="Times New Roman" w:cs="Times New Roman"/>
          <w:bCs/>
          <w:szCs w:val="26"/>
        </w:rPr>
        <w:t xml:space="preserve">Safer Families Collaboration Program </w:t>
      </w:r>
      <w:r>
        <w:rPr>
          <w:b w:val="0"/>
          <w:noProof/>
          <w:color w:val="999789"/>
          <w:sz w:val="32"/>
          <w:szCs w:val="24"/>
        </w:rPr>
        <w:drawing>
          <wp:anchor distT="0" distB="0" distL="114300" distR="114300" simplePos="0" relativeHeight="251789312" behindDoc="0" locked="1" layoutInCell="1" allowOverlap="1" wp14:anchorId="1A405033" wp14:editId="30517138">
            <wp:simplePos x="0" y="0"/>
            <wp:positionH relativeFrom="margin">
              <wp:align>right</wp:align>
            </wp:positionH>
            <wp:positionV relativeFrom="paragraph">
              <wp:posOffset>-132715</wp:posOffset>
            </wp:positionV>
            <wp:extent cx="989965" cy="503555"/>
            <wp:effectExtent l="0" t="0" r="635" b="0"/>
            <wp:wrapSquare wrapText="bothSides"/>
            <wp:docPr id="103" name="Picture 103"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04F2BED1" w14:textId="77777777" w:rsidTr="00A60D4B">
        <w:trPr>
          <w:cantSplit/>
          <w:jc w:val="center"/>
        </w:trPr>
        <w:tc>
          <w:tcPr>
            <w:tcW w:w="3652" w:type="dxa"/>
            <w:tcBorders>
              <w:top w:val="single" w:sz="4" w:space="0" w:color="auto"/>
              <w:bottom w:val="single" w:sz="4" w:space="0" w:color="auto"/>
            </w:tcBorders>
          </w:tcPr>
          <w:p w14:paraId="48D52856"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347955B7" w14:textId="77777777" w:rsidR="00CF0E2D" w:rsidRPr="00297081" w:rsidRDefault="00CF0E2D" w:rsidP="00A60D4B">
            <w:pPr>
              <w:pStyle w:val="InitFigR"/>
              <w:keepNext/>
              <w:keepLines/>
              <w:rPr>
                <w:b/>
                <w:bCs/>
              </w:rPr>
            </w:pPr>
            <w:r w:rsidRPr="00297081">
              <w:rPr>
                <w:b/>
                <w:bCs/>
              </w:rPr>
              <w:t>2021-22</w:t>
            </w:r>
          </w:p>
          <w:p w14:paraId="2DDA2B98" w14:textId="77777777" w:rsidR="00CF0E2D" w:rsidRPr="00297081" w:rsidRDefault="00CF0E2D" w:rsidP="00A60D4B">
            <w:pPr>
              <w:pStyle w:val="InitFigR"/>
              <w:keepNext/>
              <w:keepLines/>
              <w:rPr>
                <w:b/>
                <w:bCs/>
              </w:rPr>
            </w:pPr>
            <w:r w:rsidRPr="00297081">
              <w:rPr>
                <w:b/>
                <w:bCs/>
              </w:rPr>
              <w:t>$’000</w:t>
            </w:r>
          </w:p>
        </w:tc>
        <w:tc>
          <w:tcPr>
            <w:tcW w:w="1041" w:type="dxa"/>
            <w:tcBorders>
              <w:top w:val="single" w:sz="4" w:space="0" w:color="auto"/>
              <w:bottom w:val="single" w:sz="4" w:space="0" w:color="auto"/>
            </w:tcBorders>
          </w:tcPr>
          <w:p w14:paraId="25C71F17" w14:textId="77777777" w:rsidR="00CF0E2D" w:rsidRPr="00297081" w:rsidRDefault="00CF0E2D" w:rsidP="00A60D4B">
            <w:pPr>
              <w:pStyle w:val="InitFigR"/>
              <w:keepNext/>
              <w:keepLines/>
              <w:rPr>
                <w:b/>
                <w:bCs/>
              </w:rPr>
            </w:pPr>
            <w:r w:rsidRPr="00297081">
              <w:rPr>
                <w:b/>
                <w:bCs/>
              </w:rPr>
              <w:t>2022-23</w:t>
            </w:r>
          </w:p>
          <w:p w14:paraId="63008A06" w14:textId="77777777" w:rsidR="00CF0E2D" w:rsidRPr="00297081" w:rsidRDefault="00CF0E2D" w:rsidP="00A60D4B">
            <w:pPr>
              <w:pStyle w:val="InitFigR"/>
              <w:keepNext/>
              <w:keepLines/>
              <w:rPr>
                <w:b/>
                <w:bCs/>
              </w:rPr>
            </w:pPr>
            <w:r w:rsidRPr="00297081">
              <w:rPr>
                <w:b/>
                <w:bCs/>
              </w:rPr>
              <w:t>$’000</w:t>
            </w:r>
          </w:p>
        </w:tc>
        <w:tc>
          <w:tcPr>
            <w:tcW w:w="1029" w:type="dxa"/>
            <w:tcBorders>
              <w:top w:val="single" w:sz="4" w:space="0" w:color="auto"/>
              <w:bottom w:val="single" w:sz="4" w:space="0" w:color="auto"/>
            </w:tcBorders>
          </w:tcPr>
          <w:p w14:paraId="26BBEBC3" w14:textId="77777777" w:rsidR="00CF0E2D" w:rsidRPr="00297081" w:rsidRDefault="00CF0E2D" w:rsidP="00A60D4B">
            <w:pPr>
              <w:pStyle w:val="InitFigR"/>
              <w:keepNext/>
              <w:keepLines/>
              <w:rPr>
                <w:b/>
                <w:bCs/>
              </w:rPr>
            </w:pPr>
            <w:r w:rsidRPr="00297081">
              <w:rPr>
                <w:b/>
                <w:bCs/>
              </w:rPr>
              <w:t>2023-24</w:t>
            </w:r>
          </w:p>
          <w:p w14:paraId="12505AAE" w14:textId="77777777" w:rsidR="00CF0E2D" w:rsidRPr="00297081" w:rsidRDefault="00CF0E2D" w:rsidP="00A60D4B">
            <w:pPr>
              <w:pStyle w:val="InitFigR"/>
              <w:keepNext/>
              <w:keepLines/>
              <w:rPr>
                <w:b/>
                <w:bCs/>
              </w:rPr>
            </w:pPr>
            <w:r w:rsidRPr="00297081">
              <w:rPr>
                <w:b/>
                <w:bCs/>
              </w:rPr>
              <w:t>$’000</w:t>
            </w:r>
          </w:p>
        </w:tc>
        <w:tc>
          <w:tcPr>
            <w:tcW w:w="1029" w:type="dxa"/>
            <w:tcBorders>
              <w:top w:val="single" w:sz="4" w:space="0" w:color="auto"/>
              <w:bottom w:val="single" w:sz="4" w:space="0" w:color="auto"/>
            </w:tcBorders>
          </w:tcPr>
          <w:p w14:paraId="2FB37996" w14:textId="77777777" w:rsidR="00CF0E2D" w:rsidRPr="00297081" w:rsidRDefault="00CF0E2D" w:rsidP="00A60D4B">
            <w:pPr>
              <w:pStyle w:val="InitFigR"/>
              <w:keepNext/>
              <w:keepLines/>
              <w:rPr>
                <w:b/>
                <w:bCs/>
              </w:rPr>
            </w:pPr>
            <w:r w:rsidRPr="00297081">
              <w:rPr>
                <w:b/>
                <w:bCs/>
              </w:rPr>
              <w:t>2024-25</w:t>
            </w:r>
          </w:p>
          <w:p w14:paraId="134C480F" w14:textId="77777777" w:rsidR="00CF0E2D" w:rsidRPr="00297081" w:rsidRDefault="00CF0E2D" w:rsidP="00A60D4B">
            <w:pPr>
              <w:pStyle w:val="InitFigR"/>
              <w:keepNext/>
              <w:keepLines/>
              <w:rPr>
                <w:b/>
                <w:bCs/>
              </w:rPr>
            </w:pPr>
            <w:r w:rsidRPr="00297081">
              <w:rPr>
                <w:b/>
                <w:bCs/>
              </w:rPr>
              <w:t>$’000</w:t>
            </w:r>
          </w:p>
        </w:tc>
        <w:tc>
          <w:tcPr>
            <w:tcW w:w="1029" w:type="dxa"/>
            <w:tcBorders>
              <w:top w:val="single" w:sz="4" w:space="0" w:color="auto"/>
              <w:bottom w:val="single" w:sz="4" w:space="0" w:color="auto"/>
            </w:tcBorders>
          </w:tcPr>
          <w:p w14:paraId="707535BF" w14:textId="77777777" w:rsidR="00CF0E2D" w:rsidRPr="004E341E" w:rsidRDefault="00CF0E2D" w:rsidP="00A60D4B">
            <w:pPr>
              <w:pStyle w:val="InitFigRBold"/>
              <w:keepNext/>
              <w:keepLines/>
            </w:pPr>
            <w:r w:rsidRPr="004E341E">
              <w:t>Total</w:t>
            </w:r>
          </w:p>
          <w:p w14:paraId="5B9BD978" w14:textId="77777777" w:rsidR="00CF0E2D" w:rsidRPr="004E341E" w:rsidRDefault="00CF0E2D" w:rsidP="00A60D4B">
            <w:pPr>
              <w:pStyle w:val="InitFigBR"/>
              <w:keepNext/>
              <w:keepLines/>
            </w:pPr>
            <w:r w:rsidRPr="004E341E">
              <w:t>$’000</w:t>
            </w:r>
          </w:p>
        </w:tc>
      </w:tr>
      <w:tr w:rsidR="00CF0E2D" w:rsidRPr="00750793" w14:paraId="6A38FBF6" w14:textId="77777777" w:rsidTr="00A60D4B">
        <w:trPr>
          <w:cantSplit/>
          <w:jc w:val="center"/>
        </w:trPr>
        <w:tc>
          <w:tcPr>
            <w:tcW w:w="3652" w:type="dxa"/>
            <w:tcBorders>
              <w:top w:val="single" w:sz="4" w:space="0" w:color="auto"/>
            </w:tcBorders>
          </w:tcPr>
          <w:p w14:paraId="6F8F12D1" w14:textId="77777777" w:rsidR="00CF0E2D" w:rsidRPr="00F13FAB" w:rsidRDefault="00CF0E2D" w:rsidP="00A60D4B">
            <w:pPr>
              <w:pStyle w:val="InitTextL"/>
              <w:ind w:left="321" w:hanging="321"/>
            </w:pPr>
            <w:r w:rsidRPr="00882BE2">
              <w:t>Expenses</w:t>
            </w:r>
          </w:p>
        </w:tc>
        <w:tc>
          <w:tcPr>
            <w:tcW w:w="1179" w:type="dxa"/>
            <w:tcBorders>
              <w:top w:val="single" w:sz="4" w:space="0" w:color="auto"/>
            </w:tcBorders>
          </w:tcPr>
          <w:p w14:paraId="5ED1D349" w14:textId="77777777" w:rsidR="00CF0E2D" w:rsidRPr="00424DA4" w:rsidRDefault="00CF0E2D" w:rsidP="00A60D4B">
            <w:pPr>
              <w:pStyle w:val="InitFigR"/>
              <w:keepNext/>
              <w:keepLines/>
            </w:pPr>
            <w:r>
              <w:t>335</w:t>
            </w:r>
          </w:p>
        </w:tc>
        <w:tc>
          <w:tcPr>
            <w:tcW w:w="1041" w:type="dxa"/>
            <w:tcBorders>
              <w:top w:val="single" w:sz="4" w:space="0" w:color="auto"/>
            </w:tcBorders>
          </w:tcPr>
          <w:p w14:paraId="32A37EFF" w14:textId="77777777" w:rsidR="00CF0E2D" w:rsidRPr="00424DA4" w:rsidRDefault="00CF0E2D" w:rsidP="00A60D4B">
            <w:pPr>
              <w:pStyle w:val="InitFigR"/>
              <w:keepNext/>
              <w:keepLines/>
            </w:pPr>
            <w:r>
              <w:t>340</w:t>
            </w:r>
          </w:p>
        </w:tc>
        <w:tc>
          <w:tcPr>
            <w:tcW w:w="1029" w:type="dxa"/>
            <w:tcBorders>
              <w:top w:val="single" w:sz="4" w:space="0" w:color="auto"/>
            </w:tcBorders>
          </w:tcPr>
          <w:p w14:paraId="454BD08E" w14:textId="77777777" w:rsidR="00CF0E2D" w:rsidRPr="00424DA4" w:rsidRDefault="00CF0E2D" w:rsidP="00A60D4B">
            <w:pPr>
              <w:pStyle w:val="InitFigR"/>
              <w:keepNext/>
              <w:keepLines/>
            </w:pPr>
            <w:r>
              <w:t>0</w:t>
            </w:r>
          </w:p>
        </w:tc>
        <w:tc>
          <w:tcPr>
            <w:tcW w:w="1029" w:type="dxa"/>
            <w:tcBorders>
              <w:top w:val="single" w:sz="4" w:space="0" w:color="auto"/>
            </w:tcBorders>
          </w:tcPr>
          <w:p w14:paraId="088CC236" w14:textId="77777777" w:rsidR="00CF0E2D" w:rsidRPr="00424DA4" w:rsidRDefault="00CF0E2D" w:rsidP="00A60D4B">
            <w:pPr>
              <w:pStyle w:val="InitFigR"/>
              <w:keepNext/>
              <w:keepLines/>
            </w:pPr>
            <w:r>
              <w:t>0</w:t>
            </w:r>
          </w:p>
        </w:tc>
        <w:tc>
          <w:tcPr>
            <w:tcW w:w="1029" w:type="dxa"/>
            <w:tcBorders>
              <w:top w:val="single" w:sz="4" w:space="0" w:color="auto"/>
            </w:tcBorders>
          </w:tcPr>
          <w:p w14:paraId="1B03574E" w14:textId="77777777" w:rsidR="00CF0E2D" w:rsidRPr="00424DA4" w:rsidRDefault="00CF0E2D" w:rsidP="00A60D4B">
            <w:pPr>
              <w:pStyle w:val="InitFigBR"/>
              <w:keepNext/>
              <w:keepLines/>
            </w:pPr>
            <w:r>
              <w:t>675</w:t>
            </w:r>
          </w:p>
        </w:tc>
      </w:tr>
      <w:tr w:rsidR="00CF0E2D" w:rsidRPr="00750793" w14:paraId="3AEB9964" w14:textId="77777777" w:rsidTr="00A60D4B">
        <w:trPr>
          <w:cantSplit/>
          <w:trHeight w:val="107"/>
          <w:jc w:val="center"/>
        </w:trPr>
        <w:tc>
          <w:tcPr>
            <w:tcW w:w="3652" w:type="dxa"/>
          </w:tcPr>
          <w:p w14:paraId="27270827" w14:textId="77777777" w:rsidR="00CF0E2D" w:rsidRDefault="00CF0E2D" w:rsidP="00A60D4B">
            <w:pPr>
              <w:pStyle w:val="InitTextL"/>
              <w:ind w:left="321" w:hanging="321"/>
            </w:pPr>
            <w:r>
              <w:t>Expenses – Provision</w:t>
            </w:r>
          </w:p>
        </w:tc>
        <w:tc>
          <w:tcPr>
            <w:tcW w:w="1179" w:type="dxa"/>
          </w:tcPr>
          <w:p w14:paraId="1F707658" w14:textId="77777777" w:rsidR="00CF0E2D" w:rsidRDefault="00CF0E2D" w:rsidP="00A60D4B">
            <w:pPr>
              <w:pStyle w:val="InitFigR"/>
              <w:keepNext/>
              <w:keepLines/>
            </w:pPr>
            <w:r>
              <w:t>0</w:t>
            </w:r>
          </w:p>
        </w:tc>
        <w:tc>
          <w:tcPr>
            <w:tcW w:w="1041" w:type="dxa"/>
          </w:tcPr>
          <w:p w14:paraId="3878CDF5" w14:textId="77777777" w:rsidR="00CF0E2D" w:rsidRDefault="00CF0E2D" w:rsidP="00A60D4B">
            <w:pPr>
              <w:pStyle w:val="InitFigR"/>
              <w:keepNext/>
              <w:keepLines/>
            </w:pPr>
            <w:r>
              <w:t>0</w:t>
            </w:r>
          </w:p>
        </w:tc>
        <w:tc>
          <w:tcPr>
            <w:tcW w:w="1029" w:type="dxa"/>
          </w:tcPr>
          <w:p w14:paraId="0D820E7E" w14:textId="77777777" w:rsidR="00CF0E2D" w:rsidRDefault="00CF0E2D" w:rsidP="00A60D4B">
            <w:pPr>
              <w:pStyle w:val="InitFigR"/>
              <w:keepNext/>
              <w:keepLines/>
            </w:pPr>
            <w:r>
              <w:t>346</w:t>
            </w:r>
          </w:p>
        </w:tc>
        <w:tc>
          <w:tcPr>
            <w:tcW w:w="1029" w:type="dxa"/>
          </w:tcPr>
          <w:p w14:paraId="5172AD1F" w14:textId="77777777" w:rsidR="00CF0E2D" w:rsidRDefault="00CF0E2D" w:rsidP="00A60D4B">
            <w:pPr>
              <w:pStyle w:val="InitFigR"/>
              <w:keepNext/>
              <w:keepLines/>
            </w:pPr>
            <w:r>
              <w:t>352</w:t>
            </w:r>
          </w:p>
        </w:tc>
        <w:tc>
          <w:tcPr>
            <w:tcW w:w="1029" w:type="dxa"/>
          </w:tcPr>
          <w:p w14:paraId="376864B1" w14:textId="77777777" w:rsidR="00CF0E2D" w:rsidRDefault="00CF0E2D" w:rsidP="00A60D4B">
            <w:pPr>
              <w:pStyle w:val="InitFigBR"/>
              <w:keepNext/>
              <w:keepLines/>
            </w:pPr>
            <w:r>
              <w:t>698</w:t>
            </w:r>
          </w:p>
        </w:tc>
      </w:tr>
      <w:tr w:rsidR="00CF0E2D" w:rsidRPr="00750793" w14:paraId="184D3B04" w14:textId="77777777" w:rsidTr="00A60D4B">
        <w:trPr>
          <w:cantSplit/>
          <w:trHeight w:val="107"/>
          <w:jc w:val="center"/>
        </w:trPr>
        <w:tc>
          <w:tcPr>
            <w:tcW w:w="3652" w:type="dxa"/>
            <w:tcBorders>
              <w:bottom w:val="single" w:sz="4" w:space="0" w:color="auto"/>
            </w:tcBorders>
          </w:tcPr>
          <w:p w14:paraId="7B6868EA" w14:textId="77777777" w:rsidR="00CF0E2D" w:rsidRDefault="00CF0E2D" w:rsidP="00A60D4B">
            <w:pPr>
              <w:pStyle w:val="InitTextL"/>
              <w:ind w:left="321" w:hanging="321"/>
            </w:pPr>
            <w:r>
              <w:t xml:space="preserve">Offset – Expenses </w:t>
            </w:r>
          </w:p>
        </w:tc>
        <w:tc>
          <w:tcPr>
            <w:tcW w:w="1179" w:type="dxa"/>
            <w:tcBorders>
              <w:bottom w:val="single" w:sz="4" w:space="0" w:color="auto"/>
            </w:tcBorders>
          </w:tcPr>
          <w:p w14:paraId="6F8DE62C" w14:textId="77777777" w:rsidR="00CF0E2D" w:rsidRPr="00424DA4" w:rsidRDefault="00CF0E2D" w:rsidP="00A60D4B">
            <w:pPr>
              <w:pStyle w:val="InitFigR"/>
              <w:keepNext/>
              <w:keepLines/>
            </w:pPr>
            <w:r>
              <w:t>-335</w:t>
            </w:r>
          </w:p>
        </w:tc>
        <w:tc>
          <w:tcPr>
            <w:tcW w:w="1041" w:type="dxa"/>
            <w:tcBorders>
              <w:bottom w:val="single" w:sz="4" w:space="0" w:color="auto"/>
            </w:tcBorders>
          </w:tcPr>
          <w:p w14:paraId="31C407EB" w14:textId="77777777" w:rsidR="00CF0E2D" w:rsidRPr="00424DA4" w:rsidRDefault="00CF0E2D" w:rsidP="00A60D4B">
            <w:pPr>
              <w:pStyle w:val="InitFigR"/>
              <w:keepNext/>
              <w:keepLines/>
            </w:pPr>
            <w:r>
              <w:t>-340</w:t>
            </w:r>
          </w:p>
        </w:tc>
        <w:tc>
          <w:tcPr>
            <w:tcW w:w="1029" w:type="dxa"/>
            <w:tcBorders>
              <w:bottom w:val="single" w:sz="4" w:space="0" w:color="auto"/>
            </w:tcBorders>
          </w:tcPr>
          <w:p w14:paraId="4870856F" w14:textId="77777777" w:rsidR="00CF0E2D" w:rsidRPr="00424DA4" w:rsidRDefault="00CF0E2D" w:rsidP="00A60D4B">
            <w:pPr>
              <w:pStyle w:val="InitFigR"/>
              <w:keepNext/>
              <w:keepLines/>
            </w:pPr>
            <w:r>
              <w:t>-346</w:t>
            </w:r>
          </w:p>
        </w:tc>
        <w:tc>
          <w:tcPr>
            <w:tcW w:w="1029" w:type="dxa"/>
            <w:tcBorders>
              <w:bottom w:val="single" w:sz="4" w:space="0" w:color="auto"/>
            </w:tcBorders>
          </w:tcPr>
          <w:p w14:paraId="1FBBBC9B" w14:textId="77777777" w:rsidR="00CF0E2D" w:rsidRPr="00424DA4" w:rsidRDefault="00CF0E2D" w:rsidP="00A60D4B">
            <w:pPr>
              <w:pStyle w:val="InitFigR"/>
              <w:keepNext/>
              <w:keepLines/>
            </w:pPr>
            <w:r>
              <w:t>-352</w:t>
            </w:r>
          </w:p>
        </w:tc>
        <w:tc>
          <w:tcPr>
            <w:tcW w:w="1029" w:type="dxa"/>
            <w:tcBorders>
              <w:bottom w:val="single" w:sz="4" w:space="0" w:color="auto"/>
            </w:tcBorders>
          </w:tcPr>
          <w:p w14:paraId="003F5284" w14:textId="77777777" w:rsidR="00CF0E2D" w:rsidRPr="00424DA4" w:rsidRDefault="00CF0E2D" w:rsidP="00A60D4B">
            <w:pPr>
              <w:pStyle w:val="InitFigBR"/>
              <w:keepNext/>
              <w:keepLines/>
            </w:pPr>
            <w:r>
              <w:t>-1,373</w:t>
            </w:r>
          </w:p>
        </w:tc>
      </w:tr>
      <w:tr w:rsidR="00CF0E2D" w:rsidRPr="00750793" w14:paraId="0071C046" w14:textId="77777777" w:rsidTr="00A60D4B">
        <w:trPr>
          <w:cantSplit/>
          <w:trHeight w:val="107"/>
          <w:jc w:val="center"/>
        </w:trPr>
        <w:tc>
          <w:tcPr>
            <w:tcW w:w="3652" w:type="dxa"/>
            <w:tcBorders>
              <w:top w:val="single" w:sz="4" w:space="0" w:color="auto"/>
              <w:bottom w:val="single" w:sz="4" w:space="0" w:color="auto"/>
            </w:tcBorders>
          </w:tcPr>
          <w:p w14:paraId="65DDD09C"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0998D5CF" w14:textId="77777777" w:rsidR="00CF0E2D" w:rsidRPr="00424DA4" w:rsidRDefault="00CF0E2D" w:rsidP="00A60D4B">
            <w:pPr>
              <w:pStyle w:val="InitFigRBold"/>
              <w:keepNext/>
              <w:keepLines/>
            </w:pPr>
            <w:r>
              <w:t>0</w:t>
            </w:r>
          </w:p>
        </w:tc>
        <w:tc>
          <w:tcPr>
            <w:tcW w:w="1041" w:type="dxa"/>
            <w:tcBorders>
              <w:top w:val="single" w:sz="4" w:space="0" w:color="auto"/>
              <w:bottom w:val="single" w:sz="4" w:space="0" w:color="auto"/>
            </w:tcBorders>
          </w:tcPr>
          <w:p w14:paraId="474F29C9" w14:textId="77777777" w:rsidR="00CF0E2D" w:rsidRPr="00424DA4" w:rsidRDefault="00CF0E2D" w:rsidP="00A60D4B">
            <w:pPr>
              <w:pStyle w:val="InitFigRBold"/>
              <w:keepNext/>
              <w:keepLines/>
            </w:pPr>
            <w:r>
              <w:t>0</w:t>
            </w:r>
          </w:p>
        </w:tc>
        <w:tc>
          <w:tcPr>
            <w:tcW w:w="1029" w:type="dxa"/>
            <w:tcBorders>
              <w:top w:val="single" w:sz="4" w:space="0" w:color="auto"/>
              <w:bottom w:val="single" w:sz="4" w:space="0" w:color="auto"/>
            </w:tcBorders>
          </w:tcPr>
          <w:p w14:paraId="4302D7B7" w14:textId="77777777" w:rsidR="00CF0E2D" w:rsidRPr="00424DA4" w:rsidRDefault="00CF0E2D" w:rsidP="00A60D4B">
            <w:pPr>
              <w:pStyle w:val="InitFigRBold"/>
              <w:keepNext/>
              <w:keepLines/>
            </w:pPr>
            <w:r>
              <w:t>0</w:t>
            </w:r>
          </w:p>
        </w:tc>
        <w:tc>
          <w:tcPr>
            <w:tcW w:w="1029" w:type="dxa"/>
            <w:tcBorders>
              <w:top w:val="single" w:sz="4" w:space="0" w:color="auto"/>
              <w:bottom w:val="single" w:sz="4" w:space="0" w:color="auto"/>
            </w:tcBorders>
          </w:tcPr>
          <w:p w14:paraId="5F1A5D32" w14:textId="77777777" w:rsidR="00CF0E2D" w:rsidRPr="00424DA4" w:rsidRDefault="00CF0E2D" w:rsidP="00A60D4B">
            <w:pPr>
              <w:pStyle w:val="InitFigRBold"/>
              <w:keepNext/>
              <w:keepLines/>
            </w:pPr>
            <w:r>
              <w:t>0</w:t>
            </w:r>
          </w:p>
        </w:tc>
        <w:tc>
          <w:tcPr>
            <w:tcW w:w="1029" w:type="dxa"/>
            <w:tcBorders>
              <w:top w:val="single" w:sz="4" w:space="0" w:color="auto"/>
              <w:bottom w:val="single" w:sz="4" w:space="0" w:color="auto"/>
            </w:tcBorders>
          </w:tcPr>
          <w:p w14:paraId="11763F94" w14:textId="77777777" w:rsidR="00CF0E2D" w:rsidRPr="00424DA4" w:rsidRDefault="00CF0E2D" w:rsidP="00A60D4B">
            <w:pPr>
              <w:pStyle w:val="InitFigRBold"/>
              <w:keepNext/>
              <w:keepLines/>
            </w:pPr>
            <w:r>
              <w:t>0</w:t>
            </w:r>
          </w:p>
        </w:tc>
      </w:tr>
    </w:tbl>
    <w:p w14:paraId="26E9F70D" w14:textId="77777777" w:rsidR="00CF0E2D" w:rsidRPr="00175A10" w:rsidRDefault="00CF0E2D" w:rsidP="00A60D4B">
      <w:pPr>
        <w:pStyle w:val="Bbodytext"/>
        <w:rPr>
          <w:rFonts w:ascii="Calibri" w:eastAsia="Times New Roman" w:hAnsi="Calibri" w:cs="Times New Roman"/>
          <w:szCs w:val="20"/>
        </w:rPr>
      </w:pPr>
      <w:r w:rsidRPr="004C581D">
        <w:t>The Government will</w:t>
      </w:r>
      <w:r>
        <w:t xml:space="preserve"> </w:t>
      </w:r>
      <w:r w:rsidRPr="007B1FBB">
        <w:t xml:space="preserve">continue </w:t>
      </w:r>
      <w:r>
        <w:t>the</w:t>
      </w:r>
      <w:r w:rsidRPr="007B1FBB">
        <w:t xml:space="preserve"> partnership between </w:t>
      </w:r>
      <w:r>
        <w:t xml:space="preserve">the </w:t>
      </w:r>
      <w:r w:rsidRPr="007B1FBB">
        <w:t xml:space="preserve">Child and Youth Protection Service and the </w:t>
      </w:r>
      <w:r w:rsidRPr="00175A10">
        <w:rPr>
          <w:rFonts w:ascii="Calibri" w:eastAsia="Times New Roman" w:hAnsi="Calibri" w:cs="Times New Roman"/>
          <w:szCs w:val="20"/>
        </w:rPr>
        <w:t>Domestic Violence Crisis Service to improve responses to children and young people and their families experiencing domestic and family violence in the context of child protection services.</w:t>
      </w:r>
    </w:p>
    <w:p w14:paraId="78B77B59" w14:textId="77777777" w:rsidR="00CF0E2D" w:rsidRPr="00175A10" w:rsidRDefault="00CF0E2D" w:rsidP="00A60D4B">
      <w:pPr>
        <w:pStyle w:val="Bbodytext"/>
        <w:rPr>
          <w:rFonts w:ascii="Calibri" w:eastAsia="Times New Roman" w:hAnsi="Calibri" w:cs="Times New Roman"/>
          <w:szCs w:val="20"/>
        </w:rPr>
      </w:pPr>
      <w:bookmarkStart w:id="44" w:name="_Hlk78981194"/>
      <w:bookmarkStart w:id="45" w:name="_Hlk78272605"/>
      <w:r w:rsidRPr="00175A10">
        <w:t>This initiative will be funded by the Safer Families Levy</w:t>
      </w:r>
      <w:r w:rsidRPr="00175A10">
        <w:rPr>
          <w:rFonts w:ascii="Calibri" w:eastAsia="Times New Roman" w:hAnsi="Calibri" w:cs="Times New Roman"/>
          <w:szCs w:val="20"/>
        </w:rPr>
        <w:t xml:space="preserve"> and builds on </w:t>
      </w:r>
      <w:bookmarkEnd w:id="44"/>
      <w:r w:rsidRPr="00175A10">
        <w:rPr>
          <w:rFonts w:ascii="Calibri" w:eastAsia="Times New Roman" w:hAnsi="Calibri" w:cs="Times New Roman"/>
          <w:szCs w:val="20"/>
        </w:rPr>
        <w:t xml:space="preserve">the funding for additional frontline domestic violence and rape crisis services and </w:t>
      </w:r>
      <w:r>
        <w:rPr>
          <w:rFonts w:ascii="Calibri" w:eastAsia="Times New Roman" w:hAnsi="Calibri" w:cs="Times New Roman"/>
          <w:szCs w:val="20"/>
        </w:rPr>
        <w:t>the S</w:t>
      </w:r>
      <w:r w:rsidRPr="00175A10">
        <w:rPr>
          <w:rFonts w:ascii="Calibri" w:eastAsia="Times New Roman" w:hAnsi="Calibri" w:cs="Times New Roman"/>
          <w:szCs w:val="20"/>
        </w:rPr>
        <w:t xml:space="preserve">afer </w:t>
      </w:r>
      <w:r>
        <w:rPr>
          <w:rFonts w:ascii="Calibri" w:eastAsia="Times New Roman" w:hAnsi="Calibri" w:cs="Times New Roman"/>
          <w:szCs w:val="20"/>
        </w:rPr>
        <w:t>F</w:t>
      </w:r>
      <w:r w:rsidRPr="00175A10">
        <w:rPr>
          <w:rFonts w:ascii="Calibri" w:eastAsia="Times New Roman" w:hAnsi="Calibri" w:cs="Times New Roman"/>
          <w:szCs w:val="20"/>
        </w:rPr>
        <w:t xml:space="preserve">amilies </w:t>
      </w:r>
      <w:r>
        <w:rPr>
          <w:rFonts w:ascii="Calibri" w:eastAsia="Times New Roman" w:hAnsi="Calibri" w:cs="Times New Roman"/>
          <w:szCs w:val="20"/>
        </w:rPr>
        <w:t>C</w:t>
      </w:r>
      <w:r w:rsidRPr="00175A10">
        <w:rPr>
          <w:rFonts w:ascii="Calibri" w:eastAsia="Times New Roman" w:hAnsi="Calibri" w:cs="Times New Roman"/>
          <w:szCs w:val="20"/>
        </w:rPr>
        <w:t xml:space="preserve">ollaboration </w:t>
      </w:r>
      <w:r>
        <w:rPr>
          <w:rFonts w:ascii="Calibri" w:eastAsia="Times New Roman" w:hAnsi="Calibri" w:cs="Times New Roman"/>
          <w:szCs w:val="20"/>
        </w:rPr>
        <w:t xml:space="preserve">program </w:t>
      </w:r>
      <w:r w:rsidRPr="00175A10">
        <w:rPr>
          <w:rFonts w:ascii="Calibri" w:eastAsia="Times New Roman" w:hAnsi="Calibri" w:cs="Times New Roman"/>
          <w:szCs w:val="20"/>
        </w:rPr>
        <w:t>in the 2020-21 Budget.</w:t>
      </w:r>
      <w:bookmarkEnd w:id="45"/>
      <w:r w:rsidRPr="00175A10">
        <w:rPr>
          <w:rFonts w:ascii="Calibri" w:eastAsia="Times New Roman" w:hAnsi="Calibri" w:cs="Times New Roman"/>
          <w:szCs w:val="20"/>
        </w:rPr>
        <w:t xml:space="preserve"> </w:t>
      </w:r>
    </w:p>
    <w:p w14:paraId="3203F191" w14:textId="77777777" w:rsidR="00CF0E2D" w:rsidRDefault="00CF0E2D" w:rsidP="00A60D4B">
      <w:pPr>
        <w:pStyle w:val="Bbodytext"/>
        <w:rPr>
          <w:rFonts w:ascii="Calibri" w:eastAsia="Times New Roman" w:hAnsi="Calibri" w:cs="Times New Roman"/>
          <w:szCs w:val="20"/>
        </w:rPr>
      </w:pPr>
      <w:r w:rsidRPr="00175A10">
        <w:t xml:space="preserve">This </w:t>
      </w:r>
      <w:r w:rsidRPr="00175A10">
        <w:rPr>
          <w:rFonts w:ascii="Calibri" w:eastAsia="Times New Roman" w:hAnsi="Calibri" w:cs="Times New Roman"/>
          <w:szCs w:val="20"/>
        </w:rPr>
        <w:t>initiative contributes to the wellbeing domain of Safety.</w:t>
      </w:r>
    </w:p>
    <w:p w14:paraId="5C571D05" w14:textId="77777777" w:rsidR="00CF0E2D" w:rsidRDefault="00CF0E2D">
      <w:pPr>
        <w:rPr>
          <w:rFonts w:ascii="Calibri" w:eastAsia="Times New Roman" w:hAnsi="Calibri" w:cs="Times New Roman"/>
          <w:sz w:val="24"/>
          <w:szCs w:val="20"/>
        </w:rPr>
      </w:pPr>
      <w:r>
        <w:rPr>
          <w:rFonts w:ascii="Calibri" w:eastAsia="Times New Roman" w:hAnsi="Calibri" w:cs="Times New Roman"/>
          <w:szCs w:val="20"/>
        </w:rPr>
        <w:br w:type="page"/>
      </w:r>
    </w:p>
    <w:p w14:paraId="15011E63" w14:textId="77777777" w:rsidR="00CF0E2D" w:rsidRDefault="00CF0E2D" w:rsidP="00A60D4B">
      <w:pPr>
        <w:pStyle w:val="Heading4"/>
      </w:pPr>
      <w:r w:rsidRPr="00F2171A">
        <w:rPr>
          <w:rFonts w:eastAsia="Times New Roman"/>
        </w:rPr>
        <w:lastRenderedPageBreak/>
        <w:t xml:space="preserve">Safer Families Levy </w:t>
      </w:r>
      <w:r>
        <w:rPr>
          <w:rFonts w:eastAsia="Times New Roman" w:cs="Times New Roman"/>
          <w:bCs/>
          <w:szCs w:val="26"/>
        </w:rPr>
        <w:t>–</w:t>
      </w:r>
      <w:r w:rsidRPr="00F2171A">
        <w:rPr>
          <w:rFonts w:eastAsia="Times New Roman" w:cs="Times New Roman"/>
          <w:bCs/>
          <w:szCs w:val="26"/>
        </w:rPr>
        <w:t xml:space="preserve"> </w:t>
      </w:r>
      <w:r w:rsidRPr="003F2705">
        <w:rPr>
          <w:rFonts w:eastAsia="Times New Roman" w:cs="Times New Roman"/>
          <w:bCs/>
          <w:szCs w:val="26"/>
        </w:rPr>
        <w:t xml:space="preserve">Strengthening </w:t>
      </w:r>
      <w:r>
        <w:rPr>
          <w:rFonts w:eastAsia="Times New Roman" w:cs="Times New Roman"/>
          <w:bCs/>
          <w:szCs w:val="26"/>
        </w:rPr>
        <w:t>d</w:t>
      </w:r>
      <w:r w:rsidRPr="003F2705">
        <w:rPr>
          <w:rFonts w:eastAsia="Times New Roman" w:cs="Times New Roman"/>
          <w:bCs/>
          <w:szCs w:val="26"/>
        </w:rPr>
        <w:t xml:space="preserve">omestic and </w:t>
      </w:r>
      <w:r>
        <w:rPr>
          <w:rFonts w:eastAsia="Times New Roman" w:cs="Times New Roman"/>
          <w:bCs/>
          <w:szCs w:val="26"/>
        </w:rPr>
        <w:t>f</w:t>
      </w:r>
      <w:r w:rsidRPr="003F2705">
        <w:rPr>
          <w:rFonts w:eastAsia="Times New Roman" w:cs="Times New Roman"/>
          <w:bCs/>
          <w:szCs w:val="26"/>
        </w:rPr>
        <w:t xml:space="preserve">amily </w:t>
      </w:r>
      <w:r>
        <w:rPr>
          <w:rFonts w:eastAsia="Times New Roman" w:cs="Times New Roman"/>
          <w:bCs/>
          <w:szCs w:val="26"/>
        </w:rPr>
        <w:br/>
        <w:t>v</w:t>
      </w:r>
      <w:r w:rsidRPr="003F2705">
        <w:rPr>
          <w:rFonts w:eastAsia="Times New Roman" w:cs="Times New Roman"/>
          <w:bCs/>
          <w:szCs w:val="26"/>
        </w:rPr>
        <w:t xml:space="preserve">iolence </w:t>
      </w:r>
      <w:r>
        <w:rPr>
          <w:rFonts w:eastAsia="Times New Roman" w:cs="Times New Roman"/>
          <w:bCs/>
          <w:szCs w:val="26"/>
        </w:rPr>
        <w:t>r</w:t>
      </w:r>
      <w:r w:rsidRPr="003F2705">
        <w:rPr>
          <w:rFonts w:eastAsia="Times New Roman" w:cs="Times New Roman"/>
          <w:bCs/>
          <w:szCs w:val="26"/>
        </w:rPr>
        <w:t>esponses for the Aboriginal and Torres Strait</w:t>
      </w:r>
      <w:r>
        <w:rPr>
          <w:rFonts w:eastAsia="Times New Roman" w:cs="Times New Roman"/>
          <w:bCs/>
          <w:szCs w:val="26"/>
        </w:rPr>
        <w:t xml:space="preserve"> I</w:t>
      </w:r>
      <w:r w:rsidRPr="003F2705">
        <w:rPr>
          <w:rFonts w:eastAsia="Times New Roman" w:cs="Times New Roman"/>
          <w:bCs/>
          <w:szCs w:val="26"/>
        </w:rPr>
        <w:t xml:space="preserve">slander </w:t>
      </w:r>
      <w:r>
        <w:rPr>
          <w:rFonts w:eastAsia="Times New Roman" w:cs="Times New Roman"/>
          <w:bCs/>
          <w:szCs w:val="26"/>
        </w:rPr>
        <w:t>c</w:t>
      </w:r>
      <w:r w:rsidRPr="003F2705">
        <w:rPr>
          <w:rFonts w:eastAsia="Times New Roman" w:cs="Times New Roman"/>
          <w:bCs/>
          <w:szCs w:val="26"/>
        </w:rPr>
        <w:t>ommunity</w:t>
      </w:r>
      <w:r>
        <w:t xml:space="preserve"> </w:t>
      </w:r>
      <w:r>
        <w:rPr>
          <w:b w:val="0"/>
          <w:noProof/>
          <w:color w:val="999789"/>
          <w:sz w:val="32"/>
          <w:szCs w:val="24"/>
        </w:rPr>
        <w:drawing>
          <wp:anchor distT="0" distB="0" distL="114300" distR="114300" simplePos="0" relativeHeight="251790336" behindDoc="0" locked="1" layoutInCell="1" allowOverlap="1" wp14:anchorId="3F715021" wp14:editId="791BD335">
            <wp:simplePos x="0" y="0"/>
            <wp:positionH relativeFrom="margin">
              <wp:posOffset>4740275</wp:posOffset>
            </wp:positionH>
            <wp:positionV relativeFrom="paragraph">
              <wp:posOffset>210820</wp:posOffset>
            </wp:positionV>
            <wp:extent cx="989965" cy="503555"/>
            <wp:effectExtent l="0" t="0" r="635" b="0"/>
            <wp:wrapSquare wrapText="bothSides"/>
            <wp:docPr id="104" name="Picture 104"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58DAE698" w14:textId="77777777" w:rsidTr="00A60D4B">
        <w:trPr>
          <w:cantSplit/>
          <w:jc w:val="center"/>
        </w:trPr>
        <w:tc>
          <w:tcPr>
            <w:tcW w:w="3652" w:type="dxa"/>
            <w:tcBorders>
              <w:top w:val="single" w:sz="4" w:space="0" w:color="auto"/>
              <w:bottom w:val="single" w:sz="4" w:space="0" w:color="auto"/>
            </w:tcBorders>
          </w:tcPr>
          <w:p w14:paraId="66F78013"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3FF93703" w14:textId="77777777" w:rsidR="00CF0E2D" w:rsidRPr="00297081" w:rsidRDefault="00CF0E2D" w:rsidP="00A60D4B">
            <w:pPr>
              <w:pStyle w:val="InitFigR"/>
              <w:keepNext/>
              <w:keepLines/>
              <w:rPr>
                <w:b/>
                <w:bCs/>
              </w:rPr>
            </w:pPr>
            <w:r w:rsidRPr="00297081">
              <w:rPr>
                <w:b/>
                <w:bCs/>
              </w:rPr>
              <w:t>2021-22</w:t>
            </w:r>
          </w:p>
          <w:p w14:paraId="56C04D53" w14:textId="77777777" w:rsidR="00CF0E2D" w:rsidRPr="00297081" w:rsidRDefault="00CF0E2D" w:rsidP="00A60D4B">
            <w:pPr>
              <w:pStyle w:val="InitFigR"/>
              <w:keepNext/>
              <w:keepLines/>
              <w:rPr>
                <w:b/>
                <w:bCs/>
              </w:rPr>
            </w:pPr>
            <w:r w:rsidRPr="00297081">
              <w:rPr>
                <w:b/>
                <w:bCs/>
              </w:rPr>
              <w:t>$’000</w:t>
            </w:r>
          </w:p>
        </w:tc>
        <w:tc>
          <w:tcPr>
            <w:tcW w:w="1041" w:type="dxa"/>
            <w:tcBorders>
              <w:top w:val="single" w:sz="4" w:space="0" w:color="auto"/>
              <w:bottom w:val="single" w:sz="4" w:space="0" w:color="auto"/>
            </w:tcBorders>
          </w:tcPr>
          <w:p w14:paraId="2A633DD3" w14:textId="77777777" w:rsidR="00CF0E2D" w:rsidRPr="00297081" w:rsidRDefault="00CF0E2D" w:rsidP="00A60D4B">
            <w:pPr>
              <w:pStyle w:val="InitFigR"/>
              <w:keepNext/>
              <w:keepLines/>
              <w:rPr>
                <w:b/>
                <w:bCs/>
              </w:rPr>
            </w:pPr>
            <w:r w:rsidRPr="00297081">
              <w:rPr>
                <w:b/>
                <w:bCs/>
              </w:rPr>
              <w:t>2022-23</w:t>
            </w:r>
          </w:p>
          <w:p w14:paraId="3C4784DF" w14:textId="77777777" w:rsidR="00CF0E2D" w:rsidRPr="00297081" w:rsidRDefault="00CF0E2D" w:rsidP="00A60D4B">
            <w:pPr>
              <w:pStyle w:val="InitFigR"/>
              <w:keepNext/>
              <w:keepLines/>
              <w:rPr>
                <w:b/>
                <w:bCs/>
              </w:rPr>
            </w:pPr>
            <w:r w:rsidRPr="00297081">
              <w:rPr>
                <w:b/>
                <w:bCs/>
              </w:rPr>
              <w:t>$’000</w:t>
            </w:r>
          </w:p>
        </w:tc>
        <w:tc>
          <w:tcPr>
            <w:tcW w:w="1029" w:type="dxa"/>
            <w:tcBorders>
              <w:top w:val="single" w:sz="4" w:space="0" w:color="auto"/>
              <w:bottom w:val="single" w:sz="4" w:space="0" w:color="auto"/>
            </w:tcBorders>
          </w:tcPr>
          <w:p w14:paraId="1EC121DA" w14:textId="77777777" w:rsidR="00CF0E2D" w:rsidRPr="00297081" w:rsidRDefault="00CF0E2D" w:rsidP="00A60D4B">
            <w:pPr>
              <w:pStyle w:val="InitFigR"/>
              <w:keepNext/>
              <w:keepLines/>
              <w:rPr>
                <w:b/>
                <w:bCs/>
              </w:rPr>
            </w:pPr>
            <w:r w:rsidRPr="00297081">
              <w:rPr>
                <w:b/>
                <w:bCs/>
              </w:rPr>
              <w:t>2023-24</w:t>
            </w:r>
          </w:p>
          <w:p w14:paraId="723C5C91" w14:textId="77777777" w:rsidR="00CF0E2D" w:rsidRPr="00297081" w:rsidRDefault="00CF0E2D" w:rsidP="00A60D4B">
            <w:pPr>
              <w:pStyle w:val="InitFigR"/>
              <w:keepNext/>
              <w:keepLines/>
              <w:rPr>
                <w:b/>
                <w:bCs/>
              </w:rPr>
            </w:pPr>
            <w:r w:rsidRPr="00297081">
              <w:rPr>
                <w:b/>
                <w:bCs/>
              </w:rPr>
              <w:t>$’000</w:t>
            </w:r>
          </w:p>
        </w:tc>
        <w:tc>
          <w:tcPr>
            <w:tcW w:w="1029" w:type="dxa"/>
            <w:tcBorders>
              <w:top w:val="single" w:sz="4" w:space="0" w:color="auto"/>
              <w:bottom w:val="single" w:sz="4" w:space="0" w:color="auto"/>
            </w:tcBorders>
          </w:tcPr>
          <w:p w14:paraId="10B8259C" w14:textId="77777777" w:rsidR="00CF0E2D" w:rsidRPr="00297081" w:rsidRDefault="00CF0E2D" w:rsidP="00A60D4B">
            <w:pPr>
              <w:pStyle w:val="InitFigR"/>
              <w:keepNext/>
              <w:keepLines/>
              <w:rPr>
                <w:b/>
                <w:bCs/>
              </w:rPr>
            </w:pPr>
            <w:r w:rsidRPr="00297081">
              <w:rPr>
                <w:b/>
                <w:bCs/>
              </w:rPr>
              <w:t>2024-25</w:t>
            </w:r>
          </w:p>
          <w:p w14:paraId="038779C3" w14:textId="77777777" w:rsidR="00CF0E2D" w:rsidRPr="00297081" w:rsidRDefault="00CF0E2D" w:rsidP="00A60D4B">
            <w:pPr>
              <w:pStyle w:val="InitFigR"/>
              <w:keepNext/>
              <w:keepLines/>
              <w:rPr>
                <w:b/>
                <w:bCs/>
              </w:rPr>
            </w:pPr>
            <w:r w:rsidRPr="00297081">
              <w:rPr>
                <w:b/>
                <w:bCs/>
              </w:rPr>
              <w:t>$’000</w:t>
            </w:r>
          </w:p>
        </w:tc>
        <w:tc>
          <w:tcPr>
            <w:tcW w:w="1029" w:type="dxa"/>
            <w:tcBorders>
              <w:top w:val="single" w:sz="4" w:space="0" w:color="auto"/>
              <w:bottom w:val="single" w:sz="4" w:space="0" w:color="auto"/>
            </w:tcBorders>
          </w:tcPr>
          <w:p w14:paraId="7F56E821" w14:textId="77777777" w:rsidR="00CF0E2D" w:rsidRPr="004E341E" w:rsidRDefault="00CF0E2D" w:rsidP="00A60D4B">
            <w:pPr>
              <w:pStyle w:val="InitFigRBold"/>
              <w:keepNext/>
              <w:keepLines/>
            </w:pPr>
            <w:r w:rsidRPr="004E341E">
              <w:t>Total</w:t>
            </w:r>
          </w:p>
          <w:p w14:paraId="44144654" w14:textId="77777777" w:rsidR="00CF0E2D" w:rsidRPr="004E341E" w:rsidRDefault="00CF0E2D" w:rsidP="00A60D4B">
            <w:pPr>
              <w:pStyle w:val="InitFigBR"/>
              <w:keepNext/>
              <w:keepLines/>
            </w:pPr>
            <w:r w:rsidRPr="004E341E">
              <w:t>$’000</w:t>
            </w:r>
          </w:p>
        </w:tc>
      </w:tr>
      <w:tr w:rsidR="00CF0E2D" w:rsidRPr="00750793" w14:paraId="2FBECD6A" w14:textId="77777777" w:rsidTr="00A60D4B">
        <w:trPr>
          <w:cantSplit/>
          <w:jc w:val="center"/>
        </w:trPr>
        <w:tc>
          <w:tcPr>
            <w:tcW w:w="3652" w:type="dxa"/>
          </w:tcPr>
          <w:p w14:paraId="60CD4C81" w14:textId="77777777" w:rsidR="00CF0E2D" w:rsidRPr="00F13FAB" w:rsidRDefault="00CF0E2D" w:rsidP="00A60D4B">
            <w:pPr>
              <w:pStyle w:val="InitTextL"/>
              <w:keepNext/>
              <w:keepLines/>
              <w:ind w:left="321" w:hanging="321"/>
            </w:pPr>
            <w:r w:rsidRPr="00882BE2">
              <w:t>Expenses</w:t>
            </w:r>
          </w:p>
        </w:tc>
        <w:tc>
          <w:tcPr>
            <w:tcW w:w="1179" w:type="dxa"/>
          </w:tcPr>
          <w:p w14:paraId="3EFCD14C" w14:textId="77777777" w:rsidR="00CF0E2D" w:rsidRPr="00424DA4" w:rsidRDefault="00CF0E2D" w:rsidP="00A60D4B">
            <w:pPr>
              <w:pStyle w:val="InitFigR"/>
              <w:keepNext/>
              <w:keepLines/>
            </w:pPr>
            <w:r>
              <w:t>229</w:t>
            </w:r>
          </w:p>
        </w:tc>
        <w:tc>
          <w:tcPr>
            <w:tcW w:w="1041" w:type="dxa"/>
          </w:tcPr>
          <w:p w14:paraId="03F621B0" w14:textId="77777777" w:rsidR="00CF0E2D" w:rsidRPr="00424DA4" w:rsidRDefault="00CF0E2D" w:rsidP="00A60D4B">
            <w:pPr>
              <w:pStyle w:val="InitFigR"/>
              <w:keepNext/>
              <w:keepLines/>
            </w:pPr>
            <w:r>
              <w:t>233</w:t>
            </w:r>
          </w:p>
        </w:tc>
        <w:tc>
          <w:tcPr>
            <w:tcW w:w="1029" w:type="dxa"/>
          </w:tcPr>
          <w:p w14:paraId="1476FE95" w14:textId="77777777" w:rsidR="00CF0E2D" w:rsidRPr="00424DA4" w:rsidRDefault="00CF0E2D" w:rsidP="00A60D4B">
            <w:pPr>
              <w:pStyle w:val="InitFigR"/>
              <w:keepNext/>
              <w:keepLines/>
            </w:pPr>
            <w:r>
              <w:t>163</w:t>
            </w:r>
          </w:p>
        </w:tc>
        <w:tc>
          <w:tcPr>
            <w:tcW w:w="1029" w:type="dxa"/>
          </w:tcPr>
          <w:p w14:paraId="341162F6" w14:textId="77777777" w:rsidR="00CF0E2D" w:rsidRPr="00424DA4" w:rsidRDefault="00CF0E2D" w:rsidP="00A60D4B">
            <w:pPr>
              <w:pStyle w:val="InitFigR"/>
              <w:keepNext/>
              <w:keepLines/>
            </w:pPr>
            <w:r>
              <w:t>165</w:t>
            </w:r>
          </w:p>
        </w:tc>
        <w:tc>
          <w:tcPr>
            <w:tcW w:w="1029" w:type="dxa"/>
          </w:tcPr>
          <w:p w14:paraId="1A0E4020" w14:textId="77777777" w:rsidR="00CF0E2D" w:rsidRPr="00424DA4" w:rsidRDefault="00CF0E2D" w:rsidP="00A60D4B">
            <w:pPr>
              <w:pStyle w:val="InitFigBR"/>
              <w:keepNext/>
              <w:keepLines/>
            </w:pPr>
            <w:r>
              <w:t>790</w:t>
            </w:r>
          </w:p>
        </w:tc>
      </w:tr>
      <w:tr w:rsidR="00CF0E2D" w:rsidRPr="00750793" w14:paraId="05F84B2E" w14:textId="77777777" w:rsidTr="00A60D4B">
        <w:trPr>
          <w:cantSplit/>
          <w:trHeight w:val="107"/>
          <w:jc w:val="center"/>
        </w:trPr>
        <w:tc>
          <w:tcPr>
            <w:tcW w:w="3652" w:type="dxa"/>
            <w:tcBorders>
              <w:bottom w:val="single" w:sz="4" w:space="0" w:color="auto"/>
            </w:tcBorders>
          </w:tcPr>
          <w:p w14:paraId="45DB216A" w14:textId="77777777" w:rsidR="00CF0E2D" w:rsidRDefault="00CF0E2D" w:rsidP="00A60D4B">
            <w:pPr>
              <w:pStyle w:val="InitTextL"/>
              <w:keepNext/>
              <w:keepLines/>
              <w:ind w:left="321" w:hanging="321"/>
            </w:pPr>
            <w:r>
              <w:t xml:space="preserve">Offset – Expenses </w:t>
            </w:r>
          </w:p>
        </w:tc>
        <w:tc>
          <w:tcPr>
            <w:tcW w:w="1179" w:type="dxa"/>
            <w:tcBorders>
              <w:bottom w:val="single" w:sz="4" w:space="0" w:color="auto"/>
            </w:tcBorders>
          </w:tcPr>
          <w:p w14:paraId="029DCB69" w14:textId="77777777" w:rsidR="00CF0E2D" w:rsidRPr="00424DA4" w:rsidRDefault="00CF0E2D" w:rsidP="00A60D4B">
            <w:pPr>
              <w:pStyle w:val="InitFigR"/>
              <w:keepNext/>
              <w:keepLines/>
            </w:pPr>
            <w:r>
              <w:t>-71</w:t>
            </w:r>
          </w:p>
        </w:tc>
        <w:tc>
          <w:tcPr>
            <w:tcW w:w="1041" w:type="dxa"/>
            <w:tcBorders>
              <w:bottom w:val="single" w:sz="4" w:space="0" w:color="auto"/>
            </w:tcBorders>
          </w:tcPr>
          <w:p w14:paraId="7A911DD5" w14:textId="77777777" w:rsidR="00CF0E2D" w:rsidRPr="00424DA4" w:rsidRDefault="00CF0E2D" w:rsidP="00A60D4B">
            <w:pPr>
              <w:pStyle w:val="InitFigR"/>
              <w:keepNext/>
              <w:keepLines/>
            </w:pPr>
            <w:r>
              <w:t>-73</w:t>
            </w:r>
          </w:p>
        </w:tc>
        <w:tc>
          <w:tcPr>
            <w:tcW w:w="1029" w:type="dxa"/>
            <w:tcBorders>
              <w:bottom w:val="single" w:sz="4" w:space="0" w:color="auto"/>
            </w:tcBorders>
          </w:tcPr>
          <w:p w14:paraId="2C327868" w14:textId="77777777" w:rsidR="00CF0E2D" w:rsidRPr="00424DA4" w:rsidRDefault="00CF0E2D" w:rsidP="00A60D4B">
            <w:pPr>
              <w:pStyle w:val="InitFigR"/>
              <w:keepNext/>
              <w:keepLines/>
            </w:pPr>
            <w:r>
              <w:t>0</w:t>
            </w:r>
          </w:p>
        </w:tc>
        <w:tc>
          <w:tcPr>
            <w:tcW w:w="1029" w:type="dxa"/>
            <w:tcBorders>
              <w:bottom w:val="single" w:sz="4" w:space="0" w:color="auto"/>
            </w:tcBorders>
          </w:tcPr>
          <w:p w14:paraId="2741FA49" w14:textId="77777777" w:rsidR="00CF0E2D" w:rsidRPr="00424DA4" w:rsidRDefault="00CF0E2D" w:rsidP="00A60D4B">
            <w:pPr>
              <w:pStyle w:val="InitFigR"/>
              <w:keepNext/>
              <w:keepLines/>
            </w:pPr>
            <w:r>
              <w:t>0</w:t>
            </w:r>
          </w:p>
        </w:tc>
        <w:tc>
          <w:tcPr>
            <w:tcW w:w="1029" w:type="dxa"/>
            <w:tcBorders>
              <w:bottom w:val="single" w:sz="4" w:space="0" w:color="auto"/>
            </w:tcBorders>
          </w:tcPr>
          <w:p w14:paraId="292B8775" w14:textId="77777777" w:rsidR="00CF0E2D" w:rsidRPr="00424DA4" w:rsidRDefault="00CF0E2D" w:rsidP="00A60D4B">
            <w:pPr>
              <w:pStyle w:val="InitFigBR"/>
              <w:keepNext/>
              <w:keepLines/>
            </w:pPr>
            <w:r>
              <w:t>-144</w:t>
            </w:r>
          </w:p>
        </w:tc>
      </w:tr>
      <w:tr w:rsidR="00CF0E2D" w:rsidRPr="00750793" w14:paraId="112348B1" w14:textId="77777777" w:rsidTr="00A60D4B">
        <w:trPr>
          <w:cantSplit/>
          <w:trHeight w:val="107"/>
          <w:jc w:val="center"/>
        </w:trPr>
        <w:tc>
          <w:tcPr>
            <w:tcW w:w="3652" w:type="dxa"/>
            <w:tcBorders>
              <w:top w:val="single" w:sz="4" w:space="0" w:color="auto"/>
              <w:bottom w:val="single" w:sz="4" w:space="0" w:color="auto"/>
            </w:tcBorders>
          </w:tcPr>
          <w:p w14:paraId="2168D59E" w14:textId="77777777" w:rsidR="00CF0E2D" w:rsidRDefault="00CF0E2D" w:rsidP="00A60D4B">
            <w:pPr>
              <w:pStyle w:val="InitFigLBold"/>
              <w:keepNext/>
              <w:keepLines/>
              <w:ind w:left="321" w:hanging="321"/>
            </w:pPr>
            <w:r>
              <w:t>Net cost of services</w:t>
            </w:r>
          </w:p>
        </w:tc>
        <w:tc>
          <w:tcPr>
            <w:tcW w:w="1179" w:type="dxa"/>
            <w:tcBorders>
              <w:top w:val="single" w:sz="4" w:space="0" w:color="auto"/>
              <w:bottom w:val="single" w:sz="4" w:space="0" w:color="auto"/>
            </w:tcBorders>
          </w:tcPr>
          <w:p w14:paraId="4DD7C0D3" w14:textId="77777777" w:rsidR="00CF0E2D" w:rsidRPr="00424DA4" w:rsidRDefault="00CF0E2D" w:rsidP="00A60D4B">
            <w:pPr>
              <w:pStyle w:val="InitFigRBold"/>
              <w:keepNext/>
              <w:keepLines/>
            </w:pPr>
            <w:r>
              <w:t>158</w:t>
            </w:r>
          </w:p>
        </w:tc>
        <w:tc>
          <w:tcPr>
            <w:tcW w:w="1041" w:type="dxa"/>
            <w:tcBorders>
              <w:top w:val="single" w:sz="4" w:space="0" w:color="auto"/>
              <w:bottom w:val="single" w:sz="4" w:space="0" w:color="auto"/>
            </w:tcBorders>
          </w:tcPr>
          <w:p w14:paraId="690D41DB" w14:textId="77777777" w:rsidR="00CF0E2D" w:rsidRPr="00424DA4" w:rsidRDefault="00CF0E2D" w:rsidP="00A60D4B">
            <w:pPr>
              <w:pStyle w:val="InitFigRBold"/>
              <w:keepNext/>
              <w:keepLines/>
            </w:pPr>
            <w:r>
              <w:t>160</w:t>
            </w:r>
          </w:p>
        </w:tc>
        <w:tc>
          <w:tcPr>
            <w:tcW w:w="1029" w:type="dxa"/>
            <w:tcBorders>
              <w:top w:val="single" w:sz="4" w:space="0" w:color="auto"/>
              <w:bottom w:val="single" w:sz="4" w:space="0" w:color="auto"/>
            </w:tcBorders>
          </w:tcPr>
          <w:p w14:paraId="3CA45B48" w14:textId="77777777" w:rsidR="00CF0E2D" w:rsidRPr="00424DA4" w:rsidRDefault="00CF0E2D" w:rsidP="00A60D4B">
            <w:pPr>
              <w:pStyle w:val="InitFigRBold"/>
              <w:keepNext/>
              <w:keepLines/>
            </w:pPr>
            <w:r>
              <w:t>163</w:t>
            </w:r>
          </w:p>
        </w:tc>
        <w:tc>
          <w:tcPr>
            <w:tcW w:w="1029" w:type="dxa"/>
            <w:tcBorders>
              <w:top w:val="single" w:sz="4" w:space="0" w:color="auto"/>
              <w:bottom w:val="single" w:sz="4" w:space="0" w:color="auto"/>
            </w:tcBorders>
          </w:tcPr>
          <w:p w14:paraId="084EA224" w14:textId="77777777" w:rsidR="00CF0E2D" w:rsidRPr="00424DA4" w:rsidRDefault="00CF0E2D" w:rsidP="00A60D4B">
            <w:pPr>
              <w:pStyle w:val="InitFigRBold"/>
              <w:keepNext/>
              <w:keepLines/>
            </w:pPr>
            <w:r>
              <w:t>165</w:t>
            </w:r>
          </w:p>
        </w:tc>
        <w:tc>
          <w:tcPr>
            <w:tcW w:w="1029" w:type="dxa"/>
            <w:tcBorders>
              <w:top w:val="single" w:sz="4" w:space="0" w:color="auto"/>
              <w:bottom w:val="single" w:sz="4" w:space="0" w:color="auto"/>
            </w:tcBorders>
          </w:tcPr>
          <w:p w14:paraId="4BAEEF68" w14:textId="77777777" w:rsidR="00CF0E2D" w:rsidRPr="00424DA4" w:rsidRDefault="00CF0E2D" w:rsidP="00A60D4B">
            <w:pPr>
              <w:pStyle w:val="InitFigRBold"/>
              <w:keepNext/>
              <w:keepLines/>
            </w:pPr>
            <w:r>
              <w:t>646</w:t>
            </w:r>
          </w:p>
        </w:tc>
      </w:tr>
    </w:tbl>
    <w:p w14:paraId="11A874F6" w14:textId="77777777" w:rsidR="00CF0E2D" w:rsidRPr="009F36A6" w:rsidRDefault="00CF0E2D" w:rsidP="00A60D4B">
      <w:pPr>
        <w:pStyle w:val="Bbodytext"/>
      </w:pPr>
      <w:r w:rsidRPr="00B052A9">
        <w:t>The Government will</w:t>
      </w:r>
      <w:r w:rsidRPr="009F36A6">
        <w:t xml:space="preserve"> provide funding to scope and design appropriate community led responses to address the trauma and harm from domestic and family violence for the Aboriginal and Torres Strait Islander community.</w:t>
      </w:r>
    </w:p>
    <w:p w14:paraId="069BBFDC" w14:textId="77777777" w:rsidR="00CF0E2D" w:rsidRPr="009F36A6" w:rsidRDefault="00CF0E2D" w:rsidP="00A60D4B">
      <w:pPr>
        <w:pStyle w:val="Bbodytext"/>
      </w:pPr>
      <w:r w:rsidRPr="00B052A9">
        <w:t xml:space="preserve">This initiative will be </w:t>
      </w:r>
      <w:r>
        <w:t xml:space="preserve">partially </w:t>
      </w:r>
      <w:r w:rsidRPr="00B052A9">
        <w:t>funded by the Safer Families Levy and builds on</w:t>
      </w:r>
      <w:r w:rsidRPr="009F36A6">
        <w:t xml:space="preserve"> the 2019-20 initiative to deliver further actions responding to the </w:t>
      </w:r>
      <w:r w:rsidRPr="00AE54D0">
        <w:rPr>
          <w:i/>
          <w:iCs/>
        </w:rPr>
        <w:t>We Don’t Shoot Our Wounded</w:t>
      </w:r>
      <w:r w:rsidRPr="009F36A6">
        <w:t xml:space="preserve"> and </w:t>
      </w:r>
      <w:r w:rsidRPr="00AE54D0">
        <w:rPr>
          <w:i/>
          <w:iCs/>
        </w:rPr>
        <w:t>Aboriginal Torres Strait Islander Community Forum: Domestic and Family Violence</w:t>
      </w:r>
      <w:r w:rsidRPr="009F36A6">
        <w:t xml:space="preserve"> reports. </w:t>
      </w:r>
    </w:p>
    <w:p w14:paraId="201C2122" w14:textId="77777777" w:rsidR="00CF0E2D" w:rsidRDefault="00CF0E2D" w:rsidP="00A60D4B">
      <w:pPr>
        <w:pStyle w:val="Bbodytext"/>
      </w:pPr>
      <w:r w:rsidRPr="00B052A9">
        <w:t xml:space="preserve">This initiative contributes to the wellbeing domain of Safety. </w:t>
      </w:r>
    </w:p>
    <w:p w14:paraId="722FD064" w14:textId="77777777" w:rsidR="00CF0E2D" w:rsidRDefault="00CF0E2D" w:rsidP="00A60D4B">
      <w:pPr>
        <w:pStyle w:val="Bbodytext"/>
      </w:pPr>
    </w:p>
    <w:p w14:paraId="2F5A91A0" w14:textId="77777777" w:rsidR="00CF0E2D" w:rsidRDefault="00CF0E2D" w:rsidP="00A60D4B">
      <w:pPr>
        <w:pStyle w:val="Heading4"/>
      </w:pPr>
      <w:r w:rsidRPr="00F2171A">
        <w:rPr>
          <w:rFonts w:eastAsia="Times New Roman"/>
        </w:rPr>
        <w:t xml:space="preserve">Safer Families Levy </w:t>
      </w:r>
      <w:r>
        <w:rPr>
          <w:rFonts w:eastAsia="Times New Roman" w:cs="Times New Roman"/>
          <w:bCs/>
          <w:szCs w:val="26"/>
        </w:rPr>
        <w:t>–</w:t>
      </w:r>
      <w:r w:rsidRPr="00F2171A">
        <w:rPr>
          <w:rFonts w:eastAsia="Times New Roman" w:cs="Times New Roman"/>
          <w:bCs/>
          <w:szCs w:val="26"/>
        </w:rPr>
        <w:t xml:space="preserve"> </w:t>
      </w:r>
      <w:r w:rsidRPr="002612D2">
        <w:rPr>
          <w:rFonts w:eastAsia="Times New Roman" w:cs="Times New Roman"/>
          <w:bCs/>
          <w:szCs w:val="26"/>
        </w:rPr>
        <w:t xml:space="preserve">Strengthening </w:t>
      </w:r>
      <w:r>
        <w:rPr>
          <w:rFonts w:eastAsia="Times New Roman" w:cs="Times New Roman"/>
          <w:bCs/>
          <w:szCs w:val="26"/>
        </w:rPr>
        <w:t>s</w:t>
      </w:r>
      <w:r w:rsidRPr="002612D2">
        <w:rPr>
          <w:rFonts w:eastAsia="Times New Roman" w:cs="Times New Roman"/>
          <w:bCs/>
          <w:szCs w:val="26"/>
        </w:rPr>
        <w:t xml:space="preserve">exual </w:t>
      </w:r>
      <w:r>
        <w:rPr>
          <w:rFonts w:eastAsia="Times New Roman" w:cs="Times New Roman"/>
          <w:bCs/>
          <w:szCs w:val="26"/>
        </w:rPr>
        <w:t>a</w:t>
      </w:r>
      <w:r w:rsidRPr="002612D2">
        <w:rPr>
          <w:rFonts w:eastAsia="Times New Roman" w:cs="Times New Roman"/>
          <w:bCs/>
          <w:szCs w:val="26"/>
        </w:rPr>
        <w:t xml:space="preserve">ssault </w:t>
      </w:r>
      <w:r>
        <w:rPr>
          <w:rFonts w:eastAsia="Times New Roman" w:cs="Times New Roman"/>
          <w:bCs/>
          <w:szCs w:val="26"/>
        </w:rPr>
        <w:t>p</w:t>
      </w:r>
      <w:r w:rsidRPr="002612D2">
        <w:rPr>
          <w:rFonts w:eastAsia="Times New Roman" w:cs="Times New Roman"/>
          <w:bCs/>
          <w:szCs w:val="26"/>
        </w:rPr>
        <w:t xml:space="preserve">revention and </w:t>
      </w:r>
      <w:r>
        <w:rPr>
          <w:rFonts w:eastAsia="Times New Roman" w:cs="Times New Roman"/>
          <w:bCs/>
          <w:szCs w:val="26"/>
        </w:rPr>
        <w:t>r</w:t>
      </w:r>
      <w:r w:rsidRPr="002612D2">
        <w:rPr>
          <w:rFonts w:eastAsia="Times New Roman" w:cs="Times New Roman"/>
          <w:bCs/>
          <w:szCs w:val="26"/>
        </w:rPr>
        <w:t xml:space="preserve">esponse </w:t>
      </w:r>
      <w:r>
        <w:rPr>
          <w:b w:val="0"/>
          <w:noProof/>
          <w:color w:val="999789"/>
          <w:sz w:val="32"/>
          <w:szCs w:val="24"/>
        </w:rPr>
        <w:drawing>
          <wp:anchor distT="0" distB="0" distL="114300" distR="114300" simplePos="0" relativeHeight="251791360" behindDoc="0" locked="1" layoutInCell="1" allowOverlap="1" wp14:anchorId="3B82948F" wp14:editId="1B8A18FA">
            <wp:simplePos x="0" y="0"/>
            <wp:positionH relativeFrom="margin">
              <wp:posOffset>4711065</wp:posOffset>
            </wp:positionH>
            <wp:positionV relativeFrom="paragraph">
              <wp:posOffset>80645</wp:posOffset>
            </wp:positionV>
            <wp:extent cx="989965" cy="503555"/>
            <wp:effectExtent l="0" t="0" r="635" b="0"/>
            <wp:wrapSquare wrapText="bothSides"/>
            <wp:docPr id="105" name="Picture 105"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3334F25A" w14:textId="77777777" w:rsidTr="00A60D4B">
        <w:trPr>
          <w:cantSplit/>
          <w:jc w:val="center"/>
        </w:trPr>
        <w:tc>
          <w:tcPr>
            <w:tcW w:w="3652" w:type="dxa"/>
            <w:tcBorders>
              <w:top w:val="single" w:sz="4" w:space="0" w:color="auto"/>
              <w:bottom w:val="single" w:sz="4" w:space="0" w:color="auto"/>
            </w:tcBorders>
          </w:tcPr>
          <w:p w14:paraId="4091865C"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29DC4C18" w14:textId="77777777" w:rsidR="00CF0E2D" w:rsidRPr="00297081" w:rsidRDefault="00CF0E2D" w:rsidP="00A60D4B">
            <w:pPr>
              <w:pStyle w:val="InitFigR"/>
              <w:rPr>
                <w:b/>
                <w:bCs/>
              </w:rPr>
            </w:pPr>
            <w:r w:rsidRPr="00297081">
              <w:rPr>
                <w:b/>
                <w:bCs/>
              </w:rPr>
              <w:t>2021-22</w:t>
            </w:r>
          </w:p>
          <w:p w14:paraId="035FF1F0" w14:textId="77777777" w:rsidR="00CF0E2D" w:rsidRPr="00297081" w:rsidRDefault="00CF0E2D" w:rsidP="00A60D4B">
            <w:pPr>
              <w:pStyle w:val="InitFigR"/>
              <w:rPr>
                <w:b/>
                <w:bCs/>
              </w:rPr>
            </w:pPr>
            <w:r w:rsidRPr="00297081">
              <w:rPr>
                <w:b/>
                <w:bCs/>
              </w:rPr>
              <w:t>$’000</w:t>
            </w:r>
          </w:p>
        </w:tc>
        <w:tc>
          <w:tcPr>
            <w:tcW w:w="1041" w:type="dxa"/>
            <w:tcBorders>
              <w:top w:val="single" w:sz="4" w:space="0" w:color="auto"/>
              <w:bottom w:val="single" w:sz="4" w:space="0" w:color="auto"/>
            </w:tcBorders>
          </w:tcPr>
          <w:p w14:paraId="12D14707" w14:textId="77777777" w:rsidR="00CF0E2D" w:rsidRPr="00297081" w:rsidRDefault="00CF0E2D" w:rsidP="00A60D4B">
            <w:pPr>
              <w:pStyle w:val="InitFigR"/>
              <w:rPr>
                <w:b/>
                <w:bCs/>
              </w:rPr>
            </w:pPr>
            <w:r w:rsidRPr="00297081">
              <w:rPr>
                <w:b/>
                <w:bCs/>
              </w:rPr>
              <w:t>2022-23</w:t>
            </w:r>
          </w:p>
          <w:p w14:paraId="019E8BEC" w14:textId="77777777" w:rsidR="00CF0E2D" w:rsidRPr="00297081" w:rsidRDefault="00CF0E2D" w:rsidP="00A60D4B">
            <w:pPr>
              <w:pStyle w:val="InitFigR"/>
              <w:rPr>
                <w:b/>
                <w:bCs/>
              </w:rPr>
            </w:pPr>
            <w:r w:rsidRPr="00297081">
              <w:rPr>
                <w:b/>
                <w:bCs/>
              </w:rPr>
              <w:t>$’000</w:t>
            </w:r>
          </w:p>
        </w:tc>
        <w:tc>
          <w:tcPr>
            <w:tcW w:w="1029" w:type="dxa"/>
            <w:tcBorders>
              <w:top w:val="single" w:sz="4" w:space="0" w:color="auto"/>
              <w:bottom w:val="single" w:sz="4" w:space="0" w:color="auto"/>
            </w:tcBorders>
          </w:tcPr>
          <w:p w14:paraId="3A6A8EF0" w14:textId="77777777" w:rsidR="00CF0E2D" w:rsidRPr="00297081" w:rsidRDefault="00CF0E2D" w:rsidP="00A60D4B">
            <w:pPr>
              <w:pStyle w:val="InitFigR"/>
              <w:rPr>
                <w:b/>
                <w:bCs/>
              </w:rPr>
            </w:pPr>
            <w:r w:rsidRPr="00297081">
              <w:rPr>
                <w:b/>
                <w:bCs/>
              </w:rPr>
              <w:t>2023-24</w:t>
            </w:r>
          </w:p>
          <w:p w14:paraId="24FA5B7E" w14:textId="77777777" w:rsidR="00CF0E2D" w:rsidRPr="00297081" w:rsidRDefault="00CF0E2D" w:rsidP="00A60D4B">
            <w:pPr>
              <w:pStyle w:val="InitFigR"/>
              <w:rPr>
                <w:b/>
                <w:bCs/>
              </w:rPr>
            </w:pPr>
            <w:r w:rsidRPr="00297081">
              <w:rPr>
                <w:b/>
                <w:bCs/>
              </w:rPr>
              <w:t>$’000</w:t>
            </w:r>
          </w:p>
        </w:tc>
        <w:tc>
          <w:tcPr>
            <w:tcW w:w="1029" w:type="dxa"/>
            <w:tcBorders>
              <w:top w:val="single" w:sz="4" w:space="0" w:color="auto"/>
              <w:bottom w:val="single" w:sz="4" w:space="0" w:color="auto"/>
            </w:tcBorders>
          </w:tcPr>
          <w:p w14:paraId="3394A899" w14:textId="77777777" w:rsidR="00CF0E2D" w:rsidRPr="00297081" w:rsidRDefault="00CF0E2D" w:rsidP="00A60D4B">
            <w:pPr>
              <w:pStyle w:val="InitFigR"/>
              <w:rPr>
                <w:b/>
                <w:bCs/>
              </w:rPr>
            </w:pPr>
            <w:r w:rsidRPr="00297081">
              <w:rPr>
                <w:b/>
                <w:bCs/>
              </w:rPr>
              <w:t>2024-25</w:t>
            </w:r>
          </w:p>
          <w:p w14:paraId="6914B56B" w14:textId="77777777" w:rsidR="00CF0E2D" w:rsidRPr="00297081" w:rsidRDefault="00CF0E2D" w:rsidP="00A60D4B">
            <w:pPr>
              <w:pStyle w:val="InitFigR"/>
              <w:rPr>
                <w:b/>
                <w:bCs/>
              </w:rPr>
            </w:pPr>
            <w:r w:rsidRPr="00297081">
              <w:rPr>
                <w:b/>
                <w:bCs/>
              </w:rPr>
              <w:t>$’000</w:t>
            </w:r>
          </w:p>
        </w:tc>
        <w:tc>
          <w:tcPr>
            <w:tcW w:w="1029" w:type="dxa"/>
            <w:tcBorders>
              <w:top w:val="single" w:sz="4" w:space="0" w:color="auto"/>
              <w:bottom w:val="single" w:sz="4" w:space="0" w:color="auto"/>
            </w:tcBorders>
          </w:tcPr>
          <w:p w14:paraId="5A80C0C8" w14:textId="77777777" w:rsidR="00CF0E2D" w:rsidRPr="004E341E" w:rsidRDefault="00CF0E2D" w:rsidP="00A60D4B">
            <w:pPr>
              <w:pStyle w:val="InitFigRBold"/>
            </w:pPr>
            <w:r w:rsidRPr="004E341E">
              <w:t>Total</w:t>
            </w:r>
          </w:p>
          <w:p w14:paraId="18709C9D" w14:textId="77777777" w:rsidR="00CF0E2D" w:rsidRPr="004E341E" w:rsidRDefault="00CF0E2D" w:rsidP="00A60D4B">
            <w:pPr>
              <w:pStyle w:val="InitFigBR"/>
            </w:pPr>
            <w:r w:rsidRPr="004E341E">
              <w:t>$’000</w:t>
            </w:r>
          </w:p>
        </w:tc>
      </w:tr>
      <w:tr w:rsidR="00CF0E2D" w:rsidRPr="00750793" w14:paraId="70963D00" w14:textId="77777777" w:rsidTr="00A60D4B">
        <w:trPr>
          <w:cantSplit/>
          <w:jc w:val="center"/>
        </w:trPr>
        <w:tc>
          <w:tcPr>
            <w:tcW w:w="3652" w:type="dxa"/>
            <w:tcBorders>
              <w:top w:val="single" w:sz="4" w:space="0" w:color="auto"/>
            </w:tcBorders>
          </w:tcPr>
          <w:p w14:paraId="11422CD5" w14:textId="77777777" w:rsidR="00CF0E2D" w:rsidRPr="00F13FAB" w:rsidRDefault="00CF0E2D" w:rsidP="00A60D4B">
            <w:pPr>
              <w:pStyle w:val="InitTextL"/>
              <w:ind w:left="321" w:hanging="321"/>
            </w:pPr>
            <w:r w:rsidRPr="00882BE2">
              <w:t>Expenses</w:t>
            </w:r>
          </w:p>
        </w:tc>
        <w:tc>
          <w:tcPr>
            <w:tcW w:w="1179" w:type="dxa"/>
            <w:tcBorders>
              <w:top w:val="single" w:sz="4" w:space="0" w:color="auto"/>
            </w:tcBorders>
          </w:tcPr>
          <w:p w14:paraId="32BE9B75" w14:textId="77777777" w:rsidR="00CF0E2D" w:rsidRPr="00424DA4" w:rsidRDefault="00CF0E2D" w:rsidP="00A60D4B">
            <w:pPr>
              <w:pStyle w:val="InitFigR"/>
            </w:pPr>
            <w:r>
              <w:t>413</w:t>
            </w:r>
          </w:p>
        </w:tc>
        <w:tc>
          <w:tcPr>
            <w:tcW w:w="1041" w:type="dxa"/>
            <w:tcBorders>
              <w:top w:val="single" w:sz="4" w:space="0" w:color="auto"/>
            </w:tcBorders>
          </w:tcPr>
          <w:p w14:paraId="555E9432" w14:textId="77777777" w:rsidR="00CF0E2D" w:rsidRPr="00424DA4" w:rsidRDefault="00CF0E2D" w:rsidP="00A60D4B">
            <w:pPr>
              <w:pStyle w:val="InitFigR"/>
            </w:pPr>
            <w:r>
              <w:t>358</w:t>
            </w:r>
          </w:p>
        </w:tc>
        <w:tc>
          <w:tcPr>
            <w:tcW w:w="1029" w:type="dxa"/>
            <w:tcBorders>
              <w:top w:val="single" w:sz="4" w:space="0" w:color="auto"/>
            </w:tcBorders>
          </w:tcPr>
          <w:p w14:paraId="286820F3" w14:textId="77777777" w:rsidR="00CF0E2D" w:rsidRPr="00424DA4" w:rsidRDefault="00CF0E2D" w:rsidP="00A60D4B">
            <w:pPr>
              <w:pStyle w:val="InitFigR"/>
            </w:pPr>
            <w:r>
              <w:t>362</w:t>
            </w:r>
          </w:p>
        </w:tc>
        <w:tc>
          <w:tcPr>
            <w:tcW w:w="1029" w:type="dxa"/>
            <w:tcBorders>
              <w:top w:val="single" w:sz="4" w:space="0" w:color="auto"/>
            </w:tcBorders>
          </w:tcPr>
          <w:p w14:paraId="3DC4DB80" w14:textId="77777777" w:rsidR="00CF0E2D" w:rsidRPr="00424DA4" w:rsidRDefault="00CF0E2D" w:rsidP="00A60D4B">
            <w:pPr>
              <w:pStyle w:val="InitFigR"/>
            </w:pPr>
            <w:r>
              <w:t>367</w:t>
            </w:r>
          </w:p>
        </w:tc>
        <w:tc>
          <w:tcPr>
            <w:tcW w:w="1029" w:type="dxa"/>
            <w:tcBorders>
              <w:top w:val="single" w:sz="4" w:space="0" w:color="auto"/>
            </w:tcBorders>
          </w:tcPr>
          <w:p w14:paraId="44259371" w14:textId="77777777" w:rsidR="00CF0E2D" w:rsidRPr="00424DA4" w:rsidRDefault="00CF0E2D" w:rsidP="00A60D4B">
            <w:pPr>
              <w:pStyle w:val="InitFigBR"/>
            </w:pPr>
            <w:r>
              <w:t>1,500</w:t>
            </w:r>
          </w:p>
        </w:tc>
      </w:tr>
      <w:tr w:rsidR="00CF0E2D" w:rsidRPr="00750793" w14:paraId="7D26EF8E" w14:textId="77777777" w:rsidTr="00A60D4B">
        <w:trPr>
          <w:cantSplit/>
          <w:trHeight w:val="107"/>
          <w:jc w:val="center"/>
        </w:trPr>
        <w:tc>
          <w:tcPr>
            <w:tcW w:w="3652" w:type="dxa"/>
            <w:tcBorders>
              <w:bottom w:val="single" w:sz="4" w:space="0" w:color="auto"/>
            </w:tcBorders>
          </w:tcPr>
          <w:p w14:paraId="4EAF18DE" w14:textId="77777777" w:rsidR="00CF0E2D" w:rsidRDefault="00CF0E2D" w:rsidP="00A60D4B">
            <w:pPr>
              <w:pStyle w:val="InitTextL"/>
              <w:ind w:left="321" w:hanging="321"/>
            </w:pPr>
            <w:bookmarkStart w:id="46" w:name="_Hlk78272729"/>
            <w:r w:rsidRPr="006F5650">
              <w:t xml:space="preserve">Offset </w:t>
            </w:r>
            <w:r>
              <w:t xml:space="preserve">– </w:t>
            </w:r>
            <w:r w:rsidRPr="006F5650">
              <w:t>Expenses</w:t>
            </w:r>
            <w:r>
              <w:t xml:space="preserve"> </w:t>
            </w:r>
          </w:p>
        </w:tc>
        <w:tc>
          <w:tcPr>
            <w:tcW w:w="1179" w:type="dxa"/>
            <w:tcBorders>
              <w:bottom w:val="single" w:sz="4" w:space="0" w:color="auto"/>
            </w:tcBorders>
          </w:tcPr>
          <w:p w14:paraId="2E59DDD5" w14:textId="77777777" w:rsidR="00CF0E2D" w:rsidRPr="00424DA4" w:rsidRDefault="00CF0E2D" w:rsidP="00A60D4B">
            <w:pPr>
              <w:pStyle w:val="InitFigR"/>
            </w:pPr>
            <w:r>
              <w:t>-80</w:t>
            </w:r>
          </w:p>
        </w:tc>
        <w:tc>
          <w:tcPr>
            <w:tcW w:w="1041" w:type="dxa"/>
            <w:tcBorders>
              <w:bottom w:val="single" w:sz="4" w:space="0" w:color="auto"/>
            </w:tcBorders>
          </w:tcPr>
          <w:p w14:paraId="489FFE68" w14:textId="77777777" w:rsidR="00CF0E2D" w:rsidRPr="00424DA4" w:rsidRDefault="00CF0E2D" w:rsidP="00A60D4B">
            <w:pPr>
              <w:pStyle w:val="InitFigR"/>
            </w:pPr>
            <w:r>
              <w:t>-20</w:t>
            </w:r>
          </w:p>
        </w:tc>
        <w:tc>
          <w:tcPr>
            <w:tcW w:w="1029" w:type="dxa"/>
            <w:tcBorders>
              <w:bottom w:val="single" w:sz="4" w:space="0" w:color="auto"/>
            </w:tcBorders>
          </w:tcPr>
          <w:p w14:paraId="3CEFC74E" w14:textId="77777777" w:rsidR="00CF0E2D" w:rsidRPr="00424DA4" w:rsidRDefault="00CF0E2D" w:rsidP="00A60D4B">
            <w:pPr>
              <w:pStyle w:val="InitFigR"/>
            </w:pPr>
            <w:r>
              <w:t>-20</w:t>
            </w:r>
          </w:p>
        </w:tc>
        <w:tc>
          <w:tcPr>
            <w:tcW w:w="1029" w:type="dxa"/>
            <w:tcBorders>
              <w:bottom w:val="single" w:sz="4" w:space="0" w:color="auto"/>
            </w:tcBorders>
          </w:tcPr>
          <w:p w14:paraId="55BDC7E9" w14:textId="77777777" w:rsidR="00CF0E2D" w:rsidRPr="00424DA4" w:rsidRDefault="00CF0E2D" w:rsidP="00A60D4B">
            <w:pPr>
              <w:pStyle w:val="InitFigR"/>
            </w:pPr>
            <w:r>
              <w:t>-20</w:t>
            </w:r>
          </w:p>
        </w:tc>
        <w:tc>
          <w:tcPr>
            <w:tcW w:w="1029" w:type="dxa"/>
            <w:tcBorders>
              <w:bottom w:val="single" w:sz="4" w:space="0" w:color="auto"/>
            </w:tcBorders>
          </w:tcPr>
          <w:p w14:paraId="6CAB27E8" w14:textId="77777777" w:rsidR="00CF0E2D" w:rsidRPr="00424DA4" w:rsidRDefault="00CF0E2D" w:rsidP="00A60D4B">
            <w:pPr>
              <w:pStyle w:val="InitFigBR"/>
            </w:pPr>
            <w:r>
              <w:t>-140</w:t>
            </w:r>
          </w:p>
        </w:tc>
      </w:tr>
      <w:tr w:rsidR="00CF0E2D" w:rsidRPr="00750793" w14:paraId="4F7F0668" w14:textId="77777777" w:rsidTr="00A60D4B">
        <w:trPr>
          <w:cantSplit/>
          <w:trHeight w:val="107"/>
          <w:jc w:val="center"/>
        </w:trPr>
        <w:tc>
          <w:tcPr>
            <w:tcW w:w="3652" w:type="dxa"/>
            <w:tcBorders>
              <w:top w:val="single" w:sz="4" w:space="0" w:color="auto"/>
              <w:bottom w:val="single" w:sz="4" w:space="0" w:color="auto"/>
            </w:tcBorders>
          </w:tcPr>
          <w:p w14:paraId="59C11997"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5FFF8B32" w14:textId="77777777" w:rsidR="00CF0E2D" w:rsidRPr="00424DA4" w:rsidRDefault="00CF0E2D" w:rsidP="00A60D4B">
            <w:pPr>
              <w:pStyle w:val="InitFigRBold"/>
            </w:pPr>
            <w:r>
              <w:t>333</w:t>
            </w:r>
          </w:p>
        </w:tc>
        <w:tc>
          <w:tcPr>
            <w:tcW w:w="1041" w:type="dxa"/>
            <w:tcBorders>
              <w:top w:val="single" w:sz="4" w:space="0" w:color="auto"/>
              <w:bottom w:val="single" w:sz="4" w:space="0" w:color="auto"/>
            </w:tcBorders>
          </w:tcPr>
          <w:p w14:paraId="698BF918" w14:textId="77777777" w:rsidR="00CF0E2D" w:rsidRPr="00424DA4" w:rsidRDefault="00CF0E2D" w:rsidP="00A60D4B">
            <w:pPr>
              <w:pStyle w:val="InitFigRBold"/>
            </w:pPr>
            <w:r>
              <w:t>338</w:t>
            </w:r>
          </w:p>
        </w:tc>
        <w:tc>
          <w:tcPr>
            <w:tcW w:w="1029" w:type="dxa"/>
            <w:tcBorders>
              <w:top w:val="single" w:sz="4" w:space="0" w:color="auto"/>
              <w:bottom w:val="single" w:sz="4" w:space="0" w:color="auto"/>
            </w:tcBorders>
          </w:tcPr>
          <w:p w14:paraId="39DFF831" w14:textId="77777777" w:rsidR="00CF0E2D" w:rsidRPr="00424DA4" w:rsidRDefault="00CF0E2D" w:rsidP="00A60D4B">
            <w:pPr>
              <w:pStyle w:val="InitFigRBold"/>
            </w:pPr>
            <w:r>
              <w:t>342</w:t>
            </w:r>
          </w:p>
        </w:tc>
        <w:tc>
          <w:tcPr>
            <w:tcW w:w="1029" w:type="dxa"/>
            <w:tcBorders>
              <w:top w:val="single" w:sz="4" w:space="0" w:color="auto"/>
              <w:bottom w:val="single" w:sz="4" w:space="0" w:color="auto"/>
            </w:tcBorders>
          </w:tcPr>
          <w:p w14:paraId="60414DE9" w14:textId="77777777" w:rsidR="00CF0E2D" w:rsidRPr="00424DA4" w:rsidRDefault="00CF0E2D" w:rsidP="00A60D4B">
            <w:pPr>
              <w:pStyle w:val="InitFigRBold"/>
            </w:pPr>
            <w:r>
              <w:t>347</w:t>
            </w:r>
          </w:p>
        </w:tc>
        <w:tc>
          <w:tcPr>
            <w:tcW w:w="1029" w:type="dxa"/>
            <w:tcBorders>
              <w:top w:val="single" w:sz="4" w:space="0" w:color="auto"/>
              <w:bottom w:val="single" w:sz="4" w:space="0" w:color="auto"/>
            </w:tcBorders>
          </w:tcPr>
          <w:p w14:paraId="4456C2E1" w14:textId="77777777" w:rsidR="00CF0E2D" w:rsidRPr="00424DA4" w:rsidRDefault="00CF0E2D" w:rsidP="00A60D4B">
            <w:pPr>
              <w:pStyle w:val="InitFigRBold"/>
            </w:pPr>
            <w:r>
              <w:t>1,360</w:t>
            </w:r>
          </w:p>
        </w:tc>
      </w:tr>
    </w:tbl>
    <w:bookmarkEnd w:id="46"/>
    <w:p w14:paraId="5725A75C" w14:textId="77777777" w:rsidR="00CF0E2D" w:rsidRPr="002612D2" w:rsidRDefault="00CF0E2D" w:rsidP="00A60D4B">
      <w:pPr>
        <w:pStyle w:val="Bbodytext"/>
        <w:rPr>
          <w:rFonts w:ascii="Calibri" w:eastAsia="Times New Roman" w:hAnsi="Calibri" w:cs="Times New Roman"/>
          <w:szCs w:val="20"/>
        </w:rPr>
      </w:pPr>
      <w:r w:rsidRPr="002612D2">
        <w:t>The Government will</w:t>
      </w:r>
      <w:r w:rsidRPr="002612D2">
        <w:rPr>
          <w:rFonts w:ascii="Calibri" w:eastAsia="Times New Roman" w:hAnsi="Calibri" w:cs="Times New Roman"/>
          <w:szCs w:val="20"/>
        </w:rPr>
        <w:t xml:space="preserve"> establish a Sexual Assault Prevention and Response Steering Committee and related working groups with expert community organisations and representatives to make recommendations to government on prevention, response, law reform and sexual harassment and assault in the workplace. </w:t>
      </w:r>
    </w:p>
    <w:p w14:paraId="5A925D9F" w14:textId="77777777" w:rsidR="00CF0E2D" w:rsidRDefault="00CF0E2D" w:rsidP="00A60D4B">
      <w:pPr>
        <w:pStyle w:val="Bbodytext"/>
      </w:pPr>
      <w:r w:rsidRPr="002612D2">
        <w:t xml:space="preserve">This initiative will be </w:t>
      </w:r>
      <w:r>
        <w:t xml:space="preserve">partially </w:t>
      </w:r>
      <w:r w:rsidRPr="002612D2">
        <w:t>funded by the Safer Families Levy</w:t>
      </w:r>
      <w:r>
        <w:t xml:space="preserve">. </w:t>
      </w:r>
    </w:p>
    <w:p w14:paraId="3C1E7780" w14:textId="77777777" w:rsidR="00CF0E2D" w:rsidRDefault="00CF0E2D" w:rsidP="00A60D4B">
      <w:pPr>
        <w:pStyle w:val="Bbodytext"/>
        <w:rPr>
          <w:rFonts w:ascii="Calibri" w:eastAsia="Times New Roman" w:hAnsi="Calibri" w:cs="Times New Roman"/>
          <w:szCs w:val="20"/>
        </w:rPr>
      </w:pPr>
      <w:r>
        <w:t xml:space="preserve">This initiative </w:t>
      </w:r>
      <w:r w:rsidRPr="002612D2">
        <w:rPr>
          <w:rFonts w:ascii="Calibri" w:eastAsia="Times New Roman" w:hAnsi="Calibri" w:cs="Times New Roman"/>
          <w:szCs w:val="20"/>
        </w:rPr>
        <w:t>contributes to the wellbeing domain of Safety.</w:t>
      </w:r>
    </w:p>
    <w:p w14:paraId="77DB4210" w14:textId="77777777" w:rsidR="00CF0E2D" w:rsidRPr="002612D2" w:rsidRDefault="00CF0E2D" w:rsidP="00A60D4B">
      <w:pPr>
        <w:pStyle w:val="Bbodytext"/>
        <w:rPr>
          <w:rFonts w:ascii="Calibri" w:eastAsia="Times New Roman" w:hAnsi="Calibri" w:cs="Times New Roman"/>
          <w:szCs w:val="20"/>
        </w:rPr>
      </w:pPr>
    </w:p>
    <w:p w14:paraId="3182547A" w14:textId="77777777" w:rsidR="00CF0E2D" w:rsidRDefault="00CF0E2D" w:rsidP="00A60D4B">
      <w:pPr>
        <w:pStyle w:val="Heading4"/>
      </w:pPr>
      <w:r w:rsidRPr="00F2171A">
        <w:rPr>
          <w:rFonts w:eastAsia="Times New Roman"/>
        </w:rPr>
        <w:t xml:space="preserve">Safer Families Levy </w:t>
      </w:r>
      <w:r>
        <w:rPr>
          <w:rFonts w:eastAsia="Times New Roman" w:cs="Times New Roman"/>
          <w:bCs/>
          <w:szCs w:val="26"/>
        </w:rPr>
        <w:t>–</w:t>
      </w:r>
      <w:r w:rsidRPr="00F2171A">
        <w:rPr>
          <w:rFonts w:eastAsia="Times New Roman" w:cs="Times New Roman"/>
          <w:bCs/>
          <w:szCs w:val="26"/>
        </w:rPr>
        <w:t xml:space="preserve"> </w:t>
      </w:r>
      <w:r w:rsidRPr="000425F9">
        <w:rPr>
          <w:rFonts w:eastAsia="Times New Roman" w:cs="Times New Roman"/>
          <w:bCs/>
          <w:szCs w:val="26"/>
        </w:rPr>
        <w:t xml:space="preserve">Women’s </w:t>
      </w:r>
      <w:r>
        <w:rPr>
          <w:rFonts w:eastAsia="Times New Roman" w:cs="Times New Roman"/>
          <w:bCs/>
          <w:szCs w:val="26"/>
        </w:rPr>
        <w:t>s</w:t>
      </w:r>
      <w:r w:rsidRPr="000425F9">
        <w:rPr>
          <w:rFonts w:eastAsia="Times New Roman" w:cs="Times New Roman"/>
          <w:bCs/>
          <w:szCs w:val="26"/>
        </w:rPr>
        <w:t xml:space="preserve">afety </w:t>
      </w:r>
      <w:r>
        <w:rPr>
          <w:rFonts w:eastAsia="Times New Roman" w:cs="Times New Roman"/>
          <w:bCs/>
          <w:szCs w:val="26"/>
        </w:rPr>
        <w:t>g</w:t>
      </w:r>
      <w:r w:rsidRPr="000425F9">
        <w:rPr>
          <w:rFonts w:eastAsia="Times New Roman" w:cs="Times New Roman"/>
          <w:bCs/>
          <w:szCs w:val="26"/>
        </w:rPr>
        <w:t>rants</w:t>
      </w:r>
      <w:r>
        <w:t xml:space="preserve"> </w:t>
      </w:r>
      <w:r>
        <w:rPr>
          <w:b w:val="0"/>
          <w:noProof/>
          <w:color w:val="999789"/>
          <w:sz w:val="32"/>
          <w:szCs w:val="24"/>
        </w:rPr>
        <w:drawing>
          <wp:anchor distT="0" distB="0" distL="114300" distR="114300" simplePos="0" relativeHeight="251792384" behindDoc="0" locked="1" layoutInCell="1" allowOverlap="1" wp14:anchorId="1BECFF4C" wp14:editId="6E0ABD3B">
            <wp:simplePos x="0" y="0"/>
            <wp:positionH relativeFrom="margin">
              <wp:align>right</wp:align>
            </wp:positionH>
            <wp:positionV relativeFrom="paragraph">
              <wp:posOffset>-132080</wp:posOffset>
            </wp:positionV>
            <wp:extent cx="989965" cy="503555"/>
            <wp:effectExtent l="0" t="0" r="635" b="0"/>
            <wp:wrapSquare wrapText="bothSides"/>
            <wp:docPr id="106" name="Picture 106"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5756504C" w14:textId="77777777" w:rsidTr="00A60D4B">
        <w:trPr>
          <w:cantSplit/>
          <w:jc w:val="center"/>
        </w:trPr>
        <w:tc>
          <w:tcPr>
            <w:tcW w:w="3652" w:type="dxa"/>
            <w:tcBorders>
              <w:top w:val="single" w:sz="4" w:space="0" w:color="auto"/>
              <w:bottom w:val="single" w:sz="4" w:space="0" w:color="auto"/>
            </w:tcBorders>
          </w:tcPr>
          <w:p w14:paraId="6FEF9F1D"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56B810B9" w14:textId="77777777" w:rsidR="00CF0E2D" w:rsidRPr="00297081" w:rsidRDefault="00CF0E2D" w:rsidP="00A60D4B">
            <w:pPr>
              <w:pStyle w:val="InitFigR"/>
              <w:keepNext/>
              <w:keepLines/>
              <w:rPr>
                <w:b/>
                <w:bCs/>
              </w:rPr>
            </w:pPr>
            <w:r w:rsidRPr="00297081">
              <w:rPr>
                <w:b/>
                <w:bCs/>
              </w:rPr>
              <w:t>2021-22</w:t>
            </w:r>
          </w:p>
          <w:p w14:paraId="6E666657" w14:textId="77777777" w:rsidR="00CF0E2D" w:rsidRPr="00297081" w:rsidRDefault="00CF0E2D" w:rsidP="00A60D4B">
            <w:pPr>
              <w:pStyle w:val="InitFigR"/>
              <w:keepNext/>
              <w:keepLines/>
              <w:rPr>
                <w:b/>
                <w:bCs/>
              </w:rPr>
            </w:pPr>
            <w:r w:rsidRPr="00297081">
              <w:rPr>
                <w:b/>
                <w:bCs/>
              </w:rPr>
              <w:t>$’000</w:t>
            </w:r>
          </w:p>
        </w:tc>
        <w:tc>
          <w:tcPr>
            <w:tcW w:w="1041" w:type="dxa"/>
            <w:tcBorders>
              <w:top w:val="single" w:sz="4" w:space="0" w:color="auto"/>
              <w:bottom w:val="single" w:sz="4" w:space="0" w:color="auto"/>
            </w:tcBorders>
          </w:tcPr>
          <w:p w14:paraId="69710F57" w14:textId="77777777" w:rsidR="00CF0E2D" w:rsidRPr="00297081" w:rsidRDefault="00CF0E2D" w:rsidP="00A60D4B">
            <w:pPr>
              <w:pStyle w:val="InitFigR"/>
              <w:keepNext/>
              <w:keepLines/>
              <w:rPr>
                <w:b/>
                <w:bCs/>
              </w:rPr>
            </w:pPr>
            <w:r w:rsidRPr="00297081">
              <w:rPr>
                <w:b/>
                <w:bCs/>
              </w:rPr>
              <w:t>2022-23</w:t>
            </w:r>
          </w:p>
          <w:p w14:paraId="316660A3" w14:textId="77777777" w:rsidR="00CF0E2D" w:rsidRPr="00297081" w:rsidRDefault="00CF0E2D" w:rsidP="00A60D4B">
            <w:pPr>
              <w:pStyle w:val="InitFigR"/>
              <w:keepNext/>
              <w:keepLines/>
              <w:rPr>
                <w:b/>
                <w:bCs/>
              </w:rPr>
            </w:pPr>
            <w:r w:rsidRPr="00297081">
              <w:rPr>
                <w:b/>
                <w:bCs/>
              </w:rPr>
              <w:t>$’000</w:t>
            </w:r>
          </w:p>
        </w:tc>
        <w:tc>
          <w:tcPr>
            <w:tcW w:w="1029" w:type="dxa"/>
            <w:tcBorders>
              <w:top w:val="single" w:sz="4" w:space="0" w:color="auto"/>
              <w:bottom w:val="single" w:sz="4" w:space="0" w:color="auto"/>
            </w:tcBorders>
          </w:tcPr>
          <w:p w14:paraId="3F96137F" w14:textId="77777777" w:rsidR="00CF0E2D" w:rsidRPr="00297081" w:rsidRDefault="00CF0E2D" w:rsidP="00A60D4B">
            <w:pPr>
              <w:pStyle w:val="InitFigR"/>
              <w:keepNext/>
              <w:keepLines/>
              <w:rPr>
                <w:b/>
                <w:bCs/>
              </w:rPr>
            </w:pPr>
            <w:r w:rsidRPr="00297081">
              <w:rPr>
                <w:b/>
                <w:bCs/>
              </w:rPr>
              <w:t>2023-24</w:t>
            </w:r>
          </w:p>
          <w:p w14:paraId="7B76D782" w14:textId="77777777" w:rsidR="00CF0E2D" w:rsidRPr="00297081" w:rsidRDefault="00CF0E2D" w:rsidP="00A60D4B">
            <w:pPr>
              <w:pStyle w:val="InitFigR"/>
              <w:keepNext/>
              <w:keepLines/>
              <w:rPr>
                <w:b/>
                <w:bCs/>
              </w:rPr>
            </w:pPr>
            <w:r w:rsidRPr="00297081">
              <w:rPr>
                <w:b/>
                <w:bCs/>
              </w:rPr>
              <w:t>$’000</w:t>
            </w:r>
          </w:p>
        </w:tc>
        <w:tc>
          <w:tcPr>
            <w:tcW w:w="1029" w:type="dxa"/>
            <w:tcBorders>
              <w:top w:val="single" w:sz="4" w:space="0" w:color="auto"/>
              <w:bottom w:val="single" w:sz="4" w:space="0" w:color="auto"/>
            </w:tcBorders>
          </w:tcPr>
          <w:p w14:paraId="19369768" w14:textId="77777777" w:rsidR="00CF0E2D" w:rsidRPr="00297081" w:rsidRDefault="00CF0E2D" w:rsidP="00A60D4B">
            <w:pPr>
              <w:pStyle w:val="InitFigR"/>
              <w:keepNext/>
              <w:keepLines/>
              <w:rPr>
                <w:b/>
                <w:bCs/>
              </w:rPr>
            </w:pPr>
            <w:r w:rsidRPr="00297081">
              <w:rPr>
                <w:b/>
                <w:bCs/>
              </w:rPr>
              <w:t>2024-25</w:t>
            </w:r>
          </w:p>
          <w:p w14:paraId="5E5B29F3" w14:textId="77777777" w:rsidR="00CF0E2D" w:rsidRPr="00297081" w:rsidRDefault="00CF0E2D" w:rsidP="00A60D4B">
            <w:pPr>
              <w:pStyle w:val="InitFigR"/>
              <w:keepNext/>
              <w:keepLines/>
              <w:rPr>
                <w:b/>
                <w:bCs/>
              </w:rPr>
            </w:pPr>
            <w:r w:rsidRPr="00297081">
              <w:rPr>
                <w:b/>
                <w:bCs/>
              </w:rPr>
              <w:t>$’000</w:t>
            </w:r>
          </w:p>
        </w:tc>
        <w:tc>
          <w:tcPr>
            <w:tcW w:w="1029" w:type="dxa"/>
            <w:tcBorders>
              <w:top w:val="single" w:sz="4" w:space="0" w:color="auto"/>
              <w:bottom w:val="single" w:sz="4" w:space="0" w:color="auto"/>
            </w:tcBorders>
          </w:tcPr>
          <w:p w14:paraId="6A653FD1" w14:textId="77777777" w:rsidR="00CF0E2D" w:rsidRPr="004E341E" w:rsidRDefault="00CF0E2D" w:rsidP="00A60D4B">
            <w:pPr>
              <w:pStyle w:val="InitFigRBold"/>
              <w:keepNext/>
              <w:keepLines/>
            </w:pPr>
            <w:r w:rsidRPr="004E341E">
              <w:t>Total</w:t>
            </w:r>
          </w:p>
          <w:p w14:paraId="494E2E62" w14:textId="77777777" w:rsidR="00CF0E2D" w:rsidRPr="004E341E" w:rsidRDefault="00CF0E2D" w:rsidP="00A60D4B">
            <w:pPr>
              <w:pStyle w:val="InitFigBR"/>
              <w:keepNext/>
              <w:keepLines/>
            </w:pPr>
            <w:r w:rsidRPr="004E341E">
              <w:t>$’000</w:t>
            </w:r>
          </w:p>
        </w:tc>
      </w:tr>
      <w:tr w:rsidR="00CF0E2D" w:rsidRPr="00750793" w14:paraId="6BDE3C5F" w14:textId="77777777" w:rsidTr="00A60D4B">
        <w:trPr>
          <w:cantSplit/>
          <w:jc w:val="center"/>
        </w:trPr>
        <w:tc>
          <w:tcPr>
            <w:tcW w:w="3652" w:type="dxa"/>
            <w:tcBorders>
              <w:top w:val="single" w:sz="4" w:space="0" w:color="auto"/>
            </w:tcBorders>
          </w:tcPr>
          <w:p w14:paraId="255366A0" w14:textId="77777777" w:rsidR="00CF0E2D" w:rsidRPr="00F13FAB" w:rsidRDefault="00CF0E2D" w:rsidP="00A60D4B">
            <w:pPr>
              <w:pStyle w:val="InitTextL"/>
              <w:keepNext/>
              <w:keepLines/>
              <w:ind w:left="321" w:hanging="321"/>
            </w:pPr>
            <w:r w:rsidRPr="00882BE2">
              <w:t>Expenses</w:t>
            </w:r>
          </w:p>
        </w:tc>
        <w:tc>
          <w:tcPr>
            <w:tcW w:w="1179" w:type="dxa"/>
            <w:tcBorders>
              <w:top w:val="single" w:sz="4" w:space="0" w:color="auto"/>
            </w:tcBorders>
          </w:tcPr>
          <w:p w14:paraId="0B94DB00" w14:textId="77777777" w:rsidR="00CF0E2D" w:rsidRPr="00424DA4" w:rsidRDefault="00CF0E2D" w:rsidP="00A60D4B">
            <w:pPr>
              <w:pStyle w:val="InitFigR"/>
              <w:keepNext/>
              <w:keepLines/>
            </w:pPr>
            <w:r>
              <w:t>100</w:t>
            </w:r>
          </w:p>
        </w:tc>
        <w:tc>
          <w:tcPr>
            <w:tcW w:w="1041" w:type="dxa"/>
            <w:tcBorders>
              <w:top w:val="single" w:sz="4" w:space="0" w:color="auto"/>
            </w:tcBorders>
          </w:tcPr>
          <w:p w14:paraId="68A23E6D" w14:textId="77777777" w:rsidR="00CF0E2D" w:rsidRPr="00424DA4" w:rsidRDefault="00CF0E2D" w:rsidP="00A60D4B">
            <w:pPr>
              <w:pStyle w:val="InitFigR"/>
              <w:keepNext/>
              <w:keepLines/>
            </w:pPr>
            <w:r>
              <w:t>100</w:t>
            </w:r>
          </w:p>
        </w:tc>
        <w:tc>
          <w:tcPr>
            <w:tcW w:w="1029" w:type="dxa"/>
            <w:tcBorders>
              <w:top w:val="single" w:sz="4" w:space="0" w:color="auto"/>
            </w:tcBorders>
          </w:tcPr>
          <w:p w14:paraId="3341DAFA" w14:textId="77777777" w:rsidR="00CF0E2D" w:rsidRPr="00424DA4" w:rsidRDefault="00CF0E2D" w:rsidP="00A60D4B">
            <w:pPr>
              <w:pStyle w:val="InitFigR"/>
              <w:keepNext/>
              <w:keepLines/>
            </w:pPr>
            <w:r>
              <w:t>100</w:t>
            </w:r>
          </w:p>
        </w:tc>
        <w:tc>
          <w:tcPr>
            <w:tcW w:w="1029" w:type="dxa"/>
            <w:tcBorders>
              <w:top w:val="single" w:sz="4" w:space="0" w:color="auto"/>
            </w:tcBorders>
          </w:tcPr>
          <w:p w14:paraId="007A7A92" w14:textId="77777777" w:rsidR="00CF0E2D" w:rsidRPr="00424DA4" w:rsidRDefault="00CF0E2D" w:rsidP="00A60D4B">
            <w:pPr>
              <w:pStyle w:val="InitFigR"/>
              <w:keepNext/>
              <w:keepLines/>
            </w:pPr>
            <w:r>
              <w:t>100</w:t>
            </w:r>
          </w:p>
        </w:tc>
        <w:tc>
          <w:tcPr>
            <w:tcW w:w="1029" w:type="dxa"/>
            <w:tcBorders>
              <w:top w:val="single" w:sz="4" w:space="0" w:color="auto"/>
            </w:tcBorders>
          </w:tcPr>
          <w:p w14:paraId="75BCED08" w14:textId="77777777" w:rsidR="00CF0E2D" w:rsidRPr="00424DA4" w:rsidRDefault="00CF0E2D" w:rsidP="00A60D4B">
            <w:pPr>
              <w:pStyle w:val="InitFigBR"/>
              <w:keepNext/>
              <w:keepLines/>
            </w:pPr>
            <w:r>
              <w:t>400</w:t>
            </w:r>
          </w:p>
        </w:tc>
      </w:tr>
      <w:tr w:rsidR="00CF0E2D" w:rsidRPr="00750793" w14:paraId="11C3D0C7" w14:textId="77777777" w:rsidTr="00A60D4B">
        <w:trPr>
          <w:cantSplit/>
          <w:trHeight w:val="107"/>
          <w:jc w:val="center"/>
        </w:trPr>
        <w:tc>
          <w:tcPr>
            <w:tcW w:w="3652" w:type="dxa"/>
            <w:tcBorders>
              <w:bottom w:val="single" w:sz="4" w:space="0" w:color="auto"/>
            </w:tcBorders>
          </w:tcPr>
          <w:p w14:paraId="47BF069E" w14:textId="77777777" w:rsidR="00CF0E2D" w:rsidRDefault="00CF0E2D" w:rsidP="00A60D4B">
            <w:pPr>
              <w:pStyle w:val="InitTextL"/>
              <w:keepNext/>
              <w:keepLines/>
              <w:ind w:left="321" w:hanging="321"/>
            </w:pPr>
            <w:r>
              <w:t xml:space="preserve">Offset – Expenses </w:t>
            </w:r>
          </w:p>
        </w:tc>
        <w:tc>
          <w:tcPr>
            <w:tcW w:w="1179" w:type="dxa"/>
            <w:tcBorders>
              <w:bottom w:val="single" w:sz="4" w:space="0" w:color="auto"/>
            </w:tcBorders>
          </w:tcPr>
          <w:p w14:paraId="066DA9DA" w14:textId="77777777" w:rsidR="00CF0E2D" w:rsidRPr="00424DA4" w:rsidRDefault="00CF0E2D" w:rsidP="00A60D4B">
            <w:pPr>
              <w:pStyle w:val="InitFigR"/>
              <w:keepNext/>
              <w:keepLines/>
            </w:pPr>
            <w:r>
              <w:t>-100</w:t>
            </w:r>
          </w:p>
        </w:tc>
        <w:tc>
          <w:tcPr>
            <w:tcW w:w="1041" w:type="dxa"/>
            <w:tcBorders>
              <w:bottom w:val="single" w:sz="4" w:space="0" w:color="auto"/>
            </w:tcBorders>
          </w:tcPr>
          <w:p w14:paraId="3819CA7E" w14:textId="77777777" w:rsidR="00CF0E2D" w:rsidRPr="00424DA4" w:rsidRDefault="00CF0E2D" w:rsidP="00A60D4B">
            <w:pPr>
              <w:pStyle w:val="InitFigR"/>
              <w:keepNext/>
              <w:keepLines/>
            </w:pPr>
            <w:r>
              <w:t>-100</w:t>
            </w:r>
          </w:p>
        </w:tc>
        <w:tc>
          <w:tcPr>
            <w:tcW w:w="1029" w:type="dxa"/>
            <w:tcBorders>
              <w:bottom w:val="single" w:sz="4" w:space="0" w:color="auto"/>
            </w:tcBorders>
          </w:tcPr>
          <w:p w14:paraId="507A0363" w14:textId="77777777" w:rsidR="00CF0E2D" w:rsidRPr="00424DA4" w:rsidRDefault="00CF0E2D" w:rsidP="00A60D4B">
            <w:pPr>
              <w:pStyle w:val="InitFigR"/>
              <w:keepNext/>
              <w:keepLines/>
            </w:pPr>
            <w:r>
              <w:t>-100</w:t>
            </w:r>
          </w:p>
        </w:tc>
        <w:tc>
          <w:tcPr>
            <w:tcW w:w="1029" w:type="dxa"/>
            <w:tcBorders>
              <w:bottom w:val="single" w:sz="4" w:space="0" w:color="auto"/>
            </w:tcBorders>
          </w:tcPr>
          <w:p w14:paraId="73E0CEF8" w14:textId="77777777" w:rsidR="00CF0E2D" w:rsidRPr="00424DA4" w:rsidRDefault="00CF0E2D" w:rsidP="00A60D4B">
            <w:pPr>
              <w:pStyle w:val="InitFigR"/>
              <w:keepNext/>
              <w:keepLines/>
            </w:pPr>
            <w:r>
              <w:t>-100</w:t>
            </w:r>
          </w:p>
        </w:tc>
        <w:tc>
          <w:tcPr>
            <w:tcW w:w="1029" w:type="dxa"/>
            <w:tcBorders>
              <w:bottom w:val="single" w:sz="4" w:space="0" w:color="auto"/>
            </w:tcBorders>
          </w:tcPr>
          <w:p w14:paraId="1270F06A" w14:textId="77777777" w:rsidR="00CF0E2D" w:rsidRPr="00424DA4" w:rsidRDefault="00CF0E2D" w:rsidP="00A60D4B">
            <w:pPr>
              <w:pStyle w:val="InitFigBR"/>
              <w:keepNext/>
              <w:keepLines/>
            </w:pPr>
            <w:r>
              <w:t>-400</w:t>
            </w:r>
          </w:p>
        </w:tc>
      </w:tr>
      <w:tr w:rsidR="00CF0E2D" w:rsidRPr="00750793" w14:paraId="3A32BDC4" w14:textId="77777777" w:rsidTr="00A60D4B">
        <w:trPr>
          <w:cantSplit/>
          <w:trHeight w:val="107"/>
          <w:jc w:val="center"/>
        </w:trPr>
        <w:tc>
          <w:tcPr>
            <w:tcW w:w="3652" w:type="dxa"/>
            <w:tcBorders>
              <w:top w:val="single" w:sz="4" w:space="0" w:color="auto"/>
              <w:bottom w:val="single" w:sz="4" w:space="0" w:color="auto"/>
            </w:tcBorders>
          </w:tcPr>
          <w:p w14:paraId="202D1399" w14:textId="77777777" w:rsidR="00CF0E2D" w:rsidRDefault="00CF0E2D" w:rsidP="00A60D4B">
            <w:pPr>
              <w:pStyle w:val="InitFigLBold"/>
              <w:keepNext/>
              <w:keepLines/>
              <w:ind w:left="321" w:hanging="321"/>
            </w:pPr>
            <w:r>
              <w:t>Net cost of services</w:t>
            </w:r>
          </w:p>
        </w:tc>
        <w:tc>
          <w:tcPr>
            <w:tcW w:w="1179" w:type="dxa"/>
            <w:tcBorders>
              <w:top w:val="single" w:sz="4" w:space="0" w:color="auto"/>
              <w:bottom w:val="single" w:sz="4" w:space="0" w:color="auto"/>
            </w:tcBorders>
          </w:tcPr>
          <w:p w14:paraId="7C559BFC" w14:textId="77777777" w:rsidR="00CF0E2D" w:rsidRPr="00424DA4" w:rsidRDefault="00CF0E2D" w:rsidP="00A60D4B">
            <w:pPr>
              <w:pStyle w:val="InitFigRBold"/>
              <w:keepNext/>
              <w:keepLines/>
            </w:pPr>
            <w:r>
              <w:t>0</w:t>
            </w:r>
          </w:p>
        </w:tc>
        <w:tc>
          <w:tcPr>
            <w:tcW w:w="1041" w:type="dxa"/>
            <w:tcBorders>
              <w:top w:val="single" w:sz="4" w:space="0" w:color="auto"/>
              <w:bottom w:val="single" w:sz="4" w:space="0" w:color="auto"/>
            </w:tcBorders>
          </w:tcPr>
          <w:p w14:paraId="7B4E16B8" w14:textId="77777777" w:rsidR="00CF0E2D" w:rsidRPr="00424DA4" w:rsidRDefault="00CF0E2D" w:rsidP="00A60D4B">
            <w:pPr>
              <w:pStyle w:val="InitFigRBold"/>
              <w:keepNext/>
              <w:keepLines/>
            </w:pPr>
            <w:r>
              <w:t>0</w:t>
            </w:r>
          </w:p>
        </w:tc>
        <w:tc>
          <w:tcPr>
            <w:tcW w:w="1029" w:type="dxa"/>
            <w:tcBorders>
              <w:top w:val="single" w:sz="4" w:space="0" w:color="auto"/>
              <w:bottom w:val="single" w:sz="4" w:space="0" w:color="auto"/>
            </w:tcBorders>
          </w:tcPr>
          <w:p w14:paraId="7DCA7A90" w14:textId="77777777" w:rsidR="00CF0E2D" w:rsidRPr="00424DA4" w:rsidRDefault="00CF0E2D" w:rsidP="00A60D4B">
            <w:pPr>
              <w:pStyle w:val="InitFigRBold"/>
              <w:keepNext/>
              <w:keepLines/>
            </w:pPr>
            <w:r>
              <w:t>0</w:t>
            </w:r>
          </w:p>
        </w:tc>
        <w:tc>
          <w:tcPr>
            <w:tcW w:w="1029" w:type="dxa"/>
            <w:tcBorders>
              <w:top w:val="single" w:sz="4" w:space="0" w:color="auto"/>
              <w:bottom w:val="single" w:sz="4" w:space="0" w:color="auto"/>
            </w:tcBorders>
          </w:tcPr>
          <w:p w14:paraId="5BCCF1E7" w14:textId="77777777" w:rsidR="00CF0E2D" w:rsidRPr="00424DA4" w:rsidRDefault="00CF0E2D" w:rsidP="00A60D4B">
            <w:pPr>
              <w:pStyle w:val="InitFigRBold"/>
              <w:keepNext/>
              <w:keepLines/>
            </w:pPr>
            <w:r>
              <w:t>0</w:t>
            </w:r>
          </w:p>
        </w:tc>
        <w:tc>
          <w:tcPr>
            <w:tcW w:w="1029" w:type="dxa"/>
            <w:tcBorders>
              <w:top w:val="single" w:sz="4" w:space="0" w:color="auto"/>
              <w:bottom w:val="single" w:sz="4" w:space="0" w:color="auto"/>
            </w:tcBorders>
          </w:tcPr>
          <w:p w14:paraId="6069140A" w14:textId="77777777" w:rsidR="00CF0E2D" w:rsidRPr="00424DA4" w:rsidRDefault="00CF0E2D" w:rsidP="00A60D4B">
            <w:pPr>
              <w:pStyle w:val="InitFigRBold"/>
              <w:keepNext/>
              <w:keepLines/>
            </w:pPr>
            <w:r>
              <w:t>0</w:t>
            </w:r>
          </w:p>
        </w:tc>
      </w:tr>
    </w:tbl>
    <w:p w14:paraId="47A6E4E4" w14:textId="77777777" w:rsidR="00CF0E2D" w:rsidRPr="000425F9" w:rsidRDefault="00CF0E2D" w:rsidP="00A60D4B">
      <w:pPr>
        <w:pStyle w:val="Bbodytext"/>
        <w:rPr>
          <w:rFonts w:ascii="Calibri" w:eastAsia="Times New Roman" w:hAnsi="Calibri" w:cs="Times New Roman"/>
          <w:szCs w:val="20"/>
        </w:rPr>
      </w:pPr>
      <w:r w:rsidRPr="000425F9">
        <w:t>The Government</w:t>
      </w:r>
      <w:r w:rsidRPr="000425F9">
        <w:rPr>
          <w:rFonts w:ascii="Calibri" w:eastAsia="Times New Roman" w:hAnsi="Calibri" w:cs="Times New Roman"/>
          <w:szCs w:val="20"/>
        </w:rPr>
        <w:t xml:space="preserve"> will continue to provide Women’s Safety Grants for activities that advance priorities identified in the Fourth Action Plan under </w:t>
      </w:r>
      <w:r w:rsidRPr="00EB652B">
        <w:rPr>
          <w:rFonts w:ascii="Calibri" w:eastAsia="Times New Roman" w:hAnsi="Calibri" w:cs="Times New Roman"/>
          <w:i/>
          <w:iCs/>
          <w:szCs w:val="20"/>
        </w:rPr>
        <w:t>The National Plan to Reduce Violence against Women and their Children 2010-2022.</w:t>
      </w:r>
    </w:p>
    <w:p w14:paraId="68A7CCC0" w14:textId="77777777" w:rsidR="00CF0E2D" w:rsidRPr="000425F9" w:rsidRDefault="00CF0E2D" w:rsidP="00A60D4B">
      <w:pPr>
        <w:pStyle w:val="Bbodytext"/>
        <w:rPr>
          <w:rFonts w:ascii="Calibri" w:eastAsia="Times New Roman" w:hAnsi="Calibri" w:cs="Times New Roman"/>
          <w:szCs w:val="20"/>
        </w:rPr>
      </w:pPr>
      <w:r w:rsidRPr="000425F9">
        <w:lastRenderedPageBreak/>
        <w:t>This initiative will be funded by the Safer Families Levy</w:t>
      </w:r>
      <w:r w:rsidRPr="000425F9">
        <w:rPr>
          <w:rFonts w:ascii="Calibri" w:eastAsia="Times New Roman" w:hAnsi="Calibri" w:cs="Times New Roman"/>
          <w:szCs w:val="20"/>
        </w:rPr>
        <w:t xml:space="preserve"> and contributes to the wellbeing domain of Safety.</w:t>
      </w:r>
    </w:p>
    <w:p w14:paraId="0866DE5C" w14:textId="77777777" w:rsidR="00CF0E2D" w:rsidRDefault="00CF0E2D">
      <w:r>
        <w:rPr>
          <w:noProof/>
        </w:rPr>
        <w:drawing>
          <wp:anchor distT="0" distB="0" distL="114300" distR="114300" simplePos="0" relativeHeight="251795456" behindDoc="0" locked="1" layoutInCell="1" allowOverlap="1" wp14:anchorId="2D0A6A3C" wp14:editId="039A458F">
            <wp:simplePos x="0" y="0"/>
            <wp:positionH relativeFrom="margin">
              <wp:align>right</wp:align>
            </wp:positionH>
            <wp:positionV relativeFrom="paragraph">
              <wp:posOffset>136525</wp:posOffset>
            </wp:positionV>
            <wp:extent cx="1378585" cy="507365"/>
            <wp:effectExtent l="0" t="0" r="0" b="6985"/>
            <wp:wrapSquare wrapText="bothSides"/>
            <wp:docPr id="110" name="Picture 110"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p w14:paraId="6D6D2585" w14:textId="77777777" w:rsidR="00CF0E2D" w:rsidRPr="001268D2" w:rsidRDefault="00CF0E2D" w:rsidP="00A60D4B">
      <w:pPr>
        <w:pStyle w:val="Heading4"/>
        <w:rPr>
          <w:rFonts w:eastAsia="Times New Roman" w:cs="Times New Roman"/>
          <w:bCs/>
          <w:szCs w:val="26"/>
        </w:rPr>
      </w:pPr>
      <w:r w:rsidRPr="001268D2">
        <w:rPr>
          <w:rFonts w:eastAsia="Times New Roman"/>
        </w:rPr>
        <w:t xml:space="preserve">Strengthening </w:t>
      </w:r>
      <w:r>
        <w:rPr>
          <w:rFonts w:eastAsia="Times New Roman" w:cs="Times New Roman"/>
          <w:bCs/>
          <w:szCs w:val="26"/>
        </w:rPr>
        <w:t>d</w:t>
      </w:r>
      <w:r w:rsidRPr="001268D2">
        <w:rPr>
          <w:rFonts w:eastAsia="Times New Roman" w:cs="Times New Roman"/>
          <w:bCs/>
          <w:szCs w:val="26"/>
        </w:rPr>
        <w:t xml:space="preserve">isability </w:t>
      </w:r>
      <w:r>
        <w:rPr>
          <w:rFonts w:eastAsia="Times New Roman" w:cs="Times New Roman"/>
          <w:bCs/>
          <w:szCs w:val="26"/>
        </w:rPr>
        <w:t>a</w:t>
      </w:r>
      <w:r w:rsidRPr="001268D2">
        <w:rPr>
          <w:rFonts w:eastAsia="Times New Roman" w:cs="Times New Roman"/>
          <w:bCs/>
          <w:szCs w:val="26"/>
        </w:rPr>
        <w:t xml:space="preserve">dvocacy </w:t>
      </w:r>
      <w:r>
        <w:rPr>
          <w:rFonts w:eastAsia="Times New Roman" w:cs="Times New Roman"/>
          <w:bCs/>
          <w:szCs w:val="26"/>
        </w:rPr>
        <w:t>s</w:t>
      </w:r>
      <w:r w:rsidRPr="001268D2">
        <w:rPr>
          <w:rFonts w:eastAsia="Times New Roman" w:cs="Times New Roman"/>
          <w:bCs/>
          <w:szCs w:val="26"/>
        </w:rPr>
        <w:t xml:space="preserve">ervices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3139C890" w14:textId="77777777" w:rsidTr="00A60D4B">
        <w:trPr>
          <w:cantSplit/>
          <w:jc w:val="center"/>
        </w:trPr>
        <w:tc>
          <w:tcPr>
            <w:tcW w:w="3652" w:type="dxa"/>
            <w:tcBorders>
              <w:top w:val="single" w:sz="4" w:space="0" w:color="auto"/>
              <w:bottom w:val="single" w:sz="4" w:space="0" w:color="auto"/>
            </w:tcBorders>
          </w:tcPr>
          <w:p w14:paraId="0F453EB4"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6E833BB5" w14:textId="77777777" w:rsidR="00CF0E2D" w:rsidRPr="00A1035B" w:rsidRDefault="00CF0E2D" w:rsidP="00A60D4B">
            <w:pPr>
              <w:pStyle w:val="InitFigR"/>
              <w:rPr>
                <w:b/>
                <w:bCs/>
              </w:rPr>
            </w:pPr>
            <w:r w:rsidRPr="00A1035B">
              <w:rPr>
                <w:b/>
                <w:bCs/>
              </w:rPr>
              <w:t>2021-22</w:t>
            </w:r>
          </w:p>
          <w:p w14:paraId="3B96710F" w14:textId="77777777" w:rsidR="00CF0E2D" w:rsidRPr="00A1035B" w:rsidRDefault="00CF0E2D" w:rsidP="00A60D4B">
            <w:pPr>
              <w:pStyle w:val="InitFigR"/>
              <w:rPr>
                <w:b/>
                <w:bCs/>
              </w:rPr>
            </w:pPr>
            <w:r w:rsidRPr="00A1035B">
              <w:rPr>
                <w:b/>
                <w:bCs/>
              </w:rPr>
              <w:t>$’000</w:t>
            </w:r>
          </w:p>
        </w:tc>
        <w:tc>
          <w:tcPr>
            <w:tcW w:w="1041" w:type="dxa"/>
            <w:tcBorders>
              <w:top w:val="single" w:sz="4" w:space="0" w:color="auto"/>
              <w:bottom w:val="single" w:sz="4" w:space="0" w:color="auto"/>
            </w:tcBorders>
          </w:tcPr>
          <w:p w14:paraId="157C3248" w14:textId="77777777" w:rsidR="00CF0E2D" w:rsidRPr="00A1035B" w:rsidRDefault="00CF0E2D" w:rsidP="00A60D4B">
            <w:pPr>
              <w:pStyle w:val="InitFigR"/>
              <w:rPr>
                <w:b/>
                <w:bCs/>
              </w:rPr>
            </w:pPr>
            <w:r w:rsidRPr="00A1035B">
              <w:rPr>
                <w:b/>
                <w:bCs/>
              </w:rPr>
              <w:t>2022-23</w:t>
            </w:r>
          </w:p>
          <w:p w14:paraId="58A1A1DD" w14:textId="77777777" w:rsidR="00CF0E2D" w:rsidRPr="00A1035B" w:rsidRDefault="00CF0E2D" w:rsidP="00A60D4B">
            <w:pPr>
              <w:pStyle w:val="InitFigR"/>
              <w:rPr>
                <w:b/>
                <w:bCs/>
              </w:rPr>
            </w:pPr>
            <w:r w:rsidRPr="00A1035B">
              <w:rPr>
                <w:b/>
                <w:bCs/>
              </w:rPr>
              <w:t>$’000</w:t>
            </w:r>
          </w:p>
        </w:tc>
        <w:tc>
          <w:tcPr>
            <w:tcW w:w="1029" w:type="dxa"/>
            <w:tcBorders>
              <w:top w:val="single" w:sz="4" w:space="0" w:color="auto"/>
              <w:bottom w:val="single" w:sz="4" w:space="0" w:color="auto"/>
            </w:tcBorders>
          </w:tcPr>
          <w:p w14:paraId="4BCB6D7B" w14:textId="77777777" w:rsidR="00CF0E2D" w:rsidRPr="00A1035B" w:rsidRDefault="00CF0E2D" w:rsidP="00A60D4B">
            <w:pPr>
              <w:pStyle w:val="InitFigR"/>
              <w:rPr>
                <w:b/>
                <w:bCs/>
              </w:rPr>
            </w:pPr>
            <w:r w:rsidRPr="00A1035B">
              <w:rPr>
                <w:b/>
                <w:bCs/>
              </w:rPr>
              <w:t>2023-24</w:t>
            </w:r>
          </w:p>
          <w:p w14:paraId="5633EB7D" w14:textId="77777777" w:rsidR="00CF0E2D" w:rsidRPr="00A1035B" w:rsidRDefault="00CF0E2D" w:rsidP="00A60D4B">
            <w:pPr>
              <w:pStyle w:val="InitFigR"/>
              <w:rPr>
                <w:b/>
                <w:bCs/>
              </w:rPr>
            </w:pPr>
            <w:r w:rsidRPr="00A1035B">
              <w:rPr>
                <w:b/>
                <w:bCs/>
              </w:rPr>
              <w:t>$’000</w:t>
            </w:r>
          </w:p>
        </w:tc>
        <w:tc>
          <w:tcPr>
            <w:tcW w:w="1029" w:type="dxa"/>
            <w:tcBorders>
              <w:top w:val="single" w:sz="4" w:space="0" w:color="auto"/>
              <w:bottom w:val="single" w:sz="4" w:space="0" w:color="auto"/>
            </w:tcBorders>
          </w:tcPr>
          <w:p w14:paraId="20DDF227" w14:textId="77777777" w:rsidR="00CF0E2D" w:rsidRPr="00A1035B" w:rsidRDefault="00CF0E2D" w:rsidP="00A60D4B">
            <w:pPr>
              <w:pStyle w:val="InitFigR"/>
              <w:rPr>
                <w:b/>
                <w:bCs/>
              </w:rPr>
            </w:pPr>
            <w:r w:rsidRPr="00A1035B">
              <w:rPr>
                <w:b/>
                <w:bCs/>
              </w:rPr>
              <w:t>2024-25</w:t>
            </w:r>
          </w:p>
          <w:p w14:paraId="7D9F908A" w14:textId="77777777" w:rsidR="00CF0E2D" w:rsidRPr="00A1035B" w:rsidRDefault="00CF0E2D" w:rsidP="00A60D4B">
            <w:pPr>
              <w:pStyle w:val="InitFigR"/>
              <w:rPr>
                <w:b/>
                <w:bCs/>
              </w:rPr>
            </w:pPr>
            <w:r w:rsidRPr="00A1035B">
              <w:rPr>
                <w:b/>
                <w:bCs/>
              </w:rPr>
              <w:t>$’000</w:t>
            </w:r>
          </w:p>
        </w:tc>
        <w:tc>
          <w:tcPr>
            <w:tcW w:w="1029" w:type="dxa"/>
            <w:tcBorders>
              <w:top w:val="single" w:sz="4" w:space="0" w:color="auto"/>
              <w:bottom w:val="single" w:sz="4" w:space="0" w:color="auto"/>
            </w:tcBorders>
          </w:tcPr>
          <w:p w14:paraId="6D78FE2F" w14:textId="77777777" w:rsidR="00CF0E2D" w:rsidRPr="004E341E" w:rsidRDefault="00CF0E2D" w:rsidP="00A60D4B">
            <w:pPr>
              <w:pStyle w:val="InitFigRBold"/>
            </w:pPr>
            <w:r w:rsidRPr="004E341E">
              <w:t>Total</w:t>
            </w:r>
          </w:p>
          <w:p w14:paraId="55BC3B3F" w14:textId="77777777" w:rsidR="00CF0E2D" w:rsidRPr="004E341E" w:rsidRDefault="00CF0E2D" w:rsidP="00A60D4B">
            <w:pPr>
              <w:pStyle w:val="InitFigBR"/>
            </w:pPr>
            <w:r w:rsidRPr="004E341E">
              <w:t>$’000</w:t>
            </w:r>
          </w:p>
        </w:tc>
      </w:tr>
      <w:tr w:rsidR="00CF0E2D" w:rsidRPr="00750793" w14:paraId="691C8E70" w14:textId="77777777" w:rsidTr="00A60D4B">
        <w:trPr>
          <w:cantSplit/>
          <w:jc w:val="center"/>
        </w:trPr>
        <w:tc>
          <w:tcPr>
            <w:tcW w:w="3652" w:type="dxa"/>
            <w:tcBorders>
              <w:top w:val="single" w:sz="4" w:space="0" w:color="auto"/>
              <w:bottom w:val="single" w:sz="4" w:space="0" w:color="auto"/>
            </w:tcBorders>
          </w:tcPr>
          <w:p w14:paraId="10D00CA4"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18819844" w14:textId="77777777" w:rsidR="00CF0E2D" w:rsidRPr="00424DA4" w:rsidRDefault="00CF0E2D" w:rsidP="00A60D4B">
            <w:pPr>
              <w:pStyle w:val="InitFigR"/>
            </w:pPr>
            <w:r>
              <w:t>400</w:t>
            </w:r>
          </w:p>
        </w:tc>
        <w:tc>
          <w:tcPr>
            <w:tcW w:w="1041" w:type="dxa"/>
            <w:tcBorders>
              <w:top w:val="single" w:sz="4" w:space="0" w:color="auto"/>
              <w:bottom w:val="single" w:sz="4" w:space="0" w:color="auto"/>
            </w:tcBorders>
          </w:tcPr>
          <w:p w14:paraId="3EBB3462" w14:textId="77777777" w:rsidR="00CF0E2D" w:rsidRPr="00424DA4" w:rsidRDefault="00CF0E2D" w:rsidP="00A60D4B">
            <w:pPr>
              <w:pStyle w:val="InitFigR"/>
            </w:pPr>
            <w:r>
              <w:t>408</w:t>
            </w:r>
          </w:p>
        </w:tc>
        <w:tc>
          <w:tcPr>
            <w:tcW w:w="1029" w:type="dxa"/>
            <w:tcBorders>
              <w:top w:val="single" w:sz="4" w:space="0" w:color="auto"/>
              <w:bottom w:val="single" w:sz="4" w:space="0" w:color="auto"/>
            </w:tcBorders>
          </w:tcPr>
          <w:p w14:paraId="2ED5589D" w14:textId="77777777" w:rsidR="00CF0E2D" w:rsidRPr="00424DA4" w:rsidRDefault="00CF0E2D" w:rsidP="00A60D4B">
            <w:pPr>
              <w:pStyle w:val="InitFigR"/>
            </w:pPr>
            <w:r>
              <w:t>416</w:t>
            </w:r>
          </w:p>
        </w:tc>
        <w:tc>
          <w:tcPr>
            <w:tcW w:w="1029" w:type="dxa"/>
            <w:tcBorders>
              <w:top w:val="single" w:sz="4" w:space="0" w:color="auto"/>
              <w:bottom w:val="single" w:sz="4" w:space="0" w:color="auto"/>
            </w:tcBorders>
          </w:tcPr>
          <w:p w14:paraId="49B53DAD" w14:textId="77777777" w:rsidR="00CF0E2D" w:rsidRPr="00424DA4" w:rsidRDefault="00CF0E2D" w:rsidP="00A60D4B">
            <w:pPr>
              <w:pStyle w:val="InitFigR"/>
            </w:pPr>
            <w:r>
              <w:t>424</w:t>
            </w:r>
          </w:p>
        </w:tc>
        <w:tc>
          <w:tcPr>
            <w:tcW w:w="1029" w:type="dxa"/>
            <w:tcBorders>
              <w:top w:val="single" w:sz="4" w:space="0" w:color="auto"/>
              <w:bottom w:val="single" w:sz="4" w:space="0" w:color="auto"/>
            </w:tcBorders>
          </w:tcPr>
          <w:p w14:paraId="490BE9FE" w14:textId="77777777" w:rsidR="00CF0E2D" w:rsidRPr="00424DA4" w:rsidRDefault="00CF0E2D" w:rsidP="00A60D4B">
            <w:pPr>
              <w:pStyle w:val="InitFigBR"/>
            </w:pPr>
            <w:r>
              <w:t>1,648</w:t>
            </w:r>
          </w:p>
        </w:tc>
      </w:tr>
    </w:tbl>
    <w:p w14:paraId="07913E60" w14:textId="77777777" w:rsidR="00CF0E2D" w:rsidRPr="001268D2" w:rsidRDefault="00CF0E2D" w:rsidP="00A60D4B">
      <w:pPr>
        <w:pStyle w:val="Bbodytext"/>
        <w:rPr>
          <w:rFonts w:ascii="Calibri" w:eastAsia="Times New Roman" w:hAnsi="Calibri" w:cs="Times New Roman"/>
          <w:szCs w:val="20"/>
        </w:rPr>
      </w:pPr>
      <w:r w:rsidRPr="001268D2">
        <w:t xml:space="preserve">The Government will </w:t>
      </w:r>
      <w:r w:rsidRPr="001268D2">
        <w:rPr>
          <w:rFonts w:ascii="Calibri" w:eastAsia="Times New Roman" w:hAnsi="Calibri" w:cs="Times New Roman"/>
          <w:szCs w:val="20"/>
        </w:rPr>
        <w:t xml:space="preserve">provide funding to the ACT Disability, Aged Carer Advocacy Service (ADACAS) and Advocacy for Inclusion (AFI) to increase their capacity to provide targeted advocacy support and services to people with disability. </w:t>
      </w:r>
    </w:p>
    <w:p w14:paraId="6A129AA0" w14:textId="77777777" w:rsidR="00CF0E2D" w:rsidRDefault="00CF0E2D" w:rsidP="00A60D4B">
      <w:pPr>
        <w:pStyle w:val="Bbodytext"/>
        <w:rPr>
          <w:rFonts w:ascii="Calibri" w:eastAsia="Times New Roman" w:hAnsi="Calibri" w:cs="Times New Roman"/>
          <w:szCs w:val="20"/>
        </w:rPr>
      </w:pPr>
      <w:r w:rsidRPr="001268D2">
        <w:t>This initiative contri</w:t>
      </w:r>
      <w:r w:rsidRPr="001268D2">
        <w:rPr>
          <w:rFonts w:ascii="Calibri" w:eastAsia="Times New Roman" w:hAnsi="Calibri" w:cs="Times New Roman"/>
          <w:szCs w:val="20"/>
        </w:rPr>
        <w:t>butes to the wellbeing domains of Access and connectivity and Health.</w:t>
      </w:r>
    </w:p>
    <w:p w14:paraId="66C2DD57" w14:textId="77777777" w:rsidR="00CF0E2D" w:rsidRPr="001268D2" w:rsidRDefault="00CF0E2D" w:rsidP="00A60D4B">
      <w:pPr>
        <w:spacing w:before="200" w:after="200" w:line="240" w:lineRule="auto"/>
        <w:rPr>
          <w:rFonts w:ascii="Calibri" w:eastAsia="Times New Roman" w:hAnsi="Calibri" w:cs="Times New Roman"/>
          <w:sz w:val="24"/>
          <w:szCs w:val="20"/>
        </w:rPr>
      </w:pPr>
    </w:p>
    <w:p w14:paraId="5CB23E0D" w14:textId="77777777" w:rsidR="00CF0E2D" w:rsidRPr="00003E22" w:rsidRDefault="00CF0E2D" w:rsidP="00A60D4B">
      <w:pPr>
        <w:pStyle w:val="Heading4"/>
        <w:rPr>
          <w:rFonts w:eastAsia="Times New Roman" w:cs="Times New Roman"/>
          <w:bCs/>
          <w:szCs w:val="26"/>
        </w:rPr>
      </w:pPr>
      <w:r w:rsidRPr="00003E22">
        <w:rPr>
          <w:rFonts w:eastAsia="Times New Roman"/>
        </w:rPr>
        <w:t xml:space="preserve">Women’s </w:t>
      </w:r>
      <w:r>
        <w:rPr>
          <w:rFonts w:eastAsia="Times New Roman"/>
        </w:rPr>
        <w:t>w</w:t>
      </w:r>
      <w:r w:rsidRPr="00003E22">
        <w:rPr>
          <w:rFonts w:eastAsia="Times New Roman"/>
        </w:rPr>
        <w:t xml:space="preserve">orkforce </w:t>
      </w:r>
      <w:r>
        <w:rPr>
          <w:rFonts w:eastAsia="Times New Roman"/>
        </w:rPr>
        <w:t>p</w:t>
      </w:r>
      <w:r w:rsidRPr="00003E22">
        <w:rPr>
          <w:rFonts w:eastAsia="Times New Roman"/>
        </w:rPr>
        <w:t xml:space="preserve">articipation – Supporting </w:t>
      </w:r>
      <w:r>
        <w:rPr>
          <w:rFonts w:eastAsia="Times New Roman" w:cs="Times New Roman"/>
          <w:bCs/>
          <w:szCs w:val="26"/>
        </w:rPr>
        <w:t>g</w:t>
      </w:r>
      <w:r w:rsidRPr="00003E22">
        <w:rPr>
          <w:rFonts w:eastAsia="Times New Roman" w:cs="Times New Roman"/>
          <w:bCs/>
          <w:szCs w:val="26"/>
        </w:rPr>
        <w:t xml:space="preserve">ender </w:t>
      </w:r>
      <w:r>
        <w:rPr>
          <w:rFonts w:eastAsia="Times New Roman" w:cs="Times New Roman"/>
          <w:bCs/>
          <w:szCs w:val="26"/>
        </w:rPr>
        <w:t>e</w:t>
      </w:r>
      <w:r w:rsidRPr="00003E22">
        <w:rPr>
          <w:rFonts w:eastAsia="Times New Roman" w:cs="Times New Roman"/>
          <w:bCs/>
          <w:szCs w:val="26"/>
        </w:rPr>
        <w:t xml:space="preserve">quality </w:t>
      </w:r>
      <w:r>
        <w:rPr>
          <w:b w:val="0"/>
          <w:noProof/>
          <w:color w:val="999789"/>
          <w:sz w:val="32"/>
          <w:szCs w:val="24"/>
        </w:rPr>
        <w:drawing>
          <wp:anchor distT="0" distB="0" distL="114300" distR="114300" simplePos="0" relativeHeight="251776000" behindDoc="0" locked="1" layoutInCell="1" allowOverlap="1" wp14:anchorId="506B368C" wp14:editId="3C186A28">
            <wp:simplePos x="0" y="0"/>
            <wp:positionH relativeFrom="margin">
              <wp:align>right</wp:align>
            </wp:positionH>
            <wp:positionV relativeFrom="paragraph">
              <wp:posOffset>22225</wp:posOffset>
            </wp:positionV>
            <wp:extent cx="1212850" cy="503555"/>
            <wp:effectExtent l="0" t="0" r="6350" b="0"/>
            <wp:wrapSquare wrapText="bothSides"/>
            <wp:docPr id="90" name="Picture 90" descr="Icon representing the wellbeing domain of Living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con representing the wellbeing domain of Living standards"/>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1285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6C80D0F1" w14:textId="77777777" w:rsidTr="00A60D4B">
        <w:trPr>
          <w:cantSplit/>
          <w:jc w:val="center"/>
        </w:trPr>
        <w:tc>
          <w:tcPr>
            <w:tcW w:w="3652" w:type="dxa"/>
            <w:tcBorders>
              <w:top w:val="single" w:sz="4" w:space="0" w:color="auto"/>
              <w:bottom w:val="single" w:sz="4" w:space="0" w:color="auto"/>
            </w:tcBorders>
          </w:tcPr>
          <w:p w14:paraId="3D0364B2" w14:textId="77777777" w:rsidR="00CF0E2D" w:rsidRPr="004E341E" w:rsidRDefault="00CF0E2D" w:rsidP="00A60D4B">
            <w:pPr>
              <w:pStyle w:val="EmptyCell0"/>
              <w:keepNext/>
              <w:keepLines/>
            </w:pPr>
            <w:bookmarkStart w:id="47" w:name="_Hlk78804007"/>
            <w:r>
              <w:t>Empty Cell</w:t>
            </w:r>
          </w:p>
        </w:tc>
        <w:tc>
          <w:tcPr>
            <w:tcW w:w="1179" w:type="dxa"/>
            <w:tcBorders>
              <w:top w:val="single" w:sz="4" w:space="0" w:color="auto"/>
              <w:bottom w:val="single" w:sz="4" w:space="0" w:color="auto"/>
            </w:tcBorders>
          </w:tcPr>
          <w:p w14:paraId="463AD0B0" w14:textId="77777777" w:rsidR="00CF0E2D" w:rsidRPr="00CF2A8E" w:rsidRDefault="00CF0E2D" w:rsidP="00A60D4B">
            <w:pPr>
              <w:pStyle w:val="InitFigR"/>
              <w:keepNext/>
              <w:keepLines/>
              <w:rPr>
                <w:b/>
                <w:bCs/>
              </w:rPr>
            </w:pPr>
            <w:r w:rsidRPr="00CF2A8E">
              <w:rPr>
                <w:b/>
                <w:bCs/>
              </w:rPr>
              <w:t>2021-22</w:t>
            </w:r>
          </w:p>
          <w:p w14:paraId="5964C97A" w14:textId="77777777" w:rsidR="00CF0E2D" w:rsidRPr="00CF2A8E" w:rsidRDefault="00CF0E2D" w:rsidP="00A60D4B">
            <w:pPr>
              <w:pStyle w:val="InitFigR"/>
              <w:keepNext/>
              <w:keepLines/>
              <w:rPr>
                <w:b/>
                <w:bCs/>
              </w:rPr>
            </w:pPr>
            <w:r w:rsidRPr="00CF2A8E">
              <w:rPr>
                <w:b/>
                <w:bCs/>
              </w:rPr>
              <w:t>$’000</w:t>
            </w:r>
          </w:p>
        </w:tc>
        <w:tc>
          <w:tcPr>
            <w:tcW w:w="1041" w:type="dxa"/>
            <w:tcBorders>
              <w:top w:val="single" w:sz="4" w:space="0" w:color="auto"/>
              <w:bottom w:val="single" w:sz="4" w:space="0" w:color="auto"/>
            </w:tcBorders>
          </w:tcPr>
          <w:p w14:paraId="0A92297C" w14:textId="77777777" w:rsidR="00CF0E2D" w:rsidRPr="00CF2A8E" w:rsidRDefault="00CF0E2D" w:rsidP="00A60D4B">
            <w:pPr>
              <w:pStyle w:val="InitFigR"/>
              <w:keepNext/>
              <w:keepLines/>
              <w:rPr>
                <w:b/>
                <w:bCs/>
              </w:rPr>
            </w:pPr>
            <w:r w:rsidRPr="00CF2A8E">
              <w:rPr>
                <w:b/>
                <w:bCs/>
              </w:rPr>
              <w:t>2022-23</w:t>
            </w:r>
          </w:p>
          <w:p w14:paraId="244E3D8F" w14:textId="77777777" w:rsidR="00CF0E2D" w:rsidRPr="00CF2A8E" w:rsidRDefault="00CF0E2D" w:rsidP="00A60D4B">
            <w:pPr>
              <w:pStyle w:val="InitFigR"/>
              <w:keepNext/>
              <w:keepLines/>
              <w:rPr>
                <w:b/>
                <w:bCs/>
              </w:rPr>
            </w:pPr>
            <w:r w:rsidRPr="00CF2A8E">
              <w:rPr>
                <w:b/>
                <w:bCs/>
              </w:rPr>
              <w:t>$’000</w:t>
            </w:r>
          </w:p>
        </w:tc>
        <w:tc>
          <w:tcPr>
            <w:tcW w:w="1029" w:type="dxa"/>
            <w:tcBorders>
              <w:top w:val="single" w:sz="4" w:space="0" w:color="auto"/>
              <w:bottom w:val="single" w:sz="4" w:space="0" w:color="auto"/>
            </w:tcBorders>
          </w:tcPr>
          <w:p w14:paraId="689C63AC" w14:textId="77777777" w:rsidR="00CF0E2D" w:rsidRPr="00CF2A8E" w:rsidRDefault="00CF0E2D" w:rsidP="00A60D4B">
            <w:pPr>
              <w:pStyle w:val="InitFigR"/>
              <w:keepNext/>
              <w:keepLines/>
              <w:rPr>
                <w:b/>
                <w:bCs/>
              </w:rPr>
            </w:pPr>
            <w:r w:rsidRPr="00CF2A8E">
              <w:rPr>
                <w:b/>
                <w:bCs/>
              </w:rPr>
              <w:t>2023-24</w:t>
            </w:r>
          </w:p>
          <w:p w14:paraId="52A8BDB0" w14:textId="77777777" w:rsidR="00CF0E2D" w:rsidRPr="00CF2A8E" w:rsidRDefault="00CF0E2D" w:rsidP="00A60D4B">
            <w:pPr>
              <w:pStyle w:val="InitFigR"/>
              <w:keepNext/>
              <w:keepLines/>
              <w:rPr>
                <w:b/>
                <w:bCs/>
              </w:rPr>
            </w:pPr>
            <w:r w:rsidRPr="00CF2A8E">
              <w:rPr>
                <w:b/>
                <w:bCs/>
              </w:rPr>
              <w:t>$’000</w:t>
            </w:r>
          </w:p>
        </w:tc>
        <w:tc>
          <w:tcPr>
            <w:tcW w:w="1029" w:type="dxa"/>
            <w:tcBorders>
              <w:top w:val="single" w:sz="4" w:space="0" w:color="auto"/>
              <w:bottom w:val="single" w:sz="4" w:space="0" w:color="auto"/>
            </w:tcBorders>
          </w:tcPr>
          <w:p w14:paraId="2E81DA9C" w14:textId="77777777" w:rsidR="00CF0E2D" w:rsidRPr="00CF2A8E" w:rsidRDefault="00CF0E2D" w:rsidP="00A60D4B">
            <w:pPr>
              <w:pStyle w:val="InitFigR"/>
              <w:keepNext/>
              <w:keepLines/>
              <w:rPr>
                <w:b/>
                <w:bCs/>
              </w:rPr>
            </w:pPr>
            <w:r w:rsidRPr="00CF2A8E">
              <w:rPr>
                <w:b/>
                <w:bCs/>
              </w:rPr>
              <w:t>2024-25</w:t>
            </w:r>
          </w:p>
          <w:p w14:paraId="46AC6C10" w14:textId="77777777" w:rsidR="00CF0E2D" w:rsidRPr="00CF2A8E" w:rsidRDefault="00CF0E2D" w:rsidP="00A60D4B">
            <w:pPr>
              <w:pStyle w:val="InitFigR"/>
              <w:keepNext/>
              <w:keepLines/>
              <w:rPr>
                <w:b/>
                <w:bCs/>
              </w:rPr>
            </w:pPr>
            <w:r w:rsidRPr="00CF2A8E">
              <w:rPr>
                <w:b/>
                <w:bCs/>
              </w:rPr>
              <w:t>$’000</w:t>
            </w:r>
          </w:p>
        </w:tc>
        <w:tc>
          <w:tcPr>
            <w:tcW w:w="1029" w:type="dxa"/>
            <w:tcBorders>
              <w:top w:val="single" w:sz="4" w:space="0" w:color="auto"/>
              <w:bottom w:val="single" w:sz="4" w:space="0" w:color="auto"/>
            </w:tcBorders>
          </w:tcPr>
          <w:p w14:paraId="5FBA7009" w14:textId="77777777" w:rsidR="00CF0E2D" w:rsidRPr="004E341E" w:rsidRDefault="00CF0E2D" w:rsidP="00A60D4B">
            <w:pPr>
              <w:pStyle w:val="InitFigRBold"/>
              <w:keepNext/>
              <w:keepLines/>
            </w:pPr>
            <w:r w:rsidRPr="004E341E">
              <w:t>Total</w:t>
            </w:r>
          </w:p>
          <w:p w14:paraId="0E68FB63" w14:textId="77777777" w:rsidR="00CF0E2D" w:rsidRPr="004E341E" w:rsidRDefault="00CF0E2D" w:rsidP="00A60D4B">
            <w:pPr>
              <w:pStyle w:val="InitFigBR"/>
              <w:keepNext/>
              <w:keepLines/>
            </w:pPr>
            <w:r w:rsidRPr="004E341E">
              <w:t>$’000</w:t>
            </w:r>
          </w:p>
        </w:tc>
      </w:tr>
      <w:tr w:rsidR="00CF0E2D" w:rsidRPr="00750793" w14:paraId="7456526F" w14:textId="77777777" w:rsidTr="00A60D4B">
        <w:trPr>
          <w:cantSplit/>
          <w:jc w:val="center"/>
        </w:trPr>
        <w:tc>
          <w:tcPr>
            <w:tcW w:w="3652" w:type="dxa"/>
            <w:tcBorders>
              <w:top w:val="single" w:sz="4" w:space="0" w:color="auto"/>
            </w:tcBorders>
          </w:tcPr>
          <w:p w14:paraId="24DC8E6F" w14:textId="77777777" w:rsidR="00CF0E2D" w:rsidRPr="00F13FAB" w:rsidRDefault="00CF0E2D" w:rsidP="00A60D4B">
            <w:pPr>
              <w:pStyle w:val="InitTextL"/>
              <w:keepNext/>
              <w:keepLines/>
              <w:ind w:left="321" w:hanging="321"/>
            </w:pPr>
            <w:r w:rsidRPr="00882BE2">
              <w:t>Expenses</w:t>
            </w:r>
          </w:p>
        </w:tc>
        <w:tc>
          <w:tcPr>
            <w:tcW w:w="1179" w:type="dxa"/>
            <w:tcBorders>
              <w:top w:val="single" w:sz="4" w:space="0" w:color="auto"/>
            </w:tcBorders>
          </w:tcPr>
          <w:p w14:paraId="3C510CEB" w14:textId="77777777" w:rsidR="00CF0E2D" w:rsidRPr="00424DA4" w:rsidRDefault="00CF0E2D" w:rsidP="00A60D4B">
            <w:pPr>
              <w:pStyle w:val="InitFigR"/>
              <w:keepNext/>
              <w:keepLines/>
            </w:pPr>
            <w:r>
              <w:t>140</w:t>
            </w:r>
          </w:p>
        </w:tc>
        <w:tc>
          <w:tcPr>
            <w:tcW w:w="1041" w:type="dxa"/>
            <w:tcBorders>
              <w:top w:val="single" w:sz="4" w:space="0" w:color="auto"/>
            </w:tcBorders>
          </w:tcPr>
          <w:p w14:paraId="0C696FFC" w14:textId="77777777" w:rsidR="00CF0E2D" w:rsidRPr="00424DA4" w:rsidRDefault="00CF0E2D" w:rsidP="00A60D4B">
            <w:pPr>
              <w:pStyle w:val="InitFigR"/>
              <w:keepNext/>
              <w:keepLines/>
            </w:pPr>
            <w:r>
              <w:t>140</w:t>
            </w:r>
          </w:p>
        </w:tc>
        <w:tc>
          <w:tcPr>
            <w:tcW w:w="1029" w:type="dxa"/>
            <w:tcBorders>
              <w:top w:val="single" w:sz="4" w:space="0" w:color="auto"/>
            </w:tcBorders>
          </w:tcPr>
          <w:p w14:paraId="43F9DD81" w14:textId="77777777" w:rsidR="00CF0E2D" w:rsidRPr="00424DA4" w:rsidRDefault="00CF0E2D" w:rsidP="00A60D4B">
            <w:pPr>
              <w:pStyle w:val="InitFigR"/>
              <w:keepNext/>
              <w:keepLines/>
            </w:pPr>
            <w:r>
              <w:t>140</w:t>
            </w:r>
          </w:p>
        </w:tc>
        <w:tc>
          <w:tcPr>
            <w:tcW w:w="1029" w:type="dxa"/>
            <w:tcBorders>
              <w:top w:val="single" w:sz="4" w:space="0" w:color="auto"/>
            </w:tcBorders>
          </w:tcPr>
          <w:p w14:paraId="63B3783A" w14:textId="77777777" w:rsidR="00CF0E2D" w:rsidRPr="00424DA4" w:rsidRDefault="00CF0E2D" w:rsidP="00A60D4B">
            <w:pPr>
              <w:pStyle w:val="InitFigR"/>
              <w:keepNext/>
              <w:keepLines/>
            </w:pPr>
            <w:r>
              <w:t>0</w:t>
            </w:r>
          </w:p>
        </w:tc>
        <w:tc>
          <w:tcPr>
            <w:tcW w:w="1029" w:type="dxa"/>
            <w:tcBorders>
              <w:top w:val="single" w:sz="4" w:space="0" w:color="auto"/>
            </w:tcBorders>
          </w:tcPr>
          <w:p w14:paraId="77182527" w14:textId="77777777" w:rsidR="00CF0E2D" w:rsidRPr="00424DA4" w:rsidRDefault="00CF0E2D" w:rsidP="00A60D4B">
            <w:pPr>
              <w:pStyle w:val="InitFigBR"/>
              <w:keepNext/>
              <w:keepLines/>
            </w:pPr>
            <w:r>
              <w:t>420</w:t>
            </w:r>
          </w:p>
        </w:tc>
      </w:tr>
      <w:tr w:rsidR="00CF0E2D" w:rsidRPr="00750793" w14:paraId="30B0BDF3" w14:textId="77777777" w:rsidTr="00A60D4B">
        <w:trPr>
          <w:cantSplit/>
          <w:jc w:val="center"/>
        </w:trPr>
        <w:tc>
          <w:tcPr>
            <w:tcW w:w="3652" w:type="dxa"/>
            <w:tcBorders>
              <w:bottom w:val="single" w:sz="4" w:space="0" w:color="auto"/>
            </w:tcBorders>
          </w:tcPr>
          <w:p w14:paraId="2EA56389" w14:textId="77777777" w:rsidR="00CF0E2D" w:rsidRPr="00882BE2" w:rsidRDefault="00CF0E2D" w:rsidP="00A60D4B">
            <w:pPr>
              <w:pStyle w:val="InitTextL"/>
              <w:keepNext/>
              <w:keepLines/>
              <w:ind w:left="321" w:hanging="321"/>
            </w:pPr>
            <w:r>
              <w:t>Expenses – Provision</w:t>
            </w:r>
          </w:p>
        </w:tc>
        <w:tc>
          <w:tcPr>
            <w:tcW w:w="1179" w:type="dxa"/>
            <w:tcBorders>
              <w:bottom w:val="single" w:sz="4" w:space="0" w:color="auto"/>
            </w:tcBorders>
          </w:tcPr>
          <w:p w14:paraId="19E85850" w14:textId="77777777" w:rsidR="00CF0E2D" w:rsidRDefault="00CF0E2D" w:rsidP="00A60D4B">
            <w:pPr>
              <w:pStyle w:val="InitFigR"/>
              <w:keepNext/>
              <w:keepLines/>
            </w:pPr>
            <w:r>
              <w:t>0</w:t>
            </w:r>
          </w:p>
        </w:tc>
        <w:tc>
          <w:tcPr>
            <w:tcW w:w="1041" w:type="dxa"/>
            <w:tcBorders>
              <w:bottom w:val="single" w:sz="4" w:space="0" w:color="auto"/>
            </w:tcBorders>
          </w:tcPr>
          <w:p w14:paraId="0190AADD" w14:textId="77777777" w:rsidR="00CF0E2D" w:rsidRDefault="00CF0E2D" w:rsidP="00A60D4B">
            <w:pPr>
              <w:pStyle w:val="InitFigR"/>
              <w:keepNext/>
              <w:keepLines/>
            </w:pPr>
            <w:r>
              <w:t>0</w:t>
            </w:r>
          </w:p>
        </w:tc>
        <w:tc>
          <w:tcPr>
            <w:tcW w:w="1029" w:type="dxa"/>
            <w:tcBorders>
              <w:bottom w:val="single" w:sz="4" w:space="0" w:color="auto"/>
            </w:tcBorders>
          </w:tcPr>
          <w:p w14:paraId="25F7A3CC" w14:textId="77777777" w:rsidR="00CF0E2D" w:rsidRDefault="00CF0E2D" w:rsidP="00A60D4B">
            <w:pPr>
              <w:pStyle w:val="InitFigR"/>
              <w:keepNext/>
              <w:keepLines/>
            </w:pPr>
            <w:r>
              <w:t>0</w:t>
            </w:r>
          </w:p>
        </w:tc>
        <w:tc>
          <w:tcPr>
            <w:tcW w:w="1029" w:type="dxa"/>
            <w:tcBorders>
              <w:bottom w:val="single" w:sz="4" w:space="0" w:color="auto"/>
            </w:tcBorders>
          </w:tcPr>
          <w:p w14:paraId="285395D7" w14:textId="77777777" w:rsidR="00CF0E2D" w:rsidRDefault="00CF0E2D" w:rsidP="00A60D4B">
            <w:pPr>
              <w:pStyle w:val="InitFigR"/>
              <w:keepNext/>
              <w:keepLines/>
            </w:pPr>
            <w:r>
              <w:t>140</w:t>
            </w:r>
          </w:p>
        </w:tc>
        <w:tc>
          <w:tcPr>
            <w:tcW w:w="1029" w:type="dxa"/>
            <w:tcBorders>
              <w:bottom w:val="single" w:sz="4" w:space="0" w:color="auto"/>
            </w:tcBorders>
          </w:tcPr>
          <w:p w14:paraId="29A81816" w14:textId="77777777" w:rsidR="00CF0E2D" w:rsidRDefault="00CF0E2D" w:rsidP="00A60D4B">
            <w:pPr>
              <w:pStyle w:val="InitFigBR"/>
              <w:keepNext/>
              <w:keepLines/>
            </w:pPr>
            <w:r>
              <w:t>140</w:t>
            </w:r>
          </w:p>
        </w:tc>
      </w:tr>
      <w:tr w:rsidR="00CF0E2D" w:rsidRPr="00750793" w14:paraId="71D9300F" w14:textId="77777777" w:rsidTr="00A60D4B">
        <w:trPr>
          <w:cantSplit/>
          <w:jc w:val="center"/>
        </w:trPr>
        <w:tc>
          <w:tcPr>
            <w:tcW w:w="3652" w:type="dxa"/>
            <w:tcBorders>
              <w:top w:val="single" w:sz="4" w:space="0" w:color="auto"/>
              <w:bottom w:val="single" w:sz="4" w:space="0" w:color="auto"/>
            </w:tcBorders>
          </w:tcPr>
          <w:p w14:paraId="0773ED15" w14:textId="40F9BE94" w:rsidR="00CF0E2D" w:rsidRDefault="00CF0E2D" w:rsidP="00A60D4B">
            <w:pPr>
              <w:pStyle w:val="InitTextL"/>
              <w:keepNext/>
              <w:keepLines/>
              <w:ind w:left="321" w:hanging="321"/>
            </w:pPr>
            <w:r w:rsidRPr="0028102D">
              <w:rPr>
                <w:b/>
                <w:bCs/>
              </w:rPr>
              <w:t xml:space="preserve">Net </w:t>
            </w:r>
            <w:r w:rsidR="00B86042">
              <w:rPr>
                <w:b/>
                <w:bCs/>
              </w:rPr>
              <w:t>c</w:t>
            </w:r>
            <w:r>
              <w:rPr>
                <w:b/>
                <w:bCs/>
              </w:rPr>
              <w:t>ost of services</w:t>
            </w:r>
          </w:p>
        </w:tc>
        <w:tc>
          <w:tcPr>
            <w:tcW w:w="1179" w:type="dxa"/>
            <w:tcBorders>
              <w:top w:val="single" w:sz="4" w:space="0" w:color="auto"/>
              <w:bottom w:val="single" w:sz="4" w:space="0" w:color="auto"/>
            </w:tcBorders>
          </w:tcPr>
          <w:p w14:paraId="055AF9A4" w14:textId="77777777" w:rsidR="00CF0E2D" w:rsidRDefault="00CF0E2D" w:rsidP="00A60D4B">
            <w:pPr>
              <w:pStyle w:val="InitFigR"/>
              <w:keepNext/>
              <w:keepLines/>
            </w:pPr>
            <w:r>
              <w:rPr>
                <w:b/>
                <w:bCs/>
              </w:rPr>
              <w:t>140</w:t>
            </w:r>
          </w:p>
        </w:tc>
        <w:tc>
          <w:tcPr>
            <w:tcW w:w="1041" w:type="dxa"/>
            <w:tcBorders>
              <w:top w:val="single" w:sz="4" w:space="0" w:color="auto"/>
              <w:bottom w:val="single" w:sz="4" w:space="0" w:color="auto"/>
            </w:tcBorders>
          </w:tcPr>
          <w:p w14:paraId="0E27AA7D" w14:textId="77777777" w:rsidR="00CF0E2D" w:rsidRDefault="00CF0E2D" w:rsidP="00A60D4B">
            <w:pPr>
              <w:pStyle w:val="InitFigR"/>
              <w:keepNext/>
              <w:keepLines/>
            </w:pPr>
            <w:r>
              <w:rPr>
                <w:b/>
                <w:bCs/>
              </w:rPr>
              <w:t>140</w:t>
            </w:r>
          </w:p>
        </w:tc>
        <w:tc>
          <w:tcPr>
            <w:tcW w:w="1029" w:type="dxa"/>
            <w:tcBorders>
              <w:top w:val="single" w:sz="4" w:space="0" w:color="auto"/>
              <w:bottom w:val="single" w:sz="4" w:space="0" w:color="auto"/>
            </w:tcBorders>
          </w:tcPr>
          <w:p w14:paraId="22C42516" w14:textId="77777777" w:rsidR="00CF0E2D" w:rsidRDefault="00CF0E2D" w:rsidP="00A60D4B">
            <w:pPr>
              <w:pStyle w:val="InitFigR"/>
              <w:keepNext/>
              <w:keepLines/>
            </w:pPr>
            <w:r>
              <w:rPr>
                <w:b/>
                <w:bCs/>
              </w:rPr>
              <w:t>140</w:t>
            </w:r>
          </w:p>
        </w:tc>
        <w:tc>
          <w:tcPr>
            <w:tcW w:w="1029" w:type="dxa"/>
            <w:tcBorders>
              <w:top w:val="single" w:sz="4" w:space="0" w:color="auto"/>
              <w:bottom w:val="single" w:sz="4" w:space="0" w:color="auto"/>
            </w:tcBorders>
          </w:tcPr>
          <w:p w14:paraId="59CF8A81" w14:textId="77777777" w:rsidR="00CF0E2D" w:rsidRDefault="00CF0E2D" w:rsidP="00A60D4B">
            <w:pPr>
              <w:pStyle w:val="InitFigR"/>
              <w:keepNext/>
              <w:keepLines/>
            </w:pPr>
            <w:r>
              <w:rPr>
                <w:b/>
                <w:bCs/>
              </w:rPr>
              <w:t>140</w:t>
            </w:r>
          </w:p>
        </w:tc>
        <w:tc>
          <w:tcPr>
            <w:tcW w:w="1029" w:type="dxa"/>
            <w:tcBorders>
              <w:top w:val="single" w:sz="4" w:space="0" w:color="auto"/>
              <w:bottom w:val="single" w:sz="4" w:space="0" w:color="auto"/>
            </w:tcBorders>
          </w:tcPr>
          <w:p w14:paraId="0A016054" w14:textId="77777777" w:rsidR="00CF0E2D" w:rsidRDefault="00CF0E2D" w:rsidP="00A60D4B">
            <w:pPr>
              <w:pStyle w:val="InitFigBR"/>
              <w:keepNext/>
              <w:keepLines/>
            </w:pPr>
            <w:r>
              <w:rPr>
                <w:bCs/>
              </w:rPr>
              <w:t>560</w:t>
            </w:r>
          </w:p>
        </w:tc>
      </w:tr>
    </w:tbl>
    <w:bookmarkEnd w:id="47"/>
    <w:p w14:paraId="34159C79" w14:textId="77777777" w:rsidR="00CF0E2D" w:rsidRPr="00003E22" w:rsidRDefault="00CF0E2D" w:rsidP="00A60D4B">
      <w:pPr>
        <w:keepNext/>
        <w:keepLines/>
        <w:spacing w:before="200" w:after="200" w:line="240" w:lineRule="auto"/>
        <w:rPr>
          <w:rFonts w:ascii="Calibri" w:eastAsia="Times New Roman" w:hAnsi="Calibri" w:cs="Times New Roman"/>
          <w:sz w:val="24"/>
          <w:szCs w:val="20"/>
        </w:rPr>
      </w:pPr>
      <w:r w:rsidRPr="00003E22">
        <w:rPr>
          <w:rFonts w:ascii="Calibri" w:eastAsia="Times New Roman" w:hAnsi="Calibri" w:cs="Times New Roman"/>
          <w:sz w:val="24"/>
          <w:szCs w:val="20"/>
        </w:rPr>
        <w:t>The Government will continue the Return to Work program, which supports women re</w:t>
      </w:r>
      <w:r>
        <w:rPr>
          <w:rFonts w:ascii="Calibri" w:eastAsia="Times New Roman" w:hAnsi="Calibri" w:cs="Times New Roman"/>
          <w:sz w:val="24"/>
          <w:szCs w:val="20"/>
        </w:rPr>
        <w:noBreakHyphen/>
      </w:r>
      <w:r w:rsidRPr="00003E22">
        <w:rPr>
          <w:rFonts w:ascii="Calibri" w:eastAsia="Times New Roman" w:hAnsi="Calibri" w:cs="Times New Roman"/>
          <w:sz w:val="24"/>
          <w:szCs w:val="20"/>
        </w:rPr>
        <w:t xml:space="preserve">entering training or employment, for a further three years. This program has been operating since 2019 and was expanded in the </w:t>
      </w:r>
      <w:r w:rsidRPr="00EB652B">
        <w:rPr>
          <w:rFonts w:ascii="Calibri" w:eastAsia="Times New Roman" w:hAnsi="Calibri" w:cs="Times New Roman"/>
          <w:sz w:val="24"/>
          <w:szCs w:val="20"/>
        </w:rPr>
        <w:t>August 2020 Economic and Fiscal Update</w:t>
      </w:r>
      <w:r w:rsidRPr="00003E22">
        <w:rPr>
          <w:rFonts w:ascii="Calibri" w:eastAsia="Times New Roman" w:hAnsi="Calibri" w:cs="Times New Roman"/>
          <w:sz w:val="24"/>
          <w:szCs w:val="20"/>
        </w:rPr>
        <w:t xml:space="preserve">. An evaluation will be undertaken in 2023-24 to assess the effectiveness of the program, with further funding provisioned in 2024-25 following consideration of the evaluation. </w:t>
      </w:r>
    </w:p>
    <w:p w14:paraId="3C208C86" w14:textId="77777777" w:rsidR="00CF0E2D" w:rsidRPr="00003E22" w:rsidRDefault="00CF0E2D" w:rsidP="00A60D4B">
      <w:pPr>
        <w:keepNext/>
        <w:keepLines/>
        <w:spacing w:before="200" w:after="200" w:line="240" w:lineRule="auto"/>
        <w:rPr>
          <w:rFonts w:ascii="Calibri" w:eastAsia="Times New Roman" w:hAnsi="Calibri" w:cs="Times New Roman"/>
          <w:sz w:val="24"/>
          <w:szCs w:val="20"/>
        </w:rPr>
      </w:pPr>
      <w:r w:rsidRPr="00003E22">
        <w:rPr>
          <w:rFonts w:ascii="Calibri" w:eastAsia="Times New Roman" w:hAnsi="Calibri" w:cs="Times New Roman"/>
          <w:sz w:val="24"/>
          <w:szCs w:val="20"/>
        </w:rPr>
        <w:t>This initiative contributes to the wellbeing domains of Living standards and Economy.</w:t>
      </w:r>
    </w:p>
    <w:p w14:paraId="47BBBDDB" w14:textId="77777777" w:rsidR="00CF0E2D" w:rsidRDefault="00CF0E2D">
      <w:r>
        <w:br w:type="page"/>
      </w:r>
    </w:p>
    <w:p w14:paraId="086F57D9" w14:textId="77777777" w:rsidR="00CF0E2D" w:rsidRDefault="00CF0E2D" w:rsidP="00A60D4B">
      <w:pPr>
        <w:pStyle w:val="Heading3"/>
      </w:pPr>
      <w:r>
        <w:rPr>
          <w:b w:val="0"/>
          <w:noProof/>
        </w:rPr>
        <w:lastRenderedPageBreak/>
        <w:drawing>
          <wp:anchor distT="0" distB="0" distL="114300" distR="114300" simplePos="0" relativeHeight="251796480" behindDoc="0" locked="1" layoutInCell="1" allowOverlap="1" wp14:anchorId="0FAD5D72" wp14:editId="08E69AE3">
            <wp:simplePos x="0" y="0"/>
            <wp:positionH relativeFrom="margin">
              <wp:posOffset>4551045</wp:posOffset>
            </wp:positionH>
            <wp:positionV relativeFrom="paragraph">
              <wp:posOffset>719455</wp:posOffset>
            </wp:positionV>
            <wp:extent cx="1148080" cy="503555"/>
            <wp:effectExtent l="0" t="0" r="0" b="0"/>
            <wp:wrapSquare wrapText="bothSides"/>
            <wp:docPr id="111" name="Picture 111"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conom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48080" cy="503555"/>
                    </a:xfrm>
                    <a:prstGeom prst="rect">
                      <a:avLst/>
                    </a:prstGeom>
                  </pic:spPr>
                </pic:pic>
              </a:graphicData>
            </a:graphic>
            <wp14:sizeRelH relativeFrom="margin">
              <wp14:pctWidth>0</wp14:pctWidth>
            </wp14:sizeRelH>
            <wp14:sizeRelV relativeFrom="margin">
              <wp14:pctHeight>0</wp14:pctHeight>
            </wp14:sizeRelV>
          </wp:anchor>
        </w:drawing>
      </w:r>
      <w:r w:rsidRPr="008D7AA2">
        <w:t>CULTURAL FACILITIES CORPORATION</w:t>
      </w:r>
    </w:p>
    <w:p w14:paraId="3289D8C7" w14:textId="77777777" w:rsidR="00CF0E2D" w:rsidRPr="001C24BB" w:rsidRDefault="00CF0E2D" w:rsidP="00A60D4B"/>
    <w:p w14:paraId="6D4E25EE" w14:textId="77777777" w:rsidR="00CF0E2D" w:rsidRPr="00B76D54" w:rsidRDefault="00CF0E2D" w:rsidP="00A60D4B">
      <w:pPr>
        <w:pStyle w:val="Heading4"/>
      </w:pPr>
      <w:bookmarkStart w:id="48" w:name="_Hlk83970283"/>
      <w:r w:rsidRPr="00B76D54">
        <w:t>COVID-19 Response – Supporting Canberra's Arts and Events</w:t>
      </w:r>
    </w:p>
    <w:tbl>
      <w:tblPr>
        <w:tblW w:w="8955" w:type="dxa"/>
        <w:jc w:val="center"/>
        <w:tblLayout w:type="fixed"/>
        <w:tblLook w:val="04A0" w:firstRow="1" w:lastRow="0" w:firstColumn="1" w:lastColumn="0" w:noHBand="0" w:noVBand="1"/>
      </w:tblPr>
      <w:tblGrid>
        <w:gridCol w:w="3649"/>
        <w:gridCol w:w="1178"/>
        <w:gridCol w:w="1041"/>
        <w:gridCol w:w="1029"/>
        <w:gridCol w:w="1029"/>
        <w:gridCol w:w="1029"/>
      </w:tblGrid>
      <w:tr w:rsidR="00CF0E2D" w14:paraId="1333B633" w14:textId="77777777" w:rsidTr="00A60D4B">
        <w:trPr>
          <w:cantSplit/>
          <w:jc w:val="center"/>
        </w:trPr>
        <w:tc>
          <w:tcPr>
            <w:tcW w:w="3649" w:type="dxa"/>
            <w:tcBorders>
              <w:top w:val="single" w:sz="4" w:space="0" w:color="auto"/>
              <w:left w:val="nil"/>
              <w:bottom w:val="single" w:sz="4" w:space="0" w:color="auto"/>
              <w:right w:val="nil"/>
            </w:tcBorders>
            <w:hideMark/>
          </w:tcPr>
          <w:p w14:paraId="6A11FAEB" w14:textId="77777777" w:rsidR="00CF0E2D" w:rsidRDefault="00CF0E2D" w:rsidP="00A60D4B">
            <w:pPr>
              <w:pStyle w:val="EmptyCell0"/>
            </w:pPr>
            <w:r>
              <w:t>Empty Cell</w:t>
            </w:r>
          </w:p>
        </w:tc>
        <w:tc>
          <w:tcPr>
            <w:tcW w:w="1178" w:type="dxa"/>
            <w:tcBorders>
              <w:top w:val="single" w:sz="4" w:space="0" w:color="auto"/>
              <w:left w:val="nil"/>
              <w:bottom w:val="single" w:sz="4" w:space="0" w:color="auto"/>
              <w:right w:val="nil"/>
            </w:tcBorders>
            <w:hideMark/>
          </w:tcPr>
          <w:p w14:paraId="4ED3F318" w14:textId="77777777" w:rsidR="00CF0E2D" w:rsidRPr="000721B5" w:rsidRDefault="00CF0E2D" w:rsidP="00A60D4B">
            <w:pPr>
              <w:pStyle w:val="InitFigR"/>
              <w:rPr>
                <w:b/>
                <w:bCs/>
              </w:rPr>
            </w:pPr>
            <w:r w:rsidRPr="000721B5">
              <w:rPr>
                <w:b/>
                <w:bCs/>
              </w:rPr>
              <w:t>2021-22</w:t>
            </w:r>
          </w:p>
          <w:p w14:paraId="3421C4DF" w14:textId="77777777" w:rsidR="00CF0E2D" w:rsidRPr="000721B5" w:rsidRDefault="00CF0E2D" w:rsidP="00A60D4B">
            <w:pPr>
              <w:pStyle w:val="InitFigR"/>
              <w:rPr>
                <w:b/>
                <w:bCs/>
              </w:rPr>
            </w:pPr>
            <w:r w:rsidRPr="000721B5">
              <w:rPr>
                <w:b/>
                <w:bCs/>
              </w:rPr>
              <w:t>$’000</w:t>
            </w:r>
          </w:p>
        </w:tc>
        <w:tc>
          <w:tcPr>
            <w:tcW w:w="1041" w:type="dxa"/>
            <w:tcBorders>
              <w:top w:val="single" w:sz="4" w:space="0" w:color="auto"/>
              <w:left w:val="nil"/>
              <w:bottom w:val="single" w:sz="4" w:space="0" w:color="auto"/>
              <w:right w:val="nil"/>
            </w:tcBorders>
            <w:hideMark/>
          </w:tcPr>
          <w:p w14:paraId="0E8A8119" w14:textId="77777777" w:rsidR="00CF0E2D" w:rsidRPr="000721B5" w:rsidRDefault="00CF0E2D" w:rsidP="00A60D4B">
            <w:pPr>
              <w:pStyle w:val="InitFigR"/>
              <w:rPr>
                <w:b/>
                <w:bCs/>
              </w:rPr>
            </w:pPr>
            <w:r w:rsidRPr="000721B5">
              <w:rPr>
                <w:b/>
                <w:bCs/>
              </w:rPr>
              <w:t>2022-23</w:t>
            </w:r>
          </w:p>
          <w:p w14:paraId="728746A3" w14:textId="77777777" w:rsidR="00CF0E2D" w:rsidRPr="000721B5" w:rsidRDefault="00CF0E2D" w:rsidP="00A60D4B">
            <w:pPr>
              <w:pStyle w:val="InitFigR"/>
              <w:rPr>
                <w:b/>
                <w:bCs/>
              </w:rPr>
            </w:pPr>
            <w:r w:rsidRPr="000721B5">
              <w:rPr>
                <w:b/>
                <w:bCs/>
              </w:rPr>
              <w:t>$’000</w:t>
            </w:r>
          </w:p>
        </w:tc>
        <w:tc>
          <w:tcPr>
            <w:tcW w:w="1029" w:type="dxa"/>
            <w:tcBorders>
              <w:top w:val="single" w:sz="4" w:space="0" w:color="auto"/>
              <w:left w:val="nil"/>
              <w:bottom w:val="single" w:sz="4" w:space="0" w:color="auto"/>
              <w:right w:val="nil"/>
            </w:tcBorders>
            <w:hideMark/>
          </w:tcPr>
          <w:p w14:paraId="4AADE203" w14:textId="77777777" w:rsidR="00CF0E2D" w:rsidRPr="000721B5" w:rsidRDefault="00CF0E2D" w:rsidP="00A60D4B">
            <w:pPr>
              <w:pStyle w:val="InitFigR"/>
              <w:rPr>
                <w:b/>
                <w:bCs/>
              </w:rPr>
            </w:pPr>
            <w:r w:rsidRPr="000721B5">
              <w:rPr>
                <w:b/>
                <w:bCs/>
              </w:rPr>
              <w:t>2023-24</w:t>
            </w:r>
          </w:p>
          <w:p w14:paraId="0BC45E3E" w14:textId="77777777" w:rsidR="00CF0E2D" w:rsidRPr="000721B5" w:rsidRDefault="00CF0E2D" w:rsidP="00A60D4B">
            <w:pPr>
              <w:pStyle w:val="InitFigR"/>
              <w:rPr>
                <w:b/>
                <w:bCs/>
              </w:rPr>
            </w:pPr>
            <w:r w:rsidRPr="000721B5">
              <w:rPr>
                <w:b/>
                <w:bCs/>
              </w:rPr>
              <w:t>$’000</w:t>
            </w:r>
          </w:p>
        </w:tc>
        <w:tc>
          <w:tcPr>
            <w:tcW w:w="1029" w:type="dxa"/>
            <w:tcBorders>
              <w:top w:val="single" w:sz="4" w:space="0" w:color="auto"/>
              <w:left w:val="nil"/>
              <w:bottom w:val="single" w:sz="4" w:space="0" w:color="auto"/>
              <w:right w:val="nil"/>
            </w:tcBorders>
            <w:hideMark/>
          </w:tcPr>
          <w:p w14:paraId="07601923" w14:textId="77777777" w:rsidR="00CF0E2D" w:rsidRPr="000721B5" w:rsidRDefault="00CF0E2D" w:rsidP="00A60D4B">
            <w:pPr>
              <w:pStyle w:val="InitFigR"/>
              <w:rPr>
                <w:b/>
                <w:bCs/>
              </w:rPr>
            </w:pPr>
            <w:r w:rsidRPr="000721B5">
              <w:rPr>
                <w:b/>
                <w:bCs/>
              </w:rPr>
              <w:t>2024-25</w:t>
            </w:r>
          </w:p>
          <w:p w14:paraId="0CB1186D" w14:textId="77777777" w:rsidR="00CF0E2D" w:rsidRPr="000721B5" w:rsidRDefault="00CF0E2D" w:rsidP="00A60D4B">
            <w:pPr>
              <w:pStyle w:val="InitFigR"/>
              <w:rPr>
                <w:b/>
                <w:bCs/>
              </w:rPr>
            </w:pPr>
            <w:r w:rsidRPr="000721B5">
              <w:rPr>
                <w:b/>
                <w:bCs/>
              </w:rPr>
              <w:t>$’000</w:t>
            </w:r>
          </w:p>
        </w:tc>
        <w:tc>
          <w:tcPr>
            <w:tcW w:w="1029" w:type="dxa"/>
            <w:tcBorders>
              <w:top w:val="single" w:sz="4" w:space="0" w:color="auto"/>
              <w:left w:val="nil"/>
              <w:bottom w:val="single" w:sz="4" w:space="0" w:color="auto"/>
              <w:right w:val="nil"/>
            </w:tcBorders>
            <w:hideMark/>
          </w:tcPr>
          <w:p w14:paraId="0102D6BB" w14:textId="77777777" w:rsidR="00CF0E2D" w:rsidRDefault="00CF0E2D" w:rsidP="00A60D4B">
            <w:pPr>
              <w:pStyle w:val="InitFigRBold"/>
            </w:pPr>
            <w:r>
              <w:t>Total</w:t>
            </w:r>
          </w:p>
          <w:p w14:paraId="64F48232" w14:textId="77777777" w:rsidR="00CF0E2D" w:rsidRDefault="00CF0E2D" w:rsidP="00A60D4B">
            <w:pPr>
              <w:pStyle w:val="InitFigBR"/>
            </w:pPr>
            <w:r>
              <w:t>$’000</w:t>
            </w:r>
          </w:p>
        </w:tc>
      </w:tr>
      <w:tr w:rsidR="00CF0E2D" w14:paraId="47088D89" w14:textId="77777777" w:rsidTr="00A60D4B">
        <w:trPr>
          <w:cantSplit/>
          <w:jc w:val="center"/>
        </w:trPr>
        <w:tc>
          <w:tcPr>
            <w:tcW w:w="3649" w:type="dxa"/>
            <w:hideMark/>
          </w:tcPr>
          <w:p w14:paraId="41E16F09" w14:textId="77777777" w:rsidR="00CF0E2D" w:rsidRDefault="00CF0E2D" w:rsidP="00A60D4B">
            <w:pPr>
              <w:pStyle w:val="InitTextL"/>
              <w:ind w:left="321" w:hanging="321"/>
            </w:pPr>
            <w:r>
              <w:t>Expenses</w:t>
            </w:r>
          </w:p>
        </w:tc>
        <w:tc>
          <w:tcPr>
            <w:tcW w:w="1178" w:type="dxa"/>
            <w:hideMark/>
          </w:tcPr>
          <w:p w14:paraId="006D8211" w14:textId="77777777" w:rsidR="00CF0E2D" w:rsidRDefault="00CF0E2D" w:rsidP="00A60D4B">
            <w:pPr>
              <w:pStyle w:val="InitFigR"/>
            </w:pPr>
            <w:r>
              <w:t>3,017</w:t>
            </w:r>
          </w:p>
        </w:tc>
        <w:tc>
          <w:tcPr>
            <w:tcW w:w="1041" w:type="dxa"/>
            <w:hideMark/>
          </w:tcPr>
          <w:p w14:paraId="042378D5" w14:textId="77777777" w:rsidR="00CF0E2D" w:rsidRDefault="00CF0E2D" w:rsidP="00A60D4B">
            <w:pPr>
              <w:pStyle w:val="InitFigR"/>
            </w:pPr>
            <w:r>
              <w:t>124</w:t>
            </w:r>
          </w:p>
        </w:tc>
        <w:tc>
          <w:tcPr>
            <w:tcW w:w="1029" w:type="dxa"/>
            <w:hideMark/>
          </w:tcPr>
          <w:p w14:paraId="5FDF2EC3" w14:textId="77777777" w:rsidR="00CF0E2D" w:rsidRDefault="00CF0E2D" w:rsidP="00A60D4B">
            <w:pPr>
              <w:pStyle w:val="InitFigR"/>
            </w:pPr>
            <w:r>
              <w:t>0</w:t>
            </w:r>
          </w:p>
        </w:tc>
        <w:tc>
          <w:tcPr>
            <w:tcW w:w="1029" w:type="dxa"/>
            <w:hideMark/>
          </w:tcPr>
          <w:p w14:paraId="1011DAB3" w14:textId="77777777" w:rsidR="00CF0E2D" w:rsidRDefault="00CF0E2D" w:rsidP="00A60D4B">
            <w:pPr>
              <w:pStyle w:val="InitFigR"/>
            </w:pPr>
            <w:r>
              <w:t>0</w:t>
            </w:r>
          </w:p>
        </w:tc>
        <w:tc>
          <w:tcPr>
            <w:tcW w:w="1029" w:type="dxa"/>
            <w:hideMark/>
          </w:tcPr>
          <w:p w14:paraId="17FFAFD0" w14:textId="77777777" w:rsidR="00CF0E2D" w:rsidRDefault="00CF0E2D" w:rsidP="00A60D4B">
            <w:pPr>
              <w:pStyle w:val="InitFigBR"/>
            </w:pPr>
            <w:r>
              <w:t>3,141</w:t>
            </w:r>
          </w:p>
        </w:tc>
      </w:tr>
      <w:tr w:rsidR="00CF0E2D" w14:paraId="06BDFD4E" w14:textId="77777777" w:rsidTr="00A60D4B">
        <w:trPr>
          <w:cantSplit/>
          <w:jc w:val="center"/>
        </w:trPr>
        <w:tc>
          <w:tcPr>
            <w:tcW w:w="3649" w:type="dxa"/>
            <w:hideMark/>
          </w:tcPr>
          <w:p w14:paraId="2E2AABD8" w14:textId="77777777" w:rsidR="00CF0E2D" w:rsidRDefault="00CF0E2D" w:rsidP="00A60D4B">
            <w:pPr>
              <w:pStyle w:val="InitTextL"/>
              <w:ind w:left="321" w:hanging="321"/>
            </w:pPr>
            <w:r>
              <w:t>Offset – Expenses</w:t>
            </w:r>
          </w:p>
        </w:tc>
        <w:tc>
          <w:tcPr>
            <w:tcW w:w="1178" w:type="dxa"/>
            <w:hideMark/>
          </w:tcPr>
          <w:p w14:paraId="360F469A" w14:textId="77777777" w:rsidR="00CF0E2D" w:rsidRDefault="00CF0E2D" w:rsidP="00A60D4B">
            <w:pPr>
              <w:pStyle w:val="InitFigR"/>
            </w:pPr>
            <w:r>
              <w:t>-438</w:t>
            </w:r>
          </w:p>
        </w:tc>
        <w:tc>
          <w:tcPr>
            <w:tcW w:w="1041" w:type="dxa"/>
            <w:hideMark/>
          </w:tcPr>
          <w:p w14:paraId="03144037" w14:textId="77777777" w:rsidR="00CF0E2D" w:rsidRDefault="00CF0E2D" w:rsidP="00A60D4B">
            <w:pPr>
              <w:pStyle w:val="InitFigR"/>
            </w:pPr>
            <w:r>
              <w:t>0</w:t>
            </w:r>
          </w:p>
        </w:tc>
        <w:tc>
          <w:tcPr>
            <w:tcW w:w="1029" w:type="dxa"/>
            <w:hideMark/>
          </w:tcPr>
          <w:p w14:paraId="3AF02F49" w14:textId="77777777" w:rsidR="00CF0E2D" w:rsidRDefault="00CF0E2D" w:rsidP="00A60D4B">
            <w:pPr>
              <w:pStyle w:val="InitFigR"/>
            </w:pPr>
            <w:r>
              <w:t>0</w:t>
            </w:r>
          </w:p>
        </w:tc>
        <w:tc>
          <w:tcPr>
            <w:tcW w:w="1029" w:type="dxa"/>
            <w:hideMark/>
          </w:tcPr>
          <w:p w14:paraId="2B52CAEE" w14:textId="77777777" w:rsidR="00CF0E2D" w:rsidRDefault="00CF0E2D" w:rsidP="00A60D4B">
            <w:pPr>
              <w:pStyle w:val="InitFigR"/>
            </w:pPr>
            <w:r>
              <w:t>0</w:t>
            </w:r>
          </w:p>
        </w:tc>
        <w:tc>
          <w:tcPr>
            <w:tcW w:w="1029" w:type="dxa"/>
            <w:hideMark/>
          </w:tcPr>
          <w:p w14:paraId="223FDAEA" w14:textId="77777777" w:rsidR="00CF0E2D" w:rsidRDefault="00CF0E2D" w:rsidP="00A60D4B">
            <w:pPr>
              <w:pStyle w:val="InitFigBR"/>
            </w:pPr>
            <w:r>
              <w:t>-438</w:t>
            </w:r>
          </w:p>
        </w:tc>
      </w:tr>
      <w:tr w:rsidR="00CF0E2D" w14:paraId="4F282194" w14:textId="77777777" w:rsidTr="00A60D4B">
        <w:trPr>
          <w:cantSplit/>
          <w:trHeight w:val="107"/>
          <w:jc w:val="center"/>
        </w:trPr>
        <w:tc>
          <w:tcPr>
            <w:tcW w:w="3649" w:type="dxa"/>
            <w:tcBorders>
              <w:top w:val="single" w:sz="4" w:space="0" w:color="auto"/>
              <w:left w:val="nil"/>
              <w:bottom w:val="single" w:sz="4" w:space="0" w:color="auto"/>
              <w:right w:val="nil"/>
            </w:tcBorders>
            <w:hideMark/>
          </w:tcPr>
          <w:p w14:paraId="41AB58F3" w14:textId="77777777" w:rsidR="00CF0E2D" w:rsidRDefault="00CF0E2D" w:rsidP="00A60D4B">
            <w:pPr>
              <w:pStyle w:val="InitFigLBold"/>
              <w:ind w:left="321" w:hanging="321"/>
            </w:pPr>
            <w:r>
              <w:t>Net cost of services</w:t>
            </w:r>
          </w:p>
        </w:tc>
        <w:tc>
          <w:tcPr>
            <w:tcW w:w="1178" w:type="dxa"/>
            <w:tcBorders>
              <w:top w:val="single" w:sz="4" w:space="0" w:color="auto"/>
              <w:left w:val="nil"/>
              <w:bottom w:val="single" w:sz="4" w:space="0" w:color="auto"/>
              <w:right w:val="nil"/>
            </w:tcBorders>
            <w:hideMark/>
          </w:tcPr>
          <w:p w14:paraId="65804448" w14:textId="77777777" w:rsidR="00CF0E2D" w:rsidRDefault="00CF0E2D" w:rsidP="00A60D4B">
            <w:pPr>
              <w:pStyle w:val="InitFigRBold"/>
            </w:pPr>
            <w:r>
              <w:t>2,579</w:t>
            </w:r>
          </w:p>
        </w:tc>
        <w:tc>
          <w:tcPr>
            <w:tcW w:w="1041" w:type="dxa"/>
            <w:tcBorders>
              <w:top w:val="single" w:sz="4" w:space="0" w:color="auto"/>
              <w:left w:val="nil"/>
              <w:bottom w:val="single" w:sz="4" w:space="0" w:color="auto"/>
              <w:right w:val="nil"/>
            </w:tcBorders>
            <w:hideMark/>
          </w:tcPr>
          <w:p w14:paraId="04C86E7A" w14:textId="77777777" w:rsidR="00CF0E2D" w:rsidRDefault="00CF0E2D" w:rsidP="00A60D4B">
            <w:pPr>
              <w:pStyle w:val="InitFigRBold"/>
            </w:pPr>
            <w:r>
              <w:t>124</w:t>
            </w:r>
          </w:p>
        </w:tc>
        <w:tc>
          <w:tcPr>
            <w:tcW w:w="1029" w:type="dxa"/>
            <w:tcBorders>
              <w:top w:val="single" w:sz="4" w:space="0" w:color="auto"/>
              <w:left w:val="nil"/>
              <w:bottom w:val="single" w:sz="4" w:space="0" w:color="auto"/>
              <w:right w:val="nil"/>
            </w:tcBorders>
            <w:hideMark/>
          </w:tcPr>
          <w:p w14:paraId="1842FC83" w14:textId="77777777" w:rsidR="00CF0E2D" w:rsidRDefault="00CF0E2D" w:rsidP="00A60D4B">
            <w:pPr>
              <w:pStyle w:val="InitFigRBold"/>
            </w:pPr>
            <w:r>
              <w:t>0</w:t>
            </w:r>
          </w:p>
        </w:tc>
        <w:tc>
          <w:tcPr>
            <w:tcW w:w="1029" w:type="dxa"/>
            <w:tcBorders>
              <w:top w:val="single" w:sz="4" w:space="0" w:color="auto"/>
              <w:left w:val="nil"/>
              <w:bottom w:val="single" w:sz="4" w:space="0" w:color="auto"/>
              <w:right w:val="nil"/>
            </w:tcBorders>
            <w:hideMark/>
          </w:tcPr>
          <w:p w14:paraId="5CDDFE49" w14:textId="77777777" w:rsidR="00CF0E2D" w:rsidRDefault="00CF0E2D" w:rsidP="00A60D4B">
            <w:pPr>
              <w:pStyle w:val="InitFigRBold"/>
            </w:pPr>
            <w:r>
              <w:t>0</w:t>
            </w:r>
          </w:p>
        </w:tc>
        <w:tc>
          <w:tcPr>
            <w:tcW w:w="1029" w:type="dxa"/>
            <w:tcBorders>
              <w:top w:val="single" w:sz="4" w:space="0" w:color="auto"/>
              <w:left w:val="nil"/>
              <w:bottom w:val="single" w:sz="4" w:space="0" w:color="auto"/>
              <w:right w:val="nil"/>
            </w:tcBorders>
            <w:hideMark/>
          </w:tcPr>
          <w:p w14:paraId="4B712869" w14:textId="77777777" w:rsidR="00CF0E2D" w:rsidRDefault="00CF0E2D" w:rsidP="00A60D4B">
            <w:pPr>
              <w:pStyle w:val="InitFigRBold"/>
            </w:pPr>
            <w:r>
              <w:t>2,703</w:t>
            </w:r>
          </w:p>
        </w:tc>
      </w:tr>
    </w:tbl>
    <w:bookmarkEnd w:id="48"/>
    <w:p w14:paraId="519D1803" w14:textId="77777777" w:rsidR="00CF0E2D" w:rsidRDefault="00CF0E2D" w:rsidP="00A60D4B">
      <w:pPr>
        <w:pStyle w:val="Bbodytext"/>
      </w:pPr>
      <w:r>
        <w:t xml:space="preserve">The Government will extend support to the Cultural Facilities Corporation (CFC) to address </w:t>
      </w:r>
      <w:r>
        <w:rPr>
          <w:bdr w:val="nil"/>
        </w:rPr>
        <w:t>the adverse impact of the COVID-19 pandemic on the CFC’s theatre revenues and to ensure continued delivery of vocational training for stage and theatre technicians.</w:t>
      </w:r>
      <w:r>
        <w:t xml:space="preserve"> The costs of the proposal will be partially offset from funding provided through the </w:t>
      </w:r>
      <w:r w:rsidRPr="00EB652B">
        <w:t>August 2020 Economic and Fiscal Update</w:t>
      </w:r>
      <w:r>
        <w:rPr>
          <w:i/>
          <w:iCs/>
        </w:rPr>
        <w:t xml:space="preserve"> </w:t>
      </w:r>
      <w:r>
        <w:t xml:space="preserve">and the 2020-21 Budget. </w:t>
      </w:r>
    </w:p>
    <w:p w14:paraId="12AEFE7D" w14:textId="77777777" w:rsidR="00CF0E2D" w:rsidRDefault="00CF0E2D" w:rsidP="00A60D4B">
      <w:pPr>
        <w:pStyle w:val="Bbodytext"/>
      </w:pPr>
      <w:r>
        <w:t xml:space="preserve">This initiative contributes to the wellbeing domains of Economy, Social connection and Living standards. </w:t>
      </w:r>
    </w:p>
    <w:p w14:paraId="5E65BB41" w14:textId="77777777" w:rsidR="00CF0E2D" w:rsidRDefault="00CF0E2D" w:rsidP="00A60D4B">
      <w:pPr>
        <w:pStyle w:val="Bbodytext"/>
      </w:pPr>
      <w:r>
        <w:rPr>
          <w:rFonts w:ascii="Calibri" w:eastAsiaTheme="majorEastAsia" w:hAnsi="Calibri" w:cstheme="majorBidi"/>
          <w:b/>
          <w:noProof/>
          <w:color w:val="999789"/>
          <w:sz w:val="32"/>
          <w:szCs w:val="24"/>
        </w:rPr>
        <w:drawing>
          <wp:anchor distT="0" distB="0" distL="114300" distR="114300" simplePos="0" relativeHeight="251797504" behindDoc="0" locked="0" layoutInCell="1" allowOverlap="1" wp14:anchorId="11D099FC" wp14:editId="0AB00FC6">
            <wp:simplePos x="0" y="0"/>
            <wp:positionH relativeFrom="margin">
              <wp:align>right</wp:align>
            </wp:positionH>
            <wp:positionV relativeFrom="margin">
              <wp:posOffset>3841140</wp:posOffset>
            </wp:positionV>
            <wp:extent cx="1285714" cy="504000"/>
            <wp:effectExtent l="0" t="0" r="0" b="0"/>
            <wp:wrapSquare wrapText="bothSides"/>
            <wp:docPr id="112" name="Picture 112" descr="Icon representing the wellbeing domain of Social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Icon representing the wellbeing domain of Social Connection"/>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285714" cy="504000"/>
                    </a:xfrm>
                    <a:prstGeom prst="rect">
                      <a:avLst/>
                    </a:prstGeom>
                  </pic:spPr>
                </pic:pic>
              </a:graphicData>
            </a:graphic>
          </wp:anchor>
        </w:drawing>
      </w:r>
    </w:p>
    <w:p w14:paraId="7FCD8F24" w14:textId="77777777" w:rsidR="00CF0E2D" w:rsidRDefault="00CF0E2D">
      <w:pPr>
        <w:pStyle w:val="Heading4"/>
      </w:pPr>
      <w:r>
        <w:t xml:space="preserve">Improvements to the Canberra Theatre Centre </w:t>
      </w:r>
    </w:p>
    <w:tbl>
      <w:tblPr>
        <w:tblW w:w="8955" w:type="dxa"/>
        <w:jc w:val="center"/>
        <w:tblLayout w:type="fixed"/>
        <w:tblLook w:val="04A0" w:firstRow="1" w:lastRow="0" w:firstColumn="1" w:lastColumn="0" w:noHBand="0" w:noVBand="1"/>
      </w:tblPr>
      <w:tblGrid>
        <w:gridCol w:w="3649"/>
        <w:gridCol w:w="1178"/>
        <w:gridCol w:w="1041"/>
        <w:gridCol w:w="1029"/>
        <w:gridCol w:w="1029"/>
        <w:gridCol w:w="1029"/>
      </w:tblGrid>
      <w:tr w:rsidR="00CF0E2D" w14:paraId="32BBDB63" w14:textId="77777777" w:rsidTr="00A60D4B">
        <w:trPr>
          <w:cantSplit/>
          <w:jc w:val="center"/>
        </w:trPr>
        <w:tc>
          <w:tcPr>
            <w:tcW w:w="3649" w:type="dxa"/>
            <w:tcBorders>
              <w:top w:val="single" w:sz="4" w:space="0" w:color="auto"/>
              <w:left w:val="nil"/>
              <w:bottom w:val="single" w:sz="4" w:space="0" w:color="auto"/>
              <w:right w:val="nil"/>
            </w:tcBorders>
            <w:hideMark/>
          </w:tcPr>
          <w:p w14:paraId="0BF952D0" w14:textId="77777777" w:rsidR="00CF0E2D" w:rsidRDefault="00CF0E2D" w:rsidP="00A60D4B">
            <w:pPr>
              <w:pStyle w:val="EmptyCell0"/>
            </w:pPr>
            <w:r>
              <w:t>Empty Cell</w:t>
            </w:r>
          </w:p>
        </w:tc>
        <w:tc>
          <w:tcPr>
            <w:tcW w:w="1178" w:type="dxa"/>
            <w:tcBorders>
              <w:top w:val="single" w:sz="4" w:space="0" w:color="auto"/>
              <w:left w:val="nil"/>
              <w:bottom w:val="single" w:sz="4" w:space="0" w:color="auto"/>
              <w:right w:val="nil"/>
            </w:tcBorders>
            <w:hideMark/>
          </w:tcPr>
          <w:p w14:paraId="76EABD6A" w14:textId="77777777" w:rsidR="00CF0E2D" w:rsidRPr="000721B5" w:rsidRDefault="00CF0E2D" w:rsidP="00A60D4B">
            <w:pPr>
              <w:pStyle w:val="InitFigR"/>
              <w:rPr>
                <w:b/>
                <w:bCs/>
              </w:rPr>
            </w:pPr>
            <w:r w:rsidRPr="000721B5">
              <w:rPr>
                <w:b/>
                <w:bCs/>
              </w:rPr>
              <w:t>2021-22</w:t>
            </w:r>
          </w:p>
          <w:p w14:paraId="26719321" w14:textId="77777777" w:rsidR="00CF0E2D" w:rsidRPr="000721B5" w:rsidRDefault="00CF0E2D" w:rsidP="00A60D4B">
            <w:pPr>
              <w:pStyle w:val="InitFigR"/>
              <w:rPr>
                <w:b/>
                <w:bCs/>
              </w:rPr>
            </w:pPr>
            <w:r w:rsidRPr="000721B5">
              <w:rPr>
                <w:b/>
                <w:bCs/>
              </w:rPr>
              <w:t>$’000</w:t>
            </w:r>
          </w:p>
        </w:tc>
        <w:tc>
          <w:tcPr>
            <w:tcW w:w="1041" w:type="dxa"/>
            <w:tcBorders>
              <w:top w:val="single" w:sz="4" w:space="0" w:color="auto"/>
              <w:left w:val="nil"/>
              <w:bottom w:val="single" w:sz="4" w:space="0" w:color="auto"/>
              <w:right w:val="nil"/>
            </w:tcBorders>
            <w:hideMark/>
          </w:tcPr>
          <w:p w14:paraId="6E262A22" w14:textId="77777777" w:rsidR="00CF0E2D" w:rsidRPr="000721B5" w:rsidRDefault="00CF0E2D" w:rsidP="00A60D4B">
            <w:pPr>
              <w:pStyle w:val="InitFigR"/>
              <w:rPr>
                <w:b/>
                <w:bCs/>
              </w:rPr>
            </w:pPr>
            <w:r w:rsidRPr="000721B5">
              <w:rPr>
                <w:b/>
                <w:bCs/>
              </w:rPr>
              <w:t>2022-23</w:t>
            </w:r>
          </w:p>
          <w:p w14:paraId="492B4FB0" w14:textId="77777777" w:rsidR="00CF0E2D" w:rsidRPr="000721B5" w:rsidRDefault="00CF0E2D" w:rsidP="00A60D4B">
            <w:pPr>
              <w:pStyle w:val="InitFigR"/>
              <w:rPr>
                <w:b/>
                <w:bCs/>
              </w:rPr>
            </w:pPr>
            <w:r w:rsidRPr="000721B5">
              <w:rPr>
                <w:b/>
                <w:bCs/>
              </w:rPr>
              <w:t>$’000</w:t>
            </w:r>
          </w:p>
        </w:tc>
        <w:tc>
          <w:tcPr>
            <w:tcW w:w="1029" w:type="dxa"/>
            <w:tcBorders>
              <w:top w:val="single" w:sz="4" w:space="0" w:color="auto"/>
              <w:left w:val="nil"/>
              <w:bottom w:val="single" w:sz="4" w:space="0" w:color="auto"/>
              <w:right w:val="nil"/>
            </w:tcBorders>
            <w:hideMark/>
          </w:tcPr>
          <w:p w14:paraId="1D9CFE2A" w14:textId="77777777" w:rsidR="00CF0E2D" w:rsidRPr="000721B5" w:rsidRDefault="00CF0E2D" w:rsidP="00A60D4B">
            <w:pPr>
              <w:pStyle w:val="InitFigR"/>
              <w:rPr>
                <w:b/>
                <w:bCs/>
              </w:rPr>
            </w:pPr>
            <w:r w:rsidRPr="000721B5">
              <w:rPr>
                <w:b/>
                <w:bCs/>
              </w:rPr>
              <w:t>2023-24</w:t>
            </w:r>
          </w:p>
          <w:p w14:paraId="2ACF41F6" w14:textId="77777777" w:rsidR="00CF0E2D" w:rsidRPr="000721B5" w:rsidRDefault="00CF0E2D" w:rsidP="00A60D4B">
            <w:pPr>
              <w:pStyle w:val="InitFigR"/>
              <w:rPr>
                <w:b/>
                <w:bCs/>
              </w:rPr>
            </w:pPr>
            <w:r w:rsidRPr="000721B5">
              <w:rPr>
                <w:b/>
                <w:bCs/>
              </w:rPr>
              <w:t>$’000</w:t>
            </w:r>
          </w:p>
        </w:tc>
        <w:tc>
          <w:tcPr>
            <w:tcW w:w="1029" w:type="dxa"/>
            <w:tcBorders>
              <w:top w:val="single" w:sz="4" w:space="0" w:color="auto"/>
              <w:left w:val="nil"/>
              <w:bottom w:val="single" w:sz="4" w:space="0" w:color="auto"/>
              <w:right w:val="nil"/>
            </w:tcBorders>
            <w:hideMark/>
          </w:tcPr>
          <w:p w14:paraId="6C2256C0" w14:textId="77777777" w:rsidR="00CF0E2D" w:rsidRPr="000721B5" w:rsidRDefault="00CF0E2D" w:rsidP="00A60D4B">
            <w:pPr>
              <w:pStyle w:val="InitFigR"/>
              <w:rPr>
                <w:b/>
                <w:bCs/>
              </w:rPr>
            </w:pPr>
            <w:r w:rsidRPr="000721B5">
              <w:rPr>
                <w:b/>
                <w:bCs/>
              </w:rPr>
              <w:t>2024-25</w:t>
            </w:r>
          </w:p>
          <w:p w14:paraId="7C670286" w14:textId="77777777" w:rsidR="00CF0E2D" w:rsidRPr="000721B5" w:rsidRDefault="00CF0E2D" w:rsidP="00A60D4B">
            <w:pPr>
              <w:pStyle w:val="InitFigR"/>
              <w:rPr>
                <w:b/>
                <w:bCs/>
              </w:rPr>
            </w:pPr>
            <w:r w:rsidRPr="000721B5">
              <w:rPr>
                <w:b/>
                <w:bCs/>
              </w:rPr>
              <w:t>$’000</w:t>
            </w:r>
          </w:p>
        </w:tc>
        <w:tc>
          <w:tcPr>
            <w:tcW w:w="1029" w:type="dxa"/>
            <w:tcBorders>
              <w:top w:val="single" w:sz="4" w:space="0" w:color="auto"/>
              <w:left w:val="nil"/>
              <w:bottom w:val="single" w:sz="4" w:space="0" w:color="auto"/>
              <w:right w:val="nil"/>
            </w:tcBorders>
            <w:hideMark/>
          </w:tcPr>
          <w:p w14:paraId="16D8DBC6" w14:textId="77777777" w:rsidR="00CF0E2D" w:rsidRDefault="00CF0E2D" w:rsidP="00A60D4B">
            <w:pPr>
              <w:pStyle w:val="InitFigRBold"/>
            </w:pPr>
            <w:r>
              <w:t>Total</w:t>
            </w:r>
          </w:p>
          <w:p w14:paraId="1873EF9B" w14:textId="77777777" w:rsidR="00CF0E2D" w:rsidRDefault="00CF0E2D" w:rsidP="00A60D4B">
            <w:pPr>
              <w:pStyle w:val="InitFigBR"/>
            </w:pPr>
            <w:r>
              <w:t>$’000</w:t>
            </w:r>
          </w:p>
        </w:tc>
      </w:tr>
      <w:tr w:rsidR="00CF0E2D" w14:paraId="235E20CD" w14:textId="77777777" w:rsidTr="00A60D4B">
        <w:trPr>
          <w:cantSplit/>
          <w:jc w:val="center"/>
        </w:trPr>
        <w:tc>
          <w:tcPr>
            <w:tcW w:w="3649" w:type="dxa"/>
            <w:tcBorders>
              <w:top w:val="single" w:sz="4" w:space="0" w:color="auto"/>
              <w:left w:val="nil"/>
              <w:bottom w:val="single" w:sz="4" w:space="0" w:color="auto"/>
              <w:right w:val="nil"/>
            </w:tcBorders>
            <w:hideMark/>
          </w:tcPr>
          <w:p w14:paraId="6BDC22C7" w14:textId="77777777" w:rsidR="00CF0E2D" w:rsidRPr="000721B5" w:rsidRDefault="00CF0E2D" w:rsidP="00A60D4B">
            <w:pPr>
              <w:pStyle w:val="InitTextL"/>
              <w:ind w:left="321" w:hanging="321"/>
            </w:pPr>
            <w:r w:rsidRPr="000721B5">
              <w:t>Capital</w:t>
            </w:r>
          </w:p>
        </w:tc>
        <w:tc>
          <w:tcPr>
            <w:tcW w:w="1178" w:type="dxa"/>
            <w:tcBorders>
              <w:top w:val="single" w:sz="4" w:space="0" w:color="auto"/>
              <w:left w:val="nil"/>
              <w:bottom w:val="single" w:sz="4" w:space="0" w:color="auto"/>
              <w:right w:val="nil"/>
            </w:tcBorders>
            <w:hideMark/>
          </w:tcPr>
          <w:p w14:paraId="772F26DF" w14:textId="77777777" w:rsidR="00CF0E2D" w:rsidRDefault="00CF0E2D" w:rsidP="00A60D4B">
            <w:pPr>
              <w:pStyle w:val="InitFigR"/>
            </w:pPr>
            <w:r>
              <w:t>900</w:t>
            </w:r>
          </w:p>
        </w:tc>
        <w:tc>
          <w:tcPr>
            <w:tcW w:w="1041" w:type="dxa"/>
            <w:tcBorders>
              <w:top w:val="single" w:sz="4" w:space="0" w:color="auto"/>
              <w:left w:val="nil"/>
              <w:bottom w:val="single" w:sz="4" w:space="0" w:color="auto"/>
              <w:right w:val="nil"/>
            </w:tcBorders>
            <w:hideMark/>
          </w:tcPr>
          <w:p w14:paraId="66F33F82" w14:textId="77777777" w:rsidR="00CF0E2D" w:rsidRDefault="00CF0E2D" w:rsidP="00A60D4B">
            <w:pPr>
              <w:pStyle w:val="InitFigR"/>
            </w:pPr>
            <w:r>
              <w:t>195</w:t>
            </w:r>
          </w:p>
        </w:tc>
        <w:tc>
          <w:tcPr>
            <w:tcW w:w="1029" w:type="dxa"/>
            <w:tcBorders>
              <w:top w:val="single" w:sz="4" w:space="0" w:color="auto"/>
              <w:left w:val="nil"/>
              <w:bottom w:val="single" w:sz="4" w:space="0" w:color="auto"/>
              <w:right w:val="nil"/>
            </w:tcBorders>
            <w:hideMark/>
          </w:tcPr>
          <w:p w14:paraId="1CD839DE" w14:textId="77777777" w:rsidR="00CF0E2D" w:rsidRDefault="00CF0E2D" w:rsidP="00A60D4B">
            <w:pPr>
              <w:pStyle w:val="InitFigR"/>
            </w:pPr>
            <w:r>
              <w:t>347</w:t>
            </w:r>
          </w:p>
        </w:tc>
        <w:tc>
          <w:tcPr>
            <w:tcW w:w="1029" w:type="dxa"/>
            <w:tcBorders>
              <w:top w:val="single" w:sz="4" w:space="0" w:color="auto"/>
              <w:left w:val="nil"/>
              <w:bottom w:val="single" w:sz="4" w:space="0" w:color="auto"/>
              <w:right w:val="nil"/>
            </w:tcBorders>
            <w:hideMark/>
          </w:tcPr>
          <w:p w14:paraId="2E30B2BF" w14:textId="77777777" w:rsidR="00CF0E2D" w:rsidRDefault="00CF0E2D" w:rsidP="00A60D4B">
            <w:pPr>
              <w:pStyle w:val="InitFigR"/>
            </w:pPr>
            <w:r>
              <w:t>0</w:t>
            </w:r>
          </w:p>
        </w:tc>
        <w:tc>
          <w:tcPr>
            <w:tcW w:w="1029" w:type="dxa"/>
            <w:tcBorders>
              <w:top w:val="single" w:sz="4" w:space="0" w:color="auto"/>
              <w:left w:val="nil"/>
              <w:bottom w:val="single" w:sz="4" w:space="0" w:color="auto"/>
              <w:right w:val="nil"/>
            </w:tcBorders>
            <w:hideMark/>
          </w:tcPr>
          <w:p w14:paraId="1D460C9A" w14:textId="77777777" w:rsidR="00CF0E2D" w:rsidRDefault="00CF0E2D" w:rsidP="00A60D4B">
            <w:pPr>
              <w:pStyle w:val="InitFigRBold"/>
              <w:rPr>
                <w:bCs/>
              </w:rPr>
            </w:pPr>
            <w:r>
              <w:rPr>
                <w:bCs/>
              </w:rPr>
              <w:t>1,442</w:t>
            </w:r>
          </w:p>
        </w:tc>
      </w:tr>
      <w:tr w:rsidR="00CF0E2D" w:rsidRPr="000721B5" w14:paraId="19B473B2" w14:textId="77777777" w:rsidTr="00A60D4B">
        <w:trPr>
          <w:cantSplit/>
          <w:jc w:val="center"/>
        </w:trPr>
        <w:tc>
          <w:tcPr>
            <w:tcW w:w="3649" w:type="dxa"/>
            <w:tcBorders>
              <w:top w:val="single" w:sz="4" w:space="0" w:color="auto"/>
              <w:left w:val="nil"/>
              <w:bottom w:val="single" w:sz="4" w:space="0" w:color="auto"/>
              <w:right w:val="nil"/>
            </w:tcBorders>
            <w:hideMark/>
          </w:tcPr>
          <w:p w14:paraId="6D1D1C6E" w14:textId="77777777" w:rsidR="00CF0E2D" w:rsidRPr="00A25030" w:rsidRDefault="00CF0E2D" w:rsidP="00A60D4B">
            <w:pPr>
              <w:pStyle w:val="InitTextL"/>
              <w:ind w:left="321" w:hanging="321"/>
            </w:pPr>
            <w:r w:rsidRPr="00A25030">
              <w:t>Depreciation</w:t>
            </w:r>
          </w:p>
        </w:tc>
        <w:tc>
          <w:tcPr>
            <w:tcW w:w="1178" w:type="dxa"/>
            <w:tcBorders>
              <w:top w:val="single" w:sz="4" w:space="0" w:color="auto"/>
              <w:left w:val="nil"/>
              <w:bottom w:val="single" w:sz="4" w:space="0" w:color="auto"/>
              <w:right w:val="nil"/>
            </w:tcBorders>
            <w:hideMark/>
          </w:tcPr>
          <w:p w14:paraId="10D89E80" w14:textId="77777777" w:rsidR="00CF0E2D" w:rsidRPr="00A25030" w:rsidRDefault="00CF0E2D" w:rsidP="00A60D4B">
            <w:pPr>
              <w:pStyle w:val="InitFigR"/>
            </w:pPr>
            <w:r w:rsidRPr="00A25030">
              <w:t>29</w:t>
            </w:r>
          </w:p>
        </w:tc>
        <w:tc>
          <w:tcPr>
            <w:tcW w:w="1041" w:type="dxa"/>
            <w:tcBorders>
              <w:top w:val="single" w:sz="4" w:space="0" w:color="auto"/>
              <w:left w:val="nil"/>
              <w:bottom w:val="single" w:sz="4" w:space="0" w:color="auto"/>
              <w:right w:val="nil"/>
            </w:tcBorders>
            <w:hideMark/>
          </w:tcPr>
          <w:p w14:paraId="614555C3" w14:textId="77777777" w:rsidR="00CF0E2D" w:rsidRPr="00A25030" w:rsidRDefault="00CF0E2D" w:rsidP="00A60D4B">
            <w:pPr>
              <w:pStyle w:val="InitFigR"/>
            </w:pPr>
            <w:r w:rsidRPr="00A25030">
              <w:t>90</w:t>
            </w:r>
          </w:p>
        </w:tc>
        <w:tc>
          <w:tcPr>
            <w:tcW w:w="1029" w:type="dxa"/>
            <w:tcBorders>
              <w:top w:val="single" w:sz="4" w:space="0" w:color="auto"/>
              <w:left w:val="nil"/>
              <w:bottom w:val="single" w:sz="4" w:space="0" w:color="auto"/>
              <w:right w:val="nil"/>
            </w:tcBorders>
            <w:hideMark/>
          </w:tcPr>
          <w:p w14:paraId="3BF7FBB2" w14:textId="77777777" w:rsidR="00CF0E2D" w:rsidRDefault="00CF0E2D" w:rsidP="00A60D4B">
            <w:pPr>
              <w:pStyle w:val="InitFigR"/>
            </w:pPr>
            <w:r>
              <w:t>92</w:t>
            </w:r>
          </w:p>
        </w:tc>
        <w:tc>
          <w:tcPr>
            <w:tcW w:w="1029" w:type="dxa"/>
            <w:tcBorders>
              <w:top w:val="single" w:sz="4" w:space="0" w:color="auto"/>
              <w:left w:val="nil"/>
              <w:bottom w:val="single" w:sz="4" w:space="0" w:color="auto"/>
              <w:right w:val="nil"/>
            </w:tcBorders>
            <w:hideMark/>
          </w:tcPr>
          <w:p w14:paraId="337FBE0C" w14:textId="77777777" w:rsidR="00CF0E2D" w:rsidRDefault="00CF0E2D" w:rsidP="00A60D4B">
            <w:pPr>
              <w:pStyle w:val="InitFigR"/>
            </w:pPr>
            <w:r>
              <w:t>103</w:t>
            </w:r>
          </w:p>
        </w:tc>
        <w:tc>
          <w:tcPr>
            <w:tcW w:w="1029" w:type="dxa"/>
            <w:tcBorders>
              <w:top w:val="single" w:sz="4" w:space="0" w:color="auto"/>
              <w:left w:val="nil"/>
              <w:bottom w:val="single" w:sz="4" w:space="0" w:color="auto"/>
              <w:right w:val="nil"/>
            </w:tcBorders>
            <w:hideMark/>
          </w:tcPr>
          <w:p w14:paraId="46AA98CB" w14:textId="77777777" w:rsidR="00CF0E2D" w:rsidRPr="000721B5" w:rsidRDefault="00CF0E2D" w:rsidP="00A60D4B">
            <w:pPr>
              <w:pStyle w:val="InitFigRBold"/>
              <w:rPr>
                <w:bCs/>
              </w:rPr>
            </w:pPr>
            <w:r w:rsidRPr="000721B5">
              <w:rPr>
                <w:bCs/>
              </w:rPr>
              <w:t>314</w:t>
            </w:r>
          </w:p>
        </w:tc>
      </w:tr>
    </w:tbl>
    <w:p w14:paraId="3AC7463C" w14:textId="77777777" w:rsidR="00CF0E2D" w:rsidRDefault="00CF0E2D" w:rsidP="00A60D4B">
      <w:pPr>
        <w:pStyle w:val="Bbodytext"/>
      </w:pPr>
      <w:r>
        <w:t xml:space="preserve">The Government will undertake works to improve the safety, security, and functionality of the Canberra Theatre Centre.  </w:t>
      </w:r>
    </w:p>
    <w:p w14:paraId="09DE4C15" w14:textId="77777777" w:rsidR="00CF0E2D" w:rsidRDefault="00CF0E2D" w:rsidP="00A60D4B">
      <w:pPr>
        <w:pStyle w:val="Bbodytext"/>
        <w:rPr>
          <w:i/>
          <w:iCs/>
        </w:rPr>
      </w:pPr>
      <w:r>
        <w:t xml:space="preserve">This initiative builds on the 2019-20 Budget initiative </w:t>
      </w:r>
      <w:r>
        <w:rPr>
          <w:i/>
          <w:iCs/>
        </w:rPr>
        <w:t xml:space="preserve">Improving facilities at the Canberra Theatre. </w:t>
      </w:r>
    </w:p>
    <w:p w14:paraId="301984C4" w14:textId="77777777" w:rsidR="00CF0E2D" w:rsidRDefault="00CF0E2D" w:rsidP="00A60D4B">
      <w:pPr>
        <w:pStyle w:val="Bbodytext"/>
      </w:pPr>
      <w:r>
        <w:t xml:space="preserve">This initiative contributes to the wellbeing domains of Social connection, Safety and Identity and belonging.  </w:t>
      </w:r>
    </w:p>
    <w:p w14:paraId="5E072373" w14:textId="77777777" w:rsidR="00CF0E2D" w:rsidRPr="00A25030" w:rsidRDefault="00CF0E2D" w:rsidP="00A60D4B"/>
    <w:p w14:paraId="52E7E139" w14:textId="77777777" w:rsidR="00CF0E2D" w:rsidRDefault="00CF0E2D">
      <w:r>
        <w:br w:type="page"/>
      </w:r>
    </w:p>
    <w:p w14:paraId="24B81782" w14:textId="77777777" w:rsidR="00CF0E2D" w:rsidRDefault="00CF0E2D" w:rsidP="00A60D4B">
      <w:pPr>
        <w:pStyle w:val="Heading3"/>
      </w:pPr>
      <w:r w:rsidRPr="00C61DFF">
        <w:lastRenderedPageBreak/>
        <w:t>EDUCATION DIRECTORATE</w:t>
      </w:r>
    </w:p>
    <w:p w14:paraId="456A9ADC" w14:textId="77777777" w:rsidR="00CF0E2D" w:rsidRPr="001C24BB" w:rsidRDefault="00CF0E2D" w:rsidP="00A60D4B"/>
    <w:p w14:paraId="25C3D273" w14:textId="77777777" w:rsidR="00CF0E2D" w:rsidRDefault="00CF0E2D" w:rsidP="00A60D4B">
      <w:pPr>
        <w:pStyle w:val="Heading4"/>
      </w:pPr>
      <w:r>
        <w:rPr>
          <w:b w:val="0"/>
          <w:noProof/>
          <w:color w:val="999789"/>
          <w:sz w:val="32"/>
          <w:szCs w:val="24"/>
        </w:rPr>
        <w:drawing>
          <wp:anchor distT="0" distB="0" distL="114300" distR="114300" simplePos="0" relativeHeight="251798528" behindDoc="0" locked="1" layoutInCell="1" allowOverlap="1" wp14:anchorId="1F59CD63" wp14:editId="53291A1E">
            <wp:simplePos x="0" y="0"/>
            <wp:positionH relativeFrom="margin">
              <wp:align>right</wp:align>
            </wp:positionH>
            <wp:positionV relativeFrom="paragraph">
              <wp:posOffset>57785</wp:posOffset>
            </wp:positionV>
            <wp:extent cx="1356995" cy="503555"/>
            <wp:effectExtent l="0" t="0" r="0" b="0"/>
            <wp:wrapSquare wrapText="bothSides"/>
            <wp:docPr id="113" name="Picture 113"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r>
        <w:t xml:space="preserve">Infrastructure upgrades for non-government schools and parent engagement grants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29D3A365" w14:textId="77777777" w:rsidTr="00A60D4B">
        <w:trPr>
          <w:cantSplit/>
          <w:jc w:val="center"/>
        </w:trPr>
        <w:tc>
          <w:tcPr>
            <w:tcW w:w="3652" w:type="dxa"/>
            <w:tcBorders>
              <w:top w:val="single" w:sz="4" w:space="0" w:color="auto"/>
              <w:bottom w:val="single" w:sz="4" w:space="0" w:color="auto"/>
            </w:tcBorders>
          </w:tcPr>
          <w:p w14:paraId="646D4829"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4F764A8C" w14:textId="77777777" w:rsidR="00CF0E2D" w:rsidRPr="00AC1349" w:rsidRDefault="00CF0E2D" w:rsidP="00A60D4B">
            <w:pPr>
              <w:pStyle w:val="InitFigR"/>
              <w:rPr>
                <w:b/>
                <w:bCs/>
              </w:rPr>
            </w:pPr>
            <w:r w:rsidRPr="00AC1349">
              <w:rPr>
                <w:b/>
                <w:bCs/>
              </w:rPr>
              <w:t>2021-22</w:t>
            </w:r>
          </w:p>
          <w:p w14:paraId="0816CE28" w14:textId="77777777" w:rsidR="00CF0E2D" w:rsidRPr="00AC1349" w:rsidRDefault="00CF0E2D" w:rsidP="00A60D4B">
            <w:pPr>
              <w:pStyle w:val="InitFigR"/>
              <w:rPr>
                <w:b/>
                <w:bCs/>
              </w:rPr>
            </w:pPr>
            <w:r w:rsidRPr="00AC1349">
              <w:rPr>
                <w:b/>
                <w:bCs/>
              </w:rPr>
              <w:t>$’000</w:t>
            </w:r>
          </w:p>
        </w:tc>
        <w:tc>
          <w:tcPr>
            <w:tcW w:w="1041" w:type="dxa"/>
            <w:tcBorders>
              <w:top w:val="single" w:sz="4" w:space="0" w:color="auto"/>
              <w:bottom w:val="single" w:sz="4" w:space="0" w:color="auto"/>
            </w:tcBorders>
          </w:tcPr>
          <w:p w14:paraId="6DEF7A38" w14:textId="77777777" w:rsidR="00CF0E2D" w:rsidRPr="00AC1349" w:rsidRDefault="00CF0E2D" w:rsidP="00A60D4B">
            <w:pPr>
              <w:pStyle w:val="InitFigR"/>
              <w:rPr>
                <w:b/>
                <w:bCs/>
              </w:rPr>
            </w:pPr>
            <w:r w:rsidRPr="00AC1349">
              <w:rPr>
                <w:b/>
                <w:bCs/>
              </w:rPr>
              <w:t>2022-23</w:t>
            </w:r>
          </w:p>
          <w:p w14:paraId="17309E32"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3F31B4B6" w14:textId="77777777" w:rsidR="00CF0E2D" w:rsidRPr="00AC1349" w:rsidRDefault="00CF0E2D" w:rsidP="00A60D4B">
            <w:pPr>
              <w:pStyle w:val="InitFigR"/>
              <w:rPr>
                <w:b/>
                <w:bCs/>
              </w:rPr>
            </w:pPr>
            <w:r w:rsidRPr="00AC1349">
              <w:rPr>
                <w:b/>
                <w:bCs/>
              </w:rPr>
              <w:t>2023-24</w:t>
            </w:r>
          </w:p>
          <w:p w14:paraId="70EE8E12"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0ACD2E38" w14:textId="77777777" w:rsidR="00CF0E2D" w:rsidRPr="00AC1349" w:rsidRDefault="00CF0E2D" w:rsidP="00A60D4B">
            <w:pPr>
              <w:pStyle w:val="InitFigR"/>
              <w:rPr>
                <w:b/>
                <w:bCs/>
              </w:rPr>
            </w:pPr>
            <w:r w:rsidRPr="00AC1349">
              <w:rPr>
                <w:b/>
                <w:bCs/>
              </w:rPr>
              <w:t>2024-25</w:t>
            </w:r>
          </w:p>
          <w:p w14:paraId="7C72E08C"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5E1D62A1" w14:textId="77777777" w:rsidR="00CF0E2D" w:rsidRPr="004E341E" w:rsidRDefault="00CF0E2D" w:rsidP="00A60D4B">
            <w:pPr>
              <w:pStyle w:val="InitFigRBold"/>
            </w:pPr>
            <w:r w:rsidRPr="004E341E">
              <w:t>Total</w:t>
            </w:r>
          </w:p>
          <w:p w14:paraId="285D996D" w14:textId="77777777" w:rsidR="00CF0E2D" w:rsidRPr="004E341E" w:rsidRDefault="00CF0E2D" w:rsidP="00A60D4B">
            <w:pPr>
              <w:pStyle w:val="InitFigBR"/>
            </w:pPr>
            <w:r w:rsidRPr="004E341E">
              <w:t>$’000</w:t>
            </w:r>
          </w:p>
        </w:tc>
      </w:tr>
      <w:tr w:rsidR="00CF0E2D" w:rsidRPr="00750793" w14:paraId="7BECF780" w14:textId="77777777" w:rsidTr="00A60D4B">
        <w:trPr>
          <w:cantSplit/>
          <w:jc w:val="center"/>
        </w:trPr>
        <w:tc>
          <w:tcPr>
            <w:tcW w:w="3652" w:type="dxa"/>
          </w:tcPr>
          <w:p w14:paraId="37302765" w14:textId="77777777" w:rsidR="00CF0E2D" w:rsidRPr="00F13FAB" w:rsidRDefault="00CF0E2D" w:rsidP="00A60D4B">
            <w:pPr>
              <w:pStyle w:val="InitTextL"/>
              <w:ind w:left="321" w:hanging="321"/>
            </w:pPr>
            <w:r w:rsidRPr="00882BE2">
              <w:t>Expenses</w:t>
            </w:r>
          </w:p>
        </w:tc>
        <w:tc>
          <w:tcPr>
            <w:tcW w:w="1179" w:type="dxa"/>
          </w:tcPr>
          <w:p w14:paraId="4D640F07" w14:textId="77777777" w:rsidR="00CF0E2D" w:rsidRPr="00424DA4" w:rsidRDefault="00CF0E2D" w:rsidP="00A60D4B">
            <w:pPr>
              <w:pStyle w:val="InitFigR"/>
            </w:pPr>
            <w:r>
              <w:t>280</w:t>
            </w:r>
          </w:p>
        </w:tc>
        <w:tc>
          <w:tcPr>
            <w:tcW w:w="1041" w:type="dxa"/>
          </w:tcPr>
          <w:p w14:paraId="12A1685F" w14:textId="77777777" w:rsidR="00CF0E2D" w:rsidRPr="00424DA4" w:rsidRDefault="00CF0E2D" w:rsidP="00A60D4B">
            <w:pPr>
              <w:pStyle w:val="InitFigR"/>
            </w:pPr>
            <w:r>
              <w:t>4,030</w:t>
            </w:r>
          </w:p>
        </w:tc>
        <w:tc>
          <w:tcPr>
            <w:tcW w:w="1029" w:type="dxa"/>
          </w:tcPr>
          <w:p w14:paraId="552DBC68" w14:textId="77777777" w:rsidR="00CF0E2D" w:rsidRPr="00424DA4" w:rsidRDefault="00CF0E2D" w:rsidP="00A60D4B">
            <w:pPr>
              <w:pStyle w:val="InitFigR"/>
            </w:pPr>
            <w:r>
              <w:t>3,750</w:t>
            </w:r>
          </w:p>
        </w:tc>
        <w:tc>
          <w:tcPr>
            <w:tcW w:w="1029" w:type="dxa"/>
          </w:tcPr>
          <w:p w14:paraId="56A1CEF3" w14:textId="77777777" w:rsidR="00CF0E2D" w:rsidRPr="00424DA4" w:rsidRDefault="00CF0E2D" w:rsidP="00A60D4B">
            <w:pPr>
              <w:pStyle w:val="InitFigR"/>
            </w:pPr>
            <w:r>
              <w:t>3,750</w:t>
            </w:r>
          </w:p>
        </w:tc>
        <w:tc>
          <w:tcPr>
            <w:tcW w:w="1029" w:type="dxa"/>
          </w:tcPr>
          <w:p w14:paraId="188D3312" w14:textId="77777777" w:rsidR="00CF0E2D" w:rsidRPr="00424DA4" w:rsidRDefault="00CF0E2D" w:rsidP="00A60D4B">
            <w:pPr>
              <w:pStyle w:val="InitFigBR"/>
            </w:pPr>
            <w:r>
              <w:t>11,810</w:t>
            </w:r>
          </w:p>
        </w:tc>
      </w:tr>
      <w:tr w:rsidR="00CF0E2D" w:rsidRPr="00750793" w14:paraId="64E2F1C8" w14:textId="77777777" w:rsidTr="00A60D4B">
        <w:trPr>
          <w:cantSplit/>
          <w:jc w:val="center"/>
        </w:trPr>
        <w:tc>
          <w:tcPr>
            <w:tcW w:w="3652" w:type="dxa"/>
          </w:tcPr>
          <w:p w14:paraId="4CDFF205" w14:textId="77777777" w:rsidR="00CF0E2D" w:rsidRDefault="00CF0E2D" w:rsidP="00A60D4B">
            <w:pPr>
              <w:pStyle w:val="InitTextL"/>
              <w:ind w:left="321" w:hanging="321"/>
            </w:pPr>
            <w:r>
              <w:t>Offset – Savings</w:t>
            </w:r>
          </w:p>
        </w:tc>
        <w:tc>
          <w:tcPr>
            <w:tcW w:w="1179" w:type="dxa"/>
          </w:tcPr>
          <w:p w14:paraId="465481DB" w14:textId="77777777" w:rsidR="00CF0E2D" w:rsidRPr="00424DA4" w:rsidRDefault="00CF0E2D" w:rsidP="00A60D4B">
            <w:pPr>
              <w:pStyle w:val="InitFigR"/>
            </w:pPr>
            <w:r>
              <w:t>0</w:t>
            </w:r>
          </w:p>
        </w:tc>
        <w:tc>
          <w:tcPr>
            <w:tcW w:w="1041" w:type="dxa"/>
          </w:tcPr>
          <w:p w14:paraId="330698CF" w14:textId="77777777" w:rsidR="00CF0E2D" w:rsidRPr="00424DA4" w:rsidRDefault="00CF0E2D" w:rsidP="00A60D4B">
            <w:pPr>
              <w:pStyle w:val="InitFigR"/>
            </w:pPr>
            <w:r>
              <w:t>-3,750</w:t>
            </w:r>
          </w:p>
        </w:tc>
        <w:tc>
          <w:tcPr>
            <w:tcW w:w="1029" w:type="dxa"/>
          </w:tcPr>
          <w:p w14:paraId="1F210668" w14:textId="77777777" w:rsidR="00CF0E2D" w:rsidRPr="00424DA4" w:rsidRDefault="00CF0E2D" w:rsidP="00A60D4B">
            <w:pPr>
              <w:pStyle w:val="InitFigR"/>
            </w:pPr>
            <w:r>
              <w:t>-3,750</w:t>
            </w:r>
          </w:p>
        </w:tc>
        <w:tc>
          <w:tcPr>
            <w:tcW w:w="1029" w:type="dxa"/>
          </w:tcPr>
          <w:p w14:paraId="50FF8904" w14:textId="77777777" w:rsidR="00CF0E2D" w:rsidRPr="00424DA4" w:rsidRDefault="00CF0E2D" w:rsidP="00A60D4B">
            <w:pPr>
              <w:pStyle w:val="InitFigR"/>
            </w:pPr>
            <w:r>
              <w:t>-3,750</w:t>
            </w:r>
          </w:p>
        </w:tc>
        <w:tc>
          <w:tcPr>
            <w:tcW w:w="1029" w:type="dxa"/>
          </w:tcPr>
          <w:p w14:paraId="763831FF" w14:textId="77777777" w:rsidR="00CF0E2D" w:rsidRPr="00424DA4" w:rsidRDefault="00CF0E2D" w:rsidP="00A60D4B">
            <w:pPr>
              <w:pStyle w:val="InitFigBR"/>
            </w:pPr>
            <w:r>
              <w:t>-11,250</w:t>
            </w:r>
          </w:p>
        </w:tc>
      </w:tr>
      <w:tr w:rsidR="00CF0E2D" w:rsidRPr="00750793" w14:paraId="62E83B9F" w14:textId="77777777" w:rsidTr="00A60D4B">
        <w:trPr>
          <w:cantSplit/>
          <w:trHeight w:val="107"/>
          <w:jc w:val="center"/>
        </w:trPr>
        <w:tc>
          <w:tcPr>
            <w:tcW w:w="3652" w:type="dxa"/>
            <w:tcBorders>
              <w:top w:val="single" w:sz="4" w:space="0" w:color="auto"/>
              <w:bottom w:val="single" w:sz="4" w:space="0" w:color="auto"/>
            </w:tcBorders>
          </w:tcPr>
          <w:p w14:paraId="71626018"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660D5BC6" w14:textId="77777777" w:rsidR="00CF0E2D" w:rsidRPr="00424DA4" w:rsidRDefault="00CF0E2D" w:rsidP="00A60D4B">
            <w:pPr>
              <w:pStyle w:val="InitFigRBold"/>
            </w:pPr>
            <w:r>
              <w:t>280</w:t>
            </w:r>
          </w:p>
        </w:tc>
        <w:tc>
          <w:tcPr>
            <w:tcW w:w="1041" w:type="dxa"/>
            <w:tcBorders>
              <w:top w:val="single" w:sz="4" w:space="0" w:color="auto"/>
              <w:bottom w:val="single" w:sz="4" w:space="0" w:color="auto"/>
            </w:tcBorders>
          </w:tcPr>
          <w:p w14:paraId="298699DE" w14:textId="77777777" w:rsidR="00CF0E2D" w:rsidRPr="00424DA4" w:rsidRDefault="00CF0E2D" w:rsidP="00A60D4B">
            <w:pPr>
              <w:pStyle w:val="InitFigRBold"/>
            </w:pPr>
            <w:r>
              <w:t>280</w:t>
            </w:r>
          </w:p>
        </w:tc>
        <w:tc>
          <w:tcPr>
            <w:tcW w:w="1029" w:type="dxa"/>
            <w:tcBorders>
              <w:top w:val="single" w:sz="4" w:space="0" w:color="auto"/>
              <w:bottom w:val="single" w:sz="4" w:space="0" w:color="auto"/>
            </w:tcBorders>
          </w:tcPr>
          <w:p w14:paraId="2BC99272"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6F03ED1D"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04AC593D" w14:textId="77777777" w:rsidR="00CF0E2D" w:rsidRPr="00424DA4" w:rsidRDefault="00CF0E2D" w:rsidP="00A60D4B">
            <w:pPr>
              <w:pStyle w:val="InitFigRBold"/>
            </w:pPr>
            <w:r>
              <w:t>560</w:t>
            </w:r>
          </w:p>
        </w:tc>
      </w:tr>
    </w:tbl>
    <w:p w14:paraId="02442107" w14:textId="5CB036F1" w:rsidR="00CF0E2D" w:rsidRPr="00B86B9A" w:rsidRDefault="00CF0E2D" w:rsidP="00A60D4B">
      <w:pPr>
        <w:pStyle w:val="Bbodytext"/>
        <w:rPr>
          <w:rFonts w:ascii="Calibri" w:eastAsia="Times New Roman" w:hAnsi="Calibri" w:cs="Times New Roman"/>
          <w:szCs w:val="20"/>
        </w:rPr>
      </w:pPr>
      <w:r w:rsidRPr="00B86B9A">
        <w:t>The Government will provide capital grant funding for infrastructure upgrades in non</w:t>
      </w:r>
      <w:r w:rsidR="008812C5">
        <w:noBreakHyphen/>
      </w:r>
      <w:r w:rsidRPr="00B86B9A">
        <w:t xml:space="preserve">government schools and to non-government </w:t>
      </w:r>
      <w:r>
        <w:t xml:space="preserve">school </w:t>
      </w:r>
      <w:r w:rsidRPr="00B86B9A">
        <w:t xml:space="preserve">parent associations to enhance parental engagement within </w:t>
      </w:r>
      <w:r w:rsidRPr="00B86B9A">
        <w:rPr>
          <w:rFonts w:ascii="Calibri" w:eastAsia="Times New Roman" w:hAnsi="Calibri" w:cs="Times New Roman"/>
          <w:szCs w:val="20"/>
        </w:rPr>
        <w:t>school communities. The initiative will be partially funded from existing resources.</w:t>
      </w:r>
    </w:p>
    <w:p w14:paraId="0AB3A9FE" w14:textId="6F389DB4" w:rsidR="00CF0E2D" w:rsidRPr="00B86B9A" w:rsidRDefault="00CF0E2D" w:rsidP="00A60D4B">
      <w:pPr>
        <w:pStyle w:val="Bbodytext"/>
        <w:rPr>
          <w:rFonts w:ascii="Calibri" w:eastAsia="Times New Roman" w:hAnsi="Calibri" w:cs="Times New Roman"/>
          <w:szCs w:val="20"/>
        </w:rPr>
      </w:pPr>
      <w:r w:rsidRPr="00B86B9A">
        <w:t>This initiative continues the existing Non-Government School Infrastructure Upgrades program which was originally funded through the 2017-18 Budget and contributes to imp</w:t>
      </w:r>
      <w:r w:rsidRPr="00B86B9A">
        <w:rPr>
          <w:rFonts w:ascii="Calibri" w:eastAsia="Times New Roman" w:hAnsi="Calibri" w:cs="Times New Roman"/>
          <w:szCs w:val="20"/>
        </w:rPr>
        <w:t>lementing the ‘Strong Communities for Learning’ foundation of the Future of Education Strategy’s second phase.</w:t>
      </w:r>
    </w:p>
    <w:p w14:paraId="298D1B57" w14:textId="77777777" w:rsidR="00CF0E2D" w:rsidRDefault="00CF0E2D" w:rsidP="00A60D4B">
      <w:pPr>
        <w:pStyle w:val="Bbodytext"/>
      </w:pPr>
      <w:r w:rsidRPr="00B86B9A">
        <w:t xml:space="preserve">This initiative contributes to the wellbeing domain of Education and life-long learning. </w:t>
      </w:r>
    </w:p>
    <w:p w14:paraId="255EAD91" w14:textId="77777777" w:rsidR="00CF0E2D" w:rsidRPr="00B86B9A" w:rsidRDefault="00CF0E2D" w:rsidP="00A60D4B">
      <w:pPr>
        <w:pStyle w:val="Bbodytext"/>
        <w:rPr>
          <w:rFonts w:ascii="Calibri" w:eastAsia="Times New Roman" w:hAnsi="Calibri" w:cs="Times New Roman"/>
          <w:szCs w:val="20"/>
        </w:rPr>
      </w:pPr>
    </w:p>
    <w:p w14:paraId="3C355D85" w14:textId="77777777" w:rsidR="00CF0E2D" w:rsidRDefault="00CF0E2D" w:rsidP="00A60D4B">
      <w:pPr>
        <w:pStyle w:val="Heading4"/>
      </w:pPr>
      <w:r w:rsidRPr="002107CB">
        <w:rPr>
          <w:rFonts w:eastAsia="Times New Roman"/>
        </w:rPr>
        <w:t xml:space="preserve">Investing in public education </w:t>
      </w:r>
      <w:r>
        <w:rPr>
          <w:rFonts w:eastAsia="Times New Roman"/>
        </w:rPr>
        <w:t xml:space="preserve">– </w:t>
      </w:r>
      <w:r w:rsidRPr="00B86B9A">
        <w:rPr>
          <w:rFonts w:eastAsia="Times New Roman"/>
        </w:rPr>
        <w:t xml:space="preserve">Digital </w:t>
      </w:r>
      <w:r>
        <w:rPr>
          <w:rFonts w:eastAsia="Times New Roman"/>
        </w:rPr>
        <w:t>a</w:t>
      </w:r>
      <w:r w:rsidRPr="00B86B9A">
        <w:rPr>
          <w:rFonts w:eastAsia="Times New Roman"/>
        </w:rPr>
        <w:t xml:space="preserve">ccess and </w:t>
      </w:r>
      <w:r>
        <w:rPr>
          <w:rFonts w:eastAsia="Times New Roman"/>
        </w:rPr>
        <w:t>e</w:t>
      </w:r>
      <w:r w:rsidRPr="00B86B9A">
        <w:rPr>
          <w:rFonts w:eastAsia="Times New Roman"/>
        </w:rPr>
        <w:t>quity</w:t>
      </w:r>
      <w:r w:rsidRPr="006369E4">
        <w:t xml:space="preserve"> </w:t>
      </w:r>
      <w:r>
        <w:t xml:space="preserve"> </w:t>
      </w:r>
      <w:r>
        <w:rPr>
          <w:b w:val="0"/>
          <w:noProof/>
          <w:color w:val="999789"/>
          <w:sz w:val="32"/>
          <w:szCs w:val="24"/>
        </w:rPr>
        <w:drawing>
          <wp:anchor distT="0" distB="0" distL="114300" distR="114300" simplePos="0" relativeHeight="251799552" behindDoc="0" locked="1" layoutInCell="1" allowOverlap="1" wp14:anchorId="6ADBD1DA" wp14:editId="0E0E9A0D">
            <wp:simplePos x="0" y="0"/>
            <wp:positionH relativeFrom="margin">
              <wp:align>right</wp:align>
            </wp:positionH>
            <wp:positionV relativeFrom="paragraph">
              <wp:posOffset>-132080</wp:posOffset>
            </wp:positionV>
            <wp:extent cx="1356995" cy="503555"/>
            <wp:effectExtent l="0" t="0" r="0" b="0"/>
            <wp:wrapSquare wrapText="bothSides"/>
            <wp:docPr id="114" name="Picture 114"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5D70BE6E" w14:textId="77777777" w:rsidTr="00A60D4B">
        <w:trPr>
          <w:cantSplit/>
          <w:jc w:val="center"/>
        </w:trPr>
        <w:tc>
          <w:tcPr>
            <w:tcW w:w="3652" w:type="dxa"/>
            <w:tcBorders>
              <w:top w:val="single" w:sz="4" w:space="0" w:color="auto"/>
              <w:bottom w:val="single" w:sz="4" w:space="0" w:color="auto"/>
            </w:tcBorders>
          </w:tcPr>
          <w:p w14:paraId="66517E3C"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5F64ADE5" w14:textId="77777777" w:rsidR="00CF0E2D" w:rsidRPr="00AC1349" w:rsidRDefault="00CF0E2D" w:rsidP="00A60D4B">
            <w:pPr>
              <w:pStyle w:val="InitFigR"/>
              <w:rPr>
                <w:b/>
                <w:bCs/>
              </w:rPr>
            </w:pPr>
            <w:r w:rsidRPr="00AC1349">
              <w:rPr>
                <w:b/>
                <w:bCs/>
              </w:rPr>
              <w:t>2021-22</w:t>
            </w:r>
          </w:p>
          <w:p w14:paraId="34700BD3" w14:textId="77777777" w:rsidR="00CF0E2D" w:rsidRPr="00AC1349" w:rsidRDefault="00CF0E2D" w:rsidP="00A60D4B">
            <w:pPr>
              <w:pStyle w:val="InitFigR"/>
              <w:rPr>
                <w:b/>
                <w:bCs/>
              </w:rPr>
            </w:pPr>
            <w:r w:rsidRPr="00AC1349">
              <w:rPr>
                <w:b/>
                <w:bCs/>
              </w:rPr>
              <w:t>$’000</w:t>
            </w:r>
          </w:p>
        </w:tc>
        <w:tc>
          <w:tcPr>
            <w:tcW w:w="1041" w:type="dxa"/>
            <w:tcBorders>
              <w:top w:val="single" w:sz="4" w:space="0" w:color="auto"/>
              <w:bottom w:val="single" w:sz="4" w:space="0" w:color="auto"/>
            </w:tcBorders>
          </w:tcPr>
          <w:p w14:paraId="49826B21" w14:textId="77777777" w:rsidR="00CF0E2D" w:rsidRPr="00AC1349" w:rsidRDefault="00CF0E2D" w:rsidP="00A60D4B">
            <w:pPr>
              <w:pStyle w:val="InitFigR"/>
              <w:rPr>
                <w:b/>
                <w:bCs/>
              </w:rPr>
            </w:pPr>
            <w:r w:rsidRPr="00AC1349">
              <w:rPr>
                <w:b/>
                <w:bCs/>
              </w:rPr>
              <w:t>2022-23</w:t>
            </w:r>
          </w:p>
          <w:p w14:paraId="2B54A3C9"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691C24D8" w14:textId="77777777" w:rsidR="00CF0E2D" w:rsidRPr="00AC1349" w:rsidRDefault="00CF0E2D" w:rsidP="00A60D4B">
            <w:pPr>
              <w:pStyle w:val="InitFigR"/>
              <w:rPr>
                <w:b/>
                <w:bCs/>
              </w:rPr>
            </w:pPr>
            <w:r w:rsidRPr="00AC1349">
              <w:rPr>
                <w:b/>
                <w:bCs/>
              </w:rPr>
              <w:t>2023-24</w:t>
            </w:r>
          </w:p>
          <w:p w14:paraId="77BE4F9A"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5B00BEAE" w14:textId="77777777" w:rsidR="00CF0E2D" w:rsidRPr="00AC1349" w:rsidRDefault="00CF0E2D" w:rsidP="00A60D4B">
            <w:pPr>
              <w:pStyle w:val="InitFigR"/>
              <w:rPr>
                <w:b/>
                <w:bCs/>
              </w:rPr>
            </w:pPr>
            <w:r w:rsidRPr="00AC1349">
              <w:rPr>
                <w:b/>
                <w:bCs/>
              </w:rPr>
              <w:t>2024-25</w:t>
            </w:r>
          </w:p>
          <w:p w14:paraId="469FFD3D"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02C2F9CF" w14:textId="77777777" w:rsidR="00CF0E2D" w:rsidRPr="004E341E" w:rsidRDefault="00CF0E2D" w:rsidP="00A60D4B">
            <w:pPr>
              <w:pStyle w:val="InitFigRBold"/>
            </w:pPr>
            <w:r w:rsidRPr="004E341E">
              <w:t>Total</w:t>
            </w:r>
          </w:p>
          <w:p w14:paraId="0CF63C37" w14:textId="77777777" w:rsidR="00CF0E2D" w:rsidRPr="004E341E" w:rsidRDefault="00CF0E2D" w:rsidP="00A60D4B">
            <w:pPr>
              <w:pStyle w:val="InitFigBR"/>
            </w:pPr>
            <w:r w:rsidRPr="004E341E">
              <w:t>$’000</w:t>
            </w:r>
          </w:p>
        </w:tc>
      </w:tr>
      <w:tr w:rsidR="00CF0E2D" w:rsidRPr="00750793" w14:paraId="6551D921" w14:textId="77777777" w:rsidTr="00A60D4B">
        <w:trPr>
          <w:cantSplit/>
          <w:jc w:val="center"/>
        </w:trPr>
        <w:tc>
          <w:tcPr>
            <w:tcW w:w="3652" w:type="dxa"/>
            <w:tcBorders>
              <w:top w:val="single" w:sz="4" w:space="0" w:color="auto"/>
            </w:tcBorders>
          </w:tcPr>
          <w:p w14:paraId="4946787D" w14:textId="77777777" w:rsidR="00CF0E2D" w:rsidRDefault="00CF0E2D" w:rsidP="00A60D4B">
            <w:pPr>
              <w:pStyle w:val="InitTextL"/>
              <w:ind w:left="321" w:hanging="321"/>
            </w:pPr>
            <w:r>
              <w:t>Capital</w:t>
            </w:r>
          </w:p>
        </w:tc>
        <w:tc>
          <w:tcPr>
            <w:tcW w:w="1179" w:type="dxa"/>
            <w:tcBorders>
              <w:top w:val="single" w:sz="4" w:space="0" w:color="auto"/>
            </w:tcBorders>
          </w:tcPr>
          <w:p w14:paraId="2F892B9A" w14:textId="77777777" w:rsidR="00CF0E2D" w:rsidRDefault="00CF0E2D" w:rsidP="00A60D4B">
            <w:pPr>
              <w:pStyle w:val="InitFigR"/>
            </w:pPr>
            <w:r>
              <w:t>4,131</w:t>
            </w:r>
          </w:p>
        </w:tc>
        <w:tc>
          <w:tcPr>
            <w:tcW w:w="1041" w:type="dxa"/>
            <w:tcBorders>
              <w:top w:val="single" w:sz="4" w:space="0" w:color="auto"/>
            </w:tcBorders>
          </w:tcPr>
          <w:p w14:paraId="3C5A84C4" w14:textId="77777777" w:rsidR="00CF0E2D" w:rsidRDefault="00CF0E2D" w:rsidP="00A60D4B">
            <w:pPr>
              <w:pStyle w:val="InitFigR"/>
            </w:pPr>
            <w:r>
              <w:t>4,413</w:t>
            </w:r>
          </w:p>
        </w:tc>
        <w:tc>
          <w:tcPr>
            <w:tcW w:w="1029" w:type="dxa"/>
            <w:tcBorders>
              <w:top w:val="single" w:sz="4" w:space="0" w:color="auto"/>
            </w:tcBorders>
          </w:tcPr>
          <w:p w14:paraId="77A43A87" w14:textId="77777777" w:rsidR="00CF0E2D" w:rsidRDefault="00CF0E2D" w:rsidP="00A60D4B">
            <w:pPr>
              <w:pStyle w:val="InitFigR"/>
            </w:pPr>
            <w:r>
              <w:t>4,713</w:t>
            </w:r>
          </w:p>
        </w:tc>
        <w:tc>
          <w:tcPr>
            <w:tcW w:w="1029" w:type="dxa"/>
            <w:tcBorders>
              <w:top w:val="single" w:sz="4" w:space="0" w:color="auto"/>
            </w:tcBorders>
          </w:tcPr>
          <w:p w14:paraId="72663963" w14:textId="77777777" w:rsidR="00CF0E2D" w:rsidRDefault="00CF0E2D" w:rsidP="00A60D4B">
            <w:pPr>
              <w:pStyle w:val="InitFigR"/>
            </w:pPr>
            <w:r>
              <w:t>5,033</w:t>
            </w:r>
          </w:p>
        </w:tc>
        <w:tc>
          <w:tcPr>
            <w:tcW w:w="1029" w:type="dxa"/>
            <w:tcBorders>
              <w:top w:val="single" w:sz="4" w:space="0" w:color="auto"/>
            </w:tcBorders>
          </w:tcPr>
          <w:p w14:paraId="56B47DFB" w14:textId="77777777" w:rsidR="00CF0E2D" w:rsidRPr="0089755C" w:rsidRDefault="00CF0E2D" w:rsidP="00A60D4B">
            <w:pPr>
              <w:pStyle w:val="InitFigRBold"/>
              <w:rPr>
                <w:bCs/>
              </w:rPr>
            </w:pPr>
            <w:r w:rsidRPr="0089755C">
              <w:rPr>
                <w:bCs/>
              </w:rPr>
              <w:t>18,290</w:t>
            </w:r>
          </w:p>
        </w:tc>
      </w:tr>
      <w:tr w:rsidR="00CF0E2D" w:rsidRPr="00750793" w14:paraId="6D2D02B6" w14:textId="77777777" w:rsidTr="00A60D4B">
        <w:trPr>
          <w:cantSplit/>
          <w:jc w:val="center"/>
        </w:trPr>
        <w:tc>
          <w:tcPr>
            <w:tcW w:w="3652" w:type="dxa"/>
          </w:tcPr>
          <w:p w14:paraId="1003A3C1" w14:textId="77777777" w:rsidR="00CF0E2D" w:rsidRDefault="00CF0E2D" w:rsidP="00A60D4B">
            <w:pPr>
              <w:pStyle w:val="InitTextL"/>
              <w:ind w:left="321" w:hanging="321"/>
            </w:pPr>
            <w:r>
              <w:t>Offset – Capital – Provision</w:t>
            </w:r>
          </w:p>
        </w:tc>
        <w:tc>
          <w:tcPr>
            <w:tcW w:w="1179" w:type="dxa"/>
          </w:tcPr>
          <w:p w14:paraId="76ADD1A4" w14:textId="77777777" w:rsidR="00CF0E2D" w:rsidRDefault="00CF0E2D" w:rsidP="00A60D4B">
            <w:pPr>
              <w:pStyle w:val="InitFigR"/>
            </w:pPr>
            <w:r>
              <w:t>-4,652</w:t>
            </w:r>
          </w:p>
        </w:tc>
        <w:tc>
          <w:tcPr>
            <w:tcW w:w="1041" w:type="dxa"/>
          </w:tcPr>
          <w:p w14:paraId="05507911" w14:textId="77777777" w:rsidR="00CF0E2D" w:rsidRDefault="00CF0E2D" w:rsidP="00A60D4B">
            <w:pPr>
              <w:pStyle w:val="InitFigR"/>
            </w:pPr>
            <w:r>
              <w:t>-4,652</w:t>
            </w:r>
          </w:p>
        </w:tc>
        <w:tc>
          <w:tcPr>
            <w:tcW w:w="1029" w:type="dxa"/>
          </w:tcPr>
          <w:p w14:paraId="7B4137A5" w14:textId="77777777" w:rsidR="00CF0E2D" w:rsidRDefault="00CF0E2D" w:rsidP="00A60D4B">
            <w:pPr>
              <w:pStyle w:val="InitFigR"/>
            </w:pPr>
            <w:r>
              <w:t>-4,652</w:t>
            </w:r>
          </w:p>
        </w:tc>
        <w:tc>
          <w:tcPr>
            <w:tcW w:w="1029" w:type="dxa"/>
          </w:tcPr>
          <w:p w14:paraId="1000B72C" w14:textId="77777777" w:rsidR="00CF0E2D" w:rsidRDefault="00CF0E2D" w:rsidP="00A60D4B">
            <w:pPr>
              <w:pStyle w:val="InitFigR"/>
            </w:pPr>
            <w:r>
              <w:t>-4,652</w:t>
            </w:r>
          </w:p>
        </w:tc>
        <w:tc>
          <w:tcPr>
            <w:tcW w:w="1029" w:type="dxa"/>
          </w:tcPr>
          <w:p w14:paraId="067FBAC6" w14:textId="77777777" w:rsidR="00CF0E2D" w:rsidRPr="0089755C" w:rsidRDefault="00CF0E2D" w:rsidP="00A60D4B">
            <w:pPr>
              <w:pStyle w:val="InitFigRBold"/>
              <w:rPr>
                <w:bCs/>
              </w:rPr>
            </w:pPr>
            <w:r w:rsidRPr="0089755C">
              <w:rPr>
                <w:bCs/>
              </w:rPr>
              <w:t>-18,608</w:t>
            </w:r>
          </w:p>
        </w:tc>
      </w:tr>
      <w:tr w:rsidR="00CF0E2D" w:rsidRPr="00750793" w14:paraId="134B3674" w14:textId="77777777" w:rsidTr="00A60D4B">
        <w:trPr>
          <w:cantSplit/>
          <w:jc w:val="center"/>
        </w:trPr>
        <w:tc>
          <w:tcPr>
            <w:tcW w:w="3652" w:type="dxa"/>
            <w:tcBorders>
              <w:top w:val="single" w:sz="4" w:space="0" w:color="auto"/>
              <w:bottom w:val="single" w:sz="4" w:space="0" w:color="auto"/>
            </w:tcBorders>
          </w:tcPr>
          <w:p w14:paraId="72CDF693" w14:textId="4B820C01" w:rsidR="00CF0E2D" w:rsidRPr="00D13A71" w:rsidRDefault="00F57411" w:rsidP="00A60D4B">
            <w:pPr>
              <w:pStyle w:val="InitTextL"/>
              <w:ind w:left="321" w:hanging="321"/>
              <w:rPr>
                <w:b/>
                <w:bCs/>
              </w:rPr>
            </w:pPr>
            <w:r>
              <w:rPr>
                <w:b/>
                <w:bCs/>
              </w:rPr>
              <w:t>Net capital</w:t>
            </w:r>
          </w:p>
        </w:tc>
        <w:tc>
          <w:tcPr>
            <w:tcW w:w="1179" w:type="dxa"/>
            <w:tcBorders>
              <w:top w:val="single" w:sz="4" w:space="0" w:color="auto"/>
              <w:bottom w:val="single" w:sz="4" w:space="0" w:color="auto"/>
            </w:tcBorders>
          </w:tcPr>
          <w:p w14:paraId="62796C59" w14:textId="77777777" w:rsidR="00CF0E2D" w:rsidRPr="0089755C" w:rsidRDefault="00CF0E2D" w:rsidP="00A60D4B">
            <w:pPr>
              <w:pStyle w:val="InitFigR"/>
              <w:rPr>
                <w:b/>
                <w:bCs/>
              </w:rPr>
            </w:pPr>
            <w:r w:rsidRPr="0089755C">
              <w:rPr>
                <w:b/>
                <w:bCs/>
              </w:rPr>
              <w:t>-521</w:t>
            </w:r>
          </w:p>
        </w:tc>
        <w:tc>
          <w:tcPr>
            <w:tcW w:w="1041" w:type="dxa"/>
            <w:tcBorders>
              <w:top w:val="single" w:sz="4" w:space="0" w:color="auto"/>
              <w:bottom w:val="single" w:sz="4" w:space="0" w:color="auto"/>
            </w:tcBorders>
          </w:tcPr>
          <w:p w14:paraId="673E716A" w14:textId="77777777" w:rsidR="00CF0E2D" w:rsidRPr="0089755C" w:rsidRDefault="00CF0E2D" w:rsidP="00A60D4B">
            <w:pPr>
              <w:pStyle w:val="InitFigR"/>
              <w:rPr>
                <w:b/>
                <w:bCs/>
              </w:rPr>
            </w:pPr>
            <w:r w:rsidRPr="0089755C">
              <w:rPr>
                <w:b/>
                <w:bCs/>
              </w:rPr>
              <w:t>-239</w:t>
            </w:r>
          </w:p>
        </w:tc>
        <w:tc>
          <w:tcPr>
            <w:tcW w:w="1029" w:type="dxa"/>
            <w:tcBorders>
              <w:top w:val="single" w:sz="4" w:space="0" w:color="auto"/>
              <w:bottom w:val="single" w:sz="4" w:space="0" w:color="auto"/>
            </w:tcBorders>
          </w:tcPr>
          <w:p w14:paraId="6191DC9A" w14:textId="77777777" w:rsidR="00CF0E2D" w:rsidRPr="0089755C" w:rsidRDefault="00CF0E2D" w:rsidP="00A60D4B">
            <w:pPr>
              <w:pStyle w:val="InitFigR"/>
              <w:rPr>
                <w:b/>
                <w:bCs/>
              </w:rPr>
            </w:pPr>
            <w:r w:rsidRPr="0089755C">
              <w:rPr>
                <w:b/>
                <w:bCs/>
              </w:rPr>
              <w:t>61</w:t>
            </w:r>
          </w:p>
        </w:tc>
        <w:tc>
          <w:tcPr>
            <w:tcW w:w="1029" w:type="dxa"/>
            <w:tcBorders>
              <w:top w:val="single" w:sz="4" w:space="0" w:color="auto"/>
              <w:bottom w:val="single" w:sz="4" w:space="0" w:color="auto"/>
            </w:tcBorders>
          </w:tcPr>
          <w:p w14:paraId="33C8EBC5" w14:textId="77777777" w:rsidR="00CF0E2D" w:rsidRPr="0089755C" w:rsidRDefault="00CF0E2D" w:rsidP="00A60D4B">
            <w:pPr>
              <w:pStyle w:val="InitFigR"/>
              <w:rPr>
                <w:b/>
                <w:bCs/>
              </w:rPr>
            </w:pPr>
            <w:r w:rsidRPr="0089755C">
              <w:rPr>
                <w:b/>
                <w:bCs/>
              </w:rPr>
              <w:t>381</w:t>
            </w:r>
          </w:p>
        </w:tc>
        <w:tc>
          <w:tcPr>
            <w:tcW w:w="1029" w:type="dxa"/>
            <w:tcBorders>
              <w:top w:val="single" w:sz="4" w:space="0" w:color="auto"/>
              <w:bottom w:val="single" w:sz="4" w:space="0" w:color="auto"/>
            </w:tcBorders>
          </w:tcPr>
          <w:p w14:paraId="3E09A6A7" w14:textId="77777777" w:rsidR="00CF0E2D" w:rsidRPr="0089755C" w:rsidRDefault="00CF0E2D" w:rsidP="00A60D4B">
            <w:pPr>
              <w:pStyle w:val="InitFigRBold"/>
              <w:rPr>
                <w:bCs/>
              </w:rPr>
            </w:pPr>
            <w:r>
              <w:rPr>
                <w:bCs/>
              </w:rPr>
              <w:t>-</w:t>
            </w:r>
            <w:r w:rsidRPr="0089755C">
              <w:rPr>
                <w:bCs/>
              </w:rPr>
              <w:t>318</w:t>
            </w:r>
          </w:p>
        </w:tc>
      </w:tr>
      <w:tr w:rsidR="00CF0E2D" w:rsidRPr="00750793" w14:paraId="49F2B5EB" w14:textId="77777777" w:rsidTr="00A60D4B">
        <w:trPr>
          <w:cantSplit/>
          <w:jc w:val="center"/>
        </w:trPr>
        <w:tc>
          <w:tcPr>
            <w:tcW w:w="3652" w:type="dxa"/>
            <w:tcBorders>
              <w:top w:val="single" w:sz="4" w:space="0" w:color="auto"/>
            </w:tcBorders>
          </w:tcPr>
          <w:p w14:paraId="4774B531" w14:textId="77777777" w:rsidR="00CF0E2D" w:rsidRPr="00D13A71" w:rsidRDefault="00CF0E2D" w:rsidP="00A60D4B">
            <w:pPr>
              <w:pStyle w:val="InitTextL"/>
              <w:ind w:left="321" w:hanging="321"/>
              <w:rPr>
                <w:b/>
                <w:bCs/>
              </w:rPr>
            </w:pPr>
            <w:r>
              <w:t>Depreciation</w:t>
            </w:r>
          </w:p>
        </w:tc>
        <w:tc>
          <w:tcPr>
            <w:tcW w:w="1179" w:type="dxa"/>
            <w:tcBorders>
              <w:top w:val="single" w:sz="4" w:space="0" w:color="auto"/>
            </w:tcBorders>
          </w:tcPr>
          <w:p w14:paraId="6357E35A" w14:textId="77777777" w:rsidR="00CF0E2D" w:rsidRDefault="00CF0E2D" w:rsidP="00A60D4B">
            <w:pPr>
              <w:pStyle w:val="InitFigR"/>
            </w:pPr>
            <w:r>
              <w:t>689</w:t>
            </w:r>
          </w:p>
        </w:tc>
        <w:tc>
          <w:tcPr>
            <w:tcW w:w="1041" w:type="dxa"/>
            <w:tcBorders>
              <w:top w:val="single" w:sz="4" w:space="0" w:color="auto"/>
            </w:tcBorders>
          </w:tcPr>
          <w:p w14:paraId="3DB9E9A2" w14:textId="77777777" w:rsidR="00CF0E2D" w:rsidRDefault="00CF0E2D" w:rsidP="00A60D4B">
            <w:pPr>
              <w:pStyle w:val="InitFigR"/>
            </w:pPr>
            <w:r>
              <w:t>2,113</w:t>
            </w:r>
          </w:p>
        </w:tc>
        <w:tc>
          <w:tcPr>
            <w:tcW w:w="1029" w:type="dxa"/>
            <w:tcBorders>
              <w:top w:val="single" w:sz="4" w:space="0" w:color="auto"/>
            </w:tcBorders>
          </w:tcPr>
          <w:p w14:paraId="2044C1F2" w14:textId="77777777" w:rsidR="00CF0E2D" w:rsidRDefault="00CF0E2D" w:rsidP="00A60D4B">
            <w:pPr>
              <w:pStyle w:val="InitFigR"/>
            </w:pPr>
            <w:r>
              <w:t>3,633</w:t>
            </w:r>
          </w:p>
        </w:tc>
        <w:tc>
          <w:tcPr>
            <w:tcW w:w="1029" w:type="dxa"/>
            <w:tcBorders>
              <w:top w:val="single" w:sz="4" w:space="0" w:color="auto"/>
            </w:tcBorders>
          </w:tcPr>
          <w:p w14:paraId="08D12F71" w14:textId="77777777" w:rsidR="00CF0E2D" w:rsidRDefault="00CF0E2D" w:rsidP="00A60D4B">
            <w:pPr>
              <w:pStyle w:val="InitFigR"/>
            </w:pPr>
            <w:r>
              <w:t>3,881</w:t>
            </w:r>
          </w:p>
        </w:tc>
        <w:tc>
          <w:tcPr>
            <w:tcW w:w="1029" w:type="dxa"/>
            <w:tcBorders>
              <w:top w:val="single" w:sz="4" w:space="0" w:color="auto"/>
            </w:tcBorders>
          </w:tcPr>
          <w:p w14:paraId="5C15C350" w14:textId="77777777" w:rsidR="00CF0E2D" w:rsidRPr="0089755C" w:rsidRDefault="00CF0E2D" w:rsidP="00A60D4B">
            <w:pPr>
              <w:pStyle w:val="InitFigRBold"/>
              <w:rPr>
                <w:bCs/>
              </w:rPr>
            </w:pPr>
            <w:r w:rsidRPr="0089755C">
              <w:rPr>
                <w:bCs/>
              </w:rPr>
              <w:t>10,316</w:t>
            </w:r>
          </w:p>
        </w:tc>
      </w:tr>
      <w:tr w:rsidR="00CF0E2D" w:rsidRPr="00750793" w14:paraId="20900121" w14:textId="77777777" w:rsidTr="00A60D4B">
        <w:trPr>
          <w:cantSplit/>
          <w:jc w:val="center"/>
        </w:trPr>
        <w:tc>
          <w:tcPr>
            <w:tcW w:w="3652" w:type="dxa"/>
          </w:tcPr>
          <w:p w14:paraId="7F39DAC0" w14:textId="77777777" w:rsidR="00CF0E2D" w:rsidRPr="00F13FAB" w:rsidRDefault="00CF0E2D" w:rsidP="00A60D4B">
            <w:pPr>
              <w:pStyle w:val="InitTextL"/>
              <w:ind w:left="321" w:hanging="321"/>
            </w:pPr>
            <w:r w:rsidRPr="00882BE2">
              <w:t>Expenses</w:t>
            </w:r>
          </w:p>
        </w:tc>
        <w:tc>
          <w:tcPr>
            <w:tcW w:w="1179" w:type="dxa"/>
          </w:tcPr>
          <w:p w14:paraId="6989E48B" w14:textId="77777777" w:rsidR="00CF0E2D" w:rsidRPr="00424DA4" w:rsidRDefault="00CF0E2D" w:rsidP="00A60D4B">
            <w:pPr>
              <w:pStyle w:val="InitFigR"/>
            </w:pPr>
            <w:r>
              <w:t>641</w:t>
            </w:r>
          </w:p>
        </w:tc>
        <w:tc>
          <w:tcPr>
            <w:tcW w:w="1041" w:type="dxa"/>
          </w:tcPr>
          <w:p w14:paraId="6A119ECE" w14:textId="77777777" w:rsidR="00CF0E2D" w:rsidRPr="00424DA4" w:rsidRDefault="00CF0E2D" w:rsidP="00A60D4B">
            <w:pPr>
              <w:pStyle w:val="InitFigR"/>
            </w:pPr>
            <w:r>
              <w:t>693</w:t>
            </w:r>
          </w:p>
        </w:tc>
        <w:tc>
          <w:tcPr>
            <w:tcW w:w="1029" w:type="dxa"/>
          </w:tcPr>
          <w:p w14:paraId="41063DC5" w14:textId="77777777" w:rsidR="00CF0E2D" w:rsidRPr="00424DA4" w:rsidRDefault="00CF0E2D" w:rsidP="00A60D4B">
            <w:pPr>
              <w:pStyle w:val="InitFigR"/>
            </w:pPr>
            <w:r>
              <w:t>702</w:t>
            </w:r>
          </w:p>
        </w:tc>
        <w:tc>
          <w:tcPr>
            <w:tcW w:w="1029" w:type="dxa"/>
          </w:tcPr>
          <w:p w14:paraId="277C8EDA" w14:textId="77777777" w:rsidR="00CF0E2D" w:rsidRPr="00424DA4" w:rsidRDefault="00CF0E2D" w:rsidP="00A60D4B">
            <w:pPr>
              <w:pStyle w:val="InitFigR"/>
            </w:pPr>
            <w:r>
              <w:t>714</w:t>
            </w:r>
          </w:p>
        </w:tc>
        <w:tc>
          <w:tcPr>
            <w:tcW w:w="1029" w:type="dxa"/>
          </w:tcPr>
          <w:p w14:paraId="70810454" w14:textId="77777777" w:rsidR="00CF0E2D" w:rsidRPr="00424DA4" w:rsidRDefault="00CF0E2D" w:rsidP="00A60D4B">
            <w:pPr>
              <w:pStyle w:val="InitFigBR"/>
            </w:pPr>
            <w:r>
              <w:t>2,750</w:t>
            </w:r>
          </w:p>
        </w:tc>
      </w:tr>
      <w:tr w:rsidR="00CF0E2D" w:rsidRPr="00750793" w14:paraId="404E207F" w14:textId="77777777" w:rsidTr="00A60D4B">
        <w:trPr>
          <w:cantSplit/>
          <w:jc w:val="center"/>
        </w:trPr>
        <w:tc>
          <w:tcPr>
            <w:tcW w:w="3652" w:type="dxa"/>
          </w:tcPr>
          <w:p w14:paraId="4F881725" w14:textId="77777777" w:rsidR="00CF0E2D" w:rsidRPr="00F13FAB" w:rsidRDefault="00CF0E2D" w:rsidP="00A60D4B">
            <w:pPr>
              <w:pStyle w:val="InitTextL"/>
              <w:ind w:left="321" w:hanging="321"/>
            </w:pPr>
            <w:r>
              <w:t>Offset – Depreciation – Provision</w:t>
            </w:r>
          </w:p>
        </w:tc>
        <w:tc>
          <w:tcPr>
            <w:tcW w:w="1179" w:type="dxa"/>
          </w:tcPr>
          <w:p w14:paraId="32ECBD36" w14:textId="77777777" w:rsidR="00CF0E2D" w:rsidRPr="00424DA4" w:rsidRDefault="00CF0E2D" w:rsidP="00A60D4B">
            <w:pPr>
              <w:pStyle w:val="InitFigR"/>
            </w:pPr>
            <w:r>
              <w:t>-1,551</w:t>
            </w:r>
          </w:p>
        </w:tc>
        <w:tc>
          <w:tcPr>
            <w:tcW w:w="1041" w:type="dxa"/>
          </w:tcPr>
          <w:p w14:paraId="3F238121" w14:textId="77777777" w:rsidR="00CF0E2D" w:rsidRPr="00424DA4" w:rsidRDefault="00CF0E2D" w:rsidP="00A60D4B">
            <w:pPr>
              <w:pStyle w:val="InitFigR"/>
            </w:pPr>
            <w:r>
              <w:t>-3,101</w:t>
            </w:r>
          </w:p>
        </w:tc>
        <w:tc>
          <w:tcPr>
            <w:tcW w:w="1029" w:type="dxa"/>
          </w:tcPr>
          <w:p w14:paraId="501DB7E3" w14:textId="77777777" w:rsidR="00CF0E2D" w:rsidRPr="00424DA4" w:rsidRDefault="00CF0E2D" w:rsidP="00A60D4B">
            <w:pPr>
              <w:pStyle w:val="InitFigR"/>
            </w:pPr>
            <w:r>
              <w:t>-4,652</w:t>
            </w:r>
          </w:p>
        </w:tc>
        <w:tc>
          <w:tcPr>
            <w:tcW w:w="1029" w:type="dxa"/>
          </w:tcPr>
          <w:p w14:paraId="1F2464B2" w14:textId="77777777" w:rsidR="00CF0E2D" w:rsidRPr="00424DA4" w:rsidRDefault="00CF0E2D" w:rsidP="00A60D4B">
            <w:pPr>
              <w:pStyle w:val="InitFigR"/>
            </w:pPr>
            <w:r>
              <w:t>-4,652</w:t>
            </w:r>
          </w:p>
        </w:tc>
        <w:tc>
          <w:tcPr>
            <w:tcW w:w="1029" w:type="dxa"/>
          </w:tcPr>
          <w:p w14:paraId="5237C359" w14:textId="77777777" w:rsidR="00CF0E2D" w:rsidRPr="00424DA4" w:rsidRDefault="00CF0E2D" w:rsidP="00A60D4B">
            <w:pPr>
              <w:pStyle w:val="InitFigBR"/>
            </w:pPr>
            <w:r>
              <w:t>-13,956</w:t>
            </w:r>
          </w:p>
        </w:tc>
      </w:tr>
      <w:tr w:rsidR="00CF0E2D" w:rsidRPr="00750793" w14:paraId="713FA805" w14:textId="77777777" w:rsidTr="00A60D4B">
        <w:trPr>
          <w:cantSplit/>
          <w:trHeight w:val="107"/>
          <w:jc w:val="center"/>
        </w:trPr>
        <w:tc>
          <w:tcPr>
            <w:tcW w:w="3652" w:type="dxa"/>
            <w:tcBorders>
              <w:top w:val="single" w:sz="4" w:space="0" w:color="auto"/>
              <w:bottom w:val="single" w:sz="4" w:space="0" w:color="auto"/>
            </w:tcBorders>
          </w:tcPr>
          <w:p w14:paraId="104188F3"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3D2F7977" w14:textId="77777777" w:rsidR="00CF0E2D" w:rsidRPr="00424DA4" w:rsidRDefault="00CF0E2D" w:rsidP="00A60D4B">
            <w:pPr>
              <w:pStyle w:val="InitFigRBold"/>
            </w:pPr>
            <w:r>
              <w:t>-221</w:t>
            </w:r>
          </w:p>
        </w:tc>
        <w:tc>
          <w:tcPr>
            <w:tcW w:w="1041" w:type="dxa"/>
            <w:tcBorders>
              <w:top w:val="single" w:sz="4" w:space="0" w:color="auto"/>
              <w:bottom w:val="single" w:sz="4" w:space="0" w:color="auto"/>
            </w:tcBorders>
          </w:tcPr>
          <w:p w14:paraId="6153A3FE" w14:textId="77777777" w:rsidR="00CF0E2D" w:rsidRPr="00424DA4" w:rsidRDefault="00CF0E2D" w:rsidP="00A60D4B">
            <w:pPr>
              <w:pStyle w:val="InitFigRBold"/>
            </w:pPr>
            <w:r>
              <w:t>-295</w:t>
            </w:r>
          </w:p>
        </w:tc>
        <w:tc>
          <w:tcPr>
            <w:tcW w:w="1029" w:type="dxa"/>
            <w:tcBorders>
              <w:top w:val="single" w:sz="4" w:space="0" w:color="auto"/>
              <w:bottom w:val="single" w:sz="4" w:space="0" w:color="auto"/>
            </w:tcBorders>
          </w:tcPr>
          <w:p w14:paraId="60C73857" w14:textId="77777777" w:rsidR="00CF0E2D" w:rsidRPr="00424DA4" w:rsidRDefault="00CF0E2D" w:rsidP="00A60D4B">
            <w:pPr>
              <w:pStyle w:val="InitFigRBold"/>
            </w:pPr>
            <w:r>
              <w:t>-317</w:t>
            </w:r>
          </w:p>
        </w:tc>
        <w:tc>
          <w:tcPr>
            <w:tcW w:w="1029" w:type="dxa"/>
            <w:tcBorders>
              <w:top w:val="single" w:sz="4" w:space="0" w:color="auto"/>
              <w:bottom w:val="single" w:sz="4" w:space="0" w:color="auto"/>
            </w:tcBorders>
          </w:tcPr>
          <w:p w14:paraId="55C93F1D" w14:textId="77777777" w:rsidR="00CF0E2D" w:rsidRPr="00424DA4" w:rsidRDefault="00CF0E2D" w:rsidP="00A60D4B">
            <w:pPr>
              <w:pStyle w:val="InitFigRBold"/>
            </w:pPr>
            <w:r>
              <w:t>-57</w:t>
            </w:r>
          </w:p>
        </w:tc>
        <w:tc>
          <w:tcPr>
            <w:tcW w:w="1029" w:type="dxa"/>
            <w:tcBorders>
              <w:top w:val="single" w:sz="4" w:space="0" w:color="auto"/>
              <w:bottom w:val="single" w:sz="4" w:space="0" w:color="auto"/>
            </w:tcBorders>
          </w:tcPr>
          <w:p w14:paraId="24872FC0" w14:textId="77777777" w:rsidR="00CF0E2D" w:rsidRPr="00424DA4" w:rsidRDefault="00CF0E2D" w:rsidP="00A60D4B">
            <w:pPr>
              <w:pStyle w:val="InitFigRBold"/>
            </w:pPr>
            <w:r>
              <w:t>-890</w:t>
            </w:r>
          </w:p>
        </w:tc>
      </w:tr>
    </w:tbl>
    <w:p w14:paraId="321DCEC3" w14:textId="77777777" w:rsidR="00CF0E2D" w:rsidRPr="00B86B9A" w:rsidRDefault="00CF0E2D" w:rsidP="00A60D4B">
      <w:pPr>
        <w:pStyle w:val="Bbodytext"/>
        <w:rPr>
          <w:rFonts w:ascii="Calibri" w:eastAsia="Times New Roman" w:hAnsi="Calibri" w:cs="Times New Roman"/>
          <w:szCs w:val="20"/>
        </w:rPr>
      </w:pPr>
      <w:r w:rsidRPr="00B86B9A">
        <w:t xml:space="preserve">The Government will </w:t>
      </w:r>
      <w:r w:rsidRPr="00B86B9A">
        <w:rPr>
          <w:rFonts w:ascii="Calibri" w:eastAsia="Times New Roman" w:hAnsi="Calibri" w:cs="Times New Roman"/>
          <w:szCs w:val="20"/>
        </w:rPr>
        <w:t>continue to provide all new ACT public school students in years 7 to 12 with access to a personal device to support their learning. Since 2019, all students in years 7 through 12 have been supplied with a Chromebook. The Government will also provide free internet access for secondary students requiring support and additional eSafety supports for students, families and schools.</w:t>
      </w:r>
    </w:p>
    <w:p w14:paraId="3C91EDED" w14:textId="77777777" w:rsidR="00CF0E2D" w:rsidRPr="00B86B9A" w:rsidRDefault="00CF0E2D" w:rsidP="00A60D4B">
      <w:pPr>
        <w:pStyle w:val="Bbodytext"/>
        <w:rPr>
          <w:rFonts w:ascii="Calibri" w:eastAsia="Times New Roman" w:hAnsi="Calibri" w:cs="Times New Roman"/>
          <w:szCs w:val="20"/>
        </w:rPr>
      </w:pPr>
      <w:r w:rsidRPr="00B86B9A">
        <w:t>This initiative is part of implementing the ‘Systems Supporting Learning’ foundation of the Future of Education Strategy’s second ph</w:t>
      </w:r>
      <w:r w:rsidRPr="00B86B9A">
        <w:rPr>
          <w:rFonts w:ascii="Calibri" w:eastAsia="Times New Roman" w:hAnsi="Calibri" w:cs="Times New Roman"/>
          <w:szCs w:val="20"/>
        </w:rPr>
        <w:t>ase.</w:t>
      </w:r>
    </w:p>
    <w:p w14:paraId="456163D4" w14:textId="77777777" w:rsidR="00CF0E2D" w:rsidRPr="00B86B9A" w:rsidRDefault="00CF0E2D" w:rsidP="00A60D4B">
      <w:pPr>
        <w:pStyle w:val="Bbodytext"/>
        <w:rPr>
          <w:rFonts w:ascii="Calibri" w:eastAsia="Times New Roman" w:hAnsi="Calibri" w:cs="Times New Roman"/>
          <w:szCs w:val="20"/>
        </w:rPr>
      </w:pPr>
      <w:r w:rsidRPr="00B86B9A">
        <w:t>This initiative contributes to the wellbeing domains of Education and life-long learning and Access and connectivity.</w:t>
      </w:r>
    </w:p>
    <w:p w14:paraId="443FA7D6" w14:textId="77777777" w:rsidR="00CF0E2D" w:rsidRPr="00FF70EB" w:rsidRDefault="00CF0E2D" w:rsidP="00A60D4B">
      <w:pPr>
        <w:pStyle w:val="Heading4"/>
        <w:rPr>
          <w:rFonts w:eastAsia="Times New Roman"/>
        </w:rPr>
      </w:pPr>
      <w:r w:rsidRPr="002107CB">
        <w:rPr>
          <w:rFonts w:eastAsia="Times New Roman"/>
        </w:rPr>
        <w:lastRenderedPageBreak/>
        <w:t xml:space="preserve">Investing in public education </w:t>
      </w:r>
      <w:r>
        <w:rPr>
          <w:rFonts w:eastAsia="Times New Roman"/>
        </w:rPr>
        <w:t xml:space="preserve">– </w:t>
      </w:r>
      <w:r w:rsidRPr="00FF70EB">
        <w:rPr>
          <w:rFonts w:eastAsia="Times New Roman"/>
        </w:rPr>
        <w:t xml:space="preserve">Disability Education Review </w:t>
      </w:r>
      <w:r>
        <w:rPr>
          <w:b w:val="0"/>
          <w:noProof/>
          <w:color w:val="999789"/>
          <w:sz w:val="32"/>
          <w:szCs w:val="24"/>
        </w:rPr>
        <w:drawing>
          <wp:anchor distT="0" distB="0" distL="114300" distR="114300" simplePos="0" relativeHeight="251800576" behindDoc="0" locked="1" layoutInCell="1" allowOverlap="1" wp14:anchorId="61388FF4" wp14:editId="51F77C6D">
            <wp:simplePos x="0" y="0"/>
            <wp:positionH relativeFrom="margin">
              <wp:align>right</wp:align>
            </wp:positionH>
            <wp:positionV relativeFrom="paragraph">
              <wp:posOffset>6985</wp:posOffset>
            </wp:positionV>
            <wp:extent cx="1356995" cy="503555"/>
            <wp:effectExtent l="0" t="0" r="0" b="0"/>
            <wp:wrapSquare wrapText="bothSides"/>
            <wp:docPr id="115" name="Picture 115"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6377A0CA" w14:textId="77777777" w:rsidTr="00A60D4B">
        <w:trPr>
          <w:cantSplit/>
          <w:jc w:val="center"/>
        </w:trPr>
        <w:tc>
          <w:tcPr>
            <w:tcW w:w="3652" w:type="dxa"/>
            <w:tcBorders>
              <w:top w:val="single" w:sz="4" w:space="0" w:color="auto"/>
              <w:bottom w:val="single" w:sz="4" w:space="0" w:color="auto"/>
            </w:tcBorders>
          </w:tcPr>
          <w:p w14:paraId="5916A531"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54CC2A95" w14:textId="77777777" w:rsidR="00CF0E2D" w:rsidRPr="00AC1349" w:rsidRDefault="00CF0E2D" w:rsidP="00A60D4B">
            <w:pPr>
              <w:pStyle w:val="InitFigR"/>
              <w:rPr>
                <w:b/>
                <w:bCs/>
              </w:rPr>
            </w:pPr>
            <w:r w:rsidRPr="00AC1349">
              <w:rPr>
                <w:b/>
                <w:bCs/>
              </w:rPr>
              <w:t>2021-22</w:t>
            </w:r>
          </w:p>
          <w:p w14:paraId="378A718B" w14:textId="77777777" w:rsidR="00CF0E2D" w:rsidRPr="00AC1349" w:rsidRDefault="00CF0E2D" w:rsidP="00A60D4B">
            <w:pPr>
              <w:pStyle w:val="InitFigR"/>
              <w:rPr>
                <w:b/>
                <w:bCs/>
              </w:rPr>
            </w:pPr>
            <w:r w:rsidRPr="00AC1349">
              <w:rPr>
                <w:b/>
                <w:bCs/>
              </w:rPr>
              <w:t>$’000</w:t>
            </w:r>
          </w:p>
        </w:tc>
        <w:tc>
          <w:tcPr>
            <w:tcW w:w="1041" w:type="dxa"/>
            <w:tcBorders>
              <w:top w:val="single" w:sz="4" w:space="0" w:color="auto"/>
              <w:bottom w:val="single" w:sz="4" w:space="0" w:color="auto"/>
            </w:tcBorders>
          </w:tcPr>
          <w:p w14:paraId="5532AC0C" w14:textId="77777777" w:rsidR="00CF0E2D" w:rsidRPr="00AC1349" w:rsidRDefault="00CF0E2D" w:rsidP="00A60D4B">
            <w:pPr>
              <w:pStyle w:val="InitFigR"/>
              <w:rPr>
                <w:b/>
                <w:bCs/>
              </w:rPr>
            </w:pPr>
            <w:r w:rsidRPr="00AC1349">
              <w:rPr>
                <w:b/>
                <w:bCs/>
              </w:rPr>
              <w:t>2022-23</w:t>
            </w:r>
          </w:p>
          <w:p w14:paraId="13FF3E4D"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4205BFB4" w14:textId="77777777" w:rsidR="00CF0E2D" w:rsidRPr="00AC1349" w:rsidRDefault="00CF0E2D" w:rsidP="00A60D4B">
            <w:pPr>
              <w:pStyle w:val="InitFigR"/>
              <w:rPr>
                <w:b/>
                <w:bCs/>
              </w:rPr>
            </w:pPr>
            <w:r w:rsidRPr="00AC1349">
              <w:rPr>
                <w:b/>
                <w:bCs/>
              </w:rPr>
              <w:t>2023-24</w:t>
            </w:r>
          </w:p>
          <w:p w14:paraId="71982AEA"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75B33AA1" w14:textId="77777777" w:rsidR="00CF0E2D" w:rsidRPr="00AC1349" w:rsidRDefault="00CF0E2D" w:rsidP="00A60D4B">
            <w:pPr>
              <w:pStyle w:val="InitFigR"/>
              <w:rPr>
                <w:b/>
                <w:bCs/>
              </w:rPr>
            </w:pPr>
            <w:r w:rsidRPr="00AC1349">
              <w:rPr>
                <w:b/>
                <w:bCs/>
              </w:rPr>
              <w:t>2024-25</w:t>
            </w:r>
          </w:p>
          <w:p w14:paraId="77DD3AC8"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7D24F414" w14:textId="77777777" w:rsidR="00CF0E2D" w:rsidRPr="004E341E" w:rsidRDefault="00CF0E2D" w:rsidP="00A60D4B">
            <w:pPr>
              <w:pStyle w:val="InitFigRBold"/>
            </w:pPr>
            <w:r w:rsidRPr="004E341E">
              <w:t>Total</w:t>
            </w:r>
          </w:p>
          <w:p w14:paraId="0DB492FD" w14:textId="77777777" w:rsidR="00CF0E2D" w:rsidRPr="004E341E" w:rsidRDefault="00CF0E2D" w:rsidP="00A60D4B">
            <w:pPr>
              <w:pStyle w:val="InitFigBR"/>
            </w:pPr>
            <w:r w:rsidRPr="004E341E">
              <w:t>$’000</w:t>
            </w:r>
          </w:p>
        </w:tc>
      </w:tr>
      <w:tr w:rsidR="00CF0E2D" w:rsidRPr="00750793" w14:paraId="3525DBAA" w14:textId="77777777" w:rsidTr="00A60D4B">
        <w:trPr>
          <w:cantSplit/>
          <w:jc w:val="center"/>
        </w:trPr>
        <w:tc>
          <w:tcPr>
            <w:tcW w:w="3652" w:type="dxa"/>
            <w:tcBorders>
              <w:top w:val="single" w:sz="4" w:space="0" w:color="auto"/>
              <w:bottom w:val="single" w:sz="4" w:space="0" w:color="auto"/>
            </w:tcBorders>
          </w:tcPr>
          <w:p w14:paraId="7F605E04"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2F03AA3A" w14:textId="77777777" w:rsidR="00CF0E2D" w:rsidRPr="00424DA4" w:rsidRDefault="00CF0E2D" w:rsidP="00A60D4B">
            <w:pPr>
              <w:pStyle w:val="InitFigR"/>
            </w:pPr>
            <w:r>
              <w:t>245</w:t>
            </w:r>
          </w:p>
        </w:tc>
        <w:tc>
          <w:tcPr>
            <w:tcW w:w="1041" w:type="dxa"/>
            <w:tcBorders>
              <w:top w:val="single" w:sz="4" w:space="0" w:color="auto"/>
              <w:bottom w:val="single" w:sz="4" w:space="0" w:color="auto"/>
            </w:tcBorders>
          </w:tcPr>
          <w:p w14:paraId="3AA646C4" w14:textId="77777777" w:rsidR="00CF0E2D" w:rsidRPr="00424DA4" w:rsidRDefault="00CF0E2D" w:rsidP="00A60D4B">
            <w:pPr>
              <w:pStyle w:val="InitFigR"/>
            </w:pPr>
            <w:r>
              <w:t>205</w:t>
            </w:r>
          </w:p>
        </w:tc>
        <w:tc>
          <w:tcPr>
            <w:tcW w:w="1029" w:type="dxa"/>
            <w:tcBorders>
              <w:top w:val="single" w:sz="4" w:space="0" w:color="auto"/>
              <w:bottom w:val="single" w:sz="4" w:space="0" w:color="auto"/>
            </w:tcBorders>
          </w:tcPr>
          <w:p w14:paraId="17F5A2ED"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457809C8"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291C1387" w14:textId="77777777" w:rsidR="00CF0E2D" w:rsidRPr="00424DA4" w:rsidRDefault="00CF0E2D" w:rsidP="00A60D4B">
            <w:pPr>
              <w:pStyle w:val="InitFigBR"/>
            </w:pPr>
            <w:r>
              <w:t>450</w:t>
            </w:r>
          </w:p>
        </w:tc>
      </w:tr>
    </w:tbl>
    <w:p w14:paraId="0868D663" w14:textId="77777777" w:rsidR="00CF0E2D" w:rsidRPr="00FF70EB" w:rsidRDefault="00CF0E2D" w:rsidP="00A60D4B">
      <w:pPr>
        <w:pStyle w:val="Bbodytext"/>
        <w:rPr>
          <w:rFonts w:ascii="Calibri" w:eastAsia="Times New Roman" w:hAnsi="Calibri" w:cs="Times New Roman"/>
          <w:szCs w:val="20"/>
        </w:rPr>
      </w:pPr>
      <w:r w:rsidRPr="00FF70EB">
        <w:t xml:space="preserve">The Government will undertake a review of education for students with a disability in ACT public schools and develop an inclusion strategy, in consultation with the community, including students and their families. This initiative is part of the ‘Students </w:t>
      </w:r>
      <w:r w:rsidRPr="00FF70EB">
        <w:rPr>
          <w:rFonts w:ascii="Calibri" w:eastAsia="Times New Roman" w:hAnsi="Calibri" w:cs="Times New Roman"/>
          <w:szCs w:val="20"/>
        </w:rPr>
        <w:t xml:space="preserve">at the Centre’ foundation of the Future of Education Strategy’s second phase. </w:t>
      </w:r>
    </w:p>
    <w:p w14:paraId="38F54E56" w14:textId="77777777" w:rsidR="00CF0E2D" w:rsidRDefault="00CF0E2D" w:rsidP="00A60D4B">
      <w:pPr>
        <w:pStyle w:val="Bbodytext"/>
      </w:pPr>
      <w:r w:rsidRPr="00FF70EB">
        <w:t>This initiative contributes to the wellbeing domains of Education and life-long learning and Access and connectivity.</w:t>
      </w:r>
    </w:p>
    <w:p w14:paraId="35CAFFD3" w14:textId="77777777" w:rsidR="00CF0E2D" w:rsidRDefault="00CF0E2D" w:rsidP="00A60D4B">
      <w:pPr>
        <w:pStyle w:val="Bbodytext"/>
        <w:rPr>
          <w:rFonts w:ascii="Calibri" w:eastAsia="Times New Roman" w:hAnsi="Calibri" w:cs="Times New Roman"/>
          <w:szCs w:val="20"/>
        </w:rPr>
      </w:pPr>
    </w:p>
    <w:p w14:paraId="47C51F8A" w14:textId="77777777" w:rsidR="00CF0E2D" w:rsidRPr="00AC1349" w:rsidRDefault="00CF0E2D" w:rsidP="00A60D4B">
      <w:pPr>
        <w:pStyle w:val="Heading4"/>
      </w:pPr>
      <w:r w:rsidRPr="002107CB">
        <w:rPr>
          <w:rFonts w:eastAsia="Times New Roman"/>
        </w:rPr>
        <w:t xml:space="preserve">Investing in public education </w:t>
      </w:r>
      <w:r>
        <w:rPr>
          <w:rFonts w:eastAsia="Times New Roman"/>
        </w:rPr>
        <w:t xml:space="preserve">– </w:t>
      </w:r>
      <w:r w:rsidRPr="00E4619A">
        <w:rPr>
          <w:rFonts w:eastAsia="Times New Roman"/>
        </w:rPr>
        <w:t xml:space="preserve">Equitable </w:t>
      </w:r>
      <w:r>
        <w:rPr>
          <w:rFonts w:eastAsia="Times New Roman"/>
        </w:rPr>
        <w:t>e</w:t>
      </w:r>
      <w:r w:rsidRPr="00E4619A">
        <w:rPr>
          <w:rFonts w:eastAsia="Times New Roman"/>
        </w:rPr>
        <w:t xml:space="preserve">nrolment </w:t>
      </w:r>
      <w:r>
        <w:rPr>
          <w:rFonts w:eastAsia="Times New Roman"/>
        </w:rPr>
        <w:t>a</w:t>
      </w:r>
      <w:r w:rsidRPr="00E4619A">
        <w:rPr>
          <w:rFonts w:eastAsia="Times New Roman"/>
        </w:rPr>
        <w:t>djustment</w:t>
      </w:r>
      <w:r w:rsidRPr="00401A50">
        <w:t xml:space="preserve"> </w:t>
      </w:r>
      <w:r>
        <w:rPr>
          <w:b w:val="0"/>
          <w:noProof/>
          <w:color w:val="999789"/>
          <w:sz w:val="32"/>
          <w:szCs w:val="24"/>
        </w:rPr>
        <w:drawing>
          <wp:anchor distT="0" distB="0" distL="114300" distR="114300" simplePos="0" relativeHeight="251801600" behindDoc="0" locked="1" layoutInCell="1" allowOverlap="1" wp14:anchorId="1E6D33F2" wp14:editId="5E6E964A">
            <wp:simplePos x="0" y="0"/>
            <wp:positionH relativeFrom="margin">
              <wp:align>right</wp:align>
            </wp:positionH>
            <wp:positionV relativeFrom="paragraph">
              <wp:posOffset>74930</wp:posOffset>
            </wp:positionV>
            <wp:extent cx="1356995" cy="503555"/>
            <wp:effectExtent l="0" t="0" r="0" b="0"/>
            <wp:wrapSquare wrapText="bothSides"/>
            <wp:docPr id="116" name="Picture 116"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401A50" w14:paraId="54E9CD4A" w14:textId="77777777" w:rsidTr="00A60D4B">
        <w:trPr>
          <w:cantSplit/>
          <w:jc w:val="center"/>
        </w:trPr>
        <w:tc>
          <w:tcPr>
            <w:tcW w:w="3652" w:type="dxa"/>
            <w:tcBorders>
              <w:top w:val="single" w:sz="4" w:space="0" w:color="auto"/>
              <w:bottom w:val="single" w:sz="4" w:space="0" w:color="auto"/>
            </w:tcBorders>
          </w:tcPr>
          <w:p w14:paraId="7057BB76" w14:textId="77777777" w:rsidR="00CF0E2D" w:rsidRPr="00401A50" w:rsidRDefault="00CF0E2D" w:rsidP="00A60D4B">
            <w:pPr>
              <w:pStyle w:val="EmptyCell0"/>
            </w:pPr>
            <w:r w:rsidRPr="00401A50">
              <w:t>Empty Cell</w:t>
            </w:r>
          </w:p>
        </w:tc>
        <w:tc>
          <w:tcPr>
            <w:tcW w:w="1179" w:type="dxa"/>
            <w:tcBorders>
              <w:top w:val="single" w:sz="4" w:space="0" w:color="auto"/>
              <w:bottom w:val="single" w:sz="4" w:space="0" w:color="auto"/>
            </w:tcBorders>
          </w:tcPr>
          <w:p w14:paraId="70BF7EE6" w14:textId="77777777" w:rsidR="00CF0E2D" w:rsidRPr="001A2412" w:rsidRDefault="00CF0E2D" w:rsidP="00A60D4B">
            <w:pPr>
              <w:pStyle w:val="InitFigR"/>
              <w:rPr>
                <w:b/>
                <w:bCs/>
              </w:rPr>
            </w:pPr>
            <w:r w:rsidRPr="001A2412">
              <w:rPr>
                <w:b/>
                <w:bCs/>
              </w:rPr>
              <w:t>2021-22</w:t>
            </w:r>
          </w:p>
          <w:p w14:paraId="7D742015" w14:textId="77777777" w:rsidR="00CF0E2D" w:rsidRPr="001A2412" w:rsidRDefault="00CF0E2D" w:rsidP="00A60D4B">
            <w:pPr>
              <w:pStyle w:val="InitFigR"/>
              <w:rPr>
                <w:b/>
                <w:bCs/>
              </w:rPr>
            </w:pPr>
            <w:r w:rsidRPr="001A2412">
              <w:rPr>
                <w:b/>
                <w:bCs/>
              </w:rPr>
              <w:t>$’000</w:t>
            </w:r>
          </w:p>
        </w:tc>
        <w:tc>
          <w:tcPr>
            <w:tcW w:w="1041" w:type="dxa"/>
            <w:tcBorders>
              <w:top w:val="single" w:sz="4" w:space="0" w:color="auto"/>
              <w:bottom w:val="single" w:sz="4" w:space="0" w:color="auto"/>
            </w:tcBorders>
          </w:tcPr>
          <w:p w14:paraId="6AFFC06F" w14:textId="77777777" w:rsidR="00CF0E2D" w:rsidRPr="001A2412" w:rsidRDefault="00CF0E2D" w:rsidP="00A60D4B">
            <w:pPr>
              <w:pStyle w:val="InitFigR"/>
              <w:rPr>
                <w:b/>
                <w:bCs/>
              </w:rPr>
            </w:pPr>
            <w:r w:rsidRPr="001A2412">
              <w:rPr>
                <w:b/>
                <w:bCs/>
              </w:rPr>
              <w:t>2022-23</w:t>
            </w:r>
          </w:p>
          <w:p w14:paraId="7086576F" w14:textId="77777777" w:rsidR="00CF0E2D" w:rsidRPr="001A2412" w:rsidRDefault="00CF0E2D" w:rsidP="00A60D4B">
            <w:pPr>
              <w:pStyle w:val="InitFigR"/>
              <w:rPr>
                <w:b/>
                <w:bCs/>
              </w:rPr>
            </w:pPr>
            <w:r w:rsidRPr="001A2412">
              <w:rPr>
                <w:b/>
                <w:bCs/>
              </w:rPr>
              <w:t>$’000</w:t>
            </w:r>
          </w:p>
        </w:tc>
        <w:tc>
          <w:tcPr>
            <w:tcW w:w="1029" w:type="dxa"/>
            <w:tcBorders>
              <w:top w:val="single" w:sz="4" w:space="0" w:color="auto"/>
              <w:bottom w:val="single" w:sz="4" w:space="0" w:color="auto"/>
            </w:tcBorders>
          </w:tcPr>
          <w:p w14:paraId="6CD539ED" w14:textId="77777777" w:rsidR="00CF0E2D" w:rsidRPr="001A2412" w:rsidRDefault="00CF0E2D" w:rsidP="00A60D4B">
            <w:pPr>
              <w:pStyle w:val="InitFigR"/>
              <w:rPr>
                <w:b/>
                <w:bCs/>
              </w:rPr>
            </w:pPr>
            <w:r w:rsidRPr="001A2412">
              <w:rPr>
                <w:b/>
                <w:bCs/>
              </w:rPr>
              <w:t>2023-24</w:t>
            </w:r>
          </w:p>
          <w:p w14:paraId="4B1C3BFF" w14:textId="77777777" w:rsidR="00CF0E2D" w:rsidRPr="001A2412" w:rsidRDefault="00CF0E2D" w:rsidP="00A60D4B">
            <w:pPr>
              <w:pStyle w:val="InitFigR"/>
              <w:rPr>
                <w:b/>
                <w:bCs/>
              </w:rPr>
            </w:pPr>
            <w:r w:rsidRPr="001A2412">
              <w:rPr>
                <w:b/>
                <w:bCs/>
              </w:rPr>
              <w:t>$’000</w:t>
            </w:r>
          </w:p>
        </w:tc>
        <w:tc>
          <w:tcPr>
            <w:tcW w:w="1029" w:type="dxa"/>
            <w:tcBorders>
              <w:top w:val="single" w:sz="4" w:space="0" w:color="auto"/>
              <w:bottom w:val="single" w:sz="4" w:space="0" w:color="auto"/>
            </w:tcBorders>
          </w:tcPr>
          <w:p w14:paraId="15368C11" w14:textId="77777777" w:rsidR="00CF0E2D" w:rsidRPr="001A2412" w:rsidRDefault="00CF0E2D" w:rsidP="00A60D4B">
            <w:pPr>
              <w:pStyle w:val="InitFigR"/>
              <w:rPr>
                <w:b/>
                <w:bCs/>
              </w:rPr>
            </w:pPr>
            <w:r w:rsidRPr="001A2412">
              <w:rPr>
                <w:b/>
                <w:bCs/>
              </w:rPr>
              <w:t>2024-25</w:t>
            </w:r>
          </w:p>
          <w:p w14:paraId="68A82743" w14:textId="77777777" w:rsidR="00CF0E2D" w:rsidRPr="001A2412" w:rsidRDefault="00CF0E2D" w:rsidP="00A60D4B">
            <w:pPr>
              <w:pStyle w:val="InitFigR"/>
              <w:rPr>
                <w:b/>
                <w:bCs/>
              </w:rPr>
            </w:pPr>
            <w:r w:rsidRPr="001A2412">
              <w:rPr>
                <w:b/>
                <w:bCs/>
              </w:rPr>
              <w:t>$’000</w:t>
            </w:r>
          </w:p>
        </w:tc>
        <w:tc>
          <w:tcPr>
            <w:tcW w:w="1029" w:type="dxa"/>
            <w:tcBorders>
              <w:top w:val="single" w:sz="4" w:space="0" w:color="auto"/>
              <w:bottom w:val="single" w:sz="4" w:space="0" w:color="auto"/>
            </w:tcBorders>
          </w:tcPr>
          <w:p w14:paraId="15F7334C" w14:textId="77777777" w:rsidR="00CF0E2D" w:rsidRPr="00401A50" w:rsidRDefault="00CF0E2D" w:rsidP="00A60D4B">
            <w:pPr>
              <w:pStyle w:val="InitFigRBold"/>
            </w:pPr>
            <w:r w:rsidRPr="00401A50">
              <w:t>Total</w:t>
            </w:r>
          </w:p>
          <w:p w14:paraId="4777AB0C" w14:textId="77777777" w:rsidR="00CF0E2D" w:rsidRPr="00401A50" w:rsidRDefault="00CF0E2D" w:rsidP="00A60D4B">
            <w:pPr>
              <w:pStyle w:val="InitFigBR"/>
            </w:pPr>
            <w:r w:rsidRPr="00401A50">
              <w:t>$’000</w:t>
            </w:r>
          </w:p>
        </w:tc>
      </w:tr>
      <w:tr w:rsidR="00CF0E2D" w:rsidRPr="00401A50" w14:paraId="525B752D" w14:textId="77777777" w:rsidTr="00A60D4B">
        <w:trPr>
          <w:cantSplit/>
          <w:jc w:val="center"/>
        </w:trPr>
        <w:tc>
          <w:tcPr>
            <w:tcW w:w="3652" w:type="dxa"/>
            <w:tcBorders>
              <w:top w:val="single" w:sz="4" w:space="0" w:color="auto"/>
              <w:bottom w:val="single" w:sz="4" w:space="0" w:color="auto"/>
            </w:tcBorders>
          </w:tcPr>
          <w:p w14:paraId="2875793C" w14:textId="77777777" w:rsidR="00CF0E2D" w:rsidRPr="00401A50" w:rsidRDefault="00CF0E2D" w:rsidP="00A60D4B">
            <w:pPr>
              <w:pStyle w:val="InitTextL"/>
              <w:ind w:left="321" w:hanging="321"/>
            </w:pPr>
            <w:r w:rsidRPr="00401A50">
              <w:t>Expenses</w:t>
            </w:r>
          </w:p>
        </w:tc>
        <w:tc>
          <w:tcPr>
            <w:tcW w:w="1179" w:type="dxa"/>
            <w:tcBorders>
              <w:top w:val="single" w:sz="4" w:space="0" w:color="auto"/>
              <w:bottom w:val="single" w:sz="4" w:space="0" w:color="auto"/>
            </w:tcBorders>
          </w:tcPr>
          <w:p w14:paraId="3DB8B51C" w14:textId="77777777" w:rsidR="00CF0E2D" w:rsidRPr="00401A50" w:rsidRDefault="00CF0E2D" w:rsidP="00A60D4B">
            <w:pPr>
              <w:pStyle w:val="InitFigR"/>
            </w:pPr>
            <w:r w:rsidRPr="00401A50">
              <w:t>5,173</w:t>
            </w:r>
          </w:p>
        </w:tc>
        <w:tc>
          <w:tcPr>
            <w:tcW w:w="1041" w:type="dxa"/>
            <w:tcBorders>
              <w:top w:val="single" w:sz="4" w:space="0" w:color="auto"/>
              <w:bottom w:val="single" w:sz="4" w:space="0" w:color="auto"/>
            </w:tcBorders>
          </w:tcPr>
          <w:p w14:paraId="7208C37E" w14:textId="77777777" w:rsidR="00CF0E2D" w:rsidRPr="00401A50" w:rsidRDefault="00CF0E2D" w:rsidP="00A60D4B">
            <w:pPr>
              <w:pStyle w:val="InitFigR"/>
            </w:pPr>
            <w:r w:rsidRPr="00401A50">
              <w:t>5,328</w:t>
            </w:r>
          </w:p>
        </w:tc>
        <w:tc>
          <w:tcPr>
            <w:tcW w:w="1029" w:type="dxa"/>
            <w:tcBorders>
              <w:top w:val="single" w:sz="4" w:space="0" w:color="auto"/>
              <w:bottom w:val="single" w:sz="4" w:space="0" w:color="auto"/>
            </w:tcBorders>
          </w:tcPr>
          <w:p w14:paraId="5540AE2F" w14:textId="77777777" w:rsidR="00CF0E2D" w:rsidRPr="00401A50" w:rsidRDefault="00CF0E2D" w:rsidP="00A60D4B">
            <w:pPr>
              <w:pStyle w:val="InitFigR"/>
            </w:pPr>
            <w:r w:rsidRPr="00401A50">
              <w:t>5,488</w:t>
            </w:r>
          </w:p>
        </w:tc>
        <w:tc>
          <w:tcPr>
            <w:tcW w:w="1029" w:type="dxa"/>
            <w:tcBorders>
              <w:top w:val="single" w:sz="4" w:space="0" w:color="auto"/>
              <w:bottom w:val="single" w:sz="4" w:space="0" w:color="auto"/>
            </w:tcBorders>
          </w:tcPr>
          <w:p w14:paraId="2D673331" w14:textId="77777777" w:rsidR="00CF0E2D" w:rsidRPr="00401A50" w:rsidRDefault="00CF0E2D" w:rsidP="00A60D4B">
            <w:pPr>
              <w:pStyle w:val="InitFigR"/>
            </w:pPr>
            <w:r w:rsidRPr="00401A50">
              <w:t>5,652</w:t>
            </w:r>
          </w:p>
        </w:tc>
        <w:tc>
          <w:tcPr>
            <w:tcW w:w="1029" w:type="dxa"/>
            <w:tcBorders>
              <w:top w:val="single" w:sz="4" w:space="0" w:color="auto"/>
              <w:bottom w:val="single" w:sz="4" w:space="0" w:color="auto"/>
            </w:tcBorders>
          </w:tcPr>
          <w:p w14:paraId="6B23AAC7" w14:textId="77777777" w:rsidR="00CF0E2D" w:rsidRPr="00401A50" w:rsidRDefault="00CF0E2D" w:rsidP="00A60D4B">
            <w:pPr>
              <w:pStyle w:val="InitFigBR"/>
            </w:pPr>
            <w:r w:rsidRPr="00401A50">
              <w:t>21,641</w:t>
            </w:r>
          </w:p>
        </w:tc>
      </w:tr>
    </w:tbl>
    <w:p w14:paraId="5328E129" w14:textId="69963581" w:rsidR="00CF0E2D" w:rsidRPr="00E4619A" w:rsidRDefault="00CF0E2D" w:rsidP="00A60D4B">
      <w:pPr>
        <w:pStyle w:val="Bbodytext"/>
        <w:rPr>
          <w:rFonts w:ascii="Calibri" w:eastAsia="Times New Roman" w:hAnsi="Calibri" w:cs="Times New Roman"/>
          <w:szCs w:val="20"/>
        </w:rPr>
      </w:pPr>
      <w:r w:rsidRPr="00E4619A">
        <w:t xml:space="preserve">The Government will continue to support an increase in students </w:t>
      </w:r>
      <w:r w:rsidRPr="00E4619A">
        <w:rPr>
          <w:rFonts w:ascii="Calibri" w:eastAsia="Times New Roman" w:hAnsi="Calibri" w:cs="Times New Roman"/>
          <w:szCs w:val="20"/>
        </w:rPr>
        <w:t xml:space="preserve">with additional needs in ACT public schools. The funding will provide the equivalent of 42 full-time learning professionals and support staff to meet significant growth in the ACT school system between 2020 and 2021. Support will be targeted at students with disability, Aboriginal and Torres Strait Islander students, students from culturally and linguistically diverse background </w:t>
      </w:r>
      <w:r>
        <w:rPr>
          <w:rFonts w:ascii="Calibri" w:eastAsia="Times New Roman" w:hAnsi="Calibri" w:cs="Times New Roman"/>
          <w:szCs w:val="20"/>
        </w:rPr>
        <w:t xml:space="preserve">and </w:t>
      </w:r>
      <w:r w:rsidRPr="00E4619A">
        <w:rPr>
          <w:rFonts w:ascii="Calibri" w:eastAsia="Times New Roman" w:hAnsi="Calibri" w:cs="Times New Roman"/>
          <w:szCs w:val="20"/>
        </w:rPr>
        <w:t>students with lower socio-economic status.</w:t>
      </w:r>
    </w:p>
    <w:p w14:paraId="6252CF37" w14:textId="77777777" w:rsidR="00CF0E2D" w:rsidRPr="00E4619A" w:rsidRDefault="00CF0E2D" w:rsidP="00A60D4B">
      <w:pPr>
        <w:pStyle w:val="Bbodytext"/>
        <w:rPr>
          <w:rFonts w:ascii="Calibri" w:eastAsia="Times New Roman" w:hAnsi="Calibri" w:cs="Times New Roman"/>
          <w:szCs w:val="20"/>
        </w:rPr>
      </w:pPr>
      <w:r w:rsidRPr="00E4619A">
        <w:t>This initiative builds on the Government’s ongoing commitment to provide e</w:t>
      </w:r>
      <w:r w:rsidRPr="00E4619A">
        <w:rPr>
          <w:rFonts w:ascii="Calibri" w:eastAsia="Times New Roman" w:hAnsi="Calibri" w:cs="Times New Roman"/>
          <w:szCs w:val="20"/>
        </w:rPr>
        <w:t>ducation to all children in the ACT who wish to attend an ACT public school</w:t>
      </w:r>
      <w:r>
        <w:rPr>
          <w:rFonts w:ascii="Calibri" w:eastAsia="Times New Roman" w:hAnsi="Calibri" w:cs="Times New Roman"/>
          <w:szCs w:val="20"/>
        </w:rPr>
        <w:t>.</w:t>
      </w:r>
    </w:p>
    <w:p w14:paraId="1DE44B59" w14:textId="77777777" w:rsidR="00CF0E2D" w:rsidRDefault="00CF0E2D" w:rsidP="00A60D4B">
      <w:pPr>
        <w:pStyle w:val="Bbodytext"/>
      </w:pPr>
      <w:r w:rsidRPr="00E4619A">
        <w:t>This initiative contributes to the wellbeing domains of Education and life-long learning and Access and connectivity.</w:t>
      </w:r>
    </w:p>
    <w:p w14:paraId="5A2B4B0E" w14:textId="77777777" w:rsidR="00CF0E2D" w:rsidRPr="00E4619A" w:rsidRDefault="00CF0E2D" w:rsidP="00A60D4B">
      <w:pPr>
        <w:pStyle w:val="Bbodytext"/>
        <w:rPr>
          <w:rFonts w:ascii="Calibri" w:eastAsia="Times New Roman" w:hAnsi="Calibri" w:cs="Times New Roman"/>
          <w:szCs w:val="20"/>
        </w:rPr>
      </w:pPr>
    </w:p>
    <w:p w14:paraId="49EB3AFE" w14:textId="77777777" w:rsidR="00CF0E2D" w:rsidRDefault="00CF0E2D" w:rsidP="00A60D4B">
      <w:pPr>
        <w:pStyle w:val="Heading4"/>
      </w:pPr>
      <w:r w:rsidRPr="002107CB">
        <w:rPr>
          <w:rFonts w:eastAsia="Times New Roman"/>
        </w:rPr>
        <w:t xml:space="preserve">Investing in public education </w:t>
      </w:r>
      <w:r>
        <w:rPr>
          <w:rFonts w:eastAsia="Times New Roman"/>
        </w:rPr>
        <w:t xml:space="preserve">– </w:t>
      </w:r>
      <w:r w:rsidRPr="000E7BB7">
        <w:rPr>
          <w:rFonts w:eastAsia="Times New Roman"/>
        </w:rPr>
        <w:t xml:space="preserve">Essential ICT </w:t>
      </w:r>
      <w:r>
        <w:rPr>
          <w:rFonts w:eastAsia="Times New Roman"/>
        </w:rPr>
        <w:t>s</w:t>
      </w:r>
      <w:r w:rsidRPr="000E7BB7">
        <w:rPr>
          <w:rFonts w:eastAsia="Times New Roman"/>
        </w:rPr>
        <w:t xml:space="preserve">ystems </w:t>
      </w:r>
      <w:r>
        <w:rPr>
          <w:rFonts w:eastAsia="Times New Roman"/>
        </w:rPr>
        <w:t>u</w:t>
      </w:r>
      <w:r w:rsidRPr="000E7BB7">
        <w:rPr>
          <w:rFonts w:eastAsia="Times New Roman"/>
        </w:rPr>
        <w:t xml:space="preserve">pgrades and </w:t>
      </w:r>
      <w:r>
        <w:rPr>
          <w:rFonts w:eastAsia="Times New Roman"/>
        </w:rPr>
        <w:t>m</w:t>
      </w:r>
      <w:r w:rsidRPr="000E7BB7">
        <w:rPr>
          <w:rFonts w:eastAsia="Times New Roman"/>
        </w:rPr>
        <w:t>odifications</w:t>
      </w:r>
      <w:r>
        <w:t xml:space="preserve"> </w:t>
      </w:r>
      <w:r>
        <w:rPr>
          <w:b w:val="0"/>
          <w:noProof/>
          <w:color w:val="999789"/>
          <w:sz w:val="32"/>
          <w:szCs w:val="24"/>
        </w:rPr>
        <w:drawing>
          <wp:anchor distT="0" distB="0" distL="114300" distR="114300" simplePos="0" relativeHeight="251802624" behindDoc="0" locked="1" layoutInCell="1" allowOverlap="1" wp14:anchorId="53888ABF" wp14:editId="383F9083">
            <wp:simplePos x="0" y="0"/>
            <wp:positionH relativeFrom="margin">
              <wp:align>right</wp:align>
            </wp:positionH>
            <wp:positionV relativeFrom="paragraph">
              <wp:posOffset>74930</wp:posOffset>
            </wp:positionV>
            <wp:extent cx="1356995" cy="503555"/>
            <wp:effectExtent l="0" t="0" r="0" b="0"/>
            <wp:wrapSquare wrapText="bothSides"/>
            <wp:docPr id="117" name="Picture 117"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0B0C53FE" w14:textId="77777777" w:rsidTr="00A60D4B">
        <w:trPr>
          <w:cantSplit/>
          <w:jc w:val="center"/>
        </w:trPr>
        <w:tc>
          <w:tcPr>
            <w:tcW w:w="3652" w:type="dxa"/>
            <w:tcBorders>
              <w:top w:val="single" w:sz="4" w:space="0" w:color="auto"/>
              <w:bottom w:val="single" w:sz="4" w:space="0" w:color="auto"/>
            </w:tcBorders>
          </w:tcPr>
          <w:p w14:paraId="6042F31F"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0375C5BB" w14:textId="77777777" w:rsidR="00CF0E2D" w:rsidRPr="00AC1349" w:rsidRDefault="00CF0E2D" w:rsidP="00A60D4B">
            <w:pPr>
              <w:pStyle w:val="InitFigR"/>
              <w:rPr>
                <w:b/>
                <w:bCs/>
              </w:rPr>
            </w:pPr>
            <w:r w:rsidRPr="00AC1349">
              <w:rPr>
                <w:b/>
                <w:bCs/>
              </w:rPr>
              <w:t>2021-22</w:t>
            </w:r>
          </w:p>
          <w:p w14:paraId="582F45C3" w14:textId="77777777" w:rsidR="00CF0E2D" w:rsidRPr="00AC1349" w:rsidRDefault="00CF0E2D" w:rsidP="00A60D4B">
            <w:pPr>
              <w:pStyle w:val="InitFigR"/>
              <w:rPr>
                <w:b/>
                <w:bCs/>
              </w:rPr>
            </w:pPr>
            <w:r w:rsidRPr="00AC1349">
              <w:rPr>
                <w:b/>
                <w:bCs/>
              </w:rPr>
              <w:t>$’000</w:t>
            </w:r>
          </w:p>
        </w:tc>
        <w:tc>
          <w:tcPr>
            <w:tcW w:w="1041" w:type="dxa"/>
            <w:tcBorders>
              <w:top w:val="single" w:sz="4" w:space="0" w:color="auto"/>
              <w:bottom w:val="single" w:sz="4" w:space="0" w:color="auto"/>
            </w:tcBorders>
          </w:tcPr>
          <w:p w14:paraId="289437D6" w14:textId="77777777" w:rsidR="00CF0E2D" w:rsidRPr="00AC1349" w:rsidRDefault="00CF0E2D" w:rsidP="00A60D4B">
            <w:pPr>
              <w:pStyle w:val="InitFigR"/>
              <w:rPr>
                <w:b/>
                <w:bCs/>
              </w:rPr>
            </w:pPr>
            <w:r w:rsidRPr="00AC1349">
              <w:rPr>
                <w:b/>
                <w:bCs/>
              </w:rPr>
              <w:t>2022-23</w:t>
            </w:r>
          </w:p>
          <w:p w14:paraId="592ED918"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754B4B14" w14:textId="77777777" w:rsidR="00CF0E2D" w:rsidRPr="00AC1349" w:rsidRDefault="00CF0E2D" w:rsidP="00A60D4B">
            <w:pPr>
              <w:pStyle w:val="InitFigR"/>
              <w:rPr>
                <w:b/>
                <w:bCs/>
              </w:rPr>
            </w:pPr>
            <w:r w:rsidRPr="00AC1349">
              <w:rPr>
                <w:b/>
                <w:bCs/>
              </w:rPr>
              <w:t>2023-24</w:t>
            </w:r>
          </w:p>
          <w:p w14:paraId="648C248A"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6F62C016" w14:textId="77777777" w:rsidR="00CF0E2D" w:rsidRPr="00AC1349" w:rsidRDefault="00CF0E2D" w:rsidP="00A60D4B">
            <w:pPr>
              <w:pStyle w:val="InitFigR"/>
              <w:rPr>
                <w:b/>
                <w:bCs/>
              </w:rPr>
            </w:pPr>
            <w:r w:rsidRPr="00AC1349">
              <w:rPr>
                <w:b/>
                <w:bCs/>
              </w:rPr>
              <w:t>2024-25</w:t>
            </w:r>
          </w:p>
          <w:p w14:paraId="3A6FF2CB"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73C237AD" w14:textId="77777777" w:rsidR="00CF0E2D" w:rsidRPr="004E341E" w:rsidRDefault="00CF0E2D" w:rsidP="00A60D4B">
            <w:pPr>
              <w:pStyle w:val="InitFigRBold"/>
            </w:pPr>
            <w:r w:rsidRPr="004E341E">
              <w:t>Total</w:t>
            </w:r>
          </w:p>
          <w:p w14:paraId="7CDED132" w14:textId="77777777" w:rsidR="00CF0E2D" w:rsidRPr="004E341E" w:rsidRDefault="00CF0E2D" w:rsidP="00A60D4B">
            <w:pPr>
              <w:pStyle w:val="InitFigBR"/>
            </w:pPr>
            <w:r w:rsidRPr="004E341E">
              <w:t>$’000</w:t>
            </w:r>
          </w:p>
        </w:tc>
      </w:tr>
      <w:tr w:rsidR="00CF0E2D" w:rsidRPr="00750793" w14:paraId="61558CDF" w14:textId="77777777" w:rsidTr="00A60D4B">
        <w:trPr>
          <w:cantSplit/>
          <w:jc w:val="center"/>
        </w:trPr>
        <w:tc>
          <w:tcPr>
            <w:tcW w:w="3652" w:type="dxa"/>
            <w:tcBorders>
              <w:top w:val="single" w:sz="4" w:space="0" w:color="auto"/>
            </w:tcBorders>
          </w:tcPr>
          <w:p w14:paraId="72FEEF3E" w14:textId="77777777" w:rsidR="00CF0E2D" w:rsidRDefault="00CF0E2D" w:rsidP="00A60D4B">
            <w:pPr>
              <w:pStyle w:val="InitTextL"/>
              <w:ind w:left="321" w:hanging="321"/>
            </w:pPr>
            <w:r>
              <w:t>Capital</w:t>
            </w:r>
          </w:p>
        </w:tc>
        <w:tc>
          <w:tcPr>
            <w:tcW w:w="1179" w:type="dxa"/>
            <w:tcBorders>
              <w:top w:val="single" w:sz="4" w:space="0" w:color="auto"/>
            </w:tcBorders>
          </w:tcPr>
          <w:p w14:paraId="392D11AA" w14:textId="77777777" w:rsidR="00CF0E2D" w:rsidRDefault="00CF0E2D" w:rsidP="00A60D4B">
            <w:pPr>
              <w:pStyle w:val="InitFigR"/>
            </w:pPr>
            <w:r>
              <w:t>400</w:t>
            </w:r>
          </w:p>
        </w:tc>
        <w:tc>
          <w:tcPr>
            <w:tcW w:w="1041" w:type="dxa"/>
            <w:tcBorders>
              <w:top w:val="single" w:sz="4" w:space="0" w:color="auto"/>
            </w:tcBorders>
          </w:tcPr>
          <w:p w14:paraId="110B6F37" w14:textId="77777777" w:rsidR="00CF0E2D" w:rsidRDefault="00CF0E2D" w:rsidP="00A60D4B">
            <w:pPr>
              <w:pStyle w:val="InitFigR"/>
            </w:pPr>
            <w:r>
              <w:t>0</w:t>
            </w:r>
          </w:p>
        </w:tc>
        <w:tc>
          <w:tcPr>
            <w:tcW w:w="1029" w:type="dxa"/>
            <w:tcBorders>
              <w:top w:val="single" w:sz="4" w:space="0" w:color="auto"/>
            </w:tcBorders>
          </w:tcPr>
          <w:p w14:paraId="7EB65D41" w14:textId="77777777" w:rsidR="00CF0E2D" w:rsidRDefault="00CF0E2D" w:rsidP="00A60D4B">
            <w:pPr>
              <w:pStyle w:val="InitFigR"/>
            </w:pPr>
            <w:r>
              <w:t>0</w:t>
            </w:r>
          </w:p>
        </w:tc>
        <w:tc>
          <w:tcPr>
            <w:tcW w:w="1029" w:type="dxa"/>
            <w:tcBorders>
              <w:top w:val="single" w:sz="4" w:space="0" w:color="auto"/>
            </w:tcBorders>
          </w:tcPr>
          <w:p w14:paraId="3524835F" w14:textId="77777777" w:rsidR="00CF0E2D" w:rsidRDefault="00CF0E2D" w:rsidP="00A60D4B">
            <w:pPr>
              <w:pStyle w:val="InitFigR"/>
            </w:pPr>
            <w:r>
              <w:t>0</w:t>
            </w:r>
          </w:p>
        </w:tc>
        <w:tc>
          <w:tcPr>
            <w:tcW w:w="1029" w:type="dxa"/>
            <w:tcBorders>
              <w:top w:val="single" w:sz="4" w:space="0" w:color="auto"/>
            </w:tcBorders>
          </w:tcPr>
          <w:p w14:paraId="54D0979F" w14:textId="77777777" w:rsidR="00CF0E2D" w:rsidRPr="00DF4E7D" w:rsidRDefault="00CF0E2D" w:rsidP="00A60D4B">
            <w:pPr>
              <w:pStyle w:val="InitFigRBold"/>
              <w:rPr>
                <w:bCs/>
              </w:rPr>
            </w:pPr>
            <w:r w:rsidRPr="00DF4E7D">
              <w:rPr>
                <w:bCs/>
              </w:rPr>
              <w:t>400</w:t>
            </w:r>
          </w:p>
        </w:tc>
      </w:tr>
      <w:tr w:rsidR="00CF0E2D" w:rsidRPr="00750793" w14:paraId="689968A7" w14:textId="77777777" w:rsidTr="00A60D4B">
        <w:trPr>
          <w:cantSplit/>
          <w:jc w:val="center"/>
        </w:trPr>
        <w:tc>
          <w:tcPr>
            <w:tcW w:w="3652" w:type="dxa"/>
            <w:tcBorders>
              <w:top w:val="single" w:sz="4" w:space="0" w:color="auto"/>
            </w:tcBorders>
          </w:tcPr>
          <w:p w14:paraId="2A0A263F" w14:textId="77777777" w:rsidR="00CF0E2D" w:rsidRPr="00D13A71" w:rsidRDefault="00CF0E2D" w:rsidP="00A60D4B">
            <w:pPr>
              <w:pStyle w:val="InitTextL"/>
              <w:ind w:left="321" w:hanging="321"/>
              <w:rPr>
                <w:b/>
                <w:bCs/>
              </w:rPr>
            </w:pPr>
            <w:r>
              <w:t>Depreciation</w:t>
            </w:r>
          </w:p>
        </w:tc>
        <w:tc>
          <w:tcPr>
            <w:tcW w:w="1179" w:type="dxa"/>
            <w:tcBorders>
              <w:top w:val="single" w:sz="4" w:space="0" w:color="auto"/>
            </w:tcBorders>
          </w:tcPr>
          <w:p w14:paraId="626A138E" w14:textId="77777777" w:rsidR="00CF0E2D" w:rsidRDefault="00CF0E2D" w:rsidP="00A60D4B">
            <w:pPr>
              <w:pStyle w:val="InitFigR"/>
            </w:pPr>
            <w:r>
              <w:t>0</w:t>
            </w:r>
          </w:p>
        </w:tc>
        <w:tc>
          <w:tcPr>
            <w:tcW w:w="1041" w:type="dxa"/>
            <w:tcBorders>
              <w:top w:val="single" w:sz="4" w:space="0" w:color="auto"/>
            </w:tcBorders>
          </w:tcPr>
          <w:p w14:paraId="1A7D122B" w14:textId="77777777" w:rsidR="00CF0E2D" w:rsidRDefault="00CF0E2D" w:rsidP="00A60D4B">
            <w:pPr>
              <w:pStyle w:val="InitFigR"/>
            </w:pPr>
            <w:r>
              <w:t>40</w:t>
            </w:r>
          </w:p>
        </w:tc>
        <w:tc>
          <w:tcPr>
            <w:tcW w:w="1029" w:type="dxa"/>
            <w:tcBorders>
              <w:top w:val="single" w:sz="4" w:space="0" w:color="auto"/>
            </w:tcBorders>
          </w:tcPr>
          <w:p w14:paraId="4B2EBE75" w14:textId="77777777" w:rsidR="00CF0E2D" w:rsidRDefault="00CF0E2D" w:rsidP="00A60D4B">
            <w:pPr>
              <w:pStyle w:val="InitFigR"/>
            </w:pPr>
            <w:r>
              <w:t>40</w:t>
            </w:r>
          </w:p>
        </w:tc>
        <w:tc>
          <w:tcPr>
            <w:tcW w:w="1029" w:type="dxa"/>
            <w:tcBorders>
              <w:top w:val="single" w:sz="4" w:space="0" w:color="auto"/>
            </w:tcBorders>
          </w:tcPr>
          <w:p w14:paraId="5B4D693E" w14:textId="77777777" w:rsidR="00CF0E2D" w:rsidRDefault="00CF0E2D" w:rsidP="00A60D4B">
            <w:pPr>
              <w:pStyle w:val="InitFigR"/>
            </w:pPr>
            <w:r>
              <w:t>40</w:t>
            </w:r>
          </w:p>
        </w:tc>
        <w:tc>
          <w:tcPr>
            <w:tcW w:w="1029" w:type="dxa"/>
            <w:tcBorders>
              <w:top w:val="single" w:sz="4" w:space="0" w:color="auto"/>
            </w:tcBorders>
          </w:tcPr>
          <w:p w14:paraId="43CB4817" w14:textId="77777777" w:rsidR="00CF0E2D" w:rsidRPr="00DF4E7D" w:rsidRDefault="00CF0E2D" w:rsidP="00A60D4B">
            <w:pPr>
              <w:pStyle w:val="InitFigRBold"/>
              <w:rPr>
                <w:bCs/>
              </w:rPr>
            </w:pPr>
            <w:r w:rsidRPr="00DF4E7D">
              <w:rPr>
                <w:bCs/>
              </w:rPr>
              <w:t>120</w:t>
            </w:r>
          </w:p>
        </w:tc>
      </w:tr>
      <w:tr w:rsidR="00CF0E2D" w:rsidRPr="00750793" w14:paraId="3CF41D5A" w14:textId="77777777" w:rsidTr="00A60D4B">
        <w:trPr>
          <w:cantSplit/>
          <w:jc w:val="center"/>
        </w:trPr>
        <w:tc>
          <w:tcPr>
            <w:tcW w:w="3652" w:type="dxa"/>
          </w:tcPr>
          <w:p w14:paraId="6050C7C0" w14:textId="77777777" w:rsidR="00CF0E2D" w:rsidRPr="00F13FAB" w:rsidRDefault="00CF0E2D" w:rsidP="00A60D4B">
            <w:pPr>
              <w:pStyle w:val="InitTextL"/>
              <w:ind w:left="321" w:hanging="321"/>
            </w:pPr>
            <w:r w:rsidRPr="00882BE2">
              <w:t>Expenses</w:t>
            </w:r>
          </w:p>
        </w:tc>
        <w:tc>
          <w:tcPr>
            <w:tcW w:w="1179" w:type="dxa"/>
          </w:tcPr>
          <w:p w14:paraId="160BFEF9" w14:textId="77777777" w:rsidR="00CF0E2D" w:rsidRPr="00424DA4" w:rsidRDefault="00CF0E2D" w:rsidP="00A60D4B">
            <w:pPr>
              <w:pStyle w:val="InitFigR"/>
            </w:pPr>
            <w:r>
              <w:t>174</w:t>
            </w:r>
          </w:p>
        </w:tc>
        <w:tc>
          <w:tcPr>
            <w:tcW w:w="1041" w:type="dxa"/>
          </w:tcPr>
          <w:p w14:paraId="65415159" w14:textId="77777777" w:rsidR="00CF0E2D" w:rsidRPr="00424DA4" w:rsidRDefault="00CF0E2D" w:rsidP="00A60D4B">
            <w:pPr>
              <w:pStyle w:val="InitFigR"/>
            </w:pPr>
            <w:r>
              <w:t>179</w:t>
            </w:r>
          </w:p>
        </w:tc>
        <w:tc>
          <w:tcPr>
            <w:tcW w:w="1029" w:type="dxa"/>
          </w:tcPr>
          <w:p w14:paraId="15DABAB2" w14:textId="77777777" w:rsidR="00CF0E2D" w:rsidRPr="00424DA4" w:rsidRDefault="00CF0E2D" w:rsidP="00A60D4B">
            <w:pPr>
              <w:pStyle w:val="InitFigR"/>
            </w:pPr>
            <w:r>
              <w:t>0</w:t>
            </w:r>
          </w:p>
        </w:tc>
        <w:tc>
          <w:tcPr>
            <w:tcW w:w="1029" w:type="dxa"/>
          </w:tcPr>
          <w:p w14:paraId="0338FFB5" w14:textId="77777777" w:rsidR="00CF0E2D" w:rsidRPr="00424DA4" w:rsidRDefault="00CF0E2D" w:rsidP="00A60D4B">
            <w:pPr>
              <w:pStyle w:val="InitFigR"/>
            </w:pPr>
            <w:r>
              <w:t>0</w:t>
            </w:r>
          </w:p>
        </w:tc>
        <w:tc>
          <w:tcPr>
            <w:tcW w:w="1029" w:type="dxa"/>
          </w:tcPr>
          <w:p w14:paraId="3CB66958" w14:textId="77777777" w:rsidR="00CF0E2D" w:rsidRPr="00424DA4" w:rsidRDefault="00CF0E2D" w:rsidP="00A60D4B">
            <w:pPr>
              <w:pStyle w:val="InitFigBR"/>
            </w:pPr>
            <w:r>
              <w:t>353</w:t>
            </w:r>
          </w:p>
        </w:tc>
      </w:tr>
      <w:tr w:rsidR="00CF0E2D" w:rsidRPr="00750793" w14:paraId="1228C918" w14:textId="77777777" w:rsidTr="00A60D4B">
        <w:trPr>
          <w:cantSplit/>
          <w:trHeight w:val="107"/>
          <w:jc w:val="center"/>
        </w:trPr>
        <w:tc>
          <w:tcPr>
            <w:tcW w:w="3652" w:type="dxa"/>
            <w:tcBorders>
              <w:top w:val="single" w:sz="4" w:space="0" w:color="auto"/>
              <w:bottom w:val="single" w:sz="4" w:space="0" w:color="auto"/>
            </w:tcBorders>
          </w:tcPr>
          <w:p w14:paraId="7C16E201"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14E9382D" w14:textId="77777777" w:rsidR="00CF0E2D" w:rsidRPr="00424DA4" w:rsidRDefault="00CF0E2D" w:rsidP="00A60D4B">
            <w:pPr>
              <w:pStyle w:val="InitFigRBold"/>
            </w:pPr>
            <w:r>
              <w:t>174</w:t>
            </w:r>
          </w:p>
        </w:tc>
        <w:tc>
          <w:tcPr>
            <w:tcW w:w="1041" w:type="dxa"/>
            <w:tcBorders>
              <w:top w:val="single" w:sz="4" w:space="0" w:color="auto"/>
              <w:bottom w:val="single" w:sz="4" w:space="0" w:color="auto"/>
            </w:tcBorders>
          </w:tcPr>
          <w:p w14:paraId="521CDAE8" w14:textId="77777777" w:rsidR="00CF0E2D" w:rsidRPr="00424DA4" w:rsidRDefault="00CF0E2D" w:rsidP="00A60D4B">
            <w:pPr>
              <w:pStyle w:val="InitFigRBold"/>
            </w:pPr>
            <w:r>
              <w:t>219</w:t>
            </w:r>
          </w:p>
        </w:tc>
        <w:tc>
          <w:tcPr>
            <w:tcW w:w="1029" w:type="dxa"/>
            <w:tcBorders>
              <w:top w:val="single" w:sz="4" w:space="0" w:color="auto"/>
              <w:bottom w:val="single" w:sz="4" w:space="0" w:color="auto"/>
            </w:tcBorders>
          </w:tcPr>
          <w:p w14:paraId="3806D7D7" w14:textId="77777777" w:rsidR="00CF0E2D" w:rsidRPr="00424DA4" w:rsidRDefault="00CF0E2D" w:rsidP="00A60D4B">
            <w:pPr>
              <w:pStyle w:val="InitFigRBold"/>
            </w:pPr>
            <w:r>
              <w:t>40</w:t>
            </w:r>
          </w:p>
        </w:tc>
        <w:tc>
          <w:tcPr>
            <w:tcW w:w="1029" w:type="dxa"/>
            <w:tcBorders>
              <w:top w:val="single" w:sz="4" w:space="0" w:color="auto"/>
              <w:bottom w:val="single" w:sz="4" w:space="0" w:color="auto"/>
            </w:tcBorders>
          </w:tcPr>
          <w:p w14:paraId="7993199C" w14:textId="77777777" w:rsidR="00CF0E2D" w:rsidRPr="00424DA4" w:rsidRDefault="00CF0E2D" w:rsidP="00A60D4B">
            <w:pPr>
              <w:pStyle w:val="InitFigRBold"/>
            </w:pPr>
            <w:r>
              <w:t>40</w:t>
            </w:r>
          </w:p>
        </w:tc>
        <w:tc>
          <w:tcPr>
            <w:tcW w:w="1029" w:type="dxa"/>
            <w:tcBorders>
              <w:top w:val="single" w:sz="4" w:space="0" w:color="auto"/>
              <w:bottom w:val="single" w:sz="4" w:space="0" w:color="auto"/>
            </w:tcBorders>
          </w:tcPr>
          <w:p w14:paraId="1B4A72F4" w14:textId="77777777" w:rsidR="00CF0E2D" w:rsidRPr="00424DA4" w:rsidRDefault="00CF0E2D" w:rsidP="00A60D4B">
            <w:pPr>
              <w:pStyle w:val="InitFigRBold"/>
            </w:pPr>
            <w:r>
              <w:t>473</w:t>
            </w:r>
          </w:p>
        </w:tc>
      </w:tr>
    </w:tbl>
    <w:p w14:paraId="41B75803" w14:textId="77777777" w:rsidR="00CF0E2D" w:rsidRPr="000E7BB7" w:rsidRDefault="00CF0E2D" w:rsidP="00A60D4B">
      <w:pPr>
        <w:pStyle w:val="Bbodytext"/>
        <w:rPr>
          <w:rFonts w:ascii="Calibri" w:eastAsia="Times New Roman" w:hAnsi="Calibri" w:cs="Times New Roman"/>
          <w:szCs w:val="20"/>
        </w:rPr>
      </w:pPr>
      <w:r w:rsidRPr="000E7BB7">
        <w:t xml:space="preserve">The Government will upgrade the Professional Experience Register and maintain and improve the ACT Certification System to support a contemporary education system. </w:t>
      </w:r>
    </w:p>
    <w:p w14:paraId="31B85112" w14:textId="77777777" w:rsidR="00CF0E2D" w:rsidRPr="000E7BB7" w:rsidRDefault="00CF0E2D" w:rsidP="00A60D4B">
      <w:pPr>
        <w:pStyle w:val="Bbodytext"/>
        <w:rPr>
          <w:rFonts w:ascii="Calibri" w:eastAsia="Times New Roman" w:hAnsi="Calibri" w:cs="Times New Roman"/>
          <w:szCs w:val="20"/>
        </w:rPr>
      </w:pPr>
      <w:r w:rsidRPr="000E7BB7">
        <w:lastRenderedPageBreak/>
        <w:t xml:space="preserve">This initiative is part of implementing the ‘Systems Supporting Learning’ foundation of the </w:t>
      </w:r>
      <w:r w:rsidRPr="000E7BB7">
        <w:rPr>
          <w:rFonts w:ascii="Calibri" w:eastAsia="Times New Roman" w:hAnsi="Calibri" w:cs="Times New Roman"/>
          <w:szCs w:val="20"/>
        </w:rPr>
        <w:t>Future of Education Strategy’s second phase.</w:t>
      </w:r>
    </w:p>
    <w:p w14:paraId="070ADB30" w14:textId="77777777" w:rsidR="00CF0E2D" w:rsidRPr="000E7BB7" w:rsidRDefault="00CF0E2D" w:rsidP="00A60D4B">
      <w:pPr>
        <w:pStyle w:val="Bbodytext"/>
        <w:rPr>
          <w:rFonts w:ascii="Calibri" w:eastAsia="Times New Roman" w:hAnsi="Calibri" w:cs="Times New Roman"/>
          <w:szCs w:val="20"/>
        </w:rPr>
      </w:pPr>
      <w:r w:rsidRPr="000E7BB7">
        <w:t>This initiative contributes to the wellbeing domain of Education and life-long learning.</w:t>
      </w:r>
    </w:p>
    <w:p w14:paraId="46876407" w14:textId="77777777" w:rsidR="00CF0E2D" w:rsidRPr="00FF70EB" w:rsidRDefault="00CF0E2D" w:rsidP="00A60D4B">
      <w:pPr>
        <w:spacing w:before="200" w:after="200" w:line="240" w:lineRule="auto"/>
        <w:rPr>
          <w:rFonts w:ascii="Calibri" w:eastAsia="Times New Roman" w:hAnsi="Calibri" w:cs="Times New Roman"/>
          <w:sz w:val="24"/>
          <w:szCs w:val="20"/>
        </w:rPr>
      </w:pPr>
    </w:p>
    <w:p w14:paraId="53154519" w14:textId="77777777" w:rsidR="00CF0E2D" w:rsidRDefault="00CF0E2D" w:rsidP="00A60D4B">
      <w:pPr>
        <w:pStyle w:val="Heading4"/>
      </w:pPr>
      <w:r w:rsidRPr="002107CB">
        <w:rPr>
          <w:rFonts w:eastAsia="Times New Roman"/>
        </w:rPr>
        <w:t xml:space="preserve">Investing in public education </w:t>
      </w:r>
      <w:r>
        <w:rPr>
          <w:rFonts w:eastAsia="Times New Roman"/>
        </w:rPr>
        <w:t xml:space="preserve">– </w:t>
      </w:r>
      <w:r w:rsidRPr="00F56B85">
        <w:rPr>
          <w:rFonts w:eastAsia="Times New Roman"/>
        </w:rPr>
        <w:t>Future of Education Equity Fund</w:t>
      </w:r>
      <w:r>
        <w:rPr>
          <w:b w:val="0"/>
          <w:noProof/>
          <w:color w:val="999789"/>
          <w:sz w:val="32"/>
          <w:szCs w:val="24"/>
        </w:rPr>
        <w:drawing>
          <wp:anchor distT="0" distB="0" distL="114300" distR="114300" simplePos="0" relativeHeight="251803648" behindDoc="0" locked="1" layoutInCell="1" allowOverlap="1" wp14:anchorId="7997C43C" wp14:editId="4E50190C">
            <wp:simplePos x="0" y="0"/>
            <wp:positionH relativeFrom="margin">
              <wp:align>right</wp:align>
            </wp:positionH>
            <wp:positionV relativeFrom="paragraph">
              <wp:posOffset>33020</wp:posOffset>
            </wp:positionV>
            <wp:extent cx="1356995" cy="503555"/>
            <wp:effectExtent l="0" t="0" r="0" b="0"/>
            <wp:wrapSquare wrapText="bothSides"/>
            <wp:docPr id="118" name="Picture 118"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0139E5C2" w14:textId="77777777" w:rsidTr="00A60D4B">
        <w:trPr>
          <w:cantSplit/>
          <w:jc w:val="center"/>
        </w:trPr>
        <w:tc>
          <w:tcPr>
            <w:tcW w:w="3652" w:type="dxa"/>
            <w:tcBorders>
              <w:top w:val="single" w:sz="4" w:space="0" w:color="auto"/>
              <w:bottom w:val="single" w:sz="4" w:space="0" w:color="auto"/>
            </w:tcBorders>
          </w:tcPr>
          <w:p w14:paraId="7208A0C7"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500CE42F" w14:textId="77777777" w:rsidR="00CF0E2D" w:rsidRPr="00AC1349" w:rsidRDefault="00CF0E2D" w:rsidP="00A60D4B">
            <w:pPr>
              <w:pStyle w:val="InitFigR"/>
              <w:rPr>
                <w:b/>
                <w:bCs/>
              </w:rPr>
            </w:pPr>
            <w:r w:rsidRPr="00AC1349">
              <w:rPr>
                <w:b/>
                <w:bCs/>
              </w:rPr>
              <w:t>2021-22</w:t>
            </w:r>
          </w:p>
          <w:p w14:paraId="199ABC83" w14:textId="77777777" w:rsidR="00CF0E2D" w:rsidRPr="00AC1349" w:rsidRDefault="00CF0E2D" w:rsidP="00A60D4B">
            <w:pPr>
              <w:pStyle w:val="InitFigR"/>
              <w:rPr>
                <w:b/>
                <w:bCs/>
              </w:rPr>
            </w:pPr>
            <w:r w:rsidRPr="00AC1349">
              <w:rPr>
                <w:b/>
                <w:bCs/>
              </w:rPr>
              <w:t>$’000</w:t>
            </w:r>
          </w:p>
        </w:tc>
        <w:tc>
          <w:tcPr>
            <w:tcW w:w="1041" w:type="dxa"/>
            <w:tcBorders>
              <w:top w:val="single" w:sz="4" w:space="0" w:color="auto"/>
              <w:bottom w:val="single" w:sz="4" w:space="0" w:color="auto"/>
            </w:tcBorders>
          </w:tcPr>
          <w:p w14:paraId="603EB478" w14:textId="77777777" w:rsidR="00CF0E2D" w:rsidRPr="00AC1349" w:rsidRDefault="00CF0E2D" w:rsidP="00A60D4B">
            <w:pPr>
              <w:pStyle w:val="InitFigR"/>
              <w:rPr>
                <w:b/>
                <w:bCs/>
              </w:rPr>
            </w:pPr>
            <w:r w:rsidRPr="00AC1349">
              <w:rPr>
                <w:b/>
                <w:bCs/>
              </w:rPr>
              <w:t>2022-23</w:t>
            </w:r>
          </w:p>
          <w:p w14:paraId="609E595A"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35D6B1E7" w14:textId="77777777" w:rsidR="00CF0E2D" w:rsidRPr="00AC1349" w:rsidRDefault="00CF0E2D" w:rsidP="00A60D4B">
            <w:pPr>
              <w:pStyle w:val="InitFigR"/>
              <w:rPr>
                <w:b/>
                <w:bCs/>
              </w:rPr>
            </w:pPr>
            <w:r w:rsidRPr="00AC1349">
              <w:rPr>
                <w:b/>
                <w:bCs/>
              </w:rPr>
              <w:t>2023-24</w:t>
            </w:r>
          </w:p>
          <w:p w14:paraId="0873CD74"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5D9D8925" w14:textId="77777777" w:rsidR="00CF0E2D" w:rsidRPr="00AC1349" w:rsidRDefault="00CF0E2D" w:rsidP="00A60D4B">
            <w:pPr>
              <w:pStyle w:val="InitFigR"/>
              <w:rPr>
                <w:b/>
                <w:bCs/>
              </w:rPr>
            </w:pPr>
            <w:r w:rsidRPr="00AC1349">
              <w:rPr>
                <w:b/>
                <w:bCs/>
              </w:rPr>
              <w:t>2024-25</w:t>
            </w:r>
          </w:p>
          <w:p w14:paraId="7FA33E82"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34A1FAE9" w14:textId="77777777" w:rsidR="00CF0E2D" w:rsidRPr="004E341E" w:rsidRDefault="00CF0E2D" w:rsidP="00A60D4B">
            <w:pPr>
              <w:pStyle w:val="InitFigRBold"/>
            </w:pPr>
            <w:r w:rsidRPr="004E341E">
              <w:t>Total</w:t>
            </w:r>
          </w:p>
          <w:p w14:paraId="452395E2" w14:textId="77777777" w:rsidR="00CF0E2D" w:rsidRPr="004E341E" w:rsidRDefault="00CF0E2D" w:rsidP="00A60D4B">
            <w:pPr>
              <w:pStyle w:val="InitFigBR"/>
            </w:pPr>
            <w:r w:rsidRPr="004E341E">
              <w:t>$’000</w:t>
            </w:r>
          </w:p>
        </w:tc>
      </w:tr>
      <w:tr w:rsidR="00CF0E2D" w:rsidRPr="00750793" w14:paraId="3DB12545" w14:textId="77777777" w:rsidTr="00A60D4B">
        <w:trPr>
          <w:cantSplit/>
          <w:jc w:val="center"/>
        </w:trPr>
        <w:tc>
          <w:tcPr>
            <w:tcW w:w="3652" w:type="dxa"/>
          </w:tcPr>
          <w:p w14:paraId="252FF11C" w14:textId="77777777" w:rsidR="00CF0E2D" w:rsidRPr="00F13FAB" w:rsidRDefault="00CF0E2D" w:rsidP="00A60D4B">
            <w:pPr>
              <w:pStyle w:val="InitTextL"/>
              <w:ind w:left="321" w:hanging="321"/>
            </w:pPr>
            <w:r w:rsidRPr="00882BE2">
              <w:t>Expenses</w:t>
            </w:r>
          </w:p>
        </w:tc>
        <w:tc>
          <w:tcPr>
            <w:tcW w:w="1179" w:type="dxa"/>
          </w:tcPr>
          <w:p w14:paraId="3B418A67" w14:textId="77777777" w:rsidR="00CF0E2D" w:rsidRPr="00424DA4" w:rsidRDefault="00CF0E2D" w:rsidP="00A60D4B">
            <w:pPr>
              <w:pStyle w:val="InitFigR"/>
            </w:pPr>
            <w:r>
              <w:t>3,641</w:t>
            </w:r>
          </w:p>
        </w:tc>
        <w:tc>
          <w:tcPr>
            <w:tcW w:w="1041" w:type="dxa"/>
          </w:tcPr>
          <w:p w14:paraId="5C675E7B" w14:textId="77777777" w:rsidR="00CF0E2D" w:rsidRPr="00424DA4" w:rsidRDefault="00CF0E2D" w:rsidP="00A60D4B">
            <w:pPr>
              <w:pStyle w:val="InitFigR"/>
            </w:pPr>
            <w:r>
              <w:t>3,524</w:t>
            </w:r>
          </w:p>
        </w:tc>
        <w:tc>
          <w:tcPr>
            <w:tcW w:w="1029" w:type="dxa"/>
          </w:tcPr>
          <w:p w14:paraId="04A07ABD" w14:textId="77777777" w:rsidR="00CF0E2D" w:rsidRPr="00424DA4" w:rsidRDefault="00CF0E2D" w:rsidP="00A60D4B">
            <w:pPr>
              <w:pStyle w:val="InitFigR"/>
            </w:pPr>
            <w:r>
              <w:t>2,853</w:t>
            </w:r>
          </w:p>
        </w:tc>
        <w:tc>
          <w:tcPr>
            <w:tcW w:w="1029" w:type="dxa"/>
          </w:tcPr>
          <w:p w14:paraId="1B916746" w14:textId="77777777" w:rsidR="00CF0E2D" w:rsidRPr="00424DA4" w:rsidRDefault="00CF0E2D" w:rsidP="00A60D4B">
            <w:pPr>
              <w:pStyle w:val="InitFigR"/>
            </w:pPr>
            <w:r>
              <w:t>2,904</w:t>
            </w:r>
          </w:p>
        </w:tc>
        <w:tc>
          <w:tcPr>
            <w:tcW w:w="1029" w:type="dxa"/>
          </w:tcPr>
          <w:p w14:paraId="3433AE44" w14:textId="77777777" w:rsidR="00CF0E2D" w:rsidRPr="00424DA4" w:rsidRDefault="00CF0E2D" w:rsidP="00A60D4B">
            <w:pPr>
              <w:pStyle w:val="InitFigBR"/>
            </w:pPr>
            <w:r>
              <w:t>12,922</w:t>
            </w:r>
          </w:p>
        </w:tc>
      </w:tr>
      <w:tr w:rsidR="00CF0E2D" w:rsidRPr="00750793" w14:paraId="6A9B7DCC" w14:textId="77777777" w:rsidTr="00A60D4B">
        <w:trPr>
          <w:cantSplit/>
          <w:jc w:val="center"/>
        </w:trPr>
        <w:tc>
          <w:tcPr>
            <w:tcW w:w="3652" w:type="dxa"/>
          </w:tcPr>
          <w:p w14:paraId="4FEF953E" w14:textId="77777777" w:rsidR="00CF0E2D" w:rsidRDefault="00CF0E2D" w:rsidP="00A60D4B">
            <w:pPr>
              <w:pStyle w:val="InitTextL"/>
              <w:ind w:left="321" w:hanging="321"/>
            </w:pPr>
            <w:r>
              <w:t>Offset – Expenses</w:t>
            </w:r>
          </w:p>
        </w:tc>
        <w:tc>
          <w:tcPr>
            <w:tcW w:w="1179" w:type="dxa"/>
          </w:tcPr>
          <w:p w14:paraId="353D48CF" w14:textId="77777777" w:rsidR="00CF0E2D" w:rsidRPr="00424DA4" w:rsidRDefault="00CF0E2D" w:rsidP="00A60D4B">
            <w:pPr>
              <w:pStyle w:val="InitFigR"/>
            </w:pPr>
            <w:r>
              <w:t>-852</w:t>
            </w:r>
          </w:p>
        </w:tc>
        <w:tc>
          <w:tcPr>
            <w:tcW w:w="1041" w:type="dxa"/>
          </w:tcPr>
          <w:p w14:paraId="0B1F0C83" w14:textId="77777777" w:rsidR="00CF0E2D" w:rsidRPr="00424DA4" w:rsidRDefault="00CF0E2D" w:rsidP="00A60D4B">
            <w:pPr>
              <w:pStyle w:val="InitFigR"/>
            </w:pPr>
            <w:r>
              <w:t>-877</w:t>
            </w:r>
          </w:p>
        </w:tc>
        <w:tc>
          <w:tcPr>
            <w:tcW w:w="1029" w:type="dxa"/>
          </w:tcPr>
          <w:p w14:paraId="412FB2DD" w14:textId="77777777" w:rsidR="00CF0E2D" w:rsidRPr="00424DA4" w:rsidRDefault="00CF0E2D" w:rsidP="00A60D4B">
            <w:pPr>
              <w:pStyle w:val="InitFigR"/>
            </w:pPr>
            <w:r>
              <w:t>-899</w:t>
            </w:r>
          </w:p>
        </w:tc>
        <w:tc>
          <w:tcPr>
            <w:tcW w:w="1029" w:type="dxa"/>
          </w:tcPr>
          <w:p w14:paraId="5DEDA7BE" w14:textId="77777777" w:rsidR="00CF0E2D" w:rsidRPr="00424DA4" w:rsidRDefault="00CF0E2D" w:rsidP="00A60D4B">
            <w:pPr>
              <w:pStyle w:val="InitFigR"/>
            </w:pPr>
            <w:r>
              <w:t>-915</w:t>
            </w:r>
          </w:p>
        </w:tc>
        <w:tc>
          <w:tcPr>
            <w:tcW w:w="1029" w:type="dxa"/>
          </w:tcPr>
          <w:p w14:paraId="01490D9A" w14:textId="77777777" w:rsidR="00CF0E2D" w:rsidRPr="00424DA4" w:rsidRDefault="00CF0E2D" w:rsidP="00A60D4B">
            <w:pPr>
              <w:pStyle w:val="InitFigBR"/>
            </w:pPr>
            <w:r>
              <w:t>-3,543</w:t>
            </w:r>
          </w:p>
        </w:tc>
      </w:tr>
      <w:tr w:rsidR="00CF0E2D" w:rsidRPr="00750793" w14:paraId="194C62A5" w14:textId="77777777" w:rsidTr="00A60D4B">
        <w:trPr>
          <w:cantSplit/>
          <w:trHeight w:val="107"/>
          <w:jc w:val="center"/>
        </w:trPr>
        <w:tc>
          <w:tcPr>
            <w:tcW w:w="3652" w:type="dxa"/>
            <w:tcBorders>
              <w:top w:val="single" w:sz="4" w:space="0" w:color="auto"/>
              <w:bottom w:val="single" w:sz="4" w:space="0" w:color="auto"/>
            </w:tcBorders>
          </w:tcPr>
          <w:p w14:paraId="6A35E56E"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30AFAEF6" w14:textId="77777777" w:rsidR="00CF0E2D" w:rsidRPr="00424DA4" w:rsidRDefault="00CF0E2D" w:rsidP="00A60D4B">
            <w:pPr>
              <w:pStyle w:val="InitFigRBold"/>
            </w:pPr>
            <w:r>
              <w:t>2,789</w:t>
            </w:r>
          </w:p>
        </w:tc>
        <w:tc>
          <w:tcPr>
            <w:tcW w:w="1041" w:type="dxa"/>
            <w:tcBorders>
              <w:top w:val="single" w:sz="4" w:space="0" w:color="auto"/>
              <w:bottom w:val="single" w:sz="4" w:space="0" w:color="auto"/>
            </w:tcBorders>
          </w:tcPr>
          <w:p w14:paraId="5ED7F2D3" w14:textId="77777777" w:rsidR="00CF0E2D" w:rsidRPr="00424DA4" w:rsidRDefault="00CF0E2D" w:rsidP="00A60D4B">
            <w:pPr>
              <w:pStyle w:val="InitFigRBold"/>
            </w:pPr>
            <w:r>
              <w:t>2,647</w:t>
            </w:r>
          </w:p>
        </w:tc>
        <w:tc>
          <w:tcPr>
            <w:tcW w:w="1029" w:type="dxa"/>
            <w:tcBorders>
              <w:top w:val="single" w:sz="4" w:space="0" w:color="auto"/>
              <w:bottom w:val="single" w:sz="4" w:space="0" w:color="auto"/>
            </w:tcBorders>
          </w:tcPr>
          <w:p w14:paraId="1D8B723B" w14:textId="77777777" w:rsidR="00CF0E2D" w:rsidRPr="00424DA4" w:rsidRDefault="00CF0E2D" w:rsidP="00A60D4B">
            <w:pPr>
              <w:pStyle w:val="InitFigRBold"/>
            </w:pPr>
            <w:r>
              <w:t>1,954</w:t>
            </w:r>
          </w:p>
        </w:tc>
        <w:tc>
          <w:tcPr>
            <w:tcW w:w="1029" w:type="dxa"/>
            <w:tcBorders>
              <w:top w:val="single" w:sz="4" w:space="0" w:color="auto"/>
              <w:bottom w:val="single" w:sz="4" w:space="0" w:color="auto"/>
            </w:tcBorders>
          </w:tcPr>
          <w:p w14:paraId="09A9F24A" w14:textId="77777777" w:rsidR="00CF0E2D" w:rsidRPr="00424DA4" w:rsidRDefault="00CF0E2D" w:rsidP="00A60D4B">
            <w:pPr>
              <w:pStyle w:val="InitFigRBold"/>
            </w:pPr>
            <w:r>
              <w:t>1,989</w:t>
            </w:r>
          </w:p>
        </w:tc>
        <w:tc>
          <w:tcPr>
            <w:tcW w:w="1029" w:type="dxa"/>
            <w:tcBorders>
              <w:top w:val="single" w:sz="4" w:space="0" w:color="auto"/>
              <w:bottom w:val="single" w:sz="4" w:space="0" w:color="auto"/>
            </w:tcBorders>
          </w:tcPr>
          <w:p w14:paraId="57C0C4D7" w14:textId="77777777" w:rsidR="00CF0E2D" w:rsidRPr="00424DA4" w:rsidRDefault="00CF0E2D" w:rsidP="00A60D4B">
            <w:pPr>
              <w:pStyle w:val="InitFigRBold"/>
            </w:pPr>
            <w:r>
              <w:t>9,379</w:t>
            </w:r>
          </w:p>
        </w:tc>
      </w:tr>
    </w:tbl>
    <w:p w14:paraId="2271150E" w14:textId="77777777" w:rsidR="00CF0E2D" w:rsidRPr="00F56B85" w:rsidRDefault="00CF0E2D" w:rsidP="00A60D4B">
      <w:pPr>
        <w:pStyle w:val="Bbodytext"/>
        <w:rPr>
          <w:rFonts w:ascii="Calibri" w:eastAsia="Times New Roman" w:hAnsi="Calibri" w:cs="Times New Roman"/>
          <w:szCs w:val="20"/>
        </w:rPr>
      </w:pPr>
      <w:r w:rsidRPr="00F56B85">
        <w:t xml:space="preserve">The Government will establish a Future of Education Equity fund to provide grants to disadvantaged families to support them to meet their educational expenses. The cost of this component of the initiative will be partially offset by the funds available in </w:t>
      </w:r>
      <w:r w:rsidRPr="00F56B85">
        <w:rPr>
          <w:rFonts w:ascii="Calibri" w:eastAsia="Times New Roman" w:hAnsi="Calibri" w:cs="Times New Roman"/>
          <w:szCs w:val="20"/>
        </w:rPr>
        <w:t xml:space="preserve">the existing Secondary Bursary Scheme. The Government will also deliver a two-year trial at five schools to provide breakfast and lunch for students three days a week. </w:t>
      </w:r>
    </w:p>
    <w:p w14:paraId="67418E01" w14:textId="77777777" w:rsidR="00CF0E2D" w:rsidRPr="00F56B85" w:rsidRDefault="00CF0E2D" w:rsidP="00A60D4B">
      <w:pPr>
        <w:pStyle w:val="Bbodytext"/>
        <w:rPr>
          <w:rFonts w:ascii="Calibri" w:eastAsia="Times New Roman" w:hAnsi="Calibri" w:cs="Times New Roman"/>
          <w:szCs w:val="20"/>
        </w:rPr>
      </w:pPr>
      <w:r w:rsidRPr="00F56B85">
        <w:t>This initiative contributes to implementing the ‘Strong Communities for Learning’ found</w:t>
      </w:r>
      <w:r w:rsidRPr="00F56B85">
        <w:rPr>
          <w:rFonts w:ascii="Calibri" w:eastAsia="Times New Roman" w:hAnsi="Calibri" w:cs="Times New Roman"/>
          <w:szCs w:val="20"/>
        </w:rPr>
        <w:t>ation of the Future of Education Strategy’s second phase and to the wellbeing domains of Education and life-long learning and Access and connectivity.</w:t>
      </w:r>
    </w:p>
    <w:p w14:paraId="58F1A6FC" w14:textId="77777777" w:rsidR="00CF0E2D" w:rsidRDefault="00CF0E2D" w:rsidP="00A60D4B"/>
    <w:p w14:paraId="499FFD98" w14:textId="77777777" w:rsidR="00CF0E2D" w:rsidRPr="00CA3EDE" w:rsidRDefault="00CF0E2D" w:rsidP="00A60D4B">
      <w:pPr>
        <w:pStyle w:val="Heading4"/>
        <w:rPr>
          <w:rFonts w:eastAsia="Times New Roman"/>
        </w:rPr>
      </w:pPr>
      <w:r w:rsidRPr="002107CB">
        <w:rPr>
          <w:rFonts w:eastAsia="Times New Roman"/>
        </w:rPr>
        <w:t xml:space="preserve">Investing in public education </w:t>
      </w:r>
      <w:r>
        <w:rPr>
          <w:rFonts w:eastAsia="Times New Roman"/>
        </w:rPr>
        <w:t xml:space="preserve">– </w:t>
      </w:r>
      <w:r w:rsidRPr="00DE22E3">
        <w:rPr>
          <w:rFonts w:eastAsia="Times New Roman"/>
        </w:rPr>
        <w:t>Gender</w:t>
      </w:r>
      <w:r w:rsidRPr="00CA3EDE">
        <w:rPr>
          <w:rFonts w:eastAsia="Times New Roman"/>
        </w:rPr>
        <w:t xml:space="preserve"> </w:t>
      </w:r>
      <w:r>
        <w:rPr>
          <w:rFonts w:eastAsia="Times New Roman"/>
        </w:rPr>
        <w:t>e</w:t>
      </w:r>
      <w:r w:rsidRPr="00CA3EDE">
        <w:rPr>
          <w:rFonts w:eastAsia="Times New Roman"/>
        </w:rPr>
        <w:t xml:space="preserve">quality in our </w:t>
      </w:r>
      <w:r>
        <w:rPr>
          <w:rFonts w:eastAsia="Times New Roman"/>
        </w:rPr>
        <w:t>S</w:t>
      </w:r>
      <w:r w:rsidRPr="009F0D6B">
        <w:rPr>
          <w:rFonts w:eastAsia="Times New Roman"/>
        </w:rPr>
        <w:t>chools</w:t>
      </w:r>
      <w:r w:rsidRPr="00CA3EDE">
        <w:rPr>
          <w:rFonts w:eastAsia="Times New Roman"/>
        </w:rPr>
        <w:t xml:space="preserve"> </w:t>
      </w:r>
      <w:r>
        <w:rPr>
          <w:b w:val="0"/>
          <w:noProof/>
          <w:color w:val="999789"/>
          <w:sz w:val="32"/>
          <w:szCs w:val="24"/>
        </w:rPr>
        <w:drawing>
          <wp:anchor distT="0" distB="0" distL="114300" distR="114300" simplePos="0" relativeHeight="251804672" behindDoc="0" locked="1" layoutInCell="1" allowOverlap="1" wp14:anchorId="71DDC6E2" wp14:editId="6423D106">
            <wp:simplePos x="0" y="0"/>
            <wp:positionH relativeFrom="margin">
              <wp:align>right</wp:align>
            </wp:positionH>
            <wp:positionV relativeFrom="paragraph">
              <wp:posOffset>44450</wp:posOffset>
            </wp:positionV>
            <wp:extent cx="1356995" cy="503555"/>
            <wp:effectExtent l="0" t="0" r="0" b="0"/>
            <wp:wrapSquare wrapText="bothSides"/>
            <wp:docPr id="119" name="Picture 119"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3F33F52F" w14:textId="77777777" w:rsidTr="00A60D4B">
        <w:trPr>
          <w:cantSplit/>
          <w:jc w:val="center"/>
        </w:trPr>
        <w:tc>
          <w:tcPr>
            <w:tcW w:w="3652" w:type="dxa"/>
            <w:tcBorders>
              <w:top w:val="single" w:sz="4" w:space="0" w:color="auto"/>
              <w:bottom w:val="single" w:sz="4" w:space="0" w:color="auto"/>
            </w:tcBorders>
          </w:tcPr>
          <w:p w14:paraId="19D08737"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6FDFF808" w14:textId="77777777" w:rsidR="00CF0E2D" w:rsidRPr="00AC1349" w:rsidRDefault="00CF0E2D" w:rsidP="00A60D4B">
            <w:pPr>
              <w:pStyle w:val="InitFigR"/>
              <w:rPr>
                <w:b/>
                <w:bCs/>
              </w:rPr>
            </w:pPr>
            <w:r w:rsidRPr="00AC1349">
              <w:rPr>
                <w:b/>
                <w:bCs/>
              </w:rPr>
              <w:t>2021-22</w:t>
            </w:r>
          </w:p>
          <w:p w14:paraId="7E3B4DCD" w14:textId="77777777" w:rsidR="00CF0E2D" w:rsidRPr="00AC1349" w:rsidRDefault="00CF0E2D" w:rsidP="00A60D4B">
            <w:pPr>
              <w:pStyle w:val="InitFigR"/>
              <w:rPr>
                <w:b/>
                <w:bCs/>
              </w:rPr>
            </w:pPr>
            <w:r w:rsidRPr="00AC1349">
              <w:rPr>
                <w:b/>
                <w:bCs/>
              </w:rPr>
              <w:t>$’000</w:t>
            </w:r>
          </w:p>
        </w:tc>
        <w:tc>
          <w:tcPr>
            <w:tcW w:w="1041" w:type="dxa"/>
            <w:tcBorders>
              <w:top w:val="single" w:sz="4" w:space="0" w:color="auto"/>
              <w:bottom w:val="single" w:sz="4" w:space="0" w:color="auto"/>
            </w:tcBorders>
          </w:tcPr>
          <w:p w14:paraId="4424BE43" w14:textId="77777777" w:rsidR="00CF0E2D" w:rsidRPr="00AC1349" w:rsidRDefault="00CF0E2D" w:rsidP="00A60D4B">
            <w:pPr>
              <w:pStyle w:val="InitFigR"/>
              <w:rPr>
                <w:b/>
                <w:bCs/>
              </w:rPr>
            </w:pPr>
            <w:r w:rsidRPr="00AC1349">
              <w:rPr>
                <w:b/>
                <w:bCs/>
              </w:rPr>
              <w:t>2022-23</w:t>
            </w:r>
          </w:p>
          <w:p w14:paraId="50A3F5DE"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3D1C2435" w14:textId="77777777" w:rsidR="00CF0E2D" w:rsidRPr="00AC1349" w:rsidRDefault="00CF0E2D" w:rsidP="00A60D4B">
            <w:pPr>
              <w:pStyle w:val="InitFigR"/>
              <w:rPr>
                <w:b/>
                <w:bCs/>
              </w:rPr>
            </w:pPr>
            <w:r w:rsidRPr="00AC1349">
              <w:rPr>
                <w:b/>
                <w:bCs/>
              </w:rPr>
              <w:t>2023-24</w:t>
            </w:r>
          </w:p>
          <w:p w14:paraId="7BA5E7EE"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26BF9E22" w14:textId="77777777" w:rsidR="00CF0E2D" w:rsidRPr="00AC1349" w:rsidRDefault="00CF0E2D" w:rsidP="00A60D4B">
            <w:pPr>
              <w:pStyle w:val="InitFigR"/>
              <w:rPr>
                <w:b/>
                <w:bCs/>
              </w:rPr>
            </w:pPr>
            <w:r w:rsidRPr="00AC1349">
              <w:rPr>
                <w:b/>
                <w:bCs/>
              </w:rPr>
              <w:t>2024-25</w:t>
            </w:r>
          </w:p>
          <w:p w14:paraId="20223DD1"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5CAA4EFE" w14:textId="77777777" w:rsidR="00CF0E2D" w:rsidRPr="004E341E" w:rsidRDefault="00CF0E2D" w:rsidP="00A60D4B">
            <w:pPr>
              <w:pStyle w:val="InitFigRBold"/>
            </w:pPr>
            <w:r w:rsidRPr="004E341E">
              <w:t>Total</w:t>
            </w:r>
          </w:p>
          <w:p w14:paraId="0CA55ED6" w14:textId="77777777" w:rsidR="00CF0E2D" w:rsidRPr="004E341E" w:rsidRDefault="00CF0E2D" w:rsidP="00A60D4B">
            <w:pPr>
              <w:pStyle w:val="InitFigBR"/>
            </w:pPr>
            <w:r w:rsidRPr="004E341E">
              <w:t>$’000</w:t>
            </w:r>
          </w:p>
        </w:tc>
      </w:tr>
      <w:tr w:rsidR="00CF0E2D" w:rsidRPr="00750793" w14:paraId="21ED97C6" w14:textId="77777777" w:rsidTr="00A60D4B">
        <w:trPr>
          <w:cantSplit/>
          <w:jc w:val="center"/>
        </w:trPr>
        <w:tc>
          <w:tcPr>
            <w:tcW w:w="3652" w:type="dxa"/>
            <w:tcBorders>
              <w:top w:val="single" w:sz="4" w:space="0" w:color="auto"/>
              <w:bottom w:val="single" w:sz="4" w:space="0" w:color="auto"/>
            </w:tcBorders>
          </w:tcPr>
          <w:p w14:paraId="4751E3D1"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2B9D974D" w14:textId="77777777" w:rsidR="00CF0E2D" w:rsidRPr="00424DA4" w:rsidRDefault="00CF0E2D" w:rsidP="00A60D4B">
            <w:pPr>
              <w:pStyle w:val="InitFigR"/>
            </w:pPr>
            <w:r>
              <w:t>402</w:t>
            </w:r>
          </w:p>
        </w:tc>
        <w:tc>
          <w:tcPr>
            <w:tcW w:w="1041" w:type="dxa"/>
            <w:tcBorders>
              <w:top w:val="single" w:sz="4" w:space="0" w:color="auto"/>
              <w:bottom w:val="single" w:sz="4" w:space="0" w:color="auto"/>
            </w:tcBorders>
          </w:tcPr>
          <w:p w14:paraId="57C23EA9" w14:textId="77777777" w:rsidR="00CF0E2D" w:rsidRPr="00424DA4" w:rsidRDefault="00CF0E2D" w:rsidP="00A60D4B">
            <w:pPr>
              <w:pStyle w:val="InitFigR"/>
            </w:pPr>
            <w:r>
              <w:t>544</w:t>
            </w:r>
          </w:p>
        </w:tc>
        <w:tc>
          <w:tcPr>
            <w:tcW w:w="1029" w:type="dxa"/>
            <w:tcBorders>
              <w:top w:val="single" w:sz="4" w:space="0" w:color="auto"/>
              <w:bottom w:val="single" w:sz="4" w:space="0" w:color="auto"/>
            </w:tcBorders>
          </w:tcPr>
          <w:p w14:paraId="51EAC37E" w14:textId="77777777" w:rsidR="00CF0E2D" w:rsidRPr="00424DA4" w:rsidRDefault="00CF0E2D" w:rsidP="00A60D4B">
            <w:pPr>
              <w:pStyle w:val="InitFigR"/>
            </w:pPr>
            <w:r>
              <w:t>551</w:t>
            </w:r>
          </w:p>
        </w:tc>
        <w:tc>
          <w:tcPr>
            <w:tcW w:w="1029" w:type="dxa"/>
            <w:tcBorders>
              <w:top w:val="single" w:sz="4" w:space="0" w:color="auto"/>
              <w:bottom w:val="single" w:sz="4" w:space="0" w:color="auto"/>
            </w:tcBorders>
          </w:tcPr>
          <w:p w14:paraId="365A9A68" w14:textId="77777777" w:rsidR="00CF0E2D" w:rsidRPr="00424DA4" w:rsidRDefault="00CF0E2D" w:rsidP="00A60D4B">
            <w:pPr>
              <w:pStyle w:val="InitFigR"/>
            </w:pPr>
            <w:r>
              <w:t>560</w:t>
            </w:r>
          </w:p>
        </w:tc>
        <w:tc>
          <w:tcPr>
            <w:tcW w:w="1029" w:type="dxa"/>
            <w:tcBorders>
              <w:top w:val="single" w:sz="4" w:space="0" w:color="auto"/>
              <w:bottom w:val="single" w:sz="4" w:space="0" w:color="auto"/>
            </w:tcBorders>
          </w:tcPr>
          <w:p w14:paraId="4CE25542" w14:textId="77777777" w:rsidR="00CF0E2D" w:rsidRPr="00424DA4" w:rsidRDefault="00CF0E2D" w:rsidP="00A60D4B">
            <w:pPr>
              <w:pStyle w:val="InitFigBR"/>
            </w:pPr>
            <w:r>
              <w:t>2,057</w:t>
            </w:r>
          </w:p>
        </w:tc>
      </w:tr>
    </w:tbl>
    <w:p w14:paraId="32E455C1" w14:textId="77777777" w:rsidR="00CF0E2D" w:rsidRPr="004B4677" w:rsidRDefault="00CF0E2D" w:rsidP="00A60D4B">
      <w:pPr>
        <w:pStyle w:val="Bbodytext"/>
        <w:rPr>
          <w:rFonts w:ascii="Calibri" w:eastAsia="Times New Roman" w:hAnsi="Calibri" w:cs="Times New Roman"/>
          <w:szCs w:val="20"/>
        </w:rPr>
      </w:pPr>
      <w:r w:rsidRPr="004B4677">
        <w:t>The Government will provide a whole-of-school approach to preventing domestic and family violence and reducing discrimination and harassment by creating a culture of gender equality and inclusion. This includes gender equality coaching, professional learni</w:t>
      </w:r>
      <w:r w:rsidRPr="004B4677">
        <w:rPr>
          <w:rFonts w:ascii="Calibri" w:eastAsia="Times New Roman" w:hAnsi="Calibri" w:cs="Times New Roman"/>
          <w:szCs w:val="20"/>
        </w:rPr>
        <w:t xml:space="preserve">ng and the provision of materials to support inclusion. </w:t>
      </w:r>
    </w:p>
    <w:p w14:paraId="7CBAAA3F" w14:textId="77777777" w:rsidR="00CF0E2D" w:rsidRDefault="00CF0E2D" w:rsidP="00A60D4B">
      <w:pPr>
        <w:pStyle w:val="Bbodytext"/>
      </w:pPr>
      <w:r w:rsidRPr="004B4677">
        <w:t>This initiative contributes to the wellbeing domains of Education and life-long learning and Safety.</w:t>
      </w:r>
    </w:p>
    <w:p w14:paraId="20222AA0" w14:textId="77777777" w:rsidR="00CF0E2D" w:rsidRDefault="00CF0E2D" w:rsidP="00A60D4B">
      <w:pPr>
        <w:pStyle w:val="Bbodytext"/>
        <w:rPr>
          <w:rFonts w:ascii="Calibri" w:eastAsia="Times New Roman" w:hAnsi="Calibri" w:cs="Times New Roman"/>
          <w:szCs w:val="20"/>
        </w:rPr>
      </w:pPr>
    </w:p>
    <w:p w14:paraId="59C9F9CA" w14:textId="77777777" w:rsidR="00CF0E2D" w:rsidRDefault="00CF0E2D" w:rsidP="00A60D4B">
      <w:pPr>
        <w:pStyle w:val="Bbodytext"/>
        <w:rPr>
          <w:rFonts w:ascii="Calibri" w:eastAsia="Times New Roman" w:hAnsi="Calibri" w:cs="Times New Roman"/>
          <w:szCs w:val="20"/>
        </w:rPr>
      </w:pPr>
    </w:p>
    <w:p w14:paraId="3480A708" w14:textId="77777777" w:rsidR="00CF0E2D" w:rsidRDefault="00CF0E2D" w:rsidP="00A60D4B">
      <w:pPr>
        <w:pStyle w:val="Heading4"/>
        <w:rPr>
          <w:rFonts w:eastAsia="Times New Roman"/>
        </w:rPr>
      </w:pPr>
    </w:p>
    <w:p w14:paraId="46949FEB" w14:textId="77777777" w:rsidR="00CF0E2D" w:rsidRDefault="00CF0E2D" w:rsidP="00A60D4B">
      <w:pPr>
        <w:pStyle w:val="Heading4"/>
      </w:pPr>
      <w:r w:rsidRPr="002107CB">
        <w:rPr>
          <w:rFonts w:eastAsia="Times New Roman"/>
        </w:rPr>
        <w:t xml:space="preserve">Investing in public education </w:t>
      </w:r>
      <w:r>
        <w:rPr>
          <w:rFonts w:eastAsia="Times New Roman"/>
        </w:rPr>
        <w:t xml:space="preserve">– </w:t>
      </w:r>
      <w:r w:rsidRPr="00C02DDB">
        <w:rPr>
          <w:rFonts w:eastAsia="Times New Roman"/>
        </w:rPr>
        <w:t>Headstart pilot program</w:t>
      </w:r>
      <w:r>
        <w:rPr>
          <w:lang w:eastAsia="ja-JP"/>
        </w:rPr>
        <w:t xml:space="preserve"> </w:t>
      </w:r>
      <w:r w:rsidRPr="001A2412">
        <w:rPr>
          <w:noProof/>
          <w:sz w:val="36"/>
          <w:szCs w:val="36"/>
          <w:u w:val="single"/>
        </w:rPr>
        <w:t xml:space="preserve"> </w:t>
      </w:r>
      <w:r>
        <w:rPr>
          <w:b w:val="0"/>
          <w:noProof/>
          <w:color w:val="999789"/>
          <w:sz w:val="32"/>
          <w:szCs w:val="24"/>
        </w:rPr>
        <w:drawing>
          <wp:anchor distT="0" distB="0" distL="114300" distR="114300" simplePos="0" relativeHeight="251805696" behindDoc="0" locked="1" layoutInCell="1" allowOverlap="1" wp14:anchorId="4D16B602" wp14:editId="7B515AF7">
            <wp:simplePos x="0" y="0"/>
            <wp:positionH relativeFrom="margin">
              <wp:align>right</wp:align>
            </wp:positionH>
            <wp:positionV relativeFrom="paragraph">
              <wp:posOffset>-141605</wp:posOffset>
            </wp:positionV>
            <wp:extent cx="1356995" cy="503555"/>
            <wp:effectExtent l="0" t="0" r="0" b="0"/>
            <wp:wrapSquare wrapText="bothSides"/>
            <wp:docPr id="120" name="Picture 120"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02A58249" w14:textId="77777777" w:rsidTr="00A60D4B">
        <w:trPr>
          <w:cantSplit/>
          <w:jc w:val="center"/>
        </w:trPr>
        <w:tc>
          <w:tcPr>
            <w:tcW w:w="3652" w:type="dxa"/>
            <w:tcBorders>
              <w:top w:val="single" w:sz="4" w:space="0" w:color="auto"/>
              <w:bottom w:val="single" w:sz="4" w:space="0" w:color="auto"/>
            </w:tcBorders>
          </w:tcPr>
          <w:p w14:paraId="4EC7D52F"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634A4B9B" w14:textId="77777777" w:rsidR="00CF0E2D" w:rsidRPr="00AC1349" w:rsidRDefault="00CF0E2D" w:rsidP="00A60D4B">
            <w:pPr>
              <w:pStyle w:val="InitFigR"/>
              <w:keepNext/>
              <w:keepLines/>
              <w:rPr>
                <w:b/>
                <w:bCs/>
              </w:rPr>
            </w:pPr>
            <w:r w:rsidRPr="00AC1349">
              <w:rPr>
                <w:b/>
                <w:bCs/>
              </w:rPr>
              <w:t>2021-22</w:t>
            </w:r>
          </w:p>
          <w:p w14:paraId="344369DA" w14:textId="77777777" w:rsidR="00CF0E2D" w:rsidRPr="00AC1349" w:rsidRDefault="00CF0E2D" w:rsidP="00A60D4B">
            <w:pPr>
              <w:pStyle w:val="InitFigR"/>
              <w:keepNext/>
              <w:keepLines/>
              <w:rPr>
                <w:b/>
                <w:bCs/>
              </w:rPr>
            </w:pPr>
            <w:r w:rsidRPr="00AC1349">
              <w:rPr>
                <w:b/>
                <w:bCs/>
              </w:rPr>
              <w:t>$’000</w:t>
            </w:r>
          </w:p>
        </w:tc>
        <w:tc>
          <w:tcPr>
            <w:tcW w:w="1041" w:type="dxa"/>
            <w:tcBorders>
              <w:top w:val="single" w:sz="4" w:space="0" w:color="auto"/>
              <w:bottom w:val="single" w:sz="4" w:space="0" w:color="auto"/>
            </w:tcBorders>
          </w:tcPr>
          <w:p w14:paraId="1940A34B" w14:textId="77777777" w:rsidR="00CF0E2D" w:rsidRPr="00AC1349" w:rsidRDefault="00CF0E2D" w:rsidP="00A60D4B">
            <w:pPr>
              <w:pStyle w:val="InitFigR"/>
              <w:keepNext/>
              <w:keepLines/>
              <w:rPr>
                <w:b/>
                <w:bCs/>
              </w:rPr>
            </w:pPr>
            <w:r w:rsidRPr="00AC1349">
              <w:rPr>
                <w:b/>
                <w:bCs/>
              </w:rPr>
              <w:t>2022-23</w:t>
            </w:r>
          </w:p>
          <w:p w14:paraId="5FC53894" w14:textId="77777777" w:rsidR="00CF0E2D" w:rsidRPr="00AC1349" w:rsidRDefault="00CF0E2D" w:rsidP="00A60D4B">
            <w:pPr>
              <w:pStyle w:val="InitFigR"/>
              <w:keepNext/>
              <w:keepLines/>
              <w:rPr>
                <w:b/>
                <w:bCs/>
              </w:rPr>
            </w:pPr>
            <w:r w:rsidRPr="00AC1349">
              <w:rPr>
                <w:b/>
                <w:bCs/>
              </w:rPr>
              <w:t>$’000</w:t>
            </w:r>
          </w:p>
        </w:tc>
        <w:tc>
          <w:tcPr>
            <w:tcW w:w="1029" w:type="dxa"/>
            <w:tcBorders>
              <w:top w:val="single" w:sz="4" w:space="0" w:color="auto"/>
              <w:bottom w:val="single" w:sz="4" w:space="0" w:color="auto"/>
            </w:tcBorders>
          </w:tcPr>
          <w:p w14:paraId="2C1878C8" w14:textId="77777777" w:rsidR="00CF0E2D" w:rsidRPr="00AC1349" w:rsidRDefault="00CF0E2D" w:rsidP="00A60D4B">
            <w:pPr>
              <w:pStyle w:val="InitFigR"/>
              <w:keepNext/>
              <w:keepLines/>
              <w:rPr>
                <w:b/>
                <w:bCs/>
              </w:rPr>
            </w:pPr>
            <w:r w:rsidRPr="00AC1349">
              <w:rPr>
                <w:b/>
                <w:bCs/>
              </w:rPr>
              <w:t>2023-24</w:t>
            </w:r>
          </w:p>
          <w:p w14:paraId="41DE6387" w14:textId="77777777" w:rsidR="00CF0E2D" w:rsidRPr="00AC1349" w:rsidRDefault="00CF0E2D" w:rsidP="00A60D4B">
            <w:pPr>
              <w:pStyle w:val="InitFigR"/>
              <w:keepNext/>
              <w:keepLines/>
              <w:rPr>
                <w:b/>
                <w:bCs/>
              </w:rPr>
            </w:pPr>
            <w:r w:rsidRPr="00AC1349">
              <w:rPr>
                <w:b/>
                <w:bCs/>
              </w:rPr>
              <w:t>$’000</w:t>
            </w:r>
          </w:p>
        </w:tc>
        <w:tc>
          <w:tcPr>
            <w:tcW w:w="1029" w:type="dxa"/>
            <w:tcBorders>
              <w:top w:val="single" w:sz="4" w:space="0" w:color="auto"/>
              <w:bottom w:val="single" w:sz="4" w:space="0" w:color="auto"/>
            </w:tcBorders>
          </w:tcPr>
          <w:p w14:paraId="0B9D07D7" w14:textId="77777777" w:rsidR="00CF0E2D" w:rsidRPr="00AC1349" w:rsidRDefault="00CF0E2D" w:rsidP="00A60D4B">
            <w:pPr>
              <w:pStyle w:val="InitFigR"/>
              <w:keepNext/>
              <w:keepLines/>
              <w:rPr>
                <w:b/>
                <w:bCs/>
              </w:rPr>
            </w:pPr>
            <w:r w:rsidRPr="00AC1349">
              <w:rPr>
                <w:b/>
                <w:bCs/>
              </w:rPr>
              <w:t>2024-25</w:t>
            </w:r>
          </w:p>
          <w:p w14:paraId="224275C2" w14:textId="77777777" w:rsidR="00CF0E2D" w:rsidRPr="00AC1349" w:rsidRDefault="00CF0E2D" w:rsidP="00A60D4B">
            <w:pPr>
              <w:pStyle w:val="InitFigR"/>
              <w:keepNext/>
              <w:keepLines/>
              <w:rPr>
                <w:b/>
                <w:bCs/>
              </w:rPr>
            </w:pPr>
            <w:r w:rsidRPr="00AC1349">
              <w:rPr>
                <w:b/>
                <w:bCs/>
              </w:rPr>
              <w:t>$’000</w:t>
            </w:r>
          </w:p>
        </w:tc>
        <w:tc>
          <w:tcPr>
            <w:tcW w:w="1029" w:type="dxa"/>
            <w:tcBorders>
              <w:top w:val="single" w:sz="4" w:space="0" w:color="auto"/>
              <w:bottom w:val="single" w:sz="4" w:space="0" w:color="auto"/>
            </w:tcBorders>
          </w:tcPr>
          <w:p w14:paraId="6AAC6539" w14:textId="77777777" w:rsidR="00CF0E2D" w:rsidRPr="004E341E" w:rsidRDefault="00CF0E2D" w:rsidP="00A60D4B">
            <w:pPr>
              <w:pStyle w:val="InitFigRBold"/>
              <w:keepNext/>
              <w:keepLines/>
            </w:pPr>
            <w:r w:rsidRPr="004E341E">
              <w:t>Total</w:t>
            </w:r>
          </w:p>
          <w:p w14:paraId="72B41C10" w14:textId="77777777" w:rsidR="00CF0E2D" w:rsidRPr="004E341E" w:rsidRDefault="00CF0E2D" w:rsidP="00A60D4B">
            <w:pPr>
              <w:pStyle w:val="InitFigBR"/>
              <w:keepNext/>
              <w:keepLines/>
            </w:pPr>
            <w:r w:rsidRPr="004E341E">
              <w:t>$’000</w:t>
            </w:r>
          </w:p>
        </w:tc>
      </w:tr>
      <w:tr w:rsidR="00CF0E2D" w:rsidRPr="00750793" w14:paraId="2C68CC78" w14:textId="77777777" w:rsidTr="00A60D4B">
        <w:trPr>
          <w:cantSplit/>
          <w:jc w:val="center"/>
        </w:trPr>
        <w:tc>
          <w:tcPr>
            <w:tcW w:w="3652" w:type="dxa"/>
            <w:tcBorders>
              <w:top w:val="single" w:sz="4" w:space="0" w:color="auto"/>
              <w:bottom w:val="single" w:sz="4" w:space="0" w:color="auto"/>
            </w:tcBorders>
          </w:tcPr>
          <w:p w14:paraId="2283D05C" w14:textId="77777777" w:rsidR="00CF0E2D" w:rsidRPr="00D71D4F" w:rsidRDefault="00CF0E2D" w:rsidP="00A60D4B">
            <w:pPr>
              <w:pStyle w:val="InitTextL"/>
              <w:keepNext/>
              <w:keepLines/>
              <w:ind w:left="321" w:hanging="321"/>
              <w:rPr>
                <w:szCs w:val="24"/>
              </w:rPr>
            </w:pPr>
            <w:r w:rsidRPr="00D71D4F">
              <w:rPr>
                <w:szCs w:val="24"/>
              </w:rPr>
              <w:t>Expenses</w:t>
            </w:r>
          </w:p>
        </w:tc>
        <w:tc>
          <w:tcPr>
            <w:tcW w:w="1179" w:type="dxa"/>
            <w:tcBorders>
              <w:top w:val="single" w:sz="4" w:space="0" w:color="auto"/>
              <w:bottom w:val="single" w:sz="4" w:space="0" w:color="auto"/>
            </w:tcBorders>
            <w:vAlign w:val="center"/>
          </w:tcPr>
          <w:p w14:paraId="35DD28D9" w14:textId="77777777" w:rsidR="00CF0E2D" w:rsidRPr="00D71D4F" w:rsidRDefault="00CF0E2D" w:rsidP="00A60D4B">
            <w:pPr>
              <w:pStyle w:val="InitFigR"/>
              <w:keepNext/>
              <w:keepLines/>
              <w:rPr>
                <w:szCs w:val="24"/>
              </w:rPr>
            </w:pPr>
            <w:r w:rsidRPr="00D71D4F">
              <w:rPr>
                <w:rFonts w:cs="Calibri"/>
                <w:color w:val="000000"/>
                <w:szCs w:val="24"/>
              </w:rPr>
              <w:t>602</w:t>
            </w:r>
          </w:p>
        </w:tc>
        <w:tc>
          <w:tcPr>
            <w:tcW w:w="1041" w:type="dxa"/>
            <w:tcBorders>
              <w:top w:val="single" w:sz="4" w:space="0" w:color="auto"/>
              <w:bottom w:val="single" w:sz="4" w:space="0" w:color="auto"/>
            </w:tcBorders>
            <w:vAlign w:val="center"/>
          </w:tcPr>
          <w:p w14:paraId="0074EBFF" w14:textId="77777777" w:rsidR="00CF0E2D" w:rsidRPr="00D71D4F" w:rsidRDefault="00CF0E2D" w:rsidP="00A60D4B">
            <w:pPr>
              <w:pStyle w:val="InitFigR"/>
              <w:keepNext/>
              <w:keepLines/>
              <w:rPr>
                <w:szCs w:val="24"/>
              </w:rPr>
            </w:pPr>
            <w:r w:rsidRPr="00D71D4F">
              <w:rPr>
                <w:rFonts w:cs="Calibri"/>
                <w:color w:val="000000"/>
                <w:szCs w:val="24"/>
              </w:rPr>
              <w:t>797</w:t>
            </w:r>
          </w:p>
        </w:tc>
        <w:tc>
          <w:tcPr>
            <w:tcW w:w="1029" w:type="dxa"/>
            <w:tcBorders>
              <w:top w:val="single" w:sz="4" w:space="0" w:color="auto"/>
              <w:bottom w:val="single" w:sz="4" w:space="0" w:color="auto"/>
            </w:tcBorders>
            <w:vAlign w:val="center"/>
          </w:tcPr>
          <w:p w14:paraId="208E3CFA" w14:textId="77777777" w:rsidR="00CF0E2D" w:rsidRPr="00D71D4F" w:rsidRDefault="00CF0E2D" w:rsidP="00A60D4B">
            <w:pPr>
              <w:pStyle w:val="InitFigR"/>
              <w:keepNext/>
              <w:keepLines/>
              <w:rPr>
                <w:szCs w:val="24"/>
              </w:rPr>
            </w:pPr>
            <w:r w:rsidRPr="00D71D4F">
              <w:rPr>
                <w:rFonts w:cs="Calibri"/>
                <w:color w:val="000000"/>
                <w:szCs w:val="24"/>
              </w:rPr>
              <w:t>807</w:t>
            </w:r>
          </w:p>
        </w:tc>
        <w:tc>
          <w:tcPr>
            <w:tcW w:w="1029" w:type="dxa"/>
            <w:tcBorders>
              <w:top w:val="single" w:sz="4" w:space="0" w:color="auto"/>
              <w:bottom w:val="single" w:sz="4" w:space="0" w:color="auto"/>
            </w:tcBorders>
            <w:vAlign w:val="center"/>
          </w:tcPr>
          <w:p w14:paraId="0BC6042A" w14:textId="77777777" w:rsidR="00CF0E2D" w:rsidRPr="00D71D4F" w:rsidRDefault="00CF0E2D" w:rsidP="00A60D4B">
            <w:pPr>
              <w:pStyle w:val="InitFigR"/>
              <w:keepNext/>
              <w:keepLines/>
              <w:rPr>
                <w:szCs w:val="24"/>
              </w:rPr>
            </w:pPr>
            <w:r w:rsidRPr="00D71D4F">
              <w:rPr>
                <w:rFonts w:cs="Calibri"/>
                <w:color w:val="000000"/>
                <w:szCs w:val="24"/>
              </w:rPr>
              <w:t>0</w:t>
            </w:r>
          </w:p>
        </w:tc>
        <w:tc>
          <w:tcPr>
            <w:tcW w:w="1029" w:type="dxa"/>
            <w:tcBorders>
              <w:top w:val="single" w:sz="4" w:space="0" w:color="auto"/>
              <w:bottom w:val="single" w:sz="4" w:space="0" w:color="auto"/>
            </w:tcBorders>
            <w:vAlign w:val="center"/>
          </w:tcPr>
          <w:p w14:paraId="469A66DB" w14:textId="77777777" w:rsidR="00CF0E2D" w:rsidRPr="00D71D4F" w:rsidRDefault="00CF0E2D" w:rsidP="00A60D4B">
            <w:pPr>
              <w:pStyle w:val="InitFigBR"/>
              <w:keepNext/>
              <w:keepLines/>
              <w:rPr>
                <w:szCs w:val="24"/>
              </w:rPr>
            </w:pPr>
            <w:r w:rsidRPr="00D71D4F">
              <w:rPr>
                <w:rFonts w:cs="Calibri"/>
                <w:color w:val="000000"/>
                <w:szCs w:val="24"/>
              </w:rPr>
              <w:t>2,206</w:t>
            </w:r>
          </w:p>
        </w:tc>
      </w:tr>
    </w:tbl>
    <w:p w14:paraId="29B09654" w14:textId="77777777" w:rsidR="008812C5" w:rsidRDefault="00CF0E2D" w:rsidP="00A60D4B">
      <w:pPr>
        <w:pStyle w:val="Bbodytext"/>
        <w:keepNext/>
        <w:keepLines/>
        <w:rPr>
          <w:rFonts w:ascii="Calibri" w:eastAsia="Times New Roman" w:hAnsi="Calibri" w:cs="Times New Roman"/>
          <w:szCs w:val="20"/>
        </w:rPr>
      </w:pPr>
      <w:r w:rsidRPr="00C02DDB">
        <w:t xml:space="preserve">The Government will deliver the Headstart pilot program to provide 50 senior secondary school students with the opportunity to complete an apprenticeship and extend their ACT </w:t>
      </w:r>
      <w:r w:rsidRPr="00C02DDB">
        <w:rPr>
          <w:rFonts w:ascii="Calibri" w:eastAsia="Times New Roman" w:hAnsi="Calibri" w:cs="Times New Roman"/>
          <w:szCs w:val="20"/>
        </w:rPr>
        <w:t xml:space="preserve">senior secondary certification by </w:t>
      </w:r>
      <w:r>
        <w:rPr>
          <w:rFonts w:ascii="Calibri" w:eastAsia="Times New Roman" w:hAnsi="Calibri" w:cs="Times New Roman"/>
          <w:szCs w:val="20"/>
        </w:rPr>
        <w:t xml:space="preserve">a </w:t>
      </w:r>
      <w:r w:rsidRPr="00C02DDB">
        <w:rPr>
          <w:rFonts w:ascii="Calibri" w:eastAsia="Times New Roman" w:hAnsi="Calibri" w:cs="Times New Roman"/>
          <w:szCs w:val="20"/>
        </w:rPr>
        <w:t xml:space="preserve">year. </w:t>
      </w:r>
    </w:p>
    <w:p w14:paraId="4B78DEC6" w14:textId="6A0700A4" w:rsidR="00CF0E2D" w:rsidRPr="00C02DDB" w:rsidRDefault="00CF0E2D" w:rsidP="00A60D4B">
      <w:pPr>
        <w:pStyle w:val="Bbodytext"/>
        <w:keepNext/>
        <w:keepLines/>
        <w:rPr>
          <w:rFonts w:ascii="Calibri" w:eastAsia="Times New Roman" w:hAnsi="Calibri" w:cs="Times New Roman"/>
          <w:szCs w:val="20"/>
        </w:rPr>
      </w:pPr>
      <w:r w:rsidRPr="00C02DDB">
        <w:rPr>
          <w:rFonts w:ascii="Calibri" w:eastAsia="Times New Roman" w:hAnsi="Calibri" w:cs="Times New Roman"/>
          <w:szCs w:val="20"/>
        </w:rPr>
        <w:t>This initiative is part of the ‘Students at the Centre’ foundation of the Future of Education Strategy’s second phase.</w:t>
      </w:r>
    </w:p>
    <w:p w14:paraId="77074132" w14:textId="77777777" w:rsidR="00CF0E2D" w:rsidRPr="00C02DDB" w:rsidRDefault="00CF0E2D" w:rsidP="00A60D4B">
      <w:pPr>
        <w:pStyle w:val="Bbodytext"/>
        <w:rPr>
          <w:rFonts w:ascii="Calibri" w:eastAsia="Times New Roman" w:hAnsi="Calibri" w:cs="Times New Roman"/>
          <w:szCs w:val="20"/>
        </w:rPr>
      </w:pPr>
      <w:r w:rsidRPr="00C02DDB">
        <w:t>This initiative contributes to the wellbeing domain of Education and life-long learning.</w:t>
      </w:r>
    </w:p>
    <w:p w14:paraId="6C5D1140" w14:textId="77777777" w:rsidR="00CF0E2D" w:rsidRPr="004B4677" w:rsidRDefault="00CF0E2D" w:rsidP="00A60D4B">
      <w:pPr>
        <w:spacing w:before="200" w:after="200" w:line="240" w:lineRule="auto"/>
        <w:rPr>
          <w:rFonts w:ascii="Calibri" w:eastAsia="Times New Roman" w:hAnsi="Calibri" w:cs="Times New Roman"/>
          <w:sz w:val="24"/>
          <w:szCs w:val="20"/>
        </w:rPr>
      </w:pPr>
    </w:p>
    <w:p w14:paraId="496BA847" w14:textId="77777777" w:rsidR="00CF0E2D" w:rsidRPr="00590D7A" w:rsidRDefault="00CF0E2D" w:rsidP="00A60D4B">
      <w:pPr>
        <w:pStyle w:val="Heading4"/>
        <w:rPr>
          <w:rFonts w:eastAsia="Times New Roman"/>
        </w:rPr>
      </w:pPr>
      <w:r w:rsidRPr="002107CB">
        <w:rPr>
          <w:rFonts w:eastAsia="Times New Roman"/>
        </w:rPr>
        <w:t xml:space="preserve">Investing in public education </w:t>
      </w:r>
      <w:r>
        <w:rPr>
          <w:rFonts w:eastAsia="Times New Roman"/>
        </w:rPr>
        <w:t xml:space="preserve">– </w:t>
      </w:r>
      <w:r w:rsidRPr="00590D7A">
        <w:rPr>
          <w:rFonts w:eastAsia="Times New Roman"/>
        </w:rPr>
        <w:t xml:space="preserve">More </w:t>
      </w:r>
      <w:r>
        <w:rPr>
          <w:rFonts w:eastAsia="Times New Roman"/>
        </w:rPr>
        <w:t>s</w:t>
      </w:r>
      <w:r w:rsidRPr="00590D7A">
        <w:rPr>
          <w:rFonts w:eastAsia="Times New Roman"/>
        </w:rPr>
        <w:t xml:space="preserve">ocial and </w:t>
      </w:r>
      <w:r>
        <w:rPr>
          <w:rFonts w:eastAsia="Times New Roman"/>
        </w:rPr>
        <w:t>y</w:t>
      </w:r>
      <w:r w:rsidRPr="00590D7A">
        <w:rPr>
          <w:rFonts w:eastAsia="Times New Roman"/>
        </w:rPr>
        <w:t xml:space="preserve">outh </w:t>
      </w:r>
      <w:r>
        <w:rPr>
          <w:rFonts w:eastAsia="Times New Roman"/>
        </w:rPr>
        <w:t>w</w:t>
      </w:r>
      <w:r w:rsidRPr="00590D7A">
        <w:rPr>
          <w:rFonts w:eastAsia="Times New Roman"/>
        </w:rPr>
        <w:t xml:space="preserve">orkers in </w:t>
      </w:r>
      <w:r>
        <w:rPr>
          <w:rFonts w:eastAsia="Times New Roman"/>
        </w:rPr>
        <w:t>s</w:t>
      </w:r>
      <w:r w:rsidRPr="00590D7A">
        <w:rPr>
          <w:rFonts w:eastAsia="Times New Roman"/>
        </w:rPr>
        <w:t xml:space="preserve">chools </w:t>
      </w:r>
      <w:r>
        <w:rPr>
          <w:b w:val="0"/>
          <w:noProof/>
          <w:color w:val="999789"/>
          <w:sz w:val="32"/>
          <w:szCs w:val="24"/>
        </w:rPr>
        <w:drawing>
          <wp:anchor distT="0" distB="0" distL="114300" distR="114300" simplePos="0" relativeHeight="251806720" behindDoc="0" locked="1" layoutInCell="1" allowOverlap="1" wp14:anchorId="7B1BB9AD" wp14:editId="71AF1D1A">
            <wp:simplePos x="0" y="0"/>
            <wp:positionH relativeFrom="margin">
              <wp:align>right</wp:align>
            </wp:positionH>
            <wp:positionV relativeFrom="paragraph">
              <wp:posOffset>23495</wp:posOffset>
            </wp:positionV>
            <wp:extent cx="1356995" cy="503555"/>
            <wp:effectExtent l="0" t="0" r="0" b="0"/>
            <wp:wrapSquare wrapText="bothSides"/>
            <wp:docPr id="121" name="Picture 121"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59ED15B7" w14:textId="77777777" w:rsidTr="00A60D4B">
        <w:trPr>
          <w:cantSplit/>
          <w:jc w:val="center"/>
        </w:trPr>
        <w:tc>
          <w:tcPr>
            <w:tcW w:w="3652" w:type="dxa"/>
            <w:tcBorders>
              <w:top w:val="single" w:sz="4" w:space="0" w:color="auto"/>
              <w:bottom w:val="single" w:sz="4" w:space="0" w:color="auto"/>
            </w:tcBorders>
          </w:tcPr>
          <w:p w14:paraId="42239884"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6A9EC8EE" w14:textId="77777777" w:rsidR="00CF0E2D" w:rsidRPr="00AC1349" w:rsidRDefault="00CF0E2D" w:rsidP="00A60D4B">
            <w:pPr>
              <w:pStyle w:val="InitFigR"/>
              <w:rPr>
                <w:b/>
                <w:bCs/>
              </w:rPr>
            </w:pPr>
            <w:r w:rsidRPr="00AC1349">
              <w:rPr>
                <w:b/>
                <w:bCs/>
              </w:rPr>
              <w:t>2021-22</w:t>
            </w:r>
          </w:p>
          <w:p w14:paraId="688F4F84" w14:textId="77777777" w:rsidR="00CF0E2D" w:rsidRPr="00AC1349" w:rsidRDefault="00CF0E2D" w:rsidP="00A60D4B">
            <w:pPr>
              <w:pStyle w:val="InitFigR"/>
              <w:rPr>
                <w:b/>
                <w:bCs/>
              </w:rPr>
            </w:pPr>
            <w:r w:rsidRPr="00AC1349">
              <w:rPr>
                <w:b/>
                <w:bCs/>
              </w:rPr>
              <w:t>$’000</w:t>
            </w:r>
          </w:p>
        </w:tc>
        <w:tc>
          <w:tcPr>
            <w:tcW w:w="1041" w:type="dxa"/>
            <w:tcBorders>
              <w:top w:val="single" w:sz="4" w:space="0" w:color="auto"/>
              <w:bottom w:val="single" w:sz="4" w:space="0" w:color="auto"/>
            </w:tcBorders>
          </w:tcPr>
          <w:p w14:paraId="5CEA5ADC" w14:textId="77777777" w:rsidR="00CF0E2D" w:rsidRPr="00AC1349" w:rsidRDefault="00CF0E2D" w:rsidP="00A60D4B">
            <w:pPr>
              <w:pStyle w:val="InitFigR"/>
              <w:rPr>
                <w:b/>
                <w:bCs/>
              </w:rPr>
            </w:pPr>
            <w:r w:rsidRPr="00AC1349">
              <w:rPr>
                <w:b/>
                <w:bCs/>
              </w:rPr>
              <w:t>2022-23</w:t>
            </w:r>
          </w:p>
          <w:p w14:paraId="25AC96F2"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69278067" w14:textId="77777777" w:rsidR="00CF0E2D" w:rsidRPr="00AC1349" w:rsidRDefault="00CF0E2D" w:rsidP="00A60D4B">
            <w:pPr>
              <w:pStyle w:val="InitFigR"/>
              <w:rPr>
                <w:b/>
                <w:bCs/>
              </w:rPr>
            </w:pPr>
            <w:r w:rsidRPr="00AC1349">
              <w:rPr>
                <w:b/>
                <w:bCs/>
              </w:rPr>
              <w:t>2023-24</w:t>
            </w:r>
          </w:p>
          <w:p w14:paraId="2B75DBFE"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63855A51" w14:textId="77777777" w:rsidR="00CF0E2D" w:rsidRPr="00AC1349" w:rsidRDefault="00CF0E2D" w:rsidP="00A60D4B">
            <w:pPr>
              <w:pStyle w:val="InitFigR"/>
              <w:rPr>
                <w:b/>
                <w:bCs/>
              </w:rPr>
            </w:pPr>
            <w:r w:rsidRPr="00AC1349">
              <w:rPr>
                <w:b/>
                <w:bCs/>
              </w:rPr>
              <w:t>2024-25</w:t>
            </w:r>
          </w:p>
          <w:p w14:paraId="0DE6B45D"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66A20C94" w14:textId="77777777" w:rsidR="00CF0E2D" w:rsidRPr="004E341E" w:rsidRDefault="00CF0E2D" w:rsidP="00A60D4B">
            <w:pPr>
              <w:pStyle w:val="InitFigRBold"/>
            </w:pPr>
            <w:r w:rsidRPr="004E341E">
              <w:t>Total</w:t>
            </w:r>
          </w:p>
          <w:p w14:paraId="71C97DD4" w14:textId="77777777" w:rsidR="00CF0E2D" w:rsidRPr="004E341E" w:rsidRDefault="00CF0E2D" w:rsidP="00A60D4B">
            <w:pPr>
              <w:pStyle w:val="InitFigBR"/>
            </w:pPr>
            <w:r w:rsidRPr="004E341E">
              <w:t>$’000</w:t>
            </w:r>
          </w:p>
        </w:tc>
      </w:tr>
      <w:tr w:rsidR="00CF0E2D" w:rsidRPr="00750793" w14:paraId="2BE40CE2" w14:textId="77777777" w:rsidTr="00A60D4B">
        <w:trPr>
          <w:cantSplit/>
          <w:jc w:val="center"/>
        </w:trPr>
        <w:tc>
          <w:tcPr>
            <w:tcW w:w="3652" w:type="dxa"/>
            <w:tcBorders>
              <w:top w:val="single" w:sz="4" w:space="0" w:color="auto"/>
              <w:bottom w:val="single" w:sz="4" w:space="0" w:color="auto"/>
            </w:tcBorders>
          </w:tcPr>
          <w:p w14:paraId="7766F64D"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4403EC99" w14:textId="77777777" w:rsidR="00CF0E2D" w:rsidRPr="00424DA4" w:rsidRDefault="00CF0E2D" w:rsidP="00A60D4B">
            <w:pPr>
              <w:pStyle w:val="InitFigR"/>
            </w:pPr>
            <w:r>
              <w:t>495</w:t>
            </w:r>
          </w:p>
        </w:tc>
        <w:tc>
          <w:tcPr>
            <w:tcW w:w="1041" w:type="dxa"/>
            <w:tcBorders>
              <w:top w:val="single" w:sz="4" w:space="0" w:color="auto"/>
              <w:bottom w:val="single" w:sz="4" w:space="0" w:color="auto"/>
            </w:tcBorders>
          </w:tcPr>
          <w:p w14:paraId="6598708A" w14:textId="77777777" w:rsidR="00CF0E2D" w:rsidRPr="00424DA4" w:rsidRDefault="00CF0E2D" w:rsidP="00A60D4B">
            <w:pPr>
              <w:pStyle w:val="InitFigR"/>
            </w:pPr>
            <w:r>
              <w:t>1,669</w:t>
            </w:r>
          </w:p>
        </w:tc>
        <w:tc>
          <w:tcPr>
            <w:tcW w:w="1029" w:type="dxa"/>
            <w:tcBorders>
              <w:top w:val="single" w:sz="4" w:space="0" w:color="auto"/>
              <w:bottom w:val="single" w:sz="4" w:space="0" w:color="auto"/>
            </w:tcBorders>
          </w:tcPr>
          <w:p w14:paraId="24223880" w14:textId="77777777" w:rsidR="00CF0E2D" w:rsidRPr="00424DA4" w:rsidRDefault="00CF0E2D" w:rsidP="00A60D4B">
            <w:pPr>
              <w:pStyle w:val="InitFigR"/>
            </w:pPr>
            <w:r>
              <w:t>1,692</w:t>
            </w:r>
          </w:p>
        </w:tc>
        <w:tc>
          <w:tcPr>
            <w:tcW w:w="1029" w:type="dxa"/>
            <w:tcBorders>
              <w:top w:val="single" w:sz="4" w:space="0" w:color="auto"/>
              <w:bottom w:val="single" w:sz="4" w:space="0" w:color="auto"/>
            </w:tcBorders>
          </w:tcPr>
          <w:p w14:paraId="4FDE3C39" w14:textId="77777777" w:rsidR="00CF0E2D" w:rsidRPr="00424DA4" w:rsidRDefault="00CF0E2D" w:rsidP="00A60D4B">
            <w:pPr>
              <w:pStyle w:val="InitFigR"/>
            </w:pPr>
            <w:r>
              <w:t>3,507</w:t>
            </w:r>
          </w:p>
        </w:tc>
        <w:tc>
          <w:tcPr>
            <w:tcW w:w="1029" w:type="dxa"/>
            <w:tcBorders>
              <w:top w:val="single" w:sz="4" w:space="0" w:color="auto"/>
              <w:bottom w:val="single" w:sz="4" w:space="0" w:color="auto"/>
            </w:tcBorders>
          </w:tcPr>
          <w:p w14:paraId="1BB9399D" w14:textId="77777777" w:rsidR="00CF0E2D" w:rsidRPr="00424DA4" w:rsidRDefault="00CF0E2D" w:rsidP="00A60D4B">
            <w:pPr>
              <w:pStyle w:val="InitFigBR"/>
            </w:pPr>
            <w:r>
              <w:t>7,363</w:t>
            </w:r>
          </w:p>
        </w:tc>
      </w:tr>
    </w:tbl>
    <w:p w14:paraId="66CF1390" w14:textId="77777777" w:rsidR="00CF0E2D" w:rsidRPr="00590D7A" w:rsidRDefault="00CF0E2D" w:rsidP="00A60D4B">
      <w:pPr>
        <w:pStyle w:val="Bbodytext"/>
        <w:rPr>
          <w:rFonts w:ascii="Calibri" w:eastAsia="Times New Roman" w:hAnsi="Calibri" w:cs="Times New Roman"/>
          <w:szCs w:val="20"/>
        </w:rPr>
      </w:pPr>
      <w:r w:rsidRPr="00590D7A">
        <w:t xml:space="preserve">The Government will employ additional youth and social </w:t>
      </w:r>
      <w:r w:rsidRPr="00590D7A">
        <w:rPr>
          <w:rFonts w:ascii="Calibri" w:eastAsia="Times New Roman" w:hAnsi="Calibri" w:cs="Times New Roman"/>
          <w:szCs w:val="20"/>
        </w:rPr>
        <w:t>workers to support teachers, students, and families across ACT public schools. Youth and social workers provide targeted support to reduce challenging and complex behaviours that compromise learning and wellbeing. The Government will also establish a new central team that will provide professional supports as well as assisting with the recruitment and coordination of the new youth and social workers.</w:t>
      </w:r>
    </w:p>
    <w:p w14:paraId="312E76DF" w14:textId="77777777" w:rsidR="00CF0E2D" w:rsidRPr="00590D7A" w:rsidRDefault="00CF0E2D" w:rsidP="00A60D4B">
      <w:pPr>
        <w:pStyle w:val="Bbodytext"/>
        <w:rPr>
          <w:rFonts w:ascii="Calibri" w:eastAsia="Times New Roman" w:hAnsi="Calibri" w:cs="Times New Roman"/>
          <w:szCs w:val="20"/>
        </w:rPr>
      </w:pPr>
      <w:r w:rsidRPr="00590D7A">
        <w:t>This initiative contributes to implementing the ‘Students at the Centre’ foundation of the second</w:t>
      </w:r>
      <w:r w:rsidRPr="00590D7A">
        <w:rPr>
          <w:rFonts w:ascii="Calibri" w:eastAsia="Times New Roman" w:hAnsi="Calibri" w:cs="Times New Roman"/>
          <w:szCs w:val="20"/>
        </w:rPr>
        <w:t xml:space="preserve"> phase of the Future of Education Strategy and builds on the recent employment of 81 school psychologists, and 36 youth workers across 30 ACT public schools. </w:t>
      </w:r>
    </w:p>
    <w:p w14:paraId="5E9310A4" w14:textId="77777777" w:rsidR="00CF0E2D" w:rsidRDefault="00CF0E2D" w:rsidP="00A60D4B">
      <w:pPr>
        <w:pStyle w:val="Bbodytext"/>
        <w:rPr>
          <w:rFonts w:ascii="Calibri" w:eastAsia="Times New Roman" w:hAnsi="Calibri" w:cs="Times New Roman"/>
          <w:szCs w:val="20"/>
        </w:rPr>
      </w:pPr>
      <w:r w:rsidRPr="00590D7A">
        <w:t xml:space="preserve">This initiative contributes to the wellbeing domains of Education and life-long learning, Access </w:t>
      </w:r>
      <w:r w:rsidRPr="00590D7A">
        <w:rPr>
          <w:rFonts w:ascii="Calibri" w:eastAsia="Times New Roman" w:hAnsi="Calibri" w:cs="Times New Roman"/>
          <w:szCs w:val="20"/>
        </w:rPr>
        <w:t>and connectivity and Safety.</w:t>
      </w:r>
    </w:p>
    <w:p w14:paraId="4AF2564B" w14:textId="77777777" w:rsidR="00CF0E2D" w:rsidRPr="00590D7A" w:rsidRDefault="00CF0E2D" w:rsidP="00A60D4B">
      <w:pPr>
        <w:pStyle w:val="Bbodytext"/>
        <w:rPr>
          <w:rFonts w:ascii="Calibri" w:eastAsia="Times New Roman" w:hAnsi="Calibri" w:cs="Times New Roman"/>
          <w:szCs w:val="20"/>
        </w:rPr>
      </w:pPr>
    </w:p>
    <w:p w14:paraId="4DE5589B" w14:textId="77777777" w:rsidR="00CF0E2D" w:rsidRDefault="00CF0E2D" w:rsidP="00A60D4B">
      <w:pPr>
        <w:pStyle w:val="Heading4"/>
      </w:pPr>
      <w:r w:rsidRPr="002107CB">
        <w:rPr>
          <w:rFonts w:eastAsia="Times New Roman"/>
        </w:rPr>
        <w:t xml:space="preserve">Investing in public education </w:t>
      </w:r>
      <w:r>
        <w:rPr>
          <w:rFonts w:eastAsia="Times New Roman"/>
        </w:rPr>
        <w:t xml:space="preserve">– </w:t>
      </w:r>
      <w:r w:rsidRPr="00D27D01">
        <w:rPr>
          <w:rFonts w:eastAsia="Times New Roman"/>
        </w:rPr>
        <w:t xml:space="preserve">More </w:t>
      </w:r>
      <w:r>
        <w:rPr>
          <w:rFonts w:eastAsia="Times New Roman"/>
        </w:rPr>
        <w:t>t</w:t>
      </w:r>
      <w:r w:rsidRPr="00D27D01">
        <w:rPr>
          <w:rFonts w:eastAsia="Times New Roman"/>
        </w:rPr>
        <w:t xml:space="preserve">eacher </w:t>
      </w:r>
      <w:r>
        <w:rPr>
          <w:rFonts w:eastAsia="Times New Roman"/>
        </w:rPr>
        <w:t>l</w:t>
      </w:r>
      <w:r w:rsidRPr="00D27D01">
        <w:rPr>
          <w:rFonts w:eastAsia="Times New Roman"/>
        </w:rPr>
        <w:t>ibrarians</w:t>
      </w:r>
      <w:r>
        <w:rPr>
          <w:lang w:eastAsia="ja-JP"/>
        </w:rPr>
        <w:t xml:space="preserve"> </w:t>
      </w:r>
      <w:r>
        <w:rPr>
          <w:b w:val="0"/>
          <w:noProof/>
          <w:color w:val="999789"/>
          <w:sz w:val="32"/>
          <w:szCs w:val="24"/>
        </w:rPr>
        <w:drawing>
          <wp:anchor distT="0" distB="0" distL="114300" distR="114300" simplePos="0" relativeHeight="251807744" behindDoc="0" locked="1" layoutInCell="1" allowOverlap="1" wp14:anchorId="65FC6701" wp14:editId="1F08753F">
            <wp:simplePos x="0" y="0"/>
            <wp:positionH relativeFrom="margin">
              <wp:align>right</wp:align>
            </wp:positionH>
            <wp:positionV relativeFrom="paragraph">
              <wp:posOffset>-132715</wp:posOffset>
            </wp:positionV>
            <wp:extent cx="1356995" cy="503555"/>
            <wp:effectExtent l="0" t="0" r="0" b="0"/>
            <wp:wrapSquare wrapText="bothSides"/>
            <wp:docPr id="122" name="Picture 122"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7878A7C3" w14:textId="77777777" w:rsidTr="00A60D4B">
        <w:trPr>
          <w:cantSplit/>
          <w:jc w:val="center"/>
        </w:trPr>
        <w:tc>
          <w:tcPr>
            <w:tcW w:w="3652" w:type="dxa"/>
            <w:tcBorders>
              <w:top w:val="single" w:sz="4" w:space="0" w:color="auto"/>
              <w:bottom w:val="single" w:sz="4" w:space="0" w:color="auto"/>
            </w:tcBorders>
          </w:tcPr>
          <w:p w14:paraId="72851895"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770D0A01" w14:textId="77777777" w:rsidR="00CF0E2D" w:rsidRPr="00AC1349" w:rsidRDefault="00CF0E2D" w:rsidP="00A60D4B">
            <w:pPr>
              <w:pStyle w:val="InitFigR"/>
              <w:rPr>
                <w:b/>
                <w:bCs/>
              </w:rPr>
            </w:pPr>
            <w:r w:rsidRPr="00AC1349">
              <w:rPr>
                <w:b/>
                <w:bCs/>
              </w:rPr>
              <w:t>2021-22</w:t>
            </w:r>
          </w:p>
          <w:p w14:paraId="4A45CE8F" w14:textId="77777777" w:rsidR="00CF0E2D" w:rsidRPr="00AC1349" w:rsidRDefault="00CF0E2D" w:rsidP="00A60D4B">
            <w:pPr>
              <w:pStyle w:val="InitFigR"/>
              <w:rPr>
                <w:b/>
                <w:bCs/>
              </w:rPr>
            </w:pPr>
            <w:r w:rsidRPr="00AC1349">
              <w:rPr>
                <w:b/>
                <w:bCs/>
              </w:rPr>
              <w:t>$’000</w:t>
            </w:r>
          </w:p>
        </w:tc>
        <w:tc>
          <w:tcPr>
            <w:tcW w:w="1041" w:type="dxa"/>
            <w:tcBorders>
              <w:top w:val="single" w:sz="4" w:space="0" w:color="auto"/>
              <w:bottom w:val="single" w:sz="4" w:space="0" w:color="auto"/>
            </w:tcBorders>
          </w:tcPr>
          <w:p w14:paraId="73122A13" w14:textId="77777777" w:rsidR="00CF0E2D" w:rsidRPr="00AC1349" w:rsidRDefault="00CF0E2D" w:rsidP="00A60D4B">
            <w:pPr>
              <w:pStyle w:val="InitFigR"/>
              <w:rPr>
                <w:b/>
                <w:bCs/>
              </w:rPr>
            </w:pPr>
            <w:r w:rsidRPr="00AC1349">
              <w:rPr>
                <w:b/>
                <w:bCs/>
              </w:rPr>
              <w:t>2022-23</w:t>
            </w:r>
          </w:p>
          <w:p w14:paraId="1AE50AD9"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5FDDE8B1" w14:textId="77777777" w:rsidR="00CF0E2D" w:rsidRPr="00AC1349" w:rsidRDefault="00CF0E2D" w:rsidP="00A60D4B">
            <w:pPr>
              <w:pStyle w:val="InitFigR"/>
              <w:rPr>
                <w:b/>
                <w:bCs/>
              </w:rPr>
            </w:pPr>
            <w:r w:rsidRPr="00AC1349">
              <w:rPr>
                <w:b/>
                <w:bCs/>
              </w:rPr>
              <w:t>2023-24</w:t>
            </w:r>
          </w:p>
          <w:p w14:paraId="5F34C18A"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05F1B2EA" w14:textId="77777777" w:rsidR="00CF0E2D" w:rsidRPr="00AC1349" w:rsidRDefault="00CF0E2D" w:rsidP="00A60D4B">
            <w:pPr>
              <w:pStyle w:val="InitFigR"/>
              <w:rPr>
                <w:b/>
                <w:bCs/>
              </w:rPr>
            </w:pPr>
            <w:r w:rsidRPr="00AC1349">
              <w:rPr>
                <w:b/>
                <w:bCs/>
              </w:rPr>
              <w:t>2024-25</w:t>
            </w:r>
          </w:p>
          <w:p w14:paraId="24695E14"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794AD90A" w14:textId="77777777" w:rsidR="00CF0E2D" w:rsidRPr="004E341E" w:rsidRDefault="00CF0E2D" w:rsidP="00A60D4B">
            <w:pPr>
              <w:pStyle w:val="InitFigRBold"/>
            </w:pPr>
            <w:r w:rsidRPr="004E341E">
              <w:t>Total</w:t>
            </w:r>
          </w:p>
          <w:p w14:paraId="4775422E" w14:textId="77777777" w:rsidR="00CF0E2D" w:rsidRPr="004E341E" w:rsidRDefault="00CF0E2D" w:rsidP="00A60D4B">
            <w:pPr>
              <w:pStyle w:val="InitFigBR"/>
            </w:pPr>
            <w:r w:rsidRPr="004E341E">
              <w:t>$’000</w:t>
            </w:r>
          </w:p>
        </w:tc>
      </w:tr>
      <w:tr w:rsidR="00CF0E2D" w:rsidRPr="00750793" w14:paraId="23755449" w14:textId="77777777" w:rsidTr="00A60D4B">
        <w:trPr>
          <w:cantSplit/>
          <w:jc w:val="center"/>
        </w:trPr>
        <w:tc>
          <w:tcPr>
            <w:tcW w:w="3652" w:type="dxa"/>
            <w:tcBorders>
              <w:top w:val="single" w:sz="4" w:space="0" w:color="auto"/>
              <w:bottom w:val="single" w:sz="4" w:space="0" w:color="auto"/>
            </w:tcBorders>
          </w:tcPr>
          <w:p w14:paraId="47C8E7DD"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0173E53A" w14:textId="77777777" w:rsidR="00CF0E2D" w:rsidRPr="00424DA4" w:rsidRDefault="00CF0E2D" w:rsidP="00A60D4B">
            <w:pPr>
              <w:pStyle w:val="InitFigR"/>
            </w:pPr>
            <w:r>
              <w:rPr>
                <w:rFonts w:cs="Calibri"/>
                <w:lang w:eastAsia="en-AU"/>
              </w:rPr>
              <w:t>0</w:t>
            </w:r>
          </w:p>
        </w:tc>
        <w:tc>
          <w:tcPr>
            <w:tcW w:w="1041" w:type="dxa"/>
            <w:tcBorders>
              <w:top w:val="single" w:sz="4" w:space="0" w:color="auto"/>
              <w:bottom w:val="single" w:sz="4" w:space="0" w:color="auto"/>
            </w:tcBorders>
          </w:tcPr>
          <w:p w14:paraId="562D90AD" w14:textId="77777777" w:rsidR="00CF0E2D" w:rsidRPr="00424DA4" w:rsidRDefault="00CF0E2D" w:rsidP="00A60D4B">
            <w:pPr>
              <w:pStyle w:val="InitFigR"/>
            </w:pPr>
            <w:r>
              <w:rPr>
                <w:rFonts w:cs="Calibri"/>
                <w:lang w:eastAsia="en-AU"/>
              </w:rPr>
              <w:t>851</w:t>
            </w:r>
          </w:p>
        </w:tc>
        <w:tc>
          <w:tcPr>
            <w:tcW w:w="1029" w:type="dxa"/>
            <w:tcBorders>
              <w:top w:val="single" w:sz="4" w:space="0" w:color="auto"/>
              <w:bottom w:val="single" w:sz="4" w:space="0" w:color="auto"/>
            </w:tcBorders>
          </w:tcPr>
          <w:p w14:paraId="2D1415F1" w14:textId="77777777" w:rsidR="00CF0E2D" w:rsidRPr="00424DA4" w:rsidRDefault="00CF0E2D" w:rsidP="00A60D4B">
            <w:pPr>
              <w:pStyle w:val="InitFigR"/>
            </w:pPr>
            <w:r>
              <w:rPr>
                <w:rFonts w:cs="Calibri"/>
                <w:lang w:eastAsia="en-AU"/>
              </w:rPr>
              <w:t>1,634</w:t>
            </w:r>
          </w:p>
        </w:tc>
        <w:tc>
          <w:tcPr>
            <w:tcW w:w="1029" w:type="dxa"/>
            <w:tcBorders>
              <w:top w:val="single" w:sz="4" w:space="0" w:color="auto"/>
              <w:bottom w:val="single" w:sz="4" w:space="0" w:color="auto"/>
            </w:tcBorders>
          </w:tcPr>
          <w:p w14:paraId="769A7C5D" w14:textId="77777777" w:rsidR="00CF0E2D" w:rsidRPr="00424DA4" w:rsidRDefault="00CF0E2D" w:rsidP="00A60D4B">
            <w:pPr>
              <w:pStyle w:val="InitFigR"/>
            </w:pPr>
            <w:r>
              <w:rPr>
                <w:rFonts w:cs="Calibri"/>
                <w:lang w:eastAsia="en-AU"/>
              </w:rPr>
              <w:t>2,420</w:t>
            </w:r>
          </w:p>
        </w:tc>
        <w:tc>
          <w:tcPr>
            <w:tcW w:w="1029" w:type="dxa"/>
            <w:tcBorders>
              <w:top w:val="single" w:sz="4" w:space="0" w:color="auto"/>
              <w:bottom w:val="single" w:sz="4" w:space="0" w:color="auto"/>
            </w:tcBorders>
          </w:tcPr>
          <w:p w14:paraId="1FA1F65F" w14:textId="77777777" w:rsidR="00CF0E2D" w:rsidRPr="009E055D" w:rsidRDefault="00CF0E2D" w:rsidP="00A60D4B">
            <w:pPr>
              <w:pStyle w:val="InitFigBR"/>
            </w:pPr>
            <w:r>
              <w:rPr>
                <w:rFonts w:cs="Calibri"/>
                <w:bCs/>
                <w:lang w:eastAsia="en-AU"/>
              </w:rPr>
              <w:t>4,905</w:t>
            </w:r>
          </w:p>
        </w:tc>
      </w:tr>
    </w:tbl>
    <w:p w14:paraId="672F29B7" w14:textId="77777777" w:rsidR="00CF0E2D" w:rsidRPr="00D27D01" w:rsidRDefault="00CF0E2D" w:rsidP="00A60D4B">
      <w:pPr>
        <w:pStyle w:val="Bbodytext"/>
        <w:rPr>
          <w:rFonts w:ascii="Calibri" w:eastAsia="Times New Roman" w:hAnsi="Calibri" w:cs="Times New Roman"/>
          <w:szCs w:val="20"/>
        </w:rPr>
      </w:pPr>
      <w:r w:rsidRPr="00D27D01">
        <w:t>The Government will recruit qualified teacher librarians to assist with the delivery of the ACT public school curriculum at student, classroom and school levels. The Government will also provide subscriptions to the Encyclopedia Britannica and World Book</w:t>
      </w:r>
      <w:r w:rsidRPr="00EB652B">
        <w:t xml:space="preserve"> </w:t>
      </w:r>
      <w:r w:rsidRPr="00D27D01">
        <w:t xml:space="preserve">Encyclopedia, </w:t>
      </w:r>
      <w:r w:rsidRPr="00D27D01">
        <w:rPr>
          <w:rFonts w:ascii="Calibri" w:eastAsia="Times New Roman" w:hAnsi="Calibri" w:cs="Times New Roman"/>
          <w:szCs w:val="20"/>
        </w:rPr>
        <w:t xml:space="preserve">ensuring students and teachers have access to additional resources in school libraries from 2022-23. </w:t>
      </w:r>
    </w:p>
    <w:p w14:paraId="17605056" w14:textId="77777777" w:rsidR="00CF0E2D" w:rsidRPr="00D27D01" w:rsidRDefault="00CF0E2D" w:rsidP="00A60D4B">
      <w:pPr>
        <w:pStyle w:val="Bbodytext"/>
        <w:rPr>
          <w:rFonts w:ascii="Calibri" w:eastAsia="Times New Roman" w:hAnsi="Calibri" w:cs="Times New Roman"/>
          <w:szCs w:val="20"/>
        </w:rPr>
      </w:pPr>
      <w:r w:rsidRPr="00D27D01">
        <w:lastRenderedPageBreak/>
        <w:t>This initiative contributes to implementing the ‘Empowered Learning Professionals’ foundation of the Future of Education Strategy’s second phase and build</w:t>
      </w:r>
      <w:r w:rsidRPr="00D27D01">
        <w:rPr>
          <w:rFonts w:ascii="Calibri" w:eastAsia="Times New Roman" w:hAnsi="Calibri" w:cs="Times New Roman"/>
          <w:szCs w:val="20"/>
        </w:rPr>
        <w:t>s on the recent funding provided for 10 Master of Education (teacher librarian) scholarships each year for five years, commencing in 2020-21.</w:t>
      </w:r>
    </w:p>
    <w:p w14:paraId="64F6BA92" w14:textId="77777777" w:rsidR="00CF0E2D" w:rsidRDefault="00CF0E2D" w:rsidP="00A60D4B">
      <w:pPr>
        <w:pStyle w:val="Bbodytext"/>
      </w:pPr>
      <w:r w:rsidRPr="00D27D01">
        <w:t>This initiative contributes to the wellbeing domain of Education and life-long learning.</w:t>
      </w:r>
    </w:p>
    <w:p w14:paraId="6860703E" w14:textId="77777777" w:rsidR="00CF0E2D" w:rsidRDefault="00CF0E2D" w:rsidP="00A60D4B">
      <w:pPr>
        <w:pStyle w:val="Bbodytext"/>
        <w:rPr>
          <w:rFonts w:ascii="Calibri" w:eastAsia="Times New Roman" w:hAnsi="Calibri" w:cs="Times New Roman"/>
          <w:szCs w:val="20"/>
        </w:rPr>
      </w:pPr>
    </w:p>
    <w:p w14:paraId="56BEE85E" w14:textId="77777777" w:rsidR="00CF0E2D" w:rsidRDefault="00CF0E2D" w:rsidP="00A60D4B">
      <w:pPr>
        <w:pStyle w:val="Heading4"/>
        <w:rPr>
          <w:noProof/>
          <w:sz w:val="36"/>
          <w:szCs w:val="36"/>
          <w:u w:val="single"/>
        </w:rPr>
      </w:pPr>
      <w:r w:rsidRPr="002107CB">
        <w:rPr>
          <w:rFonts w:eastAsia="Times New Roman"/>
        </w:rPr>
        <w:t xml:space="preserve">Investing in public education </w:t>
      </w:r>
      <w:r>
        <w:rPr>
          <w:rFonts w:eastAsia="Times New Roman"/>
        </w:rPr>
        <w:t xml:space="preserve">– </w:t>
      </w:r>
      <w:r w:rsidRPr="00E26D2A">
        <w:rPr>
          <w:rFonts w:eastAsia="Times New Roman"/>
        </w:rPr>
        <w:t>Muliyan Off-Campus Flexible Learning Program</w:t>
      </w:r>
      <w:r>
        <w:rPr>
          <w:b w:val="0"/>
          <w:noProof/>
          <w:color w:val="999789"/>
          <w:sz w:val="32"/>
          <w:szCs w:val="24"/>
        </w:rPr>
        <w:drawing>
          <wp:anchor distT="0" distB="0" distL="114300" distR="114300" simplePos="0" relativeHeight="251808768" behindDoc="0" locked="1" layoutInCell="1" allowOverlap="1" wp14:anchorId="2286AA3C" wp14:editId="233D8A0E">
            <wp:simplePos x="0" y="0"/>
            <wp:positionH relativeFrom="margin">
              <wp:align>right</wp:align>
            </wp:positionH>
            <wp:positionV relativeFrom="paragraph">
              <wp:posOffset>78105</wp:posOffset>
            </wp:positionV>
            <wp:extent cx="1356995" cy="503555"/>
            <wp:effectExtent l="0" t="0" r="0" b="0"/>
            <wp:wrapSquare wrapText="bothSides"/>
            <wp:docPr id="123" name="Picture 123"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634AF374" w14:textId="77777777" w:rsidTr="00A60D4B">
        <w:trPr>
          <w:cantSplit/>
          <w:jc w:val="center"/>
        </w:trPr>
        <w:tc>
          <w:tcPr>
            <w:tcW w:w="3652" w:type="dxa"/>
            <w:tcBorders>
              <w:top w:val="single" w:sz="4" w:space="0" w:color="auto"/>
              <w:bottom w:val="single" w:sz="4" w:space="0" w:color="auto"/>
            </w:tcBorders>
          </w:tcPr>
          <w:p w14:paraId="74E542ED"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1A4563B4" w14:textId="77777777" w:rsidR="00CF0E2D" w:rsidRPr="001A2412" w:rsidRDefault="00CF0E2D" w:rsidP="00A60D4B">
            <w:pPr>
              <w:pStyle w:val="InitFigR"/>
              <w:rPr>
                <w:b/>
                <w:bCs/>
              </w:rPr>
            </w:pPr>
            <w:r w:rsidRPr="001A2412">
              <w:rPr>
                <w:b/>
                <w:bCs/>
              </w:rPr>
              <w:t>2021-22</w:t>
            </w:r>
          </w:p>
          <w:p w14:paraId="730EAF8D" w14:textId="77777777" w:rsidR="00CF0E2D" w:rsidRPr="001A2412" w:rsidRDefault="00CF0E2D" w:rsidP="00A60D4B">
            <w:pPr>
              <w:pStyle w:val="InitFigR"/>
              <w:rPr>
                <w:b/>
                <w:bCs/>
              </w:rPr>
            </w:pPr>
            <w:r w:rsidRPr="001A2412">
              <w:rPr>
                <w:b/>
                <w:bCs/>
              </w:rPr>
              <w:t>$’000</w:t>
            </w:r>
          </w:p>
        </w:tc>
        <w:tc>
          <w:tcPr>
            <w:tcW w:w="1041" w:type="dxa"/>
            <w:tcBorders>
              <w:top w:val="single" w:sz="4" w:space="0" w:color="auto"/>
              <w:bottom w:val="single" w:sz="4" w:space="0" w:color="auto"/>
            </w:tcBorders>
          </w:tcPr>
          <w:p w14:paraId="1571B926" w14:textId="77777777" w:rsidR="00CF0E2D" w:rsidRPr="001A2412" w:rsidRDefault="00CF0E2D" w:rsidP="00A60D4B">
            <w:pPr>
              <w:pStyle w:val="InitFigR"/>
              <w:rPr>
                <w:b/>
                <w:bCs/>
              </w:rPr>
            </w:pPr>
            <w:r w:rsidRPr="001A2412">
              <w:rPr>
                <w:b/>
                <w:bCs/>
              </w:rPr>
              <w:t>2022-23</w:t>
            </w:r>
          </w:p>
          <w:p w14:paraId="46D8A346" w14:textId="77777777" w:rsidR="00CF0E2D" w:rsidRPr="001A2412" w:rsidRDefault="00CF0E2D" w:rsidP="00A60D4B">
            <w:pPr>
              <w:pStyle w:val="InitFigR"/>
              <w:rPr>
                <w:b/>
                <w:bCs/>
              </w:rPr>
            </w:pPr>
            <w:r w:rsidRPr="001A2412">
              <w:rPr>
                <w:b/>
                <w:bCs/>
              </w:rPr>
              <w:t>$’000</w:t>
            </w:r>
          </w:p>
        </w:tc>
        <w:tc>
          <w:tcPr>
            <w:tcW w:w="1029" w:type="dxa"/>
            <w:tcBorders>
              <w:top w:val="single" w:sz="4" w:space="0" w:color="auto"/>
              <w:bottom w:val="single" w:sz="4" w:space="0" w:color="auto"/>
            </w:tcBorders>
          </w:tcPr>
          <w:p w14:paraId="7FFC7E4E" w14:textId="77777777" w:rsidR="00CF0E2D" w:rsidRPr="001A2412" w:rsidRDefault="00CF0E2D" w:rsidP="00A60D4B">
            <w:pPr>
              <w:pStyle w:val="InitFigR"/>
              <w:rPr>
                <w:b/>
                <w:bCs/>
              </w:rPr>
            </w:pPr>
            <w:r w:rsidRPr="001A2412">
              <w:rPr>
                <w:b/>
                <w:bCs/>
              </w:rPr>
              <w:t>2023-24</w:t>
            </w:r>
          </w:p>
          <w:p w14:paraId="14867A4A" w14:textId="77777777" w:rsidR="00CF0E2D" w:rsidRPr="001A2412" w:rsidRDefault="00CF0E2D" w:rsidP="00A60D4B">
            <w:pPr>
              <w:pStyle w:val="InitFigR"/>
              <w:rPr>
                <w:b/>
                <w:bCs/>
              </w:rPr>
            </w:pPr>
            <w:r w:rsidRPr="001A2412">
              <w:rPr>
                <w:b/>
                <w:bCs/>
              </w:rPr>
              <w:t>$’000</w:t>
            </w:r>
          </w:p>
        </w:tc>
        <w:tc>
          <w:tcPr>
            <w:tcW w:w="1029" w:type="dxa"/>
            <w:tcBorders>
              <w:top w:val="single" w:sz="4" w:space="0" w:color="auto"/>
              <w:bottom w:val="single" w:sz="4" w:space="0" w:color="auto"/>
            </w:tcBorders>
          </w:tcPr>
          <w:p w14:paraId="060E176B" w14:textId="77777777" w:rsidR="00CF0E2D" w:rsidRPr="001A2412" w:rsidRDefault="00CF0E2D" w:rsidP="00A60D4B">
            <w:pPr>
              <w:pStyle w:val="InitFigR"/>
              <w:rPr>
                <w:b/>
                <w:bCs/>
              </w:rPr>
            </w:pPr>
            <w:r w:rsidRPr="001A2412">
              <w:rPr>
                <w:b/>
                <w:bCs/>
              </w:rPr>
              <w:t>2024-25</w:t>
            </w:r>
          </w:p>
          <w:p w14:paraId="65A50FA1" w14:textId="77777777" w:rsidR="00CF0E2D" w:rsidRPr="001A2412" w:rsidRDefault="00CF0E2D" w:rsidP="00A60D4B">
            <w:pPr>
              <w:pStyle w:val="InitFigR"/>
              <w:rPr>
                <w:b/>
                <w:bCs/>
              </w:rPr>
            </w:pPr>
            <w:r w:rsidRPr="001A2412">
              <w:rPr>
                <w:b/>
                <w:bCs/>
              </w:rPr>
              <w:t>$’000</w:t>
            </w:r>
          </w:p>
        </w:tc>
        <w:tc>
          <w:tcPr>
            <w:tcW w:w="1029" w:type="dxa"/>
            <w:tcBorders>
              <w:top w:val="single" w:sz="4" w:space="0" w:color="auto"/>
              <w:bottom w:val="single" w:sz="4" w:space="0" w:color="auto"/>
            </w:tcBorders>
          </w:tcPr>
          <w:p w14:paraId="08557054" w14:textId="77777777" w:rsidR="00CF0E2D" w:rsidRPr="004E341E" w:rsidRDefault="00CF0E2D" w:rsidP="00A60D4B">
            <w:pPr>
              <w:pStyle w:val="InitFigRBold"/>
            </w:pPr>
            <w:r w:rsidRPr="004E341E">
              <w:t>Total</w:t>
            </w:r>
          </w:p>
          <w:p w14:paraId="50C2FC04" w14:textId="77777777" w:rsidR="00CF0E2D" w:rsidRPr="004E341E" w:rsidRDefault="00CF0E2D" w:rsidP="00A60D4B">
            <w:pPr>
              <w:pStyle w:val="InitFigBR"/>
            </w:pPr>
            <w:r w:rsidRPr="004E341E">
              <w:t>$’000</w:t>
            </w:r>
          </w:p>
        </w:tc>
      </w:tr>
      <w:tr w:rsidR="00CF0E2D" w:rsidRPr="00750793" w14:paraId="78B289B4" w14:textId="77777777" w:rsidTr="00A60D4B">
        <w:trPr>
          <w:cantSplit/>
          <w:jc w:val="center"/>
        </w:trPr>
        <w:tc>
          <w:tcPr>
            <w:tcW w:w="3652" w:type="dxa"/>
            <w:tcBorders>
              <w:top w:val="single" w:sz="4" w:space="0" w:color="auto"/>
              <w:bottom w:val="single" w:sz="4" w:space="0" w:color="auto"/>
            </w:tcBorders>
          </w:tcPr>
          <w:p w14:paraId="4D6A865A"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0AB1030A" w14:textId="77777777" w:rsidR="00CF0E2D" w:rsidRPr="00424DA4" w:rsidRDefault="00CF0E2D" w:rsidP="00A60D4B">
            <w:pPr>
              <w:pStyle w:val="InitFigR"/>
            </w:pPr>
            <w:r w:rsidRPr="004019E3">
              <w:rPr>
                <w:rFonts w:cs="Calibri"/>
                <w:lang w:eastAsia="en-AU"/>
              </w:rPr>
              <w:t>2,198</w:t>
            </w:r>
          </w:p>
        </w:tc>
        <w:tc>
          <w:tcPr>
            <w:tcW w:w="1041" w:type="dxa"/>
            <w:tcBorders>
              <w:top w:val="single" w:sz="4" w:space="0" w:color="auto"/>
              <w:bottom w:val="single" w:sz="4" w:space="0" w:color="auto"/>
            </w:tcBorders>
          </w:tcPr>
          <w:p w14:paraId="43CE5007" w14:textId="77777777" w:rsidR="00CF0E2D" w:rsidRPr="00424DA4" w:rsidRDefault="00CF0E2D" w:rsidP="00A60D4B">
            <w:pPr>
              <w:pStyle w:val="InitFigR"/>
            </w:pPr>
            <w:r w:rsidRPr="004019E3">
              <w:rPr>
                <w:rFonts w:cs="Calibri"/>
                <w:lang w:eastAsia="en-AU"/>
              </w:rPr>
              <w:t>2,242</w:t>
            </w:r>
          </w:p>
        </w:tc>
        <w:tc>
          <w:tcPr>
            <w:tcW w:w="1029" w:type="dxa"/>
            <w:tcBorders>
              <w:top w:val="single" w:sz="4" w:space="0" w:color="auto"/>
              <w:bottom w:val="single" w:sz="4" w:space="0" w:color="auto"/>
            </w:tcBorders>
          </w:tcPr>
          <w:p w14:paraId="5CE0FBA0" w14:textId="77777777" w:rsidR="00CF0E2D" w:rsidRPr="00424DA4" w:rsidRDefault="00CF0E2D" w:rsidP="00A60D4B">
            <w:pPr>
              <w:pStyle w:val="InitFigR"/>
            </w:pPr>
            <w:r w:rsidRPr="004019E3">
              <w:rPr>
                <w:rFonts w:cs="Calibri"/>
                <w:lang w:eastAsia="en-AU"/>
              </w:rPr>
              <w:t>2,286</w:t>
            </w:r>
          </w:p>
        </w:tc>
        <w:tc>
          <w:tcPr>
            <w:tcW w:w="1029" w:type="dxa"/>
            <w:tcBorders>
              <w:top w:val="single" w:sz="4" w:space="0" w:color="auto"/>
              <w:bottom w:val="single" w:sz="4" w:space="0" w:color="auto"/>
            </w:tcBorders>
          </w:tcPr>
          <w:p w14:paraId="3E221639" w14:textId="77777777" w:rsidR="00CF0E2D" w:rsidRPr="00424DA4" w:rsidRDefault="00CF0E2D" w:rsidP="00A60D4B">
            <w:pPr>
              <w:pStyle w:val="InitFigR"/>
            </w:pPr>
            <w:r w:rsidRPr="004019E3">
              <w:rPr>
                <w:rFonts w:cs="Calibri"/>
                <w:lang w:eastAsia="en-AU"/>
              </w:rPr>
              <w:t>2,332</w:t>
            </w:r>
          </w:p>
        </w:tc>
        <w:tc>
          <w:tcPr>
            <w:tcW w:w="1029" w:type="dxa"/>
            <w:tcBorders>
              <w:top w:val="single" w:sz="4" w:space="0" w:color="auto"/>
              <w:bottom w:val="single" w:sz="4" w:space="0" w:color="auto"/>
            </w:tcBorders>
          </w:tcPr>
          <w:p w14:paraId="3CBB4E2B" w14:textId="77777777" w:rsidR="00CF0E2D" w:rsidRPr="00424DA4" w:rsidRDefault="00CF0E2D" w:rsidP="00A60D4B">
            <w:pPr>
              <w:pStyle w:val="InitFigBR"/>
            </w:pPr>
            <w:r w:rsidRPr="004019E3">
              <w:rPr>
                <w:rFonts w:cs="Calibri"/>
                <w:bCs/>
                <w:lang w:eastAsia="en-AU"/>
              </w:rPr>
              <w:t>9,05</w:t>
            </w:r>
            <w:r>
              <w:rPr>
                <w:rFonts w:cs="Calibri"/>
                <w:bCs/>
                <w:lang w:eastAsia="en-AU"/>
              </w:rPr>
              <w:t>8</w:t>
            </w:r>
          </w:p>
        </w:tc>
      </w:tr>
    </w:tbl>
    <w:p w14:paraId="7459C688" w14:textId="77777777" w:rsidR="00CF0E2D" w:rsidRPr="00E26D2A" w:rsidRDefault="00CF0E2D" w:rsidP="00A60D4B">
      <w:pPr>
        <w:pStyle w:val="Bbodytext"/>
        <w:rPr>
          <w:rFonts w:ascii="Calibri" w:eastAsia="Times New Roman" w:hAnsi="Calibri" w:cs="Times New Roman"/>
          <w:szCs w:val="20"/>
        </w:rPr>
      </w:pPr>
      <w:r w:rsidRPr="00E26D2A">
        <w:t xml:space="preserve">The Government will continue the Muliyan Off-Campus Flexible Learning program to </w:t>
      </w:r>
      <w:r w:rsidRPr="00E26D2A">
        <w:rPr>
          <w:rFonts w:ascii="Calibri" w:eastAsia="Times New Roman" w:hAnsi="Calibri" w:cs="Times New Roman"/>
          <w:szCs w:val="20"/>
        </w:rPr>
        <w:t>support 30</w:t>
      </w:r>
      <w:r>
        <w:t xml:space="preserve"> </w:t>
      </w:r>
      <w:r w:rsidRPr="00E26D2A">
        <w:rPr>
          <w:rFonts w:ascii="Calibri" w:eastAsia="Times New Roman" w:hAnsi="Calibri" w:cs="Times New Roman"/>
          <w:szCs w:val="20"/>
        </w:rPr>
        <w:t>vulnerable students. The Government will also continue to provide culturally safe supports for Aboriginal and Torres Strait Islander children who are disengaged or disengaging with education.</w:t>
      </w:r>
    </w:p>
    <w:p w14:paraId="33225142" w14:textId="77777777" w:rsidR="00CF0E2D" w:rsidRPr="00E26D2A" w:rsidRDefault="00CF0E2D" w:rsidP="00A60D4B">
      <w:pPr>
        <w:pStyle w:val="Bbodytext"/>
        <w:rPr>
          <w:rFonts w:ascii="Calibri" w:eastAsia="Times New Roman" w:hAnsi="Calibri" w:cs="Times New Roman"/>
          <w:szCs w:val="20"/>
        </w:rPr>
      </w:pPr>
      <w:r w:rsidRPr="00E26D2A">
        <w:t>This initiative is part of implementing the ‘Students</w:t>
      </w:r>
      <w:r w:rsidRPr="00E26D2A">
        <w:rPr>
          <w:rFonts w:ascii="Calibri" w:eastAsia="Times New Roman" w:hAnsi="Calibri" w:cs="Times New Roman"/>
          <w:szCs w:val="20"/>
        </w:rPr>
        <w:t xml:space="preserve"> at the Centre’ foundation of the Future of Education Strategy’s second phase.</w:t>
      </w:r>
    </w:p>
    <w:p w14:paraId="46942293" w14:textId="77777777" w:rsidR="00CF0E2D" w:rsidRDefault="00CF0E2D" w:rsidP="00A60D4B">
      <w:pPr>
        <w:pStyle w:val="Bbodytext"/>
      </w:pPr>
      <w:r w:rsidRPr="00E26D2A">
        <w:t>This initiative contributes to the wellbeing domains of Education and life-long learning, Identity and belonging and Access and connectivity.</w:t>
      </w:r>
    </w:p>
    <w:p w14:paraId="3BFF33D3" w14:textId="77777777" w:rsidR="00CF0E2D" w:rsidRPr="00E26D2A" w:rsidRDefault="00CF0E2D" w:rsidP="00A60D4B">
      <w:pPr>
        <w:pStyle w:val="Bbodytext"/>
        <w:rPr>
          <w:rFonts w:ascii="Calibri" w:eastAsia="Times New Roman" w:hAnsi="Calibri" w:cs="Times New Roman"/>
          <w:szCs w:val="20"/>
        </w:rPr>
      </w:pPr>
    </w:p>
    <w:p w14:paraId="4873F800" w14:textId="77777777" w:rsidR="00CF0E2D" w:rsidRDefault="00CF0E2D" w:rsidP="00A60D4B">
      <w:pPr>
        <w:pStyle w:val="Heading4"/>
      </w:pPr>
      <w:r w:rsidRPr="002107CB">
        <w:rPr>
          <w:rFonts w:eastAsia="Times New Roman"/>
        </w:rPr>
        <w:t xml:space="preserve">Investing in public education </w:t>
      </w:r>
      <w:r>
        <w:rPr>
          <w:rFonts w:eastAsia="Times New Roman"/>
        </w:rPr>
        <w:t xml:space="preserve">– </w:t>
      </w:r>
      <w:r w:rsidRPr="007A5FF7">
        <w:rPr>
          <w:rFonts w:eastAsia="Times New Roman"/>
        </w:rPr>
        <w:t xml:space="preserve">Reducing </w:t>
      </w:r>
      <w:r>
        <w:rPr>
          <w:rFonts w:eastAsia="Times New Roman"/>
        </w:rPr>
        <w:t>v</w:t>
      </w:r>
      <w:r w:rsidRPr="007A5FF7">
        <w:rPr>
          <w:rFonts w:eastAsia="Times New Roman"/>
        </w:rPr>
        <w:t xml:space="preserve">iolence in </w:t>
      </w:r>
      <w:r>
        <w:rPr>
          <w:rFonts w:eastAsia="Times New Roman"/>
        </w:rPr>
        <w:t>s</w:t>
      </w:r>
      <w:r w:rsidRPr="007A5FF7">
        <w:rPr>
          <w:rFonts w:eastAsia="Times New Roman"/>
        </w:rPr>
        <w:t>chools</w:t>
      </w:r>
      <w:r>
        <w:t xml:space="preserve"> </w:t>
      </w:r>
      <w:r>
        <w:rPr>
          <w:b w:val="0"/>
          <w:noProof/>
          <w:color w:val="999789"/>
          <w:sz w:val="32"/>
          <w:szCs w:val="24"/>
        </w:rPr>
        <w:drawing>
          <wp:anchor distT="0" distB="0" distL="114300" distR="114300" simplePos="0" relativeHeight="251809792" behindDoc="0" locked="1" layoutInCell="1" allowOverlap="1" wp14:anchorId="0AE5EECA" wp14:editId="32067B99">
            <wp:simplePos x="0" y="0"/>
            <wp:positionH relativeFrom="margin">
              <wp:align>right</wp:align>
            </wp:positionH>
            <wp:positionV relativeFrom="paragraph">
              <wp:posOffset>73025</wp:posOffset>
            </wp:positionV>
            <wp:extent cx="1356995" cy="503555"/>
            <wp:effectExtent l="0" t="0" r="0" b="0"/>
            <wp:wrapSquare wrapText="bothSides"/>
            <wp:docPr id="124" name="Picture 124"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322481FE" w14:textId="77777777" w:rsidTr="00A60D4B">
        <w:trPr>
          <w:cantSplit/>
          <w:jc w:val="center"/>
        </w:trPr>
        <w:tc>
          <w:tcPr>
            <w:tcW w:w="3652" w:type="dxa"/>
            <w:tcBorders>
              <w:top w:val="single" w:sz="4" w:space="0" w:color="auto"/>
              <w:bottom w:val="single" w:sz="4" w:space="0" w:color="auto"/>
            </w:tcBorders>
          </w:tcPr>
          <w:p w14:paraId="23FDE361"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5E08CFBC" w14:textId="77777777" w:rsidR="00CF0E2D" w:rsidRPr="00AC1349" w:rsidRDefault="00CF0E2D" w:rsidP="00A60D4B">
            <w:pPr>
              <w:pStyle w:val="InitFigR"/>
              <w:rPr>
                <w:b/>
                <w:bCs/>
              </w:rPr>
            </w:pPr>
            <w:r w:rsidRPr="00AC1349">
              <w:rPr>
                <w:b/>
                <w:bCs/>
              </w:rPr>
              <w:t>2021-22</w:t>
            </w:r>
          </w:p>
          <w:p w14:paraId="131654CA" w14:textId="77777777" w:rsidR="00CF0E2D" w:rsidRPr="00AC1349" w:rsidRDefault="00CF0E2D" w:rsidP="00A60D4B">
            <w:pPr>
              <w:pStyle w:val="InitFigR"/>
              <w:rPr>
                <w:b/>
                <w:bCs/>
              </w:rPr>
            </w:pPr>
            <w:r w:rsidRPr="00AC1349">
              <w:rPr>
                <w:b/>
                <w:bCs/>
              </w:rPr>
              <w:t>$’000</w:t>
            </w:r>
          </w:p>
        </w:tc>
        <w:tc>
          <w:tcPr>
            <w:tcW w:w="1041" w:type="dxa"/>
            <w:tcBorders>
              <w:top w:val="single" w:sz="4" w:space="0" w:color="auto"/>
              <w:bottom w:val="single" w:sz="4" w:space="0" w:color="auto"/>
            </w:tcBorders>
          </w:tcPr>
          <w:p w14:paraId="5ABF75AA" w14:textId="77777777" w:rsidR="00CF0E2D" w:rsidRPr="00AC1349" w:rsidRDefault="00CF0E2D" w:rsidP="00A60D4B">
            <w:pPr>
              <w:pStyle w:val="InitFigR"/>
              <w:rPr>
                <w:b/>
                <w:bCs/>
              </w:rPr>
            </w:pPr>
            <w:r w:rsidRPr="00AC1349">
              <w:rPr>
                <w:b/>
                <w:bCs/>
              </w:rPr>
              <w:t>2022-23</w:t>
            </w:r>
          </w:p>
          <w:p w14:paraId="7E11E201"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0F184C1C" w14:textId="77777777" w:rsidR="00CF0E2D" w:rsidRPr="00AC1349" w:rsidRDefault="00CF0E2D" w:rsidP="00A60D4B">
            <w:pPr>
              <w:pStyle w:val="InitFigR"/>
              <w:rPr>
                <w:b/>
                <w:bCs/>
              </w:rPr>
            </w:pPr>
            <w:r w:rsidRPr="00AC1349">
              <w:rPr>
                <w:b/>
                <w:bCs/>
              </w:rPr>
              <w:t>2023-24</w:t>
            </w:r>
          </w:p>
          <w:p w14:paraId="322C7882"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6F17DEC0" w14:textId="77777777" w:rsidR="00CF0E2D" w:rsidRPr="00AC1349" w:rsidRDefault="00CF0E2D" w:rsidP="00A60D4B">
            <w:pPr>
              <w:pStyle w:val="InitFigR"/>
              <w:rPr>
                <w:b/>
                <w:bCs/>
              </w:rPr>
            </w:pPr>
            <w:r w:rsidRPr="00AC1349">
              <w:rPr>
                <w:b/>
                <w:bCs/>
              </w:rPr>
              <w:t>2024-25</w:t>
            </w:r>
          </w:p>
          <w:p w14:paraId="01C96F8E"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27C93B2E" w14:textId="77777777" w:rsidR="00CF0E2D" w:rsidRPr="004E341E" w:rsidRDefault="00CF0E2D" w:rsidP="00A60D4B">
            <w:pPr>
              <w:pStyle w:val="InitFigRBold"/>
            </w:pPr>
            <w:r w:rsidRPr="004E341E">
              <w:t>Total</w:t>
            </w:r>
          </w:p>
          <w:p w14:paraId="6DF02E13" w14:textId="77777777" w:rsidR="00CF0E2D" w:rsidRPr="004E341E" w:rsidRDefault="00CF0E2D" w:rsidP="00A60D4B">
            <w:pPr>
              <w:pStyle w:val="InitFigBR"/>
            </w:pPr>
            <w:r w:rsidRPr="004E341E">
              <w:t>$’000</w:t>
            </w:r>
          </w:p>
        </w:tc>
      </w:tr>
      <w:tr w:rsidR="00CF0E2D" w:rsidRPr="00750793" w14:paraId="4FE20A14" w14:textId="77777777" w:rsidTr="00A60D4B">
        <w:trPr>
          <w:cantSplit/>
          <w:jc w:val="center"/>
        </w:trPr>
        <w:tc>
          <w:tcPr>
            <w:tcW w:w="3652" w:type="dxa"/>
            <w:tcBorders>
              <w:top w:val="single" w:sz="4" w:space="0" w:color="auto"/>
              <w:bottom w:val="single" w:sz="4" w:space="0" w:color="auto"/>
            </w:tcBorders>
          </w:tcPr>
          <w:p w14:paraId="3D9BC71D"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1C327536" w14:textId="77777777" w:rsidR="00CF0E2D" w:rsidRPr="00424DA4" w:rsidRDefault="00CF0E2D" w:rsidP="00A60D4B">
            <w:pPr>
              <w:pStyle w:val="InitFigR"/>
            </w:pPr>
            <w:r w:rsidRPr="00350D65">
              <w:rPr>
                <w:rFonts w:cs="Calibri"/>
                <w:lang w:eastAsia="en-AU"/>
              </w:rPr>
              <w:t>1,048</w:t>
            </w:r>
          </w:p>
        </w:tc>
        <w:tc>
          <w:tcPr>
            <w:tcW w:w="1041" w:type="dxa"/>
            <w:tcBorders>
              <w:top w:val="single" w:sz="4" w:space="0" w:color="auto"/>
              <w:bottom w:val="single" w:sz="4" w:space="0" w:color="auto"/>
            </w:tcBorders>
          </w:tcPr>
          <w:p w14:paraId="56C74BA4" w14:textId="77777777" w:rsidR="00CF0E2D" w:rsidRPr="00424DA4" w:rsidRDefault="00CF0E2D" w:rsidP="00A60D4B">
            <w:pPr>
              <w:pStyle w:val="InitFigR"/>
            </w:pPr>
            <w:r w:rsidRPr="00350D65">
              <w:rPr>
                <w:rFonts w:cs="Calibri"/>
                <w:lang w:eastAsia="en-AU"/>
              </w:rPr>
              <w:t>1,369</w:t>
            </w:r>
          </w:p>
        </w:tc>
        <w:tc>
          <w:tcPr>
            <w:tcW w:w="1029" w:type="dxa"/>
            <w:tcBorders>
              <w:top w:val="single" w:sz="4" w:space="0" w:color="auto"/>
              <w:bottom w:val="single" w:sz="4" w:space="0" w:color="auto"/>
            </w:tcBorders>
          </w:tcPr>
          <w:p w14:paraId="36ADC72B" w14:textId="77777777" w:rsidR="00CF0E2D" w:rsidRPr="00424DA4" w:rsidRDefault="00CF0E2D" w:rsidP="00A60D4B">
            <w:pPr>
              <w:pStyle w:val="InitFigR"/>
            </w:pPr>
            <w:r w:rsidRPr="00350D65">
              <w:rPr>
                <w:rFonts w:cs="Calibri"/>
                <w:lang w:eastAsia="en-AU"/>
              </w:rPr>
              <w:t>1,744</w:t>
            </w:r>
          </w:p>
        </w:tc>
        <w:tc>
          <w:tcPr>
            <w:tcW w:w="1029" w:type="dxa"/>
            <w:tcBorders>
              <w:top w:val="single" w:sz="4" w:space="0" w:color="auto"/>
              <w:bottom w:val="single" w:sz="4" w:space="0" w:color="auto"/>
            </w:tcBorders>
          </w:tcPr>
          <w:p w14:paraId="43BE8860" w14:textId="77777777" w:rsidR="00CF0E2D" w:rsidRPr="00424DA4" w:rsidRDefault="00CF0E2D" w:rsidP="00A60D4B">
            <w:pPr>
              <w:pStyle w:val="InitFigR"/>
            </w:pPr>
            <w:r w:rsidRPr="00350D65">
              <w:rPr>
                <w:rFonts w:cs="Calibri"/>
                <w:lang w:eastAsia="en-AU"/>
              </w:rPr>
              <w:t>1,768</w:t>
            </w:r>
          </w:p>
        </w:tc>
        <w:tc>
          <w:tcPr>
            <w:tcW w:w="1029" w:type="dxa"/>
            <w:tcBorders>
              <w:top w:val="single" w:sz="4" w:space="0" w:color="auto"/>
              <w:bottom w:val="single" w:sz="4" w:space="0" w:color="auto"/>
            </w:tcBorders>
          </w:tcPr>
          <w:p w14:paraId="7F8296D9" w14:textId="77777777" w:rsidR="00CF0E2D" w:rsidRPr="00424DA4" w:rsidRDefault="00CF0E2D" w:rsidP="00A60D4B">
            <w:pPr>
              <w:pStyle w:val="InitFigBR"/>
            </w:pPr>
            <w:r w:rsidRPr="00350D65">
              <w:rPr>
                <w:rFonts w:cs="Calibri"/>
                <w:bCs/>
                <w:lang w:eastAsia="en-AU"/>
              </w:rPr>
              <w:t>5,929</w:t>
            </w:r>
          </w:p>
        </w:tc>
      </w:tr>
    </w:tbl>
    <w:p w14:paraId="2DA975DC" w14:textId="77777777" w:rsidR="00CF0E2D" w:rsidRDefault="00CF0E2D" w:rsidP="00A60D4B">
      <w:pPr>
        <w:pStyle w:val="Bbodytext"/>
      </w:pPr>
      <w:r w:rsidRPr="004C581D">
        <w:t xml:space="preserve">The Government </w:t>
      </w:r>
      <w:r>
        <w:t xml:space="preserve">will provide additional resources to the Education Directorate’s Occupational Violence and Complex Case Management Team to continue improving work health and safety and address occupational violence incidents in ACT public schools. </w:t>
      </w:r>
    </w:p>
    <w:p w14:paraId="591B5588" w14:textId="77777777" w:rsidR="00CF0E2D" w:rsidRDefault="00CF0E2D" w:rsidP="00A60D4B">
      <w:pPr>
        <w:pStyle w:val="Bbodytext"/>
      </w:pPr>
      <w:r>
        <w:t>This initiative contributes to the wellbeing domains of Education and life-long learning and Safety.</w:t>
      </w:r>
    </w:p>
    <w:p w14:paraId="08AD2FBB" w14:textId="77777777" w:rsidR="00CF0E2D" w:rsidRDefault="00CF0E2D">
      <w:pPr>
        <w:rPr>
          <w:sz w:val="24"/>
        </w:rPr>
      </w:pPr>
      <w:r>
        <w:br w:type="page"/>
      </w:r>
    </w:p>
    <w:p w14:paraId="770CCCEE" w14:textId="77777777" w:rsidR="00CF0E2D" w:rsidRDefault="00CF0E2D" w:rsidP="00A60D4B">
      <w:pPr>
        <w:pStyle w:val="Bbodytext"/>
      </w:pPr>
    </w:p>
    <w:p w14:paraId="411EC8E9" w14:textId="77777777" w:rsidR="00CF0E2D" w:rsidRPr="00B335FA" w:rsidRDefault="00CF0E2D" w:rsidP="00A60D4B">
      <w:pPr>
        <w:pStyle w:val="Heading4"/>
        <w:rPr>
          <w:sz w:val="36"/>
          <w:szCs w:val="36"/>
          <w:u w:val="single"/>
        </w:rPr>
      </w:pPr>
      <w:r w:rsidRPr="002107CB">
        <w:rPr>
          <w:rFonts w:eastAsia="Times New Roman"/>
        </w:rPr>
        <w:t xml:space="preserve">Investing in public education </w:t>
      </w:r>
      <w:r>
        <w:rPr>
          <w:rFonts w:eastAsia="Times New Roman"/>
        </w:rPr>
        <w:t xml:space="preserve">– </w:t>
      </w:r>
      <w:r w:rsidRPr="00B944DE">
        <w:rPr>
          <w:rFonts w:eastAsia="Times New Roman"/>
        </w:rPr>
        <w:t xml:space="preserve">Schools </w:t>
      </w:r>
      <w:r>
        <w:rPr>
          <w:rFonts w:eastAsia="Times New Roman"/>
        </w:rPr>
        <w:t>l</w:t>
      </w:r>
      <w:r w:rsidRPr="00B944DE">
        <w:rPr>
          <w:rFonts w:eastAsia="Times New Roman"/>
        </w:rPr>
        <w:t xml:space="preserve">egal </w:t>
      </w:r>
      <w:r>
        <w:rPr>
          <w:rFonts w:eastAsia="Times New Roman"/>
        </w:rPr>
        <w:t>l</w:t>
      </w:r>
      <w:r w:rsidRPr="00B944DE">
        <w:rPr>
          <w:rFonts w:eastAsia="Times New Roman"/>
        </w:rPr>
        <w:t>iaison</w:t>
      </w:r>
      <w:r>
        <w:rPr>
          <w:b w:val="0"/>
          <w:noProof/>
          <w:color w:val="999789"/>
          <w:sz w:val="32"/>
          <w:szCs w:val="24"/>
        </w:rPr>
        <w:drawing>
          <wp:anchor distT="0" distB="0" distL="114300" distR="114300" simplePos="0" relativeHeight="251810816" behindDoc="0" locked="1" layoutInCell="1" allowOverlap="1" wp14:anchorId="3DC0699C" wp14:editId="19A05506">
            <wp:simplePos x="0" y="0"/>
            <wp:positionH relativeFrom="margin">
              <wp:align>right</wp:align>
            </wp:positionH>
            <wp:positionV relativeFrom="paragraph">
              <wp:posOffset>-133985</wp:posOffset>
            </wp:positionV>
            <wp:extent cx="1356995" cy="503555"/>
            <wp:effectExtent l="0" t="0" r="0" b="0"/>
            <wp:wrapSquare wrapText="bothSides"/>
            <wp:docPr id="125" name="Picture 125"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1448ED4C" w14:textId="77777777" w:rsidTr="00A60D4B">
        <w:trPr>
          <w:cantSplit/>
          <w:jc w:val="center"/>
        </w:trPr>
        <w:tc>
          <w:tcPr>
            <w:tcW w:w="3652" w:type="dxa"/>
            <w:tcBorders>
              <w:top w:val="single" w:sz="4" w:space="0" w:color="auto"/>
              <w:bottom w:val="single" w:sz="4" w:space="0" w:color="auto"/>
            </w:tcBorders>
          </w:tcPr>
          <w:p w14:paraId="550E75A0"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26C352F1" w14:textId="77777777" w:rsidR="00CF0E2D" w:rsidRPr="00AC1349" w:rsidRDefault="00CF0E2D" w:rsidP="00A60D4B">
            <w:pPr>
              <w:pStyle w:val="InitFigR"/>
              <w:rPr>
                <w:b/>
                <w:bCs/>
              </w:rPr>
            </w:pPr>
            <w:r w:rsidRPr="00AC1349">
              <w:rPr>
                <w:b/>
                <w:bCs/>
              </w:rPr>
              <w:t>2021-22</w:t>
            </w:r>
          </w:p>
          <w:p w14:paraId="2E51BCE5" w14:textId="77777777" w:rsidR="00CF0E2D" w:rsidRPr="00AC1349" w:rsidRDefault="00CF0E2D" w:rsidP="00A60D4B">
            <w:pPr>
              <w:pStyle w:val="InitFigR"/>
              <w:rPr>
                <w:b/>
                <w:bCs/>
              </w:rPr>
            </w:pPr>
            <w:r w:rsidRPr="00AC1349">
              <w:rPr>
                <w:b/>
                <w:bCs/>
              </w:rPr>
              <w:t>$’000</w:t>
            </w:r>
          </w:p>
        </w:tc>
        <w:tc>
          <w:tcPr>
            <w:tcW w:w="1041" w:type="dxa"/>
            <w:tcBorders>
              <w:top w:val="single" w:sz="4" w:space="0" w:color="auto"/>
              <w:bottom w:val="single" w:sz="4" w:space="0" w:color="auto"/>
            </w:tcBorders>
          </w:tcPr>
          <w:p w14:paraId="10C872C3" w14:textId="77777777" w:rsidR="00CF0E2D" w:rsidRPr="00AC1349" w:rsidRDefault="00CF0E2D" w:rsidP="00A60D4B">
            <w:pPr>
              <w:pStyle w:val="InitFigR"/>
              <w:rPr>
                <w:b/>
                <w:bCs/>
              </w:rPr>
            </w:pPr>
            <w:r w:rsidRPr="00AC1349">
              <w:rPr>
                <w:b/>
                <w:bCs/>
              </w:rPr>
              <w:t>2022-23</w:t>
            </w:r>
          </w:p>
          <w:p w14:paraId="74E766F2"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6C655663" w14:textId="77777777" w:rsidR="00CF0E2D" w:rsidRPr="00AC1349" w:rsidRDefault="00CF0E2D" w:rsidP="00A60D4B">
            <w:pPr>
              <w:pStyle w:val="InitFigR"/>
              <w:rPr>
                <w:b/>
                <w:bCs/>
              </w:rPr>
            </w:pPr>
            <w:r w:rsidRPr="00AC1349">
              <w:rPr>
                <w:b/>
                <w:bCs/>
              </w:rPr>
              <w:t>2023-24</w:t>
            </w:r>
          </w:p>
          <w:p w14:paraId="06AFF334"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2711C046" w14:textId="77777777" w:rsidR="00CF0E2D" w:rsidRPr="00AC1349" w:rsidRDefault="00CF0E2D" w:rsidP="00A60D4B">
            <w:pPr>
              <w:pStyle w:val="InitFigR"/>
              <w:rPr>
                <w:b/>
                <w:bCs/>
              </w:rPr>
            </w:pPr>
            <w:r w:rsidRPr="00AC1349">
              <w:rPr>
                <w:b/>
                <w:bCs/>
              </w:rPr>
              <w:t>2024-25</w:t>
            </w:r>
          </w:p>
          <w:p w14:paraId="6F0A019D"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6DECC91C" w14:textId="77777777" w:rsidR="00CF0E2D" w:rsidRPr="004E341E" w:rsidRDefault="00CF0E2D" w:rsidP="00A60D4B">
            <w:pPr>
              <w:pStyle w:val="InitFigRBold"/>
            </w:pPr>
            <w:r w:rsidRPr="004E341E">
              <w:t>Total</w:t>
            </w:r>
          </w:p>
          <w:p w14:paraId="2FEC38B9" w14:textId="77777777" w:rsidR="00CF0E2D" w:rsidRPr="004E341E" w:rsidRDefault="00CF0E2D" w:rsidP="00A60D4B">
            <w:pPr>
              <w:pStyle w:val="InitFigBR"/>
            </w:pPr>
            <w:r w:rsidRPr="004E341E">
              <w:t>$’000</w:t>
            </w:r>
          </w:p>
        </w:tc>
      </w:tr>
      <w:tr w:rsidR="00CF0E2D" w:rsidRPr="00750793" w14:paraId="424A6D29" w14:textId="77777777" w:rsidTr="00A60D4B">
        <w:trPr>
          <w:cantSplit/>
          <w:jc w:val="center"/>
        </w:trPr>
        <w:tc>
          <w:tcPr>
            <w:tcW w:w="3652" w:type="dxa"/>
            <w:tcBorders>
              <w:top w:val="single" w:sz="4" w:space="0" w:color="auto"/>
              <w:bottom w:val="single" w:sz="4" w:space="0" w:color="auto"/>
            </w:tcBorders>
          </w:tcPr>
          <w:p w14:paraId="4CC43927"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1ED15E05" w14:textId="77777777" w:rsidR="00CF0E2D" w:rsidRPr="00424DA4" w:rsidRDefault="00CF0E2D" w:rsidP="00A60D4B">
            <w:pPr>
              <w:pStyle w:val="InitFigR"/>
            </w:pPr>
            <w:r w:rsidRPr="00747880">
              <w:rPr>
                <w:rFonts w:cs="Calibri"/>
                <w:lang w:eastAsia="en-AU"/>
              </w:rPr>
              <w:t>96</w:t>
            </w:r>
          </w:p>
        </w:tc>
        <w:tc>
          <w:tcPr>
            <w:tcW w:w="1041" w:type="dxa"/>
            <w:tcBorders>
              <w:top w:val="single" w:sz="4" w:space="0" w:color="auto"/>
              <w:bottom w:val="single" w:sz="4" w:space="0" w:color="auto"/>
            </w:tcBorders>
          </w:tcPr>
          <w:p w14:paraId="611098EA" w14:textId="77777777" w:rsidR="00CF0E2D" w:rsidRPr="00424DA4" w:rsidRDefault="00CF0E2D" w:rsidP="00A60D4B">
            <w:pPr>
              <w:pStyle w:val="InitFigR"/>
            </w:pPr>
            <w:r w:rsidRPr="00747880">
              <w:rPr>
                <w:rFonts w:cs="Calibri"/>
                <w:lang w:eastAsia="en-AU"/>
              </w:rPr>
              <w:t>106</w:t>
            </w:r>
          </w:p>
        </w:tc>
        <w:tc>
          <w:tcPr>
            <w:tcW w:w="1029" w:type="dxa"/>
            <w:tcBorders>
              <w:top w:val="single" w:sz="4" w:space="0" w:color="auto"/>
              <w:bottom w:val="single" w:sz="4" w:space="0" w:color="auto"/>
            </w:tcBorders>
          </w:tcPr>
          <w:p w14:paraId="54C74490" w14:textId="77777777" w:rsidR="00CF0E2D" w:rsidRPr="00424DA4" w:rsidRDefault="00CF0E2D" w:rsidP="00A60D4B">
            <w:pPr>
              <w:pStyle w:val="InitFigR"/>
            </w:pPr>
            <w:r w:rsidRPr="00747880">
              <w:rPr>
                <w:rFonts w:cs="Calibri"/>
                <w:lang w:eastAsia="en-AU"/>
              </w:rPr>
              <w:t>116</w:t>
            </w:r>
          </w:p>
        </w:tc>
        <w:tc>
          <w:tcPr>
            <w:tcW w:w="1029" w:type="dxa"/>
            <w:tcBorders>
              <w:top w:val="single" w:sz="4" w:space="0" w:color="auto"/>
              <w:bottom w:val="single" w:sz="4" w:space="0" w:color="auto"/>
            </w:tcBorders>
          </w:tcPr>
          <w:p w14:paraId="7B9E364E" w14:textId="77777777" w:rsidR="00CF0E2D" w:rsidRPr="00424DA4" w:rsidRDefault="00CF0E2D" w:rsidP="00A60D4B">
            <w:pPr>
              <w:pStyle w:val="InitFigR"/>
            </w:pPr>
            <w:r w:rsidRPr="00747880">
              <w:rPr>
                <w:rFonts w:cs="Calibri"/>
                <w:lang w:eastAsia="en-AU"/>
              </w:rPr>
              <w:t>127</w:t>
            </w:r>
          </w:p>
        </w:tc>
        <w:tc>
          <w:tcPr>
            <w:tcW w:w="1029" w:type="dxa"/>
            <w:tcBorders>
              <w:top w:val="single" w:sz="4" w:space="0" w:color="auto"/>
              <w:bottom w:val="single" w:sz="4" w:space="0" w:color="auto"/>
            </w:tcBorders>
          </w:tcPr>
          <w:p w14:paraId="7F96410C" w14:textId="77777777" w:rsidR="00CF0E2D" w:rsidRPr="00424DA4" w:rsidRDefault="00CF0E2D" w:rsidP="00A60D4B">
            <w:pPr>
              <w:pStyle w:val="InitFigBR"/>
            </w:pPr>
            <w:r w:rsidRPr="00747880">
              <w:rPr>
                <w:rFonts w:cs="Calibri"/>
                <w:bCs/>
                <w:lang w:eastAsia="en-AU"/>
              </w:rPr>
              <w:t>445</w:t>
            </w:r>
          </w:p>
        </w:tc>
      </w:tr>
    </w:tbl>
    <w:p w14:paraId="3C4A84DA" w14:textId="77777777" w:rsidR="00CF0E2D" w:rsidRPr="00B944DE" w:rsidRDefault="00CF0E2D" w:rsidP="00A60D4B">
      <w:pPr>
        <w:pStyle w:val="Bbodytext"/>
        <w:rPr>
          <w:rFonts w:ascii="Calibri" w:eastAsia="Times New Roman" w:hAnsi="Calibri" w:cs="Times New Roman"/>
          <w:szCs w:val="20"/>
        </w:rPr>
      </w:pPr>
      <w:r w:rsidRPr="00B944DE">
        <w:t xml:space="preserve">The </w:t>
      </w:r>
      <w:r w:rsidRPr="00B944DE">
        <w:rPr>
          <w:rFonts w:ascii="Calibri" w:eastAsia="Times New Roman" w:hAnsi="Calibri" w:cs="Times New Roman"/>
          <w:szCs w:val="20"/>
        </w:rPr>
        <w:t>Government will continue the Schools Legal Liaison program to provide college students and their families with greater access to legal services and education on legal issues.</w:t>
      </w:r>
    </w:p>
    <w:p w14:paraId="11D77990" w14:textId="77777777" w:rsidR="00CF0E2D" w:rsidRDefault="00CF0E2D" w:rsidP="00A60D4B">
      <w:pPr>
        <w:pStyle w:val="Bbodytext"/>
        <w:rPr>
          <w:rFonts w:ascii="Calibri" w:eastAsia="Times New Roman" w:hAnsi="Calibri" w:cs="Times New Roman"/>
          <w:szCs w:val="20"/>
        </w:rPr>
      </w:pPr>
      <w:r w:rsidRPr="00B944DE">
        <w:t xml:space="preserve">This initiative contributes to the wellbeing domains of Education and </w:t>
      </w:r>
      <w:r w:rsidRPr="00B944DE">
        <w:rPr>
          <w:rFonts w:ascii="Calibri" w:eastAsia="Times New Roman" w:hAnsi="Calibri" w:cs="Times New Roman"/>
          <w:szCs w:val="20"/>
        </w:rPr>
        <w:t>life-long learning and Access and connectivity.</w:t>
      </w:r>
    </w:p>
    <w:p w14:paraId="125F3F0A" w14:textId="77777777" w:rsidR="00CF0E2D" w:rsidRPr="00B944DE" w:rsidRDefault="00CF0E2D" w:rsidP="00A60D4B">
      <w:pPr>
        <w:pStyle w:val="Bbodytext"/>
        <w:rPr>
          <w:rFonts w:ascii="Calibri" w:eastAsia="Times New Roman" w:hAnsi="Calibri" w:cs="Times New Roman"/>
          <w:szCs w:val="20"/>
        </w:rPr>
      </w:pPr>
    </w:p>
    <w:p w14:paraId="6B021F2C" w14:textId="77777777" w:rsidR="00CF0E2D" w:rsidRDefault="00CF0E2D" w:rsidP="00A60D4B">
      <w:r w:rsidRPr="00254257">
        <w:rPr>
          <w:b/>
          <w:bCs/>
          <w:sz w:val="28"/>
          <w:szCs w:val="28"/>
          <w:lang w:eastAsia="ja-JP"/>
        </w:rPr>
        <w:t>I</w:t>
      </w:r>
      <w:r w:rsidRPr="00C61DFF">
        <w:rPr>
          <w:rStyle w:val="Heading4Char"/>
        </w:rPr>
        <w:t xml:space="preserve">nvesting in public education – Set up for success – </w:t>
      </w:r>
      <w:r>
        <w:rPr>
          <w:rStyle w:val="Heading4Char"/>
        </w:rPr>
        <w:t>e</w:t>
      </w:r>
      <w:r w:rsidRPr="00C61DFF">
        <w:rPr>
          <w:rStyle w:val="Heading4Char"/>
        </w:rPr>
        <w:t xml:space="preserve">arly childhood program </w:t>
      </w:r>
      <w:r>
        <w:rPr>
          <w:b/>
          <w:noProof/>
          <w:color w:val="999789"/>
          <w:sz w:val="32"/>
          <w:szCs w:val="24"/>
        </w:rPr>
        <w:drawing>
          <wp:anchor distT="0" distB="0" distL="114300" distR="114300" simplePos="0" relativeHeight="251811840" behindDoc="0" locked="1" layoutInCell="1" allowOverlap="1" wp14:anchorId="36EA885E" wp14:editId="5E7E5909">
            <wp:simplePos x="0" y="0"/>
            <wp:positionH relativeFrom="margin">
              <wp:align>right</wp:align>
            </wp:positionH>
            <wp:positionV relativeFrom="paragraph">
              <wp:posOffset>72390</wp:posOffset>
            </wp:positionV>
            <wp:extent cx="1356995" cy="503555"/>
            <wp:effectExtent l="0" t="0" r="0" b="0"/>
            <wp:wrapSquare wrapText="bothSides"/>
            <wp:docPr id="126" name="Picture 126"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665D4C5F" w14:textId="77777777" w:rsidTr="00A60D4B">
        <w:trPr>
          <w:cantSplit/>
          <w:jc w:val="center"/>
        </w:trPr>
        <w:tc>
          <w:tcPr>
            <w:tcW w:w="3652" w:type="dxa"/>
            <w:tcBorders>
              <w:top w:val="single" w:sz="4" w:space="0" w:color="auto"/>
              <w:bottom w:val="single" w:sz="4" w:space="0" w:color="auto"/>
            </w:tcBorders>
          </w:tcPr>
          <w:p w14:paraId="4B72D232"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0EF6A1B5" w14:textId="77777777" w:rsidR="00CF0E2D" w:rsidRPr="00AC1349" w:rsidRDefault="00CF0E2D" w:rsidP="00A60D4B">
            <w:pPr>
              <w:pStyle w:val="InitFigR"/>
              <w:rPr>
                <w:b/>
                <w:bCs/>
              </w:rPr>
            </w:pPr>
            <w:r w:rsidRPr="00AC1349">
              <w:rPr>
                <w:b/>
                <w:bCs/>
              </w:rPr>
              <w:t>2021-22</w:t>
            </w:r>
          </w:p>
          <w:p w14:paraId="26A6528E" w14:textId="77777777" w:rsidR="00CF0E2D" w:rsidRPr="00AC1349" w:rsidRDefault="00CF0E2D" w:rsidP="00A60D4B">
            <w:pPr>
              <w:pStyle w:val="InitFigR"/>
              <w:rPr>
                <w:b/>
                <w:bCs/>
              </w:rPr>
            </w:pPr>
            <w:r w:rsidRPr="00AC1349">
              <w:rPr>
                <w:b/>
                <w:bCs/>
              </w:rPr>
              <w:t>$’000</w:t>
            </w:r>
          </w:p>
        </w:tc>
        <w:tc>
          <w:tcPr>
            <w:tcW w:w="1041" w:type="dxa"/>
            <w:tcBorders>
              <w:top w:val="single" w:sz="4" w:space="0" w:color="auto"/>
              <w:bottom w:val="single" w:sz="4" w:space="0" w:color="auto"/>
            </w:tcBorders>
          </w:tcPr>
          <w:p w14:paraId="55B9D518" w14:textId="77777777" w:rsidR="00CF0E2D" w:rsidRPr="00AC1349" w:rsidRDefault="00CF0E2D" w:rsidP="00A60D4B">
            <w:pPr>
              <w:pStyle w:val="InitFigR"/>
              <w:rPr>
                <w:b/>
                <w:bCs/>
              </w:rPr>
            </w:pPr>
            <w:r w:rsidRPr="00AC1349">
              <w:rPr>
                <w:b/>
                <w:bCs/>
              </w:rPr>
              <w:t>2022-23</w:t>
            </w:r>
          </w:p>
          <w:p w14:paraId="5530ECCF"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50F99B0A" w14:textId="77777777" w:rsidR="00CF0E2D" w:rsidRPr="00AC1349" w:rsidRDefault="00CF0E2D" w:rsidP="00A60D4B">
            <w:pPr>
              <w:pStyle w:val="InitFigR"/>
              <w:rPr>
                <w:b/>
                <w:bCs/>
              </w:rPr>
            </w:pPr>
            <w:r w:rsidRPr="00AC1349">
              <w:rPr>
                <w:b/>
                <w:bCs/>
              </w:rPr>
              <w:t>2023-24</w:t>
            </w:r>
          </w:p>
          <w:p w14:paraId="12BDA04F"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0FBBA9BB" w14:textId="77777777" w:rsidR="00CF0E2D" w:rsidRPr="00AC1349" w:rsidRDefault="00CF0E2D" w:rsidP="00A60D4B">
            <w:pPr>
              <w:pStyle w:val="InitFigR"/>
              <w:rPr>
                <w:b/>
                <w:bCs/>
              </w:rPr>
            </w:pPr>
            <w:r w:rsidRPr="00AC1349">
              <w:rPr>
                <w:b/>
                <w:bCs/>
              </w:rPr>
              <w:t>2024-25</w:t>
            </w:r>
          </w:p>
          <w:p w14:paraId="2D6B12CC"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7FBCE7DC" w14:textId="77777777" w:rsidR="00CF0E2D" w:rsidRPr="004E341E" w:rsidRDefault="00CF0E2D" w:rsidP="00A60D4B">
            <w:pPr>
              <w:pStyle w:val="InitFigRBold"/>
            </w:pPr>
            <w:r w:rsidRPr="004E341E">
              <w:t>Total</w:t>
            </w:r>
          </w:p>
          <w:p w14:paraId="0D17D544" w14:textId="77777777" w:rsidR="00CF0E2D" w:rsidRPr="004E341E" w:rsidRDefault="00CF0E2D" w:rsidP="00A60D4B">
            <w:pPr>
              <w:pStyle w:val="InitFigBR"/>
            </w:pPr>
            <w:r w:rsidRPr="004E341E">
              <w:t>$’000</w:t>
            </w:r>
          </w:p>
        </w:tc>
      </w:tr>
      <w:tr w:rsidR="00CF0E2D" w:rsidRPr="00750793" w14:paraId="22D0E4E0" w14:textId="77777777" w:rsidTr="00A60D4B">
        <w:trPr>
          <w:cantSplit/>
          <w:jc w:val="center"/>
        </w:trPr>
        <w:tc>
          <w:tcPr>
            <w:tcW w:w="3652" w:type="dxa"/>
            <w:tcBorders>
              <w:top w:val="single" w:sz="4" w:space="0" w:color="auto"/>
            </w:tcBorders>
          </w:tcPr>
          <w:p w14:paraId="2447BAF8" w14:textId="77777777" w:rsidR="00CF0E2D" w:rsidRDefault="00CF0E2D" w:rsidP="00A60D4B">
            <w:pPr>
              <w:pStyle w:val="InitTextL"/>
              <w:ind w:left="321" w:hanging="321"/>
            </w:pPr>
            <w:r>
              <w:t>Capital</w:t>
            </w:r>
          </w:p>
        </w:tc>
        <w:tc>
          <w:tcPr>
            <w:tcW w:w="1179" w:type="dxa"/>
            <w:tcBorders>
              <w:top w:val="single" w:sz="4" w:space="0" w:color="auto"/>
            </w:tcBorders>
          </w:tcPr>
          <w:p w14:paraId="6EDC897E" w14:textId="77777777" w:rsidR="00CF0E2D" w:rsidRDefault="00CF0E2D" w:rsidP="00A60D4B">
            <w:pPr>
              <w:pStyle w:val="InitFigR"/>
            </w:pPr>
            <w:r>
              <w:t>200</w:t>
            </w:r>
          </w:p>
        </w:tc>
        <w:tc>
          <w:tcPr>
            <w:tcW w:w="1041" w:type="dxa"/>
            <w:tcBorders>
              <w:top w:val="single" w:sz="4" w:space="0" w:color="auto"/>
            </w:tcBorders>
          </w:tcPr>
          <w:p w14:paraId="1D9398F7" w14:textId="77777777" w:rsidR="00CF0E2D" w:rsidRDefault="00CF0E2D" w:rsidP="00A60D4B">
            <w:pPr>
              <w:pStyle w:val="InitFigR"/>
            </w:pPr>
            <w:r>
              <w:t>400</w:t>
            </w:r>
          </w:p>
        </w:tc>
        <w:tc>
          <w:tcPr>
            <w:tcW w:w="1029" w:type="dxa"/>
            <w:tcBorders>
              <w:top w:val="single" w:sz="4" w:space="0" w:color="auto"/>
            </w:tcBorders>
          </w:tcPr>
          <w:p w14:paraId="42600EAD" w14:textId="77777777" w:rsidR="00CF0E2D" w:rsidRDefault="00CF0E2D" w:rsidP="00A60D4B">
            <w:pPr>
              <w:pStyle w:val="InitFigR"/>
            </w:pPr>
            <w:r>
              <w:t>0</w:t>
            </w:r>
          </w:p>
        </w:tc>
        <w:tc>
          <w:tcPr>
            <w:tcW w:w="1029" w:type="dxa"/>
            <w:tcBorders>
              <w:top w:val="single" w:sz="4" w:space="0" w:color="auto"/>
            </w:tcBorders>
          </w:tcPr>
          <w:p w14:paraId="7A1FDF9B" w14:textId="77777777" w:rsidR="00CF0E2D" w:rsidRDefault="00CF0E2D" w:rsidP="00A60D4B">
            <w:pPr>
              <w:pStyle w:val="InitFigR"/>
            </w:pPr>
            <w:r>
              <w:t>0</w:t>
            </w:r>
          </w:p>
        </w:tc>
        <w:tc>
          <w:tcPr>
            <w:tcW w:w="1029" w:type="dxa"/>
            <w:tcBorders>
              <w:top w:val="single" w:sz="4" w:space="0" w:color="auto"/>
            </w:tcBorders>
          </w:tcPr>
          <w:p w14:paraId="33D23891" w14:textId="77777777" w:rsidR="00CF0E2D" w:rsidRPr="00E57E5C" w:rsidRDefault="00CF0E2D" w:rsidP="00A60D4B">
            <w:pPr>
              <w:pStyle w:val="InitFigRBold"/>
              <w:rPr>
                <w:bCs/>
              </w:rPr>
            </w:pPr>
            <w:r w:rsidRPr="00E57E5C">
              <w:rPr>
                <w:bCs/>
              </w:rPr>
              <w:t>600</w:t>
            </w:r>
          </w:p>
        </w:tc>
      </w:tr>
      <w:tr w:rsidR="00CF0E2D" w:rsidRPr="00750793" w14:paraId="2BD16A27" w14:textId="77777777" w:rsidTr="00A60D4B">
        <w:trPr>
          <w:cantSplit/>
          <w:jc w:val="center"/>
        </w:trPr>
        <w:tc>
          <w:tcPr>
            <w:tcW w:w="3652" w:type="dxa"/>
            <w:tcBorders>
              <w:top w:val="single" w:sz="4" w:space="0" w:color="auto"/>
            </w:tcBorders>
          </w:tcPr>
          <w:p w14:paraId="42E922D1" w14:textId="77777777" w:rsidR="00CF0E2D" w:rsidRPr="00D13A71" w:rsidRDefault="00CF0E2D" w:rsidP="00A60D4B">
            <w:pPr>
              <w:pStyle w:val="InitTextL"/>
              <w:ind w:left="321" w:hanging="321"/>
              <w:rPr>
                <w:b/>
                <w:bCs/>
              </w:rPr>
            </w:pPr>
            <w:r>
              <w:t>Depreciation</w:t>
            </w:r>
          </w:p>
        </w:tc>
        <w:tc>
          <w:tcPr>
            <w:tcW w:w="1179" w:type="dxa"/>
            <w:tcBorders>
              <w:top w:val="single" w:sz="4" w:space="0" w:color="auto"/>
            </w:tcBorders>
          </w:tcPr>
          <w:p w14:paraId="04E983AC" w14:textId="77777777" w:rsidR="00CF0E2D" w:rsidRDefault="00CF0E2D" w:rsidP="00A60D4B">
            <w:pPr>
              <w:pStyle w:val="InitFigR"/>
            </w:pPr>
            <w:r>
              <w:t>0</w:t>
            </w:r>
          </w:p>
        </w:tc>
        <w:tc>
          <w:tcPr>
            <w:tcW w:w="1041" w:type="dxa"/>
            <w:tcBorders>
              <w:top w:val="single" w:sz="4" w:space="0" w:color="auto"/>
            </w:tcBorders>
          </w:tcPr>
          <w:p w14:paraId="0D6D0580" w14:textId="77777777" w:rsidR="00CF0E2D" w:rsidRDefault="00CF0E2D" w:rsidP="00A60D4B">
            <w:pPr>
              <w:pStyle w:val="InitFigR"/>
            </w:pPr>
            <w:r>
              <w:t>0</w:t>
            </w:r>
          </w:p>
        </w:tc>
        <w:tc>
          <w:tcPr>
            <w:tcW w:w="1029" w:type="dxa"/>
            <w:tcBorders>
              <w:top w:val="single" w:sz="4" w:space="0" w:color="auto"/>
            </w:tcBorders>
          </w:tcPr>
          <w:p w14:paraId="2A78B2D4" w14:textId="77777777" w:rsidR="00CF0E2D" w:rsidRDefault="00CF0E2D" w:rsidP="00A60D4B">
            <w:pPr>
              <w:pStyle w:val="InitFigR"/>
            </w:pPr>
            <w:r>
              <w:t>60</w:t>
            </w:r>
          </w:p>
        </w:tc>
        <w:tc>
          <w:tcPr>
            <w:tcW w:w="1029" w:type="dxa"/>
            <w:tcBorders>
              <w:top w:val="single" w:sz="4" w:space="0" w:color="auto"/>
            </w:tcBorders>
          </w:tcPr>
          <w:p w14:paraId="737132BF" w14:textId="77777777" w:rsidR="00CF0E2D" w:rsidRDefault="00CF0E2D" w:rsidP="00A60D4B">
            <w:pPr>
              <w:pStyle w:val="InitFigR"/>
            </w:pPr>
            <w:r>
              <w:t>60</w:t>
            </w:r>
          </w:p>
        </w:tc>
        <w:tc>
          <w:tcPr>
            <w:tcW w:w="1029" w:type="dxa"/>
            <w:tcBorders>
              <w:top w:val="single" w:sz="4" w:space="0" w:color="auto"/>
            </w:tcBorders>
          </w:tcPr>
          <w:p w14:paraId="58B4D161" w14:textId="77777777" w:rsidR="00CF0E2D" w:rsidRPr="00E57E5C" w:rsidRDefault="00CF0E2D" w:rsidP="00A60D4B">
            <w:pPr>
              <w:pStyle w:val="InitFigRBold"/>
              <w:rPr>
                <w:bCs/>
              </w:rPr>
            </w:pPr>
            <w:r w:rsidRPr="00E57E5C">
              <w:rPr>
                <w:bCs/>
              </w:rPr>
              <w:t>120</w:t>
            </w:r>
          </w:p>
        </w:tc>
      </w:tr>
      <w:tr w:rsidR="00CF0E2D" w:rsidRPr="00750793" w14:paraId="5120FC49" w14:textId="77777777" w:rsidTr="00A60D4B">
        <w:trPr>
          <w:cantSplit/>
          <w:jc w:val="center"/>
        </w:trPr>
        <w:tc>
          <w:tcPr>
            <w:tcW w:w="3652" w:type="dxa"/>
          </w:tcPr>
          <w:p w14:paraId="1BE233EF" w14:textId="77777777" w:rsidR="00CF0E2D" w:rsidRPr="00F13FAB" w:rsidRDefault="00CF0E2D" w:rsidP="00A60D4B">
            <w:pPr>
              <w:pStyle w:val="InitTextL"/>
              <w:ind w:left="321" w:hanging="321"/>
            </w:pPr>
            <w:r w:rsidRPr="00882BE2">
              <w:t>Expenses</w:t>
            </w:r>
          </w:p>
        </w:tc>
        <w:tc>
          <w:tcPr>
            <w:tcW w:w="1179" w:type="dxa"/>
          </w:tcPr>
          <w:p w14:paraId="4FEF2287" w14:textId="77777777" w:rsidR="00CF0E2D" w:rsidRPr="00424DA4" w:rsidRDefault="00CF0E2D" w:rsidP="00A60D4B">
            <w:pPr>
              <w:pStyle w:val="InitFigR"/>
            </w:pPr>
            <w:r>
              <w:t>2,578</w:t>
            </w:r>
          </w:p>
        </w:tc>
        <w:tc>
          <w:tcPr>
            <w:tcW w:w="1041" w:type="dxa"/>
          </w:tcPr>
          <w:p w14:paraId="240C728E" w14:textId="77777777" w:rsidR="00CF0E2D" w:rsidRPr="00424DA4" w:rsidRDefault="00CF0E2D" w:rsidP="00A60D4B">
            <w:pPr>
              <w:pStyle w:val="InitFigR"/>
            </w:pPr>
            <w:r>
              <w:t>3,152</w:t>
            </w:r>
          </w:p>
        </w:tc>
        <w:tc>
          <w:tcPr>
            <w:tcW w:w="1029" w:type="dxa"/>
          </w:tcPr>
          <w:p w14:paraId="0C937F71" w14:textId="77777777" w:rsidR="00CF0E2D" w:rsidRPr="00424DA4" w:rsidRDefault="00CF0E2D" w:rsidP="00A60D4B">
            <w:pPr>
              <w:pStyle w:val="InitFigR"/>
            </w:pPr>
            <w:r>
              <w:t>3,076</w:t>
            </w:r>
          </w:p>
        </w:tc>
        <w:tc>
          <w:tcPr>
            <w:tcW w:w="1029" w:type="dxa"/>
          </w:tcPr>
          <w:p w14:paraId="118CBAF7" w14:textId="77777777" w:rsidR="00CF0E2D" w:rsidRPr="00424DA4" w:rsidRDefault="00CF0E2D" w:rsidP="00A60D4B">
            <w:pPr>
              <w:pStyle w:val="InitFigR"/>
            </w:pPr>
            <w:r>
              <w:t>3,067</w:t>
            </w:r>
          </w:p>
        </w:tc>
        <w:tc>
          <w:tcPr>
            <w:tcW w:w="1029" w:type="dxa"/>
          </w:tcPr>
          <w:p w14:paraId="5EED4FF3" w14:textId="77777777" w:rsidR="00CF0E2D" w:rsidRPr="00424DA4" w:rsidRDefault="00CF0E2D" w:rsidP="00A60D4B">
            <w:pPr>
              <w:pStyle w:val="InitFigBR"/>
            </w:pPr>
            <w:r>
              <w:t>11,873</w:t>
            </w:r>
          </w:p>
        </w:tc>
      </w:tr>
      <w:tr w:rsidR="00CF0E2D" w:rsidRPr="00750793" w14:paraId="5361FF4C" w14:textId="77777777" w:rsidTr="00A60D4B">
        <w:trPr>
          <w:cantSplit/>
          <w:jc w:val="center"/>
        </w:trPr>
        <w:tc>
          <w:tcPr>
            <w:tcW w:w="3652" w:type="dxa"/>
          </w:tcPr>
          <w:p w14:paraId="797B62A5" w14:textId="77777777" w:rsidR="00CF0E2D" w:rsidRDefault="00CF0E2D" w:rsidP="00A60D4B">
            <w:pPr>
              <w:pStyle w:val="InitTextL"/>
              <w:ind w:left="321" w:hanging="321"/>
            </w:pPr>
            <w:r>
              <w:t>Offset – Savings</w:t>
            </w:r>
          </w:p>
        </w:tc>
        <w:tc>
          <w:tcPr>
            <w:tcW w:w="1179" w:type="dxa"/>
          </w:tcPr>
          <w:p w14:paraId="0D8443E3" w14:textId="77777777" w:rsidR="00CF0E2D" w:rsidRPr="00424DA4" w:rsidRDefault="00CF0E2D" w:rsidP="00A60D4B">
            <w:pPr>
              <w:pStyle w:val="InitFigR"/>
            </w:pPr>
            <w:r>
              <w:t>-1,687</w:t>
            </w:r>
          </w:p>
        </w:tc>
        <w:tc>
          <w:tcPr>
            <w:tcW w:w="1041" w:type="dxa"/>
          </w:tcPr>
          <w:p w14:paraId="262D1D54" w14:textId="77777777" w:rsidR="00CF0E2D" w:rsidRPr="00424DA4" w:rsidRDefault="00CF0E2D" w:rsidP="00A60D4B">
            <w:pPr>
              <w:pStyle w:val="InitFigR"/>
            </w:pPr>
            <w:r>
              <w:t>-1,738</w:t>
            </w:r>
          </w:p>
        </w:tc>
        <w:tc>
          <w:tcPr>
            <w:tcW w:w="1029" w:type="dxa"/>
          </w:tcPr>
          <w:p w14:paraId="2BCAEC65" w14:textId="77777777" w:rsidR="00CF0E2D" w:rsidRPr="00424DA4" w:rsidRDefault="00CF0E2D" w:rsidP="00A60D4B">
            <w:pPr>
              <w:pStyle w:val="InitFigR"/>
            </w:pPr>
            <w:r>
              <w:t>-1,790</w:t>
            </w:r>
          </w:p>
        </w:tc>
        <w:tc>
          <w:tcPr>
            <w:tcW w:w="1029" w:type="dxa"/>
          </w:tcPr>
          <w:p w14:paraId="22DBA01B" w14:textId="77777777" w:rsidR="00CF0E2D" w:rsidRPr="00424DA4" w:rsidRDefault="00CF0E2D" w:rsidP="00A60D4B">
            <w:pPr>
              <w:pStyle w:val="InitFigR"/>
            </w:pPr>
            <w:r>
              <w:t>-1,844</w:t>
            </w:r>
          </w:p>
        </w:tc>
        <w:tc>
          <w:tcPr>
            <w:tcW w:w="1029" w:type="dxa"/>
          </w:tcPr>
          <w:p w14:paraId="5E99F53D" w14:textId="77777777" w:rsidR="00CF0E2D" w:rsidRPr="00424DA4" w:rsidRDefault="00CF0E2D" w:rsidP="00A60D4B">
            <w:pPr>
              <w:pStyle w:val="InitFigBR"/>
            </w:pPr>
            <w:r>
              <w:t>-7,059</w:t>
            </w:r>
          </w:p>
        </w:tc>
      </w:tr>
      <w:tr w:rsidR="00CF0E2D" w:rsidRPr="00750793" w14:paraId="218AA378" w14:textId="77777777" w:rsidTr="00A60D4B">
        <w:trPr>
          <w:cantSplit/>
          <w:trHeight w:val="107"/>
          <w:jc w:val="center"/>
        </w:trPr>
        <w:tc>
          <w:tcPr>
            <w:tcW w:w="3652" w:type="dxa"/>
            <w:tcBorders>
              <w:top w:val="single" w:sz="4" w:space="0" w:color="auto"/>
              <w:bottom w:val="single" w:sz="4" w:space="0" w:color="auto"/>
            </w:tcBorders>
          </w:tcPr>
          <w:p w14:paraId="718BF427"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21226B70" w14:textId="77777777" w:rsidR="00CF0E2D" w:rsidRPr="00424DA4" w:rsidRDefault="00CF0E2D" w:rsidP="00A60D4B">
            <w:pPr>
              <w:pStyle w:val="InitFigRBold"/>
            </w:pPr>
            <w:r>
              <w:t>891</w:t>
            </w:r>
          </w:p>
        </w:tc>
        <w:tc>
          <w:tcPr>
            <w:tcW w:w="1041" w:type="dxa"/>
            <w:tcBorders>
              <w:top w:val="single" w:sz="4" w:space="0" w:color="auto"/>
              <w:bottom w:val="single" w:sz="4" w:space="0" w:color="auto"/>
            </w:tcBorders>
          </w:tcPr>
          <w:p w14:paraId="4080777D" w14:textId="77777777" w:rsidR="00CF0E2D" w:rsidRPr="00424DA4" w:rsidRDefault="00CF0E2D" w:rsidP="00A60D4B">
            <w:pPr>
              <w:pStyle w:val="InitFigRBold"/>
            </w:pPr>
            <w:r>
              <w:t>1,414</w:t>
            </w:r>
          </w:p>
        </w:tc>
        <w:tc>
          <w:tcPr>
            <w:tcW w:w="1029" w:type="dxa"/>
            <w:tcBorders>
              <w:top w:val="single" w:sz="4" w:space="0" w:color="auto"/>
              <w:bottom w:val="single" w:sz="4" w:space="0" w:color="auto"/>
            </w:tcBorders>
          </w:tcPr>
          <w:p w14:paraId="1B74BB0C" w14:textId="77777777" w:rsidR="00CF0E2D" w:rsidRPr="00424DA4" w:rsidRDefault="00CF0E2D" w:rsidP="00A60D4B">
            <w:pPr>
              <w:pStyle w:val="InitFigRBold"/>
            </w:pPr>
            <w:r>
              <w:t>1,346</w:t>
            </w:r>
          </w:p>
        </w:tc>
        <w:tc>
          <w:tcPr>
            <w:tcW w:w="1029" w:type="dxa"/>
            <w:tcBorders>
              <w:top w:val="single" w:sz="4" w:space="0" w:color="auto"/>
              <w:bottom w:val="single" w:sz="4" w:space="0" w:color="auto"/>
            </w:tcBorders>
          </w:tcPr>
          <w:p w14:paraId="68387D85" w14:textId="77777777" w:rsidR="00CF0E2D" w:rsidRPr="00424DA4" w:rsidRDefault="00CF0E2D" w:rsidP="00A60D4B">
            <w:pPr>
              <w:pStyle w:val="InitFigRBold"/>
            </w:pPr>
            <w:r>
              <w:t>1,283</w:t>
            </w:r>
          </w:p>
        </w:tc>
        <w:tc>
          <w:tcPr>
            <w:tcW w:w="1029" w:type="dxa"/>
            <w:tcBorders>
              <w:top w:val="single" w:sz="4" w:space="0" w:color="auto"/>
              <w:bottom w:val="single" w:sz="4" w:space="0" w:color="auto"/>
            </w:tcBorders>
          </w:tcPr>
          <w:p w14:paraId="5A344011" w14:textId="77777777" w:rsidR="00CF0E2D" w:rsidRPr="00424DA4" w:rsidRDefault="00CF0E2D" w:rsidP="00A60D4B">
            <w:pPr>
              <w:pStyle w:val="InitFigRBold"/>
            </w:pPr>
            <w:r>
              <w:t>4,934</w:t>
            </w:r>
          </w:p>
        </w:tc>
      </w:tr>
    </w:tbl>
    <w:p w14:paraId="5EADFD85" w14:textId="77777777" w:rsidR="00CF0E2D" w:rsidRPr="00055012" w:rsidRDefault="00CF0E2D" w:rsidP="00A60D4B">
      <w:pPr>
        <w:pStyle w:val="Bbodytext"/>
        <w:rPr>
          <w:rFonts w:ascii="Calibri" w:eastAsia="Times New Roman" w:hAnsi="Calibri" w:cs="Times New Roman"/>
          <w:szCs w:val="20"/>
        </w:rPr>
      </w:pPr>
      <w:r w:rsidRPr="00055012">
        <w:t>The Government will provide free education to 500 priority three-year-olds for two days per</w:t>
      </w:r>
      <w:r>
        <w:t> </w:t>
      </w:r>
      <w:r w:rsidRPr="00055012">
        <w:t>week</w:t>
      </w:r>
      <w:r>
        <w:t xml:space="preserve"> for</w:t>
      </w:r>
      <w:r w:rsidRPr="00055012">
        <w:t xml:space="preserve"> 48 weeks per year</w:t>
      </w:r>
      <w:r>
        <w:t>.</w:t>
      </w:r>
      <w:r w:rsidRPr="00055012">
        <w:t xml:space="preserve"> The Government will also provide increased p</w:t>
      </w:r>
      <w:r w:rsidRPr="00055012">
        <w:rPr>
          <w:rFonts w:ascii="Calibri" w:eastAsia="Times New Roman" w:hAnsi="Calibri" w:cs="Times New Roman"/>
          <w:szCs w:val="20"/>
        </w:rPr>
        <w:t xml:space="preserve">ayments to the early childhood education and care service operators providing education to priority three-year-olds. </w:t>
      </w:r>
    </w:p>
    <w:p w14:paraId="53E3C9BB" w14:textId="77777777" w:rsidR="00CF0E2D" w:rsidRPr="00055012" w:rsidRDefault="00CF0E2D" w:rsidP="00A60D4B">
      <w:pPr>
        <w:pStyle w:val="Bbodytext"/>
        <w:rPr>
          <w:rFonts w:ascii="Calibri" w:eastAsia="Times New Roman" w:hAnsi="Calibri" w:cs="Times New Roman"/>
          <w:szCs w:val="20"/>
        </w:rPr>
      </w:pPr>
      <w:r w:rsidRPr="00055012">
        <w:t xml:space="preserve">This will complete the first phase of the Set up for Success: An Early Childhood Strategy for the ACT that commenced in early 2020. </w:t>
      </w:r>
    </w:p>
    <w:p w14:paraId="64BEF2C8" w14:textId="77777777" w:rsidR="00CF0E2D" w:rsidRPr="00055012" w:rsidRDefault="00CF0E2D" w:rsidP="00A60D4B">
      <w:pPr>
        <w:pStyle w:val="Bbodytext"/>
        <w:rPr>
          <w:rFonts w:ascii="Calibri" w:eastAsia="Times New Roman" w:hAnsi="Calibri" w:cs="Times New Roman"/>
          <w:szCs w:val="20"/>
        </w:rPr>
      </w:pPr>
      <w:r w:rsidRPr="00055012">
        <w:t>The i</w:t>
      </w:r>
      <w:r w:rsidRPr="00055012">
        <w:rPr>
          <w:rFonts w:ascii="Calibri" w:eastAsia="Times New Roman" w:hAnsi="Calibri" w:cs="Times New Roman"/>
          <w:szCs w:val="20"/>
        </w:rPr>
        <w:t>ncreased payments will be funded through the reinvestment of funds associated with the National Schools Reform Agreement.</w:t>
      </w:r>
    </w:p>
    <w:p w14:paraId="0C74D96C" w14:textId="77777777" w:rsidR="00CF0E2D" w:rsidRDefault="00CF0E2D" w:rsidP="00A60D4B">
      <w:pPr>
        <w:pStyle w:val="Bbodytext"/>
      </w:pPr>
      <w:r w:rsidRPr="00055012">
        <w:t xml:space="preserve">This initiative contributes to the wellbeing domain of Education and life-long learning. </w:t>
      </w:r>
    </w:p>
    <w:p w14:paraId="79C5B3E3" w14:textId="77777777" w:rsidR="00CF0E2D" w:rsidRDefault="00CF0E2D">
      <w:pPr>
        <w:rPr>
          <w:rFonts w:ascii="Calibri" w:eastAsia="Times New Roman" w:hAnsi="Calibri" w:cs="Times New Roman"/>
          <w:sz w:val="24"/>
          <w:szCs w:val="20"/>
        </w:rPr>
      </w:pPr>
      <w:r>
        <w:rPr>
          <w:rFonts w:ascii="Calibri" w:eastAsia="Times New Roman" w:hAnsi="Calibri" w:cs="Times New Roman"/>
          <w:szCs w:val="20"/>
        </w:rPr>
        <w:br w:type="page"/>
      </w:r>
    </w:p>
    <w:p w14:paraId="3092F963" w14:textId="77777777" w:rsidR="00CF0E2D" w:rsidRPr="001E4E72" w:rsidRDefault="00CF0E2D" w:rsidP="00A60D4B">
      <w:pPr>
        <w:pStyle w:val="Heading4"/>
        <w:rPr>
          <w:lang w:eastAsia="ja-JP"/>
        </w:rPr>
      </w:pPr>
      <w:r w:rsidRPr="001E4E72">
        <w:rPr>
          <w:lang w:eastAsia="ja-JP"/>
        </w:rPr>
        <w:lastRenderedPageBreak/>
        <w:t xml:space="preserve">New and expanded schools – Expansion of Margaret Hendry Primary School and new Taylor </w:t>
      </w:r>
      <w:r>
        <w:rPr>
          <w:lang w:eastAsia="ja-JP"/>
        </w:rPr>
        <w:t>h</w:t>
      </w:r>
      <w:r w:rsidRPr="001E4E72">
        <w:rPr>
          <w:lang w:eastAsia="ja-JP"/>
        </w:rPr>
        <w:t xml:space="preserve">igh </w:t>
      </w:r>
      <w:r>
        <w:rPr>
          <w:lang w:eastAsia="ja-JP"/>
        </w:rPr>
        <w:t>s</w:t>
      </w:r>
      <w:r w:rsidRPr="001E4E72">
        <w:rPr>
          <w:lang w:eastAsia="ja-JP"/>
        </w:rPr>
        <w:t>chool</w:t>
      </w:r>
      <w:r>
        <w:rPr>
          <w:b w:val="0"/>
          <w:noProof/>
          <w:color w:val="999789"/>
          <w:sz w:val="32"/>
          <w:szCs w:val="24"/>
        </w:rPr>
        <w:drawing>
          <wp:anchor distT="0" distB="0" distL="114300" distR="114300" simplePos="0" relativeHeight="251812864" behindDoc="0" locked="1" layoutInCell="1" allowOverlap="1" wp14:anchorId="302A94C6" wp14:editId="6C9A35FC">
            <wp:simplePos x="0" y="0"/>
            <wp:positionH relativeFrom="margin">
              <wp:align>right</wp:align>
            </wp:positionH>
            <wp:positionV relativeFrom="paragraph">
              <wp:posOffset>10795</wp:posOffset>
            </wp:positionV>
            <wp:extent cx="1356995" cy="503555"/>
            <wp:effectExtent l="0" t="0" r="0" b="0"/>
            <wp:wrapSquare wrapText="bothSides"/>
            <wp:docPr id="127" name="Picture 127"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tbl>
      <w:tblPr>
        <w:tblW w:w="9072" w:type="dxa"/>
        <w:jc w:val="center"/>
        <w:tblLayout w:type="fixed"/>
        <w:tblLook w:val="0000" w:firstRow="0" w:lastRow="0" w:firstColumn="0" w:lastColumn="0" w:noHBand="0" w:noVBand="0"/>
      </w:tblPr>
      <w:tblGrid>
        <w:gridCol w:w="3652"/>
        <w:gridCol w:w="1179"/>
        <w:gridCol w:w="1041"/>
        <w:gridCol w:w="1029"/>
        <w:gridCol w:w="1029"/>
        <w:gridCol w:w="1142"/>
      </w:tblGrid>
      <w:tr w:rsidR="00CF0E2D" w:rsidRPr="00750793" w14:paraId="002B0EA1" w14:textId="77777777" w:rsidTr="00A60D4B">
        <w:trPr>
          <w:cantSplit/>
          <w:jc w:val="center"/>
        </w:trPr>
        <w:tc>
          <w:tcPr>
            <w:tcW w:w="3652" w:type="dxa"/>
            <w:tcBorders>
              <w:top w:val="single" w:sz="4" w:space="0" w:color="auto"/>
              <w:bottom w:val="single" w:sz="4" w:space="0" w:color="auto"/>
            </w:tcBorders>
          </w:tcPr>
          <w:p w14:paraId="1176106D"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7960E7AE" w14:textId="77777777" w:rsidR="00CF0E2D" w:rsidRPr="00AC1349" w:rsidRDefault="00CF0E2D" w:rsidP="00A60D4B">
            <w:pPr>
              <w:pStyle w:val="InitFigR"/>
              <w:rPr>
                <w:b/>
                <w:bCs/>
              </w:rPr>
            </w:pPr>
            <w:r w:rsidRPr="00AC1349">
              <w:rPr>
                <w:b/>
                <w:bCs/>
              </w:rPr>
              <w:t>2021-22</w:t>
            </w:r>
          </w:p>
          <w:p w14:paraId="15A5065C" w14:textId="77777777" w:rsidR="00CF0E2D" w:rsidRPr="00AC1349" w:rsidRDefault="00CF0E2D" w:rsidP="00A60D4B">
            <w:pPr>
              <w:pStyle w:val="InitFigR"/>
              <w:rPr>
                <w:b/>
                <w:bCs/>
              </w:rPr>
            </w:pPr>
            <w:r w:rsidRPr="00AC1349">
              <w:rPr>
                <w:b/>
                <w:bCs/>
              </w:rPr>
              <w:t>$’000</w:t>
            </w:r>
          </w:p>
        </w:tc>
        <w:tc>
          <w:tcPr>
            <w:tcW w:w="1041" w:type="dxa"/>
            <w:tcBorders>
              <w:top w:val="single" w:sz="4" w:space="0" w:color="auto"/>
              <w:bottom w:val="single" w:sz="4" w:space="0" w:color="auto"/>
            </w:tcBorders>
          </w:tcPr>
          <w:p w14:paraId="76F1AC8B" w14:textId="77777777" w:rsidR="00CF0E2D" w:rsidRPr="00AC1349" w:rsidRDefault="00CF0E2D" w:rsidP="00A60D4B">
            <w:pPr>
              <w:pStyle w:val="InitFigR"/>
              <w:rPr>
                <w:b/>
                <w:bCs/>
              </w:rPr>
            </w:pPr>
            <w:r w:rsidRPr="00AC1349">
              <w:rPr>
                <w:b/>
                <w:bCs/>
              </w:rPr>
              <w:t>2022-23</w:t>
            </w:r>
          </w:p>
          <w:p w14:paraId="30754862"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1E66A30F" w14:textId="77777777" w:rsidR="00CF0E2D" w:rsidRPr="00AC1349" w:rsidRDefault="00CF0E2D" w:rsidP="00A60D4B">
            <w:pPr>
              <w:pStyle w:val="InitFigR"/>
              <w:rPr>
                <w:b/>
                <w:bCs/>
              </w:rPr>
            </w:pPr>
            <w:r w:rsidRPr="00AC1349">
              <w:rPr>
                <w:b/>
                <w:bCs/>
              </w:rPr>
              <w:t>2023-24</w:t>
            </w:r>
          </w:p>
          <w:p w14:paraId="628A268D"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68F5E096" w14:textId="77777777" w:rsidR="00CF0E2D" w:rsidRPr="00AC1349" w:rsidRDefault="00CF0E2D" w:rsidP="00A60D4B">
            <w:pPr>
              <w:pStyle w:val="InitFigR"/>
              <w:rPr>
                <w:b/>
                <w:bCs/>
              </w:rPr>
            </w:pPr>
            <w:r w:rsidRPr="00AC1349">
              <w:rPr>
                <w:b/>
                <w:bCs/>
              </w:rPr>
              <w:t>2024-25</w:t>
            </w:r>
          </w:p>
          <w:p w14:paraId="3BB5D3E0" w14:textId="77777777" w:rsidR="00CF0E2D" w:rsidRPr="00AC1349" w:rsidRDefault="00CF0E2D" w:rsidP="00A60D4B">
            <w:pPr>
              <w:pStyle w:val="InitFigR"/>
              <w:rPr>
                <w:b/>
                <w:bCs/>
              </w:rPr>
            </w:pPr>
            <w:r w:rsidRPr="00AC1349">
              <w:rPr>
                <w:b/>
                <w:bCs/>
              </w:rPr>
              <w:t>$’000</w:t>
            </w:r>
          </w:p>
        </w:tc>
        <w:tc>
          <w:tcPr>
            <w:tcW w:w="1142" w:type="dxa"/>
            <w:tcBorders>
              <w:top w:val="single" w:sz="4" w:space="0" w:color="auto"/>
              <w:bottom w:val="single" w:sz="4" w:space="0" w:color="auto"/>
            </w:tcBorders>
          </w:tcPr>
          <w:p w14:paraId="498E1C1B" w14:textId="77777777" w:rsidR="00CF0E2D" w:rsidRPr="004E341E" w:rsidRDefault="00CF0E2D" w:rsidP="00A60D4B">
            <w:pPr>
              <w:pStyle w:val="InitFigRBold"/>
            </w:pPr>
            <w:r w:rsidRPr="004E341E">
              <w:t>Total</w:t>
            </w:r>
          </w:p>
          <w:p w14:paraId="6BD90894" w14:textId="77777777" w:rsidR="00CF0E2D" w:rsidRPr="004E341E" w:rsidRDefault="00CF0E2D" w:rsidP="00A60D4B">
            <w:pPr>
              <w:pStyle w:val="InitFigBR"/>
            </w:pPr>
            <w:r w:rsidRPr="004E341E">
              <w:t>$’000</w:t>
            </w:r>
          </w:p>
        </w:tc>
      </w:tr>
      <w:tr w:rsidR="00CF0E2D" w:rsidRPr="00750793" w14:paraId="74217591" w14:textId="77777777" w:rsidTr="00A60D4B">
        <w:trPr>
          <w:cantSplit/>
          <w:jc w:val="center"/>
        </w:trPr>
        <w:tc>
          <w:tcPr>
            <w:tcW w:w="3652" w:type="dxa"/>
            <w:tcBorders>
              <w:top w:val="single" w:sz="4" w:space="0" w:color="auto"/>
            </w:tcBorders>
          </w:tcPr>
          <w:p w14:paraId="0EDCE985" w14:textId="77777777" w:rsidR="00CF0E2D" w:rsidRDefault="00CF0E2D" w:rsidP="00A60D4B">
            <w:pPr>
              <w:pStyle w:val="InitTextL"/>
              <w:ind w:left="321" w:hanging="321"/>
            </w:pPr>
            <w:r>
              <w:t>Capital</w:t>
            </w:r>
          </w:p>
        </w:tc>
        <w:tc>
          <w:tcPr>
            <w:tcW w:w="1179" w:type="dxa"/>
            <w:tcBorders>
              <w:top w:val="single" w:sz="4" w:space="0" w:color="auto"/>
            </w:tcBorders>
          </w:tcPr>
          <w:p w14:paraId="4BF73B2E" w14:textId="77777777" w:rsidR="00CF0E2D" w:rsidRDefault="00CF0E2D" w:rsidP="00A60D4B">
            <w:pPr>
              <w:pStyle w:val="InitFigR"/>
            </w:pPr>
            <w:r w:rsidRPr="00140056">
              <w:t>15,520</w:t>
            </w:r>
          </w:p>
        </w:tc>
        <w:tc>
          <w:tcPr>
            <w:tcW w:w="1041" w:type="dxa"/>
            <w:tcBorders>
              <w:top w:val="single" w:sz="4" w:space="0" w:color="auto"/>
            </w:tcBorders>
          </w:tcPr>
          <w:p w14:paraId="66A62DD4" w14:textId="77777777" w:rsidR="00CF0E2D" w:rsidRDefault="00CF0E2D" w:rsidP="00A60D4B">
            <w:pPr>
              <w:pStyle w:val="InitFigR"/>
            </w:pPr>
            <w:r w:rsidRPr="00140056">
              <w:t>66,260</w:t>
            </w:r>
          </w:p>
        </w:tc>
        <w:tc>
          <w:tcPr>
            <w:tcW w:w="1029" w:type="dxa"/>
            <w:tcBorders>
              <w:top w:val="single" w:sz="4" w:space="0" w:color="auto"/>
            </w:tcBorders>
          </w:tcPr>
          <w:p w14:paraId="1039136E" w14:textId="77777777" w:rsidR="00CF0E2D" w:rsidRDefault="00CF0E2D" w:rsidP="00A60D4B">
            <w:pPr>
              <w:pStyle w:val="InitFigR"/>
            </w:pPr>
            <w:r>
              <w:t>36,220</w:t>
            </w:r>
          </w:p>
        </w:tc>
        <w:tc>
          <w:tcPr>
            <w:tcW w:w="1029" w:type="dxa"/>
            <w:tcBorders>
              <w:top w:val="single" w:sz="4" w:space="0" w:color="auto"/>
            </w:tcBorders>
          </w:tcPr>
          <w:p w14:paraId="78AB2EA3" w14:textId="77777777" w:rsidR="00CF0E2D" w:rsidRDefault="00CF0E2D" w:rsidP="00A60D4B">
            <w:pPr>
              <w:pStyle w:val="InitFigR"/>
            </w:pPr>
            <w:r>
              <w:t>0</w:t>
            </w:r>
          </w:p>
        </w:tc>
        <w:tc>
          <w:tcPr>
            <w:tcW w:w="1142" w:type="dxa"/>
            <w:tcBorders>
              <w:top w:val="single" w:sz="4" w:space="0" w:color="auto"/>
            </w:tcBorders>
          </w:tcPr>
          <w:p w14:paraId="5A290E96" w14:textId="77777777" w:rsidR="00CF0E2D" w:rsidRPr="00A67F91" w:rsidRDefault="00CF0E2D" w:rsidP="00A60D4B">
            <w:pPr>
              <w:pStyle w:val="InitFigRBold"/>
              <w:rPr>
                <w:bCs/>
              </w:rPr>
            </w:pPr>
            <w:r w:rsidRPr="00A67F91">
              <w:rPr>
                <w:bCs/>
              </w:rPr>
              <w:t>118,000</w:t>
            </w:r>
          </w:p>
        </w:tc>
      </w:tr>
      <w:tr w:rsidR="00CF0E2D" w:rsidRPr="00835409" w14:paraId="732D73D7" w14:textId="77777777" w:rsidTr="00A60D4B">
        <w:trPr>
          <w:cantSplit/>
          <w:jc w:val="center"/>
        </w:trPr>
        <w:tc>
          <w:tcPr>
            <w:tcW w:w="3652" w:type="dxa"/>
          </w:tcPr>
          <w:p w14:paraId="42A83D27" w14:textId="77777777" w:rsidR="00CF0E2D" w:rsidRDefault="00CF0E2D" w:rsidP="00A60D4B">
            <w:pPr>
              <w:pStyle w:val="InitTextL"/>
              <w:ind w:left="321" w:hanging="321"/>
            </w:pPr>
            <w:r>
              <w:t>Offset – Capital – Provision</w:t>
            </w:r>
          </w:p>
        </w:tc>
        <w:tc>
          <w:tcPr>
            <w:tcW w:w="1179" w:type="dxa"/>
          </w:tcPr>
          <w:p w14:paraId="4B3ED636" w14:textId="77777777" w:rsidR="00CF0E2D" w:rsidRDefault="00CF0E2D" w:rsidP="00A60D4B">
            <w:pPr>
              <w:pStyle w:val="InitFigR"/>
            </w:pPr>
            <w:r>
              <w:t>-11,000</w:t>
            </w:r>
          </w:p>
        </w:tc>
        <w:tc>
          <w:tcPr>
            <w:tcW w:w="1041" w:type="dxa"/>
          </w:tcPr>
          <w:p w14:paraId="44ACB5AD" w14:textId="77777777" w:rsidR="00CF0E2D" w:rsidRDefault="00CF0E2D" w:rsidP="00A60D4B">
            <w:pPr>
              <w:pStyle w:val="InitFigR"/>
            </w:pPr>
            <w:r>
              <w:t>-75,000</w:t>
            </w:r>
          </w:p>
        </w:tc>
        <w:tc>
          <w:tcPr>
            <w:tcW w:w="1029" w:type="dxa"/>
          </w:tcPr>
          <w:p w14:paraId="30C28271" w14:textId="77777777" w:rsidR="00CF0E2D" w:rsidRDefault="00CF0E2D" w:rsidP="00A60D4B">
            <w:pPr>
              <w:pStyle w:val="InitFigR"/>
            </w:pPr>
            <w:r>
              <w:t>-32,000</w:t>
            </w:r>
          </w:p>
        </w:tc>
        <w:tc>
          <w:tcPr>
            <w:tcW w:w="1029" w:type="dxa"/>
          </w:tcPr>
          <w:p w14:paraId="311305AA" w14:textId="77777777" w:rsidR="00CF0E2D" w:rsidRDefault="00CF0E2D" w:rsidP="00A60D4B">
            <w:pPr>
              <w:pStyle w:val="InitFigR"/>
            </w:pPr>
            <w:r>
              <w:t>0</w:t>
            </w:r>
          </w:p>
        </w:tc>
        <w:tc>
          <w:tcPr>
            <w:tcW w:w="1142" w:type="dxa"/>
          </w:tcPr>
          <w:p w14:paraId="41CD11B7" w14:textId="77777777" w:rsidR="00CF0E2D" w:rsidRPr="00835409" w:rsidRDefault="00CF0E2D" w:rsidP="00A60D4B">
            <w:pPr>
              <w:pStyle w:val="InitFigRBold"/>
              <w:rPr>
                <w:bCs/>
              </w:rPr>
            </w:pPr>
            <w:r w:rsidRPr="00835409">
              <w:rPr>
                <w:bCs/>
              </w:rPr>
              <w:t>-118,000</w:t>
            </w:r>
          </w:p>
        </w:tc>
      </w:tr>
      <w:tr w:rsidR="00CF0E2D" w:rsidRPr="00750793" w14:paraId="7414EE7F" w14:textId="77777777" w:rsidTr="00A60D4B">
        <w:trPr>
          <w:cantSplit/>
          <w:jc w:val="center"/>
        </w:trPr>
        <w:tc>
          <w:tcPr>
            <w:tcW w:w="3652" w:type="dxa"/>
            <w:tcBorders>
              <w:top w:val="single" w:sz="4" w:space="0" w:color="auto"/>
              <w:bottom w:val="single" w:sz="4" w:space="0" w:color="auto"/>
            </w:tcBorders>
          </w:tcPr>
          <w:p w14:paraId="31C2018F" w14:textId="1B637879" w:rsidR="00CF0E2D" w:rsidRPr="00D13A71" w:rsidRDefault="00F57411" w:rsidP="00A60D4B">
            <w:pPr>
              <w:pStyle w:val="InitTextL"/>
              <w:ind w:left="321" w:hanging="321"/>
              <w:rPr>
                <w:b/>
                <w:bCs/>
              </w:rPr>
            </w:pPr>
            <w:r>
              <w:rPr>
                <w:b/>
                <w:bCs/>
              </w:rPr>
              <w:t>Net capital</w:t>
            </w:r>
          </w:p>
        </w:tc>
        <w:tc>
          <w:tcPr>
            <w:tcW w:w="1179" w:type="dxa"/>
            <w:tcBorders>
              <w:top w:val="single" w:sz="4" w:space="0" w:color="auto"/>
              <w:bottom w:val="single" w:sz="4" w:space="0" w:color="auto"/>
            </w:tcBorders>
          </w:tcPr>
          <w:p w14:paraId="7AC28790" w14:textId="77777777" w:rsidR="00CF0E2D" w:rsidRPr="00835409" w:rsidRDefault="00CF0E2D" w:rsidP="00A60D4B">
            <w:pPr>
              <w:pStyle w:val="InitFigR"/>
              <w:rPr>
                <w:b/>
                <w:bCs/>
              </w:rPr>
            </w:pPr>
            <w:r w:rsidRPr="00E45C5F">
              <w:rPr>
                <w:b/>
                <w:bCs/>
              </w:rPr>
              <w:t>4</w:t>
            </w:r>
            <w:r>
              <w:rPr>
                <w:b/>
                <w:bCs/>
              </w:rPr>
              <w:t>,</w:t>
            </w:r>
            <w:r w:rsidRPr="00E45C5F">
              <w:rPr>
                <w:b/>
                <w:bCs/>
              </w:rPr>
              <w:t>520</w:t>
            </w:r>
          </w:p>
        </w:tc>
        <w:tc>
          <w:tcPr>
            <w:tcW w:w="1041" w:type="dxa"/>
            <w:tcBorders>
              <w:top w:val="single" w:sz="4" w:space="0" w:color="auto"/>
              <w:bottom w:val="single" w:sz="4" w:space="0" w:color="auto"/>
            </w:tcBorders>
          </w:tcPr>
          <w:p w14:paraId="13D79D7F" w14:textId="77777777" w:rsidR="00CF0E2D" w:rsidRPr="00835409" w:rsidRDefault="00CF0E2D" w:rsidP="00A60D4B">
            <w:pPr>
              <w:pStyle w:val="InitFigR"/>
              <w:rPr>
                <w:b/>
                <w:bCs/>
              </w:rPr>
            </w:pPr>
            <w:r w:rsidRPr="00E45C5F">
              <w:rPr>
                <w:b/>
                <w:bCs/>
              </w:rPr>
              <w:t>-8</w:t>
            </w:r>
            <w:r>
              <w:rPr>
                <w:b/>
                <w:bCs/>
              </w:rPr>
              <w:t>,</w:t>
            </w:r>
            <w:r w:rsidRPr="00E45C5F">
              <w:rPr>
                <w:b/>
                <w:bCs/>
              </w:rPr>
              <w:t>740</w:t>
            </w:r>
          </w:p>
        </w:tc>
        <w:tc>
          <w:tcPr>
            <w:tcW w:w="1029" w:type="dxa"/>
            <w:tcBorders>
              <w:top w:val="single" w:sz="4" w:space="0" w:color="auto"/>
              <w:bottom w:val="single" w:sz="4" w:space="0" w:color="auto"/>
            </w:tcBorders>
          </w:tcPr>
          <w:p w14:paraId="51C1C01E" w14:textId="77777777" w:rsidR="00CF0E2D" w:rsidRPr="00835409" w:rsidRDefault="00CF0E2D" w:rsidP="00A60D4B">
            <w:pPr>
              <w:pStyle w:val="InitFigR"/>
              <w:rPr>
                <w:b/>
                <w:bCs/>
              </w:rPr>
            </w:pPr>
            <w:r w:rsidRPr="00835409">
              <w:rPr>
                <w:b/>
                <w:bCs/>
              </w:rPr>
              <w:t>4,220</w:t>
            </w:r>
          </w:p>
        </w:tc>
        <w:tc>
          <w:tcPr>
            <w:tcW w:w="1029" w:type="dxa"/>
            <w:tcBorders>
              <w:top w:val="single" w:sz="4" w:space="0" w:color="auto"/>
              <w:bottom w:val="single" w:sz="4" w:space="0" w:color="auto"/>
            </w:tcBorders>
          </w:tcPr>
          <w:p w14:paraId="10F41478" w14:textId="77777777" w:rsidR="00CF0E2D" w:rsidRPr="00835409" w:rsidRDefault="00CF0E2D" w:rsidP="00A60D4B">
            <w:pPr>
              <w:pStyle w:val="InitFigR"/>
              <w:rPr>
                <w:b/>
                <w:bCs/>
              </w:rPr>
            </w:pPr>
            <w:r w:rsidRPr="00835409">
              <w:rPr>
                <w:b/>
                <w:bCs/>
              </w:rPr>
              <w:t>0</w:t>
            </w:r>
          </w:p>
        </w:tc>
        <w:tc>
          <w:tcPr>
            <w:tcW w:w="1142" w:type="dxa"/>
            <w:tcBorders>
              <w:top w:val="single" w:sz="4" w:space="0" w:color="auto"/>
              <w:bottom w:val="single" w:sz="4" w:space="0" w:color="auto"/>
            </w:tcBorders>
          </w:tcPr>
          <w:p w14:paraId="7EC203B3" w14:textId="77777777" w:rsidR="00CF0E2D" w:rsidRPr="00835409" w:rsidRDefault="00CF0E2D" w:rsidP="00A60D4B">
            <w:pPr>
              <w:pStyle w:val="InitFigRBold"/>
              <w:rPr>
                <w:bCs/>
              </w:rPr>
            </w:pPr>
            <w:r w:rsidRPr="00835409">
              <w:rPr>
                <w:bCs/>
              </w:rPr>
              <w:t>0</w:t>
            </w:r>
          </w:p>
        </w:tc>
      </w:tr>
      <w:tr w:rsidR="00CF0E2D" w:rsidRPr="00750793" w14:paraId="657B43F0" w14:textId="77777777" w:rsidTr="00A60D4B">
        <w:trPr>
          <w:cantSplit/>
          <w:jc w:val="center"/>
        </w:trPr>
        <w:tc>
          <w:tcPr>
            <w:tcW w:w="3652" w:type="dxa"/>
            <w:tcBorders>
              <w:top w:val="single" w:sz="4" w:space="0" w:color="auto"/>
              <w:bottom w:val="single" w:sz="4" w:space="0" w:color="auto"/>
            </w:tcBorders>
          </w:tcPr>
          <w:p w14:paraId="620E83BB" w14:textId="77777777" w:rsidR="00CF0E2D" w:rsidRPr="00D13A71" w:rsidRDefault="00CF0E2D" w:rsidP="00A60D4B">
            <w:pPr>
              <w:pStyle w:val="InitTextL"/>
              <w:ind w:left="321" w:hanging="321"/>
              <w:rPr>
                <w:b/>
                <w:bCs/>
              </w:rPr>
            </w:pPr>
            <w:r>
              <w:t>Depreciation</w:t>
            </w:r>
          </w:p>
        </w:tc>
        <w:tc>
          <w:tcPr>
            <w:tcW w:w="1179" w:type="dxa"/>
            <w:tcBorders>
              <w:top w:val="single" w:sz="4" w:space="0" w:color="auto"/>
              <w:bottom w:val="single" w:sz="4" w:space="0" w:color="auto"/>
            </w:tcBorders>
          </w:tcPr>
          <w:p w14:paraId="61E0980A" w14:textId="77777777" w:rsidR="00CF0E2D" w:rsidRDefault="00CF0E2D" w:rsidP="00A60D4B">
            <w:pPr>
              <w:pStyle w:val="InitFigR"/>
            </w:pPr>
            <w:r>
              <w:t>0</w:t>
            </w:r>
          </w:p>
        </w:tc>
        <w:tc>
          <w:tcPr>
            <w:tcW w:w="1041" w:type="dxa"/>
            <w:tcBorders>
              <w:top w:val="single" w:sz="4" w:space="0" w:color="auto"/>
              <w:bottom w:val="single" w:sz="4" w:space="0" w:color="auto"/>
            </w:tcBorders>
          </w:tcPr>
          <w:p w14:paraId="0035A22F" w14:textId="77777777" w:rsidR="00CF0E2D" w:rsidRDefault="00CF0E2D" w:rsidP="00A60D4B">
            <w:pPr>
              <w:pStyle w:val="InitFigR"/>
            </w:pPr>
            <w:r>
              <w:t>350</w:t>
            </w:r>
          </w:p>
        </w:tc>
        <w:tc>
          <w:tcPr>
            <w:tcW w:w="1029" w:type="dxa"/>
            <w:tcBorders>
              <w:top w:val="single" w:sz="4" w:space="0" w:color="auto"/>
              <w:bottom w:val="single" w:sz="4" w:space="0" w:color="auto"/>
            </w:tcBorders>
          </w:tcPr>
          <w:p w14:paraId="249BA3CB" w14:textId="77777777" w:rsidR="00CF0E2D" w:rsidRDefault="00CF0E2D" w:rsidP="00A60D4B">
            <w:pPr>
              <w:pStyle w:val="InitFigR"/>
            </w:pPr>
            <w:r>
              <w:t>1,530</w:t>
            </w:r>
          </w:p>
        </w:tc>
        <w:tc>
          <w:tcPr>
            <w:tcW w:w="1029" w:type="dxa"/>
            <w:tcBorders>
              <w:top w:val="single" w:sz="4" w:space="0" w:color="auto"/>
              <w:bottom w:val="single" w:sz="4" w:space="0" w:color="auto"/>
            </w:tcBorders>
          </w:tcPr>
          <w:p w14:paraId="01E75780" w14:textId="77777777" w:rsidR="00CF0E2D" w:rsidRDefault="00CF0E2D" w:rsidP="00A60D4B">
            <w:pPr>
              <w:pStyle w:val="InitFigR"/>
            </w:pPr>
            <w:r>
              <w:t>2,360</w:t>
            </w:r>
          </w:p>
        </w:tc>
        <w:tc>
          <w:tcPr>
            <w:tcW w:w="1142" w:type="dxa"/>
            <w:tcBorders>
              <w:top w:val="single" w:sz="4" w:space="0" w:color="auto"/>
              <w:bottom w:val="single" w:sz="4" w:space="0" w:color="auto"/>
            </w:tcBorders>
          </w:tcPr>
          <w:p w14:paraId="23148692" w14:textId="77777777" w:rsidR="00CF0E2D" w:rsidRPr="00835409" w:rsidRDefault="00CF0E2D" w:rsidP="00A60D4B">
            <w:pPr>
              <w:pStyle w:val="InitFigRBold"/>
              <w:rPr>
                <w:bCs/>
              </w:rPr>
            </w:pPr>
            <w:r w:rsidRPr="00835409">
              <w:rPr>
                <w:bCs/>
              </w:rPr>
              <w:t>4,240</w:t>
            </w:r>
          </w:p>
        </w:tc>
      </w:tr>
    </w:tbl>
    <w:p w14:paraId="44EA482C" w14:textId="77777777" w:rsidR="00CF0E2D" w:rsidRPr="00055012" w:rsidRDefault="00CF0E2D" w:rsidP="00A60D4B">
      <w:pPr>
        <w:pStyle w:val="Bbodytext"/>
        <w:rPr>
          <w:rFonts w:ascii="Calibri" w:eastAsia="Times New Roman" w:hAnsi="Calibri" w:cs="Times New Roman"/>
          <w:szCs w:val="20"/>
        </w:rPr>
      </w:pPr>
      <w:r w:rsidRPr="00055012">
        <w:t xml:space="preserve">The Government will expand </w:t>
      </w:r>
      <w:r>
        <w:t xml:space="preserve">the </w:t>
      </w:r>
      <w:r w:rsidRPr="00055012">
        <w:t xml:space="preserve">Margaret Hendry Primary School and construct a new high school in Taylor. The expansion of Margaret Hendry Primary School will be completed by the start of </w:t>
      </w:r>
      <w:r w:rsidRPr="00055012">
        <w:rPr>
          <w:rFonts w:ascii="Calibri" w:eastAsia="Times New Roman" w:hAnsi="Calibri" w:cs="Times New Roman"/>
          <w:szCs w:val="20"/>
        </w:rPr>
        <w:t xml:space="preserve">the 2023 school year </w:t>
      </w:r>
      <w:r>
        <w:rPr>
          <w:rFonts w:ascii="Calibri" w:eastAsia="Times New Roman" w:hAnsi="Calibri" w:cs="Times New Roman"/>
          <w:szCs w:val="20"/>
        </w:rPr>
        <w:t>and</w:t>
      </w:r>
      <w:r w:rsidRPr="00055012">
        <w:rPr>
          <w:rFonts w:ascii="Calibri" w:eastAsia="Times New Roman" w:hAnsi="Calibri" w:cs="Times New Roman"/>
          <w:szCs w:val="20"/>
        </w:rPr>
        <w:t xml:space="preserve"> provide an additional 600 places. The new high school in Taylor will provide 800 permanent places and is scheduled to open for the 2024 school year. Funding for </w:t>
      </w:r>
      <w:r>
        <w:rPr>
          <w:rFonts w:ascii="Calibri" w:eastAsia="Times New Roman" w:hAnsi="Calibri" w:cs="Times New Roman"/>
          <w:szCs w:val="20"/>
        </w:rPr>
        <w:t>these</w:t>
      </w:r>
      <w:r w:rsidRPr="00055012">
        <w:rPr>
          <w:rFonts w:ascii="Calibri" w:eastAsia="Times New Roman" w:hAnsi="Calibri" w:cs="Times New Roman"/>
          <w:szCs w:val="20"/>
        </w:rPr>
        <w:t xml:space="preserve"> investment</w:t>
      </w:r>
      <w:r>
        <w:rPr>
          <w:rFonts w:ascii="Calibri" w:eastAsia="Times New Roman" w:hAnsi="Calibri" w:cs="Times New Roman"/>
          <w:szCs w:val="20"/>
        </w:rPr>
        <w:t>s</w:t>
      </w:r>
      <w:r w:rsidRPr="00055012">
        <w:rPr>
          <w:rFonts w:ascii="Calibri" w:eastAsia="Times New Roman" w:hAnsi="Calibri" w:cs="Times New Roman"/>
          <w:szCs w:val="20"/>
        </w:rPr>
        <w:t xml:space="preserve"> was provisioned in the 2020-21 Budget.</w:t>
      </w:r>
    </w:p>
    <w:p w14:paraId="6ADF8EBB" w14:textId="77777777" w:rsidR="00CF0E2D" w:rsidRPr="00055012" w:rsidRDefault="00CF0E2D" w:rsidP="00A60D4B">
      <w:pPr>
        <w:pStyle w:val="Bbodytext"/>
        <w:rPr>
          <w:rFonts w:ascii="Calibri" w:eastAsia="Times New Roman" w:hAnsi="Calibri" w:cs="Times New Roman"/>
          <w:szCs w:val="20"/>
        </w:rPr>
      </w:pPr>
      <w:r w:rsidRPr="00055012">
        <w:t xml:space="preserve">This initiative </w:t>
      </w:r>
      <w:r w:rsidRPr="00055012">
        <w:rPr>
          <w:rFonts w:ascii="Calibri" w:eastAsia="Times New Roman" w:hAnsi="Calibri" w:cs="Times New Roman"/>
          <w:szCs w:val="20"/>
        </w:rPr>
        <w:t xml:space="preserve">builds on recent Government decisions to meet enrolment growth in Gungahlin, including opening the Margaret Hendry Primary School in 2021, constructing a new primary school in Throsby to be open at the start of the 2022 school year, constructing a new high school in Kenny which will open in 2023, expanding the Gold Creek senior campus and expanding the Franklin Early Childhood School into a full primary school. </w:t>
      </w:r>
    </w:p>
    <w:p w14:paraId="1D739878" w14:textId="77777777" w:rsidR="00CF0E2D" w:rsidRDefault="00CF0E2D" w:rsidP="00A60D4B">
      <w:pPr>
        <w:pStyle w:val="Bbodytext"/>
        <w:rPr>
          <w:rFonts w:ascii="Calibri" w:eastAsia="Times New Roman" w:hAnsi="Calibri" w:cs="Times New Roman"/>
          <w:szCs w:val="20"/>
        </w:rPr>
      </w:pPr>
      <w:r w:rsidRPr="00055012">
        <w:t>This initiative contributes to the wellbeing domains of Education and life-long learning, Social</w:t>
      </w:r>
      <w:r w:rsidRPr="00055012">
        <w:rPr>
          <w:rFonts w:ascii="Calibri" w:eastAsia="Times New Roman" w:hAnsi="Calibri" w:cs="Times New Roman"/>
          <w:szCs w:val="20"/>
        </w:rPr>
        <w:t xml:space="preserve"> </w:t>
      </w:r>
      <w:r>
        <w:rPr>
          <w:rFonts w:ascii="Calibri" w:eastAsia="Times New Roman" w:hAnsi="Calibri" w:cs="Times New Roman"/>
          <w:szCs w:val="20"/>
        </w:rPr>
        <w:t>c</w:t>
      </w:r>
      <w:r w:rsidRPr="00055012">
        <w:rPr>
          <w:rFonts w:ascii="Calibri" w:eastAsia="Times New Roman" w:hAnsi="Calibri" w:cs="Times New Roman"/>
          <w:szCs w:val="20"/>
        </w:rPr>
        <w:t>onnection and Identity and belonging.</w:t>
      </w:r>
    </w:p>
    <w:p w14:paraId="76ACE2DF" w14:textId="77777777" w:rsidR="00CF0E2D" w:rsidRDefault="00CF0E2D" w:rsidP="00A60D4B">
      <w:pPr>
        <w:pStyle w:val="Bbodytext"/>
        <w:rPr>
          <w:rFonts w:ascii="Calibri" w:eastAsia="Times New Roman" w:hAnsi="Calibri" w:cs="Times New Roman"/>
          <w:szCs w:val="20"/>
        </w:rPr>
      </w:pPr>
    </w:p>
    <w:p w14:paraId="61887674" w14:textId="77777777" w:rsidR="00CF0E2D" w:rsidRPr="00C41F12" w:rsidRDefault="00CF0E2D" w:rsidP="00A60D4B">
      <w:pPr>
        <w:pStyle w:val="Heading4"/>
        <w:rPr>
          <w:rFonts w:eastAsiaTheme="minorHAnsi"/>
        </w:rPr>
      </w:pPr>
      <w:r w:rsidRPr="00C41F12">
        <w:rPr>
          <w:rFonts w:eastAsiaTheme="minorHAnsi"/>
        </w:rPr>
        <w:t xml:space="preserve">New and Expanded Schools – Future </w:t>
      </w:r>
      <w:r>
        <w:rPr>
          <w:rFonts w:eastAsiaTheme="minorHAnsi"/>
        </w:rPr>
        <w:t>p</w:t>
      </w:r>
      <w:r w:rsidRPr="00C41F12">
        <w:rPr>
          <w:rFonts w:eastAsiaTheme="minorHAnsi"/>
        </w:rPr>
        <w:t xml:space="preserve">lanning </w:t>
      </w:r>
      <w:r>
        <w:rPr>
          <w:b w:val="0"/>
          <w:noProof/>
          <w:color w:val="999789"/>
          <w:sz w:val="32"/>
          <w:szCs w:val="24"/>
        </w:rPr>
        <w:drawing>
          <wp:anchor distT="0" distB="0" distL="114300" distR="114300" simplePos="0" relativeHeight="251813888" behindDoc="0" locked="1" layoutInCell="1" allowOverlap="1" wp14:anchorId="7315FE61" wp14:editId="2DCCB691">
            <wp:simplePos x="0" y="0"/>
            <wp:positionH relativeFrom="margin">
              <wp:align>right</wp:align>
            </wp:positionH>
            <wp:positionV relativeFrom="paragraph">
              <wp:posOffset>-132715</wp:posOffset>
            </wp:positionV>
            <wp:extent cx="1356995" cy="503555"/>
            <wp:effectExtent l="0" t="0" r="0" b="0"/>
            <wp:wrapSquare wrapText="bothSides"/>
            <wp:docPr id="279" name="Picture 279"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77F5F925" w14:textId="77777777" w:rsidTr="00A60D4B">
        <w:trPr>
          <w:cantSplit/>
          <w:jc w:val="center"/>
        </w:trPr>
        <w:tc>
          <w:tcPr>
            <w:tcW w:w="3652" w:type="dxa"/>
            <w:tcBorders>
              <w:top w:val="single" w:sz="4" w:space="0" w:color="auto"/>
              <w:bottom w:val="single" w:sz="4" w:space="0" w:color="auto"/>
            </w:tcBorders>
          </w:tcPr>
          <w:p w14:paraId="4B351A47"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4F3E0356" w14:textId="77777777" w:rsidR="00CF0E2D" w:rsidRPr="00AC1349" w:rsidRDefault="00CF0E2D" w:rsidP="00A60D4B">
            <w:pPr>
              <w:pStyle w:val="InitFigR"/>
              <w:rPr>
                <w:b/>
                <w:bCs/>
              </w:rPr>
            </w:pPr>
            <w:r w:rsidRPr="00AC1349">
              <w:rPr>
                <w:b/>
                <w:bCs/>
              </w:rPr>
              <w:t>2021-22</w:t>
            </w:r>
          </w:p>
          <w:p w14:paraId="1912E983" w14:textId="77777777" w:rsidR="00CF0E2D" w:rsidRPr="00AC1349" w:rsidRDefault="00CF0E2D" w:rsidP="00A60D4B">
            <w:pPr>
              <w:pStyle w:val="InitFigR"/>
              <w:rPr>
                <w:b/>
                <w:bCs/>
              </w:rPr>
            </w:pPr>
            <w:r w:rsidRPr="00AC1349">
              <w:rPr>
                <w:b/>
                <w:bCs/>
              </w:rPr>
              <w:t>$’000</w:t>
            </w:r>
          </w:p>
        </w:tc>
        <w:tc>
          <w:tcPr>
            <w:tcW w:w="1041" w:type="dxa"/>
            <w:tcBorders>
              <w:top w:val="single" w:sz="4" w:space="0" w:color="auto"/>
              <w:bottom w:val="single" w:sz="4" w:space="0" w:color="auto"/>
            </w:tcBorders>
          </w:tcPr>
          <w:p w14:paraId="05951651" w14:textId="77777777" w:rsidR="00CF0E2D" w:rsidRPr="00AC1349" w:rsidRDefault="00CF0E2D" w:rsidP="00A60D4B">
            <w:pPr>
              <w:pStyle w:val="InitFigR"/>
              <w:rPr>
                <w:b/>
                <w:bCs/>
              </w:rPr>
            </w:pPr>
            <w:r w:rsidRPr="00AC1349">
              <w:rPr>
                <w:b/>
                <w:bCs/>
              </w:rPr>
              <w:t>2022-23</w:t>
            </w:r>
          </w:p>
          <w:p w14:paraId="4385DF18"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01CC6201" w14:textId="77777777" w:rsidR="00CF0E2D" w:rsidRPr="00AC1349" w:rsidRDefault="00CF0E2D" w:rsidP="00A60D4B">
            <w:pPr>
              <w:pStyle w:val="InitFigR"/>
              <w:rPr>
                <w:b/>
                <w:bCs/>
              </w:rPr>
            </w:pPr>
            <w:r w:rsidRPr="00AC1349">
              <w:rPr>
                <w:b/>
                <w:bCs/>
              </w:rPr>
              <w:t>2023-24</w:t>
            </w:r>
          </w:p>
          <w:p w14:paraId="18D88261"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450E77B1" w14:textId="77777777" w:rsidR="00CF0E2D" w:rsidRPr="00AC1349" w:rsidRDefault="00CF0E2D" w:rsidP="00A60D4B">
            <w:pPr>
              <w:pStyle w:val="InitFigR"/>
              <w:rPr>
                <w:b/>
                <w:bCs/>
              </w:rPr>
            </w:pPr>
            <w:r w:rsidRPr="00AC1349">
              <w:rPr>
                <w:b/>
                <w:bCs/>
              </w:rPr>
              <w:t>2024-25</w:t>
            </w:r>
          </w:p>
          <w:p w14:paraId="57129179"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7E63B66E" w14:textId="77777777" w:rsidR="00CF0E2D" w:rsidRPr="004E341E" w:rsidRDefault="00CF0E2D" w:rsidP="00A60D4B">
            <w:pPr>
              <w:pStyle w:val="InitFigRBold"/>
            </w:pPr>
            <w:r w:rsidRPr="004E341E">
              <w:t>Total</w:t>
            </w:r>
          </w:p>
          <w:p w14:paraId="525A943E" w14:textId="77777777" w:rsidR="00CF0E2D" w:rsidRPr="004E341E" w:rsidRDefault="00CF0E2D" w:rsidP="00A60D4B">
            <w:pPr>
              <w:pStyle w:val="InitFigBR"/>
            </w:pPr>
            <w:r w:rsidRPr="004E341E">
              <w:t>$’000</w:t>
            </w:r>
          </w:p>
        </w:tc>
      </w:tr>
      <w:tr w:rsidR="00CF0E2D" w:rsidRPr="00750793" w14:paraId="65D4C4B2" w14:textId="77777777" w:rsidTr="00A60D4B">
        <w:trPr>
          <w:cantSplit/>
          <w:jc w:val="center"/>
        </w:trPr>
        <w:tc>
          <w:tcPr>
            <w:tcW w:w="3652" w:type="dxa"/>
            <w:tcBorders>
              <w:top w:val="single" w:sz="4" w:space="0" w:color="auto"/>
              <w:bottom w:val="single" w:sz="4" w:space="0" w:color="auto"/>
            </w:tcBorders>
          </w:tcPr>
          <w:p w14:paraId="3263EC7D" w14:textId="77777777" w:rsidR="00CF0E2D" w:rsidRPr="00882BE2" w:rsidRDefault="00CF0E2D" w:rsidP="00A60D4B">
            <w:pPr>
              <w:pStyle w:val="InitTextL"/>
              <w:ind w:left="321" w:hanging="321"/>
            </w:pPr>
            <w:r>
              <w:t>Capital</w:t>
            </w:r>
          </w:p>
        </w:tc>
        <w:tc>
          <w:tcPr>
            <w:tcW w:w="1179" w:type="dxa"/>
            <w:tcBorders>
              <w:top w:val="single" w:sz="4" w:space="0" w:color="auto"/>
              <w:bottom w:val="single" w:sz="4" w:space="0" w:color="auto"/>
            </w:tcBorders>
          </w:tcPr>
          <w:p w14:paraId="3E744E8D" w14:textId="77777777" w:rsidR="00CF0E2D" w:rsidRDefault="00CF0E2D" w:rsidP="00A60D4B">
            <w:pPr>
              <w:pStyle w:val="InitFigR"/>
            </w:pPr>
            <w:r w:rsidRPr="00432D50">
              <w:t>4,285</w:t>
            </w:r>
          </w:p>
        </w:tc>
        <w:tc>
          <w:tcPr>
            <w:tcW w:w="1041" w:type="dxa"/>
            <w:tcBorders>
              <w:top w:val="single" w:sz="4" w:space="0" w:color="auto"/>
              <w:bottom w:val="single" w:sz="4" w:space="0" w:color="auto"/>
            </w:tcBorders>
          </w:tcPr>
          <w:p w14:paraId="0EF65A95" w14:textId="77777777" w:rsidR="00CF0E2D" w:rsidRDefault="00CF0E2D" w:rsidP="00A60D4B">
            <w:pPr>
              <w:pStyle w:val="InitFigR"/>
            </w:pPr>
            <w:r w:rsidRPr="00432D50">
              <w:t>4,715</w:t>
            </w:r>
          </w:p>
        </w:tc>
        <w:tc>
          <w:tcPr>
            <w:tcW w:w="1029" w:type="dxa"/>
            <w:tcBorders>
              <w:top w:val="single" w:sz="4" w:space="0" w:color="auto"/>
              <w:bottom w:val="single" w:sz="4" w:space="0" w:color="auto"/>
            </w:tcBorders>
          </w:tcPr>
          <w:p w14:paraId="1BFDB410" w14:textId="77777777" w:rsidR="00CF0E2D" w:rsidRDefault="00CF0E2D" w:rsidP="00A60D4B">
            <w:pPr>
              <w:pStyle w:val="InitFigR"/>
            </w:pPr>
            <w:r>
              <w:t>0</w:t>
            </w:r>
          </w:p>
        </w:tc>
        <w:tc>
          <w:tcPr>
            <w:tcW w:w="1029" w:type="dxa"/>
            <w:tcBorders>
              <w:top w:val="single" w:sz="4" w:space="0" w:color="auto"/>
              <w:bottom w:val="single" w:sz="4" w:space="0" w:color="auto"/>
            </w:tcBorders>
          </w:tcPr>
          <w:p w14:paraId="6EF18A8C" w14:textId="77777777" w:rsidR="00CF0E2D" w:rsidRDefault="00CF0E2D" w:rsidP="00A60D4B">
            <w:pPr>
              <w:pStyle w:val="InitFigR"/>
            </w:pPr>
            <w:r>
              <w:t>0</w:t>
            </w:r>
          </w:p>
        </w:tc>
        <w:tc>
          <w:tcPr>
            <w:tcW w:w="1029" w:type="dxa"/>
            <w:tcBorders>
              <w:top w:val="single" w:sz="4" w:space="0" w:color="auto"/>
              <w:bottom w:val="single" w:sz="4" w:space="0" w:color="auto"/>
            </w:tcBorders>
          </w:tcPr>
          <w:p w14:paraId="435D1AAA" w14:textId="77777777" w:rsidR="00CF0E2D" w:rsidRDefault="00CF0E2D" w:rsidP="00A60D4B">
            <w:pPr>
              <w:pStyle w:val="InitFigBR"/>
            </w:pPr>
            <w:r>
              <w:t>9,000</w:t>
            </w:r>
          </w:p>
        </w:tc>
      </w:tr>
      <w:tr w:rsidR="00CF0E2D" w:rsidRPr="00750793" w14:paraId="1468E8C6" w14:textId="77777777" w:rsidTr="00A60D4B">
        <w:trPr>
          <w:cantSplit/>
          <w:jc w:val="center"/>
        </w:trPr>
        <w:tc>
          <w:tcPr>
            <w:tcW w:w="3652" w:type="dxa"/>
            <w:tcBorders>
              <w:top w:val="single" w:sz="4" w:space="0" w:color="auto"/>
              <w:bottom w:val="single" w:sz="4" w:space="0" w:color="auto"/>
            </w:tcBorders>
          </w:tcPr>
          <w:p w14:paraId="2E8AD1CF"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1E9FB051" w14:textId="77777777" w:rsidR="00CF0E2D" w:rsidRPr="00424DA4" w:rsidRDefault="00CF0E2D" w:rsidP="00A60D4B">
            <w:pPr>
              <w:pStyle w:val="InitFigR"/>
            </w:pPr>
            <w:r>
              <w:t>850</w:t>
            </w:r>
          </w:p>
        </w:tc>
        <w:tc>
          <w:tcPr>
            <w:tcW w:w="1041" w:type="dxa"/>
            <w:tcBorders>
              <w:top w:val="single" w:sz="4" w:space="0" w:color="auto"/>
              <w:bottom w:val="single" w:sz="4" w:space="0" w:color="auto"/>
            </w:tcBorders>
          </w:tcPr>
          <w:p w14:paraId="6F3BDD27" w14:textId="77777777" w:rsidR="00CF0E2D" w:rsidRPr="00424DA4" w:rsidRDefault="00CF0E2D" w:rsidP="00A60D4B">
            <w:pPr>
              <w:pStyle w:val="InitFigR"/>
            </w:pPr>
            <w:r>
              <w:t>870</w:t>
            </w:r>
          </w:p>
        </w:tc>
        <w:tc>
          <w:tcPr>
            <w:tcW w:w="1029" w:type="dxa"/>
            <w:tcBorders>
              <w:top w:val="single" w:sz="4" w:space="0" w:color="auto"/>
              <w:bottom w:val="single" w:sz="4" w:space="0" w:color="auto"/>
            </w:tcBorders>
          </w:tcPr>
          <w:p w14:paraId="66A0172E" w14:textId="77777777" w:rsidR="00CF0E2D" w:rsidRPr="00424DA4" w:rsidRDefault="00CF0E2D" w:rsidP="00A60D4B">
            <w:pPr>
              <w:pStyle w:val="InitFigR"/>
            </w:pPr>
            <w:r>
              <w:t>900</w:t>
            </w:r>
          </w:p>
        </w:tc>
        <w:tc>
          <w:tcPr>
            <w:tcW w:w="1029" w:type="dxa"/>
            <w:tcBorders>
              <w:top w:val="single" w:sz="4" w:space="0" w:color="auto"/>
              <w:bottom w:val="single" w:sz="4" w:space="0" w:color="auto"/>
            </w:tcBorders>
          </w:tcPr>
          <w:p w14:paraId="26A61CD9" w14:textId="77777777" w:rsidR="00CF0E2D" w:rsidRPr="00424DA4" w:rsidRDefault="00CF0E2D" w:rsidP="00A60D4B">
            <w:pPr>
              <w:pStyle w:val="InitFigR"/>
            </w:pPr>
            <w:r>
              <w:t>920</w:t>
            </w:r>
          </w:p>
        </w:tc>
        <w:tc>
          <w:tcPr>
            <w:tcW w:w="1029" w:type="dxa"/>
            <w:tcBorders>
              <w:top w:val="single" w:sz="4" w:space="0" w:color="auto"/>
              <w:bottom w:val="single" w:sz="4" w:space="0" w:color="auto"/>
            </w:tcBorders>
          </w:tcPr>
          <w:p w14:paraId="4DAD8234" w14:textId="77777777" w:rsidR="00CF0E2D" w:rsidRPr="00424DA4" w:rsidRDefault="00CF0E2D" w:rsidP="00A60D4B">
            <w:pPr>
              <w:pStyle w:val="InitFigBR"/>
            </w:pPr>
            <w:r>
              <w:t>3,540</w:t>
            </w:r>
          </w:p>
        </w:tc>
      </w:tr>
    </w:tbl>
    <w:p w14:paraId="17B6AC47" w14:textId="77777777" w:rsidR="00CF0E2D" w:rsidRPr="00B672E7" w:rsidRDefault="00CF0E2D" w:rsidP="00A60D4B">
      <w:pPr>
        <w:pStyle w:val="Bbodytext"/>
        <w:rPr>
          <w:rFonts w:ascii="Calibri" w:eastAsia="Times New Roman" w:hAnsi="Calibri" w:cs="Times New Roman"/>
          <w:szCs w:val="20"/>
        </w:rPr>
      </w:pPr>
      <w:r w:rsidRPr="00C61DFF">
        <w:t>The Government will undertake feasibility studies, master planning and forward design works for new and expanded school</w:t>
      </w:r>
      <w:r>
        <w:t>s</w:t>
      </w:r>
      <w:r w:rsidRPr="00C61DFF">
        <w:t xml:space="preserve"> in the Inner South, the Inner North, Molonglo and Central Belconnen regions and for specialist school services in the north o</w:t>
      </w:r>
      <w:r w:rsidRPr="00B672E7">
        <w:rPr>
          <w:rFonts w:ascii="Calibri" w:eastAsia="Times New Roman" w:hAnsi="Calibri" w:cs="Times New Roman"/>
          <w:szCs w:val="20"/>
        </w:rPr>
        <w:t xml:space="preserve">f Canberra. </w:t>
      </w:r>
    </w:p>
    <w:p w14:paraId="55FBEA0C" w14:textId="77777777" w:rsidR="00CF0E2D" w:rsidRPr="00B672E7" w:rsidRDefault="00CF0E2D" w:rsidP="00A60D4B">
      <w:pPr>
        <w:pStyle w:val="Bbodytext"/>
        <w:rPr>
          <w:rFonts w:ascii="Calibri" w:eastAsia="Times New Roman" w:hAnsi="Calibri" w:cs="Times New Roman"/>
          <w:szCs w:val="20"/>
        </w:rPr>
      </w:pPr>
      <w:r w:rsidRPr="008E7440">
        <w:t xml:space="preserve">This continues the Government’s commitment to meeting enrolment growth in schools across Canberra, including the feasibility studies for new and expanded school capacity in growth regions of Canberra including West Belconnen, the </w:t>
      </w:r>
      <w:r w:rsidRPr="00B672E7">
        <w:rPr>
          <w:rFonts w:ascii="Calibri" w:eastAsia="Times New Roman" w:hAnsi="Calibri" w:cs="Times New Roman"/>
          <w:szCs w:val="20"/>
        </w:rPr>
        <w:t xml:space="preserve">Molonglo Valley, south-east Canberra and Woden town centre areas funded through the 2019-20 Budget initiative </w:t>
      </w:r>
      <w:r w:rsidRPr="00B672E7">
        <w:rPr>
          <w:rFonts w:ascii="Calibri" w:eastAsia="Times New Roman" w:hAnsi="Calibri" w:cs="Times New Roman"/>
          <w:i/>
          <w:szCs w:val="20"/>
        </w:rPr>
        <w:t>Planning for Canberra’s future school needs.</w:t>
      </w:r>
      <w:r w:rsidRPr="00B672E7">
        <w:rPr>
          <w:rFonts w:ascii="Calibri" w:eastAsia="Times New Roman" w:hAnsi="Calibri" w:cs="Times New Roman"/>
          <w:szCs w:val="20"/>
        </w:rPr>
        <w:t xml:space="preserve">  </w:t>
      </w:r>
    </w:p>
    <w:p w14:paraId="3C4EA86C" w14:textId="77777777" w:rsidR="00CF0E2D" w:rsidRDefault="00CF0E2D" w:rsidP="00A60D4B">
      <w:pPr>
        <w:pStyle w:val="Bbodytext"/>
      </w:pPr>
      <w:r w:rsidRPr="00C61DFF">
        <w:t>This initiative contributes to the wellbeing domain of Education and life-long learning</w:t>
      </w:r>
      <w:r>
        <w:t>.</w:t>
      </w:r>
    </w:p>
    <w:p w14:paraId="30A01DD0" w14:textId="77777777" w:rsidR="00CF0E2D" w:rsidRDefault="00CF0E2D">
      <w:pPr>
        <w:rPr>
          <w:rFonts w:ascii="Calibri" w:eastAsia="Times New Roman" w:hAnsi="Calibri" w:cs="Times New Roman"/>
          <w:sz w:val="24"/>
          <w:szCs w:val="20"/>
        </w:rPr>
      </w:pPr>
      <w:r>
        <w:rPr>
          <w:rFonts w:ascii="Calibri" w:eastAsia="Times New Roman" w:hAnsi="Calibri" w:cs="Times New Roman"/>
          <w:szCs w:val="20"/>
        </w:rPr>
        <w:br w:type="page"/>
      </w:r>
    </w:p>
    <w:p w14:paraId="09A48198" w14:textId="77777777" w:rsidR="00CF0E2D" w:rsidRDefault="00CF0E2D" w:rsidP="00A60D4B">
      <w:pPr>
        <w:pStyle w:val="Heading4"/>
      </w:pPr>
      <w:r w:rsidRPr="00CF18DB">
        <w:rPr>
          <w:noProof/>
        </w:rPr>
        <w:lastRenderedPageBreak/>
        <w:drawing>
          <wp:anchor distT="0" distB="0" distL="114300" distR="114300" simplePos="0" relativeHeight="251814912" behindDoc="0" locked="1" layoutInCell="1" allowOverlap="1" wp14:anchorId="21849EBC" wp14:editId="77CA65C4">
            <wp:simplePos x="0" y="0"/>
            <wp:positionH relativeFrom="margin">
              <wp:align>right</wp:align>
            </wp:positionH>
            <wp:positionV relativeFrom="paragraph">
              <wp:posOffset>50165</wp:posOffset>
            </wp:positionV>
            <wp:extent cx="1356995" cy="503555"/>
            <wp:effectExtent l="0" t="0" r="0" b="0"/>
            <wp:wrapSquare wrapText="bothSides"/>
            <wp:docPr id="80" name="Picture 80"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r w:rsidRPr="00CF18DB">
        <w:t xml:space="preserve">New and expanded schools – </w:t>
      </w:r>
      <w:r>
        <w:t xml:space="preserve">Garran Primary School redevelopment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618C53BC" w14:textId="77777777" w:rsidTr="00A60D4B">
        <w:trPr>
          <w:cantSplit/>
          <w:jc w:val="center"/>
        </w:trPr>
        <w:tc>
          <w:tcPr>
            <w:tcW w:w="3652" w:type="dxa"/>
            <w:tcBorders>
              <w:top w:val="single" w:sz="4" w:space="0" w:color="auto"/>
              <w:bottom w:val="single" w:sz="4" w:space="0" w:color="auto"/>
            </w:tcBorders>
          </w:tcPr>
          <w:p w14:paraId="070C4D35"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7DFAAB70" w14:textId="77777777" w:rsidR="00CF0E2D" w:rsidRPr="007E0E75" w:rsidRDefault="00CF0E2D" w:rsidP="00A60D4B">
            <w:pPr>
              <w:pStyle w:val="InitFigR"/>
              <w:rPr>
                <w:b/>
                <w:bCs/>
              </w:rPr>
            </w:pPr>
            <w:r w:rsidRPr="007E0E75">
              <w:rPr>
                <w:b/>
                <w:bCs/>
              </w:rPr>
              <w:t>2021-22</w:t>
            </w:r>
          </w:p>
          <w:p w14:paraId="148FE8F1" w14:textId="77777777" w:rsidR="00CF0E2D" w:rsidRPr="007E0E75" w:rsidRDefault="00CF0E2D" w:rsidP="00A60D4B">
            <w:pPr>
              <w:pStyle w:val="InitFigR"/>
              <w:rPr>
                <w:b/>
                <w:bCs/>
              </w:rPr>
            </w:pPr>
            <w:r w:rsidRPr="007E0E75">
              <w:rPr>
                <w:b/>
                <w:bCs/>
              </w:rPr>
              <w:t>$’000</w:t>
            </w:r>
          </w:p>
        </w:tc>
        <w:tc>
          <w:tcPr>
            <w:tcW w:w="1041" w:type="dxa"/>
            <w:tcBorders>
              <w:top w:val="single" w:sz="4" w:space="0" w:color="auto"/>
              <w:bottom w:val="single" w:sz="4" w:space="0" w:color="auto"/>
            </w:tcBorders>
          </w:tcPr>
          <w:p w14:paraId="6FE825C3" w14:textId="77777777" w:rsidR="00CF0E2D" w:rsidRPr="007E0E75" w:rsidRDefault="00CF0E2D" w:rsidP="00A60D4B">
            <w:pPr>
              <w:pStyle w:val="InitFigR"/>
              <w:rPr>
                <w:b/>
                <w:bCs/>
              </w:rPr>
            </w:pPr>
            <w:r w:rsidRPr="007E0E75">
              <w:rPr>
                <w:b/>
                <w:bCs/>
              </w:rPr>
              <w:t>2022-23</w:t>
            </w:r>
          </w:p>
          <w:p w14:paraId="37FD9D3B" w14:textId="77777777" w:rsidR="00CF0E2D" w:rsidRPr="007E0E75" w:rsidRDefault="00CF0E2D" w:rsidP="00A60D4B">
            <w:pPr>
              <w:pStyle w:val="InitFigR"/>
              <w:rPr>
                <w:b/>
                <w:bCs/>
              </w:rPr>
            </w:pPr>
            <w:r w:rsidRPr="007E0E75">
              <w:rPr>
                <w:b/>
                <w:bCs/>
              </w:rPr>
              <w:t>$’000</w:t>
            </w:r>
          </w:p>
        </w:tc>
        <w:tc>
          <w:tcPr>
            <w:tcW w:w="1029" w:type="dxa"/>
            <w:tcBorders>
              <w:top w:val="single" w:sz="4" w:space="0" w:color="auto"/>
              <w:bottom w:val="single" w:sz="4" w:space="0" w:color="auto"/>
            </w:tcBorders>
          </w:tcPr>
          <w:p w14:paraId="1785AFC9" w14:textId="77777777" w:rsidR="00CF0E2D" w:rsidRPr="007E0E75" w:rsidRDefault="00CF0E2D" w:rsidP="00A60D4B">
            <w:pPr>
              <w:pStyle w:val="InitFigR"/>
              <w:rPr>
                <w:b/>
                <w:bCs/>
              </w:rPr>
            </w:pPr>
            <w:r w:rsidRPr="007E0E75">
              <w:rPr>
                <w:b/>
                <w:bCs/>
              </w:rPr>
              <w:t>2023-24</w:t>
            </w:r>
          </w:p>
          <w:p w14:paraId="7EB57334" w14:textId="77777777" w:rsidR="00CF0E2D" w:rsidRPr="007E0E75" w:rsidRDefault="00CF0E2D" w:rsidP="00A60D4B">
            <w:pPr>
              <w:pStyle w:val="InitFigR"/>
              <w:rPr>
                <w:b/>
                <w:bCs/>
              </w:rPr>
            </w:pPr>
            <w:r w:rsidRPr="007E0E75">
              <w:rPr>
                <w:b/>
                <w:bCs/>
              </w:rPr>
              <w:t>$’000</w:t>
            </w:r>
          </w:p>
        </w:tc>
        <w:tc>
          <w:tcPr>
            <w:tcW w:w="1029" w:type="dxa"/>
            <w:tcBorders>
              <w:top w:val="single" w:sz="4" w:space="0" w:color="auto"/>
              <w:bottom w:val="single" w:sz="4" w:space="0" w:color="auto"/>
            </w:tcBorders>
          </w:tcPr>
          <w:p w14:paraId="12119325" w14:textId="77777777" w:rsidR="00CF0E2D" w:rsidRPr="007E0E75" w:rsidRDefault="00CF0E2D" w:rsidP="00A60D4B">
            <w:pPr>
              <w:pStyle w:val="InitFigR"/>
              <w:rPr>
                <w:b/>
                <w:bCs/>
              </w:rPr>
            </w:pPr>
            <w:r w:rsidRPr="007E0E75">
              <w:rPr>
                <w:b/>
                <w:bCs/>
              </w:rPr>
              <w:t>2024-25</w:t>
            </w:r>
          </w:p>
          <w:p w14:paraId="4746B2A8" w14:textId="77777777" w:rsidR="00CF0E2D" w:rsidRPr="007E0E75" w:rsidRDefault="00CF0E2D" w:rsidP="00A60D4B">
            <w:pPr>
              <w:pStyle w:val="InitFigR"/>
              <w:rPr>
                <w:b/>
                <w:bCs/>
              </w:rPr>
            </w:pPr>
            <w:r w:rsidRPr="007E0E75">
              <w:rPr>
                <w:b/>
                <w:bCs/>
              </w:rPr>
              <w:t>$’000</w:t>
            </w:r>
          </w:p>
        </w:tc>
        <w:tc>
          <w:tcPr>
            <w:tcW w:w="1029" w:type="dxa"/>
            <w:tcBorders>
              <w:top w:val="single" w:sz="4" w:space="0" w:color="auto"/>
              <w:bottom w:val="single" w:sz="4" w:space="0" w:color="auto"/>
            </w:tcBorders>
          </w:tcPr>
          <w:p w14:paraId="7E40A40E" w14:textId="77777777" w:rsidR="00CF0E2D" w:rsidRPr="004E341E" w:rsidRDefault="00CF0E2D" w:rsidP="00A60D4B">
            <w:pPr>
              <w:pStyle w:val="InitFigRBold"/>
            </w:pPr>
            <w:r w:rsidRPr="004E341E">
              <w:t>Total</w:t>
            </w:r>
          </w:p>
          <w:p w14:paraId="10E2A2CD" w14:textId="77777777" w:rsidR="00CF0E2D" w:rsidRPr="004E341E" w:rsidRDefault="00CF0E2D" w:rsidP="00A60D4B">
            <w:pPr>
              <w:pStyle w:val="InitFigBR"/>
            </w:pPr>
            <w:r w:rsidRPr="004E341E">
              <w:t>$’000</w:t>
            </w:r>
          </w:p>
        </w:tc>
      </w:tr>
      <w:tr w:rsidR="00CF0E2D" w:rsidRPr="00750793" w14:paraId="7BD1F101" w14:textId="77777777" w:rsidTr="00A60D4B">
        <w:trPr>
          <w:cantSplit/>
          <w:jc w:val="center"/>
        </w:trPr>
        <w:tc>
          <w:tcPr>
            <w:tcW w:w="3652" w:type="dxa"/>
            <w:tcBorders>
              <w:top w:val="single" w:sz="4" w:space="0" w:color="auto"/>
            </w:tcBorders>
          </w:tcPr>
          <w:p w14:paraId="5F753527" w14:textId="77777777" w:rsidR="00CF0E2D" w:rsidRDefault="00CF0E2D" w:rsidP="00A60D4B">
            <w:pPr>
              <w:pStyle w:val="InitTextL"/>
              <w:ind w:left="321" w:hanging="321"/>
            </w:pPr>
            <w:r>
              <w:t>Capital</w:t>
            </w:r>
          </w:p>
        </w:tc>
        <w:tc>
          <w:tcPr>
            <w:tcW w:w="1179" w:type="dxa"/>
            <w:tcBorders>
              <w:top w:val="single" w:sz="4" w:space="0" w:color="auto"/>
            </w:tcBorders>
          </w:tcPr>
          <w:p w14:paraId="2E84FB8D" w14:textId="77777777" w:rsidR="00CF0E2D" w:rsidRDefault="00CF0E2D" w:rsidP="00A60D4B">
            <w:pPr>
              <w:pStyle w:val="InitFigR"/>
            </w:pPr>
            <w:r>
              <w:t>970</w:t>
            </w:r>
          </w:p>
        </w:tc>
        <w:tc>
          <w:tcPr>
            <w:tcW w:w="1041" w:type="dxa"/>
            <w:tcBorders>
              <w:top w:val="single" w:sz="4" w:space="0" w:color="auto"/>
            </w:tcBorders>
          </w:tcPr>
          <w:p w14:paraId="3EB316A8" w14:textId="77777777" w:rsidR="00CF0E2D" w:rsidRDefault="00CF0E2D" w:rsidP="00A60D4B">
            <w:pPr>
              <w:pStyle w:val="InitFigR"/>
            </w:pPr>
            <w:r>
              <w:t>0</w:t>
            </w:r>
          </w:p>
        </w:tc>
        <w:tc>
          <w:tcPr>
            <w:tcW w:w="1029" w:type="dxa"/>
            <w:tcBorders>
              <w:top w:val="single" w:sz="4" w:space="0" w:color="auto"/>
            </w:tcBorders>
          </w:tcPr>
          <w:p w14:paraId="7778FAFA" w14:textId="77777777" w:rsidR="00CF0E2D" w:rsidRDefault="00CF0E2D" w:rsidP="00A60D4B">
            <w:pPr>
              <w:pStyle w:val="InitFigR"/>
            </w:pPr>
            <w:r>
              <w:t>0</w:t>
            </w:r>
          </w:p>
        </w:tc>
        <w:tc>
          <w:tcPr>
            <w:tcW w:w="1029" w:type="dxa"/>
            <w:tcBorders>
              <w:top w:val="single" w:sz="4" w:space="0" w:color="auto"/>
            </w:tcBorders>
          </w:tcPr>
          <w:p w14:paraId="774141C0" w14:textId="77777777" w:rsidR="00CF0E2D" w:rsidRDefault="00CF0E2D" w:rsidP="00A60D4B">
            <w:pPr>
              <w:pStyle w:val="InitFigR"/>
            </w:pPr>
            <w:r>
              <w:t>0</w:t>
            </w:r>
          </w:p>
        </w:tc>
        <w:tc>
          <w:tcPr>
            <w:tcW w:w="1029" w:type="dxa"/>
            <w:tcBorders>
              <w:top w:val="single" w:sz="4" w:space="0" w:color="auto"/>
            </w:tcBorders>
          </w:tcPr>
          <w:p w14:paraId="1D84698C" w14:textId="77777777" w:rsidR="00CF0E2D" w:rsidRPr="00152A21" w:rsidRDefault="00CF0E2D" w:rsidP="00A60D4B">
            <w:pPr>
              <w:pStyle w:val="InitFigRBold"/>
              <w:rPr>
                <w:bCs/>
              </w:rPr>
            </w:pPr>
            <w:r>
              <w:rPr>
                <w:bCs/>
              </w:rPr>
              <w:t>97</w:t>
            </w:r>
            <w:r w:rsidRPr="00152A21">
              <w:rPr>
                <w:bCs/>
              </w:rPr>
              <w:t>0</w:t>
            </w:r>
          </w:p>
        </w:tc>
      </w:tr>
      <w:tr w:rsidR="00CF0E2D" w:rsidRPr="00750793" w14:paraId="6291F7FD" w14:textId="77777777" w:rsidTr="00A60D4B">
        <w:trPr>
          <w:cantSplit/>
          <w:jc w:val="center"/>
        </w:trPr>
        <w:tc>
          <w:tcPr>
            <w:tcW w:w="3652" w:type="dxa"/>
            <w:tcBorders>
              <w:bottom w:val="single" w:sz="4" w:space="0" w:color="auto"/>
            </w:tcBorders>
          </w:tcPr>
          <w:p w14:paraId="4017A8B4" w14:textId="77777777" w:rsidR="00CF0E2D" w:rsidRDefault="00CF0E2D" w:rsidP="00A60D4B">
            <w:pPr>
              <w:pStyle w:val="InitTextL"/>
              <w:ind w:left="321" w:hanging="321"/>
            </w:pPr>
            <w:r>
              <w:t>Capital – Provision</w:t>
            </w:r>
          </w:p>
        </w:tc>
        <w:tc>
          <w:tcPr>
            <w:tcW w:w="1179" w:type="dxa"/>
            <w:tcBorders>
              <w:bottom w:val="single" w:sz="4" w:space="0" w:color="auto"/>
            </w:tcBorders>
          </w:tcPr>
          <w:p w14:paraId="66AFC63F" w14:textId="77777777" w:rsidR="00CF0E2D" w:rsidRDefault="00CF0E2D" w:rsidP="00A60D4B">
            <w:pPr>
              <w:pStyle w:val="InitFigR"/>
            </w:pPr>
            <w:r>
              <w:t>0</w:t>
            </w:r>
          </w:p>
        </w:tc>
        <w:tc>
          <w:tcPr>
            <w:tcW w:w="1041" w:type="dxa"/>
            <w:tcBorders>
              <w:bottom w:val="single" w:sz="4" w:space="0" w:color="auto"/>
            </w:tcBorders>
          </w:tcPr>
          <w:p w14:paraId="00555C52" w14:textId="77777777" w:rsidR="00CF0E2D" w:rsidRDefault="00CF0E2D" w:rsidP="00A60D4B">
            <w:pPr>
              <w:pStyle w:val="InitFigR"/>
            </w:pPr>
            <w:r>
              <w:t>NFP</w:t>
            </w:r>
          </w:p>
        </w:tc>
        <w:tc>
          <w:tcPr>
            <w:tcW w:w="1029" w:type="dxa"/>
            <w:tcBorders>
              <w:bottom w:val="single" w:sz="4" w:space="0" w:color="auto"/>
            </w:tcBorders>
          </w:tcPr>
          <w:p w14:paraId="65C36BCF" w14:textId="77777777" w:rsidR="00CF0E2D" w:rsidRDefault="00CF0E2D" w:rsidP="00A60D4B">
            <w:pPr>
              <w:pStyle w:val="InitFigR"/>
            </w:pPr>
            <w:r>
              <w:t>NFP</w:t>
            </w:r>
          </w:p>
        </w:tc>
        <w:tc>
          <w:tcPr>
            <w:tcW w:w="1029" w:type="dxa"/>
            <w:tcBorders>
              <w:bottom w:val="single" w:sz="4" w:space="0" w:color="auto"/>
            </w:tcBorders>
          </w:tcPr>
          <w:p w14:paraId="150BE2FB" w14:textId="77777777" w:rsidR="00CF0E2D" w:rsidRDefault="00CF0E2D" w:rsidP="00A60D4B">
            <w:pPr>
              <w:pStyle w:val="InitFigR"/>
            </w:pPr>
            <w:r>
              <w:t>NFP</w:t>
            </w:r>
          </w:p>
        </w:tc>
        <w:tc>
          <w:tcPr>
            <w:tcW w:w="1029" w:type="dxa"/>
            <w:tcBorders>
              <w:bottom w:val="single" w:sz="4" w:space="0" w:color="auto"/>
            </w:tcBorders>
          </w:tcPr>
          <w:p w14:paraId="040F85F0" w14:textId="77777777" w:rsidR="00CF0E2D" w:rsidRDefault="00CF0E2D" w:rsidP="00A60D4B">
            <w:pPr>
              <w:pStyle w:val="InitFigRBold"/>
              <w:rPr>
                <w:bCs/>
              </w:rPr>
            </w:pPr>
            <w:r>
              <w:rPr>
                <w:bCs/>
              </w:rPr>
              <w:t>NFP</w:t>
            </w:r>
          </w:p>
        </w:tc>
      </w:tr>
    </w:tbl>
    <w:p w14:paraId="14E3A0C5" w14:textId="2FD07C2F" w:rsidR="00CF0E2D" w:rsidRPr="005A48B6" w:rsidRDefault="00CF0E2D" w:rsidP="00A60D4B">
      <w:pPr>
        <w:pStyle w:val="Bbodytext"/>
        <w:rPr>
          <w:rFonts w:ascii="Calibri" w:eastAsia="Times New Roman" w:hAnsi="Calibri" w:cs="Times New Roman"/>
          <w:szCs w:val="20"/>
        </w:rPr>
      </w:pPr>
      <w:r w:rsidRPr="005A48B6">
        <w:t xml:space="preserve">The Government will prepare to modernise Garran </w:t>
      </w:r>
      <w:r w:rsidRPr="005A48B6">
        <w:rPr>
          <w:rFonts w:ascii="Calibri" w:eastAsia="Times New Roman" w:hAnsi="Calibri" w:cs="Times New Roman"/>
          <w:szCs w:val="20"/>
        </w:rPr>
        <w:t>Primary School including increasing the school’s capacity up to 800 places to respond to enrolment growth in the Woden region.</w:t>
      </w:r>
    </w:p>
    <w:p w14:paraId="7B9B62B4" w14:textId="77777777" w:rsidR="00CF0E2D" w:rsidRPr="005A48B6" w:rsidRDefault="00CF0E2D" w:rsidP="00A60D4B">
      <w:pPr>
        <w:pStyle w:val="Bbodytext"/>
        <w:rPr>
          <w:rFonts w:ascii="Calibri" w:eastAsia="Times New Roman" w:hAnsi="Calibri" w:cs="Times New Roman"/>
          <w:szCs w:val="20"/>
        </w:rPr>
      </w:pPr>
      <w:r w:rsidRPr="005A48B6">
        <w:t xml:space="preserve">The capital </w:t>
      </w:r>
      <w:r>
        <w:t>provision</w:t>
      </w:r>
      <w:r w:rsidRPr="005A48B6">
        <w:t xml:space="preserve"> is not for publication (NFP) due to commercial-in-confidence sensitivities.</w:t>
      </w:r>
    </w:p>
    <w:p w14:paraId="13269BFD" w14:textId="77777777" w:rsidR="00CF0E2D" w:rsidRPr="005A48B6" w:rsidRDefault="00CF0E2D" w:rsidP="00A60D4B">
      <w:pPr>
        <w:pStyle w:val="Bbodytext"/>
        <w:rPr>
          <w:rFonts w:ascii="Calibri" w:eastAsia="Times New Roman" w:hAnsi="Calibri" w:cs="Times New Roman"/>
          <w:szCs w:val="20"/>
        </w:rPr>
      </w:pPr>
      <w:r w:rsidRPr="005A48B6">
        <w:t>This initiative builds on the fun</w:t>
      </w:r>
      <w:r w:rsidRPr="005A48B6">
        <w:rPr>
          <w:rFonts w:ascii="Calibri" w:eastAsia="Times New Roman" w:hAnsi="Calibri" w:cs="Times New Roman"/>
          <w:szCs w:val="20"/>
        </w:rPr>
        <w:t xml:space="preserve">ding provided in the August 2020 Economic and </w:t>
      </w:r>
      <w:r>
        <w:rPr>
          <w:rFonts w:ascii="Calibri" w:eastAsia="Times New Roman" w:hAnsi="Calibri" w:cs="Times New Roman"/>
          <w:szCs w:val="20"/>
        </w:rPr>
        <w:t>F</w:t>
      </w:r>
      <w:r w:rsidRPr="005A48B6">
        <w:rPr>
          <w:rFonts w:ascii="Calibri" w:eastAsia="Times New Roman" w:hAnsi="Calibri" w:cs="Times New Roman"/>
          <w:szCs w:val="20"/>
        </w:rPr>
        <w:t xml:space="preserve">iscal Update to install Modular </w:t>
      </w:r>
      <w:r>
        <w:rPr>
          <w:rFonts w:ascii="Calibri" w:eastAsia="Times New Roman" w:hAnsi="Calibri" w:cs="Times New Roman"/>
          <w:szCs w:val="20"/>
        </w:rPr>
        <w:t>L</w:t>
      </w:r>
      <w:r w:rsidRPr="005A48B6">
        <w:rPr>
          <w:rFonts w:ascii="Calibri" w:eastAsia="Times New Roman" w:hAnsi="Calibri" w:cs="Times New Roman"/>
          <w:szCs w:val="20"/>
        </w:rPr>
        <w:t>earning Centres at Garran Primary School, Red Hill Primary School, Forrest Primary School and Mawson Primary School.</w:t>
      </w:r>
    </w:p>
    <w:p w14:paraId="4B3AF17B" w14:textId="77777777" w:rsidR="00CF0E2D" w:rsidRDefault="00CF0E2D" w:rsidP="00A60D4B">
      <w:pPr>
        <w:pStyle w:val="Bbodytext"/>
        <w:rPr>
          <w:rFonts w:ascii="Calibri" w:eastAsia="Times New Roman" w:hAnsi="Calibri" w:cs="Times New Roman"/>
          <w:szCs w:val="20"/>
        </w:rPr>
      </w:pPr>
      <w:r w:rsidRPr="005A48B6">
        <w:t>This initiative contributes to the wellbeing domain of Educ</w:t>
      </w:r>
      <w:r w:rsidRPr="005A48B6">
        <w:rPr>
          <w:rFonts w:ascii="Calibri" w:eastAsia="Times New Roman" w:hAnsi="Calibri" w:cs="Times New Roman"/>
          <w:szCs w:val="20"/>
        </w:rPr>
        <w:t>ation</w:t>
      </w:r>
      <w:r>
        <w:rPr>
          <w:rFonts w:ascii="Calibri" w:eastAsia="Times New Roman" w:hAnsi="Calibri" w:cs="Times New Roman"/>
          <w:szCs w:val="20"/>
        </w:rPr>
        <w:t xml:space="preserve"> and life-long learning.</w:t>
      </w:r>
    </w:p>
    <w:p w14:paraId="2F4EDAD8" w14:textId="77777777" w:rsidR="00CF0E2D" w:rsidRDefault="00CF0E2D" w:rsidP="00A60D4B">
      <w:pPr>
        <w:pStyle w:val="Heading4"/>
      </w:pPr>
    </w:p>
    <w:p w14:paraId="7F2E5E2A" w14:textId="77777777" w:rsidR="00CF0E2D" w:rsidRPr="0037239A" w:rsidRDefault="00CF0E2D" w:rsidP="00A60D4B">
      <w:pPr>
        <w:pStyle w:val="Heading4"/>
      </w:pPr>
      <w:r w:rsidRPr="004E3082">
        <w:t xml:space="preserve">New and expanded schools </w:t>
      </w:r>
      <w:r w:rsidRPr="0037239A">
        <w:t xml:space="preserve">– Increasing </w:t>
      </w:r>
      <w:r>
        <w:t>s</w:t>
      </w:r>
      <w:r w:rsidRPr="0037239A">
        <w:t xml:space="preserve">chool </w:t>
      </w:r>
      <w:r>
        <w:t>ca</w:t>
      </w:r>
      <w:r w:rsidRPr="0037239A">
        <w:t xml:space="preserve">pacity </w:t>
      </w:r>
      <w:r>
        <w:rPr>
          <w:b w:val="0"/>
          <w:noProof/>
          <w:color w:val="999789"/>
          <w:sz w:val="32"/>
          <w:szCs w:val="24"/>
        </w:rPr>
        <w:drawing>
          <wp:anchor distT="0" distB="0" distL="114300" distR="114300" simplePos="0" relativeHeight="251815936" behindDoc="0" locked="1" layoutInCell="1" allowOverlap="1" wp14:anchorId="2AAEF762" wp14:editId="155522BA">
            <wp:simplePos x="0" y="0"/>
            <wp:positionH relativeFrom="margin">
              <wp:posOffset>4389120</wp:posOffset>
            </wp:positionH>
            <wp:positionV relativeFrom="paragraph">
              <wp:posOffset>-142240</wp:posOffset>
            </wp:positionV>
            <wp:extent cx="1356995" cy="503555"/>
            <wp:effectExtent l="0" t="0" r="0" b="0"/>
            <wp:wrapSquare wrapText="bothSides"/>
            <wp:docPr id="128" name="Picture 128"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32449F1A" w14:textId="77777777" w:rsidTr="00A60D4B">
        <w:trPr>
          <w:cantSplit/>
          <w:jc w:val="center"/>
        </w:trPr>
        <w:tc>
          <w:tcPr>
            <w:tcW w:w="3652" w:type="dxa"/>
            <w:tcBorders>
              <w:top w:val="single" w:sz="4" w:space="0" w:color="auto"/>
              <w:bottom w:val="single" w:sz="4" w:space="0" w:color="auto"/>
            </w:tcBorders>
          </w:tcPr>
          <w:p w14:paraId="30DF7F53"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0924559E" w14:textId="77777777" w:rsidR="00CF0E2D" w:rsidRPr="00AC1349" w:rsidRDefault="00CF0E2D" w:rsidP="00A60D4B">
            <w:pPr>
              <w:pStyle w:val="InitFigR"/>
              <w:rPr>
                <w:b/>
                <w:bCs/>
              </w:rPr>
            </w:pPr>
            <w:r w:rsidRPr="00AC1349">
              <w:rPr>
                <w:b/>
                <w:bCs/>
              </w:rPr>
              <w:t>2021-22</w:t>
            </w:r>
          </w:p>
          <w:p w14:paraId="51F5464B" w14:textId="77777777" w:rsidR="00CF0E2D" w:rsidRPr="00AC1349" w:rsidRDefault="00CF0E2D" w:rsidP="00A60D4B">
            <w:pPr>
              <w:pStyle w:val="InitFigR"/>
              <w:rPr>
                <w:b/>
                <w:bCs/>
              </w:rPr>
            </w:pPr>
            <w:r w:rsidRPr="00AC1349">
              <w:rPr>
                <w:b/>
                <w:bCs/>
              </w:rPr>
              <w:t>$’000</w:t>
            </w:r>
          </w:p>
        </w:tc>
        <w:tc>
          <w:tcPr>
            <w:tcW w:w="1041" w:type="dxa"/>
            <w:tcBorders>
              <w:top w:val="single" w:sz="4" w:space="0" w:color="auto"/>
              <w:bottom w:val="single" w:sz="4" w:space="0" w:color="auto"/>
            </w:tcBorders>
          </w:tcPr>
          <w:p w14:paraId="4996986B" w14:textId="77777777" w:rsidR="00CF0E2D" w:rsidRPr="00AC1349" w:rsidRDefault="00CF0E2D" w:rsidP="00A60D4B">
            <w:pPr>
              <w:pStyle w:val="InitFigR"/>
              <w:rPr>
                <w:b/>
                <w:bCs/>
              </w:rPr>
            </w:pPr>
            <w:r w:rsidRPr="00AC1349">
              <w:rPr>
                <w:b/>
                <w:bCs/>
              </w:rPr>
              <w:t>2022-23</w:t>
            </w:r>
          </w:p>
          <w:p w14:paraId="31620D4D"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19A500F1" w14:textId="77777777" w:rsidR="00CF0E2D" w:rsidRPr="00AC1349" w:rsidRDefault="00CF0E2D" w:rsidP="00A60D4B">
            <w:pPr>
              <w:pStyle w:val="InitFigR"/>
              <w:rPr>
                <w:b/>
                <w:bCs/>
              </w:rPr>
            </w:pPr>
            <w:r w:rsidRPr="00AC1349">
              <w:rPr>
                <w:b/>
                <w:bCs/>
              </w:rPr>
              <w:t>2023-24</w:t>
            </w:r>
          </w:p>
          <w:p w14:paraId="6A21D957"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2F9BDCDC" w14:textId="77777777" w:rsidR="00CF0E2D" w:rsidRPr="00AC1349" w:rsidRDefault="00CF0E2D" w:rsidP="00A60D4B">
            <w:pPr>
              <w:pStyle w:val="InitFigR"/>
              <w:rPr>
                <w:b/>
                <w:bCs/>
              </w:rPr>
            </w:pPr>
            <w:r w:rsidRPr="00AC1349">
              <w:rPr>
                <w:b/>
                <w:bCs/>
              </w:rPr>
              <w:t>2024-25</w:t>
            </w:r>
          </w:p>
          <w:p w14:paraId="0974C03D"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5EFF8F3E" w14:textId="77777777" w:rsidR="00CF0E2D" w:rsidRPr="004E341E" w:rsidRDefault="00CF0E2D" w:rsidP="00A60D4B">
            <w:pPr>
              <w:pStyle w:val="InitFigRBold"/>
            </w:pPr>
            <w:r w:rsidRPr="004E341E">
              <w:t>Total</w:t>
            </w:r>
          </w:p>
          <w:p w14:paraId="0D272860" w14:textId="77777777" w:rsidR="00CF0E2D" w:rsidRPr="004E341E" w:rsidRDefault="00CF0E2D" w:rsidP="00A60D4B">
            <w:pPr>
              <w:pStyle w:val="InitFigBR"/>
            </w:pPr>
            <w:r w:rsidRPr="004E341E">
              <w:t>$’000</w:t>
            </w:r>
          </w:p>
        </w:tc>
      </w:tr>
      <w:tr w:rsidR="00CF0E2D" w:rsidRPr="00750793" w14:paraId="2C0BB205" w14:textId="77777777" w:rsidTr="00A60D4B">
        <w:trPr>
          <w:cantSplit/>
          <w:jc w:val="center"/>
        </w:trPr>
        <w:tc>
          <w:tcPr>
            <w:tcW w:w="3652" w:type="dxa"/>
            <w:tcBorders>
              <w:top w:val="single" w:sz="4" w:space="0" w:color="auto"/>
            </w:tcBorders>
          </w:tcPr>
          <w:p w14:paraId="0D987314" w14:textId="77777777" w:rsidR="00CF0E2D" w:rsidRDefault="00CF0E2D" w:rsidP="00A60D4B">
            <w:pPr>
              <w:pStyle w:val="InitTextL"/>
              <w:ind w:left="321" w:hanging="321"/>
            </w:pPr>
            <w:r>
              <w:t>Capital</w:t>
            </w:r>
          </w:p>
        </w:tc>
        <w:tc>
          <w:tcPr>
            <w:tcW w:w="1179" w:type="dxa"/>
            <w:tcBorders>
              <w:top w:val="single" w:sz="4" w:space="0" w:color="auto"/>
            </w:tcBorders>
          </w:tcPr>
          <w:p w14:paraId="2C837672" w14:textId="77777777" w:rsidR="00CF0E2D" w:rsidRDefault="00CF0E2D" w:rsidP="00A60D4B">
            <w:pPr>
              <w:pStyle w:val="InitFigR"/>
            </w:pPr>
            <w:r>
              <w:t>19,800</w:t>
            </w:r>
          </w:p>
        </w:tc>
        <w:tc>
          <w:tcPr>
            <w:tcW w:w="1041" w:type="dxa"/>
            <w:tcBorders>
              <w:top w:val="single" w:sz="4" w:space="0" w:color="auto"/>
            </w:tcBorders>
          </w:tcPr>
          <w:p w14:paraId="4A63C563" w14:textId="77777777" w:rsidR="00CF0E2D" w:rsidRDefault="00CF0E2D" w:rsidP="00A60D4B">
            <w:pPr>
              <w:pStyle w:val="InitFigR"/>
            </w:pPr>
            <w:r>
              <w:t>0</w:t>
            </w:r>
          </w:p>
        </w:tc>
        <w:tc>
          <w:tcPr>
            <w:tcW w:w="1029" w:type="dxa"/>
            <w:tcBorders>
              <w:top w:val="single" w:sz="4" w:space="0" w:color="auto"/>
            </w:tcBorders>
          </w:tcPr>
          <w:p w14:paraId="709835DD" w14:textId="77777777" w:rsidR="00CF0E2D" w:rsidRDefault="00CF0E2D" w:rsidP="00A60D4B">
            <w:pPr>
              <w:pStyle w:val="InitFigR"/>
            </w:pPr>
            <w:r>
              <w:t>0</w:t>
            </w:r>
          </w:p>
        </w:tc>
        <w:tc>
          <w:tcPr>
            <w:tcW w:w="1029" w:type="dxa"/>
            <w:tcBorders>
              <w:top w:val="single" w:sz="4" w:space="0" w:color="auto"/>
            </w:tcBorders>
          </w:tcPr>
          <w:p w14:paraId="1A574364" w14:textId="77777777" w:rsidR="00CF0E2D" w:rsidRDefault="00CF0E2D" w:rsidP="00A60D4B">
            <w:pPr>
              <w:pStyle w:val="InitFigR"/>
            </w:pPr>
            <w:r>
              <w:t>0</w:t>
            </w:r>
          </w:p>
        </w:tc>
        <w:tc>
          <w:tcPr>
            <w:tcW w:w="1029" w:type="dxa"/>
            <w:tcBorders>
              <w:top w:val="single" w:sz="4" w:space="0" w:color="auto"/>
            </w:tcBorders>
          </w:tcPr>
          <w:p w14:paraId="20C12095" w14:textId="77777777" w:rsidR="00CF0E2D" w:rsidRPr="00AC1349" w:rsidRDefault="00CF0E2D" w:rsidP="00A60D4B">
            <w:pPr>
              <w:pStyle w:val="InitFigRBold"/>
              <w:rPr>
                <w:bCs/>
              </w:rPr>
            </w:pPr>
            <w:r w:rsidRPr="00AC1349">
              <w:rPr>
                <w:bCs/>
              </w:rPr>
              <w:t>19,800</w:t>
            </w:r>
          </w:p>
        </w:tc>
      </w:tr>
      <w:tr w:rsidR="00CF0E2D" w:rsidRPr="00750793" w14:paraId="76A632D1" w14:textId="77777777" w:rsidTr="00A60D4B">
        <w:trPr>
          <w:cantSplit/>
          <w:jc w:val="center"/>
        </w:trPr>
        <w:tc>
          <w:tcPr>
            <w:tcW w:w="3652" w:type="dxa"/>
            <w:tcBorders>
              <w:top w:val="single" w:sz="4" w:space="0" w:color="auto"/>
            </w:tcBorders>
          </w:tcPr>
          <w:p w14:paraId="57B94501" w14:textId="77777777" w:rsidR="00CF0E2D" w:rsidRPr="00D13A71" w:rsidRDefault="00CF0E2D" w:rsidP="00A60D4B">
            <w:pPr>
              <w:pStyle w:val="InitTextL"/>
              <w:ind w:left="321" w:hanging="321"/>
              <w:rPr>
                <w:b/>
                <w:bCs/>
              </w:rPr>
            </w:pPr>
            <w:r>
              <w:t>Depreciation</w:t>
            </w:r>
          </w:p>
        </w:tc>
        <w:tc>
          <w:tcPr>
            <w:tcW w:w="1179" w:type="dxa"/>
            <w:tcBorders>
              <w:top w:val="single" w:sz="4" w:space="0" w:color="auto"/>
            </w:tcBorders>
          </w:tcPr>
          <w:p w14:paraId="7999135F" w14:textId="77777777" w:rsidR="00CF0E2D" w:rsidRDefault="00CF0E2D" w:rsidP="00A60D4B">
            <w:pPr>
              <w:pStyle w:val="InitFigR"/>
            </w:pPr>
            <w:r>
              <w:t>990</w:t>
            </w:r>
          </w:p>
        </w:tc>
        <w:tc>
          <w:tcPr>
            <w:tcW w:w="1041" w:type="dxa"/>
            <w:tcBorders>
              <w:top w:val="single" w:sz="4" w:space="0" w:color="auto"/>
            </w:tcBorders>
          </w:tcPr>
          <w:p w14:paraId="008925D1" w14:textId="77777777" w:rsidR="00CF0E2D" w:rsidRDefault="00CF0E2D" w:rsidP="00A60D4B">
            <w:pPr>
              <w:pStyle w:val="InitFigR"/>
            </w:pPr>
            <w:r>
              <w:t>1,980</w:t>
            </w:r>
          </w:p>
        </w:tc>
        <w:tc>
          <w:tcPr>
            <w:tcW w:w="1029" w:type="dxa"/>
            <w:tcBorders>
              <w:top w:val="single" w:sz="4" w:space="0" w:color="auto"/>
            </w:tcBorders>
          </w:tcPr>
          <w:p w14:paraId="287C719C" w14:textId="77777777" w:rsidR="00CF0E2D" w:rsidRDefault="00CF0E2D" w:rsidP="00A60D4B">
            <w:pPr>
              <w:pStyle w:val="InitFigR"/>
            </w:pPr>
            <w:r>
              <w:t>1,980</w:t>
            </w:r>
          </w:p>
        </w:tc>
        <w:tc>
          <w:tcPr>
            <w:tcW w:w="1029" w:type="dxa"/>
            <w:tcBorders>
              <w:top w:val="single" w:sz="4" w:space="0" w:color="auto"/>
            </w:tcBorders>
          </w:tcPr>
          <w:p w14:paraId="491F275E" w14:textId="77777777" w:rsidR="00CF0E2D" w:rsidRDefault="00CF0E2D" w:rsidP="00A60D4B">
            <w:pPr>
              <w:pStyle w:val="InitFigR"/>
            </w:pPr>
            <w:r>
              <w:t>1,980</w:t>
            </w:r>
          </w:p>
        </w:tc>
        <w:tc>
          <w:tcPr>
            <w:tcW w:w="1029" w:type="dxa"/>
            <w:tcBorders>
              <w:top w:val="single" w:sz="4" w:space="0" w:color="auto"/>
            </w:tcBorders>
          </w:tcPr>
          <w:p w14:paraId="4B36213E" w14:textId="77777777" w:rsidR="00CF0E2D" w:rsidRPr="00AC1349" w:rsidRDefault="00CF0E2D" w:rsidP="00A60D4B">
            <w:pPr>
              <w:pStyle w:val="InitFigRBold"/>
              <w:rPr>
                <w:bCs/>
              </w:rPr>
            </w:pPr>
            <w:r w:rsidRPr="00AC1349">
              <w:rPr>
                <w:bCs/>
              </w:rPr>
              <w:t>6,930</w:t>
            </w:r>
          </w:p>
        </w:tc>
      </w:tr>
      <w:tr w:rsidR="00CF0E2D" w:rsidRPr="00750793" w14:paraId="07074307" w14:textId="77777777" w:rsidTr="00A60D4B">
        <w:trPr>
          <w:cantSplit/>
          <w:jc w:val="center"/>
        </w:trPr>
        <w:tc>
          <w:tcPr>
            <w:tcW w:w="3652" w:type="dxa"/>
          </w:tcPr>
          <w:p w14:paraId="60F88053" w14:textId="77777777" w:rsidR="00CF0E2D" w:rsidRPr="00F13FAB" w:rsidRDefault="00CF0E2D" w:rsidP="00A60D4B">
            <w:pPr>
              <w:pStyle w:val="InitTextL"/>
              <w:ind w:left="321" w:hanging="321"/>
            </w:pPr>
            <w:r w:rsidRPr="00882BE2">
              <w:t>Expenses</w:t>
            </w:r>
          </w:p>
        </w:tc>
        <w:tc>
          <w:tcPr>
            <w:tcW w:w="1179" w:type="dxa"/>
          </w:tcPr>
          <w:p w14:paraId="385FC87E" w14:textId="77777777" w:rsidR="00CF0E2D" w:rsidRPr="00424DA4" w:rsidRDefault="00CF0E2D" w:rsidP="00A60D4B">
            <w:pPr>
              <w:pStyle w:val="InitFigR"/>
            </w:pPr>
            <w:r>
              <w:t>0</w:t>
            </w:r>
          </w:p>
        </w:tc>
        <w:tc>
          <w:tcPr>
            <w:tcW w:w="1041" w:type="dxa"/>
          </w:tcPr>
          <w:p w14:paraId="4D9B6988" w14:textId="77777777" w:rsidR="00CF0E2D" w:rsidRPr="00424DA4" w:rsidRDefault="00CF0E2D" w:rsidP="00A60D4B">
            <w:pPr>
              <w:pStyle w:val="InitFigR"/>
            </w:pPr>
            <w:r>
              <w:t>594</w:t>
            </w:r>
          </w:p>
        </w:tc>
        <w:tc>
          <w:tcPr>
            <w:tcW w:w="1029" w:type="dxa"/>
          </w:tcPr>
          <w:p w14:paraId="5E2C657D" w14:textId="77777777" w:rsidR="00CF0E2D" w:rsidRPr="00424DA4" w:rsidRDefault="00CF0E2D" w:rsidP="00A60D4B">
            <w:pPr>
              <w:pStyle w:val="InitFigR"/>
            </w:pPr>
            <w:r>
              <w:t>594</w:t>
            </w:r>
          </w:p>
        </w:tc>
        <w:tc>
          <w:tcPr>
            <w:tcW w:w="1029" w:type="dxa"/>
          </w:tcPr>
          <w:p w14:paraId="683E5981" w14:textId="77777777" w:rsidR="00CF0E2D" w:rsidRPr="00424DA4" w:rsidRDefault="00CF0E2D" w:rsidP="00A60D4B">
            <w:pPr>
              <w:pStyle w:val="InitFigR"/>
            </w:pPr>
            <w:r>
              <w:t>594</w:t>
            </w:r>
          </w:p>
        </w:tc>
        <w:tc>
          <w:tcPr>
            <w:tcW w:w="1029" w:type="dxa"/>
          </w:tcPr>
          <w:p w14:paraId="3AFC95B0" w14:textId="77777777" w:rsidR="00CF0E2D" w:rsidRPr="00424DA4" w:rsidRDefault="00CF0E2D" w:rsidP="00A60D4B">
            <w:pPr>
              <w:pStyle w:val="InitFigBR"/>
            </w:pPr>
            <w:r>
              <w:t>1,782</w:t>
            </w:r>
          </w:p>
        </w:tc>
      </w:tr>
      <w:tr w:rsidR="00CF0E2D" w:rsidRPr="00750793" w14:paraId="02A4FF1D" w14:textId="77777777" w:rsidTr="00A60D4B">
        <w:trPr>
          <w:cantSplit/>
          <w:trHeight w:val="107"/>
          <w:jc w:val="center"/>
        </w:trPr>
        <w:tc>
          <w:tcPr>
            <w:tcW w:w="3652" w:type="dxa"/>
            <w:tcBorders>
              <w:top w:val="single" w:sz="4" w:space="0" w:color="auto"/>
              <w:bottom w:val="single" w:sz="4" w:space="0" w:color="auto"/>
            </w:tcBorders>
          </w:tcPr>
          <w:p w14:paraId="3CA31EF6"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58E79EC7" w14:textId="77777777" w:rsidR="00CF0E2D" w:rsidRPr="00424DA4" w:rsidRDefault="00CF0E2D" w:rsidP="00A60D4B">
            <w:pPr>
              <w:pStyle w:val="InitFigRBold"/>
            </w:pPr>
            <w:r>
              <w:t>990</w:t>
            </w:r>
          </w:p>
        </w:tc>
        <w:tc>
          <w:tcPr>
            <w:tcW w:w="1041" w:type="dxa"/>
            <w:tcBorders>
              <w:top w:val="single" w:sz="4" w:space="0" w:color="auto"/>
              <w:bottom w:val="single" w:sz="4" w:space="0" w:color="auto"/>
            </w:tcBorders>
          </w:tcPr>
          <w:p w14:paraId="48C32936" w14:textId="77777777" w:rsidR="00CF0E2D" w:rsidRPr="00424DA4" w:rsidRDefault="00CF0E2D" w:rsidP="00A60D4B">
            <w:pPr>
              <w:pStyle w:val="InitFigRBold"/>
            </w:pPr>
            <w:r>
              <w:t>2,574</w:t>
            </w:r>
          </w:p>
        </w:tc>
        <w:tc>
          <w:tcPr>
            <w:tcW w:w="1029" w:type="dxa"/>
            <w:tcBorders>
              <w:top w:val="single" w:sz="4" w:space="0" w:color="auto"/>
              <w:bottom w:val="single" w:sz="4" w:space="0" w:color="auto"/>
            </w:tcBorders>
          </w:tcPr>
          <w:p w14:paraId="0210CC32" w14:textId="77777777" w:rsidR="00CF0E2D" w:rsidRPr="00424DA4" w:rsidRDefault="00CF0E2D" w:rsidP="00A60D4B">
            <w:pPr>
              <w:pStyle w:val="InitFigRBold"/>
            </w:pPr>
            <w:r>
              <w:t>2,574</w:t>
            </w:r>
          </w:p>
        </w:tc>
        <w:tc>
          <w:tcPr>
            <w:tcW w:w="1029" w:type="dxa"/>
            <w:tcBorders>
              <w:top w:val="single" w:sz="4" w:space="0" w:color="auto"/>
              <w:bottom w:val="single" w:sz="4" w:space="0" w:color="auto"/>
            </w:tcBorders>
          </w:tcPr>
          <w:p w14:paraId="597649E4" w14:textId="77777777" w:rsidR="00CF0E2D" w:rsidRPr="00424DA4" w:rsidRDefault="00CF0E2D" w:rsidP="00A60D4B">
            <w:pPr>
              <w:pStyle w:val="InitFigRBold"/>
            </w:pPr>
            <w:r>
              <w:t>2,574</w:t>
            </w:r>
          </w:p>
        </w:tc>
        <w:tc>
          <w:tcPr>
            <w:tcW w:w="1029" w:type="dxa"/>
            <w:tcBorders>
              <w:top w:val="single" w:sz="4" w:space="0" w:color="auto"/>
              <w:bottom w:val="single" w:sz="4" w:space="0" w:color="auto"/>
            </w:tcBorders>
          </w:tcPr>
          <w:p w14:paraId="29FDA4B8" w14:textId="77777777" w:rsidR="00CF0E2D" w:rsidRPr="00424DA4" w:rsidRDefault="00CF0E2D" w:rsidP="00A60D4B">
            <w:pPr>
              <w:pStyle w:val="InitFigRBold"/>
            </w:pPr>
            <w:r>
              <w:t>8,712</w:t>
            </w:r>
          </w:p>
        </w:tc>
      </w:tr>
    </w:tbl>
    <w:p w14:paraId="0EDBADF7" w14:textId="77777777" w:rsidR="00CF0E2D" w:rsidRPr="0037239A" w:rsidRDefault="00CF0E2D" w:rsidP="00A60D4B">
      <w:pPr>
        <w:pStyle w:val="Bbodytext"/>
        <w:rPr>
          <w:rFonts w:ascii="Calibri" w:eastAsia="Times New Roman" w:hAnsi="Calibri" w:cs="Times New Roman"/>
          <w:szCs w:val="20"/>
        </w:rPr>
      </w:pPr>
      <w:r w:rsidRPr="0037239A">
        <w:t xml:space="preserve">The Government will install new Modular Learning Centres across Canberra to meet projected enrolment growth. </w:t>
      </w:r>
    </w:p>
    <w:p w14:paraId="1CAD9994" w14:textId="77777777" w:rsidR="00CF0E2D" w:rsidRPr="0037239A" w:rsidRDefault="00CF0E2D" w:rsidP="00A60D4B">
      <w:pPr>
        <w:pStyle w:val="Bbodytext"/>
        <w:rPr>
          <w:rFonts w:ascii="Calibri" w:eastAsia="Times New Roman" w:hAnsi="Calibri" w:cs="Times New Roman"/>
          <w:szCs w:val="20"/>
        </w:rPr>
      </w:pPr>
      <w:r w:rsidRPr="0037239A">
        <w:t xml:space="preserve">This initiative builds on the 13 Modular Learning Centres across 11 schools in Canberra funded through the August 2020 Economic </w:t>
      </w:r>
      <w:r>
        <w:t xml:space="preserve">and </w:t>
      </w:r>
      <w:r w:rsidRPr="0037239A">
        <w:t>Fiscal Update.</w:t>
      </w:r>
    </w:p>
    <w:p w14:paraId="4AE979C3" w14:textId="77777777" w:rsidR="00CF0E2D" w:rsidRDefault="00CF0E2D" w:rsidP="00A60D4B">
      <w:pPr>
        <w:pStyle w:val="Bbodytext"/>
        <w:rPr>
          <w:rFonts w:ascii="Calibri" w:eastAsia="Times New Roman" w:hAnsi="Calibri" w:cs="Times New Roman"/>
          <w:szCs w:val="20"/>
        </w:rPr>
      </w:pPr>
      <w:r w:rsidRPr="0037239A">
        <w:t>Thi</w:t>
      </w:r>
      <w:r w:rsidRPr="0037239A">
        <w:rPr>
          <w:rFonts w:ascii="Calibri" w:eastAsia="Times New Roman" w:hAnsi="Calibri" w:cs="Times New Roman"/>
          <w:szCs w:val="20"/>
        </w:rPr>
        <w:t>s initiative contributes to the wellbeing domain of Education and life-long learning.</w:t>
      </w:r>
    </w:p>
    <w:p w14:paraId="79F1141D" w14:textId="77777777" w:rsidR="00CF0E2D" w:rsidRDefault="00CF0E2D" w:rsidP="00A60D4B">
      <w:pPr>
        <w:pStyle w:val="Bbodytext"/>
        <w:rPr>
          <w:rFonts w:ascii="Calibri" w:eastAsia="Times New Roman" w:hAnsi="Calibri" w:cs="Times New Roman"/>
          <w:szCs w:val="20"/>
        </w:rPr>
      </w:pPr>
    </w:p>
    <w:p w14:paraId="309D9A6A" w14:textId="77777777" w:rsidR="00CF0E2D" w:rsidRPr="00E9662A" w:rsidRDefault="00CF0E2D" w:rsidP="00A60D4B">
      <w:pPr>
        <w:pStyle w:val="Heading4"/>
        <w:rPr>
          <w:rFonts w:eastAsia="Times New Roman"/>
        </w:rPr>
      </w:pPr>
      <w:r w:rsidRPr="00E9662A">
        <w:rPr>
          <w:rFonts w:eastAsia="Times New Roman"/>
        </w:rPr>
        <w:t xml:space="preserve">New and expanded schools – Narrabundah College </w:t>
      </w:r>
      <w:r>
        <w:rPr>
          <w:rFonts w:eastAsia="Times New Roman"/>
        </w:rPr>
        <w:t>m</w:t>
      </w:r>
      <w:r w:rsidRPr="00E9662A">
        <w:rPr>
          <w:rFonts w:eastAsia="Times New Roman"/>
        </w:rPr>
        <w:t>odernisation</w:t>
      </w:r>
      <w:r>
        <w:rPr>
          <w:b w:val="0"/>
          <w:noProof/>
          <w:color w:val="999789"/>
          <w:sz w:val="32"/>
          <w:szCs w:val="24"/>
        </w:rPr>
        <w:drawing>
          <wp:anchor distT="0" distB="0" distL="114300" distR="114300" simplePos="0" relativeHeight="251816960" behindDoc="0" locked="1" layoutInCell="1" allowOverlap="1" wp14:anchorId="7E21EEEA" wp14:editId="76D793CC">
            <wp:simplePos x="0" y="0"/>
            <wp:positionH relativeFrom="margin">
              <wp:align>right</wp:align>
            </wp:positionH>
            <wp:positionV relativeFrom="paragraph">
              <wp:posOffset>80645</wp:posOffset>
            </wp:positionV>
            <wp:extent cx="1356995" cy="503555"/>
            <wp:effectExtent l="0" t="0" r="0" b="0"/>
            <wp:wrapSquare wrapText="bothSides"/>
            <wp:docPr id="129" name="Picture 129"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4541E47C" w14:textId="77777777" w:rsidTr="00A60D4B">
        <w:trPr>
          <w:cantSplit/>
          <w:jc w:val="center"/>
        </w:trPr>
        <w:tc>
          <w:tcPr>
            <w:tcW w:w="3652" w:type="dxa"/>
            <w:tcBorders>
              <w:top w:val="single" w:sz="4" w:space="0" w:color="auto"/>
              <w:bottom w:val="single" w:sz="4" w:space="0" w:color="auto"/>
            </w:tcBorders>
          </w:tcPr>
          <w:p w14:paraId="2939B458"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25C853A9" w14:textId="77777777" w:rsidR="00CF0E2D" w:rsidRPr="00AC1349" w:rsidRDefault="00CF0E2D" w:rsidP="00A60D4B">
            <w:pPr>
              <w:pStyle w:val="InitFigR"/>
              <w:rPr>
                <w:b/>
                <w:bCs/>
              </w:rPr>
            </w:pPr>
            <w:r w:rsidRPr="00AC1349">
              <w:rPr>
                <w:b/>
                <w:bCs/>
              </w:rPr>
              <w:t>2021-22</w:t>
            </w:r>
          </w:p>
          <w:p w14:paraId="113E3D02" w14:textId="77777777" w:rsidR="00CF0E2D" w:rsidRPr="00AC1349" w:rsidRDefault="00CF0E2D" w:rsidP="00A60D4B">
            <w:pPr>
              <w:pStyle w:val="InitFigR"/>
              <w:rPr>
                <w:b/>
                <w:bCs/>
              </w:rPr>
            </w:pPr>
            <w:r w:rsidRPr="00AC1349">
              <w:rPr>
                <w:b/>
                <w:bCs/>
              </w:rPr>
              <w:t>$’000</w:t>
            </w:r>
          </w:p>
        </w:tc>
        <w:tc>
          <w:tcPr>
            <w:tcW w:w="1041" w:type="dxa"/>
            <w:tcBorders>
              <w:top w:val="single" w:sz="4" w:space="0" w:color="auto"/>
              <w:bottom w:val="single" w:sz="4" w:space="0" w:color="auto"/>
            </w:tcBorders>
          </w:tcPr>
          <w:p w14:paraId="1BB73B90" w14:textId="77777777" w:rsidR="00CF0E2D" w:rsidRPr="00AC1349" w:rsidRDefault="00CF0E2D" w:rsidP="00A60D4B">
            <w:pPr>
              <w:pStyle w:val="InitFigR"/>
              <w:rPr>
                <w:b/>
                <w:bCs/>
              </w:rPr>
            </w:pPr>
            <w:r w:rsidRPr="00AC1349">
              <w:rPr>
                <w:b/>
                <w:bCs/>
              </w:rPr>
              <w:t>2022-23</w:t>
            </w:r>
          </w:p>
          <w:p w14:paraId="5F74C1E0"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1D3EA1EB" w14:textId="77777777" w:rsidR="00CF0E2D" w:rsidRPr="00AC1349" w:rsidRDefault="00CF0E2D" w:rsidP="00A60D4B">
            <w:pPr>
              <w:pStyle w:val="InitFigR"/>
              <w:rPr>
                <w:b/>
                <w:bCs/>
              </w:rPr>
            </w:pPr>
            <w:r w:rsidRPr="00AC1349">
              <w:rPr>
                <w:b/>
                <w:bCs/>
              </w:rPr>
              <w:t>2023-24</w:t>
            </w:r>
          </w:p>
          <w:p w14:paraId="06D66B4C"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6ADEFB8D" w14:textId="77777777" w:rsidR="00CF0E2D" w:rsidRPr="00AC1349" w:rsidRDefault="00CF0E2D" w:rsidP="00A60D4B">
            <w:pPr>
              <w:pStyle w:val="InitFigR"/>
              <w:rPr>
                <w:b/>
                <w:bCs/>
              </w:rPr>
            </w:pPr>
            <w:r w:rsidRPr="00AC1349">
              <w:rPr>
                <w:b/>
                <w:bCs/>
              </w:rPr>
              <w:t>2024-25</w:t>
            </w:r>
          </w:p>
          <w:p w14:paraId="0765523A"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5510343D" w14:textId="77777777" w:rsidR="00CF0E2D" w:rsidRPr="004E341E" w:rsidRDefault="00CF0E2D" w:rsidP="00A60D4B">
            <w:pPr>
              <w:pStyle w:val="InitFigRBold"/>
            </w:pPr>
            <w:r w:rsidRPr="004E341E">
              <w:t>Total</w:t>
            </w:r>
          </w:p>
          <w:p w14:paraId="69B0F8B3" w14:textId="77777777" w:rsidR="00CF0E2D" w:rsidRPr="004E341E" w:rsidRDefault="00CF0E2D" w:rsidP="00A60D4B">
            <w:pPr>
              <w:pStyle w:val="InitFigBR"/>
            </w:pPr>
            <w:r w:rsidRPr="004E341E">
              <w:t>$’000</w:t>
            </w:r>
          </w:p>
        </w:tc>
      </w:tr>
      <w:tr w:rsidR="00CF0E2D" w:rsidRPr="00750793" w14:paraId="0CECE32B" w14:textId="77777777" w:rsidTr="00A60D4B">
        <w:trPr>
          <w:cantSplit/>
          <w:jc w:val="center"/>
        </w:trPr>
        <w:tc>
          <w:tcPr>
            <w:tcW w:w="3652" w:type="dxa"/>
            <w:tcBorders>
              <w:top w:val="single" w:sz="4" w:space="0" w:color="auto"/>
              <w:bottom w:val="single" w:sz="4" w:space="0" w:color="auto"/>
            </w:tcBorders>
          </w:tcPr>
          <w:p w14:paraId="0BE753C0" w14:textId="77777777" w:rsidR="00CF0E2D" w:rsidRDefault="00CF0E2D" w:rsidP="00A60D4B">
            <w:pPr>
              <w:pStyle w:val="InitTextL"/>
              <w:ind w:left="321" w:hanging="321"/>
            </w:pPr>
            <w:r>
              <w:t>Capital</w:t>
            </w:r>
          </w:p>
        </w:tc>
        <w:tc>
          <w:tcPr>
            <w:tcW w:w="1179" w:type="dxa"/>
            <w:tcBorders>
              <w:top w:val="single" w:sz="4" w:space="0" w:color="auto"/>
              <w:bottom w:val="single" w:sz="4" w:space="0" w:color="auto"/>
            </w:tcBorders>
          </w:tcPr>
          <w:p w14:paraId="4484930A" w14:textId="77777777" w:rsidR="00CF0E2D" w:rsidRDefault="00CF0E2D" w:rsidP="00A60D4B">
            <w:pPr>
              <w:pStyle w:val="InitFigR"/>
            </w:pPr>
            <w:r>
              <w:t>600</w:t>
            </w:r>
          </w:p>
        </w:tc>
        <w:tc>
          <w:tcPr>
            <w:tcW w:w="1041" w:type="dxa"/>
            <w:tcBorders>
              <w:top w:val="single" w:sz="4" w:space="0" w:color="auto"/>
              <w:bottom w:val="single" w:sz="4" w:space="0" w:color="auto"/>
            </w:tcBorders>
          </w:tcPr>
          <w:p w14:paraId="2D09B981" w14:textId="77777777" w:rsidR="00CF0E2D" w:rsidRDefault="00CF0E2D" w:rsidP="00A60D4B">
            <w:pPr>
              <w:pStyle w:val="InitFigR"/>
            </w:pPr>
            <w:r>
              <w:t>0</w:t>
            </w:r>
          </w:p>
        </w:tc>
        <w:tc>
          <w:tcPr>
            <w:tcW w:w="1029" w:type="dxa"/>
            <w:tcBorders>
              <w:top w:val="single" w:sz="4" w:space="0" w:color="auto"/>
              <w:bottom w:val="single" w:sz="4" w:space="0" w:color="auto"/>
            </w:tcBorders>
          </w:tcPr>
          <w:p w14:paraId="691E5FA7" w14:textId="77777777" w:rsidR="00CF0E2D" w:rsidRDefault="00CF0E2D" w:rsidP="00A60D4B">
            <w:pPr>
              <w:pStyle w:val="InitFigR"/>
            </w:pPr>
            <w:r>
              <w:t>0</w:t>
            </w:r>
          </w:p>
        </w:tc>
        <w:tc>
          <w:tcPr>
            <w:tcW w:w="1029" w:type="dxa"/>
            <w:tcBorders>
              <w:top w:val="single" w:sz="4" w:space="0" w:color="auto"/>
              <w:bottom w:val="single" w:sz="4" w:space="0" w:color="auto"/>
            </w:tcBorders>
          </w:tcPr>
          <w:p w14:paraId="4D48890C" w14:textId="77777777" w:rsidR="00CF0E2D" w:rsidRDefault="00CF0E2D" w:rsidP="00A60D4B">
            <w:pPr>
              <w:pStyle w:val="InitFigR"/>
            </w:pPr>
            <w:r>
              <w:t>0</w:t>
            </w:r>
          </w:p>
        </w:tc>
        <w:tc>
          <w:tcPr>
            <w:tcW w:w="1029" w:type="dxa"/>
            <w:tcBorders>
              <w:top w:val="single" w:sz="4" w:space="0" w:color="auto"/>
              <w:bottom w:val="single" w:sz="4" w:space="0" w:color="auto"/>
            </w:tcBorders>
          </w:tcPr>
          <w:p w14:paraId="72BE631A" w14:textId="77777777" w:rsidR="00CF0E2D" w:rsidRPr="00152A21" w:rsidRDefault="00CF0E2D" w:rsidP="00A60D4B">
            <w:pPr>
              <w:pStyle w:val="InitFigRBold"/>
              <w:rPr>
                <w:bCs/>
              </w:rPr>
            </w:pPr>
            <w:r>
              <w:rPr>
                <w:bCs/>
              </w:rPr>
              <w:t>6</w:t>
            </w:r>
            <w:r w:rsidRPr="00152A21">
              <w:rPr>
                <w:bCs/>
              </w:rPr>
              <w:t>00</w:t>
            </w:r>
          </w:p>
        </w:tc>
      </w:tr>
    </w:tbl>
    <w:p w14:paraId="76D3B2DF" w14:textId="77777777" w:rsidR="00CF0E2D" w:rsidRDefault="00CF0E2D" w:rsidP="00A60D4B">
      <w:pPr>
        <w:pStyle w:val="Bbodytext"/>
      </w:pPr>
      <w:r w:rsidRPr="004C581D">
        <w:t>The Government wi</w:t>
      </w:r>
      <w:r>
        <w:t>ll continue to plan and design the modernisation of Narrabundah College to meet the needs of future students, teachers and the community. This investment builds on the replacement of existing contaminated buildings with high quality specialist transportable buildings and feasibility studies into the next stages of renewal.</w:t>
      </w:r>
    </w:p>
    <w:p w14:paraId="32821571" w14:textId="77777777" w:rsidR="00CF0E2D" w:rsidRDefault="00CF0E2D" w:rsidP="00A60D4B">
      <w:pPr>
        <w:pStyle w:val="Bbodytext"/>
      </w:pPr>
      <w:r>
        <w:t xml:space="preserve">This initiative contributes to the wellbeing domain of Education and life-long learning. </w:t>
      </w:r>
    </w:p>
    <w:p w14:paraId="437D506A" w14:textId="77777777" w:rsidR="00CF0E2D" w:rsidRPr="00C30559" w:rsidRDefault="00CF0E2D" w:rsidP="00A60D4B">
      <w:pPr>
        <w:pStyle w:val="Heading4"/>
        <w:rPr>
          <w:rFonts w:eastAsiaTheme="minorHAnsi"/>
        </w:rPr>
      </w:pPr>
      <w:r w:rsidRPr="004E3082">
        <w:lastRenderedPageBreak/>
        <w:t xml:space="preserve">New and expanded schools </w:t>
      </w:r>
      <w:r w:rsidRPr="0037239A">
        <w:t xml:space="preserve">– </w:t>
      </w:r>
      <w:r w:rsidRPr="00C30559">
        <w:rPr>
          <w:rFonts w:eastAsiaTheme="minorHAnsi"/>
        </w:rPr>
        <w:t xml:space="preserve">School </w:t>
      </w:r>
      <w:r>
        <w:rPr>
          <w:rFonts w:eastAsiaTheme="minorHAnsi"/>
        </w:rPr>
        <w:t>m</w:t>
      </w:r>
      <w:r w:rsidRPr="00C30559">
        <w:rPr>
          <w:rFonts w:eastAsiaTheme="minorHAnsi"/>
        </w:rPr>
        <w:t xml:space="preserve">aintenance and </w:t>
      </w:r>
      <w:r>
        <w:rPr>
          <w:rFonts w:eastAsiaTheme="minorHAnsi"/>
        </w:rPr>
        <w:t>i</w:t>
      </w:r>
      <w:r w:rsidRPr="00C30559">
        <w:rPr>
          <w:rFonts w:eastAsiaTheme="minorHAnsi"/>
        </w:rPr>
        <w:t xml:space="preserve">nfrastructure </w:t>
      </w:r>
      <w:r>
        <w:rPr>
          <w:rFonts w:eastAsiaTheme="minorHAnsi"/>
        </w:rPr>
        <w:t>u</w:t>
      </w:r>
      <w:r w:rsidRPr="00C30559">
        <w:rPr>
          <w:rFonts w:eastAsiaTheme="minorHAnsi"/>
        </w:rPr>
        <w:t>pgrades</w:t>
      </w:r>
      <w:r>
        <w:rPr>
          <w:b w:val="0"/>
          <w:noProof/>
          <w:color w:val="999789"/>
          <w:sz w:val="32"/>
          <w:szCs w:val="24"/>
        </w:rPr>
        <w:drawing>
          <wp:anchor distT="0" distB="0" distL="114300" distR="114300" simplePos="0" relativeHeight="251817984" behindDoc="0" locked="1" layoutInCell="1" allowOverlap="1" wp14:anchorId="474DDEA3" wp14:editId="1162F1DA">
            <wp:simplePos x="0" y="0"/>
            <wp:positionH relativeFrom="margin">
              <wp:align>right</wp:align>
            </wp:positionH>
            <wp:positionV relativeFrom="paragraph">
              <wp:posOffset>84455</wp:posOffset>
            </wp:positionV>
            <wp:extent cx="1356995" cy="503555"/>
            <wp:effectExtent l="0" t="0" r="0" b="0"/>
            <wp:wrapSquare wrapText="bothSides"/>
            <wp:docPr id="130" name="Picture 130"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4E341E" w14:paraId="4ACE6B6E" w14:textId="77777777" w:rsidTr="00A60D4B">
        <w:trPr>
          <w:cantSplit/>
          <w:jc w:val="center"/>
        </w:trPr>
        <w:tc>
          <w:tcPr>
            <w:tcW w:w="3652" w:type="dxa"/>
            <w:tcBorders>
              <w:top w:val="single" w:sz="4" w:space="0" w:color="auto"/>
              <w:bottom w:val="single" w:sz="4" w:space="0" w:color="auto"/>
            </w:tcBorders>
          </w:tcPr>
          <w:p w14:paraId="3982CD79"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6A116210" w14:textId="77777777" w:rsidR="00CF0E2D" w:rsidRPr="007E0E75" w:rsidRDefault="00CF0E2D" w:rsidP="00A60D4B">
            <w:pPr>
              <w:pStyle w:val="InitFigR"/>
              <w:rPr>
                <w:b/>
                <w:bCs/>
              </w:rPr>
            </w:pPr>
            <w:r w:rsidRPr="007E0E75">
              <w:rPr>
                <w:b/>
                <w:bCs/>
              </w:rPr>
              <w:t>2021-22</w:t>
            </w:r>
          </w:p>
          <w:p w14:paraId="37EBE81D" w14:textId="77777777" w:rsidR="00CF0E2D" w:rsidRPr="007E0E75" w:rsidRDefault="00CF0E2D" w:rsidP="00A60D4B">
            <w:pPr>
              <w:pStyle w:val="InitFigR"/>
              <w:rPr>
                <w:b/>
                <w:bCs/>
              </w:rPr>
            </w:pPr>
            <w:r w:rsidRPr="007E0E75">
              <w:rPr>
                <w:b/>
                <w:bCs/>
              </w:rPr>
              <w:t>$’000</w:t>
            </w:r>
          </w:p>
        </w:tc>
        <w:tc>
          <w:tcPr>
            <w:tcW w:w="1041" w:type="dxa"/>
            <w:tcBorders>
              <w:top w:val="single" w:sz="4" w:space="0" w:color="auto"/>
              <w:bottom w:val="single" w:sz="4" w:space="0" w:color="auto"/>
            </w:tcBorders>
          </w:tcPr>
          <w:p w14:paraId="70347461" w14:textId="77777777" w:rsidR="00CF0E2D" w:rsidRPr="007E0E75" w:rsidRDefault="00CF0E2D" w:rsidP="00A60D4B">
            <w:pPr>
              <w:pStyle w:val="InitFigR"/>
              <w:rPr>
                <w:b/>
                <w:bCs/>
              </w:rPr>
            </w:pPr>
            <w:r w:rsidRPr="007E0E75">
              <w:rPr>
                <w:b/>
                <w:bCs/>
              </w:rPr>
              <w:t>2022-23</w:t>
            </w:r>
          </w:p>
          <w:p w14:paraId="276190E5" w14:textId="77777777" w:rsidR="00CF0E2D" w:rsidRPr="007E0E75" w:rsidRDefault="00CF0E2D" w:rsidP="00A60D4B">
            <w:pPr>
              <w:pStyle w:val="InitFigR"/>
              <w:rPr>
                <w:b/>
                <w:bCs/>
              </w:rPr>
            </w:pPr>
            <w:r w:rsidRPr="007E0E75">
              <w:rPr>
                <w:b/>
                <w:bCs/>
              </w:rPr>
              <w:t>$’000</w:t>
            </w:r>
          </w:p>
        </w:tc>
        <w:tc>
          <w:tcPr>
            <w:tcW w:w="1029" w:type="dxa"/>
            <w:tcBorders>
              <w:top w:val="single" w:sz="4" w:space="0" w:color="auto"/>
              <w:bottom w:val="single" w:sz="4" w:space="0" w:color="auto"/>
            </w:tcBorders>
          </w:tcPr>
          <w:p w14:paraId="65006B25" w14:textId="77777777" w:rsidR="00CF0E2D" w:rsidRPr="007E0E75" w:rsidRDefault="00CF0E2D" w:rsidP="00A60D4B">
            <w:pPr>
              <w:pStyle w:val="InitFigR"/>
              <w:rPr>
                <w:b/>
                <w:bCs/>
              </w:rPr>
            </w:pPr>
            <w:r w:rsidRPr="007E0E75">
              <w:rPr>
                <w:b/>
                <w:bCs/>
              </w:rPr>
              <w:t>2023-24</w:t>
            </w:r>
          </w:p>
          <w:p w14:paraId="5C1B4EFE" w14:textId="77777777" w:rsidR="00CF0E2D" w:rsidRPr="007E0E75" w:rsidRDefault="00CF0E2D" w:rsidP="00A60D4B">
            <w:pPr>
              <w:pStyle w:val="InitFigR"/>
              <w:rPr>
                <w:b/>
                <w:bCs/>
              </w:rPr>
            </w:pPr>
            <w:r w:rsidRPr="007E0E75">
              <w:rPr>
                <w:b/>
                <w:bCs/>
              </w:rPr>
              <w:t>$’000</w:t>
            </w:r>
          </w:p>
        </w:tc>
        <w:tc>
          <w:tcPr>
            <w:tcW w:w="1029" w:type="dxa"/>
            <w:tcBorders>
              <w:top w:val="single" w:sz="4" w:space="0" w:color="auto"/>
              <w:bottom w:val="single" w:sz="4" w:space="0" w:color="auto"/>
            </w:tcBorders>
          </w:tcPr>
          <w:p w14:paraId="1EB25D56" w14:textId="77777777" w:rsidR="00CF0E2D" w:rsidRPr="007E0E75" w:rsidRDefault="00CF0E2D" w:rsidP="00A60D4B">
            <w:pPr>
              <w:pStyle w:val="InitFigR"/>
              <w:rPr>
                <w:b/>
                <w:bCs/>
              </w:rPr>
            </w:pPr>
            <w:r w:rsidRPr="007E0E75">
              <w:rPr>
                <w:b/>
                <w:bCs/>
              </w:rPr>
              <w:t>2024-25</w:t>
            </w:r>
          </w:p>
          <w:p w14:paraId="3BB377C5" w14:textId="77777777" w:rsidR="00CF0E2D" w:rsidRPr="007E0E75" w:rsidRDefault="00CF0E2D" w:rsidP="00A60D4B">
            <w:pPr>
              <w:pStyle w:val="InitFigR"/>
              <w:rPr>
                <w:b/>
                <w:bCs/>
              </w:rPr>
            </w:pPr>
            <w:r w:rsidRPr="007E0E75">
              <w:rPr>
                <w:b/>
                <w:bCs/>
              </w:rPr>
              <w:t>$’000</w:t>
            </w:r>
          </w:p>
        </w:tc>
        <w:tc>
          <w:tcPr>
            <w:tcW w:w="1029" w:type="dxa"/>
            <w:tcBorders>
              <w:top w:val="single" w:sz="4" w:space="0" w:color="auto"/>
              <w:bottom w:val="single" w:sz="4" w:space="0" w:color="auto"/>
            </w:tcBorders>
          </w:tcPr>
          <w:p w14:paraId="6F069E00" w14:textId="77777777" w:rsidR="00CF0E2D" w:rsidRPr="004E341E" w:rsidRDefault="00CF0E2D" w:rsidP="00A60D4B">
            <w:pPr>
              <w:pStyle w:val="InitFigRBold"/>
            </w:pPr>
            <w:r w:rsidRPr="004E341E">
              <w:t>Total</w:t>
            </w:r>
          </w:p>
          <w:p w14:paraId="6BE8533E" w14:textId="77777777" w:rsidR="00CF0E2D" w:rsidRPr="004E341E" w:rsidRDefault="00CF0E2D" w:rsidP="00A60D4B">
            <w:pPr>
              <w:pStyle w:val="InitFigBR"/>
            </w:pPr>
            <w:r w:rsidRPr="004E341E">
              <w:t>$’000</w:t>
            </w:r>
          </w:p>
        </w:tc>
      </w:tr>
      <w:tr w:rsidR="00CF0E2D" w:rsidRPr="00D13A71" w14:paraId="40299904" w14:textId="77777777" w:rsidTr="00A60D4B">
        <w:trPr>
          <w:cantSplit/>
          <w:jc w:val="center"/>
        </w:trPr>
        <w:tc>
          <w:tcPr>
            <w:tcW w:w="3652" w:type="dxa"/>
            <w:tcBorders>
              <w:top w:val="single" w:sz="4" w:space="0" w:color="auto"/>
            </w:tcBorders>
          </w:tcPr>
          <w:p w14:paraId="6BFC492E" w14:textId="77777777" w:rsidR="00CF0E2D" w:rsidRDefault="00CF0E2D" w:rsidP="00A60D4B">
            <w:pPr>
              <w:pStyle w:val="InitTextL"/>
              <w:ind w:left="321" w:hanging="321"/>
            </w:pPr>
            <w:r>
              <w:t>Capital</w:t>
            </w:r>
          </w:p>
        </w:tc>
        <w:tc>
          <w:tcPr>
            <w:tcW w:w="1179" w:type="dxa"/>
            <w:tcBorders>
              <w:top w:val="single" w:sz="4" w:space="0" w:color="auto"/>
            </w:tcBorders>
          </w:tcPr>
          <w:p w14:paraId="48904AF8" w14:textId="77777777" w:rsidR="00CF0E2D" w:rsidRDefault="00CF0E2D" w:rsidP="00A60D4B">
            <w:pPr>
              <w:pStyle w:val="InitFigR"/>
            </w:pPr>
            <w:r>
              <w:t>25,455</w:t>
            </w:r>
          </w:p>
        </w:tc>
        <w:tc>
          <w:tcPr>
            <w:tcW w:w="1041" w:type="dxa"/>
            <w:tcBorders>
              <w:top w:val="single" w:sz="4" w:space="0" w:color="auto"/>
            </w:tcBorders>
          </w:tcPr>
          <w:p w14:paraId="6298DD3D" w14:textId="77777777" w:rsidR="00CF0E2D" w:rsidRDefault="00CF0E2D" w:rsidP="00A60D4B">
            <w:pPr>
              <w:pStyle w:val="InitFigR"/>
            </w:pPr>
            <w:r>
              <w:t>25,947</w:t>
            </w:r>
          </w:p>
        </w:tc>
        <w:tc>
          <w:tcPr>
            <w:tcW w:w="1029" w:type="dxa"/>
            <w:tcBorders>
              <w:top w:val="single" w:sz="4" w:space="0" w:color="auto"/>
            </w:tcBorders>
          </w:tcPr>
          <w:p w14:paraId="1D6C6280" w14:textId="77777777" w:rsidR="00CF0E2D" w:rsidRDefault="00CF0E2D" w:rsidP="00A60D4B">
            <w:pPr>
              <w:pStyle w:val="InitFigR"/>
            </w:pPr>
            <w:r>
              <w:t>22,181</w:t>
            </w:r>
          </w:p>
        </w:tc>
        <w:tc>
          <w:tcPr>
            <w:tcW w:w="1029" w:type="dxa"/>
            <w:tcBorders>
              <w:top w:val="single" w:sz="4" w:space="0" w:color="auto"/>
            </w:tcBorders>
          </w:tcPr>
          <w:p w14:paraId="620B8D35" w14:textId="77777777" w:rsidR="00CF0E2D" w:rsidRDefault="00CF0E2D" w:rsidP="00A60D4B">
            <w:pPr>
              <w:pStyle w:val="InitFigR"/>
            </w:pPr>
            <w:r>
              <w:t>25,417</w:t>
            </w:r>
          </w:p>
        </w:tc>
        <w:tc>
          <w:tcPr>
            <w:tcW w:w="1029" w:type="dxa"/>
            <w:tcBorders>
              <w:top w:val="single" w:sz="4" w:space="0" w:color="auto"/>
            </w:tcBorders>
          </w:tcPr>
          <w:p w14:paraId="703519BF" w14:textId="77777777" w:rsidR="00CF0E2D" w:rsidRPr="0031263D" w:rsidRDefault="00CF0E2D" w:rsidP="00A60D4B">
            <w:pPr>
              <w:pStyle w:val="InitFigRBold"/>
              <w:rPr>
                <w:bCs/>
              </w:rPr>
            </w:pPr>
            <w:r w:rsidRPr="0031263D">
              <w:rPr>
                <w:bCs/>
              </w:rPr>
              <w:t>99,000</w:t>
            </w:r>
          </w:p>
        </w:tc>
      </w:tr>
      <w:tr w:rsidR="00CF0E2D" w:rsidRPr="00D13A71" w14:paraId="0B22C366" w14:textId="77777777" w:rsidTr="00A60D4B">
        <w:trPr>
          <w:cantSplit/>
          <w:jc w:val="center"/>
        </w:trPr>
        <w:tc>
          <w:tcPr>
            <w:tcW w:w="3652" w:type="dxa"/>
          </w:tcPr>
          <w:p w14:paraId="16E00632" w14:textId="77777777" w:rsidR="00CF0E2D" w:rsidRDefault="00CF0E2D" w:rsidP="00A60D4B">
            <w:pPr>
              <w:pStyle w:val="InitTextL"/>
              <w:ind w:left="321" w:hanging="321"/>
            </w:pPr>
            <w:r>
              <w:t>Offset – Capital</w:t>
            </w:r>
          </w:p>
        </w:tc>
        <w:tc>
          <w:tcPr>
            <w:tcW w:w="1179" w:type="dxa"/>
          </w:tcPr>
          <w:p w14:paraId="2B5A7A8A" w14:textId="77777777" w:rsidR="00CF0E2D" w:rsidRDefault="00CF0E2D" w:rsidP="00A60D4B">
            <w:pPr>
              <w:pStyle w:val="InitFigR"/>
            </w:pPr>
            <w:r>
              <w:t>-16,486</w:t>
            </w:r>
          </w:p>
        </w:tc>
        <w:tc>
          <w:tcPr>
            <w:tcW w:w="1041" w:type="dxa"/>
          </w:tcPr>
          <w:p w14:paraId="491BD9D2" w14:textId="77777777" w:rsidR="00CF0E2D" w:rsidRDefault="00CF0E2D" w:rsidP="00A60D4B">
            <w:pPr>
              <w:pStyle w:val="InitFigR"/>
            </w:pPr>
            <w:r>
              <w:t>-16,898</w:t>
            </w:r>
          </w:p>
        </w:tc>
        <w:tc>
          <w:tcPr>
            <w:tcW w:w="1029" w:type="dxa"/>
          </w:tcPr>
          <w:p w14:paraId="4C803763" w14:textId="77777777" w:rsidR="00CF0E2D" w:rsidRDefault="00CF0E2D" w:rsidP="00A60D4B">
            <w:pPr>
              <w:pStyle w:val="InitFigR"/>
            </w:pPr>
            <w:r>
              <w:t>-17,320</w:t>
            </w:r>
          </w:p>
        </w:tc>
        <w:tc>
          <w:tcPr>
            <w:tcW w:w="1029" w:type="dxa"/>
          </w:tcPr>
          <w:p w14:paraId="6DD9B298" w14:textId="77777777" w:rsidR="00CF0E2D" w:rsidRDefault="00CF0E2D" w:rsidP="00A60D4B">
            <w:pPr>
              <w:pStyle w:val="InitFigR"/>
            </w:pPr>
            <w:r>
              <w:t>-17,320</w:t>
            </w:r>
          </w:p>
        </w:tc>
        <w:tc>
          <w:tcPr>
            <w:tcW w:w="1029" w:type="dxa"/>
          </w:tcPr>
          <w:p w14:paraId="53A5650F" w14:textId="77777777" w:rsidR="00CF0E2D" w:rsidRPr="0031263D" w:rsidRDefault="00CF0E2D" w:rsidP="00A60D4B">
            <w:pPr>
              <w:pStyle w:val="InitFigRBold"/>
              <w:rPr>
                <w:bCs/>
              </w:rPr>
            </w:pPr>
            <w:r w:rsidRPr="0031263D">
              <w:rPr>
                <w:bCs/>
              </w:rPr>
              <w:t>-68,024</w:t>
            </w:r>
          </w:p>
        </w:tc>
      </w:tr>
      <w:tr w:rsidR="00CF0E2D" w:rsidRPr="00D13A71" w14:paraId="6DAABFF8" w14:textId="77777777" w:rsidTr="00A60D4B">
        <w:trPr>
          <w:cantSplit/>
          <w:jc w:val="center"/>
        </w:trPr>
        <w:tc>
          <w:tcPr>
            <w:tcW w:w="3652" w:type="dxa"/>
            <w:tcBorders>
              <w:top w:val="single" w:sz="4" w:space="0" w:color="auto"/>
              <w:bottom w:val="single" w:sz="4" w:space="0" w:color="auto"/>
            </w:tcBorders>
          </w:tcPr>
          <w:p w14:paraId="4FAED674" w14:textId="02C81FAE" w:rsidR="00CF0E2D" w:rsidRPr="00D13A71" w:rsidRDefault="00F57411" w:rsidP="00A60D4B">
            <w:pPr>
              <w:pStyle w:val="InitTextL"/>
              <w:ind w:left="321" w:hanging="321"/>
              <w:rPr>
                <w:b/>
                <w:bCs/>
              </w:rPr>
            </w:pPr>
            <w:r>
              <w:rPr>
                <w:b/>
                <w:bCs/>
              </w:rPr>
              <w:t>Net capital</w:t>
            </w:r>
          </w:p>
        </w:tc>
        <w:tc>
          <w:tcPr>
            <w:tcW w:w="1179" w:type="dxa"/>
            <w:tcBorders>
              <w:top w:val="single" w:sz="4" w:space="0" w:color="auto"/>
              <w:bottom w:val="single" w:sz="4" w:space="0" w:color="auto"/>
            </w:tcBorders>
          </w:tcPr>
          <w:p w14:paraId="0165F50A" w14:textId="77777777" w:rsidR="00CF0E2D" w:rsidRPr="0031263D" w:rsidRDefault="00CF0E2D" w:rsidP="00A60D4B">
            <w:pPr>
              <w:pStyle w:val="InitFigR"/>
              <w:rPr>
                <w:b/>
                <w:bCs/>
              </w:rPr>
            </w:pPr>
            <w:r w:rsidRPr="0031263D">
              <w:rPr>
                <w:b/>
                <w:bCs/>
              </w:rPr>
              <w:t>8,969</w:t>
            </w:r>
          </w:p>
        </w:tc>
        <w:tc>
          <w:tcPr>
            <w:tcW w:w="1041" w:type="dxa"/>
            <w:tcBorders>
              <w:top w:val="single" w:sz="4" w:space="0" w:color="auto"/>
              <w:bottom w:val="single" w:sz="4" w:space="0" w:color="auto"/>
            </w:tcBorders>
          </w:tcPr>
          <w:p w14:paraId="3F762C64" w14:textId="77777777" w:rsidR="00CF0E2D" w:rsidRPr="0031263D" w:rsidRDefault="00CF0E2D" w:rsidP="00A60D4B">
            <w:pPr>
              <w:pStyle w:val="InitFigR"/>
              <w:jc w:val="center"/>
              <w:rPr>
                <w:b/>
                <w:bCs/>
              </w:rPr>
            </w:pPr>
            <w:r w:rsidRPr="0031263D">
              <w:rPr>
                <w:b/>
                <w:bCs/>
              </w:rPr>
              <w:t>9,049</w:t>
            </w:r>
          </w:p>
        </w:tc>
        <w:tc>
          <w:tcPr>
            <w:tcW w:w="1029" w:type="dxa"/>
            <w:tcBorders>
              <w:top w:val="single" w:sz="4" w:space="0" w:color="auto"/>
              <w:bottom w:val="single" w:sz="4" w:space="0" w:color="auto"/>
            </w:tcBorders>
          </w:tcPr>
          <w:p w14:paraId="3391D52B" w14:textId="77777777" w:rsidR="00CF0E2D" w:rsidRPr="0031263D" w:rsidRDefault="00CF0E2D" w:rsidP="00A60D4B">
            <w:pPr>
              <w:pStyle w:val="InitFigR"/>
              <w:rPr>
                <w:b/>
                <w:bCs/>
              </w:rPr>
            </w:pPr>
            <w:r w:rsidRPr="0031263D">
              <w:rPr>
                <w:b/>
                <w:bCs/>
              </w:rPr>
              <w:t>4,861</w:t>
            </w:r>
          </w:p>
        </w:tc>
        <w:tc>
          <w:tcPr>
            <w:tcW w:w="1029" w:type="dxa"/>
            <w:tcBorders>
              <w:top w:val="single" w:sz="4" w:space="0" w:color="auto"/>
              <w:bottom w:val="single" w:sz="4" w:space="0" w:color="auto"/>
            </w:tcBorders>
          </w:tcPr>
          <w:p w14:paraId="7CAB9395" w14:textId="77777777" w:rsidR="00CF0E2D" w:rsidRPr="0031263D" w:rsidRDefault="00CF0E2D" w:rsidP="00A60D4B">
            <w:pPr>
              <w:pStyle w:val="InitFigR"/>
              <w:rPr>
                <w:b/>
                <w:bCs/>
              </w:rPr>
            </w:pPr>
            <w:r w:rsidRPr="0031263D">
              <w:rPr>
                <w:b/>
                <w:bCs/>
              </w:rPr>
              <w:t>8,097</w:t>
            </w:r>
          </w:p>
        </w:tc>
        <w:tc>
          <w:tcPr>
            <w:tcW w:w="1029" w:type="dxa"/>
            <w:tcBorders>
              <w:top w:val="single" w:sz="4" w:space="0" w:color="auto"/>
              <w:bottom w:val="single" w:sz="4" w:space="0" w:color="auto"/>
            </w:tcBorders>
          </w:tcPr>
          <w:p w14:paraId="5D49A779" w14:textId="77777777" w:rsidR="00CF0E2D" w:rsidRPr="0031263D" w:rsidRDefault="00CF0E2D" w:rsidP="00A60D4B">
            <w:pPr>
              <w:pStyle w:val="InitFigRBold"/>
              <w:rPr>
                <w:bCs/>
              </w:rPr>
            </w:pPr>
            <w:r w:rsidRPr="0031263D">
              <w:rPr>
                <w:bCs/>
              </w:rPr>
              <w:t>30,976</w:t>
            </w:r>
          </w:p>
        </w:tc>
      </w:tr>
      <w:tr w:rsidR="00CF0E2D" w:rsidRPr="00D13A71" w14:paraId="29C84C31" w14:textId="77777777" w:rsidTr="00A60D4B">
        <w:trPr>
          <w:cantSplit/>
          <w:jc w:val="center"/>
        </w:trPr>
        <w:tc>
          <w:tcPr>
            <w:tcW w:w="3652" w:type="dxa"/>
            <w:tcBorders>
              <w:top w:val="single" w:sz="4" w:space="0" w:color="auto"/>
            </w:tcBorders>
          </w:tcPr>
          <w:p w14:paraId="4A938654" w14:textId="77777777" w:rsidR="00CF0E2D" w:rsidRPr="00D13A71" w:rsidRDefault="00CF0E2D" w:rsidP="00A60D4B">
            <w:pPr>
              <w:pStyle w:val="InitTextL"/>
              <w:ind w:left="321" w:hanging="321"/>
              <w:rPr>
                <w:b/>
                <w:bCs/>
              </w:rPr>
            </w:pPr>
            <w:r>
              <w:t>Depreciation</w:t>
            </w:r>
          </w:p>
        </w:tc>
        <w:tc>
          <w:tcPr>
            <w:tcW w:w="1179" w:type="dxa"/>
            <w:tcBorders>
              <w:top w:val="single" w:sz="4" w:space="0" w:color="auto"/>
            </w:tcBorders>
          </w:tcPr>
          <w:p w14:paraId="18951A76" w14:textId="77777777" w:rsidR="00CF0E2D" w:rsidRDefault="00CF0E2D" w:rsidP="00A60D4B">
            <w:pPr>
              <w:pStyle w:val="InitFigR"/>
            </w:pPr>
            <w:r>
              <w:t>390</w:t>
            </w:r>
          </w:p>
        </w:tc>
        <w:tc>
          <w:tcPr>
            <w:tcW w:w="1041" w:type="dxa"/>
            <w:tcBorders>
              <w:top w:val="single" w:sz="4" w:space="0" w:color="auto"/>
            </w:tcBorders>
          </w:tcPr>
          <w:p w14:paraId="2B24E175" w14:textId="77777777" w:rsidR="00CF0E2D" w:rsidRDefault="00CF0E2D" w:rsidP="00A60D4B">
            <w:pPr>
              <w:pStyle w:val="InitFigR"/>
            </w:pPr>
            <w:r>
              <w:t>1,217</w:t>
            </w:r>
          </w:p>
        </w:tc>
        <w:tc>
          <w:tcPr>
            <w:tcW w:w="1029" w:type="dxa"/>
            <w:tcBorders>
              <w:top w:val="single" w:sz="4" w:space="0" w:color="auto"/>
            </w:tcBorders>
          </w:tcPr>
          <w:p w14:paraId="40EA0F02" w14:textId="77777777" w:rsidR="00CF0E2D" w:rsidRDefault="00CF0E2D" w:rsidP="00A60D4B">
            <w:pPr>
              <w:pStyle w:val="InitFigR"/>
            </w:pPr>
            <w:r>
              <w:t>2,044</w:t>
            </w:r>
          </w:p>
        </w:tc>
        <w:tc>
          <w:tcPr>
            <w:tcW w:w="1029" w:type="dxa"/>
            <w:tcBorders>
              <w:top w:val="single" w:sz="4" w:space="0" w:color="auto"/>
            </w:tcBorders>
          </w:tcPr>
          <w:p w14:paraId="6E4EA0D5" w14:textId="77777777" w:rsidR="00CF0E2D" w:rsidRDefault="00CF0E2D" w:rsidP="00A60D4B">
            <w:pPr>
              <w:pStyle w:val="InitFigR"/>
            </w:pPr>
            <w:r>
              <w:t>2,855</w:t>
            </w:r>
          </w:p>
        </w:tc>
        <w:tc>
          <w:tcPr>
            <w:tcW w:w="1029" w:type="dxa"/>
            <w:tcBorders>
              <w:top w:val="single" w:sz="4" w:space="0" w:color="auto"/>
            </w:tcBorders>
          </w:tcPr>
          <w:p w14:paraId="597CF4CD" w14:textId="77777777" w:rsidR="00CF0E2D" w:rsidRPr="0031263D" w:rsidRDefault="00CF0E2D" w:rsidP="00A60D4B">
            <w:pPr>
              <w:pStyle w:val="InitFigRBold"/>
              <w:rPr>
                <w:bCs/>
              </w:rPr>
            </w:pPr>
            <w:r w:rsidRPr="0031263D">
              <w:rPr>
                <w:bCs/>
              </w:rPr>
              <w:t>6,506</w:t>
            </w:r>
          </w:p>
        </w:tc>
      </w:tr>
      <w:tr w:rsidR="00CF0E2D" w:rsidRPr="00424DA4" w14:paraId="26008F84" w14:textId="77777777" w:rsidTr="00A60D4B">
        <w:trPr>
          <w:cantSplit/>
          <w:jc w:val="center"/>
        </w:trPr>
        <w:tc>
          <w:tcPr>
            <w:tcW w:w="3652" w:type="dxa"/>
          </w:tcPr>
          <w:p w14:paraId="041FC6FA" w14:textId="77777777" w:rsidR="00CF0E2D" w:rsidRPr="00F13FAB" w:rsidRDefault="00CF0E2D" w:rsidP="00A60D4B">
            <w:pPr>
              <w:pStyle w:val="InitTextL"/>
              <w:ind w:left="321" w:hanging="321"/>
            </w:pPr>
            <w:r w:rsidRPr="00882BE2">
              <w:t>Expenses</w:t>
            </w:r>
          </w:p>
        </w:tc>
        <w:tc>
          <w:tcPr>
            <w:tcW w:w="1179" w:type="dxa"/>
          </w:tcPr>
          <w:p w14:paraId="522109C2" w14:textId="77777777" w:rsidR="00CF0E2D" w:rsidRPr="00424DA4" w:rsidRDefault="00CF0E2D" w:rsidP="00A60D4B">
            <w:pPr>
              <w:pStyle w:val="InitFigR"/>
            </w:pPr>
            <w:r>
              <w:t>129</w:t>
            </w:r>
          </w:p>
        </w:tc>
        <w:tc>
          <w:tcPr>
            <w:tcW w:w="1041" w:type="dxa"/>
          </w:tcPr>
          <w:p w14:paraId="5880465F" w14:textId="77777777" w:rsidR="00CF0E2D" w:rsidRPr="00424DA4" w:rsidRDefault="00CF0E2D" w:rsidP="00A60D4B">
            <w:pPr>
              <w:pStyle w:val="InitFigR"/>
            </w:pPr>
            <w:r>
              <w:t>968</w:t>
            </w:r>
          </w:p>
        </w:tc>
        <w:tc>
          <w:tcPr>
            <w:tcW w:w="1029" w:type="dxa"/>
          </w:tcPr>
          <w:p w14:paraId="4C187DC2" w14:textId="77777777" w:rsidR="00CF0E2D" w:rsidRPr="00424DA4" w:rsidRDefault="00CF0E2D" w:rsidP="00A60D4B">
            <w:pPr>
              <w:pStyle w:val="InitFigR"/>
            </w:pPr>
            <w:r>
              <w:t>1,599</w:t>
            </w:r>
          </w:p>
        </w:tc>
        <w:tc>
          <w:tcPr>
            <w:tcW w:w="1029" w:type="dxa"/>
          </w:tcPr>
          <w:p w14:paraId="629D4DBF" w14:textId="77777777" w:rsidR="00CF0E2D" w:rsidRPr="00424DA4" w:rsidRDefault="00CF0E2D" w:rsidP="00A60D4B">
            <w:pPr>
              <w:pStyle w:val="InitFigR"/>
            </w:pPr>
            <w:r>
              <w:t>2,222</w:t>
            </w:r>
          </w:p>
        </w:tc>
        <w:tc>
          <w:tcPr>
            <w:tcW w:w="1029" w:type="dxa"/>
          </w:tcPr>
          <w:p w14:paraId="47BC8329" w14:textId="77777777" w:rsidR="00CF0E2D" w:rsidRPr="00424DA4" w:rsidRDefault="00CF0E2D" w:rsidP="00A60D4B">
            <w:pPr>
              <w:pStyle w:val="InitFigBR"/>
            </w:pPr>
            <w:r>
              <w:t>4,918</w:t>
            </w:r>
          </w:p>
        </w:tc>
      </w:tr>
      <w:tr w:rsidR="00CF0E2D" w:rsidRPr="00424DA4" w14:paraId="5760F7D1" w14:textId="77777777" w:rsidTr="00A60D4B">
        <w:trPr>
          <w:cantSplit/>
          <w:trHeight w:val="107"/>
          <w:jc w:val="center"/>
        </w:trPr>
        <w:tc>
          <w:tcPr>
            <w:tcW w:w="3652" w:type="dxa"/>
            <w:tcBorders>
              <w:top w:val="single" w:sz="4" w:space="0" w:color="auto"/>
              <w:bottom w:val="single" w:sz="4" w:space="0" w:color="auto"/>
            </w:tcBorders>
          </w:tcPr>
          <w:p w14:paraId="7E8E89B3"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3D45948F" w14:textId="77777777" w:rsidR="00CF0E2D" w:rsidRPr="00424DA4" w:rsidRDefault="00CF0E2D" w:rsidP="00A60D4B">
            <w:pPr>
              <w:pStyle w:val="InitFigRBold"/>
            </w:pPr>
            <w:r>
              <w:t>519</w:t>
            </w:r>
          </w:p>
        </w:tc>
        <w:tc>
          <w:tcPr>
            <w:tcW w:w="1041" w:type="dxa"/>
            <w:tcBorders>
              <w:top w:val="single" w:sz="4" w:space="0" w:color="auto"/>
              <w:bottom w:val="single" w:sz="4" w:space="0" w:color="auto"/>
            </w:tcBorders>
          </w:tcPr>
          <w:p w14:paraId="31610798" w14:textId="77777777" w:rsidR="00CF0E2D" w:rsidRPr="00424DA4" w:rsidRDefault="00CF0E2D" w:rsidP="00A60D4B">
            <w:pPr>
              <w:pStyle w:val="InitFigRBold"/>
            </w:pPr>
            <w:r>
              <w:t>2,185</w:t>
            </w:r>
          </w:p>
        </w:tc>
        <w:tc>
          <w:tcPr>
            <w:tcW w:w="1029" w:type="dxa"/>
            <w:tcBorders>
              <w:top w:val="single" w:sz="4" w:space="0" w:color="auto"/>
              <w:bottom w:val="single" w:sz="4" w:space="0" w:color="auto"/>
            </w:tcBorders>
          </w:tcPr>
          <w:p w14:paraId="726D1D4B" w14:textId="77777777" w:rsidR="00CF0E2D" w:rsidRPr="00424DA4" w:rsidRDefault="00CF0E2D" w:rsidP="00A60D4B">
            <w:pPr>
              <w:pStyle w:val="InitFigRBold"/>
            </w:pPr>
            <w:r>
              <w:t>3,643</w:t>
            </w:r>
          </w:p>
        </w:tc>
        <w:tc>
          <w:tcPr>
            <w:tcW w:w="1029" w:type="dxa"/>
            <w:tcBorders>
              <w:top w:val="single" w:sz="4" w:space="0" w:color="auto"/>
              <w:bottom w:val="single" w:sz="4" w:space="0" w:color="auto"/>
            </w:tcBorders>
          </w:tcPr>
          <w:p w14:paraId="5F09C699" w14:textId="77777777" w:rsidR="00CF0E2D" w:rsidRPr="00424DA4" w:rsidRDefault="00CF0E2D" w:rsidP="00A60D4B">
            <w:pPr>
              <w:pStyle w:val="InitFigRBold"/>
            </w:pPr>
            <w:r>
              <w:t>5,077</w:t>
            </w:r>
          </w:p>
        </w:tc>
        <w:tc>
          <w:tcPr>
            <w:tcW w:w="1029" w:type="dxa"/>
            <w:tcBorders>
              <w:top w:val="single" w:sz="4" w:space="0" w:color="auto"/>
              <w:bottom w:val="single" w:sz="4" w:space="0" w:color="auto"/>
            </w:tcBorders>
          </w:tcPr>
          <w:p w14:paraId="1514BB45" w14:textId="77777777" w:rsidR="00CF0E2D" w:rsidRPr="00424DA4" w:rsidRDefault="00CF0E2D" w:rsidP="00A60D4B">
            <w:pPr>
              <w:pStyle w:val="InitFigRBold"/>
            </w:pPr>
            <w:r>
              <w:t>11,424</w:t>
            </w:r>
          </w:p>
        </w:tc>
      </w:tr>
    </w:tbl>
    <w:p w14:paraId="3E0FFE25" w14:textId="77777777" w:rsidR="00CF0E2D" w:rsidRPr="00B672E7" w:rsidRDefault="00CF0E2D" w:rsidP="00A60D4B">
      <w:pPr>
        <w:pStyle w:val="Bbodytext"/>
        <w:keepNext/>
        <w:keepLines/>
      </w:pPr>
      <w:r w:rsidRPr="00C61DFF">
        <w:t>The Government will invest in renewing ACT public schools to support a modern, inclusive and high-quality education system. The program of works will include improving the amenity, functionality and inclusivity of schools, replacing end-of-life heating sys</w:t>
      </w:r>
      <w:r w:rsidRPr="00B672E7">
        <w:t xml:space="preserve">tems and roofs, improving the thermal comfort of schools, installing solar and battery energy storage systems, and providing bike storage facilities. </w:t>
      </w:r>
    </w:p>
    <w:p w14:paraId="06959687" w14:textId="77777777" w:rsidR="00CF0E2D" w:rsidRPr="00B672E7" w:rsidRDefault="00CF0E2D" w:rsidP="00A60D4B">
      <w:pPr>
        <w:pStyle w:val="Bbodytext"/>
      </w:pPr>
      <w:r w:rsidRPr="008E7440">
        <w:t>This initiative builds on the Government’s $85 million investment in public school infrastructure upgrade</w:t>
      </w:r>
      <w:r w:rsidRPr="00B672E7">
        <w:t xml:space="preserve">s over </w:t>
      </w:r>
      <w:r>
        <w:t xml:space="preserve">the </w:t>
      </w:r>
      <w:r w:rsidRPr="00B672E7">
        <w:t>four years to 2020-21.</w:t>
      </w:r>
    </w:p>
    <w:p w14:paraId="33BC7EA7" w14:textId="428F7253" w:rsidR="00CF0E2D" w:rsidRPr="00B672E7" w:rsidRDefault="00CF0E2D" w:rsidP="00A60D4B">
      <w:pPr>
        <w:pStyle w:val="Bbodytext"/>
      </w:pPr>
      <w:r w:rsidRPr="008E7440">
        <w:t>This initiative contributes to the wellbeing domain of Education and life-long learning</w:t>
      </w:r>
      <w:r w:rsidR="00465757">
        <w:t>.</w:t>
      </w:r>
      <w:r>
        <w:t xml:space="preserve"> </w:t>
      </w:r>
    </w:p>
    <w:p w14:paraId="61539CB1" w14:textId="77777777" w:rsidR="00CF0E2D" w:rsidRPr="0037239A" w:rsidRDefault="00CF0E2D" w:rsidP="00A60D4B">
      <w:pPr>
        <w:pStyle w:val="Bbodytext"/>
      </w:pPr>
    </w:p>
    <w:p w14:paraId="5FAF0BD7" w14:textId="77777777" w:rsidR="00CF0E2D" w:rsidRPr="002160A9" w:rsidRDefault="00CF0E2D" w:rsidP="00A60D4B">
      <w:pPr>
        <w:pStyle w:val="Heading4"/>
      </w:pPr>
      <w:r w:rsidRPr="004E3082">
        <w:t xml:space="preserve">New and expanded schools </w:t>
      </w:r>
      <w:r w:rsidRPr="0037239A">
        <w:t xml:space="preserve">– </w:t>
      </w:r>
      <w:r w:rsidRPr="002160A9">
        <w:t xml:space="preserve">Strathnairn Primary School  </w:t>
      </w:r>
      <w:r>
        <w:rPr>
          <w:b w:val="0"/>
          <w:noProof/>
          <w:color w:val="999789"/>
          <w:sz w:val="32"/>
          <w:szCs w:val="24"/>
        </w:rPr>
        <w:drawing>
          <wp:anchor distT="0" distB="0" distL="114300" distR="114300" simplePos="0" relativeHeight="251819008" behindDoc="0" locked="1" layoutInCell="1" allowOverlap="1" wp14:anchorId="1BE4FB7C" wp14:editId="3A907BDE">
            <wp:simplePos x="0" y="0"/>
            <wp:positionH relativeFrom="margin">
              <wp:align>right</wp:align>
            </wp:positionH>
            <wp:positionV relativeFrom="paragraph">
              <wp:posOffset>-148590</wp:posOffset>
            </wp:positionV>
            <wp:extent cx="1356995" cy="503555"/>
            <wp:effectExtent l="0" t="0" r="0" b="0"/>
            <wp:wrapSquare wrapText="bothSides"/>
            <wp:docPr id="131" name="Picture 131"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1244411F" w14:textId="77777777" w:rsidTr="00A60D4B">
        <w:trPr>
          <w:cantSplit/>
          <w:jc w:val="center"/>
        </w:trPr>
        <w:tc>
          <w:tcPr>
            <w:tcW w:w="3652" w:type="dxa"/>
            <w:tcBorders>
              <w:top w:val="single" w:sz="4" w:space="0" w:color="auto"/>
              <w:bottom w:val="single" w:sz="4" w:space="0" w:color="auto"/>
            </w:tcBorders>
          </w:tcPr>
          <w:p w14:paraId="59661344"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3BFE0194" w14:textId="77777777" w:rsidR="00CF0E2D" w:rsidRPr="00AC1349" w:rsidRDefault="00CF0E2D" w:rsidP="00A60D4B">
            <w:pPr>
              <w:pStyle w:val="InitFigR"/>
              <w:rPr>
                <w:b/>
                <w:bCs/>
              </w:rPr>
            </w:pPr>
            <w:r w:rsidRPr="00AC1349">
              <w:rPr>
                <w:b/>
                <w:bCs/>
              </w:rPr>
              <w:t>2021-22</w:t>
            </w:r>
          </w:p>
          <w:p w14:paraId="1A8F577F" w14:textId="77777777" w:rsidR="00CF0E2D" w:rsidRPr="00AC1349" w:rsidRDefault="00CF0E2D" w:rsidP="00A60D4B">
            <w:pPr>
              <w:pStyle w:val="InitFigR"/>
              <w:rPr>
                <w:b/>
                <w:bCs/>
              </w:rPr>
            </w:pPr>
            <w:r w:rsidRPr="00AC1349">
              <w:rPr>
                <w:b/>
                <w:bCs/>
              </w:rPr>
              <w:t>$’000</w:t>
            </w:r>
          </w:p>
        </w:tc>
        <w:tc>
          <w:tcPr>
            <w:tcW w:w="1041" w:type="dxa"/>
            <w:tcBorders>
              <w:top w:val="single" w:sz="4" w:space="0" w:color="auto"/>
              <w:bottom w:val="single" w:sz="4" w:space="0" w:color="auto"/>
            </w:tcBorders>
          </w:tcPr>
          <w:p w14:paraId="081C569E" w14:textId="77777777" w:rsidR="00CF0E2D" w:rsidRPr="00AC1349" w:rsidRDefault="00CF0E2D" w:rsidP="00A60D4B">
            <w:pPr>
              <w:pStyle w:val="InitFigR"/>
              <w:rPr>
                <w:b/>
                <w:bCs/>
              </w:rPr>
            </w:pPr>
            <w:r w:rsidRPr="00AC1349">
              <w:rPr>
                <w:b/>
                <w:bCs/>
              </w:rPr>
              <w:t>2022-23</w:t>
            </w:r>
          </w:p>
          <w:p w14:paraId="423396B5"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50297725" w14:textId="77777777" w:rsidR="00CF0E2D" w:rsidRPr="00AC1349" w:rsidRDefault="00CF0E2D" w:rsidP="00A60D4B">
            <w:pPr>
              <w:pStyle w:val="InitFigR"/>
              <w:rPr>
                <w:b/>
                <w:bCs/>
              </w:rPr>
            </w:pPr>
            <w:r w:rsidRPr="00AC1349">
              <w:rPr>
                <w:b/>
                <w:bCs/>
              </w:rPr>
              <w:t>2023-24</w:t>
            </w:r>
          </w:p>
          <w:p w14:paraId="61CC94AA"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00702FE1" w14:textId="77777777" w:rsidR="00CF0E2D" w:rsidRPr="00AC1349" w:rsidRDefault="00CF0E2D" w:rsidP="00A60D4B">
            <w:pPr>
              <w:pStyle w:val="InitFigR"/>
              <w:rPr>
                <w:b/>
                <w:bCs/>
              </w:rPr>
            </w:pPr>
            <w:r w:rsidRPr="00AC1349">
              <w:rPr>
                <w:b/>
                <w:bCs/>
              </w:rPr>
              <w:t>2024-25</w:t>
            </w:r>
          </w:p>
          <w:p w14:paraId="6AE9705A" w14:textId="77777777" w:rsidR="00CF0E2D" w:rsidRPr="00AC1349" w:rsidRDefault="00CF0E2D" w:rsidP="00A60D4B">
            <w:pPr>
              <w:pStyle w:val="InitFigR"/>
              <w:rPr>
                <w:b/>
                <w:bCs/>
              </w:rPr>
            </w:pPr>
            <w:r w:rsidRPr="00AC1349">
              <w:rPr>
                <w:b/>
                <w:bCs/>
              </w:rPr>
              <w:t>$’000</w:t>
            </w:r>
          </w:p>
        </w:tc>
        <w:tc>
          <w:tcPr>
            <w:tcW w:w="1029" w:type="dxa"/>
            <w:tcBorders>
              <w:top w:val="single" w:sz="4" w:space="0" w:color="auto"/>
              <w:bottom w:val="single" w:sz="4" w:space="0" w:color="auto"/>
            </w:tcBorders>
          </w:tcPr>
          <w:p w14:paraId="18880D95" w14:textId="77777777" w:rsidR="00CF0E2D" w:rsidRPr="004E341E" w:rsidRDefault="00CF0E2D" w:rsidP="00A60D4B">
            <w:pPr>
              <w:pStyle w:val="InitFigRBold"/>
            </w:pPr>
            <w:r w:rsidRPr="004E341E">
              <w:t>Total</w:t>
            </w:r>
          </w:p>
          <w:p w14:paraId="367DC6E6" w14:textId="77777777" w:rsidR="00CF0E2D" w:rsidRPr="004E341E" w:rsidRDefault="00CF0E2D" w:rsidP="00A60D4B">
            <w:pPr>
              <w:pStyle w:val="InitFigBR"/>
            </w:pPr>
            <w:r w:rsidRPr="004E341E">
              <w:t>$’000</w:t>
            </w:r>
          </w:p>
        </w:tc>
      </w:tr>
      <w:tr w:rsidR="00CF0E2D" w:rsidRPr="00750793" w14:paraId="070214ED" w14:textId="77777777" w:rsidTr="00A60D4B">
        <w:trPr>
          <w:cantSplit/>
          <w:jc w:val="center"/>
        </w:trPr>
        <w:tc>
          <w:tcPr>
            <w:tcW w:w="3652" w:type="dxa"/>
            <w:tcBorders>
              <w:top w:val="single" w:sz="4" w:space="0" w:color="auto"/>
              <w:bottom w:val="single" w:sz="4" w:space="0" w:color="auto"/>
            </w:tcBorders>
          </w:tcPr>
          <w:p w14:paraId="5F82F463" w14:textId="77777777" w:rsidR="00CF0E2D" w:rsidRDefault="00CF0E2D" w:rsidP="00A60D4B">
            <w:pPr>
              <w:pStyle w:val="InitTextL"/>
              <w:ind w:left="321" w:hanging="321"/>
            </w:pPr>
            <w:r>
              <w:t>Capital</w:t>
            </w:r>
          </w:p>
        </w:tc>
        <w:tc>
          <w:tcPr>
            <w:tcW w:w="1179" w:type="dxa"/>
            <w:tcBorders>
              <w:top w:val="single" w:sz="4" w:space="0" w:color="auto"/>
              <w:bottom w:val="single" w:sz="4" w:space="0" w:color="auto"/>
            </w:tcBorders>
          </w:tcPr>
          <w:p w14:paraId="3DE667A9" w14:textId="77777777" w:rsidR="00CF0E2D" w:rsidRDefault="00CF0E2D" w:rsidP="00A60D4B">
            <w:pPr>
              <w:pStyle w:val="InitFigR"/>
            </w:pPr>
            <w:r>
              <w:t>1,000</w:t>
            </w:r>
          </w:p>
        </w:tc>
        <w:tc>
          <w:tcPr>
            <w:tcW w:w="1041" w:type="dxa"/>
            <w:tcBorders>
              <w:top w:val="single" w:sz="4" w:space="0" w:color="auto"/>
              <w:bottom w:val="single" w:sz="4" w:space="0" w:color="auto"/>
            </w:tcBorders>
          </w:tcPr>
          <w:p w14:paraId="4B23953C" w14:textId="77777777" w:rsidR="00CF0E2D" w:rsidRDefault="00CF0E2D" w:rsidP="00A60D4B">
            <w:pPr>
              <w:pStyle w:val="InitFigR"/>
            </w:pPr>
            <w:r>
              <w:t>0</w:t>
            </w:r>
          </w:p>
        </w:tc>
        <w:tc>
          <w:tcPr>
            <w:tcW w:w="1029" w:type="dxa"/>
            <w:tcBorders>
              <w:top w:val="single" w:sz="4" w:space="0" w:color="auto"/>
              <w:bottom w:val="single" w:sz="4" w:space="0" w:color="auto"/>
            </w:tcBorders>
          </w:tcPr>
          <w:p w14:paraId="2F210CA5" w14:textId="77777777" w:rsidR="00CF0E2D" w:rsidRDefault="00CF0E2D" w:rsidP="00A60D4B">
            <w:pPr>
              <w:pStyle w:val="InitFigR"/>
            </w:pPr>
            <w:r>
              <w:t>0</w:t>
            </w:r>
          </w:p>
        </w:tc>
        <w:tc>
          <w:tcPr>
            <w:tcW w:w="1029" w:type="dxa"/>
            <w:tcBorders>
              <w:top w:val="single" w:sz="4" w:space="0" w:color="auto"/>
              <w:bottom w:val="single" w:sz="4" w:space="0" w:color="auto"/>
            </w:tcBorders>
          </w:tcPr>
          <w:p w14:paraId="21EED45C" w14:textId="77777777" w:rsidR="00CF0E2D" w:rsidRDefault="00CF0E2D" w:rsidP="00A60D4B">
            <w:pPr>
              <w:pStyle w:val="InitFigR"/>
            </w:pPr>
            <w:r>
              <w:t>0</w:t>
            </w:r>
          </w:p>
        </w:tc>
        <w:tc>
          <w:tcPr>
            <w:tcW w:w="1029" w:type="dxa"/>
            <w:tcBorders>
              <w:top w:val="single" w:sz="4" w:space="0" w:color="auto"/>
              <w:bottom w:val="single" w:sz="4" w:space="0" w:color="auto"/>
            </w:tcBorders>
          </w:tcPr>
          <w:p w14:paraId="62558CA9" w14:textId="77777777" w:rsidR="00CF0E2D" w:rsidRPr="00152A21" w:rsidRDefault="00CF0E2D" w:rsidP="00A60D4B">
            <w:pPr>
              <w:pStyle w:val="InitFigRBold"/>
              <w:rPr>
                <w:bCs/>
              </w:rPr>
            </w:pPr>
            <w:r w:rsidRPr="00152A21">
              <w:rPr>
                <w:bCs/>
              </w:rPr>
              <w:t>1,000</w:t>
            </w:r>
          </w:p>
        </w:tc>
      </w:tr>
    </w:tbl>
    <w:p w14:paraId="75E9804A" w14:textId="77777777" w:rsidR="00CF0E2D" w:rsidRPr="002160A9" w:rsidRDefault="00CF0E2D" w:rsidP="00A60D4B">
      <w:pPr>
        <w:pStyle w:val="Bbodytext"/>
        <w:rPr>
          <w:rFonts w:ascii="Calibri" w:eastAsia="Times New Roman" w:hAnsi="Calibri" w:cs="Times New Roman"/>
          <w:szCs w:val="20"/>
        </w:rPr>
      </w:pPr>
      <w:r w:rsidRPr="002160A9">
        <w:t>The Government will progress the design for a new primary school in Strathnairn to meet enrolment growth within the new West Belconnen Ginninderry development.</w:t>
      </w:r>
    </w:p>
    <w:p w14:paraId="19EB9FEE" w14:textId="77777777" w:rsidR="00CF0E2D" w:rsidRPr="002160A9" w:rsidRDefault="00CF0E2D" w:rsidP="00A60D4B">
      <w:pPr>
        <w:pStyle w:val="Bbodytext"/>
        <w:rPr>
          <w:rFonts w:ascii="Calibri" w:eastAsia="Times New Roman" w:hAnsi="Calibri" w:cs="Times New Roman"/>
          <w:szCs w:val="20"/>
        </w:rPr>
      </w:pPr>
      <w:r w:rsidRPr="002160A9">
        <w:t xml:space="preserve">This initiative builds on recent Government decisions to </w:t>
      </w:r>
      <w:r w:rsidRPr="002160A9">
        <w:rPr>
          <w:rFonts w:ascii="Calibri" w:eastAsia="Times New Roman" w:hAnsi="Calibri" w:cs="Times New Roman"/>
          <w:szCs w:val="20"/>
        </w:rPr>
        <w:t>meet enrolment growth generated by new greenfield suburbs, including opening schools in Taylor and Denman Prospect and constructing new schools in Throsby and Kenny.</w:t>
      </w:r>
    </w:p>
    <w:p w14:paraId="7F63297A" w14:textId="77777777" w:rsidR="00CF0E2D" w:rsidRDefault="00CF0E2D" w:rsidP="00A60D4B">
      <w:pPr>
        <w:pStyle w:val="Bbodytext"/>
      </w:pPr>
      <w:r w:rsidRPr="002160A9">
        <w:t xml:space="preserve">This initiative contributes to the wellbeing domain of Education and life-long learning. </w:t>
      </w:r>
    </w:p>
    <w:p w14:paraId="1A3B1A1E" w14:textId="77777777" w:rsidR="00CF0E2D" w:rsidRPr="00603F64" w:rsidRDefault="00CF0E2D" w:rsidP="00A60D4B">
      <w:pPr>
        <w:pStyle w:val="Bbodytext"/>
      </w:pPr>
      <w:r w:rsidRPr="00603F64">
        <w:rPr>
          <w:noProof/>
        </w:rPr>
        <w:drawing>
          <wp:anchor distT="0" distB="0" distL="114300" distR="114300" simplePos="0" relativeHeight="251820032" behindDoc="0" locked="1" layoutInCell="1" allowOverlap="1" wp14:anchorId="53ECD9DA" wp14:editId="406E50BE">
            <wp:simplePos x="0" y="0"/>
            <wp:positionH relativeFrom="margin">
              <wp:align>right</wp:align>
            </wp:positionH>
            <wp:positionV relativeFrom="paragraph">
              <wp:posOffset>123825</wp:posOffset>
            </wp:positionV>
            <wp:extent cx="1356995" cy="503555"/>
            <wp:effectExtent l="0" t="0" r="0" b="0"/>
            <wp:wrapSquare wrapText="bothSides"/>
            <wp:docPr id="132" name="Picture 132"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6995" cy="503555"/>
                    </a:xfrm>
                    <a:prstGeom prst="rect">
                      <a:avLst/>
                    </a:prstGeom>
                  </pic:spPr>
                </pic:pic>
              </a:graphicData>
            </a:graphic>
            <wp14:sizeRelH relativeFrom="margin">
              <wp14:pctWidth>0</wp14:pctWidth>
            </wp14:sizeRelH>
            <wp14:sizeRelV relativeFrom="margin">
              <wp14:pctHeight>0</wp14:pctHeight>
            </wp14:sizeRelV>
          </wp:anchor>
        </w:drawing>
      </w:r>
    </w:p>
    <w:p w14:paraId="6865C0D8" w14:textId="77777777" w:rsidR="00CF0E2D" w:rsidRPr="00161D49" w:rsidRDefault="00CF0E2D" w:rsidP="00A60D4B">
      <w:pPr>
        <w:pStyle w:val="Heading4"/>
      </w:pPr>
      <w:r w:rsidRPr="00161D49">
        <w:t xml:space="preserve">Removing </w:t>
      </w:r>
      <w:r>
        <w:t>h</w:t>
      </w:r>
      <w:r w:rsidRPr="00161D49">
        <w:t xml:space="preserve">azardous </w:t>
      </w:r>
      <w:r>
        <w:t>m</w:t>
      </w:r>
      <w:r w:rsidRPr="00161D49">
        <w:t xml:space="preserve">aterials from </w:t>
      </w:r>
      <w:r>
        <w:t>s</w:t>
      </w:r>
      <w:r w:rsidRPr="00161D49">
        <w:t xml:space="preserve">chools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1936164F" w14:textId="77777777" w:rsidTr="00A60D4B">
        <w:trPr>
          <w:cantSplit/>
          <w:jc w:val="center"/>
        </w:trPr>
        <w:tc>
          <w:tcPr>
            <w:tcW w:w="3652" w:type="dxa"/>
            <w:tcBorders>
              <w:top w:val="single" w:sz="4" w:space="0" w:color="auto"/>
              <w:bottom w:val="single" w:sz="4" w:space="0" w:color="auto"/>
            </w:tcBorders>
          </w:tcPr>
          <w:p w14:paraId="22A41768"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0C22AAB4" w14:textId="77777777" w:rsidR="00CF0E2D" w:rsidRPr="007E0E75" w:rsidRDefault="00CF0E2D" w:rsidP="00A60D4B">
            <w:pPr>
              <w:pStyle w:val="InitFigR"/>
              <w:rPr>
                <w:b/>
                <w:bCs/>
              </w:rPr>
            </w:pPr>
            <w:r w:rsidRPr="007E0E75">
              <w:rPr>
                <w:b/>
                <w:bCs/>
              </w:rPr>
              <w:t>2021-22</w:t>
            </w:r>
          </w:p>
          <w:p w14:paraId="28FB7E87" w14:textId="77777777" w:rsidR="00CF0E2D" w:rsidRPr="007E0E75" w:rsidRDefault="00CF0E2D" w:rsidP="00A60D4B">
            <w:pPr>
              <w:pStyle w:val="InitFigR"/>
              <w:rPr>
                <w:b/>
                <w:bCs/>
              </w:rPr>
            </w:pPr>
            <w:r w:rsidRPr="007E0E75">
              <w:rPr>
                <w:b/>
                <w:bCs/>
              </w:rPr>
              <w:t>$’000</w:t>
            </w:r>
          </w:p>
        </w:tc>
        <w:tc>
          <w:tcPr>
            <w:tcW w:w="1041" w:type="dxa"/>
            <w:tcBorders>
              <w:top w:val="single" w:sz="4" w:space="0" w:color="auto"/>
              <w:bottom w:val="single" w:sz="4" w:space="0" w:color="auto"/>
            </w:tcBorders>
          </w:tcPr>
          <w:p w14:paraId="5331D14A" w14:textId="77777777" w:rsidR="00CF0E2D" w:rsidRPr="007E0E75" w:rsidRDefault="00CF0E2D" w:rsidP="00A60D4B">
            <w:pPr>
              <w:pStyle w:val="InitFigR"/>
              <w:rPr>
                <w:b/>
                <w:bCs/>
              </w:rPr>
            </w:pPr>
            <w:r w:rsidRPr="007E0E75">
              <w:rPr>
                <w:b/>
                <w:bCs/>
              </w:rPr>
              <w:t>2022-23</w:t>
            </w:r>
          </w:p>
          <w:p w14:paraId="3936F254" w14:textId="77777777" w:rsidR="00CF0E2D" w:rsidRPr="007E0E75" w:rsidRDefault="00CF0E2D" w:rsidP="00A60D4B">
            <w:pPr>
              <w:pStyle w:val="InitFigR"/>
              <w:rPr>
                <w:b/>
                <w:bCs/>
              </w:rPr>
            </w:pPr>
            <w:r w:rsidRPr="007E0E75">
              <w:rPr>
                <w:b/>
                <w:bCs/>
              </w:rPr>
              <w:t>$’000</w:t>
            </w:r>
          </w:p>
        </w:tc>
        <w:tc>
          <w:tcPr>
            <w:tcW w:w="1029" w:type="dxa"/>
            <w:tcBorders>
              <w:top w:val="single" w:sz="4" w:space="0" w:color="auto"/>
              <w:bottom w:val="single" w:sz="4" w:space="0" w:color="auto"/>
            </w:tcBorders>
          </w:tcPr>
          <w:p w14:paraId="0BFB5051" w14:textId="77777777" w:rsidR="00CF0E2D" w:rsidRPr="007E0E75" w:rsidRDefault="00CF0E2D" w:rsidP="00A60D4B">
            <w:pPr>
              <w:pStyle w:val="InitFigR"/>
              <w:rPr>
                <w:b/>
                <w:bCs/>
              </w:rPr>
            </w:pPr>
            <w:r w:rsidRPr="007E0E75">
              <w:rPr>
                <w:b/>
                <w:bCs/>
              </w:rPr>
              <w:t>2023-24</w:t>
            </w:r>
          </w:p>
          <w:p w14:paraId="4344F80F" w14:textId="77777777" w:rsidR="00CF0E2D" w:rsidRPr="007E0E75" w:rsidRDefault="00CF0E2D" w:rsidP="00A60D4B">
            <w:pPr>
              <w:pStyle w:val="InitFigR"/>
              <w:rPr>
                <w:b/>
                <w:bCs/>
              </w:rPr>
            </w:pPr>
            <w:r w:rsidRPr="007E0E75">
              <w:rPr>
                <w:b/>
                <w:bCs/>
              </w:rPr>
              <w:t>$’000</w:t>
            </w:r>
          </w:p>
        </w:tc>
        <w:tc>
          <w:tcPr>
            <w:tcW w:w="1029" w:type="dxa"/>
            <w:tcBorders>
              <w:top w:val="single" w:sz="4" w:space="0" w:color="auto"/>
              <w:bottom w:val="single" w:sz="4" w:space="0" w:color="auto"/>
            </w:tcBorders>
          </w:tcPr>
          <w:p w14:paraId="47ED3FF9" w14:textId="77777777" w:rsidR="00CF0E2D" w:rsidRPr="007E0E75" w:rsidRDefault="00CF0E2D" w:rsidP="00A60D4B">
            <w:pPr>
              <w:pStyle w:val="InitFigR"/>
              <w:rPr>
                <w:b/>
                <w:bCs/>
              </w:rPr>
            </w:pPr>
            <w:r w:rsidRPr="007E0E75">
              <w:rPr>
                <w:b/>
                <w:bCs/>
              </w:rPr>
              <w:t>2024-25</w:t>
            </w:r>
          </w:p>
          <w:p w14:paraId="73BC1C34" w14:textId="77777777" w:rsidR="00CF0E2D" w:rsidRPr="007E0E75" w:rsidRDefault="00CF0E2D" w:rsidP="00A60D4B">
            <w:pPr>
              <w:pStyle w:val="InitFigR"/>
              <w:rPr>
                <w:b/>
                <w:bCs/>
              </w:rPr>
            </w:pPr>
            <w:r w:rsidRPr="007E0E75">
              <w:rPr>
                <w:b/>
                <w:bCs/>
              </w:rPr>
              <w:t>$’000</w:t>
            </w:r>
          </w:p>
        </w:tc>
        <w:tc>
          <w:tcPr>
            <w:tcW w:w="1029" w:type="dxa"/>
            <w:tcBorders>
              <w:top w:val="single" w:sz="4" w:space="0" w:color="auto"/>
              <w:bottom w:val="single" w:sz="4" w:space="0" w:color="auto"/>
            </w:tcBorders>
          </w:tcPr>
          <w:p w14:paraId="1292F48C" w14:textId="77777777" w:rsidR="00CF0E2D" w:rsidRPr="004E341E" w:rsidRDefault="00CF0E2D" w:rsidP="00A60D4B">
            <w:pPr>
              <w:pStyle w:val="InitFigRBold"/>
            </w:pPr>
            <w:r w:rsidRPr="004E341E">
              <w:t>Total</w:t>
            </w:r>
          </w:p>
          <w:p w14:paraId="2ABC69DD" w14:textId="77777777" w:rsidR="00CF0E2D" w:rsidRPr="004E341E" w:rsidRDefault="00CF0E2D" w:rsidP="00A60D4B">
            <w:pPr>
              <w:pStyle w:val="InitFigBR"/>
            </w:pPr>
            <w:r w:rsidRPr="004E341E">
              <w:t>$’000</w:t>
            </w:r>
          </w:p>
        </w:tc>
      </w:tr>
      <w:tr w:rsidR="00CF0E2D" w:rsidRPr="00750793" w14:paraId="1FCAF908" w14:textId="77777777" w:rsidTr="00A60D4B">
        <w:trPr>
          <w:cantSplit/>
          <w:jc w:val="center"/>
        </w:trPr>
        <w:tc>
          <w:tcPr>
            <w:tcW w:w="3652" w:type="dxa"/>
            <w:tcBorders>
              <w:top w:val="single" w:sz="4" w:space="0" w:color="auto"/>
              <w:bottom w:val="single" w:sz="4" w:space="0" w:color="auto"/>
            </w:tcBorders>
          </w:tcPr>
          <w:p w14:paraId="4B029211"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vAlign w:val="bottom"/>
          </w:tcPr>
          <w:p w14:paraId="3CAA66F3" w14:textId="77777777" w:rsidR="00CF0E2D" w:rsidRPr="007E0E75" w:rsidRDefault="00CF0E2D" w:rsidP="00A60D4B">
            <w:pPr>
              <w:pStyle w:val="InitFigR"/>
              <w:rPr>
                <w:szCs w:val="24"/>
              </w:rPr>
            </w:pPr>
            <w:r w:rsidRPr="007E0E75">
              <w:rPr>
                <w:rFonts w:cs="Calibri"/>
                <w:color w:val="000000"/>
                <w:szCs w:val="24"/>
              </w:rPr>
              <w:t>3,750</w:t>
            </w:r>
          </w:p>
        </w:tc>
        <w:tc>
          <w:tcPr>
            <w:tcW w:w="1041" w:type="dxa"/>
            <w:tcBorders>
              <w:top w:val="single" w:sz="4" w:space="0" w:color="auto"/>
              <w:bottom w:val="single" w:sz="4" w:space="0" w:color="auto"/>
            </w:tcBorders>
            <w:vAlign w:val="bottom"/>
          </w:tcPr>
          <w:p w14:paraId="703C4AC5" w14:textId="77777777" w:rsidR="00CF0E2D" w:rsidRPr="007E0E75" w:rsidRDefault="00CF0E2D" w:rsidP="00A60D4B">
            <w:pPr>
              <w:pStyle w:val="InitFigR"/>
              <w:rPr>
                <w:szCs w:val="24"/>
              </w:rPr>
            </w:pPr>
            <w:r w:rsidRPr="007E0E75">
              <w:rPr>
                <w:rFonts w:cs="Calibri"/>
                <w:color w:val="000000"/>
                <w:szCs w:val="24"/>
              </w:rPr>
              <w:t>3,750</w:t>
            </w:r>
          </w:p>
        </w:tc>
        <w:tc>
          <w:tcPr>
            <w:tcW w:w="1029" w:type="dxa"/>
            <w:tcBorders>
              <w:top w:val="single" w:sz="4" w:space="0" w:color="auto"/>
              <w:bottom w:val="single" w:sz="4" w:space="0" w:color="auto"/>
            </w:tcBorders>
            <w:vAlign w:val="bottom"/>
          </w:tcPr>
          <w:p w14:paraId="540D673E" w14:textId="77777777" w:rsidR="00CF0E2D" w:rsidRPr="007E0E75" w:rsidRDefault="00CF0E2D" w:rsidP="00A60D4B">
            <w:pPr>
              <w:pStyle w:val="InitFigR"/>
              <w:rPr>
                <w:szCs w:val="24"/>
              </w:rPr>
            </w:pPr>
            <w:r w:rsidRPr="007E0E75">
              <w:rPr>
                <w:rFonts w:cs="Calibri"/>
                <w:color w:val="000000"/>
                <w:szCs w:val="24"/>
              </w:rPr>
              <w:t>3,750</w:t>
            </w:r>
          </w:p>
        </w:tc>
        <w:tc>
          <w:tcPr>
            <w:tcW w:w="1029" w:type="dxa"/>
            <w:tcBorders>
              <w:top w:val="single" w:sz="4" w:space="0" w:color="auto"/>
              <w:bottom w:val="single" w:sz="4" w:space="0" w:color="auto"/>
            </w:tcBorders>
            <w:vAlign w:val="bottom"/>
          </w:tcPr>
          <w:p w14:paraId="213EA325" w14:textId="77777777" w:rsidR="00CF0E2D" w:rsidRPr="007E0E75" w:rsidRDefault="00CF0E2D" w:rsidP="00A60D4B">
            <w:pPr>
              <w:pStyle w:val="InitFigR"/>
              <w:rPr>
                <w:szCs w:val="24"/>
              </w:rPr>
            </w:pPr>
            <w:r w:rsidRPr="007E0E75">
              <w:rPr>
                <w:rFonts w:cs="Calibri"/>
                <w:color w:val="000000"/>
                <w:szCs w:val="24"/>
              </w:rPr>
              <w:t>3,750</w:t>
            </w:r>
          </w:p>
        </w:tc>
        <w:tc>
          <w:tcPr>
            <w:tcW w:w="1029" w:type="dxa"/>
            <w:tcBorders>
              <w:top w:val="single" w:sz="4" w:space="0" w:color="auto"/>
              <w:bottom w:val="single" w:sz="4" w:space="0" w:color="auto"/>
            </w:tcBorders>
            <w:vAlign w:val="bottom"/>
          </w:tcPr>
          <w:p w14:paraId="7B059250" w14:textId="77777777" w:rsidR="00CF0E2D" w:rsidRPr="007E0E75" w:rsidRDefault="00CF0E2D" w:rsidP="00A60D4B">
            <w:pPr>
              <w:pStyle w:val="InitFigBR"/>
              <w:rPr>
                <w:szCs w:val="24"/>
              </w:rPr>
            </w:pPr>
            <w:r w:rsidRPr="007E0E75">
              <w:rPr>
                <w:rFonts w:cs="Calibri"/>
                <w:color w:val="000000"/>
                <w:szCs w:val="24"/>
              </w:rPr>
              <w:t>15,000</w:t>
            </w:r>
          </w:p>
        </w:tc>
      </w:tr>
    </w:tbl>
    <w:p w14:paraId="48C06606" w14:textId="77777777" w:rsidR="00CF0E2D" w:rsidRPr="00161D49" w:rsidRDefault="00CF0E2D" w:rsidP="00A60D4B">
      <w:pPr>
        <w:pStyle w:val="Bbodytext"/>
        <w:rPr>
          <w:rFonts w:ascii="Calibri" w:eastAsia="Times New Roman" w:hAnsi="Calibri" w:cs="Times New Roman"/>
          <w:szCs w:val="20"/>
        </w:rPr>
      </w:pPr>
      <w:r w:rsidRPr="00161D49">
        <w:t xml:space="preserve">The Government will accelerate the removal of hazardous materials including lead paint </w:t>
      </w:r>
      <w:r w:rsidRPr="00161D49">
        <w:rPr>
          <w:rFonts w:ascii="Calibri" w:eastAsia="Times New Roman" w:hAnsi="Calibri" w:cs="Times New Roman"/>
          <w:szCs w:val="20"/>
        </w:rPr>
        <w:t>and asbestos containing materials from ACT public schools.</w:t>
      </w:r>
    </w:p>
    <w:p w14:paraId="1816BDE9" w14:textId="77777777" w:rsidR="00CF0E2D" w:rsidRDefault="00CF0E2D" w:rsidP="00A60D4B">
      <w:pPr>
        <w:pStyle w:val="Bbodytext"/>
      </w:pPr>
      <w:r w:rsidRPr="00161D49">
        <w:t xml:space="preserve">This initiative contributes to the wellbeing domains of Education and life-long learning, Safety and Health. </w:t>
      </w:r>
      <w:r>
        <w:br w:type="page"/>
      </w:r>
    </w:p>
    <w:p w14:paraId="473C529C" w14:textId="77777777" w:rsidR="00CF0E2D" w:rsidRDefault="00CF0E2D" w:rsidP="00A60D4B">
      <w:pPr>
        <w:pStyle w:val="Heading3"/>
      </w:pPr>
      <w:r w:rsidRPr="008D7AA2">
        <w:lastRenderedPageBreak/>
        <w:t>ENVIRONMENT, PLANNING AND SUSTAINABLE DEVELOPMENT DIRECTORATE</w:t>
      </w:r>
    </w:p>
    <w:p w14:paraId="703A0DCD" w14:textId="77777777" w:rsidR="00CF0E2D" w:rsidRDefault="00CF0E2D" w:rsidP="00A60D4B">
      <w:pPr>
        <w:pStyle w:val="Heading4"/>
        <w:rPr>
          <w:rFonts w:eastAsia="Times New Roman"/>
        </w:rPr>
      </w:pPr>
    </w:p>
    <w:p w14:paraId="7E305739" w14:textId="77777777" w:rsidR="00CF0E2D" w:rsidRPr="00F520F4" w:rsidRDefault="00CF0E2D" w:rsidP="00A60D4B">
      <w:pPr>
        <w:pStyle w:val="Heading4"/>
        <w:rPr>
          <w:rFonts w:eastAsia="Times New Roman" w:cs="Times New Roman"/>
          <w:bCs/>
          <w:szCs w:val="26"/>
        </w:rPr>
      </w:pPr>
      <w:r>
        <w:rPr>
          <w:rFonts w:eastAsia="Times New Roman"/>
          <w:noProof/>
        </w:rPr>
        <w:drawing>
          <wp:anchor distT="0" distB="0" distL="114300" distR="114300" simplePos="0" relativeHeight="251834368" behindDoc="0" locked="1" layoutInCell="1" allowOverlap="1" wp14:anchorId="57202CA2" wp14:editId="085D1D4B">
            <wp:simplePos x="0" y="0"/>
            <wp:positionH relativeFrom="margin">
              <wp:align>right</wp:align>
            </wp:positionH>
            <wp:positionV relativeFrom="paragraph">
              <wp:posOffset>86360</wp:posOffset>
            </wp:positionV>
            <wp:extent cx="1148400" cy="504000"/>
            <wp:effectExtent l="0" t="0" r="0" b="0"/>
            <wp:wrapSquare wrapText="bothSides"/>
            <wp:docPr id="44" name="Picture 44"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Economy"/>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148400" cy="50400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rPr>
        <w:t xml:space="preserve">Backing our Arts and Entertainment – </w:t>
      </w:r>
      <w:r w:rsidRPr="00F520F4">
        <w:rPr>
          <w:rFonts w:eastAsia="Times New Roman" w:cs="Times New Roman"/>
          <w:bCs/>
          <w:szCs w:val="26"/>
        </w:rPr>
        <w:t xml:space="preserve">Establishing </w:t>
      </w:r>
      <w:r>
        <w:rPr>
          <w:rFonts w:eastAsia="Times New Roman" w:cs="Times New Roman"/>
          <w:bCs/>
          <w:szCs w:val="26"/>
        </w:rPr>
        <w:t>e</w:t>
      </w:r>
      <w:r w:rsidRPr="00F520F4">
        <w:rPr>
          <w:rFonts w:eastAsia="Times New Roman" w:cs="Times New Roman"/>
          <w:bCs/>
          <w:szCs w:val="26"/>
        </w:rPr>
        <w:t xml:space="preserve">ntertainment </w:t>
      </w:r>
      <w:r>
        <w:rPr>
          <w:rFonts w:eastAsia="Times New Roman" w:cs="Times New Roman"/>
          <w:bCs/>
          <w:szCs w:val="26"/>
        </w:rPr>
        <w:t>p</w:t>
      </w:r>
      <w:r w:rsidRPr="00F520F4">
        <w:rPr>
          <w:rFonts w:eastAsia="Times New Roman" w:cs="Times New Roman"/>
          <w:bCs/>
          <w:szCs w:val="26"/>
        </w:rPr>
        <w:t xml:space="preserve">recincts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27B754F0" w14:textId="77777777" w:rsidTr="00A60D4B">
        <w:trPr>
          <w:cantSplit/>
          <w:jc w:val="center"/>
        </w:trPr>
        <w:tc>
          <w:tcPr>
            <w:tcW w:w="3652" w:type="dxa"/>
            <w:tcBorders>
              <w:top w:val="single" w:sz="4" w:space="0" w:color="auto"/>
              <w:bottom w:val="single" w:sz="4" w:space="0" w:color="auto"/>
            </w:tcBorders>
          </w:tcPr>
          <w:p w14:paraId="1F8F1953"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4FCB431E" w14:textId="77777777" w:rsidR="00CF0E2D" w:rsidRPr="00F2314E" w:rsidRDefault="00CF0E2D" w:rsidP="00A60D4B">
            <w:pPr>
              <w:pStyle w:val="InitFigR"/>
              <w:rPr>
                <w:b/>
                <w:bCs/>
              </w:rPr>
            </w:pPr>
            <w:r w:rsidRPr="00F2314E">
              <w:rPr>
                <w:b/>
                <w:bCs/>
              </w:rPr>
              <w:t>2021-22</w:t>
            </w:r>
          </w:p>
          <w:p w14:paraId="43DAB80E" w14:textId="77777777" w:rsidR="00CF0E2D" w:rsidRPr="00F2314E" w:rsidRDefault="00CF0E2D" w:rsidP="00A60D4B">
            <w:pPr>
              <w:pStyle w:val="InitFigR"/>
              <w:rPr>
                <w:b/>
                <w:bCs/>
              </w:rPr>
            </w:pPr>
            <w:r w:rsidRPr="00F2314E">
              <w:rPr>
                <w:b/>
                <w:bCs/>
              </w:rPr>
              <w:t>$’000</w:t>
            </w:r>
          </w:p>
        </w:tc>
        <w:tc>
          <w:tcPr>
            <w:tcW w:w="1041" w:type="dxa"/>
            <w:tcBorders>
              <w:top w:val="single" w:sz="4" w:space="0" w:color="auto"/>
              <w:bottom w:val="single" w:sz="4" w:space="0" w:color="auto"/>
            </w:tcBorders>
          </w:tcPr>
          <w:p w14:paraId="38D3C8FA" w14:textId="77777777" w:rsidR="00CF0E2D" w:rsidRPr="00F2314E" w:rsidRDefault="00CF0E2D" w:rsidP="00A60D4B">
            <w:pPr>
              <w:pStyle w:val="InitFigR"/>
              <w:rPr>
                <w:b/>
                <w:bCs/>
              </w:rPr>
            </w:pPr>
            <w:r w:rsidRPr="00F2314E">
              <w:rPr>
                <w:b/>
                <w:bCs/>
              </w:rPr>
              <w:t>2022-23</w:t>
            </w:r>
          </w:p>
          <w:p w14:paraId="2FD1FB22"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259C18CD" w14:textId="77777777" w:rsidR="00CF0E2D" w:rsidRPr="00F2314E" w:rsidRDefault="00CF0E2D" w:rsidP="00A60D4B">
            <w:pPr>
              <w:pStyle w:val="InitFigR"/>
              <w:rPr>
                <w:b/>
                <w:bCs/>
              </w:rPr>
            </w:pPr>
            <w:r w:rsidRPr="00F2314E">
              <w:rPr>
                <w:b/>
                <w:bCs/>
              </w:rPr>
              <w:t>2023-24</w:t>
            </w:r>
          </w:p>
          <w:p w14:paraId="707034F4"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1BAC7598" w14:textId="77777777" w:rsidR="00CF0E2D" w:rsidRPr="00F2314E" w:rsidRDefault="00CF0E2D" w:rsidP="00A60D4B">
            <w:pPr>
              <w:pStyle w:val="InitFigR"/>
              <w:rPr>
                <w:b/>
                <w:bCs/>
              </w:rPr>
            </w:pPr>
            <w:r w:rsidRPr="00F2314E">
              <w:rPr>
                <w:b/>
                <w:bCs/>
              </w:rPr>
              <w:t>2024-25</w:t>
            </w:r>
          </w:p>
          <w:p w14:paraId="422812EC"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166AC53F" w14:textId="77777777" w:rsidR="00CF0E2D" w:rsidRPr="004E341E" w:rsidRDefault="00CF0E2D" w:rsidP="00A60D4B">
            <w:pPr>
              <w:pStyle w:val="InitFigRBold"/>
            </w:pPr>
            <w:r w:rsidRPr="004E341E">
              <w:t>Total</w:t>
            </w:r>
          </w:p>
          <w:p w14:paraId="191DCFBD" w14:textId="77777777" w:rsidR="00CF0E2D" w:rsidRPr="004E341E" w:rsidRDefault="00CF0E2D" w:rsidP="00A60D4B">
            <w:pPr>
              <w:pStyle w:val="InitFigBR"/>
            </w:pPr>
            <w:r w:rsidRPr="004E341E">
              <w:t>$’000</w:t>
            </w:r>
          </w:p>
        </w:tc>
      </w:tr>
      <w:tr w:rsidR="00CF0E2D" w:rsidRPr="00750793" w14:paraId="1AD144C0" w14:textId="77777777" w:rsidTr="00A60D4B">
        <w:trPr>
          <w:cantSplit/>
          <w:jc w:val="center"/>
        </w:trPr>
        <w:tc>
          <w:tcPr>
            <w:tcW w:w="3652" w:type="dxa"/>
            <w:tcBorders>
              <w:top w:val="single" w:sz="4" w:space="0" w:color="auto"/>
              <w:bottom w:val="single" w:sz="4" w:space="0" w:color="auto"/>
            </w:tcBorders>
          </w:tcPr>
          <w:p w14:paraId="3F423568"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6A07B5CA" w14:textId="77777777" w:rsidR="00CF0E2D" w:rsidRPr="00424DA4" w:rsidRDefault="00CF0E2D" w:rsidP="00A60D4B">
            <w:pPr>
              <w:pStyle w:val="InitFigR"/>
            </w:pPr>
            <w:r>
              <w:t>150</w:t>
            </w:r>
          </w:p>
        </w:tc>
        <w:tc>
          <w:tcPr>
            <w:tcW w:w="1041" w:type="dxa"/>
            <w:tcBorders>
              <w:top w:val="single" w:sz="4" w:space="0" w:color="auto"/>
              <w:bottom w:val="single" w:sz="4" w:space="0" w:color="auto"/>
            </w:tcBorders>
          </w:tcPr>
          <w:p w14:paraId="44D5EC83" w14:textId="77777777" w:rsidR="00CF0E2D" w:rsidRPr="00424DA4" w:rsidRDefault="00CF0E2D" w:rsidP="00A60D4B">
            <w:pPr>
              <w:pStyle w:val="InitFigR"/>
            </w:pPr>
            <w:r>
              <w:t>100</w:t>
            </w:r>
          </w:p>
        </w:tc>
        <w:tc>
          <w:tcPr>
            <w:tcW w:w="1029" w:type="dxa"/>
            <w:tcBorders>
              <w:top w:val="single" w:sz="4" w:space="0" w:color="auto"/>
              <w:bottom w:val="single" w:sz="4" w:space="0" w:color="auto"/>
            </w:tcBorders>
          </w:tcPr>
          <w:p w14:paraId="5DDF272B"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54EE84B2"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5D6585F7" w14:textId="77777777" w:rsidR="00CF0E2D" w:rsidRPr="00424DA4" w:rsidRDefault="00CF0E2D" w:rsidP="00A60D4B">
            <w:pPr>
              <w:pStyle w:val="InitFigBR"/>
            </w:pPr>
            <w:r>
              <w:t>250</w:t>
            </w:r>
          </w:p>
        </w:tc>
      </w:tr>
    </w:tbl>
    <w:p w14:paraId="6947426E" w14:textId="77777777" w:rsidR="00CF0E2D" w:rsidRPr="008B1B4D" w:rsidRDefault="00CF0E2D" w:rsidP="00A60D4B">
      <w:pPr>
        <w:pStyle w:val="Bbodytext"/>
      </w:pPr>
      <w:r w:rsidRPr="005477B5">
        <w:t xml:space="preserve">The Government will fund technical studies relating to noise and building standards, required to inform regulatory changes that enable a night-time economy. </w:t>
      </w:r>
    </w:p>
    <w:p w14:paraId="6DCC5724" w14:textId="77777777" w:rsidR="00CF0E2D" w:rsidRDefault="00CF0E2D" w:rsidP="00A60D4B">
      <w:pPr>
        <w:pStyle w:val="Bbodytext"/>
      </w:pPr>
      <w:r w:rsidRPr="005477B5">
        <w:t>This initiative contributes to the wellbeing domain</w:t>
      </w:r>
      <w:r>
        <w:t>s</w:t>
      </w:r>
      <w:r w:rsidRPr="005477B5">
        <w:t xml:space="preserve"> of Economy and</w:t>
      </w:r>
      <w:r w:rsidRPr="008B1B4D">
        <w:t xml:space="preserve"> Governance and institutions. </w:t>
      </w:r>
    </w:p>
    <w:p w14:paraId="5337F078" w14:textId="77777777" w:rsidR="00CF0E2D" w:rsidRPr="008B1B4D" w:rsidRDefault="00CF0E2D" w:rsidP="00A60D4B">
      <w:pPr>
        <w:pStyle w:val="Bbodytext"/>
      </w:pPr>
      <w:r>
        <w:rPr>
          <w:rFonts w:eastAsia="Times New Roman"/>
          <w:noProof/>
        </w:rPr>
        <w:drawing>
          <wp:anchor distT="0" distB="0" distL="114300" distR="114300" simplePos="0" relativeHeight="251836416" behindDoc="0" locked="1" layoutInCell="1" allowOverlap="1" wp14:anchorId="773982EF" wp14:editId="74610FF8">
            <wp:simplePos x="0" y="0"/>
            <wp:positionH relativeFrom="margin">
              <wp:align>right</wp:align>
            </wp:positionH>
            <wp:positionV relativeFrom="paragraph">
              <wp:posOffset>187325</wp:posOffset>
            </wp:positionV>
            <wp:extent cx="1393200" cy="504000"/>
            <wp:effectExtent l="0" t="0" r="0" b="0"/>
            <wp:wrapSquare wrapText="bothSides"/>
            <wp:docPr id="280" name="Picture 280" descr="Icon representing the wellbeing domain of Environment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nvironment and clima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3200" cy="504000"/>
                    </a:xfrm>
                    <a:prstGeom prst="rect">
                      <a:avLst/>
                    </a:prstGeom>
                  </pic:spPr>
                </pic:pic>
              </a:graphicData>
            </a:graphic>
            <wp14:sizeRelH relativeFrom="margin">
              <wp14:pctWidth>0</wp14:pctWidth>
            </wp14:sizeRelH>
            <wp14:sizeRelV relativeFrom="margin">
              <wp14:pctHeight>0</wp14:pctHeight>
            </wp14:sizeRelV>
          </wp:anchor>
        </w:drawing>
      </w:r>
    </w:p>
    <w:p w14:paraId="2411171E" w14:textId="77777777" w:rsidR="00CF0E2D" w:rsidRDefault="00CF0E2D" w:rsidP="00A60D4B">
      <w:pPr>
        <w:pStyle w:val="Heading4"/>
        <w:rPr>
          <w:rFonts w:eastAsia="Times New Roman"/>
        </w:rPr>
      </w:pPr>
      <w:r>
        <w:rPr>
          <w:rFonts w:eastAsia="Times New Roman"/>
        </w:rPr>
        <w:t xml:space="preserve">Climate action – Adaptation and resilience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B77F39" w14:paraId="335B6B62" w14:textId="77777777" w:rsidTr="00A60D4B">
        <w:trPr>
          <w:cantSplit/>
          <w:jc w:val="center"/>
        </w:trPr>
        <w:tc>
          <w:tcPr>
            <w:tcW w:w="3652" w:type="dxa"/>
            <w:tcBorders>
              <w:top w:val="single" w:sz="4" w:space="0" w:color="auto"/>
              <w:bottom w:val="single" w:sz="4" w:space="0" w:color="auto"/>
            </w:tcBorders>
          </w:tcPr>
          <w:p w14:paraId="3EB0A67A" w14:textId="77777777" w:rsidR="00CF0E2D" w:rsidRPr="00B77F39" w:rsidRDefault="00CF0E2D" w:rsidP="00A60D4B">
            <w:pPr>
              <w:pStyle w:val="EmptyCell0"/>
            </w:pPr>
            <w:r w:rsidRPr="00B77F39">
              <w:t>Empty Cell</w:t>
            </w:r>
          </w:p>
        </w:tc>
        <w:tc>
          <w:tcPr>
            <w:tcW w:w="1179" w:type="dxa"/>
            <w:tcBorders>
              <w:top w:val="single" w:sz="4" w:space="0" w:color="auto"/>
              <w:bottom w:val="single" w:sz="4" w:space="0" w:color="auto"/>
            </w:tcBorders>
          </w:tcPr>
          <w:p w14:paraId="19EF623A" w14:textId="77777777" w:rsidR="00CF0E2D" w:rsidRPr="00F2314E" w:rsidRDefault="00CF0E2D" w:rsidP="00A60D4B">
            <w:pPr>
              <w:pStyle w:val="InitFigR"/>
              <w:rPr>
                <w:b/>
                <w:bCs/>
              </w:rPr>
            </w:pPr>
            <w:r w:rsidRPr="00F2314E">
              <w:rPr>
                <w:b/>
                <w:bCs/>
              </w:rPr>
              <w:t>2021-22</w:t>
            </w:r>
          </w:p>
          <w:p w14:paraId="0F97FEA0" w14:textId="77777777" w:rsidR="00CF0E2D" w:rsidRPr="00F2314E" w:rsidRDefault="00CF0E2D" w:rsidP="00A60D4B">
            <w:pPr>
              <w:pStyle w:val="InitFigR"/>
              <w:rPr>
                <w:b/>
                <w:bCs/>
              </w:rPr>
            </w:pPr>
            <w:r w:rsidRPr="00F2314E">
              <w:rPr>
                <w:b/>
                <w:bCs/>
              </w:rPr>
              <w:t>$’000</w:t>
            </w:r>
          </w:p>
        </w:tc>
        <w:tc>
          <w:tcPr>
            <w:tcW w:w="1041" w:type="dxa"/>
            <w:tcBorders>
              <w:top w:val="single" w:sz="4" w:space="0" w:color="auto"/>
              <w:bottom w:val="single" w:sz="4" w:space="0" w:color="auto"/>
            </w:tcBorders>
          </w:tcPr>
          <w:p w14:paraId="550FF267" w14:textId="77777777" w:rsidR="00CF0E2D" w:rsidRPr="00F2314E" w:rsidRDefault="00CF0E2D" w:rsidP="00A60D4B">
            <w:pPr>
              <w:pStyle w:val="InitFigR"/>
              <w:rPr>
                <w:b/>
                <w:bCs/>
              </w:rPr>
            </w:pPr>
            <w:r w:rsidRPr="00F2314E">
              <w:rPr>
                <w:b/>
                <w:bCs/>
              </w:rPr>
              <w:t>2022-23</w:t>
            </w:r>
          </w:p>
          <w:p w14:paraId="5FD32EAF"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43B2E48A" w14:textId="77777777" w:rsidR="00CF0E2D" w:rsidRPr="00F2314E" w:rsidRDefault="00CF0E2D" w:rsidP="00A60D4B">
            <w:pPr>
              <w:pStyle w:val="InitFigR"/>
              <w:rPr>
                <w:b/>
                <w:bCs/>
              </w:rPr>
            </w:pPr>
            <w:r w:rsidRPr="00F2314E">
              <w:rPr>
                <w:b/>
                <w:bCs/>
              </w:rPr>
              <w:t>2023-24</w:t>
            </w:r>
          </w:p>
          <w:p w14:paraId="40F64A5D"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438FAF85" w14:textId="77777777" w:rsidR="00CF0E2D" w:rsidRPr="00F2314E" w:rsidRDefault="00CF0E2D" w:rsidP="00A60D4B">
            <w:pPr>
              <w:pStyle w:val="InitFigR"/>
              <w:rPr>
                <w:b/>
                <w:bCs/>
              </w:rPr>
            </w:pPr>
            <w:r w:rsidRPr="00F2314E">
              <w:rPr>
                <w:b/>
                <w:bCs/>
              </w:rPr>
              <w:t>2024-25</w:t>
            </w:r>
          </w:p>
          <w:p w14:paraId="7A4D6412"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0604EFD1" w14:textId="77777777" w:rsidR="00CF0E2D" w:rsidRPr="00B77F39" w:rsidRDefault="00CF0E2D" w:rsidP="00A60D4B">
            <w:pPr>
              <w:pStyle w:val="InitFigRBold"/>
            </w:pPr>
            <w:r w:rsidRPr="00B77F39">
              <w:t>Total</w:t>
            </w:r>
          </w:p>
          <w:p w14:paraId="0670E059" w14:textId="77777777" w:rsidR="00CF0E2D" w:rsidRPr="00B77F39" w:rsidRDefault="00CF0E2D" w:rsidP="00A60D4B">
            <w:pPr>
              <w:pStyle w:val="InitFigBR"/>
            </w:pPr>
            <w:r w:rsidRPr="00B77F39">
              <w:t>$’000</w:t>
            </w:r>
          </w:p>
        </w:tc>
      </w:tr>
      <w:tr w:rsidR="00CF0E2D" w:rsidRPr="00B77F39" w14:paraId="7CDFEBEB" w14:textId="77777777" w:rsidTr="00A60D4B">
        <w:trPr>
          <w:cantSplit/>
          <w:jc w:val="center"/>
        </w:trPr>
        <w:tc>
          <w:tcPr>
            <w:tcW w:w="3652" w:type="dxa"/>
            <w:tcBorders>
              <w:top w:val="single" w:sz="4" w:space="0" w:color="auto"/>
            </w:tcBorders>
          </w:tcPr>
          <w:p w14:paraId="55335927" w14:textId="77777777" w:rsidR="00CF0E2D" w:rsidRPr="00B77F39" w:rsidRDefault="00CF0E2D" w:rsidP="00A60D4B">
            <w:pPr>
              <w:pStyle w:val="InitTextL"/>
              <w:ind w:left="321" w:hanging="321"/>
            </w:pPr>
            <w:r>
              <w:t>Expenses</w:t>
            </w:r>
          </w:p>
        </w:tc>
        <w:tc>
          <w:tcPr>
            <w:tcW w:w="1179" w:type="dxa"/>
            <w:tcBorders>
              <w:top w:val="single" w:sz="4" w:space="0" w:color="auto"/>
            </w:tcBorders>
          </w:tcPr>
          <w:p w14:paraId="2DF0231B" w14:textId="77777777" w:rsidR="00CF0E2D" w:rsidRPr="00B77F39" w:rsidRDefault="00CF0E2D" w:rsidP="00A60D4B">
            <w:pPr>
              <w:pStyle w:val="InitFigR"/>
            </w:pPr>
            <w:r w:rsidRPr="00B77F39">
              <w:t>849</w:t>
            </w:r>
          </w:p>
        </w:tc>
        <w:tc>
          <w:tcPr>
            <w:tcW w:w="1041" w:type="dxa"/>
            <w:tcBorders>
              <w:top w:val="single" w:sz="4" w:space="0" w:color="auto"/>
            </w:tcBorders>
          </w:tcPr>
          <w:p w14:paraId="707F98E6" w14:textId="77777777" w:rsidR="00CF0E2D" w:rsidRPr="00B77F39" w:rsidRDefault="00CF0E2D" w:rsidP="00A60D4B">
            <w:pPr>
              <w:pStyle w:val="InitFigR"/>
            </w:pPr>
            <w:r w:rsidRPr="00B77F39">
              <w:t>857</w:t>
            </w:r>
          </w:p>
        </w:tc>
        <w:tc>
          <w:tcPr>
            <w:tcW w:w="1029" w:type="dxa"/>
            <w:tcBorders>
              <w:top w:val="single" w:sz="4" w:space="0" w:color="auto"/>
            </w:tcBorders>
          </w:tcPr>
          <w:p w14:paraId="6A19A471" w14:textId="77777777" w:rsidR="00CF0E2D" w:rsidRPr="00B77F39" w:rsidRDefault="00CF0E2D" w:rsidP="00A60D4B">
            <w:pPr>
              <w:pStyle w:val="InitFigR"/>
            </w:pPr>
            <w:r w:rsidRPr="00B77F39">
              <w:t>466</w:t>
            </w:r>
          </w:p>
        </w:tc>
        <w:tc>
          <w:tcPr>
            <w:tcW w:w="1029" w:type="dxa"/>
            <w:tcBorders>
              <w:top w:val="single" w:sz="4" w:space="0" w:color="auto"/>
            </w:tcBorders>
          </w:tcPr>
          <w:p w14:paraId="74C66AAC" w14:textId="77777777" w:rsidR="00CF0E2D" w:rsidRPr="00B77F39" w:rsidRDefault="00CF0E2D" w:rsidP="00A60D4B">
            <w:pPr>
              <w:pStyle w:val="InitFigR"/>
            </w:pPr>
            <w:r w:rsidRPr="00B77F39">
              <w:t>475</w:t>
            </w:r>
          </w:p>
        </w:tc>
        <w:tc>
          <w:tcPr>
            <w:tcW w:w="1029" w:type="dxa"/>
            <w:tcBorders>
              <w:top w:val="single" w:sz="4" w:space="0" w:color="auto"/>
            </w:tcBorders>
          </w:tcPr>
          <w:p w14:paraId="7AF750B3" w14:textId="77777777" w:rsidR="00CF0E2D" w:rsidRPr="00B77F39" w:rsidRDefault="00CF0E2D" w:rsidP="00A60D4B">
            <w:pPr>
              <w:pStyle w:val="InitFigRBold"/>
              <w:rPr>
                <w:bCs/>
              </w:rPr>
            </w:pPr>
            <w:r w:rsidRPr="00B77F39">
              <w:rPr>
                <w:bCs/>
              </w:rPr>
              <w:t>2,647</w:t>
            </w:r>
          </w:p>
        </w:tc>
      </w:tr>
      <w:tr w:rsidR="00CF0E2D" w:rsidRPr="00B77F39" w14:paraId="06826464" w14:textId="77777777" w:rsidTr="00A60D4B">
        <w:trPr>
          <w:cantSplit/>
          <w:jc w:val="center"/>
        </w:trPr>
        <w:tc>
          <w:tcPr>
            <w:tcW w:w="3652" w:type="dxa"/>
          </w:tcPr>
          <w:p w14:paraId="356A912E" w14:textId="77777777" w:rsidR="00CF0E2D" w:rsidRPr="00B77F39" w:rsidRDefault="00CF0E2D" w:rsidP="00A60D4B">
            <w:pPr>
              <w:pStyle w:val="InitTextL"/>
              <w:ind w:left="321" w:hanging="321"/>
            </w:pPr>
            <w:r w:rsidRPr="00B77F39">
              <w:t xml:space="preserve">Offset – </w:t>
            </w:r>
            <w:r>
              <w:t>Expenses</w:t>
            </w:r>
          </w:p>
        </w:tc>
        <w:tc>
          <w:tcPr>
            <w:tcW w:w="1179" w:type="dxa"/>
          </w:tcPr>
          <w:p w14:paraId="54506076" w14:textId="77777777" w:rsidR="00CF0E2D" w:rsidRPr="00B77F39" w:rsidRDefault="00CF0E2D" w:rsidP="00A60D4B">
            <w:pPr>
              <w:pStyle w:val="InitFigR"/>
            </w:pPr>
            <w:r>
              <w:t>-</w:t>
            </w:r>
            <w:r w:rsidRPr="00B77F39">
              <w:t>150</w:t>
            </w:r>
          </w:p>
        </w:tc>
        <w:tc>
          <w:tcPr>
            <w:tcW w:w="1041" w:type="dxa"/>
          </w:tcPr>
          <w:p w14:paraId="2A916509" w14:textId="77777777" w:rsidR="00CF0E2D" w:rsidRPr="00B77F39" w:rsidRDefault="00CF0E2D" w:rsidP="00A60D4B">
            <w:pPr>
              <w:pStyle w:val="InitFigR"/>
            </w:pPr>
            <w:r w:rsidRPr="00B77F39">
              <w:t>0</w:t>
            </w:r>
          </w:p>
        </w:tc>
        <w:tc>
          <w:tcPr>
            <w:tcW w:w="1029" w:type="dxa"/>
          </w:tcPr>
          <w:p w14:paraId="26DDDFC4" w14:textId="77777777" w:rsidR="00CF0E2D" w:rsidRPr="00B77F39" w:rsidRDefault="00CF0E2D" w:rsidP="00A60D4B">
            <w:pPr>
              <w:pStyle w:val="InitFigR"/>
            </w:pPr>
            <w:r w:rsidRPr="00B77F39">
              <w:t>0</w:t>
            </w:r>
          </w:p>
        </w:tc>
        <w:tc>
          <w:tcPr>
            <w:tcW w:w="1029" w:type="dxa"/>
          </w:tcPr>
          <w:p w14:paraId="28DE1F59" w14:textId="77777777" w:rsidR="00CF0E2D" w:rsidRPr="00B77F39" w:rsidRDefault="00CF0E2D" w:rsidP="00A60D4B">
            <w:pPr>
              <w:pStyle w:val="InitFigR"/>
            </w:pPr>
            <w:r w:rsidRPr="00B77F39">
              <w:t>0</w:t>
            </w:r>
          </w:p>
        </w:tc>
        <w:tc>
          <w:tcPr>
            <w:tcW w:w="1029" w:type="dxa"/>
          </w:tcPr>
          <w:p w14:paraId="6C655533" w14:textId="77777777" w:rsidR="00CF0E2D" w:rsidRPr="00B77F39" w:rsidRDefault="00CF0E2D" w:rsidP="00A60D4B">
            <w:pPr>
              <w:pStyle w:val="InitFigRBold"/>
              <w:rPr>
                <w:bCs/>
              </w:rPr>
            </w:pPr>
            <w:r>
              <w:rPr>
                <w:bCs/>
              </w:rPr>
              <w:t>-</w:t>
            </w:r>
            <w:r w:rsidRPr="00B77F39">
              <w:rPr>
                <w:bCs/>
              </w:rPr>
              <w:t>150</w:t>
            </w:r>
          </w:p>
        </w:tc>
      </w:tr>
      <w:tr w:rsidR="00CF0E2D" w:rsidRPr="00B77F39" w14:paraId="7653C445" w14:textId="77777777" w:rsidTr="00A60D4B">
        <w:trPr>
          <w:cantSplit/>
          <w:jc w:val="center"/>
        </w:trPr>
        <w:tc>
          <w:tcPr>
            <w:tcW w:w="3652" w:type="dxa"/>
            <w:tcBorders>
              <w:top w:val="single" w:sz="4" w:space="0" w:color="auto"/>
              <w:bottom w:val="single" w:sz="4" w:space="0" w:color="auto"/>
            </w:tcBorders>
          </w:tcPr>
          <w:p w14:paraId="5352024E" w14:textId="77777777" w:rsidR="00CF0E2D" w:rsidRPr="00B77F39" w:rsidRDefault="00CF0E2D" w:rsidP="00A60D4B">
            <w:pPr>
              <w:pStyle w:val="InitTextL"/>
              <w:ind w:left="321" w:hanging="321"/>
              <w:rPr>
                <w:b/>
                <w:bCs/>
              </w:rPr>
            </w:pPr>
            <w:r w:rsidRPr="00B77F39">
              <w:rPr>
                <w:b/>
                <w:bCs/>
              </w:rPr>
              <w:t xml:space="preserve">Net </w:t>
            </w:r>
            <w:r>
              <w:rPr>
                <w:b/>
                <w:bCs/>
              </w:rPr>
              <w:t>cost of services</w:t>
            </w:r>
          </w:p>
        </w:tc>
        <w:tc>
          <w:tcPr>
            <w:tcW w:w="1179" w:type="dxa"/>
            <w:tcBorders>
              <w:top w:val="single" w:sz="4" w:space="0" w:color="auto"/>
              <w:bottom w:val="single" w:sz="4" w:space="0" w:color="auto"/>
            </w:tcBorders>
          </w:tcPr>
          <w:p w14:paraId="0C2F4A19" w14:textId="77777777" w:rsidR="00CF0E2D" w:rsidRPr="00B77F39" w:rsidRDefault="00CF0E2D" w:rsidP="00A60D4B">
            <w:pPr>
              <w:pStyle w:val="InitFigR"/>
              <w:rPr>
                <w:b/>
                <w:bCs/>
              </w:rPr>
            </w:pPr>
            <w:r w:rsidRPr="00B77F39">
              <w:rPr>
                <w:b/>
                <w:bCs/>
              </w:rPr>
              <w:t>699</w:t>
            </w:r>
          </w:p>
        </w:tc>
        <w:tc>
          <w:tcPr>
            <w:tcW w:w="1041" w:type="dxa"/>
            <w:tcBorders>
              <w:top w:val="single" w:sz="4" w:space="0" w:color="auto"/>
              <w:bottom w:val="single" w:sz="4" w:space="0" w:color="auto"/>
            </w:tcBorders>
          </w:tcPr>
          <w:p w14:paraId="0D3A59CE" w14:textId="77777777" w:rsidR="00CF0E2D" w:rsidRPr="00B77F39" w:rsidRDefault="00CF0E2D" w:rsidP="00A60D4B">
            <w:pPr>
              <w:pStyle w:val="InitFigR"/>
              <w:rPr>
                <w:b/>
                <w:bCs/>
              </w:rPr>
            </w:pPr>
            <w:r w:rsidRPr="00B77F39">
              <w:rPr>
                <w:b/>
                <w:bCs/>
              </w:rPr>
              <w:t>857</w:t>
            </w:r>
          </w:p>
        </w:tc>
        <w:tc>
          <w:tcPr>
            <w:tcW w:w="1029" w:type="dxa"/>
            <w:tcBorders>
              <w:top w:val="single" w:sz="4" w:space="0" w:color="auto"/>
              <w:bottom w:val="single" w:sz="4" w:space="0" w:color="auto"/>
            </w:tcBorders>
          </w:tcPr>
          <w:p w14:paraId="1293FA92" w14:textId="77777777" w:rsidR="00CF0E2D" w:rsidRPr="00B77F39" w:rsidRDefault="00CF0E2D" w:rsidP="00A60D4B">
            <w:pPr>
              <w:pStyle w:val="InitFigR"/>
              <w:rPr>
                <w:b/>
                <w:bCs/>
              </w:rPr>
            </w:pPr>
            <w:r w:rsidRPr="00B77F39">
              <w:rPr>
                <w:b/>
                <w:bCs/>
              </w:rPr>
              <w:t>466</w:t>
            </w:r>
          </w:p>
        </w:tc>
        <w:tc>
          <w:tcPr>
            <w:tcW w:w="1029" w:type="dxa"/>
            <w:tcBorders>
              <w:top w:val="single" w:sz="4" w:space="0" w:color="auto"/>
              <w:bottom w:val="single" w:sz="4" w:space="0" w:color="auto"/>
            </w:tcBorders>
          </w:tcPr>
          <w:p w14:paraId="5200787F" w14:textId="77777777" w:rsidR="00CF0E2D" w:rsidRPr="00B77F39" w:rsidRDefault="00CF0E2D" w:rsidP="00A60D4B">
            <w:pPr>
              <w:pStyle w:val="InitFigR"/>
              <w:rPr>
                <w:b/>
                <w:bCs/>
              </w:rPr>
            </w:pPr>
            <w:r w:rsidRPr="00B77F39">
              <w:rPr>
                <w:b/>
                <w:bCs/>
              </w:rPr>
              <w:t>475</w:t>
            </w:r>
          </w:p>
        </w:tc>
        <w:tc>
          <w:tcPr>
            <w:tcW w:w="1029" w:type="dxa"/>
            <w:tcBorders>
              <w:top w:val="single" w:sz="4" w:space="0" w:color="auto"/>
              <w:bottom w:val="single" w:sz="4" w:space="0" w:color="auto"/>
            </w:tcBorders>
          </w:tcPr>
          <w:p w14:paraId="771B8895" w14:textId="77777777" w:rsidR="00CF0E2D" w:rsidRPr="00B77F39" w:rsidRDefault="00CF0E2D" w:rsidP="00A60D4B">
            <w:pPr>
              <w:pStyle w:val="InitFigRBold"/>
              <w:rPr>
                <w:bCs/>
              </w:rPr>
            </w:pPr>
            <w:r w:rsidRPr="00B77F39">
              <w:rPr>
                <w:bCs/>
              </w:rPr>
              <w:t>2,497</w:t>
            </w:r>
          </w:p>
        </w:tc>
      </w:tr>
    </w:tbl>
    <w:p w14:paraId="069D8CEC" w14:textId="77777777" w:rsidR="00CF0E2D" w:rsidRPr="00B77F39" w:rsidRDefault="00CF0E2D" w:rsidP="00A60D4B">
      <w:pPr>
        <w:pStyle w:val="Bbodytext"/>
      </w:pPr>
      <w:r w:rsidRPr="00B77F39">
        <w:t>The Government will continue</w:t>
      </w:r>
      <w:r>
        <w:t xml:space="preserve"> to</w:t>
      </w:r>
      <w:r w:rsidRPr="00B77F39">
        <w:t xml:space="preserve"> deliver</w:t>
      </w:r>
      <w:r>
        <w:t xml:space="preserve"> its</w:t>
      </w:r>
      <w:r w:rsidRPr="00B77F39">
        <w:t xml:space="preserve"> climate change adaptation commitments, including </w:t>
      </w:r>
      <w:r>
        <w:t>improved</w:t>
      </w:r>
      <w:r w:rsidRPr="00B77F39">
        <w:t xml:space="preserve"> living infrastructure, </w:t>
      </w:r>
      <w:r>
        <w:rPr>
          <w:lang w:eastAsia="en-AU"/>
        </w:rPr>
        <w:t>climate data and risk-based assessments</w:t>
      </w:r>
      <w:r w:rsidRPr="00B77F39">
        <w:t>, and support</w:t>
      </w:r>
      <w:r>
        <w:t>ing</w:t>
      </w:r>
      <w:r w:rsidRPr="00B77F39">
        <w:t xml:space="preserve"> community action and awareness</w:t>
      </w:r>
      <w:r>
        <w:t xml:space="preserve">. This initiative builds on </w:t>
      </w:r>
      <w:r w:rsidRPr="00B77F39">
        <w:t xml:space="preserve">the 2019-20 Budget initiative </w:t>
      </w:r>
      <w:r w:rsidRPr="00B77F39">
        <w:rPr>
          <w:i/>
          <w:iCs/>
        </w:rPr>
        <w:t xml:space="preserve">Climate Change Strategy 2019-2025 </w:t>
      </w:r>
      <w:r w:rsidRPr="00820661">
        <w:t>and</w:t>
      </w:r>
      <w:r w:rsidRPr="00B77F39">
        <w:rPr>
          <w:i/>
          <w:iCs/>
        </w:rPr>
        <w:t xml:space="preserve"> </w:t>
      </w:r>
      <w:r>
        <w:rPr>
          <w:i/>
          <w:iCs/>
        </w:rPr>
        <w:t xml:space="preserve">Canberra’s </w:t>
      </w:r>
      <w:r w:rsidRPr="00B77F39">
        <w:rPr>
          <w:i/>
          <w:iCs/>
        </w:rPr>
        <w:t>Living Infrastructure Plan</w:t>
      </w:r>
      <w:r>
        <w:t>.</w:t>
      </w:r>
    </w:p>
    <w:p w14:paraId="6533E4F7" w14:textId="77777777" w:rsidR="00CF0E2D" w:rsidRDefault="00CF0E2D" w:rsidP="00A60D4B">
      <w:pPr>
        <w:pStyle w:val="Bbodytext"/>
      </w:pPr>
      <w:r w:rsidRPr="00B77F39">
        <w:t>This initiative contributes to the wellbeing domain</w:t>
      </w:r>
      <w:r>
        <w:t>s</w:t>
      </w:r>
      <w:r w:rsidRPr="00B77F39">
        <w:t xml:space="preserve"> of </w:t>
      </w:r>
      <w:r>
        <w:t>E</w:t>
      </w:r>
      <w:r w:rsidRPr="00B77F39">
        <w:t>nvironment and climate</w:t>
      </w:r>
      <w:r>
        <w:t xml:space="preserve"> and A</w:t>
      </w:r>
      <w:r w:rsidRPr="00B77F39">
        <w:t>ccess and connectivity.</w:t>
      </w:r>
    </w:p>
    <w:p w14:paraId="12E3D085" w14:textId="77777777" w:rsidR="00CF0E2D" w:rsidRDefault="00CF0E2D" w:rsidP="00A60D4B">
      <w:pPr>
        <w:pStyle w:val="Bbodytext"/>
        <w:rPr>
          <w:b/>
          <w:bCs/>
          <w:sz w:val="28"/>
          <w:szCs w:val="26"/>
        </w:rPr>
      </w:pPr>
    </w:p>
    <w:p w14:paraId="48C32A4D" w14:textId="77777777" w:rsidR="00CF0E2D" w:rsidRPr="00845D15" w:rsidRDefault="00CF0E2D" w:rsidP="00A60D4B">
      <w:pPr>
        <w:pStyle w:val="Heading4"/>
        <w:rPr>
          <w:rFonts w:eastAsia="Times New Roman" w:cs="Times New Roman"/>
          <w:bCs/>
          <w:szCs w:val="26"/>
        </w:rPr>
      </w:pPr>
      <w:r>
        <w:rPr>
          <w:rFonts w:eastAsia="Times New Roman"/>
        </w:rPr>
        <w:lastRenderedPageBreak/>
        <w:t>Climate ac</w:t>
      </w:r>
      <w:r>
        <w:rPr>
          <w:rFonts w:eastAsia="Times New Roman" w:cs="Times New Roman"/>
          <w:bCs/>
          <w:szCs w:val="26"/>
        </w:rPr>
        <w:t xml:space="preserve">tion – </w:t>
      </w:r>
      <w:r w:rsidRPr="00845D15">
        <w:rPr>
          <w:rFonts w:eastAsia="Times New Roman" w:cs="Times New Roman"/>
          <w:bCs/>
          <w:szCs w:val="26"/>
        </w:rPr>
        <w:t>Community Club</w:t>
      </w:r>
      <w:r>
        <w:rPr>
          <w:rFonts w:eastAsia="Times New Roman" w:cs="Times New Roman"/>
          <w:bCs/>
          <w:szCs w:val="26"/>
        </w:rPr>
        <w:t>s</w:t>
      </w:r>
      <w:r w:rsidRPr="00845D15">
        <w:rPr>
          <w:rFonts w:eastAsia="Times New Roman" w:cs="Times New Roman"/>
          <w:bCs/>
          <w:szCs w:val="26"/>
        </w:rPr>
        <w:t xml:space="preserve"> Building Energy Efficiency Fund </w:t>
      </w:r>
      <w:r>
        <w:rPr>
          <w:rFonts w:eastAsia="Times New Roman" w:cs="Times New Roman"/>
          <w:bCs/>
          <w:szCs w:val="26"/>
        </w:rPr>
        <w:t>–</w:t>
      </w:r>
      <w:r w:rsidRPr="00845D15">
        <w:rPr>
          <w:rFonts w:eastAsia="Times New Roman" w:cs="Times New Roman"/>
          <w:bCs/>
          <w:szCs w:val="26"/>
        </w:rPr>
        <w:t xml:space="preserve"> </w:t>
      </w:r>
      <w:r>
        <w:rPr>
          <w:rFonts w:eastAsia="Times New Roman"/>
          <w:noProof/>
        </w:rPr>
        <w:drawing>
          <wp:anchor distT="0" distB="0" distL="114300" distR="114300" simplePos="0" relativeHeight="251837440" behindDoc="0" locked="1" layoutInCell="1" allowOverlap="1" wp14:anchorId="4AAE94C1" wp14:editId="268D8D1A">
            <wp:simplePos x="0" y="0"/>
            <wp:positionH relativeFrom="margin">
              <wp:align>right</wp:align>
            </wp:positionH>
            <wp:positionV relativeFrom="paragraph">
              <wp:posOffset>9525</wp:posOffset>
            </wp:positionV>
            <wp:extent cx="1393190" cy="503555"/>
            <wp:effectExtent l="0" t="0" r="0" b="0"/>
            <wp:wrapSquare wrapText="bothSides"/>
            <wp:docPr id="281" name="Picture 281" descr="Icon representing the wellbeing domain of Environment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nvironment and clima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3190" cy="503555"/>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imes New Roman"/>
          <w:bCs/>
          <w:szCs w:val="26"/>
        </w:rPr>
        <w:t>c</w:t>
      </w:r>
      <w:r w:rsidRPr="00845D15">
        <w:rPr>
          <w:rFonts w:eastAsia="Times New Roman" w:cs="Times New Roman"/>
          <w:bCs/>
          <w:szCs w:val="26"/>
        </w:rPr>
        <w:t xml:space="preserve">ontinuation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60E34030" w14:textId="77777777" w:rsidTr="00A60D4B">
        <w:trPr>
          <w:cantSplit/>
          <w:jc w:val="center"/>
        </w:trPr>
        <w:tc>
          <w:tcPr>
            <w:tcW w:w="3652" w:type="dxa"/>
            <w:tcBorders>
              <w:top w:val="single" w:sz="4" w:space="0" w:color="auto"/>
              <w:bottom w:val="single" w:sz="4" w:space="0" w:color="auto"/>
            </w:tcBorders>
          </w:tcPr>
          <w:p w14:paraId="023A975B"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1CCD2732" w14:textId="77777777" w:rsidR="00CF0E2D" w:rsidRPr="00E357E1" w:rsidRDefault="00CF0E2D" w:rsidP="00A60D4B">
            <w:pPr>
              <w:pStyle w:val="InitFigR"/>
              <w:keepNext/>
              <w:keepLines/>
              <w:rPr>
                <w:b/>
                <w:bCs/>
              </w:rPr>
            </w:pPr>
            <w:r w:rsidRPr="00E357E1">
              <w:rPr>
                <w:b/>
                <w:bCs/>
              </w:rPr>
              <w:t>2021-22</w:t>
            </w:r>
          </w:p>
          <w:p w14:paraId="0565784B" w14:textId="77777777" w:rsidR="00CF0E2D" w:rsidRPr="00E357E1" w:rsidRDefault="00CF0E2D" w:rsidP="00A60D4B">
            <w:pPr>
              <w:pStyle w:val="InitFigR"/>
              <w:keepNext/>
              <w:keepLines/>
              <w:rPr>
                <w:b/>
                <w:bCs/>
              </w:rPr>
            </w:pPr>
            <w:r w:rsidRPr="00E357E1">
              <w:rPr>
                <w:b/>
                <w:bCs/>
              </w:rPr>
              <w:t>$’000</w:t>
            </w:r>
          </w:p>
        </w:tc>
        <w:tc>
          <w:tcPr>
            <w:tcW w:w="1041" w:type="dxa"/>
            <w:tcBorders>
              <w:top w:val="single" w:sz="4" w:space="0" w:color="auto"/>
              <w:bottom w:val="single" w:sz="4" w:space="0" w:color="auto"/>
            </w:tcBorders>
          </w:tcPr>
          <w:p w14:paraId="20C49889" w14:textId="77777777" w:rsidR="00CF0E2D" w:rsidRPr="00E357E1" w:rsidRDefault="00CF0E2D" w:rsidP="00A60D4B">
            <w:pPr>
              <w:pStyle w:val="InitFigR"/>
              <w:keepNext/>
              <w:keepLines/>
              <w:rPr>
                <w:b/>
                <w:bCs/>
              </w:rPr>
            </w:pPr>
            <w:r w:rsidRPr="00E357E1">
              <w:rPr>
                <w:b/>
                <w:bCs/>
              </w:rPr>
              <w:t>2022-23</w:t>
            </w:r>
          </w:p>
          <w:p w14:paraId="311C7798" w14:textId="77777777" w:rsidR="00CF0E2D" w:rsidRPr="00E357E1" w:rsidRDefault="00CF0E2D" w:rsidP="00A60D4B">
            <w:pPr>
              <w:pStyle w:val="InitFigR"/>
              <w:keepNext/>
              <w:keepLines/>
              <w:rPr>
                <w:b/>
                <w:bCs/>
              </w:rPr>
            </w:pPr>
            <w:r w:rsidRPr="00E357E1">
              <w:rPr>
                <w:b/>
                <w:bCs/>
              </w:rPr>
              <w:t>$’000</w:t>
            </w:r>
          </w:p>
        </w:tc>
        <w:tc>
          <w:tcPr>
            <w:tcW w:w="1029" w:type="dxa"/>
            <w:tcBorders>
              <w:top w:val="single" w:sz="4" w:space="0" w:color="auto"/>
              <w:bottom w:val="single" w:sz="4" w:space="0" w:color="auto"/>
            </w:tcBorders>
          </w:tcPr>
          <w:p w14:paraId="2C24C20F" w14:textId="77777777" w:rsidR="00CF0E2D" w:rsidRPr="00E357E1" w:rsidRDefault="00CF0E2D" w:rsidP="00A60D4B">
            <w:pPr>
              <w:pStyle w:val="InitFigR"/>
              <w:keepNext/>
              <w:keepLines/>
              <w:rPr>
                <w:b/>
                <w:bCs/>
              </w:rPr>
            </w:pPr>
            <w:r w:rsidRPr="00E357E1">
              <w:rPr>
                <w:b/>
                <w:bCs/>
              </w:rPr>
              <w:t>2023-24</w:t>
            </w:r>
          </w:p>
          <w:p w14:paraId="19358A00" w14:textId="77777777" w:rsidR="00CF0E2D" w:rsidRPr="00E357E1" w:rsidRDefault="00CF0E2D" w:rsidP="00A60D4B">
            <w:pPr>
              <w:pStyle w:val="InitFigR"/>
              <w:keepNext/>
              <w:keepLines/>
              <w:rPr>
                <w:b/>
                <w:bCs/>
              </w:rPr>
            </w:pPr>
            <w:r w:rsidRPr="00E357E1">
              <w:rPr>
                <w:b/>
                <w:bCs/>
              </w:rPr>
              <w:t>$’000</w:t>
            </w:r>
          </w:p>
        </w:tc>
        <w:tc>
          <w:tcPr>
            <w:tcW w:w="1029" w:type="dxa"/>
            <w:tcBorders>
              <w:top w:val="single" w:sz="4" w:space="0" w:color="auto"/>
              <w:bottom w:val="single" w:sz="4" w:space="0" w:color="auto"/>
            </w:tcBorders>
          </w:tcPr>
          <w:p w14:paraId="35FBDF98" w14:textId="77777777" w:rsidR="00CF0E2D" w:rsidRPr="00E357E1" w:rsidRDefault="00CF0E2D" w:rsidP="00A60D4B">
            <w:pPr>
              <w:pStyle w:val="InitFigR"/>
              <w:keepNext/>
              <w:keepLines/>
              <w:rPr>
                <w:b/>
                <w:bCs/>
              </w:rPr>
            </w:pPr>
            <w:r w:rsidRPr="00E357E1">
              <w:rPr>
                <w:b/>
                <w:bCs/>
              </w:rPr>
              <w:t>2024-25</w:t>
            </w:r>
          </w:p>
          <w:p w14:paraId="1ABD8989" w14:textId="77777777" w:rsidR="00CF0E2D" w:rsidRPr="00E357E1" w:rsidRDefault="00CF0E2D" w:rsidP="00A60D4B">
            <w:pPr>
              <w:pStyle w:val="InitFigR"/>
              <w:keepNext/>
              <w:keepLines/>
              <w:rPr>
                <w:b/>
                <w:bCs/>
              </w:rPr>
            </w:pPr>
            <w:r w:rsidRPr="00E357E1">
              <w:rPr>
                <w:b/>
                <w:bCs/>
              </w:rPr>
              <w:t>$’000</w:t>
            </w:r>
          </w:p>
        </w:tc>
        <w:tc>
          <w:tcPr>
            <w:tcW w:w="1029" w:type="dxa"/>
            <w:tcBorders>
              <w:top w:val="single" w:sz="4" w:space="0" w:color="auto"/>
              <w:bottom w:val="single" w:sz="4" w:space="0" w:color="auto"/>
            </w:tcBorders>
          </w:tcPr>
          <w:p w14:paraId="745212E6" w14:textId="77777777" w:rsidR="00CF0E2D" w:rsidRPr="004E341E" w:rsidRDefault="00CF0E2D" w:rsidP="00A60D4B">
            <w:pPr>
              <w:pStyle w:val="InitFigRBold"/>
              <w:keepNext/>
              <w:keepLines/>
            </w:pPr>
            <w:r w:rsidRPr="004E341E">
              <w:t>Total</w:t>
            </w:r>
          </w:p>
          <w:p w14:paraId="0BAC025C" w14:textId="77777777" w:rsidR="00CF0E2D" w:rsidRPr="004E341E" w:rsidRDefault="00CF0E2D" w:rsidP="00A60D4B">
            <w:pPr>
              <w:pStyle w:val="InitFigBR"/>
              <w:keepNext/>
              <w:keepLines/>
            </w:pPr>
            <w:r w:rsidRPr="004E341E">
              <w:t>$’000</w:t>
            </w:r>
          </w:p>
        </w:tc>
      </w:tr>
      <w:tr w:rsidR="00CF0E2D" w:rsidRPr="00750793" w14:paraId="0F1C6ABE" w14:textId="77777777" w:rsidTr="00A60D4B">
        <w:trPr>
          <w:cantSplit/>
          <w:jc w:val="center"/>
        </w:trPr>
        <w:tc>
          <w:tcPr>
            <w:tcW w:w="3652" w:type="dxa"/>
            <w:tcBorders>
              <w:top w:val="single" w:sz="4" w:space="0" w:color="auto"/>
              <w:bottom w:val="single" w:sz="4" w:space="0" w:color="auto"/>
            </w:tcBorders>
          </w:tcPr>
          <w:p w14:paraId="09225732" w14:textId="77777777" w:rsidR="00CF0E2D" w:rsidRDefault="00CF0E2D" w:rsidP="00A60D4B">
            <w:pPr>
              <w:pStyle w:val="InitTextL"/>
              <w:keepNext/>
              <w:keepLines/>
              <w:ind w:left="321" w:hanging="321"/>
            </w:pPr>
            <w:r>
              <w:t>Offset – Capital – Provision</w:t>
            </w:r>
          </w:p>
        </w:tc>
        <w:tc>
          <w:tcPr>
            <w:tcW w:w="1179" w:type="dxa"/>
            <w:tcBorders>
              <w:top w:val="single" w:sz="4" w:space="0" w:color="auto"/>
              <w:bottom w:val="single" w:sz="4" w:space="0" w:color="auto"/>
            </w:tcBorders>
          </w:tcPr>
          <w:p w14:paraId="0577BFE8" w14:textId="77777777" w:rsidR="00CF0E2D" w:rsidRDefault="00CF0E2D" w:rsidP="00A60D4B">
            <w:pPr>
              <w:pStyle w:val="InitFigR"/>
              <w:keepNext/>
              <w:keepLines/>
            </w:pPr>
            <w:r>
              <w:t>-632</w:t>
            </w:r>
          </w:p>
        </w:tc>
        <w:tc>
          <w:tcPr>
            <w:tcW w:w="1041" w:type="dxa"/>
            <w:tcBorders>
              <w:top w:val="single" w:sz="4" w:space="0" w:color="auto"/>
              <w:bottom w:val="single" w:sz="4" w:space="0" w:color="auto"/>
            </w:tcBorders>
          </w:tcPr>
          <w:p w14:paraId="5E09D73C" w14:textId="77777777" w:rsidR="00CF0E2D" w:rsidRDefault="00CF0E2D" w:rsidP="00A60D4B">
            <w:pPr>
              <w:pStyle w:val="InitFigR"/>
              <w:keepNext/>
              <w:keepLines/>
            </w:pPr>
            <w:r>
              <w:t>-632</w:t>
            </w:r>
          </w:p>
        </w:tc>
        <w:tc>
          <w:tcPr>
            <w:tcW w:w="1029" w:type="dxa"/>
            <w:tcBorders>
              <w:top w:val="single" w:sz="4" w:space="0" w:color="auto"/>
              <w:bottom w:val="single" w:sz="4" w:space="0" w:color="auto"/>
            </w:tcBorders>
          </w:tcPr>
          <w:p w14:paraId="3A92FC3A" w14:textId="77777777" w:rsidR="00CF0E2D" w:rsidRDefault="00CF0E2D" w:rsidP="00A60D4B">
            <w:pPr>
              <w:pStyle w:val="InitFigR"/>
              <w:keepNext/>
              <w:keepLines/>
            </w:pPr>
            <w:r>
              <w:t>-631</w:t>
            </w:r>
          </w:p>
        </w:tc>
        <w:tc>
          <w:tcPr>
            <w:tcW w:w="1029" w:type="dxa"/>
            <w:tcBorders>
              <w:top w:val="single" w:sz="4" w:space="0" w:color="auto"/>
              <w:bottom w:val="single" w:sz="4" w:space="0" w:color="auto"/>
            </w:tcBorders>
          </w:tcPr>
          <w:p w14:paraId="33E31856" w14:textId="77777777" w:rsidR="00CF0E2D" w:rsidRDefault="00CF0E2D" w:rsidP="00A60D4B">
            <w:pPr>
              <w:pStyle w:val="InitFigR"/>
              <w:keepNext/>
              <w:keepLines/>
            </w:pPr>
            <w:r>
              <w:t>-631</w:t>
            </w:r>
          </w:p>
        </w:tc>
        <w:tc>
          <w:tcPr>
            <w:tcW w:w="1029" w:type="dxa"/>
            <w:tcBorders>
              <w:top w:val="single" w:sz="4" w:space="0" w:color="auto"/>
              <w:bottom w:val="single" w:sz="4" w:space="0" w:color="auto"/>
            </w:tcBorders>
          </w:tcPr>
          <w:p w14:paraId="2A2957DC" w14:textId="77777777" w:rsidR="00CF0E2D" w:rsidRPr="00801070" w:rsidRDefault="00CF0E2D" w:rsidP="00A60D4B">
            <w:pPr>
              <w:pStyle w:val="InitFigRBold"/>
              <w:keepNext/>
              <w:keepLines/>
              <w:rPr>
                <w:bCs/>
              </w:rPr>
            </w:pPr>
            <w:r w:rsidRPr="00801070">
              <w:rPr>
                <w:bCs/>
              </w:rPr>
              <w:t>-2,526</w:t>
            </w:r>
          </w:p>
        </w:tc>
      </w:tr>
      <w:tr w:rsidR="00CF0E2D" w:rsidRPr="00750793" w14:paraId="4D24C5A7" w14:textId="77777777" w:rsidTr="00A60D4B">
        <w:trPr>
          <w:cantSplit/>
          <w:jc w:val="center"/>
        </w:trPr>
        <w:tc>
          <w:tcPr>
            <w:tcW w:w="3652" w:type="dxa"/>
            <w:tcBorders>
              <w:top w:val="single" w:sz="4" w:space="0" w:color="auto"/>
            </w:tcBorders>
          </w:tcPr>
          <w:p w14:paraId="5037AA01" w14:textId="77777777" w:rsidR="00CF0E2D" w:rsidRPr="00F13FAB" w:rsidRDefault="00CF0E2D" w:rsidP="00A60D4B">
            <w:pPr>
              <w:pStyle w:val="InitTextL"/>
              <w:keepNext/>
              <w:keepLines/>
              <w:ind w:left="321" w:hanging="321"/>
            </w:pPr>
            <w:r w:rsidRPr="00882BE2">
              <w:t>Expenses</w:t>
            </w:r>
            <w:r>
              <w:t xml:space="preserve"> </w:t>
            </w:r>
          </w:p>
        </w:tc>
        <w:tc>
          <w:tcPr>
            <w:tcW w:w="1179" w:type="dxa"/>
            <w:tcBorders>
              <w:top w:val="single" w:sz="4" w:space="0" w:color="auto"/>
            </w:tcBorders>
          </w:tcPr>
          <w:p w14:paraId="0281BDEF" w14:textId="77777777" w:rsidR="00CF0E2D" w:rsidRPr="00424DA4" w:rsidRDefault="00CF0E2D" w:rsidP="00A60D4B">
            <w:pPr>
              <w:pStyle w:val="InitFigR"/>
              <w:keepNext/>
              <w:keepLines/>
            </w:pPr>
            <w:r>
              <w:t>2,710</w:t>
            </w:r>
          </w:p>
        </w:tc>
        <w:tc>
          <w:tcPr>
            <w:tcW w:w="1041" w:type="dxa"/>
            <w:tcBorders>
              <w:top w:val="single" w:sz="4" w:space="0" w:color="auto"/>
            </w:tcBorders>
          </w:tcPr>
          <w:p w14:paraId="46603DEF" w14:textId="77777777" w:rsidR="00CF0E2D" w:rsidRPr="00424DA4" w:rsidRDefault="00CF0E2D" w:rsidP="00A60D4B">
            <w:pPr>
              <w:pStyle w:val="InitFigR"/>
              <w:keepNext/>
              <w:keepLines/>
            </w:pPr>
            <w:r>
              <w:t>747</w:t>
            </w:r>
          </w:p>
        </w:tc>
        <w:tc>
          <w:tcPr>
            <w:tcW w:w="1029" w:type="dxa"/>
            <w:tcBorders>
              <w:top w:val="single" w:sz="4" w:space="0" w:color="auto"/>
            </w:tcBorders>
          </w:tcPr>
          <w:p w14:paraId="7534D7EF" w14:textId="77777777" w:rsidR="00CF0E2D" w:rsidRPr="00424DA4" w:rsidRDefault="00CF0E2D" w:rsidP="00A60D4B">
            <w:pPr>
              <w:pStyle w:val="InitFigR"/>
              <w:keepNext/>
              <w:keepLines/>
            </w:pPr>
            <w:r>
              <w:t>797</w:t>
            </w:r>
          </w:p>
        </w:tc>
        <w:tc>
          <w:tcPr>
            <w:tcW w:w="1029" w:type="dxa"/>
            <w:tcBorders>
              <w:top w:val="single" w:sz="4" w:space="0" w:color="auto"/>
            </w:tcBorders>
          </w:tcPr>
          <w:p w14:paraId="074CE211" w14:textId="77777777" w:rsidR="00CF0E2D" w:rsidRPr="00424DA4" w:rsidRDefault="00CF0E2D" w:rsidP="00A60D4B">
            <w:pPr>
              <w:pStyle w:val="InitFigR"/>
              <w:keepNext/>
              <w:keepLines/>
            </w:pPr>
            <w:r>
              <w:t>747</w:t>
            </w:r>
          </w:p>
        </w:tc>
        <w:tc>
          <w:tcPr>
            <w:tcW w:w="1029" w:type="dxa"/>
            <w:tcBorders>
              <w:top w:val="single" w:sz="4" w:space="0" w:color="auto"/>
            </w:tcBorders>
          </w:tcPr>
          <w:p w14:paraId="2B894B91" w14:textId="77777777" w:rsidR="00CF0E2D" w:rsidRPr="00424DA4" w:rsidRDefault="00CF0E2D" w:rsidP="00A60D4B">
            <w:pPr>
              <w:pStyle w:val="InitFigBR"/>
              <w:keepNext/>
              <w:keepLines/>
            </w:pPr>
            <w:r>
              <w:t>5,001</w:t>
            </w:r>
          </w:p>
        </w:tc>
      </w:tr>
      <w:tr w:rsidR="00CF0E2D" w:rsidRPr="00750793" w14:paraId="32E74C76" w14:textId="77777777" w:rsidTr="00A60D4B">
        <w:trPr>
          <w:cantSplit/>
          <w:jc w:val="center"/>
        </w:trPr>
        <w:tc>
          <w:tcPr>
            <w:tcW w:w="3652" w:type="dxa"/>
            <w:tcBorders>
              <w:bottom w:val="single" w:sz="4" w:space="0" w:color="auto"/>
            </w:tcBorders>
          </w:tcPr>
          <w:p w14:paraId="16BF788E" w14:textId="77777777" w:rsidR="00CF0E2D" w:rsidRPr="00882BE2" w:rsidRDefault="00CF0E2D" w:rsidP="00A60D4B">
            <w:pPr>
              <w:pStyle w:val="InitTextL"/>
              <w:keepNext/>
              <w:keepLines/>
              <w:ind w:left="321" w:hanging="321"/>
            </w:pPr>
            <w:r>
              <w:t>Expenses offset – existing expense Provision</w:t>
            </w:r>
          </w:p>
        </w:tc>
        <w:tc>
          <w:tcPr>
            <w:tcW w:w="1179" w:type="dxa"/>
            <w:tcBorders>
              <w:bottom w:val="single" w:sz="4" w:space="0" w:color="auto"/>
            </w:tcBorders>
          </w:tcPr>
          <w:p w14:paraId="4A808DBE" w14:textId="77777777" w:rsidR="00CF0E2D" w:rsidRPr="00424DA4" w:rsidRDefault="00CF0E2D" w:rsidP="00A60D4B">
            <w:pPr>
              <w:pStyle w:val="InitFigR"/>
              <w:keepNext/>
              <w:keepLines/>
            </w:pPr>
            <w:r>
              <w:t>-618</w:t>
            </w:r>
          </w:p>
        </w:tc>
        <w:tc>
          <w:tcPr>
            <w:tcW w:w="1041" w:type="dxa"/>
            <w:tcBorders>
              <w:bottom w:val="single" w:sz="4" w:space="0" w:color="auto"/>
            </w:tcBorders>
          </w:tcPr>
          <w:p w14:paraId="40CA87AB" w14:textId="77777777" w:rsidR="00CF0E2D" w:rsidRPr="00424DA4" w:rsidRDefault="00CF0E2D" w:rsidP="00A60D4B">
            <w:pPr>
              <w:pStyle w:val="InitFigR"/>
              <w:keepNext/>
              <w:keepLines/>
            </w:pPr>
            <w:r>
              <w:t>-618</w:t>
            </w:r>
          </w:p>
        </w:tc>
        <w:tc>
          <w:tcPr>
            <w:tcW w:w="1029" w:type="dxa"/>
            <w:tcBorders>
              <w:bottom w:val="single" w:sz="4" w:space="0" w:color="auto"/>
            </w:tcBorders>
          </w:tcPr>
          <w:p w14:paraId="34C37633" w14:textId="77777777" w:rsidR="00CF0E2D" w:rsidRPr="00424DA4" w:rsidRDefault="00CF0E2D" w:rsidP="00A60D4B">
            <w:pPr>
              <w:pStyle w:val="InitFigR"/>
              <w:keepNext/>
              <w:keepLines/>
            </w:pPr>
            <w:r>
              <w:t>-619</w:t>
            </w:r>
          </w:p>
        </w:tc>
        <w:tc>
          <w:tcPr>
            <w:tcW w:w="1029" w:type="dxa"/>
            <w:tcBorders>
              <w:bottom w:val="single" w:sz="4" w:space="0" w:color="auto"/>
            </w:tcBorders>
          </w:tcPr>
          <w:p w14:paraId="499A5C84" w14:textId="77777777" w:rsidR="00CF0E2D" w:rsidRPr="00424DA4" w:rsidRDefault="00CF0E2D" w:rsidP="00A60D4B">
            <w:pPr>
              <w:pStyle w:val="InitFigR"/>
              <w:keepNext/>
              <w:keepLines/>
            </w:pPr>
            <w:r>
              <w:t>-619</w:t>
            </w:r>
          </w:p>
        </w:tc>
        <w:tc>
          <w:tcPr>
            <w:tcW w:w="1029" w:type="dxa"/>
            <w:tcBorders>
              <w:bottom w:val="single" w:sz="4" w:space="0" w:color="auto"/>
            </w:tcBorders>
          </w:tcPr>
          <w:p w14:paraId="41DC1390" w14:textId="77777777" w:rsidR="00CF0E2D" w:rsidRPr="00424DA4" w:rsidRDefault="00CF0E2D" w:rsidP="00A60D4B">
            <w:pPr>
              <w:pStyle w:val="InitFigBR"/>
              <w:keepNext/>
              <w:keepLines/>
            </w:pPr>
            <w:r>
              <w:t>-2,474</w:t>
            </w:r>
          </w:p>
        </w:tc>
      </w:tr>
      <w:tr w:rsidR="00CF0E2D" w:rsidRPr="00750793" w14:paraId="4037AEE5" w14:textId="77777777" w:rsidTr="00A60D4B">
        <w:trPr>
          <w:cantSplit/>
          <w:trHeight w:val="107"/>
          <w:jc w:val="center"/>
        </w:trPr>
        <w:tc>
          <w:tcPr>
            <w:tcW w:w="3652" w:type="dxa"/>
            <w:tcBorders>
              <w:top w:val="single" w:sz="4" w:space="0" w:color="auto"/>
              <w:bottom w:val="single" w:sz="4" w:space="0" w:color="auto"/>
            </w:tcBorders>
          </w:tcPr>
          <w:p w14:paraId="6E6D19D7" w14:textId="77777777" w:rsidR="00CF0E2D" w:rsidRDefault="00CF0E2D" w:rsidP="00A60D4B">
            <w:pPr>
              <w:pStyle w:val="InitFigLBold"/>
              <w:keepNext/>
              <w:keepLines/>
              <w:ind w:left="321" w:hanging="321"/>
            </w:pPr>
            <w:r>
              <w:t>Net cost of services</w:t>
            </w:r>
          </w:p>
        </w:tc>
        <w:tc>
          <w:tcPr>
            <w:tcW w:w="1179" w:type="dxa"/>
            <w:tcBorders>
              <w:top w:val="single" w:sz="4" w:space="0" w:color="auto"/>
              <w:bottom w:val="single" w:sz="4" w:space="0" w:color="auto"/>
            </w:tcBorders>
          </w:tcPr>
          <w:p w14:paraId="6A85382D" w14:textId="77777777" w:rsidR="00CF0E2D" w:rsidRPr="00424DA4" w:rsidRDefault="00CF0E2D" w:rsidP="00A60D4B">
            <w:pPr>
              <w:pStyle w:val="InitFigRBold"/>
              <w:keepNext/>
              <w:keepLines/>
            </w:pPr>
            <w:r>
              <w:t>2,092</w:t>
            </w:r>
          </w:p>
        </w:tc>
        <w:tc>
          <w:tcPr>
            <w:tcW w:w="1041" w:type="dxa"/>
            <w:tcBorders>
              <w:top w:val="single" w:sz="4" w:space="0" w:color="auto"/>
              <w:bottom w:val="single" w:sz="4" w:space="0" w:color="auto"/>
            </w:tcBorders>
          </w:tcPr>
          <w:p w14:paraId="13C905EB" w14:textId="77777777" w:rsidR="00CF0E2D" w:rsidRPr="00424DA4" w:rsidRDefault="00CF0E2D" w:rsidP="00A60D4B">
            <w:pPr>
              <w:pStyle w:val="InitFigRBold"/>
              <w:keepNext/>
              <w:keepLines/>
            </w:pPr>
            <w:r>
              <w:t>129</w:t>
            </w:r>
          </w:p>
        </w:tc>
        <w:tc>
          <w:tcPr>
            <w:tcW w:w="1029" w:type="dxa"/>
            <w:tcBorders>
              <w:top w:val="single" w:sz="4" w:space="0" w:color="auto"/>
              <w:bottom w:val="single" w:sz="4" w:space="0" w:color="auto"/>
            </w:tcBorders>
          </w:tcPr>
          <w:p w14:paraId="21F4CD9B" w14:textId="77777777" w:rsidR="00CF0E2D" w:rsidRPr="00424DA4" w:rsidRDefault="00CF0E2D" w:rsidP="00A60D4B">
            <w:pPr>
              <w:pStyle w:val="InitFigRBold"/>
              <w:keepNext/>
              <w:keepLines/>
            </w:pPr>
            <w:r>
              <w:t>178</w:t>
            </w:r>
          </w:p>
        </w:tc>
        <w:tc>
          <w:tcPr>
            <w:tcW w:w="1029" w:type="dxa"/>
            <w:tcBorders>
              <w:top w:val="single" w:sz="4" w:space="0" w:color="auto"/>
              <w:bottom w:val="single" w:sz="4" w:space="0" w:color="auto"/>
            </w:tcBorders>
          </w:tcPr>
          <w:p w14:paraId="478086DA" w14:textId="77777777" w:rsidR="00CF0E2D" w:rsidRPr="00424DA4" w:rsidRDefault="00CF0E2D" w:rsidP="00A60D4B">
            <w:pPr>
              <w:pStyle w:val="InitFigRBold"/>
              <w:keepNext/>
              <w:keepLines/>
            </w:pPr>
            <w:r>
              <w:t>128</w:t>
            </w:r>
          </w:p>
        </w:tc>
        <w:tc>
          <w:tcPr>
            <w:tcW w:w="1029" w:type="dxa"/>
            <w:tcBorders>
              <w:top w:val="single" w:sz="4" w:space="0" w:color="auto"/>
              <w:bottom w:val="single" w:sz="4" w:space="0" w:color="auto"/>
            </w:tcBorders>
          </w:tcPr>
          <w:p w14:paraId="28C24757" w14:textId="77777777" w:rsidR="00CF0E2D" w:rsidRPr="00424DA4" w:rsidRDefault="00CF0E2D" w:rsidP="00A60D4B">
            <w:pPr>
              <w:pStyle w:val="InitFigRBold"/>
              <w:keepNext/>
              <w:keepLines/>
            </w:pPr>
            <w:r>
              <w:t>2,526</w:t>
            </w:r>
          </w:p>
        </w:tc>
      </w:tr>
    </w:tbl>
    <w:p w14:paraId="333D5C50" w14:textId="77777777" w:rsidR="00CF0E2D" w:rsidRPr="00845D15" w:rsidRDefault="00CF0E2D" w:rsidP="00A60D4B">
      <w:pPr>
        <w:pStyle w:val="Bbodytext"/>
        <w:rPr>
          <w:rFonts w:ascii="Calibri" w:eastAsia="Times New Roman" w:hAnsi="Calibri" w:cs="Times New Roman"/>
          <w:szCs w:val="20"/>
        </w:rPr>
      </w:pPr>
      <w:r w:rsidRPr="00845D15">
        <w:t>The Government wi</w:t>
      </w:r>
      <w:r w:rsidRPr="00845D15">
        <w:rPr>
          <w:rFonts w:ascii="Calibri" w:eastAsia="Times New Roman" w:hAnsi="Calibri" w:cs="Times New Roman"/>
          <w:szCs w:val="20"/>
        </w:rPr>
        <w:t xml:space="preserve">ll continue its four-year Community Club Building Energy Efficiency Fund to provide rebates to clubs for equipment upgrades, building efficiency improvements, and the installation of rooftop solar and batteries to reduce electricity and gas bills. </w:t>
      </w:r>
    </w:p>
    <w:p w14:paraId="540B29BA" w14:textId="77777777" w:rsidR="00CF0E2D" w:rsidRDefault="00CF0E2D" w:rsidP="00A60D4B">
      <w:pPr>
        <w:pStyle w:val="Bbodytext"/>
      </w:pPr>
      <w:r w:rsidRPr="00845D15">
        <w:t>This initiative contributes to the wellbeing domain</w:t>
      </w:r>
      <w:r>
        <w:t>s</w:t>
      </w:r>
      <w:r w:rsidRPr="00845D15">
        <w:t xml:space="preserve"> of Environment and climate and Social connection.</w:t>
      </w:r>
    </w:p>
    <w:p w14:paraId="4B4C950B" w14:textId="77777777" w:rsidR="00CF0E2D" w:rsidRPr="00845D15" w:rsidRDefault="00CF0E2D" w:rsidP="00A60D4B">
      <w:pPr>
        <w:pStyle w:val="Bbodytext"/>
        <w:rPr>
          <w:rFonts w:ascii="Calibri" w:eastAsia="Times New Roman" w:hAnsi="Calibri" w:cs="Times New Roman"/>
          <w:szCs w:val="20"/>
        </w:rPr>
      </w:pPr>
    </w:p>
    <w:p w14:paraId="53FEA3FB" w14:textId="77777777" w:rsidR="00CF0E2D" w:rsidRPr="007E0DD6" w:rsidRDefault="00CF0E2D" w:rsidP="00A60D4B">
      <w:pPr>
        <w:pStyle w:val="Heading4"/>
        <w:rPr>
          <w:rFonts w:eastAsia="Times New Roman" w:cs="Times New Roman"/>
          <w:bCs/>
          <w:szCs w:val="26"/>
        </w:rPr>
      </w:pPr>
      <w:r>
        <w:rPr>
          <w:rFonts w:eastAsia="Times New Roman"/>
        </w:rPr>
        <w:t xml:space="preserve">Climate action – </w:t>
      </w:r>
      <w:r w:rsidRPr="007E0DD6">
        <w:rPr>
          <w:rFonts w:eastAsia="Times New Roman"/>
        </w:rPr>
        <w:t>Community Zero Emissions Grants</w:t>
      </w:r>
      <w:r w:rsidRPr="007E0DD6">
        <w:rPr>
          <w:rFonts w:eastAsia="Times New Roman" w:cs="Times New Roman"/>
          <w:bCs/>
          <w:szCs w:val="26"/>
        </w:rPr>
        <w:t xml:space="preserve">  </w:t>
      </w:r>
      <w:r>
        <w:rPr>
          <w:rFonts w:eastAsia="Times New Roman"/>
          <w:noProof/>
        </w:rPr>
        <w:drawing>
          <wp:anchor distT="0" distB="0" distL="114300" distR="114300" simplePos="0" relativeHeight="251838464" behindDoc="0" locked="1" layoutInCell="1" allowOverlap="1" wp14:anchorId="1F6AE1E2" wp14:editId="626860DC">
            <wp:simplePos x="0" y="0"/>
            <wp:positionH relativeFrom="margin">
              <wp:align>right</wp:align>
            </wp:positionH>
            <wp:positionV relativeFrom="paragraph">
              <wp:posOffset>-133350</wp:posOffset>
            </wp:positionV>
            <wp:extent cx="1393190" cy="503555"/>
            <wp:effectExtent l="0" t="0" r="0" b="0"/>
            <wp:wrapSquare wrapText="bothSides"/>
            <wp:docPr id="282" name="Picture 282" descr="Icon representing the wellbeing domain of Environment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nvironment and clima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319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7018C145" w14:textId="77777777" w:rsidTr="00A60D4B">
        <w:trPr>
          <w:cantSplit/>
          <w:jc w:val="center"/>
        </w:trPr>
        <w:tc>
          <w:tcPr>
            <w:tcW w:w="3652" w:type="dxa"/>
            <w:tcBorders>
              <w:top w:val="single" w:sz="4" w:space="0" w:color="auto"/>
              <w:bottom w:val="single" w:sz="4" w:space="0" w:color="auto"/>
            </w:tcBorders>
          </w:tcPr>
          <w:p w14:paraId="6AE5BDFB"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0AB6324F" w14:textId="77777777" w:rsidR="00CF0E2D" w:rsidRPr="00F2314E" w:rsidRDefault="00CF0E2D" w:rsidP="00A60D4B">
            <w:pPr>
              <w:pStyle w:val="InitFigR"/>
              <w:keepNext/>
              <w:keepLines/>
              <w:rPr>
                <w:b/>
                <w:bCs/>
              </w:rPr>
            </w:pPr>
            <w:r w:rsidRPr="00F2314E">
              <w:rPr>
                <w:b/>
                <w:bCs/>
              </w:rPr>
              <w:t>2021-22</w:t>
            </w:r>
          </w:p>
          <w:p w14:paraId="0AB4B860" w14:textId="77777777" w:rsidR="00CF0E2D" w:rsidRPr="00F2314E" w:rsidRDefault="00CF0E2D" w:rsidP="00A60D4B">
            <w:pPr>
              <w:pStyle w:val="InitFigR"/>
              <w:keepNext/>
              <w:keepLines/>
              <w:rPr>
                <w:b/>
                <w:bCs/>
              </w:rPr>
            </w:pPr>
            <w:r w:rsidRPr="00F2314E">
              <w:rPr>
                <w:b/>
                <w:bCs/>
              </w:rPr>
              <w:t>$’000</w:t>
            </w:r>
          </w:p>
        </w:tc>
        <w:tc>
          <w:tcPr>
            <w:tcW w:w="1041" w:type="dxa"/>
            <w:tcBorders>
              <w:top w:val="single" w:sz="4" w:space="0" w:color="auto"/>
              <w:bottom w:val="single" w:sz="4" w:space="0" w:color="auto"/>
            </w:tcBorders>
          </w:tcPr>
          <w:p w14:paraId="5211ECC7" w14:textId="77777777" w:rsidR="00CF0E2D" w:rsidRPr="00F2314E" w:rsidRDefault="00CF0E2D" w:rsidP="00A60D4B">
            <w:pPr>
              <w:pStyle w:val="InitFigR"/>
              <w:keepNext/>
              <w:keepLines/>
              <w:rPr>
                <w:b/>
                <w:bCs/>
              </w:rPr>
            </w:pPr>
            <w:r w:rsidRPr="00F2314E">
              <w:rPr>
                <w:b/>
                <w:bCs/>
              </w:rPr>
              <w:t>2022-23</w:t>
            </w:r>
          </w:p>
          <w:p w14:paraId="14B56716" w14:textId="77777777" w:rsidR="00CF0E2D" w:rsidRPr="00F2314E" w:rsidRDefault="00CF0E2D" w:rsidP="00A60D4B">
            <w:pPr>
              <w:pStyle w:val="InitFigR"/>
              <w:keepNext/>
              <w:keepLines/>
              <w:rPr>
                <w:b/>
                <w:bCs/>
              </w:rPr>
            </w:pPr>
            <w:r w:rsidRPr="00F2314E">
              <w:rPr>
                <w:b/>
                <w:bCs/>
              </w:rPr>
              <w:t>$’000</w:t>
            </w:r>
          </w:p>
        </w:tc>
        <w:tc>
          <w:tcPr>
            <w:tcW w:w="1029" w:type="dxa"/>
            <w:tcBorders>
              <w:top w:val="single" w:sz="4" w:space="0" w:color="auto"/>
              <w:bottom w:val="single" w:sz="4" w:space="0" w:color="auto"/>
            </w:tcBorders>
          </w:tcPr>
          <w:p w14:paraId="0E4073D6" w14:textId="77777777" w:rsidR="00CF0E2D" w:rsidRPr="00F2314E" w:rsidRDefault="00CF0E2D" w:rsidP="00A60D4B">
            <w:pPr>
              <w:pStyle w:val="InitFigR"/>
              <w:keepNext/>
              <w:keepLines/>
              <w:rPr>
                <w:b/>
                <w:bCs/>
              </w:rPr>
            </w:pPr>
            <w:r w:rsidRPr="00F2314E">
              <w:rPr>
                <w:b/>
                <w:bCs/>
              </w:rPr>
              <w:t>2023-24</w:t>
            </w:r>
          </w:p>
          <w:p w14:paraId="59A89F19" w14:textId="77777777" w:rsidR="00CF0E2D" w:rsidRPr="00F2314E" w:rsidRDefault="00CF0E2D" w:rsidP="00A60D4B">
            <w:pPr>
              <w:pStyle w:val="InitFigR"/>
              <w:keepNext/>
              <w:keepLines/>
              <w:rPr>
                <w:b/>
                <w:bCs/>
              </w:rPr>
            </w:pPr>
            <w:r w:rsidRPr="00F2314E">
              <w:rPr>
                <w:b/>
                <w:bCs/>
              </w:rPr>
              <w:t>$’000</w:t>
            </w:r>
          </w:p>
        </w:tc>
        <w:tc>
          <w:tcPr>
            <w:tcW w:w="1029" w:type="dxa"/>
            <w:tcBorders>
              <w:top w:val="single" w:sz="4" w:space="0" w:color="auto"/>
              <w:bottom w:val="single" w:sz="4" w:space="0" w:color="auto"/>
            </w:tcBorders>
          </w:tcPr>
          <w:p w14:paraId="34EC716D" w14:textId="77777777" w:rsidR="00CF0E2D" w:rsidRPr="00F2314E" w:rsidRDefault="00CF0E2D" w:rsidP="00A60D4B">
            <w:pPr>
              <w:pStyle w:val="InitFigR"/>
              <w:keepNext/>
              <w:keepLines/>
              <w:rPr>
                <w:b/>
                <w:bCs/>
              </w:rPr>
            </w:pPr>
            <w:r w:rsidRPr="00F2314E">
              <w:rPr>
                <w:b/>
                <w:bCs/>
              </w:rPr>
              <w:t>2024-25</w:t>
            </w:r>
          </w:p>
          <w:p w14:paraId="6DC8394A" w14:textId="77777777" w:rsidR="00CF0E2D" w:rsidRPr="00F2314E" w:rsidRDefault="00CF0E2D" w:rsidP="00A60D4B">
            <w:pPr>
              <w:pStyle w:val="InitFigR"/>
              <w:keepNext/>
              <w:keepLines/>
              <w:rPr>
                <w:b/>
                <w:bCs/>
              </w:rPr>
            </w:pPr>
            <w:r w:rsidRPr="00F2314E">
              <w:rPr>
                <w:b/>
                <w:bCs/>
              </w:rPr>
              <w:t>$’000</w:t>
            </w:r>
          </w:p>
        </w:tc>
        <w:tc>
          <w:tcPr>
            <w:tcW w:w="1029" w:type="dxa"/>
            <w:tcBorders>
              <w:top w:val="single" w:sz="4" w:space="0" w:color="auto"/>
              <w:bottom w:val="single" w:sz="4" w:space="0" w:color="auto"/>
            </w:tcBorders>
          </w:tcPr>
          <w:p w14:paraId="354AABCB" w14:textId="77777777" w:rsidR="00CF0E2D" w:rsidRPr="004E341E" w:rsidRDefault="00CF0E2D" w:rsidP="00A60D4B">
            <w:pPr>
              <w:pStyle w:val="InitFigRBold"/>
              <w:keepNext/>
              <w:keepLines/>
            </w:pPr>
            <w:r w:rsidRPr="004E341E">
              <w:t>Total</w:t>
            </w:r>
          </w:p>
          <w:p w14:paraId="0CAD5168" w14:textId="77777777" w:rsidR="00CF0E2D" w:rsidRPr="004E341E" w:rsidRDefault="00CF0E2D" w:rsidP="00A60D4B">
            <w:pPr>
              <w:pStyle w:val="InitFigBR"/>
              <w:keepNext/>
              <w:keepLines/>
            </w:pPr>
            <w:r w:rsidRPr="004E341E">
              <w:t>$’000</w:t>
            </w:r>
          </w:p>
        </w:tc>
      </w:tr>
      <w:tr w:rsidR="00CF0E2D" w:rsidRPr="00750793" w14:paraId="7BDF947B" w14:textId="77777777" w:rsidTr="00A60D4B">
        <w:trPr>
          <w:cantSplit/>
          <w:jc w:val="center"/>
        </w:trPr>
        <w:tc>
          <w:tcPr>
            <w:tcW w:w="3652" w:type="dxa"/>
            <w:tcBorders>
              <w:top w:val="single" w:sz="4" w:space="0" w:color="auto"/>
              <w:bottom w:val="single" w:sz="4" w:space="0" w:color="auto"/>
            </w:tcBorders>
          </w:tcPr>
          <w:p w14:paraId="00BB60A4" w14:textId="77777777" w:rsidR="00CF0E2D" w:rsidRPr="00F13FAB" w:rsidRDefault="00CF0E2D" w:rsidP="00A60D4B">
            <w:pPr>
              <w:pStyle w:val="InitTextL"/>
              <w:keepNext/>
              <w:keepLines/>
              <w:ind w:left="321" w:hanging="321"/>
            </w:pPr>
            <w:r w:rsidRPr="00882BE2">
              <w:t>Expenses</w:t>
            </w:r>
          </w:p>
        </w:tc>
        <w:tc>
          <w:tcPr>
            <w:tcW w:w="1179" w:type="dxa"/>
            <w:tcBorders>
              <w:top w:val="single" w:sz="4" w:space="0" w:color="auto"/>
              <w:bottom w:val="single" w:sz="4" w:space="0" w:color="auto"/>
            </w:tcBorders>
          </w:tcPr>
          <w:p w14:paraId="2F772EB3" w14:textId="77777777" w:rsidR="00CF0E2D" w:rsidRPr="00424DA4" w:rsidRDefault="00CF0E2D" w:rsidP="00A60D4B">
            <w:pPr>
              <w:pStyle w:val="InitFigR"/>
              <w:keepNext/>
              <w:keepLines/>
            </w:pPr>
            <w:r>
              <w:t>150</w:t>
            </w:r>
          </w:p>
        </w:tc>
        <w:tc>
          <w:tcPr>
            <w:tcW w:w="1041" w:type="dxa"/>
            <w:tcBorders>
              <w:top w:val="single" w:sz="4" w:space="0" w:color="auto"/>
              <w:bottom w:val="single" w:sz="4" w:space="0" w:color="auto"/>
            </w:tcBorders>
          </w:tcPr>
          <w:p w14:paraId="0A474892" w14:textId="77777777" w:rsidR="00CF0E2D" w:rsidRPr="00424DA4" w:rsidRDefault="00CF0E2D" w:rsidP="00A60D4B">
            <w:pPr>
              <w:pStyle w:val="InitFigR"/>
              <w:keepNext/>
              <w:keepLines/>
            </w:pPr>
            <w:r>
              <w:t>150</w:t>
            </w:r>
          </w:p>
        </w:tc>
        <w:tc>
          <w:tcPr>
            <w:tcW w:w="1029" w:type="dxa"/>
            <w:tcBorders>
              <w:top w:val="single" w:sz="4" w:space="0" w:color="auto"/>
              <w:bottom w:val="single" w:sz="4" w:space="0" w:color="auto"/>
            </w:tcBorders>
          </w:tcPr>
          <w:p w14:paraId="6BB7C936" w14:textId="77777777" w:rsidR="00CF0E2D" w:rsidRPr="00424DA4" w:rsidRDefault="00CF0E2D" w:rsidP="00A60D4B">
            <w:pPr>
              <w:pStyle w:val="InitFigR"/>
              <w:keepNext/>
              <w:keepLines/>
            </w:pPr>
            <w:r>
              <w:t>150</w:t>
            </w:r>
          </w:p>
        </w:tc>
        <w:tc>
          <w:tcPr>
            <w:tcW w:w="1029" w:type="dxa"/>
            <w:tcBorders>
              <w:top w:val="single" w:sz="4" w:space="0" w:color="auto"/>
              <w:bottom w:val="single" w:sz="4" w:space="0" w:color="auto"/>
            </w:tcBorders>
          </w:tcPr>
          <w:p w14:paraId="04AF1FB5" w14:textId="77777777" w:rsidR="00CF0E2D" w:rsidRPr="00424DA4" w:rsidRDefault="00CF0E2D" w:rsidP="00A60D4B">
            <w:pPr>
              <w:pStyle w:val="InitFigR"/>
              <w:keepNext/>
              <w:keepLines/>
            </w:pPr>
            <w:r>
              <w:t>150</w:t>
            </w:r>
          </w:p>
        </w:tc>
        <w:tc>
          <w:tcPr>
            <w:tcW w:w="1029" w:type="dxa"/>
            <w:tcBorders>
              <w:top w:val="single" w:sz="4" w:space="0" w:color="auto"/>
              <w:bottom w:val="single" w:sz="4" w:space="0" w:color="auto"/>
            </w:tcBorders>
          </w:tcPr>
          <w:p w14:paraId="4D602105" w14:textId="77777777" w:rsidR="00CF0E2D" w:rsidRPr="00424DA4" w:rsidRDefault="00CF0E2D" w:rsidP="00A60D4B">
            <w:pPr>
              <w:pStyle w:val="InitFigBR"/>
              <w:keepNext/>
              <w:keepLines/>
            </w:pPr>
            <w:r>
              <w:t>600</w:t>
            </w:r>
          </w:p>
        </w:tc>
      </w:tr>
    </w:tbl>
    <w:p w14:paraId="4B502074" w14:textId="77777777" w:rsidR="00CF0E2D" w:rsidRPr="007E0DD6" w:rsidRDefault="00CF0E2D" w:rsidP="00A60D4B">
      <w:pPr>
        <w:spacing w:before="200" w:after="200" w:line="240" w:lineRule="auto"/>
        <w:rPr>
          <w:rFonts w:ascii="Calibri" w:eastAsia="Times New Roman" w:hAnsi="Calibri" w:cs="Times New Roman"/>
          <w:sz w:val="24"/>
          <w:szCs w:val="20"/>
        </w:rPr>
      </w:pPr>
      <w:r w:rsidRPr="007E0DD6">
        <w:rPr>
          <w:rFonts w:ascii="Calibri" w:eastAsia="Times New Roman" w:hAnsi="Calibri" w:cs="Times New Roman"/>
          <w:sz w:val="24"/>
          <w:szCs w:val="20"/>
        </w:rPr>
        <w:t>The Government will continue to provide grants to eligible community groups and not-for-profit organisations to undertake projects that support the ACT's transition to net zero emissions by 2045.</w:t>
      </w:r>
    </w:p>
    <w:p w14:paraId="5BF9E006" w14:textId="77777777" w:rsidR="00CF0E2D" w:rsidRDefault="00CF0E2D" w:rsidP="00A60D4B">
      <w:pPr>
        <w:spacing w:before="200" w:after="200" w:line="240" w:lineRule="auto"/>
        <w:rPr>
          <w:rFonts w:ascii="Calibri" w:eastAsia="Times New Roman" w:hAnsi="Calibri" w:cs="Times New Roman"/>
          <w:sz w:val="24"/>
          <w:szCs w:val="20"/>
        </w:rPr>
      </w:pPr>
      <w:r w:rsidRPr="007E0DD6">
        <w:rPr>
          <w:rFonts w:ascii="Calibri" w:eastAsia="Times New Roman" w:hAnsi="Calibri" w:cs="Times New Roman"/>
          <w:sz w:val="24"/>
          <w:szCs w:val="20"/>
        </w:rPr>
        <w:t xml:space="preserve">This initiative contributes to the wellbeing domains of Environment and climate and Social connection. </w:t>
      </w:r>
    </w:p>
    <w:p w14:paraId="1C1436E0" w14:textId="77777777" w:rsidR="00CF0E2D" w:rsidRDefault="00CF0E2D" w:rsidP="00A60D4B">
      <w:pPr>
        <w:spacing w:before="200" w:after="200" w:line="240" w:lineRule="auto"/>
        <w:rPr>
          <w:rFonts w:ascii="Calibri" w:eastAsia="Times New Roman" w:hAnsi="Calibri" w:cs="Times New Roman"/>
          <w:sz w:val="24"/>
          <w:szCs w:val="20"/>
        </w:rPr>
      </w:pPr>
    </w:p>
    <w:p w14:paraId="4E89EA0B" w14:textId="77777777" w:rsidR="00CF0E2D" w:rsidRPr="0075111D" w:rsidRDefault="00CF0E2D" w:rsidP="00A60D4B">
      <w:pPr>
        <w:pStyle w:val="Heading4"/>
        <w:rPr>
          <w:rFonts w:eastAsia="Times New Roman" w:cs="Times New Roman"/>
          <w:bCs/>
          <w:szCs w:val="26"/>
        </w:rPr>
      </w:pPr>
      <w:r>
        <w:rPr>
          <w:rFonts w:eastAsia="Times New Roman" w:cs="Times New Roman"/>
          <w:bCs/>
          <w:noProof/>
          <w:szCs w:val="26"/>
        </w:rPr>
        <w:drawing>
          <wp:anchor distT="0" distB="0" distL="114300" distR="114300" simplePos="0" relativeHeight="251941888" behindDoc="0" locked="1" layoutInCell="1" allowOverlap="1" wp14:anchorId="5958B5E1" wp14:editId="3B467066">
            <wp:simplePos x="0" y="0"/>
            <wp:positionH relativeFrom="margin">
              <wp:align>right</wp:align>
            </wp:positionH>
            <wp:positionV relativeFrom="paragraph">
              <wp:posOffset>50165</wp:posOffset>
            </wp:positionV>
            <wp:extent cx="1105200" cy="504000"/>
            <wp:effectExtent l="0" t="0" r="0" b="0"/>
            <wp:wrapSquare wrapText="bothSides"/>
            <wp:docPr id="283" name="Picture 283" descr="Icon representing the wellbeing domain of Housing and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 representing the wellbeing domain of Housing and ho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105200" cy="504000"/>
                    </a:xfrm>
                    <a:prstGeom prst="rect">
                      <a:avLst/>
                    </a:prstGeom>
                  </pic:spPr>
                </pic:pic>
              </a:graphicData>
            </a:graphic>
            <wp14:sizeRelH relativeFrom="margin">
              <wp14:pctWidth>0</wp14:pctWidth>
            </wp14:sizeRelH>
            <wp14:sizeRelV relativeFrom="margin">
              <wp14:pctHeight>0</wp14:pctHeight>
            </wp14:sizeRelV>
          </wp:anchor>
        </w:drawing>
      </w:r>
      <w:r w:rsidRPr="0075111D">
        <w:rPr>
          <w:rFonts w:eastAsia="Times New Roman"/>
        </w:rPr>
        <w:t xml:space="preserve">Climate </w:t>
      </w:r>
      <w:r>
        <w:rPr>
          <w:rFonts w:eastAsia="Times New Roman" w:cs="Times New Roman"/>
          <w:bCs/>
          <w:szCs w:val="26"/>
        </w:rPr>
        <w:t>a</w:t>
      </w:r>
      <w:r w:rsidRPr="0075111D">
        <w:rPr>
          <w:rFonts w:eastAsia="Times New Roman" w:cs="Times New Roman"/>
          <w:bCs/>
          <w:szCs w:val="26"/>
        </w:rPr>
        <w:t xml:space="preserve">ction </w:t>
      </w:r>
      <w:r>
        <w:rPr>
          <w:rFonts w:eastAsia="Times New Roman" w:cs="Times New Roman"/>
          <w:bCs/>
          <w:szCs w:val="26"/>
        </w:rPr>
        <w:t>–</w:t>
      </w:r>
      <w:r w:rsidRPr="0075111D">
        <w:rPr>
          <w:rFonts w:eastAsia="Times New Roman" w:cs="Times New Roman"/>
          <w:bCs/>
          <w:szCs w:val="26"/>
        </w:rPr>
        <w:t xml:space="preserve"> Energy Efficiency Improvement Scheme – </w:t>
      </w:r>
      <w:r>
        <w:rPr>
          <w:rFonts w:eastAsia="Times New Roman" w:cs="Times New Roman"/>
          <w:bCs/>
          <w:szCs w:val="26"/>
        </w:rPr>
        <w:t>c</w:t>
      </w:r>
      <w:r w:rsidRPr="0075111D">
        <w:rPr>
          <w:rFonts w:eastAsia="Times New Roman" w:cs="Times New Roman"/>
          <w:bCs/>
          <w:szCs w:val="26"/>
        </w:rPr>
        <w:t xml:space="preserve">ontinuation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6D84E113" w14:textId="77777777" w:rsidTr="00A60D4B">
        <w:trPr>
          <w:cantSplit/>
          <w:jc w:val="center"/>
        </w:trPr>
        <w:tc>
          <w:tcPr>
            <w:tcW w:w="3652" w:type="dxa"/>
            <w:tcBorders>
              <w:top w:val="single" w:sz="4" w:space="0" w:color="auto"/>
              <w:bottom w:val="single" w:sz="4" w:space="0" w:color="auto"/>
            </w:tcBorders>
          </w:tcPr>
          <w:p w14:paraId="1BE48A74"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29A0518B" w14:textId="77777777" w:rsidR="00CF0E2D" w:rsidRPr="00F2314E" w:rsidRDefault="00CF0E2D" w:rsidP="00A60D4B">
            <w:pPr>
              <w:pStyle w:val="InitFigR"/>
              <w:rPr>
                <w:b/>
                <w:bCs/>
              </w:rPr>
            </w:pPr>
            <w:r w:rsidRPr="00F2314E">
              <w:rPr>
                <w:b/>
                <w:bCs/>
              </w:rPr>
              <w:t>2021-22</w:t>
            </w:r>
          </w:p>
          <w:p w14:paraId="06650D54" w14:textId="77777777" w:rsidR="00CF0E2D" w:rsidRPr="00F2314E" w:rsidRDefault="00CF0E2D" w:rsidP="00A60D4B">
            <w:pPr>
              <w:pStyle w:val="InitFigR"/>
              <w:rPr>
                <w:b/>
                <w:bCs/>
              </w:rPr>
            </w:pPr>
            <w:r w:rsidRPr="00F2314E">
              <w:rPr>
                <w:b/>
                <w:bCs/>
              </w:rPr>
              <w:t>$’000</w:t>
            </w:r>
          </w:p>
        </w:tc>
        <w:tc>
          <w:tcPr>
            <w:tcW w:w="1041" w:type="dxa"/>
            <w:tcBorders>
              <w:top w:val="single" w:sz="4" w:space="0" w:color="auto"/>
              <w:bottom w:val="single" w:sz="4" w:space="0" w:color="auto"/>
            </w:tcBorders>
          </w:tcPr>
          <w:p w14:paraId="6DBCFC18" w14:textId="77777777" w:rsidR="00CF0E2D" w:rsidRPr="00F2314E" w:rsidRDefault="00CF0E2D" w:rsidP="00A60D4B">
            <w:pPr>
              <w:pStyle w:val="InitFigR"/>
              <w:rPr>
                <w:b/>
                <w:bCs/>
              </w:rPr>
            </w:pPr>
            <w:r w:rsidRPr="00F2314E">
              <w:rPr>
                <w:b/>
                <w:bCs/>
              </w:rPr>
              <w:t>2022-23</w:t>
            </w:r>
          </w:p>
          <w:p w14:paraId="062027D9"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1AA55E84" w14:textId="77777777" w:rsidR="00CF0E2D" w:rsidRPr="00F2314E" w:rsidRDefault="00CF0E2D" w:rsidP="00A60D4B">
            <w:pPr>
              <w:pStyle w:val="InitFigR"/>
              <w:rPr>
                <w:b/>
                <w:bCs/>
              </w:rPr>
            </w:pPr>
            <w:r w:rsidRPr="00F2314E">
              <w:rPr>
                <w:b/>
                <w:bCs/>
              </w:rPr>
              <w:t>2023-24</w:t>
            </w:r>
          </w:p>
          <w:p w14:paraId="5527A7A6"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6D575FE5" w14:textId="77777777" w:rsidR="00CF0E2D" w:rsidRPr="00F2314E" w:rsidRDefault="00CF0E2D" w:rsidP="00A60D4B">
            <w:pPr>
              <w:pStyle w:val="InitFigR"/>
              <w:rPr>
                <w:b/>
                <w:bCs/>
              </w:rPr>
            </w:pPr>
            <w:r w:rsidRPr="00F2314E">
              <w:rPr>
                <w:b/>
                <w:bCs/>
              </w:rPr>
              <w:t>2024-25</w:t>
            </w:r>
          </w:p>
          <w:p w14:paraId="4C06D72A"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3D795394" w14:textId="77777777" w:rsidR="00CF0E2D" w:rsidRPr="004E341E" w:rsidRDefault="00CF0E2D" w:rsidP="00A60D4B">
            <w:pPr>
              <w:pStyle w:val="InitFigRBold"/>
            </w:pPr>
            <w:r w:rsidRPr="004E341E">
              <w:t>Total</w:t>
            </w:r>
          </w:p>
          <w:p w14:paraId="72882F20" w14:textId="77777777" w:rsidR="00CF0E2D" w:rsidRPr="004E341E" w:rsidRDefault="00CF0E2D" w:rsidP="00A60D4B">
            <w:pPr>
              <w:pStyle w:val="InitFigBR"/>
            </w:pPr>
            <w:r w:rsidRPr="004E341E">
              <w:t>$’000</w:t>
            </w:r>
          </w:p>
        </w:tc>
      </w:tr>
      <w:tr w:rsidR="00CF0E2D" w:rsidRPr="00750793" w14:paraId="43EB278D" w14:textId="77777777" w:rsidTr="00A60D4B">
        <w:trPr>
          <w:cantSplit/>
          <w:jc w:val="center"/>
        </w:trPr>
        <w:tc>
          <w:tcPr>
            <w:tcW w:w="3652" w:type="dxa"/>
          </w:tcPr>
          <w:p w14:paraId="1DBB78E3" w14:textId="77777777" w:rsidR="00CF0E2D" w:rsidRPr="00F13FAB" w:rsidRDefault="00CF0E2D" w:rsidP="00A60D4B">
            <w:pPr>
              <w:pStyle w:val="InitTextL"/>
              <w:ind w:left="321" w:hanging="321"/>
            </w:pPr>
            <w:r w:rsidRPr="00882BE2">
              <w:t>Expenses</w:t>
            </w:r>
          </w:p>
        </w:tc>
        <w:tc>
          <w:tcPr>
            <w:tcW w:w="1179" w:type="dxa"/>
          </w:tcPr>
          <w:p w14:paraId="3C194DFE" w14:textId="77777777" w:rsidR="00CF0E2D" w:rsidRPr="00424DA4" w:rsidRDefault="00CF0E2D" w:rsidP="00A60D4B">
            <w:pPr>
              <w:pStyle w:val="InitFigR"/>
            </w:pPr>
            <w:r>
              <w:t>2,241</w:t>
            </w:r>
          </w:p>
        </w:tc>
        <w:tc>
          <w:tcPr>
            <w:tcW w:w="1041" w:type="dxa"/>
          </w:tcPr>
          <w:p w14:paraId="31D1E596" w14:textId="77777777" w:rsidR="00CF0E2D" w:rsidRPr="00424DA4" w:rsidRDefault="00CF0E2D" w:rsidP="00A60D4B">
            <w:pPr>
              <w:pStyle w:val="InitFigR"/>
            </w:pPr>
            <w:r>
              <w:t>2,179</w:t>
            </w:r>
          </w:p>
        </w:tc>
        <w:tc>
          <w:tcPr>
            <w:tcW w:w="1029" w:type="dxa"/>
          </w:tcPr>
          <w:p w14:paraId="5C617CF0" w14:textId="77777777" w:rsidR="00CF0E2D" w:rsidRPr="00424DA4" w:rsidRDefault="00CF0E2D" w:rsidP="00A60D4B">
            <w:pPr>
              <w:pStyle w:val="InitFigR"/>
            </w:pPr>
            <w:r>
              <w:t>2,234</w:t>
            </w:r>
          </w:p>
        </w:tc>
        <w:tc>
          <w:tcPr>
            <w:tcW w:w="1029" w:type="dxa"/>
          </w:tcPr>
          <w:p w14:paraId="2302EE0A" w14:textId="77777777" w:rsidR="00CF0E2D" w:rsidRPr="00424DA4" w:rsidRDefault="00CF0E2D" w:rsidP="00A60D4B">
            <w:pPr>
              <w:pStyle w:val="InitFigR"/>
            </w:pPr>
            <w:r>
              <w:t>2,220</w:t>
            </w:r>
          </w:p>
        </w:tc>
        <w:tc>
          <w:tcPr>
            <w:tcW w:w="1029" w:type="dxa"/>
          </w:tcPr>
          <w:p w14:paraId="4272A9DC" w14:textId="77777777" w:rsidR="00CF0E2D" w:rsidRPr="00424DA4" w:rsidRDefault="00CF0E2D" w:rsidP="00A60D4B">
            <w:pPr>
              <w:pStyle w:val="InitFigBR"/>
            </w:pPr>
            <w:r>
              <w:t>8,874</w:t>
            </w:r>
          </w:p>
        </w:tc>
      </w:tr>
      <w:tr w:rsidR="00CF0E2D" w:rsidRPr="00750793" w14:paraId="193698E3" w14:textId="77777777" w:rsidTr="00A60D4B">
        <w:trPr>
          <w:cantSplit/>
          <w:trHeight w:val="107"/>
          <w:jc w:val="center"/>
        </w:trPr>
        <w:tc>
          <w:tcPr>
            <w:tcW w:w="3652" w:type="dxa"/>
          </w:tcPr>
          <w:p w14:paraId="2F5922C4" w14:textId="77777777" w:rsidR="00CF0E2D" w:rsidRDefault="00CF0E2D" w:rsidP="00A60D4B">
            <w:pPr>
              <w:pStyle w:val="InitTextL"/>
              <w:ind w:left="321" w:hanging="321"/>
            </w:pPr>
            <w:r>
              <w:t>Revenue</w:t>
            </w:r>
          </w:p>
        </w:tc>
        <w:tc>
          <w:tcPr>
            <w:tcW w:w="1179" w:type="dxa"/>
          </w:tcPr>
          <w:p w14:paraId="09978B2E" w14:textId="77777777" w:rsidR="00CF0E2D" w:rsidRPr="00424DA4" w:rsidRDefault="00CF0E2D" w:rsidP="00A60D4B">
            <w:pPr>
              <w:pStyle w:val="InitFigR"/>
            </w:pPr>
            <w:r>
              <w:t>-2,241</w:t>
            </w:r>
          </w:p>
        </w:tc>
        <w:tc>
          <w:tcPr>
            <w:tcW w:w="1041" w:type="dxa"/>
          </w:tcPr>
          <w:p w14:paraId="15C30C40" w14:textId="77777777" w:rsidR="00CF0E2D" w:rsidRPr="00424DA4" w:rsidRDefault="00CF0E2D" w:rsidP="00A60D4B">
            <w:pPr>
              <w:pStyle w:val="InitFigR"/>
            </w:pPr>
            <w:r>
              <w:t>-2,179</w:t>
            </w:r>
          </w:p>
        </w:tc>
        <w:tc>
          <w:tcPr>
            <w:tcW w:w="1029" w:type="dxa"/>
          </w:tcPr>
          <w:p w14:paraId="76B9B0FD" w14:textId="77777777" w:rsidR="00CF0E2D" w:rsidRPr="00424DA4" w:rsidRDefault="00CF0E2D" w:rsidP="00A60D4B">
            <w:pPr>
              <w:pStyle w:val="InitFigR"/>
            </w:pPr>
            <w:r>
              <w:t>-2,234</w:t>
            </w:r>
          </w:p>
        </w:tc>
        <w:tc>
          <w:tcPr>
            <w:tcW w:w="1029" w:type="dxa"/>
          </w:tcPr>
          <w:p w14:paraId="4CC7CD86" w14:textId="77777777" w:rsidR="00CF0E2D" w:rsidRPr="00424DA4" w:rsidRDefault="00CF0E2D" w:rsidP="00A60D4B">
            <w:pPr>
              <w:pStyle w:val="InitFigR"/>
            </w:pPr>
            <w:r>
              <w:t>-2,220</w:t>
            </w:r>
          </w:p>
        </w:tc>
        <w:tc>
          <w:tcPr>
            <w:tcW w:w="1029" w:type="dxa"/>
          </w:tcPr>
          <w:p w14:paraId="28247203" w14:textId="77777777" w:rsidR="00CF0E2D" w:rsidRPr="00424DA4" w:rsidRDefault="00CF0E2D" w:rsidP="00A60D4B">
            <w:pPr>
              <w:pStyle w:val="InitFigBR"/>
            </w:pPr>
            <w:r>
              <w:t>-8,874</w:t>
            </w:r>
          </w:p>
        </w:tc>
      </w:tr>
      <w:tr w:rsidR="00CF0E2D" w:rsidRPr="00750793" w14:paraId="52A4D2B5" w14:textId="77777777" w:rsidTr="00A60D4B">
        <w:trPr>
          <w:cantSplit/>
          <w:trHeight w:val="107"/>
          <w:jc w:val="center"/>
        </w:trPr>
        <w:tc>
          <w:tcPr>
            <w:tcW w:w="3652" w:type="dxa"/>
            <w:tcBorders>
              <w:top w:val="single" w:sz="4" w:space="0" w:color="auto"/>
              <w:bottom w:val="single" w:sz="4" w:space="0" w:color="auto"/>
            </w:tcBorders>
          </w:tcPr>
          <w:p w14:paraId="5E93EDFE"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6C1E0595" w14:textId="77777777" w:rsidR="00CF0E2D" w:rsidRPr="00424DA4" w:rsidRDefault="00CF0E2D" w:rsidP="00A60D4B">
            <w:pPr>
              <w:pStyle w:val="InitFigRBold"/>
            </w:pPr>
            <w:r>
              <w:t>0</w:t>
            </w:r>
          </w:p>
        </w:tc>
        <w:tc>
          <w:tcPr>
            <w:tcW w:w="1041" w:type="dxa"/>
            <w:tcBorders>
              <w:top w:val="single" w:sz="4" w:space="0" w:color="auto"/>
              <w:bottom w:val="single" w:sz="4" w:space="0" w:color="auto"/>
            </w:tcBorders>
          </w:tcPr>
          <w:p w14:paraId="56C91CF0"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7C680E1B"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3EF229BB"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6B37B197" w14:textId="77777777" w:rsidR="00CF0E2D" w:rsidRPr="00424DA4" w:rsidRDefault="00CF0E2D" w:rsidP="00A60D4B">
            <w:pPr>
              <w:pStyle w:val="InitFigRBold"/>
            </w:pPr>
            <w:r>
              <w:t>0</w:t>
            </w:r>
          </w:p>
        </w:tc>
      </w:tr>
    </w:tbl>
    <w:p w14:paraId="1834567A" w14:textId="77777777" w:rsidR="00CF0E2D" w:rsidRPr="0075111D" w:rsidRDefault="00CF0E2D" w:rsidP="00A60D4B">
      <w:pPr>
        <w:pStyle w:val="Bbodytext"/>
      </w:pPr>
      <w:r w:rsidRPr="0075111D">
        <w:t>The Government will continue delivery of the Energy Efficiency Improvement Scheme (EEIS), to support emissions reductions and lower household and business energy use and cost. Expenses are fully offset from funds paid into the Scheme by Tier 2 energy retailers.</w:t>
      </w:r>
    </w:p>
    <w:p w14:paraId="2AE64F4D" w14:textId="77777777" w:rsidR="00CF0E2D" w:rsidRDefault="00CF0E2D" w:rsidP="00A60D4B">
      <w:pPr>
        <w:pStyle w:val="Bbodytext"/>
      </w:pPr>
      <w:bookmarkStart w:id="49" w:name="_Hlk78270266"/>
      <w:r w:rsidRPr="0075111D">
        <w:t xml:space="preserve">This initiative contributes significantly to the wellbeing domains </w:t>
      </w:r>
      <w:bookmarkEnd w:id="49"/>
      <w:r w:rsidRPr="0075111D">
        <w:t>of Housing and home, Living standards and Environment and climate.</w:t>
      </w:r>
    </w:p>
    <w:p w14:paraId="607D13AA" w14:textId="77777777" w:rsidR="00CF0E2D" w:rsidRDefault="00CF0E2D" w:rsidP="00A60D4B">
      <w:pPr>
        <w:spacing w:before="200" w:after="200" w:line="240" w:lineRule="auto"/>
        <w:rPr>
          <w:rFonts w:ascii="Calibri" w:eastAsia="Times New Roman" w:hAnsi="Calibri" w:cs="Times New Roman"/>
          <w:sz w:val="24"/>
          <w:szCs w:val="20"/>
        </w:rPr>
      </w:pPr>
    </w:p>
    <w:p w14:paraId="396840AB" w14:textId="77777777" w:rsidR="00CF0E2D" w:rsidRPr="00286630" w:rsidRDefault="00CF0E2D" w:rsidP="00A60D4B">
      <w:pPr>
        <w:pStyle w:val="Heading4"/>
        <w:rPr>
          <w:rFonts w:eastAsia="Times New Roman" w:cs="Times New Roman"/>
          <w:bCs/>
          <w:szCs w:val="26"/>
        </w:rPr>
      </w:pPr>
      <w:r>
        <w:rPr>
          <w:rFonts w:eastAsia="Times New Roman"/>
        </w:rPr>
        <w:lastRenderedPageBreak/>
        <w:t xml:space="preserve">Climate action – </w:t>
      </w:r>
      <w:r w:rsidRPr="00286630">
        <w:rPr>
          <w:rFonts w:eastAsia="Times New Roman"/>
        </w:rPr>
        <w:t xml:space="preserve">Free </w:t>
      </w:r>
      <w:r>
        <w:rPr>
          <w:rFonts w:eastAsia="Times New Roman"/>
        </w:rPr>
        <w:t>r</w:t>
      </w:r>
      <w:r w:rsidRPr="00286630">
        <w:rPr>
          <w:rFonts w:eastAsia="Times New Roman"/>
        </w:rPr>
        <w:t xml:space="preserve">egistration for </w:t>
      </w:r>
      <w:r>
        <w:rPr>
          <w:rFonts w:eastAsia="Times New Roman"/>
        </w:rPr>
        <w:t>z</w:t>
      </w:r>
      <w:r w:rsidRPr="00286630">
        <w:rPr>
          <w:rFonts w:eastAsia="Times New Roman"/>
        </w:rPr>
        <w:t xml:space="preserve">ero </w:t>
      </w:r>
      <w:r>
        <w:rPr>
          <w:rFonts w:eastAsia="Times New Roman"/>
        </w:rPr>
        <w:t>e</w:t>
      </w:r>
      <w:r w:rsidRPr="00286630">
        <w:rPr>
          <w:rFonts w:eastAsia="Times New Roman"/>
        </w:rPr>
        <w:t xml:space="preserve">missions </w:t>
      </w:r>
      <w:r>
        <w:rPr>
          <w:rFonts w:eastAsia="Times New Roman"/>
        </w:rPr>
        <w:t>v</w:t>
      </w:r>
      <w:r w:rsidRPr="00286630">
        <w:rPr>
          <w:rFonts w:eastAsia="Times New Roman"/>
        </w:rPr>
        <w:t>ehic</w:t>
      </w:r>
      <w:r w:rsidRPr="00286630">
        <w:rPr>
          <w:rFonts w:eastAsia="Times New Roman" w:cs="Times New Roman"/>
          <w:bCs/>
          <w:szCs w:val="26"/>
        </w:rPr>
        <w:t xml:space="preserve">les </w:t>
      </w:r>
      <w:r>
        <w:rPr>
          <w:rFonts w:eastAsia="Times New Roman"/>
          <w:noProof/>
        </w:rPr>
        <w:drawing>
          <wp:anchor distT="0" distB="0" distL="114300" distR="114300" simplePos="0" relativeHeight="251839488" behindDoc="0" locked="1" layoutInCell="1" allowOverlap="1" wp14:anchorId="1852D5F8" wp14:editId="3CE74790">
            <wp:simplePos x="0" y="0"/>
            <wp:positionH relativeFrom="margin">
              <wp:align>right</wp:align>
            </wp:positionH>
            <wp:positionV relativeFrom="paragraph">
              <wp:posOffset>8255</wp:posOffset>
            </wp:positionV>
            <wp:extent cx="1393190" cy="503555"/>
            <wp:effectExtent l="0" t="0" r="0" b="0"/>
            <wp:wrapSquare wrapText="bothSides"/>
            <wp:docPr id="148" name="Picture 148" descr="Icon representing the wellbeing domain of Environment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nvironment and clima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319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411B86A6" w14:textId="77777777" w:rsidTr="00A60D4B">
        <w:trPr>
          <w:cantSplit/>
          <w:jc w:val="center"/>
        </w:trPr>
        <w:tc>
          <w:tcPr>
            <w:tcW w:w="3652" w:type="dxa"/>
            <w:tcBorders>
              <w:top w:val="single" w:sz="4" w:space="0" w:color="auto"/>
              <w:bottom w:val="single" w:sz="4" w:space="0" w:color="auto"/>
            </w:tcBorders>
          </w:tcPr>
          <w:p w14:paraId="6F85A6C7"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755C0525" w14:textId="77777777" w:rsidR="00CF0E2D" w:rsidRPr="00F2314E" w:rsidRDefault="00CF0E2D" w:rsidP="00A60D4B">
            <w:pPr>
              <w:pStyle w:val="InitFigR"/>
              <w:rPr>
                <w:b/>
                <w:bCs/>
              </w:rPr>
            </w:pPr>
            <w:r w:rsidRPr="00F2314E">
              <w:rPr>
                <w:b/>
                <w:bCs/>
              </w:rPr>
              <w:t>2021-22</w:t>
            </w:r>
          </w:p>
          <w:p w14:paraId="663E4929" w14:textId="77777777" w:rsidR="00CF0E2D" w:rsidRPr="00F2314E" w:rsidRDefault="00CF0E2D" w:rsidP="00A60D4B">
            <w:pPr>
              <w:pStyle w:val="InitFigR"/>
              <w:rPr>
                <w:b/>
                <w:bCs/>
              </w:rPr>
            </w:pPr>
            <w:r w:rsidRPr="00F2314E">
              <w:rPr>
                <w:b/>
                <w:bCs/>
              </w:rPr>
              <w:t>$’000</w:t>
            </w:r>
          </w:p>
        </w:tc>
        <w:tc>
          <w:tcPr>
            <w:tcW w:w="1041" w:type="dxa"/>
            <w:tcBorders>
              <w:top w:val="single" w:sz="4" w:space="0" w:color="auto"/>
              <w:bottom w:val="single" w:sz="4" w:space="0" w:color="auto"/>
            </w:tcBorders>
          </w:tcPr>
          <w:p w14:paraId="7E89994F" w14:textId="77777777" w:rsidR="00CF0E2D" w:rsidRPr="00F2314E" w:rsidRDefault="00CF0E2D" w:rsidP="00A60D4B">
            <w:pPr>
              <w:pStyle w:val="InitFigR"/>
              <w:rPr>
                <w:b/>
                <w:bCs/>
              </w:rPr>
            </w:pPr>
            <w:r w:rsidRPr="00F2314E">
              <w:rPr>
                <w:b/>
                <w:bCs/>
              </w:rPr>
              <w:t>2022-23</w:t>
            </w:r>
          </w:p>
          <w:p w14:paraId="7FCB6FB8"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3A89E825" w14:textId="77777777" w:rsidR="00CF0E2D" w:rsidRPr="00F2314E" w:rsidRDefault="00CF0E2D" w:rsidP="00A60D4B">
            <w:pPr>
              <w:pStyle w:val="InitFigR"/>
              <w:rPr>
                <w:b/>
                <w:bCs/>
              </w:rPr>
            </w:pPr>
            <w:r w:rsidRPr="00F2314E">
              <w:rPr>
                <w:b/>
                <w:bCs/>
              </w:rPr>
              <w:t>2023-24</w:t>
            </w:r>
          </w:p>
          <w:p w14:paraId="579BA87C"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099B7D1C" w14:textId="77777777" w:rsidR="00CF0E2D" w:rsidRPr="00F2314E" w:rsidRDefault="00CF0E2D" w:rsidP="00A60D4B">
            <w:pPr>
              <w:pStyle w:val="InitFigR"/>
              <w:rPr>
                <w:b/>
                <w:bCs/>
              </w:rPr>
            </w:pPr>
            <w:r w:rsidRPr="00F2314E">
              <w:rPr>
                <w:b/>
                <w:bCs/>
              </w:rPr>
              <w:t>2024-25</w:t>
            </w:r>
          </w:p>
          <w:p w14:paraId="2D1B4967"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0ADBD108" w14:textId="77777777" w:rsidR="00CF0E2D" w:rsidRPr="004E341E" w:rsidRDefault="00CF0E2D" w:rsidP="00A60D4B">
            <w:pPr>
              <w:pStyle w:val="InitFigRBold"/>
            </w:pPr>
            <w:r w:rsidRPr="004E341E">
              <w:t>Total</w:t>
            </w:r>
          </w:p>
          <w:p w14:paraId="2DEEE6DD" w14:textId="77777777" w:rsidR="00CF0E2D" w:rsidRPr="004E341E" w:rsidRDefault="00CF0E2D" w:rsidP="00A60D4B">
            <w:pPr>
              <w:pStyle w:val="InitFigBR"/>
            </w:pPr>
            <w:r w:rsidRPr="004E341E">
              <w:t>$’000</w:t>
            </w:r>
          </w:p>
        </w:tc>
      </w:tr>
      <w:tr w:rsidR="00CF0E2D" w:rsidRPr="00750793" w14:paraId="705018B1" w14:textId="77777777" w:rsidTr="00A60D4B">
        <w:trPr>
          <w:cantSplit/>
          <w:trHeight w:val="107"/>
          <w:jc w:val="center"/>
        </w:trPr>
        <w:tc>
          <w:tcPr>
            <w:tcW w:w="3652" w:type="dxa"/>
            <w:tcBorders>
              <w:bottom w:val="single" w:sz="4" w:space="0" w:color="auto"/>
            </w:tcBorders>
          </w:tcPr>
          <w:p w14:paraId="58096A64" w14:textId="77777777" w:rsidR="00CF0E2D" w:rsidRDefault="00CF0E2D" w:rsidP="00A60D4B">
            <w:pPr>
              <w:pStyle w:val="InitTextL"/>
              <w:ind w:left="321" w:hanging="321"/>
            </w:pPr>
            <w:r>
              <w:t>Revenue forgone</w:t>
            </w:r>
          </w:p>
        </w:tc>
        <w:tc>
          <w:tcPr>
            <w:tcW w:w="1179" w:type="dxa"/>
            <w:tcBorders>
              <w:top w:val="single" w:sz="4" w:space="0" w:color="auto"/>
              <w:bottom w:val="single" w:sz="4" w:space="0" w:color="auto"/>
            </w:tcBorders>
          </w:tcPr>
          <w:p w14:paraId="7C43613B" w14:textId="77777777" w:rsidR="00CF0E2D" w:rsidRPr="00424DA4" w:rsidRDefault="00CF0E2D" w:rsidP="00A60D4B">
            <w:pPr>
              <w:pStyle w:val="InitFigR"/>
            </w:pPr>
            <w:r>
              <w:t>675</w:t>
            </w:r>
          </w:p>
        </w:tc>
        <w:tc>
          <w:tcPr>
            <w:tcW w:w="1041" w:type="dxa"/>
            <w:tcBorders>
              <w:top w:val="single" w:sz="4" w:space="0" w:color="auto"/>
              <w:bottom w:val="single" w:sz="4" w:space="0" w:color="auto"/>
            </w:tcBorders>
          </w:tcPr>
          <w:p w14:paraId="3FF60BA5" w14:textId="77777777" w:rsidR="00CF0E2D" w:rsidRPr="00424DA4" w:rsidRDefault="00CF0E2D" w:rsidP="00A60D4B">
            <w:pPr>
              <w:pStyle w:val="InitFigR"/>
            </w:pPr>
            <w:r>
              <w:t>1,443</w:t>
            </w:r>
          </w:p>
        </w:tc>
        <w:tc>
          <w:tcPr>
            <w:tcW w:w="1029" w:type="dxa"/>
            <w:tcBorders>
              <w:top w:val="single" w:sz="4" w:space="0" w:color="auto"/>
              <w:bottom w:val="single" w:sz="4" w:space="0" w:color="auto"/>
            </w:tcBorders>
          </w:tcPr>
          <w:p w14:paraId="5D29927B" w14:textId="77777777" w:rsidR="00CF0E2D" w:rsidRPr="00424DA4" w:rsidRDefault="00CF0E2D" w:rsidP="00A60D4B">
            <w:pPr>
              <w:pStyle w:val="InitFigR"/>
            </w:pPr>
            <w:r>
              <w:t>3,746</w:t>
            </w:r>
          </w:p>
        </w:tc>
        <w:tc>
          <w:tcPr>
            <w:tcW w:w="1029" w:type="dxa"/>
            <w:tcBorders>
              <w:top w:val="single" w:sz="4" w:space="0" w:color="auto"/>
              <w:bottom w:val="single" w:sz="4" w:space="0" w:color="auto"/>
            </w:tcBorders>
          </w:tcPr>
          <w:p w14:paraId="1EE554D9" w14:textId="77777777" w:rsidR="00CF0E2D" w:rsidRPr="00424DA4" w:rsidRDefault="00CF0E2D" w:rsidP="00A60D4B">
            <w:pPr>
              <w:pStyle w:val="InitFigR"/>
            </w:pPr>
            <w:r>
              <w:t>2,696</w:t>
            </w:r>
          </w:p>
        </w:tc>
        <w:tc>
          <w:tcPr>
            <w:tcW w:w="1029" w:type="dxa"/>
            <w:tcBorders>
              <w:top w:val="single" w:sz="4" w:space="0" w:color="auto"/>
              <w:bottom w:val="single" w:sz="4" w:space="0" w:color="auto"/>
            </w:tcBorders>
          </w:tcPr>
          <w:p w14:paraId="5EF4CC57" w14:textId="77777777" w:rsidR="00CF0E2D" w:rsidRPr="00424DA4" w:rsidRDefault="00CF0E2D" w:rsidP="00A60D4B">
            <w:pPr>
              <w:pStyle w:val="InitFigBR"/>
            </w:pPr>
            <w:r>
              <w:t>8,560</w:t>
            </w:r>
          </w:p>
        </w:tc>
      </w:tr>
    </w:tbl>
    <w:p w14:paraId="4BD03E81" w14:textId="77777777" w:rsidR="00CF0E2D" w:rsidRPr="00E246C3" w:rsidRDefault="00CF0E2D" w:rsidP="00A60D4B">
      <w:pPr>
        <w:pStyle w:val="Bbodytext"/>
      </w:pPr>
      <w:r w:rsidRPr="00E246C3">
        <w:t xml:space="preserve">The Government will provide free vehicle registration for two years for second-hand zero emissions vehicles (ZEVs) newly registered in the ACT from 24 May 2021 to 30 June 2024. </w:t>
      </w:r>
    </w:p>
    <w:p w14:paraId="0EFAAC9D" w14:textId="77777777" w:rsidR="00CF0E2D" w:rsidRPr="00E246C3" w:rsidRDefault="00CF0E2D" w:rsidP="00A60D4B">
      <w:pPr>
        <w:pStyle w:val="Bbodytext"/>
      </w:pPr>
      <w:r w:rsidRPr="00E246C3">
        <w:t>This initiative builds on the $5.</w:t>
      </w:r>
      <w:r>
        <w:t>2</w:t>
      </w:r>
      <w:r w:rsidRPr="00E246C3">
        <w:t> million provided over four years in the 2020-21 Budget to provide free registration for two years for new ZEVs in the ACT.</w:t>
      </w:r>
    </w:p>
    <w:p w14:paraId="41BCBD08" w14:textId="77777777" w:rsidR="00CF0E2D" w:rsidRDefault="00CF0E2D" w:rsidP="00A60D4B">
      <w:pPr>
        <w:pStyle w:val="Bbodytext"/>
      </w:pPr>
      <w:r w:rsidRPr="00E246C3">
        <w:t xml:space="preserve">This initiative contributes to the wellbeing domain of Environment and climate. </w:t>
      </w:r>
    </w:p>
    <w:p w14:paraId="00ACA604" w14:textId="77777777" w:rsidR="00CF0E2D" w:rsidRPr="0075111D" w:rsidRDefault="00CF0E2D" w:rsidP="00A60D4B">
      <w:pPr>
        <w:pStyle w:val="Bbodytext"/>
      </w:pPr>
    </w:p>
    <w:p w14:paraId="7A698D37" w14:textId="77777777" w:rsidR="00CF0E2D" w:rsidRPr="00D3267D" w:rsidRDefault="00CF0E2D" w:rsidP="00A60D4B">
      <w:pPr>
        <w:pStyle w:val="Heading4"/>
        <w:rPr>
          <w:rFonts w:eastAsia="Times New Roman" w:cs="Times New Roman"/>
          <w:bCs/>
          <w:szCs w:val="26"/>
        </w:rPr>
      </w:pPr>
      <w:r w:rsidRPr="00D3267D">
        <w:rPr>
          <w:rFonts w:eastAsia="Times New Roman"/>
        </w:rPr>
        <w:t xml:space="preserve">Climate </w:t>
      </w:r>
      <w:r>
        <w:rPr>
          <w:rFonts w:eastAsia="Times New Roman" w:cs="Times New Roman"/>
          <w:bCs/>
          <w:szCs w:val="26"/>
        </w:rPr>
        <w:t>a</w:t>
      </w:r>
      <w:r w:rsidRPr="00D3267D">
        <w:rPr>
          <w:rFonts w:eastAsia="Times New Roman" w:cs="Times New Roman"/>
          <w:bCs/>
          <w:szCs w:val="26"/>
        </w:rPr>
        <w:t xml:space="preserve">ction </w:t>
      </w:r>
      <w:r>
        <w:rPr>
          <w:rFonts w:eastAsia="Times New Roman" w:cs="Times New Roman"/>
          <w:bCs/>
          <w:szCs w:val="26"/>
        </w:rPr>
        <w:t>–</w:t>
      </w:r>
      <w:r w:rsidRPr="00D3267D">
        <w:rPr>
          <w:rFonts w:eastAsia="Times New Roman" w:cs="Times New Roman"/>
          <w:bCs/>
          <w:szCs w:val="26"/>
        </w:rPr>
        <w:t xml:space="preserve"> Social </w:t>
      </w:r>
      <w:r>
        <w:rPr>
          <w:rFonts w:eastAsia="Times New Roman" w:cs="Times New Roman"/>
          <w:bCs/>
          <w:szCs w:val="26"/>
        </w:rPr>
        <w:t>c</w:t>
      </w:r>
      <w:r w:rsidRPr="00D3267D">
        <w:rPr>
          <w:rFonts w:eastAsia="Times New Roman" w:cs="Times New Roman"/>
          <w:bCs/>
          <w:szCs w:val="26"/>
        </w:rPr>
        <w:t xml:space="preserve">ost of </w:t>
      </w:r>
      <w:r>
        <w:rPr>
          <w:rFonts w:eastAsia="Times New Roman" w:cs="Times New Roman"/>
          <w:bCs/>
          <w:szCs w:val="26"/>
        </w:rPr>
        <w:t>c</w:t>
      </w:r>
      <w:r w:rsidRPr="00D3267D">
        <w:rPr>
          <w:rFonts w:eastAsia="Times New Roman" w:cs="Times New Roman"/>
          <w:bCs/>
          <w:szCs w:val="26"/>
        </w:rPr>
        <w:t xml:space="preserve">arbon </w:t>
      </w:r>
      <w:r>
        <w:rPr>
          <w:rFonts w:eastAsia="Times New Roman"/>
          <w:noProof/>
        </w:rPr>
        <w:drawing>
          <wp:anchor distT="0" distB="0" distL="114300" distR="114300" simplePos="0" relativeHeight="251942912" behindDoc="0" locked="1" layoutInCell="1" allowOverlap="1" wp14:anchorId="0FB12932" wp14:editId="1A861A64">
            <wp:simplePos x="0" y="0"/>
            <wp:positionH relativeFrom="margin">
              <wp:align>right</wp:align>
            </wp:positionH>
            <wp:positionV relativeFrom="paragraph">
              <wp:posOffset>-132715</wp:posOffset>
            </wp:positionV>
            <wp:extent cx="1393190" cy="503555"/>
            <wp:effectExtent l="0" t="0" r="0" b="0"/>
            <wp:wrapSquare wrapText="bothSides"/>
            <wp:docPr id="149" name="Picture 149" descr="Icon representing the wellbeing domain of Environment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nvironment and clima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319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609CE" w14:paraId="4111CC7D" w14:textId="77777777" w:rsidTr="00A60D4B">
        <w:trPr>
          <w:cantSplit/>
          <w:jc w:val="center"/>
        </w:trPr>
        <w:tc>
          <w:tcPr>
            <w:tcW w:w="3652" w:type="dxa"/>
            <w:tcBorders>
              <w:top w:val="single" w:sz="4" w:space="0" w:color="auto"/>
              <w:bottom w:val="single" w:sz="4" w:space="0" w:color="auto"/>
            </w:tcBorders>
          </w:tcPr>
          <w:p w14:paraId="3E5B65CD" w14:textId="77777777" w:rsidR="00CF0E2D" w:rsidRPr="009609CE" w:rsidRDefault="00CF0E2D" w:rsidP="00A60D4B">
            <w:pPr>
              <w:pStyle w:val="EmptyCell0"/>
              <w:keepNext/>
              <w:keepLines/>
            </w:pPr>
            <w:r w:rsidRPr="009609CE">
              <w:t>Empty Cell</w:t>
            </w:r>
          </w:p>
        </w:tc>
        <w:tc>
          <w:tcPr>
            <w:tcW w:w="1179" w:type="dxa"/>
            <w:tcBorders>
              <w:top w:val="single" w:sz="4" w:space="0" w:color="auto"/>
              <w:bottom w:val="single" w:sz="4" w:space="0" w:color="auto"/>
            </w:tcBorders>
          </w:tcPr>
          <w:p w14:paraId="535D415D" w14:textId="77777777" w:rsidR="00CF0E2D" w:rsidRPr="00BD2093" w:rsidRDefault="00CF0E2D" w:rsidP="00A60D4B">
            <w:pPr>
              <w:pStyle w:val="InitFigR"/>
              <w:keepNext/>
              <w:keepLines/>
              <w:rPr>
                <w:b/>
                <w:bCs/>
              </w:rPr>
            </w:pPr>
            <w:r w:rsidRPr="00BD2093">
              <w:rPr>
                <w:b/>
                <w:bCs/>
              </w:rPr>
              <w:t>2021-22</w:t>
            </w:r>
          </w:p>
          <w:p w14:paraId="3BA16919" w14:textId="77777777" w:rsidR="00CF0E2D" w:rsidRPr="00BD2093" w:rsidRDefault="00CF0E2D" w:rsidP="00A60D4B">
            <w:pPr>
              <w:pStyle w:val="InitFigR"/>
              <w:keepNext/>
              <w:keepLines/>
              <w:rPr>
                <w:b/>
                <w:bCs/>
              </w:rPr>
            </w:pPr>
            <w:r w:rsidRPr="00BD2093">
              <w:rPr>
                <w:b/>
                <w:bCs/>
              </w:rPr>
              <w:t>$’000</w:t>
            </w:r>
          </w:p>
        </w:tc>
        <w:tc>
          <w:tcPr>
            <w:tcW w:w="1041" w:type="dxa"/>
            <w:tcBorders>
              <w:top w:val="single" w:sz="4" w:space="0" w:color="auto"/>
              <w:bottom w:val="single" w:sz="4" w:space="0" w:color="auto"/>
            </w:tcBorders>
          </w:tcPr>
          <w:p w14:paraId="3A49B588" w14:textId="77777777" w:rsidR="00CF0E2D" w:rsidRPr="00BD2093" w:rsidRDefault="00CF0E2D" w:rsidP="00A60D4B">
            <w:pPr>
              <w:pStyle w:val="InitFigR"/>
              <w:keepNext/>
              <w:keepLines/>
              <w:rPr>
                <w:b/>
                <w:bCs/>
              </w:rPr>
            </w:pPr>
            <w:r w:rsidRPr="00BD2093">
              <w:rPr>
                <w:b/>
                <w:bCs/>
              </w:rPr>
              <w:t>2022-23</w:t>
            </w:r>
          </w:p>
          <w:p w14:paraId="38C5E6E4" w14:textId="77777777" w:rsidR="00CF0E2D" w:rsidRPr="00BD2093" w:rsidRDefault="00CF0E2D" w:rsidP="00A60D4B">
            <w:pPr>
              <w:pStyle w:val="InitFigR"/>
              <w:keepNext/>
              <w:keepLines/>
              <w:rPr>
                <w:b/>
                <w:bCs/>
              </w:rPr>
            </w:pPr>
            <w:r w:rsidRPr="00BD2093">
              <w:rPr>
                <w:b/>
                <w:bCs/>
              </w:rPr>
              <w:t>$’000</w:t>
            </w:r>
          </w:p>
        </w:tc>
        <w:tc>
          <w:tcPr>
            <w:tcW w:w="1029" w:type="dxa"/>
            <w:tcBorders>
              <w:top w:val="single" w:sz="4" w:space="0" w:color="auto"/>
              <w:bottom w:val="single" w:sz="4" w:space="0" w:color="auto"/>
            </w:tcBorders>
          </w:tcPr>
          <w:p w14:paraId="1B37936B" w14:textId="77777777" w:rsidR="00CF0E2D" w:rsidRPr="00BD2093" w:rsidRDefault="00CF0E2D" w:rsidP="00A60D4B">
            <w:pPr>
              <w:pStyle w:val="InitFigR"/>
              <w:keepNext/>
              <w:keepLines/>
              <w:rPr>
                <w:b/>
                <w:bCs/>
              </w:rPr>
            </w:pPr>
            <w:r w:rsidRPr="00BD2093">
              <w:rPr>
                <w:b/>
                <w:bCs/>
              </w:rPr>
              <w:t>2023-24</w:t>
            </w:r>
          </w:p>
          <w:p w14:paraId="3E1F3A80" w14:textId="77777777" w:rsidR="00CF0E2D" w:rsidRPr="00BD2093" w:rsidRDefault="00CF0E2D" w:rsidP="00A60D4B">
            <w:pPr>
              <w:pStyle w:val="InitFigR"/>
              <w:keepNext/>
              <w:keepLines/>
              <w:rPr>
                <w:b/>
                <w:bCs/>
              </w:rPr>
            </w:pPr>
            <w:r w:rsidRPr="00BD2093">
              <w:rPr>
                <w:b/>
                <w:bCs/>
              </w:rPr>
              <w:t>$’000</w:t>
            </w:r>
          </w:p>
        </w:tc>
        <w:tc>
          <w:tcPr>
            <w:tcW w:w="1029" w:type="dxa"/>
            <w:tcBorders>
              <w:top w:val="single" w:sz="4" w:space="0" w:color="auto"/>
              <w:bottom w:val="single" w:sz="4" w:space="0" w:color="auto"/>
            </w:tcBorders>
          </w:tcPr>
          <w:p w14:paraId="4F14170B" w14:textId="77777777" w:rsidR="00CF0E2D" w:rsidRPr="00BD2093" w:rsidRDefault="00CF0E2D" w:rsidP="00A60D4B">
            <w:pPr>
              <w:pStyle w:val="InitFigR"/>
              <w:keepNext/>
              <w:keepLines/>
              <w:rPr>
                <w:b/>
                <w:bCs/>
              </w:rPr>
            </w:pPr>
            <w:r w:rsidRPr="00BD2093">
              <w:rPr>
                <w:b/>
                <w:bCs/>
              </w:rPr>
              <w:t>2024-25</w:t>
            </w:r>
          </w:p>
          <w:p w14:paraId="50C4D2F8" w14:textId="77777777" w:rsidR="00CF0E2D" w:rsidRPr="00BD2093" w:rsidRDefault="00CF0E2D" w:rsidP="00A60D4B">
            <w:pPr>
              <w:pStyle w:val="InitFigR"/>
              <w:keepNext/>
              <w:keepLines/>
              <w:rPr>
                <w:b/>
                <w:bCs/>
              </w:rPr>
            </w:pPr>
            <w:r w:rsidRPr="00BD2093">
              <w:rPr>
                <w:b/>
                <w:bCs/>
              </w:rPr>
              <w:t>$’000</w:t>
            </w:r>
          </w:p>
        </w:tc>
        <w:tc>
          <w:tcPr>
            <w:tcW w:w="1029" w:type="dxa"/>
            <w:tcBorders>
              <w:top w:val="single" w:sz="4" w:space="0" w:color="auto"/>
              <w:bottom w:val="single" w:sz="4" w:space="0" w:color="auto"/>
            </w:tcBorders>
          </w:tcPr>
          <w:p w14:paraId="29DE42FF" w14:textId="77777777" w:rsidR="00CF0E2D" w:rsidRPr="009609CE" w:rsidRDefault="00CF0E2D" w:rsidP="00A60D4B">
            <w:pPr>
              <w:pStyle w:val="InitFigRBold"/>
              <w:keepNext/>
              <w:keepLines/>
            </w:pPr>
            <w:r w:rsidRPr="009609CE">
              <w:t>Total</w:t>
            </w:r>
          </w:p>
          <w:p w14:paraId="4EBCEE61" w14:textId="77777777" w:rsidR="00CF0E2D" w:rsidRPr="009609CE" w:rsidRDefault="00CF0E2D" w:rsidP="00A60D4B">
            <w:pPr>
              <w:pStyle w:val="InitFigBR"/>
              <w:keepNext/>
              <w:keepLines/>
            </w:pPr>
            <w:r w:rsidRPr="009609CE">
              <w:t>$’000</w:t>
            </w:r>
          </w:p>
        </w:tc>
      </w:tr>
      <w:tr w:rsidR="00CF0E2D" w:rsidRPr="009609CE" w14:paraId="2E1AACF7" w14:textId="77777777" w:rsidTr="00A60D4B">
        <w:trPr>
          <w:cantSplit/>
          <w:jc w:val="center"/>
        </w:trPr>
        <w:tc>
          <w:tcPr>
            <w:tcW w:w="3652" w:type="dxa"/>
            <w:tcBorders>
              <w:top w:val="single" w:sz="4" w:space="0" w:color="auto"/>
            </w:tcBorders>
          </w:tcPr>
          <w:p w14:paraId="62DEBBAA" w14:textId="77777777" w:rsidR="00CF0E2D" w:rsidRPr="009609CE" w:rsidRDefault="00CF0E2D" w:rsidP="00A60D4B">
            <w:pPr>
              <w:pStyle w:val="InitTextL"/>
              <w:keepNext/>
              <w:keepLines/>
              <w:ind w:left="321" w:hanging="321"/>
            </w:pPr>
            <w:r w:rsidRPr="009609CE">
              <w:t>Capital</w:t>
            </w:r>
          </w:p>
        </w:tc>
        <w:tc>
          <w:tcPr>
            <w:tcW w:w="1179" w:type="dxa"/>
            <w:tcBorders>
              <w:top w:val="single" w:sz="4" w:space="0" w:color="auto"/>
            </w:tcBorders>
          </w:tcPr>
          <w:p w14:paraId="15D243F3" w14:textId="77777777" w:rsidR="00CF0E2D" w:rsidRPr="009609CE" w:rsidRDefault="00CF0E2D" w:rsidP="00A60D4B">
            <w:pPr>
              <w:pStyle w:val="InitFigR"/>
              <w:keepNext/>
              <w:keepLines/>
            </w:pPr>
            <w:r w:rsidRPr="009609CE">
              <w:t>1,340</w:t>
            </w:r>
          </w:p>
        </w:tc>
        <w:tc>
          <w:tcPr>
            <w:tcW w:w="1041" w:type="dxa"/>
            <w:tcBorders>
              <w:top w:val="single" w:sz="4" w:space="0" w:color="auto"/>
            </w:tcBorders>
          </w:tcPr>
          <w:p w14:paraId="3E8576ED" w14:textId="77777777" w:rsidR="00CF0E2D" w:rsidRPr="009609CE" w:rsidRDefault="00CF0E2D" w:rsidP="00A60D4B">
            <w:pPr>
              <w:pStyle w:val="InitFigR"/>
              <w:keepNext/>
              <w:keepLines/>
            </w:pPr>
            <w:r>
              <w:t>1,230</w:t>
            </w:r>
          </w:p>
        </w:tc>
        <w:tc>
          <w:tcPr>
            <w:tcW w:w="1029" w:type="dxa"/>
            <w:tcBorders>
              <w:top w:val="single" w:sz="4" w:space="0" w:color="auto"/>
            </w:tcBorders>
          </w:tcPr>
          <w:p w14:paraId="21303E09" w14:textId="77777777" w:rsidR="00CF0E2D" w:rsidRPr="009609CE" w:rsidRDefault="00CF0E2D" w:rsidP="00A60D4B">
            <w:pPr>
              <w:pStyle w:val="InitFigR"/>
              <w:keepNext/>
              <w:keepLines/>
            </w:pPr>
            <w:r>
              <w:t>1,120</w:t>
            </w:r>
          </w:p>
        </w:tc>
        <w:tc>
          <w:tcPr>
            <w:tcW w:w="1029" w:type="dxa"/>
            <w:tcBorders>
              <w:top w:val="single" w:sz="4" w:space="0" w:color="auto"/>
            </w:tcBorders>
          </w:tcPr>
          <w:p w14:paraId="52C8B43D" w14:textId="77777777" w:rsidR="00CF0E2D" w:rsidRPr="009609CE" w:rsidRDefault="00CF0E2D" w:rsidP="00A60D4B">
            <w:pPr>
              <w:pStyle w:val="InitFigR"/>
              <w:keepNext/>
              <w:keepLines/>
            </w:pPr>
            <w:r>
              <w:t>1,010</w:t>
            </w:r>
          </w:p>
        </w:tc>
        <w:tc>
          <w:tcPr>
            <w:tcW w:w="1029" w:type="dxa"/>
            <w:tcBorders>
              <w:top w:val="single" w:sz="4" w:space="0" w:color="auto"/>
            </w:tcBorders>
          </w:tcPr>
          <w:p w14:paraId="78B7613F" w14:textId="77777777" w:rsidR="00CF0E2D" w:rsidRPr="00BD2093" w:rsidRDefault="00CF0E2D" w:rsidP="00A60D4B">
            <w:pPr>
              <w:pStyle w:val="InitFigRBold"/>
              <w:keepNext/>
              <w:keepLines/>
              <w:rPr>
                <w:bCs/>
              </w:rPr>
            </w:pPr>
            <w:r w:rsidRPr="00BD2093">
              <w:rPr>
                <w:bCs/>
              </w:rPr>
              <w:t xml:space="preserve"> 4,700</w:t>
            </w:r>
          </w:p>
        </w:tc>
      </w:tr>
      <w:tr w:rsidR="00CF0E2D" w:rsidRPr="009609CE" w14:paraId="326E6C72" w14:textId="77777777" w:rsidTr="00A60D4B">
        <w:trPr>
          <w:cantSplit/>
          <w:jc w:val="center"/>
        </w:trPr>
        <w:tc>
          <w:tcPr>
            <w:tcW w:w="3652" w:type="dxa"/>
          </w:tcPr>
          <w:p w14:paraId="506A5BF7" w14:textId="77777777" w:rsidR="00CF0E2D" w:rsidRPr="009609CE" w:rsidRDefault="00CF0E2D" w:rsidP="00A60D4B">
            <w:pPr>
              <w:pStyle w:val="InitTextL"/>
              <w:keepNext/>
              <w:keepLines/>
              <w:ind w:left="321" w:hanging="321"/>
            </w:pPr>
            <w:r w:rsidRPr="009609CE">
              <w:t>Offset – Capital</w:t>
            </w:r>
          </w:p>
        </w:tc>
        <w:tc>
          <w:tcPr>
            <w:tcW w:w="1179" w:type="dxa"/>
          </w:tcPr>
          <w:p w14:paraId="1B570393" w14:textId="77777777" w:rsidR="00CF0E2D" w:rsidRPr="009609CE" w:rsidRDefault="00CF0E2D" w:rsidP="00A60D4B">
            <w:pPr>
              <w:pStyle w:val="InitFigR"/>
              <w:keepNext/>
              <w:keepLines/>
            </w:pPr>
            <w:r w:rsidRPr="009609CE">
              <w:t>-1,340</w:t>
            </w:r>
          </w:p>
        </w:tc>
        <w:tc>
          <w:tcPr>
            <w:tcW w:w="1041" w:type="dxa"/>
          </w:tcPr>
          <w:p w14:paraId="7430E701" w14:textId="77777777" w:rsidR="00CF0E2D" w:rsidRPr="009609CE" w:rsidRDefault="00CF0E2D" w:rsidP="00A60D4B">
            <w:pPr>
              <w:pStyle w:val="InitFigR"/>
              <w:keepNext/>
              <w:keepLines/>
            </w:pPr>
            <w:r>
              <w:t>-1,230</w:t>
            </w:r>
          </w:p>
        </w:tc>
        <w:tc>
          <w:tcPr>
            <w:tcW w:w="1029" w:type="dxa"/>
          </w:tcPr>
          <w:p w14:paraId="131B11F1" w14:textId="77777777" w:rsidR="00CF0E2D" w:rsidRPr="009609CE" w:rsidRDefault="00CF0E2D" w:rsidP="00A60D4B">
            <w:pPr>
              <w:pStyle w:val="InitFigR"/>
              <w:keepNext/>
              <w:keepLines/>
            </w:pPr>
            <w:r>
              <w:t>-1,120</w:t>
            </w:r>
          </w:p>
        </w:tc>
        <w:tc>
          <w:tcPr>
            <w:tcW w:w="1029" w:type="dxa"/>
          </w:tcPr>
          <w:p w14:paraId="108C18B4" w14:textId="77777777" w:rsidR="00CF0E2D" w:rsidRPr="009609CE" w:rsidRDefault="00CF0E2D" w:rsidP="00A60D4B">
            <w:pPr>
              <w:pStyle w:val="InitFigR"/>
              <w:keepNext/>
              <w:keepLines/>
            </w:pPr>
            <w:r>
              <w:t>-1,010</w:t>
            </w:r>
          </w:p>
        </w:tc>
        <w:tc>
          <w:tcPr>
            <w:tcW w:w="1029" w:type="dxa"/>
          </w:tcPr>
          <w:p w14:paraId="699C762C" w14:textId="77777777" w:rsidR="00CF0E2D" w:rsidRPr="00BD2093" w:rsidRDefault="00CF0E2D" w:rsidP="00A60D4B">
            <w:pPr>
              <w:pStyle w:val="InitFigRBold"/>
              <w:keepNext/>
              <w:keepLines/>
              <w:rPr>
                <w:bCs/>
              </w:rPr>
            </w:pPr>
            <w:r w:rsidRPr="00BD2093">
              <w:rPr>
                <w:bCs/>
              </w:rPr>
              <w:t>-4,700</w:t>
            </w:r>
          </w:p>
        </w:tc>
      </w:tr>
      <w:tr w:rsidR="00CF0E2D" w:rsidRPr="009609CE" w14:paraId="3D82DF6A" w14:textId="77777777" w:rsidTr="00A60D4B">
        <w:trPr>
          <w:cantSplit/>
          <w:jc w:val="center"/>
        </w:trPr>
        <w:tc>
          <w:tcPr>
            <w:tcW w:w="3652" w:type="dxa"/>
            <w:tcBorders>
              <w:top w:val="single" w:sz="4" w:space="0" w:color="auto"/>
              <w:bottom w:val="single" w:sz="4" w:space="0" w:color="auto"/>
            </w:tcBorders>
          </w:tcPr>
          <w:p w14:paraId="514331EC" w14:textId="48345BA8" w:rsidR="00CF0E2D" w:rsidRPr="009609CE" w:rsidRDefault="00F57411" w:rsidP="00A60D4B">
            <w:pPr>
              <w:pStyle w:val="InitTextL"/>
              <w:keepNext/>
              <w:keepLines/>
              <w:rPr>
                <w:b/>
                <w:bCs/>
              </w:rPr>
            </w:pPr>
            <w:r>
              <w:rPr>
                <w:b/>
                <w:bCs/>
              </w:rPr>
              <w:t>Net capital</w:t>
            </w:r>
          </w:p>
        </w:tc>
        <w:tc>
          <w:tcPr>
            <w:tcW w:w="1179" w:type="dxa"/>
            <w:tcBorders>
              <w:top w:val="single" w:sz="4" w:space="0" w:color="auto"/>
              <w:bottom w:val="single" w:sz="4" w:space="0" w:color="auto"/>
            </w:tcBorders>
          </w:tcPr>
          <w:p w14:paraId="19DF02C7" w14:textId="77777777" w:rsidR="00CF0E2D" w:rsidRPr="00BD2093" w:rsidRDefault="00CF0E2D" w:rsidP="00A60D4B">
            <w:pPr>
              <w:pStyle w:val="InitFigR"/>
              <w:keepNext/>
              <w:keepLines/>
              <w:rPr>
                <w:b/>
                <w:bCs/>
              </w:rPr>
            </w:pPr>
            <w:r w:rsidRPr="00BD2093">
              <w:rPr>
                <w:b/>
                <w:bCs/>
              </w:rPr>
              <w:t>0</w:t>
            </w:r>
          </w:p>
        </w:tc>
        <w:tc>
          <w:tcPr>
            <w:tcW w:w="1041" w:type="dxa"/>
            <w:tcBorders>
              <w:top w:val="single" w:sz="4" w:space="0" w:color="auto"/>
              <w:bottom w:val="single" w:sz="4" w:space="0" w:color="auto"/>
            </w:tcBorders>
          </w:tcPr>
          <w:p w14:paraId="1B7A502E" w14:textId="77777777" w:rsidR="00CF0E2D" w:rsidRPr="00BD2093" w:rsidRDefault="00CF0E2D" w:rsidP="00A60D4B">
            <w:pPr>
              <w:pStyle w:val="InitFigR"/>
              <w:keepNext/>
              <w:keepLines/>
              <w:rPr>
                <w:b/>
                <w:bCs/>
              </w:rPr>
            </w:pPr>
            <w:r w:rsidRPr="00BD2093">
              <w:rPr>
                <w:b/>
                <w:bCs/>
              </w:rPr>
              <w:t>0</w:t>
            </w:r>
          </w:p>
        </w:tc>
        <w:tc>
          <w:tcPr>
            <w:tcW w:w="1029" w:type="dxa"/>
            <w:tcBorders>
              <w:top w:val="single" w:sz="4" w:space="0" w:color="auto"/>
              <w:bottom w:val="single" w:sz="4" w:space="0" w:color="auto"/>
            </w:tcBorders>
          </w:tcPr>
          <w:p w14:paraId="3E62BDEB" w14:textId="77777777" w:rsidR="00CF0E2D" w:rsidRPr="00BD2093" w:rsidRDefault="00CF0E2D" w:rsidP="00A60D4B">
            <w:pPr>
              <w:pStyle w:val="InitFigR"/>
              <w:keepNext/>
              <w:keepLines/>
              <w:rPr>
                <w:b/>
                <w:bCs/>
              </w:rPr>
            </w:pPr>
            <w:r w:rsidRPr="00BD2093">
              <w:rPr>
                <w:b/>
                <w:bCs/>
              </w:rPr>
              <w:t>0</w:t>
            </w:r>
          </w:p>
        </w:tc>
        <w:tc>
          <w:tcPr>
            <w:tcW w:w="1029" w:type="dxa"/>
            <w:tcBorders>
              <w:top w:val="single" w:sz="4" w:space="0" w:color="auto"/>
              <w:bottom w:val="single" w:sz="4" w:space="0" w:color="auto"/>
            </w:tcBorders>
          </w:tcPr>
          <w:p w14:paraId="6D1CA59A" w14:textId="77777777" w:rsidR="00CF0E2D" w:rsidRPr="00BD2093" w:rsidRDefault="00CF0E2D" w:rsidP="00A60D4B">
            <w:pPr>
              <w:pStyle w:val="InitFigR"/>
              <w:keepNext/>
              <w:keepLines/>
              <w:rPr>
                <w:b/>
                <w:bCs/>
              </w:rPr>
            </w:pPr>
            <w:r w:rsidRPr="00BD2093">
              <w:rPr>
                <w:b/>
                <w:bCs/>
              </w:rPr>
              <w:t>0</w:t>
            </w:r>
          </w:p>
        </w:tc>
        <w:tc>
          <w:tcPr>
            <w:tcW w:w="1029" w:type="dxa"/>
            <w:tcBorders>
              <w:top w:val="single" w:sz="4" w:space="0" w:color="auto"/>
              <w:bottom w:val="single" w:sz="4" w:space="0" w:color="auto"/>
            </w:tcBorders>
          </w:tcPr>
          <w:p w14:paraId="7F09FEDA" w14:textId="77777777" w:rsidR="00CF0E2D" w:rsidRPr="00BD2093" w:rsidRDefault="00CF0E2D" w:rsidP="00A60D4B">
            <w:pPr>
              <w:pStyle w:val="InitFigRBold"/>
              <w:keepNext/>
              <w:keepLines/>
              <w:rPr>
                <w:bCs/>
              </w:rPr>
            </w:pPr>
            <w:r w:rsidRPr="00BD2093">
              <w:rPr>
                <w:bCs/>
              </w:rPr>
              <w:t>0</w:t>
            </w:r>
          </w:p>
        </w:tc>
      </w:tr>
    </w:tbl>
    <w:p w14:paraId="60C1C6D7" w14:textId="77777777" w:rsidR="00CF0E2D" w:rsidRPr="00D3267D" w:rsidRDefault="00CF0E2D" w:rsidP="00A60D4B">
      <w:pPr>
        <w:pStyle w:val="Bbodytext"/>
      </w:pPr>
      <w:r w:rsidRPr="00D3267D">
        <w:t>The Government will implement a Social Cost of Carbon at an interim price of $20 per tonne of emissions to demonstrate how such a model can work to support the reduction of emissions from Government operations. The initiative will make funding available from the Better Infrastructure Fund to ACT Government agencies to undertake emissions reduction projects, such as the replacement of gas heating systems and a transition of the Government fleet to zero emission vehicles</w:t>
      </w:r>
      <w:r>
        <w:t>.</w:t>
      </w:r>
    </w:p>
    <w:p w14:paraId="04F5FE13" w14:textId="77777777" w:rsidR="00CF0E2D" w:rsidRPr="00D3267D" w:rsidRDefault="00CF0E2D" w:rsidP="00A60D4B">
      <w:pPr>
        <w:pStyle w:val="Bbodytext"/>
      </w:pPr>
      <w:r w:rsidRPr="00D3267D">
        <w:t xml:space="preserve">This initiative contributes to the wellbeing domains of Environment and climate and Health.  </w:t>
      </w:r>
    </w:p>
    <w:p w14:paraId="6C20DBD1" w14:textId="77777777" w:rsidR="00CF0E2D" w:rsidRDefault="00CF0E2D" w:rsidP="00A60D4B"/>
    <w:p w14:paraId="439DD49D" w14:textId="77777777" w:rsidR="00CF0E2D" w:rsidRPr="00751045" w:rsidRDefault="00CF0E2D" w:rsidP="00A60D4B">
      <w:pPr>
        <w:pStyle w:val="Heading4"/>
        <w:rPr>
          <w:rFonts w:eastAsia="Times New Roman" w:cs="Times New Roman"/>
          <w:bCs/>
          <w:szCs w:val="26"/>
        </w:rPr>
      </w:pPr>
      <w:r>
        <w:rPr>
          <w:b w:val="0"/>
          <w:noProof/>
          <w:color w:val="999789"/>
          <w:sz w:val="32"/>
          <w:szCs w:val="24"/>
        </w:rPr>
        <w:drawing>
          <wp:anchor distT="0" distB="0" distL="114300" distR="114300" simplePos="0" relativeHeight="251943936" behindDoc="0" locked="1" layoutInCell="1" allowOverlap="1" wp14:anchorId="25AF1CC9" wp14:editId="49F0162C">
            <wp:simplePos x="0" y="0"/>
            <wp:positionH relativeFrom="margin">
              <wp:posOffset>4504055</wp:posOffset>
            </wp:positionH>
            <wp:positionV relativeFrom="paragraph">
              <wp:posOffset>59690</wp:posOffset>
            </wp:positionV>
            <wp:extent cx="1212850" cy="503555"/>
            <wp:effectExtent l="0" t="0" r="6350" b="0"/>
            <wp:wrapSquare wrapText="bothSides"/>
            <wp:docPr id="150" name="Picture 150" descr="Icon representing the wellbeing domain of Living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con representing the wellbeing domain of Living standards"/>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212850" cy="503555"/>
                    </a:xfrm>
                    <a:prstGeom prst="rect">
                      <a:avLst/>
                    </a:prstGeom>
                  </pic:spPr>
                </pic:pic>
              </a:graphicData>
            </a:graphic>
            <wp14:sizeRelH relativeFrom="margin">
              <wp14:pctWidth>0</wp14:pctWidth>
            </wp14:sizeRelH>
            <wp14:sizeRelV relativeFrom="margin">
              <wp14:pctHeight>0</wp14:pctHeight>
            </wp14:sizeRelV>
          </wp:anchor>
        </w:drawing>
      </w:r>
      <w:r w:rsidRPr="00751045">
        <w:rPr>
          <w:rFonts w:eastAsia="Times New Roman"/>
        </w:rPr>
        <w:t xml:space="preserve">Climate </w:t>
      </w:r>
      <w:r>
        <w:rPr>
          <w:rFonts w:eastAsia="Times New Roman" w:cs="Times New Roman"/>
          <w:bCs/>
          <w:szCs w:val="26"/>
        </w:rPr>
        <w:t>a</w:t>
      </w:r>
      <w:r w:rsidRPr="00751045">
        <w:rPr>
          <w:rFonts w:eastAsia="Times New Roman" w:cs="Times New Roman"/>
          <w:bCs/>
          <w:szCs w:val="26"/>
        </w:rPr>
        <w:t xml:space="preserve">ction </w:t>
      </w:r>
      <w:r>
        <w:rPr>
          <w:rFonts w:eastAsia="Times New Roman" w:cs="Times New Roman"/>
          <w:bCs/>
          <w:szCs w:val="26"/>
        </w:rPr>
        <w:t>–</w:t>
      </w:r>
      <w:r w:rsidRPr="00751045">
        <w:rPr>
          <w:rFonts w:eastAsia="Times New Roman" w:cs="Times New Roman"/>
          <w:bCs/>
          <w:szCs w:val="26"/>
        </w:rPr>
        <w:t xml:space="preserve"> Solar for Low Income</w:t>
      </w:r>
      <w:r>
        <w:rPr>
          <w:rFonts w:eastAsia="Times New Roman" w:cs="Times New Roman"/>
          <w:bCs/>
          <w:szCs w:val="26"/>
        </w:rPr>
        <w:t xml:space="preserve"> scheme</w:t>
      </w:r>
      <w:r w:rsidRPr="00751045">
        <w:rPr>
          <w:rFonts w:eastAsia="Times New Roman" w:cs="Times New Roman"/>
          <w:bCs/>
          <w:szCs w:val="26"/>
        </w:rPr>
        <w:t xml:space="preserve"> – continuation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1D74C79E" w14:textId="77777777" w:rsidTr="00A60D4B">
        <w:trPr>
          <w:cantSplit/>
          <w:jc w:val="center"/>
        </w:trPr>
        <w:tc>
          <w:tcPr>
            <w:tcW w:w="3652" w:type="dxa"/>
            <w:tcBorders>
              <w:top w:val="single" w:sz="4" w:space="0" w:color="auto"/>
              <w:bottom w:val="single" w:sz="4" w:space="0" w:color="auto"/>
            </w:tcBorders>
          </w:tcPr>
          <w:p w14:paraId="18F27643"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28AF990C" w14:textId="77777777" w:rsidR="00CF0E2D" w:rsidRPr="00BD2093" w:rsidRDefault="00CF0E2D" w:rsidP="00A60D4B">
            <w:pPr>
              <w:pStyle w:val="InitFigR"/>
              <w:rPr>
                <w:b/>
                <w:bCs/>
              </w:rPr>
            </w:pPr>
            <w:r w:rsidRPr="00BD2093">
              <w:rPr>
                <w:b/>
                <w:bCs/>
              </w:rPr>
              <w:t>2021-22</w:t>
            </w:r>
          </w:p>
          <w:p w14:paraId="738F1761" w14:textId="77777777" w:rsidR="00CF0E2D" w:rsidRPr="00BD2093" w:rsidRDefault="00CF0E2D" w:rsidP="00A60D4B">
            <w:pPr>
              <w:pStyle w:val="InitFigR"/>
              <w:rPr>
                <w:b/>
                <w:bCs/>
              </w:rPr>
            </w:pPr>
            <w:r w:rsidRPr="00BD2093">
              <w:rPr>
                <w:b/>
                <w:bCs/>
              </w:rPr>
              <w:t>$’000</w:t>
            </w:r>
          </w:p>
        </w:tc>
        <w:tc>
          <w:tcPr>
            <w:tcW w:w="1041" w:type="dxa"/>
            <w:tcBorders>
              <w:top w:val="single" w:sz="4" w:space="0" w:color="auto"/>
              <w:bottom w:val="single" w:sz="4" w:space="0" w:color="auto"/>
            </w:tcBorders>
          </w:tcPr>
          <w:p w14:paraId="5380E304" w14:textId="77777777" w:rsidR="00CF0E2D" w:rsidRPr="00BD2093" w:rsidRDefault="00CF0E2D" w:rsidP="00A60D4B">
            <w:pPr>
              <w:pStyle w:val="InitFigR"/>
              <w:rPr>
                <w:b/>
                <w:bCs/>
              </w:rPr>
            </w:pPr>
            <w:r w:rsidRPr="00BD2093">
              <w:rPr>
                <w:b/>
                <w:bCs/>
              </w:rPr>
              <w:t>2022-23</w:t>
            </w:r>
          </w:p>
          <w:p w14:paraId="1291F72F" w14:textId="77777777" w:rsidR="00CF0E2D" w:rsidRPr="00BD2093" w:rsidRDefault="00CF0E2D" w:rsidP="00A60D4B">
            <w:pPr>
              <w:pStyle w:val="InitFigR"/>
              <w:rPr>
                <w:b/>
                <w:bCs/>
              </w:rPr>
            </w:pPr>
            <w:r w:rsidRPr="00BD2093">
              <w:rPr>
                <w:b/>
                <w:bCs/>
              </w:rPr>
              <w:t>$’000</w:t>
            </w:r>
          </w:p>
        </w:tc>
        <w:tc>
          <w:tcPr>
            <w:tcW w:w="1029" w:type="dxa"/>
            <w:tcBorders>
              <w:top w:val="single" w:sz="4" w:space="0" w:color="auto"/>
              <w:bottom w:val="single" w:sz="4" w:space="0" w:color="auto"/>
            </w:tcBorders>
          </w:tcPr>
          <w:p w14:paraId="04C47AAE" w14:textId="77777777" w:rsidR="00CF0E2D" w:rsidRPr="00BD2093" w:rsidRDefault="00CF0E2D" w:rsidP="00A60D4B">
            <w:pPr>
              <w:pStyle w:val="InitFigR"/>
              <w:rPr>
                <w:b/>
                <w:bCs/>
              </w:rPr>
            </w:pPr>
            <w:r w:rsidRPr="00BD2093">
              <w:rPr>
                <w:b/>
                <w:bCs/>
              </w:rPr>
              <w:t>2023-24</w:t>
            </w:r>
          </w:p>
          <w:p w14:paraId="00A305F5" w14:textId="77777777" w:rsidR="00CF0E2D" w:rsidRPr="00BD2093" w:rsidRDefault="00CF0E2D" w:rsidP="00A60D4B">
            <w:pPr>
              <w:pStyle w:val="InitFigR"/>
              <w:rPr>
                <w:b/>
                <w:bCs/>
              </w:rPr>
            </w:pPr>
            <w:r w:rsidRPr="00BD2093">
              <w:rPr>
                <w:b/>
                <w:bCs/>
              </w:rPr>
              <w:t>$’000</w:t>
            </w:r>
          </w:p>
        </w:tc>
        <w:tc>
          <w:tcPr>
            <w:tcW w:w="1029" w:type="dxa"/>
            <w:tcBorders>
              <w:top w:val="single" w:sz="4" w:space="0" w:color="auto"/>
              <w:bottom w:val="single" w:sz="4" w:space="0" w:color="auto"/>
            </w:tcBorders>
          </w:tcPr>
          <w:p w14:paraId="092849F2" w14:textId="77777777" w:rsidR="00CF0E2D" w:rsidRPr="00BD2093" w:rsidRDefault="00CF0E2D" w:rsidP="00A60D4B">
            <w:pPr>
              <w:pStyle w:val="InitFigR"/>
              <w:rPr>
                <w:b/>
                <w:bCs/>
              </w:rPr>
            </w:pPr>
            <w:r w:rsidRPr="00BD2093">
              <w:rPr>
                <w:b/>
                <w:bCs/>
              </w:rPr>
              <w:t>2024-25</w:t>
            </w:r>
          </w:p>
          <w:p w14:paraId="69A97665" w14:textId="77777777" w:rsidR="00CF0E2D" w:rsidRPr="00BD2093" w:rsidRDefault="00CF0E2D" w:rsidP="00A60D4B">
            <w:pPr>
              <w:pStyle w:val="InitFigR"/>
              <w:rPr>
                <w:b/>
                <w:bCs/>
              </w:rPr>
            </w:pPr>
            <w:r w:rsidRPr="00BD2093">
              <w:rPr>
                <w:b/>
                <w:bCs/>
              </w:rPr>
              <w:t>$’000</w:t>
            </w:r>
          </w:p>
        </w:tc>
        <w:tc>
          <w:tcPr>
            <w:tcW w:w="1029" w:type="dxa"/>
            <w:tcBorders>
              <w:top w:val="single" w:sz="4" w:space="0" w:color="auto"/>
              <w:bottom w:val="single" w:sz="4" w:space="0" w:color="auto"/>
            </w:tcBorders>
          </w:tcPr>
          <w:p w14:paraId="252FEFD9" w14:textId="77777777" w:rsidR="00CF0E2D" w:rsidRPr="004E341E" w:rsidRDefault="00CF0E2D" w:rsidP="00A60D4B">
            <w:pPr>
              <w:pStyle w:val="InitFigRBold"/>
            </w:pPr>
            <w:r w:rsidRPr="004E341E">
              <w:t>Total</w:t>
            </w:r>
          </w:p>
          <w:p w14:paraId="3B11303F" w14:textId="77777777" w:rsidR="00CF0E2D" w:rsidRPr="004E341E" w:rsidRDefault="00CF0E2D" w:rsidP="00A60D4B">
            <w:pPr>
              <w:pStyle w:val="InitFigBR"/>
            </w:pPr>
            <w:r w:rsidRPr="004E341E">
              <w:t>$’000</w:t>
            </w:r>
          </w:p>
        </w:tc>
      </w:tr>
      <w:tr w:rsidR="00CF0E2D" w:rsidRPr="00750793" w14:paraId="4DF17D54" w14:textId="77777777" w:rsidTr="00A60D4B">
        <w:trPr>
          <w:cantSplit/>
          <w:jc w:val="center"/>
        </w:trPr>
        <w:tc>
          <w:tcPr>
            <w:tcW w:w="3652" w:type="dxa"/>
            <w:tcBorders>
              <w:top w:val="single" w:sz="4" w:space="0" w:color="auto"/>
              <w:bottom w:val="single" w:sz="4" w:space="0" w:color="auto"/>
            </w:tcBorders>
          </w:tcPr>
          <w:p w14:paraId="241AAD00" w14:textId="77777777" w:rsidR="00CF0E2D" w:rsidRPr="00F13FAB" w:rsidRDefault="00CF0E2D" w:rsidP="00A60D4B">
            <w:pPr>
              <w:pStyle w:val="InitTextL"/>
              <w:ind w:left="321" w:hanging="321"/>
            </w:pPr>
            <w:r w:rsidRPr="00882BE2">
              <w:t>Expenses</w:t>
            </w:r>
            <w:r>
              <w:t xml:space="preserve"> </w:t>
            </w:r>
          </w:p>
        </w:tc>
        <w:tc>
          <w:tcPr>
            <w:tcW w:w="1179" w:type="dxa"/>
            <w:tcBorders>
              <w:top w:val="single" w:sz="4" w:space="0" w:color="auto"/>
              <w:bottom w:val="single" w:sz="4" w:space="0" w:color="auto"/>
            </w:tcBorders>
          </w:tcPr>
          <w:p w14:paraId="2E6BA01C" w14:textId="77777777" w:rsidR="00CF0E2D" w:rsidRPr="00424DA4" w:rsidRDefault="00CF0E2D" w:rsidP="00A60D4B">
            <w:pPr>
              <w:pStyle w:val="InitFigR"/>
            </w:pPr>
            <w:r>
              <w:t>771</w:t>
            </w:r>
          </w:p>
        </w:tc>
        <w:tc>
          <w:tcPr>
            <w:tcW w:w="1041" w:type="dxa"/>
            <w:tcBorders>
              <w:top w:val="single" w:sz="4" w:space="0" w:color="auto"/>
              <w:bottom w:val="single" w:sz="4" w:space="0" w:color="auto"/>
            </w:tcBorders>
          </w:tcPr>
          <w:p w14:paraId="71EA141B" w14:textId="77777777" w:rsidR="00CF0E2D" w:rsidRPr="00424DA4" w:rsidRDefault="00CF0E2D" w:rsidP="00A60D4B">
            <w:pPr>
              <w:pStyle w:val="InitFigR"/>
            </w:pPr>
            <w:r>
              <w:t>771</w:t>
            </w:r>
          </w:p>
        </w:tc>
        <w:tc>
          <w:tcPr>
            <w:tcW w:w="1029" w:type="dxa"/>
            <w:tcBorders>
              <w:top w:val="single" w:sz="4" w:space="0" w:color="auto"/>
              <w:bottom w:val="single" w:sz="4" w:space="0" w:color="auto"/>
            </w:tcBorders>
          </w:tcPr>
          <w:p w14:paraId="3C124A04" w14:textId="77777777" w:rsidR="00CF0E2D" w:rsidRPr="00424DA4" w:rsidRDefault="00CF0E2D" w:rsidP="00A60D4B">
            <w:pPr>
              <w:pStyle w:val="InitFigR"/>
            </w:pPr>
            <w:r>
              <w:t>771</w:t>
            </w:r>
          </w:p>
        </w:tc>
        <w:tc>
          <w:tcPr>
            <w:tcW w:w="1029" w:type="dxa"/>
            <w:tcBorders>
              <w:top w:val="single" w:sz="4" w:space="0" w:color="auto"/>
              <w:bottom w:val="single" w:sz="4" w:space="0" w:color="auto"/>
            </w:tcBorders>
          </w:tcPr>
          <w:p w14:paraId="24AE5F2F" w14:textId="77777777" w:rsidR="00CF0E2D" w:rsidRPr="00424DA4" w:rsidRDefault="00CF0E2D" w:rsidP="00A60D4B">
            <w:pPr>
              <w:pStyle w:val="InitFigR"/>
            </w:pPr>
            <w:r>
              <w:t>771</w:t>
            </w:r>
          </w:p>
        </w:tc>
        <w:tc>
          <w:tcPr>
            <w:tcW w:w="1029" w:type="dxa"/>
            <w:tcBorders>
              <w:top w:val="single" w:sz="4" w:space="0" w:color="auto"/>
              <w:bottom w:val="single" w:sz="4" w:space="0" w:color="auto"/>
            </w:tcBorders>
          </w:tcPr>
          <w:p w14:paraId="50865ED9" w14:textId="77777777" w:rsidR="00CF0E2D" w:rsidRPr="00424DA4" w:rsidRDefault="00CF0E2D" w:rsidP="00A60D4B">
            <w:pPr>
              <w:pStyle w:val="InitFigBR"/>
            </w:pPr>
            <w:r>
              <w:t>3,084</w:t>
            </w:r>
          </w:p>
        </w:tc>
      </w:tr>
    </w:tbl>
    <w:p w14:paraId="4461D8D5" w14:textId="77777777" w:rsidR="00CF0E2D" w:rsidRPr="00751045" w:rsidRDefault="00CF0E2D" w:rsidP="00A60D4B">
      <w:pPr>
        <w:spacing w:before="200" w:after="200" w:line="240" w:lineRule="auto"/>
        <w:rPr>
          <w:rFonts w:ascii="Calibri" w:eastAsia="Times New Roman" w:hAnsi="Calibri" w:cs="Times New Roman"/>
          <w:sz w:val="24"/>
          <w:szCs w:val="20"/>
        </w:rPr>
      </w:pPr>
      <w:r w:rsidRPr="00751045">
        <w:rPr>
          <w:rFonts w:ascii="Calibri" w:eastAsia="Times New Roman" w:hAnsi="Calibri" w:cs="Times New Roman"/>
          <w:sz w:val="24"/>
          <w:szCs w:val="20"/>
        </w:rPr>
        <w:t xml:space="preserve">The Government will continue the Solar for Low Income program to provide subsidies of up to $2,500 for eligible low-income homeowners for the installation of rooftop solar systems.  </w:t>
      </w:r>
    </w:p>
    <w:p w14:paraId="78C82AA2" w14:textId="77777777" w:rsidR="00CF0E2D" w:rsidRPr="00751045" w:rsidRDefault="00CF0E2D" w:rsidP="00A60D4B">
      <w:pPr>
        <w:spacing w:before="200" w:after="200" w:line="240" w:lineRule="auto"/>
        <w:rPr>
          <w:rFonts w:ascii="Calibri" w:eastAsia="Times New Roman" w:hAnsi="Calibri" w:cs="Times New Roman"/>
          <w:sz w:val="24"/>
          <w:szCs w:val="20"/>
        </w:rPr>
      </w:pPr>
      <w:r w:rsidRPr="00751045">
        <w:rPr>
          <w:rFonts w:ascii="Calibri" w:eastAsia="Times New Roman" w:hAnsi="Calibri" w:cs="Times New Roman"/>
          <w:sz w:val="24"/>
          <w:szCs w:val="20"/>
        </w:rPr>
        <w:t>This initiative complements the $150 million Sustainable Household Scheme to support households with no interest loans to invest in sustainable technologies, and the $50 million Vulnerable Household Energy Support Scheme to support energy performance upgrades in eligible rental properties and for certain low</w:t>
      </w:r>
      <w:r w:rsidRPr="00751045">
        <w:rPr>
          <w:rFonts w:ascii="Calibri" w:eastAsia="Times New Roman" w:hAnsi="Calibri" w:cs="Times New Roman"/>
          <w:sz w:val="24"/>
          <w:szCs w:val="20"/>
        </w:rPr>
        <w:noBreakHyphen/>
        <w:t>income homeowners.</w:t>
      </w:r>
    </w:p>
    <w:p w14:paraId="32187F17" w14:textId="77777777" w:rsidR="00CF0E2D" w:rsidRDefault="00CF0E2D" w:rsidP="00A60D4B">
      <w:pPr>
        <w:spacing w:before="200" w:after="200" w:line="240" w:lineRule="auto"/>
        <w:rPr>
          <w:rFonts w:ascii="Calibri" w:eastAsia="Times New Roman" w:hAnsi="Calibri" w:cs="Times New Roman"/>
          <w:sz w:val="24"/>
          <w:szCs w:val="20"/>
        </w:rPr>
      </w:pPr>
      <w:r w:rsidRPr="00751045">
        <w:rPr>
          <w:rFonts w:ascii="Calibri" w:eastAsia="Times New Roman" w:hAnsi="Calibri" w:cs="Times New Roman"/>
          <w:sz w:val="24"/>
          <w:szCs w:val="20"/>
        </w:rPr>
        <w:t xml:space="preserve">This initiative contributes to the wellbeing domains of Living standards, Housing and home and Environment and climate. </w:t>
      </w:r>
    </w:p>
    <w:p w14:paraId="70D0611B" w14:textId="77777777" w:rsidR="00CF0E2D" w:rsidRPr="00751045" w:rsidRDefault="00CF0E2D" w:rsidP="00A60D4B">
      <w:pPr>
        <w:spacing w:before="200" w:after="200" w:line="240" w:lineRule="auto"/>
        <w:rPr>
          <w:rFonts w:ascii="Calibri" w:eastAsia="Times New Roman" w:hAnsi="Calibri" w:cs="Times New Roman"/>
          <w:sz w:val="24"/>
          <w:szCs w:val="20"/>
        </w:rPr>
      </w:pPr>
    </w:p>
    <w:p w14:paraId="052A3B27" w14:textId="77777777" w:rsidR="00CF0E2D" w:rsidRPr="00F93723" w:rsidRDefault="00CF0E2D" w:rsidP="00A60D4B">
      <w:pPr>
        <w:pStyle w:val="Heading4"/>
        <w:rPr>
          <w:rFonts w:eastAsia="Times New Roman" w:cs="Times New Roman"/>
          <w:bCs/>
          <w:szCs w:val="26"/>
        </w:rPr>
      </w:pPr>
      <w:r>
        <w:rPr>
          <w:rFonts w:eastAsia="Times New Roman" w:cs="Times New Roman"/>
          <w:bCs/>
          <w:noProof/>
          <w:szCs w:val="26"/>
        </w:rPr>
        <w:drawing>
          <wp:anchor distT="0" distB="0" distL="114300" distR="114300" simplePos="0" relativeHeight="251849728" behindDoc="0" locked="1" layoutInCell="1" allowOverlap="1" wp14:anchorId="1A8F76F2" wp14:editId="0CD2D70B">
            <wp:simplePos x="0" y="0"/>
            <wp:positionH relativeFrom="margin">
              <wp:posOffset>4620260</wp:posOffset>
            </wp:positionH>
            <wp:positionV relativeFrom="paragraph">
              <wp:posOffset>-114300</wp:posOffset>
            </wp:positionV>
            <wp:extent cx="1104900" cy="503555"/>
            <wp:effectExtent l="0" t="0" r="0" b="0"/>
            <wp:wrapSquare wrapText="bothSides"/>
            <wp:docPr id="151" name="Picture 151" descr="Icon representing the wellbeing domain of Housing and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 representing the wellbeing domain of Housing and ho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104900" cy="503555"/>
                    </a:xfrm>
                    <a:prstGeom prst="rect">
                      <a:avLst/>
                    </a:prstGeom>
                  </pic:spPr>
                </pic:pic>
              </a:graphicData>
            </a:graphic>
            <wp14:sizeRelH relativeFrom="margin">
              <wp14:pctWidth>0</wp14:pctWidth>
            </wp14:sizeRelH>
            <wp14:sizeRelV relativeFrom="margin">
              <wp14:pctHeight>0</wp14:pctHeight>
            </wp14:sizeRelV>
          </wp:anchor>
        </w:drawing>
      </w:r>
      <w:r w:rsidRPr="00F93723">
        <w:rPr>
          <w:rFonts w:eastAsia="Times New Roman"/>
        </w:rPr>
        <w:t xml:space="preserve">East Lake </w:t>
      </w:r>
      <w:r>
        <w:rPr>
          <w:rFonts w:eastAsia="Times New Roman"/>
        </w:rPr>
        <w:t>ur</w:t>
      </w:r>
      <w:r w:rsidRPr="00F93723">
        <w:rPr>
          <w:rFonts w:eastAsia="Times New Roman"/>
        </w:rPr>
        <w:t xml:space="preserve">ban </w:t>
      </w:r>
      <w:r>
        <w:rPr>
          <w:rFonts w:eastAsia="Times New Roman"/>
        </w:rPr>
        <w:t>r</w:t>
      </w:r>
      <w:r w:rsidRPr="00F93723">
        <w:rPr>
          <w:rFonts w:eastAsia="Times New Roman"/>
        </w:rPr>
        <w:t xml:space="preserve">enewal </w:t>
      </w:r>
      <w:r w:rsidRPr="00F93723">
        <w:rPr>
          <w:rFonts w:eastAsia="Times New Roman" w:cs="Times New Roman"/>
          <w:szCs w:val="26"/>
        </w:rPr>
        <w:t xml:space="preserve">– Site </w:t>
      </w:r>
      <w:r>
        <w:rPr>
          <w:rFonts w:eastAsia="Times New Roman" w:cs="Times New Roman"/>
          <w:szCs w:val="26"/>
        </w:rPr>
        <w:t>i</w:t>
      </w:r>
      <w:r w:rsidRPr="00F93723">
        <w:rPr>
          <w:rFonts w:eastAsia="Times New Roman" w:cs="Times New Roman"/>
          <w:szCs w:val="26"/>
        </w:rPr>
        <w:t xml:space="preserve">nvestigations and </w:t>
      </w:r>
      <w:r>
        <w:rPr>
          <w:rFonts w:eastAsia="Times New Roman" w:cs="Times New Roman"/>
          <w:szCs w:val="26"/>
        </w:rPr>
        <w:t>p</w:t>
      </w:r>
      <w:r w:rsidRPr="00F93723">
        <w:rPr>
          <w:rFonts w:eastAsia="Times New Roman" w:cs="Times New Roman"/>
          <w:szCs w:val="26"/>
        </w:rPr>
        <w:t xml:space="preserve">lanning  </w:t>
      </w:r>
    </w:p>
    <w:tbl>
      <w:tblPr>
        <w:tblW w:w="8956" w:type="dxa"/>
        <w:jc w:val="center"/>
        <w:tblLayout w:type="fixed"/>
        <w:tblLook w:val="0000" w:firstRow="0" w:lastRow="0" w:firstColumn="0" w:lastColumn="0" w:noHBand="0" w:noVBand="0"/>
      </w:tblPr>
      <w:tblGrid>
        <w:gridCol w:w="3794"/>
        <w:gridCol w:w="1179"/>
        <w:gridCol w:w="1041"/>
        <w:gridCol w:w="1029"/>
        <w:gridCol w:w="1029"/>
        <w:gridCol w:w="884"/>
      </w:tblGrid>
      <w:tr w:rsidR="00CF0E2D" w:rsidRPr="00750793" w14:paraId="7F115D23" w14:textId="77777777" w:rsidTr="00A60D4B">
        <w:trPr>
          <w:cantSplit/>
          <w:jc w:val="center"/>
        </w:trPr>
        <w:tc>
          <w:tcPr>
            <w:tcW w:w="3794" w:type="dxa"/>
            <w:tcBorders>
              <w:top w:val="single" w:sz="4" w:space="0" w:color="auto"/>
              <w:bottom w:val="single" w:sz="4" w:space="0" w:color="auto"/>
            </w:tcBorders>
          </w:tcPr>
          <w:p w14:paraId="402C01D6"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734F5132" w14:textId="77777777" w:rsidR="00CF0E2D" w:rsidRPr="00925435" w:rsidRDefault="00CF0E2D" w:rsidP="00A60D4B">
            <w:pPr>
              <w:pStyle w:val="InitFigR"/>
              <w:rPr>
                <w:b/>
                <w:bCs/>
              </w:rPr>
            </w:pPr>
            <w:r w:rsidRPr="00925435">
              <w:rPr>
                <w:b/>
                <w:bCs/>
              </w:rPr>
              <w:t>2021-22</w:t>
            </w:r>
          </w:p>
          <w:p w14:paraId="44EADEEE" w14:textId="77777777" w:rsidR="00CF0E2D" w:rsidRPr="00925435" w:rsidRDefault="00CF0E2D" w:rsidP="00A60D4B">
            <w:pPr>
              <w:pStyle w:val="InitFigR"/>
              <w:rPr>
                <w:b/>
                <w:bCs/>
              </w:rPr>
            </w:pPr>
            <w:r w:rsidRPr="00925435">
              <w:rPr>
                <w:b/>
                <w:bCs/>
              </w:rPr>
              <w:t>$’000</w:t>
            </w:r>
          </w:p>
        </w:tc>
        <w:tc>
          <w:tcPr>
            <w:tcW w:w="1041" w:type="dxa"/>
            <w:tcBorders>
              <w:top w:val="single" w:sz="4" w:space="0" w:color="auto"/>
              <w:bottom w:val="single" w:sz="4" w:space="0" w:color="auto"/>
            </w:tcBorders>
          </w:tcPr>
          <w:p w14:paraId="01771C5E" w14:textId="77777777" w:rsidR="00CF0E2D" w:rsidRPr="00925435" w:rsidRDefault="00CF0E2D" w:rsidP="00A60D4B">
            <w:pPr>
              <w:pStyle w:val="InitFigR"/>
              <w:rPr>
                <w:b/>
                <w:bCs/>
              </w:rPr>
            </w:pPr>
            <w:r w:rsidRPr="00925435">
              <w:rPr>
                <w:b/>
                <w:bCs/>
              </w:rPr>
              <w:t>2022-23</w:t>
            </w:r>
          </w:p>
          <w:p w14:paraId="5187F5B3" w14:textId="77777777" w:rsidR="00CF0E2D" w:rsidRPr="00925435" w:rsidRDefault="00CF0E2D" w:rsidP="00A60D4B">
            <w:pPr>
              <w:pStyle w:val="InitFigR"/>
              <w:rPr>
                <w:b/>
                <w:bCs/>
              </w:rPr>
            </w:pPr>
            <w:r w:rsidRPr="00925435">
              <w:rPr>
                <w:b/>
                <w:bCs/>
              </w:rPr>
              <w:t>$’000</w:t>
            </w:r>
          </w:p>
        </w:tc>
        <w:tc>
          <w:tcPr>
            <w:tcW w:w="1029" w:type="dxa"/>
            <w:tcBorders>
              <w:top w:val="single" w:sz="4" w:space="0" w:color="auto"/>
              <w:bottom w:val="single" w:sz="4" w:space="0" w:color="auto"/>
            </w:tcBorders>
          </w:tcPr>
          <w:p w14:paraId="67E9ACAB" w14:textId="77777777" w:rsidR="00CF0E2D" w:rsidRPr="00925435" w:rsidRDefault="00CF0E2D" w:rsidP="00A60D4B">
            <w:pPr>
              <w:pStyle w:val="InitFigR"/>
              <w:rPr>
                <w:b/>
                <w:bCs/>
              </w:rPr>
            </w:pPr>
            <w:r w:rsidRPr="00925435">
              <w:rPr>
                <w:b/>
                <w:bCs/>
              </w:rPr>
              <w:t>2023-24</w:t>
            </w:r>
          </w:p>
          <w:p w14:paraId="0A91FCDB" w14:textId="77777777" w:rsidR="00CF0E2D" w:rsidRPr="00925435" w:rsidRDefault="00CF0E2D" w:rsidP="00A60D4B">
            <w:pPr>
              <w:pStyle w:val="InitFigR"/>
              <w:rPr>
                <w:b/>
                <w:bCs/>
              </w:rPr>
            </w:pPr>
            <w:r w:rsidRPr="00925435">
              <w:rPr>
                <w:b/>
                <w:bCs/>
              </w:rPr>
              <w:t>$’000</w:t>
            </w:r>
          </w:p>
        </w:tc>
        <w:tc>
          <w:tcPr>
            <w:tcW w:w="1029" w:type="dxa"/>
            <w:tcBorders>
              <w:top w:val="single" w:sz="4" w:space="0" w:color="auto"/>
              <w:bottom w:val="single" w:sz="4" w:space="0" w:color="auto"/>
            </w:tcBorders>
          </w:tcPr>
          <w:p w14:paraId="1D9E2425" w14:textId="77777777" w:rsidR="00CF0E2D" w:rsidRPr="00925435" w:rsidRDefault="00CF0E2D" w:rsidP="00A60D4B">
            <w:pPr>
              <w:pStyle w:val="InitFigR"/>
              <w:rPr>
                <w:b/>
                <w:bCs/>
              </w:rPr>
            </w:pPr>
            <w:r w:rsidRPr="00925435">
              <w:rPr>
                <w:b/>
                <w:bCs/>
              </w:rPr>
              <w:t>2024-25</w:t>
            </w:r>
          </w:p>
          <w:p w14:paraId="56DD56F6" w14:textId="77777777" w:rsidR="00CF0E2D" w:rsidRPr="00925435" w:rsidRDefault="00CF0E2D" w:rsidP="00A60D4B">
            <w:pPr>
              <w:pStyle w:val="InitFigR"/>
              <w:rPr>
                <w:b/>
                <w:bCs/>
              </w:rPr>
            </w:pPr>
            <w:r w:rsidRPr="00925435">
              <w:rPr>
                <w:b/>
                <w:bCs/>
              </w:rPr>
              <w:t>$’000</w:t>
            </w:r>
          </w:p>
        </w:tc>
        <w:tc>
          <w:tcPr>
            <w:tcW w:w="884" w:type="dxa"/>
            <w:tcBorders>
              <w:top w:val="single" w:sz="4" w:space="0" w:color="auto"/>
              <w:bottom w:val="single" w:sz="4" w:space="0" w:color="auto"/>
            </w:tcBorders>
          </w:tcPr>
          <w:p w14:paraId="045E0C10" w14:textId="77777777" w:rsidR="00CF0E2D" w:rsidRPr="004E341E" w:rsidRDefault="00CF0E2D" w:rsidP="00A60D4B">
            <w:pPr>
              <w:pStyle w:val="InitFigRBold"/>
            </w:pPr>
            <w:r w:rsidRPr="004E341E">
              <w:t>Total</w:t>
            </w:r>
          </w:p>
          <w:p w14:paraId="27017C7C" w14:textId="77777777" w:rsidR="00CF0E2D" w:rsidRPr="004E341E" w:rsidRDefault="00CF0E2D" w:rsidP="00A60D4B">
            <w:pPr>
              <w:pStyle w:val="InitFigBR"/>
            </w:pPr>
            <w:r w:rsidRPr="004E341E">
              <w:t>$’000</w:t>
            </w:r>
          </w:p>
        </w:tc>
      </w:tr>
      <w:tr w:rsidR="00CF0E2D" w:rsidRPr="00750793" w14:paraId="58E26776" w14:textId="77777777" w:rsidTr="00A60D4B">
        <w:trPr>
          <w:cantSplit/>
          <w:jc w:val="center"/>
        </w:trPr>
        <w:tc>
          <w:tcPr>
            <w:tcW w:w="3794" w:type="dxa"/>
            <w:tcBorders>
              <w:top w:val="single" w:sz="4" w:space="0" w:color="auto"/>
              <w:bottom w:val="single" w:sz="4" w:space="0" w:color="auto"/>
            </w:tcBorders>
          </w:tcPr>
          <w:p w14:paraId="582EFB7A"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1D726997" w14:textId="77777777" w:rsidR="00CF0E2D" w:rsidRPr="00424DA4" w:rsidRDefault="00CF0E2D" w:rsidP="00A60D4B">
            <w:pPr>
              <w:pStyle w:val="InitFigR"/>
            </w:pPr>
            <w:r>
              <w:t>1,036</w:t>
            </w:r>
          </w:p>
        </w:tc>
        <w:tc>
          <w:tcPr>
            <w:tcW w:w="1041" w:type="dxa"/>
            <w:tcBorders>
              <w:top w:val="single" w:sz="4" w:space="0" w:color="auto"/>
              <w:bottom w:val="single" w:sz="4" w:space="0" w:color="auto"/>
            </w:tcBorders>
          </w:tcPr>
          <w:p w14:paraId="49497968" w14:textId="77777777" w:rsidR="00CF0E2D" w:rsidRPr="00424DA4" w:rsidRDefault="00CF0E2D" w:rsidP="00A60D4B">
            <w:pPr>
              <w:pStyle w:val="InitFigR"/>
            </w:pPr>
            <w:r>
              <w:t>779</w:t>
            </w:r>
          </w:p>
        </w:tc>
        <w:tc>
          <w:tcPr>
            <w:tcW w:w="1029" w:type="dxa"/>
            <w:tcBorders>
              <w:top w:val="single" w:sz="4" w:space="0" w:color="auto"/>
              <w:bottom w:val="single" w:sz="4" w:space="0" w:color="auto"/>
            </w:tcBorders>
          </w:tcPr>
          <w:p w14:paraId="22C3636C" w14:textId="77777777" w:rsidR="00CF0E2D" w:rsidRPr="00424DA4" w:rsidRDefault="00CF0E2D" w:rsidP="00A60D4B">
            <w:pPr>
              <w:pStyle w:val="InitFigR"/>
            </w:pPr>
            <w:r>
              <w:t>296</w:t>
            </w:r>
          </w:p>
        </w:tc>
        <w:tc>
          <w:tcPr>
            <w:tcW w:w="1029" w:type="dxa"/>
            <w:tcBorders>
              <w:top w:val="single" w:sz="4" w:space="0" w:color="auto"/>
              <w:bottom w:val="single" w:sz="4" w:space="0" w:color="auto"/>
            </w:tcBorders>
          </w:tcPr>
          <w:p w14:paraId="3CC9FB81" w14:textId="77777777" w:rsidR="00CF0E2D" w:rsidRPr="00424DA4" w:rsidRDefault="00CF0E2D" w:rsidP="00A60D4B">
            <w:pPr>
              <w:pStyle w:val="InitFigR"/>
            </w:pPr>
            <w:r>
              <w:t>28</w:t>
            </w:r>
          </w:p>
        </w:tc>
        <w:tc>
          <w:tcPr>
            <w:tcW w:w="884" w:type="dxa"/>
            <w:tcBorders>
              <w:top w:val="single" w:sz="4" w:space="0" w:color="auto"/>
              <w:bottom w:val="single" w:sz="4" w:space="0" w:color="auto"/>
            </w:tcBorders>
          </w:tcPr>
          <w:p w14:paraId="2BC25277" w14:textId="77777777" w:rsidR="00CF0E2D" w:rsidRPr="00424DA4" w:rsidRDefault="00CF0E2D" w:rsidP="00A60D4B">
            <w:pPr>
              <w:pStyle w:val="InitFigBR"/>
            </w:pPr>
            <w:r>
              <w:t>2,139</w:t>
            </w:r>
          </w:p>
        </w:tc>
      </w:tr>
    </w:tbl>
    <w:p w14:paraId="00A7F79B" w14:textId="77777777" w:rsidR="00CF0E2D" w:rsidRPr="00F93723" w:rsidRDefault="00CF0E2D" w:rsidP="00A60D4B">
      <w:pPr>
        <w:pStyle w:val="Bbodytext"/>
      </w:pPr>
      <w:r w:rsidRPr="00F93723">
        <w:t xml:space="preserve">The Government will undertake planning and preliminary site investigation work to prepare the East Lake Urban Renewal project for development, building on the 2019-20 Budget initiative </w:t>
      </w:r>
      <w:r w:rsidRPr="00F93723">
        <w:rPr>
          <w:i/>
        </w:rPr>
        <w:t>East Lake Urban Renewal Commencement.</w:t>
      </w:r>
      <w:r w:rsidRPr="00F93723">
        <w:t xml:space="preserve"> The work includes due diligence and place planning to shape the future precinct in consultation with the community.</w:t>
      </w:r>
    </w:p>
    <w:p w14:paraId="46D2B1B3" w14:textId="77777777" w:rsidR="00CF0E2D" w:rsidRPr="00F93723" w:rsidRDefault="00CF0E2D" w:rsidP="00A60D4B">
      <w:pPr>
        <w:pStyle w:val="Bbodytext"/>
      </w:pPr>
      <w:r w:rsidRPr="00F93723">
        <w:t>This initiative contributes to the wellbeing domains of Housing and home, Environment and climate and Access and connectivity.</w:t>
      </w:r>
    </w:p>
    <w:p w14:paraId="1BF8094E" w14:textId="77777777" w:rsidR="00CF0E2D" w:rsidRDefault="00CF0E2D"/>
    <w:p w14:paraId="1589BC25" w14:textId="77777777" w:rsidR="00CF0E2D" w:rsidRPr="009B6C76" w:rsidRDefault="00CF0E2D" w:rsidP="00A60D4B">
      <w:pPr>
        <w:pStyle w:val="Heading4"/>
        <w:rPr>
          <w:rFonts w:eastAsia="Times New Roman" w:cs="Times New Roman"/>
          <w:bCs/>
          <w:szCs w:val="26"/>
        </w:rPr>
      </w:pPr>
      <w:r>
        <w:rPr>
          <w:rFonts w:eastAsia="Times New Roman" w:cs="Times New Roman"/>
          <w:bCs/>
          <w:noProof/>
          <w:szCs w:val="26"/>
        </w:rPr>
        <w:drawing>
          <wp:anchor distT="0" distB="0" distL="114300" distR="114300" simplePos="0" relativeHeight="251850752" behindDoc="0" locked="1" layoutInCell="1" allowOverlap="1" wp14:anchorId="0F906C28" wp14:editId="329205FC">
            <wp:simplePos x="0" y="0"/>
            <wp:positionH relativeFrom="margin">
              <wp:align>right</wp:align>
            </wp:positionH>
            <wp:positionV relativeFrom="paragraph">
              <wp:posOffset>54610</wp:posOffset>
            </wp:positionV>
            <wp:extent cx="1104900" cy="503555"/>
            <wp:effectExtent l="0" t="0" r="0" b="0"/>
            <wp:wrapSquare wrapText="bothSides"/>
            <wp:docPr id="152" name="Picture 152" descr="Icon representing the wellbeing domain of Housing and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 representing the wellbeing domain of Housing and ho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104900" cy="503555"/>
                    </a:xfrm>
                    <a:prstGeom prst="rect">
                      <a:avLst/>
                    </a:prstGeom>
                  </pic:spPr>
                </pic:pic>
              </a:graphicData>
            </a:graphic>
            <wp14:sizeRelH relativeFrom="margin">
              <wp14:pctWidth>0</wp14:pctWidth>
            </wp14:sizeRelH>
            <wp14:sizeRelV relativeFrom="margin">
              <wp14:pctHeight>0</wp14:pctHeight>
            </wp14:sizeRelV>
          </wp:anchor>
        </w:drawing>
      </w:r>
      <w:r w:rsidRPr="00D930C2">
        <w:rPr>
          <w:rFonts w:eastAsia="Times New Roman"/>
        </w:rPr>
        <w:t xml:space="preserve">Maintaining and growing affordable housing </w:t>
      </w:r>
      <w:r>
        <w:rPr>
          <w:rFonts w:eastAsia="Times New Roman" w:cs="Times New Roman"/>
          <w:bCs/>
          <w:szCs w:val="26"/>
        </w:rPr>
        <w:t xml:space="preserve">– </w:t>
      </w:r>
      <w:r w:rsidRPr="009B6C76">
        <w:rPr>
          <w:rFonts w:eastAsia="Times New Roman" w:cs="Times New Roman"/>
          <w:bCs/>
          <w:szCs w:val="26"/>
        </w:rPr>
        <w:t xml:space="preserve">Gungahlin Common Ground Build to Rent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7386FF2A" w14:textId="77777777" w:rsidTr="00A60D4B">
        <w:trPr>
          <w:cantSplit/>
          <w:jc w:val="center"/>
        </w:trPr>
        <w:tc>
          <w:tcPr>
            <w:tcW w:w="3652" w:type="dxa"/>
            <w:tcBorders>
              <w:top w:val="single" w:sz="4" w:space="0" w:color="auto"/>
              <w:bottom w:val="single" w:sz="4" w:space="0" w:color="auto"/>
            </w:tcBorders>
          </w:tcPr>
          <w:p w14:paraId="6003A3DE"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06B25FFB" w14:textId="77777777" w:rsidR="00CF0E2D" w:rsidRPr="00F2314E" w:rsidRDefault="00CF0E2D" w:rsidP="00A60D4B">
            <w:pPr>
              <w:pStyle w:val="InitFigR"/>
              <w:rPr>
                <w:b/>
                <w:bCs/>
              </w:rPr>
            </w:pPr>
            <w:r w:rsidRPr="00F2314E">
              <w:rPr>
                <w:b/>
                <w:bCs/>
              </w:rPr>
              <w:t>2021-22</w:t>
            </w:r>
          </w:p>
          <w:p w14:paraId="0418DBFB" w14:textId="77777777" w:rsidR="00CF0E2D" w:rsidRPr="00F2314E" w:rsidRDefault="00CF0E2D" w:rsidP="00A60D4B">
            <w:pPr>
              <w:pStyle w:val="InitFigR"/>
              <w:rPr>
                <w:b/>
                <w:bCs/>
              </w:rPr>
            </w:pPr>
            <w:r w:rsidRPr="00F2314E">
              <w:rPr>
                <w:b/>
                <w:bCs/>
              </w:rPr>
              <w:t>$’000</w:t>
            </w:r>
          </w:p>
        </w:tc>
        <w:tc>
          <w:tcPr>
            <w:tcW w:w="1041" w:type="dxa"/>
            <w:tcBorders>
              <w:top w:val="single" w:sz="4" w:space="0" w:color="auto"/>
              <w:bottom w:val="single" w:sz="4" w:space="0" w:color="auto"/>
            </w:tcBorders>
          </w:tcPr>
          <w:p w14:paraId="48BBDDB6" w14:textId="77777777" w:rsidR="00CF0E2D" w:rsidRPr="00F2314E" w:rsidRDefault="00CF0E2D" w:rsidP="00A60D4B">
            <w:pPr>
              <w:pStyle w:val="InitFigR"/>
              <w:rPr>
                <w:b/>
                <w:bCs/>
              </w:rPr>
            </w:pPr>
            <w:r w:rsidRPr="00F2314E">
              <w:rPr>
                <w:b/>
                <w:bCs/>
              </w:rPr>
              <w:t>2022-23</w:t>
            </w:r>
          </w:p>
          <w:p w14:paraId="6A356B6D"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1E672C69" w14:textId="77777777" w:rsidR="00CF0E2D" w:rsidRPr="00F2314E" w:rsidRDefault="00CF0E2D" w:rsidP="00A60D4B">
            <w:pPr>
              <w:pStyle w:val="InitFigR"/>
              <w:rPr>
                <w:b/>
                <w:bCs/>
              </w:rPr>
            </w:pPr>
            <w:r w:rsidRPr="00F2314E">
              <w:rPr>
                <w:b/>
                <w:bCs/>
              </w:rPr>
              <w:t>2023-24</w:t>
            </w:r>
          </w:p>
          <w:p w14:paraId="771F7CA0"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0DFD0714" w14:textId="77777777" w:rsidR="00CF0E2D" w:rsidRPr="00F2314E" w:rsidRDefault="00CF0E2D" w:rsidP="00A60D4B">
            <w:pPr>
              <w:pStyle w:val="InitFigR"/>
              <w:rPr>
                <w:b/>
                <w:bCs/>
              </w:rPr>
            </w:pPr>
            <w:r w:rsidRPr="00F2314E">
              <w:rPr>
                <w:b/>
                <w:bCs/>
              </w:rPr>
              <w:t>2024-25</w:t>
            </w:r>
          </w:p>
          <w:p w14:paraId="3F0554F8"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4A998B9B" w14:textId="77777777" w:rsidR="00CF0E2D" w:rsidRPr="004E341E" w:rsidRDefault="00CF0E2D" w:rsidP="00A60D4B">
            <w:pPr>
              <w:pStyle w:val="InitFigRBold"/>
            </w:pPr>
            <w:r w:rsidRPr="004E341E">
              <w:t>Total</w:t>
            </w:r>
          </w:p>
          <w:p w14:paraId="7F8D8728" w14:textId="77777777" w:rsidR="00CF0E2D" w:rsidRPr="004E341E" w:rsidRDefault="00CF0E2D" w:rsidP="00A60D4B">
            <w:pPr>
              <w:pStyle w:val="InitFigBR"/>
            </w:pPr>
            <w:r w:rsidRPr="004E341E">
              <w:t>$’000</w:t>
            </w:r>
          </w:p>
        </w:tc>
      </w:tr>
      <w:tr w:rsidR="00CF0E2D" w:rsidRPr="00750793" w14:paraId="55D18D2E" w14:textId="77777777" w:rsidTr="00A60D4B">
        <w:trPr>
          <w:cantSplit/>
          <w:jc w:val="center"/>
        </w:trPr>
        <w:tc>
          <w:tcPr>
            <w:tcW w:w="3652" w:type="dxa"/>
            <w:tcBorders>
              <w:top w:val="single" w:sz="4" w:space="0" w:color="auto"/>
              <w:bottom w:val="single" w:sz="4" w:space="0" w:color="auto"/>
            </w:tcBorders>
          </w:tcPr>
          <w:p w14:paraId="1CF7F55B" w14:textId="77777777" w:rsidR="00CF0E2D" w:rsidRDefault="00CF0E2D" w:rsidP="00A60D4B">
            <w:pPr>
              <w:pStyle w:val="InitTextL"/>
              <w:ind w:left="321" w:hanging="321"/>
            </w:pPr>
            <w:r>
              <w:t>Capital</w:t>
            </w:r>
          </w:p>
        </w:tc>
        <w:tc>
          <w:tcPr>
            <w:tcW w:w="1179" w:type="dxa"/>
            <w:tcBorders>
              <w:top w:val="single" w:sz="4" w:space="0" w:color="auto"/>
              <w:bottom w:val="single" w:sz="4" w:space="0" w:color="auto"/>
            </w:tcBorders>
          </w:tcPr>
          <w:p w14:paraId="6F8C6AB7" w14:textId="77777777" w:rsidR="00CF0E2D" w:rsidRDefault="00CF0E2D" w:rsidP="00A60D4B">
            <w:pPr>
              <w:pStyle w:val="InitFigR"/>
            </w:pPr>
            <w:r>
              <w:t>440</w:t>
            </w:r>
          </w:p>
        </w:tc>
        <w:tc>
          <w:tcPr>
            <w:tcW w:w="1041" w:type="dxa"/>
            <w:tcBorders>
              <w:top w:val="single" w:sz="4" w:space="0" w:color="auto"/>
              <w:bottom w:val="single" w:sz="4" w:space="0" w:color="auto"/>
            </w:tcBorders>
          </w:tcPr>
          <w:p w14:paraId="78E6D355" w14:textId="77777777" w:rsidR="00CF0E2D" w:rsidRDefault="00CF0E2D" w:rsidP="00A60D4B">
            <w:pPr>
              <w:pStyle w:val="InitFigR"/>
            </w:pPr>
            <w:r>
              <w:t>0</w:t>
            </w:r>
          </w:p>
        </w:tc>
        <w:tc>
          <w:tcPr>
            <w:tcW w:w="1029" w:type="dxa"/>
            <w:tcBorders>
              <w:top w:val="single" w:sz="4" w:space="0" w:color="auto"/>
              <w:bottom w:val="single" w:sz="4" w:space="0" w:color="auto"/>
            </w:tcBorders>
          </w:tcPr>
          <w:p w14:paraId="4A465099" w14:textId="77777777" w:rsidR="00CF0E2D" w:rsidRDefault="00CF0E2D" w:rsidP="00A60D4B">
            <w:pPr>
              <w:pStyle w:val="InitFigR"/>
            </w:pPr>
            <w:r>
              <w:t>0</w:t>
            </w:r>
          </w:p>
        </w:tc>
        <w:tc>
          <w:tcPr>
            <w:tcW w:w="1029" w:type="dxa"/>
            <w:tcBorders>
              <w:top w:val="single" w:sz="4" w:space="0" w:color="auto"/>
              <w:bottom w:val="single" w:sz="4" w:space="0" w:color="auto"/>
            </w:tcBorders>
          </w:tcPr>
          <w:p w14:paraId="068EED01" w14:textId="77777777" w:rsidR="00CF0E2D" w:rsidRDefault="00CF0E2D" w:rsidP="00A60D4B">
            <w:pPr>
              <w:pStyle w:val="InitFigR"/>
            </w:pPr>
            <w:r>
              <w:t>0</w:t>
            </w:r>
          </w:p>
        </w:tc>
        <w:tc>
          <w:tcPr>
            <w:tcW w:w="1029" w:type="dxa"/>
            <w:tcBorders>
              <w:top w:val="single" w:sz="4" w:space="0" w:color="auto"/>
              <w:bottom w:val="single" w:sz="4" w:space="0" w:color="auto"/>
            </w:tcBorders>
          </w:tcPr>
          <w:p w14:paraId="3426F6A9" w14:textId="77777777" w:rsidR="00CF0E2D" w:rsidRPr="00067091" w:rsidRDefault="00CF0E2D" w:rsidP="00A60D4B">
            <w:pPr>
              <w:pStyle w:val="InitFigRBold"/>
              <w:rPr>
                <w:bCs/>
              </w:rPr>
            </w:pPr>
            <w:r w:rsidRPr="00067091">
              <w:rPr>
                <w:bCs/>
              </w:rPr>
              <w:t>440</w:t>
            </w:r>
          </w:p>
        </w:tc>
      </w:tr>
      <w:tr w:rsidR="00CF0E2D" w:rsidRPr="00750793" w14:paraId="67AFAD67" w14:textId="77777777" w:rsidTr="00A60D4B">
        <w:trPr>
          <w:cantSplit/>
          <w:jc w:val="center"/>
        </w:trPr>
        <w:tc>
          <w:tcPr>
            <w:tcW w:w="3652" w:type="dxa"/>
            <w:tcBorders>
              <w:top w:val="single" w:sz="4" w:space="0" w:color="auto"/>
              <w:bottom w:val="single" w:sz="4" w:space="0" w:color="auto"/>
            </w:tcBorders>
          </w:tcPr>
          <w:p w14:paraId="63220B1B"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2C10EC24" w14:textId="77777777" w:rsidR="00CF0E2D" w:rsidRPr="00424DA4" w:rsidRDefault="00CF0E2D" w:rsidP="00A60D4B">
            <w:pPr>
              <w:pStyle w:val="InitFigR"/>
            </w:pPr>
            <w:r>
              <w:t>200</w:t>
            </w:r>
          </w:p>
        </w:tc>
        <w:tc>
          <w:tcPr>
            <w:tcW w:w="1041" w:type="dxa"/>
            <w:tcBorders>
              <w:top w:val="single" w:sz="4" w:space="0" w:color="auto"/>
              <w:bottom w:val="single" w:sz="4" w:space="0" w:color="auto"/>
            </w:tcBorders>
          </w:tcPr>
          <w:p w14:paraId="203FF90C"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5141FE46"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6BC4B71E"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74B1E51E" w14:textId="77777777" w:rsidR="00CF0E2D" w:rsidRPr="00424DA4" w:rsidRDefault="00CF0E2D" w:rsidP="00A60D4B">
            <w:pPr>
              <w:pStyle w:val="InitFigBR"/>
            </w:pPr>
            <w:r>
              <w:t>200</w:t>
            </w:r>
          </w:p>
        </w:tc>
      </w:tr>
    </w:tbl>
    <w:p w14:paraId="599C2BD9" w14:textId="77777777" w:rsidR="00CF0E2D" w:rsidRPr="00D930C2" w:rsidRDefault="00CF0E2D" w:rsidP="00A60D4B">
      <w:pPr>
        <w:pStyle w:val="Bbodytext"/>
      </w:pPr>
      <w:r w:rsidRPr="00D930C2">
        <w:t>The Government will support initial works and planning and design for the first stage of a build-to-rent affordable rental project, co-located with Common Ground Gungahlin.</w:t>
      </w:r>
    </w:p>
    <w:p w14:paraId="574AFF18" w14:textId="77777777" w:rsidR="00CF0E2D" w:rsidRPr="00D930C2" w:rsidRDefault="00CF0E2D" w:rsidP="00A60D4B">
      <w:pPr>
        <w:pStyle w:val="Bbodytext"/>
      </w:pPr>
      <w:r w:rsidRPr="00D930C2">
        <w:t xml:space="preserve">This initiative contributes to the wellbeing domains of Housing and home and Economy. </w:t>
      </w:r>
    </w:p>
    <w:p w14:paraId="73291EB2" w14:textId="77777777" w:rsidR="00CF0E2D" w:rsidRDefault="00CF0E2D">
      <w:r>
        <w:rPr>
          <w:rFonts w:eastAsia="Times New Roman" w:cs="Times New Roman"/>
          <w:bCs/>
          <w:noProof/>
          <w:szCs w:val="26"/>
        </w:rPr>
        <w:drawing>
          <wp:anchor distT="0" distB="0" distL="114300" distR="114300" simplePos="0" relativeHeight="251851776" behindDoc="0" locked="1" layoutInCell="1" allowOverlap="1" wp14:anchorId="26FC6B04" wp14:editId="3CA24375">
            <wp:simplePos x="0" y="0"/>
            <wp:positionH relativeFrom="margin">
              <wp:posOffset>4626610</wp:posOffset>
            </wp:positionH>
            <wp:positionV relativeFrom="paragraph">
              <wp:posOffset>345440</wp:posOffset>
            </wp:positionV>
            <wp:extent cx="1105200" cy="504000"/>
            <wp:effectExtent l="0" t="0" r="0" b="0"/>
            <wp:wrapSquare wrapText="bothSides"/>
            <wp:docPr id="153" name="Picture 153" descr="Icon representing the wellbeing domain of Housing and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 representing the wellbeing domain of Housing and ho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105200" cy="504000"/>
                    </a:xfrm>
                    <a:prstGeom prst="rect">
                      <a:avLst/>
                    </a:prstGeom>
                  </pic:spPr>
                </pic:pic>
              </a:graphicData>
            </a:graphic>
            <wp14:sizeRelH relativeFrom="margin">
              <wp14:pctWidth>0</wp14:pctWidth>
            </wp14:sizeRelH>
            <wp14:sizeRelV relativeFrom="margin">
              <wp14:pctHeight>0</wp14:pctHeight>
            </wp14:sizeRelV>
          </wp:anchor>
        </w:drawing>
      </w:r>
    </w:p>
    <w:p w14:paraId="0B8B90D9" w14:textId="77777777" w:rsidR="00CF0E2D" w:rsidRPr="00A04A2F" w:rsidRDefault="00CF0E2D" w:rsidP="00A60D4B">
      <w:pPr>
        <w:pStyle w:val="Heading4"/>
        <w:rPr>
          <w:rFonts w:eastAsia="Times New Roman" w:cs="Times New Roman"/>
          <w:bCs/>
          <w:szCs w:val="26"/>
        </w:rPr>
      </w:pPr>
      <w:r w:rsidRPr="00DE22D2">
        <w:rPr>
          <w:rFonts w:eastAsia="Times New Roman"/>
        </w:rPr>
        <w:t xml:space="preserve">Maintaining and growing affordable housing </w:t>
      </w:r>
      <w:r>
        <w:rPr>
          <w:rFonts w:eastAsia="Times New Roman" w:cs="Times New Roman"/>
          <w:bCs/>
          <w:szCs w:val="26"/>
        </w:rPr>
        <w:t>–</w:t>
      </w:r>
      <w:r w:rsidRPr="00DE22D2">
        <w:rPr>
          <w:rFonts w:eastAsia="Times New Roman" w:cs="Times New Roman"/>
          <w:bCs/>
          <w:szCs w:val="26"/>
        </w:rPr>
        <w:t xml:space="preserve"> </w:t>
      </w:r>
      <w:r w:rsidRPr="00A04A2F">
        <w:rPr>
          <w:rFonts w:eastAsia="Times New Roman" w:cs="Times New Roman"/>
          <w:bCs/>
          <w:szCs w:val="26"/>
        </w:rPr>
        <w:t xml:space="preserve">Planning for the </w:t>
      </w:r>
      <w:r>
        <w:rPr>
          <w:rFonts w:eastAsia="Times New Roman" w:cs="Times New Roman"/>
          <w:szCs w:val="26"/>
        </w:rPr>
        <w:t>s</w:t>
      </w:r>
      <w:r w:rsidRPr="00A04A2F">
        <w:rPr>
          <w:rFonts w:eastAsia="Times New Roman" w:cs="Times New Roman"/>
          <w:szCs w:val="26"/>
        </w:rPr>
        <w:t xml:space="preserve">ustainable </w:t>
      </w:r>
      <w:r>
        <w:rPr>
          <w:rFonts w:eastAsia="Times New Roman" w:cs="Times New Roman"/>
          <w:szCs w:val="26"/>
        </w:rPr>
        <w:t>d</w:t>
      </w:r>
      <w:r w:rsidRPr="00A04A2F">
        <w:rPr>
          <w:rFonts w:eastAsia="Times New Roman" w:cs="Times New Roman"/>
          <w:szCs w:val="26"/>
        </w:rPr>
        <w:t>elivery</w:t>
      </w:r>
      <w:r w:rsidRPr="00A04A2F">
        <w:rPr>
          <w:rFonts w:eastAsia="Times New Roman" w:cs="Times New Roman"/>
          <w:bCs/>
          <w:szCs w:val="26"/>
        </w:rPr>
        <w:t xml:space="preserve"> of </w:t>
      </w:r>
      <w:r>
        <w:rPr>
          <w:rFonts w:eastAsia="Times New Roman" w:cs="Times New Roman"/>
          <w:szCs w:val="26"/>
        </w:rPr>
        <w:t>f</w:t>
      </w:r>
      <w:r w:rsidRPr="00A04A2F">
        <w:rPr>
          <w:rFonts w:eastAsia="Times New Roman" w:cs="Times New Roman"/>
          <w:szCs w:val="26"/>
        </w:rPr>
        <w:t xml:space="preserve">uture </w:t>
      </w:r>
      <w:r>
        <w:rPr>
          <w:rFonts w:eastAsia="Times New Roman" w:cs="Times New Roman"/>
          <w:szCs w:val="26"/>
        </w:rPr>
        <w:t>l</w:t>
      </w:r>
      <w:r w:rsidRPr="00A04A2F">
        <w:rPr>
          <w:rFonts w:eastAsia="Times New Roman" w:cs="Times New Roman"/>
          <w:szCs w:val="26"/>
        </w:rPr>
        <w:t xml:space="preserve">and </w:t>
      </w:r>
      <w:r>
        <w:rPr>
          <w:rFonts w:eastAsia="Times New Roman" w:cs="Times New Roman"/>
          <w:szCs w:val="26"/>
        </w:rPr>
        <w:t>s</w:t>
      </w:r>
      <w:r w:rsidRPr="00A04A2F">
        <w:rPr>
          <w:rFonts w:eastAsia="Times New Roman" w:cs="Times New Roman"/>
          <w:szCs w:val="26"/>
        </w:rPr>
        <w:t xml:space="preserve">upply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65548C4D" w14:textId="77777777" w:rsidTr="00A60D4B">
        <w:trPr>
          <w:cantSplit/>
          <w:jc w:val="center"/>
        </w:trPr>
        <w:tc>
          <w:tcPr>
            <w:tcW w:w="3652" w:type="dxa"/>
            <w:tcBorders>
              <w:top w:val="single" w:sz="4" w:space="0" w:color="auto"/>
              <w:bottom w:val="single" w:sz="4" w:space="0" w:color="auto"/>
            </w:tcBorders>
          </w:tcPr>
          <w:p w14:paraId="044083D1"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3A0D9822" w14:textId="77777777" w:rsidR="00CF0E2D" w:rsidRPr="00925435" w:rsidRDefault="00CF0E2D" w:rsidP="00A60D4B">
            <w:pPr>
              <w:pStyle w:val="InitFigR"/>
              <w:rPr>
                <w:b/>
                <w:bCs/>
              </w:rPr>
            </w:pPr>
            <w:r w:rsidRPr="00925435">
              <w:rPr>
                <w:b/>
                <w:bCs/>
              </w:rPr>
              <w:t>2021-22</w:t>
            </w:r>
          </w:p>
          <w:p w14:paraId="36921476" w14:textId="77777777" w:rsidR="00CF0E2D" w:rsidRPr="00925435" w:rsidRDefault="00CF0E2D" w:rsidP="00A60D4B">
            <w:pPr>
              <w:pStyle w:val="InitFigR"/>
              <w:rPr>
                <w:b/>
                <w:bCs/>
              </w:rPr>
            </w:pPr>
            <w:r w:rsidRPr="00925435">
              <w:rPr>
                <w:b/>
                <w:bCs/>
              </w:rPr>
              <w:t>$’000</w:t>
            </w:r>
          </w:p>
        </w:tc>
        <w:tc>
          <w:tcPr>
            <w:tcW w:w="1041" w:type="dxa"/>
            <w:tcBorders>
              <w:top w:val="single" w:sz="4" w:space="0" w:color="auto"/>
              <w:bottom w:val="single" w:sz="4" w:space="0" w:color="auto"/>
            </w:tcBorders>
          </w:tcPr>
          <w:p w14:paraId="1D27D0FB" w14:textId="77777777" w:rsidR="00CF0E2D" w:rsidRPr="00925435" w:rsidRDefault="00CF0E2D" w:rsidP="00A60D4B">
            <w:pPr>
              <w:pStyle w:val="InitFigR"/>
              <w:rPr>
                <w:b/>
                <w:bCs/>
              </w:rPr>
            </w:pPr>
            <w:r w:rsidRPr="00925435">
              <w:rPr>
                <w:b/>
                <w:bCs/>
              </w:rPr>
              <w:t>2022-23</w:t>
            </w:r>
          </w:p>
          <w:p w14:paraId="1B88E60F" w14:textId="77777777" w:rsidR="00CF0E2D" w:rsidRPr="00925435" w:rsidRDefault="00CF0E2D" w:rsidP="00A60D4B">
            <w:pPr>
              <w:pStyle w:val="InitFigR"/>
              <w:rPr>
                <w:b/>
                <w:bCs/>
              </w:rPr>
            </w:pPr>
            <w:r w:rsidRPr="00925435">
              <w:rPr>
                <w:b/>
                <w:bCs/>
              </w:rPr>
              <w:t>$’000</w:t>
            </w:r>
          </w:p>
        </w:tc>
        <w:tc>
          <w:tcPr>
            <w:tcW w:w="1029" w:type="dxa"/>
            <w:tcBorders>
              <w:top w:val="single" w:sz="4" w:space="0" w:color="auto"/>
              <w:bottom w:val="single" w:sz="4" w:space="0" w:color="auto"/>
            </w:tcBorders>
          </w:tcPr>
          <w:p w14:paraId="6DEE7BC1" w14:textId="77777777" w:rsidR="00CF0E2D" w:rsidRPr="00925435" w:rsidRDefault="00CF0E2D" w:rsidP="00A60D4B">
            <w:pPr>
              <w:pStyle w:val="InitFigR"/>
              <w:rPr>
                <w:b/>
                <w:bCs/>
              </w:rPr>
            </w:pPr>
            <w:r w:rsidRPr="00925435">
              <w:rPr>
                <w:b/>
                <w:bCs/>
              </w:rPr>
              <w:t>2023-24</w:t>
            </w:r>
          </w:p>
          <w:p w14:paraId="710E7EB1" w14:textId="77777777" w:rsidR="00CF0E2D" w:rsidRPr="00925435" w:rsidRDefault="00CF0E2D" w:rsidP="00A60D4B">
            <w:pPr>
              <w:pStyle w:val="InitFigR"/>
              <w:rPr>
                <w:b/>
                <w:bCs/>
              </w:rPr>
            </w:pPr>
            <w:r w:rsidRPr="00925435">
              <w:rPr>
                <w:b/>
                <w:bCs/>
              </w:rPr>
              <w:t>$’000</w:t>
            </w:r>
          </w:p>
        </w:tc>
        <w:tc>
          <w:tcPr>
            <w:tcW w:w="1029" w:type="dxa"/>
            <w:tcBorders>
              <w:top w:val="single" w:sz="4" w:space="0" w:color="auto"/>
              <w:bottom w:val="single" w:sz="4" w:space="0" w:color="auto"/>
            </w:tcBorders>
          </w:tcPr>
          <w:p w14:paraId="541F3593" w14:textId="77777777" w:rsidR="00CF0E2D" w:rsidRPr="00925435" w:rsidRDefault="00CF0E2D" w:rsidP="00A60D4B">
            <w:pPr>
              <w:pStyle w:val="InitFigR"/>
              <w:rPr>
                <w:b/>
                <w:bCs/>
              </w:rPr>
            </w:pPr>
            <w:r w:rsidRPr="00925435">
              <w:rPr>
                <w:b/>
                <w:bCs/>
              </w:rPr>
              <w:t>2024-25</w:t>
            </w:r>
          </w:p>
          <w:p w14:paraId="4C572A2F" w14:textId="77777777" w:rsidR="00CF0E2D" w:rsidRPr="00925435" w:rsidRDefault="00CF0E2D" w:rsidP="00A60D4B">
            <w:pPr>
              <w:pStyle w:val="InitFigR"/>
              <w:rPr>
                <w:b/>
                <w:bCs/>
              </w:rPr>
            </w:pPr>
            <w:r w:rsidRPr="00925435">
              <w:rPr>
                <w:b/>
                <w:bCs/>
              </w:rPr>
              <w:t>$’000</w:t>
            </w:r>
          </w:p>
        </w:tc>
        <w:tc>
          <w:tcPr>
            <w:tcW w:w="1029" w:type="dxa"/>
            <w:tcBorders>
              <w:top w:val="single" w:sz="4" w:space="0" w:color="auto"/>
              <w:bottom w:val="single" w:sz="4" w:space="0" w:color="auto"/>
            </w:tcBorders>
          </w:tcPr>
          <w:p w14:paraId="46FA287D" w14:textId="77777777" w:rsidR="00CF0E2D" w:rsidRPr="004E341E" w:rsidRDefault="00CF0E2D" w:rsidP="00A60D4B">
            <w:pPr>
              <w:pStyle w:val="InitFigRBold"/>
            </w:pPr>
            <w:r w:rsidRPr="004E341E">
              <w:t>Total</w:t>
            </w:r>
          </w:p>
          <w:p w14:paraId="05F00DF8" w14:textId="77777777" w:rsidR="00CF0E2D" w:rsidRPr="004E341E" w:rsidRDefault="00CF0E2D" w:rsidP="00A60D4B">
            <w:pPr>
              <w:pStyle w:val="InitFigBR"/>
            </w:pPr>
            <w:r w:rsidRPr="004E341E">
              <w:t>$’000</w:t>
            </w:r>
          </w:p>
        </w:tc>
      </w:tr>
      <w:tr w:rsidR="00CF0E2D" w:rsidRPr="00750793" w14:paraId="43F40AEB" w14:textId="77777777" w:rsidTr="00A60D4B">
        <w:trPr>
          <w:cantSplit/>
          <w:jc w:val="center"/>
        </w:trPr>
        <w:tc>
          <w:tcPr>
            <w:tcW w:w="3652" w:type="dxa"/>
            <w:tcBorders>
              <w:top w:val="single" w:sz="4" w:space="0" w:color="auto"/>
              <w:bottom w:val="single" w:sz="4" w:space="0" w:color="auto"/>
            </w:tcBorders>
          </w:tcPr>
          <w:p w14:paraId="7797626D"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05A7E47D" w14:textId="77777777" w:rsidR="00CF0E2D" w:rsidRPr="00424DA4" w:rsidRDefault="00CF0E2D" w:rsidP="00A60D4B">
            <w:pPr>
              <w:pStyle w:val="InitFigR"/>
            </w:pPr>
            <w:r>
              <w:t>1,894</w:t>
            </w:r>
          </w:p>
        </w:tc>
        <w:tc>
          <w:tcPr>
            <w:tcW w:w="1041" w:type="dxa"/>
            <w:tcBorders>
              <w:top w:val="single" w:sz="4" w:space="0" w:color="auto"/>
              <w:bottom w:val="single" w:sz="4" w:space="0" w:color="auto"/>
            </w:tcBorders>
          </w:tcPr>
          <w:p w14:paraId="14F550AD" w14:textId="77777777" w:rsidR="00CF0E2D" w:rsidRPr="00424DA4" w:rsidRDefault="00CF0E2D" w:rsidP="00A60D4B">
            <w:pPr>
              <w:pStyle w:val="InitFigR"/>
            </w:pPr>
            <w:r>
              <w:t>2,061</w:t>
            </w:r>
          </w:p>
        </w:tc>
        <w:tc>
          <w:tcPr>
            <w:tcW w:w="1029" w:type="dxa"/>
            <w:tcBorders>
              <w:top w:val="single" w:sz="4" w:space="0" w:color="auto"/>
              <w:bottom w:val="single" w:sz="4" w:space="0" w:color="auto"/>
            </w:tcBorders>
          </w:tcPr>
          <w:p w14:paraId="2224B858" w14:textId="77777777" w:rsidR="00CF0E2D" w:rsidRPr="00424DA4" w:rsidRDefault="00CF0E2D" w:rsidP="00A60D4B">
            <w:pPr>
              <w:pStyle w:val="InitFigR"/>
            </w:pPr>
            <w:r>
              <w:t>2,098</w:t>
            </w:r>
          </w:p>
        </w:tc>
        <w:tc>
          <w:tcPr>
            <w:tcW w:w="1029" w:type="dxa"/>
            <w:tcBorders>
              <w:top w:val="single" w:sz="4" w:space="0" w:color="auto"/>
              <w:bottom w:val="single" w:sz="4" w:space="0" w:color="auto"/>
            </w:tcBorders>
          </w:tcPr>
          <w:p w14:paraId="75C0C3FC" w14:textId="77777777" w:rsidR="00CF0E2D" w:rsidRPr="00424DA4" w:rsidRDefault="00CF0E2D" w:rsidP="00A60D4B">
            <w:pPr>
              <w:pStyle w:val="InitFigR"/>
            </w:pPr>
            <w:r>
              <w:t>2,148</w:t>
            </w:r>
          </w:p>
        </w:tc>
        <w:tc>
          <w:tcPr>
            <w:tcW w:w="1029" w:type="dxa"/>
            <w:tcBorders>
              <w:top w:val="single" w:sz="4" w:space="0" w:color="auto"/>
              <w:bottom w:val="single" w:sz="4" w:space="0" w:color="auto"/>
            </w:tcBorders>
          </w:tcPr>
          <w:p w14:paraId="7F2B8757" w14:textId="77777777" w:rsidR="00CF0E2D" w:rsidRPr="00424DA4" w:rsidRDefault="00CF0E2D" w:rsidP="00A60D4B">
            <w:pPr>
              <w:pStyle w:val="InitFigBR"/>
            </w:pPr>
            <w:r>
              <w:t>8,201</w:t>
            </w:r>
          </w:p>
        </w:tc>
      </w:tr>
    </w:tbl>
    <w:p w14:paraId="0453AC05" w14:textId="77777777" w:rsidR="00CF0E2D" w:rsidRPr="00A04A2F" w:rsidRDefault="00CF0E2D" w:rsidP="00A60D4B">
      <w:pPr>
        <w:pStyle w:val="Bbodytext"/>
        <w:rPr>
          <w:rFonts w:ascii="Calibri" w:eastAsia="Times New Roman" w:hAnsi="Calibri" w:cs="Times New Roman"/>
          <w:szCs w:val="20"/>
        </w:rPr>
      </w:pPr>
      <w:r w:rsidRPr="00A04A2F">
        <w:t>The Government wi</w:t>
      </w:r>
      <w:r w:rsidRPr="00A04A2F">
        <w:rPr>
          <w:rFonts w:ascii="Calibri" w:eastAsia="Times New Roman" w:hAnsi="Calibri" w:cs="Times New Roman"/>
          <w:szCs w:val="20"/>
        </w:rPr>
        <w:t>ll increase its planning and site investigation activities to support the on</w:t>
      </w:r>
      <w:r>
        <w:rPr>
          <w:rFonts w:ascii="Calibri" w:eastAsia="Times New Roman" w:hAnsi="Calibri" w:cs="Times New Roman"/>
          <w:szCs w:val="20"/>
        </w:rPr>
        <w:noBreakHyphen/>
      </w:r>
      <w:r w:rsidRPr="00A04A2F">
        <w:rPr>
          <w:rFonts w:ascii="Calibri" w:eastAsia="Times New Roman" w:hAnsi="Calibri" w:cs="Times New Roman"/>
          <w:szCs w:val="20"/>
        </w:rPr>
        <w:t xml:space="preserve">time delivery of the Indicative Land Release Program. </w:t>
      </w:r>
    </w:p>
    <w:p w14:paraId="18FAFCB5" w14:textId="77777777" w:rsidR="00CF0E2D" w:rsidRDefault="00CF0E2D" w:rsidP="00A60D4B">
      <w:pPr>
        <w:pStyle w:val="Bbodytext"/>
      </w:pPr>
      <w:r w:rsidRPr="00A04A2F">
        <w:t xml:space="preserve">This initiative contributes to the wellbeing domains of Housing and home and Identity and belonging. </w:t>
      </w:r>
    </w:p>
    <w:p w14:paraId="6FBD6AC4" w14:textId="77777777" w:rsidR="00CF0E2D" w:rsidRPr="009C7DB8" w:rsidRDefault="00CF0E2D" w:rsidP="00A60D4B">
      <w:pPr>
        <w:pStyle w:val="Heading4"/>
        <w:rPr>
          <w:rFonts w:eastAsia="Times New Roman" w:cs="Times New Roman"/>
          <w:bCs/>
          <w:szCs w:val="26"/>
        </w:rPr>
      </w:pPr>
      <w:r w:rsidRPr="006E29C0">
        <w:rPr>
          <w:rFonts w:eastAsia="Times New Roman"/>
        </w:rPr>
        <w:lastRenderedPageBreak/>
        <w:t xml:space="preserve">Protecting Canberra’s </w:t>
      </w:r>
      <w:r>
        <w:rPr>
          <w:rFonts w:eastAsia="Times New Roman"/>
        </w:rPr>
        <w:t>u</w:t>
      </w:r>
      <w:r w:rsidRPr="006E29C0">
        <w:rPr>
          <w:rFonts w:eastAsia="Times New Roman"/>
        </w:rPr>
        <w:t xml:space="preserve">nique </w:t>
      </w:r>
      <w:r>
        <w:rPr>
          <w:rFonts w:eastAsia="Times New Roman"/>
        </w:rPr>
        <w:t>e</w:t>
      </w:r>
      <w:r w:rsidRPr="006E29C0">
        <w:rPr>
          <w:rFonts w:eastAsia="Times New Roman"/>
        </w:rPr>
        <w:t xml:space="preserve">nvironment </w:t>
      </w:r>
      <w:r>
        <w:rPr>
          <w:rFonts w:eastAsia="Times New Roman"/>
        </w:rPr>
        <w:t>–</w:t>
      </w:r>
      <w:r w:rsidRPr="006E29C0">
        <w:rPr>
          <w:rFonts w:eastAsia="Times New Roman"/>
        </w:rPr>
        <w:t xml:space="preserve"> </w:t>
      </w:r>
      <w:r w:rsidRPr="00F22037">
        <w:rPr>
          <w:rFonts w:eastAsia="Times New Roman" w:cs="Times New Roman"/>
          <w:bCs/>
          <w:szCs w:val="26"/>
        </w:rPr>
        <w:t xml:space="preserve">Better managing invasive species </w:t>
      </w:r>
      <w:r>
        <w:rPr>
          <w:rFonts w:eastAsia="Times New Roman"/>
          <w:noProof/>
        </w:rPr>
        <w:drawing>
          <wp:anchor distT="0" distB="0" distL="114300" distR="114300" simplePos="0" relativeHeight="251840512" behindDoc="0" locked="1" layoutInCell="1" allowOverlap="1" wp14:anchorId="3802B286" wp14:editId="5A87A268">
            <wp:simplePos x="0" y="0"/>
            <wp:positionH relativeFrom="margin">
              <wp:align>right</wp:align>
            </wp:positionH>
            <wp:positionV relativeFrom="paragraph">
              <wp:posOffset>6985</wp:posOffset>
            </wp:positionV>
            <wp:extent cx="1393190" cy="503555"/>
            <wp:effectExtent l="0" t="0" r="0" b="0"/>
            <wp:wrapSquare wrapText="bothSides"/>
            <wp:docPr id="9" name="Picture 9" descr="Icon representing the wellbeing domain of Environment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nvironment and clima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319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648D4C9B" w14:textId="77777777" w:rsidTr="00A60D4B">
        <w:trPr>
          <w:cantSplit/>
          <w:jc w:val="center"/>
        </w:trPr>
        <w:tc>
          <w:tcPr>
            <w:tcW w:w="3652" w:type="dxa"/>
            <w:tcBorders>
              <w:top w:val="single" w:sz="4" w:space="0" w:color="auto"/>
              <w:bottom w:val="single" w:sz="4" w:space="0" w:color="auto"/>
            </w:tcBorders>
          </w:tcPr>
          <w:p w14:paraId="50B5D830"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6B33945C" w14:textId="77777777" w:rsidR="00CF0E2D" w:rsidRPr="00F2314E" w:rsidRDefault="00CF0E2D" w:rsidP="00A60D4B">
            <w:pPr>
              <w:pStyle w:val="InitFigR"/>
              <w:keepNext/>
              <w:keepLines/>
              <w:rPr>
                <w:b/>
                <w:bCs/>
              </w:rPr>
            </w:pPr>
            <w:r w:rsidRPr="00F2314E">
              <w:rPr>
                <w:b/>
                <w:bCs/>
              </w:rPr>
              <w:t>2021-22</w:t>
            </w:r>
          </w:p>
          <w:p w14:paraId="34CF6EFB" w14:textId="77777777" w:rsidR="00CF0E2D" w:rsidRPr="00F2314E" w:rsidRDefault="00CF0E2D" w:rsidP="00A60D4B">
            <w:pPr>
              <w:pStyle w:val="InitFigR"/>
              <w:keepNext/>
              <w:keepLines/>
              <w:rPr>
                <w:b/>
                <w:bCs/>
              </w:rPr>
            </w:pPr>
            <w:r w:rsidRPr="00F2314E">
              <w:rPr>
                <w:b/>
                <w:bCs/>
              </w:rPr>
              <w:t>$’000</w:t>
            </w:r>
          </w:p>
        </w:tc>
        <w:tc>
          <w:tcPr>
            <w:tcW w:w="1041" w:type="dxa"/>
            <w:tcBorders>
              <w:top w:val="single" w:sz="4" w:space="0" w:color="auto"/>
              <w:bottom w:val="single" w:sz="4" w:space="0" w:color="auto"/>
            </w:tcBorders>
          </w:tcPr>
          <w:p w14:paraId="14E159D8" w14:textId="77777777" w:rsidR="00CF0E2D" w:rsidRPr="00F2314E" w:rsidRDefault="00CF0E2D" w:rsidP="00A60D4B">
            <w:pPr>
              <w:pStyle w:val="InitFigR"/>
              <w:keepNext/>
              <w:keepLines/>
              <w:rPr>
                <w:b/>
                <w:bCs/>
              </w:rPr>
            </w:pPr>
            <w:r w:rsidRPr="00F2314E">
              <w:rPr>
                <w:b/>
                <w:bCs/>
              </w:rPr>
              <w:t>2022-23</w:t>
            </w:r>
          </w:p>
          <w:p w14:paraId="244071F6" w14:textId="77777777" w:rsidR="00CF0E2D" w:rsidRPr="00F2314E" w:rsidRDefault="00CF0E2D" w:rsidP="00A60D4B">
            <w:pPr>
              <w:pStyle w:val="InitFigR"/>
              <w:keepNext/>
              <w:keepLines/>
              <w:rPr>
                <w:b/>
                <w:bCs/>
              </w:rPr>
            </w:pPr>
            <w:r w:rsidRPr="00F2314E">
              <w:rPr>
                <w:b/>
                <w:bCs/>
              </w:rPr>
              <w:t>$’000</w:t>
            </w:r>
          </w:p>
        </w:tc>
        <w:tc>
          <w:tcPr>
            <w:tcW w:w="1029" w:type="dxa"/>
            <w:tcBorders>
              <w:top w:val="single" w:sz="4" w:space="0" w:color="auto"/>
              <w:bottom w:val="single" w:sz="4" w:space="0" w:color="auto"/>
            </w:tcBorders>
          </w:tcPr>
          <w:p w14:paraId="5760B093" w14:textId="77777777" w:rsidR="00CF0E2D" w:rsidRPr="00F2314E" w:rsidRDefault="00CF0E2D" w:rsidP="00A60D4B">
            <w:pPr>
              <w:pStyle w:val="InitFigR"/>
              <w:keepNext/>
              <w:keepLines/>
              <w:rPr>
                <w:b/>
                <w:bCs/>
              </w:rPr>
            </w:pPr>
            <w:r w:rsidRPr="00F2314E">
              <w:rPr>
                <w:b/>
                <w:bCs/>
              </w:rPr>
              <w:t>2023-24</w:t>
            </w:r>
          </w:p>
          <w:p w14:paraId="3362D8CF" w14:textId="77777777" w:rsidR="00CF0E2D" w:rsidRPr="00F2314E" w:rsidRDefault="00CF0E2D" w:rsidP="00A60D4B">
            <w:pPr>
              <w:pStyle w:val="InitFigR"/>
              <w:keepNext/>
              <w:keepLines/>
              <w:rPr>
                <w:b/>
                <w:bCs/>
              </w:rPr>
            </w:pPr>
            <w:r w:rsidRPr="00F2314E">
              <w:rPr>
                <w:b/>
                <w:bCs/>
              </w:rPr>
              <w:t>$’000</w:t>
            </w:r>
          </w:p>
        </w:tc>
        <w:tc>
          <w:tcPr>
            <w:tcW w:w="1029" w:type="dxa"/>
            <w:tcBorders>
              <w:top w:val="single" w:sz="4" w:space="0" w:color="auto"/>
              <w:bottom w:val="single" w:sz="4" w:space="0" w:color="auto"/>
            </w:tcBorders>
          </w:tcPr>
          <w:p w14:paraId="72245C21" w14:textId="77777777" w:rsidR="00CF0E2D" w:rsidRPr="00F2314E" w:rsidRDefault="00CF0E2D" w:rsidP="00A60D4B">
            <w:pPr>
              <w:pStyle w:val="InitFigR"/>
              <w:keepNext/>
              <w:keepLines/>
              <w:rPr>
                <w:b/>
                <w:bCs/>
              </w:rPr>
            </w:pPr>
            <w:r w:rsidRPr="00F2314E">
              <w:rPr>
                <w:b/>
                <w:bCs/>
              </w:rPr>
              <w:t>2024-25</w:t>
            </w:r>
          </w:p>
          <w:p w14:paraId="77EF6382" w14:textId="77777777" w:rsidR="00CF0E2D" w:rsidRPr="00F2314E" w:rsidRDefault="00CF0E2D" w:rsidP="00A60D4B">
            <w:pPr>
              <w:pStyle w:val="InitFigR"/>
              <w:keepNext/>
              <w:keepLines/>
              <w:rPr>
                <w:b/>
                <w:bCs/>
              </w:rPr>
            </w:pPr>
            <w:r w:rsidRPr="00F2314E">
              <w:rPr>
                <w:b/>
                <w:bCs/>
              </w:rPr>
              <w:t>$’000</w:t>
            </w:r>
          </w:p>
        </w:tc>
        <w:tc>
          <w:tcPr>
            <w:tcW w:w="1029" w:type="dxa"/>
            <w:tcBorders>
              <w:top w:val="single" w:sz="4" w:space="0" w:color="auto"/>
              <w:bottom w:val="single" w:sz="4" w:space="0" w:color="auto"/>
            </w:tcBorders>
          </w:tcPr>
          <w:p w14:paraId="35C96671" w14:textId="77777777" w:rsidR="00CF0E2D" w:rsidRPr="004E341E" w:rsidRDefault="00CF0E2D" w:rsidP="00A60D4B">
            <w:pPr>
              <w:pStyle w:val="InitFigRBold"/>
              <w:keepNext/>
              <w:keepLines/>
            </w:pPr>
            <w:r w:rsidRPr="004E341E">
              <w:t>Total</w:t>
            </w:r>
          </w:p>
          <w:p w14:paraId="0A6BCC67" w14:textId="77777777" w:rsidR="00CF0E2D" w:rsidRPr="004E341E" w:rsidRDefault="00CF0E2D" w:rsidP="00A60D4B">
            <w:pPr>
              <w:pStyle w:val="InitFigBR"/>
              <w:keepNext/>
              <w:keepLines/>
            </w:pPr>
            <w:r w:rsidRPr="004E341E">
              <w:t>$’000</w:t>
            </w:r>
          </w:p>
        </w:tc>
      </w:tr>
      <w:tr w:rsidR="00CF0E2D" w:rsidRPr="00750793" w14:paraId="77A39E1E" w14:textId="77777777" w:rsidTr="00A60D4B">
        <w:trPr>
          <w:cantSplit/>
          <w:jc w:val="center"/>
        </w:trPr>
        <w:tc>
          <w:tcPr>
            <w:tcW w:w="3652" w:type="dxa"/>
            <w:tcBorders>
              <w:top w:val="single" w:sz="4" w:space="0" w:color="auto"/>
              <w:bottom w:val="single" w:sz="4" w:space="0" w:color="auto"/>
            </w:tcBorders>
          </w:tcPr>
          <w:p w14:paraId="1BC0B133" w14:textId="77777777" w:rsidR="00CF0E2D" w:rsidRPr="00F13FAB" w:rsidRDefault="00CF0E2D" w:rsidP="00A60D4B">
            <w:pPr>
              <w:pStyle w:val="InitTextL"/>
              <w:keepNext/>
              <w:keepLines/>
              <w:ind w:left="321" w:hanging="321"/>
            </w:pPr>
            <w:r w:rsidRPr="00882BE2">
              <w:t>Expenses</w:t>
            </w:r>
          </w:p>
        </w:tc>
        <w:tc>
          <w:tcPr>
            <w:tcW w:w="1179" w:type="dxa"/>
            <w:tcBorders>
              <w:top w:val="single" w:sz="4" w:space="0" w:color="auto"/>
              <w:bottom w:val="single" w:sz="4" w:space="0" w:color="auto"/>
            </w:tcBorders>
          </w:tcPr>
          <w:p w14:paraId="4A5AB1AA" w14:textId="77777777" w:rsidR="00CF0E2D" w:rsidRPr="00424DA4" w:rsidRDefault="00CF0E2D" w:rsidP="00A60D4B">
            <w:pPr>
              <w:pStyle w:val="InitFigR"/>
              <w:keepNext/>
              <w:keepLines/>
            </w:pPr>
            <w:r>
              <w:t>414</w:t>
            </w:r>
          </w:p>
        </w:tc>
        <w:tc>
          <w:tcPr>
            <w:tcW w:w="1041" w:type="dxa"/>
            <w:tcBorders>
              <w:top w:val="single" w:sz="4" w:space="0" w:color="auto"/>
              <w:bottom w:val="single" w:sz="4" w:space="0" w:color="auto"/>
            </w:tcBorders>
          </w:tcPr>
          <w:p w14:paraId="145EB32F" w14:textId="77777777" w:rsidR="00CF0E2D" w:rsidRPr="00424DA4" w:rsidRDefault="00CF0E2D" w:rsidP="00A60D4B">
            <w:pPr>
              <w:pStyle w:val="InitFigR"/>
              <w:keepNext/>
              <w:keepLines/>
            </w:pPr>
            <w:r>
              <w:t>839</w:t>
            </w:r>
          </w:p>
        </w:tc>
        <w:tc>
          <w:tcPr>
            <w:tcW w:w="1029" w:type="dxa"/>
            <w:tcBorders>
              <w:top w:val="single" w:sz="4" w:space="0" w:color="auto"/>
              <w:bottom w:val="single" w:sz="4" w:space="0" w:color="auto"/>
            </w:tcBorders>
          </w:tcPr>
          <w:p w14:paraId="100CBF2F" w14:textId="77777777" w:rsidR="00CF0E2D" w:rsidRPr="00424DA4" w:rsidRDefault="00CF0E2D" w:rsidP="00A60D4B">
            <w:pPr>
              <w:pStyle w:val="InitFigR"/>
              <w:keepNext/>
              <w:keepLines/>
            </w:pPr>
            <w:r>
              <w:t>851</w:t>
            </w:r>
          </w:p>
        </w:tc>
        <w:tc>
          <w:tcPr>
            <w:tcW w:w="1029" w:type="dxa"/>
            <w:tcBorders>
              <w:top w:val="single" w:sz="4" w:space="0" w:color="auto"/>
              <w:bottom w:val="single" w:sz="4" w:space="0" w:color="auto"/>
            </w:tcBorders>
          </w:tcPr>
          <w:p w14:paraId="540F2EE3" w14:textId="77777777" w:rsidR="00CF0E2D" w:rsidRPr="00424DA4" w:rsidRDefault="00CF0E2D" w:rsidP="00A60D4B">
            <w:pPr>
              <w:pStyle w:val="InitFigR"/>
              <w:keepNext/>
              <w:keepLines/>
            </w:pPr>
            <w:r>
              <w:t>864</w:t>
            </w:r>
          </w:p>
        </w:tc>
        <w:tc>
          <w:tcPr>
            <w:tcW w:w="1029" w:type="dxa"/>
            <w:tcBorders>
              <w:top w:val="single" w:sz="4" w:space="0" w:color="auto"/>
              <w:bottom w:val="single" w:sz="4" w:space="0" w:color="auto"/>
            </w:tcBorders>
          </w:tcPr>
          <w:p w14:paraId="658698DF" w14:textId="77777777" w:rsidR="00CF0E2D" w:rsidRPr="00424DA4" w:rsidRDefault="00CF0E2D" w:rsidP="00A60D4B">
            <w:pPr>
              <w:pStyle w:val="InitFigBR"/>
              <w:keepNext/>
              <w:keepLines/>
            </w:pPr>
            <w:r>
              <w:t>2,968</w:t>
            </w:r>
          </w:p>
        </w:tc>
      </w:tr>
    </w:tbl>
    <w:p w14:paraId="5AF5CF72" w14:textId="77777777" w:rsidR="00CF0E2D" w:rsidRPr="009C7DB8" w:rsidRDefault="00CF0E2D" w:rsidP="00A60D4B">
      <w:pPr>
        <w:pStyle w:val="Bbodytext"/>
        <w:rPr>
          <w:rFonts w:ascii="Calibri" w:eastAsia="Times New Roman" w:hAnsi="Calibri" w:cs="Times New Roman"/>
          <w:szCs w:val="20"/>
        </w:rPr>
      </w:pPr>
      <w:r w:rsidRPr="009C7DB8">
        <w:t>The Government wi</w:t>
      </w:r>
      <w:r w:rsidRPr="009C7DB8">
        <w:rPr>
          <w:rFonts w:ascii="Calibri" w:eastAsia="Times New Roman" w:hAnsi="Calibri" w:cs="Times New Roman"/>
          <w:szCs w:val="20"/>
        </w:rPr>
        <w:t>ll establish an Invasive Species Rapid Response Biosecurity Team to prevent, eradicate and undertake early containment of invasive plants, animals and diseases to reduce biosecurity risk</w:t>
      </w:r>
      <w:r>
        <w:rPr>
          <w:rFonts w:ascii="Calibri" w:eastAsia="Times New Roman" w:hAnsi="Calibri" w:cs="Times New Roman"/>
          <w:szCs w:val="20"/>
        </w:rPr>
        <w:t>s</w:t>
      </w:r>
      <w:r w:rsidRPr="009C7DB8">
        <w:rPr>
          <w:rFonts w:ascii="Calibri" w:eastAsia="Times New Roman" w:hAnsi="Calibri" w:cs="Times New Roman"/>
          <w:szCs w:val="20"/>
        </w:rPr>
        <w:t xml:space="preserve"> in the ACT. </w:t>
      </w:r>
    </w:p>
    <w:p w14:paraId="23242DA5" w14:textId="77777777" w:rsidR="00CF0E2D" w:rsidRDefault="00CF0E2D" w:rsidP="00A60D4B">
      <w:pPr>
        <w:pStyle w:val="Bbodytext"/>
        <w:rPr>
          <w:rFonts w:ascii="Calibri" w:eastAsia="Times New Roman" w:hAnsi="Calibri" w:cs="Times New Roman"/>
          <w:szCs w:val="20"/>
        </w:rPr>
      </w:pPr>
      <w:r w:rsidRPr="009C7DB8">
        <w:t>This initiative contributes to the well</w:t>
      </w:r>
      <w:r w:rsidRPr="009C7DB8">
        <w:rPr>
          <w:rFonts w:ascii="Calibri" w:eastAsia="Times New Roman" w:hAnsi="Calibri" w:cs="Times New Roman"/>
          <w:szCs w:val="20"/>
        </w:rPr>
        <w:t>being domains of Environment and climate, Health and Economy.</w:t>
      </w:r>
    </w:p>
    <w:p w14:paraId="3DF7D5A1" w14:textId="77777777" w:rsidR="00CF0E2D" w:rsidRDefault="00CF0E2D" w:rsidP="00A60D4B">
      <w:pPr>
        <w:pStyle w:val="Bbodytext"/>
      </w:pPr>
    </w:p>
    <w:p w14:paraId="67CB4E4A" w14:textId="77777777" w:rsidR="00CF0E2D" w:rsidRPr="00C0079A" w:rsidRDefault="00CF0E2D" w:rsidP="00A60D4B">
      <w:pPr>
        <w:pStyle w:val="Heading4"/>
        <w:rPr>
          <w:rFonts w:eastAsia="Times New Roman" w:cs="Times New Roman"/>
          <w:bCs/>
          <w:szCs w:val="26"/>
        </w:rPr>
      </w:pPr>
      <w:r w:rsidRPr="00C0079A">
        <w:rPr>
          <w:rFonts w:eastAsia="Times New Roman"/>
        </w:rPr>
        <w:t xml:space="preserve">Protecting Canberra's </w:t>
      </w:r>
      <w:r>
        <w:rPr>
          <w:rFonts w:eastAsia="Times New Roman"/>
        </w:rPr>
        <w:t>u</w:t>
      </w:r>
      <w:r w:rsidRPr="00C0079A">
        <w:rPr>
          <w:rFonts w:eastAsia="Times New Roman"/>
        </w:rPr>
        <w:t xml:space="preserve">nique </w:t>
      </w:r>
      <w:r>
        <w:rPr>
          <w:rFonts w:eastAsia="Times New Roman"/>
        </w:rPr>
        <w:t>e</w:t>
      </w:r>
      <w:r w:rsidRPr="00C0079A">
        <w:rPr>
          <w:rFonts w:eastAsia="Times New Roman"/>
        </w:rPr>
        <w:t xml:space="preserve">nvironment </w:t>
      </w:r>
      <w:r>
        <w:rPr>
          <w:rFonts w:eastAsia="Times New Roman" w:cs="Times New Roman"/>
          <w:bCs/>
          <w:szCs w:val="26"/>
        </w:rPr>
        <w:t>–</w:t>
      </w:r>
      <w:r w:rsidRPr="00C0079A">
        <w:rPr>
          <w:rFonts w:eastAsia="Times New Roman" w:cs="Times New Roman"/>
          <w:bCs/>
          <w:szCs w:val="26"/>
        </w:rPr>
        <w:t xml:space="preserve"> Expanding Healthy Waterways</w:t>
      </w:r>
      <w:r>
        <w:rPr>
          <w:rFonts w:eastAsia="Times New Roman"/>
          <w:noProof/>
        </w:rPr>
        <w:drawing>
          <wp:anchor distT="0" distB="0" distL="114300" distR="114300" simplePos="0" relativeHeight="251841536" behindDoc="0" locked="1" layoutInCell="1" allowOverlap="1" wp14:anchorId="206E66EB" wp14:editId="466F17DE">
            <wp:simplePos x="0" y="0"/>
            <wp:positionH relativeFrom="margin">
              <wp:align>right</wp:align>
            </wp:positionH>
            <wp:positionV relativeFrom="paragraph">
              <wp:posOffset>86995</wp:posOffset>
            </wp:positionV>
            <wp:extent cx="1393190" cy="503555"/>
            <wp:effectExtent l="0" t="0" r="0" b="0"/>
            <wp:wrapSquare wrapText="bothSides"/>
            <wp:docPr id="154" name="Picture 154" descr="Icon representing the wellbeing domain of Environment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nvironment and clima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3190" cy="503555"/>
                    </a:xfrm>
                    <a:prstGeom prst="rect">
                      <a:avLst/>
                    </a:prstGeom>
                  </pic:spPr>
                </pic:pic>
              </a:graphicData>
            </a:graphic>
            <wp14:sizeRelH relativeFrom="margin">
              <wp14:pctWidth>0</wp14:pctWidth>
            </wp14:sizeRelH>
            <wp14:sizeRelV relativeFrom="margin">
              <wp14:pctHeight>0</wp14:pctHeight>
            </wp14:sizeRelV>
          </wp:anchor>
        </w:drawing>
      </w:r>
      <w:r w:rsidRPr="00C0079A">
        <w:rPr>
          <w:rFonts w:eastAsia="Times New Roman" w:cs="Times New Roman"/>
          <w:bCs/>
          <w:szCs w:val="26"/>
        </w:rPr>
        <w:t xml:space="preserve">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211AF1" w14:paraId="6B1E37F5" w14:textId="77777777" w:rsidTr="00A60D4B">
        <w:trPr>
          <w:cantSplit/>
          <w:jc w:val="center"/>
        </w:trPr>
        <w:tc>
          <w:tcPr>
            <w:tcW w:w="3652" w:type="dxa"/>
            <w:tcBorders>
              <w:top w:val="single" w:sz="4" w:space="0" w:color="auto"/>
              <w:bottom w:val="single" w:sz="4" w:space="0" w:color="auto"/>
            </w:tcBorders>
          </w:tcPr>
          <w:p w14:paraId="7D874DB0" w14:textId="77777777" w:rsidR="00CF0E2D" w:rsidRPr="00211AF1" w:rsidRDefault="00CF0E2D" w:rsidP="00A60D4B">
            <w:pPr>
              <w:pStyle w:val="EmptyCell0"/>
            </w:pPr>
            <w:r w:rsidRPr="00211AF1">
              <w:t>Empty Cell</w:t>
            </w:r>
          </w:p>
        </w:tc>
        <w:tc>
          <w:tcPr>
            <w:tcW w:w="1179" w:type="dxa"/>
            <w:tcBorders>
              <w:top w:val="single" w:sz="4" w:space="0" w:color="auto"/>
              <w:bottom w:val="single" w:sz="4" w:space="0" w:color="auto"/>
            </w:tcBorders>
          </w:tcPr>
          <w:p w14:paraId="4ABC4CDA" w14:textId="77777777" w:rsidR="00CF0E2D" w:rsidRPr="00F2314E" w:rsidRDefault="00CF0E2D" w:rsidP="00A60D4B">
            <w:pPr>
              <w:pStyle w:val="InitFigR"/>
              <w:rPr>
                <w:b/>
                <w:bCs/>
              </w:rPr>
            </w:pPr>
            <w:r w:rsidRPr="00F2314E">
              <w:rPr>
                <w:b/>
                <w:bCs/>
              </w:rPr>
              <w:t>2021-22</w:t>
            </w:r>
          </w:p>
          <w:p w14:paraId="34DD2109" w14:textId="77777777" w:rsidR="00CF0E2D" w:rsidRPr="00F2314E" w:rsidRDefault="00CF0E2D" w:rsidP="00A60D4B">
            <w:pPr>
              <w:pStyle w:val="InitFigR"/>
              <w:rPr>
                <w:b/>
                <w:bCs/>
              </w:rPr>
            </w:pPr>
            <w:r w:rsidRPr="00F2314E">
              <w:rPr>
                <w:b/>
                <w:bCs/>
              </w:rPr>
              <w:t>$’000</w:t>
            </w:r>
          </w:p>
        </w:tc>
        <w:tc>
          <w:tcPr>
            <w:tcW w:w="1041" w:type="dxa"/>
            <w:tcBorders>
              <w:top w:val="single" w:sz="4" w:space="0" w:color="auto"/>
              <w:bottom w:val="single" w:sz="4" w:space="0" w:color="auto"/>
            </w:tcBorders>
          </w:tcPr>
          <w:p w14:paraId="224927F2" w14:textId="77777777" w:rsidR="00CF0E2D" w:rsidRPr="00F2314E" w:rsidRDefault="00CF0E2D" w:rsidP="00A60D4B">
            <w:pPr>
              <w:pStyle w:val="InitFigR"/>
              <w:rPr>
                <w:b/>
                <w:bCs/>
              </w:rPr>
            </w:pPr>
            <w:r w:rsidRPr="00F2314E">
              <w:rPr>
                <w:b/>
                <w:bCs/>
              </w:rPr>
              <w:t>2022-23</w:t>
            </w:r>
          </w:p>
          <w:p w14:paraId="6B8E21F0"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46B8E8C7" w14:textId="77777777" w:rsidR="00CF0E2D" w:rsidRPr="00F2314E" w:rsidRDefault="00CF0E2D" w:rsidP="00A60D4B">
            <w:pPr>
              <w:pStyle w:val="InitFigR"/>
              <w:rPr>
                <w:b/>
                <w:bCs/>
              </w:rPr>
            </w:pPr>
            <w:r w:rsidRPr="00F2314E">
              <w:rPr>
                <w:b/>
                <w:bCs/>
              </w:rPr>
              <w:t>2023-24</w:t>
            </w:r>
          </w:p>
          <w:p w14:paraId="3EC6E60C"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6F742656" w14:textId="77777777" w:rsidR="00CF0E2D" w:rsidRPr="00F2314E" w:rsidRDefault="00CF0E2D" w:rsidP="00A60D4B">
            <w:pPr>
              <w:pStyle w:val="InitFigR"/>
              <w:rPr>
                <w:b/>
                <w:bCs/>
              </w:rPr>
            </w:pPr>
            <w:r w:rsidRPr="00F2314E">
              <w:rPr>
                <w:b/>
                <w:bCs/>
              </w:rPr>
              <w:t>2024-25</w:t>
            </w:r>
          </w:p>
          <w:p w14:paraId="55EF9220"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62C5AA38" w14:textId="77777777" w:rsidR="00CF0E2D" w:rsidRPr="00211AF1" w:rsidRDefault="00CF0E2D" w:rsidP="00A60D4B">
            <w:pPr>
              <w:pStyle w:val="InitFigRBold"/>
            </w:pPr>
            <w:r w:rsidRPr="00211AF1">
              <w:t>Total</w:t>
            </w:r>
          </w:p>
          <w:p w14:paraId="542002F4" w14:textId="77777777" w:rsidR="00CF0E2D" w:rsidRPr="00211AF1" w:rsidRDefault="00CF0E2D" w:rsidP="00A60D4B">
            <w:pPr>
              <w:pStyle w:val="InitFigBR"/>
            </w:pPr>
            <w:r w:rsidRPr="00211AF1">
              <w:t>$’000</w:t>
            </w:r>
          </w:p>
        </w:tc>
      </w:tr>
      <w:tr w:rsidR="00CF0E2D" w:rsidRPr="00211AF1" w14:paraId="267F3557" w14:textId="77777777" w:rsidTr="00A60D4B">
        <w:trPr>
          <w:cantSplit/>
          <w:jc w:val="center"/>
        </w:trPr>
        <w:tc>
          <w:tcPr>
            <w:tcW w:w="3652" w:type="dxa"/>
            <w:tcBorders>
              <w:top w:val="single" w:sz="4" w:space="0" w:color="auto"/>
            </w:tcBorders>
          </w:tcPr>
          <w:p w14:paraId="0155B2BC" w14:textId="77777777" w:rsidR="00CF0E2D" w:rsidRPr="00211AF1" w:rsidRDefault="00CF0E2D" w:rsidP="00A60D4B">
            <w:pPr>
              <w:pStyle w:val="InitTextL"/>
              <w:ind w:left="321" w:hanging="321"/>
            </w:pPr>
            <w:r w:rsidRPr="00211AF1">
              <w:t>Capital</w:t>
            </w:r>
          </w:p>
        </w:tc>
        <w:tc>
          <w:tcPr>
            <w:tcW w:w="1179" w:type="dxa"/>
            <w:tcBorders>
              <w:top w:val="single" w:sz="4" w:space="0" w:color="auto"/>
            </w:tcBorders>
          </w:tcPr>
          <w:p w14:paraId="4FB68C2B" w14:textId="77777777" w:rsidR="00CF0E2D" w:rsidRPr="00211AF1" w:rsidRDefault="00CF0E2D" w:rsidP="00A60D4B">
            <w:pPr>
              <w:pStyle w:val="InitFigR"/>
            </w:pPr>
            <w:r w:rsidRPr="00211AF1">
              <w:t>1,590</w:t>
            </w:r>
          </w:p>
        </w:tc>
        <w:tc>
          <w:tcPr>
            <w:tcW w:w="1041" w:type="dxa"/>
            <w:tcBorders>
              <w:top w:val="single" w:sz="4" w:space="0" w:color="auto"/>
            </w:tcBorders>
          </w:tcPr>
          <w:p w14:paraId="292C3E77" w14:textId="77777777" w:rsidR="00CF0E2D" w:rsidRPr="00211AF1" w:rsidRDefault="00CF0E2D" w:rsidP="00A60D4B">
            <w:pPr>
              <w:pStyle w:val="InitFigR"/>
            </w:pPr>
            <w:r w:rsidRPr="00211AF1">
              <w:t>0</w:t>
            </w:r>
          </w:p>
        </w:tc>
        <w:tc>
          <w:tcPr>
            <w:tcW w:w="1029" w:type="dxa"/>
            <w:tcBorders>
              <w:top w:val="single" w:sz="4" w:space="0" w:color="auto"/>
            </w:tcBorders>
          </w:tcPr>
          <w:p w14:paraId="21652F4D" w14:textId="77777777" w:rsidR="00CF0E2D" w:rsidRPr="00211AF1" w:rsidRDefault="00CF0E2D" w:rsidP="00A60D4B">
            <w:pPr>
              <w:pStyle w:val="InitFigR"/>
            </w:pPr>
            <w:r w:rsidRPr="00211AF1">
              <w:t>0</w:t>
            </w:r>
          </w:p>
        </w:tc>
        <w:tc>
          <w:tcPr>
            <w:tcW w:w="1029" w:type="dxa"/>
            <w:tcBorders>
              <w:top w:val="single" w:sz="4" w:space="0" w:color="auto"/>
            </w:tcBorders>
          </w:tcPr>
          <w:p w14:paraId="41D46F2B" w14:textId="77777777" w:rsidR="00CF0E2D" w:rsidRPr="00211AF1" w:rsidRDefault="00CF0E2D" w:rsidP="00A60D4B">
            <w:pPr>
              <w:pStyle w:val="InitFigR"/>
            </w:pPr>
            <w:r w:rsidRPr="00211AF1">
              <w:t>0</w:t>
            </w:r>
          </w:p>
        </w:tc>
        <w:tc>
          <w:tcPr>
            <w:tcW w:w="1029" w:type="dxa"/>
            <w:tcBorders>
              <w:top w:val="single" w:sz="4" w:space="0" w:color="auto"/>
            </w:tcBorders>
          </w:tcPr>
          <w:p w14:paraId="0DB9A86E" w14:textId="77777777" w:rsidR="00CF0E2D" w:rsidRPr="00F2314E" w:rsidRDefault="00CF0E2D" w:rsidP="00A60D4B">
            <w:pPr>
              <w:pStyle w:val="InitFigRBold"/>
              <w:rPr>
                <w:bCs/>
              </w:rPr>
            </w:pPr>
            <w:r w:rsidRPr="00F2314E">
              <w:rPr>
                <w:bCs/>
              </w:rPr>
              <w:t>1,590</w:t>
            </w:r>
          </w:p>
        </w:tc>
      </w:tr>
      <w:tr w:rsidR="00CF0E2D" w:rsidRPr="00211AF1" w14:paraId="40B18752" w14:textId="77777777" w:rsidTr="00A60D4B">
        <w:trPr>
          <w:cantSplit/>
          <w:jc w:val="center"/>
        </w:trPr>
        <w:tc>
          <w:tcPr>
            <w:tcW w:w="3652" w:type="dxa"/>
            <w:tcBorders>
              <w:top w:val="single" w:sz="4" w:space="0" w:color="auto"/>
            </w:tcBorders>
          </w:tcPr>
          <w:p w14:paraId="792E18FA" w14:textId="77777777" w:rsidR="00CF0E2D" w:rsidRPr="00211AF1" w:rsidRDefault="00CF0E2D" w:rsidP="00A60D4B">
            <w:pPr>
              <w:pStyle w:val="InitTextL"/>
              <w:ind w:left="321" w:hanging="321"/>
              <w:rPr>
                <w:b/>
                <w:bCs/>
              </w:rPr>
            </w:pPr>
            <w:r w:rsidRPr="00211AF1">
              <w:t>Depreciation</w:t>
            </w:r>
          </w:p>
        </w:tc>
        <w:tc>
          <w:tcPr>
            <w:tcW w:w="1179" w:type="dxa"/>
            <w:tcBorders>
              <w:top w:val="single" w:sz="4" w:space="0" w:color="auto"/>
            </w:tcBorders>
          </w:tcPr>
          <w:p w14:paraId="78812EDF" w14:textId="77777777" w:rsidR="00CF0E2D" w:rsidRPr="00211AF1" w:rsidRDefault="00CF0E2D" w:rsidP="00A60D4B">
            <w:pPr>
              <w:pStyle w:val="InitFigR"/>
            </w:pPr>
            <w:r w:rsidRPr="00211AF1">
              <w:t>0</w:t>
            </w:r>
          </w:p>
        </w:tc>
        <w:tc>
          <w:tcPr>
            <w:tcW w:w="1041" w:type="dxa"/>
            <w:tcBorders>
              <w:top w:val="single" w:sz="4" w:space="0" w:color="auto"/>
            </w:tcBorders>
          </w:tcPr>
          <w:p w14:paraId="0EF00B30" w14:textId="77777777" w:rsidR="00CF0E2D" w:rsidRPr="00211AF1" w:rsidRDefault="00CF0E2D" w:rsidP="00A60D4B">
            <w:pPr>
              <w:pStyle w:val="InitFigR"/>
            </w:pPr>
            <w:r w:rsidRPr="00211AF1">
              <w:t>16</w:t>
            </w:r>
          </w:p>
        </w:tc>
        <w:tc>
          <w:tcPr>
            <w:tcW w:w="1029" w:type="dxa"/>
            <w:tcBorders>
              <w:top w:val="single" w:sz="4" w:space="0" w:color="auto"/>
            </w:tcBorders>
          </w:tcPr>
          <w:p w14:paraId="29E9F2C0" w14:textId="77777777" w:rsidR="00CF0E2D" w:rsidRPr="00211AF1" w:rsidRDefault="00CF0E2D" w:rsidP="00A60D4B">
            <w:pPr>
              <w:pStyle w:val="InitFigR"/>
            </w:pPr>
            <w:r w:rsidRPr="00211AF1">
              <w:t>16</w:t>
            </w:r>
          </w:p>
        </w:tc>
        <w:tc>
          <w:tcPr>
            <w:tcW w:w="1029" w:type="dxa"/>
            <w:tcBorders>
              <w:top w:val="single" w:sz="4" w:space="0" w:color="auto"/>
            </w:tcBorders>
          </w:tcPr>
          <w:p w14:paraId="0F128014" w14:textId="77777777" w:rsidR="00CF0E2D" w:rsidRPr="00211AF1" w:rsidRDefault="00CF0E2D" w:rsidP="00A60D4B">
            <w:pPr>
              <w:pStyle w:val="InitFigR"/>
            </w:pPr>
            <w:r w:rsidRPr="00211AF1">
              <w:t>16</w:t>
            </w:r>
          </w:p>
        </w:tc>
        <w:tc>
          <w:tcPr>
            <w:tcW w:w="1029" w:type="dxa"/>
            <w:tcBorders>
              <w:top w:val="single" w:sz="4" w:space="0" w:color="auto"/>
            </w:tcBorders>
          </w:tcPr>
          <w:p w14:paraId="53C827F3" w14:textId="77777777" w:rsidR="00CF0E2D" w:rsidRPr="00F2314E" w:rsidRDefault="00CF0E2D" w:rsidP="00A60D4B">
            <w:pPr>
              <w:pStyle w:val="InitFigRBold"/>
              <w:rPr>
                <w:bCs/>
              </w:rPr>
            </w:pPr>
            <w:r w:rsidRPr="00F2314E">
              <w:rPr>
                <w:bCs/>
              </w:rPr>
              <w:t>48</w:t>
            </w:r>
          </w:p>
        </w:tc>
      </w:tr>
      <w:tr w:rsidR="00CF0E2D" w:rsidRPr="00211AF1" w14:paraId="7B929AE6" w14:textId="77777777" w:rsidTr="00A60D4B">
        <w:trPr>
          <w:cantSplit/>
          <w:jc w:val="center"/>
        </w:trPr>
        <w:tc>
          <w:tcPr>
            <w:tcW w:w="3652" w:type="dxa"/>
          </w:tcPr>
          <w:p w14:paraId="75A119CC" w14:textId="77777777" w:rsidR="00CF0E2D" w:rsidRPr="00211AF1" w:rsidRDefault="00CF0E2D" w:rsidP="00A60D4B">
            <w:pPr>
              <w:pStyle w:val="InitTextL"/>
              <w:ind w:left="321" w:hanging="321"/>
            </w:pPr>
            <w:r w:rsidRPr="00211AF1">
              <w:t>Expenses</w:t>
            </w:r>
          </w:p>
        </w:tc>
        <w:tc>
          <w:tcPr>
            <w:tcW w:w="1179" w:type="dxa"/>
          </w:tcPr>
          <w:p w14:paraId="40678C1D" w14:textId="77777777" w:rsidR="00CF0E2D" w:rsidRPr="00211AF1" w:rsidRDefault="00CF0E2D" w:rsidP="00A60D4B">
            <w:pPr>
              <w:pStyle w:val="InitFigR"/>
            </w:pPr>
            <w:r w:rsidRPr="00211AF1">
              <w:t>730</w:t>
            </w:r>
          </w:p>
        </w:tc>
        <w:tc>
          <w:tcPr>
            <w:tcW w:w="1041" w:type="dxa"/>
          </w:tcPr>
          <w:p w14:paraId="5F7708AE" w14:textId="77777777" w:rsidR="00CF0E2D" w:rsidRPr="00211AF1" w:rsidRDefault="00CF0E2D" w:rsidP="00A60D4B">
            <w:pPr>
              <w:pStyle w:val="InitFigR"/>
            </w:pPr>
            <w:r w:rsidRPr="00211AF1">
              <w:t>870</w:t>
            </w:r>
          </w:p>
        </w:tc>
        <w:tc>
          <w:tcPr>
            <w:tcW w:w="1029" w:type="dxa"/>
          </w:tcPr>
          <w:p w14:paraId="7494D45F" w14:textId="77777777" w:rsidR="00CF0E2D" w:rsidRPr="00211AF1" w:rsidRDefault="00CF0E2D" w:rsidP="00A60D4B">
            <w:pPr>
              <w:pStyle w:val="InitFigR"/>
            </w:pPr>
            <w:r>
              <w:t>903</w:t>
            </w:r>
          </w:p>
        </w:tc>
        <w:tc>
          <w:tcPr>
            <w:tcW w:w="1029" w:type="dxa"/>
          </w:tcPr>
          <w:p w14:paraId="0CA44690" w14:textId="77777777" w:rsidR="00CF0E2D" w:rsidRPr="00211AF1" w:rsidRDefault="00CF0E2D" w:rsidP="00A60D4B">
            <w:pPr>
              <w:pStyle w:val="InitFigR"/>
            </w:pPr>
            <w:r w:rsidRPr="00211AF1">
              <w:t>9</w:t>
            </w:r>
            <w:r>
              <w:t>37</w:t>
            </w:r>
          </w:p>
        </w:tc>
        <w:tc>
          <w:tcPr>
            <w:tcW w:w="1029" w:type="dxa"/>
          </w:tcPr>
          <w:p w14:paraId="1533B425" w14:textId="77777777" w:rsidR="00CF0E2D" w:rsidRPr="00211AF1" w:rsidRDefault="00CF0E2D" w:rsidP="00A60D4B">
            <w:pPr>
              <w:pStyle w:val="InitFigBR"/>
            </w:pPr>
            <w:r w:rsidRPr="00211AF1">
              <w:t>3,</w:t>
            </w:r>
            <w:r>
              <w:t>440</w:t>
            </w:r>
          </w:p>
        </w:tc>
      </w:tr>
      <w:tr w:rsidR="00CF0E2D" w:rsidRPr="00211AF1" w14:paraId="3E970BD1" w14:textId="77777777" w:rsidTr="00A60D4B">
        <w:trPr>
          <w:cantSplit/>
          <w:trHeight w:val="107"/>
          <w:jc w:val="center"/>
        </w:trPr>
        <w:tc>
          <w:tcPr>
            <w:tcW w:w="3652" w:type="dxa"/>
            <w:tcBorders>
              <w:top w:val="single" w:sz="4" w:space="0" w:color="auto"/>
              <w:bottom w:val="single" w:sz="4" w:space="0" w:color="auto"/>
            </w:tcBorders>
          </w:tcPr>
          <w:p w14:paraId="424D50E2" w14:textId="77777777" w:rsidR="00CF0E2D" w:rsidRPr="00211AF1" w:rsidRDefault="00CF0E2D" w:rsidP="00A60D4B">
            <w:pPr>
              <w:pStyle w:val="InitFigLBold"/>
              <w:ind w:left="321" w:hanging="321"/>
            </w:pPr>
            <w:r w:rsidRPr="00211AF1">
              <w:t>Net cost of services</w:t>
            </w:r>
          </w:p>
        </w:tc>
        <w:tc>
          <w:tcPr>
            <w:tcW w:w="1179" w:type="dxa"/>
            <w:tcBorders>
              <w:top w:val="single" w:sz="4" w:space="0" w:color="auto"/>
              <w:bottom w:val="single" w:sz="4" w:space="0" w:color="auto"/>
            </w:tcBorders>
          </w:tcPr>
          <w:p w14:paraId="2B24B429" w14:textId="77777777" w:rsidR="00CF0E2D" w:rsidRPr="00211AF1" w:rsidRDefault="00CF0E2D" w:rsidP="00A60D4B">
            <w:pPr>
              <w:pStyle w:val="InitFigRBold"/>
            </w:pPr>
            <w:r w:rsidRPr="00211AF1">
              <w:t>730</w:t>
            </w:r>
          </w:p>
        </w:tc>
        <w:tc>
          <w:tcPr>
            <w:tcW w:w="1041" w:type="dxa"/>
            <w:tcBorders>
              <w:top w:val="single" w:sz="4" w:space="0" w:color="auto"/>
              <w:bottom w:val="single" w:sz="4" w:space="0" w:color="auto"/>
            </w:tcBorders>
          </w:tcPr>
          <w:p w14:paraId="3A205C5E" w14:textId="77777777" w:rsidR="00CF0E2D" w:rsidRPr="00211AF1" w:rsidRDefault="00CF0E2D" w:rsidP="00A60D4B">
            <w:pPr>
              <w:pStyle w:val="InitFigRBold"/>
            </w:pPr>
            <w:r w:rsidRPr="00211AF1">
              <w:t>886</w:t>
            </w:r>
          </w:p>
        </w:tc>
        <w:tc>
          <w:tcPr>
            <w:tcW w:w="1029" w:type="dxa"/>
            <w:tcBorders>
              <w:top w:val="single" w:sz="4" w:space="0" w:color="auto"/>
              <w:bottom w:val="single" w:sz="4" w:space="0" w:color="auto"/>
            </w:tcBorders>
          </w:tcPr>
          <w:p w14:paraId="068442F7" w14:textId="77777777" w:rsidR="00CF0E2D" w:rsidRPr="00211AF1" w:rsidRDefault="00CF0E2D" w:rsidP="00A60D4B">
            <w:pPr>
              <w:pStyle w:val="InitFigRBold"/>
            </w:pPr>
            <w:r w:rsidRPr="00211AF1">
              <w:t>9</w:t>
            </w:r>
            <w:r>
              <w:t>19</w:t>
            </w:r>
          </w:p>
        </w:tc>
        <w:tc>
          <w:tcPr>
            <w:tcW w:w="1029" w:type="dxa"/>
            <w:tcBorders>
              <w:top w:val="single" w:sz="4" w:space="0" w:color="auto"/>
              <w:bottom w:val="single" w:sz="4" w:space="0" w:color="auto"/>
            </w:tcBorders>
          </w:tcPr>
          <w:p w14:paraId="1B09B5C8" w14:textId="77777777" w:rsidR="00CF0E2D" w:rsidRPr="00211AF1" w:rsidRDefault="00CF0E2D" w:rsidP="00A60D4B">
            <w:pPr>
              <w:pStyle w:val="InitFigRBold"/>
            </w:pPr>
            <w:r w:rsidRPr="00211AF1">
              <w:t>9</w:t>
            </w:r>
            <w:r>
              <w:t>53</w:t>
            </w:r>
          </w:p>
        </w:tc>
        <w:tc>
          <w:tcPr>
            <w:tcW w:w="1029" w:type="dxa"/>
            <w:tcBorders>
              <w:top w:val="single" w:sz="4" w:space="0" w:color="auto"/>
              <w:bottom w:val="single" w:sz="4" w:space="0" w:color="auto"/>
            </w:tcBorders>
          </w:tcPr>
          <w:p w14:paraId="5E8F6809" w14:textId="77777777" w:rsidR="00CF0E2D" w:rsidRPr="00211AF1" w:rsidRDefault="00CF0E2D" w:rsidP="00A60D4B">
            <w:pPr>
              <w:pStyle w:val="InitFigRBold"/>
            </w:pPr>
            <w:r w:rsidRPr="00211AF1">
              <w:t>3,</w:t>
            </w:r>
            <w:r>
              <w:t>488</w:t>
            </w:r>
          </w:p>
        </w:tc>
      </w:tr>
    </w:tbl>
    <w:p w14:paraId="43AD3601" w14:textId="77777777" w:rsidR="00CF0E2D" w:rsidRPr="00C0079A" w:rsidRDefault="00CF0E2D" w:rsidP="00A60D4B">
      <w:pPr>
        <w:pStyle w:val="Bbodytext"/>
        <w:rPr>
          <w:rFonts w:ascii="Calibri" w:eastAsia="Times New Roman" w:hAnsi="Calibri" w:cs="Times New Roman"/>
          <w:szCs w:val="20"/>
        </w:rPr>
      </w:pPr>
      <w:r w:rsidRPr="00C0079A">
        <w:t>The Government will continu</w:t>
      </w:r>
      <w:r w:rsidRPr="00C0079A">
        <w:rPr>
          <w:rFonts w:ascii="Calibri" w:eastAsia="Times New Roman" w:hAnsi="Calibri" w:cs="Times New Roman"/>
          <w:szCs w:val="20"/>
        </w:rPr>
        <w:t xml:space="preserve">e to restore and improve Canberra’s waterways. This includes working to improve water quality by reducing the incidence of algal blooms in urban lakes and enhance the condition of rivers and creeks. This initiative builds on the </w:t>
      </w:r>
      <w:r w:rsidRPr="00C0079A">
        <w:rPr>
          <w:rFonts w:ascii="Calibri" w:eastAsia="Times New Roman" w:hAnsi="Calibri" w:cs="Times New Roman"/>
          <w:i/>
          <w:iCs/>
          <w:szCs w:val="20"/>
        </w:rPr>
        <w:t xml:space="preserve">Healthy Waterways Project (2014-2021) </w:t>
      </w:r>
      <w:r w:rsidRPr="00660F01">
        <w:rPr>
          <w:rFonts w:ascii="Calibri" w:eastAsia="Times New Roman" w:hAnsi="Calibri" w:cs="Times New Roman"/>
          <w:szCs w:val="20"/>
        </w:rPr>
        <w:t>and</w:t>
      </w:r>
      <w:r w:rsidRPr="00C0079A">
        <w:rPr>
          <w:rFonts w:ascii="Calibri" w:eastAsia="Times New Roman" w:hAnsi="Calibri" w:cs="Times New Roman"/>
          <w:szCs w:val="20"/>
        </w:rPr>
        <w:t xml:space="preserve"> the 2020-21 Budget initiative </w:t>
      </w:r>
      <w:r w:rsidRPr="00C0079A">
        <w:rPr>
          <w:rFonts w:ascii="Calibri" w:eastAsia="Times New Roman" w:hAnsi="Calibri" w:cs="Times New Roman"/>
          <w:i/>
          <w:iCs/>
          <w:szCs w:val="20"/>
        </w:rPr>
        <w:t>Clean Catchments, Clean Waterways.</w:t>
      </w:r>
    </w:p>
    <w:p w14:paraId="66FD9F79" w14:textId="77777777" w:rsidR="00CF0E2D" w:rsidRDefault="00CF0E2D" w:rsidP="00A60D4B">
      <w:pPr>
        <w:pStyle w:val="Bbodytext"/>
      </w:pPr>
      <w:r w:rsidRPr="006F0FCA">
        <w:t>This initiative contributes to the wellbeing domain</w:t>
      </w:r>
      <w:r>
        <w:t>s</w:t>
      </w:r>
      <w:r w:rsidRPr="006F0FCA">
        <w:t xml:space="preserve"> of Environment and climate</w:t>
      </w:r>
      <w:r w:rsidRPr="00D955DB">
        <w:t xml:space="preserve">, Health and </w:t>
      </w:r>
      <w:r w:rsidRPr="006F0FCA">
        <w:t xml:space="preserve">Economy. </w:t>
      </w:r>
    </w:p>
    <w:p w14:paraId="2ADBE05E" w14:textId="77777777" w:rsidR="00CF0E2D" w:rsidRDefault="00CF0E2D" w:rsidP="00A60D4B">
      <w:pPr>
        <w:pStyle w:val="Bbodytext"/>
      </w:pPr>
    </w:p>
    <w:p w14:paraId="503B2FD8" w14:textId="77777777" w:rsidR="00CF0E2D" w:rsidRPr="006E29C0" w:rsidRDefault="00CF0E2D" w:rsidP="00A60D4B">
      <w:pPr>
        <w:pStyle w:val="Heading4"/>
        <w:rPr>
          <w:rFonts w:eastAsia="Times New Roman" w:cs="Times New Roman"/>
          <w:bCs/>
          <w:szCs w:val="26"/>
        </w:rPr>
      </w:pPr>
      <w:r w:rsidRPr="006E29C0">
        <w:rPr>
          <w:rFonts w:eastAsia="Times New Roman"/>
        </w:rPr>
        <w:t xml:space="preserve">Protecting Canberra’s </w:t>
      </w:r>
      <w:r>
        <w:rPr>
          <w:rFonts w:eastAsia="Times New Roman"/>
        </w:rPr>
        <w:t>u</w:t>
      </w:r>
      <w:r w:rsidRPr="006E29C0">
        <w:rPr>
          <w:rFonts w:eastAsia="Times New Roman"/>
        </w:rPr>
        <w:t xml:space="preserve">nique </w:t>
      </w:r>
      <w:r>
        <w:rPr>
          <w:rFonts w:eastAsia="Times New Roman"/>
        </w:rPr>
        <w:t>e</w:t>
      </w:r>
      <w:r w:rsidRPr="006E29C0">
        <w:rPr>
          <w:rFonts w:eastAsia="Times New Roman"/>
        </w:rPr>
        <w:t xml:space="preserve">nvironment </w:t>
      </w:r>
      <w:r>
        <w:rPr>
          <w:rFonts w:eastAsia="Times New Roman"/>
        </w:rPr>
        <w:t>–-</w:t>
      </w:r>
      <w:r w:rsidRPr="006E29C0">
        <w:rPr>
          <w:rFonts w:eastAsia="Times New Roman"/>
        </w:rPr>
        <w:t xml:space="preserve"> Fra</w:t>
      </w:r>
      <w:r w:rsidRPr="006E29C0">
        <w:rPr>
          <w:rFonts w:eastAsia="Times New Roman" w:cs="Times New Roman"/>
          <w:bCs/>
          <w:szCs w:val="26"/>
        </w:rPr>
        <w:t xml:space="preserve">nklin Nature Reserve </w:t>
      </w:r>
      <w:r>
        <w:rPr>
          <w:rFonts w:eastAsia="Times New Roman" w:cs="Times New Roman"/>
          <w:szCs w:val="26"/>
        </w:rPr>
        <w:t>e</w:t>
      </w:r>
      <w:r w:rsidRPr="006E29C0">
        <w:rPr>
          <w:rFonts w:eastAsia="Times New Roman" w:cs="Times New Roman"/>
          <w:szCs w:val="26"/>
        </w:rPr>
        <w:t xml:space="preserve">nhancement </w:t>
      </w:r>
      <w:r>
        <w:rPr>
          <w:rFonts w:eastAsia="Times New Roman"/>
          <w:noProof/>
        </w:rPr>
        <w:drawing>
          <wp:anchor distT="0" distB="0" distL="114300" distR="114300" simplePos="0" relativeHeight="251842560" behindDoc="0" locked="1" layoutInCell="1" allowOverlap="1" wp14:anchorId="2EF378F7" wp14:editId="4D7462FD">
            <wp:simplePos x="0" y="0"/>
            <wp:positionH relativeFrom="margin">
              <wp:align>right</wp:align>
            </wp:positionH>
            <wp:positionV relativeFrom="paragraph">
              <wp:posOffset>92075</wp:posOffset>
            </wp:positionV>
            <wp:extent cx="1393190" cy="503555"/>
            <wp:effectExtent l="0" t="0" r="0" b="0"/>
            <wp:wrapSquare wrapText="bothSides"/>
            <wp:docPr id="155" name="Picture 155" descr="Icon representing the wellbeing domain of Environment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nvironment and clima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319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1ECA6881" w14:textId="77777777" w:rsidTr="00A60D4B">
        <w:trPr>
          <w:cantSplit/>
          <w:jc w:val="center"/>
        </w:trPr>
        <w:tc>
          <w:tcPr>
            <w:tcW w:w="3652" w:type="dxa"/>
            <w:tcBorders>
              <w:top w:val="single" w:sz="4" w:space="0" w:color="auto"/>
              <w:bottom w:val="single" w:sz="4" w:space="0" w:color="auto"/>
            </w:tcBorders>
          </w:tcPr>
          <w:p w14:paraId="09A74611"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7137B06C" w14:textId="77777777" w:rsidR="00CF0E2D" w:rsidRPr="00F2314E" w:rsidRDefault="00CF0E2D" w:rsidP="00A60D4B">
            <w:pPr>
              <w:pStyle w:val="InitFigR"/>
              <w:rPr>
                <w:b/>
                <w:bCs/>
              </w:rPr>
            </w:pPr>
            <w:r w:rsidRPr="00F2314E">
              <w:rPr>
                <w:b/>
                <w:bCs/>
              </w:rPr>
              <w:t>2021-22</w:t>
            </w:r>
          </w:p>
          <w:p w14:paraId="00780C8F" w14:textId="77777777" w:rsidR="00CF0E2D" w:rsidRPr="00F2314E" w:rsidRDefault="00CF0E2D" w:rsidP="00A60D4B">
            <w:pPr>
              <w:pStyle w:val="InitFigR"/>
              <w:rPr>
                <w:b/>
                <w:bCs/>
              </w:rPr>
            </w:pPr>
            <w:r w:rsidRPr="00F2314E">
              <w:rPr>
                <w:b/>
                <w:bCs/>
              </w:rPr>
              <w:t>$’000</w:t>
            </w:r>
          </w:p>
        </w:tc>
        <w:tc>
          <w:tcPr>
            <w:tcW w:w="1041" w:type="dxa"/>
            <w:tcBorders>
              <w:top w:val="single" w:sz="4" w:space="0" w:color="auto"/>
              <w:bottom w:val="single" w:sz="4" w:space="0" w:color="auto"/>
            </w:tcBorders>
          </w:tcPr>
          <w:p w14:paraId="18867E07" w14:textId="77777777" w:rsidR="00CF0E2D" w:rsidRPr="00F2314E" w:rsidRDefault="00CF0E2D" w:rsidP="00A60D4B">
            <w:pPr>
              <w:pStyle w:val="InitFigR"/>
              <w:rPr>
                <w:b/>
                <w:bCs/>
              </w:rPr>
            </w:pPr>
            <w:r w:rsidRPr="00F2314E">
              <w:rPr>
                <w:b/>
                <w:bCs/>
              </w:rPr>
              <w:t>2022-23</w:t>
            </w:r>
          </w:p>
          <w:p w14:paraId="7A9D8F3C"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098CDB16" w14:textId="77777777" w:rsidR="00CF0E2D" w:rsidRPr="00F2314E" w:rsidRDefault="00CF0E2D" w:rsidP="00A60D4B">
            <w:pPr>
              <w:pStyle w:val="InitFigR"/>
              <w:rPr>
                <w:b/>
                <w:bCs/>
              </w:rPr>
            </w:pPr>
            <w:r w:rsidRPr="00F2314E">
              <w:rPr>
                <w:b/>
                <w:bCs/>
              </w:rPr>
              <w:t>2023-24</w:t>
            </w:r>
          </w:p>
          <w:p w14:paraId="7BBD949C"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32FB18A9" w14:textId="77777777" w:rsidR="00CF0E2D" w:rsidRPr="00F2314E" w:rsidRDefault="00CF0E2D" w:rsidP="00A60D4B">
            <w:pPr>
              <w:pStyle w:val="InitFigR"/>
              <w:rPr>
                <w:b/>
                <w:bCs/>
              </w:rPr>
            </w:pPr>
            <w:r w:rsidRPr="00F2314E">
              <w:rPr>
                <w:b/>
                <w:bCs/>
              </w:rPr>
              <w:t>2024-25</w:t>
            </w:r>
          </w:p>
          <w:p w14:paraId="65EDEC20" w14:textId="77777777" w:rsidR="00CF0E2D" w:rsidRPr="00F2314E" w:rsidRDefault="00CF0E2D" w:rsidP="00A60D4B">
            <w:pPr>
              <w:pStyle w:val="InitFigR"/>
              <w:rPr>
                <w:b/>
                <w:bCs/>
              </w:rPr>
            </w:pPr>
            <w:r w:rsidRPr="00F2314E">
              <w:rPr>
                <w:b/>
                <w:bCs/>
              </w:rPr>
              <w:t>$’000</w:t>
            </w:r>
          </w:p>
        </w:tc>
        <w:tc>
          <w:tcPr>
            <w:tcW w:w="1029" w:type="dxa"/>
            <w:tcBorders>
              <w:top w:val="single" w:sz="4" w:space="0" w:color="auto"/>
              <w:bottom w:val="single" w:sz="4" w:space="0" w:color="auto"/>
            </w:tcBorders>
          </w:tcPr>
          <w:p w14:paraId="73887491" w14:textId="77777777" w:rsidR="00CF0E2D" w:rsidRPr="004E341E" w:rsidRDefault="00CF0E2D" w:rsidP="00A60D4B">
            <w:pPr>
              <w:pStyle w:val="InitFigRBold"/>
            </w:pPr>
            <w:r w:rsidRPr="004E341E">
              <w:t>Total</w:t>
            </w:r>
          </w:p>
          <w:p w14:paraId="54ECE2EC" w14:textId="77777777" w:rsidR="00CF0E2D" w:rsidRPr="004E341E" w:rsidRDefault="00CF0E2D" w:rsidP="00A60D4B">
            <w:pPr>
              <w:pStyle w:val="InitFigBR"/>
            </w:pPr>
            <w:r w:rsidRPr="004E341E">
              <w:t>$’000</w:t>
            </w:r>
          </w:p>
        </w:tc>
      </w:tr>
      <w:tr w:rsidR="00CF0E2D" w:rsidRPr="00750793" w14:paraId="638A8E56" w14:textId="77777777" w:rsidTr="00A60D4B">
        <w:trPr>
          <w:cantSplit/>
          <w:jc w:val="center"/>
        </w:trPr>
        <w:tc>
          <w:tcPr>
            <w:tcW w:w="3652" w:type="dxa"/>
            <w:tcBorders>
              <w:top w:val="single" w:sz="4" w:space="0" w:color="auto"/>
            </w:tcBorders>
          </w:tcPr>
          <w:p w14:paraId="5617DE80" w14:textId="77777777" w:rsidR="00CF0E2D" w:rsidRDefault="00CF0E2D" w:rsidP="00A60D4B">
            <w:pPr>
              <w:pStyle w:val="InitTextL"/>
              <w:ind w:left="321" w:hanging="321"/>
            </w:pPr>
            <w:r>
              <w:t>Capital</w:t>
            </w:r>
          </w:p>
        </w:tc>
        <w:tc>
          <w:tcPr>
            <w:tcW w:w="1179" w:type="dxa"/>
            <w:tcBorders>
              <w:top w:val="single" w:sz="4" w:space="0" w:color="auto"/>
            </w:tcBorders>
          </w:tcPr>
          <w:p w14:paraId="6CBFB2D5" w14:textId="77777777" w:rsidR="00CF0E2D" w:rsidRDefault="00CF0E2D" w:rsidP="00A60D4B">
            <w:pPr>
              <w:pStyle w:val="InitFigR"/>
            </w:pPr>
            <w:r>
              <w:t>310</w:t>
            </w:r>
          </w:p>
        </w:tc>
        <w:tc>
          <w:tcPr>
            <w:tcW w:w="1041" w:type="dxa"/>
            <w:tcBorders>
              <w:top w:val="single" w:sz="4" w:space="0" w:color="auto"/>
            </w:tcBorders>
          </w:tcPr>
          <w:p w14:paraId="113C8985" w14:textId="77777777" w:rsidR="00CF0E2D" w:rsidRDefault="00CF0E2D" w:rsidP="00A60D4B">
            <w:pPr>
              <w:pStyle w:val="InitFigR"/>
            </w:pPr>
            <w:r>
              <w:t>2,529</w:t>
            </w:r>
          </w:p>
        </w:tc>
        <w:tc>
          <w:tcPr>
            <w:tcW w:w="1029" w:type="dxa"/>
            <w:tcBorders>
              <w:top w:val="single" w:sz="4" w:space="0" w:color="auto"/>
            </w:tcBorders>
          </w:tcPr>
          <w:p w14:paraId="5A747BC5" w14:textId="77777777" w:rsidR="00CF0E2D" w:rsidRDefault="00CF0E2D" w:rsidP="00A60D4B">
            <w:pPr>
              <w:pStyle w:val="InitFigR"/>
            </w:pPr>
            <w:r>
              <w:t>147</w:t>
            </w:r>
          </w:p>
        </w:tc>
        <w:tc>
          <w:tcPr>
            <w:tcW w:w="1029" w:type="dxa"/>
            <w:tcBorders>
              <w:top w:val="single" w:sz="4" w:space="0" w:color="auto"/>
            </w:tcBorders>
          </w:tcPr>
          <w:p w14:paraId="41BD2735" w14:textId="77777777" w:rsidR="00CF0E2D" w:rsidRDefault="00CF0E2D" w:rsidP="00A60D4B">
            <w:pPr>
              <w:pStyle w:val="InitFigR"/>
            </w:pPr>
            <w:r>
              <w:t>69</w:t>
            </w:r>
          </w:p>
        </w:tc>
        <w:tc>
          <w:tcPr>
            <w:tcW w:w="1029" w:type="dxa"/>
            <w:tcBorders>
              <w:top w:val="single" w:sz="4" w:space="0" w:color="auto"/>
            </w:tcBorders>
          </w:tcPr>
          <w:p w14:paraId="1095F2A6" w14:textId="77777777" w:rsidR="00CF0E2D" w:rsidRPr="00676A46" w:rsidRDefault="00CF0E2D" w:rsidP="00A60D4B">
            <w:pPr>
              <w:pStyle w:val="InitFigRBold"/>
              <w:rPr>
                <w:bCs/>
              </w:rPr>
            </w:pPr>
            <w:r w:rsidRPr="00676A46">
              <w:rPr>
                <w:bCs/>
              </w:rPr>
              <w:t>3,055</w:t>
            </w:r>
          </w:p>
        </w:tc>
      </w:tr>
      <w:tr w:rsidR="00CF0E2D" w:rsidRPr="00750793" w14:paraId="79A57EF7" w14:textId="77777777" w:rsidTr="00A60D4B">
        <w:trPr>
          <w:cantSplit/>
          <w:jc w:val="center"/>
        </w:trPr>
        <w:tc>
          <w:tcPr>
            <w:tcW w:w="3652" w:type="dxa"/>
            <w:tcBorders>
              <w:top w:val="single" w:sz="4" w:space="0" w:color="auto"/>
            </w:tcBorders>
          </w:tcPr>
          <w:p w14:paraId="558376BF" w14:textId="77777777" w:rsidR="00CF0E2D" w:rsidRPr="00D13A71" w:rsidRDefault="00CF0E2D" w:rsidP="00A60D4B">
            <w:pPr>
              <w:pStyle w:val="InitTextL"/>
              <w:ind w:left="321" w:hanging="321"/>
              <w:rPr>
                <w:b/>
                <w:bCs/>
              </w:rPr>
            </w:pPr>
            <w:r>
              <w:t>Depreciation</w:t>
            </w:r>
          </w:p>
        </w:tc>
        <w:tc>
          <w:tcPr>
            <w:tcW w:w="1179" w:type="dxa"/>
            <w:tcBorders>
              <w:top w:val="single" w:sz="4" w:space="0" w:color="auto"/>
            </w:tcBorders>
          </w:tcPr>
          <w:p w14:paraId="2F6F60BE" w14:textId="77777777" w:rsidR="00CF0E2D" w:rsidRDefault="00CF0E2D" w:rsidP="00A60D4B">
            <w:pPr>
              <w:pStyle w:val="InitFigR"/>
            </w:pPr>
            <w:r>
              <w:t>0</w:t>
            </w:r>
          </w:p>
        </w:tc>
        <w:tc>
          <w:tcPr>
            <w:tcW w:w="1041" w:type="dxa"/>
            <w:tcBorders>
              <w:top w:val="single" w:sz="4" w:space="0" w:color="auto"/>
            </w:tcBorders>
          </w:tcPr>
          <w:p w14:paraId="5EDF2D51" w14:textId="77777777" w:rsidR="00CF0E2D" w:rsidRDefault="00CF0E2D" w:rsidP="00A60D4B">
            <w:pPr>
              <w:pStyle w:val="InitFigR"/>
            </w:pPr>
            <w:r>
              <w:t>6</w:t>
            </w:r>
          </w:p>
        </w:tc>
        <w:tc>
          <w:tcPr>
            <w:tcW w:w="1029" w:type="dxa"/>
            <w:tcBorders>
              <w:top w:val="single" w:sz="4" w:space="0" w:color="auto"/>
            </w:tcBorders>
          </w:tcPr>
          <w:p w14:paraId="32DA6387" w14:textId="77777777" w:rsidR="00CF0E2D" w:rsidRDefault="00CF0E2D" w:rsidP="00A60D4B">
            <w:pPr>
              <w:pStyle w:val="InitFigR"/>
            </w:pPr>
            <w:r>
              <w:t>91</w:t>
            </w:r>
          </w:p>
        </w:tc>
        <w:tc>
          <w:tcPr>
            <w:tcW w:w="1029" w:type="dxa"/>
            <w:tcBorders>
              <w:top w:val="single" w:sz="4" w:space="0" w:color="auto"/>
            </w:tcBorders>
          </w:tcPr>
          <w:p w14:paraId="7F29097B" w14:textId="77777777" w:rsidR="00CF0E2D" w:rsidRDefault="00CF0E2D" w:rsidP="00A60D4B">
            <w:pPr>
              <w:pStyle w:val="InitFigR"/>
            </w:pPr>
            <w:r>
              <w:t>93</w:t>
            </w:r>
          </w:p>
        </w:tc>
        <w:tc>
          <w:tcPr>
            <w:tcW w:w="1029" w:type="dxa"/>
            <w:tcBorders>
              <w:top w:val="single" w:sz="4" w:space="0" w:color="auto"/>
            </w:tcBorders>
          </w:tcPr>
          <w:p w14:paraId="645DB2E9" w14:textId="77777777" w:rsidR="00CF0E2D" w:rsidRPr="00676A46" w:rsidRDefault="00CF0E2D" w:rsidP="00A60D4B">
            <w:pPr>
              <w:pStyle w:val="InitFigRBold"/>
              <w:rPr>
                <w:bCs/>
              </w:rPr>
            </w:pPr>
            <w:r w:rsidRPr="00676A46">
              <w:rPr>
                <w:bCs/>
              </w:rPr>
              <w:t>190</w:t>
            </w:r>
          </w:p>
        </w:tc>
      </w:tr>
      <w:tr w:rsidR="00CF0E2D" w:rsidRPr="00750793" w14:paraId="0DDFA27A" w14:textId="77777777" w:rsidTr="00A60D4B">
        <w:trPr>
          <w:cantSplit/>
          <w:jc w:val="center"/>
        </w:trPr>
        <w:tc>
          <w:tcPr>
            <w:tcW w:w="3652" w:type="dxa"/>
          </w:tcPr>
          <w:p w14:paraId="5D04C044" w14:textId="77777777" w:rsidR="00CF0E2D" w:rsidRPr="00F13FAB" w:rsidRDefault="00CF0E2D" w:rsidP="00A60D4B">
            <w:pPr>
              <w:pStyle w:val="InitTextL"/>
              <w:ind w:left="321" w:hanging="321"/>
            </w:pPr>
            <w:r w:rsidRPr="00882BE2">
              <w:t>Expenses</w:t>
            </w:r>
          </w:p>
        </w:tc>
        <w:tc>
          <w:tcPr>
            <w:tcW w:w="1179" w:type="dxa"/>
          </w:tcPr>
          <w:p w14:paraId="1A50D855" w14:textId="77777777" w:rsidR="00CF0E2D" w:rsidRPr="00424DA4" w:rsidRDefault="00CF0E2D" w:rsidP="00A60D4B">
            <w:pPr>
              <w:pStyle w:val="InitFigR"/>
            </w:pPr>
            <w:r>
              <w:t>799</w:t>
            </w:r>
          </w:p>
        </w:tc>
        <w:tc>
          <w:tcPr>
            <w:tcW w:w="1041" w:type="dxa"/>
          </w:tcPr>
          <w:p w14:paraId="2A87F060" w14:textId="77777777" w:rsidR="00CF0E2D" w:rsidRPr="00424DA4" w:rsidRDefault="00CF0E2D" w:rsidP="00A60D4B">
            <w:pPr>
              <w:pStyle w:val="InitFigR"/>
            </w:pPr>
            <w:r>
              <w:t>871</w:t>
            </w:r>
          </w:p>
        </w:tc>
        <w:tc>
          <w:tcPr>
            <w:tcW w:w="1029" w:type="dxa"/>
          </w:tcPr>
          <w:p w14:paraId="3C1D4EE5" w14:textId="77777777" w:rsidR="00CF0E2D" w:rsidRPr="00424DA4" w:rsidRDefault="00CF0E2D" w:rsidP="00A60D4B">
            <w:pPr>
              <w:pStyle w:val="InitFigR"/>
            </w:pPr>
            <w:r>
              <w:t>714</w:t>
            </w:r>
          </w:p>
        </w:tc>
        <w:tc>
          <w:tcPr>
            <w:tcW w:w="1029" w:type="dxa"/>
          </w:tcPr>
          <w:p w14:paraId="4B686DA0" w14:textId="77777777" w:rsidR="00CF0E2D" w:rsidRPr="00424DA4" w:rsidRDefault="00CF0E2D" w:rsidP="00A60D4B">
            <w:pPr>
              <w:pStyle w:val="InitFigR"/>
            </w:pPr>
            <w:r>
              <w:t>718</w:t>
            </w:r>
          </w:p>
        </w:tc>
        <w:tc>
          <w:tcPr>
            <w:tcW w:w="1029" w:type="dxa"/>
          </w:tcPr>
          <w:p w14:paraId="00426314" w14:textId="77777777" w:rsidR="00CF0E2D" w:rsidRPr="00424DA4" w:rsidRDefault="00CF0E2D" w:rsidP="00A60D4B">
            <w:pPr>
              <w:pStyle w:val="InitFigBR"/>
            </w:pPr>
            <w:r>
              <w:t>3,102</w:t>
            </w:r>
          </w:p>
        </w:tc>
      </w:tr>
      <w:tr w:rsidR="00CF0E2D" w:rsidRPr="00750793" w14:paraId="1B00C959" w14:textId="77777777" w:rsidTr="00A60D4B">
        <w:trPr>
          <w:cantSplit/>
          <w:trHeight w:val="107"/>
          <w:jc w:val="center"/>
        </w:trPr>
        <w:tc>
          <w:tcPr>
            <w:tcW w:w="3652" w:type="dxa"/>
            <w:tcBorders>
              <w:top w:val="single" w:sz="4" w:space="0" w:color="auto"/>
              <w:bottom w:val="single" w:sz="4" w:space="0" w:color="auto"/>
            </w:tcBorders>
          </w:tcPr>
          <w:p w14:paraId="5768DC3E"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6CD60806" w14:textId="77777777" w:rsidR="00CF0E2D" w:rsidRPr="00424DA4" w:rsidRDefault="00CF0E2D" w:rsidP="00A60D4B">
            <w:pPr>
              <w:pStyle w:val="InitFigRBold"/>
            </w:pPr>
            <w:r>
              <w:t>799</w:t>
            </w:r>
          </w:p>
        </w:tc>
        <w:tc>
          <w:tcPr>
            <w:tcW w:w="1041" w:type="dxa"/>
            <w:tcBorders>
              <w:top w:val="single" w:sz="4" w:space="0" w:color="auto"/>
              <w:bottom w:val="single" w:sz="4" w:space="0" w:color="auto"/>
            </w:tcBorders>
          </w:tcPr>
          <w:p w14:paraId="69FEC7DC" w14:textId="77777777" w:rsidR="00CF0E2D" w:rsidRPr="00424DA4" w:rsidRDefault="00CF0E2D" w:rsidP="00A60D4B">
            <w:pPr>
              <w:pStyle w:val="InitFigRBold"/>
            </w:pPr>
            <w:r>
              <w:t>877</w:t>
            </w:r>
          </w:p>
        </w:tc>
        <w:tc>
          <w:tcPr>
            <w:tcW w:w="1029" w:type="dxa"/>
            <w:tcBorders>
              <w:top w:val="single" w:sz="4" w:space="0" w:color="auto"/>
              <w:bottom w:val="single" w:sz="4" w:space="0" w:color="auto"/>
            </w:tcBorders>
          </w:tcPr>
          <w:p w14:paraId="6E464286" w14:textId="77777777" w:rsidR="00CF0E2D" w:rsidRPr="00424DA4" w:rsidRDefault="00CF0E2D" w:rsidP="00A60D4B">
            <w:pPr>
              <w:pStyle w:val="InitFigRBold"/>
            </w:pPr>
            <w:r>
              <w:t>805</w:t>
            </w:r>
          </w:p>
        </w:tc>
        <w:tc>
          <w:tcPr>
            <w:tcW w:w="1029" w:type="dxa"/>
            <w:tcBorders>
              <w:top w:val="single" w:sz="4" w:space="0" w:color="auto"/>
              <w:bottom w:val="single" w:sz="4" w:space="0" w:color="auto"/>
            </w:tcBorders>
          </w:tcPr>
          <w:p w14:paraId="1872F556" w14:textId="77777777" w:rsidR="00CF0E2D" w:rsidRPr="00424DA4" w:rsidRDefault="00CF0E2D" w:rsidP="00A60D4B">
            <w:pPr>
              <w:pStyle w:val="InitFigRBold"/>
            </w:pPr>
            <w:r>
              <w:t>811</w:t>
            </w:r>
          </w:p>
        </w:tc>
        <w:tc>
          <w:tcPr>
            <w:tcW w:w="1029" w:type="dxa"/>
            <w:tcBorders>
              <w:top w:val="single" w:sz="4" w:space="0" w:color="auto"/>
              <w:bottom w:val="single" w:sz="4" w:space="0" w:color="auto"/>
            </w:tcBorders>
          </w:tcPr>
          <w:p w14:paraId="0D3A9207" w14:textId="77777777" w:rsidR="00CF0E2D" w:rsidRPr="00424DA4" w:rsidRDefault="00CF0E2D" w:rsidP="00A60D4B">
            <w:pPr>
              <w:pStyle w:val="InitFigRBold"/>
            </w:pPr>
            <w:r>
              <w:t>3,292</w:t>
            </w:r>
          </w:p>
        </w:tc>
      </w:tr>
    </w:tbl>
    <w:p w14:paraId="083914A8" w14:textId="77777777" w:rsidR="00CF0E2D" w:rsidRPr="006E29C0" w:rsidRDefault="00CF0E2D" w:rsidP="00A60D4B">
      <w:pPr>
        <w:pStyle w:val="Bbodytext"/>
        <w:rPr>
          <w:rFonts w:ascii="Calibri" w:eastAsia="Times New Roman" w:hAnsi="Calibri" w:cs="Times New Roman"/>
          <w:szCs w:val="20"/>
        </w:rPr>
      </w:pPr>
      <w:r w:rsidRPr="006E29C0">
        <w:t xml:space="preserve">The </w:t>
      </w:r>
      <w:r w:rsidRPr="006E29C0">
        <w:rPr>
          <w:rFonts w:ascii="Calibri" w:eastAsia="Times New Roman" w:hAnsi="Calibri" w:cs="Times New Roman"/>
          <w:szCs w:val="20"/>
        </w:rPr>
        <w:t xml:space="preserve">Government will continue to deliver environmental biodiversity offset commitments to support land releases as part of the West Belconnen and Gungahlin Strategic Assessments. This includes employment of rangers and other staff to deliver </w:t>
      </w:r>
      <w:r w:rsidRPr="00057AFE">
        <w:rPr>
          <w:rFonts w:ascii="Calibri" w:eastAsia="Times New Roman" w:hAnsi="Calibri" w:cs="Times New Roman"/>
          <w:i/>
          <w:iCs/>
          <w:szCs w:val="20"/>
        </w:rPr>
        <w:t>Environment Protection and Biodiversity Conservation Act</w:t>
      </w:r>
      <w:r>
        <w:rPr>
          <w:rFonts w:ascii="Calibri" w:eastAsia="Times New Roman" w:hAnsi="Calibri" w:cs="Times New Roman"/>
          <w:i/>
          <w:iCs/>
          <w:szCs w:val="20"/>
        </w:rPr>
        <w:t xml:space="preserve"> 1999</w:t>
      </w:r>
      <w:r w:rsidRPr="00057AFE">
        <w:rPr>
          <w:rFonts w:ascii="Calibri" w:eastAsia="Times New Roman" w:hAnsi="Calibri" w:cs="Times New Roman"/>
          <w:i/>
          <w:iCs/>
          <w:szCs w:val="20"/>
        </w:rPr>
        <w:t xml:space="preserve"> </w:t>
      </w:r>
      <w:r w:rsidRPr="006E29C0">
        <w:rPr>
          <w:rFonts w:ascii="Calibri" w:eastAsia="Times New Roman" w:hAnsi="Calibri" w:cs="Times New Roman"/>
          <w:szCs w:val="20"/>
        </w:rPr>
        <w:t>(Commonwealth) requirements in supporting the delivery of the Government’s Indicative Land Release Program.</w:t>
      </w:r>
    </w:p>
    <w:p w14:paraId="10DA22C9" w14:textId="77777777" w:rsidR="00CF0E2D" w:rsidRPr="006E29C0" w:rsidRDefault="00CF0E2D" w:rsidP="00A60D4B">
      <w:pPr>
        <w:pStyle w:val="Bbodytext"/>
        <w:rPr>
          <w:rFonts w:ascii="Calibri" w:eastAsia="Times New Roman" w:hAnsi="Calibri" w:cs="Times New Roman"/>
          <w:szCs w:val="20"/>
        </w:rPr>
      </w:pPr>
      <w:r w:rsidRPr="006E29C0">
        <w:lastRenderedPageBreak/>
        <w:t>This initiative contributes to the wellbeing domains of Environment and climate, Housing and home and Social c</w:t>
      </w:r>
      <w:r w:rsidRPr="006E29C0">
        <w:rPr>
          <w:rFonts w:ascii="Calibri" w:eastAsia="Times New Roman" w:hAnsi="Calibri" w:cs="Times New Roman"/>
          <w:szCs w:val="20"/>
        </w:rPr>
        <w:t>onnection.</w:t>
      </w:r>
    </w:p>
    <w:p w14:paraId="1B7543E0" w14:textId="77777777" w:rsidR="00CF0E2D" w:rsidRDefault="00CF0E2D" w:rsidP="00A60D4B"/>
    <w:p w14:paraId="7CB9AD75" w14:textId="77777777" w:rsidR="00CF0E2D" w:rsidRPr="00C37A3B" w:rsidRDefault="00CF0E2D" w:rsidP="00A60D4B">
      <w:pPr>
        <w:pStyle w:val="Heading4"/>
        <w:rPr>
          <w:rFonts w:eastAsia="Times New Roman" w:cs="Times New Roman"/>
          <w:bCs/>
          <w:szCs w:val="26"/>
        </w:rPr>
      </w:pPr>
      <w:r w:rsidRPr="00A96BA9">
        <w:rPr>
          <w:rFonts w:eastAsia="Times New Roman"/>
        </w:rPr>
        <w:t xml:space="preserve">Protecting Canberra’s </w:t>
      </w:r>
      <w:r>
        <w:rPr>
          <w:rFonts w:eastAsia="Times New Roman"/>
        </w:rPr>
        <w:t>u</w:t>
      </w:r>
      <w:r w:rsidRPr="00A96BA9">
        <w:rPr>
          <w:rFonts w:eastAsia="Times New Roman"/>
        </w:rPr>
        <w:t xml:space="preserve">nique </w:t>
      </w:r>
      <w:r>
        <w:rPr>
          <w:rFonts w:eastAsia="Times New Roman"/>
        </w:rPr>
        <w:t>e</w:t>
      </w:r>
      <w:r w:rsidRPr="00A96BA9">
        <w:rPr>
          <w:rFonts w:eastAsia="Times New Roman"/>
        </w:rPr>
        <w:t xml:space="preserve">nvironment </w:t>
      </w:r>
      <w:r>
        <w:rPr>
          <w:rFonts w:eastAsia="Times New Roman"/>
        </w:rPr>
        <w:t xml:space="preserve">– </w:t>
      </w:r>
      <w:r w:rsidRPr="00C37A3B">
        <w:rPr>
          <w:rFonts w:eastAsia="Times New Roman"/>
        </w:rPr>
        <w:t xml:space="preserve">Protecting </w:t>
      </w:r>
      <w:r>
        <w:rPr>
          <w:rFonts w:eastAsia="Times New Roman"/>
        </w:rPr>
        <w:t>e</w:t>
      </w:r>
      <w:r w:rsidRPr="00C37A3B">
        <w:rPr>
          <w:rFonts w:eastAsia="Times New Roman"/>
        </w:rPr>
        <w:t xml:space="preserve">cosystems </w:t>
      </w:r>
      <w:r>
        <w:rPr>
          <w:rFonts w:eastAsia="Times New Roman"/>
        </w:rPr>
        <w:t>t</w:t>
      </w:r>
      <w:r w:rsidRPr="00C37A3B">
        <w:rPr>
          <w:rFonts w:eastAsia="Times New Roman"/>
        </w:rPr>
        <w:t xml:space="preserve">hrough </w:t>
      </w:r>
      <w:r>
        <w:rPr>
          <w:rFonts w:eastAsia="Times New Roman"/>
        </w:rPr>
        <w:t>k</w:t>
      </w:r>
      <w:r w:rsidRPr="00C37A3B">
        <w:rPr>
          <w:rFonts w:eastAsia="Times New Roman"/>
        </w:rPr>
        <w:t xml:space="preserve">angaroo </w:t>
      </w:r>
      <w:r>
        <w:rPr>
          <w:rFonts w:eastAsia="Times New Roman"/>
        </w:rPr>
        <w:t>m</w:t>
      </w:r>
      <w:r w:rsidRPr="00C37A3B">
        <w:rPr>
          <w:rFonts w:eastAsia="Times New Roman"/>
        </w:rPr>
        <w:t xml:space="preserve">anagement </w:t>
      </w:r>
      <w:r>
        <w:rPr>
          <w:rFonts w:eastAsia="Times New Roman"/>
          <w:noProof/>
        </w:rPr>
        <w:drawing>
          <wp:anchor distT="0" distB="0" distL="114300" distR="114300" simplePos="0" relativeHeight="251843584" behindDoc="0" locked="1" layoutInCell="1" allowOverlap="1" wp14:anchorId="050653CA" wp14:editId="5EC9119F">
            <wp:simplePos x="0" y="0"/>
            <wp:positionH relativeFrom="margin">
              <wp:align>right</wp:align>
            </wp:positionH>
            <wp:positionV relativeFrom="paragraph">
              <wp:posOffset>59055</wp:posOffset>
            </wp:positionV>
            <wp:extent cx="1393190" cy="503555"/>
            <wp:effectExtent l="0" t="0" r="0" b="0"/>
            <wp:wrapSquare wrapText="bothSides"/>
            <wp:docPr id="156" name="Picture 156" descr="Icon representing the wellbeing domain of Environment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nvironment and clima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319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4E3CB3A2" w14:textId="77777777" w:rsidTr="00A60D4B">
        <w:trPr>
          <w:cantSplit/>
          <w:jc w:val="center"/>
        </w:trPr>
        <w:tc>
          <w:tcPr>
            <w:tcW w:w="3652" w:type="dxa"/>
            <w:tcBorders>
              <w:top w:val="single" w:sz="4" w:space="0" w:color="auto"/>
              <w:bottom w:val="single" w:sz="4" w:space="0" w:color="auto"/>
            </w:tcBorders>
          </w:tcPr>
          <w:p w14:paraId="7A404D79"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0FE9116C" w14:textId="77777777" w:rsidR="00CF0E2D" w:rsidRPr="00F2314E" w:rsidRDefault="00CF0E2D" w:rsidP="00A60D4B">
            <w:pPr>
              <w:pStyle w:val="InitFigR"/>
              <w:keepNext/>
              <w:keepLines/>
              <w:rPr>
                <w:b/>
                <w:bCs/>
              </w:rPr>
            </w:pPr>
            <w:r w:rsidRPr="00F2314E">
              <w:rPr>
                <w:b/>
                <w:bCs/>
              </w:rPr>
              <w:t>2021-22</w:t>
            </w:r>
          </w:p>
          <w:p w14:paraId="7B4E1673" w14:textId="77777777" w:rsidR="00CF0E2D" w:rsidRPr="00F2314E" w:rsidRDefault="00CF0E2D" w:rsidP="00A60D4B">
            <w:pPr>
              <w:pStyle w:val="InitFigR"/>
              <w:keepNext/>
              <w:keepLines/>
              <w:rPr>
                <w:b/>
                <w:bCs/>
              </w:rPr>
            </w:pPr>
            <w:r w:rsidRPr="00F2314E">
              <w:rPr>
                <w:b/>
                <w:bCs/>
              </w:rPr>
              <w:t>$’000</w:t>
            </w:r>
          </w:p>
        </w:tc>
        <w:tc>
          <w:tcPr>
            <w:tcW w:w="1041" w:type="dxa"/>
            <w:tcBorders>
              <w:top w:val="single" w:sz="4" w:space="0" w:color="auto"/>
              <w:bottom w:val="single" w:sz="4" w:space="0" w:color="auto"/>
            </w:tcBorders>
          </w:tcPr>
          <w:p w14:paraId="7DC03F25" w14:textId="77777777" w:rsidR="00CF0E2D" w:rsidRPr="00F2314E" w:rsidRDefault="00CF0E2D" w:rsidP="00A60D4B">
            <w:pPr>
              <w:pStyle w:val="InitFigR"/>
              <w:keepNext/>
              <w:keepLines/>
              <w:rPr>
                <w:b/>
                <w:bCs/>
              </w:rPr>
            </w:pPr>
            <w:r w:rsidRPr="00F2314E">
              <w:rPr>
                <w:b/>
                <w:bCs/>
              </w:rPr>
              <w:t>2022-23</w:t>
            </w:r>
          </w:p>
          <w:p w14:paraId="53437AEE" w14:textId="77777777" w:rsidR="00CF0E2D" w:rsidRPr="00F2314E" w:rsidRDefault="00CF0E2D" w:rsidP="00A60D4B">
            <w:pPr>
              <w:pStyle w:val="InitFigR"/>
              <w:keepNext/>
              <w:keepLines/>
              <w:rPr>
                <w:b/>
                <w:bCs/>
              </w:rPr>
            </w:pPr>
            <w:r w:rsidRPr="00F2314E">
              <w:rPr>
                <w:b/>
                <w:bCs/>
              </w:rPr>
              <w:t>$’000</w:t>
            </w:r>
          </w:p>
        </w:tc>
        <w:tc>
          <w:tcPr>
            <w:tcW w:w="1029" w:type="dxa"/>
            <w:tcBorders>
              <w:top w:val="single" w:sz="4" w:space="0" w:color="auto"/>
              <w:bottom w:val="single" w:sz="4" w:space="0" w:color="auto"/>
            </w:tcBorders>
          </w:tcPr>
          <w:p w14:paraId="5ECFEC7A" w14:textId="77777777" w:rsidR="00CF0E2D" w:rsidRPr="00F2314E" w:rsidRDefault="00CF0E2D" w:rsidP="00A60D4B">
            <w:pPr>
              <w:pStyle w:val="InitFigR"/>
              <w:keepNext/>
              <w:keepLines/>
              <w:rPr>
                <w:b/>
                <w:bCs/>
              </w:rPr>
            </w:pPr>
            <w:r w:rsidRPr="00F2314E">
              <w:rPr>
                <w:b/>
                <w:bCs/>
              </w:rPr>
              <w:t>2023-24</w:t>
            </w:r>
          </w:p>
          <w:p w14:paraId="69AFF35D" w14:textId="77777777" w:rsidR="00CF0E2D" w:rsidRPr="00F2314E" w:rsidRDefault="00CF0E2D" w:rsidP="00A60D4B">
            <w:pPr>
              <w:pStyle w:val="InitFigR"/>
              <w:keepNext/>
              <w:keepLines/>
              <w:rPr>
                <w:b/>
                <w:bCs/>
              </w:rPr>
            </w:pPr>
            <w:r w:rsidRPr="00F2314E">
              <w:rPr>
                <w:b/>
                <w:bCs/>
              </w:rPr>
              <w:t>$’000</w:t>
            </w:r>
          </w:p>
        </w:tc>
        <w:tc>
          <w:tcPr>
            <w:tcW w:w="1029" w:type="dxa"/>
            <w:tcBorders>
              <w:top w:val="single" w:sz="4" w:space="0" w:color="auto"/>
              <w:bottom w:val="single" w:sz="4" w:space="0" w:color="auto"/>
            </w:tcBorders>
          </w:tcPr>
          <w:p w14:paraId="1E1817F8" w14:textId="77777777" w:rsidR="00CF0E2D" w:rsidRPr="00F2314E" w:rsidRDefault="00CF0E2D" w:rsidP="00A60D4B">
            <w:pPr>
              <w:pStyle w:val="InitFigR"/>
              <w:keepNext/>
              <w:keepLines/>
              <w:rPr>
                <w:b/>
                <w:bCs/>
              </w:rPr>
            </w:pPr>
            <w:r w:rsidRPr="00F2314E">
              <w:rPr>
                <w:b/>
                <w:bCs/>
              </w:rPr>
              <w:t>2024-25</w:t>
            </w:r>
          </w:p>
          <w:p w14:paraId="1D5C4F20" w14:textId="77777777" w:rsidR="00CF0E2D" w:rsidRPr="00F2314E" w:rsidRDefault="00CF0E2D" w:rsidP="00A60D4B">
            <w:pPr>
              <w:pStyle w:val="InitFigR"/>
              <w:keepNext/>
              <w:keepLines/>
              <w:rPr>
                <w:b/>
                <w:bCs/>
              </w:rPr>
            </w:pPr>
            <w:r w:rsidRPr="00F2314E">
              <w:rPr>
                <w:b/>
                <w:bCs/>
              </w:rPr>
              <w:t>$’000</w:t>
            </w:r>
          </w:p>
        </w:tc>
        <w:tc>
          <w:tcPr>
            <w:tcW w:w="1029" w:type="dxa"/>
            <w:tcBorders>
              <w:top w:val="single" w:sz="4" w:space="0" w:color="auto"/>
              <w:bottom w:val="single" w:sz="4" w:space="0" w:color="auto"/>
            </w:tcBorders>
          </w:tcPr>
          <w:p w14:paraId="795443C8" w14:textId="77777777" w:rsidR="00CF0E2D" w:rsidRPr="004E341E" w:rsidRDefault="00CF0E2D" w:rsidP="00A60D4B">
            <w:pPr>
              <w:pStyle w:val="InitFigRBold"/>
              <w:keepNext/>
              <w:keepLines/>
            </w:pPr>
            <w:r w:rsidRPr="004E341E">
              <w:t>Total</w:t>
            </w:r>
          </w:p>
          <w:p w14:paraId="30B94299" w14:textId="77777777" w:rsidR="00CF0E2D" w:rsidRPr="004E341E" w:rsidRDefault="00CF0E2D" w:rsidP="00A60D4B">
            <w:pPr>
              <w:pStyle w:val="InitFigBR"/>
              <w:keepNext/>
              <w:keepLines/>
            </w:pPr>
            <w:r w:rsidRPr="004E341E">
              <w:t>$’000</w:t>
            </w:r>
          </w:p>
        </w:tc>
      </w:tr>
      <w:tr w:rsidR="00CF0E2D" w:rsidRPr="00750793" w14:paraId="019E7F4F" w14:textId="77777777" w:rsidTr="00A60D4B">
        <w:trPr>
          <w:cantSplit/>
          <w:jc w:val="center"/>
        </w:trPr>
        <w:tc>
          <w:tcPr>
            <w:tcW w:w="3652" w:type="dxa"/>
            <w:tcBorders>
              <w:top w:val="single" w:sz="4" w:space="0" w:color="auto"/>
              <w:bottom w:val="single" w:sz="4" w:space="0" w:color="auto"/>
            </w:tcBorders>
          </w:tcPr>
          <w:p w14:paraId="09C435B5" w14:textId="77777777" w:rsidR="00CF0E2D" w:rsidRPr="00F13FAB" w:rsidRDefault="00CF0E2D" w:rsidP="00A60D4B">
            <w:pPr>
              <w:pStyle w:val="InitTextL"/>
              <w:keepNext/>
              <w:keepLines/>
              <w:ind w:left="321" w:hanging="321"/>
            </w:pPr>
            <w:r w:rsidRPr="00882BE2">
              <w:t>Expenses</w:t>
            </w:r>
          </w:p>
        </w:tc>
        <w:tc>
          <w:tcPr>
            <w:tcW w:w="1179" w:type="dxa"/>
            <w:tcBorders>
              <w:top w:val="single" w:sz="4" w:space="0" w:color="auto"/>
              <w:bottom w:val="single" w:sz="4" w:space="0" w:color="auto"/>
            </w:tcBorders>
          </w:tcPr>
          <w:p w14:paraId="474D0ACA" w14:textId="77777777" w:rsidR="00CF0E2D" w:rsidRPr="00424DA4" w:rsidRDefault="00CF0E2D" w:rsidP="00A60D4B">
            <w:pPr>
              <w:pStyle w:val="InitFigR"/>
              <w:keepNext/>
              <w:keepLines/>
            </w:pPr>
            <w:r>
              <w:t>606</w:t>
            </w:r>
          </w:p>
        </w:tc>
        <w:tc>
          <w:tcPr>
            <w:tcW w:w="1041" w:type="dxa"/>
            <w:tcBorders>
              <w:top w:val="single" w:sz="4" w:space="0" w:color="auto"/>
              <w:bottom w:val="single" w:sz="4" w:space="0" w:color="auto"/>
            </w:tcBorders>
          </w:tcPr>
          <w:p w14:paraId="71A3BD66" w14:textId="77777777" w:rsidR="00CF0E2D" w:rsidRPr="00424DA4" w:rsidRDefault="00CF0E2D" w:rsidP="00A60D4B">
            <w:pPr>
              <w:pStyle w:val="InitFigR"/>
              <w:keepNext/>
              <w:keepLines/>
            </w:pPr>
            <w:r>
              <w:t>618</w:t>
            </w:r>
          </w:p>
        </w:tc>
        <w:tc>
          <w:tcPr>
            <w:tcW w:w="1029" w:type="dxa"/>
            <w:tcBorders>
              <w:top w:val="single" w:sz="4" w:space="0" w:color="auto"/>
              <w:bottom w:val="single" w:sz="4" w:space="0" w:color="auto"/>
            </w:tcBorders>
          </w:tcPr>
          <w:p w14:paraId="31A5DFFA" w14:textId="77777777" w:rsidR="00CF0E2D" w:rsidRPr="00424DA4" w:rsidRDefault="00CF0E2D" w:rsidP="00A60D4B">
            <w:pPr>
              <w:pStyle w:val="InitFigR"/>
              <w:keepNext/>
              <w:keepLines/>
            </w:pPr>
            <w:r>
              <w:t>630</w:t>
            </w:r>
          </w:p>
        </w:tc>
        <w:tc>
          <w:tcPr>
            <w:tcW w:w="1029" w:type="dxa"/>
            <w:tcBorders>
              <w:top w:val="single" w:sz="4" w:space="0" w:color="auto"/>
              <w:bottom w:val="single" w:sz="4" w:space="0" w:color="auto"/>
            </w:tcBorders>
          </w:tcPr>
          <w:p w14:paraId="438E3F47" w14:textId="77777777" w:rsidR="00CF0E2D" w:rsidRPr="00424DA4" w:rsidRDefault="00CF0E2D" w:rsidP="00A60D4B">
            <w:pPr>
              <w:pStyle w:val="InitFigR"/>
              <w:keepNext/>
              <w:keepLines/>
            </w:pPr>
            <w:r>
              <w:t>643</w:t>
            </w:r>
          </w:p>
        </w:tc>
        <w:tc>
          <w:tcPr>
            <w:tcW w:w="1029" w:type="dxa"/>
            <w:tcBorders>
              <w:top w:val="single" w:sz="4" w:space="0" w:color="auto"/>
              <w:bottom w:val="single" w:sz="4" w:space="0" w:color="auto"/>
            </w:tcBorders>
          </w:tcPr>
          <w:p w14:paraId="431E6F3E" w14:textId="77777777" w:rsidR="00CF0E2D" w:rsidRPr="00424DA4" w:rsidRDefault="00CF0E2D" w:rsidP="00A60D4B">
            <w:pPr>
              <w:pStyle w:val="InitFigBR"/>
              <w:keepNext/>
              <w:keepLines/>
            </w:pPr>
            <w:r>
              <w:t>2,497</w:t>
            </w:r>
          </w:p>
        </w:tc>
      </w:tr>
    </w:tbl>
    <w:p w14:paraId="3886AEC0" w14:textId="77777777" w:rsidR="00CF0E2D" w:rsidRPr="00C37A3B" w:rsidRDefault="00CF0E2D" w:rsidP="00A60D4B">
      <w:pPr>
        <w:pStyle w:val="Bbodytext"/>
        <w:rPr>
          <w:rFonts w:ascii="Calibri" w:eastAsia="Times New Roman" w:hAnsi="Calibri" w:cs="Times New Roman"/>
          <w:szCs w:val="20"/>
        </w:rPr>
      </w:pPr>
      <w:r w:rsidRPr="00C37A3B">
        <w:t xml:space="preserve">The Government will continue </w:t>
      </w:r>
      <w:r w:rsidRPr="00C37A3B">
        <w:rPr>
          <w:rFonts w:ascii="Calibri" w:eastAsia="Times New Roman" w:hAnsi="Calibri" w:cs="Times New Roman"/>
          <w:szCs w:val="20"/>
        </w:rPr>
        <w:t xml:space="preserve">activities to manage the kangaroo population, building on the 2017-18 Budget initiative </w:t>
      </w:r>
      <w:r w:rsidRPr="00660F01">
        <w:rPr>
          <w:rFonts w:ascii="Calibri" w:eastAsia="Times New Roman" w:hAnsi="Calibri" w:cs="Times New Roman"/>
          <w:i/>
          <w:iCs/>
          <w:szCs w:val="20"/>
        </w:rPr>
        <w:t xml:space="preserve">Better services in your community - Managing native wildlife </w:t>
      </w:r>
      <w:r w:rsidRPr="00660F01">
        <w:rPr>
          <w:rFonts w:ascii="Calibri" w:eastAsia="Times New Roman" w:hAnsi="Calibri" w:cs="Times New Roman"/>
          <w:szCs w:val="20"/>
        </w:rPr>
        <w:t xml:space="preserve">which </w:t>
      </w:r>
      <w:r w:rsidRPr="00C37A3B">
        <w:rPr>
          <w:rFonts w:ascii="Calibri" w:eastAsia="Times New Roman" w:hAnsi="Calibri" w:cs="Times New Roman"/>
          <w:szCs w:val="20"/>
        </w:rPr>
        <w:t>provided funding over four years.</w:t>
      </w:r>
    </w:p>
    <w:p w14:paraId="21EAC64F" w14:textId="77777777" w:rsidR="00CF0E2D" w:rsidRPr="00C37A3B" w:rsidRDefault="00CF0E2D" w:rsidP="00A60D4B">
      <w:pPr>
        <w:pStyle w:val="Bbodytext"/>
        <w:rPr>
          <w:rFonts w:ascii="Calibri" w:eastAsia="Times New Roman" w:hAnsi="Calibri" w:cs="Times New Roman"/>
          <w:szCs w:val="20"/>
        </w:rPr>
      </w:pPr>
      <w:r w:rsidRPr="00C37A3B">
        <w:t>This initiative contributes to the wellbeing domain</w:t>
      </w:r>
      <w:r w:rsidRPr="00C37A3B">
        <w:rPr>
          <w:rFonts w:ascii="Calibri" w:eastAsia="Times New Roman" w:hAnsi="Calibri" w:cs="Times New Roman"/>
          <w:szCs w:val="20"/>
        </w:rPr>
        <w:t>s of Environment and climate and Safety.</w:t>
      </w:r>
    </w:p>
    <w:p w14:paraId="46C67960" w14:textId="77777777" w:rsidR="00CF0E2D" w:rsidRPr="009C7DB8" w:rsidRDefault="00CF0E2D" w:rsidP="00A60D4B">
      <w:pPr>
        <w:pStyle w:val="Bbodytext"/>
        <w:rPr>
          <w:rFonts w:ascii="Calibri" w:eastAsia="Times New Roman" w:hAnsi="Calibri" w:cs="Times New Roman"/>
          <w:szCs w:val="20"/>
        </w:rPr>
      </w:pPr>
    </w:p>
    <w:p w14:paraId="472B25F3" w14:textId="77777777" w:rsidR="00CF0E2D" w:rsidRPr="00A96BA9" w:rsidRDefault="00CF0E2D" w:rsidP="00A60D4B">
      <w:pPr>
        <w:pStyle w:val="Heading4"/>
        <w:rPr>
          <w:rFonts w:eastAsia="Times New Roman" w:cs="Times New Roman"/>
          <w:bCs/>
          <w:szCs w:val="26"/>
        </w:rPr>
      </w:pPr>
      <w:r>
        <w:rPr>
          <w:b w:val="0"/>
          <w:noProof/>
          <w:color w:val="999789"/>
          <w:sz w:val="32"/>
          <w:szCs w:val="24"/>
        </w:rPr>
        <w:drawing>
          <wp:anchor distT="0" distB="0" distL="114300" distR="114300" simplePos="0" relativeHeight="251857920" behindDoc="0" locked="1" layoutInCell="1" allowOverlap="1" wp14:anchorId="62B5E52A" wp14:editId="77256561">
            <wp:simplePos x="0" y="0"/>
            <wp:positionH relativeFrom="margin">
              <wp:align>right</wp:align>
            </wp:positionH>
            <wp:positionV relativeFrom="paragraph">
              <wp:posOffset>86360</wp:posOffset>
            </wp:positionV>
            <wp:extent cx="1285200" cy="504000"/>
            <wp:effectExtent l="0" t="0" r="0" b="0"/>
            <wp:wrapSquare wrapText="bothSides"/>
            <wp:docPr id="284" name="Picture 284" descr="Icon representing the wellbeing domain of Social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Icon representing the wellbeing domain of Social Connection"/>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85200" cy="504000"/>
                    </a:xfrm>
                    <a:prstGeom prst="rect">
                      <a:avLst/>
                    </a:prstGeom>
                  </pic:spPr>
                </pic:pic>
              </a:graphicData>
            </a:graphic>
            <wp14:sizeRelH relativeFrom="margin">
              <wp14:pctWidth>0</wp14:pctWidth>
            </wp14:sizeRelH>
            <wp14:sizeRelV relativeFrom="margin">
              <wp14:pctHeight>0</wp14:pctHeight>
            </wp14:sizeRelV>
          </wp:anchor>
        </w:drawing>
      </w:r>
      <w:r w:rsidRPr="00A96BA9">
        <w:rPr>
          <w:rFonts w:eastAsia="Times New Roman"/>
        </w:rPr>
        <w:t xml:space="preserve">Protecting Canberra’s </w:t>
      </w:r>
      <w:r>
        <w:rPr>
          <w:rFonts w:eastAsia="Times New Roman"/>
        </w:rPr>
        <w:t>u</w:t>
      </w:r>
      <w:r w:rsidRPr="00A96BA9">
        <w:rPr>
          <w:rFonts w:eastAsia="Times New Roman"/>
        </w:rPr>
        <w:t xml:space="preserve">nique </w:t>
      </w:r>
      <w:r>
        <w:rPr>
          <w:rFonts w:eastAsia="Times New Roman"/>
        </w:rPr>
        <w:t>e</w:t>
      </w:r>
      <w:r w:rsidRPr="00A96BA9">
        <w:rPr>
          <w:rFonts w:eastAsia="Times New Roman"/>
        </w:rPr>
        <w:t>nvironment -</w:t>
      </w:r>
      <w:r w:rsidRPr="00A96BA9">
        <w:rPr>
          <w:rFonts w:eastAsia="Times New Roman" w:cs="Times New Roman"/>
          <w:szCs w:val="26"/>
        </w:rPr>
        <w:t xml:space="preserve"> Support for </w:t>
      </w:r>
      <w:r>
        <w:rPr>
          <w:rFonts w:eastAsia="Times New Roman" w:cs="Times New Roman"/>
          <w:szCs w:val="26"/>
        </w:rPr>
        <w:t>l</w:t>
      </w:r>
      <w:r w:rsidRPr="00A96BA9">
        <w:rPr>
          <w:rFonts w:eastAsia="Times New Roman" w:cs="Times New Roman"/>
          <w:szCs w:val="26"/>
        </w:rPr>
        <w:t xml:space="preserve">ocal </w:t>
      </w:r>
      <w:r>
        <w:rPr>
          <w:rFonts w:eastAsia="Times New Roman" w:cs="Times New Roman"/>
          <w:szCs w:val="26"/>
        </w:rPr>
        <w:t>v</w:t>
      </w:r>
      <w:r w:rsidRPr="00A96BA9">
        <w:rPr>
          <w:rFonts w:eastAsia="Times New Roman" w:cs="Times New Roman"/>
          <w:szCs w:val="26"/>
        </w:rPr>
        <w:t>olunteer-</w:t>
      </w:r>
      <w:r>
        <w:rPr>
          <w:rFonts w:eastAsia="Times New Roman" w:cs="Times New Roman"/>
          <w:szCs w:val="26"/>
        </w:rPr>
        <w:t>b</w:t>
      </w:r>
      <w:r w:rsidRPr="00A96BA9">
        <w:rPr>
          <w:rFonts w:eastAsia="Times New Roman" w:cs="Times New Roman"/>
          <w:szCs w:val="26"/>
        </w:rPr>
        <w:t xml:space="preserve">ased </w:t>
      </w:r>
      <w:r>
        <w:rPr>
          <w:rFonts w:eastAsia="Times New Roman" w:cs="Times New Roman"/>
          <w:szCs w:val="26"/>
        </w:rPr>
        <w:t>e</w:t>
      </w:r>
      <w:r w:rsidRPr="00A96BA9">
        <w:rPr>
          <w:rFonts w:eastAsia="Times New Roman" w:cs="Times New Roman"/>
          <w:szCs w:val="26"/>
        </w:rPr>
        <w:t xml:space="preserve">nvironmental </w:t>
      </w:r>
      <w:r>
        <w:rPr>
          <w:rFonts w:eastAsia="Times New Roman" w:cs="Times New Roman"/>
          <w:szCs w:val="26"/>
        </w:rPr>
        <w:t>g</w:t>
      </w:r>
      <w:r w:rsidRPr="00A96BA9">
        <w:rPr>
          <w:rFonts w:eastAsia="Times New Roman" w:cs="Times New Roman"/>
          <w:szCs w:val="26"/>
        </w:rPr>
        <w:t>roups</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128E881B" w14:textId="77777777" w:rsidTr="00A60D4B">
        <w:trPr>
          <w:cantSplit/>
          <w:jc w:val="center"/>
        </w:trPr>
        <w:tc>
          <w:tcPr>
            <w:tcW w:w="3652" w:type="dxa"/>
            <w:tcBorders>
              <w:top w:val="single" w:sz="4" w:space="0" w:color="auto"/>
              <w:bottom w:val="single" w:sz="4" w:space="0" w:color="auto"/>
            </w:tcBorders>
          </w:tcPr>
          <w:p w14:paraId="5D5BBF74"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23CCBFBA" w14:textId="77777777" w:rsidR="00CF0E2D" w:rsidRPr="00F2314E" w:rsidRDefault="00CF0E2D" w:rsidP="00A60D4B">
            <w:pPr>
              <w:pStyle w:val="InitFigR"/>
              <w:keepNext/>
              <w:keepLines/>
              <w:rPr>
                <w:b/>
                <w:bCs/>
              </w:rPr>
            </w:pPr>
            <w:r w:rsidRPr="00F2314E">
              <w:rPr>
                <w:b/>
                <w:bCs/>
              </w:rPr>
              <w:t>2021-22</w:t>
            </w:r>
          </w:p>
          <w:p w14:paraId="00E3FC58" w14:textId="77777777" w:rsidR="00CF0E2D" w:rsidRPr="00F2314E" w:rsidRDefault="00CF0E2D" w:rsidP="00A60D4B">
            <w:pPr>
              <w:pStyle w:val="InitFigR"/>
              <w:keepNext/>
              <w:keepLines/>
              <w:rPr>
                <w:b/>
                <w:bCs/>
              </w:rPr>
            </w:pPr>
            <w:r w:rsidRPr="00F2314E">
              <w:rPr>
                <w:b/>
                <w:bCs/>
              </w:rPr>
              <w:t>$’000</w:t>
            </w:r>
          </w:p>
        </w:tc>
        <w:tc>
          <w:tcPr>
            <w:tcW w:w="1041" w:type="dxa"/>
            <w:tcBorders>
              <w:top w:val="single" w:sz="4" w:space="0" w:color="auto"/>
              <w:bottom w:val="single" w:sz="4" w:space="0" w:color="auto"/>
            </w:tcBorders>
          </w:tcPr>
          <w:p w14:paraId="4554712B" w14:textId="77777777" w:rsidR="00CF0E2D" w:rsidRPr="00F2314E" w:rsidRDefault="00CF0E2D" w:rsidP="00A60D4B">
            <w:pPr>
              <w:pStyle w:val="InitFigR"/>
              <w:keepNext/>
              <w:keepLines/>
              <w:rPr>
                <w:b/>
                <w:bCs/>
              </w:rPr>
            </w:pPr>
            <w:r w:rsidRPr="00F2314E">
              <w:rPr>
                <w:b/>
                <w:bCs/>
              </w:rPr>
              <w:t>2022-23</w:t>
            </w:r>
          </w:p>
          <w:p w14:paraId="5386571D" w14:textId="77777777" w:rsidR="00CF0E2D" w:rsidRPr="00F2314E" w:rsidRDefault="00CF0E2D" w:rsidP="00A60D4B">
            <w:pPr>
              <w:pStyle w:val="InitFigR"/>
              <w:keepNext/>
              <w:keepLines/>
              <w:rPr>
                <w:b/>
                <w:bCs/>
              </w:rPr>
            </w:pPr>
            <w:r w:rsidRPr="00F2314E">
              <w:rPr>
                <w:b/>
                <w:bCs/>
              </w:rPr>
              <w:t>$’000</w:t>
            </w:r>
          </w:p>
        </w:tc>
        <w:tc>
          <w:tcPr>
            <w:tcW w:w="1029" w:type="dxa"/>
            <w:tcBorders>
              <w:top w:val="single" w:sz="4" w:space="0" w:color="auto"/>
              <w:bottom w:val="single" w:sz="4" w:space="0" w:color="auto"/>
            </w:tcBorders>
          </w:tcPr>
          <w:p w14:paraId="63C8C654" w14:textId="77777777" w:rsidR="00CF0E2D" w:rsidRPr="00F2314E" w:rsidRDefault="00CF0E2D" w:rsidP="00A60D4B">
            <w:pPr>
              <w:pStyle w:val="InitFigR"/>
              <w:keepNext/>
              <w:keepLines/>
              <w:rPr>
                <w:b/>
                <w:bCs/>
              </w:rPr>
            </w:pPr>
            <w:r w:rsidRPr="00F2314E">
              <w:rPr>
                <w:b/>
                <w:bCs/>
              </w:rPr>
              <w:t>2023-24</w:t>
            </w:r>
          </w:p>
          <w:p w14:paraId="286D79B5" w14:textId="77777777" w:rsidR="00CF0E2D" w:rsidRPr="00F2314E" w:rsidRDefault="00CF0E2D" w:rsidP="00A60D4B">
            <w:pPr>
              <w:pStyle w:val="InitFigR"/>
              <w:keepNext/>
              <w:keepLines/>
              <w:rPr>
                <w:b/>
                <w:bCs/>
              </w:rPr>
            </w:pPr>
            <w:r w:rsidRPr="00F2314E">
              <w:rPr>
                <w:b/>
                <w:bCs/>
              </w:rPr>
              <w:t>$’000</w:t>
            </w:r>
          </w:p>
        </w:tc>
        <w:tc>
          <w:tcPr>
            <w:tcW w:w="1029" w:type="dxa"/>
            <w:tcBorders>
              <w:top w:val="single" w:sz="4" w:space="0" w:color="auto"/>
              <w:bottom w:val="single" w:sz="4" w:space="0" w:color="auto"/>
            </w:tcBorders>
          </w:tcPr>
          <w:p w14:paraId="0AE2CB88" w14:textId="77777777" w:rsidR="00CF0E2D" w:rsidRPr="00F2314E" w:rsidRDefault="00CF0E2D" w:rsidP="00A60D4B">
            <w:pPr>
              <w:pStyle w:val="InitFigR"/>
              <w:keepNext/>
              <w:keepLines/>
              <w:rPr>
                <w:b/>
                <w:bCs/>
              </w:rPr>
            </w:pPr>
            <w:r w:rsidRPr="00F2314E">
              <w:rPr>
                <w:b/>
                <w:bCs/>
              </w:rPr>
              <w:t>2024-25</w:t>
            </w:r>
          </w:p>
          <w:p w14:paraId="39A6CB6A" w14:textId="77777777" w:rsidR="00CF0E2D" w:rsidRPr="00F2314E" w:rsidRDefault="00CF0E2D" w:rsidP="00A60D4B">
            <w:pPr>
              <w:pStyle w:val="InitFigR"/>
              <w:keepNext/>
              <w:keepLines/>
              <w:rPr>
                <w:b/>
                <w:bCs/>
              </w:rPr>
            </w:pPr>
            <w:r w:rsidRPr="00F2314E">
              <w:rPr>
                <w:b/>
                <w:bCs/>
              </w:rPr>
              <w:t>$’000</w:t>
            </w:r>
          </w:p>
        </w:tc>
        <w:tc>
          <w:tcPr>
            <w:tcW w:w="1029" w:type="dxa"/>
            <w:tcBorders>
              <w:top w:val="single" w:sz="4" w:space="0" w:color="auto"/>
              <w:bottom w:val="single" w:sz="4" w:space="0" w:color="auto"/>
            </w:tcBorders>
          </w:tcPr>
          <w:p w14:paraId="4ED68563" w14:textId="77777777" w:rsidR="00CF0E2D" w:rsidRPr="004E341E" w:rsidRDefault="00CF0E2D" w:rsidP="00A60D4B">
            <w:pPr>
              <w:pStyle w:val="InitFigRBold"/>
              <w:keepNext/>
              <w:keepLines/>
            </w:pPr>
            <w:r w:rsidRPr="004E341E">
              <w:t>Total</w:t>
            </w:r>
          </w:p>
          <w:p w14:paraId="16C805AD" w14:textId="77777777" w:rsidR="00CF0E2D" w:rsidRPr="004E341E" w:rsidRDefault="00CF0E2D" w:rsidP="00A60D4B">
            <w:pPr>
              <w:pStyle w:val="InitFigBR"/>
              <w:keepNext/>
              <w:keepLines/>
            </w:pPr>
            <w:r w:rsidRPr="004E341E">
              <w:t>$’000</w:t>
            </w:r>
          </w:p>
        </w:tc>
      </w:tr>
      <w:tr w:rsidR="00CF0E2D" w:rsidRPr="00750793" w14:paraId="25F78600" w14:textId="77777777" w:rsidTr="00A60D4B">
        <w:trPr>
          <w:cantSplit/>
          <w:jc w:val="center"/>
        </w:trPr>
        <w:tc>
          <w:tcPr>
            <w:tcW w:w="3652" w:type="dxa"/>
            <w:tcBorders>
              <w:top w:val="single" w:sz="4" w:space="0" w:color="auto"/>
              <w:bottom w:val="single" w:sz="4" w:space="0" w:color="auto"/>
            </w:tcBorders>
          </w:tcPr>
          <w:p w14:paraId="01082783" w14:textId="77777777" w:rsidR="00CF0E2D" w:rsidRPr="00F13FAB" w:rsidRDefault="00CF0E2D" w:rsidP="00A60D4B">
            <w:pPr>
              <w:pStyle w:val="InitTextL"/>
              <w:keepNext/>
              <w:keepLines/>
              <w:ind w:left="321" w:hanging="321"/>
            </w:pPr>
            <w:r w:rsidRPr="00882BE2">
              <w:t>Expenses</w:t>
            </w:r>
          </w:p>
        </w:tc>
        <w:tc>
          <w:tcPr>
            <w:tcW w:w="1179" w:type="dxa"/>
            <w:tcBorders>
              <w:top w:val="single" w:sz="4" w:space="0" w:color="auto"/>
              <w:bottom w:val="single" w:sz="4" w:space="0" w:color="auto"/>
            </w:tcBorders>
          </w:tcPr>
          <w:p w14:paraId="30E08CCE" w14:textId="77777777" w:rsidR="00CF0E2D" w:rsidRPr="00424DA4" w:rsidRDefault="00CF0E2D" w:rsidP="00A60D4B">
            <w:pPr>
              <w:pStyle w:val="InitFigR"/>
              <w:keepNext/>
              <w:keepLines/>
            </w:pPr>
            <w:r>
              <w:t>824</w:t>
            </w:r>
          </w:p>
        </w:tc>
        <w:tc>
          <w:tcPr>
            <w:tcW w:w="1041" w:type="dxa"/>
            <w:tcBorders>
              <w:top w:val="single" w:sz="4" w:space="0" w:color="auto"/>
              <w:bottom w:val="single" w:sz="4" w:space="0" w:color="auto"/>
            </w:tcBorders>
          </w:tcPr>
          <w:p w14:paraId="318687DD" w14:textId="77777777" w:rsidR="00CF0E2D" w:rsidRPr="00424DA4" w:rsidRDefault="00CF0E2D" w:rsidP="00A60D4B">
            <w:pPr>
              <w:pStyle w:val="InitFigR"/>
              <w:keepNext/>
              <w:keepLines/>
            </w:pPr>
            <w:r>
              <w:t>856</w:t>
            </w:r>
          </w:p>
        </w:tc>
        <w:tc>
          <w:tcPr>
            <w:tcW w:w="1029" w:type="dxa"/>
            <w:tcBorders>
              <w:top w:val="single" w:sz="4" w:space="0" w:color="auto"/>
              <w:bottom w:val="single" w:sz="4" w:space="0" w:color="auto"/>
            </w:tcBorders>
          </w:tcPr>
          <w:p w14:paraId="11170424" w14:textId="77777777" w:rsidR="00CF0E2D" w:rsidRPr="00424DA4" w:rsidRDefault="00CF0E2D" w:rsidP="00A60D4B">
            <w:pPr>
              <w:pStyle w:val="InitFigR"/>
              <w:keepNext/>
              <w:keepLines/>
            </w:pPr>
            <w:r>
              <w:t>893</w:t>
            </w:r>
          </w:p>
        </w:tc>
        <w:tc>
          <w:tcPr>
            <w:tcW w:w="1029" w:type="dxa"/>
            <w:tcBorders>
              <w:top w:val="single" w:sz="4" w:space="0" w:color="auto"/>
              <w:bottom w:val="single" w:sz="4" w:space="0" w:color="auto"/>
            </w:tcBorders>
          </w:tcPr>
          <w:p w14:paraId="3B06828D" w14:textId="77777777" w:rsidR="00CF0E2D" w:rsidRPr="00424DA4" w:rsidRDefault="00CF0E2D" w:rsidP="00A60D4B">
            <w:pPr>
              <w:pStyle w:val="InitFigR"/>
              <w:keepNext/>
              <w:keepLines/>
            </w:pPr>
            <w:r>
              <w:t>926</w:t>
            </w:r>
          </w:p>
        </w:tc>
        <w:tc>
          <w:tcPr>
            <w:tcW w:w="1029" w:type="dxa"/>
            <w:tcBorders>
              <w:top w:val="single" w:sz="4" w:space="0" w:color="auto"/>
              <w:bottom w:val="single" w:sz="4" w:space="0" w:color="auto"/>
            </w:tcBorders>
          </w:tcPr>
          <w:p w14:paraId="03CB3687" w14:textId="77777777" w:rsidR="00CF0E2D" w:rsidRPr="00424DA4" w:rsidRDefault="00CF0E2D" w:rsidP="00A60D4B">
            <w:pPr>
              <w:pStyle w:val="InitFigBR"/>
              <w:keepNext/>
              <w:keepLines/>
            </w:pPr>
            <w:r>
              <w:t>3,499</w:t>
            </w:r>
          </w:p>
        </w:tc>
      </w:tr>
    </w:tbl>
    <w:p w14:paraId="23DC873E" w14:textId="77777777" w:rsidR="00CF0E2D" w:rsidRPr="005D768D" w:rsidRDefault="00CF0E2D" w:rsidP="00A60D4B">
      <w:pPr>
        <w:pStyle w:val="Bbodytext"/>
        <w:rPr>
          <w:rFonts w:ascii="Calibri" w:eastAsia="Times New Roman" w:hAnsi="Calibri" w:cs="Times New Roman"/>
          <w:szCs w:val="20"/>
        </w:rPr>
      </w:pPr>
      <w:r w:rsidRPr="005D768D">
        <w:t xml:space="preserve">The Government </w:t>
      </w:r>
      <w:r w:rsidRPr="005D768D">
        <w:rPr>
          <w:rFonts w:ascii="Calibri" w:eastAsia="Times New Roman" w:hAnsi="Calibri" w:cs="Times New Roman"/>
          <w:szCs w:val="20"/>
        </w:rPr>
        <w:t xml:space="preserve">will expand the ACT Environment Grants program and continue support for community delivery of environmental outcomes through volunteer programs. This initiative builds on the 2019-20 Budget Review initiative </w:t>
      </w:r>
      <w:r w:rsidRPr="005D768D">
        <w:rPr>
          <w:rFonts w:ascii="Calibri" w:eastAsia="Times New Roman" w:hAnsi="Calibri" w:cs="Times New Roman"/>
          <w:i/>
          <w:iCs/>
          <w:szCs w:val="20"/>
        </w:rPr>
        <w:t>Supporting volunteers to undertake environmental conservation</w:t>
      </w:r>
      <w:r w:rsidRPr="005D768D">
        <w:rPr>
          <w:rFonts w:ascii="Calibri" w:eastAsia="Times New Roman" w:hAnsi="Calibri" w:cs="Times New Roman"/>
          <w:szCs w:val="20"/>
        </w:rPr>
        <w:t>. The initiative will support the ACT’s three catchment groups, which includes the delivery of FrogWatch and Waterwatch. Funding has also been provided to ACT Wildlife, and to support the ongoing employment for a second ParkCare Ranger.</w:t>
      </w:r>
    </w:p>
    <w:p w14:paraId="5E3D15CF" w14:textId="77777777" w:rsidR="00CF0E2D" w:rsidRPr="005D768D" w:rsidRDefault="00CF0E2D" w:rsidP="00A60D4B">
      <w:pPr>
        <w:pStyle w:val="Bbodytext"/>
        <w:rPr>
          <w:rFonts w:ascii="Calibri" w:eastAsia="Times New Roman" w:hAnsi="Calibri" w:cs="Times New Roman"/>
          <w:szCs w:val="20"/>
        </w:rPr>
      </w:pPr>
      <w:r w:rsidRPr="005D768D">
        <w:t xml:space="preserve">This initiative contributes to the wellbeing </w:t>
      </w:r>
      <w:r w:rsidRPr="005D768D">
        <w:rPr>
          <w:rFonts w:ascii="Calibri" w:eastAsia="Times New Roman" w:hAnsi="Calibri" w:cs="Times New Roman"/>
          <w:szCs w:val="20"/>
        </w:rPr>
        <w:t xml:space="preserve">domains of Social connection and Environment and climate. </w:t>
      </w:r>
    </w:p>
    <w:p w14:paraId="687AA08E" w14:textId="77777777" w:rsidR="00CF0E2D" w:rsidRDefault="00CF0E2D">
      <w:r>
        <w:rPr>
          <w:rFonts w:eastAsia="Times New Roman" w:cs="Times New Roman"/>
          <w:bCs/>
          <w:noProof/>
          <w:szCs w:val="26"/>
        </w:rPr>
        <w:drawing>
          <wp:anchor distT="0" distB="0" distL="114300" distR="114300" simplePos="0" relativeHeight="251852800" behindDoc="0" locked="1" layoutInCell="1" allowOverlap="1" wp14:anchorId="70AF345E" wp14:editId="0C78FD5A">
            <wp:simplePos x="0" y="0"/>
            <wp:positionH relativeFrom="margin">
              <wp:posOffset>4606925</wp:posOffset>
            </wp:positionH>
            <wp:positionV relativeFrom="paragraph">
              <wp:posOffset>125730</wp:posOffset>
            </wp:positionV>
            <wp:extent cx="1104900" cy="503555"/>
            <wp:effectExtent l="0" t="0" r="0" b="0"/>
            <wp:wrapSquare wrapText="bothSides"/>
            <wp:docPr id="157" name="Picture 157" descr="Icon representing the wellbeing domain of Housing and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 representing the wellbeing domain of Housing and ho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104900" cy="503555"/>
                    </a:xfrm>
                    <a:prstGeom prst="rect">
                      <a:avLst/>
                    </a:prstGeom>
                  </pic:spPr>
                </pic:pic>
              </a:graphicData>
            </a:graphic>
            <wp14:sizeRelH relativeFrom="margin">
              <wp14:pctWidth>0</wp14:pctWidth>
            </wp14:sizeRelH>
            <wp14:sizeRelV relativeFrom="margin">
              <wp14:pctHeight>0</wp14:pctHeight>
            </wp14:sizeRelV>
          </wp:anchor>
        </w:drawing>
      </w:r>
    </w:p>
    <w:p w14:paraId="436E592D" w14:textId="77777777" w:rsidR="00CF0E2D" w:rsidRPr="004077FA" w:rsidRDefault="00CF0E2D" w:rsidP="00A60D4B">
      <w:pPr>
        <w:pStyle w:val="Heading4"/>
        <w:rPr>
          <w:rFonts w:eastAsia="Times New Roman" w:cs="Times New Roman"/>
          <w:bCs/>
          <w:szCs w:val="26"/>
        </w:rPr>
      </w:pPr>
      <w:r w:rsidRPr="004077FA">
        <w:rPr>
          <w:rFonts w:eastAsia="Times New Roman"/>
        </w:rPr>
        <w:t xml:space="preserve">Site works </w:t>
      </w:r>
      <w:r w:rsidRPr="004077FA">
        <w:rPr>
          <w:rFonts w:eastAsia="Times New Roman" w:cs="Times New Roman"/>
          <w:bCs/>
          <w:szCs w:val="26"/>
        </w:rPr>
        <w:t xml:space="preserve">for Watson Section 76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4C581D" w14:paraId="79EDFBE2" w14:textId="77777777" w:rsidTr="00A60D4B">
        <w:trPr>
          <w:cantSplit/>
          <w:jc w:val="center"/>
        </w:trPr>
        <w:tc>
          <w:tcPr>
            <w:tcW w:w="3652" w:type="dxa"/>
            <w:tcBorders>
              <w:top w:val="single" w:sz="4" w:space="0" w:color="auto"/>
              <w:bottom w:val="single" w:sz="4" w:space="0" w:color="auto"/>
            </w:tcBorders>
          </w:tcPr>
          <w:p w14:paraId="7B5FFB45" w14:textId="77777777" w:rsidR="00CF0E2D" w:rsidRPr="00B3050F" w:rsidRDefault="00CF0E2D" w:rsidP="00A60D4B">
            <w:pPr>
              <w:pStyle w:val="EmptyCell0"/>
              <w:keepNext/>
              <w:keepLines/>
              <w:rPr>
                <w:i/>
                <w:sz w:val="2"/>
                <w:highlight w:val="yellow"/>
              </w:rPr>
            </w:pPr>
            <w:bookmarkStart w:id="50" w:name="_Hlk77863900"/>
            <w:r>
              <w:rPr>
                <w:i/>
                <w:sz w:val="2"/>
                <w:highlight w:val="yellow"/>
              </w:rPr>
              <w:t>Empty Cell</w:t>
            </w:r>
          </w:p>
        </w:tc>
        <w:tc>
          <w:tcPr>
            <w:tcW w:w="1179" w:type="dxa"/>
            <w:tcBorders>
              <w:top w:val="single" w:sz="4" w:space="0" w:color="auto"/>
              <w:bottom w:val="single" w:sz="4" w:space="0" w:color="auto"/>
            </w:tcBorders>
          </w:tcPr>
          <w:p w14:paraId="2C3783CC" w14:textId="77777777" w:rsidR="00CF0E2D" w:rsidRPr="00F2314E" w:rsidRDefault="00CF0E2D" w:rsidP="00A60D4B">
            <w:pPr>
              <w:pStyle w:val="InitFigR"/>
              <w:keepNext/>
              <w:keepLines/>
              <w:rPr>
                <w:b/>
                <w:bCs/>
              </w:rPr>
            </w:pPr>
            <w:r w:rsidRPr="00F2314E">
              <w:rPr>
                <w:b/>
                <w:bCs/>
              </w:rPr>
              <w:t>2021-21</w:t>
            </w:r>
          </w:p>
          <w:p w14:paraId="68C7FB27" w14:textId="77777777" w:rsidR="00CF0E2D" w:rsidRPr="00F2314E" w:rsidRDefault="00CF0E2D" w:rsidP="00A60D4B">
            <w:pPr>
              <w:pStyle w:val="InitFigR"/>
              <w:keepNext/>
              <w:keepLines/>
              <w:rPr>
                <w:b/>
                <w:bCs/>
              </w:rPr>
            </w:pPr>
            <w:r w:rsidRPr="00F2314E">
              <w:rPr>
                <w:b/>
                <w:bCs/>
              </w:rPr>
              <w:t>$’000</w:t>
            </w:r>
          </w:p>
        </w:tc>
        <w:tc>
          <w:tcPr>
            <w:tcW w:w="1041" w:type="dxa"/>
            <w:tcBorders>
              <w:top w:val="single" w:sz="4" w:space="0" w:color="auto"/>
              <w:bottom w:val="single" w:sz="4" w:space="0" w:color="auto"/>
            </w:tcBorders>
          </w:tcPr>
          <w:p w14:paraId="5AFB0366" w14:textId="77777777" w:rsidR="00CF0E2D" w:rsidRPr="00F2314E" w:rsidRDefault="00CF0E2D" w:rsidP="00A60D4B">
            <w:pPr>
              <w:pStyle w:val="InitFigR"/>
              <w:keepNext/>
              <w:keepLines/>
              <w:rPr>
                <w:b/>
                <w:bCs/>
              </w:rPr>
            </w:pPr>
            <w:r w:rsidRPr="00F2314E">
              <w:rPr>
                <w:b/>
                <w:bCs/>
              </w:rPr>
              <w:t>2021-23</w:t>
            </w:r>
          </w:p>
          <w:p w14:paraId="6ABE4009" w14:textId="77777777" w:rsidR="00CF0E2D" w:rsidRPr="00F2314E" w:rsidRDefault="00CF0E2D" w:rsidP="00A60D4B">
            <w:pPr>
              <w:pStyle w:val="InitFigR"/>
              <w:keepNext/>
              <w:keepLines/>
              <w:rPr>
                <w:b/>
                <w:bCs/>
              </w:rPr>
            </w:pPr>
            <w:r w:rsidRPr="00F2314E">
              <w:rPr>
                <w:b/>
                <w:bCs/>
              </w:rPr>
              <w:t>$’000</w:t>
            </w:r>
          </w:p>
        </w:tc>
        <w:tc>
          <w:tcPr>
            <w:tcW w:w="1029" w:type="dxa"/>
            <w:tcBorders>
              <w:top w:val="single" w:sz="4" w:space="0" w:color="auto"/>
              <w:bottom w:val="single" w:sz="4" w:space="0" w:color="auto"/>
            </w:tcBorders>
          </w:tcPr>
          <w:p w14:paraId="1FAB8D43" w14:textId="77777777" w:rsidR="00CF0E2D" w:rsidRPr="00F2314E" w:rsidRDefault="00CF0E2D" w:rsidP="00A60D4B">
            <w:pPr>
              <w:pStyle w:val="InitFigR"/>
              <w:keepNext/>
              <w:keepLines/>
              <w:rPr>
                <w:b/>
                <w:bCs/>
              </w:rPr>
            </w:pPr>
            <w:r w:rsidRPr="00F2314E">
              <w:rPr>
                <w:b/>
                <w:bCs/>
              </w:rPr>
              <w:t>2023-24</w:t>
            </w:r>
          </w:p>
          <w:p w14:paraId="1356FDB6" w14:textId="77777777" w:rsidR="00CF0E2D" w:rsidRPr="00F2314E" w:rsidRDefault="00CF0E2D" w:rsidP="00A60D4B">
            <w:pPr>
              <w:pStyle w:val="InitFigR"/>
              <w:keepNext/>
              <w:keepLines/>
              <w:rPr>
                <w:b/>
                <w:bCs/>
              </w:rPr>
            </w:pPr>
            <w:r w:rsidRPr="00F2314E">
              <w:rPr>
                <w:b/>
                <w:bCs/>
              </w:rPr>
              <w:t>$’000</w:t>
            </w:r>
          </w:p>
        </w:tc>
        <w:tc>
          <w:tcPr>
            <w:tcW w:w="1029" w:type="dxa"/>
            <w:tcBorders>
              <w:top w:val="single" w:sz="4" w:space="0" w:color="auto"/>
              <w:bottom w:val="single" w:sz="4" w:space="0" w:color="auto"/>
            </w:tcBorders>
          </w:tcPr>
          <w:p w14:paraId="0B4FF5B4" w14:textId="77777777" w:rsidR="00CF0E2D" w:rsidRPr="00F2314E" w:rsidRDefault="00CF0E2D" w:rsidP="00A60D4B">
            <w:pPr>
              <w:pStyle w:val="InitFigR"/>
              <w:keepNext/>
              <w:keepLines/>
              <w:rPr>
                <w:b/>
                <w:bCs/>
              </w:rPr>
            </w:pPr>
            <w:r w:rsidRPr="00F2314E">
              <w:rPr>
                <w:b/>
                <w:bCs/>
              </w:rPr>
              <w:t>2024-25</w:t>
            </w:r>
          </w:p>
          <w:p w14:paraId="1591B1EA" w14:textId="77777777" w:rsidR="00CF0E2D" w:rsidRPr="00F2314E" w:rsidRDefault="00CF0E2D" w:rsidP="00A60D4B">
            <w:pPr>
              <w:pStyle w:val="InitFigR"/>
              <w:keepNext/>
              <w:keepLines/>
              <w:rPr>
                <w:b/>
                <w:bCs/>
              </w:rPr>
            </w:pPr>
            <w:r w:rsidRPr="00F2314E">
              <w:rPr>
                <w:b/>
                <w:bCs/>
              </w:rPr>
              <w:t>$’000</w:t>
            </w:r>
          </w:p>
        </w:tc>
        <w:tc>
          <w:tcPr>
            <w:tcW w:w="1029" w:type="dxa"/>
            <w:tcBorders>
              <w:top w:val="single" w:sz="4" w:space="0" w:color="auto"/>
              <w:bottom w:val="single" w:sz="4" w:space="0" w:color="auto"/>
            </w:tcBorders>
          </w:tcPr>
          <w:p w14:paraId="11632857" w14:textId="77777777" w:rsidR="00CF0E2D" w:rsidRPr="004E341E" w:rsidRDefault="00CF0E2D" w:rsidP="00A60D4B">
            <w:pPr>
              <w:pStyle w:val="InitFigBR"/>
              <w:keepNext/>
              <w:keepLines/>
            </w:pPr>
            <w:r w:rsidRPr="004E341E">
              <w:t>Total</w:t>
            </w:r>
          </w:p>
          <w:p w14:paraId="240F4C47" w14:textId="77777777" w:rsidR="00CF0E2D" w:rsidRPr="004E341E" w:rsidRDefault="00CF0E2D" w:rsidP="00A60D4B">
            <w:pPr>
              <w:pStyle w:val="InitFigBR"/>
              <w:keepNext/>
              <w:keepLines/>
            </w:pPr>
            <w:r w:rsidRPr="004E341E">
              <w:t>$’000</w:t>
            </w:r>
          </w:p>
        </w:tc>
      </w:tr>
      <w:tr w:rsidR="00CF0E2D" w:rsidRPr="004C581D" w14:paraId="78785E20" w14:textId="77777777" w:rsidTr="00A60D4B">
        <w:trPr>
          <w:cantSplit/>
          <w:jc w:val="center"/>
        </w:trPr>
        <w:tc>
          <w:tcPr>
            <w:tcW w:w="3652" w:type="dxa"/>
            <w:tcBorders>
              <w:top w:val="single" w:sz="4" w:space="0" w:color="auto"/>
            </w:tcBorders>
          </w:tcPr>
          <w:p w14:paraId="39E500DE" w14:textId="77777777" w:rsidR="00CF0E2D" w:rsidRPr="004C581D" w:rsidRDefault="00CF0E2D" w:rsidP="00A60D4B">
            <w:pPr>
              <w:pStyle w:val="InitTextL"/>
              <w:keepNext/>
              <w:keepLines/>
            </w:pPr>
            <w:r w:rsidRPr="004C581D">
              <w:t>Capital</w:t>
            </w:r>
          </w:p>
        </w:tc>
        <w:tc>
          <w:tcPr>
            <w:tcW w:w="1179" w:type="dxa"/>
            <w:tcBorders>
              <w:top w:val="single" w:sz="4" w:space="0" w:color="auto"/>
            </w:tcBorders>
          </w:tcPr>
          <w:p w14:paraId="215F108E" w14:textId="77777777" w:rsidR="00CF0E2D" w:rsidRPr="00424DA4" w:rsidRDefault="00CF0E2D" w:rsidP="00A60D4B">
            <w:pPr>
              <w:pStyle w:val="InitFigR"/>
              <w:keepNext/>
              <w:keepLines/>
            </w:pPr>
            <w:r>
              <w:t>220</w:t>
            </w:r>
          </w:p>
        </w:tc>
        <w:tc>
          <w:tcPr>
            <w:tcW w:w="1041" w:type="dxa"/>
            <w:tcBorders>
              <w:top w:val="single" w:sz="4" w:space="0" w:color="auto"/>
            </w:tcBorders>
          </w:tcPr>
          <w:p w14:paraId="570ACB23" w14:textId="77777777" w:rsidR="00CF0E2D" w:rsidRPr="00424DA4" w:rsidRDefault="00CF0E2D" w:rsidP="00A60D4B">
            <w:pPr>
              <w:pStyle w:val="InitFigR"/>
              <w:keepNext/>
              <w:keepLines/>
            </w:pPr>
            <w:r>
              <w:t>3,970</w:t>
            </w:r>
          </w:p>
        </w:tc>
        <w:tc>
          <w:tcPr>
            <w:tcW w:w="1029" w:type="dxa"/>
            <w:tcBorders>
              <w:top w:val="single" w:sz="4" w:space="0" w:color="auto"/>
            </w:tcBorders>
          </w:tcPr>
          <w:p w14:paraId="541FD65B" w14:textId="77777777" w:rsidR="00CF0E2D" w:rsidRPr="00424DA4" w:rsidRDefault="00CF0E2D" w:rsidP="00A60D4B">
            <w:pPr>
              <w:pStyle w:val="InitFigR"/>
              <w:keepNext/>
              <w:keepLines/>
            </w:pPr>
            <w:r>
              <w:t>0</w:t>
            </w:r>
          </w:p>
        </w:tc>
        <w:tc>
          <w:tcPr>
            <w:tcW w:w="1029" w:type="dxa"/>
            <w:tcBorders>
              <w:top w:val="single" w:sz="4" w:space="0" w:color="auto"/>
            </w:tcBorders>
          </w:tcPr>
          <w:p w14:paraId="646F3653" w14:textId="77777777" w:rsidR="00CF0E2D" w:rsidRPr="00424DA4" w:rsidRDefault="00CF0E2D" w:rsidP="00A60D4B">
            <w:pPr>
              <w:pStyle w:val="InitFigR"/>
              <w:keepNext/>
              <w:keepLines/>
            </w:pPr>
            <w:r>
              <w:t>0</w:t>
            </w:r>
          </w:p>
        </w:tc>
        <w:tc>
          <w:tcPr>
            <w:tcW w:w="1029" w:type="dxa"/>
            <w:tcBorders>
              <w:top w:val="single" w:sz="4" w:space="0" w:color="auto"/>
            </w:tcBorders>
          </w:tcPr>
          <w:p w14:paraId="1984031E" w14:textId="77777777" w:rsidR="00CF0E2D" w:rsidRPr="00424DA4" w:rsidRDefault="00CF0E2D" w:rsidP="00A60D4B">
            <w:pPr>
              <w:pStyle w:val="InitFigBR"/>
              <w:keepNext/>
              <w:keepLines/>
            </w:pPr>
            <w:r>
              <w:t>4,190</w:t>
            </w:r>
          </w:p>
        </w:tc>
      </w:tr>
      <w:tr w:rsidR="00CF0E2D" w:rsidRPr="004C581D" w14:paraId="6ACF30E2" w14:textId="77777777" w:rsidTr="00A60D4B">
        <w:trPr>
          <w:cantSplit/>
          <w:jc w:val="center"/>
        </w:trPr>
        <w:tc>
          <w:tcPr>
            <w:tcW w:w="3652" w:type="dxa"/>
            <w:tcBorders>
              <w:top w:val="single" w:sz="4" w:space="0" w:color="auto"/>
            </w:tcBorders>
          </w:tcPr>
          <w:p w14:paraId="3CBFF5B9" w14:textId="77777777" w:rsidR="00CF0E2D" w:rsidRPr="004C581D" w:rsidRDefault="00CF0E2D" w:rsidP="00A60D4B">
            <w:pPr>
              <w:pStyle w:val="InitTextL"/>
              <w:keepNext/>
              <w:keepLines/>
            </w:pPr>
            <w:r w:rsidRPr="004C581D">
              <w:t>Depreciation</w:t>
            </w:r>
          </w:p>
        </w:tc>
        <w:tc>
          <w:tcPr>
            <w:tcW w:w="1179" w:type="dxa"/>
            <w:tcBorders>
              <w:top w:val="single" w:sz="4" w:space="0" w:color="auto"/>
            </w:tcBorders>
          </w:tcPr>
          <w:p w14:paraId="2B429D0A" w14:textId="77777777" w:rsidR="00CF0E2D" w:rsidRPr="00424DA4" w:rsidRDefault="00CF0E2D" w:rsidP="00A60D4B">
            <w:pPr>
              <w:pStyle w:val="InitFigR"/>
              <w:keepNext/>
              <w:keepLines/>
            </w:pPr>
            <w:r>
              <w:t>0</w:t>
            </w:r>
          </w:p>
        </w:tc>
        <w:tc>
          <w:tcPr>
            <w:tcW w:w="1041" w:type="dxa"/>
            <w:tcBorders>
              <w:top w:val="single" w:sz="4" w:space="0" w:color="auto"/>
            </w:tcBorders>
          </w:tcPr>
          <w:p w14:paraId="358F5283" w14:textId="77777777" w:rsidR="00CF0E2D" w:rsidRPr="00424DA4" w:rsidRDefault="00CF0E2D" w:rsidP="00A60D4B">
            <w:pPr>
              <w:pStyle w:val="InitFigR"/>
              <w:keepNext/>
              <w:keepLines/>
            </w:pPr>
            <w:r>
              <w:t>0</w:t>
            </w:r>
          </w:p>
        </w:tc>
        <w:tc>
          <w:tcPr>
            <w:tcW w:w="1029" w:type="dxa"/>
            <w:tcBorders>
              <w:top w:val="single" w:sz="4" w:space="0" w:color="auto"/>
            </w:tcBorders>
          </w:tcPr>
          <w:p w14:paraId="565D492D" w14:textId="77777777" w:rsidR="00CF0E2D" w:rsidRPr="00424DA4" w:rsidRDefault="00CF0E2D" w:rsidP="00A60D4B">
            <w:pPr>
              <w:pStyle w:val="InitFigR"/>
              <w:keepNext/>
              <w:keepLines/>
            </w:pPr>
            <w:r>
              <w:t>168</w:t>
            </w:r>
          </w:p>
        </w:tc>
        <w:tc>
          <w:tcPr>
            <w:tcW w:w="1029" w:type="dxa"/>
            <w:tcBorders>
              <w:top w:val="single" w:sz="4" w:space="0" w:color="auto"/>
            </w:tcBorders>
          </w:tcPr>
          <w:p w14:paraId="53CD182A" w14:textId="77777777" w:rsidR="00CF0E2D" w:rsidRPr="00424DA4" w:rsidRDefault="00CF0E2D" w:rsidP="00A60D4B">
            <w:pPr>
              <w:pStyle w:val="InitFigR"/>
              <w:keepNext/>
              <w:keepLines/>
            </w:pPr>
            <w:r>
              <w:t>168</w:t>
            </w:r>
          </w:p>
        </w:tc>
        <w:tc>
          <w:tcPr>
            <w:tcW w:w="1029" w:type="dxa"/>
            <w:tcBorders>
              <w:top w:val="single" w:sz="4" w:space="0" w:color="auto"/>
            </w:tcBorders>
          </w:tcPr>
          <w:p w14:paraId="7E24F4C5" w14:textId="77777777" w:rsidR="00CF0E2D" w:rsidRPr="00424DA4" w:rsidRDefault="00CF0E2D" w:rsidP="00A60D4B">
            <w:pPr>
              <w:pStyle w:val="InitFigBR"/>
              <w:keepNext/>
              <w:keepLines/>
            </w:pPr>
            <w:r>
              <w:t>336</w:t>
            </w:r>
          </w:p>
        </w:tc>
      </w:tr>
      <w:tr w:rsidR="00CF0E2D" w:rsidRPr="004C581D" w14:paraId="13B3547B" w14:textId="77777777" w:rsidTr="00A60D4B">
        <w:trPr>
          <w:cantSplit/>
          <w:jc w:val="center"/>
        </w:trPr>
        <w:tc>
          <w:tcPr>
            <w:tcW w:w="3652" w:type="dxa"/>
          </w:tcPr>
          <w:p w14:paraId="2993501B" w14:textId="77777777" w:rsidR="00CF0E2D" w:rsidRPr="004C581D" w:rsidRDefault="00CF0E2D" w:rsidP="00A60D4B">
            <w:pPr>
              <w:pStyle w:val="InitTextL"/>
              <w:keepNext/>
              <w:keepLines/>
            </w:pPr>
            <w:r w:rsidRPr="004C581D">
              <w:t>Expenses</w:t>
            </w:r>
          </w:p>
        </w:tc>
        <w:tc>
          <w:tcPr>
            <w:tcW w:w="1179" w:type="dxa"/>
          </w:tcPr>
          <w:p w14:paraId="1374D4FB" w14:textId="77777777" w:rsidR="00CF0E2D" w:rsidRPr="00424DA4" w:rsidRDefault="00CF0E2D" w:rsidP="00A60D4B">
            <w:pPr>
              <w:pStyle w:val="InitFigR"/>
              <w:keepNext/>
              <w:keepLines/>
            </w:pPr>
            <w:r>
              <w:t>0</w:t>
            </w:r>
          </w:p>
        </w:tc>
        <w:tc>
          <w:tcPr>
            <w:tcW w:w="1041" w:type="dxa"/>
          </w:tcPr>
          <w:p w14:paraId="041B6B5E" w14:textId="77777777" w:rsidR="00CF0E2D" w:rsidRPr="00424DA4" w:rsidRDefault="00CF0E2D" w:rsidP="00A60D4B">
            <w:pPr>
              <w:pStyle w:val="InitFigR"/>
              <w:keepNext/>
              <w:keepLines/>
            </w:pPr>
            <w:r>
              <w:t>0</w:t>
            </w:r>
          </w:p>
        </w:tc>
        <w:tc>
          <w:tcPr>
            <w:tcW w:w="1029" w:type="dxa"/>
          </w:tcPr>
          <w:p w14:paraId="2AF2A1E2" w14:textId="77777777" w:rsidR="00CF0E2D" w:rsidRPr="00424DA4" w:rsidRDefault="00CF0E2D" w:rsidP="00A60D4B">
            <w:pPr>
              <w:pStyle w:val="InitFigR"/>
              <w:keepNext/>
              <w:keepLines/>
            </w:pPr>
            <w:r>
              <w:t>0</w:t>
            </w:r>
          </w:p>
        </w:tc>
        <w:tc>
          <w:tcPr>
            <w:tcW w:w="1029" w:type="dxa"/>
          </w:tcPr>
          <w:p w14:paraId="39391F70" w14:textId="77777777" w:rsidR="00CF0E2D" w:rsidRPr="00424DA4" w:rsidRDefault="00CF0E2D" w:rsidP="00A60D4B">
            <w:pPr>
              <w:pStyle w:val="InitFigR"/>
              <w:keepNext/>
              <w:keepLines/>
            </w:pPr>
            <w:r>
              <w:t>42</w:t>
            </w:r>
          </w:p>
        </w:tc>
        <w:tc>
          <w:tcPr>
            <w:tcW w:w="1029" w:type="dxa"/>
          </w:tcPr>
          <w:p w14:paraId="5F77D856" w14:textId="77777777" w:rsidR="00CF0E2D" w:rsidRPr="00424DA4" w:rsidRDefault="00CF0E2D" w:rsidP="00A60D4B">
            <w:pPr>
              <w:pStyle w:val="InitFigBR"/>
              <w:keepNext/>
              <w:keepLines/>
            </w:pPr>
            <w:r>
              <w:t>42</w:t>
            </w:r>
          </w:p>
        </w:tc>
      </w:tr>
      <w:tr w:rsidR="00CF0E2D" w:rsidRPr="004C581D" w14:paraId="072D09EA" w14:textId="77777777" w:rsidTr="00A60D4B">
        <w:trPr>
          <w:cantSplit/>
          <w:jc w:val="center"/>
        </w:trPr>
        <w:tc>
          <w:tcPr>
            <w:tcW w:w="3652" w:type="dxa"/>
            <w:tcBorders>
              <w:top w:val="single" w:sz="4" w:space="0" w:color="auto"/>
              <w:bottom w:val="single" w:sz="4" w:space="0" w:color="auto"/>
            </w:tcBorders>
          </w:tcPr>
          <w:p w14:paraId="61BCA21D" w14:textId="77777777" w:rsidR="00CF0E2D" w:rsidRPr="00FF761A" w:rsidRDefault="00CF0E2D" w:rsidP="00A60D4B">
            <w:pPr>
              <w:pStyle w:val="InitFigLBold"/>
              <w:keepNext/>
              <w:keepLines/>
            </w:pPr>
            <w:r>
              <w:t>Net cost of services</w:t>
            </w:r>
          </w:p>
        </w:tc>
        <w:tc>
          <w:tcPr>
            <w:tcW w:w="1179" w:type="dxa"/>
            <w:tcBorders>
              <w:top w:val="single" w:sz="4" w:space="0" w:color="auto"/>
              <w:bottom w:val="single" w:sz="4" w:space="0" w:color="auto"/>
            </w:tcBorders>
          </w:tcPr>
          <w:p w14:paraId="1CA40B8D" w14:textId="77777777" w:rsidR="00CF0E2D" w:rsidRPr="00424DA4" w:rsidRDefault="00CF0E2D" w:rsidP="00A60D4B">
            <w:pPr>
              <w:pStyle w:val="InitFigRBold"/>
              <w:keepNext/>
              <w:keepLines/>
            </w:pPr>
            <w:r>
              <w:t>0</w:t>
            </w:r>
          </w:p>
        </w:tc>
        <w:tc>
          <w:tcPr>
            <w:tcW w:w="1041" w:type="dxa"/>
            <w:tcBorders>
              <w:top w:val="single" w:sz="4" w:space="0" w:color="auto"/>
              <w:bottom w:val="single" w:sz="4" w:space="0" w:color="auto"/>
            </w:tcBorders>
          </w:tcPr>
          <w:p w14:paraId="5C5BF1F8" w14:textId="77777777" w:rsidR="00CF0E2D" w:rsidRPr="00424DA4" w:rsidRDefault="00CF0E2D" w:rsidP="00A60D4B">
            <w:pPr>
              <w:pStyle w:val="InitFigRBold"/>
              <w:keepNext/>
              <w:keepLines/>
            </w:pPr>
            <w:r>
              <w:t>0</w:t>
            </w:r>
          </w:p>
        </w:tc>
        <w:tc>
          <w:tcPr>
            <w:tcW w:w="1029" w:type="dxa"/>
            <w:tcBorders>
              <w:top w:val="single" w:sz="4" w:space="0" w:color="auto"/>
              <w:bottom w:val="single" w:sz="4" w:space="0" w:color="auto"/>
            </w:tcBorders>
          </w:tcPr>
          <w:p w14:paraId="4E5E9773" w14:textId="77777777" w:rsidR="00CF0E2D" w:rsidRPr="00424DA4" w:rsidRDefault="00CF0E2D" w:rsidP="00A60D4B">
            <w:pPr>
              <w:pStyle w:val="InitFigRBold"/>
              <w:keepNext/>
              <w:keepLines/>
            </w:pPr>
            <w:r>
              <w:t>168</w:t>
            </w:r>
          </w:p>
        </w:tc>
        <w:tc>
          <w:tcPr>
            <w:tcW w:w="1029" w:type="dxa"/>
            <w:tcBorders>
              <w:top w:val="single" w:sz="4" w:space="0" w:color="auto"/>
              <w:bottom w:val="single" w:sz="4" w:space="0" w:color="auto"/>
            </w:tcBorders>
          </w:tcPr>
          <w:p w14:paraId="1DE5073F" w14:textId="77777777" w:rsidR="00CF0E2D" w:rsidRPr="00424DA4" w:rsidRDefault="00CF0E2D" w:rsidP="00A60D4B">
            <w:pPr>
              <w:pStyle w:val="InitFigRBold"/>
              <w:keepNext/>
              <w:keepLines/>
            </w:pPr>
            <w:r>
              <w:t>210</w:t>
            </w:r>
          </w:p>
        </w:tc>
        <w:tc>
          <w:tcPr>
            <w:tcW w:w="1029" w:type="dxa"/>
            <w:tcBorders>
              <w:top w:val="single" w:sz="4" w:space="0" w:color="auto"/>
              <w:bottom w:val="single" w:sz="4" w:space="0" w:color="auto"/>
            </w:tcBorders>
          </w:tcPr>
          <w:p w14:paraId="7653C803" w14:textId="77777777" w:rsidR="00CF0E2D" w:rsidRPr="00424DA4" w:rsidRDefault="00CF0E2D" w:rsidP="00A60D4B">
            <w:pPr>
              <w:pStyle w:val="InitFigRBold"/>
              <w:keepNext/>
              <w:keepLines/>
            </w:pPr>
            <w:r>
              <w:t>378</w:t>
            </w:r>
          </w:p>
        </w:tc>
      </w:tr>
    </w:tbl>
    <w:bookmarkEnd w:id="50"/>
    <w:p w14:paraId="65E1FBFF" w14:textId="77777777" w:rsidR="00CF0E2D" w:rsidRPr="00EE0229" w:rsidRDefault="00CF0E2D" w:rsidP="00A60D4B">
      <w:pPr>
        <w:pStyle w:val="Bbodytext"/>
        <w:rPr>
          <w:rFonts w:ascii="Calibri" w:eastAsia="Times New Roman" w:hAnsi="Calibri" w:cs="Times New Roman"/>
          <w:szCs w:val="20"/>
        </w:rPr>
      </w:pPr>
      <w:r w:rsidRPr="00EE0229">
        <w:t xml:space="preserve">The Government will undertake site servicing works and construct a park and active travel </w:t>
      </w:r>
      <w:r w:rsidRPr="00EE0229">
        <w:rPr>
          <w:rFonts w:ascii="Calibri" w:eastAsia="Times New Roman" w:hAnsi="Calibri" w:cs="Times New Roman"/>
          <w:szCs w:val="20"/>
        </w:rPr>
        <w:t>connections at Block 2, Section 76 Watson to facilitate land release for new dwellings.</w:t>
      </w:r>
    </w:p>
    <w:p w14:paraId="298D4300" w14:textId="77777777" w:rsidR="00CF0E2D" w:rsidRDefault="00CF0E2D" w:rsidP="00A60D4B">
      <w:pPr>
        <w:pStyle w:val="Bbodytext"/>
      </w:pPr>
      <w:r w:rsidRPr="00EE0229">
        <w:t>This initiative contributes to the wellbeing domains of Housing and home, Environment and climate, Access and connectivity and Health.</w:t>
      </w:r>
    </w:p>
    <w:p w14:paraId="2B5016EA" w14:textId="77777777" w:rsidR="00CF0E2D" w:rsidRDefault="00CF0E2D" w:rsidP="00A60D4B">
      <w:pPr>
        <w:pStyle w:val="Bbodytext"/>
        <w:rPr>
          <w:rFonts w:ascii="Calibri" w:eastAsia="Times New Roman" w:hAnsi="Calibri" w:cs="Times New Roman"/>
          <w:szCs w:val="20"/>
        </w:rPr>
      </w:pPr>
    </w:p>
    <w:p w14:paraId="3A8BE686" w14:textId="77777777" w:rsidR="00CF0E2D" w:rsidRDefault="00CF0E2D" w:rsidP="00A60D4B">
      <w:pPr>
        <w:pStyle w:val="Heading4"/>
        <w:rPr>
          <w:rFonts w:eastAsia="Times New Roman"/>
        </w:rPr>
      </w:pPr>
      <w:r>
        <w:rPr>
          <w:rFonts w:eastAsia="Times New Roman"/>
        </w:rPr>
        <w:t>Vulnerable Household Energy Support Scheme</w:t>
      </w:r>
      <w:r>
        <w:rPr>
          <w:rFonts w:eastAsia="Times New Roman" w:cs="Times New Roman"/>
          <w:bCs/>
          <w:noProof/>
          <w:szCs w:val="26"/>
        </w:rPr>
        <w:drawing>
          <wp:anchor distT="0" distB="0" distL="114300" distR="114300" simplePos="0" relativeHeight="251853824" behindDoc="0" locked="1" layoutInCell="1" allowOverlap="1" wp14:anchorId="189C1B46" wp14:editId="37CEFB09">
            <wp:simplePos x="0" y="0"/>
            <wp:positionH relativeFrom="margin">
              <wp:posOffset>4619625</wp:posOffset>
            </wp:positionH>
            <wp:positionV relativeFrom="paragraph">
              <wp:posOffset>0</wp:posOffset>
            </wp:positionV>
            <wp:extent cx="1104900" cy="503555"/>
            <wp:effectExtent l="0" t="0" r="0" b="0"/>
            <wp:wrapSquare wrapText="bothSides"/>
            <wp:docPr id="158" name="Picture 158" descr="Icon representing the wellbeing domain of Housing and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 representing the wellbeing domain of Housing and ho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10490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4E341E" w14:paraId="15128AB3" w14:textId="77777777" w:rsidTr="00A60D4B">
        <w:trPr>
          <w:cantSplit/>
          <w:jc w:val="center"/>
        </w:trPr>
        <w:tc>
          <w:tcPr>
            <w:tcW w:w="3652" w:type="dxa"/>
            <w:tcBorders>
              <w:top w:val="single" w:sz="4" w:space="0" w:color="auto"/>
              <w:bottom w:val="single" w:sz="4" w:space="0" w:color="auto"/>
            </w:tcBorders>
          </w:tcPr>
          <w:p w14:paraId="24178284"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34F6C1A5" w14:textId="77777777" w:rsidR="00CF0E2D" w:rsidRPr="00BD2093" w:rsidRDefault="00CF0E2D" w:rsidP="00A60D4B">
            <w:pPr>
              <w:pStyle w:val="InitFigR"/>
              <w:rPr>
                <w:b/>
                <w:bCs/>
              </w:rPr>
            </w:pPr>
            <w:r w:rsidRPr="00BD2093">
              <w:rPr>
                <w:b/>
                <w:bCs/>
              </w:rPr>
              <w:t>2021-22</w:t>
            </w:r>
          </w:p>
          <w:p w14:paraId="796F998D" w14:textId="77777777" w:rsidR="00CF0E2D" w:rsidRPr="00BD2093" w:rsidRDefault="00CF0E2D" w:rsidP="00A60D4B">
            <w:pPr>
              <w:pStyle w:val="InitFigR"/>
              <w:rPr>
                <w:b/>
                <w:bCs/>
              </w:rPr>
            </w:pPr>
            <w:r w:rsidRPr="00BD2093">
              <w:rPr>
                <w:b/>
                <w:bCs/>
              </w:rPr>
              <w:t>$’000</w:t>
            </w:r>
          </w:p>
        </w:tc>
        <w:tc>
          <w:tcPr>
            <w:tcW w:w="1041" w:type="dxa"/>
            <w:tcBorders>
              <w:top w:val="single" w:sz="4" w:space="0" w:color="auto"/>
              <w:bottom w:val="single" w:sz="4" w:space="0" w:color="auto"/>
            </w:tcBorders>
          </w:tcPr>
          <w:p w14:paraId="4962A26B" w14:textId="77777777" w:rsidR="00CF0E2D" w:rsidRPr="00BD2093" w:rsidRDefault="00CF0E2D" w:rsidP="00A60D4B">
            <w:pPr>
              <w:pStyle w:val="InitFigR"/>
              <w:rPr>
                <w:b/>
                <w:bCs/>
              </w:rPr>
            </w:pPr>
            <w:r w:rsidRPr="00BD2093">
              <w:rPr>
                <w:b/>
                <w:bCs/>
              </w:rPr>
              <w:t>2022-23</w:t>
            </w:r>
          </w:p>
          <w:p w14:paraId="67FDC7CC" w14:textId="77777777" w:rsidR="00CF0E2D" w:rsidRPr="00BD2093" w:rsidRDefault="00CF0E2D" w:rsidP="00A60D4B">
            <w:pPr>
              <w:pStyle w:val="InitFigR"/>
              <w:rPr>
                <w:b/>
                <w:bCs/>
              </w:rPr>
            </w:pPr>
            <w:r w:rsidRPr="00BD2093">
              <w:rPr>
                <w:b/>
                <w:bCs/>
              </w:rPr>
              <w:t>$’000</w:t>
            </w:r>
          </w:p>
        </w:tc>
        <w:tc>
          <w:tcPr>
            <w:tcW w:w="1029" w:type="dxa"/>
            <w:tcBorders>
              <w:top w:val="single" w:sz="4" w:space="0" w:color="auto"/>
              <w:bottom w:val="single" w:sz="4" w:space="0" w:color="auto"/>
            </w:tcBorders>
          </w:tcPr>
          <w:p w14:paraId="0DE6D0A7" w14:textId="77777777" w:rsidR="00CF0E2D" w:rsidRPr="00BD2093" w:rsidRDefault="00CF0E2D" w:rsidP="00A60D4B">
            <w:pPr>
              <w:pStyle w:val="InitFigR"/>
              <w:rPr>
                <w:b/>
                <w:bCs/>
              </w:rPr>
            </w:pPr>
            <w:r w:rsidRPr="00BD2093">
              <w:rPr>
                <w:b/>
                <w:bCs/>
              </w:rPr>
              <w:t>2023-24</w:t>
            </w:r>
          </w:p>
          <w:p w14:paraId="6ADF4D97" w14:textId="77777777" w:rsidR="00CF0E2D" w:rsidRPr="00BD2093" w:rsidRDefault="00CF0E2D" w:rsidP="00A60D4B">
            <w:pPr>
              <w:pStyle w:val="InitFigR"/>
              <w:rPr>
                <w:b/>
                <w:bCs/>
              </w:rPr>
            </w:pPr>
            <w:r w:rsidRPr="00BD2093">
              <w:rPr>
                <w:b/>
                <w:bCs/>
              </w:rPr>
              <w:t>$’000</w:t>
            </w:r>
          </w:p>
        </w:tc>
        <w:tc>
          <w:tcPr>
            <w:tcW w:w="1029" w:type="dxa"/>
            <w:tcBorders>
              <w:top w:val="single" w:sz="4" w:space="0" w:color="auto"/>
              <w:bottom w:val="single" w:sz="4" w:space="0" w:color="auto"/>
            </w:tcBorders>
          </w:tcPr>
          <w:p w14:paraId="13B0792B" w14:textId="77777777" w:rsidR="00CF0E2D" w:rsidRPr="00BD2093" w:rsidRDefault="00CF0E2D" w:rsidP="00A60D4B">
            <w:pPr>
              <w:pStyle w:val="InitFigR"/>
              <w:rPr>
                <w:b/>
                <w:bCs/>
              </w:rPr>
            </w:pPr>
            <w:r w:rsidRPr="00BD2093">
              <w:rPr>
                <w:b/>
                <w:bCs/>
              </w:rPr>
              <w:t>2024-25</w:t>
            </w:r>
          </w:p>
          <w:p w14:paraId="74251BE4" w14:textId="77777777" w:rsidR="00CF0E2D" w:rsidRPr="00BD2093" w:rsidRDefault="00CF0E2D" w:rsidP="00A60D4B">
            <w:pPr>
              <w:pStyle w:val="InitFigR"/>
              <w:rPr>
                <w:b/>
                <w:bCs/>
              </w:rPr>
            </w:pPr>
            <w:r w:rsidRPr="00BD2093">
              <w:rPr>
                <w:b/>
                <w:bCs/>
              </w:rPr>
              <w:t>$’000</w:t>
            </w:r>
          </w:p>
        </w:tc>
        <w:tc>
          <w:tcPr>
            <w:tcW w:w="1029" w:type="dxa"/>
            <w:tcBorders>
              <w:top w:val="single" w:sz="4" w:space="0" w:color="auto"/>
              <w:bottom w:val="single" w:sz="4" w:space="0" w:color="auto"/>
            </w:tcBorders>
          </w:tcPr>
          <w:p w14:paraId="4EABFFA6" w14:textId="77777777" w:rsidR="00CF0E2D" w:rsidRPr="004E341E" w:rsidRDefault="00CF0E2D" w:rsidP="00A60D4B">
            <w:pPr>
              <w:pStyle w:val="InitFigRBold"/>
            </w:pPr>
            <w:r w:rsidRPr="004E341E">
              <w:t>Total</w:t>
            </w:r>
          </w:p>
          <w:p w14:paraId="377B6D08" w14:textId="77777777" w:rsidR="00CF0E2D" w:rsidRPr="004E341E" w:rsidRDefault="00CF0E2D" w:rsidP="00A60D4B">
            <w:pPr>
              <w:pStyle w:val="InitFigBR"/>
            </w:pPr>
            <w:r w:rsidRPr="004E341E">
              <w:t>$’000</w:t>
            </w:r>
          </w:p>
        </w:tc>
      </w:tr>
      <w:tr w:rsidR="00CF0E2D" w:rsidRPr="00BD2093" w14:paraId="7305BDB4" w14:textId="77777777" w:rsidTr="00A60D4B">
        <w:trPr>
          <w:cantSplit/>
          <w:jc w:val="center"/>
        </w:trPr>
        <w:tc>
          <w:tcPr>
            <w:tcW w:w="3652" w:type="dxa"/>
            <w:tcBorders>
              <w:top w:val="single" w:sz="4" w:space="0" w:color="auto"/>
            </w:tcBorders>
          </w:tcPr>
          <w:p w14:paraId="035FB0C0" w14:textId="77777777" w:rsidR="00CF0E2D" w:rsidRDefault="00CF0E2D" w:rsidP="00A60D4B">
            <w:pPr>
              <w:pStyle w:val="InitTextL"/>
              <w:ind w:left="321" w:hanging="321"/>
            </w:pPr>
            <w:r>
              <w:t>Capital</w:t>
            </w:r>
          </w:p>
        </w:tc>
        <w:tc>
          <w:tcPr>
            <w:tcW w:w="1179" w:type="dxa"/>
            <w:tcBorders>
              <w:top w:val="single" w:sz="4" w:space="0" w:color="auto"/>
            </w:tcBorders>
          </w:tcPr>
          <w:p w14:paraId="090C6050" w14:textId="77777777" w:rsidR="00CF0E2D" w:rsidRDefault="00CF0E2D" w:rsidP="00A60D4B">
            <w:pPr>
              <w:pStyle w:val="InitFigR"/>
            </w:pPr>
            <w:r>
              <w:t>1,362</w:t>
            </w:r>
          </w:p>
        </w:tc>
        <w:tc>
          <w:tcPr>
            <w:tcW w:w="1041" w:type="dxa"/>
            <w:tcBorders>
              <w:top w:val="single" w:sz="4" w:space="0" w:color="auto"/>
            </w:tcBorders>
          </w:tcPr>
          <w:p w14:paraId="3AD79722" w14:textId="77777777" w:rsidR="00CF0E2D" w:rsidRDefault="00CF0E2D" w:rsidP="00A60D4B">
            <w:pPr>
              <w:pStyle w:val="InitFigR"/>
            </w:pPr>
            <w:r>
              <w:t>0</w:t>
            </w:r>
          </w:p>
        </w:tc>
        <w:tc>
          <w:tcPr>
            <w:tcW w:w="1029" w:type="dxa"/>
            <w:tcBorders>
              <w:top w:val="single" w:sz="4" w:space="0" w:color="auto"/>
            </w:tcBorders>
          </w:tcPr>
          <w:p w14:paraId="7BCDC46C" w14:textId="77777777" w:rsidR="00CF0E2D" w:rsidRDefault="00CF0E2D" w:rsidP="00A60D4B">
            <w:pPr>
              <w:pStyle w:val="InitFigR"/>
            </w:pPr>
            <w:r>
              <w:t>0</w:t>
            </w:r>
          </w:p>
        </w:tc>
        <w:tc>
          <w:tcPr>
            <w:tcW w:w="1029" w:type="dxa"/>
            <w:tcBorders>
              <w:top w:val="single" w:sz="4" w:space="0" w:color="auto"/>
            </w:tcBorders>
          </w:tcPr>
          <w:p w14:paraId="1FF5519B" w14:textId="77777777" w:rsidR="00CF0E2D" w:rsidRDefault="00CF0E2D" w:rsidP="00A60D4B">
            <w:pPr>
              <w:pStyle w:val="InitFigR"/>
            </w:pPr>
            <w:r>
              <w:t>0</w:t>
            </w:r>
          </w:p>
        </w:tc>
        <w:tc>
          <w:tcPr>
            <w:tcW w:w="1029" w:type="dxa"/>
            <w:tcBorders>
              <w:top w:val="single" w:sz="4" w:space="0" w:color="auto"/>
            </w:tcBorders>
          </w:tcPr>
          <w:p w14:paraId="21487037" w14:textId="77777777" w:rsidR="00CF0E2D" w:rsidRPr="00BD2093" w:rsidRDefault="00CF0E2D" w:rsidP="00A60D4B">
            <w:pPr>
              <w:pStyle w:val="InitFigRBold"/>
              <w:rPr>
                <w:bCs/>
              </w:rPr>
            </w:pPr>
            <w:r w:rsidRPr="00BD2093">
              <w:rPr>
                <w:bCs/>
              </w:rPr>
              <w:t>1,362</w:t>
            </w:r>
          </w:p>
        </w:tc>
      </w:tr>
      <w:tr w:rsidR="00CF0E2D" w:rsidRPr="00BD2093" w14:paraId="56CE1253" w14:textId="77777777" w:rsidTr="00A60D4B">
        <w:trPr>
          <w:cantSplit/>
          <w:jc w:val="center"/>
        </w:trPr>
        <w:tc>
          <w:tcPr>
            <w:tcW w:w="3652" w:type="dxa"/>
          </w:tcPr>
          <w:p w14:paraId="3E4B866C" w14:textId="77777777" w:rsidR="00CF0E2D" w:rsidRDefault="00CF0E2D" w:rsidP="00A60D4B">
            <w:pPr>
              <w:pStyle w:val="InitTextL"/>
              <w:ind w:left="321" w:hanging="321"/>
            </w:pPr>
            <w:r>
              <w:t>Capital – Provision</w:t>
            </w:r>
          </w:p>
        </w:tc>
        <w:tc>
          <w:tcPr>
            <w:tcW w:w="1179" w:type="dxa"/>
          </w:tcPr>
          <w:p w14:paraId="7270A397" w14:textId="77777777" w:rsidR="00CF0E2D" w:rsidRDefault="00CF0E2D" w:rsidP="00A60D4B">
            <w:pPr>
              <w:pStyle w:val="InitFigR"/>
            </w:pPr>
            <w:r>
              <w:t>0</w:t>
            </w:r>
          </w:p>
        </w:tc>
        <w:tc>
          <w:tcPr>
            <w:tcW w:w="1041" w:type="dxa"/>
          </w:tcPr>
          <w:p w14:paraId="6640C732" w14:textId="77777777" w:rsidR="00CF0E2D" w:rsidRDefault="00CF0E2D" w:rsidP="00A60D4B">
            <w:pPr>
              <w:pStyle w:val="InitFigR"/>
            </w:pPr>
            <w:r>
              <w:t>14,916</w:t>
            </w:r>
          </w:p>
        </w:tc>
        <w:tc>
          <w:tcPr>
            <w:tcW w:w="1029" w:type="dxa"/>
          </w:tcPr>
          <w:p w14:paraId="5E26C65E" w14:textId="77777777" w:rsidR="00CF0E2D" w:rsidRDefault="00CF0E2D" w:rsidP="00A60D4B">
            <w:pPr>
              <w:pStyle w:val="InitFigR"/>
            </w:pPr>
            <w:r>
              <w:t>14,916</w:t>
            </w:r>
          </w:p>
        </w:tc>
        <w:tc>
          <w:tcPr>
            <w:tcW w:w="1029" w:type="dxa"/>
          </w:tcPr>
          <w:p w14:paraId="1094F1FF" w14:textId="77777777" w:rsidR="00CF0E2D" w:rsidRDefault="00CF0E2D" w:rsidP="00A60D4B">
            <w:pPr>
              <w:pStyle w:val="InitFigR"/>
            </w:pPr>
            <w:r>
              <w:t>14,916</w:t>
            </w:r>
          </w:p>
        </w:tc>
        <w:tc>
          <w:tcPr>
            <w:tcW w:w="1029" w:type="dxa"/>
          </w:tcPr>
          <w:p w14:paraId="3D14820D" w14:textId="77777777" w:rsidR="00CF0E2D" w:rsidRPr="00BD2093" w:rsidRDefault="00CF0E2D" w:rsidP="00A60D4B">
            <w:pPr>
              <w:pStyle w:val="InitFigRBold"/>
              <w:rPr>
                <w:bCs/>
              </w:rPr>
            </w:pPr>
            <w:r w:rsidRPr="00BD2093">
              <w:rPr>
                <w:bCs/>
              </w:rPr>
              <w:t>44,748</w:t>
            </w:r>
          </w:p>
        </w:tc>
      </w:tr>
      <w:tr w:rsidR="00CF0E2D" w:rsidRPr="00BD2093" w14:paraId="70C6846C" w14:textId="77777777" w:rsidTr="00A60D4B">
        <w:trPr>
          <w:cantSplit/>
          <w:jc w:val="center"/>
        </w:trPr>
        <w:tc>
          <w:tcPr>
            <w:tcW w:w="3652" w:type="dxa"/>
            <w:tcBorders>
              <w:bottom w:val="single" w:sz="4" w:space="0" w:color="auto"/>
            </w:tcBorders>
          </w:tcPr>
          <w:p w14:paraId="3AA1DFAE" w14:textId="77777777" w:rsidR="00CF0E2D" w:rsidRDefault="00CF0E2D" w:rsidP="00A60D4B">
            <w:pPr>
              <w:pStyle w:val="InitTextL"/>
              <w:ind w:left="321" w:hanging="321"/>
            </w:pPr>
            <w:r>
              <w:t>Offset – Capital – Provision</w:t>
            </w:r>
          </w:p>
        </w:tc>
        <w:tc>
          <w:tcPr>
            <w:tcW w:w="1179" w:type="dxa"/>
            <w:tcBorders>
              <w:bottom w:val="single" w:sz="4" w:space="0" w:color="auto"/>
            </w:tcBorders>
          </w:tcPr>
          <w:p w14:paraId="6F0EF4C5" w14:textId="77777777" w:rsidR="00CF0E2D" w:rsidRDefault="00CF0E2D" w:rsidP="00A60D4B">
            <w:pPr>
              <w:pStyle w:val="InitFigR"/>
            </w:pPr>
            <w:r>
              <w:t>-12,337</w:t>
            </w:r>
          </w:p>
        </w:tc>
        <w:tc>
          <w:tcPr>
            <w:tcW w:w="1041" w:type="dxa"/>
            <w:tcBorders>
              <w:bottom w:val="single" w:sz="4" w:space="0" w:color="auto"/>
            </w:tcBorders>
          </w:tcPr>
          <w:p w14:paraId="2BD10C40" w14:textId="77777777" w:rsidR="00CF0E2D" w:rsidRDefault="00CF0E2D" w:rsidP="00A60D4B">
            <w:pPr>
              <w:pStyle w:val="InitFigR"/>
            </w:pPr>
            <w:r>
              <w:t>-12,337</w:t>
            </w:r>
          </w:p>
        </w:tc>
        <w:tc>
          <w:tcPr>
            <w:tcW w:w="1029" w:type="dxa"/>
            <w:tcBorders>
              <w:bottom w:val="single" w:sz="4" w:space="0" w:color="auto"/>
            </w:tcBorders>
          </w:tcPr>
          <w:p w14:paraId="0DCFAF45" w14:textId="77777777" w:rsidR="00CF0E2D" w:rsidRDefault="00CF0E2D" w:rsidP="00A60D4B">
            <w:pPr>
              <w:pStyle w:val="InitFigR"/>
            </w:pPr>
            <w:r>
              <w:t>-12,337</w:t>
            </w:r>
          </w:p>
        </w:tc>
        <w:tc>
          <w:tcPr>
            <w:tcW w:w="1029" w:type="dxa"/>
            <w:tcBorders>
              <w:bottom w:val="single" w:sz="4" w:space="0" w:color="auto"/>
            </w:tcBorders>
          </w:tcPr>
          <w:p w14:paraId="7383B07F" w14:textId="77777777" w:rsidR="00CF0E2D" w:rsidRDefault="00CF0E2D" w:rsidP="00A60D4B">
            <w:pPr>
              <w:pStyle w:val="InitFigR"/>
            </w:pPr>
            <w:r>
              <w:t>-12,337</w:t>
            </w:r>
          </w:p>
        </w:tc>
        <w:tc>
          <w:tcPr>
            <w:tcW w:w="1029" w:type="dxa"/>
            <w:tcBorders>
              <w:bottom w:val="single" w:sz="4" w:space="0" w:color="auto"/>
            </w:tcBorders>
          </w:tcPr>
          <w:p w14:paraId="1E16EE73" w14:textId="77777777" w:rsidR="00CF0E2D" w:rsidRPr="00BD2093" w:rsidRDefault="00CF0E2D" w:rsidP="00A60D4B">
            <w:pPr>
              <w:pStyle w:val="InitFigRBold"/>
              <w:rPr>
                <w:bCs/>
              </w:rPr>
            </w:pPr>
            <w:r w:rsidRPr="00BD2093">
              <w:rPr>
                <w:bCs/>
              </w:rPr>
              <w:t>-49,348</w:t>
            </w:r>
          </w:p>
        </w:tc>
      </w:tr>
      <w:tr w:rsidR="00CF0E2D" w:rsidRPr="00BD2093" w14:paraId="673B10A2" w14:textId="77777777" w:rsidTr="00A60D4B">
        <w:trPr>
          <w:cantSplit/>
          <w:jc w:val="center"/>
        </w:trPr>
        <w:tc>
          <w:tcPr>
            <w:tcW w:w="3652" w:type="dxa"/>
            <w:tcBorders>
              <w:top w:val="single" w:sz="4" w:space="0" w:color="auto"/>
              <w:bottom w:val="single" w:sz="4" w:space="0" w:color="auto"/>
            </w:tcBorders>
          </w:tcPr>
          <w:p w14:paraId="0AD30A7D" w14:textId="58E52C6D" w:rsidR="00CF0E2D" w:rsidRPr="00D13A71" w:rsidRDefault="00F57411" w:rsidP="00A60D4B">
            <w:pPr>
              <w:pStyle w:val="InitTextL"/>
              <w:ind w:left="321" w:hanging="321"/>
              <w:rPr>
                <w:b/>
                <w:bCs/>
              </w:rPr>
            </w:pPr>
            <w:r>
              <w:rPr>
                <w:b/>
                <w:bCs/>
              </w:rPr>
              <w:t>Net capital</w:t>
            </w:r>
          </w:p>
        </w:tc>
        <w:tc>
          <w:tcPr>
            <w:tcW w:w="1179" w:type="dxa"/>
            <w:tcBorders>
              <w:top w:val="single" w:sz="4" w:space="0" w:color="auto"/>
              <w:bottom w:val="single" w:sz="4" w:space="0" w:color="auto"/>
            </w:tcBorders>
          </w:tcPr>
          <w:p w14:paraId="5D461C93" w14:textId="77777777" w:rsidR="00CF0E2D" w:rsidRPr="00590C8E" w:rsidRDefault="00CF0E2D" w:rsidP="00A60D4B">
            <w:pPr>
              <w:pStyle w:val="InitFigR"/>
              <w:rPr>
                <w:b/>
                <w:bCs/>
              </w:rPr>
            </w:pPr>
            <w:r w:rsidRPr="00590C8E">
              <w:rPr>
                <w:b/>
                <w:bCs/>
              </w:rPr>
              <w:t>-10,975</w:t>
            </w:r>
          </w:p>
        </w:tc>
        <w:tc>
          <w:tcPr>
            <w:tcW w:w="1041" w:type="dxa"/>
            <w:tcBorders>
              <w:top w:val="single" w:sz="4" w:space="0" w:color="auto"/>
              <w:bottom w:val="single" w:sz="4" w:space="0" w:color="auto"/>
            </w:tcBorders>
          </w:tcPr>
          <w:p w14:paraId="65C311F6" w14:textId="77777777" w:rsidR="00CF0E2D" w:rsidRPr="00590C8E" w:rsidRDefault="00CF0E2D" w:rsidP="00A60D4B">
            <w:pPr>
              <w:pStyle w:val="InitFigR"/>
              <w:rPr>
                <w:b/>
                <w:bCs/>
              </w:rPr>
            </w:pPr>
            <w:r w:rsidRPr="00590C8E">
              <w:rPr>
                <w:b/>
                <w:bCs/>
              </w:rPr>
              <w:t>2,579</w:t>
            </w:r>
          </w:p>
        </w:tc>
        <w:tc>
          <w:tcPr>
            <w:tcW w:w="1029" w:type="dxa"/>
            <w:tcBorders>
              <w:top w:val="single" w:sz="4" w:space="0" w:color="auto"/>
              <w:bottom w:val="single" w:sz="4" w:space="0" w:color="auto"/>
            </w:tcBorders>
          </w:tcPr>
          <w:p w14:paraId="0794ED0D" w14:textId="77777777" w:rsidR="00CF0E2D" w:rsidRPr="00590C8E" w:rsidRDefault="00CF0E2D" w:rsidP="00A60D4B">
            <w:pPr>
              <w:pStyle w:val="InitFigR"/>
              <w:rPr>
                <w:b/>
                <w:bCs/>
              </w:rPr>
            </w:pPr>
            <w:r w:rsidRPr="00590C8E">
              <w:rPr>
                <w:b/>
                <w:bCs/>
              </w:rPr>
              <w:t>2,579</w:t>
            </w:r>
          </w:p>
        </w:tc>
        <w:tc>
          <w:tcPr>
            <w:tcW w:w="1029" w:type="dxa"/>
            <w:tcBorders>
              <w:top w:val="single" w:sz="4" w:space="0" w:color="auto"/>
              <w:bottom w:val="single" w:sz="4" w:space="0" w:color="auto"/>
            </w:tcBorders>
          </w:tcPr>
          <w:p w14:paraId="7756C7AA" w14:textId="77777777" w:rsidR="00CF0E2D" w:rsidRPr="00590C8E" w:rsidRDefault="00CF0E2D" w:rsidP="00A60D4B">
            <w:pPr>
              <w:pStyle w:val="InitFigR"/>
              <w:rPr>
                <w:b/>
                <w:bCs/>
              </w:rPr>
            </w:pPr>
            <w:r w:rsidRPr="00590C8E">
              <w:rPr>
                <w:b/>
                <w:bCs/>
              </w:rPr>
              <w:t>2,579</w:t>
            </w:r>
          </w:p>
        </w:tc>
        <w:tc>
          <w:tcPr>
            <w:tcW w:w="1029" w:type="dxa"/>
            <w:tcBorders>
              <w:top w:val="single" w:sz="4" w:space="0" w:color="auto"/>
              <w:bottom w:val="single" w:sz="4" w:space="0" w:color="auto"/>
            </w:tcBorders>
          </w:tcPr>
          <w:p w14:paraId="5736AA96" w14:textId="77777777" w:rsidR="00CF0E2D" w:rsidRPr="00BD2093" w:rsidRDefault="00CF0E2D" w:rsidP="00A60D4B">
            <w:pPr>
              <w:pStyle w:val="InitFigRBold"/>
              <w:rPr>
                <w:bCs/>
              </w:rPr>
            </w:pPr>
            <w:r w:rsidRPr="00BD2093">
              <w:rPr>
                <w:bCs/>
              </w:rPr>
              <w:t>-3,238</w:t>
            </w:r>
          </w:p>
        </w:tc>
      </w:tr>
      <w:tr w:rsidR="00CF0E2D" w14:paraId="7ACC511C" w14:textId="77777777" w:rsidTr="00A60D4B">
        <w:trPr>
          <w:cantSplit/>
          <w:jc w:val="center"/>
        </w:trPr>
        <w:tc>
          <w:tcPr>
            <w:tcW w:w="3652" w:type="dxa"/>
          </w:tcPr>
          <w:p w14:paraId="5FFA1661" w14:textId="77777777" w:rsidR="00CF0E2D" w:rsidRPr="0017521E" w:rsidRDefault="00CF0E2D" w:rsidP="00A60D4B">
            <w:pPr>
              <w:pStyle w:val="InitTextL"/>
              <w:ind w:left="321" w:hanging="321"/>
            </w:pPr>
            <w:r>
              <w:t>Expenses</w:t>
            </w:r>
          </w:p>
        </w:tc>
        <w:tc>
          <w:tcPr>
            <w:tcW w:w="1179" w:type="dxa"/>
          </w:tcPr>
          <w:p w14:paraId="183966ED" w14:textId="77777777" w:rsidR="00CF0E2D" w:rsidRDefault="00CF0E2D" w:rsidP="00A60D4B">
            <w:pPr>
              <w:pStyle w:val="InitFigR"/>
            </w:pPr>
            <w:r>
              <w:t>1,725</w:t>
            </w:r>
          </w:p>
        </w:tc>
        <w:tc>
          <w:tcPr>
            <w:tcW w:w="1041" w:type="dxa"/>
          </w:tcPr>
          <w:p w14:paraId="6D2E43D9" w14:textId="77777777" w:rsidR="00CF0E2D" w:rsidRDefault="00CF0E2D" w:rsidP="00A60D4B">
            <w:pPr>
              <w:pStyle w:val="InitFigR"/>
            </w:pPr>
            <w:r>
              <w:t>658</w:t>
            </w:r>
          </w:p>
        </w:tc>
        <w:tc>
          <w:tcPr>
            <w:tcW w:w="1029" w:type="dxa"/>
          </w:tcPr>
          <w:p w14:paraId="22EDCD0D" w14:textId="77777777" w:rsidR="00CF0E2D" w:rsidRDefault="00CF0E2D" w:rsidP="00A60D4B">
            <w:pPr>
              <w:pStyle w:val="InitFigR"/>
            </w:pPr>
            <w:r>
              <w:t>671</w:t>
            </w:r>
          </w:p>
        </w:tc>
        <w:tc>
          <w:tcPr>
            <w:tcW w:w="1029" w:type="dxa"/>
          </w:tcPr>
          <w:p w14:paraId="17E030E2" w14:textId="77777777" w:rsidR="00CF0E2D" w:rsidRDefault="00CF0E2D" w:rsidP="00A60D4B">
            <w:pPr>
              <w:pStyle w:val="InitFigR"/>
            </w:pPr>
            <w:r>
              <w:t>684</w:t>
            </w:r>
          </w:p>
        </w:tc>
        <w:tc>
          <w:tcPr>
            <w:tcW w:w="1029" w:type="dxa"/>
          </w:tcPr>
          <w:p w14:paraId="0EC01AAE" w14:textId="77777777" w:rsidR="00CF0E2D" w:rsidRDefault="00CF0E2D" w:rsidP="00A60D4B">
            <w:pPr>
              <w:pStyle w:val="InitFigBR"/>
            </w:pPr>
            <w:r>
              <w:t>3,738</w:t>
            </w:r>
          </w:p>
        </w:tc>
      </w:tr>
      <w:tr w:rsidR="00CF0E2D" w:rsidRPr="00424DA4" w14:paraId="7E6BC2AA" w14:textId="77777777" w:rsidTr="00A60D4B">
        <w:trPr>
          <w:cantSplit/>
          <w:jc w:val="center"/>
        </w:trPr>
        <w:tc>
          <w:tcPr>
            <w:tcW w:w="3652" w:type="dxa"/>
          </w:tcPr>
          <w:p w14:paraId="0B509F74" w14:textId="4811098F" w:rsidR="00CF0E2D" w:rsidRPr="00F13FAB" w:rsidRDefault="00CF0E2D" w:rsidP="00A60D4B">
            <w:pPr>
              <w:pStyle w:val="InitTextL"/>
              <w:ind w:left="321" w:hanging="321"/>
            </w:pPr>
            <w:r>
              <w:t>Offset – Expense</w:t>
            </w:r>
            <w:r w:rsidR="00B86042">
              <w:t>s</w:t>
            </w:r>
            <w:r>
              <w:t xml:space="preserve"> – Provision</w:t>
            </w:r>
          </w:p>
        </w:tc>
        <w:tc>
          <w:tcPr>
            <w:tcW w:w="1179" w:type="dxa"/>
          </w:tcPr>
          <w:p w14:paraId="2F01D76B" w14:textId="77777777" w:rsidR="00CF0E2D" w:rsidRPr="00424DA4" w:rsidRDefault="00CF0E2D" w:rsidP="00A60D4B">
            <w:pPr>
              <w:pStyle w:val="InitFigR"/>
            </w:pPr>
            <w:r>
              <w:t>-125</w:t>
            </w:r>
          </w:p>
        </w:tc>
        <w:tc>
          <w:tcPr>
            <w:tcW w:w="1041" w:type="dxa"/>
          </w:tcPr>
          <w:p w14:paraId="74B1F923" w14:textId="77777777" w:rsidR="00CF0E2D" w:rsidRPr="00424DA4" w:rsidRDefault="00CF0E2D" w:rsidP="00A60D4B">
            <w:pPr>
              <w:pStyle w:val="InitFigR"/>
            </w:pPr>
            <w:r>
              <w:t>-125</w:t>
            </w:r>
          </w:p>
        </w:tc>
        <w:tc>
          <w:tcPr>
            <w:tcW w:w="1029" w:type="dxa"/>
          </w:tcPr>
          <w:p w14:paraId="6AAFA8AD" w14:textId="77777777" w:rsidR="00CF0E2D" w:rsidRPr="00424DA4" w:rsidRDefault="00CF0E2D" w:rsidP="00A60D4B">
            <w:pPr>
              <w:pStyle w:val="InitFigR"/>
            </w:pPr>
            <w:r>
              <w:t>-125</w:t>
            </w:r>
          </w:p>
        </w:tc>
        <w:tc>
          <w:tcPr>
            <w:tcW w:w="1029" w:type="dxa"/>
          </w:tcPr>
          <w:p w14:paraId="6FE6E384" w14:textId="77777777" w:rsidR="00CF0E2D" w:rsidRPr="00424DA4" w:rsidRDefault="00CF0E2D" w:rsidP="00A60D4B">
            <w:pPr>
              <w:pStyle w:val="InitFigR"/>
            </w:pPr>
            <w:r>
              <w:t>-125</w:t>
            </w:r>
          </w:p>
        </w:tc>
        <w:tc>
          <w:tcPr>
            <w:tcW w:w="1029" w:type="dxa"/>
          </w:tcPr>
          <w:p w14:paraId="07B323A9" w14:textId="77777777" w:rsidR="00CF0E2D" w:rsidRPr="00424DA4" w:rsidRDefault="00CF0E2D" w:rsidP="00A60D4B">
            <w:pPr>
              <w:pStyle w:val="InitFigBR"/>
            </w:pPr>
            <w:r>
              <w:t>-500</w:t>
            </w:r>
          </w:p>
        </w:tc>
      </w:tr>
      <w:tr w:rsidR="00CF0E2D" w:rsidRPr="00424DA4" w14:paraId="73965296" w14:textId="77777777" w:rsidTr="00A60D4B">
        <w:trPr>
          <w:cantSplit/>
          <w:trHeight w:val="107"/>
          <w:jc w:val="center"/>
        </w:trPr>
        <w:tc>
          <w:tcPr>
            <w:tcW w:w="3652" w:type="dxa"/>
            <w:tcBorders>
              <w:top w:val="single" w:sz="4" w:space="0" w:color="auto"/>
              <w:bottom w:val="single" w:sz="4" w:space="0" w:color="auto"/>
            </w:tcBorders>
          </w:tcPr>
          <w:p w14:paraId="0717DD69"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3995BD1E" w14:textId="77777777" w:rsidR="00CF0E2D" w:rsidRPr="00424DA4" w:rsidRDefault="00CF0E2D" w:rsidP="00A60D4B">
            <w:pPr>
              <w:pStyle w:val="InitFigRBold"/>
            </w:pPr>
            <w:r>
              <w:t>1,600</w:t>
            </w:r>
          </w:p>
        </w:tc>
        <w:tc>
          <w:tcPr>
            <w:tcW w:w="1041" w:type="dxa"/>
            <w:tcBorders>
              <w:top w:val="single" w:sz="4" w:space="0" w:color="auto"/>
              <w:bottom w:val="single" w:sz="4" w:space="0" w:color="auto"/>
            </w:tcBorders>
          </w:tcPr>
          <w:p w14:paraId="4084F5AD" w14:textId="77777777" w:rsidR="00CF0E2D" w:rsidRPr="00424DA4" w:rsidRDefault="00CF0E2D" w:rsidP="00A60D4B">
            <w:pPr>
              <w:pStyle w:val="InitFigRBold"/>
            </w:pPr>
            <w:r>
              <w:t>533</w:t>
            </w:r>
          </w:p>
        </w:tc>
        <w:tc>
          <w:tcPr>
            <w:tcW w:w="1029" w:type="dxa"/>
            <w:tcBorders>
              <w:top w:val="single" w:sz="4" w:space="0" w:color="auto"/>
              <w:bottom w:val="single" w:sz="4" w:space="0" w:color="auto"/>
            </w:tcBorders>
          </w:tcPr>
          <w:p w14:paraId="47D1B627" w14:textId="77777777" w:rsidR="00CF0E2D" w:rsidRPr="00424DA4" w:rsidRDefault="00CF0E2D" w:rsidP="00A60D4B">
            <w:pPr>
              <w:pStyle w:val="InitFigRBold"/>
            </w:pPr>
            <w:r>
              <w:t>546</w:t>
            </w:r>
          </w:p>
        </w:tc>
        <w:tc>
          <w:tcPr>
            <w:tcW w:w="1029" w:type="dxa"/>
            <w:tcBorders>
              <w:top w:val="single" w:sz="4" w:space="0" w:color="auto"/>
              <w:bottom w:val="single" w:sz="4" w:space="0" w:color="auto"/>
            </w:tcBorders>
          </w:tcPr>
          <w:p w14:paraId="5345DADF" w14:textId="77777777" w:rsidR="00CF0E2D" w:rsidRPr="00424DA4" w:rsidRDefault="00CF0E2D" w:rsidP="00A60D4B">
            <w:pPr>
              <w:pStyle w:val="InitFigRBold"/>
            </w:pPr>
            <w:r>
              <w:t>559</w:t>
            </w:r>
          </w:p>
        </w:tc>
        <w:tc>
          <w:tcPr>
            <w:tcW w:w="1029" w:type="dxa"/>
            <w:tcBorders>
              <w:top w:val="single" w:sz="4" w:space="0" w:color="auto"/>
              <w:bottom w:val="single" w:sz="4" w:space="0" w:color="auto"/>
            </w:tcBorders>
          </w:tcPr>
          <w:p w14:paraId="39EA7BA6" w14:textId="77777777" w:rsidR="00CF0E2D" w:rsidRPr="00424DA4" w:rsidRDefault="00CF0E2D" w:rsidP="00A60D4B">
            <w:pPr>
              <w:pStyle w:val="InitFigRBold"/>
            </w:pPr>
            <w:r>
              <w:t>3,238</w:t>
            </w:r>
          </w:p>
        </w:tc>
      </w:tr>
    </w:tbl>
    <w:p w14:paraId="68EB490A" w14:textId="77777777" w:rsidR="00CF0E2D" w:rsidRDefault="00CF0E2D" w:rsidP="00A60D4B">
      <w:pPr>
        <w:pStyle w:val="Bbodytext"/>
      </w:pPr>
      <w:r w:rsidRPr="004C581D">
        <w:t>The Government wi</w:t>
      </w:r>
      <w:r>
        <w:t xml:space="preserve">ll commence delivery of the five-year Vulnerable Household Energy Support Scheme to improve housing quality and reduce energy hardship among vulnerable households. The program will apply to public and private rental properties, as well as eligible low-income homeowners. </w:t>
      </w:r>
    </w:p>
    <w:p w14:paraId="255DEAE9" w14:textId="77777777" w:rsidR="00CF0E2D" w:rsidRDefault="00CF0E2D" w:rsidP="00A60D4B">
      <w:pPr>
        <w:pStyle w:val="Bbodytext"/>
      </w:pPr>
      <w:r>
        <w:t>This initiative builds on other Government initiatives to improve the energy efficiency of homes in Canberra, including</w:t>
      </w:r>
      <w:r w:rsidRPr="004E57AA">
        <w:t xml:space="preserve"> </w:t>
      </w:r>
      <w:r>
        <w:t>the</w:t>
      </w:r>
      <w:r w:rsidRPr="004E57AA">
        <w:t xml:space="preserve"> </w:t>
      </w:r>
      <w:r>
        <w:t xml:space="preserve">continuation of the Solar for Low Income program and the </w:t>
      </w:r>
      <w:r w:rsidRPr="004E57AA">
        <w:t>$150</w:t>
      </w:r>
      <w:r>
        <w:t> </w:t>
      </w:r>
      <w:r w:rsidRPr="004E57AA">
        <w:t>million Sustainable Household Scheme</w:t>
      </w:r>
      <w:r>
        <w:t>,</w:t>
      </w:r>
      <w:r w:rsidRPr="004E57AA">
        <w:t xml:space="preserve"> to support households with</w:t>
      </w:r>
      <w:r>
        <w:t xml:space="preserve"> no interest loans to invest in energy efficient home upgrades.</w:t>
      </w:r>
    </w:p>
    <w:p w14:paraId="1F09C42A" w14:textId="77777777" w:rsidR="00CF0E2D" w:rsidRDefault="00CF0E2D" w:rsidP="00A60D4B">
      <w:pPr>
        <w:pStyle w:val="Bbodytext"/>
      </w:pPr>
      <w:r>
        <w:t>This initiative contributes to the wellbeing domains of Housing and home, Living standards and Environment and climate</w:t>
      </w:r>
      <w:r w:rsidRPr="009609CE">
        <w:t>.</w:t>
      </w:r>
    </w:p>
    <w:p w14:paraId="54B738BA" w14:textId="77777777" w:rsidR="00CF0E2D" w:rsidRPr="00E07C45" w:rsidRDefault="00CF0E2D" w:rsidP="00A60D4B"/>
    <w:p w14:paraId="14081DA0" w14:textId="77777777" w:rsidR="00CF0E2D" w:rsidRDefault="00CF0E2D">
      <w:r>
        <w:br w:type="page"/>
      </w:r>
    </w:p>
    <w:p w14:paraId="166545BD" w14:textId="77777777" w:rsidR="00CF0E2D" w:rsidRDefault="00CF0E2D" w:rsidP="00A60D4B">
      <w:pPr>
        <w:pStyle w:val="Heading3"/>
      </w:pPr>
      <w:r w:rsidRPr="008D7AA2">
        <w:lastRenderedPageBreak/>
        <w:t>HEALTH PORTFOLIO AGENCIES</w:t>
      </w:r>
    </w:p>
    <w:p w14:paraId="6711ABB3" w14:textId="77777777" w:rsidR="00CF0E2D" w:rsidRDefault="00CF0E2D" w:rsidP="00A60D4B">
      <w:pPr>
        <w:pStyle w:val="Bbodytext"/>
      </w:pPr>
      <w:r>
        <w:t>Health services in the ACT are delivered by two distinct agencies:</w:t>
      </w:r>
    </w:p>
    <w:p w14:paraId="2BF4E591" w14:textId="77777777" w:rsidR="00CF0E2D" w:rsidRDefault="00CF0E2D" w:rsidP="00CF0E2D">
      <w:pPr>
        <w:pStyle w:val="BBullet1"/>
        <w:tabs>
          <w:tab w:val="clear" w:pos="357"/>
          <w:tab w:val="left" w:pos="851"/>
        </w:tabs>
        <w:ind w:left="851" w:hanging="567"/>
      </w:pPr>
      <w:r>
        <w:t>The ACT Health Directorate is responsible for the stewardship of the health system, providing policy and population health capability, with a focus on developing strategies and direction setting to ensure services meet community needs and expectations, and delivering improved health outcomes through an innovative health system, that is effective and sustainable now and into the future; and</w:t>
      </w:r>
    </w:p>
    <w:p w14:paraId="6D17C8F6" w14:textId="77777777" w:rsidR="00CF0E2D" w:rsidRDefault="00CF0E2D" w:rsidP="00CF0E2D">
      <w:pPr>
        <w:pStyle w:val="BBullet1"/>
        <w:tabs>
          <w:tab w:val="clear" w:pos="357"/>
          <w:tab w:val="left" w:pos="851"/>
        </w:tabs>
        <w:ind w:left="851" w:hanging="567"/>
      </w:pPr>
      <w:r>
        <w:t>Canberra Health Services focuses on the delivery of front-line services including the administration of Canberra’s public hospitals, Walk-in centres and community health centres.</w:t>
      </w:r>
    </w:p>
    <w:p w14:paraId="448564AD" w14:textId="77777777" w:rsidR="00CF0E2D" w:rsidRDefault="00CF0E2D" w:rsidP="00A60D4B">
      <w:pPr>
        <w:pStyle w:val="Bbodytext"/>
      </w:pPr>
      <w:r w:rsidRPr="002F4D43">
        <w:t>Due to the structure of the health agencies, most of the initiatives listed below will be delivered by both. For ease of reading, the initiative funding profiles for the separate agencies have been combined under each initiative</w:t>
      </w:r>
      <w:r>
        <w:t xml:space="preserve">. </w:t>
      </w:r>
    </w:p>
    <w:p w14:paraId="4C741C7C" w14:textId="77777777" w:rsidR="00CF0E2D" w:rsidRDefault="00CF0E2D" w:rsidP="00A60D4B">
      <w:pPr>
        <w:pStyle w:val="Bbodytext"/>
      </w:pPr>
      <w:r>
        <w:t xml:space="preserve">The Government will commit an additional $461 million over four years in this Budget to provide added resourcing in response to growing demand for core services across the ACT public health system and the increased complexity of health service delivery. </w:t>
      </w:r>
    </w:p>
    <w:p w14:paraId="1D75A082" w14:textId="77777777" w:rsidR="00CF0E2D" w:rsidRDefault="00CF0E2D" w:rsidP="00A60D4B">
      <w:pPr>
        <w:pStyle w:val="Bbodytext"/>
      </w:pPr>
      <w:r>
        <w:t xml:space="preserve">This brings the forecast for total health services expenditure over the next four years to </w:t>
      </w:r>
      <w:r w:rsidRPr="00763954">
        <w:t>$8.5</w:t>
      </w:r>
      <w:r>
        <w:t> </w:t>
      </w:r>
      <w:r w:rsidRPr="00763954">
        <w:t>billion.</w:t>
      </w:r>
    </w:p>
    <w:p w14:paraId="449B5E70" w14:textId="77777777" w:rsidR="00CF0E2D" w:rsidRDefault="00CF0E2D" w:rsidP="00A60D4B">
      <w:pPr>
        <w:pStyle w:val="Bbodytext"/>
      </w:pPr>
      <w:r>
        <w:t>A Health Funding Envelope is used to provide funding certainty for both Health agencies, regardless of changes in Commonwealth funding and other sources of income. The operating costs associated with new health facilities are also funded from the envelope which includes annual indexation for price growth as well as growth in activity.</w:t>
      </w:r>
    </w:p>
    <w:p w14:paraId="1782C5E8" w14:textId="77777777" w:rsidR="00CF0E2D" w:rsidRDefault="00CF0E2D" w:rsidP="00A60D4B">
      <w:pPr>
        <w:pStyle w:val="Bbodytext"/>
      </w:pPr>
      <w:r>
        <w:t>Many initiatives contained in this Budget are offset against this investment as can be identified in the initiative description financial tables.</w:t>
      </w:r>
      <w:r w:rsidRPr="00763954">
        <w:t xml:space="preserve"> </w:t>
      </w:r>
      <w:r>
        <w:t>A component of this new funding will be provisioned to provide capacity for future health service expansion and to meet future funding needs and support improved efficiency of service delivery.</w:t>
      </w:r>
    </w:p>
    <w:p w14:paraId="0EEF193F" w14:textId="77777777" w:rsidR="00CF0E2D" w:rsidRDefault="00CF0E2D" w:rsidP="00A60D4B">
      <w:pPr>
        <w:pStyle w:val="Bbodytext"/>
      </w:pPr>
    </w:p>
    <w:p w14:paraId="05A82FB3" w14:textId="77777777" w:rsidR="00CF0E2D" w:rsidRPr="002F4D43" w:rsidRDefault="00CF0E2D" w:rsidP="00A60D4B"/>
    <w:p w14:paraId="203AA724" w14:textId="77777777" w:rsidR="00CF0E2D" w:rsidRDefault="00CF0E2D">
      <w:r>
        <w:br w:type="page"/>
      </w:r>
    </w:p>
    <w:p w14:paraId="052AE400" w14:textId="77777777" w:rsidR="00CF0E2D" w:rsidRPr="002F4D43" w:rsidRDefault="00CF0E2D" w:rsidP="00A60D4B"/>
    <w:p w14:paraId="59799842" w14:textId="77777777" w:rsidR="00CF0E2D" w:rsidRPr="00C15FE5" w:rsidRDefault="00CF0E2D" w:rsidP="00A60D4B">
      <w:pPr>
        <w:pStyle w:val="Heading4"/>
      </w:pPr>
      <w:r>
        <w:rPr>
          <w:b w:val="0"/>
          <w:noProof/>
          <w:color w:val="999789"/>
          <w:sz w:val="32"/>
          <w:szCs w:val="24"/>
        </w:rPr>
        <w:drawing>
          <wp:anchor distT="0" distB="0" distL="114300" distR="114300" simplePos="0" relativeHeight="251858944" behindDoc="0" locked="1" layoutInCell="1" allowOverlap="1" wp14:anchorId="1A81615D" wp14:editId="7080DF22">
            <wp:simplePos x="0" y="0"/>
            <wp:positionH relativeFrom="margin">
              <wp:align>right</wp:align>
            </wp:positionH>
            <wp:positionV relativeFrom="paragraph">
              <wp:posOffset>59690</wp:posOffset>
            </wp:positionV>
            <wp:extent cx="993140" cy="503555"/>
            <wp:effectExtent l="0" t="0" r="0" b="0"/>
            <wp:wrapSquare wrapText="bothSides"/>
            <wp:docPr id="70" name="Picture 70"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r w:rsidRPr="001952D1">
        <w:rPr>
          <w:rFonts w:eastAsia="Times New Roman"/>
        </w:rPr>
        <w:t xml:space="preserve">Better care in the community – </w:t>
      </w:r>
      <w:r>
        <w:t xml:space="preserve">Aboriginal and Torres Strait Islander specific mental health services </w:t>
      </w:r>
      <w:r w:rsidRPr="006B3E0A">
        <w:rPr>
          <w:noProof/>
        </w:rPr>
        <w:t xml:space="preserve">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39E7ECB4" w14:textId="77777777" w:rsidTr="00A60D4B">
        <w:trPr>
          <w:cantSplit/>
          <w:jc w:val="center"/>
        </w:trPr>
        <w:tc>
          <w:tcPr>
            <w:tcW w:w="3652" w:type="dxa"/>
            <w:tcBorders>
              <w:top w:val="single" w:sz="4" w:space="0" w:color="auto"/>
              <w:bottom w:val="single" w:sz="4" w:space="0" w:color="auto"/>
            </w:tcBorders>
          </w:tcPr>
          <w:p w14:paraId="28D30806"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42E7A52C" w14:textId="77777777" w:rsidR="00CF0E2D" w:rsidRPr="006B3E0A" w:rsidRDefault="00CF0E2D" w:rsidP="00A60D4B">
            <w:pPr>
              <w:pStyle w:val="InitFigR"/>
              <w:rPr>
                <w:b/>
                <w:bCs/>
              </w:rPr>
            </w:pPr>
            <w:r w:rsidRPr="006B3E0A">
              <w:rPr>
                <w:b/>
                <w:bCs/>
              </w:rPr>
              <w:t>2021-22</w:t>
            </w:r>
          </w:p>
          <w:p w14:paraId="4BB85E67" w14:textId="77777777" w:rsidR="00CF0E2D" w:rsidRPr="006B3E0A" w:rsidRDefault="00CF0E2D" w:rsidP="00A60D4B">
            <w:pPr>
              <w:pStyle w:val="InitFigR"/>
              <w:rPr>
                <w:b/>
                <w:bCs/>
              </w:rPr>
            </w:pPr>
            <w:r w:rsidRPr="006B3E0A">
              <w:rPr>
                <w:b/>
                <w:bCs/>
              </w:rPr>
              <w:t>$’000</w:t>
            </w:r>
          </w:p>
        </w:tc>
        <w:tc>
          <w:tcPr>
            <w:tcW w:w="1041" w:type="dxa"/>
            <w:tcBorders>
              <w:top w:val="single" w:sz="4" w:space="0" w:color="auto"/>
              <w:bottom w:val="single" w:sz="4" w:space="0" w:color="auto"/>
            </w:tcBorders>
          </w:tcPr>
          <w:p w14:paraId="7B0A71F3" w14:textId="77777777" w:rsidR="00CF0E2D" w:rsidRPr="006B3E0A" w:rsidRDefault="00CF0E2D" w:rsidP="00A60D4B">
            <w:pPr>
              <w:pStyle w:val="InitFigR"/>
              <w:rPr>
                <w:b/>
                <w:bCs/>
              </w:rPr>
            </w:pPr>
            <w:r w:rsidRPr="006B3E0A">
              <w:rPr>
                <w:b/>
                <w:bCs/>
              </w:rPr>
              <w:t>2022-23</w:t>
            </w:r>
          </w:p>
          <w:p w14:paraId="5AC283FE" w14:textId="77777777" w:rsidR="00CF0E2D" w:rsidRPr="006B3E0A" w:rsidRDefault="00CF0E2D" w:rsidP="00A60D4B">
            <w:pPr>
              <w:pStyle w:val="InitFigR"/>
              <w:rPr>
                <w:b/>
                <w:bCs/>
              </w:rPr>
            </w:pPr>
            <w:r w:rsidRPr="006B3E0A">
              <w:rPr>
                <w:b/>
                <w:bCs/>
              </w:rPr>
              <w:t>$’000</w:t>
            </w:r>
          </w:p>
        </w:tc>
        <w:tc>
          <w:tcPr>
            <w:tcW w:w="1029" w:type="dxa"/>
            <w:tcBorders>
              <w:top w:val="single" w:sz="4" w:space="0" w:color="auto"/>
              <w:bottom w:val="single" w:sz="4" w:space="0" w:color="auto"/>
            </w:tcBorders>
          </w:tcPr>
          <w:p w14:paraId="734E85E8" w14:textId="77777777" w:rsidR="00CF0E2D" w:rsidRPr="006B3E0A" w:rsidRDefault="00CF0E2D" w:rsidP="00A60D4B">
            <w:pPr>
              <w:pStyle w:val="InitFigR"/>
              <w:rPr>
                <w:b/>
                <w:bCs/>
              </w:rPr>
            </w:pPr>
            <w:r w:rsidRPr="006B3E0A">
              <w:rPr>
                <w:b/>
                <w:bCs/>
              </w:rPr>
              <w:t>2023-24</w:t>
            </w:r>
          </w:p>
          <w:p w14:paraId="2673FEEF" w14:textId="77777777" w:rsidR="00CF0E2D" w:rsidRPr="006B3E0A" w:rsidRDefault="00CF0E2D" w:rsidP="00A60D4B">
            <w:pPr>
              <w:pStyle w:val="InitFigR"/>
              <w:rPr>
                <w:b/>
                <w:bCs/>
              </w:rPr>
            </w:pPr>
            <w:r w:rsidRPr="006B3E0A">
              <w:rPr>
                <w:b/>
                <w:bCs/>
              </w:rPr>
              <w:t>$’000</w:t>
            </w:r>
          </w:p>
        </w:tc>
        <w:tc>
          <w:tcPr>
            <w:tcW w:w="1029" w:type="dxa"/>
            <w:tcBorders>
              <w:top w:val="single" w:sz="4" w:space="0" w:color="auto"/>
              <w:bottom w:val="single" w:sz="4" w:space="0" w:color="auto"/>
            </w:tcBorders>
          </w:tcPr>
          <w:p w14:paraId="4B07CECC" w14:textId="77777777" w:rsidR="00CF0E2D" w:rsidRPr="006B3E0A" w:rsidRDefault="00CF0E2D" w:rsidP="00A60D4B">
            <w:pPr>
              <w:pStyle w:val="InitFigR"/>
              <w:rPr>
                <w:b/>
                <w:bCs/>
              </w:rPr>
            </w:pPr>
            <w:r w:rsidRPr="006B3E0A">
              <w:rPr>
                <w:b/>
                <w:bCs/>
              </w:rPr>
              <w:t>2024-25</w:t>
            </w:r>
          </w:p>
          <w:p w14:paraId="059535E4" w14:textId="77777777" w:rsidR="00CF0E2D" w:rsidRPr="006B3E0A" w:rsidRDefault="00CF0E2D" w:rsidP="00A60D4B">
            <w:pPr>
              <w:pStyle w:val="InitFigR"/>
              <w:rPr>
                <w:b/>
                <w:bCs/>
              </w:rPr>
            </w:pPr>
            <w:r w:rsidRPr="006B3E0A">
              <w:rPr>
                <w:b/>
                <w:bCs/>
              </w:rPr>
              <w:t>$’000</w:t>
            </w:r>
          </w:p>
        </w:tc>
        <w:tc>
          <w:tcPr>
            <w:tcW w:w="1029" w:type="dxa"/>
            <w:tcBorders>
              <w:top w:val="single" w:sz="4" w:space="0" w:color="auto"/>
              <w:bottom w:val="single" w:sz="4" w:space="0" w:color="auto"/>
            </w:tcBorders>
          </w:tcPr>
          <w:p w14:paraId="48410DC5" w14:textId="77777777" w:rsidR="00CF0E2D" w:rsidRPr="004E341E" w:rsidRDefault="00CF0E2D" w:rsidP="00A60D4B">
            <w:pPr>
              <w:pStyle w:val="InitFigRBold"/>
            </w:pPr>
            <w:r w:rsidRPr="004E341E">
              <w:t>Total</w:t>
            </w:r>
          </w:p>
          <w:p w14:paraId="02BA2346" w14:textId="77777777" w:rsidR="00CF0E2D" w:rsidRPr="004E341E" w:rsidRDefault="00CF0E2D" w:rsidP="00A60D4B">
            <w:pPr>
              <w:pStyle w:val="InitFigBR"/>
            </w:pPr>
            <w:r w:rsidRPr="004E341E">
              <w:t>$’000</w:t>
            </w:r>
          </w:p>
        </w:tc>
      </w:tr>
      <w:tr w:rsidR="00CF0E2D" w:rsidRPr="00750793" w14:paraId="39A11693" w14:textId="77777777" w:rsidTr="00A60D4B">
        <w:trPr>
          <w:cantSplit/>
          <w:jc w:val="center"/>
        </w:trPr>
        <w:tc>
          <w:tcPr>
            <w:tcW w:w="3652" w:type="dxa"/>
          </w:tcPr>
          <w:p w14:paraId="117078AF" w14:textId="77777777" w:rsidR="00CF0E2D" w:rsidRPr="00F13FAB" w:rsidRDefault="00CF0E2D" w:rsidP="00A60D4B">
            <w:pPr>
              <w:pStyle w:val="InitTextL"/>
              <w:ind w:left="321" w:hanging="321"/>
            </w:pPr>
            <w:r w:rsidRPr="00882BE2">
              <w:t>Expenses</w:t>
            </w:r>
          </w:p>
        </w:tc>
        <w:tc>
          <w:tcPr>
            <w:tcW w:w="1179" w:type="dxa"/>
          </w:tcPr>
          <w:p w14:paraId="22D27A0A" w14:textId="77777777" w:rsidR="00CF0E2D" w:rsidRPr="00424DA4" w:rsidRDefault="00CF0E2D" w:rsidP="00A60D4B">
            <w:pPr>
              <w:pStyle w:val="InitFigR"/>
            </w:pPr>
            <w:r>
              <w:t>500</w:t>
            </w:r>
          </w:p>
        </w:tc>
        <w:tc>
          <w:tcPr>
            <w:tcW w:w="1041" w:type="dxa"/>
          </w:tcPr>
          <w:p w14:paraId="7FA08867" w14:textId="77777777" w:rsidR="00CF0E2D" w:rsidRPr="00424DA4" w:rsidRDefault="00CF0E2D" w:rsidP="00A60D4B">
            <w:pPr>
              <w:pStyle w:val="InitFigR"/>
            </w:pPr>
            <w:r>
              <w:t>524</w:t>
            </w:r>
          </w:p>
        </w:tc>
        <w:tc>
          <w:tcPr>
            <w:tcW w:w="1029" w:type="dxa"/>
          </w:tcPr>
          <w:p w14:paraId="4C9DCF27" w14:textId="77777777" w:rsidR="00CF0E2D" w:rsidRPr="00424DA4" w:rsidRDefault="00CF0E2D" w:rsidP="00A60D4B">
            <w:pPr>
              <w:pStyle w:val="InitFigR"/>
            </w:pPr>
            <w:r>
              <w:t>537</w:t>
            </w:r>
          </w:p>
        </w:tc>
        <w:tc>
          <w:tcPr>
            <w:tcW w:w="1029" w:type="dxa"/>
          </w:tcPr>
          <w:p w14:paraId="5D20EF32" w14:textId="77777777" w:rsidR="00CF0E2D" w:rsidRPr="00424DA4" w:rsidRDefault="00CF0E2D" w:rsidP="00A60D4B">
            <w:pPr>
              <w:pStyle w:val="InitFigR"/>
            </w:pPr>
            <w:r>
              <w:t>651</w:t>
            </w:r>
          </w:p>
        </w:tc>
        <w:tc>
          <w:tcPr>
            <w:tcW w:w="1029" w:type="dxa"/>
          </w:tcPr>
          <w:p w14:paraId="53853DCF" w14:textId="77777777" w:rsidR="00CF0E2D" w:rsidRPr="00424DA4" w:rsidRDefault="00CF0E2D" w:rsidP="00A60D4B">
            <w:pPr>
              <w:pStyle w:val="InitFigBR"/>
            </w:pPr>
            <w:r>
              <w:t>2,212</w:t>
            </w:r>
          </w:p>
        </w:tc>
      </w:tr>
      <w:tr w:rsidR="00CF0E2D" w:rsidRPr="00750793" w14:paraId="4D25AE8C" w14:textId="77777777" w:rsidTr="00A60D4B">
        <w:trPr>
          <w:cantSplit/>
          <w:jc w:val="center"/>
        </w:trPr>
        <w:tc>
          <w:tcPr>
            <w:tcW w:w="3652" w:type="dxa"/>
          </w:tcPr>
          <w:p w14:paraId="73EBE036" w14:textId="77777777" w:rsidR="00CF0E2D" w:rsidRDefault="00CF0E2D" w:rsidP="00A60D4B">
            <w:pPr>
              <w:pStyle w:val="InitTextL"/>
              <w:ind w:left="321" w:hanging="321"/>
            </w:pPr>
            <w:r>
              <w:t>Offset – Health Funding Envelope</w:t>
            </w:r>
          </w:p>
        </w:tc>
        <w:tc>
          <w:tcPr>
            <w:tcW w:w="1179" w:type="dxa"/>
          </w:tcPr>
          <w:p w14:paraId="3B057D84" w14:textId="77777777" w:rsidR="00CF0E2D" w:rsidRPr="00424DA4" w:rsidRDefault="00CF0E2D" w:rsidP="00A60D4B">
            <w:pPr>
              <w:pStyle w:val="InitFigR"/>
            </w:pPr>
            <w:r>
              <w:t>-250</w:t>
            </w:r>
          </w:p>
        </w:tc>
        <w:tc>
          <w:tcPr>
            <w:tcW w:w="1041" w:type="dxa"/>
          </w:tcPr>
          <w:p w14:paraId="5CACFB35" w14:textId="77777777" w:rsidR="00CF0E2D" w:rsidRPr="00424DA4" w:rsidRDefault="00CF0E2D" w:rsidP="00A60D4B">
            <w:pPr>
              <w:pStyle w:val="InitFigR"/>
            </w:pPr>
            <w:r>
              <w:t>-524</w:t>
            </w:r>
          </w:p>
        </w:tc>
        <w:tc>
          <w:tcPr>
            <w:tcW w:w="1029" w:type="dxa"/>
          </w:tcPr>
          <w:p w14:paraId="732DFA51" w14:textId="77777777" w:rsidR="00CF0E2D" w:rsidRPr="00424DA4" w:rsidRDefault="00CF0E2D" w:rsidP="00A60D4B">
            <w:pPr>
              <w:pStyle w:val="InitFigR"/>
            </w:pPr>
            <w:r>
              <w:t>-537</w:t>
            </w:r>
          </w:p>
        </w:tc>
        <w:tc>
          <w:tcPr>
            <w:tcW w:w="1029" w:type="dxa"/>
          </w:tcPr>
          <w:p w14:paraId="45E8DC01" w14:textId="77777777" w:rsidR="00CF0E2D" w:rsidRPr="00424DA4" w:rsidRDefault="00CF0E2D" w:rsidP="00A60D4B">
            <w:pPr>
              <w:pStyle w:val="InitFigR"/>
            </w:pPr>
            <w:r>
              <w:t>-651</w:t>
            </w:r>
          </w:p>
        </w:tc>
        <w:tc>
          <w:tcPr>
            <w:tcW w:w="1029" w:type="dxa"/>
          </w:tcPr>
          <w:p w14:paraId="114CDF78" w14:textId="77777777" w:rsidR="00CF0E2D" w:rsidRPr="00424DA4" w:rsidRDefault="00CF0E2D" w:rsidP="00A60D4B">
            <w:pPr>
              <w:pStyle w:val="InitFigBR"/>
            </w:pPr>
            <w:r>
              <w:t>-1,962</w:t>
            </w:r>
          </w:p>
        </w:tc>
      </w:tr>
      <w:tr w:rsidR="00CF0E2D" w:rsidRPr="00750793" w14:paraId="731A977E" w14:textId="77777777" w:rsidTr="00A60D4B">
        <w:trPr>
          <w:cantSplit/>
          <w:trHeight w:val="107"/>
          <w:jc w:val="center"/>
        </w:trPr>
        <w:tc>
          <w:tcPr>
            <w:tcW w:w="3652" w:type="dxa"/>
            <w:tcBorders>
              <w:top w:val="single" w:sz="4" w:space="0" w:color="auto"/>
              <w:bottom w:val="single" w:sz="4" w:space="0" w:color="auto"/>
            </w:tcBorders>
          </w:tcPr>
          <w:p w14:paraId="39A6144A" w14:textId="07F118E3" w:rsidR="00CF0E2D" w:rsidRPr="00DA5279"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33653626" w14:textId="77777777" w:rsidR="00CF0E2D" w:rsidRDefault="00CF0E2D" w:rsidP="00A60D4B">
            <w:pPr>
              <w:pStyle w:val="InitFigRBold"/>
            </w:pPr>
            <w:r>
              <w:t>250</w:t>
            </w:r>
          </w:p>
        </w:tc>
        <w:tc>
          <w:tcPr>
            <w:tcW w:w="1041" w:type="dxa"/>
            <w:tcBorders>
              <w:top w:val="single" w:sz="4" w:space="0" w:color="auto"/>
              <w:bottom w:val="single" w:sz="4" w:space="0" w:color="auto"/>
            </w:tcBorders>
          </w:tcPr>
          <w:p w14:paraId="4CDB0C6C" w14:textId="77777777" w:rsidR="00CF0E2D" w:rsidRDefault="00CF0E2D" w:rsidP="00A60D4B">
            <w:pPr>
              <w:pStyle w:val="InitFigRBold"/>
            </w:pPr>
            <w:r>
              <w:t>0</w:t>
            </w:r>
          </w:p>
        </w:tc>
        <w:tc>
          <w:tcPr>
            <w:tcW w:w="1029" w:type="dxa"/>
            <w:tcBorders>
              <w:top w:val="single" w:sz="4" w:space="0" w:color="auto"/>
              <w:bottom w:val="single" w:sz="4" w:space="0" w:color="auto"/>
            </w:tcBorders>
          </w:tcPr>
          <w:p w14:paraId="0A78630E" w14:textId="77777777" w:rsidR="00CF0E2D" w:rsidRDefault="00CF0E2D" w:rsidP="00A60D4B">
            <w:pPr>
              <w:pStyle w:val="InitFigRBold"/>
            </w:pPr>
            <w:r>
              <w:t>0</w:t>
            </w:r>
          </w:p>
        </w:tc>
        <w:tc>
          <w:tcPr>
            <w:tcW w:w="1029" w:type="dxa"/>
            <w:tcBorders>
              <w:top w:val="single" w:sz="4" w:space="0" w:color="auto"/>
              <w:bottom w:val="single" w:sz="4" w:space="0" w:color="auto"/>
            </w:tcBorders>
          </w:tcPr>
          <w:p w14:paraId="477CBF11" w14:textId="77777777" w:rsidR="00CF0E2D" w:rsidRDefault="00CF0E2D" w:rsidP="00A60D4B">
            <w:pPr>
              <w:pStyle w:val="InitFigRBold"/>
            </w:pPr>
            <w:r>
              <w:t>0</w:t>
            </w:r>
          </w:p>
        </w:tc>
        <w:tc>
          <w:tcPr>
            <w:tcW w:w="1029" w:type="dxa"/>
            <w:tcBorders>
              <w:top w:val="single" w:sz="4" w:space="0" w:color="auto"/>
              <w:bottom w:val="single" w:sz="4" w:space="0" w:color="auto"/>
            </w:tcBorders>
          </w:tcPr>
          <w:p w14:paraId="17BAC4BF" w14:textId="77777777" w:rsidR="00CF0E2D" w:rsidRPr="00DA5279" w:rsidRDefault="00CF0E2D" w:rsidP="00A60D4B">
            <w:pPr>
              <w:pStyle w:val="InitFigRBold"/>
              <w:rPr>
                <w:bCs/>
              </w:rPr>
            </w:pPr>
            <w:r>
              <w:rPr>
                <w:bCs/>
              </w:rPr>
              <w:t>250</w:t>
            </w:r>
          </w:p>
        </w:tc>
      </w:tr>
    </w:tbl>
    <w:p w14:paraId="5E32C13F" w14:textId="77777777" w:rsidR="00CF0E2D" w:rsidRDefault="00CF0E2D" w:rsidP="00A60D4B">
      <w:pPr>
        <w:pStyle w:val="Bbodytext"/>
      </w:pPr>
      <w:r>
        <w:t xml:space="preserve">The Government will provide </w:t>
      </w:r>
      <w:r w:rsidRPr="008574CD">
        <w:t xml:space="preserve">ongoing funding for a </w:t>
      </w:r>
      <w:r>
        <w:t>c</w:t>
      </w:r>
      <w:r w:rsidRPr="008574CD">
        <w:t xml:space="preserve">ulturally </w:t>
      </w:r>
      <w:r>
        <w:t>a</w:t>
      </w:r>
      <w:r w:rsidRPr="008574CD">
        <w:t>ppropriate Aboriginal and Torres Strait Islander Suicide Prevention Program</w:t>
      </w:r>
      <w:r>
        <w:t xml:space="preserve"> that focusses on</w:t>
      </w:r>
      <w:r w:rsidRPr="008574CD">
        <w:t xml:space="preserve"> community-based suicide prevention, intervention, postvention and aftercare</w:t>
      </w:r>
      <w:r>
        <w:t>.</w:t>
      </w:r>
    </w:p>
    <w:p w14:paraId="5C2C6D1F" w14:textId="77777777" w:rsidR="00CF0E2D" w:rsidRDefault="00CF0E2D" w:rsidP="00A60D4B">
      <w:pPr>
        <w:pStyle w:val="Bbodytext"/>
      </w:pPr>
      <w:r>
        <w:t xml:space="preserve">This initiative builds on </w:t>
      </w:r>
      <w:r w:rsidRPr="005F4BB9">
        <w:t xml:space="preserve">the pilot for a targeted support service for Aboriginal and Torres Strait Islanders experiencing mental and emotional distress in a culturally safe manner, which was part of the </w:t>
      </w:r>
      <w:r>
        <w:t>2020-21</w:t>
      </w:r>
      <w:r w:rsidRPr="005F4BB9">
        <w:t xml:space="preserve"> COVID-19 Mental Health Support Package.</w:t>
      </w:r>
    </w:p>
    <w:p w14:paraId="2F6312EF" w14:textId="77777777" w:rsidR="00CF0E2D" w:rsidRDefault="00CF0E2D" w:rsidP="00A60D4B">
      <w:pPr>
        <w:pStyle w:val="Bbodytext"/>
      </w:pPr>
      <w:r>
        <w:t>This initiative</w:t>
      </w:r>
      <w:r w:rsidRPr="006A6578">
        <w:t xml:space="preserve"> contributes to the wellbeing domain</w:t>
      </w:r>
      <w:r>
        <w:t>s</w:t>
      </w:r>
      <w:r w:rsidRPr="006A6578">
        <w:t xml:space="preserve"> of </w:t>
      </w:r>
      <w:r>
        <w:t>Health and Access and connectivity.</w:t>
      </w:r>
    </w:p>
    <w:p w14:paraId="06DA180B" w14:textId="77777777" w:rsidR="00CF0E2D" w:rsidRDefault="00CF0E2D" w:rsidP="00A60D4B">
      <w:pPr>
        <w:pStyle w:val="Bbodytext"/>
      </w:pPr>
    </w:p>
    <w:p w14:paraId="77D920D4" w14:textId="77777777" w:rsidR="00CF0E2D" w:rsidRPr="001952D1" w:rsidRDefault="00CF0E2D" w:rsidP="00A60D4B">
      <w:pPr>
        <w:pStyle w:val="Heading4"/>
        <w:rPr>
          <w:rFonts w:eastAsia="Times New Roman"/>
        </w:rPr>
      </w:pPr>
      <w:r w:rsidRPr="001952D1">
        <w:rPr>
          <w:rFonts w:eastAsia="Times New Roman"/>
        </w:rPr>
        <w:t xml:space="preserve">Better care in the community – Addressing unmet need in sexual health support for people with disability </w:t>
      </w:r>
      <w:r>
        <w:rPr>
          <w:b w:val="0"/>
          <w:noProof/>
          <w:color w:val="999789"/>
          <w:sz w:val="32"/>
          <w:szCs w:val="24"/>
        </w:rPr>
        <w:drawing>
          <wp:anchor distT="0" distB="0" distL="114300" distR="114300" simplePos="0" relativeHeight="251859968" behindDoc="0" locked="1" layoutInCell="1" allowOverlap="1" wp14:anchorId="1AFD1DF4" wp14:editId="7B72E431">
            <wp:simplePos x="0" y="0"/>
            <wp:positionH relativeFrom="margin">
              <wp:align>right</wp:align>
            </wp:positionH>
            <wp:positionV relativeFrom="paragraph">
              <wp:posOffset>85090</wp:posOffset>
            </wp:positionV>
            <wp:extent cx="993140" cy="503555"/>
            <wp:effectExtent l="0" t="0" r="0" b="0"/>
            <wp:wrapSquare wrapText="bothSides"/>
            <wp:docPr id="159" name="Picture 159"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3DEFF22E" w14:textId="77777777" w:rsidTr="00A60D4B">
        <w:trPr>
          <w:cantSplit/>
          <w:jc w:val="center"/>
        </w:trPr>
        <w:tc>
          <w:tcPr>
            <w:tcW w:w="3652" w:type="dxa"/>
            <w:tcBorders>
              <w:top w:val="single" w:sz="4" w:space="0" w:color="auto"/>
              <w:bottom w:val="single" w:sz="4" w:space="0" w:color="auto"/>
            </w:tcBorders>
          </w:tcPr>
          <w:p w14:paraId="5FCD661E"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65D36589" w14:textId="77777777" w:rsidR="00CF0E2D" w:rsidRPr="00987EB8" w:rsidRDefault="00CF0E2D" w:rsidP="00A60D4B">
            <w:pPr>
              <w:pStyle w:val="InitFigR"/>
              <w:rPr>
                <w:b/>
                <w:bCs/>
              </w:rPr>
            </w:pPr>
            <w:r w:rsidRPr="00987EB8">
              <w:rPr>
                <w:b/>
                <w:bCs/>
              </w:rPr>
              <w:t>2021-22</w:t>
            </w:r>
          </w:p>
          <w:p w14:paraId="79EB3466" w14:textId="77777777" w:rsidR="00CF0E2D" w:rsidRPr="00987EB8" w:rsidRDefault="00CF0E2D" w:rsidP="00A60D4B">
            <w:pPr>
              <w:pStyle w:val="InitFigR"/>
              <w:rPr>
                <w:b/>
                <w:bCs/>
              </w:rPr>
            </w:pPr>
            <w:r w:rsidRPr="00987EB8">
              <w:rPr>
                <w:b/>
                <w:bCs/>
              </w:rPr>
              <w:t>$’000</w:t>
            </w:r>
          </w:p>
        </w:tc>
        <w:tc>
          <w:tcPr>
            <w:tcW w:w="1041" w:type="dxa"/>
            <w:tcBorders>
              <w:top w:val="single" w:sz="4" w:space="0" w:color="auto"/>
              <w:bottom w:val="single" w:sz="4" w:space="0" w:color="auto"/>
            </w:tcBorders>
          </w:tcPr>
          <w:p w14:paraId="4F462204" w14:textId="77777777" w:rsidR="00CF0E2D" w:rsidRPr="00987EB8" w:rsidRDefault="00CF0E2D" w:rsidP="00A60D4B">
            <w:pPr>
              <w:pStyle w:val="InitFigR"/>
              <w:rPr>
                <w:b/>
                <w:bCs/>
              </w:rPr>
            </w:pPr>
            <w:r w:rsidRPr="00987EB8">
              <w:rPr>
                <w:b/>
                <w:bCs/>
              </w:rPr>
              <w:t>2022-23</w:t>
            </w:r>
          </w:p>
          <w:p w14:paraId="5093E21F"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5456A3F7" w14:textId="77777777" w:rsidR="00CF0E2D" w:rsidRPr="00987EB8" w:rsidRDefault="00CF0E2D" w:rsidP="00A60D4B">
            <w:pPr>
              <w:pStyle w:val="InitFigR"/>
              <w:rPr>
                <w:b/>
                <w:bCs/>
              </w:rPr>
            </w:pPr>
            <w:r w:rsidRPr="00987EB8">
              <w:rPr>
                <w:b/>
                <w:bCs/>
              </w:rPr>
              <w:t>2023-24</w:t>
            </w:r>
          </w:p>
          <w:p w14:paraId="1ADD195E"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2F22EE6F" w14:textId="77777777" w:rsidR="00CF0E2D" w:rsidRPr="00987EB8" w:rsidRDefault="00CF0E2D" w:rsidP="00A60D4B">
            <w:pPr>
              <w:pStyle w:val="InitFigR"/>
              <w:rPr>
                <w:b/>
                <w:bCs/>
              </w:rPr>
            </w:pPr>
            <w:r w:rsidRPr="00987EB8">
              <w:rPr>
                <w:b/>
                <w:bCs/>
              </w:rPr>
              <w:t>2024-25</w:t>
            </w:r>
          </w:p>
          <w:p w14:paraId="6A21F682"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33FABF6E" w14:textId="77777777" w:rsidR="00CF0E2D" w:rsidRPr="004E341E" w:rsidRDefault="00CF0E2D" w:rsidP="00A60D4B">
            <w:pPr>
              <w:pStyle w:val="InitFigRBold"/>
            </w:pPr>
            <w:r w:rsidRPr="004E341E">
              <w:t>Total</w:t>
            </w:r>
          </w:p>
          <w:p w14:paraId="358EAF83" w14:textId="77777777" w:rsidR="00CF0E2D" w:rsidRPr="004E341E" w:rsidRDefault="00CF0E2D" w:rsidP="00A60D4B">
            <w:pPr>
              <w:pStyle w:val="InitFigBR"/>
            </w:pPr>
            <w:r w:rsidRPr="004E341E">
              <w:t>$’000</w:t>
            </w:r>
          </w:p>
        </w:tc>
      </w:tr>
      <w:tr w:rsidR="00CF0E2D" w:rsidRPr="00750793" w14:paraId="4DFFA66B" w14:textId="77777777" w:rsidTr="00A60D4B">
        <w:trPr>
          <w:cantSplit/>
          <w:jc w:val="center"/>
        </w:trPr>
        <w:tc>
          <w:tcPr>
            <w:tcW w:w="3652" w:type="dxa"/>
          </w:tcPr>
          <w:p w14:paraId="392AB464" w14:textId="77777777" w:rsidR="00CF0E2D" w:rsidRPr="00F13FAB" w:rsidRDefault="00CF0E2D" w:rsidP="00A60D4B">
            <w:pPr>
              <w:pStyle w:val="InitTextL"/>
              <w:ind w:left="321" w:hanging="321"/>
            </w:pPr>
            <w:r w:rsidRPr="00882BE2">
              <w:t>Expenses</w:t>
            </w:r>
          </w:p>
        </w:tc>
        <w:tc>
          <w:tcPr>
            <w:tcW w:w="1179" w:type="dxa"/>
          </w:tcPr>
          <w:p w14:paraId="36572676" w14:textId="77777777" w:rsidR="00CF0E2D" w:rsidRPr="00424DA4" w:rsidRDefault="00CF0E2D" w:rsidP="00A60D4B">
            <w:pPr>
              <w:pStyle w:val="InitFigR"/>
            </w:pPr>
            <w:r w:rsidRPr="00D74224">
              <w:t>125</w:t>
            </w:r>
          </w:p>
        </w:tc>
        <w:tc>
          <w:tcPr>
            <w:tcW w:w="1041" w:type="dxa"/>
          </w:tcPr>
          <w:p w14:paraId="486B574E" w14:textId="77777777" w:rsidR="00CF0E2D" w:rsidRPr="00424DA4" w:rsidRDefault="00CF0E2D" w:rsidP="00A60D4B">
            <w:pPr>
              <w:pStyle w:val="InitFigR"/>
            </w:pPr>
            <w:r w:rsidRPr="00D74224">
              <w:t>256</w:t>
            </w:r>
          </w:p>
        </w:tc>
        <w:tc>
          <w:tcPr>
            <w:tcW w:w="1029" w:type="dxa"/>
          </w:tcPr>
          <w:p w14:paraId="59012E64" w14:textId="77777777" w:rsidR="00CF0E2D" w:rsidRPr="00424DA4" w:rsidRDefault="00CF0E2D" w:rsidP="00A60D4B">
            <w:pPr>
              <w:pStyle w:val="InitFigR"/>
            </w:pPr>
            <w:r w:rsidRPr="00D74224">
              <w:t>263</w:t>
            </w:r>
          </w:p>
        </w:tc>
        <w:tc>
          <w:tcPr>
            <w:tcW w:w="1029" w:type="dxa"/>
          </w:tcPr>
          <w:p w14:paraId="1D5D911D" w14:textId="77777777" w:rsidR="00CF0E2D" w:rsidRPr="00424DA4" w:rsidRDefault="00CF0E2D" w:rsidP="00A60D4B">
            <w:pPr>
              <w:pStyle w:val="InitFigR"/>
            </w:pPr>
            <w:r w:rsidRPr="00D74224">
              <w:t>269</w:t>
            </w:r>
          </w:p>
        </w:tc>
        <w:tc>
          <w:tcPr>
            <w:tcW w:w="1029" w:type="dxa"/>
          </w:tcPr>
          <w:p w14:paraId="2994D6C2" w14:textId="77777777" w:rsidR="00CF0E2D" w:rsidRPr="00424DA4" w:rsidRDefault="00CF0E2D" w:rsidP="00A60D4B">
            <w:pPr>
              <w:pStyle w:val="InitFigBR"/>
            </w:pPr>
            <w:r w:rsidRPr="00D74224">
              <w:t>913</w:t>
            </w:r>
          </w:p>
        </w:tc>
      </w:tr>
      <w:tr w:rsidR="00CF0E2D" w:rsidRPr="00750793" w14:paraId="07C90521" w14:textId="77777777" w:rsidTr="00A60D4B">
        <w:trPr>
          <w:cantSplit/>
          <w:jc w:val="center"/>
        </w:trPr>
        <w:tc>
          <w:tcPr>
            <w:tcW w:w="3652" w:type="dxa"/>
          </w:tcPr>
          <w:p w14:paraId="63A03DD2" w14:textId="77777777" w:rsidR="00CF0E2D" w:rsidRDefault="00CF0E2D" w:rsidP="00A60D4B">
            <w:pPr>
              <w:pStyle w:val="InitTextL"/>
              <w:ind w:left="321" w:hanging="321"/>
            </w:pPr>
            <w:r>
              <w:t>Offset – Health Funding Envelope</w:t>
            </w:r>
          </w:p>
        </w:tc>
        <w:tc>
          <w:tcPr>
            <w:tcW w:w="1179" w:type="dxa"/>
          </w:tcPr>
          <w:p w14:paraId="15709129" w14:textId="77777777" w:rsidR="00CF0E2D" w:rsidRPr="00424DA4" w:rsidRDefault="00CF0E2D" w:rsidP="00A60D4B">
            <w:pPr>
              <w:pStyle w:val="InitFigR"/>
            </w:pPr>
            <w:r>
              <w:t>-</w:t>
            </w:r>
            <w:r w:rsidRPr="00D74224">
              <w:t>125</w:t>
            </w:r>
          </w:p>
        </w:tc>
        <w:tc>
          <w:tcPr>
            <w:tcW w:w="1041" w:type="dxa"/>
          </w:tcPr>
          <w:p w14:paraId="1A7D8CA4" w14:textId="77777777" w:rsidR="00CF0E2D" w:rsidRPr="00424DA4" w:rsidRDefault="00CF0E2D" w:rsidP="00A60D4B">
            <w:pPr>
              <w:pStyle w:val="InitFigR"/>
            </w:pPr>
            <w:r>
              <w:t>-</w:t>
            </w:r>
            <w:r w:rsidRPr="00D74224">
              <w:t>256</w:t>
            </w:r>
          </w:p>
        </w:tc>
        <w:tc>
          <w:tcPr>
            <w:tcW w:w="1029" w:type="dxa"/>
          </w:tcPr>
          <w:p w14:paraId="5D8932A3" w14:textId="77777777" w:rsidR="00CF0E2D" w:rsidRPr="00424DA4" w:rsidRDefault="00CF0E2D" w:rsidP="00A60D4B">
            <w:pPr>
              <w:pStyle w:val="InitFigR"/>
            </w:pPr>
            <w:r>
              <w:t>-</w:t>
            </w:r>
            <w:r w:rsidRPr="00D74224">
              <w:t>263</w:t>
            </w:r>
          </w:p>
        </w:tc>
        <w:tc>
          <w:tcPr>
            <w:tcW w:w="1029" w:type="dxa"/>
          </w:tcPr>
          <w:p w14:paraId="736886DB" w14:textId="77777777" w:rsidR="00CF0E2D" w:rsidRPr="00424DA4" w:rsidRDefault="00CF0E2D" w:rsidP="00A60D4B">
            <w:pPr>
              <w:pStyle w:val="InitFigR"/>
            </w:pPr>
            <w:r>
              <w:t>-</w:t>
            </w:r>
            <w:r w:rsidRPr="00D74224">
              <w:t>269</w:t>
            </w:r>
          </w:p>
        </w:tc>
        <w:tc>
          <w:tcPr>
            <w:tcW w:w="1029" w:type="dxa"/>
          </w:tcPr>
          <w:p w14:paraId="0C0A7221" w14:textId="77777777" w:rsidR="00CF0E2D" w:rsidRPr="00424DA4" w:rsidRDefault="00CF0E2D" w:rsidP="00A60D4B">
            <w:pPr>
              <w:pStyle w:val="InitFigBR"/>
            </w:pPr>
            <w:r>
              <w:t>-</w:t>
            </w:r>
            <w:r w:rsidRPr="00D74224">
              <w:t>913</w:t>
            </w:r>
          </w:p>
        </w:tc>
      </w:tr>
      <w:tr w:rsidR="00CF0E2D" w:rsidRPr="00750793" w14:paraId="5D40F3DA" w14:textId="77777777" w:rsidTr="00A60D4B">
        <w:trPr>
          <w:cantSplit/>
          <w:trHeight w:val="107"/>
          <w:jc w:val="center"/>
        </w:trPr>
        <w:tc>
          <w:tcPr>
            <w:tcW w:w="3652" w:type="dxa"/>
            <w:tcBorders>
              <w:top w:val="single" w:sz="4" w:space="0" w:color="auto"/>
              <w:bottom w:val="single" w:sz="4" w:space="0" w:color="auto"/>
            </w:tcBorders>
          </w:tcPr>
          <w:p w14:paraId="45D66BC0" w14:textId="0C1B1074" w:rsidR="00CF0E2D" w:rsidRPr="00DA5279"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4DF07765" w14:textId="77777777" w:rsidR="00CF0E2D" w:rsidRDefault="00CF0E2D" w:rsidP="00A60D4B">
            <w:pPr>
              <w:pStyle w:val="InitFigRBold"/>
            </w:pPr>
            <w:r>
              <w:t>0</w:t>
            </w:r>
          </w:p>
        </w:tc>
        <w:tc>
          <w:tcPr>
            <w:tcW w:w="1041" w:type="dxa"/>
            <w:tcBorders>
              <w:top w:val="single" w:sz="4" w:space="0" w:color="auto"/>
              <w:bottom w:val="single" w:sz="4" w:space="0" w:color="auto"/>
            </w:tcBorders>
          </w:tcPr>
          <w:p w14:paraId="1D2144F2" w14:textId="77777777" w:rsidR="00CF0E2D" w:rsidRDefault="00CF0E2D" w:rsidP="00A60D4B">
            <w:pPr>
              <w:pStyle w:val="InitFigRBold"/>
            </w:pPr>
            <w:r>
              <w:t>0</w:t>
            </w:r>
          </w:p>
        </w:tc>
        <w:tc>
          <w:tcPr>
            <w:tcW w:w="1029" w:type="dxa"/>
            <w:tcBorders>
              <w:top w:val="single" w:sz="4" w:space="0" w:color="auto"/>
              <w:bottom w:val="single" w:sz="4" w:space="0" w:color="auto"/>
            </w:tcBorders>
          </w:tcPr>
          <w:p w14:paraId="205EB6EE" w14:textId="77777777" w:rsidR="00CF0E2D" w:rsidRDefault="00CF0E2D" w:rsidP="00A60D4B">
            <w:pPr>
              <w:pStyle w:val="InitFigRBold"/>
            </w:pPr>
            <w:r>
              <w:t>0</w:t>
            </w:r>
          </w:p>
        </w:tc>
        <w:tc>
          <w:tcPr>
            <w:tcW w:w="1029" w:type="dxa"/>
            <w:tcBorders>
              <w:top w:val="single" w:sz="4" w:space="0" w:color="auto"/>
              <w:bottom w:val="single" w:sz="4" w:space="0" w:color="auto"/>
            </w:tcBorders>
          </w:tcPr>
          <w:p w14:paraId="6C9C9915" w14:textId="77777777" w:rsidR="00CF0E2D" w:rsidRDefault="00CF0E2D" w:rsidP="00A60D4B">
            <w:pPr>
              <w:pStyle w:val="InitFigRBold"/>
            </w:pPr>
            <w:r>
              <w:t>0</w:t>
            </w:r>
          </w:p>
        </w:tc>
        <w:tc>
          <w:tcPr>
            <w:tcW w:w="1029" w:type="dxa"/>
            <w:tcBorders>
              <w:top w:val="single" w:sz="4" w:space="0" w:color="auto"/>
              <w:bottom w:val="single" w:sz="4" w:space="0" w:color="auto"/>
            </w:tcBorders>
          </w:tcPr>
          <w:p w14:paraId="4EA9A58D" w14:textId="77777777" w:rsidR="00CF0E2D" w:rsidRPr="00DA5279" w:rsidRDefault="00CF0E2D" w:rsidP="00A60D4B">
            <w:pPr>
              <w:pStyle w:val="InitFigRBold"/>
              <w:rPr>
                <w:bCs/>
              </w:rPr>
            </w:pPr>
            <w:r w:rsidRPr="00DA5279">
              <w:rPr>
                <w:bCs/>
              </w:rPr>
              <w:t>0</w:t>
            </w:r>
          </w:p>
        </w:tc>
      </w:tr>
    </w:tbl>
    <w:p w14:paraId="1FD7E609" w14:textId="77777777" w:rsidR="00CF0E2D" w:rsidRPr="00DC3B4F" w:rsidRDefault="00CF0E2D" w:rsidP="00A60D4B">
      <w:pPr>
        <w:pStyle w:val="Bbodytext"/>
      </w:pPr>
      <w:r w:rsidRPr="001952D1">
        <w:t xml:space="preserve">The Government will provide ongoing </w:t>
      </w:r>
      <w:r w:rsidRPr="00DC3B4F">
        <w:t>funding for Sexual Health and Family Planning ACT to provide sexual health education, information and support services for people with disability.</w:t>
      </w:r>
    </w:p>
    <w:p w14:paraId="38A0BA11" w14:textId="77777777" w:rsidR="00CF0E2D" w:rsidRDefault="00CF0E2D" w:rsidP="00A60D4B">
      <w:pPr>
        <w:pStyle w:val="Bbodytext"/>
      </w:pPr>
      <w:r w:rsidRPr="001952D1">
        <w:t>This initiative contributes to the wel</w:t>
      </w:r>
      <w:r w:rsidRPr="00DC3B4F">
        <w:t>lbeing domain of Health.</w:t>
      </w:r>
    </w:p>
    <w:p w14:paraId="090EED01" w14:textId="77777777" w:rsidR="00CF0E2D" w:rsidRPr="009470EB" w:rsidRDefault="00CF0E2D" w:rsidP="00A60D4B">
      <w:pPr>
        <w:pStyle w:val="Bbodytext"/>
      </w:pPr>
    </w:p>
    <w:p w14:paraId="1CA6F623" w14:textId="77777777" w:rsidR="00CF0E2D" w:rsidRPr="001254C3" w:rsidRDefault="00CF0E2D" w:rsidP="00A60D4B">
      <w:pPr>
        <w:pStyle w:val="Heading4"/>
      </w:pPr>
      <w:r w:rsidRPr="001254C3">
        <w:t>Better care in the community – Continuing the Mental Health Detention Exit Community Outreach</w:t>
      </w:r>
      <w:r>
        <w:t xml:space="preserve"> program</w:t>
      </w:r>
      <w:r w:rsidRPr="001254C3">
        <w:t xml:space="preserve">  </w:t>
      </w:r>
      <w:r>
        <w:rPr>
          <w:b w:val="0"/>
          <w:noProof/>
          <w:color w:val="999789"/>
          <w:sz w:val="32"/>
          <w:szCs w:val="24"/>
        </w:rPr>
        <w:drawing>
          <wp:anchor distT="0" distB="0" distL="114300" distR="114300" simplePos="0" relativeHeight="251860992" behindDoc="0" locked="1" layoutInCell="1" allowOverlap="1" wp14:anchorId="01A921BE" wp14:editId="508025E7">
            <wp:simplePos x="0" y="0"/>
            <wp:positionH relativeFrom="margin">
              <wp:align>right</wp:align>
            </wp:positionH>
            <wp:positionV relativeFrom="paragraph">
              <wp:posOffset>84455</wp:posOffset>
            </wp:positionV>
            <wp:extent cx="993140" cy="503555"/>
            <wp:effectExtent l="0" t="0" r="0" b="0"/>
            <wp:wrapSquare wrapText="bothSides"/>
            <wp:docPr id="160" name="Picture 160"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3342351E" w14:textId="77777777" w:rsidTr="00A60D4B">
        <w:trPr>
          <w:cantSplit/>
          <w:jc w:val="center"/>
        </w:trPr>
        <w:tc>
          <w:tcPr>
            <w:tcW w:w="3652" w:type="dxa"/>
            <w:tcBorders>
              <w:top w:val="single" w:sz="4" w:space="0" w:color="auto"/>
              <w:bottom w:val="single" w:sz="4" w:space="0" w:color="auto"/>
            </w:tcBorders>
          </w:tcPr>
          <w:p w14:paraId="4C3D6E16"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6BB525DF" w14:textId="77777777" w:rsidR="00CF0E2D" w:rsidRPr="006B3E0A" w:rsidRDefault="00CF0E2D" w:rsidP="00A60D4B">
            <w:pPr>
              <w:pStyle w:val="InitFigR"/>
              <w:rPr>
                <w:b/>
                <w:bCs/>
              </w:rPr>
            </w:pPr>
            <w:r w:rsidRPr="006B3E0A">
              <w:rPr>
                <w:b/>
                <w:bCs/>
              </w:rPr>
              <w:t>2021-22</w:t>
            </w:r>
          </w:p>
          <w:p w14:paraId="1F7ABAB9" w14:textId="77777777" w:rsidR="00CF0E2D" w:rsidRPr="006B3E0A" w:rsidRDefault="00CF0E2D" w:rsidP="00A60D4B">
            <w:pPr>
              <w:pStyle w:val="InitFigR"/>
              <w:rPr>
                <w:b/>
                <w:bCs/>
              </w:rPr>
            </w:pPr>
            <w:r w:rsidRPr="006B3E0A">
              <w:rPr>
                <w:b/>
                <w:bCs/>
              </w:rPr>
              <w:t>$’000</w:t>
            </w:r>
          </w:p>
        </w:tc>
        <w:tc>
          <w:tcPr>
            <w:tcW w:w="1041" w:type="dxa"/>
            <w:tcBorders>
              <w:top w:val="single" w:sz="4" w:space="0" w:color="auto"/>
              <w:bottom w:val="single" w:sz="4" w:space="0" w:color="auto"/>
            </w:tcBorders>
          </w:tcPr>
          <w:p w14:paraId="425A1576" w14:textId="77777777" w:rsidR="00CF0E2D" w:rsidRPr="006B3E0A" w:rsidRDefault="00CF0E2D" w:rsidP="00A60D4B">
            <w:pPr>
              <w:pStyle w:val="InitFigR"/>
              <w:rPr>
                <w:b/>
                <w:bCs/>
              </w:rPr>
            </w:pPr>
            <w:r w:rsidRPr="006B3E0A">
              <w:rPr>
                <w:b/>
                <w:bCs/>
              </w:rPr>
              <w:t>2022-23</w:t>
            </w:r>
          </w:p>
          <w:p w14:paraId="14F629EF" w14:textId="77777777" w:rsidR="00CF0E2D" w:rsidRPr="006B3E0A" w:rsidRDefault="00CF0E2D" w:rsidP="00A60D4B">
            <w:pPr>
              <w:pStyle w:val="InitFigR"/>
              <w:rPr>
                <w:b/>
                <w:bCs/>
              </w:rPr>
            </w:pPr>
            <w:r w:rsidRPr="006B3E0A">
              <w:rPr>
                <w:b/>
                <w:bCs/>
              </w:rPr>
              <w:t>$’000</w:t>
            </w:r>
          </w:p>
        </w:tc>
        <w:tc>
          <w:tcPr>
            <w:tcW w:w="1029" w:type="dxa"/>
            <w:tcBorders>
              <w:top w:val="single" w:sz="4" w:space="0" w:color="auto"/>
              <w:bottom w:val="single" w:sz="4" w:space="0" w:color="auto"/>
            </w:tcBorders>
          </w:tcPr>
          <w:p w14:paraId="42B3760A" w14:textId="77777777" w:rsidR="00CF0E2D" w:rsidRPr="006B3E0A" w:rsidRDefault="00CF0E2D" w:rsidP="00A60D4B">
            <w:pPr>
              <w:pStyle w:val="InitFigR"/>
              <w:rPr>
                <w:b/>
                <w:bCs/>
              </w:rPr>
            </w:pPr>
            <w:r w:rsidRPr="006B3E0A">
              <w:rPr>
                <w:b/>
                <w:bCs/>
              </w:rPr>
              <w:t>2023-24</w:t>
            </w:r>
          </w:p>
          <w:p w14:paraId="79C42AA8" w14:textId="77777777" w:rsidR="00CF0E2D" w:rsidRPr="006B3E0A" w:rsidRDefault="00CF0E2D" w:rsidP="00A60D4B">
            <w:pPr>
              <w:pStyle w:val="InitFigR"/>
              <w:rPr>
                <w:b/>
                <w:bCs/>
              </w:rPr>
            </w:pPr>
            <w:r w:rsidRPr="006B3E0A">
              <w:rPr>
                <w:b/>
                <w:bCs/>
              </w:rPr>
              <w:t>$’000</w:t>
            </w:r>
          </w:p>
        </w:tc>
        <w:tc>
          <w:tcPr>
            <w:tcW w:w="1029" w:type="dxa"/>
            <w:tcBorders>
              <w:top w:val="single" w:sz="4" w:space="0" w:color="auto"/>
              <w:bottom w:val="single" w:sz="4" w:space="0" w:color="auto"/>
            </w:tcBorders>
          </w:tcPr>
          <w:p w14:paraId="75A564BE" w14:textId="77777777" w:rsidR="00CF0E2D" w:rsidRPr="006B3E0A" w:rsidRDefault="00CF0E2D" w:rsidP="00A60D4B">
            <w:pPr>
              <w:pStyle w:val="InitFigR"/>
              <w:rPr>
                <w:b/>
                <w:bCs/>
              </w:rPr>
            </w:pPr>
            <w:r w:rsidRPr="006B3E0A">
              <w:rPr>
                <w:b/>
                <w:bCs/>
              </w:rPr>
              <w:t>2024-25</w:t>
            </w:r>
          </w:p>
          <w:p w14:paraId="6516B4A6" w14:textId="77777777" w:rsidR="00CF0E2D" w:rsidRPr="006B3E0A" w:rsidRDefault="00CF0E2D" w:rsidP="00A60D4B">
            <w:pPr>
              <w:pStyle w:val="InitFigR"/>
              <w:rPr>
                <w:b/>
                <w:bCs/>
              </w:rPr>
            </w:pPr>
            <w:r w:rsidRPr="006B3E0A">
              <w:rPr>
                <w:b/>
                <w:bCs/>
              </w:rPr>
              <w:t>$’000</w:t>
            </w:r>
          </w:p>
        </w:tc>
        <w:tc>
          <w:tcPr>
            <w:tcW w:w="1029" w:type="dxa"/>
            <w:tcBorders>
              <w:top w:val="single" w:sz="4" w:space="0" w:color="auto"/>
              <w:bottom w:val="single" w:sz="4" w:space="0" w:color="auto"/>
            </w:tcBorders>
          </w:tcPr>
          <w:p w14:paraId="331D263D" w14:textId="77777777" w:rsidR="00CF0E2D" w:rsidRPr="004E341E" w:rsidRDefault="00CF0E2D" w:rsidP="00A60D4B">
            <w:pPr>
              <w:pStyle w:val="InitFigRBold"/>
            </w:pPr>
            <w:r w:rsidRPr="004E341E">
              <w:t>Total</w:t>
            </w:r>
          </w:p>
          <w:p w14:paraId="0050B526" w14:textId="77777777" w:rsidR="00CF0E2D" w:rsidRPr="004E341E" w:rsidRDefault="00CF0E2D" w:rsidP="00A60D4B">
            <w:pPr>
              <w:pStyle w:val="InitFigBR"/>
            </w:pPr>
            <w:r w:rsidRPr="004E341E">
              <w:t>$’000</w:t>
            </w:r>
          </w:p>
        </w:tc>
      </w:tr>
      <w:tr w:rsidR="00CF0E2D" w:rsidRPr="00750793" w14:paraId="00B8B247" w14:textId="77777777" w:rsidTr="00A60D4B">
        <w:trPr>
          <w:cantSplit/>
          <w:jc w:val="center"/>
        </w:trPr>
        <w:tc>
          <w:tcPr>
            <w:tcW w:w="3652" w:type="dxa"/>
          </w:tcPr>
          <w:p w14:paraId="0DFC903A" w14:textId="77777777" w:rsidR="00CF0E2D" w:rsidRPr="00F13FAB" w:rsidRDefault="00CF0E2D" w:rsidP="00A60D4B">
            <w:pPr>
              <w:pStyle w:val="InitTextL"/>
              <w:ind w:left="321" w:hanging="321"/>
            </w:pPr>
            <w:r w:rsidRPr="00882BE2">
              <w:t>Expenses</w:t>
            </w:r>
          </w:p>
        </w:tc>
        <w:tc>
          <w:tcPr>
            <w:tcW w:w="1179" w:type="dxa"/>
          </w:tcPr>
          <w:p w14:paraId="2D35B825" w14:textId="77777777" w:rsidR="00CF0E2D" w:rsidRPr="00424DA4" w:rsidRDefault="00CF0E2D" w:rsidP="00A60D4B">
            <w:pPr>
              <w:pStyle w:val="InitFigR"/>
            </w:pPr>
            <w:r>
              <w:t>300</w:t>
            </w:r>
          </w:p>
        </w:tc>
        <w:tc>
          <w:tcPr>
            <w:tcW w:w="1041" w:type="dxa"/>
          </w:tcPr>
          <w:p w14:paraId="00E62A54" w14:textId="77777777" w:rsidR="00CF0E2D" w:rsidRPr="00424DA4" w:rsidRDefault="00CF0E2D" w:rsidP="00A60D4B">
            <w:pPr>
              <w:pStyle w:val="InitFigR"/>
            </w:pPr>
            <w:r w:rsidRPr="003F575F">
              <w:t>308</w:t>
            </w:r>
          </w:p>
        </w:tc>
        <w:tc>
          <w:tcPr>
            <w:tcW w:w="1029" w:type="dxa"/>
          </w:tcPr>
          <w:p w14:paraId="18F2858D" w14:textId="77777777" w:rsidR="00CF0E2D" w:rsidRPr="00424DA4" w:rsidRDefault="00CF0E2D" w:rsidP="00A60D4B">
            <w:pPr>
              <w:pStyle w:val="InitFigR"/>
            </w:pPr>
            <w:r>
              <w:t>3</w:t>
            </w:r>
            <w:r w:rsidRPr="003F575F">
              <w:t>15</w:t>
            </w:r>
          </w:p>
        </w:tc>
        <w:tc>
          <w:tcPr>
            <w:tcW w:w="1029" w:type="dxa"/>
          </w:tcPr>
          <w:p w14:paraId="2AFA2C12" w14:textId="77777777" w:rsidR="00CF0E2D" w:rsidRPr="00424DA4" w:rsidRDefault="00CF0E2D" w:rsidP="00A60D4B">
            <w:pPr>
              <w:pStyle w:val="InitFigR"/>
            </w:pPr>
            <w:r>
              <w:t>0</w:t>
            </w:r>
          </w:p>
        </w:tc>
        <w:tc>
          <w:tcPr>
            <w:tcW w:w="1029" w:type="dxa"/>
          </w:tcPr>
          <w:p w14:paraId="5A797635" w14:textId="77777777" w:rsidR="00CF0E2D" w:rsidRPr="00424DA4" w:rsidRDefault="00CF0E2D" w:rsidP="00A60D4B">
            <w:pPr>
              <w:pStyle w:val="InitFigBR"/>
            </w:pPr>
            <w:r>
              <w:t>92</w:t>
            </w:r>
            <w:r w:rsidRPr="003F575F">
              <w:t>3</w:t>
            </w:r>
          </w:p>
        </w:tc>
      </w:tr>
      <w:tr w:rsidR="00CF0E2D" w:rsidRPr="00750793" w14:paraId="2CDB0AD6" w14:textId="77777777" w:rsidTr="00A60D4B">
        <w:trPr>
          <w:cantSplit/>
          <w:jc w:val="center"/>
        </w:trPr>
        <w:tc>
          <w:tcPr>
            <w:tcW w:w="3652" w:type="dxa"/>
          </w:tcPr>
          <w:p w14:paraId="489BEF83" w14:textId="77777777" w:rsidR="00CF0E2D" w:rsidRPr="00882BE2" w:rsidRDefault="00CF0E2D" w:rsidP="00A60D4B">
            <w:pPr>
              <w:pStyle w:val="InitTextL"/>
              <w:ind w:left="321" w:hanging="321"/>
            </w:pPr>
            <w:r>
              <w:t>Offset – Health Funding Envelope</w:t>
            </w:r>
          </w:p>
        </w:tc>
        <w:tc>
          <w:tcPr>
            <w:tcW w:w="1179" w:type="dxa"/>
          </w:tcPr>
          <w:p w14:paraId="21404464" w14:textId="77777777" w:rsidR="00CF0E2D" w:rsidRDefault="00CF0E2D" w:rsidP="00A60D4B">
            <w:pPr>
              <w:pStyle w:val="InitFigR"/>
            </w:pPr>
            <w:r>
              <w:t>-300</w:t>
            </w:r>
          </w:p>
        </w:tc>
        <w:tc>
          <w:tcPr>
            <w:tcW w:w="1041" w:type="dxa"/>
          </w:tcPr>
          <w:p w14:paraId="398C806D" w14:textId="77777777" w:rsidR="00CF0E2D" w:rsidRPr="003F575F" w:rsidRDefault="00CF0E2D" w:rsidP="00A60D4B">
            <w:pPr>
              <w:pStyle w:val="InitFigR"/>
            </w:pPr>
            <w:r>
              <w:t>-308</w:t>
            </w:r>
          </w:p>
        </w:tc>
        <w:tc>
          <w:tcPr>
            <w:tcW w:w="1029" w:type="dxa"/>
          </w:tcPr>
          <w:p w14:paraId="5E27B61B" w14:textId="77777777" w:rsidR="00CF0E2D" w:rsidRDefault="00CF0E2D" w:rsidP="00A60D4B">
            <w:pPr>
              <w:pStyle w:val="InitFigR"/>
            </w:pPr>
            <w:r>
              <w:t>-315</w:t>
            </w:r>
          </w:p>
        </w:tc>
        <w:tc>
          <w:tcPr>
            <w:tcW w:w="1029" w:type="dxa"/>
          </w:tcPr>
          <w:p w14:paraId="348201DA" w14:textId="77777777" w:rsidR="00CF0E2D" w:rsidRDefault="00CF0E2D" w:rsidP="00A60D4B">
            <w:pPr>
              <w:pStyle w:val="InitFigR"/>
            </w:pPr>
            <w:r>
              <w:t>0</w:t>
            </w:r>
          </w:p>
        </w:tc>
        <w:tc>
          <w:tcPr>
            <w:tcW w:w="1029" w:type="dxa"/>
          </w:tcPr>
          <w:p w14:paraId="7A8DCC14" w14:textId="77777777" w:rsidR="00CF0E2D" w:rsidRDefault="00CF0E2D" w:rsidP="00A60D4B">
            <w:pPr>
              <w:pStyle w:val="InitFigBR"/>
            </w:pPr>
            <w:r>
              <w:t>-923</w:t>
            </w:r>
          </w:p>
        </w:tc>
      </w:tr>
      <w:tr w:rsidR="00CF0E2D" w:rsidRPr="00750793" w14:paraId="7CE04179" w14:textId="77777777" w:rsidTr="00A60D4B">
        <w:trPr>
          <w:cantSplit/>
          <w:trHeight w:val="107"/>
          <w:jc w:val="center"/>
        </w:trPr>
        <w:tc>
          <w:tcPr>
            <w:tcW w:w="3652" w:type="dxa"/>
            <w:tcBorders>
              <w:top w:val="single" w:sz="4" w:space="0" w:color="auto"/>
              <w:bottom w:val="single" w:sz="4" w:space="0" w:color="auto"/>
            </w:tcBorders>
          </w:tcPr>
          <w:p w14:paraId="6A3B790C" w14:textId="57203D00" w:rsidR="00CF0E2D" w:rsidRPr="00DA5279"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069FC23D" w14:textId="77777777" w:rsidR="00CF0E2D" w:rsidRDefault="00CF0E2D" w:rsidP="00A60D4B">
            <w:pPr>
              <w:pStyle w:val="InitFigRBold"/>
            </w:pPr>
            <w:r>
              <w:t>0</w:t>
            </w:r>
          </w:p>
        </w:tc>
        <w:tc>
          <w:tcPr>
            <w:tcW w:w="1041" w:type="dxa"/>
            <w:tcBorders>
              <w:top w:val="single" w:sz="4" w:space="0" w:color="auto"/>
              <w:bottom w:val="single" w:sz="4" w:space="0" w:color="auto"/>
            </w:tcBorders>
          </w:tcPr>
          <w:p w14:paraId="39EB61D2" w14:textId="77777777" w:rsidR="00CF0E2D" w:rsidRDefault="00CF0E2D" w:rsidP="00A60D4B">
            <w:pPr>
              <w:pStyle w:val="InitFigRBold"/>
            </w:pPr>
            <w:r>
              <w:t>0</w:t>
            </w:r>
          </w:p>
        </w:tc>
        <w:tc>
          <w:tcPr>
            <w:tcW w:w="1029" w:type="dxa"/>
            <w:tcBorders>
              <w:top w:val="single" w:sz="4" w:space="0" w:color="auto"/>
              <w:bottom w:val="single" w:sz="4" w:space="0" w:color="auto"/>
            </w:tcBorders>
          </w:tcPr>
          <w:p w14:paraId="16148FF5" w14:textId="77777777" w:rsidR="00CF0E2D" w:rsidRDefault="00CF0E2D" w:rsidP="00A60D4B">
            <w:pPr>
              <w:pStyle w:val="InitFigRBold"/>
            </w:pPr>
            <w:r>
              <w:t>0</w:t>
            </w:r>
          </w:p>
        </w:tc>
        <w:tc>
          <w:tcPr>
            <w:tcW w:w="1029" w:type="dxa"/>
            <w:tcBorders>
              <w:top w:val="single" w:sz="4" w:space="0" w:color="auto"/>
              <w:bottom w:val="single" w:sz="4" w:space="0" w:color="auto"/>
            </w:tcBorders>
          </w:tcPr>
          <w:p w14:paraId="2DE3553D" w14:textId="77777777" w:rsidR="00CF0E2D" w:rsidRDefault="00CF0E2D" w:rsidP="00A60D4B">
            <w:pPr>
              <w:pStyle w:val="InitFigRBold"/>
            </w:pPr>
            <w:r>
              <w:t>0</w:t>
            </w:r>
          </w:p>
        </w:tc>
        <w:tc>
          <w:tcPr>
            <w:tcW w:w="1029" w:type="dxa"/>
            <w:tcBorders>
              <w:top w:val="single" w:sz="4" w:space="0" w:color="auto"/>
              <w:bottom w:val="single" w:sz="4" w:space="0" w:color="auto"/>
            </w:tcBorders>
          </w:tcPr>
          <w:p w14:paraId="0549D796" w14:textId="77777777" w:rsidR="00CF0E2D" w:rsidRPr="00DA5279" w:rsidRDefault="00CF0E2D" w:rsidP="00A60D4B">
            <w:pPr>
              <w:pStyle w:val="InitFigRBold"/>
              <w:rPr>
                <w:bCs/>
              </w:rPr>
            </w:pPr>
            <w:r>
              <w:t>0</w:t>
            </w:r>
          </w:p>
        </w:tc>
      </w:tr>
    </w:tbl>
    <w:p w14:paraId="423CB0B3" w14:textId="77777777" w:rsidR="00CF0E2D" w:rsidRDefault="00CF0E2D" w:rsidP="00A60D4B">
      <w:pPr>
        <w:pStyle w:val="Bbodytext"/>
      </w:pPr>
      <w:r>
        <w:t>The Government will continue the</w:t>
      </w:r>
      <w:r w:rsidRPr="00D2198E">
        <w:t xml:space="preserve"> </w:t>
      </w:r>
      <w:r>
        <w:t xml:space="preserve">expanded </w:t>
      </w:r>
      <w:r w:rsidRPr="00D2198E">
        <w:t>Detention Exit Community Outreach (DECO) program</w:t>
      </w:r>
      <w:r>
        <w:t xml:space="preserve"> for a further three years</w:t>
      </w:r>
      <w:r w:rsidRPr="00D2198E">
        <w:t>. DECO</w:t>
      </w:r>
      <w:r>
        <w:t xml:space="preserve"> </w:t>
      </w:r>
      <w:r w:rsidRPr="00D2198E">
        <w:t>provides short-term intensive transitional support services</w:t>
      </w:r>
      <w:r>
        <w:t>,</w:t>
      </w:r>
      <w:r w:rsidRPr="00D2198E">
        <w:t xml:space="preserve"> </w:t>
      </w:r>
      <w:r>
        <w:t xml:space="preserve">of up to 18 months, </w:t>
      </w:r>
      <w:r w:rsidRPr="00D2198E">
        <w:t>for individuals with a diagnosed mental illness who are exiting detention</w:t>
      </w:r>
      <w:r>
        <w:t>.</w:t>
      </w:r>
    </w:p>
    <w:p w14:paraId="2D5392AD" w14:textId="77777777" w:rsidR="00CF0E2D" w:rsidRDefault="00CF0E2D" w:rsidP="00A60D4B">
      <w:pPr>
        <w:pStyle w:val="Bbodytext"/>
      </w:pPr>
      <w:r w:rsidRPr="006A6578">
        <w:lastRenderedPageBreak/>
        <w:t>This initiative contributes to the wellbeing domain</w:t>
      </w:r>
      <w:r>
        <w:t>s</w:t>
      </w:r>
      <w:r w:rsidRPr="006A6578">
        <w:t xml:space="preserve"> of </w:t>
      </w:r>
      <w:r>
        <w:t>Health and Access and connectivity.</w:t>
      </w:r>
    </w:p>
    <w:p w14:paraId="7A2ED3E8" w14:textId="77777777" w:rsidR="00CF0E2D" w:rsidRPr="00DC3B4F" w:rsidRDefault="00CF0E2D" w:rsidP="00A60D4B">
      <w:pPr>
        <w:pStyle w:val="Bbodytext"/>
      </w:pPr>
    </w:p>
    <w:p w14:paraId="71845C0C" w14:textId="77777777" w:rsidR="00CF0E2D" w:rsidRPr="000F087B" w:rsidRDefault="00CF0E2D" w:rsidP="00A60D4B">
      <w:pPr>
        <w:pStyle w:val="Heading4"/>
      </w:pPr>
      <w:r>
        <w:t xml:space="preserve">Better care in the community – Continuing the Mental Health Discharge Accommodation Program </w:t>
      </w:r>
      <w:r>
        <w:rPr>
          <w:b w:val="0"/>
          <w:noProof/>
          <w:color w:val="999789"/>
          <w:sz w:val="32"/>
          <w:szCs w:val="24"/>
        </w:rPr>
        <w:drawing>
          <wp:anchor distT="0" distB="0" distL="114300" distR="114300" simplePos="0" relativeHeight="251862016" behindDoc="0" locked="1" layoutInCell="1" allowOverlap="1" wp14:anchorId="5F3AEB61" wp14:editId="7264D315">
            <wp:simplePos x="0" y="0"/>
            <wp:positionH relativeFrom="margin">
              <wp:align>right</wp:align>
            </wp:positionH>
            <wp:positionV relativeFrom="paragraph">
              <wp:posOffset>90805</wp:posOffset>
            </wp:positionV>
            <wp:extent cx="993140" cy="503555"/>
            <wp:effectExtent l="0" t="0" r="0" b="0"/>
            <wp:wrapSquare wrapText="bothSides"/>
            <wp:docPr id="161" name="Picture 161"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06A2108D" w14:textId="77777777" w:rsidTr="00A60D4B">
        <w:trPr>
          <w:cantSplit/>
          <w:jc w:val="center"/>
        </w:trPr>
        <w:tc>
          <w:tcPr>
            <w:tcW w:w="3652" w:type="dxa"/>
            <w:tcBorders>
              <w:top w:val="single" w:sz="4" w:space="0" w:color="auto"/>
              <w:bottom w:val="single" w:sz="4" w:space="0" w:color="auto"/>
            </w:tcBorders>
          </w:tcPr>
          <w:p w14:paraId="7DCC206E"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1B0527B4" w14:textId="77777777" w:rsidR="00CF0E2D" w:rsidRPr="006B3E0A" w:rsidRDefault="00CF0E2D" w:rsidP="00A60D4B">
            <w:pPr>
              <w:pStyle w:val="InitFigR"/>
              <w:rPr>
                <w:b/>
                <w:bCs/>
              </w:rPr>
            </w:pPr>
            <w:r w:rsidRPr="006B3E0A">
              <w:rPr>
                <w:b/>
                <w:bCs/>
              </w:rPr>
              <w:t>2021-22</w:t>
            </w:r>
          </w:p>
          <w:p w14:paraId="2FD0F517" w14:textId="77777777" w:rsidR="00CF0E2D" w:rsidRPr="006B3E0A" w:rsidRDefault="00CF0E2D" w:rsidP="00A60D4B">
            <w:pPr>
              <w:pStyle w:val="InitFigR"/>
              <w:rPr>
                <w:b/>
                <w:bCs/>
              </w:rPr>
            </w:pPr>
            <w:r w:rsidRPr="006B3E0A">
              <w:rPr>
                <w:b/>
                <w:bCs/>
              </w:rPr>
              <w:t>$’000</w:t>
            </w:r>
          </w:p>
        </w:tc>
        <w:tc>
          <w:tcPr>
            <w:tcW w:w="1041" w:type="dxa"/>
            <w:tcBorders>
              <w:top w:val="single" w:sz="4" w:space="0" w:color="auto"/>
              <w:bottom w:val="single" w:sz="4" w:space="0" w:color="auto"/>
            </w:tcBorders>
          </w:tcPr>
          <w:p w14:paraId="7E573EE1" w14:textId="77777777" w:rsidR="00CF0E2D" w:rsidRPr="006B3E0A" w:rsidRDefault="00CF0E2D" w:rsidP="00A60D4B">
            <w:pPr>
              <w:pStyle w:val="InitFigR"/>
              <w:rPr>
                <w:b/>
                <w:bCs/>
              </w:rPr>
            </w:pPr>
            <w:r w:rsidRPr="006B3E0A">
              <w:rPr>
                <w:b/>
                <w:bCs/>
              </w:rPr>
              <w:t>2022-23</w:t>
            </w:r>
          </w:p>
          <w:p w14:paraId="74144189" w14:textId="77777777" w:rsidR="00CF0E2D" w:rsidRPr="006B3E0A" w:rsidRDefault="00CF0E2D" w:rsidP="00A60D4B">
            <w:pPr>
              <w:pStyle w:val="InitFigR"/>
              <w:rPr>
                <w:b/>
                <w:bCs/>
              </w:rPr>
            </w:pPr>
            <w:r w:rsidRPr="006B3E0A">
              <w:rPr>
                <w:b/>
                <w:bCs/>
              </w:rPr>
              <w:t>$’000</w:t>
            </w:r>
          </w:p>
        </w:tc>
        <w:tc>
          <w:tcPr>
            <w:tcW w:w="1029" w:type="dxa"/>
            <w:tcBorders>
              <w:top w:val="single" w:sz="4" w:space="0" w:color="auto"/>
              <w:bottom w:val="single" w:sz="4" w:space="0" w:color="auto"/>
            </w:tcBorders>
          </w:tcPr>
          <w:p w14:paraId="48231217" w14:textId="77777777" w:rsidR="00CF0E2D" w:rsidRPr="006B3E0A" w:rsidRDefault="00CF0E2D" w:rsidP="00A60D4B">
            <w:pPr>
              <w:pStyle w:val="InitFigR"/>
              <w:rPr>
                <w:b/>
                <w:bCs/>
              </w:rPr>
            </w:pPr>
            <w:r w:rsidRPr="006B3E0A">
              <w:rPr>
                <w:b/>
                <w:bCs/>
              </w:rPr>
              <w:t>2023-24</w:t>
            </w:r>
          </w:p>
          <w:p w14:paraId="0479D6CC" w14:textId="77777777" w:rsidR="00CF0E2D" w:rsidRPr="006B3E0A" w:rsidRDefault="00CF0E2D" w:rsidP="00A60D4B">
            <w:pPr>
              <w:pStyle w:val="InitFigR"/>
              <w:rPr>
                <w:b/>
                <w:bCs/>
              </w:rPr>
            </w:pPr>
            <w:r w:rsidRPr="006B3E0A">
              <w:rPr>
                <w:b/>
                <w:bCs/>
              </w:rPr>
              <w:t>$’000</w:t>
            </w:r>
          </w:p>
        </w:tc>
        <w:tc>
          <w:tcPr>
            <w:tcW w:w="1029" w:type="dxa"/>
            <w:tcBorders>
              <w:top w:val="single" w:sz="4" w:space="0" w:color="auto"/>
              <w:bottom w:val="single" w:sz="4" w:space="0" w:color="auto"/>
            </w:tcBorders>
          </w:tcPr>
          <w:p w14:paraId="51320CCD" w14:textId="77777777" w:rsidR="00CF0E2D" w:rsidRPr="006B3E0A" w:rsidRDefault="00CF0E2D" w:rsidP="00A60D4B">
            <w:pPr>
              <w:pStyle w:val="InitFigR"/>
              <w:rPr>
                <w:b/>
                <w:bCs/>
              </w:rPr>
            </w:pPr>
            <w:r w:rsidRPr="006B3E0A">
              <w:rPr>
                <w:b/>
                <w:bCs/>
              </w:rPr>
              <w:t>2024-25</w:t>
            </w:r>
          </w:p>
          <w:p w14:paraId="0821F343" w14:textId="77777777" w:rsidR="00CF0E2D" w:rsidRPr="006B3E0A" w:rsidRDefault="00CF0E2D" w:rsidP="00A60D4B">
            <w:pPr>
              <w:pStyle w:val="InitFigR"/>
              <w:rPr>
                <w:b/>
                <w:bCs/>
              </w:rPr>
            </w:pPr>
            <w:r w:rsidRPr="006B3E0A">
              <w:rPr>
                <w:b/>
                <w:bCs/>
              </w:rPr>
              <w:t>$’000</w:t>
            </w:r>
          </w:p>
        </w:tc>
        <w:tc>
          <w:tcPr>
            <w:tcW w:w="1029" w:type="dxa"/>
            <w:tcBorders>
              <w:top w:val="single" w:sz="4" w:space="0" w:color="auto"/>
              <w:bottom w:val="single" w:sz="4" w:space="0" w:color="auto"/>
            </w:tcBorders>
          </w:tcPr>
          <w:p w14:paraId="197DFC34" w14:textId="77777777" w:rsidR="00CF0E2D" w:rsidRPr="004E341E" w:rsidRDefault="00CF0E2D" w:rsidP="00A60D4B">
            <w:pPr>
              <w:pStyle w:val="InitFigRBold"/>
            </w:pPr>
            <w:r w:rsidRPr="004E341E">
              <w:t>Total</w:t>
            </w:r>
          </w:p>
          <w:p w14:paraId="11410679" w14:textId="77777777" w:rsidR="00CF0E2D" w:rsidRPr="004E341E" w:rsidRDefault="00CF0E2D" w:rsidP="00A60D4B">
            <w:pPr>
              <w:pStyle w:val="InitFigBR"/>
            </w:pPr>
            <w:r w:rsidRPr="004E341E">
              <w:t>$’000</w:t>
            </w:r>
          </w:p>
        </w:tc>
      </w:tr>
      <w:tr w:rsidR="00CF0E2D" w:rsidRPr="00750793" w14:paraId="3280EC0E" w14:textId="77777777" w:rsidTr="00A60D4B">
        <w:trPr>
          <w:cantSplit/>
          <w:jc w:val="center"/>
        </w:trPr>
        <w:tc>
          <w:tcPr>
            <w:tcW w:w="3652" w:type="dxa"/>
          </w:tcPr>
          <w:p w14:paraId="1261945E" w14:textId="77777777" w:rsidR="00CF0E2D" w:rsidRPr="00F13FAB" w:rsidRDefault="00CF0E2D" w:rsidP="00A60D4B">
            <w:pPr>
              <w:pStyle w:val="InitTextL"/>
              <w:ind w:left="321" w:hanging="321"/>
            </w:pPr>
            <w:r w:rsidRPr="00882BE2">
              <w:t>Expenses</w:t>
            </w:r>
          </w:p>
        </w:tc>
        <w:tc>
          <w:tcPr>
            <w:tcW w:w="1179" w:type="dxa"/>
          </w:tcPr>
          <w:p w14:paraId="448594E4" w14:textId="77777777" w:rsidR="00CF0E2D" w:rsidRPr="00424DA4" w:rsidRDefault="00CF0E2D" w:rsidP="00A60D4B">
            <w:pPr>
              <w:pStyle w:val="InitFigR"/>
            </w:pPr>
            <w:r w:rsidRPr="00397262">
              <w:t>1,000</w:t>
            </w:r>
          </w:p>
        </w:tc>
        <w:tc>
          <w:tcPr>
            <w:tcW w:w="1041" w:type="dxa"/>
          </w:tcPr>
          <w:p w14:paraId="53ADD840" w14:textId="77777777" w:rsidR="00CF0E2D" w:rsidRPr="00424DA4" w:rsidRDefault="00CF0E2D" w:rsidP="00A60D4B">
            <w:pPr>
              <w:pStyle w:val="InitFigR"/>
            </w:pPr>
            <w:r w:rsidRPr="00397262">
              <w:t>1,025</w:t>
            </w:r>
          </w:p>
        </w:tc>
        <w:tc>
          <w:tcPr>
            <w:tcW w:w="1029" w:type="dxa"/>
          </w:tcPr>
          <w:p w14:paraId="4F4DFEE4" w14:textId="77777777" w:rsidR="00CF0E2D" w:rsidRPr="00424DA4" w:rsidRDefault="00CF0E2D" w:rsidP="00A60D4B">
            <w:pPr>
              <w:pStyle w:val="InitFigR"/>
            </w:pPr>
            <w:r>
              <w:t>0</w:t>
            </w:r>
          </w:p>
        </w:tc>
        <w:tc>
          <w:tcPr>
            <w:tcW w:w="1029" w:type="dxa"/>
          </w:tcPr>
          <w:p w14:paraId="7E386364" w14:textId="77777777" w:rsidR="00CF0E2D" w:rsidRPr="00424DA4" w:rsidRDefault="00CF0E2D" w:rsidP="00A60D4B">
            <w:pPr>
              <w:pStyle w:val="InitFigR"/>
            </w:pPr>
            <w:r>
              <w:t>0</w:t>
            </w:r>
          </w:p>
        </w:tc>
        <w:tc>
          <w:tcPr>
            <w:tcW w:w="1029" w:type="dxa"/>
          </w:tcPr>
          <w:p w14:paraId="5449E91D" w14:textId="77777777" w:rsidR="00CF0E2D" w:rsidRPr="00424DA4" w:rsidRDefault="00CF0E2D" w:rsidP="00A60D4B">
            <w:pPr>
              <w:pStyle w:val="InitFigBR"/>
            </w:pPr>
            <w:r>
              <w:t>2,025</w:t>
            </w:r>
          </w:p>
        </w:tc>
      </w:tr>
      <w:tr w:rsidR="00CF0E2D" w:rsidRPr="00750793" w14:paraId="3DE4A6CD" w14:textId="77777777" w:rsidTr="00A60D4B">
        <w:trPr>
          <w:cantSplit/>
          <w:jc w:val="center"/>
        </w:trPr>
        <w:tc>
          <w:tcPr>
            <w:tcW w:w="3652" w:type="dxa"/>
          </w:tcPr>
          <w:p w14:paraId="16ECABDB" w14:textId="77777777" w:rsidR="00CF0E2D" w:rsidRDefault="00CF0E2D" w:rsidP="00A60D4B">
            <w:pPr>
              <w:pStyle w:val="InitTextL"/>
              <w:ind w:left="321" w:hanging="321"/>
            </w:pPr>
            <w:r>
              <w:t>Offset – Health Funding Envelope</w:t>
            </w:r>
          </w:p>
        </w:tc>
        <w:tc>
          <w:tcPr>
            <w:tcW w:w="1179" w:type="dxa"/>
          </w:tcPr>
          <w:p w14:paraId="1089B113" w14:textId="77777777" w:rsidR="00CF0E2D" w:rsidRPr="00424DA4" w:rsidRDefault="00CF0E2D" w:rsidP="00A60D4B">
            <w:pPr>
              <w:pStyle w:val="InitFigR"/>
            </w:pPr>
            <w:r>
              <w:t>-1,000</w:t>
            </w:r>
          </w:p>
        </w:tc>
        <w:tc>
          <w:tcPr>
            <w:tcW w:w="1041" w:type="dxa"/>
          </w:tcPr>
          <w:p w14:paraId="0D5AE871" w14:textId="77777777" w:rsidR="00CF0E2D" w:rsidRPr="00424DA4" w:rsidRDefault="00CF0E2D" w:rsidP="00A60D4B">
            <w:pPr>
              <w:pStyle w:val="InitFigR"/>
            </w:pPr>
            <w:r>
              <w:t>-1,025</w:t>
            </w:r>
          </w:p>
        </w:tc>
        <w:tc>
          <w:tcPr>
            <w:tcW w:w="1029" w:type="dxa"/>
          </w:tcPr>
          <w:p w14:paraId="7393F5EA" w14:textId="77777777" w:rsidR="00CF0E2D" w:rsidRPr="00424DA4" w:rsidRDefault="00CF0E2D" w:rsidP="00A60D4B">
            <w:pPr>
              <w:pStyle w:val="InitFigR"/>
            </w:pPr>
            <w:r>
              <w:t>0</w:t>
            </w:r>
          </w:p>
        </w:tc>
        <w:tc>
          <w:tcPr>
            <w:tcW w:w="1029" w:type="dxa"/>
          </w:tcPr>
          <w:p w14:paraId="0E4DFB10" w14:textId="77777777" w:rsidR="00CF0E2D" w:rsidRPr="00424DA4" w:rsidRDefault="00CF0E2D" w:rsidP="00A60D4B">
            <w:pPr>
              <w:pStyle w:val="InitFigR"/>
            </w:pPr>
            <w:r>
              <w:t>0</w:t>
            </w:r>
          </w:p>
        </w:tc>
        <w:tc>
          <w:tcPr>
            <w:tcW w:w="1029" w:type="dxa"/>
          </w:tcPr>
          <w:p w14:paraId="60A53B66" w14:textId="77777777" w:rsidR="00CF0E2D" w:rsidRPr="00424DA4" w:rsidRDefault="00CF0E2D" w:rsidP="00A60D4B">
            <w:pPr>
              <w:pStyle w:val="InitFigBR"/>
            </w:pPr>
            <w:r>
              <w:t>-2,025</w:t>
            </w:r>
          </w:p>
        </w:tc>
      </w:tr>
      <w:tr w:rsidR="00CF0E2D" w:rsidRPr="00DA5279" w14:paraId="644E259B" w14:textId="77777777" w:rsidTr="00A60D4B">
        <w:trPr>
          <w:cantSplit/>
          <w:trHeight w:val="107"/>
          <w:jc w:val="center"/>
        </w:trPr>
        <w:tc>
          <w:tcPr>
            <w:tcW w:w="3652" w:type="dxa"/>
            <w:tcBorders>
              <w:top w:val="single" w:sz="4" w:space="0" w:color="auto"/>
              <w:bottom w:val="single" w:sz="4" w:space="0" w:color="auto"/>
            </w:tcBorders>
          </w:tcPr>
          <w:p w14:paraId="07DFCBC9" w14:textId="1399D36A" w:rsidR="00CF0E2D" w:rsidRPr="00DA5279"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2F99922C" w14:textId="77777777" w:rsidR="00CF0E2D" w:rsidRDefault="00CF0E2D" w:rsidP="00A60D4B">
            <w:pPr>
              <w:pStyle w:val="InitFigRBold"/>
            </w:pPr>
            <w:r>
              <w:t>0</w:t>
            </w:r>
          </w:p>
        </w:tc>
        <w:tc>
          <w:tcPr>
            <w:tcW w:w="1041" w:type="dxa"/>
            <w:tcBorders>
              <w:top w:val="single" w:sz="4" w:space="0" w:color="auto"/>
              <w:bottom w:val="single" w:sz="4" w:space="0" w:color="auto"/>
            </w:tcBorders>
          </w:tcPr>
          <w:p w14:paraId="318965A5" w14:textId="77777777" w:rsidR="00CF0E2D" w:rsidRDefault="00CF0E2D" w:rsidP="00A60D4B">
            <w:pPr>
              <w:pStyle w:val="InitFigRBold"/>
            </w:pPr>
            <w:r>
              <w:t>0</w:t>
            </w:r>
          </w:p>
        </w:tc>
        <w:tc>
          <w:tcPr>
            <w:tcW w:w="1029" w:type="dxa"/>
            <w:tcBorders>
              <w:top w:val="single" w:sz="4" w:space="0" w:color="auto"/>
              <w:bottom w:val="single" w:sz="4" w:space="0" w:color="auto"/>
            </w:tcBorders>
          </w:tcPr>
          <w:p w14:paraId="7F0D459A" w14:textId="77777777" w:rsidR="00CF0E2D" w:rsidRDefault="00CF0E2D" w:rsidP="00A60D4B">
            <w:pPr>
              <w:pStyle w:val="InitFigRBold"/>
            </w:pPr>
            <w:r>
              <w:t>0</w:t>
            </w:r>
          </w:p>
        </w:tc>
        <w:tc>
          <w:tcPr>
            <w:tcW w:w="1029" w:type="dxa"/>
            <w:tcBorders>
              <w:top w:val="single" w:sz="4" w:space="0" w:color="auto"/>
              <w:bottom w:val="single" w:sz="4" w:space="0" w:color="auto"/>
            </w:tcBorders>
          </w:tcPr>
          <w:p w14:paraId="3B341CE8" w14:textId="77777777" w:rsidR="00CF0E2D" w:rsidRDefault="00CF0E2D" w:rsidP="00A60D4B">
            <w:pPr>
              <w:pStyle w:val="InitFigRBold"/>
            </w:pPr>
            <w:r>
              <w:t>0</w:t>
            </w:r>
          </w:p>
        </w:tc>
        <w:tc>
          <w:tcPr>
            <w:tcW w:w="1029" w:type="dxa"/>
            <w:tcBorders>
              <w:top w:val="single" w:sz="4" w:space="0" w:color="auto"/>
              <w:bottom w:val="single" w:sz="4" w:space="0" w:color="auto"/>
            </w:tcBorders>
          </w:tcPr>
          <w:p w14:paraId="5945C2C7" w14:textId="77777777" w:rsidR="00CF0E2D" w:rsidRPr="00DA5279" w:rsidRDefault="00CF0E2D" w:rsidP="00A60D4B">
            <w:pPr>
              <w:pStyle w:val="InitFigRBold"/>
              <w:rPr>
                <w:bCs/>
              </w:rPr>
            </w:pPr>
            <w:r>
              <w:t>0</w:t>
            </w:r>
          </w:p>
        </w:tc>
      </w:tr>
    </w:tbl>
    <w:p w14:paraId="250598EE" w14:textId="77777777" w:rsidR="00CF0E2D" w:rsidRDefault="00CF0E2D" w:rsidP="00A60D4B">
      <w:pPr>
        <w:pStyle w:val="Bbodytext"/>
      </w:pPr>
      <w:r>
        <w:t xml:space="preserve">The Government will support the Mental Health Foundation ACT to continue the Mental Health </w:t>
      </w:r>
      <w:r w:rsidRPr="00D2198E">
        <w:t xml:space="preserve">Discharge Accommodation Program </w:t>
      </w:r>
      <w:r>
        <w:t>pilot for a further two years. This will enable the development of a more comprehensive data set to evaluate the program.</w:t>
      </w:r>
    </w:p>
    <w:p w14:paraId="62C8B255" w14:textId="77777777" w:rsidR="00CF0E2D" w:rsidRDefault="00CF0E2D" w:rsidP="00A60D4B">
      <w:pPr>
        <w:pStyle w:val="Bbodytext"/>
      </w:pPr>
      <w:r>
        <w:t xml:space="preserve">The pilot program, which was part of the 2020-21 COVID-19 Mental Health Support Package, currently provides transitional supported accommodation </w:t>
      </w:r>
      <w:r w:rsidRPr="00D2198E">
        <w:t xml:space="preserve">for those discharged from the Adult Mental Health Unit </w:t>
      </w:r>
      <w:r>
        <w:t xml:space="preserve">that are at risk of </w:t>
      </w:r>
      <w:r w:rsidRPr="00D2198E">
        <w:t>homelessness.</w:t>
      </w:r>
    </w:p>
    <w:p w14:paraId="486E58D8" w14:textId="77777777" w:rsidR="00CF0E2D" w:rsidRDefault="00CF0E2D" w:rsidP="00A60D4B">
      <w:pPr>
        <w:pStyle w:val="Bbodytext"/>
      </w:pPr>
      <w:r w:rsidRPr="006A6578">
        <w:t>This initiative contributes to the wellbeing domain</w:t>
      </w:r>
      <w:r>
        <w:t>s</w:t>
      </w:r>
      <w:r w:rsidRPr="006A6578">
        <w:t xml:space="preserve"> of </w:t>
      </w:r>
      <w:r>
        <w:t>Health and Access and connectivity.</w:t>
      </w:r>
    </w:p>
    <w:p w14:paraId="4C533ADF" w14:textId="77777777" w:rsidR="00CF0E2D" w:rsidRDefault="00CF0E2D" w:rsidP="00A60D4B">
      <w:pPr>
        <w:pStyle w:val="Bbodytext"/>
      </w:pPr>
    </w:p>
    <w:p w14:paraId="30066623" w14:textId="77777777" w:rsidR="00CF0E2D" w:rsidRDefault="00CF0E2D" w:rsidP="00A60D4B">
      <w:pPr>
        <w:pStyle w:val="Heading4"/>
        <w:rPr>
          <w:rFonts w:eastAsia="Times New Roman"/>
        </w:rPr>
      </w:pPr>
      <w:r w:rsidRPr="001952D1">
        <w:rPr>
          <w:rFonts w:eastAsia="Times New Roman"/>
        </w:rPr>
        <w:t xml:space="preserve">Better care in the community – </w:t>
      </w:r>
      <w:r>
        <w:rPr>
          <w:rFonts w:eastAsia="Times New Roman"/>
        </w:rPr>
        <w:t>Continuing to support the Home Assessment and Acute Response Team</w:t>
      </w:r>
      <w:r>
        <w:rPr>
          <w:b w:val="0"/>
          <w:noProof/>
          <w:color w:val="999789"/>
          <w:sz w:val="32"/>
          <w:szCs w:val="24"/>
        </w:rPr>
        <w:drawing>
          <wp:anchor distT="0" distB="0" distL="114300" distR="114300" simplePos="0" relativeHeight="251863040" behindDoc="0" locked="1" layoutInCell="1" allowOverlap="1" wp14:anchorId="2102CD95" wp14:editId="039597D6">
            <wp:simplePos x="0" y="0"/>
            <wp:positionH relativeFrom="margin">
              <wp:align>right</wp:align>
            </wp:positionH>
            <wp:positionV relativeFrom="paragraph">
              <wp:posOffset>76835</wp:posOffset>
            </wp:positionV>
            <wp:extent cx="993140" cy="503555"/>
            <wp:effectExtent l="0" t="0" r="0" b="0"/>
            <wp:wrapSquare wrapText="bothSides"/>
            <wp:docPr id="162" name="Picture 162"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4E341E" w14:paraId="0D8B7F12" w14:textId="77777777" w:rsidTr="00A60D4B">
        <w:trPr>
          <w:cantSplit/>
          <w:jc w:val="center"/>
        </w:trPr>
        <w:tc>
          <w:tcPr>
            <w:tcW w:w="3652" w:type="dxa"/>
            <w:tcBorders>
              <w:top w:val="single" w:sz="4" w:space="0" w:color="auto"/>
              <w:bottom w:val="single" w:sz="4" w:space="0" w:color="auto"/>
            </w:tcBorders>
          </w:tcPr>
          <w:p w14:paraId="0089207D"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27B011BC" w14:textId="77777777" w:rsidR="00CF0E2D" w:rsidRPr="0015776F" w:rsidRDefault="00CF0E2D" w:rsidP="00A60D4B">
            <w:pPr>
              <w:pStyle w:val="InitFigR"/>
              <w:rPr>
                <w:b/>
                <w:bCs/>
              </w:rPr>
            </w:pPr>
            <w:r w:rsidRPr="0015776F">
              <w:rPr>
                <w:b/>
                <w:bCs/>
              </w:rPr>
              <w:t>2021-22</w:t>
            </w:r>
          </w:p>
          <w:p w14:paraId="28A5273A" w14:textId="77777777" w:rsidR="00CF0E2D" w:rsidRPr="0015776F" w:rsidRDefault="00CF0E2D" w:rsidP="00A60D4B">
            <w:pPr>
              <w:pStyle w:val="InitFigR"/>
              <w:rPr>
                <w:b/>
                <w:bCs/>
              </w:rPr>
            </w:pPr>
            <w:r w:rsidRPr="0015776F">
              <w:rPr>
                <w:b/>
                <w:bCs/>
              </w:rPr>
              <w:t>$’000</w:t>
            </w:r>
          </w:p>
        </w:tc>
        <w:tc>
          <w:tcPr>
            <w:tcW w:w="1041" w:type="dxa"/>
            <w:tcBorders>
              <w:top w:val="single" w:sz="4" w:space="0" w:color="auto"/>
              <w:bottom w:val="single" w:sz="4" w:space="0" w:color="auto"/>
            </w:tcBorders>
          </w:tcPr>
          <w:p w14:paraId="62DE9773" w14:textId="77777777" w:rsidR="00CF0E2D" w:rsidRPr="0015776F" w:rsidRDefault="00CF0E2D" w:rsidP="00A60D4B">
            <w:pPr>
              <w:pStyle w:val="InitFigR"/>
              <w:rPr>
                <w:b/>
                <w:bCs/>
              </w:rPr>
            </w:pPr>
            <w:r w:rsidRPr="0015776F">
              <w:rPr>
                <w:b/>
                <w:bCs/>
              </w:rPr>
              <w:t>2022-23</w:t>
            </w:r>
          </w:p>
          <w:p w14:paraId="106501E4" w14:textId="77777777" w:rsidR="00CF0E2D" w:rsidRPr="0015776F" w:rsidRDefault="00CF0E2D" w:rsidP="00A60D4B">
            <w:pPr>
              <w:pStyle w:val="InitFigR"/>
              <w:rPr>
                <w:b/>
                <w:bCs/>
              </w:rPr>
            </w:pPr>
            <w:r w:rsidRPr="0015776F">
              <w:rPr>
                <w:b/>
                <w:bCs/>
              </w:rPr>
              <w:t>$’000</w:t>
            </w:r>
          </w:p>
        </w:tc>
        <w:tc>
          <w:tcPr>
            <w:tcW w:w="1029" w:type="dxa"/>
            <w:tcBorders>
              <w:top w:val="single" w:sz="4" w:space="0" w:color="auto"/>
              <w:bottom w:val="single" w:sz="4" w:space="0" w:color="auto"/>
            </w:tcBorders>
          </w:tcPr>
          <w:p w14:paraId="0E06413A" w14:textId="77777777" w:rsidR="00CF0E2D" w:rsidRPr="0015776F" w:rsidRDefault="00CF0E2D" w:rsidP="00A60D4B">
            <w:pPr>
              <w:pStyle w:val="InitFigR"/>
              <w:rPr>
                <w:b/>
                <w:bCs/>
              </w:rPr>
            </w:pPr>
            <w:r w:rsidRPr="0015776F">
              <w:rPr>
                <w:b/>
                <w:bCs/>
              </w:rPr>
              <w:t>2023-24</w:t>
            </w:r>
          </w:p>
          <w:p w14:paraId="210106CB" w14:textId="77777777" w:rsidR="00CF0E2D" w:rsidRPr="0015776F" w:rsidRDefault="00CF0E2D" w:rsidP="00A60D4B">
            <w:pPr>
              <w:pStyle w:val="InitFigR"/>
              <w:rPr>
                <w:b/>
                <w:bCs/>
              </w:rPr>
            </w:pPr>
            <w:r w:rsidRPr="0015776F">
              <w:rPr>
                <w:b/>
                <w:bCs/>
              </w:rPr>
              <w:t>$’000</w:t>
            </w:r>
          </w:p>
        </w:tc>
        <w:tc>
          <w:tcPr>
            <w:tcW w:w="1029" w:type="dxa"/>
            <w:tcBorders>
              <w:top w:val="single" w:sz="4" w:space="0" w:color="auto"/>
              <w:bottom w:val="single" w:sz="4" w:space="0" w:color="auto"/>
            </w:tcBorders>
          </w:tcPr>
          <w:p w14:paraId="3F6E607B" w14:textId="77777777" w:rsidR="00CF0E2D" w:rsidRPr="0015776F" w:rsidRDefault="00CF0E2D" w:rsidP="00A60D4B">
            <w:pPr>
              <w:pStyle w:val="InitFigR"/>
              <w:rPr>
                <w:b/>
                <w:bCs/>
              </w:rPr>
            </w:pPr>
            <w:r w:rsidRPr="0015776F">
              <w:rPr>
                <w:b/>
                <w:bCs/>
              </w:rPr>
              <w:t>2024-25</w:t>
            </w:r>
          </w:p>
          <w:p w14:paraId="08781425" w14:textId="77777777" w:rsidR="00CF0E2D" w:rsidRPr="0015776F" w:rsidRDefault="00CF0E2D" w:rsidP="00A60D4B">
            <w:pPr>
              <w:pStyle w:val="InitFigR"/>
              <w:rPr>
                <w:b/>
                <w:bCs/>
              </w:rPr>
            </w:pPr>
            <w:r w:rsidRPr="0015776F">
              <w:rPr>
                <w:b/>
                <w:bCs/>
              </w:rPr>
              <w:t>$’000</w:t>
            </w:r>
          </w:p>
        </w:tc>
        <w:tc>
          <w:tcPr>
            <w:tcW w:w="1029" w:type="dxa"/>
            <w:tcBorders>
              <w:top w:val="single" w:sz="4" w:space="0" w:color="auto"/>
              <w:bottom w:val="single" w:sz="4" w:space="0" w:color="auto"/>
            </w:tcBorders>
          </w:tcPr>
          <w:p w14:paraId="01A99188" w14:textId="77777777" w:rsidR="00CF0E2D" w:rsidRPr="004E341E" w:rsidRDefault="00CF0E2D" w:rsidP="00A60D4B">
            <w:pPr>
              <w:pStyle w:val="InitFigRBold"/>
            </w:pPr>
            <w:r w:rsidRPr="004E341E">
              <w:t>Total</w:t>
            </w:r>
          </w:p>
          <w:p w14:paraId="6140C9D3" w14:textId="77777777" w:rsidR="00CF0E2D" w:rsidRPr="004E341E" w:rsidRDefault="00CF0E2D" w:rsidP="00A60D4B">
            <w:pPr>
              <w:pStyle w:val="InitFigBR"/>
            </w:pPr>
            <w:r w:rsidRPr="004E341E">
              <w:t>$’000</w:t>
            </w:r>
          </w:p>
        </w:tc>
      </w:tr>
      <w:tr w:rsidR="00CF0E2D" w:rsidRPr="00424DA4" w14:paraId="26CB61C3" w14:textId="77777777" w:rsidTr="00A60D4B">
        <w:trPr>
          <w:cantSplit/>
          <w:jc w:val="center"/>
        </w:trPr>
        <w:tc>
          <w:tcPr>
            <w:tcW w:w="3652" w:type="dxa"/>
          </w:tcPr>
          <w:p w14:paraId="3B968532" w14:textId="77777777" w:rsidR="00CF0E2D" w:rsidRPr="00F13FAB" w:rsidRDefault="00CF0E2D" w:rsidP="00A60D4B">
            <w:pPr>
              <w:pStyle w:val="InitTextL"/>
              <w:ind w:left="321" w:hanging="321"/>
            </w:pPr>
            <w:r w:rsidRPr="00882BE2">
              <w:t>Expenses</w:t>
            </w:r>
          </w:p>
        </w:tc>
        <w:tc>
          <w:tcPr>
            <w:tcW w:w="1179" w:type="dxa"/>
          </w:tcPr>
          <w:p w14:paraId="188096B9" w14:textId="77777777" w:rsidR="00CF0E2D" w:rsidRPr="00424DA4" w:rsidRDefault="00CF0E2D" w:rsidP="00A60D4B">
            <w:pPr>
              <w:pStyle w:val="InitFigR"/>
            </w:pPr>
            <w:r>
              <w:t>1,223</w:t>
            </w:r>
          </w:p>
        </w:tc>
        <w:tc>
          <w:tcPr>
            <w:tcW w:w="1041" w:type="dxa"/>
          </w:tcPr>
          <w:p w14:paraId="1822FC98" w14:textId="77777777" w:rsidR="00CF0E2D" w:rsidRPr="00424DA4" w:rsidRDefault="00CF0E2D" w:rsidP="00A60D4B">
            <w:pPr>
              <w:pStyle w:val="InitFigR"/>
            </w:pPr>
            <w:r>
              <w:t>0</w:t>
            </w:r>
          </w:p>
        </w:tc>
        <w:tc>
          <w:tcPr>
            <w:tcW w:w="1029" w:type="dxa"/>
          </w:tcPr>
          <w:p w14:paraId="11410E57" w14:textId="77777777" w:rsidR="00CF0E2D" w:rsidRPr="00424DA4" w:rsidRDefault="00CF0E2D" w:rsidP="00A60D4B">
            <w:pPr>
              <w:pStyle w:val="InitFigR"/>
            </w:pPr>
            <w:r>
              <w:t>0</w:t>
            </w:r>
          </w:p>
        </w:tc>
        <w:tc>
          <w:tcPr>
            <w:tcW w:w="1029" w:type="dxa"/>
          </w:tcPr>
          <w:p w14:paraId="07CFDF26" w14:textId="77777777" w:rsidR="00CF0E2D" w:rsidRPr="00424DA4" w:rsidRDefault="00CF0E2D" w:rsidP="00A60D4B">
            <w:pPr>
              <w:pStyle w:val="InitFigR"/>
            </w:pPr>
            <w:r>
              <w:t>0</w:t>
            </w:r>
          </w:p>
        </w:tc>
        <w:tc>
          <w:tcPr>
            <w:tcW w:w="1029" w:type="dxa"/>
          </w:tcPr>
          <w:p w14:paraId="4CB0697B" w14:textId="77777777" w:rsidR="00CF0E2D" w:rsidRPr="00424DA4" w:rsidRDefault="00CF0E2D" w:rsidP="00A60D4B">
            <w:pPr>
              <w:pStyle w:val="InitFigBR"/>
            </w:pPr>
            <w:r>
              <w:t>1,223</w:t>
            </w:r>
          </w:p>
        </w:tc>
      </w:tr>
      <w:tr w:rsidR="00CF0E2D" w:rsidRPr="00424DA4" w14:paraId="7FCF7678" w14:textId="77777777" w:rsidTr="00A60D4B">
        <w:trPr>
          <w:cantSplit/>
          <w:jc w:val="center"/>
        </w:trPr>
        <w:tc>
          <w:tcPr>
            <w:tcW w:w="3652" w:type="dxa"/>
          </w:tcPr>
          <w:p w14:paraId="637233A7" w14:textId="77777777" w:rsidR="00CF0E2D" w:rsidRDefault="00CF0E2D" w:rsidP="00A60D4B">
            <w:pPr>
              <w:pStyle w:val="InitTextL"/>
              <w:ind w:left="321" w:hanging="321"/>
            </w:pPr>
            <w:r>
              <w:t>Offset – Health Funding Envelope</w:t>
            </w:r>
          </w:p>
        </w:tc>
        <w:tc>
          <w:tcPr>
            <w:tcW w:w="1179" w:type="dxa"/>
          </w:tcPr>
          <w:p w14:paraId="2F348841" w14:textId="77777777" w:rsidR="00CF0E2D" w:rsidRPr="00424DA4" w:rsidRDefault="00CF0E2D" w:rsidP="00A60D4B">
            <w:pPr>
              <w:pStyle w:val="InitFigR"/>
            </w:pPr>
            <w:r>
              <w:t>-1,223</w:t>
            </w:r>
          </w:p>
        </w:tc>
        <w:tc>
          <w:tcPr>
            <w:tcW w:w="1041" w:type="dxa"/>
          </w:tcPr>
          <w:p w14:paraId="0D5BDF63" w14:textId="77777777" w:rsidR="00CF0E2D" w:rsidRPr="00424DA4" w:rsidRDefault="00CF0E2D" w:rsidP="00A60D4B">
            <w:pPr>
              <w:pStyle w:val="InitFigR"/>
            </w:pPr>
            <w:r>
              <w:t>0</w:t>
            </w:r>
          </w:p>
        </w:tc>
        <w:tc>
          <w:tcPr>
            <w:tcW w:w="1029" w:type="dxa"/>
          </w:tcPr>
          <w:p w14:paraId="18958E2B" w14:textId="77777777" w:rsidR="00CF0E2D" w:rsidRPr="00424DA4" w:rsidRDefault="00CF0E2D" w:rsidP="00A60D4B">
            <w:pPr>
              <w:pStyle w:val="InitFigR"/>
            </w:pPr>
            <w:r>
              <w:t>0</w:t>
            </w:r>
          </w:p>
        </w:tc>
        <w:tc>
          <w:tcPr>
            <w:tcW w:w="1029" w:type="dxa"/>
          </w:tcPr>
          <w:p w14:paraId="3C7BB9C0" w14:textId="77777777" w:rsidR="00CF0E2D" w:rsidRPr="00424DA4" w:rsidRDefault="00CF0E2D" w:rsidP="00A60D4B">
            <w:pPr>
              <w:pStyle w:val="InitFigR"/>
            </w:pPr>
            <w:r>
              <w:t>0</w:t>
            </w:r>
          </w:p>
        </w:tc>
        <w:tc>
          <w:tcPr>
            <w:tcW w:w="1029" w:type="dxa"/>
          </w:tcPr>
          <w:p w14:paraId="7191C214" w14:textId="77777777" w:rsidR="00CF0E2D" w:rsidRPr="00424DA4" w:rsidRDefault="00CF0E2D" w:rsidP="00A60D4B">
            <w:pPr>
              <w:pStyle w:val="InitFigBR"/>
            </w:pPr>
            <w:r>
              <w:t>-1,223</w:t>
            </w:r>
          </w:p>
        </w:tc>
      </w:tr>
      <w:tr w:rsidR="00CF0E2D" w:rsidRPr="00AE1BF4" w14:paraId="59792A63" w14:textId="77777777" w:rsidTr="00A60D4B">
        <w:trPr>
          <w:cantSplit/>
          <w:trHeight w:val="107"/>
          <w:jc w:val="center"/>
        </w:trPr>
        <w:tc>
          <w:tcPr>
            <w:tcW w:w="3652" w:type="dxa"/>
            <w:tcBorders>
              <w:top w:val="single" w:sz="4" w:space="0" w:color="auto"/>
              <w:bottom w:val="single" w:sz="4" w:space="0" w:color="auto"/>
            </w:tcBorders>
          </w:tcPr>
          <w:p w14:paraId="5500C783" w14:textId="132C6DA3" w:rsidR="00CF0E2D" w:rsidRPr="00AE1BF4"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19F2D86A" w14:textId="77777777" w:rsidR="00CF0E2D" w:rsidRDefault="00CF0E2D" w:rsidP="00A60D4B">
            <w:pPr>
              <w:pStyle w:val="InitFigRBold"/>
            </w:pPr>
            <w:r>
              <w:t>0</w:t>
            </w:r>
          </w:p>
        </w:tc>
        <w:tc>
          <w:tcPr>
            <w:tcW w:w="1041" w:type="dxa"/>
            <w:tcBorders>
              <w:top w:val="single" w:sz="4" w:space="0" w:color="auto"/>
              <w:bottom w:val="single" w:sz="4" w:space="0" w:color="auto"/>
            </w:tcBorders>
          </w:tcPr>
          <w:p w14:paraId="14651C99" w14:textId="77777777" w:rsidR="00CF0E2D" w:rsidRDefault="00CF0E2D" w:rsidP="00A60D4B">
            <w:pPr>
              <w:pStyle w:val="InitFigRBold"/>
            </w:pPr>
            <w:r>
              <w:t>0</w:t>
            </w:r>
          </w:p>
        </w:tc>
        <w:tc>
          <w:tcPr>
            <w:tcW w:w="1029" w:type="dxa"/>
            <w:tcBorders>
              <w:top w:val="single" w:sz="4" w:space="0" w:color="auto"/>
              <w:bottom w:val="single" w:sz="4" w:space="0" w:color="auto"/>
            </w:tcBorders>
          </w:tcPr>
          <w:p w14:paraId="0606D501" w14:textId="77777777" w:rsidR="00CF0E2D" w:rsidRDefault="00CF0E2D" w:rsidP="00A60D4B">
            <w:pPr>
              <w:pStyle w:val="InitFigRBold"/>
            </w:pPr>
            <w:r>
              <w:t>0</w:t>
            </w:r>
          </w:p>
        </w:tc>
        <w:tc>
          <w:tcPr>
            <w:tcW w:w="1029" w:type="dxa"/>
            <w:tcBorders>
              <w:top w:val="single" w:sz="4" w:space="0" w:color="auto"/>
              <w:bottom w:val="single" w:sz="4" w:space="0" w:color="auto"/>
            </w:tcBorders>
          </w:tcPr>
          <w:p w14:paraId="4F263C69" w14:textId="77777777" w:rsidR="00CF0E2D" w:rsidRDefault="00CF0E2D" w:rsidP="00A60D4B">
            <w:pPr>
              <w:pStyle w:val="InitFigRBold"/>
            </w:pPr>
            <w:r>
              <w:t>0</w:t>
            </w:r>
          </w:p>
        </w:tc>
        <w:tc>
          <w:tcPr>
            <w:tcW w:w="1029" w:type="dxa"/>
            <w:tcBorders>
              <w:top w:val="single" w:sz="4" w:space="0" w:color="auto"/>
              <w:bottom w:val="single" w:sz="4" w:space="0" w:color="auto"/>
            </w:tcBorders>
          </w:tcPr>
          <w:p w14:paraId="08E87911" w14:textId="77777777" w:rsidR="00CF0E2D" w:rsidRPr="00AE1BF4" w:rsidRDefault="00CF0E2D" w:rsidP="00A60D4B">
            <w:pPr>
              <w:pStyle w:val="InitFigRBold"/>
              <w:rPr>
                <w:bCs/>
              </w:rPr>
            </w:pPr>
            <w:r>
              <w:rPr>
                <w:bCs/>
              </w:rPr>
              <w:t>0</w:t>
            </w:r>
          </w:p>
        </w:tc>
      </w:tr>
    </w:tbl>
    <w:p w14:paraId="185BEE0F" w14:textId="77777777" w:rsidR="00CF0E2D" w:rsidRDefault="00CF0E2D" w:rsidP="00A60D4B">
      <w:pPr>
        <w:pStyle w:val="Bbodytext"/>
        <w:rPr>
          <w:lang w:val="en-US"/>
        </w:rPr>
      </w:pPr>
      <w:r>
        <w:rPr>
          <w:lang w:val="en-US"/>
        </w:rPr>
        <w:t xml:space="preserve">The Government will continue support for the </w:t>
      </w:r>
      <w:r w:rsidRPr="00DB65EA">
        <w:rPr>
          <w:lang w:val="en-US"/>
        </w:rPr>
        <w:t>Home Assessment and Acute Response Team (HAART) program</w:t>
      </w:r>
      <w:r>
        <w:rPr>
          <w:lang w:val="en-US"/>
        </w:rPr>
        <w:t xml:space="preserve">, which </w:t>
      </w:r>
      <w:r w:rsidRPr="00E56D24">
        <w:rPr>
          <w:lang w:val="en-US"/>
        </w:rPr>
        <w:t>provides urgent mental health assessment and intervention</w:t>
      </w:r>
      <w:r>
        <w:rPr>
          <w:lang w:val="en-US"/>
        </w:rPr>
        <w:t xml:space="preserve">, helping to </w:t>
      </w:r>
      <w:r w:rsidRPr="00E56D24">
        <w:rPr>
          <w:lang w:val="en-US"/>
        </w:rPr>
        <w:t>reduce hospital admissions.</w:t>
      </w:r>
    </w:p>
    <w:p w14:paraId="19C883FA" w14:textId="77777777" w:rsidR="00CF0E2D" w:rsidRDefault="00CF0E2D" w:rsidP="00A60D4B">
      <w:pPr>
        <w:pStyle w:val="Bbodytext"/>
        <w:rPr>
          <w:lang w:val="en-US"/>
        </w:rPr>
      </w:pPr>
      <w:r>
        <w:rPr>
          <w:lang w:val="en-US"/>
        </w:rPr>
        <w:t>This initiative builds on funding initially provided through</w:t>
      </w:r>
      <w:r w:rsidRPr="00E56D24">
        <w:rPr>
          <w:lang w:val="en-US"/>
        </w:rPr>
        <w:t xml:space="preserve"> the COVID-19 Mental Health Support Package</w:t>
      </w:r>
      <w:r>
        <w:rPr>
          <w:lang w:val="en-US"/>
        </w:rPr>
        <w:t>.</w:t>
      </w:r>
    </w:p>
    <w:p w14:paraId="3C7BCF15" w14:textId="77777777" w:rsidR="00CF0E2D" w:rsidRDefault="00CF0E2D" w:rsidP="00A60D4B">
      <w:pPr>
        <w:pStyle w:val="Bbodytext"/>
      </w:pPr>
      <w:r>
        <w:rPr>
          <w:lang w:val="en-US"/>
        </w:rPr>
        <w:t xml:space="preserve">This initiative </w:t>
      </w:r>
      <w:r>
        <w:t>contributes to the wellbeing domain of Health.</w:t>
      </w:r>
    </w:p>
    <w:p w14:paraId="74C43A7B" w14:textId="77777777" w:rsidR="00CF0E2D" w:rsidRDefault="00CF0E2D">
      <w:pPr>
        <w:rPr>
          <w:sz w:val="24"/>
        </w:rPr>
      </w:pPr>
      <w:r>
        <w:br w:type="page"/>
      </w:r>
    </w:p>
    <w:p w14:paraId="2704896E" w14:textId="77777777" w:rsidR="00CF0E2D" w:rsidRPr="001952D1" w:rsidRDefault="00CF0E2D" w:rsidP="00A60D4B">
      <w:pPr>
        <w:pStyle w:val="Heading4"/>
        <w:rPr>
          <w:rFonts w:eastAsia="Times New Roman"/>
        </w:rPr>
      </w:pPr>
      <w:r w:rsidRPr="001952D1">
        <w:rPr>
          <w:rFonts w:eastAsia="Times New Roman"/>
        </w:rPr>
        <w:lastRenderedPageBreak/>
        <w:t xml:space="preserve">Better care in the community – Expansion of </w:t>
      </w:r>
      <w:r>
        <w:rPr>
          <w:rFonts w:eastAsia="Times New Roman"/>
        </w:rPr>
        <w:t>p</w:t>
      </w:r>
      <w:r w:rsidRPr="001952D1">
        <w:rPr>
          <w:rFonts w:eastAsia="Times New Roman"/>
        </w:rPr>
        <w:t xml:space="preserve">alliative </w:t>
      </w:r>
      <w:r>
        <w:rPr>
          <w:rFonts w:eastAsia="Times New Roman"/>
        </w:rPr>
        <w:t>c</w:t>
      </w:r>
      <w:r w:rsidRPr="001952D1">
        <w:rPr>
          <w:rFonts w:eastAsia="Times New Roman"/>
        </w:rPr>
        <w:t xml:space="preserve">are </w:t>
      </w:r>
      <w:r>
        <w:rPr>
          <w:rFonts w:eastAsia="Times New Roman"/>
        </w:rPr>
        <w:t>s</w:t>
      </w:r>
      <w:r w:rsidRPr="001952D1">
        <w:rPr>
          <w:rFonts w:eastAsia="Times New Roman"/>
        </w:rPr>
        <w:t xml:space="preserve">ervices at Clare Holland House Hospice </w:t>
      </w:r>
      <w:r>
        <w:rPr>
          <w:b w:val="0"/>
          <w:noProof/>
          <w:color w:val="999789"/>
          <w:sz w:val="32"/>
          <w:szCs w:val="24"/>
        </w:rPr>
        <w:drawing>
          <wp:anchor distT="0" distB="0" distL="114300" distR="114300" simplePos="0" relativeHeight="251864064" behindDoc="0" locked="1" layoutInCell="1" allowOverlap="1" wp14:anchorId="1CEEA3E4" wp14:editId="0A122FAF">
            <wp:simplePos x="0" y="0"/>
            <wp:positionH relativeFrom="margin">
              <wp:align>right</wp:align>
            </wp:positionH>
            <wp:positionV relativeFrom="paragraph">
              <wp:posOffset>10795</wp:posOffset>
            </wp:positionV>
            <wp:extent cx="993140" cy="503555"/>
            <wp:effectExtent l="0" t="0" r="0" b="0"/>
            <wp:wrapSquare wrapText="bothSides"/>
            <wp:docPr id="163" name="Picture 163"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64096BCA" w14:textId="77777777" w:rsidTr="00A60D4B">
        <w:trPr>
          <w:cantSplit/>
          <w:jc w:val="center"/>
        </w:trPr>
        <w:tc>
          <w:tcPr>
            <w:tcW w:w="3652" w:type="dxa"/>
            <w:tcBorders>
              <w:top w:val="single" w:sz="4" w:space="0" w:color="auto"/>
              <w:bottom w:val="single" w:sz="4" w:space="0" w:color="auto"/>
            </w:tcBorders>
          </w:tcPr>
          <w:p w14:paraId="74190777"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7F405D82" w14:textId="77777777" w:rsidR="00CF0E2D" w:rsidRPr="00987EB8" w:rsidRDefault="00CF0E2D" w:rsidP="00A60D4B">
            <w:pPr>
              <w:pStyle w:val="InitFigR"/>
              <w:rPr>
                <w:b/>
                <w:bCs/>
              </w:rPr>
            </w:pPr>
            <w:r w:rsidRPr="00987EB8">
              <w:rPr>
                <w:b/>
                <w:bCs/>
              </w:rPr>
              <w:t>2021-22</w:t>
            </w:r>
          </w:p>
          <w:p w14:paraId="6350390A" w14:textId="77777777" w:rsidR="00CF0E2D" w:rsidRPr="00987EB8" w:rsidRDefault="00CF0E2D" w:rsidP="00A60D4B">
            <w:pPr>
              <w:pStyle w:val="InitFigR"/>
              <w:rPr>
                <w:b/>
                <w:bCs/>
              </w:rPr>
            </w:pPr>
            <w:r w:rsidRPr="00987EB8">
              <w:rPr>
                <w:b/>
                <w:bCs/>
              </w:rPr>
              <w:t>$’000</w:t>
            </w:r>
          </w:p>
        </w:tc>
        <w:tc>
          <w:tcPr>
            <w:tcW w:w="1041" w:type="dxa"/>
            <w:tcBorders>
              <w:top w:val="single" w:sz="4" w:space="0" w:color="auto"/>
              <w:bottom w:val="single" w:sz="4" w:space="0" w:color="auto"/>
            </w:tcBorders>
          </w:tcPr>
          <w:p w14:paraId="17A9155E" w14:textId="77777777" w:rsidR="00CF0E2D" w:rsidRPr="00987EB8" w:rsidRDefault="00CF0E2D" w:rsidP="00A60D4B">
            <w:pPr>
              <w:pStyle w:val="InitFigR"/>
              <w:rPr>
                <w:b/>
                <w:bCs/>
              </w:rPr>
            </w:pPr>
            <w:r w:rsidRPr="00987EB8">
              <w:rPr>
                <w:b/>
                <w:bCs/>
              </w:rPr>
              <w:t>2022-23</w:t>
            </w:r>
          </w:p>
          <w:p w14:paraId="4CA57DBB"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03D54CD3" w14:textId="77777777" w:rsidR="00CF0E2D" w:rsidRPr="00987EB8" w:rsidRDefault="00CF0E2D" w:rsidP="00A60D4B">
            <w:pPr>
              <w:pStyle w:val="InitFigR"/>
              <w:rPr>
                <w:b/>
                <w:bCs/>
              </w:rPr>
            </w:pPr>
            <w:r w:rsidRPr="00987EB8">
              <w:rPr>
                <w:b/>
                <w:bCs/>
              </w:rPr>
              <w:t>2023-24</w:t>
            </w:r>
          </w:p>
          <w:p w14:paraId="28F0DE9F"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3B99346E" w14:textId="77777777" w:rsidR="00CF0E2D" w:rsidRPr="00987EB8" w:rsidRDefault="00CF0E2D" w:rsidP="00A60D4B">
            <w:pPr>
              <w:pStyle w:val="InitFigR"/>
              <w:rPr>
                <w:b/>
                <w:bCs/>
              </w:rPr>
            </w:pPr>
            <w:r w:rsidRPr="00987EB8">
              <w:rPr>
                <w:b/>
                <w:bCs/>
              </w:rPr>
              <w:t>2024-25</w:t>
            </w:r>
          </w:p>
          <w:p w14:paraId="7F7D426A"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0369D047" w14:textId="77777777" w:rsidR="00CF0E2D" w:rsidRPr="004E341E" w:rsidRDefault="00CF0E2D" w:rsidP="00A60D4B">
            <w:pPr>
              <w:pStyle w:val="InitFigRBold"/>
            </w:pPr>
            <w:r w:rsidRPr="004E341E">
              <w:t>Total</w:t>
            </w:r>
          </w:p>
          <w:p w14:paraId="0D67D956" w14:textId="77777777" w:rsidR="00CF0E2D" w:rsidRPr="004E341E" w:rsidRDefault="00CF0E2D" w:rsidP="00A60D4B">
            <w:pPr>
              <w:pStyle w:val="InitFigBR"/>
            </w:pPr>
            <w:r w:rsidRPr="004E341E">
              <w:t>$’000</w:t>
            </w:r>
          </w:p>
        </w:tc>
      </w:tr>
      <w:tr w:rsidR="00CF0E2D" w:rsidRPr="00750793" w14:paraId="1603786D" w14:textId="77777777" w:rsidTr="00A60D4B">
        <w:trPr>
          <w:cantSplit/>
          <w:jc w:val="center"/>
        </w:trPr>
        <w:tc>
          <w:tcPr>
            <w:tcW w:w="3652" w:type="dxa"/>
          </w:tcPr>
          <w:p w14:paraId="58792363" w14:textId="77777777" w:rsidR="00CF0E2D" w:rsidRPr="00F13FAB" w:rsidRDefault="00CF0E2D" w:rsidP="00A60D4B">
            <w:pPr>
              <w:pStyle w:val="InitTextL"/>
              <w:ind w:left="321" w:hanging="321"/>
            </w:pPr>
            <w:r w:rsidRPr="00882BE2">
              <w:t>Expenses</w:t>
            </w:r>
          </w:p>
        </w:tc>
        <w:tc>
          <w:tcPr>
            <w:tcW w:w="1179" w:type="dxa"/>
          </w:tcPr>
          <w:p w14:paraId="3A4F623C" w14:textId="77777777" w:rsidR="00CF0E2D" w:rsidRPr="00424DA4" w:rsidRDefault="00CF0E2D" w:rsidP="00A60D4B">
            <w:pPr>
              <w:pStyle w:val="InitFigR"/>
            </w:pPr>
            <w:r>
              <w:t>1,474</w:t>
            </w:r>
          </w:p>
        </w:tc>
        <w:tc>
          <w:tcPr>
            <w:tcW w:w="1041" w:type="dxa"/>
          </w:tcPr>
          <w:p w14:paraId="12786666" w14:textId="77777777" w:rsidR="00CF0E2D" w:rsidRPr="00424DA4" w:rsidRDefault="00CF0E2D" w:rsidP="00A60D4B">
            <w:pPr>
              <w:pStyle w:val="InitFigR"/>
            </w:pPr>
            <w:r>
              <w:t>4,509</w:t>
            </w:r>
          </w:p>
        </w:tc>
        <w:tc>
          <w:tcPr>
            <w:tcW w:w="1029" w:type="dxa"/>
          </w:tcPr>
          <w:p w14:paraId="2FFD1F49" w14:textId="77777777" w:rsidR="00CF0E2D" w:rsidRPr="00424DA4" w:rsidRDefault="00CF0E2D" w:rsidP="00A60D4B">
            <w:pPr>
              <w:pStyle w:val="InitFigR"/>
            </w:pPr>
            <w:r>
              <w:t>4,772</w:t>
            </w:r>
          </w:p>
        </w:tc>
        <w:tc>
          <w:tcPr>
            <w:tcW w:w="1029" w:type="dxa"/>
          </w:tcPr>
          <w:p w14:paraId="1CA61142" w14:textId="77777777" w:rsidR="00CF0E2D" w:rsidRPr="00424DA4" w:rsidRDefault="00CF0E2D" w:rsidP="00A60D4B">
            <w:pPr>
              <w:pStyle w:val="InitFigR"/>
            </w:pPr>
            <w:r>
              <w:t>5,302</w:t>
            </w:r>
          </w:p>
        </w:tc>
        <w:tc>
          <w:tcPr>
            <w:tcW w:w="1029" w:type="dxa"/>
          </w:tcPr>
          <w:p w14:paraId="29F0CD5F" w14:textId="77777777" w:rsidR="00CF0E2D" w:rsidRPr="00424DA4" w:rsidRDefault="00CF0E2D" w:rsidP="00A60D4B">
            <w:pPr>
              <w:pStyle w:val="InitFigBR"/>
            </w:pPr>
            <w:r>
              <w:t>16,057</w:t>
            </w:r>
          </w:p>
        </w:tc>
      </w:tr>
      <w:tr w:rsidR="00CF0E2D" w:rsidRPr="00750793" w14:paraId="0E016D37" w14:textId="77777777" w:rsidTr="00A60D4B">
        <w:trPr>
          <w:cantSplit/>
          <w:jc w:val="center"/>
        </w:trPr>
        <w:tc>
          <w:tcPr>
            <w:tcW w:w="3652" w:type="dxa"/>
          </w:tcPr>
          <w:p w14:paraId="1E2FA8F1" w14:textId="77777777" w:rsidR="00CF0E2D" w:rsidRPr="00882BE2" w:rsidRDefault="00CF0E2D" w:rsidP="00A60D4B">
            <w:pPr>
              <w:pStyle w:val="InitTextL"/>
              <w:ind w:left="321" w:hanging="321"/>
            </w:pPr>
            <w:r>
              <w:t>Expenses – Capital Grant</w:t>
            </w:r>
          </w:p>
        </w:tc>
        <w:tc>
          <w:tcPr>
            <w:tcW w:w="1179" w:type="dxa"/>
          </w:tcPr>
          <w:p w14:paraId="2570F9FF" w14:textId="77777777" w:rsidR="00CF0E2D" w:rsidRPr="00D40E16" w:rsidRDefault="00CF0E2D" w:rsidP="00A60D4B">
            <w:pPr>
              <w:pStyle w:val="InitFigR"/>
            </w:pPr>
            <w:r>
              <w:t>46</w:t>
            </w:r>
          </w:p>
        </w:tc>
        <w:tc>
          <w:tcPr>
            <w:tcW w:w="1041" w:type="dxa"/>
          </w:tcPr>
          <w:p w14:paraId="7A337A4F" w14:textId="77777777" w:rsidR="00CF0E2D" w:rsidRPr="00D40E16" w:rsidRDefault="00CF0E2D" w:rsidP="00A60D4B">
            <w:pPr>
              <w:pStyle w:val="InitFigR"/>
            </w:pPr>
            <w:r>
              <w:t>0</w:t>
            </w:r>
          </w:p>
        </w:tc>
        <w:tc>
          <w:tcPr>
            <w:tcW w:w="1029" w:type="dxa"/>
          </w:tcPr>
          <w:p w14:paraId="23E81E44" w14:textId="77777777" w:rsidR="00CF0E2D" w:rsidRPr="00D40E16" w:rsidRDefault="00CF0E2D" w:rsidP="00A60D4B">
            <w:pPr>
              <w:pStyle w:val="InitFigR"/>
            </w:pPr>
            <w:r>
              <w:t>0</w:t>
            </w:r>
          </w:p>
        </w:tc>
        <w:tc>
          <w:tcPr>
            <w:tcW w:w="1029" w:type="dxa"/>
          </w:tcPr>
          <w:p w14:paraId="1ADDCA08" w14:textId="77777777" w:rsidR="00CF0E2D" w:rsidRPr="00D40E16" w:rsidRDefault="00CF0E2D" w:rsidP="00A60D4B">
            <w:pPr>
              <w:pStyle w:val="InitFigR"/>
            </w:pPr>
            <w:r>
              <w:t>0</w:t>
            </w:r>
          </w:p>
        </w:tc>
        <w:tc>
          <w:tcPr>
            <w:tcW w:w="1029" w:type="dxa"/>
          </w:tcPr>
          <w:p w14:paraId="499C58A4" w14:textId="77777777" w:rsidR="00CF0E2D" w:rsidRPr="00D40E16" w:rsidRDefault="00CF0E2D" w:rsidP="00A60D4B">
            <w:pPr>
              <w:pStyle w:val="InitFigBR"/>
            </w:pPr>
            <w:r>
              <w:t>46</w:t>
            </w:r>
          </w:p>
        </w:tc>
      </w:tr>
      <w:tr w:rsidR="00CF0E2D" w:rsidRPr="00750793" w14:paraId="4537C430" w14:textId="77777777" w:rsidTr="00A60D4B">
        <w:trPr>
          <w:cantSplit/>
          <w:jc w:val="center"/>
        </w:trPr>
        <w:tc>
          <w:tcPr>
            <w:tcW w:w="3652" w:type="dxa"/>
          </w:tcPr>
          <w:p w14:paraId="67C77E17" w14:textId="77777777" w:rsidR="00CF0E2D" w:rsidRDefault="00CF0E2D" w:rsidP="00A60D4B">
            <w:pPr>
              <w:pStyle w:val="InitTextL"/>
              <w:ind w:left="321" w:hanging="321"/>
            </w:pPr>
            <w:r>
              <w:t>Offset – Health Funding Envelope</w:t>
            </w:r>
          </w:p>
        </w:tc>
        <w:tc>
          <w:tcPr>
            <w:tcW w:w="1179" w:type="dxa"/>
          </w:tcPr>
          <w:p w14:paraId="6B3D3183" w14:textId="77777777" w:rsidR="00CF0E2D" w:rsidRPr="00424DA4" w:rsidRDefault="00CF0E2D" w:rsidP="00A60D4B">
            <w:pPr>
              <w:pStyle w:val="InitFigR"/>
            </w:pPr>
            <w:r>
              <w:t>-1,474</w:t>
            </w:r>
          </w:p>
        </w:tc>
        <w:tc>
          <w:tcPr>
            <w:tcW w:w="1041" w:type="dxa"/>
          </w:tcPr>
          <w:p w14:paraId="25A163C8" w14:textId="77777777" w:rsidR="00CF0E2D" w:rsidRPr="00424DA4" w:rsidRDefault="00CF0E2D" w:rsidP="00A60D4B">
            <w:pPr>
              <w:pStyle w:val="InitFigR"/>
            </w:pPr>
            <w:r>
              <w:t>-4,509</w:t>
            </w:r>
          </w:p>
        </w:tc>
        <w:tc>
          <w:tcPr>
            <w:tcW w:w="1029" w:type="dxa"/>
          </w:tcPr>
          <w:p w14:paraId="3B7DA66E" w14:textId="77777777" w:rsidR="00CF0E2D" w:rsidRPr="00424DA4" w:rsidRDefault="00CF0E2D" w:rsidP="00A60D4B">
            <w:pPr>
              <w:pStyle w:val="InitFigR"/>
            </w:pPr>
            <w:r>
              <w:t>-4,772</w:t>
            </w:r>
          </w:p>
        </w:tc>
        <w:tc>
          <w:tcPr>
            <w:tcW w:w="1029" w:type="dxa"/>
          </w:tcPr>
          <w:p w14:paraId="5E669B55" w14:textId="77777777" w:rsidR="00CF0E2D" w:rsidRPr="00424DA4" w:rsidRDefault="00CF0E2D" w:rsidP="00A60D4B">
            <w:pPr>
              <w:pStyle w:val="InitFigR"/>
            </w:pPr>
            <w:r>
              <w:t>-5,302</w:t>
            </w:r>
          </w:p>
        </w:tc>
        <w:tc>
          <w:tcPr>
            <w:tcW w:w="1029" w:type="dxa"/>
          </w:tcPr>
          <w:p w14:paraId="2161EFC3" w14:textId="77777777" w:rsidR="00CF0E2D" w:rsidRPr="00424DA4" w:rsidRDefault="00CF0E2D" w:rsidP="00A60D4B">
            <w:pPr>
              <w:pStyle w:val="InitFigBR"/>
            </w:pPr>
            <w:r>
              <w:t>-16,057</w:t>
            </w:r>
          </w:p>
        </w:tc>
      </w:tr>
      <w:tr w:rsidR="00CF0E2D" w:rsidRPr="00DA5279" w14:paraId="6C07C60D" w14:textId="77777777" w:rsidTr="00A60D4B">
        <w:trPr>
          <w:cantSplit/>
          <w:trHeight w:val="107"/>
          <w:jc w:val="center"/>
        </w:trPr>
        <w:tc>
          <w:tcPr>
            <w:tcW w:w="3652" w:type="dxa"/>
            <w:tcBorders>
              <w:top w:val="single" w:sz="4" w:space="0" w:color="auto"/>
              <w:bottom w:val="single" w:sz="4" w:space="0" w:color="auto"/>
            </w:tcBorders>
          </w:tcPr>
          <w:p w14:paraId="076E2FB2" w14:textId="2979390F" w:rsidR="00CF0E2D" w:rsidRPr="00DA5279"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2928735E" w14:textId="77777777" w:rsidR="00CF0E2D" w:rsidRDefault="00CF0E2D" w:rsidP="00A60D4B">
            <w:pPr>
              <w:pStyle w:val="InitFigRBold"/>
            </w:pPr>
            <w:r>
              <w:t>46</w:t>
            </w:r>
          </w:p>
        </w:tc>
        <w:tc>
          <w:tcPr>
            <w:tcW w:w="1041" w:type="dxa"/>
            <w:tcBorders>
              <w:top w:val="single" w:sz="4" w:space="0" w:color="auto"/>
              <w:bottom w:val="single" w:sz="4" w:space="0" w:color="auto"/>
            </w:tcBorders>
          </w:tcPr>
          <w:p w14:paraId="0FDE9D5E" w14:textId="77777777" w:rsidR="00CF0E2D" w:rsidRDefault="00CF0E2D" w:rsidP="00A60D4B">
            <w:pPr>
              <w:pStyle w:val="InitFigRBold"/>
            </w:pPr>
            <w:r>
              <w:t>0</w:t>
            </w:r>
          </w:p>
        </w:tc>
        <w:tc>
          <w:tcPr>
            <w:tcW w:w="1029" w:type="dxa"/>
            <w:tcBorders>
              <w:top w:val="single" w:sz="4" w:space="0" w:color="auto"/>
              <w:bottom w:val="single" w:sz="4" w:space="0" w:color="auto"/>
            </w:tcBorders>
          </w:tcPr>
          <w:p w14:paraId="6A47C5CF" w14:textId="77777777" w:rsidR="00CF0E2D" w:rsidRDefault="00CF0E2D" w:rsidP="00A60D4B">
            <w:pPr>
              <w:pStyle w:val="InitFigRBold"/>
            </w:pPr>
            <w:r>
              <w:t>0</w:t>
            </w:r>
          </w:p>
        </w:tc>
        <w:tc>
          <w:tcPr>
            <w:tcW w:w="1029" w:type="dxa"/>
            <w:tcBorders>
              <w:top w:val="single" w:sz="4" w:space="0" w:color="auto"/>
              <w:bottom w:val="single" w:sz="4" w:space="0" w:color="auto"/>
            </w:tcBorders>
          </w:tcPr>
          <w:p w14:paraId="5E7C8BE9" w14:textId="77777777" w:rsidR="00CF0E2D" w:rsidRDefault="00CF0E2D" w:rsidP="00A60D4B">
            <w:pPr>
              <w:pStyle w:val="InitFigRBold"/>
            </w:pPr>
            <w:r>
              <w:t>0</w:t>
            </w:r>
          </w:p>
        </w:tc>
        <w:tc>
          <w:tcPr>
            <w:tcW w:w="1029" w:type="dxa"/>
            <w:tcBorders>
              <w:top w:val="single" w:sz="4" w:space="0" w:color="auto"/>
              <w:bottom w:val="single" w:sz="4" w:space="0" w:color="auto"/>
            </w:tcBorders>
          </w:tcPr>
          <w:p w14:paraId="6B105131" w14:textId="77777777" w:rsidR="00CF0E2D" w:rsidRPr="00DA5279" w:rsidRDefault="00CF0E2D" w:rsidP="00A60D4B">
            <w:pPr>
              <w:pStyle w:val="InitFigRBold"/>
              <w:rPr>
                <w:bCs/>
              </w:rPr>
            </w:pPr>
            <w:r>
              <w:rPr>
                <w:bCs/>
              </w:rPr>
              <w:t>46</w:t>
            </w:r>
          </w:p>
        </w:tc>
      </w:tr>
    </w:tbl>
    <w:p w14:paraId="0145C74E" w14:textId="77777777" w:rsidR="00CF0E2D" w:rsidRPr="00DC3B4F" w:rsidRDefault="00CF0E2D" w:rsidP="00A60D4B">
      <w:pPr>
        <w:pStyle w:val="Bbodytext"/>
      </w:pPr>
      <w:r w:rsidRPr="001952D1">
        <w:t xml:space="preserve">The Government will provide </w:t>
      </w:r>
      <w:r w:rsidRPr="00DC3B4F">
        <w:t>funding to support an increase in home-based palliative care services as well as supporting five new inpatient beds at Clare Holland House.</w:t>
      </w:r>
    </w:p>
    <w:p w14:paraId="6CFBA212" w14:textId="77777777" w:rsidR="00CF0E2D" w:rsidRPr="00DC3B4F" w:rsidRDefault="00CF0E2D" w:rsidP="00A60D4B">
      <w:pPr>
        <w:pStyle w:val="Bbodytext"/>
      </w:pPr>
      <w:r w:rsidRPr="001952D1">
        <w:t xml:space="preserve">This initiative builds on </w:t>
      </w:r>
      <w:r w:rsidRPr="00DC3B4F">
        <w:t>the recent expansion of Clare Holland House, jointly funded by the Commonwealth Government, the Snow Foundation and the ACT Government.</w:t>
      </w:r>
      <w:r w:rsidRPr="00DC3B4F" w:rsidDel="00447EEE">
        <w:t xml:space="preserve"> </w:t>
      </w:r>
    </w:p>
    <w:p w14:paraId="0C858939" w14:textId="77777777" w:rsidR="00CF0E2D" w:rsidRDefault="00CF0E2D" w:rsidP="00A60D4B">
      <w:pPr>
        <w:pStyle w:val="Bbodytext"/>
      </w:pPr>
      <w:r w:rsidRPr="001952D1">
        <w:t>This initiative</w:t>
      </w:r>
      <w:r w:rsidRPr="00DC3B4F">
        <w:t xml:space="preserve"> contributes to the wellbeing domain of Health.</w:t>
      </w:r>
    </w:p>
    <w:p w14:paraId="79EE184F" w14:textId="77777777" w:rsidR="00CF0E2D" w:rsidRPr="00DC3B4F" w:rsidRDefault="00CF0E2D" w:rsidP="00A60D4B">
      <w:pPr>
        <w:pStyle w:val="Bbodytext"/>
      </w:pPr>
    </w:p>
    <w:p w14:paraId="3E278F47" w14:textId="77777777" w:rsidR="00CF0E2D" w:rsidRPr="001952D1" w:rsidRDefault="00CF0E2D" w:rsidP="00A60D4B">
      <w:pPr>
        <w:pStyle w:val="Heading4"/>
        <w:rPr>
          <w:rFonts w:eastAsia="Times New Roman"/>
        </w:rPr>
      </w:pPr>
      <w:r w:rsidRPr="001952D1">
        <w:rPr>
          <w:rFonts w:eastAsia="Times New Roman"/>
        </w:rPr>
        <w:t xml:space="preserve">Better care in the community – Implementation of the LGBTIQ+ </w:t>
      </w:r>
      <w:r>
        <w:rPr>
          <w:rFonts w:eastAsia="Times New Roman"/>
        </w:rPr>
        <w:t>S</w:t>
      </w:r>
      <w:r w:rsidRPr="001952D1">
        <w:rPr>
          <w:rFonts w:eastAsia="Times New Roman"/>
        </w:rPr>
        <w:t xml:space="preserve">coping </w:t>
      </w:r>
      <w:r>
        <w:rPr>
          <w:rFonts w:eastAsia="Times New Roman"/>
        </w:rPr>
        <w:t>S</w:t>
      </w:r>
      <w:r w:rsidRPr="001952D1">
        <w:rPr>
          <w:rFonts w:eastAsia="Times New Roman"/>
        </w:rPr>
        <w:t xml:space="preserve">tudy </w:t>
      </w:r>
      <w:r>
        <w:rPr>
          <w:rFonts w:eastAsia="Times New Roman"/>
        </w:rPr>
        <w:t>r</w:t>
      </w:r>
      <w:r w:rsidRPr="001952D1">
        <w:rPr>
          <w:rFonts w:eastAsia="Times New Roman"/>
        </w:rPr>
        <w:t xml:space="preserve">ecommendations  </w:t>
      </w:r>
      <w:r>
        <w:rPr>
          <w:b w:val="0"/>
          <w:noProof/>
          <w:color w:val="999789"/>
          <w:sz w:val="32"/>
          <w:szCs w:val="24"/>
        </w:rPr>
        <w:drawing>
          <wp:anchor distT="0" distB="0" distL="114300" distR="114300" simplePos="0" relativeHeight="251865088" behindDoc="0" locked="1" layoutInCell="1" allowOverlap="1" wp14:anchorId="76BBF57B" wp14:editId="23C576A2">
            <wp:simplePos x="0" y="0"/>
            <wp:positionH relativeFrom="margin">
              <wp:align>right</wp:align>
            </wp:positionH>
            <wp:positionV relativeFrom="paragraph">
              <wp:posOffset>83185</wp:posOffset>
            </wp:positionV>
            <wp:extent cx="993140" cy="503555"/>
            <wp:effectExtent l="0" t="0" r="0" b="0"/>
            <wp:wrapSquare wrapText="bothSides"/>
            <wp:docPr id="66" name="Picture 66"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75F23302" w14:textId="77777777" w:rsidTr="00A60D4B">
        <w:trPr>
          <w:cantSplit/>
          <w:jc w:val="center"/>
        </w:trPr>
        <w:tc>
          <w:tcPr>
            <w:tcW w:w="3652" w:type="dxa"/>
            <w:tcBorders>
              <w:top w:val="single" w:sz="4" w:space="0" w:color="auto"/>
              <w:bottom w:val="single" w:sz="4" w:space="0" w:color="auto"/>
            </w:tcBorders>
          </w:tcPr>
          <w:p w14:paraId="0EB064F2"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201D5CB3" w14:textId="77777777" w:rsidR="00CF0E2D" w:rsidRPr="00987EB8" w:rsidRDefault="00CF0E2D" w:rsidP="00A60D4B">
            <w:pPr>
              <w:pStyle w:val="InitFigR"/>
              <w:rPr>
                <w:b/>
                <w:bCs/>
              </w:rPr>
            </w:pPr>
            <w:r w:rsidRPr="00987EB8">
              <w:rPr>
                <w:b/>
                <w:bCs/>
              </w:rPr>
              <w:t>2021-22</w:t>
            </w:r>
          </w:p>
          <w:p w14:paraId="217A0F21" w14:textId="77777777" w:rsidR="00CF0E2D" w:rsidRPr="00987EB8" w:rsidRDefault="00CF0E2D" w:rsidP="00A60D4B">
            <w:pPr>
              <w:pStyle w:val="InitFigR"/>
              <w:rPr>
                <w:b/>
                <w:bCs/>
              </w:rPr>
            </w:pPr>
            <w:r w:rsidRPr="00987EB8">
              <w:rPr>
                <w:b/>
                <w:bCs/>
              </w:rPr>
              <w:t>$’000</w:t>
            </w:r>
          </w:p>
        </w:tc>
        <w:tc>
          <w:tcPr>
            <w:tcW w:w="1041" w:type="dxa"/>
            <w:tcBorders>
              <w:top w:val="single" w:sz="4" w:space="0" w:color="auto"/>
              <w:bottom w:val="single" w:sz="4" w:space="0" w:color="auto"/>
            </w:tcBorders>
          </w:tcPr>
          <w:p w14:paraId="62A31F21" w14:textId="77777777" w:rsidR="00CF0E2D" w:rsidRPr="00987EB8" w:rsidRDefault="00CF0E2D" w:rsidP="00A60D4B">
            <w:pPr>
              <w:pStyle w:val="InitFigR"/>
              <w:rPr>
                <w:b/>
                <w:bCs/>
              </w:rPr>
            </w:pPr>
            <w:r w:rsidRPr="00987EB8">
              <w:rPr>
                <w:b/>
                <w:bCs/>
              </w:rPr>
              <w:t>2022-23</w:t>
            </w:r>
          </w:p>
          <w:p w14:paraId="26EE3365"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1B366D94" w14:textId="77777777" w:rsidR="00CF0E2D" w:rsidRPr="00987EB8" w:rsidRDefault="00CF0E2D" w:rsidP="00A60D4B">
            <w:pPr>
              <w:pStyle w:val="InitFigR"/>
              <w:rPr>
                <w:b/>
                <w:bCs/>
              </w:rPr>
            </w:pPr>
            <w:r w:rsidRPr="00987EB8">
              <w:rPr>
                <w:b/>
                <w:bCs/>
              </w:rPr>
              <w:t>2023-24</w:t>
            </w:r>
          </w:p>
          <w:p w14:paraId="12168FF9"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069E08B2" w14:textId="77777777" w:rsidR="00CF0E2D" w:rsidRPr="00987EB8" w:rsidRDefault="00CF0E2D" w:rsidP="00A60D4B">
            <w:pPr>
              <w:pStyle w:val="InitFigR"/>
              <w:rPr>
                <w:b/>
                <w:bCs/>
              </w:rPr>
            </w:pPr>
            <w:r w:rsidRPr="00987EB8">
              <w:rPr>
                <w:b/>
                <w:bCs/>
              </w:rPr>
              <w:t>2024-25</w:t>
            </w:r>
          </w:p>
          <w:p w14:paraId="77C041D8"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25AAE99E" w14:textId="77777777" w:rsidR="00CF0E2D" w:rsidRPr="004E341E" w:rsidRDefault="00CF0E2D" w:rsidP="00A60D4B">
            <w:pPr>
              <w:pStyle w:val="InitFigRBold"/>
            </w:pPr>
            <w:r w:rsidRPr="004E341E">
              <w:t>Total</w:t>
            </w:r>
          </w:p>
          <w:p w14:paraId="28D1067A" w14:textId="77777777" w:rsidR="00CF0E2D" w:rsidRPr="004E341E" w:rsidRDefault="00CF0E2D" w:rsidP="00A60D4B">
            <w:pPr>
              <w:pStyle w:val="InitFigBR"/>
            </w:pPr>
            <w:r w:rsidRPr="004E341E">
              <w:t>$’000</w:t>
            </w:r>
          </w:p>
        </w:tc>
      </w:tr>
      <w:tr w:rsidR="00CF0E2D" w:rsidRPr="00750793" w14:paraId="1AE8517B" w14:textId="77777777" w:rsidTr="00A60D4B">
        <w:trPr>
          <w:cantSplit/>
          <w:jc w:val="center"/>
        </w:trPr>
        <w:tc>
          <w:tcPr>
            <w:tcW w:w="3652" w:type="dxa"/>
          </w:tcPr>
          <w:p w14:paraId="679BD8DF" w14:textId="77777777" w:rsidR="00CF0E2D" w:rsidRPr="00F13FAB" w:rsidRDefault="00CF0E2D" w:rsidP="00A60D4B">
            <w:pPr>
              <w:pStyle w:val="InitTextL"/>
              <w:ind w:left="321" w:hanging="321"/>
            </w:pPr>
            <w:r w:rsidRPr="00882BE2">
              <w:t>Expenses</w:t>
            </w:r>
          </w:p>
        </w:tc>
        <w:tc>
          <w:tcPr>
            <w:tcW w:w="1179" w:type="dxa"/>
          </w:tcPr>
          <w:p w14:paraId="60DBDAAC" w14:textId="77777777" w:rsidR="00CF0E2D" w:rsidRPr="00424DA4" w:rsidRDefault="00CF0E2D" w:rsidP="00A60D4B">
            <w:pPr>
              <w:pStyle w:val="InitFigR"/>
            </w:pPr>
            <w:r w:rsidRPr="00CC38A8">
              <w:t>360</w:t>
            </w:r>
          </w:p>
        </w:tc>
        <w:tc>
          <w:tcPr>
            <w:tcW w:w="1041" w:type="dxa"/>
          </w:tcPr>
          <w:p w14:paraId="6D60D565" w14:textId="77777777" w:rsidR="00CF0E2D" w:rsidRPr="00424DA4" w:rsidRDefault="00CF0E2D" w:rsidP="00A60D4B">
            <w:pPr>
              <w:pStyle w:val="InitFigR"/>
            </w:pPr>
            <w:r w:rsidRPr="00CC38A8">
              <w:t>0</w:t>
            </w:r>
          </w:p>
        </w:tc>
        <w:tc>
          <w:tcPr>
            <w:tcW w:w="1029" w:type="dxa"/>
          </w:tcPr>
          <w:p w14:paraId="36E76686" w14:textId="77777777" w:rsidR="00CF0E2D" w:rsidRPr="00424DA4" w:rsidRDefault="00CF0E2D" w:rsidP="00A60D4B">
            <w:pPr>
              <w:pStyle w:val="InitFigR"/>
            </w:pPr>
            <w:r w:rsidRPr="00CC38A8">
              <w:t>0</w:t>
            </w:r>
          </w:p>
        </w:tc>
        <w:tc>
          <w:tcPr>
            <w:tcW w:w="1029" w:type="dxa"/>
          </w:tcPr>
          <w:p w14:paraId="6654ECA2" w14:textId="77777777" w:rsidR="00CF0E2D" w:rsidRPr="00424DA4" w:rsidRDefault="00CF0E2D" w:rsidP="00A60D4B">
            <w:pPr>
              <w:pStyle w:val="InitFigR"/>
            </w:pPr>
            <w:r w:rsidRPr="00CC38A8">
              <w:t>0</w:t>
            </w:r>
          </w:p>
        </w:tc>
        <w:tc>
          <w:tcPr>
            <w:tcW w:w="1029" w:type="dxa"/>
          </w:tcPr>
          <w:p w14:paraId="6306E767" w14:textId="77777777" w:rsidR="00CF0E2D" w:rsidRPr="00424DA4" w:rsidRDefault="00CF0E2D" w:rsidP="00A60D4B">
            <w:pPr>
              <w:pStyle w:val="InitFigBR"/>
            </w:pPr>
            <w:r w:rsidRPr="00CC38A8">
              <w:t>360</w:t>
            </w:r>
          </w:p>
        </w:tc>
      </w:tr>
      <w:tr w:rsidR="00CF0E2D" w:rsidRPr="00750793" w14:paraId="32478E98" w14:textId="77777777" w:rsidTr="00A60D4B">
        <w:trPr>
          <w:cantSplit/>
          <w:jc w:val="center"/>
        </w:trPr>
        <w:tc>
          <w:tcPr>
            <w:tcW w:w="3652" w:type="dxa"/>
          </w:tcPr>
          <w:p w14:paraId="5D8AA736" w14:textId="77777777" w:rsidR="00CF0E2D" w:rsidRDefault="00CF0E2D" w:rsidP="00A60D4B">
            <w:pPr>
              <w:pStyle w:val="InitTextL"/>
              <w:ind w:left="321" w:hanging="321"/>
            </w:pPr>
            <w:r>
              <w:t>Offset – Health Funding Envelope</w:t>
            </w:r>
          </w:p>
        </w:tc>
        <w:tc>
          <w:tcPr>
            <w:tcW w:w="1179" w:type="dxa"/>
          </w:tcPr>
          <w:p w14:paraId="2B3DA00E" w14:textId="77777777" w:rsidR="00CF0E2D" w:rsidRPr="00424DA4" w:rsidRDefault="00CF0E2D" w:rsidP="00A60D4B">
            <w:pPr>
              <w:pStyle w:val="InitFigR"/>
            </w:pPr>
            <w:r>
              <w:t>-</w:t>
            </w:r>
            <w:r w:rsidRPr="00CC38A8">
              <w:t>360</w:t>
            </w:r>
          </w:p>
        </w:tc>
        <w:tc>
          <w:tcPr>
            <w:tcW w:w="1041" w:type="dxa"/>
          </w:tcPr>
          <w:p w14:paraId="7631FFF7" w14:textId="77777777" w:rsidR="00CF0E2D" w:rsidRPr="00424DA4" w:rsidRDefault="00CF0E2D" w:rsidP="00A60D4B">
            <w:pPr>
              <w:pStyle w:val="InitFigR"/>
            </w:pPr>
            <w:r w:rsidRPr="00CC38A8">
              <w:t>0</w:t>
            </w:r>
          </w:p>
        </w:tc>
        <w:tc>
          <w:tcPr>
            <w:tcW w:w="1029" w:type="dxa"/>
          </w:tcPr>
          <w:p w14:paraId="7735A07C" w14:textId="77777777" w:rsidR="00CF0E2D" w:rsidRPr="00424DA4" w:rsidRDefault="00CF0E2D" w:rsidP="00A60D4B">
            <w:pPr>
              <w:pStyle w:val="InitFigR"/>
            </w:pPr>
            <w:r w:rsidRPr="00CC38A8">
              <w:t>0</w:t>
            </w:r>
          </w:p>
        </w:tc>
        <w:tc>
          <w:tcPr>
            <w:tcW w:w="1029" w:type="dxa"/>
          </w:tcPr>
          <w:p w14:paraId="5F5ABBB1" w14:textId="77777777" w:rsidR="00CF0E2D" w:rsidRPr="00424DA4" w:rsidRDefault="00CF0E2D" w:rsidP="00A60D4B">
            <w:pPr>
              <w:pStyle w:val="InitFigR"/>
            </w:pPr>
            <w:r w:rsidRPr="00CC38A8">
              <w:t>0</w:t>
            </w:r>
          </w:p>
        </w:tc>
        <w:tc>
          <w:tcPr>
            <w:tcW w:w="1029" w:type="dxa"/>
          </w:tcPr>
          <w:p w14:paraId="36DF5EE0" w14:textId="77777777" w:rsidR="00CF0E2D" w:rsidRPr="00424DA4" w:rsidRDefault="00CF0E2D" w:rsidP="00A60D4B">
            <w:pPr>
              <w:pStyle w:val="InitFigBR"/>
            </w:pPr>
            <w:r>
              <w:t>-</w:t>
            </w:r>
            <w:r w:rsidRPr="00CC38A8">
              <w:t>360</w:t>
            </w:r>
          </w:p>
        </w:tc>
      </w:tr>
      <w:tr w:rsidR="00CF0E2D" w:rsidRPr="00750793" w14:paraId="478E2A4A" w14:textId="77777777" w:rsidTr="00A60D4B">
        <w:trPr>
          <w:cantSplit/>
          <w:trHeight w:val="107"/>
          <w:jc w:val="center"/>
        </w:trPr>
        <w:tc>
          <w:tcPr>
            <w:tcW w:w="3652" w:type="dxa"/>
            <w:tcBorders>
              <w:top w:val="single" w:sz="4" w:space="0" w:color="auto"/>
              <w:bottom w:val="single" w:sz="4" w:space="0" w:color="auto"/>
            </w:tcBorders>
          </w:tcPr>
          <w:p w14:paraId="7E36212D" w14:textId="405C6349" w:rsidR="00CF0E2D" w:rsidRPr="00DA5279"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7DA3B1E1" w14:textId="77777777" w:rsidR="00CF0E2D" w:rsidRDefault="00CF0E2D" w:rsidP="00A60D4B">
            <w:pPr>
              <w:pStyle w:val="InitFigRBold"/>
            </w:pPr>
            <w:r>
              <w:t>0</w:t>
            </w:r>
          </w:p>
        </w:tc>
        <w:tc>
          <w:tcPr>
            <w:tcW w:w="1041" w:type="dxa"/>
            <w:tcBorders>
              <w:top w:val="single" w:sz="4" w:space="0" w:color="auto"/>
              <w:bottom w:val="single" w:sz="4" w:space="0" w:color="auto"/>
            </w:tcBorders>
          </w:tcPr>
          <w:p w14:paraId="0BEC12BB" w14:textId="77777777" w:rsidR="00CF0E2D" w:rsidRDefault="00CF0E2D" w:rsidP="00A60D4B">
            <w:pPr>
              <w:pStyle w:val="InitFigRBold"/>
            </w:pPr>
            <w:r>
              <w:t>0</w:t>
            </w:r>
          </w:p>
        </w:tc>
        <w:tc>
          <w:tcPr>
            <w:tcW w:w="1029" w:type="dxa"/>
            <w:tcBorders>
              <w:top w:val="single" w:sz="4" w:space="0" w:color="auto"/>
              <w:bottom w:val="single" w:sz="4" w:space="0" w:color="auto"/>
            </w:tcBorders>
          </w:tcPr>
          <w:p w14:paraId="7A974B80" w14:textId="77777777" w:rsidR="00CF0E2D" w:rsidRDefault="00CF0E2D" w:rsidP="00A60D4B">
            <w:pPr>
              <w:pStyle w:val="InitFigRBold"/>
            </w:pPr>
            <w:r>
              <w:t>0</w:t>
            </w:r>
          </w:p>
        </w:tc>
        <w:tc>
          <w:tcPr>
            <w:tcW w:w="1029" w:type="dxa"/>
            <w:tcBorders>
              <w:top w:val="single" w:sz="4" w:space="0" w:color="auto"/>
              <w:bottom w:val="single" w:sz="4" w:space="0" w:color="auto"/>
            </w:tcBorders>
          </w:tcPr>
          <w:p w14:paraId="193856DA" w14:textId="77777777" w:rsidR="00CF0E2D" w:rsidRDefault="00CF0E2D" w:rsidP="00A60D4B">
            <w:pPr>
              <w:pStyle w:val="InitFigRBold"/>
            </w:pPr>
            <w:r>
              <w:t>0</w:t>
            </w:r>
          </w:p>
        </w:tc>
        <w:tc>
          <w:tcPr>
            <w:tcW w:w="1029" w:type="dxa"/>
            <w:tcBorders>
              <w:top w:val="single" w:sz="4" w:space="0" w:color="auto"/>
              <w:bottom w:val="single" w:sz="4" w:space="0" w:color="auto"/>
            </w:tcBorders>
          </w:tcPr>
          <w:p w14:paraId="2168ABA9" w14:textId="77777777" w:rsidR="00CF0E2D" w:rsidRPr="00DA5279" w:rsidRDefault="00CF0E2D" w:rsidP="00A60D4B">
            <w:pPr>
              <w:pStyle w:val="InitFigRBold"/>
              <w:rPr>
                <w:bCs/>
              </w:rPr>
            </w:pPr>
            <w:r w:rsidRPr="00DA5279">
              <w:rPr>
                <w:bCs/>
              </w:rPr>
              <w:t>0</w:t>
            </w:r>
          </w:p>
        </w:tc>
      </w:tr>
    </w:tbl>
    <w:p w14:paraId="33F9460E" w14:textId="77777777" w:rsidR="00CF0E2D" w:rsidRPr="00DC3B4F" w:rsidRDefault="00CF0E2D" w:rsidP="00A60D4B">
      <w:pPr>
        <w:pStyle w:val="Bbodytext"/>
      </w:pPr>
      <w:r w:rsidRPr="00401679">
        <w:t xml:space="preserve">The Government will develop a detailed implementation plan and begin to deliver on the recommendations from the final report of the ACT Health Directorate’s </w:t>
      </w:r>
      <w:r w:rsidRPr="00DC3B4F">
        <w:t>LGBTIQ+ Health Scoping Study. Specific funding is committed to partner with the LGBTIQ+ community to finalise development of a model of care to deliver a gender</w:t>
      </w:r>
      <w:r w:rsidRPr="00DC3B4F">
        <w:noBreakHyphen/>
        <w:t>focused peer-led health service – a key priority of the scoping study recommendations.</w:t>
      </w:r>
    </w:p>
    <w:p w14:paraId="7D015382" w14:textId="77777777" w:rsidR="00CF0E2D" w:rsidRDefault="00CF0E2D" w:rsidP="00A60D4B">
      <w:pPr>
        <w:pStyle w:val="Bbodytext"/>
        <w:rPr>
          <w:rFonts w:ascii="Calibri" w:eastAsia="Times New Roman" w:hAnsi="Calibri" w:cs="Times New Roman"/>
          <w:szCs w:val="20"/>
        </w:rPr>
      </w:pPr>
      <w:r w:rsidRPr="00401679">
        <w:t>This ini</w:t>
      </w:r>
      <w:r w:rsidRPr="00DC3B4F">
        <w:t>tiative contributes to the wellbeing domain of Health.</w:t>
      </w:r>
    </w:p>
    <w:p w14:paraId="36EDACEB" w14:textId="77777777" w:rsidR="00CF0E2D" w:rsidRPr="00C15FE5" w:rsidRDefault="00CF0E2D" w:rsidP="00A60D4B">
      <w:pPr>
        <w:pStyle w:val="Heading4"/>
      </w:pPr>
      <w:r w:rsidRPr="001952D1">
        <w:rPr>
          <w:rFonts w:eastAsia="Times New Roman"/>
        </w:rPr>
        <w:t xml:space="preserve">Better care in the community – </w:t>
      </w:r>
      <w:r>
        <w:t xml:space="preserve">More support for community delivered mental health </w:t>
      </w:r>
      <w:r>
        <w:rPr>
          <w:b w:val="0"/>
          <w:noProof/>
          <w:color w:val="999789"/>
          <w:sz w:val="32"/>
          <w:szCs w:val="24"/>
        </w:rPr>
        <w:drawing>
          <wp:anchor distT="0" distB="0" distL="114300" distR="114300" simplePos="0" relativeHeight="251866112" behindDoc="0" locked="1" layoutInCell="1" allowOverlap="1" wp14:anchorId="6964DD92" wp14:editId="5D951722">
            <wp:simplePos x="0" y="0"/>
            <wp:positionH relativeFrom="margin">
              <wp:align>right</wp:align>
            </wp:positionH>
            <wp:positionV relativeFrom="paragraph">
              <wp:posOffset>82550</wp:posOffset>
            </wp:positionV>
            <wp:extent cx="993140" cy="503555"/>
            <wp:effectExtent l="0" t="0" r="0" b="0"/>
            <wp:wrapSquare wrapText="bothSides"/>
            <wp:docPr id="285" name="Picture 285"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17DD71B1" w14:textId="77777777" w:rsidTr="00A60D4B">
        <w:trPr>
          <w:cantSplit/>
          <w:jc w:val="center"/>
        </w:trPr>
        <w:tc>
          <w:tcPr>
            <w:tcW w:w="3652" w:type="dxa"/>
            <w:tcBorders>
              <w:top w:val="single" w:sz="4" w:space="0" w:color="auto"/>
              <w:bottom w:val="single" w:sz="4" w:space="0" w:color="auto"/>
            </w:tcBorders>
          </w:tcPr>
          <w:p w14:paraId="570F959A"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0BEB13CF" w14:textId="77777777" w:rsidR="00CF0E2D" w:rsidRPr="006B3E0A" w:rsidRDefault="00CF0E2D" w:rsidP="00A60D4B">
            <w:pPr>
              <w:pStyle w:val="InitFigR"/>
              <w:rPr>
                <w:b/>
                <w:bCs/>
              </w:rPr>
            </w:pPr>
            <w:r w:rsidRPr="006B3E0A">
              <w:rPr>
                <w:b/>
                <w:bCs/>
              </w:rPr>
              <w:t>2021-22</w:t>
            </w:r>
          </w:p>
          <w:p w14:paraId="54639E07" w14:textId="77777777" w:rsidR="00CF0E2D" w:rsidRPr="006B3E0A" w:rsidRDefault="00CF0E2D" w:rsidP="00A60D4B">
            <w:pPr>
              <w:pStyle w:val="InitFigR"/>
              <w:rPr>
                <w:b/>
                <w:bCs/>
              </w:rPr>
            </w:pPr>
            <w:r w:rsidRPr="006B3E0A">
              <w:rPr>
                <w:b/>
                <w:bCs/>
              </w:rPr>
              <w:t>$’000</w:t>
            </w:r>
          </w:p>
        </w:tc>
        <w:tc>
          <w:tcPr>
            <w:tcW w:w="1041" w:type="dxa"/>
            <w:tcBorders>
              <w:top w:val="single" w:sz="4" w:space="0" w:color="auto"/>
              <w:bottom w:val="single" w:sz="4" w:space="0" w:color="auto"/>
            </w:tcBorders>
          </w:tcPr>
          <w:p w14:paraId="0CB2445E" w14:textId="77777777" w:rsidR="00CF0E2D" w:rsidRPr="006B3E0A" w:rsidRDefault="00CF0E2D" w:rsidP="00A60D4B">
            <w:pPr>
              <w:pStyle w:val="InitFigR"/>
              <w:rPr>
                <w:b/>
                <w:bCs/>
              </w:rPr>
            </w:pPr>
            <w:r w:rsidRPr="006B3E0A">
              <w:rPr>
                <w:b/>
                <w:bCs/>
              </w:rPr>
              <w:t>2022-23</w:t>
            </w:r>
          </w:p>
          <w:p w14:paraId="2DF58B1D" w14:textId="77777777" w:rsidR="00CF0E2D" w:rsidRPr="006B3E0A" w:rsidRDefault="00CF0E2D" w:rsidP="00A60D4B">
            <w:pPr>
              <w:pStyle w:val="InitFigR"/>
              <w:rPr>
                <w:b/>
                <w:bCs/>
              </w:rPr>
            </w:pPr>
            <w:r w:rsidRPr="006B3E0A">
              <w:rPr>
                <w:b/>
                <w:bCs/>
              </w:rPr>
              <w:t>$’000</w:t>
            </w:r>
          </w:p>
        </w:tc>
        <w:tc>
          <w:tcPr>
            <w:tcW w:w="1029" w:type="dxa"/>
            <w:tcBorders>
              <w:top w:val="single" w:sz="4" w:space="0" w:color="auto"/>
              <w:bottom w:val="single" w:sz="4" w:space="0" w:color="auto"/>
            </w:tcBorders>
          </w:tcPr>
          <w:p w14:paraId="3FE69D85" w14:textId="77777777" w:rsidR="00CF0E2D" w:rsidRPr="006B3E0A" w:rsidRDefault="00CF0E2D" w:rsidP="00A60D4B">
            <w:pPr>
              <w:pStyle w:val="InitFigR"/>
              <w:rPr>
                <w:b/>
                <w:bCs/>
              </w:rPr>
            </w:pPr>
            <w:r w:rsidRPr="006B3E0A">
              <w:rPr>
                <w:b/>
                <w:bCs/>
              </w:rPr>
              <w:t>2023-24</w:t>
            </w:r>
          </w:p>
          <w:p w14:paraId="0D35C3D2" w14:textId="77777777" w:rsidR="00CF0E2D" w:rsidRPr="006B3E0A" w:rsidRDefault="00CF0E2D" w:rsidP="00A60D4B">
            <w:pPr>
              <w:pStyle w:val="InitFigR"/>
              <w:rPr>
                <w:b/>
                <w:bCs/>
              </w:rPr>
            </w:pPr>
            <w:r w:rsidRPr="006B3E0A">
              <w:rPr>
                <w:b/>
                <w:bCs/>
              </w:rPr>
              <w:t>$’000</w:t>
            </w:r>
          </w:p>
        </w:tc>
        <w:tc>
          <w:tcPr>
            <w:tcW w:w="1029" w:type="dxa"/>
            <w:tcBorders>
              <w:top w:val="single" w:sz="4" w:space="0" w:color="auto"/>
              <w:bottom w:val="single" w:sz="4" w:space="0" w:color="auto"/>
            </w:tcBorders>
          </w:tcPr>
          <w:p w14:paraId="62A61439" w14:textId="77777777" w:rsidR="00CF0E2D" w:rsidRPr="006B3E0A" w:rsidRDefault="00CF0E2D" w:rsidP="00A60D4B">
            <w:pPr>
              <w:pStyle w:val="InitFigR"/>
              <w:rPr>
                <w:b/>
                <w:bCs/>
              </w:rPr>
            </w:pPr>
            <w:r w:rsidRPr="006B3E0A">
              <w:rPr>
                <w:b/>
                <w:bCs/>
              </w:rPr>
              <w:t>2024-25</w:t>
            </w:r>
          </w:p>
          <w:p w14:paraId="1862ACBF" w14:textId="77777777" w:rsidR="00CF0E2D" w:rsidRPr="006B3E0A" w:rsidRDefault="00CF0E2D" w:rsidP="00A60D4B">
            <w:pPr>
              <w:pStyle w:val="InitFigR"/>
              <w:rPr>
                <w:b/>
                <w:bCs/>
              </w:rPr>
            </w:pPr>
            <w:r w:rsidRPr="006B3E0A">
              <w:rPr>
                <w:b/>
                <w:bCs/>
              </w:rPr>
              <w:t>$’000</w:t>
            </w:r>
          </w:p>
        </w:tc>
        <w:tc>
          <w:tcPr>
            <w:tcW w:w="1029" w:type="dxa"/>
            <w:tcBorders>
              <w:top w:val="single" w:sz="4" w:space="0" w:color="auto"/>
              <w:bottom w:val="single" w:sz="4" w:space="0" w:color="auto"/>
            </w:tcBorders>
          </w:tcPr>
          <w:p w14:paraId="1C89CD4B" w14:textId="77777777" w:rsidR="00CF0E2D" w:rsidRPr="004E341E" w:rsidRDefault="00CF0E2D" w:rsidP="00A60D4B">
            <w:pPr>
              <w:pStyle w:val="InitFigRBold"/>
            </w:pPr>
            <w:r w:rsidRPr="004E341E">
              <w:t>Total</w:t>
            </w:r>
          </w:p>
          <w:p w14:paraId="6D9568AC" w14:textId="77777777" w:rsidR="00CF0E2D" w:rsidRPr="004E341E" w:rsidRDefault="00CF0E2D" w:rsidP="00A60D4B">
            <w:pPr>
              <w:pStyle w:val="InitFigBR"/>
            </w:pPr>
            <w:r w:rsidRPr="004E341E">
              <w:t>$’000</w:t>
            </w:r>
          </w:p>
        </w:tc>
      </w:tr>
      <w:tr w:rsidR="00CF0E2D" w:rsidRPr="00750793" w14:paraId="3D72C89A" w14:textId="77777777" w:rsidTr="00A60D4B">
        <w:trPr>
          <w:cantSplit/>
          <w:jc w:val="center"/>
        </w:trPr>
        <w:tc>
          <w:tcPr>
            <w:tcW w:w="3652" w:type="dxa"/>
          </w:tcPr>
          <w:p w14:paraId="255F59A9" w14:textId="77777777" w:rsidR="00CF0E2D" w:rsidRPr="00F13FAB" w:rsidRDefault="00CF0E2D" w:rsidP="00A60D4B">
            <w:pPr>
              <w:pStyle w:val="InitTextL"/>
              <w:ind w:left="321" w:hanging="321"/>
            </w:pPr>
            <w:r w:rsidRPr="00882BE2">
              <w:t>Expenses</w:t>
            </w:r>
          </w:p>
        </w:tc>
        <w:tc>
          <w:tcPr>
            <w:tcW w:w="1179" w:type="dxa"/>
          </w:tcPr>
          <w:p w14:paraId="55FF7160" w14:textId="77777777" w:rsidR="00CF0E2D" w:rsidRPr="00424DA4" w:rsidRDefault="00CF0E2D" w:rsidP="00A60D4B">
            <w:pPr>
              <w:pStyle w:val="InitFigR"/>
            </w:pPr>
            <w:r w:rsidRPr="00D767C9">
              <w:t>667</w:t>
            </w:r>
          </w:p>
        </w:tc>
        <w:tc>
          <w:tcPr>
            <w:tcW w:w="1041" w:type="dxa"/>
          </w:tcPr>
          <w:p w14:paraId="43AD4691" w14:textId="77777777" w:rsidR="00CF0E2D" w:rsidRPr="00424DA4" w:rsidRDefault="00CF0E2D" w:rsidP="00A60D4B">
            <w:pPr>
              <w:pStyle w:val="InitFigR"/>
            </w:pPr>
            <w:r w:rsidRPr="00D767C9">
              <w:t>2,758</w:t>
            </w:r>
          </w:p>
        </w:tc>
        <w:tc>
          <w:tcPr>
            <w:tcW w:w="1029" w:type="dxa"/>
          </w:tcPr>
          <w:p w14:paraId="69790895" w14:textId="77777777" w:rsidR="00CF0E2D" w:rsidRPr="00424DA4" w:rsidRDefault="00CF0E2D" w:rsidP="00A60D4B">
            <w:pPr>
              <w:pStyle w:val="InitFigR"/>
            </w:pPr>
            <w:r w:rsidRPr="00D767C9">
              <w:t>2,520</w:t>
            </w:r>
          </w:p>
        </w:tc>
        <w:tc>
          <w:tcPr>
            <w:tcW w:w="1029" w:type="dxa"/>
          </w:tcPr>
          <w:p w14:paraId="634B2926" w14:textId="77777777" w:rsidR="00CF0E2D" w:rsidRPr="00424DA4" w:rsidRDefault="00CF0E2D" w:rsidP="00A60D4B">
            <w:pPr>
              <w:pStyle w:val="InitFigR"/>
            </w:pPr>
            <w:r w:rsidRPr="00D767C9">
              <w:t>2,581</w:t>
            </w:r>
          </w:p>
        </w:tc>
        <w:tc>
          <w:tcPr>
            <w:tcW w:w="1029" w:type="dxa"/>
          </w:tcPr>
          <w:p w14:paraId="55767BA8" w14:textId="77777777" w:rsidR="00CF0E2D" w:rsidRPr="00424DA4" w:rsidRDefault="00CF0E2D" w:rsidP="00A60D4B">
            <w:pPr>
              <w:pStyle w:val="InitFigBR"/>
            </w:pPr>
            <w:r w:rsidRPr="00D767C9">
              <w:t>8,526</w:t>
            </w:r>
          </w:p>
        </w:tc>
      </w:tr>
      <w:tr w:rsidR="00CF0E2D" w:rsidRPr="00750793" w14:paraId="03599C48" w14:textId="77777777" w:rsidTr="00A60D4B">
        <w:trPr>
          <w:cantSplit/>
          <w:jc w:val="center"/>
        </w:trPr>
        <w:tc>
          <w:tcPr>
            <w:tcW w:w="3652" w:type="dxa"/>
          </w:tcPr>
          <w:p w14:paraId="77869D59" w14:textId="77777777" w:rsidR="00CF0E2D" w:rsidRDefault="00CF0E2D" w:rsidP="00A60D4B">
            <w:pPr>
              <w:pStyle w:val="InitTextL"/>
              <w:ind w:left="321" w:hanging="321"/>
            </w:pPr>
            <w:r>
              <w:t>Offset – Health Funding Envelope</w:t>
            </w:r>
          </w:p>
        </w:tc>
        <w:tc>
          <w:tcPr>
            <w:tcW w:w="1179" w:type="dxa"/>
          </w:tcPr>
          <w:p w14:paraId="024F64A2" w14:textId="77777777" w:rsidR="00CF0E2D" w:rsidRPr="00424DA4" w:rsidRDefault="00CF0E2D" w:rsidP="00A60D4B">
            <w:pPr>
              <w:pStyle w:val="InitFigR"/>
            </w:pPr>
            <w:r>
              <w:t>-</w:t>
            </w:r>
            <w:r w:rsidRPr="00D767C9">
              <w:t>667</w:t>
            </w:r>
          </w:p>
        </w:tc>
        <w:tc>
          <w:tcPr>
            <w:tcW w:w="1041" w:type="dxa"/>
          </w:tcPr>
          <w:p w14:paraId="3AD453B9" w14:textId="77777777" w:rsidR="00CF0E2D" w:rsidRPr="00424DA4" w:rsidRDefault="00CF0E2D" w:rsidP="00A60D4B">
            <w:pPr>
              <w:pStyle w:val="InitFigR"/>
            </w:pPr>
            <w:r>
              <w:t>-</w:t>
            </w:r>
            <w:r w:rsidRPr="00D767C9">
              <w:t>2,758</w:t>
            </w:r>
          </w:p>
        </w:tc>
        <w:tc>
          <w:tcPr>
            <w:tcW w:w="1029" w:type="dxa"/>
          </w:tcPr>
          <w:p w14:paraId="7E9CB4E0" w14:textId="77777777" w:rsidR="00CF0E2D" w:rsidRPr="00424DA4" w:rsidRDefault="00CF0E2D" w:rsidP="00A60D4B">
            <w:pPr>
              <w:pStyle w:val="InitFigR"/>
            </w:pPr>
            <w:r>
              <w:t>-</w:t>
            </w:r>
            <w:r w:rsidRPr="00D767C9">
              <w:t>2,520</w:t>
            </w:r>
          </w:p>
        </w:tc>
        <w:tc>
          <w:tcPr>
            <w:tcW w:w="1029" w:type="dxa"/>
          </w:tcPr>
          <w:p w14:paraId="5CD3EFF5" w14:textId="77777777" w:rsidR="00CF0E2D" w:rsidRPr="00424DA4" w:rsidRDefault="00CF0E2D" w:rsidP="00A60D4B">
            <w:pPr>
              <w:pStyle w:val="InitFigR"/>
            </w:pPr>
            <w:r>
              <w:t>-</w:t>
            </w:r>
            <w:r w:rsidRPr="00D767C9">
              <w:t>2,581</w:t>
            </w:r>
          </w:p>
        </w:tc>
        <w:tc>
          <w:tcPr>
            <w:tcW w:w="1029" w:type="dxa"/>
          </w:tcPr>
          <w:p w14:paraId="49A96A23" w14:textId="77777777" w:rsidR="00CF0E2D" w:rsidRPr="00424DA4" w:rsidRDefault="00CF0E2D" w:rsidP="00A60D4B">
            <w:pPr>
              <w:pStyle w:val="InitFigBR"/>
            </w:pPr>
            <w:r>
              <w:t>-</w:t>
            </w:r>
            <w:r w:rsidRPr="00D767C9">
              <w:t>8,526</w:t>
            </w:r>
          </w:p>
        </w:tc>
      </w:tr>
      <w:tr w:rsidR="00CF0E2D" w:rsidRPr="00750793" w14:paraId="0A671629" w14:textId="77777777" w:rsidTr="00A60D4B">
        <w:trPr>
          <w:cantSplit/>
          <w:trHeight w:val="107"/>
          <w:jc w:val="center"/>
        </w:trPr>
        <w:tc>
          <w:tcPr>
            <w:tcW w:w="3652" w:type="dxa"/>
            <w:tcBorders>
              <w:top w:val="single" w:sz="4" w:space="0" w:color="auto"/>
              <w:bottom w:val="single" w:sz="4" w:space="0" w:color="auto"/>
            </w:tcBorders>
          </w:tcPr>
          <w:p w14:paraId="1FCD2849" w14:textId="12761977" w:rsidR="00CF0E2D" w:rsidRPr="00DA5279"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1C8F3FDB" w14:textId="77777777" w:rsidR="00CF0E2D" w:rsidRDefault="00CF0E2D" w:rsidP="00A60D4B">
            <w:pPr>
              <w:pStyle w:val="InitFigRBold"/>
            </w:pPr>
            <w:r>
              <w:t>0</w:t>
            </w:r>
          </w:p>
        </w:tc>
        <w:tc>
          <w:tcPr>
            <w:tcW w:w="1041" w:type="dxa"/>
            <w:tcBorders>
              <w:top w:val="single" w:sz="4" w:space="0" w:color="auto"/>
              <w:bottom w:val="single" w:sz="4" w:space="0" w:color="auto"/>
            </w:tcBorders>
          </w:tcPr>
          <w:p w14:paraId="3E91650A" w14:textId="77777777" w:rsidR="00CF0E2D" w:rsidRDefault="00CF0E2D" w:rsidP="00A60D4B">
            <w:pPr>
              <w:pStyle w:val="InitFigRBold"/>
            </w:pPr>
            <w:r>
              <w:t>0</w:t>
            </w:r>
          </w:p>
        </w:tc>
        <w:tc>
          <w:tcPr>
            <w:tcW w:w="1029" w:type="dxa"/>
            <w:tcBorders>
              <w:top w:val="single" w:sz="4" w:space="0" w:color="auto"/>
              <w:bottom w:val="single" w:sz="4" w:space="0" w:color="auto"/>
            </w:tcBorders>
          </w:tcPr>
          <w:p w14:paraId="6ADDF81D" w14:textId="77777777" w:rsidR="00CF0E2D" w:rsidRDefault="00CF0E2D" w:rsidP="00A60D4B">
            <w:pPr>
              <w:pStyle w:val="InitFigRBold"/>
            </w:pPr>
            <w:r>
              <w:t>0</w:t>
            </w:r>
          </w:p>
        </w:tc>
        <w:tc>
          <w:tcPr>
            <w:tcW w:w="1029" w:type="dxa"/>
            <w:tcBorders>
              <w:top w:val="single" w:sz="4" w:space="0" w:color="auto"/>
              <w:bottom w:val="single" w:sz="4" w:space="0" w:color="auto"/>
            </w:tcBorders>
          </w:tcPr>
          <w:p w14:paraId="60845550" w14:textId="77777777" w:rsidR="00CF0E2D" w:rsidRDefault="00CF0E2D" w:rsidP="00A60D4B">
            <w:pPr>
              <w:pStyle w:val="InitFigRBold"/>
            </w:pPr>
            <w:r>
              <w:t>0</w:t>
            </w:r>
          </w:p>
        </w:tc>
        <w:tc>
          <w:tcPr>
            <w:tcW w:w="1029" w:type="dxa"/>
            <w:tcBorders>
              <w:top w:val="single" w:sz="4" w:space="0" w:color="auto"/>
              <w:bottom w:val="single" w:sz="4" w:space="0" w:color="auto"/>
            </w:tcBorders>
          </w:tcPr>
          <w:p w14:paraId="4FC9C3BD" w14:textId="77777777" w:rsidR="00CF0E2D" w:rsidRPr="00DA5279" w:rsidRDefault="00CF0E2D" w:rsidP="00A60D4B">
            <w:pPr>
              <w:pStyle w:val="InitFigRBold"/>
              <w:rPr>
                <w:bCs/>
              </w:rPr>
            </w:pPr>
            <w:r w:rsidRPr="00DA5279">
              <w:rPr>
                <w:bCs/>
              </w:rPr>
              <w:t>0</w:t>
            </w:r>
          </w:p>
        </w:tc>
      </w:tr>
    </w:tbl>
    <w:p w14:paraId="2FC9D6F9" w14:textId="77777777" w:rsidR="00CF0E2D" w:rsidRPr="00115993" w:rsidRDefault="00CF0E2D" w:rsidP="00A60D4B">
      <w:pPr>
        <w:pStyle w:val="Bbodytext"/>
      </w:pPr>
      <w:r>
        <w:t xml:space="preserve">The Government will provide funding to community organisations for </w:t>
      </w:r>
      <w:r w:rsidRPr="00115993">
        <w:t>mental health programs targeting early intervention, including the Moderated Online Social Therapy program (MOST), Catholic Care’s Youth &amp; Wellbeing program and the Parentline counselling service.</w:t>
      </w:r>
    </w:p>
    <w:p w14:paraId="6D48CB26" w14:textId="77777777" w:rsidR="00CF0E2D" w:rsidRDefault="00CF0E2D" w:rsidP="00A60D4B">
      <w:pPr>
        <w:pStyle w:val="Bbodytext"/>
      </w:pPr>
      <w:r>
        <w:t>This initiative</w:t>
      </w:r>
      <w:r w:rsidRPr="006A6578">
        <w:t xml:space="preserve"> contributes to the wellbeing domain</w:t>
      </w:r>
      <w:r>
        <w:t>s</w:t>
      </w:r>
      <w:r w:rsidRPr="006A6578">
        <w:t xml:space="preserve"> of </w:t>
      </w:r>
      <w:r>
        <w:t>Health and Access and connectivity.</w:t>
      </w:r>
    </w:p>
    <w:p w14:paraId="1CA64F97" w14:textId="77777777" w:rsidR="00CF0E2D" w:rsidRDefault="00CF0E2D" w:rsidP="00A60D4B">
      <w:pPr>
        <w:pStyle w:val="Heading4"/>
        <w:rPr>
          <w:rFonts w:eastAsia="Times New Roman"/>
        </w:rPr>
      </w:pPr>
      <w:r>
        <w:rPr>
          <w:rFonts w:eastAsia="Times New Roman"/>
        </w:rPr>
        <w:lastRenderedPageBreak/>
        <w:t>Better care in the community – Planning for additional supported accommodation houses</w:t>
      </w:r>
      <w:r>
        <w:rPr>
          <w:b w:val="0"/>
          <w:noProof/>
          <w:color w:val="999789"/>
          <w:sz w:val="32"/>
          <w:szCs w:val="24"/>
        </w:rPr>
        <w:drawing>
          <wp:anchor distT="0" distB="0" distL="114300" distR="114300" simplePos="0" relativeHeight="251867136" behindDoc="0" locked="1" layoutInCell="1" allowOverlap="1" wp14:anchorId="3BA55F2D" wp14:editId="5241036F">
            <wp:simplePos x="0" y="0"/>
            <wp:positionH relativeFrom="margin">
              <wp:align>right</wp:align>
            </wp:positionH>
            <wp:positionV relativeFrom="paragraph">
              <wp:posOffset>84455</wp:posOffset>
            </wp:positionV>
            <wp:extent cx="993140" cy="503555"/>
            <wp:effectExtent l="0" t="0" r="0" b="0"/>
            <wp:wrapSquare wrapText="bothSides"/>
            <wp:docPr id="164" name="Picture 164"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4E341E" w14:paraId="30EB93A7" w14:textId="77777777" w:rsidTr="00A60D4B">
        <w:trPr>
          <w:cantSplit/>
          <w:jc w:val="center"/>
        </w:trPr>
        <w:tc>
          <w:tcPr>
            <w:tcW w:w="3652" w:type="dxa"/>
            <w:tcBorders>
              <w:top w:val="single" w:sz="4" w:space="0" w:color="auto"/>
              <w:bottom w:val="single" w:sz="4" w:space="0" w:color="auto"/>
            </w:tcBorders>
          </w:tcPr>
          <w:p w14:paraId="33482527"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71C62614" w14:textId="77777777" w:rsidR="00CF0E2D" w:rsidRPr="0015776F" w:rsidRDefault="00CF0E2D" w:rsidP="00A60D4B">
            <w:pPr>
              <w:pStyle w:val="InitFigR"/>
              <w:rPr>
                <w:b/>
                <w:bCs/>
              </w:rPr>
            </w:pPr>
            <w:r w:rsidRPr="0015776F">
              <w:rPr>
                <w:b/>
                <w:bCs/>
              </w:rPr>
              <w:t>2021-22</w:t>
            </w:r>
          </w:p>
          <w:p w14:paraId="59AFB018" w14:textId="77777777" w:rsidR="00CF0E2D" w:rsidRPr="0015776F" w:rsidRDefault="00CF0E2D" w:rsidP="00A60D4B">
            <w:pPr>
              <w:pStyle w:val="InitFigR"/>
              <w:rPr>
                <w:b/>
                <w:bCs/>
              </w:rPr>
            </w:pPr>
            <w:r w:rsidRPr="0015776F">
              <w:rPr>
                <w:b/>
                <w:bCs/>
              </w:rPr>
              <w:t>$’000</w:t>
            </w:r>
          </w:p>
        </w:tc>
        <w:tc>
          <w:tcPr>
            <w:tcW w:w="1041" w:type="dxa"/>
            <w:tcBorders>
              <w:top w:val="single" w:sz="4" w:space="0" w:color="auto"/>
              <w:bottom w:val="single" w:sz="4" w:space="0" w:color="auto"/>
            </w:tcBorders>
          </w:tcPr>
          <w:p w14:paraId="44037909" w14:textId="77777777" w:rsidR="00CF0E2D" w:rsidRPr="0015776F" w:rsidRDefault="00CF0E2D" w:rsidP="00A60D4B">
            <w:pPr>
              <w:pStyle w:val="InitFigR"/>
              <w:rPr>
                <w:b/>
                <w:bCs/>
              </w:rPr>
            </w:pPr>
            <w:r w:rsidRPr="0015776F">
              <w:rPr>
                <w:b/>
                <w:bCs/>
              </w:rPr>
              <w:t>2022-23</w:t>
            </w:r>
          </w:p>
          <w:p w14:paraId="544732D3" w14:textId="77777777" w:rsidR="00CF0E2D" w:rsidRPr="0015776F" w:rsidRDefault="00CF0E2D" w:rsidP="00A60D4B">
            <w:pPr>
              <w:pStyle w:val="InitFigR"/>
              <w:rPr>
                <w:b/>
                <w:bCs/>
              </w:rPr>
            </w:pPr>
            <w:r w:rsidRPr="0015776F">
              <w:rPr>
                <w:b/>
                <w:bCs/>
              </w:rPr>
              <w:t>$’000</w:t>
            </w:r>
          </w:p>
        </w:tc>
        <w:tc>
          <w:tcPr>
            <w:tcW w:w="1029" w:type="dxa"/>
            <w:tcBorders>
              <w:top w:val="single" w:sz="4" w:space="0" w:color="auto"/>
              <w:bottom w:val="single" w:sz="4" w:space="0" w:color="auto"/>
            </w:tcBorders>
          </w:tcPr>
          <w:p w14:paraId="4A75995A" w14:textId="77777777" w:rsidR="00CF0E2D" w:rsidRPr="0015776F" w:rsidRDefault="00CF0E2D" w:rsidP="00A60D4B">
            <w:pPr>
              <w:pStyle w:val="InitFigR"/>
              <w:rPr>
                <w:b/>
                <w:bCs/>
              </w:rPr>
            </w:pPr>
            <w:r w:rsidRPr="0015776F">
              <w:rPr>
                <w:b/>
                <w:bCs/>
              </w:rPr>
              <w:t>2023-24</w:t>
            </w:r>
          </w:p>
          <w:p w14:paraId="1C88DD3A" w14:textId="77777777" w:rsidR="00CF0E2D" w:rsidRPr="0015776F" w:rsidRDefault="00CF0E2D" w:rsidP="00A60D4B">
            <w:pPr>
              <w:pStyle w:val="InitFigR"/>
              <w:rPr>
                <w:b/>
                <w:bCs/>
              </w:rPr>
            </w:pPr>
            <w:r w:rsidRPr="0015776F">
              <w:rPr>
                <w:b/>
                <w:bCs/>
              </w:rPr>
              <w:t>$’000</w:t>
            </w:r>
          </w:p>
        </w:tc>
        <w:tc>
          <w:tcPr>
            <w:tcW w:w="1029" w:type="dxa"/>
            <w:tcBorders>
              <w:top w:val="single" w:sz="4" w:space="0" w:color="auto"/>
              <w:bottom w:val="single" w:sz="4" w:space="0" w:color="auto"/>
            </w:tcBorders>
          </w:tcPr>
          <w:p w14:paraId="499BB124" w14:textId="77777777" w:rsidR="00CF0E2D" w:rsidRPr="0015776F" w:rsidRDefault="00CF0E2D" w:rsidP="00A60D4B">
            <w:pPr>
              <w:pStyle w:val="InitFigR"/>
              <w:rPr>
                <w:b/>
                <w:bCs/>
              </w:rPr>
            </w:pPr>
            <w:r w:rsidRPr="0015776F">
              <w:rPr>
                <w:b/>
                <w:bCs/>
              </w:rPr>
              <w:t>2024-25</w:t>
            </w:r>
          </w:p>
          <w:p w14:paraId="74E79F52" w14:textId="77777777" w:rsidR="00CF0E2D" w:rsidRPr="0015776F" w:rsidRDefault="00CF0E2D" w:rsidP="00A60D4B">
            <w:pPr>
              <w:pStyle w:val="InitFigR"/>
              <w:rPr>
                <w:b/>
                <w:bCs/>
              </w:rPr>
            </w:pPr>
            <w:r w:rsidRPr="0015776F">
              <w:rPr>
                <w:b/>
                <w:bCs/>
              </w:rPr>
              <w:t>$’000</w:t>
            </w:r>
          </w:p>
        </w:tc>
        <w:tc>
          <w:tcPr>
            <w:tcW w:w="1029" w:type="dxa"/>
            <w:tcBorders>
              <w:top w:val="single" w:sz="4" w:space="0" w:color="auto"/>
              <w:bottom w:val="single" w:sz="4" w:space="0" w:color="auto"/>
            </w:tcBorders>
          </w:tcPr>
          <w:p w14:paraId="74D8068B" w14:textId="77777777" w:rsidR="00CF0E2D" w:rsidRPr="004E341E" w:rsidRDefault="00CF0E2D" w:rsidP="00A60D4B">
            <w:pPr>
              <w:pStyle w:val="InitFigRBold"/>
            </w:pPr>
            <w:r w:rsidRPr="004E341E">
              <w:t>Total</w:t>
            </w:r>
          </w:p>
          <w:p w14:paraId="1E800925" w14:textId="77777777" w:rsidR="00CF0E2D" w:rsidRPr="004E341E" w:rsidRDefault="00CF0E2D" w:rsidP="00A60D4B">
            <w:pPr>
              <w:pStyle w:val="InitFigBR"/>
            </w:pPr>
            <w:r w:rsidRPr="004E341E">
              <w:t>$’000</w:t>
            </w:r>
          </w:p>
        </w:tc>
      </w:tr>
      <w:tr w:rsidR="00CF0E2D" w:rsidRPr="00424DA4" w14:paraId="36535E89" w14:textId="77777777" w:rsidTr="00A60D4B">
        <w:trPr>
          <w:cantSplit/>
          <w:jc w:val="center"/>
        </w:trPr>
        <w:tc>
          <w:tcPr>
            <w:tcW w:w="3652" w:type="dxa"/>
          </w:tcPr>
          <w:p w14:paraId="588C44E2" w14:textId="77777777" w:rsidR="00CF0E2D" w:rsidRPr="00F13FAB" w:rsidRDefault="00CF0E2D" w:rsidP="00A60D4B">
            <w:pPr>
              <w:pStyle w:val="InitTextL"/>
              <w:ind w:left="321" w:hanging="321"/>
            </w:pPr>
            <w:r w:rsidRPr="00882BE2">
              <w:t>Expenses</w:t>
            </w:r>
          </w:p>
        </w:tc>
        <w:tc>
          <w:tcPr>
            <w:tcW w:w="1179" w:type="dxa"/>
          </w:tcPr>
          <w:p w14:paraId="183B7C6D" w14:textId="77777777" w:rsidR="00CF0E2D" w:rsidRPr="00424DA4" w:rsidRDefault="00CF0E2D" w:rsidP="00A60D4B">
            <w:pPr>
              <w:pStyle w:val="InitFigR"/>
            </w:pPr>
            <w:r w:rsidRPr="00A41A0E">
              <w:t>184</w:t>
            </w:r>
          </w:p>
        </w:tc>
        <w:tc>
          <w:tcPr>
            <w:tcW w:w="1041" w:type="dxa"/>
          </w:tcPr>
          <w:p w14:paraId="3D2131C5" w14:textId="77777777" w:rsidR="00CF0E2D" w:rsidRPr="00424DA4" w:rsidRDefault="00CF0E2D" w:rsidP="00A60D4B">
            <w:pPr>
              <w:pStyle w:val="InitFigR"/>
            </w:pPr>
            <w:r>
              <w:t>0</w:t>
            </w:r>
          </w:p>
        </w:tc>
        <w:tc>
          <w:tcPr>
            <w:tcW w:w="1029" w:type="dxa"/>
          </w:tcPr>
          <w:p w14:paraId="3D7F3A0B" w14:textId="77777777" w:rsidR="00CF0E2D" w:rsidRPr="00424DA4" w:rsidRDefault="00CF0E2D" w:rsidP="00A60D4B">
            <w:pPr>
              <w:pStyle w:val="InitFigR"/>
            </w:pPr>
            <w:r>
              <w:t>0</w:t>
            </w:r>
          </w:p>
        </w:tc>
        <w:tc>
          <w:tcPr>
            <w:tcW w:w="1029" w:type="dxa"/>
          </w:tcPr>
          <w:p w14:paraId="54E28BEA" w14:textId="77777777" w:rsidR="00CF0E2D" w:rsidRPr="00424DA4" w:rsidRDefault="00CF0E2D" w:rsidP="00A60D4B">
            <w:pPr>
              <w:pStyle w:val="InitFigR"/>
            </w:pPr>
            <w:r>
              <w:t>0</w:t>
            </w:r>
          </w:p>
        </w:tc>
        <w:tc>
          <w:tcPr>
            <w:tcW w:w="1029" w:type="dxa"/>
          </w:tcPr>
          <w:p w14:paraId="121E7AA2" w14:textId="77777777" w:rsidR="00CF0E2D" w:rsidRPr="00424DA4" w:rsidRDefault="00CF0E2D" w:rsidP="00A60D4B">
            <w:pPr>
              <w:pStyle w:val="InitFigBR"/>
            </w:pPr>
            <w:r w:rsidRPr="00A41A0E">
              <w:t>184</w:t>
            </w:r>
          </w:p>
        </w:tc>
      </w:tr>
      <w:tr w:rsidR="00CF0E2D" w:rsidRPr="00424DA4" w14:paraId="3DC15464" w14:textId="77777777" w:rsidTr="00A60D4B">
        <w:trPr>
          <w:cantSplit/>
          <w:jc w:val="center"/>
        </w:trPr>
        <w:tc>
          <w:tcPr>
            <w:tcW w:w="3652" w:type="dxa"/>
          </w:tcPr>
          <w:p w14:paraId="375E84C3" w14:textId="77777777" w:rsidR="00CF0E2D" w:rsidRDefault="00CF0E2D" w:rsidP="00A60D4B">
            <w:pPr>
              <w:pStyle w:val="InitTextL"/>
              <w:ind w:left="321" w:hanging="321"/>
            </w:pPr>
            <w:r>
              <w:t>Offset – Health Funding Envelope</w:t>
            </w:r>
          </w:p>
        </w:tc>
        <w:tc>
          <w:tcPr>
            <w:tcW w:w="1179" w:type="dxa"/>
          </w:tcPr>
          <w:p w14:paraId="40180242" w14:textId="77777777" w:rsidR="00CF0E2D" w:rsidRPr="00424DA4" w:rsidRDefault="00CF0E2D" w:rsidP="00A60D4B">
            <w:pPr>
              <w:pStyle w:val="InitFigR"/>
            </w:pPr>
            <w:r>
              <w:t>-</w:t>
            </w:r>
            <w:r w:rsidRPr="00DD4AFE">
              <w:t>184</w:t>
            </w:r>
          </w:p>
        </w:tc>
        <w:tc>
          <w:tcPr>
            <w:tcW w:w="1041" w:type="dxa"/>
          </w:tcPr>
          <w:p w14:paraId="741B7A83" w14:textId="77777777" w:rsidR="00CF0E2D" w:rsidRPr="00424DA4" w:rsidRDefault="00CF0E2D" w:rsidP="00A60D4B">
            <w:pPr>
              <w:pStyle w:val="InitFigR"/>
            </w:pPr>
            <w:r>
              <w:t>0</w:t>
            </w:r>
          </w:p>
        </w:tc>
        <w:tc>
          <w:tcPr>
            <w:tcW w:w="1029" w:type="dxa"/>
          </w:tcPr>
          <w:p w14:paraId="5D37D9F1" w14:textId="77777777" w:rsidR="00CF0E2D" w:rsidRPr="00424DA4" w:rsidRDefault="00CF0E2D" w:rsidP="00A60D4B">
            <w:pPr>
              <w:pStyle w:val="InitFigR"/>
            </w:pPr>
            <w:r>
              <w:t>0</w:t>
            </w:r>
          </w:p>
        </w:tc>
        <w:tc>
          <w:tcPr>
            <w:tcW w:w="1029" w:type="dxa"/>
          </w:tcPr>
          <w:p w14:paraId="42B0D12F" w14:textId="77777777" w:rsidR="00CF0E2D" w:rsidRPr="00424DA4" w:rsidRDefault="00CF0E2D" w:rsidP="00A60D4B">
            <w:pPr>
              <w:pStyle w:val="InitFigR"/>
            </w:pPr>
            <w:r>
              <w:t>0</w:t>
            </w:r>
          </w:p>
        </w:tc>
        <w:tc>
          <w:tcPr>
            <w:tcW w:w="1029" w:type="dxa"/>
          </w:tcPr>
          <w:p w14:paraId="1455E1BA" w14:textId="77777777" w:rsidR="00CF0E2D" w:rsidRPr="00424DA4" w:rsidRDefault="00CF0E2D" w:rsidP="00A60D4B">
            <w:pPr>
              <w:pStyle w:val="InitFigBR"/>
            </w:pPr>
            <w:r>
              <w:t>-</w:t>
            </w:r>
            <w:r w:rsidRPr="00DD4AFE">
              <w:t>184</w:t>
            </w:r>
          </w:p>
        </w:tc>
      </w:tr>
      <w:tr w:rsidR="00CF0E2D" w:rsidRPr="00AE1BF4" w14:paraId="0CAB0015" w14:textId="77777777" w:rsidTr="00A60D4B">
        <w:trPr>
          <w:cantSplit/>
          <w:trHeight w:val="107"/>
          <w:jc w:val="center"/>
        </w:trPr>
        <w:tc>
          <w:tcPr>
            <w:tcW w:w="3652" w:type="dxa"/>
            <w:tcBorders>
              <w:top w:val="single" w:sz="4" w:space="0" w:color="auto"/>
              <w:bottom w:val="single" w:sz="4" w:space="0" w:color="auto"/>
            </w:tcBorders>
          </w:tcPr>
          <w:p w14:paraId="3CCF6688" w14:textId="51E90E15" w:rsidR="00CF0E2D" w:rsidRPr="00AE1BF4"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7B9D3FF3" w14:textId="77777777" w:rsidR="00CF0E2D" w:rsidRDefault="00CF0E2D" w:rsidP="00A60D4B">
            <w:pPr>
              <w:pStyle w:val="InitFigRBold"/>
            </w:pPr>
            <w:r>
              <w:t>0</w:t>
            </w:r>
          </w:p>
        </w:tc>
        <w:tc>
          <w:tcPr>
            <w:tcW w:w="1041" w:type="dxa"/>
            <w:tcBorders>
              <w:top w:val="single" w:sz="4" w:space="0" w:color="auto"/>
              <w:bottom w:val="single" w:sz="4" w:space="0" w:color="auto"/>
            </w:tcBorders>
          </w:tcPr>
          <w:p w14:paraId="5AAB5798" w14:textId="77777777" w:rsidR="00CF0E2D" w:rsidRDefault="00CF0E2D" w:rsidP="00A60D4B">
            <w:pPr>
              <w:pStyle w:val="InitFigRBold"/>
            </w:pPr>
            <w:r>
              <w:t>0</w:t>
            </w:r>
          </w:p>
        </w:tc>
        <w:tc>
          <w:tcPr>
            <w:tcW w:w="1029" w:type="dxa"/>
            <w:tcBorders>
              <w:top w:val="single" w:sz="4" w:space="0" w:color="auto"/>
              <w:bottom w:val="single" w:sz="4" w:space="0" w:color="auto"/>
            </w:tcBorders>
          </w:tcPr>
          <w:p w14:paraId="7A4C480B" w14:textId="77777777" w:rsidR="00CF0E2D" w:rsidRDefault="00CF0E2D" w:rsidP="00A60D4B">
            <w:pPr>
              <w:pStyle w:val="InitFigRBold"/>
            </w:pPr>
            <w:r>
              <w:t>0</w:t>
            </w:r>
          </w:p>
        </w:tc>
        <w:tc>
          <w:tcPr>
            <w:tcW w:w="1029" w:type="dxa"/>
            <w:tcBorders>
              <w:top w:val="single" w:sz="4" w:space="0" w:color="auto"/>
              <w:bottom w:val="single" w:sz="4" w:space="0" w:color="auto"/>
            </w:tcBorders>
          </w:tcPr>
          <w:p w14:paraId="5B74C86D" w14:textId="77777777" w:rsidR="00CF0E2D" w:rsidRDefault="00CF0E2D" w:rsidP="00A60D4B">
            <w:pPr>
              <w:pStyle w:val="InitFigRBold"/>
            </w:pPr>
            <w:r>
              <w:t>0</w:t>
            </w:r>
          </w:p>
        </w:tc>
        <w:tc>
          <w:tcPr>
            <w:tcW w:w="1029" w:type="dxa"/>
            <w:tcBorders>
              <w:top w:val="single" w:sz="4" w:space="0" w:color="auto"/>
              <w:bottom w:val="single" w:sz="4" w:space="0" w:color="auto"/>
            </w:tcBorders>
          </w:tcPr>
          <w:p w14:paraId="2A39F64F" w14:textId="77777777" w:rsidR="00CF0E2D" w:rsidRPr="00AE1BF4" w:rsidRDefault="00CF0E2D" w:rsidP="00A60D4B">
            <w:pPr>
              <w:pStyle w:val="InitFigRBold"/>
              <w:rPr>
                <w:bCs/>
              </w:rPr>
            </w:pPr>
            <w:r>
              <w:rPr>
                <w:bCs/>
              </w:rPr>
              <w:t>0</w:t>
            </w:r>
          </w:p>
        </w:tc>
      </w:tr>
    </w:tbl>
    <w:p w14:paraId="172ECEC4" w14:textId="77777777" w:rsidR="00CF0E2D" w:rsidRDefault="00CF0E2D" w:rsidP="00A60D4B">
      <w:pPr>
        <w:pStyle w:val="Bbodytext"/>
      </w:pPr>
      <w:r>
        <w:t xml:space="preserve">The Government will develop a model of care to assist in the future development of supported accommodation for </w:t>
      </w:r>
      <w:r w:rsidRPr="00F04DAD">
        <w:t xml:space="preserve">people living </w:t>
      </w:r>
      <w:r>
        <w:t>mental health challenges.</w:t>
      </w:r>
    </w:p>
    <w:p w14:paraId="79BF0453" w14:textId="77777777" w:rsidR="00CF0E2D" w:rsidRPr="00A7354E" w:rsidRDefault="00CF0E2D" w:rsidP="00A60D4B">
      <w:pPr>
        <w:pStyle w:val="Bbodytext"/>
      </w:pPr>
      <w:r>
        <w:t>This initiative contributes to the wellbeing domain of Health.</w:t>
      </w:r>
    </w:p>
    <w:p w14:paraId="3015DD2A" w14:textId="77777777" w:rsidR="00CF0E2D" w:rsidRDefault="00CF0E2D" w:rsidP="00A60D4B">
      <w:pPr>
        <w:pStyle w:val="Bbodytext"/>
      </w:pPr>
    </w:p>
    <w:p w14:paraId="51D25538" w14:textId="77777777" w:rsidR="00CF0E2D" w:rsidRPr="001952D1" w:rsidRDefault="00CF0E2D" w:rsidP="00A60D4B">
      <w:pPr>
        <w:pStyle w:val="Heading4"/>
        <w:rPr>
          <w:rFonts w:eastAsia="Times New Roman"/>
        </w:rPr>
      </w:pPr>
      <w:r w:rsidRPr="00761B30">
        <w:rPr>
          <w:rFonts w:eastAsia="Times New Roman"/>
        </w:rPr>
        <w:t xml:space="preserve">COVID-19 Response </w:t>
      </w:r>
      <w:r>
        <w:rPr>
          <w:rFonts w:eastAsia="Times New Roman"/>
        </w:rPr>
        <w:t>–</w:t>
      </w:r>
      <w:r w:rsidRPr="00761B30">
        <w:rPr>
          <w:rFonts w:eastAsia="Times New Roman"/>
        </w:rPr>
        <w:t xml:space="preserve"> Continuing the COVID-19 Public Health support package</w:t>
      </w:r>
      <w:r>
        <w:rPr>
          <w:b w:val="0"/>
          <w:noProof/>
          <w:color w:val="999789"/>
          <w:sz w:val="32"/>
          <w:szCs w:val="24"/>
        </w:rPr>
        <w:drawing>
          <wp:anchor distT="0" distB="0" distL="114300" distR="114300" simplePos="0" relativeHeight="251868160" behindDoc="0" locked="1" layoutInCell="1" allowOverlap="1" wp14:anchorId="232D9B1C" wp14:editId="27A43639">
            <wp:simplePos x="0" y="0"/>
            <wp:positionH relativeFrom="margin">
              <wp:align>right</wp:align>
            </wp:positionH>
            <wp:positionV relativeFrom="paragraph">
              <wp:posOffset>88265</wp:posOffset>
            </wp:positionV>
            <wp:extent cx="993140" cy="503555"/>
            <wp:effectExtent l="0" t="0" r="0" b="0"/>
            <wp:wrapSquare wrapText="bothSides"/>
            <wp:docPr id="165" name="Picture 165"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173A4A3F" w14:textId="77777777" w:rsidTr="00A60D4B">
        <w:trPr>
          <w:cantSplit/>
          <w:jc w:val="center"/>
        </w:trPr>
        <w:tc>
          <w:tcPr>
            <w:tcW w:w="3652" w:type="dxa"/>
            <w:tcBorders>
              <w:top w:val="single" w:sz="4" w:space="0" w:color="auto"/>
              <w:bottom w:val="single" w:sz="4" w:space="0" w:color="auto"/>
            </w:tcBorders>
          </w:tcPr>
          <w:p w14:paraId="0D1C31B2" w14:textId="77777777" w:rsidR="00CF0E2D" w:rsidRPr="004E341E" w:rsidRDefault="00CF0E2D" w:rsidP="00A60D4B">
            <w:pPr>
              <w:pStyle w:val="EmptyCell0"/>
            </w:pPr>
            <w:bookmarkStart w:id="51" w:name="_Hlk80180100"/>
            <w:r>
              <w:t>Empty Cell</w:t>
            </w:r>
          </w:p>
        </w:tc>
        <w:tc>
          <w:tcPr>
            <w:tcW w:w="1179" w:type="dxa"/>
            <w:tcBorders>
              <w:top w:val="single" w:sz="4" w:space="0" w:color="auto"/>
              <w:bottom w:val="single" w:sz="4" w:space="0" w:color="auto"/>
            </w:tcBorders>
          </w:tcPr>
          <w:p w14:paraId="0DAB1FCE" w14:textId="77777777" w:rsidR="00CF0E2D" w:rsidRPr="00987EB8" w:rsidRDefault="00CF0E2D" w:rsidP="00A60D4B">
            <w:pPr>
              <w:pStyle w:val="InitFigR"/>
              <w:rPr>
                <w:b/>
                <w:bCs/>
              </w:rPr>
            </w:pPr>
            <w:r w:rsidRPr="00987EB8">
              <w:rPr>
                <w:b/>
                <w:bCs/>
              </w:rPr>
              <w:t>2021-22</w:t>
            </w:r>
          </w:p>
          <w:p w14:paraId="78EFE6C4" w14:textId="77777777" w:rsidR="00CF0E2D" w:rsidRPr="00987EB8" w:rsidRDefault="00CF0E2D" w:rsidP="00A60D4B">
            <w:pPr>
              <w:pStyle w:val="InitFigR"/>
              <w:rPr>
                <w:b/>
                <w:bCs/>
              </w:rPr>
            </w:pPr>
            <w:r w:rsidRPr="00987EB8">
              <w:rPr>
                <w:b/>
                <w:bCs/>
              </w:rPr>
              <w:t>$’000</w:t>
            </w:r>
          </w:p>
        </w:tc>
        <w:tc>
          <w:tcPr>
            <w:tcW w:w="1041" w:type="dxa"/>
            <w:tcBorders>
              <w:top w:val="single" w:sz="4" w:space="0" w:color="auto"/>
              <w:bottom w:val="single" w:sz="4" w:space="0" w:color="auto"/>
            </w:tcBorders>
          </w:tcPr>
          <w:p w14:paraId="2674F19A" w14:textId="77777777" w:rsidR="00CF0E2D" w:rsidRPr="00987EB8" w:rsidRDefault="00CF0E2D" w:rsidP="00A60D4B">
            <w:pPr>
              <w:pStyle w:val="InitFigR"/>
              <w:rPr>
                <w:b/>
                <w:bCs/>
              </w:rPr>
            </w:pPr>
            <w:r w:rsidRPr="00987EB8">
              <w:rPr>
                <w:b/>
                <w:bCs/>
              </w:rPr>
              <w:t>2022-23</w:t>
            </w:r>
          </w:p>
          <w:p w14:paraId="6F657948"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22EAC548" w14:textId="77777777" w:rsidR="00CF0E2D" w:rsidRPr="00987EB8" w:rsidRDefault="00CF0E2D" w:rsidP="00A60D4B">
            <w:pPr>
              <w:pStyle w:val="InitFigR"/>
              <w:rPr>
                <w:b/>
                <w:bCs/>
              </w:rPr>
            </w:pPr>
            <w:r w:rsidRPr="00987EB8">
              <w:rPr>
                <w:b/>
                <w:bCs/>
              </w:rPr>
              <w:t>2023-24</w:t>
            </w:r>
          </w:p>
          <w:p w14:paraId="239F1407"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28D02537" w14:textId="77777777" w:rsidR="00CF0E2D" w:rsidRPr="00987EB8" w:rsidRDefault="00CF0E2D" w:rsidP="00A60D4B">
            <w:pPr>
              <w:pStyle w:val="InitFigR"/>
              <w:rPr>
                <w:b/>
                <w:bCs/>
              </w:rPr>
            </w:pPr>
            <w:r w:rsidRPr="00987EB8">
              <w:rPr>
                <w:b/>
                <w:bCs/>
              </w:rPr>
              <w:t>2024-25</w:t>
            </w:r>
          </w:p>
          <w:p w14:paraId="54306C32"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60B3A35D" w14:textId="77777777" w:rsidR="00CF0E2D" w:rsidRPr="004E341E" w:rsidRDefault="00CF0E2D" w:rsidP="00A60D4B">
            <w:pPr>
              <w:pStyle w:val="InitFigRBold"/>
            </w:pPr>
            <w:r w:rsidRPr="004E341E">
              <w:t>Total</w:t>
            </w:r>
          </w:p>
          <w:p w14:paraId="668F0185" w14:textId="77777777" w:rsidR="00CF0E2D" w:rsidRPr="004E341E" w:rsidRDefault="00CF0E2D" w:rsidP="00A60D4B">
            <w:pPr>
              <w:pStyle w:val="InitFigBR"/>
            </w:pPr>
            <w:r w:rsidRPr="004E341E">
              <w:t>$’000</w:t>
            </w:r>
          </w:p>
        </w:tc>
      </w:tr>
      <w:tr w:rsidR="00CF0E2D" w:rsidRPr="00750793" w14:paraId="527BEE9F" w14:textId="77777777" w:rsidTr="00A60D4B">
        <w:trPr>
          <w:cantSplit/>
          <w:jc w:val="center"/>
        </w:trPr>
        <w:tc>
          <w:tcPr>
            <w:tcW w:w="3652" w:type="dxa"/>
          </w:tcPr>
          <w:p w14:paraId="323F2130" w14:textId="77777777" w:rsidR="00CF0E2D" w:rsidRPr="00F13FAB" w:rsidRDefault="00CF0E2D" w:rsidP="00A60D4B">
            <w:pPr>
              <w:pStyle w:val="InitTextL"/>
              <w:ind w:left="321" w:hanging="321"/>
            </w:pPr>
            <w:r w:rsidRPr="00882BE2">
              <w:t>Expenses</w:t>
            </w:r>
            <w:r>
              <w:t xml:space="preserve"> – ACT Health Directorate</w:t>
            </w:r>
          </w:p>
        </w:tc>
        <w:tc>
          <w:tcPr>
            <w:tcW w:w="1179" w:type="dxa"/>
          </w:tcPr>
          <w:p w14:paraId="3AE90129" w14:textId="77777777" w:rsidR="00CF0E2D" w:rsidRPr="00424DA4" w:rsidRDefault="00CF0E2D" w:rsidP="00A60D4B">
            <w:pPr>
              <w:pStyle w:val="InitFigR"/>
            </w:pPr>
            <w:r>
              <w:t>17,318</w:t>
            </w:r>
          </w:p>
        </w:tc>
        <w:tc>
          <w:tcPr>
            <w:tcW w:w="1041" w:type="dxa"/>
          </w:tcPr>
          <w:p w14:paraId="17DE49C1" w14:textId="77777777" w:rsidR="00CF0E2D" w:rsidRPr="00424DA4" w:rsidRDefault="00CF0E2D" w:rsidP="00A60D4B">
            <w:pPr>
              <w:pStyle w:val="InitFigR"/>
            </w:pPr>
            <w:r>
              <w:t>0</w:t>
            </w:r>
          </w:p>
        </w:tc>
        <w:tc>
          <w:tcPr>
            <w:tcW w:w="1029" w:type="dxa"/>
          </w:tcPr>
          <w:p w14:paraId="45C02C02" w14:textId="77777777" w:rsidR="00CF0E2D" w:rsidRPr="00424DA4" w:rsidRDefault="00CF0E2D" w:rsidP="00A60D4B">
            <w:pPr>
              <w:pStyle w:val="InitFigR"/>
            </w:pPr>
            <w:r>
              <w:t>0</w:t>
            </w:r>
          </w:p>
        </w:tc>
        <w:tc>
          <w:tcPr>
            <w:tcW w:w="1029" w:type="dxa"/>
          </w:tcPr>
          <w:p w14:paraId="786519B9" w14:textId="77777777" w:rsidR="00CF0E2D" w:rsidRPr="00424DA4" w:rsidRDefault="00CF0E2D" w:rsidP="00A60D4B">
            <w:pPr>
              <w:pStyle w:val="InitFigR"/>
            </w:pPr>
            <w:r>
              <w:t>0</w:t>
            </w:r>
          </w:p>
        </w:tc>
        <w:tc>
          <w:tcPr>
            <w:tcW w:w="1029" w:type="dxa"/>
          </w:tcPr>
          <w:p w14:paraId="5998B59B" w14:textId="77777777" w:rsidR="00CF0E2D" w:rsidRPr="00424DA4" w:rsidRDefault="00CF0E2D" w:rsidP="00A60D4B">
            <w:pPr>
              <w:pStyle w:val="InitFigBR"/>
            </w:pPr>
            <w:r>
              <w:t>17,318</w:t>
            </w:r>
          </w:p>
        </w:tc>
      </w:tr>
      <w:tr w:rsidR="00CF0E2D" w:rsidRPr="00750793" w14:paraId="3551E4C0" w14:textId="77777777" w:rsidTr="00A60D4B">
        <w:trPr>
          <w:cantSplit/>
          <w:jc w:val="center"/>
        </w:trPr>
        <w:tc>
          <w:tcPr>
            <w:tcW w:w="3652" w:type="dxa"/>
          </w:tcPr>
          <w:p w14:paraId="777E3881" w14:textId="77777777" w:rsidR="00CF0E2D" w:rsidRPr="00915199" w:rsidRDefault="00CF0E2D" w:rsidP="00A60D4B">
            <w:pPr>
              <w:pStyle w:val="InitTextL"/>
              <w:ind w:left="321" w:hanging="321"/>
            </w:pPr>
            <w:r>
              <w:t>Expenses – ACT Local Hospital Network</w:t>
            </w:r>
          </w:p>
        </w:tc>
        <w:tc>
          <w:tcPr>
            <w:tcW w:w="1179" w:type="dxa"/>
          </w:tcPr>
          <w:p w14:paraId="404A9889" w14:textId="77777777" w:rsidR="00CF0E2D" w:rsidRDefault="00CF0E2D" w:rsidP="00A60D4B">
            <w:pPr>
              <w:pStyle w:val="InitFigR"/>
            </w:pPr>
            <w:r>
              <w:t>34,937</w:t>
            </w:r>
          </w:p>
        </w:tc>
        <w:tc>
          <w:tcPr>
            <w:tcW w:w="1041" w:type="dxa"/>
          </w:tcPr>
          <w:p w14:paraId="08CA9A5D" w14:textId="77777777" w:rsidR="00CF0E2D" w:rsidRDefault="00CF0E2D" w:rsidP="00A60D4B">
            <w:pPr>
              <w:pStyle w:val="InitFigR"/>
            </w:pPr>
            <w:r>
              <w:t>0</w:t>
            </w:r>
          </w:p>
        </w:tc>
        <w:tc>
          <w:tcPr>
            <w:tcW w:w="1029" w:type="dxa"/>
          </w:tcPr>
          <w:p w14:paraId="5F90860D" w14:textId="77777777" w:rsidR="00CF0E2D" w:rsidRDefault="00CF0E2D" w:rsidP="00A60D4B">
            <w:pPr>
              <w:pStyle w:val="InitFigR"/>
            </w:pPr>
            <w:r>
              <w:t>0</w:t>
            </w:r>
          </w:p>
        </w:tc>
        <w:tc>
          <w:tcPr>
            <w:tcW w:w="1029" w:type="dxa"/>
          </w:tcPr>
          <w:p w14:paraId="46737744" w14:textId="77777777" w:rsidR="00CF0E2D" w:rsidRDefault="00CF0E2D" w:rsidP="00A60D4B">
            <w:pPr>
              <w:pStyle w:val="InitFigR"/>
            </w:pPr>
            <w:r>
              <w:t>0</w:t>
            </w:r>
          </w:p>
        </w:tc>
        <w:tc>
          <w:tcPr>
            <w:tcW w:w="1029" w:type="dxa"/>
          </w:tcPr>
          <w:p w14:paraId="56B33DAC" w14:textId="77777777" w:rsidR="00CF0E2D" w:rsidRDefault="00CF0E2D" w:rsidP="00A60D4B">
            <w:pPr>
              <w:pStyle w:val="InitFigBR"/>
            </w:pPr>
            <w:r>
              <w:t>34,937</w:t>
            </w:r>
          </w:p>
        </w:tc>
      </w:tr>
      <w:tr w:rsidR="00CF0E2D" w:rsidRPr="00750793" w14:paraId="3BAF8812" w14:textId="77777777" w:rsidTr="00A60D4B">
        <w:trPr>
          <w:cantSplit/>
          <w:jc w:val="center"/>
        </w:trPr>
        <w:tc>
          <w:tcPr>
            <w:tcW w:w="3652" w:type="dxa"/>
          </w:tcPr>
          <w:p w14:paraId="21C1577E" w14:textId="77777777" w:rsidR="00CF0E2D" w:rsidRPr="00915199" w:rsidRDefault="00CF0E2D" w:rsidP="00A60D4B">
            <w:pPr>
              <w:pStyle w:val="InitTextL"/>
              <w:ind w:left="321" w:hanging="321"/>
            </w:pPr>
            <w:r w:rsidRPr="00915199">
              <w:t xml:space="preserve">Expenses – </w:t>
            </w:r>
            <w:r>
              <w:t>CMTEDD</w:t>
            </w:r>
          </w:p>
        </w:tc>
        <w:tc>
          <w:tcPr>
            <w:tcW w:w="1179" w:type="dxa"/>
          </w:tcPr>
          <w:p w14:paraId="11464A07" w14:textId="77777777" w:rsidR="00CF0E2D" w:rsidRPr="00424DA4" w:rsidRDefault="00CF0E2D" w:rsidP="00A60D4B">
            <w:pPr>
              <w:pStyle w:val="InitFigR"/>
            </w:pPr>
            <w:r>
              <w:t>6,266</w:t>
            </w:r>
          </w:p>
        </w:tc>
        <w:tc>
          <w:tcPr>
            <w:tcW w:w="1041" w:type="dxa"/>
          </w:tcPr>
          <w:p w14:paraId="5092AC6F" w14:textId="77777777" w:rsidR="00CF0E2D" w:rsidRPr="00424DA4" w:rsidRDefault="00CF0E2D" w:rsidP="00A60D4B">
            <w:pPr>
              <w:pStyle w:val="InitFigR"/>
            </w:pPr>
            <w:r>
              <w:t>0</w:t>
            </w:r>
          </w:p>
        </w:tc>
        <w:tc>
          <w:tcPr>
            <w:tcW w:w="1029" w:type="dxa"/>
          </w:tcPr>
          <w:p w14:paraId="25EDF984" w14:textId="77777777" w:rsidR="00CF0E2D" w:rsidRPr="00424DA4" w:rsidRDefault="00CF0E2D" w:rsidP="00A60D4B">
            <w:pPr>
              <w:pStyle w:val="InitFigR"/>
            </w:pPr>
            <w:r>
              <w:t>0</w:t>
            </w:r>
          </w:p>
        </w:tc>
        <w:tc>
          <w:tcPr>
            <w:tcW w:w="1029" w:type="dxa"/>
          </w:tcPr>
          <w:p w14:paraId="3589F29A" w14:textId="77777777" w:rsidR="00CF0E2D" w:rsidRPr="00424DA4" w:rsidRDefault="00CF0E2D" w:rsidP="00A60D4B">
            <w:pPr>
              <w:pStyle w:val="InitFigR"/>
            </w:pPr>
            <w:r>
              <w:t>0</w:t>
            </w:r>
          </w:p>
        </w:tc>
        <w:tc>
          <w:tcPr>
            <w:tcW w:w="1029" w:type="dxa"/>
          </w:tcPr>
          <w:p w14:paraId="082CD9E3" w14:textId="77777777" w:rsidR="00CF0E2D" w:rsidRPr="00424DA4" w:rsidRDefault="00CF0E2D" w:rsidP="00A60D4B">
            <w:pPr>
              <w:pStyle w:val="InitFigBR"/>
            </w:pPr>
            <w:r>
              <w:t>6,266</w:t>
            </w:r>
          </w:p>
        </w:tc>
      </w:tr>
      <w:tr w:rsidR="00CF0E2D" w:rsidRPr="00750793" w14:paraId="6E5D140B" w14:textId="77777777" w:rsidTr="00A60D4B">
        <w:trPr>
          <w:cantSplit/>
          <w:jc w:val="center"/>
        </w:trPr>
        <w:tc>
          <w:tcPr>
            <w:tcW w:w="3652" w:type="dxa"/>
          </w:tcPr>
          <w:p w14:paraId="5803F3A1" w14:textId="77777777" w:rsidR="00CF0E2D" w:rsidRPr="00915199" w:rsidRDefault="00CF0E2D" w:rsidP="00A60D4B">
            <w:pPr>
              <w:pStyle w:val="InitTextL"/>
              <w:ind w:left="321" w:hanging="321"/>
            </w:pPr>
            <w:r w:rsidRPr="00915199">
              <w:t xml:space="preserve">Expenses – </w:t>
            </w:r>
            <w:r>
              <w:t>Community Services Directorate</w:t>
            </w:r>
          </w:p>
        </w:tc>
        <w:tc>
          <w:tcPr>
            <w:tcW w:w="1179" w:type="dxa"/>
          </w:tcPr>
          <w:p w14:paraId="2AA64034" w14:textId="77777777" w:rsidR="00CF0E2D" w:rsidRPr="00424DA4" w:rsidRDefault="00CF0E2D" w:rsidP="00A60D4B">
            <w:pPr>
              <w:pStyle w:val="InitFigR"/>
            </w:pPr>
            <w:r>
              <w:t>509</w:t>
            </w:r>
          </w:p>
        </w:tc>
        <w:tc>
          <w:tcPr>
            <w:tcW w:w="1041" w:type="dxa"/>
          </w:tcPr>
          <w:p w14:paraId="46F9E721" w14:textId="77777777" w:rsidR="00CF0E2D" w:rsidRPr="00424DA4" w:rsidRDefault="00CF0E2D" w:rsidP="00A60D4B">
            <w:pPr>
              <w:pStyle w:val="InitFigR"/>
            </w:pPr>
            <w:r>
              <w:t>0</w:t>
            </w:r>
          </w:p>
        </w:tc>
        <w:tc>
          <w:tcPr>
            <w:tcW w:w="1029" w:type="dxa"/>
          </w:tcPr>
          <w:p w14:paraId="7C24A777" w14:textId="77777777" w:rsidR="00CF0E2D" w:rsidRPr="00424DA4" w:rsidRDefault="00CF0E2D" w:rsidP="00A60D4B">
            <w:pPr>
              <w:pStyle w:val="InitFigR"/>
            </w:pPr>
            <w:r>
              <w:t>0</w:t>
            </w:r>
          </w:p>
        </w:tc>
        <w:tc>
          <w:tcPr>
            <w:tcW w:w="1029" w:type="dxa"/>
          </w:tcPr>
          <w:p w14:paraId="25396F34" w14:textId="77777777" w:rsidR="00CF0E2D" w:rsidRPr="00424DA4" w:rsidRDefault="00CF0E2D" w:rsidP="00A60D4B">
            <w:pPr>
              <w:pStyle w:val="InitFigR"/>
            </w:pPr>
            <w:r>
              <w:t>0</w:t>
            </w:r>
          </w:p>
        </w:tc>
        <w:tc>
          <w:tcPr>
            <w:tcW w:w="1029" w:type="dxa"/>
          </w:tcPr>
          <w:p w14:paraId="276BD1D1" w14:textId="77777777" w:rsidR="00CF0E2D" w:rsidRPr="00424DA4" w:rsidRDefault="00CF0E2D" w:rsidP="00A60D4B">
            <w:pPr>
              <w:pStyle w:val="InitFigBR"/>
            </w:pPr>
            <w:r>
              <w:t>509</w:t>
            </w:r>
          </w:p>
        </w:tc>
      </w:tr>
      <w:tr w:rsidR="00CF0E2D" w:rsidRPr="00750793" w14:paraId="3B34DE88" w14:textId="77777777" w:rsidTr="00A60D4B">
        <w:trPr>
          <w:cantSplit/>
          <w:jc w:val="center"/>
        </w:trPr>
        <w:tc>
          <w:tcPr>
            <w:tcW w:w="3652" w:type="dxa"/>
          </w:tcPr>
          <w:p w14:paraId="03D6D107" w14:textId="77777777" w:rsidR="00CF0E2D" w:rsidRPr="00915199" w:rsidRDefault="00CF0E2D" w:rsidP="00A60D4B">
            <w:pPr>
              <w:pStyle w:val="InitTextL"/>
              <w:ind w:left="321" w:hanging="321"/>
            </w:pPr>
            <w:r>
              <w:t>Expenses – Education Directorate</w:t>
            </w:r>
          </w:p>
        </w:tc>
        <w:tc>
          <w:tcPr>
            <w:tcW w:w="1179" w:type="dxa"/>
          </w:tcPr>
          <w:p w14:paraId="631DA3BA" w14:textId="77777777" w:rsidR="00CF0E2D" w:rsidRDefault="00CF0E2D" w:rsidP="00A60D4B">
            <w:pPr>
              <w:pStyle w:val="InitFigR"/>
            </w:pPr>
            <w:r>
              <w:t>2,947</w:t>
            </w:r>
          </w:p>
        </w:tc>
        <w:tc>
          <w:tcPr>
            <w:tcW w:w="1041" w:type="dxa"/>
          </w:tcPr>
          <w:p w14:paraId="031EFA87" w14:textId="77777777" w:rsidR="00CF0E2D" w:rsidRDefault="00CF0E2D" w:rsidP="00A60D4B">
            <w:pPr>
              <w:pStyle w:val="InitFigR"/>
            </w:pPr>
            <w:r>
              <w:t>0</w:t>
            </w:r>
          </w:p>
        </w:tc>
        <w:tc>
          <w:tcPr>
            <w:tcW w:w="1029" w:type="dxa"/>
          </w:tcPr>
          <w:p w14:paraId="567DCC5B" w14:textId="77777777" w:rsidR="00CF0E2D" w:rsidRDefault="00CF0E2D" w:rsidP="00A60D4B">
            <w:pPr>
              <w:pStyle w:val="InitFigR"/>
            </w:pPr>
            <w:r>
              <w:t>0</w:t>
            </w:r>
          </w:p>
        </w:tc>
        <w:tc>
          <w:tcPr>
            <w:tcW w:w="1029" w:type="dxa"/>
          </w:tcPr>
          <w:p w14:paraId="3315AB8F" w14:textId="77777777" w:rsidR="00CF0E2D" w:rsidRDefault="00CF0E2D" w:rsidP="00A60D4B">
            <w:pPr>
              <w:pStyle w:val="InitFigR"/>
            </w:pPr>
            <w:r>
              <w:t>0</w:t>
            </w:r>
          </w:p>
        </w:tc>
        <w:tc>
          <w:tcPr>
            <w:tcW w:w="1029" w:type="dxa"/>
          </w:tcPr>
          <w:p w14:paraId="61635807" w14:textId="77777777" w:rsidR="00CF0E2D" w:rsidRDefault="00CF0E2D" w:rsidP="00A60D4B">
            <w:pPr>
              <w:pStyle w:val="InitFigBR"/>
            </w:pPr>
            <w:r>
              <w:t>2,947</w:t>
            </w:r>
          </w:p>
        </w:tc>
      </w:tr>
      <w:tr w:rsidR="00CF0E2D" w:rsidRPr="00750793" w14:paraId="05A9BA89" w14:textId="77777777" w:rsidTr="00A60D4B">
        <w:trPr>
          <w:cantSplit/>
          <w:jc w:val="center"/>
        </w:trPr>
        <w:tc>
          <w:tcPr>
            <w:tcW w:w="3652" w:type="dxa"/>
          </w:tcPr>
          <w:p w14:paraId="7649E703" w14:textId="77777777" w:rsidR="00CF0E2D" w:rsidRPr="00915199" w:rsidRDefault="00CF0E2D" w:rsidP="00A60D4B">
            <w:pPr>
              <w:pStyle w:val="InitTextL"/>
              <w:ind w:left="321" w:hanging="321"/>
            </w:pPr>
            <w:r w:rsidRPr="00915199">
              <w:t xml:space="preserve">Expenses – </w:t>
            </w:r>
            <w:r>
              <w:t>Justice and Community Safety Directorate</w:t>
            </w:r>
          </w:p>
        </w:tc>
        <w:tc>
          <w:tcPr>
            <w:tcW w:w="1179" w:type="dxa"/>
          </w:tcPr>
          <w:p w14:paraId="0C30559B" w14:textId="77777777" w:rsidR="00CF0E2D" w:rsidRPr="00424DA4" w:rsidRDefault="00CF0E2D" w:rsidP="00A60D4B">
            <w:pPr>
              <w:pStyle w:val="InitFigR"/>
            </w:pPr>
            <w:r>
              <w:t>2,400</w:t>
            </w:r>
          </w:p>
        </w:tc>
        <w:tc>
          <w:tcPr>
            <w:tcW w:w="1041" w:type="dxa"/>
          </w:tcPr>
          <w:p w14:paraId="3550C3FF" w14:textId="77777777" w:rsidR="00CF0E2D" w:rsidRPr="00424DA4" w:rsidRDefault="00CF0E2D" w:rsidP="00A60D4B">
            <w:pPr>
              <w:pStyle w:val="InitFigR"/>
            </w:pPr>
            <w:r>
              <w:t>0</w:t>
            </w:r>
          </w:p>
        </w:tc>
        <w:tc>
          <w:tcPr>
            <w:tcW w:w="1029" w:type="dxa"/>
          </w:tcPr>
          <w:p w14:paraId="767BD950" w14:textId="77777777" w:rsidR="00CF0E2D" w:rsidRPr="00424DA4" w:rsidRDefault="00CF0E2D" w:rsidP="00A60D4B">
            <w:pPr>
              <w:pStyle w:val="InitFigR"/>
            </w:pPr>
            <w:r>
              <w:t>0</w:t>
            </w:r>
          </w:p>
        </w:tc>
        <w:tc>
          <w:tcPr>
            <w:tcW w:w="1029" w:type="dxa"/>
          </w:tcPr>
          <w:p w14:paraId="084CBD70" w14:textId="77777777" w:rsidR="00CF0E2D" w:rsidRPr="00424DA4" w:rsidRDefault="00CF0E2D" w:rsidP="00A60D4B">
            <w:pPr>
              <w:pStyle w:val="InitFigR"/>
            </w:pPr>
            <w:r>
              <w:t>0</w:t>
            </w:r>
          </w:p>
        </w:tc>
        <w:tc>
          <w:tcPr>
            <w:tcW w:w="1029" w:type="dxa"/>
          </w:tcPr>
          <w:p w14:paraId="030C3068" w14:textId="77777777" w:rsidR="00CF0E2D" w:rsidRPr="00424DA4" w:rsidRDefault="00CF0E2D" w:rsidP="00A60D4B">
            <w:pPr>
              <w:pStyle w:val="InitFigBR"/>
            </w:pPr>
            <w:r>
              <w:t>2,400</w:t>
            </w:r>
          </w:p>
        </w:tc>
      </w:tr>
      <w:tr w:rsidR="00CF0E2D" w:rsidRPr="00750793" w14:paraId="672B5CA9" w14:textId="77777777" w:rsidTr="00A60D4B">
        <w:trPr>
          <w:cantSplit/>
          <w:jc w:val="center"/>
        </w:trPr>
        <w:tc>
          <w:tcPr>
            <w:tcW w:w="3652" w:type="dxa"/>
          </w:tcPr>
          <w:p w14:paraId="5B65C873" w14:textId="77777777" w:rsidR="00CF0E2D" w:rsidRPr="00915199" w:rsidRDefault="00CF0E2D" w:rsidP="00A60D4B">
            <w:pPr>
              <w:pStyle w:val="InitTextL"/>
              <w:ind w:left="321" w:hanging="321"/>
            </w:pPr>
            <w:r w:rsidRPr="00915199">
              <w:t xml:space="preserve">Expenses – </w:t>
            </w:r>
            <w:r>
              <w:t>TCCS</w:t>
            </w:r>
          </w:p>
        </w:tc>
        <w:tc>
          <w:tcPr>
            <w:tcW w:w="1179" w:type="dxa"/>
          </w:tcPr>
          <w:p w14:paraId="6AC7DAD4" w14:textId="77777777" w:rsidR="00CF0E2D" w:rsidRPr="00424DA4" w:rsidRDefault="00CF0E2D" w:rsidP="00A60D4B">
            <w:pPr>
              <w:pStyle w:val="InitFigR"/>
            </w:pPr>
            <w:r>
              <w:t>1,098</w:t>
            </w:r>
          </w:p>
        </w:tc>
        <w:tc>
          <w:tcPr>
            <w:tcW w:w="1041" w:type="dxa"/>
          </w:tcPr>
          <w:p w14:paraId="1022D9A0" w14:textId="77777777" w:rsidR="00CF0E2D" w:rsidRPr="00424DA4" w:rsidRDefault="00CF0E2D" w:rsidP="00A60D4B">
            <w:pPr>
              <w:pStyle w:val="InitFigR"/>
            </w:pPr>
            <w:r>
              <w:t>0</w:t>
            </w:r>
          </w:p>
        </w:tc>
        <w:tc>
          <w:tcPr>
            <w:tcW w:w="1029" w:type="dxa"/>
          </w:tcPr>
          <w:p w14:paraId="2403841A" w14:textId="77777777" w:rsidR="00CF0E2D" w:rsidRPr="00424DA4" w:rsidRDefault="00CF0E2D" w:rsidP="00A60D4B">
            <w:pPr>
              <w:pStyle w:val="InitFigR"/>
            </w:pPr>
            <w:r>
              <w:t>0</w:t>
            </w:r>
          </w:p>
        </w:tc>
        <w:tc>
          <w:tcPr>
            <w:tcW w:w="1029" w:type="dxa"/>
          </w:tcPr>
          <w:p w14:paraId="35EF9D08" w14:textId="77777777" w:rsidR="00CF0E2D" w:rsidRPr="00424DA4" w:rsidRDefault="00CF0E2D" w:rsidP="00A60D4B">
            <w:pPr>
              <w:pStyle w:val="InitFigR"/>
            </w:pPr>
            <w:r>
              <w:t>0</w:t>
            </w:r>
          </w:p>
        </w:tc>
        <w:tc>
          <w:tcPr>
            <w:tcW w:w="1029" w:type="dxa"/>
          </w:tcPr>
          <w:p w14:paraId="44680F9A" w14:textId="77777777" w:rsidR="00CF0E2D" w:rsidRPr="00424DA4" w:rsidRDefault="00CF0E2D" w:rsidP="00A60D4B">
            <w:pPr>
              <w:pStyle w:val="InitFigBR"/>
            </w:pPr>
            <w:r>
              <w:t>1,098</w:t>
            </w:r>
          </w:p>
        </w:tc>
      </w:tr>
      <w:tr w:rsidR="00CF0E2D" w:rsidRPr="00750793" w14:paraId="287EFE46" w14:textId="77777777" w:rsidTr="00A60D4B">
        <w:trPr>
          <w:cantSplit/>
          <w:jc w:val="center"/>
        </w:trPr>
        <w:tc>
          <w:tcPr>
            <w:tcW w:w="3652" w:type="dxa"/>
          </w:tcPr>
          <w:p w14:paraId="058EB7CF" w14:textId="77777777" w:rsidR="00CF0E2D" w:rsidRDefault="00CF0E2D" w:rsidP="00A60D4B">
            <w:pPr>
              <w:pStyle w:val="InitTextL"/>
              <w:ind w:left="321" w:hanging="321"/>
            </w:pPr>
            <w:r>
              <w:t>Offset – Expenses</w:t>
            </w:r>
          </w:p>
        </w:tc>
        <w:tc>
          <w:tcPr>
            <w:tcW w:w="1179" w:type="dxa"/>
          </w:tcPr>
          <w:p w14:paraId="4F2E2FB4" w14:textId="77777777" w:rsidR="00CF0E2D" w:rsidRPr="00424DA4" w:rsidRDefault="00CF0E2D" w:rsidP="00A60D4B">
            <w:pPr>
              <w:pStyle w:val="InitFigR"/>
            </w:pPr>
            <w:r>
              <w:t>-287</w:t>
            </w:r>
          </w:p>
        </w:tc>
        <w:tc>
          <w:tcPr>
            <w:tcW w:w="1041" w:type="dxa"/>
          </w:tcPr>
          <w:p w14:paraId="39E8EC60" w14:textId="77777777" w:rsidR="00CF0E2D" w:rsidRPr="00424DA4" w:rsidRDefault="00CF0E2D" w:rsidP="00A60D4B">
            <w:pPr>
              <w:pStyle w:val="InitFigR"/>
            </w:pPr>
            <w:r>
              <w:t>0</w:t>
            </w:r>
          </w:p>
        </w:tc>
        <w:tc>
          <w:tcPr>
            <w:tcW w:w="1029" w:type="dxa"/>
          </w:tcPr>
          <w:p w14:paraId="37C0EC80" w14:textId="77777777" w:rsidR="00CF0E2D" w:rsidRPr="00424DA4" w:rsidRDefault="00CF0E2D" w:rsidP="00A60D4B">
            <w:pPr>
              <w:pStyle w:val="InitFigR"/>
            </w:pPr>
            <w:r>
              <w:t>0</w:t>
            </w:r>
          </w:p>
        </w:tc>
        <w:tc>
          <w:tcPr>
            <w:tcW w:w="1029" w:type="dxa"/>
          </w:tcPr>
          <w:p w14:paraId="7F3DCB3B" w14:textId="77777777" w:rsidR="00CF0E2D" w:rsidRPr="00424DA4" w:rsidRDefault="00CF0E2D" w:rsidP="00A60D4B">
            <w:pPr>
              <w:pStyle w:val="InitFigR"/>
            </w:pPr>
            <w:r>
              <w:t>0</w:t>
            </w:r>
          </w:p>
        </w:tc>
        <w:tc>
          <w:tcPr>
            <w:tcW w:w="1029" w:type="dxa"/>
          </w:tcPr>
          <w:p w14:paraId="00AA8362" w14:textId="77777777" w:rsidR="00CF0E2D" w:rsidRPr="00424DA4" w:rsidRDefault="00CF0E2D" w:rsidP="00A60D4B">
            <w:pPr>
              <w:pStyle w:val="InitFigBR"/>
            </w:pPr>
            <w:r>
              <w:t>-287</w:t>
            </w:r>
          </w:p>
        </w:tc>
      </w:tr>
      <w:tr w:rsidR="00CF0E2D" w:rsidRPr="00750793" w14:paraId="2FEBF6FB" w14:textId="77777777" w:rsidTr="00A60D4B">
        <w:trPr>
          <w:cantSplit/>
          <w:jc w:val="center"/>
        </w:trPr>
        <w:tc>
          <w:tcPr>
            <w:tcW w:w="3652" w:type="dxa"/>
          </w:tcPr>
          <w:p w14:paraId="2AED9BB3" w14:textId="77777777" w:rsidR="00CF0E2D" w:rsidRPr="00F13FAB" w:rsidRDefault="00CF0E2D" w:rsidP="00A60D4B">
            <w:pPr>
              <w:pStyle w:val="InitTextL"/>
              <w:ind w:left="321" w:hanging="321"/>
            </w:pPr>
            <w:r>
              <w:t>Offset – Expenses – Provision</w:t>
            </w:r>
          </w:p>
        </w:tc>
        <w:tc>
          <w:tcPr>
            <w:tcW w:w="1179" w:type="dxa"/>
          </w:tcPr>
          <w:p w14:paraId="787ADFF4" w14:textId="77777777" w:rsidR="00CF0E2D" w:rsidRPr="00424DA4" w:rsidRDefault="00CF0E2D" w:rsidP="00A60D4B">
            <w:pPr>
              <w:pStyle w:val="InitFigR"/>
            </w:pPr>
            <w:r w:rsidRPr="00933577">
              <w:rPr>
                <w:rFonts w:cs="Calibri"/>
                <w:lang w:eastAsia="en-AU"/>
              </w:rPr>
              <w:t xml:space="preserve"> </w:t>
            </w:r>
            <w:r>
              <w:rPr>
                <w:rFonts w:cs="Calibri"/>
                <w:lang w:eastAsia="en-AU"/>
              </w:rPr>
              <w:t>-16,593</w:t>
            </w:r>
            <w:r w:rsidRPr="00933577">
              <w:rPr>
                <w:rFonts w:cs="Calibri"/>
                <w:lang w:eastAsia="en-AU"/>
              </w:rPr>
              <w:t xml:space="preserve"> </w:t>
            </w:r>
          </w:p>
        </w:tc>
        <w:tc>
          <w:tcPr>
            <w:tcW w:w="1041" w:type="dxa"/>
          </w:tcPr>
          <w:p w14:paraId="1CEE857F" w14:textId="77777777" w:rsidR="00CF0E2D" w:rsidRPr="00424DA4" w:rsidRDefault="00CF0E2D" w:rsidP="00A60D4B">
            <w:pPr>
              <w:pStyle w:val="InitFigR"/>
            </w:pPr>
            <w:r>
              <w:rPr>
                <w:rFonts w:cs="Calibri"/>
                <w:lang w:eastAsia="en-AU"/>
              </w:rPr>
              <w:t>0</w:t>
            </w:r>
            <w:r w:rsidRPr="00933577">
              <w:rPr>
                <w:rFonts w:cs="Calibri"/>
                <w:lang w:eastAsia="en-AU"/>
              </w:rPr>
              <w:t xml:space="preserve"> </w:t>
            </w:r>
          </w:p>
        </w:tc>
        <w:tc>
          <w:tcPr>
            <w:tcW w:w="1029" w:type="dxa"/>
          </w:tcPr>
          <w:p w14:paraId="05841FF3" w14:textId="77777777" w:rsidR="00CF0E2D" w:rsidRPr="00424DA4" w:rsidRDefault="00CF0E2D" w:rsidP="00A60D4B">
            <w:pPr>
              <w:pStyle w:val="InitFigR"/>
            </w:pPr>
            <w:r w:rsidRPr="00933577">
              <w:rPr>
                <w:rFonts w:cs="Calibri"/>
                <w:lang w:eastAsia="en-AU"/>
              </w:rPr>
              <w:t xml:space="preserve"> </w:t>
            </w:r>
            <w:r>
              <w:rPr>
                <w:rFonts w:cs="Calibri"/>
                <w:lang w:eastAsia="en-AU"/>
              </w:rPr>
              <w:t>0</w:t>
            </w:r>
            <w:r w:rsidRPr="00933577">
              <w:rPr>
                <w:rFonts w:cs="Calibri"/>
                <w:lang w:eastAsia="en-AU"/>
              </w:rPr>
              <w:t xml:space="preserve"> </w:t>
            </w:r>
          </w:p>
        </w:tc>
        <w:tc>
          <w:tcPr>
            <w:tcW w:w="1029" w:type="dxa"/>
          </w:tcPr>
          <w:p w14:paraId="38CA5357" w14:textId="77777777" w:rsidR="00CF0E2D" w:rsidRPr="00424DA4" w:rsidRDefault="00CF0E2D" w:rsidP="00A60D4B">
            <w:pPr>
              <w:pStyle w:val="InitFigR"/>
            </w:pPr>
            <w:r w:rsidRPr="00933577">
              <w:rPr>
                <w:rFonts w:cs="Calibri"/>
                <w:lang w:eastAsia="en-AU"/>
              </w:rPr>
              <w:t xml:space="preserve"> </w:t>
            </w:r>
            <w:r>
              <w:rPr>
                <w:rFonts w:cs="Calibri"/>
                <w:lang w:eastAsia="en-AU"/>
              </w:rPr>
              <w:t>0</w:t>
            </w:r>
            <w:r w:rsidRPr="00933577">
              <w:rPr>
                <w:rFonts w:cs="Calibri"/>
                <w:lang w:eastAsia="en-AU"/>
              </w:rPr>
              <w:t xml:space="preserve"> </w:t>
            </w:r>
          </w:p>
        </w:tc>
        <w:tc>
          <w:tcPr>
            <w:tcW w:w="1029" w:type="dxa"/>
          </w:tcPr>
          <w:p w14:paraId="44EC14EF" w14:textId="77777777" w:rsidR="00CF0E2D" w:rsidRPr="00424DA4" w:rsidRDefault="00CF0E2D" w:rsidP="00A60D4B">
            <w:pPr>
              <w:pStyle w:val="InitFigBR"/>
            </w:pPr>
            <w:r>
              <w:rPr>
                <w:rFonts w:cs="Calibri"/>
                <w:bCs/>
                <w:lang w:eastAsia="en-AU"/>
              </w:rPr>
              <w:t>-16,593</w:t>
            </w:r>
            <w:r w:rsidRPr="00933577">
              <w:rPr>
                <w:rFonts w:cs="Calibri"/>
                <w:bCs/>
                <w:lang w:eastAsia="en-AU"/>
              </w:rPr>
              <w:t xml:space="preserve"> </w:t>
            </w:r>
          </w:p>
        </w:tc>
      </w:tr>
      <w:tr w:rsidR="00CF0E2D" w:rsidRPr="00750793" w14:paraId="31BD31D1" w14:textId="77777777" w:rsidTr="00A60D4B">
        <w:trPr>
          <w:cantSplit/>
          <w:jc w:val="center"/>
        </w:trPr>
        <w:tc>
          <w:tcPr>
            <w:tcW w:w="3652" w:type="dxa"/>
          </w:tcPr>
          <w:p w14:paraId="0A6ED314" w14:textId="77777777" w:rsidR="00CF0E2D" w:rsidRDefault="00CF0E2D" w:rsidP="00A60D4B">
            <w:pPr>
              <w:pStyle w:val="InitTextL"/>
              <w:ind w:left="321" w:hanging="321"/>
            </w:pPr>
            <w:r>
              <w:t>Offset – Savings</w:t>
            </w:r>
          </w:p>
        </w:tc>
        <w:tc>
          <w:tcPr>
            <w:tcW w:w="1179" w:type="dxa"/>
          </w:tcPr>
          <w:p w14:paraId="58A45C36" w14:textId="77777777" w:rsidR="00CF0E2D" w:rsidRPr="00424DA4" w:rsidRDefault="00CF0E2D" w:rsidP="00A60D4B">
            <w:pPr>
              <w:pStyle w:val="InitFigR"/>
            </w:pPr>
            <w:r>
              <w:t>-6,000</w:t>
            </w:r>
          </w:p>
        </w:tc>
        <w:tc>
          <w:tcPr>
            <w:tcW w:w="1041" w:type="dxa"/>
          </w:tcPr>
          <w:p w14:paraId="34727B6E" w14:textId="77777777" w:rsidR="00CF0E2D" w:rsidRPr="00424DA4" w:rsidRDefault="00CF0E2D" w:rsidP="00A60D4B">
            <w:pPr>
              <w:pStyle w:val="InitFigR"/>
            </w:pPr>
            <w:r>
              <w:t>0</w:t>
            </w:r>
          </w:p>
        </w:tc>
        <w:tc>
          <w:tcPr>
            <w:tcW w:w="1029" w:type="dxa"/>
          </w:tcPr>
          <w:p w14:paraId="26F5EF72" w14:textId="77777777" w:rsidR="00CF0E2D" w:rsidRPr="00424DA4" w:rsidRDefault="00CF0E2D" w:rsidP="00A60D4B">
            <w:pPr>
              <w:pStyle w:val="InitFigR"/>
            </w:pPr>
            <w:r>
              <w:t>0</w:t>
            </w:r>
          </w:p>
        </w:tc>
        <w:tc>
          <w:tcPr>
            <w:tcW w:w="1029" w:type="dxa"/>
          </w:tcPr>
          <w:p w14:paraId="43EFC301" w14:textId="77777777" w:rsidR="00CF0E2D" w:rsidRPr="00424DA4" w:rsidRDefault="00CF0E2D" w:rsidP="00A60D4B">
            <w:pPr>
              <w:pStyle w:val="InitFigR"/>
            </w:pPr>
            <w:r>
              <w:t>0</w:t>
            </w:r>
          </w:p>
        </w:tc>
        <w:tc>
          <w:tcPr>
            <w:tcW w:w="1029" w:type="dxa"/>
          </w:tcPr>
          <w:p w14:paraId="6018C7FD" w14:textId="77777777" w:rsidR="00CF0E2D" w:rsidRPr="00424DA4" w:rsidRDefault="00CF0E2D" w:rsidP="00A60D4B">
            <w:pPr>
              <w:pStyle w:val="InitFigBR"/>
            </w:pPr>
            <w:r>
              <w:t>-6,000</w:t>
            </w:r>
          </w:p>
        </w:tc>
      </w:tr>
      <w:tr w:rsidR="00CF0E2D" w:rsidRPr="00750793" w14:paraId="1EA7C32C" w14:textId="77777777" w:rsidTr="00A60D4B">
        <w:trPr>
          <w:cantSplit/>
          <w:trHeight w:val="107"/>
          <w:jc w:val="center"/>
        </w:trPr>
        <w:tc>
          <w:tcPr>
            <w:tcW w:w="3652" w:type="dxa"/>
            <w:tcBorders>
              <w:bottom w:val="single" w:sz="4" w:space="0" w:color="auto"/>
            </w:tcBorders>
          </w:tcPr>
          <w:p w14:paraId="422CF0E6" w14:textId="77777777" w:rsidR="00CF0E2D" w:rsidRDefault="00CF0E2D" w:rsidP="00A60D4B">
            <w:pPr>
              <w:pStyle w:val="InitTextL"/>
              <w:ind w:left="321" w:hanging="321"/>
            </w:pPr>
            <w:r>
              <w:t>Offset – Commonwealth revenue</w:t>
            </w:r>
          </w:p>
        </w:tc>
        <w:tc>
          <w:tcPr>
            <w:tcW w:w="1179" w:type="dxa"/>
            <w:tcBorders>
              <w:bottom w:val="single" w:sz="4" w:space="0" w:color="auto"/>
            </w:tcBorders>
          </w:tcPr>
          <w:p w14:paraId="51227674" w14:textId="77777777" w:rsidR="00CF0E2D" w:rsidRPr="00424DA4" w:rsidRDefault="00CF0E2D" w:rsidP="00A60D4B">
            <w:pPr>
              <w:pStyle w:val="InitFigR"/>
            </w:pPr>
            <w:r>
              <w:t>-28,289</w:t>
            </w:r>
          </w:p>
        </w:tc>
        <w:tc>
          <w:tcPr>
            <w:tcW w:w="1041" w:type="dxa"/>
            <w:tcBorders>
              <w:bottom w:val="single" w:sz="4" w:space="0" w:color="auto"/>
            </w:tcBorders>
          </w:tcPr>
          <w:p w14:paraId="3227243F" w14:textId="77777777" w:rsidR="00CF0E2D" w:rsidRPr="00424DA4" w:rsidRDefault="00CF0E2D" w:rsidP="00A60D4B">
            <w:pPr>
              <w:pStyle w:val="InitFigR"/>
            </w:pPr>
            <w:r>
              <w:t>0</w:t>
            </w:r>
          </w:p>
        </w:tc>
        <w:tc>
          <w:tcPr>
            <w:tcW w:w="1029" w:type="dxa"/>
            <w:tcBorders>
              <w:bottom w:val="single" w:sz="4" w:space="0" w:color="auto"/>
            </w:tcBorders>
          </w:tcPr>
          <w:p w14:paraId="22A65224" w14:textId="77777777" w:rsidR="00CF0E2D" w:rsidRPr="00424DA4" w:rsidRDefault="00CF0E2D" w:rsidP="00A60D4B">
            <w:pPr>
              <w:pStyle w:val="InitFigR"/>
            </w:pPr>
            <w:r>
              <w:t>0</w:t>
            </w:r>
          </w:p>
        </w:tc>
        <w:tc>
          <w:tcPr>
            <w:tcW w:w="1029" w:type="dxa"/>
            <w:tcBorders>
              <w:bottom w:val="single" w:sz="4" w:space="0" w:color="auto"/>
            </w:tcBorders>
          </w:tcPr>
          <w:p w14:paraId="61A9ECF8" w14:textId="77777777" w:rsidR="00CF0E2D" w:rsidRPr="00424DA4" w:rsidRDefault="00CF0E2D" w:rsidP="00A60D4B">
            <w:pPr>
              <w:pStyle w:val="InitFigR"/>
            </w:pPr>
            <w:r>
              <w:t>0</w:t>
            </w:r>
          </w:p>
        </w:tc>
        <w:tc>
          <w:tcPr>
            <w:tcW w:w="1029" w:type="dxa"/>
            <w:tcBorders>
              <w:bottom w:val="single" w:sz="4" w:space="0" w:color="auto"/>
            </w:tcBorders>
          </w:tcPr>
          <w:p w14:paraId="4EF4C148" w14:textId="77777777" w:rsidR="00CF0E2D" w:rsidRPr="00424DA4" w:rsidRDefault="00CF0E2D" w:rsidP="00A60D4B">
            <w:pPr>
              <w:pStyle w:val="InitFigBR"/>
            </w:pPr>
            <w:r>
              <w:t>-28,289</w:t>
            </w:r>
          </w:p>
        </w:tc>
      </w:tr>
      <w:tr w:rsidR="00CF0E2D" w:rsidRPr="00750793" w14:paraId="798B29F6" w14:textId="77777777" w:rsidTr="00A60D4B">
        <w:trPr>
          <w:cantSplit/>
          <w:trHeight w:val="107"/>
          <w:jc w:val="center"/>
        </w:trPr>
        <w:tc>
          <w:tcPr>
            <w:tcW w:w="3652" w:type="dxa"/>
            <w:tcBorders>
              <w:top w:val="single" w:sz="4" w:space="0" w:color="auto"/>
              <w:bottom w:val="single" w:sz="4" w:space="0" w:color="auto"/>
            </w:tcBorders>
          </w:tcPr>
          <w:p w14:paraId="24F7248F" w14:textId="22EC1951" w:rsidR="00CF0E2D"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384256EB" w14:textId="77777777" w:rsidR="00CF0E2D" w:rsidRPr="00424DA4" w:rsidRDefault="00CF0E2D" w:rsidP="00A60D4B">
            <w:pPr>
              <w:pStyle w:val="InitFigRBold"/>
            </w:pPr>
            <w:r>
              <w:t>14,306</w:t>
            </w:r>
          </w:p>
        </w:tc>
        <w:tc>
          <w:tcPr>
            <w:tcW w:w="1041" w:type="dxa"/>
            <w:tcBorders>
              <w:top w:val="single" w:sz="4" w:space="0" w:color="auto"/>
              <w:bottom w:val="single" w:sz="4" w:space="0" w:color="auto"/>
            </w:tcBorders>
          </w:tcPr>
          <w:p w14:paraId="640D4E75"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6D87DD94"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104C795E"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60D8D5B3" w14:textId="77777777" w:rsidR="00CF0E2D" w:rsidRPr="00424DA4" w:rsidRDefault="00CF0E2D" w:rsidP="00A60D4B">
            <w:pPr>
              <w:pStyle w:val="InitFigRBold"/>
            </w:pPr>
            <w:r>
              <w:t>14,306</w:t>
            </w:r>
          </w:p>
        </w:tc>
      </w:tr>
    </w:tbl>
    <w:p w14:paraId="6AD5BED2" w14:textId="77777777" w:rsidR="00CF0E2D" w:rsidRPr="00E04754" w:rsidRDefault="00CF0E2D" w:rsidP="00A60D4B">
      <w:pPr>
        <w:spacing w:before="120" w:after="120"/>
        <w:rPr>
          <w:sz w:val="24"/>
          <w:szCs w:val="24"/>
        </w:rPr>
      </w:pPr>
      <w:r w:rsidRPr="00E04754">
        <w:rPr>
          <w:sz w:val="24"/>
          <w:szCs w:val="24"/>
        </w:rPr>
        <w:t>The Government will continue the COVID-19 public health response through 2021-22.</w:t>
      </w:r>
    </w:p>
    <w:p w14:paraId="25067341" w14:textId="77777777" w:rsidR="00CF0E2D" w:rsidRPr="00E04754" w:rsidRDefault="00CF0E2D" w:rsidP="00A60D4B">
      <w:pPr>
        <w:spacing w:before="120" w:after="120"/>
        <w:rPr>
          <w:sz w:val="24"/>
          <w:szCs w:val="24"/>
        </w:rPr>
      </w:pPr>
      <w:r w:rsidRPr="00E04754">
        <w:rPr>
          <w:sz w:val="24"/>
          <w:szCs w:val="24"/>
        </w:rPr>
        <w:t>This initiative continues support for the Health Emergency Control Centre, the Public Information Co-ordination Centre, quarantine and compliance activities, hospital and testing services, additional cleaning of public schools and public transport, the Community Services Directorate Pandemic Response Team, and the Office of the COVID-19 Coordinator-General.</w:t>
      </w:r>
    </w:p>
    <w:p w14:paraId="03804CEC" w14:textId="77777777" w:rsidR="00CF0E2D" w:rsidRPr="00E04754" w:rsidRDefault="00CF0E2D" w:rsidP="00A60D4B">
      <w:pPr>
        <w:spacing w:before="120" w:after="120"/>
        <w:rPr>
          <w:sz w:val="24"/>
          <w:szCs w:val="24"/>
        </w:rPr>
      </w:pPr>
      <w:r w:rsidRPr="00E04754">
        <w:rPr>
          <w:sz w:val="24"/>
          <w:szCs w:val="24"/>
        </w:rPr>
        <w:t xml:space="preserve">This initiative will be funded through a cost sharing arrangement between the Commonwealth and the Territory. </w:t>
      </w:r>
    </w:p>
    <w:p w14:paraId="6C13B813" w14:textId="77777777" w:rsidR="00CF0E2D" w:rsidRPr="00E04754" w:rsidRDefault="00CF0E2D" w:rsidP="00A60D4B">
      <w:pPr>
        <w:spacing w:before="120" w:after="120"/>
        <w:rPr>
          <w:sz w:val="24"/>
          <w:szCs w:val="24"/>
        </w:rPr>
      </w:pPr>
      <w:r w:rsidRPr="00E04754">
        <w:rPr>
          <w:sz w:val="24"/>
          <w:szCs w:val="24"/>
        </w:rPr>
        <w:t>This initiative contributes to the wellbeing domain of Health.</w:t>
      </w:r>
    </w:p>
    <w:p w14:paraId="4B898F89" w14:textId="77777777" w:rsidR="00CF0E2D" w:rsidRDefault="00CF0E2D" w:rsidP="00A60D4B">
      <w:pPr>
        <w:spacing w:before="120" w:after="120"/>
      </w:pPr>
    </w:p>
    <w:p w14:paraId="7754647E" w14:textId="77777777" w:rsidR="00CF0E2D" w:rsidRPr="00D26959" w:rsidRDefault="00CF0E2D" w:rsidP="00A60D4B">
      <w:pPr>
        <w:pStyle w:val="Heading4"/>
      </w:pPr>
      <w:r w:rsidRPr="00D26959">
        <w:lastRenderedPageBreak/>
        <w:t xml:space="preserve">COVID-19 Response – Expanded COVID-19 Vaccination program </w:t>
      </w:r>
      <w:r w:rsidRPr="00D26959">
        <w:rPr>
          <w:b w:val="0"/>
          <w:noProof/>
          <w:color w:val="999789"/>
          <w:sz w:val="32"/>
          <w:szCs w:val="24"/>
        </w:rPr>
        <w:drawing>
          <wp:anchor distT="0" distB="0" distL="114300" distR="114300" simplePos="0" relativeHeight="251869184" behindDoc="0" locked="1" layoutInCell="1" allowOverlap="1" wp14:anchorId="61C0F342" wp14:editId="424120EA">
            <wp:simplePos x="0" y="0"/>
            <wp:positionH relativeFrom="margin">
              <wp:align>right</wp:align>
            </wp:positionH>
            <wp:positionV relativeFrom="paragraph">
              <wp:posOffset>7620</wp:posOffset>
            </wp:positionV>
            <wp:extent cx="993140" cy="503555"/>
            <wp:effectExtent l="0" t="0" r="0" b="0"/>
            <wp:wrapSquare wrapText="bothSides"/>
            <wp:docPr id="166" name="Picture 166"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8C6220" w14:paraId="5FE92170" w14:textId="77777777" w:rsidTr="00A60D4B">
        <w:trPr>
          <w:cantSplit/>
          <w:jc w:val="center"/>
        </w:trPr>
        <w:tc>
          <w:tcPr>
            <w:tcW w:w="3652" w:type="dxa"/>
            <w:tcBorders>
              <w:top w:val="single" w:sz="4" w:space="0" w:color="auto"/>
              <w:bottom w:val="single" w:sz="4" w:space="0" w:color="auto"/>
            </w:tcBorders>
          </w:tcPr>
          <w:p w14:paraId="7BA01AEC" w14:textId="77777777" w:rsidR="00CF0E2D" w:rsidRPr="008C6220" w:rsidRDefault="00CF0E2D" w:rsidP="00A60D4B">
            <w:pPr>
              <w:pStyle w:val="EmptyCell0"/>
            </w:pPr>
            <w:r w:rsidRPr="008C6220">
              <w:t>Empty Cell</w:t>
            </w:r>
          </w:p>
        </w:tc>
        <w:tc>
          <w:tcPr>
            <w:tcW w:w="1179" w:type="dxa"/>
            <w:tcBorders>
              <w:top w:val="single" w:sz="4" w:space="0" w:color="auto"/>
              <w:bottom w:val="single" w:sz="4" w:space="0" w:color="auto"/>
            </w:tcBorders>
          </w:tcPr>
          <w:p w14:paraId="4835D854" w14:textId="77777777" w:rsidR="00CF0E2D" w:rsidRPr="008C6220" w:rsidRDefault="00CF0E2D" w:rsidP="00A60D4B">
            <w:pPr>
              <w:pStyle w:val="InitFigR"/>
              <w:rPr>
                <w:b/>
                <w:bCs/>
              </w:rPr>
            </w:pPr>
            <w:r w:rsidRPr="008C6220">
              <w:rPr>
                <w:b/>
                <w:bCs/>
              </w:rPr>
              <w:t>2021-22</w:t>
            </w:r>
          </w:p>
          <w:p w14:paraId="54B8ED73" w14:textId="77777777" w:rsidR="00CF0E2D" w:rsidRPr="008C6220" w:rsidRDefault="00CF0E2D" w:rsidP="00A60D4B">
            <w:pPr>
              <w:pStyle w:val="InitFigR"/>
              <w:rPr>
                <w:b/>
                <w:bCs/>
              </w:rPr>
            </w:pPr>
            <w:r w:rsidRPr="008C6220">
              <w:rPr>
                <w:b/>
                <w:bCs/>
              </w:rPr>
              <w:t>$’000</w:t>
            </w:r>
          </w:p>
        </w:tc>
        <w:tc>
          <w:tcPr>
            <w:tcW w:w="1041" w:type="dxa"/>
            <w:tcBorders>
              <w:top w:val="single" w:sz="4" w:space="0" w:color="auto"/>
              <w:bottom w:val="single" w:sz="4" w:space="0" w:color="auto"/>
            </w:tcBorders>
          </w:tcPr>
          <w:p w14:paraId="557A33EF" w14:textId="77777777" w:rsidR="00CF0E2D" w:rsidRPr="008C6220" w:rsidRDefault="00CF0E2D" w:rsidP="00A60D4B">
            <w:pPr>
              <w:pStyle w:val="InitFigR"/>
              <w:rPr>
                <w:b/>
                <w:bCs/>
              </w:rPr>
            </w:pPr>
            <w:r w:rsidRPr="008C6220">
              <w:rPr>
                <w:b/>
                <w:bCs/>
              </w:rPr>
              <w:t>2022-23</w:t>
            </w:r>
          </w:p>
          <w:p w14:paraId="4C274BE3" w14:textId="77777777" w:rsidR="00CF0E2D" w:rsidRPr="008C6220" w:rsidRDefault="00CF0E2D" w:rsidP="00A60D4B">
            <w:pPr>
              <w:pStyle w:val="InitFigR"/>
              <w:rPr>
                <w:b/>
                <w:bCs/>
              </w:rPr>
            </w:pPr>
            <w:r w:rsidRPr="008C6220">
              <w:rPr>
                <w:b/>
                <w:bCs/>
              </w:rPr>
              <w:t>$’000</w:t>
            </w:r>
          </w:p>
        </w:tc>
        <w:tc>
          <w:tcPr>
            <w:tcW w:w="1029" w:type="dxa"/>
            <w:tcBorders>
              <w:top w:val="single" w:sz="4" w:space="0" w:color="auto"/>
              <w:bottom w:val="single" w:sz="4" w:space="0" w:color="auto"/>
            </w:tcBorders>
          </w:tcPr>
          <w:p w14:paraId="1A972B2B" w14:textId="77777777" w:rsidR="00CF0E2D" w:rsidRPr="008C6220" w:rsidRDefault="00CF0E2D" w:rsidP="00A60D4B">
            <w:pPr>
              <w:pStyle w:val="InitFigR"/>
              <w:rPr>
                <w:b/>
                <w:bCs/>
              </w:rPr>
            </w:pPr>
            <w:r w:rsidRPr="008C6220">
              <w:rPr>
                <w:b/>
                <w:bCs/>
              </w:rPr>
              <w:t>2023-24</w:t>
            </w:r>
          </w:p>
          <w:p w14:paraId="345FD315" w14:textId="77777777" w:rsidR="00CF0E2D" w:rsidRPr="008C6220" w:rsidRDefault="00CF0E2D" w:rsidP="00A60D4B">
            <w:pPr>
              <w:pStyle w:val="InitFigR"/>
              <w:rPr>
                <w:b/>
                <w:bCs/>
              </w:rPr>
            </w:pPr>
            <w:r w:rsidRPr="008C6220">
              <w:rPr>
                <w:b/>
                <w:bCs/>
              </w:rPr>
              <w:t>$’000</w:t>
            </w:r>
          </w:p>
        </w:tc>
        <w:tc>
          <w:tcPr>
            <w:tcW w:w="1029" w:type="dxa"/>
            <w:tcBorders>
              <w:top w:val="single" w:sz="4" w:space="0" w:color="auto"/>
              <w:bottom w:val="single" w:sz="4" w:space="0" w:color="auto"/>
            </w:tcBorders>
          </w:tcPr>
          <w:p w14:paraId="5B31AAE3" w14:textId="77777777" w:rsidR="00CF0E2D" w:rsidRPr="008C6220" w:rsidRDefault="00CF0E2D" w:rsidP="00A60D4B">
            <w:pPr>
              <w:pStyle w:val="InitFigR"/>
              <w:rPr>
                <w:b/>
                <w:bCs/>
              </w:rPr>
            </w:pPr>
            <w:r w:rsidRPr="008C6220">
              <w:rPr>
                <w:b/>
                <w:bCs/>
              </w:rPr>
              <w:t>2024-25</w:t>
            </w:r>
          </w:p>
          <w:p w14:paraId="1B75B3A3" w14:textId="77777777" w:rsidR="00CF0E2D" w:rsidRPr="008C6220" w:rsidRDefault="00CF0E2D" w:rsidP="00A60D4B">
            <w:pPr>
              <w:pStyle w:val="InitFigR"/>
              <w:rPr>
                <w:b/>
                <w:bCs/>
              </w:rPr>
            </w:pPr>
            <w:r w:rsidRPr="008C6220">
              <w:rPr>
                <w:b/>
                <w:bCs/>
              </w:rPr>
              <w:t>$’000</w:t>
            </w:r>
          </w:p>
        </w:tc>
        <w:tc>
          <w:tcPr>
            <w:tcW w:w="1029" w:type="dxa"/>
            <w:tcBorders>
              <w:top w:val="single" w:sz="4" w:space="0" w:color="auto"/>
              <w:bottom w:val="single" w:sz="4" w:space="0" w:color="auto"/>
            </w:tcBorders>
          </w:tcPr>
          <w:p w14:paraId="0D7940A5" w14:textId="77777777" w:rsidR="00CF0E2D" w:rsidRPr="008C6220" w:rsidRDefault="00CF0E2D" w:rsidP="00A60D4B">
            <w:pPr>
              <w:pStyle w:val="InitFigRBold"/>
            </w:pPr>
            <w:r w:rsidRPr="008C6220">
              <w:t>Total</w:t>
            </w:r>
          </w:p>
          <w:p w14:paraId="7FB1B7E7" w14:textId="77777777" w:rsidR="00CF0E2D" w:rsidRPr="008C6220" w:rsidRDefault="00CF0E2D" w:rsidP="00A60D4B">
            <w:pPr>
              <w:pStyle w:val="InitFigBR"/>
            </w:pPr>
            <w:r w:rsidRPr="008C6220">
              <w:t>$’000</w:t>
            </w:r>
          </w:p>
        </w:tc>
      </w:tr>
      <w:tr w:rsidR="00CF0E2D" w:rsidRPr="008C6220" w14:paraId="2F4548B9" w14:textId="77777777" w:rsidTr="00A60D4B">
        <w:trPr>
          <w:cantSplit/>
          <w:jc w:val="center"/>
        </w:trPr>
        <w:tc>
          <w:tcPr>
            <w:tcW w:w="3652" w:type="dxa"/>
            <w:tcBorders>
              <w:top w:val="single" w:sz="4" w:space="0" w:color="auto"/>
            </w:tcBorders>
          </w:tcPr>
          <w:p w14:paraId="0DB49DBB" w14:textId="77777777" w:rsidR="00CF0E2D" w:rsidRPr="008C6220" w:rsidRDefault="00CF0E2D" w:rsidP="00A60D4B">
            <w:pPr>
              <w:pStyle w:val="InitTextL"/>
              <w:ind w:left="321" w:hanging="321"/>
            </w:pPr>
            <w:r w:rsidRPr="008C6220">
              <w:t>Capital</w:t>
            </w:r>
          </w:p>
        </w:tc>
        <w:tc>
          <w:tcPr>
            <w:tcW w:w="1179" w:type="dxa"/>
            <w:tcBorders>
              <w:top w:val="single" w:sz="4" w:space="0" w:color="auto"/>
            </w:tcBorders>
          </w:tcPr>
          <w:p w14:paraId="6513D2D1" w14:textId="77777777" w:rsidR="00CF0E2D" w:rsidRPr="008C6220" w:rsidRDefault="00CF0E2D" w:rsidP="00A60D4B">
            <w:pPr>
              <w:pStyle w:val="InitFigR"/>
            </w:pPr>
            <w:r w:rsidRPr="008C6220">
              <w:t>480</w:t>
            </w:r>
          </w:p>
        </w:tc>
        <w:tc>
          <w:tcPr>
            <w:tcW w:w="1041" w:type="dxa"/>
            <w:tcBorders>
              <w:top w:val="single" w:sz="4" w:space="0" w:color="auto"/>
            </w:tcBorders>
          </w:tcPr>
          <w:p w14:paraId="448B8B7E" w14:textId="77777777" w:rsidR="00CF0E2D" w:rsidRPr="008C6220" w:rsidRDefault="00CF0E2D" w:rsidP="00A60D4B">
            <w:pPr>
              <w:pStyle w:val="InitFigR"/>
            </w:pPr>
            <w:r w:rsidRPr="008C6220">
              <w:t>0</w:t>
            </w:r>
          </w:p>
        </w:tc>
        <w:tc>
          <w:tcPr>
            <w:tcW w:w="1029" w:type="dxa"/>
            <w:tcBorders>
              <w:top w:val="single" w:sz="4" w:space="0" w:color="auto"/>
            </w:tcBorders>
          </w:tcPr>
          <w:p w14:paraId="38734C5F" w14:textId="77777777" w:rsidR="00CF0E2D" w:rsidRPr="008C6220" w:rsidRDefault="00CF0E2D" w:rsidP="00A60D4B">
            <w:pPr>
              <w:pStyle w:val="InitFigR"/>
            </w:pPr>
            <w:r w:rsidRPr="008C6220">
              <w:t>0</w:t>
            </w:r>
          </w:p>
        </w:tc>
        <w:tc>
          <w:tcPr>
            <w:tcW w:w="1029" w:type="dxa"/>
            <w:tcBorders>
              <w:top w:val="single" w:sz="4" w:space="0" w:color="auto"/>
            </w:tcBorders>
          </w:tcPr>
          <w:p w14:paraId="3A45AC0F" w14:textId="77777777" w:rsidR="00CF0E2D" w:rsidRPr="008C6220" w:rsidRDefault="00CF0E2D" w:rsidP="00A60D4B">
            <w:pPr>
              <w:pStyle w:val="InitFigR"/>
            </w:pPr>
            <w:r w:rsidRPr="008C6220">
              <w:t>0</w:t>
            </w:r>
          </w:p>
        </w:tc>
        <w:tc>
          <w:tcPr>
            <w:tcW w:w="1029" w:type="dxa"/>
            <w:tcBorders>
              <w:top w:val="single" w:sz="4" w:space="0" w:color="auto"/>
            </w:tcBorders>
          </w:tcPr>
          <w:p w14:paraId="1DE6833C" w14:textId="77777777" w:rsidR="00CF0E2D" w:rsidRPr="008C6220" w:rsidRDefault="00CF0E2D" w:rsidP="00A60D4B">
            <w:pPr>
              <w:pStyle w:val="InitFigRBold"/>
              <w:rPr>
                <w:bCs/>
              </w:rPr>
            </w:pPr>
            <w:r w:rsidRPr="008C6220">
              <w:rPr>
                <w:bCs/>
              </w:rPr>
              <w:t>480</w:t>
            </w:r>
          </w:p>
        </w:tc>
      </w:tr>
      <w:tr w:rsidR="00CF0E2D" w:rsidRPr="008C6220" w14:paraId="3DE922D5" w14:textId="77777777" w:rsidTr="00A60D4B">
        <w:trPr>
          <w:cantSplit/>
          <w:jc w:val="center"/>
        </w:trPr>
        <w:tc>
          <w:tcPr>
            <w:tcW w:w="3652" w:type="dxa"/>
            <w:tcBorders>
              <w:top w:val="single" w:sz="4" w:space="0" w:color="auto"/>
            </w:tcBorders>
          </w:tcPr>
          <w:p w14:paraId="1003B654" w14:textId="77777777" w:rsidR="00CF0E2D" w:rsidRPr="008C6220" w:rsidRDefault="00CF0E2D" w:rsidP="00A60D4B">
            <w:pPr>
              <w:pStyle w:val="InitTextL"/>
              <w:ind w:left="321" w:hanging="321"/>
              <w:rPr>
                <w:b/>
                <w:bCs/>
              </w:rPr>
            </w:pPr>
            <w:r w:rsidRPr="008C6220">
              <w:t>Depreciation</w:t>
            </w:r>
          </w:p>
        </w:tc>
        <w:tc>
          <w:tcPr>
            <w:tcW w:w="1179" w:type="dxa"/>
            <w:tcBorders>
              <w:top w:val="single" w:sz="4" w:space="0" w:color="auto"/>
            </w:tcBorders>
          </w:tcPr>
          <w:p w14:paraId="7976752D" w14:textId="77777777" w:rsidR="00CF0E2D" w:rsidRPr="008C6220" w:rsidRDefault="00CF0E2D" w:rsidP="00A60D4B">
            <w:pPr>
              <w:pStyle w:val="InitFigR"/>
            </w:pPr>
            <w:r w:rsidRPr="008C6220">
              <w:t>36</w:t>
            </w:r>
          </w:p>
        </w:tc>
        <w:tc>
          <w:tcPr>
            <w:tcW w:w="1041" w:type="dxa"/>
            <w:tcBorders>
              <w:top w:val="single" w:sz="4" w:space="0" w:color="auto"/>
            </w:tcBorders>
          </w:tcPr>
          <w:p w14:paraId="507A362F" w14:textId="77777777" w:rsidR="00CF0E2D" w:rsidRPr="008C6220" w:rsidRDefault="00CF0E2D" w:rsidP="00A60D4B">
            <w:pPr>
              <w:pStyle w:val="InitFigR"/>
            </w:pPr>
            <w:r w:rsidRPr="008C6220">
              <w:t>48</w:t>
            </w:r>
          </w:p>
        </w:tc>
        <w:tc>
          <w:tcPr>
            <w:tcW w:w="1029" w:type="dxa"/>
            <w:tcBorders>
              <w:top w:val="single" w:sz="4" w:space="0" w:color="auto"/>
            </w:tcBorders>
          </w:tcPr>
          <w:p w14:paraId="7B7D8635" w14:textId="77777777" w:rsidR="00CF0E2D" w:rsidRPr="008C6220" w:rsidRDefault="00CF0E2D" w:rsidP="00A60D4B">
            <w:pPr>
              <w:pStyle w:val="InitFigR"/>
            </w:pPr>
            <w:r w:rsidRPr="008C6220">
              <w:t>48</w:t>
            </w:r>
          </w:p>
        </w:tc>
        <w:tc>
          <w:tcPr>
            <w:tcW w:w="1029" w:type="dxa"/>
            <w:tcBorders>
              <w:top w:val="single" w:sz="4" w:space="0" w:color="auto"/>
            </w:tcBorders>
          </w:tcPr>
          <w:p w14:paraId="199296FE" w14:textId="77777777" w:rsidR="00CF0E2D" w:rsidRPr="008C6220" w:rsidRDefault="00CF0E2D" w:rsidP="00A60D4B">
            <w:pPr>
              <w:pStyle w:val="InitFigR"/>
            </w:pPr>
            <w:r w:rsidRPr="008C6220">
              <w:t>48</w:t>
            </w:r>
          </w:p>
        </w:tc>
        <w:tc>
          <w:tcPr>
            <w:tcW w:w="1029" w:type="dxa"/>
            <w:tcBorders>
              <w:top w:val="single" w:sz="4" w:space="0" w:color="auto"/>
            </w:tcBorders>
          </w:tcPr>
          <w:p w14:paraId="27B74BF1" w14:textId="77777777" w:rsidR="00CF0E2D" w:rsidRPr="008C6220" w:rsidRDefault="00CF0E2D" w:rsidP="00A60D4B">
            <w:pPr>
              <w:pStyle w:val="InitFigRBold"/>
              <w:rPr>
                <w:bCs/>
              </w:rPr>
            </w:pPr>
            <w:r w:rsidRPr="008C6220">
              <w:rPr>
                <w:bCs/>
              </w:rPr>
              <w:t>180</w:t>
            </w:r>
          </w:p>
        </w:tc>
      </w:tr>
      <w:tr w:rsidR="00CF0E2D" w:rsidRPr="008C6220" w14:paraId="14DF32AF" w14:textId="77777777" w:rsidTr="00A60D4B">
        <w:trPr>
          <w:cantSplit/>
          <w:jc w:val="center"/>
        </w:trPr>
        <w:tc>
          <w:tcPr>
            <w:tcW w:w="3652" w:type="dxa"/>
          </w:tcPr>
          <w:p w14:paraId="33EA2DC1" w14:textId="77777777" w:rsidR="00CF0E2D" w:rsidRPr="008C6220" w:rsidRDefault="00CF0E2D" w:rsidP="00A60D4B">
            <w:pPr>
              <w:pStyle w:val="InitTextL"/>
              <w:ind w:left="321" w:hanging="321"/>
            </w:pPr>
            <w:r w:rsidRPr="008C6220">
              <w:t>Expenses</w:t>
            </w:r>
          </w:p>
        </w:tc>
        <w:tc>
          <w:tcPr>
            <w:tcW w:w="1179" w:type="dxa"/>
          </w:tcPr>
          <w:p w14:paraId="39EA1FED" w14:textId="77777777" w:rsidR="00CF0E2D" w:rsidRPr="008C6220" w:rsidRDefault="00CF0E2D" w:rsidP="00A60D4B">
            <w:pPr>
              <w:pStyle w:val="InitFigR"/>
            </w:pPr>
            <w:r>
              <w:t>22,464</w:t>
            </w:r>
          </w:p>
        </w:tc>
        <w:tc>
          <w:tcPr>
            <w:tcW w:w="1041" w:type="dxa"/>
          </w:tcPr>
          <w:p w14:paraId="65D7A6A1" w14:textId="77777777" w:rsidR="00CF0E2D" w:rsidRPr="008C6220" w:rsidRDefault="00CF0E2D" w:rsidP="00A60D4B">
            <w:pPr>
              <w:pStyle w:val="InitFigR"/>
            </w:pPr>
            <w:r w:rsidRPr="008C6220">
              <w:t>0</w:t>
            </w:r>
          </w:p>
        </w:tc>
        <w:tc>
          <w:tcPr>
            <w:tcW w:w="1029" w:type="dxa"/>
          </w:tcPr>
          <w:p w14:paraId="1D205F08" w14:textId="77777777" w:rsidR="00CF0E2D" w:rsidRPr="008C6220" w:rsidRDefault="00CF0E2D" w:rsidP="00A60D4B">
            <w:pPr>
              <w:pStyle w:val="InitFigR"/>
            </w:pPr>
            <w:r w:rsidRPr="008C6220">
              <w:t>0</w:t>
            </w:r>
          </w:p>
        </w:tc>
        <w:tc>
          <w:tcPr>
            <w:tcW w:w="1029" w:type="dxa"/>
          </w:tcPr>
          <w:p w14:paraId="7DEA8900" w14:textId="77777777" w:rsidR="00CF0E2D" w:rsidRPr="008C6220" w:rsidRDefault="00CF0E2D" w:rsidP="00A60D4B">
            <w:pPr>
              <w:pStyle w:val="InitFigR"/>
            </w:pPr>
            <w:r w:rsidRPr="008C6220">
              <w:t>0</w:t>
            </w:r>
          </w:p>
        </w:tc>
        <w:tc>
          <w:tcPr>
            <w:tcW w:w="1029" w:type="dxa"/>
          </w:tcPr>
          <w:p w14:paraId="2996AFB3" w14:textId="77777777" w:rsidR="00CF0E2D" w:rsidRPr="008C6220" w:rsidRDefault="00CF0E2D" w:rsidP="00A60D4B">
            <w:pPr>
              <w:pStyle w:val="InitFigBR"/>
            </w:pPr>
            <w:r>
              <w:t>22,464</w:t>
            </w:r>
          </w:p>
        </w:tc>
      </w:tr>
      <w:tr w:rsidR="00CF0E2D" w:rsidRPr="008C6220" w14:paraId="4575740B" w14:textId="77777777" w:rsidTr="00A60D4B">
        <w:trPr>
          <w:cantSplit/>
          <w:jc w:val="center"/>
        </w:trPr>
        <w:tc>
          <w:tcPr>
            <w:tcW w:w="3652" w:type="dxa"/>
            <w:tcBorders>
              <w:bottom w:val="single" w:sz="4" w:space="0" w:color="auto"/>
            </w:tcBorders>
          </w:tcPr>
          <w:p w14:paraId="51A81015" w14:textId="77777777" w:rsidR="00CF0E2D" w:rsidRPr="008C6220" w:rsidRDefault="00CF0E2D" w:rsidP="00A60D4B">
            <w:pPr>
              <w:pStyle w:val="InitTextL"/>
              <w:ind w:left="321" w:hanging="321"/>
            </w:pPr>
            <w:r>
              <w:t>Offset – Commonwealth revenue</w:t>
            </w:r>
          </w:p>
        </w:tc>
        <w:tc>
          <w:tcPr>
            <w:tcW w:w="1179" w:type="dxa"/>
            <w:tcBorders>
              <w:bottom w:val="single" w:sz="4" w:space="0" w:color="auto"/>
            </w:tcBorders>
          </w:tcPr>
          <w:p w14:paraId="377DCB6C" w14:textId="77777777" w:rsidR="00CF0E2D" w:rsidRDefault="00CF0E2D" w:rsidP="00A60D4B">
            <w:pPr>
              <w:pStyle w:val="InitFigR"/>
            </w:pPr>
            <w:r>
              <w:t>-2,920</w:t>
            </w:r>
          </w:p>
        </w:tc>
        <w:tc>
          <w:tcPr>
            <w:tcW w:w="1041" w:type="dxa"/>
            <w:tcBorders>
              <w:bottom w:val="single" w:sz="4" w:space="0" w:color="auto"/>
            </w:tcBorders>
          </w:tcPr>
          <w:p w14:paraId="6FF1C73F" w14:textId="77777777" w:rsidR="00CF0E2D" w:rsidRPr="008C6220" w:rsidRDefault="00CF0E2D" w:rsidP="00A60D4B">
            <w:pPr>
              <w:pStyle w:val="InitFigR"/>
            </w:pPr>
            <w:r>
              <w:t>0</w:t>
            </w:r>
          </w:p>
        </w:tc>
        <w:tc>
          <w:tcPr>
            <w:tcW w:w="1029" w:type="dxa"/>
            <w:tcBorders>
              <w:bottom w:val="single" w:sz="4" w:space="0" w:color="auto"/>
            </w:tcBorders>
          </w:tcPr>
          <w:p w14:paraId="2975B400" w14:textId="77777777" w:rsidR="00CF0E2D" w:rsidRPr="008C6220" w:rsidRDefault="00CF0E2D" w:rsidP="00A60D4B">
            <w:pPr>
              <w:pStyle w:val="InitFigR"/>
            </w:pPr>
            <w:r>
              <w:t>0</w:t>
            </w:r>
          </w:p>
        </w:tc>
        <w:tc>
          <w:tcPr>
            <w:tcW w:w="1029" w:type="dxa"/>
            <w:tcBorders>
              <w:bottom w:val="single" w:sz="4" w:space="0" w:color="auto"/>
            </w:tcBorders>
          </w:tcPr>
          <w:p w14:paraId="23871E12" w14:textId="77777777" w:rsidR="00CF0E2D" w:rsidRPr="008C6220" w:rsidRDefault="00CF0E2D" w:rsidP="00A60D4B">
            <w:pPr>
              <w:pStyle w:val="InitFigR"/>
            </w:pPr>
            <w:r>
              <w:t>0</w:t>
            </w:r>
          </w:p>
        </w:tc>
        <w:tc>
          <w:tcPr>
            <w:tcW w:w="1029" w:type="dxa"/>
            <w:tcBorders>
              <w:bottom w:val="single" w:sz="4" w:space="0" w:color="auto"/>
            </w:tcBorders>
          </w:tcPr>
          <w:p w14:paraId="1199699D" w14:textId="77777777" w:rsidR="00CF0E2D" w:rsidRDefault="00CF0E2D" w:rsidP="00A60D4B">
            <w:pPr>
              <w:pStyle w:val="InitFigBR"/>
            </w:pPr>
            <w:r>
              <w:t>-2,920</w:t>
            </w:r>
          </w:p>
        </w:tc>
      </w:tr>
      <w:tr w:rsidR="00CF0E2D" w:rsidRPr="008C6220" w14:paraId="58518515" w14:textId="77777777" w:rsidTr="00A60D4B">
        <w:trPr>
          <w:cantSplit/>
          <w:trHeight w:val="107"/>
          <w:jc w:val="center"/>
        </w:trPr>
        <w:tc>
          <w:tcPr>
            <w:tcW w:w="3652" w:type="dxa"/>
            <w:tcBorders>
              <w:top w:val="single" w:sz="4" w:space="0" w:color="auto"/>
              <w:bottom w:val="single" w:sz="4" w:space="0" w:color="auto"/>
            </w:tcBorders>
          </w:tcPr>
          <w:p w14:paraId="45F192D4" w14:textId="072C27CC" w:rsidR="00CF0E2D" w:rsidRPr="008C6220"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5F9A97C5" w14:textId="77777777" w:rsidR="00CF0E2D" w:rsidRPr="008C6220" w:rsidRDefault="00CF0E2D" w:rsidP="00A60D4B">
            <w:pPr>
              <w:pStyle w:val="InitFigRBold"/>
            </w:pPr>
            <w:r>
              <w:t>19,580</w:t>
            </w:r>
          </w:p>
        </w:tc>
        <w:tc>
          <w:tcPr>
            <w:tcW w:w="1041" w:type="dxa"/>
            <w:tcBorders>
              <w:top w:val="single" w:sz="4" w:space="0" w:color="auto"/>
              <w:bottom w:val="single" w:sz="4" w:space="0" w:color="auto"/>
            </w:tcBorders>
          </w:tcPr>
          <w:p w14:paraId="48BD48B7" w14:textId="77777777" w:rsidR="00CF0E2D" w:rsidRPr="008C6220" w:rsidRDefault="00CF0E2D" w:rsidP="00A60D4B">
            <w:pPr>
              <w:pStyle w:val="InitFigRBold"/>
            </w:pPr>
            <w:r w:rsidRPr="008C6220">
              <w:t>48</w:t>
            </w:r>
          </w:p>
        </w:tc>
        <w:tc>
          <w:tcPr>
            <w:tcW w:w="1029" w:type="dxa"/>
            <w:tcBorders>
              <w:top w:val="single" w:sz="4" w:space="0" w:color="auto"/>
              <w:bottom w:val="single" w:sz="4" w:space="0" w:color="auto"/>
            </w:tcBorders>
          </w:tcPr>
          <w:p w14:paraId="209B80C1" w14:textId="77777777" w:rsidR="00CF0E2D" w:rsidRPr="008C6220" w:rsidRDefault="00CF0E2D" w:rsidP="00A60D4B">
            <w:pPr>
              <w:pStyle w:val="InitFigRBold"/>
            </w:pPr>
            <w:r w:rsidRPr="008C6220">
              <w:t>48</w:t>
            </w:r>
          </w:p>
        </w:tc>
        <w:tc>
          <w:tcPr>
            <w:tcW w:w="1029" w:type="dxa"/>
            <w:tcBorders>
              <w:top w:val="single" w:sz="4" w:space="0" w:color="auto"/>
              <w:bottom w:val="single" w:sz="4" w:space="0" w:color="auto"/>
            </w:tcBorders>
          </w:tcPr>
          <w:p w14:paraId="08A731A7" w14:textId="77777777" w:rsidR="00CF0E2D" w:rsidRPr="008C6220" w:rsidRDefault="00CF0E2D" w:rsidP="00A60D4B">
            <w:pPr>
              <w:pStyle w:val="InitFigRBold"/>
            </w:pPr>
            <w:r w:rsidRPr="008C6220">
              <w:t>48</w:t>
            </w:r>
          </w:p>
        </w:tc>
        <w:tc>
          <w:tcPr>
            <w:tcW w:w="1029" w:type="dxa"/>
            <w:tcBorders>
              <w:top w:val="single" w:sz="4" w:space="0" w:color="auto"/>
              <w:bottom w:val="single" w:sz="4" w:space="0" w:color="auto"/>
            </w:tcBorders>
          </w:tcPr>
          <w:p w14:paraId="1128765D" w14:textId="77777777" w:rsidR="00CF0E2D" w:rsidRPr="008C6220" w:rsidRDefault="00CF0E2D" w:rsidP="00A60D4B">
            <w:pPr>
              <w:pStyle w:val="InitFigRBold"/>
            </w:pPr>
            <w:r>
              <w:t>19,724</w:t>
            </w:r>
          </w:p>
        </w:tc>
      </w:tr>
    </w:tbl>
    <w:p w14:paraId="4A6B526A" w14:textId="77777777" w:rsidR="00CF0E2D" w:rsidRPr="00465757" w:rsidRDefault="00CF0E2D" w:rsidP="00A60D4B">
      <w:pPr>
        <w:spacing w:before="120" w:after="120"/>
        <w:rPr>
          <w:sz w:val="24"/>
          <w:szCs w:val="24"/>
        </w:rPr>
      </w:pPr>
      <w:r w:rsidRPr="00465757">
        <w:rPr>
          <w:sz w:val="24"/>
          <w:szCs w:val="24"/>
        </w:rPr>
        <w:t xml:space="preserve">The Government will expand the COVID-19 vaccination program in 2021­22 to support vaccinations for any eligible member of the public. This initiative will be funded through a cost sharing arrangement between the Commonwealth and the Territory. </w:t>
      </w:r>
    </w:p>
    <w:p w14:paraId="124599E8" w14:textId="77777777" w:rsidR="00CF0E2D" w:rsidRPr="00465757" w:rsidRDefault="00CF0E2D" w:rsidP="00A60D4B">
      <w:pPr>
        <w:pStyle w:val="Bbodytext"/>
        <w:rPr>
          <w:szCs w:val="24"/>
        </w:rPr>
      </w:pPr>
      <w:r w:rsidRPr="00465757">
        <w:rPr>
          <w:szCs w:val="24"/>
        </w:rPr>
        <w:t>This initiative contributes to the wellbeing domain of Health.</w:t>
      </w:r>
    </w:p>
    <w:p w14:paraId="132E1441" w14:textId="77777777" w:rsidR="00CF0E2D" w:rsidRDefault="00CF0E2D" w:rsidP="00A60D4B">
      <w:pPr>
        <w:pStyle w:val="Bbodytext"/>
      </w:pPr>
    </w:p>
    <w:p w14:paraId="69CBB337" w14:textId="77777777" w:rsidR="00CF0E2D" w:rsidRPr="00C15FE5" w:rsidRDefault="00CF0E2D" w:rsidP="00A60D4B">
      <w:pPr>
        <w:pStyle w:val="Heading4"/>
      </w:pPr>
      <w:r w:rsidRPr="00040893">
        <w:rPr>
          <w:noProof/>
        </w:rPr>
        <w:t xml:space="preserve">COVID-19 </w:t>
      </w:r>
      <w:r>
        <w:rPr>
          <w:noProof/>
        </w:rPr>
        <w:t>Response – M</w:t>
      </w:r>
      <w:r w:rsidRPr="00040893">
        <w:rPr>
          <w:noProof/>
        </w:rPr>
        <w:t>ental health support package</w:t>
      </w:r>
      <w:r>
        <w:rPr>
          <w:b w:val="0"/>
          <w:noProof/>
          <w:color w:val="999789"/>
          <w:sz w:val="32"/>
          <w:szCs w:val="24"/>
        </w:rPr>
        <w:drawing>
          <wp:anchor distT="0" distB="0" distL="114300" distR="114300" simplePos="0" relativeHeight="251870208" behindDoc="0" locked="1" layoutInCell="1" allowOverlap="1" wp14:anchorId="57988719" wp14:editId="1183BEF9">
            <wp:simplePos x="0" y="0"/>
            <wp:positionH relativeFrom="margin">
              <wp:align>right</wp:align>
            </wp:positionH>
            <wp:positionV relativeFrom="paragraph">
              <wp:posOffset>-132080</wp:posOffset>
            </wp:positionV>
            <wp:extent cx="993140" cy="503555"/>
            <wp:effectExtent l="0" t="0" r="0" b="0"/>
            <wp:wrapSquare wrapText="bothSides"/>
            <wp:docPr id="167" name="Picture 167"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7A105AAE" w14:textId="77777777" w:rsidTr="00A60D4B">
        <w:trPr>
          <w:cantSplit/>
          <w:jc w:val="center"/>
        </w:trPr>
        <w:tc>
          <w:tcPr>
            <w:tcW w:w="3652" w:type="dxa"/>
            <w:tcBorders>
              <w:top w:val="single" w:sz="4" w:space="0" w:color="auto"/>
              <w:bottom w:val="single" w:sz="4" w:space="0" w:color="auto"/>
            </w:tcBorders>
          </w:tcPr>
          <w:p w14:paraId="46A72843"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15C05FAB" w14:textId="77777777" w:rsidR="00CF0E2D" w:rsidRPr="00A96592" w:rsidRDefault="00CF0E2D" w:rsidP="00A60D4B">
            <w:pPr>
              <w:pStyle w:val="InitFigR"/>
              <w:rPr>
                <w:b/>
                <w:bCs/>
              </w:rPr>
            </w:pPr>
            <w:r w:rsidRPr="00A96592">
              <w:rPr>
                <w:b/>
                <w:bCs/>
              </w:rPr>
              <w:t>2021-22</w:t>
            </w:r>
          </w:p>
          <w:p w14:paraId="1022E7FC" w14:textId="77777777" w:rsidR="00CF0E2D" w:rsidRPr="00A96592" w:rsidRDefault="00CF0E2D" w:rsidP="00A60D4B">
            <w:pPr>
              <w:pStyle w:val="InitFigR"/>
              <w:rPr>
                <w:b/>
                <w:bCs/>
              </w:rPr>
            </w:pPr>
            <w:r w:rsidRPr="00A96592">
              <w:rPr>
                <w:b/>
                <w:bCs/>
              </w:rPr>
              <w:t>$’000</w:t>
            </w:r>
          </w:p>
        </w:tc>
        <w:tc>
          <w:tcPr>
            <w:tcW w:w="1041" w:type="dxa"/>
            <w:tcBorders>
              <w:top w:val="single" w:sz="4" w:space="0" w:color="auto"/>
              <w:bottom w:val="single" w:sz="4" w:space="0" w:color="auto"/>
            </w:tcBorders>
          </w:tcPr>
          <w:p w14:paraId="262A5F41" w14:textId="77777777" w:rsidR="00CF0E2D" w:rsidRPr="00A96592" w:rsidRDefault="00CF0E2D" w:rsidP="00A60D4B">
            <w:pPr>
              <w:pStyle w:val="InitFigR"/>
              <w:rPr>
                <w:b/>
                <w:bCs/>
              </w:rPr>
            </w:pPr>
            <w:r w:rsidRPr="00A96592">
              <w:rPr>
                <w:b/>
                <w:bCs/>
              </w:rPr>
              <w:t>2022-23</w:t>
            </w:r>
          </w:p>
          <w:p w14:paraId="4294F6A3" w14:textId="77777777" w:rsidR="00CF0E2D" w:rsidRPr="00A96592" w:rsidRDefault="00CF0E2D" w:rsidP="00A60D4B">
            <w:pPr>
              <w:pStyle w:val="InitFigR"/>
              <w:rPr>
                <w:b/>
                <w:bCs/>
              </w:rPr>
            </w:pPr>
            <w:r w:rsidRPr="00A96592">
              <w:rPr>
                <w:b/>
                <w:bCs/>
              </w:rPr>
              <w:t>$’000</w:t>
            </w:r>
          </w:p>
        </w:tc>
        <w:tc>
          <w:tcPr>
            <w:tcW w:w="1029" w:type="dxa"/>
            <w:tcBorders>
              <w:top w:val="single" w:sz="4" w:space="0" w:color="auto"/>
              <w:bottom w:val="single" w:sz="4" w:space="0" w:color="auto"/>
            </w:tcBorders>
          </w:tcPr>
          <w:p w14:paraId="67C6A3A1" w14:textId="77777777" w:rsidR="00CF0E2D" w:rsidRPr="00A96592" w:rsidRDefault="00CF0E2D" w:rsidP="00A60D4B">
            <w:pPr>
              <w:pStyle w:val="InitFigR"/>
              <w:rPr>
                <w:b/>
                <w:bCs/>
              </w:rPr>
            </w:pPr>
            <w:r w:rsidRPr="00A96592">
              <w:rPr>
                <w:b/>
                <w:bCs/>
              </w:rPr>
              <w:t>2023-24</w:t>
            </w:r>
          </w:p>
          <w:p w14:paraId="4A803E37" w14:textId="77777777" w:rsidR="00CF0E2D" w:rsidRPr="00A96592" w:rsidRDefault="00CF0E2D" w:rsidP="00A60D4B">
            <w:pPr>
              <w:pStyle w:val="InitFigR"/>
              <w:rPr>
                <w:b/>
                <w:bCs/>
              </w:rPr>
            </w:pPr>
            <w:r w:rsidRPr="00A96592">
              <w:rPr>
                <w:b/>
                <w:bCs/>
              </w:rPr>
              <w:t>$’000</w:t>
            </w:r>
          </w:p>
        </w:tc>
        <w:tc>
          <w:tcPr>
            <w:tcW w:w="1029" w:type="dxa"/>
            <w:tcBorders>
              <w:top w:val="single" w:sz="4" w:space="0" w:color="auto"/>
              <w:bottom w:val="single" w:sz="4" w:space="0" w:color="auto"/>
            </w:tcBorders>
          </w:tcPr>
          <w:p w14:paraId="34DF9EF2" w14:textId="77777777" w:rsidR="00CF0E2D" w:rsidRPr="00A96592" w:rsidRDefault="00CF0E2D" w:rsidP="00A60D4B">
            <w:pPr>
              <w:pStyle w:val="InitFigR"/>
              <w:rPr>
                <w:b/>
                <w:bCs/>
              </w:rPr>
            </w:pPr>
            <w:r w:rsidRPr="00A96592">
              <w:rPr>
                <w:b/>
                <w:bCs/>
              </w:rPr>
              <w:t>2024-25</w:t>
            </w:r>
          </w:p>
          <w:p w14:paraId="01E17106" w14:textId="77777777" w:rsidR="00CF0E2D" w:rsidRPr="00A96592" w:rsidRDefault="00CF0E2D" w:rsidP="00A60D4B">
            <w:pPr>
              <w:pStyle w:val="InitFigR"/>
              <w:rPr>
                <w:b/>
                <w:bCs/>
              </w:rPr>
            </w:pPr>
            <w:r w:rsidRPr="00A96592">
              <w:rPr>
                <w:b/>
                <w:bCs/>
              </w:rPr>
              <w:t>$’000</w:t>
            </w:r>
          </w:p>
        </w:tc>
        <w:tc>
          <w:tcPr>
            <w:tcW w:w="1029" w:type="dxa"/>
            <w:tcBorders>
              <w:top w:val="single" w:sz="4" w:space="0" w:color="auto"/>
              <w:bottom w:val="single" w:sz="4" w:space="0" w:color="auto"/>
            </w:tcBorders>
          </w:tcPr>
          <w:p w14:paraId="40B9B51E" w14:textId="77777777" w:rsidR="00CF0E2D" w:rsidRPr="004E341E" w:rsidRDefault="00CF0E2D" w:rsidP="00A60D4B">
            <w:pPr>
              <w:pStyle w:val="InitFigRBold"/>
            </w:pPr>
            <w:r w:rsidRPr="004E341E">
              <w:t>Total</w:t>
            </w:r>
          </w:p>
          <w:p w14:paraId="2F6613BF" w14:textId="77777777" w:rsidR="00CF0E2D" w:rsidRPr="004E341E" w:rsidRDefault="00CF0E2D" w:rsidP="00A60D4B">
            <w:pPr>
              <w:pStyle w:val="InitFigBR"/>
            </w:pPr>
            <w:r w:rsidRPr="004E341E">
              <w:t>$’000</w:t>
            </w:r>
          </w:p>
        </w:tc>
      </w:tr>
      <w:tr w:rsidR="00CF0E2D" w:rsidRPr="00750793" w14:paraId="1F71FBDB" w14:textId="77777777" w:rsidTr="00A60D4B">
        <w:trPr>
          <w:cantSplit/>
          <w:jc w:val="center"/>
        </w:trPr>
        <w:tc>
          <w:tcPr>
            <w:tcW w:w="3652" w:type="dxa"/>
          </w:tcPr>
          <w:p w14:paraId="6073AC50" w14:textId="77777777" w:rsidR="00CF0E2D" w:rsidRPr="00F13FAB" w:rsidRDefault="00CF0E2D" w:rsidP="00A60D4B">
            <w:pPr>
              <w:pStyle w:val="InitTextL"/>
              <w:ind w:left="321" w:hanging="321"/>
            </w:pPr>
            <w:r w:rsidRPr="00882BE2">
              <w:t>Expenses</w:t>
            </w:r>
          </w:p>
        </w:tc>
        <w:tc>
          <w:tcPr>
            <w:tcW w:w="1179" w:type="dxa"/>
          </w:tcPr>
          <w:p w14:paraId="50A65081" w14:textId="77777777" w:rsidR="00CF0E2D" w:rsidRPr="00424DA4" w:rsidRDefault="00CF0E2D" w:rsidP="00A60D4B">
            <w:pPr>
              <w:pStyle w:val="InitFigR"/>
            </w:pPr>
            <w:r>
              <w:t>3,862</w:t>
            </w:r>
          </w:p>
        </w:tc>
        <w:tc>
          <w:tcPr>
            <w:tcW w:w="1041" w:type="dxa"/>
          </w:tcPr>
          <w:p w14:paraId="176B3DBB" w14:textId="77777777" w:rsidR="00CF0E2D" w:rsidRPr="00424DA4" w:rsidRDefault="00CF0E2D" w:rsidP="00A60D4B">
            <w:pPr>
              <w:pStyle w:val="InitFigR"/>
            </w:pPr>
            <w:r>
              <w:t>0</w:t>
            </w:r>
          </w:p>
        </w:tc>
        <w:tc>
          <w:tcPr>
            <w:tcW w:w="1029" w:type="dxa"/>
          </w:tcPr>
          <w:p w14:paraId="082BF2BF" w14:textId="77777777" w:rsidR="00CF0E2D" w:rsidRPr="00424DA4" w:rsidRDefault="00CF0E2D" w:rsidP="00A60D4B">
            <w:pPr>
              <w:pStyle w:val="InitFigR"/>
            </w:pPr>
            <w:r>
              <w:t>0</w:t>
            </w:r>
          </w:p>
        </w:tc>
        <w:tc>
          <w:tcPr>
            <w:tcW w:w="1029" w:type="dxa"/>
          </w:tcPr>
          <w:p w14:paraId="190C4BA0" w14:textId="77777777" w:rsidR="00CF0E2D" w:rsidRPr="00424DA4" w:rsidRDefault="00CF0E2D" w:rsidP="00A60D4B">
            <w:pPr>
              <w:pStyle w:val="InitFigR"/>
            </w:pPr>
            <w:r>
              <w:t>0</w:t>
            </w:r>
          </w:p>
        </w:tc>
        <w:tc>
          <w:tcPr>
            <w:tcW w:w="1029" w:type="dxa"/>
          </w:tcPr>
          <w:p w14:paraId="07BE027C" w14:textId="77777777" w:rsidR="00CF0E2D" w:rsidRPr="00424DA4" w:rsidRDefault="00CF0E2D" w:rsidP="00A60D4B">
            <w:pPr>
              <w:pStyle w:val="InitFigBR"/>
            </w:pPr>
            <w:r>
              <w:t>3,862</w:t>
            </w:r>
          </w:p>
        </w:tc>
      </w:tr>
      <w:tr w:rsidR="00CF0E2D" w:rsidRPr="00750793" w14:paraId="3D9EA9B5" w14:textId="77777777" w:rsidTr="00A60D4B">
        <w:trPr>
          <w:cantSplit/>
          <w:jc w:val="center"/>
        </w:trPr>
        <w:tc>
          <w:tcPr>
            <w:tcW w:w="3652" w:type="dxa"/>
          </w:tcPr>
          <w:p w14:paraId="72D7CBDC" w14:textId="77777777" w:rsidR="00CF0E2D" w:rsidRPr="00882BE2" w:rsidRDefault="00CF0E2D" w:rsidP="00A60D4B">
            <w:pPr>
              <w:pStyle w:val="InitTextL"/>
              <w:ind w:left="321" w:hanging="321"/>
            </w:pPr>
            <w:r>
              <w:t>Offset – COVID-19 Response Fund</w:t>
            </w:r>
          </w:p>
        </w:tc>
        <w:tc>
          <w:tcPr>
            <w:tcW w:w="1179" w:type="dxa"/>
          </w:tcPr>
          <w:p w14:paraId="5BB4A5D0" w14:textId="77777777" w:rsidR="00CF0E2D" w:rsidRDefault="00CF0E2D" w:rsidP="00A60D4B">
            <w:pPr>
              <w:pStyle w:val="InitFigR"/>
            </w:pPr>
            <w:r>
              <w:t>-3,602</w:t>
            </w:r>
          </w:p>
        </w:tc>
        <w:tc>
          <w:tcPr>
            <w:tcW w:w="1041" w:type="dxa"/>
          </w:tcPr>
          <w:p w14:paraId="3C4A162C" w14:textId="77777777" w:rsidR="00CF0E2D" w:rsidRDefault="00CF0E2D" w:rsidP="00A60D4B">
            <w:pPr>
              <w:pStyle w:val="InitFigR"/>
            </w:pPr>
            <w:r>
              <w:t>0</w:t>
            </w:r>
          </w:p>
        </w:tc>
        <w:tc>
          <w:tcPr>
            <w:tcW w:w="1029" w:type="dxa"/>
          </w:tcPr>
          <w:p w14:paraId="01416843" w14:textId="77777777" w:rsidR="00CF0E2D" w:rsidRDefault="00CF0E2D" w:rsidP="00A60D4B">
            <w:pPr>
              <w:pStyle w:val="InitFigR"/>
            </w:pPr>
            <w:r>
              <w:t>0</w:t>
            </w:r>
          </w:p>
        </w:tc>
        <w:tc>
          <w:tcPr>
            <w:tcW w:w="1029" w:type="dxa"/>
          </w:tcPr>
          <w:p w14:paraId="45497063" w14:textId="77777777" w:rsidR="00CF0E2D" w:rsidRDefault="00CF0E2D" w:rsidP="00A60D4B">
            <w:pPr>
              <w:pStyle w:val="InitFigR"/>
            </w:pPr>
            <w:r>
              <w:t>0</w:t>
            </w:r>
          </w:p>
        </w:tc>
        <w:tc>
          <w:tcPr>
            <w:tcW w:w="1029" w:type="dxa"/>
          </w:tcPr>
          <w:p w14:paraId="2D695996" w14:textId="77777777" w:rsidR="00CF0E2D" w:rsidRDefault="00CF0E2D" w:rsidP="00A60D4B">
            <w:pPr>
              <w:pStyle w:val="InitFigBR"/>
            </w:pPr>
            <w:r>
              <w:t>-3,602</w:t>
            </w:r>
          </w:p>
        </w:tc>
      </w:tr>
      <w:tr w:rsidR="00CF0E2D" w:rsidRPr="00750793" w14:paraId="3C3C2B36" w14:textId="77777777" w:rsidTr="00A60D4B">
        <w:trPr>
          <w:cantSplit/>
          <w:trHeight w:val="107"/>
          <w:jc w:val="center"/>
        </w:trPr>
        <w:tc>
          <w:tcPr>
            <w:tcW w:w="3652" w:type="dxa"/>
            <w:tcBorders>
              <w:top w:val="single" w:sz="4" w:space="0" w:color="auto"/>
              <w:bottom w:val="single" w:sz="4" w:space="0" w:color="auto"/>
            </w:tcBorders>
          </w:tcPr>
          <w:p w14:paraId="0AE152E8" w14:textId="38304BF1" w:rsidR="00CF0E2D" w:rsidRPr="00DA5279"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01365312" w14:textId="77777777" w:rsidR="00CF0E2D" w:rsidRDefault="00CF0E2D" w:rsidP="00A60D4B">
            <w:pPr>
              <w:pStyle w:val="InitFigRBold"/>
            </w:pPr>
            <w:r>
              <w:t>260</w:t>
            </w:r>
          </w:p>
        </w:tc>
        <w:tc>
          <w:tcPr>
            <w:tcW w:w="1041" w:type="dxa"/>
            <w:tcBorders>
              <w:top w:val="single" w:sz="4" w:space="0" w:color="auto"/>
              <w:bottom w:val="single" w:sz="4" w:space="0" w:color="auto"/>
            </w:tcBorders>
          </w:tcPr>
          <w:p w14:paraId="1C1D8347" w14:textId="77777777" w:rsidR="00CF0E2D" w:rsidRDefault="00CF0E2D" w:rsidP="00A60D4B">
            <w:pPr>
              <w:pStyle w:val="InitFigRBold"/>
            </w:pPr>
            <w:r>
              <w:t>0</w:t>
            </w:r>
          </w:p>
        </w:tc>
        <w:tc>
          <w:tcPr>
            <w:tcW w:w="1029" w:type="dxa"/>
            <w:tcBorders>
              <w:top w:val="single" w:sz="4" w:space="0" w:color="auto"/>
              <w:bottom w:val="single" w:sz="4" w:space="0" w:color="auto"/>
            </w:tcBorders>
          </w:tcPr>
          <w:p w14:paraId="3341F4F1" w14:textId="77777777" w:rsidR="00CF0E2D" w:rsidRDefault="00CF0E2D" w:rsidP="00A60D4B">
            <w:pPr>
              <w:pStyle w:val="InitFigRBold"/>
            </w:pPr>
            <w:r>
              <w:t>0</w:t>
            </w:r>
          </w:p>
        </w:tc>
        <w:tc>
          <w:tcPr>
            <w:tcW w:w="1029" w:type="dxa"/>
            <w:tcBorders>
              <w:top w:val="single" w:sz="4" w:space="0" w:color="auto"/>
              <w:bottom w:val="single" w:sz="4" w:space="0" w:color="auto"/>
            </w:tcBorders>
          </w:tcPr>
          <w:p w14:paraId="045E7EBC" w14:textId="77777777" w:rsidR="00CF0E2D" w:rsidRDefault="00CF0E2D" w:rsidP="00A60D4B">
            <w:pPr>
              <w:pStyle w:val="InitFigRBold"/>
            </w:pPr>
            <w:r>
              <w:t>0</w:t>
            </w:r>
          </w:p>
        </w:tc>
        <w:tc>
          <w:tcPr>
            <w:tcW w:w="1029" w:type="dxa"/>
            <w:tcBorders>
              <w:top w:val="single" w:sz="4" w:space="0" w:color="auto"/>
              <w:bottom w:val="single" w:sz="4" w:space="0" w:color="auto"/>
            </w:tcBorders>
          </w:tcPr>
          <w:p w14:paraId="38309E78" w14:textId="77777777" w:rsidR="00CF0E2D" w:rsidRPr="00DA5279" w:rsidRDefault="00CF0E2D" w:rsidP="00A60D4B">
            <w:pPr>
              <w:pStyle w:val="InitFigRBold"/>
              <w:rPr>
                <w:bCs/>
              </w:rPr>
            </w:pPr>
            <w:r>
              <w:rPr>
                <w:bCs/>
              </w:rPr>
              <w:t>260</w:t>
            </w:r>
          </w:p>
        </w:tc>
      </w:tr>
    </w:tbl>
    <w:p w14:paraId="6B528F08" w14:textId="77777777" w:rsidR="00CF0E2D" w:rsidRDefault="00CF0E2D" w:rsidP="00A60D4B">
      <w:pPr>
        <w:pStyle w:val="Bbodytext"/>
      </w:pPr>
      <w:bookmarkStart w:id="52" w:name="_Hlk83303256"/>
      <w:r>
        <w:t>The Government will support the delivery of additional mental health services to Canberrans affected by the COVID-19 pandemic and associated lockdowns. This assistance builds on funding the Government provided to a range of community-based mental health programs as part of the 2020-21 COVID-19 Mental Health Support Package and complements the additional support package funded through the 2021-22 COVID-19 Response Fund.</w:t>
      </w:r>
    </w:p>
    <w:p w14:paraId="59460CA2" w14:textId="77777777" w:rsidR="00CF0E2D" w:rsidRDefault="00CF0E2D" w:rsidP="00A60D4B">
      <w:pPr>
        <w:pStyle w:val="Bbodytext"/>
      </w:pPr>
      <w:r w:rsidRPr="006A6578">
        <w:t xml:space="preserve">This initiative contributes to the wellbeing domain of </w:t>
      </w:r>
      <w:r>
        <w:t>Health.</w:t>
      </w:r>
    </w:p>
    <w:bookmarkEnd w:id="52"/>
    <w:p w14:paraId="6F5F7DE3" w14:textId="77777777" w:rsidR="00CF0E2D" w:rsidRPr="00DC3B4F" w:rsidRDefault="00CF0E2D" w:rsidP="00A60D4B">
      <w:pPr>
        <w:pStyle w:val="Bbodytext"/>
      </w:pPr>
    </w:p>
    <w:bookmarkEnd w:id="51"/>
    <w:p w14:paraId="3D6D61E7" w14:textId="77777777" w:rsidR="00CF0E2D" w:rsidRPr="00C15FE5" w:rsidRDefault="00CF0E2D" w:rsidP="00A60D4B">
      <w:pPr>
        <w:pStyle w:val="Heading4"/>
      </w:pPr>
      <w:r>
        <w:t xml:space="preserve">Expanding critical public hospital services – Additional ICU capacity </w:t>
      </w:r>
      <w:r>
        <w:rPr>
          <w:b w:val="0"/>
          <w:noProof/>
          <w:color w:val="999789"/>
          <w:sz w:val="32"/>
          <w:szCs w:val="24"/>
        </w:rPr>
        <w:drawing>
          <wp:anchor distT="0" distB="0" distL="114300" distR="114300" simplePos="0" relativeHeight="251871232" behindDoc="0" locked="1" layoutInCell="1" allowOverlap="1" wp14:anchorId="064217B9" wp14:editId="3094CFB4">
            <wp:simplePos x="0" y="0"/>
            <wp:positionH relativeFrom="margin">
              <wp:align>right</wp:align>
            </wp:positionH>
            <wp:positionV relativeFrom="paragraph">
              <wp:posOffset>121285</wp:posOffset>
            </wp:positionV>
            <wp:extent cx="993140" cy="503555"/>
            <wp:effectExtent l="0" t="0" r="0" b="0"/>
            <wp:wrapSquare wrapText="bothSides"/>
            <wp:docPr id="168" name="Picture 168"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0C77B1D0" w14:textId="77777777" w:rsidTr="00A60D4B">
        <w:trPr>
          <w:cantSplit/>
          <w:jc w:val="center"/>
        </w:trPr>
        <w:tc>
          <w:tcPr>
            <w:tcW w:w="3652" w:type="dxa"/>
            <w:tcBorders>
              <w:top w:val="single" w:sz="4" w:space="0" w:color="auto"/>
              <w:bottom w:val="single" w:sz="4" w:space="0" w:color="auto"/>
            </w:tcBorders>
          </w:tcPr>
          <w:p w14:paraId="2851BF40"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6322B60A" w14:textId="77777777" w:rsidR="00CF0E2D" w:rsidRPr="00884AAE" w:rsidRDefault="00CF0E2D" w:rsidP="00A60D4B">
            <w:pPr>
              <w:pStyle w:val="InitFigR"/>
              <w:rPr>
                <w:b/>
                <w:bCs/>
              </w:rPr>
            </w:pPr>
            <w:r w:rsidRPr="00884AAE">
              <w:rPr>
                <w:b/>
                <w:bCs/>
              </w:rPr>
              <w:t>2021-22</w:t>
            </w:r>
          </w:p>
          <w:p w14:paraId="45AE9BE3" w14:textId="77777777" w:rsidR="00CF0E2D" w:rsidRPr="00884AAE" w:rsidRDefault="00CF0E2D" w:rsidP="00A60D4B">
            <w:pPr>
              <w:pStyle w:val="InitFigR"/>
              <w:rPr>
                <w:b/>
                <w:bCs/>
              </w:rPr>
            </w:pPr>
            <w:r w:rsidRPr="00884AAE">
              <w:rPr>
                <w:b/>
                <w:bCs/>
              </w:rPr>
              <w:t>$’000</w:t>
            </w:r>
          </w:p>
        </w:tc>
        <w:tc>
          <w:tcPr>
            <w:tcW w:w="1041" w:type="dxa"/>
            <w:tcBorders>
              <w:top w:val="single" w:sz="4" w:space="0" w:color="auto"/>
              <w:bottom w:val="single" w:sz="4" w:space="0" w:color="auto"/>
            </w:tcBorders>
          </w:tcPr>
          <w:p w14:paraId="569F2FC7" w14:textId="77777777" w:rsidR="00CF0E2D" w:rsidRPr="00884AAE" w:rsidRDefault="00CF0E2D" w:rsidP="00A60D4B">
            <w:pPr>
              <w:pStyle w:val="InitFigR"/>
              <w:rPr>
                <w:b/>
                <w:bCs/>
              </w:rPr>
            </w:pPr>
            <w:r w:rsidRPr="00884AAE">
              <w:rPr>
                <w:b/>
                <w:bCs/>
              </w:rPr>
              <w:t>2022-23</w:t>
            </w:r>
          </w:p>
          <w:p w14:paraId="33F8B6BE" w14:textId="77777777" w:rsidR="00CF0E2D" w:rsidRPr="00884AAE" w:rsidRDefault="00CF0E2D" w:rsidP="00A60D4B">
            <w:pPr>
              <w:pStyle w:val="InitFigR"/>
              <w:rPr>
                <w:b/>
                <w:bCs/>
              </w:rPr>
            </w:pPr>
            <w:r w:rsidRPr="00884AAE">
              <w:rPr>
                <w:b/>
                <w:bCs/>
              </w:rPr>
              <w:t>$’000</w:t>
            </w:r>
          </w:p>
        </w:tc>
        <w:tc>
          <w:tcPr>
            <w:tcW w:w="1029" w:type="dxa"/>
            <w:tcBorders>
              <w:top w:val="single" w:sz="4" w:space="0" w:color="auto"/>
              <w:bottom w:val="single" w:sz="4" w:space="0" w:color="auto"/>
            </w:tcBorders>
          </w:tcPr>
          <w:p w14:paraId="67875B81" w14:textId="77777777" w:rsidR="00CF0E2D" w:rsidRPr="00884AAE" w:rsidRDefault="00CF0E2D" w:rsidP="00A60D4B">
            <w:pPr>
              <w:pStyle w:val="InitFigR"/>
              <w:rPr>
                <w:b/>
                <w:bCs/>
              </w:rPr>
            </w:pPr>
            <w:r w:rsidRPr="00884AAE">
              <w:rPr>
                <w:b/>
                <w:bCs/>
              </w:rPr>
              <w:t>2023-24</w:t>
            </w:r>
          </w:p>
          <w:p w14:paraId="4ECE64D0" w14:textId="77777777" w:rsidR="00CF0E2D" w:rsidRPr="00884AAE" w:rsidRDefault="00CF0E2D" w:rsidP="00A60D4B">
            <w:pPr>
              <w:pStyle w:val="InitFigR"/>
              <w:rPr>
                <w:b/>
                <w:bCs/>
              </w:rPr>
            </w:pPr>
            <w:r w:rsidRPr="00884AAE">
              <w:rPr>
                <w:b/>
                <w:bCs/>
              </w:rPr>
              <w:t>$’000</w:t>
            </w:r>
          </w:p>
        </w:tc>
        <w:tc>
          <w:tcPr>
            <w:tcW w:w="1029" w:type="dxa"/>
            <w:tcBorders>
              <w:top w:val="single" w:sz="4" w:space="0" w:color="auto"/>
              <w:bottom w:val="single" w:sz="4" w:space="0" w:color="auto"/>
            </w:tcBorders>
          </w:tcPr>
          <w:p w14:paraId="5EFE708E" w14:textId="77777777" w:rsidR="00CF0E2D" w:rsidRPr="00884AAE" w:rsidRDefault="00CF0E2D" w:rsidP="00A60D4B">
            <w:pPr>
              <w:pStyle w:val="InitFigR"/>
              <w:rPr>
                <w:b/>
                <w:bCs/>
              </w:rPr>
            </w:pPr>
            <w:r w:rsidRPr="00884AAE">
              <w:rPr>
                <w:b/>
                <w:bCs/>
              </w:rPr>
              <w:t>2024-25</w:t>
            </w:r>
          </w:p>
          <w:p w14:paraId="6230CE20" w14:textId="77777777" w:rsidR="00CF0E2D" w:rsidRPr="00884AAE" w:rsidRDefault="00CF0E2D" w:rsidP="00A60D4B">
            <w:pPr>
              <w:pStyle w:val="InitFigR"/>
              <w:rPr>
                <w:b/>
                <w:bCs/>
              </w:rPr>
            </w:pPr>
            <w:r w:rsidRPr="00884AAE">
              <w:rPr>
                <w:b/>
                <w:bCs/>
              </w:rPr>
              <w:t>$’000</w:t>
            </w:r>
          </w:p>
        </w:tc>
        <w:tc>
          <w:tcPr>
            <w:tcW w:w="1029" w:type="dxa"/>
            <w:tcBorders>
              <w:top w:val="single" w:sz="4" w:space="0" w:color="auto"/>
              <w:bottom w:val="single" w:sz="4" w:space="0" w:color="auto"/>
            </w:tcBorders>
          </w:tcPr>
          <w:p w14:paraId="056099F7" w14:textId="77777777" w:rsidR="00CF0E2D" w:rsidRPr="004E341E" w:rsidRDefault="00CF0E2D" w:rsidP="00A60D4B">
            <w:pPr>
              <w:pStyle w:val="InitFigRBold"/>
            </w:pPr>
            <w:r w:rsidRPr="004E341E">
              <w:t>Total</w:t>
            </w:r>
          </w:p>
          <w:p w14:paraId="65FF4144" w14:textId="77777777" w:rsidR="00CF0E2D" w:rsidRPr="004E341E" w:rsidRDefault="00CF0E2D" w:rsidP="00A60D4B">
            <w:pPr>
              <w:pStyle w:val="InitFigBR"/>
            </w:pPr>
            <w:r w:rsidRPr="004E341E">
              <w:t>$’000</w:t>
            </w:r>
          </w:p>
        </w:tc>
      </w:tr>
      <w:tr w:rsidR="00CF0E2D" w:rsidRPr="00750793" w14:paraId="00585B47" w14:textId="77777777" w:rsidTr="00A60D4B">
        <w:trPr>
          <w:cantSplit/>
          <w:jc w:val="center"/>
        </w:trPr>
        <w:tc>
          <w:tcPr>
            <w:tcW w:w="3652" w:type="dxa"/>
          </w:tcPr>
          <w:p w14:paraId="66ED1F73" w14:textId="77777777" w:rsidR="00CF0E2D" w:rsidRPr="00F13FAB" w:rsidRDefault="00CF0E2D" w:rsidP="00A60D4B">
            <w:pPr>
              <w:pStyle w:val="InitTextL"/>
              <w:ind w:left="321" w:hanging="321"/>
            </w:pPr>
            <w:r w:rsidRPr="00882BE2">
              <w:t>Expenses</w:t>
            </w:r>
          </w:p>
        </w:tc>
        <w:tc>
          <w:tcPr>
            <w:tcW w:w="1179" w:type="dxa"/>
          </w:tcPr>
          <w:p w14:paraId="31DC6308" w14:textId="77777777" w:rsidR="00CF0E2D" w:rsidRPr="00424DA4" w:rsidRDefault="00CF0E2D" w:rsidP="00A60D4B">
            <w:pPr>
              <w:pStyle w:val="InitFigR"/>
            </w:pPr>
            <w:r>
              <w:t>2,373</w:t>
            </w:r>
          </w:p>
        </w:tc>
        <w:tc>
          <w:tcPr>
            <w:tcW w:w="1041" w:type="dxa"/>
          </w:tcPr>
          <w:p w14:paraId="6ED00517" w14:textId="77777777" w:rsidR="00CF0E2D" w:rsidRPr="00424DA4" w:rsidRDefault="00CF0E2D" w:rsidP="00A60D4B">
            <w:pPr>
              <w:pStyle w:val="InitFigR"/>
            </w:pPr>
            <w:r w:rsidRPr="00F94257">
              <w:t>7,123</w:t>
            </w:r>
          </w:p>
        </w:tc>
        <w:tc>
          <w:tcPr>
            <w:tcW w:w="1029" w:type="dxa"/>
          </w:tcPr>
          <w:p w14:paraId="3D6045BB" w14:textId="77777777" w:rsidR="00CF0E2D" w:rsidRPr="00424DA4" w:rsidRDefault="00CF0E2D" w:rsidP="00A60D4B">
            <w:pPr>
              <w:pStyle w:val="InitFigR"/>
            </w:pPr>
            <w:r w:rsidRPr="00F94257">
              <w:t>9,357</w:t>
            </w:r>
          </w:p>
        </w:tc>
        <w:tc>
          <w:tcPr>
            <w:tcW w:w="1029" w:type="dxa"/>
          </w:tcPr>
          <w:p w14:paraId="315FF2DF" w14:textId="77777777" w:rsidR="00CF0E2D" w:rsidRPr="00424DA4" w:rsidRDefault="00CF0E2D" w:rsidP="00A60D4B">
            <w:pPr>
              <w:pStyle w:val="InitFigR"/>
            </w:pPr>
            <w:r w:rsidRPr="00F94257">
              <w:t>9,501</w:t>
            </w:r>
          </w:p>
        </w:tc>
        <w:tc>
          <w:tcPr>
            <w:tcW w:w="1029" w:type="dxa"/>
          </w:tcPr>
          <w:p w14:paraId="48F529FB" w14:textId="77777777" w:rsidR="00CF0E2D" w:rsidRPr="00424DA4" w:rsidRDefault="00CF0E2D" w:rsidP="00A60D4B">
            <w:pPr>
              <w:pStyle w:val="InitFigBR"/>
            </w:pPr>
            <w:r>
              <w:t>28,354</w:t>
            </w:r>
          </w:p>
        </w:tc>
      </w:tr>
      <w:tr w:rsidR="00CF0E2D" w:rsidRPr="00750793" w14:paraId="289A5984" w14:textId="77777777" w:rsidTr="00A60D4B">
        <w:trPr>
          <w:cantSplit/>
          <w:jc w:val="center"/>
        </w:trPr>
        <w:tc>
          <w:tcPr>
            <w:tcW w:w="3652" w:type="dxa"/>
          </w:tcPr>
          <w:p w14:paraId="58B26525" w14:textId="77777777" w:rsidR="00CF0E2D" w:rsidRDefault="00CF0E2D" w:rsidP="00A60D4B">
            <w:pPr>
              <w:pStyle w:val="InitTextL"/>
              <w:ind w:left="321" w:hanging="321"/>
            </w:pPr>
            <w:r>
              <w:t>Offset – Health Funding Envelope</w:t>
            </w:r>
          </w:p>
        </w:tc>
        <w:tc>
          <w:tcPr>
            <w:tcW w:w="1179" w:type="dxa"/>
          </w:tcPr>
          <w:p w14:paraId="4EDF18AE" w14:textId="77777777" w:rsidR="00CF0E2D" w:rsidRPr="00424DA4" w:rsidRDefault="00CF0E2D" w:rsidP="00A60D4B">
            <w:pPr>
              <w:pStyle w:val="InitFigR"/>
            </w:pPr>
            <w:r>
              <w:t>-2,373</w:t>
            </w:r>
          </w:p>
        </w:tc>
        <w:tc>
          <w:tcPr>
            <w:tcW w:w="1041" w:type="dxa"/>
          </w:tcPr>
          <w:p w14:paraId="5FC2A413" w14:textId="77777777" w:rsidR="00CF0E2D" w:rsidRPr="00424DA4" w:rsidRDefault="00CF0E2D" w:rsidP="00A60D4B">
            <w:pPr>
              <w:pStyle w:val="InitFigR"/>
            </w:pPr>
            <w:r>
              <w:t>-</w:t>
            </w:r>
            <w:r w:rsidRPr="00F94257">
              <w:t>7,123</w:t>
            </w:r>
          </w:p>
        </w:tc>
        <w:tc>
          <w:tcPr>
            <w:tcW w:w="1029" w:type="dxa"/>
          </w:tcPr>
          <w:p w14:paraId="491D5713" w14:textId="77777777" w:rsidR="00CF0E2D" w:rsidRPr="00424DA4" w:rsidRDefault="00CF0E2D" w:rsidP="00A60D4B">
            <w:pPr>
              <w:pStyle w:val="InitFigR"/>
            </w:pPr>
            <w:r>
              <w:t>-</w:t>
            </w:r>
            <w:r w:rsidRPr="00F94257">
              <w:t>9,357</w:t>
            </w:r>
          </w:p>
        </w:tc>
        <w:tc>
          <w:tcPr>
            <w:tcW w:w="1029" w:type="dxa"/>
          </w:tcPr>
          <w:p w14:paraId="05A25C82" w14:textId="77777777" w:rsidR="00CF0E2D" w:rsidRPr="00424DA4" w:rsidRDefault="00CF0E2D" w:rsidP="00A60D4B">
            <w:pPr>
              <w:pStyle w:val="InitFigR"/>
            </w:pPr>
            <w:r>
              <w:t>-</w:t>
            </w:r>
            <w:r w:rsidRPr="00F94257">
              <w:t>9,501</w:t>
            </w:r>
          </w:p>
        </w:tc>
        <w:tc>
          <w:tcPr>
            <w:tcW w:w="1029" w:type="dxa"/>
          </w:tcPr>
          <w:p w14:paraId="40C38A38" w14:textId="77777777" w:rsidR="00CF0E2D" w:rsidRPr="00424DA4" w:rsidRDefault="00CF0E2D" w:rsidP="00A60D4B">
            <w:pPr>
              <w:pStyle w:val="InitFigBR"/>
            </w:pPr>
            <w:r>
              <w:t>-28,354</w:t>
            </w:r>
          </w:p>
        </w:tc>
      </w:tr>
      <w:tr w:rsidR="00CF0E2D" w:rsidRPr="00DA5279" w14:paraId="5855741B" w14:textId="77777777" w:rsidTr="00A60D4B">
        <w:trPr>
          <w:cantSplit/>
          <w:trHeight w:val="107"/>
          <w:jc w:val="center"/>
        </w:trPr>
        <w:tc>
          <w:tcPr>
            <w:tcW w:w="3652" w:type="dxa"/>
            <w:tcBorders>
              <w:top w:val="single" w:sz="4" w:space="0" w:color="auto"/>
              <w:bottom w:val="single" w:sz="4" w:space="0" w:color="auto"/>
            </w:tcBorders>
          </w:tcPr>
          <w:p w14:paraId="4468E842" w14:textId="7B6365CA" w:rsidR="00CF0E2D" w:rsidRPr="00DA5279"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07A2F483" w14:textId="77777777" w:rsidR="00CF0E2D" w:rsidRDefault="00CF0E2D" w:rsidP="00A60D4B">
            <w:pPr>
              <w:pStyle w:val="InitFigRBold"/>
            </w:pPr>
            <w:r>
              <w:t>0</w:t>
            </w:r>
          </w:p>
        </w:tc>
        <w:tc>
          <w:tcPr>
            <w:tcW w:w="1041" w:type="dxa"/>
            <w:tcBorders>
              <w:top w:val="single" w:sz="4" w:space="0" w:color="auto"/>
              <w:bottom w:val="single" w:sz="4" w:space="0" w:color="auto"/>
            </w:tcBorders>
          </w:tcPr>
          <w:p w14:paraId="118AF27A" w14:textId="77777777" w:rsidR="00CF0E2D" w:rsidRDefault="00CF0E2D" w:rsidP="00A60D4B">
            <w:pPr>
              <w:pStyle w:val="InitFigRBold"/>
            </w:pPr>
            <w:r>
              <w:t>0</w:t>
            </w:r>
          </w:p>
        </w:tc>
        <w:tc>
          <w:tcPr>
            <w:tcW w:w="1029" w:type="dxa"/>
            <w:tcBorders>
              <w:top w:val="single" w:sz="4" w:space="0" w:color="auto"/>
              <w:bottom w:val="single" w:sz="4" w:space="0" w:color="auto"/>
            </w:tcBorders>
          </w:tcPr>
          <w:p w14:paraId="1A84DE3B" w14:textId="77777777" w:rsidR="00CF0E2D" w:rsidRDefault="00CF0E2D" w:rsidP="00A60D4B">
            <w:pPr>
              <w:pStyle w:val="InitFigRBold"/>
            </w:pPr>
            <w:r>
              <w:t>0</w:t>
            </w:r>
          </w:p>
        </w:tc>
        <w:tc>
          <w:tcPr>
            <w:tcW w:w="1029" w:type="dxa"/>
            <w:tcBorders>
              <w:top w:val="single" w:sz="4" w:space="0" w:color="auto"/>
              <w:bottom w:val="single" w:sz="4" w:space="0" w:color="auto"/>
            </w:tcBorders>
          </w:tcPr>
          <w:p w14:paraId="764E41D7" w14:textId="77777777" w:rsidR="00CF0E2D" w:rsidRDefault="00CF0E2D" w:rsidP="00A60D4B">
            <w:pPr>
              <w:pStyle w:val="InitFigRBold"/>
            </w:pPr>
            <w:r>
              <w:t>0</w:t>
            </w:r>
          </w:p>
        </w:tc>
        <w:tc>
          <w:tcPr>
            <w:tcW w:w="1029" w:type="dxa"/>
            <w:tcBorders>
              <w:top w:val="single" w:sz="4" w:space="0" w:color="auto"/>
              <w:bottom w:val="single" w:sz="4" w:space="0" w:color="auto"/>
            </w:tcBorders>
          </w:tcPr>
          <w:p w14:paraId="3340CF17" w14:textId="77777777" w:rsidR="00CF0E2D" w:rsidRPr="00DA5279" w:rsidRDefault="00CF0E2D" w:rsidP="00A60D4B">
            <w:pPr>
              <w:pStyle w:val="InitFigRBold"/>
              <w:rPr>
                <w:bCs/>
              </w:rPr>
            </w:pPr>
            <w:r w:rsidRPr="00DA5279">
              <w:rPr>
                <w:bCs/>
              </w:rPr>
              <w:t>0</w:t>
            </w:r>
          </w:p>
        </w:tc>
      </w:tr>
    </w:tbl>
    <w:p w14:paraId="615405F9" w14:textId="77777777" w:rsidR="00CF0E2D" w:rsidRDefault="00CF0E2D" w:rsidP="00A60D4B">
      <w:pPr>
        <w:pStyle w:val="Bbodytext"/>
      </w:pPr>
      <w:r>
        <w:t xml:space="preserve">The Government will establish </w:t>
      </w:r>
      <w:r w:rsidRPr="00F04DAD">
        <w:t xml:space="preserve">four </w:t>
      </w:r>
      <w:r>
        <w:t xml:space="preserve">additional </w:t>
      </w:r>
      <w:r w:rsidRPr="00F04DAD">
        <w:t xml:space="preserve">Intensive Care </w:t>
      </w:r>
      <w:r>
        <w:t>beds at</w:t>
      </w:r>
      <w:r w:rsidRPr="00F04DAD">
        <w:t xml:space="preserve"> the Canberra Hospital </w:t>
      </w:r>
      <w:r>
        <w:t xml:space="preserve">by 2023-24 </w:t>
      </w:r>
      <w:r w:rsidRPr="00F04DAD">
        <w:t xml:space="preserve">to meet </w:t>
      </w:r>
      <w:r>
        <w:t xml:space="preserve">increased </w:t>
      </w:r>
      <w:r w:rsidRPr="00F04DAD">
        <w:t>demand.</w:t>
      </w:r>
    </w:p>
    <w:p w14:paraId="6F761D50" w14:textId="77777777" w:rsidR="00CF0E2D" w:rsidRDefault="00CF0E2D" w:rsidP="00A60D4B">
      <w:pPr>
        <w:pStyle w:val="Bbodytext"/>
      </w:pPr>
      <w:r w:rsidRPr="00851A2E">
        <w:lastRenderedPageBreak/>
        <w:t>This initiative builds on</w:t>
      </w:r>
      <w:r>
        <w:t xml:space="preserve"> the physical expansion of Intensive Care Unit capacity at the Canberra Hospital with funding from the Commonwealth through the Community Health and Hospitals Program.</w:t>
      </w:r>
    </w:p>
    <w:p w14:paraId="214F6992" w14:textId="77777777" w:rsidR="00CF0E2D" w:rsidRDefault="00CF0E2D" w:rsidP="00A60D4B">
      <w:pPr>
        <w:pStyle w:val="Bbodytext"/>
      </w:pPr>
      <w:r>
        <w:t>This initiative contributes to the wellbeing domain of Health.</w:t>
      </w:r>
    </w:p>
    <w:p w14:paraId="7E91C1E7" w14:textId="77777777" w:rsidR="00CF0E2D" w:rsidRDefault="00CF0E2D" w:rsidP="00A60D4B">
      <w:pPr>
        <w:pStyle w:val="Bbodytext"/>
      </w:pPr>
    </w:p>
    <w:p w14:paraId="38C8C024" w14:textId="77777777" w:rsidR="00CF0E2D" w:rsidRPr="00C15FE5" w:rsidRDefault="00CF0E2D" w:rsidP="00A60D4B">
      <w:pPr>
        <w:pStyle w:val="Heading4"/>
      </w:pPr>
      <w:r>
        <w:t xml:space="preserve">Expanding critical public hospital services – Additional neonatology cots </w:t>
      </w:r>
      <w:r>
        <w:rPr>
          <w:b w:val="0"/>
          <w:noProof/>
          <w:color w:val="999789"/>
          <w:sz w:val="32"/>
          <w:szCs w:val="24"/>
        </w:rPr>
        <w:drawing>
          <wp:anchor distT="0" distB="0" distL="114300" distR="114300" simplePos="0" relativeHeight="251872256" behindDoc="0" locked="1" layoutInCell="1" allowOverlap="1" wp14:anchorId="57F0E868" wp14:editId="5010CA94">
            <wp:simplePos x="0" y="0"/>
            <wp:positionH relativeFrom="margin">
              <wp:align>right</wp:align>
            </wp:positionH>
            <wp:positionV relativeFrom="paragraph">
              <wp:posOffset>91440</wp:posOffset>
            </wp:positionV>
            <wp:extent cx="993140" cy="503555"/>
            <wp:effectExtent l="0" t="0" r="0" b="0"/>
            <wp:wrapSquare wrapText="bothSides"/>
            <wp:docPr id="75" name="Picture 75"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4E952017" w14:textId="77777777" w:rsidTr="00A60D4B">
        <w:trPr>
          <w:cantSplit/>
          <w:jc w:val="center"/>
        </w:trPr>
        <w:tc>
          <w:tcPr>
            <w:tcW w:w="3652" w:type="dxa"/>
            <w:tcBorders>
              <w:top w:val="single" w:sz="4" w:space="0" w:color="auto"/>
              <w:bottom w:val="single" w:sz="4" w:space="0" w:color="auto"/>
            </w:tcBorders>
          </w:tcPr>
          <w:p w14:paraId="087FFD6C" w14:textId="77777777" w:rsidR="00CF0E2D" w:rsidRPr="00884AAE" w:rsidRDefault="00CF0E2D" w:rsidP="00A60D4B">
            <w:pPr>
              <w:pStyle w:val="InitFigR"/>
              <w:rPr>
                <w:rFonts w:cs="Calibri"/>
                <w:color w:val="FFFFFF"/>
                <w:sz w:val="12"/>
              </w:rPr>
            </w:pPr>
            <w:r w:rsidRPr="00884AAE">
              <w:rPr>
                <w:rFonts w:cs="Calibri"/>
                <w:color w:val="FFFFFF"/>
                <w:sz w:val="12"/>
              </w:rPr>
              <w:t>Empty Cell</w:t>
            </w:r>
          </w:p>
        </w:tc>
        <w:tc>
          <w:tcPr>
            <w:tcW w:w="1179" w:type="dxa"/>
            <w:tcBorders>
              <w:top w:val="single" w:sz="4" w:space="0" w:color="auto"/>
              <w:bottom w:val="single" w:sz="4" w:space="0" w:color="auto"/>
            </w:tcBorders>
          </w:tcPr>
          <w:p w14:paraId="3129D1A1" w14:textId="77777777" w:rsidR="00CF0E2D" w:rsidRPr="00884AAE" w:rsidRDefault="00CF0E2D" w:rsidP="00A60D4B">
            <w:pPr>
              <w:pStyle w:val="InitFigR"/>
              <w:rPr>
                <w:b/>
                <w:bCs/>
              </w:rPr>
            </w:pPr>
            <w:r w:rsidRPr="00884AAE">
              <w:rPr>
                <w:b/>
                <w:bCs/>
              </w:rPr>
              <w:t>2021-22</w:t>
            </w:r>
          </w:p>
          <w:p w14:paraId="2C5BEC93" w14:textId="77777777" w:rsidR="00CF0E2D" w:rsidRPr="00884AAE" w:rsidRDefault="00CF0E2D" w:rsidP="00A60D4B">
            <w:pPr>
              <w:pStyle w:val="InitFigR"/>
              <w:rPr>
                <w:b/>
                <w:bCs/>
              </w:rPr>
            </w:pPr>
            <w:r w:rsidRPr="00884AAE">
              <w:rPr>
                <w:b/>
                <w:bCs/>
              </w:rPr>
              <w:t>$’000</w:t>
            </w:r>
          </w:p>
        </w:tc>
        <w:tc>
          <w:tcPr>
            <w:tcW w:w="1041" w:type="dxa"/>
            <w:tcBorders>
              <w:top w:val="single" w:sz="4" w:space="0" w:color="auto"/>
              <w:bottom w:val="single" w:sz="4" w:space="0" w:color="auto"/>
            </w:tcBorders>
          </w:tcPr>
          <w:p w14:paraId="5D8F8A22" w14:textId="77777777" w:rsidR="00CF0E2D" w:rsidRPr="00884AAE" w:rsidRDefault="00CF0E2D" w:rsidP="00A60D4B">
            <w:pPr>
              <w:pStyle w:val="InitFigR"/>
              <w:rPr>
                <w:b/>
                <w:bCs/>
              </w:rPr>
            </w:pPr>
            <w:r w:rsidRPr="00884AAE">
              <w:rPr>
                <w:b/>
                <w:bCs/>
              </w:rPr>
              <w:t>2022-23</w:t>
            </w:r>
          </w:p>
          <w:p w14:paraId="66B3262C" w14:textId="77777777" w:rsidR="00CF0E2D" w:rsidRPr="00884AAE" w:rsidRDefault="00CF0E2D" w:rsidP="00A60D4B">
            <w:pPr>
              <w:pStyle w:val="InitFigR"/>
              <w:rPr>
                <w:b/>
                <w:bCs/>
              </w:rPr>
            </w:pPr>
            <w:r w:rsidRPr="00884AAE">
              <w:rPr>
                <w:b/>
                <w:bCs/>
              </w:rPr>
              <w:t>$’000</w:t>
            </w:r>
          </w:p>
        </w:tc>
        <w:tc>
          <w:tcPr>
            <w:tcW w:w="1029" w:type="dxa"/>
            <w:tcBorders>
              <w:top w:val="single" w:sz="4" w:space="0" w:color="auto"/>
              <w:bottom w:val="single" w:sz="4" w:space="0" w:color="auto"/>
            </w:tcBorders>
          </w:tcPr>
          <w:p w14:paraId="01CC4E70" w14:textId="77777777" w:rsidR="00CF0E2D" w:rsidRPr="00884AAE" w:rsidRDefault="00CF0E2D" w:rsidP="00A60D4B">
            <w:pPr>
              <w:pStyle w:val="InitFigR"/>
              <w:rPr>
                <w:b/>
                <w:bCs/>
              </w:rPr>
            </w:pPr>
            <w:r w:rsidRPr="00884AAE">
              <w:rPr>
                <w:b/>
                <w:bCs/>
              </w:rPr>
              <w:t>2023-24</w:t>
            </w:r>
          </w:p>
          <w:p w14:paraId="15E9DA1C" w14:textId="77777777" w:rsidR="00CF0E2D" w:rsidRPr="00884AAE" w:rsidRDefault="00CF0E2D" w:rsidP="00A60D4B">
            <w:pPr>
              <w:pStyle w:val="InitFigR"/>
              <w:rPr>
                <w:b/>
                <w:bCs/>
              </w:rPr>
            </w:pPr>
            <w:r w:rsidRPr="00884AAE">
              <w:rPr>
                <w:b/>
                <w:bCs/>
              </w:rPr>
              <w:t>$’000</w:t>
            </w:r>
          </w:p>
        </w:tc>
        <w:tc>
          <w:tcPr>
            <w:tcW w:w="1029" w:type="dxa"/>
            <w:tcBorders>
              <w:top w:val="single" w:sz="4" w:space="0" w:color="auto"/>
              <w:bottom w:val="single" w:sz="4" w:space="0" w:color="auto"/>
            </w:tcBorders>
          </w:tcPr>
          <w:p w14:paraId="47611939" w14:textId="77777777" w:rsidR="00CF0E2D" w:rsidRPr="00884AAE" w:rsidRDefault="00CF0E2D" w:rsidP="00A60D4B">
            <w:pPr>
              <w:pStyle w:val="InitFigR"/>
              <w:rPr>
                <w:b/>
                <w:bCs/>
              </w:rPr>
            </w:pPr>
            <w:r w:rsidRPr="00884AAE">
              <w:rPr>
                <w:b/>
                <w:bCs/>
              </w:rPr>
              <w:t>2024-25</w:t>
            </w:r>
          </w:p>
          <w:p w14:paraId="73118143" w14:textId="77777777" w:rsidR="00CF0E2D" w:rsidRPr="00884AAE" w:rsidRDefault="00CF0E2D" w:rsidP="00A60D4B">
            <w:pPr>
              <w:pStyle w:val="InitFigR"/>
              <w:rPr>
                <w:b/>
                <w:bCs/>
              </w:rPr>
            </w:pPr>
            <w:r w:rsidRPr="00884AAE">
              <w:rPr>
                <w:b/>
                <w:bCs/>
              </w:rPr>
              <w:t>$’000</w:t>
            </w:r>
          </w:p>
        </w:tc>
        <w:tc>
          <w:tcPr>
            <w:tcW w:w="1029" w:type="dxa"/>
            <w:tcBorders>
              <w:top w:val="single" w:sz="4" w:space="0" w:color="auto"/>
              <w:bottom w:val="single" w:sz="4" w:space="0" w:color="auto"/>
            </w:tcBorders>
          </w:tcPr>
          <w:p w14:paraId="0198D437" w14:textId="77777777" w:rsidR="00CF0E2D" w:rsidRPr="00884AAE" w:rsidRDefault="00CF0E2D" w:rsidP="00A60D4B">
            <w:pPr>
              <w:pStyle w:val="InitFigR"/>
              <w:rPr>
                <w:b/>
                <w:bCs/>
              </w:rPr>
            </w:pPr>
            <w:r w:rsidRPr="00884AAE">
              <w:rPr>
                <w:b/>
                <w:bCs/>
              </w:rPr>
              <w:t>Total</w:t>
            </w:r>
          </w:p>
          <w:p w14:paraId="5F11F29B" w14:textId="77777777" w:rsidR="00CF0E2D" w:rsidRPr="00884AAE" w:rsidRDefault="00CF0E2D" w:rsidP="00A60D4B">
            <w:pPr>
              <w:pStyle w:val="InitFigR"/>
              <w:rPr>
                <w:b/>
                <w:bCs/>
              </w:rPr>
            </w:pPr>
            <w:r w:rsidRPr="00884AAE">
              <w:rPr>
                <w:b/>
                <w:bCs/>
              </w:rPr>
              <w:t>$’000</w:t>
            </w:r>
          </w:p>
        </w:tc>
      </w:tr>
      <w:tr w:rsidR="00CF0E2D" w:rsidRPr="00750793" w14:paraId="51BA9665" w14:textId="77777777" w:rsidTr="00A60D4B">
        <w:trPr>
          <w:cantSplit/>
          <w:jc w:val="center"/>
        </w:trPr>
        <w:tc>
          <w:tcPr>
            <w:tcW w:w="3652" w:type="dxa"/>
          </w:tcPr>
          <w:p w14:paraId="49FCFA5B" w14:textId="77777777" w:rsidR="00CF0E2D" w:rsidRPr="00F13FAB" w:rsidRDefault="00CF0E2D" w:rsidP="00A60D4B">
            <w:pPr>
              <w:pStyle w:val="InitTextL"/>
              <w:ind w:left="321" w:hanging="321"/>
            </w:pPr>
            <w:r w:rsidRPr="00882BE2">
              <w:t>Expenses</w:t>
            </w:r>
          </w:p>
        </w:tc>
        <w:tc>
          <w:tcPr>
            <w:tcW w:w="1179" w:type="dxa"/>
          </w:tcPr>
          <w:p w14:paraId="091D5366" w14:textId="77777777" w:rsidR="00CF0E2D" w:rsidRPr="00424DA4" w:rsidRDefault="00CF0E2D" w:rsidP="00A60D4B">
            <w:pPr>
              <w:pStyle w:val="InitFigR"/>
            </w:pPr>
            <w:r>
              <w:t>2,468</w:t>
            </w:r>
          </w:p>
        </w:tc>
        <w:tc>
          <w:tcPr>
            <w:tcW w:w="1041" w:type="dxa"/>
          </w:tcPr>
          <w:p w14:paraId="45151778" w14:textId="77777777" w:rsidR="00CF0E2D" w:rsidRPr="00424DA4" w:rsidRDefault="00CF0E2D" w:rsidP="00A60D4B">
            <w:pPr>
              <w:pStyle w:val="InitFigR"/>
            </w:pPr>
            <w:r w:rsidRPr="002562A3">
              <w:t>3,589</w:t>
            </w:r>
          </w:p>
        </w:tc>
        <w:tc>
          <w:tcPr>
            <w:tcW w:w="1029" w:type="dxa"/>
          </w:tcPr>
          <w:p w14:paraId="55321EE6" w14:textId="77777777" w:rsidR="00CF0E2D" w:rsidRPr="00424DA4" w:rsidRDefault="00CF0E2D" w:rsidP="00A60D4B">
            <w:pPr>
              <w:pStyle w:val="InitFigR"/>
            </w:pPr>
            <w:r w:rsidRPr="002562A3">
              <w:t>4,579</w:t>
            </w:r>
          </w:p>
        </w:tc>
        <w:tc>
          <w:tcPr>
            <w:tcW w:w="1029" w:type="dxa"/>
          </w:tcPr>
          <w:p w14:paraId="7ED84241" w14:textId="77777777" w:rsidR="00CF0E2D" w:rsidRPr="00424DA4" w:rsidRDefault="00CF0E2D" w:rsidP="00A60D4B">
            <w:pPr>
              <w:pStyle w:val="InitFigR"/>
            </w:pPr>
            <w:r w:rsidRPr="002562A3">
              <w:t>4,646</w:t>
            </w:r>
          </w:p>
        </w:tc>
        <w:tc>
          <w:tcPr>
            <w:tcW w:w="1029" w:type="dxa"/>
          </w:tcPr>
          <w:p w14:paraId="4972BC9C" w14:textId="77777777" w:rsidR="00CF0E2D" w:rsidRPr="00424DA4" w:rsidRDefault="00CF0E2D" w:rsidP="00A60D4B">
            <w:pPr>
              <w:pStyle w:val="InitFigBR"/>
            </w:pPr>
            <w:r>
              <w:t>15,282</w:t>
            </w:r>
          </w:p>
        </w:tc>
      </w:tr>
      <w:tr w:rsidR="00CF0E2D" w:rsidRPr="00750793" w14:paraId="0D27FE6D" w14:textId="77777777" w:rsidTr="00A60D4B">
        <w:trPr>
          <w:cantSplit/>
          <w:jc w:val="center"/>
        </w:trPr>
        <w:tc>
          <w:tcPr>
            <w:tcW w:w="3652" w:type="dxa"/>
          </w:tcPr>
          <w:p w14:paraId="7E2885D7" w14:textId="77777777" w:rsidR="00CF0E2D" w:rsidRDefault="00CF0E2D" w:rsidP="00A60D4B">
            <w:pPr>
              <w:pStyle w:val="InitTextL"/>
              <w:ind w:left="321" w:hanging="321"/>
            </w:pPr>
            <w:r>
              <w:t>Offset – Health Funding Envelope</w:t>
            </w:r>
          </w:p>
        </w:tc>
        <w:tc>
          <w:tcPr>
            <w:tcW w:w="1179" w:type="dxa"/>
          </w:tcPr>
          <w:p w14:paraId="73A3918C" w14:textId="77777777" w:rsidR="00CF0E2D" w:rsidRPr="00424DA4" w:rsidRDefault="00CF0E2D" w:rsidP="00A60D4B">
            <w:pPr>
              <w:pStyle w:val="InitFigR"/>
            </w:pPr>
            <w:r>
              <w:t>-2,468</w:t>
            </w:r>
          </w:p>
        </w:tc>
        <w:tc>
          <w:tcPr>
            <w:tcW w:w="1041" w:type="dxa"/>
          </w:tcPr>
          <w:p w14:paraId="65139F38" w14:textId="77777777" w:rsidR="00CF0E2D" w:rsidRPr="00424DA4" w:rsidRDefault="00CF0E2D" w:rsidP="00A60D4B">
            <w:pPr>
              <w:pStyle w:val="InitFigR"/>
            </w:pPr>
            <w:r>
              <w:t>-</w:t>
            </w:r>
            <w:r w:rsidRPr="002562A3">
              <w:t>3,589</w:t>
            </w:r>
          </w:p>
        </w:tc>
        <w:tc>
          <w:tcPr>
            <w:tcW w:w="1029" w:type="dxa"/>
          </w:tcPr>
          <w:p w14:paraId="3CD00ED2" w14:textId="77777777" w:rsidR="00CF0E2D" w:rsidRPr="00424DA4" w:rsidRDefault="00CF0E2D" w:rsidP="00A60D4B">
            <w:pPr>
              <w:pStyle w:val="InitFigR"/>
            </w:pPr>
            <w:r>
              <w:t>-</w:t>
            </w:r>
            <w:r w:rsidRPr="002562A3">
              <w:t>4,579</w:t>
            </w:r>
          </w:p>
        </w:tc>
        <w:tc>
          <w:tcPr>
            <w:tcW w:w="1029" w:type="dxa"/>
          </w:tcPr>
          <w:p w14:paraId="14D56236" w14:textId="77777777" w:rsidR="00CF0E2D" w:rsidRPr="00424DA4" w:rsidRDefault="00CF0E2D" w:rsidP="00A60D4B">
            <w:pPr>
              <w:pStyle w:val="InitFigR"/>
            </w:pPr>
            <w:r>
              <w:t>-</w:t>
            </w:r>
            <w:r w:rsidRPr="002562A3">
              <w:t>4,646</w:t>
            </w:r>
          </w:p>
        </w:tc>
        <w:tc>
          <w:tcPr>
            <w:tcW w:w="1029" w:type="dxa"/>
          </w:tcPr>
          <w:p w14:paraId="592575E0" w14:textId="77777777" w:rsidR="00CF0E2D" w:rsidRPr="00424DA4" w:rsidRDefault="00CF0E2D" w:rsidP="00A60D4B">
            <w:pPr>
              <w:pStyle w:val="InitFigBR"/>
            </w:pPr>
            <w:r>
              <w:t>-</w:t>
            </w:r>
            <w:r w:rsidRPr="002562A3">
              <w:t>1</w:t>
            </w:r>
            <w:r>
              <w:t>5,282</w:t>
            </w:r>
          </w:p>
        </w:tc>
      </w:tr>
      <w:tr w:rsidR="00CF0E2D" w:rsidRPr="00DA5279" w14:paraId="6A7CC23B" w14:textId="77777777" w:rsidTr="00A60D4B">
        <w:trPr>
          <w:cantSplit/>
          <w:trHeight w:val="107"/>
          <w:jc w:val="center"/>
        </w:trPr>
        <w:tc>
          <w:tcPr>
            <w:tcW w:w="3652" w:type="dxa"/>
            <w:tcBorders>
              <w:top w:val="single" w:sz="4" w:space="0" w:color="auto"/>
              <w:bottom w:val="single" w:sz="4" w:space="0" w:color="auto"/>
            </w:tcBorders>
          </w:tcPr>
          <w:p w14:paraId="52584C3A" w14:textId="02BD755D" w:rsidR="00CF0E2D" w:rsidRPr="00DA5279"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2071227E" w14:textId="77777777" w:rsidR="00CF0E2D" w:rsidRDefault="00CF0E2D" w:rsidP="00A60D4B">
            <w:pPr>
              <w:pStyle w:val="InitFigRBold"/>
            </w:pPr>
            <w:r>
              <w:t>0</w:t>
            </w:r>
          </w:p>
        </w:tc>
        <w:tc>
          <w:tcPr>
            <w:tcW w:w="1041" w:type="dxa"/>
            <w:tcBorders>
              <w:top w:val="single" w:sz="4" w:space="0" w:color="auto"/>
              <w:bottom w:val="single" w:sz="4" w:space="0" w:color="auto"/>
            </w:tcBorders>
          </w:tcPr>
          <w:p w14:paraId="2F44F1F3" w14:textId="77777777" w:rsidR="00CF0E2D" w:rsidRDefault="00CF0E2D" w:rsidP="00A60D4B">
            <w:pPr>
              <w:pStyle w:val="InitFigRBold"/>
            </w:pPr>
            <w:r>
              <w:t>0</w:t>
            </w:r>
          </w:p>
        </w:tc>
        <w:tc>
          <w:tcPr>
            <w:tcW w:w="1029" w:type="dxa"/>
            <w:tcBorders>
              <w:top w:val="single" w:sz="4" w:space="0" w:color="auto"/>
              <w:bottom w:val="single" w:sz="4" w:space="0" w:color="auto"/>
            </w:tcBorders>
          </w:tcPr>
          <w:p w14:paraId="0302B745" w14:textId="77777777" w:rsidR="00CF0E2D" w:rsidRDefault="00CF0E2D" w:rsidP="00A60D4B">
            <w:pPr>
              <w:pStyle w:val="InitFigRBold"/>
            </w:pPr>
            <w:r>
              <w:t>0</w:t>
            </w:r>
          </w:p>
        </w:tc>
        <w:tc>
          <w:tcPr>
            <w:tcW w:w="1029" w:type="dxa"/>
            <w:tcBorders>
              <w:top w:val="single" w:sz="4" w:space="0" w:color="auto"/>
              <w:bottom w:val="single" w:sz="4" w:space="0" w:color="auto"/>
            </w:tcBorders>
          </w:tcPr>
          <w:p w14:paraId="1A3D8A31" w14:textId="77777777" w:rsidR="00CF0E2D" w:rsidRDefault="00CF0E2D" w:rsidP="00A60D4B">
            <w:pPr>
              <w:pStyle w:val="InitFigRBold"/>
            </w:pPr>
            <w:r>
              <w:t>0</w:t>
            </w:r>
          </w:p>
        </w:tc>
        <w:tc>
          <w:tcPr>
            <w:tcW w:w="1029" w:type="dxa"/>
            <w:tcBorders>
              <w:top w:val="single" w:sz="4" w:space="0" w:color="auto"/>
              <w:bottom w:val="single" w:sz="4" w:space="0" w:color="auto"/>
            </w:tcBorders>
          </w:tcPr>
          <w:p w14:paraId="45EB2F27" w14:textId="77777777" w:rsidR="00CF0E2D" w:rsidRPr="00DA5279" w:rsidRDefault="00CF0E2D" w:rsidP="00A60D4B">
            <w:pPr>
              <w:pStyle w:val="InitFigRBold"/>
              <w:rPr>
                <w:bCs/>
              </w:rPr>
            </w:pPr>
            <w:r w:rsidRPr="00DA5279">
              <w:rPr>
                <w:bCs/>
              </w:rPr>
              <w:t>0</w:t>
            </w:r>
          </w:p>
        </w:tc>
      </w:tr>
    </w:tbl>
    <w:p w14:paraId="4F34542F" w14:textId="77777777" w:rsidR="00CF0E2D" w:rsidRDefault="00CF0E2D" w:rsidP="00A60D4B">
      <w:pPr>
        <w:pStyle w:val="Bbodytext"/>
      </w:pPr>
      <w:r>
        <w:t>The Government will deliver</w:t>
      </w:r>
      <w:r w:rsidRPr="00F04DAD">
        <w:t xml:space="preserve"> two additional </w:t>
      </w:r>
      <w:r>
        <w:t>i</w:t>
      </w:r>
      <w:r w:rsidRPr="00F04DAD">
        <w:t xml:space="preserve">ntensive </w:t>
      </w:r>
      <w:r>
        <w:t>c</w:t>
      </w:r>
      <w:r w:rsidRPr="00F04DAD">
        <w:t xml:space="preserve">are </w:t>
      </w:r>
      <w:r>
        <w:t>c</w:t>
      </w:r>
      <w:r w:rsidRPr="00F04DAD">
        <w:t xml:space="preserve">ots </w:t>
      </w:r>
      <w:r>
        <w:t>to meet increased demand</w:t>
      </w:r>
      <w:r w:rsidRPr="00F04DAD">
        <w:t xml:space="preserve"> in the Neonatal Intensive Care Unit of the Centenary Hospital for Women and Children</w:t>
      </w:r>
      <w:r>
        <w:t>.</w:t>
      </w:r>
    </w:p>
    <w:p w14:paraId="258E677E" w14:textId="77777777" w:rsidR="00CF0E2D" w:rsidRDefault="00CF0E2D" w:rsidP="00A60D4B">
      <w:pPr>
        <w:pStyle w:val="Bbodytext"/>
      </w:pPr>
      <w:r>
        <w:t>This initiative contributes to the wellbeing domain of Health.</w:t>
      </w:r>
    </w:p>
    <w:p w14:paraId="63250D23" w14:textId="77777777" w:rsidR="00CF0E2D" w:rsidRDefault="00CF0E2D" w:rsidP="00A60D4B">
      <w:pPr>
        <w:pStyle w:val="Bbodytext"/>
      </w:pPr>
    </w:p>
    <w:p w14:paraId="1F75D2AE" w14:textId="77777777" w:rsidR="00CF0E2D" w:rsidRPr="00C15FE5" w:rsidRDefault="00CF0E2D" w:rsidP="00A60D4B">
      <w:pPr>
        <w:pStyle w:val="Heading4"/>
      </w:pPr>
      <w:r>
        <w:t xml:space="preserve">Expanding critical public hospital services – Delivering a better Canberra Hospital Emergency Department </w:t>
      </w:r>
      <w:r>
        <w:rPr>
          <w:b w:val="0"/>
          <w:noProof/>
          <w:color w:val="999789"/>
          <w:sz w:val="32"/>
          <w:szCs w:val="24"/>
        </w:rPr>
        <w:drawing>
          <wp:anchor distT="0" distB="0" distL="114300" distR="114300" simplePos="0" relativeHeight="251873280" behindDoc="0" locked="1" layoutInCell="1" allowOverlap="1" wp14:anchorId="2F385FB7" wp14:editId="20BCC20E">
            <wp:simplePos x="0" y="0"/>
            <wp:positionH relativeFrom="margin">
              <wp:align>right</wp:align>
            </wp:positionH>
            <wp:positionV relativeFrom="paragraph">
              <wp:posOffset>77470</wp:posOffset>
            </wp:positionV>
            <wp:extent cx="993140" cy="503555"/>
            <wp:effectExtent l="0" t="0" r="0" b="0"/>
            <wp:wrapSquare wrapText="bothSides"/>
            <wp:docPr id="169" name="Picture 169"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077205EB" w14:textId="77777777" w:rsidTr="00A60D4B">
        <w:trPr>
          <w:cantSplit/>
          <w:jc w:val="center"/>
        </w:trPr>
        <w:tc>
          <w:tcPr>
            <w:tcW w:w="3652" w:type="dxa"/>
            <w:tcBorders>
              <w:top w:val="single" w:sz="4" w:space="0" w:color="auto"/>
              <w:bottom w:val="single" w:sz="4" w:space="0" w:color="auto"/>
            </w:tcBorders>
          </w:tcPr>
          <w:p w14:paraId="06202452"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1A1E1FBB" w14:textId="77777777" w:rsidR="00CF0E2D" w:rsidRPr="00884AAE" w:rsidRDefault="00CF0E2D" w:rsidP="00A60D4B">
            <w:pPr>
              <w:pStyle w:val="InitFigR"/>
              <w:rPr>
                <w:b/>
                <w:bCs/>
              </w:rPr>
            </w:pPr>
            <w:r w:rsidRPr="00884AAE">
              <w:rPr>
                <w:b/>
                <w:bCs/>
              </w:rPr>
              <w:t>2021-22</w:t>
            </w:r>
          </w:p>
          <w:p w14:paraId="10B3F66B" w14:textId="77777777" w:rsidR="00CF0E2D" w:rsidRPr="00884AAE" w:rsidRDefault="00CF0E2D" w:rsidP="00A60D4B">
            <w:pPr>
              <w:pStyle w:val="InitFigR"/>
              <w:rPr>
                <w:b/>
                <w:bCs/>
              </w:rPr>
            </w:pPr>
            <w:r w:rsidRPr="00884AAE">
              <w:rPr>
                <w:b/>
                <w:bCs/>
              </w:rPr>
              <w:t>$’000</w:t>
            </w:r>
          </w:p>
        </w:tc>
        <w:tc>
          <w:tcPr>
            <w:tcW w:w="1041" w:type="dxa"/>
            <w:tcBorders>
              <w:top w:val="single" w:sz="4" w:space="0" w:color="auto"/>
              <w:bottom w:val="single" w:sz="4" w:space="0" w:color="auto"/>
            </w:tcBorders>
          </w:tcPr>
          <w:p w14:paraId="63012429" w14:textId="77777777" w:rsidR="00CF0E2D" w:rsidRPr="00884AAE" w:rsidRDefault="00CF0E2D" w:rsidP="00A60D4B">
            <w:pPr>
              <w:pStyle w:val="InitFigR"/>
              <w:rPr>
                <w:b/>
                <w:bCs/>
              </w:rPr>
            </w:pPr>
            <w:r w:rsidRPr="00884AAE">
              <w:rPr>
                <w:b/>
                <w:bCs/>
              </w:rPr>
              <w:t>2022-23</w:t>
            </w:r>
          </w:p>
          <w:p w14:paraId="3DD52910" w14:textId="77777777" w:rsidR="00CF0E2D" w:rsidRPr="00884AAE" w:rsidRDefault="00CF0E2D" w:rsidP="00A60D4B">
            <w:pPr>
              <w:pStyle w:val="InitFigR"/>
              <w:rPr>
                <w:b/>
                <w:bCs/>
              </w:rPr>
            </w:pPr>
            <w:r w:rsidRPr="00884AAE">
              <w:rPr>
                <w:b/>
                <w:bCs/>
              </w:rPr>
              <w:t>$’000</w:t>
            </w:r>
          </w:p>
        </w:tc>
        <w:tc>
          <w:tcPr>
            <w:tcW w:w="1029" w:type="dxa"/>
            <w:tcBorders>
              <w:top w:val="single" w:sz="4" w:space="0" w:color="auto"/>
              <w:bottom w:val="single" w:sz="4" w:space="0" w:color="auto"/>
            </w:tcBorders>
          </w:tcPr>
          <w:p w14:paraId="3595216E" w14:textId="77777777" w:rsidR="00CF0E2D" w:rsidRPr="00884AAE" w:rsidRDefault="00CF0E2D" w:rsidP="00A60D4B">
            <w:pPr>
              <w:pStyle w:val="InitFigR"/>
              <w:rPr>
                <w:b/>
                <w:bCs/>
              </w:rPr>
            </w:pPr>
            <w:r w:rsidRPr="00884AAE">
              <w:rPr>
                <w:b/>
                <w:bCs/>
              </w:rPr>
              <w:t>2023-24</w:t>
            </w:r>
          </w:p>
          <w:p w14:paraId="353051E7" w14:textId="77777777" w:rsidR="00CF0E2D" w:rsidRPr="00884AAE" w:rsidRDefault="00CF0E2D" w:rsidP="00A60D4B">
            <w:pPr>
              <w:pStyle w:val="InitFigR"/>
              <w:rPr>
                <w:b/>
                <w:bCs/>
              </w:rPr>
            </w:pPr>
            <w:r w:rsidRPr="00884AAE">
              <w:rPr>
                <w:b/>
                <w:bCs/>
              </w:rPr>
              <w:t>$’000</w:t>
            </w:r>
          </w:p>
        </w:tc>
        <w:tc>
          <w:tcPr>
            <w:tcW w:w="1029" w:type="dxa"/>
            <w:tcBorders>
              <w:top w:val="single" w:sz="4" w:space="0" w:color="auto"/>
              <w:bottom w:val="single" w:sz="4" w:space="0" w:color="auto"/>
            </w:tcBorders>
          </w:tcPr>
          <w:p w14:paraId="19C2D5B3" w14:textId="77777777" w:rsidR="00CF0E2D" w:rsidRPr="00884AAE" w:rsidRDefault="00CF0E2D" w:rsidP="00A60D4B">
            <w:pPr>
              <w:pStyle w:val="InitFigR"/>
              <w:rPr>
                <w:b/>
                <w:bCs/>
              </w:rPr>
            </w:pPr>
            <w:r w:rsidRPr="00884AAE">
              <w:rPr>
                <w:b/>
                <w:bCs/>
              </w:rPr>
              <w:t>2024-25</w:t>
            </w:r>
          </w:p>
          <w:p w14:paraId="628CF224" w14:textId="77777777" w:rsidR="00CF0E2D" w:rsidRPr="00884AAE" w:rsidRDefault="00CF0E2D" w:rsidP="00A60D4B">
            <w:pPr>
              <w:pStyle w:val="InitFigR"/>
              <w:rPr>
                <w:b/>
                <w:bCs/>
              </w:rPr>
            </w:pPr>
            <w:r w:rsidRPr="00884AAE">
              <w:rPr>
                <w:b/>
                <w:bCs/>
              </w:rPr>
              <w:t>$’000</w:t>
            </w:r>
          </w:p>
        </w:tc>
        <w:tc>
          <w:tcPr>
            <w:tcW w:w="1029" w:type="dxa"/>
            <w:tcBorders>
              <w:top w:val="single" w:sz="4" w:space="0" w:color="auto"/>
              <w:bottom w:val="single" w:sz="4" w:space="0" w:color="auto"/>
            </w:tcBorders>
          </w:tcPr>
          <w:p w14:paraId="54323F2C" w14:textId="77777777" w:rsidR="00CF0E2D" w:rsidRPr="004E341E" w:rsidRDefault="00CF0E2D" w:rsidP="00A60D4B">
            <w:pPr>
              <w:pStyle w:val="InitFigRBold"/>
            </w:pPr>
            <w:r w:rsidRPr="004E341E">
              <w:t>Total</w:t>
            </w:r>
          </w:p>
          <w:p w14:paraId="26AE4AA3" w14:textId="77777777" w:rsidR="00CF0E2D" w:rsidRPr="004E341E" w:rsidRDefault="00CF0E2D" w:rsidP="00A60D4B">
            <w:pPr>
              <w:pStyle w:val="InitFigBR"/>
            </w:pPr>
            <w:r w:rsidRPr="004E341E">
              <w:t>$’000</w:t>
            </w:r>
          </w:p>
        </w:tc>
      </w:tr>
      <w:tr w:rsidR="00CF0E2D" w:rsidRPr="00750793" w14:paraId="7243F07D" w14:textId="77777777" w:rsidTr="00A60D4B">
        <w:trPr>
          <w:cantSplit/>
          <w:jc w:val="center"/>
        </w:trPr>
        <w:tc>
          <w:tcPr>
            <w:tcW w:w="3652" w:type="dxa"/>
          </w:tcPr>
          <w:p w14:paraId="3C59AC6A" w14:textId="77777777" w:rsidR="00CF0E2D" w:rsidRPr="00F13FAB" w:rsidRDefault="00CF0E2D" w:rsidP="00A60D4B">
            <w:pPr>
              <w:pStyle w:val="InitTextL"/>
              <w:ind w:left="321" w:hanging="321"/>
            </w:pPr>
            <w:r w:rsidRPr="00882BE2">
              <w:t>Expenses</w:t>
            </w:r>
          </w:p>
        </w:tc>
        <w:tc>
          <w:tcPr>
            <w:tcW w:w="1179" w:type="dxa"/>
          </w:tcPr>
          <w:p w14:paraId="57382025" w14:textId="77777777" w:rsidR="00CF0E2D" w:rsidRPr="00424DA4" w:rsidRDefault="00CF0E2D" w:rsidP="00A60D4B">
            <w:pPr>
              <w:pStyle w:val="InitFigR"/>
            </w:pPr>
            <w:r w:rsidRPr="009F2EE5">
              <w:t>5,180</w:t>
            </w:r>
          </w:p>
        </w:tc>
        <w:tc>
          <w:tcPr>
            <w:tcW w:w="1041" w:type="dxa"/>
          </w:tcPr>
          <w:p w14:paraId="1F3609C7" w14:textId="77777777" w:rsidR="00CF0E2D" w:rsidRPr="00424DA4" w:rsidRDefault="00CF0E2D" w:rsidP="00A60D4B">
            <w:pPr>
              <w:pStyle w:val="InitFigR"/>
            </w:pPr>
            <w:r w:rsidRPr="009F2EE5">
              <w:t>5,833</w:t>
            </w:r>
          </w:p>
        </w:tc>
        <w:tc>
          <w:tcPr>
            <w:tcW w:w="1029" w:type="dxa"/>
          </w:tcPr>
          <w:p w14:paraId="7721E511" w14:textId="77777777" w:rsidR="00CF0E2D" w:rsidRPr="00424DA4" w:rsidRDefault="00CF0E2D" w:rsidP="00A60D4B">
            <w:pPr>
              <w:pStyle w:val="InitFigR"/>
            </w:pPr>
            <w:r w:rsidRPr="009F2EE5">
              <w:t>5,899</w:t>
            </w:r>
          </w:p>
        </w:tc>
        <w:tc>
          <w:tcPr>
            <w:tcW w:w="1029" w:type="dxa"/>
          </w:tcPr>
          <w:p w14:paraId="6A5DABD8" w14:textId="77777777" w:rsidR="00CF0E2D" w:rsidRPr="00424DA4" w:rsidRDefault="00CF0E2D" w:rsidP="00A60D4B">
            <w:pPr>
              <w:pStyle w:val="InitFigR"/>
            </w:pPr>
            <w:r w:rsidRPr="009F2EE5">
              <w:t>5,967</w:t>
            </w:r>
          </w:p>
        </w:tc>
        <w:tc>
          <w:tcPr>
            <w:tcW w:w="1029" w:type="dxa"/>
          </w:tcPr>
          <w:p w14:paraId="26966240" w14:textId="77777777" w:rsidR="00CF0E2D" w:rsidRPr="00424DA4" w:rsidRDefault="00CF0E2D" w:rsidP="00A60D4B">
            <w:pPr>
              <w:pStyle w:val="InitFigBR"/>
            </w:pPr>
            <w:r w:rsidRPr="009F2EE5">
              <w:t>22,879</w:t>
            </w:r>
          </w:p>
        </w:tc>
      </w:tr>
      <w:tr w:rsidR="00CF0E2D" w:rsidRPr="00750793" w14:paraId="251AA680" w14:textId="77777777" w:rsidTr="00A60D4B">
        <w:trPr>
          <w:cantSplit/>
          <w:jc w:val="center"/>
        </w:trPr>
        <w:tc>
          <w:tcPr>
            <w:tcW w:w="3652" w:type="dxa"/>
          </w:tcPr>
          <w:p w14:paraId="336DD0F0" w14:textId="77777777" w:rsidR="00CF0E2D" w:rsidRDefault="00CF0E2D" w:rsidP="00A60D4B">
            <w:pPr>
              <w:pStyle w:val="InitTextL"/>
              <w:ind w:left="321" w:hanging="321"/>
            </w:pPr>
            <w:r>
              <w:t>Offset – Health Funding Envelope</w:t>
            </w:r>
          </w:p>
        </w:tc>
        <w:tc>
          <w:tcPr>
            <w:tcW w:w="1179" w:type="dxa"/>
          </w:tcPr>
          <w:p w14:paraId="16F565D3" w14:textId="77777777" w:rsidR="00CF0E2D" w:rsidRPr="00424DA4" w:rsidRDefault="00CF0E2D" w:rsidP="00A60D4B">
            <w:pPr>
              <w:pStyle w:val="InitFigR"/>
            </w:pPr>
            <w:r>
              <w:t>-</w:t>
            </w:r>
            <w:r w:rsidRPr="009F2EE5">
              <w:t>5,180</w:t>
            </w:r>
          </w:p>
        </w:tc>
        <w:tc>
          <w:tcPr>
            <w:tcW w:w="1041" w:type="dxa"/>
          </w:tcPr>
          <w:p w14:paraId="5F5012F0" w14:textId="77777777" w:rsidR="00CF0E2D" w:rsidRPr="00424DA4" w:rsidRDefault="00CF0E2D" w:rsidP="00A60D4B">
            <w:pPr>
              <w:pStyle w:val="InitFigR"/>
            </w:pPr>
            <w:r>
              <w:t>-</w:t>
            </w:r>
            <w:r w:rsidRPr="009F2EE5">
              <w:t>5,833</w:t>
            </w:r>
          </w:p>
        </w:tc>
        <w:tc>
          <w:tcPr>
            <w:tcW w:w="1029" w:type="dxa"/>
          </w:tcPr>
          <w:p w14:paraId="1DF35F60" w14:textId="77777777" w:rsidR="00CF0E2D" w:rsidRPr="00424DA4" w:rsidRDefault="00CF0E2D" w:rsidP="00A60D4B">
            <w:pPr>
              <w:pStyle w:val="InitFigR"/>
            </w:pPr>
            <w:r>
              <w:t>-</w:t>
            </w:r>
            <w:r w:rsidRPr="009F2EE5">
              <w:t>5,899</w:t>
            </w:r>
          </w:p>
        </w:tc>
        <w:tc>
          <w:tcPr>
            <w:tcW w:w="1029" w:type="dxa"/>
          </w:tcPr>
          <w:p w14:paraId="1C9EA5B7" w14:textId="77777777" w:rsidR="00CF0E2D" w:rsidRPr="00424DA4" w:rsidRDefault="00CF0E2D" w:rsidP="00A60D4B">
            <w:pPr>
              <w:pStyle w:val="InitFigR"/>
            </w:pPr>
            <w:r>
              <w:t>-</w:t>
            </w:r>
            <w:r w:rsidRPr="009F2EE5">
              <w:t>5,967</w:t>
            </w:r>
          </w:p>
        </w:tc>
        <w:tc>
          <w:tcPr>
            <w:tcW w:w="1029" w:type="dxa"/>
          </w:tcPr>
          <w:p w14:paraId="0D482E08" w14:textId="77777777" w:rsidR="00CF0E2D" w:rsidRPr="00424DA4" w:rsidRDefault="00CF0E2D" w:rsidP="00A60D4B">
            <w:pPr>
              <w:pStyle w:val="InitFigBR"/>
            </w:pPr>
            <w:r>
              <w:t>-</w:t>
            </w:r>
            <w:r w:rsidRPr="009F2EE5">
              <w:t>22,879</w:t>
            </w:r>
          </w:p>
        </w:tc>
      </w:tr>
      <w:tr w:rsidR="00CF0E2D" w:rsidRPr="00DA5279" w14:paraId="13A57011" w14:textId="77777777" w:rsidTr="00A60D4B">
        <w:trPr>
          <w:cantSplit/>
          <w:trHeight w:val="107"/>
          <w:jc w:val="center"/>
        </w:trPr>
        <w:tc>
          <w:tcPr>
            <w:tcW w:w="3652" w:type="dxa"/>
            <w:tcBorders>
              <w:top w:val="single" w:sz="4" w:space="0" w:color="auto"/>
              <w:bottom w:val="single" w:sz="4" w:space="0" w:color="auto"/>
            </w:tcBorders>
          </w:tcPr>
          <w:p w14:paraId="0A723BD1" w14:textId="3B70B4FC" w:rsidR="00CF0E2D" w:rsidRPr="00DA5279"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5B6D870F" w14:textId="77777777" w:rsidR="00CF0E2D" w:rsidRDefault="00CF0E2D" w:rsidP="00A60D4B">
            <w:pPr>
              <w:pStyle w:val="InitFigRBold"/>
            </w:pPr>
            <w:r>
              <w:t>0</w:t>
            </w:r>
          </w:p>
        </w:tc>
        <w:tc>
          <w:tcPr>
            <w:tcW w:w="1041" w:type="dxa"/>
            <w:tcBorders>
              <w:top w:val="single" w:sz="4" w:space="0" w:color="auto"/>
              <w:bottom w:val="single" w:sz="4" w:space="0" w:color="auto"/>
            </w:tcBorders>
          </w:tcPr>
          <w:p w14:paraId="13E324E4" w14:textId="77777777" w:rsidR="00CF0E2D" w:rsidRDefault="00CF0E2D" w:rsidP="00A60D4B">
            <w:pPr>
              <w:pStyle w:val="InitFigRBold"/>
            </w:pPr>
            <w:r>
              <w:t>0</w:t>
            </w:r>
          </w:p>
        </w:tc>
        <w:tc>
          <w:tcPr>
            <w:tcW w:w="1029" w:type="dxa"/>
            <w:tcBorders>
              <w:top w:val="single" w:sz="4" w:space="0" w:color="auto"/>
              <w:bottom w:val="single" w:sz="4" w:space="0" w:color="auto"/>
            </w:tcBorders>
          </w:tcPr>
          <w:p w14:paraId="0C0AFB86" w14:textId="77777777" w:rsidR="00CF0E2D" w:rsidRDefault="00CF0E2D" w:rsidP="00A60D4B">
            <w:pPr>
              <w:pStyle w:val="InitFigRBold"/>
            </w:pPr>
            <w:r>
              <w:t>0</w:t>
            </w:r>
          </w:p>
        </w:tc>
        <w:tc>
          <w:tcPr>
            <w:tcW w:w="1029" w:type="dxa"/>
            <w:tcBorders>
              <w:top w:val="single" w:sz="4" w:space="0" w:color="auto"/>
              <w:bottom w:val="single" w:sz="4" w:space="0" w:color="auto"/>
            </w:tcBorders>
          </w:tcPr>
          <w:p w14:paraId="1C5FFC1A" w14:textId="77777777" w:rsidR="00CF0E2D" w:rsidRDefault="00CF0E2D" w:rsidP="00A60D4B">
            <w:pPr>
              <w:pStyle w:val="InitFigRBold"/>
            </w:pPr>
            <w:r>
              <w:t>0</w:t>
            </w:r>
          </w:p>
        </w:tc>
        <w:tc>
          <w:tcPr>
            <w:tcW w:w="1029" w:type="dxa"/>
            <w:tcBorders>
              <w:top w:val="single" w:sz="4" w:space="0" w:color="auto"/>
              <w:bottom w:val="single" w:sz="4" w:space="0" w:color="auto"/>
            </w:tcBorders>
          </w:tcPr>
          <w:p w14:paraId="295742AB" w14:textId="77777777" w:rsidR="00CF0E2D" w:rsidRPr="00DA5279" w:rsidRDefault="00CF0E2D" w:rsidP="00A60D4B">
            <w:pPr>
              <w:pStyle w:val="InitFigRBold"/>
              <w:rPr>
                <w:bCs/>
              </w:rPr>
            </w:pPr>
            <w:r w:rsidRPr="00DA5279">
              <w:rPr>
                <w:bCs/>
              </w:rPr>
              <w:t>0</w:t>
            </w:r>
          </w:p>
        </w:tc>
      </w:tr>
    </w:tbl>
    <w:p w14:paraId="4CC8FCC3" w14:textId="77777777" w:rsidR="00CF0E2D" w:rsidRDefault="00CF0E2D" w:rsidP="00A60D4B">
      <w:pPr>
        <w:pStyle w:val="Bbodytext"/>
      </w:pPr>
      <w:r>
        <w:t xml:space="preserve">The Government will expand the capacity of the Canberra Hospital Emergency Department to better respond to service demand pressures and support contemporary models of care. The funding will enable the expansion of the existing Emergency Medical Unit, increase the medical and nursing workforce, including the introduction of a Medical Navigator, and establish an Acute Medical Unit. </w:t>
      </w:r>
    </w:p>
    <w:p w14:paraId="5595B4B5" w14:textId="77777777" w:rsidR="00CF0E2D" w:rsidRDefault="00CF0E2D" w:rsidP="00A60D4B">
      <w:pPr>
        <w:pStyle w:val="Bbodytext"/>
      </w:pPr>
      <w:r>
        <w:t>This initiative continues support for improved access to care and reduced waiting times across the Territory.</w:t>
      </w:r>
    </w:p>
    <w:p w14:paraId="6B4264DC" w14:textId="77777777" w:rsidR="00CF0E2D" w:rsidRDefault="00CF0E2D" w:rsidP="00A60D4B">
      <w:pPr>
        <w:pStyle w:val="Bbodytext"/>
      </w:pPr>
      <w:r>
        <w:t>This initiative contributes to the wellbeing domain of Health.</w:t>
      </w:r>
    </w:p>
    <w:p w14:paraId="6D243558" w14:textId="77777777" w:rsidR="00CF0E2D" w:rsidRPr="0092592C" w:rsidRDefault="00CF0E2D" w:rsidP="00A60D4B">
      <w:pPr>
        <w:pStyle w:val="Bbodytext"/>
      </w:pPr>
    </w:p>
    <w:p w14:paraId="211F60B0" w14:textId="77777777" w:rsidR="00CF0E2D" w:rsidRPr="00C15FE5" w:rsidRDefault="00CF0E2D" w:rsidP="00A60D4B">
      <w:pPr>
        <w:pStyle w:val="Heading4"/>
      </w:pPr>
      <w:r>
        <w:lastRenderedPageBreak/>
        <w:t>Expanding critical public hospital services – Delivering more elective surgeries</w:t>
      </w:r>
      <w:r>
        <w:rPr>
          <w:b w:val="0"/>
          <w:noProof/>
          <w:color w:val="999789"/>
          <w:sz w:val="32"/>
          <w:szCs w:val="24"/>
        </w:rPr>
        <w:drawing>
          <wp:anchor distT="0" distB="0" distL="114300" distR="114300" simplePos="0" relativeHeight="251874304" behindDoc="0" locked="1" layoutInCell="1" allowOverlap="1" wp14:anchorId="046D4D02" wp14:editId="703008DC">
            <wp:simplePos x="0" y="0"/>
            <wp:positionH relativeFrom="margin">
              <wp:align>right</wp:align>
            </wp:positionH>
            <wp:positionV relativeFrom="paragraph">
              <wp:posOffset>8255</wp:posOffset>
            </wp:positionV>
            <wp:extent cx="993140" cy="503555"/>
            <wp:effectExtent l="0" t="0" r="0" b="0"/>
            <wp:wrapSquare wrapText="bothSides"/>
            <wp:docPr id="77" name="Picture 77"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r>
        <w:t xml:space="preserve"> </w:t>
      </w:r>
      <w:r w:rsidRPr="00884AAE">
        <w:t xml:space="preserve"> </w:t>
      </w:r>
    </w:p>
    <w:tbl>
      <w:tblPr>
        <w:tblW w:w="8959" w:type="dxa"/>
        <w:jc w:val="center"/>
        <w:tblLayout w:type="fixed"/>
        <w:tblLook w:val="0000" w:firstRow="0" w:lastRow="0" w:firstColumn="0" w:lastColumn="0" w:noHBand="0" w:noVBand="0"/>
      </w:tblPr>
      <w:tblGrid>
        <w:gridCol w:w="3652"/>
        <w:gridCol w:w="12"/>
        <w:gridCol w:w="1167"/>
        <w:gridCol w:w="16"/>
        <w:gridCol w:w="1025"/>
        <w:gridCol w:w="19"/>
        <w:gridCol w:w="1010"/>
        <w:gridCol w:w="22"/>
        <w:gridCol w:w="1007"/>
        <w:gridCol w:w="25"/>
        <w:gridCol w:w="1004"/>
      </w:tblGrid>
      <w:tr w:rsidR="00CF0E2D" w:rsidRPr="00750793" w14:paraId="20B5AE80" w14:textId="77777777" w:rsidTr="00A60D4B">
        <w:trPr>
          <w:cantSplit/>
          <w:jc w:val="center"/>
        </w:trPr>
        <w:tc>
          <w:tcPr>
            <w:tcW w:w="3652" w:type="dxa"/>
            <w:tcBorders>
              <w:top w:val="single" w:sz="4" w:space="0" w:color="auto"/>
              <w:bottom w:val="single" w:sz="4" w:space="0" w:color="auto"/>
            </w:tcBorders>
          </w:tcPr>
          <w:p w14:paraId="4BCD132F" w14:textId="77777777" w:rsidR="00CF0E2D" w:rsidRPr="004E341E" w:rsidRDefault="00CF0E2D" w:rsidP="00A60D4B">
            <w:pPr>
              <w:pStyle w:val="EmptyCell0"/>
              <w:keepNext/>
              <w:keepLines/>
            </w:pPr>
            <w:r>
              <w:t>Empty Cell</w:t>
            </w:r>
          </w:p>
        </w:tc>
        <w:tc>
          <w:tcPr>
            <w:tcW w:w="1179" w:type="dxa"/>
            <w:gridSpan w:val="2"/>
            <w:tcBorders>
              <w:top w:val="single" w:sz="4" w:space="0" w:color="auto"/>
              <w:bottom w:val="single" w:sz="4" w:space="0" w:color="auto"/>
            </w:tcBorders>
          </w:tcPr>
          <w:p w14:paraId="1565C459" w14:textId="77777777" w:rsidR="00CF0E2D" w:rsidRPr="00884AAE" w:rsidRDefault="00CF0E2D" w:rsidP="00A60D4B">
            <w:pPr>
              <w:pStyle w:val="InitFigR"/>
              <w:keepNext/>
              <w:keepLines/>
              <w:rPr>
                <w:b/>
                <w:bCs/>
              </w:rPr>
            </w:pPr>
            <w:r w:rsidRPr="00884AAE">
              <w:rPr>
                <w:b/>
                <w:bCs/>
              </w:rPr>
              <w:t>2021-22</w:t>
            </w:r>
          </w:p>
          <w:p w14:paraId="7C2A4EBD" w14:textId="77777777" w:rsidR="00CF0E2D" w:rsidRPr="00884AAE" w:rsidRDefault="00CF0E2D" w:rsidP="00A60D4B">
            <w:pPr>
              <w:pStyle w:val="InitFigR"/>
              <w:keepNext/>
              <w:keepLines/>
              <w:rPr>
                <w:b/>
                <w:bCs/>
              </w:rPr>
            </w:pPr>
            <w:r w:rsidRPr="00884AAE">
              <w:rPr>
                <w:b/>
                <w:bCs/>
              </w:rPr>
              <w:t>$’000</w:t>
            </w:r>
          </w:p>
        </w:tc>
        <w:tc>
          <w:tcPr>
            <w:tcW w:w="1041" w:type="dxa"/>
            <w:gridSpan w:val="2"/>
            <w:tcBorders>
              <w:top w:val="single" w:sz="4" w:space="0" w:color="auto"/>
              <w:bottom w:val="single" w:sz="4" w:space="0" w:color="auto"/>
            </w:tcBorders>
          </w:tcPr>
          <w:p w14:paraId="7E1BA2A4" w14:textId="77777777" w:rsidR="00CF0E2D" w:rsidRPr="00884AAE" w:rsidRDefault="00CF0E2D" w:rsidP="00A60D4B">
            <w:pPr>
              <w:pStyle w:val="InitFigR"/>
              <w:keepNext/>
              <w:keepLines/>
              <w:rPr>
                <w:b/>
                <w:bCs/>
              </w:rPr>
            </w:pPr>
            <w:r w:rsidRPr="00884AAE">
              <w:rPr>
                <w:b/>
                <w:bCs/>
              </w:rPr>
              <w:t>2022-23</w:t>
            </w:r>
          </w:p>
          <w:p w14:paraId="053B62B2" w14:textId="77777777" w:rsidR="00CF0E2D" w:rsidRPr="00884AAE" w:rsidRDefault="00CF0E2D" w:rsidP="00A60D4B">
            <w:pPr>
              <w:pStyle w:val="InitFigR"/>
              <w:keepNext/>
              <w:keepLines/>
              <w:rPr>
                <w:b/>
                <w:bCs/>
              </w:rPr>
            </w:pPr>
            <w:r w:rsidRPr="00884AAE">
              <w:rPr>
                <w:b/>
                <w:bCs/>
              </w:rPr>
              <w:t>$’000</w:t>
            </w:r>
          </w:p>
        </w:tc>
        <w:tc>
          <w:tcPr>
            <w:tcW w:w="1029" w:type="dxa"/>
            <w:gridSpan w:val="2"/>
            <w:tcBorders>
              <w:top w:val="single" w:sz="4" w:space="0" w:color="auto"/>
              <w:bottom w:val="single" w:sz="4" w:space="0" w:color="auto"/>
            </w:tcBorders>
          </w:tcPr>
          <w:p w14:paraId="5245F68B" w14:textId="77777777" w:rsidR="00CF0E2D" w:rsidRPr="00884AAE" w:rsidRDefault="00CF0E2D" w:rsidP="00A60D4B">
            <w:pPr>
              <w:pStyle w:val="InitFigR"/>
              <w:keepNext/>
              <w:keepLines/>
              <w:rPr>
                <w:b/>
                <w:bCs/>
              </w:rPr>
            </w:pPr>
            <w:r w:rsidRPr="00884AAE">
              <w:rPr>
                <w:b/>
                <w:bCs/>
              </w:rPr>
              <w:t>2023-24</w:t>
            </w:r>
          </w:p>
          <w:p w14:paraId="61100EF5" w14:textId="77777777" w:rsidR="00CF0E2D" w:rsidRPr="00884AAE" w:rsidRDefault="00CF0E2D" w:rsidP="00A60D4B">
            <w:pPr>
              <w:pStyle w:val="InitFigR"/>
              <w:keepNext/>
              <w:keepLines/>
              <w:rPr>
                <w:b/>
                <w:bCs/>
              </w:rPr>
            </w:pPr>
            <w:r w:rsidRPr="00884AAE">
              <w:rPr>
                <w:b/>
                <w:bCs/>
              </w:rPr>
              <w:t>$’000</w:t>
            </w:r>
          </w:p>
        </w:tc>
        <w:tc>
          <w:tcPr>
            <w:tcW w:w="1029" w:type="dxa"/>
            <w:gridSpan w:val="2"/>
            <w:tcBorders>
              <w:top w:val="single" w:sz="4" w:space="0" w:color="auto"/>
              <w:bottom w:val="single" w:sz="4" w:space="0" w:color="auto"/>
            </w:tcBorders>
          </w:tcPr>
          <w:p w14:paraId="401AAC63" w14:textId="77777777" w:rsidR="00CF0E2D" w:rsidRPr="00884AAE" w:rsidRDefault="00CF0E2D" w:rsidP="00A60D4B">
            <w:pPr>
              <w:pStyle w:val="InitFigR"/>
              <w:keepNext/>
              <w:keepLines/>
              <w:rPr>
                <w:b/>
                <w:bCs/>
              </w:rPr>
            </w:pPr>
            <w:r w:rsidRPr="00884AAE">
              <w:rPr>
                <w:b/>
                <w:bCs/>
              </w:rPr>
              <w:t>2024-25</w:t>
            </w:r>
          </w:p>
          <w:p w14:paraId="5A543492" w14:textId="77777777" w:rsidR="00CF0E2D" w:rsidRPr="00884AAE" w:rsidRDefault="00CF0E2D" w:rsidP="00A60D4B">
            <w:pPr>
              <w:pStyle w:val="InitFigR"/>
              <w:keepNext/>
              <w:keepLines/>
              <w:rPr>
                <w:b/>
                <w:bCs/>
              </w:rPr>
            </w:pPr>
            <w:r w:rsidRPr="00884AAE">
              <w:rPr>
                <w:b/>
                <w:bCs/>
              </w:rPr>
              <w:t>$’000</w:t>
            </w:r>
          </w:p>
        </w:tc>
        <w:tc>
          <w:tcPr>
            <w:tcW w:w="1029" w:type="dxa"/>
            <w:gridSpan w:val="2"/>
            <w:tcBorders>
              <w:top w:val="single" w:sz="4" w:space="0" w:color="auto"/>
              <w:bottom w:val="single" w:sz="4" w:space="0" w:color="auto"/>
            </w:tcBorders>
          </w:tcPr>
          <w:p w14:paraId="6B71A060" w14:textId="77777777" w:rsidR="00CF0E2D" w:rsidRPr="004E341E" w:rsidRDefault="00CF0E2D" w:rsidP="00A60D4B">
            <w:pPr>
              <w:pStyle w:val="InitFigRBold"/>
              <w:keepNext/>
              <w:keepLines/>
            </w:pPr>
            <w:r w:rsidRPr="004E341E">
              <w:t>Total</w:t>
            </w:r>
          </w:p>
          <w:p w14:paraId="01226CD4" w14:textId="77777777" w:rsidR="00CF0E2D" w:rsidRPr="004E341E" w:rsidRDefault="00CF0E2D" w:rsidP="00A60D4B">
            <w:pPr>
              <w:pStyle w:val="InitFigBR"/>
              <w:keepNext/>
              <w:keepLines/>
            </w:pPr>
            <w:r w:rsidRPr="004E341E">
              <w:t>$’000</w:t>
            </w:r>
          </w:p>
        </w:tc>
      </w:tr>
      <w:tr w:rsidR="00CF0E2D" w:rsidRPr="00750793" w14:paraId="06E73517" w14:textId="77777777" w:rsidTr="00A60D4B">
        <w:trPr>
          <w:cantSplit/>
          <w:jc w:val="center"/>
        </w:trPr>
        <w:tc>
          <w:tcPr>
            <w:tcW w:w="3664" w:type="dxa"/>
            <w:gridSpan w:val="2"/>
          </w:tcPr>
          <w:p w14:paraId="74F421CA" w14:textId="77777777" w:rsidR="00CF0E2D" w:rsidRPr="00882BE2" w:rsidRDefault="00CF0E2D" w:rsidP="00A60D4B">
            <w:pPr>
              <w:pStyle w:val="InitTextL"/>
              <w:keepNext/>
              <w:keepLines/>
              <w:ind w:left="321" w:hanging="321"/>
            </w:pPr>
            <w:r>
              <w:t>Expenses</w:t>
            </w:r>
          </w:p>
        </w:tc>
        <w:tc>
          <w:tcPr>
            <w:tcW w:w="1183" w:type="dxa"/>
            <w:gridSpan w:val="2"/>
          </w:tcPr>
          <w:p w14:paraId="54C13E0D" w14:textId="77777777" w:rsidR="00CF0E2D" w:rsidRPr="00897F5F" w:rsidRDefault="00CF0E2D" w:rsidP="00A60D4B">
            <w:pPr>
              <w:pStyle w:val="InitFigR"/>
              <w:keepNext/>
              <w:keepLines/>
            </w:pPr>
            <w:r>
              <w:t>5,385</w:t>
            </w:r>
          </w:p>
        </w:tc>
        <w:tc>
          <w:tcPr>
            <w:tcW w:w="1044" w:type="dxa"/>
            <w:gridSpan w:val="2"/>
          </w:tcPr>
          <w:p w14:paraId="14765E1B" w14:textId="77777777" w:rsidR="00CF0E2D" w:rsidRPr="00897F5F" w:rsidRDefault="00CF0E2D" w:rsidP="00A60D4B">
            <w:pPr>
              <w:pStyle w:val="InitFigR"/>
              <w:keepNext/>
              <w:keepLines/>
            </w:pPr>
            <w:r>
              <w:t>1,020</w:t>
            </w:r>
          </w:p>
        </w:tc>
        <w:tc>
          <w:tcPr>
            <w:tcW w:w="1032" w:type="dxa"/>
            <w:gridSpan w:val="2"/>
          </w:tcPr>
          <w:p w14:paraId="1C04DC12" w14:textId="77777777" w:rsidR="00CF0E2D" w:rsidRPr="00897F5F" w:rsidRDefault="00CF0E2D" w:rsidP="00A60D4B">
            <w:pPr>
              <w:pStyle w:val="InitFigR"/>
              <w:keepNext/>
              <w:keepLines/>
            </w:pPr>
            <w:r>
              <w:t>266</w:t>
            </w:r>
          </w:p>
        </w:tc>
        <w:tc>
          <w:tcPr>
            <w:tcW w:w="1032" w:type="dxa"/>
            <w:gridSpan w:val="2"/>
          </w:tcPr>
          <w:p w14:paraId="017B631A" w14:textId="77777777" w:rsidR="00CF0E2D" w:rsidRPr="00897F5F" w:rsidRDefault="00CF0E2D" w:rsidP="00A60D4B">
            <w:pPr>
              <w:pStyle w:val="InitFigR"/>
              <w:keepNext/>
              <w:keepLines/>
            </w:pPr>
            <w:r>
              <w:t>318</w:t>
            </w:r>
          </w:p>
        </w:tc>
        <w:tc>
          <w:tcPr>
            <w:tcW w:w="1004" w:type="dxa"/>
          </w:tcPr>
          <w:p w14:paraId="759597A3" w14:textId="77777777" w:rsidR="00CF0E2D" w:rsidRPr="00897F5F" w:rsidRDefault="00CF0E2D" w:rsidP="00A60D4B">
            <w:pPr>
              <w:pStyle w:val="InitFigBR"/>
              <w:keepNext/>
              <w:keepLines/>
            </w:pPr>
            <w:r>
              <w:t>6,989</w:t>
            </w:r>
          </w:p>
        </w:tc>
      </w:tr>
      <w:tr w:rsidR="00CF0E2D" w:rsidRPr="00750793" w14:paraId="1319F3A6" w14:textId="77777777" w:rsidTr="00A60D4B">
        <w:trPr>
          <w:cantSplit/>
          <w:jc w:val="center"/>
        </w:trPr>
        <w:tc>
          <w:tcPr>
            <w:tcW w:w="3664" w:type="dxa"/>
            <w:gridSpan w:val="2"/>
          </w:tcPr>
          <w:p w14:paraId="6EEC6F85" w14:textId="77777777" w:rsidR="00CF0E2D" w:rsidRDefault="00CF0E2D" w:rsidP="00A60D4B">
            <w:pPr>
              <w:pStyle w:val="InitTextL"/>
              <w:keepNext/>
              <w:keepLines/>
              <w:ind w:left="321" w:hanging="321"/>
            </w:pPr>
            <w:r>
              <w:t>Offset – Health Funding Envelope</w:t>
            </w:r>
          </w:p>
        </w:tc>
        <w:tc>
          <w:tcPr>
            <w:tcW w:w="1183" w:type="dxa"/>
            <w:gridSpan w:val="2"/>
          </w:tcPr>
          <w:p w14:paraId="7F7F3C0C" w14:textId="77777777" w:rsidR="00CF0E2D" w:rsidRPr="00424DA4" w:rsidRDefault="00CF0E2D" w:rsidP="00A60D4B">
            <w:pPr>
              <w:pStyle w:val="InitFigR"/>
              <w:keepNext/>
              <w:keepLines/>
            </w:pPr>
            <w:r>
              <w:t>-5,385</w:t>
            </w:r>
          </w:p>
        </w:tc>
        <w:tc>
          <w:tcPr>
            <w:tcW w:w="1044" w:type="dxa"/>
            <w:gridSpan w:val="2"/>
          </w:tcPr>
          <w:p w14:paraId="4F2F8694" w14:textId="77777777" w:rsidR="00CF0E2D" w:rsidRPr="00424DA4" w:rsidRDefault="00CF0E2D" w:rsidP="00A60D4B">
            <w:pPr>
              <w:pStyle w:val="InitFigR"/>
              <w:keepNext/>
              <w:keepLines/>
            </w:pPr>
            <w:r>
              <w:t>-1,020</w:t>
            </w:r>
          </w:p>
        </w:tc>
        <w:tc>
          <w:tcPr>
            <w:tcW w:w="1032" w:type="dxa"/>
            <w:gridSpan w:val="2"/>
          </w:tcPr>
          <w:p w14:paraId="6D4ABD18" w14:textId="77777777" w:rsidR="00CF0E2D" w:rsidRPr="00424DA4" w:rsidRDefault="00CF0E2D" w:rsidP="00A60D4B">
            <w:pPr>
              <w:pStyle w:val="InitFigR"/>
              <w:keepNext/>
              <w:keepLines/>
            </w:pPr>
            <w:r>
              <w:t>-266</w:t>
            </w:r>
          </w:p>
        </w:tc>
        <w:tc>
          <w:tcPr>
            <w:tcW w:w="1032" w:type="dxa"/>
            <w:gridSpan w:val="2"/>
          </w:tcPr>
          <w:p w14:paraId="6745400C" w14:textId="77777777" w:rsidR="00CF0E2D" w:rsidRPr="00424DA4" w:rsidRDefault="00CF0E2D" w:rsidP="00A60D4B">
            <w:pPr>
              <w:pStyle w:val="InitFigR"/>
              <w:keepNext/>
              <w:keepLines/>
            </w:pPr>
            <w:r>
              <w:t>-318</w:t>
            </w:r>
          </w:p>
        </w:tc>
        <w:tc>
          <w:tcPr>
            <w:tcW w:w="1004" w:type="dxa"/>
          </w:tcPr>
          <w:p w14:paraId="66B6EFCA" w14:textId="77777777" w:rsidR="00CF0E2D" w:rsidRPr="00424DA4" w:rsidRDefault="00CF0E2D" w:rsidP="00A60D4B">
            <w:pPr>
              <w:pStyle w:val="InitFigBR"/>
              <w:keepNext/>
              <w:keepLines/>
            </w:pPr>
            <w:r>
              <w:t>-6,989</w:t>
            </w:r>
          </w:p>
        </w:tc>
      </w:tr>
      <w:tr w:rsidR="00CF0E2D" w:rsidRPr="00750793" w14:paraId="6D2193DD" w14:textId="77777777" w:rsidTr="00A60D4B">
        <w:trPr>
          <w:cantSplit/>
          <w:trHeight w:val="107"/>
          <w:jc w:val="center"/>
        </w:trPr>
        <w:tc>
          <w:tcPr>
            <w:tcW w:w="3664" w:type="dxa"/>
            <w:gridSpan w:val="2"/>
            <w:tcBorders>
              <w:top w:val="single" w:sz="4" w:space="0" w:color="auto"/>
              <w:bottom w:val="single" w:sz="4" w:space="0" w:color="auto"/>
            </w:tcBorders>
          </w:tcPr>
          <w:p w14:paraId="65A4E3EB" w14:textId="2CF73B96" w:rsidR="00CF0E2D" w:rsidRPr="00DA5279" w:rsidRDefault="00F57411" w:rsidP="00A60D4B">
            <w:pPr>
              <w:pStyle w:val="InitFigLBold"/>
              <w:keepNext/>
              <w:keepLines/>
              <w:ind w:left="321" w:hanging="321"/>
            </w:pPr>
            <w:r>
              <w:t>Net cost of services</w:t>
            </w:r>
          </w:p>
        </w:tc>
        <w:tc>
          <w:tcPr>
            <w:tcW w:w="1183" w:type="dxa"/>
            <w:gridSpan w:val="2"/>
            <w:tcBorders>
              <w:top w:val="single" w:sz="4" w:space="0" w:color="auto"/>
              <w:bottom w:val="single" w:sz="4" w:space="0" w:color="auto"/>
            </w:tcBorders>
          </w:tcPr>
          <w:p w14:paraId="01C8AC8E" w14:textId="77777777" w:rsidR="00CF0E2D" w:rsidRDefault="00CF0E2D" w:rsidP="00A60D4B">
            <w:pPr>
              <w:pStyle w:val="InitFigRBold"/>
              <w:keepNext/>
              <w:keepLines/>
            </w:pPr>
            <w:r>
              <w:t>0</w:t>
            </w:r>
          </w:p>
        </w:tc>
        <w:tc>
          <w:tcPr>
            <w:tcW w:w="1044" w:type="dxa"/>
            <w:gridSpan w:val="2"/>
            <w:tcBorders>
              <w:top w:val="single" w:sz="4" w:space="0" w:color="auto"/>
              <w:bottom w:val="single" w:sz="4" w:space="0" w:color="auto"/>
            </w:tcBorders>
          </w:tcPr>
          <w:p w14:paraId="0A907292" w14:textId="77777777" w:rsidR="00CF0E2D" w:rsidRDefault="00CF0E2D" w:rsidP="00A60D4B">
            <w:pPr>
              <w:pStyle w:val="InitFigRBold"/>
              <w:keepNext/>
              <w:keepLines/>
            </w:pPr>
            <w:r>
              <w:t>0</w:t>
            </w:r>
          </w:p>
        </w:tc>
        <w:tc>
          <w:tcPr>
            <w:tcW w:w="1032" w:type="dxa"/>
            <w:gridSpan w:val="2"/>
            <w:tcBorders>
              <w:top w:val="single" w:sz="4" w:space="0" w:color="auto"/>
              <w:bottom w:val="single" w:sz="4" w:space="0" w:color="auto"/>
            </w:tcBorders>
          </w:tcPr>
          <w:p w14:paraId="6287FA3F" w14:textId="77777777" w:rsidR="00CF0E2D" w:rsidRDefault="00CF0E2D" w:rsidP="00A60D4B">
            <w:pPr>
              <w:pStyle w:val="InitFigRBold"/>
              <w:keepNext/>
              <w:keepLines/>
            </w:pPr>
            <w:r>
              <w:t>0</w:t>
            </w:r>
          </w:p>
        </w:tc>
        <w:tc>
          <w:tcPr>
            <w:tcW w:w="1032" w:type="dxa"/>
            <w:gridSpan w:val="2"/>
            <w:tcBorders>
              <w:top w:val="single" w:sz="4" w:space="0" w:color="auto"/>
              <w:bottom w:val="single" w:sz="4" w:space="0" w:color="auto"/>
            </w:tcBorders>
          </w:tcPr>
          <w:p w14:paraId="15981DFE" w14:textId="77777777" w:rsidR="00CF0E2D" w:rsidRDefault="00CF0E2D" w:rsidP="00A60D4B">
            <w:pPr>
              <w:pStyle w:val="InitFigRBold"/>
              <w:keepNext/>
              <w:keepLines/>
            </w:pPr>
            <w:r>
              <w:t>0</w:t>
            </w:r>
          </w:p>
        </w:tc>
        <w:tc>
          <w:tcPr>
            <w:tcW w:w="1004" w:type="dxa"/>
            <w:tcBorders>
              <w:top w:val="single" w:sz="4" w:space="0" w:color="auto"/>
              <w:bottom w:val="single" w:sz="4" w:space="0" w:color="auto"/>
            </w:tcBorders>
          </w:tcPr>
          <w:p w14:paraId="07C35F09" w14:textId="77777777" w:rsidR="00CF0E2D" w:rsidRPr="00DA5279" w:rsidRDefault="00CF0E2D" w:rsidP="00A60D4B">
            <w:pPr>
              <w:pStyle w:val="InitFigRBold"/>
              <w:keepNext/>
              <w:keepLines/>
              <w:rPr>
                <w:bCs/>
              </w:rPr>
            </w:pPr>
            <w:r>
              <w:rPr>
                <w:bCs/>
              </w:rPr>
              <w:t>0</w:t>
            </w:r>
          </w:p>
        </w:tc>
      </w:tr>
    </w:tbl>
    <w:p w14:paraId="3C327CF2" w14:textId="77777777" w:rsidR="00CF0E2D" w:rsidRPr="006E7D41" w:rsidRDefault="00CF0E2D" w:rsidP="00A60D4B">
      <w:pPr>
        <w:pStyle w:val="Bbodytext"/>
        <w:keepNext/>
        <w:keepLines/>
        <w:rPr>
          <w:szCs w:val="24"/>
        </w:rPr>
      </w:pPr>
      <w:r w:rsidRPr="001952D1">
        <w:t>The Government will deliver more elective surgeries in 2021-22 and establish the Enhanced Recovery After Surgery Program to facilitate improved recovery. It will</w:t>
      </w:r>
      <w:r w:rsidRPr="00AF0DEC">
        <w:rPr>
          <w:szCs w:val="24"/>
        </w:rPr>
        <w:t xml:space="preserve"> also develop feasibility and design options for the Northside Elective Surgery Centre at the U</w:t>
      </w:r>
      <w:r w:rsidRPr="006E7D41">
        <w:rPr>
          <w:szCs w:val="24"/>
        </w:rPr>
        <w:t>niversity of Canberra to expand health infrastructure in Canberra’s North.</w:t>
      </w:r>
    </w:p>
    <w:p w14:paraId="77F02CE6" w14:textId="77777777" w:rsidR="00CF0E2D" w:rsidRPr="006E7D41" w:rsidRDefault="00CF0E2D" w:rsidP="00A60D4B">
      <w:pPr>
        <w:pStyle w:val="Bbodytext"/>
        <w:rPr>
          <w:szCs w:val="24"/>
        </w:rPr>
      </w:pPr>
      <w:r w:rsidRPr="001952D1">
        <w:t>This initiative builds on</w:t>
      </w:r>
      <w:r w:rsidRPr="00AF0DEC">
        <w:rPr>
          <w:szCs w:val="24"/>
        </w:rPr>
        <w:t xml:space="preserve"> significant investment</w:t>
      </w:r>
      <w:r>
        <w:rPr>
          <w:szCs w:val="24"/>
        </w:rPr>
        <w:t>s</w:t>
      </w:r>
      <w:r w:rsidRPr="00AF0DEC">
        <w:rPr>
          <w:szCs w:val="24"/>
        </w:rPr>
        <w:t xml:space="preserve"> Government has made since 2017-18 to </w:t>
      </w:r>
      <w:r w:rsidRPr="006E7D41">
        <w:rPr>
          <w:szCs w:val="24"/>
        </w:rPr>
        <w:t>deliver more elective surgeries.</w:t>
      </w:r>
    </w:p>
    <w:p w14:paraId="53F75D5A" w14:textId="77777777" w:rsidR="00CF0E2D" w:rsidRDefault="00CF0E2D" w:rsidP="00A60D4B">
      <w:pPr>
        <w:pStyle w:val="Bbodytext"/>
      </w:pPr>
      <w:r w:rsidRPr="001952D1">
        <w:t>This initiative contributes to the wellbeing domain of Health.</w:t>
      </w:r>
    </w:p>
    <w:p w14:paraId="53C531D1" w14:textId="77777777" w:rsidR="00CF0E2D" w:rsidRPr="00AF0DEC" w:rsidRDefault="00CF0E2D" w:rsidP="00A60D4B">
      <w:pPr>
        <w:pStyle w:val="Bbodytext"/>
        <w:rPr>
          <w:szCs w:val="24"/>
        </w:rPr>
      </w:pPr>
    </w:p>
    <w:p w14:paraId="4F14FCE3" w14:textId="77777777" w:rsidR="00CF0E2D" w:rsidRPr="00A20693" w:rsidRDefault="00CF0E2D" w:rsidP="00A60D4B">
      <w:pPr>
        <w:pStyle w:val="Heading4"/>
        <w:rPr>
          <w:rFonts w:eastAsia="Times New Roman"/>
        </w:rPr>
      </w:pPr>
      <w:r w:rsidRPr="00A20693">
        <w:rPr>
          <w:rFonts w:eastAsia="Times New Roman"/>
        </w:rPr>
        <w:t xml:space="preserve">Expanding critical public hospital services – More </w:t>
      </w:r>
      <w:r>
        <w:rPr>
          <w:rFonts w:eastAsia="Times New Roman"/>
        </w:rPr>
        <w:t>e</w:t>
      </w:r>
      <w:r w:rsidRPr="00A20693">
        <w:rPr>
          <w:rFonts w:eastAsia="Times New Roman"/>
        </w:rPr>
        <w:t xml:space="preserve">mergency </w:t>
      </w:r>
      <w:r>
        <w:rPr>
          <w:rFonts w:eastAsia="Times New Roman"/>
        </w:rPr>
        <w:t>s</w:t>
      </w:r>
      <w:r w:rsidRPr="00A20693">
        <w:rPr>
          <w:rFonts w:eastAsia="Times New Roman"/>
        </w:rPr>
        <w:t xml:space="preserve">urgery </w:t>
      </w:r>
      <w:r>
        <w:rPr>
          <w:rFonts w:eastAsia="Times New Roman"/>
        </w:rPr>
        <w:t>c</w:t>
      </w:r>
      <w:r w:rsidRPr="00A20693">
        <w:rPr>
          <w:rFonts w:eastAsia="Times New Roman"/>
        </w:rPr>
        <w:t xml:space="preserve">apacity </w:t>
      </w:r>
      <w:r>
        <w:rPr>
          <w:b w:val="0"/>
          <w:noProof/>
          <w:color w:val="999789"/>
          <w:sz w:val="32"/>
          <w:szCs w:val="24"/>
        </w:rPr>
        <w:drawing>
          <wp:anchor distT="0" distB="0" distL="114300" distR="114300" simplePos="0" relativeHeight="251875328" behindDoc="0" locked="1" layoutInCell="1" allowOverlap="1" wp14:anchorId="7DD0D688" wp14:editId="4FC30DED">
            <wp:simplePos x="0" y="0"/>
            <wp:positionH relativeFrom="margin">
              <wp:align>right</wp:align>
            </wp:positionH>
            <wp:positionV relativeFrom="paragraph">
              <wp:posOffset>76200</wp:posOffset>
            </wp:positionV>
            <wp:extent cx="993140" cy="503555"/>
            <wp:effectExtent l="0" t="0" r="0" b="0"/>
            <wp:wrapSquare wrapText="bothSides"/>
            <wp:docPr id="170" name="Picture 170"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6D286487" w14:textId="77777777" w:rsidTr="00A60D4B">
        <w:trPr>
          <w:cantSplit/>
          <w:jc w:val="center"/>
        </w:trPr>
        <w:tc>
          <w:tcPr>
            <w:tcW w:w="3652" w:type="dxa"/>
            <w:tcBorders>
              <w:top w:val="single" w:sz="4" w:space="0" w:color="auto"/>
              <w:bottom w:val="single" w:sz="4" w:space="0" w:color="auto"/>
            </w:tcBorders>
          </w:tcPr>
          <w:p w14:paraId="733661C2" w14:textId="77777777" w:rsidR="00CF0E2D" w:rsidRPr="00882BE2" w:rsidRDefault="00CF0E2D" w:rsidP="00A60D4B">
            <w:pPr>
              <w:pStyle w:val="InitTextL"/>
              <w:ind w:left="321" w:hanging="321"/>
            </w:pPr>
          </w:p>
        </w:tc>
        <w:tc>
          <w:tcPr>
            <w:tcW w:w="1179" w:type="dxa"/>
            <w:tcBorders>
              <w:top w:val="single" w:sz="4" w:space="0" w:color="auto"/>
              <w:bottom w:val="single" w:sz="4" w:space="0" w:color="auto"/>
            </w:tcBorders>
          </w:tcPr>
          <w:p w14:paraId="085152C1" w14:textId="77777777" w:rsidR="00CF0E2D" w:rsidRPr="00884AAE" w:rsidRDefault="00CF0E2D" w:rsidP="00A60D4B">
            <w:pPr>
              <w:pStyle w:val="InitFigR"/>
              <w:rPr>
                <w:b/>
                <w:bCs/>
              </w:rPr>
            </w:pPr>
            <w:r w:rsidRPr="00884AAE">
              <w:rPr>
                <w:b/>
                <w:bCs/>
              </w:rPr>
              <w:t>2021-22</w:t>
            </w:r>
          </w:p>
          <w:p w14:paraId="32E07295" w14:textId="77777777" w:rsidR="00CF0E2D" w:rsidRPr="00884AAE" w:rsidRDefault="00CF0E2D" w:rsidP="00A60D4B">
            <w:pPr>
              <w:pStyle w:val="InitFigR"/>
              <w:rPr>
                <w:b/>
                <w:bCs/>
              </w:rPr>
            </w:pPr>
            <w:r w:rsidRPr="00884AAE">
              <w:rPr>
                <w:b/>
                <w:bCs/>
              </w:rPr>
              <w:t>$’000</w:t>
            </w:r>
          </w:p>
        </w:tc>
        <w:tc>
          <w:tcPr>
            <w:tcW w:w="1041" w:type="dxa"/>
            <w:tcBorders>
              <w:top w:val="single" w:sz="4" w:space="0" w:color="auto"/>
              <w:bottom w:val="single" w:sz="4" w:space="0" w:color="auto"/>
            </w:tcBorders>
          </w:tcPr>
          <w:p w14:paraId="67988802" w14:textId="77777777" w:rsidR="00CF0E2D" w:rsidRPr="00884AAE" w:rsidRDefault="00CF0E2D" w:rsidP="00A60D4B">
            <w:pPr>
              <w:pStyle w:val="InitFigR"/>
              <w:rPr>
                <w:b/>
                <w:bCs/>
              </w:rPr>
            </w:pPr>
            <w:r w:rsidRPr="00884AAE">
              <w:rPr>
                <w:b/>
                <w:bCs/>
              </w:rPr>
              <w:t>2022-23</w:t>
            </w:r>
          </w:p>
          <w:p w14:paraId="61A6924F" w14:textId="77777777" w:rsidR="00CF0E2D" w:rsidRPr="00884AAE" w:rsidRDefault="00CF0E2D" w:rsidP="00A60D4B">
            <w:pPr>
              <w:pStyle w:val="InitFigR"/>
              <w:rPr>
                <w:b/>
                <w:bCs/>
              </w:rPr>
            </w:pPr>
            <w:r w:rsidRPr="00884AAE">
              <w:rPr>
                <w:b/>
                <w:bCs/>
              </w:rPr>
              <w:t>$’000</w:t>
            </w:r>
          </w:p>
        </w:tc>
        <w:tc>
          <w:tcPr>
            <w:tcW w:w="1029" w:type="dxa"/>
            <w:tcBorders>
              <w:top w:val="single" w:sz="4" w:space="0" w:color="auto"/>
              <w:bottom w:val="single" w:sz="4" w:space="0" w:color="auto"/>
            </w:tcBorders>
          </w:tcPr>
          <w:p w14:paraId="4E47DBE1" w14:textId="77777777" w:rsidR="00CF0E2D" w:rsidRPr="00884AAE" w:rsidRDefault="00CF0E2D" w:rsidP="00A60D4B">
            <w:pPr>
              <w:pStyle w:val="InitFigR"/>
              <w:rPr>
                <w:b/>
                <w:bCs/>
              </w:rPr>
            </w:pPr>
            <w:r w:rsidRPr="00884AAE">
              <w:rPr>
                <w:b/>
                <w:bCs/>
              </w:rPr>
              <w:t>2023-24</w:t>
            </w:r>
          </w:p>
          <w:p w14:paraId="35CB3841" w14:textId="77777777" w:rsidR="00CF0E2D" w:rsidRPr="00884AAE" w:rsidRDefault="00CF0E2D" w:rsidP="00A60D4B">
            <w:pPr>
              <w:pStyle w:val="InitFigR"/>
              <w:rPr>
                <w:b/>
                <w:bCs/>
              </w:rPr>
            </w:pPr>
            <w:r w:rsidRPr="00884AAE">
              <w:rPr>
                <w:b/>
                <w:bCs/>
              </w:rPr>
              <w:t>$’000</w:t>
            </w:r>
          </w:p>
        </w:tc>
        <w:tc>
          <w:tcPr>
            <w:tcW w:w="1029" w:type="dxa"/>
            <w:tcBorders>
              <w:top w:val="single" w:sz="4" w:space="0" w:color="auto"/>
              <w:bottom w:val="single" w:sz="4" w:space="0" w:color="auto"/>
            </w:tcBorders>
          </w:tcPr>
          <w:p w14:paraId="5039F692" w14:textId="77777777" w:rsidR="00CF0E2D" w:rsidRPr="00884AAE" w:rsidRDefault="00CF0E2D" w:rsidP="00A60D4B">
            <w:pPr>
              <w:pStyle w:val="InitFigR"/>
              <w:rPr>
                <w:b/>
                <w:bCs/>
              </w:rPr>
            </w:pPr>
            <w:r w:rsidRPr="00884AAE">
              <w:rPr>
                <w:b/>
                <w:bCs/>
              </w:rPr>
              <w:t>2024-25</w:t>
            </w:r>
          </w:p>
          <w:p w14:paraId="5AB51A86" w14:textId="77777777" w:rsidR="00CF0E2D" w:rsidRPr="00884AAE" w:rsidRDefault="00CF0E2D" w:rsidP="00A60D4B">
            <w:pPr>
              <w:pStyle w:val="InitFigR"/>
              <w:rPr>
                <w:b/>
                <w:bCs/>
              </w:rPr>
            </w:pPr>
            <w:r w:rsidRPr="00884AAE">
              <w:rPr>
                <w:b/>
                <w:bCs/>
              </w:rPr>
              <w:t>$’000</w:t>
            </w:r>
          </w:p>
        </w:tc>
        <w:tc>
          <w:tcPr>
            <w:tcW w:w="1029" w:type="dxa"/>
            <w:tcBorders>
              <w:top w:val="single" w:sz="4" w:space="0" w:color="auto"/>
              <w:bottom w:val="single" w:sz="4" w:space="0" w:color="auto"/>
            </w:tcBorders>
          </w:tcPr>
          <w:p w14:paraId="70C77E90" w14:textId="77777777" w:rsidR="00CF0E2D" w:rsidRPr="004E341E" w:rsidRDefault="00CF0E2D" w:rsidP="00A60D4B">
            <w:pPr>
              <w:pStyle w:val="InitFigRBold"/>
            </w:pPr>
            <w:r w:rsidRPr="004E341E">
              <w:t>Total</w:t>
            </w:r>
          </w:p>
          <w:p w14:paraId="304F4C21" w14:textId="77777777" w:rsidR="00CF0E2D" w:rsidRDefault="00CF0E2D" w:rsidP="00A60D4B">
            <w:pPr>
              <w:pStyle w:val="InitFigBR"/>
            </w:pPr>
            <w:r w:rsidRPr="004E341E">
              <w:t>$’000</w:t>
            </w:r>
          </w:p>
        </w:tc>
      </w:tr>
      <w:tr w:rsidR="00CF0E2D" w:rsidRPr="00750793" w14:paraId="3CAF34C1" w14:textId="77777777" w:rsidTr="00A60D4B">
        <w:trPr>
          <w:cantSplit/>
          <w:jc w:val="center"/>
        </w:trPr>
        <w:tc>
          <w:tcPr>
            <w:tcW w:w="3652" w:type="dxa"/>
            <w:tcBorders>
              <w:top w:val="single" w:sz="4" w:space="0" w:color="auto"/>
            </w:tcBorders>
          </w:tcPr>
          <w:p w14:paraId="41A58761" w14:textId="77777777" w:rsidR="00CF0E2D" w:rsidRPr="00F13FAB" w:rsidRDefault="00CF0E2D" w:rsidP="00A60D4B">
            <w:pPr>
              <w:pStyle w:val="InitTextL"/>
              <w:ind w:left="321" w:hanging="321"/>
            </w:pPr>
            <w:r w:rsidRPr="00882BE2">
              <w:t>Expenses</w:t>
            </w:r>
          </w:p>
        </w:tc>
        <w:tc>
          <w:tcPr>
            <w:tcW w:w="1179" w:type="dxa"/>
            <w:tcBorders>
              <w:top w:val="single" w:sz="4" w:space="0" w:color="auto"/>
            </w:tcBorders>
          </w:tcPr>
          <w:p w14:paraId="0647634B" w14:textId="77777777" w:rsidR="00CF0E2D" w:rsidRPr="00424DA4" w:rsidRDefault="00CF0E2D" w:rsidP="00A60D4B">
            <w:pPr>
              <w:pStyle w:val="InitFigR"/>
            </w:pPr>
            <w:r>
              <w:t>6,752</w:t>
            </w:r>
          </w:p>
        </w:tc>
        <w:tc>
          <w:tcPr>
            <w:tcW w:w="1041" w:type="dxa"/>
            <w:tcBorders>
              <w:top w:val="single" w:sz="4" w:space="0" w:color="auto"/>
            </w:tcBorders>
          </w:tcPr>
          <w:p w14:paraId="7BB8D98F" w14:textId="77777777" w:rsidR="00CF0E2D" w:rsidRPr="00424DA4" w:rsidRDefault="00CF0E2D" w:rsidP="00A60D4B">
            <w:pPr>
              <w:pStyle w:val="InitFigR"/>
            </w:pPr>
            <w:r>
              <w:t>9,075</w:t>
            </w:r>
          </w:p>
        </w:tc>
        <w:tc>
          <w:tcPr>
            <w:tcW w:w="1029" w:type="dxa"/>
            <w:tcBorders>
              <w:top w:val="single" w:sz="4" w:space="0" w:color="auto"/>
            </w:tcBorders>
          </w:tcPr>
          <w:p w14:paraId="7D7F2E51" w14:textId="77777777" w:rsidR="00CF0E2D" w:rsidRPr="00424DA4" w:rsidRDefault="00CF0E2D" w:rsidP="00A60D4B">
            <w:pPr>
              <w:pStyle w:val="InitFigR"/>
            </w:pPr>
            <w:r>
              <w:t>11,463</w:t>
            </w:r>
          </w:p>
        </w:tc>
        <w:tc>
          <w:tcPr>
            <w:tcW w:w="1029" w:type="dxa"/>
            <w:tcBorders>
              <w:top w:val="single" w:sz="4" w:space="0" w:color="auto"/>
            </w:tcBorders>
          </w:tcPr>
          <w:p w14:paraId="1320E4DF" w14:textId="77777777" w:rsidR="00CF0E2D" w:rsidRPr="00424DA4" w:rsidRDefault="00CF0E2D" w:rsidP="00A60D4B">
            <w:pPr>
              <w:pStyle w:val="InitFigR"/>
            </w:pPr>
            <w:r>
              <w:t>11,666</w:t>
            </w:r>
          </w:p>
        </w:tc>
        <w:tc>
          <w:tcPr>
            <w:tcW w:w="1029" w:type="dxa"/>
            <w:tcBorders>
              <w:top w:val="single" w:sz="4" w:space="0" w:color="auto"/>
            </w:tcBorders>
          </w:tcPr>
          <w:p w14:paraId="6FF8F3D5" w14:textId="77777777" w:rsidR="00CF0E2D" w:rsidRPr="00424DA4" w:rsidRDefault="00CF0E2D" w:rsidP="00A60D4B">
            <w:pPr>
              <w:pStyle w:val="InitFigBR"/>
            </w:pPr>
            <w:r>
              <w:t>38,956</w:t>
            </w:r>
          </w:p>
        </w:tc>
      </w:tr>
      <w:tr w:rsidR="00CF0E2D" w:rsidRPr="00750793" w14:paraId="7EC77F5C" w14:textId="77777777" w:rsidTr="00A60D4B">
        <w:trPr>
          <w:cantSplit/>
          <w:jc w:val="center"/>
        </w:trPr>
        <w:tc>
          <w:tcPr>
            <w:tcW w:w="3652" w:type="dxa"/>
          </w:tcPr>
          <w:p w14:paraId="2887AC0D" w14:textId="77777777" w:rsidR="00CF0E2D" w:rsidRDefault="00CF0E2D" w:rsidP="00A60D4B">
            <w:pPr>
              <w:pStyle w:val="InitTextL"/>
              <w:ind w:left="321" w:hanging="321"/>
            </w:pPr>
            <w:r>
              <w:t>Offset – Health Funding Envelope</w:t>
            </w:r>
          </w:p>
        </w:tc>
        <w:tc>
          <w:tcPr>
            <w:tcW w:w="1179" w:type="dxa"/>
          </w:tcPr>
          <w:p w14:paraId="77E043B0" w14:textId="77777777" w:rsidR="00CF0E2D" w:rsidRPr="00424DA4" w:rsidRDefault="00CF0E2D" w:rsidP="00A60D4B">
            <w:pPr>
              <w:pStyle w:val="InitFigR"/>
            </w:pPr>
            <w:r>
              <w:t>-6,752</w:t>
            </w:r>
          </w:p>
        </w:tc>
        <w:tc>
          <w:tcPr>
            <w:tcW w:w="1041" w:type="dxa"/>
          </w:tcPr>
          <w:p w14:paraId="7191B663" w14:textId="77777777" w:rsidR="00CF0E2D" w:rsidRPr="00424DA4" w:rsidRDefault="00CF0E2D" w:rsidP="00A60D4B">
            <w:pPr>
              <w:pStyle w:val="InitFigR"/>
            </w:pPr>
            <w:r>
              <w:t>-9,075</w:t>
            </w:r>
          </w:p>
        </w:tc>
        <w:tc>
          <w:tcPr>
            <w:tcW w:w="1029" w:type="dxa"/>
          </w:tcPr>
          <w:p w14:paraId="7E0EF31D" w14:textId="77777777" w:rsidR="00CF0E2D" w:rsidRPr="00424DA4" w:rsidRDefault="00CF0E2D" w:rsidP="00A60D4B">
            <w:pPr>
              <w:pStyle w:val="InitFigR"/>
            </w:pPr>
            <w:r>
              <w:t>-11,463</w:t>
            </w:r>
          </w:p>
        </w:tc>
        <w:tc>
          <w:tcPr>
            <w:tcW w:w="1029" w:type="dxa"/>
          </w:tcPr>
          <w:p w14:paraId="1E91A92E" w14:textId="77777777" w:rsidR="00CF0E2D" w:rsidRPr="00424DA4" w:rsidRDefault="00CF0E2D" w:rsidP="00A60D4B">
            <w:pPr>
              <w:pStyle w:val="InitFigR"/>
            </w:pPr>
            <w:r>
              <w:t>-11,666</w:t>
            </w:r>
          </w:p>
        </w:tc>
        <w:tc>
          <w:tcPr>
            <w:tcW w:w="1029" w:type="dxa"/>
          </w:tcPr>
          <w:p w14:paraId="5514171C" w14:textId="77777777" w:rsidR="00CF0E2D" w:rsidRPr="00424DA4" w:rsidRDefault="00CF0E2D" w:rsidP="00A60D4B">
            <w:pPr>
              <w:pStyle w:val="InitFigBR"/>
            </w:pPr>
            <w:r>
              <w:t>-38,956</w:t>
            </w:r>
          </w:p>
        </w:tc>
      </w:tr>
      <w:tr w:rsidR="00CF0E2D" w:rsidRPr="00750793" w14:paraId="40F7A1D7" w14:textId="77777777" w:rsidTr="00A60D4B">
        <w:trPr>
          <w:cantSplit/>
          <w:trHeight w:val="107"/>
          <w:jc w:val="center"/>
        </w:trPr>
        <w:tc>
          <w:tcPr>
            <w:tcW w:w="3652" w:type="dxa"/>
            <w:tcBorders>
              <w:top w:val="single" w:sz="4" w:space="0" w:color="auto"/>
              <w:bottom w:val="single" w:sz="4" w:space="0" w:color="auto"/>
            </w:tcBorders>
          </w:tcPr>
          <w:p w14:paraId="466DE5BB" w14:textId="0C0588BB" w:rsidR="00CF0E2D" w:rsidRPr="00DA5279"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011313C6" w14:textId="77777777" w:rsidR="00CF0E2D" w:rsidRDefault="00CF0E2D" w:rsidP="00A60D4B">
            <w:pPr>
              <w:pStyle w:val="InitFigRBold"/>
            </w:pPr>
            <w:r>
              <w:t>0</w:t>
            </w:r>
          </w:p>
        </w:tc>
        <w:tc>
          <w:tcPr>
            <w:tcW w:w="1041" w:type="dxa"/>
            <w:tcBorders>
              <w:top w:val="single" w:sz="4" w:space="0" w:color="auto"/>
              <w:bottom w:val="single" w:sz="4" w:space="0" w:color="auto"/>
            </w:tcBorders>
          </w:tcPr>
          <w:p w14:paraId="53EA486D" w14:textId="77777777" w:rsidR="00CF0E2D" w:rsidRDefault="00CF0E2D" w:rsidP="00A60D4B">
            <w:pPr>
              <w:pStyle w:val="InitFigRBold"/>
            </w:pPr>
            <w:r>
              <w:t>0</w:t>
            </w:r>
          </w:p>
        </w:tc>
        <w:tc>
          <w:tcPr>
            <w:tcW w:w="1029" w:type="dxa"/>
            <w:tcBorders>
              <w:top w:val="single" w:sz="4" w:space="0" w:color="auto"/>
              <w:bottom w:val="single" w:sz="4" w:space="0" w:color="auto"/>
            </w:tcBorders>
          </w:tcPr>
          <w:p w14:paraId="5DE971F6" w14:textId="77777777" w:rsidR="00CF0E2D" w:rsidRDefault="00CF0E2D" w:rsidP="00A60D4B">
            <w:pPr>
              <w:pStyle w:val="InitFigRBold"/>
            </w:pPr>
            <w:r>
              <w:t>0</w:t>
            </w:r>
          </w:p>
        </w:tc>
        <w:tc>
          <w:tcPr>
            <w:tcW w:w="1029" w:type="dxa"/>
            <w:tcBorders>
              <w:top w:val="single" w:sz="4" w:space="0" w:color="auto"/>
              <w:bottom w:val="single" w:sz="4" w:space="0" w:color="auto"/>
            </w:tcBorders>
          </w:tcPr>
          <w:p w14:paraId="5FC5D30A" w14:textId="77777777" w:rsidR="00CF0E2D" w:rsidRDefault="00CF0E2D" w:rsidP="00A60D4B">
            <w:pPr>
              <w:pStyle w:val="InitFigRBold"/>
            </w:pPr>
            <w:r>
              <w:t>0</w:t>
            </w:r>
          </w:p>
        </w:tc>
        <w:tc>
          <w:tcPr>
            <w:tcW w:w="1029" w:type="dxa"/>
            <w:tcBorders>
              <w:top w:val="single" w:sz="4" w:space="0" w:color="auto"/>
              <w:bottom w:val="single" w:sz="4" w:space="0" w:color="auto"/>
            </w:tcBorders>
          </w:tcPr>
          <w:p w14:paraId="433E1D52" w14:textId="77777777" w:rsidR="00CF0E2D" w:rsidRPr="00DA5279" w:rsidRDefault="00CF0E2D" w:rsidP="00A60D4B">
            <w:pPr>
              <w:pStyle w:val="InitFigRBold"/>
              <w:rPr>
                <w:bCs/>
              </w:rPr>
            </w:pPr>
            <w:r w:rsidRPr="00DA5279">
              <w:rPr>
                <w:bCs/>
              </w:rPr>
              <w:t>0</w:t>
            </w:r>
          </w:p>
        </w:tc>
      </w:tr>
    </w:tbl>
    <w:p w14:paraId="770880C8" w14:textId="77777777" w:rsidR="00CF0E2D" w:rsidRDefault="00CF0E2D" w:rsidP="00A60D4B">
      <w:pPr>
        <w:pStyle w:val="Bbodytext"/>
      </w:pPr>
      <w:r>
        <w:t>The Government will increase emergency surgery capacity and post-surgery care to support growing demand until the Canberra Hospital Expansion is operational.</w:t>
      </w:r>
    </w:p>
    <w:p w14:paraId="1C416408" w14:textId="77777777" w:rsidR="00CF0E2D" w:rsidRDefault="00CF0E2D" w:rsidP="00A60D4B">
      <w:pPr>
        <w:pStyle w:val="Bbodytext"/>
      </w:pPr>
      <w:r>
        <w:t>This initiative contributes to the wellbeing domain of Health.</w:t>
      </w:r>
    </w:p>
    <w:p w14:paraId="13A745A0" w14:textId="77777777" w:rsidR="00CF0E2D" w:rsidRPr="00A20693" w:rsidRDefault="00CF0E2D" w:rsidP="00A60D4B">
      <w:pPr>
        <w:pStyle w:val="Bbodytext"/>
      </w:pPr>
    </w:p>
    <w:p w14:paraId="1326BFE1" w14:textId="77777777" w:rsidR="00CF0E2D" w:rsidRPr="00B75050" w:rsidRDefault="00CF0E2D" w:rsidP="00A60D4B">
      <w:pPr>
        <w:pStyle w:val="Heading4"/>
        <w:rPr>
          <w:rFonts w:eastAsia="Times New Roman"/>
        </w:rPr>
      </w:pPr>
      <w:r w:rsidRPr="00B75050">
        <w:rPr>
          <w:rFonts w:eastAsia="Times New Roman"/>
        </w:rPr>
        <w:t>Expanding critical</w:t>
      </w:r>
      <w:r>
        <w:rPr>
          <w:rFonts w:eastAsia="Times New Roman"/>
        </w:rPr>
        <w:t xml:space="preserve"> public</w:t>
      </w:r>
      <w:r w:rsidRPr="00B75050">
        <w:rPr>
          <w:rFonts w:eastAsia="Times New Roman"/>
        </w:rPr>
        <w:t xml:space="preserve"> hospital services – More services at Calvary Public Hospital Bruce </w:t>
      </w:r>
      <w:r>
        <w:rPr>
          <w:b w:val="0"/>
          <w:noProof/>
          <w:color w:val="999789"/>
          <w:sz w:val="32"/>
          <w:szCs w:val="24"/>
        </w:rPr>
        <w:drawing>
          <wp:anchor distT="0" distB="0" distL="114300" distR="114300" simplePos="0" relativeHeight="251876352" behindDoc="0" locked="1" layoutInCell="1" allowOverlap="1" wp14:anchorId="08FA13F1" wp14:editId="7CDBCC07">
            <wp:simplePos x="0" y="0"/>
            <wp:positionH relativeFrom="margin">
              <wp:align>right</wp:align>
            </wp:positionH>
            <wp:positionV relativeFrom="paragraph">
              <wp:posOffset>84455</wp:posOffset>
            </wp:positionV>
            <wp:extent cx="993140" cy="503555"/>
            <wp:effectExtent l="0" t="0" r="0" b="0"/>
            <wp:wrapSquare wrapText="bothSides"/>
            <wp:docPr id="171" name="Picture 171"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11A65831" w14:textId="77777777" w:rsidTr="00A60D4B">
        <w:trPr>
          <w:cantSplit/>
          <w:jc w:val="center"/>
        </w:trPr>
        <w:tc>
          <w:tcPr>
            <w:tcW w:w="3652" w:type="dxa"/>
            <w:tcBorders>
              <w:top w:val="single" w:sz="4" w:space="0" w:color="auto"/>
              <w:bottom w:val="single" w:sz="4" w:space="0" w:color="auto"/>
            </w:tcBorders>
          </w:tcPr>
          <w:p w14:paraId="509BC96B"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038AEDEF" w14:textId="77777777" w:rsidR="00CF0E2D" w:rsidRPr="00987EB8" w:rsidRDefault="00CF0E2D" w:rsidP="00A60D4B">
            <w:pPr>
              <w:pStyle w:val="InitFigR"/>
              <w:rPr>
                <w:b/>
                <w:bCs/>
              </w:rPr>
            </w:pPr>
            <w:r w:rsidRPr="00987EB8">
              <w:rPr>
                <w:b/>
                <w:bCs/>
              </w:rPr>
              <w:t>2021-22</w:t>
            </w:r>
          </w:p>
          <w:p w14:paraId="03D6980F" w14:textId="77777777" w:rsidR="00CF0E2D" w:rsidRPr="00987EB8" w:rsidRDefault="00CF0E2D" w:rsidP="00A60D4B">
            <w:pPr>
              <w:pStyle w:val="InitFigR"/>
              <w:rPr>
                <w:b/>
                <w:bCs/>
              </w:rPr>
            </w:pPr>
            <w:r w:rsidRPr="00987EB8">
              <w:rPr>
                <w:b/>
                <w:bCs/>
              </w:rPr>
              <w:t>$’000</w:t>
            </w:r>
          </w:p>
        </w:tc>
        <w:tc>
          <w:tcPr>
            <w:tcW w:w="1041" w:type="dxa"/>
            <w:tcBorders>
              <w:top w:val="single" w:sz="4" w:space="0" w:color="auto"/>
              <w:bottom w:val="single" w:sz="4" w:space="0" w:color="auto"/>
            </w:tcBorders>
          </w:tcPr>
          <w:p w14:paraId="5A942DB2" w14:textId="77777777" w:rsidR="00CF0E2D" w:rsidRPr="00987EB8" w:rsidRDefault="00CF0E2D" w:rsidP="00A60D4B">
            <w:pPr>
              <w:pStyle w:val="InitFigR"/>
              <w:rPr>
                <w:b/>
                <w:bCs/>
              </w:rPr>
            </w:pPr>
            <w:r w:rsidRPr="00987EB8">
              <w:rPr>
                <w:b/>
                <w:bCs/>
              </w:rPr>
              <w:t>2022-23</w:t>
            </w:r>
          </w:p>
          <w:p w14:paraId="01A9F2FD"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6FDB87E8" w14:textId="77777777" w:rsidR="00CF0E2D" w:rsidRPr="00987EB8" w:rsidRDefault="00CF0E2D" w:rsidP="00A60D4B">
            <w:pPr>
              <w:pStyle w:val="InitFigR"/>
              <w:rPr>
                <w:b/>
                <w:bCs/>
              </w:rPr>
            </w:pPr>
            <w:r w:rsidRPr="00987EB8">
              <w:rPr>
                <w:b/>
                <w:bCs/>
              </w:rPr>
              <w:t>2023-24</w:t>
            </w:r>
          </w:p>
          <w:p w14:paraId="53F9D1BB"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31EFE174" w14:textId="77777777" w:rsidR="00CF0E2D" w:rsidRPr="00987EB8" w:rsidRDefault="00CF0E2D" w:rsidP="00A60D4B">
            <w:pPr>
              <w:pStyle w:val="InitFigR"/>
              <w:rPr>
                <w:b/>
                <w:bCs/>
              </w:rPr>
            </w:pPr>
            <w:r w:rsidRPr="00987EB8">
              <w:rPr>
                <w:b/>
                <w:bCs/>
              </w:rPr>
              <w:t>2024-25</w:t>
            </w:r>
          </w:p>
          <w:p w14:paraId="5AA8F5E8"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1EEEAC29" w14:textId="77777777" w:rsidR="00CF0E2D" w:rsidRPr="004E341E" w:rsidRDefault="00CF0E2D" w:rsidP="00A60D4B">
            <w:pPr>
              <w:pStyle w:val="InitFigRBold"/>
            </w:pPr>
            <w:r w:rsidRPr="004E341E">
              <w:t>Total</w:t>
            </w:r>
          </w:p>
          <w:p w14:paraId="454F636E" w14:textId="77777777" w:rsidR="00CF0E2D" w:rsidRPr="004E341E" w:rsidRDefault="00CF0E2D" w:rsidP="00A60D4B">
            <w:pPr>
              <w:pStyle w:val="InitFigBR"/>
            </w:pPr>
            <w:r w:rsidRPr="004E341E">
              <w:t>$’000</w:t>
            </w:r>
          </w:p>
        </w:tc>
      </w:tr>
      <w:tr w:rsidR="00CF0E2D" w:rsidRPr="00750793" w14:paraId="595CD36C" w14:textId="77777777" w:rsidTr="00A60D4B">
        <w:trPr>
          <w:cantSplit/>
          <w:jc w:val="center"/>
        </w:trPr>
        <w:tc>
          <w:tcPr>
            <w:tcW w:w="3652" w:type="dxa"/>
          </w:tcPr>
          <w:p w14:paraId="3592127D" w14:textId="77777777" w:rsidR="00CF0E2D" w:rsidRPr="00F13FAB" w:rsidRDefault="00CF0E2D" w:rsidP="00A60D4B">
            <w:pPr>
              <w:pStyle w:val="InitTextL"/>
              <w:ind w:left="321" w:hanging="321"/>
            </w:pPr>
            <w:r w:rsidRPr="00882BE2">
              <w:t>Expenses</w:t>
            </w:r>
          </w:p>
        </w:tc>
        <w:tc>
          <w:tcPr>
            <w:tcW w:w="1179" w:type="dxa"/>
          </w:tcPr>
          <w:p w14:paraId="3FDC1236" w14:textId="77777777" w:rsidR="00CF0E2D" w:rsidRPr="00424DA4" w:rsidRDefault="00CF0E2D" w:rsidP="00A60D4B">
            <w:pPr>
              <w:pStyle w:val="InitFigR"/>
            </w:pPr>
            <w:r w:rsidRPr="00AE61F8">
              <w:t>3,628</w:t>
            </w:r>
          </w:p>
        </w:tc>
        <w:tc>
          <w:tcPr>
            <w:tcW w:w="1041" w:type="dxa"/>
          </w:tcPr>
          <w:p w14:paraId="78B3826C" w14:textId="77777777" w:rsidR="00CF0E2D" w:rsidRPr="00424DA4" w:rsidRDefault="00CF0E2D" w:rsidP="00A60D4B">
            <w:pPr>
              <w:pStyle w:val="InitFigR"/>
            </w:pPr>
            <w:r w:rsidRPr="00AE61F8">
              <w:t>3,951</w:t>
            </w:r>
          </w:p>
        </w:tc>
        <w:tc>
          <w:tcPr>
            <w:tcW w:w="1029" w:type="dxa"/>
          </w:tcPr>
          <w:p w14:paraId="199F5D27" w14:textId="77777777" w:rsidR="00CF0E2D" w:rsidRPr="00424DA4" w:rsidRDefault="00CF0E2D" w:rsidP="00A60D4B">
            <w:pPr>
              <w:pStyle w:val="InitFigR"/>
            </w:pPr>
            <w:r w:rsidRPr="00AE61F8">
              <w:t>4,056</w:t>
            </w:r>
          </w:p>
        </w:tc>
        <w:tc>
          <w:tcPr>
            <w:tcW w:w="1029" w:type="dxa"/>
          </w:tcPr>
          <w:p w14:paraId="11C554A6" w14:textId="77777777" w:rsidR="00CF0E2D" w:rsidRPr="00424DA4" w:rsidRDefault="00CF0E2D" w:rsidP="00A60D4B">
            <w:pPr>
              <w:pStyle w:val="InitFigR"/>
            </w:pPr>
            <w:r w:rsidRPr="00AE61F8">
              <w:t>4,164</w:t>
            </w:r>
          </w:p>
        </w:tc>
        <w:tc>
          <w:tcPr>
            <w:tcW w:w="1029" w:type="dxa"/>
          </w:tcPr>
          <w:p w14:paraId="5A4D0F9D" w14:textId="77777777" w:rsidR="00CF0E2D" w:rsidRPr="00424DA4" w:rsidRDefault="00CF0E2D" w:rsidP="00A60D4B">
            <w:pPr>
              <w:pStyle w:val="InitFigBR"/>
            </w:pPr>
            <w:r w:rsidRPr="00AE61F8">
              <w:t>15,799</w:t>
            </w:r>
          </w:p>
        </w:tc>
      </w:tr>
      <w:tr w:rsidR="00CF0E2D" w:rsidRPr="00750793" w14:paraId="6191A151" w14:textId="77777777" w:rsidTr="00A60D4B">
        <w:trPr>
          <w:cantSplit/>
          <w:jc w:val="center"/>
        </w:trPr>
        <w:tc>
          <w:tcPr>
            <w:tcW w:w="3652" w:type="dxa"/>
          </w:tcPr>
          <w:p w14:paraId="5927CAD2" w14:textId="77777777" w:rsidR="00CF0E2D" w:rsidRDefault="00CF0E2D" w:rsidP="00A60D4B">
            <w:pPr>
              <w:pStyle w:val="InitTextL"/>
              <w:ind w:left="321" w:hanging="321"/>
            </w:pPr>
            <w:r>
              <w:t>Offset – Health Funding Envelope</w:t>
            </w:r>
          </w:p>
        </w:tc>
        <w:tc>
          <w:tcPr>
            <w:tcW w:w="1179" w:type="dxa"/>
          </w:tcPr>
          <w:p w14:paraId="669CCC67" w14:textId="77777777" w:rsidR="00CF0E2D" w:rsidRPr="00424DA4" w:rsidRDefault="00CF0E2D" w:rsidP="00A60D4B">
            <w:pPr>
              <w:pStyle w:val="InitFigR"/>
            </w:pPr>
            <w:r>
              <w:t>-</w:t>
            </w:r>
            <w:r w:rsidRPr="00AE61F8">
              <w:t>3,628</w:t>
            </w:r>
          </w:p>
        </w:tc>
        <w:tc>
          <w:tcPr>
            <w:tcW w:w="1041" w:type="dxa"/>
          </w:tcPr>
          <w:p w14:paraId="285A7DC3" w14:textId="77777777" w:rsidR="00CF0E2D" w:rsidRPr="00424DA4" w:rsidRDefault="00CF0E2D" w:rsidP="00A60D4B">
            <w:pPr>
              <w:pStyle w:val="InitFigR"/>
            </w:pPr>
            <w:r>
              <w:t>-</w:t>
            </w:r>
            <w:r w:rsidRPr="00AE61F8">
              <w:t>3,951</w:t>
            </w:r>
          </w:p>
        </w:tc>
        <w:tc>
          <w:tcPr>
            <w:tcW w:w="1029" w:type="dxa"/>
          </w:tcPr>
          <w:p w14:paraId="32975C5C" w14:textId="77777777" w:rsidR="00CF0E2D" w:rsidRPr="00424DA4" w:rsidRDefault="00CF0E2D" w:rsidP="00A60D4B">
            <w:pPr>
              <w:pStyle w:val="InitFigR"/>
            </w:pPr>
            <w:r>
              <w:t>-</w:t>
            </w:r>
            <w:r w:rsidRPr="00AE61F8">
              <w:t>4,056</w:t>
            </w:r>
          </w:p>
        </w:tc>
        <w:tc>
          <w:tcPr>
            <w:tcW w:w="1029" w:type="dxa"/>
          </w:tcPr>
          <w:p w14:paraId="73BF09F0" w14:textId="77777777" w:rsidR="00CF0E2D" w:rsidRPr="00424DA4" w:rsidRDefault="00CF0E2D" w:rsidP="00A60D4B">
            <w:pPr>
              <w:pStyle w:val="InitFigR"/>
            </w:pPr>
            <w:r>
              <w:t>-</w:t>
            </w:r>
            <w:r w:rsidRPr="00AE61F8">
              <w:t>4,164</w:t>
            </w:r>
          </w:p>
        </w:tc>
        <w:tc>
          <w:tcPr>
            <w:tcW w:w="1029" w:type="dxa"/>
          </w:tcPr>
          <w:p w14:paraId="02ED3833" w14:textId="77777777" w:rsidR="00CF0E2D" w:rsidRPr="00424DA4" w:rsidRDefault="00CF0E2D" w:rsidP="00A60D4B">
            <w:pPr>
              <w:pStyle w:val="InitFigBR"/>
            </w:pPr>
            <w:r>
              <w:t>-</w:t>
            </w:r>
            <w:r w:rsidRPr="00AE61F8">
              <w:t>15,799</w:t>
            </w:r>
          </w:p>
        </w:tc>
      </w:tr>
      <w:tr w:rsidR="00CF0E2D" w:rsidRPr="00750793" w14:paraId="5455C3D6" w14:textId="77777777" w:rsidTr="00A60D4B">
        <w:trPr>
          <w:cantSplit/>
          <w:trHeight w:val="107"/>
          <w:jc w:val="center"/>
        </w:trPr>
        <w:tc>
          <w:tcPr>
            <w:tcW w:w="3652" w:type="dxa"/>
            <w:tcBorders>
              <w:top w:val="single" w:sz="4" w:space="0" w:color="auto"/>
              <w:bottom w:val="single" w:sz="4" w:space="0" w:color="auto"/>
            </w:tcBorders>
          </w:tcPr>
          <w:p w14:paraId="2AE68163" w14:textId="034E3D1D" w:rsidR="00CF0E2D"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67FE7F17" w14:textId="77777777" w:rsidR="00CF0E2D" w:rsidRPr="00424DA4" w:rsidRDefault="00CF0E2D" w:rsidP="00A60D4B">
            <w:pPr>
              <w:pStyle w:val="InitFigRBold"/>
            </w:pPr>
            <w:r>
              <w:t>0</w:t>
            </w:r>
          </w:p>
        </w:tc>
        <w:tc>
          <w:tcPr>
            <w:tcW w:w="1041" w:type="dxa"/>
            <w:tcBorders>
              <w:top w:val="single" w:sz="4" w:space="0" w:color="auto"/>
              <w:bottom w:val="single" w:sz="4" w:space="0" w:color="auto"/>
            </w:tcBorders>
          </w:tcPr>
          <w:p w14:paraId="295E842D"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2A017EA0"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16639685"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0592305B" w14:textId="77777777" w:rsidR="00CF0E2D" w:rsidRPr="00424DA4" w:rsidRDefault="00CF0E2D" w:rsidP="00A60D4B">
            <w:pPr>
              <w:pStyle w:val="InitFigRBold"/>
            </w:pPr>
            <w:r>
              <w:t>0</w:t>
            </w:r>
          </w:p>
        </w:tc>
      </w:tr>
    </w:tbl>
    <w:p w14:paraId="7946CC18" w14:textId="77777777" w:rsidR="00CF0E2D" w:rsidRPr="00B75050" w:rsidRDefault="00CF0E2D" w:rsidP="00A60D4B">
      <w:pPr>
        <w:pStyle w:val="Bbodytext"/>
        <w:rPr>
          <w:rFonts w:ascii="Calibri" w:eastAsia="Times New Roman" w:hAnsi="Calibri" w:cs="Times New Roman"/>
          <w:szCs w:val="24"/>
        </w:rPr>
      </w:pPr>
      <w:r w:rsidRPr="00B75050">
        <w:t>The Government wi</w:t>
      </w:r>
      <w:r w:rsidRPr="00B75050">
        <w:rPr>
          <w:szCs w:val="24"/>
        </w:rPr>
        <w:t xml:space="preserve">ll increase funding for Calvary Public Hospital Bruce to support the delivery of </w:t>
      </w:r>
      <w:r w:rsidRPr="00B75050">
        <w:rPr>
          <w:rFonts w:ascii="Calibri" w:eastAsia="Times New Roman" w:hAnsi="Calibri" w:cs="Times New Roman"/>
          <w:szCs w:val="24"/>
        </w:rPr>
        <w:t>more critical hospital services in Canberra’s North. This funding includes delivering a better emergency department with 24/7 operation of the medical imaging service from October 2021.</w:t>
      </w:r>
    </w:p>
    <w:p w14:paraId="2C10AF61" w14:textId="77777777" w:rsidR="00CF0E2D" w:rsidRDefault="00CF0E2D" w:rsidP="00A60D4B">
      <w:pPr>
        <w:pStyle w:val="Bbodytext"/>
        <w:rPr>
          <w:rFonts w:ascii="Calibri" w:eastAsia="Times New Roman" w:hAnsi="Calibri" w:cs="Times New Roman"/>
          <w:szCs w:val="24"/>
        </w:rPr>
      </w:pPr>
      <w:r w:rsidRPr="00B75050">
        <w:t xml:space="preserve">This initiative contributes to the wellbeing domain of </w:t>
      </w:r>
      <w:r w:rsidRPr="00B75050">
        <w:rPr>
          <w:rFonts w:ascii="Calibri" w:eastAsia="Times New Roman" w:hAnsi="Calibri" w:cs="Times New Roman"/>
          <w:szCs w:val="24"/>
        </w:rPr>
        <w:t>Health.</w:t>
      </w:r>
    </w:p>
    <w:p w14:paraId="1724DD0E" w14:textId="77777777" w:rsidR="00CF0E2D" w:rsidRPr="001952D1" w:rsidRDefault="00CF0E2D" w:rsidP="00A60D4B">
      <w:pPr>
        <w:pStyle w:val="Heading4"/>
        <w:rPr>
          <w:rFonts w:eastAsia="Times New Roman"/>
        </w:rPr>
      </w:pPr>
      <w:r w:rsidRPr="001952D1">
        <w:rPr>
          <w:rFonts w:eastAsia="Times New Roman"/>
        </w:rPr>
        <w:lastRenderedPageBreak/>
        <w:t xml:space="preserve">Improving Canberra’s health infrastructure – A new carpark at Canberra Hospital </w:t>
      </w:r>
      <w:r>
        <w:rPr>
          <w:b w:val="0"/>
          <w:noProof/>
          <w:color w:val="999789"/>
          <w:sz w:val="32"/>
          <w:szCs w:val="24"/>
        </w:rPr>
        <w:drawing>
          <wp:anchor distT="0" distB="0" distL="114300" distR="114300" simplePos="0" relativeHeight="251877376" behindDoc="0" locked="1" layoutInCell="1" allowOverlap="1" wp14:anchorId="172F33B0" wp14:editId="08DEA641">
            <wp:simplePos x="0" y="0"/>
            <wp:positionH relativeFrom="margin">
              <wp:align>right</wp:align>
            </wp:positionH>
            <wp:positionV relativeFrom="paragraph">
              <wp:posOffset>7620</wp:posOffset>
            </wp:positionV>
            <wp:extent cx="993140" cy="503555"/>
            <wp:effectExtent l="0" t="0" r="0" b="0"/>
            <wp:wrapSquare wrapText="bothSides"/>
            <wp:docPr id="172" name="Picture 172"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594C1E59" w14:textId="77777777" w:rsidTr="00A60D4B">
        <w:trPr>
          <w:cantSplit/>
          <w:jc w:val="center"/>
        </w:trPr>
        <w:tc>
          <w:tcPr>
            <w:tcW w:w="3652" w:type="dxa"/>
            <w:tcBorders>
              <w:top w:val="single" w:sz="4" w:space="0" w:color="auto"/>
              <w:bottom w:val="single" w:sz="4" w:space="0" w:color="auto"/>
            </w:tcBorders>
          </w:tcPr>
          <w:p w14:paraId="7C411A21"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68945F18" w14:textId="77777777" w:rsidR="00CF0E2D" w:rsidRPr="00987EB8" w:rsidRDefault="00CF0E2D" w:rsidP="00A60D4B">
            <w:pPr>
              <w:pStyle w:val="InitFigR"/>
              <w:rPr>
                <w:b/>
                <w:bCs/>
              </w:rPr>
            </w:pPr>
            <w:r w:rsidRPr="00987EB8">
              <w:rPr>
                <w:b/>
                <w:bCs/>
              </w:rPr>
              <w:t>2021-22</w:t>
            </w:r>
          </w:p>
          <w:p w14:paraId="1F110658" w14:textId="77777777" w:rsidR="00CF0E2D" w:rsidRPr="00987EB8" w:rsidRDefault="00CF0E2D" w:rsidP="00A60D4B">
            <w:pPr>
              <w:pStyle w:val="InitFigR"/>
              <w:rPr>
                <w:b/>
                <w:bCs/>
              </w:rPr>
            </w:pPr>
            <w:r w:rsidRPr="00987EB8">
              <w:rPr>
                <w:b/>
                <w:bCs/>
              </w:rPr>
              <w:t>$’000</w:t>
            </w:r>
          </w:p>
        </w:tc>
        <w:tc>
          <w:tcPr>
            <w:tcW w:w="1041" w:type="dxa"/>
            <w:tcBorders>
              <w:top w:val="single" w:sz="4" w:space="0" w:color="auto"/>
              <w:bottom w:val="single" w:sz="4" w:space="0" w:color="auto"/>
            </w:tcBorders>
          </w:tcPr>
          <w:p w14:paraId="6B2D23A6" w14:textId="77777777" w:rsidR="00CF0E2D" w:rsidRPr="00987EB8" w:rsidRDefault="00CF0E2D" w:rsidP="00A60D4B">
            <w:pPr>
              <w:pStyle w:val="InitFigR"/>
              <w:rPr>
                <w:b/>
                <w:bCs/>
              </w:rPr>
            </w:pPr>
            <w:r w:rsidRPr="00987EB8">
              <w:rPr>
                <w:b/>
                <w:bCs/>
              </w:rPr>
              <w:t>2022-23</w:t>
            </w:r>
          </w:p>
          <w:p w14:paraId="3DBD94A9"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2CFCECE4" w14:textId="77777777" w:rsidR="00CF0E2D" w:rsidRPr="00987EB8" w:rsidRDefault="00CF0E2D" w:rsidP="00A60D4B">
            <w:pPr>
              <w:pStyle w:val="InitFigR"/>
              <w:rPr>
                <w:b/>
                <w:bCs/>
              </w:rPr>
            </w:pPr>
            <w:r w:rsidRPr="00987EB8">
              <w:rPr>
                <w:b/>
                <w:bCs/>
              </w:rPr>
              <w:t>2023-24</w:t>
            </w:r>
          </w:p>
          <w:p w14:paraId="7E18A3F7"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12574354" w14:textId="77777777" w:rsidR="00CF0E2D" w:rsidRPr="00987EB8" w:rsidRDefault="00CF0E2D" w:rsidP="00A60D4B">
            <w:pPr>
              <w:pStyle w:val="InitFigR"/>
              <w:rPr>
                <w:b/>
                <w:bCs/>
              </w:rPr>
            </w:pPr>
            <w:r w:rsidRPr="00987EB8">
              <w:rPr>
                <w:b/>
                <w:bCs/>
              </w:rPr>
              <w:t>2024-25</w:t>
            </w:r>
          </w:p>
          <w:p w14:paraId="38BEA616"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04F67928" w14:textId="77777777" w:rsidR="00CF0E2D" w:rsidRPr="004E341E" w:rsidRDefault="00CF0E2D" w:rsidP="00A60D4B">
            <w:pPr>
              <w:pStyle w:val="InitFigRBold"/>
            </w:pPr>
            <w:r w:rsidRPr="004E341E">
              <w:t>Total</w:t>
            </w:r>
          </w:p>
          <w:p w14:paraId="7E929ADD" w14:textId="77777777" w:rsidR="00CF0E2D" w:rsidRPr="004E341E" w:rsidRDefault="00CF0E2D" w:rsidP="00A60D4B">
            <w:pPr>
              <w:pStyle w:val="InitFigBR"/>
            </w:pPr>
            <w:r w:rsidRPr="004E341E">
              <w:t>$’000</w:t>
            </w:r>
          </w:p>
        </w:tc>
      </w:tr>
      <w:tr w:rsidR="00CF0E2D" w:rsidRPr="00750793" w14:paraId="281AF14E" w14:textId="77777777" w:rsidTr="00A60D4B">
        <w:trPr>
          <w:cantSplit/>
          <w:trHeight w:val="107"/>
          <w:jc w:val="center"/>
        </w:trPr>
        <w:tc>
          <w:tcPr>
            <w:tcW w:w="3652" w:type="dxa"/>
            <w:tcBorders>
              <w:top w:val="single" w:sz="4" w:space="0" w:color="auto"/>
              <w:bottom w:val="single" w:sz="4" w:space="0" w:color="auto"/>
            </w:tcBorders>
          </w:tcPr>
          <w:p w14:paraId="58352528" w14:textId="77777777" w:rsidR="00CF0E2D" w:rsidRPr="00E469E2" w:rsidRDefault="00CF0E2D" w:rsidP="00A60D4B">
            <w:pPr>
              <w:pStyle w:val="InitFigLBold"/>
              <w:ind w:left="321" w:hanging="321"/>
              <w:rPr>
                <w:b w:val="0"/>
                <w:bCs/>
              </w:rPr>
            </w:pPr>
            <w:r w:rsidRPr="00E469E2">
              <w:rPr>
                <w:b w:val="0"/>
                <w:bCs/>
              </w:rPr>
              <w:t>Capital</w:t>
            </w:r>
          </w:p>
        </w:tc>
        <w:tc>
          <w:tcPr>
            <w:tcW w:w="1179" w:type="dxa"/>
            <w:tcBorders>
              <w:top w:val="single" w:sz="4" w:space="0" w:color="auto"/>
              <w:bottom w:val="single" w:sz="4" w:space="0" w:color="auto"/>
            </w:tcBorders>
          </w:tcPr>
          <w:p w14:paraId="09DF4DCB" w14:textId="77777777" w:rsidR="00CF0E2D" w:rsidRPr="00E469E2" w:rsidRDefault="00CF0E2D" w:rsidP="00A60D4B">
            <w:pPr>
              <w:pStyle w:val="InitFigRBold"/>
              <w:rPr>
                <w:b w:val="0"/>
                <w:bCs/>
              </w:rPr>
            </w:pPr>
            <w:r>
              <w:rPr>
                <w:b w:val="0"/>
                <w:bCs/>
              </w:rPr>
              <w:t>500</w:t>
            </w:r>
          </w:p>
        </w:tc>
        <w:tc>
          <w:tcPr>
            <w:tcW w:w="1041" w:type="dxa"/>
            <w:tcBorders>
              <w:top w:val="single" w:sz="4" w:space="0" w:color="auto"/>
              <w:bottom w:val="single" w:sz="4" w:space="0" w:color="auto"/>
            </w:tcBorders>
          </w:tcPr>
          <w:p w14:paraId="56B82B8D" w14:textId="77777777" w:rsidR="00CF0E2D" w:rsidRPr="00E469E2" w:rsidRDefault="00CF0E2D" w:rsidP="00A60D4B">
            <w:pPr>
              <w:pStyle w:val="InitFigRBold"/>
              <w:rPr>
                <w:b w:val="0"/>
                <w:bCs/>
              </w:rPr>
            </w:pPr>
            <w:r>
              <w:rPr>
                <w:b w:val="0"/>
                <w:bCs/>
              </w:rPr>
              <w:t>2,500</w:t>
            </w:r>
          </w:p>
        </w:tc>
        <w:tc>
          <w:tcPr>
            <w:tcW w:w="1029" w:type="dxa"/>
            <w:tcBorders>
              <w:top w:val="single" w:sz="4" w:space="0" w:color="auto"/>
              <w:bottom w:val="single" w:sz="4" w:space="0" w:color="auto"/>
            </w:tcBorders>
          </w:tcPr>
          <w:p w14:paraId="726BB303" w14:textId="77777777" w:rsidR="00CF0E2D" w:rsidRPr="00E469E2" w:rsidRDefault="00CF0E2D" w:rsidP="00A60D4B">
            <w:pPr>
              <w:pStyle w:val="InitFigRBold"/>
              <w:rPr>
                <w:b w:val="0"/>
                <w:bCs/>
              </w:rPr>
            </w:pPr>
            <w:r w:rsidRPr="00E469E2">
              <w:rPr>
                <w:b w:val="0"/>
                <w:bCs/>
              </w:rPr>
              <w:t>0</w:t>
            </w:r>
          </w:p>
        </w:tc>
        <w:tc>
          <w:tcPr>
            <w:tcW w:w="1029" w:type="dxa"/>
            <w:tcBorders>
              <w:top w:val="single" w:sz="4" w:space="0" w:color="auto"/>
              <w:bottom w:val="single" w:sz="4" w:space="0" w:color="auto"/>
            </w:tcBorders>
          </w:tcPr>
          <w:p w14:paraId="28BF5E6C" w14:textId="77777777" w:rsidR="00CF0E2D" w:rsidRPr="00E469E2" w:rsidRDefault="00CF0E2D" w:rsidP="00A60D4B">
            <w:pPr>
              <w:pStyle w:val="InitFigRBold"/>
              <w:rPr>
                <w:b w:val="0"/>
                <w:bCs/>
              </w:rPr>
            </w:pPr>
            <w:r w:rsidRPr="00E469E2">
              <w:rPr>
                <w:b w:val="0"/>
                <w:bCs/>
              </w:rPr>
              <w:t>0</w:t>
            </w:r>
          </w:p>
        </w:tc>
        <w:tc>
          <w:tcPr>
            <w:tcW w:w="1029" w:type="dxa"/>
            <w:tcBorders>
              <w:top w:val="single" w:sz="4" w:space="0" w:color="auto"/>
              <w:bottom w:val="single" w:sz="4" w:space="0" w:color="auto"/>
            </w:tcBorders>
          </w:tcPr>
          <w:p w14:paraId="5096111A" w14:textId="77777777" w:rsidR="00CF0E2D" w:rsidRPr="00E469E2" w:rsidRDefault="00CF0E2D" w:rsidP="00A60D4B">
            <w:pPr>
              <w:pStyle w:val="InitFigRBold"/>
            </w:pPr>
            <w:r>
              <w:t>3,000</w:t>
            </w:r>
          </w:p>
        </w:tc>
      </w:tr>
    </w:tbl>
    <w:p w14:paraId="2CA81587" w14:textId="77777777" w:rsidR="00CF0E2D" w:rsidRPr="00DC3B4F" w:rsidRDefault="00CF0E2D" w:rsidP="00A60D4B">
      <w:pPr>
        <w:pStyle w:val="Bbodytext"/>
      </w:pPr>
      <w:r w:rsidRPr="0035405D">
        <w:t>The Government will undertake feasibility and design work for a new multi-storey carpark at the Canberra Hospita</w:t>
      </w:r>
      <w:r w:rsidRPr="00DC3B4F">
        <w:t>l. This is a key element of the Canberra Hospital Master Plan and will complement work already underway on the campus as part of the Canberra Hospital Expansion project.</w:t>
      </w:r>
    </w:p>
    <w:p w14:paraId="474EADDD" w14:textId="77777777" w:rsidR="00CF0E2D" w:rsidRDefault="00CF0E2D" w:rsidP="00A60D4B">
      <w:pPr>
        <w:pStyle w:val="Bbodytext"/>
      </w:pPr>
      <w:r w:rsidRPr="0035405D">
        <w:t xml:space="preserve">This initiative contributes to the wellbeing domain of </w:t>
      </w:r>
      <w:r w:rsidRPr="00DC3B4F">
        <w:t>Health.</w:t>
      </w:r>
    </w:p>
    <w:p w14:paraId="3070DE9D" w14:textId="77777777" w:rsidR="00CF0E2D" w:rsidRPr="00DC3B4F" w:rsidRDefault="00CF0E2D" w:rsidP="00A60D4B">
      <w:pPr>
        <w:pStyle w:val="Bbodytext"/>
      </w:pPr>
    </w:p>
    <w:p w14:paraId="7518F304" w14:textId="77777777" w:rsidR="00CF0E2D" w:rsidRPr="006B0338" w:rsidRDefault="00CF0E2D" w:rsidP="00A60D4B">
      <w:pPr>
        <w:pStyle w:val="Heading4"/>
        <w:rPr>
          <w:rFonts w:eastAsia="Times New Roman"/>
        </w:rPr>
      </w:pPr>
      <w:r w:rsidRPr="006B0338">
        <w:rPr>
          <w:rFonts w:eastAsia="Times New Roman"/>
        </w:rPr>
        <w:t xml:space="preserve">Improving Canberra’s health infrastructure – Calvary </w:t>
      </w:r>
      <w:r>
        <w:rPr>
          <w:rFonts w:eastAsia="Times New Roman"/>
        </w:rPr>
        <w:t>c</w:t>
      </w:r>
      <w:r w:rsidRPr="006B0338">
        <w:rPr>
          <w:rFonts w:eastAsia="Times New Roman"/>
        </w:rPr>
        <w:t xml:space="preserve">ritical </w:t>
      </w:r>
      <w:r>
        <w:rPr>
          <w:rFonts w:eastAsia="Times New Roman"/>
        </w:rPr>
        <w:t>i</w:t>
      </w:r>
      <w:r w:rsidRPr="006B0338">
        <w:rPr>
          <w:rFonts w:eastAsia="Times New Roman"/>
        </w:rPr>
        <w:t xml:space="preserve">nfrastructure </w:t>
      </w:r>
      <w:r>
        <w:rPr>
          <w:b w:val="0"/>
          <w:noProof/>
          <w:color w:val="999789"/>
          <w:sz w:val="32"/>
          <w:szCs w:val="24"/>
        </w:rPr>
        <w:drawing>
          <wp:anchor distT="0" distB="0" distL="114300" distR="114300" simplePos="0" relativeHeight="251878400" behindDoc="0" locked="1" layoutInCell="1" allowOverlap="1" wp14:anchorId="609CD1BF" wp14:editId="7B2766D2">
            <wp:simplePos x="0" y="0"/>
            <wp:positionH relativeFrom="margin">
              <wp:align>right</wp:align>
            </wp:positionH>
            <wp:positionV relativeFrom="paragraph">
              <wp:posOffset>77470</wp:posOffset>
            </wp:positionV>
            <wp:extent cx="993140" cy="503555"/>
            <wp:effectExtent l="0" t="0" r="0" b="0"/>
            <wp:wrapSquare wrapText="bothSides"/>
            <wp:docPr id="173" name="Picture 173"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3CAE5C24" w14:textId="77777777" w:rsidTr="00A60D4B">
        <w:trPr>
          <w:cantSplit/>
          <w:jc w:val="center"/>
        </w:trPr>
        <w:tc>
          <w:tcPr>
            <w:tcW w:w="3652" w:type="dxa"/>
            <w:tcBorders>
              <w:top w:val="single" w:sz="4" w:space="0" w:color="auto"/>
              <w:bottom w:val="single" w:sz="4" w:space="0" w:color="auto"/>
            </w:tcBorders>
          </w:tcPr>
          <w:p w14:paraId="592FD351"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1ACAB5CD" w14:textId="77777777" w:rsidR="00CF0E2D" w:rsidRPr="00987EB8" w:rsidRDefault="00CF0E2D" w:rsidP="00A60D4B">
            <w:pPr>
              <w:pStyle w:val="InitFigR"/>
              <w:rPr>
                <w:b/>
                <w:bCs/>
              </w:rPr>
            </w:pPr>
            <w:r w:rsidRPr="00987EB8">
              <w:rPr>
                <w:b/>
                <w:bCs/>
              </w:rPr>
              <w:t>2021-22</w:t>
            </w:r>
          </w:p>
          <w:p w14:paraId="6DAD381C" w14:textId="77777777" w:rsidR="00CF0E2D" w:rsidRPr="00987EB8" w:rsidRDefault="00CF0E2D" w:rsidP="00A60D4B">
            <w:pPr>
              <w:pStyle w:val="InitFigR"/>
              <w:rPr>
                <w:b/>
                <w:bCs/>
              </w:rPr>
            </w:pPr>
            <w:r w:rsidRPr="00987EB8">
              <w:rPr>
                <w:b/>
                <w:bCs/>
              </w:rPr>
              <w:t>$’000</w:t>
            </w:r>
          </w:p>
        </w:tc>
        <w:tc>
          <w:tcPr>
            <w:tcW w:w="1041" w:type="dxa"/>
            <w:tcBorders>
              <w:top w:val="single" w:sz="4" w:space="0" w:color="auto"/>
              <w:bottom w:val="single" w:sz="4" w:space="0" w:color="auto"/>
            </w:tcBorders>
          </w:tcPr>
          <w:p w14:paraId="294E84AE" w14:textId="77777777" w:rsidR="00CF0E2D" w:rsidRPr="00987EB8" w:rsidRDefault="00CF0E2D" w:rsidP="00A60D4B">
            <w:pPr>
              <w:pStyle w:val="InitFigR"/>
              <w:rPr>
                <w:b/>
                <w:bCs/>
              </w:rPr>
            </w:pPr>
            <w:r w:rsidRPr="00987EB8">
              <w:rPr>
                <w:b/>
                <w:bCs/>
              </w:rPr>
              <w:t>2022-23</w:t>
            </w:r>
          </w:p>
          <w:p w14:paraId="4444E073"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2163826E" w14:textId="77777777" w:rsidR="00CF0E2D" w:rsidRPr="00987EB8" w:rsidRDefault="00CF0E2D" w:rsidP="00A60D4B">
            <w:pPr>
              <w:pStyle w:val="InitFigR"/>
              <w:rPr>
                <w:b/>
                <w:bCs/>
              </w:rPr>
            </w:pPr>
            <w:r w:rsidRPr="00987EB8">
              <w:rPr>
                <w:b/>
                <w:bCs/>
              </w:rPr>
              <w:t>2023-24</w:t>
            </w:r>
          </w:p>
          <w:p w14:paraId="018F89F6"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7AAC473B" w14:textId="77777777" w:rsidR="00CF0E2D" w:rsidRPr="00987EB8" w:rsidRDefault="00CF0E2D" w:rsidP="00A60D4B">
            <w:pPr>
              <w:pStyle w:val="InitFigR"/>
              <w:rPr>
                <w:b/>
                <w:bCs/>
              </w:rPr>
            </w:pPr>
            <w:r w:rsidRPr="00987EB8">
              <w:rPr>
                <w:b/>
                <w:bCs/>
              </w:rPr>
              <w:t>2024-25</w:t>
            </w:r>
          </w:p>
          <w:p w14:paraId="3E358A5C"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2709CE67" w14:textId="77777777" w:rsidR="00CF0E2D" w:rsidRPr="004E341E" w:rsidRDefault="00CF0E2D" w:rsidP="00A60D4B">
            <w:pPr>
              <w:pStyle w:val="InitFigRBold"/>
            </w:pPr>
            <w:r w:rsidRPr="004E341E">
              <w:t>Total</w:t>
            </w:r>
          </w:p>
          <w:p w14:paraId="3E401D3C" w14:textId="77777777" w:rsidR="00CF0E2D" w:rsidRPr="004E341E" w:rsidRDefault="00CF0E2D" w:rsidP="00A60D4B">
            <w:pPr>
              <w:pStyle w:val="InitFigBR"/>
            </w:pPr>
            <w:r w:rsidRPr="004E341E">
              <w:t>$’000</w:t>
            </w:r>
          </w:p>
        </w:tc>
      </w:tr>
      <w:tr w:rsidR="00CF0E2D" w:rsidRPr="00750793" w14:paraId="78E9A021" w14:textId="77777777" w:rsidTr="00A60D4B">
        <w:trPr>
          <w:cantSplit/>
          <w:jc w:val="center"/>
        </w:trPr>
        <w:tc>
          <w:tcPr>
            <w:tcW w:w="3652" w:type="dxa"/>
            <w:tcBorders>
              <w:top w:val="single" w:sz="4" w:space="0" w:color="auto"/>
            </w:tcBorders>
          </w:tcPr>
          <w:p w14:paraId="0811A6A6" w14:textId="77777777" w:rsidR="00CF0E2D" w:rsidRDefault="00CF0E2D" w:rsidP="00A60D4B">
            <w:pPr>
              <w:pStyle w:val="InitTextL"/>
              <w:ind w:left="321" w:hanging="321"/>
            </w:pPr>
            <w:r>
              <w:t>Capital</w:t>
            </w:r>
          </w:p>
        </w:tc>
        <w:tc>
          <w:tcPr>
            <w:tcW w:w="1179" w:type="dxa"/>
            <w:tcBorders>
              <w:top w:val="single" w:sz="4" w:space="0" w:color="auto"/>
            </w:tcBorders>
          </w:tcPr>
          <w:p w14:paraId="2832F26B" w14:textId="77777777" w:rsidR="00CF0E2D" w:rsidRDefault="00CF0E2D" w:rsidP="00A60D4B">
            <w:pPr>
              <w:pStyle w:val="InitFigR"/>
            </w:pPr>
            <w:r>
              <w:t>2,470</w:t>
            </w:r>
          </w:p>
        </w:tc>
        <w:tc>
          <w:tcPr>
            <w:tcW w:w="1041" w:type="dxa"/>
            <w:tcBorders>
              <w:top w:val="single" w:sz="4" w:space="0" w:color="auto"/>
            </w:tcBorders>
          </w:tcPr>
          <w:p w14:paraId="458AAA9E" w14:textId="77777777" w:rsidR="00CF0E2D" w:rsidRDefault="00CF0E2D" w:rsidP="00A60D4B">
            <w:pPr>
              <w:pStyle w:val="InitFigR"/>
            </w:pPr>
            <w:r>
              <w:t>5,759</w:t>
            </w:r>
          </w:p>
        </w:tc>
        <w:tc>
          <w:tcPr>
            <w:tcW w:w="1029" w:type="dxa"/>
            <w:tcBorders>
              <w:top w:val="single" w:sz="4" w:space="0" w:color="auto"/>
            </w:tcBorders>
          </w:tcPr>
          <w:p w14:paraId="73C04EA1" w14:textId="77777777" w:rsidR="00CF0E2D" w:rsidRDefault="00CF0E2D" w:rsidP="00A60D4B">
            <w:pPr>
              <w:pStyle w:val="InitFigR"/>
            </w:pPr>
            <w:r>
              <w:t>4,700</w:t>
            </w:r>
          </w:p>
        </w:tc>
        <w:tc>
          <w:tcPr>
            <w:tcW w:w="1029" w:type="dxa"/>
            <w:tcBorders>
              <w:top w:val="single" w:sz="4" w:space="0" w:color="auto"/>
            </w:tcBorders>
          </w:tcPr>
          <w:p w14:paraId="33957186" w14:textId="77777777" w:rsidR="00CF0E2D" w:rsidRDefault="00CF0E2D" w:rsidP="00A60D4B">
            <w:pPr>
              <w:pStyle w:val="InitFigR"/>
            </w:pPr>
            <w:r>
              <w:t>0</w:t>
            </w:r>
          </w:p>
        </w:tc>
        <w:tc>
          <w:tcPr>
            <w:tcW w:w="1029" w:type="dxa"/>
            <w:tcBorders>
              <w:top w:val="single" w:sz="4" w:space="0" w:color="auto"/>
            </w:tcBorders>
          </w:tcPr>
          <w:p w14:paraId="0730DF0D" w14:textId="77777777" w:rsidR="00CF0E2D" w:rsidRPr="004E6206" w:rsidRDefault="00CF0E2D" w:rsidP="00A60D4B">
            <w:pPr>
              <w:pStyle w:val="InitFigRBold"/>
              <w:rPr>
                <w:bCs/>
              </w:rPr>
            </w:pPr>
            <w:r w:rsidRPr="004E6206">
              <w:rPr>
                <w:bCs/>
              </w:rPr>
              <w:t>12,929</w:t>
            </w:r>
          </w:p>
        </w:tc>
      </w:tr>
      <w:tr w:rsidR="00CF0E2D" w:rsidRPr="00750793" w14:paraId="72CF52CC" w14:textId="77777777" w:rsidTr="00A60D4B">
        <w:trPr>
          <w:cantSplit/>
          <w:jc w:val="center"/>
        </w:trPr>
        <w:tc>
          <w:tcPr>
            <w:tcW w:w="3652" w:type="dxa"/>
            <w:tcBorders>
              <w:top w:val="single" w:sz="4" w:space="0" w:color="auto"/>
            </w:tcBorders>
          </w:tcPr>
          <w:p w14:paraId="35B10AD9" w14:textId="77777777" w:rsidR="00CF0E2D" w:rsidRPr="00911B50" w:rsidRDefault="00CF0E2D" w:rsidP="00A60D4B">
            <w:pPr>
              <w:pStyle w:val="InitTextL"/>
              <w:ind w:left="321" w:hanging="321"/>
            </w:pPr>
            <w:r>
              <w:t>Depreciation</w:t>
            </w:r>
          </w:p>
        </w:tc>
        <w:tc>
          <w:tcPr>
            <w:tcW w:w="1179" w:type="dxa"/>
            <w:tcBorders>
              <w:top w:val="single" w:sz="4" w:space="0" w:color="auto"/>
            </w:tcBorders>
          </w:tcPr>
          <w:p w14:paraId="63FA0038" w14:textId="77777777" w:rsidR="00CF0E2D" w:rsidRDefault="00CF0E2D" w:rsidP="00A60D4B">
            <w:pPr>
              <w:pStyle w:val="InitFigR"/>
            </w:pPr>
            <w:r>
              <w:t>0</w:t>
            </w:r>
          </w:p>
        </w:tc>
        <w:tc>
          <w:tcPr>
            <w:tcW w:w="1041" w:type="dxa"/>
            <w:tcBorders>
              <w:top w:val="single" w:sz="4" w:space="0" w:color="auto"/>
            </w:tcBorders>
          </w:tcPr>
          <w:p w14:paraId="08E758F0" w14:textId="77777777" w:rsidR="00CF0E2D" w:rsidRDefault="00CF0E2D" w:rsidP="00A60D4B">
            <w:pPr>
              <w:pStyle w:val="InitFigR"/>
            </w:pPr>
            <w:r>
              <w:t>0</w:t>
            </w:r>
          </w:p>
        </w:tc>
        <w:tc>
          <w:tcPr>
            <w:tcW w:w="1029" w:type="dxa"/>
            <w:tcBorders>
              <w:top w:val="single" w:sz="4" w:space="0" w:color="auto"/>
            </w:tcBorders>
          </w:tcPr>
          <w:p w14:paraId="2E4B9494" w14:textId="77777777" w:rsidR="00CF0E2D" w:rsidRDefault="00CF0E2D" w:rsidP="00A60D4B">
            <w:pPr>
              <w:pStyle w:val="InitFigR"/>
            </w:pPr>
            <w:r>
              <w:t>348</w:t>
            </w:r>
          </w:p>
        </w:tc>
        <w:tc>
          <w:tcPr>
            <w:tcW w:w="1029" w:type="dxa"/>
            <w:tcBorders>
              <w:top w:val="single" w:sz="4" w:space="0" w:color="auto"/>
            </w:tcBorders>
          </w:tcPr>
          <w:p w14:paraId="248FBDBF" w14:textId="77777777" w:rsidR="00CF0E2D" w:rsidRDefault="00CF0E2D" w:rsidP="00A60D4B">
            <w:pPr>
              <w:pStyle w:val="InitFigR"/>
            </w:pPr>
            <w:r>
              <w:t>872</w:t>
            </w:r>
          </w:p>
        </w:tc>
        <w:tc>
          <w:tcPr>
            <w:tcW w:w="1029" w:type="dxa"/>
            <w:tcBorders>
              <w:top w:val="single" w:sz="4" w:space="0" w:color="auto"/>
            </w:tcBorders>
          </w:tcPr>
          <w:p w14:paraId="396F02E8" w14:textId="77777777" w:rsidR="00CF0E2D" w:rsidRPr="004E6206" w:rsidRDefault="00CF0E2D" w:rsidP="00A60D4B">
            <w:pPr>
              <w:pStyle w:val="InitFigRBold"/>
              <w:rPr>
                <w:bCs/>
              </w:rPr>
            </w:pPr>
            <w:r w:rsidRPr="004E6206">
              <w:rPr>
                <w:bCs/>
              </w:rPr>
              <w:t>1,220</w:t>
            </w:r>
          </w:p>
        </w:tc>
      </w:tr>
      <w:tr w:rsidR="00CF0E2D" w:rsidRPr="00750793" w14:paraId="3EB14651" w14:textId="77777777" w:rsidTr="00A60D4B">
        <w:trPr>
          <w:cantSplit/>
          <w:jc w:val="center"/>
        </w:trPr>
        <w:tc>
          <w:tcPr>
            <w:tcW w:w="3652" w:type="dxa"/>
          </w:tcPr>
          <w:p w14:paraId="16A8581E" w14:textId="77777777" w:rsidR="00CF0E2D" w:rsidRPr="00F13FAB" w:rsidRDefault="00CF0E2D" w:rsidP="00A60D4B">
            <w:pPr>
              <w:pStyle w:val="InitTextL"/>
              <w:ind w:left="321" w:hanging="321"/>
            </w:pPr>
            <w:r w:rsidRPr="00882BE2">
              <w:t>Expenses</w:t>
            </w:r>
          </w:p>
        </w:tc>
        <w:tc>
          <w:tcPr>
            <w:tcW w:w="1179" w:type="dxa"/>
          </w:tcPr>
          <w:p w14:paraId="5349420D" w14:textId="77777777" w:rsidR="00CF0E2D" w:rsidRPr="00424DA4" w:rsidRDefault="00CF0E2D" w:rsidP="00A60D4B">
            <w:pPr>
              <w:pStyle w:val="InitFigR"/>
            </w:pPr>
            <w:r>
              <w:t>429</w:t>
            </w:r>
          </w:p>
        </w:tc>
        <w:tc>
          <w:tcPr>
            <w:tcW w:w="1041" w:type="dxa"/>
          </w:tcPr>
          <w:p w14:paraId="3C77CDAE" w14:textId="77777777" w:rsidR="00CF0E2D" w:rsidRPr="00424DA4" w:rsidRDefault="00CF0E2D" w:rsidP="00A60D4B">
            <w:pPr>
              <w:pStyle w:val="InitFigR"/>
            </w:pPr>
            <w:r>
              <w:t>495</w:t>
            </w:r>
          </w:p>
        </w:tc>
        <w:tc>
          <w:tcPr>
            <w:tcW w:w="1029" w:type="dxa"/>
          </w:tcPr>
          <w:p w14:paraId="5B1A67B2" w14:textId="77777777" w:rsidR="00CF0E2D" w:rsidRPr="00424DA4" w:rsidRDefault="00CF0E2D" w:rsidP="00A60D4B">
            <w:pPr>
              <w:pStyle w:val="InitFigR"/>
            </w:pPr>
            <w:r>
              <w:t>562</w:t>
            </w:r>
          </w:p>
        </w:tc>
        <w:tc>
          <w:tcPr>
            <w:tcW w:w="1029" w:type="dxa"/>
          </w:tcPr>
          <w:p w14:paraId="1F090F8D" w14:textId="77777777" w:rsidR="00CF0E2D" w:rsidRPr="00424DA4" w:rsidRDefault="00CF0E2D" w:rsidP="00A60D4B">
            <w:pPr>
              <w:pStyle w:val="InitFigR"/>
            </w:pPr>
            <w:r>
              <w:t>631</w:t>
            </w:r>
          </w:p>
        </w:tc>
        <w:tc>
          <w:tcPr>
            <w:tcW w:w="1029" w:type="dxa"/>
          </w:tcPr>
          <w:p w14:paraId="39A65FAD" w14:textId="77777777" w:rsidR="00CF0E2D" w:rsidRPr="00424DA4" w:rsidRDefault="00CF0E2D" w:rsidP="00A60D4B">
            <w:pPr>
              <w:pStyle w:val="InitFigBR"/>
            </w:pPr>
            <w:r>
              <w:t>2,117</w:t>
            </w:r>
          </w:p>
        </w:tc>
      </w:tr>
      <w:tr w:rsidR="00CF0E2D" w:rsidRPr="00750793" w14:paraId="7C09DD65" w14:textId="77777777" w:rsidTr="00A60D4B">
        <w:trPr>
          <w:cantSplit/>
          <w:jc w:val="center"/>
        </w:trPr>
        <w:tc>
          <w:tcPr>
            <w:tcW w:w="3652" w:type="dxa"/>
          </w:tcPr>
          <w:p w14:paraId="31E35C6E" w14:textId="77777777" w:rsidR="00CF0E2D" w:rsidRPr="00915199" w:rsidDel="002B63D3" w:rsidRDefault="00CF0E2D" w:rsidP="00A60D4B">
            <w:pPr>
              <w:pStyle w:val="InitTextL"/>
              <w:ind w:left="321" w:hanging="321"/>
            </w:pPr>
            <w:r w:rsidRPr="00915199">
              <w:t xml:space="preserve">Expenses – </w:t>
            </w:r>
            <w:r>
              <w:t>Capital grant</w:t>
            </w:r>
          </w:p>
        </w:tc>
        <w:tc>
          <w:tcPr>
            <w:tcW w:w="1179" w:type="dxa"/>
          </w:tcPr>
          <w:p w14:paraId="7A5DBAFA" w14:textId="77777777" w:rsidR="00CF0E2D" w:rsidRPr="00424DA4" w:rsidRDefault="00CF0E2D" w:rsidP="00A60D4B">
            <w:pPr>
              <w:pStyle w:val="InitFigR"/>
            </w:pPr>
            <w:r>
              <w:t>10,000</w:t>
            </w:r>
          </w:p>
        </w:tc>
        <w:tc>
          <w:tcPr>
            <w:tcW w:w="1041" w:type="dxa"/>
          </w:tcPr>
          <w:p w14:paraId="78DB12E9" w14:textId="77777777" w:rsidR="00CF0E2D" w:rsidRPr="00424DA4" w:rsidRDefault="00CF0E2D" w:rsidP="00A60D4B">
            <w:pPr>
              <w:pStyle w:val="InitFigR"/>
            </w:pPr>
            <w:r>
              <w:t>10,171</w:t>
            </w:r>
          </w:p>
        </w:tc>
        <w:tc>
          <w:tcPr>
            <w:tcW w:w="1029" w:type="dxa"/>
          </w:tcPr>
          <w:p w14:paraId="07716BDC" w14:textId="77777777" w:rsidR="00CF0E2D" w:rsidRPr="00424DA4" w:rsidRDefault="00CF0E2D" w:rsidP="00A60D4B">
            <w:pPr>
              <w:pStyle w:val="InitFigR"/>
            </w:pPr>
            <w:r>
              <w:t>1,000</w:t>
            </w:r>
          </w:p>
        </w:tc>
        <w:tc>
          <w:tcPr>
            <w:tcW w:w="1029" w:type="dxa"/>
          </w:tcPr>
          <w:p w14:paraId="25438A1A" w14:textId="77777777" w:rsidR="00CF0E2D" w:rsidRPr="00424DA4" w:rsidRDefault="00CF0E2D" w:rsidP="00A60D4B">
            <w:pPr>
              <w:pStyle w:val="InitFigR"/>
            </w:pPr>
            <w:r>
              <w:t>0</w:t>
            </w:r>
          </w:p>
        </w:tc>
        <w:tc>
          <w:tcPr>
            <w:tcW w:w="1029" w:type="dxa"/>
          </w:tcPr>
          <w:p w14:paraId="2B15BD3F" w14:textId="77777777" w:rsidR="00CF0E2D" w:rsidRPr="00424DA4" w:rsidRDefault="00CF0E2D" w:rsidP="00A60D4B">
            <w:pPr>
              <w:pStyle w:val="InitFigBR"/>
            </w:pPr>
            <w:r>
              <w:t>21,171</w:t>
            </w:r>
          </w:p>
        </w:tc>
      </w:tr>
      <w:tr w:rsidR="00CF0E2D" w:rsidRPr="00750793" w14:paraId="5FB84694" w14:textId="77777777" w:rsidTr="00A60D4B">
        <w:trPr>
          <w:cantSplit/>
          <w:jc w:val="center"/>
        </w:trPr>
        <w:tc>
          <w:tcPr>
            <w:tcW w:w="3652" w:type="dxa"/>
          </w:tcPr>
          <w:p w14:paraId="217F5EC9" w14:textId="77777777" w:rsidR="00CF0E2D" w:rsidRDefault="00CF0E2D" w:rsidP="00A60D4B">
            <w:pPr>
              <w:pStyle w:val="InitTextL"/>
              <w:ind w:left="321" w:hanging="321"/>
            </w:pPr>
            <w:r>
              <w:t>Offset – Health Funding Envelope</w:t>
            </w:r>
          </w:p>
        </w:tc>
        <w:tc>
          <w:tcPr>
            <w:tcW w:w="1179" w:type="dxa"/>
          </w:tcPr>
          <w:p w14:paraId="2E63F87F" w14:textId="77777777" w:rsidR="00CF0E2D" w:rsidRPr="00424DA4" w:rsidRDefault="00CF0E2D" w:rsidP="00A60D4B">
            <w:pPr>
              <w:pStyle w:val="InitFigR"/>
            </w:pPr>
            <w:r>
              <w:t>-429</w:t>
            </w:r>
          </w:p>
        </w:tc>
        <w:tc>
          <w:tcPr>
            <w:tcW w:w="1041" w:type="dxa"/>
          </w:tcPr>
          <w:p w14:paraId="4C40F1CF" w14:textId="77777777" w:rsidR="00CF0E2D" w:rsidRPr="00424DA4" w:rsidRDefault="00CF0E2D" w:rsidP="00A60D4B">
            <w:pPr>
              <w:pStyle w:val="InitFigR"/>
            </w:pPr>
            <w:r>
              <w:t>-495</w:t>
            </w:r>
          </w:p>
        </w:tc>
        <w:tc>
          <w:tcPr>
            <w:tcW w:w="1029" w:type="dxa"/>
          </w:tcPr>
          <w:p w14:paraId="72896B96" w14:textId="77777777" w:rsidR="00CF0E2D" w:rsidRPr="00424DA4" w:rsidRDefault="00CF0E2D" w:rsidP="00A60D4B">
            <w:pPr>
              <w:pStyle w:val="InitFigR"/>
            </w:pPr>
            <w:r>
              <w:t>-562</w:t>
            </w:r>
          </w:p>
        </w:tc>
        <w:tc>
          <w:tcPr>
            <w:tcW w:w="1029" w:type="dxa"/>
          </w:tcPr>
          <w:p w14:paraId="1CF14E15" w14:textId="77777777" w:rsidR="00CF0E2D" w:rsidRPr="00424DA4" w:rsidRDefault="00CF0E2D" w:rsidP="00A60D4B">
            <w:pPr>
              <w:pStyle w:val="InitFigR"/>
            </w:pPr>
            <w:r>
              <w:t>-631</w:t>
            </w:r>
          </w:p>
        </w:tc>
        <w:tc>
          <w:tcPr>
            <w:tcW w:w="1029" w:type="dxa"/>
          </w:tcPr>
          <w:p w14:paraId="704D4761" w14:textId="77777777" w:rsidR="00CF0E2D" w:rsidRPr="00424DA4" w:rsidRDefault="00CF0E2D" w:rsidP="00A60D4B">
            <w:pPr>
              <w:pStyle w:val="InitFigBR"/>
            </w:pPr>
            <w:r>
              <w:t>-2,117</w:t>
            </w:r>
          </w:p>
        </w:tc>
      </w:tr>
      <w:tr w:rsidR="00CF0E2D" w:rsidRPr="00750793" w14:paraId="1F738336" w14:textId="77777777" w:rsidTr="00A60D4B">
        <w:trPr>
          <w:cantSplit/>
          <w:jc w:val="center"/>
        </w:trPr>
        <w:tc>
          <w:tcPr>
            <w:tcW w:w="3652" w:type="dxa"/>
          </w:tcPr>
          <w:p w14:paraId="3B787CCC" w14:textId="77777777" w:rsidR="00CF0E2D" w:rsidRPr="00F13FAB" w:rsidRDefault="00CF0E2D" w:rsidP="00A60D4B">
            <w:pPr>
              <w:pStyle w:val="InitTextL"/>
              <w:ind w:left="321" w:hanging="321"/>
            </w:pPr>
            <w:r>
              <w:t>Offset – Expenses – Provision</w:t>
            </w:r>
          </w:p>
        </w:tc>
        <w:tc>
          <w:tcPr>
            <w:tcW w:w="1179" w:type="dxa"/>
          </w:tcPr>
          <w:p w14:paraId="18588091" w14:textId="77777777" w:rsidR="00CF0E2D" w:rsidRPr="00424DA4" w:rsidRDefault="00CF0E2D" w:rsidP="00A60D4B">
            <w:pPr>
              <w:pStyle w:val="InitFigR"/>
            </w:pPr>
            <w:r>
              <w:t>-1,355</w:t>
            </w:r>
          </w:p>
        </w:tc>
        <w:tc>
          <w:tcPr>
            <w:tcW w:w="1041" w:type="dxa"/>
          </w:tcPr>
          <w:p w14:paraId="16490814" w14:textId="77777777" w:rsidR="00CF0E2D" w:rsidRPr="00424DA4" w:rsidRDefault="00CF0E2D" w:rsidP="00A60D4B">
            <w:pPr>
              <w:pStyle w:val="InitFigR"/>
            </w:pPr>
            <w:r>
              <w:t>0</w:t>
            </w:r>
          </w:p>
        </w:tc>
        <w:tc>
          <w:tcPr>
            <w:tcW w:w="1029" w:type="dxa"/>
          </w:tcPr>
          <w:p w14:paraId="0AC7B319" w14:textId="77777777" w:rsidR="00CF0E2D" w:rsidRPr="00424DA4" w:rsidRDefault="00CF0E2D" w:rsidP="00A60D4B">
            <w:pPr>
              <w:pStyle w:val="InitFigR"/>
            </w:pPr>
            <w:r>
              <w:t>0</w:t>
            </w:r>
          </w:p>
        </w:tc>
        <w:tc>
          <w:tcPr>
            <w:tcW w:w="1029" w:type="dxa"/>
          </w:tcPr>
          <w:p w14:paraId="2A2E72AB" w14:textId="77777777" w:rsidR="00CF0E2D" w:rsidRPr="00424DA4" w:rsidRDefault="00CF0E2D" w:rsidP="00A60D4B">
            <w:pPr>
              <w:pStyle w:val="InitFigR"/>
            </w:pPr>
            <w:r>
              <w:t>0</w:t>
            </w:r>
          </w:p>
        </w:tc>
        <w:tc>
          <w:tcPr>
            <w:tcW w:w="1029" w:type="dxa"/>
          </w:tcPr>
          <w:p w14:paraId="52F1C085" w14:textId="77777777" w:rsidR="00CF0E2D" w:rsidRPr="00424DA4" w:rsidRDefault="00CF0E2D" w:rsidP="00A60D4B">
            <w:pPr>
              <w:pStyle w:val="InitFigBR"/>
            </w:pPr>
            <w:r>
              <w:t>-1,355</w:t>
            </w:r>
          </w:p>
        </w:tc>
      </w:tr>
      <w:tr w:rsidR="00CF0E2D" w:rsidRPr="00750793" w14:paraId="25AD6587" w14:textId="77777777" w:rsidTr="00A60D4B">
        <w:trPr>
          <w:cantSplit/>
          <w:trHeight w:val="107"/>
          <w:jc w:val="center"/>
        </w:trPr>
        <w:tc>
          <w:tcPr>
            <w:tcW w:w="3652" w:type="dxa"/>
            <w:tcBorders>
              <w:top w:val="single" w:sz="4" w:space="0" w:color="auto"/>
              <w:bottom w:val="single" w:sz="4" w:space="0" w:color="auto"/>
            </w:tcBorders>
          </w:tcPr>
          <w:p w14:paraId="2D7D80BD" w14:textId="54332025" w:rsidR="00CF0E2D"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42C0AF7F" w14:textId="77777777" w:rsidR="00CF0E2D" w:rsidRPr="00424DA4" w:rsidRDefault="00CF0E2D" w:rsidP="00A60D4B">
            <w:pPr>
              <w:pStyle w:val="InitFigRBold"/>
            </w:pPr>
            <w:r>
              <w:t>8,645</w:t>
            </w:r>
          </w:p>
        </w:tc>
        <w:tc>
          <w:tcPr>
            <w:tcW w:w="1041" w:type="dxa"/>
            <w:tcBorders>
              <w:top w:val="single" w:sz="4" w:space="0" w:color="auto"/>
              <w:bottom w:val="single" w:sz="4" w:space="0" w:color="auto"/>
            </w:tcBorders>
          </w:tcPr>
          <w:p w14:paraId="751976FF" w14:textId="77777777" w:rsidR="00CF0E2D" w:rsidRPr="00424DA4" w:rsidRDefault="00CF0E2D" w:rsidP="00A60D4B">
            <w:pPr>
              <w:pStyle w:val="InitFigRBold"/>
            </w:pPr>
            <w:r>
              <w:t>10,171</w:t>
            </w:r>
          </w:p>
        </w:tc>
        <w:tc>
          <w:tcPr>
            <w:tcW w:w="1029" w:type="dxa"/>
            <w:tcBorders>
              <w:top w:val="single" w:sz="4" w:space="0" w:color="auto"/>
              <w:bottom w:val="single" w:sz="4" w:space="0" w:color="auto"/>
            </w:tcBorders>
          </w:tcPr>
          <w:p w14:paraId="6CF708FF" w14:textId="77777777" w:rsidR="00CF0E2D" w:rsidRPr="00424DA4" w:rsidRDefault="00CF0E2D" w:rsidP="00A60D4B">
            <w:pPr>
              <w:pStyle w:val="InitFigRBold"/>
            </w:pPr>
            <w:r>
              <w:t>1,348</w:t>
            </w:r>
          </w:p>
        </w:tc>
        <w:tc>
          <w:tcPr>
            <w:tcW w:w="1029" w:type="dxa"/>
            <w:tcBorders>
              <w:top w:val="single" w:sz="4" w:space="0" w:color="auto"/>
              <w:bottom w:val="single" w:sz="4" w:space="0" w:color="auto"/>
            </w:tcBorders>
          </w:tcPr>
          <w:p w14:paraId="5C212249" w14:textId="77777777" w:rsidR="00CF0E2D" w:rsidRPr="00424DA4" w:rsidRDefault="00CF0E2D" w:rsidP="00A60D4B">
            <w:pPr>
              <w:pStyle w:val="InitFigRBold"/>
            </w:pPr>
            <w:r>
              <w:t>872</w:t>
            </w:r>
          </w:p>
        </w:tc>
        <w:tc>
          <w:tcPr>
            <w:tcW w:w="1029" w:type="dxa"/>
            <w:tcBorders>
              <w:top w:val="single" w:sz="4" w:space="0" w:color="auto"/>
              <w:bottom w:val="single" w:sz="4" w:space="0" w:color="auto"/>
            </w:tcBorders>
          </w:tcPr>
          <w:p w14:paraId="7E2D29E6" w14:textId="77777777" w:rsidR="00CF0E2D" w:rsidRPr="00424DA4" w:rsidRDefault="00CF0E2D" w:rsidP="00A60D4B">
            <w:pPr>
              <w:pStyle w:val="InitFigRBold"/>
            </w:pPr>
            <w:r>
              <w:t>21,036</w:t>
            </w:r>
          </w:p>
        </w:tc>
      </w:tr>
    </w:tbl>
    <w:p w14:paraId="081CA105" w14:textId="77777777" w:rsidR="00CF0E2D" w:rsidRPr="006B0338" w:rsidRDefault="00CF0E2D" w:rsidP="00A60D4B">
      <w:pPr>
        <w:pStyle w:val="Bbodytext"/>
        <w:rPr>
          <w:rFonts w:ascii="Calibri" w:eastAsia="Times New Roman" w:hAnsi="Calibri" w:cs="Times New Roman"/>
          <w:szCs w:val="20"/>
        </w:rPr>
      </w:pPr>
      <w:r w:rsidRPr="006B0338">
        <w:t>The Government wi</w:t>
      </w:r>
      <w:r w:rsidRPr="006B0338">
        <w:rPr>
          <w:rFonts w:ascii="Calibri" w:eastAsia="Times New Roman" w:hAnsi="Calibri" w:cs="Times New Roman"/>
          <w:szCs w:val="20"/>
        </w:rPr>
        <w:t>ll support a range of infrastructure upgrades at Calvary Public Hospital Bruce, including the redevelopment and expansion of sterilising services to meet increased demand and upgrades to the IT systems in preparation for implementation of the Digital Health Record (MyDHR).</w:t>
      </w:r>
    </w:p>
    <w:p w14:paraId="4D5A0067" w14:textId="77777777" w:rsidR="00CF0E2D" w:rsidRDefault="00CF0E2D" w:rsidP="00A60D4B">
      <w:pPr>
        <w:pStyle w:val="Bbodytext"/>
        <w:rPr>
          <w:rFonts w:ascii="Calibri" w:eastAsia="Times New Roman" w:hAnsi="Calibri" w:cs="Times New Roman"/>
          <w:szCs w:val="20"/>
        </w:rPr>
      </w:pPr>
      <w:r w:rsidRPr="006B0338">
        <w:t>This</w:t>
      </w:r>
      <w:r w:rsidRPr="006B0338">
        <w:rPr>
          <w:rFonts w:ascii="Calibri" w:eastAsia="Times New Roman" w:hAnsi="Calibri" w:cs="Times New Roman"/>
          <w:szCs w:val="20"/>
        </w:rPr>
        <w:t xml:space="preserve"> initiative contributes to the wellbeing domain of Health.</w:t>
      </w:r>
    </w:p>
    <w:p w14:paraId="10CE431E" w14:textId="77777777" w:rsidR="00CF0E2D" w:rsidRDefault="00CF0E2D" w:rsidP="00A60D4B">
      <w:pPr>
        <w:pStyle w:val="Bbodytext"/>
        <w:rPr>
          <w:rFonts w:ascii="Calibri" w:eastAsia="Times New Roman" w:hAnsi="Calibri" w:cs="Times New Roman"/>
          <w:szCs w:val="20"/>
        </w:rPr>
      </w:pPr>
    </w:p>
    <w:p w14:paraId="53F18541" w14:textId="77777777" w:rsidR="00CF0E2D" w:rsidRPr="001952D1" w:rsidRDefault="00CF0E2D" w:rsidP="00A60D4B">
      <w:pPr>
        <w:pStyle w:val="Heading4"/>
        <w:keepNext w:val="0"/>
        <w:keepLines w:val="0"/>
        <w:rPr>
          <w:rFonts w:eastAsia="Times New Roman"/>
        </w:rPr>
      </w:pPr>
      <w:r w:rsidRPr="001952D1">
        <w:rPr>
          <w:rFonts w:eastAsia="Times New Roman"/>
        </w:rPr>
        <w:t xml:space="preserve">Improving Canberra’s health infrastructure </w:t>
      </w:r>
      <w:r>
        <w:rPr>
          <w:rFonts w:eastAsia="Times New Roman"/>
        </w:rPr>
        <w:t>–</w:t>
      </w:r>
      <w:r w:rsidRPr="001952D1">
        <w:rPr>
          <w:rFonts w:eastAsia="Times New Roman"/>
        </w:rPr>
        <w:t xml:space="preserve"> Canberra Health Services </w:t>
      </w:r>
      <w:r>
        <w:rPr>
          <w:rFonts w:eastAsia="Times New Roman"/>
        </w:rPr>
        <w:t>w</w:t>
      </w:r>
      <w:r w:rsidRPr="001952D1">
        <w:rPr>
          <w:rFonts w:eastAsia="Times New Roman"/>
        </w:rPr>
        <w:t xml:space="preserve">arehouse and </w:t>
      </w:r>
      <w:r>
        <w:rPr>
          <w:rFonts w:eastAsia="Times New Roman"/>
        </w:rPr>
        <w:t>l</w:t>
      </w:r>
      <w:r w:rsidRPr="001952D1">
        <w:rPr>
          <w:rFonts w:eastAsia="Times New Roman"/>
        </w:rPr>
        <w:t xml:space="preserve">ogistics </w:t>
      </w:r>
      <w:r>
        <w:rPr>
          <w:rFonts w:eastAsia="Times New Roman"/>
        </w:rPr>
        <w:t>f</w:t>
      </w:r>
      <w:r w:rsidRPr="001952D1">
        <w:rPr>
          <w:rFonts w:eastAsia="Times New Roman"/>
        </w:rPr>
        <w:t xml:space="preserve">acility </w:t>
      </w:r>
      <w:r>
        <w:rPr>
          <w:b w:val="0"/>
          <w:noProof/>
          <w:color w:val="999789"/>
          <w:sz w:val="32"/>
          <w:szCs w:val="24"/>
        </w:rPr>
        <w:drawing>
          <wp:anchor distT="0" distB="0" distL="114300" distR="114300" simplePos="0" relativeHeight="251949056" behindDoc="0" locked="1" layoutInCell="1" allowOverlap="1" wp14:anchorId="31A08FB5" wp14:editId="77B5F1AF">
            <wp:simplePos x="0" y="0"/>
            <wp:positionH relativeFrom="margin">
              <wp:align>right</wp:align>
            </wp:positionH>
            <wp:positionV relativeFrom="paragraph">
              <wp:posOffset>90805</wp:posOffset>
            </wp:positionV>
            <wp:extent cx="993140" cy="503555"/>
            <wp:effectExtent l="0" t="0" r="0" b="0"/>
            <wp:wrapSquare wrapText="bothSides"/>
            <wp:docPr id="174" name="Picture 174"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01"/>
        <w:gridCol w:w="28"/>
      </w:tblGrid>
      <w:tr w:rsidR="00CF0E2D" w:rsidRPr="00750793" w14:paraId="42899E5A" w14:textId="77777777" w:rsidTr="00A60D4B">
        <w:trPr>
          <w:cantSplit/>
          <w:jc w:val="center"/>
        </w:trPr>
        <w:tc>
          <w:tcPr>
            <w:tcW w:w="3652" w:type="dxa"/>
            <w:tcBorders>
              <w:top w:val="single" w:sz="4" w:space="0" w:color="auto"/>
              <w:bottom w:val="single" w:sz="4" w:space="0" w:color="auto"/>
            </w:tcBorders>
          </w:tcPr>
          <w:p w14:paraId="7391E0A8"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3E648943" w14:textId="77777777" w:rsidR="00CF0E2D" w:rsidRPr="00884AAE" w:rsidRDefault="00CF0E2D" w:rsidP="00A60D4B">
            <w:pPr>
              <w:pStyle w:val="InitFigR"/>
              <w:rPr>
                <w:b/>
                <w:bCs/>
              </w:rPr>
            </w:pPr>
            <w:r w:rsidRPr="00884AAE">
              <w:rPr>
                <w:b/>
                <w:bCs/>
              </w:rPr>
              <w:t>2021-22</w:t>
            </w:r>
          </w:p>
          <w:p w14:paraId="31F2AF79" w14:textId="77777777" w:rsidR="00CF0E2D" w:rsidRPr="00884AAE" w:rsidRDefault="00CF0E2D" w:rsidP="00A60D4B">
            <w:pPr>
              <w:pStyle w:val="InitFigR"/>
              <w:rPr>
                <w:b/>
                <w:bCs/>
              </w:rPr>
            </w:pPr>
            <w:r w:rsidRPr="00884AAE">
              <w:rPr>
                <w:b/>
                <w:bCs/>
              </w:rPr>
              <w:t>$’000</w:t>
            </w:r>
          </w:p>
        </w:tc>
        <w:tc>
          <w:tcPr>
            <w:tcW w:w="1041" w:type="dxa"/>
            <w:tcBorders>
              <w:top w:val="single" w:sz="4" w:space="0" w:color="auto"/>
              <w:bottom w:val="single" w:sz="4" w:space="0" w:color="auto"/>
            </w:tcBorders>
          </w:tcPr>
          <w:p w14:paraId="46429085" w14:textId="77777777" w:rsidR="00CF0E2D" w:rsidRPr="00884AAE" w:rsidRDefault="00CF0E2D" w:rsidP="00A60D4B">
            <w:pPr>
              <w:pStyle w:val="InitFigR"/>
              <w:rPr>
                <w:b/>
                <w:bCs/>
              </w:rPr>
            </w:pPr>
            <w:r w:rsidRPr="00884AAE">
              <w:rPr>
                <w:b/>
                <w:bCs/>
              </w:rPr>
              <w:t>2022-23</w:t>
            </w:r>
          </w:p>
          <w:p w14:paraId="02AF16D0" w14:textId="77777777" w:rsidR="00CF0E2D" w:rsidRPr="00884AAE" w:rsidRDefault="00CF0E2D" w:rsidP="00A60D4B">
            <w:pPr>
              <w:pStyle w:val="InitFigR"/>
              <w:rPr>
                <w:b/>
                <w:bCs/>
              </w:rPr>
            </w:pPr>
            <w:r w:rsidRPr="00884AAE">
              <w:rPr>
                <w:b/>
                <w:bCs/>
              </w:rPr>
              <w:t>$’000</w:t>
            </w:r>
          </w:p>
        </w:tc>
        <w:tc>
          <w:tcPr>
            <w:tcW w:w="1029" w:type="dxa"/>
            <w:tcBorders>
              <w:top w:val="single" w:sz="4" w:space="0" w:color="auto"/>
              <w:bottom w:val="single" w:sz="4" w:space="0" w:color="auto"/>
            </w:tcBorders>
          </w:tcPr>
          <w:p w14:paraId="120ACA89" w14:textId="77777777" w:rsidR="00CF0E2D" w:rsidRPr="00884AAE" w:rsidRDefault="00CF0E2D" w:rsidP="00A60D4B">
            <w:pPr>
              <w:pStyle w:val="InitFigR"/>
              <w:rPr>
                <w:b/>
                <w:bCs/>
              </w:rPr>
            </w:pPr>
            <w:r w:rsidRPr="00884AAE">
              <w:rPr>
                <w:b/>
                <w:bCs/>
              </w:rPr>
              <w:t>2023-24</w:t>
            </w:r>
          </w:p>
          <w:p w14:paraId="43089A40" w14:textId="77777777" w:rsidR="00CF0E2D" w:rsidRPr="00884AAE" w:rsidRDefault="00CF0E2D" w:rsidP="00A60D4B">
            <w:pPr>
              <w:pStyle w:val="InitFigR"/>
              <w:rPr>
                <w:b/>
                <w:bCs/>
              </w:rPr>
            </w:pPr>
            <w:r w:rsidRPr="00884AAE">
              <w:rPr>
                <w:b/>
                <w:bCs/>
              </w:rPr>
              <w:t>$’000</w:t>
            </w:r>
          </w:p>
        </w:tc>
        <w:tc>
          <w:tcPr>
            <w:tcW w:w="1029" w:type="dxa"/>
            <w:tcBorders>
              <w:top w:val="single" w:sz="4" w:space="0" w:color="auto"/>
              <w:bottom w:val="single" w:sz="4" w:space="0" w:color="auto"/>
            </w:tcBorders>
          </w:tcPr>
          <w:p w14:paraId="3C1267BC" w14:textId="77777777" w:rsidR="00CF0E2D" w:rsidRPr="00884AAE" w:rsidRDefault="00CF0E2D" w:rsidP="00A60D4B">
            <w:pPr>
              <w:pStyle w:val="InitFigR"/>
              <w:rPr>
                <w:b/>
                <w:bCs/>
              </w:rPr>
            </w:pPr>
            <w:r w:rsidRPr="00884AAE">
              <w:rPr>
                <w:b/>
                <w:bCs/>
              </w:rPr>
              <w:t>2024-25</w:t>
            </w:r>
          </w:p>
          <w:p w14:paraId="29227303" w14:textId="77777777" w:rsidR="00CF0E2D" w:rsidRPr="00884AAE" w:rsidRDefault="00CF0E2D" w:rsidP="00A60D4B">
            <w:pPr>
              <w:pStyle w:val="InitFigR"/>
              <w:rPr>
                <w:b/>
                <w:bCs/>
              </w:rPr>
            </w:pPr>
            <w:r w:rsidRPr="00884AAE">
              <w:rPr>
                <w:b/>
                <w:bCs/>
              </w:rPr>
              <w:t>$’000</w:t>
            </w:r>
          </w:p>
        </w:tc>
        <w:tc>
          <w:tcPr>
            <w:tcW w:w="1029" w:type="dxa"/>
            <w:gridSpan w:val="2"/>
            <w:tcBorders>
              <w:top w:val="single" w:sz="4" w:space="0" w:color="auto"/>
              <w:bottom w:val="single" w:sz="4" w:space="0" w:color="auto"/>
            </w:tcBorders>
          </w:tcPr>
          <w:p w14:paraId="29A2FA28" w14:textId="77777777" w:rsidR="00CF0E2D" w:rsidRPr="004E341E" w:rsidRDefault="00CF0E2D" w:rsidP="00A60D4B">
            <w:pPr>
              <w:pStyle w:val="InitFigRBold"/>
            </w:pPr>
            <w:r w:rsidRPr="004E341E">
              <w:t>Total</w:t>
            </w:r>
          </w:p>
          <w:p w14:paraId="6C638F9E" w14:textId="77777777" w:rsidR="00CF0E2D" w:rsidRPr="004E341E" w:rsidRDefault="00CF0E2D" w:rsidP="00A60D4B">
            <w:pPr>
              <w:pStyle w:val="InitFigBR"/>
            </w:pPr>
            <w:r w:rsidRPr="004E341E">
              <w:t>$’000</w:t>
            </w:r>
          </w:p>
        </w:tc>
      </w:tr>
      <w:tr w:rsidR="00CF0E2D" w:rsidRPr="00750793" w14:paraId="6E085C7F" w14:textId="77777777" w:rsidTr="00A60D4B">
        <w:trPr>
          <w:cantSplit/>
          <w:jc w:val="center"/>
        </w:trPr>
        <w:tc>
          <w:tcPr>
            <w:tcW w:w="3652" w:type="dxa"/>
            <w:tcBorders>
              <w:top w:val="single" w:sz="4" w:space="0" w:color="auto"/>
              <w:bottom w:val="single" w:sz="4" w:space="0" w:color="auto"/>
            </w:tcBorders>
          </w:tcPr>
          <w:p w14:paraId="348CC993" w14:textId="77777777" w:rsidR="00CF0E2D" w:rsidRDefault="00CF0E2D" w:rsidP="00A60D4B">
            <w:pPr>
              <w:pStyle w:val="InitTextL"/>
              <w:ind w:left="321" w:hanging="321"/>
            </w:pPr>
            <w:r>
              <w:t>Capital</w:t>
            </w:r>
          </w:p>
        </w:tc>
        <w:tc>
          <w:tcPr>
            <w:tcW w:w="1179" w:type="dxa"/>
            <w:tcBorders>
              <w:top w:val="single" w:sz="4" w:space="0" w:color="auto"/>
              <w:bottom w:val="single" w:sz="4" w:space="0" w:color="auto"/>
            </w:tcBorders>
          </w:tcPr>
          <w:p w14:paraId="181DCEF1" w14:textId="77777777" w:rsidR="00CF0E2D" w:rsidRDefault="00CF0E2D" w:rsidP="00A60D4B">
            <w:pPr>
              <w:pStyle w:val="InitFigR"/>
            </w:pPr>
            <w:r w:rsidRPr="00452C0F">
              <w:t>767</w:t>
            </w:r>
          </w:p>
        </w:tc>
        <w:tc>
          <w:tcPr>
            <w:tcW w:w="1041" w:type="dxa"/>
            <w:tcBorders>
              <w:top w:val="single" w:sz="4" w:space="0" w:color="auto"/>
              <w:bottom w:val="single" w:sz="4" w:space="0" w:color="auto"/>
            </w:tcBorders>
          </w:tcPr>
          <w:p w14:paraId="4A98B26A" w14:textId="77777777" w:rsidR="00CF0E2D" w:rsidRDefault="00CF0E2D" w:rsidP="00A60D4B">
            <w:pPr>
              <w:pStyle w:val="InitFigR"/>
            </w:pPr>
            <w:r w:rsidRPr="00452C0F">
              <w:t>500</w:t>
            </w:r>
          </w:p>
        </w:tc>
        <w:tc>
          <w:tcPr>
            <w:tcW w:w="1029" w:type="dxa"/>
            <w:tcBorders>
              <w:top w:val="single" w:sz="4" w:space="0" w:color="auto"/>
              <w:bottom w:val="single" w:sz="4" w:space="0" w:color="auto"/>
            </w:tcBorders>
          </w:tcPr>
          <w:p w14:paraId="5F01758E" w14:textId="77777777" w:rsidR="00CF0E2D" w:rsidRDefault="00CF0E2D" w:rsidP="00A60D4B">
            <w:pPr>
              <w:pStyle w:val="InitFigR"/>
            </w:pPr>
            <w:r>
              <w:t>0</w:t>
            </w:r>
          </w:p>
        </w:tc>
        <w:tc>
          <w:tcPr>
            <w:tcW w:w="1029" w:type="dxa"/>
            <w:tcBorders>
              <w:top w:val="single" w:sz="4" w:space="0" w:color="auto"/>
              <w:bottom w:val="single" w:sz="4" w:space="0" w:color="auto"/>
            </w:tcBorders>
          </w:tcPr>
          <w:p w14:paraId="5607BBC0" w14:textId="77777777" w:rsidR="00CF0E2D" w:rsidRDefault="00CF0E2D" w:rsidP="00A60D4B">
            <w:pPr>
              <w:pStyle w:val="InitFigR"/>
            </w:pPr>
            <w:r>
              <w:t>0</w:t>
            </w:r>
          </w:p>
        </w:tc>
        <w:tc>
          <w:tcPr>
            <w:tcW w:w="1029" w:type="dxa"/>
            <w:gridSpan w:val="2"/>
            <w:tcBorders>
              <w:top w:val="single" w:sz="4" w:space="0" w:color="auto"/>
              <w:bottom w:val="single" w:sz="4" w:space="0" w:color="auto"/>
            </w:tcBorders>
          </w:tcPr>
          <w:p w14:paraId="01BA9590" w14:textId="77777777" w:rsidR="00CF0E2D" w:rsidRPr="00884AAE" w:rsidRDefault="00CF0E2D" w:rsidP="00A60D4B">
            <w:pPr>
              <w:pStyle w:val="InitFigRBold"/>
              <w:rPr>
                <w:bCs/>
              </w:rPr>
            </w:pPr>
            <w:r w:rsidRPr="00884AAE">
              <w:rPr>
                <w:bCs/>
              </w:rPr>
              <w:t>1,267</w:t>
            </w:r>
          </w:p>
        </w:tc>
      </w:tr>
      <w:tr w:rsidR="00CF0E2D" w:rsidRPr="00750793" w14:paraId="3CF4D3C6" w14:textId="77777777" w:rsidTr="00A60D4B">
        <w:trPr>
          <w:gridAfter w:val="1"/>
          <w:wAfter w:w="28" w:type="dxa"/>
          <w:cantSplit/>
          <w:jc w:val="center"/>
        </w:trPr>
        <w:tc>
          <w:tcPr>
            <w:tcW w:w="3652" w:type="dxa"/>
          </w:tcPr>
          <w:p w14:paraId="51D17444" w14:textId="77777777" w:rsidR="00CF0E2D" w:rsidRPr="00F13FAB" w:rsidRDefault="00CF0E2D" w:rsidP="00A60D4B">
            <w:pPr>
              <w:pStyle w:val="InitTextL"/>
              <w:ind w:left="321" w:hanging="321"/>
            </w:pPr>
            <w:r>
              <w:t>Depreciation</w:t>
            </w:r>
          </w:p>
        </w:tc>
        <w:tc>
          <w:tcPr>
            <w:tcW w:w="1179" w:type="dxa"/>
          </w:tcPr>
          <w:p w14:paraId="6B66367B" w14:textId="77777777" w:rsidR="00CF0E2D" w:rsidRPr="00424DA4" w:rsidRDefault="00CF0E2D" w:rsidP="00A60D4B">
            <w:pPr>
              <w:pStyle w:val="InitFigR"/>
            </w:pPr>
            <w:r>
              <w:t>0</w:t>
            </w:r>
          </w:p>
        </w:tc>
        <w:tc>
          <w:tcPr>
            <w:tcW w:w="1041" w:type="dxa"/>
          </w:tcPr>
          <w:p w14:paraId="4B450E76" w14:textId="77777777" w:rsidR="00CF0E2D" w:rsidRPr="00424DA4" w:rsidRDefault="00CF0E2D" w:rsidP="00A60D4B">
            <w:pPr>
              <w:pStyle w:val="InitFigR"/>
            </w:pPr>
            <w:r>
              <w:t>85</w:t>
            </w:r>
          </w:p>
        </w:tc>
        <w:tc>
          <w:tcPr>
            <w:tcW w:w="1029" w:type="dxa"/>
          </w:tcPr>
          <w:p w14:paraId="33488F6C" w14:textId="77777777" w:rsidR="00CF0E2D" w:rsidRPr="00424DA4" w:rsidRDefault="00CF0E2D" w:rsidP="00A60D4B">
            <w:pPr>
              <w:pStyle w:val="InitFigR"/>
            </w:pPr>
            <w:r>
              <w:t>85</w:t>
            </w:r>
          </w:p>
        </w:tc>
        <w:tc>
          <w:tcPr>
            <w:tcW w:w="1029" w:type="dxa"/>
          </w:tcPr>
          <w:p w14:paraId="01B2F1D0" w14:textId="77777777" w:rsidR="00CF0E2D" w:rsidRPr="00424DA4" w:rsidRDefault="00CF0E2D" w:rsidP="00A60D4B">
            <w:pPr>
              <w:pStyle w:val="InitFigR"/>
            </w:pPr>
            <w:r>
              <w:t>85</w:t>
            </w:r>
          </w:p>
        </w:tc>
        <w:tc>
          <w:tcPr>
            <w:tcW w:w="1001" w:type="dxa"/>
          </w:tcPr>
          <w:p w14:paraId="48F3684B" w14:textId="77777777" w:rsidR="00CF0E2D" w:rsidRPr="00424DA4" w:rsidRDefault="00CF0E2D" w:rsidP="00A60D4B">
            <w:pPr>
              <w:pStyle w:val="InitFigBR"/>
            </w:pPr>
            <w:r w:rsidRPr="00897F5F">
              <w:t>2</w:t>
            </w:r>
            <w:r>
              <w:t>55</w:t>
            </w:r>
          </w:p>
        </w:tc>
      </w:tr>
      <w:tr w:rsidR="00CF0E2D" w:rsidRPr="00750793" w14:paraId="4F8773FB" w14:textId="77777777" w:rsidTr="00A60D4B">
        <w:trPr>
          <w:gridAfter w:val="1"/>
          <w:wAfter w:w="28" w:type="dxa"/>
          <w:cantSplit/>
          <w:jc w:val="center"/>
        </w:trPr>
        <w:tc>
          <w:tcPr>
            <w:tcW w:w="3652" w:type="dxa"/>
          </w:tcPr>
          <w:p w14:paraId="176D2B33" w14:textId="77777777" w:rsidR="00CF0E2D" w:rsidRPr="00882BE2" w:rsidRDefault="00CF0E2D" w:rsidP="00A60D4B">
            <w:pPr>
              <w:pStyle w:val="InitTextL"/>
              <w:ind w:left="321" w:hanging="321"/>
            </w:pPr>
            <w:r>
              <w:t>Expenses</w:t>
            </w:r>
          </w:p>
        </w:tc>
        <w:tc>
          <w:tcPr>
            <w:tcW w:w="1179" w:type="dxa"/>
          </w:tcPr>
          <w:p w14:paraId="521EF5F4" w14:textId="77777777" w:rsidR="00CF0E2D" w:rsidRPr="00897F5F" w:rsidRDefault="00CF0E2D" w:rsidP="00A60D4B">
            <w:pPr>
              <w:pStyle w:val="InitFigR"/>
            </w:pPr>
            <w:r>
              <w:t>533</w:t>
            </w:r>
          </w:p>
        </w:tc>
        <w:tc>
          <w:tcPr>
            <w:tcW w:w="1041" w:type="dxa"/>
          </w:tcPr>
          <w:p w14:paraId="08CE74D9" w14:textId="77777777" w:rsidR="00CF0E2D" w:rsidRPr="00897F5F" w:rsidRDefault="00CF0E2D" w:rsidP="00A60D4B">
            <w:pPr>
              <w:pStyle w:val="InitFigR"/>
            </w:pPr>
            <w:r>
              <w:t>480</w:t>
            </w:r>
          </w:p>
        </w:tc>
        <w:tc>
          <w:tcPr>
            <w:tcW w:w="1029" w:type="dxa"/>
          </w:tcPr>
          <w:p w14:paraId="73656F30" w14:textId="77777777" w:rsidR="00CF0E2D" w:rsidRPr="00897F5F" w:rsidRDefault="00CF0E2D" w:rsidP="00A60D4B">
            <w:pPr>
              <w:pStyle w:val="InitFigR"/>
            </w:pPr>
            <w:r>
              <w:t>498</w:t>
            </w:r>
          </w:p>
        </w:tc>
        <w:tc>
          <w:tcPr>
            <w:tcW w:w="1029" w:type="dxa"/>
          </w:tcPr>
          <w:p w14:paraId="156773C9" w14:textId="77777777" w:rsidR="00CF0E2D" w:rsidRPr="00897F5F" w:rsidRDefault="00CF0E2D" w:rsidP="00A60D4B">
            <w:pPr>
              <w:pStyle w:val="InitFigR"/>
            </w:pPr>
            <w:r>
              <w:t>517</w:t>
            </w:r>
          </w:p>
        </w:tc>
        <w:tc>
          <w:tcPr>
            <w:tcW w:w="1001" w:type="dxa"/>
          </w:tcPr>
          <w:p w14:paraId="3CD19680" w14:textId="77777777" w:rsidR="00CF0E2D" w:rsidRPr="00897F5F" w:rsidRDefault="00CF0E2D" w:rsidP="00A60D4B">
            <w:pPr>
              <w:pStyle w:val="InitFigBR"/>
            </w:pPr>
            <w:r>
              <w:t>2,028</w:t>
            </w:r>
          </w:p>
        </w:tc>
      </w:tr>
      <w:tr w:rsidR="00CF0E2D" w:rsidRPr="00750793" w14:paraId="77028D61" w14:textId="77777777" w:rsidTr="00A60D4B">
        <w:trPr>
          <w:gridAfter w:val="1"/>
          <w:wAfter w:w="28" w:type="dxa"/>
          <w:cantSplit/>
          <w:jc w:val="center"/>
        </w:trPr>
        <w:tc>
          <w:tcPr>
            <w:tcW w:w="3652" w:type="dxa"/>
          </w:tcPr>
          <w:p w14:paraId="1A7948F7" w14:textId="77777777" w:rsidR="00CF0E2D" w:rsidRDefault="00CF0E2D" w:rsidP="00A60D4B">
            <w:pPr>
              <w:pStyle w:val="InitTextL"/>
              <w:ind w:left="321" w:hanging="321"/>
            </w:pPr>
            <w:r>
              <w:t>Offset – Health Funding Envelope</w:t>
            </w:r>
          </w:p>
        </w:tc>
        <w:tc>
          <w:tcPr>
            <w:tcW w:w="1179" w:type="dxa"/>
          </w:tcPr>
          <w:p w14:paraId="39F0EAF8" w14:textId="77777777" w:rsidR="00CF0E2D" w:rsidRPr="00424DA4" w:rsidRDefault="00CF0E2D" w:rsidP="00A60D4B">
            <w:pPr>
              <w:pStyle w:val="InitFigR"/>
            </w:pPr>
            <w:r>
              <w:t>-533</w:t>
            </w:r>
          </w:p>
        </w:tc>
        <w:tc>
          <w:tcPr>
            <w:tcW w:w="1041" w:type="dxa"/>
          </w:tcPr>
          <w:p w14:paraId="6A73119F" w14:textId="77777777" w:rsidR="00CF0E2D" w:rsidRPr="00424DA4" w:rsidRDefault="00CF0E2D" w:rsidP="00A60D4B">
            <w:pPr>
              <w:pStyle w:val="InitFigR"/>
            </w:pPr>
            <w:r>
              <w:t>-480</w:t>
            </w:r>
          </w:p>
        </w:tc>
        <w:tc>
          <w:tcPr>
            <w:tcW w:w="1029" w:type="dxa"/>
          </w:tcPr>
          <w:p w14:paraId="5B77DF52" w14:textId="77777777" w:rsidR="00CF0E2D" w:rsidRPr="00424DA4" w:rsidRDefault="00CF0E2D" w:rsidP="00A60D4B">
            <w:pPr>
              <w:pStyle w:val="InitFigR"/>
            </w:pPr>
            <w:r>
              <w:t>-498</w:t>
            </w:r>
          </w:p>
        </w:tc>
        <w:tc>
          <w:tcPr>
            <w:tcW w:w="1029" w:type="dxa"/>
          </w:tcPr>
          <w:p w14:paraId="20BF2F79" w14:textId="77777777" w:rsidR="00CF0E2D" w:rsidRPr="00424DA4" w:rsidRDefault="00CF0E2D" w:rsidP="00A60D4B">
            <w:pPr>
              <w:pStyle w:val="InitFigR"/>
            </w:pPr>
            <w:r>
              <w:t>-517</w:t>
            </w:r>
          </w:p>
        </w:tc>
        <w:tc>
          <w:tcPr>
            <w:tcW w:w="1001" w:type="dxa"/>
          </w:tcPr>
          <w:p w14:paraId="618CF0E6" w14:textId="77777777" w:rsidR="00CF0E2D" w:rsidRPr="00424DA4" w:rsidRDefault="00CF0E2D" w:rsidP="00A60D4B">
            <w:pPr>
              <w:pStyle w:val="InitFigBR"/>
            </w:pPr>
            <w:r>
              <w:t>-2,028</w:t>
            </w:r>
          </w:p>
        </w:tc>
      </w:tr>
      <w:tr w:rsidR="00CF0E2D" w:rsidRPr="00750793" w14:paraId="3D2B8F33" w14:textId="77777777" w:rsidTr="00A60D4B">
        <w:trPr>
          <w:gridAfter w:val="1"/>
          <w:wAfter w:w="28" w:type="dxa"/>
          <w:cantSplit/>
          <w:trHeight w:val="107"/>
          <w:jc w:val="center"/>
        </w:trPr>
        <w:tc>
          <w:tcPr>
            <w:tcW w:w="3652" w:type="dxa"/>
            <w:tcBorders>
              <w:top w:val="single" w:sz="4" w:space="0" w:color="auto"/>
              <w:bottom w:val="single" w:sz="4" w:space="0" w:color="auto"/>
            </w:tcBorders>
          </w:tcPr>
          <w:p w14:paraId="37F6BCAC" w14:textId="696E0B76" w:rsidR="00CF0E2D" w:rsidRPr="00DA5279"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0FB0E4D5" w14:textId="77777777" w:rsidR="00CF0E2D" w:rsidRDefault="00CF0E2D" w:rsidP="00A60D4B">
            <w:pPr>
              <w:pStyle w:val="InitFigRBold"/>
            </w:pPr>
            <w:r>
              <w:t>0</w:t>
            </w:r>
          </w:p>
        </w:tc>
        <w:tc>
          <w:tcPr>
            <w:tcW w:w="1041" w:type="dxa"/>
            <w:tcBorders>
              <w:top w:val="single" w:sz="4" w:space="0" w:color="auto"/>
              <w:bottom w:val="single" w:sz="4" w:space="0" w:color="auto"/>
            </w:tcBorders>
          </w:tcPr>
          <w:p w14:paraId="10478AC3" w14:textId="77777777" w:rsidR="00CF0E2D" w:rsidRDefault="00CF0E2D" w:rsidP="00A60D4B">
            <w:pPr>
              <w:pStyle w:val="InitFigRBold"/>
            </w:pPr>
            <w:r>
              <w:t>85</w:t>
            </w:r>
          </w:p>
        </w:tc>
        <w:tc>
          <w:tcPr>
            <w:tcW w:w="1029" w:type="dxa"/>
            <w:tcBorders>
              <w:top w:val="single" w:sz="4" w:space="0" w:color="auto"/>
              <w:bottom w:val="single" w:sz="4" w:space="0" w:color="auto"/>
            </w:tcBorders>
          </w:tcPr>
          <w:p w14:paraId="23A303FA" w14:textId="77777777" w:rsidR="00CF0E2D" w:rsidRDefault="00CF0E2D" w:rsidP="00A60D4B">
            <w:pPr>
              <w:pStyle w:val="InitFigRBold"/>
            </w:pPr>
            <w:r>
              <w:t>85</w:t>
            </w:r>
          </w:p>
        </w:tc>
        <w:tc>
          <w:tcPr>
            <w:tcW w:w="1029" w:type="dxa"/>
            <w:tcBorders>
              <w:top w:val="single" w:sz="4" w:space="0" w:color="auto"/>
              <w:bottom w:val="single" w:sz="4" w:space="0" w:color="auto"/>
            </w:tcBorders>
          </w:tcPr>
          <w:p w14:paraId="3FDC5CF2" w14:textId="77777777" w:rsidR="00CF0E2D" w:rsidRDefault="00CF0E2D" w:rsidP="00A60D4B">
            <w:pPr>
              <w:pStyle w:val="InitFigRBold"/>
            </w:pPr>
            <w:r>
              <w:t>85</w:t>
            </w:r>
          </w:p>
        </w:tc>
        <w:tc>
          <w:tcPr>
            <w:tcW w:w="1001" w:type="dxa"/>
            <w:tcBorders>
              <w:top w:val="single" w:sz="4" w:space="0" w:color="auto"/>
              <w:bottom w:val="single" w:sz="4" w:space="0" w:color="auto"/>
            </w:tcBorders>
          </w:tcPr>
          <w:p w14:paraId="03E68290" w14:textId="77777777" w:rsidR="00CF0E2D" w:rsidRPr="00DA5279" w:rsidRDefault="00CF0E2D" w:rsidP="00A60D4B">
            <w:pPr>
              <w:pStyle w:val="InitFigRBold"/>
              <w:rPr>
                <w:bCs/>
              </w:rPr>
            </w:pPr>
            <w:r>
              <w:rPr>
                <w:bCs/>
              </w:rPr>
              <w:t>255</w:t>
            </w:r>
          </w:p>
        </w:tc>
      </w:tr>
    </w:tbl>
    <w:p w14:paraId="4B217CE8" w14:textId="77777777" w:rsidR="00CF0E2D" w:rsidRPr="001952D1" w:rsidRDefault="00CF0E2D" w:rsidP="00A60D4B">
      <w:pPr>
        <w:spacing w:before="200" w:after="200" w:line="240" w:lineRule="auto"/>
        <w:rPr>
          <w:rFonts w:ascii="Calibri" w:eastAsia="Times New Roman" w:hAnsi="Calibri" w:cs="Times New Roman"/>
          <w:sz w:val="24"/>
          <w:szCs w:val="20"/>
        </w:rPr>
      </w:pPr>
      <w:r w:rsidRPr="001952D1">
        <w:rPr>
          <w:rFonts w:ascii="Calibri" w:eastAsia="Times New Roman" w:hAnsi="Calibri" w:cs="Times New Roman"/>
          <w:sz w:val="24"/>
          <w:szCs w:val="20"/>
        </w:rPr>
        <w:t xml:space="preserve">The Government will provide funding for a long-term lease of a new and expanded medical inventory warehouse to ensure continued compliance with National Safety and Quality Health Service standards. </w:t>
      </w:r>
    </w:p>
    <w:p w14:paraId="5EC1A0E7" w14:textId="77777777" w:rsidR="00CF0E2D" w:rsidRDefault="00CF0E2D" w:rsidP="00A60D4B">
      <w:pPr>
        <w:spacing w:before="200" w:after="200" w:line="240" w:lineRule="auto"/>
        <w:rPr>
          <w:rFonts w:ascii="Calibri" w:eastAsia="Times New Roman" w:hAnsi="Calibri" w:cs="Times New Roman"/>
          <w:sz w:val="24"/>
          <w:szCs w:val="20"/>
        </w:rPr>
      </w:pPr>
      <w:r w:rsidRPr="001952D1">
        <w:rPr>
          <w:rFonts w:ascii="Calibri" w:eastAsia="Times New Roman" w:hAnsi="Calibri" w:cs="Times New Roman"/>
          <w:sz w:val="24"/>
          <w:szCs w:val="20"/>
        </w:rPr>
        <w:lastRenderedPageBreak/>
        <w:t>This initiative contributes to the wellbeing domain of Health.</w:t>
      </w:r>
    </w:p>
    <w:p w14:paraId="4546A8D7" w14:textId="77777777" w:rsidR="00CF0E2D" w:rsidRPr="00DE70F4" w:rsidRDefault="00CF0E2D" w:rsidP="00A60D4B">
      <w:pPr>
        <w:keepNext/>
        <w:keepLines/>
        <w:spacing w:before="200" w:after="200" w:line="240" w:lineRule="auto"/>
        <w:rPr>
          <w:rFonts w:ascii="Calibri" w:eastAsia="Times New Roman" w:hAnsi="Calibri" w:cs="Times New Roman"/>
          <w:sz w:val="24"/>
          <w:szCs w:val="20"/>
        </w:rPr>
      </w:pPr>
    </w:p>
    <w:p w14:paraId="42C821AA" w14:textId="77777777" w:rsidR="00CF0E2D" w:rsidRPr="001952D1" w:rsidRDefault="00CF0E2D" w:rsidP="00A60D4B">
      <w:pPr>
        <w:pStyle w:val="Heading4"/>
        <w:rPr>
          <w:rFonts w:eastAsia="Times New Roman"/>
        </w:rPr>
      </w:pPr>
      <w:r w:rsidRPr="001952D1">
        <w:rPr>
          <w:rFonts w:eastAsia="Times New Roman"/>
        </w:rPr>
        <w:t xml:space="preserve">Improving Canberra’s health infrastructure </w:t>
      </w:r>
      <w:r>
        <w:rPr>
          <w:rFonts w:eastAsia="Times New Roman"/>
        </w:rPr>
        <w:t>–</w:t>
      </w:r>
      <w:r w:rsidRPr="001952D1">
        <w:rPr>
          <w:rFonts w:eastAsia="Times New Roman"/>
        </w:rPr>
        <w:t xml:space="preserve"> Cancer Research Centre </w:t>
      </w:r>
      <w:r>
        <w:rPr>
          <w:b w:val="0"/>
          <w:noProof/>
          <w:color w:val="999789"/>
          <w:sz w:val="32"/>
          <w:szCs w:val="24"/>
        </w:rPr>
        <w:drawing>
          <wp:anchor distT="0" distB="0" distL="114300" distR="114300" simplePos="0" relativeHeight="251879424" behindDoc="0" locked="1" layoutInCell="1" allowOverlap="1" wp14:anchorId="1A05CC19" wp14:editId="6B73A8EE">
            <wp:simplePos x="0" y="0"/>
            <wp:positionH relativeFrom="margin">
              <wp:align>right</wp:align>
            </wp:positionH>
            <wp:positionV relativeFrom="paragraph">
              <wp:posOffset>22225</wp:posOffset>
            </wp:positionV>
            <wp:extent cx="993140" cy="503555"/>
            <wp:effectExtent l="0" t="0" r="0" b="0"/>
            <wp:wrapSquare wrapText="bothSides"/>
            <wp:docPr id="175" name="Picture 175"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54378A30" w14:textId="77777777" w:rsidTr="00A60D4B">
        <w:trPr>
          <w:cantSplit/>
          <w:jc w:val="center"/>
        </w:trPr>
        <w:tc>
          <w:tcPr>
            <w:tcW w:w="3652" w:type="dxa"/>
            <w:tcBorders>
              <w:top w:val="single" w:sz="4" w:space="0" w:color="auto"/>
              <w:bottom w:val="single" w:sz="4" w:space="0" w:color="auto"/>
            </w:tcBorders>
          </w:tcPr>
          <w:p w14:paraId="12C03D45"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73FB309E" w14:textId="77777777" w:rsidR="00CF0E2D" w:rsidRPr="00884AAE" w:rsidRDefault="00CF0E2D" w:rsidP="00A60D4B">
            <w:pPr>
              <w:pStyle w:val="InitFigR"/>
              <w:rPr>
                <w:b/>
                <w:bCs/>
              </w:rPr>
            </w:pPr>
            <w:r w:rsidRPr="00884AAE">
              <w:rPr>
                <w:b/>
                <w:bCs/>
              </w:rPr>
              <w:t>2021-22</w:t>
            </w:r>
          </w:p>
          <w:p w14:paraId="06851237" w14:textId="77777777" w:rsidR="00CF0E2D" w:rsidRPr="00884AAE" w:rsidRDefault="00CF0E2D" w:rsidP="00A60D4B">
            <w:pPr>
              <w:pStyle w:val="InitFigR"/>
              <w:rPr>
                <w:b/>
                <w:bCs/>
              </w:rPr>
            </w:pPr>
            <w:r w:rsidRPr="00884AAE">
              <w:rPr>
                <w:b/>
                <w:bCs/>
              </w:rPr>
              <w:t>$’000</w:t>
            </w:r>
          </w:p>
        </w:tc>
        <w:tc>
          <w:tcPr>
            <w:tcW w:w="1041" w:type="dxa"/>
            <w:tcBorders>
              <w:top w:val="single" w:sz="4" w:space="0" w:color="auto"/>
              <w:bottom w:val="single" w:sz="4" w:space="0" w:color="auto"/>
            </w:tcBorders>
          </w:tcPr>
          <w:p w14:paraId="3A18825A" w14:textId="77777777" w:rsidR="00CF0E2D" w:rsidRPr="00884AAE" w:rsidRDefault="00CF0E2D" w:rsidP="00A60D4B">
            <w:pPr>
              <w:pStyle w:val="InitFigR"/>
              <w:rPr>
                <w:b/>
                <w:bCs/>
              </w:rPr>
            </w:pPr>
            <w:r w:rsidRPr="00884AAE">
              <w:rPr>
                <w:b/>
                <w:bCs/>
              </w:rPr>
              <w:t>2022-23</w:t>
            </w:r>
          </w:p>
          <w:p w14:paraId="594D7D47" w14:textId="77777777" w:rsidR="00CF0E2D" w:rsidRPr="00884AAE" w:rsidRDefault="00CF0E2D" w:rsidP="00A60D4B">
            <w:pPr>
              <w:pStyle w:val="InitFigR"/>
              <w:rPr>
                <w:b/>
                <w:bCs/>
              </w:rPr>
            </w:pPr>
            <w:r w:rsidRPr="00884AAE">
              <w:rPr>
                <w:b/>
                <w:bCs/>
              </w:rPr>
              <w:t>$’000</w:t>
            </w:r>
          </w:p>
        </w:tc>
        <w:tc>
          <w:tcPr>
            <w:tcW w:w="1029" w:type="dxa"/>
            <w:tcBorders>
              <w:top w:val="single" w:sz="4" w:space="0" w:color="auto"/>
              <w:bottom w:val="single" w:sz="4" w:space="0" w:color="auto"/>
            </w:tcBorders>
          </w:tcPr>
          <w:p w14:paraId="0CCBEAAE" w14:textId="77777777" w:rsidR="00CF0E2D" w:rsidRPr="00884AAE" w:rsidRDefault="00CF0E2D" w:rsidP="00A60D4B">
            <w:pPr>
              <w:pStyle w:val="InitFigR"/>
              <w:rPr>
                <w:b/>
                <w:bCs/>
              </w:rPr>
            </w:pPr>
            <w:r w:rsidRPr="00884AAE">
              <w:rPr>
                <w:b/>
                <w:bCs/>
              </w:rPr>
              <w:t>2023-24</w:t>
            </w:r>
          </w:p>
          <w:p w14:paraId="05F6DF8B" w14:textId="77777777" w:rsidR="00CF0E2D" w:rsidRPr="00884AAE" w:rsidRDefault="00CF0E2D" w:rsidP="00A60D4B">
            <w:pPr>
              <w:pStyle w:val="InitFigR"/>
              <w:rPr>
                <w:b/>
                <w:bCs/>
              </w:rPr>
            </w:pPr>
            <w:r w:rsidRPr="00884AAE">
              <w:rPr>
                <w:b/>
                <w:bCs/>
              </w:rPr>
              <w:t>$’000</w:t>
            </w:r>
          </w:p>
        </w:tc>
        <w:tc>
          <w:tcPr>
            <w:tcW w:w="1029" w:type="dxa"/>
            <w:tcBorders>
              <w:top w:val="single" w:sz="4" w:space="0" w:color="auto"/>
              <w:bottom w:val="single" w:sz="4" w:space="0" w:color="auto"/>
            </w:tcBorders>
          </w:tcPr>
          <w:p w14:paraId="6AEA922A" w14:textId="77777777" w:rsidR="00CF0E2D" w:rsidRPr="00884AAE" w:rsidRDefault="00CF0E2D" w:rsidP="00A60D4B">
            <w:pPr>
              <w:pStyle w:val="InitFigR"/>
              <w:rPr>
                <w:b/>
                <w:bCs/>
              </w:rPr>
            </w:pPr>
            <w:r w:rsidRPr="00884AAE">
              <w:rPr>
                <w:b/>
                <w:bCs/>
              </w:rPr>
              <w:t>2024-25</w:t>
            </w:r>
          </w:p>
          <w:p w14:paraId="43F637B7" w14:textId="77777777" w:rsidR="00CF0E2D" w:rsidRPr="00884AAE" w:rsidRDefault="00CF0E2D" w:rsidP="00A60D4B">
            <w:pPr>
              <w:pStyle w:val="InitFigR"/>
              <w:rPr>
                <w:b/>
                <w:bCs/>
              </w:rPr>
            </w:pPr>
            <w:r w:rsidRPr="00884AAE">
              <w:rPr>
                <w:b/>
                <w:bCs/>
              </w:rPr>
              <w:t>$’000</w:t>
            </w:r>
          </w:p>
        </w:tc>
        <w:tc>
          <w:tcPr>
            <w:tcW w:w="1029" w:type="dxa"/>
            <w:tcBorders>
              <w:top w:val="single" w:sz="4" w:space="0" w:color="auto"/>
              <w:bottom w:val="single" w:sz="4" w:space="0" w:color="auto"/>
            </w:tcBorders>
          </w:tcPr>
          <w:p w14:paraId="57C43508" w14:textId="77777777" w:rsidR="00CF0E2D" w:rsidRPr="004E341E" w:rsidRDefault="00CF0E2D" w:rsidP="00A60D4B">
            <w:pPr>
              <w:pStyle w:val="InitFigRBold"/>
            </w:pPr>
            <w:r w:rsidRPr="004E341E">
              <w:t>Total</w:t>
            </w:r>
          </w:p>
          <w:p w14:paraId="1D334DAC" w14:textId="77777777" w:rsidR="00CF0E2D" w:rsidRPr="004E341E" w:rsidRDefault="00CF0E2D" w:rsidP="00A60D4B">
            <w:pPr>
              <w:pStyle w:val="InitFigBR"/>
            </w:pPr>
            <w:r w:rsidRPr="004E341E">
              <w:t>$’000</w:t>
            </w:r>
          </w:p>
        </w:tc>
      </w:tr>
      <w:tr w:rsidR="00CF0E2D" w:rsidRPr="00750793" w14:paraId="6A03BF8C" w14:textId="77777777" w:rsidTr="00A60D4B">
        <w:trPr>
          <w:cantSplit/>
          <w:trHeight w:val="107"/>
          <w:jc w:val="center"/>
        </w:trPr>
        <w:tc>
          <w:tcPr>
            <w:tcW w:w="3652" w:type="dxa"/>
            <w:tcBorders>
              <w:top w:val="single" w:sz="4" w:space="0" w:color="auto"/>
            </w:tcBorders>
          </w:tcPr>
          <w:p w14:paraId="71BD30F2" w14:textId="77777777" w:rsidR="00CF0E2D" w:rsidRPr="00E469E2" w:rsidRDefault="00CF0E2D" w:rsidP="00A60D4B">
            <w:pPr>
              <w:pStyle w:val="InitFigLBold"/>
              <w:ind w:left="321" w:hanging="321"/>
              <w:rPr>
                <w:b w:val="0"/>
                <w:bCs/>
              </w:rPr>
            </w:pPr>
            <w:r w:rsidRPr="00E469E2">
              <w:rPr>
                <w:b w:val="0"/>
                <w:bCs/>
              </w:rPr>
              <w:t>Capital</w:t>
            </w:r>
          </w:p>
        </w:tc>
        <w:tc>
          <w:tcPr>
            <w:tcW w:w="1179" w:type="dxa"/>
            <w:tcBorders>
              <w:top w:val="single" w:sz="4" w:space="0" w:color="auto"/>
            </w:tcBorders>
          </w:tcPr>
          <w:p w14:paraId="020BA822" w14:textId="77777777" w:rsidR="00CF0E2D" w:rsidRPr="00E469E2" w:rsidRDefault="00CF0E2D" w:rsidP="00A60D4B">
            <w:pPr>
              <w:pStyle w:val="InitFigRBold"/>
              <w:rPr>
                <w:b w:val="0"/>
                <w:bCs/>
              </w:rPr>
            </w:pPr>
            <w:r w:rsidRPr="00485EA9">
              <w:rPr>
                <w:b w:val="0"/>
                <w:bCs/>
              </w:rPr>
              <w:t>760</w:t>
            </w:r>
          </w:p>
        </w:tc>
        <w:tc>
          <w:tcPr>
            <w:tcW w:w="1041" w:type="dxa"/>
            <w:tcBorders>
              <w:top w:val="single" w:sz="4" w:space="0" w:color="auto"/>
            </w:tcBorders>
          </w:tcPr>
          <w:p w14:paraId="143DC957" w14:textId="77777777" w:rsidR="00CF0E2D" w:rsidRPr="00E469E2" w:rsidRDefault="00CF0E2D" w:rsidP="00A60D4B">
            <w:pPr>
              <w:pStyle w:val="InitFigRBold"/>
              <w:rPr>
                <w:b w:val="0"/>
                <w:bCs/>
              </w:rPr>
            </w:pPr>
            <w:r w:rsidRPr="00485EA9">
              <w:rPr>
                <w:b w:val="0"/>
                <w:bCs/>
              </w:rPr>
              <w:t>6,285</w:t>
            </w:r>
          </w:p>
        </w:tc>
        <w:tc>
          <w:tcPr>
            <w:tcW w:w="1029" w:type="dxa"/>
            <w:tcBorders>
              <w:top w:val="single" w:sz="4" w:space="0" w:color="auto"/>
            </w:tcBorders>
          </w:tcPr>
          <w:p w14:paraId="2161CFCC" w14:textId="77777777" w:rsidR="00CF0E2D" w:rsidRPr="00E469E2" w:rsidRDefault="00CF0E2D" w:rsidP="00A60D4B">
            <w:pPr>
              <w:pStyle w:val="InitFigRBold"/>
              <w:rPr>
                <w:b w:val="0"/>
                <w:bCs/>
              </w:rPr>
            </w:pPr>
            <w:r w:rsidRPr="00E469E2">
              <w:rPr>
                <w:b w:val="0"/>
                <w:bCs/>
              </w:rPr>
              <w:t>0</w:t>
            </w:r>
          </w:p>
        </w:tc>
        <w:tc>
          <w:tcPr>
            <w:tcW w:w="1029" w:type="dxa"/>
            <w:tcBorders>
              <w:top w:val="single" w:sz="4" w:space="0" w:color="auto"/>
            </w:tcBorders>
          </w:tcPr>
          <w:p w14:paraId="406D90A3" w14:textId="77777777" w:rsidR="00CF0E2D" w:rsidRPr="00E469E2" w:rsidRDefault="00CF0E2D" w:rsidP="00A60D4B">
            <w:pPr>
              <w:pStyle w:val="InitFigRBold"/>
              <w:rPr>
                <w:b w:val="0"/>
                <w:bCs/>
              </w:rPr>
            </w:pPr>
            <w:r w:rsidRPr="00E469E2">
              <w:rPr>
                <w:b w:val="0"/>
                <w:bCs/>
              </w:rPr>
              <w:t>0</w:t>
            </w:r>
          </w:p>
        </w:tc>
        <w:tc>
          <w:tcPr>
            <w:tcW w:w="1029" w:type="dxa"/>
            <w:tcBorders>
              <w:top w:val="single" w:sz="4" w:space="0" w:color="auto"/>
            </w:tcBorders>
          </w:tcPr>
          <w:p w14:paraId="46529AA6" w14:textId="77777777" w:rsidR="00CF0E2D" w:rsidRPr="00E469E2" w:rsidRDefault="00CF0E2D" w:rsidP="00A60D4B">
            <w:pPr>
              <w:pStyle w:val="InitFigRBold"/>
              <w:rPr>
                <w:b w:val="0"/>
                <w:bCs/>
              </w:rPr>
            </w:pPr>
            <w:r w:rsidRPr="00D619A5">
              <w:t>7,045</w:t>
            </w:r>
          </w:p>
        </w:tc>
      </w:tr>
      <w:tr w:rsidR="00CF0E2D" w:rsidRPr="00750793" w14:paraId="5D29A6F5" w14:textId="77777777" w:rsidTr="00A60D4B">
        <w:trPr>
          <w:cantSplit/>
          <w:trHeight w:val="107"/>
          <w:jc w:val="center"/>
        </w:trPr>
        <w:tc>
          <w:tcPr>
            <w:tcW w:w="3652" w:type="dxa"/>
            <w:tcBorders>
              <w:bottom w:val="single" w:sz="4" w:space="0" w:color="auto"/>
            </w:tcBorders>
          </w:tcPr>
          <w:p w14:paraId="2CD8579F" w14:textId="77777777" w:rsidR="00CF0E2D" w:rsidRPr="00E469E2" w:rsidRDefault="00CF0E2D" w:rsidP="00A60D4B">
            <w:pPr>
              <w:pStyle w:val="InitFigLBold"/>
              <w:ind w:left="321" w:hanging="321"/>
              <w:rPr>
                <w:b w:val="0"/>
                <w:bCs/>
              </w:rPr>
            </w:pPr>
            <w:r>
              <w:rPr>
                <w:b w:val="0"/>
                <w:bCs/>
              </w:rPr>
              <w:t>Offset – Better Infrastructure Fund</w:t>
            </w:r>
          </w:p>
        </w:tc>
        <w:tc>
          <w:tcPr>
            <w:tcW w:w="1179" w:type="dxa"/>
            <w:tcBorders>
              <w:bottom w:val="single" w:sz="4" w:space="0" w:color="auto"/>
            </w:tcBorders>
          </w:tcPr>
          <w:p w14:paraId="02A6289C" w14:textId="77777777" w:rsidR="00CF0E2D" w:rsidRPr="00E469E2" w:rsidRDefault="00CF0E2D" w:rsidP="00A60D4B">
            <w:pPr>
              <w:pStyle w:val="InitFigRBold"/>
              <w:rPr>
                <w:b w:val="0"/>
                <w:bCs/>
              </w:rPr>
            </w:pPr>
            <w:r>
              <w:rPr>
                <w:b w:val="0"/>
                <w:bCs/>
              </w:rPr>
              <w:t>0</w:t>
            </w:r>
          </w:p>
        </w:tc>
        <w:tc>
          <w:tcPr>
            <w:tcW w:w="1041" w:type="dxa"/>
            <w:tcBorders>
              <w:bottom w:val="single" w:sz="4" w:space="0" w:color="auto"/>
            </w:tcBorders>
          </w:tcPr>
          <w:p w14:paraId="3B70A4D7" w14:textId="77777777" w:rsidR="00CF0E2D" w:rsidRPr="00E469E2" w:rsidRDefault="00CF0E2D" w:rsidP="00A60D4B">
            <w:pPr>
              <w:pStyle w:val="InitFigRBold"/>
              <w:rPr>
                <w:b w:val="0"/>
                <w:bCs/>
              </w:rPr>
            </w:pPr>
            <w:r>
              <w:rPr>
                <w:b w:val="0"/>
                <w:bCs/>
              </w:rPr>
              <w:t>-250</w:t>
            </w:r>
          </w:p>
        </w:tc>
        <w:tc>
          <w:tcPr>
            <w:tcW w:w="1029" w:type="dxa"/>
            <w:tcBorders>
              <w:bottom w:val="single" w:sz="4" w:space="0" w:color="auto"/>
            </w:tcBorders>
          </w:tcPr>
          <w:p w14:paraId="6B70A07A" w14:textId="77777777" w:rsidR="00CF0E2D" w:rsidRPr="00E469E2" w:rsidRDefault="00CF0E2D" w:rsidP="00A60D4B">
            <w:pPr>
              <w:pStyle w:val="InitFigRBold"/>
              <w:rPr>
                <w:b w:val="0"/>
                <w:bCs/>
              </w:rPr>
            </w:pPr>
            <w:r>
              <w:rPr>
                <w:b w:val="0"/>
                <w:bCs/>
              </w:rPr>
              <w:t>0</w:t>
            </w:r>
          </w:p>
        </w:tc>
        <w:tc>
          <w:tcPr>
            <w:tcW w:w="1029" w:type="dxa"/>
            <w:tcBorders>
              <w:bottom w:val="single" w:sz="4" w:space="0" w:color="auto"/>
            </w:tcBorders>
          </w:tcPr>
          <w:p w14:paraId="5AC94707" w14:textId="77777777" w:rsidR="00CF0E2D" w:rsidRPr="00E469E2" w:rsidRDefault="00CF0E2D" w:rsidP="00A60D4B">
            <w:pPr>
              <w:pStyle w:val="InitFigRBold"/>
              <w:rPr>
                <w:b w:val="0"/>
                <w:bCs/>
              </w:rPr>
            </w:pPr>
            <w:r>
              <w:rPr>
                <w:b w:val="0"/>
                <w:bCs/>
              </w:rPr>
              <w:t>0</w:t>
            </w:r>
          </w:p>
        </w:tc>
        <w:tc>
          <w:tcPr>
            <w:tcW w:w="1029" w:type="dxa"/>
            <w:tcBorders>
              <w:bottom w:val="single" w:sz="4" w:space="0" w:color="auto"/>
            </w:tcBorders>
          </w:tcPr>
          <w:p w14:paraId="76B6C828" w14:textId="77777777" w:rsidR="00CF0E2D" w:rsidRPr="00D619A5" w:rsidRDefault="00CF0E2D" w:rsidP="00A60D4B">
            <w:pPr>
              <w:pStyle w:val="InitFigRBold"/>
            </w:pPr>
            <w:r>
              <w:t>-250</w:t>
            </w:r>
          </w:p>
        </w:tc>
      </w:tr>
      <w:tr w:rsidR="00CF0E2D" w:rsidRPr="00750793" w14:paraId="2A2765E8" w14:textId="77777777" w:rsidTr="00A60D4B">
        <w:trPr>
          <w:cantSplit/>
          <w:trHeight w:val="107"/>
          <w:jc w:val="center"/>
        </w:trPr>
        <w:tc>
          <w:tcPr>
            <w:tcW w:w="3652" w:type="dxa"/>
            <w:tcBorders>
              <w:top w:val="single" w:sz="4" w:space="0" w:color="auto"/>
              <w:bottom w:val="single" w:sz="4" w:space="0" w:color="auto"/>
            </w:tcBorders>
          </w:tcPr>
          <w:p w14:paraId="21F6EBBC" w14:textId="1C7629D8" w:rsidR="00CF0E2D" w:rsidRPr="001C1B49" w:rsidRDefault="00F57411" w:rsidP="00A60D4B">
            <w:pPr>
              <w:pStyle w:val="InitFigLBold"/>
              <w:ind w:left="321" w:hanging="321"/>
              <w:rPr>
                <w:b w:val="0"/>
                <w:bCs/>
              </w:rPr>
            </w:pPr>
            <w:r>
              <w:rPr>
                <w:bCs/>
              </w:rPr>
              <w:t>Net capital</w:t>
            </w:r>
          </w:p>
        </w:tc>
        <w:tc>
          <w:tcPr>
            <w:tcW w:w="1179" w:type="dxa"/>
            <w:tcBorders>
              <w:top w:val="single" w:sz="4" w:space="0" w:color="auto"/>
              <w:bottom w:val="single" w:sz="4" w:space="0" w:color="auto"/>
            </w:tcBorders>
          </w:tcPr>
          <w:p w14:paraId="18BE3FE6" w14:textId="77777777" w:rsidR="00CF0E2D" w:rsidRPr="001C1B49" w:rsidRDefault="00CF0E2D" w:rsidP="00A60D4B">
            <w:pPr>
              <w:pStyle w:val="InitFigRBold"/>
              <w:rPr>
                <w:b w:val="0"/>
                <w:bCs/>
              </w:rPr>
            </w:pPr>
            <w:r w:rsidRPr="002F08CD">
              <w:t>760</w:t>
            </w:r>
          </w:p>
        </w:tc>
        <w:tc>
          <w:tcPr>
            <w:tcW w:w="1041" w:type="dxa"/>
            <w:tcBorders>
              <w:top w:val="single" w:sz="4" w:space="0" w:color="auto"/>
              <w:bottom w:val="single" w:sz="4" w:space="0" w:color="auto"/>
            </w:tcBorders>
          </w:tcPr>
          <w:p w14:paraId="55A621A9" w14:textId="77777777" w:rsidR="00CF0E2D" w:rsidRPr="001C1B49" w:rsidRDefault="00CF0E2D" w:rsidP="00A60D4B">
            <w:pPr>
              <w:pStyle w:val="InitFigRBold"/>
              <w:rPr>
                <w:b w:val="0"/>
                <w:bCs/>
              </w:rPr>
            </w:pPr>
            <w:r w:rsidRPr="002F08CD">
              <w:t>6</w:t>
            </w:r>
            <w:r>
              <w:t>,</w:t>
            </w:r>
            <w:r w:rsidRPr="002F08CD">
              <w:t>035</w:t>
            </w:r>
          </w:p>
        </w:tc>
        <w:tc>
          <w:tcPr>
            <w:tcW w:w="1029" w:type="dxa"/>
            <w:tcBorders>
              <w:top w:val="single" w:sz="4" w:space="0" w:color="auto"/>
              <w:bottom w:val="single" w:sz="4" w:space="0" w:color="auto"/>
            </w:tcBorders>
          </w:tcPr>
          <w:p w14:paraId="616638B1" w14:textId="77777777" w:rsidR="00CF0E2D" w:rsidRPr="001C1B49" w:rsidRDefault="00CF0E2D" w:rsidP="00A60D4B">
            <w:pPr>
              <w:pStyle w:val="InitFigRBold"/>
              <w:rPr>
                <w:b w:val="0"/>
                <w:bCs/>
              </w:rPr>
            </w:pPr>
            <w:r w:rsidRPr="00220E19">
              <w:t>0</w:t>
            </w:r>
          </w:p>
        </w:tc>
        <w:tc>
          <w:tcPr>
            <w:tcW w:w="1029" w:type="dxa"/>
            <w:tcBorders>
              <w:top w:val="single" w:sz="4" w:space="0" w:color="auto"/>
              <w:bottom w:val="single" w:sz="4" w:space="0" w:color="auto"/>
            </w:tcBorders>
          </w:tcPr>
          <w:p w14:paraId="2999D883" w14:textId="77777777" w:rsidR="00CF0E2D" w:rsidRPr="001C1B49" w:rsidRDefault="00CF0E2D" w:rsidP="00A60D4B">
            <w:pPr>
              <w:pStyle w:val="InitFigRBold"/>
              <w:rPr>
                <w:b w:val="0"/>
                <w:bCs/>
              </w:rPr>
            </w:pPr>
            <w:r w:rsidRPr="00220E19">
              <w:t>0</w:t>
            </w:r>
          </w:p>
        </w:tc>
        <w:tc>
          <w:tcPr>
            <w:tcW w:w="1029" w:type="dxa"/>
            <w:tcBorders>
              <w:top w:val="single" w:sz="4" w:space="0" w:color="auto"/>
              <w:bottom w:val="single" w:sz="4" w:space="0" w:color="auto"/>
            </w:tcBorders>
          </w:tcPr>
          <w:p w14:paraId="0E13D6E2" w14:textId="77777777" w:rsidR="00CF0E2D" w:rsidRDefault="00CF0E2D" w:rsidP="00A60D4B">
            <w:pPr>
              <w:pStyle w:val="InitFigRBold"/>
              <w:rPr>
                <w:bCs/>
              </w:rPr>
            </w:pPr>
            <w:r>
              <w:t>6,79</w:t>
            </w:r>
            <w:r w:rsidRPr="00220E19">
              <w:t>5</w:t>
            </w:r>
          </w:p>
        </w:tc>
      </w:tr>
      <w:tr w:rsidR="00CF0E2D" w:rsidRPr="00750793" w14:paraId="4EF7ABA1" w14:textId="77777777" w:rsidTr="00A60D4B">
        <w:trPr>
          <w:cantSplit/>
          <w:jc w:val="center"/>
        </w:trPr>
        <w:tc>
          <w:tcPr>
            <w:tcW w:w="3652" w:type="dxa"/>
            <w:tcBorders>
              <w:top w:val="single" w:sz="4" w:space="0" w:color="auto"/>
            </w:tcBorders>
          </w:tcPr>
          <w:p w14:paraId="447D4BE6" w14:textId="77777777" w:rsidR="00CF0E2D" w:rsidRPr="005A53D2" w:rsidRDefault="00CF0E2D" w:rsidP="00A60D4B">
            <w:pPr>
              <w:pStyle w:val="InitTextL"/>
              <w:ind w:left="321" w:hanging="321"/>
            </w:pPr>
            <w:r>
              <w:t>Depreciation</w:t>
            </w:r>
          </w:p>
        </w:tc>
        <w:tc>
          <w:tcPr>
            <w:tcW w:w="1179" w:type="dxa"/>
            <w:tcBorders>
              <w:top w:val="single" w:sz="4" w:space="0" w:color="auto"/>
            </w:tcBorders>
          </w:tcPr>
          <w:p w14:paraId="15D58F7F" w14:textId="77777777" w:rsidR="00CF0E2D" w:rsidRDefault="00CF0E2D" w:rsidP="00A60D4B">
            <w:pPr>
              <w:pStyle w:val="InitFigR"/>
            </w:pPr>
            <w:r>
              <w:t>0</w:t>
            </w:r>
          </w:p>
        </w:tc>
        <w:tc>
          <w:tcPr>
            <w:tcW w:w="1041" w:type="dxa"/>
            <w:tcBorders>
              <w:top w:val="single" w:sz="4" w:space="0" w:color="auto"/>
            </w:tcBorders>
          </w:tcPr>
          <w:p w14:paraId="3CEEC5EA" w14:textId="77777777" w:rsidR="00CF0E2D" w:rsidRDefault="00CF0E2D" w:rsidP="00A60D4B">
            <w:pPr>
              <w:pStyle w:val="InitFigR"/>
            </w:pPr>
            <w:r>
              <w:t>0</w:t>
            </w:r>
          </w:p>
        </w:tc>
        <w:tc>
          <w:tcPr>
            <w:tcW w:w="1029" w:type="dxa"/>
            <w:tcBorders>
              <w:top w:val="single" w:sz="4" w:space="0" w:color="auto"/>
            </w:tcBorders>
          </w:tcPr>
          <w:p w14:paraId="2F2B867D" w14:textId="77777777" w:rsidR="00CF0E2D" w:rsidRDefault="00CF0E2D" w:rsidP="00A60D4B">
            <w:pPr>
              <w:pStyle w:val="InitFigR"/>
            </w:pPr>
            <w:r>
              <w:t>170</w:t>
            </w:r>
          </w:p>
        </w:tc>
        <w:tc>
          <w:tcPr>
            <w:tcW w:w="1029" w:type="dxa"/>
            <w:tcBorders>
              <w:top w:val="single" w:sz="4" w:space="0" w:color="auto"/>
            </w:tcBorders>
          </w:tcPr>
          <w:p w14:paraId="33D33324" w14:textId="77777777" w:rsidR="00CF0E2D" w:rsidRDefault="00CF0E2D" w:rsidP="00A60D4B">
            <w:pPr>
              <w:pStyle w:val="InitFigR"/>
            </w:pPr>
            <w:r>
              <w:t>170</w:t>
            </w:r>
          </w:p>
        </w:tc>
        <w:tc>
          <w:tcPr>
            <w:tcW w:w="1029" w:type="dxa"/>
            <w:tcBorders>
              <w:top w:val="single" w:sz="4" w:space="0" w:color="auto"/>
            </w:tcBorders>
          </w:tcPr>
          <w:p w14:paraId="485DBBBA" w14:textId="77777777" w:rsidR="00CF0E2D" w:rsidRPr="005A53D2" w:rsidRDefault="00CF0E2D" w:rsidP="00A60D4B">
            <w:pPr>
              <w:pStyle w:val="InitFigRBold"/>
            </w:pPr>
            <w:r w:rsidRPr="005A53D2">
              <w:t>340</w:t>
            </w:r>
          </w:p>
        </w:tc>
      </w:tr>
      <w:tr w:rsidR="00CF0E2D" w:rsidRPr="00750793" w14:paraId="625E5095" w14:textId="77777777" w:rsidTr="00A60D4B">
        <w:trPr>
          <w:cantSplit/>
          <w:jc w:val="center"/>
        </w:trPr>
        <w:tc>
          <w:tcPr>
            <w:tcW w:w="3652" w:type="dxa"/>
          </w:tcPr>
          <w:p w14:paraId="0E803042" w14:textId="77777777" w:rsidR="00CF0E2D" w:rsidRPr="00F13FAB" w:rsidRDefault="00CF0E2D" w:rsidP="00A60D4B">
            <w:pPr>
              <w:pStyle w:val="InitTextL"/>
              <w:ind w:left="321" w:hanging="321"/>
            </w:pPr>
            <w:r w:rsidRPr="00882BE2">
              <w:t>Expenses</w:t>
            </w:r>
          </w:p>
        </w:tc>
        <w:tc>
          <w:tcPr>
            <w:tcW w:w="1179" w:type="dxa"/>
          </w:tcPr>
          <w:p w14:paraId="66C8159D" w14:textId="77777777" w:rsidR="00CF0E2D" w:rsidRPr="00424DA4" w:rsidRDefault="00CF0E2D" w:rsidP="00A60D4B">
            <w:pPr>
              <w:pStyle w:val="InitFigR"/>
            </w:pPr>
            <w:r>
              <w:t>0</w:t>
            </w:r>
          </w:p>
        </w:tc>
        <w:tc>
          <w:tcPr>
            <w:tcW w:w="1041" w:type="dxa"/>
          </w:tcPr>
          <w:p w14:paraId="24F2065F" w14:textId="77777777" w:rsidR="00CF0E2D" w:rsidRPr="00424DA4" w:rsidRDefault="00CF0E2D" w:rsidP="00A60D4B">
            <w:pPr>
              <w:pStyle w:val="InitFigR"/>
            </w:pPr>
            <w:r>
              <w:t>0</w:t>
            </w:r>
          </w:p>
        </w:tc>
        <w:tc>
          <w:tcPr>
            <w:tcW w:w="1029" w:type="dxa"/>
          </w:tcPr>
          <w:p w14:paraId="73EB3849" w14:textId="77777777" w:rsidR="00CF0E2D" w:rsidRPr="00424DA4" w:rsidRDefault="00CF0E2D" w:rsidP="00A60D4B">
            <w:pPr>
              <w:pStyle w:val="InitFigR"/>
            </w:pPr>
            <w:r>
              <w:t>68</w:t>
            </w:r>
          </w:p>
        </w:tc>
        <w:tc>
          <w:tcPr>
            <w:tcW w:w="1029" w:type="dxa"/>
          </w:tcPr>
          <w:p w14:paraId="21DB3731" w14:textId="77777777" w:rsidR="00CF0E2D" w:rsidRPr="00424DA4" w:rsidRDefault="00CF0E2D" w:rsidP="00A60D4B">
            <w:pPr>
              <w:pStyle w:val="InitFigR"/>
            </w:pPr>
            <w:r>
              <w:t>136</w:t>
            </w:r>
          </w:p>
        </w:tc>
        <w:tc>
          <w:tcPr>
            <w:tcW w:w="1029" w:type="dxa"/>
          </w:tcPr>
          <w:p w14:paraId="71E11137" w14:textId="77777777" w:rsidR="00CF0E2D" w:rsidRPr="00424DA4" w:rsidRDefault="00CF0E2D" w:rsidP="00A60D4B">
            <w:pPr>
              <w:pStyle w:val="InitFigBR"/>
            </w:pPr>
            <w:r>
              <w:t>204</w:t>
            </w:r>
          </w:p>
        </w:tc>
      </w:tr>
      <w:tr w:rsidR="00CF0E2D" w:rsidRPr="00750793" w14:paraId="1685AD90" w14:textId="77777777" w:rsidTr="00A60D4B">
        <w:trPr>
          <w:cantSplit/>
          <w:jc w:val="center"/>
        </w:trPr>
        <w:tc>
          <w:tcPr>
            <w:tcW w:w="3652" w:type="dxa"/>
          </w:tcPr>
          <w:p w14:paraId="574649A8" w14:textId="77777777" w:rsidR="00CF0E2D" w:rsidRPr="00915199" w:rsidDel="002B63D3" w:rsidRDefault="00CF0E2D" w:rsidP="00A60D4B">
            <w:pPr>
              <w:pStyle w:val="InitTextL"/>
              <w:ind w:left="321" w:hanging="321"/>
            </w:pPr>
            <w:r>
              <w:t>Offset – Health Funding Envelope</w:t>
            </w:r>
          </w:p>
        </w:tc>
        <w:tc>
          <w:tcPr>
            <w:tcW w:w="1179" w:type="dxa"/>
          </w:tcPr>
          <w:p w14:paraId="3E849097" w14:textId="77777777" w:rsidR="00CF0E2D" w:rsidRPr="00424DA4" w:rsidRDefault="00CF0E2D" w:rsidP="00A60D4B">
            <w:pPr>
              <w:pStyle w:val="InitFigR"/>
            </w:pPr>
            <w:r>
              <w:t>0</w:t>
            </w:r>
          </w:p>
        </w:tc>
        <w:tc>
          <w:tcPr>
            <w:tcW w:w="1041" w:type="dxa"/>
          </w:tcPr>
          <w:p w14:paraId="7EABD388" w14:textId="77777777" w:rsidR="00CF0E2D" w:rsidRPr="00424DA4" w:rsidRDefault="00CF0E2D" w:rsidP="00A60D4B">
            <w:pPr>
              <w:pStyle w:val="InitFigR"/>
            </w:pPr>
            <w:r>
              <w:t>0</w:t>
            </w:r>
          </w:p>
        </w:tc>
        <w:tc>
          <w:tcPr>
            <w:tcW w:w="1029" w:type="dxa"/>
          </w:tcPr>
          <w:p w14:paraId="20DF1114" w14:textId="77777777" w:rsidR="00CF0E2D" w:rsidRPr="00424DA4" w:rsidRDefault="00CF0E2D" w:rsidP="00A60D4B">
            <w:pPr>
              <w:pStyle w:val="InitFigR"/>
            </w:pPr>
            <w:r>
              <w:t>-68</w:t>
            </w:r>
          </w:p>
        </w:tc>
        <w:tc>
          <w:tcPr>
            <w:tcW w:w="1029" w:type="dxa"/>
          </w:tcPr>
          <w:p w14:paraId="289EEBBB" w14:textId="77777777" w:rsidR="00CF0E2D" w:rsidRPr="00424DA4" w:rsidRDefault="00CF0E2D" w:rsidP="00A60D4B">
            <w:pPr>
              <w:pStyle w:val="InitFigR"/>
            </w:pPr>
            <w:r>
              <w:t>-136</w:t>
            </w:r>
          </w:p>
        </w:tc>
        <w:tc>
          <w:tcPr>
            <w:tcW w:w="1029" w:type="dxa"/>
          </w:tcPr>
          <w:p w14:paraId="73C63900" w14:textId="77777777" w:rsidR="00CF0E2D" w:rsidRPr="00424DA4" w:rsidRDefault="00CF0E2D" w:rsidP="00A60D4B">
            <w:pPr>
              <w:pStyle w:val="InitFigBR"/>
            </w:pPr>
            <w:r>
              <w:t>-204</w:t>
            </w:r>
          </w:p>
        </w:tc>
      </w:tr>
      <w:tr w:rsidR="00CF0E2D" w:rsidRPr="00750793" w14:paraId="15E2DED3" w14:textId="77777777" w:rsidTr="00A60D4B">
        <w:trPr>
          <w:cantSplit/>
          <w:trHeight w:val="107"/>
          <w:jc w:val="center"/>
        </w:trPr>
        <w:tc>
          <w:tcPr>
            <w:tcW w:w="3652" w:type="dxa"/>
            <w:tcBorders>
              <w:top w:val="single" w:sz="4" w:space="0" w:color="auto"/>
              <w:bottom w:val="single" w:sz="4" w:space="0" w:color="auto"/>
            </w:tcBorders>
          </w:tcPr>
          <w:p w14:paraId="21602AD5" w14:textId="39876A52" w:rsidR="00CF0E2D" w:rsidRPr="00DA5279"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0157E5BB" w14:textId="77777777" w:rsidR="00CF0E2D" w:rsidRDefault="00CF0E2D" w:rsidP="00A60D4B">
            <w:pPr>
              <w:pStyle w:val="InitFigRBold"/>
            </w:pPr>
            <w:r>
              <w:t>0</w:t>
            </w:r>
          </w:p>
        </w:tc>
        <w:tc>
          <w:tcPr>
            <w:tcW w:w="1041" w:type="dxa"/>
            <w:tcBorders>
              <w:top w:val="single" w:sz="4" w:space="0" w:color="auto"/>
              <w:bottom w:val="single" w:sz="4" w:space="0" w:color="auto"/>
            </w:tcBorders>
          </w:tcPr>
          <w:p w14:paraId="2414DAD4" w14:textId="77777777" w:rsidR="00CF0E2D" w:rsidRDefault="00CF0E2D" w:rsidP="00A60D4B">
            <w:pPr>
              <w:pStyle w:val="InitFigRBold"/>
            </w:pPr>
            <w:r>
              <w:t>0</w:t>
            </w:r>
          </w:p>
        </w:tc>
        <w:tc>
          <w:tcPr>
            <w:tcW w:w="1029" w:type="dxa"/>
            <w:tcBorders>
              <w:top w:val="single" w:sz="4" w:space="0" w:color="auto"/>
              <w:bottom w:val="single" w:sz="4" w:space="0" w:color="auto"/>
            </w:tcBorders>
          </w:tcPr>
          <w:p w14:paraId="4F1BAAB7" w14:textId="77777777" w:rsidR="00CF0E2D" w:rsidRDefault="00CF0E2D" w:rsidP="00A60D4B">
            <w:pPr>
              <w:pStyle w:val="InitFigRBold"/>
            </w:pPr>
            <w:r>
              <w:t>170</w:t>
            </w:r>
          </w:p>
        </w:tc>
        <w:tc>
          <w:tcPr>
            <w:tcW w:w="1029" w:type="dxa"/>
            <w:tcBorders>
              <w:top w:val="single" w:sz="4" w:space="0" w:color="auto"/>
              <w:bottom w:val="single" w:sz="4" w:space="0" w:color="auto"/>
            </w:tcBorders>
          </w:tcPr>
          <w:p w14:paraId="7371208E" w14:textId="77777777" w:rsidR="00CF0E2D" w:rsidRDefault="00CF0E2D" w:rsidP="00A60D4B">
            <w:pPr>
              <w:pStyle w:val="InitFigRBold"/>
            </w:pPr>
            <w:r>
              <w:t>170</w:t>
            </w:r>
          </w:p>
        </w:tc>
        <w:tc>
          <w:tcPr>
            <w:tcW w:w="1029" w:type="dxa"/>
            <w:tcBorders>
              <w:top w:val="single" w:sz="4" w:space="0" w:color="auto"/>
              <w:bottom w:val="single" w:sz="4" w:space="0" w:color="auto"/>
            </w:tcBorders>
          </w:tcPr>
          <w:p w14:paraId="55FAE9A9" w14:textId="77777777" w:rsidR="00CF0E2D" w:rsidRPr="00DA5279" w:rsidRDefault="00CF0E2D" w:rsidP="00A60D4B">
            <w:pPr>
              <w:pStyle w:val="InitFigRBold"/>
              <w:rPr>
                <w:bCs/>
              </w:rPr>
            </w:pPr>
            <w:r>
              <w:rPr>
                <w:bCs/>
              </w:rPr>
              <w:t>340</w:t>
            </w:r>
          </w:p>
        </w:tc>
      </w:tr>
    </w:tbl>
    <w:p w14:paraId="3B8B03BE" w14:textId="77777777" w:rsidR="00CF0E2D" w:rsidRPr="00DC3B4F" w:rsidRDefault="00CF0E2D" w:rsidP="00A60D4B">
      <w:pPr>
        <w:pStyle w:val="Bbodytext"/>
      </w:pPr>
      <w:r w:rsidRPr="001952D1">
        <w:t xml:space="preserve">The Government will establish a new Cancer Research Centre at the Canberra Region Cancer Centre, Canberra Hospital. The Centre will </w:t>
      </w:r>
      <w:r w:rsidRPr="00DC3B4F">
        <w:t>improve the quality of cancer care in the ACT through better specialist translational research, which will enable more rapid introduction of new treatments.</w:t>
      </w:r>
    </w:p>
    <w:p w14:paraId="5F1B679D" w14:textId="77777777" w:rsidR="00CF0E2D" w:rsidRDefault="00CF0E2D" w:rsidP="00A60D4B">
      <w:pPr>
        <w:pStyle w:val="Bbodytext"/>
      </w:pPr>
      <w:r w:rsidRPr="001952D1">
        <w:t>This initiative contributes to the wellbeing domain of Health.</w:t>
      </w:r>
    </w:p>
    <w:p w14:paraId="3962D8D6" w14:textId="77777777" w:rsidR="00CF0E2D" w:rsidRPr="00DC3B4F" w:rsidRDefault="00CF0E2D" w:rsidP="00A60D4B">
      <w:pPr>
        <w:pStyle w:val="Bbodytext"/>
      </w:pPr>
    </w:p>
    <w:p w14:paraId="20256BAD" w14:textId="77777777" w:rsidR="00CF0E2D" w:rsidRPr="001952D1" w:rsidRDefault="00CF0E2D" w:rsidP="00A60D4B">
      <w:pPr>
        <w:pStyle w:val="Heading4"/>
        <w:rPr>
          <w:rFonts w:eastAsia="Times New Roman"/>
        </w:rPr>
      </w:pPr>
      <w:r w:rsidRPr="001952D1">
        <w:rPr>
          <w:rFonts w:eastAsia="Times New Roman"/>
        </w:rPr>
        <w:t xml:space="preserve">Improving Canberra’s health infrastructure </w:t>
      </w:r>
      <w:r>
        <w:rPr>
          <w:rFonts w:eastAsia="Times New Roman"/>
        </w:rPr>
        <w:t>–</w:t>
      </w:r>
      <w:r w:rsidRPr="001952D1">
        <w:rPr>
          <w:rFonts w:eastAsia="Times New Roman"/>
        </w:rPr>
        <w:t xml:space="preserve"> Expanding </w:t>
      </w:r>
      <w:r>
        <w:rPr>
          <w:rFonts w:eastAsia="Times New Roman"/>
        </w:rPr>
        <w:t>e</w:t>
      </w:r>
      <w:r w:rsidRPr="001952D1">
        <w:rPr>
          <w:rFonts w:eastAsia="Times New Roman"/>
        </w:rPr>
        <w:t xml:space="preserve">ndoscopy </w:t>
      </w:r>
      <w:r>
        <w:rPr>
          <w:rFonts w:eastAsia="Times New Roman"/>
        </w:rPr>
        <w:t>s</w:t>
      </w:r>
      <w:r w:rsidRPr="001952D1">
        <w:rPr>
          <w:rFonts w:eastAsia="Times New Roman"/>
        </w:rPr>
        <w:t xml:space="preserve">ervices </w:t>
      </w:r>
      <w:r>
        <w:rPr>
          <w:b w:val="0"/>
          <w:noProof/>
          <w:color w:val="999789"/>
          <w:sz w:val="32"/>
          <w:szCs w:val="24"/>
        </w:rPr>
        <w:drawing>
          <wp:anchor distT="0" distB="0" distL="114300" distR="114300" simplePos="0" relativeHeight="251880448" behindDoc="0" locked="1" layoutInCell="1" allowOverlap="1" wp14:anchorId="4F24A819" wp14:editId="4C51A7D0">
            <wp:simplePos x="0" y="0"/>
            <wp:positionH relativeFrom="margin">
              <wp:align>right</wp:align>
            </wp:positionH>
            <wp:positionV relativeFrom="paragraph">
              <wp:posOffset>77470</wp:posOffset>
            </wp:positionV>
            <wp:extent cx="993140" cy="503555"/>
            <wp:effectExtent l="0" t="0" r="0" b="0"/>
            <wp:wrapSquare wrapText="bothSides"/>
            <wp:docPr id="176" name="Picture 176"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01"/>
        <w:gridCol w:w="28"/>
      </w:tblGrid>
      <w:tr w:rsidR="00CF0E2D" w:rsidRPr="00750793" w14:paraId="0D333455" w14:textId="77777777" w:rsidTr="00A60D4B">
        <w:trPr>
          <w:cantSplit/>
          <w:jc w:val="center"/>
        </w:trPr>
        <w:tc>
          <w:tcPr>
            <w:tcW w:w="3652" w:type="dxa"/>
            <w:tcBorders>
              <w:top w:val="single" w:sz="4" w:space="0" w:color="auto"/>
              <w:bottom w:val="single" w:sz="4" w:space="0" w:color="auto"/>
            </w:tcBorders>
          </w:tcPr>
          <w:p w14:paraId="56A08ED5"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68946A0D" w14:textId="77777777" w:rsidR="00CF0E2D" w:rsidRPr="00884AAE" w:rsidRDefault="00CF0E2D" w:rsidP="00A60D4B">
            <w:pPr>
              <w:pStyle w:val="InitFigR"/>
              <w:keepNext/>
              <w:keepLines/>
              <w:rPr>
                <w:b/>
                <w:bCs/>
              </w:rPr>
            </w:pPr>
            <w:r w:rsidRPr="00884AAE">
              <w:rPr>
                <w:b/>
                <w:bCs/>
              </w:rPr>
              <w:t>2021-22</w:t>
            </w:r>
          </w:p>
          <w:p w14:paraId="20B56B69" w14:textId="77777777" w:rsidR="00CF0E2D" w:rsidRPr="00884AAE" w:rsidRDefault="00CF0E2D" w:rsidP="00A60D4B">
            <w:pPr>
              <w:pStyle w:val="InitFigR"/>
              <w:keepNext/>
              <w:keepLines/>
              <w:rPr>
                <w:b/>
                <w:bCs/>
              </w:rPr>
            </w:pPr>
            <w:r w:rsidRPr="00884AAE">
              <w:rPr>
                <w:b/>
                <w:bCs/>
              </w:rPr>
              <w:t>$’000</w:t>
            </w:r>
          </w:p>
        </w:tc>
        <w:tc>
          <w:tcPr>
            <w:tcW w:w="1041" w:type="dxa"/>
            <w:tcBorders>
              <w:top w:val="single" w:sz="4" w:space="0" w:color="auto"/>
              <w:bottom w:val="single" w:sz="4" w:space="0" w:color="auto"/>
            </w:tcBorders>
          </w:tcPr>
          <w:p w14:paraId="6AE66A31" w14:textId="77777777" w:rsidR="00CF0E2D" w:rsidRPr="00884AAE" w:rsidRDefault="00CF0E2D" w:rsidP="00A60D4B">
            <w:pPr>
              <w:pStyle w:val="InitFigR"/>
              <w:keepNext/>
              <w:keepLines/>
              <w:rPr>
                <w:b/>
                <w:bCs/>
              </w:rPr>
            </w:pPr>
            <w:r w:rsidRPr="00884AAE">
              <w:rPr>
                <w:b/>
                <w:bCs/>
              </w:rPr>
              <w:t>2022-23</w:t>
            </w:r>
          </w:p>
          <w:p w14:paraId="2484CBD8" w14:textId="77777777" w:rsidR="00CF0E2D" w:rsidRPr="00884AAE" w:rsidRDefault="00CF0E2D" w:rsidP="00A60D4B">
            <w:pPr>
              <w:pStyle w:val="InitFigR"/>
              <w:keepNext/>
              <w:keepLines/>
              <w:rPr>
                <w:b/>
                <w:bCs/>
              </w:rPr>
            </w:pPr>
            <w:r w:rsidRPr="00884AAE">
              <w:rPr>
                <w:b/>
                <w:bCs/>
              </w:rPr>
              <w:t>$’000</w:t>
            </w:r>
          </w:p>
        </w:tc>
        <w:tc>
          <w:tcPr>
            <w:tcW w:w="1029" w:type="dxa"/>
            <w:tcBorders>
              <w:top w:val="single" w:sz="4" w:space="0" w:color="auto"/>
              <w:bottom w:val="single" w:sz="4" w:space="0" w:color="auto"/>
            </w:tcBorders>
          </w:tcPr>
          <w:p w14:paraId="158CE2A1" w14:textId="77777777" w:rsidR="00CF0E2D" w:rsidRPr="00884AAE" w:rsidRDefault="00CF0E2D" w:rsidP="00A60D4B">
            <w:pPr>
              <w:pStyle w:val="InitFigR"/>
              <w:keepNext/>
              <w:keepLines/>
              <w:rPr>
                <w:b/>
                <w:bCs/>
              </w:rPr>
            </w:pPr>
            <w:r w:rsidRPr="00884AAE">
              <w:rPr>
                <w:b/>
                <w:bCs/>
              </w:rPr>
              <w:t>2023-24</w:t>
            </w:r>
          </w:p>
          <w:p w14:paraId="58DF0710" w14:textId="77777777" w:rsidR="00CF0E2D" w:rsidRPr="00884AAE" w:rsidRDefault="00CF0E2D" w:rsidP="00A60D4B">
            <w:pPr>
              <w:pStyle w:val="InitFigR"/>
              <w:keepNext/>
              <w:keepLines/>
              <w:rPr>
                <w:b/>
                <w:bCs/>
              </w:rPr>
            </w:pPr>
            <w:r w:rsidRPr="00884AAE">
              <w:rPr>
                <w:b/>
                <w:bCs/>
              </w:rPr>
              <w:t>$’000</w:t>
            </w:r>
          </w:p>
        </w:tc>
        <w:tc>
          <w:tcPr>
            <w:tcW w:w="1029" w:type="dxa"/>
            <w:tcBorders>
              <w:top w:val="single" w:sz="4" w:space="0" w:color="auto"/>
              <w:bottom w:val="single" w:sz="4" w:space="0" w:color="auto"/>
            </w:tcBorders>
          </w:tcPr>
          <w:p w14:paraId="7F1EE313" w14:textId="77777777" w:rsidR="00CF0E2D" w:rsidRPr="00884AAE" w:rsidRDefault="00CF0E2D" w:rsidP="00A60D4B">
            <w:pPr>
              <w:pStyle w:val="InitFigR"/>
              <w:keepNext/>
              <w:keepLines/>
              <w:rPr>
                <w:b/>
                <w:bCs/>
              </w:rPr>
            </w:pPr>
            <w:r w:rsidRPr="00884AAE">
              <w:rPr>
                <w:b/>
                <w:bCs/>
              </w:rPr>
              <w:t>2024-25</w:t>
            </w:r>
          </w:p>
          <w:p w14:paraId="5EFA502E" w14:textId="77777777" w:rsidR="00CF0E2D" w:rsidRPr="00884AAE" w:rsidRDefault="00CF0E2D" w:rsidP="00A60D4B">
            <w:pPr>
              <w:pStyle w:val="InitFigR"/>
              <w:keepNext/>
              <w:keepLines/>
              <w:rPr>
                <w:b/>
                <w:bCs/>
              </w:rPr>
            </w:pPr>
            <w:r w:rsidRPr="00884AAE">
              <w:rPr>
                <w:b/>
                <w:bCs/>
              </w:rPr>
              <w:t>$’000</w:t>
            </w:r>
          </w:p>
        </w:tc>
        <w:tc>
          <w:tcPr>
            <w:tcW w:w="1029" w:type="dxa"/>
            <w:gridSpan w:val="2"/>
            <w:tcBorders>
              <w:top w:val="single" w:sz="4" w:space="0" w:color="auto"/>
              <w:bottom w:val="single" w:sz="4" w:space="0" w:color="auto"/>
            </w:tcBorders>
          </w:tcPr>
          <w:p w14:paraId="43E2CD5A" w14:textId="77777777" w:rsidR="00CF0E2D" w:rsidRPr="004E341E" w:rsidRDefault="00CF0E2D" w:rsidP="00A60D4B">
            <w:pPr>
              <w:pStyle w:val="InitFigRBold"/>
              <w:keepNext/>
              <w:keepLines/>
            </w:pPr>
            <w:r w:rsidRPr="004E341E">
              <w:t>Total</w:t>
            </w:r>
          </w:p>
          <w:p w14:paraId="6EECCAF6" w14:textId="77777777" w:rsidR="00CF0E2D" w:rsidRPr="004E341E" w:rsidRDefault="00CF0E2D" w:rsidP="00A60D4B">
            <w:pPr>
              <w:pStyle w:val="InitFigBR"/>
              <w:keepNext/>
              <w:keepLines/>
            </w:pPr>
            <w:r w:rsidRPr="004E341E">
              <w:t>$’000</w:t>
            </w:r>
          </w:p>
        </w:tc>
      </w:tr>
      <w:tr w:rsidR="00CF0E2D" w:rsidRPr="00750793" w14:paraId="6DC6C240" w14:textId="77777777" w:rsidTr="00A60D4B">
        <w:trPr>
          <w:cantSplit/>
          <w:jc w:val="center"/>
        </w:trPr>
        <w:tc>
          <w:tcPr>
            <w:tcW w:w="3652" w:type="dxa"/>
            <w:tcBorders>
              <w:top w:val="single" w:sz="4" w:space="0" w:color="auto"/>
              <w:bottom w:val="single" w:sz="4" w:space="0" w:color="auto"/>
            </w:tcBorders>
          </w:tcPr>
          <w:p w14:paraId="006B6930" w14:textId="77777777" w:rsidR="00CF0E2D" w:rsidRDefault="00CF0E2D" w:rsidP="00A60D4B">
            <w:pPr>
              <w:pStyle w:val="InitTextL"/>
              <w:keepNext/>
              <w:keepLines/>
              <w:ind w:left="321" w:hanging="321"/>
            </w:pPr>
            <w:r>
              <w:t>Capital</w:t>
            </w:r>
          </w:p>
        </w:tc>
        <w:tc>
          <w:tcPr>
            <w:tcW w:w="1179" w:type="dxa"/>
            <w:tcBorders>
              <w:top w:val="single" w:sz="4" w:space="0" w:color="auto"/>
              <w:bottom w:val="single" w:sz="4" w:space="0" w:color="auto"/>
            </w:tcBorders>
          </w:tcPr>
          <w:p w14:paraId="33AF14C7" w14:textId="77777777" w:rsidR="00CF0E2D" w:rsidRDefault="00CF0E2D" w:rsidP="00A60D4B">
            <w:pPr>
              <w:pStyle w:val="InitFigR"/>
              <w:keepNext/>
              <w:keepLines/>
            </w:pPr>
            <w:r>
              <w:t>175</w:t>
            </w:r>
          </w:p>
        </w:tc>
        <w:tc>
          <w:tcPr>
            <w:tcW w:w="1041" w:type="dxa"/>
            <w:tcBorders>
              <w:top w:val="single" w:sz="4" w:space="0" w:color="auto"/>
              <w:bottom w:val="single" w:sz="4" w:space="0" w:color="auto"/>
            </w:tcBorders>
          </w:tcPr>
          <w:p w14:paraId="5EBCF4ED" w14:textId="77777777" w:rsidR="00CF0E2D" w:rsidRDefault="00CF0E2D" w:rsidP="00A60D4B">
            <w:pPr>
              <w:pStyle w:val="InitFigR"/>
              <w:keepNext/>
              <w:keepLines/>
            </w:pPr>
            <w:r>
              <w:t>650</w:t>
            </w:r>
          </w:p>
        </w:tc>
        <w:tc>
          <w:tcPr>
            <w:tcW w:w="1029" w:type="dxa"/>
            <w:tcBorders>
              <w:top w:val="single" w:sz="4" w:space="0" w:color="auto"/>
              <w:bottom w:val="single" w:sz="4" w:space="0" w:color="auto"/>
            </w:tcBorders>
          </w:tcPr>
          <w:p w14:paraId="120D1D40" w14:textId="77777777" w:rsidR="00CF0E2D" w:rsidRDefault="00CF0E2D" w:rsidP="00A60D4B">
            <w:pPr>
              <w:pStyle w:val="InitFigR"/>
              <w:keepNext/>
              <w:keepLines/>
            </w:pPr>
            <w:r>
              <w:t>0</w:t>
            </w:r>
          </w:p>
        </w:tc>
        <w:tc>
          <w:tcPr>
            <w:tcW w:w="1029" w:type="dxa"/>
            <w:tcBorders>
              <w:top w:val="single" w:sz="4" w:space="0" w:color="auto"/>
              <w:bottom w:val="single" w:sz="4" w:space="0" w:color="auto"/>
            </w:tcBorders>
          </w:tcPr>
          <w:p w14:paraId="1C27E6AF" w14:textId="77777777" w:rsidR="00CF0E2D" w:rsidRDefault="00CF0E2D" w:rsidP="00A60D4B">
            <w:pPr>
              <w:pStyle w:val="InitFigR"/>
              <w:keepNext/>
              <w:keepLines/>
            </w:pPr>
            <w:r>
              <w:t>0</w:t>
            </w:r>
          </w:p>
        </w:tc>
        <w:tc>
          <w:tcPr>
            <w:tcW w:w="1029" w:type="dxa"/>
            <w:gridSpan w:val="2"/>
            <w:tcBorders>
              <w:top w:val="single" w:sz="4" w:space="0" w:color="auto"/>
              <w:bottom w:val="single" w:sz="4" w:space="0" w:color="auto"/>
            </w:tcBorders>
          </w:tcPr>
          <w:p w14:paraId="41C99786" w14:textId="77777777" w:rsidR="00CF0E2D" w:rsidRPr="00884AAE" w:rsidRDefault="00CF0E2D" w:rsidP="00A60D4B">
            <w:pPr>
              <w:pStyle w:val="InitFigRBold"/>
              <w:keepNext/>
              <w:keepLines/>
              <w:rPr>
                <w:bCs/>
              </w:rPr>
            </w:pPr>
            <w:r w:rsidRPr="00884AAE">
              <w:rPr>
                <w:bCs/>
              </w:rPr>
              <w:t>825</w:t>
            </w:r>
          </w:p>
        </w:tc>
      </w:tr>
      <w:tr w:rsidR="00CF0E2D" w:rsidRPr="00750793" w14:paraId="2451A541" w14:textId="77777777" w:rsidTr="00A60D4B">
        <w:trPr>
          <w:gridAfter w:val="1"/>
          <w:wAfter w:w="28" w:type="dxa"/>
          <w:cantSplit/>
          <w:jc w:val="center"/>
        </w:trPr>
        <w:tc>
          <w:tcPr>
            <w:tcW w:w="3652" w:type="dxa"/>
          </w:tcPr>
          <w:p w14:paraId="7D16F188" w14:textId="77777777" w:rsidR="00CF0E2D" w:rsidRPr="00F13FAB" w:rsidRDefault="00CF0E2D" w:rsidP="00A60D4B">
            <w:pPr>
              <w:pStyle w:val="InitTextL"/>
              <w:keepNext/>
              <w:keepLines/>
              <w:ind w:left="321" w:hanging="321"/>
            </w:pPr>
            <w:r w:rsidRPr="00882BE2">
              <w:t>Expenses</w:t>
            </w:r>
          </w:p>
        </w:tc>
        <w:tc>
          <w:tcPr>
            <w:tcW w:w="1179" w:type="dxa"/>
          </w:tcPr>
          <w:p w14:paraId="743CD7FA" w14:textId="77777777" w:rsidR="00CF0E2D" w:rsidRPr="00424DA4" w:rsidRDefault="00CF0E2D" w:rsidP="00A60D4B">
            <w:pPr>
              <w:pStyle w:val="InitFigR"/>
              <w:keepNext/>
              <w:keepLines/>
            </w:pPr>
            <w:r w:rsidRPr="00897F5F">
              <w:t>2,233</w:t>
            </w:r>
          </w:p>
        </w:tc>
        <w:tc>
          <w:tcPr>
            <w:tcW w:w="1041" w:type="dxa"/>
          </w:tcPr>
          <w:p w14:paraId="5D368F79" w14:textId="77777777" w:rsidR="00CF0E2D" w:rsidRPr="00424DA4" w:rsidRDefault="00CF0E2D" w:rsidP="00A60D4B">
            <w:pPr>
              <w:pStyle w:val="InitFigR"/>
              <w:keepNext/>
              <w:keepLines/>
            </w:pPr>
            <w:r w:rsidRPr="00897F5F">
              <w:t>0</w:t>
            </w:r>
          </w:p>
        </w:tc>
        <w:tc>
          <w:tcPr>
            <w:tcW w:w="1029" w:type="dxa"/>
          </w:tcPr>
          <w:p w14:paraId="112B0654" w14:textId="77777777" w:rsidR="00CF0E2D" w:rsidRPr="00424DA4" w:rsidRDefault="00CF0E2D" w:rsidP="00A60D4B">
            <w:pPr>
              <w:pStyle w:val="InitFigR"/>
              <w:keepNext/>
              <w:keepLines/>
            </w:pPr>
            <w:r w:rsidRPr="00897F5F">
              <w:t>0</w:t>
            </w:r>
          </w:p>
        </w:tc>
        <w:tc>
          <w:tcPr>
            <w:tcW w:w="1029" w:type="dxa"/>
          </w:tcPr>
          <w:p w14:paraId="3A9E712C" w14:textId="77777777" w:rsidR="00CF0E2D" w:rsidRPr="00424DA4" w:rsidRDefault="00CF0E2D" w:rsidP="00A60D4B">
            <w:pPr>
              <w:pStyle w:val="InitFigR"/>
              <w:keepNext/>
              <w:keepLines/>
            </w:pPr>
            <w:r w:rsidRPr="00897F5F">
              <w:t>0</w:t>
            </w:r>
          </w:p>
        </w:tc>
        <w:tc>
          <w:tcPr>
            <w:tcW w:w="1001" w:type="dxa"/>
          </w:tcPr>
          <w:p w14:paraId="6B6888B6" w14:textId="77777777" w:rsidR="00CF0E2D" w:rsidRPr="00424DA4" w:rsidRDefault="00CF0E2D" w:rsidP="00A60D4B">
            <w:pPr>
              <w:pStyle w:val="InitFigBR"/>
              <w:keepNext/>
              <w:keepLines/>
            </w:pPr>
            <w:r w:rsidRPr="00897F5F">
              <w:t>2,233</w:t>
            </w:r>
          </w:p>
        </w:tc>
      </w:tr>
      <w:tr w:rsidR="00CF0E2D" w:rsidRPr="00750793" w14:paraId="5D713B7B" w14:textId="77777777" w:rsidTr="00A60D4B">
        <w:trPr>
          <w:gridAfter w:val="1"/>
          <w:wAfter w:w="28" w:type="dxa"/>
          <w:cantSplit/>
          <w:jc w:val="center"/>
        </w:trPr>
        <w:tc>
          <w:tcPr>
            <w:tcW w:w="3652" w:type="dxa"/>
          </w:tcPr>
          <w:p w14:paraId="6B3D8142" w14:textId="77777777" w:rsidR="00CF0E2D" w:rsidRDefault="00CF0E2D" w:rsidP="00A60D4B">
            <w:pPr>
              <w:pStyle w:val="InitTextL"/>
              <w:keepNext/>
              <w:keepLines/>
              <w:ind w:left="321" w:hanging="321"/>
            </w:pPr>
            <w:r>
              <w:t>Offset – Health Funding Envelope</w:t>
            </w:r>
          </w:p>
        </w:tc>
        <w:tc>
          <w:tcPr>
            <w:tcW w:w="1179" w:type="dxa"/>
          </w:tcPr>
          <w:p w14:paraId="3194A83B" w14:textId="77777777" w:rsidR="00CF0E2D" w:rsidRPr="00424DA4" w:rsidRDefault="00CF0E2D" w:rsidP="00A60D4B">
            <w:pPr>
              <w:pStyle w:val="InitFigR"/>
              <w:keepNext/>
              <w:keepLines/>
            </w:pPr>
            <w:r>
              <w:t>-</w:t>
            </w:r>
            <w:r w:rsidRPr="00897F5F">
              <w:t>2,233</w:t>
            </w:r>
          </w:p>
        </w:tc>
        <w:tc>
          <w:tcPr>
            <w:tcW w:w="1041" w:type="dxa"/>
          </w:tcPr>
          <w:p w14:paraId="2F069E99" w14:textId="77777777" w:rsidR="00CF0E2D" w:rsidRPr="00424DA4" w:rsidRDefault="00CF0E2D" w:rsidP="00A60D4B">
            <w:pPr>
              <w:pStyle w:val="InitFigR"/>
              <w:keepNext/>
              <w:keepLines/>
            </w:pPr>
            <w:r w:rsidRPr="00897F5F">
              <w:t>0</w:t>
            </w:r>
          </w:p>
        </w:tc>
        <w:tc>
          <w:tcPr>
            <w:tcW w:w="1029" w:type="dxa"/>
          </w:tcPr>
          <w:p w14:paraId="2BFF3225" w14:textId="77777777" w:rsidR="00CF0E2D" w:rsidRPr="00424DA4" w:rsidRDefault="00CF0E2D" w:rsidP="00A60D4B">
            <w:pPr>
              <w:pStyle w:val="InitFigR"/>
              <w:keepNext/>
              <w:keepLines/>
            </w:pPr>
            <w:r w:rsidRPr="00897F5F">
              <w:t>0</w:t>
            </w:r>
          </w:p>
        </w:tc>
        <w:tc>
          <w:tcPr>
            <w:tcW w:w="1029" w:type="dxa"/>
          </w:tcPr>
          <w:p w14:paraId="783371C1" w14:textId="77777777" w:rsidR="00CF0E2D" w:rsidRPr="00424DA4" w:rsidRDefault="00CF0E2D" w:rsidP="00A60D4B">
            <w:pPr>
              <w:pStyle w:val="InitFigR"/>
              <w:keepNext/>
              <w:keepLines/>
            </w:pPr>
            <w:r w:rsidRPr="00897F5F">
              <w:t>0</w:t>
            </w:r>
          </w:p>
        </w:tc>
        <w:tc>
          <w:tcPr>
            <w:tcW w:w="1001" w:type="dxa"/>
          </w:tcPr>
          <w:p w14:paraId="68A001C8" w14:textId="77777777" w:rsidR="00CF0E2D" w:rsidRPr="00424DA4" w:rsidRDefault="00CF0E2D" w:rsidP="00A60D4B">
            <w:pPr>
              <w:pStyle w:val="InitFigBR"/>
              <w:keepNext/>
              <w:keepLines/>
            </w:pPr>
            <w:r>
              <w:t>-</w:t>
            </w:r>
            <w:r w:rsidRPr="00897F5F">
              <w:t>2,233</w:t>
            </w:r>
          </w:p>
        </w:tc>
      </w:tr>
      <w:tr w:rsidR="00CF0E2D" w:rsidRPr="00750793" w14:paraId="722D5785" w14:textId="77777777" w:rsidTr="00A60D4B">
        <w:trPr>
          <w:gridAfter w:val="1"/>
          <w:wAfter w:w="28" w:type="dxa"/>
          <w:cantSplit/>
          <w:trHeight w:val="107"/>
          <w:jc w:val="center"/>
        </w:trPr>
        <w:tc>
          <w:tcPr>
            <w:tcW w:w="3652" w:type="dxa"/>
            <w:tcBorders>
              <w:top w:val="single" w:sz="4" w:space="0" w:color="auto"/>
              <w:bottom w:val="single" w:sz="4" w:space="0" w:color="auto"/>
            </w:tcBorders>
          </w:tcPr>
          <w:p w14:paraId="5C03D81D" w14:textId="68C22685" w:rsidR="00CF0E2D" w:rsidRPr="00DA5279" w:rsidRDefault="00F57411" w:rsidP="00A60D4B">
            <w:pPr>
              <w:pStyle w:val="InitFigLBold"/>
              <w:keepNext/>
              <w:keepLines/>
              <w:ind w:left="321" w:hanging="321"/>
            </w:pPr>
            <w:r>
              <w:t>Net cost of services</w:t>
            </w:r>
          </w:p>
        </w:tc>
        <w:tc>
          <w:tcPr>
            <w:tcW w:w="1179" w:type="dxa"/>
            <w:tcBorders>
              <w:top w:val="single" w:sz="4" w:space="0" w:color="auto"/>
              <w:bottom w:val="single" w:sz="4" w:space="0" w:color="auto"/>
            </w:tcBorders>
          </w:tcPr>
          <w:p w14:paraId="1A86C919" w14:textId="77777777" w:rsidR="00CF0E2D" w:rsidRDefault="00CF0E2D" w:rsidP="00A60D4B">
            <w:pPr>
              <w:pStyle w:val="InitFigRBold"/>
              <w:keepNext/>
              <w:keepLines/>
            </w:pPr>
            <w:r>
              <w:t>0</w:t>
            </w:r>
          </w:p>
        </w:tc>
        <w:tc>
          <w:tcPr>
            <w:tcW w:w="1041" w:type="dxa"/>
            <w:tcBorders>
              <w:top w:val="single" w:sz="4" w:space="0" w:color="auto"/>
              <w:bottom w:val="single" w:sz="4" w:space="0" w:color="auto"/>
            </w:tcBorders>
          </w:tcPr>
          <w:p w14:paraId="3FDD8186" w14:textId="77777777" w:rsidR="00CF0E2D" w:rsidRDefault="00CF0E2D" w:rsidP="00A60D4B">
            <w:pPr>
              <w:pStyle w:val="InitFigRBold"/>
              <w:keepNext/>
              <w:keepLines/>
            </w:pPr>
            <w:r>
              <w:t>0</w:t>
            </w:r>
          </w:p>
        </w:tc>
        <w:tc>
          <w:tcPr>
            <w:tcW w:w="1029" w:type="dxa"/>
            <w:tcBorders>
              <w:top w:val="single" w:sz="4" w:space="0" w:color="auto"/>
              <w:bottom w:val="single" w:sz="4" w:space="0" w:color="auto"/>
            </w:tcBorders>
          </w:tcPr>
          <w:p w14:paraId="2FBEC96C" w14:textId="77777777" w:rsidR="00CF0E2D" w:rsidRDefault="00CF0E2D" w:rsidP="00A60D4B">
            <w:pPr>
              <w:pStyle w:val="InitFigRBold"/>
              <w:keepNext/>
              <w:keepLines/>
            </w:pPr>
            <w:r>
              <w:t>0</w:t>
            </w:r>
          </w:p>
        </w:tc>
        <w:tc>
          <w:tcPr>
            <w:tcW w:w="1029" w:type="dxa"/>
            <w:tcBorders>
              <w:top w:val="single" w:sz="4" w:space="0" w:color="auto"/>
              <w:bottom w:val="single" w:sz="4" w:space="0" w:color="auto"/>
            </w:tcBorders>
          </w:tcPr>
          <w:p w14:paraId="4542029C" w14:textId="77777777" w:rsidR="00CF0E2D" w:rsidRDefault="00CF0E2D" w:rsidP="00A60D4B">
            <w:pPr>
              <w:pStyle w:val="InitFigRBold"/>
              <w:keepNext/>
              <w:keepLines/>
            </w:pPr>
            <w:r>
              <w:t>0</w:t>
            </w:r>
          </w:p>
        </w:tc>
        <w:tc>
          <w:tcPr>
            <w:tcW w:w="1001" w:type="dxa"/>
            <w:tcBorders>
              <w:top w:val="single" w:sz="4" w:space="0" w:color="auto"/>
              <w:bottom w:val="single" w:sz="4" w:space="0" w:color="auto"/>
            </w:tcBorders>
          </w:tcPr>
          <w:p w14:paraId="106AF45D" w14:textId="77777777" w:rsidR="00CF0E2D" w:rsidRPr="00DA5279" w:rsidRDefault="00CF0E2D" w:rsidP="00A60D4B">
            <w:pPr>
              <w:pStyle w:val="InitFigRBold"/>
              <w:keepNext/>
              <w:keepLines/>
              <w:rPr>
                <w:bCs/>
              </w:rPr>
            </w:pPr>
            <w:r>
              <w:rPr>
                <w:bCs/>
              </w:rPr>
              <w:t>0</w:t>
            </w:r>
          </w:p>
        </w:tc>
      </w:tr>
    </w:tbl>
    <w:p w14:paraId="50836AF3" w14:textId="77777777" w:rsidR="00CF0E2D" w:rsidRPr="009A750B" w:rsidRDefault="00CF0E2D" w:rsidP="00A60D4B">
      <w:pPr>
        <w:pStyle w:val="Bbodytext"/>
        <w:keepNext/>
        <w:keepLines/>
      </w:pPr>
      <w:r w:rsidRPr="001952D1">
        <w:t>The Government will support an immediate capacity increase to endoscopy services in 2021 and undertake feasibility and design work for expansion and refurbishment of t</w:t>
      </w:r>
      <w:r w:rsidRPr="009A750B">
        <w:t>he existing endoscopy suites at the Canberra Hospital.</w:t>
      </w:r>
    </w:p>
    <w:p w14:paraId="5CAAB9D4" w14:textId="77777777" w:rsidR="00CF0E2D" w:rsidRPr="009A750B" w:rsidRDefault="00CF0E2D" w:rsidP="00A60D4B">
      <w:pPr>
        <w:pStyle w:val="Bbodytext"/>
      </w:pPr>
      <w:r w:rsidRPr="001952D1">
        <w:t>This initiative builds on the inve</w:t>
      </w:r>
      <w:r w:rsidRPr="009A750B">
        <w:t>stment made in 2020-21 to increase endoscopy procedures as part of the recovery activity of the COVID-19 Response.</w:t>
      </w:r>
    </w:p>
    <w:p w14:paraId="1CA7D3C8" w14:textId="77777777" w:rsidR="00CF0E2D" w:rsidRDefault="00CF0E2D" w:rsidP="00A60D4B">
      <w:pPr>
        <w:pStyle w:val="Bbodytext"/>
      </w:pPr>
      <w:r w:rsidRPr="001952D1">
        <w:t xml:space="preserve">This initiative contributes to the wellbeing domain </w:t>
      </w:r>
      <w:r w:rsidRPr="009A750B">
        <w:t>of Health.</w:t>
      </w:r>
    </w:p>
    <w:p w14:paraId="6D746A5B" w14:textId="77777777" w:rsidR="00CF0E2D" w:rsidRDefault="00CF0E2D">
      <w:pPr>
        <w:rPr>
          <w:sz w:val="24"/>
        </w:rPr>
      </w:pPr>
      <w:r>
        <w:rPr>
          <w:sz w:val="24"/>
        </w:rPr>
        <w:br w:type="page"/>
      </w:r>
    </w:p>
    <w:p w14:paraId="262128EF" w14:textId="77777777" w:rsidR="00CF0E2D" w:rsidRPr="0023352D" w:rsidRDefault="00CF0E2D" w:rsidP="00A60D4B">
      <w:pPr>
        <w:pStyle w:val="Heading4"/>
        <w:rPr>
          <w:rFonts w:eastAsia="Times New Roman"/>
        </w:rPr>
      </w:pPr>
      <w:r w:rsidRPr="0023352D">
        <w:rPr>
          <w:rFonts w:eastAsia="Times New Roman"/>
        </w:rPr>
        <w:lastRenderedPageBreak/>
        <w:t xml:space="preserve">Improving Canberra’s health infrastructure – Northside </w:t>
      </w:r>
      <w:r>
        <w:rPr>
          <w:rFonts w:eastAsia="Times New Roman"/>
        </w:rPr>
        <w:t>h</w:t>
      </w:r>
      <w:r w:rsidRPr="0023352D">
        <w:rPr>
          <w:rFonts w:eastAsia="Times New Roman"/>
        </w:rPr>
        <w:t xml:space="preserve">ospital </w:t>
      </w:r>
      <w:r>
        <w:rPr>
          <w:rFonts w:eastAsia="Times New Roman"/>
        </w:rPr>
        <w:t>d</w:t>
      </w:r>
      <w:r w:rsidRPr="0023352D">
        <w:rPr>
          <w:rFonts w:eastAsia="Times New Roman"/>
        </w:rPr>
        <w:t>evelopment</w:t>
      </w:r>
      <w:r>
        <w:rPr>
          <w:b w:val="0"/>
          <w:noProof/>
          <w:color w:val="999789"/>
          <w:sz w:val="32"/>
          <w:szCs w:val="24"/>
        </w:rPr>
        <w:drawing>
          <wp:anchor distT="0" distB="0" distL="114300" distR="114300" simplePos="0" relativeHeight="251881472" behindDoc="0" locked="1" layoutInCell="1" allowOverlap="1" wp14:anchorId="739FC381" wp14:editId="531C301C">
            <wp:simplePos x="0" y="0"/>
            <wp:positionH relativeFrom="margin">
              <wp:align>right</wp:align>
            </wp:positionH>
            <wp:positionV relativeFrom="paragraph">
              <wp:posOffset>6985</wp:posOffset>
            </wp:positionV>
            <wp:extent cx="993140" cy="503555"/>
            <wp:effectExtent l="0" t="0" r="0" b="0"/>
            <wp:wrapSquare wrapText="bothSides"/>
            <wp:docPr id="177" name="Picture 177"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r w:rsidRPr="0023352D">
        <w:rPr>
          <w:rFonts w:eastAsia="Times New Roman"/>
        </w:rPr>
        <w:t xml:space="preserve">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59B0A408" w14:textId="77777777" w:rsidTr="00A60D4B">
        <w:trPr>
          <w:cantSplit/>
          <w:jc w:val="center"/>
        </w:trPr>
        <w:tc>
          <w:tcPr>
            <w:tcW w:w="3652" w:type="dxa"/>
            <w:tcBorders>
              <w:top w:val="single" w:sz="4" w:space="0" w:color="auto"/>
              <w:bottom w:val="single" w:sz="4" w:space="0" w:color="auto"/>
            </w:tcBorders>
          </w:tcPr>
          <w:p w14:paraId="612C26AC"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75D48A1E" w14:textId="77777777" w:rsidR="00CF0E2D" w:rsidRPr="00987EB8" w:rsidRDefault="00CF0E2D" w:rsidP="00A60D4B">
            <w:pPr>
              <w:pStyle w:val="InitFigR"/>
              <w:rPr>
                <w:b/>
                <w:bCs/>
              </w:rPr>
            </w:pPr>
            <w:r w:rsidRPr="00987EB8">
              <w:rPr>
                <w:b/>
                <w:bCs/>
              </w:rPr>
              <w:t>2021-22</w:t>
            </w:r>
          </w:p>
          <w:p w14:paraId="75C3A7D7" w14:textId="77777777" w:rsidR="00CF0E2D" w:rsidRPr="00987EB8" w:rsidRDefault="00CF0E2D" w:rsidP="00A60D4B">
            <w:pPr>
              <w:pStyle w:val="InitFigR"/>
              <w:rPr>
                <w:b/>
                <w:bCs/>
              </w:rPr>
            </w:pPr>
            <w:r w:rsidRPr="00987EB8">
              <w:rPr>
                <w:b/>
                <w:bCs/>
              </w:rPr>
              <w:t>$’000</w:t>
            </w:r>
          </w:p>
        </w:tc>
        <w:tc>
          <w:tcPr>
            <w:tcW w:w="1041" w:type="dxa"/>
            <w:tcBorders>
              <w:top w:val="single" w:sz="4" w:space="0" w:color="auto"/>
              <w:bottom w:val="single" w:sz="4" w:space="0" w:color="auto"/>
            </w:tcBorders>
          </w:tcPr>
          <w:p w14:paraId="6E0AE88D" w14:textId="77777777" w:rsidR="00CF0E2D" w:rsidRPr="00987EB8" w:rsidRDefault="00CF0E2D" w:rsidP="00A60D4B">
            <w:pPr>
              <w:pStyle w:val="InitFigR"/>
              <w:rPr>
                <w:b/>
                <w:bCs/>
              </w:rPr>
            </w:pPr>
            <w:r w:rsidRPr="00987EB8">
              <w:rPr>
                <w:b/>
                <w:bCs/>
              </w:rPr>
              <w:t>2022-23</w:t>
            </w:r>
          </w:p>
          <w:p w14:paraId="33885665"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10672D32" w14:textId="77777777" w:rsidR="00CF0E2D" w:rsidRPr="00987EB8" w:rsidRDefault="00CF0E2D" w:rsidP="00A60D4B">
            <w:pPr>
              <w:pStyle w:val="InitFigR"/>
              <w:rPr>
                <w:b/>
                <w:bCs/>
              </w:rPr>
            </w:pPr>
            <w:r w:rsidRPr="00987EB8">
              <w:rPr>
                <w:b/>
                <w:bCs/>
              </w:rPr>
              <w:t>2023-24</w:t>
            </w:r>
          </w:p>
          <w:p w14:paraId="613D9C19"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139A491F" w14:textId="77777777" w:rsidR="00CF0E2D" w:rsidRPr="00987EB8" w:rsidRDefault="00CF0E2D" w:rsidP="00A60D4B">
            <w:pPr>
              <w:pStyle w:val="InitFigR"/>
              <w:rPr>
                <w:b/>
                <w:bCs/>
              </w:rPr>
            </w:pPr>
            <w:r w:rsidRPr="00987EB8">
              <w:rPr>
                <w:b/>
                <w:bCs/>
              </w:rPr>
              <w:t>2024-25</w:t>
            </w:r>
          </w:p>
          <w:p w14:paraId="20F3DC2B"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4652100C" w14:textId="77777777" w:rsidR="00CF0E2D" w:rsidRPr="004E341E" w:rsidRDefault="00CF0E2D" w:rsidP="00A60D4B">
            <w:pPr>
              <w:pStyle w:val="InitFigRBold"/>
            </w:pPr>
            <w:r w:rsidRPr="004E341E">
              <w:t>Total</w:t>
            </w:r>
          </w:p>
          <w:p w14:paraId="553E7F90" w14:textId="77777777" w:rsidR="00CF0E2D" w:rsidRPr="004E341E" w:rsidRDefault="00CF0E2D" w:rsidP="00A60D4B">
            <w:pPr>
              <w:pStyle w:val="InitFigBR"/>
            </w:pPr>
            <w:r w:rsidRPr="004E341E">
              <w:t>$’000</w:t>
            </w:r>
          </w:p>
        </w:tc>
      </w:tr>
      <w:tr w:rsidR="00CF0E2D" w:rsidRPr="00750793" w14:paraId="6825573A" w14:textId="77777777" w:rsidTr="00A60D4B">
        <w:trPr>
          <w:cantSplit/>
          <w:jc w:val="center"/>
        </w:trPr>
        <w:tc>
          <w:tcPr>
            <w:tcW w:w="3652" w:type="dxa"/>
            <w:tcBorders>
              <w:top w:val="single" w:sz="4" w:space="0" w:color="auto"/>
            </w:tcBorders>
          </w:tcPr>
          <w:p w14:paraId="6891B63F" w14:textId="77777777" w:rsidR="00CF0E2D" w:rsidRDefault="00CF0E2D" w:rsidP="00A60D4B">
            <w:pPr>
              <w:pStyle w:val="InitTextL"/>
              <w:ind w:left="321" w:hanging="321"/>
            </w:pPr>
            <w:r>
              <w:t>Capital – Health</w:t>
            </w:r>
          </w:p>
        </w:tc>
        <w:tc>
          <w:tcPr>
            <w:tcW w:w="1179" w:type="dxa"/>
            <w:tcBorders>
              <w:top w:val="single" w:sz="4" w:space="0" w:color="auto"/>
            </w:tcBorders>
          </w:tcPr>
          <w:p w14:paraId="39098BF1" w14:textId="77777777" w:rsidR="00CF0E2D" w:rsidRDefault="00CF0E2D" w:rsidP="00A60D4B">
            <w:pPr>
              <w:pStyle w:val="InitFigR"/>
            </w:pPr>
            <w:r>
              <w:t>2,676</w:t>
            </w:r>
          </w:p>
        </w:tc>
        <w:tc>
          <w:tcPr>
            <w:tcW w:w="1041" w:type="dxa"/>
            <w:tcBorders>
              <w:top w:val="single" w:sz="4" w:space="0" w:color="auto"/>
            </w:tcBorders>
          </w:tcPr>
          <w:p w14:paraId="3E4A7C76" w14:textId="77777777" w:rsidR="00CF0E2D" w:rsidRDefault="00CF0E2D" w:rsidP="00A60D4B">
            <w:pPr>
              <w:pStyle w:val="InitFigR"/>
            </w:pPr>
            <w:r>
              <w:t>7,870</w:t>
            </w:r>
          </w:p>
        </w:tc>
        <w:tc>
          <w:tcPr>
            <w:tcW w:w="1029" w:type="dxa"/>
            <w:tcBorders>
              <w:top w:val="single" w:sz="4" w:space="0" w:color="auto"/>
            </w:tcBorders>
          </w:tcPr>
          <w:p w14:paraId="4A958186" w14:textId="77777777" w:rsidR="00CF0E2D" w:rsidRDefault="00CF0E2D" w:rsidP="00A60D4B">
            <w:pPr>
              <w:pStyle w:val="InitFigR"/>
            </w:pPr>
            <w:r>
              <w:t>0</w:t>
            </w:r>
          </w:p>
        </w:tc>
        <w:tc>
          <w:tcPr>
            <w:tcW w:w="1029" w:type="dxa"/>
            <w:tcBorders>
              <w:top w:val="single" w:sz="4" w:space="0" w:color="auto"/>
            </w:tcBorders>
          </w:tcPr>
          <w:p w14:paraId="6496D688" w14:textId="77777777" w:rsidR="00CF0E2D" w:rsidRDefault="00CF0E2D" w:rsidP="00A60D4B">
            <w:pPr>
              <w:pStyle w:val="InitFigR"/>
            </w:pPr>
            <w:r>
              <w:t>0</w:t>
            </w:r>
          </w:p>
        </w:tc>
        <w:tc>
          <w:tcPr>
            <w:tcW w:w="1029" w:type="dxa"/>
            <w:tcBorders>
              <w:top w:val="single" w:sz="4" w:space="0" w:color="auto"/>
            </w:tcBorders>
          </w:tcPr>
          <w:p w14:paraId="09B10BFB" w14:textId="77777777" w:rsidR="00CF0E2D" w:rsidRPr="00D14B17" w:rsidRDefault="00CF0E2D" w:rsidP="00A60D4B">
            <w:pPr>
              <w:pStyle w:val="InitFigRBold"/>
              <w:rPr>
                <w:bCs/>
              </w:rPr>
            </w:pPr>
            <w:r>
              <w:rPr>
                <w:bCs/>
              </w:rPr>
              <w:t>10,546</w:t>
            </w:r>
          </w:p>
        </w:tc>
      </w:tr>
      <w:tr w:rsidR="00CF0E2D" w:rsidRPr="00750793" w14:paraId="7885C53D" w14:textId="77777777" w:rsidTr="00A60D4B">
        <w:trPr>
          <w:cantSplit/>
          <w:jc w:val="center"/>
        </w:trPr>
        <w:tc>
          <w:tcPr>
            <w:tcW w:w="3652" w:type="dxa"/>
          </w:tcPr>
          <w:p w14:paraId="7B902B00" w14:textId="77777777" w:rsidR="00CF0E2D" w:rsidRDefault="00CF0E2D" w:rsidP="00A60D4B">
            <w:pPr>
              <w:pStyle w:val="InitTextL"/>
              <w:ind w:left="321" w:hanging="321"/>
            </w:pPr>
            <w:r>
              <w:t>Capital – Major Projects</w:t>
            </w:r>
          </w:p>
        </w:tc>
        <w:tc>
          <w:tcPr>
            <w:tcW w:w="1179" w:type="dxa"/>
          </w:tcPr>
          <w:p w14:paraId="64CEA485" w14:textId="77777777" w:rsidR="00CF0E2D" w:rsidRDefault="00CF0E2D" w:rsidP="00A60D4B">
            <w:pPr>
              <w:pStyle w:val="InitFigR"/>
            </w:pPr>
            <w:r>
              <w:t>1,334</w:t>
            </w:r>
          </w:p>
        </w:tc>
        <w:tc>
          <w:tcPr>
            <w:tcW w:w="1041" w:type="dxa"/>
          </w:tcPr>
          <w:p w14:paraId="668A7687" w14:textId="77777777" w:rsidR="00CF0E2D" w:rsidRDefault="00CF0E2D" w:rsidP="00A60D4B">
            <w:pPr>
              <w:pStyle w:val="InitFigR"/>
            </w:pPr>
            <w:r>
              <w:t>1,641</w:t>
            </w:r>
          </w:p>
        </w:tc>
        <w:tc>
          <w:tcPr>
            <w:tcW w:w="1029" w:type="dxa"/>
          </w:tcPr>
          <w:p w14:paraId="68F20EAE" w14:textId="77777777" w:rsidR="00CF0E2D" w:rsidRDefault="00CF0E2D" w:rsidP="00A60D4B">
            <w:pPr>
              <w:pStyle w:val="InitFigR"/>
            </w:pPr>
            <w:r>
              <w:t>0</w:t>
            </w:r>
          </w:p>
        </w:tc>
        <w:tc>
          <w:tcPr>
            <w:tcW w:w="1029" w:type="dxa"/>
          </w:tcPr>
          <w:p w14:paraId="292A09CC" w14:textId="77777777" w:rsidR="00CF0E2D" w:rsidRDefault="00CF0E2D" w:rsidP="00A60D4B">
            <w:pPr>
              <w:pStyle w:val="InitFigR"/>
            </w:pPr>
            <w:r>
              <w:t>0</w:t>
            </w:r>
          </w:p>
        </w:tc>
        <w:tc>
          <w:tcPr>
            <w:tcW w:w="1029" w:type="dxa"/>
          </w:tcPr>
          <w:p w14:paraId="4CC68FC1" w14:textId="77777777" w:rsidR="00CF0E2D" w:rsidRPr="00D14B17" w:rsidRDefault="00CF0E2D" w:rsidP="00A60D4B">
            <w:pPr>
              <w:pStyle w:val="InitFigRBold"/>
              <w:rPr>
                <w:bCs/>
              </w:rPr>
            </w:pPr>
            <w:r>
              <w:rPr>
                <w:bCs/>
              </w:rPr>
              <w:t>2,975</w:t>
            </w:r>
          </w:p>
        </w:tc>
      </w:tr>
      <w:tr w:rsidR="00CF0E2D" w:rsidRPr="00750793" w14:paraId="35D2F2A0" w14:textId="77777777" w:rsidTr="00A60D4B">
        <w:trPr>
          <w:cantSplit/>
          <w:jc w:val="center"/>
        </w:trPr>
        <w:tc>
          <w:tcPr>
            <w:tcW w:w="3652" w:type="dxa"/>
            <w:tcBorders>
              <w:top w:val="single" w:sz="4" w:space="0" w:color="auto"/>
              <w:bottom w:val="single" w:sz="4" w:space="0" w:color="auto"/>
            </w:tcBorders>
          </w:tcPr>
          <w:p w14:paraId="3EECA51A" w14:textId="48FCFB55" w:rsidR="00CF0E2D" w:rsidRPr="00D13A71" w:rsidRDefault="00B86042" w:rsidP="00A60D4B">
            <w:pPr>
              <w:pStyle w:val="InitTextL"/>
              <w:ind w:left="321" w:hanging="321"/>
              <w:rPr>
                <w:b/>
                <w:bCs/>
              </w:rPr>
            </w:pPr>
            <w:r>
              <w:rPr>
                <w:b/>
                <w:bCs/>
              </w:rPr>
              <w:t>Total capital</w:t>
            </w:r>
          </w:p>
        </w:tc>
        <w:tc>
          <w:tcPr>
            <w:tcW w:w="1179" w:type="dxa"/>
            <w:tcBorders>
              <w:top w:val="single" w:sz="4" w:space="0" w:color="auto"/>
              <w:bottom w:val="single" w:sz="4" w:space="0" w:color="auto"/>
            </w:tcBorders>
          </w:tcPr>
          <w:p w14:paraId="1786BEAC" w14:textId="77777777" w:rsidR="00CF0E2D" w:rsidRPr="00D14B17" w:rsidRDefault="00CF0E2D" w:rsidP="00A60D4B">
            <w:pPr>
              <w:pStyle w:val="InitFigR"/>
              <w:rPr>
                <w:b/>
                <w:bCs/>
              </w:rPr>
            </w:pPr>
            <w:r>
              <w:rPr>
                <w:b/>
                <w:bCs/>
              </w:rPr>
              <w:t>4,010</w:t>
            </w:r>
          </w:p>
        </w:tc>
        <w:tc>
          <w:tcPr>
            <w:tcW w:w="1041" w:type="dxa"/>
            <w:tcBorders>
              <w:top w:val="single" w:sz="4" w:space="0" w:color="auto"/>
              <w:bottom w:val="single" w:sz="4" w:space="0" w:color="auto"/>
            </w:tcBorders>
          </w:tcPr>
          <w:p w14:paraId="274D995D" w14:textId="77777777" w:rsidR="00CF0E2D" w:rsidRPr="00D14B17" w:rsidRDefault="00CF0E2D" w:rsidP="00A60D4B">
            <w:pPr>
              <w:pStyle w:val="InitFigR"/>
              <w:rPr>
                <w:b/>
                <w:bCs/>
              </w:rPr>
            </w:pPr>
            <w:r>
              <w:rPr>
                <w:b/>
                <w:bCs/>
              </w:rPr>
              <w:t>9,511</w:t>
            </w:r>
          </w:p>
        </w:tc>
        <w:tc>
          <w:tcPr>
            <w:tcW w:w="1029" w:type="dxa"/>
            <w:tcBorders>
              <w:top w:val="single" w:sz="4" w:space="0" w:color="auto"/>
              <w:bottom w:val="single" w:sz="4" w:space="0" w:color="auto"/>
            </w:tcBorders>
          </w:tcPr>
          <w:p w14:paraId="67014632" w14:textId="77777777" w:rsidR="00CF0E2D" w:rsidRPr="00D14B17" w:rsidRDefault="00CF0E2D" w:rsidP="00A60D4B">
            <w:pPr>
              <w:pStyle w:val="InitFigR"/>
              <w:rPr>
                <w:b/>
                <w:bCs/>
              </w:rPr>
            </w:pPr>
            <w:r w:rsidRPr="00D14B17">
              <w:rPr>
                <w:b/>
                <w:bCs/>
              </w:rPr>
              <w:t>0</w:t>
            </w:r>
          </w:p>
        </w:tc>
        <w:tc>
          <w:tcPr>
            <w:tcW w:w="1029" w:type="dxa"/>
            <w:tcBorders>
              <w:top w:val="single" w:sz="4" w:space="0" w:color="auto"/>
              <w:bottom w:val="single" w:sz="4" w:space="0" w:color="auto"/>
            </w:tcBorders>
          </w:tcPr>
          <w:p w14:paraId="36EEDBF5" w14:textId="77777777" w:rsidR="00CF0E2D" w:rsidRPr="00D14B17" w:rsidRDefault="00CF0E2D" w:rsidP="00A60D4B">
            <w:pPr>
              <w:pStyle w:val="InitFigR"/>
              <w:rPr>
                <w:b/>
                <w:bCs/>
              </w:rPr>
            </w:pPr>
            <w:r w:rsidRPr="00D14B17">
              <w:rPr>
                <w:b/>
                <w:bCs/>
              </w:rPr>
              <w:t>0</w:t>
            </w:r>
          </w:p>
        </w:tc>
        <w:tc>
          <w:tcPr>
            <w:tcW w:w="1029" w:type="dxa"/>
            <w:tcBorders>
              <w:top w:val="single" w:sz="4" w:space="0" w:color="auto"/>
              <w:bottom w:val="single" w:sz="4" w:space="0" w:color="auto"/>
            </w:tcBorders>
          </w:tcPr>
          <w:p w14:paraId="04792026" w14:textId="77777777" w:rsidR="00CF0E2D" w:rsidRPr="00D14B17" w:rsidRDefault="00CF0E2D" w:rsidP="00A60D4B">
            <w:pPr>
              <w:pStyle w:val="InitFigRBold"/>
              <w:rPr>
                <w:bCs/>
              </w:rPr>
            </w:pPr>
            <w:r>
              <w:rPr>
                <w:bCs/>
              </w:rPr>
              <w:t>13,521</w:t>
            </w:r>
          </w:p>
        </w:tc>
      </w:tr>
      <w:tr w:rsidR="00CF0E2D" w:rsidRPr="00750793" w14:paraId="0FEDF2AA" w14:textId="77777777" w:rsidTr="00A60D4B">
        <w:trPr>
          <w:cantSplit/>
          <w:jc w:val="center"/>
        </w:trPr>
        <w:tc>
          <w:tcPr>
            <w:tcW w:w="3652" w:type="dxa"/>
            <w:tcBorders>
              <w:top w:val="single" w:sz="4" w:space="0" w:color="auto"/>
              <w:bottom w:val="single" w:sz="4" w:space="0" w:color="auto"/>
            </w:tcBorders>
          </w:tcPr>
          <w:p w14:paraId="78B2AD07" w14:textId="77777777" w:rsidR="00CF0E2D" w:rsidRDefault="00CF0E2D" w:rsidP="00A60D4B">
            <w:pPr>
              <w:pStyle w:val="InitTextL"/>
              <w:ind w:left="321" w:hanging="321"/>
            </w:pPr>
            <w:r>
              <w:t>Offset – Existing funding</w:t>
            </w:r>
          </w:p>
        </w:tc>
        <w:tc>
          <w:tcPr>
            <w:tcW w:w="1179" w:type="dxa"/>
            <w:tcBorders>
              <w:top w:val="single" w:sz="4" w:space="0" w:color="auto"/>
              <w:bottom w:val="single" w:sz="4" w:space="0" w:color="auto"/>
            </w:tcBorders>
          </w:tcPr>
          <w:p w14:paraId="79A4DBA0" w14:textId="77777777" w:rsidR="00CF0E2D" w:rsidRPr="00424DA4" w:rsidRDefault="00CF0E2D" w:rsidP="00A60D4B">
            <w:pPr>
              <w:pStyle w:val="InitFigR"/>
            </w:pPr>
            <w:r>
              <w:t>-908</w:t>
            </w:r>
          </w:p>
        </w:tc>
        <w:tc>
          <w:tcPr>
            <w:tcW w:w="1041" w:type="dxa"/>
            <w:tcBorders>
              <w:top w:val="single" w:sz="4" w:space="0" w:color="auto"/>
              <w:bottom w:val="single" w:sz="4" w:space="0" w:color="auto"/>
            </w:tcBorders>
          </w:tcPr>
          <w:p w14:paraId="448A9385"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134A1BAD"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1D1484D5"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37388FB5" w14:textId="77777777" w:rsidR="00CF0E2D" w:rsidRPr="00424DA4" w:rsidRDefault="00CF0E2D" w:rsidP="00A60D4B">
            <w:pPr>
              <w:pStyle w:val="InitFigBR"/>
            </w:pPr>
            <w:r>
              <w:t>-908</w:t>
            </w:r>
          </w:p>
        </w:tc>
      </w:tr>
    </w:tbl>
    <w:p w14:paraId="36832A6B" w14:textId="77777777" w:rsidR="00CF0E2D" w:rsidRPr="0023352D" w:rsidRDefault="00CF0E2D" w:rsidP="00A60D4B">
      <w:pPr>
        <w:pStyle w:val="Bbodytext"/>
        <w:rPr>
          <w:rFonts w:ascii="Calibri" w:eastAsia="Times New Roman" w:hAnsi="Calibri" w:cs="Times New Roman"/>
          <w:szCs w:val="20"/>
        </w:rPr>
      </w:pPr>
      <w:r w:rsidRPr="0023352D">
        <w:t>The Government wi</w:t>
      </w:r>
      <w:r w:rsidRPr="0023352D">
        <w:rPr>
          <w:rFonts w:ascii="Calibri" w:eastAsia="Times New Roman" w:hAnsi="Calibri" w:cs="Times New Roman"/>
          <w:szCs w:val="20"/>
        </w:rPr>
        <w:t xml:space="preserve">ll continue planning and design work for future hospital infrastructure in Canberra’s north. </w:t>
      </w:r>
    </w:p>
    <w:p w14:paraId="60FF095C" w14:textId="77777777" w:rsidR="00CF0E2D" w:rsidRPr="001952D1" w:rsidRDefault="00CF0E2D" w:rsidP="00A60D4B">
      <w:pPr>
        <w:pStyle w:val="Bbodytext"/>
      </w:pPr>
      <w:r w:rsidRPr="001952D1">
        <w:t>This initiative builds on the Government’s investments to increase the nursing and midwifery workforces.</w:t>
      </w:r>
    </w:p>
    <w:p w14:paraId="3316FAFE" w14:textId="77777777" w:rsidR="00CF0E2D" w:rsidRDefault="00CF0E2D" w:rsidP="00A60D4B">
      <w:pPr>
        <w:pStyle w:val="Bbodytext"/>
        <w:rPr>
          <w:rFonts w:ascii="Calibri" w:eastAsia="Times New Roman" w:hAnsi="Calibri" w:cs="Times New Roman"/>
          <w:szCs w:val="20"/>
        </w:rPr>
      </w:pPr>
      <w:r w:rsidRPr="001952D1">
        <w:t>This initiative</w:t>
      </w:r>
      <w:r w:rsidRPr="001952D1">
        <w:rPr>
          <w:rFonts w:ascii="Calibri" w:eastAsia="Times New Roman" w:hAnsi="Calibri" w:cs="Times New Roman"/>
          <w:szCs w:val="20"/>
        </w:rPr>
        <w:t xml:space="preserve"> contributes to the wellbeing domain of Health.</w:t>
      </w:r>
    </w:p>
    <w:p w14:paraId="13A7C3AF" w14:textId="77777777" w:rsidR="00CF0E2D" w:rsidRPr="001952D1" w:rsidRDefault="00CF0E2D" w:rsidP="00A60D4B">
      <w:pPr>
        <w:pStyle w:val="Bbodytext"/>
        <w:rPr>
          <w:rFonts w:ascii="Calibri" w:eastAsia="Times New Roman" w:hAnsi="Calibri" w:cs="Times New Roman"/>
          <w:szCs w:val="20"/>
        </w:rPr>
      </w:pPr>
    </w:p>
    <w:p w14:paraId="260AC926" w14:textId="77777777" w:rsidR="00CF0E2D" w:rsidRPr="001952D1" w:rsidRDefault="00CF0E2D" w:rsidP="00A60D4B">
      <w:pPr>
        <w:pStyle w:val="Heading4"/>
        <w:rPr>
          <w:rFonts w:eastAsia="Times New Roman"/>
        </w:rPr>
      </w:pPr>
      <w:r w:rsidRPr="001952D1">
        <w:rPr>
          <w:rFonts w:eastAsia="Times New Roman"/>
        </w:rPr>
        <w:t xml:space="preserve">Improving our </w:t>
      </w:r>
      <w:r>
        <w:rPr>
          <w:rFonts w:eastAsia="Times New Roman"/>
        </w:rPr>
        <w:t xml:space="preserve">public </w:t>
      </w:r>
      <w:r w:rsidRPr="001952D1">
        <w:rPr>
          <w:rFonts w:eastAsia="Times New Roman"/>
        </w:rPr>
        <w:t xml:space="preserve">health system </w:t>
      </w:r>
      <w:r>
        <w:rPr>
          <w:rFonts w:eastAsia="Times New Roman"/>
        </w:rPr>
        <w:t>–</w:t>
      </w:r>
      <w:r w:rsidRPr="001952D1">
        <w:rPr>
          <w:rFonts w:eastAsia="Times New Roman"/>
        </w:rPr>
        <w:t xml:space="preserve"> Activity </w:t>
      </w:r>
      <w:r>
        <w:rPr>
          <w:rFonts w:eastAsia="Times New Roman"/>
        </w:rPr>
        <w:t>b</w:t>
      </w:r>
      <w:r w:rsidRPr="001952D1">
        <w:rPr>
          <w:rFonts w:eastAsia="Times New Roman"/>
        </w:rPr>
        <w:t xml:space="preserve">ased </w:t>
      </w:r>
      <w:r>
        <w:rPr>
          <w:rFonts w:eastAsia="Times New Roman"/>
        </w:rPr>
        <w:t>m</w:t>
      </w:r>
      <w:r w:rsidRPr="001952D1">
        <w:rPr>
          <w:rFonts w:eastAsia="Times New Roman"/>
        </w:rPr>
        <w:t xml:space="preserve">anagement </w:t>
      </w:r>
      <w:r>
        <w:rPr>
          <w:b w:val="0"/>
          <w:noProof/>
          <w:color w:val="999789"/>
          <w:sz w:val="32"/>
          <w:szCs w:val="24"/>
        </w:rPr>
        <w:drawing>
          <wp:anchor distT="0" distB="0" distL="114300" distR="114300" simplePos="0" relativeHeight="251882496" behindDoc="0" locked="1" layoutInCell="1" allowOverlap="1" wp14:anchorId="7B6E92F0" wp14:editId="5C07E930">
            <wp:simplePos x="0" y="0"/>
            <wp:positionH relativeFrom="margin">
              <wp:align>right</wp:align>
            </wp:positionH>
            <wp:positionV relativeFrom="paragraph">
              <wp:posOffset>76200</wp:posOffset>
            </wp:positionV>
            <wp:extent cx="993140" cy="503555"/>
            <wp:effectExtent l="0" t="0" r="0" b="0"/>
            <wp:wrapSquare wrapText="bothSides"/>
            <wp:docPr id="178" name="Picture 178"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4DCB5548" w14:textId="77777777" w:rsidTr="00A60D4B">
        <w:trPr>
          <w:cantSplit/>
          <w:jc w:val="center"/>
        </w:trPr>
        <w:tc>
          <w:tcPr>
            <w:tcW w:w="3652" w:type="dxa"/>
            <w:tcBorders>
              <w:top w:val="single" w:sz="4" w:space="0" w:color="auto"/>
              <w:bottom w:val="single" w:sz="4" w:space="0" w:color="auto"/>
            </w:tcBorders>
          </w:tcPr>
          <w:p w14:paraId="06D36F9B"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786D34A5" w14:textId="77777777" w:rsidR="00CF0E2D" w:rsidRPr="00987EB8" w:rsidRDefault="00CF0E2D" w:rsidP="00A60D4B">
            <w:pPr>
              <w:pStyle w:val="InitFigR"/>
              <w:keepNext/>
              <w:keepLines/>
              <w:rPr>
                <w:b/>
                <w:bCs/>
              </w:rPr>
            </w:pPr>
            <w:r w:rsidRPr="00987EB8">
              <w:rPr>
                <w:b/>
                <w:bCs/>
              </w:rPr>
              <w:t>2021-22</w:t>
            </w:r>
          </w:p>
          <w:p w14:paraId="108985A5" w14:textId="77777777" w:rsidR="00CF0E2D" w:rsidRPr="00987EB8" w:rsidRDefault="00CF0E2D" w:rsidP="00A60D4B">
            <w:pPr>
              <w:pStyle w:val="InitFigR"/>
              <w:keepNext/>
              <w:keepLines/>
              <w:rPr>
                <w:b/>
                <w:bCs/>
              </w:rPr>
            </w:pPr>
            <w:r w:rsidRPr="00987EB8">
              <w:rPr>
                <w:b/>
                <w:bCs/>
              </w:rPr>
              <w:t>$’000</w:t>
            </w:r>
          </w:p>
        </w:tc>
        <w:tc>
          <w:tcPr>
            <w:tcW w:w="1041" w:type="dxa"/>
            <w:tcBorders>
              <w:top w:val="single" w:sz="4" w:space="0" w:color="auto"/>
              <w:bottom w:val="single" w:sz="4" w:space="0" w:color="auto"/>
            </w:tcBorders>
          </w:tcPr>
          <w:p w14:paraId="06D8CD68" w14:textId="77777777" w:rsidR="00CF0E2D" w:rsidRPr="00987EB8" w:rsidRDefault="00CF0E2D" w:rsidP="00A60D4B">
            <w:pPr>
              <w:pStyle w:val="InitFigR"/>
              <w:keepNext/>
              <w:keepLines/>
              <w:rPr>
                <w:b/>
                <w:bCs/>
              </w:rPr>
            </w:pPr>
            <w:r w:rsidRPr="00987EB8">
              <w:rPr>
                <w:b/>
                <w:bCs/>
              </w:rPr>
              <w:t>2022-23</w:t>
            </w:r>
          </w:p>
          <w:p w14:paraId="464CC6AD" w14:textId="77777777" w:rsidR="00CF0E2D" w:rsidRPr="00987EB8" w:rsidRDefault="00CF0E2D" w:rsidP="00A60D4B">
            <w:pPr>
              <w:pStyle w:val="InitFigR"/>
              <w:keepNext/>
              <w:keepLines/>
              <w:rPr>
                <w:b/>
                <w:bCs/>
              </w:rPr>
            </w:pPr>
            <w:r w:rsidRPr="00987EB8">
              <w:rPr>
                <w:b/>
                <w:bCs/>
              </w:rPr>
              <w:t>$’000</w:t>
            </w:r>
          </w:p>
        </w:tc>
        <w:tc>
          <w:tcPr>
            <w:tcW w:w="1029" w:type="dxa"/>
            <w:tcBorders>
              <w:top w:val="single" w:sz="4" w:space="0" w:color="auto"/>
              <w:bottom w:val="single" w:sz="4" w:space="0" w:color="auto"/>
            </w:tcBorders>
          </w:tcPr>
          <w:p w14:paraId="0A6EC806" w14:textId="77777777" w:rsidR="00CF0E2D" w:rsidRPr="00987EB8" w:rsidRDefault="00CF0E2D" w:rsidP="00A60D4B">
            <w:pPr>
              <w:pStyle w:val="InitFigR"/>
              <w:keepNext/>
              <w:keepLines/>
              <w:rPr>
                <w:b/>
                <w:bCs/>
              </w:rPr>
            </w:pPr>
            <w:r w:rsidRPr="00987EB8">
              <w:rPr>
                <w:b/>
                <w:bCs/>
              </w:rPr>
              <w:t>2023-24</w:t>
            </w:r>
          </w:p>
          <w:p w14:paraId="56FC343E" w14:textId="77777777" w:rsidR="00CF0E2D" w:rsidRPr="00987EB8" w:rsidRDefault="00CF0E2D" w:rsidP="00A60D4B">
            <w:pPr>
              <w:pStyle w:val="InitFigR"/>
              <w:keepNext/>
              <w:keepLines/>
              <w:rPr>
                <w:b/>
                <w:bCs/>
              </w:rPr>
            </w:pPr>
            <w:r w:rsidRPr="00987EB8">
              <w:rPr>
                <w:b/>
                <w:bCs/>
              </w:rPr>
              <w:t>$’000</w:t>
            </w:r>
          </w:p>
        </w:tc>
        <w:tc>
          <w:tcPr>
            <w:tcW w:w="1029" w:type="dxa"/>
            <w:tcBorders>
              <w:top w:val="single" w:sz="4" w:space="0" w:color="auto"/>
              <w:bottom w:val="single" w:sz="4" w:space="0" w:color="auto"/>
            </w:tcBorders>
          </w:tcPr>
          <w:p w14:paraId="246D12DB" w14:textId="77777777" w:rsidR="00CF0E2D" w:rsidRPr="00987EB8" w:rsidRDefault="00CF0E2D" w:rsidP="00A60D4B">
            <w:pPr>
              <w:pStyle w:val="InitFigR"/>
              <w:keepNext/>
              <w:keepLines/>
              <w:rPr>
                <w:b/>
                <w:bCs/>
              </w:rPr>
            </w:pPr>
            <w:r w:rsidRPr="00987EB8">
              <w:rPr>
                <w:b/>
                <w:bCs/>
              </w:rPr>
              <w:t>2024-25</w:t>
            </w:r>
          </w:p>
          <w:p w14:paraId="0779175B" w14:textId="77777777" w:rsidR="00CF0E2D" w:rsidRPr="00987EB8" w:rsidRDefault="00CF0E2D" w:rsidP="00A60D4B">
            <w:pPr>
              <w:pStyle w:val="InitFigR"/>
              <w:keepNext/>
              <w:keepLines/>
              <w:rPr>
                <w:b/>
                <w:bCs/>
              </w:rPr>
            </w:pPr>
            <w:r w:rsidRPr="00987EB8">
              <w:rPr>
                <w:b/>
                <w:bCs/>
              </w:rPr>
              <w:t>$’000</w:t>
            </w:r>
          </w:p>
        </w:tc>
        <w:tc>
          <w:tcPr>
            <w:tcW w:w="1029" w:type="dxa"/>
            <w:tcBorders>
              <w:top w:val="single" w:sz="4" w:space="0" w:color="auto"/>
              <w:bottom w:val="single" w:sz="4" w:space="0" w:color="auto"/>
            </w:tcBorders>
          </w:tcPr>
          <w:p w14:paraId="4B81AF96" w14:textId="77777777" w:rsidR="00CF0E2D" w:rsidRPr="004E341E" w:rsidRDefault="00CF0E2D" w:rsidP="00A60D4B">
            <w:pPr>
              <w:pStyle w:val="InitFigRBold"/>
              <w:keepNext/>
              <w:keepLines/>
            </w:pPr>
            <w:r w:rsidRPr="004E341E">
              <w:t>Total</w:t>
            </w:r>
          </w:p>
          <w:p w14:paraId="4939E9CE" w14:textId="77777777" w:rsidR="00CF0E2D" w:rsidRPr="004E341E" w:rsidRDefault="00CF0E2D" w:rsidP="00A60D4B">
            <w:pPr>
              <w:pStyle w:val="InitFigBR"/>
              <w:keepNext/>
              <w:keepLines/>
            </w:pPr>
            <w:r w:rsidRPr="004E341E">
              <w:t>$’000</w:t>
            </w:r>
          </w:p>
        </w:tc>
      </w:tr>
      <w:tr w:rsidR="00CF0E2D" w:rsidRPr="00750793" w14:paraId="322B9836" w14:textId="77777777" w:rsidTr="00A60D4B">
        <w:trPr>
          <w:cantSplit/>
          <w:jc w:val="center"/>
        </w:trPr>
        <w:tc>
          <w:tcPr>
            <w:tcW w:w="3652" w:type="dxa"/>
          </w:tcPr>
          <w:p w14:paraId="0C939602" w14:textId="77777777" w:rsidR="00CF0E2D" w:rsidRPr="00F13FAB" w:rsidRDefault="00CF0E2D" w:rsidP="00A60D4B">
            <w:pPr>
              <w:pStyle w:val="InitTextL"/>
              <w:keepNext/>
              <w:keepLines/>
              <w:ind w:left="321" w:hanging="321"/>
            </w:pPr>
            <w:r w:rsidRPr="00882BE2">
              <w:t>Expenses</w:t>
            </w:r>
          </w:p>
        </w:tc>
        <w:tc>
          <w:tcPr>
            <w:tcW w:w="1179" w:type="dxa"/>
          </w:tcPr>
          <w:p w14:paraId="14EE7EF4" w14:textId="77777777" w:rsidR="00CF0E2D" w:rsidRPr="00424DA4" w:rsidRDefault="00CF0E2D" w:rsidP="00A60D4B">
            <w:pPr>
              <w:pStyle w:val="InitFigR"/>
              <w:keepNext/>
              <w:keepLines/>
            </w:pPr>
            <w:r>
              <w:t>566</w:t>
            </w:r>
          </w:p>
        </w:tc>
        <w:tc>
          <w:tcPr>
            <w:tcW w:w="1041" w:type="dxa"/>
          </w:tcPr>
          <w:p w14:paraId="1C892146" w14:textId="77777777" w:rsidR="00CF0E2D" w:rsidRPr="00424DA4" w:rsidRDefault="00CF0E2D" w:rsidP="00A60D4B">
            <w:pPr>
              <w:pStyle w:val="InitFigR"/>
              <w:keepNext/>
              <w:keepLines/>
            </w:pPr>
            <w:r>
              <w:t>566</w:t>
            </w:r>
          </w:p>
        </w:tc>
        <w:tc>
          <w:tcPr>
            <w:tcW w:w="1029" w:type="dxa"/>
          </w:tcPr>
          <w:p w14:paraId="53CE2A9C" w14:textId="77777777" w:rsidR="00CF0E2D" w:rsidRPr="00424DA4" w:rsidRDefault="00CF0E2D" w:rsidP="00A60D4B">
            <w:pPr>
              <w:pStyle w:val="InitFigR"/>
              <w:keepNext/>
              <w:keepLines/>
            </w:pPr>
            <w:r w:rsidRPr="000C727D">
              <w:t>0</w:t>
            </w:r>
          </w:p>
        </w:tc>
        <w:tc>
          <w:tcPr>
            <w:tcW w:w="1029" w:type="dxa"/>
          </w:tcPr>
          <w:p w14:paraId="274574A5" w14:textId="77777777" w:rsidR="00CF0E2D" w:rsidRPr="00424DA4" w:rsidRDefault="00CF0E2D" w:rsidP="00A60D4B">
            <w:pPr>
              <w:pStyle w:val="InitFigR"/>
              <w:keepNext/>
              <w:keepLines/>
            </w:pPr>
            <w:r w:rsidRPr="000C727D">
              <w:t>0</w:t>
            </w:r>
          </w:p>
        </w:tc>
        <w:tc>
          <w:tcPr>
            <w:tcW w:w="1029" w:type="dxa"/>
          </w:tcPr>
          <w:p w14:paraId="2E98ACD8" w14:textId="77777777" w:rsidR="00CF0E2D" w:rsidRPr="00424DA4" w:rsidRDefault="00CF0E2D" w:rsidP="00A60D4B">
            <w:pPr>
              <w:pStyle w:val="InitFigBR"/>
              <w:keepNext/>
              <w:keepLines/>
            </w:pPr>
            <w:r>
              <w:t>1,132</w:t>
            </w:r>
          </w:p>
        </w:tc>
      </w:tr>
      <w:tr w:rsidR="00CF0E2D" w:rsidRPr="00750793" w14:paraId="4EB40ADF" w14:textId="77777777" w:rsidTr="00A60D4B">
        <w:trPr>
          <w:cantSplit/>
          <w:jc w:val="center"/>
        </w:trPr>
        <w:tc>
          <w:tcPr>
            <w:tcW w:w="3652" w:type="dxa"/>
          </w:tcPr>
          <w:p w14:paraId="4D7B1CDE" w14:textId="77777777" w:rsidR="00CF0E2D" w:rsidRDefault="00CF0E2D" w:rsidP="00A60D4B">
            <w:pPr>
              <w:pStyle w:val="InitTextL"/>
              <w:keepNext/>
              <w:keepLines/>
              <w:ind w:left="321" w:hanging="321"/>
            </w:pPr>
            <w:r>
              <w:t>Offset – Health Funding Envelope</w:t>
            </w:r>
          </w:p>
        </w:tc>
        <w:tc>
          <w:tcPr>
            <w:tcW w:w="1179" w:type="dxa"/>
          </w:tcPr>
          <w:p w14:paraId="070F54E8" w14:textId="77777777" w:rsidR="00CF0E2D" w:rsidRPr="00424DA4" w:rsidRDefault="00CF0E2D" w:rsidP="00A60D4B">
            <w:pPr>
              <w:pStyle w:val="InitFigR"/>
              <w:keepNext/>
              <w:keepLines/>
            </w:pPr>
            <w:r>
              <w:t>-566</w:t>
            </w:r>
          </w:p>
        </w:tc>
        <w:tc>
          <w:tcPr>
            <w:tcW w:w="1041" w:type="dxa"/>
          </w:tcPr>
          <w:p w14:paraId="7238FD1A" w14:textId="77777777" w:rsidR="00CF0E2D" w:rsidRPr="00424DA4" w:rsidRDefault="00CF0E2D" w:rsidP="00A60D4B">
            <w:pPr>
              <w:pStyle w:val="InitFigR"/>
              <w:keepNext/>
              <w:keepLines/>
            </w:pPr>
            <w:r>
              <w:t>-566</w:t>
            </w:r>
          </w:p>
        </w:tc>
        <w:tc>
          <w:tcPr>
            <w:tcW w:w="1029" w:type="dxa"/>
          </w:tcPr>
          <w:p w14:paraId="0F52D0D3" w14:textId="77777777" w:rsidR="00CF0E2D" w:rsidRPr="00424DA4" w:rsidRDefault="00CF0E2D" w:rsidP="00A60D4B">
            <w:pPr>
              <w:pStyle w:val="InitFigR"/>
              <w:keepNext/>
              <w:keepLines/>
            </w:pPr>
            <w:r w:rsidRPr="000C727D">
              <w:t>0</w:t>
            </w:r>
          </w:p>
        </w:tc>
        <w:tc>
          <w:tcPr>
            <w:tcW w:w="1029" w:type="dxa"/>
          </w:tcPr>
          <w:p w14:paraId="7721E439" w14:textId="77777777" w:rsidR="00CF0E2D" w:rsidRPr="00424DA4" w:rsidRDefault="00CF0E2D" w:rsidP="00A60D4B">
            <w:pPr>
              <w:pStyle w:val="InitFigR"/>
              <w:keepNext/>
              <w:keepLines/>
            </w:pPr>
            <w:r w:rsidRPr="000C727D">
              <w:t>0</w:t>
            </w:r>
          </w:p>
        </w:tc>
        <w:tc>
          <w:tcPr>
            <w:tcW w:w="1029" w:type="dxa"/>
          </w:tcPr>
          <w:p w14:paraId="6A3D5A09" w14:textId="77777777" w:rsidR="00CF0E2D" w:rsidRPr="00424DA4" w:rsidRDefault="00CF0E2D" w:rsidP="00A60D4B">
            <w:pPr>
              <w:pStyle w:val="InitFigBR"/>
              <w:keepNext/>
              <w:keepLines/>
            </w:pPr>
            <w:r>
              <w:t>-1,132</w:t>
            </w:r>
          </w:p>
        </w:tc>
      </w:tr>
      <w:tr w:rsidR="00CF0E2D" w:rsidRPr="00750793" w14:paraId="29E2E551" w14:textId="77777777" w:rsidTr="00A60D4B">
        <w:trPr>
          <w:cantSplit/>
          <w:trHeight w:val="107"/>
          <w:jc w:val="center"/>
        </w:trPr>
        <w:tc>
          <w:tcPr>
            <w:tcW w:w="3652" w:type="dxa"/>
            <w:tcBorders>
              <w:top w:val="single" w:sz="4" w:space="0" w:color="auto"/>
              <w:bottom w:val="single" w:sz="4" w:space="0" w:color="auto"/>
            </w:tcBorders>
          </w:tcPr>
          <w:p w14:paraId="6C11F3A9" w14:textId="48A71A79" w:rsidR="00CF0E2D" w:rsidRPr="00DA5279" w:rsidRDefault="00F57411" w:rsidP="00A60D4B">
            <w:pPr>
              <w:pStyle w:val="InitFigLBold"/>
              <w:keepNext/>
              <w:keepLines/>
              <w:ind w:left="321" w:hanging="321"/>
            </w:pPr>
            <w:r>
              <w:t>Net cost of services</w:t>
            </w:r>
          </w:p>
        </w:tc>
        <w:tc>
          <w:tcPr>
            <w:tcW w:w="1179" w:type="dxa"/>
            <w:tcBorders>
              <w:top w:val="single" w:sz="4" w:space="0" w:color="auto"/>
              <w:bottom w:val="single" w:sz="4" w:space="0" w:color="auto"/>
            </w:tcBorders>
          </w:tcPr>
          <w:p w14:paraId="07BD94C2" w14:textId="77777777" w:rsidR="00CF0E2D" w:rsidRDefault="00CF0E2D" w:rsidP="00A60D4B">
            <w:pPr>
              <w:pStyle w:val="InitFigRBold"/>
              <w:keepNext/>
              <w:keepLines/>
            </w:pPr>
            <w:r>
              <w:t>0</w:t>
            </w:r>
          </w:p>
        </w:tc>
        <w:tc>
          <w:tcPr>
            <w:tcW w:w="1041" w:type="dxa"/>
            <w:tcBorders>
              <w:top w:val="single" w:sz="4" w:space="0" w:color="auto"/>
              <w:bottom w:val="single" w:sz="4" w:space="0" w:color="auto"/>
            </w:tcBorders>
          </w:tcPr>
          <w:p w14:paraId="0F007B6B" w14:textId="77777777" w:rsidR="00CF0E2D" w:rsidRDefault="00CF0E2D" w:rsidP="00A60D4B">
            <w:pPr>
              <w:pStyle w:val="InitFigRBold"/>
              <w:keepNext/>
              <w:keepLines/>
            </w:pPr>
            <w:r>
              <w:t>0</w:t>
            </w:r>
          </w:p>
        </w:tc>
        <w:tc>
          <w:tcPr>
            <w:tcW w:w="1029" w:type="dxa"/>
            <w:tcBorders>
              <w:top w:val="single" w:sz="4" w:space="0" w:color="auto"/>
              <w:bottom w:val="single" w:sz="4" w:space="0" w:color="auto"/>
            </w:tcBorders>
          </w:tcPr>
          <w:p w14:paraId="208B8067" w14:textId="77777777" w:rsidR="00CF0E2D" w:rsidRDefault="00CF0E2D" w:rsidP="00A60D4B">
            <w:pPr>
              <w:pStyle w:val="InitFigRBold"/>
              <w:keepNext/>
              <w:keepLines/>
            </w:pPr>
            <w:r>
              <w:t>0</w:t>
            </w:r>
          </w:p>
        </w:tc>
        <w:tc>
          <w:tcPr>
            <w:tcW w:w="1029" w:type="dxa"/>
            <w:tcBorders>
              <w:top w:val="single" w:sz="4" w:space="0" w:color="auto"/>
              <w:bottom w:val="single" w:sz="4" w:space="0" w:color="auto"/>
            </w:tcBorders>
          </w:tcPr>
          <w:p w14:paraId="22C9C2AA" w14:textId="77777777" w:rsidR="00CF0E2D" w:rsidRDefault="00CF0E2D" w:rsidP="00A60D4B">
            <w:pPr>
              <w:pStyle w:val="InitFigRBold"/>
              <w:keepNext/>
              <w:keepLines/>
            </w:pPr>
            <w:r>
              <w:t>0</w:t>
            </w:r>
          </w:p>
        </w:tc>
        <w:tc>
          <w:tcPr>
            <w:tcW w:w="1029" w:type="dxa"/>
            <w:tcBorders>
              <w:top w:val="single" w:sz="4" w:space="0" w:color="auto"/>
              <w:bottom w:val="single" w:sz="4" w:space="0" w:color="auto"/>
            </w:tcBorders>
          </w:tcPr>
          <w:p w14:paraId="313DC608" w14:textId="77777777" w:rsidR="00CF0E2D" w:rsidRPr="00DA5279" w:rsidRDefault="00CF0E2D" w:rsidP="00A60D4B">
            <w:pPr>
              <w:pStyle w:val="InitFigRBold"/>
              <w:keepNext/>
              <w:keepLines/>
              <w:rPr>
                <w:bCs/>
              </w:rPr>
            </w:pPr>
            <w:r w:rsidRPr="00DA5279">
              <w:rPr>
                <w:bCs/>
              </w:rPr>
              <w:t>0</w:t>
            </w:r>
          </w:p>
        </w:tc>
      </w:tr>
    </w:tbl>
    <w:p w14:paraId="0084280D" w14:textId="77777777" w:rsidR="00CF0E2D" w:rsidRPr="001952D1" w:rsidRDefault="00CF0E2D" w:rsidP="00A60D4B">
      <w:pPr>
        <w:pStyle w:val="Bbodytext"/>
        <w:keepNext/>
        <w:keepLines/>
        <w:rPr>
          <w:rFonts w:ascii="Calibri" w:eastAsia="Times New Roman" w:hAnsi="Calibri" w:cs="Times New Roman"/>
          <w:szCs w:val="20"/>
        </w:rPr>
      </w:pPr>
      <w:r w:rsidRPr="001952D1">
        <w:t xml:space="preserve">The Government will provide </w:t>
      </w:r>
      <w:r w:rsidRPr="001952D1">
        <w:rPr>
          <w:rFonts w:ascii="Calibri" w:eastAsia="Times New Roman" w:hAnsi="Calibri" w:cs="Times New Roman"/>
          <w:szCs w:val="20"/>
        </w:rPr>
        <w:t>funding for the design of an Activity Based Management program to support an improvement in resource allocation and reporting on health services across the Territory.</w:t>
      </w:r>
    </w:p>
    <w:p w14:paraId="6901231B" w14:textId="77777777" w:rsidR="00CF0E2D" w:rsidRDefault="00CF0E2D" w:rsidP="00A60D4B">
      <w:pPr>
        <w:pStyle w:val="Bbodytext"/>
        <w:rPr>
          <w:rFonts w:ascii="Calibri" w:eastAsia="Times New Roman" w:hAnsi="Calibri" w:cs="Times New Roman"/>
          <w:szCs w:val="20"/>
        </w:rPr>
      </w:pPr>
      <w:r w:rsidRPr="001952D1">
        <w:t>This initiative contributes to t</w:t>
      </w:r>
      <w:r w:rsidRPr="001952D1">
        <w:rPr>
          <w:rFonts w:ascii="Calibri" w:eastAsia="Times New Roman" w:hAnsi="Calibri" w:cs="Times New Roman"/>
          <w:szCs w:val="20"/>
        </w:rPr>
        <w:t>he wellbeing domain of Health.</w:t>
      </w:r>
    </w:p>
    <w:p w14:paraId="6BACBF57" w14:textId="77777777" w:rsidR="00CF0E2D" w:rsidRPr="001952D1" w:rsidRDefault="00CF0E2D" w:rsidP="00A60D4B">
      <w:pPr>
        <w:pStyle w:val="Bbodytext"/>
        <w:rPr>
          <w:rFonts w:ascii="Calibri" w:eastAsia="Times New Roman" w:hAnsi="Calibri" w:cs="Times New Roman"/>
          <w:szCs w:val="20"/>
        </w:rPr>
      </w:pPr>
    </w:p>
    <w:p w14:paraId="5D354D90" w14:textId="77777777" w:rsidR="00CF0E2D" w:rsidRDefault="00CF0E2D" w:rsidP="00A60D4B">
      <w:pPr>
        <w:pStyle w:val="Heading4"/>
        <w:rPr>
          <w:rFonts w:eastAsia="Times New Roman"/>
        </w:rPr>
      </w:pPr>
      <w:r>
        <w:rPr>
          <w:rFonts w:eastAsia="Times New Roman"/>
        </w:rPr>
        <w:t>Improving our public health system – Expanding acute mental health services</w:t>
      </w:r>
      <w:r>
        <w:rPr>
          <w:b w:val="0"/>
          <w:noProof/>
          <w:color w:val="999789"/>
          <w:sz w:val="32"/>
          <w:szCs w:val="24"/>
        </w:rPr>
        <w:drawing>
          <wp:anchor distT="0" distB="0" distL="114300" distR="114300" simplePos="0" relativeHeight="251883520" behindDoc="0" locked="1" layoutInCell="1" allowOverlap="1" wp14:anchorId="3689B4C6" wp14:editId="5BE8DDB4">
            <wp:simplePos x="0" y="0"/>
            <wp:positionH relativeFrom="margin">
              <wp:align>right</wp:align>
            </wp:positionH>
            <wp:positionV relativeFrom="paragraph">
              <wp:posOffset>80010</wp:posOffset>
            </wp:positionV>
            <wp:extent cx="993140" cy="503555"/>
            <wp:effectExtent l="0" t="0" r="0" b="0"/>
            <wp:wrapSquare wrapText="bothSides"/>
            <wp:docPr id="87" name="Picture 87"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4E341E" w14:paraId="302A3A7E" w14:textId="77777777" w:rsidTr="00A60D4B">
        <w:trPr>
          <w:cantSplit/>
          <w:jc w:val="center"/>
        </w:trPr>
        <w:tc>
          <w:tcPr>
            <w:tcW w:w="3652" w:type="dxa"/>
            <w:tcBorders>
              <w:top w:val="single" w:sz="4" w:space="0" w:color="auto"/>
              <w:bottom w:val="single" w:sz="4" w:space="0" w:color="auto"/>
            </w:tcBorders>
          </w:tcPr>
          <w:p w14:paraId="60ED68F3"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0EE011BD" w14:textId="77777777" w:rsidR="00CF0E2D" w:rsidRPr="0015776F" w:rsidRDefault="00CF0E2D" w:rsidP="00A60D4B">
            <w:pPr>
              <w:pStyle w:val="InitFigR"/>
              <w:rPr>
                <w:b/>
                <w:bCs/>
              </w:rPr>
            </w:pPr>
            <w:r w:rsidRPr="0015776F">
              <w:rPr>
                <w:b/>
                <w:bCs/>
              </w:rPr>
              <w:t>2021-22</w:t>
            </w:r>
          </w:p>
          <w:p w14:paraId="451542DF" w14:textId="77777777" w:rsidR="00CF0E2D" w:rsidRPr="0015776F" w:rsidRDefault="00CF0E2D" w:rsidP="00A60D4B">
            <w:pPr>
              <w:pStyle w:val="InitFigR"/>
              <w:rPr>
                <w:b/>
                <w:bCs/>
              </w:rPr>
            </w:pPr>
            <w:r w:rsidRPr="0015776F">
              <w:rPr>
                <w:b/>
                <w:bCs/>
              </w:rPr>
              <w:t>$’000</w:t>
            </w:r>
          </w:p>
        </w:tc>
        <w:tc>
          <w:tcPr>
            <w:tcW w:w="1041" w:type="dxa"/>
            <w:tcBorders>
              <w:top w:val="single" w:sz="4" w:space="0" w:color="auto"/>
              <w:bottom w:val="single" w:sz="4" w:space="0" w:color="auto"/>
            </w:tcBorders>
          </w:tcPr>
          <w:p w14:paraId="5BB33C3A" w14:textId="77777777" w:rsidR="00CF0E2D" w:rsidRPr="0015776F" w:rsidRDefault="00CF0E2D" w:rsidP="00A60D4B">
            <w:pPr>
              <w:pStyle w:val="InitFigR"/>
              <w:rPr>
                <w:b/>
                <w:bCs/>
              </w:rPr>
            </w:pPr>
            <w:r w:rsidRPr="0015776F">
              <w:rPr>
                <w:b/>
                <w:bCs/>
              </w:rPr>
              <w:t>2022-23</w:t>
            </w:r>
          </w:p>
          <w:p w14:paraId="061A6766" w14:textId="77777777" w:rsidR="00CF0E2D" w:rsidRPr="0015776F" w:rsidRDefault="00CF0E2D" w:rsidP="00A60D4B">
            <w:pPr>
              <w:pStyle w:val="InitFigR"/>
              <w:rPr>
                <w:b/>
                <w:bCs/>
              </w:rPr>
            </w:pPr>
            <w:r w:rsidRPr="0015776F">
              <w:rPr>
                <w:b/>
                <w:bCs/>
              </w:rPr>
              <w:t>$’000</w:t>
            </w:r>
          </w:p>
        </w:tc>
        <w:tc>
          <w:tcPr>
            <w:tcW w:w="1029" w:type="dxa"/>
            <w:tcBorders>
              <w:top w:val="single" w:sz="4" w:space="0" w:color="auto"/>
              <w:bottom w:val="single" w:sz="4" w:space="0" w:color="auto"/>
            </w:tcBorders>
          </w:tcPr>
          <w:p w14:paraId="3DFD5DDD" w14:textId="77777777" w:rsidR="00CF0E2D" w:rsidRPr="0015776F" w:rsidRDefault="00CF0E2D" w:rsidP="00A60D4B">
            <w:pPr>
              <w:pStyle w:val="InitFigR"/>
              <w:rPr>
                <w:b/>
                <w:bCs/>
              </w:rPr>
            </w:pPr>
            <w:r w:rsidRPr="0015776F">
              <w:rPr>
                <w:b/>
                <w:bCs/>
              </w:rPr>
              <w:t>2023-24</w:t>
            </w:r>
          </w:p>
          <w:p w14:paraId="3C06CEC3" w14:textId="77777777" w:rsidR="00CF0E2D" w:rsidRPr="0015776F" w:rsidRDefault="00CF0E2D" w:rsidP="00A60D4B">
            <w:pPr>
              <w:pStyle w:val="InitFigR"/>
              <w:rPr>
                <w:b/>
                <w:bCs/>
              </w:rPr>
            </w:pPr>
            <w:r w:rsidRPr="0015776F">
              <w:rPr>
                <w:b/>
                <w:bCs/>
              </w:rPr>
              <w:t>$’000</w:t>
            </w:r>
          </w:p>
        </w:tc>
        <w:tc>
          <w:tcPr>
            <w:tcW w:w="1029" w:type="dxa"/>
            <w:tcBorders>
              <w:top w:val="single" w:sz="4" w:space="0" w:color="auto"/>
              <w:bottom w:val="single" w:sz="4" w:space="0" w:color="auto"/>
            </w:tcBorders>
          </w:tcPr>
          <w:p w14:paraId="6C36E2C2" w14:textId="77777777" w:rsidR="00CF0E2D" w:rsidRPr="0015776F" w:rsidRDefault="00CF0E2D" w:rsidP="00A60D4B">
            <w:pPr>
              <w:pStyle w:val="InitFigR"/>
              <w:rPr>
                <w:b/>
                <w:bCs/>
              </w:rPr>
            </w:pPr>
            <w:r w:rsidRPr="0015776F">
              <w:rPr>
                <w:b/>
                <w:bCs/>
              </w:rPr>
              <w:t>2024-25</w:t>
            </w:r>
          </w:p>
          <w:p w14:paraId="10A6171A" w14:textId="77777777" w:rsidR="00CF0E2D" w:rsidRPr="0015776F" w:rsidRDefault="00CF0E2D" w:rsidP="00A60D4B">
            <w:pPr>
              <w:pStyle w:val="InitFigR"/>
              <w:rPr>
                <w:b/>
                <w:bCs/>
              </w:rPr>
            </w:pPr>
            <w:r w:rsidRPr="0015776F">
              <w:rPr>
                <w:b/>
                <w:bCs/>
              </w:rPr>
              <w:t>$’000</w:t>
            </w:r>
          </w:p>
        </w:tc>
        <w:tc>
          <w:tcPr>
            <w:tcW w:w="1029" w:type="dxa"/>
            <w:tcBorders>
              <w:top w:val="single" w:sz="4" w:space="0" w:color="auto"/>
              <w:bottom w:val="single" w:sz="4" w:space="0" w:color="auto"/>
            </w:tcBorders>
          </w:tcPr>
          <w:p w14:paraId="4ED10634" w14:textId="77777777" w:rsidR="00CF0E2D" w:rsidRPr="004E341E" w:rsidRDefault="00CF0E2D" w:rsidP="00A60D4B">
            <w:pPr>
              <w:pStyle w:val="InitFigRBold"/>
            </w:pPr>
            <w:r w:rsidRPr="004E341E">
              <w:t>Total</w:t>
            </w:r>
          </w:p>
          <w:p w14:paraId="43E7D6DA" w14:textId="77777777" w:rsidR="00CF0E2D" w:rsidRPr="004E341E" w:rsidRDefault="00CF0E2D" w:rsidP="00A60D4B">
            <w:pPr>
              <w:pStyle w:val="InitFigBR"/>
            </w:pPr>
            <w:r w:rsidRPr="004E341E">
              <w:t>$’000</w:t>
            </w:r>
          </w:p>
        </w:tc>
      </w:tr>
      <w:tr w:rsidR="00CF0E2D" w:rsidRPr="00424DA4" w14:paraId="557B7D35" w14:textId="77777777" w:rsidTr="00A60D4B">
        <w:trPr>
          <w:cantSplit/>
          <w:jc w:val="center"/>
        </w:trPr>
        <w:tc>
          <w:tcPr>
            <w:tcW w:w="3652" w:type="dxa"/>
          </w:tcPr>
          <w:p w14:paraId="5F12D0AF" w14:textId="77777777" w:rsidR="00CF0E2D" w:rsidRPr="00F13FAB" w:rsidRDefault="00CF0E2D" w:rsidP="00A60D4B">
            <w:pPr>
              <w:pStyle w:val="InitTextL"/>
              <w:ind w:left="321" w:hanging="321"/>
            </w:pPr>
            <w:r w:rsidRPr="00882BE2">
              <w:t>Expenses</w:t>
            </w:r>
          </w:p>
        </w:tc>
        <w:tc>
          <w:tcPr>
            <w:tcW w:w="1179" w:type="dxa"/>
          </w:tcPr>
          <w:p w14:paraId="6FDCAC67" w14:textId="77777777" w:rsidR="00CF0E2D" w:rsidRPr="00424DA4" w:rsidRDefault="00CF0E2D" w:rsidP="00A60D4B">
            <w:pPr>
              <w:pStyle w:val="InitFigR"/>
            </w:pPr>
            <w:r>
              <w:t>9,266</w:t>
            </w:r>
          </w:p>
        </w:tc>
        <w:tc>
          <w:tcPr>
            <w:tcW w:w="1041" w:type="dxa"/>
          </w:tcPr>
          <w:p w14:paraId="7FCEDBA8" w14:textId="77777777" w:rsidR="00CF0E2D" w:rsidRPr="00424DA4" w:rsidRDefault="00CF0E2D" w:rsidP="00A60D4B">
            <w:pPr>
              <w:pStyle w:val="InitFigR"/>
            </w:pPr>
            <w:r>
              <w:t>10,578</w:t>
            </w:r>
          </w:p>
        </w:tc>
        <w:tc>
          <w:tcPr>
            <w:tcW w:w="1029" w:type="dxa"/>
          </w:tcPr>
          <w:p w14:paraId="3DCDC021" w14:textId="77777777" w:rsidR="00CF0E2D" w:rsidRPr="00424DA4" w:rsidRDefault="00CF0E2D" w:rsidP="00A60D4B">
            <w:pPr>
              <w:pStyle w:val="InitFigR"/>
            </w:pPr>
            <w:r>
              <w:t>10,735</w:t>
            </w:r>
          </w:p>
        </w:tc>
        <w:tc>
          <w:tcPr>
            <w:tcW w:w="1029" w:type="dxa"/>
          </w:tcPr>
          <w:p w14:paraId="195094D2" w14:textId="77777777" w:rsidR="00CF0E2D" w:rsidRPr="00424DA4" w:rsidRDefault="00CF0E2D" w:rsidP="00A60D4B">
            <w:pPr>
              <w:pStyle w:val="InitFigR"/>
            </w:pPr>
            <w:r>
              <w:t>10,898</w:t>
            </w:r>
          </w:p>
        </w:tc>
        <w:tc>
          <w:tcPr>
            <w:tcW w:w="1029" w:type="dxa"/>
          </w:tcPr>
          <w:p w14:paraId="436A062B" w14:textId="77777777" w:rsidR="00CF0E2D" w:rsidRPr="00424DA4" w:rsidRDefault="00CF0E2D" w:rsidP="00A60D4B">
            <w:pPr>
              <w:pStyle w:val="InitFigBR"/>
            </w:pPr>
            <w:r>
              <w:t>41,477</w:t>
            </w:r>
          </w:p>
        </w:tc>
      </w:tr>
      <w:tr w:rsidR="00CF0E2D" w:rsidRPr="00424DA4" w14:paraId="483D2B9C" w14:textId="77777777" w:rsidTr="00A60D4B">
        <w:trPr>
          <w:cantSplit/>
          <w:jc w:val="center"/>
        </w:trPr>
        <w:tc>
          <w:tcPr>
            <w:tcW w:w="3652" w:type="dxa"/>
          </w:tcPr>
          <w:p w14:paraId="7D7F2F12" w14:textId="77777777" w:rsidR="00CF0E2D" w:rsidRDefault="00CF0E2D" w:rsidP="00A60D4B">
            <w:pPr>
              <w:pStyle w:val="InitTextL"/>
              <w:ind w:left="321" w:hanging="321"/>
            </w:pPr>
            <w:r>
              <w:t>Offset – Health Funding Envelope</w:t>
            </w:r>
          </w:p>
        </w:tc>
        <w:tc>
          <w:tcPr>
            <w:tcW w:w="1179" w:type="dxa"/>
          </w:tcPr>
          <w:p w14:paraId="133DB70F" w14:textId="77777777" w:rsidR="00CF0E2D" w:rsidRPr="00424DA4" w:rsidRDefault="00CF0E2D" w:rsidP="00A60D4B">
            <w:pPr>
              <w:pStyle w:val="InitFigR"/>
            </w:pPr>
            <w:r>
              <w:t>-9,266</w:t>
            </w:r>
          </w:p>
        </w:tc>
        <w:tc>
          <w:tcPr>
            <w:tcW w:w="1041" w:type="dxa"/>
          </w:tcPr>
          <w:p w14:paraId="41A4751E" w14:textId="77777777" w:rsidR="00CF0E2D" w:rsidRPr="00424DA4" w:rsidRDefault="00CF0E2D" w:rsidP="00A60D4B">
            <w:pPr>
              <w:pStyle w:val="InitFigR"/>
            </w:pPr>
            <w:r>
              <w:t>-10,578</w:t>
            </w:r>
          </w:p>
        </w:tc>
        <w:tc>
          <w:tcPr>
            <w:tcW w:w="1029" w:type="dxa"/>
          </w:tcPr>
          <w:p w14:paraId="5D2DE25A" w14:textId="77777777" w:rsidR="00CF0E2D" w:rsidRPr="00424DA4" w:rsidRDefault="00CF0E2D" w:rsidP="00A60D4B">
            <w:pPr>
              <w:pStyle w:val="InitFigR"/>
            </w:pPr>
            <w:r>
              <w:t>-10,735</w:t>
            </w:r>
          </w:p>
        </w:tc>
        <w:tc>
          <w:tcPr>
            <w:tcW w:w="1029" w:type="dxa"/>
          </w:tcPr>
          <w:p w14:paraId="44518A76" w14:textId="77777777" w:rsidR="00CF0E2D" w:rsidRPr="00424DA4" w:rsidRDefault="00CF0E2D" w:rsidP="00A60D4B">
            <w:pPr>
              <w:pStyle w:val="InitFigR"/>
            </w:pPr>
            <w:r>
              <w:t>-10,898</w:t>
            </w:r>
          </w:p>
        </w:tc>
        <w:tc>
          <w:tcPr>
            <w:tcW w:w="1029" w:type="dxa"/>
          </w:tcPr>
          <w:p w14:paraId="07399CB3" w14:textId="77777777" w:rsidR="00CF0E2D" w:rsidRPr="00424DA4" w:rsidRDefault="00CF0E2D" w:rsidP="00A60D4B">
            <w:pPr>
              <w:pStyle w:val="InitFigBR"/>
            </w:pPr>
            <w:r>
              <w:t>-41,477</w:t>
            </w:r>
          </w:p>
        </w:tc>
      </w:tr>
      <w:tr w:rsidR="00CF0E2D" w:rsidRPr="00AE1BF4" w14:paraId="2009DEEF" w14:textId="77777777" w:rsidTr="00A60D4B">
        <w:trPr>
          <w:cantSplit/>
          <w:trHeight w:val="107"/>
          <w:jc w:val="center"/>
        </w:trPr>
        <w:tc>
          <w:tcPr>
            <w:tcW w:w="3652" w:type="dxa"/>
            <w:tcBorders>
              <w:top w:val="single" w:sz="4" w:space="0" w:color="auto"/>
              <w:bottom w:val="single" w:sz="4" w:space="0" w:color="auto"/>
            </w:tcBorders>
          </w:tcPr>
          <w:p w14:paraId="6DBEDC6E" w14:textId="5E367B3A" w:rsidR="00CF0E2D" w:rsidRPr="00AE1BF4"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4E1B6338" w14:textId="77777777" w:rsidR="00CF0E2D" w:rsidRDefault="00CF0E2D" w:rsidP="00A60D4B">
            <w:pPr>
              <w:pStyle w:val="InitFigRBold"/>
            </w:pPr>
            <w:r>
              <w:t>0</w:t>
            </w:r>
          </w:p>
        </w:tc>
        <w:tc>
          <w:tcPr>
            <w:tcW w:w="1041" w:type="dxa"/>
            <w:tcBorders>
              <w:top w:val="single" w:sz="4" w:space="0" w:color="auto"/>
              <w:bottom w:val="single" w:sz="4" w:space="0" w:color="auto"/>
            </w:tcBorders>
          </w:tcPr>
          <w:p w14:paraId="0BBA2D8B" w14:textId="77777777" w:rsidR="00CF0E2D" w:rsidRDefault="00CF0E2D" w:rsidP="00A60D4B">
            <w:pPr>
              <w:pStyle w:val="InitFigRBold"/>
            </w:pPr>
            <w:r>
              <w:t>0</w:t>
            </w:r>
          </w:p>
        </w:tc>
        <w:tc>
          <w:tcPr>
            <w:tcW w:w="1029" w:type="dxa"/>
            <w:tcBorders>
              <w:top w:val="single" w:sz="4" w:space="0" w:color="auto"/>
              <w:bottom w:val="single" w:sz="4" w:space="0" w:color="auto"/>
            </w:tcBorders>
          </w:tcPr>
          <w:p w14:paraId="0071EAF1" w14:textId="77777777" w:rsidR="00CF0E2D" w:rsidRDefault="00CF0E2D" w:rsidP="00A60D4B">
            <w:pPr>
              <w:pStyle w:val="InitFigRBold"/>
            </w:pPr>
            <w:r>
              <w:t>0</w:t>
            </w:r>
          </w:p>
        </w:tc>
        <w:tc>
          <w:tcPr>
            <w:tcW w:w="1029" w:type="dxa"/>
            <w:tcBorders>
              <w:top w:val="single" w:sz="4" w:space="0" w:color="auto"/>
              <w:bottom w:val="single" w:sz="4" w:space="0" w:color="auto"/>
            </w:tcBorders>
          </w:tcPr>
          <w:p w14:paraId="2D4ED0EE" w14:textId="77777777" w:rsidR="00CF0E2D" w:rsidRDefault="00CF0E2D" w:rsidP="00A60D4B">
            <w:pPr>
              <w:pStyle w:val="InitFigRBold"/>
            </w:pPr>
            <w:r>
              <w:t>0</w:t>
            </w:r>
          </w:p>
        </w:tc>
        <w:tc>
          <w:tcPr>
            <w:tcW w:w="1029" w:type="dxa"/>
            <w:tcBorders>
              <w:top w:val="single" w:sz="4" w:space="0" w:color="auto"/>
              <w:bottom w:val="single" w:sz="4" w:space="0" w:color="auto"/>
            </w:tcBorders>
          </w:tcPr>
          <w:p w14:paraId="43B208D6" w14:textId="77777777" w:rsidR="00CF0E2D" w:rsidRPr="00AE1BF4" w:rsidRDefault="00CF0E2D" w:rsidP="00A60D4B">
            <w:pPr>
              <w:pStyle w:val="InitFigRBold"/>
              <w:rPr>
                <w:bCs/>
              </w:rPr>
            </w:pPr>
            <w:r>
              <w:t>0</w:t>
            </w:r>
          </w:p>
        </w:tc>
      </w:tr>
    </w:tbl>
    <w:p w14:paraId="35BA493F" w14:textId="77777777" w:rsidR="00CF0E2D" w:rsidRDefault="00CF0E2D" w:rsidP="00A60D4B">
      <w:pPr>
        <w:pStyle w:val="Bbodytext"/>
        <w:keepNext/>
        <w:keepLines/>
      </w:pPr>
      <w:r>
        <w:t xml:space="preserve">The Government will establish 10 additional acute mental health inpatient beds at the Canberra Hospital in the refurbished Ward 12B and provide funding for additional High Dependency capacity at the Adult Mental Health Unit to meet increased demand for mental health treatment. </w:t>
      </w:r>
    </w:p>
    <w:p w14:paraId="4698C83C" w14:textId="77777777" w:rsidR="00CF0E2D" w:rsidRDefault="00CF0E2D" w:rsidP="00A60D4B">
      <w:pPr>
        <w:pStyle w:val="Bbodytext"/>
      </w:pPr>
      <w:r>
        <w:t>The Government will also extend mental health surge capacity at Calvary Public Hospital Bruce by three months.</w:t>
      </w:r>
    </w:p>
    <w:p w14:paraId="6E46712C" w14:textId="77777777" w:rsidR="00CF0E2D" w:rsidRDefault="00CF0E2D" w:rsidP="00A60D4B">
      <w:pPr>
        <w:pStyle w:val="Bbodytext"/>
      </w:pPr>
      <w:r>
        <w:lastRenderedPageBreak/>
        <w:t>This initiative builds on the recent expansion of Ward 12B, funded as part of the Community Health and Hospitals Program. These combined investments ensure that people receive the right treatment for their level of need and acuity across our mental health system.</w:t>
      </w:r>
    </w:p>
    <w:p w14:paraId="1F709AD9" w14:textId="77777777" w:rsidR="00CF0E2D" w:rsidRDefault="00CF0E2D" w:rsidP="00A60D4B">
      <w:pPr>
        <w:pStyle w:val="Bbodytext"/>
      </w:pPr>
      <w:r>
        <w:t>This initiative contributes to the wellbeing domain of Health.</w:t>
      </w:r>
    </w:p>
    <w:p w14:paraId="3DF14608" w14:textId="77777777" w:rsidR="00CF0E2D" w:rsidRDefault="00CF0E2D" w:rsidP="00A60D4B">
      <w:pPr>
        <w:pStyle w:val="Bbodytext"/>
      </w:pPr>
    </w:p>
    <w:p w14:paraId="6C187A85" w14:textId="77777777" w:rsidR="00CF0E2D" w:rsidRPr="001952D1" w:rsidRDefault="00CF0E2D" w:rsidP="00A60D4B">
      <w:pPr>
        <w:pStyle w:val="Heading4"/>
        <w:rPr>
          <w:rFonts w:eastAsia="Times New Roman"/>
        </w:rPr>
      </w:pPr>
      <w:r w:rsidRPr="001952D1">
        <w:rPr>
          <w:rFonts w:eastAsia="Times New Roman"/>
        </w:rPr>
        <w:t xml:space="preserve">Improving our </w:t>
      </w:r>
      <w:r>
        <w:rPr>
          <w:rFonts w:eastAsia="Times New Roman"/>
        </w:rPr>
        <w:t xml:space="preserve">public </w:t>
      </w:r>
      <w:r w:rsidRPr="001952D1">
        <w:rPr>
          <w:rFonts w:eastAsia="Times New Roman"/>
        </w:rPr>
        <w:t xml:space="preserve">health system – Implementing a </w:t>
      </w:r>
      <w:r>
        <w:rPr>
          <w:rFonts w:eastAsia="Times New Roman"/>
        </w:rPr>
        <w:t>p</w:t>
      </w:r>
      <w:r w:rsidRPr="001952D1">
        <w:rPr>
          <w:rFonts w:eastAsia="Times New Roman"/>
        </w:rPr>
        <w:t xml:space="preserve">atient </w:t>
      </w:r>
      <w:r>
        <w:rPr>
          <w:rFonts w:eastAsia="Times New Roman"/>
        </w:rPr>
        <w:t>n</w:t>
      </w:r>
      <w:r w:rsidRPr="001952D1">
        <w:rPr>
          <w:rFonts w:eastAsia="Times New Roman"/>
        </w:rPr>
        <w:t xml:space="preserve">avigation </w:t>
      </w:r>
      <w:r>
        <w:rPr>
          <w:rFonts w:eastAsia="Times New Roman"/>
        </w:rPr>
        <w:t>s</w:t>
      </w:r>
      <w:r w:rsidRPr="001952D1">
        <w:rPr>
          <w:rFonts w:eastAsia="Times New Roman"/>
        </w:rPr>
        <w:t xml:space="preserve">ervice </w:t>
      </w:r>
      <w:r>
        <w:rPr>
          <w:b w:val="0"/>
          <w:noProof/>
          <w:color w:val="999789"/>
          <w:sz w:val="32"/>
          <w:szCs w:val="24"/>
        </w:rPr>
        <w:drawing>
          <wp:anchor distT="0" distB="0" distL="114300" distR="114300" simplePos="0" relativeHeight="251884544" behindDoc="0" locked="1" layoutInCell="1" allowOverlap="1" wp14:anchorId="0F8E3110" wp14:editId="5CFCF127">
            <wp:simplePos x="0" y="0"/>
            <wp:positionH relativeFrom="margin">
              <wp:align>right</wp:align>
            </wp:positionH>
            <wp:positionV relativeFrom="paragraph">
              <wp:posOffset>74930</wp:posOffset>
            </wp:positionV>
            <wp:extent cx="993140" cy="503555"/>
            <wp:effectExtent l="0" t="0" r="0" b="0"/>
            <wp:wrapSquare wrapText="bothSides"/>
            <wp:docPr id="179" name="Picture 179"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3562B314" w14:textId="77777777" w:rsidTr="00A60D4B">
        <w:trPr>
          <w:cantSplit/>
          <w:jc w:val="center"/>
        </w:trPr>
        <w:tc>
          <w:tcPr>
            <w:tcW w:w="3652" w:type="dxa"/>
            <w:tcBorders>
              <w:top w:val="single" w:sz="4" w:space="0" w:color="auto"/>
              <w:bottom w:val="single" w:sz="4" w:space="0" w:color="auto"/>
            </w:tcBorders>
          </w:tcPr>
          <w:p w14:paraId="02212373"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4C59B23E" w14:textId="77777777" w:rsidR="00CF0E2D" w:rsidRPr="00987EB8" w:rsidRDefault="00CF0E2D" w:rsidP="00A60D4B">
            <w:pPr>
              <w:pStyle w:val="InitFigR"/>
              <w:rPr>
                <w:b/>
                <w:bCs/>
              </w:rPr>
            </w:pPr>
            <w:r w:rsidRPr="00987EB8">
              <w:rPr>
                <w:b/>
                <w:bCs/>
              </w:rPr>
              <w:t>2021-22</w:t>
            </w:r>
          </w:p>
          <w:p w14:paraId="2817C899" w14:textId="77777777" w:rsidR="00CF0E2D" w:rsidRPr="00987EB8" w:rsidRDefault="00CF0E2D" w:rsidP="00A60D4B">
            <w:pPr>
              <w:pStyle w:val="InitFigR"/>
              <w:rPr>
                <w:b/>
                <w:bCs/>
              </w:rPr>
            </w:pPr>
            <w:r w:rsidRPr="00987EB8">
              <w:rPr>
                <w:b/>
                <w:bCs/>
              </w:rPr>
              <w:t>$’000</w:t>
            </w:r>
          </w:p>
        </w:tc>
        <w:tc>
          <w:tcPr>
            <w:tcW w:w="1041" w:type="dxa"/>
            <w:tcBorders>
              <w:top w:val="single" w:sz="4" w:space="0" w:color="auto"/>
              <w:bottom w:val="single" w:sz="4" w:space="0" w:color="auto"/>
            </w:tcBorders>
          </w:tcPr>
          <w:p w14:paraId="3377586B" w14:textId="77777777" w:rsidR="00CF0E2D" w:rsidRPr="00987EB8" w:rsidRDefault="00CF0E2D" w:rsidP="00A60D4B">
            <w:pPr>
              <w:pStyle w:val="InitFigR"/>
              <w:rPr>
                <w:b/>
                <w:bCs/>
              </w:rPr>
            </w:pPr>
            <w:r w:rsidRPr="00987EB8">
              <w:rPr>
                <w:b/>
                <w:bCs/>
              </w:rPr>
              <w:t>2022-23</w:t>
            </w:r>
          </w:p>
          <w:p w14:paraId="0487DB9D"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6B00C83C" w14:textId="77777777" w:rsidR="00CF0E2D" w:rsidRPr="00987EB8" w:rsidRDefault="00CF0E2D" w:rsidP="00A60D4B">
            <w:pPr>
              <w:pStyle w:val="InitFigR"/>
              <w:rPr>
                <w:b/>
                <w:bCs/>
              </w:rPr>
            </w:pPr>
            <w:r w:rsidRPr="00987EB8">
              <w:rPr>
                <w:b/>
                <w:bCs/>
              </w:rPr>
              <w:t>2023-24</w:t>
            </w:r>
          </w:p>
          <w:p w14:paraId="180E9A77"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034873AB" w14:textId="77777777" w:rsidR="00CF0E2D" w:rsidRPr="00987EB8" w:rsidRDefault="00CF0E2D" w:rsidP="00A60D4B">
            <w:pPr>
              <w:pStyle w:val="InitFigR"/>
              <w:rPr>
                <w:b/>
                <w:bCs/>
              </w:rPr>
            </w:pPr>
            <w:r w:rsidRPr="00987EB8">
              <w:rPr>
                <w:b/>
                <w:bCs/>
              </w:rPr>
              <w:t>2024-25</w:t>
            </w:r>
          </w:p>
          <w:p w14:paraId="0D8A0F96"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0484A445" w14:textId="77777777" w:rsidR="00CF0E2D" w:rsidRPr="004E341E" w:rsidRDefault="00CF0E2D" w:rsidP="00A60D4B">
            <w:pPr>
              <w:pStyle w:val="InitFigRBold"/>
            </w:pPr>
            <w:r w:rsidRPr="004E341E">
              <w:t>Total</w:t>
            </w:r>
          </w:p>
          <w:p w14:paraId="6F9EAD13" w14:textId="77777777" w:rsidR="00CF0E2D" w:rsidRPr="004E341E" w:rsidRDefault="00CF0E2D" w:rsidP="00A60D4B">
            <w:pPr>
              <w:pStyle w:val="InitFigBR"/>
            </w:pPr>
            <w:r w:rsidRPr="004E341E">
              <w:t>$’000</w:t>
            </w:r>
          </w:p>
        </w:tc>
      </w:tr>
      <w:tr w:rsidR="00CF0E2D" w:rsidRPr="00750793" w14:paraId="604AE69F" w14:textId="77777777" w:rsidTr="00A60D4B">
        <w:trPr>
          <w:cantSplit/>
          <w:jc w:val="center"/>
        </w:trPr>
        <w:tc>
          <w:tcPr>
            <w:tcW w:w="3652" w:type="dxa"/>
          </w:tcPr>
          <w:p w14:paraId="267CE5CD" w14:textId="77777777" w:rsidR="00CF0E2D" w:rsidRPr="00F13FAB" w:rsidRDefault="00CF0E2D" w:rsidP="00A60D4B">
            <w:pPr>
              <w:pStyle w:val="InitTextL"/>
              <w:ind w:left="321" w:hanging="321"/>
            </w:pPr>
            <w:r w:rsidRPr="00882BE2">
              <w:t>Expenses</w:t>
            </w:r>
          </w:p>
        </w:tc>
        <w:tc>
          <w:tcPr>
            <w:tcW w:w="1179" w:type="dxa"/>
          </w:tcPr>
          <w:p w14:paraId="2088B3A7" w14:textId="77777777" w:rsidR="00CF0E2D" w:rsidRPr="00424DA4" w:rsidRDefault="00CF0E2D" w:rsidP="00A60D4B">
            <w:pPr>
              <w:pStyle w:val="InitFigR"/>
            </w:pPr>
            <w:r>
              <w:t>282</w:t>
            </w:r>
          </w:p>
        </w:tc>
        <w:tc>
          <w:tcPr>
            <w:tcW w:w="1041" w:type="dxa"/>
          </w:tcPr>
          <w:p w14:paraId="3760E0C4" w14:textId="77777777" w:rsidR="00CF0E2D" w:rsidRPr="00424DA4" w:rsidRDefault="00CF0E2D" w:rsidP="00A60D4B">
            <w:pPr>
              <w:pStyle w:val="InitFigR"/>
            </w:pPr>
            <w:r w:rsidRPr="008876EE">
              <w:t>1,7</w:t>
            </w:r>
            <w:r>
              <w:t>94</w:t>
            </w:r>
          </w:p>
        </w:tc>
        <w:tc>
          <w:tcPr>
            <w:tcW w:w="1029" w:type="dxa"/>
          </w:tcPr>
          <w:p w14:paraId="1A9B838A" w14:textId="77777777" w:rsidR="00CF0E2D" w:rsidRPr="00424DA4" w:rsidRDefault="00CF0E2D" w:rsidP="00A60D4B">
            <w:pPr>
              <w:pStyle w:val="InitFigR"/>
            </w:pPr>
            <w:r>
              <w:t>1,964</w:t>
            </w:r>
          </w:p>
        </w:tc>
        <w:tc>
          <w:tcPr>
            <w:tcW w:w="1029" w:type="dxa"/>
          </w:tcPr>
          <w:p w14:paraId="5B1211C8" w14:textId="77777777" w:rsidR="00CF0E2D" w:rsidRPr="00424DA4" w:rsidRDefault="00CF0E2D" w:rsidP="00A60D4B">
            <w:pPr>
              <w:pStyle w:val="InitFigR"/>
            </w:pPr>
            <w:r w:rsidRPr="008876EE">
              <w:t>2,</w:t>
            </w:r>
            <w:r>
              <w:t>385</w:t>
            </w:r>
          </w:p>
        </w:tc>
        <w:tc>
          <w:tcPr>
            <w:tcW w:w="1029" w:type="dxa"/>
          </w:tcPr>
          <w:p w14:paraId="5F411EE3" w14:textId="77777777" w:rsidR="00CF0E2D" w:rsidRPr="00424DA4" w:rsidRDefault="00CF0E2D" w:rsidP="00A60D4B">
            <w:pPr>
              <w:pStyle w:val="InitFigBR"/>
            </w:pPr>
            <w:r>
              <w:t>6,425</w:t>
            </w:r>
          </w:p>
        </w:tc>
      </w:tr>
      <w:tr w:rsidR="00CF0E2D" w:rsidRPr="00750793" w14:paraId="2FF8227A" w14:textId="77777777" w:rsidTr="00A60D4B">
        <w:trPr>
          <w:cantSplit/>
          <w:jc w:val="center"/>
        </w:trPr>
        <w:tc>
          <w:tcPr>
            <w:tcW w:w="3652" w:type="dxa"/>
          </w:tcPr>
          <w:p w14:paraId="347E3AC7" w14:textId="77777777" w:rsidR="00CF0E2D" w:rsidRDefault="00CF0E2D" w:rsidP="00A60D4B">
            <w:pPr>
              <w:pStyle w:val="InitTextL"/>
              <w:ind w:left="321" w:hanging="321"/>
            </w:pPr>
            <w:r>
              <w:t>Offset – Health Funding Envelope</w:t>
            </w:r>
          </w:p>
        </w:tc>
        <w:tc>
          <w:tcPr>
            <w:tcW w:w="1179" w:type="dxa"/>
          </w:tcPr>
          <w:p w14:paraId="69A1B60A" w14:textId="77777777" w:rsidR="00CF0E2D" w:rsidRPr="00424DA4" w:rsidRDefault="00CF0E2D" w:rsidP="00A60D4B">
            <w:pPr>
              <w:pStyle w:val="InitFigR"/>
            </w:pPr>
            <w:r>
              <w:t>-282</w:t>
            </w:r>
          </w:p>
        </w:tc>
        <w:tc>
          <w:tcPr>
            <w:tcW w:w="1041" w:type="dxa"/>
          </w:tcPr>
          <w:p w14:paraId="7BD17DFD" w14:textId="77777777" w:rsidR="00CF0E2D" w:rsidRPr="00424DA4" w:rsidRDefault="00CF0E2D" w:rsidP="00A60D4B">
            <w:pPr>
              <w:pStyle w:val="InitFigR"/>
            </w:pPr>
            <w:r>
              <w:t>-</w:t>
            </w:r>
            <w:r w:rsidRPr="008876EE">
              <w:t>1,7</w:t>
            </w:r>
            <w:r>
              <w:t>94</w:t>
            </w:r>
          </w:p>
        </w:tc>
        <w:tc>
          <w:tcPr>
            <w:tcW w:w="1029" w:type="dxa"/>
          </w:tcPr>
          <w:p w14:paraId="2EDB4361" w14:textId="77777777" w:rsidR="00CF0E2D" w:rsidRPr="00424DA4" w:rsidRDefault="00CF0E2D" w:rsidP="00A60D4B">
            <w:pPr>
              <w:pStyle w:val="InitFigR"/>
            </w:pPr>
            <w:r>
              <w:t>-1,964</w:t>
            </w:r>
          </w:p>
        </w:tc>
        <w:tc>
          <w:tcPr>
            <w:tcW w:w="1029" w:type="dxa"/>
          </w:tcPr>
          <w:p w14:paraId="2CB4AC71" w14:textId="77777777" w:rsidR="00CF0E2D" w:rsidRPr="00424DA4" w:rsidRDefault="00CF0E2D" w:rsidP="00A60D4B">
            <w:pPr>
              <w:pStyle w:val="InitFigR"/>
            </w:pPr>
            <w:r>
              <w:t>-</w:t>
            </w:r>
            <w:r w:rsidRPr="008876EE">
              <w:t>2,</w:t>
            </w:r>
            <w:r>
              <w:t>385</w:t>
            </w:r>
          </w:p>
        </w:tc>
        <w:tc>
          <w:tcPr>
            <w:tcW w:w="1029" w:type="dxa"/>
          </w:tcPr>
          <w:p w14:paraId="2A483A7A" w14:textId="77777777" w:rsidR="00CF0E2D" w:rsidRPr="00424DA4" w:rsidRDefault="00CF0E2D" w:rsidP="00A60D4B">
            <w:pPr>
              <w:pStyle w:val="InitFigBR"/>
            </w:pPr>
            <w:r>
              <w:t>-6,425</w:t>
            </w:r>
          </w:p>
        </w:tc>
      </w:tr>
      <w:tr w:rsidR="00CF0E2D" w:rsidRPr="00750793" w14:paraId="547771A8" w14:textId="77777777" w:rsidTr="00A60D4B">
        <w:trPr>
          <w:cantSplit/>
          <w:trHeight w:val="107"/>
          <w:jc w:val="center"/>
        </w:trPr>
        <w:tc>
          <w:tcPr>
            <w:tcW w:w="3652" w:type="dxa"/>
            <w:tcBorders>
              <w:top w:val="single" w:sz="4" w:space="0" w:color="auto"/>
              <w:bottom w:val="single" w:sz="4" w:space="0" w:color="auto"/>
            </w:tcBorders>
          </w:tcPr>
          <w:p w14:paraId="5D4F7916" w14:textId="1F198305" w:rsidR="00CF0E2D" w:rsidRPr="00DA5279"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4CE527DE" w14:textId="77777777" w:rsidR="00CF0E2D" w:rsidRDefault="00CF0E2D" w:rsidP="00A60D4B">
            <w:pPr>
              <w:pStyle w:val="InitFigRBold"/>
            </w:pPr>
            <w:r>
              <w:t>0</w:t>
            </w:r>
          </w:p>
        </w:tc>
        <w:tc>
          <w:tcPr>
            <w:tcW w:w="1041" w:type="dxa"/>
            <w:tcBorders>
              <w:top w:val="single" w:sz="4" w:space="0" w:color="auto"/>
              <w:bottom w:val="single" w:sz="4" w:space="0" w:color="auto"/>
            </w:tcBorders>
          </w:tcPr>
          <w:p w14:paraId="0E37588D" w14:textId="77777777" w:rsidR="00CF0E2D" w:rsidRDefault="00CF0E2D" w:rsidP="00A60D4B">
            <w:pPr>
              <w:pStyle w:val="InitFigRBold"/>
            </w:pPr>
            <w:r>
              <w:t>0</w:t>
            </w:r>
          </w:p>
        </w:tc>
        <w:tc>
          <w:tcPr>
            <w:tcW w:w="1029" w:type="dxa"/>
            <w:tcBorders>
              <w:top w:val="single" w:sz="4" w:space="0" w:color="auto"/>
              <w:bottom w:val="single" w:sz="4" w:space="0" w:color="auto"/>
            </w:tcBorders>
          </w:tcPr>
          <w:p w14:paraId="7C4CD816" w14:textId="77777777" w:rsidR="00CF0E2D" w:rsidRDefault="00CF0E2D" w:rsidP="00A60D4B">
            <w:pPr>
              <w:pStyle w:val="InitFigRBold"/>
            </w:pPr>
            <w:r>
              <w:t>0</w:t>
            </w:r>
          </w:p>
        </w:tc>
        <w:tc>
          <w:tcPr>
            <w:tcW w:w="1029" w:type="dxa"/>
            <w:tcBorders>
              <w:top w:val="single" w:sz="4" w:space="0" w:color="auto"/>
              <w:bottom w:val="single" w:sz="4" w:space="0" w:color="auto"/>
            </w:tcBorders>
          </w:tcPr>
          <w:p w14:paraId="2B0AAD0B" w14:textId="77777777" w:rsidR="00CF0E2D" w:rsidRDefault="00CF0E2D" w:rsidP="00A60D4B">
            <w:pPr>
              <w:pStyle w:val="InitFigRBold"/>
            </w:pPr>
            <w:r>
              <w:t>0</w:t>
            </w:r>
          </w:p>
        </w:tc>
        <w:tc>
          <w:tcPr>
            <w:tcW w:w="1029" w:type="dxa"/>
            <w:tcBorders>
              <w:top w:val="single" w:sz="4" w:space="0" w:color="auto"/>
              <w:bottom w:val="single" w:sz="4" w:space="0" w:color="auto"/>
            </w:tcBorders>
          </w:tcPr>
          <w:p w14:paraId="539D4BF2" w14:textId="77777777" w:rsidR="00CF0E2D" w:rsidRPr="00DA5279" w:rsidRDefault="00CF0E2D" w:rsidP="00A60D4B">
            <w:pPr>
              <w:pStyle w:val="InitFigRBold"/>
              <w:rPr>
                <w:bCs/>
              </w:rPr>
            </w:pPr>
            <w:r w:rsidRPr="00DA5279">
              <w:rPr>
                <w:bCs/>
              </w:rPr>
              <w:t>0</w:t>
            </w:r>
          </w:p>
        </w:tc>
      </w:tr>
    </w:tbl>
    <w:p w14:paraId="055025B5" w14:textId="77777777" w:rsidR="00CF0E2D" w:rsidRPr="001952D1" w:rsidRDefault="00CF0E2D" w:rsidP="00A60D4B">
      <w:pPr>
        <w:pStyle w:val="Bbodytext"/>
        <w:rPr>
          <w:rFonts w:ascii="Calibri" w:eastAsia="Times New Roman" w:hAnsi="Calibri" w:cs="Times New Roman"/>
          <w:szCs w:val="20"/>
        </w:rPr>
      </w:pPr>
      <w:r w:rsidRPr="001952D1">
        <w:t xml:space="preserve">The Government will </w:t>
      </w:r>
      <w:r w:rsidRPr="001952D1">
        <w:rPr>
          <w:rFonts w:ascii="Calibri" w:eastAsia="Times New Roman" w:hAnsi="Calibri" w:cs="Times New Roman"/>
          <w:szCs w:val="20"/>
        </w:rPr>
        <w:t>establish a Patient Navigation Service to better coordinate care across the health system for people with chronic and complex conditions, or who are vulnerable or disadvantaged. The program will commence with a Paediatric Liaison and Navigation Service, and scoping and implementation of a broader patient navigation service.</w:t>
      </w:r>
    </w:p>
    <w:p w14:paraId="6EC344E7" w14:textId="77777777" w:rsidR="00CF0E2D" w:rsidRDefault="00CF0E2D" w:rsidP="00A60D4B">
      <w:pPr>
        <w:pStyle w:val="Bbodytext"/>
        <w:rPr>
          <w:rFonts w:ascii="Calibri" w:eastAsia="Times New Roman" w:hAnsi="Calibri" w:cs="Times New Roman"/>
          <w:szCs w:val="20"/>
        </w:rPr>
      </w:pPr>
      <w:r w:rsidRPr="001952D1">
        <w:t>This initiative</w:t>
      </w:r>
      <w:r w:rsidRPr="001952D1">
        <w:rPr>
          <w:rFonts w:ascii="Calibri" w:eastAsia="Times New Roman" w:hAnsi="Calibri" w:cs="Times New Roman"/>
          <w:szCs w:val="20"/>
        </w:rPr>
        <w:t xml:space="preserve"> contributes to the wellbeing domain of Health.</w:t>
      </w:r>
    </w:p>
    <w:p w14:paraId="54373BF1" w14:textId="77777777" w:rsidR="00CF0E2D" w:rsidRPr="001952D1" w:rsidRDefault="00CF0E2D" w:rsidP="00A60D4B">
      <w:pPr>
        <w:pStyle w:val="Bbodytext"/>
        <w:rPr>
          <w:rFonts w:ascii="Calibri" w:eastAsia="Times New Roman" w:hAnsi="Calibri" w:cs="Times New Roman"/>
          <w:szCs w:val="20"/>
        </w:rPr>
      </w:pPr>
    </w:p>
    <w:p w14:paraId="66036749" w14:textId="77777777" w:rsidR="00CF0E2D" w:rsidRPr="001952D1" w:rsidRDefault="00CF0E2D" w:rsidP="00A60D4B">
      <w:pPr>
        <w:pStyle w:val="Heading4"/>
        <w:rPr>
          <w:rFonts w:eastAsia="Times New Roman"/>
        </w:rPr>
      </w:pPr>
      <w:r w:rsidRPr="001952D1">
        <w:rPr>
          <w:rFonts w:eastAsia="Times New Roman"/>
        </w:rPr>
        <w:t xml:space="preserve">Improving our </w:t>
      </w:r>
      <w:r>
        <w:rPr>
          <w:rFonts w:eastAsia="Times New Roman"/>
        </w:rPr>
        <w:t xml:space="preserve">public </w:t>
      </w:r>
      <w:r w:rsidRPr="001952D1">
        <w:rPr>
          <w:rFonts w:eastAsia="Times New Roman"/>
        </w:rPr>
        <w:t xml:space="preserve">health system – Reducing the impact of stroke </w:t>
      </w:r>
      <w:r>
        <w:rPr>
          <w:b w:val="0"/>
          <w:noProof/>
          <w:color w:val="999789"/>
          <w:sz w:val="32"/>
          <w:szCs w:val="24"/>
        </w:rPr>
        <w:drawing>
          <wp:anchor distT="0" distB="0" distL="114300" distR="114300" simplePos="0" relativeHeight="251885568" behindDoc="0" locked="1" layoutInCell="1" allowOverlap="1" wp14:anchorId="6EBC43CD" wp14:editId="4781F91F">
            <wp:simplePos x="0" y="0"/>
            <wp:positionH relativeFrom="margin">
              <wp:align>right</wp:align>
            </wp:positionH>
            <wp:positionV relativeFrom="paragraph">
              <wp:posOffset>75565</wp:posOffset>
            </wp:positionV>
            <wp:extent cx="993140" cy="503555"/>
            <wp:effectExtent l="0" t="0" r="0" b="0"/>
            <wp:wrapSquare wrapText="bothSides"/>
            <wp:docPr id="180" name="Picture 180"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73D26A34" w14:textId="77777777" w:rsidTr="00A60D4B">
        <w:trPr>
          <w:cantSplit/>
          <w:jc w:val="center"/>
        </w:trPr>
        <w:tc>
          <w:tcPr>
            <w:tcW w:w="3652" w:type="dxa"/>
            <w:tcBorders>
              <w:top w:val="single" w:sz="4" w:space="0" w:color="auto"/>
              <w:bottom w:val="single" w:sz="4" w:space="0" w:color="auto"/>
            </w:tcBorders>
          </w:tcPr>
          <w:p w14:paraId="2B9E5A73"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7500BC13" w14:textId="77777777" w:rsidR="00CF0E2D" w:rsidRPr="00987EB8" w:rsidRDefault="00CF0E2D" w:rsidP="00A60D4B">
            <w:pPr>
              <w:pStyle w:val="InitFigR"/>
              <w:rPr>
                <w:b/>
                <w:bCs/>
              </w:rPr>
            </w:pPr>
            <w:r w:rsidRPr="00987EB8">
              <w:rPr>
                <w:b/>
                <w:bCs/>
              </w:rPr>
              <w:t>2021-22</w:t>
            </w:r>
          </w:p>
          <w:p w14:paraId="383C1DFD" w14:textId="77777777" w:rsidR="00CF0E2D" w:rsidRPr="00987EB8" w:rsidRDefault="00CF0E2D" w:rsidP="00A60D4B">
            <w:pPr>
              <w:pStyle w:val="InitFigR"/>
              <w:rPr>
                <w:b/>
                <w:bCs/>
              </w:rPr>
            </w:pPr>
            <w:r w:rsidRPr="00987EB8">
              <w:rPr>
                <w:b/>
                <w:bCs/>
              </w:rPr>
              <w:t>$’000</w:t>
            </w:r>
          </w:p>
        </w:tc>
        <w:tc>
          <w:tcPr>
            <w:tcW w:w="1041" w:type="dxa"/>
            <w:tcBorders>
              <w:top w:val="single" w:sz="4" w:space="0" w:color="auto"/>
              <w:bottom w:val="single" w:sz="4" w:space="0" w:color="auto"/>
            </w:tcBorders>
          </w:tcPr>
          <w:p w14:paraId="75573AC3" w14:textId="77777777" w:rsidR="00CF0E2D" w:rsidRPr="00987EB8" w:rsidRDefault="00CF0E2D" w:rsidP="00A60D4B">
            <w:pPr>
              <w:pStyle w:val="InitFigR"/>
              <w:rPr>
                <w:b/>
                <w:bCs/>
              </w:rPr>
            </w:pPr>
            <w:r w:rsidRPr="00987EB8">
              <w:rPr>
                <w:b/>
                <w:bCs/>
              </w:rPr>
              <w:t>2022-23</w:t>
            </w:r>
          </w:p>
          <w:p w14:paraId="2E765276"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0C464A05" w14:textId="77777777" w:rsidR="00CF0E2D" w:rsidRPr="00987EB8" w:rsidRDefault="00CF0E2D" w:rsidP="00A60D4B">
            <w:pPr>
              <w:pStyle w:val="InitFigR"/>
              <w:rPr>
                <w:b/>
                <w:bCs/>
              </w:rPr>
            </w:pPr>
            <w:r w:rsidRPr="00987EB8">
              <w:rPr>
                <w:b/>
                <w:bCs/>
              </w:rPr>
              <w:t>2023-24</w:t>
            </w:r>
          </w:p>
          <w:p w14:paraId="7F924A6D"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2A3E22AC" w14:textId="77777777" w:rsidR="00CF0E2D" w:rsidRPr="00987EB8" w:rsidRDefault="00CF0E2D" w:rsidP="00A60D4B">
            <w:pPr>
              <w:pStyle w:val="InitFigR"/>
              <w:rPr>
                <w:b/>
                <w:bCs/>
              </w:rPr>
            </w:pPr>
            <w:r w:rsidRPr="00987EB8">
              <w:rPr>
                <w:b/>
                <w:bCs/>
              </w:rPr>
              <w:t>2024-25</w:t>
            </w:r>
          </w:p>
          <w:p w14:paraId="2CC4E9B1"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1945F08A" w14:textId="77777777" w:rsidR="00CF0E2D" w:rsidRPr="004E341E" w:rsidRDefault="00CF0E2D" w:rsidP="00A60D4B">
            <w:pPr>
              <w:pStyle w:val="InitFigRBold"/>
            </w:pPr>
            <w:r w:rsidRPr="004E341E">
              <w:t>Total</w:t>
            </w:r>
          </w:p>
          <w:p w14:paraId="2B298B51" w14:textId="77777777" w:rsidR="00CF0E2D" w:rsidRPr="004E341E" w:rsidRDefault="00CF0E2D" w:rsidP="00A60D4B">
            <w:pPr>
              <w:pStyle w:val="InitFigBR"/>
            </w:pPr>
            <w:r w:rsidRPr="004E341E">
              <w:t>$’000</w:t>
            </w:r>
          </w:p>
        </w:tc>
      </w:tr>
      <w:tr w:rsidR="00CF0E2D" w:rsidRPr="00750793" w14:paraId="7331D36B" w14:textId="77777777" w:rsidTr="00A60D4B">
        <w:trPr>
          <w:cantSplit/>
          <w:jc w:val="center"/>
        </w:trPr>
        <w:tc>
          <w:tcPr>
            <w:tcW w:w="3652" w:type="dxa"/>
          </w:tcPr>
          <w:p w14:paraId="6A414D8A" w14:textId="77777777" w:rsidR="00CF0E2D" w:rsidRPr="00F13FAB" w:rsidRDefault="00CF0E2D" w:rsidP="00A60D4B">
            <w:pPr>
              <w:pStyle w:val="InitTextL"/>
              <w:ind w:left="321" w:hanging="321"/>
            </w:pPr>
            <w:r w:rsidRPr="00882BE2">
              <w:t>Expenses</w:t>
            </w:r>
          </w:p>
        </w:tc>
        <w:tc>
          <w:tcPr>
            <w:tcW w:w="1179" w:type="dxa"/>
          </w:tcPr>
          <w:p w14:paraId="6648A2B0" w14:textId="77777777" w:rsidR="00CF0E2D" w:rsidRPr="00424DA4" w:rsidRDefault="00CF0E2D" w:rsidP="00A60D4B">
            <w:pPr>
              <w:pStyle w:val="InitFigR"/>
            </w:pPr>
            <w:r w:rsidRPr="00885166">
              <w:t>89</w:t>
            </w:r>
          </w:p>
        </w:tc>
        <w:tc>
          <w:tcPr>
            <w:tcW w:w="1041" w:type="dxa"/>
          </w:tcPr>
          <w:p w14:paraId="0B9627F0" w14:textId="77777777" w:rsidR="00CF0E2D" w:rsidRPr="00424DA4" w:rsidRDefault="00CF0E2D" w:rsidP="00A60D4B">
            <w:pPr>
              <w:pStyle w:val="InitFigR"/>
            </w:pPr>
            <w:r w:rsidRPr="00885166">
              <w:t>177</w:t>
            </w:r>
          </w:p>
        </w:tc>
        <w:tc>
          <w:tcPr>
            <w:tcW w:w="1029" w:type="dxa"/>
          </w:tcPr>
          <w:p w14:paraId="1A86C82E" w14:textId="77777777" w:rsidR="00CF0E2D" w:rsidRPr="00424DA4" w:rsidRDefault="00CF0E2D" w:rsidP="00A60D4B">
            <w:pPr>
              <w:pStyle w:val="InitFigR"/>
            </w:pPr>
            <w:r w:rsidRPr="00885166">
              <w:t>177</w:t>
            </w:r>
          </w:p>
        </w:tc>
        <w:tc>
          <w:tcPr>
            <w:tcW w:w="1029" w:type="dxa"/>
          </w:tcPr>
          <w:p w14:paraId="3FBA43B5" w14:textId="77777777" w:rsidR="00CF0E2D" w:rsidRPr="00424DA4" w:rsidRDefault="00CF0E2D" w:rsidP="00A60D4B">
            <w:pPr>
              <w:pStyle w:val="InitFigR"/>
            </w:pPr>
            <w:r w:rsidRPr="00885166">
              <w:t>177</w:t>
            </w:r>
          </w:p>
        </w:tc>
        <w:tc>
          <w:tcPr>
            <w:tcW w:w="1029" w:type="dxa"/>
          </w:tcPr>
          <w:p w14:paraId="67C45D07" w14:textId="77777777" w:rsidR="00CF0E2D" w:rsidRPr="00424DA4" w:rsidRDefault="00CF0E2D" w:rsidP="00A60D4B">
            <w:pPr>
              <w:pStyle w:val="InitFigBR"/>
            </w:pPr>
            <w:r w:rsidRPr="00885166">
              <w:t>620</w:t>
            </w:r>
          </w:p>
        </w:tc>
      </w:tr>
      <w:tr w:rsidR="00CF0E2D" w:rsidRPr="00750793" w14:paraId="5C9599C5" w14:textId="77777777" w:rsidTr="00A60D4B">
        <w:trPr>
          <w:cantSplit/>
          <w:jc w:val="center"/>
        </w:trPr>
        <w:tc>
          <w:tcPr>
            <w:tcW w:w="3652" w:type="dxa"/>
          </w:tcPr>
          <w:p w14:paraId="5988B611" w14:textId="77777777" w:rsidR="00CF0E2D" w:rsidRDefault="00CF0E2D" w:rsidP="00A60D4B">
            <w:pPr>
              <w:pStyle w:val="InitTextL"/>
              <w:ind w:left="321" w:hanging="321"/>
            </w:pPr>
            <w:r>
              <w:t>Offset – Health Funding Envelope</w:t>
            </w:r>
          </w:p>
        </w:tc>
        <w:tc>
          <w:tcPr>
            <w:tcW w:w="1179" w:type="dxa"/>
          </w:tcPr>
          <w:p w14:paraId="6CBD904D" w14:textId="77777777" w:rsidR="00CF0E2D" w:rsidRPr="00424DA4" w:rsidRDefault="00CF0E2D" w:rsidP="00A60D4B">
            <w:pPr>
              <w:pStyle w:val="InitFigR"/>
            </w:pPr>
            <w:r>
              <w:t>-</w:t>
            </w:r>
            <w:r w:rsidRPr="00885166">
              <w:t>89</w:t>
            </w:r>
          </w:p>
        </w:tc>
        <w:tc>
          <w:tcPr>
            <w:tcW w:w="1041" w:type="dxa"/>
          </w:tcPr>
          <w:p w14:paraId="3F55C9EA" w14:textId="77777777" w:rsidR="00CF0E2D" w:rsidRPr="00424DA4" w:rsidRDefault="00CF0E2D" w:rsidP="00A60D4B">
            <w:pPr>
              <w:pStyle w:val="InitFigR"/>
            </w:pPr>
            <w:r>
              <w:t>-</w:t>
            </w:r>
            <w:r w:rsidRPr="00885166">
              <w:t>177</w:t>
            </w:r>
          </w:p>
        </w:tc>
        <w:tc>
          <w:tcPr>
            <w:tcW w:w="1029" w:type="dxa"/>
          </w:tcPr>
          <w:p w14:paraId="592FFE3B" w14:textId="77777777" w:rsidR="00CF0E2D" w:rsidRPr="00424DA4" w:rsidRDefault="00CF0E2D" w:rsidP="00A60D4B">
            <w:pPr>
              <w:pStyle w:val="InitFigR"/>
            </w:pPr>
            <w:r>
              <w:t>-</w:t>
            </w:r>
            <w:r w:rsidRPr="00885166">
              <w:t>177</w:t>
            </w:r>
          </w:p>
        </w:tc>
        <w:tc>
          <w:tcPr>
            <w:tcW w:w="1029" w:type="dxa"/>
          </w:tcPr>
          <w:p w14:paraId="213910AD" w14:textId="77777777" w:rsidR="00CF0E2D" w:rsidRPr="00424DA4" w:rsidRDefault="00CF0E2D" w:rsidP="00A60D4B">
            <w:pPr>
              <w:pStyle w:val="InitFigR"/>
            </w:pPr>
            <w:r>
              <w:t>-</w:t>
            </w:r>
            <w:r w:rsidRPr="00885166">
              <w:t>177</w:t>
            </w:r>
          </w:p>
        </w:tc>
        <w:tc>
          <w:tcPr>
            <w:tcW w:w="1029" w:type="dxa"/>
          </w:tcPr>
          <w:p w14:paraId="25417E43" w14:textId="77777777" w:rsidR="00CF0E2D" w:rsidRPr="00424DA4" w:rsidRDefault="00CF0E2D" w:rsidP="00A60D4B">
            <w:pPr>
              <w:pStyle w:val="InitFigBR"/>
            </w:pPr>
            <w:r>
              <w:t>-</w:t>
            </w:r>
            <w:r w:rsidRPr="00885166">
              <w:t>620</w:t>
            </w:r>
          </w:p>
        </w:tc>
      </w:tr>
      <w:tr w:rsidR="00CF0E2D" w:rsidRPr="00750793" w14:paraId="6D96F5A0" w14:textId="77777777" w:rsidTr="00A60D4B">
        <w:trPr>
          <w:cantSplit/>
          <w:trHeight w:val="107"/>
          <w:jc w:val="center"/>
        </w:trPr>
        <w:tc>
          <w:tcPr>
            <w:tcW w:w="3652" w:type="dxa"/>
            <w:tcBorders>
              <w:top w:val="single" w:sz="4" w:space="0" w:color="auto"/>
              <w:bottom w:val="single" w:sz="4" w:space="0" w:color="auto"/>
            </w:tcBorders>
          </w:tcPr>
          <w:p w14:paraId="7238F4B4" w14:textId="6ED98DBD" w:rsidR="00CF0E2D" w:rsidRPr="00DA5279"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0E108AF0" w14:textId="77777777" w:rsidR="00CF0E2D" w:rsidRDefault="00CF0E2D" w:rsidP="00A60D4B">
            <w:pPr>
              <w:pStyle w:val="InitFigRBold"/>
            </w:pPr>
            <w:r>
              <w:t>0</w:t>
            </w:r>
          </w:p>
        </w:tc>
        <w:tc>
          <w:tcPr>
            <w:tcW w:w="1041" w:type="dxa"/>
            <w:tcBorders>
              <w:top w:val="single" w:sz="4" w:space="0" w:color="auto"/>
              <w:bottom w:val="single" w:sz="4" w:space="0" w:color="auto"/>
            </w:tcBorders>
          </w:tcPr>
          <w:p w14:paraId="2BAEE23F" w14:textId="77777777" w:rsidR="00CF0E2D" w:rsidRDefault="00CF0E2D" w:rsidP="00A60D4B">
            <w:pPr>
              <w:pStyle w:val="InitFigRBold"/>
            </w:pPr>
            <w:r>
              <w:t>0</w:t>
            </w:r>
          </w:p>
        </w:tc>
        <w:tc>
          <w:tcPr>
            <w:tcW w:w="1029" w:type="dxa"/>
            <w:tcBorders>
              <w:top w:val="single" w:sz="4" w:space="0" w:color="auto"/>
              <w:bottom w:val="single" w:sz="4" w:space="0" w:color="auto"/>
            </w:tcBorders>
          </w:tcPr>
          <w:p w14:paraId="6F2A422E" w14:textId="77777777" w:rsidR="00CF0E2D" w:rsidRDefault="00CF0E2D" w:rsidP="00A60D4B">
            <w:pPr>
              <w:pStyle w:val="InitFigRBold"/>
            </w:pPr>
            <w:r>
              <w:t>0</w:t>
            </w:r>
          </w:p>
        </w:tc>
        <w:tc>
          <w:tcPr>
            <w:tcW w:w="1029" w:type="dxa"/>
            <w:tcBorders>
              <w:top w:val="single" w:sz="4" w:space="0" w:color="auto"/>
              <w:bottom w:val="single" w:sz="4" w:space="0" w:color="auto"/>
            </w:tcBorders>
          </w:tcPr>
          <w:p w14:paraId="4339E0DD" w14:textId="77777777" w:rsidR="00CF0E2D" w:rsidRDefault="00CF0E2D" w:rsidP="00A60D4B">
            <w:pPr>
              <w:pStyle w:val="InitFigRBold"/>
            </w:pPr>
            <w:r>
              <w:t>0</w:t>
            </w:r>
          </w:p>
        </w:tc>
        <w:tc>
          <w:tcPr>
            <w:tcW w:w="1029" w:type="dxa"/>
            <w:tcBorders>
              <w:top w:val="single" w:sz="4" w:space="0" w:color="auto"/>
              <w:bottom w:val="single" w:sz="4" w:space="0" w:color="auto"/>
            </w:tcBorders>
          </w:tcPr>
          <w:p w14:paraId="1E744565" w14:textId="77777777" w:rsidR="00CF0E2D" w:rsidRPr="00DA5279" w:rsidRDefault="00CF0E2D" w:rsidP="00A60D4B">
            <w:pPr>
              <w:pStyle w:val="InitFigRBold"/>
              <w:rPr>
                <w:bCs/>
              </w:rPr>
            </w:pPr>
            <w:r w:rsidRPr="00DA5279">
              <w:rPr>
                <w:bCs/>
              </w:rPr>
              <w:t>0</w:t>
            </w:r>
          </w:p>
        </w:tc>
      </w:tr>
    </w:tbl>
    <w:p w14:paraId="5359F555" w14:textId="77777777" w:rsidR="00CF0E2D" w:rsidRPr="001952D1" w:rsidRDefault="00CF0E2D" w:rsidP="00A60D4B">
      <w:pPr>
        <w:pStyle w:val="Bbodytext"/>
        <w:rPr>
          <w:rFonts w:ascii="Calibri" w:eastAsia="Times New Roman" w:hAnsi="Calibri" w:cs="Times New Roman"/>
          <w:szCs w:val="20"/>
        </w:rPr>
      </w:pPr>
      <w:r w:rsidRPr="001952D1">
        <w:t>The Government will sup</w:t>
      </w:r>
      <w:r w:rsidRPr="001952D1">
        <w:rPr>
          <w:rFonts w:ascii="Calibri" w:eastAsia="Times New Roman" w:hAnsi="Calibri" w:cs="Times New Roman"/>
          <w:szCs w:val="20"/>
        </w:rPr>
        <w:t xml:space="preserve">port the Stroke Foundation to deliver the Follow­Up program that aims to connect stroke survivors and carers with services and support, and to implement the specialist Face Arms Speech Time (F.A.S.T.) education program. </w:t>
      </w:r>
    </w:p>
    <w:p w14:paraId="3D25A19C" w14:textId="77777777" w:rsidR="00CF0E2D" w:rsidRPr="001952D1" w:rsidRDefault="00CF0E2D" w:rsidP="00A60D4B">
      <w:pPr>
        <w:pStyle w:val="Bbodytext"/>
        <w:rPr>
          <w:rFonts w:ascii="Calibri" w:eastAsia="Times New Roman" w:hAnsi="Calibri" w:cs="Times New Roman"/>
          <w:szCs w:val="20"/>
        </w:rPr>
      </w:pPr>
      <w:r w:rsidRPr="001952D1">
        <w:t>The funding will also enable the Go</w:t>
      </w:r>
      <w:r w:rsidRPr="001952D1">
        <w:rPr>
          <w:rFonts w:ascii="Calibri" w:eastAsia="Times New Roman" w:hAnsi="Calibri" w:cs="Times New Roman"/>
          <w:szCs w:val="20"/>
        </w:rPr>
        <w:t xml:space="preserve">vernment’s participation in the Australian Stroke Clinical Registry – a national effort to monitor, promote and improve the quality of acute stroke care. </w:t>
      </w:r>
    </w:p>
    <w:p w14:paraId="67B5AE71" w14:textId="77777777" w:rsidR="00CF0E2D" w:rsidRDefault="00CF0E2D" w:rsidP="00A60D4B">
      <w:pPr>
        <w:pStyle w:val="Bbodytext"/>
        <w:rPr>
          <w:rFonts w:ascii="Calibri" w:eastAsia="Times New Roman" w:hAnsi="Calibri" w:cs="Times New Roman"/>
          <w:szCs w:val="20"/>
        </w:rPr>
      </w:pPr>
      <w:r w:rsidRPr="001952D1">
        <w:t xml:space="preserve">This initiative contributes to the wellbeing domain of </w:t>
      </w:r>
      <w:r w:rsidRPr="001952D1">
        <w:rPr>
          <w:rFonts w:ascii="Calibri" w:eastAsia="Times New Roman" w:hAnsi="Calibri" w:cs="Times New Roman"/>
          <w:szCs w:val="20"/>
        </w:rPr>
        <w:t>Health.</w:t>
      </w:r>
    </w:p>
    <w:p w14:paraId="3FF21DE9" w14:textId="77777777" w:rsidR="00CF0E2D" w:rsidRDefault="00CF0E2D">
      <w:pPr>
        <w:rPr>
          <w:rFonts w:ascii="Calibri" w:eastAsia="Times New Roman" w:hAnsi="Calibri" w:cs="Times New Roman"/>
          <w:sz w:val="24"/>
          <w:szCs w:val="20"/>
        </w:rPr>
      </w:pPr>
      <w:r>
        <w:rPr>
          <w:rFonts w:ascii="Calibri" w:eastAsia="Times New Roman" w:hAnsi="Calibri" w:cs="Times New Roman"/>
          <w:szCs w:val="20"/>
        </w:rPr>
        <w:br w:type="page"/>
      </w:r>
    </w:p>
    <w:p w14:paraId="46724CF6" w14:textId="77777777" w:rsidR="00CF0E2D" w:rsidRPr="001952D1" w:rsidRDefault="00CF0E2D" w:rsidP="00A60D4B">
      <w:pPr>
        <w:pStyle w:val="Heading4"/>
        <w:rPr>
          <w:rFonts w:eastAsia="Times New Roman"/>
        </w:rPr>
      </w:pPr>
      <w:r w:rsidRPr="001952D1">
        <w:rPr>
          <w:rFonts w:eastAsia="Times New Roman"/>
        </w:rPr>
        <w:lastRenderedPageBreak/>
        <w:t xml:space="preserve">Improving our public health system – Introduction of nursing and midwifery ratios </w:t>
      </w:r>
      <w:r>
        <w:rPr>
          <w:b w:val="0"/>
          <w:noProof/>
          <w:color w:val="999789"/>
          <w:sz w:val="32"/>
          <w:szCs w:val="24"/>
        </w:rPr>
        <w:drawing>
          <wp:anchor distT="0" distB="0" distL="114300" distR="114300" simplePos="0" relativeHeight="251886592" behindDoc="0" locked="1" layoutInCell="1" allowOverlap="1" wp14:anchorId="603EF898" wp14:editId="6AD3D35B">
            <wp:simplePos x="0" y="0"/>
            <wp:positionH relativeFrom="margin">
              <wp:align>right</wp:align>
            </wp:positionH>
            <wp:positionV relativeFrom="paragraph">
              <wp:posOffset>7620</wp:posOffset>
            </wp:positionV>
            <wp:extent cx="993140" cy="503555"/>
            <wp:effectExtent l="0" t="0" r="0" b="0"/>
            <wp:wrapSquare wrapText="bothSides"/>
            <wp:docPr id="181" name="Picture 181"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0FF1C2B0" w14:textId="77777777" w:rsidTr="00A60D4B">
        <w:trPr>
          <w:cantSplit/>
          <w:jc w:val="center"/>
        </w:trPr>
        <w:tc>
          <w:tcPr>
            <w:tcW w:w="3652" w:type="dxa"/>
            <w:tcBorders>
              <w:top w:val="single" w:sz="4" w:space="0" w:color="auto"/>
              <w:bottom w:val="single" w:sz="4" w:space="0" w:color="auto"/>
            </w:tcBorders>
          </w:tcPr>
          <w:p w14:paraId="29FF40A0"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405F0A00" w14:textId="77777777" w:rsidR="00CF0E2D" w:rsidRPr="00987EB8" w:rsidRDefault="00CF0E2D" w:rsidP="00A60D4B">
            <w:pPr>
              <w:pStyle w:val="InitFigR"/>
              <w:rPr>
                <w:b/>
                <w:bCs/>
              </w:rPr>
            </w:pPr>
            <w:r w:rsidRPr="00987EB8">
              <w:rPr>
                <w:b/>
                <w:bCs/>
              </w:rPr>
              <w:t>2021-22</w:t>
            </w:r>
          </w:p>
          <w:p w14:paraId="190F6D9B" w14:textId="77777777" w:rsidR="00CF0E2D" w:rsidRPr="00987EB8" w:rsidRDefault="00CF0E2D" w:rsidP="00A60D4B">
            <w:pPr>
              <w:pStyle w:val="InitFigR"/>
              <w:rPr>
                <w:b/>
                <w:bCs/>
              </w:rPr>
            </w:pPr>
            <w:r w:rsidRPr="00987EB8">
              <w:rPr>
                <w:b/>
                <w:bCs/>
              </w:rPr>
              <w:t>$’000</w:t>
            </w:r>
          </w:p>
        </w:tc>
        <w:tc>
          <w:tcPr>
            <w:tcW w:w="1041" w:type="dxa"/>
            <w:tcBorders>
              <w:top w:val="single" w:sz="4" w:space="0" w:color="auto"/>
              <w:bottom w:val="single" w:sz="4" w:space="0" w:color="auto"/>
            </w:tcBorders>
          </w:tcPr>
          <w:p w14:paraId="7FEC9158" w14:textId="77777777" w:rsidR="00CF0E2D" w:rsidRPr="00987EB8" w:rsidRDefault="00CF0E2D" w:rsidP="00A60D4B">
            <w:pPr>
              <w:pStyle w:val="InitFigR"/>
              <w:rPr>
                <w:b/>
                <w:bCs/>
              </w:rPr>
            </w:pPr>
            <w:r w:rsidRPr="00987EB8">
              <w:rPr>
                <w:b/>
                <w:bCs/>
              </w:rPr>
              <w:t>2022-23</w:t>
            </w:r>
          </w:p>
          <w:p w14:paraId="3190EC75"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1FCC185A" w14:textId="77777777" w:rsidR="00CF0E2D" w:rsidRPr="00987EB8" w:rsidRDefault="00CF0E2D" w:rsidP="00A60D4B">
            <w:pPr>
              <w:pStyle w:val="InitFigR"/>
              <w:rPr>
                <w:b/>
                <w:bCs/>
              </w:rPr>
            </w:pPr>
            <w:r w:rsidRPr="00987EB8">
              <w:rPr>
                <w:b/>
                <w:bCs/>
              </w:rPr>
              <w:t>2023-24</w:t>
            </w:r>
          </w:p>
          <w:p w14:paraId="73CEF1FC"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652640B6" w14:textId="77777777" w:rsidR="00CF0E2D" w:rsidRPr="00987EB8" w:rsidRDefault="00CF0E2D" w:rsidP="00A60D4B">
            <w:pPr>
              <w:pStyle w:val="InitFigR"/>
              <w:rPr>
                <w:b/>
                <w:bCs/>
              </w:rPr>
            </w:pPr>
            <w:r w:rsidRPr="00987EB8">
              <w:rPr>
                <w:b/>
                <w:bCs/>
              </w:rPr>
              <w:t>2024-25</w:t>
            </w:r>
          </w:p>
          <w:p w14:paraId="078D832D"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5AEE0EE4" w14:textId="77777777" w:rsidR="00CF0E2D" w:rsidRPr="004E341E" w:rsidRDefault="00CF0E2D" w:rsidP="00A60D4B">
            <w:pPr>
              <w:pStyle w:val="InitFigRBold"/>
            </w:pPr>
            <w:r w:rsidRPr="004E341E">
              <w:t>Total</w:t>
            </w:r>
          </w:p>
          <w:p w14:paraId="79BE2DD8" w14:textId="77777777" w:rsidR="00CF0E2D" w:rsidRPr="004E341E" w:rsidRDefault="00CF0E2D" w:rsidP="00A60D4B">
            <w:pPr>
              <w:pStyle w:val="InitFigBR"/>
            </w:pPr>
            <w:r w:rsidRPr="004E341E">
              <w:t>$’000</w:t>
            </w:r>
          </w:p>
        </w:tc>
      </w:tr>
      <w:tr w:rsidR="00CF0E2D" w:rsidRPr="00750793" w14:paraId="329C1E85" w14:textId="77777777" w:rsidTr="00A60D4B">
        <w:trPr>
          <w:cantSplit/>
          <w:jc w:val="center"/>
        </w:trPr>
        <w:tc>
          <w:tcPr>
            <w:tcW w:w="3652" w:type="dxa"/>
          </w:tcPr>
          <w:p w14:paraId="48C6A04C" w14:textId="77777777" w:rsidR="00CF0E2D" w:rsidRPr="00F13FAB" w:rsidRDefault="00CF0E2D" w:rsidP="00A60D4B">
            <w:pPr>
              <w:pStyle w:val="InitTextL"/>
              <w:ind w:left="321" w:hanging="321"/>
            </w:pPr>
            <w:r w:rsidRPr="00882BE2">
              <w:t>Expenses</w:t>
            </w:r>
          </w:p>
        </w:tc>
        <w:tc>
          <w:tcPr>
            <w:tcW w:w="1179" w:type="dxa"/>
          </w:tcPr>
          <w:p w14:paraId="07004C98" w14:textId="77777777" w:rsidR="00CF0E2D" w:rsidRPr="00424DA4" w:rsidRDefault="00CF0E2D" w:rsidP="00A60D4B">
            <w:pPr>
              <w:pStyle w:val="InitFigR"/>
            </w:pPr>
            <w:r w:rsidRPr="0055663A">
              <w:t>4,373</w:t>
            </w:r>
          </w:p>
        </w:tc>
        <w:tc>
          <w:tcPr>
            <w:tcW w:w="1041" w:type="dxa"/>
          </w:tcPr>
          <w:p w14:paraId="3187138C" w14:textId="77777777" w:rsidR="00CF0E2D" w:rsidRPr="00424DA4" w:rsidRDefault="00CF0E2D" w:rsidP="00A60D4B">
            <w:pPr>
              <w:pStyle w:val="InitFigR"/>
            </w:pPr>
            <w:r w:rsidRPr="0055663A">
              <w:t>14,830</w:t>
            </w:r>
          </w:p>
        </w:tc>
        <w:tc>
          <w:tcPr>
            <w:tcW w:w="1029" w:type="dxa"/>
          </w:tcPr>
          <w:p w14:paraId="2605C1C5" w14:textId="77777777" w:rsidR="00CF0E2D" w:rsidRPr="00424DA4" w:rsidRDefault="00CF0E2D" w:rsidP="00A60D4B">
            <w:pPr>
              <w:pStyle w:val="InitFigR"/>
            </w:pPr>
            <w:r w:rsidRPr="0055663A">
              <w:t>15,225</w:t>
            </w:r>
          </w:p>
        </w:tc>
        <w:tc>
          <w:tcPr>
            <w:tcW w:w="1029" w:type="dxa"/>
          </w:tcPr>
          <w:p w14:paraId="45E76939" w14:textId="77777777" w:rsidR="00CF0E2D" w:rsidRPr="00424DA4" w:rsidRDefault="00CF0E2D" w:rsidP="00A60D4B">
            <w:pPr>
              <w:pStyle w:val="InitFigR"/>
            </w:pPr>
            <w:r w:rsidRPr="0055663A">
              <w:t>15,631</w:t>
            </w:r>
          </w:p>
        </w:tc>
        <w:tc>
          <w:tcPr>
            <w:tcW w:w="1029" w:type="dxa"/>
          </w:tcPr>
          <w:p w14:paraId="59BC948F" w14:textId="77777777" w:rsidR="00CF0E2D" w:rsidRPr="00424DA4" w:rsidRDefault="00CF0E2D" w:rsidP="00A60D4B">
            <w:pPr>
              <w:pStyle w:val="InitFigBR"/>
            </w:pPr>
            <w:r w:rsidRPr="0055663A">
              <w:t>50,059</w:t>
            </w:r>
          </w:p>
        </w:tc>
      </w:tr>
      <w:tr w:rsidR="00CF0E2D" w:rsidRPr="00750793" w14:paraId="34AF70C2" w14:textId="77777777" w:rsidTr="00A60D4B">
        <w:trPr>
          <w:cantSplit/>
          <w:jc w:val="center"/>
        </w:trPr>
        <w:tc>
          <w:tcPr>
            <w:tcW w:w="3652" w:type="dxa"/>
          </w:tcPr>
          <w:p w14:paraId="2A4BB5BA" w14:textId="77777777" w:rsidR="00CF0E2D" w:rsidRDefault="00CF0E2D" w:rsidP="00A60D4B">
            <w:pPr>
              <w:pStyle w:val="InitTextL"/>
              <w:ind w:left="321" w:hanging="321"/>
            </w:pPr>
            <w:r>
              <w:t>Offset – Health Funding Envelope</w:t>
            </w:r>
          </w:p>
        </w:tc>
        <w:tc>
          <w:tcPr>
            <w:tcW w:w="1179" w:type="dxa"/>
          </w:tcPr>
          <w:p w14:paraId="35875924" w14:textId="77777777" w:rsidR="00CF0E2D" w:rsidRPr="00424DA4" w:rsidRDefault="00CF0E2D" w:rsidP="00A60D4B">
            <w:pPr>
              <w:pStyle w:val="InitFigR"/>
            </w:pPr>
            <w:r>
              <w:t>-</w:t>
            </w:r>
            <w:r w:rsidRPr="0055663A">
              <w:t>4,373</w:t>
            </w:r>
          </w:p>
        </w:tc>
        <w:tc>
          <w:tcPr>
            <w:tcW w:w="1041" w:type="dxa"/>
          </w:tcPr>
          <w:p w14:paraId="2473993D" w14:textId="77777777" w:rsidR="00CF0E2D" w:rsidRPr="00424DA4" w:rsidRDefault="00CF0E2D" w:rsidP="00A60D4B">
            <w:pPr>
              <w:pStyle w:val="InitFigR"/>
            </w:pPr>
            <w:r>
              <w:t>-</w:t>
            </w:r>
            <w:r w:rsidRPr="0055663A">
              <w:t>14,830</w:t>
            </w:r>
          </w:p>
        </w:tc>
        <w:tc>
          <w:tcPr>
            <w:tcW w:w="1029" w:type="dxa"/>
          </w:tcPr>
          <w:p w14:paraId="01CA86DD" w14:textId="77777777" w:rsidR="00CF0E2D" w:rsidRPr="00424DA4" w:rsidRDefault="00CF0E2D" w:rsidP="00A60D4B">
            <w:pPr>
              <w:pStyle w:val="InitFigR"/>
            </w:pPr>
            <w:r>
              <w:t>-</w:t>
            </w:r>
            <w:r w:rsidRPr="0055663A">
              <w:t>15,225</w:t>
            </w:r>
          </w:p>
        </w:tc>
        <w:tc>
          <w:tcPr>
            <w:tcW w:w="1029" w:type="dxa"/>
          </w:tcPr>
          <w:p w14:paraId="51A48D9F" w14:textId="77777777" w:rsidR="00CF0E2D" w:rsidRPr="00424DA4" w:rsidRDefault="00CF0E2D" w:rsidP="00A60D4B">
            <w:pPr>
              <w:pStyle w:val="InitFigR"/>
            </w:pPr>
            <w:r>
              <w:t>-</w:t>
            </w:r>
            <w:r w:rsidRPr="0055663A">
              <w:t>15,631</w:t>
            </w:r>
          </w:p>
        </w:tc>
        <w:tc>
          <w:tcPr>
            <w:tcW w:w="1029" w:type="dxa"/>
          </w:tcPr>
          <w:p w14:paraId="30D9F597" w14:textId="77777777" w:rsidR="00CF0E2D" w:rsidRPr="00424DA4" w:rsidRDefault="00CF0E2D" w:rsidP="00A60D4B">
            <w:pPr>
              <w:pStyle w:val="InitFigBR"/>
            </w:pPr>
            <w:r>
              <w:t>-</w:t>
            </w:r>
            <w:r w:rsidRPr="0055663A">
              <w:t>50,059</w:t>
            </w:r>
          </w:p>
        </w:tc>
      </w:tr>
      <w:tr w:rsidR="00CF0E2D" w:rsidRPr="00750793" w14:paraId="5F90A24F" w14:textId="77777777" w:rsidTr="00A60D4B">
        <w:trPr>
          <w:cantSplit/>
          <w:trHeight w:val="107"/>
          <w:jc w:val="center"/>
        </w:trPr>
        <w:tc>
          <w:tcPr>
            <w:tcW w:w="3652" w:type="dxa"/>
            <w:tcBorders>
              <w:top w:val="single" w:sz="4" w:space="0" w:color="auto"/>
              <w:bottom w:val="single" w:sz="4" w:space="0" w:color="auto"/>
            </w:tcBorders>
          </w:tcPr>
          <w:p w14:paraId="49858038" w14:textId="72F23E4A" w:rsidR="00CF0E2D" w:rsidRPr="00DA5279"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2194B199" w14:textId="77777777" w:rsidR="00CF0E2D" w:rsidRDefault="00CF0E2D" w:rsidP="00A60D4B">
            <w:pPr>
              <w:pStyle w:val="InitFigRBold"/>
            </w:pPr>
            <w:r>
              <w:t>0</w:t>
            </w:r>
          </w:p>
        </w:tc>
        <w:tc>
          <w:tcPr>
            <w:tcW w:w="1041" w:type="dxa"/>
            <w:tcBorders>
              <w:top w:val="single" w:sz="4" w:space="0" w:color="auto"/>
              <w:bottom w:val="single" w:sz="4" w:space="0" w:color="auto"/>
            </w:tcBorders>
          </w:tcPr>
          <w:p w14:paraId="606DF879" w14:textId="77777777" w:rsidR="00CF0E2D" w:rsidRDefault="00CF0E2D" w:rsidP="00A60D4B">
            <w:pPr>
              <w:pStyle w:val="InitFigRBold"/>
            </w:pPr>
            <w:r>
              <w:t>0</w:t>
            </w:r>
          </w:p>
        </w:tc>
        <w:tc>
          <w:tcPr>
            <w:tcW w:w="1029" w:type="dxa"/>
            <w:tcBorders>
              <w:top w:val="single" w:sz="4" w:space="0" w:color="auto"/>
              <w:bottom w:val="single" w:sz="4" w:space="0" w:color="auto"/>
            </w:tcBorders>
          </w:tcPr>
          <w:p w14:paraId="75E21524" w14:textId="77777777" w:rsidR="00CF0E2D" w:rsidRDefault="00CF0E2D" w:rsidP="00A60D4B">
            <w:pPr>
              <w:pStyle w:val="InitFigRBold"/>
            </w:pPr>
            <w:r>
              <w:t>0</w:t>
            </w:r>
          </w:p>
        </w:tc>
        <w:tc>
          <w:tcPr>
            <w:tcW w:w="1029" w:type="dxa"/>
            <w:tcBorders>
              <w:top w:val="single" w:sz="4" w:space="0" w:color="auto"/>
              <w:bottom w:val="single" w:sz="4" w:space="0" w:color="auto"/>
            </w:tcBorders>
          </w:tcPr>
          <w:p w14:paraId="7D520873" w14:textId="77777777" w:rsidR="00CF0E2D" w:rsidRDefault="00CF0E2D" w:rsidP="00A60D4B">
            <w:pPr>
              <w:pStyle w:val="InitFigRBold"/>
            </w:pPr>
            <w:r>
              <w:t>0</w:t>
            </w:r>
          </w:p>
        </w:tc>
        <w:tc>
          <w:tcPr>
            <w:tcW w:w="1029" w:type="dxa"/>
            <w:tcBorders>
              <w:top w:val="single" w:sz="4" w:space="0" w:color="auto"/>
              <w:bottom w:val="single" w:sz="4" w:space="0" w:color="auto"/>
            </w:tcBorders>
          </w:tcPr>
          <w:p w14:paraId="4F1B2614" w14:textId="77777777" w:rsidR="00CF0E2D" w:rsidRPr="00DA5279" w:rsidRDefault="00CF0E2D" w:rsidP="00A60D4B">
            <w:pPr>
              <w:pStyle w:val="InitFigRBold"/>
              <w:rPr>
                <w:bCs/>
              </w:rPr>
            </w:pPr>
            <w:r w:rsidRPr="00DA5279">
              <w:rPr>
                <w:bCs/>
              </w:rPr>
              <w:t>0</w:t>
            </w:r>
          </w:p>
        </w:tc>
      </w:tr>
    </w:tbl>
    <w:p w14:paraId="4AAF90C2" w14:textId="77777777" w:rsidR="00CF0E2D" w:rsidRDefault="00CF0E2D" w:rsidP="00A60D4B">
      <w:pPr>
        <w:pStyle w:val="Bbodytext"/>
        <w:rPr>
          <w:rFonts w:ascii="Calibri" w:eastAsia="Times New Roman" w:hAnsi="Calibri" w:cs="Times New Roman"/>
          <w:szCs w:val="20"/>
        </w:rPr>
      </w:pPr>
      <w:r w:rsidRPr="001952D1">
        <w:t>The Government will</w:t>
      </w:r>
      <w:r w:rsidRPr="001952D1">
        <w:rPr>
          <w:rFonts w:ascii="Calibri" w:eastAsia="Times New Roman" w:hAnsi="Calibri" w:cs="Times New Roman"/>
          <w:szCs w:val="20"/>
        </w:rPr>
        <w:t xml:space="preserve"> deliver the first stage of a phased introduction of minimum nurse/midwifery-to-patient ratios at the Canberra Hospital and Calvary Public Hospital Bruce, following approval of the new Nursing and Midwifery Enterprise Agreement.</w:t>
      </w:r>
    </w:p>
    <w:p w14:paraId="4C513712" w14:textId="77777777" w:rsidR="00CF0E2D" w:rsidRDefault="00CF0E2D" w:rsidP="00A60D4B">
      <w:pPr>
        <w:pStyle w:val="Bbodytext"/>
        <w:rPr>
          <w:rFonts w:ascii="Calibri" w:eastAsia="Times New Roman" w:hAnsi="Calibri" w:cs="Times New Roman"/>
          <w:szCs w:val="20"/>
        </w:rPr>
      </w:pPr>
      <w:r w:rsidRPr="001952D1">
        <w:t xml:space="preserve">This initiative contributes to the wellbeing domain of </w:t>
      </w:r>
      <w:r w:rsidRPr="001952D1">
        <w:rPr>
          <w:rFonts w:ascii="Calibri" w:eastAsia="Times New Roman" w:hAnsi="Calibri" w:cs="Times New Roman"/>
          <w:szCs w:val="20"/>
        </w:rPr>
        <w:t>Health.</w:t>
      </w:r>
    </w:p>
    <w:p w14:paraId="62BA8A26" w14:textId="77777777" w:rsidR="00CF0E2D" w:rsidRDefault="00CF0E2D" w:rsidP="00A60D4B">
      <w:pPr>
        <w:pStyle w:val="Bbodytext"/>
        <w:rPr>
          <w:rFonts w:ascii="Calibri" w:eastAsia="Times New Roman" w:hAnsi="Calibri" w:cs="Times New Roman"/>
          <w:szCs w:val="20"/>
        </w:rPr>
      </w:pPr>
    </w:p>
    <w:p w14:paraId="2952C120" w14:textId="77777777" w:rsidR="00CF0E2D" w:rsidRPr="006E2D7E" w:rsidRDefault="00CF0E2D" w:rsidP="00A60D4B">
      <w:pPr>
        <w:pStyle w:val="Heading4"/>
        <w:spacing w:after="0"/>
        <w:rPr>
          <w:rFonts w:eastAsia="Times New Roman"/>
        </w:rPr>
      </w:pPr>
      <w:r w:rsidRPr="001952D1">
        <w:rPr>
          <w:rFonts w:eastAsia="Times New Roman"/>
        </w:rPr>
        <w:t xml:space="preserve">Improving our public health system – </w:t>
      </w:r>
      <w:r w:rsidRPr="006E2D7E">
        <w:rPr>
          <w:rFonts w:eastAsia="Times New Roman"/>
        </w:rPr>
        <w:t xml:space="preserve">Winnunga Health </w:t>
      </w:r>
      <w:r>
        <w:rPr>
          <w:rFonts w:eastAsia="Times New Roman"/>
        </w:rPr>
        <w:t>s</w:t>
      </w:r>
      <w:r w:rsidRPr="006E2D7E">
        <w:rPr>
          <w:rFonts w:eastAsia="Times New Roman"/>
        </w:rPr>
        <w:t>ervices</w:t>
      </w:r>
      <w:r>
        <w:rPr>
          <w:rFonts w:eastAsia="Times New Roman"/>
        </w:rPr>
        <w:t xml:space="preserve"> </w:t>
      </w:r>
      <w:r w:rsidRPr="006E2D7E">
        <w:rPr>
          <w:rFonts w:eastAsia="Times New Roman"/>
        </w:rPr>
        <w:t xml:space="preserve">for Aboriginal and Torres Strait Islander </w:t>
      </w:r>
      <w:r>
        <w:rPr>
          <w:rFonts w:eastAsia="Times New Roman"/>
        </w:rPr>
        <w:t>d</w:t>
      </w:r>
      <w:r w:rsidRPr="006E2D7E">
        <w:rPr>
          <w:rFonts w:eastAsia="Times New Roman"/>
        </w:rPr>
        <w:t xml:space="preserve">etainees at the AMC </w:t>
      </w:r>
      <w:r w:rsidRPr="00D26959">
        <w:rPr>
          <w:rFonts w:eastAsia="Times New Roman"/>
          <w:noProof/>
        </w:rPr>
        <w:drawing>
          <wp:anchor distT="0" distB="0" distL="114300" distR="114300" simplePos="0" relativeHeight="251887616" behindDoc="0" locked="1" layoutInCell="1" allowOverlap="1" wp14:anchorId="5B6038BA" wp14:editId="156D1C5A">
            <wp:simplePos x="0" y="0"/>
            <wp:positionH relativeFrom="margin">
              <wp:posOffset>4719955</wp:posOffset>
            </wp:positionH>
            <wp:positionV relativeFrom="paragraph">
              <wp:posOffset>215900</wp:posOffset>
            </wp:positionV>
            <wp:extent cx="993140" cy="503555"/>
            <wp:effectExtent l="0" t="0" r="0" b="0"/>
            <wp:wrapSquare wrapText="bothSides"/>
            <wp:docPr id="182" name="Picture 182"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277DF9C5" w14:textId="77777777" w:rsidTr="00A60D4B">
        <w:trPr>
          <w:cantSplit/>
          <w:jc w:val="center"/>
        </w:trPr>
        <w:tc>
          <w:tcPr>
            <w:tcW w:w="3652" w:type="dxa"/>
            <w:tcBorders>
              <w:top w:val="single" w:sz="4" w:space="0" w:color="auto"/>
              <w:bottom w:val="single" w:sz="4" w:space="0" w:color="auto"/>
            </w:tcBorders>
          </w:tcPr>
          <w:p w14:paraId="66C7C2FD"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18904000" w14:textId="77777777" w:rsidR="00CF0E2D" w:rsidRPr="006B3E0A" w:rsidRDefault="00CF0E2D" w:rsidP="00A60D4B">
            <w:pPr>
              <w:pStyle w:val="InitFigR"/>
              <w:keepNext/>
              <w:keepLines/>
              <w:rPr>
                <w:b/>
                <w:bCs/>
              </w:rPr>
            </w:pPr>
            <w:r w:rsidRPr="006B3E0A">
              <w:rPr>
                <w:b/>
                <w:bCs/>
              </w:rPr>
              <w:t>2021-22</w:t>
            </w:r>
          </w:p>
          <w:p w14:paraId="70F3FC8A" w14:textId="77777777" w:rsidR="00CF0E2D" w:rsidRPr="006B3E0A" w:rsidRDefault="00CF0E2D" w:rsidP="00A60D4B">
            <w:pPr>
              <w:pStyle w:val="InitFigR"/>
              <w:keepNext/>
              <w:keepLines/>
              <w:rPr>
                <w:b/>
                <w:bCs/>
              </w:rPr>
            </w:pPr>
            <w:r w:rsidRPr="006B3E0A">
              <w:rPr>
                <w:b/>
                <w:bCs/>
              </w:rPr>
              <w:t>$’000</w:t>
            </w:r>
          </w:p>
        </w:tc>
        <w:tc>
          <w:tcPr>
            <w:tcW w:w="1041" w:type="dxa"/>
            <w:tcBorders>
              <w:top w:val="single" w:sz="4" w:space="0" w:color="auto"/>
              <w:bottom w:val="single" w:sz="4" w:space="0" w:color="auto"/>
            </w:tcBorders>
          </w:tcPr>
          <w:p w14:paraId="5B2C3158" w14:textId="77777777" w:rsidR="00CF0E2D" w:rsidRPr="006B3E0A" w:rsidRDefault="00CF0E2D" w:rsidP="00A60D4B">
            <w:pPr>
              <w:pStyle w:val="InitFigR"/>
              <w:keepNext/>
              <w:keepLines/>
              <w:rPr>
                <w:b/>
                <w:bCs/>
              </w:rPr>
            </w:pPr>
            <w:r w:rsidRPr="006B3E0A">
              <w:rPr>
                <w:b/>
                <w:bCs/>
              </w:rPr>
              <w:t>2022-23</w:t>
            </w:r>
          </w:p>
          <w:p w14:paraId="496DD682" w14:textId="77777777" w:rsidR="00CF0E2D" w:rsidRPr="006B3E0A" w:rsidRDefault="00CF0E2D" w:rsidP="00A60D4B">
            <w:pPr>
              <w:pStyle w:val="InitFigR"/>
              <w:keepNext/>
              <w:keepLines/>
              <w:rPr>
                <w:b/>
                <w:bCs/>
              </w:rPr>
            </w:pPr>
            <w:r w:rsidRPr="006B3E0A">
              <w:rPr>
                <w:b/>
                <w:bCs/>
              </w:rPr>
              <w:t>$’000</w:t>
            </w:r>
          </w:p>
        </w:tc>
        <w:tc>
          <w:tcPr>
            <w:tcW w:w="1029" w:type="dxa"/>
            <w:tcBorders>
              <w:top w:val="single" w:sz="4" w:space="0" w:color="auto"/>
              <w:bottom w:val="single" w:sz="4" w:space="0" w:color="auto"/>
            </w:tcBorders>
          </w:tcPr>
          <w:p w14:paraId="15CB1564" w14:textId="77777777" w:rsidR="00CF0E2D" w:rsidRPr="006B3E0A" w:rsidRDefault="00CF0E2D" w:rsidP="00A60D4B">
            <w:pPr>
              <w:pStyle w:val="InitFigR"/>
              <w:keepNext/>
              <w:keepLines/>
              <w:rPr>
                <w:b/>
                <w:bCs/>
              </w:rPr>
            </w:pPr>
            <w:r w:rsidRPr="006B3E0A">
              <w:rPr>
                <w:b/>
                <w:bCs/>
              </w:rPr>
              <w:t>2023-24</w:t>
            </w:r>
          </w:p>
          <w:p w14:paraId="2B0060D7" w14:textId="77777777" w:rsidR="00CF0E2D" w:rsidRPr="006B3E0A" w:rsidRDefault="00CF0E2D" w:rsidP="00A60D4B">
            <w:pPr>
              <w:pStyle w:val="InitFigR"/>
              <w:keepNext/>
              <w:keepLines/>
              <w:rPr>
                <w:b/>
                <w:bCs/>
              </w:rPr>
            </w:pPr>
            <w:r w:rsidRPr="006B3E0A">
              <w:rPr>
                <w:b/>
                <w:bCs/>
              </w:rPr>
              <w:t>$’000</w:t>
            </w:r>
          </w:p>
        </w:tc>
        <w:tc>
          <w:tcPr>
            <w:tcW w:w="1029" w:type="dxa"/>
            <w:tcBorders>
              <w:top w:val="single" w:sz="4" w:space="0" w:color="auto"/>
              <w:bottom w:val="single" w:sz="4" w:space="0" w:color="auto"/>
            </w:tcBorders>
          </w:tcPr>
          <w:p w14:paraId="488FE4D5" w14:textId="77777777" w:rsidR="00CF0E2D" w:rsidRPr="006B3E0A" w:rsidRDefault="00CF0E2D" w:rsidP="00A60D4B">
            <w:pPr>
              <w:pStyle w:val="InitFigR"/>
              <w:keepNext/>
              <w:keepLines/>
              <w:rPr>
                <w:b/>
                <w:bCs/>
              </w:rPr>
            </w:pPr>
            <w:r w:rsidRPr="006B3E0A">
              <w:rPr>
                <w:b/>
                <w:bCs/>
              </w:rPr>
              <w:t>2024-25</w:t>
            </w:r>
          </w:p>
          <w:p w14:paraId="534A9938" w14:textId="77777777" w:rsidR="00CF0E2D" w:rsidRPr="006B3E0A" w:rsidRDefault="00CF0E2D" w:rsidP="00A60D4B">
            <w:pPr>
              <w:pStyle w:val="InitFigR"/>
              <w:keepNext/>
              <w:keepLines/>
              <w:rPr>
                <w:b/>
                <w:bCs/>
              </w:rPr>
            </w:pPr>
            <w:r w:rsidRPr="006B3E0A">
              <w:rPr>
                <w:b/>
                <w:bCs/>
              </w:rPr>
              <w:t>$’000</w:t>
            </w:r>
          </w:p>
        </w:tc>
        <w:tc>
          <w:tcPr>
            <w:tcW w:w="1029" w:type="dxa"/>
            <w:tcBorders>
              <w:top w:val="single" w:sz="4" w:space="0" w:color="auto"/>
              <w:bottom w:val="single" w:sz="4" w:space="0" w:color="auto"/>
            </w:tcBorders>
          </w:tcPr>
          <w:p w14:paraId="6FE4CB03" w14:textId="77777777" w:rsidR="00CF0E2D" w:rsidRPr="004E341E" w:rsidRDefault="00CF0E2D" w:rsidP="00A60D4B">
            <w:pPr>
              <w:pStyle w:val="InitFigRBold"/>
              <w:keepNext/>
              <w:keepLines/>
            </w:pPr>
            <w:r w:rsidRPr="004E341E">
              <w:t>Total</w:t>
            </w:r>
          </w:p>
          <w:p w14:paraId="374D31D8" w14:textId="77777777" w:rsidR="00CF0E2D" w:rsidRPr="004E341E" w:rsidRDefault="00CF0E2D" w:rsidP="00A60D4B">
            <w:pPr>
              <w:pStyle w:val="InitFigBR"/>
              <w:keepNext/>
              <w:keepLines/>
            </w:pPr>
            <w:r w:rsidRPr="004E341E">
              <w:t>$’000</w:t>
            </w:r>
          </w:p>
        </w:tc>
      </w:tr>
      <w:tr w:rsidR="00CF0E2D" w:rsidRPr="00750793" w14:paraId="21FBF7BB" w14:textId="77777777" w:rsidTr="00A60D4B">
        <w:trPr>
          <w:cantSplit/>
          <w:jc w:val="center"/>
        </w:trPr>
        <w:tc>
          <w:tcPr>
            <w:tcW w:w="3652" w:type="dxa"/>
          </w:tcPr>
          <w:p w14:paraId="26E3CD4A" w14:textId="77777777" w:rsidR="00CF0E2D" w:rsidRPr="00F13FAB" w:rsidRDefault="00CF0E2D" w:rsidP="00A60D4B">
            <w:pPr>
              <w:pStyle w:val="InitTextL"/>
              <w:keepNext/>
              <w:keepLines/>
              <w:ind w:left="321" w:hanging="321"/>
            </w:pPr>
            <w:r w:rsidRPr="00882BE2">
              <w:t>Expenses</w:t>
            </w:r>
            <w:r>
              <w:t xml:space="preserve"> – Health</w:t>
            </w:r>
          </w:p>
        </w:tc>
        <w:tc>
          <w:tcPr>
            <w:tcW w:w="1179" w:type="dxa"/>
          </w:tcPr>
          <w:p w14:paraId="0C4757BE" w14:textId="77777777" w:rsidR="00CF0E2D" w:rsidRPr="00424DA4" w:rsidRDefault="00CF0E2D" w:rsidP="00A60D4B">
            <w:pPr>
              <w:pStyle w:val="InitFigR"/>
              <w:keepNext/>
              <w:keepLines/>
            </w:pPr>
            <w:r>
              <w:t>1,476</w:t>
            </w:r>
          </w:p>
        </w:tc>
        <w:tc>
          <w:tcPr>
            <w:tcW w:w="1041" w:type="dxa"/>
          </w:tcPr>
          <w:p w14:paraId="27FDCEEB" w14:textId="77777777" w:rsidR="00CF0E2D" w:rsidRPr="00424DA4" w:rsidRDefault="00CF0E2D" w:rsidP="00A60D4B">
            <w:pPr>
              <w:pStyle w:val="InitFigR"/>
              <w:keepNext/>
              <w:keepLines/>
            </w:pPr>
            <w:r w:rsidRPr="00E525EA">
              <w:t>0</w:t>
            </w:r>
          </w:p>
        </w:tc>
        <w:tc>
          <w:tcPr>
            <w:tcW w:w="1029" w:type="dxa"/>
          </w:tcPr>
          <w:p w14:paraId="4EF7DE5E" w14:textId="77777777" w:rsidR="00CF0E2D" w:rsidRPr="00424DA4" w:rsidRDefault="00CF0E2D" w:rsidP="00A60D4B">
            <w:pPr>
              <w:pStyle w:val="InitFigR"/>
              <w:keepNext/>
              <w:keepLines/>
            </w:pPr>
            <w:r w:rsidRPr="00E525EA">
              <w:t>0</w:t>
            </w:r>
          </w:p>
        </w:tc>
        <w:tc>
          <w:tcPr>
            <w:tcW w:w="1029" w:type="dxa"/>
          </w:tcPr>
          <w:p w14:paraId="161AA38D" w14:textId="77777777" w:rsidR="00CF0E2D" w:rsidRPr="00424DA4" w:rsidRDefault="00CF0E2D" w:rsidP="00A60D4B">
            <w:pPr>
              <w:pStyle w:val="InitFigR"/>
              <w:keepNext/>
              <w:keepLines/>
            </w:pPr>
            <w:r w:rsidRPr="00E525EA">
              <w:t>0</w:t>
            </w:r>
          </w:p>
        </w:tc>
        <w:tc>
          <w:tcPr>
            <w:tcW w:w="1029" w:type="dxa"/>
          </w:tcPr>
          <w:p w14:paraId="1701252D" w14:textId="77777777" w:rsidR="00CF0E2D" w:rsidRPr="00424DA4" w:rsidRDefault="00CF0E2D" w:rsidP="00A60D4B">
            <w:pPr>
              <w:pStyle w:val="InitFigBR"/>
              <w:keepNext/>
              <w:keepLines/>
            </w:pPr>
            <w:r w:rsidRPr="00E525EA">
              <w:t>1,476</w:t>
            </w:r>
          </w:p>
        </w:tc>
      </w:tr>
      <w:tr w:rsidR="00CF0E2D" w:rsidRPr="00750793" w14:paraId="61313B34" w14:textId="77777777" w:rsidTr="00A60D4B">
        <w:trPr>
          <w:cantSplit/>
          <w:jc w:val="center"/>
        </w:trPr>
        <w:tc>
          <w:tcPr>
            <w:tcW w:w="3652" w:type="dxa"/>
          </w:tcPr>
          <w:p w14:paraId="5A5B863E" w14:textId="77777777" w:rsidR="00CF0E2D" w:rsidRPr="00882BE2" w:rsidRDefault="00CF0E2D" w:rsidP="00A60D4B">
            <w:pPr>
              <w:pStyle w:val="InitTextL"/>
              <w:keepNext/>
              <w:keepLines/>
              <w:ind w:left="321" w:hanging="321"/>
            </w:pPr>
            <w:r>
              <w:t>Expense – Justice and Community Safety</w:t>
            </w:r>
          </w:p>
        </w:tc>
        <w:tc>
          <w:tcPr>
            <w:tcW w:w="1179" w:type="dxa"/>
          </w:tcPr>
          <w:p w14:paraId="0439D30A" w14:textId="77777777" w:rsidR="00CF0E2D" w:rsidRDefault="00CF0E2D" w:rsidP="00A60D4B">
            <w:pPr>
              <w:pStyle w:val="InitFigR"/>
              <w:keepNext/>
              <w:keepLines/>
            </w:pPr>
            <w:r>
              <w:t>838</w:t>
            </w:r>
          </w:p>
        </w:tc>
        <w:tc>
          <w:tcPr>
            <w:tcW w:w="1041" w:type="dxa"/>
          </w:tcPr>
          <w:p w14:paraId="3961EA4B" w14:textId="77777777" w:rsidR="00CF0E2D" w:rsidRPr="00E525EA" w:rsidRDefault="00CF0E2D" w:rsidP="00A60D4B">
            <w:pPr>
              <w:pStyle w:val="InitFigR"/>
              <w:keepNext/>
              <w:keepLines/>
            </w:pPr>
            <w:r>
              <w:t>0</w:t>
            </w:r>
          </w:p>
        </w:tc>
        <w:tc>
          <w:tcPr>
            <w:tcW w:w="1029" w:type="dxa"/>
          </w:tcPr>
          <w:p w14:paraId="7C6619E8" w14:textId="77777777" w:rsidR="00CF0E2D" w:rsidRPr="00E525EA" w:rsidRDefault="00CF0E2D" w:rsidP="00A60D4B">
            <w:pPr>
              <w:pStyle w:val="InitFigR"/>
              <w:keepNext/>
              <w:keepLines/>
            </w:pPr>
            <w:r>
              <w:t>0</w:t>
            </w:r>
          </w:p>
        </w:tc>
        <w:tc>
          <w:tcPr>
            <w:tcW w:w="1029" w:type="dxa"/>
          </w:tcPr>
          <w:p w14:paraId="73FCD13D" w14:textId="77777777" w:rsidR="00CF0E2D" w:rsidRPr="00E525EA" w:rsidRDefault="00CF0E2D" w:rsidP="00A60D4B">
            <w:pPr>
              <w:pStyle w:val="InitFigR"/>
              <w:keepNext/>
              <w:keepLines/>
            </w:pPr>
            <w:r>
              <w:t>0</w:t>
            </w:r>
          </w:p>
        </w:tc>
        <w:tc>
          <w:tcPr>
            <w:tcW w:w="1029" w:type="dxa"/>
          </w:tcPr>
          <w:p w14:paraId="44F40A05" w14:textId="77777777" w:rsidR="00CF0E2D" w:rsidRPr="00E525EA" w:rsidRDefault="00CF0E2D" w:rsidP="00A60D4B">
            <w:pPr>
              <w:pStyle w:val="InitFigBR"/>
              <w:keepNext/>
              <w:keepLines/>
            </w:pPr>
            <w:r>
              <w:t>838</w:t>
            </w:r>
          </w:p>
        </w:tc>
      </w:tr>
      <w:tr w:rsidR="00CF0E2D" w:rsidRPr="00750793" w14:paraId="7E04DCA5" w14:textId="77777777" w:rsidTr="00A60D4B">
        <w:trPr>
          <w:cantSplit/>
          <w:jc w:val="center"/>
        </w:trPr>
        <w:tc>
          <w:tcPr>
            <w:tcW w:w="3652" w:type="dxa"/>
          </w:tcPr>
          <w:p w14:paraId="38B92E7B" w14:textId="77777777" w:rsidR="00CF0E2D" w:rsidRDefault="00CF0E2D" w:rsidP="00A60D4B">
            <w:pPr>
              <w:pStyle w:val="InitTextL"/>
              <w:keepNext/>
              <w:keepLines/>
              <w:ind w:left="321" w:hanging="321"/>
            </w:pPr>
            <w:r>
              <w:t>Offset – Health Funding Envelope</w:t>
            </w:r>
          </w:p>
        </w:tc>
        <w:tc>
          <w:tcPr>
            <w:tcW w:w="1179" w:type="dxa"/>
          </w:tcPr>
          <w:p w14:paraId="3338F070" w14:textId="77777777" w:rsidR="00CF0E2D" w:rsidRPr="00424DA4" w:rsidRDefault="00CF0E2D" w:rsidP="00A60D4B">
            <w:pPr>
              <w:pStyle w:val="InitFigR"/>
              <w:keepNext/>
              <w:keepLines/>
            </w:pPr>
            <w:r>
              <w:t>-</w:t>
            </w:r>
            <w:r w:rsidRPr="00E525EA">
              <w:t>1,476</w:t>
            </w:r>
          </w:p>
        </w:tc>
        <w:tc>
          <w:tcPr>
            <w:tcW w:w="1041" w:type="dxa"/>
          </w:tcPr>
          <w:p w14:paraId="2A6CC4AB" w14:textId="77777777" w:rsidR="00CF0E2D" w:rsidRPr="00424DA4" w:rsidRDefault="00CF0E2D" w:rsidP="00A60D4B">
            <w:pPr>
              <w:pStyle w:val="InitFigR"/>
              <w:keepNext/>
              <w:keepLines/>
            </w:pPr>
            <w:r w:rsidRPr="00E525EA">
              <w:t>0</w:t>
            </w:r>
          </w:p>
        </w:tc>
        <w:tc>
          <w:tcPr>
            <w:tcW w:w="1029" w:type="dxa"/>
          </w:tcPr>
          <w:p w14:paraId="29C18EA4" w14:textId="77777777" w:rsidR="00CF0E2D" w:rsidRPr="00424DA4" w:rsidRDefault="00CF0E2D" w:rsidP="00A60D4B">
            <w:pPr>
              <w:pStyle w:val="InitFigR"/>
              <w:keepNext/>
              <w:keepLines/>
            </w:pPr>
            <w:r w:rsidRPr="00E525EA">
              <w:t>0</w:t>
            </w:r>
          </w:p>
        </w:tc>
        <w:tc>
          <w:tcPr>
            <w:tcW w:w="1029" w:type="dxa"/>
          </w:tcPr>
          <w:p w14:paraId="0189FE1A" w14:textId="77777777" w:rsidR="00CF0E2D" w:rsidRPr="00424DA4" w:rsidRDefault="00CF0E2D" w:rsidP="00A60D4B">
            <w:pPr>
              <w:pStyle w:val="InitFigR"/>
              <w:keepNext/>
              <w:keepLines/>
            </w:pPr>
            <w:r w:rsidRPr="00E525EA">
              <w:t>0</w:t>
            </w:r>
          </w:p>
        </w:tc>
        <w:tc>
          <w:tcPr>
            <w:tcW w:w="1029" w:type="dxa"/>
          </w:tcPr>
          <w:p w14:paraId="25E5DABA" w14:textId="77777777" w:rsidR="00CF0E2D" w:rsidRPr="00424DA4" w:rsidRDefault="00CF0E2D" w:rsidP="00A60D4B">
            <w:pPr>
              <w:pStyle w:val="InitFigBR"/>
              <w:keepNext/>
              <w:keepLines/>
            </w:pPr>
            <w:r>
              <w:t>-</w:t>
            </w:r>
            <w:r w:rsidRPr="00E525EA">
              <w:t>1,476</w:t>
            </w:r>
          </w:p>
        </w:tc>
      </w:tr>
      <w:tr w:rsidR="00CF0E2D" w:rsidRPr="00750793" w14:paraId="30F76E3D" w14:textId="77777777" w:rsidTr="00A60D4B">
        <w:trPr>
          <w:cantSplit/>
          <w:trHeight w:val="107"/>
          <w:jc w:val="center"/>
        </w:trPr>
        <w:tc>
          <w:tcPr>
            <w:tcW w:w="3652" w:type="dxa"/>
            <w:tcBorders>
              <w:top w:val="single" w:sz="4" w:space="0" w:color="auto"/>
              <w:bottom w:val="single" w:sz="4" w:space="0" w:color="auto"/>
            </w:tcBorders>
          </w:tcPr>
          <w:p w14:paraId="1B91B1CC" w14:textId="5F5010E1" w:rsidR="00CF0E2D" w:rsidRPr="00DA5279" w:rsidRDefault="00F57411" w:rsidP="00A60D4B">
            <w:pPr>
              <w:pStyle w:val="InitFigLBold"/>
              <w:keepNext/>
              <w:keepLines/>
              <w:ind w:left="321" w:hanging="321"/>
            </w:pPr>
            <w:r>
              <w:t>Net cost of services</w:t>
            </w:r>
          </w:p>
        </w:tc>
        <w:tc>
          <w:tcPr>
            <w:tcW w:w="1179" w:type="dxa"/>
            <w:tcBorders>
              <w:top w:val="single" w:sz="4" w:space="0" w:color="auto"/>
              <w:bottom w:val="single" w:sz="4" w:space="0" w:color="auto"/>
            </w:tcBorders>
          </w:tcPr>
          <w:p w14:paraId="3F5EA71E" w14:textId="77777777" w:rsidR="00CF0E2D" w:rsidRDefault="00CF0E2D" w:rsidP="00A60D4B">
            <w:pPr>
              <w:pStyle w:val="InitFigRBold"/>
              <w:keepNext/>
              <w:keepLines/>
            </w:pPr>
            <w:r>
              <w:t>838</w:t>
            </w:r>
          </w:p>
        </w:tc>
        <w:tc>
          <w:tcPr>
            <w:tcW w:w="1041" w:type="dxa"/>
            <w:tcBorders>
              <w:top w:val="single" w:sz="4" w:space="0" w:color="auto"/>
              <w:bottom w:val="single" w:sz="4" w:space="0" w:color="auto"/>
            </w:tcBorders>
          </w:tcPr>
          <w:p w14:paraId="2D3DF2BB" w14:textId="77777777" w:rsidR="00CF0E2D" w:rsidRDefault="00CF0E2D" w:rsidP="00A60D4B">
            <w:pPr>
              <w:pStyle w:val="InitFigRBold"/>
              <w:keepNext/>
              <w:keepLines/>
            </w:pPr>
            <w:r>
              <w:t>0</w:t>
            </w:r>
          </w:p>
        </w:tc>
        <w:tc>
          <w:tcPr>
            <w:tcW w:w="1029" w:type="dxa"/>
            <w:tcBorders>
              <w:top w:val="single" w:sz="4" w:space="0" w:color="auto"/>
              <w:bottom w:val="single" w:sz="4" w:space="0" w:color="auto"/>
            </w:tcBorders>
          </w:tcPr>
          <w:p w14:paraId="3C95B8B1" w14:textId="77777777" w:rsidR="00CF0E2D" w:rsidRDefault="00CF0E2D" w:rsidP="00A60D4B">
            <w:pPr>
              <w:pStyle w:val="InitFigRBold"/>
              <w:keepNext/>
              <w:keepLines/>
            </w:pPr>
            <w:r>
              <w:t>0</w:t>
            </w:r>
          </w:p>
        </w:tc>
        <w:tc>
          <w:tcPr>
            <w:tcW w:w="1029" w:type="dxa"/>
            <w:tcBorders>
              <w:top w:val="single" w:sz="4" w:space="0" w:color="auto"/>
              <w:bottom w:val="single" w:sz="4" w:space="0" w:color="auto"/>
            </w:tcBorders>
          </w:tcPr>
          <w:p w14:paraId="56DB2016" w14:textId="77777777" w:rsidR="00CF0E2D" w:rsidRDefault="00CF0E2D" w:rsidP="00A60D4B">
            <w:pPr>
              <w:pStyle w:val="InitFigRBold"/>
              <w:keepNext/>
              <w:keepLines/>
            </w:pPr>
            <w:r>
              <w:t>0</w:t>
            </w:r>
          </w:p>
        </w:tc>
        <w:tc>
          <w:tcPr>
            <w:tcW w:w="1029" w:type="dxa"/>
            <w:tcBorders>
              <w:top w:val="single" w:sz="4" w:space="0" w:color="auto"/>
              <w:bottom w:val="single" w:sz="4" w:space="0" w:color="auto"/>
            </w:tcBorders>
          </w:tcPr>
          <w:p w14:paraId="2F6AD844" w14:textId="77777777" w:rsidR="00CF0E2D" w:rsidRPr="00DA5279" w:rsidRDefault="00CF0E2D" w:rsidP="00A60D4B">
            <w:pPr>
              <w:pStyle w:val="InitFigRBold"/>
              <w:keepNext/>
              <w:keepLines/>
              <w:rPr>
                <w:bCs/>
              </w:rPr>
            </w:pPr>
            <w:r>
              <w:rPr>
                <w:bCs/>
              </w:rPr>
              <w:t>838</w:t>
            </w:r>
          </w:p>
        </w:tc>
      </w:tr>
    </w:tbl>
    <w:p w14:paraId="1F4CE338" w14:textId="77777777" w:rsidR="00CF0E2D" w:rsidRDefault="00CF0E2D" w:rsidP="00A60D4B">
      <w:pPr>
        <w:pStyle w:val="Bbodytext"/>
        <w:keepNext/>
        <w:keepLines/>
      </w:pPr>
      <w:r>
        <w:t>The Government will</w:t>
      </w:r>
      <w:r w:rsidRPr="004268F9">
        <w:t xml:space="preserve"> </w:t>
      </w:r>
      <w:r>
        <w:t>provide funding to support the continuation of Winnunga’s holistic model of health service delivery to Aboriginal and Torres Strait Islander detainees at the Alexander Maconochie Centre (AMC).</w:t>
      </w:r>
    </w:p>
    <w:p w14:paraId="63B592A4" w14:textId="77777777" w:rsidR="00CF0E2D" w:rsidRDefault="00CF0E2D" w:rsidP="00A60D4B">
      <w:pPr>
        <w:pStyle w:val="Bbodytext"/>
      </w:pPr>
      <w:r>
        <w:t xml:space="preserve">This initiative builds on Government actions in response to the </w:t>
      </w:r>
      <w:r w:rsidRPr="00EA50AB">
        <w:rPr>
          <w:i/>
          <w:iCs/>
        </w:rPr>
        <w:t>2016 Moss Review</w:t>
      </w:r>
      <w:r>
        <w:t xml:space="preserve">, including the initial funding provided in 2017-18 to integrate Winnunga’s model of care at the AMC. </w:t>
      </w:r>
    </w:p>
    <w:p w14:paraId="47C7795D" w14:textId="77777777" w:rsidR="00CF0E2D" w:rsidRDefault="00CF0E2D" w:rsidP="00A60D4B">
      <w:pPr>
        <w:pStyle w:val="Bbodytext"/>
      </w:pPr>
      <w:r>
        <w:t>This initiative</w:t>
      </w:r>
      <w:r w:rsidRPr="006A6578">
        <w:t xml:space="preserve"> contributes to the wellbeing domain</w:t>
      </w:r>
      <w:r>
        <w:t>s</w:t>
      </w:r>
      <w:r w:rsidRPr="006A6578">
        <w:t xml:space="preserve"> of </w:t>
      </w:r>
      <w:r>
        <w:t>Health and Access and connectivity.</w:t>
      </w:r>
    </w:p>
    <w:p w14:paraId="4A87D22E" w14:textId="77777777" w:rsidR="00CF0E2D" w:rsidRDefault="00CF0E2D" w:rsidP="00A60D4B">
      <w:pPr>
        <w:pStyle w:val="Bbodytext"/>
      </w:pPr>
    </w:p>
    <w:p w14:paraId="5797100B" w14:textId="77777777" w:rsidR="00CF0E2D" w:rsidRPr="001952D1" w:rsidRDefault="00CF0E2D" w:rsidP="00A60D4B">
      <w:pPr>
        <w:pStyle w:val="Heading4"/>
        <w:rPr>
          <w:rFonts w:eastAsia="Times New Roman"/>
        </w:rPr>
      </w:pPr>
      <w:r w:rsidRPr="001952D1">
        <w:rPr>
          <w:rFonts w:eastAsia="Times New Roman"/>
        </w:rPr>
        <w:t xml:space="preserve">More </w:t>
      </w:r>
      <w:r>
        <w:rPr>
          <w:rFonts w:eastAsia="Times New Roman"/>
        </w:rPr>
        <w:t>a</w:t>
      </w:r>
      <w:r w:rsidRPr="001952D1">
        <w:rPr>
          <w:rFonts w:eastAsia="Times New Roman"/>
        </w:rPr>
        <w:t xml:space="preserve">lcohol and other drug services – Fixed-site </w:t>
      </w:r>
      <w:r w:rsidRPr="00DE70F4">
        <w:rPr>
          <w:rFonts w:eastAsia="Times New Roman"/>
        </w:rPr>
        <w:t>p</w:t>
      </w:r>
      <w:r w:rsidRPr="001952D1">
        <w:rPr>
          <w:rFonts w:eastAsia="Times New Roman"/>
        </w:rPr>
        <w:t xml:space="preserve">ill </w:t>
      </w:r>
      <w:r w:rsidRPr="00DE70F4">
        <w:rPr>
          <w:rFonts w:eastAsia="Times New Roman"/>
        </w:rPr>
        <w:t>t</w:t>
      </w:r>
      <w:r w:rsidRPr="001952D1">
        <w:rPr>
          <w:rFonts w:eastAsia="Times New Roman"/>
        </w:rPr>
        <w:t xml:space="preserve">esting </w:t>
      </w:r>
      <w:r w:rsidRPr="00DE70F4">
        <w:rPr>
          <w:rFonts w:eastAsia="Times New Roman"/>
        </w:rPr>
        <w:t>p</w:t>
      </w:r>
      <w:r w:rsidRPr="001952D1">
        <w:rPr>
          <w:rFonts w:eastAsia="Times New Roman"/>
        </w:rPr>
        <w:t xml:space="preserve">ilot </w:t>
      </w:r>
      <w:r>
        <w:rPr>
          <w:b w:val="0"/>
          <w:noProof/>
          <w:color w:val="999789"/>
          <w:sz w:val="32"/>
          <w:szCs w:val="24"/>
        </w:rPr>
        <w:drawing>
          <wp:anchor distT="0" distB="0" distL="114300" distR="114300" simplePos="0" relativeHeight="251888640" behindDoc="0" locked="1" layoutInCell="1" allowOverlap="1" wp14:anchorId="15E567F0" wp14:editId="1CD1215B">
            <wp:simplePos x="0" y="0"/>
            <wp:positionH relativeFrom="margin">
              <wp:posOffset>4725670</wp:posOffset>
            </wp:positionH>
            <wp:positionV relativeFrom="paragraph">
              <wp:posOffset>91440</wp:posOffset>
            </wp:positionV>
            <wp:extent cx="993140" cy="503555"/>
            <wp:effectExtent l="0" t="0" r="0" b="0"/>
            <wp:wrapSquare wrapText="bothSides"/>
            <wp:docPr id="183" name="Picture 183"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56195B45" w14:textId="77777777" w:rsidTr="00A60D4B">
        <w:trPr>
          <w:cantSplit/>
          <w:jc w:val="center"/>
        </w:trPr>
        <w:tc>
          <w:tcPr>
            <w:tcW w:w="3652" w:type="dxa"/>
            <w:tcBorders>
              <w:top w:val="single" w:sz="4" w:space="0" w:color="auto"/>
              <w:bottom w:val="single" w:sz="4" w:space="0" w:color="auto"/>
            </w:tcBorders>
          </w:tcPr>
          <w:p w14:paraId="594F4DF6"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526EB9A5" w14:textId="77777777" w:rsidR="00CF0E2D" w:rsidRPr="00987EB8" w:rsidRDefault="00CF0E2D" w:rsidP="00A60D4B">
            <w:pPr>
              <w:pStyle w:val="InitFigR"/>
              <w:rPr>
                <w:b/>
                <w:bCs/>
              </w:rPr>
            </w:pPr>
            <w:r w:rsidRPr="00987EB8">
              <w:rPr>
                <w:b/>
                <w:bCs/>
              </w:rPr>
              <w:t>2021-22</w:t>
            </w:r>
          </w:p>
          <w:p w14:paraId="7CD4E2A1" w14:textId="77777777" w:rsidR="00CF0E2D" w:rsidRPr="00987EB8" w:rsidRDefault="00CF0E2D" w:rsidP="00A60D4B">
            <w:pPr>
              <w:pStyle w:val="InitFigR"/>
              <w:rPr>
                <w:b/>
                <w:bCs/>
              </w:rPr>
            </w:pPr>
            <w:r w:rsidRPr="00987EB8">
              <w:rPr>
                <w:b/>
                <w:bCs/>
              </w:rPr>
              <w:t>$’000</w:t>
            </w:r>
          </w:p>
        </w:tc>
        <w:tc>
          <w:tcPr>
            <w:tcW w:w="1041" w:type="dxa"/>
            <w:tcBorders>
              <w:top w:val="single" w:sz="4" w:space="0" w:color="auto"/>
              <w:bottom w:val="single" w:sz="4" w:space="0" w:color="auto"/>
            </w:tcBorders>
          </w:tcPr>
          <w:p w14:paraId="0E0725B7" w14:textId="77777777" w:rsidR="00CF0E2D" w:rsidRPr="00987EB8" w:rsidRDefault="00CF0E2D" w:rsidP="00A60D4B">
            <w:pPr>
              <w:pStyle w:val="InitFigR"/>
              <w:rPr>
                <w:b/>
                <w:bCs/>
              </w:rPr>
            </w:pPr>
            <w:r w:rsidRPr="00987EB8">
              <w:rPr>
                <w:b/>
                <w:bCs/>
              </w:rPr>
              <w:t>2022-23</w:t>
            </w:r>
          </w:p>
          <w:p w14:paraId="433E8E42"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51E45D55" w14:textId="77777777" w:rsidR="00CF0E2D" w:rsidRPr="00987EB8" w:rsidRDefault="00CF0E2D" w:rsidP="00A60D4B">
            <w:pPr>
              <w:pStyle w:val="InitFigR"/>
              <w:rPr>
                <w:b/>
                <w:bCs/>
              </w:rPr>
            </w:pPr>
            <w:r w:rsidRPr="00987EB8">
              <w:rPr>
                <w:b/>
                <w:bCs/>
              </w:rPr>
              <w:t>2023-24</w:t>
            </w:r>
          </w:p>
          <w:p w14:paraId="40DD5A2C"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06D93117" w14:textId="77777777" w:rsidR="00CF0E2D" w:rsidRPr="00987EB8" w:rsidRDefault="00CF0E2D" w:rsidP="00A60D4B">
            <w:pPr>
              <w:pStyle w:val="InitFigR"/>
              <w:rPr>
                <w:b/>
                <w:bCs/>
              </w:rPr>
            </w:pPr>
            <w:r w:rsidRPr="00987EB8">
              <w:rPr>
                <w:b/>
                <w:bCs/>
              </w:rPr>
              <w:t>2024-25</w:t>
            </w:r>
          </w:p>
          <w:p w14:paraId="553CF06F"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1DE0AB31" w14:textId="77777777" w:rsidR="00CF0E2D" w:rsidRPr="004E341E" w:rsidRDefault="00CF0E2D" w:rsidP="00A60D4B">
            <w:pPr>
              <w:pStyle w:val="InitFigRBold"/>
            </w:pPr>
            <w:r w:rsidRPr="004E341E">
              <w:t>Total</w:t>
            </w:r>
          </w:p>
          <w:p w14:paraId="4F143A9C" w14:textId="77777777" w:rsidR="00CF0E2D" w:rsidRPr="004E341E" w:rsidRDefault="00CF0E2D" w:rsidP="00A60D4B">
            <w:pPr>
              <w:pStyle w:val="InitFigBR"/>
            </w:pPr>
            <w:r w:rsidRPr="004E341E">
              <w:t>$’000</w:t>
            </w:r>
          </w:p>
        </w:tc>
      </w:tr>
      <w:tr w:rsidR="00CF0E2D" w:rsidRPr="00750793" w14:paraId="382FF301" w14:textId="77777777" w:rsidTr="00A60D4B">
        <w:trPr>
          <w:cantSplit/>
          <w:jc w:val="center"/>
        </w:trPr>
        <w:tc>
          <w:tcPr>
            <w:tcW w:w="3652" w:type="dxa"/>
          </w:tcPr>
          <w:p w14:paraId="25CF55C9" w14:textId="77777777" w:rsidR="00CF0E2D" w:rsidRPr="00F13FAB" w:rsidRDefault="00CF0E2D" w:rsidP="00A60D4B">
            <w:pPr>
              <w:pStyle w:val="InitTextL"/>
              <w:ind w:left="321" w:hanging="321"/>
            </w:pPr>
            <w:r w:rsidRPr="00882BE2">
              <w:t>Expenses</w:t>
            </w:r>
          </w:p>
        </w:tc>
        <w:tc>
          <w:tcPr>
            <w:tcW w:w="1179" w:type="dxa"/>
          </w:tcPr>
          <w:p w14:paraId="1E1AD331" w14:textId="77777777" w:rsidR="00CF0E2D" w:rsidRPr="00424DA4" w:rsidRDefault="00CF0E2D" w:rsidP="00A60D4B">
            <w:pPr>
              <w:pStyle w:val="InitFigR"/>
            </w:pPr>
            <w:r w:rsidRPr="00F764DF">
              <w:t>260</w:t>
            </w:r>
          </w:p>
        </w:tc>
        <w:tc>
          <w:tcPr>
            <w:tcW w:w="1041" w:type="dxa"/>
          </w:tcPr>
          <w:p w14:paraId="0624CA1C" w14:textId="77777777" w:rsidR="00CF0E2D" w:rsidRPr="00424DA4" w:rsidRDefault="00CF0E2D" w:rsidP="00A60D4B">
            <w:pPr>
              <w:pStyle w:val="InitFigR"/>
            </w:pPr>
            <w:r w:rsidRPr="00F764DF">
              <w:t>0</w:t>
            </w:r>
          </w:p>
        </w:tc>
        <w:tc>
          <w:tcPr>
            <w:tcW w:w="1029" w:type="dxa"/>
          </w:tcPr>
          <w:p w14:paraId="4C6A3657" w14:textId="77777777" w:rsidR="00CF0E2D" w:rsidRPr="00424DA4" w:rsidRDefault="00CF0E2D" w:rsidP="00A60D4B">
            <w:pPr>
              <w:pStyle w:val="InitFigR"/>
            </w:pPr>
            <w:r w:rsidRPr="00F764DF">
              <w:t>0</w:t>
            </w:r>
          </w:p>
        </w:tc>
        <w:tc>
          <w:tcPr>
            <w:tcW w:w="1029" w:type="dxa"/>
          </w:tcPr>
          <w:p w14:paraId="21B37ADA" w14:textId="77777777" w:rsidR="00CF0E2D" w:rsidRPr="00424DA4" w:rsidRDefault="00CF0E2D" w:rsidP="00A60D4B">
            <w:pPr>
              <w:pStyle w:val="InitFigR"/>
            </w:pPr>
            <w:r w:rsidRPr="00F764DF">
              <w:t>0</w:t>
            </w:r>
          </w:p>
        </w:tc>
        <w:tc>
          <w:tcPr>
            <w:tcW w:w="1029" w:type="dxa"/>
          </w:tcPr>
          <w:p w14:paraId="7D7CCF77" w14:textId="77777777" w:rsidR="00CF0E2D" w:rsidRPr="00424DA4" w:rsidRDefault="00CF0E2D" w:rsidP="00A60D4B">
            <w:pPr>
              <w:pStyle w:val="InitFigBR"/>
            </w:pPr>
            <w:r w:rsidRPr="00F764DF">
              <w:t>260</w:t>
            </w:r>
          </w:p>
        </w:tc>
      </w:tr>
      <w:tr w:rsidR="00CF0E2D" w:rsidRPr="00750793" w14:paraId="668CAFA8" w14:textId="77777777" w:rsidTr="00A60D4B">
        <w:trPr>
          <w:cantSplit/>
          <w:jc w:val="center"/>
        </w:trPr>
        <w:tc>
          <w:tcPr>
            <w:tcW w:w="3652" w:type="dxa"/>
          </w:tcPr>
          <w:p w14:paraId="228A410F" w14:textId="77777777" w:rsidR="00CF0E2D" w:rsidRDefault="00CF0E2D" w:rsidP="00A60D4B">
            <w:pPr>
              <w:pStyle w:val="InitTextL"/>
              <w:ind w:left="321" w:hanging="321"/>
            </w:pPr>
            <w:r>
              <w:t>Offset – Health Funding Envelope</w:t>
            </w:r>
          </w:p>
        </w:tc>
        <w:tc>
          <w:tcPr>
            <w:tcW w:w="1179" w:type="dxa"/>
          </w:tcPr>
          <w:p w14:paraId="2CEEB22B" w14:textId="77777777" w:rsidR="00CF0E2D" w:rsidRPr="00424DA4" w:rsidRDefault="00CF0E2D" w:rsidP="00A60D4B">
            <w:pPr>
              <w:pStyle w:val="InitFigR"/>
            </w:pPr>
            <w:r>
              <w:t>-</w:t>
            </w:r>
            <w:r w:rsidRPr="00F764DF">
              <w:t>260</w:t>
            </w:r>
          </w:p>
        </w:tc>
        <w:tc>
          <w:tcPr>
            <w:tcW w:w="1041" w:type="dxa"/>
          </w:tcPr>
          <w:p w14:paraId="5C35EDAB" w14:textId="77777777" w:rsidR="00CF0E2D" w:rsidRPr="00424DA4" w:rsidRDefault="00CF0E2D" w:rsidP="00A60D4B">
            <w:pPr>
              <w:pStyle w:val="InitFigR"/>
            </w:pPr>
            <w:r w:rsidRPr="00F764DF">
              <w:t>0</w:t>
            </w:r>
          </w:p>
        </w:tc>
        <w:tc>
          <w:tcPr>
            <w:tcW w:w="1029" w:type="dxa"/>
          </w:tcPr>
          <w:p w14:paraId="1BEB8EFE" w14:textId="77777777" w:rsidR="00CF0E2D" w:rsidRPr="00424DA4" w:rsidRDefault="00CF0E2D" w:rsidP="00A60D4B">
            <w:pPr>
              <w:pStyle w:val="InitFigR"/>
            </w:pPr>
            <w:r w:rsidRPr="00F764DF">
              <w:t>0</w:t>
            </w:r>
          </w:p>
        </w:tc>
        <w:tc>
          <w:tcPr>
            <w:tcW w:w="1029" w:type="dxa"/>
          </w:tcPr>
          <w:p w14:paraId="36D95FE5" w14:textId="77777777" w:rsidR="00CF0E2D" w:rsidRPr="00424DA4" w:rsidRDefault="00CF0E2D" w:rsidP="00A60D4B">
            <w:pPr>
              <w:pStyle w:val="InitFigR"/>
            </w:pPr>
            <w:r w:rsidRPr="00F764DF">
              <w:t>0</w:t>
            </w:r>
          </w:p>
        </w:tc>
        <w:tc>
          <w:tcPr>
            <w:tcW w:w="1029" w:type="dxa"/>
          </w:tcPr>
          <w:p w14:paraId="4C40A1D1" w14:textId="77777777" w:rsidR="00CF0E2D" w:rsidRPr="00424DA4" w:rsidRDefault="00CF0E2D" w:rsidP="00A60D4B">
            <w:pPr>
              <w:pStyle w:val="InitFigBR"/>
            </w:pPr>
            <w:r>
              <w:t>-</w:t>
            </w:r>
            <w:r w:rsidRPr="00F764DF">
              <w:t>260</w:t>
            </w:r>
          </w:p>
        </w:tc>
      </w:tr>
      <w:tr w:rsidR="00CF0E2D" w:rsidRPr="00750793" w14:paraId="6B30A668" w14:textId="77777777" w:rsidTr="00A60D4B">
        <w:trPr>
          <w:cantSplit/>
          <w:trHeight w:val="107"/>
          <w:jc w:val="center"/>
        </w:trPr>
        <w:tc>
          <w:tcPr>
            <w:tcW w:w="3652" w:type="dxa"/>
            <w:tcBorders>
              <w:top w:val="single" w:sz="4" w:space="0" w:color="auto"/>
              <w:bottom w:val="single" w:sz="4" w:space="0" w:color="auto"/>
            </w:tcBorders>
          </w:tcPr>
          <w:p w14:paraId="3E3BACFA" w14:textId="48FABD03" w:rsidR="00CF0E2D" w:rsidRPr="00DA5279"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1267D0B5" w14:textId="77777777" w:rsidR="00CF0E2D" w:rsidRDefault="00CF0E2D" w:rsidP="00A60D4B">
            <w:pPr>
              <w:pStyle w:val="InitFigRBold"/>
            </w:pPr>
            <w:r>
              <w:t>0</w:t>
            </w:r>
          </w:p>
        </w:tc>
        <w:tc>
          <w:tcPr>
            <w:tcW w:w="1041" w:type="dxa"/>
            <w:tcBorders>
              <w:top w:val="single" w:sz="4" w:space="0" w:color="auto"/>
              <w:bottom w:val="single" w:sz="4" w:space="0" w:color="auto"/>
            </w:tcBorders>
          </w:tcPr>
          <w:p w14:paraId="33BE7A15" w14:textId="77777777" w:rsidR="00CF0E2D" w:rsidRDefault="00CF0E2D" w:rsidP="00A60D4B">
            <w:pPr>
              <w:pStyle w:val="InitFigRBold"/>
            </w:pPr>
            <w:r>
              <w:t>0</w:t>
            </w:r>
          </w:p>
        </w:tc>
        <w:tc>
          <w:tcPr>
            <w:tcW w:w="1029" w:type="dxa"/>
            <w:tcBorders>
              <w:top w:val="single" w:sz="4" w:space="0" w:color="auto"/>
              <w:bottom w:val="single" w:sz="4" w:space="0" w:color="auto"/>
            </w:tcBorders>
          </w:tcPr>
          <w:p w14:paraId="2D5E58AA" w14:textId="77777777" w:rsidR="00CF0E2D" w:rsidRDefault="00CF0E2D" w:rsidP="00A60D4B">
            <w:pPr>
              <w:pStyle w:val="InitFigRBold"/>
            </w:pPr>
            <w:r>
              <w:t>0</w:t>
            </w:r>
          </w:p>
        </w:tc>
        <w:tc>
          <w:tcPr>
            <w:tcW w:w="1029" w:type="dxa"/>
            <w:tcBorders>
              <w:top w:val="single" w:sz="4" w:space="0" w:color="auto"/>
              <w:bottom w:val="single" w:sz="4" w:space="0" w:color="auto"/>
            </w:tcBorders>
          </w:tcPr>
          <w:p w14:paraId="177C2DDA" w14:textId="77777777" w:rsidR="00CF0E2D" w:rsidRDefault="00CF0E2D" w:rsidP="00A60D4B">
            <w:pPr>
              <w:pStyle w:val="InitFigRBold"/>
            </w:pPr>
            <w:r>
              <w:t>0</w:t>
            </w:r>
          </w:p>
        </w:tc>
        <w:tc>
          <w:tcPr>
            <w:tcW w:w="1029" w:type="dxa"/>
            <w:tcBorders>
              <w:top w:val="single" w:sz="4" w:space="0" w:color="auto"/>
              <w:bottom w:val="single" w:sz="4" w:space="0" w:color="auto"/>
            </w:tcBorders>
          </w:tcPr>
          <w:p w14:paraId="11F7D199" w14:textId="77777777" w:rsidR="00CF0E2D" w:rsidRPr="00DA5279" w:rsidRDefault="00CF0E2D" w:rsidP="00A60D4B">
            <w:pPr>
              <w:pStyle w:val="InitFigRBold"/>
              <w:rPr>
                <w:bCs/>
              </w:rPr>
            </w:pPr>
            <w:r w:rsidRPr="00DA5279">
              <w:rPr>
                <w:bCs/>
              </w:rPr>
              <w:t>0</w:t>
            </w:r>
          </w:p>
        </w:tc>
      </w:tr>
    </w:tbl>
    <w:p w14:paraId="446CDD17" w14:textId="77777777" w:rsidR="00CF0E2D" w:rsidRPr="001952D1" w:rsidRDefault="00CF0E2D" w:rsidP="00A60D4B">
      <w:pPr>
        <w:pStyle w:val="Bbodytext"/>
        <w:rPr>
          <w:rFonts w:ascii="Calibri" w:eastAsia="Times New Roman" w:hAnsi="Calibri" w:cs="Times New Roman"/>
          <w:szCs w:val="20"/>
        </w:rPr>
      </w:pPr>
      <w:r w:rsidRPr="001952D1">
        <w:t>The Government will support a six</w:t>
      </w:r>
      <w:r>
        <w:t>-</w:t>
      </w:r>
      <w:r w:rsidRPr="001952D1">
        <w:t>month pilot for a fixed-site pill testing</w:t>
      </w:r>
      <w:r w:rsidRPr="001952D1">
        <w:rPr>
          <w:rFonts w:ascii="Calibri" w:eastAsia="Times New Roman" w:hAnsi="Calibri" w:cs="Times New Roman"/>
          <w:szCs w:val="20"/>
        </w:rPr>
        <w:t xml:space="preserve"> service to determine service demand and community support for a future permanent fixed-site pill testing service in the Territory.</w:t>
      </w:r>
    </w:p>
    <w:p w14:paraId="1F6A9832" w14:textId="77777777" w:rsidR="00CF0E2D" w:rsidRDefault="00CF0E2D" w:rsidP="00A60D4B">
      <w:pPr>
        <w:pStyle w:val="Bbodytext"/>
        <w:rPr>
          <w:rFonts w:ascii="Calibri" w:eastAsia="Times New Roman" w:hAnsi="Calibri" w:cs="Times New Roman"/>
          <w:szCs w:val="20"/>
        </w:rPr>
      </w:pPr>
      <w:r w:rsidRPr="001952D1">
        <w:lastRenderedPageBreak/>
        <w:t>This initiative co</w:t>
      </w:r>
      <w:r w:rsidRPr="001952D1">
        <w:rPr>
          <w:rFonts w:ascii="Calibri" w:eastAsia="Times New Roman" w:hAnsi="Calibri" w:cs="Times New Roman"/>
          <w:szCs w:val="20"/>
        </w:rPr>
        <w:t>ntributes to the wellbeing domain of Health.</w:t>
      </w:r>
    </w:p>
    <w:p w14:paraId="575D6BA9" w14:textId="77777777" w:rsidR="00CF0E2D" w:rsidRPr="001952D1" w:rsidRDefault="00CF0E2D" w:rsidP="00A60D4B">
      <w:pPr>
        <w:pStyle w:val="Bbodytext"/>
        <w:rPr>
          <w:rFonts w:ascii="Calibri" w:eastAsia="Times New Roman" w:hAnsi="Calibri" w:cs="Times New Roman"/>
          <w:szCs w:val="20"/>
        </w:rPr>
      </w:pPr>
    </w:p>
    <w:p w14:paraId="35F826C2" w14:textId="77777777" w:rsidR="00CF0E2D" w:rsidRPr="001952D1" w:rsidRDefault="00CF0E2D" w:rsidP="00A60D4B">
      <w:pPr>
        <w:pStyle w:val="Heading4"/>
        <w:rPr>
          <w:rFonts w:eastAsia="Times New Roman"/>
        </w:rPr>
      </w:pPr>
      <w:r w:rsidRPr="001952D1">
        <w:rPr>
          <w:rFonts w:eastAsia="Times New Roman"/>
        </w:rPr>
        <w:t xml:space="preserve">More alcohol and other drug services – Reducing harm from addiction and overdoses </w:t>
      </w:r>
      <w:r>
        <w:rPr>
          <w:b w:val="0"/>
          <w:noProof/>
          <w:color w:val="999789"/>
          <w:sz w:val="32"/>
          <w:szCs w:val="24"/>
        </w:rPr>
        <w:drawing>
          <wp:anchor distT="0" distB="0" distL="114300" distR="114300" simplePos="0" relativeHeight="251889664" behindDoc="0" locked="1" layoutInCell="1" allowOverlap="1" wp14:anchorId="1DF95842" wp14:editId="01BB984C">
            <wp:simplePos x="0" y="0"/>
            <wp:positionH relativeFrom="margin">
              <wp:align>right</wp:align>
            </wp:positionH>
            <wp:positionV relativeFrom="paragraph">
              <wp:posOffset>84455</wp:posOffset>
            </wp:positionV>
            <wp:extent cx="993140" cy="503555"/>
            <wp:effectExtent l="0" t="0" r="0" b="0"/>
            <wp:wrapSquare wrapText="bothSides"/>
            <wp:docPr id="184" name="Picture 184"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3A2B1F35" w14:textId="77777777" w:rsidTr="00A60D4B">
        <w:trPr>
          <w:cantSplit/>
          <w:jc w:val="center"/>
        </w:trPr>
        <w:tc>
          <w:tcPr>
            <w:tcW w:w="3652" w:type="dxa"/>
            <w:tcBorders>
              <w:top w:val="single" w:sz="4" w:space="0" w:color="auto"/>
              <w:bottom w:val="single" w:sz="4" w:space="0" w:color="auto"/>
            </w:tcBorders>
          </w:tcPr>
          <w:p w14:paraId="0BF3BDB1"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20C0E148" w14:textId="77777777" w:rsidR="00CF0E2D" w:rsidRPr="00987EB8" w:rsidRDefault="00CF0E2D" w:rsidP="00A60D4B">
            <w:pPr>
              <w:pStyle w:val="InitFigR"/>
              <w:keepNext/>
              <w:keepLines/>
              <w:rPr>
                <w:b/>
                <w:bCs/>
              </w:rPr>
            </w:pPr>
            <w:r w:rsidRPr="00987EB8">
              <w:rPr>
                <w:b/>
                <w:bCs/>
              </w:rPr>
              <w:t>2021-22</w:t>
            </w:r>
          </w:p>
          <w:p w14:paraId="228F408E" w14:textId="77777777" w:rsidR="00CF0E2D" w:rsidRPr="00987EB8" w:rsidRDefault="00CF0E2D" w:rsidP="00A60D4B">
            <w:pPr>
              <w:pStyle w:val="InitFigR"/>
              <w:keepNext/>
              <w:keepLines/>
              <w:rPr>
                <w:b/>
                <w:bCs/>
              </w:rPr>
            </w:pPr>
            <w:r w:rsidRPr="00987EB8">
              <w:rPr>
                <w:b/>
                <w:bCs/>
              </w:rPr>
              <w:t>$’000</w:t>
            </w:r>
          </w:p>
        </w:tc>
        <w:tc>
          <w:tcPr>
            <w:tcW w:w="1041" w:type="dxa"/>
            <w:tcBorders>
              <w:top w:val="single" w:sz="4" w:space="0" w:color="auto"/>
              <w:bottom w:val="single" w:sz="4" w:space="0" w:color="auto"/>
            </w:tcBorders>
          </w:tcPr>
          <w:p w14:paraId="6CAC404E" w14:textId="77777777" w:rsidR="00CF0E2D" w:rsidRPr="00987EB8" w:rsidRDefault="00CF0E2D" w:rsidP="00A60D4B">
            <w:pPr>
              <w:pStyle w:val="InitFigR"/>
              <w:keepNext/>
              <w:keepLines/>
              <w:rPr>
                <w:b/>
                <w:bCs/>
              </w:rPr>
            </w:pPr>
            <w:r w:rsidRPr="00987EB8">
              <w:rPr>
                <w:b/>
                <w:bCs/>
              </w:rPr>
              <w:t>2022-23</w:t>
            </w:r>
          </w:p>
          <w:p w14:paraId="272BDD6F" w14:textId="77777777" w:rsidR="00CF0E2D" w:rsidRPr="00987EB8" w:rsidRDefault="00CF0E2D" w:rsidP="00A60D4B">
            <w:pPr>
              <w:pStyle w:val="InitFigR"/>
              <w:keepNext/>
              <w:keepLines/>
              <w:rPr>
                <w:b/>
                <w:bCs/>
              </w:rPr>
            </w:pPr>
            <w:r w:rsidRPr="00987EB8">
              <w:rPr>
                <w:b/>
                <w:bCs/>
              </w:rPr>
              <w:t>$’000</w:t>
            </w:r>
          </w:p>
        </w:tc>
        <w:tc>
          <w:tcPr>
            <w:tcW w:w="1029" w:type="dxa"/>
            <w:tcBorders>
              <w:top w:val="single" w:sz="4" w:space="0" w:color="auto"/>
              <w:bottom w:val="single" w:sz="4" w:space="0" w:color="auto"/>
            </w:tcBorders>
          </w:tcPr>
          <w:p w14:paraId="58DAB0C8" w14:textId="77777777" w:rsidR="00CF0E2D" w:rsidRPr="00987EB8" w:rsidRDefault="00CF0E2D" w:rsidP="00A60D4B">
            <w:pPr>
              <w:pStyle w:val="InitFigR"/>
              <w:keepNext/>
              <w:keepLines/>
              <w:rPr>
                <w:b/>
                <w:bCs/>
              </w:rPr>
            </w:pPr>
            <w:r w:rsidRPr="00987EB8">
              <w:rPr>
                <w:b/>
                <w:bCs/>
              </w:rPr>
              <w:t>2023-24</w:t>
            </w:r>
          </w:p>
          <w:p w14:paraId="58BCD11B" w14:textId="77777777" w:rsidR="00CF0E2D" w:rsidRPr="00987EB8" w:rsidRDefault="00CF0E2D" w:rsidP="00A60D4B">
            <w:pPr>
              <w:pStyle w:val="InitFigR"/>
              <w:keepNext/>
              <w:keepLines/>
              <w:rPr>
                <w:b/>
                <w:bCs/>
              </w:rPr>
            </w:pPr>
            <w:r w:rsidRPr="00987EB8">
              <w:rPr>
                <w:b/>
                <w:bCs/>
              </w:rPr>
              <w:t>$’000</w:t>
            </w:r>
          </w:p>
        </w:tc>
        <w:tc>
          <w:tcPr>
            <w:tcW w:w="1029" w:type="dxa"/>
            <w:tcBorders>
              <w:top w:val="single" w:sz="4" w:space="0" w:color="auto"/>
              <w:bottom w:val="single" w:sz="4" w:space="0" w:color="auto"/>
            </w:tcBorders>
          </w:tcPr>
          <w:p w14:paraId="5EAEDA97" w14:textId="77777777" w:rsidR="00CF0E2D" w:rsidRPr="00987EB8" w:rsidRDefault="00CF0E2D" w:rsidP="00A60D4B">
            <w:pPr>
              <w:pStyle w:val="InitFigR"/>
              <w:keepNext/>
              <w:keepLines/>
              <w:rPr>
                <w:b/>
                <w:bCs/>
              </w:rPr>
            </w:pPr>
            <w:r w:rsidRPr="00987EB8">
              <w:rPr>
                <w:b/>
                <w:bCs/>
              </w:rPr>
              <w:t>2024-25</w:t>
            </w:r>
          </w:p>
          <w:p w14:paraId="7504AE44" w14:textId="77777777" w:rsidR="00CF0E2D" w:rsidRPr="00987EB8" w:rsidRDefault="00CF0E2D" w:rsidP="00A60D4B">
            <w:pPr>
              <w:pStyle w:val="InitFigR"/>
              <w:keepNext/>
              <w:keepLines/>
              <w:rPr>
                <w:b/>
                <w:bCs/>
              </w:rPr>
            </w:pPr>
            <w:r w:rsidRPr="00987EB8">
              <w:rPr>
                <w:b/>
                <w:bCs/>
              </w:rPr>
              <w:t>$’000</w:t>
            </w:r>
          </w:p>
        </w:tc>
        <w:tc>
          <w:tcPr>
            <w:tcW w:w="1029" w:type="dxa"/>
            <w:tcBorders>
              <w:top w:val="single" w:sz="4" w:space="0" w:color="auto"/>
              <w:bottom w:val="single" w:sz="4" w:space="0" w:color="auto"/>
            </w:tcBorders>
          </w:tcPr>
          <w:p w14:paraId="4F9E579F" w14:textId="77777777" w:rsidR="00CF0E2D" w:rsidRPr="004E341E" w:rsidRDefault="00CF0E2D" w:rsidP="00A60D4B">
            <w:pPr>
              <w:pStyle w:val="InitFigRBold"/>
              <w:keepNext/>
              <w:keepLines/>
            </w:pPr>
            <w:r w:rsidRPr="004E341E">
              <w:t>Total</w:t>
            </w:r>
          </w:p>
          <w:p w14:paraId="08943E6A" w14:textId="77777777" w:rsidR="00CF0E2D" w:rsidRPr="004E341E" w:rsidRDefault="00CF0E2D" w:rsidP="00A60D4B">
            <w:pPr>
              <w:pStyle w:val="InitFigBR"/>
              <w:keepNext/>
              <w:keepLines/>
            </w:pPr>
            <w:r w:rsidRPr="004E341E">
              <w:t>$’000</w:t>
            </w:r>
          </w:p>
        </w:tc>
      </w:tr>
      <w:tr w:rsidR="00CF0E2D" w:rsidRPr="00750793" w14:paraId="62BE48C5" w14:textId="77777777" w:rsidTr="00A60D4B">
        <w:trPr>
          <w:cantSplit/>
          <w:jc w:val="center"/>
        </w:trPr>
        <w:tc>
          <w:tcPr>
            <w:tcW w:w="3652" w:type="dxa"/>
          </w:tcPr>
          <w:p w14:paraId="2358FEA9" w14:textId="77777777" w:rsidR="00CF0E2D" w:rsidRPr="00F13FAB" w:rsidRDefault="00CF0E2D" w:rsidP="00A60D4B">
            <w:pPr>
              <w:pStyle w:val="InitTextL"/>
              <w:keepNext/>
              <w:keepLines/>
              <w:ind w:left="321" w:hanging="321"/>
            </w:pPr>
            <w:r w:rsidRPr="00882BE2">
              <w:t>Expenses</w:t>
            </w:r>
          </w:p>
        </w:tc>
        <w:tc>
          <w:tcPr>
            <w:tcW w:w="1179" w:type="dxa"/>
          </w:tcPr>
          <w:p w14:paraId="282E5B09" w14:textId="77777777" w:rsidR="00CF0E2D" w:rsidRPr="00424DA4" w:rsidRDefault="00CF0E2D" w:rsidP="00A60D4B">
            <w:pPr>
              <w:pStyle w:val="InitFigR"/>
              <w:keepNext/>
              <w:keepLines/>
            </w:pPr>
            <w:r w:rsidRPr="005B6A3D">
              <w:t>340</w:t>
            </w:r>
          </w:p>
        </w:tc>
        <w:tc>
          <w:tcPr>
            <w:tcW w:w="1041" w:type="dxa"/>
          </w:tcPr>
          <w:p w14:paraId="1567203E" w14:textId="77777777" w:rsidR="00CF0E2D" w:rsidRPr="00424DA4" w:rsidRDefault="00CF0E2D" w:rsidP="00A60D4B">
            <w:pPr>
              <w:pStyle w:val="InitFigR"/>
              <w:keepNext/>
              <w:keepLines/>
            </w:pPr>
            <w:r w:rsidRPr="005B6A3D">
              <w:t>344</w:t>
            </w:r>
          </w:p>
        </w:tc>
        <w:tc>
          <w:tcPr>
            <w:tcW w:w="1029" w:type="dxa"/>
          </w:tcPr>
          <w:p w14:paraId="304CB84D" w14:textId="77777777" w:rsidR="00CF0E2D" w:rsidRPr="00424DA4" w:rsidRDefault="00CF0E2D" w:rsidP="00A60D4B">
            <w:pPr>
              <w:pStyle w:val="InitFigR"/>
              <w:keepNext/>
              <w:keepLines/>
            </w:pPr>
            <w:r w:rsidRPr="005B6A3D">
              <w:t>147</w:t>
            </w:r>
          </w:p>
        </w:tc>
        <w:tc>
          <w:tcPr>
            <w:tcW w:w="1029" w:type="dxa"/>
          </w:tcPr>
          <w:p w14:paraId="0A472A48" w14:textId="77777777" w:rsidR="00CF0E2D" w:rsidRPr="00424DA4" w:rsidRDefault="00CF0E2D" w:rsidP="00A60D4B">
            <w:pPr>
              <w:pStyle w:val="InitFigR"/>
              <w:keepNext/>
              <w:keepLines/>
            </w:pPr>
            <w:r w:rsidRPr="005B6A3D">
              <w:t>151</w:t>
            </w:r>
          </w:p>
        </w:tc>
        <w:tc>
          <w:tcPr>
            <w:tcW w:w="1029" w:type="dxa"/>
          </w:tcPr>
          <w:p w14:paraId="672DCA7F" w14:textId="77777777" w:rsidR="00CF0E2D" w:rsidRPr="00424DA4" w:rsidRDefault="00CF0E2D" w:rsidP="00A60D4B">
            <w:pPr>
              <w:pStyle w:val="InitFigBR"/>
              <w:keepNext/>
              <w:keepLines/>
            </w:pPr>
            <w:r w:rsidRPr="005B6A3D">
              <w:t>982</w:t>
            </w:r>
          </w:p>
        </w:tc>
      </w:tr>
      <w:tr w:rsidR="00CF0E2D" w:rsidRPr="00750793" w14:paraId="3A133F0C" w14:textId="77777777" w:rsidTr="00A60D4B">
        <w:trPr>
          <w:cantSplit/>
          <w:jc w:val="center"/>
        </w:trPr>
        <w:tc>
          <w:tcPr>
            <w:tcW w:w="3652" w:type="dxa"/>
          </w:tcPr>
          <w:p w14:paraId="38FA9737" w14:textId="77777777" w:rsidR="00CF0E2D" w:rsidRDefault="00CF0E2D" w:rsidP="00A60D4B">
            <w:pPr>
              <w:pStyle w:val="InitTextL"/>
              <w:keepNext/>
              <w:keepLines/>
              <w:ind w:left="321" w:hanging="321"/>
            </w:pPr>
            <w:r>
              <w:t>Offset – Health Funding Envelope</w:t>
            </w:r>
          </w:p>
        </w:tc>
        <w:tc>
          <w:tcPr>
            <w:tcW w:w="1179" w:type="dxa"/>
          </w:tcPr>
          <w:p w14:paraId="0087F72B" w14:textId="77777777" w:rsidR="00CF0E2D" w:rsidRPr="00424DA4" w:rsidRDefault="00CF0E2D" w:rsidP="00A60D4B">
            <w:pPr>
              <w:pStyle w:val="InitFigR"/>
              <w:keepNext/>
              <w:keepLines/>
            </w:pPr>
            <w:r>
              <w:t>-</w:t>
            </w:r>
            <w:r w:rsidRPr="005B6A3D">
              <w:t>340</w:t>
            </w:r>
          </w:p>
        </w:tc>
        <w:tc>
          <w:tcPr>
            <w:tcW w:w="1041" w:type="dxa"/>
          </w:tcPr>
          <w:p w14:paraId="7B21EC75" w14:textId="77777777" w:rsidR="00CF0E2D" w:rsidRPr="00424DA4" w:rsidRDefault="00CF0E2D" w:rsidP="00A60D4B">
            <w:pPr>
              <w:pStyle w:val="InitFigR"/>
              <w:keepNext/>
              <w:keepLines/>
            </w:pPr>
            <w:r>
              <w:t>-</w:t>
            </w:r>
            <w:r w:rsidRPr="005B6A3D">
              <w:t>344</w:t>
            </w:r>
          </w:p>
        </w:tc>
        <w:tc>
          <w:tcPr>
            <w:tcW w:w="1029" w:type="dxa"/>
          </w:tcPr>
          <w:p w14:paraId="5F793B6A" w14:textId="77777777" w:rsidR="00CF0E2D" w:rsidRPr="00424DA4" w:rsidRDefault="00CF0E2D" w:rsidP="00A60D4B">
            <w:pPr>
              <w:pStyle w:val="InitFigR"/>
              <w:keepNext/>
              <w:keepLines/>
            </w:pPr>
            <w:r>
              <w:t>-</w:t>
            </w:r>
            <w:r w:rsidRPr="005B6A3D">
              <w:t>147</w:t>
            </w:r>
          </w:p>
        </w:tc>
        <w:tc>
          <w:tcPr>
            <w:tcW w:w="1029" w:type="dxa"/>
          </w:tcPr>
          <w:p w14:paraId="48E94113" w14:textId="77777777" w:rsidR="00CF0E2D" w:rsidRPr="00424DA4" w:rsidRDefault="00CF0E2D" w:rsidP="00A60D4B">
            <w:pPr>
              <w:pStyle w:val="InitFigR"/>
              <w:keepNext/>
              <w:keepLines/>
            </w:pPr>
            <w:r>
              <w:t>-</w:t>
            </w:r>
            <w:r w:rsidRPr="005B6A3D">
              <w:t>151</w:t>
            </w:r>
          </w:p>
        </w:tc>
        <w:tc>
          <w:tcPr>
            <w:tcW w:w="1029" w:type="dxa"/>
          </w:tcPr>
          <w:p w14:paraId="37726180" w14:textId="77777777" w:rsidR="00CF0E2D" w:rsidRPr="00424DA4" w:rsidRDefault="00CF0E2D" w:rsidP="00A60D4B">
            <w:pPr>
              <w:pStyle w:val="InitFigBR"/>
              <w:keepNext/>
              <w:keepLines/>
            </w:pPr>
            <w:r>
              <w:t>-</w:t>
            </w:r>
            <w:r w:rsidRPr="005B6A3D">
              <w:t>982</w:t>
            </w:r>
          </w:p>
        </w:tc>
      </w:tr>
      <w:tr w:rsidR="00CF0E2D" w:rsidRPr="00750793" w14:paraId="0945F901" w14:textId="77777777" w:rsidTr="00A60D4B">
        <w:trPr>
          <w:cantSplit/>
          <w:trHeight w:val="107"/>
          <w:jc w:val="center"/>
        </w:trPr>
        <w:tc>
          <w:tcPr>
            <w:tcW w:w="3652" w:type="dxa"/>
            <w:tcBorders>
              <w:top w:val="single" w:sz="4" w:space="0" w:color="auto"/>
              <w:bottom w:val="single" w:sz="4" w:space="0" w:color="auto"/>
            </w:tcBorders>
          </w:tcPr>
          <w:p w14:paraId="0F667725" w14:textId="550AE4C3" w:rsidR="00CF0E2D" w:rsidRPr="00DA5279" w:rsidRDefault="00F57411" w:rsidP="00A60D4B">
            <w:pPr>
              <w:pStyle w:val="InitFigLBold"/>
              <w:keepNext/>
              <w:keepLines/>
              <w:ind w:left="321" w:hanging="321"/>
            </w:pPr>
            <w:r>
              <w:t>Net cost of services</w:t>
            </w:r>
          </w:p>
        </w:tc>
        <w:tc>
          <w:tcPr>
            <w:tcW w:w="1179" w:type="dxa"/>
            <w:tcBorders>
              <w:top w:val="single" w:sz="4" w:space="0" w:color="auto"/>
              <w:bottom w:val="single" w:sz="4" w:space="0" w:color="auto"/>
            </w:tcBorders>
          </w:tcPr>
          <w:p w14:paraId="68F57A5D" w14:textId="77777777" w:rsidR="00CF0E2D" w:rsidRDefault="00CF0E2D" w:rsidP="00A60D4B">
            <w:pPr>
              <w:pStyle w:val="InitFigRBold"/>
              <w:keepNext/>
              <w:keepLines/>
            </w:pPr>
            <w:r>
              <w:t>0</w:t>
            </w:r>
          </w:p>
        </w:tc>
        <w:tc>
          <w:tcPr>
            <w:tcW w:w="1041" w:type="dxa"/>
            <w:tcBorders>
              <w:top w:val="single" w:sz="4" w:space="0" w:color="auto"/>
              <w:bottom w:val="single" w:sz="4" w:space="0" w:color="auto"/>
            </w:tcBorders>
          </w:tcPr>
          <w:p w14:paraId="2C643D45" w14:textId="77777777" w:rsidR="00CF0E2D" w:rsidRDefault="00CF0E2D" w:rsidP="00A60D4B">
            <w:pPr>
              <w:pStyle w:val="InitFigRBold"/>
              <w:keepNext/>
              <w:keepLines/>
            </w:pPr>
            <w:r>
              <w:t>0</w:t>
            </w:r>
          </w:p>
        </w:tc>
        <w:tc>
          <w:tcPr>
            <w:tcW w:w="1029" w:type="dxa"/>
            <w:tcBorders>
              <w:top w:val="single" w:sz="4" w:space="0" w:color="auto"/>
              <w:bottom w:val="single" w:sz="4" w:space="0" w:color="auto"/>
            </w:tcBorders>
          </w:tcPr>
          <w:p w14:paraId="1C8F40BB" w14:textId="77777777" w:rsidR="00CF0E2D" w:rsidRDefault="00CF0E2D" w:rsidP="00A60D4B">
            <w:pPr>
              <w:pStyle w:val="InitFigRBold"/>
              <w:keepNext/>
              <w:keepLines/>
            </w:pPr>
            <w:r>
              <w:t>0</w:t>
            </w:r>
          </w:p>
        </w:tc>
        <w:tc>
          <w:tcPr>
            <w:tcW w:w="1029" w:type="dxa"/>
            <w:tcBorders>
              <w:top w:val="single" w:sz="4" w:space="0" w:color="auto"/>
              <w:bottom w:val="single" w:sz="4" w:space="0" w:color="auto"/>
            </w:tcBorders>
          </w:tcPr>
          <w:p w14:paraId="3EB31668" w14:textId="77777777" w:rsidR="00CF0E2D" w:rsidRDefault="00CF0E2D" w:rsidP="00A60D4B">
            <w:pPr>
              <w:pStyle w:val="InitFigRBold"/>
              <w:keepNext/>
              <w:keepLines/>
            </w:pPr>
            <w:r>
              <w:t>0</w:t>
            </w:r>
          </w:p>
        </w:tc>
        <w:tc>
          <w:tcPr>
            <w:tcW w:w="1029" w:type="dxa"/>
            <w:tcBorders>
              <w:top w:val="single" w:sz="4" w:space="0" w:color="auto"/>
              <w:bottom w:val="single" w:sz="4" w:space="0" w:color="auto"/>
            </w:tcBorders>
          </w:tcPr>
          <w:p w14:paraId="776F70C4" w14:textId="77777777" w:rsidR="00CF0E2D" w:rsidRPr="00DA5279" w:rsidRDefault="00CF0E2D" w:rsidP="00A60D4B">
            <w:pPr>
              <w:pStyle w:val="InitFigRBold"/>
              <w:keepNext/>
              <w:keepLines/>
              <w:rPr>
                <w:bCs/>
              </w:rPr>
            </w:pPr>
            <w:r w:rsidRPr="00DA5279">
              <w:rPr>
                <w:bCs/>
              </w:rPr>
              <w:t>0</w:t>
            </w:r>
          </w:p>
        </w:tc>
      </w:tr>
    </w:tbl>
    <w:p w14:paraId="5C6E611F" w14:textId="77777777" w:rsidR="00CF0E2D" w:rsidRPr="001952D1" w:rsidRDefault="00CF0E2D" w:rsidP="00A60D4B">
      <w:pPr>
        <w:pStyle w:val="Bbodytext"/>
        <w:keepNext/>
        <w:keepLines/>
        <w:rPr>
          <w:rFonts w:ascii="Calibri" w:eastAsia="Times New Roman" w:hAnsi="Calibri" w:cs="Times New Roman"/>
          <w:szCs w:val="20"/>
        </w:rPr>
      </w:pPr>
      <w:r w:rsidRPr="001952D1">
        <w:t xml:space="preserve">The Government will </w:t>
      </w:r>
      <w:r w:rsidRPr="001952D1">
        <w:rPr>
          <w:rFonts w:ascii="Calibri" w:eastAsia="Times New Roman" w:hAnsi="Calibri" w:cs="Times New Roman"/>
          <w:szCs w:val="20"/>
        </w:rPr>
        <w:t>expand the existing Needle and Syringe Program and explore options for a Medically Supervised Injecting Facility, including a suitable service model and a potential location.</w:t>
      </w:r>
    </w:p>
    <w:p w14:paraId="1190C03A" w14:textId="77777777" w:rsidR="00CF0E2D" w:rsidRDefault="00CF0E2D" w:rsidP="00A60D4B">
      <w:pPr>
        <w:pStyle w:val="Bbodytext"/>
        <w:rPr>
          <w:rFonts w:ascii="Calibri" w:eastAsia="Times New Roman" w:hAnsi="Calibri" w:cs="Times New Roman"/>
          <w:szCs w:val="20"/>
        </w:rPr>
      </w:pPr>
      <w:r w:rsidRPr="001952D1">
        <w:t>This initiative contributes t</w:t>
      </w:r>
      <w:r w:rsidRPr="001952D1">
        <w:rPr>
          <w:rFonts w:ascii="Calibri" w:eastAsia="Times New Roman" w:hAnsi="Calibri" w:cs="Times New Roman"/>
          <w:szCs w:val="20"/>
        </w:rPr>
        <w:t>o the wellbeing domain of Health.</w:t>
      </w:r>
    </w:p>
    <w:p w14:paraId="792B1C00" w14:textId="77777777" w:rsidR="00CF0E2D" w:rsidRPr="001952D1" w:rsidRDefault="00CF0E2D" w:rsidP="00A60D4B">
      <w:pPr>
        <w:pStyle w:val="Bbodytext"/>
        <w:rPr>
          <w:rFonts w:ascii="Calibri" w:eastAsia="Times New Roman" w:hAnsi="Calibri" w:cs="Times New Roman"/>
          <w:szCs w:val="20"/>
        </w:rPr>
      </w:pPr>
    </w:p>
    <w:p w14:paraId="05DE2F47" w14:textId="77777777" w:rsidR="00CF0E2D" w:rsidRPr="001952D1" w:rsidRDefault="00CF0E2D" w:rsidP="00A60D4B">
      <w:pPr>
        <w:pStyle w:val="Heading4"/>
        <w:rPr>
          <w:rFonts w:eastAsia="Times New Roman"/>
        </w:rPr>
      </w:pPr>
      <w:r w:rsidRPr="001952D1">
        <w:rPr>
          <w:rFonts w:eastAsia="Times New Roman"/>
        </w:rPr>
        <w:t xml:space="preserve">More alcohol and other drug services – Watson Health Precinct </w:t>
      </w:r>
      <w:r>
        <w:rPr>
          <w:rFonts w:eastAsia="Times New Roman"/>
        </w:rPr>
        <w:t>r</w:t>
      </w:r>
      <w:r w:rsidRPr="001952D1">
        <w:rPr>
          <w:rFonts w:eastAsia="Times New Roman"/>
        </w:rPr>
        <w:t xml:space="preserve">edevelopment </w:t>
      </w:r>
      <w:r>
        <w:rPr>
          <w:b w:val="0"/>
          <w:noProof/>
          <w:color w:val="999789"/>
          <w:sz w:val="32"/>
          <w:szCs w:val="24"/>
        </w:rPr>
        <w:drawing>
          <wp:anchor distT="0" distB="0" distL="114300" distR="114300" simplePos="0" relativeHeight="251890688" behindDoc="0" locked="1" layoutInCell="1" allowOverlap="1" wp14:anchorId="14CE578E" wp14:editId="4B01A20D">
            <wp:simplePos x="0" y="0"/>
            <wp:positionH relativeFrom="margin">
              <wp:align>right</wp:align>
            </wp:positionH>
            <wp:positionV relativeFrom="paragraph">
              <wp:posOffset>84455</wp:posOffset>
            </wp:positionV>
            <wp:extent cx="993140" cy="503555"/>
            <wp:effectExtent l="0" t="0" r="0" b="0"/>
            <wp:wrapSquare wrapText="bothSides"/>
            <wp:docPr id="185" name="Picture 185"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52871C65" w14:textId="77777777" w:rsidTr="00A60D4B">
        <w:trPr>
          <w:cantSplit/>
          <w:jc w:val="center"/>
        </w:trPr>
        <w:tc>
          <w:tcPr>
            <w:tcW w:w="3652" w:type="dxa"/>
            <w:tcBorders>
              <w:top w:val="single" w:sz="4" w:space="0" w:color="auto"/>
              <w:bottom w:val="single" w:sz="4" w:space="0" w:color="auto"/>
            </w:tcBorders>
          </w:tcPr>
          <w:p w14:paraId="37C87343"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1FFA9B39" w14:textId="77777777" w:rsidR="00CF0E2D" w:rsidRPr="00987EB8" w:rsidRDefault="00CF0E2D" w:rsidP="00A60D4B">
            <w:pPr>
              <w:pStyle w:val="InitFigR"/>
              <w:rPr>
                <w:b/>
                <w:bCs/>
              </w:rPr>
            </w:pPr>
            <w:r w:rsidRPr="00987EB8">
              <w:rPr>
                <w:b/>
                <w:bCs/>
              </w:rPr>
              <w:t>2021-22</w:t>
            </w:r>
          </w:p>
          <w:p w14:paraId="6C2190ED" w14:textId="77777777" w:rsidR="00CF0E2D" w:rsidRPr="00987EB8" w:rsidRDefault="00CF0E2D" w:rsidP="00A60D4B">
            <w:pPr>
              <w:pStyle w:val="InitFigR"/>
              <w:rPr>
                <w:b/>
                <w:bCs/>
              </w:rPr>
            </w:pPr>
            <w:r w:rsidRPr="00987EB8">
              <w:rPr>
                <w:b/>
                <w:bCs/>
              </w:rPr>
              <w:t>$’000</w:t>
            </w:r>
          </w:p>
        </w:tc>
        <w:tc>
          <w:tcPr>
            <w:tcW w:w="1041" w:type="dxa"/>
            <w:tcBorders>
              <w:top w:val="single" w:sz="4" w:space="0" w:color="auto"/>
              <w:bottom w:val="single" w:sz="4" w:space="0" w:color="auto"/>
            </w:tcBorders>
          </w:tcPr>
          <w:p w14:paraId="5EC1CF47" w14:textId="77777777" w:rsidR="00CF0E2D" w:rsidRPr="00987EB8" w:rsidRDefault="00CF0E2D" w:rsidP="00A60D4B">
            <w:pPr>
              <w:pStyle w:val="InitFigR"/>
              <w:rPr>
                <w:b/>
                <w:bCs/>
              </w:rPr>
            </w:pPr>
            <w:r w:rsidRPr="00987EB8">
              <w:rPr>
                <w:b/>
                <w:bCs/>
              </w:rPr>
              <w:t>2022-23</w:t>
            </w:r>
          </w:p>
          <w:p w14:paraId="4C39C84F"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5FC65FA8" w14:textId="77777777" w:rsidR="00CF0E2D" w:rsidRPr="00987EB8" w:rsidRDefault="00CF0E2D" w:rsidP="00A60D4B">
            <w:pPr>
              <w:pStyle w:val="InitFigR"/>
              <w:rPr>
                <w:b/>
                <w:bCs/>
              </w:rPr>
            </w:pPr>
            <w:r w:rsidRPr="00987EB8">
              <w:rPr>
                <w:b/>
                <w:bCs/>
              </w:rPr>
              <w:t>2023-24</w:t>
            </w:r>
          </w:p>
          <w:p w14:paraId="58508B84"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25053ED7" w14:textId="77777777" w:rsidR="00CF0E2D" w:rsidRPr="00987EB8" w:rsidRDefault="00CF0E2D" w:rsidP="00A60D4B">
            <w:pPr>
              <w:pStyle w:val="InitFigR"/>
              <w:rPr>
                <w:b/>
                <w:bCs/>
              </w:rPr>
            </w:pPr>
            <w:r w:rsidRPr="00987EB8">
              <w:rPr>
                <w:b/>
                <w:bCs/>
              </w:rPr>
              <w:t>2024-25</w:t>
            </w:r>
          </w:p>
          <w:p w14:paraId="5548898F" w14:textId="77777777" w:rsidR="00CF0E2D" w:rsidRPr="00987EB8" w:rsidRDefault="00CF0E2D" w:rsidP="00A60D4B">
            <w:pPr>
              <w:pStyle w:val="InitFigR"/>
              <w:rPr>
                <w:b/>
                <w:bCs/>
              </w:rPr>
            </w:pPr>
            <w:r w:rsidRPr="00987EB8">
              <w:rPr>
                <w:b/>
                <w:bCs/>
              </w:rPr>
              <w:t>$’000</w:t>
            </w:r>
          </w:p>
        </w:tc>
        <w:tc>
          <w:tcPr>
            <w:tcW w:w="1029" w:type="dxa"/>
            <w:tcBorders>
              <w:top w:val="single" w:sz="4" w:space="0" w:color="auto"/>
              <w:bottom w:val="single" w:sz="4" w:space="0" w:color="auto"/>
            </w:tcBorders>
          </w:tcPr>
          <w:p w14:paraId="5AD2096A" w14:textId="77777777" w:rsidR="00CF0E2D" w:rsidRPr="004E341E" w:rsidRDefault="00CF0E2D" w:rsidP="00A60D4B">
            <w:pPr>
              <w:pStyle w:val="InitFigRBold"/>
            </w:pPr>
            <w:r w:rsidRPr="004E341E">
              <w:t>Total</w:t>
            </w:r>
          </w:p>
          <w:p w14:paraId="46C018E0" w14:textId="77777777" w:rsidR="00CF0E2D" w:rsidRPr="004E341E" w:rsidRDefault="00CF0E2D" w:rsidP="00A60D4B">
            <w:pPr>
              <w:pStyle w:val="InitFigBR"/>
            </w:pPr>
            <w:r w:rsidRPr="004E341E">
              <w:t>$’000</w:t>
            </w:r>
          </w:p>
        </w:tc>
      </w:tr>
      <w:tr w:rsidR="00CF0E2D" w:rsidRPr="00750793" w14:paraId="0ED191EB" w14:textId="77777777" w:rsidTr="00A60D4B">
        <w:trPr>
          <w:cantSplit/>
          <w:jc w:val="center"/>
        </w:trPr>
        <w:tc>
          <w:tcPr>
            <w:tcW w:w="3652" w:type="dxa"/>
            <w:tcBorders>
              <w:top w:val="single" w:sz="4" w:space="0" w:color="auto"/>
              <w:bottom w:val="single" w:sz="4" w:space="0" w:color="auto"/>
            </w:tcBorders>
          </w:tcPr>
          <w:p w14:paraId="2459326C" w14:textId="77777777" w:rsidR="00CF0E2D" w:rsidRDefault="00CF0E2D" w:rsidP="00A60D4B">
            <w:pPr>
              <w:pStyle w:val="InitTextL"/>
              <w:ind w:left="321" w:hanging="321"/>
            </w:pPr>
            <w:r>
              <w:t>Capital</w:t>
            </w:r>
          </w:p>
        </w:tc>
        <w:tc>
          <w:tcPr>
            <w:tcW w:w="1179" w:type="dxa"/>
            <w:tcBorders>
              <w:top w:val="single" w:sz="4" w:space="0" w:color="auto"/>
              <w:bottom w:val="single" w:sz="4" w:space="0" w:color="auto"/>
            </w:tcBorders>
          </w:tcPr>
          <w:p w14:paraId="0CF02A03" w14:textId="77777777" w:rsidR="00CF0E2D" w:rsidRDefault="00CF0E2D" w:rsidP="00A60D4B">
            <w:pPr>
              <w:pStyle w:val="InitFigR"/>
            </w:pPr>
            <w:r>
              <w:t>300</w:t>
            </w:r>
          </w:p>
        </w:tc>
        <w:tc>
          <w:tcPr>
            <w:tcW w:w="1041" w:type="dxa"/>
            <w:tcBorders>
              <w:top w:val="single" w:sz="4" w:space="0" w:color="auto"/>
              <w:bottom w:val="single" w:sz="4" w:space="0" w:color="auto"/>
            </w:tcBorders>
          </w:tcPr>
          <w:p w14:paraId="74886138" w14:textId="77777777" w:rsidR="00CF0E2D" w:rsidRDefault="00CF0E2D" w:rsidP="00A60D4B">
            <w:pPr>
              <w:pStyle w:val="InitFigR"/>
            </w:pPr>
            <w:r>
              <w:t>0</w:t>
            </w:r>
          </w:p>
        </w:tc>
        <w:tc>
          <w:tcPr>
            <w:tcW w:w="1029" w:type="dxa"/>
            <w:tcBorders>
              <w:top w:val="single" w:sz="4" w:space="0" w:color="auto"/>
              <w:bottom w:val="single" w:sz="4" w:space="0" w:color="auto"/>
            </w:tcBorders>
          </w:tcPr>
          <w:p w14:paraId="2F06A106" w14:textId="77777777" w:rsidR="00CF0E2D" w:rsidRDefault="00CF0E2D" w:rsidP="00A60D4B">
            <w:pPr>
              <w:pStyle w:val="InitFigR"/>
            </w:pPr>
            <w:r>
              <w:t>0</w:t>
            </w:r>
          </w:p>
        </w:tc>
        <w:tc>
          <w:tcPr>
            <w:tcW w:w="1029" w:type="dxa"/>
            <w:tcBorders>
              <w:top w:val="single" w:sz="4" w:space="0" w:color="auto"/>
              <w:bottom w:val="single" w:sz="4" w:space="0" w:color="auto"/>
            </w:tcBorders>
          </w:tcPr>
          <w:p w14:paraId="2C5C2A70" w14:textId="77777777" w:rsidR="00CF0E2D" w:rsidRDefault="00CF0E2D" w:rsidP="00A60D4B">
            <w:pPr>
              <w:pStyle w:val="InitFigR"/>
            </w:pPr>
            <w:r>
              <w:t>0</w:t>
            </w:r>
          </w:p>
        </w:tc>
        <w:tc>
          <w:tcPr>
            <w:tcW w:w="1029" w:type="dxa"/>
            <w:tcBorders>
              <w:top w:val="single" w:sz="4" w:space="0" w:color="auto"/>
              <w:bottom w:val="single" w:sz="4" w:space="0" w:color="auto"/>
            </w:tcBorders>
          </w:tcPr>
          <w:p w14:paraId="66D4DA8F" w14:textId="77777777" w:rsidR="00CF0E2D" w:rsidRPr="00D14B17" w:rsidRDefault="00CF0E2D" w:rsidP="00A60D4B">
            <w:pPr>
              <w:pStyle w:val="InitFigRBold"/>
              <w:rPr>
                <w:bCs/>
              </w:rPr>
            </w:pPr>
            <w:r w:rsidRPr="00D14B17">
              <w:rPr>
                <w:bCs/>
              </w:rPr>
              <w:t>300</w:t>
            </w:r>
          </w:p>
        </w:tc>
      </w:tr>
      <w:tr w:rsidR="00CF0E2D" w:rsidRPr="00750793" w14:paraId="5E6C0237" w14:textId="77777777" w:rsidTr="00A60D4B">
        <w:trPr>
          <w:cantSplit/>
          <w:jc w:val="center"/>
        </w:trPr>
        <w:tc>
          <w:tcPr>
            <w:tcW w:w="3652" w:type="dxa"/>
            <w:tcBorders>
              <w:top w:val="single" w:sz="4" w:space="0" w:color="auto"/>
            </w:tcBorders>
          </w:tcPr>
          <w:p w14:paraId="18D7A26A" w14:textId="77777777" w:rsidR="00CF0E2D" w:rsidRPr="00F13FAB" w:rsidRDefault="00CF0E2D" w:rsidP="00A60D4B">
            <w:pPr>
              <w:pStyle w:val="InitTextL"/>
              <w:ind w:left="321" w:hanging="321"/>
            </w:pPr>
            <w:r w:rsidRPr="00882BE2">
              <w:t>Expenses</w:t>
            </w:r>
          </w:p>
        </w:tc>
        <w:tc>
          <w:tcPr>
            <w:tcW w:w="1179" w:type="dxa"/>
            <w:tcBorders>
              <w:top w:val="single" w:sz="4" w:space="0" w:color="auto"/>
            </w:tcBorders>
          </w:tcPr>
          <w:p w14:paraId="237E7F45" w14:textId="77777777" w:rsidR="00CF0E2D" w:rsidRPr="00424DA4" w:rsidRDefault="00CF0E2D" w:rsidP="00A60D4B">
            <w:pPr>
              <w:pStyle w:val="InitFigR"/>
            </w:pPr>
            <w:r>
              <w:t>503</w:t>
            </w:r>
          </w:p>
        </w:tc>
        <w:tc>
          <w:tcPr>
            <w:tcW w:w="1041" w:type="dxa"/>
            <w:tcBorders>
              <w:top w:val="single" w:sz="4" w:space="0" w:color="auto"/>
            </w:tcBorders>
          </w:tcPr>
          <w:p w14:paraId="46E54DD6" w14:textId="77777777" w:rsidR="00CF0E2D" w:rsidRPr="00424DA4" w:rsidRDefault="00CF0E2D" w:rsidP="00A60D4B">
            <w:pPr>
              <w:pStyle w:val="InitFigR"/>
            </w:pPr>
            <w:r>
              <w:t>0</w:t>
            </w:r>
          </w:p>
        </w:tc>
        <w:tc>
          <w:tcPr>
            <w:tcW w:w="1029" w:type="dxa"/>
            <w:tcBorders>
              <w:top w:val="single" w:sz="4" w:space="0" w:color="auto"/>
            </w:tcBorders>
          </w:tcPr>
          <w:p w14:paraId="65E7E76D" w14:textId="77777777" w:rsidR="00CF0E2D" w:rsidRPr="00424DA4" w:rsidRDefault="00CF0E2D" w:rsidP="00A60D4B">
            <w:pPr>
              <w:pStyle w:val="InitFigR"/>
            </w:pPr>
            <w:r>
              <w:t>0</w:t>
            </w:r>
          </w:p>
        </w:tc>
        <w:tc>
          <w:tcPr>
            <w:tcW w:w="1029" w:type="dxa"/>
            <w:tcBorders>
              <w:top w:val="single" w:sz="4" w:space="0" w:color="auto"/>
            </w:tcBorders>
          </w:tcPr>
          <w:p w14:paraId="0CA634E4" w14:textId="77777777" w:rsidR="00CF0E2D" w:rsidRPr="00424DA4" w:rsidRDefault="00CF0E2D" w:rsidP="00A60D4B">
            <w:pPr>
              <w:pStyle w:val="InitFigR"/>
            </w:pPr>
            <w:r>
              <w:t>0</w:t>
            </w:r>
          </w:p>
        </w:tc>
        <w:tc>
          <w:tcPr>
            <w:tcW w:w="1029" w:type="dxa"/>
            <w:tcBorders>
              <w:top w:val="single" w:sz="4" w:space="0" w:color="auto"/>
            </w:tcBorders>
          </w:tcPr>
          <w:p w14:paraId="5F47BEB5" w14:textId="77777777" w:rsidR="00CF0E2D" w:rsidRPr="00424DA4" w:rsidRDefault="00CF0E2D" w:rsidP="00A60D4B">
            <w:pPr>
              <w:pStyle w:val="InitFigBR"/>
            </w:pPr>
            <w:r>
              <w:t>503</w:t>
            </w:r>
          </w:p>
        </w:tc>
      </w:tr>
      <w:tr w:rsidR="00CF0E2D" w:rsidRPr="00750793" w14:paraId="571D0163" w14:textId="77777777" w:rsidTr="00A60D4B">
        <w:trPr>
          <w:cantSplit/>
          <w:jc w:val="center"/>
        </w:trPr>
        <w:tc>
          <w:tcPr>
            <w:tcW w:w="3652" w:type="dxa"/>
          </w:tcPr>
          <w:p w14:paraId="709DD75D" w14:textId="77777777" w:rsidR="00CF0E2D" w:rsidRDefault="00CF0E2D" w:rsidP="00A60D4B">
            <w:pPr>
              <w:pStyle w:val="InitTextL"/>
              <w:ind w:left="321" w:hanging="321"/>
            </w:pPr>
            <w:r>
              <w:t>Offset – Health Funding Envelope</w:t>
            </w:r>
          </w:p>
        </w:tc>
        <w:tc>
          <w:tcPr>
            <w:tcW w:w="1179" w:type="dxa"/>
          </w:tcPr>
          <w:p w14:paraId="725BED63" w14:textId="77777777" w:rsidR="00CF0E2D" w:rsidRPr="00424DA4" w:rsidRDefault="00CF0E2D" w:rsidP="00A60D4B">
            <w:pPr>
              <w:pStyle w:val="InitFigR"/>
            </w:pPr>
            <w:r>
              <w:t>-503</w:t>
            </w:r>
          </w:p>
        </w:tc>
        <w:tc>
          <w:tcPr>
            <w:tcW w:w="1041" w:type="dxa"/>
          </w:tcPr>
          <w:p w14:paraId="4BAEF0AA" w14:textId="77777777" w:rsidR="00CF0E2D" w:rsidRPr="00424DA4" w:rsidRDefault="00CF0E2D" w:rsidP="00A60D4B">
            <w:pPr>
              <w:pStyle w:val="InitFigR"/>
            </w:pPr>
            <w:r>
              <w:t>0</w:t>
            </w:r>
          </w:p>
        </w:tc>
        <w:tc>
          <w:tcPr>
            <w:tcW w:w="1029" w:type="dxa"/>
          </w:tcPr>
          <w:p w14:paraId="115393C9" w14:textId="77777777" w:rsidR="00CF0E2D" w:rsidRPr="00424DA4" w:rsidRDefault="00CF0E2D" w:rsidP="00A60D4B">
            <w:pPr>
              <w:pStyle w:val="InitFigR"/>
            </w:pPr>
            <w:r>
              <w:t>0</w:t>
            </w:r>
          </w:p>
        </w:tc>
        <w:tc>
          <w:tcPr>
            <w:tcW w:w="1029" w:type="dxa"/>
          </w:tcPr>
          <w:p w14:paraId="4E593A52" w14:textId="77777777" w:rsidR="00CF0E2D" w:rsidRPr="00424DA4" w:rsidRDefault="00CF0E2D" w:rsidP="00A60D4B">
            <w:pPr>
              <w:pStyle w:val="InitFigR"/>
            </w:pPr>
            <w:r>
              <w:t>0</w:t>
            </w:r>
          </w:p>
        </w:tc>
        <w:tc>
          <w:tcPr>
            <w:tcW w:w="1029" w:type="dxa"/>
          </w:tcPr>
          <w:p w14:paraId="501F2D63" w14:textId="77777777" w:rsidR="00CF0E2D" w:rsidRPr="00424DA4" w:rsidRDefault="00CF0E2D" w:rsidP="00A60D4B">
            <w:pPr>
              <w:pStyle w:val="InitFigBR"/>
            </w:pPr>
            <w:r>
              <w:t>-503</w:t>
            </w:r>
          </w:p>
        </w:tc>
      </w:tr>
      <w:tr w:rsidR="00CF0E2D" w:rsidRPr="00750793" w14:paraId="52F998EB" w14:textId="77777777" w:rsidTr="00A60D4B">
        <w:trPr>
          <w:cantSplit/>
          <w:trHeight w:val="107"/>
          <w:jc w:val="center"/>
        </w:trPr>
        <w:tc>
          <w:tcPr>
            <w:tcW w:w="3652" w:type="dxa"/>
            <w:tcBorders>
              <w:top w:val="single" w:sz="4" w:space="0" w:color="auto"/>
              <w:bottom w:val="single" w:sz="4" w:space="0" w:color="auto"/>
            </w:tcBorders>
          </w:tcPr>
          <w:p w14:paraId="0ECB0550" w14:textId="25DC7D4A" w:rsidR="00CF0E2D" w:rsidRDefault="00F57411" w:rsidP="00A60D4B">
            <w:pPr>
              <w:pStyle w:val="InitFigLBold"/>
              <w:ind w:left="321" w:hanging="321"/>
            </w:pPr>
            <w:r>
              <w:t>Net cost of services</w:t>
            </w:r>
          </w:p>
        </w:tc>
        <w:tc>
          <w:tcPr>
            <w:tcW w:w="1179" w:type="dxa"/>
            <w:tcBorders>
              <w:top w:val="single" w:sz="4" w:space="0" w:color="auto"/>
              <w:bottom w:val="single" w:sz="4" w:space="0" w:color="auto"/>
            </w:tcBorders>
          </w:tcPr>
          <w:p w14:paraId="1D979971" w14:textId="77777777" w:rsidR="00CF0E2D" w:rsidRPr="00424DA4" w:rsidRDefault="00CF0E2D" w:rsidP="00A60D4B">
            <w:pPr>
              <w:pStyle w:val="InitFigRBold"/>
            </w:pPr>
            <w:r>
              <w:t>0</w:t>
            </w:r>
          </w:p>
        </w:tc>
        <w:tc>
          <w:tcPr>
            <w:tcW w:w="1041" w:type="dxa"/>
            <w:tcBorders>
              <w:top w:val="single" w:sz="4" w:space="0" w:color="auto"/>
              <w:bottom w:val="single" w:sz="4" w:space="0" w:color="auto"/>
            </w:tcBorders>
          </w:tcPr>
          <w:p w14:paraId="5BE6538C"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2E201759"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202C83FB"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66CFF512" w14:textId="77777777" w:rsidR="00CF0E2D" w:rsidRPr="00424DA4" w:rsidRDefault="00CF0E2D" w:rsidP="00A60D4B">
            <w:pPr>
              <w:pStyle w:val="InitFigRBold"/>
            </w:pPr>
            <w:r>
              <w:t>0</w:t>
            </w:r>
          </w:p>
        </w:tc>
      </w:tr>
    </w:tbl>
    <w:p w14:paraId="4C6C3FFE" w14:textId="77777777" w:rsidR="00CF0E2D" w:rsidRPr="001952D1" w:rsidRDefault="00CF0E2D" w:rsidP="00A60D4B">
      <w:pPr>
        <w:pStyle w:val="Bbodytext"/>
        <w:rPr>
          <w:rFonts w:ascii="Calibri" w:eastAsia="Times New Roman" w:hAnsi="Calibri" w:cs="Times New Roman"/>
          <w:szCs w:val="20"/>
        </w:rPr>
      </w:pPr>
      <w:r w:rsidRPr="001952D1">
        <w:t>The Government wi</w:t>
      </w:r>
      <w:r w:rsidRPr="001952D1">
        <w:rPr>
          <w:rFonts w:ascii="Calibri" w:eastAsia="Times New Roman" w:hAnsi="Calibri" w:cs="Times New Roman"/>
          <w:szCs w:val="20"/>
        </w:rPr>
        <w:t>ll commence design work on the redevelopment of the Watson Health Precinct to deliver a world class</w:t>
      </w:r>
      <w:r>
        <w:rPr>
          <w:rFonts w:ascii="Calibri" w:eastAsia="Times New Roman" w:hAnsi="Calibri" w:cs="Times New Roman"/>
          <w:szCs w:val="20"/>
        </w:rPr>
        <w:t>,</w:t>
      </w:r>
      <w:r w:rsidRPr="001952D1">
        <w:rPr>
          <w:rFonts w:ascii="Calibri" w:eastAsia="Times New Roman" w:hAnsi="Calibri" w:cs="Times New Roman"/>
          <w:szCs w:val="20"/>
        </w:rPr>
        <w:t xml:space="preserve"> community-led alcohol and other drug and mental health treatment precinct for those most in need. </w:t>
      </w:r>
    </w:p>
    <w:p w14:paraId="6FDFDE32" w14:textId="77777777" w:rsidR="00CF0E2D" w:rsidRPr="001952D1" w:rsidRDefault="00CF0E2D" w:rsidP="00A60D4B">
      <w:pPr>
        <w:pStyle w:val="Bbodytext"/>
        <w:rPr>
          <w:rFonts w:ascii="Calibri" w:eastAsia="Times New Roman" w:hAnsi="Calibri" w:cs="Times New Roman"/>
          <w:szCs w:val="20"/>
        </w:rPr>
      </w:pPr>
      <w:r w:rsidRPr="001952D1">
        <w:t xml:space="preserve">The </w:t>
      </w:r>
      <w:r w:rsidRPr="001952D1">
        <w:rPr>
          <w:rFonts w:ascii="Calibri" w:eastAsia="Times New Roman" w:hAnsi="Calibri" w:cs="Times New Roman"/>
          <w:szCs w:val="20"/>
        </w:rPr>
        <w:t>funding will provide for preliminary design of a new Aboriginal and Torres Strait Islander residential alcohol and other drug rehabilitation facility. It will also support design work for the redevelopment of the Ted Noffs Foundation and CatholicCare facilities currently located on the site.</w:t>
      </w:r>
    </w:p>
    <w:p w14:paraId="7A5C05B8" w14:textId="77777777" w:rsidR="00CF0E2D" w:rsidRPr="001952D1" w:rsidRDefault="00CF0E2D" w:rsidP="00A60D4B">
      <w:pPr>
        <w:pStyle w:val="Bbodytext"/>
        <w:rPr>
          <w:rFonts w:ascii="Calibri" w:eastAsia="Times New Roman" w:hAnsi="Calibri" w:cs="Times New Roman"/>
          <w:szCs w:val="20"/>
        </w:rPr>
      </w:pPr>
      <w:r w:rsidRPr="001952D1">
        <w:t xml:space="preserve">This initiative </w:t>
      </w:r>
      <w:r w:rsidRPr="001952D1">
        <w:rPr>
          <w:rFonts w:ascii="Calibri" w:eastAsia="Times New Roman" w:hAnsi="Calibri" w:cs="Times New Roman"/>
          <w:szCs w:val="20"/>
        </w:rPr>
        <w:t>contributes to the wellbeing domain of Health.</w:t>
      </w:r>
    </w:p>
    <w:p w14:paraId="375450DE" w14:textId="77777777" w:rsidR="00CF0E2D" w:rsidRDefault="00CF0E2D" w:rsidP="00A60D4B"/>
    <w:p w14:paraId="38AF1337" w14:textId="77777777" w:rsidR="00CF0E2D" w:rsidRDefault="00CF0E2D">
      <w:r>
        <w:br w:type="page"/>
      </w:r>
    </w:p>
    <w:p w14:paraId="2F80F228" w14:textId="77777777" w:rsidR="00CF0E2D" w:rsidRDefault="00CF0E2D" w:rsidP="00A60D4B">
      <w:pPr>
        <w:pStyle w:val="Heading3"/>
      </w:pPr>
      <w:r w:rsidRPr="008D7AA2">
        <w:lastRenderedPageBreak/>
        <w:t>HOUSING ACT</w:t>
      </w:r>
    </w:p>
    <w:p w14:paraId="00D6C5D2" w14:textId="77777777" w:rsidR="00CF0E2D" w:rsidRPr="00D200CE" w:rsidRDefault="00CF0E2D" w:rsidP="00A60D4B"/>
    <w:p w14:paraId="4A6FC23C" w14:textId="77777777" w:rsidR="00CF0E2D" w:rsidRPr="00406A86" w:rsidRDefault="00CF0E2D" w:rsidP="00A60D4B">
      <w:pPr>
        <w:pStyle w:val="Heading4"/>
        <w:rPr>
          <w:rFonts w:eastAsia="Times New Roman"/>
        </w:rPr>
      </w:pPr>
      <w:r w:rsidRPr="00406A86">
        <w:rPr>
          <w:rFonts w:eastAsia="Times New Roman"/>
        </w:rPr>
        <w:t xml:space="preserve">Expanding </w:t>
      </w:r>
      <w:r>
        <w:rPr>
          <w:rFonts w:eastAsia="Times New Roman"/>
        </w:rPr>
        <w:t>s</w:t>
      </w:r>
      <w:r w:rsidRPr="00406A86">
        <w:rPr>
          <w:rFonts w:eastAsia="Times New Roman"/>
        </w:rPr>
        <w:t xml:space="preserve">pecialist </w:t>
      </w:r>
      <w:r>
        <w:rPr>
          <w:rFonts w:eastAsia="Times New Roman"/>
        </w:rPr>
        <w:t>h</w:t>
      </w:r>
      <w:r w:rsidRPr="00406A86">
        <w:rPr>
          <w:rFonts w:eastAsia="Times New Roman"/>
        </w:rPr>
        <w:t xml:space="preserve">omelessness </w:t>
      </w:r>
      <w:r>
        <w:rPr>
          <w:rFonts w:eastAsia="Times New Roman"/>
        </w:rPr>
        <w:t>s</w:t>
      </w:r>
      <w:r w:rsidRPr="00406A86">
        <w:rPr>
          <w:rFonts w:eastAsia="Times New Roman"/>
        </w:rPr>
        <w:t xml:space="preserve">ervice </w:t>
      </w:r>
      <w:r>
        <w:rPr>
          <w:rFonts w:eastAsia="Times New Roman"/>
        </w:rPr>
        <w:t>c</w:t>
      </w:r>
      <w:r w:rsidRPr="00406A86">
        <w:rPr>
          <w:rFonts w:eastAsia="Times New Roman"/>
        </w:rPr>
        <w:t xml:space="preserve">apacity </w:t>
      </w:r>
      <w:r>
        <w:rPr>
          <w:rFonts w:eastAsia="Times New Roman" w:cs="Times New Roman"/>
          <w:bCs/>
          <w:noProof/>
          <w:szCs w:val="26"/>
        </w:rPr>
        <w:drawing>
          <wp:anchor distT="0" distB="0" distL="114300" distR="114300" simplePos="0" relativeHeight="251854848" behindDoc="0" locked="1" layoutInCell="1" allowOverlap="1" wp14:anchorId="18B2B7CC" wp14:editId="1B41D63E">
            <wp:simplePos x="0" y="0"/>
            <wp:positionH relativeFrom="margin">
              <wp:align>right</wp:align>
            </wp:positionH>
            <wp:positionV relativeFrom="paragraph">
              <wp:posOffset>-116840</wp:posOffset>
            </wp:positionV>
            <wp:extent cx="1104900" cy="503555"/>
            <wp:effectExtent l="0" t="0" r="0" b="0"/>
            <wp:wrapSquare wrapText="bothSides"/>
            <wp:docPr id="186" name="Picture 186" descr="Icon representing the wellbeing domain of Housing and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 representing the wellbeing domain of Housing and ho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10490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6D1635EE" w14:textId="77777777" w:rsidTr="00A60D4B">
        <w:trPr>
          <w:cantSplit/>
          <w:jc w:val="center"/>
        </w:trPr>
        <w:tc>
          <w:tcPr>
            <w:tcW w:w="3652" w:type="dxa"/>
            <w:tcBorders>
              <w:top w:val="single" w:sz="4" w:space="0" w:color="auto"/>
              <w:bottom w:val="single" w:sz="4" w:space="0" w:color="auto"/>
            </w:tcBorders>
          </w:tcPr>
          <w:p w14:paraId="3C7B5370"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623CB43F" w14:textId="77777777" w:rsidR="00CF0E2D" w:rsidRPr="008C04DA" w:rsidRDefault="00CF0E2D" w:rsidP="00A60D4B">
            <w:pPr>
              <w:pStyle w:val="InitFigR"/>
              <w:rPr>
                <w:b/>
                <w:bCs/>
              </w:rPr>
            </w:pPr>
            <w:r w:rsidRPr="008C04DA">
              <w:rPr>
                <w:b/>
                <w:bCs/>
              </w:rPr>
              <w:t>2021-22</w:t>
            </w:r>
          </w:p>
          <w:p w14:paraId="4DDBB671" w14:textId="77777777" w:rsidR="00CF0E2D" w:rsidRPr="008C04DA" w:rsidRDefault="00CF0E2D" w:rsidP="00A60D4B">
            <w:pPr>
              <w:pStyle w:val="InitFigR"/>
              <w:rPr>
                <w:b/>
                <w:bCs/>
              </w:rPr>
            </w:pPr>
            <w:r w:rsidRPr="008C04DA">
              <w:rPr>
                <w:b/>
                <w:bCs/>
              </w:rPr>
              <w:t>$’000</w:t>
            </w:r>
          </w:p>
        </w:tc>
        <w:tc>
          <w:tcPr>
            <w:tcW w:w="1041" w:type="dxa"/>
            <w:tcBorders>
              <w:top w:val="single" w:sz="4" w:space="0" w:color="auto"/>
              <w:bottom w:val="single" w:sz="4" w:space="0" w:color="auto"/>
            </w:tcBorders>
          </w:tcPr>
          <w:p w14:paraId="00F2F9ED" w14:textId="77777777" w:rsidR="00CF0E2D" w:rsidRPr="008C04DA" w:rsidRDefault="00CF0E2D" w:rsidP="00A60D4B">
            <w:pPr>
              <w:pStyle w:val="InitFigR"/>
              <w:rPr>
                <w:b/>
                <w:bCs/>
              </w:rPr>
            </w:pPr>
            <w:r w:rsidRPr="008C04DA">
              <w:rPr>
                <w:b/>
                <w:bCs/>
              </w:rPr>
              <w:t>2022-23</w:t>
            </w:r>
          </w:p>
          <w:p w14:paraId="046AA9A8" w14:textId="77777777" w:rsidR="00CF0E2D" w:rsidRPr="008C04DA" w:rsidRDefault="00CF0E2D" w:rsidP="00A60D4B">
            <w:pPr>
              <w:pStyle w:val="InitFigR"/>
              <w:rPr>
                <w:b/>
                <w:bCs/>
              </w:rPr>
            </w:pPr>
            <w:r w:rsidRPr="008C04DA">
              <w:rPr>
                <w:b/>
                <w:bCs/>
              </w:rPr>
              <w:t>$’000</w:t>
            </w:r>
          </w:p>
        </w:tc>
        <w:tc>
          <w:tcPr>
            <w:tcW w:w="1029" w:type="dxa"/>
            <w:tcBorders>
              <w:top w:val="single" w:sz="4" w:space="0" w:color="auto"/>
              <w:bottom w:val="single" w:sz="4" w:space="0" w:color="auto"/>
            </w:tcBorders>
          </w:tcPr>
          <w:p w14:paraId="0AFB3A1F" w14:textId="77777777" w:rsidR="00CF0E2D" w:rsidRPr="008C04DA" w:rsidRDefault="00CF0E2D" w:rsidP="00A60D4B">
            <w:pPr>
              <w:pStyle w:val="InitFigR"/>
              <w:rPr>
                <w:b/>
                <w:bCs/>
              </w:rPr>
            </w:pPr>
            <w:r w:rsidRPr="008C04DA">
              <w:rPr>
                <w:b/>
                <w:bCs/>
              </w:rPr>
              <w:t>2023-24</w:t>
            </w:r>
          </w:p>
          <w:p w14:paraId="62F17D0D" w14:textId="77777777" w:rsidR="00CF0E2D" w:rsidRPr="008C04DA" w:rsidRDefault="00CF0E2D" w:rsidP="00A60D4B">
            <w:pPr>
              <w:pStyle w:val="InitFigR"/>
              <w:rPr>
                <w:b/>
                <w:bCs/>
              </w:rPr>
            </w:pPr>
            <w:r w:rsidRPr="008C04DA">
              <w:rPr>
                <w:b/>
                <w:bCs/>
              </w:rPr>
              <w:t>$’000</w:t>
            </w:r>
          </w:p>
        </w:tc>
        <w:tc>
          <w:tcPr>
            <w:tcW w:w="1029" w:type="dxa"/>
            <w:tcBorders>
              <w:top w:val="single" w:sz="4" w:space="0" w:color="auto"/>
              <w:bottom w:val="single" w:sz="4" w:space="0" w:color="auto"/>
            </w:tcBorders>
          </w:tcPr>
          <w:p w14:paraId="655748B9" w14:textId="77777777" w:rsidR="00CF0E2D" w:rsidRPr="008C04DA" w:rsidRDefault="00CF0E2D" w:rsidP="00A60D4B">
            <w:pPr>
              <w:pStyle w:val="InitFigR"/>
              <w:rPr>
                <w:b/>
                <w:bCs/>
              </w:rPr>
            </w:pPr>
            <w:r w:rsidRPr="008C04DA">
              <w:rPr>
                <w:b/>
                <w:bCs/>
              </w:rPr>
              <w:t>2024-25</w:t>
            </w:r>
          </w:p>
          <w:p w14:paraId="608DCDED" w14:textId="77777777" w:rsidR="00CF0E2D" w:rsidRPr="008C04DA" w:rsidRDefault="00CF0E2D" w:rsidP="00A60D4B">
            <w:pPr>
              <w:pStyle w:val="InitFigR"/>
              <w:rPr>
                <w:b/>
                <w:bCs/>
              </w:rPr>
            </w:pPr>
            <w:r w:rsidRPr="008C04DA">
              <w:rPr>
                <w:b/>
                <w:bCs/>
              </w:rPr>
              <w:t>$’000</w:t>
            </w:r>
          </w:p>
        </w:tc>
        <w:tc>
          <w:tcPr>
            <w:tcW w:w="1029" w:type="dxa"/>
            <w:tcBorders>
              <w:top w:val="single" w:sz="4" w:space="0" w:color="auto"/>
              <w:bottom w:val="single" w:sz="4" w:space="0" w:color="auto"/>
            </w:tcBorders>
          </w:tcPr>
          <w:p w14:paraId="3B21EC71" w14:textId="77777777" w:rsidR="00CF0E2D" w:rsidRPr="004E341E" w:rsidRDefault="00CF0E2D" w:rsidP="00A60D4B">
            <w:pPr>
              <w:pStyle w:val="InitFigRBold"/>
            </w:pPr>
            <w:r w:rsidRPr="004E341E">
              <w:t>Total</w:t>
            </w:r>
          </w:p>
          <w:p w14:paraId="1F7881BF" w14:textId="77777777" w:rsidR="00CF0E2D" w:rsidRPr="004E341E" w:rsidRDefault="00CF0E2D" w:rsidP="00A60D4B">
            <w:pPr>
              <w:pStyle w:val="InitFigBR"/>
            </w:pPr>
            <w:r w:rsidRPr="004E341E">
              <w:t>$’000</w:t>
            </w:r>
          </w:p>
        </w:tc>
      </w:tr>
      <w:tr w:rsidR="00CF0E2D" w:rsidRPr="00750793" w14:paraId="01634737" w14:textId="77777777" w:rsidTr="00A60D4B">
        <w:trPr>
          <w:cantSplit/>
          <w:jc w:val="center"/>
        </w:trPr>
        <w:tc>
          <w:tcPr>
            <w:tcW w:w="3652" w:type="dxa"/>
            <w:tcBorders>
              <w:top w:val="single" w:sz="4" w:space="0" w:color="auto"/>
              <w:bottom w:val="single" w:sz="4" w:space="0" w:color="auto"/>
            </w:tcBorders>
          </w:tcPr>
          <w:p w14:paraId="081FD87C"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48C0CB9D" w14:textId="77777777" w:rsidR="00CF0E2D" w:rsidRPr="00424DA4" w:rsidRDefault="00CF0E2D" w:rsidP="00A60D4B">
            <w:pPr>
              <w:pStyle w:val="InitFigR"/>
            </w:pPr>
            <w:r>
              <w:t>3,467</w:t>
            </w:r>
          </w:p>
        </w:tc>
        <w:tc>
          <w:tcPr>
            <w:tcW w:w="1041" w:type="dxa"/>
            <w:tcBorders>
              <w:top w:val="single" w:sz="4" w:space="0" w:color="auto"/>
              <w:bottom w:val="single" w:sz="4" w:space="0" w:color="auto"/>
            </w:tcBorders>
          </w:tcPr>
          <w:p w14:paraId="27501337" w14:textId="77777777" w:rsidR="00CF0E2D" w:rsidRPr="00424DA4" w:rsidRDefault="00CF0E2D" w:rsidP="00A60D4B">
            <w:pPr>
              <w:pStyle w:val="InitFigR"/>
            </w:pPr>
            <w:r>
              <w:t>4,865</w:t>
            </w:r>
          </w:p>
        </w:tc>
        <w:tc>
          <w:tcPr>
            <w:tcW w:w="1029" w:type="dxa"/>
            <w:tcBorders>
              <w:top w:val="single" w:sz="4" w:space="0" w:color="auto"/>
              <w:bottom w:val="single" w:sz="4" w:space="0" w:color="auto"/>
            </w:tcBorders>
          </w:tcPr>
          <w:p w14:paraId="45FDDBE7" w14:textId="77777777" w:rsidR="00CF0E2D" w:rsidRPr="00424DA4" w:rsidRDefault="00CF0E2D" w:rsidP="00A60D4B">
            <w:pPr>
              <w:pStyle w:val="InitFigR"/>
            </w:pPr>
            <w:r>
              <w:t>298</w:t>
            </w:r>
          </w:p>
        </w:tc>
        <w:tc>
          <w:tcPr>
            <w:tcW w:w="1029" w:type="dxa"/>
            <w:tcBorders>
              <w:top w:val="single" w:sz="4" w:space="0" w:color="auto"/>
              <w:bottom w:val="single" w:sz="4" w:space="0" w:color="auto"/>
            </w:tcBorders>
          </w:tcPr>
          <w:p w14:paraId="36EA0C3A" w14:textId="77777777" w:rsidR="00CF0E2D" w:rsidRPr="00424DA4" w:rsidRDefault="00CF0E2D" w:rsidP="00A60D4B">
            <w:pPr>
              <w:pStyle w:val="InitFigR"/>
            </w:pPr>
            <w:r>
              <w:t>0</w:t>
            </w:r>
          </w:p>
        </w:tc>
        <w:tc>
          <w:tcPr>
            <w:tcW w:w="1029" w:type="dxa"/>
            <w:tcBorders>
              <w:top w:val="single" w:sz="4" w:space="0" w:color="auto"/>
              <w:bottom w:val="single" w:sz="4" w:space="0" w:color="auto"/>
            </w:tcBorders>
          </w:tcPr>
          <w:p w14:paraId="4BE3E8B5" w14:textId="77777777" w:rsidR="00CF0E2D" w:rsidRPr="00424DA4" w:rsidRDefault="00CF0E2D" w:rsidP="00A60D4B">
            <w:pPr>
              <w:pStyle w:val="InitFigBR"/>
            </w:pPr>
            <w:r>
              <w:t>8,630</w:t>
            </w:r>
          </w:p>
        </w:tc>
      </w:tr>
    </w:tbl>
    <w:p w14:paraId="58AFCC31" w14:textId="77777777" w:rsidR="00CF0E2D" w:rsidRDefault="00CF0E2D" w:rsidP="00A60D4B">
      <w:pPr>
        <w:pStyle w:val="Bbodytext"/>
      </w:pPr>
      <w:r w:rsidRPr="004C581D">
        <w:t>The Government wi</w:t>
      </w:r>
      <w:r>
        <w:t xml:space="preserve">ll expand the capacity of existing homelessness services, including specialist homelessness programs that commenced operation during the COVID-19 pandemic. </w:t>
      </w:r>
    </w:p>
    <w:p w14:paraId="6B394B04" w14:textId="77777777" w:rsidR="00CF0E2D" w:rsidRDefault="00CF0E2D" w:rsidP="00A60D4B">
      <w:pPr>
        <w:pStyle w:val="Bbodytext"/>
      </w:pPr>
      <w:r>
        <w:t>This initiative builds on recent Government decisions including funding of $1.9 million in the 2020-21 Budget for five specialist homelessness programs to increase the capacity of the homelessness services sector.</w:t>
      </w:r>
      <w:r w:rsidDel="008929CF">
        <w:t xml:space="preserve"> </w:t>
      </w:r>
    </w:p>
    <w:p w14:paraId="0FFFCE3E" w14:textId="77777777" w:rsidR="00CF0E2D" w:rsidRDefault="00CF0E2D" w:rsidP="00A60D4B">
      <w:pPr>
        <w:pStyle w:val="Bbodytext"/>
      </w:pPr>
      <w:r>
        <w:t>This initiative contributes to the wellbeing domains of Housing and home and Health.</w:t>
      </w:r>
    </w:p>
    <w:p w14:paraId="6397E8AD" w14:textId="77777777" w:rsidR="00CF0E2D" w:rsidRDefault="00CF0E2D" w:rsidP="00A60D4B">
      <w:pPr>
        <w:pStyle w:val="Bbodytext"/>
      </w:pPr>
    </w:p>
    <w:p w14:paraId="55C631FA" w14:textId="77777777" w:rsidR="00CF0E2D" w:rsidRPr="00913D8D" w:rsidRDefault="00CF0E2D" w:rsidP="00A60D4B">
      <w:pPr>
        <w:pStyle w:val="Heading4"/>
        <w:rPr>
          <w:rFonts w:eastAsia="Times New Roman"/>
        </w:rPr>
      </w:pPr>
      <w:r w:rsidRPr="00913D8D">
        <w:rPr>
          <w:rFonts w:eastAsia="Times New Roman"/>
        </w:rPr>
        <w:t xml:space="preserve">Growing and renewing public housing </w:t>
      </w:r>
      <w:r>
        <w:rPr>
          <w:rFonts w:eastAsia="Times New Roman"/>
        </w:rPr>
        <w:t xml:space="preserve">– </w:t>
      </w:r>
      <w:r w:rsidRPr="00913D8D">
        <w:rPr>
          <w:rFonts w:eastAsia="Times New Roman"/>
        </w:rPr>
        <w:t xml:space="preserve">Securing </w:t>
      </w:r>
      <w:r>
        <w:rPr>
          <w:rFonts w:eastAsia="Times New Roman"/>
        </w:rPr>
        <w:t>h</w:t>
      </w:r>
      <w:r w:rsidRPr="00913D8D">
        <w:rPr>
          <w:rFonts w:eastAsia="Times New Roman"/>
        </w:rPr>
        <w:t xml:space="preserve">igh </w:t>
      </w:r>
      <w:r>
        <w:rPr>
          <w:rFonts w:eastAsia="Times New Roman"/>
        </w:rPr>
        <w:t>q</w:t>
      </w:r>
      <w:r w:rsidRPr="00913D8D">
        <w:rPr>
          <w:rFonts w:eastAsia="Times New Roman"/>
        </w:rPr>
        <w:t xml:space="preserve">uality </w:t>
      </w:r>
      <w:r>
        <w:rPr>
          <w:rFonts w:eastAsia="Times New Roman"/>
        </w:rPr>
        <w:t>p</w:t>
      </w:r>
      <w:r w:rsidRPr="00913D8D">
        <w:rPr>
          <w:rFonts w:eastAsia="Times New Roman"/>
        </w:rPr>
        <w:t xml:space="preserve">ublic </w:t>
      </w:r>
      <w:r>
        <w:rPr>
          <w:rFonts w:eastAsia="Times New Roman"/>
        </w:rPr>
        <w:t>h</w:t>
      </w:r>
      <w:r w:rsidRPr="00913D8D">
        <w:rPr>
          <w:rFonts w:eastAsia="Times New Roman"/>
        </w:rPr>
        <w:t xml:space="preserve">ousing </w:t>
      </w:r>
      <w:r>
        <w:rPr>
          <w:rFonts w:eastAsia="Times New Roman" w:cs="Times New Roman"/>
          <w:bCs/>
          <w:noProof/>
          <w:szCs w:val="26"/>
        </w:rPr>
        <w:drawing>
          <wp:anchor distT="0" distB="0" distL="114300" distR="114300" simplePos="0" relativeHeight="251855872" behindDoc="0" locked="1" layoutInCell="1" allowOverlap="1" wp14:anchorId="47C4C6CA" wp14:editId="630B0B0C">
            <wp:simplePos x="0" y="0"/>
            <wp:positionH relativeFrom="margin">
              <wp:align>right</wp:align>
            </wp:positionH>
            <wp:positionV relativeFrom="paragraph">
              <wp:posOffset>114300</wp:posOffset>
            </wp:positionV>
            <wp:extent cx="1104900" cy="503555"/>
            <wp:effectExtent l="0" t="0" r="0" b="0"/>
            <wp:wrapSquare wrapText="bothSides"/>
            <wp:docPr id="187" name="Picture 187" descr="Icon representing the wellbeing domain of Housing and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 representing the wellbeing domain of Housing and ho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10490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584ADCFB" w14:textId="77777777" w:rsidTr="00A60D4B">
        <w:trPr>
          <w:cantSplit/>
          <w:jc w:val="center"/>
        </w:trPr>
        <w:tc>
          <w:tcPr>
            <w:tcW w:w="3652" w:type="dxa"/>
            <w:tcBorders>
              <w:top w:val="single" w:sz="4" w:space="0" w:color="auto"/>
              <w:bottom w:val="single" w:sz="4" w:space="0" w:color="auto"/>
            </w:tcBorders>
          </w:tcPr>
          <w:p w14:paraId="2F782AB3"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300AD791" w14:textId="77777777" w:rsidR="00CF0E2D" w:rsidRPr="008C04DA" w:rsidRDefault="00CF0E2D" w:rsidP="00A60D4B">
            <w:pPr>
              <w:pStyle w:val="InitFigR"/>
              <w:rPr>
                <w:b/>
                <w:bCs/>
              </w:rPr>
            </w:pPr>
            <w:r w:rsidRPr="008C04DA">
              <w:rPr>
                <w:b/>
                <w:bCs/>
              </w:rPr>
              <w:t>2021-22</w:t>
            </w:r>
          </w:p>
          <w:p w14:paraId="2AFC948B" w14:textId="77777777" w:rsidR="00CF0E2D" w:rsidRPr="008C04DA" w:rsidRDefault="00CF0E2D" w:rsidP="00A60D4B">
            <w:pPr>
              <w:pStyle w:val="InitFigR"/>
              <w:rPr>
                <w:b/>
                <w:bCs/>
              </w:rPr>
            </w:pPr>
            <w:r w:rsidRPr="008C04DA">
              <w:rPr>
                <w:b/>
                <w:bCs/>
              </w:rPr>
              <w:t>$’000</w:t>
            </w:r>
          </w:p>
        </w:tc>
        <w:tc>
          <w:tcPr>
            <w:tcW w:w="1041" w:type="dxa"/>
            <w:tcBorders>
              <w:top w:val="single" w:sz="4" w:space="0" w:color="auto"/>
              <w:bottom w:val="single" w:sz="4" w:space="0" w:color="auto"/>
            </w:tcBorders>
          </w:tcPr>
          <w:p w14:paraId="36DB5B2F" w14:textId="77777777" w:rsidR="00CF0E2D" w:rsidRPr="008C04DA" w:rsidRDefault="00CF0E2D" w:rsidP="00A60D4B">
            <w:pPr>
              <w:pStyle w:val="InitFigR"/>
              <w:rPr>
                <w:b/>
                <w:bCs/>
              </w:rPr>
            </w:pPr>
            <w:r w:rsidRPr="008C04DA">
              <w:rPr>
                <w:b/>
                <w:bCs/>
              </w:rPr>
              <w:t>2022-23</w:t>
            </w:r>
          </w:p>
          <w:p w14:paraId="1845E6E1" w14:textId="77777777" w:rsidR="00CF0E2D" w:rsidRPr="008C04DA" w:rsidRDefault="00CF0E2D" w:rsidP="00A60D4B">
            <w:pPr>
              <w:pStyle w:val="InitFigR"/>
              <w:rPr>
                <w:b/>
                <w:bCs/>
              </w:rPr>
            </w:pPr>
            <w:r w:rsidRPr="008C04DA">
              <w:rPr>
                <w:b/>
                <w:bCs/>
              </w:rPr>
              <w:t>$’000</w:t>
            </w:r>
          </w:p>
        </w:tc>
        <w:tc>
          <w:tcPr>
            <w:tcW w:w="1029" w:type="dxa"/>
            <w:tcBorders>
              <w:top w:val="single" w:sz="4" w:space="0" w:color="auto"/>
              <w:bottom w:val="single" w:sz="4" w:space="0" w:color="auto"/>
            </w:tcBorders>
          </w:tcPr>
          <w:p w14:paraId="4CB7002F" w14:textId="77777777" w:rsidR="00CF0E2D" w:rsidRPr="008C04DA" w:rsidRDefault="00CF0E2D" w:rsidP="00A60D4B">
            <w:pPr>
              <w:pStyle w:val="InitFigR"/>
              <w:rPr>
                <w:b/>
                <w:bCs/>
              </w:rPr>
            </w:pPr>
            <w:r w:rsidRPr="008C04DA">
              <w:rPr>
                <w:b/>
                <w:bCs/>
              </w:rPr>
              <w:t>2023-24</w:t>
            </w:r>
          </w:p>
          <w:p w14:paraId="238ED8A1" w14:textId="77777777" w:rsidR="00CF0E2D" w:rsidRPr="008C04DA" w:rsidRDefault="00CF0E2D" w:rsidP="00A60D4B">
            <w:pPr>
              <w:pStyle w:val="InitFigR"/>
              <w:rPr>
                <w:b/>
                <w:bCs/>
              </w:rPr>
            </w:pPr>
            <w:r w:rsidRPr="008C04DA">
              <w:rPr>
                <w:b/>
                <w:bCs/>
              </w:rPr>
              <w:t>$’000</w:t>
            </w:r>
          </w:p>
        </w:tc>
        <w:tc>
          <w:tcPr>
            <w:tcW w:w="1029" w:type="dxa"/>
            <w:tcBorders>
              <w:top w:val="single" w:sz="4" w:space="0" w:color="auto"/>
              <w:bottom w:val="single" w:sz="4" w:space="0" w:color="auto"/>
            </w:tcBorders>
          </w:tcPr>
          <w:p w14:paraId="3A194BE4" w14:textId="77777777" w:rsidR="00CF0E2D" w:rsidRPr="008C04DA" w:rsidRDefault="00CF0E2D" w:rsidP="00A60D4B">
            <w:pPr>
              <w:pStyle w:val="InitFigR"/>
              <w:rPr>
                <w:b/>
                <w:bCs/>
              </w:rPr>
            </w:pPr>
            <w:r w:rsidRPr="008C04DA">
              <w:rPr>
                <w:b/>
                <w:bCs/>
              </w:rPr>
              <w:t>2024-25</w:t>
            </w:r>
          </w:p>
          <w:p w14:paraId="77813487" w14:textId="77777777" w:rsidR="00CF0E2D" w:rsidRPr="008C04DA" w:rsidRDefault="00CF0E2D" w:rsidP="00A60D4B">
            <w:pPr>
              <w:pStyle w:val="InitFigR"/>
              <w:rPr>
                <w:b/>
                <w:bCs/>
              </w:rPr>
            </w:pPr>
            <w:r w:rsidRPr="008C04DA">
              <w:rPr>
                <w:b/>
                <w:bCs/>
              </w:rPr>
              <w:t>$’000</w:t>
            </w:r>
          </w:p>
        </w:tc>
        <w:tc>
          <w:tcPr>
            <w:tcW w:w="1029" w:type="dxa"/>
            <w:tcBorders>
              <w:top w:val="single" w:sz="4" w:space="0" w:color="auto"/>
              <w:bottom w:val="single" w:sz="4" w:space="0" w:color="auto"/>
            </w:tcBorders>
          </w:tcPr>
          <w:p w14:paraId="32C922EB" w14:textId="77777777" w:rsidR="00CF0E2D" w:rsidRPr="004E341E" w:rsidRDefault="00CF0E2D" w:rsidP="00A60D4B">
            <w:pPr>
              <w:pStyle w:val="InitFigRBold"/>
            </w:pPr>
            <w:r w:rsidRPr="004E341E">
              <w:t>Total</w:t>
            </w:r>
          </w:p>
          <w:p w14:paraId="694D5F38" w14:textId="77777777" w:rsidR="00CF0E2D" w:rsidRPr="004E341E" w:rsidRDefault="00CF0E2D" w:rsidP="00A60D4B">
            <w:pPr>
              <w:pStyle w:val="InitFigBR"/>
            </w:pPr>
            <w:r w:rsidRPr="004E341E">
              <w:t>$’000</w:t>
            </w:r>
          </w:p>
        </w:tc>
      </w:tr>
      <w:tr w:rsidR="00CF0E2D" w:rsidRPr="00750793" w14:paraId="0FE721BC" w14:textId="77777777" w:rsidTr="00A60D4B">
        <w:trPr>
          <w:cantSplit/>
          <w:jc w:val="center"/>
        </w:trPr>
        <w:tc>
          <w:tcPr>
            <w:tcW w:w="3652" w:type="dxa"/>
            <w:tcBorders>
              <w:top w:val="single" w:sz="4" w:space="0" w:color="auto"/>
              <w:bottom w:val="single" w:sz="4" w:space="0" w:color="auto"/>
            </w:tcBorders>
          </w:tcPr>
          <w:p w14:paraId="4B0C69C4" w14:textId="77777777" w:rsidR="00CF0E2D" w:rsidRDefault="00CF0E2D" w:rsidP="00A60D4B">
            <w:pPr>
              <w:pStyle w:val="InitTextL"/>
              <w:ind w:left="321" w:hanging="321"/>
            </w:pPr>
            <w:r>
              <w:t>Capital</w:t>
            </w:r>
          </w:p>
        </w:tc>
        <w:tc>
          <w:tcPr>
            <w:tcW w:w="1179" w:type="dxa"/>
            <w:tcBorders>
              <w:top w:val="single" w:sz="4" w:space="0" w:color="auto"/>
              <w:bottom w:val="single" w:sz="4" w:space="0" w:color="auto"/>
            </w:tcBorders>
          </w:tcPr>
          <w:p w14:paraId="36426337" w14:textId="77777777" w:rsidR="00CF0E2D" w:rsidRDefault="00CF0E2D" w:rsidP="00A60D4B">
            <w:pPr>
              <w:pStyle w:val="InitFigR"/>
            </w:pPr>
            <w:r>
              <w:t>40,000</w:t>
            </w:r>
          </w:p>
        </w:tc>
        <w:tc>
          <w:tcPr>
            <w:tcW w:w="1041" w:type="dxa"/>
            <w:tcBorders>
              <w:top w:val="single" w:sz="4" w:space="0" w:color="auto"/>
              <w:bottom w:val="single" w:sz="4" w:space="0" w:color="auto"/>
            </w:tcBorders>
          </w:tcPr>
          <w:p w14:paraId="2BE4F4BF" w14:textId="77777777" w:rsidR="00CF0E2D" w:rsidRDefault="00CF0E2D" w:rsidP="00A60D4B">
            <w:pPr>
              <w:pStyle w:val="InitFigR"/>
            </w:pPr>
            <w:r>
              <w:t>20,000</w:t>
            </w:r>
          </w:p>
        </w:tc>
        <w:tc>
          <w:tcPr>
            <w:tcW w:w="1029" w:type="dxa"/>
            <w:tcBorders>
              <w:top w:val="single" w:sz="4" w:space="0" w:color="auto"/>
              <w:bottom w:val="single" w:sz="4" w:space="0" w:color="auto"/>
            </w:tcBorders>
          </w:tcPr>
          <w:p w14:paraId="098E0CF8" w14:textId="77777777" w:rsidR="00CF0E2D" w:rsidRDefault="00CF0E2D" w:rsidP="00A60D4B">
            <w:pPr>
              <w:pStyle w:val="InitFigR"/>
            </w:pPr>
            <w:r>
              <w:t>20,000</w:t>
            </w:r>
          </w:p>
        </w:tc>
        <w:tc>
          <w:tcPr>
            <w:tcW w:w="1029" w:type="dxa"/>
            <w:tcBorders>
              <w:top w:val="single" w:sz="4" w:space="0" w:color="auto"/>
              <w:bottom w:val="single" w:sz="4" w:space="0" w:color="auto"/>
            </w:tcBorders>
          </w:tcPr>
          <w:p w14:paraId="299447CF" w14:textId="77777777" w:rsidR="00CF0E2D" w:rsidRDefault="00CF0E2D" w:rsidP="00A60D4B">
            <w:pPr>
              <w:pStyle w:val="InitFigR"/>
            </w:pPr>
            <w:r>
              <w:t>0</w:t>
            </w:r>
          </w:p>
        </w:tc>
        <w:tc>
          <w:tcPr>
            <w:tcW w:w="1029" w:type="dxa"/>
            <w:tcBorders>
              <w:top w:val="single" w:sz="4" w:space="0" w:color="auto"/>
              <w:bottom w:val="single" w:sz="4" w:space="0" w:color="auto"/>
            </w:tcBorders>
          </w:tcPr>
          <w:p w14:paraId="38938F24" w14:textId="77777777" w:rsidR="00CF0E2D" w:rsidRPr="008C04DA" w:rsidRDefault="00CF0E2D" w:rsidP="00A60D4B">
            <w:pPr>
              <w:pStyle w:val="InitFigRBold"/>
              <w:rPr>
                <w:bCs/>
              </w:rPr>
            </w:pPr>
            <w:r w:rsidRPr="008C04DA">
              <w:rPr>
                <w:bCs/>
              </w:rPr>
              <w:t>80,000</w:t>
            </w:r>
          </w:p>
        </w:tc>
      </w:tr>
    </w:tbl>
    <w:p w14:paraId="3105F1FB" w14:textId="77777777" w:rsidR="00CF0E2D" w:rsidRPr="00084D2D" w:rsidRDefault="00CF0E2D" w:rsidP="00A60D4B">
      <w:pPr>
        <w:pStyle w:val="Bbodytext"/>
      </w:pPr>
      <w:r w:rsidRPr="00084D2D">
        <w:t xml:space="preserve">The Government will deliver significant additional public housing repairs and maintenance including kitchen upgrades, domestic violence security works and disability modifications. This maintenance program will be managed in parallel with the Growth and Renewal program to ensure high quality public housing while growing available public housing stock. </w:t>
      </w:r>
    </w:p>
    <w:p w14:paraId="4C20E500" w14:textId="77777777" w:rsidR="00CF0E2D" w:rsidRPr="00084D2D" w:rsidRDefault="00CF0E2D" w:rsidP="00A60D4B">
      <w:pPr>
        <w:pStyle w:val="Bbodytext"/>
      </w:pPr>
      <w:r w:rsidRPr="00084D2D">
        <w:t xml:space="preserve">This initiative builds on the investment of $8.9 million for general property and energy efficiency upgrades for public housing properties under the </w:t>
      </w:r>
      <w:r w:rsidRPr="001469DD">
        <w:rPr>
          <w:i/>
          <w:iCs/>
        </w:rPr>
        <w:t xml:space="preserve">Expanding investment in social housing initiative </w:t>
      </w:r>
      <w:r w:rsidRPr="00084D2D">
        <w:t xml:space="preserve">in the </w:t>
      </w:r>
      <w:r>
        <w:t xml:space="preserve">August </w:t>
      </w:r>
      <w:r w:rsidRPr="00084D2D">
        <w:t>2020 Economic and Fiscal Update.</w:t>
      </w:r>
    </w:p>
    <w:p w14:paraId="24FE2165" w14:textId="77777777" w:rsidR="00CF0E2D" w:rsidRDefault="00CF0E2D" w:rsidP="00A60D4B">
      <w:pPr>
        <w:pStyle w:val="Bbodytext"/>
      </w:pPr>
      <w:r w:rsidRPr="00084D2D">
        <w:t xml:space="preserve">This initiative contributes to the wellbeing domains of Housing and home and Safety.  </w:t>
      </w:r>
    </w:p>
    <w:p w14:paraId="4453E4DA" w14:textId="77777777" w:rsidR="00CF0E2D" w:rsidRPr="00084D2D" w:rsidRDefault="00CF0E2D" w:rsidP="00A60D4B">
      <w:pPr>
        <w:pStyle w:val="Bbodytext"/>
      </w:pPr>
    </w:p>
    <w:p w14:paraId="617F4BC5" w14:textId="77777777" w:rsidR="00CF0E2D" w:rsidRPr="00862F41" w:rsidRDefault="00CF0E2D" w:rsidP="00A60D4B">
      <w:pPr>
        <w:pStyle w:val="Heading4"/>
        <w:rPr>
          <w:rFonts w:eastAsia="Times New Roman"/>
        </w:rPr>
      </w:pPr>
      <w:r w:rsidRPr="00913D8D">
        <w:rPr>
          <w:rFonts w:eastAsia="Times New Roman"/>
        </w:rPr>
        <w:lastRenderedPageBreak/>
        <w:t xml:space="preserve">Growing and renewing public housing </w:t>
      </w:r>
      <w:r>
        <w:rPr>
          <w:rFonts w:eastAsia="Times New Roman"/>
        </w:rPr>
        <w:t>–</w:t>
      </w:r>
      <w:r w:rsidRPr="00913D8D">
        <w:rPr>
          <w:rFonts w:eastAsia="Times New Roman"/>
        </w:rPr>
        <w:t xml:space="preserve"> Year three of the Growth and Renewal Program</w:t>
      </w:r>
      <w:r>
        <w:rPr>
          <w:rFonts w:eastAsia="Times New Roman" w:cs="Times New Roman"/>
          <w:bCs/>
          <w:noProof/>
          <w:szCs w:val="26"/>
        </w:rPr>
        <w:drawing>
          <wp:anchor distT="0" distB="0" distL="114300" distR="114300" simplePos="0" relativeHeight="251856896" behindDoc="0" locked="1" layoutInCell="1" allowOverlap="1" wp14:anchorId="39B3B921" wp14:editId="3ED204CD">
            <wp:simplePos x="0" y="0"/>
            <wp:positionH relativeFrom="margin">
              <wp:align>right</wp:align>
            </wp:positionH>
            <wp:positionV relativeFrom="paragraph">
              <wp:posOffset>84455</wp:posOffset>
            </wp:positionV>
            <wp:extent cx="1104900" cy="503555"/>
            <wp:effectExtent l="0" t="0" r="0" b="0"/>
            <wp:wrapSquare wrapText="bothSides"/>
            <wp:docPr id="188" name="Picture 188" descr="Icon representing the wellbeing domain of Housing and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 representing the wellbeing domain of Housing and ho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10490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0776D52F" w14:textId="77777777" w:rsidTr="00A60D4B">
        <w:trPr>
          <w:cantSplit/>
          <w:jc w:val="center"/>
        </w:trPr>
        <w:tc>
          <w:tcPr>
            <w:tcW w:w="3652" w:type="dxa"/>
            <w:tcBorders>
              <w:top w:val="single" w:sz="4" w:space="0" w:color="auto"/>
              <w:bottom w:val="single" w:sz="4" w:space="0" w:color="auto"/>
            </w:tcBorders>
          </w:tcPr>
          <w:p w14:paraId="6B8AB6D4"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4394E34B" w14:textId="77777777" w:rsidR="00CF0E2D" w:rsidRPr="00D34A76" w:rsidRDefault="00CF0E2D" w:rsidP="00A60D4B">
            <w:pPr>
              <w:pStyle w:val="InitFigR"/>
              <w:keepNext/>
              <w:keepLines/>
              <w:rPr>
                <w:b/>
                <w:bCs/>
              </w:rPr>
            </w:pPr>
            <w:r w:rsidRPr="00D34A76">
              <w:rPr>
                <w:b/>
                <w:bCs/>
              </w:rPr>
              <w:t>2021-22</w:t>
            </w:r>
          </w:p>
          <w:p w14:paraId="41E08CE3" w14:textId="77777777" w:rsidR="00CF0E2D" w:rsidRPr="00D34A76" w:rsidRDefault="00CF0E2D" w:rsidP="00A60D4B">
            <w:pPr>
              <w:pStyle w:val="InitFigR"/>
              <w:keepNext/>
              <w:keepLines/>
              <w:rPr>
                <w:b/>
                <w:bCs/>
              </w:rPr>
            </w:pPr>
            <w:r w:rsidRPr="00D34A76">
              <w:rPr>
                <w:b/>
                <w:bCs/>
              </w:rPr>
              <w:t>$’000</w:t>
            </w:r>
          </w:p>
        </w:tc>
        <w:tc>
          <w:tcPr>
            <w:tcW w:w="1041" w:type="dxa"/>
            <w:tcBorders>
              <w:top w:val="single" w:sz="4" w:space="0" w:color="auto"/>
              <w:bottom w:val="single" w:sz="4" w:space="0" w:color="auto"/>
            </w:tcBorders>
          </w:tcPr>
          <w:p w14:paraId="5E89B5BB" w14:textId="77777777" w:rsidR="00CF0E2D" w:rsidRPr="00D34A76" w:rsidRDefault="00CF0E2D" w:rsidP="00A60D4B">
            <w:pPr>
              <w:pStyle w:val="InitFigR"/>
              <w:keepNext/>
              <w:keepLines/>
              <w:rPr>
                <w:b/>
                <w:bCs/>
              </w:rPr>
            </w:pPr>
            <w:r w:rsidRPr="00D34A76">
              <w:rPr>
                <w:b/>
                <w:bCs/>
              </w:rPr>
              <w:t>2022-23</w:t>
            </w:r>
          </w:p>
          <w:p w14:paraId="640DBBE5" w14:textId="77777777" w:rsidR="00CF0E2D" w:rsidRPr="00D34A76" w:rsidRDefault="00CF0E2D" w:rsidP="00A60D4B">
            <w:pPr>
              <w:pStyle w:val="InitFigR"/>
              <w:keepNext/>
              <w:keepLines/>
              <w:rPr>
                <w:b/>
                <w:bCs/>
              </w:rPr>
            </w:pPr>
            <w:r w:rsidRPr="00D34A76">
              <w:rPr>
                <w:b/>
                <w:bCs/>
              </w:rPr>
              <w:t>$’000</w:t>
            </w:r>
          </w:p>
        </w:tc>
        <w:tc>
          <w:tcPr>
            <w:tcW w:w="1029" w:type="dxa"/>
            <w:tcBorders>
              <w:top w:val="single" w:sz="4" w:space="0" w:color="auto"/>
              <w:bottom w:val="single" w:sz="4" w:space="0" w:color="auto"/>
            </w:tcBorders>
          </w:tcPr>
          <w:p w14:paraId="7DEE2EC8" w14:textId="77777777" w:rsidR="00CF0E2D" w:rsidRPr="00D34A76" w:rsidRDefault="00CF0E2D" w:rsidP="00A60D4B">
            <w:pPr>
              <w:pStyle w:val="InitFigR"/>
              <w:keepNext/>
              <w:keepLines/>
              <w:rPr>
                <w:b/>
                <w:bCs/>
              </w:rPr>
            </w:pPr>
            <w:r w:rsidRPr="00D34A76">
              <w:rPr>
                <w:b/>
                <w:bCs/>
              </w:rPr>
              <w:t>2023-24</w:t>
            </w:r>
          </w:p>
          <w:p w14:paraId="3585B2C1" w14:textId="77777777" w:rsidR="00CF0E2D" w:rsidRPr="00D34A76" w:rsidRDefault="00CF0E2D" w:rsidP="00A60D4B">
            <w:pPr>
              <w:pStyle w:val="InitFigR"/>
              <w:keepNext/>
              <w:keepLines/>
              <w:rPr>
                <w:b/>
                <w:bCs/>
              </w:rPr>
            </w:pPr>
            <w:r w:rsidRPr="00D34A76">
              <w:rPr>
                <w:b/>
                <w:bCs/>
              </w:rPr>
              <w:t>$’000</w:t>
            </w:r>
          </w:p>
        </w:tc>
        <w:tc>
          <w:tcPr>
            <w:tcW w:w="1029" w:type="dxa"/>
            <w:tcBorders>
              <w:top w:val="single" w:sz="4" w:space="0" w:color="auto"/>
              <w:bottom w:val="single" w:sz="4" w:space="0" w:color="auto"/>
            </w:tcBorders>
          </w:tcPr>
          <w:p w14:paraId="652778F1" w14:textId="77777777" w:rsidR="00CF0E2D" w:rsidRPr="00D34A76" w:rsidRDefault="00CF0E2D" w:rsidP="00A60D4B">
            <w:pPr>
              <w:pStyle w:val="InitFigR"/>
              <w:keepNext/>
              <w:keepLines/>
              <w:rPr>
                <w:b/>
                <w:bCs/>
              </w:rPr>
            </w:pPr>
            <w:r w:rsidRPr="00D34A76">
              <w:rPr>
                <w:b/>
                <w:bCs/>
              </w:rPr>
              <w:t>2024-25</w:t>
            </w:r>
          </w:p>
          <w:p w14:paraId="3657A5CB" w14:textId="77777777" w:rsidR="00CF0E2D" w:rsidRPr="00D34A76" w:rsidRDefault="00CF0E2D" w:rsidP="00A60D4B">
            <w:pPr>
              <w:pStyle w:val="InitFigR"/>
              <w:keepNext/>
              <w:keepLines/>
              <w:rPr>
                <w:b/>
                <w:bCs/>
              </w:rPr>
            </w:pPr>
            <w:r w:rsidRPr="00D34A76">
              <w:rPr>
                <w:b/>
                <w:bCs/>
              </w:rPr>
              <w:t>$’000</w:t>
            </w:r>
          </w:p>
        </w:tc>
        <w:tc>
          <w:tcPr>
            <w:tcW w:w="1029" w:type="dxa"/>
            <w:tcBorders>
              <w:top w:val="single" w:sz="4" w:space="0" w:color="auto"/>
              <w:bottom w:val="single" w:sz="4" w:space="0" w:color="auto"/>
            </w:tcBorders>
          </w:tcPr>
          <w:p w14:paraId="5B803A55" w14:textId="77777777" w:rsidR="00CF0E2D" w:rsidRPr="004E341E" w:rsidRDefault="00CF0E2D" w:rsidP="00A60D4B">
            <w:pPr>
              <w:pStyle w:val="InitFigRBold"/>
              <w:keepNext/>
              <w:keepLines/>
            </w:pPr>
            <w:r w:rsidRPr="004E341E">
              <w:t>Total</w:t>
            </w:r>
          </w:p>
          <w:p w14:paraId="614AA3B2" w14:textId="77777777" w:rsidR="00CF0E2D" w:rsidRPr="004E341E" w:rsidRDefault="00CF0E2D" w:rsidP="00A60D4B">
            <w:pPr>
              <w:pStyle w:val="InitFigBR"/>
              <w:keepNext/>
              <w:keepLines/>
            </w:pPr>
            <w:r w:rsidRPr="004E341E">
              <w:t>$’000</w:t>
            </w:r>
          </w:p>
        </w:tc>
      </w:tr>
      <w:tr w:rsidR="00CF0E2D" w:rsidRPr="00750793" w14:paraId="32A2D30F" w14:textId="77777777" w:rsidTr="00A60D4B">
        <w:trPr>
          <w:cantSplit/>
          <w:jc w:val="center"/>
        </w:trPr>
        <w:tc>
          <w:tcPr>
            <w:tcW w:w="3652" w:type="dxa"/>
            <w:tcBorders>
              <w:top w:val="single" w:sz="4" w:space="0" w:color="auto"/>
            </w:tcBorders>
          </w:tcPr>
          <w:p w14:paraId="74DD26AA" w14:textId="77777777" w:rsidR="00CF0E2D" w:rsidRDefault="00CF0E2D" w:rsidP="00A60D4B">
            <w:pPr>
              <w:pStyle w:val="InitTextL"/>
              <w:keepNext/>
              <w:keepLines/>
              <w:ind w:left="321" w:hanging="321"/>
            </w:pPr>
            <w:r>
              <w:t>Capital</w:t>
            </w:r>
          </w:p>
        </w:tc>
        <w:tc>
          <w:tcPr>
            <w:tcW w:w="1179" w:type="dxa"/>
            <w:tcBorders>
              <w:top w:val="single" w:sz="4" w:space="0" w:color="auto"/>
            </w:tcBorders>
          </w:tcPr>
          <w:p w14:paraId="6321499B" w14:textId="77777777" w:rsidR="00CF0E2D" w:rsidRDefault="00CF0E2D" w:rsidP="00A60D4B">
            <w:pPr>
              <w:pStyle w:val="InitFigR"/>
              <w:keepNext/>
              <w:keepLines/>
            </w:pPr>
            <w:r>
              <w:t>18,560</w:t>
            </w:r>
          </w:p>
        </w:tc>
        <w:tc>
          <w:tcPr>
            <w:tcW w:w="1041" w:type="dxa"/>
            <w:tcBorders>
              <w:top w:val="single" w:sz="4" w:space="0" w:color="auto"/>
            </w:tcBorders>
          </w:tcPr>
          <w:p w14:paraId="0F11B746" w14:textId="77777777" w:rsidR="00CF0E2D" w:rsidRDefault="00CF0E2D" w:rsidP="00A60D4B">
            <w:pPr>
              <w:pStyle w:val="InitFigR"/>
              <w:keepNext/>
              <w:keepLines/>
            </w:pPr>
            <w:r>
              <w:t>0</w:t>
            </w:r>
          </w:p>
        </w:tc>
        <w:tc>
          <w:tcPr>
            <w:tcW w:w="1029" w:type="dxa"/>
            <w:tcBorders>
              <w:top w:val="single" w:sz="4" w:space="0" w:color="auto"/>
            </w:tcBorders>
          </w:tcPr>
          <w:p w14:paraId="35B0A47D" w14:textId="77777777" w:rsidR="00CF0E2D" w:rsidRDefault="00CF0E2D" w:rsidP="00A60D4B">
            <w:pPr>
              <w:pStyle w:val="InitFigR"/>
              <w:keepNext/>
              <w:keepLines/>
            </w:pPr>
            <w:r>
              <w:t>0</w:t>
            </w:r>
          </w:p>
        </w:tc>
        <w:tc>
          <w:tcPr>
            <w:tcW w:w="1029" w:type="dxa"/>
            <w:tcBorders>
              <w:top w:val="single" w:sz="4" w:space="0" w:color="auto"/>
            </w:tcBorders>
          </w:tcPr>
          <w:p w14:paraId="54A321C1" w14:textId="77777777" w:rsidR="00CF0E2D" w:rsidRDefault="00CF0E2D" w:rsidP="00A60D4B">
            <w:pPr>
              <w:pStyle w:val="InitFigR"/>
              <w:keepNext/>
              <w:keepLines/>
            </w:pPr>
            <w:r>
              <w:t>0</w:t>
            </w:r>
          </w:p>
        </w:tc>
        <w:tc>
          <w:tcPr>
            <w:tcW w:w="1029" w:type="dxa"/>
            <w:tcBorders>
              <w:top w:val="single" w:sz="4" w:space="0" w:color="auto"/>
            </w:tcBorders>
          </w:tcPr>
          <w:p w14:paraId="1152DADC" w14:textId="77777777" w:rsidR="00CF0E2D" w:rsidRPr="004B63FB" w:rsidRDefault="00CF0E2D" w:rsidP="00A60D4B">
            <w:pPr>
              <w:pStyle w:val="InitFigRBold"/>
              <w:keepNext/>
              <w:keepLines/>
              <w:rPr>
                <w:bCs/>
              </w:rPr>
            </w:pPr>
            <w:r>
              <w:rPr>
                <w:bCs/>
              </w:rPr>
              <w:t>18,560</w:t>
            </w:r>
          </w:p>
        </w:tc>
      </w:tr>
      <w:tr w:rsidR="00CF0E2D" w:rsidRPr="00750793" w14:paraId="562B9962" w14:textId="77777777" w:rsidTr="00A60D4B">
        <w:trPr>
          <w:cantSplit/>
          <w:jc w:val="center"/>
        </w:trPr>
        <w:tc>
          <w:tcPr>
            <w:tcW w:w="3652" w:type="dxa"/>
          </w:tcPr>
          <w:p w14:paraId="2B87B593" w14:textId="77777777" w:rsidR="00CF0E2D" w:rsidRDefault="00CF0E2D" w:rsidP="00A60D4B">
            <w:pPr>
              <w:pStyle w:val="InitTextL"/>
              <w:keepNext/>
              <w:keepLines/>
              <w:ind w:left="321" w:hanging="321"/>
            </w:pPr>
            <w:r>
              <w:t xml:space="preserve">Offset – Existing Capital Provision </w:t>
            </w:r>
          </w:p>
        </w:tc>
        <w:tc>
          <w:tcPr>
            <w:tcW w:w="1179" w:type="dxa"/>
          </w:tcPr>
          <w:p w14:paraId="104D9B0D" w14:textId="77777777" w:rsidR="00CF0E2D" w:rsidRDefault="00CF0E2D" w:rsidP="00A60D4B">
            <w:pPr>
              <w:pStyle w:val="InitFigR"/>
              <w:keepNext/>
              <w:keepLines/>
            </w:pPr>
            <w:r>
              <w:t>-20,000</w:t>
            </w:r>
          </w:p>
        </w:tc>
        <w:tc>
          <w:tcPr>
            <w:tcW w:w="1041" w:type="dxa"/>
          </w:tcPr>
          <w:p w14:paraId="0C42029D" w14:textId="77777777" w:rsidR="00CF0E2D" w:rsidRDefault="00CF0E2D" w:rsidP="00A60D4B">
            <w:pPr>
              <w:pStyle w:val="InitFigR"/>
              <w:keepNext/>
              <w:keepLines/>
            </w:pPr>
            <w:r>
              <w:t>0</w:t>
            </w:r>
          </w:p>
        </w:tc>
        <w:tc>
          <w:tcPr>
            <w:tcW w:w="1029" w:type="dxa"/>
          </w:tcPr>
          <w:p w14:paraId="5B6B000C" w14:textId="77777777" w:rsidR="00CF0E2D" w:rsidRDefault="00CF0E2D" w:rsidP="00A60D4B">
            <w:pPr>
              <w:pStyle w:val="InitFigR"/>
              <w:keepNext/>
              <w:keepLines/>
            </w:pPr>
            <w:r>
              <w:t>0</w:t>
            </w:r>
          </w:p>
        </w:tc>
        <w:tc>
          <w:tcPr>
            <w:tcW w:w="1029" w:type="dxa"/>
          </w:tcPr>
          <w:p w14:paraId="32EDC359" w14:textId="77777777" w:rsidR="00CF0E2D" w:rsidRDefault="00CF0E2D" w:rsidP="00A60D4B">
            <w:pPr>
              <w:pStyle w:val="InitFigR"/>
              <w:keepNext/>
              <w:keepLines/>
            </w:pPr>
            <w:r>
              <w:t>0</w:t>
            </w:r>
          </w:p>
        </w:tc>
        <w:tc>
          <w:tcPr>
            <w:tcW w:w="1029" w:type="dxa"/>
          </w:tcPr>
          <w:p w14:paraId="666BF1E4" w14:textId="77777777" w:rsidR="00CF0E2D" w:rsidRPr="004B63FB" w:rsidRDefault="00CF0E2D" w:rsidP="00A60D4B">
            <w:pPr>
              <w:pStyle w:val="InitFigRBold"/>
              <w:keepNext/>
              <w:keepLines/>
              <w:rPr>
                <w:bCs/>
              </w:rPr>
            </w:pPr>
            <w:r w:rsidRPr="004B63FB">
              <w:rPr>
                <w:bCs/>
              </w:rPr>
              <w:t>-</w:t>
            </w:r>
            <w:r>
              <w:rPr>
                <w:bCs/>
              </w:rPr>
              <w:t>20,000</w:t>
            </w:r>
          </w:p>
        </w:tc>
      </w:tr>
      <w:tr w:rsidR="00CF0E2D" w:rsidRPr="00750793" w14:paraId="25D24C4C" w14:textId="77777777" w:rsidTr="00A60D4B">
        <w:trPr>
          <w:cantSplit/>
          <w:jc w:val="center"/>
        </w:trPr>
        <w:tc>
          <w:tcPr>
            <w:tcW w:w="3652" w:type="dxa"/>
          </w:tcPr>
          <w:p w14:paraId="61A83178" w14:textId="77777777" w:rsidR="00CF0E2D" w:rsidRDefault="00CF0E2D" w:rsidP="00A60D4B">
            <w:pPr>
              <w:pStyle w:val="InitTextL"/>
              <w:keepNext/>
              <w:keepLines/>
              <w:ind w:left="321" w:hanging="321"/>
            </w:pPr>
            <w:r>
              <w:t>Offset – Capital – New Provision</w:t>
            </w:r>
          </w:p>
        </w:tc>
        <w:tc>
          <w:tcPr>
            <w:tcW w:w="1179" w:type="dxa"/>
          </w:tcPr>
          <w:p w14:paraId="0C7EC5E1" w14:textId="77777777" w:rsidR="00CF0E2D" w:rsidRDefault="00CF0E2D" w:rsidP="00A60D4B">
            <w:pPr>
              <w:pStyle w:val="InitFigR"/>
              <w:keepNext/>
              <w:keepLines/>
            </w:pPr>
            <w:r>
              <w:t>0</w:t>
            </w:r>
          </w:p>
        </w:tc>
        <w:tc>
          <w:tcPr>
            <w:tcW w:w="1041" w:type="dxa"/>
          </w:tcPr>
          <w:p w14:paraId="7679F0D2" w14:textId="77777777" w:rsidR="00CF0E2D" w:rsidRDefault="00CF0E2D" w:rsidP="00A60D4B">
            <w:pPr>
              <w:pStyle w:val="InitFigR"/>
              <w:keepNext/>
              <w:keepLines/>
            </w:pPr>
            <w:r>
              <w:t>2,386</w:t>
            </w:r>
          </w:p>
        </w:tc>
        <w:tc>
          <w:tcPr>
            <w:tcW w:w="1029" w:type="dxa"/>
          </w:tcPr>
          <w:p w14:paraId="3F18AF4F" w14:textId="77777777" w:rsidR="00CF0E2D" w:rsidRDefault="00CF0E2D" w:rsidP="00A60D4B">
            <w:pPr>
              <w:pStyle w:val="InitFigR"/>
              <w:keepNext/>
              <w:keepLines/>
            </w:pPr>
            <w:r>
              <w:t>2,419</w:t>
            </w:r>
          </w:p>
        </w:tc>
        <w:tc>
          <w:tcPr>
            <w:tcW w:w="1029" w:type="dxa"/>
          </w:tcPr>
          <w:p w14:paraId="310A4FD4" w14:textId="77777777" w:rsidR="00CF0E2D" w:rsidRDefault="00CF0E2D" w:rsidP="00A60D4B">
            <w:pPr>
              <w:pStyle w:val="InitFigR"/>
              <w:keepNext/>
              <w:keepLines/>
            </w:pPr>
            <w:r>
              <w:t>12,452</w:t>
            </w:r>
          </w:p>
        </w:tc>
        <w:tc>
          <w:tcPr>
            <w:tcW w:w="1029" w:type="dxa"/>
          </w:tcPr>
          <w:p w14:paraId="73A54198" w14:textId="77777777" w:rsidR="00CF0E2D" w:rsidRPr="004B63FB" w:rsidRDefault="00CF0E2D" w:rsidP="00A60D4B">
            <w:pPr>
              <w:pStyle w:val="InitFigRBold"/>
              <w:keepNext/>
              <w:keepLines/>
              <w:rPr>
                <w:bCs/>
              </w:rPr>
            </w:pPr>
            <w:r>
              <w:rPr>
                <w:bCs/>
              </w:rPr>
              <w:t>17,257</w:t>
            </w:r>
          </w:p>
        </w:tc>
      </w:tr>
      <w:tr w:rsidR="00CF0E2D" w:rsidRPr="00750793" w14:paraId="748CFD2D" w14:textId="77777777" w:rsidTr="00A60D4B">
        <w:trPr>
          <w:cantSplit/>
          <w:jc w:val="center"/>
        </w:trPr>
        <w:tc>
          <w:tcPr>
            <w:tcW w:w="3652" w:type="dxa"/>
            <w:tcBorders>
              <w:bottom w:val="single" w:sz="4" w:space="0" w:color="auto"/>
            </w:tcBorders>
          </w:tcPr>
          <w:p w14:paraId="0FC5BEA1" w14:textId="77777777" w:rsidR="00CF0E2D" w:rsidRDefault="00CF0E2D" w:rsidP="00A60D4B">
            <w:pPr>
              <w:pStyle w:val="InitTextL"/>
              <w:keepNext/>
              <w:keepLines/>
              <w:ind w:left="321" w:hanging="321"/>
            </w:pPr>
            <w:r>
              <w:t>Adjustments to existing provision</w:t>
            </w:r>
          </w:p>
        </w:tc>
        <w:tc>
          <w:tcPr>
            <w:tcW w:w="1179" w:type="dxa"/>
            <w:tcBorders>
              <w:bottom w:val="single" w:sz="4" w:space="0" w:color="auto"/>
            </w:tcBorders>
          </w:tcPr>
          <w:p w14:paraId="302ED0C0" w14:textId="77777777" w:rsidR="00CF0E2D" w:rsidRDefault="00CF0E2D" w:rsidP="00A60D4B">
            <w:pPr>
              <w:pStyle w:val="InitFigR"/>
              <w:keepNext/>
              <w:keepLines/>
            </w:pPr>
            <w:r>
              <w:t>3,200</w:t>
            </w:r>
          </w:p>
        </w:tc>
        <w:tc>
          <w:tcPr>
            <w:tcW w:w="1041" w:type="dxa"/>
            <w:tcBorders>
              <w:bottom w:val="single" w:sz="4" w:space="0" w:color="auto"/>
            </w:tcBorders>
          </w:tcPr>
          <w:p w14:paraId="0F0B1A50" w14:textId="77777777" w:rsidR="00CF0E2D" w:rsidRDefault="00CF0E2D" w:rsidP="00A60D4B">
            <w:pPr>
              <w:pStyle w:val="InitFigR"/>
              <w:keepNext/>
              <w:keepLines/>
            </w:pPr>
            <w:r>
              <w:t>0</w:t>
            </w:r>
          </w:p>
        </w:tc>
        <w:tc>
          <w:tcPr>
            <w:tcW w:w="1029" w:type="dxa"/>
            <w:tcBorders>
              <w:bottom w:val="single" w:sz="4" w:space="0" w:color="auto"/>
            </w:tcBorders>
          </w:tcPr>
          <w:p w14:paraId="37FD2A42" w14:textId="77777777" w:rsidR="00CF0E2D" w:rsidRDefault="00CF0E2D" w:rsidP="00A60D4B">
            <w:pPr>
              <w:pStyle w:val="InitFigR"/>
              <w:keepNext/>
              <w:keepLines/>
            </w:pPr>
            <w:r>
              <w:t>0</w:t>
            </w:r>
          </w:p>
        </w:tc>
        <w:tc>
          <w:tcPr>
            <w:tcW w:w="1029" w:type="dxa"/>
            <w:tcBorders>
              <w:bottom w:val="single" w:sz="4" w:space="0" w:color="auto"/>
            </w:tcBorders>
          </w:tcPr>
          <w:p w14:paraId="064AEC7D" w14:textId="77777777" w:rsidR="00CF0E2D" w:rsidRDefault="00CF0E2D" w:rsidP="00A60D4B">
            <w:pPr>
              <w:pStyle w:val="InitFigR"/>
              <w:keepNext/>
              <w:keepLines/>
            </w:pPr>
            <w:r>
              <w:t>0</w:t>
            </w:r>
          </w:p>
        </w:tc>
        <w:tc>
          <w:tcPr>
            <w:tcW w:w="1029" w:type="dxa"/>
            <w:tcBorders>
              <w:bottom w:val="single" w:sz="4" w:space="0" w:color="auto"/>
            </w:tcBorders>
          </w:tcPr>
          <w:p w14:paraId="035F27F8" w14:textId="77777777" w:rsidR="00CF0E2D" w:rsidRPr="004B63FB" w:rsidRDefault="00CF0E2D" w:rsidP="00A60D4B">
            <w:pPr>
              <w:pStyle w:val="InitFigRBold"/>
              <w:keepNext/>
              <w:keepLines/>
              <w:rPr>
                <w:bCs/>
              </w:rPr>
            </w:pPr>
            <w:r>
              <w:rPr>
                <w:bCs/>
              </w:rPr>
              <w:t>3,200</w:t>
            </w:r>
          </w:p>
        </w:tc>
      </w:tr>
      <w:tr w:rsidR="00CF0E2D" w:rsidRPr="00750793" w14:paraId="19A4C8E3" w14:textId="77777777" w:rsidTr="00A60D4B">
        <w:trPr>
          <w:cantSplit/>
          <w:jc w:val="center"/>
        </w:trPr>
        <w:tc>
          <w:tcPr>
            <w:tcW w:w="3652" w:type="dxa"/>
            <w:tcBorders>
              <w:top w:val="single" w:sz="4" w:space="0" w:color="auto"/>
              <w:bottom w:val="single" w:sz="4" w:space="0" w:color="auto"/>
            </w:tcBorders>
          </w:tcPr>
          <w:p w14:paraId="5FD9AE5E" w14:textId="57B6ECDC" w:rsidR="00CF0E2D" w:rsidRPr="00D13A71" w:rsidRDefault="00F57411" w:rsidP="00A60D4B">
            <w:pPr>
              <w:pStyle w:val="InitTextL"/>
              <w:keepNext/>
              <w:keepLines/>
              <w:ind w:left="321" w:hanging="321"/>
              <w:rPr>
                <w:b/>
                <w:bCs/>
              </w:rPr>
            </w:pPr>
            <w:r>
              <w:rPr>
                <w:b/>
                <w:bCs/>
              </w:rPr>
              <w:t>Net capital</w:t>
            </w:r>
          </w:p>
        </w:tc>
        <w:tc>
          <w:tcPr>
            <w:tcW w:w="1179" w:type="dxa"/>
            <w:tcBorders>
              <w:top w:val="single" w:sz="4" w:space="0" w:color="auto"/>
              <w:bottom w:val="single" w:sz="4" w:space="0" w:color="auto"/>
            </w:tcBorders>
          </w:tcPr>
          <w:p w14:paraId="3D033247" w14:textId="77777777" w:rsidR="00CF0E2D" w:rsidRPr="00D34A76" w:rsidRDefault="00CF0E2D" w:rsidP="00A60D4B">
            <w:pPr>
              <w:pStyle w:val="InitFigR"/>
              <w:keepNext/>
              <w:keepLines/>
              <w:rPr>
                <w:b/>
                <w:bCs/>
              </w:rPr>
            </w:pPr>
            <w:r w:rsidRPr="00D34A76">
              <w:rPr>
                <w:b/>
                <w:bCs/>
              </w:rPr>
              <w:t>1,760</w:t>
            </w:r>
          </w:p>
        </w:tc>
        <w:tc>
          <w:tcPr>
            <w:tcW w:w="1041" w:type="dxa"/>
            <w:tcBorders>
              <w:top w:val="single" w:sz="4" w:space="0" w:color="auto"/>
              <w:bottom w:val="single" w:sz="4" w:space="0" w:color="auto"/>
            </w:tcBorders>
          </w:tcPr>
          <w:p w14:paraId="3EAC975F" w14:textId="77777777" w:rsidR="00CF0E2D" w:rsidRPr="00D34A76" w:rsidRDefault="00CF0E2D" w:rsidP="00A60D4B">
            <w:pPr>
              <w:pStyle w:val="InitFigR"/>
              <w:keepNext/>
              <w:keepLines/>
              <w:rPr>
                <w:b/>
                <w:bCs/>
              </w:rPr>
            </w:pPr>
            <w:r w:rsidRPr="00D34A76">
              <w:rPr>
                <w:b/>
                <w:bCs/>
              </w:rPr>
              <w:t>2,386</w:t>
            </w:r>
          </w:p>
        </w:tc>
        <w:tc>
          <w:tcPr>
            <w:tcW w:w="1029" w:type="dxa"/>
            <w:tcBorders>
              <w:top w:val="single" w:sz="4" w:space="0" w:color="auto"/>
              <w:bottom w:val="single" w:sz="4" w:space="0" w:color="auto"/>
            </w:tcBorders>
          </w:tcPr>
          <w:p w14:paraId="7E37FF95" w14:textId="77777777" w:rsidR="00CF0E2D" w:rsidRPr="00D34A76" w:rsidRDefault="00CF0E2D" w:rsidP="00A60D4B">
            <w:pPr>
              <w:pStyle w:val="InitFigR"/>
              <w:keepNext/>
              <w:keepLines/>
              <w:rPr>
                <w:b/>
                <w:bCs/>
              </w:rPr>
            </w:pPr>
            <w:r w:rsidRPr="00D34A76">
              <w:rPr>
                <w:b/>
                <w:bCs/>
              </w:rPr>
              <w:t>2,419</w:t>
            </w:r>
          </w:p>
        </w:tc>
        <w:tc>
          <w:tcPr>
            <w:tcW w:w="1029" w:type="dxa"/>
            <w:tcBorders>
              <w:top w:val="single" w:sz="4" w:space="0" w:color="auto"/>
              <w:bottom w:val="single" w:sz="4" w:space="0" w:color="auto"/>
            </w:tcBorders>
          </w:tcPr>
          <w:p w14:paraId="455502CC" w14:textId="77777777" w:rsidR="00CF0E2D" w:rsidRPr="00D34A76" w:rsidRDefault="00CF0E2D" w:rsidP="00A60D4B">
            <w:pPr>
              <w:pStyle w:val="InitFigR"/>
              <w:keepNext/>
              <w:keepLines/>
              <w:rPr>
                <w:b/>
                <w:bCs/>
              </w:rPr>
            </w:pPr>
            <w:r w:rsidRPr="00D34A76">
              <w:rPr>
                <w:b/>
                <w:bCs/>
              </w:rPr>
              <w:t>12,452</w:t>
            </w:r>
          </w:p>
        </w:tc>
        <w:tc>
          <w:tcPr>
            <w:tcW w:w="1029" w:type="dxa"/>
            <w:tcBorders>
              <w:top w:val="single" w:sz="4" w:space="0" w:color="auto"/>
              <w:bottom w:val="single" w:sz="4" w:space="0" w:color="auto"/>
            </w:tcBorders>
          </w:tcPr>
          <w:p w14:paraId="695915C3" w14:textId="77777777" w:rsidR="00CF0E2D" w:rsidRPr="004B63FB" w:rsidRDefault="00CF0E2D" w:rsidP="00A60D4B">
            <w:pPr>
              <w:pStyle w:val="InitFigRBold"/>
              <w:keepNext/>
              <w:keepLines/>
              <w:rPr>
                <w:bCs/>
              </w:rPr>
            </w:pPr>
            <w:r w:rsidRPr="004B63FB">
              <w:rPr>
                <w:bCs/>
              </w:rPr>
              <w:t>19,</w:t>
            </w:r>
            <w:r>
              <w:rPr>
                <w:bCs/>
              </w:rPr>
              <w:t>017</w:t>
            </w:r>
          </w:p>
        </w:tc>
      </w:tr>
    </w:tbl>
    <w:p w14:paraId="61BB6748" w14:textId="77777777" w:rsidR="00CF0E2D" w:rsidRPr="00084D2D" w:rsidRDefault="00CF0E2D" w:rsidP="00A60D4B">
      <w:pPr>
        <w:pStyle w:val="Bbodytext"/>
        <w:keepNext/>
        <w:keepLines/>
      </w:pPr>
      <w:r w:rsidRPr="00084D2D">
        <w:t xml:space="preserve">The Government will continue to deliver the Growing and Renewing Public Housing program </w:t>
      </w:r>
      <w:r>
        <w:t>and</w:t>
      </w:r>
      <w:r w:rsidRPr="00084D2D">
        <w:t xml:space="preserve"> will provid</w:t>
      </w:r>
      <w:r>
        <w:t>e</w:t>
      </w:r>
      <w:r w:rsidRPr="00084D2D">
        <w:t xml:space="preserve"> additional capital funding to construct 60 public housing dwellings on recently purchased land, further increasing the public housing portfolio. </w:t>
      </w:r>
    </w:p>
    <w:p w14:paraId="6D76258C" w14:textId="77777777" w:rsidR="00CF0E2D" w:rsidRPr="00084D2D" w:rsidRDefault="00CF0E2D" w:rsidP="00A60D4B">
      <w:pPr>
        <w:pStyle w:val="Bbodytext"/>
      </w:pPr>
      <w:r w:rsidRPr="00084D2D">
        <w:t xml:space="preserve">This initiative builds on funding provided in the 2019-20 Budget of $100 million over five years to deliver at least 200 more dwellings and renew another 1,000 properties. Further funding of $52 million was provided under the </w:t>
      </w:r>
      <w:r w:rsidRPr="00E72E5D">
        <w:rPr>
          <w:i/>
          <w:iCs/>
        </w:rPr>
        <w:t>Expanding investment in social housing initiative</w:t>
      </w:r>
      <w:r w:rsidRPr="00084D2D">
        <w:t xml:space="preserve"> in the </w:t>
      </w:r>
      <w:r>
        <w:t xml:space="preserve">August </w:t>
      </w:r>
      <w:r w:rsidRPr="00084D2D">
        <w:t xml:space="preserve">2020 Economic and Fiscal Update. </w:t>
      </w:r>
    </w:p>
    <w:p w14:paraId="688B5761" w14:textId="77777777" w:rsidR="00CF0E2D" w:rsidRPr="00084D2D" w:rsidRDefault="00CF0E2D" w:rsidP="00A60D4B">
      <w:pPr>
        <w:pStyle w:val="Bbodytext"/>
      </w:pPr>
      <w:r w:rsidRPr="00084D2D">
        <w:t>This initiative significantly contributes to the wellbeing domain</w:t>
      </w:r>
      <w:r>
        <w:t>s</w:t>
      </w:r>
      <w:r w:rsidRPr="00084D2D">
        <w:t xml:space="preserve"> of Housing and </w:t>
      </w:r>
      <w:r>
        <w:t>h</w:t>
      </w:r>
      <w:r w:rsidRPr="00084D2D">
        <w:t>ome</w:t>
      </w:r>
      <w:r>
        <w:t>,</w:t>
      </w:r>
      <w:r w:rsidRPr="00084D2D">
        <w:t xml:space="preserve"> Living </w:t>
      </w:r>
      <w:r>
        <w:t>s</w:t>
      </w:r>
      <w:r w:rsidRPr="00084D2D">
        <w:t>tandards and Safety.</w:t>
      </w:r>
    </w:p>
    <w:p w14:paraId="44A41741" w14:textId="77777777" w:rsidR="00CF0E2D" w:rsidRDefault="00CF0E2D" w:rsidP="00A60D4B"/>
    <w:p w14:paraId="661CEB7B" w14:textId="77777777" w:rsidR="00CF0E2D" w:rsidRDefault="00CF0E2D">
      <w:r>
        <w:br w:type="page"/>
      </w:r>
    </w:p>
    <w:p w14:paraId="7E82C9D6" w14:textId="77777777" w:rsidR="00CF0E2D" w:rsidRDefault="00CF0E2D" w:rsidP="00A60D4B">
      <w:pPr>
        <w:pStyle w:val="Heading3"/>
      </w:pPr>
      <w:r>
        <w:rPr>
          <w:b w:val="0"/>
          <w:noProof/>
        </w:rPr>
        <w:lastRenderedPageBreak/>
        <w:drawing>
          <wp:anchor distT="0" distB="0" distL="114300" distR="114300" simplePos="0" relativeHeight="251892736" behindDoc="0" locked="1" layoutInCell="1" allowOverlap="1" wp14:anchorId="1A0EEFD6" wp14:editId="4A13A388">
            <wp:simplePos x="0" y="0"/>
            <wp:positionH relativeFrom="margin">
              <wp:posOffset>4725670</wp:posOffset>
            </wp:positionH>
            <wp:positionV relativeFrom="paragraph">
              <wp:posOffset>528320</wp:posOffset>
            </wp:positionV>
            <wp:extent cx="989965" cy="503555"/>
            <wp:effectExtent l="0" t="0" r="635" b="0"/>
            <wp:wrapSquare wrapText="bothSides"/>
            <wp:docPr id="189" name="Picture 189"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r w:rsidRPr="008D7AA2">
        <w:t>JUSTICE AND COMMUNITY SAFETY DIRECTORATE</w:t>
      </w:r>
    </w:p>
    <w:p w14:paraId="7A86161E" w14:textId="77777777" w:rsidR="00CF0E2D" w:rsidRDefault="00CF0E2D" w:rsidP="00A60D4B">
      <w:pPr>
        <w:pStyle w:val="Bbodytext"/>
      </w:pPr>
    </w:p>
    <w:p w14:paraId="050B7503" w14:textId="77777777" w:rsidR="00CF0E2D" w:rsidRPr="008B783C" w:rsidRDefault="00CF0E2D" w:rsidP="00A60D4B">
      <w:pPr>
        <w:pStyle w:val="Heading4"/>
        <w:rPr>
          <w:rFonts w:eastAsia="Times New Roman"/>
        </w:rPr>
      </w:pPr>
      <w:r w:rsidRPr="008B783C">
        <w:rPr>
          <w:rFonts w:eastAsia="Times New Roman"/>
        </w:rPr>
        <w:t xml:space="preserve">ACT Law Courts upgrades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4E341E" w14:paraId="0532FBFE" w14:textId="77777777" w:rsidTr="00A60D4B">
        <w:trPr>
          <w:cantSplit/>
          <w:jc w:val="center"/>
        </w:trPr>
        <w:tc>
          <w:tcPr>
            <w:tcW w:w="3652" w:type="dxa"/>
            <w:tcBorders>
              <w:top w:val="single" w:sz="4" w:space="0" w:color="auto"/>
              <w:bottom w:val="single" w:sz="4" w:space="0" w:color="auto"/>
            </w:tcBorders>
          </w:tcPr>
          <w:p w14:paraId="2394AE29"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19EA2BF8" w14:textId="77777777" w:rsidR="00CF0E2D" w:rsidRPr="00B7386B" w:rsidRDefault="00CF0E2D" w:rsidP="00A60D4B">
            <w:pPr>
              <w:pStyle w:val="InitFigR"/>
              <w:rPr>
                <w:b/>
                <w:bCs/>
              </w:rPr>
            </w:pPr>
            <w:r w:rsidRPr="00B7386B">
              <w:rPr>
                <w:b/>
                <w:bCs/>
              </w:rPr>
              <w:t>2021-22</w:t>
            </w:r>
          </w:p>
          <w:p w14:paraId="47A5911A" w14:textId="77777777" w:rsidR="00CF0E2D" w:rsidRPr="00B7386B" w:rsidRDefault="00CF0E2D" w:rsidP="00A60D4B">
            <w:pPr>
              <w:pStyle w:val="InitFigR"/>
              <w:rPr>
                <w:b/>
                <w:bCs/>
              </w:rPr>
            </w:pPr>
            <w:r w:rsidRPr="00B7386B">
              <w:rPr>
                <w:b/>
                <w:bCs/>
              </w:rPr>
              <w:t>$’000</w:t>
            </w:r>
          </w:p>
        </w:tc>
        <w:tc>
          <w:tcPr>
            <w:tcW w:w="1041" w:type="dxa"/>
            <w:tcBorders>
              <w:top w:val="single" w:sz="4" w:space="0" w:color="auto"/>
              <w:bottom w:val="single" w:sz="4" w:space="0" w:color="auto"/>
            </w:tcBorders>
          </w:tcPr>
          <w:p w14:paraId="35BC5B47" w14:textId="77777777" w:rsidR="00CF0E2D" w:rsidRPr="00B7386B" w:rsidRDefault="00CF0E2D" w:rsidP="00A60D4B">
            <w:pPr>
              <w:pStyle w:val="InitFigR"/>
              <w:rPr>
                <w:b/>
                <w:bCs/>
              </w:rPr>
            </w:pPr>
            <w:r w:rsidRPr="00B7386B">
              <w:rPr>
                <w:b/>
                <w:bCs/>
              </w:rPr>
              <w:t>2022-23</w:t>
            </w:r>
          </w:p>
          <w:p w14:paraId="16067B8D" w14:textId="77777777" w:rsidR="00CF0E2D" w:rsidRPr="00B7386B" w:rsidRDefault="00CF0E2D" w:rsidP="00A60D4B">
            <w:pPr>
              <w:pStyle w:val="InitFigR"/>
              <w:rPr>
                <w:b/>
                <w:bCs/>
              </w:rPr>
            </w:pPr>
            <w:r w:rsidRPr="00B7386B">
              <w:rPr>
                <w:b/>
                <w:bCs/>
              </w:rPr>
              <w:t>$’000</w:t>
            </w:r>
          </w:p>
        </w:tc>
        <w:tc>
          <w:tcPr>
            <w:tcW w:w="1029" w:type="dxa"/>
            <w:tcBorders>
              <w:top w:val="single" w:sz="4" w:space="0" w:color="auto"/>
              <w:bottom w:val="single" w:sz="4" w:space="0" w:color="auto"/>
            </w:tcBorders>
          </w:tcPr>
          <w:p w14:paraId="11BE9203" w14:textId="77777777" w:rsidR="00CF0E2D" w:rsidRPr="00B7386B" w:rsidRDefault="00CF0E2D" w:rsidP="00A60D4B">
            <w:pPr>
              <w:pStyle w:val="InitFigR"/>
              <w:rPr>
                <w:b/>
                <w:bCs/>
              </w:rPr>
            </w:pPr>
            <w:r w:rsidRPr="00B7386B">
              <w:rPr>
                <w:b/>
                <w:bCs/>
              </w:rPr>
              <w:t>2023-24</w:t>
            </w:r>
          </w:p>
          <w:p w14:paraId="56F442FF" w14:textId="77777777" w:rsidR="00CF0E2D" w:rsidRPr="00B7386B" w:rsidRDefault="00CF0E2D" w:rsidP="00A60D4B">
            <w:pPr>
              <w:pStyle w:val="InitFigR"/>
              <w:rPr>
                <w:b/>
                <w:bCs/>
              </w:rPr>
            </w:pPr>
            <w:r w:rsidRPr="00B7386B">
              <w:rPr>
                <w:b/>
                <w:bCs/>
              </w:rPr>
              <w:t>$’000</w:t>
            </w:r>
          </w:p>
        </w:tc>
        <w:tc>
          <w:tcPr>
            <w:tcW w:w="1029" w:type="dxa"/>
            <w:tcBorders>
              <w:top w:val="single" w:sz="4" w:space="0" w:color="auto"/>
              <w:bottom w:val="single" w:sz="4" w:space="0" w:color="auto"/>
            </w:tcBorders>
          </w:tcPr>
          <w:p w14:paraId="73BB1C88" w14:textId="77777777" w:rsidR="00CF0E2D" w:rsidRPr="00B7386B" w:rsidRDefault="00CF0E2D" w:rsidP="00A60D4B">
            <w:pPr>
              <w:pStyle w:val="InitFigR"/>
              <w:rPr>
                <w:b/>
                <w:bCs/>
              </w:rPr>
            </w:pPr>
            <w:r w:rsidRPr="00B7386B">
              <w:rPr>
                <w:b/>
                <w:bCs/>
              </w:rPr>
              <w:t>2024-25</w:t>
            </w:r>
          </w:p>
          <w:p w14:paraId="6C427CD2" w14:textId="77777777" w:rsidR="00CF0E2D" w:rsidRPr="00B7386B" w:rsidRDefault="00CF0E2D" w:rsidP="00A60D4B">
            <w:pPr>
              <w:pStyle w:val="InitFigR"/>
              <w:rPr>
                <w:b/>
                <w:bCs/>
              </w:rPr>
            </w:pPr>
            <w:r w:rsidRPr="00B7386B">
              <w:rPr>
                <w:b/>
                <w:bCs/>
              </w:rPr>
              <w:t>$’000</w:t>
            </w:r>
          </w:p>
        </w:tc>
        <w:tc>
          <w:tcPr>
            <w:tcW w:w="1029" w:type="dxa"/>
            <w:tcBorders>
              <w:top w:val="single" w:sz="4" w:space="0" w:color="auto"/>
              <w:bottom w:val="single" w:sz="4" w:space="0" w:color="auto"/>
            </w:tcBorders>
          </w:tcPr>
          <w:p w14:paraId="4DBB8863" w14:textId="77777777" w:rsidR="00CF0E2D" w:rsidRPr="004E341E" w:rsidRDefault="00CF0E2D" w:rsidP="00A60D4B">
            <w:pPr>
              <w:pStyle w:val="InitFigRBold"/>
            </w:pPr>
            <w:r w:rsidRPr="004E341E">
              <w:t>Total</w:t>
            </w:r>
          </w:p>
          <w:p w14:paraId="2E6C20CC" w14:textId="77777777" w:rsidR="00CF0E2D" w:rsidRPr="004E341E" w:rsidRDefault="00CF0E2D" w:rsidP="00A60D4B">
            <w:pPr>
              <w:pStyle w:val="InitFigBR"/>
            </w:pPr>
            <w:r w:rsidRPr="004E341E">
              <w:t>$’000</w:t>
            </w:r>
          </w:p>
        </w:tc>
      </w:tr>
      <w:tr w:rsidR="00CF0E2D" w:rsidRPr="00933577" w14:paraId="784544B7" w14:textId="77777777" w:rsidTr="00A60D4B">
        <w:trPr>
          <w:cantSplit/>
          <w:jc w:val="center"/>
        </w:trPr>
        <w:tc>
          <w:tcPr>
            <w:tcW w:w="3652" w:type="dxa"/>
            <w:tcBorders>
              <w:top w:val="single" w:sz="4" w:space="0" w:color="auto"/>
            </w:tcBorders>
          </w:tcPr>
          <w:p w14:paraId="0FF9F680" w14:textId="77777777" w:rsidR="00CF0E2D" w:rsidRDefault="00CF0E2D" w:rsidP="00A60D4B">
            <w:pPr>
              <w:pStyle w:val="InitTextL"/>
              <w:ind w:left="321" w:hanging="321"/>
            </w:pPr>
            <w:r>
              <w:t>Capital</w:t>
            </w:r>
          </w:p>
        </w:tc>
        <w:tc>
          <w:tcPr>
            <w:tcW w:w="1179" w:type="dxa"/>
            <w:tcBorders>
              <w:top w:val="single" w:sz="4" w:space="0" w:color="auto"/>
            </w:tcBorders>
          </w:tcPr>
          <w:p w14:paraId="03723AF6" w14:textId="77777777" w:rsidR="00CF0E2D" w:rsidRPr="00933577" w:rsidRDefault="00CF0E2D" w:rsidP="00A60D4B">
            <w:pPr>
              <w:pStyle w:val="InitFigR"/>
              <w:rPr>
                <w:rFonts w:cs="Calibri"/>
                <w:lang w:eastAsia="en-AU"/>
              </w:rPr>
            </w:pPr>
            <w:r>
              <w:rPr>
                <w:rFonts w:cs="Calibri"/>
                <w:lang w:eastAsia="en-AU"/>
              </w:rPr>
              <w:t>350</w:t>
            </w:r>
          </w:p>
        </w:tc>
        <w:tc>
          <w:tcPr>
            <w:tcW w:w="1041" w:type="dxa"/>
            <w:tcBorders>
              <w:top w:val="single" w:sz="4" w:space="0" w:color="auto"/>
            </w:tcBorders>
          </w:tcPr>
          <w:p w14:paraId="504C9428" w14:textId="77777777" w:rsidR="00CF0E2D" w:rsidRPr="00933577" w:rsidRDefault="00CF0E2D" w:rsidP="00A60D4B">
            <w:pPr>
              <w:pStyle w:val="InitFigR"/>
              <w:rPr>
                <w:rFonts w:cs="Calibri"/>
                <w:lang w:eastAsia="en-AU"/>
              </w:rPr>
            </w:pPr>
            <w:r>
              <w:rPr>
                <w:rFonts w:cs="Calibri"/>
                <w:lang w:eastAsia="en-AU"/>
              </w:rPr>
              <w:t>0</w:t>
            </w:r>
          </w:p>
        </w:tc>
        <w:tc>
          <w:tcPr>
            <w:tcW w:w="1029" w:type="dxa"/>
            <w:tcBorders>
              <w:top w:val="single" w:sz="4" w:space="0" w:color="auto"/>
            </w:tcBorders>
          </w:tcPr>
          <w:p w14:paraId="24DCA37E" w14:textId="77777777" w:rsidR="00CF0E2D" w:rsidRPr="00933577" w:rsidRDefault="00CF0E2D" w:rsidP="00A60D4B">
            <w:pPr>
              <w:pStyle w:val="InitFigR"/>
              <w:rPr>
                <w:rFonts w:cs="Calibri"/>
                <w:lang w:eastAsia="en-AU"/>
              </w:rPr>
            </w:pPr>
            <w:r>
              <w:rPr>
                <w:rFonts w:cs="Calibri"/>
                <w:lang w:eastAsia="en-AU"/>
              </w:rPr>
              <w:t>0</w:t>
            </w:r>
          </w:p>
        </w:tc>
        <w:tc>
          <w:tcPr>
            <w:tcW w:w="1029" w:type="dxa"/>
            <w:tcBorders>
              <w:top w:val="single" w:sz="4" w:space="0" w:color="auto"/>
            </w:tcBorders>
          </w:tcPr>
          <w:p w14:paraId="3F78CDE6" w14:textId="77777777" w:rsidR="00CF0E2D" w:rsidRDefault="00CF0E2D" w:rsidP="00A60D4B">
            <w:pPr>
              <w:pStyle w:val="InitFigR"/>
              <w:rPr>
                <w:rFonts w:cs="Calibri"/>
                <w:lang w:eastAsia="en-AU"/>
              </w:rPr>
            </w:pPr>
            <w:r>
              <w:rPr>
                <w:rFonts w:cs="Calibri"/>
                <w:lang w:eastAsia="en-AU"/>
              </w:rPr>
              <w:t>0</w:t>
            </w:r>
          </w:p>
        </w:tc>
        <w:tc>
          <w:tcPr>
            <w:tcW w:w="1029" w:type="dxa"/>
            <w:tcBorders>
              <w:top w:val="single" w:sz="4" w:space="0" w:color="auto"/>
            </w:tcBorders>
          </w:tcPr>
          <w:p w14:paraId="187FC214" w14:textId="77777777" w:rsidR="00CF0E2D" w:rsidRPr="00933577" w:rsidRDefault="00CF0E2D" w:rsidP="00A60D4B">
            <w:pPr>
              <w:pStyle w:val="InitFigRBold"/>
              <w:rPr>
                <w:rFonts w:cs="Calibri"/>
                <w:bCs/>
                <w:lang w:eastAsia="en-AU"/>
              </w:rPr>
            </w:pPr>
            <w:r>
              <w:rPr>
                <w:rFonts w:cs="Calibri"/>
                <w:bCs/>
                <w:lang w:eastAsia="en-AU"/>
              </w:rPr>
              <w:t>350</w:t>
            </w:r>
          </w:p>
        </w:tc>
      </w:tr>
      <w:tr w:rsidR="00CF0E2D" w:rsidRPr="00933577" w14:paraId="41D02833" w14:textId="77777777" w:rsidTr="00A60D4B">
        <w:trPr>
          <w:cantSplit/>
          <w:jc w:val="center"/>
        </w:trPr>
        <w:tc>
          <w:tcPr>
            <w:tcW w:w="3652" w:type="dxa"/>
            <w:tcBorders>
              <w:bottom w:val="single" w:sz="4" w:space="0" w:color="auto"/>
            </w:tcBorders>
          </w:tcPr>
          <w:p w14:paraId="146A1D50" w14:textId="77777777" w:rsidR="00CF0E2D" w:rsidRDefault="00CF0E2D" w:rsidP="00A60D4B">
            <w:pPr>
              <w:pStyle w:val="InitTextL"/>
              <w:ind w:left="321" w:hanging="321"/>
            </w:pPr>
            <w:r>
              <w:t>Offset – Capital</w:t>
            </w:r>
          </w:p>
        </w:tc>
        <w:tc>
          <w:tcPr>
            <w:tcW w:w="1179" w:type="dxa"/>
            <w:tcBorders>
              <w:bottom w:val="single" w:sz="4" w:space="0" w:color="auto"/>
            </w:tcBorders>
          </w:tcPr>
          <w:p w14:paraId="45F35137" w14:textId="77777777" w:rsidR="00CF0E2D" w:rsidRDefault="00CF0E2D" w:rsidP="00A60D4B">
            <w:pPr>
              <w:pStyle w:val="InitFigR"/>
              <w:rPr>
                <w:rFonts w:cs="Calibri"/>
                <w:lang w:eastAsia="en-AU"/>
              </w:rPr>
            </w:pPr>
            <w:r>
              <w:rPr>
                <w:rFonts w:cs="Calibri"/>
                <w:lang w:eastAsia="en-AU"/>
              </w:rPr>
              <w:t>-350</w:t>
            </w:r>
          </w:p>
        </w:tc>
        <w:tc>
          <w:tcPr>
            <w:tcW w:w="1041" w:type="dxa"/>
            <w:tcBorders>
              <w:bottom w:val="single" w:sz="4" w:space="0" w:color="auto"/>
            </w:tcBorders>
          </w:tcPr>
          <w:p w14:paraId="227F8BF1" w14:textId="77777777" w:rsidR="00CF0E2D" w:rsidRDefault="00CF0E2D" w:rsidP="00A60D4B">
            <w:pPr>
              <w:pStyle w:val="InitFigR"/>
              <w:rPr>
                <w:rFonts w:cs="Calibri"/>
                <w:lang w:eastAsia="en-AU"/>
              </w:rPr>
            </w:pPr>
            <w:r>
              <w:rPr>
                <w:rFonts w:cs="Calibri"/>
                <w:lang w:eastAsia="en-AU"/>
              </w:rPr>
              <w:t>0</w:t>
            </w:r>
          </w:p>
        </w:tc>
        <w:tc>
          <w:tcPr>
            <w:tcW w:w="1029" w:type="dxa"/>
            <w:tcBorders>
              <w:bottom w:val="single" w:sz="4" w:space="0" w:color="auto"/>
            </w:tcBorders>
          </w:tcPr>
          <w:p w14:paraId="122851AE" w14:textId="77777777" w:rsidR="00CF0E2D" w:rsidRDefault="00CF0E2D" w:rsidP="00A60D4B">
            <w:pPr>
              <w:pStyle w:val="InitFigR"/>
              <w:rPr>
                <w:rFonts w:cs="Calibri"/>
                <w:lang w:eastAsia="en-AU"/>
              </w:rPr>
            </w:pPr>
            <w:r>
              <w:rPr>
                <w:rFonts w:cs="Calibri"/>
                <w:lang w:eastAsia="en-AU"/>
              </w:rPr>
              <w:t>0</w:t>
            </w:r>
          </w:p>
        </w:tc>
        <w:tc>
          <w:tcPr>
            <w:tcW w:w="1029" w:type="dxa"/>
            <w:tcBorders>
              <w:bottom w:val="single" w:sz="4" w:space="0" w:color="auto"/>
            </w:tcBorders>
          </w:tcPr>
          <w:p w14:paraId="2FD22B5F" w14:textId="77777777" w:rsidR="00CF0E2D" w:rsidRDefault="00CF0E2D" w:rsidP="00A60D4B">
            <w:pPr>
              <w:pStyle w:val="InitFigR"/>
              <w:rPr>
                <w:rFonts w:cs="Calibri"/>
                <w:lang w:eastAsia="en-AU"/>
              </w:rPr>
            </w:pPr>
            <w:r>
              <w:rPr>
                <w:rFonts w:cs="Calibri"/>
                <w:lang w:eastAsia="en-AU"/>
              </w:rPr>
              <w:t>0</w:t>
            </w:r>
          </w:p>
        </w:tc>
        <w:tc>
          <w:tcPr>
            <w:tcW w:w="1029" w:type="dxa"/>
            <w:tcBorders>
              <w:bottom w:val="single" w:sz="4" w:space="0" w:color="auto"/>
            </w:tcBorders>
          </w:tcPr>
          <w:p w14:paraId="2CD6A6F7" w14:textId="77777777" w:rsidR="00CF0E2D" w:rsidRDefault="00CF0E2D" w:rsidP="00A60D4B">
            <w:pPr>
              <w:pStyle w:val="InitFigRBold"/>
              <w:rPr>
                <w:rFonts w:cs="Calibri"/>
                <w:bCs/>
                <w:lang w:eastAsia="en-AU"/>
              </w:rPr>
            </w:pPr>
            <w:r>
              <w:rPr>
                <w:rFonts w:cs="Calibri"/>
                <w:bCs/>
                <w:lang w:eastAsia="en-AU"/>
              </w:rPr>
              <w:t>-350</w:t>
            </w:r>
          </w:p>
        </w:tc>
      </w:tr>
      <w:tr w:rsidR="00CF0E2D" w:rsidRPr="00933577" w14:paraId="53413CA0" w14:textId="77777777" w:rsidTr="00A60D4B">
        <w:trPr>
          <w:cantSplit/>
          <w:jc w:val="center"/>
        </w:trPr>
        <w:tc>
          <w:tcPr>
            <w:tcW w:w="3652" w:type="dxa"/>
            <w:tcBorders>
              <w:top w:val="single" w:sz="4" w:space="0" w:color="auto"/>
              <w:bottom w:val="single" w:sz="4" w:space="0" w:color="auto"/>
            </w:tcBorders>
          </w:tcPr>
          <w:p w14:paraId="69A2F787" w14:textId="4906289D" w:rsidR="00CF0E2D" w:rsidRPr="00121A09" w:rsidRDefault="00F57411" w:rsidP="00A60D4B">
            <w:pPr>
              <w:pStyle w:val="InitTextL"/>
              <w:ind w:left="321" w:hanging="321"/>
              <w:rPr>
                <w:b/>
                <w:bCs/>
              </w:rPr>
            </w:pPr>
            <w:r>
              <w:rPr>
                <w:b/>
                <w:bCs/>
              </w:rPr>
              <w:t>Net capital</w:t>
            </w:r>
          </w:p>
        </w:tc>
        <w:tc>
          <w:tcPr>
            <w:tcW w:w="1179" w:type="dxa"/>
            <w:tcBorders>
              <w:top w:val="single" w:sz="4" w:space="0" w:color="auto"/>
              <w:bottom w:val="single" w:sz="4" w:space="0" w:color="auto"/>
            </w:tcBorders>
          </w:tcPr>
          <w:p w14:paraId="2BFEEF6E" w14:textId="77777777" w:rsidR="00CF0E2D" w:rsidRPr="00121A09" w:rsidRDefault="00CF0E2D" w:rsidP="00A60D4B">
            <w:pPr>
              <w:pStyle w:val="InitFigR"/>
              <w:rPr>
                <w:rFonts w:cs="Calibri"/>
                <w:b/>
                <w:bCs/>
                <w:lang w:eastAsia="en-AU"/>
              </w:rPr>
            </w:pPr>
            <w:r w:rsidRPr="00121A09">
              <w:rPr>
                <w:rFonts w:cs="Calibri"/>
                <w:b/>
                <w:bCs/>
                <w:lang w:eastAsia="en-AU"/>
              </w:rPr>
              <w:t>0</w:t>
            </w:r>
          </w:p>
        </w:tc>
        <w:tc>
          <w:tcPr>
            <w:tcW w:w="1041" w:type="dxa"/>
            <w:tcBorders>
              <w:top w:val="single" w:sz="4" w:space="0" w:color="auto"/>
              <w:bottom w:val="single" w:sz="4" w:space="0" w:color="auto"/>
            </w:tcBorders>
          </w:tcPr>
          <w:p w14:paraId="6E340C53" w14:textId="77777777" w:rsidR="00CF0E2D" w:rsidRPr="00121A09" w:rsidRDefault="00CF0E2D" w:rsidP="00A60D4B">
            <w:pPr>
              <w:pStyle w:val="InitFigR"/>
              <w:rPr>
                <w:rFonts w:cs="Calibri"/>
                <w:b/>
                <w:bCs/>
                <w:lang w:eastAsia="en-AU"/>
              </w:rPr>
            </w:pPr>
            <w:r w:rsidRPr="00121A09">
              <w:rPr>
                <w:rFonts w:cs="Calibri"/>
                <w:b/>
                <w:bCs/>
                <w:lang w:eastAsia="en-AU"/>
              </w:rPr>
              <w:t>0</w:t>
            </w:r>
          </w:p>
        </w:tc>
        <w:tc>
          <w:tcPr>
            <w:tcW w:w="1029" w:type="dxa"/>
            <w:tcBorders>
              <w:top w:val="single" w:sz="4" w:space="0" w:color="auto"/>
              <w:bottom w:val="single" w:sz="4" w:space="0" w:color="auto"/>
            </w:tcBorders>
          </w:tcPr>
          <w:p w14:paraId="5DC9C349" w14:textId="77777777" w:rsidR="00CF0E2D" w:rsidRPr="00121A09" w:rsidRDefault="00CF0E2D" w:rsidP="00A60D4B">
            <w:pPr>
              <w:pStyle w:val="InitFigR"/>
              <w:rPr>
                <w:rFonts w:cs="Calibri"/>
                <w:b/>
                <w:bCs/>
                <w:lang w:eastAsia="en-AU"/>
              </w:rPr>
            </w:pPr>
            <w:r w:rsidRPr="00121A09">
              <w:rPr>
                <w:rFonts w:cs="Calibri"/>
                <w:b/>
                <w:bCs/>
                <w:lang w:eastAsia="en-AU"/>
              </w:rPr>
              <w:t>0</w:t>
            </w:r>
          </w:p>
        </w:tc>
        <w:tc>
          <w:tcPr>
            <w:tcW w:w="1029" w:type="dxa"/>
            <w:tcBorders>
              <w:top w:val="single" w:sz="4" w:space="0" w:color="auto"/>
              <w:bottom w:val="single" w:sz="4" w:space="0" w:color="auto"/>
            </w:tcBorders>
          </w:tcPr>
          <w:p w14:paraId="2055C088" w14:textId="77777777" w:rsidR="00CF0E2D" w:rsidRPr="00121A09" w:rsidRDefault="00CF0E2D" w:rsidP="00A60D4B">
            <w:pPr>
              <w:pStyle w:val="InitFigR"/>
              <w:rPr>
                <w:rFonts w:cs="Calibri"/>
                <w:b/>
                <w:bCs/>
                <w:lang w:eastAsia="en-AU"/>
              </w:rPr>
            </w:pPr>
            <w:r w:rsidRPr="00121A09">
              <w:rPr>
                <w:rFonts w:cs="Calibri"/>
                <w:b/>
                <w:bCs/>
                <w:lang w:eastAsia="en-AU"/>
              </w:rPr>
              <w:t>0</w:t>
            </w:r>
          </w:p>
        </w:tc>
        <w:tc>
          <w:tcPr>
            <w:tcW w:w="1029" w:type="dxa"/>
            <w:tcBorders>
              <w:top w:val="single" w:sz="4" w:space="0" w:color="auto"/>
              <w:bottom w:val="single" w:sz="4" w:space="0" w:color="auto"/>
            </w:tcBorders>
          </w:tcPr>
          <w:p w14:paraId="14C7E24C" w14:textId="77777777" w:rsidR="00CF0E2D" w:rsidRPr="00121A09" w:rsidRDefault="00CF0E2D" w:rsidP="00A60D4B">
            <w:pPr>
              <w:pStyle w:val="InitFigRBold"/>
              <w:rPr>
                <w:rFonts w:cs="Calibri"/>
                <w:bCs/>
                <w:lang w:eastAsia="en-AU"/>
              </w:rPr>
            </w:pPr>
            <w:r w:rsidRPr="00121A09">
              <w:rPr>
                <w:rFonts w:cs="Calibri"/>
                <w:bCs/>
                <w:lang w:eastAsia="en-AU"/>
              </w:rPr>
              <w:t>0</w:t>
            </w:r>
          </w:p>
        </w:tc>
      </w:tr>
      <w:tr w:rsidR="00CF0E2D" w:rsidRPr="00933577" w14:paraId="04DD045F" w14:textId="77777777" w:rsidTr="00A60D4B">
        <w:trPr>
          <w:cantSplit/>
          <w:jc w:val="center"/>
        </w:trPr>
        <w:tc>
          <w:tcPr>
            <w:tcW w:w="3652" w:type="dxa"/>
            <w:tcBorders>
              <w:top w:val="single" w:sz="4" w:space="0" w:color="auto"/>
              <w:bottom w:val="single" w:sz="4" w:space="0" w:color="auto"/>
            </w:tcBorders>
          </w:tcPr>
          <w:p w14:paraId="08BF96C0" w14:textId="77777777" w:rsidR="00CF0E2D" w:rsidRDefault="00CF0E2D" w:rsidP="00A60D4B">
            <w:pPr>
              <w:pStyle w:val="InitTextL"/>
              <w:ind w:left="321" w:hanging="321"/>
            </w:pPr>
            <w:r>
              <w:t>Depreciation</w:t>
            </w:r>
          </w:p>
        </w:tc>
        <w:tc>
          <w:tcPr>
            <w:tcW w:w="1179" w:type="dxa"/>
            <w:tcBorders>
              <w:top w:val="single" w:sz="4" w:space="0" w:color="auto"/>
              <w:bottom w:val="single" w:sz="4" w:space="0" w:color="auto"/>
            </w:tcBorders>
          </w:tcPr>
          <w:p w14:paraId="3907084F" w14:textId="77777777" w:rsidR="00CF0E2D" w:rsidRDefault="00CF0E2D" w:rsidP="00A60D4B">
            <w:pPr>
              <w:pStyle w:val="InitFigR"/>
              <w:rPr>
                <w:rFonts w:cs="Calibri"/>
                <w:lang w:eastAsia="en-AU"/>
              </w:rPr>
            </w:pPr>
            <w:r>
              <w:rPr>
                <w:rFonts w:cs="Calibri"/>
                <w:lang w:eastAsia="en-AU"/>
              </w:rPr>
              <w:t>0</w:t>
            </w:r>
          </w:p>
        </w:tc>
        <w:tc>
          <w:tcPr>
            <w:tcW w:w="1041" w:type="dxa"/>
            <w:tcBorders>
              <w:top w:val="single" w:sz="4" w:space="0" w:color="auto"/>
              <w:bottom w:val="single" w:sz="4" w:space="0" w:color="auto"/>
            </w:tcBorders>
          </w:tcPr>
          <w:p w14:paraId="5DD6A041" w14:textId="77777777" w:rsidR="00CF0E2D" w:rsidRDefault="00CF0E2D" w:rsidP="00A60D4B">
            <w:pPr>
              <w:pStyle w:val="InitFigR"/>
              <w:rPr>
                <w:rFonts w:cs="Calibri"/>
                <w:lang w:eastAsia="en-AU"/>
              </w:rPr>
            </w:pPr>
            <w:r>
              <w:rPr>
                <w:rFonts w:cs="Calibri"/>
                <w:lang w:eastAsia="en-AU"/>
              </w:rPr>
              <w:t>14</w:t>
            </w:r>
          </w:p>
        </w:tc>
        <w:tc>
          <w:tcPr>
            <w:tcW w:w="1029" w:type="dxa"/>
            <w:tcBorders>
              <w:top w:val="single" w:sz="4" w:space="0" w:color="auto"/>
              <w:bottom w:val="single" w:sz="4" w:space="0" w:color="auto"/>
            </w:tcBorders>
          </w:tcPr>
          <w:p w14:paraId="0DCECA7D" w14:textId="77777777" w:rsidR="00CF0E2D" w:rsidRDefault="00CF0E2D" w:rsidP="00A60D4B">
            <w:pPr>
              <w:pStyle w:val="InitFigR"/>
              <w:rPr>
                <w:rFonts w:cs="Calibri"/>
                <w:lang w:eastAsia="en-AU"/>
              </w:rPr>
            </w:pPr>
            <w:r>
              <w:rPr>
                <w:rFonts w:cs="Calibri"/>
                <w:lang w:eastAsia="en-AU"/>
              </w:rPr>
              <w:t>14</w:t>
            </w:r>
          </w:p>
        </w:tc>
        <w:tc>
          <w:tcPr>
            <w:tcW w:w="1029" w:type="dxa"/>
            <w:tcBorders>
              <w:top w:val="single" w:sz="4" w:space="0" w:color="auto"/>
              <w:bottom w:val="single" w:sz="4" w:space="0" w:color="auto"/>
            </w:tcBorders>
          </w:tcPr>
          <w:p w14:paraId="513ACDF7" w14:textId="77777777" w:rsidR="00CF0E2D" w:rsidRDefault="00CF0E2D" w:rsidP="00A60D4B">
            <w:pPr>
              <w:pStyle w:val="InitFigR"/>
              <w:rPr>
                <w:rFonts w:cs="Calibri"/>
                <w:lang w:eastAsia="en-AU"/>
              </w:rPr>
            </w:pPr>
            <w:r>
              <w:rPr>
                <w:rFonts w:cs="Calibri"/>
                <w:lang w:eastAsia="en-AU"/>
              </w:rPr>
              <w:t>14</w:t>
            </w:r>
          </w:p>
        </w:tc>
        <w:tc>
          <w:tcPr>
            <w:tcW w:w="1029" w:type="dxa"/>
            <w:tcBorders>
              <w:top w:val="single" w:sz="4" w:space="0" w:color="auto"/>
              <w:bottom w:val="single" w:sz="4" w:space="0" w:color="auto"/>
            </w:tcBorders>
          </w:tcPr>
          <w:p w14:paraId="57FC4B2E" w14:textId="77777777" w:rsidR="00CF0E2D" w:rsidRDefault="00CF0E2D" w:rsidP="00A60D4B">
            <w:pPr>
              <w:pStyle w:val="InitFigRBold"/>
              <w:rPr>
                <w:rFonts w:cs="Calibri"/>
                <w:bCs/>
                <w:lang w:eastAsia="en-AU"/>
              </w:rPr>
            </w:pPr>
            <w:r>
              <w:rPr>
                <w:rFonts w:cs="Calibri"/>
                <w:bCs/>
                <w:lang w:eastAsia="en-AU"/>
              </w:rPr>
              <w:t>42</w:t>
            </w:r>
          </w:p>
        </w:tc>
      </w:tr>
    </w:tbl>
    <w:p w14:paraId="2DFD7021" w14:textId="77777777" w:rsidR="00CF0E2D" w:rsidRPr="00082E68" w:rsidRDefault="00CF0E2D" w:rsidP="00A60D4B">
      <w:pPr>
        <w:pStyle w:val="Bbodytext"/>
      </w:pPr>
      <w:r>
        <w:t xml:space="preserve">The Government will undertake works to improve building safety at ACT </w:t>
      </w:r>
      <w:r w:rsidRPr="0094789B">
        <w:t>Law</w:t>
      </w:r>
      <w:r>
        <w:t xml:space="preserve"> Courts facilities and </w:t>
      </w:r>
      <w:r w:rsidRPr="00082E68">
        <w:t xml:space="preserve">improve security by extending the perimeter fence and installing additional security cameras. </w:t>
      </w:r>
    </w:p>
    <w:p w14:paraId="6EC35DA1" w14:textId="77777777" w:rsidR="00CF0E2D" w:rsidRDefault="00CF0E2D" w:rsidP="00A60D4B">
      <w:pPr>
        <w:pStyle w:val="Bbodytext"/>
      </w:pPr>
      <w:r>
        <w:t xml:space="preserve">This initiative contributes to the wellbeing domains of Safety and Governance and institutions. </w:t>
      </w:r>
    </w:p>
    <w:p w14:paraId="57EBD9CE" w14:textId="77777777" w:rsidR="00CF0E2D" w:rsidRDefault="00CF0E2D" w:rsidP="00A60D4B"/>
    <w:p w14:paraId="0E0F9878" w14:textId="77777777" w:rsidR="00CF0E2D" w:rsidRDefault="00CF0E2D" w:rsidP="00A60D4B">
      <w:pPr>
        <w:pStyle w:val="Heading4"/>
        <w:rPr>
          <w:rFonts w:eastAsia="Times New Roman"/>
        </w:rPr>
      </w:pPr>
      <w:r>
        <w:rPr>
          <w:rFonts w:eastAsia="Times New Roman"/>
        </w:rPr>
        <w:t>ACT Policing Forensic Medical Contract – extension</w:t>
      </w:r>
      <w:r>
        <w:rPr>
          <w:b w:val="0"/>
          <w:noProof/>
          <w:color w:val="999789"/>
          <w:sz w:val="32"/>
          <w:szCs w:val="24"/>
        </w:rPr>
        <w:drawing>
          <wp:anchor distT="0" distB="0" distL="114300" distR="114300" simplePos="0" relativeHeight="251893760" behindDoc="0" locked="1" layoutInCell="1" allowOverlap="1" wp14:anchorId="6E757A7C" wp14:editId="2BE8DE56">
            <wp:simplePos x="0" y="0"/>
            <wp:positionH relativeFrom="margin">
              <wp:posOffset>4718685</wp:posOffset>
            </wp:positionH>
            <wp:positionV relativeFrom="paragraph">
              <wp:posOffset>-166370</wp:posOffset>
            </wp:positionV>
            <wp:extent cx="989965" cy="503555"/>
            <wp:effectExtent l="0" t="0" r="635" b="0"/>
            <wp:wrapSquare wrapText="bothSides"/>
            <wp:docPr id="190" name="Picture 190"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5" w:type="dxa"/>
        <w:jc w:val="center"/>
        <w:tblLayout w:type="fixed"/>
        <w:tblLook w:val="04A0" w:firstRow="1" w:lastRow="0" w:firstColumn="1" w:lastColumn="0" w:noHBand="0" w:noVBand="1"/>
      </w:tblPr>
      <w:tblGrid>
        <w:gridCol w:w="3649"/>
        <w:gridCol w:w="1178"/>
        <w:gridCol w:w="1041"/>
        <w:gridCol w:w="1029"/>
        <w:gridCol w:w="1029"/>
        <w:gridCol w:w="1029"/>
      </w:tblGrid>
      <w:tr w:rsidR="00CF0E2D" w14:paraId="1E98EEF3" w14:textId="77777777" w:rsidTr="00A60D4B">
        <w:trPr>
          <w:cantSplit/>
          <w:jc w:val="center"/>
        </w:trPr>
        <w:tc>
          <w:tcPr>
            <w:tcW w:w="3649" w:type="dxa"/>
            <w:tcBorders>
              <w:top w:val="single" w:sz="4" w:space="0" w:color="auto"/>
              <w:left w:val="nil"/>
              <w:bottom w:val="single" w:sz="4" w:space="0" w:color="auto"/>
              <w:right w:val="nil"/>
            </w:tcBorders>
            <w:hideMark/>
          </w:tcPr>
          <w:p w14:paraId="0758E4E6" w14:textId="77777777" w:rsidR="00CF0E2D" w:rsidRDefault="00CF0E2D">
            <w:pPr>
              <w:pStyle w:val="EmptyCell0"/>
              <w:spacing w:line="256" w:lineRule="auto"/>
            </w:pPr>
            <w:r>
              <w:t>Empty Cell</w:t>
            </w:r>
          </w:p>
        </w:tc>
        <w:tc>
          <w:tcPr>
            <w:tcW w:w="1178" w:type="dxa"/>
            <w:tcBorders>
              <w:top w:val="single" w:sz="4" w:space="0" w:color="auto"/>
              <w:left w:val="nil"/>
              <w:bottom w:val="single" w:sz="4" w:space="0" w:color="auto"/>
              <w:right w:val="nil"/>
            </w:tcBorders>
            <w:hideMark/>
          </w:tcPr>
          <w:p w14:paraId="785212F5" w14:textId="77777777" w:rsidR="00CF0E2D" w:rsidRPr="0079366B" w:rsidRDefault="00CF0E2D">
            <w:pPr>
              <w:pStyle w:val="InitFigR"/>
              <w:spacing w:line="256" w:lineRule="auto"/>
              <w:rPr>
                <w:b/>
                <w:bCs/>
              </w:rPr>
            </w:pPr>
            <w:r w:rsidRPr="0079366B">
              <w:rPr>
                <w:b/>
                <w:bCs/>
              </w:rPr>
              <w:t>2021-22</w:t>
            </w:r>
          </w:p>
          <w:p w14:paraId="7FAE452D" w14:textId="77777777" w:rsidR="00CF0E2D" w:rsidRPr="0079366B" w:rsidRDefault="00CF0E2D">
            <w:pPr>
              <w:pStyle w:val="InitFigR"/>
              <w:spacing w:line="256" w:lineRule="auto"/>
              <w:rPr>
                <w:b/>
                <w:bCs/>
              </w:rPr>
            </w:pPr>
            <w:r w:rsidRPr="0079366B">
              <w:rPr>
                <w:b/>
                <w:bCs/>
              </w:rPr>
              <w:t>$’000</w:t>
            </w:r>
          </w:p>
        </w:tc>
        <w:tc>
          <w:tcPr>
            <w:tcW w:w="1041" w:type="dxa"/>
            <w:tcBorders>
              <w:top w:val="single" w:sz="4" w:space="0" w:color="auto"/>
              <w:left w:val="nil"/>
              <w:bottom w:val="single" w:sz="4" w:space="0" w:color="auto"/>
              <w:right w:val="nil"/>
            </w:tcBorders>
            <w:hideMark/>
          </w:tcPr>
          <w:p w14:paraId="5BA0B912" w14:textId="77777777" w:rsidR="00CF0E2D" w:rsidRPr="0079366B" w:rsidRDefault="00CF0E2D">
            <w:pPr>
              <w:pStyle w:val="InitFigR"/>
              <w:spacing w:line="256" w:lineRule="auto"/>
              <w:rPr>
                <w:b/>
                <w:bCs/>
              </w:rPr>
            </w:pPr>
            <w:r w:rsidRPr="0079366B">
              <w:rPr>
                <w:b/>
                <w:bCs/>
              </w:rPr>
              <w:t>2022-23</w:t>
            </w:r>
          </w:p>
          <w:p w14:paraId="3FE8CCC4" w14:textId="77777777" w:rsidR="00CF0E2D" w:rsidRPr="0079366B" w:rsidRDefault="00CF0E2D">
            <w:pPr>
              <w:pStyle w:val="InitFigR"/>
              <w:spacing w:line="256" w:lineRule="auto"/>
              <w:rPr>
                <w:b/>
                <w:bCs/>
              </w:rPr>
            </w:pPr>
            <w:r w:rsidRPr="0079366B">
              <w:rPr>
                <w:b/>
                <w:bCs/>
              </w:rPr>
              <w:t>$’000</w:t>
            </w:r>
          </w:p>
        </w:tc>
        <w:tc>
          <w:tcPr>
            <w:tcW w:w="1029" w:type="dxa"/>
            <w:tcBorders>
              <w:top w:val="single" w:sz="4" w:space="0" w:color="auto"/>
              <w:left w:val="nil"/>
              <w:bottom w:val="single" w:sz="4" w:space="0" w:color="auto"/>
              <w:right w:val="nil"/>
            </w:tcBorders>
            <w:hideMark/>
          </w:tcPr>
          <w:p w14:paraId="61046440" w14:textId="77777777" w:rsidR="00CF0E2D" w:rsidRPr="0079366B" w:rsidRDefault="00CF0E2D">
            <w:pPr>
              <w:pStyle w:val="InitFigR"/>
              <w:spacing w:line="256" w:lineRule="auto"/>
              <w:rPr>
                <w:b/>
                <w:bCs/>
              </w:rPr>
            </w:pPr>
            <w:r w:rsidRPr="0079366B">
              <w:rPr>
                <w:b/>
                <w:bCs/>
              </w:rPr>
              <w:t>2023-24</w:t>
            </w:r>
          </w:p>
          <w:p w14:paraId="0086DE6B" w14:textId="77777777" w:rsidR="00CF0E2D" w:rsidRPr="0079366B" w:rsidRDefault="00CF0E2D">
            <w:pPr>
              <w:pStyle w:val="InitFigR"/>
              <w:spacing w:line="256" w:lineRule="auto"/>
              <w:rPr>
                <w:b/>
                <w:bCs/>
              </w:rPr>
            </w:pPr>
            <w:r w:rsidRPr="0079366B">
              <w:rPr>
                <w:b/>
                <w:bCs/>
              </w:rPr>
              <w:t>$’000</w:t>
            </w:r>
          </w:p>
        </w:tc>
        <w:tc>
          <w:tcPr>
            <w:tcW w:w="1029" w:type="dxa"/>
            <w:tcBorders>
              <w:top w:val="single" w:sz="4" w:space="0" w:color="auto"/>
              <w:left w:val="nil"/>
              <w:bottom w:val="single" w:sz="4" w:space="0" w:color="auto"/>
              <w:right w:val="nil"/>
            </w:tcBorders>
            <w:hideMark/>
          </w:tcPr>
          <w:p w14:paraId="510F6950" w14:textId="77777777" w:rsidR="00CF0E2D" w:rsidRPr="0079366B" w:rsidRDefault="00CF0E2D">
            <w:pPr>
              <w:pStyle w:val="InitFigR"/>
              <w:spacing w:line="256" w:lineRule="auto"/>
              <w:rPr>
                <w:b/>
                <w:bCs/>
              </w:rPr>
            </w:pPr>
            <w:r w:rsidRPr="0079366B">
              <w:rPr>
                <w:b/>
                <w:bCs/>
              </w:rPr>
              <w:t>2024-25</w:t>
            </w:r>
          </w:p>
          <w:p w14:paraId="574815FA" w14:textId="77777777" w:rsidR="00CF0E2D" w:rsidRPr="0079366B" w:rsidRDefault="00CF0E2D">
            <w:pPr>
              <w:pStyle w:val="InitFigR"/>
              <w:spacing w:line="256" w:lineRule="auto"/>
              <w:rPr>
                <w:b/>
                <w:bCs/>
              </w:rPr>
            </w:pPr>
            <w:r w:rsidRPr="0079366B">
              <w:rPr>
                <w:b/>
                <w:bCs/>
              </w:rPr>
              <w:t>$’000</w:t>
            </w:r>
          </w:p>
        </w:tc>
        <w:tc>
          <w:tcPr>
            <w:tcW w:w="1029" w:type="dxa"/>
            <w:tcBorders>
              <w:top w:val="single" w:sz="4" w:space="0" w:color="auto"/>
              <w:left w:val="nil"/>
              <w:bottom w:val="single" w:sz="4" w:space="0" w:color="auto"/>
              <w:right w:val="nil"/>
            </w:tcBorders>
            <w:hideMark/>
          </w:tcPr>
          <w:p w14:paraId="037FFD0D" w14:textId="77777777" w:rsidR="00CF0E2D" w:rsidRDefault="00CF0E2D">
            <w:pPr>
              <w:pStyle w:val="InitFigRBold"/>
              <w:spacing w:line="256" w:lineRule="auto"/>
            </w:pPr>
            <w:r>
              <w:t>Total</w:t>
            </w:r>
          </w:p>
          <w:p w14:paraId="601B9E68" w14:textId="77777777" w:rsidR="00CF0E2D" w:rsidRDefault="00CF0E2D">
            <w:pPr>
              <w:pStyle w:val="InitFigBR"/>
              <w:spacing w:line="256" w:lineRule="auto"/>
            </w:pPr>
            <w:r>
              <w:t>$’000</w:t>
            </w:r>
          </w:p>
        </w:tc>
      </w:tr>
      <w:tr w:rsidR="00CF0E2D" w14:paraId="6E38EBD3" w14:textId="77777777" w:rsidTr="00A60D4B">
        <w:trPr>
          <w:cantSplit/>
          <w:jc w:val="center"/>
        </w:trPr>
        <w:tc>
          <w:tcPr>
            <w:tcW w:w="3649" w:type="dxa"/>
            <w:tcBorders>
              <w:top w:val="single" w:sz="4" w:space="0" w:color="auto"/>
              <w:left w:val="nil"/>
              <w:bottom w:val="single" w:sz="4" w:space="0" w:color="auto"/>
              <w:right w:val="nil"/>
            </w:tcBorders>
            <w:hideMark/>
          </w:tcPr>
          <w:p w14:paraId="6C139AB8" w14:textId="77777777" w:rsidR="00CF0E2D" w:rsidRDefault="00CF0E2D">
            <w:pPr>
              <w:pStyle w:val="InitTextL"/>
              <w:spacing w:line="256" w:lineRule="auto"/>
              <w:ind w:left="321" w:hanging="321"/>
            </w:pPr>
            <w:r>
              <w:t>Expenses</w:t>
            </w:r>
          </w:p>
        </w:tc>
        <w:tc>
          <w:tcPr>
            <w:tcW w:w="1178" w:type="dxa"/>
            <w:tcBorders>
              <w:top w:val="single" w:sz="4" w:space="0" w:color="auto"/>
              <w:left w:val="nil"/>
              <w:bottom w:val="single" w:sz="4" w:space="0" w:color="auto"/>
              <w:right w:val="nil"/>
            </w:tcBorders>
            <w:hideMark/>
          </w:tcPr>
          <w:p w14:paraId="472378C2" w14:textId="77777777" w:rsidR="00CF0E2D" w:rsidRDefault="00CF0E2D">
            <w:pPr>
              <w:pStyle w:val="InitFigR"/>
              <w:spacing w:line="256" w:lineRule="auto"/>
            </w:pPr>
            <w:r>
              <w:rPr>
                <w:rFonts w:cs="Calibri"/>
                <w:lang w:eastAsia="en-AU"/>
              </w:rPr>
              <w:t>975</w:t>
            </w:r>
          </w:p>
        </w:tc>
        <w:tc>
          <w:tcPr>
            <w:tcW w:w="1041" w:type="dxa"/>
            <w:tcBorders>
              <w:top w:val="single" w:sz="4" w:space="0" w:color="auto"/>
              <w:left w:val="nil"/>
              <w:bottom w:val="single" w:sz="4" w:space="0" w:color="auto"/>
              <w:right w:val="nil"/>
            </w:tcBorders>
            <w:hideMark/>
          </w:tcPr>
          <w:p w14:paraId="36DC8451" w14:textId="77777777" w:rsidR="00CF0E2D" w:rsidRDefault="00CF0E2D">
            <w:pPr>
              <w:pStyle w:val="InitFigR"/>
              <w:spacing w:line="256" w:lineRule="auto"/>
            </w:pPr>
            <w:r>
              <w:rPr>
                <w:rFonts w:cs="Calibri"/>
                <w:lang w:eastAsia="en-AU"/>
              </w:rPr>
              <w:t>1,035</w:t>
            </w:r>
          </w:p>
        </w:tc>
        <w:tc>
          <w:tcPr>
            <w:tcW w:w="1029" w:type="dxa"/>
            <w:tcBorders>
              <w:top w:val="single" w:sz="4" w:space="0" w:color="auto"/>
              <w:left w:val="nil"/>
              <w:bottom w:val="single" w:sz="4" w:space="0" w:color="auto"/>
              <w:right w:val="nil"/>
            </w:tcBorders>
            <w:hideMark/>
          </w:tcPr>
          <w:p w14:paraId="44CCE919" w14:textId="77777777" w:rsidR="00CF0E2D" w:rsidRDefault="00CF0E2D">
            <w:pPr>
              <w:pStyle w:val="InitFigR"/>
              <w:spacing w:line="256" w:lineRule="auto"/>
            </w:pPr>
            <w:r>
              <w:rPr>
                <w:rFonts w:cs="Calibri"/>
                <w:lang w:eastAsia="en-AU"/>
              </w:rPr>
              <w:t>1,096</w:t>
            </w:r>
          </w:p>
        </w:tc>
        <w:tc>
          <w:tcPr>
            <w:tcW w:w="1029" w:type="dxa"/>
            <w:tcBorders>
              <w:top w:val="single" w:sz="4" w:space="0" w:color="auto"/>
              <w:left w:val="nil"/>
              <w:bottom w:val="single" w:sz="4" w:space="0" w:color="auto"/>
              <w:right w:val="nil"/>
            </w:tcBorders>
            <w:hideMark/>
          </w:tcPr>
          <w:p w14:paraId="04173D7A" w14:textId="77777777" w:rsidR="00CF0E2D" w:rsidRDefault="00CF0E2D">
            <w:pPr>
              <w:pStyle w:val="InitFigR"/>
              <w:spacing w:line="256" w:lineRule="auto"/>
            </w:pPr>
            <w:r>
              <w:rPr>
                <w:rFonts w:cs="Calibri"/>
                <w:lang w:eastAsia="en-AU"/>
              </w:rPr>
              <w:t>1,158</w:t>
            </w:r>
          </w:p>
        </w:tc>
        <w:tc>
          <w:tcPr>
            <w:tcW w:w="1029" w:type="dxa"/>
            <w:tcBorders>
              <w:top w:val="single" w:sz="4" w:space="0" w:color="auto"/>
              <w:left w:val="nil"/>
              <w:bottom w:val="single" w:sz="4" w:space="0" w:color="auto"/>
              <w:right w:val="nil"/>
            </w:tcBorders>
            <w:hideMark/>
          </w:tcPr>
          <w:p w14:paraId="0A9E1930" w14:textId="77777777" w:rsidR="00CF0E2D" w:rsidRDefault="00CF0E2D">
            <w:pPr>
              <w:pStyle w:val="InitFigRBold"/>
              <w:spacing w:line="256" w:lineRule="auto"/>
              <w:rPr>
                <w:b w:val="0"/>
              </w:rPr>
            </w:pPr>
            <w:r>
              <w:rPr>
                <w:rFonts w:cs="Calibri"/>
                <w:bCs/>
                <w:lang w:eastAsia="en-AU"/>
              </w:rPr>
              <w:t>4,264</w:t>
            </w:r>
          </w:p>
        </w:tc>
      </w:tr>
    </w:tbl>
    <w:p w14:paraId="18BBEFFF" w14:textId="77777777" w:rsidR="00CF0E2D" w:rsidRDefault="00CF0E2D" w:rsidP="00A60D4B">
      <w:pPr>
        <w:pStyle w:val="Bbodytext"/>
        <w:rPr>
          <w:lang w:eastAsia="en-AU"/>
        </w:rPr>
      </w:pPr>
      <w:r>
        <w:rPr>
          <w:lang w:eastAsia="en-AU"/>
        </w:rPr>
        <w:t xml:space="preserve">The Government will provide additional funding to meet the growing and more complex workload associated with ACT Policing forensic medical services requests.  </w:t>
      </w:r>
    </w:p>
    <w:p w14:paraId="7CF2C44D" w14:textId="77777777" w:rsidR="00CF0E2D" w:rsidRDefault="00CF0E2D" w:rsidP="00A60D4B">
      <w:pPr>
        <w:pStyle w:val="Bbodytext"/>
        <w:rPr>
          <w:sz w:val="22"/>
        </w:rPr>
      </w:pPr>
      <w:r>
        <w:rPr>
          <w:lang w:eastAsia="en-AU"/>
        </w:rPr>
        <w:t>This initiative builds on previous Government support provided for on-call forensic medical services which includes support for services such as the medical assessment of people in custody, the documenting of evidence of injuries from assault and assisting with the coronial process.  </w:t>
      </w:r>
    </w:p>
    <w:p w14:paraId="0861C6CC" w14:textId="77777777" w:rsidR="00CF0E2D" w:rsidRDefault="00CF0E2D" w:rsidP="00A60D4B">
      <w:pPr>
        <w:pStyle w:val="Bbodytext"/>
        <w:rPr>
          <w:szCs w:val="20"/>
        </w:rPr>
      </w:pPr>
      <w:r>
        <w:t xml:space="preserve">This initiative contributes to the wellbeing domain of Safety. </w:t>
      </w:r>
    </w:p>
    <w:p w14:paraId="2A14274C" w14:textId="77777777" w:rsidR="00CF0E2D" w:rsidRPr="0079366B" w:rsidRDefault="00CF0E2D" w:rsidP="00A60D4B">
      <w:r>
        <w:rPr>
          <w:noProof/>
        </w:rPr>
        <w:drawing>
          <wp:anchor distT="0" distB="0" distL="114300" distR="114300" simplePos="0" relativeHeight="251913216" behindDoc="0" locked="1" layoutInCell="1" allowOverlap="1" wp14:anchorId="1FA64350" wp14:editId="48712522">
            <wp:simplePos x="0" y="0"/>
            <wp:positionH relativeFrom="margin">
              <wp:align>right</wp:align>
            </wp:positionH>
            <wp:positionV relativeFrom="paragraph">
              <wp:posOffset>114300</wp:posOffset>
            </wp:positionV>
            <wp:extent cx="1378585" cy="507365"/>
            <wp:effectExtent l="0" t="0" r="0" b="6985"/>
            <wp:wrapSquare wrapText="bothSides"/>
            <wp:docPr id="191" name="Picture 191"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p w14:paraId="6234685F" w14:textId="77777777" w:rsidR="00CF0E2D" w:rsidRPr="006F225D" w:rsidRDefault="00CF0E2D" w:rsidP="00A60D4B">
      <w:pPr>
        <w:pStyle w:val="Heading4"/>
        <w:rPr>
          <w:rFonts w:eastAsia="Times New Roman"/>
        </w:rPr>
      </w:pPr>
      <w:r w:rsidRPr="006F225D">
        <w:rPr>
          <w:rFonts w:eastAsia="Times New Roman"/>
        </w:rPr>
        <w:t xml:space="preserve">Better </w:t>
      </w:r>
      <w:r>
        <w:rPr>
          <w:rFonts w:eastAsia="Times New Roman"/>
        </w:rPr>
        <w:t>s</w:t>
      </w:r>
      <w:r w:rsidRPr="006F225D">
        <w:rPr>
          <w:rFonts w:eastAsia="Times New Roman"/>
        </w:rPr>
        <w:t xml:space="preserve">upport for </w:t>
      </w:r>
      <w:r>
        <w:rPr>
          <w:rFonts w:eastAsia="Times New Roman"/>
        </w:rPr>
        <w:t>v</w:t>
      </w:r>
      <w:r w:rsidRPr="006F225D">
        <w:rPr>
          <w:rFonts w:eastAsia="Times New Roman"/>
        </w:rPr>
        <w:t xml:space="preserve">ulnerable </w:t>
      </w:r>
      <w:r>
        <w:rPr>
          <w:rFonts w:eastAsia="Times New Roman"/>
        </w:rPr>
        <w:t>w</w:t>
      </w:r>
      <w:r w:rsidRPr="006F225D">
        <w:rPr>
          <w:rFonts w:eastAsia="Times New Roman"/>
        </w:rPr>
        <w:t xml:space="preserve">itnesses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5623771C" w14:textId="77777777" w:rsidTr="00A60D4B">
        <w:trPr>
          <w:cantSplit/>
          <w:jc w:val="center"/>
        </w:trPr>
        <w:tc>
          <w:tcPr>
            <w:tcW w:w="3652" w:type="dxa"/>
            <w:tcBorders>
              <w:top w:val="single" w:sz="4" w:space="0" w:color="auto"/>
              <w:bottom w:val="single" w:sz="4" w:space="0" w:color="auto"/>
            </w:tcBorders>
          </w:tcPr>
          <w:p w14:paraId="0F94F595"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609E0C46" w14:textId="77777777" w:rsidR="00CF0E2D" w:rsidRPr="001A0C34" w:rsidRDefault="00CF0E2D" w:rsidP="00A60D4B">
            <w:pPr>
              <w:pStyle w:val="InitFigR"/>
              <w:rPr>
                <w:b/>
                <w:bCs/>
              </w:rPr>
            </w:pPr>
            <w:r w:rsidRPr="001A0C34">
              <w:rPr>
                <w:b/>
                <w:bCs/>
              </w:rPr>
              <w:t>2021-22</w:t>
            </w:r>
          </w:p>
          <w:p w14:paraId="2A49CDA5" w14:textId="77777777" w:rsidR="00CF0E2D" w:rsidRPr="001A0C34" w:rsidRDefault="00CF0E2D" w:rsidP="00A60D4B">
            <w:pPr>
              <w:pStyle w:val="InitFigR"/>
              <w:rPr>
                <w:b/>
                <w:bCs/>
              </w:rPr>
            </w:pPr>
            <w:r w:rsidRPr="001A0C34">
              <w:rPr>
                <w:b/>
                <w:bCs/>
              </w:rPr>
              <w:t>$’000</w:t>
            </w:r>
          </w:p>
        </w:tc>
        <w:tc>
          <w:tcPr>
            <w:tcW w:w="1041" w:type="dxa"/>
            <w:tcBorders>
              <w:top w:val="single" w:sz="4" w:space="0" w:color="auto"/>
              <w:bottom w:val="single" w:sz="4" w:space="0" w:color="auto"/>
            </w:tcBorders>
          </w:tcPr>
          <w:p w14:paraId="6C630237" w14:textId="77777777" w:rsidR="00CF0E2D" w:rsidRPr="001A0C34" w:rsidRDefault="00CF0E2D" w:rsidP="00A60D4B">
            <w:pPr>
              <w:pStyle w:val="InitFigR"/>
              <w:rPr>
                <w:b/>
                <w:bCs/>
              </w:rPr>
            </w:pPr>
            <w:r w:rsidRPr="001A0C34">
              <w:rPr>
                <w:b/>
                <w:bCs/>
              </w:rPr>
              <w:t>2022-23</w:t>
            </w:r>
          </w:p>
          <w:p w14:paraId="2D58D891" w14:textId="77777777" w:rsidR="00CF0E2D" w:rsidRPr="001A0C34" w:rsidRDefault="00CF0E2D" w:rsidP="00A60D4B">
            <w:pPr>
              <w:pStyle w:val="InitFigR"/>
              <w:rPr>
                <w:b/>
                <w:bCs/>
              </w:rPr>
            </w:pPr>
            <w:r w:rsidRPr="001A0C34">
              <w:rPr>
                <w:b/>
                <w:bCs/>
              </w:rPr>
              <w:t>$’000</w:t>
            </w:r>
          </w:p>
        </w:tc>
        <w:tc>
          <w:tcPr>
            <w:tcW w:w="1029" w:type="dxa"/>
            <w:tcBorders>
              <w:top w:val="single" w:sz="4" w:space="0" w:color="auto"/>
              <w:bottom w:val="single" w:sz="4" w:space="0" w:color="auto"/>
            </w:tcBorders>
          </w:tcPr>
          <w:p w14:paraId="4478EB66" w14:textId="77777777" w:rsidR="00CF0E2D" w:rsidRPr="001A0C34" w:rsidRDefault="00CF0E2D" w:rsidP="00A60D4B">
            <w:pPr>
              <w:pStyle w:val="InitFigR"/>
              <w:rPr>
                <w:b/>
                <w:bCs/>
              </w:rPr>
            </w:pPr>
            <w:r w:rsidRPr="001A0C34">
              <w:rPr>
                <w:b/>
                <w:bCs/>
              </w:rPr>
              <w:t>2023-24</w:t>
            </w:r>
          </w:p>
          <w:p w14:paraId="6DEB6EC9" w14:textId="77777777" w:rsidR="00CF0E2D" w:rsidRPr="001A0C34" w:rsidRDefault="00CF0E2D" w:rsidP="00A60D4B">
            <w:pPr>
              <w:pStyle w:val="InitFigR"/>
              <w:rPr>
                <w:b/>
                <w:bCs/>
              </w:rPr>
            </w:pPr>
            <w:r w:rsidRPr="001A0C34">
              <w:rPr>
                <w:b/>
                <w:bCs/>
              </w:rPr>
              <w:t>$’000</w:t>
            </w:r>
          </w:p>
        </w:tc>
        <w:tc>
          <w:tcPr>
            <w:tcW w:w="1029" w:type="dxa"/>
            <w:tcBorders>
              <w:top w:val="single" w:sz="4" w:space="0" w:color="auto"/>
              <w:bottom w:val="single" w:sz="4" w:space="0" w:color="auto"/>
            </w:tcBorders>
          </w:tcPr>
          <w:p w14:paraId="7C0600D7" w14:textId="77777777" w:rsidR="00CF0E2D" w:rsidRPr="001A0C34" w:rsidRDefault="00CF0E2D" w:rsidP="00A60D4B">
            <w:pPr>
              <w:pStyle w:val="InitFigR"/>
              <w:rPr>
                <w:b/>
                <w:bCs/>
              </w:rPr>
            </w:pPr>
            <w:r w:rsidRPr="001A0C34">
              <w:rPr>
                <w:b/>
                <w:bCs/>
              </w:rPr>
              <w:t>2024-25</w:t>
            </w:r>
          </w:p>
          <w:p w14:paraId="0D5B20A2" w14:textId="77777777" w:rsidR="00CF0E2D" w:rsidRPr="001A0C34" w:rsidRDefault="00CF0E2D" w:rsidP="00A60D4B">
            <w:pPr>
              <w:pStyle w:val="InitFigR"/>
              <w:rPr>
                <w:b/>
                <w:bCs/>
              </w:rPr>
            </w:pPr>
            <w:r w:rsidRPr="001A0C34">
              <w:rPr>
                <w:b/>
                <w:bCs/>
              </w:rPr>
              <w:t>$’000</w:t>
            </w:r>
          </w:p>
        </w:tc>
        <w:tc>
          <w:tcPr>
            <w:tcW w:w="1029" w:type="dxa"/>
            <w:tcBorders>
              <w:top w:val="single" w:sz="4" w:space="0" w:color="auto"/>
              <w:bottom w:val="single" w:sz="4" w:space="0" w:color="auto"/>
            </w:tcBorders>
          </w:tcPr>
          <w:p w14:paraId="7BFFA94F" w14:textId="77777777" w:rsidR="00CF0E2D" w:rsidRPr="004E341E" w:rsidRDefault="00CF0E2D" w:rsidP="00A60D4B">
            <w:pPr>
              <w:pStyle w:val="InitFigRBold"/>
            </w:pPr>
            <w:r w:rsidRPr="004E341E">
              <w:t>Total</w:t>
            </w:r>
          </w:p>
          <w:p w14:paraId="1A0F4053" w14:textId="77777777" w:rsidR="00CF0E2D" w:rsidRPr="004E341E" w:rsidRDefault="00CF0E2D" w:rsidP="00A60D4B">
            <w:pPr>
              <w:pStyle w:val="InitFigBR"/>
            </w:pPr>
            <w:r w:rsidRPr="004E341E">
              <w:t>$’000</w:t>
            </w:r>
          </w:p>
        </w:tc>
      </w:tr>
      <w:tr w:rsidR="00CF0E2D" w:rsidRPr="00750793" w14:paraId="2C01A89F" w14:textId="77777777" w:rsidTr="00A60D4B">
        <w:trPr>
          <w:cantSplit/>
          <w:jc w:val="center"/>
        </w:trPr>
        <w:tc>
          <w:tcPr>
            <w:tcW w:w="3652" w:type="dxa"/>
          </w:tcPr>
          <w:p w14:paraId="299D4789" w14:textId="77777777" w:rsidR="00CF0E2D" w:rsidRPr="00F13FAB" w:rsidRDefault="00CF0E2D" w:rsidP="00A60D4B">
            <w:pPr>
              <w:pStyle w:val="InitTextL"/>
              <w:ind w:left="321" w:hanging="321"/>
            </w:pPr>
            <w:r w:rsidRPr="00882BE2">
              <w:t>Expenses</w:t>
            </w:r>
          </w:p>
        </w:tc>
        <w:tc>
          <w:tcPr>
            <w:tcW w:w="1179" w:type="dxa"/>
          </w:tcPr>
          <w:p w14:paraId="11CE2EDC" w14:textId="77777777" w:rsidR="00CF0E2D" w:rsidRPr="00424DA4" w:rsidRDefault="00CF0E2D" w:rsidP="00A60D4B">
            <w:pPr>
              <w:pStyle w:val="InitFigR"/>
            </w:pPr>
            <w:r>
              <w:rPr>
                <w:rFonts w:cs="Calibri"/>
                <w:lang w:eastAsia="en-AU"/>
              </w:rPr>
              <w:t>1,545</w:t>
            </w:r>
          </w:p>
        </w:tc>
        <w:tc>
          <w:tcPr>
            <w:tcW w:w="1041" w:type="dxa"/>
          </w:tcPr>
          <w:p w14:paraId="2DE86A77" w14:textId="77777777" w:rsidR="00CF0E2D" w:rsidRPr="00424DA4" w:rsidRDefault="00CF0E2D" w:rsidP="00A60D4B">
            <w:pPr>
              <w:pStyle w:val="InitFigR"/>
            </w:pPr>
            <w:r>
              <w:rPr>
                <w:rFonts w:cs="Calibri"/>
                <w:lang w:eastAsia="en-AU"/>
              </w:rPr>
              <w:t>1,930</w:t>
            </w:r>
          </w:p>
        </w:tc>
        <w:tc>
          <w:tcPr>
            <w:tcW w:w="1029" w:type="dxa"/>
          </w:tcPr>
          <w:p w14:paraId="48492814" w14:textId="77777777" w:rsidR="00CF0E2D" w:rsidRPr="00424DA4" w:rsidRDefault="00CF0E2D" w:rsidP="00A60D4B">
            <w:pPr>
              <w:pStyle w:val="InitFigR"/>
            </w:pPr>
            <w:r>
              <w:rPr>
                <w:rFonts w:cs="Calibri"/>
                <w:lang w:eastAsia="en-AU"/>
              </w:rPr>
              <w:t>0</w:t>
            </w:r>
          </w:p>
        </w:tc>
        <w:tc>
          <w:tcPr>
            <w:tcW w:w="1029" w:type="dxa"/>
          </w:tcPr>
          <w:p w14:paraId="399360BB" w14:textId="77777777" w:rsidR="00CF0E2D" w:rsidRPr="00424DA4" w:rsidRDefault="00CF0E2D" w:rsidP="00A60D4B">
            <w:pPr>
              <w:pStyle w:val="InitFigR"/>
            </w:pPr>
            <w:r>
              <w:rPr>
                <w:rFonts w:cs="Calibri"/>
                <w:lang w:eastAsia="en-AU"/>
              </w:rPr>
              <w:t>0</w:t>
            </w:r>
          </w:p>
        </w:tc>
        <w:tc>
          <w:tcPr>
            <w:tcW w:w="1029" w:type="dxa"/>
          </w:tcPr>
          <w:p w14:paraId="65F2BB20" w14:textId="77777777" w:rsidR="00CF0E2D" w:rsidRPr="00424DA4" w:rsidRDefault="00CF0E2D" w:rsidP="00A60D4B">
            <w:pPr>
              <w:pStyle w:val="InitFigBR"/>
            </w:pPr>
            <w:r>
              <w:rPr>
                <w:rFonts w:cs="Calibri"/>
                <w:bCs/>
                <w:lang w:eastAsia="en-AU"/>
              </w:rPr>
              <w:t>3,475</w:t>
            </w:r>
          </w:p>
        </w:tc>
      </w:tr>
      <w:tr w:rsidR="00CF0E2D" w:rsidRPr="00750793" w14:paraId="1CDAC8A2" w14:textId="77777777" w:rsidTr="00A60D4B">
        <w:trPr>
          <w:cantSplit/>
          <w:jc w:val="center"/>
        </w:trPr>
        <w:tc>
          <w:tcPr>
            <w:tcW w:w="3652" w:type="dxa"/>
          </w:tcPr>
          <w:p w14:paraId="56AEA81D" w14:textId="77777777" w:rsidR="00CF0E2D" w:rsidRPr="00882BE2" w:rsidRDefault="00CF0E2D" w:rsidP="00A60D4B">
            <w:pPr>
              <w:pStyle w:val="InitTextL"/>
              <w:ind w:left="321" w:hanging="321"/>
            </w:pPr>
            <w:r>
              <w:t>Offset – Expenses – Provision</w:t>
            </w:r>
          </w:p>
        </w:tc>
        <w:tc>
          <w:tcPr>
            <w:tcW w:w="1179" w:type="dxa"/>
          </w:tcPr>
          <w:p w14:paraId="05743DE6" w14:textId="77777777" w:rsidR="00CF0E2D" w:rsidRPr="00424DA4" w:rsidRDefault="00CF0E2D" w:rsidP="00A60D4B">
            <w:pPr>
              <w:pStyle w:val="InitFigR"/>
            </w:pPr>
            <w:r>
              <w:rPr>
                <w:rFonts w:cs="Calibri"/>
                <w:lang w:eastAsia="en-AU"/>
              </w:rPr>
              <w:t>-1,543</w:t>
            </w:r>
          </w:p>
        </w:tc>
        <w:tc>
          <w:tcPr>
            <w:tcW w:w="1041" w:type="dxa"/>
          </w:tcPr>
          <w:p w14:paraId="57776078" w14:textId="77777777" w:rsidR="00CF0E2D" w:rsidRPr="00424DA4" w:rsidRDefault="00CF0E2D" w:rsidP="00A60D4B">
            <w:pPr>
              <w:pStyle w:val="InitFigR"/>
            </w:pPr>
            <w:r>
              <w:rPr>
                <w:rFonts w:cs="Calibri"/>
                <w:lang w:eastAsia="en-AU"/>
              </w:rPr>
              <w:t>-1,967</w:t>
            </w:r>
          </w:p>
        </w:tc>
        <w:tc>
          <w:tcPr>
            <w:tcW w:w="1029" w:type="dxa"/>
          </w:tcPr>
          <w:p w14:paraId="19BCB31D" w14:textId="77777777" w:rsidR="00CF0E2D" w:rsidRPr="00424DA4" w:rsidRDefault="00CF0E2D" w:rsidP="00A60D4B">
            <w:pPr>
              <w:pStyle w:val="InitFigR"/>
            </w:pPr>
            <w:r>
              <w:rPr>
                <w:rFonts w:cs="Calibri"/>
                <w:lang w:eastAsia="en-AU"/>
              </w:rPr>
              <w:t>0</w:t>
            </w:r>
          </w:p>
        </w:tc>
        <w:tc>
          <w:tcPr>
            <w:tcW w:w="1029" w:type="dxa"/>
          </w:tcPr>
          <w:p w14:paraId="77301901" w14:textId="77777777" w:rsidR="00CF0E2D" w:rsidRPr="00424DA4" w:rsidRDefault="00CF0E2D" w:rsidP="00A60D4B">
            <w:pPr>
              <w:pStyle w:val="InitFigR"/>
            </w:pPr>
            <w:r>
              <w:rPr>
                <w:rFonts w:cs="Calibri"/>
                <w:lang w:eastAsia="en-AU"/>
              </w:rPr>
              <w:t>0</w:t>
            </w:r>
          </w:p>
        </w:tc>
        <w:tc>
          <w:tcPr>
            <w:tcW w:w="1029" w:type="dxa"/>
          </w:tcPr>
          <w:p w14:paraId="0B3C216B" w14:textId="77777777" w:rsidR="00CF0E2D" w:rsidRPr="00424DA4" w:rsidRDefault="00CF0E2D" w:rsidP="00A60D4B">
            <w:pPr>
              <w:pStyle w:val="InitFigBR"/>
            </w:pPr>
            <w:r>
              <w:rPr>
                <w:rFonts w:cs="Calibri"/>
                <w:bCs/>
                <w:lang w:eastAsia="en-AU"/>
              </w:rPr>
              <w:t>-3,510</w:t>
            </w:r>
          </w:p>
        </w:tc>
      </w:tr>
      <w:tr w:rsidR="00CF0E2D" w:rsidRPr="00750793" w14:paraId="7511A517" w14:textId="77777777" w:rsidTr="00A60D4B">
        <w:trPr>
          <w:cantSplit/>
          <w:trHeight w:val="107"/>
          <w:jc w:val="center"/>
        </w:trPr>
        <w:tc>
          <w:tcPr>
            <w:tcW w:w="3652" w:type="dxa"/>
            <w:tcBorders>
              <w:top w:val="single" w:sz="4" w:space="0" w:color="auto"/>
              <w:bottom w:val="single" w:sz="4" w:space="0" w:color="auto"/>
            </w:tcBorders>
          </w:tcPr>
          <w:p w14:paraId="104FC2A0"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5EEA2A72" w14:textId="77777777" w:rsidR="00CF0E2D" w:rsidRPr="00424DA4" w:rsidRDefault="00CF0E2D" w:rsidP="00A60D4B">
            <w:pPr>
              <w:pStyle w:val="InitFigRBold"/>
            </w:pPr>
            <w:r>
              <w:t>2</w:t>
            </w:r>
          </w:p>
        </w:tc>
        <w:tc>
          <w:tcPr>
            <w:tcW w:w="1041" w:type="dxa"/>
            <w:tcBorders>
              <w:top w:val="single" w:sz="4" w:space="0" w:color="auto"/>
              <w:bottom w:val="single" w:sz="4" w:space="0" w:color="auto"/>
            </w:tcBorders>
          </w:tcPr>
          <w:p w14:paraId="586B4BB4" w14:textId="77777777" w:rsidR="00CF0E2D" w:rsidRPr="00424DA4" w:rsidRDefault="00CF0E2D" w:rsidP="00A60D4B">
            <w:pPr>
              <w:pStyle w:val="InitFigRBold"/>
            </w:pPr>
            <w:r>
              <w:t>-37</w:t>
            </w:r>
          </w:p>
        </w:tc>
        <w:tc>
          <w:tcPr>
            <w:tcW w:w="1029" w:type="dxa"/>
            <w:tcBorders>
              <w:top w:val="single" w:sz="4" w:space="0" w:color="auto"/>
              <w:bottom w:val="single" w:sz="4" w:space="0" w:color="auto"/>
            </w:tcBorders>
          </w:tcPr>
          <w:p w14:paraId="27440EA3"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78F2394F"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7F8D9171" w14:textId="77777777" w:rsidR="00CF0E2D" w:rsidRPr="00424DA4" w:rsidRDefault="00CF0E2D" w:rsidP="00A60D4B">
            <w:pPr>
              <w:pStyle w:val="InitFigRBold"/>
            </w:pPr>
            <w:r>
              <w:t>-35</w:t>
            </w:r>
          </w:p>
        </w:tc>
      </w:tr>
    </w:tbl>
    <w:p w14:paraId="40F76C1A" w14:textId="77777777" w:rsidR="00CF0E2D" w:rsidRDefault="00CF0E2D" w:rsidP="00A60D4B">
      <w:pPr>
        <w:pStyle w:val="Bbodytext"/>
      </w:pPr>
      <w:r w:rsidRPr="004C581D">
        <w:t>The Government wi</w:t>
      </w:r>
      <w:r>
        <w:t xml:space="preserve">ll </w:t>
      </w:r>
      <w:r w:rsidRPr="00051A2C">
        <w:t xml:space="preserve">provide funding </w:t>
      </w:r>
      <w:r>
        <w:t xml:space="preserve">over two years </w:t>
      </w:r>
      <w:r w:rsidRPr="00051A2C">
        <w:t xml:space="preserve">to continue the ACT Intermediary </w:t>
      </w:r>
      <w:r>
        <w:t>Program</w:t>
      </w:r>
      <w:r w:rsidRPr="00051A2C">
        <w:t xml:space="preserve"> for vulnerable witnesses</w:t>
      </w:r>
      <w:r>
        <w:t>,</w:t>
      </w:r>
      <w:r w:rsidRPr="006F225D">
        <w:t xml:space="preserve"> which commenced in January 2020 as part of the ACT Government’s response to key criminal justice recommendations of the Royal Commission into Institutional Responses to Child Sexual Abuse. This funding will</w:t>
      </w:r>
      <w:r w:rsidRPr="00051A2C">
        <w:t xml:space="preserve"> be offset by existing provisions</w:t>
      </w:r>
      <w:r>
        <w:t>.</w:t>
      </w:r>
    </w:p>
    <w:p w14:paraId="6EFAE7F3" w14:textId="77777777" w:rsidR="00CF0E2D" w:rsidRDefault="00CF0E2D" w:rsidP="00A60D4B">
      <w:pPr>
        <w:pStyle w:val="Bbodytext"/>
      </w:pPr>
      <w:r>
        <w:lastRenderedPageBreak/>
        <w:t xml:space="preserve">This initiative contributes to the wellbeing domains of </w:t>
      </w:r>
      <w:r w:rsidRPr="00051A2C">
        <w:t xml:space="preserve">Access and </w:t>
      </w:r>
      <w:r>
        <w:t>c</w:t>
      </w:r>
      <w:r w:rsidRPr="00051A2C">
        <w:t>onnectivity</w:t>
      </w:r>
      <w:r>
        <w:t xml:space="preserve"> and </w:t>
      </w:r>
      <w:r w:rsidRPr="00051A2C">
        <w:t xml:space="preserve">Governance and </w:t>
      </w:r>
      <w:r>
        <w:t>i</w:t>
      </w:r>
      <w:r w:rsidRPr="00051A2C">
        <w:t>nstitutions</w:t>
      </w:r>
      <w:r>
        <w:t>.</w:t>
      </w:r>
    </w:p>
    <w:p w14:paraId="2AA1528F" w14:textId="77777777" w:rsidR="00CF0E2D" w:rsidRDefault="00CF0E2D" w:rsidP="00A60D4B">
      <w:pPr>
        <w:pStyle w:val="Bbodytext"/>
      </w:pPr>
      <w:r>
        <w:rPr>
          <w:rFonts w:ascii="Calibri" w:eastAsiaTheme="majorEastAsia" w:hAnsi="Calibri" w:cstheme="majorBidi"/>
          <w:b/>
          <w:noProof/>
          <w:color w:val="999789"/>
          <w:sz w:val="32"/>
          <w:szCs w:val="24"/>
        </w:rPr>
        <w:drawing>
          <wp:anchor distT="0" distB="0" distL="114300" distR="114300" simplePos="0" relativeHeight="251928576" behindDoc="0" locked="1" layoutInCell="1" allowOverlap="1" wp14:anchorId="37AA77B9" wp14:editId="21BFBD0A">
            <wp:simplePos x="0" y="0"/>
            <wp:positionH relativeFrom="margin">
              <wp:align>right</wp:align>
            </wp:positionH>
            <wp:positionV relativeFrom="paragraph">
              <wp:posOffset>129540</wp:posOffset>
            </wp:positionV>
            <wp:extent cx="1422000" cy="504000"/>
            <wp:effectExtent l="0" t="0" r="6985" b="0"/>
            <wp:wrapSquare wrapText="bothSides"/>
            <wp:docPr id="136" name="Picture 136" descr="Icon representing the wellbeing domain of Governance and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con representing the wellbeing domain of Governance and institutions"/>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22000" cy="504000"/>
                    </a:xfrm>
                    <a:prstGeom prst="rect">
                      <a:avLst/>
                    </a:prstGeom>
                  </pic:spPr>
                </pic:pic>
              </a:graphicData>
            </a:graphic>
            <wp14:sizeRelH relativeFrom="margin">
              <wp14:pctWidth>0</wp14:pctWidth>
            </wp14:sizeRelH>
            <wp14:sizeRelV relativeFrom="margin">
              <wp14:pctHeight>0</wp14:pctHeight>
            </wp14:sizeRelV>
          </wp:anchor>
        </w:drawing>
      </w:r>
    </w:p>
    <w:p w14:paraId="09E90667" w14:textId="77777777" w:rsidR="00CF0E2D" w:rsidRPr="00B05FB2" w:rsidRDefault="00CF0E2D" w:rsidP="00A60D4B">
      <w:pPr>
        <w:pStyle w:val="Heading4"/>
        <w:rPr>
          <w:rFonts w:eastAsia="Times New Roman"/>
        </w:rPr>
      </w:pPr>
      <w:r w:rsidRPr="00B05FB2">
        <w:rPr>
          <w:rFonts w:eastAsia="Times New Roman"/>
        </w:rPr>
        <w:t xml:space="preserve">Commonwealth Redress Scheme </w:t>
      </w:r>
      <w:r>
        <w:rPr>
          <w:rFonts w:eastAsia="Times New Roman"/>
        </w:rPr>
        <w:t>–</w:t>
      </w:r>
      <w:r w:rsidRPr="00B05FB2">
        <w:rPr>
          <w:rFonts w:eastAsia="Times New Roman"/>
        </w:rPr>
        <w:t xml:space="preserve"> continuation</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4125AF1A" w14:textId="77777777" w:rsidTr="00A60D4B">
        <w:trPr>
          <w:cantSplit/>
          <w:jc w:val="center"/>
        </w:trPr>
        <w:tc>
          <w:tcPr>
            <w:tcW w:w="3652" w:type="dxa"/>
            <w:tcBorders>
              <w:top w:val="single" w:sz="4" w:space="0" w:color="auto"/>
              <w:bottom w:val="single" w:sz="4" w:space="0" w:color="auto"/>
            </w:tcBorders>
          </w:tcPr>
          <w:p w14:paraId="4BA757B6"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6DDCC718" w14:textId="77777777" w:rsidR="00CF0E2D" w:rsidRPr="001A0C34" w:rsidRDefault="00CF0E2D" w:rsidP="00A60D4B">
            <w:pPr>
              <w:pStyle w:val="InitFigR"/>
              <w:rPr>
                <w:b/>
                <w:bCs/>
              </w:rPr>
            </w:pPr>
            <w:r w:rsidRPr="001A0C34">
              <w:rPr>
                <w:b/>
                <w:bCs/>
              </w:rPr>
              <w:t>2021-22</w:t>
            </w:r>
          </w:p>
          <w:p w14:paraId="49CEC5BA" w14:textId="77777777" w:rsidR="00CF0E2D" w:rsidRPr="001A0C34" w:rsidRDefault="00CF0E2D" w:rsidP="00A60D4B">
            <w:pPr>
              <w:pStyle w:val="InitFigR"/>
              <w:rPr>
                <w:b/>
                <w:bCs/>
              </w:rPr>
            </w:pPr>
            <w:r w:rsidRPr="001A0C34">
              <w:rPr>
                <w:b/>
                <w:bCs/>
              </w:rPr>
              <w:t>$’000</w:t>
            </w:r>
          </w:p>
        </w:tc>
        <w:tc>
          <w:tcPr>
            <w:tcW w:w="1041" w:type="dxa"/>
            <w:tcBorders>
              <w:top w:val="single" w:sz="4" w:space="0" w:color="auto"/>
              <w:bottom w:val="single" w:sz="4" w:space="0" w:color="auto"/>
            </w:tcBorders>
          </w:tcPr>
          <w:p w14:paraId="1C843A87" w14:textId="77777777" w:rsidR="00CF0E2D" w:rsidRPr="001A0C34" w:rsidRDefault="00CF0E2D" w:rsidP="00A60D4B">
            <w:pPr>
              <w:pStyle w:val="InitFigR"/>
              <w:rPr>
                <w:b/>
                <w:bCs/>
              </w:rPr>
            </w:pPr>
            <w:r w:rsidRPr="001A0C34">
              <w:rPr>
                <w:b/>
                <w:bCs/>
              </w:rPr>
              <w:t>2022-23</w:t>
            </w:r>
          </w:p>
          <w:p w14:paraId="17C60B3C" w14:textId="77777777" w:rsidR="00CF0E2D" w:rsidRPr="001A0C34" w:rsidRDefault="00CF0E2D" w:rsidP="00A60D4B">
            <w:pPr>
              <w:pStyle w:val="InitFigR"/>
              <w:rPr>
                <w:b/>
                <w:bCs/>
              </w:rPr>
            </w:pPr>
            <w:r w:rsidRPr="001A0C34">
              <w:rPr>
                <w:b/>
                <w:bCs/>
              </w:rPr>
              <w:t>$’000</w:t>
            </w:r>
          </w:p>
        </w:tc>
        <w:tc>
          <w:tcPr>
            <w:tcW w:w="1029" w:type="dxa"/>
            <w:tcBorders>
              <w:top w:val="single" w:sz="4" w:space="0" w:color="auto"/>
              <w:bottom w:val="single" w:sz="4" w:space="0" w:color="auto"/>
            </w:tcBorders>
          </w:tcPr>
          <w:p w14:paraId="23A9CD7F" w14:textId="77777777" w:rsidR="00CF0E2D" w:rsidRPr="001A0C34" w:rsidRDefault="00CF0E2D" w:rsidP="00A60D4B">
            <w:pPr>
              <w:pStyle w:val="InitFigR"/>
              <w:rPr>
                <w:b/>
                <w:bCs/>
              </w:rPr>
            </w:pPr>
            <w:r w:rsidRPr="001A0C34">
              <w:rPr>
                <w:b/>
                <w:bCs/>
              </w:rPr>
              <w:t>2023-24</w:t>
            </w:r>
          </w:p>
          <w:p w14:paraId="443D4CAA" w14:textId="77777777" w:rsidR="00CF0E2D" w:rsidRPr="001A0C34" w:rsidRDefault="00CF0E2D" w:rsidP="00A60D4B">
            <w:pPr>
              <w:pStyle w:val="InitFigR"/>
              <w:rPr>
                <w:b/>
                <w:bCs/>
              </w:rPr>
            </w:pPr>
            <w:r w:rsidRPr="001A0C34">
              <w:rPr>
                <w:b/>
                <w:bCs/>
              </w:rPr>
              <w:t>$’000</w:t>
            </w:r>
          </w:p>
        </w:tc>
        <w:tc>
          <w:tcPr>
            <w:tcW w:w="1029" w:type="dxa"/>
            <w:tcBorders>
              <w:top w:val="single" w:sz="4" w:space="0" w:color="auto"/>
              <w:bottom w:val="single" w:sz="4" w:space="0" w:color="auto"/>
            </w:tcBorders>
          </w:tcPr>
          <w:p w14:paraId="7EB2F331" w14:textId="77777777" w:rsidR="00CF0E2D" w:rsidRPr="001A0C34" w:rsidRDefault="00CF0E2D" w:rsidP="00A60D4B">
            <w:pPr>
              <w:pStyle w:val="InitFigR"/>
              <w:rPr>
                <w:b/>
                <w:bCs/>
              </w:rPr>
            </w:pPr>
            <w:r w:rsidRPr="001A0C34">
              <w:rPr>
                <w:b/>
                <w:bCs/>
              </w:rPr>
              <w:t>2024-25</w:t>
            </w:r>
          </w:p>
          <w:p w14:paraId="32288C0C" w14:textId="77777777" w:rsidR="00CF0E2D" w:rsidRPr="001A0C34" w:rsidRDefault="00CF0E2D" w:rsidP="00A60D4B">
            <w:pPr>
              <w:pStyle w:val="InitFigR"/>
              <w:rPr>
                <w:b/>
                <w:bCs/>
              </w:rPr>
            </w:pPr>
            <w:r w:rsidRPr="001A0C34">
              <w:rPr>
                <w:b/>
                <w:bCs/>
              </w:rPr>
              <w:t>$’000</w:t>
            </w:r>
          </w:p>
        </w:tc>
        <w:tc>
          <w:tcPr>
            <w:tcW w:w="1029" w:type="dxa"/>
            <w:tcBorders>
              <w:top w:val="single" w:sz="4" w:space="0" w:color="auto"/>
              <w:bottom w:val="single" w:sz="4" w:space="0" w:color="auto"/>
            </w:tcBorders>
          </w:tcPr>
          <w:p w14:paraId="58917BE7" w14:textId="77777777" w:rsidR="00CF0E2D" w:rsidRPr="004E341E" w:rsidRDefault="00CF0E2D" w:rsidP="00A60D4B">
            <w:pPr>
              <w:pStyle w:val="InitFigRBold"/>
            </w:pPr>
            <w:r w:rsidRPr="004E341E">
              <w:t>Total</w:t>
            </w:r>
          </w:p>
          <w:p w14:paraId="604B3B10" w14:textId="77777777" w:rsidR="00CF0E2D" w:rsidRPr="004E341E" w:rsidRDefault="00CF0E2D" w:rsidP="00A60D4B">
            <w:pPr>
              <w:pStyle w:val="InitFigBR"/>
            </w:pPr>
            <w:r w:rsidRPr="004E341E">
              <w:t>$’000</w:t>
            </w:r>
          </w:p>
        </w:tc>
      </w:tr>
      <w:tr w:rsidR="00CF0E2D" w:rsidRPr="00750793" w14:paraId="2E6977CB" w14:textId="77777777" w:rsidTr="00A60D4B">
        <w:trPr>
          <w:cantSplit/>
          <w:jc w:val="center"/>
        </w:trPr>
        <w:tc>
          <w:tcPr>
            <w:tcW w:w="3652" w:type="dxa"/>
          </w:tcPr>
          <w:p w14:paraId="5DBB4D90" w14:textId="77777777" w:rsidR="00CF0E2D" w:rsidRPr="00F13FAB" w:rsidRDefault="00CF0E2D" w:rsidP="00A60D4B">
            <w:pPr>
              <w:pStyle w:val="InitTextL"/>
              <w:ind w:left="321" w:hanging="321"/>
            </w:pPr>
            <w:r w:rsidRPr="00882BE2">
              <w:t>Expenses</w:t>
            </w:r>
            <w:r>
              <w:t xml:space="preserve"> – ACT Health</w:t>
            </w:r>
          </w:p>
        </w:tc>
        <w:tc>
          <w:tcPr>
            <w:tcW w:w="1179" w:type="dxa"/>
          </w:tcPr>
          <w:p w14:paraId="759B7456" w14:textId="77777777" w:rsidR="00CF0E2D" w:rsidRPr="00424DA4" w:rsidRDefault="00CF0E2D" w:rsidP="00A60D4B">
            <w:pPr>
              <w:pStyle w:val="InitFigR"/>
            </w:pPr>
            <w:r>
              <w:t>32</w:t>
            </w:r>
          </w:p>
        </w:tc>
        <w:tc>
          <w:tcPr>
            <w:tcW w:w="1041" w:type="dxa"/>
          </w:tcPr>
          <w:p w14:paraId="67CAFE14" w14:textId="77777777" w:rsidR="00CF0E2D" w:rsidRPr="00424DA4" w:rsidRDefault="00CF0E2D" w:rsidP="00A60D4B">
            <w:pPr>
              <w:pStyle w:val="InitFigR"/>
            </w:pPr>
            <w:r>
              <w:t>33</w:t>
            </w:r>
          </w:p>
        </w:tc>
        <w:tc>
          <w:tcPr>
            <w:tcW w:w="1029" w:type="dxa"/>
          </w:tcPr>
          <w:p w14:paraId="71822266" w14:textId="77777777" w:rsidR="00CF0E2D" w:rsidRPr="00424DA4" w:rsidRDefault="00CF0E2D" w:rsidP="00A60D4B">
            <w:pPr>
              <w:pStyle w:val="InitFigR"/>
            </w:pPr>
            <w:r>
              <w:t>33</w:t>
            </w:r>
          </w:p>
        </w:tc>
        <w:tc>
          <w:tcPr>
            <w:tcW w:w="1029" w:type="dxa"/>
          </w:tcPr>
          <w:p w14:paraId="286E9ACB" w14:textId="77777777" w:rsidR="00CF0E2D" w:rsidRPr="00424DA4" w:rsidRDefault="00CF0E2D" w:rsidP="00A60D4B">
            <w:pPr>
              <w:pStyle w:val="InitFigR"/>
            </w:pPr>
            <w:r>
              <w:t>33</w:t>
            </w:r>
          </w:p>
        </w:tc>
        <w:tc>
          <w:tcPr>
            <w:tcW w:w="1029" w:type="dxa"/>
          </w:tcPr>
          <w:p w14:paraId="36351B6A" w14:textId="77777777" w:rsidR="00CF0E2D" w:rsidRPr="00424DA4" w:rsidRDefault="00CF0E2D" w:rsidP="00A60D4B">
            <w:pPr>
              <w:pStyle w:val="InitFigBR"/>
            </w:pPr>
            <w:r>
              <w:t>131</w:t>
            </w:r>
          </w:p>
        </w:tc>
      </w:tr>
      <w:tr w:rsidR="00CF0E2D" w:rsidRPr="00750793" w14:paraId="246A15FB" w14:textId="77777777" w:rsidTr="00A60D4B">
        <w:trPr>
          <w:cantSplit/>
          <w:jc w:val="center"/>
        </w:trPr>
        <w:tc>
          <w:tcPr>
            <w:tcW w:w="3652" w:type="dxa"/>
          </w:tcPr>
          <w:p w14:paraId="1F2568C3" w14:textId="77777777" w:rsidR="00CF0E2D" w:rsidRPr="00882BE2" w:rsidRDefault="00CF0E2D" w:rsidP="00A60D4B">
            <w:pPr>
              <w:pStyle w:val="InitTextL"/>
              <w:ind w:left="321" w:hanging="321"/>
            </w:pPr>
            <w:r>
              <w:t>Expenses – CSD</w:t>
            </w:r>
          </w:p>
        </w:tc>
        <w:tc>
          <w:tcPr>
            <w:tcW w:w="1179" w:type="dxa"/>
          </w:tcPr>
          <w:p w14:paraId="7930B549" w14:textId="77777777" w:rsidR="00CF0E2D" w:rsidRPr="00E840AB" w:rsidRDefault="00CF0E2D" w:rsidP="00A60D4B">
            <w:pPr>
              <w:pStyle w:val="InitFigR"/>
            </w:pPr>
            <w:r>
              <w:t>470</w:t>
            </w:r>
          </w:p>
        </w:tc>
        <w:tc>
          <w:tcPr>
            <w:tcW w:w="1041" w:type="dxa"/>
          </w:tcPr>
          <w:p w14:paraId="5CA7B76A" w14:textId="77777777" w:rsidR="00CF0E2D" w:rsidRPr="00E840AB" w:rsidRDefault="00CF0E2D" w:rsidP="00A60D4B">
            <w:pPr>
              <w:pStyle w:val="InitFigR"/>
            </w:pPr>
            <w:r>
              <w:t>476</w:t>
            </w:r>
          </w:p>
        </w:tc>
        <w:tc>
          <w:tcPr>
            <w:tcW w:w="1029" w:type="dxa"/>
          </w:tcPr>
          <w:p w14:paraId="29344E20" w14:textId="77777777" w:rsidR="00CF0E2D" w:rsidRPr="00E840AB" w:rsidRDefault="00CF0E2D" w:rsidP="00A60D4B">
            <w:pPr>
              <w:pStyle w:val="InitFigR"/>
            </w:pPr>
            <w:r>
              <w:t>483</w:t>
            </w:r>
          </w:p>
        </w:tc>
        <w:tc>
          <w:tcPr>
            <w:tcW w:w="1029" w:type="dxa"/>
          </w:tcPr>
          <w:p w14:paraId="56A5FBB0" w14:textId="77777777" w:rsidR="00CF0E2D" w:rsidRPr="00E840AB" w:rsidRDefault="00CF0E2D" w:rsidP="00A60D4B">
            <w:pPr>
              <w:pStyle w:val="InitFigR"/>
            </w:pPr>
            <w:r>
              <w:t>489</w:t>
            </w:r>
          </w:p>
        </w:tc>
        <w:tc>
          <w:tcPr>
            <w:tcW w:w="1029" w:type="dxa"/>
          </w:tcPr>
          <w:p w14:paraId="38B57584" w14:textId="77777777" w:rsidR="00CF0E2D" w:rsidRPr="00E840AB" w:rsidRDefault="00CF0E2D" w:rsidP="00A60D4B">
            <w:pPr>
              <w:pStyle w:val="InitFigBR"/>
            </w:pPr>
            <w:r>
              <w:t>1,918</w:t>
            </w:r>
          </w:p>
        </w:tc>
      </w:tr>
      <w:tr w:rsidR="00CF0E2D" w:rsidRPr="00750793" w14:paraId="5C692B35" w14:textId="77777777" w:rsidTr="00A60D4B">
        <w:trPr>
          <w:cantSplit/>
          <w:jc w:val="center"/>
        </w:trPr>
        <w:tc>
          <w:tcPr>
            <w:tcW w:w="3652" w:type="dxa"/>
          </w:tcPr>
          <w:p w14:paraId="14DA0D89" w14:textId="77777777" w:rsidR="00CF0E2D" w:rsidRPr="00882BE2" w:rsidRDefault="00CF0E2D" w:rsidP="00A60D4B">
            <w:pPr>
              <w:pStyle w:val="InitTextL"/>
              <w:ind w:left="321" w:hanging="321"/>
            </w:pPr>
            <w:r>
              <w:t>Expenses – Education</w:t>
            </w:r>
          </w:p>
        </w:tc>
        <w:tc>
          <w:tcPr>
            <w:tcW w:w="1179" w:type="dxa"/>
          </w:tcPr>
          <w:p w14:paraId="0C4601F6" w14:textId="77777777" w:rsidR="00CF0E2D" w:rsidRPr="00E840AB" w:rsidRDefault="00CF0E2D" w:rsidP="00A60D4B">
            <w:pPr>
              <w:pStyle w:val="InitFigR"/>
            </w:pPr>
            <w:r>
              <w:t>161</w:t>
            </w:r>
          </w:p>
        </w:tc>
        <w:tc>
          <w:tcPr>
            <w:tcW w:w="1041" w:type="dxa"/>
          </w:tcPr>
          <w:p w14:paraId="74C5EEE4" w14:textId="77777777" w:rsidR="00CF0E2D" w:rsidRPr="00E840AB" w:rsidRDefault="00CF0E2D" w:rsidP="00A60D4B">
            <w:pPr>
              <w:pStyle w:val="InitFigR"/>
            </w:pPr>
            <w:r>
              <w:t>163</w:t>
            </w:r>
          </w:p>
        </w:tc>
        <w:tc>
          <w:tcPr>
            <w:tcW w:w="1029" w:type="dxa"/>
          </w:tcPr>
          <w:p w14:paraId="686A8754" w14:textId="77777777" w:rsidR="00CF0E2D" w:rsidRPr="00E840AB" w:rsidRDefault="00CF0E2D" w:rsidP="00A60D4B">
            <w:pPr>
              <w:pStyle w:val="InitFigR"/>
            </w:pPr>
            <w:r>
              <w:t>166</w:t>
            </w:r>
          </w:p>
        </w:tc>
        <w:tc>
          <w:tcPr>
            <w:tcW w:w="1029" w:type="dxa"/>
          </w:tcPr>
          <w:p w14:paraId="59D68DF0" w14:textId="77777777" w:rsidR="00CF0E2D" w:rsidRPr="00E840AB" w:rsidRDefault="00CF0E2D" w:rsidP="00A60D4B">
            <w:pPr>
              <w:pStyle w:val="InitFigR"/>
            </w:pPr>
            <w:r>
              <w:t>168</w:t>
            </w:r>
          </w:p>
        </w:tc>
        <w:tc>
          <w:tcPr>
            <w:tcW w:w="1029" w:type="dxa"/>
          </w:tcPr>
          <w:p w14:paraId="171003A9" w14:textId="77777777" w:rsidR="00CF0E2D" w:rsidRPr="00E840AB" w:rsidRDefault="00CF0E2D" w:rsidP="00A60D4B">
            <w:pPr>
              <w:pStyle w:val="InitFigBR"/>
            </w:pPr>
            <w:r>
              <w:t>658</w:t>
            </w:r>
          </w:p>
        </w:tc>
      </w:tr>
      <w:tr w:rsidR="00CF0E2D" w:rsidRPr="00750793" w14:paraId="362DAE03" w14:textId="77777777" w:rsidTr="00A60D4B">
        <w:trPr>
          <w:cantSplit/>
          <w:jc w:val="center"/>
        </w:trPr>
        <w:tc>
          <w:tcPr>
            <w:tcW w:w="3652" w:type="dxa"/>
          </w:tcPr>
          <w:p w14:paraId="49AB6EAA" w14:textId="77777777" w:rsidR="00CF0E2D" w:rsidRPr="00882BE2" w:rsidRDefault="00CF0E2D" w:rsidP="00A60D4B">
            <w:pPr>
              <w:pStyle w:val="InitTextL"/>
              <w:ind w:left="321" w:hanging="321"/>
            </w:pPr>
            <w:r>
              <w:t>Expenses – JACS</w:t>
            </w:r>
          </w:p>
        </w:tc>
        <w:tc>
          <w:tcPr>
            <w:tcW w:w="1179" w:type="dxa"/>
          </w:tcPr>
          <w:p w14:paraId="50C14480" w14:textId="77777777" w:rsidR="00CF0E2D" w:rsidRPr="00E840AB" w:rsidRDefault="00CF0E2D" w:rsidP="00A60D4B">
            <w:pPr>
              <w:pStyle w:val="InitFigR"/>
            </w:pPr>
            <w:r>
              <w:t>457</w:t>
            </w:r>
          </w:p>
        </w:tc>
        <w:tc>
          <w:tcPr>
            <w:tcW w:w="1041" w:type="dxa"/>
          </w:tcPr>
          <w:p w14:paraId="216DCD0D" w14:textId="77777777" w:rsidR="00CF0E2D" w:rsidRPr="00E840AB" w:rsidRDefault="00CF0E2D" w:rsidP="00A60D4B">
            <w:pPr>
              <w:pStyle w:val="InitFigR"/>
            </w:pPr>
            <w:r>
              <w:t>465</w:t>
            </w:r>
          </w:p>
        </w:tc>
        <w:tc>
          <w:tcPr>
            <w:tcW w:w="1029" w:type="dxa"/>
          </w:tcPr>
          <w:p w14:paraId="0C602A71" w14:textId="77777777" w:rsidR="00CF0E2D" w:rsidRPr="00E840AB" w:rsidRDefault="00CF0E2D" w:rsidP="00A60D4B">
            <w:pPr>
              <w:pStyle w:val="InitFigR"/>
            </w:pPr>
            <w:r>
              <w:t>469</w:t>
            </w:r>
          </w:p>
        </w:tc>
        <w:tc>
          <w:tcPr>
            <w:tcW w:w="1029" w:type="dxa"/>
          </w:tcPr>
          <w:p w14:paraId="6048E5CC" w14:textId="77777777" w:rsidR="00CF0E2D" w:rsidRPr="00E840AB" w:rsidRDefault="00CF0E2D" w:rsidP="00A60D4B">
            <w:pPr>
              <w:pStyle w:val="InitFigR"/>
            </w:pPr>
            <w:r>
              <w:t>478</w:t>
            </w:r>
          </w:p>
        </w:tc>
        <w:tc>
          <w:tcPr>
            <w:tcW w:w="1029" w:type="dxa"/>
          </w:tcPr>
          <w:p w14:paraId="67A4BE84" w14:textId="77777777" w:rsidR="00CF0E2D" w:rsidRPr="00E840AB" w:rsidRDefault="00CF0E2D" w:rsidP="00A60D4B">
            <w:pPr>
              <w:pStyle w:val="InitFigBR"/>
            </w:pPr>
            <w:r>
              <w:t>1,869</w:t>
            </w:r>
          </w:p>
        </w:tc>
      </w:tr>
      <w:tr w:rsidR="00CF0E2D" w:rsidRPr="00750793" w14:paraId="129E60C6" w14:textId="77777777" w:rsidTr="00A60D4B">
        <w:trPr>
          <w:cantSplit/>
          <w:trHeight w:val="107"/>
          <w:jc w:val="center"/>
        </w:trPr>
        <w:tc>
          <w:tcPr>
            <w:tcW w:w="3652" w:type="dxa"/>
            <w:tcBorders>
              <w:top w:val="single" w:sz="4" w:space="0" w:color="auto"/>
              <w:bottom w:val="single" w:sz="4" w:space="0" w:color="auto"/>
            </w:tcBorders>
          </w:tcPr>
          <w:p w14:paraId="11797DB0"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7CD77F2F" w14:textId="77777777" w:rsidR="00CF0E2D" w:rsidRPr="00424DA4" w:rsidRDefault="00CF0E2D" w:rsidP="00A60D4B">
            <w:pPr>
              <w:pStyle w:val="InitFigRBold"/>
            </w:pPr>
            <w:r w:rsidRPr="00E840AB">
              <w:t>1,120</w:t>
            </w:r>
          </w:p>
        </w:tc>
        <w:tc>
          <w:tcPr>
            <w:tcW w:w="1041" w:type="dxa"/>
            <w:tcBorders>
              <w:top w:val="single" w:sz="4" w:space="0" w:color="auto"/>
              <w:bottom w:val="single" w:sz="4" w:space="0" w:color="auto"/>
            </w:tcBorders>
          </w:tcPr>
          <w:p w14:paraId="72371B64" w14:textId="77777777" w:rsidR="00CF0E2D" w:rsidRPr="00424DA4" w:rsidRDefault="00CF0E2D" w:rsidP="00A60D4B">
            <w:pPr>
              <w:pStyle w:val="InitFigRBold"/>
            </w:pPr>
            <w:r w:rsidRPr="00E840AB">
              <w:t>1,137</w:t>
            </w:r>
          </w:p>
        </w:tc>
        <w:tc>
          <w:tcPr>
            <w:tcW w:w="1029" w:type="dxa"/>
            <w:tcBorders>
              <w:top w:val="single" w:sz="4" w:space="0" w:color="auto"/>
              <w:bottom w:val="single" w:sz="4" w:space="0" w:color="auto"/>
            </w:tcBorders>
          </w:tcPr>
          <w:p w14:paraId="4722CC21" w14:textId="77777777" w:rsidR="00CF0E2D" w:rsidRPr="00424DA4" w:rsidRDefault="00CF0E2D" w:rsidP="00A60D4B">
            <w:pPr>
              <w:pStyle w:val="InitFigRBold"/>
            </w:pPr>
            <w:r w:rsidRPr="00E840AB">
              <w:t>1,151</w:t>
            </w:r>
          </w:p>
        </w:tc>
        <w:tc>
          <w:tcPr>
            <w:tcW w:w="1029" w:type="dxa"/>
            <w:tcBorders>
              <w:top w:val="single" w:sz="4" w:space="0" w:color="auto"/>
              <w:bottom w:val="single" w:sz="4" w:space="0" w:color="auto"/>
            </w:tcBorders>
          </w:tcPr>
          <w:p w14:paraId="1CFDF11F" w14:textId="77777777" w:rsidR="00CF0E2D" w:rsidRPr="00424DA4" w:rsidRDefault="00CF0E2D" w:rsidP="00A60D4B">
            <w:pPr>
              <w:pStyle w:val="InitFigRBold"/>
            </w:pPr>
            <w:r w:rsidRPr="00E840AB">
              <w:t>1,168</w:t>
            </w:r>
          </w:p>
        </w:tc>
        <w:tc>
          <w:tcPr>
            <w:tcW w:w="1029" w:type="dxa"/>
            <w:tcBorders>
              <w:top w:val="single" w:sz="4" w:space="0" w:color="auto"/>
              <w:bottom w:val="single" w:sz="4" w:space="0" w:color="auto"/>
            </w:tcBorders>
          </w:tcPr>
          <w:p w14:paraId="5517F1A6" w14:textId="77777777" w:rsidR="00CF0E2D" w:rsidRPr="00424DA4" w:rsidRDefault="00CF0E2D" w:rsidP="00A60D4B">
            <w:pPr>
              <w:pStyle w:val="InitFigRBold"/>
            </w:pPr>
            <w:r w:rsidRPr="00E840AB">
              <w:t>4,576</w:t>
            </w:r>
          </w:p>
        </w:tc>
      </w:tr>
    </w:tbl>
    <w:p w14:paraId="60F33BE2" w14:textId="77777777" w:rsidR="00CF0E2D" w:rsidRPr="00B05FB2" w:rsidRDefault="00CF0E2D" w:rsidP="00A60D4B">
      <w:pPr>
        <w:pStyle w:val="Bbodytext"/>
      </w:pPr>
      <w:r w:rsidRPr="004C581D">
        <w:t>The Government wi</w:t>
      </w:r>
      <w:r>
        <w:t xml:space="preserve">ll continue to deliver on the </w:t>
      </w:r>
      <w:r w:rsidRPr="001012E4">
        <w:t>ACT's obligations under the National Redress Scheme for Institutional Child Sexual Abuse</w:t>
      </w:r>
      <w:r>
        <w:t>, which provides redress</w:t>
      </w:r>
      <w:r w:rsidRPr="00AB5E74">
        <w:t xml:space="preserve"> payment</w:t>
      </w:r>
      <w:r>
        <w:t>s</w:t>
      </w:r>
      <w:r w:rsidRPr="00AB5E74">
        <w:t>, counselling and psychological care</w:t>
      </w:r>
      <w:r>
        <w:t xml:space="preserve"> to eligible survivors of child sexual abuse</w:t>
      </w:r>
      <w:r w:rsidRPr="00AB5E74">
        <w:t>.</w:t>
      </w:r>
      <w:r w:rsidRPr="00B05FB2">
        <w:t xml:space="preserve"> </w:t>
      </w:r>
    </w:p>
    <w:p w14:paraId="6E4D3087" w14:textId="77777777" w:rsidR="00CF0E2D" w:rsidRDefault="00CF0E2D" w:rsidP="00A60D4B">
      <w:pPr>
        <w:pStyle w:val="Bbodytext"/>
      </w:pPr>
      <w:r>
        <w:t xml:space="preserve">This initiative contributes to the wellbeing domain of </w:t>
      </w:r>
      <w:r w:rsidRPr="00AC4C9F">
        <w:t xml:space="preserve">Governance and </w:t>
      </w:r>
      <w:r>
        <w:t>i</w:t>
      </w:r>
      <w:r w:rsidRPr="00AC4C9F">
        <w:t>nstitutions</w:t>
      </w:r>
      <w:r>
        <w:t xml:space="preserve">. </w:t>
      </w:r>
    </w:p>
    <w:p w14:paraId="224BACAC" w14:textId="77777777" w:rsidR="00CF0E2D" w:rsidRDefault="00CF0E2D" w:rsidP="00A60D4B">
      <w:pPr>
        <w:pStyle w:val="Bbodytext"/>
      </w:pPr>
    </w:p>
    <w:p w14:paraId="4C2BFF40" w14:textId="77777777" w:rsidR="00CF0E2D" w:rsidRPr="008B783C" w:rsidRDefault="00CF0E2D" w:rsidP="00A60D4B">
      <w:pPr>
        <w:pStyle w:val="Heading4"/>
        <w:rPr>
          <w:rFonts w:eastAsia="Times New Roman"/>
        </w:rPr>
      </w:pPr>
      <w:r w:rsidRPr="008B783C">
        <w:rPr>
          <w:rFonts w:eastAsia="Times New Roman"/>
        </w:rPr>
        <w:t xml:space="preserve">Community sector partnerships – Better justice support for vulnerable Canberrans </w:t>
      </w:r>
      <w:r>
        <w:rPr>
          <w:b w:val="0"/>
          <w:noProof/>
          <w:color w:val="999789"/>
          <w:sz w:val="32"/>
          <w:szCs w:val="24"/>
        </w:rPr>
        <w:drawing>
          <wp:anchor distT="0" distB="0" distL="114300" distR="114300" simplePos="0" relativeHeight="251929600" behindDoc="0" locked="1" layoutInCell="1" allowOverlap="1" wp14:anchorId="53C3F163" wp14:editId="1F104B1E">
            <wp:simplePos x="0" y="0"/>
            <wp:positionH relativeFrom="margin">
              <wp:align>right</wp:align>
            </wp:positionH>
            <wp:positionV relativeFrom="paragraph">
              <wp:posOffset>82550</wp:posOffset>
            </wp:positionV>
            <wp:extent cx="1421765" cy="503555"/>
            <wp:effectExtent l="0" t="0" r="6985" b="0"/>
            <wp:wrapSquare wrapText="bothSides"/>
            <wp:docPr id="137" name="Picture 137" descr="Icon representing the wellbeing domain of Governance and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con representing the wellbeing domain of Governance and institutions"/>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217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4E341E" w14:paraId="719AC16D" w14:textId="77777777" w:rsidTr="00A60D4B">
        <w:trPr>
          <w:cantSplit/>
          <w:jc w:val="center"/>
        </w:trPr>
        <w:tc>
          <w:tcPr>
            <w:tcW w:w="3652" w:type="dxa"/>
            <w:tcBorders>
              <w:top w:val="single" w:sz="4" w:space="0" w:color="auto"/>
              <w:bottom w:val="single" w:sz="4" w:space="0" w:color="auto"/>
            </w:tcBorders>
          </w:tcPr>
          <w:p w14:paraId="4EEC2001"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53949377" w14:textId="77777777" w:rsidR="00CF0E2D" w:rsidRPr="001B62CB" w:rsidRDefault="00CF0E2D" w:rsidP="00A60D4B">
            <w:pPr>
              <w:pStyle w:val="InitFigR"/>
              <w:rPr>
                <w:b/>
                <w:bCs/>
              </w:rPr>
            </w:pPr>
            <w:r w:rsidRPr="001B62CB">
              <w:rPr>
                <w:b/>
                <w:bCs/>
              </w:rPr>
              <w:t>2021-22</w:t>
            </w:r>
          </w:p>
          <w:p w14:paraId="05EA128D" w14:textId="77777777" w:rsidR="00CF0E2D" w:rsidRPr="001B62CB" w:rsidRDefault="00CF0E2D" w:rsidP="00A60D4B">
            <w:pPr>
              <w:pStyle w:val="InitFigR"/>
              <w:rPr>
                <w:b/>
                <w:bCs/>
              </w:rPr>
            </w:pPr>
            <w:r w:rsidRPr="001B62CB">
              <w:rPr>
                <w:b/>
                <w:bCs/>
              </w:rPr>
              <w:t>$’000</w:t>
            </w:r>
          </w:p>
        </w:tc>
        <w:tc>
          <w:tcPr>
            <w:tcW w:w="1041" w:type="dxa"/>
            <w:tcBorders>
              <w:top w:val="single" w:sz="4" w:space="0" w:color="auto"/>
              <w:bottom w:val="single" w:sz="4" w:space="0" w:color="auto"/>
            </w:tcBorders>
          </w:tcPr>
          <w:p w14:paraId="7FD66849" w14:textId="77777777" w:rsidR="00CF0E2D" w:rsidRPr="001B62CB" w:rsidRDefault="00CF0E2D" w:rsidP="00A60D4B">
            <w:pPr>
              <w:pStyle w:val="InitFigR"/>
              <w:rPr>
                <w:b/>
                <w:bCs/>
              </w:rPr>
            </w:pPr>
            <w:r w:rsidRPr="001B62CB">
              <w:rPr>
                <w:b/>
                <w:bCs/>
              </w:rPr>
              <w:t>2022-23</w:t>
            </w:r>
          </w:p>
          <w:p w14:paraId="5F6BBA25" w14:textId="77777777" w:rsidR="00CF0E2D" w:rsidRPr="001B62CB" w:rsidRDefault="00CF0E2D" w:rsidP="00A60D4B">
            <w:pPr>
              <w:pStyle w:val="InitFigR"/>
              <w:rPr>
                <w:b/>
                <w:bCs/>
              </w:rPr>
            </w:pPr>
            <w:r w:rsidRPr="001B62CB">
              <w:rPr>
                <w:b/>
                <w:bCs/>
              </w:rPr>
              <w:t>$’000</w:t>
            </w:r>
          </w:p>
        </w:tc>
        <w:tc>
          <w:tcPr>
            <w:tcW w:w="1029" w:type="dxa"/>
            <w:tcBorders>
              <w:top w:val="single" w:sz="4" w:space="0" w:color="auto"/>
              <w:bottom w:val="single" w:sz="4" w:space="0" w:color="auto"/>
            </w:tcBorders>
          </w:tcPr>
          <w:p w14:paraId="42D10092" w14:textId="77777777" w:rsidR="00CF0E2D" w:rsidRPr="001B62CB" w:rsidRDefault="00CF0E2D" w:rsidP="00A60D4B">
            <w:pPr>
              <w:pStyle w:val="InitFigR"/>
              <w:rPr>
                <w:b/>
                <w:bCs/>
              </w:rPr>
            </w:pPr>
            <w:r w:rsidRPr="001B62CB">
              <w:rPr>
                <w:b/>
                <w:bCs/>
              </w:rPr>
              <w:t>2023-24</w:t>
            </w:r>
          </w:p>
          <w:p w14:paraId="670FC6CA" w14:textId="77777777" w:rsidR="00CF0E2D" w:rsidRPr="001B62CB" w:rsidRDefault="00CF0E2D" w:rsidP="00A60D4B">
            <w:pPr>
              <w:pStyle w:val="InitFigR"/>
              <w:rPr>
                <w:b/>
                <w:bCs/>
              </w:rPr>
            </w:pPr>
            <w:r w:rsidRPr="001B62CB">
              <w:rPr>
                <w:b/>
                <w:bCs/>
              </w:rPr>
              <w:t>$’000</w:t>
            </w:r>
          </w:p>
        </w:tc>
        <w:tc>
          <w:tcPr>
            <w:tcW w:w="1029" w:type="dxa"/>
            <w:tcBorders>
              <w:top w:val="single" w:sz="4" w:space="0" w:color="auto"/>
              <w:bottom w:val="single" w:sz="4" w:space="0" w:color="auto"/>
            </w:tcBorders>
          </w:tcPr>
          <w:p w14:paraId="634A26D8" w14:textId="77777777" w:rsidR="00CF0E2D" w:rsidRPr="001B62CB" w:rsidRDefault="00CF0E2D" w:rsidP="00A60D4B">
            <w:pPr>
              <w:pStyle w:val="InitFigR"/>
              <w:rPr>
                <w:b/>
                <w:bCs/>
              </w:rPr>
            </w:pPr>
            <w:r w:rsidRPr="001B62CB">
              <w:rPr>
                <w:b/>
                <w:bCs/>
              </w:rPr>
              <w:t>2024-25</w:t>
            </w:r>
          </w:p>
          <w:p w14:paraId="2EC12927" w14:textId="77777777" w:rsidR="00CF0E2D" w:rsidRPr="001B62CB" w:rsidRDefault="00CF0E2D" w:rsidP="00A60D4B">
            <w:pPr>
              <w:pStyle w:val="InitFigR"/>
              <w:rPr>
                <w:b/>
                <w:bCs/>
              </w:rPr>
            </w:pPr>
            <w:r w:rsidRPr="001B62CB">
              <w:rPr>
                <w:b/>
                <w:bCs/>
              </w:rPr>
              <w:t>$’000</w:t>
            </w:r>
          </w:p>
        </w:tc>
        <w:tc>
          <w:tcPr>
            <w:tcW w:w="1029" w:type="dxa"/>
            <w:tcBorders>
              <w:top w:val="single" w:sz="4" w:space="0" w:color="auto"/>
              <w:bottom w:val="single" w:sz="4" w:space="0" w:color="auto"/>
            </w:tcBorders>
          </w:tcPr>
          <w:p w14:paraId="43547A3C" w14:textId="77777777" w:rsidR="00CF0E2D" w:rsidRPr="004E341E" w:rsidRDefault="00CF0E2D" w:rsidP="00A60D4B">
            <w:pPr>
              <w:pStyle w:val="InitFigRBold"/>
            </w:pPr>
            <w:r w:rsidRPr="004E341E">
              <w:t>Total</w:t>
            </w:r>
          </w:p>
          <w:p w14:paraId="1AE22B10" w14:textId="77777777" w:rsidR="00CF0E2D" w:rsidRPr="004E341E" w:rsidRDefault="00CF0E2D" w:rsidP="00A60D4B">
            <w:pPr>
              <w:pStyle w:val="InitFigBR"/>
            </w:pPr>
            <w:r w:rsidRPr="004E341E">
              <w:t>$’000</w:t>
            </w:r>
          </w:p>
        </w:tc>
      </w:tr>
      <w:tr w:rsidR="00CF0E2D" w:rsidRPr="00D13A71" w14:paraId="2EF88A19" w14:textId="77777777" w:rsidTr="00A60D4B">
        <w:trPr>
          <w:cantSplit/>
          <w:jc w:val="center"/>
        </w:trPr>
        <w:tc>
          <w:tcPr>
            <w:tcW w:w="3652" w:type="dxa"/>
            <w:tcBorders>
              <w:top w:val="single" w:sz="4" w:space="0" w:color="auto"/>
              <w:bottom w:val="single" w:sz="4" w:space="0" w:color="auto"/>
            </w:tcBorders>
          </w:tcPr>
          <w:p w14:paraId="58FB70C7" w14:textId="77777777" w:rsidR="00CF0E2D"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412257A3" w14:textId="77777777" w:rsidR="00CF0E2D" w:rsidRDefault="00CF0E2D" w:rsidP="00A60D4B">
            <w:pPr>
              <w:pStyle w:val="InitFigR"/>
            </w:pPr>
            <w:r>
              <w:t>1,342</w:t>
            </w:r>
          </w:p>
        </w:tc>
        <w:tc>
          <w:tcPr>
            <w:tcW w:w="1041" w:type="dxa"/>
            <w:tcBorders>
              <w:top w:val="single" w:sz="4" w:space="0" w:color="auto"/>
              <w:bottom w:val="single" w:sz="4" w:space="0" w:color="auto"/>
            </w:tcBorders>
          </w:tcPr>
          <w:p w14:paraId="5D88DDC8" w14:textId="77777777" w:rsidR="00CF0E2D" w:rsidRDefault="00CF0E2D" w:rsidP="00A60D4B">
            <w:pPr>
              <w:pStyle w:val="InitFigR"/>
            </w:pPr>
            <w:r>
              <w:t>956</w:t>
            </w:r>
          </w:p>
        </w:tc>
        <w:tc>
          <w:tcPr>
            <w:tcW w:w="1029" w:type="dxa"/>
            <w:tcBorders>
              <w:top w:val="single" w:sz="4" w:space="0" w:color="auto"/>
              <w:bottom w:val="single" w:sz="4" w:space="0" w:color="auto"/>
            </w:tcBorders>
          </w:tcPr>
          <w:p w14:paraId="66B12C21" w14:textId="77777777" w:rsidR="00CF0E2D" w:rsidRDefault="00CF0E2D" w:rsidP="00A60D4B">
            <w:pPr>
              <w:pStyle w:val="InitFigR"/>
            </w:pPr>
            <w:r>
              <w:t>106</w:t>
            </w:r>
          </w:p>
        </w:tc>
        <w:tc>
          <w:tcPr>
            <w:tcW w:w="1029" w:type="dxa"/>
            <w:tcBorders>
              <w:top w:val="single" w:sz="4" w:space="0" w:color="auto"/>
              <w:bottom w:val="single" w:sz="4" w:space="0" w:color="auto"/>
            </w:tcBorders>
          </w:tcPr>
          <w:p w14:paraId="35F6CC19" w14:textId="77777777" w:rsidR="00CF0E2D" w:rsidRDefault="00CF0E2D" w:rsidP="00A60D4B">
            <w:pPr>
              <w:pStyle w:val="InitFigR"/>
            </w:pPr>
            <w:r>
              <w:t>109</w:t>
            </w:r>
          </w:p>
        </w:tc>
        <w:tc>
          <w:tcPr>
            <w:tcW w:w="1029" w:type="dxa"/>
            <w:tcBorders>
              <w:top w:val="single" w:sz="4" w:space="0" w:color="auto"/>
              <w:bottom w:val="single" w:sz="4" w:space="0" w:color="auto"/>
            </w:tcBorders>
          </w:tcPr>
          <w:p w14:paraId="5800BA51" w14:textId="77777777" w:rsidR="00CF0E2D" w:rsidRPr="00D13A71" w:rsidRDefault="00CF0E2D" w:rsidP="00A60D4B">
            <w:pPr>
              <w:pStyle w:val="InitFigRBold"/>
              <w:rPr>
                <w:b w:val="0"/>
              </w:rPr>
            </w:pPr>
            <w:r>
              <w:t>2,513</w:t>
            </w:r>
          </w:p>
        </w:tc>
      </w:tr>
    </w:tbl>
    <w:p w14:paraId="0FD69E4D" w14:textId="77777777" w:rsidR="00CF0E2D" w:rsidRDefault="00CF0E2D" w:rsidP="00A60D4B">
      <w:pPr>
        <w:pStyle w:val="Bbodytext"/>
      </w:pPr>
      <w:r>
        <w:t xml:space="preserve">The Government will strengthen its support to the Legal Aid Commission to meet increased demand for the Commission’s services, including its telephone advice service and services to support victims of family violence and elder abuse.  </w:t>
      </w:r>
    </w:p>
    <w:p w14:paraId="3783B2CF" w14:textId="77777777" w:rsidR="00CF0E2D" w:rsidRDefault="00CF0E2D" w:rsidP="00A60D4B">
      <w:pPr>
        <w:pStyle w:val="Bbodytext"/>
      </w:pPr>
      <w:r>
        <w:t xml:space="preserve">The initiative also supports Legal Aid’s ongoing involvement in the Intermediary Scheme, a program launched in early 2020 to support vulnerable people engaged in the criminal justice system.  </w:t>
      </w:r>
    </w:p>
    <w:p w14:paraId="526F89F0" w14:textId="77777777" w:rsidR="00CF0E2D" w:rsidRDefault="00CF0E2D" w:rsidP="00A60D4B">
      <w:pPr>
        <w:pStyle w:val="Bbodytext"/>
      </w:pPr>
      <w:r>
        <w:t xml:space="preserve">This initiative contributes to the wellbeing domains of </w:t>
      </w:r>
      <w:r w:rsidRPr="003D3C20">
        <w:t>Governance and institutions</w:t>
      </w:r>
      <w:r>
        <w:t xml:space="preserve"> and Safety. </w:t>
      </w:r>
    </w:p>
    <w:p w14:paraId="1C0B94C1" w14:textId="77777777" w:rsidR="00CF0E2D" w:rsidRDefault="00CF0E2D" w:rsidP="00A60D4B">
      <w:pPr>
        <w:pStyle w:val="Bbodytext"/>
      </w:pPr>
    </w:p>
    <w:p w14:paraId="03567E6B" w14:textId="77777777" w:rsidR="00CF0E2D" w:rsidRPr="00754412" w:rsidRDefault="00CF0E2D" w:rsidP="00A60D4B">
      <w:pPr>
        <w:pStyle w:val="Heading4"/>
        <w:rPr>
          <w:rFonts w:eastAsia="Times New Roman"/>
        </w:rPr>
      </w:pPr>
      <w:r w:rsidRPr="00754412">
        <w:rPr>
          <w:rFonts w:eastAsia="Times New Roman"/>
        </w:rPr>
        <w:t xml:space="preserve">Community </w:t>
      </w:r>
      <w:r>
        <w:rPr>
          <w:rFonts w:eastAsia="Times New Roman"/>
        </w:rPr>
        <w:t>s</w:t>
      </w:r>
      <w:r w:rsidRPr="00754412">
        <w:rPr>
          <w:rFonts w:eastAsia="Times New Roman"/>
        </w:rPr>
        <w:t xml:space="preserve">ector </w:t>
      </w:r>
      <w:r>
        <w:rPr>
          <w:rFonts w:eastAsia="Times New Roman"/>
        </w:rPr>
        <w:t>p</w:t>
      </w:r>
      <w:r w:rsidRPr="00754412">
        <w:rPr>
          <w:rFonts w:eastAsia="Times New Roman"/>
        </w:rPr>
        <w:t xml:space="preserve">artnerships </w:t>
      </w:r>
      <w:r>
        <w:rPr>
          <w:rFonts w:eastAsia="Times New Roman"/>
        </w:rPr>
        <w:t>–</w:t>
      </w:r>
      <w:r w:rsidRPr="00754412">
        <w:rPr>
          <w:rFonts w:eastAsia="Times New Roman"/>
        </w:rPr>
        <w:t xml:space="preserve"> Community </w:t>
      </w:r>
      <w:r>
        <w:rPr>
          <w:rFonts w:eastAsia="Times New Roman"/>
        </w:rPr>
        <w:t>l</w:t>
      </w:r>
      <w:r w:rsidRPr="00754412">
        <w:rPr>
          <w:rFonts w:eastAsia="Times New Roman"/>
        </w:rPr>
        <w:t xml:space="preserve">egal </w:t>
      </w:r>
      <w:r>
        <w:rPr>
          <w:rFonts w:eastAsia="Times New Roman"/>
        </w:rPr>
        <w:t>a</w:t>
      </w:r>
      <w:r w:rsidRPr="00754412">
        <w:rPr>
          <w:rFonts w:eastAsia="Times New Roman"/>
        </w:rPr>
        <w:t xml:space="preserve">ssistance </w:t>
      </w:r>
      <w:r>
        <w:rPr>
          <w:rFonts w:eastAsia="Times New Roman"/>
        </w:rPr>
        <w:t>s</w:t>
      </w:r>
      <w:r w:rsidRPr="00754412">
        <w:rPr>
          <w:rFonts w:eastAsia="Times New Roman"/>
        </w:rPr>
        <w:t xml:space="preserve">ector </w:t>
      </w:r>
      <w:r>
        <w:rPr>
          <w:rFonts w:eastAsia="Times New Roman"/>
        </w:rPr>
        <w:t>s</w:t>
      </w:r>
      <w:r w:rsidRPr="00754412">
        <w:rPr>
          <w:rFonts w:eastAsia="Times New Roman"/>
        </w:rPr>
        <w:t xml:space="preserve">upport </w:t>
      </w:r>
      <w:r>
        <w:rPr>
          <w:b w:val="0"/>
          <w:noProof/>
          <w:color w:val="999789"/>
          <w:sz w:val="32"/>
          <w:szCs w:val="24"/>
        </w:rPr>
        <w:drawing>
          <wp:anchor distT="0" distB="0" distL="114300" distR="114300" simplePos="0" relativeHeight="251894784" behindDoc="0" locked="1" layoutInCell="1" allowOverlap="1" wp14:anchorId="4F1E83CE" wp14:editId="60B361BB">
            <wp:simplePos x="0" y="0"/>
            <wp:positionH relativeFrom="margin">
              <wp:align>right</wp:align>
            </wp:positionH>
            <wp:positionV relativeFrom="paragraph">
              <wp:posOffset>87630</wp:posOffset>
            </wp:positionV>
            <wp:extent cx="989965" cy="503555"/>
            <wp:effectExtent l="0" t="0" r="635" b="0"/>
            <wp:wrapSquare wrapText="bothSides"/>
            <wp:docPr id="192" name="Picture 192"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2769C813" w14:textId="77777777" w:rsidTr="00A60D4B">
        <w:trPr>
          <w:cantSplit/>
          <w:jc w:val="center"/>
        </w:trPr>
        <w:tc>
          <w:tcPr>
            <w:tcW w:w="3652" w:type="dxa"/>
            <w:tcBorders>
              <w:top w:val="single" w:sz="4" w:space="0" w:color="auto"/>
              <w:bottom w:val="single" w:sz="4" w:space="0" w:color="auto"/>
            </w:tcBorders>
          </w:tcPr>
          <w:p w14:paraId="283C7B3B"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33504E4A" w14:textId="77777777" w:rsidR="00CF0E2D" w:rsidRPr="001A0C34" w:rsidRDefault="00CF0E2D" w:rsidP="00A60D4B">
            <w:pPr>
              <w:pStyle w:val="InitFigR"/>
              <w:rPr>
                <w:b/>
                <w:bCs/>
              </w:rPr>
            </w:pPr>
            <w:r w:rsidRPr="001A0C34">
              <w:rPr>
                <w:b/>
                <w:bCs/>
              </w:rPr>
              <w:t>2021-22</w:t>
            </w:r>
          </w:p>
          <w:p w14:paraId="2AD84E24" w14:textId="77777777" w:rsidR="00CF0E2D" w:rsidRPr="001A0C34" w:rsidRDefault="00CF0E2D" w:rsidP="00A60D4B">
            <w:pPr>
              <w:pStyle w:val="InitFigR"/>
              <w:rPr>
                <w:b/>
                <w:bCs/>
              </w:rPr>
            </w:pPr>
            <w:r w:rsidRPr="001A0C34">
              <w:rPr>
                <w:b/>
                <w:bCs/>
              </w:rPr>
              <w:t>$’000</w:t>
            </w:r>
          </w:p>
        </w:tc>
        <w:tc>
          <w:tcPr>
            <w:tcW w:w="1041" w:type="dxa"/>
            <w:tcBorders>
              <w:top w:val="single" w:sz="4" w:space="0" w:color="auto"/>
              <w:bottom w:val="single" w:sz="4" w:space="0" w:color="auto"/>
            </w:tcBorders>
          </w:tcPr>
          <w:p w14:paraId="473A8C13" w14:textId="77777777" w:rsidR="00CF0E2D" w:rsidRPr="001A0C34" w:rsidRDefault="00CF0E2D" w:rsidP="00A60D4B">
            <w:pPr>
              <w:pStyle w:val="InitFigR"/>
              <w:rPr>
                <w:b/>
                <w:bCs/>
              </w:rPr>
            </w:pPr>
            <w:r w:rsidRPr="001A0C34">
              <w:rPr>
                <w:b/>
                <w:bCs/>
              </w:rPr>
              <w:t>2022-23</w:t>
            </w:r>
          </w:p>
          <w:p w14:paraId="2C1C9C4E" w14:textId="77777777" w:rsidR="00CF0E2D" w:rsidRPr="001A0C34" w:rsidRDefault="00CF0E2D" w:rsidP="00A60D4B">
            <w:pPr>
              <w:pStyle w:val="InitFigR"/>
              <w:rPr>
                <w:b/>
                <w:bCs/>
              </w:rPr>
            </w:pPr>
            <w:r w:rsidRPr="001A0C34">
              <w:rPr>
                <w:b/>
                <w:bCs/>
              </w:rPr>
              <w:t>$’000</w:t>
            </w:r>
          </w:p>
        </w:tc>
        <w:tc>
          <w:tcPr>
            <w:tcW w:w="1029" w:type="dxa"/>
            <w:tcBorders>
              <w:top w:val="single" w:sz="4" w:space="0" w:color="auto"/>
              <w:bottom w:val="single" w:sz="4" w:space="0" w:color="auto"/>
            </w:tcBorders>
          </w:tcPr>
          <w:p w14:paraId="60A52949" w14:textId="77777777" w:rsidR="00CF0E2D" w:rsidRPr="001A0C34" w:rsidRDefault="00CF0E2D" w:rsidP="00A60D4B">
            <w:pPr>
              <w:pStyle w:val="InitFigR"/>
              <w:rPr>
                <w:b/>
                <w:bCs/>
              </w:rPr>
            </w:pPr>
            <w:r w:rsidRPr="001A0C34">
              <w:rPr>
                <w:b/>
                <w:bCs/>
              </w:rPr>
              <w:t>2023-24</w:t>
            </w:r>
          </w:p>
          <w:p w14:paraId="3B2DC444" w14:textId="77777777" w:rsidR="00CF0E2D" w:rsidRPr="001A0C34" w:rsidRDefault="00CF0E2D" w:rsidP="00A60D4B">
            <w:pPr>
              <w:pStyle w:val="InitFigR"/>
              <w:rPr>
                <w:b/>
                <w:bCs/>
              </w:rPr>
            </w:pPr>
            <w:r w:rsidRPr="001A0C34">
              <w:rPr>
                <w:b/>
                <w:bCs/>
              </w:rPr>
              <w:t>$’000</w:t>
            </w:r>
          </w:p>
        </w:tc>
        <w:tc>
          <w:tcPr>
            <w:tcW w:w="1029" w:type="dxa"/>
            <w:tcBorders>
              <w:top w:val="single" w:sz="4" w:space="0" w:color="auto"/>
              <w:bottom w:val="single" w:sz="4" w:space="0" w:color="auto"/>
            </w:tcBorders>
          </w:tcPr>
          <w:p w14:paraId="65CF2A03" w14:textId="77777777" w:rsidR="00CF0E2D" w:rsidRPr="001A0C34" w:rsidRDefault="00CF0E2D" w:rsidP="00A60D4B">
            <w:pPr>
              <w:pStyle w:val="InitFigR"/>
              <w:rPr>
                <w:b/>
                <w:bCs/>
              </w:rPr>
            </w:pPr>
            <w:r w:rsidRPr="001A0C34">
              <w:rPr>
                <w:b/>
                <w:bCs/>
              </w:rPr>
              <w:t>2024-25</w:t>
            </w:r>
          </w:p>
          <w:p w14:paraId="578B8F9A" w14:textId="77777777" w:rsidR="00CF0E2D" w:rsidRPr="001A0C34" w:rsidRDefault="00CF0E2D" w:rsidP="00A60D4B">
            <w:pPr>
              <w:pStyle w:val="InitFigR"/>
              <w:rPr>
                <w:b/>
                <w:bCs/>
              </w:rPr>
            </w:pPr>
            <w:r w:rsidRPr="001A0C34">
              <w:rPr>
                <w:b/>
                <w:bCs/>
              </w:rPr>
              <w:t>$’000</w:t>
            </w:r>
          </w:p>
        </w:tc>
        <w:tc>
          <w:tcPr>
            <w:tcW w:w="1029" w:type="dxa"/>
            <w:tcBorders>
              <w:top w:val="single" w:sz="4" w:space="0" w:color="auto"/>
              <w:bottom w:val="single" w:sz="4" w:space="0" w:color="auto"/>
            </w:tcBorders>
          </w:tcPr>
          <w:p w14:paraId="2010F0F9" w14:textId="77777777" w:rsidR="00CF0E2D" w:rsidRPr="004E341E" w:rsidRDefault="00CF0E2D" w:rsidP="00A60D4B">
            <w:pPr>
              <w:pStyle w:val="InitFigRBold"/>
            </w:pPr>
            <w:r w:rsidRPr="004E341E">
              <w:t>Total</w:t>
            </w:r>
          </w:p>
          <w:p w14:paraId="44F934C2" w14:textId="77777777" w:rsidR="00CF0E2D" w:rsidRPr="004E341E" w:rsidRDefault="00CF0E2D" w:rsidP="00A60D4B">
            <w:pPr>
              <w:pStyle w:val="InitFigBR"/>
            </w:pPr>
            <w:r w:rsidRPr="004E341E">
              <w:t>$’000</w:t>
            </w:r>
          </w:p>
        </w:tc>
      </w:tr>
      <w:tr w:rsidR="00CF0E2D" w:rsidRPr="00750793" w14:paraId="1DAAF583" w14:textId="77777777" w:rsidTr="00A60D4B">
        <w:trPr>
          <w:cantSplit/>
          <w:jc w:val="center"/>
        </w:trPr>
        <w:tc>
          <w:tcPr>
            <w:tcW w:w="3652" w:type="dxa"/>
            <w:tcBorders>
              <w:top w:val="single" w:sz="4" w:space="0" w:color="auto"/>
              <w:bottom w:val="single" w:sz="4" w:space="0" w:color="auto"/>
            </w:tcBorders>
          </w:tcPr>
          <w:p w14:paraId="202D5353"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05E26981" w14:textId="77777777" w:rsidR="00CF0E2D" w:rsidRPr="00424DA4" w:rsidRDefault="00CF0E2D" w:rsidP="00A60D4B">
            <w:pPr>
              <w:pStyle w:val="InitFigR"/>
            </w:pPr>
            <w:r>
              <w:t>1,199</w:t>
            </w:r>
          </w:p>
        </w:tc>
        <w:tc>
          <w:tcPr>
            <w:tcW w:w="1041" w:type="dxa"/>
            <w:tcBorders>
              <w:top w:val="single" w:sz="4" w:space="0" w:color="auto"/>
              <w:bottom w:val="single" w:sz="4" w:space="0" w:color="auto"/>
            </w:tcBorders>
          </w:tcPr>
          <w:p w14:paraId="59F61EE0" w14:textId="77777777" w:rsidR="00CF0E2D" w:rsidRPr="00424DA4" w:rsidRDefault="00CF0E2D" w:rsidP="00A60D4B">
            <w:pPr>
              <w:pStyle w:val="InitFigR"/>
            </w:pPr>
            <w:r>
              <w:t>502</w:t>
            </w:r>
          </w:p>
        </w:tc>
        <w:tc>
          <w:tcPr>
            <w:tcW w:w="1029" w:type="dxa"/>
            <w:tcBorders>
              <w:top w:val="single" w:sz="4" w:space="0" w:color="auto"/>
              <w:bottom w:val="single" w:sz="4" w:space="0" w:color="auto"/>
            </w:tcBorders>
          </w:tcPr>
          <w:p w14:paraId="520B6D3D" w14:textId="77777777" w:rsidR="00CF0E2D" w:rsidRPr="00424DA4" w:rsidRDefault="00CF0E2D" w:rsidP="00A60D4B">
            <w:pPr>
              <w:pStyle w:val="InitFigR"/>
            </w:pPr>
            <w:r>
              <w:t>157</w:t>
            </w:r>
          </w:p>
        </w:tc>
        <w:tc>
          <w:tcPr>
            <w:tcW w:w="1029" w:type="dxa"/>
            <w:tcBorders>
              <w:top w:val="single" w:sz="4" w:space="0" w:color="auto"/>
              <w:bottom w:val="single" w:sz="4" w:space="0" w:color="auto"/>
            </w:tcBorders>
          </w:tcPr>
          <w:p w14:paraId="1B6A8C49" w14:textId="77777777" w:rsidR="00CF0E2D" w:rsidRPr="00424DA4" w:rsidRDefault="00CF0E2D" w:rsidP="00A60D4B">
            <w:pPr>
              <w:pStyle w:val="InitFigR"/>
            </w:pPr>
            <w:r>
              <w:t>160</w:t>
            </w:r>
          </w:p>
        </w:tc>
        <w:tc>
          <w:tcPr>
            <w:tcW w:w="1029" w:type="dxa"/>
            <w:tcBorders>
              <w:top w:val="single" w:sz="4" w:space="0" w:color="auto"/>
              <w:bottom w:val="single" w:sz="4" w:space="0" w:color="auto"/>
            </w:tcBorders>
          </w:tcPr>
          <w:p w14:paraId="61949F2A" w14:textId="77777777" w:rsidR="00CF0E2D" w:rsidRPr="00424DA4" w:rsidRDefault="00CF0E2D" w:rsidP="00A60D4B">
            <w:pPr>
              <w:pStyle w:val="InitFigBR"/>
            </w:pPr>
            <w:r>
              <w:t>2,018</w:t>
            </w:r>
          </w:p>
        </w:tc>
      </w:tr>
    </w:tbl>
    <w:p w14:paraId="4299619B" w14:textId="77777777" w:rsidR="00CF0E2D" w:rsidRDefault="00CF0E2D" w:rsidP="00A60D4B">
      <w:pPr>
        <w:pStyle w:val="Bbodytext"/>
        <w:rPr>
          <w:lang w:eastAsia="en-AU"/>
        </w:rPr>
      </w:pPr>
      <w:r>
        <w:rPr>
          <w:lang w:eastAsia="en-AU"/>
        </w:rPr>
        <w:t xml:space="preserve">The Government will provide funding to community-based organisations operating in the legal assistance sector, including the Aboriginal Legal Service NSW/ACT, Canberra Community Law, CARE Inc and the Environmental Defenders Office. The funding will ensure these organisations can maintain service delivery levels. </w:t>
      </w:r>
    </w:p>
    <w:p w14:paraId="114247EF" w14:textId="77777777" w:rsidR="00CF0E2D" w:rsidRPr="00153C77" w:rsidRDefault="00CF0E2D" w:rsidP="00A60D4B">
      <w:pPr>
        <w:pStyle w:val="Bbodytext"/>
        <w:rPr>
          <w:lang w:val="x-none"/>
        </w:rPr>
      </w:pPr>
      <w:r>
        <w:lastRenderedPageBreak/>
        <w:t>This initiative contributes to the wellbeing domains of Safety, Health</w:t>
      </w:r>
      <w:r w:rsidRPr="007874FB">
        <w:rPr>
          <w:rFonts w:cs="Calibri"/>
          <w:szCs w:val="24"/>
        </w:rPr>
        <w:t xml:space="preserve"> </w:t>
      </w:r>
      <w:r w:rsidRPr="000C66D4">
        <w:rPr>
          <w:rFonts w:cs="Calibri"/>
          <w:szCs w:val="24"/>
        </w:rPr>
        <w:t xml:space="preserve">and Governance and </w:t>
      </w:r>
      <w:r>
        <w:rPr>
          <w:rFonts w:cs="Calibri"/>
          <w:szCs w:val="24"/>
        </w:rPr>
        <w:t>i</w:t>
      </w:r>
      <w:r w:rsidRPr="000C66D4">
        <w:rPr>
          <w:rFonts w:cs="Calibri"/>
          <w:szCs w:val="24"/>
        </w:rPr>
        <w:t>nstitutions.</w:t>
      </w:r>
    </w:p>
    <w:p w14:paraId="36CE6062" w14:textId="77777777" w:rsidR="00CF0E2D" w:rsidRDefault="00CF0E2D" w:rsidP="00A60D4B"/>
    <w:p w14:paraId="26547129" w14:textId="59CBACAD" w:rsidR="00CF0E2D" w:rsidRPr="008B783C" w:rsidRDefault="00CF0E2D" w:rsidP="00A60D4B">
      <w:pPr>
        <w:pStyle w:val="Heading4"/>
        <w:rPr>
          <w:rFonts w:eastAsia="Times New Roman"/>
        </w:rPr>
      </w:pPr>
      <w:r w:rsidRPr="008B783C">
        <w:rPr>
          <w:rFonts w:eastAsia="Times New Roman"/>
        </w:rPr>
        <w:t>Dedicated Coroner</w:t>
      </w:r>
      <w:r w:rsidR="00B86042">
        <w:rPr>
          <w:rFonts w:eastAsia="Times New Roman"/>
        </w:rPr>
        <w:t>’</w:t>
      </w:r>
      <w:r w:rsidRPr="008B783C">
        <w:rPr>
          <w:rFonts w:eastAsia="Times New Roman"/>
        </w:rPr>
        <w:t xml:space="preserve">s Court for the ACT </w:t>
      </w:r>
      <w:r>
        <w:rPr>
          <w:b w:val="0"/>
          <w:noProof/>
          <w:color w:val="999789"/>
          <w:sz w:val="32"/>
          <w:szCs w:val="24"/>
        </w:rPr>
        <w:drawing>
          <wp:anchor distT="0" distB="0" distL="114300" distR="114300" simplePos="0" relativeHeight="251895808" behindDoc="0" locked="1" layoutInCell="1" allowOverlap="1" wp14:anchorId="5CB9325A" wp14:editId="47CD845B">
            <wp:simplePos x="0" y="0"/>
            <wp:positionH relativeFrom="margin">
              <wp:posOffset>4724400</wp:posOffset>
            </wp:positionH>
            <wp:positionV relativeFrom="paragraph">
              <wp:posOffset>-161290</wp:posOffset>
            </wp:positionV>
            <wp:extent cx="989965" cy="503555"/>
            <wp:effectExtent l="0" t="0" r="635" b="0"/>
            <wp:wrapSquare wrapText="bothSides"/>
            <wp:docPr id="193" name="Picture 193"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4E341E" w14:paraId="6355DF1E" w14:textId="77777777" w:rsidTr="00A60D4B">
        <w:trPr>
          <w:cantSplit/>
          <w:jc w:val="center"/>
        </w:trPr>
        <w:tc>
          <w:tcPr>
            <w:tcW w:w="3652" w:type="dxa"/>
            <w:tcBorders>
              <w:top w:val="single" w:sz="4" w:space="0" w:color="auto"/>
              <w:bottom w:val="single" w:sz="4" w:space="0" w:color="auto"/>
            </w:tcBorders>
          </w:tcPr>
          <w:p w14:paraId="1085F868"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7E975E55" w14:textId="77777777" w:rsidR="00CF0E2D" w:rsidRPr="00B7386B" w:rsidRDefault="00CF0E2D" w:rsidP="00A60D4B">
            <w:pPr>
              <w:pStyle w:val="InitFigR"/>
              <w:rPr>
                <w:b/>
                <w:bCs/>
              </w:rPr>
            </w:pPr>
            <w:r w:rsidRPr="00B7386B">
              <w:rPr>
                <w:b/>
                <w:bCs/>
              </w:rPr>
              <w:t>2021-22</w:t>
            </w:r>
          </w:p>
          <w:p w14:paraId="100AD7B2" w14:textId="77777777" w:rsidR="00CF0E2D" w:rsidRPr="00B7386B" w:rsidRDefault="00CF0E2D" w:rsidP="00A60D4B">
            <w:pPr>
              <w:pStyle w:val="InitFigR"/>
              <w:rPr>
                <w:b/>
                <w:bCs/>
              </w:rPr>
            </w:pPr>
            <w:r w:rsidRPr="00B7386B">
              <w:rPr>
                <w:b/>
                <w:bCs/>
              </w:rPr>
              <w:t>$’000</w:t>
            </w:r>
          </w:p>
        </w:tc>
        <w:tc>
          <w:tcPr>
            <w:tcW w:w="1041" w:type="dxa"/>
            <w:tcBorders>
              <w:top w:val="single" w:sz="4" w:space="0" w:color="auto"/>
              <w:bottom w:val="single" w:sz="4" w:space="0" w:color="auto"/>
            </w:tcBorders>
          </w:tcPr>
          <w:p w14:paraId="0B018209" w14:textId="77777777" w:rsidR="00CF0E2D" w:rsidRPr="00B7386B" w:rsidRDefault="00CF0E2D" w:rsidP="00A60D4B">
            <w:pPr>
              <w:pStyle w:val="InitFigR"/>
              <w:rPr>
                <w:b/>
                <w:bCs/>
              </w:rPr>
            </w:pPr>
            <w:r w:rsidRPr="00B7386B">
              <w:rPr>
                <w:b/>
                <w:bCs/>
              </w:rPr>
              <w:t>2022-23</w:t>
            </w:r>
          </w:p>
          <w:p w14:paraId="53E659DA" w14:textId="77777777" w:rsidR="00CF0E2D" w:rsidRPr="00B7386B" w:rsidRDefault="00CF0E2D" w:rsidP="00A60D4B">
            <w:pPr>
              <w:pStyle w:val="InitFigR"/>
              <w:rPr>
                <w:b/>
                <w:bCs/>
              </w:rPr>
            </w:pPr>
            <w:r w:rsidRPr="00B7386B">
              <w:rPr>
                <w:b/>
                <w:bCs/>
              </w:rPr>
              <w:t>$’000</w:t>
            </w:r>
          </w:p>
        </w:tc>
        <w:tc>
          <w:tcPr>
            <w:tcW w:w="1029" w:type="dxa"/>
            <w:tcBorders>
              <w:top w:val="single" w:sz="4" w:space="0" w:color="auto"/>
              <w:bottom w:val="single" w:sz="4" w:space="0" w:color="auto"/>
            </w:tcBorders>
          </w:tcPr>
          <w:p w14:paraId="4711DE15" w14:textId="77777777" w:rsidR="00CF0E2D" w:rsidRPr="00B7386B" w:rsidRDefault="00CF0E2D" w:rsidP="00A60D4B">
            <w:pPr>
              <w:pStyle w:val="InitFigR"/>
              <w:rPr>
                <w:b/>
                <w:bCs/>
              </w:rPr>
            </w:pPr>
            <w:r w:rsidRPr="00B7386B">
              <w:rPr>
                <w:b/>
                <w:bCs/>
              </w:rPr>
              <w:t>2023-24</w:t>
            </w:r>
          </w:p>
          <w:p w14:paraId="138195F6" w14:textId="77777777" w:rsidR="00CF0E2D" w:rsidRPr="00B7386B" w:rsidRDefault="00CF0E2D" w:rsidP="00A60D4B">
            <w:pPr>
              <w:pStyle w:val="InitFigR"/>
              <w:rPr>
                <w:b/>
                <w:bCs/>
              </w:rPr>
            </w:pPr>
            <w:r w:rsidRPr="00B7386B">
              <w:rPr>
                <w:b/>
                <w:bCs/>
              </w:rPr>
              <w:t>$’000</w:t>
            </w:r>
          </w:p>
        </w:tc>
        <w:tc>
          <w:tcPr>
            <w:tcW w:w="1029" w:type="dxa"/>
            <w:tcBorders>
              <w:top w:val="single" w:sz="4" w:space="0" w:color="auto"/>
              <w:bottom w:val="single" w:sz="4" w:space="0" w:color="auto"/>
            </w:tcBorders>
          </w:tcPr>
          <w:p w14:paraId="6D62B909" w14:textId="77777777" w:rsidR="00CF0E2D" w:rsidRPr="00B7386B" w:rsidRDefault="00CF0E2D" w:rsidP="00A60D4B">
            <w:pPr>
              <w:pStyle w:val="InitFigR"/>
              <w:rPr>
                <w:b/>
                <w:bCs/>
              </w:rPr>
            </w:pPr>
            <w:r w:rsidRPr="00B7386B">
              <w:rPr>
                <w:b/>
                <w:bCs/>
              </w:rPr>
              <w:t>2024-25</w:t>
            </w:r>
          </w:p>
          <w:p w14:paraId="7F6170B9" w14:textId="77777777" w:rsidR="00CF0E2D" w:rsidRPr="00B7386B" w:rsidRDefault="00CF0E2D" w:rsidP="00A60D4B">
            <w:pPr>
              <w:pStyle w:val="InitFigR"/>
              <w:rPr>
                <w:b/>
                <w:bCs/>
              </w:rPr>
            </w:pPr>
            <w:r w:rsidRPr="00B7386B">
              <w:rPr>
                <w:b/>
                <w:bCs/>
              </w:rPr>
              <w:t>$’000</w:t>
            </w:r>
          </w:p>
        </w:tc>
        <w:tc>
          <w:tcPr>
            <w:tcW w:w="1029" w:type="dxa"/>
            <w:tcBorders>
              <w:top w:val="single" w:sz="4" w:space="0" w:color="auto"/>
              <w:bottom w:val="single" w:sz="4" w:space="0" w:color="auto"/>
            </w:tcBorders>
          </w:tcPr>
          <w:p w14:paraId="582E5D1F" w14:textId="77777777" w:rsidR="00CF0E2D" w:rsidRPr="004E341E" w:rsidRDefault="00CF0E2D" w:rsidP="00A60D4B">
            <w:pPr>
              <w:pStyle w:val="InitFigRBold"/>
            </w:pPr>
            <w:r w:rsidRPr="004E341E">
              <w:t>Total</w:t>
            </w:r>
          </w:p>
          <w:p w14:paraId="05B7481B" w14:textId="77777777" w:rsidR="00CF0E2D" w:rsidRPr="004E341E" w:rsidRDefault="00CF0E2D" w:rsidP="00A60D4B">
            <w:pPr>
              <w:pStyle w:val="InitFigBR"/>
            </w:pPr>
            <w:r w:rsidRPr="004E341E">
              <w:t>$’000</w:t>
            </w:r>
          </w:p>
        </w:tc>
      </w:tr>
      <w:tr w:rsidR="00CF0E2D" w:rsidRPr="00933577" w14:paraId="622F0CC6" w14:textId="77777777" w:rsidTr="00A60D4B">
        <w:trPr>
          <w:cantSplit/>
          <w:jc w:val="center"/>
        </w:trPr>
        <w:tc>
          <w:tcPr>
            <w:tcW w:w="3652" w:type="dxa"/>
            <w:tcBorders>
              <w:top w:val="single" w:sz="4" w:space="0" w:color="auto"/>
            </w:tcBorders>
          </w:tcPr>
          <w:p w14:paraId="705D5B49" w14:textId="77777777" w:rsidR="00CF0E2D" w:rsidRDefault="00CF0E2D" w:rsidP="00A60D4B">
            <w:pPr>
              <w:pStyle w:val="InitTextL"/>
              <w:ind w:left="321" w:hanging="321"/>
            </w:pPr>
            <w:r>
              <w:t>Expenses – JACS</w:t>
            </w:r>
          </w:p>
        </w:tc>
        <w:tc>
          <w:tcPr>
            <w:tcW w:w="1179" w:type="dxa"/>
            <w:tcBorders>
              <w:top w:val="single" w:sz="4" w:space="0" w:color="auto"/>
            </w:tcBorders>
          </w:tcPr>
          <w:p w14:paraId="4883F41C" w14:textId="77777777" w:rsidR="00CF0E2D" w:rsidRDefault="00CF0E2D" w:rsidP="00A60D4B">
            <w:pPr>
              <w:pStyle w:val="InitFigR"/>
              <w:rPr>
                <w:rFonts w:cs="Calibri"/>
                <w:lang w:eastAsia="en-AU"/>
              </w:rPr>
            </w:pPr>
            <w:r>
              <w:rPr>
                <w:rFonts w:cs="Calibri"/>
                <w:lang w:eastAsia="en-AU"/>
              </w:rPr>
              <w:t>1,043</w:t>
            </w:r>
          </w:p>
        </w:tc>
        <w:tc>
          <w:tcPr>
            <w:tcW w:w="1041" w:type="dxa"/>
            <w:tcBorders>
              <w:top w:val="single" w:sz="4" w:space="0" w:color="auto"/>
            </w:tcBorders>
          </w:tcPr>
          <w:p w14:paraId="0938A1EE" w14:textId="77777777" w:rsidR="00CF0E2D" w:rsidRDefault="00CF0E2D" w:rsidP="00A60D4B">
            <w:pPr>
              <w:pStyle w:val="InitFigR"/>
              <w:rPr>
                <w:rFonts w:cs="Calibri"/>
                <w:lang w:eastAsia="en-AU"/>
              </w:rPr>
            </w:pPr>
            <w:r>
              <w:rPr>
                <w:rFonts w:cs="Calibri"/>
                <w:lang w:eastAsia="en-AU"/>
              </w:rPr>
              <w:t>888</w:t>
            </w:r>
          </w:p>
        </w:tc>
        <w:tc>
          <w:tcPr>
            <w:tcW w:w="1029" w:type="dxa"/>
            <w:tcBorders>
              <w:top w:val="single" w:sz="4" w:space="0" w:color="auto"/>
            </w:tcBorders>
          </w:tcPr>
          <w:p w14:paraId="5CA8CD13" w14:textId="77777777" w:rsidR="00CF0E2D" w:rsidRDefault="00CF0E2D" w:rsidP="00A60D4B">
            <w:pPr>
              <w:pStyle w:val="InitFigR"/>
              <w:rPr>
                <w:rFonts w:cs="Calibri"/>
                <w:lang w:eastAsia="en-AU"/>
              </w:rPr>
            </w:pPr>
            <w:r>
              <w:rPr>
                <w:rFonts w:cs="Calibri"/>
                <w:lang w:eastAsia="en-AU"/>
              </w:rPr>
              <w:t>903</w:t>
            </w:r>
          </w:p>
        </w:tc>
        <w:tc>
          <w:tcPr>
            <w:tcW w:w="1029" w:type="dxa"/>
            <w:tcBorders>
              <w:top w:val="single" w:sz="4" w:space="0" w:color="auto"/>
            </w:tcBorders>
          </w:tcPr>
          <w:p w14:paraId="52D032C9" w14:textId="77777777" w:rsidR="00CF0E2D" w:rsidRDefault="00CF0E2D" w:rsidP="00A60D4B">
            <w:pPr>
              <w:pStyle w:val="InitFigR"/>
              <w:rPr>
                <w:rFonts w:cs="Calibri"/>
                <w:lang w:eastAsia="en-AU"/>
              </w:rPr>
            </w:pPr>
            <w:r>
              <w:rPr>
                <w:rFonts w:cs="Calibri"/>
                <w:lang w:eastAsia="en-AU"/>
              </w:rPr>
              <w:t>918</w:t>
            </w:r>
          </w:p>
        </w:tc>
        <w:tc>
          <w:tcPr>
            <w:tcW w:w="1029" w:type="dxa"/>
            <w:tcBorders>
              <w:top w:val="single" w:sz="4" w:space="0" w:color="auto"/>
            </w:tcBorders>
          </w:tcPr>
          <w:p w14:paraId="18391D8B" w14:textId="77777777" w:rsidR="00CF0E2D" w:rsidRDefault="00CF0E2D" w:rsidP="00A60D4B">
            <w:pPr>
              <w:pStyle w:val="InitFigRBold"/>
              <w:rPr>
                <w:rFonts w:cs="Calibri"/>
                <w:bCs/>
                <w:lang w:eastAsia="en-AU"/>
              </w:rPr>
            </w:pPr>
            <w:r>
              <w:rPr>
                <w:rFonts w:cs="Calibri"/>
                <w:bCs/>
                <w:lang w:eastAsia="en-AU"/>
              </w:rPr>
              <w:t>3,752</w:t>
            </w:r>
          </w:p>
        </w:tc>
      </w:tr>
      <w:tr w:rsidR="00CF0E2D" w:rsidRPr="00933577" w14:paraId="4E61FF07" w14:textId="77777777" w:rsidTr="00A60D4B">
        <w:trPr>
          <w:cantSplit/>
          <w:jc w:val="center"/>
        </w:trPr>
        <w:tc>
          <w:tcPr>
            <w:tcW w:w="3652" w:type="dxa"/>
            <w:tcBorders>
              <w:bottom w:val="single" w:sz="4" w:space="0" w:color="auto"/>
            </w:tcBorders>
          </w:tcPr>
          <w:p w14:paraId="4209F95F" w14:textId="77777777" w:rsidR="00CF0E2D" w:rsidRDefault="00CF0E2D" w:rsidP="00A60D4B">
            <w:pPr>
              <w:pStyle w:val="InitTextL"/>
              <w:ind w:left="321" w:hanging="321"/>
            </w:pPr>
            <w:r>
              <w:t>Expenses – Legal Aid ACT</w:t>
            </w:r>
          </w:p>
        </w:tc>
        <w:tc>
          <w:tcPr>
            <w:tcW w:w="1179" w:type="dxa"/>
            <w:tcBorders>
              <w:bottom w:val="single" w:sz="4" w:space="0" w:color="auto"/>
            </w:tcBorders>
          </w:tcPr>
          <w:p w14:paraId="13B08B81" w14:textId="77777777" w:rsidR="00CF0E2D" w:rsidRDefault="00CF0E2D" w:rsidP="00A60D4B">
            <w:pPr>
              <w:pStyle w:val="InitFigR"/>
              <w:rPr>
                <w:rFonts w:cs="Calibri"/>
                <w:lang w:eastAsia="en-AU"/>
              </w:rPr>
            </w:pPr>
            <w:r>
              <w:rPr>
                <w:rFonts w:cs="Calibri"/>
                <w:lang w:eastAsia="en-AU"/>
              </w:rPr>
              <w:t>92</w:t>
            </w:r>
          </w:p>
        </w:tc>
        <w:tc>
          <w:tcPr>
            <w:tcW w:w="1041" w:type="dxa"/>
            <w:tcBorders>
              <w:bottom w:val="single" w:sz="4" w:space="0" w:color="auto"/>
            </w:tcBorders>
          </w:tcPr>
          <w:p w14:paraId="76E48D1B" w14:textId="77777777" w:rsidR="00CF0E2D" w:rsidRDefault="00CF0E2D" w:rsidP="00A60D4B">
            <w:pPr>
              <w:pStyle w:val="InitFigR"/>
              <w:rPr>
                <w:rFonts w:cs="Calibri"/>
                <w:lang w:eastAsia="en-AU"/>
              </w:rPr>
            </w:pPr>
            <w:r>
              <w:rPr>
                <w:rFonts w:cs="Calibri"/>
                <w:lang w:eastAsia="en-AU"/>
              </w:rPr>
              <w:t>0</w:t>
            </w:r>
          </w:p>
        </w:tc>
        <w:tc>
          <w:tcPr>
            <w:tcW w:w="1029" w:type="dxa"/>
            <w:tcBorders>
              <w:bottom w:val="single" w:sz="4" w:space="0" w:color="auto"/>
            </w:tcBorders>
          </w:tcPr>
          <w:p w14:paraId="39063C52" w14:textId="77777777" w:rsidR="00CF0E2D" w:rsidRDefault="00CF0E2D" w:rsidP="00A60D4B">
            <w:pPr>
              <w:pStyle w:val="InitFigR"/>
              <w:rPr>
                <w:rFonts w:cs="Calibri"/>
                <w:lang w:eastAsia="en-AU"/>
              </w:rPr>
            </w:pPr>
            <w:r>
              <w:rPr>
                <w:rFonts w:cs="Calibri"/>
                <w:lang w:eastAsia="en-AU"/>
              </w:rPr>
              <w:t>0</w:t>
            </w:r>
          </w:p>
        </w:tc>
        <w:tc>
          <w:tcPr>
            <w:tcW w:w="1029" w:type="dxa"/>
            <w:tcBorders>
              <w:bottom w:val="single" w:sz="4" w:space="0" w:color="auto"/>
            </w:tcBorders>
          </w:tcPr>
          <w:p w14:paraId="3F44E4D7" w14:textId="77777777" w:rsidR="00CF0E2D" w:rsidRDefault="00CF0E2D" w:rsidP="00A60D4B">
            <w:pPr>
              <w:pStyle w:val="InitFigR"/>
              <w:rPr>
                <w:rFonts w:cs="Calibri"/>
                <w:lang w:eastAsia="en-AU"/>
              </w:rPr>
            </w:pPr>
            <w:r>
              <w:rPr>
                <w:rFonts w:cs="Calibri"/>
                <w:lang w:eastAsia="en-AU"/>
              </w:rPr>
              <w:t>0</w:t>
            </w:r>
          </w:p>
        </w:tc>
        <w:tc>
          <w:tcPr>
            <w:tcW w:w="1029" w:type="dxa"/>
            <w:tcBorders>
              <w:bottom w:val="single" w:sz="4" w:space="0" w:color="auto"/>
            </w:tcBorders>
          </w:tcPr>
          <w:p w14:paraId="510BD7C8" w14:textId="77777777" w:rsidR="00CF0E2D" w:rsidRDefault="00CF0E2D" w:rsidP="00A60D4B">
            <w:pPr>
              <w:pStyle w:val="InitFigRBold"/>
              <w:rPr>
                <w:rFonts w:cs="Calibri"/>
                <w:bCs/>
                <w:lang w:eastAsia="en-AU"/>
              </w:rPr>
            </w:pPr>
            <w:r>
              <w:rPr>
                <w:rFonts w:cs="Calibri"/>
                <w:bCs/>
                <w:lang w:eastAsia="en-AU"/>
              </w:rPr>
              <w:t>92</w:t>
            </w:r>
          </w:p>
        </w:tc>
      </w:tr>
      <w:tr w:rsidR="00CF0E2D" w:rsidRPr="00933577" w14:paraId="3316E9D5" w14:textId="77777777" w:rsidTr="00A60D4B">
        <w:trPr>
          <w:cantSplit/>
          <w:jc w:val="center"/>
        </w:trPr>
        <w:tc>
          <w:tcPr>
            <w:tcW w:w="3652" w:type="dxa"/>
            <w:tcBorders>
              <w:top w:val="single" w:sz="4" w:space="0" w:color="auto"/>
              <w:bottom w:val="single" w:sz="4" w:space="0" w:color="auto"/>
            </w:tcBorders>
          </w:tcPr>
          <w:p w14:paraId="2081948C" w14:textId="77777777" w:rsidR="00CF0E2D" w:rsidRPr="00B7386B" w:rsidRDefault="00CF0E2D" w:rsidP="00A60D4B">
            <w:pPr>
              <w:pStyle w:val="InitTextL"/>
              <w:ind w:left="321" w:hanging="321"/>
              <w:rPr>
                <w:b/>
                <w:bCs/>
              </w:rPr>
            </w:pPr>
            <w:r w:rsidRPr="00B7386B">
              <w:rPr>
                <w:b/>
                <w:bCs/>
              </w:rPr>
              <w:t>Net cost of services</w:t>
            </w:r>
          </w:p>
        </w:tc>
        <w:tc>
          <w:tcPr>
            <w:tcW w:w="1179" w:type="dxa"/>
            <w:tcBorders>
              <w:top w:val="single" w:sz="4" w:space="0" w:color="auto"/>
              <w:bottom w:val="single" w:sz="4" w:space="0" w:color="auto"/>
            </w:tcBorders>
          </w:tcPr>
          <w:p w14:paraId="262C9301" w14:textId="77777777" w:rsidR="00CF0E2D" w:rsidRPr="00B7386B" w:rsidRDefault="00CF0E2D" w:rsidP="00A60D4B">
            <w:pPr>
              <w:pStyle w:val="InitFigR"/>
              <w:rPr>
                <w:rFonts w:cs="Calibri"/>
                <w:b/>
                <w:bCs/>
                <w:lang w:eastAsia="en-AU"/>
              </w:rPr>
            </w:pPr>
            <w:r w:rsidRPr="00B7386B">
              <w:rPr>
                <w:rFonts w:cs="Calibri"/>
                <w:b/>
                <w:bCs/>
                <w:lang w:eastAsia="en-AU"/>
              </w:rPr>
              <w:t>1,135</w:t>
            </w:r>
          </w:p>
        </w:tc>
        <w:tc>
          <w:tcPr>
            <w:tcW w:w="1041" w:type="dxa"/>
            <w:tcBorders>
              <w:top w:val="single" w:sz="4" w:space="0" w:color="auto"/>
              <w:bottom w:val="single" w:sz="4" w:space="0" w:color="auto"/>
            </w:tcBorders>
          </w:tcPr>
          <w:p w14:paraId="17106688" w14:textId="77777777" w:rsidR="00CF0E2D" w:rsidRPr="00B7386B" w:rsidRDefault="00CF0E2D" w:rsidP="00A60D4B">
            <w:pPr>
              <w:pStyle w:val="InitFigR"/>
              <w:rPr>
                <w:rFonts w:cs="Calibri"/>
                <w:b/>
                <w:bCs/>
                <w:lang w:eastAsia="en-AU"/>
              </w:rPr>
            </w:pPr>
            <w:r w:rsidRPr="00B7386B">
              <w:rPr>
                <w:rFonts w:cs="Calibri"/>
                <w:b/>
                <w:bCs/>
                <w:lang w:eastAsia="en-AU"/>
              </w:rPr>
              <w:t>888</w:t>
            </w:r>
          </w:p>
        </w:tc>
        <w:tc>
          <w:tcPr>
            <w:tcW w:w="1029" w:type="dxa"/>
            <w:tcBorders>
              <w:top w:val="single" w:sz="4" w:space="0" w:color="auto"/>
              <w:bottom w:val="single" w:sz="4" w:space="0" w:color="auto"/>
            </w:tcBorders>
          </w:tcPr>
          <w:p w14:paraId="6B3A28B9" w14:textId="77777777" w:rsidR="00CF0E2D" w:rsidRPr="00B7386B" w:rsidRDefault="00CF0E2D" w:rsidP="00A60D4B">
            <w:pPr>
              <w:pStyle w:val="InitFigR"/>
              <w:rPr>
                <w:rFonts w:cs="Calibri"/>
                <w:b/>
                <w:bCs/>
                <w:lang w:eastAsia="en-AU"/>
              </w:rPr>
            </w:pPr>
            <w:r w:rsidRPr="00B7386B">
              <w:rPr>
                <w:rFonts w:cs="Calibri"/>
                <w:b/>
                <w:bCs/>
                <w:lang w:eastAsia="en-AU"/>
              </w:rPr>
              <w:t>903</w:t>
            </w:r>
          </w:p>
        </w:tc>
        <w:tc>
          <w:tcPr>
            <w:tcW w:w="1029" w:type="dxa"/>
            <w:tcBorders>
              <w:top w:val="single" w:sz="4" w:space="0" w:color="auto"/>
              <w:bottom w:val="single" w:sz="4" w:space="0" w:color="auto"/>
            </w:tcBorders>
          </w:tcPr>
          <w:p w14:paraId="31393FB0" w14:textId="77777777" w:rsidR="00CF0E2D" w:rsidRPr="00B7386B" w:rsidRDefault="00CF0E2D" w:rsidP="00A60D4B">
            <w:pPr>
              <w:pStyle w:val="InitFigR"/>
              <w:rPr>
                <w:rFonts w:cs="Calibri"/>
                <w:b/>
                <w:bCs/>
                <w:lang w:eastAsia="en-AU"/>
              </w:rPr>
            </w:pPr>
            <w:r w:rsidRPr="00B7386B">
              <w:rPr>
                <w:rFonts w:cs="Calibri"/>
                <w:b/>
                <w:bCs/>
                <w:lang w:eastAsia="en-AU"/>
              </w:rPr>
              <w:t>918</w:t>
            </w:r>
          </w:p>
        </w:tc>
        <w:tc>
          <w:tcPr>
            <w:tcW w:w="1029" w:type="dxa"/>
            <w:tcBorders>
              <w:top w:val="single" w:sz="4" w:space="0" w:color="auto"/>
              <w:bottom w:val="single" w:sz="4" w:space="0" w:color="auto"/>
            </w:tcBorders>
          </w:tcPr>
          <w:p w14:paraId="7C4D0DCA" w14:textId="77777777" w:rsidR="00CF0E2D" w:rsidRPr="00933577" w:rsidRDefault="00CF0E2D" w:rsidP="00A60D4B">
            <w:pPr>
              <w:pStyle w:val="InitFigRBold"/>
              <w:rPr>
                <w:rFonts w:cs="Calibri"/>
                <w:bCs/>
                <w:lang w:eastAsia="en-AU"/>
              </w:rPr>
            </w:pPr>
            <w:r>
              <w:rPr>
                <w:rFonts w:cs="Calibri"/>
                <w:bCs/>
                <w:lang w:eastAsia="en-AU"/>
              </w:rPr>
              <w:t>3,844</w:t>
            </w:r>
          </w:p>
        </w:tc>
      </w:tr>
    </w:tbl>
    <w:p w14:paraId="11155624" w14:textId="77777777" w:rsidR="00CF0E2D" w:rsidRDefault="00CF0E2D" w:rsidP="00A60D4B">
      <w:pPr>
        <w:pStyle w:val="Bbodytext"/>
      </w:pPr>
      <w:r>
        <w:t xml:space="preserve">The Government will support the establishment of a dedicated coroner function, including a Coroner and associated staff. The Government will also provide additional resourcing for a Special Magistrate to help clear the backlog of cases in the Magistrate’s Court. </w:t>
      </w:r>
    </w:p>
    <w:p w14:paraId="7A965AAC" w14:textId="77777777" w:rsidR="00CF0E2D" w:rsidRDefault="00CF0E2D" w:rsidP="00A60D4B">
      <w:pPr>
        <w:pStyle w:val="Bbodytext"/>
      </w:pPr>
      <w:r>
        <w:t xml:space="preserve">This initiative builds on previous initiatives to strengthen the ACT’s court system, including the appointment of an additional Magistrate and additional resources for the Director of Public Prosecutions and Legal Aid in the 2018-19 Budget. </w:t>
      </w:r>
    </w:p>
    <w:p w14:paraId="75217024" w14:textId="77777777" w:rsidR="00CF0E2D" w:rsidRDefault="00CF0E2D" w:rsidP="00A60D4B">
      <w:pPr>
        <w:pStyle w:val="Bbodytext"/>
      </w:pPr>
      <w:r>
        <w:t>This initiative contributes to the wellbeing domains of Safety and Governance and institutions.</w:t>
      </w:r>
    </w:p>
    <w:p w14:paraId="1ED8186E" w14:textId="77777777" w:rsidR="00CF0E2D" w:rsidRDefault="00CF0E2D" w:rsidP="00A60D4B">
      <w:pPr>
        <w:pStyle w:val="Bbodytext"/>
      </w:pPr>
    </w:p>
    <w:p w14:paraId="632DF778" w14:textId="77777777" w:rsidR="00CF0E2D" w:rsidRPr="008B783C" w:rsidRDefault="00CF0E2D" w:rsidP="00A60D4B">
      <w:pPr>
        <w:pStyle w:val="Heading4"/>
        <w:rPr>
          <w:rFonts w:eastAsia="Times New Roman"/>
        </w:rPr>
      </w:pPr>
      <w:r w:rsidRPr="008B783C">
        <w:rPr>
          <w:rFonts w:eastAsia="Times New Roman"/>
        </w:rPr>
        <w:t xml:space="preserve">Drug and Alcohol Court – </w:t>
      </w:r>
      <w:r>
        <w:rPr>
          <w:rFonts w:eastAsia="Times New Roman"/>
        </w:rPr>
        <w:t>m</w:t>
      </w:r>
      <w:r w:rsidRPr="008B783C">
        <w:rPr>
          <w:rFonts w:eastAsia="Times New Roman"/>
        </w:rPr>
        <w:t xml:space="preserve">ore support </w:t>
      </w:r>
      <w:r>
        <w:rPr>
          <w:b w:val="0"/>
          <w:noProof/>
          <w:color w:val="999789"/>
          <w:sz w:val="32"/>
          <w:szCs w:val="24"/>
        </w:rPr>
        <w:drawing>
          <wp:anchor distT="0" distB="0" distL="114300" distR="114300" simplePos="0" relativeHeight="251930624" behindDoc="0" locked="1" layoutInCell="1" allowOverlap="1" wp14:anchorId="325B72D9" wp14:editId="7951B5DC">
            <wp:simplePos x="0" y="0"/>
            <wp:positionH relativeFrom="margin">
              <wp:align>right</wp:align>
            </wp:positionH>
            <wp:positionV relativeFrom="paragraph">
              <wp:posOffset>-132080</wp:posOffset>
            </wp:positionV>
            <wp:extent cx="1421765" cy="503555"/>
            <wp:effectExtent l="0" t="0" r="6985" b="0"/>
            <wp:wrapSquare wrapText="bothSides"/>
            <wp:docPr id="138" name="Picture 138" descr="Icon representing the wellbeing domain of Governance and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con representing the wellbeing domain of Governance and institutions"/>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217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4E341E" w14:paraId="77BE18C9" w14:textId="77777777" w:rsidTr="00A60D4B">
        <w:trPr>
          <w:cantSplit/>
          <w:jc w:val="center"/>
        </w:trPr>
        <w:tc>
          <w:tcPr>
            <w:tcW w:w="3652" w:type="dxa"/>
            <w:tcBorders>
              <w:top w:val="single" w:sz="4" w:space="0" w:color="auto"/>
              <w:bottom w:val="single" w:sz="4" w:space="0" w:color="auto"/>
            </w:tcBorders>
          </w:tcPr>
          <w:p w14:paraId="757BA9AE"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2429786A" w14:textId="77777777" w:rsidR="00CF0E2D" w:rsidRPr="001B62CB" w:rsidRDefault="00CF0E2D" w:rsidP="00A60D4B">
            <w:pPr>
              <w:pStyle w:val="InitFigR"/>
              <w:rPr>
                <w:b/>
                <w:bCs/>
              </w:rPr>
            </w:pPr>
            <w:r w:rsidRPr="001B62CB">
              <w:rPr>
                <w:b/>
                <w:bCs/>
              </w:rPr>
              <w:t>2021-22</w:t>
            </w:r>
          </w:p>
          <w:p w14:paraId="65FD4C41" w14:textId="77777777" w:rsidR="00CF0E2D" w:rsidRPr="001B62CB" w:rsidRDefault="00CF0E2D" w:rsidP="00A60D4B">
            <w:pPr>
              <w:pStyle w:val="InitFigR"/>
              <w:rPr>
                <w:b/>
                <w:bCs/>
              </w:rPr>
            </w:pPr>
            <w:r w:rsidRPr="001B62CB">
              <w:rPr>
                <w:b/>
                <w:bCs/>
              </w:rPr>
              <w:t>$’000</w:t>
            </w:r>
          </w:p>
        </w:tc>
        <w:tc>
          <w:tcPr>
            <w:tcW w:w="1041" w:type="dxa"/>
            <w:tcBorders>
              <w:top w:val="single" w:sz="4" w:space="0" w:color="auto"/>
              <w:bottom w:val="single" w:sz="4" w:space="0" w:color="auto"/>
            </w:tcBorders>
          </w:tcPr>
          <w:p w14:paraId="416339F9" w14:textId="77777777" w:rsidR="00CF0E2D" w:rsidRPr="001B62CB" w:rsidRDefault="00CF0E2D" w:rsidP="00A60D4B">
            <w:pPr>
              <w:pStyle w:val="InitFigR"/>
              <w:rPr>
                <w:b/>
                <w:bCs/>
              </w:rPr>
            </w:pPr>
            <w:r w:rsidRPr="001B62CB">
              <w:rPr>
                <w:b/>
                <w:bCs/>
              </w:rPr>
              <w:t>2022-23</w:t>
            </w:r>
          </w:p>
          <w:p w14:paraId="16B3CF90" w14:textId="77777777" w:rsidR="00CF0E2D" w:rsidRPr="001B62CB" w:rsidRDefault="00CF0E2D" w:rsidP="00A60D4B">
            <w:pPr>
              <w:pStyle w:val="InitFigR"/>
              <w:rPr>
                <w:b/>
                <w:bCs/>
              </w:rPr>
            </w:pPr>
            <w:r w:rsidRPr="001B62CB">
              <w:rPr>
                <w:b/>
                <w:bCs/>
              </w:rPr>
              <w:t>$’000</w:t>
            </w:r>
          </w:p>
        </w:tc>
        <w:tc>
          <w:tcPr>
            <w:tcW w:w="1029" w:type="dxa"/>
            <w:tcBorders>
              <w:top w:val="single" w:sz="4" w:space="0" w:color="auto"/>
              <w:bottom w:val="single" w:sz="4" w:space="0" w:color="auto"/>
            </w:tcBorders>
          </w:tcPr>
          <w:p w14:paraId="0B2E9371" w14:textId="77777777" w:rsidR="00CF0E2D" w:rsidRPr="001B62CB" w:rsidRDefault="00CF0E2D" w:rsidP="00A60D4B">
            <w:pPr>
              <w:pStyle w:val="InitFigR"/>
              <w:rPr>
                <w:b/>
                <w:bCs/>
              </w:rPr>
            </w:pPr>
            <w:r w:rsidRPr="001B62CB">
              <w:rPr>
                <w:b/>
                <w:bCs/>
              </w:rPr>
              <w:t>2023-24</w:t>
            </w:r>
          </w:p>
          <w:p w14:paraId="14DB1E82" w14:textId="77777777" w:rsidR="00CF0E2D" w:rsidRPr="001B62CB" w:rsidRDefault="00CF0E2D" w:rsidP="00A60D4B">
            <w:pPr>
              <w:pStyle w:val="InitFigR"/>
              <w:rPr>
                <w:b/>
                <w:bCs/>
              </w:rPr>
            </w:pPr>
            <w:r w:rsidRPr="001B62CB">
              <w:rPr>
                <w:b/>
                <w:bCs/>
              </w:rPr>
              <w:t>$’000</w:t>
            </w:r>
          </w:p>
        </w:tc>
        <w:tc>
          <w:tcPr>
            <w:tcW w:w="1029" w:type="dxa"/>
            <w:tcBorders>
              <w:top w:val="single" w:sz="4" w:space="0" w:color="auto"/>
              <w:bottom w:val="single" w:sz="4" w:space="0" w:color="auto"/>
            </w:tcBorders>
          </w:tcPr>
          <w:p w14:paraId="352E2D81" w14:textId="77777777" w:rsidR="00CF0E2D" w:rsidRPr="001B62CB" w:rsidRDefault="00CF0E2D" w:rsidP="00A60D4B">
            <w:pPr>
              <w:pStyle w:val="InitFigR"/>
              <w:rPr>
                <w:b/>
                <w:bCs/>
              </w:rPr>
            </w:pPr>
            <w:r w:rsidRPr="001B62CB">
              <w:rPr>
                <w:b/>
                <w:bCs/>
              </w:rPr>
              <w:t>2024-25</w:t>
            </w:r>
          </w:p>
          <w:p w14:paraId="47948441" w14:textId="77777777" w:rsidR="00CF0E2D" w:rsidRPr="001B62CB" w:rsidRDefault="00CF0E2D" w:rsidP="00A60D4B">
            <w:pPr>
              <w:pStyle w:val="InitFigR"/>
              <w:rPr>
                <w:b/>
                <w:bCs/>
              </w:rPr>
            </w:pPr>
            <w:r w:rsidRPr="001B62CB">
              <w:rPr>
                <w:b/>
                <w:bCs/>
              </w:rPr>
              <w:t>$’000</w:t>
            </w:r>
          </w:p>
        </w:tc>
        <w:tc>
          <w:tcPr>
            <w:tcW w:w="1029" w:type="dxa"/>
            <w:tcBorders>
              <w:top w:val="single" w:sz="4" w:space="0" w:color="auto"/>
              <w:bottom w:val="single" w:sz="4" w:space="0" w:color="auto"/>
            </w:tcBorders>
          </w:tcPr>
          <w:p w14:paraId="27A29C03" w14:textId="77777777" w:rsidR="00CF0E2D" w:rsidRPr="0086121C" w:rsidRDefault="00CF0E2D" w:rsidP="00A60D4B">
            <w:pPr>
              <w:pStyle w:val="InitFigRBold"/>
            </w:pPr>
            <w:r w:rsidRPr="0086121C">
              <w:t>Total</w:t>
            </w:r>
          </w:p>
          <w:p w14:paraId="2447F63C" w14:textId="77777777" w:rsidR="00CF0E2D" w:rsidRPr="0086121C" w:rsidRDefault="00CF0E2D" w:rsidP="00A60D4B">
            <w:pPr>
              <w:pStyle w:val="InitFigBR"/>
            </w:pPr>
            <w:r w:rsidRPr="0086121C">
              <w:t>$’000</w:t>
            </w:r>
          </w:p>
        </w:tc>
      </w:tr>
      <w:tr w:rsidR="00CF0E2D" w:rsidRPr="00431F2A" w14:paraId="316B144A" w14:textId="77777777" w:rsidTr="00A60D4B">
        <w:trPr>
          <w:cantSplit/>
          <w:jc w:val="center"/>
        </w:trPr>
        <w:tc>
          <w:tcPr>
            <w:tcW w:w="3652" w:type="dxa"/>
            <w:tcBorders>
              <w:top w:val="single" w:sz="4" w:space="0" w:color="auto"/>
            </w:tcBorders>
          </w:tcPr>
          <w:p w14:paraId="52C9D1AD" w14:textId="77777777" w:rsidR="00CF0E2D" w:rsidRPr="00DD74C8" w:rsidRDefault="00CF0E2D" w:rsidP="00A60D4B">
            <w:pPr>
              <w:pStyle w:val="InitTextL"/>
              <w:ind w:left="321" w:hanging="321"/>
            </w:pPr>
            <w:r w:rsidRPr="00DD74C8">
              <w:t xml:space="preserve">Expenses </w:t>
            </w:r>
            <w:r>
              <w:t>– ACT Health</w:t>
            </w:r>
          </w:p>
        </w:tc>
        <w:tc>
          <w:tcPr>
            <w:tcW w:w="1179" w:type="dxa"/>
            <w:tcBorders>
              <w:top w:val="single" w:sz="4" w:space="0" w:color="auto"/>
            </w:tcBorders>
          </w:tcPr>
          <w:p w14:paraId="237DC107" w14:textId="77777777" w:rsidR="00CF0E2D" w:rsidRPr="00DD74C8" w:rsidRDefault="00CF0E2D" w:rsidP="00A60D4B">
            <w:pPr>
              <w:pStyle w:val="InitFigR"/>
            </w:pPr>
            <w:r>
              <w:rPr>
                <w:rFonts w:cs="Calibri"/>
                <w:lang w:eastAsia="en-AU"/>
              </w:rPr>
              <w:t>3,796</w:t>
            </w:r>
          </w:p>
        </w:tc>
        <w:tc>
          <w:tcPr>
            <w:tcW w:w="1041" w:type="dxa"/>
            <w:tcBorders>
              <w:top w:val="single" w:sz="4" w:space="0" w:color="auto"/>
            </w:tcBorders>
          </w:tcPr>
          <w:p w14:paraId="2A62E197" w14:textId="77777777" w:rsidR="00CF0E2D" w:rsidRPr="00DD74C8" w:rsidRDefault="00CF0E2D" w:rsidP="00A60D4B">
            <w:pPr>
              <w:pStyle w:val="InitFigR"/>
            </w:pPr>
            <w:r>
              <w:rPr>
                <w:rFonts w:cs="Calibri"/>
                <w:lang w:eastAsia="en-AU"/>
              </w:rPr>
              <w:t>3,812</w:t>
            </w:r>
          </w:p>
        </w:tc>
        <w:tc>
          <w:tcPr>
            <w:tcW w:w="1029" w:type="dxa"/>
            <w:tcBorders>
              <w:top w:val="single" w:sz="4" w:space="0" w:color="auto"/>
            </w:tcBorders>
          </w:tcPr>
          <w:p w14:paraId="2E75329A" w14:textId="77777777" w:rsidR="00CF0E2D" w:rsidRPr="00DD74C8" w:rsidRDefault="00CF0E2D" w:rsidP="00A60D4B">
            <w:pPr>
              <w:pStyle w:val="InitFigR"/>
            </w:pPr>
            <w:r w:rsidRPr="00DD74C8">
              <w:rPr>
                <w:rFonts w:cs="Calibri"/>
                <w:lang w:eastAsia="en-AU"/>
              </w:rPr>
              <w:t>0</w:t>
            </w:r>
          </w:p>
        </w:tc>
        <w:tc>
          <w:tcPr>
            <w:tcW w:w="1029" w:type="dxa"/>
            <w:tcBorders>
              <w:top w:val="single" w:sz="4" w:space="0" w:color="auto"/>
            </w:tcBorders>
          </w:tcPr>
          <w:p w14:paraId="61230221" w14:textId="77777777" w:rsidR="00CF0E2D" w:rsidRPr="00DD74C8" w:rsidRDefault="00CF0E2D" w:rsidP="00A60D4B">
            <w:pPr>
              <w:pStyle w:val="InitFigR"/>
            </w:pPr>
            <w:r w:rsidRPr="00DD74C8">
              <w:rPr>
                <w:rFonts w:cs="Calibri"/>
                <w:lang w:eastAsia="en-AU"/>
              </w:rPr>
              <w:t>0</w:t>
            </w:r>
          </w:p>
        </w:tc>
        <w:tc>
          <w:tcPr>
            <w:tcW w:w="1029" w:type="dxa"/>
            <w:tcBorders>
              <w:top w:val="single" w:sz="4" w:space="0" w:color="auto"/>
            </w:tcBorders>
          </w:tcPr>
          <w:p w14:paraId="17159112" w14:textId="77777777" w:rsidR="00CF0E2D" w:rsidRPr="00DD74C8" w:rsidRDefault="00CF0E2D" w:rsidP="00A60D4B">
            <w:pPr>
              <w:pStyle w:val="InitFigRBold"/>
              <w:rPr>
                <w:b w:val="0"/>
              </w:rPr>
            </w:pPr>
            <w:r>
              <w:rPr>
                <w:rFonts w:cs="Calibri"/>
                <w:bCs/>
                <w:lang w:eastAsia="en-AU"/>
              </w:rPr>
              <w:t>7,608</w:t>
            </w:r>
          </w:p>
        </w:tc>
      </w:tr>
      <w:tr w:rsidR="00CF0E2D" w:rsidRPr="00431F2A" w14:paraId="21E3232B" w14:textId="77777777" w:rsidTr="00A60D4B">
        <w:trPr>
          <w:cantSplit/>
          <w:jc w:val="center"/>
        </w:trPr>
        <w:tc>
          <w:tcPr>
            <w:tcW w:w="3652" w:type="dxa"/>
          </w:tcPr>
          <w:p w14:paraId="73F62FEC" w14:textId="77777777" w:rsidR="00CF0E2D" w:rsidRPr="00DD74C8" w:rsidRDefault="00CF0E2D" w:rsidP="00A60D4B">
            <w:pPr>
              <w:pStyle w:val="InitTextL"/>
              <w:ind w:left="321" w:hanging="321"/>
            </w:pPr>
            <w:r>
              <w:t>Expenses – ACT Housing</w:t>
            </w:r>
          </w:p>
        </w:tc>
        <w:tc>
          <w:tcPr>
            <w:tcW w:w="1179" w:type="dxa"/>
          </w:tcPr>
          <w:p w14:paraId="46997728" w14:textId="77777777" w:rsidR="00CF0E2D" w:rsidRPr="00DD74C8" w:rsidRDefault="00CF0E2D" w:rsidP="00A60D4B">
            <w:pPr>
              <w:pStyle w:val="InitFigR"/>
              <w:rPr>
                <w:rFonts w:cs="Calibri"/>
                <w:lang w:eastAsia="en-AU"/>
              </w:rPr>
            </w:pPr>
            <w:r>
              <w:rPr>
                <w:rFonts w:cs="Calibri"/>
                <w:lang w:eastAsia="en-AU"/>
              </w:rPr>
              <w:t>241</w:t>
            </w:r>
          </w:p>
        </w:tc>
        <w:tc>
          <w:tcPr>
            <w:tcW w:w="1041" w:type="dxa"/>
          </w:tcPr>
          <w:p w14:paraId="087D0E47" w14:textId="77777777" w:rsidR="00CF0E2D" w:rsidRPr="00DD74C8" w:rsidRDefault="00CF0E2D" w:rsidP="00A60D4B">
            <w:pPr>
              <w:pStyle w:val="InitFigR"/>
              <w:rPr>
                <w:rFonts w:cs="Calibri"/>
                <w:lang w:eastAsia="en-AU"/>
              </w:rPr>
            </w:pPr>
            <w:r>
              <w:rPr>
                <w:rFonts w:cs="Calibri"/>
                <w:lang w:eastAsia="en-AU"/>
              </w:rPr>
              <w:t>248</w:t>
            </w:r>
          </w:p>
        </w:tc>
        <w:tc>
          <w:tcPr>
            <w:tcW w:w="1029" w:type="dxa"/>
          </w:tcPr>
          <w:p w14:paraId="40997DFA" w14:textId="77777777" w:rsidR="00CF0E2D" w:rsidRPr="00DD74C8" w:rsidRDefault="00CF0E2D" w:rsidP="00A60D4B">
            <w:pPr>
              <w:pStyle w:val="InitFigR"/>
              <w:rPr>
                <w:rFonts w:cs="Calibri"/>
                <w:lang w:eastAsia="en-AU"/>
              </w:rPr>
            </w:pPr>
            <w:r>
              <w:rPr>
                <w:rFonts w:cs="Calibri"/>
                <w:lang w:eastAsia="en-AU"/>
              </w:rPr>
              <w:t>0</w:t>
            </w:r>
          </w:p>
        </w:tc>
        <w:tc>
          <w:tcPr>
            <w:tcW w:w="1029" w:type="dxa"/>
          </w:tcPr>
          <w:p w14:paraId="5B82C4E6" w14:textId="77777777" w:rsidR="00CF0E2D" w:rsidRPr="00DD74C8" w:rsidRDefault="00CF0E2D" w:rsidP="00A60D4B">
            <w:pPr>
              <w:pStyle w:val="InitFigR"/>
              <w:rPr>
                <w:rFonts w:cs="Calibri"/>
                <w:lang w:eastAsia="en-AU"/>
              </w:rPr>
            </w:pPr>
            <w:r>
              <w:rPr>
                <w:rFonts w:cs="Calibri"/>
                <w:lang w:eastAsia="en-AU"/>
              </w:rPr>
              <w:t>0</w:t>
            </w:r>
          </w:p>
        </w:tc>
        <w:tc>
          <w:tcPr>
            <w:tcW w:w="1029" w:type="dxa"/>
          </w:tcPr>
          <w:p w14:paraId="42C886AB" w14:textId="77777777" w:rsidR="00CF0E2D" w:rsidRPr="00DD74C8" w:rsidRDefault="00CF0E2D" w:rsidP="00A60D4B">
            <w:pPr>
              <w:pStyle w:val="InitFigRBold"/>
              <w:rPr>
                <w:rFonts w:cs="Calibri"/>
                <w:bCs/>
                <w:lang w:eastAsia="en-AU"/>
              </w:rPr>
            </w:pPr>
            <w:r>
              <w:rPr>
                <w:rFonts w:cs="Calibri"/>
                <w:bCs/>
                <w:lang w:eastAsia="en-AU"/>
              </w:rPr>
              <w:t>489</w:t>
            </w:r>
          </w:p>
        </w:tc>
      </w:tr>
      <w:tr w:rsidR="00CF0E2D" w:rsidRPr="00431F2A" w14:paraId="57FC2381" w14:textId="77777777" w:rsidTr="00A60D4B">
        <w:trPr>
          <w:cantSplit/>
          <w:jc w:val="center"/>
        </w:trPr>
        <w:tc>
          <w:tcPr>
            <w:tcW w:w="3652" w:type="dxa"/>
          </w:tcPr>
          <w:p w14:paraId="21C8E251" w14:textId="77777777" w:rsidR="00CF0E2D" w:rsidRDefault="00CF0E2D" w:rsidP="00A60D4B">
            <w:pPr>
              <w:pStyle w:val="InitTextL"/>
              <w:ind w:left="321" w:hanging="321"/>
            </w:pPr>
            <w:r>
              <w:t>Expenses – JACS</w:t>
            </w:r>
          </w:p>
        </w:tc>
        <w:tc>
          <w:tcPr>
            <w:tcW w:w="1179" w:type="dxa"/>
          </w:tcPr>
          <w:p w14:paraId="329F1205" w14:textId="77777777" w:rsidR="00CF0E2D" w:rsidRDefault="00CF0E2D" w:rsidP="00A60D4B">
            <w:pPr>
              <w:pStyle w:val="InitFigR"/>
              <w:rPr>
                <w:rFonts w:cs="Calibri"/>
                <w:lang w:eastAsia="en-AU"/>
              </w:rPr>
            </w:pPr>
            <w:r>
              <w:rPr>
                <w:rFonts w:cs="Calibri"/>
                <w:lang w:eastAsia="en-AU"/>
              </w:rPr>
              <w:t>2,245</w:t>
            </w:r>
          </w:p>
        </w:tc>
        <w:tc>
          <w:tcPr>
            <w:tcW w:w="1041" w:type="dxa"/>
          </w:tcPr>
          <w:p w14:paraId="1B83266E" w14:textId="77777777" w:rsidR="00CF0E2D" w:rsidRDefault="00CF0E2D" w:rsidP="00A60D4B">
            <w:pPr>
              <w:pStyle w:val="InitFigR"/>
              <w:rPr>
                <w:rFonts w:cs="Calibri"/>
                <w:lang w:eastAsia="en-AU"/>
              </w:rPr>
            </w:pPr>
            <w:r>
              <w:rPr>
                <w:rFonts w:cs="Calibri"/>
                <w:lang w:eastAsia="en-AU"/>
              </w:rPr>
              <w:t>2,205</w:t>
            </w:r>
          </w:p>
        </w:tc>
        <w:tc>
          <w:tcPr>
            <w:tcW w:w="1029" w:type="dxa"/>
          </w:tcPr>
          <w:p w14:paraId="116610EC" w14:textId="77777777" w:rsidR="00CF0E2D" w:rsidRDefault="00CF0E2D" w:rsidP="00A60D4B">
            <w:pPr>
              <w:pStyle w:val="InitFigR"/>
              <w:rPr>
                <w:rFonts w:cs="Calibri"/>
                <w:lang w:eastAsia="en-AU"/>
              </w:rPr>
            </w:pPr>
            <w:r>
              <w:rPr>
                <w:rFonts w:cs="Calibri"/>
                <w:lang w:eastAsia="en-AU"/>
              </w:rPr>
              <w:t>0</w:t>
            </w:r>
          </w:p>
        </w:tc>
        <w:tc>
          <w:tcPr>
            <w:tcW w:w="1029" w:type="dxa"/>
          </w:tcPr>
          <w:p w14:paraId="13A3E1BD" w14:textId="77777777" w:rsidR="00CF0E2D" w:rsidRDefault="00CF0E2D" w:rsidP="00A60D4B">
            <w:pPr>
              <w:pStyle w:val="InitFigR"/>
              <w:rPr>
                <w:rFonts w:cs="Calibri"/>
                <w:lang w:eastAsia="en-AU"/>
              </w:rPr>
            </w:pPr>
            <w:r>
              <w:rPr>
                <w:rFonts w:cs="Calibri"/>
                <w:lang w:eastAsia="en-AU"/>
              </w:rPr>
              <w:t>0</w:t>
            </w:r>
          </w:p>
        </w:tc>
        <w:tc>
          <w:tcPr>
            <w:tcW w:w="1029" w:type="dxa"/>
          </w:tcPr>
          <w:p w14:paraId="1117C563" w14:textId="77777777" w:rsidR="00CF0E2D" w:rsidRDefault="00CF0E2D" w:rsidP="00A60D4B">
            <w:pPr>
              <w:pStyle w:val="InitFigRBold"/>
              <w:rPr>
                <w:rFonts w:cs="Calibri"/>
                <w:bCs/>
                <w:lang w:eastAsia="en-AU"/>
              </w:rPr>
            </w:pPr>
            <w:r>
              <w:rPr>
                <w:rFonts w:cs="Calibri"/>
                <w:bCs/>
                <w:lang w:eastAsia="en-AU"/>
              </w:rPr>
              <w:t>4,450</w:t>
            </w:r>
          </w:p>
        </w:tc>
      </w:tr>
      <w:tr w:rsidR="00CF0E2D" w:rsidRPr="00431F2A" w14:paraId="36F1A21C" w14:textId="77777777" w:rsidTr="00A60D4B">
        <w:trPr>
          <w:cantSplit/>
          <w:jc w:val="center"/>
        </w:trPr>
        <w:tc>
          <w:tcPr>
            <w:tcW w:w="3652" w:type="dxa"/>
          </w:tcPr>
          <w:p w14:paraId="7EEB0312" w14:textId="77777777" w:rsidR="00CF0E2D" w:rsidRDefault="00CF0E2D" w:rsidP="00A60D4B">
            <w:pPr>
              <w:pStyle w:val="InitTextL"/>
              <w:ind w:left="321" w:hanging="321"/>
            </w:pPr>
            <w:r>
              <w:t>Expenses – ACT Policing (Territorial)</w:t>
            </w:r>
          </w:p>
        </w:tc>
        <w:tc>
          <w:tcPr>
            <w:tcW w:w="1179" w:type="dxa"/>
          </w:tcPr>
          <w:p w14:paraId="18E1C95F" w14:textId="77777777" w:rsidR="00CF0E2D" w:rsidRDefault="00CF0E2D" w:rsidP="00A60D4B">
            <w:pPr>
              <w:pStyle w:val="InitFigR"/>
              <w:rPr>
                <w:rFonts w:cs="Calibri"/>
                <w:lang w:eastAsia="en-AU"/>
              </w:rPr>
            </w:pPr>
            <w:r>
              <w:rPr>
                <w:rFonts w:cs="Calibri"/>
                <w:lang w:eastAsia="en-AU"/>
              </w:rPr>
              <w:t>98</w:t>
            </w:r>
          </w:p>
        </w:tc>
        <w:tc>
          <w:tcPr>
            <w:tcW w:w="1041" w:type="dxa"/>
          </w:tcPr>
          <w:p w14:paraId="28F6F07E" w14:textId="77777777" w:rsidR="00CF0E2D" w:rsidRDefault="00CF0E2D" w:rsidP="00A60D4B">
            <w:pPr>
              <w:pStyle w:val="InitFigR"/>
              <w:rPr>
                <w:rFonts w:cs="Calibri"/>
                <w:lang w:eastAsia="en-AU"/>
              </w:rPr>
            </w:pPr>
            <w:r>
              <w:rPr>
                <w:rFonts w:cs="Calibri"/>
                <w:lang w:eastAsia="en-AU"/>
              </w:rPr>
              <w:t>100</w:t>
            </w:r>
          </w:p>
        </w:tc>
        <w:tc>
          <w:tcPr>
            <w:tcW w:w="1029" w:type="dxa"/>
          </w:tcPr>
          <w:p w14:paraId="2474E758" w14:textId="77777777" w:rsidR="00CF0E2D" w:rsidRDefault="00CF0E2D" w:rsidP="00A60D4B">
            <w:pPr>
              <w:pStyle w:val="InitFigR"/>
              <w:rPr>
                <w:rFonts w:cs="Calibri"/>
                <w:lang w:eastAsia="en-AU"/>
              </w:rPr>
            </w:pPr>
          </w:p>
        </w:tc>
        <w:tc>
          <w:tcPr>
            <w:tcW w:w="1029" w:type="dxa"/>
          </w:tcPr>
          <w:p w14:paraId="33DBDF14" w14:textId="77777777" w:rsidR="00CF0E2D" w:rsidRDefault="00CF0E2D" w:rsidP="00A60D4B">
            <w:pPr>
              <w:pStyle w:val="InitFigR"/>
              <w:rPr>
                <w:rFonts w:cs="Calibri"/>
                <w:lang w:eastAsia="en-AU"/>
              </w:rPr>
            </w:pPr>
          </w:p>
        </w:tc>
        <w:tc>
          <w:tcPr>
            <w:tcW w:w="1029" w:type="dxa"/>
          </w:tcPr>
          <w:p w14:paraId="1509E061" w14:textId="77777777" w:rsidR="00CF0E2D" w:rsidRDefault="00CF0E2D" w:rsidP="00A60D4B">
            <w:pPr>
              <w:pStyle w:val="InitFigRBold"/>
              <w:rPr>
                <w:rFonts w:cs="Calibri"/>
                <w:bCs/>
                <w:lang w:eastAsia="en-AU"/>
              </w:rPr>
            </w:pPr>
            <w:r>
              <w:rPr>
                <w:rFonts w:cs="Calibri"/>
                <w:bCs/>
                <w:lang w:eastAsia="en-AU"/>
              </w:rPr>
              <w:t>198</w:t>
            </w:r>
          </w:p>
        </w:tc>
      </w:tr>
      <w:tr w:rsidR="00CF0E2D" w:rsidRPr="00431F2A" w14:paraId="38A7FB67" w14:textId="77777777" w:rsidTr="00A60D4B">
        <w:trPr>
          <w:cantSplit/>
          <w:jc w:val="center"/>
        </w:trPr>
        <w:tc>
          <w:tcPr>
            <w:tcW w:w="3652" w:type="dxa"/>
          </w:tcPr>
          <w:p w14:paraId="6EE4E0D7" w14:textId="77777777" w:rsidR="00CF0E2D" w:rsidRDefault="00CF0E2D" w:rsidP="00A60D4B">
            <w:pPr>
              <w:pStyle w:val="InitTextL"/>
              <w:ind w:left="321" w:hanging="321"/>
            </w:pPr>
            <w:r>
              <w:t>Expenses – Legal Aid ACT</w:t>
            </w:r>
          </w:p>
        </w:tc>
        <w:tc>
          <w:tcPr>
            <w:tcW w:w="1179" w:type="dxa"/>
          </w:tcPr>
          <w:p w14:paraId="5D927BAF" w14:textId="77777777" w:rsidR="00CF0E2D" w:rsidRDefault="00CF0E2D" w:rsidP="00A60D4B">
            <w:pPr>
              <w:pStyle w:val="InitFigR"/>
              <w:rPr>
                <w:rFonts w:cs="Calibri"/>
                <w:lang w:eastAsia="en-AU"/>
              </w:rPr>
            </w:pPr>
            <w:r>
              <w:rPr>
                <w:rFonts w:cs="Calibri"/>
                <w:lang w:eastAsia="en-AU"/>
              </w:rPr>
              <w:t>250</w:t>
            </w:r>
          </w:p>
        </w:tc>
        <w:tc>
          <w:tcPr>
            <w:tcW w:w="1041" w:type="dxa"/>
          </w:tcPr>
          <w:p w14:paraId="579FD1D9" w14:textId="77777777" w:rsidR="00CF0E2D" w:rsidRDefault="00CF0E2D" w:rsidP="00A60D4B">
            <w:pPr>
              <w:pStyle w:val="InitFigR"/>
              <w:rPr>
                <w:rFonts w:cs="Calibri"/>
                <w:lang w:eastAsia="en-AU"/>
              </w:rPr>
            </w:pPr>
            <w:r>
              <w:rPr>
                <w:rFonts w:cs="Calibri"/>
                <w:lang w:eastAsia="en-AU"/>
              </w:rPr>
              <w:t>256</w:t>
            </w:r>
          </w:p>
        </w:tc>
        <w:tc>
          <w:tcPr>
            <w:tcW w:w="1029" w:type="dxa"/>
          </w:tcPr>
          <w:p w14:paraId="2942538A" w14:textId="77777777" w:rsidR="00CF0E2D" w:rsidRDefault="00CF0E2D" w:rsidP="00A60D4B">
            <w:pPr>
              <w:pStyle w:val="InitFigR"/>
              <w:rPr>
                <w:rFonts w:cs="Calibri"/>
                <w:lang w:eastAsia="en-AU"/>
              </w:rPr>
            </w:pPr>
            <w:r>
              <w:rPr>
                <w:rFonts w:cs="Calibri"/>
                <w:lang w:eastAsia="en-AU"/>
              </w:rPr>
              <w:t>0</w:t>
            </w:r>
          </w:p>
        </w:tc>
        <w:tc>
          <w:tcPr>
            <w:tcW w:w="1029" w:type="dxa"/>
          </w:tcPr>
          <w:p w14:paraId="708BA993" w14:textId="77777777" w:rsidR="00CF0E2D" w:rsidRDefault="00CF0E2D" w:rsidP="00A60D4B">
            <w:pPr>
              <w:pStyle w:val="InitFigR"/>
              <w:rPr>
                <w:rFonts w:cs="Calibri"/>
                <w:lang w:eastAsia="en-AU"/>
              </w:rPr>
            </w:pPr>
            <w:r>
              <w:rPr>
                <w:rFonts w:cs="Calibri"/>
                <w:lang w:eastAsia="en-AU"/>
              </w:rPr>
              <w:t>0</w:t>
            </w:r>
          </w:p>
        </w:tc>
        <w:tc>
          <w:tcPr>
            <w:tcW w:w="1029" w:type="dxa"/>
          </w:tcPr>
          <w:p w14:paraId="38F56171" w14:textId="77777777" w:rsidR="00CF0E2D" w:rsidRDefault="00CF0E2D" w:rsidP="00A60D4B">
            <w:pPr>
              <w:pStyle w:val="InitFigRBold"/>
              <w:rPr>
                <w:rFonts w:cs="Calibri"/>
                <w:bCs/>
                <w:lang w:eastAsia="en-AU"/>
              </w:rPr>
            </w:pPr>
            <w:r>
              <w:rPr>
                <w:rFonts w:cs="Calibri"/>
                <w:bCs/>
                <w:lang w:eastAsia="en-AU"/>
              </w:rPr>
              <w:t>506</w:t>
            </w:r>
          </w:p>
        </w:tc>
      </w:tr>
      <w:tr w:rsidR="00CF0E2D" w:rsidRPr="00431F2A" w14:paraId="313DDDC5" w14:textId="77777777" w:rsidTr="00A60D4B">
        <w:trPr>
          <w:cantSplit/>
          <w:jc w:val="center"/>
        </w:trPr>
        <w:tc>
          <w:tcPr>
            <w:tcW w:w="3652" w:type="dxa"/>
          </w:tcPr>
          <w:p w14:paraId="1F645F9C" w14:textId="77777777" w:rsidR="00CF0E2D" w:rsidRPr="00DD74C8" w:rsidRDefault="00CF0E2D" w:rsidP="00A60D4B">
            <w:pPr>
              <w:pStyle w:val="InitTextL"/>
              <w:ind w:left="321" w:hanging="321"/>
            </w:pPr>
            <w:r w:rsidRPr="00DD74C8">
              <w:t>Expenses – Provision</w:t>
            </w:r>
          </w:p>
        </w:tc>
        <w:tc>
          <w:tcPr>
            <w:tcW w:w="1179" w:type="dxa"/>
          </w:tcPr>
          <w:p w14:paraId="68B49832" w14:textId="77777777" w:rsidR="00CF0E2D" w:rsidRPr="00DD74C8" w:rsidRDefault="00CF0E2D" w:rsidP="00A60D4B">
            <w:pPr>
              <w:pStyle w:val="InitFigR"/>
            </w:pPr>
            <w:r w:rsidRPr="00DD74C8">
              <w:t>0</w:t>
            </w:r>
          </w:p>
        </w:tc>
        <w:tc>
          <w:tcPr>
            <w:tcW w:w="1041" w:type="dxa"/>
          </w:tcPr>
          <w:p w14:paraId="733F9CAA" w14:textId="77777777" w:rsidR="00CF0E2D" w:rsidRPr="00DD74C8" w:rsidRDefault="00CF0E2D" w:rsidP="00A60D4B">
            <w:pPr>
              <w:pStyle w:val="InitFigR"/>
            </w:pPr>
            <w:r w:rsidRPr="00DD74C8">
              <w:t>0</w:t>
            </w:r>
          </w:p>
        </w:tc>
        <w:tc>
          <w:tcPr>
            <w:tcW w:w="1029" w:type="dxa"/>
          </w:tcPr>
          <w:p w14:paraId="6A6A122D" w14:textId="77777777" w:rsidR="00CF0E2D" w:rsidRPr="00DD74C8" w:rsidRDefault="00CF0E2D" w:rsidP="00A60D4B">
            <w:pPr>
              <w:pStyle w:val="InitFigR"/>
            </w:pPr>
            <w:r w:rsidRPr="00DD74C8">
              <w:t>2,236</w:t>
            </w:r>
          </w:p>
        </w:tc>
        <w:tc>
          <w:tcPr>
            <w:tcW w:w="1029" w:type="dxa"/>
          </w:tcPr>
          <w:p w14:paraId="02484243" w14:textId="77777777" w:rsidR="00CF0E2D" w:rsidRPr="00DD74C8" w:rsidRDefault="00CF0E2D" w:rsidP="00A60D4B">
            <w:pPr>
              <w:pStyle w:val="InitFigR"/>
            </w:pPr>
            <w:r w:rsidRPr="00DD74C8">
              <w:t>2,268</w:t>
            </w:r>
          </w:p>
        </w:tc>
        <w:tc>
          <w:tcPr>
            <w:tcW w:w="1029" w:type="dxa"/>
          </w:tcPr>
          <w:p w14:paraId="2922A5C2" w14:textId="77777777" w:rsidR="00CF0E2D" w:rsidRPr="00DD74C8" w:rsidRDefault="00CF0E2D" w:rsidP="00A60D4B">
            <w:pPr>
              <w:pStyle w:val="InitFigRBold"/>
              <w:rPr>
                <w:b w:val="0"/>
              </w:rPr>
            </w:pPr>
            <w:r w:rsidRPr="00DD74C8">
              <w:t>4,504</w:t>
            </w:r>
          </w:p>
        </w:tc>
      </w:tr>
      <w:tr w:rsidR="00CF0E2D" w:rsidRPr="00431F2A" w14:paraId="7C5C2135" w14:textId="77777777" w:rsidTr="00A60D4B">
        <w:trPr>
          <w:cantSplit/>
          <w:jc w:val="center"/>
        </w:trPr>
        <w:tc>
          <w:tcPr>
            <w:tcW w:w="3652" w:type="dxa"/>
            <w:tcBorders>
              <w:bottom w:val="single" w:sz="4" w:space="0" w:color="auto"/>
            </w:tcBorders>
          </w:tcPr>
          <w:p w14:paraId="2D719453" w14:textId="77777777" w:rsidR="00CF0E2D" w:rsidRPr="00DD74C8" w:rsidRDefault="00CF0E2D" w:rsidP="00A60D4B">
            <w:pPr>
              <w:pStyle w:val="InitTextL"/>
              <w:ind w:left="321" w:hanging="321"/>
            </w:pPr>
            <w:r w:rsidRPr="00DD74C8">
              <w:t>Offset – Health Funding Envelope</w:t>
            </w:r>
          </w:p>
        </w:tc>
        <w:tc>
          <w:tcPr>
            <w:tcW w:w="1179" w:type="dxa"/>
            <w:tcBorders>
              <w:bottom w:val="single" w:sz="4" w:space="0" w:color="auto"/>
            </w:tcBorders>
          </w:tcPr>
          <w:p w14:paraId="7954121C" w14:textId="77777777" w:rsidR="00CF0E2D" w:rsidRPr="00DD74C8" w:rsidRDefault="00CF0E2D" w:rsidP="00A60D4B">
            <w:pPr>
              <w:pStyle w:val="InitFigR"/>
            </w:pPr>
            <w:r w:rsidRPr="00DD74C8">
              <w:t>-3,7</w:t>
            </w:r>
            <w:r>
              <w:t>97</w:t>
            </w:r>
          </w:p>
        </w:tc>
        <w:tc>
          <w:tcPr>
            <w:tcW w:w="1041" w:type="dxa"/>
            <w:tcBorders>
              <w:bottom w:val="single" w:sz="4" w:space="0" w:color="auto"/>
            </w:tcBorders>
          </w:tcPr>
          <w:p w14:paraId="2947B3D6" w14:textId="77777777" w:rsidR="00CF0E2D" w:rsidRPr="00DD74C8" w:rsidRDefault="00CF0E2D" w:rsidP="00A60D4B">
            <w:pPr>
              <w:pStyle w:val="InitFigR"/>
            </w:pPr>
            <w:r w:rsidRPr="00DD74C8">
              <w:t>-3,812</w:t>
            </w:r>
          </w:p>
        </w:tc>
        <w:tc>
          <w:tcPr>
            <w:tcW w:w="1029" w:type="dxa"/>
            <w:tcBorders>
              <w:bottom w:val="single" w:sz="4" w:space="0" w:color="auto"/>
            </w:tcBorders>
          </w:tcPr>
          <w:p w14:paraId="3ECACF5E" w14:textId="77777777" w:rsidR="00CF0E2D" w:rsidRPr="00DD74C8" w:rsidRDefault="00CF0E2D" w:rsidP="00A60D4B">
            <w:pPr>
              <w:pStyle w:val="InitFigR"/>
            </w:pPr>
            <w:r w:rsidRPr="00DD74C8">
              <w:t>0</w:t>
            </w:r>
          </w:p>
        </w:tc>
        <w:tc>
          <w:tcPr>
            <w:tcW w:w="1029" w:type="dxa"/>
            <w:tcBorders>
              <w:bottom w:val="single" w:sz="4" w:space="0" w:color="auto"/>
            </w:tcBorders>
          </w:tcPr>
          <w:p w14:paraId="05820C96" w14:textId="77777777" w:rsidR="00CF0E2D" w:rsidRPr="00DD74C8" w:rsidRDefault="00CF0E2D" w:rsidP="00A60D4B">
            <w:pPr>
              <w:pStyle w:val="InitFigR"/>
            </w:pPr>
            <w:r w:rsidRPr="00DD74C8">
              <w:t>0</w:t>
            </w:r>
          </w:p>
        </w:tc>
        <w:tc>
          <w:tcPr>
            <w:tcW w:w="1029" w:type="dxa"/>
            <w:tcBorders>
              <w:bottom w:val="single" w:sz="4" w:space="0" w:color="auto"/>
            </w:tcBorders>
          </w:tcPr>
          <w:p w14:paraId="69299C40" w14:textId="77777777" w:rsidR="00CF0E2D" w:rsidRPr="00DD74C8" w:rsidRDefault="00CF0E2D" w:rsidP="00A60D4B">
            <w:pPr>
              <w:pStyle w:val="InitFigRBold"/>
              <w:rPr>
                <w:b w:val="0"/>
              </w:rPr>
            </w:pPr>
            <w:r w:rsidRPr="00DD74C8">
              <w:t>-7,60</w:t>
            </w:r>
            <w:r>
              <w:t>9</w:t>
            </w:r>
          </w:p>
        </w:tc>
      </w:tr>
      <w:tr w:rsidR="00CF0E2D" w:rsidRPr="00431F2A" w14:paraId="245DEA57" w14:textId="77777777" w:rsidTr="00A60D4B">
        <w:trPr>
          <w:cantSplit/>
          <w:jc w:val="center"/>
        </w:trPr>
        <w:tc>
          <w:tcPr>
            <w:tcW w:w="3652" w:type="dxa"/>
            <w:tcBorders>
              <w:top w:val="single" w:sz="4" w:space="0" w:color="auto"/>
              <w:bottom w:val="single" w:sz="4" w:space="0" w:color="auto"/>
            </w:tcBorders>
          </w:tcPr>
          <w:p w14:paraId="7572E5E9" w14:textId="77777777" w:rsidR="00CF0E2D" w:rsidRPr="00DD74C8" w:rsidRDefault="00CF0E2D" w:rsidP="00A60D4B">
            <w:pPr>
              <w:pStyle w:val="InitTextL"/>
              <w:ind w:left="321" w:hanging="321"/>
              <w:rPr>
                <w:b/>
                <w:bCs/>
              </w:rPr>
            </w:pPr>
            <w:r w:rsidRPr="00DD74C8">
              <w:rPr>
                <w:b/>
                <w:bCs/>
              </w:rPr>
              <w:t>Net cost of services</w:t>
            </w:r>
          </w:p>
        </w:tc>
        <w:tc>
          <w:tcPr>
            <w:tcW w:w="1179" w:type="dxa"/>
            <w:tcBorders>
              <w:top w:val="single" w:sz="4" w:space="0" w:color="auto"/>
              <w:bottom w:val="single" w:sz="4" w:space="0" w:color="auto"/>
            </w:tcBorders>
          </w:tcPr>
          <w:p w14:paraId="53EB1EFE" w14:textId="77777777" w:rsidR="00CF0E2D" w:rsidRPr="00DD74C8" w:rsidRDefault="00CF0E2D" w:rsidP="00A60D4B">
            <w:pPr>
              <w:pStyle w:val="InitFigR"/>
              <w:rPr>
                <w:b/>
                <w:bCs/>
              </w:rPr>
            </w:pPr>
            <w:r w:rsidRPr="00DD74C8">
              <w:rPr>
                <w:b/>
                <w:bCs/>
              </w:rPr>
              <w:t>2,83</w:t>
            </w:r>
            <w:r>
              <w:rPr>
                <w:b/>
                <w:bCs/>
              </w:rPr>
              <w:t>3</w:t>
            </w:r>
          </w:p>
        </w:tc>
        <w:tc>
          <w:tcPr>
            <w:tcW w:w="1041" w:type="dxa"/>
            <w:tcBorders>
              <w:top w:val="single" w:sz="4" w:space="0" w:color="auto"/>
              <w:bottom w:val="single" w:sz="4" w:space="0" w:color="auto"/>
            </w:tcBorders>
          </w:tcPr>
          <w:p w14:paraId="7E10E025" w14:textId="77777777" w:rsidR="00CF0E2D" w:rsidRPr="00DD74C8" w:rsidRDefault="00CF0E2D" w:rsidP="00A60D4B">
            <w:pPr>
              <w:pStyle w:val="InitFigR"/>
              <w:rPr>
                <w:b/>
                <w:bCs/>
              </w:rPr>
            </w:pPr>
            <w:r w:rsidRPr="00DD74C8">
              <w:rPr>
                <w:b/>
                <w:bCs/>
              </w:rPr>
              <w:t>2,809</w:t>
            </w:r>
          </w:p>
        </w:tc>
        <w:tc>
          <w:tcPr>
            <w:tcW w:w="1029" w:type="dxa"/>
            <w:tcBorders>
              <w:top w:val="single" w:sz="4" w:space="0" w:color="auto"/>
              <w:bottom w:val="single" w:sz="4" w:space="0" w:color="auto"/>
            </w:tcBorders>
          </w:tcPr>
          <w:p w14:paraId="6873DE87" w14:textId="77777777" w:rsidR="00CF0E2D" w:rsidRPr="00DD74C8" w:rsidRDefault="00CF0E2D" w:rsidP="00A60D4B">
            <w:pPr>
              <w:pStyle w:val="InitFigR"/>
              <w:rPr>
                <w:b/>
                <w:bCs/>
              </w:rPr>
            </w:pPr>
            <w:r w:rsidRPr="00DD74C8">
              <w:rPr>
                <w:b/>
                <w:bCs/>
              </w:rPr>
              <w:t>2,236</w:t>
            </w:r>
          </w:p>
        </w:tc>
        <w:tc>
          <w:tcPr>
            <w:tcW w:w="1029" w:type="dxa"/>
            <w:tcBorders>
              <w:top w:val="single" w:sz="4" w:space="0" w:color="auto"/>
              <w:bottom w:val="single" w:sz="4" w:space="0" w:color="auto"/>
            </w:tcBorders>
          </w:tcPr>
          <w:p w14:paraId="402CE13F" w14:textId="77777777" w:rsidR="00CF0E2D" w:rsidRPr="00DD74C8" w:rsidRDefault="00CF0E2D" w:rsidP="00A60D4B">
            <w:pPr>
              <w:pStyle w:val="InitFigR"/>
              <w:rPr>
                <w:b/>
                <w:bCs/>
              </w:rPr>
            </w:pPr>
            <w:r w:rsidRPr="00DD74C8">
              <w:rPr>
                <w:b/>
                <w:bCs/>
              </w:rPr>
              <w:t>2,268</w:t>
            </w:r>
          </w:p>
        </w:tc>
        <w:tc>
          <w:tcPr>
            <w:tcW w:w="1029" w:type="dxa"/>
            <w:tcBorders>
              <w:top w:val="single" w:sz="4" w:space="0" w:color="auto"/>
              <w:bottom w:val="single" w:sz="4" w:space="0" w:color="auto"/>
            </w:tcBorders>
          </w:tcPr>
          <w:p w14:paraId="14C9FF90" w14:textId="77777777" w:rsidR="00CF0E2D" w:rsidRPr="00DD74C8" w:rsidRDefault="00CF0E2D" w:rsidP="00A60D4B">
            <w:pPr>
              <w:pStyle w:val="InitFigRBold"/>
              <w:rPr>
                <w:bCs/>
              </w:rPr>
            </w:pPr>
            <w:r w:rsidRPr="00DD74C8">
              <w:rPr>
                <w:bCs/>
              </w:rPr>
              <w:t>10</w:t>
            </w:r>
            <w:r>
              <w:rPr>
                <w:bCs/>
              </w:rPr>
              <w:t>,</w:t>
            </w:r>
            <w:r w:rsidRPr="00DD74C8">
              <w:rPr>
                <w:bCs/>
              </w:rPr>
              <w:t>14</w:t>
            </w:r>
            <w:r>
              <w:rPr>
                <w:bCs/>
              </w:rPr>
              <w:t>6</w:t>
            </w:r>
          </w:p>
        </w:tc>
      </w:tr>
    </w:tbl>
    <w:p w14:paraId="41F3D9D5" w14:textId="77777777" w:rsidR="00CF0E2D" w:rsidRDefault="00CF0E2D" w:rsidP="00A60D4B">
      <w:pPr>
        <w:pStyle w:val="Bbodytext"/>
      </w:pPr>
      <w:r w:rsidRPr="004C581D">
        <w:t>The Government will</w:t>
      </w:r>
      <w:r>
        <w:t xml:space="preserve"> continue its support</w:t>
      </w:r>
      <w:r w:rsidRPr="006F6258">
        <w:t xml:space="preserve"> </w:t>
      </w:r>
      <w:r>
        <w:t>for</w:t>
      </w:r>
      <w:r w:rsidRPr="006F6258">
        <w:t xml:space="preserve"> the Drug and Alcohol Court </w:t>
      </w:r>
      <w:r>
        <w:t xml:space="preserve">(DAC) </w:t>
      </w:r>
      <w:r w:rsidRPr="006F6258">
        <w:t xml:space="preserve">for </w:t>
      </w:r>
      <w:r>
        <w:t xml:space="preserve">a further </w:t>
      </w:r>
      <w:r w:rsidRPr="006F6258">
        <w:t>two years</w:t>
      </w:r>
      <w:r>
        <w:t xml:space="preserve">, including funding staff in Justice and Community Services, ACT Health, ACT Policing, Legal Aid and the Community Services Directorate. </w:t>
      </w:r>
    </w:p>
    <w:p w14:paraId="42F88C22" w14:textId="77777777" w:rsidR="00CF0E2D" w:rsidRPr="007045E1" w:rsidRDefault="00CF0E2D" w:rsidP="00A60D4B">
      <w:pPr>
        <w:pStyle w:val="Bbodytext"/>
        <w:rPr>
          <w:rFonts w:eastAsia="Times New Roman" w:cs="Times New Roman"/>
          <w:szCs w:val="20"/>
        </w:rPr>
      </w:pPr>
      <w:r w:rsidRPr="008B783C">
        <w:t xml:space="preserve">The DAC deals with offending </w:t>
      </w:r>
      <w:r>
        <w:rPr>
          <w:rFonts w:eastAsia="Times New Roman" w:cs="Times New Roman"/>
          <w:szCs w:val="20"/>
        </w:rPr>
        <w:t>related</w:t>
      </w:r>
      <w:r w:rsidRPr="007045E1">
        <w:rPr>
          <w:rFonts w:eastAsia="Times New Roman" w:cs="Times New Roman"/>
          <w:szCs w:val="20"/>
        </w:rPr>
        <w:t xml:space="preserve"> to serious drug and alcohol use</w:t>
      </w:r>
      <w:r>
        <w:rPr>
          <w:rFonts w:eastAsia="Times New Roman" w:cs="Times New Roman"/>
          <w:szCs w:val="20"/>
        </w:rPr>
        <w:t xml:space="preserve">. It aims to rehabilitate high risk and high need offenders, and protect the community, by providing health and justice interventions, while holding people to account for their behaviour. </w:t>
      </w:r>
    </w:p>
    <w:p w14:paraId="5424C054" w14:textId="77777777" w:rsidR="00CF0E2D" w:rsidRDefault="00CF0E2D" w:rsidP="00A60D4B">
      <w:pPr>
        <w:pStyle w:val="Bbodytext"/>
      </w:pPr>
      <w:r>
        <w:t xml:space="preserve">This initiative contributes to the wellbeing domains of </w:t>
      </w:r>
      <w:r w:rsidRPr="000266D6">
        <w:t>Governance and institutions</w:t>
      </w:r>
      <w:r>
        <w:t xml:space="preserve"> and Health. </w:t>
      </w:r>
    </w:p>
    <w:p w14:paraId="20F33766" w14:textId="77777777" w:rsidR="00CF0E2D" w:rsidRDefault="00CF0E2D">
      <w:pPr>
        <w:rPr>
          <w:sz w:val="24"/>
        </w:rPr>
      </w:pPr>
      <w:r>
        <w:br w:type="page"/>
      </w:r>
    </w:p>
    <w:p w14:paraId="2DA11893" w14:textId="77777777" w:rsidR="00CF0E2D" w:rsidRDefault="00CF0E2D" w:rsidP="00A60D4B"/>
    <w:p w14:paraId="1838950C" w14:textId="77777777" w:rsidR="00CF0E2D" w:rsidRPr="008B783C" w:rsidRDefault="00CF0E2D" w:rsidP="00A60D4B">
      <w:pPr>
        <w:pStyle w:val="Heading4"/>
        <w:rPr>
          <w:rFonts w:eastAsia="Times New Roman"/>
        </w:rPr>
      </w:pPr>
      <w:r>
        <w:rPr>
          <w:noProof/>
          <w:color w:val="999789"/>
          <w:sz w:val="32"/>
          <w:szCs w:val="24"/>
        </w:rPr>
        <w:drawing>
          <wp:anchor distT="0" distB="0" distL="114300" distR="114300" simplePos="0" relativeHeight="251934720" behindDoc="0" locked="1" layoutInCell="1" allowOverlap="1" wp14:anchorId="4EBAC09E" wp14:editId="6D7C4570">
            <wp:simplePos x="0" y="0"/>
            <wp:positionH relativeFrom="margin">
              <wp:align>right</wp:align>
            </wp:positionH>
            <wp:positionV relativeFrom="paragraph">
              <wp:posOffset>-107950</wp:posOffset>
            </wp:positionV>
            <wp:extent cx="1216660" cy="503555"/>
            <wp:effectExtent l="0" t="0" r="2540" b="0"/>
            <wp:wrapSquare wrapText="bothSides"/>
            <wp:docPr id="142" name="Picture 142" descr="Icon representing the wellbeing domain of Identity and belo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 representing the wellbeing domain of Identity and belongi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16660" cy="503555"/>
                    </a:xfrm>
                    <a:prstGeom prst="rect">
                      <a:avLst/>
                    </a:prstGeom>
                  </pic:spPr>
                </pic:pic>
              </a:graphicData>
            </a:graphic>
            <wp14:sizeRelH relativeFrom="margin">
              <wp14:pctWidth>0</wp14:pctWidth>
            </wp14:sizeRelH>
            <wp14:sizeRelV relativeFrom="margin">
              <wp14:pctHeight>0</wp14:pctHeight>
            </wp14:sizeRelV>
          </wp:anchor>
        </w:drawing>
      </w:r>
      <w:r w:rsidRPr="008B783C">
        <w:rPr>
          <w:rFonts w:eastAsia="Times New Roman"/>
        </w:rPr>
        <w:t xml:space="preserve">Galambany Circle Sentencing Court upgrades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4E341E" w14:paraId="4C10B36C" w14:textId="77777777" w:rsidTr="00A60D4B">
        <w:trPr>
          <w:cantSplit/>
          <w:jc w:val="center"/>
        </w:trPr>
        <w:tc>
          <w:tcPr>
            <w:tcW w:w="3652" w:type="dxa"/>
            <w:tcBorders>
              <w:top w:val="single" w:sz="4" w:space="0" w:color="auto"/>
              <w:bottom w:val="single" w:sz="4" w:space="0" w:color="auto"/>
            </w:tcBorders>
          </w:tcPr>
          <w:p w14:paraId="4DBAB870"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0F427AAE" w14:textId="77777777" w:rsidR="00CF0E2D" w:rsidRPr="001B62CB" w:rsidRDefault="00CF0E2D" w:rsidP="00A60D4B">
            <w:pPr>
              <w:pStyle w:val="InitFigR"/>
              <w:rPr>
                <w:b/>
                <w:bCs/>
              </w:rPr>
            </w:pPr>
            <w:r w:rsidRPr="001B62CB">
              <w:rPr>
                <w:b/>
                <w:bCs/>
              </w:rPr>
              <w:t>2021-22</w:t>
            </w:r>
          </w:p>
          <w:p w14:paraId="04691E76" w14:textId="77777777" w:rsidR="00CF0E2D" w:rsidRPr="001B62CB" w:rsidRDefault="00CF0E2D" w:rsidP="00A60D4B">
            <w:pPr>
              <w:pStyle w:val="InitFigR"/>
              <w:rPr>
                <w:b/>
                <w:bCs/>
              </w:rPr>
            </w:pPr>
            <w:r w:rsidRPr="001B62CB">
              <w:rPr>
                <w:b/>
                <w:bCs/>
              </w:rPr>
              <w:t>$’000</w:t>
            </w:r>
          </w:p>
        </w:tc>
        <w:tc>
          <w:tcPr>
            <w:tcW w:w="1041" w:type="dxa"/>
            <w:tcBorders>
              <w:top w:val="single" w:sz="4" w:space="0" w:color="auto"/>
              <w:bottom w:val="single" w:sz="4" w:space="0" w:color="auto"/>
            </w:tcBorders>
          </w:tcPr>
          <w:p w14:paraId="4FC23FA7" w14:textId="77777777" w:rsidR="00CF0E2D" w:rsidRPr="001B62CB" w:rsidRDefault="00CF0E2D" w:rsidP="00A60D4B">
            <w:pPr>
              <w:pStyle w:val="InitFigR"/>
              <w:rPr>
                <w:b/>
                <w:bCs/>
              </w:rPr>
            </w:pPr>
            <w:r w:rsidRPr="001B62CB">
              <w:rPr>
                <w:b/>
                <w:bCs/>
              </w:rPr>
              <w:t>2022-23</w:t>
            </w:r>
          </w:p>
          <w:p w14:paraId="6A10B8A4" w14:textId="77777777" w:rsidR="00CF0E2D" w:rsidRPr="001B62CB" w:rsidRDefault="00CF0E2D" w:rsidP="00A60D4B">
            <w:pPr>
              <w:pStyle w:val="InitFigR"/>
              <w:rPr>
                <w:b/>
                <w:bCs/>
              </w:rPr>
            </w:pPr>
            <w:r w:rsidRPr="001B62CB">
              <w:rPr>
                <w:b/>
                <w:bCs/>
              </w:rPr>
              <w:t>$’000</w:t>
            </w:r>
          </w:p>
        </w:tc>
        <w:tc>
          <w:tcPr>
            <w:tcW w:w="1029" w:type="dxa"/>
            <w:tcBorders>
              <w:top w:val="single" w:sz="4" w:space="0" w:color="auto"/>
              <w:bottom w:val="single" w:sz="4" w:space="0" w:color="auto"/>
            </w:tcBorders>
          </w:tcPr>
          <w:p w14:paraId="1E8856A7" w14:textId="77777777" w:rsidR="00CF0E2D" w:rsidRPr="001B62CB" w:rsidRDefault="00CF0E2D" w:rsidP="00A60D4B">
            <w:pPr>
              <w:pStyle w:val="InitFigR"/>
              <w:rPr>
                <w:b/>
                <w:bCs/>
              </w:rPr>
            </w:pPr>
            <w:r w:rsidRPr="001B62CB">
              <w:rPr>
                <w:b/>
                <w:bCs/>
              </w:rPr>
              <w:t>2023-24</w:t>
            </w:r>
          </w:p>
          <w:p w14:paraId="6F710DCC" w14:textId="77777777" w:rsidR="00CF0E2D" w:rsidRPr="001B62CB" w:rsidRDefault="00CF0E2D" w:rsidP="00A60D4B">
            <w:pPr>
              <w:pStyle w:val="InitFigR"/>
              <w:rPr>
                <w:b/>
                <w:bCs/>
              </w:rPr>
            </w:pPr>
            <w:r w:rsidRPr="001B62CB">
              <w:rPr>
                <w:b/>
                <w:bCs/>
              </w:rPr>
              <w:t>$’000</w:t>
            </w:r>
          </w:p>
        </w:tc>
        <w:tc>
          <w:tcPr>
            <w:tcW w:w="1029" w:type="dxa"/>
            <w:tcBorders>
              <w:top w:val="single" w:sz="4" w:space="0" w:color="auto"/>
              <w:bottom w:val="single" w:sz="4" w:space="0" w:color="auto"/>
            </w:tcBorders>
          </w:tcPr>
          <w:p w14:paraId="5F2B2FBD" w14:textId="77777777" w:rsidR="00CF0E2D" w:rsidRPr="001B62CB" w:rsidRDefault="00CF0E2D" w:rsidP="00A60D4B">
            <w:pPr>
              <w:pStyle w:val="InitFigR"/>
              <w:rPr>
                <w:b/>
                <w:bCs/>
              </w:rPr>
            </w:pPr>
            <w:r w:rsidRPr="001B62CB">
              <w:rPr>
                <w:b/>
                <w:bCs/>
              </w:rPr>
              <w:t>2024-25</w:t>
            </w:r>
          </w:p>
          <w:p w14:paraId="16D33D67" w14:textId="77777777" w:rsidR="00CF0E2D" w:rsidRPr="001B62CB" w:rsidRDefault="00CF0E2D" w:rsidP="00A60D4B">
            <w:pPr>
              <w:pStyle w:val="InitFigR"/>
              <w:rPr>
                <w:b/>
                <w:bCs/>
              </w:rPr>
            </w:pPr>
            <w:r w:rsidRPr="001B62CB">
              <w:rPr>
                <w:b/>
                <w:bCs/>
              </w:rPr>
              <w:t>$’000</w:t>
            </w:r>
          </w:p>
        </w:tc>
        <w:tc>
          <w:tcPr>
            <w:tcW w:w="1029" w:type="dxa"/>
            <w:tcBorders>
              <w:top w:val="single" w:sz="4" w:space="0" w:color="auto"/>
              <w:bottom w:val="single" w:sz="4" w:space="0" w:color="auto"/>
            </w:tcBorders>
          </w:tcPr>
          <w:p w14:paraId="40E766CB" w14:textId="77777777" w:rsidR="00CF0E2D" w:rsidRPr="004E341E" w:rsidRDefault="00CF0E2D" w:rsidP="00A60D4B">
            <w:pPr>
              <w:pStyle w:val="InitFigRBold"/>
            </w:pPr>
            <w:r w:rsidRPr="004E341E">
              <w:t>Total</w:t>
            </w:r>
          </w:p>
          <w:p w14:paraId="085F5370" w14:textId="77777777" w:rsidR="00CF0E2D" w:rsidRPr="004E341E" w:rsidRDefault="00CF0E2D" w:rsidP="00A60D4B">
            <w:pPr>
              <w:pStyle w:val="InitFigBR"/>
            </w:pPr>
            <w:r w:rsidRPr="004E341E">
              <w:t>$’000</w:t>
            </w:r>
          </w:p>
        </w:tc>
      </w:tr>
      <w:tr w:rsidR="00CF0E2D" w:rsidRPr="00D13A71" w14:paraId="28F3FA1D" w14:textId="77777777" w:rsidTr="00A60D4B">
        <w:trPr>
          <w:cantSplit/>
          <w:jc w:val="center"/>
        </w:trPr>
        <w:tc>
          <w:tcPr>
            <w:tcW w:w="3652" w:type="dxa"/>
            <w:tcBorders>
              <w:top w:val="single" w:sz="4" w:space="0" w:color="auto"/>
            </w:tcBorders>
          </w:tcPr>
          <w:p w14:paraId="37C017DE" w14:textId="77777777" w:rsidR="00CF0E2D" w:rsidRDefault="00CF0E2D" w:rsidP="00A60D4B">
            <w:pPr>
              <w:pStyle w:val="InitTextL"/>
              <w:ind w:left="321" w:hanging="321"/>
            </w:pPr>
            <w:r w:rsidRPr="00930649">
              <w:t>Capital</w:t>
            </w:r>
          </w:p>
        </w:tc>
        <w:tc>
          <w:tcPr>
            <w:tcW w:w="1179" w:type="dxa"/>
            <w:tcBorders>
              <w:top w:val="single" w:sz="4" w:space="0" w:color="auto"/>
            </w:tcBorders>
          </w:tcPr>
          <w:p w14:paraId="5F606D1F" w14:textId="77777777" w:rsidR="00CF0E2D" w:rsidRDefault="00CF0E2D" w:rsidP="00A60D4B">
            <w:pPr>
              <w:pStyle w:val="InitFigR"/>
            </w:pPr>
            <w:r w:rsidRPr="00930649">
              <w:t>714</w:t>
            </w:r>
          </w:p>
        </w:tc>
        <w:tc>
          <w:tcPr>
            <w:tcW w:w="1041" w:type="dxa"/>
            <w:tcBorders>
              <w:top w:val="single" w:sz="4" w:space="0" w:color="auto"/>
            </w:tcBorders>
          </w:tcPr>
          <w:p w14:paraId="1147376D" w14:textId="77777777" w:rsidR="00CF0E2D" w:rsidRDefault="00CF0E2D" w:rsidP="00A60D4B">
            <w:pPr>
              <w:pStyle w:val="InitFigR"/>
            </w:pPr>
            <w:r w:rsidRPr="00930649">
              <w:t>0</w:t>
            </w:r>
          </w:p>
        </w:tc>
        <w:tc>
          <w:tcPr>
            <w:tcW w:w="1029" w:type="dxa"/>
            <w:tcBorders>
              <w:top w:val="single" w:sz="4" w:space="0" w:color="auto"/>
            </w:tcBorders>
          </w:tcPr>
          <w:p w14:paraId="7425F90E" w14:textId="77777777" w:rsidR="00CF0E2D" w:rsidRDefault="00CF0E2D" w:rsidP="00A60D4B">
            <w:pPr>
              <w:pStyle w:val="InitFigR"/>
            </w:pPr>
            <w:r w:rsidRPr="00930649">
              <w:t>0</w:t>
            </w:r>
          </w:p>
        </w:tc>
        <w:tc>
          <w:tcPr>
            <w:tcW w:w="1029" w:type="dxa"/>
            <w:tcBorders>
              <w:top w:val="single" w:sz="4" w:space="0" w:color="auto"/>
            </w:tcBorders>
          </w:tcPr>
          <w:p w14:paraId="6FD09195" w14:textId="77777777" w:rsidR="00CF0E2D" w:rsidRDefault="00CF0E2D" w:rsidP="00A60D4B">
            <w:pPr>
              <w:pStyle w:val="InitFigR"/>
            </w:pPr>
            <w:r w:rsidRPr="00930649">
              <w:t>0</w:t>
            </w:r>
          </w:p>
        </w:tc>
        <w:tc>
          <w:tcPr>
            <w:tcW w:w="1029" w:type="dxa"/>
            <w:tcBorders>
              <w:top w:val="single" w:sz="4" w:space="0" w:color="auto"/>
            </w:tcBorders>
          </w:tcPr>
          <w:p w14:paraId="2F6DF8F1" w14:textId="77777777" w:rsidR="00CF0E2D" w:rsidRPr="00D13A71" w:rsidRDefault="00CF0E2D" w:rsidP="00A60D4B">
            <w:pPr>
              <w:pStyle w:val="InitFigRBold"/>
              <w:rPr>
                <w:b w:val="0"/>
              </w:rPr>
            </w:pPr>
            <w:r w:rsidRPr="00930649">
              <w:t>714</w:t>
            </w:r>
          </w:p>
        </w:tc>
      </w:tr>
      <w:tr w:rsidR="00CF0E2D" w:rsidRPr="00D13A71" w14:paraId="77517672" w14:textId="77777777" w:rsidTr="00A60D4B">
        <w:trPr>
          <w:cantSplit/>
          <w:jc w:val="center"/>
        </w:trPr>
        <w:tc>
          <w:tcPr>
            <w:tcW w:w="3652" w:type="dxa"/>
            <w:tcBorders>
              <w:bottom w:val="single" w:sz="4" w:space="0" w:color="auto"/>
            </w:tcBorders>
          </w:tcPr>
          <w:p w14:paraId="32CEE5BB" w14:textId="77777777" w:rsidR="00CF0E2D" w:rsidRDefault="00CF0E2D" w:rsidP="00A60D4B">
            <w:pPr>
              <w:pStyle w:val="InitTextL"/>
              <w:ind w:left="321" w:hanging="321"/>
            </w:pPr>
            <w:r w:rsidRPr="00930649">
              <w:t>Offset – Capital</w:t>
            </w:r>
          </w:p>
        </w:tc>
        <w:tc>
          <w:tcPr>
            <w:tcW w:w="1179" w:type="dxa"/>
            <w:tcBorders>
              <w:bottom w:val="single" w:sz="4" w:space="0" w:color="auto"/>
            </w:tcBorders>
          </w:tcPr>
          <w:p w14:paraId="464FFD71" w14:textId="77777777" w:rsidR="00CF0E2D" w:rsidRDefault="00CF0E2D" w:rsidP="00A60D4B">
            <w:pPr>
              <w:pStyle w:val="InitFigR"/>
            </w:pPr>
            <w:r w:rsidRPr="00930649">
              <w:t>-714</w:t>
            </w:r>
          </w:p>
        </w:tc>
        <w:tc>
          <w:tcPr>
            <w:tcW w:w="1041" w:type="dxa"/>
            <w:tcBorders>
              <w:bottom w:val="single" w:sz="4" w:space="0" w:color="auto"/>
            </w:tcBorders>
          </w:tcPr>
          <w:p w14:paraId="05BAAEF9" w14:textId="77777777" w:rsidR="00CF0E2D" w:rsidRDefault="00CF0E2D" w:rsidP="00A60D4B">
            <w:pPr>
              <w:pStyle w:val="InitFigR"/>
            </w:pPr>
            <w:r w:rsidRPr="00930649">
              <w:t>0</w:t>
            </w:r>
          </w:p>
        </w:tc>
        <w:tc>
          <w:tcPr>
            <w:tcW w:w="1029" w:type="dxa"/>
            <w:tcBorders>
              <w:bottom w:val="single" w:sz="4" w:space="0" w:color="auto"/>
            </w:tcBorders>
          </w:tcPr>
          <w:p w14:paraId="65D72E8B" w14:textId="77777777" w:rsidR="00CF0E2D" w:rsidRDefault="00CF0E2D" w:rsidP="00A60D4B">
            <w:pPr>
              <w:pStyle w:val="InitFigR"/>
            </w:pPr>
            <w:r w:rsidRPr="00930649">
              <w:t>0</w:t>
            </w:r>
          </w:p>
        </w:tc>
        <w:tc>
          <w:tcPr>
            <w:tcW w:w="1029" w:type="dxa"/>
            <w:tcBorders>
              <w:bottom w:val="single" w:sz="4" w:space="0" w:color="auto"/>
            </w:tcBorders>
          </w:tcPr>
          <w:p w14:paraId="0B216B28" w14:textId="77777777" w:rsidR="00CF0E2D" w:rsidRDefault="00CF0E2D" w:rsidP="00A60D4B">
            <w:pPr>
              <w:pStyle w:val="InitFigR"/>
            </w:pPr>
            <w:r w:rsidRPr="00930649">
              <w:t>0</w:t>
            </w:r>
          </w:p>
        </w:tc>
        <w:tc>
          <w:tcPr>
            <w:tcW w:w="1029" w:type="dxa"/>
            <w:tcBorders>
              <w:bottom w:val="single" w:sz="4" w:space="0" w:color="auto"/>
            </w:tcBorders>
          </w:tcPr>
          <w:p w14:paraId="1C189D26" w14:textId="77777777" w:rsidR="00CF0E2D" w:rsidRPr="00D13A71" w:rsidRDefault="00CF0E2D" w:rsidP="00A60D4B">
            <w:pPr>
              <w:pStyle w:val="InitFigRBold"/>
              <w:rPr>
                <w:b w:val="0"/>
              </w:rPr>
            </w:pPr>
            <w:r w:rsidRPr="00930649">
              <w:t>-714</w:t>
            </w:r>
          </w:p>
        </w:tc>
      </w:tr>
      <w:tr w:rsidR="00CF0E2D" w:rsidRPr="00D13A71" w14:paraId="1CFFBEBB" w14:textId="77777777" w:rsidTr="00A60D4B">
        <w:trPr>
          <w:cantSplit/>
          <w:jc w:val="center"/>
        </w:trPr>
        <w:tc>
          <w:tcPr>
            <w:tcW w:w="3652" w:type="dxa"/>
            <w:tcBorders>
              <w:top w:val="single" w:sz="4" w:space="0" w:color="auto"/>
              <w:bottom w:val="single" w:sz="4" w:space="0" w:color="auto"/>
            </w:tcBorders>
          </w:tcPr>
          <w:p w14:paraId="0B39E3BC" w14:textId="14F78296" w:rsidR="00CF0E2D" w:rsidRPr="005D4FFD" w:rsidRDefault="00F57411" w:rsidP="00A60D4B">
            <w:pPr>
              <w:pStyle w:val="InitTextL"/>
              <w:ind w:left="321" w:hanging="321"/>
              <w:rPr>
                <w:b/>
                <w:bCs/>
              </w:rPr>
            </w:pPr>
            <w:r>
              <w:rPr>
                <w:b/>
                <w:bCs/>
              </w:rPr>
              <w:t>Net capital</w:t>
            </w:r>
          </w:p>
        </w:tc>
        <w:tc>
          <w:tcPr>
            <w:tcW w:w="1179" w:type="dxa"/>
            <w:tcBorders>
              <w:top w:val="single" w:sz="4" w:space="0" w:color="auto"/>
              <w:bottom w:val="single" w:sz="4" w:space="0" w:color="auto"/>
            </w:tcBorders>
          </w:tcPr>
          <w:p w14:paraId="46E26190" w14:textId="77777777" w:rsidR="00CF0E2D" w:rsidRPr="005D4FFD" w:rsidRDefault="00CF0E2D" w:rsidP="00A60D4B">
            <w:pPr>
              <w:pStyle w:val="InitFigR"/>
              <w:rPr>
                <w:b/>
                <w:bCs/>
              </w:rPr>
            </w:pPr>
            <w:r w:rsidRPr="005D4FFD">
              <w:rPr>
                <w:b/>
                <w:bCs/>
              </w:rPr>
              <w:t>0</w:t>
            </w:r>
          </w:p>
        </w:tc>
        <w:tc>
          <w:tcPr>
            <w:tcW w:w="1041" w:type="dxa"/>
            <w:tcBorders>
              <w:top w:val="single" w:sz="4" w:space="0" w:color="auto"/>
              <w:bottom w:val="single" w:sz="4" w:space="0" w:color="auto"/>
            </w:tcBorders>
          </w:tcPr>
          <w:p w14:paraId="75C5A8FA" w14:textId="77777777" w:rsidR="00CF0E2D" w:rsidRPr="005D4FFD" w:rsidRDefault="00CF0E2D" w:rsidP="00A60D4B">
            <w:pPr>
              <w:pStyle w:val="InitFigR"/>
              <w:rPr>
                <w:b/>
                <w:bCs/>
              </w:rPr>
            </w:pPr>
            <w:r w:rsidRPr="005D4FFD">
              <w:rPr>
                <w:b/>
                <w:bCs/>
              </w:rPr>
              <w:t>0</w:t>
            </w:r>
          </w:p>
        </w:tc>
        <w:tc>
          <w:tcPr>
            <w:tcW w:w="1029" w:type="dxa"/>
            <w:tcBorders>
              <w:top w:val="single" w:sz="4" w:space="0" w:color="auto"/>
              <w:bottom w:val="single" w:sz="4" w:space="0" w:color="auto"/>
            </w:tcBorders>
          </w:tcPr>
          <w:p w14:paraId="3AF06C97" w14:textId="77777777" w:rsidR="00CF0E2D" w:rsidRPr="005D4FFD" w:rsidRDefault="00CF0E2D" w:rsidP="00A60D4B">
            <w:pPr>
              <w:pStyle w:val="InitFigR"/>
              <w:rPr>
                <w:b/>
                <w:bCs/>
              </w:rPr>
            </w:pPr>
            <w:r w:rsidRPr="005D4FFD">
              <w:rPr>
                <w:b/>
                <w:bCs/>
              </w:rPr>
              <w:t>0</w:t>
            </w:r>
          </w:p>
        </w:tc>
        <w:tc>
          <w:tcPr>
            <w:tcW w:w="1029" w:type="dxa"/>
            <w:tcBorders>
              <w:top w:val="single" w:sz="4" w:space="0" w:color="auto"/>
              <w:bottom w:val="single" w:sz="4" w:space="0" w:color="auto"/>
            </w:tcBorders>
          </w:tcPr>
          <w:p w14:paraId="3482BABE" w14:textId="77777777" w:rsidR="00CF0E2D" w:rsidRPr="005D4FFD" w:rsidRDefault="00CF0E2D" w:rsidP="00A60D4B">
            <w:pPr>
              <w:pStyle w:val="InitFigR"/>
              <w:rPr>
                <w:b/>
                <w:bCs/>
              </w:rPr>
            </w:pPr>
            <w:r w:rsidRPr="005D4FFD">
              <w:rPr>
                <w:b/>
                <w:bCs/>
              </w:rPr>
              <w:t>0</w:t>
            </w:r>
          </w:p>
        </w:tc>
        <w:tc>
          <w:tcPr>
            <w:tcW w:w="1029" w:type="dxa"/>
            <w:tcBorders>
              <w:top w:val="single" w:sz="4" w:space="0" w:color="auto"/>
              <w:bottom w:val="single" w:sz="4" w:space="0" w:color="auto"/>
            </w:tcBorders>
          </w:tcPr>
          <w:p w14:paraId="1642D55B" w14:textId="77777777" w:rsidR="00CF0E2D" w:rsidRPr="005D4FFD" w:rsidRDefault="00CF0E2D" w:rsidP="00A60D4B">
            <w:pPr>
              <w:pStyle w:val="InitFigRBold"/>
              <w:rPr>
                <w:bCs/>
              </w:rPr>
            </w:pPr>
            <w:r w:rsidRPr="005D4FFD">
              <w:rPr>
                <w:bCs/>
              </w:rPr>
              <w:t>0</w:t>
            </w:r>
          </w:p>
        </w:tc>
      </w:tr>
      <w:tr w:rsidR="00CF0E2D" w:rsidRPr="00D13A71" w14:paraId="7FEE5B42" w14:textId="77777777" w:rsidTr="00A60D4B">
        <w:trPr>
          <w:cantSplit/>
          <w:jc w:val="center"/>
        </w:trPr>
        <w:tc>
          <w:tcPr>
            <w:tcW w:w="3652" w:type="dxa"/>
            <w:tcBorders>
              <w:top w:val="single" w:sz="4" w:space="0" w:color="auto"/>
              <w:bottom w:val="single" w:sz="4" w:space="0" w:color="auto"/>
            </w:tcBorders>
          </w:tcPr>
          <w:p w14:paraId="1A44C807" w14:textId="77777777" w:rsidR="00CF0E2D" w:rsidRDefault="00CF0E2D" w:rsidP="00A60D4B">
            <w:pPr>
              <w:pStyle w:val="InitTextL"/>
              <w:ind w:left="321" w:hanging="321"/>
            </w:pPr>
            <w:r w:rsidRPr="00930649">
              <w:t>Depreciation</w:t>
            </w:r>
          </w:p>
        </w:tc>
        <w:tc>
          <w:tcPr>
            <w:tcW w:w="1179" w:type="dxa"/>
            <w:tcBorders>
              <w:top w:val="single" w:sz="4" w:space="0" w:color="auto"/>
              <w:bottom w:val="single" w:sz="4" w:space="0" w:color="auto"/>
            </w:tcBorders>
          </w:tcPr>
          <w:p w14:paraId="5BBA81F1" w14:textId="77777777" w:rsidR="00CF0E2D" w:rsidRDefault="00CF0E2D" w:rsidP="00A60D4B">
            <w:pPr>
              <w:pStyle w:val="InitFigR"/>
            </w:pPr>
            <w:r w:rsidRPr="00930649">
              <w:t>0</w:t>
            </w:r>
          </w:p>
        </w:tc>
        <w:tc>
          <w:tcPr>
            <w:tcW w:w="1041" w:type="dxa"/>
            <w:tcBorders>
              <w:top w:val="single" w:sz="4" w:space="0" w:color="auto"/>
              <w:bottom w:val="single" w:sz="4" w:space="0" w:color="auto"/>
            </w:tcBorders>
          </w:tcPr>
          <w:p w14:paraId="1D17ECBE" w14:textId="77777777" w:rsidR="00CF0E2D" w:rsidRDefault="00CF0E2D" w:rsidP="00A60D4B">
            <w:pPr>
              <w:pStyle w:val="InitFigR"/>
            </w:pPr>
            <w:r w:rsidRPr="00930649">
              <w:t>48</w:t>
            </w:r>
          </w:p>
        </w:tc>
        <w:tc>
          <w:tcPr>
            <w:tcW w:w="1029" w:type="dxa"/>
            <w:tcBorders>
              <w:top w:val="single" w:sz="4" w:space="0" w:color="auto"/>
              <w:bottom w:val="single" w:sz="4" w:space="0" w:color="auto"/>
            </w:tcBorders>
          </w:tcPr>
          <w:p w14:paraId="39E207F8" w14:textId="77777777" w:rsidR="00CF0E2D" w:rsidRDefault="00CF0E2D" w:rsidP="00A60D4B">
            <w:pPr>
              <w:pStyle w:val="InitFigR"/>
            </w:pPr>
            <w:r w:rsidRPr="00930649">
              <w:t>48</w:t>
            </w:r>
          </w:p>
        </w:tc>
        <w:tc>
          <w:tcPr>
            <w:tcW w:w="1029" w:type="dxa"/>
            <w:tcBorders>
              <w:top w:val="single" w:sz="4" w:space="0" w:color="auto"/>
              <w:bottom w:val="single" w:sz="4" w:space="0" w:color="auto"/>
            </w:tcBorders>
          </w:tcPr>
          <w:p w14:paraId="2F5891DB" w14:textId="77777777" w:rsidR="00CF0E2D" w:rsidRDefault="00CF0E2D" w:rsidP="00A60D4B">
            <w:pPr>
              <w:pStyle w:val="InitFigR"/>
            </w:pPr>
            <w:r w:rsidRPr="00930649">
              <w:t>48</w:t>
            </w:r>
          </w:p>
        </w:tc>
        <w:tc>
          <w:tcPr>
            <w:tcW w:w="1029" w:type="dxa"/>
            <w:tcBorders>
              <w:top w:val="single" w:sz="4" w:space="0" w:color="auto"/>
              <w:bottom w:val="single" w:sz="4" w:space="0" w:color="auto"/>
            </w:tcBorders>
          </w:tcPr>
          <w:p w14:paraId="73E05373" w14:textId="77777777" w:rsidR="00CF0E2D" w:rsidRPr="00D13A71" w:rsidRDefault="00CF0E2D" w:rsidP="00A60D4B">
            <w:pPr>
              <w:pStyle w:val="InitFigRBold"/>
              <w:rPr>
                <w:b w:val="0"/>
              </w:rPr>
            </w:pPr>
            <w:r w:rsidRPr="00930649">
              <w:t>144</w:t>
            </w:r>
          </w:p>
        </w:tc>
      </w:tr>
    </w:tbl>
    <w:p w14:paraId="762FF62C" w14:textId="77777777" w:rsidR="00CF0E2D" w:rsidRDefault="00CF0E2D" w:rsidP="00A60D4B">
      <w:pPr>
        <w:pStyle w:val="Bbodytext"/>
      </w:pPr>
      <w:r w:rsidRPr="004C581D">
        <w:t>The Government will</w:t>
      </w:r>
      <w:r>
        <w:t xml:space="preserve"> upgrade the </w:t>
      </w:r>
      <w:r w:rsidRPr="009C40E0">
        <w:t xml:space="preserve">Galambany Circle Sentencing </w:t>
      </w:r>
      <w:r>
        <w:t>c</w:t>
      </w:r>
      <w:r w:rsidRPr="009C40E0">
        <w:t>ourt room</w:t>
      </w:r>
      <w:r>
        <w:t xml:space="preserve">, including providing a </w:t>
      </w:r>
      <w:r w:rsidRPr="00B90DA4">
        <w:t xml:space="preserve">round table and technology capability </w:t>
      </w:r>
      <w:r>
        <w:t>in line</w:t>
      </w:r>
      <w:r w:rsidRPr="00B90DA4">
        <w:t xml:space="preserve"> with all other court rooms</w:t>
      </w:r>
      <w:r>
        <w:t xml:space="preserve">. </w:t>
      </w:r>
    </w:p>
    <w:p w14:paraId="2903F849" w14:textId="77777777" w:rsidR="00CF0E2D" w:rsidRDefault="00CF0E2D" w:rsidP="00A60D4B">
      <w:pPr>
        <w:pStyle w:val="Bbodytext"/>
      </w:pPr>
      <w:r>
        <w:t xml:space="preserve">The Government has been supporting the Galambany Circle Sentencing Court since its inception in 2004, to provide restorative support to Aboriginal and Torres Strait Islander defendants. </w:t>
      </w:r>
    </w:p>
    <w:p w14:paraId="1858DD91" w14:textId="77777777" w:rsidR="00CF0E2D" w:rsidRDefault="00CF0E2D" w:rsidP="00A60D4B">
      <w:pPr>
        <w:pStyle w:val="Bbodytext"/>
      </w:pPr>
      <w:r>
        <w:t xml:space="preserve">This initiative contributes to the wellbeing domains of </w:t>
      </w:r>
      <w:r w:rsidRPr="0050108A">
        <w:t>Identity and belonging</w:t>
      </w:r>
      <w:r>
        <w:t xml:space="preserve"> and Governance and institutions.</w:t>
      </w:r>
    </w:p>
    <w:p w14:paraId="2438BD5F" w14:textId="77777777" w:rsidR="00CF0E2D" w:rsidRDefault="00CF0E2D" w:rsidP="00A60D4B">
      <w:pPr>
        <w:pStyle w:val="Bbodytext"/>
      </w:pPr>
    </w:p>
    <w:p w14:paraId="2FC5BA1B" w14:textId="77777777" w:rsidR="00CF0E2D" w:rsidRPr="00F90028" w:rsidRDefault="00CF0E2D" w:rsidP="00A60D4B">
      <w:pPr>
        <w:pStyle w:val="Heading4"/>
        <w:rPr>
          <w:rFonts w:eastAsia="Times New Roman"/>
        </w:rPr>
      </w:pPr>
      <w:r w:rsidRPr="00F90028">
        <w:rPr>
          <w:rFonts w:eastAsia="Times New Roman"/>
        </w:rPr>
        <w:t xml:space="preserve">Human Rights Commission – </w:t>
      </w:r>
      <w:r>
        <w:rPr>
          <w:rFonts w:eastAsia="Times New Roman"/>
        </w:rPr>
        <w:t>i</w:t>
      </w:r>
      <w:r w:rsidRPr="00F90028">
        <w:rPr>
          <w:rFonts w:eastAsia="Times New Roman"/>
        </w:rPr>
        <w:t xml:space="preserve">ncreased </w:t>
      </w:r>
      <w:r>
        <w:rPr>
          <w:rFonts w:eastAsia="Times New Roman"/>
        </w:rPr>
        <w:t>s</w:t>
      </w:r>
      <w:r w:rsidRPr="00F90028">
        <w:rPr>
          <w:rFonts w:eastAsia="Times New Roman"/>
        </w:rPr>
        <w:t>upport</w:t>
      </w:r>
      <w:r>
        <w:rPr>
          <w:b w:val="0"/>
          <w:noProof/>
          <w:color w:val="999789"/>
          <w:sz w:val="32"/>
          <w:szCs w:val="24"/>
        </w:rPr>
        <w:drawing>
          <wp:anchor distT="0" distB="0" distL="114300" distR="114300" simplePos="0" relativeHeight="251935744" behindDoc="0" locked="1" layoutInCell="1" allowOverlap="1" wp14:anchorId="5380C3EF" wp14:editId="0DE9978C">
            <wp:simplePos x="0" y="0"/>
            <wp:positionH relativeFrom="margin">
              <wp:posOffset>4504055</wp:posOffset>
            </wp:positionH>
            <wp:positionV relativeFrom="paragraph">
              <wp:posOffset>-110490</wp:posOffset>
            </wp:positionV>
            <wp:extent cx="1216660" cy="503555"/>
            <wp:effectExtent l="0" t="0" r="2540" b="0"/>
            <wp:wrapSquare wrapText="bothSides"/>
            <wp:docPr id="143" name="Picture 143" descr="Icon representing the wellbeing domain of Identity and belo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 representing the wellbeing domain of Identity and belongi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1666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4E341E" w14:paraId="12112B5C" w14:textId="77777777" w:rsidTr="00A60D4B">
        <w:trPr>
          <w:cantSplit/>
          <w:jc w:val="center"/>
        </w:trPr>
        <w:tc>
          <w:tcPr>
            <w:tcW w:w="3652" w:type="dxa"/>
            <w:tcBorders>
              <w:top w:val="single" w:sz="4" w:space="0" w:color="auto"/>
              <w:bottom w:val="single" w:sz="4" w:space="0" w:color="auto"/>
            </w:tcBorders>
          </w:tcPr>
          <w:p w14:paraId="4F817A6B"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35424831" w14:textId="77777777" w:rsidR="00CF0E2D" w:rsidRPr="004C272B" w:rsidRDefault="00CF0E2D" w:rsidP="00A60D4B">
            <w:pPr>
              <w:pStyle w:val="InitFigR"/>
              <w:keepNext/>
              <w:keepLines/>
              <w:rPr>
                <w:b/>
                <w:bCs/>
              </w:rPr>
            </w:pPr>
            <w:r w:rsidRPr="004C272B">
              <w:rPr>
                <w:b/>
                <w:bCs/>
              </w:rPr>
              <w:t>2021-22</w:t>
            </w:r>
          </w:p>
          <w:p w14:paraId="4AD85A2A" w14:textId="77777777" w:rsidR="00CF0E2D" w:rsidRPr="004C272B" w:rsidRDefault="00CF0E2D" w:rsidP="00A60D4B">
            <w:pPr>
              <w:pStyle w:val="InitFigR"/>
              <w:keepNext/>
              <w:keepLines/>
              <w:rPr>
                <w:b/>
                <w:bCs/>
              </w:rPr>
            </w:pPr>
            <w:r w:rsidRPr="004C272B">
              <w:rPr>
                <w:b/>
                <w:bCs/>
              </w:rPr>
              <w:t>$’000</w:t>
            </w:r>
          </w:p>
        </w:tc>
        <w:tc>
          <w:tcPr>
            <w:tcW w:w="1041" w:type="dxa"/>
            <w:tcBorders>
              <w:top w:val="single" w:sz="4" w:space="0" w:color="auto"/>
              <w:bottom w:val="single" w:sz="4" w:space="0" w:color="auto"/>
            </w:tcBorders>
          </w:tcPr>
          <w:p w14:paraId="6907D958" w14:textId="77777777" w:rsidR="00CF0E2D" w:rsidRPr="004C272B" w:rsidRDefault="00CF0E2D" w:rsidP="00A60D4B">
            <w:pPr>
              <w:pStyle w:val="InitFigR"/>
              <w:keepNext/>
              <w:keepLines/>
              <w:rPr>
                <w:b/>
                <w:bCs/>
              </w:rPr>
            </w:pPr>
            <w:r w:rsidRPr="004C272B">
              <w:rPr>
                <w:b/>
                <w:bCs/>
              </w:rPr>
              <w:t>2022-23</w:t>
            </w:r>
          </w:p>
          <w:p w14:paraId="6D29E7DF" w14:textId="77777777" w:rsidR="00CF0E2D" w:rsidRPr="004C272B" w:rsidRDefault="00CF0E2D" w:rsidP="00A60D4B">
            <w:pPr>
              <w:pStyle w:val="InitFigR"/>
              <w:keepNext/>
              <w:keepLines/>
              <w:rPr>
                <w:b/>
                <w:bCs/>
              </w:rPr>
            </w:pPr>
            <w:r w:rsidRPr="004C272B">
              <w:rPr>
                <w:b/>
                <w:bCs/>
              </w:rPr>
              <w:t>$’000</w:t>
            </w:r>
          </w:p>
        </w:tc>
        <w:tc>
          <w:tcPr>
            <w:tcW w:w="1029" w:type="dxa"/>
            <w:tcBorders>
              <w:top w:val="single" w:sz="4" w:space="0" w:color="auto"/>
              <w:bottom w:val="single" w:sz="4" w:space="0" w:color="auto"/>
            </w:tcBorders>
          </w:tcPr>
          <w:p w14:paraId="7BB14D38" w14:textId="77777777" w:rsidR="00CF0E2D" w:rsidRPr="004C272B" w:rsidRDefault="00CF0E2D" w:rsidP="00A60D4B">
            <w:pPr>
              <w:pStyle w:val="InitFigR"/>
              <w:keepNext/>
              <w:keepLines/>
              <w:rPr>
                <w:b/>
                <w:bCs/>
              </w:rPr>
            </w:pPr>
            <w:r w:rsidRPr="004C272B">
              <w:rPr>
                <w:b/>
                <w:bCs/>
              </w:rPr>
              <w:t>2023-24</w:t>
            </w:r>
          </w:p>
          <w:p w14:paraId="5BEC5D3F" w14:textId="77777777" w:rsidR="00CF0E2D" w:rsidRPr="004C272B" w:rsidRDefault="00CF0E2D" w:rsidP="00A60D4B">
            <w:pPr>
              <w:pStyle w:val="InitFigR"/>
              <w:keepNext/>
              <w:keepLines/>
              <w:rPr>
                <w:b/>
                <w:bCs/>
              </w:rPr>
            </w:pPr>
            <w:r w:rsidRPr="004C272B">
              <w:rPr>
                <w:b/>
                <w:bCs/>
              </w:rPr>
              <w:t>$’000</w:t>
            </w:r>
          </w:p>
        </w:tc>
        <w:tc>
          <w:tcPr>
            <w:tcW w:w="1029" w:type="dxa"/>
            <w:tcBorders>
              <w:top w:val="single" w:sz="4" w:space="0" w:color="auto"/>
              <w:bottom w:val="single" w:sz="4" w:space="0" w:color="auto"/>
            </w:tcBorders>
          </w:tcPr>
          <w:p w14:paraId="15C21620" w14:textId="77777777" w:rsidR="00CF0E2D" w:rsidRPr="004C272B" w:rsidRDefault="00CF0E2D" w:rsidP="00A60D4B">
            <w:pPr>
              <w:pStyle w:val="InitFigR"/>
              <w:keepNext/>
              <w:keepLines/>
              <w:rPr>
                <w:b/>
                <w:bCs/>
              </w:rPr>
            </w:pPr>
            <w:r w:rsidRPr="004C272B">
              <w:rPr>
                <w:b/>
                <w:bCs/>
              </w:rPr>
              <w:t>2024-25</w:t>
            </w:r>
          </w:p>
          <w:p w14:paraId="51D7941A" w14:textId="77777777" w:rsidR="00CF0E2D" w:rsidRPr="004C272B" w:rsidRDefault="00CF0E2D" w:rsidP="00A60D4B">
            <w:pPr>
              <w:pStyle w:val="InitFigR"/>
              <w:keepNext/>
              <w:keepLines/>
              <w:rPr>
                <w:b/>
                <w:bCs/>
              </w:rPr>
            </w:pPr>
            <w:r w:rsidRPr="004C272B">
              <w:rPr>
                <w:b/>
                <w:bCs/>
              </w:rPr>
              <w:t>$’000</w:t>
            </w:r>
          </w:p>
        </w:tc>
        <w:tc>
          <w:tcPr>
            <w:tcW w:w="1029" w:type="dxa"/>
            <w:tcBorders>
              <w:top w:val="single" w:sz="4" w:space="0" w:color="auto"/>
              <w:bottom w:val="single" w:sz="4" w:space="0" w:color="auto"/>
            </w:tcBorders>
          </w:tcPr>
          <w:p w14:paraId="5659986A" w14:textId="77777777" w:rsidR="00CF0E2D" w:rsidRPr="004E341E" w:rsidRDefault="00CF0E2D" w:rsidP="00A60D4B">
            <w:pPr>
              <w:pStyle w:val="InitFigRBold"/>
              <w:keepNext/>
              <w:keepLines/>
            </w:pPr>
            <w:r w:rsidRPr="004E341E">
              <w:t>Total</w:t>
            </w:r>
          </w:p>
          <w:p w14:paraId="4638F4B9" w14:textId="77777777" w:rsidR="00CF0E2D" w:rsidRPr="004E341E" w:rsidRDefault="00CF0E2D" w:rsidP="00A60D4B">
            <w:pPr>
              <w:pStyle w:val="InitFigBR"/>
              <w:keepNext/>
              <w:keepLines/>
            </w:pPr>
            <w:r w:rsidRPr="004E341E">
              <w:t>$’000</w:t>
            </w:r>
          </w:p>
        </w:tc>
      </w:tr>
      <w:tr w:rsidR="00CF0E2D" w:rsidRPr="00D13A71" w14:paraId="59C90563" w14:textId="77777777" w:rsidTr="00A60D4B">
        <w:trPr>
          <w:cantSplit/>
          <w:jc w:val="center"/>
        </w:trPr>
        <w:tc>
          <w:tcPr>
            <w:tcW w:w="3652" w:type="dxa"/>
            <w:tcBorders>
              <w:top w:val="single" w:sz="4" w:space="0" w:color="auto"/>
              <w:bottom w:val="single" w:sz="4" w:space="0" w:color="auto"/>
            </w:tcBorders>
          </w:tcPr>
          <w:p w14:paraId="37B92D35" w14:textId="77777777" w:rsidR="00CF0E2D" w:rsidRDefault="00CF0E2D" w:rsidP="00A60D4B">
            <w:pPr>
              <w:pStyle w:val="InitTextL"/>
              <w:keepNext/>
              <w:keepLines/>
              <w:ind w:left="321" w:hanging="321"/>
            </w:pPr>
            <w:r w:rsidRPr="00915199">
              <w:t xml:space="preserve">Expenses </w:t>
            </w:r>
          </w:p>
        </w:tc>
        <w:tc>
          <w:tcPr>
            <w:tcW w:w="1179" w:type="dxa"/>
            <w:tcBorders>
              <w:top w:val="single" w:sz="4" w:space="0" w:color="auto"/>
              <w:bottom w:val="single" w:sz="4" w:space="0" w:color="auto"/>
            </w:tcBorders>
          </w:tcPr>
          <w:p w14:paraId="56081A5A" w14:textId="77777777" w:rsidR="00CF0E2D" w:rsidRDefault="00CF0E2D" w:rsidP="00A60D4B">
            <w:pPr>
              <w:pStyle w:val="InitFigR"/>
              <w:keepNext/>
              <w:keepLines/>
            </w:pPr>
            <w:r>
              <w:rPr>
                <w:rFonts w:cs="Calibri"/>
                <w:lang w:eastAsia="en-AU"/>
              </w:rPr>
              <w:t>119</w:t>
            </w:r>
          </w:p>
        </w:tc>
        <w:tc>
          <w:tcPr>
            <w:tcW w:w="1041" w:type="dxa"/>
            <w:tcBorders>
              <w:top w:val="single" w:sz="4" w:space="0" w:color="auto"/>
              <w:bottom w:val="single" w:sz="4" w:space="0" w:color="auto"/>
            </w:tcBorders>
          </w:tcPr>
          <w:p w14:paraId="0FE7CF35" w14:textId="77777777" w:rsidR="00CF0E2D" w:rsidRDefault="00CF0E2D" w:rsidP="00A60D4B">
            <w:pPr>
              <w:pStyle w:val="InitFigR"/>
              <w:keepNext/>
              <w:keepLines/>
            </w:pPr>
            <w:r>
              <w:rPr>
                <w:rFonts w:cs="Calibri"/>
                <w:lang w:eastAsia="en-AU"/>
              </w:rPr>
              <w:t>300</w:t>
            </w:r>
          </w:p>
        </w:tc>
        <w:tc>
          <w:tcPr>
            <w:tcW w:w="1029" w:type="dxa"/>
            <w:tcBorders>
              <w:top w:val="single" w:sz="4" w:space="0" w:color="auto"/>
              <w:bottom w:val="single" w:sz="4" w:space="0" w:color="auto"/>
            </w:tcBorders>
          </w:tcPr>
          <w:p w14:paraId="4B04D5EE" w14:textId="77777777" w:rsidR="00CF0E2D" w:rsidRDefault="00CF0E2D" w:rsidP="00A60D4B">
            <w:pPr>
              <w:pStyle w:val="InitFigR"/>
              <w:keepNext/>
              <w:keepLines/>
            </w:pPr>
            <w:r>
              <w:rPr>
                <w:rFonts w:cs="Calibri"/>
                <w:lang w:eastAsia="en-AU"/>
              </w:rPr>
              <w:t>304</w:t>
            </w:r>
          </w:p>
        </w:tc>
        <w:tc>
          <w:tcPr>
            <w:tcW w:w="1029" w:type="dxa"/>
            <w:tcBorders>
              <w:top w:val="single" w:sz="4" w:space="0" w:color="auto"/>
              <w:bottom w:val="single" w:sz="4" w:space="0" w:color="auto"/>
            </w:tcBorders>
          </w:tcPr>
          <w:p w14:paraId="138FF5B6" w14:textId="77777777" w:rsidR="00CF0E2D" w:rsidRDefault="00CF0E2D" w:rsidP="00A60D4B">
            <w:pPr>
              <w:pStyle w:val="InitFigR"/>
              <w:keepNext/>
              <w:keepLines/>
            </w:pPr>
            <w:r>
              <w:rPr>
                <w:rFonts w:cs="Calibri"/>
                <w:lang w:eastAsia="en-AU"/>
              </w:rPr>
              <w:t>308</w:t>
            </w:r>
          </w:p>
        </w:tc>
        <w:tc>
          <w:tcPr>
            <w:tcW w:w="1029" w:type="dxa"/>
            <w:tcBorders>
              <w:top w:val="single" w:sz="4" w:space="0" w:color="auto"/>
              <w:bottom w:val="single" w:sz="4" w:space="0" w:color="auto"/>
            </w:tcBorders>
          </w:tcPr>
          <w:p w14:paraId="14D21053" w14:textId="77777777" w:rsidR="00CF0E2D" w:rsidRPr="00DA3721" w:rsidRDefault="00CF0E2D" w:rsidP="00A60D4B">
            <w:pPr>
              <w:pStyle w:val="InitFigRBold"/>
              <w:keepNext/>
              <w:keepLines/>
            </w:pPr>
            <w:r w:rsidRPr="00DA3721">
              <w:t>1,031</w:t>
            </w:r>
          </w:p>
        </w:tc>
      </w:tr>
    </w:tbl>
    <w:p w14:paraId="0FE07A83" w14:textId="77777777" w:rsidR="00CF0E2D" w:rsidRPr="00F90028" w:rsidRDefault="00CF0E2D" w:rsidP="00A60D4B">
      <w:pPr>
        <w:pStyle w:val="Bbodytext"/>
        <w:keepNext/>
        <w:keepLines/>
      </w:pPr>
      <w:r w:rsidRPr="00F90028">
        <w:t xml:space="preserve">The Government will increase the Commission’s capacity to respond to an increasing number and range of complaints by providing funding for additional staff members for the Discrimination, Health Services, Disability &amp; Community Services Commissioner.  </w:t>
      </w:r>
    </w:p>
    <w:p w14:paraId="31C8BB5F" w14:textId="77777777" w:rsidR="00CF0E2D" w:rsidRPr="00F90028" w:rsidRDefault="00CF0E2D" w:rsidP="00A60D4B">
      <w:pPr>
        <w:pStyle w:val="Bbodytext"/>
        <w:keepNext/>
        <w:keepLines/>
      </w:pPr>
      <w:r w:rsidRPr="00F90028">
        <w:t>Enhanced legislative protections now enable people to bring complaints about sexuality and gender identity conversion practices, elder abuse and neglect or exploitation of people with a disability to the Human Rights Commission.   </w:t>
      </w:r>
    </w:p>
    <w:p w14:paraId="7CC905CC" w14:textId="77777777" w:rsidR="00CF0E2D" w:rsidRDefault="00CF0E2D" w:rsidP="00A60D4B">
      <w:pPr>
        <w:pStyle w:val="Bbodytext"/>
        <w:keepNext/>
        <w:keepLines/>
      </w:pPr>
      <w:r>
        <w:t>This initiative contributes to the wellbeing domains of I</w:t>
      </w:r>
      <w:r w:rsidRPr="00DE5632">
        <w:t>dentity and belonging</w:t>
      </w:r>
      <w:r>
        <w:t xml:space="preserve"> and Safety.</w:t>
      </w:r>
    </w:p>
    <w:p w14:paraId="46F05E97" w14:textId="77777777" w:rsidR="00CF0E2D" w:rsidRDefault="00CF0E2D" w:rsidP="00A60D4B">
      <w:pPr>
        <w:pStyle w:val="Bbodytext"/>
        <w:keepNext/>
        <w:keepLines/>
      </w:pPr>
    </w:p>
    <w:p w14:paraId="0E69ADE3" w14:textId="77777777" w:rsidR="00CF0E2D" w:rsidRPr="00DE7B82" w:rsidRDefault="00CF0E2D" w:rsidP="00A60D4B">
      <w:pPr>
        <w:pStyle w:val="Heading4"/>
        <w:rPr>
          <w:rFonts w:eastAsia="Times New Roman"/>
        </w:rPr>
      </w:pPr>
      <w:r w:rsidRPr="00DE7B82">
        <w:rPr>
          <w:rFonts w:eastAsia="Times New Roman"/>
        </w:rPr>
        <w:t xml:space="preserve">Implementing legislative agenda </w:t>
      </w:r>
      <w:r>
        <w:rPr>
          <w:rFonts w:eastAsia="Times New Roman"/>
        </w:rPr>
        <w:t>–</w:t>
      </w:r>
      <w:r w:rsidRPr="00DE7B82">
        <w:rPr>
          <w:rFonts w:eastAsia="Times New Roman"/>
        </w:rPr>
        <w:t xml:space="preserve"> Reforming the </w:t>
      </w:r>
      <w:r>
        <w:rPr>
          <w:rFonts w:eastAsia="Times New Roman"/>
        </w:rPr>
        <w:t>m</w:t>
      </w:r>
      <w:r w:rsidRPr="00DE7B82">
        <w:rPr>
          <w:rFonts w:eastAsia="Times New Roman"/>
        </w:rPr>
        <w:t xml:space="preserve">inimum </w:t>
      </w:r>
      <w:r>
        <w:rPr>
          <w:rFonts w:eastAsia="Times New Roman"/>
        </w:rPr>
        <w:t>a</w:t>
      </w:r>
      <w:r w:rsidRPr="00DE7B82">
        <w:rPr>
          <w:rFonts w:eastAsia="Times New Roman"/>
        </w:rPr>
        <w:t xml:space="preserve">ge of </w:t>
      </w:r>
      <w:r>
        <w:rPr>
          <w:rFonts w:eastAsia="Times New Roman"/>
        </w:rPr>
        <w:t>criminal r</w:t>
      </w:r>
      <w:r w:rsidRPr="00DE7B82">
        <w:rPr>
          <w:rFonts w:eastAsia="Times New Roman"/>
        </w:rPr>
        <w:t xml:space="preserve">esponsibility </w:t>
      </w:r>
      <w:r>
        <w:rPr>
          <w:b w:val="0"/>
          <w:noProof/>
          <w:color w:val="999789"/>
          <w:sz w:val="32"/>
          <w:szCs w:val="24"/>
        </w:rPr>
        <w:drawing>
          <wp:anchor distT="0" distB="0" distL="114300" distR="114300" simplePos="0" relativeHeight="251896832" behindDoc="0" locked="1" layoutInCell="1" allowOverlap="1" wp14:anchorId="556782AA" wp14:editId="7F0CA56C">
            <wp:simplePos x="0" y="0"/>
            <wp:positionH relativeFrom="margin">
              <wp:align>right</wp:align>
            </wp:positionH>
            <wp:positionV relativeFrom="paragraph">
              <wp:posOffset>82550</wp:posOffset>
            </wp:positionV>
            <wp:extent cx="989965" cy="503555"/>
            <wp:effectExtent l="0" t="0" r="635" b="0"/>
            <wp:wrapSquare wrapText="bothSides"/>
            <wp:docPr id="194" name="Picture 194"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0B4AE76F" w14:textId="77777777" w:rsidTr="00A60D4B">
        <w:trPr>
          <w:cantSplit/>
          <w:jc w:val="center"/>
        </w:trPr>
        <w:tc>
          <w:tcPr>
            <w:tcW w:w="3652" w:type="dxa"/>
            <w:tcBorders>
              <w:top w:val="single" w:sz="4" w:space="0" w:color="auto"/>
              <w:bottom w:val="single" w:sz="4" w:space="0" w:color="auto"/>
            </w:tcBorders>
          </w:tcPr>
          <w:p w14:paraId="07408794"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519DEF63" w14:textId="77777777" w:rsidR="00CF0E2D" w:rsidRPr="00B7386B" w:rsidRDefault="00CF0E2D" w:rsidP="00A60D4B">
            <w:pPr>
              <w:pStyle w:val="InitFigR"/>
              <w:rPr>
                <w:b/>
                <w:bCs/>
              </w:rPr>
            </w:pPr>
            <w:r w:rsidRPr="00B7386B">
              <w:rPr>
                <w:b/>
                <w:bCs/>
              </w:rPr>
              <w:t>2021-22</w:t>
            </w:r>
          </w:p>
          <w:p w14:paraId="32F592C4" w14:textId="77777777" w:rsidR="00CF0E2D" w:rsidRPr="00B7386B" w:rsidRDefault="00CF0E2D" w:rsidP="00A60D4B">
            <w:pPr>
              <w:pStyle w:val="InitFigR"/>
              <w:rPr>
                <w:b/>
                <w:bCs/>
              </w:rPr>
            </w:pPr>
            <w:r w:rsidRPr="00B7386B">
              <w:rPr>
                <w:b/>
                <w:bCs/>
              </w:rPr>
              <w:t>$’000</w:t>
            </w:r>
          </w:p>
        </w:tc>
        <w:tc>
          <w:tcPr>
            <w:tcW w:w="1041" w:type="dxa"/>
            <w:tcBorders>
              <w:top w:val="single" w:sz="4" w:space="0" w:color="auto"/>
              <w:bottom w:val="single" w:sz="4" w:space="0" w:color="auto"/>
            </w:tcBorders>
          </w:tcPr>
          <w:p w14:paraId="120C2EF7" w14:textId="77777777" w:rsidR="00CF0E2D" w:rsidRPr="00B7386B" w:rsidRDefault="00CF0E2D" w:rsidP="00A60D4B">
            <w:pPr>
              <w:pStyle w:val="InitFigR"/>
              <w:rPr>
                <w:b/>
                <w:bCs/>
              </w:rPr>
            </w:pPr>
            <w:r w:rsidRPr="00B7386B">
              <w:rPr>
                <w:b/>
                <w:bCs/>
              </w:rPr>
              <w:t>2022-23</w:t>
            </w:r>
          </w:p>
          <w:p w14:paraId="78727153" w14:textId="77777777" w:rsidR="00CF0E2D" w:rsidRPr="00B7386B" w:rsidRDefault="00CF0E2D" w:rsidP="00A60D4B">
            <w:pPr>
              <w:pStyle w:val="InitFigR"/>
              <w:rPr>
                <w:b/>
                <w:bCs/>
              </w:rPr>
            </w:pPr>
            <w:r w:rsidRPr="00B7386B">
              <w:rPr>
                <w:b/>
                <w:bCs/>
              </w:rPr>
              <w:t>$’000</w:t>
            </w:r>
          </w:p>
        </w:tc>
        <w:tc>
          <w:tcPr>
            <w:tcW w:w="1029" w:type="dxa"/>
            <w:tcBorders>
              <w:top w:val="single" w:sz="4" w:space="0" w:color="auto"/>
              <w:bottom w:val="single" w:sz="4" w:space="0" w:color="auto"/>
            </w:tcBorders>
          </w:tcPr>
          <w:p w14:paraId="597274D0" w14:textId="77777777" w:rsidR="00CF0E2D" w:rsidRPr="00B7386B" w:rsidRDefault="00CF0E2D" w:rsidP="00A60D4B">
            <w:pPr>
              <w:pStyle w:val="InitFigR"/>
              <w:rPr>
                <w:b/>
                <w:bCs/>
              </w:rPr>
            </w:pPr>
            <w:r w:rsidRPr="00B7386B">
              <w:rPr>
                <w:b/>
                <w:bCs/>
              </w:rPr>
              <w:t>2023-24</w:t>
            </w:r>
          </w:p>
          <w:p w14:paraId="16F82C8D" w14:textId="77777777" w:rsidR="00CF0E2D" w:rsidRPr="00B7386B" w:rsidRDefault="00CF0E2D" w:rsidP="00A60D4B">
            <w:pPr>
              <w:pStyle w:val="InitFigR"/>
              <w:rPr>
                <w:b/>
                <w:bCs/>
              </w:rPr>
            </w:pPr>
            <w:r w:rsidRPr="00B7386B">
              <w:rPr>
                <w:b/>
                <w:bCs/>
              </w:rPr>
              <w:t>$’000</w:t>
            </w:r>
          </w:p>
        </w:tc>
        <w:tc>
          <w:tcPr>
            <w:tcW w:w="1029" w:type="dxa"/>
            <w:tcBorders>
              <w:top w:val="single" w:sz="4" w:space="0" w:color="auto"/>
              <w:bottom w:val="single" w:sz="4" w:space="0" w:color="auto"/>
            </w:tcBorders>
          </w:tcPr>
          <w:p w14:paraId="49D1E0A8" w14:textId="77777777" w:rsidR="00CF0E2D" w:rsidRPr="00B7386B" w:rsidRDefault="00CF0E2D" w:rsidP="00A60D4B">
            <w:pPr>
              <w:pStyle w:val="InitFigR"/>
              <w:rPr>
                <w:b/>
                <w:bCs/>
              </w:rPr>
            </w:pPr>
            <w:r w:rsidRPr="00B7386B">
              <w:rPr>
                <w:b/>
                <w:bCs/>
              </w:rPr>
              <w:t>2024-25</w:t>
            </w:r>
          </w:p>
          <w:p w14:paraId="13A47928" w14:textId="77777777" w:rsidR="00CF0E2D" w:rsidRPr="00B7386B" w:rsidRDefault="00CF0E2D" w:rsidP="00A60D4B">
            <w:pPr>
              <w:pStyle w:val="InitFigR"/>
              <w:rPr>
                <w:b/>
                <w:bCs/>
              </w:rPr>
            </w:pPr>
            <w:r w:rsidRPr="00B7386B">
              <w:rPr>
                <w:b/>
                <w:bCs/>
              </w:rPr>
              <w:t>$’000</w:t>
            </w:r>
          </w:p>
        </w:tc>
        <w:tc>
          <w:tcPr>
            <w:tcW w:w="1029" w:type="dxa"/>
            <w:tcBorders>
              <w:top w:val="single" w:sz="4" w:space="0" w:color="auto"/>
              <w:bottom w:val="single" w:sz="4" w:space="0" w:color="auto"/>
            </w:tcBorders>
          </w:tcPr>
          <w:p w14:paraId="27C8AB21" w14:textId="77777777" w:rsidR="00CF0E2D" w:rsidRPr="004E341E" w:rsidRDefault="00CF0E2D" w:rsidP="00A60D4B">
            <w:pPr>
              <w:pStyle w:val="InitFigRBold"/>
            </w:pPr>
            <w:r w:rsidRPr="004E341E">
              <w:t>Total</w:t>
            </w:r>
          </w:p>
          <w:p w14:paraId="5859E249" w14:textId="77777777" w:rsidR="00CF0E2D" w:rsidRPr="004E341E" w:rsidRDefault="00CF0E2D" w:rsidP="00A60D4B">
            <w:pPr>
              <w:pStyle w:val="InitFigBR"/>
            </w:pPr>
            <w:r w:rsidRPr="004E341E">
              <w:t>$’000</w:t>
            </w:r>
          </w:p>
        </w:tc>
      </w:tr>
      <w:tr w:rsidR="00CF0E2D" w:rsidRPr="00750793" w14:paraId="530FFEF3" w14:textId="77777777" w:rsidTr="00A60D4B">
        <w:trPr>
          <w:cantSplit/>
          <w:jc w:val="center"/>
        </w:trPr>
        <w:tc>
          <w:tcPr>
            <w:tcW w:w="3652" w:type="dxa"/>
          </w:tcPr>
          <w:p w14:paraId="539D49CA" w14:textId="77777777" w:rsidR="00CF0E2D" w:rsidRPr="00882BE2" w:rsidRDefault="00CF0E2D" w:rsidP="00A60D4B">
            <w:pPr>
              <w:pStyle w:val="InitTextL"/>
              <w:ind w:left="321" w:hanging="321"/>
            </w:pPr>
            <w:r>
              <w:t>Expenses – CSD</w:t>
            </w:r>
          </w:p>
        </w:tc>
        <w:tc>
          <w:tcPr>
            <w:tcW w:w="1179" w:type="dxa"/>
          </w:tcPr>
          <w:p w14:paraId="5424BAA0" w14:textId="77777777" w:rsidR="00CF0E2D" w:rsidRDefault="00CF0E2D" w:rsidP="00A60D4B">
            <w:pPr>
              <w:pStyle w:val="InitFigR"/>
            </w:pPr>
            <w:r>
              <w:t>119</w:t>
            </w:r>
          </w:p>
        </w:tc>
        <w:tc>
          <w:tcPr>
            <w:tcW w:w="1041" w:type="dxa"/>
          </w:tcPr>
          <w:p w14:paraId="201869B6" w14:textId="77777777" w:rsidR="00CF0E2D" w:rsidRDefault="00CF0E2D" w:rsidP="00A60D4B">
            <w:pPr>
              <w:pStyle w:val="InitFigR"/>
            </w:pPr>
            <w:r>
              <w:t>160</w:t>
            </w:r>
          </w:p>
        </w:tc>
        <w:tc>
          <w:tcPr>
            <w:tcW w:w="1029" w:type="dxa"/>
          </w:tcPr>
          <w:p w14:paraId="639C3FEF" w14:textId="77777777" w:rsidR="00CF0E2D" w:rsidRDefault="00CF0E2D" w:rsidP="00A60D4B">
            <w:pPr>
              <w:pStyle w:val="InitFigR"/>
            </w:pPr>
            <w:r>
              <w:t>0</w:t>
            </w:r>
          </w:p>
        </w:tc>
        <w:tc>
          <w:tcPr>
            <w:tcW w:w="1029" w:type="dxa"/>
          </w:tcPr>
          <w:p w14:paraId="7C4DA556" w14:textId="77777777" w:rsidR="00CF0E2D" w:rsidRDefault="00CF0E2D" w:rsidP="00A60D4B">
            <w:pPr>
              <w:pStyle w:val="InitFigR"/>
            </w:pPr>
            <w:r>
              <w:t>0</w:t>
            </w:r>
          </w:p>
        </w:tc>
        <w:tc>
          <w:tcPr>
            <w:tcW w:w="1029" w:type="dxa"/>
          </w:tcPr>
          <w:p w14:paraId="49CCDB90" w14:textId="77777777" w:rsidR="00CF0E2D" w:rsidRDefault="00CF0E2D" w:rsidP="00A60D4B">
            <w:pPr>
              <w:pStyle w:val="InitFigBR"/>
            </w:pPr>
            <w:r>
              <w:t>279</w:t>
            </w:r>
          </w:p>
        </w:tc>
      </w:tr>
      <w:tr w:rsidR="00CF0E2D" w:rsidRPr="00750793" w14:paraId="755730C2" w14:textId="77777777" w:rsidTr="00A60D4B">
        <w:trPr>
          <w:cantSplit/>
          <w:jc w:val="center"/>
        </w:trPr>
        <w:tc>
          <w:tcPr>
            <w:tcW w:w="3652" w:type="dxa"/>
          </w:tcPr>
          <w:p w14:paraId="27B48FBD" w14:textId="77777777" w:rsidR="00CF0E2D" w:rsidRPr="00F13FAB" w:rsidRDefault="00CF0E2D" w:rsidP="00A60D4B">
            <w:pPr>
              <w:pStyle w:val="InitTextL"/>
              <w:ind w:left="321" w:hanging="321"/>
            </w:pPr>
            <w:r w:rsidRPr="00882BE2">
              <w:t>Expenses</w:t>
            </w:r>
            <w:r>
              <w:t xml:space="preserve"> – JACS</w:t>
            </w:r>
          </w:p>
        </w:tc>
        <w:tc>
          <w:tcPr>
            <w:tcW w:w="1179" w:type="dxa"/>
          </w:tcPr>
          <w:p w14:paraId="54FB08DF" w14:textId="77777777" w:rsidR="00CF0E2D" w:rsidRPr="00424DA4" w:rsidRDefault="00CF0E2D" w:rsidP="00A60D4B">
            <w:pPr>
              <w:pStyle w:val="InitFigR"/>
            </w:pPr>
            <w:r>
              <w:t>340</w:t>
            </w:r>
          </w:p>
        </w:tc>
        <w:tc>
          <w:tcPr>
            <w:tcW w:w="1041" w:type="dxa"/>
          </w:tcPr>
          <w:p w14:paraId="3D902A3B" w14:textId="77777777" w:rsidR="00CF0E2D" w:rsidRPr="00424DA4" w:rsidRDefault="00CF0E2D" w:rsidP="00A60D4B">
            <w:pPr>
              <w:pStyle w:val="InitFigR"/>
            </w:pPr>
            <w:r>
              <w:t>176</w:t>
            </w:r>
          </w:p>
        </w:tc>
        <w:tc>
          <w:tcPr>
            <w:tcW w:w="1029" w:type="dxa"/>
          </w:tcPr>
          <w:p w14:paraId="5EB0DD64" w14:textId="77777777" w:rsidR="00CF0E2D" w:rsidRPr="00424DA4" w:rsidRDefault="00CF0E2D" w:rsidP="00A60D4B">
            <w:pPr>
              <w:pStyle w:val="InitFigR"/>
            </w:pPr>
            <w:r>
              <w:t>0</w:t>
            </w:r>
          </w:p>
        </w:tc>
        <w:tc>
          <w:tcPr>
            <w:tcW w:w="1029" w:type="dxa"/>
          </w:tcPr>
          <w:p w14:paraId="422A3BDD" w14:textId="77777777" w:rsidR="00CF0E2D" w:rsidRPr="00424DA4" w:rsidRDefault="00CF0E2D" w:rsidP="00A60D4B">
            <w:pPr>
              <w:pStyle w:val="InitFigR"/>
            </w:pPr>
            <w:r>
              <w:t>0</w:t>
            </w:r>
          </w:p>
        </w:tc>
        <w:tc>
          <w:tcPr>
            <w:tcW w:w="1029" w:type="dxa"/>
          </w:tcPr>
          <w:p w14:paraId="694774C2" w14:textId="77777777" w:rsidR="00CF0E2D" w:rsidRPr="00424DA4" w:rsidRDefault="00CF0E2D" w:rsidP="00A60D4B">
            <w:pPr>
              <w:pStyle w:val="InitFigBR"/>
            </w:pPr>
            <w:r>
              <w:t>516</w:t>
            </w:r>
          </w:p>
        </w:tc>
      </w:tr>
      <w:tr w:rsidR="00CF0E2D" w:rsidRPr="00750793" w14:paraId="25CDAB8E" w14:textId="77777777" w:rsidTr="00A60D4B">
        <w:trPr>
          <w:cantSplit/>
          <w:trHeight w:val="107"/>
          <w:jc w:val="center"/>
        </w:trPr>
        <w:tc>
          <w:tcPr>
            <w:tcW w:w="3652" w:type="dxa"/>
            <w:tcBorders>
              <w:top w:val="single" w:sz="4" w:space="0" w:color="auto"/>
              <w:bottom w:val="single" w:sz="4" w:space="0" w:color="auto"/>
            </w:tcBorders>
          </w:tcPr>
          <w:p w14:paraId="2CF66D1A"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04C44435" w14:textId="77777777" w:rsidR="00CF0E2D" w:rsidRPr="00424DA4" w:rsidRDefault="00CF0E2D" w:rsidP="00A60D4B">
            <w:pPr>
              <w:pStyle w:val="InitFigRBold"/>
            </w:pPr>
            <w:r>
              <w:t>459</w:t>
            </w:r>
          </w:p>
        </w:tc>
        <w:tc>
          <w:tcPr>
            <w:tcW w:w="1041" w:type="dxa"/>
            <w:tcBorders>
              <w:top w:val="single" w:sz="4" w:space="0" w:color="auto"/>
              <w:bottom w:val="single" w:sz="4" w:space="0" w:color="auto"/>
            </w:tcBorders>
          </w:tcPr>
          <w:p w14:paraId="78795CD9" w14:textId="77777777" w:rsidR="00CF0E2D" w:rsidRPr="00424DA4" w:rsidRDefault="00CF0E2D" w:rsidP="00A60D4B">
            <w:pPr>
              <w:pStyle w:val="InitFigRBold"/>
            </w:pPr>
            <w:r>
              <w:t>336</w:t>
            </w:r>
          </w:p>
        </w:tc>
        <w:tc>
          <w:tcPr>
            <w:tcW w:w="1029" w:type="dxa"/>
            <w:tcBorders>
              <w:top w:val="single" w:sz="4" w:space="0" w:color="auto"/>
              <w:bottom w:val="single" w:sz="4" w:space="0" w:color="auto"/>
            </w:tcBorders>
          </w:tcPr>
          <w:p w14:paraId="62EBE87E"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0F4306C3"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19672A47" w14:textId="77777777" w:rsidR="00CF0E2D" w:rsidRPr="00424DA4" w:rsidRDefault="00CF0E2D" w:rsidP="00A60D4B">
            <w:pPr>
              <w:pStyle w:val="InitFigRBold"/>
            </w:pPr>
            <w:r>
              <w:t>795</w:t>
            </w:r>
          </w:p>
        </w:tc>
      </w:tr>
    </w:tbl>
    <w:p w14:paraId="5E3B1E2E" w14:textId="77777777" w:rsidR="00CF0E2D" w:rsidRDefault="00CF0E2D" w:rsidP="00A60D4B">
      <w:pPr>
        <w:pStyle w:val="Bbodytext"/>
      </w:pPr>
      <w:r w:rsidRPr="004C581D">
        <w:t>The Government wi</w:t>
      </w:r>
      <w:r>
        <w:t xml:space="preserve">ll </w:t>
      </w:r>
      <w:r w:rsidRPr="00C84F65">
        <w:t>support the development of</w:t>
      </w:r>
      <w:r>
        <w:t xml:space="preserve"> </w:t>
      </w:r>
      <w:r w:rsidRPr="00C84F65">
        <w:t xml:space="preserve">reforms </w:t>
      </w:r>
      <w:r>
        <w:t>required to</w:t>
      </w:r>
      <w:r w:rsidRPr="00C84F65">
        <w:t xml:space="preserve"> rais</w:t>
      </w:r>
      <w:r>
        <w:t>e</w:t>
      </w:r>
      <w:r w:rsidRPr="00C84F65">
        <w:t xml:space="preserve"> the minimum age of criminal responsibility</w:t>
      </w:r>
      <w:r>
        <w:t>.</w:t>
      </w:r>
      <w:r w:rsidRPr="00C84F65">
        <w:t xml:space="preserve"> </w:t>
      </w:r>
      <w:r>
        <w:t xml:space="preserve"> </w:t>
      </w:r>
    </w:p>
    <w:p w14:paraId="1D01C260" w14:textId="77777777" w:rsidR="00CF0E2D" w:rsidRDefault="00CF0E2D" w:rsidP="00A60D4B">
      <w:pPr>
        <w:pStyle w:val="Bbodytext"/>
      </w:pPr>
      <w:r>
        <w:lastRenderedPageBreak/>
        <w:t xml:space="preserve">This initiative contributes to the wellbeing domains of Safety and </w:t>
      </w:r>
      <w:r w:rsidRPr="00424901">
        <w:t xml:space="preserve">Governance and </w:t>
      </w:r>
      <w:r>
        <w:t>i</w:t>
      </w:r>
      <w:r w:rsidRPr="00424901">
        <w:t>nstitutions</w:t>
      </w:r>
      <w:r>
        <w:t>.</w:t>
      </w:r>
    </w:p>
    <w:p w14:paraId="678A936C" w14:textId="77777777" w:rsidR="00CF0E2D" w:rsidRDefault="00CF0E2D" w:rsidP="00A60D4B">
      <w:pPr>
        <w:pStyle w:val="Bbodytext"/>
      </w:pPr>
    </w:p>
    <w:p w14:paraId="4A467911" w14:textId="77777777" w:rsidR="00CF0E2D" w:rsidRDefault="00CF0E2D" w:rsidP="00A60D4B">
      <w:pPr>
        <w:pStyle w:val="Heading4"/>
        <w:rPr>
          <w:rFonts w:eastAsia="Times New Roman"/>
        </w:rPr>
      </w:pPr>
      <w:r>
        <w:rPr>
          <w:rFonts w:eastAsia="Times New Roman"/>
        </w:rPr>
        <w:t>Improving infrastructure and wellbeing at the Alexander Maconochie Centre</w:t>
      </w:r>
      <w:r>
        <w:rPr>
          <w:b w:val="0"/>
          <w:noProof/>
          <w:color w:val="999789"/>
          <w:sz w:val="32"/>
          <w:szCs w:val="24"/>
        </w:rPr>
        <w:drawing>
          <wp:anchor distT="0" distB="0" distL="114300" distR="114300" simplePos="0" relativeHeight="251897856" behindDoc="0" locked="1" layoutInCell="1" allowOverlap="1" wp14:anchorId="23330F21" wp14:editId="78D8383B">
            <wp:simplePos x="0" y="0"/>
            <wp:positionH relativeFrom="margin">
              <wp:posOffset>4733290</wp:posOffset>
            </wp:positionH>
            <wp:positionV relativeFrom="paragraph">
              <wp:posOffset>86995</wp:posOffset>
            </wp:positionV>
            <wp:extent cx="989965" cy="503555"/>
            <wp:effectExtent l="0" t="0" r="635" b="0"/>
            <wp:wrapSquare wrapText="bothSides"/>
            <wp:docPr id="195" name="Picture 195"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5" w:type="dxa"/>
        <w:jc w:val="center"/>
        <w:tblLayout w:type="fixed"/>
        <w:tblLook w:val="04A0" w:firstRow="1" w:lastRow="0" w:firstColumn="1" w:lastColumn="0" w:noHBand="0" w:noVBand="1"/>
      </w:tblPr>
      <w:tblGrid>
        <w:gridCol w:w="3649"/>
        <w:gridCol w:w="1178"/>
        <w:gridCol w:w="1041"/>
        <w:gridCol w:w="1029"/>
        <w:gridCol w:w="1029"/>
        <w:gridCol w:w="1029"/>
      </w:tblGrid>
      <w:tr w:rsidR="00CF0E2D" w14:paraId="504E6E8E" w14:textId="77777777" w:rsidTr="00A60D4B">
        <w:trPr>
          <w:cantSplit/>
          <w:jc w:val="center"/>
        </w:trPr>
        <w:tc>
          <w:tcPr>
            <w:tcW w:w="3649" w:type="dxa"/>
            <w:tcBorders>
              <w:top w:val="single" w:sz="4" w:space="0" w:color="auto"/>
              <w:left w:val="nil"/>
              <w:bottom w:val="single" w:sz="4" w:space="0" w:color="auto"/>
              <w:right w:val="nil"/>
            </w:tcBorders>
            <w:hideMark/>
          </w:tcPr>
          <w:p w14:paraId="0C9F4B0F" w14:textId="77777777" w:rsidR="00CF0E2D" w:rsidRDefault="00CF0E2D">
            <w:pPr>
              <w:pStyle w:val="EmptyCell0"/>
              <w:keepNext/>
              <w:keepLines/>
              <w:spacing w:line="256" w:lineRule="auto"/>
            </w:pPr>
            <w:r>
              <w:t>Empty Cell</w:t>
            </w:r>
          </w:p>
        </w:tc>
        <w:tc>
          <w:tcPr>
            <w:tcW w:w="1178" w:type="dxa"/>
            <w:tcBorders>
              <w:top w:val="single" w:sz="4" w:space="0" w:color="auto"/>
              <w:left w:val="nil"/>
              <w:bottom w:val="single" w:sz="4" w:space="0" w:color="auto"/>
              <w:right w:val="nil"/>
            </w:tcBorders>
            <w:hideMark/>
          </w:tcPr>
          <w:p w14:paraId="560F35AC" w14:textId="77777777" w:rsidR="00CF0E2D" w:rsidRPr="00E82DB8" w:rsidRDefault="00CF0E2D">
            <w:pPr>
              <w:pStyle w:val="InitFigR"/>
              <w:keepNext/>
              <w:keepLines/>
              <w:spacing w:line="256" w:lineRule="auto"/>
              <w:rPr>
                <w:b/>
                <w:bCs/>
              </w:rPr>
            </w:pPr>
            <w:r w:rsidRPr="00E82DB8">
              <w:rPr>
                <w:b/>
                <w:bCs/>
              </w:rPr>
              <w:t>2021-22</w:t>
            </w:r>
          </w:p>
          <w:p w14:paraId="208ADC4E" w14:textId="77777777" w:rsidR="00CF0E2D" w:rsidRPr="00E82DB8" w:rsidRDefault="00CF0E2D">
            <w:pPr>
              <w:pStyle w:val="InitFigR"/>
              <w:keepNext/>
              <w:keepLines/>
              <w:spacing w:line="256" w:lineRule="auto"/>
              <w:rPr>
                <w:b/>
                <w:bCs/>
              </w:rPr>
            </w:pPr>
            <w:r w:rsidRPr="00E82DB8">
              <w:rPr>
                <w:b/>
                <w:bCs/>
              </w:rPr>
              <w:t>$’000</w:t>
            </w:r>
          </w:p>
        </w:tc>
        <w:tc>
          <w:tcPr>
            <w:tcW w:w="1041" w:type="dxa"/>
            <w:tcBorders>
              <w:top w:val="single" w:sz="4" w:space="0" w:color="auto"/>
              <w:left w:val="nil"/>
              <w:bottom w:val="single" w:sz="4" w:space="0" w:color="auto"/>
              <w:right w:val="nil"/>
            </w:tcBorders>
            <w:hideMark/>
          </w:tcPr>
          <w:p w14:paraId="0A32677E" w14:textId="77777777" w:rsidR="00CF0E2D" w:rsidRPr="00E82DB8" w:rsidRDefault="00CF0E2D">
            <w:pPr>
              <w:pStyle w:val="InitFigR"/>
              <w:keepNext/>
              <w:keepLines/>
              <w:spacing w:line="256" w:lineRule="auto"/>
              <w:rPr>
                <w:b/>
                <w:bCs/>
              </w:rPr>
            </w:pPr>
            <w:r w:rsidRPr="00E82DB8">
              <w:rPr>
                <w:b/>
                <w:bCs/>
              </w:rPr>
              <w:t>2022-23</w:t>
            </w:r>
          </w:p>
          <w:p w14:paraId="4AB9075E" w14:textId="77777777" w:rsidR="00CF0E2D" w:rsidRPr="00E82DB8" w:rsidRDefault="00CF0E2D">
            <w:pPr>
              <w:pStyle w:val="InitFigR"/>
              <w:keepNext/>
              <w:keepLines/>
              <w:spacing w:line="256" w:lineRule="auto"/>
              <w:rPr>
                <w:b/>
                <w:bCs/>
              </w:rPr>
            </w:pPr>
            <w:r w:rsidRPr="00E82DB8">
              <w:rPr>
                <w:b/>
                <w:bCs/>
              </w:rPr>
              <w:t>$’000</w:t>
            </w:r>
          </w:p>
        </w:tc>
        <w:tc>
          <w:tcPr>
            <w:tcW w:w="1029" w:type="dxa"/>
            <w:tcBorders>
              <w:top w:val="single" w:sz="4" w:space="0" w:color="auto"/>
              <w:left w:val="nil"/>
              <w:bottom w:val="single" w:sz="4" w:space="0" w:color="auto"/>
              <w:right w:val="nil"/>
            </w:tcBorders>
            <w:hideMark/>
          </w:tcPr>
          <w:p w14:paraId="375C7CA3" w14:textId="77777777" w:rsidR="00CF0E2D" w:rsidRPr="00E82DB8" w:rsidRDefault="00CF0E2D">
            <w:pPr>
              <w:pStyle w:val="InitFigR"/>
              <w:keepNext/>
              <w:keepLines/>
              <w:spacing w:line="256" w:lineRule="auto"/>
              <w:rPr>
                <w:b/>
                <w:bCs/>
              </w:rPr>
            </w:pPr>
            <w:r w:rsidRPr="00E82DB8">
              <w:rPr>
                <w:b/>
                <w:bCs/>
              </w:rPr>
              <w:t>2023-24</w:t>
            </w:r>
          </w:p>
          <w:p w14:paraId="72264ABC" w14:textId="77777777" w:rsidR="00CF0E2D" w:rsidRPr="00E82DB8" w:rsidRDefault="00CF0E2D">
            <w:pPr>
              <w:pStyle w:val="InitFigR"/>
              <w:keepNext/>
              <w:keepLines/>
              <w:spacing w:line="256" w:lineRule="auto"/>
              <w:rPr>
                <w:b/>
                <w:bCs/>
              </w:rPr>
            </w:pPr>
            <w:r w:rsidRPr="00E82DB8">
              <w:rPr>
                <w:b/>
                <w:bCs/>
              </w:rPr>
              <w:t>$’000</w:t>
            </w:r>
          </w:p>
        </w:tc>
        <w:tc>
          <w:tcPr>
            <w:tcW w:w="1029" w:type="dxa"/>
            <w:tcBorders>
              <w:top w:val="single" w:sz="4" w:space="0" w:color="auto"/>
              <w:left w:val="nil"/>
              <w:bottom w:val="single" w:sz="4" w:space="0" w:color="auto"/>
              <w:right w:val="nil"/>
            </w:tcBorders>
            <w:hideMark/>
          </w:tcPr>
          <w:p w14:paraId="420E001D" w14:textId="77777777" w:rsidR="00CF0E2D" w:rsidRPr="00E82DB8" w:rsidRDefault="00CF0E2D">
            <w:pPr>
              <w:pStyle w:val="InitFigR"/>
              <w:keepNext/>
              <w:keepLines/>
              <w:spacing w:line="256" w:lineRule="auto"/>
              <w:rPr>
                <w:b/>
                <w:bCs/>
              </w:rPr>
            </w:pPr>
            <w:r w:rsidRPr="00E82DB8">
              <w:rPr>
                <w:b/>
                <w:bCs/>
              </w:rPr>
              <w:t>2024-25</w:t>
            </w:r>
          </w:p>
          <w:p w14:paraId="2E272F14" w14:textId="77777777" w:rsidR="00CF0E2D" w:rsidRPr="00E82DB8" w:rsidRDefault="00CF0E2D">
            <w:pPr>
              <w:pStyle w:val="InitFigR"/>
              <w:keepNext/>
              <w:keepLines/>
              <w:spacing w:line="256" w:lineRule="auto"/>
              <w:rPr>
                <w:b/>
                <w:bCs/>
              </w:rPr>
            </w:pPr>
            <w:r w:rsidRPr="00E82DB8">
              <w:rPr>
                <w:b/>
                <w:bCs/>
              </w:rPr>
              <w:t>$’000</w:t>
            </w:r>
          </w:p>
        </w:tc>
        <w:tc>
          <w:tcPr>
            <w:tcW w:w="1029" w:type="dxa"/>
            <w:tcBorders>
              <w:top w:val="single" w:sz="4" w:space="0" w:color="auto"/>
              <w:left w:val="nil"/>
              <w:bottom w:val="single" w:sz="4" w:space="0" w:color="auto"/>
              <w:right w:val="nil"/>
            </w:tcBorders>
            <w:hideMark/>
          </w:tcPr>
          <w:p w14:paraId="3045E43D" w14:textId="77777777" w:rsidR="00CF0E2D" w:rsidRDefault="00CF0E2D">
            <w:pPr>
              <w:pStyle w:val="InitFigRBold"/>
              <w:keepNext/>
              <w:keepLines/>
              <w:spacing w:line="256" w:lineRule="auto"/>
            </w:pPr>
            <w:r>
              <w:t>Total</w:t>
            </w:r>
          </w:p>
          <w:p w14:paraId="0451C710" w14:textId="77777777" w:rsidR="00CF0E2D" w:rsidRDefault="00CF0E2D">
            <w:pPr>
              <w:pStyle w:val="InitFigBR"/>
              <w:keepNext/>
              <w:keepLines/>
              <w:spacing w:line="256" w:lineRule="auto"/>
            </w:pPr>
            <w:r>
              <w:t>$’000</w:t>
            </w:r>
          </w:p>
        </w:tc>
      </w:tr>
      <w:tr w:rsidR="00CF0E2D" w14:paraId="58F676AE" w14:textId="77777777" w:rsidTr="00A60D4B">
        <w:trPr>
          <w:cantSplit/>
          <w:jc w:val="center"/>
        </w:trPr>
        <w:tc>
          <w:tcPr>
            <w:tcW w:w="3649" w:type="dxa"/>
            <w:tcBorders>
              <w:top w:val="single" w:sz="4" w:space="0" w:color="auto"/>
              <w:left w:val="nil"/>
              <w:bottom w:val="nil"/>
              <w:right w:val="nil"/>
            </w:tcBorders>
            <w:hideMark/>
          </w:tcPr>
          <w:p w14:paraId="6BF40AD6" w14:textId="77777777" w:rsidR="00CF0E2D" w:rsidRPr="00F35FB7" w:rsidRDefault="00CF0E2D">
            <w:pPr>
              <w:pStyle w:val="InitTextL"/>
              <w:keepNext/>
              <w:keepLines/>
              <w:spacing w:line="256" w:lineRule="auto"/>
              <w:ind w:left="321" w:hanging="321"/>
            </w:pPr>
            <w:r w:rsidRPr="00F35FB7">
              <w:t>Capital</w:t>
            </w:r>
          </w:p>
        </w:tc>
        <w:tc>
          <w:tcPr>
            <w:tcW w:w="1178" w:type="dxa"/>
            <w:tcBorders>
              <w:top w:val="single" w:sz="4" w:space="0" w:color="auto"/>
              <w:left w:val="nil"/>
              <w:bottom w:val="nil"/>
              <w:right w:val="nil"/>
            </w:tcBorders>
            <w:hideMark/>
          </w:tcPr>
          <w:p w14:paraId="0C509800" w14:textId="77777777" w:rsidR="00CF0E2D" w:rsidRPr="00F35FB7" w:rsidRDefault="00CF0E2D">
            <w:pPr>
              <w:pStyle w:val="InitFigR"/>
              <w:keepNext/>
              <w:keepLines/>
              <w:spacing w:line="256" w:lineRule="auto"/>
            </w:pPr>
            <w:r w:rsidRPr="00F35FB7">
              <w:rPr>
                <w:rFonts w:cs="Calibri"/>
                <w:lang w:eastAsia="en-AU"/>
              </w:rPr>
              <w:t>1,</w:t>
            </w:r>
            <w:r>
              <w:rPr>
                <w:rFonts w:cs="Calibri"/>
                <w:lang w:eastAsia="en-AU"/>
              </w:rPr>
              <w:t>265</w:t>
            </w:r>
          </w:p>
        </w:tc>
        <w:tc>
          <w:tcPr>
            <w:tcW w:w="1041" w:type="dxa"/>
            <w:tcBorders>
              <w:top w:val="single" w:sz="4" w:space="0" w:color="auto"/>
              <w:left w:val="nil"/>
              <w:bottom w:val="nil"/>
              <w:right w:val="nil"/>
            </w:tcBorders>
            <w:hideMark/>
          </w:tcPr>
          <w:p w14:paraId="0AE3ECFA" w14:textId="77777777" w:rsidR="00CF0E2D" w:rsidRPr="00F35FB7" w:rsidRDefault="00CF0E2D">
            <w:pPr>
              <w:pStyle w:val="InitFigR"/>
              <w:keepNext/>
              <w:keepLines/>
              <w:spacing w:line="256" w:lineRule="auto"/>
            </w:pPr>
            <w:r>
              <w:rPr>
                <w:rFonts w:cs="Calibri"/>
                <w:lang w:eastAsia="en-AU"/>
              </w:rPr>
              <w:t>4,029</w:t>
            </w:r>
          </w:p>
        </w:tc>
        <w:tc>
          <w:tcPr>
            <w:tcW w:w="1029" w:type="dxa"/>
            <w:tcBorders>
              <w:top w:val="single" w:sz="4" w:space="0" w:color="auto"/>
              <w:left w:val="nil"/>
              <w:bottom w:val="nil"/>
              <w:right w:val="nil"/>
            </w:tcBorders>
            <w:hideMark/>
          </w:tcPr>
          <w:p w14:paraId="6506F667" w14:textId="77777777" w:rsidR="00CF0E2D" w:rsidRPr="00F35FB7" w:rsidRDefault="00CF0E2D">
            <w:pPr>
              <w:pStyle w:val="InitFigR"/>
              <w:keepNext/>
              <w:keepLines/>
              <w:spacing w:line="256" w:lineRule="auto"/>
            </w:pPr>
            <w:r w:rsidRPr="00F35FB7">
              <w:rPr>
                <w:rFonts w:cs="Calibri"/>
                <w:lang w:eastAsia="en-AU"/>
              </w:rPr>
              <w:t>0</w:t>
            </w:r>
          </w:p>
        </w:tc>
        <w:tc>
          <w:tcPr>
            <w:tcW w:w="1029" w:type="dxa"/>
            <w:tcBorders>
              <w:top w:val="single" w:sz="4" w:space="0" w:color="auto"/>
              <w:left w:val="nil"/>
              <w:bottom w:val="nil"/>
              <w:right w:val="nil"/>
            </w:tcBorders>
            <w:hideMark/>
          </w:tcPr>
          <w:p w14:paraId="5727C77A" w14:textId="77777777" w:rsidR="00CF0E2D" w:rsidRPr="00F35FB7" w:rsidRDefault="00CF0E2D">
            <w:pPr>
              <w:pStyle w:val="InitFigR"/>
              <w:keepNext/>
              <w:keepLines/>
              <w:spacing w:line="256" w:lineRule="auto"/>
            </w:pPr>
            <w:r w:rsidRPr="00F35FB7">
              <w:rPr>
                <w:rFonts w:cs="Calibri"/>
                <w:lang w:eastAsia="en-AU"/>
              </w:rPr>
              <w:t>0</w:t>
            </w:r>
          </w:p>
        </w:tc>
        <w:tc>
          <w:tcPr>
            <w:tcW w:w="1029" w:type="dxa"/>
            <w:tcBorders>
              <w:top w:val="single" w:sz="4" w:space="0" w:color="auto"/>
              <w:left w:val="nil"/>
              <w:bottom w:val="nil"/>
              <w:right w:val="nil"/>
            </w:tcBorders>
            <w:hideMark/>
          </w:tcPr>
          <w:p w14:paraId="2C1C690A" w14:textId="77777777" w:rsidR="00CF0E2D" w:rsidRDefault="00CF0E2D">
            <w:pPr>
              <w:pStyle w:val="InitFigRBold"/>
              <w:keepNext/>
              <w:keepLines/>
              <w:spacing w:line="256" w:lineRule="auto"/>
              <w:rPr>
                <w:b w:val="0"/>
              </w:rPr>
            </w:pPr>
            <w:r>
              <w:rPr>
                <w:rFonts w:cs="Calibri"/>
                <w:bCs/>
                <w:lang w:eastAsia="en-AU"/>
              </w:rPr>
              <w:t>5,294</w:t>
            </w:r>
          </w:p>
        </w:tc>
      </w:tr>
      <w:tr w:rsidR="00CF0E2D" w14:paraId="4AD5D294" w14:textId="77777777" w:rsidTr="00A60D4B">
        <w:trPr>
          <w:cantSplit/>
          <w:jc w:val="center"/>
        </w:trPr>
        <w:tc>
          <w:tcPr>
            <w:tcW w:w="3649" w:type="dxa"/>
            <w:tcBorders>
              <w:top w:val="single" w:sz="4" w:space="0" w:color="auto"/>
              <w:left w:val="nil"/>
              <w:bottom w:val="nil"/>
              <w:right w:val="nil"/>
            </w:tcBorders>
            <w:hideMark/>
          </w:tcPr>
          <w:p w14:paraId="0233C715" w14:textId="77777777" w:rsidR="00CF0E2D" w:rsidRPr="00F35FB7" w:rsidRDefault="00CF0E2D">
            <w:pPr>
              <w:pStyle w:val="InitTextL"/>
              <w:keepNext/>
              <w:keepLines/>
              <w:spacing w:line="256" w:lineRule="auto"/>
              <w:ind w:left="321" w:hanging="321"/>
            </w:pPr>
            <w:r w:rsidRPr="00F35FB7">
              <w:t>Depreciation</w:t>
            </w:r>
          </w:p>
        </w:tc>
        <w:tc>
          <w:tcPr>
            <w:tcW w:w="1178" w:type="dxa"/>
            <w:tcBorders>
              <w:top w:val="single" w:sz="4" w:space="0" w:color="auto"/>
              <w:left w:val="nil"/>
              <w:bottom w:val="nil"/>
              <w:right w:val="nil"/>
            </w:tcBorders>
            <w:hideMark/>
          </w:tcPr>
          <w:p w14:paraId="17692A40" w14:textId="77777777" w:rsidR="00CF0E2D" w:rsidRPr="00F35FB7" w:rsidRDefault="00CF0E2D">
            <w:pPr>
              <w:pStyle w:val="InitFigR"/>
              <w:keepNext/>
              <w:keepLines/>
              <w:spacing w:line="256" w:lineRule="auto"/>
            </w:pPr>
            <w:r w:rsidRPr="00F35FB7">
              <w:rPr>
                <w:rFonts w:cs="Calibri"/>
                <w:lang w:eastAsia="en-AU"/>
              </w:rPr>
              <w:t>0</w:t>
            </w:r>
          </w:p>
        </w:tc>
        <w:tc>
          <w:tcPr>
            <w:tcW w:w="1041" w:type="dxa"/>
            <w:tcBorders>
              <w:top w:val="single" w:sz="4" w:space="0" w:color="auto"/>
              <w:left w:val="nil"/>
              <w:bottom w:val="nil"/>
              <w:right w:val="nil"/>
            </w:tcBorders>
            <w:hideMark/>
          </w:tcPr>
          <w:p w14:paraId="3886A6E1" w14:textId="77777777" w:rsidR="00CF0E2D" w:rsidRPr="00F35FB7" w:rsidRDefault="00CF0E2D">
            <w:pPr>
              <w:pStyle w:val="InitFigR"/>
              <w:keepNext/>
              <w:keepLines/>
              <w:spacing w:line="256" w:lineRule="auto"/>
            </w:pPr>
            <w:r w:rsidRPr="00F35FB7">
              <w:rPr>
                <w:rFonts w:cs="Calibri"/>
                <w:lang w:eastAsia="en-AU"/>
              </w:rPr>
              <w:t>1</w:t>
            </w:r>
            <w:r>
              <w:rPr>
                <w:rFonts w:cs="Calibri"/>
                <w:lang w:eastAsia="en-AU"/>
              </w:rPr>
              <w:t>65</w:t>
            </w:r>
          </w:p>
        </w:tc>
        <w:tc>
          <w:tcPr>
            <w:tcW w:w="1029" w:type="dxa"/>
            <w:tcBorders>
              <w:top w:val="single" w:sz="4" w:space="0" w:color="auto"/>
              <w:left w:val="nil"/>
              <w:bottom w:val="nil"/>
              <w:right w:val="nil"/>
            </w:tcBorders>
            <w:hideMark/>
          </w:tcPr>
          <w:p w14:paraId="20BCD71D" w14:textId="77777777" w:rsidR="00CF0E2D" w:rsidRPr="00F35FB7" w:rsidRDefault="00CF0E2D">
            <w:pPr>
              <w:pStyle w:val="InitFigR"/>
              <w:keepNext/>
              <w:keepLines/>
              <w:spacing w:line="256" w:lineRule="auto"/>
            </w:pPr>
            <w:r w:rsidRPr="00F35FB7">
              <w:rPr>
                <w:rFonts w:cs="Calibri"/>
                <w:lang w:eastAsia="en-AU"/>
              </w:rPr>
              <w:t>1</w:t>
            </w:r>
            <w:r>
              <w:rPr>
                <w:rFonts w:cs="Calibri"/>
                <w:lang w:eastAsia="en-AU"/>
              </w:rPr>
              <w:t>65</w:t>
            </w:r>
          </w:p>
        </w:tc>
        <w:tc>
          <w:tcPr>
            <w:tcW w:w="1029" w:type="dxa"/>
            <w:tcBorders>
              <w:top w:val="single" w:sz="4" w:space="0" w:color="auto"/>
              <w:left w:val="nil"/>
              <w:bottom w:val="nil"/>
              <w:right w:val="nil"/>
            </w:tcBorders>
            <w:hideMark/>
          </w:tcPr>
          <w:p w14:paraId="0795310E" w14:textId="77777777" w:rsidR="00CF0E2D" w:rsidRDefault="00CF0E2D">
            <w:pPr>
              <w:pStyle w:val="InitFigR"/>
              <w:keepNext/>
              <w:keepLines/>
              <w:spacing w:line="256" w:lineRule="auto"/>
            </w:pPr>
            <w:r w:rsidRPr="00F35FB7">
              <w:rPr>
                <w:rFonts w:cs="Calibri"/>
                <w:lang w:eastAsia="en-AU"/>
              </w:rPr>
              <w:t>1</w:t>
            </w:r>
            <w:r>
              <w:rPr>
                <w:rFonts w:cs="Calibri"/>
                <w:lang w:eastAsia="en-AU"/>
              </w:rPr>
              <w:t>65</w:t>
            </w:r>
          </w:p>
        </w:tc>
        <w:tc>
          <w:tcPr>
            <w:tcW w:w="1029" w:type="dxa"/>
            <w:tcBorders>
              <w:top w:val="single" w:sz="4" w:space="0" w:color="auto"/>
              <w:left w:val="nil"/>
              <w:bottom w:val="nil"/>
              <w:right w:val="nil"/>
            </w:tcBorders>
            <w:hideMark/>
          </w:tcPr>
          <w:p w14:paraId="01879E70" w14:textId="77777777" w:rsidR="00CF0E2D" w:rsidRDefault="00CF0E2D">
            <w:pPr>
              <w:pStyle w:val="InitFigRBold"/>
              <w:keepNext/>
              <w:keepLines/>
              <w:spacing w:line="256" w:lineRule="auto"/>
              <w:rPr>
                <w:b w:val="0"/>
              </w:rPr>
            </w:pPr>
            <w:r>
              <w:rPr>
                <w:rFonts w:cs="Calibri"/>
                <w:bCs/>
                <w:lang w:eastAsia="en-AU"/>
              </w:rPr>
              <w:t>495</w:t>
            </w:r>
          </w:p>
        </w:tc>
      </w:tr>
      <w:tr w:rsidR="00CF0E2D" w14:paraId="18F47DBD" w14:textId="77777777" w:rsidTr="00A60D4B">
        <w:trPr>
          <w:cantSplit/>
          <w:jc w:val="center"/>
        </w:trPr>
        <w:tc>
          <w:tcPr>
            <w:tcW w:w="3649" w:type="dxa"/>
            <w:hideMark/>
          </w:tcPr>
          <w:p w14:paraId="07FC51D6" w14:textId="77777777" w:rsidR="00CF0E2D" w:rsidRDefault="00CF0E2D">
            <w:pPr>
              <w:pStyle w:val="InitTextL"/>
              <w:keepNext/>
              <w:keepLines/>
              <w:spacing w:line="256" w:lineRule="auto"/>
              <w:ind w:left="321" w:hanging="321"/>
            </w:pPr>
            <w:r>
              <w:t>Expenses</w:t>
            </w:r>
          </w:p>
        </w:tc>
        <w:tc>
          <w:tcPr>
            <w:tcW w:w="1178" w:type="dxa"/>
            <w:hideMark/>
          </w:tcPr>
          <w:p w14:paraId="75DC240E" w14:textId="77777777" w:rsidR="00CF0E2D" w:rsidRDefault="00CF0E2D">
            <w:pPr>
              <w:pStyle w:val="InitFigR"/>
              <w:keepNext/>
              <w:keepLines/>
              <w:spacing w:line="256" w:lineRule="auto"/>
            </w:pPr>
            <w:r>
              <w:rPr>
                <w:rFonts w:cs="Calibri"/>
                <w:lang w:eastAsia="en-AU"/>
              </w:rPr>
              <w:t>7,509</w:t>
            </w:r>
          </w:p>
        </w:tc>
        <w:tc>
          <w:tcPr>
            <w:tcW w:w="1041" w:type="dxa"/>
            <w:hideMark/>
          </w:tcPr>
          <w:p w14:paraId="19601876" w14:textId="77777777" w:rsidR="00CF0E2D" w:rsidRDefault="00CF0E2D">
            <w:pPr>
              <w:pStyle w:val="InitFigR"/>
              <w:keepNext/>
              <w:keepLines/>
              <w:spacing w:line="256" w:lineRule="auto"/>
            </w:pPr>
            <w:r>
              <w:rPr>
                <w:rFonts w:cs="Calibri"/>
                <w:lang w:eastAsia="en-AU"/>
              </w:rPr>
              <w:t>5,564</w:t>
            </w:r>
          </w:p>
        </w:tc>
        <w:tc>
          <w:tcPr>
            <w:tcW w:w="1029" w:type="dxa"/>
            <w:hideMark/>
          </w:tcPr>
          <w:p w14:paraId="16972596" w14:textId="77777777" w:rsidR="00CF0E2D" w:rsidRDefault="00CF0E2D">
            <w:pPr>
              <w:pStyle w:val="InitFigR"/>
              <w:keepNext/>
              <w:keepLines/>
              <w:spacing w:line="256" w:lineRule="auto"/>
            </w:pPr>
            <w:r>
              <w:rPr>
                <w:rFonts w:cs="Calibri"/>
                <w:lang w:eastAsia="en-AU"/>
              </w:rPr>
              <w:t>3,415</w:t>
            </w:r>
          </w:p>
        </w:tc>
        <w:tc>
          <w:tcPr>
            <w:tcW w:w="1029" w:type="dxa"/>
            <w:hideMark/>
          </w:tcPr>
          <w:p w14:paraId="3F89A03E" w14:textId="77777777" w:rsidR="00CF0E2D" w:rsidRDefault="00CF0E2D">
            <w:pPr>
              <w:pStyle w:val="InitFigR"/>
              <w:keepNext/>
              <w:keepLines/>
              <w:spacing w:line="256" w:lineRule="auto"/>
            </w:pPr>
            <w:r>
              <w:rPr>
                <w:rFonts w:cs="Calibri"/>
                <w:lang w:eastAsia="en-AU"/>
              </w:rPr>
              <w:t>0</w:t>
            </w:r>
          </w:p>
        </w:tc>
        <w:tc>
          <w:tcPr>
            <w:tcW w:w="1029" w:type="dxa"/>
            <w:hideMark/>
          </w:tcPr>
          <w:p w14:paraId="1DD53F92" w14:textId="77777777" w:rsidR="00CF0E2D" w:rsidRDefault="00CF0E2D">
            <w:pPr>
              <w:pStyle w:val="InitFigBR"/>
              <w:keepNext/>
              <w:keepLines/>
              <w:spacing w:line="256" w:lineRule="auto"/>
            </w:pPr>
            <w:r>
              <w:rPr>
                <w:rFonts w:cs="Calibri"/>
                <w:bCs/>
                <w:lang w:eastAsia="en-AU"/>
              </w:rPr>
              <w:t>16,488</w:t>
            </w:r>
          </w:p>
        </w:tc>
      </w:tr>
      <w:tr w:rsidR="00CF0E2D" w14:paraId="12F4C7DB" w14:textId="77777777" w:rsidTr="00A60D4B">
        <w:trPr>
          <w:cantSplit/>
          <w:trHeight w:val="107"/>
          <w:jc w:val="center"/>
        </w:trPr>
        <w:tc>
          <w:tcPr>
            <w:tcW w:w="3649" w:type="dxa"/>
            <w:tcBorders>
              <w:top w:val="single" w:sz="4" w:space="0" w:color="auto"/>
              <w:left w:val="nil"/>
              <w:bottom w:val="single" w:sz="4" w:space="0" w:color="auto"/>
              <w:right w:val="nil"/>
            </w:tcBorders>
            <w:hideMark/>
          </w:tcPr>
          <w:p w14:paraId="768869E3" w14:textId="77777777" w:rsidR="00CF0E2D" w:rsidRDefault="00CF0E2D">
            <w:pPr>
              <w:pStyle w:val="InitFigLBold"/>
              <w:keepNext/>
              <w:keepLines/>
              <w:spacing w:line="256" w:lineRule="auto"/>
              <w:ind w:left="321" w:hanging="321"/>
            </w:pPr>
            <w:r>
              <w:t>Net cost of services</w:t>
            </w:r>
          </w:p>
        </w:tc>
        <w:tc>
          <w:tcPr>
            <w:tcW w:w="1178" w:type="dxa"/>
            <w:tcBorders>
              <w:top w:val="single" w:sz="4" w:space="0" w:color="auto"/>
              <w:left w:val="nil"/>
              <w:bottom w:val="single" w:sz="4" w:space="0" w:color="auto"/>
              <w:right w:val="nil"/>
            </w:tcBorders>
            <w:hideMark/>
          </w:tcPr>
          <w:p w14:paraId="6A532C70" w14:textId="77777777" w:rsidR="00CF0E2D" w:rsidRDefault="00CF0E2D">
            <w:pPr>
              <w:pStyle w:val="InitFigRBold"/>
              <w:keepNext/>
              <w:keepLines/>
              <w:spacing w:line="256" w:lineRule="auto"/>
            </w:pPr>
            <w:r>
              <w:rPr>
                <w:rFonts w:cs="Calibri"/>
                <w:bCs/>
                <w:lang w:eastAsia="en-AU"/>
              </w:rPr>
              <w:t>7,509</w:t>
            </w:r>
          </w:p>
        </w:tc>
        <w:tc>
          <w:tcPr>
            <w:tcW w:w="1041" w:type="dxa"/>
            <w:tcBorders>
              <w:top w:val="single" w:sz="4" w:space="0" w:color="auto"/>
              <w:left w:val="nil"/>
              <w:bottom w:val="single" w:sz="4" w:space="0" w:color="auto"/>
              <w:right w:val="nil"/>
            </w:tcBorders>
            <w:hideMark/>
          </w:tcPr>
          <w:p w14:paraId="13DCB203" w14:textId="77777777" w:rsidR="00CF0E2D" w:rsidRDefault="00CF0E2D">
            <w:pPr>
              <w:pStyle w:val="InitFigRBold"/>
              <w:keepNext/>
              <w:keepLines/>
              <w:spacing w:line="256" w:lineRule="auto"/>
            </w:pPr>
            <w:r>
              <w:rPr>
                <w:rFonts w:cs="Calibri"/>
                <w:bCs/>
                <w:lang w:eastAsia="en-AU"/>
              </w:rPr>
              <w:t>5,729</w:t>
            </w:r>
          </w:p>
        </w:tc>
        <w:tc>
          <w:tcPr>
            <w:tcW w:w="1029" w:type="dxa"/>
            <w:tcBorders>
              <w:top w:val="single" w:sz="4" w:space="0" w:color="auto"/>
              <w:left w:val="nil"/>
              <w:bottom w:val="single" w:sz="4" w:space="0" w:color="auto"/>
              <w:right w:val="nil"/>
            </w:tcBorders>
            <w:hideMark/>
          </w:tcPr>
          <w:p w14:paraId="14A5D118" w14:textId="77777777" w:rsidR="00CF0E2D" w:rsidRDefault="00CF0E2D">
            <w:pPr>
              <w:pStyle w:val="InitFigRBold"/>
              <w:keepNext/>
              <w:keepLines/>
              <w:spacing w:line="256" w:lineRule="auto"/>
            </w:pPr>
            <w:r>
              <w:rPr>
                <w:rFonts w:cs="Calibri"/>
                <w:bCs/>
                <w:lang w:eastAsia="en-AU"/>
              </w:rPr>
              <w:t>3,580</w:t>
            </w:r>
          </w:p>
        </w:tc>
        <w:tc>
          <w:tcPr>
            <w:tcW w:w="1029" w:type="dxa"/>
            <w:tcBorders>
              <w:top w:val="single" w:sz="4" w:space="0" w:color="auto"/>
              <w:left w:val="nil"/>
              <w:bottom w:val="single" w:sz="4" w:space="0" w:color="auto"/>
              <w:right w:val="nil"/>
            </w:tcBorders>
            <w:hideMark/>
          </w:tcPr>
          <w:p w14:paraId="38533B71" w14:textId="77777777" w:rsidR="00CF0E2D" w:rsidRDefault="00CF0E2D">
            <w:pPr>
              <w:pStyle w:val="InitFigRBold"/>
              <w:keepNext/>
              <w:keepLines/>
              <w:spacing w:line="256" w:lineRule="auto"/>
            </w:pPr>
            <w:r>
              <w:rPr>
                <w:rFonts w:cs="Calibri"/>
                <w:bCs/>
                <w:lang w:eastAsia="en-AU"/>
              </w:rPr>
              <w:t>165</w:t>
            </w:r>
          </w:p>
        </w:tc>
        <w:tc>
          <w:tcPr>
            <w:tcW w:w="1029" w:type="dxa"/>
            <w:tcBorders>
              <w:top w:val="single" w:sz="4" w:space="0" w:color="auto"/>
              <w:left w:val="nil"/>
              <w:bottom w:val="single" w:sz="4" w:space="0" w:color="auto"/>
              <w:right w:val="nil"/>
            </w:tcBorders>
            <w:hideMark/>
          </w:tcPr>
          <w:p w14:paraId="6C1C40F4" w14:textId="77777777" w:rsidR="00CF0E2D" w:rsidRDefault="00CF0E2D">
            <w:pPr>
              <w:pStyle w:val="InitFigRBold"/>
              <w:keepNext/>
              <w:keepLines/>
              <w:spacing w:line="256" w:lineRule="auto"/>
            </w:pPr>
            <w:r>
              <w:rPr>
                <w:rFonts w:cs="Calibri"/>
                <w:bCs/>
                <w:lang w:eastAsia="en-AU"/>
              </w:rPr>
              <w:t>16,983</w:t>
            </w:r>
          </w:p>
        </w:tc>
      </w:tr>
    </w:tbl>
    <w:p w14:paraId="53A3CFBC" w14:textId="77777777" w:rsidR="00CF0E2D" w:rsidRDefault="00CF0E2D" w:rsidP="00A60D4B">
      <w:pPr>
        <w:pStyle w:val="Bbodytext"/>
      </w:pPr>
      <w:r>
        <w:t xml:space="preserve">The Government will invest in reintegration and wellbeing initiatives to enhance services and support available to detainees at the Alexander Maconochie Centre (AMC). Critical repairs and improvements to the AMC will be facilitated, in addition to a strategic assessment of the long-term future accommodation needs of the facility, ensuring delivery of infrastructure that improves detainee welfare and strengthens reintegration pathways.  </w:t>
      </w:r>
    </w:p>
    <w:p w14:paraId="4E653B75" w14:textId="77777777" w:rsidR="00CF0E2D" w:rsidRDefault="00CF0E2D" w:rsidP="00A60D4B">
      <w:pPr>
        <w:pStyle w:val="Bbodytext"/>
      </w:pPr>
      <w:r>
        <w:t xml:space="preserve">This initiative contributes to the wellbeing domain of Safety. </w:t>
      </w:r>
    </w:p>
    <w:p w14:paraId="1CA6E161" w14:textId="77777777" w:rsidR="00CF0E2D" w:rsidRPr="00E82DB8" w:rsidRDefault="00CF0E2D" w:rsidP="00A60D4B"/>
    <w:p w14:paraId="492112F7" w14:textId="77777777" w:rsidR="00CF0E2D" w:rsidRDefault="00CF0E2D" w:rsidP="00A60D4B">
      <w:pPr>
        <w:pStyle w:val="Heading4"/>
      </w:pPr>
      <w:r w:rsidRPr="00A041D5">
        <w:rPr>
          <w:rFonts w:eastAsia="Times New Roman"/>
        </w:rPr>
        <w:t xml:space="preserve">Improving </w:t>
      </w:r>
      <w:r>
        <w:rPr>
          <w:rFonts w:eastAsia="Times New Roman"/>
        </w:rPr>
        <w:t>the p</w:t>
      </w:r>
      <w:r w:rsidRPr="00A041D5">
        <w:rPr>
          <w:rFonts w:eastAsia="Times New Roman"/>
        </w:rPr>
        <w:t xml:space="preserve">robate </w:t>
      </w:r>
      <w:r>
        <w:rPr>
          <w:rFonts w:eastAsia="Times New Roman"/>
        </w:rPr>
        <w:t>s</w:t>
      </w:r>
      <w:r w:rsidRPr="00A041D5">
        <w:rPr>
          <w:rFonts w:eastAsia="Times New Roman"/>
        </w:rPr>
        <w:t>ystem in the ACT</w:t>
      </w:r>
      <w:r>
        <w:t xml:space="preserve"> </w:t>
      </w:r>
      <w:r>
        <w:rPr>
          <w:noProof/>
        </w:rPr>
        <w:drawing>
          <wp:anchor distT="0" distB="0" distL="114300" distR="114300" simplePos="0" relativeHeight="251914240" behindDoc="0" locked="1" layoutInCell="1" allowOverlap="1" wp14:anchorId="19F22812" wp14:editId="79F7FF18">
            <wp:simplePos x="0" y="0"/>
            <wp:positionH relativeFrom="margin">
              <wp:align>right</wp:align>
            </wp:positionH>
            <wp:positionV relativeFrom="paragraph">
              <wp:posOffset>-172085</wp:posOffset>
            </wp:positionV>
            <wp:extent cx="1378585" cy="507365"/>
            <wp:effectExtent l="0" t="0" r="0" b="6985"/>
            <wp:wrapSquare wrapText="bothSides"/>
            <wp:docPr id="196" name="Picture 196"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4E341E" w14:paraId="3FE1AA98" w14:textId="77777777" w:rsidTr="00A60D4B">
        <w:trPr>
          <w:cantSplit/>
          <w:jc w:val="center"/>
        </w:trPr>
        <w:tc>
          <w:tcPr>
            <w:tcW w:w="3652" w:type="dxa"/>
            <w:tcBorders>
              <w:top w:val="single" w:sz="4" w:space="0" w:color="auto"/>
              <w:bottom w:val="single" w:sz="4" w:space="0" w:color="auto"/>
            </w:tcBorders>
          </w:tcPr>
          <w:p w14:paraId="14E16793"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264F1DB6" w14:textId="77777777" w:rsidR="00CF0E2D" w:rsidRPr="00B7386B" w:rsidRDefault="00CF0E2D" w:rsidP="00A60D4B">
            <w:pPr>
              <w:pStyle w:val="InitFigR"/>
              <w:rPr>
                <w:b/>
                <w:bCs/>
              </w:rPr>
            </w:pPr>
            <w:r w:rsidRPr="00B7386B">
              <w:rPr>
                <w:b/>
                <w:bCs/>
              </w:rPr>
              <w:t>2021-22</w:t>
            </w:r>
          </w:p>
          <w:p w14:paraId="4433A882" w14:textId="77777777" w:rsidR="00CF0E2D" w:rsidRPr="00B7386B" w:rsidRDefault="00CF0E2D" w:rsidP="00A60D4B">
            <w:pPr>
              <w:pStyle w:val="InitFigR"/>
              <w:rPr>
                <w:b/>
                <w:bCs/>
              </w:rPr>
            </w:pPr>
            <w:r w:rsidRPr="00B7386B">
              <w:rPr>
                <w:b/>
                <w:bCs/>
              </w:rPr>
              <w:t>$’000</w:t>
            </w:r>
          </w:p>
        </w:tc>
        <w:tc>
          <w:tcPr>
            <w:tcW w:w="1041" w:type="dxa"/>
            <w:tcBorders>
              <w:top w:val="single" w:sz="4" w:space="0" w:color="auto"/>
              <w:bottom w:val="single" w:sz="4" w:space="0" w:color="auto"/>
            </w:tcBorders>
          </w:tcPr>
          <w:p w14:paraId="0CD45175" w14:textId="77777777" w:rsidR="00CF0E2D" w:rsidRPr="00B7386B" w:rsidRDefault="00CF0E2D" w:rsidP="00A60D4B">
            <w:pPr>
              <w:pStyle w:val="InitFigR"/>
              <w:rPr>
                <w:b/>
                <w:bCs/>
              </w:rPr>
            </w:pPr>
            <w:r w:rsidRPr="00B7386B">
              <w:rPr>
                <w:b/>
                <w:bCs/>
              </w:rPr>
              <w:t>2022-23</w:t>
            </w:r>
          </w:p>
          <w:p w14:paraId="48459AE5" w14:textId="77777777" w:rsidR="00CF0E2D" w:rsidRPr="00B7386B" w:rsidRDefault="00CF0E2D" w:rsidP="00A60D4B">
            <w:pPr>
              <w:pStyle w:val="InitFigR"/>
              <w:rPr>
                <w:b/>
                <w:bCs/>
              </w:rPr>
            </w:pPr>
            <w:r w:rsidRPr="00B7386B">
              <w:rPr>
                <w:b/>
                <w:bCs/>
              </w:rPr>
              <w:t>$’000</w:t>
            </w:r>
          </w:p>
        </w:tc>
        <w:tc>
          <w:tcPr>
            <w:tcW w:w="1029" w:type="dxa"/>
            <w:tcBorders>
              <w:top w:val="single" w:sz="4" w:space="0" w:color="auto"/>
              <w:bottom w:val="single" w:sz="4" w:space="0" w:color="auto"/>
            </w:tcBorders>
          </w:tcPr>
          <w:p w14:paraId="31540F2B" w14:textId="77777777" w:rsidR="00CF0E2D" w:rsidRPr="00B7386B" w:rsidRDefault="00CF0E2D" w:rsidP="00A60D4B">
            <w:pPr>
              <w:pStyle w:val="InitFigR"/>
              <w:rPr>
                <w:b/>
                <w:bCs/>
              </w:rPr>
            </w:pPr>
            <w:r w:rsidRPr="00B7386B">
              <w:rPr>
                <w:b/>
                <w:bCs/>
              </w:rPr>
              <w:t>2023-24</w:t>
            </w:r>
          </w:p>
          <w:p w14:paraId="00D6C582" w14:textId="77777777" w:rsidR="00CF0E2D" w:rsidRPr="00B7386B" w:rsidRDefault="00CF0E2D" w:rsidP="00A60D4B">
            <w:pPr>
              <w:pStyle w:val="InitFigR"/>
              <w:rPr>
                <w:b/>
                <w:bCs/>
              </w:rPr>
            </w:pPr>
            <w:r w:rsidRPr="00B7386B">
              <w:rPr>
                <w:b/>
                <w:bCs/>
              </w:rPr>
              <w:t>$’000</w:t>
            </w:r>
          </w:p>
        </w:tc>
        <w:tc>
          <w:tcPr>
            <w:tcW w:w="1029" w:type="dxa"/>
            <w:tcBorders>
              <w:top w:val="single" w:sz="4" w:space="0" w:color="auto"/>
              <w:bottom w:val="single" w:sz="4" w:space="0" w:color="auto"/>
            </w:tcBorders>
          </w:tcPr>
          <w:p w14:paraId="4A63BA62" w14:textId="77777777" w:rsidR="00CF0E2D" w:rsidRPr="00B7386B" w:rsidRDefault="00CF0E2D" w:rsidP="00A60D4B">
            <w:pPr>
              <w:pStyle w:val="InitFigR"/>
              <w:rPr>
                <w:b/>
                <w:bCs/>
              </w:rPr>
            </w:pPr>
            <w:r w:rsidRPr="00B7386B">
              <w:rPr>
                <w:b/>
                <w:bCs/>
              </w:rPr>
              <w:t>2024-25</w:t>
            </w:r>
          </w:p>
          <w:p w14:paraId="6EF2173E" w14:textId="77777777" w:rsidR="00CF0E2D" w:rsidRPr="00B7386B" w:rsidRDefault="00CF0E2D" w:rsidP="00A60D4B">
            <w:pPr>
              <w:pStyle w:val="InitFigR"/>
              <w:rPr>
                <w:b/>
                <w:bCs/>
              </w:rPr>
            </w:pPr>
            <w:r w:rsidRPr="00B7386B">
              <w:rPr>
                <w:b/>
                <w:bCs/>
              </w:rPr>
              <w:t>$’000</w:t>
            </w:r>
          </w:p>
        </w:tc>
        <w:tc>
          <w:tcPr>
            <w:tcW w:w="1029" w:type="dxa"/>
            <w:tcBorders>
              <w:top w:val="single" w:sz="4" w:space="0" w:color="auto"/>
              <w:bottom w:val="single" w:sz="4" w:space="0" w:color="auto"/>
            </w:tcBorders>
          </w:tcPr>
          <w:p w14:paraId="5872A26E" w14:textId="77777777" w:rsidR="00CF0E2D" w:rsidRPr="004E341E" w:rsidRDefault="00CF0E2D" w:rsidP="00A60D4B">
            <w:pPr>
              <w:pStyle w:val="InitFigRBold"/>
            </w:pPr>
            <w:r w:rsidRPr="004E341E">
              <w:t>Total</w:t>
            </w:r>
          </w:p>
          <w:p w14:paraId="40CE2802" w14:textId="77777777" w:rsidR="00CF0E2D" w:rsidRPr="004E341E" w:rsidRDefault="00CF0E2D" w:rsidP="00A60D4B">
            <w:pPr>
              <w:pStyle w:val="InitFigBR"/>
            </w:pPr>
            <w:r w:rsidRPr="004E341E">
              <w:t>$’000</w:t>
            </w:r>
          </w:p>
        </w:tc>
      </w:tr>
      <w:tr w:rsidR="00CF0E2D" w:rsidRPr="00424DA4" w14:paraId="33937161" w14:textId="77777777" w:rsidTr="00A60D4B">
        <w:trPr>
          <w:cantSplit/>
          <w:jc w:val="center"/>
        </w:trPr>
        <w:tc>
          <w:tcPr>
            <w:tcW w:w="3652" w:type="dxa"/>
            <w:tcBorders>
              <w:top w:val="single" w:sz="4" w:space="0" w:color="auto"/>
              <w:bottom w:val="single" w:sz="4" w:space="0" w:color="auto"/>
            </w:tcBorders>
          </w:tcPr>
          <w:p w14:paraId="4F5A6934" w14:textId="77777777" w:rsidR="00CF0E2D" w:rsidRPr="00915199" w:rsidRDefault="00CF0E2D" w:rsidP="00A60D4B">
            <w:pPr>
              <w:pStyle w:val="InitTextL"/>
              <w:ind w:left="321" w:hanging="321"/>
            </w:pPr>
            <w:r>
              <w:t>Capital</w:t>
            </w:r>
          </w:p>
        </w:tc>
        <w:tc>
          <w:tcPr>
            <w:tcW w:w="1179" w:type="dxa"/>
            <w:tcBorders>
              <w:top w:val="single" w:sz="4" w:space="0" w:color="auto"/>
              <w:bottom w:val="single" w:sz="4" w:space="0" w:color="auto"/>
            </w:tcBorders>
          </w:tcPr>
          <w:p w14:paraId="5A82BD84" w14:textId="77777777" w:rsidR="00CF0E2D" w:rsidRDefault="00CF0E2D" w:rsidP="00A60D4B">
            <w:pPr>
              <w:pStyle w:val="InitFigR"/>
            </w:pPr>
            <w:r>
              <w:t>72</w:t>
            </w:r>
          </w:p>
        </w:tc>
        <w:tc>
          <w:tcPr>
            <w:tcW w:w="1041" w:type="dxa"/>
            <w:tcBorders>
              <w:top w:val="single" w:sz="4" w:space="0" w:color="auto"/>
              <w:bottom w:val="single" w:sz="4" w:space="0" w:color="auto"/>
            </w:tcBorders>
          </w:tcPr>
          <w:p w14:paraId="64AD51AF" w14:textId="77777777" w:rsidR="00CF0E2D" w:rsidRDefault="00CF0E2D" w:rsidP="00A60D4B">
            <w:pPr>
              <w:pStyle w:val="InitFigR"/>
              <w:rPr>
                <w:rFonts w:cs="Calibri"/>
                <w:lang w:eastAsia="en-AU"/>
              </w:rPr>
            </w:pPr>
            <w:r>
              <w:rPr>
                <w:rFonts w:cs="Calibri"/>
                <w:lang w:eastAsia="en-AU"/>
              </w:rPr>
              <w:t>0</w:t>
            </w:r>
          </w:p>
        </w:tc>
        <w:tc>
          <w:tcPr>
            <w:tcW w:w="1029" w:type="dxa"/>
            <w:tcBorders>
              <w:top w:val="single" w:sz="4" w:space="0" w:color="auto"/>
              <w:bottom w:val="single" w:sz="4" w:space="0" w:color="auto"/>
            </w:tcBorders>
          </w:tcPr>
          <w:p w14:paraId="68239385" w14:textId="77777777" w:rsidR="00CF0E2D" w:rsidRDefault="00CF0E2D" w:rsidP="00A60D4B">
            <w:pPr>
              <w:pStyle w:val="InitFigR"/>
            </w:pPr>
            <w:r>
              <w:t>0</w:t>
            </w:r>
          </w:p>
        </w:tc>
        <w:tc>
          <w:tcPr>
            <w:tcW w:w="1029" w:type="dxa"/>
            <w:tcBorders>
              <w:top w:val="single" w:sz="4" w:space="0" w:color="auto"/>
              <w:bottom w:val="single" w:sz="4" w:space="0" w:color="auto"/>
            </w:tcBorders>
          </w:tcPr>
          <w:p w14:paraId="37DF3334" w14:textId="77777777" w:rsidR="00CF0E2D" w:rsidRDefault="00CF0E2D" w:rsidP="00A60D4B">
            <w:pPr>
              <w:pStyle w:val="InitFigR"/>
            </w:pPr>
            <w:r>
              <w:t>0</w:t>
            </w:r>
          </w:p>
        </w:tc>
        <w:tc>
          <w:tcPr>
            <w:tcW w:w="1029" w:type="dxa"/>
            <w:tcBorders>
              <w:top w:val="single" w:sz="4" w:space="0" w:color="auto"/>
              <w:bottom w:val="single" w:sz="4" w:space="0" w:color="auto"/>
            </w:tcBorders>
          </w:tcPr>
          <w:p w14:paraId="08BC1C39" w14:textId="77777777" w:rsidR="00CF0E2D" w:rsidRDefault="00CF0E2D" w:rsidP="00A60D4B">
            <w:pPr>
              <w:pStyle w:val="InitFigBR"/>
            </w:pPr>
            <w:r>
              <w:t>72</w:t>
            </w:r>
          </w:p>
        </w:tc>
      </w:tr>
      <w:tr w:rsidR="00CF0E2D" w:rsidRPr="00424DA4" w14:paraId="4573A6C5" w14:textId="77777777" w:rsidTr="00A60D4B">
        <w:trPr>
          <w:cantSplit/>
          <w:jc w:val="center"/>
        </w:trPr>
        <w:tc>
          <w:tcPr>
            <w:tcW w:w="3652" w:type="dxa"/>
            <w:tcBorders>
              <w:top w:val="single" w:sz="4" w:space="0" w:color="auto"/>
            </w:tcBorders>
          </w:tcPr>
          <w:p w14:paraId="3A715255" w14:textId="77777777" w:rsidR="00CF0E2D" w:rsidRPr="00915199" w:rsidRDefault="00CF0E2D" w:rsidP="00A60D4B">
            <w:pPr>
              <w:pStyle w:val="InitTextL"/>
              <w:ind w:left="321" w:hanging="321"/>
            </w:pPr>
            <w:r>
              <w:t>Depreciation</w:t>
            </w:r>
          </w:p>
        </w:tc>
        <w:tc>
          <w:tcPr>
            <w:tcW w:w="1179" w:type="dxa"/>
            <w:tcBorders>
              <w:top w:val="single" w:sz="4" w:space="0" w:color="auto"/>
            </w:tcBorders>
          </w:tcPr>
          <w:p w14:paraId="28705448" w14:textId="77777777" w:rsidR="00CF0E2D" w:rsidRDefault="00CF0E2D" w:rsidP="00A60D4B">
            <w:pPr>
              <w:pStyle w:val="InitFigR"/>
            </w:pPr>
            <w:r>
              <w:t>15</w:t>
            </w:r>
          </w:p>
        </w:tc>
        <w:tc>
          <w:tcPr>
            <w:tcW w:w="1041" w:type="dxa"/>
            <w:tcBorders>
              <w:top w:val="single" w:sz="4" w:space="0" w:color="auto"/>
            </w:tcBorders>
          </w:tcPr>
          <w:p w14:paraId="785E19FB" w14:textId="77777777" w:rsidR="00CF0E2D" w:rsidRDefault="00CF0E2D" w:rsidP="00A60D4B">
            <w:pPr>
              <w:pStyle w:val="InitFigR"/>
              <w:rPr>
                <w:rFonts w:cs="Calibri"/>
                <w:lang w:eastAsia="en-AU"/>
              </w:rPr>
            </w:pPr>
            <w:r>
              <w:rPr>
                <w:rFonts w:cs="Calibri"/>
                <w:lang w:eastAsia="en-AU"/>
              </w:rPr>
              <w:t>15</w:t>
            </w:r>
          </w:p>
        </w:tc>
        <w:tc>
          <w:tcPr>
            <w:tcW w:w="1029" w:type="dxa"/>
            <w:tcBorders>
              <w:top w:val="single" w:sz="4" w:space="0" w:color="auto"/>
            </w:tcBorders>
          </w:tcPr>
          <w:p w14:paraId="4D17AB7E" w14:textId="77777777" w:rsidR="00CF0E2D" w:rsidRDefault="00CF0E2D" w:rsidP="00A60D4B">
            <w:pPr>
              <w:pStyle w:val="InitFigR"/>
            </w:pPr>
            <w:r>
              <w:t>15</w:t>
            </w:r>
          </w:p>
        </w:tc>
        <w:tc>
          <w:tcPr>
            <w:tcW w:w="1029" w:type="dxa"/>
            <w:tcBorders>
              <w:top w:val="single" w:sz="4" w:space="0" w:color="auto"/>
            </w:tcBorders>
          </w:tcPr>
          <w:p w14:paraId="201ADD9D" w14:textId="77777777" w:rsidR="00CF0E2D" w:rsidRDefault="00CF0E2D" w:rsidP="00A60D4B">
            <w:pPr>
              <w:pStyle w:val="InitFigR"/>
            </w:pPr>
            <w:r>
              <w:t>15</w:t>
            </w:r>
          </w:p>
        </w:tc>
        <w:tc>
          <w:tcPr>
            <w:tcW w:w="1029" w:type="dxa"/>
            <w:tcBorders>
              <w:top w:val="single" w:sz="4" w:space="0" w:color="auto"/>
            </w:tcBorders>
          </w:tcPr>
          <w:p w14:paraId="41B48589" w14:textId="77777777" w:rsidR="00CF0E2D" w:rsidRDefault="00CF0E2D" w:rsidP="00A60D4B">
            <w:pPr>
              <w:pStyle w:val="InitFigBR"/>
            </w:pPr>
            <w:r>
              <w:t>60</w:t>
            </w:r>
          </w:p>
        </w:tc>
      </w:tr>
      <w:tr w:rsidR="00CF0E2D" w:rsidRPr="00424DA4" w14:paraId="71215596" w14:textId="77777777" w:rsidTr="00A60D4B">
        <w:trPr>
          <w:cantSplit/>
          <w:jc w:val="center"/>
        </w:trPr>
        <w:tc>
          <w:tcPr>
            <w:tcW w:w="3652" w:type="dxa"/>
          </w:tcPr>
          <w:p w14:paraId="00D1B0C8" w14:textId="77777777" w:rsidR="00CF0E2D" w:rsidRDefault="00CF0E2D" w:rsidP="00A60D4B">
            <w:pPr>
              <w:pStyle w:val="InitTextL"/>
              <w:ind w:left="321" w:hanging="321"/>
            </w:pPr>
            <w:r w:rsidRPr="00915199">
              <w:t xml:space="preserve">Expenses </w:t>
            </w:r>
          </w:p>
        </w:tc>
        <w:tc>
          <w:tcPr>
            <w:tcW w:w="1179" w:type="dxa"/>
          </w:tcPr>
          <w:p w14:paraId="07779AA3" w14:textId="77777777" w:rsidR="00CF0E2D" w:rsidRDefault="00CF0E2D" w:rsidP="00A60D4B">
            <w:pPr>
              <w:pStyle w:val="InitFigR"/>
            </w:pPr>
            <w:r>
              <w:t>46</w:t>
            </w:r>
          </w:p>
        </w:tc>
        <w:tc>
          <w:tcPr>
            <w:tcW w:w="1041" w:type="dxa"/>
          </w:tcPr>
          <w:p w14:paraId="1274189D" w14:textId="77777777" w:rsidR="00CF0E2D" w:rsidRDefault="00CF0E2D" w:rsidP="00A60D4B">
            <w:pPr>
              <w:pStyle w:val="InitFigR"/>
              <w:rPr>
                <w:rFonts w:cs="Calibri"/>
                <w:lang w:eastAsia="en-AU"/>
              </w:rPr>
            </w:pPr>
            <w:r>
              <w:rPr>
                <w:rFonts w:cs="Calibri"/>
                <w:lang w:eastAsia="en-AU"/>
              </w:rPr>
              <w:t>47</w:t>
            </w:r>
          </w:p>
        </w:tc>
        <w:tc>
          <w:tcPr>
            <w:tcW w:w="1029" w:type="dxa"/>
          </w:tcPr>
          <w:p w14:paraId="0AE10343" w14:textId="77777777" w:rsidR="00CF0E2D" w:rsidRDefault="00CF0E2D" w:rsidP="00A60D4B">
            <w:pPr>
              <w:pStyle w:val="InitFigR"/>
            </w:pPr>
            <w:r>
              <w:t>47</w:t>
            </w:r>
          </w:p>
        </w:tc>
        <w:tc>
          <w:tcPr>
            <w:tcW w:w="1029" w:type="dxa"/>
          </w:tcPr>
          <w:p w14:paraId="7546D05B" w14:textId="77777777" w:rsidR="00CF0E2D" w:rsidRDefault="00CF0E2D" w:rsidP="00A60D4B">
            <w:pPr>
              <w:pStyle w:val="InitFigR"/>
            </w:pPr>
            <w:r>
              <w:t>48</w:t>
            </w:r>
          </w:p>
        </w:tc>
        <w:tc>
          <w:tcPr>
            <w:tcW w:w="1029" w:type="dxa"/>
          </w:tcPr>
          <w:p w14:paraId="38B41F4B" w14:textId="77777777" w:rsidR="00CF0E2D" w:rsidRDefault="00CF0E2D" w:rsidP="00A60D4B">
            <w:pPr>
              <w:pStyle w:val="InitFigBR"/>
            </w:pPr>
            <w:r>
              <w:t>188</w:t>
            </w:r>
          </w:p>
        </w:tc>
      </w:tr>
      <w:tr w:rsidR="00CF0E2D" w:rsidRPr="00424DA4" w14:paraId="769959B6" w14:textId="77777777" w:rsidTr="00A60D4B">
        <w:trPr>
          <w:cantSplit/>
          <w:jc w:val="center"/>
        </w:trPr>
        <w:tc>
          <w:tcPr>
            <w:tcW w:w="3652" w:type="dxa"/>
          </w:tcPr>
          <w:p w14:paraId="26DD576D" w14:textId="77777777" w:rsidR="00CF0E2D" w:rsidRDefault="00CF0E2D" w:rsidP="00A60D4B">
            <w:pPr>
              <w:pStyle w:val="InitTextL"/>
              <w:ind w:left="321" w:hanging="321"/>
            </w:pPr>
            <w:r>
              <w:t>Offset – Revenue</w:t>
            </w:r>
          </w:p>
        </w:tc>
        <w:tc>
          <w:tcPr>
            <w:tcW w:w="1179" w:type="dxa"/>
          </w:tcPr>
          <w:p w14:paraId="146FB4DC" w14:textId="77777777" w:rsidR="00CF0E2D" w:rsidRDefault="00CF0E2D" w:rsidP="00A60D4B">
            <w:pPr>
              <w:pStyle w:val="InitFigR"/>
            </w:pPr>
            <w:r>
              <w:t>-61</w:t>
            </w:r>
          </w:p>
        </w:tc>
        <w:tc>
          <w:tcPr>
            <w:tcW w:w="1041" w:type="dxa"/>
          </w:tcPr>
          <w:p w14:paraId="1C7A219C" w14:textId="77777777" w:rsidR="00CF0E2D" w:rsidRDefault="00CF0E2D" w:rsidP="00A60D4B">
            <w:pPr>
              <w:pStyle w:val="InitFigR"/>
              <w:rPr>
                <w:rFonts w:cs="Calibri"/>
                <w:lang w:eastAsia="en-AU"/>
              </w:rPr>
            </w:pPr>
            <w:r>
              <w:rPr>
                <w:rFonts w:cs="Calibri"/>
                <w:lang w:eastAsia="en-AU"/>
              </w:rPr>
              <w:t>-62</w:t>
            </w:r>
          </w:p>
        </w:tc>
        <w:tc>
          <w:tcPr>
            <w:tcW w:w="1029" w:type="dxa"/>
          </w:tcPr>
          <w:p w14:paraId="14680E4E" w14:textId="77777777" w:rsidR="00CF0E2D" w:rsidRDefault="00CF0E2D" w:rsidP="00A60D4B">
            <w:pPr>
              <w:pStyle w:val="InitFigR"/>
            </w:pPr>
            <w:r>
              <w:t>-62</w:t>
            </w:r>
          </w:p>
        </w:tc>
        <w:tc>
          <w:tcPr>
            <w:tcW w:w="1029" w:type="dxa"/>
          </w:tcPr>
          <w:p w14:paraId="76F97563" w14:textId="77777777" w:rsidR="00CF0E2D" w:rsidRDefault="00CF0E2D" w:rsidP="00A60D4B">
            <w:pPr>
              <w:pStyle w:val="InitFigR"/>
            </w:pPr>
            <w:r>
              <w:t>-63</w:t>
            </w:r>
          </w:p>
        </w:tc>
        <w:tc>
          <w:tcPr>
            <w:tcW w:w="1029" w:type="dxa"/>
          </w:tcPr>
          <w:p w14:paraId="5B1959DD" w14:textId="77777777" w:rsidR="00CF0E2D" w:rsidRDefault="00CF0E2D" w:rsidP="00A60D4B">
            <w:pPr>
              <w:pStyle w:val="InitFigBR"/>
            </w:pPr>
            <w:r>
              <w:t>-248</w:t>
            </w:r>
          </w:p>
        </w:tc>
      </w:tr>
      <w:tr w:rsidR="00CF0E2D" w:rsidRPr="00424DA4" w14:paraId="6D07394B" w14:textId="77777777" w:rsidTr="00A60D4B">
        <w:trPr>
          <w:cantSplit/>
          <w:trHeight w:val="107"/>
          <w:jc w:val="center"/>
        </w:trPr>
        <w:tc>
          <w:tcPr>
            <w:tcW w:w="3652" w:type="dxa"/>
            <w:tcBorders>
              <w:top w:val="single" w:sz="4" w:space="0" w:color="auto"/>
              <w:bottom w:val="single" w:sz="4" w:space="0" w:color="auto"/>
            </w:tcBorders>
          </w:tcPr>
          <w:p w14:paraId="74138091"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2B3838C8" w14:textId="77777777" w:rsidR="00CF0E2D" w:rsidRPr="00424DA4" w:rsidRDefault="00CF0E2D" w:rsidP="00A60D4B">
            <w:pPr>
              <w:pStyle w:val="InitFigRBold"/>
            </w:pPr>
            <w:r>
              <w:t>0</w:t>
            </w:r>
          </w:p>
        </w:tc>
        <w:tc>
          <w:tcPr>
            <w:tcW w:w="1041" w:type="dxa"/>
            <w:tcBorders>
              <w:top w:val="single" w:sz="4" w:space="0" w:color="auto"/>
              <w:bottom w:val="single" w:sz="4" w:space="0" w:color="auto"/>
            </w:tcBorders>
          </w:tcPr>
          <w:p w14:paraId="26E71F1C"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0BA12F78"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41A6CE35" w14:textId="77777777" w:rsidR="00CF0E2D" w:rsidRPr="00424DA4" w:rsidRDefault="00CF0E2D" w:rsidP="00A60D4B">
            <w:pPr>
              <w:pStyle w:val="InitFigRBold"/>
            </w:pPr>
            <w:r>
              <w:t>0</w:t>
            </w:r>
          </w:p>
        </w:tc>
        <w:tc>
          <w:tcPr>
            <w:tcW w:w="1029" w:type="dxa"/>
            <w:tcBorders>
              <w:top w:val="single" w:sz="4" w:space="0" w:color="auto"/>
              <w:bottom w:val="single" w:sz="4" w:space="0" w:color="auto"/>
            </w:tcBorders>
          </w:tcPr>
          <w:p w14:paraId="3741A943" w14:textId="77777777" w:rsidR="00CF0E2D" w:rsidRPr="00424DA4" w:rsidRDefault="00CF0E2D" w:rsidP="00A60D4B">
            <w:pPr>
              <w:pStyle w:val="InitFigRBold"/>
            </w:pPr>
            <w:r>
              <w:t>0</w:t>
            </w:r>
          </w:p>
        </w:tc>
      </w:tr>
    </w:tbl>
    <w:p w14:paraId="492DD6CD" w14:textId="77777777" w:rsidR="00CF0E2D" w:rsidRDefault="00CF0E2D" w:rsidP="00A60D4B">
      <w:pPr>
        <w:pStyle w:val="Bbodytext"/>
      </w:pPr>
      <w:r>
        <w:t xml:space="preserve">The Government will </w:t>
      </w:r>
      <w:r w:rsidRPr="00962E3A">
        <w:t>improve the probate system in the ACT</w:t>
      </w:r>
      <w:r>
        <w:t>, including</w:t>
      </w:r>
      <w:r w:rsidRPr="00962E3A">
        <w:t xml:space="preserve"> </w:t>
      </w:r>
      <w:r>
        <w:t>a</w:t>
      </w:r>
      <w:r w:rsidRPr="00962E3A">
        <w:t>llow</w:t>
      </w:r>
      <w:r>
        <w:t>ing</w:t>
      </w:r>
      <w:r w:rsidRPr="00962E3A">
        <w:t xml:space="preserve"> applicants to advertise their intention to apply for probate on a website built and managed by the ACT Courts and Tribunal.</w:t>
      </w:r>
    </w:p>
    <w:p w14:paraId="7E964751" w14:textId="77777777" w:rsidR="00CF0E2D" w:rsidRDefault="00CF0E2D" w:rsidP="00A60D4B">
      <w:pPr>
        <w:pStyle w:val="Bbodytext"/>
      </w:pPr>
      <w:r>
        <w:t>This initiative contributes the wellbeing domain of Access and connectivity.</w:t>
      </w:r>
    </w:p>
    <w:p w14:paraId="663AEE40" w14:textId="77777777" w:rsidR="00CF0E2D" w:rsidRDefault="00CF0E2D" w:rsidP="00A60D4B">
      <w:pPr>
        <w:pStyle w:val="Bbodytext"/>
      </w:pPr>
    </w:p>
    <w:p w14:paraId="7DD308F4" w14:textId="77777777" w:rsidR="00CF0E2D" w:rsidRDefault="00CF0E2D" w:rsidP="00A60D4B">
      <w:pPr>
        <w:pStyle w:val="Heading4"/>
        <w:rPr>
          <w:rFonts w:eastAsia="Times New Roman"/>
        </w:rPr>
      </w:pPr>
      <w:r>
        <w:rPr>
          <w:rFonts w:eastAsia="Times New Roman"/>
        </w:rPr>
        <w:t>Intensive Corrections Orders – continuation</w:t>
      </w:r>
      <w:r>
        <w:rPr>
          <w:b w:val="0"/>
          <w:noProof/>
          <w:color w:val="999789"/>
          <w:sz w:val="32"/>
          <w:szCs w:val="24"/>
        </w:rPr>
        <w:drawing>
          <wp:anchor distT="0" distB="0" distL="114300" distR="114300" simplePos="0" relativeHeight="251898880" behindDoc="0" locked="1" layoutInCell="1" allowOverlap="1" wp14:anchorId="3A0243A4" wp14:editId="03E9B13D">
            <wp:simplePos x="0" y="0"/>
            <wp:positionH relativeFrom="margin">
              <wp:posOffset>4733290</wp:posOffset>
            </wp:positionH>
            <wp:positionV relativeFrom="paragraph">
              <wp:posOffset>-149860</wp:posOffset>
            </wp:positionV>
            <wp:extent cx="989965" cy="503555"/>
            <wp:effectExtent l="0" t="0" r="635" b="0"/>
            <wp:wrapSquare wrapText="bothSides"/>
            <wp:docPr id="197" name="Picture 197"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5" w:type="dxa"/>
        <w:jc w:val="center"/>
        <w:tblLayout w:type="fixed"/>
        <w:tblLook w:val="04A0" w:firstRow="1" w:lastRow="0" w:firstColumn="1" w:lastColumn="0" w:noHBand="0" w:noVBand="1"/>
      </w:tblPr>
      <w:tblGrid>
        <w:gridCol w:w="3649"/>
        <w:gridCol w:w="1178"/>
        <w:gridCol w:w="1041"/>
        <w:gridCol w:w="1029"/>
        <w:gridCol w:w="1029"/>
        <w:gridCol w:w="1029"/>
      </w:tblGrid>
      <w:tr w:rsidR="00CF0E2D" w14:paraId="184FD302" w14:textId="77777777" w:rsidTr="00A60D4B">
        <w:trPr>
          <w:cantSplit/>
          <w:jc w:val="center"/>
        </w:trPr>
        <w:tc>
          <w:tcPr>
            <w:tcW w:w="3649" w:type="dxa"/>
            <w:tcBorders>
              <w:top w:val="single" w:sz="4" w:space="0" w:color="auto"/>
              <w:left w:val="nil"/>
              <w:bottom w:val="single" w:sz="4" w:space="0" w:color="auto"/>
              <w:right w:val="nil"/>
            </w:tcBorders>
            <w:hideMark/>
          </w:tcPr>
          <w:p w14:paraId="240B7493" w14:textId="77777777" w:rsidR="00CF0E2D" w:rsidRDefault="00CF0E2D">
            <w:pPr>
              <w:pStyle w:val="EmptyCell0"/>
              <w:spacing w:line="256" w:lineRule="auto"/>
            </w:pPr>
            <w:r>
              <w:t>Empty Cell</w:t>
            </w:r>
          </w:p>
        </w:tc>
        <w:tc>
          <w:tcPr>
            <w:tcW w:w="1178" w:type="dxa"/>
            <w:tcBorders>
              <w:top w:val="single" w:sz="4" w:space="0" w:color="auto"/>
              <w:left w:val="nil"/>
              <w:bottom w:val="single" w:sz="4" w:space="0" w:color="auto"/>
              <w:right w:val="nil"/>
            </w:tcBorders>
            <w:hideMark/>
          </w:tcPr>
          <w:p w14:paraId="6683EFA9" w14:textId="77777777" w:rsidR="00CF0E2D" w:rsidRPr="00BA6C66" w:rsidRDefault="00CF0E2D">
            <w:pPr>
              <w:pStyle w:val="InitFigR"/>
              <w:spacing w:line="256" w:lineRule="auto"/>
              <w:rPr>
                <w:b/>
                <w:bCs/>
              </w:rPr>
            </w:pPr>
            <w:r w:rsidRPr="00BA6C66">
              <w:rPr>
                <w:b/>
                <w:bCs/>
              </w:rPr>
              <w:t>2021-22</w:t>
            </w:r>
          </w:p>
          <w:p w14:paraId="6E8E1270" w14:textId="77777777" w:rsidR="00CF0E2D" w:rsidRPr="00BA6C66" w:rsidRDefault="00CF0E2D">
            <w:pPr>
              <w:pStyle w:val="InitFigR"/>
              <w:spacing w:line="256" w:lineRule="auto"/>
              <w:rPr>
                <w:b/>
                <w:bCs/>
              </w:rPr>
            </w:pPr>
            <w:r w:rsidRPr="00BA6C66">
              <w:rPr>
                <w:b/>
                <w:bCs/>
              </w:rPr>
              <w:t>$’000</w:t>
            </w:r>
          </w:p>
        </w:tc>
        <w:tc>
          <w:tcPr>
            <w:tcW w:w="1041" w:type="dxa"/>
            <w:tcBorders>
              <w:top w:val="single" w:sz="4" w:space="0" w:color="auto"/>
              <w:left w:val="nil"/>
              <w:bottom w:val="single" w:sz="4" w:space="0" w:color="auto"/>
              <w:right w:val="nil"/>
            </w:tcBorders>
            <w:hideMark/>
          </w:tcPr>
          <w:p w14:paraId="5B66500B" w14:textId="77777777" w:rsidR="00CF0E2D" w:rsidRPr="00BA6C66" w:rsidRDefault="00CF0E2D">
            <w:pPr>
              <w:pStyle w:val="InitFigR"/>
              <w:spacing w:line="256" w:lineRule="auto"/>
              <w:rPr>
                <w:b/>
                <w:bCs/>
              </w:rPr>
            </w:pPr>
            <w:r w:rsidRPr="00BA6C66">
              <w:rPr>
                <w:b/>
                <w:bCs/>
              </w:rPr>
              <w:t>2022-23</w:t>
            </w:r>
          </w:p>
          <w:p w14:paraId="7F198B7C" w14:textId="77777777" w:rsidR="00CF0E2D" w:rsidRPr="00BA6C66" w:rsidRDefault="00CF0E2D">
            <w:pPr>
              <w:pStyle w:val="InitFigR"/>
              <w:spacing w:line="256" w:lineRule="auto"/>
              <w:rPr>
                <w:b/>
                <w:bCs/>
              </w:rPr>
            </w:pPr>
            <w:r w:rsidRPr="00BA6C66">
              <w:rPr>
                <w:b/>
                <w:bCs/>
              </w:rPr>
              <w:t>$’000</w:t>
            </w:r>
          </w:p>
        </w:tc>
        <w:tc>
          <w:tcPr>
            <w:tcW w:w="1029" w:type="dxa"/>
            <w:tcBorders>
              <w:top w:val="single" w:sz="4" w:space="0" w:color="auto"/>
              <w:left w:val="nil"/>
              <w:bottom w:val="single" w:sz="4" w:space="0" w:color="auto"/>
              <w:right w:val="nil"/>
            </w:tcBorders>
            <w:hideMark/>
          </w:tcPr>
          <w:p w14:paraId="12091DEB" w14:textId="77777777" w:rsidR="00CF0E2D" w:rsidRPr="00BA6C66" w:rsidRDefault="00CF0E2D">
            <w:pPr>
              <w:pStyle w:val="InitFigR"/>
              <w:spacing w:line="256" w:lineRule="auto"/>
              <w:rPr>
                <w:b/>
                <w:bCs/>
              </w:rPr>
            </w:pPr>
            <w:r w:rsidRPr="00BA6C66">
              <w:rPr>
                <w:b/>
                <w:bCs/>
              </w:rPr>
              <w:t>2023-24</w:t>
            </w:r>
          </w:p>
          <w:p w14:paraId="02CD7C3E" w14:textId="77777777" w:rsidR="00CF0E2D" w:rsidRPr="00BA6C66" w:rsidRDefault="00CF0E2D">
            <w:pPr>
              <w:pStyle w:val="InitFigR"/>
              <w:spacing w:line="256" w:lineRule="auto"/>
              <w:rPr>
                <w:b/>
                <w:bCs/>
              </w:rPr>
            </w:pPr>
            <w:r w:rsidRPr="00BA6C66">
              <w:rPr>
                <w:b/>
                <w:bCs/>
              </w:rPr>
              <w:t>$’000</w:t>
            </w:r>
          </w:p>
        </w:tc>
        <w:tc>
          <w:tcPr>
            <w:tcW w:w="1029" w:type="dxa"/>
            <w:tcBorders>
              <w:top w:val="single" w:sz="4" w:space="0" w:color="auto"/>
              <w:left w:val="nil"/>
              <w:bottom w:val="single" w:sz="4" w:space="0" w:color="auto"/>
              <w:right w:val="nil"/>
            </w:tcBorders>
            <w:hideMark/>
          </w:tcPr>
          <w:p w14:paraId="20240F06" w14:textId="77777777" w:rsidR="00CF0E2D" w:rsidRPr="00BA6C66" w:rsidRDefault="00CF0E2D">
            <w:pPr>
              <w:pStyle w:val="InitFigR"/>
              <w:spacing w:line="256" w:lineRule="auto"/>
              <w:rPr>
                <w:b/>
                <w:bCs/>
              </w:rPr>
            </w:pPr>
            <w:r w:rsidRPr="00BA6C66">
              <w:rPr>
                <w:b/>
                <w:bCs/>
              </w:rPr>
              <w:t>2024-25</w:t>
            </w:r>
          </w:p>
          <w:p w14:paraId="22610B03" w14:textId="77777777" w:rsidR="00CF0E2D" w:rsidRPr="00BA6C66" w:rsidRDefault="00CF0E2D">
            <w:pPr>
              <w:pStyle w:val="InitFigR"/>
              <w:spacing w:line="256" w:lineRule="auto"/>
              <w:rPr>
                <w:b/>
                <w:bCs/>
              </w:rPr>
            </w:pPr>
            <w:r w:rsidRPr="00BA6C66">
              <w:rPr>
                <w:b/>
                <w:bCs/>
              </w:rPr>
              <w:t>$’000</w:t>
            </w:r>
          </w:p>
        </w:tc>
        <w:tc>
          <w:tcPr>
            <w:tcW w:w="1029" w:type="dxa"/>
            <w:tcBorders>
              <w:top w:val="single" w:sz="4" w:space="0" w:color="auto"/>
              <w:left w:val="nil"/>
              <w:bottom w:val="single" w:sz="4" w:space="0" w:color="auto"/>
              <w:right w:val="nil"/>
            </w:tcBorders>
            <w:hideMark/>
          </w:tcPr>
          <w:p w14:paraId="7FF0348C" w14:textId="77777777" w:rsidR="00CF0E2D" w:rsidRDefault="00CF0E2D">
            <w:pPr>
              <w:pStyle w:val="InitFigRBold"/>
              <w:spacing w:line="256" w:lineRule="auto"/>
            </w:pPr>
            <w:r>
              <w:t>Total</w:t>
            </w:r>
          </w:p>
          <w:p w14:paraId="3D1CE37C" w14:textId="77777777" w:rsidR="00CF0E2D" w:rsidRDefault="00CF0E2D">
            <w:pPr>
              <w:pStyle w:val="InitFigBR"/>
              <w:spacing w:line="256" w:lineRule="auto"/>
            </w:pPr>
            <w:r>
              <w:t>$’000</w:t>
            </w:r>
          </w:p>
        </w:tc>
      </w:tr>
      <w:tr w:rsidR="00CF0E2D" w14:paraId="6980DD67" w14:textId="77777777" w:rsidTr="00A60D4B">
        <w:trPr>
          <w:cantSplit/>
          <w:jc w:val="center"/>
        </w:trPr>
        <w:tc>
          <w:tcPr>
            <w:tcW w:w="3649" w:type="dxa"/>
            <w:tcBorders>
              <w:top w:val="single" w:sz="4" w:space="0" w:color="auto"/>
              <w:left w:val="nil"/>
              <w:bottom w:val="single" w:sz="4" w:space="0" w:color="auto"/>
              <w:right w:val="nil"/>
            </w:tcBorders>
            <w:hideMark/>
          </w:tcPr>
          <w:p w14:paraId="495EA7BA" w14:textId="77777777" w:rsidR="00CF0E2D" w:rsidRDefault="00CF0E2D">
            <w:pPr>
              <w:pStyle w:val="InitTextL"/>
              <w:spacing w:line="256" w:lineRule="auto"/>
              <w:ind w:left="321" w:hanging="321"/>
            </w:pPr>
            <w:r>
              <w:t>Expenses</w:t>
            </w:r>
          </w:p>
        </w:tc>
        <w:tc>
          <w:tcPr>
            <w:tcW w:w="1178" w:type="dxa"/>
            <w:tcBorders>
              <w:top w:val="single" w:sz="4" w:space="0" w:color="auto"/>
              <w:left w:val="nil"/>
              <w:bottom w:val="single" w:sz="4" w:space="0" w:color="auto"/>
              <w:right w:val="nil"/>
            </w:tcBorders>
            <w:hideMark/>
          </w:tcPr>
          <w:p w14:paraId="4F5566A8" w14:textId="77777777" w:rsidR="00CF0E2D" w:rsidRDefault="00CF0E2D">
            <w:pPr>
              <w:pStyle w:val="InitFigR"/>
              <w:spacing w:line="256" w:lineRule="auto"/>
            </w:pPr>
            <w:r>
              <w:t>2,006</w:t>
            </w:r>
          </w:p>
        </w:tc>
        <w:tc>
          <w:tcPr>
            <w:tcW w:w="1041" w:type="dxa"/>
            <w:tcBorders>
              <w:top w:val="single" w:sz="4" w:space="0" w:color="auto"/>
              <w:left w:val="nil"/>
              <w:bottom w:val="single" w:sz="4" w:space="0" w:color="auto"/>
              <w:right w:val="nil"/>
            </w:tcBorders>
            <w:hideMark/>
          </w:tcPr>
          <w:p w14:paraId="1A501DF0" w14:textId="77777777" w:rsidR="00CF0E2D" w:rsidRDefault="00CF0E2D">
            <w:pPr>
              <w:pStyle w:val="InitFigR"/>
              <w:spacing w:line="256" w:lineRule="auto"/>
            </w:pPr>
            <w:r>
              <w:t>2,037</w:t>
            </w:r>
          </w:p>
        </w:tc>
        <w:tc>
          <w:tcPr>
            <w:tcW w:w="1029" w:type="dxa"/>
            <w:tcBorders>
              <w:top w:val="single" w:sz="4" w:space="0" w:color="auto"/>
              <w:left w:val="nil"/>
              <w:bottom w:val="single" w:sz="4" w:space="0" w:color="auto"/>
              <w:right w:val="nil"/>
            </w:tcBorders>
            <w:hideMark/>
          </w:tcPr>
          <w:p w14:paraId="0E99510A" w14:textId="77777777" w:rsidR="00CF0E2D" w:rsidRDefault="00CF0E2D">
            <w:pPr>
              <w:pStyle w:val="InitFigR"/>
              <w:spacing w:line="256" w:lineRule="auto"/>
            </w:pPr>
            <w:r>
              <w:t>2,068</w:t>
            </w:r>
          </w:p>
        </w:tc>
        <w:tc>
          <w:tcPr>
            <w:tcW w:w="1029" w:type="dxa"/>
            <w:tcBorders>
              <w:top w:val="single" w:sz="4" w:space="0" w:color="auto"/>
              <w:left w:val="nil"/>
              <w:bottom w:val="single" w:sz="4" w:space="0" w:color="auto"/>
              <w:right w:val="nil"/>
            </w:tcBorders>
            <w:hideMark/>
          </w:tcPr>
          <w:p w14:paraId="2AC69FBC" w14:textId="77777777" w:rsidR="00CF0E2D" w:rsidRDefault="00CF0E2D">
            <w:pPr>
              <w:pStyle w:val="InitFigR"/>
              <w:spacing w:line="256" w:lineRule="auto"/>
            </w:pPr>
            <w:r>
              <w:t>2,102</w:t>
            </w:r>
          </w:p>
        </w:tc>
        <w:tc>
          <w:tcPr>
            <w:tcW w:w="1029" w:type="dxa"/>
            <w:tcBorders>
              <w:top w:val="single" w:sz="4" w:space="0" w:color="auto"/>
              <w:left w:val="nil"/>
              <w:bottom w:val="single" w:sz="4" w:space="0" w:color="auto"/>
              <w:right w:val="nil"/>
            </w:tcBorders>
            <w:hideMark/>
          </w:tcPr>
          <w:p w14:paraId="20EAC47E" w14:textId="77777777" w:rsidR="00CF0E2D" w:rsidRDefault="00CF0E2D">
            <w:pPr>
              <w:pStyle w:val="InitFigRBold"/>
              <w:spacing w:line="256" w:lineRule="auto"/>
              <w:rPr>
                <w:b w:val="0"/>
              </w:rPr>
            </w:pPr>
            <w:r>
              <w:t>8,213</w:t>
            </w:r>
          </w:p>
        </w:tc>
      </w:tr>
    </w:tbl>
    <w:p w14:paraId="0FBAAB23" w14:textId="77777777" w:rsidR="00CF0E2D" w:rsidRDefault="00CF0E2D" w:rsidP="00A60D4B">
      <w:pPr>
        <w:pStyle w:val="Bbodytext"/>
      </w:pPr>
      <w:r>
        <w:t xml:space="preserve">The Government will continue to support the Intensive Corrections Order (ICO) scheme, including funding for eight full-time equivalent positions as well as to cover the cost of weekly drug tests for offenders. </w:t>
      </w:r>
    </w:p>
    <w:p w14:paraId="074414B7" w14:textId="77777777" w:rsidR="00CF0E2D" w:rsidRDefault="00CF0E2D" w:rsidP="00A60D4B">
      <w:pPr>
        <w:pStyle w:val="Bbodytext"/>
        <w:rPr>
          <w:i/>
          <w:iCs/>
        </w:rPr>
      </w:pPr>
      <w:r>
        <w:lastRenderedPageBreak/>
        <w:t xml:space="preserve">This initiative builds on the Government’s previous support for the ICO scheme, established as a new sentencing scheme in 2016. </w:t>
      </w:r>
    </w:p>
    <w:p w14:paraId="59DB7065" w14:textId="77777777" w:rsidR="00CF0E2D" w:rsidRDefault="00CF0E2D" w:rsidP="00A60D4B">
      <w:pPr>
        <w:pStyle w:val="Bbodytext"/>
      </w:pPr>
      <w:bookmarkStart w:id="53" w:name="_Hlk78276880"/>
      <w:r>
        <w:t xml:space="preserve">This initiative contributes to the wellbeing domains of Safety, and </w:t>
      </w:r>
      <w:bookmarkEnd w:id="53"/>
      <w:r>
        <w:t>Access and connectivity.</w:t>
      </w:r>
    </w:p>
    <w:p w14:paraId="5273AA35" w14:textId="77777777" w:rsidR="00CF0E2D" w:rsidRDefault="00CF0E2D" w:rsidP="00A60D4B">
      <w:pPr>
        <w:pStyle w:val="Bbodytext"/>
      </w:pPr>
    </w:p>
    <w:p w14:paraId="3A559316" w14:textId="77777777" w:rsidR="00CF0E2D" w:rsidRDefault="00CF0E2D" w:rsidP="00A60D4B">
      <w:pPr>
        <w:pStyle w:val="Heading4"/>
        <w:rPr>
          <w:rFonts w:eastAsia="Times New Roman"/>
        </w:rPr>
      </w:pPr>
      <w:r>
        <w:rPr>
          <w:rFonts w:eastAsia="Times New Roman"/>
        </w:rPr>
        <w:t xml:space="preserve">Modernising the ACT Ambulance Service </w:t>
      </w:r>
      <w:r>
        <w:rPr>
          <w:b w:val="0"/>
          <w:noProof/>
          <w:color w:val="999789"/>
          <w:sz w:val="32"/>
          <w:szCs w:val="24"/>
        </w:rPr>
        <w:drawing>
          <wp:anchor distT="0" distB="0" distL="114300" distR="114300" simplePos="0" relativeHeight="251891712" behindDoc="0" locked="1" layoutInCell="1" allowOverlap="1" wp14:anchorId="37412FA7" wp14:editId="5ACDDFE0">
            <wp:simplePos x="0" y="0"/>
            <wp:positionH relativeFrom="margin">
              <wp:posOffset>4738370</wp:posOffset>
            </wp:positionH>
            <wp:positionV relativeFrom="paragraph">
              <wp:posOffset>-123825</wp:posOffset>
            </wp:positionV>
            <wp:extent cx="993140" cy="503555"/>
            <wp:effectExtent l="0" t="0" r="0" b="0"/>
            <wp:wrapSquare wrapText="bothSides"/>
            <wp:docPr id="198" name="Picture 198" descr="Icon representing the wellbeing indicator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representing the wellbeing indicator of Health"/>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314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5" w:type="dxa"/>
        <w:jc w:val="center"/>
        <w:tblLayout w:type="fixed"/>
        <w:tblLook w:val="04A0" w:firstRow="1" w:lastRow="0" w:firstColumn="1" w:lastColumn="0" w:noHBand="0" w:noVBand="1"/>
      </w:tblPr>
      <w:tblGrid>
        <w:gridCol w:w="3649"/>
        <w:gridCol w:w="1178"/>
        <w:gridCol w:w="1041"/>
        <w:gridCol w:w="1029"/>
        <w:gridCol w:w="1029"/>
        <w:gridCol w:w="1029"/>
      </w:tblGrid>
      <w:tr w:rsidR="00CF0E2D" w14:paraId="12C03668" w14:textId="77777777" w:rsidTr="00A60D4B">
        <w:trPr>
          <w:cantSplit/>
          <w:jc w:val="center"/>
        </w:trPr>
        <w:tc>
          <w:tcPr>
            <w:tcW w:w="3649" w:type="dxa"/>
            <w:tcBorders>
              <w:top w:val="single" w:sz="4" w:space="0" w:color="auto"/>
              <w:left w:val="nil"/>
              <w:bottom w:val="single" w:sz="4" w:space="0" w:color="auto"/>
              <w:right w:val="nil"/>
            </w:tcBorders>
            <w:hideMark/>
          </w:tcPr>
          <w:p w14:paraId="7FF8990A" w14:textId="77777777" w:rsidR="00CF0E2D" w:rsidRDefault="00CF0E2D">
            <w:pPr>
              <w:pStyle w:val="EmptyCell0"/>
              <w:keepNext/>
              <w:keepLines/>
              <w:spacing w:line="256" w:lineRule="auto"/>
            </w:pPr>
            <w:r>
              <w:t>Empty Cell</w:t>
            </w:r>
          </w:p>
        </w:tc>
        <w:tc>
          <w:tcPr>
            <w:tcW w:w="1178" w:type="dxa"/>
            <w:tcBorders>
              <w:top w:val="single" w:sz="4" w:space="0" w:color="auto"/>
              <w:left w:val="nil"/>
              <w:bottom w:val="single" w:sz="4" w:space="0" w:color="auto"/>
              <w:right w:val="nil"/>
            </w:tcBorders>
            <w:hideMark/>
          </w:tcPr>
          <w:p w14:paraId="7F1423F8" w14:textId="77777777" w:rsidR="00CF0E2D" w:rsidRPr="00D86226" w:rsidRDefault="00CF0E2D">
            <w:pPr>
              <w:pStyle w:val="InitFigR"/>
              <w:keepNext/>
              <w:keepLines/>
              <w:spacing w:line="256" w:lineRule="auto"/>
              <w:rPr>
                <w:b/>
                <w:bCs/>
              </w:rPr>
            </w:pPr>
            <w:r w:rsidRPr="00D86226">
              <w:rPr>
                <w:b/>
                <w:bCs/>
              </w:rPr>
              <w:t>2021-22</w:t>
            </w:r>
          </w:p>
          <w:p w14:paraId="42B4CD5E" w14:textId="77777777" w:rsidR="00CF0E2D" w:rsidRPr="00D86226" w:rsidRDefault="00CF0E2D">
            <w:pPr>
              <w:pStyle w:val="InitFigR"/>
              <w:keepNext/>
              <w:keepLines/>
              <w:spacing w:line="256" w:lineRule="auto"/>
              <w:rPr>
                <w:b/>
                <w:bCs/>
              </w:rPr>
            </w:pPr>
            <w:r w:rsidRPr="00D86226">
              <w:rPr>
                <w:b/>
                <w:bCs/>
              </w:rPr>
              <w:t>$’000</w:t>
            </w:r>
          </w:p>
        </w:tc>
        <w:tc>
          <w:tcPr>
            <w:tcW w:w="1041" w:type="dxa"/>
            <w:tcBorders>
              <w:top w:val="single" w:sz="4" w:space="0" w:color="auto"/>
              <w:left w:val="nil"/>
              <w:bottom w:val="single" w:sz="4" w:space="0" w:color="auto"/>
              <w:right w:val="nil"/>
            </w:tcBorders>
            <w:hideMark/>
          </w:tcPr>
          <w:p w14:paraId="2D3754C2" w14:textId="77777777" w:rsidR="00CF0E2D" w:rsidRPr="00D86226" w:rsidRDefault="00CF0E2D">
            <w:pPr>
              <w:pStyle w:val="InitFigR"/>
              <w:keepNext/>
              <w:keepLines/>
              <w:spacing w:line="256" w:lineRule="auto"/>
              <w:rPr>
                <w:b/>
                <w:bCs/>
              </w:rPr>
            </w:pPr>
            <w:r w:rsidRPr="00D86226">
              <w:rPr>
                <w:b/>
                <w:bCs/>
              </w:rPr>
              <w:t>2022-23</w:t>
            </w:r>
          </w:p>
          <w:p w14:paraId="3EBB6680" w14:textId="77777777" w:rsidR="00CF0E2D" w:rsidRPr="00D86226" w:rsidRDefault="00CF0E2D">
            <w:pPr>
              <w:pStyle w:val="InitFigR"/>
              <w:keepNext/>
              <w:keepLines/>
              <w:spacing w:line="256" w:lineRule="auto"/>
              <w:rPr>
                <w:b/>
                <w:bCs/>
              </w:rPr>
            </w:pPr>
            <w:r w:rsidRPr="00D86226">
              <w:rPr>
                <w:b/>
                <w:bCs/>
              </w:rPr>
              <w:t>$’000</w:t>
            </w:r>
          </w:p>
        </w:tc>
        <w:tc>
          <w:tcPr>
            <w:tcW w:w="1029" w:type="dxa"/>
            <w:tcBorders>
              <w:top w:val="single" w:sz="4" w:space="0" w:color="auto"/>
              <w:left w:val="nil"/>
              <w:bottom w:val="single" w:sz="4" w:space="0" w:color="auto"/>
              <w:right w:val="nil"/>
            </w:tcBorders>
            <w:hideMark/>
          </w:tcPr>
          <w:p w14:paraId="3658160A" w14:textId="77777777" w:rsidR="00CF0E2D" w:rsidRPr="00D86226" w:rsidRDefault="00CF0E2D">
            <w:pPr>
              <w:pStyle w:val="InitFigR"/>
              <w:keepNext/>
              <w:keepLines/>
              <w:spacing w:line="256" w:lineRule="auto"/>
              <w:rPr>
                <w:b/>
                <w:bCs/>
              </w:rPr>
            </w:pPr>
            <w:r w:rsidRPr="00D86226">
              <w:rPr>
                <w:b/>
                <w:bCs/>
              </w:rPr>
              <w:t>2023-24</w:t>
            </w:r>
          </w:p>
          <w:p w14:paraId="6C5259CB" w14:textId="77777777" w:rsidR="00CF0E2D" w:rsidRPr="00D86226" w:rsidRDefault="00CF0E2D">
            <w:pPr>
              <w:pStyle w:val="InitFigR"/>
              <w:keepNext/>
              <w:keepLines/>
              <w:spacing w:line="256" w:lineRule="auto"/>
              <w:rPr>
                <w:b/>
                <w:bCs/>
              </w:rPr>
            </w:pPr>
            <w:r w:rsidRPr="00D86226">
              <w:rPr>
                <w:b/>
                <w:bCs/>
              </w:rPr>
              <w:t>$’000</w:t>
            </w:r>
          </w:p>
        </w:tc>
        <w:tc>
          <w:tcPr>
            <w:tcW w:w="1029" w:type="dxa"/>
            <w:tcBorders>
              <w:top w:val="single" w:sz="4" w:space="0" w:color="auto"/>
              <w:left w:val="nil"/>
              <w:bottom w:val="single" w:sz="4" w:space="0" w:color="auto"/>
              <w:right w:val="nil"/>
            </w:tcBorders>
            <w:hideMark/>
          </w:tcPr>
          <w:p w14:paraId="2E4BAA9F" w14:textId="77777777" w:rsidR="00CF0E2D" w:rsidRPr="00D86226" w:rsidRDefault="00CF0E2D">
            <w:pPr>
              <w:pStyle w:val="InitFigR"/>
              <w:keepNext/>
              <w:keepLines/>
              <w:spacing w:line="256" w:lineRule="auto"/>
              <w:rPr>
                <w:b/>
                <w:bCs/>
              </w:rPr>
            </w:pPr>
            <w:r w:rsidRPr="00D86226">
              <w:rPr>
                <w:b/>
                <w:bCs/>
              </w:rPr>
              <w:t>2024-25</w:t>
            </w:r>
          </w:p>
          <w:p w14:paraId="27DD6291" w14:textId="77777777" w:rsidR="00CF0E2D" w:rsidRPr="00D86226" w:rsidRDefault="00CF0E2D">
            <w:pPr>
              <w:pStyle w:val="InitFigR"/>
              <w:keepNext/>
              <w:keepLines/>
              <w:spacing w:line="256" w:lineRule="auto"/>
              <w:rPr>
                <w:b/>
                <w:bCs/>
              </w:rPr>
            </w:pPr>
            <w:r w:rsidRPr="00D86226">
              <w:rPr>
                <w:b/>
                <w:bCs/>
              </w:rPr>
              <w:t>$’000</w:t>
            </w:r>
          </w:p>
        </w:tc>
        <w:tc>
          <w:tcPr>
            <w:tcW w:w="1029" w:type="dxa"/>
            <w:tcBorders>
              <w:top w:val="single" w:sz="4" w:space="0" w:color="auto"/>
              <w:left w:val="nil"/>
              <w:bottom w:val="single" w:sz="4" w:space="0" w:color="auto"/>
              <w:right w:val="nil"/>
            </w:tcBorders>
            <w:hideMark/>
          </w:tcPr>
          <w:p w14:paraId="731B0F1E" w14:textId="77777777" w:rsidR="00CF0E2D" w:rsidRDefault="00CF0E2D">
            <w:pPr>
              <w:pStyle w:val="InitFigRBold"/>
              <w:keepNext/>
              <w:keepLines/>
              <w:spacing w:line="256" w:lineRule="auto"/>
            </w:pPr>
            <w:r>
              <w:t>Total</w:t>
            </w:r>
          </w:p>
          <w:p w14:paraId="701FE5CF" w14:textId="77777777" w:rsidR="00CF0E2D" w:rsidRDefault="00CF0E2D">
            <w:pPr>
              <w:pStyle w:val="InitFigBR"/>
              <w:keepNext/>
              <w:keepLines/>
              <w:spacing w:line="256" w:lineRule="auto"/>
            </w:pPr>
            <w:r>
              <w:t>$’000</w:t>
            </w:r>
          </w:p>
        </w:tc>
      </w:tr>
      <w:tr w:rsidR="00CF0E2D" w14:paraId="4BE48F66" w14:textId="77777777" w:rsidTr="00A60D4B">
        <w:trPr>
          <w:cantSplit/>
          <w:jc w:val="center"/>
        </w:trPr>
        <w:tc>
          <w:tcPr>
            <w:tcW w:w="3649" w:type="dxa"/>
            <w:tcBorders>
              <w:top w:val="single" w:sz="4" w:space="0" w:color="auto"/>
              <w:left w:val="nil"/>
              <w:bottom w:val="nil"/>
              <w:right w:val="nil"/>
            </w:tcBorders>
            <w:hideMark/>
          </w:tcPr>
          <w:p w14:paraId="72F3DF29" w14:textId="77777777" w:rsidR="00CF0E2D" w:rsidRPr="00D86226" w:rsidRDefault="00CF0E2D">
            <w:pPr>
              <w:pStyle w:val="InitTextL"/>
              <w:keepNext/>
              <w:keepLines/>
              <w:spacing w:line="256" w:lineRule="auto"/>
              <w:ind w:left="321" w:hanging="321"/>
            </w:pPr>
            <w:r w:rsidRPr="00D86226">
              <w:t>Capital</w:t>
            </w:r>
          </w:p>
        </w:tc>
        <w:tc>
          <w:tcPr>
            <w:tcW w:w="1178" w:type="dxa"/>
            <w:tcBorders>
              <w:top w:val="single" w:sz="4" w:space="0" w:color="auto"/>
              <w:left w:val="nil"/>
              <w:bottom w:val="nil"/>
              <w:right w:val="nil"/>
            </w:tcBorders>
            <w:hideMark/>
          </w:tcPr>
          <w:p w14:paraId="10C52E9E" w14:textId="77777777" w:rsidR="00CF0E2D" w:rsidRPr="00D86226" w:rsidRDefault="00CF0E2D">
            <w:pPr>
              <w:pStyle w:val="InitFigR"/>
              <w:keepNext/>
              <w:keepLines/>
              <w:spacing w:line="256" w:lineRule="auto"/>
            </w:pPr>
            <w:r w:rsidRPr="00D86226">
              <w:rPr>
                <w:rFonts w:cs="Calibri"/>
                <w:lang w:eastAsia="en-AU"/>
              </w:rPr>
              <w:t>640</w:t>
            </w:r>
          </w:p>
        </w:tc>
        <w:tc>
          <w:tcPr>
            <w:tcW w:w="1041" w:type="dxa"/>
            <w:tcBorders>
              <w:top w:val="single" w:sz="4" w:space="0" w:color="auto"/>
              <w:left w:val="nil"/>
              <w:bottom w:val="nil"/>
              <w:right w:val="nil"/>
            </w:tcBorders>
            <w:hideMark/>
          </w:tcPr>
          <w:p w14:paraId="779A2DA6" w14:textId="77777777" w:rsidR="00CF0E2D" w:rsidRPr="00D86226" w:rsidRDefault="00CF0E2D">
            <w:pPr>
              <w:pStyle w:val="InitFigR"/>
              <w:keepNext/>
              <w:keepLines/>
              <w:spacing w:line="256" w:lineRule="auto"/>
            </w:pPr>
            <w:r w:rsidRPr="00D86226">
              <w:rPr>
                <w:rFonts w:cs="Calibri"/>
                <w:lang w:eastAsia="en-AU"/>
              </w:rPr>
              <w:t>0</w:t>
            </w:r>
          </w:p>
        </w:tc>
        <w:tc>
          <w:tcPr>
            <w:tcW w:w="1029" w:type="dxa"/>
            <w:tcBorders>
              <w:top w:val="single" w:sz="4" w:space="0" w:color="auto"/>
              <w:left w:val="nil"/>
              <w:bottom w:val="nil"/>
              <w:right w:val="nil"/>
            </w:tcBorders>
            <w:hideMark/>
          </w:tcPr>
          <w:p w14:paraId="70D639BB" w14:textId="77777777" w:rsidR="00CF0E2D" w:rsidRPr="00D86226" w:rsidRDefault="00CF0E2D">
            <w:pPr>
              <w:pStyle w:val="InitFigR"/>
              <w:keepNext/>
              <w:keepLines/>
              <w:spacing w:line="256" w:lineRule="auto"/>
            </w:pPr>
            <w:r w:rsidRPr="00D86226">
              <w:rPr>
                <w:rFonts w:cs="Calibri"/>
                <w:lang w:eastAsia="en-AU"/>
              </w:rPr>
              <w:t>0</w:t>
            </w:r>
          </w:p>
        </w:tc>
        <w:tc>
          <w:tcPr>
            <w:tcW w:w="1029" w:type="dxa"/>
            <w:tcBorders>
              <w:top w:val="single" w:sz="4" w:space="0" w:color="auto"/>
              <w:left w:val="nil"/>
              <w:bottom w:val="nil"/>
              <w:right w:val="nil"/>
            </w:tcBorders>
            <w:hideMark/>
          </w:tcPr>
          <w:p w14:paraId="6571A1A9" w14:textId="77777777" w:rsidR="00CF0E2D" w:rsidRPr="00D86226" w:rsidRDefault="00CF0E2D">
            <w:pPr>
              <w:pStyle w:val="InitFigR"/>
              <w:keepNext/>
              <w:keepLines/>
              <w:spacing w:line="256" w:lineRule="auto"/>
            </w:pPr>
            <w:r w:rsidRPr="00D86226">
              <w:rPr>
                <w:rFonts w:cs="Calibri"/>
                <w:lang w:eastAsia="en-AU"/>
              </w:rPr>
              <w:t>0</w:t>
            </w:r>
          </w:p>
        </w:tc>
        <w:tc>
          <w:tcPr>
            <w:tcW w:w="1029" w:type="dxa"/>
            <w:tcBorders>
              <w:top w:val="single" w:sz="4" w:space="0" w:color="auto"/>
              <w:left w:val="nil"/>
              <w:bottom w:val="nil"/>
              <w:right w:val="nil"/>
            </w:tcBorders>
            <w:hideMark/>
          </w:tcPr>
          <w:p w14:paraId="5353AB6E" w14:textId="77777777" w:rsidR="00CF0E2D" w:rsidRDefault="00CF0E2D">
            <w:pPr>
              <w:pStyle w:val="InitFigRBold"/>
              <w:keepNext/>
              <w:keepLines/>
              <w:spacing w:line="256" w:lineRule="auto"/>
              <w:rPr>
                <w:b w:val="0"/>
              </w:rPr>
            </w:pPr>
            <w:r>
              <w:rPr>
                <w:rFonts w:cs="Calibri"/>
                <w:bCs/>
                <w:lang w:eastAsia="en-AU"/>
              </w:rPr>
              <w:t>640</w:t>
            </w:r>
          </w:p>
        </w:tc>
      </w:tr>
      <w:tr w:rsidR="00CF0E2D" w14:paraId="65F5D0EC" w14:textId="77777777" w:rsidTr="00A60D4B">
        <w:trPr>
          <w:cantSplit/>
          <w:jc w:val="center"/>
        </w:trPr>
        <w:tc>
          <w:tcPr>
            <w:tcW w:w="3649" w:type="dxa"/>
            <w:tcBorders>
              <w:top w:val="single" w:sz="4" w:space="0" w:color="auto"/>
              <w:left w:val="nil"/>
              <w:bottom w:val="nil"/>
              <w:right w:val="nil"/>
            </w:tcBorders>
            <w:hideMark/>
          </w:tcPr>
          <w:p w14:paraId="1A5E203D" w14:textId="77777777" w:rsidR="00CF0E2D" w:rsidRDefault="00CF0E2D">
            <w:pPr>
              <w:pStyle w:val="InitTextL"/>
              <w:keepNext/>
              <w:keepLines/>
              <w:spacing w:line="256" w:lineRule="auto"/>
              <w:ind w:left="321" w:hanging="321"/>
              <w:rPr>
                <w:b/>
                <w:bCs/>
              </w:rPr>
            </w:pPr>
            <w:r>
              <w:t>Depreciation</w:t>
            </w:r>
          </w:p>
        </w:tc>
        <w:tc>
          <w:tcPr>
            <w:tcW w:w="1178" w:type="dxa"/>
            <w:tcBorders>
              <w:top w:val="single" w:sz="4" w:space="0" w:color="auto"/>
              <w:left w:val="nil"/>
              <w:bottom w:val="nil"/>
              <w:right w:val="nil"/>
            </w:tcBorders>
            <w:hideMark/>
          </w:tcPr>
          <w:p w14:paraId="28077205" w14:textId="77777777" w:rsidR="00CF0E2D" w:rsidRDefault="00CF0E2D">
            <w:pPr>
              <w:pStyle w:val="InitFigR"/>
              <w:keepNext/>
              <w:keepLines/>
              <w:spacing w:line="256" w:lineRule="auto"/>
            </w:pPr>
            <w:r>
              <w:rPr>
                <w:rFonts w:cs="Calibri"/>
                <w:lang w:eastAsia="en-AU"/>
              </w:rPr>
              <w:t>0</w:t>
            </w:r>
          </w:p>
        </w:tc>
        <w:tc>
          <w:tcPr>
            <w:tcW w:w="1041" w:type="dxa"/>
            <w:tcBorders>
              <w:top w:val="single" w:sz="4" w:space="0" w:color="auto"/>
              <w:left w:val="nil"/>
              <w:bottom w:val="nil"/>
              <w:right w:val="nil"/>
            </w:tcBorders>
            <w:hideMark/>
          </w:tcPr>
          <w:p w14:paraId="40ADE396" w14:textId="77777777" w:rsidR="00CF0E2D" w:rsidRDefault="00CF0E2D">
            <w:pPr>
              <w:pStyle w:val="InitFigR"/>
              <w:keepNext/>
              <w:keepLines/>
              <w:spacing w:line="256" w:lineRule="auto"/>
            </w:pPr>
            <w:r>
              <w:rPr>
                <w:rFonts w:cs="Calibri"/>
                <w:lang w:eastAsia="en-AU"/>
              </w:rPr>
              <w:t>128</w:t>
            </w:r>
          </w:p>
        </w:tc>
        <w:tc>
          <w:tcPr>
            <w:tcW w:w="1029" w:type="dxa"/>
            <w:tcBorders>
              <w:top w:val="single" w:sz="4" w:space="0" w:color="auto"/>
              <w:left w:val="nil"/>
              <w:bottom w:val="nil"/>
              <w:right w:val="nil"/>
            </w:tcBorders>
            <w:hideMark/>
          </w:tcPr>
          <w:p w14:paraId="6A00CD0D" w14:textId="77777777" w:rsidR="00CF0E2D" w:rsidRDefault="00CF0E2D">
            <w:pPr>
              <w:pStyle w:val="InitFigR"/>
              <w:keepNext/>
              <w:keepLines/>
              <w:spacing w:line="256" w:lineRule="auto"/>
            </w:pPr>
            <w:r>
              <w:rPr>
                <w:rFonts w:cs="Calibri"/>
                <w:lang w:eastAsia="en-AU"/>
              </w:rPr>
              <w:t>128</w:t>
            </w:r>
          </w:p>
        </w:tc>
        <w:tc>
          <w:tcPr>
            <w:tcW w:w="1029" w:type="dxa"/>
            <w:tcBorders>
              <w:top w:val="single" w:sz="4" w:space="0" w:color="auto"/>
              <w:left w:val="nil"/>
              <w:bottom w:val="nil"/>
              <w:right w:val="nil"/>
            </w:tcBorders>
            <w:hideMark/>
          </w:tcPr>
          <w:p w14:paraId="3BC76A94" w14:textId="77777777" w:rsidR="00CF0E2D" w:rsidRDefault="00CF0E2D">
            <w:pPr>
              <w:pStyle w:val="InitFigR"/>
              <w:keepNext/>
              <w:keepLines/>
              <w:spacing w:line="256" w:lineRule="auto"/>
            </w:pPr>
            <w:r>
              <w:rPr>
                <w:rFonts w:cs="Calibri"/>
                <w:lang w:eastAsia="en-AU"/>
              </w:rPr>
              <w:t>128</w:t>
            </w:r>
          </w:p>
        </w:tc>
        <w:tc>
          <w:tcPr>
            <w:tcW w:w="1029" w:type="dxa"/>
            <w:tcBorders>
              <w:top w:val="single" w:sz="4" w:space="0" w:color="auto"/>
              <w:left w:val="nil"/>
              <w:bottom w:val="nil"/>
              <w:right w:val="nil"/>
            </w:tcBorders>
            <w:hideMark/>
          </w:tcPr>
          <w:p w14:paraId="6C507718" w14:textId="77777777" w:rsidR="00CF0E2D" w:rsidRDefault="00CF0E2D">
            <w:pPr>
              <w:pStyle w:val="InitFigRBold"/>
              <w:keepNext/>
              <w:keepLines/>
              <w:spacing w:line="256" w:lineRule="auto"/>
              <w:rPr>
                <w:b w:val="0"/>
              </w:rPr>
            </w:pPr>
            <w:r>
              <w:rPr>
                <w:rFonts w:cs="Calibri"/>
                <w:bCs/>
                <w:lang w:eastAsia="en-AU"/>
              </w:rPr>
              <w:t>384</w:t>
            </w:r>
          </w:p>
        </w:tc>
      </w:tr>
      <w:tr w:rsidR="00CF0E2D" w14:paraId="16221F26" w14:textId="77777777" w:rsidTr="00A60D4B">
        <w:trPr>
          <w:cantSplit/>
          <w:jc w:val="center"/>
        </w:trPr>
        <w:tc>
          <w:tcPr>
            <w:tcW w:w="3649" w:type="dxa"/>
            <w:hideMark/>
          </w:tcPr>
          <w:p w14:paraId="225CDBA8" w14:textId="77777777" w:rsidR="00CF0E2D" w:rsidRDefault="00CF0E2D">
            <w:pPr>
              <w:pStyle w:val="InitTextL"/>
              <w:keepNext/>
              <w:keepLines/>
              <w:spacing w:line="256" w:lineRule="auto"/>
              <w:ind w:left="321" w:hanging="321"/>
            </w:pPr>
            <w:r>
              <w:t>Expenses</w:t>
            </w:r>
          </w:p>
        </w:tc>
        <w:tc>
          <w:tcPr>
            <w:tcW w:w="1178" w:type="dxa"/>
            <w:hideMark/>
          </w:tcPr>
          <w:p w14:paraId="5F63816A" w14:textId="77777777" w:rsidR="00CF0E2D" w:rsidRDefault="00CF0E2D">
            <w:pPr>
              <w:pStyle w:val="InitFigR"/>
              <w:keepNext/>
              <w:keepLines/>
              <w:spacing w:line="256" w:lineRule="auto"/>
            </w:pPr>
            <w:r>
              <w:rPr>
                <w:rFonts w:cs="Calibri"/>
                <w:lang w:eastAsia="en-AU"/>
              </w:rPr>
              <w:t>3,301</w:t>
            </w:r>
          </w:p>
        </w:tc>
        <w:tc>
          <w:tcPr>
            <w:tcW w:w="1041" w:type="dxa"/>
            <w:hideMark/>
          </w:tcPr>
          <w:p w14:paraId="0768A0FE" w14:textId="77777777" w:rsidR="00CF0E2D" w:rsidRDefault="00CF0E2D">
            <w:pPr>
              <w:pStyle w:val="InitFigR"/>
              <w:keepNext/>
              <w:keepLines/>
              <w:spacing w:line="256" w:lineRule="auto"/>
            </w:pPr>
            <w:r>
              <w:rPr>
                <w:rFonts w:cs="Calibri"/>
                <w:lang w:eastAsia="en-AU"/>
              </w:rPr>
              <w:t>3,667</w:t>
            </w:r>
          </w:p>
        </w:tc>
        <w:tc>
          <w:tcPr>
            <w:tcW w:w="1029" w:type="dxa"/>
            <w:hideMark/>
          </w:tcPr>
          <w:p w14:paraId="53F4EFD0" w14:textId="77777777" w:rsidR="00CF0E2D" w:rsidRDefault="00CF0E2D">
            <w:pPr>
              <w:pStyle w:val="InitFigR"/>
              <w:keepNext/>
              <w:keepLines/>
              <w:spacing w:line="256" w:lineRule="auto"/>
            </w:pPr>
            <w:r>
              <w:rPr>
                <w:rFonts w:cs="Calibri"/>
                <w:lang w:eastAsia="en-AU"/>
              </w:rPr>
              <w:t>3,743</w:t>
            </w:r>
          </w:p>
        </w:tc>
        <w:tc>
          <w:tcPr>
            <w:tcW w:w="1029" w:type="dxa"/>
            <w:hideMark/>
          </w:tcPr>
          <w:p w14:paraId="76A0D999" w14:textId="77777777" w:rsidR="00CF0E2D" w:rsidRDefault="00CF0E2D">
            <w:pPr>
              <w:pStyle w:val="InitFigR"/>
              <w:keepNext/>
              <w:keepLines/>
              <w:spacing w:line="256" w:lineRule="auto"/>
            </w:pPr>
            <w:r>
              <w:rPr>
                <w:rFonts w:cs="Calibri"/>
                <w:lang w:eastAsia="en-AU"/>
              </w:rPr>
              <w:t>3,842</w:t>
            </w:r>
          </w:p>
        </w:tc>
        <w:tc>
          <w:tcPr>
            <w:tcW w:w="1029" w:type="dxa"/>
            <w:hideMark/>
          </w:tcPr>
          <w:p w14:paraId="13C8B706" w14:textId="77777777" w:rsidR="00CF0E2D" w:rsidRDefault="00CF0E2D">
            <w:pPr>
              <w:pStyle w:val="InitFigBR"/>
              <w:keepNext/>
              <w:keepLines/>
              <w:spacing w:line="256" w:lineRule="auto"/>
            </w:pPr>
            <w:r>
              <w:rPr>
                <w:rFonts w:cs="Calibri"/>
                <w:bCs/>
                <w:lang w:eastAsia="en-AU"/>
              </w:rPr>
              <w:t>14,553</w:t>
            </w:r>
          </w:p>
        </w:tc>
      </w:tr>
      <w:tr w:rsidR="00CF0E2D" w14:paraId="77AE486B" w14:textId="77777777" w:rsidTr="00A60D4B">
        <w:trPr>
          <w:cantSplit/>
          <w:trHeight w:val="107"/>
          <w:jc w:val="center"/>
        </w:trPr>
        <w:tc>
          <w:tcPr>
            <w:tcW w:w="3649" w:type="dxa"/>
            <w:tcBorders>
              <w:top w:val="single" w:sz="4" w:space="0" w:color="auto"/>
              <w:left w:val="nil"/>
              <w:bottom w:val="single" w:sz="4" w:space="0" w:color="auto"/>
              <w:right w:val="nil"/>
            </w:tcBorders>
            <w:hideMark/>
          </w:tcPr>
          <w:p w14:paraId="3611B099" w14:textId="77777777" w:rsidR="00CF0E2D" w:rsidRDefault="00CF0E2D">
            <w:pPr>
              <w:pStyle w:val="InitFigLBold"/>
              <w:keepNext/>
              <w:keepLines/>
              <w:spacing w:line="256" w:lineRule="auto"/>
              <w:ind w:left="321" w:hanging="321"/>
            </w:pPr>
            <w:r>
              <w:t>Net cost of services</w:t>
            </w:r>
          </w:p>
        </w:tc>
        <w:tc>
          <w:tcPr>
            <w:tcW w:w="1178" w:type="dxa"/>
            <w:tcBorders>
              <w:top w:val="single" w:sz="4" w:space="0" w:color="auto"/>
              <w:left w:val="nil"/>
              <w:bottom w:val="single" w:sz="4" w:space="0" w:color="auto"/>
              <w:right w:val="nil"/>
            </w:tcBorders>
            <w:hideMark/>
          </w:tcPr>
          <w:p w14:paraId="5FB0B579" w14:textId="77777777" w:rsidR="00CF0E2D" w:rsidRDefault="00CF0E2D">
            <w:pPr>
              <w:pStyle w:val="InitFigRBold"/>
              <w:keepNext/>
              <w:keepLines/>
              <w:spacing w:line="256" w:lineRule="auto"/>
            </w:pPr>
            <w:r>
              <w:rPr>
                <w:rFonts w:cs="Calibri"/>
                <w:bCs/>
                <w:lang w:eastAsia="en-AU"/>
              </w:rPr>
              <w:t>3,301</w:t>
            </w:r>
          </w:p>
        </w:tc>
        <w:tc>
          <w:tcPr>
            <w:tcW w:w="1041" w:type="dxa"/>
            <w:tcBorders>
              <w:top w:val="single" w:sz="4" w:space="0" w:color="auto"/>
              <w:left w:val="nil"/>
              <w:bottom w:val="single" w:sz="4" w:space="0" w:color="auto"/>
              <w:right w:val="nil"/>
            </w:tcBorders>
            <w:hideMark/>
          </w:tcPr>
          <w:p w14:paraId="192EBF45" w14:textId="77777777" w:rsidR="00CF0E2D" w:rsidRDefault="00CF0E2D">
            <w:pPr>
              <w:pStyle w:val="InitFigRBold"/>
              <w:keepNext/>
              <w:keepLines/>
              <w:spacing w:line="256" w:lineRule="auto"/>
            </w:pPr>
            <w:r>
              <w:rPr>
                <w:rFonts w:cs="Calibri"/>
                <w:bCs/>
                <w:lang w:eastAsia="en-AU"/>
              </w:rPr>
              <w:t>3,795</w:t>
            </w:r>
          </w:p>
        </w:tc>
        <w:tc>
          <w:tcPr>
            <w:tcW w:w="1029" w:type="dxa"/>
            <w:tcBorders>
              <w:top w:val="single" w:sz="4" w:space="0" w:color="auto"/>
              <w:left w:val="nil"/>
              <w:bottom w:val="single" w:sz="4" w:space="0" w:color="auto"/>
              <w:right w:val="nil"/>
            </w:tcBorders>
            <w:hideMark/>
          </w:tcPr>
          <w:p w14:paraId="316C8B84" w14:textId="77777777" w:rsidR="00CF0E2D" w:rsidRDefault="00CF0E2D">
            <w:pPr>
              <w:pStyle w:val="InitFigRBold"/>
              <w:keepNext/>
              <w:keepLines/>
              <w:spacing w:line="256" w:lineRule="auto"/>
            </w:pPr>
            <w:r>
              <w:rPr>
                <w:rFonts w:cs="Calibri"/>
                <w:bCs/>
                <w:lang w:eastAsia="en-AU"/>
              </w:rPr>
              <w:t>3,871</w:t>
            </w:r>
          </w:p>
        </w:tc>
        <w:tc>
          <w:tcPr>
            <w:tcW w:w="1029" w:type="dxa"/>
            <w:tcBorders>
              <w:top w:val="single" w:sz="4" w:space="0" w:color="auto"/>
              <w:left w:val="nil"/>
              <w:bottom w:val="single" w:sz="4" w:space="0" w:color="auto"/>
              <w:right w:val="nil"/>
            </w:tcBorders>
            <w:hideMark/>
          </w:tcPr>
          <w:p w14:paraId="2C310B70" w14:textId="77777777" w:rsidR="00CF0E2D" w:rsidRDefault="00CF0E2D">
            <w:pPr>
              <w:pStyle w:val="InitFigRBold"/>
              <w:keepNext/>
              <w:keepLines/>
              <w:spacing w:line="256" w:lineRule="auto"/>
            </w:pPr>
            <w:r>
              <w:rPr>
                <w:rFonts w:cs="Calibri"/>
                <w:bCs/>
                <w:lang w:eastAsia="en-AU"/>
              </w:rPr>
              <w:t>3,970</w:t>
            </w:r>
          </w:p>
        </w:tc>
        <w:tc>
          <w:tcPr>
            <w:tcW w:w="1029" w:type="dxa"/>
            <w:tcBorders>
              <w:top w:val="single" w:sz="4" w:space="0" w:color="auto"/>
              <w:left w:val="nil"/>
              <w:bottom w:val="single" w:sz="4" w:space="0" w:color="auto"/>
              <w:right w:val="nil"/>
            </w:tcBorders>
            <w:hideMark/>
          </w:tcPr>
          <w:p w14:paraId="7090A246" w14:textId="77777777" w:rsidR="00CF0E2D" w:rsidRDefault="00CF0E2D">
            <w:pPr>
              <w:pStyle w:val="InitFigRBold"/>
              <w:keepNext/>
              <w:keepLines/>
              <w:spacing w:line="256" w:lineRule="auto"/>
            </w:pPr>
            <w:r>
              <w:rPr>
                <w:rFonts w:cs="Calibri"/>
                <w:bCs/>
                <w:lang w:eastAsia="en-AU"/>
              </w:rPr>
              <w:t>14,937</w:t>
            </w:r>
          </w:p>
        </w:tc>
      </w:tr>
    </w:tbl>
    <w:p w14:paraId="741D2DC6" w14:textId="77777777" w:rsidR="00CF0E2D" w:rsidRDefault="00CF0E2D" w:rsidP="00A60D4B">
      <w:pPr>
        <w:pStyle w:val="Bbodytext"/>
        <w:rPr>
          <w:snapToGrid w:val="0"/>
          <w:lang w:eastAsia="en-AU"/>
        </w:rPr>
      </w:pPr>
      <w:r>
        <w:rPr>
          <w:snapToGrid w:val="0"/>
          <w:lang w:eastAsia="en-AU"/>
        </w:rPr>
        <w:t xml:space="preserve">The Government is further increasing investment in the ACT Ambulance Service (ACTAS) to boost its capability to respond to emergencies and support our growing city into the future. This funding will continue the transformation of the ACTAS, helping modernise and sustain the service with additional behind-the-scenes capability to support growing frontline demand. </w:t>
      </w:r>
    </w:p>
    <w:p w14:paraId="1E71FD58" w14:textId="77777777" w:rsidR="00CF0E2D" w:rsidRDefault="00CF0E2D" w:rsidP="00A60D4B">
      <w:pPr>
        <w:pStyle w:val="Bbodytext"/>
      </w:pPr>
      <w:r>
        <w:rPr>
          <w:snapToGrid w:val="0"/>
          <w:lang w:eastAsia="en-AU"/>
        </w:rPr>
        <w:t xml:space="preserve">This includes new Paramedic Duty Officers and staff resources for the Emergency 000 Communication Centre, Infection Control Officer, Research and Data Management Officer, ICT Connectivity Support Officer and a Transformation and Capability Development Team. </w:t>
      </w:r>
    </w:p>
    <w:p w14:paraId="1610C88D" w14:textId="77777777" w:rsidR="00CF0E2D" w:rsidRDefault="00CF0E2D" w:rsidP="00A60D4B">
      <w:pPr>
        <w:pStyle w:val="Bbodytext"/>
      </w:pPr>
      <w:r>
        <w:t xml:space="preserve">This initiative builds on continued Government support to ACTAS, including additional staff resources provided for the Emergency 000 Communication Centre and additional paramedics and ambulances, in order to boost the capacity of ACTAS to respond to the needs of a growing population. </w:t>
      </w:r>
    </w:p>
    <w:p w14:paraId="1CEA89D0" w14:textId="77777777" w:rsidR="00CF0E2D" w:rsidRDefault="00CF0E2D" w:rsidP="00A60D4B">
      <w:pPr>
        <w:pStyle w:val="Bbodytext"/>
      </w:pPr>
      <w:r>
        <w:t xml:space="preserve">This initiative contributes to the wellbeing domains of </w:t>
      </w:r>
      <w:sdt>
        <w:sdtPr>
          <w:alias w:val="Domain"/>
          <w:tag w:val="Domain"/>
          <w:id w:val="-1959707407"/>
          <w:placeholder>
            <w:docPart w:val="D9E2812AFEB94A6B81D8CB4B3829853E"/>
          </w:placeholder>
          <w:dropDownList>
            <w:listItem w:value="Choose an item."/>
            <w:listItem w:displayText="Access and connectivity" w:value="Access and connectivity"/>
            <w:listItem w:displayText="Economy" w:value="Economy"/>
            <w:listItem w:displayText="Education and life-long learning" w:value="Education and life-long learning"/>
            <w:listItem w:displayText="Environment and climate" w:value="Environment and climate"/>
            <w:listItem w:displayText="Governance and institutions" w:value="Governance and institutions"/>
            <w:listItem w:displayText="Health" w:value="Health"/>
            <w:listItem w:displayText="Housing and home" w:value="Housing and home"/>
            <w:listItem w:displayText="Identity and belonging" w:value="Identity and belonging"/>
            <w:listItem w:displayText="Living standards" w:value="Living standards"/>
            <w:listItem w:displayText="Safety" w:value="Safety"/>
            <w:listItem w:displayText="Social connection" w:value="Social connection"/>
            <w:listItem w:displayText="Time" w:value="Time"/>
          </w:dropDownList>
        </w:sdtPr>
        <w:sdtEndPr/>
        <w:sdtContent>
          <w:r>
            <w:t>Health</w:t>
          </w:r>
        </w:sdtContent>
      </w:sdt>
      <w:r>
        <w:t xml:space="preserve"> and Safety.</w:t>
      </w:r>
    </w:p>
    <w:p w14:paraId="6CB5BA11" w14:textId="77777777" w:rsidR="00CF0E2D" w:rsidRDefault="00CF0E2D" w:rsidP="00A60D4B">
      <w:pPr>
        <w:pStyle w:val="Bbodytext"/>
      </w:pPr>
    </w:p>
    <w:p w14:paraId="12AFFF49" w14:textId="77777777" w:rsidR="00CF0E2D" w:rsidRPr="008B783C" w:rsidRDefault="00CF0E2D" w:rsidP="00A60D4B">
      <w:pPr>
        <w:pStyle w:val="Heading4"/>
        <w:rPr>
          <w:rFonts w:eastAsia="Times New Roman"/>
        </w:rPr>
      </w:pPr>
      <w:r w:rsidRPr="008B783C">
        <w:rPr>
          <w:rFonts w:eastAsia="Times New Roman"/>
        </w:rPr>
        <w:t xml:space="preserve">More </w:t>
      </w:r>
      <w:r>
        <w:rPr>
          <w:rFonts w:eastAsia="Times New Roman"/>
        </w:rPr>
        <w:t>s</w:t>
      </w:r>
      <w:r w:rsidRPr="008B783C">
        <w:rPr>
          <w:rFonts w:eastAsia="Times New Roman"/>
        </w:rPr>
        <w:t xml:space="preserve">upport for the ACT Civil and Administrative Tribunal </w:t>
      </w:r>
      <w:r>
        <w:rPr>
          <w:b w:val="0"/>
          <w:noProof/>
          <w:color w:val="999789"/>
          <w:sz w:val="32"/>
          <w:szCs w:val="24"/>
        </w:rPr>
        <w:drawing>
          <wp:anchor distT="0" distB="0" distL="114300" distR="114300" simplePos="0" relativeHeight="251931648" behindDoc="0" locked="1" layoutInCell="1" allowOverlap="1" wp14:anchorId="271275C9" wp14:editId="0A3D5898">
            <wp:simplePos x="0" y="0"/>
            <wp:positionH relativeFrom="margin">
              <wp:posOffset>4287520</wp:posOffset>
            </wp:positionH>
            <wp:positionV relativeFrom="paragraph">
              <wp:posOffset>74295</wp:posOffset>
            </wp:positionV>
            <wp:extent cx="1421765" cy="503555"/>
            <wp:effectExtent l="0" t="0" r="6985" b="0"/>
            <wp:wrapSquare wrapText="bothSides"/>
            <wp:docPr id="139" name="Picture 139" descr="Icon representing the wellbeing domain of Governance and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con representing the wellbeing domain of Governance and institutions"/>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217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0266D6" w14:paraId="4338E4F1" w14:textId="77777777" w:rsidTr="00A60D4B">
        <w:trPr>
          <w:cantSplit/>
          <w:jc w:val="center"/>
        </w:trPr>
        <w:tc>
          <w:tcPr>
            <w:tcW w:w="3652" w:type="dxa"/>
            <w:tcBorders>
              <w:top w:val="single" w:sz="4" w:space="0" w:color="auto"/>
              <w:bottom w:val="single" w:sz="4" w:space="0" w:color="auto"/>
            </w:tcBorders>
          </w:tcPr>
          <w:p w14:paraId="04E15696" w14:textId="77777777" w:rsidR="00CF0E2D" w:rsidRPr="000266D6" w:rsidRDefault="00CF0E2D" w:rsidP="00A60D4B">
            <w:pPr>
              <w:pStyle w:val="EmptyCell0"/>
              <w:keepNext/>
              <w:keepLines/>
            </w:pPr>
            <w:r w:rsidRPr="000266D6">
              <w:t>Empty Cell</w:t>
            </w:r>
          </w:p>
        </w:tc>
        <w:tc>
          <w:tcPr>
            <w:tcW w:w="1179" w:type="dxa"/>
            <w:tcBorders>
              <w:top w:val="single" w:sz="4" w:space="0" w:color="auto"/>
              <w:bottom w:val="single" w:sz="4" w:space="0" w:color="auto"/>
            </w:tcBorders>
          </w:tcPr>
          <w:p w14:paraId="53C35B68" w14:textId="77777777" w:rsidR="00CF0E2D" w:rsidRPr="001B62CB" w:rsidRDefault="00CF0E2D" w:rsidP="00A60D4B">
            <w:pPr>
              <w:pStyle w:val="InitFigR"/>
              <w:keepNext/>
              <w:keepLines/>
              <w:rPr>
                <w:b/>
                <w:bCs/>
              </w:rPr>
            </w:pPr>
            <w:r w:rsidRPr="001B62CB">
              <w:rPr>
                <w:b/>
                <w:bCs/>
              </w:rPr>
              <w:t>2021-22</w:t>
            </w:r>
          </w:p>
          <w:p w14:paraId="0896975A" w14:textId="77777777" w:rsidR="00CF0E2D" w:rsidRPr="001B62CB" w:rsidRDefault="00CF0E2D" w:rsidP="00A60D4B">
            <w:pPr>
              <w:pStyle w:val="InitFigR"/>
              <w:keepNext/>
              <w:keepLines/>
              <w:rPr>
                <w:b/>
                <w:bCs/>
              </w:rPr>
            </w:pPr>
            <w:r w:rsidRPr="001B62CB">
              <w:rPr>
                <w:b/>
                <w:bCs/>
              </w:rPr>
              <w:t>$’000</w:t>
            </w:r>
          </w:p>
        </w:tc>
        <w:tc>
          <w:tcPr>
            <w:tcW w:w="1041" w:type="dxa"/>
            <w:tcBorders>
              <w:top w:val="single" w:sz="4" w:space="0" w:color="auto"/>
              <w:bottom w:val="single" w:sz="4" w:space="0" w:color="auto"/>
            </w:tcBorders>
          </w:tcPr>
          <w:p w14:paraId="143900C2" w14:textId="77777777" w:rsidR="00CF0E2D" w:rsidRPr="001B62CB" w:rsidRDefault="00CF0E2D" w:rsidP="00A60D4B">
            <w:pPr>
              <w:pStyle w:val="InitFigR"/>
              <w:keepNext/>
              <w:keepLines/>
              <w:rPr>
                <w:b/>
                <w:bCs/>
              </w:rPr>
            </w:pPr>
            <w:r w:rsidRPr="001B62CB">
              <w:rPr>
                <w:b/>
                <w:bCs/>
              </w:rPr>
              <w:t>2022-23</w:t>
            </w:r>
          </w:p>
          <w:p w14:paraId="69DEDAA1" w14:textId="77777777" w:rsidR="00CF0E2D" w:rsidRPr="001B62CB" w:rsidRDefault="00CF0E2D" w:rsidP="00A60D4B">
            <w:pPr>
              <w:pStyle w:val="InitFigR"/>
              <w:keepNext/>
              <w:keepLines/>
              <w:rPr>
                <w:b/>
                <w:bCs/>
              </w:rPr>
            </w:pPr>
            <w:r w:rsidRPr="001B62CB">
              <w:rPr>
                <w:b/>
                <w:bCs/>
              </w:rPr>
              <w:t>$’000</w:t>
            </w:r>
          </w:p>
        </w:tc>
        <w:tc>
          <w:tcPr>
            <w:tcW w:w="1029" w:type="dxa"/>
            <w:tcBorders>
              <w:top w:val="single" w:sz="4" w:space="0" w:color="auto"/>
              <w:bottom w:val="single" w:sz="4" w:space="0" w:color="auto"/>
            </w:tcBorders>
          </w:tcPr>
          <w:p w14:paraId="25764F9F" w14:textId="77777777" w:rsidR="00CF0E2D" w:rsidRPr="001B62CB" w:rsidRDefault="00CF0E2D" w:rsidP="00A60D4B">
            <w:pPr>
              <w:pStyle w:val="InitFigR"/>
              <w:keepNext/>
              <w:keepLines/>
              <w:rPr>
                <w:b/>
                <w:bCs/>
              </w:rPr>
            </w:pPr>
            <w:r w:rsidRPr="001B62CB">
              <w:rPr>
                <w:b/>
                <w:bCs/>
              </w:rPr>
              <w:t>2023-24</w:t>
            </w:r>
          </w:p>
          <w:p w14:paraId="46D94746" w14:textId="77777777" w:rsidR="00CF0E2D" w:rsidRPr="001B62CB" w:rsidRDefault="00CF0E2D" w:rsidP="00A60D4B">
            <w:pPr>
              <w:pStyle w:val="InitFigR"/>
              <w:keepNext/>
              <w:keepLines/>
              <w:rPr>
                <w:b/>
                <w:bCs/>
              </w:rPr>
            </w:pPr>
            <w:r w:rsidRPr="001B62CB">
              <w:rPr>
                <w:b/>
                <w:bCs/>
              </w:rPr>
              <w:t>$’000</w:t>
            </w:r>
          </w:p>
        </w:tc>
        <w:tc>
          <w:tcPr>
            <w:tcW w:w="1029" w:type="dxa"/>
            <w:tcBorders>
              <w:top w:val="single" w:sz="4" w:space="0" w:color="auto"/>
              <w:bottom w:val="single" w:sz="4" w:space="0" w:color="auto"/>
            </w:tcBorders>
          </w:tcPr>
          <w:p w14:paraId="18903155" w14:textId="77777777" w:rsidR="00CF0E2D" w:rsidRPr="001B62CB" w:rsidRDefault="00CF0E2D" w:rsidP="00A60D4B">
            <w:pPr>
              <w:pStyle w:val="InitFigR"/>
              <w:keepNext/>
              <w:keepLines/>
              <w:rPr>
                <w:b/>
                <w:bCs/>
              </w:rPr>
            </w:pPr>
            <w:r w:rsidRPr="001B62CB">
              <w:rPr>
                <w:b/>
                <w:bCs/>
              </w:rPr>
              <w:t>2024-25</w:t>
            </w:r>
          </w:p>
          <w:p w14:paraId="6EC148BE" w14:textId="77777777" w:rsidR="00CF0E2D" w:rsidRPr="001B62CB" w:rsidRDefault="00CF0E2D" w:rsidP="00A60D4B">
            <w:pPr>
              <w:pStyle w:val="InitFigR"/>
              <w:keepNext/>
              <w:keepLines/>
              <w:rPr>
                <w:b/>
                <w:bCs/>
              </w:rPr>
            </w:pPr>
            <w:r w:rsidRPr="001B62CB">
              <w:rPr>
                <w:b/>
                <w:bCs/>
              </w:rPr>
              <w:t>$’000</w:t>
            </w:r>
          </w:p>
        </w:tc>
        <w:tc>
          <w:tcPr>
            <w:tcW w:w="1029" w:type="dxa"/>
            <w:tcBorders>
              <w:top w:val="single" w:sz="4" w:space="0" w:color="auto"/>
              <w:bottom w:val="single" w:sz="4" w:space="0" w:color="auto"/>
            </w:tcBorders>
          </w:tcPr>
          <w:p w14:paraId="08108A14" w14:textId="77777777" w:rsidR="00CF0E2D" w:rsidRPr="000266D6" w:rsidRDefault="00CF0E2D" w:rsidP="00A60D4B">
            <w:pPr>
              <w:pStyle w:val="InitFigRBold"/>
              <w:keepNext/>
              <w:keepLines/>
            </w:pPr>
            <w:r w:rsidRPr="000266D6">
              <w:t>Total</w:t>
            </w:r>
          </w:p>
          <w:p w14:paraId="7D8DC7DA" w14:textId="77777777" w:rsidR="00CF0E2D" w:rsidRPr="000266D6" w:rsidRDefault="00CF0E2D" w:rsidP="00A60D4B">
            <w:pPr>
              <w:pStyle w:val="InitFigBR"/>
              <w:keepNext/>
              <w:keepLines/>
            </w:pPr>
            <w:r w:rsidRPr="000266D6">
              <w:t>$’000</w:t>
            </w:r>
          </w:p>
        </w:tc>
      </w:tr>
      <w:tr w:rsidR="00CF0E2D" w:rsidRPr="000266D6" w14:paraId="2CCF899C" w14:textId="77777777" w:rsidTr="00A60D4B">
        <w:trPr>
          <w:cantSplit/>
          <w:jc w:val="center"/>
        </w:trPr>
        <w:tc>
          <w:tcPr>
            <w:tcW w:w="3652" w:type="dxa"/>
            <w:tcBorders>
              <w:top w:val="single" w:sz="4" w:space="0" w:color="auto"/>
            </w:tcBorders>
          </w:tcPr>
          <w:p w14:paraId="78B3B702" w14:textId="77777777" w:rsidR="00CF0E2D" w:rsidRPr="000266D6" w:rsidRDefault="00CF0E2D" w:rsidP="00A60D4B">
            <w:pPr>
              <w:pStyle w:val="InitTextL"/>
              <w:keepNext/>
              <w:keepLines/>
              <w:ind w:left="321" w:hanging="321"/>
            </w:pPr>
            <w:r w:rsidRPr="000266D6">
              <w:t>Capital</w:t>
            </w:r>
          </w:p>
        </w:tc>
        <w:tc>
          <w:tcPr>
            <w:tcW w:w="1179" w:type="dxa"/>
            <w:tcBorders>
              <w:top w:val="single" w:sz="4" w:space="0" w:color="auto"/>
            </w:tcBorders>
          </w:tcPr>
          <w:p w14:paraId="2180B02E" w14:textId="77777777" w:rsidR="00CF0E2D" w:rsidRPr="000266D6" w:rsidRDefault="00CF0E2D" w:rsidP="00A60D4B">
            <w:pPr>
              <w:pStyle w:val="InitFigR"/>
              <w:keepNext/>
              <w:keepLines/>
            </w:pPr>
            <w:r w:rsidRPr="000266D6">
              <w:t>6,850</w:t>
            </w:r>
          </w:p>
        </w:tc>
        <w:tc>
          <w:tcPr>
            <w:tcW w:w="1041" w:type="dxa"/>
            <w:tcBorders>
              <w:top w:val="single" w:sz="4" w:space="0" w:color="auto"/>
            </w:tcBorders>
          </w:tcPr>
          <w:p w14:paraId="60F39047" w14:textId="77777777" w:rsidR="00CF0E2D" w:rsidRPr="000266D6" w:rsidRDefault="00CF0E2D" w:rsidP="00A60D4B">
            <w:pPr>
              <w:pStyle w:val="InitFigR"/>
              <w:keepNext/>
              <w:keepLines/>
            </w:pPr>
            <w:r w:rsidRPr="000266D6">
              <w:t>0</w:t>
            </w:r>
          </w:p>
        </w:tc>
        <w:tc>
          <w:tcPr>
            <w:tcW w:w="1029" w:type="dxa"/>
            <w:tcBorders>
              <w:top w:val="single" w:sz="4" w:space="0" w:color="auto"/>
            </w:tcBorders>
          </w:tcPr>
          <w:p w14:paraId="7AF2DD24" w14:textId="77777777" w:rsidR="00CF0E2D" w:rsidRPr="000266D6" w:rsidRDefault="00CF0E2D" w:rsidP="00A60D4B">
            <w:pPr>
              <w:pStyle w:val="InitFigR"/>
              <w:keepNext/>
              <w:keepLines/>
            </w:pPr>
            <w:r w:rsidRPr="000266D6">
              <w:t>0</w:t>
            </w:r>
          </w:p>
        </w:tc>
        <w:tc>
          <w:tcPr>
            <w:tcW w:w="1029" w:type="dxa"/>
            <w:tcBorders>
              <w:top w:val="single" w:sz="4" w:space="0" w:color="auto"/>
            </w:tcBorders>
          </w:tcPr>
          <w:p w14:paraId="521A96C1" w14:textId="77777777" w:rsidR="00CF0E2D" w:rsidRPr="000266D6" w:rsidRDefault="00CF0E2D" w:rsidP="00A60D4B">
            <w:pPr>
              <w:pStyle w:val="InitFigR"/>
              <w:keepNext/>
              <w:keepLines/>
            </w:pPr>
            <w:r w:rsidRPr="000266D6">
              <w:t>0</w:t>
            </w:r>
          </w:p>
        </w:tc>
        <w:tc>
          <w:tcPr>
            <w:tcW w:w="1029" w:type="dxa"/>
            <w:tcBorders>
              <w:top w:val="single" w:sz="4" w:space="0" w:color="auto"/>
            </w:tcBorders>
          </w:tcPr>
          <w:p w14:paraId="61163A82" w14:textId="77777777" w:rsidR="00CF0E2D" w:rsidRPr="001B62CB" w:rsidRDefault="00CF0E2D" w:rsidP="00A60D4B">
            <w:pPr>
              <w:pStyle w:val="InitFigRBold"/>
              <w:keepNext/>
              <w:keepLines/>
              <w:rPr>
                <w:bCs/>
              </w:rPr>
            </w:pPr>
            <w:r w:rsidRPr="001B62CB">
              <w:rPr>
                <w:bCs/>
              </w:rPr>
              <w:t>6,850</w:t>
            </w:r>
          </w:p>
        </w:tc>
      </w:tr>
      <w:tr w:rsidR="00CF0E2D" w:rsidRPr="000266D6" w14:paraId="660F0071" w14:textId="77777777" w:rsidTr="00A60D4B">
        <w:trPr>
          <w:cantSplit/>
          <w:jc w:val="center"/>
        </w:trPr>
        <w:tc>
          <w:tcPr>
            <w:tcW w:w="3652" w:type="dxa"/>
            <w:tcBorders>
              <w:bottom w:val="single" w:sz="4" w:space="0" w:color="auto"/>
            </w:tcBorders>
          </w:tcPr>
          <w:p w14:paraId="30DEED3B" w14:textId="77777777" w:rsidR="00CF0E2D" w:rsidRPr="000266D6" w:rsidRDefault="00CF0E2D" w:rsidP="00A60D4B">
            <w:pPr>
              <w:pStyle w:val="InitTextL"/>
              <w:keepNext/>
              <w:keepLines/>
              <w:ind w:left="321" w:hanging="321"/>
            </w:pPr>
            <w:r w:rsidRPr="000266D6">
              <w:t>Offset – Capital</w:t>
            </w:r>
          </w:p>
        </w:tc>
        <w:tc>
          <w:tcPr>
            <w:tcW w:w="1179" w:type="dxa"/>
            <w:tcBorders>
              <w:bottom w:val="single" w:sz="4" w:space="0" w:color="auto"/>
            </w:tcBorders>
          </w:tcPr>
          <w:p w14:paraId="733FB5D0" w14:textId="77777777" w:rsidR="00CF0E2D" w:rsidRPr="000266D6" w:rsidRDefault="00CF0E2D" w:rsidP="00A60D4B">
            <w:pPr>
              <w:pStyle w:val="InitFigR"/>
              <w:keepNext/>
              <w:keepLines/>
            </w:pPr>
            <w:r w:rsidRPr="000266D6">
              <w:t>-874</w:t>
            </w:r>
          </w:p>
        </w:tc>
        <w:tc>
          <w:tcPr>
            <w:tcW w:w="1041" w:type="dxa"/>
            <w:tcBorders>
              <w:bottom w:val="single" w:sz="4" w:space="0" w:color="auto"/>
            </w:tcBorders>
          </w:tcPr>
          <w:p w14:paraId="6E2EF468" w14:textId="77777777" w:rsidR="00CF0E2D" w:rsidRPr="000266D6" w:rsidRDefault="00CF0E2D" w:rsidP="00A60D4B">
            <w:pPr>
              <w:pStyle w:val="InitFigR"/>
              <w:keepNext/>
              <w:keepLines/>
            </w:pPr>
            <w:r w:rsidRPr="000266D6">
              <w:t>0</w:t>
            </w:r>
          </w:p>
        </w:tc>
        <w:tc>
          <w:tcPr>
            <w:tcW w:w="1029" w:type="dxa"/>
            <w:tcBorders>
              <w:bottom w:val="single" w:sz="4" w:space="0" w:color="auto"/>
            </w:tcBorders>
          </w:tcPr>
          <w:p w14:paraId="1A631FC3" w14:textId="77777777" w:rsidR="00CF0E2D" w:rsidRPr="000266D6" w:rsidRDefault="00CF0E2D" w:rsidP="00A60D4B">
            <w:pPr>
              <w:pStyle w:val="InitFigR"/>
              <w:keepNext/>
              <w:keepLines/>
            </w:pPr>
            <w:r w:rsidRPr="000266D6">
              <w:t>0</w:t>
            </w:r>
          </w:p>
        </w:tc>
        <w:tc>
          <w:tcPr>
            <w:tcW w:w="1029" w:type="dxa"/>
            <w:tcBorders>
              <w:bottom w:val="single" w:sz="4" w:space="0" w:color="auto"/>
            </w:tcBorders>
          </w:tcPr>
          <w:p w14:paraId="67C6378E" w14:textId="77777777" w:rsidR="00CF0E2D" w:rsidRPr="000266D6" w:rsidRDefault="00CF0E2D" w:rsidP="00A60D4B">
            <w:pPr>
              <w:pStyle w:val="InitFigR"/>
              <w:keepNext/>
              <w:keepLines/>
            </w:pPr>
            <w:r w:rsidRPr="000266D6">
              <w:t>0</w:t>
            </w:r>
          </w:p>
        </w:tc>
        <w:tc>
          <w:tcPr>
            <w:tcW w:w="1029" w:type="dxa"/>
            <w:tcBorders>
              <w:bottom w:val="single" w:sz="4" w:space="0" w:color="auto"/>
            </w:tcBorders>
          </w:tcPr>
          <w:p w14:paraId="3A4E39DF" w14:textId="77777777" w:rsidR="00CF0E2D" w:rsidRPr="001B62CB" w:rsidRDefault="00CF0E2D" w:rsidP="00A60D4B">
            <w:pPr>
              <w:pStyle w:val="InitFigRBold"/>
              <w:keepNext/>
              <w:keepLines/>
              <w:rPr>
                <w:bCs/>
              </w:rPr>
            </w:pPr>
            <w:r w:rsidRPr="001B62CB">
              <w:rPr>
                <w:bCs/>
              </w:rPr>
              <w:t>-874</w:t>
            </w:r>
          </w:p>
        </w:tc>
      </w:tr>
      <w:tr w:rsidR="00CF0E2D" w:rsidRPr="000266D6" w14:paraId="7CA86385" w14:textId="77777777" w:rsidTr="00A60D4B">
        <w:trPr>
          <w:cantSplit/>
          <w:jc w:val="center"/>
        </w:trPr>
        <w:tc>
          <w:tcPr>
            <w:tcW w:w="3652" w:type="dxa"/>
            <w:tcBorders>
              <w:top w:val="single" w:sz="4" w:space="0" w:color="auto"/>
              <w:bottom w:val="single" w:sz="4" w:space="0" w:color="auto"/>
            </w:tcBorders>
          </w:tcPr>
          <w:p w14:paraId="6890E67C" w14:textId="620FC312" w:rsidR="00CF0E2D" w:rsidRPr="000266D6" w:rsidRDefault="00F57411" w:rsidP="00A60D4B">
            <w:pPr>
              <w:pStyle w:val="InitTextL"/>
              <w:keepNext/>
              <w:keepLines/>
              <w:ind w:left="321" w:hanging="321"/>
            </w:pPr>
            <w:r>
              <w:rPr>
                <w:b/>
                <w:bCs/>
              </w:rPr>
              <w:t>Net capital</w:t>
            </w:r>
          </w:p>
        </w:tc>
        <w:tc>
          <w:tcPr>
            <w:tcW w:w="1179" w:type="dxa"/>
            <w:tcBorders>
              <w:top w:val="single" w:sz="4" w:space="0" w:color="auto"/>
              <w:bottom w:val="single" w:sz="4" w:space="0" w:color="auto"/>
            </w:tcBorders>
          </w:tcPr>
          <w:p w14:paraId="19E7116B" w14:textId="77777777" w:rsidR="00CF0E2D" w:rsidRPr="000266D6" w:rsidRDefault="00CF0E2D" w:rsidP="00A60D4B">
            <w:pPr>
              <w:pStyle w:val="InitFigR"/>
              <w:keepNext/>
              <w:keepLines/>
            </w:pPr>
            <w:r w:rsidRPr="000266D6">
              <w:rPr>
                <w:b/>
                <w:bCs/>
              </w:rPr>
              <w:t>5,976</w:t>
            </w:r>
          </w:p>
        </w:tc>
        <w:tc>
          <w:tcPr>
            <w:tcW w:w="1041" w:type="dxa"/>
            <w:tcBorders>
              <w:top w:val="single" w:sz="4" w:space="0" w:color="auto"/>
              <w:bottom w:val="single" w:sz="4" w:space="0" w:color="auto"/>
            </w:tcBorders>
          </w:tcPr>
          <w:p w14:paraId="5093FEB3" w14:textId="77777777" w:rsidR="00CF0E2D" w:rsidRPr="000266D6" w:rsidRDefault="00CF0E2D" w:rsidP="00A60D4B">
            <w:pPr>
              <w:pStyle w:val="InitFigR"/>
              <w:keepNext/>
              <w:keepLines/>
            </w:pPr>
            <w:r w:rsidRPr="000266D6">
              <w:rPr>
                <w:b/>
                <w:bCs/>
              </w:rPr>
              <w:t>0</w:t>
            </w:r>
          </w:p>
        </w:tc>
        <w:tc>
          <w:tcPr>
            <w:tcW w:w="1029" w:type="dxa"/>
            <w:tcBorders>
              <w:top w:val="single" w:sz="4" w:space="0" w:color="auto"/>
              <w:bottom w:val="single" w:sz="4" w:space="0" w:color="auto"/>
            </w:tcBorders>
          </w:tcPr>
          <w:p w14:paraId="589F0825" w14:textId="77777777" w:rsidR="00CF0E2D" w:rsidRPr="000266D6" w:rsidRDefault="00CF0E2D" w:rsidP="00A60D4B">
            <w:pPr>
              <w:pStyle w:val="InitFigR"/>
              <w:keepNext/>
              <w:keepLines/>
            </w:pPr>
            <w:r w:rsidRPr="000266D6">
              <w:rPr>
                <w:b/>
                <w:bCs/>
              </w:rPr>
              <w:t>0</w:t>
            </w:r>
          </w:p>
        </w:tc>
        <w:tc>
          <w:tcPr>
            <w:tcW w:w="1029" w:type="dxa"/>
            <w:tcBorders>
              <w:top w:val="single" w:sz="4" w:space="0" w:color="auto"/>
              <w:bottom w:val="single" w:sz="4" w:space="0" w:color="auto"/>
            </w:tcBorders>
          </w:tcPr>
          <w:p w14:paraId="68085B97" w14:textId="77777777" w:rsidR="00CF0E2D" w:rsidRPr="000266D6" w:rsidRDefault="00CF0E2D" w:rsidP="00A60D4B">
            <w:pPr>
              <w:pStyle w:val="InitFigR"/>
              <w:keepNext/>
              <w:keepLines/>
            </w:pPr>
            <w:r w:rsidRPr="000266D6">
              <w:rPr>
                <w:b/>
                <w:bCs/>
              </w:rPr>
              <w:t>0</w:t>
            </w:r>
          </w:p>
        </w:tc>
        <w:tc>
          <w:tcPr>
            <w:tcW w:w="1029" w:type="dxa"/>
            <w:tcBorders>
              <w:top w:val="single" w:sz="4" w:space="0" w:color="auto"/>
              <w:bottom w:val="single" w:sz="4" w:space="0" w:color="auto"/>
            </w:tcBorders>
          </w:tcPr>
          <w:p w14:paraId="23AE9C21" w14:textId="77777777" w:rsidR="00CF0E2D" w:rsidRPr="001B62CB" w:rsidRDefault="00CF0E2D" w:rsidP="00A60D4B">
            <w:pPr>
              <w:pStyle w:val="InitFigRBold"/>
              <w:keepNext/>
              <w:keepLines/>
              <w:rPr>
                <w:bCs/>
              </w:rPr>
            </w:pPr>
            <w:r w:rsidRPr="001B62CB">
              <w:rPr>
                <w:bCs/>
              </w:rPr>
              <w:t>5,976</w:t>
            </w:r>
          </w:p>
        </w:tc>
      </w:tr>
      <w:tr w:rsidR="00CF0E2D" w:rsidRPr="000266D6" w14:paraId="418AA28B" w14:textId="77777777" w:rsidTr="00A60D4B">
        <w:trPr>
          <w:cantSplit/>
          <w:jc w:val="center"/>
        </w:trPr>
        <w:tc>
          <w:tcPr>
            <w:tcW w:w="3652" w:type="dxa"/>
            <w:tcBorders>
              <w:top w:val="single" w:sz="4" w:space="0" w:color="auto"/>
              <w:bottom w:val="single" w:sz="4" w:space="0" w:color="auto"/>
            </w:tcBorders>
          </w:tcPr>
          <w:p w14:paraId="62FED4BC" w14:textId="77777777" w:rsidR="00CF0E2D" w:rsidRPr="000266D6" w:rsidRDefault="00CF0E2D" w:rsidP="00A60D4B">
            <w:pPr>
              <w:pStyle w:val="InitTextL"/>
              <w:keepNext/>
              <w:keepLines/>
              <w:ind w:left="321" w:hanging="321"/>
            </w:pPr>
            <w:r w:rsidRPr="000266D6">
              <w:t>Depreciation</w:t>
            </w:r>
          </w:p>
        </w:tc>
        <w:tc>
          <w:tcPr>
            <w:tcW w:w="1179" w:type="dxa"/>
            <w:tcBorders>
              <w:top w:val="single" w:sz="4" w:space="0" w:color="auto"/>
              <w:bottom w:val="single" w:sz="4" w:space="0" w:color="auto"/>
            </w:tcBorders>
          </w:tcPr>
          <w:p w14:paraId="65340E08" w14:textId="77777777" w:rsidR="00CF0E2D" w:rsidRPr="000266D6" w:rsidRDefault="00CF0E2D" w:rsidP="00A60D4B">
            <w:pPr>
              <w:pStyle w:val="InitFigR"/>
              <w:keepNext/>
              <w:keepLines/>
            </w:pPr>
            <w:r w:rsidRPr="000266D6">
              <w:t>0</w:t>
            </w:r>
          </w:p>
        </w:tc>
        <w:tc>
          <w:tcPr>
            <w:tcW w:w="1041" w:type="dxa"/>
            <w:tcBorders>
              <w:top w:val="single" w:sz="4" w:space="0" w:color="auto"/>
              <w:bottom w:val="single" w:sz="4" w:space="0" w:color="auto"/>
            </w:tcBorders>
          </w:tcPr>
          <w:p w14:paraId="190B2BAA" w14:textId="77777777" w:rsidR="00CF0E2D" w:rsidRPr="000266D6" w:rsidRDefault="00CF0E2D" w:rsidP="00A60D4B">
            <w:pPr>
              <w:pStyle w:val="InitFigR"/>
              <w:keepNext/>
              <w:keepLines/>
            </w:pPr>
            <w:r w:rsidRPr="000266D6">
              <w:t>342</w:t>
            </w:r>
          </w:p>
        </w:tc>
        <w:tc>
          <w:tcPr>
            <w:tcW w:w="1029" w:type="dxa"/>
            <w:tcBorders>
              <w:top w:val="single" w:sz="4" w:space="0" w:color="auto"/>
              <w:bottom w:val="single" w:sz="4" w:space="0" w:color="auto"/>
            </w:tcBorders>
          </w:tcPr>
          <w:p w14:paraId="5C96DBAB" w14:textId="77777777" w:rsidR="00CF0E2D" w:rsidRPr="000266D6" w:rsidRDefault="00CF0E2D" w:rsidP="00A60D4B">
            <w:pPr>
              <w:pStyle w:val="InitFigR"/>
              <w:keepNext/>
              <w:keepLines/>
            </w:pPr>
            <w:r w:rsidRPr="000266D6">
              <w:t>342</w:t>
            </w:r>
          </w:p>
        </w:tc>
        <w:tc>
          <w:tcPr>
            <w:tcW w:w="1029" w:type="dxa"/>
            <w:tcBorders>
              <w:top w:val="single" w:sz="4" w:space="0" w:color="auto"/>
              <w:bottom w:val="single" w:sz="4" w:space="0" w:color="auto"/>
            </w:tcBorders>
          </w:tcPr>
          <w:p w14:paraId="227610D4" w14:textId="77777777" w:rsidR="00CF0E2D" w:rsidRPr="000266D6" w:rsidRDefault="00CF0E2D" w:rsidP="00A60D4B">
            <w:pPr>
              <w:pStyle w:val="InitFigR"/>
              <w:keepNext/>
              <w:keepLines/>
            </w:pPr>
            <w:r w:rsidRPr="000266D6">
              <w:t>342</w:t>
            </w:r>
          </w:p>
        </w:tc>
        <w:tc>
          <w:tcPr>
            <w:tcW w:w="1029" w:type="dxa"/>
            <w:tcBorders>
              <w:top w:val="single" w:sz="4" w:space="0" w:color="auto"/>
              <w:bottom w:val="single" w:sz="4" w:space="0" w:color="auto"/>
            </w:tcBorders>
          </w:tcPr>
          <w:p w14:paraId="26706976" w14:textId="77777777" w:rsidR="00CF0E2D" w:rsidRPr="001B62CB" w:rsidRDefault="00CF0E2D" w:rsidP="00A60D4B">
            <w:pPr>
              <w:pStyle w:val="InitFigRBold"/>
              <w:keepNext/>
              <w:keepLines/>
              <w:rPr>
                <w:bCs/>
              </w:rPr>
            </w:pPr>
            <w:r w:rsidRPr="001B62CB">
              <w:rPr>
                <w:bCs/>
              </w:rPr>
              <w:t>1,026</w:t>
            </w:r>
          </w:p>
        </w:tc>
      </w:tr>
    </w:tbl>
    <w:p w14:paraId="7E8A7DB1" w14:textId="77777777" w:rsidR="00CF0E2D" w:rsidRPr="000266D6" w:rsidRDefault="00CF0E2D" w:rsidP="00A60D4B">
      <w:pPr>
        <w:pStyle w:val="Bbodytext"/>
      </w:pPr>
      <w:r w:rsidRPr="000266D6">
        <w:t xml:space="preserve">The Government will </w:t>
      </w:r>
      <w:r>
        <w:t>enhance the</w:t>
      </w:r>
      <w:r w:rsidRPr="000266D6">
        <w:t xml:space="preserve"> ACT Civil and Administrative Tribunal’s</w:t>
      </w:r>
      <w:r>
        <w:t xml:space="preserve"> </w:t>
      </w:r>
      <w:r w:rsidRPr="000266D6">
        <w:t>(ACAT) ICT infrastructure, including supplying specialised recording, transcription</w:t>
      </w:r>
      <w:r>
        <w:t xml:space="preserve"> and</w:t>
      </w:r>
      <w:r w:rsidRPr="000266D6">
        <w:t xml:space="preserve"> audio</w:t>
      </w:r>
      <w:r>
        <w:noBreakHyphen/>
      </w:r>
      <w:r w:rsidRPr="000266D6">
        <w:t xml:space="preserve">visual equipment to the tribunal’s </w:t>
      </w:r>
      <w:r>
        <w:t>15</w:t>
      </w:r>
      <w:r w:rsidRPr="000266D6">
        <w:t xml:space="preserve"> hearing rooms at its new premises at Allara</w:t>
      </w:r>
      <w:r>
        <w:t> </w:t>
      </w:r>
      <w:r w:rsidRPr="000266D6">
        <w:t xml:space="preserve">House. </w:t>
      </w:r>
    </w:p>
    <w:p w14:paraId="2204EF48" w14:textId="77777777" w:rsidR="00CF0E2D" w:rsidRDefault="00CF0E2D" w:rsidP="00A60D4B">
      <w:pPr>
        <w:pStyle w:val="Bbodytext"/>
      </w:pPr>
      <w:r w:rsidRPr="00394AD8">
        <w:t>This initiative contributes to the wellbeing domain of Governance and institutions</w:t>
      </w:r>
      <w:r>
        <w:t xml:space="preserve">. </w:t>
      </w:r>
    </w:p>
    <w:p w14:paraId="325C59ED" w14:textId="77777777" w:rsidR="00CF0E2D" w:rsidRDefault="00CF0E2D">
      <w:pPr>
        <w:rPr>
          <w:sz w:val="24"/>
        </w:rPr>
      </w:pPr>
      <w:r>
        <w:br w:type="page"/>
      </w:r>
    </w:p>
    <w:p w14:paraId="1BF2987D" w14:textId="77777777" w:rsidR="00CF0E2D" w:rsidRDefault="00CF0E2D" w:rsidP="00A60D4B">
      <w:pPr>
        <w:pStyle w:val="Bbodytext"/>
      </w:pPr>
    </w:p>
    <w:p w14:paraId="44D0C083" w14:textId="77777777" w:rsidR="00CF0E2D" w:rsidRDefault="00CF0E2D" w:rsidP="00A60D4B">
      <w:pPr>
        <w:pStyle w:val="Heading4"/>
        <w:rPr>
          <w:rFonts w:eastAsia="Times New Roman"/>
        </w:rPr>
      </w:pPr>
      <w:r>
        <w:rPr>
          <w:rFonts w:eastAsia="Times New Roman"/>
        </w:rPr>
        <w:t xml:space="preserve">More support for victims of crime </w:t>
      </w:r>
      <w:r>
        <w:rPr>
          <w:b w:val="0"/>
          <w:noProof/>
          <w:color w:val="999789"/>
          <w:sz w:val="32"/>
          <w:szCs w:val="24"/>
        </w:rPr>
        <w:drawing>
          <wp:anchor distT="0" distB="0" distL="114300" distR="114300" simplePos="0" relativeHeight="251899904" behindDoc="0" locked="1" layoutInCell="1" allowOverlap="1" wp14:anchorId="6E7C7803" wp14:editId="3814FF28">
            <wp:simplePos x="0" y="0"/>
            <wp:positionH relativeFrom="margin">
              <wp:align>right</wp:align>
            </wp:positionH>
            <wp:positionV relativeFrom="paragraph">
              <wp:posOffset>-140335</wp:posOffset>
            </wp:positionV>
            <wp:extent cx="989965" cy="503555"/>
            <wp:effectExtent l="0" t="0" r="635" b="0"/>
            <wp:wrapSquare wrapText="bothSides"/>
            <wp:docPr id="199" name="Picture 199"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4E341E" w14:paraId="70A5C504" w14:textId="77777777" w:rsidTr="00A60D4B">
        <w:trPr>
          <w:cantSplit/>
          <w:jc w:val="center"/>
        </w:trPr>
        <w:tc>
          <w:tcPr>
            <w:tcW w:w="3652" w:type="dxa"/>
            <w:tcBorders>
              <w:top w:val="single" w:sz="4" w:space="0" w:color="auto"/>
              <w:bottom w:val="single" w:sz="4" w:space="0" w:color="auto"/>
            </w:tcBorders>
          </w:tcPr>
          <w:p w14:paraId="177637E9"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2D4BA2B6" w14:textId="77777777" w:rsidR="00CF0E2D" w:rsidRPr="004C272B" w:rsidRDefault="00CF0E2D" w:rsidP="00A60D4B">
            <w:pPr>
              <w:pStyle w:val="InitFigR"/>
              <w:rPr>
                <w:b/>
                <w:bCs/>
              </w:rPr>
            </w:pPr>
            <w:r w:rsidRPr="004C272B">
              <w:rPr>
                <w:b/>
                <w:bCs/>
              </w:rPr>
              <w:t>2021-22</w:t>
            </w:r>
          </w:p>
          <w:p w14:paraId="49ADFB61" w14:textId="77777777" w:rsidR="00CF0E2D" w:rsidRPr="004C272B" w:rsidRDefault="00CF0E2D" w:rsidP="00A60D4B">
            <w:pPr>
              <w:pStyle w:val="InitFigR"/>
              <w:rPr>
                <w:b/>
                <w:bCs/>
              </w:rPr>
            </w:pPr>
            <w:r w:rsidRPr="004C272B">
              <w:rPr>
                <w:b/>
                <w:bCs/>
              </w:rPr>
              <w:t>$’000</w:t>
            </w:r>
          </w:p>
        </w:tc>
        <w:tc>
          <w:tcPr>
            <w:tcW w:w="1041" w:type="dxa"/>
            <w:tcBorders>
              <w:top w:val="single" w:sz="4" w:space="0" w:color="auto"/>
              <w:bottom w:val="single" w:sz="4" w:space="0" w:color="auto"/>
            </w:tcBorders>
          </w:tcPr>
          <w:p w14:paraId="32919B38" w14:textId="77777777" w:rsidR="00CF0E2D" w:rsidRPr="004C272B" w:rsidRDefault="00CF0E2D" w:rsidP="00A60D4B">
            <w:pPr>
              <w:pStyle w:val="InitFigR"/>
              <w:rPr>
                <w:b/>
                <w:bCs/>
              </w:rPr>
            </w:pPr>
            <w:r w:rsidRPr="004C272B">
              <w:rPr>
                <w:b/>
                <w:bCs/>
              </w:rPr>
              <w:t>2022-23</w:t>
            </w:r>
          </w:p>
          <w:p w14:paraId="16FC8B2A" w14:textId="77777777" w:rsidR="00CF0E2D" w:rsidRPr="004C272B" w:rsidRDefault="00CF0E2D" w:rsidP="00A60D4B">
            <w:pPr>
              <w:pStyle w:val="InitFigR"/>
              <w:rPr>
                <w:b/>
                <w:bCs/>
              </w:rPr>
            </w:pPr>
            <w:r w:rsidRPr="004C272B">
              <w:rPr>
                <w:b/>
                <w:bCs/>
              </w:rPr>
              <w:t>$’000</w:t>
            </w:r>
          </w:p>
        </w:tc>
        <w:tc>
          <w:tcPr>
            <w:tcW w:w="1029" w:type="dxa"/>
            <w:tcBorders>
              <w:top w:val="single" w:sz="4" w:space="0" w:color="auto"/>
              <w:bottom w:val="single" w:sz="4" w:space="0" w:color="auto"/>
            </w:tcBorders>
          </w:tcPr>
          <w:p w14:paraId="7173793C" w14:textId="77777777" w:rsidR="00CF0E2D" w:rsidRPr="004C272B" w:rsidRDefault="00CF0E2D" w:rsidP="00A60D4B">
            <w:pPr>
              <w:pStyle w:val="InitFigR"/>
              <w:rPr>
                <w:b/>
                <w:bCs/>
              </w:rPr>
            </w:pPr>
            <w:r w:rsidRPr="004C272B">
              <w:rPr>
                <w:b/>
                <w:bCs/>
              </w:rPr>
              <w:t>2023-24</w:t>
            </w:r>
          </w:p>
          <w:p w14:paraId="75FEEEBA" w14:textId="77777777" w:rsidR="00CF0E2D" w:rsidRPr="004C272B" w:rsidRDefault="00CF0E2D" w:rsidP="00A60D4B">
            <w:pPr>
              <w:pStyle w:val="InitFigR"/>
              <w:rPr>
                <w:b/>
                <w:bCs/>
              </w:rPr>
            </w:pPr>
            <w:r w:rsidRPr="004C272B">
              <w:rPr>
                <w:b/>
                <w:bCs/>
              </w:rPr>
              <w:t>$’000</w:t>
            </w:r>
          </w:p>
        </w:tc>
        <w:tc>
          <w:tcPr>
            <w:tcW w:w="1029" w:type="dxa"/>
            <w:tcBorders>
              <w:top w:val="single" w:sz="4" w:space="0" w:color="auto"/>
              <w:bottom w:val="single" w:sz="4" w:space="0" w:color="auto"/>
            </w:tcBorders>
          </w:tcPr>
          <w:p w14:paraId="50194031" w14:textId="77777777" w:rsidR="00CF0E2D" w:rsidRPr="004C272B" w:rsidRDefault="00CF0E2D" w:rsidP="00A60D4B">
            <w:pPr>
              <w:pStyle w:val="InitFigR"/>
              <w:rPr>
                <w:b/>
                <w:bCs/>
              </w:rPr>
            </w:pPr>
            <w:r w:rsidRPr="004C272B">
              <w:rPr>
                <w:b/>
                <w:bCs/>
              </w:rPr>
              <w:t>2024-25</w:t>
            </w:r>
          </w:p>
          <w:p w14:paraId="73C083EB" w14:textId="77777777" w:rsidR="00CF0E2D" w:rsidRPr="004C272B" w:rsidRDefault="00CF0E2D" w:rsidP="00A60D4B">
            <w:pPr>
              <w:pStyle w:val="InitFigR"/>
              <w:rPr>
                <w:b/>
                <w:bCs/>
              </w:rPr>
            </w:pPr>
            <w:r w:rsidRPr="004C272B">
              <w:rPr>
                <w:b/>
                <w:bCs/>
              </w:rPr>
              <w:t>$’000</w:t>
            </w:r>
          </w:p>
        </w:tc>
        <w:tc>
          <w:tcPr>
            <w:tcW w:w="1029" w:type="dxa"/>
            <w:tcBorders>
              <w:top w:val="single" w:sz="4" w:space="0" w:color="auto"/>
              <w:bottom w:val="single" w:sz="4" w:space="0" w:color="auto"/>
            </w:tcBorders>
          </w:tcPr>
          <w:p w14:paraId="3B91D2B2" w14:textId="77777777" w:rsidR="00CF0E2D" w:rsidRPr="004E341E" w:rsidRDefault="00CF0E2D" w:rsidP="00A60D4B">
            <w:pPr>
              <w:pStyle w:val="InitFigRBold"/>
            </w:pPr>
            <w:r w:rsidRPr="004E341E">
              <w:t>Total</w:t>
            </w:r>
          </w:p>
          <w:p w14:paraId="644CC81C" w14:textId="77777777" w:rsidR="00CF0E2D" w:rsidRPr="004E341E" w:rsidRDefault="00CF0E2D" w:rsidP="00A60D4B">
            <w:pPr>
              <w:pStyle w:val="InitFigBR"/>
            </w:pPr>
            <w:r w:rsidRPr="004E341E">
              <w:t>$’000</w:t>
            </w:r>
          </w:p>
        </w:tc>
      </w:tr>
      <w:tr w:rsidR="00CF0E2D" w:rsidRPr="00424DA4" w14:paraId="7C27E0FD" w14:textId="77777777" w:rsidTr="00A60D4B">
        <w:trPr>
          <w:cantSplit/>
          <w:jc w:val="center"/>
        </w:trPr>
        <w:tc>
          <w:tcPr>
            <w:tcW w:w="3652" w:type="dxa"/>
            <w:tcBorders>
              <w:top w:val="single" w:sz="4" w:space="0" w:color="auto"/>
              <w:bottom w:val="single" w:sz="4" w:space="0" w:color="auto"/>
            </w:tcBorders>
          </w:tcPr>
          <w:p w14:paraId="22842B68" w14:textId="77777777" w:rsidR="00CF0E2D" w:rsidRPr="00F13FAB" w:rsidRDefault="00CF0E2D" w:rsidP="00A60D4B">
            <w:pPr>
              <w:pStyle w:val="InitTextL"/>
              <w:ind w:left="321" w:hanging="321"/>
            </w:pPr>
            <w:r w:rsidRPr="00882BE2">
              <w:t>Expenses</w:t>
            </w:r>
          </w:p>
        </w:tc>
        <w:tc>
          <w:tcPr>
            <w:tcW w:w="1179" w:type="dxa"/>
            <w:tcBorders>
              <w:top w:val="single" w:sz="4" w:space="0" w:color="auto"/>
              <w:bottom w:val="single" w:sz="4" w:space="0" w:color="auto"/>
            </w:tcBorders>
          </w:tcPr>
          <w:p w14:paraId="4381FF7C" w14:textId="77777777" w:rsidR="00CF0E2D" w:rsidRPr="00424DA4" w:rsidRDefault="00CF0E2D" w:rsidP="00A60D4B">
            <w:pPr>
              <w:pStyle w:val="InitFigR"/>
            </w:pPr>
            <w:r>
              <w:rPr>
                <w:rFonts w:cs="Calibri"/>
                <w:lang w:eastAsia="en-AU"/>
              </w:rPr>
              <w:t>1,739</w:t>
            </w:r>
          </w:p>
        </w:tc>
        <w:tc>
          <w:tcPr>
            <w:tcW w:w="1041" w:type="dxa"/>
            <w:tcBorders>
              <w:top w:val="single" w:sz="4" w:space="0" w:color="auto"/>
              <w:bottom w:val="single" w:sz="4" w:space="0" w:color="auto"/>
            </w:tcBorders>
          </w:tcPr>
          <w:p w14:paraId="6D33158E" w14:textId="77777777" w:rsidR="00CF0E2D" w:rsidRPr="00424DA4" w:rsidRDefault="00CF0E2D" w:rsidP="00A60D4B">
            <w:pPr>
              <w:pStyle w:val="InitFigR"/>
            </w:pPr>
            <w:r>
              <w:rPr>
                <w:rFonts w:cs="Calibri"/>
                <w:lang w:eastAsia="en-AU"/>
              </w:rPr>
              <w:t>1,790</w:t>
            </w:r>
          </w:p>
        </w:tc>
        <w:tc>
          <w:tcPr>
            <w:tcW w:w="1029" w:type="dxa"/>
            <w:tcBorders>
              <w:top w:val="single" w:sz="4" w:space="0" w:color="auto"/>
              <w:bottom w:val="single" w:sz="4" w:space="0" w:color="auto"/>
            </w:tcBorders>
          </w:tcPr>
          <w:p w14:paraId="5BCEDCCC" w14:textId="77777777" w:rsidR="00CF0E2D" w:rsidRPr="00424DA4" w:rsidRDefault="00CF0E2D" w:rsidP="00A60D4B">
            <w:pPr>
              <w:pStyle w:val="InitFigR"/>
            </w:pPr>
            <w:r>
              <w:rPr>
                <w:rFonts w:cs="Calibri"/>
                <w:lang w:eastAsia="en-AU"/>
              </w:rPr>
              <w:t>1,809</w:t>
            </w:r>
          </w:p>
        </w:tc>
        <w:tc>
          <w:tcPr>
            <w:tcW w:w="1029" w:type="dxa"/>
            <w:tcBorders>
              <w:top w:val="single" w:sz="4" w:space="0" w:color="auto"/>
              <w:bottom w:val="single" w:sz="4" w:space="0" w:color="auto"/>
            </w:tcBorders>
          </w:tcPr>
          <w:p w14:paraId="29F973D3" w14:textId="77777777" w:rsidR="00CF0E2D" w:rsidRPr="00424DA4" w:rsidRDefault="00CF0E2D" w:rsidP="00A60D4B">
            <w:pPr>
              <w:pStyle w:val="InitFigR"/>
            </w:pPr>
            <w:r>
              <w:rPr>
                <w:rFonts w:cs="Calibri"/>
                <w:lang w:eastAsia="en-AU"/>
              </w:rPr>
              <w:t>1,827</w:t>
            </w:r>
          </w:p>
        </w:tc>
        <w:tc>
          <w:tcPr>
            <w:tcW w:w="1029" w:type="dxa"/>
            <w:tcBorders>
              <w:top w:val="single" w:sz="4" w:space="0" w:color="auto"/>
              <w:bottom w:val="single" w:sz="4" w:space="0" w:color="auto"/>
            </w:tcBorders>
          </w:tcPr>
          <w:p w14:paraId="61DD26D7" w14:textId="77777777" w:rsidR="00CF0E2D" w:rsidRPr="00424DA4" w:rsidRDefault="00CF0E2D" w:rsidP="00A60D4B">
            <w:pPr>
              <w:pStyle w:val="InitFigBR"/>
            </w:pPr>
            <w:r>
              <w:rPr>
                <w:rFonts w:cs="Calibri"/>
                <w:bCs/>
                <w:lang w:eastAsia="en-AU"/>
              </w:rPr>
              <w:t>7,165</w:t>
            </w:r>
          </w:p>
        </w:tc>
      </w:tr>
    </w:tbl>
    <w:p w14:paraId="20EF56C7" w14:textId="77777777" w:rsidR="00CF0E2D" w:rsidRDefault="00CF0E2D" w:rsidP="00A60D4B">
      <w:pPr>
        <w:pStyle w:val="Bbodytext"/>
      </w:pPr>
      <w:r w:rsidRPr="004C581D">
        <w:t>The Government wi</w:t>
      </w:r>
      <w:r>
        <w:t>ll provide funding to the</w:t>
      </w:r>
      <w:r w:rsidRPr="00E226FB">
        <w:t xml:space="preserve"> Victim Services Scheme </w:t>
      </w:r>
      <w:r>
        <w:t xml:space="preserve">and the </w:t>
      </w:r>
      <w:r w:rsidRPr="00E226FB">
        <w:t xml:space="preserve">Victims of Crime Financial Assistance Scheme </w:t>
      </w:r>
      <w:r>
        <w:t xml:space="preserve">to strengthen counselling and financial assistance programs offered to eligible victims of crime. The </w:t>
      </w:r>
      <w:r w:rsidRPr="000D29A5">
        <w:t xml:space="preserve">Government will </w:t>
      </w:r>
      <w:r>
        <w:t xml:space="preserve">also </w:t>
      </w:r>
      <w:r w:rsidRPr="000D29A5">
        <w:t xml:space="preserve">conduct </w:t>
      </w:r>
      <w:r>
        <w:t xml:space="preserve">an </w:t>
      </w:r>
      <w:r w:rsidRPr="000D29A5">
        <w:t xml:space="preserve">economic </w:t>
      </w:r>
      <w:r>
        <w:t>and actuarial assessment of the</w:t>
      </w:r>
      <w:r w:rsidRPr="000D29A5">
        <w:t xml:space="preserve"> recommendations </w:t>
      </w:r>
      <w:r>
        <w:t xml:space="preserve">of the Projects Assisting Victims' Experience and Recovery (PAVER) review and scope an </w:t>
      </w:r>
      <w:r w:rsidRPr="000D29A5">
        <w:t xml:space="preserve">ICT solution </w:t>
      </w:r>
      <w:r>
        <w:t>to provide information and services available for victims under the Charter of Rights for Victims of Crime</w:t>
      </w:r>
      <w:r w:rsidRPr="000D29A5">
        <w:t xml:space="preserve">. </w:t>
      </w:r>
    </w:p>
    <w:p w14:paraId="18E0D65B" w14:textId="77777777" w:rsidR="00CF0E2D" w:rsidRDefault="00CF0E2D" w:rsidP="00A60D4B">
      <w:pPr>
        <w:pStyle w:val="Bbodytext"/>
      </w:pPr>
      <w:r>
        <w:t>These initiatives build on the Government’s past investments in the Victim Services Scheme</w:t>
      </w:r>
      <w:r w:rsidRPr="00946A2A">
        <w:t xml:space="preserve"> </w:t>
      </w:r>
      <w:r>
        <w:t>and the Victims of Crime Financial Assistance Scheme, recognising the importance of victims being able to access timely financial assistance and tailored therapeutic support.</w:t>
      </w:r>
    </w:p>
    <w:p w14:paraId="048C0E2B" w14:textId="77777777" w:rsidR="00CF0E2D" w:rsidRPr="00C15FE5" w:rsidRDefault="00CF0E2D" w:rsidP="00A60D4B">
      <w:pPr>
        <w:pStyle w:val="Bbodytext"/>
      </w:pPr>
      <w:r>
        <w:t xml:space="preserve">This initiative contributes to the wellbeing domains of Safety and Health. </w:t>
      </w:r>
    </w:p>
    <w:p w14:paraId="0C084870" w14:textId="77777777" w:rsidR="00CF0E2D" w:rsidRPr="009839E1" w:rsidRDefault="00CF0E2D" w:rsidP="00A60D4B"/>
    <w:p w14:paraId="34CFA8BC" w14:textId="77777777" w:rsidR="00CF0E2D" w:rsidRPr="00B35C8B" w:rsidRDefault="00CF0E2D" w:rsidP="00A60D4B">
      <w:pPr>
        <w:pStyle w:val="Heading4"/>
        <w:rPr>
          <w:rFonts w:eastAsia="Times New Roman"/>
        </w:rPr>
      </w:pPr>
      <w:r w:rsidRPr="00B35C8B">
        <w:rPr>
          <w:rFonts w:eastAsia="Times New Roman"/>
        </w:rPr>
        <w:t>Office of the Aboriginal and Torres Strait Islander Children’s Commissioner</w:t>
      </w:r>
      <w:r>
        <w:rPr>
          <w:b w:val="0"/>
          <w:noProof/>
          <w:color w:val="999789"/>
          <w:sz w:val="32"/>
          <w:szCs w:val="24"/>
        </w:rPr>
        <w:drawing>
          <wp:anchor distT="0" distB="0" distL="114300" distR="114300" simplePos="0" relativeHeight="251936768" behindDoc="0" locked="1" layoutInCell="1" allowOverlap="1" wp14:anchorId="188D62F2" wp14:editId="0319A759">
            <wp:simplePos x="0" y="0"/>
            <wp:positionH relativeFrom="margin">
              <wp:align>right</wp:align>
            </wp:positionH>
            <wp:positionV relativeFrom="paragraph">
              <wp:posOffset>47625</wp:posOffset>
            </wp:positionV>
            <wp:extent cx="1216660" cy="503555"/>
            <wp:effectExtent l="0" t="0" r="2540" b="0"/>
            <wp:wrapSquare wrapText="bothSides"/>
            <wp:docPr id="144" name="Picture 144" descr="Icon representing the wellbeing domain of Identity and belo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 representing the wellbeing domain of Identity and belongi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1666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4E341E" w14:paraId="7AEFADE8" w14:textId="77777777" w:rsidTr="00A60D4B">
        <w:trPr>
          <w:cantSplit/>
          <w:jc w:val="center"/>
        </w:trPr>
        <w:tc>
          <w:tcPr>
            <w:tcW w:w="3652" w:type="dxa"/>
            <w:tcBorders>
              <w:top w:val="single" w:sz="4" w:space="0" w:color="auto"/>
              <w:bottom w:val="single" w:sz="4" w:space="0" w:color="auto"/>
            </w:tcBorders>
          </w:tcPr>
          <w:p w14:paraId="1D89090B"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2D2CAF2F" w14:textId="77777777" w:rsidR="00CF0E2D" w:rsidRPr="004C272B" w:rsidRDefault="00CF0E2D" w:rsidP="00A60D4B">
            <w:pPr>
              <w:pStyle w:val="InitFigR"/>
              <w:rPr>
                <w:b/>
                <w:bCs/>
              </w:rPr>
            </w:pPr>
            <w:r w:rsidRPr="004C272B">
              <w:rPr>
                <w:b/>
                <w:bCs/>
              </w:rPr>
              <w:t>2021-22</w:t>
            </w:r>
          </w:p>
          <w:p w14:paraId="26495CCB" w14:textId="77777777" w:rsidR="00CF0E2D" w:rsidRPr="004C272B" w:rsidRDefault="00CF0E2D" w:rsidP="00A60D4B">
            <w:pPr>
              <w:pStyle w:val="InitFigR"/>
              <w:rPr>
                <w:b/>
                <w:bCs/>
              </w:rPr>
            </w:pPr>
            <w:r w:rsidRPr="004C272B">
              <w:rPr>
                <w:b/>
                <w:bCs/>
              </w:rPr>
              <w:t>$’000</w:t>
            </w:r>
          </w:p>
        </w:tc>
        <w:tc>
          <w:tcPr>
            <w:tcW w:w="1041" w:type="dxa"/>
            <w:tcBorders>
              <w:top w:val="single" w:sz="4" w:space="0" w:color="auto"/>
              <w:bottom w:val="single" w:sz="4" w:space="0" w:color="auto"/>
            </w:tcBorders>
          </w:tcPr>
          <w:p w14:paraId="67798C7E" w14:textId="77777777" w:rsidR="00CF0E2D" w:rsidRPr="004C272B" w:rsidRDefault="00CF0E2D" w:rsidP="00A60D4B">
            <w:pPr>
              <w:pStyle w:val="InitFigR"/>
              <w:rPr>
                <w:b/>
                <w:bCs/>
              </w:rPr>
            </w:pPr>
            <w:r w:rsidRPr="004C272B">
              <w:rPr>
                <w:b/>
                <w:bCs/>
              </w:rPr>
              <w:t>2022-23</w:t>
            </w:r>
          </w:p>
          <w:p w14:paraId="3D0FB92E" w14:textId="77777777" w:rsidR="00CF0E2D" w:rsidRPr="004C272B" w:rsidRDefault="00CF0E2D" w:rsidP="00A60D4B">
            <w:pPr>
              <w:pStyle w:val="InitFigR"/>
              <w:rPr>
                <w:b/>
                <w:bCs/>
              </w:rPr>
            </w:pPr>
            <w:r w:rsidRPr="004C272B">
              <w:rPr>
                <w:b/>
                <w:bCs/>
              </w:rPr>
              <w:t>$’000</w:t>
            </w:r>
          </w:p>
        </w:tc>
        <w:tc>
          <w:tcPr>
            <w:tcW w:w="1029" w:type="dxa"/>
            <w:tcBorders>
              <w:top w:val="single" w:sz="4" w:space="0" w:color="auto"/>
              <w:bottom w:val="single" w:sz="4" w:space="0" w:color="auto"/>
            </w:tcBorders>
          </w:tcPr>
          <w:p w14:paraId="1F3FF9C5" w14:textId="77777777" w:rsidR="00CF0E2D" w:rsidRPr="004C272B" w:rsidRDefault="00CF0E2D" w:rsidP="00A60D4B">
            <w:pPr>
              <w:pStyle w:val="InitFigR"/>
              <w:rPr>
                <w:b/>
                <w:bCs/>
              </w:rPr>
            </w:pPr>
            <w:r w:rsidRPr="004C272B">
              <w:rPr>
                <w:b/>
                <w:bCs/>
              </w:rPr>
              <w:t>2023-24</w:t>
            </w:r>
          </w:p>
          <w:p w14:paraId="745DCF28" w14:textId="77777777" w:rsidR="00CF0E2D" w:rsidRPr="004C272B" w:rsidRDefault="00CF0E2D" w:rsidP="00A60D4B">
            <w:pPr>
              <w:pStyle w:val="InitFigR"/>
              <w:rPr>
                <w:b/>
                <w:bCs/>
              </w:rPr>
            </w:pPr>
            <w:r w:rsidRPr="004C272B">
              <w:rPr>
                <w:b/>
                <w:bCs/>
              </w:rPr>
              <w:t>$’000</w:t>
            </w:r>
          </w:p>
        </w:tc>
        <w:tc>
          <w:tcPr>
            <w:tcW w:w="1029" w:type="dxa"/>
            <w:tcBorders>
              <w:top w:val="single" w:sz="4" w:space="0" w:color="auto"/>
              <w:bottom w:val="single" w:sz="4" w:space="0" w:color="auto"/>
            </w:tcBorders>
          </w:tcPr>
          <w:p w14:paraId="4DE13481" w14:textId="77777777" w:rsidR="00CF0E2D" w:rsidRPr="004C272B" w:rsidRDefault="00CF0E2D" w:rsidP="00A60D4B">
            <w:pPr>
              <w:pStyle w:val="InitFigR"/>
              <w:rPr>
                <w:b/>
                <w:bCs/>
              </w:rPr>
            </w:pPr>
            <w:r w:rsidRPr="004C272B">
              <w:rPr>
                <w:b/>
                <w:bCs/>
              </w:rPr>
              <w:t>2024-25</w:t>
            </w:r>
          </w:p>
          <w:p w14:paraId="53A8262F" w14:textId="77777777" w:rsidR="00CF0E2D" w:rsidRPr="004C272B" w:rsidRDefault="00CF0E2D" w:rsidP="00A60D4B">
            <w:pPr>
              <w:pStyle w:val="InitFigR"/>
              <w:rPr>
                <w:b/>
                <w:bCs/>
              </w:rPr>
            </w:pPr>
            <w:r w:rsidRPr="004C272B">
              <w:rPr>
                <w:b/>
                <w:bCs/>
              </w:rPr>
              <w:t>$’000</w:t>
            </w:r>
          </w:p>
        </w:tc>
        <w:tc>
          <w:tcPr>
            <w:tcW w:w="1029" w:type="dxa"/>
            <w:tcBorders>
              <w:top w:val="single" w:sz="4" w:space="0" w:color="auto"/>
              <w:bottom w:val="single" w:sz="4" w:space="0" w:color="auto"/>
            </w:tcBorders>
          </w:tcPr>
          <w:p w14:paraId="74CDB36F" w14:textId="77777777" w:rsidR="00CF0E2D" w:rsidRPr="004E341E" w:rsidRDefault="00CF0E2D" w:rsidP="00A60D4B">
            <w:pPr>
              <w:pStyle w:val="InitFigRBold"/>
            </w:pPr>
            <w:r w:rsidRPr="004E341E">
              <w:t>Total</w:t>
            </w:r>
          </w:p>
          <w:p w14:paraId="1269ABC7" w14:textId="77777777" w:rsidR="00CF0E2D" w:rsidRPr="004E341E" w:rsidRDefault="00CF0E2D" w:rsidP="00A60D4B">
            <w:pPr>
              <w:pStyle w:val="InitFigBR"/>
            </w:pPr>
            <w:r w:rsidRPr="004E341E">
              <w:t>$’000</w:t>
            </w:r>
          </w:p>
        </w:tc>
      </w:tr>
      <w:tr w:rsidR="00CF0E2D" w:rsidRPr="00424DA4" w14:paraId="1869E530" w14:textId="77777777" w:rsidTr="00A60D4B">
        <w:trPr>
          <w:cantSplit/>
          <w:jc w:val="center"/>
        </w:trPr>
        <w:tc>
          <w:tcPr>
            <w:tcW w:w="3652" w:type="dxa"/>
            <w:tcBorders>
              <w:top w:val="single" w:sz="4" w:space="0" w:color="auto"/>
              <w:bottom w:val="single" w:sz="4" w:space="0" w:color="auto"/>
            </w:tcBorders>
          </w:tcPr>
          <w:p w14:paraId="57EF9B76" w14:textId="77777777" w:rsidR="00CF0E2D" w:rsidRPr="00915199" w:rsidDel="002B63D3" w:rsidRDefault="00CF0E2D" w:rsidP="00A60D4B">
            <w:pPr>
              <w:pStyle w:val="InitTextL"/>
              <w:ind w:left="321" w:hanging="321"/>
            </w:pPr>
            <w:r w:rsidRPr="00915199">
              <w:t xml:space="preserve">Expenses </w:t>
            </w:r>
          </w:p>
        </w:tc>
        <w:tc>
          <w:tcPr>
            <w:tcW w:w="1179" w:type="dxa"/>
            <w:tcBorders>
              <w:top w:val="single" w:sz="4" w:space="0" w:color="auto"/>
              <w:bottom w:val="single" w:sz="4" w:space="0" w:color="auto"/>
            </w:tcBorders>
          </w:tcPr>
          <w:p w14:paraId="1E2BD337" w14:textId="77777777" w:rsidR="00CF0E2D" w:rsidRPr="00424DA4" w:rsidRDefault="00CF0E2D" w:rsidP="00A60D4B">
            <w:pPr>
              <w:pStyle w:val="InitFigR"/>
            </w:pPr>
            <w:r>
              <w:rPr>
                <w:rFonts w:cs="Calibri"/>
                <w:lang w:eastAsia="en-AU"/>
              </w:rPr>
              <w:t>311</w:t>
            </w:r>
          </w:p>
        </w:tc>
        <w:tc>
          <w:tcPr>
            <w:tcW w:w="1041" w:type="dxa"/>
            <w:tcBorders>
              <w:top w:val="single" w:sz="4" w:space="0" w:color="auto"/>
              <w:bottom w:val="single" w:sz="4" w:space="0" w:color="auto"/>
            </w:tcBorders>
          </w:tcPr>
          <w:p w14:paraId="12529430" w14:textId="77777777" w:rsidR="00CF0E2D" w:rsidRPr="00424DA4" w:rsidRDefault="00CF0E2D" w:rsidP="00A60D4B">
            <w:pPr>
              <w:pStyle w:val="InitFigR"/>
            </w:pPr>
            <w:r>
              <w:rPr>
                <w:rFonts w:cs="Calibri"/>
                <w:lang w:eastAsia="en-AU"/>
              </w:rPr>
              <w:t>0</w:t>
            </w:r>
          </w:p>
        </w:tc>
        <w:tc>
          <w:tcPr>
            <w:tcW w:w="1029" w:type="dxa"/>
            <w:tcBorders>
              <w:top w:val="single" w:sz="4" w:space="0" w:color="auto"/>
              <w:bottom w:val="single" w:sz="4" w:space="0" w:color="auto"/>
            </w:tcBorders>
          </w:tcPr>
          <w:p w14:paraId="050BB98D" w14:textId="77777777" w:rsidR="00CF0E2D" w:rsidRPr="00424DA4" w:rsidRDefault="00CF0E2D" w:rsidP="00A60D4B">
            <w:pPr>
              <w:pStyle w:val="InitFigR"/>
            </w:pPr>
            <w:r>
              <w:rPr>
                <w:rFonts w:cs="Calibri"/>
                <w:lang w:eastAsia="en-AU"/>
              </w:rPr>
              <w:t>0</w:t>
            </w:r>
          </w:p>
        </w:tc>
        <w:tc>
          <w:tcPr>
            <w:tcW w:w="1029" w:type="dxa"/>
            <w:tcBorders>
              <w:top w:val="single" w:sz="4" w:space="0" w:color="auto"/>
              <w:bottom w:val="single" w:sz="4" w:space="0" w:color="auto"/>
            </w:tcBorders>
          </w:tcPr>
          <w:p w14:paraId="2DDA0DF9" w14:textId="77777777" w:rsidR="00CF0E2D" w:rsidRPr="00424DA4" w:rsidRDefault="00CF0E2D" w:rsidP="00A60D4B">
            <w:pPr>
              <w:pStyle w:val="InitFigR"/>
            </w:pPr>
            <w:r>
              <w:rPr>
                <w:rFonts w:cs="Calibri"/>
                <w:lang w:eastAsia="en-AU"/>
              </w:rPr>
              <w:t>0</w:t>
            </w:r>
          </w:p>
        </w:tc>
        <w:tc>
          <w:tcPr>
            <w:tcW w:w="1029" w:type="dxa"/>
            <w:tcBorders>
              <w:top w:val="single" w:sz="4" w:space="0" w:color="auto"/>
              <w:bottom w:val="single" w:sz="4" w:space="0" w:color="auto"/>
            </w:tcBorders>
          </w:tcPr>
          <w:p w14:paraId="2156C254" w14:textId="77777777" w:rsidR="00CF0E2D" w:rsidRPr="00424DA4" w:rsidRDefault="00CF0E2D" w:rsidP="00A60D4B">
            <w:pPr>
              <w:pStyle w:val="InitFigBR"/>
            </w:pPr>
            <w:r>
              <w:rPr>
                <w:rFonts w:cs="Calibri"/>
                <w:bCs/>
                <w:lang w:eastAsia="en-AU"/>
              </w:rPr>
              <w:t>311</w:t>
            </w:r>
          </w:p>
        </w:tc>
      </w:tr>
    </w:tbl>
    <w:p w14:paraId="318A1FA8" w14:textId="77777777" w:rsidR="00CF0E2D" w:rsidRDefault="00CF0E2D" w:rsidP="00A60D4B">
      <w:pPr>
        <w:pStyle w:val="Bbodytext"/>
      </w:pPr>
      <w:r>
        <w:t xml:space="preserve">The Government will fund a </w:t>
      </w:r>
      <w:r w:rsidRPr="00900DDE">
        <w:t>temporary Aboriginal and Torres Strait Islander Children and Families Advocate</w:t>
      </w:r>
      <w:r>
        <w:t>,</w:t>
      </w:r>
      <w:r w:rsidRPr="00900DDE">
        <w:t xml:space="preserve"> </w:t>
      </w:r>
      <w:r>
        <w:t xml:space="preserve">together </w:t>
      </w:r>
      <w:r w:rsidRPr="00B35C8B">
        <w:t xml:space="preserve">with a support staff member, pending the establishment of an Aboriginal and Torres Strait Islander Children’s Commissioner. </w:t>
      </w:r>
    </w:p>
    <w:p w14:paraId="1AED32DF" w14:textId="77777777" w:rsidR="00CF0E2D" w:rsidRDefault="00CF0E2D" w:rsidP="00A60D4B">
      <w:pPr>
        <w:pStyle w:val="Bbodytext"/>
      </w:pPr>
      <w:r>
        <w:t>This initiative contributes to the wellbeing domain of Identity and belonging.</w:t>
      </w:r>
    </w:p>
    <w:p w14:paraId="18C54964" w14:textId="77777777" w:rsidR="00CF0E2D" w:rsidRDefault="00CF0E2D" w:rsidP="00A60D4B">
      <w:pPr>
        <w:pStyle w:val="Bbodytext"/>
      </w:pPr>
    </w:p>
    <w:p w14:paraId="639D3387" w14:textId="77777777" w:rsidR="00CF0E2D" w:rsidRPr="00E01E7F" w:rsidRDefault="00CF0E2D" w:rsidP="00A60D4B">
      <w:pPr>
        <w:pStyle w:val="Heading4"/>
        <w:rPr>
          <w:rFonts w:eastAsia="Times New Roman"/>
        </w:rPr>
      </w:pPr>
      <w:r w:rsidRPr="00E01E7F">
        <w:rPr>
          <w:rFonts w:eastAsia="Times New Roman"/>
        </w:rPr>
        <w:t xml:space="preserve">Official Visitor Scheme – </w:t>
      </w:r>
      <w:r>
        <w:rPr>
          <w:rFonts w:eastAsia="Times New Roman"/>
        </w:rPr>
        <w:t>m</w:t>
      </w:r>
      <w:r w:rsidRPr="00E01E7F">
        <w:rPr>
          <w:rFonts w:eastAsia="Times New Roman"/>
        </w:rPr>
        <w:t xml:space="preserve">ore </w:t>
      </w:r>
      <w:r>
        <w:rPr>
          <w:rFonts w:eastAsia="Times New Roman"/>
        </w:rPr>
        <w:t>s</w:t>
      </w:r>
      <w:r w:rsidRPr="00E01E7F">
        <w:rPr>
          <w:rFonts w:eastAsia="Times New Roman"/>
        </w:rPr>
        <w:t xml:space="preserve">upport </w:t>
      </w:r>
      <w:r>
        <w:rPr>
          <w:b w:val="0"/>
          <w:noProof/>
          <w:color w:val="999789"/>
          <w:sz w:val="32"/>
          <w:szCs w:val="24"/>
        </w:rPr>
        <w:drawing>
          <wp:anchor distT="0" distB="0" distL="114300" distR="114300" simplePos="0" relativeHeight="251900928" behindDoc="0" locked="1" layoutInCell="1" allowOverlap="1" wp14:anchorId="0A35B51C" wp14:editId="4971BA5B">
            <wp:simplePos x="0" y="0"/>
            <wp:positionH relativeFrom="margin">
              <wp:posOffset>4660265</wp:posOffset>
            </wp:positionH>
            <wp:positionV relativeFrom="paragraph">
              <wp:posOffset>-117475</wp:posOffset>
            </wp:positionV>
            <wp:extent cx="989965" cy="503555"/>
            <wp:effectExtent l="0" t="0" r="635" b="0"/>
            <wp:wrapSquare wrapText="bothSides"/>
            <wp:docPr id="200" name="Picture 200"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tblLayout w:type="fixed"/>
        <w:tblLook w:val="0000" w:firstRow="0" w:lastRow="0" w:firstColumn="0" w:lastColumn="0" w:noHBand="0" w:noVBand="0"/>
      </w:tblPr>
      <w:tblGrid>
        <w:gridCol w:w="3652"/>
        <w:gridCol w:w="1179"/>
        <w:gridCol w:w="1041"/>
        <w:gridCol w:w="1029"/>
        <w:gridCol w:w="1029"/>
        <w:gridCol w:w="1029"/>
      </w:tblGrid>
      <w:tr w:rsidR="00CF0E2D" w:rsidRPr="004E341E" w14:paraId="7CC0D913" w14:textId="77777777" w:rsidTr="00A60D4B">
        <w:trPr>
          <w:cantSplit/>
        </w:trPr>
        <w:tc>
          <w:tcPr>
            <w:tcW w:w="3652" w:type="dxa"/>
            <w:tcBorders>
              <w:top w:val="single" w:sz="4" w:space="0" w:color="auto"/>
              <w:bottom w:val="single" w:sz="4" w:space="0" w:color="auto"/>
            </w:tcBorders>
          </w:tcPr>
          <w:p w14:paraId="20CEB6B5"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3544107A" w14:textId="77777777" w:rsidR="00CF0E2D" w:rsidRPr="004C272B" w:rsidRDefault="00CF0E2D" w:rsidP="00A60D4B">
            <w:pPr>
              <w:pStyle w:val="InitFigR"/>
              <w:rPr>
                <w:b/>
                <w:bCs/>
              </w:rPr>
            </w:pPr>
            <w:r w:rsidRPr="004C272B">
              <w:rPr>
                <w:b/>
                <w:bCs/>
              </w:rPr>
              <w:t>2021-22</w:t>
            </w:r>
          </w:p>
          <w:p w14:paraId="0F38E02E" w14:textId="77777777" w:rsidR="00CF0E2D" w:rsidRPr="004C272B" w:rsidRDefault="00CF0E2D" w:rsidP="00A60D4B">
            <w:pPr>
              <w:pStyle w:val="InitFigR"/>
              <w:rPr>
                <w:b/>
                <w:bCs/>
              </w:rPr>
            </w:pPr>
            <w:r w:rsidRPr="004C272B">
              <w:rPr>
                <w:b/>
                <w:bCs/>
              </w:rPr>
              <w:t>$’000</w:t>
            </w:r>
          </w:p>
        </w:tc>
        <w:tc>
          <w:tcPr>
            <w:tcW w:w="1041" w:type="dxa"/>
            <w:tcBorders>
              <w:top w:val="single" w:sz="4" w:space="0" w:color="auto"/>
              <w:bottom w:val="single" w:sz="4" w:space="0" w:color="auto"/>
            </w:tcBorders>
          </w:tcPr>
          <w:p w14:paraId="13FCFF9C" w14:textId="77777777" w:rsidR="00CF0E2D" w:rsidRPr="004C272B" w:rsidRDefault="00CF0E2D" w:rsidP="00A60D4B">
            <w:pPr>
              <w:pStyle w:val="InitFigR"/>
              <w:rPr>
                <w:b/>
                <w:bCs/>
              </w:rPr>
            </w:pPr>
            <w:r w:rsidRPr="004C272B">
              <w:rPr>
                <w:b/>
                <w:bCs/>
              </w:rPr>
              <w:t>2022-23</w:t>
            </w:r>
          </w:p>
          <w:p w14:paraId="6BE6AE4E" w14:textId="77777777" w:rsidR="00CF0E2D" w:rsidRPr="004C272B" w:rsidRDefault="00CF0E2D" w:rsidP="00A60D4B">
            <w:pPr>
              <w:pStyle w:val="InitFigR"/>
              <w:rPr>
                <w:b/>
                <w:bCs/>
              </w:rPr>
            </w:pPr>
            <w:r w:rsidRPr="004C272B">
              <w:rPr>
                <w:b/>
                <w:bCs/>
              </w:rPr>
              <w:t>$’000</w:t>
            </w:r>
          </w:p>
        </w:tc>
        <w:tc>
          <w:tcPr>
            <w:tcW w:w="1029" w:type="dxa"/>
            <w:tcBorders>
              <w:top w:val="single" w:sz="4" w:space="0" w:color="auto"/>
              <w:bottom w:val="single" w:sz="4" w:space="0" w:color="auto"/>
            </w:tcBorders>
          </w:tcPr>
          <w:p w14:paraId="0BB9CDBE" w14:textId="77777777" w:rsidR="00CF0E2D" w:rsidRPr="004C272B" w:rsidRDefault="00CF0E2D" w:rsidP="00A60D4B">
            <w:pPr>
              <w:pStyle w:val="InitFigR"/>
              <w:rPr>
                <w:b/>
                <w:bCs/>
              </w:rPr>
            </w:pPr>
            <w:r w:rsidRPr="004C272B">
              <w:rPr>
                <w:b/>
                <w:bCs/>
              </w:rPr>
              <w:t>2023-24</w:t>
            </w:r>
          </w:p>
          <w:p w14:paraId="7216989C" w14:textId="77777777" w:rsidR="00CF0E2D" w:rsidRPr="004C272B" w:rsidRDefault="00CF0E2D" w:rsidP="00A60D4B">
            <w:pPr>
              <w:pStyle w:val="InitFigR"/>
              <w:rPr>
                <w:b/>
                <w:bCs/>
              </w:rPr>
            </w:pPr>
            <w:r w:rsidRPr="004C272B">
              <w:rPr>
                <w:b/>
                <w:bCs/>
              </w:rPr>
              <w:t>$’000</w:t>
            </w:r>
          </w:p>
        </w:tc>
        <w:tc>
          <w:tcPr>
            <w:tcW w:w="1029" w:type="dxa"/>
            <w:tcBorders>
              <w:top w:val="single" w:sz="4" w:space="0" w:color="auto"/>
              <w:bottom w:val="single" w:sz="4" w:space="0" w:color="auto"/>
            </w:tcBorders>
          </w:tcPr>
          <w:p w14:paraId="67E9876A" w14:textId="77777777" w:rsidR="00CF0E2D" w:rsidRPr="004C272B" w:rsidRDefault="00CF0E2D" w:rsidP="00A60D4B">
            <w:pPr>
              <w:pStyle w:val="InitFigR"/>
              <w:rPr>
                <w:b/>
                <w:bCs/>
              </w:rPr>
            </w:pPr>
            <w:r w:rsidRPr="004C272B">
              <w:rPr>
                <w:b/>
                <w:bCs/>
              </w:rPr>
              <w:t>2024-25</w:t>
            </w:r>
          </w:p>
          <w:p w14:paraId="04FCD955" w14:textId="77777777" w:rsidR="00CF0E2D" w:rsidRPr="004C272B" w:rsidRDefault="00CF0E2D" w:rsidP="00A60D4B">
            <w:pPr>
              <w:pStyle w:val="InitFigR"/>
              <w:rPr>
                <w:b/>
                <w:bCs/>
              </w:rPr>
            </w:pPr>
            <w:r w:rsidRPr="004C272B">
              <w:rPr>
                <w:b/>
                <w:bCs/>
              </w:rPr>
              <w:t>$’000</w:t>
            </w:r>
          </w:p>
        </w:tc>
        <w:tc>
          <w:tcPr>
            <w:tcW w:w="1029" w:type="dxa"/>
            <w:tcBorders>
              <w:top w:val="single" w:sz="4" w:space="0" w:color="auto"/>
              <w:bottom w:val="single" w:sz="4" w:space="0" w:color="auto"/>
            </w:tcBorders>
          </w:tcPr>
          <w:p w14:paraId="732A53F6" w14:textId="77777777" w:rsidR="00CF0E2D" w:rsidRPr="004E341E" w:rsidRDefault="00CF0E2D" w:rsidP="00A60D4B">
            <w:pPr>
              <w:pStyle w:val="InitFigRBold"/>
            </w:pPr>
            <w:r w:rsidRPr="004E341E">
              <w:t>Total</w:t>
            </w:r>
          </w:p>
          <w:p w14:paraId="39E40C83" w14:textId="77777777" w:rsidR="00CF0E2D" w:rsidRPr="004E341E" w:rsidRDefault="00CF0E2D" w:rsidP="00A60D4B">
            <w:pPr>
              <w:pStyle w:val="InitFigBR"/>
            </w:pPr>
            <w:r w:rsidRPr="004E341E">
              <w:t>$’000</w:t>
            </w:r>
          </w:p>
        </w:tc>
      </w:tr>
      <w:tr w:rsidR="00CF0E2D" w:rsidRPr="00424DA4" w14:paraId="4EDC11A1" w14:textId="77777777" w:rsidTr="00A60D4B">
        <w:trPr>
          <w:cantSplit/>
        </w:trPr>
        <w:tc>
          <w:tcPr>
            <w:tcW w:w="3652" w:type="dxa"/>
            <w:tcBorders>
              <w:top w:val="single" w:sz="4" w:space="0" w:color="auto"/>
              <w:bottom w:val="single" w:sz="4" w:space="0" w:color="auto"/>
            </w:tcBorders>
          </w:tcPr>
          <w:p w14:paraId="0D54A5CB" w14:textId="77777777" w:rsidR="00CF0E2D" w:rsidRPr="00915199" w:rsidDel="002B63D3" w:rsidRDefault="00CF0E2D" w:rsidP="00A60D4B">
            <w:pPr>
              <w:pStyle w:val="InitTextL"/>
              <w:ind w:left="321" w:hanging="321"/>
            </w:pPr>
            <w:r w:rsidRPr="00915199">
              <w:t xml:space="preserve">Expenses </w:t>
            </w:r>
          </w:p>
        </w:tc>
        <w:tc>
          <w:tcPr>
            <w:tcW w:w="1179" w:type="dxa"/>
            <w:tcBorders>
              <w:top w:val="single" w:sz="4" w:space="0" w:color="auto"/>
              <w:bottom w:val="single" w:sz="4" w:space="0" w:color="auto"/>
            </w:tcBorders>
          </w:tcPr>
          <w:p w14:paraId="036901D7" w14:textId="77777777" w:rsidR="00CF0E2D" w:rsidRPr="00424DA4" w:rsidRDefault="00CF0E2D" w:rsidP="00A60D4B">
            <w:pPr>
              <w:pStyle w:val="InitFigR"/>
            </w:pPr>
            <w:r>
              <w:t>140</w:t>
            </w:r>
          </w:p>
        </w:tc>
        <w:tc>
          <w:tcPr>
            <w:tcW w:w="1041" w:type="dxa"/>
            <w:tcBorders>
              <w:top w:val="single" w:sz="4" w:space="0" w:color="auto"/>
              <w:bottom w:val="single" w:sz="4" w:space="0" w:color="auto"/>
            </w:tcBorders>
          </w:tcPr>
          <w:p w14:paraId="6E784535" w14:textId="77777777" w:rsidR="00CF0E2D" w:rsidRPr="00424DA4" w:rsidRDefault="00CF0E2D" w:rsidP="00A60D4B">
            <w:pPr>
              <w:pStyle w:val="InitFigR"/>
            </w:pPr>
            <w:r>
              <w:rPr>
                <w:rFonts w:cs="Calibri"/>
                <w:lang w:eastAsia="en-AU"/>
              </w:rPr>
              <w:t>142</w:t>
            </w:r>
          </w:p>
        </w:tc>
        <w:tc>
          <w:tcPr>
            <w:tcW w:w="1029" w:type="dxa"/>
            <w:tcBorders>
              <w:top w:val="single" w:sz="4" w:space="0" w:color="auto"/>
              <w:bottom w:val="single" w:sz="4" w:space="0" w:color="auto"/>
            </w:tcBorders>
          </w:tcPr>
          <w:p w14:paraId="1703F3A0" w14:textId="77777777" w:rsidR="00CF0E2D" w:rsidRPr="00424DA4" w:rsidRDefault="00CF0E2D" w:rsidP="00A60D4B">
            <w:pPr>
              <w:pStyle w:val="InitFigR"/>
            </w:pPr>
            <w:r>
              <w:t>145</w:t>
            </w:r>
          </w:p>
        </w:tc>
        <w:tc>
          <w:tcPr>
            <w:tcW w:w="1029" w:type="dxa"/>
            <w:tcBorders>
              <w:top w:val="single" w:sz="4" w:space="0" w:color="auto"/>
              <w:bottom w:val="single" w:sz="4" w:space="0" w:color="auto"/>
            </w:tcBorders>
          </w:tcPr>
          <w:p w14:paraId="0DA5EDDC" w14:textId="77777777" w:rsidR="00CF0E2D" w:rsidRPr="00424DA4" w:rsidRDefault="00CF0E2D" w:rsidP="00A60D4B">
            <w:pPr>
              <w:pStyle w:val="InitFigR"/>
            </w:pPr>
            <w:r>
              <w:t>149</w:t>
            </w:r>
          </w:p>
        </w:tc>
        <w:tc>
          <w:tcPr>
            <w:tcW w:w="1029" w:type="dxa"/>
            <w:tcBorders>
              <w:top w:val="single" w:sz="4" w:space="0" w:color="auto"/>
              <w:bottom w:val="single" w:sz="4" w:space="0" w:color="auto"/>
            </w:tcBorders>
          </w:tcPr>
          <w:p w14:paraId="31A2D542" w14:textId="77777777" w:rsidR="00CF0E2D" w:rsidRPr="00424DA4" w:rsidRDefault="00CF0E2D" w:rsidP="00A60D4B">
            <w:pPr>
              <w:pStyle w:val="InitFigBR"/>
            </w:pPr>
            <w:r>
              <w:t>576</w:t>
            </w:r>
          </w:p>
        </w:tc>
      </w:tr>
    </w:tbl>
    <w:p w14:paraId="6B9D205B" w14:textId="77777777" w:rsidR="00CF0E2D" w:rsidRDefault="00CF0E2D" w:rsidP="00A60D4B">
      <w:pPr>
        <w:pStyle w:val="Bbodytext"/>
      </w:pPr>
      <w:r>
        <w:t xml:space="preserve">The Government will </w:t>
      </w:r>
      <w:r w:rsidRPr="0026746C">
        <w:t xml:space="preserve">increase the level of base funding to the Human Rights Commission to meet the growth in </w:t>
      </w:r>
      <w:r>
        <w:t xml:space="preserve">demand </w:t>
      </w:r>
      <w:r w:rsidRPr="0026746C">
        <w:t>for the Official Visitors Scheme</w:t>
      </w:r>
      <w:r>
        <w:t xml:space="preserve">. This Scheme </w:t>
      </w:r>
      <w:r w:rsidRPr="002A0FE6">
        <w:t xml:space="preserve">provides independent oversight of services for </w:t>
      </w:r>
      <w:r>
        <w:t xml:space="preserve">vulnerable </w:t>
      </w:r>
      <w:r w:rsidRPr="002A0FE6">
        <w:t>people in government institutions and community facilities who are dependent on service providers</w:t>
      </w:r>
      <w:r>
        <w:t xml:space="preserve">. </w:t>
      </w:r>
    </w:p>
    <w:p w14:paraId="05EF3F38" w14:textId="77777777" w:rsidR="00CF0E2D" w:rsidRDefault="00CF0E2D" w:rsidP="00A60D4B">
      <w:pPr>
        <w:pStyle w:val="Bbodytext"/>
      </w:pPr>
      <w:r>
        <w:t>This initiative contributes to the wellbeing domain of Safety.</w:t>
      </w:r>
    </w:p>
    <w:p w14:paraId="4658FA12" w14:textId="77777777" w:rsidR="00CF0E2D" w:rsidRDefault="00CF0E2D">
      <w:pPr>
        <w:rPr>
          <w:sz w:val="24"/>
        </w:rPr>
      </w:pPr>
      <w:r>
        <w:br w:type="page"/>
      </w:r>
    </w:p>
    <w:p w14:paraId="5E7E5D41" w14:textId="77777777" w:rsidR="00CF0E2D" w:rsidRDefault="00CF0E2D" w:rsidP="00A60D4B">
      <w:pPr>
        <w:pStyle w:val="Bbodytext"/>
      </w:pPr>
    </w:p>
    <w:p w14:paraId="30CC62DA" w14:textId="77777777" w:rsidR="00CF0E2D" w:rsidRPr="008B783C" w:rsidRDefault="00CF0E2D" w:rsidP="00A60D4B">
      <w:pPr>
        <w:pStyle w:val="Heading4"/>
        <w:rPr>
          <w:rFonts w:eastAsia="Times New Roman"/>
        </w:rPr>
      </w:pPr>
      <w:r w:rsidRPr="008B783C">
        <w:rPr>
          <w:rFonts w:eastAsia="Times New Roman"/>
        </w:rPr>
        <w:t xml:space="preserve">Streamlining court proceedings </w:t>
      </w:r>
      <w:r>
        <w:rPr>
          <w:b w:val="0"/>
          <w:noProof/>
          <w:color w:val="999789"/>
          <w:sz w:val="32"/>
          <w:szCs w:val="24"/>
        </w:rPr>
        <w:drawing>
          <wp:anchor distT="0" distB="0" distL="114300" distR="114300" simplePos="0" relativeHeight="251932672" behindDoc="0" locked="1" layoutInCell="1" allowOverlap="1" wp14:anchorId="2B0714F6" wp14:editId="49BBD8BD">
            <wp:simplePos x="0" y="0"/>
            <wp:positionH relativeFrom="margin">
              <wp:align>right</wp:align>
            </wp:positionH>
            <wp:positionV relativeFrom="paragraph">
              <wp:posOffset>-113030</wp:posOffset>
            </wp:positionV>
            <wp:extent cx="1421765" cy="503555"/>
            <wp:effectExtent l="0" t="0" r="6985" b="0"/>
            <wp:wrapSquare wrapText="bothSides"/>
            <wp:docPr id="140" name="Picture 140" descr="Icon representing the wellbeing domain of Governance and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con representing the wellbeing domain of Governance and institutions"/>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217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12AE0C9D" w14:textId="77777777" w:rsidTr="00A60D4B">
        <w:trPr>
          <w:cantSplit/>
          <w:jc w:val="center"/>
        </w:trPr>
        <w:tc>
          <w:tcPr>
            <w:tcW w:w="3652" w:type="dxa"/>
            <w:tcBorders>
              <w:top w:val="single" w:sz="4" w:space="0" w:color="auto"/>
              <w:bottom w:val="single" w:sz="4" w:space="0" w:color="auto"/>
            </w:tcBorders>
          </w:tcPr>
          <w:p w14:paraId="2BF90FAD"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0CDB2875" w14:textId="77777777" w:rsidR="00CF0E2D" w:rsidRPr="001B62CB" w:rsidRDefault="00CF0E2D" w:rsidP="00A60D4B">
            <w:pPr>
              <w:pStyle w:val="InitFigR"/>
              <w:rPr>
                <w:b/>
                <w:bCs/>
              </w:rPr>
            </w:pPr>
            <w:r w:rsidRPr="001B62CB">
              <w:rPr>
                <w:b/>
                <w:bCs/>
              </w:rPr>
              <w:t>2021-22</w:t>
            </w:r>
          </w:p>
          <w:p w14:paraId="4EABC45B" w14:textId="77777777" w:rsidR="00CF0E2D" w:rsidRPr="001B62CB" w:rsidRDefault="00CF0E2D" w:rsidP="00A60D4B">
            <w:pPr>
              <w:pStyle w:val="InitFigR"/>
              <w:rPr>
                <w:b/>
                <w:bCs/>
              </w:rPr>
            </w:pPr>
            <w:r w:rsidRPr="001B62CB">
              <w:rPr>
                <w:b/>
                <w:bCs/>
              </w:rPr>
              <w:t>$’000</w:t>
            </w:r>
          </w:p>
        </w:tc>
        <w:tc>
          <w:tcPr>
            <w:tcW w:w="1041" w:type="dxa"/>
            <w:tcBorders>
              <w:top w:val="single" w:sz="4" w:space="0" w:color="auto"/>
              <w:bottom w:val="single" w:sz="4" w:space="0" w:color="auto"/>
            </w:tcBorders>
          </w:tcPr>
          <w:p w14:paraId="2E98A536" w14:textId="77777777" w:rsidR="00CF0E2D" w:rsidRPr="001B62CB" w:rsidRDefault="00CF0E2D" w:rsidP="00A60D4B">
            <w:pPr>
              <w:pStyle w:val="InitFigR"/>
              <w:rPr>
                <w:b/>
                <w:bCs/>
              </w:rPr>
            </w:pPr>
            <w:r w:rsidRPr="001B62CB">
              <w:rPr>
                <w:b/>
                <w:bCs/>
              </w:rPr>
              <w:t>2022-23</w:t>
            </w:r>
          </w:p>
          <w:p w14:paraId="3106CD67" w14:textId="77777777" w:rsidR="00CF0E2D" w:rsidRPr="001B62CB" w:rsidRDefault="00CF0E2D" w:rsidP="00A60D4B">
            <w:pPr>
              <w:pStyle w:val="InitFigR"/>
              <w:rPr>
                <w:b/>
                <w:bCs/>
              </w:rPr>
            </w:pPr>
            <w:r w:rsidRPr="001B62CB">
              <w:rPr>
                <w:b/>
                <w:bCs/>
              </w:rPr>
              <w:t>$’000</w:t>
            </w:r>
          </w:p>
        </w:tc>
        <w:tc>
          <w:tcPr>
            <w:tcW w:w="1029" w:type="dxa"/>
            <w:tcBorders>
              <w:top w:val="single" w:sz="4" w:space="0" w:color="auto"/>
              <w:bottom w:val="single" w:sz="4" w:space="0" w:color="auto"/>
            </w:tcBorders>
          </w:tcPr>
          <w:p w14:paraId="6D02B884" w14:textId="77777777" w:rsidR="00CF0E2D" w:rsidRPr="001B62CB" w:rsidRDefault="00CF0E2D" w:rsidP="00A60D4B">
            <w:pPr>
              <w:pStyle w:val="InitFigR"/>
              <w:rPr>
                <w:b/>
                <w:bCs/>
              </w:rPr>
            </w:pPr>
            <w:r w:rsidRPr="001B62CB">
              <w:rPr>
                <w:b/>
                <w:bCs/>
              </w:rPr>
              <w:t>2023-24</w:t>
            </w:r>
          </w:p>
          <w:p w14:paraId="1C6D8077" w14:textId="77777777" w:rsidR="00CF0E2D" w:rsidRPr="001B62CB" w:rsidRDefault="00CF0E2D" w:rsidP="00A60D4B">
            <w:pPr>
              <w:pStyle w:val="InitFigR"/>
              <w:rPr>
                <w:b/>
                <w:bCs/>
              </w:rPr>
            </w:pPr>
            <w:r w:rsidRPr="001B62CB">
              <w:rPr>
                <w:b/>
                <w:bCs/>
              </w:rPr>
              <w:t>$’000</w:t>
            </w:r>
          </w:p>
        </w:tc>
        <w:tc>
          <w:tcPr>
            <w:tcW w:w="1029" w:type="dxa"/>
            <w:tcBorders>
              <w:top w:val="single" w:sz="4" w:space="0" w:color="auto"/>
              <w:bottom w:val="single" w:sz="4" w:space="0" w:color="auto"/>
            </w:tcBorders>
          </w:tcPr>
          <w:p w14:paraId="2FE606E9" w14:textId="77777777" w:rsidR="00CF0E2D" w:rsidRPr="001B62CB" w:rsidRDefault="00CF0E2D" w:rsidP="00A60D4B">
            <w:pPr>
              <w:pStyle w:val="InitFigR"/>
              <w:rPr>
                <w:b/>
                <w:bCs/>
              </w:rPr>
            </w:pPr>
            <w:r w:rsidRPr="001B62CB">
              <w:rPr>
                <w:b/>
                <w:bCs/>
              </w:rPr>
              <w:t>2024-25</w:t>
            </w:r>
          </w:p>
          <w:p w14:paraId="26A3DC88" w14:textId="77777777" w:rsidR="00CF0E2D" w:rsidRPr="001B62CB" w:rsidRDefault="00CF0E2D" w:rsidP="00A60D4B">
            <w:pPr>
              <w:pStyle w:val="InitFigR"/>
              <w:rPr>
                <w:b/>
                <w:bCs/>
              </w:rPr>
            </w:pPr>
            <w:r w:rsidRPr="001B62CB">
              <w:rPr>
                <w:b/>
                <w:bCs/>
              </w:rPr>
              <w:t>$’000</w:t>
            </w:r>
          </w:p>
        </w:tc>
        <w:tc>
          <w:tcPr>
            <w:tcW w:w="1029" w:type="dxa"/>
            <w:tcBorders>
              <w:top w:val="single" w:sz="4" w:space="0" w:color="auto"/>
              <w:bottom w:val="single" w:sz="4" w:space="0" w:color="auto"/>
            </w:tcBorders>
          </w:tcPr>
          <w:p w14:paraId="7750169C" w14:textId="77777777" w:rsidR="00CF0E2D" w:rsidRPr="004E341E" w:rsidRDefault="00CF0E2D" w:rsidP="00A60D4B">
            <w:pPr>
              <w:pStyle w:val="InitFigRBold"/>
            </w:pPr>
            <w:r w:rsidRPr="004E341E">
              <w:t>Total</w:t>
            </w:r>
          </w:p>
          <w:p w14:paraId="56804A45" w14:textId="77777777" w:rsidR="00CF0E2D" w:rsidRPr="004E341E" w:rsidRDefault="00CF0E2D" w:rsidP="00A60D4B">
            <w:pPr>
              <w:pStyle w:val="InitFigBR"/>
            </w:pPr>
            <w:r w:rsidRPr="004E341E">
              <w:t>$’000</w:t>
            </w:r>
          </w:p>
        </w:tc>
      </w:tr>
      <w:tr w:rsidR="00CF0E2D" w:rsidRPr="00750793" w14:paraId="14E894F9" w14:textId="77777777" w:rsidTr="00A60D4B">
        <w:trPr>
          <w:cantSplit/>
          <w:jc w:val="center"/>
        </w:trPr>
        <w:tc>
          <w:tcPr>
            <w:tcW w:w="3652" w:type="dxa"/>
            <w:tcBorders>
              <w:top w:val="single" w:sz="4" w:space="0" w:color="auto"/>
            </w:tcBorders>
          </w:tcPr>
          <w:p w14:paraId="3A26AAD1" w14:textId="77777777" w:rsidR="00CF0E2D" w:rsidRPr="00F13FAB" w:rsidRDefault="00CF0E2D" w:rsidP="00A60D4B">
            <w:pPr>
              <w:pStyle w:val="InitTextL"/>
              <w:ind w:left="321" w:hanging="321"/>
            </w:pPr>
            <w:r w:rsidRPr="00882BE2">
              <w:t>Expenses</w:t>
            </w:r>
            <w:r>
              <w:t xml:space="preserve"> – JACS</w:t>
            </w:r>
          </w:p>
        </w:tc>
        <w:tc>
          <w:tcPr>
            <w:tcW w:w="1179" w:type="dxa"/>
            <w:tcBorders>
              <w:top w:val="single" w:sz="4" w:space="0" w:color="auto"/>
            </w:tcBorders>
          </w:tcPr>
          <w:p w14:paraId="7873EE36" w14:textId="77777777" w:rsidR="00CF0E2D" w:rsidRPr="00424DA4" w:rsidRDefault="00CF0E2D" w:rsidP="00A60D4B">
            <w:pPr>
              <w:pStyle w:val="InitFigR"/>
            </w:pPr>
            <w:r>
              <w:t>143</w:t>
            </w:r>
          </w:p>
        </w:tc>
        <w:tc>
          <w:tcPr>
            <w:tcW w:w="1041" w:type="dxa"/>
            <w:tcBorders>
              <w:top w:val="single" w:sz="4" w:space="0" w:color="auto"/>
            </w:tcBorders>
          </w:tcPr>
          <w:p w14:paraId="1286891A" w14:textId="77777777" w:rsidR="00CF0E2D" w:rsidRPr="00424DA4" w:rsidRDefault="00CF0E2D" w:rsidP="00A60D4B">
            <w:pPr>
              <w:pStyle w:val="InitFigR"/>
            </w:pPr>
            <w:r>
              <w:t>0</w:t>
            </w:r>
          </w:p>
        </w:tc>
        <w:tc>
          <w:tcPr>
            <w:tcW w:w="1029" w:type="dxa"/>
            <w:tcBorders>
              <w:top w:val="single" w:sz="4" w:space="0" w:color="auto"/>
            </w:tcBorders>
          </w:tcPr>
          <w:p w14:paraId="4E466B1C" w14:textId="77777777" w:rsidR="00CF0E2D" w:rsidRPr="00424DA4" w:rsidRDefault="00CF0E2D" w:rsidP="00A60D4B">
            <w:pPr>
              <w:pStyle w:val="InitFigR"/>
            </w:pPr>
            <w:r>
              <w:t>0</w:t>
            </w:r>
          </w:p>
        </w:tc>
        <w:tc>
          <w:tcPr>
            <w:tcW w:w="1029" w:type="dxa"/>
            <w:tcBorders>
              <w:top w:val="single" w:sz="4" w:space="0" w:color="auto"/>
            </w:tcBorders>
          </w:tcPr>
          <w:p w14:paraId="7E87E1A4" w14:textId="77777777" w:rsidR="00CF0E2D" w:rsidRPr="00424DA4" w:rsidRDefault="00CF0E2D" w:rsidP="00A60D4B">
            <w:pPr>
              <w:pStyle w:val="InitFigR"/>
            </w:pPr>
            <w:r>
              <w:t>0</w:t>
            </w:r>
          </w:p>
        </w:tc>
        <w:tc>
          <w:tcPr>
            <w:tcW w:w="1029" w:type="dxa"/>
            <w:tcBorders>
              <w:top w:val="single" w:sz="4" w:space="0" w:color="auto"/>
            </w:tcBorders>
          </w:tcPr>
          <w:p w14:paraId="3DE853EE" w14:textId="77777777" w:rsidR="00CF0E2D" w:rsidRPr="00424DA4" w:rsidRDefault="00CF0E2D" w:rsidP="00A60D4B">
            <w:pPr>
              <w:pStyle w:val="InitFigBR"/>
            </w:pPr>
            <w:r>
              <w:t>143</w:t>
            </w:r>
          </w:p>
        </w:tc>
      </w:tr>
      <w:tr w:rsidR="00CF0E2D" w:rsidRPr="00750793" w14:paraId="6E02BCEE" w14:textId="77777777" w:rsidTr="00A60D4B">
        <w:trPr>
          <w:cantSplit/>
          <w:jc w:val="center"/>
        </w:trPr>
        <w:tc>
          <w:tcPr>
            <w:tcW w:w="3652" w:type="dxa"/>
            <w:tcBorders>
              <w:bottom w:val="single" w:sz="4" w:space="0" w:color="auto"/>
            </w:tcBorders>
          </w:tcPr>
          <w:p w14:paraId="39A7E12F" w14:textId="77777777" w:rsidR="00CF0E2D" w:rsidRPr="00882BE2" w:rsidRDefault="00CF0E2D" w:rsidP="00A60D4B">
            <w:pPr>
              <w:pStyle w:val="InitTextL"/>
              <w:ind w:left="321" w:hanging="321"/>
            </w:pPr>
            <w:r>
              <w:t>Expenses – Legal Aid ACT</w:t>
            </w:r>
          </w:p>
        </w:tc>
        <w:tc>
          <w:tcPr>
            <w:tcW w:w="1179" w:type="dxa"/>
            <w:tcBorders>
              <w:bottom w:val="single" w:sz="4" w:space="0" w:color="auto"/>
            </w:tcBorders>
          </w:tcPr>
          <w:p w14:paraId="7876A1E9" w14:textId="77777777" w:rsidR="00CF0E2D" w:rsidRDefault="00CF0E2D" w:rsidP="00A60D4B">
            <w:pPr>
              <w:pStyle w:val="InitFigR"/>
            </w:pPr>
            <w:r>
              <w:t>100</w:t>
            </w:r>
          </w:p>
        </w:tc>
        <w:tc>
          <w:tcPr>
            <w:tcW w:w="1041" w:type="dxa"/>
            <w:tcBorders>
              <w:bottom w:val="single" w:sz="4" w:space="0" w:color="auto"/>
            </w:tcBorders>
          </w:tcPr>
          <w:p w14:paraId="7A2E5FAD" w14:textId="77777777" w:rsidR="00CF0E2D" w:rsidRDefault="00CF0E2D" w:rsidP="00A60D4B">
            <w:pPr>
              <w:pStyle w:val="InitFigR"/>
            </w:pPr>
            <w:r>
              <w:t>0</w:t>
            </w:r>
          </w:p>
        </w:tc>
        <w:tc>
          <w:tcPr>
            <w:tcW w:w="1029" w:type="dxa"/>
            <w:tcBorders>
              <w:bottom w:val="single" w:sz="4" w:space="0" w:color="auto"/>
            </w:tcBorders>
          </w:tcPr>
          <w:p w14:paraId="60196FC0" w14:textId="77777777" w:rsidR="00CF0E2D" w:rsidRDefault="00CF0E2D" w:rsidP="00A60D4B">
            <w:pPr>
              <w:pStyle w:val="InitFigR"/>
            </w:pPr>
            <w:r>
              <w:t>0</w:t>
            </w:r>
          </w:p>
        </w:tc>
        <w:tc>
          <w:tcPr>
            <w:tcW w:w="1029" w:type="dxa"/>
            <w:tcBorders>
              <w:bottom w:val="single" w:sz="4" w:space="0" w:color="auto"/>
            </w:tcBorders>
          </w:tcPr>
          <w:p w14:paraId="4AE0F4FD" w14:textId="77777777" w:rsidR="00CF0E2D" w:rsidRDefault="00CF0E2D" w:rsidP="00A60D4B">
            <w:pPr>
              <w:pStyle w:val="InitFigR"/>
            </w:pPr>
            <w:r>
              <w:t>0</w:t>
            </w:r>
          </w:p>
        </w:tc>
        <w:tc>
          <w:tcPr>
            <w:tcW w:w="1029" w:type="dxa"/>
            <w:tcBorders>
              <w:bottom w:val="single" w:sz="4" w:space="0" w:color="auto"/>
            </w:tcBorders>
          </w:tcPr>
          <w:p w14:paraId="33235864" w14:textId="77777777" w:rsidR="00CF0E2D" w:rsidRDefault="00CF0E2D" w:rsidP="00A60D4B">
            <w:pPr>
              <w:pStyle w:val="InitFigBR"/>
            </w:pPr>
            <w:r>
              <w:t>100</w:t>
            </w:r>
          </w:p>
        </w:tc>
      </w:tr>
      <w:tr w:rsidR="00CF0E2D" w:rsidRPr="00750793" w14:paraId="4CD8B6DC" w14:textId="77777777" w:rsidTr="00A60D4B">
        <w:trPr>
          <w:cantSplit/>
          <w:jc w:val="center"/>
        </w:trPr>
        <w:tc>
          <w:tcPr>
            <w:tcW w:w="3652" w:type="dxa"/>
            <w:tcBorders>
              <w:top w:val="single" w:sz="4" w:space="0" w:color="auto"/>
              <w:bottom w:val="single" w:sz="4" w:space="0" w:color="auto"/>
            </w:tcBorders>
          </w:tcPr>
          <w:p w14:paraId="7A16F709" w14:textId="77777777" w:rsidR="00CF0E2D" w:rsidRPr="00B7386B" w:rsidRDefault="00CF0E2D" w:rsidP="00A60D4B">
            <w:pPr>
              <w:pStyle w:val="InitTextL"/>
              <w:ind w:left="321" w:hanging="321"/>
              <w:rPr>
                <w:b/>
                <w:bCs/>
              </w:rPr>
            </w:pPr>
            <w:r w:rsidRPr="00B7386B">
              <w:rPr>
                <w:b/>
                <w:bCs/>
              </w:rPr>
              <w:t>Net cost of services</w:t>
            </w:r>
          </w:p>
        </w:tc>
        <w:tc>
          <w:tcPr>
            <w:tcW w:w="1179" w:type="dxa"/>
            <w:tcBorders>
              <w:top w:val="single" w:sz="4" w:space="0" w:color="auto"/>
              <w:bottom w:val="single" w:sz="4" w:space="0" w:color="auto"/>
            </w:tcBorders>
          </w:tcPr>
          <w:p w14:paraId="5E1008C8" w14:textId="77777777" w:rsidR="00CF0E2D" w:rsidRPr="00B7386B" w:rsidRDefault="00CF0E2D" w:rsidP="00A60D4B">
            <w:pPr>
              <w:pStyle w:val="InitFigR"/>
              <w:rPr>
                <w:b/>
                <w:bCs/>
              </w:rPr>
            </w:pPr>
            <w:r w:rsidRPr="00B7386B">
              <w:rPr>
                <w:b/>
                <w:bCs/>
              </w:rPr>
              <w:t>243</w:t>
            </w:r>
          </w:p>
        </w:tc>
        <w:tc>
          <w:tcPr>
            <w:tcW w:w="1041" w:type="dxa"/>
            <w:tcBorders>
              <w:top w:val="single" w:sz="4" w:space="0" w:color="auto"/>
              <w:bottom w:val="single" w:sz="4" w:space="0" w:color="auto"/>
            </w:tcBorders>
          </w:tcPr>
          <w:p w14:paraId="282DCBE1" w14:textId="77777777" w:rsidR="00CF0E2D" w:rsidRPr="00B7386B" w:rsidRDefault="00CF0E2D" w:rsidP="00A60D4B">
            <w:pPr>
              <w:pStyle w:val="InitFigR"/>
              <w:rPr>
                <w:b/>
                <w:bCs/>
              </w:rPr>
            </w:pPr>
            <w:r w:rsidRPr="00B7386B">
              <w:rPr>
                <w:b/>
                <w:bCs/>
              </w:rPr>
              <w:t>0</w:t>
            </w:r>
          </w:p>
        </w:tc>
        <w:tc>
          <w:tcPr>
            <w:tcW w:w="1029" w:type="dxa"/>
            <w:tcBorders>
              <w:top w:val="single" w:sz="4" w:space="0" w:color="auto"/>
              <w:bottom w:val="single" w:sz="4" w:space="0" w:color="auto"/>
            </w:tcBorders>
          </w:tcPr>
          <w:p w14:paraId="7FF34DCD" w14:textId="77777777" w:rsidR="00CF0E2D" w:rsidRPr="00B7386B" w:rsidRDefault="00CF0E2D" w:rsidP="00A60D4B">
            <w:pPr>
              <w:pStyle w:val="InitFigR"/>
              <w:rPr>
                <w:b/>
                <w:bCs/>
              </w:rPr>
            </w:pPr>
            <w:r w:rsidRPr="00B7386B">
              <w:rPr>
                <w:b/>
                <w:bCs/>
              </w:rPr>
              <w:t>0</w:t>
            </w:r>
          </w:p>
        </w:tc>
        <w:tc>
          <w:tcPr>
            <w:tcW w:w="1029" w:type="dxa"/>
            <w:tcBorders>
              <w:top w:val="single" w:sz="4" w:space="0" w:color="auto"/>
              <w:bottom w:val="single" w:sz="4" w:space="0" w:color="auto"/>
            </w:tcBorders>
          </w:tcPr>
          <w:p w14:paraId="33FCB439" w14:textId="77777777" w:rsidR="00CF0E2D" w:rsidRPr="00B7386B" w:rsidRDefault="00CF0E2D" w:rsidP="00A60D4B">
            <w:pPr>
              <w:pStyle w:val="InitFigR"/>
              <w:rPr>
                <w:b/>
                <w:bCs/>
              </w:rPr>
            </w:pPr>
            <w:r w:rsidRPr="00B7386B">
              <w:rPr>
                <w:b/>
                <w:bCs/>
              </w:rPr>
              <w:t>0</w:t>
            </w:r>
          </w:p>
        </w:tc>
        <w:tc>
          <w:tcPr>
            <w:tcW w:w="1029" w:type="dxa"/>
            <w:tcBorders>
              <w:top w:val="single" w:sz="4" w:space="0" w:color="auto"/>
              <w:bottom w:val="single" w:sz="4" w:space="0" w:color="auto"/>
            </w:tcBorders>
          </w:tcPr>
          <w:p w14:paraId="009AC734" w14:textId="77777777" w:rsidR="00CF0E2D" w:rsidRDefault="00CF0E2D" w:rsidP="00A60D4B">
            <w:pPr>
              <w:pStyle w:val="InitFigBR"/>
            </w:pPr>
            <w:r>
              <w:t>243</w:t>
            </w:r>
          </w:p>
        </w:tc>
      </w:tr>
    </w:tbl>
    <w:p w14:paraId="30EBECC4" w14:textId="77777777" w:rsidR="00CF0E2D" w:rsidRDefault="00CF0E2D" w:rsidP="00A60D4B">
      <w:pPr>
        <w:pStyle w:val="Bbodytext"/>
      </w:pPr>
      <w:r w:rsidRPr="004C581D">
        <w:t>The Government wi</w:t>
      </w:r>
      <w:r>
        <w:t>ll support the ACT Supreme Court to provide c</w:t>
      </w:r>
      <w:r w:rsidRPr="00BA2249">
        <w:t xml:space="preserve">riminal </w:t>
      </w:r>
      <w:r>
        <w:t>c</w:t>
      </w:r>
      <w:r w:rsidRPr="00BA2249">
        <w:t xml:space="preserve">ase </w:t>
      </w:r>
      <w:r>
        <w:t>c</w:t>
      </w:r>
      <w:r w:rsidRPr="00BA2249">
        <w:t>onferencing</w:t>
      </w:r>
      <w:r>
        <w:t xml:space="preserve">, which encourages negotiated settlements and improves the overall efficacy of the </w:t>
      </w:r>
      <w:r w:rsidRPr="00405CE2">
        <w:t>criminal justice process</w:t>
      </w:r>
      <w:r>
        <w:t xml:space="preserve">. This measure will also support Legal Aid ACT to participate in criminal case conferencing.  </w:t>
      </w:r>
    </w:p>
    <w:p w14:paraId="65E6EE26" w14:textId="77777777" w:rsidR="00CF0E2D" w:rsidRDefault="00CF0E2D" w:rsidP="00A60D4B">
      <w:pPr>
        <w:pStyle w:val="Bbodytext"/>
      </w:pPr>
      <w:r>
        <w:t xml:space="preserve">This initiative contributes to the wellbeing domain of </w:t>
      </w:r>
      <w:r w:rsidRPr="00600052">
        <w:t>Governance and institutions</w:t>
      </w:r>
      <w:r>
        <w:t>.</w:t>
      </w:r>
    </w:p>
    <w:p w14:paraId="674B0490" w14:textId="77777777" w:rsidR="00CF0E2D" w:rsidRDefault="00CF0E2D" w:rsidP="00A60D4B">
      <w:pPr>
        <w:pStyle w:val="Bbodytext"/>
      </w:pPr>
    </w:p>
    <w:p w14:paraId="43FB0392" w14:textId="77777777" w:rsidR="00CF0E2D" w:rsidRPr="00C1465A" w:rsidRDefault="00CF0E2D" w:rsidP="00A60D4B">
      <w:pPr>
        <w:pStyle w:val="Heading4"/>
        <w:rPr>
          <w:rStyle w:val="Heading3Char"/>
          <w:b/>
          <w:color w:val="auto"/>
          <w:sz w:val="28"/>
          <w:szCs w:val="22"/>
        </w:rPr>
      </w:pPr>
      <w:r w:rsidRPr="00C1465A">
        <w:rPr>
          <w:rStyle w:val="Heading3Char"/>
          <w:b/>
          <w:color w:val="auto"/>
          <w:sz w:val="28"/>
          <w:szCs w:val="22"/>
        </w:rPr>
        <w:t xml:space="preserve">Strengthening </w:t>
      </w:r>
      <w:r>
        <w:rPr>
          <w:rStyle w:val="Heading3Char"/>
          <w:b/>
          <w:color w:val="auto"/>
          <w:sz w:val="28"/>
          <w:szCs w:val="22"/>
        </w:rPr>
        <w:t>l</w:t>
      </w:r>
      <w:r w:rsidRPr="00C1465A">
        <w:rPr>
          <w:rStyle w:val="Heading3Char"/>
          <w:b/>
          <w:color w:val="auto"/>
          <w:sz w:val="28"/>
          <w:szCs w:val="22"/>
        </w:rPr>
        <w:t xml:space="preserve">egal </w:t>
      </w:r>
      <w:r>
        <w:rPr>
          <w:rStyle w:val="Heading3Char"/>
          <w:b/>
          <w:color w:val="auto"/>
          <w:sz w:val="28"/>
          <w:szCs w:val="22"/>
        </w:rPr>
        <w:t>p</w:t>
      </w:r>
      <w:r w:rsidRPr="00C1465A">
        <w:rPr>
          <w:rStyle w:val="Heading3Char"/>
          <w:b/>
          <w:color w:val="auto"/>
          <w:sz w:val="28"/>
          <w:szCs w:val="22"/>
        </w:rPr>
        <w:t xml:space="preserve">olicy and </w:t>
      </w:r>
      <w:r>
        <w:rPr>
          <w:rStyle w:val="Heading3Char"/>
          <w:b/>
          <w:color w:val="auto"/>
          <w:sz w:val="28"/>
          <w:szCs w:val="22"/>
        </w:rPr>
        <w:t>a</w:t>
      </w:r>
      <w:r w:rsidRPr="00C1465A">
        <w:rPr>
          <w:rStyle w:val="Heading3Char"/>
          <w:b/>
          <w:color w:val="auto"/>
          <w:sz w:val="28"/>
          <w:szCs w:val="22"/>
        </w:rPr>
        <w:t xml:space="preserve">dvisory </w:t>
      </w:r>
      <w:r>
        <w:rPr>
          <w:rStyle w:val="Heading3Char"/>
          <w:b/>
          <w:color w:val="auto"/>
          <w:sz w:val="28"/>
          <w:szCs w:val="22"/>
        </w:rPr>
        <w:t>se</w:t>
      </w:r>
      <w:r w:rsidRPr="00C1465A">
        <w:rPr>
          <w:rStyle w:val="Heading3Char"/>
          <w:b/>
          <w:color w:val="auto"/>
          <w:sz w:val="28"/>
          <w:szCs w:val="22"/>
        </w:rPr>
        <w:t xml:space="preserve">rvices </w:t>
      </w:r>
      <w:r>
        <w:rPr>
          <w:b w:val="0"/>
          <w:noProof/>
          <w:color w:val="999789"/>
          <w:sz w:val="32"/>
          <w:szCs w:val="24"/>
        </w:rPr>
        <w:drawing>
          <wp:anchor distT="0" distB="0" distL="114300" distR="114300" simplePos="0" relativeHeight="251933696" behindDoc="0" locked="1" layoutInCell="1" allowOverlap="1" wp14:anchorId="4676AD6A" wp14:editId="51E7A4C8">
            <wp:simplePos x="0" y="0"/>
            <wp:positionH relativeFrom="margin">
              <wp:align>right</wp:align>
            </wp:positionH>
            <wp:positionV relativeFrom="paragraph">
              <wp:posOffset>-84455</wp:posOffset>
            </wp:positionV>
            <wp:extent cx="1421765" cy="503555"/>
            <wp:effectExtent l="0" t="0" r="6985" b="0"/>
            <wp:wrapSquare wrapText="bothSides"/>
            <wp:docPr id="141" name="Picture 141" descr="Icon representing the wellbeing domain of Governance and institu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con representing the wellbeing domain of Governance and institutions"/>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217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4E341E" w14:paraId="4FFBA465" w14:textId="77777777" w:rsidTr="00A60D4B">
        <w:trPr>
          <w:cantSplit/>
          <w:jc w:val="center"/>
        </w:trPr>
        <w:tc>
          <w:tcPr>
            <w:tcW w:w="3652" w:type="dxa"/>
            <w:tcBorders>
              <w:top w:val="single" w:sz="4" w:space="0" w:color="auto"/>
              <w:bottom w:val="single" w:sz="4" w:space="0" w:color="auto"/>
            </w:tcBorders>
          </w:tcPr>
          <w:p w14:paraId="0FC4CA2A" w14:textId="77777777" w:rsidR="00CF0E2D" w:rsidRPr="004E341E" w:rsidRDefault="00CF0E2D" w:rsidP="00A60D4B">
            <w:pPr>
              <w:pStyle w:val="EmptyCell0"/>
            </w:pPr>
            <w:r>
              <w:t>pl</w:t>
            </w:r>
          </w:p>
        </w:tc>
        <w:tc>
          <w:tcPr>
            <w:tcW w:w="1179" w:type="dxa"/>
            <w:tcBorders>
              <w:top w:val="single" w:sz="4" w:space="0" w:color="auto"/>
              <w:bottom w:val="single" w:sz="4" w:space="0" w:color="auto"/>
            </w:tcBorders>
          </w:tcPr>
          <w:p w14:paraId="0B8C63BC" w14:textId="77777777" w:rsidR="00CF0E2D" w:rsidRPr="001B62CB" w:rsidRDefault="00CF0E2D" w:rsidP="00A60D4B">
            <w:pPr>
              <w:pStyle w:val="InitFigR"/>
              <w:rPr>
                <w:b/>
                <w:bCs/>
              </w:rPr>
            </w:pPr>
            <w:r w:rsidRPr="001B62CB">
              <w:rPr>
                <w:b/>
                <w:bCs/>
              </w:rPr>
              <w:t>2021-22</w:t>
            </w:r>
          </w:p>
          <w:p w14:paraId="23DAD8CC" w14:textId="77777777" w:rsidR="00CF0E2D" w:rsidRPr="001B62CB" w:rsidRDefault="00CF0E2D" w:rsidP="00A60D4B">
            <w:pPr>
              <w:pStyle w:val="InitFigR"/>
              <w:rPr>
                <w:b/>
                <w:bCs/>
              </w:rPr>
            </w:pPr>
            <w:r w:rsidRPr="001B62CB">
              <w:rPr>
                <w:b/>
                <w:bCs/>
              </w:rPr>
              <w:t>$’000</w:t>
            </w:r>
          </w:p>
        </w:tc>
        <w:tc>
          <w:tcPr>
            <w:tcW w:w="1041" w:type="dxa"/>
            <w:tcBorders>
              <w:top w:val="single" w:sz="4" w:space="0" w:color="auto"/>
              <w:bottom w:val="single" w:sz="4" w:space="0" w:color="auto"/>
            </w:tcBorders>
          </w:tcPr>
          <w:p w14:paraId="1DBBD81D" w14:textId="77777777" w:rsidR="00CF0E2D" w:rsidRPr="001B62CB" w:rsidRDefault="00CF0E2D" w:rsidP="00A60D4B">
            <w:pPr>
              <w:pStyle w:val="InitFigR"/>
              <w:rPr>
                <w:b/>
                <w:bCs/>
              </w:rPr>
            </w:pPr>
            <w:r w:rsidRPr="001B62CB">
              <w:rPr>
                <w:b/>
                <w:bCs/>
              </w:rPr>
              <w:t>2022-23</w:t>
            </w:r>
          </w:p>
          <w:p w14:paraId="4A5E8762" w14:textId="77777777" w:rsidR="00CF0E2D" w:rsidRPr="001B62CB" w:rsidRDefault="00CF0E2D" w:rsidP="00A60D4B">
            <w:pPr>
              <w:pStyle w:val="InitFigR"/>
              <w:rPr>
                <w:b/>
                <w:bCs/>
              </w:rPr>
            </w:pPr>
            <w:r w:rsidRPr="001B62CB">
              <w:rPr>
                <w:b/>
                <w:bCs/>
              </w:rPr>
              <w:t>$’000</w:t>
            </w:r>
          </w:p>
        </w:tc>
        <w:tc>
          <w:tcPr>
            <w:tcW w:w="1029" w:type="dxa"/>
            <w:tcBorders>
              <w:top w:val="single" w:sz="4" w:space="0" w:color="auto"/>
              <w:bottom w:val="single" w:sz="4" w:space="0" w:color="auto"/>
            </w:tcBorders>
          </w:tcPr>
          <w:p w14:paraId="277C92F2" w14:textId="77777777" w:rsidR="00CF0E2D" w:rsidRPr="001B62CB" w:rsidRDefault="00CF0E2D" w:rsidP="00A60D4B">
            <w:pPr>
              <w:pStyle w:val="InitFigR"/>
              <w:rPr>
                <w:b/>
                <w:bCs/>
              </w:rPr>
            </w:pPr>
            <w:r w:rsidRPr="001B62CB">
              <w:rPr>
                <w:b/>
                <w:bCs/>
              </w:rPr>
              <w:t>2023-24</w:t>
            </w:r>
          </w:p>
          <w:p w14:paraId="711E074E" w14:textId="77777777" w:rsidR="00CF0E2D" w:rsidRPr="001B62CB" w:rsidRDefault="00CF0E2D" w:rsidP="00A60D4B">
            <w:pPr>
              <w:pStyle w:val="InitFigR"/>
              <w:rPr>
                <w:b/>
                <w:bCs/>
              </w:rPr>
            </w:pPr>
            <w:r w:rsidRPr="001B62CB">
              <w:rPr>
                <w:b/>
                <w:bCs/>
              </w:rPr>
              <w:t>$’000</w:t>
            </w:r>
          </w:p>
        </w:tc>
        <w:tc>
          <w:tcPr>
            <w:tcW w:w="1029" w:type="dxa"/>
            <w:tcBorders>
              <w:top w:val="single" w:sz="4" w:space="0" w:color="auto"/>
              <w:bottom w:val="single" w:sz="4" w:space="0" w:color="auto"/>
            </w:tcBorders>
          </w:tcPr>
          <w:p w14:paraId="280B40C9" w14:textId="77777777" w:rsidR="00CF0E2D" w:rsidRPr="001B62CB" w:rsidRDefault="00CF0E2D" w:rsidP="00A60D4B">
            <w:pPr>
              <w:pStyle w:val="InitFigR"/>
              <w:rPr>
                <w:b/>
                <w:bCs/>
              </w:rPr>
            </w:pPr>
            <w:r w:rsidRPr="001B62CB">
              <w:rPr>
                <w:b/>
                <w:bCs/>
              </w:rPr>
              <w:t>2024-25</w:t>
            </w:r>
          </w:p>
          <w:p w14:paraId="52C125D3" w14:textId="77777777" w:rsidR="00CF0E2D" w:rsidRPr="001B62CB" w:rsidRDefault="00CF0E2D" w:rsidP="00A60D4B">
            <w:pPr>
              <w:pStyle w:val="InitFigR"/>
              <w:rPr>
                <w:b/>
                <w:bCs/>
              </w:rPr>
            </w:pPr>
            <w:r w:rsidRPr="001B62CB">
              <w:rPr>
                <w:b/>
                <w:bCs/>
              </w:rPr>
              <w:t>$’000</w:t>
            </w:r>
          </w:p>
        </w:tc>
        <w:tc>
          <w:tcPr>
            <w:tcW w:w="1029" w:type="dxa"/>
            <w:tcBorders>
              <w:top w:val="single" w:sz="4" w:space="0" w:color="auto"/>
              <w:bottom w:val="single" w:sz="4" w:space="0" w:color="auto"/>
            </w:tcBorders>
          </w:tcPr>
          <w:p w14:paraId="56D50271" w14:textId="77777777" w:rsidR="00CF0E2D" w:rsidRPr="004E341E" w:rsidRDefault="00CF0E2D" w:rsidP="00A60D4B">
            <w:pPr>
              <w:pStyle w:val="InitFigRBold"/>
            </w:pPr>
            <w:r w:rsidRPr="004E341E">
              <w:t>Total</w:t>
            </w:r>
          </w:p>
          <w:p w14:paraId="44CB8D61" w14:textId="77777777" w:rsidR="00CF0E2D" w:rsidRPr="004E341E" w:rsidRDefault="00CF0E2D" w:rsidP="00A60D4B">
            <w:pPr>
              <w:pStyle w:val="InitFigBR"/>
            </w:pPr>
            <w:r w:rsidRPr="004E341E">
              <w:t>$’000</w:t>
            </w:r>
          </w:p>
        </w:tc>
      </w:tr>
      <w:tr w:rsidR="00CF0E2D" w:rsidRPr="006B0780" w14:paraId="3519D52A" w14:textId="77777777" w:rsidTr="00A60D4B">
        <w:trPr>
          <w:cantSplit/>
          <w:jc w:val="center"/>
        </w:trPr>
        <w:tc>
          <w:tcPr>
            <w:tcW w:w="3652" w:type="dxa"/>
            <w:tcBorders>
              <w:top w:val="single" w:sz="4" w:space="0" w:color="auto"/>
            </w:tcBorders>
          </w:tcPr>
          <w:p w14:paraId="03DE8E96" w14:textId="77777777" w:rsidR="00CF0E2D" w:rsidRDefault="00CF0E2D" w:rsidP="00A60D4B">
            <w:pPr>
              <w:pStyle w:val="InitTextL"/>
              <w:ind w:left="321" w:hanging="321"/>
            </w:pPr>
            <w:r w:rsidRPr="00FD48E9">
              <w:t xml:space="preserve">Expenses </w:t>
            </w:r>
          </w:p>
        </w:tc>
        <w:tc>
          <w:tcPr>
            <w:tcW w:w="1179" w:type="dxa"/>
            <w:tcBorders>
              <w:top w:val="single" w:sz="4" w:space="0" w:color="auto"/>
            </w:tcBorders>
          </w:tcPr>
          <w:p w14:paraId="0C10C672" w14:textId="77777777" w:rsidR="00CF0E2D" w:rsidRDefault="00CF0E2D" w:rsidP="00A60D4B">
            <w:pPr>
              <w:pStyle w:val="InitFigR"/>
            </w:pPr>
            <w:r>
              <w:t>2,122</w:t>
            </w:r>
          </w:p>
        </w:tc>
        <w:tc>
          <w:tcPr>
            <w:tcW w:w="1041" w:type="dxa"/>
            <w:tcBorders>
              <w:top w:val="single" w:sz="4" w:space="0" w:color="auto"/>
            </w:tcBorders>
          </w:tcPr>
          <w:p w14:paraId="7A99AE7F" w14:textId="77777777" w:rsidR="00CF0E2D" w:rsidRDefault="00CF0E2D" w:rsidP="00A60D4B">
            <w:pPr>
              <w:pStyle w:val="InitFigR"/>
            </w:pPr>
            <w:r>
              <w:t>1,806</w:t>
            </w:r>
          </w:p>
        </w:tc>
        <w:tc>
          <w:tcPr>
            <w:tcW w:w="1029" w:type="dxa"/>
            <w:tcBorders>
              <w:top w:val="single" w:sz="4" w:space="0" w:color="auto"/>
            </w:tcBorders>
          </w:tcPr>
          <w:p w14:paraId="74C828FB" w14:textId="77777777" w:rsidR="00CF0E2D" w:rsidRDefault="00CF0E2D" w:rsidP="00A60D4B">
            <w:pPr>
              <w:pStyle w:val="InitFigR"/>
            </w:pPr>
            <w:r>
              <w:t>1,833</w:t>
            </w:r>
          </w:p>
        </w:tc>
        <w:tc>
          <w:tcPr>
            <w:tcW w:w="1029" w:type="dxa"/>
            <w:tcBorders>
              <w:top w:val="single" w:sz="4" w:space="0" w:color="auto"/>
            </w:tcBorders>
          </w:tcPr>
          <w:p w14:paraId="3DD92649" w14:textId="77777777" w:rsidR="00CF0E2D" w:rsidRDefault="00CF0E2D" w:rsidP="00A60D4B">
            <w:pPr>
              <w:pStyle w:val="InitFigR"/>
            </w:pPr>
            <w:r>
              <w:t>1,861</w:t>
            </w:r>
          </w:p>
        </w:tc>
        <w:tc>
          <w:tcPr>
            <w:tcW w:w="1029" w:type="dxa"/>
            <w:tcBorders>
              <w:top w:val="single" w:sz="4" w:space="0" w:color="auto"/>
            </w:tcBorders>
          </w:tcPr>
          <w:p w14:paraId="4E9E9729" w14:textId="77777777" w:rsidR="00CF0E2D" w:rsidRPr="006B0780" w:rsidRDefault="00CF0E2D" w:rsidP="00A60D4B">
            <w:pPr>
              <w:pStyle w:val="InitFigRBold"/>
              <w:rPr>
                <w:bCs/>
              </w:rPr>
            </w:pPr>
            <w:r>
              <w:rPr>
                <w:bCs/>
              </w:rPr>
              <w:t>7,622</w:t>
            </w:r>
          </w:p>
        </w:tc>
      </w:tr>
      <w:tr w:rsidR="00CF0E2D" w:rsidRPr="00D13A71" w14:paraId="49D040B9" w14:textId="77777777" w:rsidTr="00A60D4B">
        <w:trPr>
          <w:cantSplit/>
          <w:jc w:val="center"/>
        </w:trPr>
        <w:tc>
          <w:tcPr>
            <w:tcW w:w="3652" w:type="dxa"/>
            <w:tcBorders>
              <w:bottom w:val="single" w:sz="4" w:space="0" w:color="auto"/>
            </w:tcBorders>
          </w:tcPr>
          <w:p w14:paraId="3B137ADC" w14:textId="77777777" w:rsidR="00CF0E2D" w:rsidRDefault="00CF0E2D" w:rsidP="00A60D4B">
            <w:pPr>
              <w:pStyle w:val="InitTextL"/>
              <w:ind w:left="321" w:hanging="321"/>
            </w:pPr>
            <w:r w:rsidRPr="00FD48E9">
              <w:t>Offset – Confiscated Assets Trust Fund</w:t>
            </w:r>
          </w:p>
        </w:tc>
        <w:tc>
          <w:tcPr>
            <w:tcW w:w="1179" w:type="dxa"/>
            <w:tcBorders>
              <w:bottom w:val="single" w:sz="4" w:space="0" w:color="auto"/>
            </w:tcBorders>
          </w:tcPr>
          <w:p w14:paraId="755D1226" w14:textId="77777777" w:rsidR="00CF0E2D" w:rsidRDefault="00CF0E2D" w:rsidP="00A60D4B">
            <w:pPr>
              <w:pStyle w:val="InitFigR"/>
            </w:pPr>
            <w:r w:rsidRPr="00FD48E9">
              <w:t>-</w:t>
            </w:r>
            <w:r>
              <w:t>343</w:t>
            </w:r>
          </w:p>
        </w:tc>
        <w:tc>
          <w:tcPr>
            <w:tcW w:w="1041" w:type="dxa"/>
            <w:tcBorders>
              <w:bottom w:val="single" w:sz="4" w:space="0" w:color="auto"/>
            </w:tcBorders>
          </w:tcPr>
          <w:p w14:paraId="0E8E3FE8" w14:textId="77777777" w:rsidR="00CF0E2D" w:rsidRDefault="00CF0E2D" w:rsidP="00A60D4B">
            <w:pPr>
              <w:pStyle w:val="InitFigR"/>
            </w:pPr>
            <w:r w:rsidRPr="00FD48E9">
              <w:t>0</w:t>
            </w:r>
          </w:p>
        </w:tc>
        <w:tc>
          <w:tcPr>
            <w:tcW w:w="1029" w:type="dxa"/>
            <w:tcBorders>
              <w:bottom w:val="single" w:sz="4" w:space="0" w:color="auto"/>
            </w:tcBorders>
          </w:tcPr>
          <w:p w14:paraId="023663C1" w14:textId="77777777" w:rsidR="00CF0E2D" w:rsidRDefault="00CF0E2D" w:rsidP="00A60D4B">
            <w:pPr>
              <w:pStyle w:val="InitFigR"/>
            </w:pPr>
            <w:r w:rsidRPr="00FD48E9">
              <w:t>0</w:t>
            </w:r>
          </w:p>
        </w:tc>
        <w:tc>
          <w:tcPr>
            <w:tcW w:w="1029" w:type="dxa"/>
            <w:tcBorders>
              <w:bottom w:val="single" w:sz="4" w:space="0" w:color="auto"/>
            </w:tcBorders>
          </w:tcPr>
          <w:p w14:paraId="7B9D86A0" w14:textId="77777777" w:rsidR="00CF0E2D" w:rsidRDefault="00CF0E2D" w:rsidP="00A60D4B">
            <w:pPr>
              <w:pStyle w:val="InitFigR"/>
            </w:pPr>
            <w:r w:rsidRPr="00FD48E9">
              <w:t>0</w:t>
            </w:r>
          </w:p>
        </w:tc>
        <w:tc>
          <w:tcPr>
            <w:tcW w:w="1029" w:type="dxa"/>
            <w:tcBorders>
              <w:bottom w:val="single" w:sz="4" w:space="0" w:color="auto"/>
            </w:tcBorders>
          </w:tcPr>
          <w:p w14:paraId="6542AC13" w14:textId="77777777" w:rsidR="00CF0E2D" w:rsidRPr="00D13A71" w:rsidRDefault="00CF0E2D" w:rsidP="00A60D4B">
            <w:pPr>
              <w:pStyle w:val="InitFigRBold"/>
              <w:rPr>
                <w:b w:val="0"/>
              </w:rPr>
            </w:pPr>
            <w:r w:rsidRPr="00FD48E9">
              <w:t>-343</w:t>
            </w:r>
          </w:p>
        </w:tc>
      </w:tr>
      <w:tr w:rsidR="00CF0E2D" w:rsidRPr="00FE7FE9" w14:paraId="40692C94" w14:textId="77777777" w:rsidTr="00A60D4B">
        <w:trPr>
          <w:cantSplit/>
          <w:jc w:val="center"/>
        </w:trPr>
        <w:tc>
          <w:tcPr>
            <w:tcW w:w="3652" w:type="dxa"/>
            <w:tcBorders>
              <w:top w:val="single" w:sz="4" w:space="0" w:color="auto"/>
              <w:bottom w:val="single" w:sz="4" w:space="0" w:color="auto"/>
            </w:tcBorders>
          </w:tcPr>
          <w:p w14:paraId="554FE1A8" w14:textId="77777777" w:rsidR="00CF0E2D" w:rsidRPr="00FE7FE9" w:rsidRDefault="00CF0E2D" w:rsidP="00A60D4B">
            <w:pPr>
              <w:pStyle w:val="InitTextL"/>
              <w:ind w:left="321" w:hanging="321"/>
              <w:rPr>
                <w:b/>
                <w:bCs/>
              </w:rPr>
            </w:pPr>
            <w:r w:rsidRPr="00FE7FE9">
              <w:rPr>
                <w:b/>
                <w:bCs/>
              </w:rPr>
              <w:t>Net cost of services</w:t>
            </w:r>
          </w:p>
        </w:tc>
        <w:tc>
          <w:tcPr>
            <w:tcW w:w="1179" w:type="dxa"/>
            <w:tcBorders>
              <w:top w:val="single" w:sz="4" w:space="0" w:color="auto"/>
              <w:bottom w:val="single" w:sz="4" w:space="0" w:color="auto"/>
            </w:tcBorders>
          </w:tcPr>
          <w:p w14:paraId="7490CBCF" w14:textId="77777777" w:rsidR="00CF0E2D" w:rsidRPr="00FE7FE9" w:rsidRDefault="00CF0E2D" w:rsidP="00A60D4B">
            <w:pPr>
              <w:pStyle w:val="InitFigR"/>
              <w:rPr>
                <w:b/>
                <w:bCs/>
              </w:rPr>
            </w:pPr>
            <w:r>
              <w:rPr>
                <w:b/>
                <w:bCs/>
              </w:rPr>
              <w:t>1,779</w:t>
            </w:r>
          </w:p>
        </w:tc>
        <w:tc>
          <w:tcPr>
            <w:tcW w:w="1041" w:type="dxa"/>
            <w:tcBorders>
              <w:top w:val="single" w:sz="4" w:space="0" w:color="auto"/>
              <w:bottom w:val="single" w:sz="4" w:space="0" w:color="auto"/>
            </w:tcBorders>
          </w:tcPr>
          <w:p w14:paraId="71E7C5F9" w14:textId="77777777" w:rsidR="00CF0E2D" w:rsidRPr="00FE7FE9" w:rsidRDefault="00CF0E2D" w:rsidP="00A60D4B">
            <w:pPr>
              <w:pStyle w:val="InitFigR"/>
              <w:rPr>
                <w:b/>
                <w:bCs/>
              </w:rPr>
            </w:pPr>
            <w:r>
              <w:rPr>
                <w:b/>
                <w:bCs/>
              </w:rPr>
              <w:t>1,806</w:t>
            </w:r>
          </w:p>
        </w:tc>
        <w:tc>
          <w:tcPr>
            <w:tcW w:w="1029" w:type="dxa"/>
            <w:tcBorders>
              <w:top w:val="single" w:sz="4" w:space="0" w:color="auto"/>
              <w:bottom w:val="single" w:sz="4" w:space="0" w:color="auto"/>
            </w:tcBorders>
          </w:tcPr>
          <w:p w14:paraId="63A2D25F" w14:textId="77777777" w:rsidR="00CF0E2D" w:rsidRPr="00FE7FE9" w:rsidRDefault="00CF0E2D" w:rsidP="00A60D4B">
            <w:pPr>
              <w:pStyle w:val="InitFigR"/>
              <w:rPr>
                <w:b/>
                <w:bCs/>
              </w:rPr>
            </w:pPr>
            <w:r>
              <w:rPr>
                <w:b/>
                <w:bCs/>
              </w:rPr>
              <w:t>1,833</w:t>
            </w:r>
          </w:p>
        </w:tc>
        <w:tc>
          <w:tcPr>
            <w:tcW w:w="1029" w:type="dxa"/>
            <w:tcBorders>
              <w:top w:val="single" w:sz="4" w:space="0" w:color="auto"/>
              <w:bottom w:val="single" w:sz="4" w:space="0" w:color="auto"/>
            </w:tcBorders>
          </w:tcPr>
          <w:p w14:paraId="786D7C85" w14:textId="77777777" w:rsidR="00CF0E2D" w:rsidRPr="00FE7FE9" w:rsidRDefault="00CF0E2D" w:rsidP="00A60D4B">
            <w:pPr>
              <w:pStyle w:val="InitFigR"/>
              <w:rPr>
                <w:b/>
                <w:bCs/>
              </w:rPr>
            </w:pPr>
            <w:r>
              <w:rPr>
                <w:b/>
                <w:bCs/>
              </w:rPr>
              <w:t>1,861</w:t>
            </w:r>
          </w:p>
        </w:tc>
        <w:tc>
          <w:tcPr>
            <w:tcW w:w="1029" w:type="dxa"/>
            <w:tcBorders>
              <w:top w:val="single" w:sz="4" w:space="0" w:color="auto"/>
              <w:bottom w:val="single" w:sz="4" w:space="0" w:color="auto"/>
            </w:tcBorders>
          </w:tcPr>
          <w:p w14:paraId="1B4EFDBE" w14:textId="77777777" w:rsidR="00CF0E2D" w:rsidRPr="00FE7FE9" w:rsidRDefault="00CF0E2D" w:rsidP="00A60D4B">
            <w:pPr>
              <w:pStyle w:val="InitFigRBold"/>
              <w:rPr>
                <w:bCs/>
              </w:rPr>
            </w:pPr>
            <w:r>
              <w:rPr>
                <w:bCs/>
              </w:rPr>
              <w:t>7,279</w:t>
            </w:r>
          </w:p>
        </w:tc>
      </w:tr>
    </w:tbl>
    <w:p w14:paraId="1DDFF958" w14:textId="77777777" w:rsidR="00CF0E2D" w:rsidRDefault="00CF0E2D" w:rsidP="00A60D4B">
      <w:pPr>
        <w:pStyle w:val="Bbodytext"/>
      </w:pPr>
      <w:r w:rsidRPr="004C581D">
        <w:t>The Government wi</w:t>
      </w:r>
      <w:r>
        <w:t>ll expand the capacity of the</w:t>
      </w:r>
      <w:r w:rsidRPr="00D23772">
        <w:t xml:space="preserve"> ACT </w:t>
      </w:r>
      <w:r>
        <w:t>Government Solicitor (ACTGS) and the Legislation, Policy and Programs Division (LPP) of the Justice and Community Safety Directorate. This initiative will enable the ACTGS to</w:t>
      </w:r>
      <w:r w:rsidRPr="00D23772">
        <w:t xml:space="preserve"> </w:t>
      </w:r>
      <w:r>
        <w:t xml:space="preserve">respond to an increased demand for legal services, and further assist the LPP to drive the Government’s legislative reform agenda. </w:t>
      </w:r>
    </w:p>
    <w:p w14:paraId="346D54B3" w14:textId="77777777" w:rsidR="00CF0E2D" w:rsidRPr="008D0DA4" w:rsidRDefault="00CF0E2D" w:rsidP="00A60D4B">
      <w:pPr>
        <w:pStyle w:val="Bbodytext"/>
        <w:rPr>
          <w:rStyle w:val="Heading3Char"/>
          <w:b w:val="0"/>
          <w:szCs w:val="20"/>
        </w:rPr>
      </w:pPr>
      <w:r>
        <w:t xml:space="preserve">This initiative will build on recent </w:t>
      </w:r>
      <w:r w:rsidRPr="00FD4225">
        <w:t xml:space="preserve">Government actions </w:t>
      </w:r>
      <w:r>
        <w:t xml:space="preserve">to reduce reliance on temporary contract staff and offer ongoing employment to ensure continuity of service. </w:t>
      </w:r>
    </w:p>
    <w:p w14:paraId="6157258D" w14:textId="77777777" w:rsidR="00CF0E2D" w:rsidRDefault="00CF0E2D" w:rsidP="00A60D4B">
      <w:pPr>
        <w:pStyle w:val="Bbodytext"/>
      </w:pPr>
      <w:r>
        <w:t>This initiative contributes to the wellbeing domains of Governance</w:t>
      </w:r>
      <w:r w:rsidRPr="00FE7FE9">
        <w:t xml:space="preserve"> and institutions</w:t>
      </w:r>
      <w:r>
        <w:t xml:space="preserve"> and Safety. </w:t>
      </w:r>
    </w:p>
    <w:p w14:paraId="674879D9" w14:textId="77777777" w:rsidR="00CF0E2D" w:rsidRDefault="00CF0E2D" w:rsidP="00A60D4B">
      <w:pPr>
        <w:pStyle w:val="Bbodytext"/>
      </w:pPr>
    </w:p>
    <w:p w14:paraId="62775BB0" w14:textId="77777777" w:rsidR="00CF0E2D" w:rsidRDefault="00CF0E2D" w:rsidP="00A60D4B">
      <w:pPr>
        <w:pStyle w:val="Heading4"/>
        <w:rPr>
          <w:rFonts w:eastAsia="Times New Roman"/>
        </w:rPr>
      </w:pPr>
    </w:p>
    <w:p w14:paraId="18055152" w14:textId="77777777" w:rsidR="00CF0E2D" w:rsidRPr="008B783C" w:rsidRDefault="00CF0E2D" w:rsidP="00A60D4B">
      <w:pPr>
        <w:pStyle w:val="Heading4"/>
        <w:rPr>
          <w:rFonts w:eastAsia="Times New Roman"/>
        </w:rPr>
      </w:pPr>
      <w:r w:rsidRPr="008B783C">
        <w:rPr>
          <w:rFonts w:eastAsia="Times New Roman"/>
        </w:rPr>
        <w:t>T</w:t>
      </w:r>
      <w:r>
        <w:rPr>
          <w:rFonts w:eastAsia="Times New Roman"/>
        </w:rPr>
        <w:t>h</w:t>
      </w:r>
      <w:r w:rsidRPr="008B783C">
        <w:rPr>
          <w:rFonts w:eastAsia="Times New Roman"/>
        </w:rPr>
        <w:t xml:space="preserve">erapeutic Care Court </w:t>
      </w:r>
      <w:r>
        <w:rPr>
          <w:rFonts w:eastAsia="Times New Roman"/>
        </w:rPr>
        <w:t>–</w:t>
      </w:r>
      <w:r w:rsidRPr="008B783C">
        <w:rPr>
          <w:rFonts w:eastAsia="Times New Roman"/>
        </w:rPr>
        <w:t xml:space="preserve"> </w:t>
      </w:r>
      <w:r>
        <w:rPr>
          <w:rFonts w:eastAsia="Times New Roman"/>
        </w:rPr>
        <w:t>c</w:t>
      </w:r>
      <w:r w:rsidRPr="008B783C">
        <w:rPr>
          <w:rFonts w:eastAsia="Times New Roman"/>
        </w:rPr>
        <w:t>ontinuation</w:t>
      </w:r>
      <w:r>
        <w:rPr>
          <w:b w:val="0"/>
          <w:noProof/>
          <w:color w:val="999789"/>
          <w:sz w:val="32"/>
          <w:szCs w:val="24"/>
        </w:rPr>
        <w:drawing>
          <wp:anchor distT="0" distB="0" distL="114300" distR="114300" simplePos="0" relativeHeight="251901952" behindDoc="0" locked="1" layoutInCell="1" allowOverlap="1" wp14:anchorId="3EA96E5D" wp14:editId="04FBBA3C">
            <wp:simplePos x="0" y="0"/>
            <wp:positionH relativeFrom="margin">
              <wp:align>right</wp:align>
            </wp:positionH>
            <wp:positionV relativeFrom="paragraph">
              <wp:posOffset>-132715</wp:posOffset>
            </wp:positionV>
            <wp:extent cx="989965" cy="503555"/>
            <wp:effectExtent l="0" t="0" r="635" b="0"/>
            <wp:wrapSquare wrapText="bothSides"/>
            <wp:docPr id="201" name="Picture 201"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5B6EC6B2" w14:textId="77777777" w:rsidTr="00A60D4B">
        <w:trPr>
          <w:cantSplit/>
          <w:jc w:val="center"/>
        </w:trPr>
        <w:tc>
          <w:tcPr>
            <w:tcW w:w="3652" w:type="dxa"/>
            <w:tcBorders>
              <w:top w:val="single" w:sz="4" w:space="0" w:color="auto"/>
              <w:bottom w:val="single" w:sz="4" w:space="0" w:color="auto"/>
            </w:tcBorders>
          </w:tcPr>
          <w:p w14:paraId="1F0D7D39"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6389C3A7" w14:textId="77777777" w:rsidR="00CF0E2D" w:rsidRPr="00B7386B" w:rsidRDefault="00CF0E2D" w:rsidP="00A60D4B">
            <w:pPr>
              <w:pStyle w:val="InitFigR"/>
              <w:keepNext/>
              <w:keepLines/>
              <w:rPr>
                <w:b/>
                <w:bCs/>
              </w:rPr>
            </w:pPr>
            <w:r w:rsidRPr="00B7386B">
              <w:rPr>
                <w:b/>
                <w:bCs/>
              </w:rPr>
              <w:t>2021-22</w:t>
            </w:r>
          </w:p>
          <w:p w14:paraId="3723D69A" w14:textId="77777777" w:rsidR="00CF0E2D" w:rsidRPr="00B7386B" w:rsidRDefault="00CF0E2D" w:rsidP="00A60D4B">
            <w:pPr>
              <w:pStyle w:val="InitFigR"/>
              <w:keepNext/>
              <w:keepLines/>
              <w:rPr>
                <w:b/>
                <w:bCs/>
              </w:rPr>
            </w:pPr>
            <w:r w:rsidRPr="00B7386B">
              <w:rPr>
                <w:b/>
                <w:bCs/>
              </w:rPr>
              <w:t>$’000</w:t>
            </w:r>
          </w:p>
        </w:tc>
        <w:tc>
          <w:tcPr>
            <w:tcW w:w="1041" w:type="dxa"/>
            <w:tcBorders>
              <w:top w:val="single" w:sz="4" w:space="0" w:color="auto"/>
              <w:bottom w:val="single" w:sz="4" w:space="0" w:color="auto"/>
            </w:tcBorders>
          </w:tcPr>
          <w:p w14:paraId="74ECB23A" w14:textId="77777777" w:rsidR="00CF0E2D" w:rsidRPr="00B7386B" w:rsidRDefault="00CF0E2D" w:rsidP="00A60D4B">
            <w:pPr>
              <w:pStyle w:val="InitFigR"/>
              <w:keepNext/>
              <w:keepLines/>
              <w:rPr>
                <w:b/>
                <w:bCs/>
              </w:rPr>
            </w:pPr>
            <w:r w:rsidRPr="00B7386B">
              <w:rPr>
                <w:b/>
                <w:bCs/>
              </w:rPr>
              <w:t>2022-23</w:t>
            </w:r>
          </w:p>
          <w:p w14:paraId="377E4492" w14:textId="77777777" w:rsidR="00CF0E2D" w:rsidRPr="00B7386B" w:rsidRDefault="00CF0E2D" w:rsidP="00A60D4B">
            <w:pPr>
              <w:pStyle w:val="InitFigR"/>
              <w:keepNext/>
              <w:keepLines/>
              <w:rPr>
                <w:b/>
                <w:bCs/>
              </w:rPr>
            </w:pPr>
            <w:r w:rsidRPr="00B7386B">
              <w:rPr>
                <w:b/>
                <w:bCs/>
              </w:rPr>
              <w:t>$’000</w:t>
            </w:r>
          </w:p>
        </w:tc>
        <w:tc>
          <w:tcPr>
            <w:tcW w:w="1029" w:type="dxa"/>
            <w:tcBorders>
              <w:top w:val="single" w:sz="4" w:space="0" w:color="auto"/>
              <w:bottom w:val="single" w:sz="4" w:space="0" w:color="auto"/>
            </w:tcBorders>
          </w:tcPr>
          <w:p w14:paraId="0219654B" w14:textId="77777777" w:rsidR="00CF0E2D" w:rsidRPr="00B7386B" w:rsidRDefault="00CF0E2D" w:rsidP="00A60D4B">
            <w:pPr>
              <w:pStyle w:val="InitFigR"/>
              <w:keepNext/>
              <w:keepLines/>
              <w:rPr>
                <w:b/>
                <w:bCs/>
              </w:rPr>
            </w:pPr>
            <w:r w:rsidRPr="00B7386B">
              <w:rPr>
                <w:b/>
                <w:bCs/>
              </w:rPr>
              <w:t>2023-24</w:t>
            </w:r>
          </w:p>
          <w:p w14:paraId="234F8FF7" w14:textId="77777777" w:rsidR="00CF0E2D" w:rsidRPr="00B7386B" w:rsidRDefault="00CF0E2D" w:rsidP="00A60D4B">
            <w:pPr>
              <w:pStyle w:val="InitFigR"/>
              <w:keepNext/>
              <w:keepLines/>
              <w:rPr>
                <w:b/>
                <w:bCs/>
              </w:rPr>
            </w:pPr>
            <w:r w:rsidRPr="00B7386B">
              <w:rPr>
                <w:b/>
                <w:bCs/>
              </w:rPr>
              <w:t>$’000</w:t>
            </w:r>
          </w:p>
        </w:tc>
        <w:tc>
          <w:tcPr>
            <w:tcW w:w="1029" w:type="dxa"/>
            <w:tcBorders>
              <w:top w:val="single" w:sz="4" w:space="0" w:color="auto"/>
              <w:bottom w:val="single" w:sz="4" w:space="0" w:color="auto"/>
            </w:tcBorders>
          </w:tcPr>
          <w:p w14:paraId="3E52C688" w14:textId="77777777" w:rsidR="00CF0E2D" w:rsidRPr="00B7386B" w:rsidRDefault="00CF0E2D" w:rsidP="00A60D4B">
            <w:pPr>
              <w:pStyle w:val="InitFigR"/>
              <w:keepNext/>
              <w:keepLines/>
              <w:rPr>
                <w:b/>
                <w:bCs/>
              </w:rPr>
            </w:pPr>
            <w:r w:rsidRPr="00B7386B">
              <w:rPr>
                <w:b/>
                <w:bCs/>
              </w:rPr>
              <w:t>2024-25</w:t>
            </w:r>
          </w:p>
          <w:p w14:paraId="08972B0C" w14:textId="77777777" w:rsidR="00CF0E2D" w:rsidRPr="00B7386B" w:rsidRDefault="00CF0E2D" w:rsidP="00A60D4B">
            <w:pPr>
              <w:pStyle w:val="InitFigR"/>
              <w:keepNext/>
              <w:keepLines/>
              <w:rPr>
                <w:b/>
                <w:bCs/>
              </w:rPr>
            </w:pPr>
            <w:r w:rsidRPr="00B7386B">
              <w:rPr>
                <w:b/>
                <w:bCs/>
              </w:rPr>
              <w:t>$’000</w:t>
            </w:r>
          </w:p>
        </w:tc>
        <w:tc>
          <w:tcPr>
            <w:tcW w:w="1029" w:type="dxa"/>
            <w:tcBorders>
              <w:top w:val="single" w:sz="4" w:space="0" w:color="auto"/>
              <w:bottom w:val="single" w:sz="4" w:space="0" w:color="auto"/>
            </w:tcBorders>
          </w:tcPr>
          <w:p w14:paraId="2A5B2475" w14:textId="77777777" w:rsidR="00CF0E2D" w:rsidRPr="004E341E" w:rsidRDefault="00CF0E2D" w:rsidP="00A60D4B">
            <w:pPr>
              <w:pStyle w:val="InitFigRBold"/>
              <w:keepNext/>
              <w:keepLines/>
            </w:pPr>
            <w:r w:rsidRPr="004E341E">
              <w:t>Total</w:t>
            </w:r>
          </w:p>
          <w:p w14:paraId="05925FB8" w14:textId="77777777" w:rsidR="00CF0E2D" w:rsidRPr="004E341E" w:rsidRDefault="00CF0E2D" w:rsidP="00A60D4B">
            <w:pPr>
              <w:pStyle w:val="InitFigBR"/>
              <w:keepNext/>
              <w:keepLines/>
            </w:pPr>
            <w:r w:rsidRPr="004E341E">
              <w:t>$’000</w:t>
            </w:r>
          </w:p>
        </w:tc>
      </w:tr>
      <w:tr w:rsidR="00CF0E2D" w:rsidRPr="00750793" w14:paraId="12053AB3" w14:textId="77777777" w:rsidTr="00A60D4B">
        <w:trPr>
          <w:cantSplit/>
          <w:jc w:val="center"/>
        </w:trPr>
        <w:tc>
          <w:tcPr>
            <w:tcW w:w="3652" w:type="dxa"/>
          </w:tcPr>
          <w:p w14:paraId="43C984FD" w14:textId="77777777" w:rsidR="00CF0E2D" w:rsidRPr="00882BE2" w:rsidRDefault="00CF0E2D" w:rsidP="00A60D4B">
            <w:pPr>
              <w:pStyle w:val="InitTextL"/>
              <w:keepNext/>
              <w:keepLines/>
              <w:ind w:left="321" w:hanging="321"/>
            </w:pPr>
            <w:r>
              <w:t>Expenses – CSD</w:t>
            </w:r>
          </w:p>
        </w:tc>
        <w:tc>
          <w:tcPr>
            <w:tcW w:w="1179" w:type="dxa"/>
          </w:tcPr>
          <w:p w14:paraId="24FFAE16" w14:textId="77777777" w:rsidR="00CF0E2D" w:rsidRPr="005F15BD" w:rsidRDefault="00CF0E2D" w:rsidP="00A60D4B">
            <w:pPr>
              <w:pStyle w:val="InitFigR"/>
              <w:keepNext/>
              <w:keepLines/>
            </w:pPr>
            <w:r>
              <w:t>169</w:t>
            </w:r>
          </w:p>
        </w:tc>
        <w:tc>
          <w:tcPr>
            <w:tcW w:w="1041" w:type="dxa"/>
          </w:tcPr>
          <w:p w14:paraId="7FC6431A" w14:textId="77777777" w:rsidR="00CF0E2D" w:rsidRPr="005F15BD" w:rsidRDefault="00CF0E2D" w:rsidP="00A60D4B">
            <w:pPr>
              <w:pStyle w:val="InitFigR"/>
              <w:keepNext/>
              <w:keepLines/>
            </w:pPr>
            <w:r>
              <w:t>173</w:t>
            </w:r>
          </w:p>
        </w:tc>
        <w:tc>
          <w:tcPr>
            <w:tcW w:w="1029" w:type="dxa"/>
          </w:tcPr>
          <w:p w14:paraId="740936BA" w14:textId="77777777" w:rsidR="00CF0E2D" w:rsidRPr="005F15BD" w:rsidRDefault="00CF0E2D" w:rsidP="00A60D4B">
            <w:pPr>
              <w:pStyle w:val="InitFigR"/>
              <w:keepNext/>
              <w:keepLines/>
            </w:pPr>
            <w:r>
              <w:t>0</w:t>
            </w:r>
          </w:p>
        </w:tc>
        <w:tc>
          <w:tcPr>
            <w:tcW w:w="1029" w:type="dxa"/>
          </w:tcPr>
          <w:p w14:paraId="20856832" w14:textId="77777777" w:rsidR="00CF0E2D" w:rsidRPr="005F15BD" w:rsidRDefault="00CF0E2D" w:rsidP="00A60D4B">
            <w:pPr>
              <w:pStyle w:val="InitFigR"/>
              <w:keepNext/>
              <w:keepLines/>
            </w:pPr>
            <w:r>
              <w:t>0</w:t>
            </w:r>
          </w:p>
        </w:tc>
        <w:tc>
          <w:tcPr>
            <w:tcW w:w="1029" w:type="dxa"/>
          </w:tcPr>
          <w:p w14:paraId="38FB0BEC" w14:textId="77777777" w:rsidR="00CF0E2D" w:rsidRPr="005F15BD" w:rsidRDefault="00CF0E2D" w:rsidP="00A60D4B">
            <w:pPr>
              <w:pStyle w:val="InitFigBR"/>
              <w:keepNext/>
              <w:keepLines/>
            </w:pPr>
            <w:r>
              <w:t>342</w:t>
            </w:r>
          </w:p>
        </w:tc>
      </w:tr>
      <w:tr w:rsidR="00CF0E2D" w:rsidRPr="00750793" w14:paraId="65132B3C" w14:textId="77777777" w:rsidTr="00A60D4B">
        <w:trPr>
          <w:cantSplit/>
          <w:jc w:val="center"/>
        </w:trPr>
        <w:tc>
          <w:tcPr>
            <w:tcW w:w="3652" w:type="dxa"/>
          </w:tcPr>
          <w:p w14:paraId="6DA98FF5" w14:textId="77777777" w:rsidR="00CF0E2D" w:rsidRPr="00882BE2" w:rsidRDefault="00CF0E2D" w:rsidP="00A60D4B">
            <w:pPr>
              <w:pStyle w:val="InitTextL"/>
              <w:keepNext/>
              <w:keepLines/>
              <w:ind w:left="321" w:hanging="321"/>
            </w:pPr>
            <w:r>
              <w:t>Expenses – JACS</w:t>
            </w:r>
          </w:p>
        </w:tc>
        <w:tc>
          <w:tcPr>
            <w:tcW w:w="1179" w:type="dxa"/>
          </w:tcPr>
          <w:p w14:paraId="1D04AD48" w14:textId="77777777" w:rsidR="00CF0E2D" w:rsidRPr="005F15BD" w:rsidRDefault="00CF0E2D" w:rsidP="00A60D4B">
            <w:pPr>
              <w:pStyle w:val="InitFigR"/>
              <w:keepNext/>
              <w:keepLines/>
            </w:pPr>
            <w:r>
              <w:t>168</w:t>
            </w:r>
          </w:p>
        </w:tc>
        <w:tc>
          <w:tcPr>
            <w:tcW w:w="1041" w:type="dxa"/>
          </w:tcPr>
          <w:p w14:paraId="57785F9F" w14:textId="77777777" w:rsidR="00CF0E2D" w:rsidRPr="005F15BD" w:rsidRDefault="00CF0E2D" w:rsidP="00A60D4B">
            <w:pPr>
              <w:pStyle w:val="InitFigR"/>
              <w:keepNext/>
              <w:keepLines/>
            </w:pPr>
            <w:r>
              <w:t>172</w:t>
            </w:r>
          </w:p>
        </w:tc>
        <w:tc>
          <w:tcPr>
            <w:tcW w:w="1029" w:type="dxa"/>
          </w:tcPr>
          <w:p w14:paraId="3FF94701" w14:textId="77777777" w:rsidR="00CF0E2D" w:rsidRPr="005F15BD" w:rsidRDefault="00CF0E2D" w:rsidP="00A60D4B">
            <w:pPr>
              <w:pStyle w:val="InitFigR"/>
              <w:keepNext/>
              <w:keepLines/>
            </w:pPr>
            <w:r>
              <w:t>0</w:t>
            </w:r>
          </w:p>
        </w:tc>
        <w:tc>
          <w:tcPr>
            <w:tcW w:w="1029" w:type="dxa"/>
          </w:tcPr>
          <w:p w14:paraId="5925CEF3" w14:textId="77777777" w:rsidR="00CF0E2D" w:rsidRPr="005F15BD" w:rsidRDefault="00CF0E2D" w:rsidP="00A60D4B">
            <w:pPr>
              <w:pStyle w:val="InitFigR"/>
              <w:keepNext/>
              <w:keepLines/>
            </w:pPr>
            <w:r>
              <w:t>0</w:t>
            </w:r>
          </w:p>
        </w:tc>
        <w:tc>
          <w:tcPr>
            <w:tcW w:w="1029" w:type="dxa"/>
          </w:tcPr>
          <w:p w14:paraId="1A811519" w14:textId="77777777" w:rsidR="00CF0E2D" w:rsidRPr="005F15BD" w:rsidRDefault="00CF0E2D" w:rsidP="00A60D4B">
            <w:pPr>
              <w:pStyle w:val="InitFigBR"/>
              <w:keepNext/>
              <w:keepLines/>
            </w:pPr>
            <w:r>
              <w:t>340</w:t>
            </w:r>
          </w:p>
        </w:tc>
      </w:tr>
      <w:tr w:rsidR="00CF0E2D" w:rsidRPr="00750793" w14:paraId="5D635CE9" w14:textId="77777777" w:rsidTr="00A60D4B">
        <w:trPr>
          <w:cantSplit/>
          <w:jc w:val="center"/>
        </w:trPr>
        <w:tc>
          <w:tcPr>
            <w:tcW w:w="3652" w:type="dxa"/>
          </w:tcPr>
          <w:p w14:paraId="2B6E7DC1" w14:textId="77777777" w:rsidR="00CF0E2D" w:rsidRPr="00F13FAB" w:rsidRDefault="00CF0E2D" w:rsidP="00A60D4B">
            <w:pPr>
              <w:pStyle w:val="InitTextL"/>
              <w:keepNext/>
              <w:keepLines/>
              <w:ind w:left="321" w:hanging="321"/>
            </w:pPr>
            <w:r w:rsidRPr="00882BE2">
              <w:t>Expenses</w:t>
            </w:r>
            <w:r>
              <w:t xml:space="preserve"> – Legal Aid ACT</w:t>
            </w:r>
          </w:p>
        </w:tc>
        <w:tc>
          <w:tcPr>
            <w:tcW w:w="1179" w:type="dxa"/>
          </w:tcPr>
          <w:p w14:paraId="48DB309A" w14:textId="77777777" w:rsidR="00CF0E2D" w:rsidRPr="00424DA4" w:rsidRDefault="00CF0E2D" w:rsidP="00A60D4B">
            <w:pPr>
              <w:pStyle w:val="InitFigR"/>
              <w:keepNext/>
              <w:keepLines/>
            </w:pPr>
            <w:r>
              <w:t>299</w:t>
            </w:r>
          </w:p>
        </w:tc>
        <w:tc>
          <w:tcPr>
            <w:tcW w:w="1041" w:type="dxa"/>
          </w:tcPr>
          <w:p w14:paraId="1BE45578" w14:textId="77777777" w:rsidR="00CF0E2D" w:rsidRPr="00424DA4" w:rsidRDefault="00CF0E2D" w:rsidP="00A60D4B">
            <w:pPr>
              <w:pStyle w:val="InitFigR"/>
              <w:keepNext/>
              <w:keepLines/>
            </w:pPr>
            <w:r>
              <w:t>304</w:t>
            </w:r>
          </w:p>
        </w:tc>
        <w:tc>
          <w:tcPr>
            <w:tcW w:w="1029" w:type="dxa"/>
          </w:tcPr>
          <w:p w14:paraId="21AFA80C" w14:textId="77777777" w:rsidR="00CF0E2D" w:rsidRPr="00424DA4" w:rsidRDefault="00CF0E2D" w:rsidP="00A60D4B">
            <w:pPr>
              <w:pStyle w:val="InitFigR"/>
              <w:keepNext/>
              <w:keepLines/>
            </w:pPr>
            <w:r w:rsidRPr="005F15BD">
              <w:t>0</w:t>
            </w:r>
          </w:p>
        </w:tc>
        <w:tc>
          <w:tcPr>
            <w:tcW w:w="1029" w:type="dxa"/>
          </w:tcPr>
          <w:p w14:paraId="6ACEAAD3" w14:textId="77777777" w:rsidR="00CF0E2D" w:rsidRPr="00424DA4" w:rsidRDefault="00CF0E2D" w:rsidP="00A60D4B">
            <w:pPr>
              <w:pStyle w:val="InitFigR"/>
              <w:keepNext/>
              <w:keepLines/>
            </w:pPr>
            <w:r w:rsidRPr="005F15BD">
              <w:t>0</w:t>
            </w:r>
          </w:p>
        </w:tc>
        <w:tc>
          <w:tcPr>
            <w:tcW w:w="1029" w:type="dxa"/>
          </w:tcPr>
          <w:p w14:paraId="157C5206" w14:textId="77777777" w:rsidR="00CF0E2D" w:rsidRPr="00424DA4" w:rsidRDefault="00CF0E2D" w:rsidP="00A60D4B">
            <w:pPr>
              <w:pStyle w:val="InitFigBR"/>
              <w:keepNext/>
              <w:keepLines/>
            </w:pPr>
            <w:r>
              <w:t>603</w:t>
            </w:r>
          </w:p>
        </w:tc>
      </w:tr>
      <w:tr w:rsidR="00CF0E2D" w:rsidRPr="00750793" w14:paraId="0755671D" w14:textId="77777777" w:rsidTr="00A60D4B">
        <w:trPr>
          <w:cantSplit/>
          <w:jc w:val="center"/>
        </w:trPr>
        <w:tc>
          <w:tcPr>
            <w:tcW w:w="3652" w:type="dxa"/>
          </w:tcPr>
          <w:p w14:paraId="47F04158" w14:textId="77777777" w:rsidR="00CF0E2D" w:rsidRPr="00882BE2" w:rsidRDefault="00CF0E2D" w:rsidP="00A60D4B">
            <w:pPr>
              <w:pStyle w:val="InitTextL"/>
              <w:keepNext/>
              <w:keepLines/>
              <w:ind w:left="321" w:hanging="321"/>
            </w:pPr>
            <w:r>
              <w:t>Offset – Expenses – Provision</w:t>
            </w:r>
          </w:p>
        </w:tc>
        <w:tc>
          <w:tcPr>
            <w:tcW w:w="1179" w:type="dxa"/>
          </w:tcPr>
          <w:p w14:paraId="6707999E" w14:textId="77777777" w:rsidR="00CF0E2D" w:rsidRPr="00424DA4" w:rsidRDefault="00CF0E2D" w:rsidP="00A60D4B">
            <w:pPr>
              <w:pStyle w:val="InitFigR"/>
              <w:keepNext/>
              <w:keepLines/>
            </w:pPr>
            <w:r w:rsidRPr="00512838">
              <w:t>-636</w:t>
            </w:r>
          </w:p>
        </w:tc>
        <w:tc>
          <w:tcPr>
            <w:tcW w:w="1041" w:type="dxa"/>
          </w:tcPr>
          <w:p w14:paraId="299D3BA2" w14:textId="77777777" w:rsidR="00CF0E2D" w:rsidRPr="00424DA4" w:rsidRDefault="00CF0E2D" w:rsidP="00A60D4B">
            <w:pPr>
              <w:pStyle w:val="InitFigR"/>
              <w:keepNext/>
              <w:keepLines/>
            </w:pPr>
            <w:r w:rsidRPr="00512838">
              <w:t>-649</w:t>
            </w:r>
          </w:p>
        </w:tc>
        <w:tc>
          <w:tcPr>
            <w:tcW w:w="1029" w:type="dxa"/>
          </w:tcPr>
          <w:p w14:paraId="10058BA6" w14:textId="77777777" w:rsidR="00CF0E2D" w:rsidRPr="00424DA4" w:rsidRDefault="00CF0E2D" w:rsidP="00A60D4B">
            <w:pPr>
              <w:pStyle w:val="InitFigR"/>
              <w:keepNext/>
              <w:keepLines/>
            </w:pPr>
            <w:r w:rsidRPr="00512838">
              <w:t>0</w:t>
            </w:r>
          </w:p>
        </w:tc>
        <w:tc>
          <w:tcPr>
            <w:tcW w:w="1029" w:type="dxa"/>
          </w:tcPr>
          <w:p w14:paraId="3FCB11F5" w14:textId="77777777" w:rsidR="00CF0E2D" w:rsidRPr="00424DA4" w:rsidRDefault="00CF0E2D" w:rsidP="00A60D4B">
            <w:pPr>
              <w:pStyle w:val="InitFigR"/>
              <w:keepNext/>
              <w:keepLines/>
            </w:pPr>
            <w:r w:rsidRPr="00512838">
              <w:t>0</w:t>
            </w:r>
          </w:p>
        </w:tc>
        <w:tc>
          <w:tcPr>
            <w:tcW w:w="1029" w:type="dxa"/>
          </w:tcPr>
          <w:p w14:paraId="6C7CB5C0" w14:textId="77777777" w:rsidR="00CF0E2D" w:rsidRPr="00424DA4" w:rsidRDefault="00CF0E2D" w:rsidP="00A60D4B">
            <w:pPr>
              <w:pStyle w:val="InitFigBR"/>
              <w:keepNext/>
              <w:keepLines/>
            </w:pPr>
            <w:r w:rsidRPr="00512838">
              <w:t>-1,285</w:t>
            </w:r>
          </w:p>
        </w:tc>
      </w:tr>
      <w:tr w:rsidR="00CF0E2D" w:rsidRPr="00750793" w14:paraId="4CFEA626" w14:textId="77777777" w:rsidTr="00A60D4B">
        <w:trPr>
          <w:cantSplit/>
          <w:trHeight w:val="107"/>
          <w:jc w:val="center"/>
        </w:trPr>
        <w:tc>
          <w:tcPr>
            <w:tcW w:w="3652" w:type="dxa"/>
            <w:tcBorders>
              <w:top w:val="single" w:sz="4" w:space="0" w:color="auto"/>
              <w:bottom w:val="single" w:sz="4" w:space="0" w:color="auto"/>
            </w:tcBorders>
          </w:tcPr>
          <w:p w14:paraId="7261676C" w14:textId="77777777" w:rsidR="00CF0E2D" w:rsidRDefault="00CF0E2D" w:rsidP="00A60D4B">
            <w:pPr>
              <w:pStyle w:val="InitFigLBold"/>
              <w:keepNext/>
              <w:keepLines/>
              <w:ind w:left="321" w:hanging="321"/>
            </w:pPr>
            <w:r w:rsidRPr="00B7386B">
              <w:rPr>
                <w:bCs/>
              </w:rPr>
              <w:t>Net cost of services</w:t>
            </w:r>
          </w:p>
        </w:tc>
        <w:tc>
          <w:tcPr>
            <w:tcW w:w="1179" w:type="dxa"/>
            <w:tcBorders>
              <w:top w:val="single" w:sz="4" w:space="0" w:color="auto"/>
              <w:bottom w:val="single" w:sz="4" w:space="0" w:color="auto"/>
            </w:tcBorders>
          </w:tcPr>
          <w:p w14:paraId="1DC99AAA" w14:textId="77777777" w:rsidR="00CF0E2D" w:rsidRPr="00424DA4" w:rsidRDefault="00CF0E2D" w:rsidP="00A60D4B">
            <w:pPr>
              <w:pStyle w:val="InitFigRBold"/>
              <w:keepNext/>
              <w:keepLines/>
            </w:pPr>
            <w:r>
              <w:t>0</w:t>
            </w:r>
          </w:p>
        </w:tc>
        <w:tc>
          <w:tcPr>
            <w:tcW w:w="1041" w:type="dxa"/>
            <w:tcBorders>
              <w:top w:val="single" w:sz="4" w:space="0" w:color="auto"/>
              <w:bottom w:val="single" w:sz="4" w:space="0" w:color="auto"/>
            </w:tcBorders>
          </w:tcPr>
          <w:p w14:paraId="5A3F2C1F" w14:textId="77777777" w:rsidR="00CF0E2D" w:rsidRPr="00424DA4" w:rsidRDefault="00CF0E2D" w:rsidP="00A60D4B">
            <w:pPr>
              <w:pStyle w:val="InitFigRBold"/>
              <w:keepNext/>
              <w:keepLines/>
            </w:pPr>
            <w:r>
              <w:t>0</w:t>
            </w:r>
          </w:p>
        </w:tc>
        <w:tc>
          <w:tcPr>
            <w:tcW w:w="1029" w:type="dxa"/>
            <w:tcBorders>
              <w:top w:val="single" w:sz="4" w:space="0" w:color="auto"/>
              <w:bottom w:val="single" w:sz="4" w:space="0" w:color="auto"/>
            </w:tcBorders>
          </w:tcPr>
          <w:p w14:paraId="448C7C3A" w14:textId="77777777" w:rsidR="00CF0E2D" w:rsidRPr="00424DA4" w:rsidRDefault="00CF0E2D" w:rsidP="00A60D4B">
            <w:pPr>
              <w:pStyle w:val="InitFigRBold"/>
              <w:keepNext/>
              <w:keepLines/>
            </w:pPr>
            <w:r>
              <w:t>0</w:t>
            </w:r>
          </w:p>
        </w:tc>
        <w:tc>
          <w:tcPr>
            <w:tcW w:w="1029" w:type="dxa"/>
            <w:tcBorders>
              <w:top w:val="single" w:sz="4" w:space="0" w:color="auto"/>
              <w:bottom w:val="single" w:sz="4" w:space="0" w:color="auto"/>
            </w:tcBorders>
          </w:tcPr>
          <w:p w14:paraId="5C86842D" w14:textId="77777777" w:rsidR="00CF0E2D" w:rsidRPr="00424DA4" w:rsidRDefault="00CF0E2D" w:rsidP="00A60D4B">
            <w:pPr>
              <w:pStyle w:val="InitFigRBold"/>
              <w:keepNext/>
              <w:keepLines/>
            </w:pPr>
            <w:r>
              <w:t>0</w:t>
            </w:r>
          </w:p>
        </w:tc>
        <w:tc>
          <w:tcPr>
            <w:tcW w:w="1029" w:type="dxa"/>
            <w:tcBorders>
              <w:top w:val="single" w:sz="4" w:space="0" w:color="auto"/>
              <w:bottom w:val="single" w:sz="4" w:space="0" w:color="auto"/>
            </w:tcBorders>
          </w:tcPr>
          <w:p w14:paraId="2F899AA6" w14:textId="77777777" w:rsidR="00CF0E2D" w:rsidRPr="00424DA4" w:rsidRDefault="00CF0E2D" w:rsidP="00A60D4B">
            <w:pPr>
              <w:pStyle w:val="InitFigRBold"/>
              <w:keepNext/>
              <w:keepLines/>
            </w:pPr>
            <w:r>
              <w:t>0</w:t>
            </w:r>
          </w:p>
        </w:tc>
      </w:tr>
    </w:tbl>
    <w:p w14:paraId="6038E375" w14:textId="77777777" w:rsidR="00CF0E2D" w:rsidRDefault="00CF0E2D" w:rsidP="00A60D4B">
      <w:pPr>
        <w:pStyle w:val="Bbodytext"/>
        <w:keepNext/>
        <w:keepLines/>
      </w:pPr>
      <w:r w:rsidRPr="004C581D">
        <w:t>The Government wi</w:t>
      </w:r>
      <w:r>
        <w:t>ll support</w:t>
      </w:r>
      <w:r w:rsidRPr="009527B1">
        <w:t xml:space="preserve"> the continuation of the Therapeutic Care Court </w:t>
      </w:r>
      <w:r>
        <w:t>which</w:t>
      </w:r>
      <w:r w:rsidRPr="00700E9C">
        <w:t xml:space="preserve"> </w:t>
      </w:r>
      <w:r>
        <w:t xml:space="preserve">was established within the ACT Children’s Court in 2019-20. This initiative aims to provide intensive management and therapeutic support to parents involved in care and protection matters, </w:t>
      </w:r>
      <w:r w:rsidRPr="009527B1">
        <w:t xml:space="preserve">to </w:t>
      </w:r>
      <w:r>
        <w:t>achieve outcomes in the best interest of children and young people.</w:t>
      </w:r>
      <w:r w:rsidRPr="009527B1">
        <w:t xml:space="preserve"> </w:t>
      </w:r>
    </w:p>
    <w:p w14:paraId="017AEFAD" w14:textId="77777777" w:rsidR="00CF0E2D" w:rsidRDefault="00CF0E2D" w:rsidP="00A60D4B">
      <w:pPr>
        <w:pStyle w:val="Bbodytext"/>
      </w:pPr>
      <w:r>
        <w:t>This initiative contributes to the wellbeing domains of Safety and Identity and belonging.</w:t>
      </w:r>
    </w:p>
    <w:p w14:paraId="64497019" w14:textId="77777777" w:rsidR="00CF0E2D" w:rsidRDefault="00CF0E2D" w:rsidP="00A60D4B">
      <w:pPr>
        <w:pStyle w:val="Bbodytext"/>
      </w:pPr>
    </w:p>
    <w:p w14:paraId="705E6E62" w14:textId="77777777" w:rsidR="00CF0E2D" w:rsidRDefault="00CF0E2D" w:rsidP="00A60D4B">
      <w:pPr>
        <w:pStyle w:val="Heading4"/>
      </w:pPr>
      <w:r>
        <w:t>Well-prepared emergency services – ACT Policing enabling adjustment</w:t>
      </w:r>
      <w:r>
        <w:rPr>
          <w:b w:val="0"/>
          <w:noProof/>
          <w:color w:val="999789"/>
          <w:sz w:val="32"/>
          <w:szCs w:val="24"/>
        </w:rPr>
        <w:drawing>
          <wp:anchor distT="0" distB="0" distL="114300" distR="114300" simplePos="0" relativeHeight="251902976" behindDoc="0" locked="1" layoutInCell="1" allowOverlap="1" wp14:anchorId="4824381C" wp14:editId="3089595F">
            <wp:simplePos x="0" y="0"/>
            <wp:positionH relativeFrom="margin">
              <wp:align>right</wp:align>
            </wp:positionH>
            <wp:positionV relativeFrom="paragraph">
              <wp:posOffset>83185</wp:posOffset>
            </wp:positionV>
            <wp:extent cx="989965" cy="503555"/>
            <wp:effectExtent l="0" t="0" r="635" b="0"/>
            <wp:wrapSquare wrapText="bothSides"/>
            <wp:docPr id="202" name="Picture 202"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5" w:type="dxa"/>
        <w:jc w:val="center"/>
        <w:tblLayout w:type="fixed"/>
        <w:tblLook w:val="04A0" w:firstRow="1" w:lastRow="0" w:firstColumn="1" w:lastColumn="0" w:noHBand="0" w:noVBand="1"/>
      </w:tblPr>
      <w:tblGrid>
        <w:gridCol w:w="3649"/>
        <w:gridCol w:w="1178"/>
        <w:gridCol w:w="1041"/>
        <w:gridCol w:w="1029"/>
        <w:gridCol w:w="1029"/>
        <w:gridCol w:w="1029"/>
      </w:tblGrid>
      <w:tr w:rsidR="00CF0E2D" w14:paraId="67951A60" w14:textId="77777777" w:rsidTr="00A60D4B">
        <w:trPr>
          <w:cantSplit/>
          <w:jc w:val="center"/>
        </w:trPr>
        <w:tc>
          <w:tcPr>
            <w:tcW w:w="3649" w:type="dxa"/>
            <w:tcBorders>
              <w:top w:val="single" w:sz="4" w:space="0" w:color="auto"/>
              <w:left w:val="nil"/>
              <w:bottom w:val="single" w:sz="4" w:space="0" w:color="auto"/>
              <w:right w:val="nil"/>
            </w:tcBorders>
            <w:hideMark/>
          </w:tcPr>
          <w:p w14:paraId="71BDA234" w14:textId="77777777" w:rsidR="00CF0E2D" w:rsidRDefault="00CF0E2D">
            <w:pPr>
              <w:pStyle w:val="EmptyCell0"/>
              <w:keepNext/>
              <w:keepLines/>
              <w:spacing w:line="256" w:lineRule="auto"/>
            </w:pPr>
            <w:r>
              <w:t>Empty Cell</w:t>
            </w:r>
          </w:p>
        </w:tc>
        <w:tc>
          <w:tcPr>
            <w:tcW w:w="1178" w:type="dxa"/>
            <w:tcBorders>
              <w:top w:val="single" w:sz="4" w:space="0" w:color="auto"/>
              <w:left w:val="nil"/>
              <w:bottom w:val="single" w:sz="4" w:space="0" w:color="auto"/>
              <w:right w:val="nil"/>
            </w:tcBorders>
            <w:hideMark/>
          </w:tcPr>
          <w:p w14:paraId="1304A7CB" w14:textId="77777777" w:rsidR="00CF0E2D" w:rsidRPr="00BA6C66" w:rsidRDefault="00CF0E2D">
            <w:pPr>
              <w:pStyle w:val="InitFigR"/>
              <w:keepNext/>
              <w:keepLines/>
              <w:spacing w:line="256" w:lineRule="auto"/>
              <w:rPr>
                <w:b/>
                <w:bCs/>
              </w:rPr>
            </w:pPr>
            <w:r w:rsidRPr="00BA6C66">
              <w:rPr>
                <w:b/>
                <w:bCs/>
              </w:rPr>
              <w:t>2021-22</w:t>
            </w:r>
          </w:p>
          <w:p w14:paraId="34A5D6D0" w14:textId="77777777" w:rsidR="00CF0E2D" w:rsidRPr="00BA6C66" w:rsidRDefault="00CF0E2D">
            <w:pPr>
              <w:pStyle w:val="InitFigR"/>
              <w:keepNext/>
              <w:keepLines/>
              <w:spacing w:line="256" w:lineRule="auto"/>
              <w:rPr>
                <w:b/>
                <w:bCs/>
              </w:rPr>
            </w:pPr>
            <w:r w:rsidRPr="00BA6C66">
              <w:rPr>
                <w:b/>
                <w:bCs/>
              </w:rPr>
              <w:t>$’000</w:t>
            </w:r>
          </w:p>
        </w:tc>
        <w:tc>
          <w:tcPr>
            <w:tcW w:w="1041" w:type="dxa"/>
            <w:tcBorders>
              <w:top w:val="single" w:sz="4" w:space="0" w:color="auto"/>
              <w:left w:val="nil"/>
              <w:bottom w:val="single" w:sz="4" w:space="0" w:color="auto"/>
              <w:right w:val="nil"/>
            </w:tcBorders>
            <w:hideMark/>
          </w:tcPr>
          <w:p w14:paraId="592EA8A7" w14:textId="77777777" w:rsidR="00CF0E2D" w:rsidRPr="00BA6C66" w:rsidRDefault="00CF0E2D">
            <w:pPr>
              <w:pStyle w:val="InitFigR"/>
              <w:keepNext/>
              <w:keepLines/>
              <w:spacing w:line="256" w:lineRule="auto"/>
              <w:rPr>
                <w:b/>
                <w:bCs/>
              </w:rPr>
            </w:pPr>
            <w:r w:rsidRPr="00BA6C66">
              <w:rPr>
                <w:b/>
                <w:bCs/>
              </w:rPr>
              <w:t>2022-23</w:t>
            </w:r>
          </w:p>
          <w:p w14:paraId="6E08E642" w14:textId="77777777" w:rsidR="00CF0E2D" w:rsidRPr="00BA6C66" w:rsidRDefault="00CF0E2D">
            <w:pPr>
              <w:pStyle w:val="InitFigR"/>
              <w:keepNext/>
              <w:keepLines/>
              <w:spacing w:line="256" w:lineRule="auto"/>
              <w:rPr>
                <w:b/>
                <w:bCs/>
              </w:rPr>
            </w:pPr>
            <w:r w:rsidRPr="00BA6C66">
              <w:rPr>
                <w:b/>
                <w:bCs/>
              </w:rPr>
              <w:t>$’000</w:t>
            </w:r>
          </w:p>
        </w:tc>
        <w:tc>
          <w:tcPr>
            <w:tcW w:w="1029" w:type="dxa"/>
            <w:tcBorders>
              <w:top w:val="single" w:sz="4" w:space="0" w:color="auto"/>
              <w:left w:val="nil"/>
              <w:bottom w:val="single" w:sz="4" w:space="0" w:color="auto"/>
              <w:right w:val="nil"/>
            </w:tcBorders>
            <w:hideMark/>
          </w:tcPr>
          <w:p w14:paraId="667658C7" w14:textId="77777777" w:rsidR="00CF0E2D" w:rsidRPr="00BA6C66" w:rsidRDefault="00CF0E2D">
            <w:pPr>
              <w:pStyle w:val="InitFigR"/>
              <w:keepNext/>
              <w:keepLines/>
              <w:spacing w:line="256" w:lineRule="auto"/>
              <w:rPr>
                <w:b/>
                <w:bCs/>
              </w:rPr>
            </w:pPr>
            <w:r w:rsidRPr="00BA6C66">
              <w:rPr>
                <w:b/>
                <w:bCs/>
              </w:rPr>
              <w:t>2023-24</w:t>
            </w:r>
          </w:p>
          <w:p w14:paraId="6538AC39" w14:textId="77777777" w:rsidR="00CF0E2D" w:rsidRPr="00BA6C66" w:rsidRDefault="00CF0E2D">
            <w:pPr>
              <w:pStyle w:val="InitFigR"/>
              <w:keepNext/>
              <w:keepLines/>
              <w:spacing w:line="256" w:lineRule="auto"/>
              <w:rPr>
                <w:b/>
                <w:bCs/>
              </w:rPr>
            </w:pPr>
            <w:r w:rsidRPr="00BA6C66">
              <w:rPr>
                <w:b/>
                <w:bCs/>
              </w:rPr>
              <w:t>$’000</w:t>
            </w:r>
          </w:p>
        </w:tc>
        <w:tc>
          <w:tcPr>
            <w:tcW w:w="1029" w:type="dxa"/>
            <w:tcBorders>
              <w:top w:val="single" w:sz="4" w:space="0" w:color="auto"/>
              <w:left w:val="nil"/>
              <w:bottom w:val="single" w:sz="4" w:space="0" w:color="auto"/>
              <w:right w:val="nil"/>
            </w:tcBorders>
            <w:hideMark/>
          </w:tcPr>
          <w:p w14:paraId="4A33F00E" w14:textId="77777777" w:rsidR="00CF0E2D" w:rsidRPr="00BA6C66" w:rsidRDefault="00CF0E2D">
            <w:pPr>
              <w:pStyle w:val="InitFigR"/>
              <w:keepNext/>
              <w:keepLines/>
              <w:spacing w:line="256" w:lineRule="auto"/>
              <w:rPr>
                <w:b/>
                <w:bCs/>
              </w:rPr>
            </w:pPr>
            <w:r w:rsidRPr="00BA6C66">
              <w:rPr>
                <w:b/>
                <w:bCs/>
              </w:rPr>
              <w:t>2024-25</w:t>
            </w:r>
          </w:p>
          <w:p w14:paraId="458D31C3" w14:textId="77777777" w:rsidR="00CF0E2D" w:rsidRPr="00BA6C66" w:rsidRDefault="00CF0E2D">
            <w:pPr>
              <w:pStyle w:val="InitFigR"/>
              <w:keepNext/>
              <w:keepLines/>
              <w:spacing w:line="256" w:lineRule="auto"/>
              <w:rPr>
                <w:b/>
                <w:bCs/>
              </w:rPr>
            </w:pPr>
            <w:r w:rsidRPr="00BA6C66">
              <w:rPr>
                <w:b/>
                <w:bCs/>
              </w:rPr>
              <w:t>$’000</w:t>
            </w:r>
          </w:p>
        </w:tc>
        <w:tc>
          <w:tcPr>
            <w:tcW w:w="1029" w:type="dxa"/>
            <w:tcBorders>
              <w:top w:val="single" w:sz="4" w:space="0" w:color="auto"/>
              <w:left w:val="nil"/>
              <w:bottom w:val="single" w:sz="4" w:space="0" w:color="auto"/>
              <w:right w:val="nil"/>
            </w:tcBorders>
            <w:hideMark/>
          </w:tcPr>
          <w:p w14:paraId="54BAD629" w14:textId="77777777" w:rsidR="00CF0E2D" w:rsidRDefault="00CF0E2D">
            <w:pPr>
              <w:pStyle w:val="InitFigRBold"/>
              <w:keepNext/>
              <w:keepLines/>
              <w:spacing w:line="256" w:lineRule="auto"/>
            </w:pPr>
            <w:r>
              <w:t>Total</w:t>
            </w:r>
          </w:p>
          <w:p w14:paraId="1EB6D84F" w14:textId="77777777" w:rsidR="00CF0E2D" w:rsidRDefault="00CF0E2D">
            <w:pPr>
              <w:pStyle w:val="InitFigBR"/>
              <w:keepNext/>
              <w:keepLines/>
              <w:spacing w:line="256" w:lineRule="auto"/>
            </w:pPr>
            <w:r>
              <w:t>$’000</w:t>
            </w:r>
          </w:p>
        </w:tc>
      </w:tr>
      <w:tr w:rsidR="00CF0E2D" w14:paraId="551C6C42" w14:textId="77777777" w:rsidTr="00A60D4B">
        <w:trPr>
          <w:cantSplit/>
          <w:jc w:val="center"/>
        </w:trPr>
        <w:tc>
          <w:tcPr>
            <w:tcW w:w="3649" w:type="dxa"/>
            <w:tcBorders>
              <w:top w:val="single" w:sz="4" w:space="0" w:color="auto"/>
              <w:left w:val="nil"/>
              <w:bottom w:val="single" w:sz="4" w:space="0" w:color="auto"/>
              <w:right w:val="nil"/>
            </w:tcBorders>
            <w:hideMark/>
          </w:tcPr>
          <w:p w14:paraId="5E21C03F" w14:textId="77777777" w:rsidR="00CF0E2D" w:rsidRDefault="00CF0E2D">
            <w:pPr>
              <w:pStyle w:val="InitTextL"/>
              <w:keepNext/>
              <w:keepLines/>
              <w:spacing w:line="256" w:lineRule="auto"/>
              <w:ind w:left="321" w:hanging="321"/>
            </w:pPr>
            <w:r>
              <w:t>Expenses</w:t>
            </w:r>
          </w:p>
        </w:tc>
        <w:tc>
          <w:tcPr>
            <w:tcW w:w="1178" w:type="dxa"/>
            <w:tcBorders>
              <w:top w:val="single" w:sz="4" w:space="0" w:color="auto"/>
              <w:left w:val="nil"/>
              <w:bottom w:val="single" w:sz="4" w:space="0" w:color="auto"/>
              <w:right w:val="nil"/>
            </w:tcBorders>
            <w:hideMark/>
          </w:tcPr>
          <w:p w14:paraId="4FD915E4" w14:textId="77777777" w:rsidR="00CF0E2D" w:rsidRDefault="00CF0E2D">
            <w:pPr>
              <w:pStyle w:val="InitFigR"/>
              <w:keepNext/>
              <w:keepLines/>
              <w:spacing w:line="256" w:lineRule="auto"/>
            </w:pPr>
            <w:r>
              <w:t>2,773</w:t>
            </w:r>
          </w:p>
        </w:tc>
        <w:tc>
          <w:tcPr>
            <w:tcW w:w="1041" w:type="dxa"/>
            <w:tcBorders>
              <w:top w:val="single" w:sz="4" w:space="0" w:color="auto"/>
              <w:left w:val="nil"/>
              <w:bottom w:val="single" w:sz="4" w:space="0" w:color="auto"/>
              <w:right w:val="nil"/>
            </w:tcBorders>
            <w:hideMark/>
          </w:tcPr>
          <w:p w14:paraId="56299FF9" w14:textId="77777777" w:rsidR="00CF0E2D" w:rsidRDefault="00CF0E2D">
            <w:pPr>
              <w:pStyle w:val="InitFigR"/>
              <w:keepNext/>
              <w:keepLines/>
              <w:spacing w:line="256" w:lineRule="auto"/>
            </w:pPr>
            <w:r>
              <w:t>2,773</w:t>
            </w:r>
          </w:p>
        </w:tc>
        <w:tc>
          <w:tcPr>
            <w:tcW w:w="1029" w:type="dxa"/>
            <w:tcBorders>
              <w:top w:val="single" w:sz="4" w:space="0" w:color="auto"/>
              <w:left w:val="nil"/>
              <w:bottom w:val="single" w:sz="4" w:space="0" w:color="auto"/>
              <w:right w:val="nil"/>
            </w:tcBorders>
            <w:hideMark/>
          </w:tcPr>
          <w:p w14:paraId="15EAECA0" w14:textId="77777777" w:rsidR="00CF0E2D" w:rsidRDefault="00CF0E2D">
            <w:pPr>
              <w:pStyle w:val="InitFigR"/>
              <w:keepNext/>
              <w:keepLines/>
              <w:spacing w:line="256" w:lineRule="auto"/>
            </w:pPr>
            <w:r>
              <w:t>2,773</w:t>
            </w:r>
          </w:p>
        </w:tc>
        <w:tc>
          <w:tcPr>
            <w:tcW w:w="1029" w:type="dxa"/>
            <w:tcBorders>
              <w:top w:val="single" w:sz="4" w:space="0" w:color="auto"/>
              <w:left w:val="nil"/>
              <w:bottom w:val="single" w:sz="4" w:space="0" w:color="auto"/>
              <w:right w:val="nil"/>
            </w:tcBorders>
            <w:hideMark/>
          </w:tcPr>
          <w:p w14:paraId="70846F71" w14:textId="77777777" w:rsidR="00CF0E2D" w:rsidRDefault="00CF0E2D">
            <w:pPr>
              <w:pStyle w:val="InitFigR"/>
              <w:keepNext/>
              <w:keepLines/>
              <w:spacing w:line="256" w:lineRule="auto"/>
            </w:pPr>
            <w:r>
              <w:t>2,773</w:t>
            </w:r>
          </w:p>
        </w:tc>
        <w:tc>
          <w:tcPr>
            <w:tcW w:w="1029" w:type="dxa"/>
            <w:tcBorders>
              <w:top w:val="single" w:sz="4" w:space="0" w:color="auto"/>
              <w:left w:val="nil"/>
              <w:bottom w:val="single" w:sz="4" w:space="0" w:color="auto"/>
              <w:right w:val="nil"/>
            </w:tcBorders>
            <w:hideMark/>
          </w:tcPr>
          <w:p w14:paraId="23B44088" w14:textId="77777777" w:rsidR="00CF0E2D" w:rsidRDefault="00CF0E2D">
            <w:pPr>
              <w:pStyle w:val="InitFigBR"/>
              <w:keepNext/>
              <w:keepLines/>
              <w:spacing w:line="256" w:lineRule="auto"/>
            </w:pPr>
            <w:r>
              <w:t>11,092</w:t>
            </w:r>
          </w:p>
        </w:tc>
      </w:tr>
    </w:tbl>
    <w:p w14:paraId="3E720B6D" w14:textId="77777777" w:rsidR="00CF0E2D" w:rsidRDefault="00CF0E2D" w:rsidP="00A60D4B">
      <w:pPr>
        <w:pStyle w:val="Bbodytext"/>
      </w:pPr>
      <w:r>
        <w:t>The Government will provide additional funding for expanded enabling services provided by the Australian Federal Police for ACT Policing. These enabling services support the operational capacity of ACT Policing and include finance, human resources, information and communication technology, operations support, high tech crime and forensics service functions.</w:t>
      </w:r>
      <w:r>
        <w:rPr>
          <w:rFonts w:cstheme="minorHAnsi"/>
          <w:szCs w:val="24"/>
        </w:rPr>
        <w:t xml:space="preserve"> </w:t>
      </w:r>
    </w:p>
    <w:p w14:paraId="382D1A35" w14:textId="77777777" w:rsidR="00CF0E2D" w:rsidRDefault="00CF0E2D" w:rsidP="00A60D4B">
      <w:pPr>
        <w:pStyle w:val="Bbodytext"/>
      </w:pPr>
      <w:r>
        <w:t>This initiative contributes to the wellbeing domain of Safety.</w:t>
      </w:r>
    </w:p>
    <w:p w14:paraId="35533347" w14:textId="77777777" w:rsidR="00CF0E2D" w:rsidRPr="00BA6C66" w:rsidRDefault="00CF0E2D" w:rsidP="00A60D4B">
      <w:pPr>
        <w:pStyle w:val="Bbodytext"/>
      </w:pPr>
    </w:p>
    <w:p w14:paraId="53E30455" w14:textId="77777777" w:rsidR="00CF0E2D" w:rsidRDefault="00CF0E2D" w:rsidP="00A60D4B">
      <w:pPr>
        <w:pStyle w:val="Heading4"/>
      </w:pPr>
      <w:r>
        <w:t>Well-prepared emergency services – Gungahlin Joint Emergency Service Centre</w:t>
      </w:r>
      <w:r>
        <w:rPr>
          <w:b w:val="0"/>
          <w:noProof/>
          <w:color w:val="999789"/>
          <w:sz w:val="32"/>
          <w:szCs w:val="24"/>
        </w:rPr>
        <w:drawing>
          <wp:anchor distT="0" distB="0" distL="114300" distR="114300" simplePos="0" relativeHeight="251904000" behindDoc="0" locked="1" layoutInCell="1" allowOverlap="1" wp14:anchorId="20366B21" wp14:editId="62B88DC1">
            <wp:simplePos x="0" y="0"/>
            <wp:positionH relativeFrom="margin">
              <wp:align>right</wp:align>
            </wp:positionH>
            <wp:positionV relativeFrom="paragraph">
              <wp:posOffset>74930</wp:posOffset>
            </wp:positionV>
            <wp:extent cx="989965" cy="503555"/>
            <wp:effectExtent l="0" t="0" r="635" b="0"/>
            <wp:wrapSquare wrapText="bothSides"/>
            <wp:docPr id="107" name="Picture 107"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5" w:type="dxa"/>
        <w:jc w:val="center"/>
        <w:tblLayout w:type="fixed"/>
        <w:tblLook w:val="04A0" w:firstRow="1" w:lastRow="0" w:firstColumn="1" w:lastColumn="0" w:noHBand="0" w:noVBand="1"/>
      </w:tblPr>
      <w:tblGrid>
        <w:gridCol w:w="3649"/>
        <w:gridCol w:w="1178"/>
        <w:gridCol w:w="1041"/>
        <w:gridCol w:w="1029"/>
        <w:gridCol w:w="1029"/>
        <w:gridCol w:w="1029"/>
      </w:tblGrid>
      <w:tr w:rsidR="00CF0E2D" w14:paraId="3F9CA117" w14:textId="77777777" w:rsidTr="00A60D4B">
        <w:trPr>
          <w:cantSplit/>
          <w:jc w:val="center"/>
        </w:trPr>
        <w:tc>
          <w:tcPr>
            <w:tcW w:w="3649" w:type="dxa"/>
            <w:tcBorders>
              <w:top w:val="single" w:sz="4" w:space="0" w:color="auto"/>
              <w:left w:val="nil"/>
              <w:bottom w:val="single" w:sz="4" w:space="0" w:color="auto"/>
              <w:right w:val="nil"/>
            </w:tcBorders>
            <w:hideMark/>
          </w:tcPr>
          <w:p w14:paraId="472A0D0A" w14:textId="77777777" w:rsidR="00CF0E2D" w:rsidRDefault="00CF0E2D">
            <w:pPr>
              <w:pStyle w:val="EmptyCell0"/>
              <w:spacing w:line="256" w:lineRule="auto"/>
            </w:pPr>
            <w:r>
              <w:t>Empty Cell</w:t>
            </w:r>
          </w:p>
        </w:tc>
        <w:tc>
          <w:tcPr>
            <w:tcW w:w="1178" w:type="dxa"/>
            <w:tcBorders>
              <w:top w:val="single" w:sz="4" w:space="0" w:color="auto"/>
              <w:left w:val="nil"/>
              <w:bottom w:val="single" w:sz="4" w:space="0" w:color="auto"/>
              <w:right w:val="nil"/>
            </w:tcBorders>
            <w:hideMark/>
          </w:tcPr>
          <w:p w14:paraId="33432282" w14:textId="77777777" w:rsidR="00CF0E2D" w:rsidRPr="00EC094B" w:rsidRDefault="00CF0E2D">
            <w:pPr>
              <w:pStyle w:val="InitFigR"/>
              <w:spacing w:line="256" w:lineRule="auto"/>
              <w:rPr>
                <w:b/>
                <w:bCs/>
              </w:rPr>
            </w:pPr>
            <w:r w:rsidRPr="00EC094B">
              <w:rPr>
                <w:b/>
                <w:bCs/>
              </w:rPr>
              <w:t>2021-22</w:t>
            </w:r>
          </w:p>
          <w:p w14:paraId="318FA1F4" w14:textId="77777777" w:rsidR="00CF0E2D" w:rsidRPr="00EC094B" w:rsidRDefault="00CF0E2D">
            <w:pPr>
              <w:pStyle w:val="InitFigR"/>
              <w:spacing w:line="256" w:lineRule="auto"/>
              <w:rPr>
                <w:b/>
                <w:bCs/>
              </w:rPr>
            </w:pPr>
            <w:r w:rsidRPr="00EC094B">
              <w:rPr>
                <w:b/>
                <w:bCs/>
              </w:rPr>
              <w:t>$’000</w:t>
            </w:r>
          </w:p>
        </w:tc>
        <w:tc>
          <w:tcPr>
            <w:tcW w:w="1041" w:type="dxa"/>
            <w:tcBorders>
              <w:top w:val="single" w:sz="4" w:space="0" w:color="auto"/>
              <w:left w:val="nil"/>
              <w:bottom w:val="single" w:sz="4" w:space="0" w:color="auto"/>
              <w:right w:val="nil"/>
            </w:tcBorders>
            <w:hideMark/>
          </w:tcPr>
          <w:p w14:paraId="6E44E77A" w14:textId="77777777" w:rsidR="00CF0E2D" w:rsidRPr="00EC094B" w:rsidRDefault="00CF0E2D">
            <w:pPr>
              <w:pStyle w:val="InitFigR"/>
              <w:spacing w:line="256" w:lineRule="auto"/>
              <w:rPr>
                <w:b/>
                <w:bCs/>
              </w:rPr>
            </w:pPr>
            <w:r w:rsidRPr="00EC094B">
              <w:rPr>
                <w:b/>
                <w:bCs/>
              </w:rPr>
              <w:t>2022-23</w:t>
            </w:r>
          </w:p>
          <w:p w14:paraId="64712B5B" w14:textId="77777777" w:rsidR="00CF0E2D" w:rsidRPr="00EC094B" w:rsidRDefault="00CF0E2D">
            <w:pPr>
              <w:pStyle w:val="InitFigR"/>
              <w:spacing w:line="256" w:lineRule="auto"/>
              <w:rPr>
                <w:b/>
                <w:bCs/>
              </w:rPr>
            </w:pPr>
            <w:r w:rsidRPr="00EC094B">
              <w:rPr>
                <w:b/>
                <w:bCs/>
              </w:rPr>
              <w:t>$’000</w:t>
            </w:r>
          </w:p>
        </w:tc>
        <w:tc>
          <w:tcPr>
            <w:tcW w:w="1029" w:type="dxa"/>
            <w:tcBorders>
              <w:top w:val="single" w:sz="4" w:space="0" w:color="auto"/>
              <w:left w:val="nil"/>
              <w:bottom w:val="single" w:sz="4" w:space="0" w:color="auto"/>
              <w:right w:val="nil"/>
            </w:tcBorders>
            <w:hideMark/>
          </w:tcPr>
          <w:p w14:paraId="64991B99" w14:textId="77777777" w:rsidR="00CF0E2D" w:rsidRPr="00EC094B" w:rsidRDefault="00CF0E2D">
            <w:pPr>
              <w:pStyle w:val="InitFigR"/>
              <w:spacing w:line="256" w:lineRule="auto"/>
              <w:rPr>
                <w:b/>
                <w:bCs/>
              </w:rPr>
            </w:pPr>
            <w:r w:rsidRPr="00EC094B">
              <w:rPr>
                <w:b/>
                <w:bCs/>
              </w:rPr>
              <w:t>2023-24</w:t>
            </w:r>
          </w:p>
          <w:p w14:paraId="60C498BE" w14:textId="77777777" w:rsidR="00CF0E2D" w:rsidRPr="00EC094B" w:rsidRDefault="00CF0E2D">
            <w:pPr>
              <w:pStyle w:val="InitFigR"/>
              <w:spacing w:line="256" w:lineRule="auto"/>
              <w:rPr>
                <w:b/>
                <w:bCs/>
              </w:rPr>
            </w:pPr>
            <w:r w:rsidRPr="00EC094B">
              <w:rPr>
                <w:b/>
                <w:bCs/>
              </w:rPr>
              <w:t>$’000</w:t>
            </w:r>
          </w:p>
        </w:tc>
        <w:tc>
          <w:tcPr>
            <w:tcW w:w="1029" w:type="dxa"/>
            <w:tcBorders>
              <w:top w:val="single" w:sz="4" w:space="0" w:color="auto"/>
              <w:left w:val="nil"/>
              <w:bottom w:val="single" w:sz="4" w:space="0" w:color="auto"/>
              <w:right w:val="nil"/>
            </w:tcBorders>
            <w:hideMark/>
          </w:tcPr>
          <w:p w14:paraId="71249AE5" w14:textId="77777777" w:rsidR="00CF0E2D" w:rsidRPr="00EC094B" w:rsidRDefault="00CF0E2D">
            <w:pPr>
              <w:pStyle w:val="InitFigR"/>
              <w:spacing w:line="256" w:lineRule="auto"/>
              <w:rPr>
                <w:b/>
                <w:bCs/>
              </w:rPr>
            </w:pPr>
            <w:r w:rsidRPr="00EC094B">
              <w:rPr>
                <w:b/>
                <w:bCs/>
              </w:rPr>
              <w:t>2024-25</w:t>
            </w:r>
          </w:p>
          <w:p w14:paraId="24573649" w14:textId="77777777" w:rsidR="00CF0E2D" w:rsidRPr="00EC094B" w:rsidRDefault="00CF0E2D">
            <w:pPr>
              <w:pStyle w:val="InitFigR"/>
              <w:spacing w:line="256" w:lineRule="auto"/>
              <w:rPr>
                <w:b/>
                <w:bCs/>
              </w:rPr>
            </w:pPr>
            <w:r w:rsidRPr="00EC094B">
              <w:rPr>
                <w:b/>
                <w:bCs/>
              </w:rPr>
              <w:t>$’000</w:t>
            </w:r>
          </w:p>
        </w:tc>
        <w:tc>
          <w:tcPr>
            <w:tcW w:w="1029" w:type="dxa"/>
            <w:tcBorders>
              <w:top w:val="single" w:sz="4" w:space="0" w:color="auto"/>
              <w:left w:val="nil"/>
              <w:bottom w:val="single" w:sz="4" w:space="0" w:color="auto"/>
              <w:right w:val="nil"/>
            </w:tcBorders>
            <w:hideMark/>
          </w:tcPr>
          <w:p w14:paraId="40CA41FF" w14:textId="77777777" w:rsidR="00CF0E2D" w:rsidRDefault="00CF0E2D">
            <w:pPr>
              <w:pStyle w:val="InitFigRBold"/>
              <w:spacing w:line="256" w:lineRule="auto"/>
            </w:pPr>
            <w:r>
              <w:t>Total</w:t>
            </w:r>
          </w:p>
          <w:p w14:paraId="2A52A54F" w14:textId="77777777" w:rsidR="00CF0E2D" w:rsidRDefault="00CF0E2D">
            <w:pPr>
              <w:pStyle w:val="InitFigBR"/>
              <w:spacing w:line="256" w:lineRule="auto"/>
            </w:pPr>
            <w:r>
              <w:t>$’000</w:t>
            </w:r>
          </w:p>
        </w:tc>
      </w:tr>
      <w:tr w:rsidR="00CF0E2D" w14:paraId="6772A156" w14:textId="77777777" w:rsidTr="00A60D4B">
        <w:trPr>
          <w:cantSplit/>
          <w:jc w:val="center"/>
        </w:trPr>
        <w:tc>
          <w:tcPr>
            <w:tcW w:w="3649" w:type="dxa"/>
            <w:tcBorders>
              <w:top w:val="single" w:sz="4" w:space="0" w:color="auto"/>
              <w:left w:val="nil"/>
              <w:bottom w:val="single" w:sz="4" w:space="0" w:color="auto"/>
              <w:right w:val="nil"/>
            </w:tcBorders>
            <w:hideMark/>
          </w:tcPr>
          <w:p w14:paraId="76DCBD94" w14:textId="77777777" w:rsidR="00CF0E2D" w:rsidRPr="00EC094B" w:rsidRDefault="00CF0E2D">
            <w:pPr>
              <w:pStyle w:val="InitTextL"/>
              <w:spacing w:line="256" w:lineRule="auto"/>
              <w:ind w:left="321" w:hanging="321"/>
            </w:pPr>
            <w:r w:rsidRPr="00EC094B">
              <w:t>Capital</w:t>
            </w:r>
          </w:p>
        </w:tc>
        <w:tc>
          <w:tcPr>
            <w:tcW w:w="1178" w:type="dxa"/>
            <w:tcBorders>
              <w:top w:val="single" w:sz="4" w:space="0" w:color="auto"/>
              <w:left w:val="nil"/>
              <w:bottom w:val="single" w:sz="4" w:space="0" w:color="auto"/>
              <w:right w:val="nil"/>
            </w:tcBorders>
            <w:hideMark/>
          </w:tcPr>
          <w:p w14:paraId="0D61C8E3" w14:textId="77777777" w:rsidR="00CF0E2D" w:rsidRPr="00EC094B" w:rsidRDefault="00CF0E2D">
            <w:pPr>
              <w:pStyle w:val="InitFigR"/>
              <w:spacing w:line="256" w:lineRule="auto"/>
              <w:rPr>
                <w:rFonts w:cs="Calibri"/>
                <w:lang w:eastAsia="en-AU"/>
              </w:rPr>
            </w:pPr>
            <w:r w:rsidRPr="00EC094B">
              <w:rPr>
                <w:rFonts w:cs="Calibri"/>
                <w:lang w:eastAsia="en-AU"/>
              </w:rPr>
              <w:t>519</w:t>
            </w:r>
          </w:p>
        </w:tc>
        <w:tc>
          <w:tcPr>
            <w:tcW w:w="1041" w:type="dxa"/>
            <w:tcBorders>
              <w:top w:val="single" w:sz="4" w:space="0" w:color="auto"/>
              <w:left w:val="nil"/>
              <w:bottom w:val="single" w:sz="4" w:space="0" w:color="auto"/>
              <w:right w:val="nil"/>
            </w:tcBorders>
            <w:hideMark/>
          </w:tcPr>
          <w:p w14:paraId="7B645227" w14:textId="77777777" w:rsidR="00CF0E2D" w:rsidRPr="00EC094B" w:rsidRDefault="00CF0E2D">
            <w:pPr>
              <w:pStyle w:val="InitFigR"/>
              <w:spacing w:line="256" w:lineRule="auto"/>
              <w:rPr>
                <w:rFonts w:cs="Calibri"/>
                <w:lang w:eastAsia="en-AU"/>
              </w:rPr>
            </w:pPr>
            <w:r>
              <w:rPr>
                <w:rFonts w:cs="Calibri"/>
                <w:lang w:eastAsia="en-AU"/>
              </w:rPr>
              <w:t>6,</w:t>
            </w:r>
            <w:r w:rsidRPr="00EC094B">
              <w:rPr>
                <w:rFonts w:cs="Calibri"/>
                <w:lang w:eastAsia="en-AU"/>
              </w:rPr>
              <w:t>189</w:t>
            </w:r>
          </w:p>
        </w:tc>
        <w:tc>
          <w:tcPr>
            <w:tcW w:w="1029" w:type="dxa"/>
            <w:tcBorders>
              <w:top w:val="single" w:sz="4" w:space="0" w:color="auto"/>
              <w:left w:val="nil"/>
              <w:bottom w:val="single" w:sz="4" w:space="0" w:color="auto"/>
              <w:right w:val="nil"/>
            </w:tcBorders>
            <w:hideMark/>
          </w:tcPr>
          <w:p w14:paraId="52B08A05" w14:textId="77777777" w:rsidR="00CF0E2D" w:rsidRPr="00EC094B" w:rsidRDefault="00CF0E2D">
            <w:pPr>
              <w:pStyle w:val="InitFigR"/>
              <w:spacing w:line="256" w:lineRule="auto"/>
              <w:rPr>
                <w:rFonts w:cs="Calibri"/>
                <w:lang w:eastAsia="en-AU"/>
              </w:rPr>
            </w:pPr>
            <w:r w:rsidRPr="00EC094B">
              <w:rPr>
                <w:rFonts w:cs="Calibri"/>
                <w:lang w:eastAsia="en-AU"/>
              </w:rPr>
              <w:t>1,469</w:t>
            </w:r>
          </w:p>
        </w:tc>
        <w:tc>
          <w:tcPr>
            <w:tcW w:w="1029" w:type="dxa"/>
            <w:tcBorders>
              <w:top w:val="single" w:sz="4" w:space="0" w:color="auto"/>
              <w:left w:val="nil"/>
              <w:bottom w:val="single" w:sz="4" w:space="0" w:color="auto"/>
              <w:right w:val="nil"/>
            </w:tcBorders>
            <w:hideMark/>
          </w:tcPr>
          <w:p w14:paraId="59ABB25D" w14:textId="77777777" w:rsidR="00CF0E2D" w:rsidRPr="00EC094B" w:rsidRDefault="00CF0E2D">
            <w:pPr>
              <w:pStyle w:val="InitFigR"/>
              <w:spacing w:line="256" w:lineRule="auto"/>
              <w:rPr>
                <w:rFonts w:cs="Calibri"/>
                <w:lang w:eastAsia="en-AU"/>
              </w:rPr>
            </w:pPr>
            <w:r w:rsidRPr="00EC094B">
              <w:rPr>
                <w:rFonts w:cs="Calibri"/>
                <w:lang w:eastAsia="en-AU"/>
              </w:rPr>
              <w:t>50</w:t>
            </w:r>
          </w:p>
        </w:tc>
        <w:tc>
          <w:tcPr>
            <w:tcW w:w="1029" w:type="dxa"/>
            <w:tcBorders>
              <w:top w:val="single" w:sz="4" w:space="0" w:color="auto"/>
              <w:left w:val="nil"/>
              <w:bottom w:val="single" w:sz="4" w:space="0" w:color="auto"/>
              <w:right w:val="nil"/>
            </w:tcBorders>
            <w:hideMark/>
          </w:tcPr>
          <w:p w14:paraId="2AE67DBE" w14:textId="77777777" w:rsidR="00CF0E2D" w:rsidRDefault="00CF0E2D">
            <w:pPr>
              <w:pStyle w:val="InitFigRBold"/>
              <w:spacing w:line="256" w:lineRule="auto"/>
              <w:rPr>
                <w:rFonts w:cs="Calibri"/>
                <w:bCs/>
                <w:lang w:eastAsia="en-AU"/>
              </w:rPr>
            </w:pPr>
            <w:r>
              <w:rPr>
                <w:rFonts w:cs="Calibri"/>
                <w:bCs/>
                <w:lang w:eastAsia="en-AU"/>
              </w:rPr>
              <w:t>8,227</w:t>
            </w:r>
          </w:p>
        </w:tc>
      </w:tr>
      <w:tr w:rsidR="00CF0E2D" w14:paraId="4625AAC2" w14:textId="77777777" w:rsidTr="00A60D4B">
        <w:trPr>
          <w:cantSplit/>
          <w:jc w:val="center"/>
        </w:trPr>
        <w:tc>
          <w:tcPr>
            <w:tcW w:w="3649" w:type="dxa"/>
            <w:tcBorders>
              <w:top w:val="single" w:sz="4" w:space="0" w:color="auto"/>
              <w:left w:val="nil"/>
              <w:bottom w:val="nil"/>
              <w:right w:val="nil"/>
            </w:tcBorders>
            <w:hideMark/>
          </w:tcPr>
          <w:p w14:paraId="33A44CBD" w14:textId="77777777" w:rsidR="00CF0E2D" w:rsidRDefault="00CF0E2D">
            <w:pPr>
              <w:pStyle w:val="InitTextL"/>
              <w:spacing w:line="256" w:lineRule="auto"/>
              <w:ind w:left="321" w:hanging="321"/>
            </w:pPr>
            <w:r>
              <w:t>Depreciation</w:t>
            </w:r>
          </w:p>
        </w:tc>
        <w:tc>
          <w:tcPr>
            <w:tcW w:w="1178" w:type="dxa"/>
            <w:tcBorders>
              <w:top w:val="single" w:sz="4" w:space="0" w:color="auto"/>
              <w:left w:val="nil"/>
              <w:bottom w:val="nil"/>
              <w:right w:val="nil"/>
            </w:tcBorders>
            <w:hideMark/>
          </w:tcPr>
          <w:p w14:paraId="4120C919" w14:textId="77777777" w:rsidR="00CF0E2D" w:rsidRDefault="00CF0E2D">
            <w:pPr>
              <w:pStyle w:val="InitFigR"/>
              <w:spacing w:line="256" w:lineRule="auto"/>
              <w:rPr>
                <w:rFonts w:cs="Calibri"/>
                <w:lang w:eastAsia="en-AU"/>
              </w:rPr>
            </w:pPr>
            <w:r>
              <w:rPr>
                <w:rFonts w:cs="Calibri"/>
                <w:lang w:eastAsia="en-AU"/>
              </w:rPr>
              <w:t>0</w:t>
            </w:r>
          </w:p>
        </w:tc>
        <w:tc>
          <w:tcPr>
            <w:tcW w:w="1041" w:type="dxa"/>
            <w:tcBorders>
              <w:top w:val="single" w:sz="4" w:space="0" w:color="auto"/>
              <w:left w:val="nil"/>
              <w:bottom w:val="nil"/>
              <w:right w:val="nil"/>
            </w:tcBorders>
            <w:hideMark/>
          </w:tcPr>
          <w:p w14:paraId="21CFA724" w14:textId="77777777" w:rsidR="00CF0E2D" w:rsidRDefault="00CF0E2D">
            <w:pPr>
              <w:pStyle w:val="InitFigR"/>
              <w:spacing w:line="256" w:lineRule="auto"/>
              <w:rPr>
                <w:rFonts w:cs="Calibri"/>
                <w:lang w:eastAsia="en-AU"/>
              </w:rPr>
            </w:pPr>
            <w:r>
              <w:rPr>
                <w:rFonts w:cs="Calibri"/>
                <w:lang w:eastAsia="en-AU"/>
              </w:rPr>
              <w:t>0</w:t>
            </w:r>
          </w:p>
        </w:tc>
        <w:tc>
          <w:tcPr>
            <w:tcW w:w="1029" w:type="dxa"/>
            <w:tcBorders>
              <w:top w:val="single" w:sz="4" w:space="0" w:color="auto"/>
              <w:left w:val="nil"/>
              <w:bottom w:val="nil"/>
              <w:right w:val="nil"/>
            </w:tcBorders>
            <w:hideMark/>
          </w:tcPr>
          <w:p w14:paraId="364BC880" w14:textId="77777777" w:rsidR="00CF0E2D" w:rsidRDefault="00CF0E2D">
            <w:pPr>
              <w:pStyle w:val="InitFigR"/>
              <w:spacing w:line="256" w:lineRule="auto"/>
              <w:rPr>
                <w:rFonts w:cs="Calibri"/>
                <w:lang w:eastAsia="en-AU"/>
              </w:rPr>
            </w:pPr>
            <w:r>
              <w:rPr>
                <w:rFonts w:cs="Calibri"/>
                <w:lang w:eastAsia="en-AU"/>
              </w:rPr>
              <w:t>0</w:t>
            </w:r>
          </w:p>
        </w:tc>
        <w:tc>
          <w:tcPr>
            <w:tcW w:w="1029" w:type="dxa"/>
            <w:tcBorders>
              <w:top w:val="single" w:sz="4" w:space="0" w:color="auto"/>
              <w:left w:val="nil"/>
              <w:bottom w:val="nil"/>
              <w:right w:val="nil"/>
            </w:tcBorders>
            <w:hideMark/>
          </w:tcPr>
          <w:p w14:paraId="1457A7BA" w14:textId="77777777" w:rsidR="00CF0E2D" w:rsidRDefault="00CF0E2D">
            <w:pPr>
              <w:pStyle w:val="InitFigR"/>
              <w:spacing w:line="256" w:lineRule="auto"/>
              <w:rPr>
                <w:rFonts w:cs="Calibri"/>
                <w:lang w:eastAsia="en-AU"/>
              </w:rPr>
            </w:pPr>
            <w:r>
              <w:rPr>
                <w:rFonts w:cs="Calibri"/>
                <w:lang w:eastAsia="en-AU"/>
              </w:rPr>
              <w:t>659</w:t>
            </w:r>
          </w:p>
        </w:tc>
        <w:tc>
          <w:tcPr>
            <w:tcW w:w="1029" w:type="dxa"/>
            <w:tcBorders>
              <w:top w:val="single" w:sz="4" w:space="0" w:color="auto"/>
              <w:left w:val="nil"/>
              <w:bottom w:val="nil"/>
              <w:right w:val="nil"/>
            </w:tcBorders>
            <w:hideMark/>
          </w:tcPr>
          <w:p w14:paraId="01CA3A27" w14:textId="77777777" w:rsidR="00CF0E2D" w:rsidRDefault="00CF0E2D">
            <w:pPr>
              <w:pStyle w:val="InitFigRBold"/>
              <w:spacing w:line="256" w:lineRule="auto"/>
              <w:rPr>
                <w:rFonts w:cs="Calibri"/>
                <w:bCs/>
                <w:lang w:eastAsia="en-AU"/>
              </w:rPr>
            </w:pPr>
            <w:r>
              <w:rPr>
                <w:rFonts w:cs="Calibri"/>
                <w:bCs/>
                <w:lang w:eastAsia="en-AU"/>
              </w:rPr>
              <w:t>659</w:t>
            </w:r>
          </w:p>
        </w:tc>
      </w:tr>
      <w:tr w:rsidR="00CF0E2D" w14:paraId="188578D7" w14:textId="77777777" w:rsidTr="00A60D4B">
        <w:trPr>
          <w:cantSplit/>
          <w:jc w:val="center"/>
        </w:trPr>
        <w:tc>
          <w:tcPr>
            <w:tcW w:w="3649" w:type="dxa"/>
            <w:tcBorders>
              <w:left w:val="nil"/>
              <w:bottom w:val="single" w:sz="4" w:space="0" w:color="auto"/>
              <w:right w:val="nil"/>
            </w:tcBorders>
            <w:hideMark/>
          </w:tcPr>
          <w:p w14:paraId="2E149DFC" w14:textId="77777777" w:rsidR="00CF0E2D" w:rsidRDefault="00CF0E2D">
            <w:pPr>
              <w:pStyle w:val="InitTextL"/>
              <w:spacing w:line="256" w:lineRule="auto"/>
              <w:ind w:left="321" w:hanging="321"/>
            </w:pPr>
            <w:r>
              <w:t>Expenses</w:t>
            </w:r>
          </w:p>
        </w:tc>
        <w:tc>
          <w:tcPr>
            <w:tcW w:w="1178" w:type="dxa"/>
            <w:tcBorders>
              <w:left w:val="nil"/>
              <w:bottom w:val="single" w:sz="4" w:space="0" w:color="auto"/>
              <w:right w:val="nil"/>
            </w:tcBorders>
            <w:hideMark/>
          </w:tcPr>
          <w:p w14:paraId="67FD9E4B" w14:textId="77777777" w:rsidR="00CF0E2D" w:rsidRDefault="00CF0E2D">
            <w:pPr>
              <w:pStyle w:val="InitFigR"/>
              <w:spacing w:line="256" w:lineRule="auto"/>
            </w:pPr>
            <w:r>
              <w:rPr>
                <w:rFonts w:cs="Calibri"/>
                <w:lang w:eastAsia="en-AU"/>
              </w:rPr>
              <w:t>0</w:t>
            </w:r>
          </w:p>
        </w:tc>
        <w:tc>
          <w:tcPr>
            <w:tcW w:w="1041" w:type="dxa"/>
            <w:tcBorders>
              <w:left w:val="nil"/>
              <w:bottom w:val="single" w:sz="4" w:space="0" w:color="auto"/>
              <w:right w:val="nil"/>
            </w:tcBorders>
            <w:hideMark/>
          </w:tcPr>
          <w:p w14:paraId="07AE839C" w14:textId="77777777" w:rsidR="00CF0E2D" w:rsidRDefault="00CF0E2D">
            <w:pPr>
              <w:pStyle w:val="InitFigR"/>
              <w:spacing w:line="256" w:lineRule="auto"/>
            </w:pPr>
            <w:r>
              <w:rPr>
                <w:rFonts w:cs="Calibri"/>
                <w:lang w:eastAsia="en-AU"/>
              </w:rPr>
              <w:t>500</w:t>
            </w:r>
          </w:p>
        </w:tc>
        <w:tc>
          <w:tcPr>
            <w:tcW w:w="1029" w:type="dxa"/>
            <w:tcBorders>
              <w:left w:val="nil"/>
              <w:bottom w:val="single" w:sz="4" w:space="0" w:color="auto"/>
              <w:right w:val="nil"/>
            </w:tcBorders>
            <w:hideMark/>
          </w:tcPr>
          <w:p w14:paraId="4CFB9B6A" w14:textId="77777777" w:rsidR="00CF0E2D" w:rsidRDefault="00CF0E2D">
            <w:pPr>
              <w:pStyle w:val="InitFigR"/>
              <w:spacing w:line="256" w:lineRule="auto"/>
            </w:pPr>
            <w:r>
              <w:rPr>
                <w:rFonts w:cs="Calibri"/>
                <w:lang w:eastAsia="en-AU"/>
              </w:rPr>
              <w:t>515</w:t>
            </w:r>
          </w:p>
        </w:tc>
        <w:tc>
          <w:tcPr>
            <w:tcW w:w="1029" w:type="dxa"/>
            <w:tcBorders>
              <w:left w:val="nil"/>
              <w:bottom w:val="single" w:sz="4" w:space="0" w:color="auto"/>
              <w:right w:val="nil"/>
            </w:tcBorders>
            <w:hideMark/>
          </w:tcPr>
          <w:p w14:paraId="6B85FDA2" w14:textId="77777777" w:rsidR="00CF0E2D" w:rsidRDefault="00CF0E2D">
            <w:pPr>
              <w:pStyle w:val="InitFigR"/>
              <w:spacing w:line="256" w:lineRule="auto"/>
            </w:pPr>
            <w:r>
              <w:rPr>
                <w:rFonts w:cs="Calibri"/>
                <w:lang w:eastAsia="en-AU"/>
              </w:rPr>
              <w:t>530</w:t>
            </w:r>
          </w:p>
        </w:tc>
        <w:tc>
          <w:tcPr>
            <w:tcW w:w="1029" w:type="dxa"/>
            <w:tcBorders>
              <w:left w:val="nil"/>
              <w:bottom w:val="single" w:sz="4" w:space="0" w:color="auto"/>
              <w:right w:val="nil"/>
            </w:tcBorders>
            <w:hideMark/>
          </w:tcPr>
          <w:p w14:paraId="0E601EAD" w14:textId="77777777" w:rsidR="00CF0E2D" w:rsidRDefault="00CF0E2D">
            <w:pPr>
              <w:pStyle w:val="InitFigRBold"/>
              <w:spacing w:line="256" w:lineRule="auto"/>
              <w:rPr>
                <w:b w:val="0"/>
              </w:rPr>
            </w:pPr>
            <w:r>
              <w:rPr>
                <w:rFonts w:cs="Calibri"/>
                <w:bCs/>
                <w:lang w:eastAsia="en-AU"/>
              </w:rPr>
              <w:t>1,545</w:t>
            </w:r>
          </w:p>
        </w:tc>
      </w:tr>
      <w:tr w:rsidR="00CF0E2D" w14:paraId="3ED7F8CC" w14:textId="77777777" w:rsidTr="00A60D4B">
        <w:trPr>
          <w:cantSplit/>
          <w:jc w:val="center"/>
        </w:trPr>
        <w:tc>
          <w:tcPr>
            <w:tcW w:w="3649" w:type="dxa"/>
            <w:tcBorders>
              <w:top w:val="single" w:sz="4" w:space="0" w:color="auto"/>
              <w:left w:val="nil"/>
              <w:bottom w:val="single" w:sz="4" w:space="0" w:color="auto"/>
              <w:right w:val="nil"/>
            </w:tcBorders>
            <w:hideMark/>
          </w:tcPr>
          <w:p w14:paraId="5379871A" w14:textId="77777777" w:rsidR="00CF0E2D" w:rsidRDefault="00CF0E2D">
            <w:pPr>
              <w:pStyle w:val="InitTextL"/>
              <w:spacing w:line="256" w:lineRule="auto"/>
              <w:ind w:left="321" w:hanging="321"/>
              <w:rPr>
                <w:b/>
                <w:bCs/>
              </w:rPr>
            </w:pPr>
            <w:r>
              <w:rPr>
                <w:b/>
                <w:bCs/>
              </w:rPr>
              <w:t>Net cost of services</w:t>
            </w:r>
          </w:p>
        </w:tc>
        <w:tc>
          <w:tcPr>
            <w:tcW w:w="1178" w:type="dxa"/>
            <w:tcBorders>
              <w:top w:val="single" w:sz="4" w:space="0" w:color="auto"/>
              <w:left w:val="nil"/>
              <w:bottom w:val="single" w:sz="4" w:space="0" w:color="auto"/>
              <w:right w:val="nil"/>
            </w:tcBorders>
            <w:hideMark/>
          </w:tcPr>
          <w:p w14:paraId="7840D6B8" w14:textId="77777777" w:rsidR="00CF0E2D" w:rsidRDefault="00CF0E2D">
            <w:pPr>
              <w:pStyle w:val="InitFigR"/>
              <w:spacing w:line="256" w:lineRule="auto"/>
              <w:rPr>
                <w:b/>
                <w:bCs/>
              </w:rPr>
            </w:pPr>
            <w:r>
              <w:rPr>
                <w:rFonts w:cs="Calibri"/>
                <w:b/>
                <w:bCs/>
                <w:lang w:eastAsia="en-AU"/>
              </w:rPr>
              <w:t>0</w:t>
            </w:r>
          </w:p>
        </w:tc>
        <w:tc>
          <w:tcPr>
            <w:tcW w:w="1041" w:type="dxa"/>
            <w:tcBorders>
              <w:top w:val="single" w:sz="4" w:space="0" w:color="auto"/>
              <w:left w:val="nil"/>
              <w:bottom w:val="single" w:sz="4" w:space="0" w:color="auto"/>
              <w:right w:val="nil"/>
            </w:tcBorders>
            <w:hideMark/>
          </w:tcPr>
          <w:p w14:paraId="6A7A4EB9" w14:textId="77777777" w:rsidR="00CF0E2D" w:rsidRDefault="00CF0E2D">
            <w:pPr>
              <w:pStyle w:val="InitFigR"/>
              <w:spacing w:line="256" w:lineRule="auto"/>
              <w:rPr>
                <w:b/>
                <w:bCs/>
              </w:rPr>
            </w:pPr>
            <w:r>
              <w:rPr>
                <w:rFonts w:cs="Calibri"/>
                <w:b/>
                <w:bCs/>
                <w:lang w:eastAsia="en-AU"/>
              </w:rPr>
              <w:t>500</w:t>
            </w:r>
          </w:p>
        </w:tc>
        <w:tc>
          <w:tcPr>
            <w:tcW w:w="1029" w:type="dxa"/>
            <w:tcBorders>
              <w:top w:val="single" w:sz="4" w:space="0" w:color="auto"/>
              <w:left w:val="nil"/>
              <w:bottom w:val="single" w:sz="4" w:space="0" w:color="auto"/>
              <w:right w:val="nil"/>
            </w:tcBorders>
            <w:hideMark/>
          </w:tcPr>
          <w:p w14:paraId="712AEF0A" w14:textId="77777777" w:rsidR="00CF0E2D" w:rsidRDefault="00CF0E2D">
            <w:pPr>
              <w:pStyle w:val="InitFigR"/>
              <w:spacing w:line="256" w:lineRule="auto"/>
              <w:rPr>
                <w:b/>
                <w:bCs/>
              </w:rPr>
            </w:pPr>
            <w:r>
              <w:rPr>
                <w:rFonts w:cs="Calibri"/>
                <w:b/>
                <w:bCs/>
                <w:lang w:eastAsia="en-AU"/>
              </w:rPr>
              <w:t>515</w:t>
            </w:r>
          </w:p>
        </w:tc>
        <w:tc>
          <w:tcPr>
            <w:tcW w:w="1029" w:type="dxa"/>
            <w:tcBorders>
              <w:top w:val="single" w:sz="4" w:space="0" w:color="auto"/>
              <w:left w:val="nil"/>
              <w:bottom w:val="single" w:sz="4" w:space="0" w:color="auto"/>
              <w:right w:val="nil"/>
            </w:tcBorders>
            <w:hideMark/>
          </w:tcPr>
          <w:p w14:paraId="172138B0" w14:textId="77777777" w:rsidR="00CF0E2D" w:rsidRDefault="00CF0E2D">
            <w:pPr>
              <w:pStyle w:val="InitFigR"/>
              <w:spacing w:line="256" w:lineRule="auto"/>
              <w:rPr>
                <w:b/>
                <w:bCs/>
              </w:rPr>
            </w:pPr>
            <w:r>
              <w:rPr>
                <w:rFonts w:cs="Calibri"/>
                <w:b/>
                <w:bCs/>
                <w:lang w:eastAsia="en-AU"/>
              </w:rPr>
              <w:t>1,189</w:t>
            </w:r>
          </w:p>
        </w:tc>
        <w:tc>
          <w:tcPr>
            <w:tcW w:w="1029" w:type="dxa"/>
            <w:tcBorders>
              <w:top w:val="single" w:sz="4" w:space="0" w:color="auto"/>
              <w:left w:val="nil"/>
              <w:bottom w:val="single" w:sz="4" w:space="0" w:color="auto"/>
              <w:right w:val="nil"/>
            </w:tcBorders>
            <w:hideMark/>
          </w:tcPr>
          <w:p w14:paraId="70887AB2" w14:textId="77777777" w:rsidR="00CF0E2D" w:rsidRDefault="00CF0E2D">
            <w:pPr>
              <w:pStyle w:val="InitFigRBold"/>
              <w:spacing w:line="256" w:lineRule="auto"/>
              <w:rPr>
                <w:bCs/>
              </w:rPr>
            </w:pPr>
            <w:r>
              <w:rPr>
                <w:rFonts w:cs="Calibri"/>
                <w:bCs/>
                <w:lang w:eastAsia="en-AU"/>
              </w:rPr>
              <w:t>2,204</w:t>
            </w:r>
          </w:p>
        </w:tc>
      </w:tr>
    </w:tbl>
    <w:p w14:paraId="7E7086F1" w14:textId="77777777" w:rsidR="00CF0E2D" w:rsidRDefault="00CF0E2D" w:rsidP="00A60D4B">
      <w:pPr>
        <w:pStyle w:val="Bbodytext"/>
      </w:pPr>
      <w:r>
        <w:t>The Government is providing funding for improvements to accommodation at the Gungahlin Joint Emergency Services Centre to better suit the operational needs of frontline responders.</w:t>
      </w:r>
    </w:p>
    <w:p w14:paraId="3DF5CDC7" w14:textId="77777777" w:rsidR="00CF0E2D" w:rsidRDefault="00CF0E2D" w:rsidP="00A60D4B">
      <w:pPr>
        <w:pStyle w:val="Bbodytext"/>
      </w:pPr>
      <w:r>
        <w:lastRenderedPageBreak/>
        <w:t xml:space="preserve">This initiative contributes to the wellbeing domain of Safety. </w:t>
      </w:r>
    </w:p>
    <w:p w14:paraId="19E41972" w14:textId="77777777" w:rsidR="00CF0E2D" w:rsidRPr="00EC094B" w:rsidRDefault="00CF0E2D" w:rsidP="00A60D4B"/>
    <w:p w14:paraId="5EB0EF32" w14:textId="77777777" w:rsidR="00CF0E2D" w:rsidRDefault="00CF0E2D" w:rsidP="00A60D4B">
      <w:pPr>
        <w:pStyle w:val="Heading4"/>
      </w:pPr>
      <w:r>
        <w:t>Well-prepared emergency services – Improving safety at police, emergency services and corrections facilities</w:t>
      </w:r>
      <w:r>
        <w:rPr>
          <w:b w:val="0"/>
          <w:noProof/>
          <w:color w:val="999789"/>
          <w:sz w:val="32"/>
          <w:szCs w:val="24"/>
        </w:rPr>
        <w:drawing>
          <wp:anchor distT="0" distB="0" distL="114300" distR="114300" simplePos="0" relativeHeight="251905024" behindDoc="0" locked="1" layoutInCell="1" allowOverlap="1" wp14:anchorId="5D230ADD" wp14:editId="2464B3C0">
            <wp:simplePos x="0" y="0"/>
            <wp:positionH relativeFrom="margin">
              <wp:align>right</wp:align>
            </wp:positionH>
            <wp:positionV relativeFrom="paragraph">
              <wp:posOffset>57785</wp:posOffset>
            </wp:positionV>
            <wp:extent cx="989965" cy="503555"/>
            <wp:effectExtent l="0" t="0" r="635" b="0"/>
            <wp:wrapSquare wrapText="bothSides"/>
            <wp:docPr id="203" name="Picture 203"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5" w:type="dxa"/>
        <w:jc w:val="center"/>
        <w:tblLayout w:type="fixed"/>
        <w:tblLook w:val="04A0" w:firstRow="1" w:lastRow="0" w:firstColumn="1" w:lastColumn="0" w:noHBand="0" w:noVBand="1"/>
      </w:tblPr>
      <w:tblGrid>
        <w:gridCol w:w="3649"/>
        <w:gridCol w:w="1178"/>
        <w:gridCol w:w="1041"/>
        <w:gridCol w:w="1029"/>
        <w:gridCol w:w="1029"/>
        <w:gridCol w:w="1029"/>
      </w:tblGrid>
      <w:tr w:rsidR="00CF0E2D" w14:paraId="3F625A16" w14:textId="77777777" w:rsidTr="00A60D4B">
        <w:trPr>
          <w:cantSplit/>
          <w:jc w:val="center"/>
        </w:trPr>
        <w:tc>
          <w:tcPr>
            <w:tcW w:w="3649" w:type="dxa"/>
            <w:tcBorders>
              <w:top w:val="single" w:sz="4" w:space="0" w:color="auto"/>
              <w:left w:val="nil"/>
              <w:bottom w:val="single" w:sz="4" w:space="0" w:color="auto"/>
              <w:right w:val="nil"/>
            </w:tcBorders>
            <w:hideMark/>
          </w:tcPr>
          <w:p w14:paraId="44D547A0" w14:textId="77777777" w:rsidR="00CF0E2D" w:rsidRDefault="00CF0E2D">
            <w:pPr>
              <w:pStyle w:val="EmptyCell0"/>
              <w:spacing w:line="256" w:lineRule="auto"/>
            </w:pPr>
            <w:r>
              <w:t>Empty Cell</w:t>
            </w:r>
          </w:p>
        </w:tc>
        <w:tc>
          <w:tcPr>
            <w:tcW w:w="1178" w:type="dxa"/>
            <w:tcBorders>
              <w:top w:val="single" w:sz="4" w:space="0" w:color="auto"/>
              <w:left w:val="nil"/>
              <w:bottom w:val="single" w:sz="4" w:space="0" w:color="auto"/>
              <w:right w:val="nil"/>
            </w:tcBorders>
            <w:hideMark/>
          </w:tcPr>
          <w:p w14:paraId="4529A5A2" w14:textId="77777777" w:rsidR="00CF0E2D" w:rsidRPr="009C3732" w:rsidRDefault="00CF0E2D">
            <w:pPr>
              <w:pStyle w:val="InitFigR"/>
              <w:spacing w:line="256" w:lineRule="auto"/>
              <w:rPr>
                <w:b/>
                <w:bCs/>
              </w:rPr>
            </w:pPr>
            <w:r w:rsidRPr="009C3732">
              <w:rPr>
                <w:b/>
                <w:bCs/>
              </w:rPr>
              <w:t>2021-22</w:t>
            </w:r>
          </w:p>
          <w:p w14:paraId="69C40FE4" w14:textId="77777777" w:rsidR="00CF0E2D" w:rsidRPr="009C3732" w:rsidRDefault="00CF0E2D">
            <w:pPr>
              <w:pStyle w:val="InitFigR"/>
              <w:spacing w:line="256" w:lineRule="auto"/>
              <w:rPr>
                <w:b/>
                <w:bCs/>
              </w:rPr>
            </w:pPr>
            <w:r w:rsidRPr="009C3732">
              <w:rPr>
                <w:b/>
                <w:bCs/>
              </w:rPr>
              <w:t>$’000</w:t>
            </w:r>
          </w:p>
        </w:tc>
        <w:tc>
          <w:tcPr>
            <w:tcW w:w="1041" w:type="dxa"/>
            <w:tcBorders>
              <w:top w:val="single" w:sz="4" w:space="0" w:color="auto"/>
              <w:left w:val="nil"/>
              <w:bottom w:val="single" w:sz="4" w:space="0" w:color="auto"/>
              <w:right w:val="nil"/>
            </w:tcBorders>
            <w:hideMark/>
          </w:tcPr>
          <w:p w14:paraId="21A28814" w14:textId="77777777" w:rsidR="00CF0E2D" w:rsidRPr="009C3732" w:rsidRDefault="00CF0E2D">
            <w:pPr>
              <w:pStyle w:val="InitFigR"/>
              <w:spacing w:line="256" w:lineRule="auto"/>
              <w:rPr>
                <w:b/>
                <w:bCs/>
              </w:rPr>
            </w:pPr>
            <w:r w:rsidRPr="009C3732">
              <w:rPr>
                <w:b/>
                <w:bCs/>
              </w:rPr>
              <w:t>2022-23</w:t>
            </w:r>
          </w:p>
          <w:p w14:paraId="734B3078" w14:textId="77777777" w:rsidR="00CF0E2D" w:rsidRPr="009C3732" w:rsidRDefault="00CF0E2D">
            <w:pPr>
              <w:pStyle w:val="InitFigR"/>
              <w:spacing w:line="256" w:lineRule="auto"/>
              <w:rPr>
                <w:b/>
                <w:bCs/>
              </w:rPr>
            </w:pPr>
            <w:r w:rsidRPr="009C3732">
              <w:rPr>
                <w:b/>
                <w:bCs/>
              </w:rPr>
              <w:t>$’000</w:t>
            </w:r>
          </w:p>
        </w:tc>
        <w:tc>
          <w:tcPr>
            <w:tcW w:w="1029" w:type="dxa"/>
            <w:tcBorders>
              <w:top w:val="single" w:sz="4" w:space="0" w:color="auto"/>
              <w:left w:val="nil"/>
              <w:bottom w:val="single" w:sz="4" w:space="0" w:color="auto"/>
              <w:right w:val="nil"/>
            </w:tcBorders>
            <w:hideMark/>
          </w:tcPr>
          <w:p w14:paraId="268F5731" w14:textId="77777777" w:rsidR="00CF0E2D" w:rsidRPr="009C3732" w:rsidRDefault="00CF0E2D">
            <w:pPr>
              <w:pStyle w:val="InitFigR"/>
              <w:spacing w:line="256" w:lineRule="auto"/>
              <w:rPr>
                <w:b/>
                <w:bCs/>
              </w:rPr>
            </w:pPr>
            <w:r w:rsidRPr="009C3732">
              <w:rPr>
                <w:b/>
                <w:bCs/>
              </w:rPr>
              <w:t>2023-24</w:t>
            </w:r>
          </w:p>
          <w:p w14:paraId="6410C658" w14:textId="77777777" w:rsidR="00CF0E2D" w:rsidRPr="009C3732" w:rsidRDefault="00CF0E2D">
            <w:pPr>
              <w:pStyle w:val="InitFigR"/>
              <w:spacing w:line="256" w:lineRule="auto"/>
              <w:rPr>
                <w:b/>
                <w:bCs/>
              </w:rPr>
            </w:pPr>
            <w:r w:rsidRPr="009C3732">
              <w:rPr>
                <w:b/>
                <w:bCs/>
              </w:rPr>
              <w:t>$’000</w:t>
            </w:r>
          </w:p>
        </w:tc>
        <w:tc>
          <w:tcPr>
            <w:tcW w:w="1029" w:type="dxa"/>
            <w:tcBorders>
              <w:top w:val="single" w:sz="4" w:space="0" w:color="auto"/>
              <w:left w:val="nil"/>
              <w:bottom w:val="single" w:sz="4" w:space="0" w:color="auto"/>
              <w:right w:val="nil"/>
            </w:tcBorders>
            <w:hideMark/>
          </w:tcPr>
          <w:p w14:paraId="72960C1C" w14:textId="77777777" w:rsidR="00CF0E2D" w:rsidRPr="009C3732" w:rsidRDefault="00CF0E2D">
            <w:pPr>
              <w:pStyle w:val="InitFigR"/>
              <w:spacing w:line="256" w:lineRule="auto"/>
              <w:rPr>
                <w:b/>
                <w:bCs/>
              </w:rPr>
            </w:pPr>
            <w:r w:rsidRPr="009C3732">
              <w:rPr>
                <w:b/>
                <w:bCs/>
              </w:rPr>
              <w:t>2024-25</w:t>
            </w:r>
          </w:p>
          <w:p w14:paraId="015B8ED4" w14:textId="77777777" w:rsidR="00CF0E2D" w:rsidRPr="009C3732" w:rsidRDefault="00CF0E2D">
            <w:pPr>
              <w:pStyle w:val="InitFigR"/>
              <w:spacing w:line="256" w:lineRule="auto"/>
              <w:rPr>
                <w:b/>
                <w:bCs/>
              </w:rPr>
            </w:pPr>
            <w:r w:rsidRPr="009C3732">
              <w:rPr>
                <w:b/>
                <w:bCs/>
              </w:rPr>
              <w:t>$’000</w:t>
            </w:r>
          </w:p>
        </w:tc>
        <w:tc>
          <w:tcPr>
            <w:tcW w:w="1029" w:type="dxa"/>
            <w:tcBorders>
              <w:top w:val="single" w:sz="4" w:space="0" w:color="auto"/>
              <w:left w:val="nil"/>
              <w:bottom w:val="single" w:sz="4" w:space="0" w:color="auto"/>
              <w:right w:val="nil"/>
            </w:tcBorders>
            <w:hideMark/>
          </w:tcPr>
          <w:p w14:paraId="308309D9" w14:textId="77777777" w:rsidR="00CF0E2D" w:rsidRDefault="00CF0E2D">
            <w:pPr>
              <w:pStyle w:val="InitFigRBold"/>
              <w:spacing w:line="256" w:lineRule="auto"/>
            </w:pPr>
            <w:r>
              <w:t>Total</w:t>
            </w:r>
          </w:p>
          <w:p w14:paraId="2E1D9177" w14:textId="77777777" w:rsidR="00CF0E2D" w:rsidRDefault="00CF0E2D">
            <w:pPr>
              <w:pStyle w:val="InitFigBR"/>
              <w:spacing w:line="256" w:lineRule="auto"/>
            </w:pPr>
            <w:r>
              <w:t>$’000</w:t>
            </w:r>
          </w:p>
        </w:tc>
      </w:tr>
      <w:tr w:rsidR="00CF0E2D" w14:paraId="2918C0F8" w14:textId="77777777" w:rsidTr="00A60D4B">
        <w:trPr>
          <w:cantSplit/>
          <w:jc w:val="center"/>
        </w:trPr>
        <w:tc>
          <w:tcPr>
            <w:tcW w:w="3649" w:type="dxa"/>
            <w:hideMark/>
          </w:tcPr>
          <w:p w14:paraId="3B26C3A3" w14:textId="77777777" w:rsidR="00CF0E2D" w:rsidRDefault="00CF0E2D">
            <w:pPr>
              <w:pStyle w:val="InitTextL"/>
              <w:spacing w:line="256" w:lineRule="auto"/>
              <w:ind w:left="321" w:hanging="321"/>
            </w:pPr>
            <w:r>
              <w:t>Expenses</w:t>
            </w:r>
          </w:p>
        </w:tc>
        <w:tc>
          <w:tcPr>
            <w:tcW w:w="1178" w:type="dxa"/>
            <w:hideMark/>
          </w:tcPr>
          <w:p w14:paraId="592C2ADE" w14:textId="77777777" w:rsidR="00CF0E2D" w:rsidRDefault="00CF0E2D">
            <w:pPr>
              <w:pStyle w:val="InitFigR"/>
              <w:spacing w:line="256" w:lineRule="auto"/>
            </w:pPr>
            <w:r>
              <w:t>1,358</w:t>
            </w:r>
          </w:p>
        </w:tc>
        <w:tc>
          <w:tcPr>
            <w:tcW w:w="1041" w:type="dxa"/>
            <w:hideMark/>
          </w:tcPr>
          <w:p w14:paraId="0E755AA5" w14:textId="77777777" w:rsidR="00CF0E2D" w:rsidRDefault="00CF0E2D">
            <w:pPr>
              <w:pStyle w:val="InitFigR"/>
              <w:spacing w:line="256" w:lineRule="auto"/>
            </w:pPr>
            <w:r>
              <w:t>300</w:t>
            </w:r>
          </w:p>
        </w:tc>
        <w:tc>
          <w:tcPr>
            <w:tcW w:w="1029" w:type="dxa"/>
            <w:hideMark/>
          </w:tcPr>
          <w:p w14:paraId="4723372B" w14:textId="77777777" w:rsidR="00CF0E2D" w:rsidRDefault="00CF0E2D">
            <w:pPr>
              <w:pStyle w:val="InitFigR"/>
              <w:spacing w:line="256" w:lineRule="auto"/>
            </w:pPr>
            <w:r>
              <w:t>0</w:t>
            </w:r>
          </w:p>
        </w:tc>
        <w:tc>
          <w:tcPr>
            <w:tcW w:w="1029" w:type="dxa"/>
            <w:hideMark/>
          </w:tcPr>
          <w:p w14:paraId="2D08548C" w14:textId="77777777" w:rsidR="00CF0E2D" w:rsidRDefault="00CF0E2D">
            <w:pPr>
              <w:pStyle w:val="InitFigR"/>
              <w:spacing w:line="256" w:lineRule="auto"/>
            </w:pPr>
            <w:r>
              <w:t>0</w:t>
            </w:r>
          </w:p>
        </w:tc>
        <w:tc>
          <w:tcPr>
            <w:tcW w:w="1029" w:type="dxa"/>
            <w:hideMark/>
          </w:tcPr>
          <w:p w14:paraId="33A0563A" w14:textId="77777777" w:rsidR="00CF0E2D" w:rsidRDefault="00CF0E2D">
            <w:pPr>
              <w:pStyle w:val="InitFigBR"/>
              <w:spacing w:line="256" w:lineRule="auto"/>
            </w:pPr>
            <w:r>
              <w:t>1,658</w:t>
            </w:r>
          </w:p>
        </w:tc>
      </w:tr>
      <w:tr w:rsidR="00CF0E2D" w14:paraId="0FFAF5AC" w14:textId="77777777" w:rsidTr="00A60D4B">
        <w:trPr>
          <w:cantSplit/>
          <w:trHeight w:val="107"/>
          <w:jc w:val="center"/>
        </w:trPr>
        <w:tc>
          <w:tcPr>
            <w:tcW w:w="3649" w:type="dxa"/>
            <w:hideMark/>
          </w:tcPr>
          <w:p w14:paraId="35AFB207" w14:textId="77777777" w:rsidR="00CF0E2D" w:rsidRDefault="00CF0E2D">
            <w:pPr>
              <w:pStyle w:val="InitTextL"/>
              <w:spacing w:line="256" w:lineRule="auto"/>
              <w:ind w:left="321" w:hanging="321"/>
            </w:pPr>
            <w:r>
              <w:t>Expense – Offset</w:t>
            </w:r>
          </w:p>
        </w:tc>
        <w:tc>
          <w:tcPr>
            <w:tcW w:w="1178" w:type="dxa"/>
            <w:hideMark/>
          </w:tcPr>
          <w:p w14:paraId="304D7868" w14:textId="77777777" w:rsidR="00CF0E2D" w:rsidRDefault="00CF0E2D">
            <w:pPr>
              <w:pStyle w:val="InitFigR"/>
              <w:spacing w:line="256" w:lineRule="auto"/>
            </w:pPr>
            <w:r>
              <w:t>-300</w:t>
            </w:r>
          </w:p>
        </w:tc>
        <w:tc>
          <w:tcPr>
            <w:tcW w:w="1041" w:type="dxa"/>
            <w:hideMark/>
          </w:tcPr>
          <w:p w14:paraId="2710FAA9" w14:textId="77777777" w:rsidR="00CF0E2D" w:rsidRDefault="00CF0E2D">
            <w:pPr>
              <w:pStyle w:val="InitFigR"/>
              <w:spacing w:line="256" w:lineRule="auto"/>
            </w:pPr>
            <w:r>
              <w:t>0</w:t>
            </w:r>
          </w:p>
        </w:tc>
        <w:tc>
          <w:tcPr>
            <w:tcW w:w="1029" w:type="dxa"/>
            <w:hideMark/>
          </w:tcPr>
          <w:p w14:paraId="516CE6CE" w14:textId="77777777" w:rsidR="00CF0E2D" w:rsidRDefault="00CF0E2D">
            <w:pPr>
              <w:pStyle w:val="InitFigR"/>
              <w:spacing w:line="256" w:lineRule="auto"/>
            </w:pPr>
            <w:r>
              <w:t>0</w:t>
            </w:r>
          </w:p>
        </w:tc>
        <w:tc>
          <w:tcPr>
            <w:tcW w:w="1029" w:type="dxa"/>
            <w:hideMark/>
          </w:tcPr>
          <w:p w14:paraId="59DF5CA1" w14:textId="77777777" w:rsidR="00CF0E2D" w:rsidRDefault="00CF0E2D">
            <w:pPr>
              <w:pStyle w:val="InitFigR"/>
              <w:spacing w:line="256" w:lineRule="auto"/>
            </w:pPr>
            <w:r>
              <w:t>0</w:t>
            </w:r>
          </w:p>
        </w:tc>
        <w:tc>
          <w:tcPr>
            <w:tcW w:w="1029" w:type="dxa"/>
            <w:hideMark/>
          </w:tcPr>
          <w:p w14:paraId="68F166A0" w14:textId="77777777" w:rsidR="00CF0E2D" w:rsidRDefault="00CF0E2D">
            <w:pPr>
              <w:pStyle w:val="InitFigBR"/>
              <w:spacing w:line="256" w:lineRule="auto"/>
            </w:pPr>
            <w:r>
              <w:t>-300</w:t>
            </w:r>
          </w:p>
        </w:tc>
      </w:tr>
      <w:tr w:rsidR="00CF0E2D" w14:paraId="3CDA9672" w14:textId="77777777" w:rsidTr="00A60D4B">
        <w:trPr>
          <w:cantSplit/>
          <w:trHeight w:val="107"/>
          <w:jc w:val="center"/>
        </w:trPr>
        <w:tc>
          <w:tcPr>
            <w:tcW w:w="3649" w:type="dxa"/>
            <w:tcBorders>
              <w:top w:val="single" w:sz="4" w:space="0" w:color="auto"/>
              <w:left w:val="nil"/>
              <w:bottom w:val="single" w:sz="4" w:space="0" w:color="auto"/>
              <w:right w:val="nil"/>
            </w:tcBorders>
            <w:hideMark/>
          </w:tcPr>
          <w:p w14:paraId="29AF9064" w14:textId="77777777" w:rsidR="00CF0E2D" w:rsidRDefault="00CF0E2D">
            <w:pPr>
              <w:pStyle w:val="InitFigLBold"/>
              <w:spacing w:line="256" w:lineRule="auto"/>
              <w:ind w:left="321" w:hanging="321"/>
            </w:pPr>
            <w:r>
              <w:t>Net cost of services</w:t>
            </w:r>
          </w:p>
        </w:tc>
        <w:tc>
          <w:tcPr>
            <w:tcW w:w="1178" w:type="dxa"/>
            <w:tcBorders>
              <w:top w:val="single" w:sz="4" w:space="0" w:color="auto"/>
              <w:left w:val="nil"/>
              <w:bottom w:val="single" w:sz="4" w:space="0" w:color="auto"/>
              <w:right w:val="nil"/>
            </w:tcBorders>
            <w:hideMark/>
          </w:tcPr>
          <w:p w14:paraId="4F431C0D" w14:textId="77777777" w:rsidR="00CF0E2D" w:rsidRDefault="00CF0E2D">
            <w:pPr>
              <w:pStyle w:val="InitFigRBold"/>
              <w:spacing w:line="256" w:lineRule="auto"/>
            </w:pPr>
            <w:r>
              <w:t>1,058</w:t>
            </w:r>
          </w:p>
        </w:tc>
        <w:tc>
          <w:tcPr>
            <w:tcW w:w="1041" w:type="dxa"/>
            <w:tcBorders>
              <w:top w:val="single" w:sz="4" w:space="0" w:color="auto"/>
              <w:left w:val="nil"/>
              <w:bottom w:val="single" w:sz="4" w:space="0" w:color="auto"/>
              <w:right w:val="nil"/>
            </w:tcBorders>
            <w:hideMark/>
          </w:tcPr>
          <w:p w14:paraId="5C9802C0" w14:textId="77777777" w:rsidR="00CF0E2D" w:rsidRDefault="00CF0E2D">
            <w:pPr>
              <w:pStyle w:val="InitFigRBold"/>
              <w:spacing w:line="256" w:lineRule="auto"/>
            </w:pPr>
            <w:r>
              <w:t>300</w:t>
            </w:r>
          </w:p>
        </w:tc>
        <w:tc>
          <w:tcPr>
            <w:tcW w:w="1029" w:type="dxa"/>
            <w:tcBorders>
              <w:top w:val="single" w:sz="4" w:space="0" w:color="auto"/>
              <w:left w:val="nil"/>
              <w:bottom w:val="single" w:sz="4" w:space="0" w:color="auto"/>
              <w:right w:val="nil"/>
            </w:tcBorders>
            <w:hideMark/>
          </w:tcPr>
          <w:p w14:paraId="4EAE6C65" w14:textId="77777777" w:rsidR="00CF0E2D" w:rsidRDefault="00CF0E2D">
            <w:pPr>
              <w:pStyle w:val="InitFigRBold"/>
              <w:spacing w:line="256" w:lineRule="auto"/>
            </w:pPr>
            <w:r>
              <w:t>0</w:t>
            </w:r>
          </w:p>
        </w:tc>
        <w:tc>
          <w:tcPr>
            <w:tcW w:w="1029" w:type="dxa"/>
            <w:tcBorders>
              <w:top w:val="single" w:sz="4" w:space="0" w:color="auto"/>
              <w:left w:val="nil"/>
              <w:bottom w:val="single" w:sz="4" w:space="0" w:color="auto"/>
              <w:right w:val="nil"/>
            </w:tcBorders>
            <w:hideMark/>
          </w:tcPr>
          <w:p w14:paraId="14814712" w14:textId="77777777" w:rsidR="00CF0E2D" w:rsidRDefault="00CF0E2D">
            <w:pPr>
              <w:pStyle w:val="InitFigRBold"/>
              <w:spacing w:line="256" w:lineRule="auto"/>
            </w:pPr>
            <w:r>
              <w:t>0</w:t>
            </w:r>
          </w:p>
        </w:tc>
        <w:tc>
          <w:tcPr>
            <w:tcW w:w="1029" w:type="dxa"/>
            <w:tcBorders>
              <w:top w:val="single" w:sz="4" w:space="0" w:color="auto"/>
              <w:left w:val="nil"/>
              <w:bottom w:val="single" w:sz="4" w:space="0" w:color="auto"/>
              <w:right w:val="nil"/>
            </w:tcBorders>
            <w:hideMark/>
          </w:tcPr>
          <w:p w14:paraId="3E9031FD" w14:textId="77777777" w:rsidR="00CF0E2D" w:rsidRDefault="00CF0E2D">
            <w:pPr>
              <w:pStyle w:val="InitFigRBold"/>
              <w:spacing w:line="256" w:lineRule="auto"/>
            </w:pPr>
            <w:r>
              <w:t>1,358</w:t>
            </w:r>
          </w:p>
        </w:tc>
      </w:tr>
    </w:tbl>
    <w:p w14:paraId="28CA5D98" w14:textId="77777777" w:rsidR="00CF0E2D" w:rsidRDefault="00CF0E2D" w:rsidP="00A60D4B">
      <w:pPr>
        <w:pStyle w:val="Bbodytext"/>
      </w:pPr>
      <w:r>
        <w:t>The Government will provide funding to jointly develop a master implementation plan of critical infrastructure and accommodation requirements across ACT Policing, the Emergency Services Agency and ACT Corrective Services. The cost of this initiative will be partially offset by funding provided in the August 2020 Economic and Fiscal Update.</w:t>
      </w:r>
    </w:p>
    <w:p w14:paraId="76756350" w14:textId="77777777" w:rsidR="00CF0E2D" w:rsidRDefault="00CF0E2D" w:rsidP="00A60D4B">
      <w:pPr>
        <w:pStyle w:val="Bbodytext"/>
      </w:pPr>
      <w:r>
        <w:t>This initiative contributes to the wellbeing domains of Safety and Economy.</w:t>
      </w:r>
    </w:p>
    <w:p w14:paraId="106FDEC3" w14:textId="77777777" w:rsidR="00CF0E2D" w:rsidRPr="009C3732" w:rsidRDefault="00CF0E2D" w:rsidP="00A60D4B"/>
    <w:p w14:paraId="2EC1AB7E" w14:textId="77777777" w:rsidR="00CF0E2D" w:rsidRDefault="00CF0E2D" w:rsidP="00A60D4B">
      <w:pPr>
        <w:pStyle w:val="Heading4"/>
      </w:pPr>
      <w:r>
        <w:t>Well-prepared emergency services – Maintaining ACT Policing radio communications capability</w:t>
      </w:r>
      <w:r>
        <w:rPr>
          <w:b w:val="0"/>
          <w:noProof/>
          <w:color w:val="999789"/>
          <w:sz w:val="32"/>
          <w:szCs w:val="24"/>
        </w:rPr>
        <w:drawing>
          <wp:anchor distT="0" distB="0" distL="114300" distR="114300" simplePos="0" relativeHeight="251906048" behindDoc="0" locked="1" layoutInCell="1" allowOverlap="1" wp14:anchorId="4650A311" wp14:editId="1E8CA69C">
            <wp:simplePos x="0" y="0"/>
            <wp:positionH relativeFrom="margin">
              <wp:align>right</wp:align>
            </wp:positionH>
            <wp:positionV relativeFrom="paragraph">
              <wp:posOffset>59055</wp:posOffset>
            </wp:positionV>
            <wp:extent cx="989965" cy="503555"/>
            <wp:effectExtent l="0" t="0" r="635" b="0"/>
            <wp:wrapSquare wrapText="bothSides"/>
            <wp:docPr id="204" name="Picture 204"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5" w:type="dxa"/>
        <w:jc w:val="center"/>
        <w:tblLayout w:type="fixed"/>
        <w:tblLook w:val="04A0" w:firstRow="1" w:lastRow="0" w:firstColumn="1" w:lastColumn="0" w:noHBand="0" w:noVBand="1"/>
      </w:tblPr>
      <w:tblGrid>
        <w:gridCol w:w="3649"/>
        <w:gridCol w:w="1178"/>
        <w:gridCol w:w="1041"/>
        <w:gridCol w:w="1029"/>
        <w:gridCol w:w="1029"/>
        <w:gridCol w:w="1029"/>
      </w:tblGrid>
      <w:tr w:rsidR="00CF0E2D" w14:paraId="6CCBF8D8" w14:textId="77777777" w:rsidTr="00A60D4B">
        <w:trPr>
          <w:cantSplit/>
          <w:jc w:val="center"/>
        </w:trPr>
        <w:tc>
          <w:tcPr>
            <w:tcW w:w="3649" w:type="dxa"/>
            <w:tcBorders>
              <w:top w:val="single" w:sz="4" w:space="0" w:color="auto"/>
              <w:left w:val="nil"/>
              <w:bottom w:val="single" w:sz="4" w:space="0" w:color="auto"/>
              <w:right w:val="nil"/>
            </w:tcBorders>
            <w:hideMark/>
          </w:tcPr>
          <w:p w14:paraId="56DCD3A5" w14:textId="77777777" w:rsidR="00CF0E2D" w:rsidRDefault="00CF0E2D">
            <w:pPr>
              <w:pStyle w:val="EmptyCell0"/>
              <w:keepNext/>
              <w:keepLines/>
              <w:spacing w:line="256" w:lineRule="auto"/>
            </w:pPr>
            <w:r>
              <w:t>Empty Cell</w:t>
            </w:r>
          </w:p>
        </w:tc>
        <w:tc>
          <w:tcPr>
            <w:tcW w:w="1178" w:type="dxa"/>
            <w:tcBorders>
              <w:top w:val="single" w:sz="4" w:space="0" w:color="auto"/>
              <w:left w:val="nil"/>
              <w:bottom w:val="single" w:sz="4" w:space="0" w:color="auto"/>
              <w:right w:val="nil"/>
            </w:tcBorders>
            <w:hideMark/>
          </w:tcPr>
          <w:p w14:paraId="70B036BB" w14:textId="77777777" w:rsidR="00CF0E2D" w:rsidRPr="00556206" w:rsidRDefault="00CF0E2D">
            <w:pPr>
              <w:pStyle w:val="InitFigR"/>
              <w:keepNext/>
              <w:keepLines/>
              <w:spacing w:line="256" w:lineRule="auto"/>
              <w:rPr>
                <w:b/>
                <w:bCs/>
              </w:rPr>
            </w:pPr>
            <w:r w:rsidRPr="00556206">
              <w:rPr>
                <w:b/>
                <w:bCs/>
              </w:rPr>
              <w:t>2021-22</w:t>
            </w:r>
          </w:p>
          <w:p w14:paraId="3330A350" w14:textId="77777777" w:rsidR="00CF0E2D" w:rsidRPr="00556206" w:rsidRDefault="00CF0E2D">
            <w:pPr>
              <w:pStyle w:val="InitFigR"/>
              <w:keepNext/>
              <w:keepLines/>
              <w:spacing w:line="256" w:lineRule="auto"/>
              <w:rPr>
                <w:b/>
                <w:bCs/>
              </w:rPr>
            </w:pPr>
            <w:r w:rsidRPr="00556206">
              <w:rPr>
                <w:b/>
                <w:bCs/>
              </w:rPr>
              <w:t>$’000</w:t>
            </w:r>
          </w:p>
        </w:tc>
        <w:tc>
          <w:tcPr>
            <w:tcW w:w="1041" w:type="dxa"/>
            <w:tcBorders>
              <w:top w:val="single" w:sz="4" w:space="0" w:color="auto"/>
              <w:left w:val="nil"/>
              <w:bottom w:val="single" w:sz="4" w:space="0" w:color="auto"/>
              <w:right w:val="nil"/>
            </w:tcBorders>
            <w:hideMark/>
          </w:tcPr>
          <w:p w14:paraId="6BF605CF" w14:textId="77777777" w:rsidR="00CF0E2D" w:rsidRPr="00556206" w:rsidRDefault="00CF0E2D">
            <w:pPr>
              <w:pStyle w:val="InitFigR"/>
              <w:keepNext/>
              <w:keepLines/>
              <w:spacing w:line="256" w:lineRule="auto"/>
              <w:rPr>
                <w:b/>
                <w:bCs/>
              </w:rPr>
            </w:pPr>
            <w:r w:rsidRPr="00556206">
              <w:rPr>
                <w:b/>
                <w:bCs/>
              </w:rPr>
              <w:t>2022-23</w:t>
            </w:r>
          </w:p>
          <w:p w14:paraId="5849B68E" w14:textId="77777777" w:rsidR="00CF0E2D" w:rsidRPr="00556206" w:rsidRDefault="00CF0E2D">
            <w:pPr>
              <w:pStyle w:val="InitFigR"/>
              <w:keepNext/>
              <w:keepLines/>
              <w:spacing w:line="256" w:lineRule="auto"/>
              <w:rPr>
                <w:b/>
                <w:bCs/>
              </w:rPr>
            </w:pPr>
            <w:r w:rsidRPr="00556206">
              <w:rPr>
                <w:b/>
                <w:bCs/>
              </w:rPr>
              <w:t>$’000</w:t>
            </w:r>
          </w:p>
        </w:tc>
        <w:tc>
          <w:tcPr>
            <w:tcW w:w="1029" w:type="dxa"/>
            <w:tcBorders>
              <w:top w:val="single" w:sz="4" w:space="0" w:color="auto"/>
              <w:left w:val="nil"/>
              <w:bottom w:val="single" w:sz="4" w:space="0" w:color="auto"/>
              <w:right w:val="nil"/>
            </w:tcBorders>
            <w:hideMark/>
          </w:tcPr>
          <w:p w14:paraId="1EED5635" w14:textId="77777777" w:rsidR="00CF0E2D" w:rsidRPr="00556206" w:rsidRDefault="00CF0E2D">
            <w:pPr>
              <w:pStyle w:val="InitFigR"/>
              <w:keepNext/>
              <w:keepLines/>
              <w:spacing w:line="256" w:lineRule="auto"/>
              <w:rPr>
                <w:b/>
                <w:bCs/>
              </w:rPr>
            </w:pPr>
            <w:r w:rsidRPr="00556206">
              <w:rPr>
                <w:b/>
                <w:bCs/>
              </w:rPr>
              <w:t>2023-24</w:t>
            </w:r>
          </w:p>
          <w:p w14:paraId="1210E2F5" w14:textId="77777777" w:rsidR="00CF0E2D" w:rsidRPr="00556206" w:rsidRDefault="00CF0E2D">
            <w:pPr>
              <w:pStyle w:val="InitFigR"/>
              <w:keepNext/>
              <w:keepLines/>
              <w:spacing w:line="256" w:lineRule="auto"/>
              <w:rPr>
                <w:b/>
                <w:bCs/>
              </w:rPr>
            </w:pPr>
            <w:r w:rsidRPr="00556206">
              <w:rPr>
                <w:b/>
                <w:bCs/>
              </w:rPr>
              <w:t>$’000</w:t>
            </w:r>
          </w:p>
        </w:tc>
        <w:tc>
          <w:tcPr>
            <w:tcW w:w="1029" w:type="dxa"/>
            <w:tcBorders>
              <w:top w:val="single" w:sz="4" w:space="0" w:color="auto"/>
              <w:left w:val="nil"/>
              <w:bottom w:val="single" w:sz="4" w:space="0" w:color="auto"/>
              <w:right w:val="nil"/>
            </w:tcBorders>
            <w:hideMark/>
          </w:tcPr>
          <w:p w14:paraId="2CDF9138" w14:textId="77777777" w:rsidR="00CF0E2D" w:rsidRPr="00556206" w:rsidRDefault="00CF0E2D">
            <w:pPr>
              <w:pStyle w:val="InitFigR"/>
              <w:keepNext/>
              <w:keepLines/>
              <w:spacing w:line="256" w:lineRule="auto"/>
              <w:rPr>
                <w:b/>
                <w:bCs/>
              </w:rPr>
            </w:pPr>
            <w:r w:rsidRPr="00556206">
              <w:rPr>
                <w:b/>
                <w:bCs/>
              </w:rPr>
              <w:t>2024-25</w:t>
            </w:r>
          </w:p>
          <w:p w14:paraId="17D2DE5F" w14:textId="77777777" w:rsidR="00CF0E2D" w:rsidRPr="00556206" w:rsidRDefault="00CF0E2D">
            <w:pPr>
              <w:pStyle w:val="InitFigR"/>
              <w:keepNext/>
              <w:keepLines/>
              <w:spacing w:line="256" w:lineRule="auto"/>
              <w:rPr>
                <w:b/>
                <w:bCs/>
              </w:rPr>
            </w:pPr>
            <w:r w:rsidRPr="00556206">
              <w:rPr>
                <w:b/>
                <w:bCs/>
              </w:rPr>
              <w:t>$’000</w:t>
            </w:r>
          </w:p>
        </w:tc>
        <w:tc>
          <w:tcPr>
            <w:tcW w:w="1029" w:type="dxa"/>
            <w:tcBorders>
              <w:top w:val="single" w:sz="4" w:space="0" w:color="auto"/>
              <w:left w:val="nil"/>
              <w:bottom w:val="single" w:sz="4" w:space="0" w:color="auto"/>
              <w:right w:val="nil"/>
            </w:tcBorders>
            <w:hideMark/>
          </w:tcPr>
          <w:p w14:paraId="0FA9B1DD" w14:textId="77777777" w:rsidR="00CF0E2D" w:rsidRDefault="00CF0E2D">
            <w:pPr>
              <w:pStyle w:val="InitFigRBold"/>
              <w:keepNext/>
              <w:keepLines/>
              <w:spacing w:line="256" w:lineRule="auto"/>
            </w:pPr>
            <w:r>
              <w:t>Total</w:t>
            </w:r>
          </w:p>
          <w:p w14:paraId="7C192C78" w14:textId="77777777" w:rsidR="00CF0E2D" w:rsidRDefault="00CF0E2D">
            <w:pPr>
              <w:pStyle w:val="InitFigBR"/>
              <w:keepNext/>
              <w:keepLines/>
              <w:spacing w:line="256" w:lineRule="auto"/>
            </w:pPr>
            <w:r>
              <w:t>$’000</w:t>
            </w:r>
          </w:p>
        </w:tc>
      </w:tr>
      <w:tr w:rsidR="00CF0E2D" w14:paraId="2879ED20" w14:textId="77777777" w:rsidTr="00A60D4B">
        <w:trPr>
          <w:cantSplit/>
          <w:trHeight w:val="107"/>
          <w:jc w:val="center"/>
        </w:trPr>
        <w:tc>
          <w:tcPr>
            <w:tcW w:w="3649" w:type="dxa"/>
            <w:tcBorders>
              <w:top w:val="single" w:sz="4" w:space="0" w:color="auto"/>
              <w:left w:val="nil"/>
              <w:bottom w:val="single" w:sz="4" w:space="0" w:color="auto"/>
              <w:right w:val="nil"/>
            </w:tcBorders>
            <w:hideMark/>
          </w:tcPr>
          <w:p w14:paraId="68165D0B" w14:textId="77777777" w:rsidR="00CF0E2D" w:rsidRPr="00096CEB" w:rsidRDefault="00CF0E2D">
            <w:pPr>
              <w:pStyle w:val="InitFigLBold"/>
              <w:keepNext/>
              <w:keepLines/>
              <w:spacing w:line="256" w:lineRule="auto"/>
              <w:ind w:left="321" w:hanging="321"/>
              <w:rPr>
                <w:b w:val="0"/>
                <w:bCs/>
              </w:rPr>
            </w:pPr>
            <w:r w:rsidRPr="00096CEB">
              <w:rPr>
                <w:b w:val="0"/>
                <w:bCs/>
              </w:rPr>
              <w:t>Expenses</w:t>
            </w:r>
          </w:p>
        </w:tc>
        <w:tc>
          <w:tcPr>
            <w:tcW w:w="1178" w:type="dxa"/>
            <w:tcBorders>
              <w:top w:val="single" w:sz="4" w:space="0" w:color="auto"/>
              <w:left w:val="nil"/>
              <w:bottom w:val="single" w:sz="4" w:space="0" w:color="auto"/>
              <w:right w:val="nil"/>
            </w:tcBorders>
            <w:hideMark/>
          </w:tcPr>
          <w:p w14:paraId="3CFC6276" w14:textId="77777777" w:rsidR="00CF0E2D" w:rsidRPr="00096CEB" w:rsidRDefault="00CF0E2D">
            <w:pPr>
              <w:pStyle w:val="InitFigRBold"/>
              <w:keepNext/>
              <w:keepLines/>
              <w:spacing w:line="256" w:lineRule="auto"/>
              <w:rPr>
                <w:b w:val="0"/>
                <w:bCs/>
              </w:rPr>
            </w:pPr>
            <w:r w:rsidRPr="00096CEB">
              <w:rPr>
                <w:b w:val="0"/>
                <w:bCs/>
              </w:rPr>
              <w:t>4,738</w:t>
            </w:r>
          </w:p>
        </w:tc>
        <w:tc>
          <w:tcPr>
            <w:tcW w:w="1041" w:type="dxa"/>
            <w:tcBorders>
              <w:top w:val="single" w:sz="4" w:space="0" w:color="auto"/>
              <w:left w:val="nil"/>
              <w:bottom w:val="single" w:sz="4" w:space="0" w:color="auto"/>
              <w:right w:val="nil"/>
            </w:tcBorders>
            <w:hideMark/>
          </w:tcPr>
          <w:p w14:paraId="395A1F2F" w14:textId="77777777" w:rsidR="00CF0E2D" w:rsidRPr="00096CEB" w:rsidRDefault="00CF0E2D">
            <w:pPr>
              <w:pStyle w:val="InitFigRBold"/>
              <w:keepNext/>
              <w:keepLines/>
              <w:spacing w:line="256" w:lineRule="auto"/>
              <w:rPr>
                <w:b w:val="0"/>
                <w:bCs/>
              </w:rPr>
            </w:pPr>
            <w:r w:rsidRPr="00096CEB">
              <w:rPr>
                <w:rFonts w:cs="Calibri"/>
                <w:b w:val="0"/>
                <w:bCs/>
                <w:lang w:eastAsia="en-AU"/>
              </w:rPr>
              <w:t>789</w:t>
            </w:r>
          </w:p>
        </w:tc>
        <w:tc>
          <w:tcPr>
            <w:tcW w:w="1029" w:type="dxa"/>
            <w:tcBorders>
              <w:top w:val="single" w:sz="4" w:space="0" w:color="auto"/>
              <w:left w:val="nil"/>
              <w:bottom w:val="single" w:sz="4" w:space="0" w:color="auto"/>
              <w:right w:val="nil"/>
            </w:tcBorders>
            <w:hideMark/>
          </w:tcPr>
          <w:p w14:paraId="516B3181" w14:textId="77777777" w:rsidR="00CF0E2D" w:rsidRPr="00096CEB" w:rsidRDefault="00CF0E2D">
            <w:pPr>
              <w:pStyle w:val="InitFigRBold"/>
              <w:keepNext/>
              <w:keepLines/>
              <w:spacing w:line="256" w:lineRule="auto"/>
              <w:rPr>
                <w:b w:val="0"/>
                <w:bCs/>
              </w:rPr>
            </w:pPr>
            <w:r w:rsidRPr="00096CEB">
              <w:rPr>
                <w:rFonts w:cs="Calibri"/>
                <w:b w:val="0"/>
                <w:bCs/>
                <w:lang w:eastAsia="en-AU"/>
              </w:rPr>
              <w:t>555</w:t>
            </w:r>
          </w:p>
        </w:tc>
        <w:tc>
          <w:tcPr>
            <w:tcW w:w="1029" w:type="dxa"/>
            <w:tcBorders>
              <w:top w:val="single" w:sz="4" w:space="0" w:color="auto"/>
              <w:left w:val="nil"/>
              <w:bottom w:val="single" w:sz="4" w:space="0" w:color="auto"/>
              <w:right w:val="nil"/>
            </w:tcBorders>
            <w:hideMark/>
          </w:tcPr>
          <w:p w14:paraId="1856FD21" w14:textId="77777777" w:rsidR="00CF0E2D" w:rsidRPr="00096CEB" w:rsidRDefault="00CF0E2D">
            <w:pPr>
              <w:pStyle w:val="InitFigRBold"/>
              <w:keepNext/>
              <w:keepLines/>
              <w:spacing w:line="256" w:lineRule="auto"/>
              <w:rPr>
                <w:b w:val="0"/>
                <w:bCs/>
              </w:rPr>
            </w:pPr>
            <w:r w:rsidRPr="00096CEB">
              <w:rPr>
                <w:rFonts w:cs="Calibri"/>
                <w:b w:val="0"/>
                <w:bCs/>
                <w:lang w:eastAsia="en-AU"/>
              </w:rPr>
              <w:t>555</w:t>
            </w:r>
          </w:p>
        </w:tc>
        <w:tc>
          <w:tcPr>
            <w:tcW w:w="1029" w:type="dxa"/>
            <w:tcBorders>
              <w:top w:val="single" w:sz="4" w:space="0" w:color="auto"/>
              <w:left w:val="nil"/>
              <w:bottom w:val="single" w:sz="4" w:space="0" w:color="auto"/>
              <w:right w:val="nil"/>
            </w:tcBorders>
            <w:hideMark/>
          </w:tcPr>
          <w:p w14:paraId="5C39979B" w14:textId="77777777" w:rsidR="00CF0E2D" w:rsidRDefault="00CF0E2D">
            <w:pPr>
              <w:pStyle w:val="InitFigRBold"/>
              <w:keepNext/>
              <w:keepLines/>
              <w:spacing w:line="256" w:lineRule="auto"/>
            </w:pPr>
            <w:r>
              <w:t>6,637</w:t>
            </w:r>
          </w:p>
        </w:tc>
      </w:tr>
    </w:tbl>
    <w:p w14:paraId="688AB9F7" w14:textId="77777777" w:rsidR="00CF0E2D" w:rsidRDefault="00CF0E2D" w:rsidP="00A60D4B">
      <w:pPr>
        <w:pStyle w:val="Bbodytext"/>
      </w:pPr>
      <w:r>
        <w:t xml:space="preserve">The Government will </w:t>
      </w:r>
      <w:r>
        <w:rPr>
          <w:lang w:eastAsia="en-AU"/>
        </w:rPr>
        <w:t xml:space="preserve">replace ACT Policing’s radio core communication system along with providing ongoing maintenance support for the new system. </w:t>
      </w:r>
    </w:p>
    <w:p w14:paraId="2D0D34AA" w14:textId="77777777" w:rsidR="00CF0E2D" w:rsidRDefault="00CF0E2D" w:rsidP="00A60D4B">
      <w:pPr>
        <w:pStyle w:val="Bbodytext"/>
      </w:pPr>
      <w:r>
        <w:t xml:space="preserve">This initiative builds on recent Government actions to upgrade police equipment including the provision of new smartphone equipment to all officers to improve the secure capture, transmission and sharing of data as well as radio communications provided in the 2018-19 Budget. </w:t>
      </w:r>
    </w:p>
    <w:p w14:paraId="6EAA21DD" w14:textId="77777777" w:rsidR="00CF0E2D" w:rsidRDefault="00CF0E2D" w:rsidP="00A60D4B">
      <w:pPr>
        <w:pStyle w:val="Bbodytext"/>
      </w:pPr>
      <w:r>
        <w:t>This initiative contributes to the wellbeing domain of Safety.</w:t>
      </w:r>
    </w:p>
    <w:p w14:paraId="0FE21FC3" w14:textId="77777777" w:rsidR="00CF0E2D" w:rsidRDefault="00CF0E2D" w:rsidP="00A60D4B">
      <w:pPr>
        <w:pStyle w:val="Bbodytext"/>
      </w:pPr>
    </w:p>
    <w:p w14:paraId="70E934B5" w14:textId="77777777" w:rsidR="00CF0E2D" w:rsidRDefault="00CF0E2D" w:rsidP="00A60D4B">
      <w:pPr>
        <w:pStyle w:val="Heading4"/>
      </w:pPr>
      <w:r>
        <w:t xml:space="preserve">Well-prepared emergency services – Remediating </w:t>
      </w:r>
      <w:r>
        <w:br/>
        <w:t>hazardous materials around the former West Belconnen ACT Fire &amp; Rescue Station</w:t>
      </w:r>
      <w:r>
        <w:rPr>
          <w:rFonts w:eastAsia="Times New Roman"/>
          <w:noProof/>
        </w:rPr>
        <w:drawing>
          <wp:anchor distT="0" distB="0" distL="114300" distR="114300" simplePos="0" relativeHeight="251844608" behindDoc="0" locked="1" layoutInCell="1" allowOverlap="1" wp14:anchorId="14E06393" wp14:editId="7F58BB04">
            <wp:simplePos x="0" y="0"/>
            <wp:positionH relativeFrom="margin">
              <wp:align>right</wp:align>
            </wp:positionH>
            <wp:positionV relativeFrom="paragraph">
              <wp:posOffset>297180</wp:posOffset>
            </wp:positionV>
            <wp:extent cx="1393190" cy="503555"/>
            <wp:effectExtent l="0" t="0" r="0" b="0"/>
            <wp:wrapSquare wrapText="bothSides"/>
            <wp:docPr id="13" name="Picture 13" descr="Icon representing the wellbeing domain of Environment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nvironment and clima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319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5" w:type="dxa"/>
        <w:jc w:val="center"/>
        <w:tblLayout w:type="fixed"/>
        <w:tblLook w:val="04A0" w:firstRow="1" w:lastRow="0" w:firstColumn="1" w:lastColumn="0" w:noHBand="0" w:noVBand="1"/>
      </w:tblPr>
      <w:tblGrid>
        <w:gridCol w:w="3649"/>
        <w:gridCol w:w="1178"/>
        <w:gridCol w:w="1041"/>
        <w:gridCol w:w="1029"/>
        <w:gridCol w:w="1029"/>
        <w:gridCol w:w="1029"/>
      </w:tblGrid>
      <w:tr w:rsidR="00CF0E2D" w14:paraId="2538502D" w14:textId="77777777" w:rsidTr="00A60D4B">
        <w:trPr>
          <w:cantSplit/>
          <w:jc w:val="center"/>
        </w:trPr>
        <w:tc>
          <w:tcPr>
            <w:tcW w:w="3649" w:type="dxa"/>
            <w:tcBorders>
              <w:top w:val="single" w:sz="4" w:space="0" w:color="auto"/>
              <w:left w:val="nil"/>
              <w:bottom w:val="single" w:sz="4" w:space="0" w:color="auto"/>
              <w:right w:val="nil"/>
            </w:tcBorders>
            <w:hideMark/>
          </w:tcPr>
          <w:p w14:paraId="3D97FEC9" w14:textId="77777777" w:rsidR="00CF0E2D" w:rsidRDefault="00CF0E2D">
            <w:pPr>
              <w:pStyle w:val="EmptyCell0"/>
              <w:spacing w:line="256" w:lineRule="auto"/>
            </w:pPr>
            <w:r>
              <w:t>Empty Cell</w:t>
            </w:r>
          </w:p>
        </w:tc>
        <w:tc>
          <w:tcPr>
            <w:tcW w:w="1178" w:type="dxa"/>
            <w:tcBorders>
              <w:top w:val="single" w:sz="4" w:space="0" w:color="auto"/>
              <w:left w:val="nil"/>
              <w:bottom w:val="single" w:sz="4" w:space="0" w:color="auto"/>
              <w:right w:val="nil"/>
            </w:tcBorders>
            <w:hideMark/>
          </w:tcPr>
          <w:p w14:paraId="0B1648C1" w14:textId="77777777" w:rsidR="00CF0E2D" w:rsidRPr="00F76724" w:rsidRDefault="00CF0E2D">
            <w:pPr>
              <w:pStyle w:val="InitFigR"/>
              <w:spacing w:line="256" w:lineRule="auto"/>
              <w:rPr>
                <w:b/>
                <w:bCs/>
              </w:rPr>
            </w:pPr>
            <w:r w:rsidRPr="00F76724">
              <w:rPr>
                <w:b/>
                <w:bCs/>
              </w:rPr>
              <w:t>2021-22</w:t>
            </w:r>
          </w:p>
          <w:p w14:paraId="70F1BE85" w14:textId="77777777" w:rsidR="00CF0E2D" w:rsidRPr="00F76724" w:rsidRDefault="00CF0E2D">
            <w:pPr>
              <w:pStyle w:val="InitFigR"/>
              <w:spacing w:line="256" w:lineRule="auto"/>
              <w:rPr>
                <w:b/>
                <w:bCs/>
              </w:rPr>
            </w:pPr>
            <w:r w:rsidRPr="00F76724">
              <w:rPr>
                <w:b/>
                <w:bCs/>
              </w:rPr>
              <w:t>$’000</w:t>
            </w:r>
          </w:p>
        </w:tc>
        <w:tc>
          <w:tcPr>
            <w:tcW w:w="1041" w:type="dxa"/>
            <w:tcBorders>
              <w:top w:val="single" w:sz="4" w:space="0" w:color="auto"/>
              <w:left w:val="nil"/>
              <w:bottom w:val="single" w:sz="4" w:space="0" w:color="auto"/>
              <w:right w:val="nil"/>
            </w:tcBorders>
            <w:hideMark/>
          </w:tcPr>
          <w:p w14:paraId="0526ED2E" w14:textId="77777777" w:rsidR="00CF0E2D" w:rsidRPr="00F76724" w:rsidRDefault="00CF0E2D">
            <w:pPr>
              <w:pStyle w:val="InitFigR"/>
              <w:spacing w:line="256" w:lineRule="auto"/>
              <w:rPr>
                <w:b/>
                <w:bCs/>
              </w:rPr>
            </w:pPr>
            <w:r w:rsidRPr="00F76724">
              <w:rPr>
                <w:b/>
                <w:bCs/>
              </w:rPr>
              <w:t>2022-23</w:t>
            </w:r>
          </w:p>
          <w:p w14:paraId="4165B0BD" w14:textId="77777777" w:rsidR="00CF0E2D" w:rsidRPr="00F76724" w:rsidRDefault="00CF0E2D">
            <w:pPr>
              <w:pStyle w:val="InitFigR"/>
              <w:spacing w:line="256" w:lineRule="auto"/>
              <w:rPr>
                <w:b/>
                <w:bCs/>
              </w:rPr>
            </w:pPr>
            <w:r w:rsidRPr="00F76724">
              <w:rPr>
                <w:b/>
                <w:bCs/>
              </w:rPr>
              <w:t>$’000</w:t>
            </w:r>
          </w:p>
        </w:tc>
        <w:tc>
          <w:tcPr>
            <w:tcW w:w="1029" w:type="dxa"/>
            <w:tcBorders>
              <w:top w:val="single" w:sz="4" w:space="0" w:color="auto"/>
              <w:left w:val="nil"/>
              <w:bottom w:val="single" w:sz="4" w:space="0" w:color="auto"/>
              <w:right w:val="nil"/>
            </w:tcBorders>
            <w:hideMark/>
          </w:tcPr>
          <w:p w14:paraId="753A10E2" w14:textId="77777777" w:rsidR="00CF0E2D" w:rsidRPr="00F76724" w:rsidRDefault="00CF0E2D">
            <w:pPr>
              <w:pStyle w:val="InitFigR"/>
              <w:spacing w:line="256" w:lineRule="auto"/>
              <w:rPr>
                <w:b/>
                <w:bCs/>
              </w:rPr>
            </w:pPr>
            <w:r w:rsidRPr="00F76724">
              <w:rPr>
                <w:b/>
                <w:bCs/>
              </w:rPr>
              <w:t>2023-24</w:t>
            </w:r>
          </w:p>
          <w:p w14:paraId="4FA6A037" w14:textId="77777777" w:rsidR="00CF0E2D" w:rsidRPr="00F76724" w:rsidRDefault="00CF0E2D">
            <w:pPr>
              <w:pStyle w:val="InitFigR"/>
              <w:spacing w:line="256" w:lineRule="auto"/>
              <w:rPr>
                <w:b/>
                <w:bCs/>
              </w:rPr>
            </w:pPr>
            <w:r w:rsidRPr="00F76724">
              <w:rPr>
                <w:b/>
                <w:bCs/>
              </w:rPr>
              <w:t>$’000</w:t>
            </w:r>
          </w:p>
        </w:tc>
        <w:tc>
          <w:tcPr>
            <w:tcW w:w="1029" w:type="dxa"/>
            <w:tcBorders>
              <w:top w:val="single" w:sz="4" w:space="0" w:color="auto"/>
              <w:left w:val="nil"/>
              <w:bottom w:val="single" w:sz="4" w:space="0" w:color="auto"/>
              <w:right w:val="nil"/>
            </w:tcBorders>
            <w:hideMark/>
          </w:tcPr>
          <w:p w14:paraId="465D5065" w14:textId="77777777" w:rsidR="00CF0E2D" w:rsidRPr="00F76724" w:rsidRDefault="00CF0E2D">
            <w:pPr>
              <w:pStyle w:val="InitFigR"/>
              <w:spacing w:line="256" w:lineRule="auto"/>
              <w:rPr>
                <w:b/>
                <w:bCs/>
              </w:rPr>
            </w:pPr>
            <w:r w:rsidRPr="00F76724">
              <w:rPr>
                <w:b/>
                <w:bCs/>
              </w:rPr>
              <w:t>2024-25</w:t>
            </w:r>
          </w:p>
          <w:p w14:paraId="04E21A8C" w14:textId="77777777" w:rsidR="00CF0E2D" w:rsidRPr="00F76724" w:rsidRDefault="00CF0E2D">
            <w:pPr>
              <w:pStyle w:val="InitFigR"/>
              <w:spacing w:line="256" w:lineRule="auto"/>
              <w:rPr>
                <w:b/>
                <w:bCs/>
              </w:rPr>
            </w:pPr>
            <w:r w:rsidRPr="00F76724">
              <w:rPr>
                <w:b/>
                <w:bCs/>
              </w:rPr>
              <w:t>$’000</w:t>
            </w:r>
          </w:p>
        </w:tc>
        <w:tc>
          <w:tcPr>
            <w:tcW w:w="1029" w:type="dxa"/>
            <w:tcBorders>
              <w:top w:val="single" w:sz="4" w:space="0" w:color="auto"/>
              <w:left w:val="nil"/>
              <w:bottom w:val="single" w:sz="4" w:space="0" w:color="auto"/>
              <w:right w:val="nil"/>
            </w:tcBorders>
            <w:hideMark/>
          </w:tcPr>
          <w:p w14:paraId="712116E4" w14:textId="77777777" w:rsidR="00CF0E2D" w:rsidRDefault="00CF0E2D">
            <w:pPr>
              <w:pStyle w:val="InitFigRBold"/>
              <w:spacing w:line="256" w:lineRule="auto"/>
            </w:pPr>
            <w:r>
              <w:t>Total</w:t>
            </w:r>
          </w:p>
          <w:p w14:paraId="1D782536" w14:textId="77777777" w:rsidR="00CF0E2D" w:rsidRDefault="00CF0E2D">
            <w:pPr>
              <w:pStyle w:val="InitFigBR"/>
              <w:spacing w:line="256" w:lineRule="auto"/>
            </w:pPr>
            <w:r>
              <w:t>$’000</w:t>
            </w:r>
          </w:p>
        </w:tc>
      </w:tr>
      <w:tr w:rsidR="00CF0E2D" w14:paraId="41226223" w14:textId="77777777" w:rsidTr="00A60D4B">
        <w:trPr>
          <w:cantSplit/>
          <w:jc w:val="center"/>
        </w:trPr>
        <w:tc>
          <w:tcPr>
            <w:tcW w:w="3649" w:type="dxa"/>
            <w:tcBorders>
              <w:top w:val="single" w:sz="4" w:space="0" w:color="auto"/>
              <w:left w:val="nil"/>
              <w:bottom w:val="single" w:sz="4" w:space="0" w:color="auto"/>
              <w:right w:val="nil"/>
            </w:tcBorders>
            <w:hideMark/>
          </w:tcPr>
          <w:p w14:paraId="7C6893BA" w14:textId="77777777" w:rsidR="00CF0E2D" w:rsidRDefault="00CF0E2D">
            <w:pPr>
              <w:pStyle w:val="InitTextL"/>
              <w:spacing w:line="256" w:lineRule="auto"/>
              <w:ind w:left="321" w:hanging="321"/>
            </w:pPr>
            <w:r>
              <w:t>Capital</w:t>
            </w:r>
          </w:p>
        </w:tc>
        <w:tc>
          <w:tcPr>
            <w:tcW w:w="1178" w:type="dxa"/>
            <w:tcBorders>
              <w:top w:val="single" w:sz="4" w:space="0" w:color="auto"/>
              <w:left w:val="nil"/>
              <w:bottom w:val="single" w:sz="4" w:space="0" w:color="auto"/>
              <w:right w:val="nil"/>
            </w:tcBorders>
            <w:hideMark/>
          </w:tcPr>
          <w:p w14:paraId="52F84E6A" w14:textId="77777777" w:rsidR="00CF0E2D" w:rsidRDefault="00CF0E2D">
            <w:pPr>
              <w:pStyle w:val="InitFigR"/>
              <w:spacing w:line="256" w:lineRule="auto"/>
            </w:pPr>
            <w:r>
              <w:rPr>
                <w:rFonts w:cs="Calibri"/>
                <w:lang w:eastAsia="en-AU"/>
              </w:rPr>
              <w:t>400</w:t>
            </w:r>
          </w:p>
        </w:tc>
        <w:tc>
          <w:tcPr>
            <w:tcW w:w="1041" w:type="dxa"/>
            <w:tcBorders>
              <w:top w:val="single" w:sz="4" w:space="0" w:color="auto"/>
              <w:left w:val="nil"/>
              <w:bottom w:val="single" w:sz="4" w:space="0" w:color="auto"/>
              <w:right w:val="nil"/>
            </w:tcBorders>
            <w:hideMark/>
          </w:tcPr>
          <w:p w14:paraId="1AE51E7D" w14:textId="77777777" w:rsidR="00CF0E2D" w:rsidRDefault="00CF0E2D">
            <w:pPr>
              <w:pStyle w:val="InitFigR"/>
              <w:spacing w:line="256" w:lineRule="auto"/>
            </w:pPr>
            <w:r>
              <w:rPr>
                <w:rFonts w:cs="Calibri"/>
                <w:lang w:eastAsia="en-AU"/>
              </w:rPr>
              <w:t>516</w:t>
            </w:r>
          </w:p>
        </w:tc>
        <w:tc>
          <w:tcPr>
            <w:tcW w:w="1029" w:type="dxa"/>
            <w:tcBorders>
              <w:top w:val="single" w:sz="4" w:space="0" w:color="auto"/>
              <w:left w:val="nil"/>
              <w:bottom w:val="single" w:sz="4" w:space="0" w:color="auto"/>
              <w:right w:val="nil"/>
            </w:tcBorders>
            <w:hideMark/>
          </w:tcPr>
          <w:p w14:paraId="62CF5D0D" w14:textId="77777777" w:rsidR="00CF0E2D" w:rsidRDefault="00CF0E2D">
            <w:pPr>
              <w:pStyle w:val="InitFigR"/>
              <w:spacing w:line="256" w:lineRule="auto"/>
            </w:pPr>
            <w:r>
              <w:rPr>
                <w:rFonts w:cs="Calibri"/>
                <w:lang w:eastAsia="en-AU"/>
              </w:rPr>
              <w:t>0</w:t>
            </w:r>
          </w:p>
        </w:tc>
        <w:tc>
          <w:tcPr>
            <w:tcW w:w="1029" w:type="dxa"/>
            <w:tcBorders>
              <w:top w:val="single" w:sz="4" w:space="0" w:color="auto"/>
              <w:left w:val="nil"/>
              <w:bottom w:val="single" w:sz="4" w:space="0" w:color="auto"/>
              <w:right w:val="nil"/>
            </w:tcBorders>
            <w:hideMark/>
          </w:tcPr>
          <w:p w14:paraId="4831AC0A" w14:textId="77777777" w:rsidR="00CF0E2D" w:rsidRDefault="00CF0E2D">
            <w:pPr>
              <w:pStyle w:val="InitFigR"/>
              <w:spacing w:line="256" w:lineRule="auto"/>
            </w:pPr>
            <w:r>
              <w:rPr>
                <w:rFonts w:cs="Calibri"/>
                <w:lang w:eastAsia="en-AU"/>
              </w:rPr>
              <w:t>0</w:t>
            </w:r>
          </w:p>
        </w:tc>
        <w:tc>
          <w:tcPr>
            <w:tcW w:w="1029" w:type="dxa"/>
            <w:tcBorders>
              <w:top w:val="single" w:sz="4" w:space="0" w:color="auto"/>
              <w:left w:val="nil"/>
              <w:bottom w:val="single" w:sz="4" w:space="0" w:color="auto"/>
              <w:right w:val="nil"/>
            </w:tcBorders>
            <w:hideMark/>
          </w:tcPr>
          <w:p w14:paraId="34A1E030" w14:textId="77777777" w:rsidR="00CF0E2D" w:rsidRDefault="00CF0E2D">
            <w:pPr>
              <w:pStyle w:val="InitFigBR"/>
              <w:spacing w:line="256" w:lineRule="auto"/>
            </w:pPr>
            <w:r>
              <w:rPr>
                <w:rFonts w:cs="Calibri"/>
                <w:bCs/>
                <w:lang w:eastAsia="en-AU"/>
              </w:rPr>
              <w:t>916</w:t>
            </w:r>
          </w:p>
        </w:tc>
      </w:tr>
    </w:tbl>
    <w:p w14:paraId="5F1BA43E" w14:textId="77777777" w:rsidR="00CF0E2D" w:rsidRDefault="00CF0E2D" w:rsidP="00A60D4B">
      <w:pPr>
        <w:pStyle w:val="Bbodytext"/>
      </w:pPr>
      <w:r>
        <w:rPr>
          <w:snapToGrid w:val="0"/>
          <w:lang w:eastAsia="en-AU"/>
        </w:rPr>
        <w:t xml:space="preserve">The Government will </w:t>
      </w:r>
      <w:r>
        <w:t>provide funding to remediate the existence of per-and-poly-fluoroalkyl substances (PFAS) contamination connected to the former ACT Fire &amp; Rescue site in Charnwood.</w:t>
      </w:r>
    </w:p>
    <w:p w14:paraId="4278BBF6" w14:textId="77777777" w:rsidR="00CF0E2D" w:rsidRDefault="00CF0E2D" w:rsidP="00A60D4B">
      <w:pPr>
        <w:pStyle w:val="Bbodytext"/>
      </w:pPr>
      <w:r>
        <w:lastRenderedPageBreak/>
        <w:t xml:space="preserve">This initiative contributes to the wellbeing domains of </w:t>
      </w:r>
      <w:sdt>
        <w:sdtPr>
          <w:alias w:val="Domain"/>
          <w:tag w:val="Domain"/>
          <w:id w:val="240614125"/>
          <w:placeholder>
            <w:docPart w:val="6B01DD8B15CA44528B110F7796A0D572"/>
          </w:placeholder>
          <w:dropDownList>
            <w:listItem w:value="Choose an item."/>
            <w:listItem w:displayText="Access and connectivity" w:value="Access and connectivity"/>
            <w:listItem w:displayText="Economy" w:value="Economy"/>
            <w:listItem w:displayText="Education and life-long learning" w:value="Education and life-long learning"/>
            <w:listItem w:displayText="Environment and climate" w:value="Environment and climate"/>
            <w:listItem w:displayText="Governance and institutions" w:value="Governance and institutions"/>
            <w:listItem w:displayText="Health" w:value="Health"/>
            <w:listItem w:displayText="Housing and home" w:value="Housing and home"/>
            <w:listItem w:displayText="Identity and belonging" w:value="Identity and belonging"/>
            <w:listItem w:displayText="Living standards" w:value="Living standards"/>
            <w:listItem w:displayText="Safety" w:value="Safety"/>
            <w:listItem w:displayText="Social connection" w:value="Social connection"/>
            <w:listItem w:displayText="Time" w:value="Time"/>
          </w:dropDownList>
        </w:sdtPr>
        <w:sdtEndPr/>
        <w:sdtContent>
          <w:r>
            <w:t>Environment and climate</w:t>
          </w:r>
        </w:sdtContent>
      </w:sdt>
      <w:r>
        <w:t xml:space="preserve"> and Safety.</w:t>
      </w:r>
    </w:p>
    <w:p w14:paraId="2CCF9340" w14:textId="77777777" w:rsidR="00CF0E2D" w:rsidRPr="00E0473F" w:rsidRDefault="00CF0E2D" w:rsidP="00A60D4B"/>
    <w:p w14:paraId="3250D1A5" w14:textId="77777777" w:rsidR="00CF0E2D" w:rsidRDefault="00CF0E2D" w:rsidP="00A60D4B">
      <w:pPr>
        <w:pStyle w:val="Heading4"/>
      </w:pPr>
      <w:r>
        <w:t>Well-prepared emergency services – Strengthening ICT infrastructure</w:t>
      </w:r>
      <w:r>
        <w:rPr>
          <w:b w:val="0"/>
          <w:noProof/>
          <w:color w:val="999789"/>
          <w:sz w:val="32"/>
          <w:szCs w:val="24"/>
        </w:rPr>
        <w:drawing>
          <wp:anchor distT="0" distB="0" distL="114300" distR="114300" simplePos="0" relativeHeight="251907072" behindDoc="0" locked="1" layoutInCell="1" allowOverlap="1" wp14:anchorId="0A0B86A3" wp14:editId="7738CA31">
            <wp:simplePos x="0" y="0"/>
            <wp:positionH relativeFrom="margin">
              <wp:posOffset>4733290</wp:posOffset>
            </wp:positionH>
            <wp:positionV relativeFrom="paragraph">
              <wp:posOffset>62230</wp:posOffset>
            </wp:positionV>
            <wp:extent cx="989965" cy="503555"/>
            <wp:effectExtent l="0" t="0" r="635" b="0"/>
            <wp:wrapSquare wrapText="bothSides"/>
            <wp:docPr id="205" name="Picture 205"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5" w:type="dxa"/>
        <w:jc w:val="center"/>
        <w:tblLayout w:type="fixed"/>
        <w:tblLook w:val="04A0" w:firstRow="1" w:lastRow="0" w:firstColumn="1" w:lastColumn="0" w:noHBand="0" w:noVBand="1"/>
      </w:tblPr>
      <w:tblGrid>
        <w:gridCol w:w="3649"/>
        <w:gridCol w:w="1178"/>
        <w:gridCol w:w="1041"/>
        <w:gridCol w:w="1029"/>
        <w:gridCol w:w="1029"/>
        <w:gridCol w:w="1029"/>
      </w:tblGrid>
      <w:tr w:rsidR="00CF0E2D" w14:paraId="45F2D0B9" w14:textId="77777777" w:rsidTr="00A60D4B">
        <w:trPr>
          <w:cantSplit/>
          <w:jc w:val="center"/>
        </w:trPr>
        <w:tc>
          <w:tcPr>
            <w:tcW w:w="3649" w:type="dxa"/>
            <w:tcBorders>
              <w:top w:val="single" w:sz="4" w:space="0" w:color="auto"/>
              <w:left w:val="nil"/>
              <w:bottom w:val="single" w:sz="4" w:space="0" w:color="auto"/>
              <w:right w:val="nil"/>
            </w:tcBorders>
            <w:hideMark/>
          </w:tcPr>
          <w:p w14:paraId="61878726" w14:textId="77777777" w:rsidR="00CF0E2D" w:rsidRDefault="00CF0E2D">
            <w:pPr>
              <w:pStyle w:val="EmptyCell0"/>
              <w:keepNext/>
              <w:keepLines/>
              <w:spacing w:line="256" w:lineRule="auto"/>
            </w:pPr>
            <w:r>
              <w:t>Empty Cell</w:t>
            </w:r>
          </w:p>
        </w:tc>
        <w:tc>
          <w:tcPr>
            <w:tcW w:w="1178" w:type="dxa"/>
            <w:tcBorders>
              <w:top w:val="single" w:sz="4" w:space="0" w:color="auto"/>
              <w:left w:val="nil"/>
              <w:bottom w:val="single" w:sz="4" w:space="0" w:color="auto"/>
              <w:right w:val="nil"/>
            </w:tcBorders>
            <w:hideMark/>
          </w:tcPr>
          <w:p w14:paraId="27589F56" w14:textId="77777777" w:rsidR="00CF0E2D" w:rsidRPr="008E34CC" w:rsidRDefault="00CF0E2D">
            <w:pPr>
              <w:pStyle w:val="InitFigR"/>
              <w:keepNext/>
              <w:keepLines/>
              <w:spacing w:line="256" w:lineRule="auto"/>
              <w:rPr>
                <w:b/>
                <w:bCs/>
              </w:rPr>
            </w:pPr>
            <w:r w:rsidRPr="008E34CC">
              <w:rPr>
                <w:b/>
                <w:bCs/>
              </w:rPr>
              <w:t>2021-22</w:t>
            </w:r>
          </w:p>
          <w:p w14:paraId="0DE57A9D" w14:textId="77777777" w:rsidR="00CF0E2D" w:rsidRPr="008E34CC" w:rsidRDefault="00CF0E2D">
            <w:pPr>
              <w:pStyle w:val="InitFigR"/>
              <w:keepNext/>
              <w:keepLines/>
              <w:spacing w:line="256" w:lineRule="auto"/>
              <w:rPr>
                <w:b/>
                <w:bCs/>
              </w:rPr>
            </w:pPr>
            <w:r w:rsidRPr="008E34CC">
              <w:rPr>
                <w:b/>
                <w:bCs/>
              </w:rPr>
              <w:t>$’000</w:t>
            </w:r>
          </w:p>
        </w:tc>
        <w:tc>
          <w:tcPr>
            <w:tcW w:w="1041" w:type="dxa"/>
            <w:tcBorders>
              <w:top w:val="single" w:sz="4" w:space="0" w:color="auto"/>
              <w:left w:val="nil"/>
              <w:bottom w:val="single" w:sz="4" w:space="0" w:color="auto"/>
              <w:right w:val="nil"/>
            </w:tcBorders>
            <w:hideMark/>
          </w:tcPr>
          <w:p w14:paraId="379DA0BE" w14:textId="77777777" w:rsidR="00CF0E2D" w:rsidRPr="008E34CC" w:rsidRDefault="00CF0E2D">
            <w:pPr>
              <w:pStyle w:val="InitFigR"/>
              <w:keepNext/>
              <w:keepLines/>
              <w:spacing w:line="256" w:lineRule="auto"/>
              <w:rPr>
                <w:b/>
                <w:bCs/>
              </w:rPr>
            </w:pPr>
            <w:r w:rsidRPr="008E34CC">
              <w:rPr>
                <w:b/>
                <w:bCs/>
              </w:rPr>
              <w:t>2022-23</w:t>
            </w:r>
          </w:p>
          <w:p w14:paraId="352C6C58" w14:textId="77777777" w:rsidR="00CF0E2D" w:rsidRPr="008E34CC" w:rsidRDefault="00CF0E2D">
            <w:pPr>
              <w:pStyle w:val="InitFigR"/>
              <w:keepNext/>
              <w:keepLines/>
              <w:spacing w:line="256" w:lineRule="auto"/>
              <w:rPr>
                <w:b/>
                <w:bCs/>
              </w:rPr>
            </w:pPr>
            <w:r w:rsidRPr="008E34CC">
              <w:rPr>
                <w:b/>
                <w:bCs/>
              </w:rPr>
              <w:t>$’000</w:t>
            </w:r>
          </w:p>
        </w:tc>
        <w:tc>
          <w:tcPr>
            <w:tcW w:w="1029" w:type="dxa"/>
            <w:tcBorders>
              <w:top w:val="single" w:sz="4" w:space="0" w:color="auto"/>
              <w:left w:val="nil"/>
              <w:bottom w:val="single" w:sz="4" w:space="0" w:color="auto"/>
              <w:right w:val="nil"/>
            </w:tcBorders>
            <w:hideMark/>
          </w:tcPr>
          <w:p w14:paraId="04454536" w14:textId="77777777" w:rsidR="00CF0E2D" w:rsidRPr="008E34CC" w:rsidRDefault="00CF0E2D">
            <w:pPr>
              <w:pStyle w:val="InitFigR"/>
              <w:keepNext/>
              <w:keepLines/>
              <w:spacing w:line="256" w:lineRule="auto"/>
              <w:rPr>
                <w:b/>
                <w:bCs/>
              </w:rPr>
            </w:pPr>
            <w:r w:rsidRPr="008E34CC">
              <w:rPr>
                <w:b/>
                <w:bCs/>
              </w:rPr>
              <w:t>2023-24</w:t>
            </w:r>
          </w:p>
          <w:p w14:paraId="707CE8E7" w14:textId="77777777" w:rsidR="00CF0E2D" w:rsidRPr="008E34CC" w:rsidRDefault="00CF0E2D">
            <w:pPr>
              <w:pStyle w:val="InitFigR"/>
              <w:keepNext/>
              <w:keepLines/>
              <w:spacing w:line="256" w:lineRule="auto"/>
              <w:rPr>
                <w:b/>
                <w:bCs/>
              </w:rPr>
            </w:pPr>
            <w:r w:rsidRPr="008E34CC">
              <w:rPr>
                <w:b/>
                <w:bCs/>
              </w:rPr>
              <w:t>$’000</w:t>
            </w:r>
          </w:p>
        </w:tc>
        <w:tc>
          <w:tcPr>
            <w:tcW w:w="1029" w:type="dxa"/>
            <w:tcBorders>
              <w:top w:val="single" w:sz="4" w:space="0" w:color="auto"/>
              <w:left w:val="nil"/>
              <w:bottom w:val="single" w:sz="4" w:space="0" w:color="auto"/>
              <w:right w:val="nil"/>
            </w:tcBorders>
            <w:hideMark/>
          </w:tcPr>
          <w:p w14:paraId="02FFE048" w14:textId="77777777" w:rsidR="00CF0E2D" w:rsidRPr="008E34CC" w:rsidRDefault="00CF0E2D">
            <w:pPr>
              <w:pStyle w:val="InitFigR"/>
              <w:keepNext/>
              <w:keepLines/>
              <w:spacing w:line="256" w:lineRule="auto"/>
              <w:rPr>
                <w:b/>
                <w:bCs/>
              </w:rPr>
            </w:pPr>
            <w:r w:rsidRPr="008E34CC">
              <w:rPr>
                <w:b/>
                <w:bCs/>
              </w:rPr>
              <w:t>2024-25</w:t>
            </w:r>
          </w:p>
          <w:p w14:paraId="2D4BCF19" w14:textId="77777777" w:rsidR="00CF0E2D" w:rsidRPr="008E34CC" w:rsidRDefault="00CF0E2D">
            <w:pPr>
              <w:pStyle w:val="InitFigR"/>
              <w:keepNext/>
              <w:keepLines/>
              <w:spacing w:line="256" w:lineRule="auto"/>
              <w:rPr>
                <w:b/>
                <w:bCs/>
              </w:rPr>
            </w:pPr>
            <w:r w:rsidRPr="008E34CC">
              <w:rPr>
                <w:b/>
                <w:bCs/>
              </w:rPr>
              <w:t>$’000</w:t>
            </w:r>
          </w:p>
        </w:tc>
        <w:tc>
          <w:tcPr>
            <w:tcW w:w="1029" w:type="dxa"/>
            <w:tcBorders>
              <w:top w:val="single" w:sz="4" w:space="0" w:color="auto"/>
              <w:left w:val="nil"/>
              <w:bottom w:val="single" w:sz="4" w:space="0" w:color="auto"/>
              <w:right w:val="nil"/>
            </w:tcBorders>
            <w:hideMark/>
          </w:tcPr>
          <w:p w14:paraId="5054BA9D" w14:textId="77777777" w:rsidR="00CF0E2D" w:rsidRDefault="00CF0E2D">
            <w:pPr>
              <w:pStyle w:val="InitFigRBold"/>
              <w:keepNext/>
              <w:keepLines/>
              <w:spacing w:line="256" w:lineRule="auto"/>
            </w:pPr>
            <w:r>
              <w:t>Total</w:t>
            </w:r>
          </w:p>
          <w:p w14:paraId="5D880348" w14:textId="77777777" w:rsidR="00CF0E2D" w:rsidRDefault="00CF0E2D">
            <w:pPr>
              <w:pStyle w:val="InitFigBR"/>
              <w:keepNext/>
              <w:keepLines/>
              <w:spacing w:line="256" w:lineRule="auto"/>
            </w:pPr>
            <w:r>
              <w:t>$’000</w:t>
            </w:r>
          </w:p>
        </w:tc>
      </w:tr>
      <w:tr w:rsidR="00CF0E2D" w14:paraId="5CD01906" w14:textId="77777777" w:rsidTr="00A60D4B">
        <w:trPr>
          <w:cantSplit/>
          <w:jc w:val="center"/>
        </w:trPr>
        <w:tc>
          <w:tcPr>
            <w:tcW w:w="3649" w:type="dxa"/>
            <w:tcBorders>
              <w:top w:val="single" w:sz="4" w:space="0" w:color="auto"/>
              <w:left w:val="nil"/>
              <w:bottom w:val="nil"/>
              <w:right w:val="nil"/>
            </w:tcBorders>
            <w:hideMark/>
          </w:tcPr>
          <w:p w14:paraId="0F3E34CF" w14:textId="77777777" w:rsidR="00CF0E2D" w:rsidRDefault="00CF0E2D">
            <w:pPr>
              <w:pStyle w:val="InitTextL"/>
              <w:keepNext/>
              <w:keepLines/>
              <w:spacing w:line="256" w:lineRule="auto"/>
              <w:ind w:left="321" w:hanging="321"/>
            </w:pPr>
            <w:r>
              <w:t>Capital</w:t>
            </w:r>
          </w:p>
        </w:tc>
        <w:tc>
          <w:tcPr>
            <w:tcW w:w="1178" w:type="dxa"/>
            <w:tcBorders>
              <w:top w:val="single" w:sz="4" w:space="0" w:color="auto"/>
              <w:left w:val="nil"/>
              <w:bottom w:val="nil"/>
              <w:right w:val="nil"/>
            </w:tcBorders>
            <w:hideMark/>
          </w:tcPr>
          <w:p w14:paraId="607C9661" w14:textId="77777777" w:rsidR="00CF0E2D" w:rsidRDefault="00CF0E2D">
            <w:pPr>
              <w:pStyle w:val="InitFigR"/>
              <w:keepNext/>
              <w:keepLines/>
              <w:spacing w:line="256" w:lineRule="auto"/>
            </w:pPr>
            <w:r>
              <w:rPr>
                <w:rFonts w:cs="Calibri"/>
                <w:lang w:eastAsia="en-AU"/>
              </w:rPr>
              <w:t>1,169</w:t>
            </w:r>
          </w:p>
        </w:tc>
        <w:tc>
          <w:tcPr>
            <w:tcW w:w="1041" w:type="dxa"/>
            <w:tcBorders>
              <w:top w:val="single" w:sz="4" w:space="0" w:color="auto"/>
              <w:left w:val="nil"/>
              <w:bottom w:val="nil"/>
              <w:right w:val="nil"/>
            </w:tcBorders>
            <w:hideMark/>
          </w:tcPr>
          <w:p w14:paraId="26A1F562" w14:textId="77777777" w:rsidR="00CF0E2D" w:rsidRDefault="00CF0E2D">
            <w:pPr>
              <w:pStyle w:val="InitFigR"/>
              <w:keepNext/>
              <w:keepLines/>
              <w:spacing w:line="256" w:lineRule="auto"/>
            </w:pPr>
            <w:r>
              <w:rPr>
                <w:rFonts w:cs="Calibri"/>
                <w:lang w:eastAsia="en-AU"/>
              </w:rPr>
              <w:t>541</w:t>
            </w:r>
          </w:p>
        </w:tc>
        <w:tc>
          <w:tcPr>
            <w:tcW w:w="1029" w:type="dxa"/>
            <w:tcBorders>
              <w:top w:val="single" w:sz="4" w:space="0" w:color="auto"/>
              <w:left w:val="nil"/>
              <w:bottom w:val="nil"/>
              <w:right w:val="nil"/>
            </w:tcBorders>
            <w:hideMark/>
          </w:tcPr>
          <w:p w14:paraId="2E4F8AE4" w14:textId="77777777" w:rsidR="00CF0E2D" w:rsidRDefault="00CF0E2D">
            <w:pPr>
              <w:pStyle w:val="InitFigR"/>
              <w:keepNext/>
              <w:keepLines/>
              <w:spacing w:line="256" w:lineRule="auto"/>
            </w:pPr>
            <w:r>
              <w:rPr>
                <w:rFonts w:cs="Calibri"/>
                <w:lang w:eastAsia="en-AU"/>
              </w:rPr>
              <w:t>0</w:t>
            </w:r>
          </w:p>
        </w:tc>
        <w:tc>
          <w:tcPr>
            <w:tcW w:w="1029" w:type="dxa"/>
            <w:tcBorders>
              <w:top w:val="single" w:sz="4" w:space="0" w:color="auto"/>
              <w:left w:val="nil"/>
              <w:bottom w:val="nil"/>
              <w:right w:val="nil"/>
            </w:tcBorders>
            <w:hideMark/>
          </w:tcPr>
          <w:p w14:paraId="3C9021F2" w14:textId="77777777" w:rsidR="00CF0E2D" w:rsidRDefault="00CF0E2D">
            <w:pPr>
              <w:pStyle w:val="InitFigR"/>
              <w:keepNext/>
              <w:keepLines/>
              <w:spacing w:line="256" w:lineRule="auto"/>
            </w:pPr>
            <w:r>
              <w:rPr>
                <w:rFonts w:cs="Calibri"/>
                <w:lang w:eastAsia="en-AU"/>
              </w:rPr>
              <w:t>0</w:t>
            </w:r>
          </w:p>
        </w:tc>
        <w:tc>
          <w:tcPr>
            <w:tcW w:w="1029" w:type="dxa"/>
            <w:tcBorders>
              <w:top w:val="single" w:sz="4" w:space="0" w:color="auto"/>
              <w:left w:val="nil"/>
              <w:bottom w:val="nil"/>
              <w:right w:val="nil"/>
            </w:tcBorders>
            <w:hideMark/>
          </w:tcPr>
          <w:p w14:paraId="007327F2" w14:textId="77777777" w:rsidR="00CF0E2D" w:rsidRDefault="00CF0E2D">
            <w:pPr>
              <w:pStyle w:val="InitFigRBold"/>
              <w:keepNext/>
              <w:keepLines/>
              <w:spacing w:line="256" w:lineRule="auto"/>
              <w:rPr>
                <w:b w:val="0"/>
              </w:rPr>
            </w:pPr>
            <w:r>
              <w:rPr>
                <w:rFonts w:cs="Calibri"/>
                <w:bCs/>
                <w:lang w:eastAsia="en-AU"/>
              </w:rPr>
              <w:t>1,710</w:t>
            </w:r>
          </w:p>
        </w:tc>
      </w:tr>
      <w:tr w:rsidR="00CF0E2D" w14:paraId="061668E9" w14:textId="77777777" w:rsidTr="00A60D4B">
        <w:trPr>
          <w:cantSplit/>
          <w:jc w:val="center"/>
        </w:trPr>
        <w:tc>
          <w:tcPr>
            <w:tcW w:w="3649" w:type="dxa"/>
            <w:tcBorders>
              <w:top w:val="single" w:sz="4" w:space="0" w:color="auto"/>
              <w:left w:val="nil"/>
              <w:bottom w:val="nil"/>
              <w:right w:val="nil"/>
            </w:tcBorders>
            <w:hideMark/>
          </w:tcPr>
          <w:p w14:paraId="365CD82B" w14:textId="77777777" w:rsidR="00CF0E2D" w:rsidRDefault="00CF0E2D">
            <w:pPr>
              <w:pStyle w:val="InitTextL"/>
              <w:keepNext/>
              <w:keepLines/>
              <w:spacing w:line="256" w:lineRule="auto"/>
              <w:ind w:left="321" w:hanging="321"/>
              <w:rPr>
                <w:b/>
                <w:bCs/>
              </w:rPr>
            </w:pPr>
            <w:r>
              <w:t>Depreciation</w:t>
            </w:r>
          </w:p>
        </w:tc>
        <w:tc>
          <w:tcPr>
            <w:tcW w:w="1178" w:type="dxa"/>
            <w:tcBorders>
              <w:top w:val="single" w:sz="4" w:space="0" w:color="auto"/>
              <w:left w:val="nil"/>
              <w:bottom w:val="nil"/>
              <w:right w:val="nil"/>
            </w:tcBorders>
            <w:hideMark/>
          </w:tcPr>
          <w:p w14:paraId="22DDB886" w14:textId="77777777" w:rsidR="00CF0E2D" w:rsidRDefault="00CF0E2D">
            <w:pPr>
              <w:pStyle w:val="InitFigR"/>
              <w:keepNext/>
              <w:keepLines/>
              <w:spacing w:line="256" w:lineRule="auto"/>
            </w:pPr>
            <w:r>
              <w:rPr>
                <w:rFonts w:cs="Calibri"/>
                <w:lang w:eastAsia="en-AU"/>
              </w:rPr>
              <w:t>0</w:t>
            </w:r>
          </w:p>
        </w:tc>
        <w:tc>
          <w:tcPr>
            <w:tcW w:w="1041" w:type="dxa"/>
            <w:tcBorders>
              <w:top w:val="single" w:sz="4" w:space="0" w:color="auto"/>
              <w:left w:val="nil"/>
              <w:bottom w:val="nil"/>
              <w:right w:val="nil"/>
            </w:tcBorders>
            <w:hideMark/>
          </w:tcPr>
          <w:p w14:paraId="2EFCAA6C" w14:textId="77777777" w:rsidR="00CF0E2D" w:rsidRDefault="00CF0E2D">
            <w:pPr>
              <w:pStyle w:val="InitFigR"/>
              <w:keepNext/>
              <w:keepLines/>
              <w:spacing w:line="256" w:lineRule="auto"/>
            </w:pPr>
            <w:r>
              <w:rPr>
                <w:rFonts w:cs="Calibri"/>
                <w:lang w:eastAsia="en-AU"/>
              </w:rPr>
              <w:t>234</w:t>
            </w:r>
          </w:p>
        </w:tc>
        <w:tc>
          <w:tcPr>
            <w:tcW w:w="1029" w:type="dxa"/>
            <w:tcBorders>
              <w:top w:val="single" w:sz="4" w:space="0" w:color="auto"/>
              <w:left w:val="nil"/>
              <w:bottom w:val="nil"/>
              <w:right w:val="nil"/>
            </w:tcBorders>
            <w:hideMark/>
          </w:tcPr>
          <w:p w14:paraId="2E22BE7D" w14:textId="77777777" w:rsidR="00CF0E2D" w:rsidRDefault="00CF0E2D">
            <w:pPr>
              <w:pStyle w:val="InitFigR"/>
              <w:keepNext/>
              <w:keepLines/>
              <w:spacing w:line="256" w:lineRule="auto"/>
            </w:pPr>
            <w:r>
              <w:rPr>
                <w:rFonts w:cs="Calibri"/>
                <w:lang w:eastAsia="en-AU"/>
              </w:rPr>
              <w:t>342</w:t>
            </w:r>
          </w:p>
        </w:tc>
        <w:tc>
          <w:tcPr>
            <w:tcW w:w="1029" w:type="dxa"/>
            <w:tcBorders>
              <w:top w:val="single" w:sz="4" w:space="0" w:color="auto"/>
              <w:left w:val="nil"/>
              <w:bottom w:val="nil"/>
              <w:right w:val="nil"/>
            </w:tcBorders>
            <w:hideMark/>
          </w:tcPr>
          <w:p w14:paraId="05F27F4E" w14:textId="77777777" w:rsidR="00CF0E2D" w:rsidRDefault="00CF0E2D">
            <w:pPr>
              <w:pStyle w:val="InitFigR"/>
              <w:keepNext/>
              <w:keepLines/>
              <w:spacing w:line="256" w:lineRule="auto"/>
            </w:pPr>
            <w:r>
              <w:rPr>
                <w:rFonts w:cs="Calibri"/>
                <w:lang w:eastAsia="en-AU"/>
              </w:rPr>
              <w:t>342</w:t>
            </w:r>
          </w:p>
        </w:tc>
        <w:tc>
          <w:tcPr>
            <w:tcW w:w="1029" w:type="dxa"/>
            <w:tcBorders>
              <w:top w:val="single" w:sz="4" w:space="0" w:color="auto"/>
              <w:left w:val="nil"/>
              <w:bottom w:val="nil"/>
              <w:right w:val="nil"/>
            </w:tcBorders>
            <w:hideMark/>
          </w:tcPr>
          <w:p w14:paraId="430A8829" w14:textId="77777777" w:rsidR="00CF0E2D" w:rsidRDefault="00CF0E2D">
            <w:pPr>
              <w:pStyle w:val="InitFigRBold"/>
              <w:keepNext/>
              <w:keepLines/>
              <w:spacing w:line="256" w:lineRule="auto"/>
              <w:rPr>
                <w:b w:val="0"/>
              </w:rPr>
            </w:pPr>
            <w:r>
              <w:rPr>
                <w:rFonts w:cs="Calibri"/>
                <w:bCs/>
                <w:lang w:eastAsia="en-AU"/>
              </w:rPr>
              <w:t>918</w:t>
            </w:r>
          </w:p>
        </w:tc>
      </w:tr>
      <w:tr w:rsidR="00CF0E2D" w14:paraId="418D85CD" w14:textId="77777777" w:rsidTr="00A60D4B">
        <w:trPr>
          <w:cantSplit/>
          <w:jc w:val="center"/>
        </w:trPr>
        <w:tc>
          <w:tcPr>
            <w:tcW w:w="3649" w:type="dxa"/>
            <w:hideMark/>
          </w:tcPr>
          <w:p w14:paraId="24C36838" w14:textId="77777777" w:rsidR="00CF0E2D" w:rsidRDefault="00CF0E2D">
            <w:pPr>
              <w:pStyle w:val="InitTextL"/>
              <w:keepNext/>
              <w:keepLines/>
              <w:spacing w:line="256" w:lineRule="auto"/>
              <w:ind w:left="321" w:hanging="321"/>
            </w:pPr>
            <w:r>
              <w:t>Expenses</w:t>
            </w:r>
          </w:p>
        </w:tc>
        <w:tc>
          <w:tcPr>
            <w:tcW w:w="1178" w:type="dxa"/>
            <w:hideMark/>
          </w:tcPr>
          <w:p w14:paraId="7782014F" w14:textId="77777777" w:rsidR="00CF0E2D" w:rsidRDefault="00CF0E2D">
            <w:pPr>
              <w:pStyle w:val="InitFigR"/>
              <w:keepNext/>
              <w:keepLines/>
              <w:spacing w:line="256" w:lineRule="auto"/>
            </w:pPr>
            <w:r>
              <w:rPr>
                <w:rFonts w:cs="Calibri"/>
                <w:lang w:eastAsia="en-AU"/>
              </w:rPr>
              <w:t>25</w:t>
            </w:r>
          </w:p>
        </w:tc>
        <w:tc>
          <w:tcPr>
            <w:tcW w:w="1041" w:type="dxa"/>
            <w:hideMark/>
          </w:tcPr>
          <w:p w14:paraId="51793327" w14:textId="77777777" w:rsidR="00CF0E2D" w:rsidRDefault="00CF0E2D">
            <w:pPr>
              <w:pStyle w:val="InitFigR"/>
              <w:keepNext/>
              <w:keepLines/>
              <w:spacing w:line="256" w:lineRule="auto"/>
            </w:pPr>
            <w:r>
              <w:rPr>
                <w:rFonts w:cs="Calibri"/>
                <w:lang w:eastAsia="en-AU"/>
              </w:rPr>
              <w:t>226</w:t>
            </w:r>
          </w:p>
        </w:tc>
        <w:tc>
          <w:tcPr>
            <w:tcW w:w="1029" w:type="dxa"/>
            <w:hideMark/>
          </w:tcPr>
          <w:p w14:paraId="31AC37F6" w14:textId="77777777" w:rsidR="00CF0E2D" w:rsidRDefault="00CF0E2D">
            <w:pPr>
              <w:pStyle w:val="InitFigR"/>
              <w:keepNext/>
              <w:keepLines/>
              <w:spacing w:line="256" w:lineRule="auto"/>
            </w:pPr>
            <w:r>
              <w:rPr>
                <w:rFonts w:cs="Calibri"/>
                <w:lang w:eastAsia="en-AU"/>
              </w:rPr>
              <w:t>256</w:t>
            </w:r>
          </w:p>
        </w:tc>
        <w:tc>
          <w:tcPr>
            <w:tcW w:w="1029" w:type="dxa"/>
            <w:hideMark/>
          </w:tcPr>
          <w:p w14:paraId="36EB9536" w14:textId="77777777" w:rsidR="00CF0E2D" w:rsidRDefault="00CF0E2D">
            <w:pPr>
              <w:pStyle w:val="InitFigR"/>
              <w:keepNext/>
              <w:keepLines/>
              <w:spacing w:line="256" w:lineRule="auto"/>
            </w:pPr>
            <w:r>
              <w:rPr>
                <w:rFonts w:cs="Calibri"/>
                <w:lang w:eastAsia="en-AU"/>
              </w:rPr>
              <w:t>261</w:t>
            </w:r>
          </w:p>
        </w:tc>
        <w:tc>
          <w:tcPr>
            <w:tcW w:w="1029" w:type="dxa"/>
            <w:hideMark/>
          </w:tcPr>
          <w:p w14:paraId="06C7FEFB" w14:textId="77777777" w:rsidR="00CF0E2D" w:rsidRDefault="00CF0E2D">
            <w:pPr>
              <w:pStyle w:val="InitFigBR"/>
              <w:keepNext/>
              <w:keepLines/>
              <w:spacing w:line="256" w:lineRule="auto"/>
            </w:pPr>
            <w:r>
              <w:rPr>
                <w:rFonts w:cs="Calibri"/>
                <w:bCs/>
                <w:lang w:eastAsia="en-AU"/>
              </w:rPr>
              <w:t>768</w:t>
            </w:r>
          </w:p>
        </w:tc>
      </w:tr>
      <w:tr w:rsidR="00CF0E2D" w14:paraId="3551885A" w14:textId="77777777" w:rsidTr="00A60D4B">
        <w:trPr>
          <w:cantSplit/>
          <w:trHeight w:val="107"/>
          <w:jc w:val="center"/>
        </w:trPr>
        <w:tc>
          <w:tcPr>
            <w:tcW w:w="3649" w:type="dxa"/>
            <w:tcBorders>
              <w:top w:val="single" w:sz="4" w:space="0" w:color="auto"/>
              <w:left w:val="nil"/>
              <w:bottom w:val="single" w:sz="4" w:space="0" w:color="auto"/>
              <w:right w:val="nil"/>
            </w:tcBorders>
            <w:hideMark/>
          </w:tcPr>
          <w:p w14:paraId="6D52E02A" w14:textId="77777777" w:rsidR="00CF0E2D" w:rsidRDefault="00CF0E2D">
            <w:pPr>
              <w:pStyle w:val="InitFigLBold"/>
              <w:keepNext/>
              <w:keepLines/>
              <w:spacing w:line="256" w:lineRule="auto"/>
              <w:ind w:left="321" w:hanging="321"/>
            </w:pPr>
            <w:r>
              <w:t>Net cost of services</w:t>
            </w:r>
          </w:p>
        </w:tc>
        <w:tc>
          <w:tcPr>
            <w:tcW w:w="1178" w:type="dxa"/>
            <w:tcBorders>
              <w:top w:val="single" w:sz="4" w:space="0" w:color="auto"/>
              <w:left w:val="nil"/>
              <w:bottom w:val="single" w:sz="4" w:space="0" w:color="auto"/>
              <w:right w:val="nil"/>
            </w:tcBorders>
            <w:hideMark/>
          </w:tcPr>
          <w:p w14:paraId="1F6E8B2B" w14:textId="77777777" w:rsidR="00CF0E2D" w:rsidRDefault="00CF0E2D">
            <w:pPr>
              <w:pStyle w:val="InitFigRBold"/>
              <w:keepNext/>
              <w:keepLines/>
              <w:spacing w:line="256" w:lineRule="auto"/>
            </w:pPr>
            <w:r>
              <w:rPr>
                <w:rFonts w:cs="Calibri"/>
                <w:bCs/>
                <w:lang w:eastAsia="en-AU"/>
              </w:rPr>
              <w:t>25</w:t>
            </w:r>
          </w:p>
        </w:tc>
        <w:tc>
          <w:tcPr>
            <w:tcW w:w="1041" w:type="dxa"/>
            <w:tcBorders>
              <w:top w:val="single" w:sz="4" w:space="0" w:color="auto"/>
              <w:left w:val="nil"/>
              <w:bottom w:val="single" w:sz="4" w:space="0" w:color="auto"/>
              <w:right w:val="nil"/>
            </w:tcBorders>
            <w:hideMark/>
          </w:tcPr>
          <w:p w14:paraId="6EDDB747" w14:textId="77777777" w:rsidR="00CF0E2D" w:rsidRDefault="00CF0E2D">
            <w:pPr>
              <w:pStyle w:val="InitFigRBold"/>
              <w:keepNext/>
              <w:keepLines/>
              <w:spacing w:line="256" w:lineRule="auto"/>
            </w:pPr>
            <w:r>
              <w:rPr>
                <w:rFonts w:cs="Calibri"/>
                <w:bCs/>
                <w:lang w:eastAsia="en-AU"/>
              </w:rPr>
              <w:t>460</w:t>
            </w:r>
          </w:p>
        </w:tc>
        <w:tc>
          <w:tcPr>
            <w:tcW w:w="1029" w:type="dxa"/>
            <w:tcBorders>
              <w:top w:val="single" w:sz="4" w:space="0" w:color="auto"/>
              <w:left w:val="nil"/>
              <w:bottom w:val="single" w:sz="4" w:space="0" w:color="auto"/>
              <w:right w:val="nil"/>
            </w:tcBorders>
            <w:hideMark/>
          </w:tcPr>
          <w:p w14:paraId="4ACD03A5" w14:textId="77777777" w:rsidR="00CF0E2D" w:rsidRDefault="00CF0E2D">
            <w:pPr>
              <w:pStyle w:val="InitFigRBold"/>
              <w:keepNext/>
              <w:keepLines/>
              <w:spacing w:line="256" w:lineRule="auto"/>
            </w:pPr>
            <w:r>
              <w:rPr>
                <w:rFonts w:cs="Calibri"/>
                <w:bCs/>
                <w:lang w:eastAsia="en-AU"/>
              </w:rPr>
              <w:t>598</w:t>
            </w:r>
          </w:p>
        </w:tc>
        <w:tc>
          <w:tcPr>
            <w:tcW w:w="1029" w:type="dxa"/>
            <w:tcBorders>
              <w:top w:val="single" w:sz="4" w:space="0" w:color="auto"/>
              <w:left w:val="nil"/>
              <w:bottom w:val="single" w:sz="4" w:space="0" w:color="auto"/>
              <w:right w:val="nil"/>
            </w:tcBorders>
            <w:hideMark/>
          </w:tcPr>
          <w:p w14:paraId="3611BDAA" w14:textId="77777777" w:rsidR="00CF0E2D" w:rsidRDefault="00CF0E2D">
            <w:pPr>
              <w:pStyle w:val="InitFigRBold"/>
              <w:keepNext/>
              <w:keepLines/>
              <w:spacing w:line="256" w:lineRule="auto"/>
            </w:pPr>
            <w:r>
              <w:rPr>
                <w:rFonts w:cs="Calibri"/>
                <w:bCs/>
                <w:lang w:eastAsia="en-AU"/>
              </w:rPr>
              <w:t>603</w:t>
            </w:r>
          </w:p>
        </w:tc>
        <w:tc>
          <w:tcPr>
            <w:tcW w:w="1029" w:type="dxa"/>
            <w:tcBorders>
              <w:top w:val="single" w:sz="4" w:space="0" w:color="auto"/>
              <w:left w:val="nil"/>
              <w:bottom w:val="single" w:sz="4" w:space="0" w:color="auto"/>
              <w:right w:val="nil"/>
            </w:tcBorders>
            <w:hideMark/>
          </w:tcPr>
          <w:p w14:paraId="61A5EBBC" w14:textId="77777777" w:rsidR="00CF0E2D" w:rsidRDefault="00CF0E2D">
            <w:pPr>
              <w:pStyle w:val="InitFigRBold"/>
              <w:keepNext/>
              <w:keepLines/>
              <w:spacing w:line="256" w:lineRule="auto"/>
            </w:pPr>
            <w:r>
              <w:rPr>
                <w:rFonts w:cs="Calibri"/>
                <w:bCs/>
                <w:lang w:eastAsia="en-AU"/>
              </w:rPr>
              <w:t>1,686</w:t>
            </w:r>
          </w:p>
        </w:tc>
      </w:tr>
    </w:tbl>
    <w:p w14:paraId="13E8C49B" w14:textId="77777777" w:rsidR="00CF0E2D" w:rsidRDefault="00CF0E2D" w:rsidP="00A60D4B">
      <w:pPr>
        <w:pStyle w:val="Bbodytext"/>
      </w:pPr>
      <w:r>
        <w:rPr>
          <w:szCs w:val="24"/>
        </w:rPr>
        <w:t xml:space="preserve">The Government will </w:t>
      </w:r>
      <w:r>
        <w:rPr>
          <w:rFonts w:cstheme="minorHAnsi"/>
          <w:szCs w:val="24"/>
        </w:rPr>
        <w:t>upgrade the Emergency Services Agency’s critical ICT systems t</w:t>
      </w:r>
      <w:r>
        <w:t>o increase the capacity at the Emergency 000 Communications Centre and the Incident Management Room, including enhancing the functionality of the Computer Aided Dispatch Mobile Data System, radio management consoles and servers.</w:t>
      </w:r>
    </w:p>
    <w:p w14:paraId="63CB34F7" w14:textId="77777777" w:rsidR="00CF0E2D" w:rsidRDefault="00CF0E2D" w:rsidP="00A60D4B">
      <w:pPr>
        <w:pStyle w:val="Bbodytext"/>
        <w:rPr>
          <w:szCs w:val="24"/>
        </w:rPr>
      </w:pPr>
      <w:r>
        <w:rPr>
          <w:szCs w:val="24"/>
        </w:rPr>
        <w:t xml:space="preserve">This initiative contributes to the wellbeing domain of Safety. </w:t>
      </w:r>
    </w:p>
    <w:p w14:paraId="05BBCC96" w14:textId="77777777" w:rsidR="00CF0E2D" w:rsidRPr="008F2183" w:rsidRDefault="00CF0E2D" w:rsidP="00A60D4B"/>
    <w:p w14:paraId="10A45CB4" w14:textId="77777777" w:rsidR="00CF0E2D" w:rsidRDefault="00CF0E2D" w:rsidP="00A60D4B">
      <w:pPr>
        <w:pStyle w:val="Heading4"/>
      </w:pPr>
      <w:r>
        <w:t>Well-prepared emergency services – Vehicle replacement program</w:t>
      </w:r>
      <w:r>
        <w:rPr>
          <w:b w:val="0"/>
          <w:noProof/>
          <w:color w:val="999789"/>
          <w:sz w:val="32"/>
          <w:szCs w:val="24"/>
        </w:rPr>
        <w:drawing>
          <wp:anchor distT="0" distB="0" distL="114300" distR="114300" simplePos="0" relativeHeight="251908096" behindDoc="0" locked="1" layoutInCell="1" allowOverlap="1" wp14:anchorId="58B1B5BB" wp14:editId="3495B18F">
            <wp:simplePos x="0" y="0"/>
            <wp:positionH relativeFrom="margin">
              <wp:posOffset>4733290</wp:posOffset>
            </wp:positionH>
            <wp:positionV relativeFrom="paragraph">
              <wp:posOffset>49530</wp:posOffset>
            </wp:positionV>
            <wp:extent cx="989965" cy="503555"/>
            <wp:effectExtent l="0" t="0" r="635" b="0"/>
            <wp:wrapSquare wrapText="bothSides"/>
            <wp:docPr id="206" name="Picture 206"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5" w:type="dxa"/>
        <w:jc w:val="center"/>
        <w:tblLayout w:type="fixed"/>
        <w:tblLook w:val="04A0" w:firstRow="1" w:lastRow="0" w:firstColumn="1" w:lastColumn="0" w:noHBand="0" w:noVBand="1"/>
      </w:tblPr>
      <w:tblGrid>
        <w:gridCol w:w="3649"/>
        <w:gridCol w:w="1178"/>
        <w:gridCol w:w="1041"/>
        <w:gridCol w:w="1029"/>
        <w:gridCol w:w="1029"/>
        <w:gridCol w:w="1029"/>
      </w:tblGrid>
      <w:tr w:rsidR="00CF0E2D" w14:paraId="4314AAAF" w14:textId="77777777" w:rsidTr="00A60D4B">
        <w:trPr>
          <w:cantSplit/>
          <w:jc w:val="center"/>
        </w:trPr>
        <w:tc>
          <w:tcPr>
            <w:tcW w:w="3649" w:type="dxa"/>
            <w:tcBorders>
              <w:top w:val="single" w:sz="4" w:space="0" w:color="auto"/>
              <w:left w:val="nil"/>
              <w:bottom w:val="single" w:sz="4" w:space="0" w:color="auto"/>
              <w:right w:val="nil"/>
            </w:tcBorders>
            <w:hideMark/>
          </w:tcPr>
          <w:p w14:paraId="0C852070" w14:textId="77777777" w:rsidR="00CF0E2D" w:rsidRDefault="00CF0E2D">
            <w:pPr>
              <w:pStyle w:val="EmptyCell0"/>
              <w:keepNext/>
              <w:keepLines/>
              <w:spacing w:line="256" w:lineRule="auto"/>
            </w:pPr>
            <w:r>
              <w:t>Empty Cell</w:t>
            </w:r>
          </w:p>
        </w:tc>
        <w:tc>
          <w:tcPr>
            <w:tcW w:w="1178" w:type="dxa"/>
            <w:tcBorders>
              <w:top w:val="single" w:sz="4" w:space="0" w:color="auto"/>
              <w:left w:val="nil"/>
              <w:bottom w:val="single" w:sz="4" w:space="0" w:color="auto"/>
              <w:right w:val="nil"/>
            </w:tcBorders>
            <w:hideMark/>
          </w:tcPr>
          <w:p w14:paraId="6A3A2142" w14:textId="77777777" w:rsidR="00CF0E2D" w:rsidRPr="003C441E" w:rsidRDefault="00CF0E2D">
            <w:pPr>
              <w:pStyle w:val="InitFigR"/>
              <w:keepNext/>
              <w:keepLines/>
              <w:spacing w:line="256" w:lineRule="auto"/>
              <w:rPr>
                <w:b/>
                <w:bCs/>
              </w:rPr>
            </w:pPr>
            <w:r w:rsidRPr="003C441E">
              <w:rPr>
                <w:b/>
                <w:bCs/>
              </w:rPr>
              <w:t>2021-22</w:t>
            </w:r>
          </w:p>
          <w:p w14:paraId="531AC022" w14:textId="77777777" w:rsidR="00CF0E2D" w:rsidRPr="003C441E" w:rsidRDefault="00CF0E2D">
            <w:pPr>
              <w:pStyle w:val="InitFigR"/>
              <w:keepNext/>
              <w:keepLines/>
              <w:spacing w:line="256" w:lineRule="auto"/>
              <w:rPr>
                <w:b/>
                <w:bCs/>
              </w:rPr>
            </w:pPr>
            <w:r w:rsidRPr="003C441E">
              <w:rPr>
                <w:b/>
                <w:bCs/>
              </w:rPr>
              <w:t>$’000</w:t>
            </w:r>
          </w:p>
        </w:tc>
        <w:tc>
          <w:tcPr>
            <w:tcW w:w="1041" w:type="dxa"/>
            <w:tcBorders>
              <w:top w:val="single" w:sz="4" w:space="0" w:color="auto"/>
              <w:left w:val="nil"/>
              <w:bottom w:val="single" w:sz="4" w:space="0" w:color="auto"/>
              <w:right w:val="nil"/>
            </w:tcBorders>
            <w:hideMark/>
          </w:tcPr>
          <w:p w14:paraId="4449CC6A" w14:textId="77777777" w:rsidR="00CF0E2D" w:rsidRPr="003C441E" w:rsidRDefault="00CF0E2D">
            <w:pPr>
              <w:pStyle w:val="InitFigR"/>
              <w:keepNext/>
              <w:keepLines/>
              <w:spacing w:line="256" w:lineRule="auto"/>
              <w:rPr>
                <w:b/>
                <w:bCs/>
              </w:rPr>
            </w:pPr>
            <w:r w:rsidRPr="003C441E">
              <w:rPr>
                <w:b/>
                <w:bCs/>
              </w:rPr>
              <w:t>2022-23</w:t>
            </w:r>
          </w:p>
          <w:p w14:paraId="5E33E635" w14:textId="77777777" w:rsidR="00CF0E2D" w:rsidRPr="003C441E" w:rsidRDefault="00CF0E2D">
            <w:pPr>
              <w:pStyle w:val="InitFigR"/>
              <w:keepNext/>
              <w:keepLines/>
              <w:spacing w:line="256" w:lineRule="auto"/>
              <w:rPr>
                <w:b/>
                <w:bCs/>
              </w:rPr>
            </w:pPr>
            <w:r w:rsidRPr="003C441E">
              <w:rPr>
                <w:b/>
                <w:bCs/>
              </w:rPr>
              <w:t>$’000</w:t>
            </w:r>
          </w:p>
        </w:tc>
        <w:tc>
          <w:tcPr>
            <w:tcW w:w="1029" w:type="dxa"/>
            <w:tcBorders>
              <w:top w:val="single" w:sz="4" w:space="0" w:color="auto"/>
              <w:left w:val="nil"/>
              <w:bottom w:val="single" w:sz="4" w:space="0" w:color="auto"/>
              <w:right w:val="nil"/>
            </w:tcBorders>
            <w:hideMark/>
          </w:tcPr>
          <w:p w14:paraId="08136815" w14:textId="77777777" w:rsidR="00CF0E2D" w:rsidRPr="003C441E" w:rsidRDefault="00CF0E2D">
            <w:pPr>
              <w:pStyle w:val="InitFigR"/>
              <w:keepNext/>
              <w:keepLines/>
              <w:spacing w:line="256" w:lineRule="auto"/>
              <w:rPr>
                <w:b/>
                <w:bCs/>
              </w:rPr>
            </w:pPr>
            <w:r w:rsidRPr="003C441E">
              <w:rPr>
                <w:b/>
                <w:bCs/>
              </w:rPr>
              <w:t>2023-24</w:t>
            </w:r>
          </w:p>
          <w:p w14:paraId="6B8CA586" w14:textId="77777777" w:rsidR="00CF0E2D" w:rsidRPr="003C441E" w:rsidRDefault="00CF0E2D">
            <w:pPr>
              <w:pStyle w:val="InitFigR"/>
              <w:keepNext/>
              <w:keepLines/>
              <w:spacing w:line="256" w:lineRule="auto"/>
              <w:rPr>
                <w:b/>
                <w:bCs/>
              </w:rPr>
            </w:pPr>
            <w:r w:rsidRPr="003C441E">
              <w:rPr>
                <w:b/>
                <w:bCs/>
              </w:rPr>
              <w:t>$’000</w:t>
            </w:r>
          </w:p>
        </w:tc>
        <w:tc>
          <w:tcPr>
            <w:tcW w:w="1029" w:type="dxa"/>
            <w:tcBorders>
              <w:top w:val="single" w:sz="4" w:space="0" w:color="auto"/>
              <w:left w:val="nil"/>
              <w:bottom w:val="single" w:sz="4" w:space="0" w:color="auto"/>
              <w:right w:val="nil"/>
            </w:tcBorders>
            <w:hideMark/>
          </w:tcPr>
          <w:p w14:paraId="0DB6F2DB" w14:textId="77777777" w:rsidR="00CF0E2D" w:rsidRPr="003C441E" w:rsidRDefault="00CF0E2D">
            <w:pPr>
              <w:pStyle w:val="InitFigR"/>
              <w:keepNext/>
              <w:keepLines/>
              <w:spacing w:line="256" w:lineRule="auto"/>
              <w:rPr>
                <w:b/>
                <w:bCs/>
              </w:rPr>
            </w:pPr>
            <w:r w:rsidRPr="003C441E">
              <w:rPr>
                <w:b/>
                <w:bCs/>
              </w:rPr>
              <w:t>2024-25</w:t>
            </w:r>
          </w:p>
          <w:p w14:paraId="3E8F61B3" w14:textId="77777777" w:rsidR="00CF0E2D" w:rsidRPr="003C441E" w:rsidRDefault="00CF0E2D">
            <w:pPr>
              <w:pStyle w:val="InitFigR"/>
              <w:keepNext/>
              <w:keepLines/>
              <w:spacing w:line="256" w:lineRule="auto"/>
              <w:rPr>
                <w:b/>
                <w:bCs/>
              </w:rPr>
            </w:pPr>
            <w:r w:rsidRPr="003C441E">
              <w:rPr>
                <w:b/>
                <w:bCs/>
              </w:rPr>
              <w:t>$’000</w:t>
            </w:r>
          </w:p>
        </w:tc>
        <w:tc>
          <w:tcPr>
            <w:tcW w:w="1029" w:type="dxa"/>
            <w:tcBorders>
              <w:top w:val="single" w:sz="4" w:space="0" w:color="auto"/>
              <w:left w:val="nil"/>
              <w:bottom w:val="single" w:sz="4" w:space="0" w:color="auto"/>
              <w:right w:val="nil"/>
            </w:tcBorders>
            <w:hideMark/>
          </w:tcPr>
          <w:p w14:paraId="1DA3D4F7" w14:textId="77777777" w:rsidR="00CF0E2D" w:rsidRDefault="00CF0E2D">
            <w:pPr>
              <w:pStyle w:val="InitFigRBold"/>
              <w:keepNext/>
              <w:keepLines/>
              <w:spacing w:line="256" w:lineRule="auto"/>
            </w:pPr>
            <w:r>
              <w:t>Total</w:t>
            </w:r>
          </w:p>
          <w:p w14:paraId="312DBF67" w14:textId="77777777" w:rsidR="00CF0E2D" w:rsidRDefault="00CF0E2D">
            <w:pPr>
              <w:pStyle w:val="InitFigBR"/>
              <w:keepNext/>
              <w:keepLines/>
              <w:spacing w:line="256" w:lineRule="auto"/>
            </w:pPr>
            <w:r>
              <w:t>$’000</w:t>
            </w:r>
          </w:p>
        </w:tc>
      </w:tr>
      <w:tr w:rsidR="00CF0E2D" w14:paraId="46817D6F" w14:textId="77777777" w:rsidTr="00A60D4B">
        <w:trPr>
          <w:cantSplit/>
          <w:jc w:val="center"/>
        </w:trPr>
        <w:tc>
          <w:tcPr>
            <w:tcW w:w="3649" w:type="dxa"/>
            <w:tcBorders>
              <w:top w:val="single" w:sz="4" w:space="0" w:color="auto"/>
              <w:left w:val="nil"/>
              <w:bottom w:val="nil"/>
              <w:right w:val="nil"/>
            </w:tcBorders>
            <w:hideMark/>
          </w:tcPr>
          <w:p w14:paraId="0AE4D45E" w14:textId="77777777" w:rsidR="00CF0E2D" w:rsidRDefault="00CF0E2D">
            <w:pPr>
              <w:pStyle w:val="InitTextL"/>
              <w:keepNext/>
              <w:keepLines/>
              <w:spacing w:line="256" w:lineRule="auto"/>
              <w:ind w:left="321" w:hanging="321"/>
            </w:pPr>
            <w:r>
              <w:t>Capital</w:t>
            </w:r>
          </w:p>
        </w:tc>
        <w:tc>
          <w:tcPr>
            <w:tcW w:w="1178" w:type="dxa"/>
            <w:tcBorders>
              <w:top w:val="single" w:sz="4" w:space="0" w:color="auto"/>
              <w:left w:val="nil"/>
              <w:bottom w:val="nil"/>
              <w:right w:val="nil"/>
            </w:tcBorders>
            <w:hideMark/>
          </w:tcPr>
          <w:p w14:paraId="07B3D6FE" w14:textId="77777777" w:rsidR="00CF0E2D" w:rsidRDefault="00CF0E2D">
            <w:pPr>
              <w:pStyle w:val="InitFigR"/>
              <w:keepNext/>
              <w:keepLines/>
              <w:spacing w:line="256" w:lineRule="auto"/>
            </w:pPr>
            <w:r>
              <w:t>152</w:t>
            </w:r>
          </w:p>
        </w:tc>
        <w:tc>
          <w:tcPr>
            <w:tcW w:w="1041" w:type="dxa"/>
            <w:tcBorders>
              <w:top w:val="single" w:sz="4" w:space="0" w:color="auto"/>
              <w:left w:val="nil"/>
              <w:bottom w:val="nil"/>
              <w:right w:val="nil"/>
            </w:tcBorders>
            <w:hideMark/>
          </w:tcPr>
          <w:p w14:paraId="194B94A2" w14:textId="77777777" w:rsidR="00CF0E2D" w:rsidRDefault="00CF0E2D">
            <w:pPr>
              <w:pStyle w:val="InitFigR"/>
              <w:keepNext/>
              <w:keepLines/>
              <w:spacing w:line="256" w:lineRule="auto"/>
            </w:pPr>
            <w:r>
              <w:t>5,222</w:t>
            </w:r>
          </w:p>
        </w:tc>
        <w:tc>
          <w:tcPr>
            <w:tcW w:w="1029" w:type="dxa"/>
            <w:tcBorders>
              <w:top w:val="single" w:sz="4" w:space="0" w:color="auto"/>
              <w:left w:val="nil"/>
              <w:bottom w:val="nil"/>
              <w:right w:val="nil"/>
            </w:tcBorders>
            <w:hideMark/>
          </w:tcPr>
          <w:p w14:paraId="0391D3D6" w14:textId="77777777" w:rsidR="00CF0E2D" w:rsidRDefault="00CF0E2D">
            <w:pPr>
              <w:pStyle w:val="InitFigR"/>
              <w:keepNext/>
              <w:keepLines/>
              <w:spacing w:line="256" w:lineRule="auto"/>
            </w:pPr>
            <w:r>
              <w:t>4,377</w:t>
            </w:r>
          </w:p>
        </w:tc>
        <w:tc>
          <w:tcPr>
            <w:tcW w:w="1029" w:type="dxa"/>
            <w:tcBorders>
              <w:top w:val="single" w:sz="4" w:space="0" w:color="auto"/>
              <w:left w:val="nil"/>
              <w:bottom w:val="nil"/>
              <w:right w:val="nil"/>
            </w:tcBorders>
            <w:hideMark/>
          </w:tcPr>
          <w:p w14:paraId="0C786913" w14:textId="77777777" w:rsidR="00CF0E2D" w:rsidRDefault="00CF0E2D">
            <w:pPr>
              <w:pStyle w:val="InitFigR"/>
              <w:keepNext/>
              <w:keepLines/>
              <w:spacing w:line="256" w:lineRule="auto"/>
            </w:pPr>
            <w:r>
              <w:t>3,029</w:t>
            </w:r>
          </w:p>
        </w:tc>
        <w:tc>
          <w:tcPr>
            <w:tcW w:w="1029" w:type="dxa"/>
            <w:tcBorders>
              <w:top w:val="single" w:sz="4" w:space="0" w:color="auto"/>
              <w:left w:val="nil"/>
              <w:bottom w:val="nil"/>
              <w:right w:val="nil"/>
            </w:tcBorders>
            <w:hideMark/>
          </w:tcPr>
          <w:p w14:paraId="0263B774" w14:textId="77777777" w:rsidR="00CF0E2D" w:rsidRDefault="00CF0E2D">
            <w:pPr>
              <w:pStyle w:val="InitFigRBold"/>
              <w:keepNext/>
              <w:keepLines/>
              <w:spacing w:line="256" w:lineRule="auto"/>
              <w:rPr>
                <w:bCs/>
              </w:rPr>
            </w:pPr>
            <w:r>
              <w:rPr>
                <w:bCs/>
              </w:rPr>
              <w:t>12,780</w:t>
            </w:r>
          </w:p>
        </w:tc>
      </w:tr>
      <w:tr w:rsidR="00CF0E2D" w14:paraId="7E271C53" w14:textId="77777777" w:rsidTr="00A60D4B">
        <w:trPr>
          <w:cantSplit/>
          <w:jc w:val="center"/>
        </w:trPr>
        <w:tc>
          <w:tcPr>
            <w:tcW w:w="3649" w:type="dxa"/>
            <w:tcBorders>
              <w:left w:val="nil"/>
              <w:bottom w:val="single" w:sz="4" w:space="0" w:color="auto"/>
              <w:right w:val="nil"/>
            </w:tcBorders>
            <w:hideMark/>
          </w:tcPr>
          <w:p w14:paraId="70B5F02D" w14:textId="77777777" w:rsidR="00CF0E2D" w:rsidRDefault="00CF0E2D">
            <w:pPr>
              <w:pStyle w:val="InitTextL"/>
              <w:keepNext/>
              <w:keepLines/>
              <w:spacing w:line="256" w:lineRule="auto"/>
              <w:ind w:left="321" w:hanging="321"/>
            </w:pPr>
            <w:r>
              <w:t>Capital – Provision</w:t>
            </w:r>
          </w:p>
        </w:tc>
        <w:tc>
          <w:tcPr>
            <w:tcW w:w="1178" w:type="dxa"/>
            <w:tcBorders>
              <w:left w:val="nil"/>
              <w:bottom w:val="single" w:sz="4" w:space="0" w:color="auto"/>
              <w:right w:val="nil"/>
            </w:tcBorders>
          </w:tcPr>
          <w:p w14:paraId="0ECBF1ED" w14:textId="77777777" w:rsidR="00CF0E2D" w:rsidRDefault="00CF0E2D">
            <w:pPr>
              <w:pStyle w:val="InitFigR"/>
              <w:keepNext/>
              <w:keepLines/>
              <w:spacing w:line="256" w:lineRule="auto"/>
            </w:pPr>
          </w:p>
        </w:tc>
        <w:tc>
          <w:tcPr>
            <w:tcW w:w="1041" w:type="dxa"/>
            <w:tcBorders>
              <w:left w:val="nil"/>
              <w:bottom w:val="single" w:sz="4" w:space="0" w:color="auto"/>
              <w:right w:val="nil"/>
            </w:tcBorders>
            <w:hideMark/>
          </w:tcPr>
          <w:p w14:paraId="410CC313" w14:textId="77777777" w:rsidR="00CF0E2D" w:rsidRDefault="00CF0E2D">
            <w:pPr>
              <w:pStyle w:val="InitFigR"/>
              <w:keepNext/>
              <w:keepLines/>
              <w:spacing w:line="256" w:lineRule="auto"/>
            </w:pPr>
            <w:r>
              <w:t>110</w:t>
            </w:r>
          </w:p>
        </w:tc>
        <w:tc>
          <w:tcPr>
            <w:tcW w:w="1029" w:type="dxa"/>
            <w:tcBorders>
              <w:left w:val="nil"/>
              <w:bottom w:val="single" w:sz="4" w:space="0" w:color="auto"/>
              <w:right w:val="nil"/>
            </w:tcBorders>
            <w:hideMark/>
          </w:tcPr>
          <w:p w14:paraId="21A48FAA" w14:textId="77777777" w:rsidR="00CF0E2D" w:rsidRDefault="00CF0E2D">
            <w:pPr>
              <w:pStyle w:val="InitFigR"/>
              <w:keepNext/>
              <w:keepLines/>
              <w:spacing w:line="256" w:lineRule="auto"/>
            </w:pPr>
            <w:r>
              <w:t>390</w:t>
            </w:r>
          </w:p>
        </w:tc>
        <w:tc>
          <w:tcPr>
            <w:tcW w:w="1029" w:type="dxa"/>
            <w:tcBorders>
              <w:left w:val="nil"/>
              <w:bottom w:val="single" w:sz="4" w:space="0" w:color="auto"/>
              <w:right w:val="nil"/>
            </w:tcBorders>
            <w:hideMark/>
          </w:tcPr>
          <w:p w14:paraId="4128257B" w14:textId="77777777" w:rsidR="00CF0E2D" w:rsidRDefault="00CF0E2D">
            <w:pPr>
              <w:pStyle w:val="InitFigR"/>
              <w:keepNext/>
              <w:keepLines/>
              <w:spacing w:line="256" w:lineRule="auto"/>
            </w:pPr>
            <w:r>
              <w:t>175</w:t>
            </w:r>
          </w:p>
        </w:tc>
        <w:tc>
          <w:tcPr>
            <w:tcW w:w="1029" w:type="dxa"/>
            <w:tcBorders>
              <w:left w:val="nil"/>
              <w:bottom w:val="single" w:sz="4" w:space="0" w:color="auto"/>
              <w:right w:val="nil"/>
            </w:tcBorders>
            <w:hideMark/>
          </w:tcPr>
          <w:p w14:paraId="3C32A66B" w14:textId="77777777" w:rsidR="00CF0E2D" w:rsidRDefault="00CF0E2D">
            <w:pPr>
              <w:pStyle w:val="InitFigRBold"/>
              <w:keepNext/>
              <w:keepLines/>
              <w:spacing w:line="256" w:lineRule="auto"/>
              <w:rPr>
                <w:bCs/>
              </w:rPr>
            </w:pPr>
            <w:r>
              <w:t>675</w:t>
            </w:r>
          </w:p>
        </w:tc>
      </w:tr>
      <w:tr w:rsidR="00CF0E2D" w14:paraId="1C542111" w14:textId="77777777" w:rsidTr="00A60D4B">
        <w:trPr>
          <w:cantSplit/>
          <w:jc w:val="center"/>
        </w:trPr>
        <w:tc>
          <w:tcPr>
            <w:tcW w:w="3649" w:type="dxa"/>
            <w:tcBorders>
              <w:top w:val="single" w:sz="4" w:space="0" w:color="auto"/>
              <w:left w:val="nil"/>
              <w:bottom w:val="single" w:sz="4" w:space="0" w:color="auto"/>
              <w:right w:val="nil"/>
            </w:tcBorders>
            <w:hideMark/>
          </w:tcPr>
          <w:p w14:paraId="3D76AAF7" w14:textId="16B6ABE4" w:rsidR="00CF0E2D" w:rsidRDefault="00B86042">
            <w:pPr>
              <w:pStyle w:val="InitTextL"/>
              <w:keepNext/>
              <w:keepLines/>
              <w:spacing w:line="256" w:lineRule="auto"/>
              <w:ind w:left="321" w:hanging="321"/>
              <w:rPr>
                <w:b/>
                <w:bCs/>
              </w:rPr>
            </w:pPr>
            <w:r>
              <w:rPr>
                <w:b/>
                <w:bCs/>
              </w:rPr>
              <w:t>Total capital</w:t>
            </w:r>
          </w:p>
        </w:tc>
        <w:tc>
          <w:tcPr>
            <w:tcW w:w="1178" w:type="dxa"/>
            <w:tcBorders>
              <w:top w:val="single" w:sz="4" w:space="0" w:color="auto"/>
              <w:left w:val="nil"/>
              <w:bottom w:val="single" w:sz="4" w:space="0" w:color="auto"/>
              <w:right w:val="nil"/>
            </w:tcBorders>
            <w:hideMark/>
          </w:tcPr>
          <w:p w14:paraId="0C89A7AA" w14:textId="77777777" w:rsidR="00CF0E2D" w:rsidRDefault="00CF0E2D">
            <w:pPr>
              <w:pStyle w:val="InitFigR"/>
              <w:keepNext/>
              <w:keepLines/>
              <w:spacing w:line="256" w:lineRule="auto"/>
              <w:rPr>
                <w:b/>
                <w:bCs/>
              </w:rPr>
            </w:pPr>
            <w:r>
              <w:rPr>
                <w:b/>
                <w:bCs/>
              </w:rPr>
              <w:t>152</w:t>
            </w:r>
          </w:p>
        </w:tc>
        <w:tc>
          <w:tcPr>
            <w:tcW w:w="1041" w:type="dxa"/>
            <w:tcBorders>
              <w:top w:val="single" w:sz="4" w:space="0" w:color="auto"/>
              <w:left w:val="nil"/>
              <w:bottom w:val="single" w:sz="4" w:space="0" w:color="auto"/>
              <w:right w:val="nil"/>
            </w:tcBorders>
            <w:hideMark/>
          </w:tcPr>
          <w:p w14:paraId="17F1E7BF" w14:textId="77777777" w:rsidR="00CF0E2D" w:rsidRDefault="00CF0E2D">
            <w:pPr>
              <w:pStyle w:val="InitFigR"/>
              <w:keepNext/>
              <w:keepLines/>
              <w:spacing w:line="256" w:lineRule="auto"/>
              <w:rPr>
                <w:b/>
                <w:bCs/>
              </w:rPr>
            </w:pPr>
            <w:r>
              <w:rPr>
                <w:b/>
                <w:bCs/>
              </w:rPr>
              <w:t>5,332</w:t>
            </w:r>
          </w:p>
        </w:tc>
        <w:tc>
          <w:tcPr>
            <w:tcW w:w="1029" w:type="dxa"/>
            <w:tcBorders>
              <w:top w:val="single" w:sz="4" w:space="0" w:color="auto"/>
              <w:left w:val="nil"/>
              <w:bottom w:val="single" w:sz="4" w:space="0" w:color="auto"/>
              <w:right w:val="nil"/>
            </w:tcBorders>
            <w:hideMark/>
          </w:tcPr>
          <w:p w14:paraId="36544CB3" w14:textId="77777777" w:rsidR="00CF0E2D" w:rsidRDefault="00CF0E2D">
            <w:pPr>
              <w:pStyle w:val="InitFigR"/>
              <w:keepNext/>
              <w:keepLines/>
              <w:spacing w:line="256" w:lineRule="auto"/>
              <w:rPr>
                <w:b/>
                <w:bCs/>
              </w:rPr>
            </w:pPr>
            <w:r>
              <w:rPr>
                <w:b/>
                <w:bCs/>
              </w:rPr>
              <w:t>4,767</w:t>
            </w:r>
          </w:p>
        </w:tc>
        <w:tc>
          <w:tcPr>
            <w:tcW w:w="1029" w:type="dxa"/>
            <w:tcBorders>
              <w:top w:val="single" w:sz="4" w:space="0" w:color="auto"/>
              <w:left w:val="nil"/>
              <w:bottom w:val="single" w:sz="4" w:space="0" w:color="auto"/>
              <w:right w:val="nil"/>
            </w:tcBorders>
            <w:hideMark/>
          </w:tcPr>
          <w:p w14:paraId="5B0F3F59" w14:textId="77777777" w:rsidR="00CF0E2D" w:rsidRDefault="00CF0E2D">
            <w:pPr>
              <w:pStyle w:val="InitFigR"/>
              <w:keepNext/>
              <w:keepLines/>
              <w:spacing w:line="256" w:lineRule="auto"/>
              <w:rPr>
                <w:b/>
                <w:bCs/>
              </w:rPr>
            </w:pPr>
            <w:r>
              <w:rPr>
                <w:b/>
                <w:bCs/>
              </w:rPr>
              <w:t>3,204</w:t>
            </w:r>
          </w:p>
        </w:tc>
        <w:tc>
          <w:tcPr>
            <w:tcW w:w="1029" w:type="dxa"/>
            <w:tcBorders>
              <w:top w:val="single" w:sz="4" w:space="0" w:color="auto"/>
              <w:left w:val="nil"/>
              <w:bottom w:val="single" w:sz="4" w:space="0" w:color="auto"/>
              <w:right w:val="nil"/>
            </w:tcBorders>
            <w:hideMark/>
          </w:tcPr>
          <w:p w14:paraId="72FE2EBE" w14:textId="77777777" w:rsidR="00CF0E2D" w:rsidRDefault="00CF0E2D">
            <w:pPr>
              <w:pStyle w:val="InitFigRBold"/>
              <w:keepNext/>
              <w:keepLines/>
              <w:spacing w:line="256" w:lineRule="auto"/>
              <w:rPr>
                <w:bCs/>
              </w:rPr>
            </w:pPr>
            <w:r>
              <w:rPr>
                <w:bCs/>
              </w:rPr>
              <w:t>13,455</w:t>
            </w:r>
          </w:p>
        </w:tc>
      </w:tr>
      <w:tr w:rsidR="00CF0E2D" w14:paraId="1A01C902" w14:textId="77777777" w:rsidTr="00A60D4B">
        <w:trPr>
          <w:cantSplit/>
          <w:jc w:val="center"/>
        </w:trPr>
        <w:tc>
          <w:tcPr>
            <w:tcW w:w="3649" w:type="dxa"/>
            <w:tcBorders>
              <w:top w:val="single" w:sz="4" w:space="0" w:color="auto"/>
              <w:left w:val="nil"/>
              <w:bottom w:val="single" w:sz="4" w:space="0" w:color="auto"/>
              <w:right w:val="nil"/>
            </w:tcBorders>
            <w:hideMark/>
          </w:tcPr>
          <w:p w14:paraId="62854E55" w14:textId="77777777" w:rsidR="00CF0E2D" w:rsidRPr="003C441E" w:rsidRDefault="00CF0E2D">
            <w:pPr>
              <w:pStyle w:val="InitTextL"/>
              <w:keepNext/>
              <w:keepLines/>
              <w:spacing w:line="256" w:lineRule="auto"/>
              <w:ind w:left="321" w:hanging="321"/>
            </w:pPr>
            <w:r w:rsidRPr="003C441E">
              <w:t>Depreciation</w:t>
            </w:r>
          </w:p>
        </w:tc>
        <w:tc>
          <w:tcPr>
            <w:tcW w:w="1178" w:type="dxa"/>
            <w:tcBorders>
              <w:top w:val="single" w:sz="4" w:space="0" w:color="auto"/>
              <w:left w:val="nil"/>
              <w:bottom w:val="single" w:sz="4" w:space="0" w:color="auto"/>
              <w:right w:val="nil"/>
            </w:tcBorders>
            <w:hideMark/>
          </w:tcPr>
          <w:p w14:paraId="2F1B05D2" w14:textId="77777777" w:rsidR="00CF0E2D" w:rsidRPr="003C441E" w:rsidRDefault="00CF0E2D">
            <w:pPr>
              <w:pStyle w:val="InitFigR"/>
              <w:keepNext/>
              <w:keepLines/>
              <w:spacing w:line="256" w:lineRule="auto"/>
            </w:pPr>
            <w:r w:rsidRPr="003C441E">
              <w:t>0</w:t>
            </w:r>
          </w:p>
        </w:tc>
        <w:tc>
          <w:tcPr>
            <w:tcW w:w="1041" w:type="dxa"/>
            <w:tcBorders>
              <w:top w:val="single" w:sz="4" w:space="0" w:color="auto"/>
              <w:left w:val="nil"/>
              <w:bottom w:val="single" w:sz="4" w:space="0" w:color="auto"/>
              <w:right w:val="nil"/>
            </w:tcBorders>
            <w:hideMark/>
          </w:tcPr>
          <w:p w14:paraId="3ABB1531" w14:textId="77777777" w:rsidR="00CF0E2D" w:rsidRPr="003C441E" w:rsidRDefault="00CF0E2D">
            <w:pPr>
              <w:pStyle w:val="InitFigR"/>
              <w:keepNext/>
              <w:keepLines/>
              <w:spacing w:line="256" w:lineRule="auto"/>
            </w:pPr>
            <w:r w:rsidRPr="003C441E">
              <w:t>86</w:t>
            </w:r>
          </w:p>
        </w:tc>
        <w:tc>
          <w:tcPr>
            <w:tcW w:w="1029" w:type="dxa"/>
            <w:tcBorders>
              <w:top w:val="single" w:sz="4" w:space="0" w:color="auto"/>
              <w:left w:val="nil"/>
              <w:bottom w:val="single" w:sz="4" w:space="0" w:color="auto"/>
              <w:right w:val="nil"/>
            </w:tcBorders>
            <w:hideMark/>
          </w:tcPr>
          <w:p w14:paraId="3628D2B7" w14:textId="77777777" w:rsidR="00CF0E2D" w:rsidRPr="003C441E" w:rsidRDefault="00CF0E2D">
            <w:pPr>
              <w:pStyle w:val="InitFigR"/>
              <w:keepNext/>
              <w:keepLines/>
              <w:spacing w:line="256" w:lineRule="auto"/>
            </w:pPr>
            <w:r w:rsidRPr="003C441E">
              <w:t>411</w:t>
            </w:r>
          </w:p>
        </w:tc>
        <w:tc>
          <w:tcPr>
            <w:tcW w:w="1029" w:type="dxa"/>
            <w:tcBorders>
              <w:top w:val="single" w:sz="4" w:space="0" w:color="auto"/>
              <w:left w:val="nil"/>
              <w:bottom w:val="single" w:sz="4" w:space="0" w:color="auto"/>
              <w:right w:val="nil"/>
            </w:tcBorders>
            <w:hideMark/>
          </w:tcPr>
          <w:p w14:paraId="57288F1F" w14:textId="77777777" w:rsidR="00CF0E2D" w:rsidRPr="003C441E" w:rsidRDefault="00CF0E2D">
            <w:pPr>
              <w:pStyle w:val="InitFigR"/>
              <w:keepNext/>
              <w:keepLines/>
              <w:spacing w:line="256" w:lineRule="auto"/>
            </w:pPr>
            <w:r w:rsidRPr="003C441E">
              <w:t>679</w:t>
            </w:r>
          </w:p>
        </w:tc>
        <w:tc>
          <w:tcPr>
            <w:tcW w:w="1029" w:type="dxa"/>
            <w:tcBorders>
              <w:top w:val="single" w:sz="4" w:space="0" w:color="auto"/>
              <w:left w:val="nil"/>
              <w:bottom w:val="single" w:sz="4" w:space="0" w:color="auto"/>
              <w:right w:val="nil"/>
            </w:tcBorders>
            <w:hideMark/>
          </w:tcPr>
          <w:p w14:paraId="4A076D88" w14:textId="77777777" w:rsidR="00CF0E2D" w:rsidRDefault="00CF0E2D">
            <w:pPr>
              <w:pStyle w:val="InitFigRBold"/>
              <w:keepNext/>
              <w:keepLines/>
              <w:spacing w:line="256" w:lineRule="auto"/>
              <w:rPr>
                <w:bCs/>
              </w:rPr>
            </w:pPr>
            <w:r>
              <w:rPr>
                <w:bCs/>
              </w:rPr>
              <w:t>1,176</w:t>
            </w:r>
          </w:p>
        </w:tc>
      </w:tr>
    </w:tbl>
    <w:p w14:paraId="518919F5" w14:textId="77777777" w:rsidR="00CF0E2D" w:rsidRDefault="00CF0E2D" w:rsidP="00A60D4B">
      <w:pPr>
        <w:pStyle w:val="Bbodytext"/>
        <w:rPr>
          <w:lang w:eastAsia="en-AU"/>
        </w:rPr>
      </w:pPr>
      <w:r>
        <w:t xml:space="preserve">The Government will continue to support the </w:t>
      </w:r>
      <w:r>
        <w:rPr>
          <w:lang w:eastAsia="en-AU"/>
        </w:rPr>
        <w:t>Emergency Services Agency’s Vehicle Replacement Program through the purchase of standard and low-emissions vehicles and associated infrastructure to enable the transition to a sustainable program</w:t>
      </w:r>
      <w:r>
        <w:t xml:space="preserve">. </w:t>
      </w:r>
    </w:p>
    <w:p w14:paraId="13B5A9BE" w14:textId="77777777" w:rsidR="00CF0E2D" w:rsidRDefault="00CF0E2D" w:rsidP="00A60D4B">
      <w:pPr>
        <w:pStyle w:val="Bbodytext"/>
      </w:pPr>
      <w:r>
        <w:t xml:space="preserve">With this initiative, the Government is supplementing its support to the vehicle replacement program to commence the transition to low carbon-emitting vehicles to address sustainability targets under the </w:t>
      </w:r>
      <w:r w:rsidRPr="002664A4">
        <w:rPr>
          <w:i/>
          <w:iCs/>
        </w:rPr>
        <w:t>ACT Climate Strategy 2019-2025</w:t>
      </w:r>
      <w:r>
        <w:t xml:space="preserve">. </w:t>
      </w:r>
    </w:p>
    <w:p w14:paraId="3B3D9A6B" w14:textId="77777777" w:rsidR="00CF0E2D" w:rsidRDefault="00CF0E2D" w:rsidP="00A60D4B">
      <w:pPr>
        <w:pStyle w:val="Bbodytext"/>
      </w:pPr>
      <w:r>
        <w:t xml:space="preserve">This initiative contributes to the wellbeing domains of Safety and Environment and climate.    </w:t>
      </w:r>
    </w:p>
    <w:p w14:paraId="4559BDC8" w14:textId="77777777" w:rsidR="00CF0E2D" w:rsidRDefault="00CF0E2D">
      <w:r>
        <w:br w:type="page"/>
      </w:r>
    </w:p>
    <w:p w14:paraId="1ED2835D" w14:textId="77777777" w:rsidR="00CF0E2D" w:rsidRDefault="00CF0E2D" w:rsidP="00A60D4B">
      <w:pPr>
        <w:pStyle w:val="Heading3"/>
      </w:pPr>
      <w:r w:rsidRPr="008D7AA2">
        <w:lastRenderedPageBreak/>
        <w:t>MAJOR PROJECTS CANBERRA</w:t>
      </w:r>
    </w:p>
    <w:p w14:paraId="0D065B3C" w14:textId="77777777" w:rsidR="00CF0E2D" w:rsidRPr="00CF3CC0" w:rsidRDefault="00CF0E2D" w:rsidP="00A60D4B"/>
    <w:p w14:paraId="47E6B51C" w14:textId="77777777" w:rsidR="00CF0E2D" w:rsidRPr="00DA0A70" w:rsidRDefault="00CF0E2D" w:rsidP="00A60D4B">
      <w:pPr>
        <w:pStyle w:val="Heading4"/>
        <w:rPr>
          <w:b w:val="0"/>
          <w:szCs w:val="26"/>
        </w:rPr>
      </w:pPr>
      <w:r w:rsidRPr="00DA0A70">
        <w:t xml:space="preserve">Streamlining </w:t>
      </w:r>
      <w:r w:rsidRPr="002F14E2">
        <w:t xml:space="preserve">the </w:t>
      </w:r>
      <w:r w:rsidRPr="002F14E2">
        <w:rPr>
          <w:szCs w:val="26"/>
        </w:rPr>
        <w:t xml:space="preserve">funding of </w:t>
      </w:r>
      <w:r w:rsidRPr="002F14E2">
        <w:rPr>
          <w:szCs w:val="26"/>
          <w:lang w:val="x-none"/>
        </w:rPr>
        <w:t>Major Projects Canberra</w:t>
      </w:r>
      <w:r w:rsidRPr="00DA0A70">
        <w:rPr>
          <w:b w:val="0"/>
          <w:szCs w:val="26"/>
          <w:lang w:val="x-none"/>
        </w:rPr>
        <w:t xml:space="preserve"> </w:t>
      </w:r>
      <w:r>
        <w:rPr>
          <w:rFonts w:eastAsia="Times New Roman"/>
          <w:noProof/>
        </w:rPr>
        <w:drawing>
          <wp:anchor distT="0" distB="0" distL="114300" distR="114300" simplePos="0" relativeHeight="251835392" behindDoc="0" locked="1" layoutInCell="1" allowOverlap="1" wp14:anchorId="6DC980A1" wp14:editId="66589DD7">
            <wp:simplePos x="0" y="0"/>
            <wp:positionH relativeFrom="margin">
              <wp:align>right</wp:align>
            </wp:positionH>
            <wp:positionV relativeFrom="paragraph">
              <wp:posOffset>-161290</wp:posOffset>
            </wp:positionV>
            <wp:extent cx="1148080" cy="503555"/>
            <wp:effectExtent l="0" t="0" r="0" b="0"/>
            <wp:wrapSquare wrapText="bothSides"/>
            <wp:docPr id="207" name="Picture 207" descr="Icon representing the wellbeing domain of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Economy"/>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14808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DA0A70" w14:paraId="442DC480" w14:textId="77777777" w:rsidTr="00A60D4B">
        <w:trPr>
          <w:cantSplit/>
          <w:jc w:val="center"/>
        </w:trPr>
        <w:tc>
          <w:tcPr>
            <w:tcW w:w="3652" w:type="dxa"/>
            <w:tcBorders>
              <w:top w:val="single" w:sz="4" w:space="0" w:color="auto"/>
              <w:bottom w:val="single" w:sz="4" w:space="0" w:color="auto"/>
            </w:tcBorders>
          </w:tcPr>
          <w:p w14:paraId="78BEC25E" w14:textId="77777777" w:rsidR="00CF0E2D" w:rsidRDefault="00CF0E2D" w:rsidP="00A60D4B">
            <w:pPr>
              <w:spacing w:after="0"/>
              <w:jc w:val="right"/>
              <w:rPr>
                <w:rFonts w:ascii="Calibri" w:hAnsi="Calibri" w:cs="Calibri"/>
                <w:color w:val="FFFFFF"/>
                <w:sz w:val="24"/>
                <w:szCs w:val="24"/>
              </w:rPr>
            </w:pPr>
            <w:r w:rsidRPr="00076442">
              <w:rPr>
                <w:rFonts w:ascii="Calibri" w:hAnsi="Calibri" w:cs="Calibri"/>
                <w:color w:val="FFFFFF"/>
                <w:sz w:val="24"/>
                <w:szCs w:val="24"/>
              </w:rPr>
              <w:t>Empty Cell</w:t>
            </w:r>
          </w:p>
          <w:p w14:paraId="49339020" w14:textId="77777777" w:rsidR="00CF0E2D" w:rsidRPr="00076442" w:rsidRDefault="00CF0E2D" w:rsidP="00A60D4B">
            <w:pPr>
              <w:spacing w:after="0"/>
              <w:jc w:val="right"/>
              <w:rPr>
                <w:rFonts w:ascii="Calibri" w:hAnsi="Calibri" w:cs="Calibri"/>
                <w:color w:val="FFFFFF"/>
                <w:sz w:val="24"/>
                <w:szCs w:val="24"/>
              </w:rPr>
            </w:pPr>
          </w:p>
        </w:tc>
        <w:tc>
          <w:tcPr>
            <w:tcW w:w="1179" w:type="dxa"/>
            <w:tcBorders>
              <w:top w:val="single" w:sz="4" w:space="0" w:color="auto"/>
              <w:bottom w:val="single" w:sz="4" w:space="0" w:color="auto"/>
            </w:tcBorders>
          </w:tcPr>
          <w:p w14:paraId="5A2CFEC1" w14:textId="77777777" w:rsidR="00CF0E2D" w:rsidRPr="00076442" w:rsidRDefault="00CF0E2D" w:rsidP="00A60D4B">
            <w:pPr>
              <w:spacing w:after="0"/>
              <w:jc w:val="right"/>
              <w:rPr>
                <w:rFonts w:ascii="Calibri" w:hAnsi="Calibri" w:cs="Calibri"/>
                <w:b/>
                <w:sz w:val="24"/>
                <w:szCs w:val="24"/>
              </w:rPr>
            </w:pPr>
            <w:r w:rsidRPr="00076442">
              <w:rPr>
                <w:rFonts w:ascii="Calibri" w:hAnsi="Calibri" w:cs="Calibri"/>
                <w:b/>
                <w:sz w:val="24"/>
                <w:szCs w:val="24"/>
              </w:rPr>
              <w:t>2021-22</w:t>
            </w:r>
          </w:p>
          <w:p w14:paraId="0B3617DF" w14:textId="77777777" w:rsidR="00CF0E2D" w:rsidRPr="00076442" w:rsidRDefault="00CF0E2D" w:rsidP="00A60D4B">
            <w:pPr>
              <w:spacing w:after="0"/>
              <w:jc w:val="right"/>
              <w:rPr>
                <w:rFonts w:ascii="Calibri" w:hAnsi="Calibri" w:cs="Calibri"/>
                <w:b/>
                <w:sz w:val="24"/>
                <w:szCs w:val="24"/>
              </w:rPr>
            </w:pPr>
            <w:r w:rsidRPr="00076442">
              <w:rPr>
                <w:rFonts w:ascii="Calibri" w:hAnsi="Calibri" w:cs="Calibri"/>
                <w:b/>
                <w:sz w:val="24"/>
                <w:szCs w:val="24"/>
              </w:rPr>
              <w:t>$’000</w:t>
            </w:r>
          </w:p>
        </w:tc>
        <w:tc>
          <w:tcPr>
            <w:tcW w:w="1041" w:type="dxa"/>
            <w:tcBorders>
              <w:top w:val="single" w:sz="4" w:space="0" w:color="auto"/>
              <w:bottom w:val="single" w:sz="4" w:space="0" w:color="auto"/>
            </w:tcBorders>
          </w:tcPr>
          <w:p w14:paraId="353E6CC0" w14:textId="77777777" w:rsidR="00CF0E2D" w:rsidRPr="00076442" w:rsidRDefault="00CF0E2D" w:rsidP="00A60D4B">
            <w:pPr>
              <w:spacing w:after="0"/>
              <w:jc w:val="right"/>
              <w:rPr>
                <w:rFonts w:ascii="Calibri" w:hAnsi="Calibri" w:cs="Calibri"/>
                <w:b/>
                <w:sz w:val="24"/>
                <w:szCs w:val="24"/>
              </w:rPr>
            </w:pPr>
            <w:r w:rsidRPr="00076442">
              <w:rPr>
                <w:rFonts w:ascii="Calibri" w:hAnsi="Calibri" w:cs="Calibri"/>
                <w:b/>
                <w:sz w:val="24"/>
                <w:szCs w:val="24"/>
              </w:rPr>
              <w:t>2022-23</w:t>
            </w:r>
          </w:p>
          <w:p w14:paraId="36DED811" w14:textId="77777777" w:rsidR="00CF0E2D" w:rsidRPr="00076442" w:rsidRDefault="00CF0E2D" w:rsidP="00A60D4B">
            <w:pPr>
              <w:spacing w:after="0"/>
              <w:jc w:val="right"/>
              <w:rPr>
                <w:rFonts w:ascii="Calibri" w:hAnsi="Calibri" w:cs="Calibri"/>
                <w:b/>
                <w:sz w:val="24"/>
                <w:szCs w:val="24"/>
              </w:rPr>
            </w:pPr>
            <w:r w:rsidRPr="00076442">
              <w:rPr>
                <w:rFonts w:ascii="Calibri" w:hAnsi="Calibri" w:cs="Calibri"/>
                <w:b/>
                <w:sz w:val="24"/>
                <w:szCs w:val="24"/>
              </w:rPr>
              <w:t>$’000</w:t>
            </w:r>
          </w:p>
        </w:tc>
        <w:tc>
          <w:tcPr>
            <w:tcW w:w="1029" w:type="dxa"/>
            <w:tcBorders>
              <w:top w:val="single" w:sz="4" w:space="0" w:color="auto"/>
              <w:bottom w:val="single" w:sz="4" w:space="0" w:color="auto"/>
            </w:tcBorders>
          </w:tcPr>
          <w:p w14:paraId="1E13E79C" w14:textId="77777777" w:rsidR="00CF0E2D" w:rsidRPr="00076442" w:rsidRDefault="00CF0E2D" w:rsidP="00A60D4B">
            <w:pPr>
              <w:spacing w:after="0"/>
              <w:jc w:val="right"/>
              <w:rPr>
                <w:rFonts w:ascii="Calibri" w:hAnsi="Calibri" w:cs="Calibri"/>
                <w:b/>
                <w:sz w:val="24"/>
                <w:szCs w:val="24"/>
              </w:rPr>
            </w:pPr>
            <w:r w:rsidRPr="00076442">
              <w:rPr>
                <w:rFonts w:ascii="Calibri" w:hAnsi="Calibri" w:cs="Calibri"/>
                <w:b/>
                <w:sz w:val="24"/>
                <w:szCs w:val="24"/>
              </w:rPr>
              <w:t>2023-24</w:t>
            </w:r>
          </w:p>
          <w:p w14:paraId="7CA90091" w14:textId="77777777" w:rsidR="00CF0E2D" w:rsidRPr="00076442" w:rsidRDefault="00CF0E2D" w:rsidP="00A60D4B">
            <w:pPr>
              <w:spacing w:after="0"/>
              <w:jc w:val="right"/>
              <w:rPr>
                <w:rFonts w:ascii="Calibri" w:hAnsi="Calibri" w:cs="Calibri"/>
                <w:b/>
                <w:sz w:val="24"/>
                <w:szCs w:val="24"/>
              </w:rPr>
            </w:pPr>
            <w:r w:rsidRPr="00076442">
              <w:rPr>
                <w:rFonts w:ascii="Calibri" w:hAnsi="Calibri" w:cs="Calibri"/>
                <w:b/>
                <w:sz w:val="24"/>
                <w:szCs w:val="24"/>
              </w:rPr>
              <w:t>$’000</w:t>
            </w:r>
          </w:p>
        </w:tc>
        <w:tc>
          <w:tcPr>
            <w:tcW w:w="1029" w:type="dxa"/>
            <w:tcBorders>
              <w:top w:val="single" w:sz="4" w:space="0" w:color="auto"/>
              <w:bottom w:val="single" w:sz="4" w:space="0" w:color="auto"/>
            </w:tcBorders>
          </w:tcPr>
          <w:p w14:paraId="7A87C404" w14:textId="77777777" w:rsidR="00CF0E2D" w:rsidRPr="00076442" w:rsidRDefault="00CF0E2D" w:rsidP="00A60D4B">
            <w:pPr>
              <w:spacing w:after="0"/>
              <w:jc w:val="right"/>
              <w:rPr>
                <w:rFonts w:ascii="Calibri" w:hAnsi="Calibri" w:cs="Calibri"/>
                <w:b/>
                <w:sz w:val="24"/>
                <w:szCs w:val="24"/>
              </w:rPr>
            </w:pPr>
            <w:r w:rsidRPr="00076442">
              <w:rPr>
                <w:rFonts w:ascii="Calibri" w:hAnsi="Calibri" w:cs="Calibri"/>
                <w:b/>
                <w:sz w:val="24"/>
                <w:szCs w:val="24"/>
              </w:rPr>
              <w:t>2024-25</w:t>
            </w:r>
          </w:p>
          <w:p w14:paraId="4577CBB5" w14:textId="77777777" w:rsidR="00CF0E2D" w:rsidRPr="00076442" w:rsidRDefault="00CF0E2D" w:rsidP="00A60D4B">
            <w:pPr>
              <w:spacing w:after="0"/>
              <w:jc w:val="right"/>
              <w:rPr>
                <w:rFonts w:ascii="Calibri" w:hAnsi="Calibri" w:cs="Calibri"/>
                <w:b/>
                <w:sz w:val="24"/>
                <w:szCs w:val="24"/>
              </w:rPr>
            </w:pPr>
            <w:r w:rsidRPr="00076442">
              <w:rPr>
                <w:rFonts w:ascii="Calibri" w:hAnsi="Calibri" w:cs="Calibri"/>
                <w:b/>
                <w:sz w:val="24"/>
                <w:szCs w:val="24"/>
              </w:rPr>
              <w:t>$’000</w:t>
            </w:r>
          </w:p>
        </w:tc>
        <w:tc>
          <w:tcPr>
            <w:tcW w:w="1029" w:type="dxa"/>
            <w:tcBorders>
              <w:top w:val="single" w:sz="4" w:space="0" w:color="auto"/>
              <w:bottom w:val="single" w:sz="4" w:space="0" w:color="auto"/>
            </w:tcBorders>
          </w:tcPr>
          <w:p w14:paraId="1FCEBB25" w14:textId="77777777" w:rsidR="00CF0E2D" w:rsidRPr="00076442" w:rsidRDefault="00CF0E2D" w:rsidP="00A60D4B">
            <w:pPr>
              <w:spacing w:after="0"/>
              <w:jc w:val="right"/>
              <w:rPr>
                <w:rFonts w:ascii="Calibri" w:hAnsi="Calibri" w:cs="Calibri"/>
                <w:b/>
                <w:sz w:val="24"/>
                <w:szCs w:val="24"/>
              </w:rPr>
            </w:pPr>
            <w:r w:rsidRPr="00076442">
              <w:rPr>
                <w:rFonts w:ascii="Calibri" w:hAnsi="Calibri" w:cs="Calibri"/>
                <w:b/>
                <w:sz w:val="24"/>
                <w:szCs w:val="24"/>
              </w:rPr>
              <w:t>Total</w:t>
            </w:r>
          </w:p>
          <w:p w14:paraId="58EE2C7E" w14:textId="77777777" w:rsidR="00CF0E2D" w:rsidRPr="00076442" w:rsidRDefault="00CF0E2D" w:rsidP="00A60D4B">
            <w:pPr>
              <w:spacing w:after="0"/>
              <w:jc w:val="right"/>
              <w:rPr>
                <w:rFonts w:ascii="Calibri" w:hAnsi="Calibri" w:cs="Calibri"/>
                <w:b/>
                <w:sz w:val="24"/>
                <w:szCs w:val="24"/>
              </w:rPr>
            </w:pPr>
            <w:r w:rsidRPr="00076442">
              <w:rPr>
                <w:rFonts w:ascii="Calibri" w:hAnsi="Calibri" w:cs="Calibri"/>
                <w:b/>
                <w:sz w:val="24"/>
                <w:szCs w:val="24"/>
              </w:rPr>
              <w:t>$’000</w:t>
            </w:r>
          </w:p>
        </w:tc>
      </w:tr>
      <w:tr w:rsidR="00CF0E2D" w:rsidRPr="00DA0A70" w14:paraId="6F61DF0E" w14:textId="77777777" w:rsidTr="00A60D4B">
        <w:trPr>
          <w:cantSplit/>
          <w:jc w:val="center"/>
        </w:trPr>
        <w:tc>
          <w:tcPr>
            <w:tcW w:w="3652" w:type="dxa"/>
            <w:tcBorders>
              <w:top w:val="single" w:sz="4" w:space="0" w:color="auto"/>
              <w:bottom w:val="single" w:sz="4" w:space="0" w:color="auto"/>
            </w:tcBorders>
          </w:tcPr>
          <w:p w14:paraId="2AD83D77" w14:textId="77777777" w:rsidR="00CF0E2D" w:rsidRPr="00076442" w:rsidRDefault="00CF0E2D" w:rsidP="00A60D4B">
            <w:pPr>
              <w:spacing w:after="0"/>
              <w:ind w:left="321" w:hanging="321"/>
              <w:rPr>
                <w:rFonts w:ascii="Calibri" w:hAnsi="Calibri" w:cs="Calibri"/>
                <w:sz w:val="24"/>
                <w:szCs w:val="24"/>
              </w:rPr>
            </w:pPr>
            <w:r w:rsidRPr="00076442">
              <w:rPr>
                <w:rFonts w:ascii="Calibri" w:hAnsi="Calibri" w:cs="Calibri"/>
                <w:sz w:val="24"/>
                <w:szCs w:val="24"/>
              </w:rPr>
              <w:t>Capital</w:t>
            </w:r>
          </w:p>
        </w:tc>
        <w:tc>
          <w:tcPr>
            <w:tcW w:w="1179" w:type="dxa"/>
            <w:tcBorders>
              <w:top w:val="single" w:sz="4" w:space="0" w:color="auto"/>
              <w:bottom w:val="single" w:sz="4" w:space="0" w:color="auto"/>
            </w:tcBorders>
          </w:tcPr>
          <w:p w14:paraId="44BAC556" w14:textId="77777777" w:rsidR="00CF0E2D" w:rsidRPr="00076442" w:rsidRDefault="00CF0E2D" w:rsidP="00A60D4B">
            <w:pPr>
              <w:spacing w:after="0"/>
              <w:jc w:val="right"/>
              <w:rPr>
                <w:rFonts w:ascii="Calibri" w:hAnsi="Calibri" w:cs="Calibri"/>
                <w:sz w:val="24"/>
                <w:szCs w:val="24"/>
              </w:rPr>
            </w:pPr>
            <w:r w:rsidRPr="00076442">
              <w:rPr>
                <w:rFonts w:ascii="Calibri" w:hAnsi="Calibri" w:cs="Calibri"/>
                <w:sz w:val="24"/>
                <w:szCs w:val="24"/>
              </w:rPr>
              <w:t>3,625</w:t>
            </w:r>
          </w:p>
        </w:tc>
        <w:tc>
          <w:tcPr>
            <w:tcW w:w="1041" w:type="dxa"/>
            <w:tcBorders>
              <w:top w:val="single" w:sz="4" w:space="0" w:color="auto"/>
              <w:bottom w:val="single" w:sz="4" w:space="0" w:color="auto"/>
            </w:tcBorders>
          </w:tcPr>
          <w:p w14:paraId="4C315C8B" w14:textId="77777777" w:rsidR="00CF0E2D" w:rsidRPr="00076442" w:rsidRDefault="00CF0E2D" w:rsidP="00A60D4B">
            <w:pPr>
              <w:spacing w:after="0"/>
              <w:jc w:val="right"/>
              <w:rPr>
                <w:rFonts w:ascii="Calibri" w:hAnsi="Calibri" w:cs="Calibri"/>
                <w:sz w:val="24"/>
                <w:szCs w:val="24"/>
              </w:rPr>
            </w:pPr>
            <w:r w:rsidRPr="00076442">
              <w:rPr>
                <w:rFonts w:ascii="Calibri" w:hAnsi="Calibri" w:cs="Calibri"/>
                <w:sz w:val="24"/>
                <w:szCs w:val="24"/>
              </w:rPr>
              <w:t>3,690</w:t>
            </w:r>
          </w:p>
        </w:tc>
        <w:tc>
          <w:tcPr>
            <w:tcW w:w="1029" w:type="dxa"/>
            <w:tcBorders>
              <w:top w:val="single" w:sz="4" w:space="0" w:color="auto"/>
              <w:bottom w:val="single" w:sz="4" w:space="0" w:color="auto"/>
            </w:tcBorders>
          </w:tcPr>
          <w:p w14:paraId="1CB81458" w14:textId="77777777" w:rsidR="00CF0E2D" w:rsidRPr="00076442" w:rsidRDefault="00CF0E2D" w:rsidP="00A60D4B">
            <w:pPr>
              <w:spacing w:after="0"/>
              <w:jc w:val="right"/>
              <w:rPr>
                <w:rFonts w:ascii="Calibri" w:hAnsi="Calibri" w:cs="Calibri"/>
                <w:sz w:val="24"/>
                <w:szCs w:val="24"/>
              </w:rPr>
            </w:pPr>
            <w:r w:rsidRPr="00076442">
              <w:rPr>
                <w:rFonts w:ascii="Calibri" w:hAnsi="Calibri" w:cs="Calibri"/>
                <w:sz w:val="24"/>
                <w:szCs w:val="24"/>
              </w:rPr>
              <w:t>3,941</w:t>
            </w:r>
          </w:p>
        </w:tc>
        <w:tc>
          <w:tcPr>
            <w:tcW w:w="1029" w:type="dxa"/>
            <w:tcBorders>
              <w:top w:val="single" w:sz="4" w:space="0" w:color="auto"/>
              <w:bottom w:val="single" w:sz="4" w:space="0" w:color="auto"/>
            </w:tcBorders>
          </w:tcPr>
          <w:p w14:paraId="5CF13142" w14:textId="77777777" w:rsidR="00CF0E2D" w:rsidRPr="00076442" w:rsidRDefault="00CF0E2D" w:rsidP="00A60D4B">
            <w:pPr>
              <w:spacing w:after="0"/>
              <w:jc w:val="right"/>
              <w:rPr>
                <w:rFonts w:ascii="Calibri" w:hAnsi="Calibri" w:cs="Calibri"/>
                <w:sz w:val="24"/>
                <w:szCs w:val="24"/>
              </w:rPr>
            </w:pPr>
            <w:r w:rsidRPr="00076442">
              <w:rPr>
                <w:rFonts w:ascii="Calibri" w:hAnsi="Calibri" w:cs="Calibri"/>
                <w:sz w:val="24"/>
                <w:szCs w:val="24"/>
              </w:rPr>
              <w:t>4,114</w:t>
            </w:r>
          </w:p>
        </w:tc>
        <w:tc>
          <w:tcPr>
            <w:tcW w:w="1029" w:type="dxa"/>
            <w:tcBorders>
              <w:top w:val="single" w:sz="4" w:space="0" w:color="auto"/>
              <w:bottom w:val="single" w:sz="4" w:space="0" w:color="auto"/>
            </w:tcBorders>
          </w:tcPr>
          <w:p w14:paraId="2BFBA125" w14:textId="77777777" w:rsidR="00CF0E2D" w:rsidRPr="00076442" w:rsidRDefault="00CF0E2D" w:rsidP="00A60D4B">
            <w:pPr>
              <w:spacing w:after="0"/>
              <w:jc w:val="right"/>
              <w:rPr>
                <w:rFonts w:ascii="Calibri" w:hAnsi="Calibri" w:cs="Calibri"/>
                <w:b/>
                <w:sz w:val="24"/>
                <w:szCs w:val="24"/>
              </w:rPr>
            </w:pPr>
            <w:r w:rsidRPr="00076442">
              <w:rPr>
                <w:rFonts w:ascii="Calibri" w:hAnsi="Calibri" w:cs="Calibri"/>
                <w:b/>
                <w:sz w:val="24"/>
                <w:szCs w:val="24"/>
              </w:rPr>
              <w:t>15,</w:t>
            </w:r>
            <w:r w:rsidRPr="00076442">
              <w:rPr>
                <w:rFonts w:ascii="Calibri" w:hAnsi="Calibri" w:cs="Calibri"/>
                <w:b/>
                <w:bCs/>
                <w:sz w:val="24"/>
                <w:szCs w:val="24"/>
              </w:rPr>
              <w:t>37</w:t>
            </w:r>
            <w:r>
              <w:rPr>
                <w:rFonts w:ascii="Calibri" w:hAnsi="Calibri" w:cs="Calibri"/>
                <w:b/>
                <w:bCs/>
                <w:sz w:val="24"/>
                <w:szCs w:val="24"/>
              </w:rPr>
              <w:t>0</w:t>
            </w:r>
          </w:p>
        </w:tc>
      </w:tr>
    </w:tbl>
    <w:p w14:paraId="18B71B64" w14:textId="77777777" w:rsidR="00CF0E2D" w:rsidRPr="000F31D4" w:rsidRDefault="00CF0E2D" w:rsidP="00A60D4B">
      <w:pPr>
        <w:pStyle w:val="Bbodytext"/>
        <w:rPr>
          <w:rFonts w:ascii="Calibri" w:eastAsia="Times New Roman" w:hAnsi="Calibri" w:cs="Times New Roman"/>
          <w:szCs w:val="20"/>
        </w:rPr>
      </w:pPr>
      <w:r w:rsidRPr="000F31D4">
        <w:t>The Government will support the delivery of Better Infrastructure Fund projects by providing funding to Major</w:t>
      </w:r>
      <w:r w:rsidRPr="000F31D4">
        <w:rPr>
          <w:rFonts w:ascii="Calibri" w:eastAsia="Times New Roman" w:hAnsi="Calibri" w:cs="Times New Roman"/>
          <w:szCs w:val="20"/>
        </w:rPr>
        <w:t xml:space="preserve"> Projects Canberra to undertake procurement and management activities on behalf of other agencies for these projects. </w:t>
      </w:r>
    </w:p>
    <w:p w14:paraId="43A2962E" w14:textId="77777777" w:rsidR="00CF0E2D" w:rsidRPr="000F31D4" w:rsidRDefault="00CF0E2D" w:rsidP="00A60D4B">
      <w:pPr>
        <w:pStyle w:val="Bbodytext"/>
        <w:rPr>
          <w:rFonts w:ascii="Calibri" w:eastAsia="Times New Roman" w:hAnsi="Calibri" w:cs="Times New Roman"/>
          <w:szCs w:val="20"/>
        </w:rPr>
      </w:pPr>
      <w:r w:rsidRPr="000F31D4">
        <w:t>Th</w:t>
      </w:r>
      <w:r w:rsidRPr="000F31D4">
        <w:rPr>
          <w:rFonts w:ascii="Calibri" w:eastAsia="Times New Roman" w:hAnsi="Calibri" w:cs="Times New Roman"/>
          <w:szCs w:val="20"/>
        </w:rPr>
        <w:t>is initiative builds on recent Government actions to boost the delivery of small to medium capital works projects to support local jobs, including the $35 million Fast</w:t>
      </w:r>
      <w:r w:rsidRPr="000F31D4">
        <w:rPr>
          <w:rFonts w:ascii="Calibri" w:eastAsia="Times New Roman" w:hAnsi="Calibri" w:cs="Times New Roman"/>
          <w:szCs w:val="20"/>
        </w:rPr>
        <w:noBreakHyphen/>
        <w:t>track Infrastructure program.</w:t>
      </w:r>
    </w:p>
    <w:p w14:paraId="4F684E28" w14:textId="77777777" w:rsidR="00CF0E2D" w:rsidRDefault="00CF0E2D" w:rsidP="00A60D4B">
      <w:pPr>
        <w:pStyle w:val="Bbodytext"/>
        <w:rPr>
          <w:rFonts w:ascii="Calibri" w:eastAsia="Times New Roman" w:hAnsi="Calibri" w:cs="Times New Roman"/>
          <w:szCs w:val="20"/>
        </w:rPr>
      </w:pPr>
      <w:r w:rsidRPr="000F31D4">
        <w:t>This initiative contributes to the wellbeing domains of Ec</w:t>
      </w:r>
      <w:r w:rsidRPr="000F31D4">
        <w:rPr>
          <w:rFonts w:ascii="Calibri" w:eastAsia="Times New Roman" w:hAnsi="Calibri" w:cs="Times New Roman"/>
          <w:szCs w:val="20"/>
        </w:rPr>
        <w:t xml:space="preserve">onomy and Access and </w:t>
      </w:r>
      <w:r>
        <w:rPr>
          <w:rFonts w:ascii="Calibri" w:eastAsia="Times New Roman" w:hAnsi="Calibri" w:cs="Times New Roman"/>
          <w:szCs w:val="20"/>
        </w:rPr>
        <w:t>c</w:t>
      </w:r>
      <w:r w:rsidRPr="000F31D4">
        <w:rPr>
          <w:rFonts w:ascii="Calibri" w:eastAsia="Times New Roman" w:hAnsi="Calibri" w:cs="Times New Roman"/>
          <w:szCs w:val="20"/>
        </w:rPr>
        <w:t>onnectivity.</w:t>
      </w:r>
    </w:p>
    <w:p w14:paraId="6F8B4080" w14:textId="77777777" w:rsidR="00CF0E2D" w:rsidRPr="000F31D4" w:rsidRDefault="00CF0E2D" w:rsidP="00A60D4B">
      <w:pPr>
        <w:pStyle w:val="Bbodytext"/>
        <w:rPr>
          <w:rFonts w:ascii="Calibri" w:eastAsia="Times New Roman" w:hAnsi="Calibri" w:cs="Times New Roman"/>
          <w:szCs w:val="20"/>
        </w:rPr>
      </w:pPr>
    </w:p>
    <w:p w14:paraId="4C3664E3" w14:textId="77777777" w:rsidR="00CF0E2D" w:rsidRPr="00136E9C" w:rsidRDefault="00CF0E2D" w:rsidP="00A60D4B">
      <w:pPr>
        <w:pStyle w:val="Heading4"/>
      </w:pPr>
      <w:r w:rsidRPr="00136E9C">
        <w:t xml:space="preserve">Woden </w:t>
      </w:r>
      <w:r>
        <w:t>p</w:t>
      </w:r>
      <w:r w:rsidRPr="00136E9C">
        <w:t xml:space="preserve">ublic </w:t>
      </w:r>
      <w:r>
        <w:t>t</w:t>
      </w:r>
      <w:r w:rsidRPr="00136E9C">
        <w:t xml:space="preserve">ransport </w:t>
      </w:r>
      <w:r>
        <w:t>s</w:t>
      </w:r>
      <w:r w:rsidRPr="00136E9C">
        <w:t xml:space="preserve">tops and </w:t>
      </w:r>
      <w:r>
        <w:t>e</w:t>
      </w:r>
      <w:r w:rsidRPr="00136E9C">
        <w:t xml:space="preserve">lectric </w:t>
      </w:r>
      <w:r>
        <w:t>v</w:t>
      </w:r>
      <w:r w:rsidRPr="00136E9C">
        <w:t xml:space="preserve">ehicle </w:t>
      </w:r>
      <w:r>
        <w:t>c</w:t>
      </w:r>
      <w:r w:rsidRPr="00136E9C">
        <w:t xml:space="preserve">harging </w:t>
      </w:r>
      <w:r>
        <w:t>i</w:t>
      </w:r>
      <w:r w:rsidRPr="00136E9C">
        <w:t xml:space="preserve">nfrastructure </w:t>
      </w:r>
      <w:r>
        <w:rPr>
          <w:noProof/>
        </w:rPr>
        <w:drawing>
          <wp:anchor distT="0" distB="0" distL="114300" distR="114300" simplePos="0" relativeHeight="251915264" behindDoc="0" locked="1" layoutInCell="1" allowOverlap="1" wp14:anchorId="70AC3CF6" wp14:editId="1AAB8CE0">
            <wp:simplePos x="0" y="0"/>
            <wp:positionH relativeFrom="margin">
              <wp:posOffset>4337050</wp:posOffset>
            </wp:positionH>
            <wp:positionV relativeFrom="paragraph">
              <wp:posOffset>76835</wp:posOffset>
            </wp:positionV>
            <wp:extent cx="1378585" cy="507365"/>
            <wp:effectExtent l="0" t="0" r="0" b="6985"/>
            <wp:wrapSquare wrapText="bothSides"/>
            <wp:docPr id="208" name="Picture 208"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7F007D82" w14:textId="77777777" w:rsidTr="00A60D4B">
        <w:trPr>
          <w:cantSplit/>
          <w:jc w:val="center"/>
        </w:trPr>
        <w:tc>
          <w:tcPr>
            <w:tcW w:w="3652" w:type="dxa"/>
            <w:tcBorders>
              <w:top w:val="single" w:sz="4" w:space="0" w:color="auto"/>
              <w:bottom w:val="single" w:sz="4" w:space="0" w:color="auto"/>
            </w:tcBorders>
          </w:tcPr>
          <w:p w14:paraId="5DC93201" w14:textId="77777777" w:rsidR="00CF0E2D" w:rsidRPr="004E341E" w:rsidRDefault="00CF0E2D" w:rsidP="00A60D4B">
            <w:pPr>
              <w:pStyle w:val="EmptyCell0"/>
            </w:pPr>
            <w:bookmarkStart w:id="54" w:name="_Hlk79480984"/>
            <w:r>
              <w:t>Empty Cell</w:t>
            </w:r>
          </w:p>
        </w:tc>
        <w:tc>
          <w:tcPr>
            <w:tcW w:w="1179" w:type="dxa"/>
            <w:tcBorders>
              <w:top w:val="single" w:sz="4" w:space="0" w:color="auto"/>
              <w:bottom w:val="single" w:sz="4" w:space="0" w:color="auto"/>
            </w:tcBorders>
          </w:tcPr>
          <w:p w14:paraId="0A902C87" w14:textId="77777777" w:rsidR="00CF0E2D" w:rsidRPr="003862DD" w:rsidRDefault="00CF0E2D" w:rsidP="00A60D4B">
            <w:pPr>
              <w:pStyle w:val="InitFigR"/>
              <w:rPr>
                <w:b/>
                <w:bCs/>
              </w:rPr>
            </w:pPr>
            <w:r w:rsidRPr="003862DD">
              <w:rPr>
                <w:b/>
                <w:bCs/>
              </w:rPr>
              <w:t>2021-22</w:t>
            </w:r>
          </w:p>
          <w:p w14:paraId="5808FA8D" w14:textId="77777777" w:rsidR="00CF0E2D" w:rsidRPr="003862DD" w:rsidRDefault="00CF0E2D" w:rsidP="00A60D4B">
            <w:pPr>
              <w:pStyle w:val="InitFigR"/>
              <w:rPr>
                <w:b/>
                <w:bCs/>
              </w:rPr>
            </w:pPr>
            <w:r w:rsidRPr="003862DD">
              <w:rPr>
                <w:b/>
                <w:bCs/>
              </w:rPr>
              <w:t>$’000</w:t>
            </w:r>
          </w:p>
        </w:tc>
        <w:tc>
          <w:tcPr>
            <w:tcW w:w="1041" w:type="dxa"/>
            <w:tcBorders>
              <w:top w:val="single" w:sz="4" w:space="0" w:color="auto"/>
              <w:bottom w:val="single" w:sz="4" w:space="0" w:color="auto"/>
            </w:tcBorders>
          </w:tcPr>
          <w:p w14:paraId="6B80E64F" w14:textId="77777777" w:rsidR="00CF0E2D" w:rsidRPr="003862DD" w:rsidRDefault="00CF0E2D" w:rsidP="00A60D4B">
            <w:pPr>
              <w:pStyle w:val="InitFigR"/>
              <w:rPr>
                <w:b/>
                <w:bCs/>
              </w:rPr>
            </w:pPr>
            <w:r w:rsidRPr="003862DD">
              <w:rPr>
                <w:b/>
                <w:bCs/>
              </w:rPr>
              <w:t>2022-23</w:t>
            </w:r>
          </w:p>
          <w:p w14:paraId="4B1064E7" w14:textId="77777777" w:rsidR="00CF0E2D" w:rsidRPr="003862DD" w:rsidRDefault="00CF0E2D" w:rsidP="00A60D4B">
            <w:pPr>
              <w:pStyle w:val="InitFigR"/>
              <w:rPr>
                <w:b/>
                <w:bCs/>
              </w:rPr>
            </w:pPr>
            <w:r w:rsidRPr="003862DD">
              <w:rPr>
                <w:b/>
                <w:bCs/>
              </w:rPr>
              <w:t>$’000</w:t>
            </w:r>
          </w:p>
        </w:tc>
        <w:tc>
          <w:tcPr>
            <w:tcW w:w="1029" w:type="dxa"/>
            <w:tcBorders>
              <w:top w:val="single" w:sz="4" w:space="0" w:color="auto"/>
              <w:bottom w:val="single" w:sz="4" w:space="0" w:color="auto"/>
            </w:tcBorders>
          </w:tcPr>
          <w:p w14:paraId="4EFBC3AA" w14:textId="77777777" w:rsidR="00CF0E2D" w:rsidRPr="003862DD" w:rsidRDefault="00CF0E2D" w:rsidP="00A60D4B">
            <w:pPr>
              <w:pStyle w:val="InitFigR"/>
              <w:rPr>
                <w:b/>
                <w:bCs/>
              </w:rPr>
            </w:pPr>
            <w:r w:rsidRPr="003862DD">
              <w:rPr>
                <w:b/>
                <w:bCs/>
              </w:rPr>
              <w:t>2023-24</w:t>
            </w:r>
          </w:p>
          <w:p w14:paraId="2B8E311E" w14:textId="77777777" w:rsidR="00CF0E2D" w:rsidRPr="003862DD" w:rsidRDefault="00CF0E2D" w:rsidP="00A60D4B">
            <w:pPr>
              <w:pStyle w:val="InitFigR"/>
              <w:rPr>
                <w:b/>
                <w:bCs/>
              </w:rPr>
            </w:pPr>
            <w:r w:rsidRPr="003862DD">
              <w:rPr>
                <w:b/>
                <w:bCs/>
              </w:rPr>
              <w:t>$’000</w:t>
            </w:r>
          </w:p>
        </w:tc>
        <w:tc>
          <w:tcPr>
            <w:tcW w:w="1029" w:type="dxa"/>
            <w:tcBorders>
              <w:top w:val="single" w:sz="4" w:space="0" w:color="auto"/>
              <w:bottom w:val="single" w:sz="4" w:space="0" w:color="auto"/>
            </w:tcBorders>
          </w:tcPr>
          <w:p w14:paraId="08FF1602" w14:textId="77777777" w:rsidR="00CF0E2D" w:rsidRPr="003862DD" w:rsidRDefault="00CF0E2D" w:rsidP="00A60D4B">
            <w:pPr>
              <w:pStyle w:val="InitFigR"/>
              <w:rPr>
                <w:b/>
                <w:bCs/>
              </w:rPr>
            </w:pPr>
            <w:r w:rsidRPr="003862DD">
              <w:rPr>
                <w:b/>
                <w:bCs/>
              </w:rPr>
              <w:t>2024-25</w:t>
            </w:r>
          </w:p>
          <w:p w14:paraId="3CFBF07E" w14:textId="77777777" w:rsidR="00CF0E2D" w:rsidRPr="003862DD" w:rsidRDefault="00CF0E2D" w:rsidP="00A60D4B">
            <w:pPr>
              <w:pStyle w:val="InitFigR"/>
              <w:rPr>
                <w:b/>
                <w:bCs/>
              </w:rPr>
            </w:pPr>
            <w:r w:rsidRPr="003862DD">
              <w:rPr>
                <w:b/>
                <w:bCs/>
              </w:rPr>
              <w:t>$’000</w:t>
            </w:r>
          </w:p>
        </w:tc>
        <w:tc>
          <w:tcPr>
            <w:tcW w:w="1029" w:type="dxa"/>
            <w:tcBorders>
              <w:top w:val="single" w:sz="4" w:space="0" w:color="auto"/>
              <w:bottom w:val="single" w:sz="4" w:space="0" w:color="auto"/>
            </w:tcBorders>
          </w:tcPr>
          <w:p w14:paraId="2845DA3B" w14:textId="77777777" w:rsidR="00CF0E2D" w:rsidRPr="004E341E" w:rsidRDefault="00CF0E2D" w:rsidP="00A60D4B">
            <w:pPr>
              <w:pStyle w:val="InitFigRBold"/>
            </w:pPr>
            <w:r w:rsidRPr="004E341E">
              <w:t>Total</w:t>
            </w:r>
          </w:p>
          <w:p w14:paraId="1AD1D5B7" w14:textId="77777777" w:rsidR="00CF0E2D" w:rsidRPr="004E341E" w:rsidRDefault="00CF0E2D" w:rsidP="00A60D4B">
            <w:pPr>
              <w:pStyle w:val="InitFigBR"/>
            </w:pPr>
            <w:r w:rsidRPr="004E341E">
              <w:t>$’000</w:t>
            </w:r>
          </w:p>
        </w:tc>
      </w:tr>
      <w:tr w:rsidR="00CF0E2D" w:rsidRPr="006B7613" w14:paraId="27754A0B" w14:textId="77777777" w:rsidTr="00A60D4B">
        <w:trPr>
          <w:cantSplit/>
          <w:jc w:val="center"/>
        </w:trPr>
        <w:tc>
          <w:tcPr>
            <w:tcW w:w="3652" w:type="dxa"/>
            <w:tcBorders>
              <w:top w:val="single" w:sz="4" w:space="0" w:color="auto"/>
            </w:tcBorders>
          </w:tcPr>
          <w:p w14:paraId="50DBCEA0" w14:textId="77777777" w:rsidR="00CF0E2D" w:rsidRDefault="00CF0E2D" w:rsidP="00A60D4B">
            <w:pPr>
              <w:pStyle w:val="InitTextL"/>
              <w:ind w:left="321" w:hanging="321"/>
            </w:pPr>
            <w:r>
              <w:t>Capital</w:t>
            </w:r>
          </w:p>
        </w:tc>
        <w:tc>
          <w:tcPr>
            <w:tcW w:w="1179" w:type="dxa"/>
            <w:tcBorders>
              <w:top w:val="single" w:sz="4" w:space="0" w:color="auto"/>
            </w:tcBorders>
          </w:tcPr>
          <w:p w14:paraId="1B92A745" w14:textId="77777777" w:rsidR="00CF0E2D" w:rsidRPr="00D0364C" w:rsidRDefault="00CF0E2D" w:rsidP="00A60D4B">
            <w:pPr>
              <w:pStyle w:val="InitFigR"/>
            </w:pPr>
            <w:r w:rsidRPr="00D0364C">
              <w:t>1,000</w:t>
            </w:r>
          </w:p>
        </w:tc>
        <w:tc>
          <w:tcPr>
            <w:tcW w:w="1041" w:type="dxa"/>
            <w:tcBorders>
              <w:top w:val="single" w:sz="4" w:space="0" w:color="auto"/>
            </w:tcBorders>
          </w:tcPr>
          <w:p w14:paraId="6427BF0E" w14:textId="77777777" w:rsidR="00CF0E2D" w:rsidRPr="00D0364C" w:rsidRDefault="00CF0E2D" w:rsidP="00A60D4B">
            <w:pPr>
              <w:pStyle w:val="InitFigR"/>
            </w:pPr>
            <w:r w:rsidRPr="00D0364C">
              <w:t>11,000</w:t>
            </w:r>
          </w:p>
        </w:tc>
        <w:tc>
          <w:tcPr>
            <w:tcW w:w="1029" w:type="dxa"/>
            <w:tcBorders>
              <w:top w:val="single" w:sz="4" w:space="0" w:color="auto"/>
            </w:tcBorders>
          </w:tcPr>
          <w:p w14:paraId="63D976BE" w14:textId="77777777" w:rsidR="00CF0E2D" w:rsidRPr="00D0364C" w:rsidRDefault="00CF0E2D" w:rsidP="00A60D4B">
            <w:pPr>
              <w:pStyle w:val="InitFigR"/>
            </w:pPr>
            <w:r w:rsidRPr="00D0364C">
              <w:t>0</w:t>
            </w:r>
          </w:p>
        </w:tc>
        <w:tc>
          <w:tcPr>
            <w:tcW w:w="1029" w:type="dxa"/>
            <w:tcBorders>
              <w:top w:val="single" w:sz="4" w:space="0" w:color="auto"/>
            </w:tcBorders>
          </w:tcPr>
          <w:p w14:paraId="28AD3E20" w14:textId="77777777" w:rsidR="00CF0E2D" w:rsidRPr="00D0364C" w:rsidRDefault="00CF0E2D" w:rsidP="00A60D4B">
            <w:pPr>
              <w:pStyle w:val="InitFigR"/>
            </w:pPr>
            <w:r w:rsidRPr="00D0364C">
              <w:t>0</w:t>
            </w:r>
          </w:p>
        </w:tc>
        <w:tc>
          <w:tcPr>
            <w:tcW w:w="1029" w:type="dxa"/>
            <w:tcBorders>
              <w:top w:val="single" w:sz="4" w:space="0" w:color="auto"/>
            </w:tcBorders>
          </w:tcPr>
          <w:p w14:paraId="19352912" w14:textId="77777777" w:rsidR="00CF0E2D" w:rsidRPr="00D0364C" w:rsidRDefault="00CF0E2D" w:rsidP="00A60D4B">
            <w:pPr>
              <w:pStyle w:val="InitFigRBold"/>
              <w:rPr>
                <w:b w:val="0"/>
              </w:rPr>
            </w:pPr>
            <w:r w:rsidRPr="00D0364C">
              <w:t>12,000</w:t>
            </w:r>
          </w:p>
        </w:tc>
      </w:tr>
      <w:tr w:rsidR="00CF0E2D" w:rsidRPr="0006429F" w14:paraId="1EECA89B" w14:textId="77777777" w:rsidTr="00A60D4B">
        <w:trPr>
          <w:cantSplit/>
          <w:jc w:val="center"/>
        </w:trPr>
        <w:tc>
          <w:tcPr>
            <w:tcW w:w="3652" w:type="dxa"/>
          </w:tcPr>
          <w:p w14:paraId="59A64BCE" w14:textId="77777777" w:rsidR="00CF0E2D" w:rsidRDefault="00CF0E2D" w:rsidP="00A60D4B">
            <w:pPr>
              <w:pStyle w:val="InitTextL"/>
              <w:ind w:left="321" w:hanging="321"/>
            </w:pPr>
            <w:r>
              <w:t>Capital – Provision</w:t>
            </w:r>
          </w:p>
        </w:tc>
        <w:tc>
          <w:tcPr>
            <w:tcW w:w="1179" w:type="dxa"/>
          </w:tcPr>
          <w:p w14:paraId="5BB7066F" w14:textId="77777777" w:rsidR="00CF0E2D" w:rsidRPr="00D0364C" w:rsidRDefault="00CF0E2D" w:rsidP="00A60D4B">
            <w:pPr>
              <w:pStyle w:val="InitFigR"/>
            </w:pPr>
            <w:r w:rsidRPr="00D0364C">
              <w:t>0</w:t>
            </w:r>
          </w:p>
        </w:tc>
        <w:tc>
          <w:tcPr>
            <w:tcW w:w="1041" w:type="dxa"/>
          </w:tcPr>
          <w:p w14:paraId="177EC00C" w14:textId="77777777" w:rsidR="00CF0E2D" w:rsidRPr="00D0364C" w:rsidRDefault="00CF0E2D" w:rsidP="00A60D4B">
            <w:pPr>
              <w:pStyle w:val="InitFigR"/>
            </w:pPr>
            <w:r w:rsidRPr="00D0364C">
              <w:t>0</w:t>
            </w:r>
          </w:p>
        </w:tc>
        <w:tc>
          <w:tcPr>
            <w:tcW w:w="1029" w:type="dxa"/>
          </w:tcPr>
          <w:p w14:paraId="749A392A" w14:textId="77777777" w:rsidR="00CF0E2D" w:rsidRPr="00D0364C" w:rsidRDefault="00CF0E2D" w:rsidP="00A60D4B">
            <w:pPr>
              <w:pStyle w:val="InitFigR"/>
            </w:pPr>
            <w:r w:rsidRPr="00D0364C">
              <w:t>1,957</w:t>
            </w:r>
          </w:p>
        </w:tc>
        <w:tc>
          <w:tcPr>
            <w:tcW w:w="1029" w:type="dxa"/>
          </w:tcPr>
          <w:p w14:paraId="5B8FF1EC" w14:textId="77777777" w:rsidR="00CF0E2D" w:rsidRPr="00D0364C" w:rsidRDefault="00CF0E2D" w:rsidP="00A60D4B">
            <w:pPr>
              <w:pStyle w:val="InitFigR"/>
            </w:pPr>
            <w:r w:rsidRPr="00D0364C">
              <w:t>0</w:t>
            </w:r>
          </w:p>
        </w:tc>
        <w:tc>
          <w:tcPr>
            <w:tcW w:w="1029" w:type="dxa"/>
          </w:tcPr>
          <w:p w14:paraId="3C40D9B4" w14:textId="77777777" w:rsidR="00CF0E2D" w:rsidRPr="00D0364C" w:rsidRDefault="00CF0E2D" w:rsidP="00A60D4B">
            <w:pPr>
              <w:pStyle w:val="InitFigRBold"/>
              <w:rPr>
                <w:b w:val="0"/>
              </w:rPr>
            </w:pPr>
            <w:r w:rsidRPr="00D0364C">
              <w:t>1,957</w:t>
            </w:r>
          </w:p>
        </w:tc>
      </w:tr>
      <w:tr w:rsidR="00CF0E2D" w:rsidRPr="0006429F" w14:paraId="00543E9A" w14:textId="77777777" w:rsidTr="00A60D4B">
        <w:trPr>
          <w:cantSplit/>
          <w:jc w:val="center"/>
        </w:trPr>
        <w:tc>
          <w:tcPr>
            <w:tcW w:w="3652" w:type="dxa"/>
          </w:tcPr>
          <w:p w14:paraId="780D1075" w14:textId="77777777" w:rsidR="00CF0E2D" w:rsidRDefault="00CF0E2D" w:rsidP="00A60D4B">
            <w:pPr>
              <w:pStyle w:val="InitTextL"/>
              <w:ind w:left="321" w:hanging="321"/>
            </w:pPr>
            <w:r>
              <w:t>Offset – Capital – Existing provision</w:t>
            </w:r>
          </w:p>
        </w:tc>
        <w:tc>
          <w:tcPr>
            <w:tcW w:w="1179" w:type="dxa"/>
          </w:tcPr>
          <w:p w14:paraId="283D43A7" w14:textId="77777777" w:rsidR="00CF0E2D" w:rsidRPr="00D0364C" w:rsidRDefault="00CF0E2D" w:rsidP="00A60D4B">
            <w:pPr>
              <w:pStyle w:val="InitFigR"/>
            </w:pPr>
            <w:r w:rsidRPr="00D0364C">
              <w:t>-11,000</w:t>
            </w:r>
          </w:p>
        </w:tc>
        <w:tc>
          <w:tcPr>
            <w:tcW w:w="1041" w:type="dxa"/>
          </w:tcPr>
          <w:p w14:paraId="51592DEA" w14:textId="77777777" w:rsidR="00CF0E2D" w:rsidRPr="00D0364C" w:rsidRDefault="00CF0E2D" w:rsidP="00A60D4B">
            <w:pPr>
              <w:pStyle w:val="InitFigR"/>
            </w:pPr>
            <w:r w:rsidRPr="00D0364C">
              <w:t>-1,000</w:t>
            </w:r>
          </w:p>
        </w:tc>
        <w:tc>
          <w:tcPr>
            <w:tcW w:w="1029" w:type="dxa"/>
          </w:tcPr>
          <w:p w14:paraId="65435873" w14:textId="77777777" w:rsidR="00CF0E2D" w:rsidRPr="00D0364C" w:rsidRDefault="00CF0E2D" w:rsidP="00A60D4B">
            <w:pPr>
              <w:pStyle w:val="InitFigR"/>
            </w:pPr>
            <w:r w:rsidRPr="00D0364C">
              <w:t>-1,000</w:t>
            </w:r>
          </w:p>
        </w:tc>
        <w:tc>
          <w:tcPr>
            <w:tcW w:w="1029" w:type="dxa"/>
          </w:tcPr>
          <w:p w14:paraId="63A529F0" w14:textId="77777777" w:rsidR="00CF0E2D" w:rsidRPr="00D0364C" w:rsidRDefault="00CF0E2D" w:rsidP="00A60D4B">
            <w:pPr>
              <w:pStyle w:val="InitFigR"/>
            </w:pPr>
            <w:r w:rsidRPr="00D0364C">
              <w:t>0</w:t>
            </w:r>
          </w:p>
        </w:tc>
        <w:tc>
          <w:tcPr>
            <w:tcW w:w="1029" w:type="dxa"/>
          </w:tcPr>
          <w:p w14:paraId="5246C72F" w14:textId="77777777" w:rsidR="00CF0E2D" w:rsidRPr="00D0364C" w:rsidRDefault="00CF0E2D" w:rsidP="00A60D4B">
            <w:pPr>
              <w:pStyle w:val="InitFigRBold"/>
              <w:rPr>
                <w:b w:val="0"/>
              </w:rPr>
            </w:pPr>
            <w:r w:rsidRPr="00D0364C">
              <w:t>-13,000</w:t>
            </w:r>
          </w:p>
        </w:tc>
      </w:tr>
      <w:tr w:rsidR="00CF0E2D" w:rsidRPr="0006429F" w14:paraId="3B433D61" w14:textId="77777777" w:rsidTr="00A60D4B">
        <w:trPr>
          <w:cantSplit/>
          <w:jc w:val="center"/>
        </w:trPr>
        <w:tc>
          <w:tcPr>
            <w:tcW w:w="3652" w:type="dxa"/>
            <w:tcBorders>
              <w:top w:val="single" w:sz="4" w:space="0" w:color="auto"/>
              <w:bottom w:val="single" w:sz="4" w:space="0" w:color="auto"/>
            </w:tcBorders>
          </w:tcPr>
          <w:p w14:paraId="3AF25C55" w14:textId="5EDA3B26" w:rsidR="00CF0E2D" w:rsidRPr="00D13A71" w:rsidRDefault="00F57411" w:rsidP="00A60D4B">
            <w:pPr>
              <w:pStyle w:val="InitTextL"/>
              <w:ind w:left="321" w:hanging="321"/>
              <w:rPr>
                <w:b/>
                <w:bCs/>
              </w:rPr>
            </w:pPr>
            <w:r>
              <w:rPr>
                <w:b/>
                <w:bCs/>
              </w:rPr>
              <w:t>Net capital</w:t>
            </w:r>
          </w:p>
        </w:tc>
        <w:tc>
          <w:tcPr>
            <w:tcW w:w="1179" w:type="dxa"/>
            <w:tcBorders>
              <w:top w:val="single" w:sz="4" w:space="0" w:color="auto"/>
              <w:bottom w:val="single" w:sz="4" w:space="0" w:color="auto"/>
            </w:tcBorders>
          </w:tcPr>
          <w:p w14:paraId="7ECD002B" w14:textId="77777777" w:rsidR="00CF0E2D" w:rsidRPr="00D0364C" w:rsidRDefault="00CF0E2D" w:rsidP="00A60D4B">
            <w:pPr>
              <w:pStyle w:val="InitFigR"/>
              <w:rPr>
                <w:b/>
                <w:bCs/>
              </w:rPr>
            </w:pPr>
            <w:r w:rsidRPr="00D0364C">
              <w:rPr>
                <w:b/>
                <w:bCs/>
              </w:rPr>
              <w:t>-10,000</w:t>
            </w:r>
          </w:p>
        </w:tc>
        <w:tc>
          <w:tcPr>
            <w:tcW w:w="1041" w:type="dxa"/>
            <w:tcBorders>
              <w:top w:val="single" w:sz="4" w:space="0" w:color="auto"/>
              <w:bottom w:val="single" w:sz="4" w:space="0" w:color="auto"/>
            </w:tcBorders>
          </w:tcPr>
          <w:p w14:paraId="198C714D" w14:textId="77777777" w:rsidR="00CF0E2D" w:rsidRPr="00D0364C" w:rsidRDefault="00CF0E2D" w:rsidP="00A60D4B">
            <w:pPr>
              <w:pStyle w:val="InitFigR"/>
              <w:rPr>
                <w:b/>
                <w:bCs/>
              </w:rPr>
            </w:pPr>
            <w:r w:rsidRPr="00D0364C">
              <w:rPr>
                <w:b/>
                <w:bCs/>
              </w:rPr>
              <w:t>10,000</w:t>
            </w:r>
          </w:p>
        </w:tc>
        <w:tc>
          <w:tcPr>
            <w:tcW w:w="1029" w:type="dxa"/>
            <w:tcBorders>
              <w:top w:val="single" w:sz="4" w:space="0" w:color="auto"/>
              <w:bottom w:val="single" w:sz="4" w:space="0" w:color="auto"/>
            </w:tcBorders>
          </w:tcPr>
          <w:p w14:paraId="3BE35E3B" w14:textId="77777777" w:rsidR="00CF0E2D" w:rsidRPr="00D0364C" w:rsidRDefault="00CF0E2D" w:rsidP="00A60D4B">
            <w:pPr>
              <w:pStyle w:val="InitFigR"/>
              <w:rPr>
                <w:b/>
                <w:bCs/>
              </w:rPr>
            </w:pPr>
            <w:r w:rsidRPr="00D0364C">
              <w:rPr>
                <w:b/>
                <w:bCs/>
              </w:rPr>
              <w:t>957</w:t>
            </w:r>
          </w:p>
        </w:tc>
        <w:tc>
          <w:tcPr>
            <w:tcW w:w="1029" w:type="dxa"/>
            <w:tcBorders>
              <w:top w:val="single" w:sz="4" w:space="0" w:color="auto"/>
              <w:bottom w:val="single" w:sz="4" w:space="0" w:color="auto"/>
            </w:tcBorders>
          </w:tcPr>
          <w:p w14:paraId="1CA2CD4F" w14:textId="77777777" w:rsidR="00CF0E2D" w:rsidRPr="00D0364C" w:rsidRDefault="00CF0E2D" w:rsidP="00A60D4B">
            <w:pPr>
              <w:pStyle w:val="InitFigR"/>
              <w:rPr>
                <w:b/>
                <w:bCs/>
              </w:rPr>
            </w:pPr>
            <w:r w:rsidRPr="00D0364C">
              <w:rPr>
                <w:b/>
                <w:bCs/>
              </w:rPr>
              <w:t>0</w:t>
            </w:r>
          </w:p>
        </w:tc>
        <w:tc>
          <w:tcPr>
            <w:tcW w:w="1029" w:type="dxa"/>
            <w:tcBorders>
              <w:top w:val="single" w:sz="4" w:space="0" w:color="auto"/>
              <w:bottom w:val="single" w:sz="4" w:space="0" w:color="auto"/>
            </w:tcBorders>
          </w:tcPr>
          <w:p w14:paraId="2CAB1B4E" w14:textId="77777777" w:rsidR="00CF0E2D" w:rsidRPr="00D0364C" w:rsidRDefault="00CF0E2D" w:rsidP="00A60D4B">
            <w:pPr>
              <w:pStyle w:val="InitFigRBold"/>
              <w:rPr>
                <w:b w:val="0"/>
              </w:rPr>
            </w:pPr>
            <w:r w:rsidRPr="00D0364C">
              <w:t>957</w:t>
            </w:r>
          </w:p>
        </w:tc>
      </w:tr>
      <w:tr w:rsidR="00CF0E2D" w:rsidRPr="006B7613" w14:paraId="02C6A680" w14:textId="77777777" w:rsidTr="00A60D4B">
        <w:trPr>
          <w:cantSplit/>
          <w:jc w:val="center"/>
        </w:trPr>
        <w:tc>
          <w:tcPr>
            <w:tcW w:w="3652" w:type="dxa"/>
            <w:tcBorders>
              <w:top w:val="single" w:sz="4" w:space="0" w:color="auto"/>
            </w:tcBorders>
          </w:tcPr>
          <w:p w14:paraId="1D967500" w14:textId="77777777" w:rsidR="00CF0E2D" w:rsidRPr="00D13A71" w:rsidRDefault="00CF0E2D" w:rsidP="00A60D4B">
            <w:pPr>
              <w:pStyle w:val="InitTextL"/>
              <w:ind w:left="321" w:hanging="321"/>
              <w:rPr>
                <w:b/>
                <w:bCs/>
              </w:rPr>
            </w:pPr>
            <w:r>
              <w:t>Depreciation</w:t>
            </w:r>
          </w:p>
        </w:tc>
        <w:tc>
          <w:tcPr>
            <w:tcW w:w="1179" w:type="dxa"/>
            <w:tcBorders>
              <w:top w:val="single" w:sz="4" w:space="0" w:color="auto"/>
            </w:tcBorders>
          </w:tcPr>
          <w:p w14:paraId="301354C5" w14:textId="77777777" w:rsidR="00CF0E2D" w:rsidRDefault="00CF0E2D" w:rsidP="00A60D4B">
            <w:pPr>
              <w:pStyle w:val="InitFigR"/>
            </w:pPr>
            <w:r w:rsidRPr="00DA197A">
              <w:t>0</w:t>
            </w:r>
          </w:p>
        </w:tc>
        <w:tc>
          <w:tcPr>
            <w:tcW w:w="1041" w:type="dxa"/>
            <w:tcBorders>
              <w:top w:val="single" w:sz="4" w:space="0" w:color="auto"/>
            </w:tcBorders>
          </w:tcPr>
          <w:p w14:paraId="70A7E640" w14:textId="77777777" w:rsidR="00CF0E2D" w:rsidRPr="006B7613" w:rsidRDefault="00CF0E2D" w:rsidP="00A60D4B">
            <w:pPr>
              <w:pStyle w:val="InitFigR"/>
            </w:pPr>
            <w:r w:rsidRPr="006B7613">
              <w:t>20</w:t>
            </w:r>
          </w:p>
        </w:tc>
        <w:tc>
          <w:tcPr>
            <w:tcW w:w="1029" w:type="dxa"/>
            <w:tcBorders>
              <w:top w:val="single" w:sz="4" w:space="0" w:color="auto"/>
            </w:tcBorders>
          </w:tcPr>
          <w:p w14:paraId="74391989" w14:textId="77777777" w:rsidR="00CF0E2D" w:rsidRPr="006B7613" w:rsidRDefault="00CF0E2D" w:rsidP="00A60D4B">
            <w:pPr>
              <w:pStyle w:val="InitFigR"/>
            </w:pPr>
            <w:r w:rsidRPr="006B7613">
              <w:t>240</w:t>
            </w:r>
          </w:p>
        </w:tc>
        <w:tc>
          <w:tcPr>
            <w:tcW w:w="1029" w:type="dxa"/>
            <w:tcBorders>
              <w:top w:val="single" w:sz="4" w:space="0" w:color="auto"/>
            </w:tcBorders>
          </w:tcPr>
          <w:p w14:paraId="4D959960" w14:textId="77777777" w:rsidR="00CF0E2D" w:rsidRPr="00BF7A80" w:rsidRDefault="00CF0E2D" w:rsidP="00A60D4B">
            <w:pPr>
              <w:pStyle w:val="InitFigR"/>
            </w:pPr>
            <w:r w:rsidRPr="00BF7A80">
              <w:t>240</w:t>
            </w:r>
          </w:p>
        </w:tc>
        <w:tc>
          <w:tcPr>
            <w:tcW w:w="1029" w:type="dxa"/>
            <w:tcBorders>
              <w:top w:val="single" w:sz="4" w:space="0" w:color="auto"/>
            </w:tcBorders>
          </w:tcPr>
          <w:p w14:paraId="7F29D468" w14:textId="77777777" w:rsidR="00CF0E2D" w:rsidRPr="00BF7A80" w:rsidRDefault="00CF0E2D" w:rsidP="00A60D4B">
            <w:pPr>
              <w:pStyle w:val="InitFigRBold"/>
              <w:rPr>
                <w:b w:val="0"/>
              </w:rPr>
            </w:pPr>
            <w:r w:rsidRPr="00BF7A80">
              <w:t>500</w:t>
            </w:r>
          </w:p>
        </w:tc>
      </w:tr>
      <w:tr w:rsidR="00CF0E2D" w:rsidRPr="006B7613" w14:paraId="180527E7" w14:textId="77777777" w:rsidTr="00A60D4B">
        <w:trPr>
          <w:cantSplit/>
          <w:jc w:val="center"/>
        </w:trPr>
        <w:tc>
          <w:tcPr>
            <w:tcW w:w="3652" w:type="dxa"/>
          </w:tcPr>
          <w:p w14:paraId="19EE34C6" w14:textId="77777777" w:rsidR="00CF0E2D" w:rsidRPr="00F13FAB" w:rsidRDefault="00CF0E2D" w:rsidP="00A60D4B">
            <w:pPr>
              <w:pStyle w:val="InitTextL"/>
              <w:ind w:left="321" w:hanging="321"/>
            </w:pPr>
            <w:r w:rsidRPr="00882BE2">
              <w:t>Expenses</w:t>
            </w:r>
          </w:p>
        </w:tc>
        <w:tc>
          <w:tcPr>
            <w:tcW w:w="1179" w:type="dxa"/>
          </w:tcPr>
          <w:p w14:paraId="626B5337" w14:textId="77777777" w:rsidR="00CF0E2D" w:rsidRPr="00424DA4" w:rsidRDefault="00CF0E2D" w:rsidP="00A60D4B">
            <w:pPr>
              <w:pStyle w:val="InitFigR"/>
            </w:pPr>
            <w:r w:rsidRPr="00765797">
              <w:t>0</w:t>
            </w:r>
          </w:p>
        </w:tc>
        <w:tc>
          <w:tcPr>
            <w:tcW w:w="1041" w:type="dxa"/>
          </w:tcPr>
          <w:p w14:paraId="4A645A2B" w14:textId="77777777" w:rsidR="00CF0E2D" w:rsidRPr="006B7613" w:rsidRDefault="00CF0E2D" w:rsidP="00A60D4B">
            <w:pPr>
              <w:pStyle w:val="InitFigR"/>
            </w:pPr>
            <w:r w:rsidRPr="006B7613">
              <w:t>0</w:t>
            </w:r>
          </w:p>
        </w:tc>
        <w:tc>
          <w:tcPr>
            <w:tcW w:w="1029" w:type="dxa"/>
          </w:tcPr>
          <w:p w14:paraId="06E400C3" w14:textId="77777777" w:rsidR="00CF0E2D" w:rsidRPr="006B7613" w:rsidRDefault="00CF0E2D" w:rsidP="00A60D4B">
            <w:pPr>
              <w:pStyle w:val="InitFigR"/>
            </w:pPr>
            <w:r w:rsidRPr="006B7613">
              <w:t>0</w:t>
            </w:r>
          </w:p>
        </w:tc>
        <w:tc>
          <w:tcPr>
            <w:tcW w:w="1029" w:type="dxa"/>
          </w:tcPr>
          <w:p w14:paraId="73FDE3D9" w14:textId="77777777" w:rsidR="00CF0E2D" w:rsidRPr="00BF7A80" w:rsidRDefault="00CF0E2D" w:rsidP="00A60D4B">
            <w:pPr>
              <w:pStyle w:val="InitFigR"/>
            </w:pPr>
            <w:r w:rsidRPr="00BF7A80">
              <w:t>110</w:t>
            </w:r>
          </w:p>
        </w:tc>
        <w:tc>
          <w:tcPr>
            <w:tcW w:w="1029" w:type="dxa"/>
          </w:tcPr>
          <w:p w14:paraId="6E1ADFB5" w14:textId="77777777" w:rsidR="00CF0E2D" w:rsidRPr="00BF7A80" w:rsidRDefault="00CF0E2D" w:rsidP="00A60D4B">
            <w:pPr>
              <w:pStyle w:val="InitFigBR"/>
            </w:pPr>
            <w:r w:rsidRPr="00BF7A80">
              <w:t>110</w:t>
            </w:r>
          </w:p>
        </w:tc>
      </w:tr>
      <w:tr w:rsidR="00CF0E2D" w:rsidRPr="00750793" w14:paraId="74C4FB94" w14:textId="77777777" w:rsidTr="00A60D4B">
        <w:trPr>
          <w:cantSplit/>
          <w:trHeight w:val="107"/>
          <w:jc w:val="center"/>
        </w:trPr>
        <w:tc>
          <w:tcPr>
            <w:tcW w:w="3652" w:type="dxa"/>
            <w:tcBorders>
              <w:top w:val="single" w:sz="4" w:space="0" w:color="auto"/>
              <w:bottom w:val="single" w:sz="4" w:space="0" w:color="auto"/>
            </w:tcBorders>
          </w:tcPr>
          <w:p w14:paraId="18D89A38"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48A10CE4" w14:textId="77777777" w:rsidR="00CF0E2D" w:rsidRPr="00424DA4" w:rsidRDefault="00CF0E2D" w:rsidP="00A60D4B">
            <w:pPr>
              <w:pStyle w:val="InitFigRBold"/>
            </w:pPr>
            <w:r>
              <w:t>0</w:t>
            </w:r>
          </w:p>
        </w:tc>
        <w:tc>
          <w:tcPr>
            <w:tcW w:w="1041" w:type="dxa"/>
            <w:tcBorders>
              <w:top w:val="single" w:sz="4" w:space="0" w:color="auto"/>
              <w:bottom w:val="single" w:sz="4" w:space="0" w:color="auto"/>
            </w:tcBorders>
          </w:tcPr>
          <w:p w14:paraId="657869A8" w14:textId="77777777" w:rsidR="00CF0E2D" w:rsidRPr="00424DA4" w:rsidRDefault="00CF0E2D" w:rsidP="00A60D4B">
            <w:pPr>
              <w:pStyle w:val="InitFigRBold"/>
            </w:pPr>
            <w:r>
              <w:t>20</w:t>
            </w:r>
          </w:p>
        </w:tc>
        <w:tc>
          <w:tcPr>
            <w:tcW w:w="1029" w:type="dxa"/>
            <w:tcBorders>
              <w:top w:val="single" w:sz="4" w:space="0" w:color="auto"/>
              <w:bottom w:val="single" w:sz="4" w:space="0" w:color="auto"/>
            </w:tcBorders>
          </w:tcPr>
          <w:p w14:paraId="577A4246" w14:textId="77777777" w:rsidR="00CF0E2D" w:rsidRPr="00424DA4" w:rsidRDefault="00CF0E2D" w:rsidP="00A60D4B">
            <w:pPr>
              <w:pStyle w:val="InitFigRBold"/>
            </w:pPr>
            <w:r>
              <w:t>240</w:t>
            </w:r>
          </w:p>
        </w:tc>
        <w:tc>
          <w:tcPr>
            <w:tcW w:w="1029" w:type="dxa"/>
            <w:tcBorders>
              <w:top w:val="single" w:sz="4" w:space="0" w:color="auto"/>
              <w:bottom w:val="single" w:sz="4" w:space="0" w:color="auto"/>
            </w:tcBorders>
          </w:tcPr>
          <w:p w14:paraId="084D5505" w14:textId="77777777" w:rsidR="00CF0E2D" w:rsidRPr="00BF7A80" w:rsidRDefault="00CF0E2D" w:rsidP="00A60D4B">
            <w:pPr>
              <w:pStyle w:val="InitFigRBold"/>
            </w:pPr>
            <w:r w:rsidRPr="00BF7A80">
              <w:t>350</w:t>
            </w:r>
          </w:p>
        </w:tc>
        <w:tc>
          <w:tcPr>
            <w:tcW w:w="1029" w:type="dxa"/>
            <w:tcBorders>
              <w:top w:val="single" w:sz="4" w:space="0" w:color="auto"/>
              <w:bottom w:val="single" w:sz="4" w:space="0" w:color="auto"/>
            </w:tcBorders>
          </w:tcPr>
          <w:p w14:paraId="19C34F46" w14:textId="77777777" w:rsidR="00CF0E2D" w:rsidRPr="00BF7A80" w:rsidRDefault="00CF0E2D" w:rsidP="00A60D4B">
            <w:pPr>
              <w:pStyle w:val="InitFigRBold"/>
            </w:pPr>
            <w:r w:rsidRPr="00BF7A80">
              <w:t>610</w:t>
            </w:r>
          </w:p>
        </w:tc>
      </w:tr>
    </w:tbl>
    <w:p w14:paraId="43F46416" w14:textId="77777777" w:rsidR="00CF0E2D" w:rsidRDefault="00CF0E2D" w:rsidP="00A60D4B">
      <w:pPr>
        <w:pStyle w:val="Bbodytext"/>
      </w:pPr>
      <w:r w:rsidRPr="004C581D">
        <w:t>The Government wi</w:t>
      </w:r>
      <w:r>
        <w:t xml:space="preserve">ll continue the design and construction of a </w:t>
      </w:r>
      <w:r w:rsidRPr="006A71CB">
        <w:t xml:space="preserve">new public transport </w:t>
      </w:r>
      <w:r>
        <w:t>interchange at Woden to provide integrated facilities for bus and light rail services. The Woden</w:t>
      </w:r>
      <w:r w:rsidRPr="006A71CB">
        <w:t xml:space="preserve"> </w:t>
      </w:r>
      <w:r>
        <w:t>l</w:t>
      </w:r>
      <w:r w:rsidRPr="006A71CB">
        <w:t xml:space="preserve">ight </w:t>
      </w:r>
      <w:r>
        <w:t>r</w:t>
      </w:r>
      <w:r w:rsidRPr="006A71CB">
        <w:t xml:space="preserve">ail </w:t>
      </w:r>
      <w:r>
        <w:t>s</w:t>
      </w:r>
      <w:r w:rsidRPr="006A71CB">
        <w:t>top</w:t>
      </w:r>
      <w:r>
        <w:t xml:space="preserve"> will be designed to integrate with stops along the Stage 2 route and be used for bus services until the completion of Light Rail Stage 2B. </w:t>
      </w:r>
    </w:p>
    <w:p w14:paraId="11B07BA2" w14:textId="77777777" w:rsidR="00CF0E2D" w:rsidRPr="00136E9C" w:rsidRDefault="00CF0E2D" w:rsidP="00A60D4B">
      <w:pPr>
        <w:pStyle w:val="Bbodytext"/>
      </w:pPr>
      <w:r>
        <w:t>This initiative also includes provisioning for electric vehicle charging infrastructure for the Canberra Institute of Technology campus in Woden.</w:t>
      </w:r>
    </w:p>
    <w:p w14:paraId="3A83AEF3" w14:textId="77777777" w:rsidR="00CF0E2D" w:rsidRDefault="00CF0E2D" w:rsidP="00A60D4B">
      <w:pPr>
        <w:pStyle w:val="Bbodytext"/>
      </w:pPr>
      <w:r>
        <w:t>This initiative contributes to the wellbeing domains of Access and connectivity and Environment and climate.</w:t>
      </w:r>
      <w:bookmarkEnd w:id="54"/>
    </w:p>
    <w:p w14:paraId="68DB637C" w14:textId="77777777" w:rsidR="00CF0E2D" w:rsidRDefault="00CF0E2D" w:rsidP="00A60D4B"/>
    <w:p w14:paraId="438489A0" w14:textId="77777777" w:rsidR="00CF0E2D" w:rsidRDefault="00CF0E2D">
      <w:r>
        <w:br w:type="page"/>
      </w:r>
    </w:p>
    <w:p w14:paraId="4EA0A973" w14:textId="77777777" w:rsidR="00CF0E2D" w:rsidRDefault="00CF0E2D" w:rsidP="00A60D4B">
      <w:pPr>
        <w:pStyle w:val="Heading3"/>
      </w:pPr>
      <w:r w:rsidRPr="008D7AA2">
        <w:lastRenderedPageBreak/>
        <w:t>PUBLIC TRUSTEE AND GUARDIAN</w:t>
      </w:r>
    </w:p>
    <w:p w14:paraId="049170F4" w14:textId="77777777" w:rsidR="00CF0E2D" w:rsidRPr="00D200CE" w:rsidRDefault="00CF0E2D" w:rsidP="00A60D4B"/>
    <w:p w14:paraId="5AA701C1" w14:textId="77777777" w:rsidR="00CF0E2D" w:rsidRPr="004A5B35" w:rsidRDefault="00CF0E2D" w:rsidP="00A60D4B">
      <w:pPr>
        <w:pStyle w:val="Heading4"/>
        <w:rPr>
          <w:rFonts w:eastAsia="Times New Roman"/>
        </w:rPr>
      </w:pPr>
      <w:r w:rsidRPr="004A5B35">
        <w:rPr>
          <w:rFonts w:eastAsia="Times New Roman"/>
        </w:rPr>
        <w:t xml:space="preserve">Supporting the Public Trustee and Guardian in caring for unclaimed deceased Canberrans </w:t>
      </w:r>
      <w:r>
        <w:rPr>
          <w:b w:val="0"/>
          <w:noProof/>
          <w:color w:val="999789"/>
          <w:sz w:val="32"/>
          <w:szCs w:val="24"/>
        </w:rPr>
        <w:drawing>
          <wp:anchor distT="0" distB="0" distL="114300" distR="114300" simplePos="0" relativeHeight="251937792" behindDoc="0" locked="1" layoutInCell="1" allowOverlap="1" wp14:anchorId="4248293E" wp14:editId="65630E61">
            <wp:simplePos x="0" y="0"/>
            <wp:positionH relativeFrom="margin">
              <wp:posOffset>4504055</wp:posOffset>
            </wp:positionH>
            <wp:positionV relativeFrom="paragraph">
              <wp:posOffset>57150</wp:posOffset>
            </wp:positionV>
            <wp:extent cx="1216660" cy="503555"/>
            <wp:effectExtent l="0" t="0" r="2540" b="0"/>
            <wp:wrapSquare wrapText="bothSides"/>
            <wp:docPr id="145" name="Picture 145" descr="Icon representing the wellbeing domain of Identity and belo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 representing the wellbeing domain of Identity and belongi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21666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5" w:type="dxa"/>
        <w:jc w:val="center"/>
        <w:tblLayout w:type="fixed"/>
        <w:tblLook w:val="04A0" w:firstRow="1" w:lastRow="0" w:firstColumn="1" w:lastColumn="0" w:noHBand="0" w:noVBand="1"/>
      </w:tblPr>
      <w:tblGrid>
        <w:gridCol w:w="3649"/>
        <w:gridCol w:w="1178"/>
        <w:gridCol w:w="1041"/>
        <w:gridCol w:w="1029"/>
        <w:gridCol w:w="1029"/>
        <w:gridCol w:w="1029"/>
      </w:tblGrid>
      <w:tr w:rsidR="00CF0E2D" w14:paraId="432031E2" w14:textId="77777777" w:rsidTr="00A60D4B">
        <w:trPr>
          <w:cantSplit/>
          <w:jc w:val="center"/>
        </w:trPr>
        <w:tc>
          <w:tcPr>
            <w:tcW w:w="3649" w:type="dxa"/>
            <w:tcBorders>
              <w:top w:val="single" w:sz="4" w:space="0" w:color="auto"/>
              <w:left w:val="nil"/>
              <w:bottom w:val="single" w:sz="4" w:space="0" w:color="auto"/>
              <w:right w:val="nil"/>
            </w:tcBorders>
            <w:hideMark/>
          </w:tcPr>
          <w:p w14:paraId="53FB1D08" w14:textId="77777777" w:rsidR="00CF0E2D" w:rsidRDefault="00CF0E2D" w:rsidP="00A60D4B">
            <w:pPr>
              <w:pStyle w:val="EmptyCell0"/>
              <w:spacing w:line="254" w:lineRule="auto"/>
              <w:rPr>
                <w:rFonts w:cstheme="minorBidi"/>
              </w:rPr>
            </w:pPr>
            <w:r>
              <w:rPr>
                <w:rFonts w:cstheme="minorBidi"/>
              </w:rPr>
              <w:t>Empty Cell</w:t>
            </w:r>
          </w:p>
        </w:tc>
        <w:tc>
          <w:tcPr>
            <w:tcW w:w="1178" w:type="dxa"/>
            <w:tcBorders>
              <w:top w:val="single" w:sz="4" w:space="0" w:color="auto"/>
              <w:left w:val="nil"/>
              <w:bottom w:val="single" w:sz="4" w:space="0" w:color="auto"/>
              <w:right w:val="nil"/>
            </w:tcBorders>
            <w:hideMark/>
          </w:tcPr>
          <w:p w14:paraId="6395A687" w14:textId="77777777" w:rsidR="00CF0E2D" w:rsidRPr="00B7386B" w:rsidRDefault="00CF0E2D" w:rsidP="00A60D4B">
            <w:pPr>
              <w:pStyle w:val="InitFigR"/>
              <w:spacing w:line="254" w:lineRule="auto"/>
              <w:rPr>
                <w:b/>
                <w:bCs/>
              </w:rPr>
            </w:pPr>
            <w:r w:rsidRPr="00B7386B">
              <w:rPr>
                <w:b/>
                <w:bCs/>
              </w:rPr>
              <w:t>2021-22</w:t>
            </w:r>
          </w:p>
          <w:p w14:paraId="7F227516" w14:textId="77777777" w:rsidR="00CF0E2D" w:rsidRPr="00B7386B" w:rsidRDefault="00CF0E2D" w:rsidP="00A60D4B">
            <w:pPr>
              <w:pStyle w:val="InitFigR"/>
              <w:spacing w:line="254" w:lineRule="auto"/>
              <w:rPr>
                <w:b/>
                <w:bCs/>
              </w:rPr>
            </w:pPr>
            <w:r w:rsidRPr="00B7386B">
              <w:rPr>
                <w:b/>
                <w:bCs/>
              </w:rPr>
              <w:t>$’000</w:t>
            </w:r>
          </w:p>
        </w:tc>
        <w:tc>
          <w:tcPr>
            <w:tcW w:w="1041" w:type="dxa"/>
            <w:tcBorders>
              <w:top w:val="single" w:sz="4" w:space="0" w:color="auto"/>
              <w:left w:val="nil"/>
              <w:bottom w:val="single" w:sz="4" w:space="0" w:color="auto"/>
              <w:right w:val="nil"/>
            </w:tcBorders>
            <w:hideMark/>
          </w:tcPr>
          <w:p w14:paraId="67F2CA58" w14:textId="77777777" w:rsidR="00CF0E2D" w:rsidRPr="00B7386B" w:rsidRDefault="00CF0E2D" w:rsidP="00A60D4B">
            <w:pPr>
              <w:pStyle w:val="InitFigR"/>
              <w:spacing w:line="254" w:lineRule="auto"/>
              <w:rPr>
                <w:b/>
                <w:bCs/>
              </w:rPr>
            </w:pPr>
            <w:r w:rsidRPr="00B7386B">
              <w:rPr>
                <w:b/>
                <w:bCs/>
              </w:rPr>
              <w:t>2022-23</w:t>
            </w:r>
          </w:p>
          <w:p w14:paraId="68498DD3" w14:textId="77777777" w:rsidR="00CF0E2D" w:rsidRPr="00B7386B" w:rsidRDefault="00CF0E2D" w:rsidP="00A60D4B">
            <w:pPr>
              <w:pStyle w:val="InitFigR"/>
              <w:spacing w:line="254" w:lineRule="auto"/>
              <w:rPr>
                <w:b/>
                <w:bCs/>
              </w:rPr>
            </w:pPr>
            <w:r w:rsidRPr="00B7386B">
              <w:rPr>
                <w:b/>
                <w:bCs/>
              </w:rPr>
              <w:t>$’000</w:t>
            </w:r>
          </w:p>
        </w:tc>
        <w:tc>
          <w:tcPr>
            <w:tcW w:w="1029" w:type="dxa"/>
            <w:tcBorders>
              <w:top w:val="single" w:sz="4" w:space="0" w:color="auto"/>
              <w:left w:val="nil"/>
              <w:bottom w:val="single" w:sz="4" w:space="0" w:color="auto"/>
              <w:right w:val="nil"/>
            </w:tcBorders>
            <w:hideMark/>
          </w:tcPr>
          <w:p w14:paraId="68D2BB28" w14:textId="77777777" w:rsidR="00CF0E2D" w:rsidRPr="00B7386B" w:rsidRDefault="00CF0E2D" w:rsidP="00A60D4B">
            <w:pPr>
              <w:pStyle w:val="InitFigR"/>
              <w:spacing w:line="254" w:lineRule="auto"/>
              <w:rPr>
                <w:b/>
                <w:bCs/>
              </w:rPr>
            </w:pPr>
            <w:r w:rsidRPr="00B7386B">
              <w:rPr>
                <w:b/>
                <w:bCs/>
              </w:rPr>
              <w:t>2023-24</w:t>
            </w:r>
          </w:p>
          <w:p w14:paraId="7762CFC2" w14:textId="77777777" w:rsidR="00CF0E2D" w:rsidRPr="00B7386B" w:rsidRDefault="00CF0E2D" w:rsidP="00A60D4B">
            <w:pPr>
              <w:pStyle w:val="InitFigR"/>
              <w:spacing w:line="254" w:lineRule="auto"/>
              <w:rPr>
                <w:b/>
                <w:bCs/>
              </w:rPr>
            </w:pPr>
            <w:r w:rsidRPr="00B7386B">
              <w:rPr>
                <w:b/>
                <w:bCs/>
              </w:rPr>
              <w:t>$’000</w:t>
            </w:r>
          </w:p>
        </w:tc>
        <w:tc>
          <w:tcPr>
            <w:tcW w:w="1029" w:type="dxa"/>
            <w:tcBorders>
              <w:top w:val="single" w:sz="4" w:space="0" w:color="auto"/>
              <w:left w:val="nil"/>
              <w:bottom w:val="single" w:sz="4" w:space="0" w:color="auto"/>
              <w:right w:val="nil"/>
            </w:tcBorders>
            <w:hideMark/>
          </w:tcPr>
          <w:p w14:paraId="24C94AB3" w14:textId="77777777" w:rsidR="00CF0E2D" w:rsidRPr="00B7386B" w:rsidRDefault="00CF0E2D" w:rsidP="00A60D4B">
            <w:pPr>
              <w:pStyle w:val="InitFigR"/>
              <w:spacing w:line="254" w:lineRule="auto"/>
              <w:rPr>
                <w:b/>
                <w:bCs/>
              </w:rPr>
            </w:pPr>
            <w:r w:rsidRPr="00B7386B">
              <w:rPr>
                <w:b/>
                <w:bCs/>
              </w:rPr>
              <w:t>2024-25</w:t>
            </w:r>
          </w:p>
          <w:p w14:paraId="59438D5E" w14:textId="77777777" w:rsidR="00CF0E2D" w:rsidRPr="00B7386B" w:rsidRDefault="00CF0E2D" w:rsidP="00A60D4B">
            <w:pPr>
              <w:pStyle w:val="InitFigR"/>
              <w:spacing w:line="254" w:lineRule="auto"/>
              <w:rPr>
                <w:b/>
                <w:bCs/>
              </w:rPr>
            </w:pPr>
            <w:r w:rsidRPr="00B7386B">
              <w:rPr>
                <w:b/>
                <w:bCs/>
              </w:rPr>
              <w:t>$’000</w:t>
            </w:r>
          </w:p>
        </w:tc>
        <w:tc>
          <w:tcPr>
            <w:tcW w:w="1029" w:type="dxa"/>
            <w:tcBorders>
              <w:top w:val="single" w:sz="4" w:space="0" w:color="auto"/>
              <w:left w:val="nil"/>
              <w:bottom w:val="single" w:sz="4" w:space="0" w:color="auto"/>
              <w:right w:val="nil"/>
            </w:tcBorders>
            <w:hideMark/>
          </w:tcPr>
          <w:p w14:paraId="0F932EE9" w14:textId="77777777" w:rsidR="00CF0E2D" w:rsidRDefault="00CF0E2D" w:rsidP="00A60D4B">
            <w:pPr>
              <w:pStyle w:val="InitFigRBold"/>
              <w:spacing w:line="254" w:lineRule="auto"/>
            </w:pPr>
            <w:r>
              <w:t>Total</w:t>
            </w:r>
          </w:p>
          <w:p w14:paraId="1C7B595E" w14:textId="77777777" w:rsidR="00CF0E2D" w:rsidRDefault="00CF0E2D" w:rsidP="00A60D4B">
            <w:pPr>
              <w:pStyle w:val="InitFigBR"/>
              <w:spacing w:line="254" w:lineRule="auto"/>
            </w:pPr>
            <w:r>
              <w:t>$’000</w:t>
            </w:r>
          </w:p>
        </w:tc>
      </w:tr>
      <w:tr w:rsidR="00CF0E2D" w14:paraId="130EF9F9" w14:textId="77777777" w:rsidTr="00A60D4B">
        <w:trPr>
          <w:cantSplit/>
          <w:jc w:val="center"/>
        </w:trPr>
        <w:tc>
          <w:tcPr>
            <w:tcW w:w="3649" w:type="dxa"/>
            <w:hideMark/>
          </w:tcPr>
          <w:p w14:paraId="4526708F" w14:textId="77777777" w:rsidR="00CF0E2D" w:rsidRDefault="00CF0E2D" w:rsidP="00A60D4B">
            <w:pPr>
              <w:pStyle w:val="InitTextL"/>
              <w:spacing w:line="254" w:lineRule="auto"/>
              <w:ind w:left="321" w:hanging="321"/>
            </w:pPr>
            <w:r>
              <w:t>Expenses</w:t>
            </w:r>
          </w:p>
        </w:tc>
        <w:tc>
          <w:tcPr>
            <w:tcW w:w="1178" w:type="dxa"/>
            <w:hideMark/>
          </w:tcPr>
          <w:p w14:paraId="6EB90666" w14:textId="77777777" w:rsidR="00CF0E2D" w:rsidRDefault="00CF0E2D" w:rsidP="00A60D4B">
            <w:pPr>
              <w:pStyle w:val="InitFigR"/>
              <w:spacing w:line="254" w:lineRule="auto"/>
            </w:pPr>
            <w:r>
              <w:t>122</w:t>
            </w:r>
          </w:p>
        </w:tc>
        <w:tc>
          <w:tcPr>
            <w:tcW w:w="1041" w:type="dxa"/>
            <w:hideMark/>
          </w:tcPr>
          <w:p w14:paraId="4B3758D6" w14:textId="77777777" w:rsidR="00CF0E2D" w:rsidRDefault="00CF0E2D" w:rsidP="00A60D4B">
            <w:pPr>
              <w:pStyle w:val="InitFigR"/>
              <w:spacing w:line="254" w:lineRule="auto"/>
            </w:pPr>
            <w:r>
              <w:t>125</w:t>
            </w:r>
          </w:p>
        </w:tc>
        <w:tc>
          <w:tcPr>
            <w:tcW w:w="1029" w:type="dxa"/>
            <w:hideMark/>
          </w:tcPr>
          <w:p w14:paraId="2557E53B" w14:textId="77777777" w:rsidR="00CF0E2D" w:rsidRDefault="00CF0E2D" w:rsidP="00A60D4B">
            <w:pPr>
              <w:pStyle w:val="InitFigR"/>
              <w:spacing w:line="254" w:lineRule="auto"/>
            </w:pPr>
            <w:r>
              <w:t>128</w:t>
            </w:r>
          </w:p>
        </w:tc>
        <w:tc>
          <w:tcPr>
            <w:tcW w:w="1029" w:type="dxa"/>
            <w:hideMark/>
          </w:tcPr>
          <w:p w14:paraId="3801D9F5" w14:textId="77777777" w:rsidR="00CF0E2D" w:rsidRDefault="00CF0E2D" w:rsidP="00A60D4B">
            <w:pPr>
              <w:pStyle w:val="InitFigR"/>
              <w:spacing w:line="254" w:lineRule="auto"/>
            </w:pPr>
            <w:r>
              <w:t>131</w:t>
            </w:r>
          </w:p>
        </w:tc>
        <w:tc>
          <w:tcPr>
            <w:tcW w:w="1029" w:type="dxa"/>
            <w:hideMark/>
          </w:tcPr>
          <w:p w14:paraId="3A135775" w14:textId="77777777" w:rsidR="00CF0E2D" w:rsidRDefault="00CF0E2D" w:rsidP="00A60D4B">
            <w:pPr>
              <w:pStyle w:val="InitFigBR"/>
              <w:spacing w:line="254" w:lineRule="auto"/>
            </w:pPr>
            <w:r>
              <w:t>506</w:t>
            </w:r>
          </w:p>
        </w:tc>
      </w:tr>
      <w:tr w:rsidR="00CF0E2D" w14:paraId="1C97B816" w14:textId="77777777" w:rsidTr="00A60D4B">
        <w:trPr>
          <w:cantSplit/>
          <w:trHeight w:val="107"/>
          <w:jc w:val="center"/>
        </w:trPr>
        <w:tc>
          <w:tcPr>
            <w:tcW w:w="3649" w:type="dxa"/>
            <w:hideMark/>
          </w:tcPr>
          <w:p w14:paraId="40989076" w14:textId="6A5B0436" w:rsidR="00CF0E2D" w:rsidRDefault="00CF0E2D" w:rsidP="00A60D4B">
            <w:pPr>
              <w:pStyle w:val="InitTextL"/>
              <w:spacing w:line="254" w:lineRule="auto"/>
              <w:ind w:left="321" w:hanging="321"/>
            </w:pPr>
            <w:r>
              <w:t>Expense</w:t>
            </w:r>
            <w:r w:rsidR="00B86042">
              <w:t>s -</w:t>
            </w:r>
            <w:r>
              <w:t xml:space="preserve"> </w:t>
            </w:r>
            <w:r w:rsidR="00B86042">
              <w:t>P</w:t>
            </w:r>
            <w:r>
              <w:t>rovision</w:t>
            </w:r>
          </w:p>
        </w:tc>
        <w:tc>
          <w:tcPr>
            <w:tcW w:w="1178" w:type="dxa"/>
            <w:hideMark/>
          </w:tcPr>
          <w:p w14:paraId="37EAD1E3" w14:textId="77777777" w:rsidR="00CF0E2D" w:rsidRDefault="00CF0E2D" w:rsidP="00A60D4B">
            <w:pPr>
              <w:pStyle w:val="InitFigR"/>
              <w:spacing w:line="254" w:lineRule="auto"/>
            </w:pPr>
            <w:r>
              <w:t>-122</w:t>
            </w:r>
          </w:p>
        </w:tc>
        <w:tc>
          <w:tcPr>
            <w:tcW w:w="1041" w:type="dxa"/>
            <w:hideMark/>
          </w:tcPr>
          <w:p w14:paraId="4682D532" w14:textId="77777777" w:rsidR="00CF0E2D" w:rsidRDefault="00CF0E2D" w:rsidP="00A60D4B">
            <w:pPr>
              <w:pStyle w:val="InitFigR"/>
              <w:spacing w:line="254" w:lineRule="auto"/>
            </w:pPr>
            <w:r>
              <w:t>-125</w:t>
            </w:r>
          </w:p>
        </w:tc>
        <w:tc>
          <w:tcPr>
            <w:tcW w:w="1029" w:type="dxa"/>
            <w:hideMark/>
          </w:tcPr>
          <w:p w14:paraId="2439AFF0" w14:textId="77777777" w:rsidR="00CF0E2D" w:rsidRDefault="00CF0E2D" w:rsidP="00A60D4B">
            <w:pPr>
              <w:pStyle w:val="InitFigR"/>
              <w:spacing w:line="254" w:lineRule="auto"/>
            </w:pPr>
            <w:r>
              <w:t>-128</w:t>
            </w:r>
          </w:p>
        </w:tc>
        <w:tc>
          <w:tcPr>
            <w:tcW w:w="1029" w:type="dxa"/>
            <w:hideMark/>
          </w:tcPr>
          <w:p w14:paraId="541F5CAF" w14:textId="77777777" w:rsidR="00CF0E2D" w:rsidRDefault="00CF0E2D" w:rsidP="00A60D4B">
            <w:pPr>
              <w:pStyle w:val="InitFigR"/>
              <w:spacing w:line="254" w:lineRule="auto"/>
            </w:pPr>
            <w:r>
              <w:t>-131</w:t>
            </w:r>
          </w:p>
        </w:tc>
        <w:tc>
          <w:tcPr>
            <w:tcW w:w="1029" w:type="dxa"/>
            <w:hideMark/>
          </w:tcPr>
          <w:p w14:paraId="52337EE3" w14:textId="77777777" w:rsidR="00CF0E2D" w:rsidRDefault="00CF0E2D" w:rsidP="00A60D4B">
            <w:pPr>
              <w:pStyle w:val="InitFigBR"/>
              <w:spacing w:line="254" w:lineRule="auto"/>
            </w:pPr>
            <w:r>
              <w:t>-506</w:t>
            </w:r>
          </w:p>
        </w:tc>
      </w:tr>
      <w:tr w:rsidR="00CF0E2D" w14:paraId="0B3F0D82" w14:textId="77777777" w:rsidTr="00A60D4B">
        <w:trPr>
          <w:cantSplit/>
          <w:trHeight w:val="107"/>
          <w:jc w:val="center"/>
        </w:trPr>
        <w:tc>
          <w:tcPr>
            <w:tcW w:w="3649" w:type="dxa"/>
            <w:tcBorders>
              <w:top w:val="single" w:sz="4" w:space="0" w:color="auto"/>
              <w:left w:val="nil"/>
              <w:bottom w:val="single" w:sz="4" w:space="0" w:color="auto"/>
              <w:right w:val="nil"/>
            </w:tcBorders>
            <w:hideMark/>
          </w:tcPr>
          <w:p w14:paraId="037DF3DF" w14:textId="77777777" w:rsidR="00CF0E2D" w:rsidRDefault="00CF0E2D" w:rsidP="00A60D4B">
            <w:pPr>
              <w:pStyle w:val="InitFigLBold"/>
              <w:spacing w:line="254" w:lineRule="auto"/>
              <w:ind w:left="321" w:hanging="321"/>
            </w:pPr>
            <w:r>
              <w:t>Net cost of services</w:t>
            </w:r>
          </w:p>
        </w:tc>
        <w:tc>
          <w:tcPr>
            <w:tcW w:w="1178" w:type="dxa"/>
            <w:tcBorders>
              <w:top w:val="single" w:sz="4" w:space="0" w:color="auto"/>
              <w:left w:val="nil"/>
              <w:bottom w:val="single" w:sz="4" w:space="0" w:color="auto"/>
              <w:right w:val="nil"/>
            </w:tcBorders>
            <w:hideMark/>
          </w:tcPr>
          <w:p w14:paraId="12015741" w14:textId="77777777" w:rsidR="00CF0E2D" w:rsidRDefault="00CF0E2D" w:rsidP="00A60D4B">
            <w:pPr>
              <w:pStyle w:val="InitFigRBold"/>
              <w:spacing w:line="254" w:lineRule="auto"/>
            </w:pPr>
            <w:r>
              <w:t>0</w:t>
            </w:r>
          </w:p>
        </w:tc>
        <w:tc>
          <w:tcPr>
            <w:tcW w:w="1041" w:type="dxa"/>
            <w:tcBorders>
              <w:top w:val="single" w:sz="4" w:space="0" w:color="auto"/>
              <w:left w:val="nil"/>
              <w:bottom w:val="single" w:sz="4" w:space="0" w:color="auto"/>
              <w:right w:val="nil"/>
            </w:tcBorders>
            <w:hideMark/>
          </w:tcPr>
          <w:p w14:paraId="587D16A7" w14:textId="77777777" w:rsidR="00CF0E2D" w:rsidRDefault="00CF0E2D" w:rsidP="00A60D4B">
            <w:pPr>
              <w:pStyle w:val="InitFigRBold"/>
              <w:spacing w:line="254" w:lineRule="auto"/>
            </w:pPr>
            <w:r>
              <w:t>0</w:t>
            </w:r>
          </w:p>
        </w:tc>
        <w:tc>
          <w:tcPr>
            <w:tcW w:w="1029" w:type="dxa"/>
            <w:tcBorders>
              <w:top w:val="single" w:sz="4" w:space="0" w:color="auto"/>
              <w:left w:val="nil"/>
              <w:bottom w:val="single" w:sz="4" w:space="0" w:color="auto"/>
              <w:right w:val="nil"/>
            </w:tcBorders>
            <w:hideMark/>
          </w:tcPr>
          <w:p w14:paraId="51DAEDCB" w14:textId="77777777" w:rsidR="00CF0E2D" w:rsidRDefault="00CF0E2D" w:rsidP="00A60D4B">
            <w:pPr>
              <w:pStyle w:val="InitFigRBold"/>
              <w:spacing w:line="254" w:lineRule="auto"/>
            </w:pPr>
            <w:r>
              <w:t>0</w:t>
            </w:r>
          </w:p>
        </w:tc>
        <w:tc>
          <w:tcPr>
            <w:tcW w:w="1029" w:type="dxa"/>
            <w:tcBorders>
              <w:top w:val="single" w:sz="4" w:space="0" w:color="auto"/>
              <w:left w:val="nil"/>
              <w:bottom w:val="single" w:sz="4" w:space="0" w:color="auto"/>
              <w:right w:val="nil"/>
            </w:tcBorders>
            <w:hideMark/>
          </w:tcPr>
          <w:p w14:paraId="56E15884" w14:textId="77777777" w:rsidR="00CF0E2D" w:rsidRDefault="00CF0E2D" w:rsidP="00A60D4B">
            <w:pPr>
              <w:pStyle w:val="InitFigRBold"/>
              <w:spacing w:line="254" w:lineRule="auto"/>
            </w:pPr>
            <w:r>
              <w:t>0</w:t>
            </w:r>
          </w:p>
        </w:tc>
        <w:tc>
          <w:tcPr>
            <w:tcW w:w="1029" w:type="dxa"/>
            <w:tcBorders>
              <w:top w:val="single" w:sz="4" w:space="0" w:color="auto"/>
              <w:left w:val="nil"/>
              <w:bottom w:val="single" w:sz="4" w:space="0" w:color="auto"/>
              <w:right w:val="nil"/>
            </w:tcBorders>
            <w:hideMark/>
          </w:tcPr>
          <w:p w14:paraId="1E0D9CA4" w14:textId="77777777" w:rsidR="00CF0E2D" w:rsidRDefault="00CF0E2D" w:rsidP="00A60D4B">
            <w:pPr>
              <w:pStyle w:val="InitFigRBold"/>
              <w:spacing w:line="254" w:lineRule="auto"/>
            </w:pPr>
            <w:r>
              <w:t>0</w:t>
            </w:r>
          </w:p>
        </w:tc>
      </w:tr>
    </w:tbl>
    <w:p w14:paraId="0CF5E41C" w14:textId="77777777" w:rsidR="00CF0E2D" w:rsidRDefault="00CF0E2D" w:rsidP="00A60D4B">
      <w:pPr>
        <w:pStyle w:val="Bbodytext"/>
      </w:pPr>
      <w:r>
        <w:t xml:space="preserve">The Government will provide funding to the Public Trustee and Guardian to cover the cost of managing unclaimed bodies. </w:t>
      </w:r>
    </w:p>
    <w:p w14:paraId="503CBC45" w14:textId="77777777" w:rsidR="00CF0E2D" w:rsidRDefault="00CF0E2D" w:rsidP="00A60D4B">
      <w:pPr>
        <w:pStyle w:val="Bbodytext"/>
      </w:pPr>
      <w:r>
        <w:t>This initiative contributes to the wellbeing domain of Identity and belonging.</w:t>
      </w:r>
    </w:p>
    <w:p w14:paraId="450F8273" w14:textId="77777777" w:rsidR="00CF0E2D" w:rsidRDefault="00CF0E2D" w:rsidP="00A60D4B"/>
    <w:p w14:paraId="7F0C5861" w14:textId="77777777" w:rsidR="00CF0E2D" w:rsidRDefault="00CF0E2D">
      <w:r>
        <w:br w:type="page"/>
      </w:r>
    </w:p>
    <w:p w14:paraId="17A782F1" w14:textId="77777777" w:rsidR="00CF0E2D" w:rsidRDefault="00CF0E2D" w:rsidP="00A60D4B">
      <w:pPr>
        <w:pStyle w:val="Heading3"/>
      </w:pPr>
      <w:r w:rsidRPr="008D7AA2">
        <w:lastRenderedPageBreak/>
        <w:t>TRANSPORT CANBERRA AND CITY SERVICES DIRECTORATE</w:t>
      </w:r>
    </w:p>
    <w:p w14:paraId="10571B37" w14:textId="77777777" w:rsidR="00CF0E2D" w:rsidRDefault="00CF0E2D" w:rsidP="00A60D4B">
      <w:pPr>
        <w:pStyle w:val="Bbodytext"/>
      </w:pPr>
    </w:p>
    <w:p w14:paraId="78BBC147" w14:textId="77777777" w:rsidR="00CF0E2D" w:rsidRPr="00D95762" w:rsidRDefault="00CF0E2D" w:rsidP="00A60D4B">
      <w:pPr>
        <w:pStyle w:val="Heading4"/>
      </w:pPr>
      <w:r>
        <w:t>Better community infrastructure</w:t>
      </w:r>
      <w:r w:rsidRPr="00D95762">
        <w:t xml:space="preserve"> – Better local shops </w:t>
      </w:r>
      <w:r>
        <w:rPr>
          <w:noProof/>
        </w:rPr>
        <w:drawing>
          <wp:anchor distT="0" distB="0" distL="114300" distR="114300" simplePos="0" relativeHeight="251944960" behindDoc="0" locked="1" layoutInCell="1" allowOverlap="1" wp14:anchorId="242B9DCB" wp14:editId="38514692">
            <wp:simplePos x="0" y="0"/>
            <wp:positionH relativeFrom="margin">
              <wp:align>right</wp:align>
            </wp:positionH>
            <wp:positionV relativeFrom="paragraph">
              <wp:posOffset>-106680</wp:posOffset>
            </wp:positionV>
            <wp:extent cx="1378585" cy="507365"/>
            <wp:effectExtent l="0" t="0" r="0" b="6985"/>
            <wp:wrapSquare wrapText="bothSides"/>
            <wp:docPr id="209" name="Picture 209"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4F209D50" w14:textId="77777777" w:rsidTr="00A60D4B">
        <w:trPr>
          <w:cantSplit/>
          <w:jc w:val="center"/>
        </w:trPr>
        <w:tc>
          <w:tcPr>
            <w:tcW w:w="3652" w:type="dxa"/>
            <w:tcBorders>
              <w:top w:val="single" w:sz="4" w:space="0" w:color="auto"/>
              <w:bottom w:val="single" w:sz="4" w:space="0" w:color="auto"/>
            </w:tcBorders>
          </w:tcPr>
          <w:p w14:paraId="55F2B8C1"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5BA6969C" w14:textId="77777777" w:rsidR="00CF0E2D" w:rsidRPr="00220232" w:rsidRDefault="00CF0E2D" w:rsidP="00A60D4B">
            <w:pPr>
              <w:pStyle w:val="InitFigR"/>
              <w:rPr>
                <w:b/>
                <w:bCs/>
              </w:rPr>
            </w:pPr>
            <w:r w:rsidRPr="00220232">
              <w:rPr>
                <w:b/>
                <w:bCs/>
              </w:rPr>
              <w:t>2021-22</w:t>
            </w:r>
          </w:p>
          <w:p w14:paraId="20ECB7FD" w14:textId="77777777" w:rsidR="00CF0E2D" w:rsidRPr="00220232" w:rsidRDefault="00CF0E2D" w:rsidP="00A60D4B">
            <w:pPr>
              <w:pStyle w:val="InitFigR"/>
              <w:rPr>
                <w:b/>
                <w:bCs/>
              </w:rPr>
            </w:pPr>
            <w:r w:rsidRPr="00220232">
              <w:rPr>
                <w:b/>
                <w:bCs/>
              </w:rPr>
              <w:t>$’000</w:t>
            </w:r>
          </w:p>
        </w:tc>
        <w:tc>
          <w:tcPr>
            <w:tcW w:w="1041" w:type="dxa"/>
            <w:tcBorders>
              <w:top w:val="single" w:sz="4" w:space="0" w:color="auto"/>
              <w:bottom w:val="single" w:sz="4" w:space="0" w:color="auto"/>
            </w:tcBorders>
          </w:tcPr>
          <w:p w14:paraId="345B2C2B" w14:textId="77777777" w:rsidR="00CF0E2D" w:rsidRPr="00220232" w:rsidRDefault="00CF0E2D" w:rsidP="00A60D4B">
            <w:pPr>
              <w:pStyle w:val="InitFigR"/>
              <w:rPr>
                <w:b/>
                <w:bCs/>
              </w:rPr>
            </w:pPr>
            <w:r w:rsidRPr="00220232">
              <w:rPr>
                <w:b/>
                <w:bCs/>
              </w:rPr>
              <w:t>2022-23</w:t>
            </w:r>
          </w:p>
          <w:p w14:paraId="28BA3D7F" w14:textId="77777777" w:rsidR="00CF0E2D" w:rsidRPr="00220232" w:rsidRDefault="00CF0E2D" w:rsidP="00A60D4B">
            <w:pPr>
              <w:pStyle w:val="InitFigR"/>
              <w:rPr>
                <w:b/>
                <w:bCs/>
              </w:rPr>
            </w:pPr>
            <w:r w:rsidRPr="00220232">
              <w:rPr>
                <w:b/>
                <w:bCs/>
              </w:rPr>
              <w:t>$’000</w:t>
            </w:r>
          </w:p>
        </w:tc>
        <w:tc>
          <w:tcPr>
            <w:tcW w:w="1029" w:type="dxa"/>
            <w:tcBorders>
              <w:top w:val="single" w:sz="4" w:space="0" w:color="auto"/>
              <w:bottom w:val="single" w:sz="4" w:space="0" w:color="auto"/>
            </w:tcBorders>
          </w:tcPr>
          <w:p w14:paraId="0BD5FCBE" w14:textId="77777777" w:rsidR="00CF0E2D" w:rsidRPr="00220232" w:rsidRDefault="00CF0E2D" w:rsidP="00A60D4B">
            <w:pPr>
              <w:pStyle w:val="InitFigR"/>
              <w:rPr>
                <w:b/>
                <w:bCs/>
              </w:rPr>
            </w:pPr>
            <w:r w:rsidRPr="00220232">
              <w:rPr>
                <w:b/>
                <w:bCs/>
              </w:rPr>
              <w:t>2023-24</w:t>
            </w:r>
          </w:p>
          <w:p w14:paraId="2B4DC311" w14:textId="77777777" w:rsidR="00CF0E2D" w:rsidRPr="00220232" w:rsidRDefault="00CF0E2D" w:rsidP="00A60D4B">
            <w:pPr>
              <w:pStyle w:val="InitFigR"/>
              <w:rPr>
                <w:b/>
                <w:bCs/>
              </w:rPr>
            </w:pPr>
            <w:r w:rsidRPr="00220232">
              <w:rPr>
                <w:b/>
                <w:bCs/>
              </w:rPr>
              <w:t>$’000</w:t>
            </w:r>
          </w:p>
        </w:tc>
        <w:tc>
          <w:tcPr>
            <w:tcW w:w="1029" w:type="dxa"/>
            <w:tcBorders>
              <w:top w:val="single" w:sz="4" w:space="0" w:color="auto"/>
              <w:bottom w:val="single" w:sz="4" w:space="0" w:color="auto"/>
            </w:tcBorders>
          </w:tcPr>
          <w:p w14:paraId="614125EF" w14:textId="77777777" w:rsidR="00CF0E2D" w:rsidRPr="00220232" w:rsidRDefault="00CF0E2D" w:rsidP="00A60D4B">
            <w:pPr>
              <w:pStyle w:val="InitFigR"/>
              <w:rPr>
                <w:b/>
                <w:bCs/>
              </w:rPr>
            </w:pPr>
            <w:r w:rsidRPr="00220232">
              <w:rPr>
                <w:b/>
                <w:bCs/>
              </w:rPr>
              <w:t>2024-25</w:t>
            </w:r>
          </w:p>
          <w:p w14:paraId="1B593BF6" w14:textId="77777777" w:rsidR="00CF0E2D" w:rsidRPr="00220232" w:rsidRDefault="00CF0E2D" w:rsidP="00A60D4B">
            <w:pPr>
              <w:pStyle w:val="InitFigR"/>
              <w:rPr>
                <w:b/>
                <w:bCs/>
              </w:rPr>
            </w:pPr>
            <w:r w:rsidRPr="00220232">
              <w:rPr>
                <w:b/>
                <w:bCs/>
              </w:rPr>
              <w:t>$’000</w:t>
            </w:r>
          </w:p>
        </w:tc>
        <w:tc>
          <w:tcPr>
            <w:tcW w:w="1029" w:type="dxa"/>
            <w:tcBorders>
              <w:top w:val="single" w:sz="4" w:space="0" w:color="auto"/>
              <w:bottom w:val="single" w:sz="4" w:space="0" w:color="auto"/>
            </w:tcBorders>
          </w:tcPr>
          <w:p w14:paraId="495E02B1" w14:textId="77777777" w:rsidR="00CF0E2D" w:rsidRPr="00220232" w:rsidRDefault="00CF0E2D" w:rsidP="00A60D4B">
            <w:pPr>
              <w:pStyle w:val="InitFigRBold"/>
              <w:rPr>
                <w:bCs/>
              </w:rPr>
            </w:pPr>
            <w:r w:rsidRPr="00220232">
              <w:rPr>
                <w:bCs/>
              </w:rPr>
              <w:t>Total</w:t>
            </w:r>
          </w:p>
          <w:p w14:paraId="369A0E3A" w14:textId="77777777" w:rsidR="00CF0E2D" w:rsidRPr="00220232" w:rsidRDefault="00CF0E2D" w:rsidP="00A60D4B">
            <w:pPr>
              <w:pStyle w:val="InitFigBR"/>
              <w:rPr>
                <w:bCs/>
              </w:rPr>
            </w:pPr>
            <w:r w:rsidRPr="00220232">
              <w:rPr>
                <w:bCs/>
              </w:rPr>
              <w:t>$’000</w:t>
            </w:r>
          </w:p>
        </w:tc>
      </w:tr>
      <w:tr w:rsidR="00CF0E2D" w:rsidRPr="00750793" w14:paraId="1BD4DB36" w14:textId="77777777" w:rsidTr="00A60D4B">
        <w:trPr>
          <w:cantSplit/>
          <w:jc w:val="center"/>
        </w:trPr>
        <w:tc>
          <w:tcPr>
            <w:tcW w:w="3652" w:type="dxa"/>
            <w:tcBorders>
              <w:top w:val="single" w:sz="4" w:space="0" w:color="auto"/>
            </w:tcBorders>
          </w:tcPr>
          <w:p w14:paraId="313FE286" w14:textId="77777777" w:rsidR="00CF0E2D" w:rsidRDefault="00CF0E2D" w:rsidP="00A60D4B">
            <w:pPr>
              <w:pStyle w:val="InitTextL"/>
              <w:ind w:left="321" w:hanging="321"/>
            </w:pPr>
            <w:r>
              <w:t>Capital</w:t>
            </w:r>
          </w:p>
        </w:tc>
        <w:tc>
          <w:tcPr>
            <w:tcW w:w="1179" w:type="dxa"/>
            <w:tcBorders>
              <w:top w:val="single" w:sz="4" w:space="0" w:color="auto"/>
            </w:tcBorders>
          </w:tcPr>
          <w:p w14:paraId="7AE20E0F" w14:textId="77777777" w:rsidR="00CF0E2D" w:rsidRDefault="00CF0E2D" w:rsidP="00A60D4B">
            <w:pPr>
              <w:pStyle w:val="InitFigR"/>
            </w:pPr>
            <w:r>
              <w:t>2,910</w:t>
            </w:r>
          </w:p>
        </w:tc>
        <w:tc>
          <w:tcPr>
            <w:tcW w:w="1041" w:type="dxa"/>
            <w:tcBorders>
              <w:top w:val="single" w:sz="4" w:space="0" w:color="auto"/>
            </w:tcBorders>
          </w:tcPr>
          <w:p w14:paraId="4D425E6B" w14:textId="77777777" w:rsidR="00CF0E2D" w:rsidRDefault="00CF0E2D" w:rsidP="00A60D4B">
            <w:pPr>
              <w:pStyle w:val="InitFigR"/>
            </w:pPr>
            <w:r>
              <w:t>4,600</w:t>
            </w:r>
          </w:p>
        </w:tc>
        <w:tc>
          <w:tcPr>
            <w:tcW w:w="1029" w:type="dxa"/>
            <w:tcBorders>
              <w:top w:val="single" w:sz="4" w:space="0" w:color="auto"/>
            </w:tcBorders>
          </w:tcPr>
          <w:p w14:paraId="062D0A36" w14:textId="77777777" w:rsidR="00CF0E2D" w:rsidRDefault="00CF0E2D" w:rsidP="00A60D4B">
            <w:pPr>
              <w:pStyle w:val="InitFigR"/>
            </w:pPr>
            <w:r>
              <w:t>5,600</w:t>
            </w:r>
          </w:p>
        </w:tc>
        <w:tc>
          <w:tcPr>
            <w:tcW w:w="1029" w:type="dxa"/>
            <w:tcBorders>
              <w:top w:val="single" w:sz="4" w:space="0" w:color="auto"/>
            </w:tcBorders>
          </w:tcPr>
          <w:p w14:paraId="08ED7D35" w14:textId="77777777" w:rsidR="00CF0E2D" w:rsidRDefault="00CF0E2D" w:rsidP="00A60D4B">
            <w:pPr>
              <w:pStyle w:val="InitFigR"/>
            </w:pPr>
            <w:r>
              <w:t>5,600</w:t>
            </w:r>
          </w:p>
        </w:tc>
        <w:tc>
          <w:tcPr>
            <w:tcW w:w="1029" w:type="dxa"/>
            <w:tcBorders>
              <w:top w:val="single" w:sz="4" w:space="0" w:color="auto"/>
            </w:tcBorders>
          </w:tcPr>
          <w:p w14:paraId="19E90797" w14:textId="77777777" w:rsidR="00CF0E2D" w:rsidRPr="00220232" w:rsidRDefault="00CF0E2D" w:rsidP="00A60D4B">
            <w:pPr>
              <w:pStyle w:val="InitFigRBold"/>
              <w:rPr>
                <w:bCs/>
              </w:rPr>
            </w:pPr>
            <w:r w:rsidRPr="00220232">
              <w:rPr>
                <w:bCs/>
              </w:rPr>
              <w:t>18,710</w:t>
            </w:r>
          </w:p>
        </w:tc>
      </w:tr>
      <w:tr w:rsidR="00CF0E2D" w:rsidRPr="00750793" w14:paraId="7DBFE3CF" w14:textId="77777777" w:rsidTr="00A60D4B">
        <w:trPr>
          <w:cantSplit/>
          <w:jc w:val="center"/>
        </w:trPr>
        <w:tc>
          <w:tcPr>
            <w:tcW w:w="3652" w:type="dxa"/>
          </w:tcPr>
          <w:p w14:paraId="4FEA78AA" w14:textId="77777777" w:rsidR="00CF0E2D" w:rsidRDefault="00CF0E2D" w:rsidP="00A60D4B">
            <w:pPr>
              <w:pStyle w:val="InitTextL"/>
              <w:ind w:left="321" w:hanging="321"/>
            </w:pPr>
            <w:r>
              <w:t>Offset – Capital – Better Infrastructure Fund</w:t>
            </w:r>
          </w:p>
        </w:tc>
        <w:tc>
          <w:tcPr>
            <w:tcW w:w="1179" w:type="dxa"/>
          </w:tcPr>
          <w:p w14:paraId="7123E79F" w14:textId="77777777" w:rsidR="00CF0E2D" w:rsidRDefault="00CF0E2D" w:rsidP="00A60D4B">
            <w:pPr>
              <w:pStyle w:val="InitFigR"/>
            </w:pPr>
            <w:r>
              <w:t>-2,910</w:t>
            </w:r>
          </w:p>
        </w:tc>
        <w:tc>
          <w:tcPr>
            <w:tcW w:w="1041" w:type="dxa"/>
          </w:tcPr>
          <w:p w14:paraId="0979C51D" w14:textId="77777777" w:rsidR="00CF0E2D" w:rsidRDefault="00CF0E2D" w:rsidP="00A60D4B">
            <w:pPr>
              <w:pStyle w:val="InitFigR"/>
            </w:pPr>
            <w:r>
              <w:t>-4,600</w:t>
            </w:r>
          </w:p>
        </w:tc>
        <w:tc>
          <w:tcPr>
            <w:tcW w:w="1029" w:type="dxa"/>
          </w:tcPr>
          <w:p w14:paraId="1F8B90E0" w14:textId="77777777" w:rsidR="00CF0E2D" w:rsidRDefault="00CF0E2D" w:rsidP="00A60D4B">
            <w:pPr>
              <w:pStyle w:val="InitFigR"/>
            </w:pPr>
            <w:r>
              <w:t>-5,600</w:t>
            </w:r>
          </w:p>
        </w:tc>
        <w:tc>
          <w:tcPr>
            <w:tcW w:w="1029" w:type="dxa"/>
          </w:tcPr>
          <w:p w14:paraId="4841A2B6" w14:textId="77777777" w:rsidR="00CF0E2D" w:rsidRDefault="00CF0E2D" w:rsidP="00A60D4B">
            <w:pPr>
              <w:pStyle w:val="InitFigR"/>
            </w:pPr>
            <w:r>
              <w:t>-5,600</w:t>
            </w:r>
          </w:p>
        </w:tc>
        <w:tc>
          <w:tcPr>
            <w:tcW w:w="1029" w:type="dxa"/>
          </w:tcPr>
          <w:p w14:paraId="190C08F2" w14:textId="77777777" w:rsidR="00CF0E2D" w:rsidRPr="00220232" w:rsidRDefault="00CF0E2D" w:rsidP="00A60D4B">
            <w:pPr>
              <w:pStyle w:val="InitFigRBold"/>
              <w:rPr>
                <w:bCs/>
              </w:rPr>
            </w:pPr>
            <w:r w:rsidRPr="00220232">
              <w:rPr>
                <w:bCs/>
              </w:rPr>
              <w:t>-18,710</w:t>
            </w:r>
          </w:p>
        </w:tc>
      </w:tr>
      <w:tr w:rsidR="00CF0E2D" w:rsidRPr="00750793" w14:paraId="2BA639B9" w14:textId="77777777" w:rsidTr="00A60D4B">
        <w:trPr>
          <w:cantSplit/>
          <w:jc w:val="center"/>
        </w:trPr>
        <w:tc>
          <w:tcPr>
            <w:tcW w:w="3652" w:type="dxa"/>
            <w:tcBorders>
              <w:top w:val="single" w:sz="4" w:space="0" w:color="auto"/>
              <w:bottom w:val="single" w:sz="4" w:space="0" w:color="auto"/>
            </w:tcBorders>
          </w:tcPr>
          <w:p w14:paraId="4593695F" w14:textId="4DE4182E" w:rsidR="00CF0E2D" w:rsidRPr="00D13A71" w:rsidRDefault="00F57411" w:rsidP="00A60D4B">
            <w:pPr>
              <w:pStyle w:val="InitTextL"/>
              <w:ind w:left="321" w:hanging="321"/>
              <w:rPr>
                <w:b/>
                <w:bCs/>
              </w:rPr>
            </w:pPr>
            <w:r>
              <w:rPr>
                <w:b/>
                <w:bCs/>
              </w:rPr>
              <w:t>Net capital</w:t>
            </w:r>
          </w:p>
        </w:tc>
        <w:tc>
          <w:tcPr>
            <w:tcW w:w="1179" w:type="dxa"/>
            <w:tcBorders>
              <w:top w:val="single" w:sz="4" w:space="0" w:color="auto"/>
              <w:bottom w:val="single" w:sz="4" w:space="0" w:color="auto"/>
            </w:tcBorders>
          </w:tcPr>
          <w:p w14:paraId="433E2E03" w14:textId="77777777" w:rsidR="00CF0E2D" w:rsidRPr="00220232" w:rsidRDefault="00CF0E2D" w:rsidP="00A60D4B">
            <w:pPr>
              <w:pStyle w:val="InitFigR"/>
              <w:rPr>
                <w:b/>
                <w:bCs/>
              </w:rPr>
            </w:pPr>
            <w:r w:rsidRPr="00220232">
              <w:rPr>
                <w:b/>
                <w:bCs/>
              </w:rPr>
              <w:t>0</w:t>
            </w:r>
          </w:p>
        </w:tc>
        <w:tc>
          <w:tcPr>
            <w:tcW w:w="1041" w:type="dxa"/>
            <w:tcBorders>
              <w:top w:val="single" w:sz="4" w:space="0" w:color="auto"/>
              <w:bottom w:val="single" w:sz="4" w:space="0" w:color="auto"/>
            </w:tcBorders>
          </w:tcPr>
          <w:p w14:paraId="43781463" w14:textId="77777777" w:rsidR="00CF0E2D" w:rsidRPr="00220232" w:rsidRDefault="00CF0E2D" w:rsidP="00A60D4B">
            <w:pPr>
              <w:pStyle w:val="InitFigR"/>
              <w:rPr>
                <w:b/>
                <w:bCs/>
              </w:rPr>
            </w:pPr>
            <w:r w:rsidRPr="00220232">
              <w:rPr>
                <w:b/>
                <w:bCs/>
              </w:rPr>
              <w:t>0</w:t>
            </w:r>
          </w:p>
        </w:tc>
        <w:tc>
          <w:tcPr>
            <w:tcW w:w="1029" w:type="dxa"/>
            <w:tcBorders>
              <w:top w:val="single" w:sz="4" w:space="0" w:color="auto"/>
              <w:bottom w:val="single" w:sz="4" w:space="0" w:color="auto"/>
            </w:tcBorders>
          </w:tcPr>
          <w:p w14:paraId="70B2F7FF" w14:textId="77777777" w:rsidR="00CF0E2D" w:rsidRPr="00220232" w:rsidRDefault="00CF0E2D" w:rsidP="00A60D4B">
            <w:pPr>
              <w:pStyle w:val="InitFigR"/>
              <w:rPr>
                <w:b/>
                <w:bCs/>
              </w:rPr>
            </w:pPr>
            <w:r w:rsidRPr="00220232">
              <w:rPr>
                <w:b/>
                <w:bCs/>
              </w:rPr>
              <w:t>0</w:t>
            </w:r>
          </w:p>
        </w:tc>
        <w:tc>
          <w:tcPr>
            <w:tcW w:w="1029" w:type="dxa"/>
            <w:tcBorders>
              <w:top w:val="single" w:sz="4" w:space="0" w:color="auto"/>
              <w:bottom w:val="single" w:sz="4" w:space="0" w:color="auto"/>
            </w:tcBorders>
          </w:tcPr>
          <w:p w14:paraId="1CE0F045" w14:textId="77777777" w:rsidR="00CF0E2D" w:rsidRPr="00220232" w:rsidRDefault="00CF0E2D" w:rsidP="00A60D4B">
            <w:pPr>
              <w:pStyle w:val="InitFigR"/>
              <w:rPr>
                <w:b/>
                <w:bCs/>
              </w:rPr>
            </w:pPr>
            <w:r w:rsidRPr="00220232">
              <w:rPr>
                <w:b/>
                <w:bCs/>
              </w:rPr>
              <w:t>0</w:t>
            </w:r>
          </w:p>
        </w:tc>
        <w:tc>
          <w:tcPr>
            <w:tcW w:w="1029" w:type="dxa"/>
            <w:tcBorders>
              <w:top w:val="single" w:sz="4" w:space="0" w:color="auto"/>
              <w:bottom w:val="single" w:sz="4" w:space="0" w:color="auto"/>
            </w:tcBorders>
          </w:tcPr>
          <w:p w14:paraId="7C6E39A4" w14:textId="77777777" w:rsidR="00CF0E2D" w:rsidRPr="00220232" w:rsidRDefault="00CF0E2D" w:rsidP="00A60D4B">
            <w:pPr>
              <w:pStyle w:val="InitFigRBold"/>
              <w:rPr>
                <w:bCs/>
              </w:rPr>
            </w:pPr>
            <w:r w:rsidRPr="00220232">
              <w:rPr>
                <w:bCs/>
              </w:rPr>
              <w:t>0</w:t>
            </w:r>
          </w:p>
        </w:tc>
      </w:tr>
    </w:tbl>
    <w:p w14:paraId="23012C79" w14:textId="77777777" w:rsidR="00CF0E2D" w:rsidRPr="00CB733A" w:rsidRDefault="00CF0E2D" w:rsidP="00A60D4B">
      <w:pPr>
        <w:pStyle w:val="Bbodytext"/>
        <w:rPr>
          <w:szCs w:val="24"/>
        </w:rPr>
      </w:pPr>
      <w:r w:rsidRPr="00CB733A">
        <w:t xml:space="preserve">The Government will upgrade 11 local shopping centres across Canberra over the next four years to create more inviting and accessible </w:t>
      </w:r>
      <w:r w:rsidRPr="00CB733A">
        <w:rPr>
          <w:szCs w:val="24"/>
        </w:rPr>
        <w:t>public spaces. This investment will commence construction at Duffy, Campbell and Gwydir Square in Kaleen where detailed design work has already been undertaken</w:t>
      </w:r>
      <w:r>
        <w:rPr>
          <w:szCs w:val="24"/>
        </w:rPr>
        <w:t>.</w:t>
      </w:r>
    </w:p>
    <w:p w14:paraId="7F13F59F" w14:textId="77777777" w:rsidR="00CF0E2D" w:rsidRDefault="00CF0E2D" w:rsidP="00A60D4B">
      <w:pPr>
        <w:pStyle w:val="Bbodytext"/>
        <w:rPr>
          <w:szCs w:val="24"/>
        </w:rPr>
      </w:pPr>
      <w:r w:rsidRPr="00CB733A">
        <w:t xml:space="preserve">Following community consultation, design work and construction </w:t>
      </w:r>
      <w:r>
        <w:rPr>
          <w:szCs w:val="24"/>
        </w:rPr>
        <w:t xml:space="preserve">will progress </w:t>
      </w:r>
      <w:r w:rsidRPr="00CB733A">
        <w:rPr>
          <w:szCs w:val="24"/>
        </w:rPr>
        <w:t xml:space="preserve">for upgrades to Brierly Street at Cooleman Court, the local shops in Narrabundah, Evatt, Macquarie and Monash and the group centres at Calwell, Lanyon and Kippax. </w:t>
      </w:r>
      <w:r>
        <w:rPr>
          <w:szCs w:val="24"/>
        </w:rPr>
        <w:t>New</w:t>
      </w:r>
      <w:r w:rsidRPr="00CB733A">
        <w:rPr>
          <w:szCs w:val="24"/>
        </w:rPr>
        <w:t xml:space="preserve"> public toilets at Farrer and Florey</w:t>
      </w:r>
      <w:r>
        <w:rPr>
          <w:szCs w:val="24"/>
        </w:rPr>
        <w:t xml:space="preserve"> will also be delivered</w:t>
      </w:r>
      <w:r w:rsidRPr="00CB733A">
        <w:rPr>
          <w:szCs w:val="24"/>
        </w:rPr>
        <w:t xml:space="preserve">, strengthening amenities around local shops. </w:t>
      </w:r>
    </w:p>
    <w:p w14:paraId="3BC2C288" w14:textId="77777777" w:rsidR="00CF0E2D" w:rsidRDefault="00CF0E2D" w:rsidP="00A60D4B">
      <w:pPr>
        <w:pStyle w:val="Bbodytext"/>
        <w:rPr>
          <w:szCs w:val="24"/>
        </w:rPr>
      </w:pPr>
      <w:r w:rsidRPr="00CB733A">
        <w:t>Th</w:t>
      </w:r>
      <w:r w:rsidRPr="00CB733A">
        <w:rPr>
          <w:szCs w:val="24"/>
        </w:rPr>
        <w:t>is initiative contributes to the wellbeing domain of Access and connectivity</w:t>
      </w:r>
      <w:r>
        <w:rPr>
          <w:szCs w:val="24"/>
        </w:rPr>
        <w:t>.</w:t>
      </w:r>
      <w:r w:rsidRPr="00CB733A">
        <w:rPr>
          <w:szCs w:val="24"/>
        </w:rPr>
        <w:t xml:space="preserve"> </w:t>
      </w:r>
    </w:p>
    <w:p w14:paraId="39ADB94B" w14:textId="77777777" w:rsidR="00CF0E2D" w:rsidRDefault="00CF0E2D" w:rsidP="00A60D4B">
      <w:pPr>
        <w:pStyle w:val="Bbodytext"/>
        <w:rPr>
          <w:szCs w:val="24"/>
        </w:rPr>
      </w:pPr>
    </w:p>
    <w:p w14:paraId="58AA3C93" w14:textId="77777777" w:rsidR="00CF0E2D" w:rsidRPr="00E76FF4" w:rsidRDefault="00CF0E2D" w:rsidP="00A60D4B">
      <w:pPr>
        <w:pStyle w:val="Heading4"/>
        <w:rPr>
          <w:rFonts w:eastAsia="Times New Roman" w:cs="Times New Roman"/>
          <w:szCs w:val="26"/>
        </w:rPr>
      </w:pPr>
      <w:r>
        <w:t>Better community infrastructure</w:t>
      </w:r>
      <w:r w:rsidRPr="00D95762">
        <w:t xml:space="preserve"> – Better play spaces and dog parks</w:t>
      </w:r>
      <w:r w:rsidRPr="00E76FF4">
        <w:rPr>
          <w:rFonts w:eastAsia="Times New Roman" w:cs="Times New Roman"/>
          <w:szCs w:val="26"/>
        </w:rPr>
        <w:t xml:space="preserve"> </w:t>
      </w:r>
      <w:r>
        <w:rPr>
          <w:noProof/>
        </w:rPr>
        <w:drawing>
          <wp:anchor distT="0" distB="0" distL="114300" distR="114300" simplePos="0" relativeHeight="251945984" behindDoc="0" locked="1" layoutInCell="1" allowOverlap="1" wp14:anchorId="210D1001" wp14:editId="0D2BBC5A">
            <wp:simplePos x="0" y="0"/>
            <wp:positionH relativeFrom="margin">
              <wp:align>right</wp:align>
            </wp:positionH>
            <wp:positionV relativeFrom="paragraph">
              <wp:posOffset>75565</wp:posOffset>
            </wp:positionV>
            <wp:extent cx="1378585" cy="507365"/>
            <wp:effectExtent l="0" t="0" r="0" b="6985"/>
            <wp:wrapSquare wrapText="bothSides"/>
            <wp:docPr id="210" name="Picture 210"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4D7815C5" w14:textId="77777777" w:rsidTr="00A60D4B">
        <w:trPr>
          <w:cantSplit/>
          <w:jc w:val="center"/>
        </w:trPr>
        <w:tc>
          <w:tcPr>
            <w:tcW w:w="3652" w:type="dxa"/>
            <w:tcBorders>
              <w:top w:val="single" w:sz="4" w:space="0" w:color="auto"/>
              <w:bottom w:val="single" w:sz="4" w:space="0" w:color="auto"/>
            </w:tcBorders>
          </w:tcPr>
          <w:p w14:paraId="15E2B470"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3530E8C8" w14:textId="77777777" w:rsidR="00CF0E2D" w:rsidRPr="00220232" w:rsidRDefault="00CF0E2D" w:rsidP="00A60D4B">
            <w:pPr>
              <w:pStyle w:val="InitFigR"/>
              <w:rPr>
                <w:b/>
                <w:bCs/>
              </w:rPr>
            </w:pPr>
            <w:r w:rsidRPr="00220232">
              <w:rPr>
                <w:b/>
                <w:bCs/>
              </w:rPr>
              <w:t>2021-22</w:t>
            </w:r>
          </w:p>
          <w:p w14:paraId="305F0E0F" w14:textId="77777777" w:rsidR="00CF0E2D" w:rsidRPr="00220232" w:rsidRDefault="00CF0E2D" w:rsidP="00A60D4B">
            <w:pPr>
              <w:pStyle w:val="InitFigR"/>
              <w:rPr>
                <w:b/>
                <w:bCs/>
              </w:rPr>
            </w:pPr>
            <w:r w:rsidRPr="00220232">
              <w:rPr>
                <w:b/>
                <w:bCs/>
              </w:rPr>
              <w:t>$’000</w:t>
            </w:r>
          </w:p>
        </w:tc>
        <w:tc>
          <w:tcPr>
            <w:tcW w:w="1041" w:type="dxa"/>
            <w:tcBorders>
              <w:top w:val="single" w:sz="4" w:space="0" w:color="auto"/>
              <w:bottom w:val="single" w:sz="4" w:space="0" w:color="auto"/>
            </w:tcBorders>
          </w:tcPr>
          <w:p w14:paraId="49AB2147" w14:textId="77777777" w:rsidR="00CF0E2D" w:rsidRPr="00220232" w:rsidRDefault="00CF0E2D" w:rsidP="00A60D4B">
            <w:pPr>
              <w:pStyle w:val="InitFigR"/>
              <w:rPr>
                <w:b/>
                <w:bCs/>
              </w:rPr>
            </w:pPr>
            <w:r w:rsidRPr="00220232">
              <w:rPr>
                <w:b/>
                <w:bCs/>
              </w:rPr>
              <w:t>2022-23</w:t>
            </w:r>
          </w:p>
          <w:p w14:paraId="452873BD" w14:textId="77777777" w:rsidR="00CF0E2D" w:rsidRPr="00220232" w:rsidRDefault="00CF0E2D" w:rsidP="00A60D4B">
            <w:pPr>
              <w:pStyle w:val="InitFigR"/>
              <w:rPr>
                <w:b/>
                <w:bCs/>
              </w:rPr>
            </w:pPr>
            <w:r w:rsidRPr="00220232">
              <w:rPr>
                <w:b/>
                <w:bCs/>
              </w:rPr>
              <w:t>$’000</w:t>
            </w:r>
          </w:p>
        </w:tc>
        <w:tc>
          <w:tcPr>
            <w:tcW w:w="1029" w:type="dxa"/>
            <w:tcBorders>
              <w:top w:val="single" w:sz="4" w:space="0" w:color="auto"/>
              <w:bottom w:val="single" w:sz="4" w:space="0" w:color="auto"/>
            </w:tcBorders>
          </w:tcPr>
          <w:p w14:paraId="3BECF66C" w14:textId="77777777" w:rsidR="00CF0E2D" w:rsidRPr="00220232" w:rsidRDefault="00CF0E2D" w:rsidP="00A60D4B">
            <w:pPr>
              <w:pStyle w:val="InitFigR"/>
              <w:rPr>
                <w:b/>
                <w:bCs/>
              </w:rPr>
            </w:pPr>
            <w:r w:rsidRPr="00220232">
              <w:rPr>
                <w:b/>
                <w:bCs/>
              </w:rPr>
              <w:t>2023-24</w:t>
            </w:r>
          </w:p>
          <w:p w14:paraId="0CB66222" w14:textId="77777777" w:rsidR="00CF0E2D" w:rsidRPr="00220232" w:rsidRDefault="00CF0E2D" w:rsidP="00A60D4B">
            <w:pPr>
              <w:pStyle w:val="InitFigR"/>
              <w:rPr>
                <w:b/>
                <w:bCs/>
              </w:rPr>
            </w:pPr>
            <w:r w:rsidRPr="00220232">
              <w:rPr>
                <w:b/>
                <w:bCs/>
              </w:rPr>
              <w:t>$’000</w:t>
            </w:r>
          </w:p>
        </w:tc>
        <w:tc>
          <w:tcPr>
            <w:tcW w:w="1029" w:type="dxa"/>
            <w:tcBorders>
              <w:top w:val="single" w:sz="4" w:space="0" w:color="auto"/>
              <w:bottom w:val="single" w:sz="4" w:space="0" w:color="auto"/>
            </w:tcBorders>
          </w:tcPr>
          <w:p w14:paraId="4BDF5E1C" w14:textId="77777777" w:rsidR="00CF0E2D" w:rsidRPr="00220232" w:rsidRDefault="00CF0E2D" w:rsidP="00A60D4B">
            <w:pPr>
              <w:pStyle w:val="InitFigR"/>
              <w:rPr>
                <w:b/>
                <w:bCs/>
              </w:rPr>
            </w:pPr>
            <w:r w:rsidRPr="00220232">
              <w:rPr>
                <w:b/>
                <w:bCs/>
              </w:rPr>
              <w:t>2024-25</w:t>
            </w:r>
          </w:p>
          <w:p w14:paraId="532A3502" w14:textId="77777777" w:rsidR="00CF0E2D" w:rsidRPr="00220232" w:rsidRDefault="00CF0E2D" w:rsidP="00A60D4B">
            <w:pPr>
              <w:pStyle w:val="InitFigR"/>
              <w:rPr>
                <w:b/>
                <w:bCs/>
              </w:rPr>
            </w:pPr>
            <w:r w:rsidRPr="00220232">
              <w:rPr>
                <w:b/>
                <w:bCs/>
              </w:rPr>
              <w:t>$’000</w:t>
            </w:r>
          </w:p>
        </w:tc>
        <w:tc>
          <w:tcPr>
            <w:tcW w:w="1029" w:type="dxa"/>
            <w:tcBorders>
              <w:top w:val="single" w:sz="4" w:space="0" w:color="auto"/>
              <w:bottom w:val="single" w:sz="4" w:space="0" w:color="auto"/>
            </w:tcBorders>
          </w:tcPr>
          <w:p w14:paraId="15406997" w14:textId="77777777" w:rsidR="00CF0E2D" w:rsidRPr="004E341E" w:rsidRDefault="00CF0E2D" w:rsidP="00A60D4B">
            <w:pPr>
              <w:pStyle w:val="InitFigRBold"/>
            </w:pPr>
            <w:r w:rsidRPr="004E341E">
              <w:t>Total</w:t>
            </w:r>
          </w:p>
          <w:p w14:paraId="631F93DB" w14:textId="77777777" w:rsidR="00CF0E2D" w:rsidRPr="004E341E" w:rsidRDefault="00CF0E2D" w:rsidP="00A60D4B">
            <w:pPr>
              <w:pStyle w:val="InitFigBR"/>
            </w:pPr>
            <w:r w:rsidRPr="004E341E">
              <w:t>$’000</w:t>
            </w:r>
          </w:p>
        </w:tc>
      </w:tr>
      <w:tr w:rsidR="00CF0E2D" w:rsidRPr="00750793" w14:paraId="7D388F4F" w14:textId="77777777" w:rsidTr="00A60D4B">
        <w:trPr>
          <w:cantSplit/>
          <w:jc w:val="center"/>
        </w:trPr>
        <w:tc>
          <w:tcPr>
            <w:tcW w:w="3652" w:type="dxa"/>
            <w:tcBorders>
              <w:top w:val="single" w:sz="4" w:space="0" w:color="auto"/>
            </w:tcBorders>
          </w:tcPr>
          <w:p w14:paraId="12E7FEE9" w14:textId="77777777" w:rsidR="00CF0E2D" w:rsidRDefault="00CF0E2D" w:rsidP="00A60D4B">
            <w:pPr>
              <w:pStyle w:val="InitTextL"/>
              <w:ind w:left="321" w:hanging="321"/>
            </w:pPr>
            <w:r>
              <w:t>Capital</w:t>
            </w:r>
          </w:p>
        </w:tc>
        <w:tc>
          <w:tcPr>
            <w:tcW w:w="1179" w:type="dxa"/>
            <w:tcBorders>
              <w:top w:val="single" w:sz="4" w:space="0" w:color="auto"/>
            </w:tcBorders>
          </w:tcPr>
          <w:p w14:paraId="692AEA0A" w14:textId="77777777" w:rsidR="00CF0E2D" w:rsidRDefault="00CF0E2D" w:rsidP="00A60D4B">
            <w:pPr>
              <w:pStyle w:val="InitFigR"/>
            </w:pPr>
            <w:r>
              <w:t>1,100</w:t>
            </w:r>
          </w:p>
        </w:tc>
        <w:tc>
          <w:tcPr>
            <w:tcW w:w="1041" w:type="dxa"/>
            <w:tcBorders>
              <w:top w:val="single" w:sz="4" w:space="0" w:color="auto"/>
            </w:tcBorders>
          </w:tcPr>
          <w:p w14:paraId="2E6160B8" w14:textId="77777777" w:rsidR="00CF0E2D" w:rsidRDefault="00CF0E2D" w:rsidP="00A60D4B">
            <w:pPr>
              <w:pStyle w:val="InitFigR"/>
            </w:pPr>
            <w:r>
              <w:t>1,400</w:t>
            </w:r>
          </w:p>
        </w:tc>
        <w:tc>
          <w:tcPr>
            <w:tcW w:w="1029" w:type="dxa"/>
            <w:tcBorders>
              <w:top w:val="single" w:sz="4" w:space="0" w:color="auto"/>
            </w:tcBorders>
          </w:tcPr>
          <w:p w14:paraId="68C83993" w14:textId="77777777" w:rsidR="00CF0E2D" w:rsidRDefault="00CF0E2D" w:rsidP="00A60D4B">
            <w:pPr>
              <w:pStyle w:val="InitFigR"/>
            </w:pPr>
            <w:r>
              <w:t>1,500</w:t>
            </w:r>
          </w:p>
        </w:tc>
        <w:tc>
          <w:tcPr>
            <w:tcW w:w="1029" w:type="dxa"/>
            <w:tcBorders>
              <w:top w:val="single" w:sz="4" w:space="0" w:color="auto"/>
            </w:tcBorders>
          </w:tcPr>
          <w:p w14:paraId="6455A839" w14:textId="77777777" w:rsidR="00CF0E2D" w:rsidRDefault="00CF0E2D" w:rsidP="00A60D4B">
            <w:pPr>
              <w:pStyle w:val="InitFigR"/>
            </w:pPr>
            <w:r>
              <w:t>1,300</w:t>
            </w:r>
          </w:p>
        </w:tc>
        <w:tc>
          <w:tcPr>
            <w:tcW w:w="1029" w:type="dxa"/>
            <w:tcBorders>
              <w:top w:val="single" w:sz="4" w:space="0" w:color="auto"/>
            </w:tcBorders>
          </w:tcPr>
          <w:p w14:paraId="45237B28" w14:textId="77777777" w:rsidR="00CF0E2D" w:rsidRPr="00220232" w:rsidRDefault="00CF0E2D" w:rsidP="00A60D4B">
            <w:pPr>
              <w:pStyle w:val="InitFigRBold"/>
              <w:rPr>
                <w:bCs/>
              </w:rPr>
            </w:pPr>
            <w:r w:rsidRPr="00220232">
              <w:rPr>
                <w:bCs/>
              </w:rPr>
              <w:t>5,300</w:t>
            </w:r>
          </w:p>
        </w:tc>
      </w:tr>
      <w:tr w:rsidR="00CF0E2D" w:rsidRPr="00750793" w14:paraId="12F80A6B" w14:textId="77777777" w:rsidTr="00A60D4B">
        <w:trPr>
          <w:cantSplit/>
          <w:jc w:val="center"/>
        </w:trPr>
        <w:tc>
          <w:tcPr>
            <w:tcW w:w="3652" w:type="dxa"/>
          </w:tcPr>
          <w:p w14:paraId="7DDECB79" w14:textId="77777777" w:rsidR="00CF0E2D" w:rsidRDefault="00CF0E2D" w:rsidP="00A60D4B">
            <w:pPr>
              <w:pStyle w:val="InitTextL"/>
              <w:ind w:left="321" w:hanging="321"/>
            </w:pPr>
            <w:r>
              <w:t>Offset – Capital – Better Infrastructure Fund</w:t>
            </w:r>
          </w:p>
        </w:tc>
        <w:tc>
          <w:tcPr>
            <w:tcW w:w="1179" w:type="dxa"/>
          </w:tcPr>
          <w:p w14:paraId="6730D1DF" w14:textId="77777777" w:rsidR="00CF0E2D" w:rsidRDefault="00CF0E2D" w:rsidP="00A60D4B">
            <w:pPr>
              <w:pStyle w:val="InitFigR"/>
            </w:pPr>
            <w:r>
              <w:t>-1,100</w:t>
            </w:r>
          </w:p>
        </w:tc>
        <w:tc>
          <w:tcPr>
            <w:tcW w:w="1041" w:type="dxa"/>
          </w:tcPr>
          <w:p w14:paraId="56F04E06" w14:textId="77777777" w:rsidR="00CF0E2D" w:rsidRDefault="00CF0E2D" w:rsidP="00A60D4B">
            <w:pPr>
              <w:pStyle w:val="InitFigR"/>
            </w:pPr>
            <w:r>
              <w:t>-1,400</w:t>
            </w:r>
          </w:p>
        </w:tc>
        <w:tc>
          <w:tcPr>
            <w:tcW w:w="1029" w:type="dxa"/>
          </w:tcPr>
          <w:p w14:paraId="5BEE193D" w14:textId="77777777" w:rsidR="00CF0E2D" w:rsidRDefault="00CF0E2D" w:rsidP="00A60D4B">
            <w:pPr>
              <w:pStyle w:val="InitFigR"/>
            </w:pPr>
            <w:r>
              <w:t>-1,500</w:t>
            </w:r>
          </w:p>
        </w:tc>
        <w:tc>
          <w:tcPr>
            <w:tcW w:w="1029" w:type="dxa"/>
          </w:tcPr>
          <w:p w14:paraId="584B29ED" w14:textId="77777777" w:rsidR="00CF0E2D" w:rsidRDefault="00CF0E2D" w:rsidP="00A60D4B">
            <w:pPr>
              <w:pStyle w:val="InitFigR"/>
            </w:pPr>
            <w:r>
              <w:t>-1,300</w:t>
            </w:r>
          </w:p>
        </w:tc>
        <w:tc>
          <w:tcPr>
            <w:tcW w:w="1029" w:type="dxa"/>
          </w:tcPr>
          <w:p w14:paraId="56945119" w14:textId="77777777" w:rsidR="00CF0E2D" w:rsidRPr="00220232" w:rsidRDefault="00CF0E2D" w:rsidP="00A60D4B">
            <w:pPr>
              <w:pStyle w:val="InitFigRBold"/>
              <w:rPr>
                <w:bCs/>
              </w:rPr>
            </w:pPr>
            <w:r w:rsidRPr="00220232">
              <w:rPr>
                <w:bCs/>
              </w:rPr>
              <w:t>-5,300</w:t>
            </w:r>
          </w:p>
        </w:tc>
      </w:tr>
      <w:tr w:rsidR="00CF0E2D" w:rsidRPr="00750793" w14:paraId="4BC9053A" w14:textId="77777777" w:rsidTr="00A60D4B">
        <w:trPr>
          <w:cantSplit/>
          <w:jc w:val="center"/>
        </w:trPr>
        <w:tc>
          <w:tcPr>
            <w:tcW w:w="3652" w:type="dxa"/>
            <w:tcBorders>
              <w:top w:val="single" w:sz="4" w:space="0" w:color="auto"/>
              <w:bottom w:val="single" w:sz="4" w:space="0" w:color="auto"/>
            </w:tcBorders>
          </w:tcPr>
          <w:p w14:paraId="50B478A5" w14:textId="580E3156" w:rsidR="00CF0E2D" w:rsidRPr="00D13A71" w:rsidRDefault="00F57411" w:rsidP="00A60D4B">
            <w:pPr>
              <w:pStyle w:val="InitTextL"/>
              <w:ind w:left="321" w:hanging="321"/>
              <w:rPr>
                <w:b/>
                <w:bCs/>
              </w:rPr>
            </w:pPr>
            <w:r>
              <w:rPr>
                <w:b/>
                <w:bCs/>
              </w:rPr>
              <w:t>Net capital</w:t>
            </w:r>
          </w:p>
        </w:tc>
        <w:tc>
          <w:tcPr>
            <w:tcW w:w="1179" w:type="dxa"/>
            <w:tcBorders>
              <w:top w:val="single" w:sz="4" w:space="0" w:color="auto"/>
              <w:bottom w:val="single" w:sz="4" w:space="0" w:color="auto"/>
            </w:tcBorders>
          </w:tcPr>
          <w:p w14:paraId="3685409D" w14:textId="77777777" w:rsidR="00CF0E2D" w:rsidRPr="00220232" w:rsidRDefault="00CF0E2D" w:rsidP="00A60D4B">
            <w:pPr>
              <w:pStyle w:val="InitFigR"/>
              <w:rPr>
                <w:b/>
                <w:bCs/>
              </w:rPr>
            </w:pPr>
            <w:r w:rsidRPr="00220232">
              <w:rPr>
                <w:b/>
                <w:bCs/>
              </w:rPr>
              <w:t>0</w:t>
            </w:r>
          </w:p>
        </w:tc>
        <w:tc>
          <w:tcPr>
            <w:tcW w:w="1041" w:type="dxa"/>
            <w:tcBorders>
              <w:top w:val="single" w:sz="4" w:space="0" w:color="auto"/>
              <w:bottom w:val="single" w:sz="4" w:space="0" w:color="auto"/>
            </w:tcBorders>
          </w:tcPr>
          <w:p w14:paraId="310C8560" w14:textId="77777777" w:rsidR="00CF0E2D" w:rsidRPr="00220232" w:rsidRDefault="00CF0E2D" w:rsidP="00A60D4B">
            <w:pPr>
              <w:pStyle w:val="InitFigR"/>
              <w:rPr>
                <w:b/>
                <w:bCs/>
              </w:rPr>
            </w:pPr>
            <w:r w:rsidRPr="00220232">
              <w:rPr>
                <w:b/>
                <w:bCs/>
              </w:rPr>
              <w:t>0</w:t>
            </w:r>
          </w:p>
        </w:tc>
        <w:tc>
          <w:tcPr>
            <w:tcW w:w="1029" w:type="dxa"/>
            <w:tcBorders>
              <w:top w:val="single" w:sz="4" w:space="0" w:color="auto"/>
              <w:bottom w:val="single" w:sz="4" w:space="0" w:color="auto"/>
            </w:tcBorders>
          </w:tcPr>
          <w:p w14:paraId="48659282" w14:textId="77777777" w:rsidR="00CF0E2D" w:rsidRPr="00220232" w:rsidRDefault="00CF0E2D" w:rsidP="00A60D4B">
            <w:pPr>
              <w:pStyle w:val="InitFigR"/>
              <w:rPr>
                <w:b/>
                <w:bCs/>
              </w:rPr>
            </w:pPr>
            <w:r w:rsidRPr="00220232">
              <w:rPr>
                <w:b/>
                <w:bCs/>
              </w:rPr>
              <w:t>0</w:t>
            </w:r>
          </w:p>
        </w:tc>
        <w:tc>
          <w:tcPr>
            <w:tcW w:w="1029" w:type="dxa"/>
            <w:tcBorders>
              <w:top w:val="single" w:sz="4" w:space="0" w:color="auto"/>
              <w:bottom w:val="single" w:sz="4" w:space="0" w:color="auto"/>
            </w:tcBorders>
          </w:tcPr>
          <w:p w14:paraId="7BB26EDF" w14:textId="77777777" w:rsidR="00CF0E2D" w:rsidRPr="00220232" w:rsidRDefault="00CF0E2D" w:rsidP="00A60D4B">
            <w:pPr>
              <w:pStyle w:val="InitFigR"/>
              <w:rPr>
                <w:b/>
                <w:bCs/>
              </w:rPr>
            </w:pPr>
            <w:r w:rsidRPr="00220232">
              <w:rPr>
                <w:b/>
                <w:bCs/>
              </w:rPr>
              <w:t>0</w:t>
            </w:r>
          </w:p>
        </w:tc>
        <w:tc>
          <w:tcPr>
            <w:tcW w:w="1029" w:type="dxa"/>
            <w:tcBorders>
              <w:top w:val="single" w:sz="4" w:space="0" w:color="auto"/>
              <w:bottom w:val="single" w:sz="4" w:space="0" w:color="auto"/>
            </w:tcBorders>
          </w:tcPr>
          <w:p w14:paraId="07546590" w14:textId="77777777" w:rsidR="00CF0E2D" w:rsidRPr="00220232" w:rsidRDefault="00CF0E2D" w:rsidP="00A60D4B">
            <w:pPr>
              <w:pStyle w:val="InitFigRBold"/>
              <w:rPr>
                <w:bCs/>
              </w:rPr>
            </w:pPr>
            <w:r w:rsidRPr="00220232">
              <w:rPr>
                <w:bCs/>
              </w:rPr>
              <w:t>0</w:t>
            </w:r>
          </w:p>
        </w:tc>
      </w:tr>
    </w:tbl>
    <w:p w14:paraId="79DA5995" w14:textId="77777777" w:rsidR="00CF0E2D" w:rsidRPr="00CB733A" w:rsidRDefault="00CF0E2D" w:rsidP="00A60D4B">
      <w:pPr>
        <w:pStyle w:val="Bbodytext"/>
        <w:rPr>
          <w:szCs w:val="24"/>
        </w:rPr>
      </w:pPr>
      <w:r w:rsidRPr="00CB733A">
        <w:t>The Government will deliver new or upgraded play spaces for six Canberra suburbs, with improvements to be undertaken at play spaces in Ka</w:t>
      </w:r>
      <w:r w:rsidRPr="00CB733A">
        <w:rPr>
          <w:szCs w:val="24"/>
        </w:rPr>
        <w:t xml:space="preserve">leen, Ngunnawal, Chisholm, Gordon, Lyons and Aranda over the next four years. This will include upgrades to existing play facilities or the addition of new facilities like nature play, climbing structures and bike pump tracks. </w:t>
      </w:r>
    </w:p>
    <w:p w14:paraId="48ABAF53" w14:textId="77777777" w:rsidR="00CF0E2D" w:rsidRPr="00CB733A" w:rsidRDefault="00CF0E2D" w:rsidP="00A60D4B">
      <w:pPr>
        <w:pStyle w:val="Bbodytext"/>
        <w:rPr>
          <w:szCs w:val="24"/>
        </w:rPr>
      </w:pPr>
      <w:r w:rsidRPr="00CB733A">
        <w:t>The Government will also del</w:t>
      </w:r>
      <w:r w:rsidRPr="00CB733A">
        <w:rPr>
          <w:szCs w:val="24"/>
        </w:rPr>
        <w:t xml:space="preserve">iver more dedicated dog parks, with two new parks to be established in the Lanyon Valley and Franklin. This initiative includes funding to undertake refresh works at the existing dog parks in Casey and O’Connor. </w:t>
      </w:r>
    </w:p>
    <w:p w14:paraId="7D71E947" w14:textId="77777777" w:rsidR="00CF0E2D" w:rsidRDefault="00CF0E2D" w:rsidP="00A60D4B">
      <w:pPr>
        <w:pStyle w:val="Bbodytext"/>
        <w:rPr>
          <w:szCs w:val="24"/>
        </w:rPr>
      </w:pPr>
      <w:r>
        <w:t xml:space="preserve">This initiative </w:t>
      </w:r>
      <w:r w:rsidRPr="00CB733A">
        <w:rPr>
          <w:szCs w:val="24"/>
        </w:rPr>
        <w:t>contributes to the wellbeing domains of Access and connectivity and Health.</w:t>
      </w:r>
    </w:p>
    <w:p w14:paraId="160F38BD" w14:textId="77777777" w:rsidR="00CF0E2D" w:rsidRPr="00CB733A" w:rsidRDefault="00CF0E2D" w:rsidP="00A60D4B">
      <w:pPr>
        <w:pStyle w:val="Bbodytext"/>
        <w:rPr>
          <w:szCs w:val="24"/>
        </w:rPr>
      </w:pPr>
    </w:p>
    <w:p w14:paraId="61006C85" w14:textId="77777777" w:rsidR="00CF0E2D" w:rsidRDefault="00CF0E2D" w:rsidP="00A60D4B">
      <w:pPr>
        <w:pStyle w:val="Bbodytext"/>
      </w:pPr>
    </w:p>
    <w:p w14:paraId="68501D8E" w14:textId="77777777" w:rsidR="00CF0E2D" w:rsidRDefault="00CF0E2D" w:rsidP="00A60D4B">
      <w:pPr>
        <w:pStyle w:val="Heading4"/>
        <w:rPr>
          <w:rFonts w:eastAsia="Times New Roman"/>
        </w:rPr>
      </w:pPr>
      <w:r w:rsidRPr="00292222">
        <w:rPr>
          <w:rFonts w:eastAsia="Times New Roman"/>
        </w:rPr>
        <w:lastRenderedPageBreak/>
        <w:t xml:space="preserve">Better community infrastructure </w:t>
      </w:r>
      <w:r>
        <w:rPr>
          <w:rFonts w:eastAsia="Times New Roman"/>
        </w:rPr>
        <w:t>–</w:t>
      </w:r>
      <w:r w:rsidRPr="00292222">
        <w:rPr>
          <w:rFonts w:eastAsia="Times New Roman"/>
        </w:rPr>
        <w:t xml:space="preserve"> Improving local roads and community </w:t>
      </w:r>
      <w:r>
        <w:rPr>
          <w:noProof/>
        </w:rPr>
        <w:drawing>
          <wp:anchor distT="0" distB="0" distL="114300" distR="114300" simplePos="0" relativeHeight="251916288" behindDoc="0" locked="1" layoutInCell="1" allowOverlap="1" wp14:anchorId="61E56ED5" wp14:editId="39D9CCAD">
            <wp:simplePos x="0" y="0"/>
            <wp:positionH relativeFrom="margin">
              <wp:align>right</wp:align>
            </wp:positionH>
            <wp:positionV relativeFrom="paragraph">
              <wp:posOffset>77470</wp:posOffset>
            </wp:positionV>
            <wp:extent cx="1378585" cy="507365"/>
            <wp:effectExtent l="0" t="0" r="0" b="6985"/>
            <wp:wrapSquare wrapText="bothSides"/>
            <wp:docPr id="211" name="Picture 211"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r w:rsidRPr="00292222">
        <w:rPr>
          <w:rFonts w:eastAsia="Times New Roman"/>
        </w:rPr>
        <w:t>infrastructure</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37A6B" w14:paraId="14E2F186" w14:textId="77777777" w:rsidTr="00A60D4B">
        <w:trPr>
          <w:cantSplit/>
          <w:jc w:val="center"/>
        </w:trPr>
        <w:tc>
          <w:tcPr>
            <w:tcW w:w="3652" w:type="dxa"/>
            <w:tcBorders>
              <w:top w:val="single" w:sz="4" w:space="0" w:color="auto"/>
              <w:bottom w:val="single" w:sz="4" w:space="0" w:color="auto"/>
            </w:tcBorders>
          </w:tcPr>
          <w:p w14:paraId="648AB85C" w14:textId="77777777" w:rsidR="00CF0E2D" w:rsidRPr="008D5B2C" w:rsidRDefault="00CF0E2D" w:rsidP="00A60D4B">
            <w:pPr>
              <w:spacing w:after="0"/>
              <w:jc w:val="right"/>
              <w:rPr>
                <w:rFonts w:cs="Calibri"/>
                <w:color w:val="FFFFFF"/>
                <w:sz w:val="24"/>
                <w:szCs w:val="24"/>
              </w:rPr>
            </w:pPr>
            <w:r w:rsidRPr="008D5B2C">
              <w:rPr>
                <w:rFonts w:cs="Calibri"/>
                <w:color w:val="FFFFFF"/>
                <w:sz w:val="24"/>
                <w:szCs w:val="24"/>
              </w:rPr>
              <w:t>Empty Cell</w:t>
            </w:r>
          </w:p>
        </w:tc>
        <w:tc>
          <w:tcPr>
            <w:tcW w:w="1179" w:type="dxa"/>
            <w:tcBorders>
              <w:top w:val="single" w:sz="4" w:space="0" w:color="auto"/>
              <w:bottom w:val="single" w:sz="4" w:space="0" w:color="auto"/>
            </w:tcBorders>
          </w:tcPr>
          <w:p w14:paraId="38CF9137" w14:textId="77777777" w:rsidR="00CF0E2D" w:rsidRPr="008D5B2C" w:rsidRDefault="00CF0E2D" w:rsidP="00A60D4B">
            <w:pPr>
              <w:spacing w:after="0"/>
              <w:jc w:val="right"/>
              <w:rPr>
                <w:b/>
                <w:bCs/>
                <w:sz w:val="24"/>
                <w:szCs w:val="24"/>
              </w:rPr>
            </w:pPr>
            <w:r w:rsidRPr="008D5B2C">
              <w:rPr>
                <w:b/>
                <w:bCs/>
                <w:sz w:val="24"/>
                <w:szCs w:val="24"/>
              </w:rPr>
              <w:t>2021-22</w:t>
            </w:r>
          </w:p>
          <w:p w14:paraId="0E02C51F" w14:textId="77777777" w:rsidR="00CF0E2D" w:rsidRPr="008D5B2C" w:rsidRDefault="00CF0E2D" w:rsidP="00A60D4B">
            <w:pPr>
              <w:spacing w:after="0"/>
              <w:jc w:val="right"/>
              <w:rPr>
                <w:b/>
                <w:bCs/>
                <w:sz w:val="24"/>
                <w:szCs w:val="24"/>
              </w:rPr>
            </w:pPr>
            <w:r w:rsidRPr="008D5B2C">
              <w:rPr>
                <w:b/>
                <w:bCs/>
                <w:sz w:val="24"/>
                <w:szCs w:val="24"/>
              </w:rPr>
              <w:t>$’000</w:t>
            </w:r>
          </w:p>
        </w:tc>
        <w:tc>
          <w:tcPr>
            <w:tcW w:w="1041" w:type="dxa"/>
            <w:tcBorders>
              <w:top w:val="single" w:sz="4" w:space="0" w:color="auto"/>
              <w:bottom w:val="single" w:sz="4" w:space="0" w:color="auto"/>
            </w:tcBorders>
          </w:tcPr>
          <w:p w14:paraId="1B50FD72" w14:textId="77777777" w:rsidR="00CF0E2D" w:rsidRPr="008D5B2C" w:rsidRDefault="00CF0E2D" w:rsidP="00A60D4B">
            <w:pPr>
              <w:spacing w:after="0"/>
              <w:jc w:val="right"/>
              <w:rPr>
                <w:b/>
                <w:bCs/>
                <w:sz w:val="24"/>
                <w:szCs w:val="24"/>
              </w:rPr>
            </w:pPr>
            <w:r w:rsidRPr="008D5B2C">
              <w:rPr>
                <w:b/>
                <w:bCs/>
                <w:sz w:val="24"/>
                <w:szCs w:val="24"/>
              </w:rPr>
              <w:t>2022-23</w:t>
            </w:r>
          </w:p>
          <w:p w14:paraId="0D17C753" w14:textId="77777777" w:rsidR="00CF0E2D" w:rsidRPr="008D5B2C" w:rsidRDefault="00CF0E2D" w:rsidP="00A60D4B">
            <w:pPr>
              <w:spacing w:after="0"/>
              <w:jc w:val="right"/>
              <w:rPr>
                <w:b/>
                <w:bCs/>
                <w:sz w:val="24"/>
                <w:szCs w:val="24"/>
              </w:rPr>
            </w:pPr>
            <w:r w:rsidRPr="008D5B2C">
              <w:rPr>
                <w:b/>
                <w:bCs/>
                <w:sz w:val="24"/>
                <w:szCs w:val="24"/>
              </w:rPr>
              <w:t>$’000</w:t>
            </w:r>
          </w:p>
        </w:tc>
        <w:tc>
          <w:tcPr>
            <w:tcW w:w="1029" w:type="dxa"/>
            <w:tcBorders>
              <w:top w:val="single" w:sz="4" w:space="0" w:color="auto"/>
              <w:bottom w:val="single" w:sz="4" w:space="0" w:color="auto"/>
            </w:tcBorders>
          </w:tcPr>
          <w:p w14:paraId="64466483" w14:textId="77777777" w:rsidR="00CF0E2D" w:rsidRPr="008D5B2C" w:rsidRDefault="00CF0E2D" w:rsidP="00A60D4B">
            <w:pPr>
              <w:spacing w:after="0"/>
              <w:jc w:val="right"/>
              <w:rPr>
                <w:b/>
                <w:bCs/>
                <w:sz w:val="24"/>
                <w:szCs w:val="24"/>
              </w:rPr>
            </w:pPr>
            <w:r w:rsidRPr="008D5B2C">
              <w:rPr>
                <w:b/>
                <w:bCs/>
                <w:sz w:val="24"/>
                <w:szCs w:val="24"/>
              </w:rPr>
              <w:t>2023-24</w:t>
            </w:r>
          </w:p>
          <w:p w14:paraId="7B8AD99E" w14:textId="77777777" w:rsidR="00CF0E2D" w:rsidRPr="008D5B2C" w:rsidRDefault="00CF0E2D" w:rsidP="00A60D4B">
            <w:pPr>
              <w:spacing w:after="0"/>
              <w:jc w:val="right"/>
              <w:rPr>
                <w:b/>
                <w:bCs/>
                <w:sz w:val="24"/>
                <w:szCs w:val="24"/>
              </w:rPr>
            </w:pPr>
            <w:r w:rsidRPr="008D5B2C">
              <w:rPr>
                <w:b/>
                <w:bCs/>
                <w:sz w:val="24"/>
                <w:szCs w:val="24"/>
              </w:rPr>
              <w:t>$’000</w:t>
            </w:r>
          </w:p>
        </w:tc>
        <w:tc>
          <w:tcPr>
            <w:tcW w:w="1029" w:type="dxa"/>
            <w:tcBorders>
              <w:top w:val="single" w:sz="4" w:space="0" w:color="auto"/>
              <w:bottom w:val="single" w:sz="4" w:space="0" w:color="auto"/>
            </w:tcBorders>
          </w:tcPr>
          <w:p w14:paraId="18CB6F0C" w14:textId="77777777" w:rsidR="00CF0E2D" w:rsidRPr="008D5B2C" w:rsidRDefault="00CF0E2D" w:rsidP="00A60D4B">
            <w:pPr>
              <w:spacing w:after="0"/>
              <w:jc w:val="right"/>
              <w:rPr>
                <w:b/>
                <w:bCs/>
                <w:sz w:val="24"/>
                <w:szCs w:val="24"/>
              </w:rPr>
            </w:pPr>
            <w:r w:rsidRPr="008D5B2C">
              <w:rPr>
                <w:b/>
                <w:bCs/>
                <w:sz w:val="24"/>
                <w:szCs w:val="24"/>
              </w:rPr>
              <w:t>2024-25</w:t>
            </w:r>
          </w:p>
          <w:p w14:paraId="4F6FE185" w14:textId="77777777" w:rsidR="00CF0E2D" w:rsidRPr="008D5B2C" w:rsidRDefault="00CF0E2D" w:rsidP="00A60D4B">
            <w:pPr>
              <w:spacing w:after="0"/>
              <w:jc w:val="right"/>
              <w:rPr>
                <w:b/>
                <w:bCs/>
                <w:sz w:val="24"/>
                <w:szCs w:val="24"/>
              </w:rPr>
            </w:pPr>
            <w:r w:rsidRPr="008D5B2C">
              <w:rPr>
                <w:b/>
                <w:bCs/>
                <w:sz w:val="24"/>
                <w:szCs w:val="24"/>
              </w:rPr>
              <w:t>$’000</w:t>
            </w:r>
          </w:p>
        </w:tc>
        <w:tc>
          <w:tcPr>
            <w:tcW w:w="1029" w:type="dxa"/>
            <w:tcBorders>
              <w:top w:val="single" w:sz="4" w:space="0" w:color="auto"/>
              <w:bottom w:val="single" w:sz="4" w:space="0" w:color="auto"/>
            </w:tcBorders>
          </w:tcPr>
          <w:p w14:paraId="122B9412" w14:textId="77777777" w:rsidR="00CF0E2D" w:rsidRPr="008D5B2C" w:rsidRDefault="00CF0E2D" w:rsidP="00A60D4B">
            <w:pPr>
              <w:spacing w:after="0"/>
              <w:jc w:val="right"/>
              <w:rPr>
                <w:b/>
                <w:sz w:val="24"/>
                <w:szCs w:val="24"/>
              </w:rPr>
            </w:pPr>
            <w:r w:rsidRPr="008D5B2C">
              <w:rPr>
                <w:b/>
                <w:sz w:val="24"/>
                <w:szCs w:val="24"/>
              </w:rPr>
              <w:t>Total</w:t>
            </w:r>
          </w:p>
          <w:p w14:paraId="2CDC2778" w14:textId="77777777" w:rsidR="00CF0E2D" w:rsidRPr="008D5B2C" w:rsidRDefault="00CF0E2D" w:rsidP="00A60D4B">
            <w:pPr>
              <w:spacing w:after="0"/>
              <w:jc w:val="right"/>
              <w:rPr>
                <w:b/>
                <w:sz w:val="24"/>
                <w:szCs w:val="24"/>
              </w:rPr>
            </w:pPr>
            <w:r w:rsidRPr="008D5B2C">
              <w:rPr>
                <w:b/>
                <w:sz w:val="24"/>
                <w:szCs w:val="24"/>
              </w:rPr>
              <w:t>$’000</w:t>
            </w:r>
          </w:p>
        </w:tc>
      </w:tr>
      <w:tr w:rsidR="00CF0E2D" w:rsidRPr="00937A6B" w14:paraId="43020BD0" w14:textId="77777777" w:rsidTr="00A60D4B">
        <w:trPr>
          <w:cantSplit/>
          <w:jc w:val="center"/>
        </w:trPr>
        <w:tc>
          <w:tcPr>
            <w:tcW w:w="3652" w:type="dxa"/>
            <w:tcBorders>
              <w:top w:val="single" w:sz="4" w:space="0" w:color="auto"/>
            </w:tcBorders>
          </w:tcPr>
          <w:p w14:paraId="61586DBB" w14:textId="3E76B954" w:rsidR="00CF0E2D" w:rsidRPr="008D5B2C" w:rsidRDefault="00CF0E2D" w:rsidP="00A60D4B">
            <w:pPr>
              <w:spacing w:after="0"/>
              <w:ind w:left="321" w:hanging="321"/>
              <w:rPr>
                <w:sz w:val="24"/>
                <w:szCs w:val="24"/>
              </w:rPr>
            </w:pPr>
            <w:r w:rsidRPr="008D5B2C">
              <w:rPr>
                <w:sz w:val="24"/>
                <w:szCs w:val="24"/>
              </w:rPr>
              <w:t>Capital</w:t>
            </w:r>
          </w:p>
        </w:tc>
        <w:tc>
          <w:tcPr>
            <w:tcW w:w="1179" w:type="dxa"/>
            <w:tcBorders>
              <w:top w:val="single" w:sz="4" w:space="0" w:color="auto"/>
            </w:tcBorders>
          </w:tcPr>
          <w:p w14:paraId="187686C9" w14:textId="77777777" w:rsidR="00CF0E2D" w:rsidRPr="008D5B2C" w:rsidRDefault="00CF0E2D" w:rsidP="00A60D4B">
            <w:pPr>
              <w:spacing w:after="0"/>
              <w:jc w:val="right"/>
              <w:rPr>
                <w:sz w:val="24"/>
                <w:szCs w:val="24"/>
              </w:rPr>
            </w:pPr>
            <w:r w:rsidRPr="008D5B2C">
              <w:rPr>
                <w:sz w:val="24"/>
                <w:szCs w:val="24"/>
              </w:rPr>
              <w:t>3,400</w:t>
            </w:r>
          </w:p>
        </w:tc>
        <w:tc>
          <w:tcPr>
            <w:tcW w:w="1041" w:type="dxa"/>
            <w:tcBorders>
              <w:top w:val="single" w:sz="4" w:space="0" w:color="auto"/>
            </w:tcBorders>
          </w:tcPr>
          <w:p w14:paraId="161D9D6C" w14:textId="77777777" w:rsidR="00CF0E2D" w:rsidRPr="008D5B2C" w:rsidRDefault="00CF0E2D" w:rsidP="00A60D4B">
            <w:pPr>
              <w:spacing w:after="0"/>
              <w:jc w:val="right"/>
              <w:rPr>
                <w:sz w:val="24"/>
                <w:szCs w:val="24"/>
              </w:rPr>
            </w:pPr>
            <w:r w:rsidRPr="008D5B2C">
              <w:rPr>
                <w:sz w:val="24"/>
                <w:szCs w:val="24"/>
              </w:rPr>
              <w:t>12,540</w:t>
            </w:r>
          </w:p>
        </w:tc>
        <w:tc>
          <w:tcPr>
            <w:tcW w:w="1029" w:type="dxa"/>
            <w:tcBorders>
              <w:top w:val="single" w:sz="4" w:space="0" w:color="auto"/>
            </w:tcBorders>
          </w:tcPr>
          <w:p w14:paraId="092CE7E4" w14:textId="77777777" w:rsidR="00CF0E2D" w:rsidRPr="008D5B2C" w:rsidRDefault="00CF0E2D" w:rsidP="00A60D4B">
            <w:pPr>
              <w:spacing w:after="0"/>
              <w:jc w:val="right"/>
              <w:rPr>
                <w:sz w:val="24"/>
                <w:szCs w:val="24"/>
              </w:rPr>
            </w:pPr>
            <w:r w:rsidRPr="008D5B2C">
              <w:rPr>
                <w:sz w:val="24"/>
                <w:szCs w:val="24"/>
              </w:rPr>
              <w:t>0</w:t>
            </w:r>
          </w:p>
        </w:tc>
        <w:tc>
          <w:tcPr>
            <w:tcW w:w="1029" w:type="dxa"/>
            <w:tcBorders>
              <w:top w:val="single" w:sz="4" w:space="0" w:color="auto"/>
            </w:tcBorders>
          </w:tcPr>
          <w:p w14:paraId="1AC8DD63" w14:textId="77777777" w:rsidR="00CF0E2D" w:rsidRPr="008D5B2C" w:rsidRDefault="00CF0E2D" w:rsidP="00A60D4B">
            <w:pPr>
              <w:spacing w:after="0"/>
              <w:jc w:val="right"/>
              <w:rPr>
                <w:sz w:val="24"/>
                <w:szCs w:val="24"/>
              </w:rPr>
            </w:pPr>
            <w:r w:rsidRPr="008D5B2C">
              <w:rPr>
                <w:sz w:val="24"/>
                <w:szCs w:val="24"/>
              </w:rPr>
              <w:t>0</w:t>
            </w:r>
          </w:p>
        </w:tc>
        <w:tc>
          <w:tcPr>
            <w:tcW w:w="1029" w:type="dxa"/>
            <w:tcBorders>
              <w:top w:val="single" w:sz="4" w:space="0" w:color="auto"/>
            </w:tcBorders>
          </w:tcPr>
          <w:p w14:paraId="26E1E45A" w14:textId="77777777" w:rsidR="00CF0E2D" w:rsidRPr="008D5B2C" w:rsidRDefault="00CF0E2D" w:rsidP="00A60D4B">
            <w:pPr>
              <w:spacing w:after="0"/>
              <w:jc w:val="right"/>
              <w:rPr>
                <w:sz w:val="24"/>
                <w:szCs w:val="24"/>
              </w:rPr>
            </w:pPr>
            <w:r w:rsidRPr="008D5B2C">
              <w:rPr>
                <w:b/>
                <w:sz w:val="24"/>
                <w:szCs w:val="24"/>
              </w:rPr>
              <w:t>15,940</w:t>
            </w:r>
          </w:p>
        </w:tc>
      </w:tr>
      <w:tr w:rsidR="00CF0E2D" w:rsidRPr="00937A6B" w14:paraId="02A2FF2D" w14:textId="77777777" w:rsidTr="00A60D4B">
        <w:trPr>
          <w:cantSplit/>
          <w:jc w:val="center"/>
        </w:trPr>
        <w:tc>
          <w:tcPr>
            <w:tcW w:w="3652" w:type="dxa"/>
            <w:tcBorders>
              <w:top w:val="single" w:sz="4" w:space="0" w:color="auto"/>
            </w:tcBorders>
          </w:tcPr>
          <w:p w14:paraId="408C1077" w14:textId="77777777" w:rsidR="00CF0E2D" w:rsidRPr="008D5B2C" w:rsidRDefault="00CF0E2D" w:rsidP="00A60D4B">
            <w:pPr>
              <w:spacing w:after="0"/>
              <w:ind w:left="321" w:hanging="321"/>
              <w:rPr>
                <w:sz w:val="24"/>
                <w:szCs w:val="24"/>
              </w:rPr>
            </w:pPr>
            <w:r w:rsidRPr="008D5B2C">
              <w:rPr>
                <w:sz w:val="24"/>
                <w:szCs w:val="24"/>
              </w:rPr>
              <w:t>Depreciation</w:t>
            </w:r>
          </w:p>
        </w:tc>
        <w:tc>
          <w:tcPr>
            <w:tcW w:w="1179" w:type="dxa"/>
            <w:tcBorders>
              <w:top w:val="single" w:sz="4" w:space="0" w:color="auto"/>
            </w:tcBorders>
          </w:tcPr>
          <w:p w14:paraId="58608044" w14:textId="77777777" w:rsidR="00CF0E2D" w:rsidRPr="008D5B2C" w:rsidRDefault="00CF0E2D" w:rsidP="00A60D4B">
            <w:pPr>
              <w:spacing w:after="0"/>
              <w:jc w:val="right"/>
              <w:rPr>
                <w:sz w:val="24"/>
                <w:szCs w:val="24"/>
              </w:rPr>
            </w:pPr>
            <w:r w:rsidRPr="008D5B2C">
              <w:rPr>
                <w:sz w:val="24"/>
                <w:szCs w:val="24"/>
              </w:rPr>
              <w:t>0</w:t>
            </w:r>
          </w:p>
        </w:tc>
        <w:tc>
          <w:tcPr>
            <w:tcW w:w="1041" w:type="dxa"/>
            <w:tcBorders>
              <w:top w:val="single" w:sz="4" w:space="0" w:color="auto"/>
            </w:tcBorders>
          </w:tcPr>
          <w:p w14:paraId="0925A525" w14:textId="77777777" w:rsidR="00CF0E2D" w:rsidRPr="008D5B2C" w:rsidRDefault="00CF0E2D" w:rsidP="00A60D4B">
            <w:pPr>
              <w:spacing w:after="0"/>
              <w:jc w:val="right"/>
              <w:rPr>
                <w:sz w:val="24"/>
                <w:szCs w:val="24"/>
              </w:rPr>
            </w:pPr>
            <w:r w:rsidRPr="008D5B2C">
              <w:rPr>
                <w:sz w:val="24"/>
                <w:szCs w:val="24"/>
              </w:rPr>
              <w:t>0</w:t>
            </w:r>
          </w:p>
        </w:tc>
        <w:tc>
          <w:tcPr>
            <w:tcW w:w="1029" w:type="dxa"/>
            <w:tcBorders>
              <w:top w:val="single" w:sz="4" w:space="0" w:color="auto"/>
            </w:tcBorders>
          </w:tcPr>
          <w:p w14:paraId="043D3A43" w14:textId="77777777" w:rsidR="00CF0E2D" w:rsidRPr="008D5B2C" w:rsidRDefault="00CF0E2D" w:rsidP="00A60D4B">
            <w:pPr>
              <w:spacing w:after="0"/>
              <w:jc w:val="right"/>
              <w:rPr>
                <w:sz w:val="24"/>
                <w:szCs w:val="24"/>
              </w:rPr>
            </w:pPr>
            <w:r w:rsidRPr="008D5B2C">
              <w:rPr>
                <w:sz w:val="24"/>
                <w:szCs w:val="24"/>
              </w:rPr>
              <w:t>622</w:t>
            </w:r>
          </w:p>
        </w:tc>
        <w:tc>
          <w:tcPr>
            <w:tcW w:w="1029" w:type="dxa"/>
            <w:tcBorders>
              <w:top w:val="single" w:sz="4" w:space="0" w:color="auto"/>
            </w:tcBorders>
          </w:tcPr>
          <w:p w14:paraId="3BF0CA32" w14:textId="77777777" w:rsidR="00CF0E2D" w:rsidRPr="008D5B2C" w:rsidRDefault="00CF0E2D" w:rsidP="00A60D4B">
            <w:pPr>
              <w:spacing w:after="0"/>
              <w:jc w:val="right"/>
              <w:rPr>
                <w:sz w:val="24"/>
                <w:szCs w:val="24"/>
              </w:rPr>
            </w:pPr>
            <w:r w:rsidRPr="008D5B2C">
              <w:rPr>
                <w:sz w:val="24"/>
                <w:szCs w:val="24"/>
              </w:rPr>
              <w:t>622</w:t>
            </w:r>
          </w:p>
        </w:tc>
        <w:tc>
          <w:tcPr>
            <w:tcW w:w="1029" w:type="dxa"/>
            <w:tcBorders>
              <w:top w:val="single" w:sz="4" w:space="0" w:color="auto"/>
            </w:tcBorders>
          </w:tcPr>
          <w:p w14:paraId="1F89C04D" w14:textId="77777777" w:rsidR="00CF0E2D" w:rsidRPr="008D5B2C" w:rsidRDefault="00CF0E2D" w:rsidP="00A60D4B">
            <w:pPr>
              <w:spacing w:after="0"/>
              <w:jc w:val="right"/>
              <w:rPr>
                <w:sz w:val="24"/>
                <w:szCs w:val="24"/>
              </w:rPr>
            </w:pPr>
            <w:r w:rsidRPr="008D5B2C">
              <w:rPr>
                <w:b/>
                <w:sz w:val="24"/>
                <w:szCs w:val="24"/>
              </w:rPr>
              <w:t>1,24</w:t>
            </w:r>
            <w:r>
              <w:rPr>
                <w:b/>
                <w:sz w:val="24"/>
                <w:szCs w:val="24"/>
              </w:rPr>
              <w:t>4</w:t>
            </w:r>
          </w:p>
        </w:tc>
      </w:tr>
      <w:tr w:rsidR="00CF0E2D" w:rsidRPr="00937A6B" w14:paraId="39E8E4C2" w14:textId="77777777" w:rsidTr="00A60D4B">
        <w:trPr>
          <w:cantSplit/>
          <w:jc w:val="center"/>
        </w:trPr>
        <w:tc>
          <w:tcPr>
            <w:tcW w:w="3652" w:type="dxa"/>
          </w:tcPr>
          <w:p w14:paraId="4224137A" w14:textId="77777777" w:rsidR="00CF0E2D" w:rsidRPr="008D5B2C" w:rsidRDefault="00CF0E2D" w:rsidP="00A60D4B">
            <w:pPr>
              <w:spacing w:after="0"/>
              <w:ind w:left="321" w:hanging="321"/>
              <w:rPr>
                <w:sz w:val="24"/>
                <w:szCs w:val="24"/>
              </w:rPr>
            </w:pPr>
            <w:r w:rsidRPr="008D5B2C">
              <w:rPr>
                <w:sz w:val="24"/>
                <w:szCs w:val="24"/>
              </w:rPr>
              <w:t>Expenses</w:t>
            </w:r>
          </w:p>
        </w:tc>
        <w:tc>
          <w:tcPr>
            <w:tcW w:w="1179" w:type="dxa"/>
          </w:tcPr>
          <w:p w14:paraId="7D0BF6A7" w14:textId="77777777" w:rsidR="00CF0E2D" w:rsidRPr="008D5B2C" w:rsidRDefault="00CF0E2D" w:rsidP="00A60D4B">
            <w:pPr>
              <w:spacing w:after="0"/>
              <w:jc w:val="right"/>
              <w:rPr>
                <w:sz w:val="24"/>
                <w:szCs w:val="24"/>
              </w:rPr>
            </w:pPr>
            <w:r w:rsidRPr="008D5B2C">
              <w:rPr>
                <w:sz w:val="24"/>
                <w:szCs w:val="24"/>
              </w:rPr>
              <w:t>0</w:t>
            </w:r>
          </w:p>
        </w:tc>
        <w:tc>
          <w:tcPr>
            <w:tcW w:w="1041" w:type="dxa"/>
          </w:tcPr>
          <w:p w14:paraId="4F025283" w14:textId="77777777" w:rsidR="00CF0E2D" w:rsidRPr="008D5B2C" w:rsidRDefault="00CF0E2D" w:rsidP="00A60D4B">
            <w:pPr>
              <w:spacing w:after="0"/>
              <w:jc w:val="right"/>
              <w:rPr>
                <w:sz w:val="24"/>
                <w:szCs w:val="24"/>
              </w:rPr>
            </w:pPr>
            <w:r w:rsidRPr="008D5B2C">
              <w:rPr>
                <w:sz w:val="24"/>
                <w:szCs w:val="24"/>
              </w:rPr>
              <w:t>0</w:t>
            </w:r>
          </w:p>
        </w:tc>
        <w:tc>
          <w:tcPr>
            <w:tcW w:w="1029" w:type="dxa"/>
          </w:tcPr>
          <w:p w14:paraId="27245085" w14:textId="77777777" w:rsidR="00CF0E2D" w:rsidRPr="008D5B2C" w:rsidRDefault="00CF0E2D" w:rsidP="00A60D4B">
            <w:pPr>
              <w:spacing w:after="0"/>
              <w:jc w:val="right"/>
              <w:rPr>
                <w:sz w:val="24"/>
                <w:szCs w:val="24"/>
              </w:rPr>
            </w:pPr>
            <w:r w:rsidRPr="008D5B2C">
              <w:rPr>
                <w:sz w:val="24"/>
                <w:szCs w:val="24"/>
              </w:rPr>
              <w:t>34</w:t>
            </w:r>
          </w:p>
        </w:tc>
        <w:tc>
          <w:tcPr>
            <w:tcW w:w="1029" w:type="dxa"/>
          </w:tcPr>
          <w:p w14:paraId="3731CB7E" w14:textId="77777777" w:rsidR="00CF0E2D" w:rsidRPr="008D5B2C" w:rsidRDefault="00CF0E2D" w:rsidP="00A60D4B">
            <w:pPr>
              <w:spacing w:after="0"/>
              <w:jc w:val="right"/>
              <w:rPr>
                <w:sz w:val="24"/>
                <w:szCs w:val="24"/>
              </w:rPr>
            </w:pPr>
            <w:r w:rsidRPr="008D5B2C">
              <w:rPr>
                <w:sz w:val="24"/>
                <w:szCs w:val="24"/>
              </w:rPr>
              <w:t>193</w:t>
            </w:r>
          </w:p>
        </w:tc>
        <w:tc>
          <w:tcPr>
            <w:tcW w:w="1029" w:type="dxa"/>
          </w:tcPr>
          <w:p w14:paraId="0C587E10" w14:textId="77777777" w:rsidR="00CF0E2D" w:rsidRPr="008D5B2C" w:rsidRDefault="00CF0E2D" w:rsidP="00A60D4B">
            <w:pPr>
              <w:spacing w:after="0"/>
              <w:jc w:val="right"/>
              <w:rPr>
                <w:b/>
                <w:sz w:val="24"/>
                <w:szCs w:val="24"/>
              </w:rPr>
            </w:pPr>
            <w:r w:rsidRPr="008D5B2C">
              <w:rPr>
                <w:b/>
                <w:sz w:val="24"/>
                <w:szCs w:val="24"/>
              </w:rPr>
              <w:t>227</w:t>
            </w:r>
          </w:p>
        </w:tc>
      </w:tr>
      <w:tr w:rsidR="00CF0E2D" w:rsidRPr="00937A6B" w14:paraId="5D6D83BB" w14:textId="77777777" w:rsidTr="00A60D4B">
        <w:trPr>
          <w:cantSplit/>
          <w:trHeight w:val="107"/>
          <w:jc w:val="center"/>
        </w:trPr>
        <w:tc>
          <w:tcPr>
            <w:tcW w:w="3652" w:type="dxa"/>
            <w:tcBorders>
              <w:top w:val="single" w:sz="4" w:space="0" w:color="auto"/>
              <w:bottom w:val="single" w:sz="4" w:space="0" w:color="auto"/>
            </w:tcBorders>
          </w:tcPr>
          <w:p w14:paraId="369CC21D" w14:textId="77777777" w:rsidR="00CF0E2D" w:rsidRPr="008D5B2C" w:rsidRDefault="00CF0E2D" w:rsidP="00A60D4B">
            <w:pPr>
              <w:spacing w:after="0"/>
              <w:ind w:left="321" w:hanging="321"/>
              <w:rPr>
                <w:b/>
                <w:sz w:val="24"/>
                <w:szCs w:val="24"/>
              </w:rPr>
            </w:pPr>
            <w:r w:rsidRPr="008D5B2C">
              <w:rPr>
                <w:b/>
                <w:sz w:val="24"/>
                <w:szCs w:val="24"/>
              </w:rPr>
              <w:t>Net cost of services</w:t>
            </w:r>
          </w:p>
        </w:tc>
        <w:tc>
          <w:tcPr>
            <w:tcW w:w="1179" w:type="dxa"/>
            <w:tcBorders>
              <w:top w:val="single" w:sz="4" w:space="0" w:color="auto"/>
              <w:bottom w:val="single" w:sz="4" w:space="0" w:color="auto"/>
            </w:tcBorders>
          </w:tcPr>
          <w:p w14:paraId="36CFB1FF" w14:textId="77777777" w:rsidR="00CF0E2D" w:rsidRPr="008D5B2C" w:rsidRDefault="00CF0E2D" w:rsidP="00A60D4B">
            <w:pPr>
              <w:spacing w:after="0"/>
              <w:jc w:val="right"/>
              <w:rPr>
                <w:b/>
                <w:sz w:val="24"/>
                <w:szCs w:val="24"/>
              </w:rPr>
            </w:pPr>
            <w:r w:rsidRPr="008D5B2C">
              <w:rPr>
                <w:b/>
                <w:sz w:val="24"/>
                <w:szCs w:val="24"/>
              </w:rPr>
              <w:t>0</w:t>
            </w:r>
          </w:p>
        </w:tc>
        <w:tc>
          <w:tcPr>
            <w:tcW w:w="1041" w:type="dxa"/>
            <w:tcBorders>
              <w:top w:val="single" w:sz="4" w:space="0" w:color="auto"/>
              <w:bottom w:val="single" w:sz="4" w:space="0" w:color="auto"/>
            </w:tcBorders>
          </w:tcPr>
          <w:p w14:paraId="58EC46D9" w14:textId="77777777" w:rsidR="00CF0E2D" w:rsidRPr="008D5B2C" w:rsidRDefault="00CF0E2D" w:rsidP="00A60D4B">
            <w:pPr>
              <w:spacing w:after="0"/>
              <w:jc w:val="right"/>
              <w:rPr>
                <w:b/>
                <w:sz w:val="24"/>
                <w:szCs w:val="24"/>
              </w:rPr>
            </w:pPr>
            <w:r w:rsidRPr="008D5B2C">
              <w:rPr>
                <w:b/>
                <w:sz w:val="24"/>
                <w:szCs w:val="24"/>
              </w:rPr>
              <w:t>0</w:t>
            </w:r>
          </w:p>
        </w:tc>
        <w:tc>
          <w:tcPr>
            <w:tcW w:w="1029" w:type="dxa"/>
            <w:tcBorders>
              <w:top w:val="single" w:sz="4" w:space="0" w:color="auto"/>
              <w:bottom w:val="single" w:sz="4" w:space="0" w:color="auto"/>
            </w:tcBorders>
          </w:tcPr>
          <w:p w14:paraId="7B66CA0C" w14:textId="77777777" w:rsidR="00CF0E2D" w:rsidRPr="008D5B2C" w:rsidRDefault="00CF0E2D" w:rsidP="00A60D4B">
            <w:pPr>
              <w:spacing w:after="0"/>
              <w:jc w:val="right"/>
              <w:rPr>
                <w:b/>
                <w:sz w:val="24"/>
                <w:szCs w:val="24"/>
              </w:rPr>
            </w:pPr>
            <w:r w:rsidRPr="008D5B2C">
              <w:rPr>
                <w:b/>
                <w:sz w:val="24"/>
                <w:szCs w:val="24"/>
              </w:rPr>
              <w:t>656</w:t>
            </w:r>
          </w:p>
        </w:tc>
        <w:tc>
          <w:tcPr>
            <w:tcW w:w="1029" w:type="dxa"/>
            <w:tcBorders>
              <w:top w:val="single" w:sz="4" w:space="0" w:color="auto"/>
              <w:bottom w:val="single" w:sz="4" w:space="0" w:color="auto"/>
            </w:tcBorders>
          </w:tcPr>
          <w:p w14:paraId="316218AF" w14:textId="77777777" w:rsidR="00CF0E2D" w:rsidRPr="008D5B2C" w:rsidRDefault="00CF0E2D" w:rsidP="00A60D4B">
            <w:pPr>
              <w:spacing w:after="0"/>
              <w:jc w:val="right"/>
              <w:rPr>
                <w:b/>
                <w:sz w:val="24"/>
                <w:szCs w:val="24"/>
              </w:rPr>
            </w:pPr>
            <w:r w:rsidRPr="008D5B2C">
              <w:rPr>
                <w:b/>
                <w:sz w:val="24"/>
                <w:szCs w:val="24"/>
              </w:rPr>
              <w:t>815</w:t>
            </w:r>
          </w:p>
        </w:tc>
        <w:tc>
          <w:tcPr>
            <w:tcW w:w="1029" w:type="dxa"/>
            <w:tcBorders>
              <w:top w:val="single" w:sz="4" w:space="0" w:color="auto"/>
              <w:bottom w:val="single" w:sz="4" w:space="0" w:color="auto"/>
            </w:tcBorders>
          </w:tcPr>
          <w:p w14:paraId="1B59C1D3" w14:textId="77777777" w:rsidR="00CF0E2D" w:rsidRPr="008D5B2C" w:rsidRDefault="00CF0E2D" w:rsidP="00A60D4B">
            <w:pPr>
              <w:spacing w:after="0"/>
              <w:jc w:val="right"/>
              <w:rPr>
                <w:b/>
                <w:sz w:val="24"/>
                <w:szCs w:val="24"/>
              </w:rPr>
            </w:pPr>
            <w:r w:rsidRPr="008D5B2C">
              <w:rPr>
                <w:b/>
                <w:sz w:val="24"/>
                <w:szCs w:val="24"/>
              </w:rPr>
              <w:t>1,471</w:t>
            </w:r>
          </w:p>
        </w:tc>
      </w:tr>
    </w:tbl>
    <w:p w14:paraId="4D639318" w14:textId="77777777" w:rsidR="00CF0E2D" w:rsidRPr="00937A6B" w:rsidRDefault="00CF0E2D" w:rsidP="00A60D4B">
      <w:pPr>
        <w:pStyle w:val="Bbodytext"/>
      </w:pPr>
      <w:r w:rsidRPr="00937A6B">
        <w:t xml:space="preserve">The Government will continue delivering economic stimulus projects under Phase 3 of the Commonwealth Government's </w:t>
      </w:r>
      <w:r w:rsidRPr="00937A6B">
        <w:rPr>
          <w:i/>
          <w:iCs/>
        </w:rPr>
        <w:t>Local Roads and Community Infrastructure Program</w:t>
      </w:r>
      <w:r w:rsidRPr="00937A6B">
        <w:t xml:space="preserve">. These projects include community infrastructure improvements and road safety works to improve local infrastructure, while supporting Canberra jobs. </w:t>
      </w:r>
      <w:bookmarkStart w:id="55" w:name="_Hlk79842671"/>
    </w:p>
    <w:p w14:paraId="000EEAB8" w14:textId="77777777" w:rsidR="00CF0E2D" w:rsidRPr="00937A6B" w:rsidRDefault="00CF0E2D" w:rsidP="00A60D4B">
      <w:pPr>
        <w:pStyle w:val="Bbodytext"/>
      </w:pPr>
      <w:r>
        <w:t>This initiative</w:t>
      </w:r>
      <w:r w:rsidRPr="00937A6B">
        <w:t xml:space="preserve"> contributes to the wellbeing domains of Access and connectivity, Economy</w:t>
      </w:r>
      <w:r>
        <w:t xml:space="preserve">, </w:t>
      </w:r>
      <w:r w:rsidRPr="00937A6B">
        <w:t>Social connection and Safety.</w:t>
      </w:r>
      <w:bookmarkEnd w:id="55"/>
    </w:p>
    <w:p w14:paraId="574F5701" w14:textId="77777777" w:rsidR="00CF0E2D" w:rsidRPr="00C26C22" w:rsidRDefault="00CF0E2D" w:rsidP="00A60D4B"/>
    <w:p w14:paraId="19C9AA1E" w14:textId="77777777" w:rsidR="00CF0E2D" w:rsidRPr="0031490F" w:rsidRDefault="00CF0E2D" w:rsidP="00A60D4B">
      <w:pPr>
        <w:pStyle w:val="Heading4"/>
        <w:rPr>
          <w:rFonts w:eastAsia="Times New Roman" w:cs="Times New Roman"/>
          <w:b w:val="0"/>
          <w:bCs/>
          <w:szCs w:val="26"/>
        </w:rPr>
      </w:pPr>
      <w:r>
        <w:rPr>
          <w:b w:val="0"/>
          <w:noProof/>
          <w:color w:val="999789"/>
          <w:sz w:val="32"/>
          <w:szCs w:val="24"/>
        </w:rPr>
        <w:drawing>
          <wp:anchor distT="0" distB="0" distL="114300" distR="114300" simplePos="0" relativeHeight="251938816" behindDoc="0" locked="0" layoutInCell="1" allowOverlap="1" wp14:anchorId="738DE6E1" wp14:editId="25DF445E">
            <wp:simplePos x="0" y="0"/>
            <wp:positionH relativeFrom="margin">
              <wp:align>right</wp:align>
            </wp:positionH>
            <wp:positionV relativeFrom="margin">
              <wp:posOffset>3514725</wp:posOffset>
            </wp:positionV>
            <wp:extent cx="1285714" cy="504000"/>
            <wp:effectExtent l="0" t="0" r="0" b="0"/>
            <wp:wrapSquare wrapText="bothSides"/>
            <wp:docPr id="146" name="Picture 146" descr="Icon representing the wellbeing domain of Social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Icon representing the wellbeing domain of Social Connection"/>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285714" cy="504000"/>
                    </a:xfrm>
                    <a:prstGeom prst="rect">
                      <a:avLst/>
                    </a:prstGeom>
                  </pic:spPr>
                </pic:pic>
              </a:graphicData>
            </a:graphic>
          </wp:anchor>
        </w:drawing>
      </w:r>
      <w:r w:rsidRPr="001229BA">
        <w:rPr>
          <w:rFonts w:eastAsia="Times New Roman"/>
        </w:rPr>
        <w:t xml:space="preserve">Better community </w:t>
      </w:r>
      <w:r w:rsidRPr="00D95762">
        <w:t>infrastructure – Improving sport and recreation facilities</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1E6AF5" w14:paraId="0E5A114B" w14:textId="77777777" w:rsidTr="00A60D4B">
        <w:trPr>
          <w:cantSplit/>
          <w:jc w:val="center"/>
        </w:trPr>
        <w:tc>
          <w:tcPr>
            <w:tcW w:w="3652" w:type="dxa"/>
            <w:tcBorders>
              <w:top w:val="single" w:sz="4" w:space="0" w:color="auto"/>
              <w:bottom w:val="single" w:sz="4" w:space="0" w:color="auto"/>
            </w:tcBorders>
          </w:tcPr>
          <w:p w14:paraId="688FFF76" w14:textId="77777777" w:rsidR="00CF0E2D" w:rsidRPr="001E6AF5" w:rsidRDefault="00CF0E2D" w:rsidP="00A60D4B">
            <w:pPr>
              <w:pStyle w:val="EmptyCell0"/>
            </w:pPr>
            <w:r w:rsidRPr="001E6AF5">
              <w:t>Empty Cell</w:t>
            </w:r>
          </w:p>
        </w:tc>
        <w:tc>
          <w:tcPr>
            <w:tcW w:w="1179" w:type="dxa"/>
            <w:tcBorders>
              <w:top w:val="single" w:sz="4" w:space="0" w:color="auto"/>
              <w:bottom w:val="single" w:sz="4" w:space="0" w:color="auto"/>
            </w:tcBorders>
          </w:tcPr>
          <w:p w14:paraId="77484567" w14:textId="77777777" w:rsidR="00CF0E2D" w:rsidRPr="009D6054" w:rsidRDefault="00CF0E2D" w:rsidP="00A60D4B">
            <w:pPr>
              <w:pStyle w:val="InitFigR"/>
              <w:rPr>
                <w:b/>
                <w:bCs/>
              </w:rPr>
            </w:pPr>
            <w:r w:rsidRPr="009D6054">
              <w:rPr>
                <w:b/>
                <w:bCs/>
              </w:rPr>
              <w:t>2021-22</w:t>
            </w:r>
          </w:p>
          <w:p w14:paraId="2A9B8412" w14:textId="77777777" w:rsidR="00CF0E2D" w:rsidRPr="009D6054" w:rsidRDefault="00CF0E2D" w:rsidP="00A60D4B">
            <w:pPr>
              <w:pStyle w:val="InitFigR"/>
              <w:rPr>
                <w:b/>
                <w:bCs/>
              </w:rPr>
            </w:pPr>
            <w:r w:rsidRPr="009D6054">
              <w:rPr>
                <w:b/>
                <w:bCs/>
              </w:rPr>
              <w:t>$’000</w:t>
            </w:r>
          </w:p>
        </w:tc>
        <w:tc>
          <w:tcPr>
            <w:tcW w:w="1041" w:type="dxa"/>
            <w:tcBorders>
              <w:top w:val="single" w:sz="4" w:space="0" w:color="auto"/>
              <w:bottom w:val="single" w:sz="4" w:space="0" w:color="auto"/>
            </w:tcBorders>
          </w:tcPr>
          <w:p w14:paraId="2B265F90" w14:textId="77777777" w:rsidR="00CF0E2D" w:rsidRPr="009D6054" w:rsidRDefault="00CF0E2D" w:rsidP="00A60D4B">
            <w:pPr>
              <w:pStyle w:val="InitFigR"/>
              <w:rPr>
                <w:b/>
                <w:bCs/>
              </w:rPr>
            </w:pPr>
            <w:r w:rsidRPr="009D6054">
              <w:rPr>
                <w:b/>
                <w:bCs/>
              </w:rPr>
              <w:t>2022-23</w:t>
            </w:r>
          </w:p>
          <w:p w14:paraId="7A2CD38D" w14:textId="77777777" w:rsidR="00CF0E2D" w:rsidRPr="009D6054" w:rsidRDefault="00CF0E2D" w:rsidP="00A60D4B">
            <w:pPr>
              <w:pStyle w:val="InitFigR"/>
              <w:rPr>
                <w:b/>
                <w:bCs/>
              </w:rPr>
            </w:pPr>
            <w:r w:rsidRPr="009D6054">
              <w:rPr>
                <w:b/>
                <w:bCs/>
              </w:rPr>
              <w:t>$’000</w:t>
            </w:r>
          </w:p>
        </w:tc>
        <w:tc>
          <w:tcPr>
            <w:tcW w:w="1029" w:type="dxa"/>
            <w:tcBorders>
              <w:top w:val="single" w:sz="4" w:space="0" w:color="auto"/>
              <w:bottom w:val="single" w:sz="4" w:space="0" w:color="auto"/>
            </w:tcBorders>
          </w:tcPr>
          <w:p w14:paraId="24BCC9ED" w14:textId="77777777" w:rsidR="00CF0E2D" w:rsidRPr="009D6054" w:rsidRDefault="00CF0E2D" w:rsidP="00A60D4B">
            <w:pPr>
              <w:pStyle w:val="InitFigR"/>
              <w:rPr>
                <w:b/>
                <w:bCs/>
              </w:rPr>
            </w:pPr>
            <w:r w:rsidRPr="009D6054">
              <w:rPr>
                <w:b/>
                <w:bCs/>
              </w:rPr>
              <w:t>2023-24</w:t>
            </w:r>
          </w:p>
          <w:p w14:paraId="799B4CC1" w14:textId="77777777" w:rsidR="00CF0E2D" w:rsidRPr="009D6054" w:rsidRDefault="00CF0E2D" w:rsidP="00A60D4B">
            <w:pPr>
              <w:pStyle w:val="InitFigR"/>
              <w:rPr>
                <w:b/>
                <w:bCs/>
              </w:rPr>
            </w:pPr>
            <w:r w:rsidRPr="009D6054">
              <w:rPr>
                <w:b/>
                <w:bCs/>
              </w:rPr>
              <w:t>$’000</w:t>
            </w:r>
          </w:p>
        </w:tc>
        <w:tc>
          <w:tcPr>
            <w:tcW w:w="1029" w:type="dxa"/>
            <w:tcBorders>
              <w:top w:val="single" w:sz="4" w:space="0" w:color="auto"/>
              <w:bottom w:val="single" w:sz="4" w:space="0" w:color="auto"/>
            </w:tcBorders>
          </w:tcPr>
          <w:p w14:paraId="55DC8924" w14:textId="77777777" w:rsidR="00CF0E2D" w:rsidRPr="009D6054" w:rsidRDefault="00CF0E2D" w:rsidP="00A60D4B">
            <w:pPr>
              <w:pStyle w:val="InitFigR"/>
              <w:rPr>
                <w:b/>
                <w:bCs/>
              </w:rPr>
            </w:pPr>
            <w:r w:rsidRPr="009D6054">
              <w:rPr>
                <w:b/>
                <w:bCs/>
              </w:rPr>
              <w:t>2024-25</w:t>
            </w:r>
          </w:p>
          <w:p w14:paraId="0885FBD4" w14:textId="77777777" w:rsidR="00CF0E2D" w:rsidRPr="009D6054" w:rsidRDefault="00CF0E2D" w:rsidP="00A60D4B">
            <w:pPr>
              <w:pStyle w:val="InitFigR"/>
              <w:rPr>
                <w:b/>
                <w:bCs/>
              </w:rPr>
            </w:pPr>
            <w:r w:rsidRPr="009D6054">
              <w:rPr>
                <w:b/>
                <w:bCs/>
              </w:rPr>
              <w:t>$’000</w:t>
            </w:r>
          </w:p>
        </w:tc>
        <w:tc>
          <w:tcPr>
            <w:tcW w:w="1029" w:type="dxa"/>
            <w:tcBorders>
              <w:top w:val="single" w:sz="4" w:space="0" w:color="auto"/>
              <w:bottom w:val="single" w:sz="4" w:space="0" w:color="auto"/>
            </w:tcBorders>
          </w:tcPr>
          <w:p w14:paraId="171AAE03" w14:textId="77777777" w:rsidR="00CF0E2D" w:rsidRPr="001E6AF5" w:rsidRDefault="00CF0E2D" w:rsidP="00A60D4B">
            <w:pPr>
              <w:pStyle w:val="InitFigRBold"/>
            </w:pPr>
            <w:r w:rsidRPr="001E6AF5">
              <w:t>Total</w:t>
            </w:r>
          </w:p>
          <w:p w14:paraId="75927331" w14:textId="77777777" w:rsidR="00CF0E2D" w:rsidRPr="001E6AF5" w:rsidRDefault="00CF0E2D" w:rsidP="00A60D4B">
            <w:pPr>
              <w:pStyle w:val="InitFigBR"/>
            </w:pPr>
            <w:r w:rsidRPr="001E6AF5">
              <w:t>$’000</w:t>
            </w:r>
          </w:p>
        </w:tc>
      </w:tr>
      <w:tr w:rsidR="00CF0E2D" w:rsidRPr="001E6AF5" w14:paraId="5B7DBAC3" w14:textId="77777777" w:rsidTr="00A60D4B">
        <w:trPr>
          <w:cantSplit/>
          <w:jc w:val="center"/>
        </w:trPr>
        <w:tc>
          <w:tcPr>
            <w:tcW w:w="3652" w:type="dxa"/>
            <w:tcBorders>
              <w:top w:val="single" w:sz="4" w:space="0" w:color="auto"/>
              <w:bottom w:val="single" w:sz="4" w:space="0" w:color="auto"/>
            </w:tcBorders>
          </w:tcPr>
          <w:p w14:paraId="305632B4" w14:textId="77777777" w:rsidR="00CF0E2D" w:rsidRPr="001E6AF5" w:rsidRDefault="00CF0E2D" w:rsidP="00A60D4B">
            <w:pPr>
              <w:pStyle w:val="InitTextL"/>
              <w:ind w:left="321" w:hanging="321"/>
            </w:pPr>
            <w:r w:rsidRPr="001E6AF5">
              <w:t>Capital</w:t>
            </w:r>
          </w:p>
        </w:tc>
        <w:tc>
          <w:tcPr>
            <w:tcW w:w="1179" w:type="dxa"/>
            <w:tcBorders>
              <w:top w:val="single" w:sz="4" w:space="0" w:color="auto"/>
              <w:bottom w:val="single" w:sz="4" w:space="0" w:color="auto"/>
            </w:tcBorders>
          </w:tcPr>
          <w:p w14:paraId="75E3EFAA" w14:textId="77777777" w:rsidR="00CF0E2D" w:rsidRPr="001E6AF5" w:rsidRDefault="00CF0E2D" w:rsidP="00A60D4B">
            <w:pPr>
              <w:pStyle w:val="InitFigR"/>
            </w:pPr>
            <w:r w:rsidRPr="001E6AF5">
              <w:t>950</w:t>
            </w:r>
          </w:p>
        </w:tc>
        <w:tc>
          <w:tcPr>
            <w:tcW w:w="1041" w:type="dxa"/>
            <w:tcBorders>
              <w:top w:val="single" w:sz="4" w:space="0" w:color="auto"/>
              <w:bottom w:val="single" w:sz="4" w:space="0" w:color="auto"/>
            </w:tcBorders>
          </w:tcPr>
          <w:p w14:paraId="446E4983" w14:textId="77777777" w:rsidR="00CF0E2D" w:rsidRPr="001E6AF5" w:rsidRDefault="00CF0E2D" w:rsidP="00A60D4B">
            <w:pPr>
              <w:pStyle w:val="InitFigR"/>
            </w:pPr>
            <w:r w:rsidRPr="001E6AF5">
              <w:t>0</w:t>
            </w:r>
          </w:p>
        </w:tc>
        <w:tc>
          <w:tcPr>
            <w:tcW w:w="1029" w:type="dxa"/>
            <w:tcBorders>
              <w:top w:val="single" w:sz="4" w:space="0" w:color="auto"/>
              <w:bottom w:val="single" w:sz="4" w:space="0" w:color="auto"/>
            </w:tcBorders>
          </w:tcPr>
          <w:p w14:paraId="56071110" w14:textId="77777777" w:rsidR="00CF0E2D" w:rsidRPr="001E6AF5" w:rsidRDefault="00CF0E2D" w:rsidP="00A60D4B">
            <w:pPr>
              <w:pStyle w:val="InitFigR"/>
            </w:pPr>
            <w:r w:rsidRPr="001E6AF5">
              <w:t>0</w:t>
            </w:r>
          </w:p>
        </w:tc>
        <w:tc>
          <w:tcPr>
            <w:tcW w:w="1029" w:type="dxa"/>
            <w:tcBorders>
              <w:top w:val="single" w:sz="4" w:space="0" w:color="auto"/>
              <w:bottom w:val="single" w:sz="4" w:space="0" w:color="auto"/>
            </w:tcBorders>
          </w:tcPr>
          <w:p w14:paraId="682670EC" w14:textId="77777777" w:rsidR="00CF0E2D" w:rsidRPr="001E6AF5" w:rsidRDefault="00CF0E2D" w:rsidP="00A60D4B">
            <w:pPr>
              <w:pStyle w:val="InitFigR"/>
            </w:pPr>
            <w:r w:rsidRPr="001E6AF5">
              <w:t>0</w:t>
            </w:r>
          </w:p>
        </w:tc>
        <w:tc>
          <w:tcPr>
            <w:tcW w:w="1029" w:type="dxa"/>
            <w:tcBorders>
              <w:top w:val="single" w:sz="4" w:space="0" w:color="auto"/>
              <w:bottom w:val="single" w:sz="4" w:space="0" w:color="auto"/>
            </w:tcBorders>
          </w:tcPr>
          <w:p w14:paraId="25C6ECF8" w14:textId="77777777" w:rsidR="00CF0E2D" w:rsidRPr="001E6AF5" w:rsidRDefault="00CF0E2D" w:rsidP="00A60D4B">
            <w:pPr>
              <w:pStyle w:val="InitFigRBold"/>
              <w:rPr>
                <w:bCs/>
              </w:rPr>
            </w:pPr>
            <w:r w:rsidRPr="001E6AF5">
              <w:rPr>
                <w:bCs/>
              </w:rPr>
              <w:t>950</w:t>
            </w:r>
          </w:p>
        </w:tc>
      </w:tr>
      <w:tr w:rsidR="00CF0E2D" w:rsidRPr="001E6AF5" w14:paraId="2FE0F37F" w14:textId="77777777" w:rsidTr="00A60D4B">
        <w:trPr>
          <w:cantSplit/>
          <w:jc w:val="center"/>
        </w:trPr>
        <w:tc>
          <w:tcPr>
            <w:tcW w:w="3652" w:type="dxa"/>
            <w:tcBorders>
              <w:top w:val="single" w:sz="4" w:space="0" w:color="auto"/>
            </w:tcBorders>
          </w:tcPr>
          <w:p w14:paraId="0172AE6C" w14:textId="77777777" w:rsidR="00CF0E2D" w:rsidRPr="00B429A7" w:rsidRDefault="00CF0E2D" w:rsidP="00A60D4B">
            <w:pPr>
              <w:pStyle w:val="InitTextL"/>
              <w:ind w:left="321" w:hanging="321"/>
            </w:pPr>
            <w:r w:rsidRPr="00B429A7">
              <w:t>Depreciation</w:t>
            </w:r>
          </w:p>
        </w:tc>
        <w:tc>
          <w:tcPr>
            <w:tcW w:w="1179" w:type="dxa"/>
            <w:tcBorders>
              <w:top w:val="single" w:sz="4" w:space="0" w:color="auto"/>
            </w:tcBorders>
          </w:tcPr>
          <w:p w14:paraId="279A2812" w14:textId="77777777" w:rsidR="00CF0E2D" w:rsidRPr="001E6AF5" w:rsidRDefault="00CF0E2D" w:rsidP="00A60D4B">
            <w:pPr>
              <w:pStyle w:val="InitFigR"/>
            </w:pPr>
            <w:r w:rsidRPr="001E6AF5">
              <w:t>0</w:t>
            </w:r>
          </w:p>
        </w:tc>
        <w:tc>
          <w:tcPr>
            <w:tcW w:w="1041" w:type="dxa"/>
            <w:tcBorders>
              <w:top w:val="single" w:sz="4" w:space="0" w:color="auto"/>
            </w:tcBorders>
          </w:tcPr>
          <w:p w14:paraId="60001547" w14:textId="77777777" w:rsidR="00CF0E2D" w:rsidRPr="001E6AF5" w:rsidRDefault="00CF0E2D" w:rsidP="00A60D4B">
            <w:pPr>
              <w:pStyle w:val="InitFigR"/>
            </w:pPr>
            <w:r w:rsidRPr="001E6AF5">
              <w:t>48</w:t>
            </w:r>
          </w:p>
        </w:tc>
        <w:tc>
          <w:tcPr>
            <w:tcW w:w="1029" w:type="dxa"/>
            <w:tcBorders>
              <w:top w:val="single" w:sz="4" w:space="0" w:color="auto"/>
            </w:tcBorders>
          </w:tcPr>
          <w:p w14:paraId="7E3D28DB" w14:textId="77777777" w:rsidR="00CF0E2D" w:rsidRPr="001E6AF5" w:rsidRDefault="00CF0E2D" w:rsidP="00A60D4B">
            <w:pPr>
              <w:pStyle w:val="InitFigR"/>
            </w:pPr>
            <w:r w:rsidRPr="001E6AF5">
              <w:t>48</w:t>
            </w:r>
          </w:p>
        </w:tc>
        <w:tc>
          <w:tcPr>
            <w:tcW w:w="1029" w:type="dxa"/>
            <w:tcBorders>
              <w:top w:val="single" w:sz="4" w:space="0" w:color="auto"/>
            </w:tcBorders>
          </w:tcPr>
          <w:p w14:paraId="0B555CD6" w14:textId="77777777" w:rsidR="00CF0E2D" w:rsidRPr="001E6AF5" w:rsidRDefault="00CF0E2D" w:rsidP="00A60D4B">
            <w:pPr>
              <w:pStyle w:val="InitFigR"/>
            </w:pPr>
            <w:r w:rsidRPr="001E6AF5">
              <w:t>48</w:t>
            </w:r>
          </w:p>
        </w:tc>
        <w:tc>
          <w:tcPr>
            <w:tcW w:w="1029" w:type="dxa"/>
            <w:tcBorders>
              <w:top w:val="single" w:sz="4" w:space="0" w:color="auto"/>
            </w:tcBorders>
          </w:tcPr>
          <w:p w14:paraId="64D73A35" w14:textId="77777777" w:rsidR="00CF0E2D" w:rsidRPr="001E6AF5" w:rsidRDefault="00CF0E2D" w:rsidP="00A60D4B">
            <w:pPr>
              <w:pStyle w:val="InitFigRBold"/>
              <w:rPr>
                <w:bCs/>
              </w:rPr>
            </w:pPr>
            <w:r w:rsidRPr="001E6AF5">
              <w:rPr>
                <w:bCs/>
              </w:rPr>
              <w:t>144</w:t>
            </w:r>
          </w:p>
        </w:tc>
      </w:tr>
      <w:tr w:rsidR="00CF0E2D" w:rsidRPr="001E6AF5" w14:paraId="3AEBB062" w14:textId="77777777" w:rsidTr="00A60D4B">
        <w:trPr>
          <w:cantSplit/>
          <w:jc w:val="center"/>
        </w:trPr>
        <w:tc>
          <w:tcPr>
            <w:tcW w:w="3652" w:type="dxa"/>
            <w:tcBorders>
              <w:bottom w:val="single" w:sz="4" w:space="0" w:color="auto"/>
            </w:tcBorders>
          </w:tcPr>
          <w:p w14:paraId="63EA2CB8" w14:textId="77777777" w:rsidR="00CF0E2D" w:rsidRPr="00B429A7" w:rsidRDefault="00CF0E2D" w:rsidP="00A60D4B">
            <w:pPr>
              <w:pStyle w:val="InitTextL"/>
              <w:ind w:left="321" w:hanging="321"/>
            </w:pPr>
            <w:r w:rsidRPr="00B429A7">
              <w:t>Expenses</w:t>
            </w:r>
          </w:p>
        </w:tc>
        <w:tc>
          <w:tcPr>
            <w:tcW w:w="1179" w:type="dxa"/>
            <w:tcBorders>
              <w:bottom w:val="single" w:sz="4" w:space="0" w:color="auto"/>
            </w:tcBorders>
          </w:tcPr>
          <w:p w14:paraId="29C28A07" w14:textId="77777777" w:rsidR="00CF0E2D" w:rsidRPr="001E6AF5" w:rsidRDefault="00CF0E2D" w:rsidP="00A60D4B">
            <w:pPr>
              <w:pStyle w:val="InitFigR"/>
            </w:pPr>
            <w:r w:rsidRPr="001E6AF5">
              <w:t>0</w:t>
            </w:r>
          </w:p>
        </w:tc>
        <w:tc>
          <w:tcPr>
            <w:tcW w:w="1041" w:type="dxa"/>
            <w:tcBorders>
              <w:bottom w:val="single" w:sz="4" w:space="0" w:color="auto"/>
            </w:tcBorders>
          </w:tcPr>
          <w:p w14:paraId="2735F9B3" w14:textId="77777777" w:rsidR="00CF0E2D" w:rsidRPr="001E6AF5" w:rsidRDefault="00CF0E2D" w:rsidP="00A60D4B">
            <w:pPr>
              <w:pStyle w:val="InitFigR"/>
            </w:pPr>
            <w:r w:rsidRPr="001E6AF5">
              <w:t>15</w:t>
            </w:r>
          </w:p>
        </w:tc>
        <w:tc>
          <w:tcPr>
            <w:tcW w:w="1029" w:type="dxa"/>
            <w:tcBorders>
              <w:bottom w:val="single" w:sz="4" w:space="0" w:color="auto"/>
            </w:tcBorders>
          </w:tcPr>
          <w:p w14:paraId="5CB9029F" w14:textId="77777777" w:rsidR="00CF0E2D" w:rsidRPr="001E6AF5" w:rsidRDefault="00CF0E2D" w:rsidP="00A60D4B">
            <w:pPr>
              <w:pStyle w:val="InitFigR"/>
            </w:pPr>
            <w:r w:rsidRPr="001E6AF5">
              <w:t>21</w:t>
            </w:r>
          </w:p>
        </w:tc>
        <w:tc>
          <w:tcPr>
            <w:tcW w:w="1029" w:type="dxa"/>
            <w:tcBorders>
              <w:bottom w:val="single" w:sz="4" w:space="0" w:color="auto"/>
            </w:tcBorders>
          </w:tcPr>
          <w:p w14:paraId="40A66940" w14:textId="77777777" w:rsidR="00CF0E2D" w:rsidRPr="001E6AF5" w:rsidRDefault="00CF0E2D" w:rsidP="00A60D4B">
            <w:pPr>
              <w:pStyle w:val="InitFigR"/>
            </w:pPr>
            <w:r w:rsidRPr="001E6AF5">
              <w:t>28</w:t>
            </w:r>
          </w:p>
        </w:tc>
        <w:tc>
          <w:tcPr>
            <w:tcW w:w="1029" w:type="dxa"/>
            <w:tcBorders>
              <w:bottom w:val="single" w:sz="4" w:space="0" w:color="auto"/>
            </w:tcBorders>
          </w:tcPr>
          <w:p w14:paraId="4B208DC6" w14:textId="77777777" w:rsidR="00CF0E2D" w:rsidRPr="001E6AF5" w:rsidRDefault="00CF0E2D" w:rsidP="00A60D4B">
            <w:pPr>
              <w:pStyle w:val="InitFigRBold"/>
              <w:rPr>
                <w:bCs/>
              </w:rPr>
            </w:pPr>
            <w:r w:rsidRPr="001E6AF5">
              <w:rPr>
                <w:bCs/>
              </w:rPr>
              <w:t>64</w:t>
            </w:r>
          </w:p>
        </w:tc>
      </w:tr>
      <w:tr w:rsidR="00CF0E2D" w:rsidRPr="00750793" w14:paraId="1984C4B4" w14:textId="77777777" w:rsidTr="00A60D4B">
        <w:trPr>
          <w:cantSplit/>
          <w:trHeight w:val="107"/>
          <w:jc w:val="center"/>
        </w:trPr>
        <w:tc>
          <w:tcPr>
            <w:tcW w:w="3652" w:type="dxa"/>
            <w:tcBorders>
              <w:top w:val="single" w:sz="4" w:space="0" w:color="auto"/>
              <w:bottom w:val="single" w:sz="4" w:space="0" w:color="auto"/>
            </w:tcBorders>
          </w:tcPr>
          <w:p w14:paraId="7EDA7611" w14:textId="77777777" w:rsidR="00CF0E2D" w:rsidRPr="001E6AF5" w:rsidRDefault="00CF0E2D" w:rsidP="00A60D4B">
            <w:pPr>
              <w:pStyle w:val="InitFigLBold"/>
              <w:ind w:left="321" w:hanging="321"/>
            </w:pPr>
            <w:r>
              <w:t xml:space="preserve">Net </w:t>
            </w:r>
            <w:r w:rsidRPr="001E6AF5">
              <w:t>cost of services</w:t>
            </w:r>
          </w:p>
        </w:tc>
        <w:tc>
          <w:tcPr>
            <w:tcW w:w="1179" w:type="dxa"/>
            <w:tcBorders>
              <w:top w:val="single" w:sz="4" w:space="0" w:color="auto"/>
              <w:bottom w:val="single" w:sz="4" w:space="0" w:color="auto"/>
            </w:tcBorders>
          </w:tcPr>
          <w:p w14:paraId="1DF05B8B" w14:textId="77777777" w:rsidR="00CF0E2D" w:rsidRPr="001E6AF5" w:rsidRDefault="00CF0E2D" w:rsidP="00A60D4B">
            <w:pPr>
              <w:pStyle w:val="InitFigRBold"/>
            </w:pPr>
            <w:r w:rsidRPr="001E6AF5">
              <w:t xml:space="preserve">0 </w:t>
            </w:r>
          </w:p>
        </w:tc>
        <w:tc>
          <w:tcPr>
            <w:tcW w:w="1041" w:type="dxa"/>
            <w:tcBorders>
              <w:top w:val="single" w:sz="4" w:space="0" w:color="auto"/>
              <w:bottom w:val="single" w:sz="4" w:space="0" w:color="auto"/>
            </w:tcBorders>
          </w:tcPr>
          <w:p w14:paraId="28F4B698" w14:textId="77777777" w:rsidR="00CF0E2D" w:rsidRPr="001E6AF5" w:rsidRDefault="00CF0E2D" w:rsidP="00A60D4B">
            <w:pPr>
              <w:pStyle w:val="InitFigRBold"/>
            </w:pPr>
            <w:r>
              <w:t>63</w:t>
            </w:r>
          </w:p>
        </w:tc>
        <w:tc>
          <w:tcPr>
            <w:tcW w:w="1029" w:type="dxa"/>
            <w:tcBorders>
              <w:top w:val="single" w:sz="4" w:space="0" w:color="auto"/>
              <w:bottom w:val="single" w:sz="4" w:space="0" w:color="auto"/>
            </w:tcBorders>
          </w:tcPr>
          <w:p w14:paraId="4F0DA98E" w14:textId="77777777" w:rsidR="00CF0E2D" w:rsidRPr="001E6AF5" w:rsidRDefault="00CF0E2D" w:rsidP="00A60D4B">
            <w:pPr>
              <w:pStyle w:val="InitFigRBold"/>
            </w:pPr>
            <w:r>
              <w:t>69</w:t>
            </w:r>
          </w:p>
        </w:tc>
        <w:tc>
          <w:tcPr>
            <w:tcW w:w="1029" w:type="dxa"/>
            <w:tcBorders>
              <w:top w:val="single" w:sz="4" w:space="0" w:color="auto"/>
              <w:bottom w:val="single" w:sz="4" w:space="0" w:color="auto"/>
            </w:tcBorders>
          </w:tcPr>
          <w:p w14:paraId="5A2E793C" w14:textId="77777777" w:rsidR="00CF0E2D" w:rsidRPr="001E6AF5" w:rsidRDefault="00CF0E2D" w:rsidP="00A60D4B">
            <w:pPr>
              <w:pStyle w:val="InitFigRBold"/>
            </w:pPr>
            <w:r>
              <w:t>76</w:t>
            </w:r>
          </w:p>
        </w:tc>
        <w:tc>
          <w:tcPr>
            <w:tcW w:w="1029" w:type="dxa"/>
            <w:tcBorders>
              <w:top w:val="single" w:sz="4" w:space="0" w:color="auto"/>
              <w:bottom w:val="single" w:sz="4" w:space="0" w:color="auto"/>
            </w:tcBorders>
          </w:tcPr>
          <w:p w14:paraId="43EDEC08" w14:textId="77777777" w:rsidR="00CF0E2D" w:rsidRPr="00424DA4" w:rsidRDefault="00CF0E2D" w:rsidP="00A60D4B">
            <w:pPr>
              <w:pStyle w:val="InitFigRBold"/>
            </w:pPr>
            <w:r>
              <w:t>208</w:t>
            </w:r>
          </w:p>
        </w:tc>
      </w:tr>
    </w:tbl>
    <w:p w14:paraId="157AE00C" w14:textId="77777777" w:rsidR="00CF0E2D" w:rsidRDefault="00CF0E2D" w:rsidP="00A60D4B">
      <w:pPr>
        <w:pStyle w:val="Bbodytext"/>
        <w:rPr>
          <w:rFonts w:ascii="Calibri" w:eastAsia="Times New Roman" w:hAnsi="Calibri" w:cs="Times New Roman"/>
          <w:szCs w:val="20"/>
        </w:rPr>
      </w:pPr>
      <w:r w:rsidRPr="00B429A7">
        <w:t>The Government will continue to invest in sport and recreation facilities through providing lighting and amenity upgrades a</w:t>
      </w:r>
      <w:r w:rsidRPr="0013189D">
        <w:rPr>
          <w:rFonts w:ascii="Calibri" w:eastAsia="Times New Roman" w:hAnsi="Calibri" w:cs="Times New Roman"/>
          <w:szCs w:val="20"/>
        </w:rPr>
        <w:t xml:space="preserve">t Mawson Playing Fields and Kambah District Playing Fields, and cricket facility upgrades at Taylor and Melba. This initiative will </w:t>
      </w:r>
      <w:r>
        <w:rPr>
          <w:rFonts w:ascii="Calibri" w:eastAsia="Times New Roman" w:hAnsi="Calibri" w:cs="Times New Roman"/>
          <w:szCs w:val="20"/>
        </w:rPr>
        <w:t>support delivery of</w:t>
      </w:r>
      <w:r w:rsidRPr="0013189D">
        <w:rPr>
          <w:rFonts w:ascii="Calibri" w:eastAsia="Times New Roman" w:hAnsi="Calibri" w:cs="Times New Roman"/>
          <w:szCs w:val="20"/>
        </w:rPr>
        <w:t xml:space="preserve"> ACTIVE 2020, which is a long-term strategic plan for sport and active recreation in the ACT and region</w:t>
      </w:r>
      <w:r>
        <w:rPr>
          <w:rFonts w:ascii="Calibri" w:eastAsia="Times New Roman" w:hAnsi="Calibri" w:cs="Times New Roman"/>
          <w:szCs w:val="20"/>
        </w:rPr>
        <w:t>.</w:t>
      </w:r>
    </w:p>
    <w:p w14:paraId="25F1D7BF" w14:textId="77777777" w:rsidR="00CF0E2D" w:rsidRDefault="00CF0E2D" w:rsidP="00A60D4B">
      <w:pPr>
        <w:pStyle w:val="Bbodytext"/>
        <w:rPr>
          <w:rFonts w:ascii="Calibri" w:eastAsia="Times New Roman" w:hAnsi="Calibri" w:cs="Times New Roman"/>
          <w:szCs w:val="20"/>
        </w:rPr>
      </w:pPr>
      <w:r w:rsidRPr="00B429A7">
        <w:t>This initiative</w:t>
      </w:r>
      <w:r w:rsidRPr="0013189D">
        <w:rPr>
          <w:rFonts w:ascii="Calibri" w:eastAsia="Times New Roman" w:hAnsi="Calibri" w:cs="Times New Roman"/>
          <w:szCs w:val="20"/>
        </w:rPr>
        <w:t xml:space="preserve"> contributes to the wellbeing domains of Social connection and Health.</w:t>
      </w:r>
    </w:p>
    <w:p w14:paraId="49EE7462" w14:textId="77777777" w:rsidR="00CF0E2D" w:rsidRDefault="00CF0E2D">
      <w:pPr>
        <w:rPr>
          <w:rFonts w:ascii="Calibri" w:eastAsia="Times New Roman" w:hAnsi="Calibri" w:cs="Times New Roman"/>
          <w:sz w:val="24"/>
          <w:szCs w:val="20"/>
        </w:rPr>
      </w:pPr>
      <w:r>
        <w:rPr>
          <w:rFonts w:ascii="Calibri" w:eastAsia="Times New Roman" w:hAnsi="Calibri" w:cs="Times New Roman"/>
          <w:szCs w:val="20"/>
        </w:rPr>
        <w:br w:type="page"/>
      </w:r>
    </w:p>
    <w:p w14:paraId="5BF39DB4" w14:textId="77777777" w:rsidR="00CF0E2D" w:rsidRPr="009A66F2" w:rsidRDefault="00CF0E2D" w:rsidP="00A60D4B">
      <w:pPr>
        <w:pStyle w:val="Heading4"/>
      </w:pPr>
      <w:r>
        <w:lastRenderedPageBreak/>
        <w:t>Better community infrastructure</w:t>
      </w:r>
      <w:r w:rsidRPr="009A66F2">
        <w:t xml:space="preserve"> – Tuggeranong Foreshore improvements </w:t>
      </w:r>
      <w:r>
        <w:rPr>
          <w:noProof/>
        </w:rPr>
        <w:drawing>
          <wp:anchor distT="0" distB="0" distL="114300" distR="114300" simplePos="0" relativeHeight="251947008" behindDoc="0" locked="1" layoutInCell="1" allowOverlap="1" wp14:anchorId="014EA318" wp14:editId="40D37422">
            <wp:simplePos x="0" y="0"/>
            <wp:positionH relativeFrom="margin">
              <wp:align>right</wp:align>
            </wp:positionH>
            <wp:positionV relativeFrom="paragraph">
              <wp:posOffset>5715</wp:posOffset>
            </wp:positionV>
            <wp:extent cx="1378585" cy="507365"/>
            <wp:effectExtent l="0" t="0" r="0" b="6985"/>
            <wp:wrapSquare wrapText="bothSides"/>
            <wp:docPr id="212" name="Picture 212"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375E1A69" w14:textId="77777777" w:rsidTr="00A60D4B">
        <w:trPr>
          <w:cantSplit/>
          <w:jc w:val="center"/>
        </w:trPr>
        <w:tc>
          <w:tcPr>
            <w:tcW w:w="3652" w:type="dxa"/>
            <w:tcBorders>
              <w:top w:val="single" w:sz="4" w:space="0" w:color="auto"/>
              <w:bottom w:val="single" w:sz="4" w:space="0" w:color="auto"/>
            </w:tcBorders>
          </w:tcPr>
          <w:p w14:paraId="2BF5F4E2"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15C04A8F" w14:textId="77777777" w:rsidR="00CF0E2D" w:rsidRPr="00220232" w:rsidRDefault="00CF0E2D" w:rsidP="00A60D4B">
            <w:pPr>
              <w:pStyle w:val="InitFigR"/>
              <w:rPr>
                <w:b/>
                <w:bCs/>
              </w:rPr>
            </w:pPr>
            <w:r w:rsidRPr="00220232">
              <w:rPr>
                <w:b/>
                <w:bCs/>
              </w:rPr>
              <w:t>2021-22</w:t>
            </w:r>
          </w:p>
          <w:p w14:paraId="0CF91C3B" w14:textId="77777777" w:rsidR="00CF0E2D" w:rsidRPr="00220232" w:rsidRDefault="00CF0E2D" w:rsidP="00A60D4B">
            <w:pPr>
              <w:pStyle w:val="InitFigR"/>
              <w:rPr>
                <w:b/>
                <w:bCs/>
              </w:rPr>
            </w:pPr>
            <w:r w:rsidRPr="00220232">
              <w:rPr>
                <w:b/>
                <w:bCs/>
              </w:rPr>
              <w:t>$’000</w:t>
            </w:r>
          </w:p>
        </w:tc>
        <w:tc>
          <w:tcPr>
            <w:tcW w:w="1041" w:type="dxa"/>
            <w:tcBorders>
              <w:top w:val="single" w:sz="4" w:space="0" w:color="auto"/>
              <w:bottom w:val="single" w:sz="4" w:space="0" w:color="auto"/>
            </w:tcBorders>
          </w:tcPr>
          <w:p w14:paraId="4BBCB376" w14:textId="77777777" w:rsidR="00CF0E2D" w:rsidRPr="00220232" w:rsidRDefault="00CF0E2D" w:rsidP="00A60D4B">
            <w:pPr>
              <w:pStyle w:val="InitFigR"/>
              <w:rPr>
                <w:b/>
                <w:bCs/>
              </w:rPr>
            </w:pPr>
            <w:r w:rsidRPr="00220232">
              <w:rPr>
                <w:b/>
                <w:bCs/>
              </w:rPr>
              <w:t>2022-23</w:t>
            </w:r>
          </w:p>
          <w:p w14:paraId="213DA044" w14:textId="77777777" w:rsidR="00CF0E2D" w:rsidRPr="00220232" w:rsidRDefault="00CF0E2D" w:rsidP="00A60D4B">
            <w:pPr>
              <w:pStyle w:val="InitFigR"/>
              <w:rPr>
                <w:b/>
                <w:bCs/>
              </w:rPr>
            </w:pPr>
            <w:r w:rsidRPr="00220232">
              <w:rPr>
                <w:b/>
                <w:bCs/>
              </w:rPr>
              <w:t>$’000</w:t>
            </w:r>
          </w:p>
        </w:tc>
        <w:tc>
          <w:tcPr>
            <w:tcW w:w="1029" w:type="dxa"/>
            <w:tcBorders>
              <w:top w:val="single" w:sz="4" w:space="0" w:color="auto"/>
              <w:bottom w:val="single" w:sz="4" w:space="0" w:color="auto"/>
            </w:tcBorders>
          </w:tcPr>
          <w:p w14:paraId="543A27D8" w14:textId="77777777" w:rsidR="00CF0E2D" w:rsidRPr="00220232" w:rsidRDefault="00CF0E2D" w:rsidP="00A60D4B">
            <w:pPr>
              <w:pStyle w:val="InitFigR"/>
              <w:rPr>
                <w:b/>
                <w:bCs/>
              </w:rPr>
            </w:pPr>
            <w:r w:rsidRPr="00220232">
              <w:rPr>
                <w:b/>
                <w:bCs/>
              </w:rPr>
              <w:t>2023-24</w:t>
            </w:r>
          </w:p>
          <w:p w14:paraId="56176CD3" w14:textId="77777777" w:rsidR="00CF0E2D" w:rsidRPr="00220232" w:rsidRDefault="00CF0E2D" w:rsidP="00A60D4B">
            <w:pPr>
              <w:pStyle w:val="InitFigR"/>
              <w:rPr>
                <w:b/>
                <w:bCs/>
              </w:rPr>
            </w:pPr>
            <w:r w:rsidRPr="00220232">
              <w:rPr>
                <w:b/>
                <w:bCs/>
              </w:rPr>
              <w:t>$’000</w:t>
            </w:r>
          </w:p>
        </w:tc>
        <w:tc>
          <w:tcPr>
            <w:tcW w:w="1029" w:type="dxa"/>
            <w:tcBorders>
              <w:top w:val="single" w:sz="4" w:space="0" w:color="auto"/>
              <w:bottom w:val="single" w:sz="4" w:space="0" w:color="auto"/>
            </w:tcBorders>
          </w:tcPr>
          <w:p w14:paraId="5BB6AEF2" w14:textId="77777777" w:rsidR="00CF0E2D" w:rsidRPr="00220232" w:rsidRDefault="00CF0E2D" w:rsidP="00A60D4B">
            <w:pPr>
              <w:pStyle w:val="InitFigR"/>
              <w:rPr>
                <w:b/>
                <w:bCs/>
              </w:rPr>
            </w:pPr>
            <w:r w:rsidRPr="00220232">
              <w:rPr>
                <w:b/>
                <w:bCs/>
              </w:rPr>
              <w:t>2024-25</w:t>
            </w:r>
          </w:p>
          <w:p w14:paraId="0A626105" w14:textId="77777777" w:rsidR="00CF0E2D" w:rsidRPr="00220232" w:rsidRDefault="00CF0E2D" w:rsidP="00A60D4B">
            <w:pPr>
              <w:pStyle w:val="InitFigR"/>
              <w:rPr>
                <w:b/>
                <w:bCs/>
              </w:rPr>
            </w:pPr>
            <w:r w:rsidRPr="00220232">
              <w:rPr>
                <w:b/>
                <w:bCs/>
              </w:rPr>
              <w:t>$’000</w:t>
            </w:r>
          </w:p>
        </w:tc>
        <w:tc>
          <w:tcPr>
            <w:tcW w:w="1029" w:type="dxa"/>
            <w:tcBorders>
              <w:top w:val="single" w:sz="4" w:space="0" w:color="auto"/>
              <w:bottom w:val="single" w:sz="4" w:space="0" w:color="auto"/>
            </w:tcBorders>
          </w:tcPr>
          <w:p w14:paraId="7B30ADE4" w14:textId="77777777" w:rsidR="00CF0E2D" w:rsidRPr="004E341E" w:rsidRDefault="00CF0E2D" w:rsidP="00A60D4B">
            <w:pPr>
              <w:pStyle w:val="InitFigRBold"/>
            </w:pPr>
            <w:r w:rsidRPr="004E341E">
              <w:t>Total</w:t>
            </w:r>
          </w:p>
          <w:p w14:paraId="158C030F" w14:textId="77777777" w:rsidR="00CF0E2D" w:rsidRPr="004E341E" w:rsidRDefault="00CF0E2D" w:rsidP="00A60D4B">
            <w:pPr>
              <w:pStyle w:val="InitFigBR"/>
            </w:pPr>
            <w:r w:rsidRPr="004E341E">
              <w:t>$’000</w:t>
            </w:r>
          </w:p>
        </w:tc>
      </w:tr>
      <w:tr w:rsidR="00CF0E2D" w:rsidRPr="00750793" w14:paraId="5A22343A" w14:textId="77777777" w:rsidTr="00A60D4B">
        <w:trPr>
          <w:cantSplit/>
          <w:jc w:val="center"/>
        </w:trPr>
        <w:tc>
          <w:tcPr>
            <w:tcW w:w="3652" w:type="dxa"/>
            <w:tcBorders>
              <w:top w:val="single" w:sz="4" w:space="0" w:color="auto"/>
            </w:tcBorders>
          </w:tcPr>
          <w:p w14:paraId="3027FE52" w14:textId="77777777" w:rsidR="00CF0E2D" w:rsidRPr="00F572B7" w:rsidRDefault="00CF0E2D" w:rsidP="00A60D4B">
            <w:pPr>
              <w:pStyle w:val="InitTextL"/>
              <w:ind w:left="321" w:hanging="321"/>
              <w:rPr>
                <w:rFonts w:cs="Calibri"/>
              </w:rPr>
            </w:pPr>
            <w:r w:rsidRPr="00F572B7">
              <w:rPr>
                <w:rFonts w:cs="Calibri"/>
              </w:rPr>
              <w:t>Capital</w:t>
            </w:r>
          </w:p>
        </w:tc>
        <w:tc>
          <w:tcPr>
            <w:tcW w:w="1179" w:type="dxa"/>
            <w:tcBorders>
              <w:top w:val="single" w:sz="4" w:space="0" w:color="auto"/>
            </w:tcBorders>
          </w:tcPr>
          <w:p w14:paraId="095450E8" w14:textId="77777777" w:rsidR="00CF0E2D" w:rsidRDefault="00CF0E2D" w:rsidP="00A60D4B">
            <w:pPr>
              <w:pStyle w:val="InitFigR"/>
            </w:pPr>
            <w:r>
              <w:t>800</w:t>
            </w:r>
          </w:p>
        </w:tc>
        <w:tc>
          <w:tcPr>
            <w:tcW w:w="1041" w:type="dxa"/>
            <w:tcBorders>
              <w:top w:val="single" w:sz="4" w:space="0" w:color="auto"/>
            </w:tcBorders>
          </w:tcPr>
          <w:p w14:paraId="02B081D7" w14:textId="77777777" w:rsidR="00CF0E2D" w:rsidRDefault="00CF0E2D" w:rsidP="00A60D4B">
            <w:pPr>
              <w:pStyle w:val="InitFigR"/>
            </w:pPr>
            <w:r>
              <w:t>1,400</w:t>
            </w:r>
          </w:p>
        </w:tc>
        <w:tc>
          <w:tcPr>
            <w:tcW w:w="1029" w:type="dxa"/>
            <w:tcBorders>
              <w:top w:val="single" w:sz="4" w:space="0" w:color="auto"/>
            </w:tcBorders>
          </w:tcPr>
          <w:p w14:paraId="4871D95D" w14:textId="77777777" w:rsidR="00CF0E2D" w:rsidRDefault="00CF0E2D" w:rsidP="00A60D4B">
            <w:pPr>
              <w:pStyle w:val="InitFigR"/>
            </w:pPr>
            <w:r>
              <w:t>2,600</w:t>
            </w:r>
          </w:p>
        </w:tc>
        <w:tc>
          <w:tcPr>
            <w:tcW w:w="1029" w:type="dxa"/>
            <w:tcBorders>
              <w:top w:val="single" w:sz="4" w:space="0" w:color="auto"/>
            </w:tcBorders>
          </w:tcPr>
          <w:p w14:paraId="52ACB0D5" w14:textId="77777777" w:rsidR="00CF0E2D" w:rsidRDefault="00CF0E2D" w:rsidP="00A60D4B">
            <w:pPr>
              <w:pStyle w:val="InitFigR"/>
            </w:pPr>
            <w:r>
              <w:t>0</w:t>
            </w:r>
          </w:p>
        </w:tc>
        <w:tc>
          <w:tcPr>
            <w:tcW w:w="1029" w:type="dxa"/>
            <w:tcBorders>
              <w:top w:val="single" w:sz="4" w:space="0" w:color="auto"/>
            </w:tcBorders>
          </w:tcPr>
          <w:p w14:paraId="4608C960" w14:textId="77777777" w:rsidR="00CF0E2D" w:rsidRPr="00220232" w:rsidRDefault="00CF0E2D" w:rsidP="00A60D4B">
            <w:pPr>
              <w:pStyle w:val="InitFigRBold"/>
              <w:rPr>
                <w:bCs/>
              </w:rPr>
            </w:pPr>
            <w:r w:rsidRPr="00220232">
              <w:rPr>
                <w:bCs/>
              </w:rPr>
              <w:t>4,800</w:t>
            </w:r>
          </w:p>
        </w:tc>
      </w:tr>
      <w:tr w:rsidR="00CF0E2D" w:rsidRPr="00750793" w14:paraId="3E6E9BD5" w14:textId="77777777" w:rsidTr="00A60D4B">
        <w:trPr>
          <w:cantSplit/>
          <w:jc w:val="center"/>
        </w:trPr>
        <w:tc>
          <w:tcPr>
            <w:tcW w:w="3652" w:type="dxa"/>
          </w:tcPr>
          <w:p w14:paraId="6D3A726E" w14:textId="77777777" w:rsidR="00CF0E2D" w:rsidRPr="00F572B7" w:rsidRDefault="00CF0E2D" w:rsidP="00A60D4B">
            <w:pPr>
              <w:pStyle w:val="InitTextL"/>
              <w:ind w:left="321" w:hanging="321"/>
              <w:rPr>
                <w:rFonts w:cs="Calibri"/>
              </w:rPr>
            </w:pPr>
            <w:r w:rsidRPr="00F572B7">
              <w:rPr>
                <w:rFonts w:cs="Calibri"/>
              </w:rPr>
              <w:t>Offset – Capital – Better Infrastructure Fund</w:t>
            </w:r>
          </w:p>
        </w:tc>
        <w:tc>
          <w:tcPr>
            <w:tcW w:w="1179" w:type="dxa"/>
          </w:tcPr>
          <w:p w14:paraId="7644CC3C" w14:textId="77777777" w:rsidR="00CF0E2D" w:rsidRDefault="00CF0E2D" w:rsidP="00A60D4B">
            <w:pPr>
              <w:pStyle w:val="InitFigR"/>
            </w:pPr>
            <w:r>
              <w:t>-800</w:t>
            </w:r>
          </w:p>
        </w:tc>
        <w:tc>
          <w:tcPr>
            <w:tcW w:w="1041" w:type="dxa"/>
          </w:tcPr>
          <w:p w14:paraId="485C17C0" w14:textId="77777777" w:rsidR="00CF0E2D" w:rsidRDefault="00CF0E2D" w:rsidP="00A60D4B">
            <w:pPr>
              <w:pStyle w:val="InitFigR"/>
            </w:pPr>
            <w:r>
              <w:t>-1,400</w:t>
            </w:r>
          </w:p>
        </w:tc>
        <w:tc>
          <w:tcPr>
            <w:tcW w:w="1029" w:type="dxa"/>
          </w:tcPr>
          <w:p w14:paraId="100807A1" w14:textId="77777777" w:rsidR="00CF0E2D" w:rsidRDefault="00CF0E2D" w:rsidP="00A60D4B">
            <w:pPr>
              <w:pStyle w:val="InitFigR"/>
            </w:pPr>
            <w:r>
              <w:t>-2,600</w:t>
            </w:r>
          </w:p>
        </w:tc>
        <w:tc>
          <w:tcPr>
            <w:tcW w:w="1029" w:type="dxa"/>
          </w:tcPr>
          <w:p w14:paraId="1F196E07" w14:textId="77777777" w:rsidR="00CF0E2D" w:rsidRDefault="00CF0E2D" w:rsidP="00A60D4B">
            <w:pPr>
              <w:pStyle w:val="InitFigR"/>
            </w:pPr>
            <w:r>
              <w:t>0</w:t>
            </w:r>
          </w:p>
        </w:tc>
        <w:tc>
          <w:tcPr>
            <w:tcW w:w="1029" w:type="dxa"/>
          </w:tcPr>
          <w:p w14:paraId="2D9EC169" w14:textId="77777777" w:rsidR="00CF0E2D" w:rsidRPr="00220232" w:rsidRDefault="00CF0E2D" w:rsidP="00A60D4B">
            <w:pPr>
              <w:pStyle w:val="InitFigRBold"/>
              <w:rPr>
                <w:bCs/>
              </w:rPr>
            </w:pPr>
            <w:r w:rsidRPr="00220232">
              <w:rPr>
                <w:bCs/>
              </w:rPr>
              <w:t>-4,800</w:t>
            </w:r>
          </w:p>
        </w:tc>
      </w:tr>
      <w:tr w:rsidR="00CF0E2D" w:rsidRPr="00750793" w14:paraId="65A1370A" w14:textId="77777777" w:rsidTr="00A60D4B">
        <w:trPr>
          <w:cantSplit/>
          <w:jc w:val="center"/>
        </w:trPr>
        <w:tc>
          <w:tcPr>
            <w:tcW w:w="3652" w:type="dxa"/>
            <w:tcBorders>
              <w:top w:val="single" w:sz="4" w:space="0" w:color="auto"/>
              <w:bottom w:val="single" w:sz="4" w:space="0" w:color="auto"/>
            </w:tcBorders>
          </w:tcPr>
          <w:p w14:paraId="345D072E" w14:textId="764125D3" w:rsidR="00CF0E2D" w:rsidRPr="00F572B7" w:rsidRDefault="00F57411" w:rsidP="00A60D4B">
            <w:pPr>
              <w:pStyle w:val="InitTextL"/>
              <w:ind w:left="321" w:hanging="321"/>
              <w:rPr>
                <w:rFonts w:cs="Calibri"/>
                <w:b/>
              </w:rPr>
            </w:pPr>
            <w:r>
              <w:rPr>
                <w:rFonts w:cs="Calibri"/>
                <w:b/>
              </w:rPr>
              <w:t>Net capital</w:t>
            </w:r>
          </w:p>
        </w:tc>
        <w:tc>
          <w:tcPr>
            <w:tcW w:w="1179" w:type="dxa"/>
            <w:tcBorders>
              <w:top w:val="single" w:sz="4" w:space="0" w:color="auto"/>
              <w:bottom w:val="single" w:sz="4" w:space="0" w:color="auto"/>
            </w:tcBorders>
          </w:tcPr>
          <w:p w14:paraId="6FE95084" w14:textId="77777777" w:rsidR="00CF0E2D" w:rsidRPr="00220232" w:rsidRDefault="00CF0E2D" w:rsidP="00A60D4B">
            <w:pPr>
              <w:pStyle w:val="InitFigR"/>
              <w:rPr>
                <w:b/>
                <w:bCs/>
              </w:rPr>
            </w:pPr>
            <w:r w:rsidRPr="00220232">
              <w:rPr>
                <w:b/>
                <w:bCs/>
              </w:rPr>
              <w:t>0</w:t>
            </w:r>
          </w:p>
        </w:tc>
        <w:tc>
          <w:tcPr>
            <w:tcW w:w="1041" w:type="dxa"/>
            <w:tcBorders>
              <w:top w:val="single" w:sz="4" w:space="0" w:color="auto"/>
              <w:bottom w:val="single" w:sz="4" w:space="0" w:color="auto"/>
            </w:tcBorders>
          </w:tcPr>
          <w:p w14:paraId="64C2CBDE" w14:textId="77777777" w:rsidR="00CF0E2D" w:rsidRPr="00220232" w:rsidRDefault="00CF0E2D" w:rsidP="00A60D4B">
            <w:pPr>
              <w:pStyle w:val="InitFigR"/>
              <w:rPr>
                <w:b/>
                <w:bCs/>
              </w:rPr>
            </w:pPr>
            <w:r w:rsidRPr="00220232">
              <w:rPr>
                <w:b/>
                <w:bCs/>
              </w:rPr>
              <w:t>0</w:t>
            </w:r>
          </w:p>
        </w:tc>
        <w:tc>
          <w:tcPr>
            <w:tcW w:w="1029" w:type="dxa"/>
            <w:tcBorders>
              <w:top w:val="single" w:sz="4" w:space="0" w:color="auto"/>
              <w:bottom w:val="single" w:sz="4" w:space="0" w:color="auto"/>
            </w:tcBorders>
          </w:tcPr>
          <w:p w14:paraId="2013DD7D" w14:textId="77777777" w:rsidR="00CF0E2D" w:rsidRPr="00220232" w:rsidRDefault="00CF0E2D" w:rsidP="00A60D4B">
            <w:pPr>
              <w:pStyle w:val="InitFigR"/>
              <w:rPr>
                <w:b/>
                <w:bCs/>
              </w:rPr>
            </w:pPr>
            <w:r w:rsidRPr="00220232">
              <w:rPr>
                <w:b/>
                <w:bCs/>
              </w:rPr>
              <w:t>0</w:t>
            </w:r>
          </w:p>
        </w:tc>
        <w:tc>
          <w:tcPr>
            <w:tcW w:w="1029" w:type="dxa"/>
            <w:tcBorders>
              <w:top w:val="single" w:sz="4" w:space="0" w:color="auto"/>
              <w:bottom w:val="single" w:sz="4" w:space="0" w:color="auto"/>
            </w:tcBorders>
          </w:tcPr>
          <w:p w14:paraId="3524D615" w14:textId="77777777" w:rsidR="00CF0E2D" w:rsidRPr="00220232" w:rsidRDefault="00CF0E2D" w:rsidP="00A60D4B">
            <w:pPr>
              <w:pStyle w:val="InitFigR"/>
              <w:rPr>
                <w:b/>
                <w:bCs/>
              </w:rPr>
            </w:pPr>
            <w:r w:rsidRPr="00220232">
              <w:rPr>
                <w:b/>
                <w:bCs/>
              </w:rPr>
              <w:t>0</w:t>
            </w:r>
          </w:p>
        </w:tc>
        <w:tc>
          <w:tcPr>
            <w:tcW w:w="1029" w:type="dxa"/>
            <w:tcBorders>
              <w:top w:val="single" w:sz="4" w:space="0" w:color="auto"/>
              <w:bottom w:val="single" w:sz="4" w:space="0" w:color="auto"/>
            </w:tcBorders>
          </w:tcPr>
          <w:p w14:paraId="6135BD04" w14:textId="77777777" w:rsidR="00CF0E2D" w:rsidRPr="00220232" w:rsidRDefault="00CF0E2D" w:rsidP="00A60D4B">
            <w:pPr>
              <w:pStyle w:val="InitFigRBold"/>
              <w:rPr>
                <w:bCs/>
              </w:rPr>
            </w:pPr>
            <w:r w:rsidRPr="00220232">
              <w:rPr>
                <w:bCs/>
              </w:rPr>
              <w:t>0</w:t>
            </w:r>
          </w:p>
        </w:tc>
      </w:tr>
    </w:tbl>
    <w:p w14:paraId="74C96CBF" w14:textId="77777777" w:rsidR="00CF0E2D" w:rsidRPr="00F572B7" w:rsidRDefault="00CF0E2D" w:rsidP="00A60D4B">
      <w:pPr>
        <w:pStyle w:val="Bbodytext"/>
      </w:pPr>
      <w:r w:rsidRPr="00F572B7">
        <w:t xml:space="preserve">The Government will undertake major improvements to the Tuggeranong Foreshore precinct from Reed Street South to Tuggeranong Town Park. This will include delivering a new playground, new street furniture and improved canopy cover and other upgrades in consultation with the Tuggeranong community. </w:t>
      </w:r>
    </w:p>
    <w:p w14:paraId="6E5DCDBA" w14:textId="77777777" w:rsidR="00CF0E2D" w:rsidRPr="00F572B7" w:rsidRDefault="00CF0E2D" w:rsidP="00A60D4B">
      <w:pPr>
        <w:pStyle w:val="Bbodytext"/>
      </w:pPr>
      <w:r w:rsidRPr="00F572B7">
        <w:t>This work will build on upgrades the Government has already delivered over the past two years along Anketell Street, the Tuggeranong Town Square and the Laneway precinct through the Laneway to Lake Tuggeranong project.</w:t>
      </w:r>
    </w:p>
    <w:p w14:paraId="1FAA399B" w14:textId="77777777" w:rsidR="00CF0E2D" w:rsidRDefault="00CF0E2D" w:rsidP="00A60D4B">
      <w:pPr>
        <w:pStyle w:val="Bbodytext"/>
      </w:pPr>
      <w:r w:rsidRPr="00CB733A">
        <w:t xml:space="preserve">This initiative contributes to the wellbeing domains of Access and connectivity, Health and </w:t>
      </w:r>
      <w:r w:rsidRPr="00F572B7">
        <w:t xml:space="preserve">Economy. </w:t>
      </w:r>
    </w:p>
    <w:p w14:paraId="6070AB79" w14:textId="77777777" w:rsidR="00CF0E2D" w:rsidRDefault="00CF0E2D" w:rsidP="00A60D4B">
      <w:pPr>
        <w:pStyle w:val="Bbodytext"/>
        <w:rPr>
          <w:rFonts w:ascii="Calibri" w:eastAsia="Times New Roman" w:hAnsi="Calibri" w:cs="Times New Roman"/>
          <w:szCs w:val="20"/>
        </w:rPr>
      </w:pPr>
    </w:p>
    <w:p w14:paraId="5D6F3BB0" w14:textId="77777777" w:rsidR="00CF0E2D" w:rsidRPr="00937A6B" w:rsidRDefault="00CF0E2D" w:rsidP="00A60D4B">
      <w:pPr>
        <w:pStyle w:val="Heading4"/>
        <w:rPr>
          <w:rFonts w:eastAsia="Times New Roman" w:cs="Times New Roman"/>
          <w:b w:val="0"/>
          <w:bCs/>
          <w:szCs w:val="26"/>
          <w:lang w:val="x-none"/>
        </w:rPr>
      </w:pPr>
      <w:r w:rsidRPr="001229BA">
        <w:rPr>
          <w:rFonts w:eastAsia="Times New Roman"/>
        </w:rPr>
        <w:t xml:space="preserve">Better community infrastructure </w:t>
      </w:r>
      <w:r w:rsidRPr="00B32851">
        <w:rPr>
          <w:rFonts w:eastAsia="Times New Roman" w:cs="Times New Roman"/>
          <w:szCs w:val="26"/>
        </w:rPr>
        <w:t>–</w:t>
      </w:r>
      <w:r w:rsidRPr="001229BA">
        <w:rPr>
          <w:rFonts w:eastAsia="Times New Roman" w:cs="Times New Roman"/>
          <w:bCs/>
          <w:szCs w:val="26"/>
        </w:rPr>
        <w:t xml:space="preserve"> </w:t>
      </w:r>
      <w:r w:rsidRPr="00255F8E">
        <w:rPr>
          <w:bCs/>
          <w:szCs w:val="28"/>
        </w:rPr>
        <w:t xml:space="preserve">Yerrabi Pond </w:t>
      </w:r>
      <w:r>
        <w:rPr>
          <w:bCs/>
          <w:szCs w:val="28"/>
        </w:rPr>
        <w:t>District Park</w:t>
      </w:r>
      <w:r w:rsidRPr="00937A6B">
        <w:rPr>
          <w:rFonts w:eastAsia="Times New Roman" w:cs="Times New Roman"/>
          <w:bCs/>
          <w:noProof/>
          <w:szCs w:val="26"/>
        </w:rPr>
        <w:t xml:space="preserve"> </w:t>
      </w:r>
      <w:r>
        <w:rPr>
          <w:noProof/>
        </w:rPr>
        <w:drawing>
          <wp:anchor distT="0" distB="0" distL="114300" distR="114300" simplePos="0" relativeHeight="251917312" behindDoc="0" locked="1" layoutInCell="1" allowOverlap="1" wp14:anchorId="0B1B20D6" wp14:editId="2AC76093">
            <wp:simplePos x="0" y="0"/>
            <wp:positionH relativeFrom="margin">
              <wp:posOffset>4340860</wp:posOffset>
            </wp:positionH>
            <wp:positionV relativeFrom="paragraph">
              <wp:posOffset>74930</wp:posOffset>
            </wp:positionV>
            <wp:extent cx="1378585" cy="507365"/>
            <wp:effectExtent l="0" t="0" r="0" b="6985"/>
            <wp:wrapSquare wrapText="bothSides"/>
            <wp:docPr id="213" name="Picture 213"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37A6B" w14:paraId="414FD0C6" w14:textId="77777777" w:rsidTr="00A60D4B">
        <w:trPr>
          <w:cantSplit/>
          <w:jc w:val="center"/>
        </w:trPr>
        <w:tc>
          <w:tcPr>
            <w:tcW w:w="3652" w:type="dxa"/>
            <w:tcBorders>
              <w:top w:val="single" w:sz="4" w:space="0" w:color="auto"/>
              <w:bottom w:val="single" w:sz="4" w:space="0" w:color="auto"/>
            </w:tcBorders>
          </w:tcPr>
          <w:p w14:paraId="0F51BD03" w14:textId="77777777" w:rsidR="00CF0E2D" w:rsidRPr="00937A6B" w:rsidRDefault="00CF0E2D" w:rsidP="00A60D4B">
            <w:pPr>
              <w:spacing w:after="0" w:line="240" w:lineRule="auto"/>
              <w:jc w:val="right"/>
              <w:rPr>
                <w:rFonts w:ascii="Calibri" w:eastAsia="Times New Roman" w:hAnsi="Calibri" w:cs="Calibri"/>
                <w:color w:val="FFFFFF"/>
                <w:sz w:val="12"/>
                <w:szCs w:val="20"/>
              </w:rPr>
            </w:pPr>
            <w:r w:rsidRPr="00937A6B">
              <w:rPr>
                <w:rFonts w:ascii="Calibri" w:eastAsia="Times New Roman" w:hAnsi="Calibri" w:cs="Calibri"/>
                <w:color w:val="FFFFFF"/>
                <w:sz w:val="12"/>
                <w:szCs w:val="20"/>
              </w:rPr>
              <w:t>Empty Cell</w:t>
            </w:r>
          </w:p>
        </w:tc>
        <w:tc>
          <w:tcPr>
            <w:tcW w:w="1179" w:type="dxa"/>
            <w:tcBorders>
              <w:top w:val="single" w:sz="4" w:space="0" w:color="auto"/>
              <w:bottom w:val="single" w:sz="4" w:space="0" w:color="auto"/>
            </w:tcBorders>
          </w:tcPr>
          <w:p w14:paraId="4DCCC90C"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2021-22</w:t>
            </w:r>
          </w:p>
          <w:p w14:paraId="4449AA99"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41" w:type="dxa"/>
            <w:tcBorders>
              <w:top w:val="single" w:sz="4" w:space="0" w:color="auto"/>
              <w:bottom w:val="single" w:sz="4" w:space="0" w:color="auto"/>
            </w:tcBorders>
          </w:tcPr>
          <w:p w14:paraId="5922963C"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2022-23</w:t>
            </w:r>
          </w:p>
          <w:p w14:paraId="1EEA4FCB"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1E03E9FA"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2023-24</w:t>
            </w:r>
          </w:p>
          <w:p w14:paraId="1733DD63"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3BC0CFF8"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2024-25</w:t>
            </w:r>
          </w:p>
          <w:p w14:paraId="6EF72EFD"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1BD28E35"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Total</w:t>
            </w:r>
          </w:p>
          <w:p w14:paraId="77A6491D"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$’000</w:t>
            </w:r>
          </w:p>
        </w:tc>
      </w:tr>
      <w:tr w:rsidR="00CF0E2D" w:rsidRPr="00937A6B" w14:paraId="3AFF3565" w14:textId="77777777" w:rsidTr="00A60D4B">
        <w:trPr>
          <w:cantSplit/>
          <w:jc w:val="center"/>
        </w:trPr>
        <w:tc>
          <w:tcPr>
            <w:tcW w:w="3652" w:type="dxa"/>
            <w:tcBorders>
              <w:top w:val="single" w:sz="4" w:space="0" w:color="auto"/>
            </w:tcBorders>
          </w:tcPr>
          <w:p w14:paraId="2E0923DB"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Capital</w:t>
            </w:r>
          </w:p>
        </w:tc>
        <w:tc>
          <w:tcPr>
            <w:tcW w:w="1179" w:type="dxa"/>
            <w:tcBorders>
              <w:top w:val="single" w:sz="4" w:space="0" w:color="auto"/>
            </w:tcBorders>
          </w:tcPr>
          <w:p w14:paraId="2FB15FED"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600</w:t>
            </w:r>
          </w:p>
        </w:tc>
        <w:tc>
          <w:tcPr>
            <w:tcW w:w="1041" w:type="dxa"/>
            <w:tcBorders>
              <w:top w:val="single" w:sz="4" w:space="0" w:color="auto"/>
            </w:tcBorders>
          </w:tcPr>
          <w:p w14:paraId="42B9D8FF"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tcBorders>
          </w:tcPr>
          <w:p w14:paraId="6EC67691"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tcBorders>
          </w:tcPr>
          <w:p w14:paraId="4EBF80E7"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tcBorders>
          </w:tcPr>
          <w:p w14:paraId="23C0EADF"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600</w:t>
            </w:r>
          </w:p>
        </w:tc>
      </w:tr>
      <w:tr w:rsidR="00CF0E2D" w:rsidRPr="00937A6B" w14:paraId="7D79E034" w14:textId="77777777" w:rsidTr="00A60D4B">
        <w:trPr>
          <w:cantSplit/>
          <w:jc w:val="center"/>
        </w:trPr>
        <w:tc>
          <w:tcPr>
            <w:tcW w:w="3652" w:type="dxa"/>
          </w:tcPr>
          <w:p w14:paraId="6BB028FF"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Offset – Capital – Better Infrastructure Fund</w:t>
            </w:r>
          </w:p>
        </w:tc>
        <w:tc>
          <w:tcPr>
            <w:tcW w:w="1179" w:type="dxa"/>
          </w:tcPr>
          <w:p w14:paraId="6021BF83"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-600</w:t>
            </w:r>
          </w:p>
        </w:tc>
        <w:tc>
          <w:tcPr>
            <w:tcW w:w="1041" w:type="dxa"/>
          </w:tcPr>
          <w:p w14:paraId="09BCEE9E"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Pr>
          <w:p w14:paraId="301AD7B3"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Pr>
          <w:p w14:paraId="10D1BFA1"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Pr>
          <w:p w14:paraId="59B12F8B"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-600</w:t>
            </w:r>
          </w:p>
        </w:tc>
      </w:tr>
      <w:tr w:rsidR="00CF0E2D" w:rsidRPr="00937A6B" w14:paraId="069D6599" w14:textId="77777777" w:rsidTr="00A60D4B">
        <w:trPr>
          <w:cantSplit/>
          <w:jc w:val="center"/>
        </w:trPr>
        <w:tc>
          <w:tcPr>
            <w:tcW w:w="3652" w:type="dxa"/>
            <w:tcBorders>
              <w:top w:val="single" w:sz="4" w:space="0" w:color="auto"/>
              <w:bottom w:val="single" w:sz="4" w:space="0" w:color="auto"/>
            </w:tcBorders>
          </w:tcPr>
          <w:p w14:paraId="479B1CA2" w14:textId="27A706CA" w:rsidR="00CF0E2D" w:rsidRPr="00937A6B" w:rsidRDefault="00F57411" w:rsidP="00A60D4B">
            <w:pPr>
              <w:spacing w:after="0" w:line="240" w:lineRule="auto"/>
              <w:ind w:left="321" w:hanging="321"/>
              <w:rPr>
                <w:rFonts w:ascii="Calibri" w:eastAsia="Times New Roman" w:hAnsi="Calibri" w:cs="Times New Roman"/>
                <w:b/>
                <w:bCs/>
                <w:sz w:val="24"/>
                <w:szCs w:val="20"/>
              </w:rPr>
            </w:pPr>
            <w:r>
              <w:rPr>
                <w:rFonts w:ascii="Calibri" w:eastAsia="Times New Roman" w:hAnsi="Calibri" w:cs="Times New Roman"/>
                <w:b/>
                <w:bCs/>
                <w:sz w:val="24"/>
                <w:szCs w:val="20"/>
              </w:rPr>
              <w:t>Net capital</w:t>
            </w:r>
          </w:p>
        </w:tc>
        <w:tc>
          <w:tcPr>
            <w:tcW w:w="1179" w:type="dxa"/>
            <w:tcBorders>
              <w:top w:val="single" w:sz="4" w:space="0" w:color="auto"/>
              <w:bottom w:val="single" w:sz="4" w:space="0" w:color="auto"/>
            </w:tcBorders>
          </w:tcPr>
          <w:p w14:paraId="24A64281"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w:t>
            </w:r>
          </w:p>
        </w:tc>
        <w:tc>
          <w:tcPr>
            <w:tcW w:w="1041" w:type="dxa"/>
            <w:tcBorders>
              <w:top w:val="single" w:sz="4" w:space="0" w:color="auto"/>
              <w:bottom w:val="single" w:sz="4" w:space="0" w:color="auto"/>
            </w:tcBorders>
          </w:tcPr>
          <w:p w14:paraId="19520590"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w:t>
            </w:r>
          </w:p>
        </w:tc>
        <w:tc>
          <w:tcPr>
            <w:tcW w:w="1029" w:type="dxa"/>
            <w:tcBorders>
              <w:top w:val="single" w:sz="4" w:space="0" w:color="auto"/>
              <w:bottom w:val="single" w:sz="4" w:space="0" w:color="auto"/>
            </w:tcBorders>
          </w:tcPr>
          <w:p w14:paraId="7AAC2FB7"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w:t>
            </w:r>
          </w:p>
        </w:tc>
        <w:tc>
          <w:tcPr>
            <w:tcW w:w="1029" w:type="dxa"/>
            <w:tcBorders>
              <w:top w:val="single" w:sz="4" w:space="0" w:color="auto"/>
              <w:bottom w:val="single" w:sz="4" w:space="0" w:color="auto"/>
            </w:tcBorders>
          </w:tcPr>
          <w:p w14:paraId="3AAF677B"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w:t>
            </w:r>
          </w:p>
        </w:tc>
        <w:tc>
          <w:tcPr>
            <w:tcW w:w="1029" w:type="dxa"/>
            <w:tcBorders>
              <w:top w:val="single" w:sz="4" w:space="0" w:color="auto"/>
              <w:bottom w:val="single" w:sz="4" w:space="0" w:color="auto"/>
            </w:tcBorders>
          </w:tcPr>
          <w:p w14:paraId="7621B804"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w:t>
            </w:r>
          </w:p>
        </w:tc>
      </w:tr>
    </w:tbl>
    <w:p w14:paraId="5F4F40AC" w14:textId="77777777" w:rsidR="00CF0E2D" w:rsidRPr="00350729" w:rsidRDefault="00CF0E2D" w:rsidP="00A60D4B">
      <w:pPr>
        <w:pStyle w:val="Bbodytext"/>
        <w:rPr>
          <w:rFonts w:ascii="Calibri" w:eastAsia="Times New Roman" w:hAnsi="Calibri" w:cs="Times New Roman"/>
          <w:szCs w:val="24"/>
        </w:rPr>
      </w:pPr>
      <w:r w:rsidRPr="00937A6B">
        <w:t xml:space="preserve">The Government will undertake feasibility and design for improvements to the </w:t>
      </w:r>
      <w:r w:rsidRPr="00937A6B">
        <w:rPr>
          <w:rFonts w:ascii="Calibri" w:eastAsia="Times New Roman" w:hAnsi="Calibri" w:cs="Times New Roman"/>
          <w:szCs w:val="20"/>
        </w:rPr>
        <w:t>public realm surrounding Yerrabi Pond in Gungahlin.</w:t>
      </w:r>
      <w:r>
        <w:rPr>
          <w:rFonts w:ascii="Calibri" w:eastAsia="Times New Roman" w:hAnsi="Calibri" w:cs="Times New Roman"/>
          <w:szCs w:val="20"/>
        </w:rPr>
        <w:t xml:space="preserve"> </w:t>
      </w:r>
      <w:r w:rsidRPr="00350729">
        <w:rPr>
          <w:rFonts w:ascii="Calibri" w:eastAsia="Times New Roman" w:hAnsi="Calibri" w:cs="Times New Roman"/>
          <w:szCs w:val="24"/>
        </w:rPr>
        <w:t>This will include feasibility and design scoping for improved car parking, delivery of improved public toilet facilities, lighting and picnic facilities for this popular Gungahlin recreation site.</w:t>
      </w:r>
    </w:p>
    <w:p w14:paraId="7E70F91F" w14:textId="77777777" w:rsidR="00CF0E2D" w:rsidRPr="00350729" w:rsidRDefault="00CF0E2D" w:rsidP="00A60D4B">
      <w:pPr>
        <w:pStyle w:val="Bbodytext"/>
        <w:rPr>
          <w:rFonts w:cstheme="minorHAnsi"/>
          <w:bCs/>
          <w:szCs w:val="24"/>
        </w:rPr>
      </w:pPr>
      <w:r w:rsidRPr="00350729">
        <w:rPr>
          <w:rFonts w:cstheme="minorHAnsi"/>
          <w:szCs w:val="24"/>
        </w:rPr>
        <w:t>This in</w:t>
      </w:r>
      <w:r w:rsidRPr="00350729">
        <w:rPr>
          <w:rFonts w:cstheme="minorHAnsi"/>
          <w:bCs/>
          <w:szCs w:val="24"/>
        </w:rPr>
        <w:t xml:space="preserve">itiative builds on $300,000 for Yerrabi Pond improvements previously funded in the </w:t>
      </w:r>
      <w:r>
        <w:rPr>
          <w:rFonts w:cstheme="minorHAnsi"/>
          <w:bCs/>
          <w:szCs w:val="24"/>
        </w:rPr>
        <w:t>2019-20 Budget</w:t>
      </w:r>
      <w:r w:rsidRPr="00350729">
        <w:rPr>
          <w:rFonts w:cstheme="minorHAnsi"/>
          <w:bCs/>
          <w:szCs w:val="24"/>
        </w:rPr>
        <w:t>.</w:t>
      </w:r>
    </w:p>
    <w:p w14:paraId="4F121704" w14:textId="77777777" w:rsidR="00CF0E2D" w:rsidRDefault="00CF0E2D" w:rsidP="00A60D4B">
      <w:pPr>
        <w:pStyle w:val="Bbodytext"/>
        <w:rPr>
          <w:rFonts w:cstheme="minorHAnsi"/>
          <w:bCs/>
          <w:szCs w:val="24"/>
        </w:rPr>
      </w:pPr>
      <w:r w:rsidRPr="00350729">
        <w:rPr>
          <w:rFonts w:cstheme="minorHAnsi"/>
          <w:szCs w:val="24"/>
        </w:rPr>
        <w:t>This initiative co</w:t>
      </w:r>
      <w:r w:rsidRPr="00350729">
        <w:rPr>
          <w:rFonts w:cstheme="minorHAnsi"/>
          <w:bCs/>
          <w:szCs w:val="24"/>
        </w:rPr>
        <w:t>ntributes to the wellbeing domains of Access and connectivity and Health.</w:t>
      </w:r>
    </w:p>
    <w:p w14:paraId="0409DEEE" w14:textId="77777777" w:rsidR="00CF0E2D" w:rsidRDefault="00CF0E2D" w:rsidP="00A60D4B">
      <w:pPr>
        <w:pStyle w:val="Bbodytext"/>
        <w:rPr>
          <w:rFonts w:cstheme="minorHAnsi"/>
          <w:bCs/>
          <w:szCs w:val="24"/>
        </w:rPr>
      </w:pPr>
    </w:p>
    <w:p w14:paraId="09BA0836" w14:textId="77777777" w:rsidR="00CF0E2D" w:rsidRPr="0013189D" w:rsidRDefault="00CF0E2D" w:rsidP="00A60D4B">
      <w:pPr>
        <w:pStyle w:val="Bbodytext"/>
      </w:pPr>
      <w:bookmarkStart w:id="56" w:name="_Hlk83325890"/>
      <w:bookmarkStart w:id="57" w:name="_Hlk83325928"/>
    </w:p>
    <w:p w14:paraId="40D9B87D" w14:textId="77777777" w:rsidR="00CF0E2D" w:rsidRPr="00696D43" w:rsidRDefault="00CF0E2D" w:rsidP="00A60D4B">
      <w:pPr>
        <w:pStyle w:val="Heading4"/>
        <w:rPr>
          <w:rFonts w:eastAsia="Times New Roman" w:cs="Times New Roman"/>
          <w:szCs w:val="26"/>
        </w:rPr>
      </w:pPr>
      <w:r w:rsidRPr="00DB57D8">
        <w:rPr>
          <w:rFonts w:eastAsia="Times New Roman"/>
        </w:rPr>
        <w:lastRenderedPageBreak/>
        <w:t xml:space="preserve">Connected and sustainable </w:t>
      </w:r>
      <w:r w:rsidRPr="00D95762">
        <w:t>Canberra – Active travel investments</w:t>
      </w:r>
      <w:r w:rsidRPr="00696D43">
        <w:rPr>
          <w:rFonts w:eastAsia="Times New Roman" w:cs="Times New Roman"/>
          <w:szCs w:val="26"/>
        </w:rPr>
        <w:t xml:space="preserve"> </w:t>
      </w:r>
      <w:r>
        <w:rPr>
          <w:noProof/>
        </w:rPr>
        <w:drawing>
          <wp:anchor distT="0" distB="0" distL="114300" distR="114300" simplePos="0" relativeHeight="251918336" behindDoc="0" locked="1" layoutInCell="1" allowOverlap="1" wp14:anchorId="3DD0AF09" wp14:editId="09D7B8A0">
            <wp:simplePos x="0" y="0"/>
            <wp:positionH relativeFrom="margin">
              <wp:align>right</wp:align>
            </wp:positionH>
            <wp:positionV relativeFrom="paragraph">
              <wp:posOffset>6350</wp:posOffset>
            </wp:positionV>
            <wp:extent cx="1378585" cy="507365"/>
            <wp:effectExtent l="0" t="0" r="0" b="6985"/>
            <wp:wrapSquare wrapText="bothSides"/>
            <wp:docPr id="214" name="Picture 214"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02F8FF30" w14:textId="77777777" w:rsidTr="00A60D4B">
        <w:trPr>
          <w:cantSplit/>
          <w:jc w:val="center"/>
        </w:trPr>
        <w:tc>
          <w:tcPr>
            <w:tcW w:w="3652" w:type="dxa"/>
            <w:tcBorders>
              <w:top w:val="single" w:sz="4" w:space="0" w:color="auto"/>
              <w:bottom w:val="single" w:sz="4" w:space="0" w:color="auto"/>
            </w:tcBorders>
          </w:tcPr>
          <w:p w14:paraId="7B876813" w14:textId="77777777" w:rsidR="00CF0E2D" w:rsidRPr="004E341E" w:rsidRDefault="00CF0E2D" w:rsidP="00A60D4B">
            <w:pPr>
              <w:pStyle w:val="EmptyCell0"/>
              <w:keepNext/>
              <w:keepLines/>
              <w:ind w:left="720" w:hanging="720"/>
            </w:pPr>
            <w:r>
              <w:t>Empty Cell</w:t>
            </w:r>
          </w:p>
        </w:tc>
        <w:tc>
          <w:tcPr>
            <w:tcW w:w="1179" w:type="dxa"/>
            <w:tcBorders>
              <w:top w:val="single" w:sz="4" w:space="0" w:color="auto"/>
              <w:bottom w:val="single" w:sz="4" w:space="0" w:color="auto"/>
            </w:tcBorders>
          </w:tcPr>
          <w:p w14:paraId="14B0AAD9" w14:textId="77777777" w:rsidR="00CF0E2D" w:rsidRPr="00FA0E49" w:rsidRDefault="00CF0E2D" w:rsidP="00A60D4B">
            <w:pPr>
              <w:pStyle w:val="InitFigR"/>
              <w:keepNext/>
              <w:keepLines/>
              <w:ind w:left="720" w:hanging="720"/>
              <w:rPr>
                <w:b/>
                <w:bCs/>
              </w:rPr>
            </w:pPr>
            <w:r w:rsidRPr="00FA0E49">
              <w:rPr>
                <w:b/>
                <w:bCs/>
              </w:rPr>
              <w:t>2021-22</w:t>
            </w:r>
          </w:p>
          <w:p w14:paraId="589709BE" w14:textId="77777777" w:rsidR="00CF0E2D" w:rsidRPr="00FA0E49" w:rsidRDefault="00CF0E2D" w:rsidP="00A60D4B">
            <w:pPr>
              <w:pStyle w:val="InitFigR"/>
              <w:keepNext/>
              <w:keepLines/>
              <w:ind w:left="720" w:hanging="720"/>
              <w:rPr>
                <w:b/>
                <w:bCs/>
              </w:rPr>
            </w:pPr>
            <w:r w:rsidRPr="00FA0E49">
              <w:rPr>
                <w:b/>
                <w:bCs/>
              </w:rPr>
              <w:t>$’000</w:t>
            </w:r>
          </w:p>
        </w:tc>
        <w:tc>
          <w:tcPr>
            <w:tcW w:w="1041" w:type="dxa"/>
            <w:tcBorders>
              <w:top w:val="single" w:sz="4" w:space="0" w:color="auto"/>
              <w:bottom w:val="single" w:sz="4" w:space="0" w:color="auto"/>
            </w:tcBorders>
          </w:tcPr>
          <w:p w14:paraId="355D9FBB" w14:textId="77777777" w:rsidR="00CF0E2D" w:rsidRPr="00FA0E49" w:rsidRDefault="00CF0E2D" w:rsidP="00A60D4B">
            <w:pPr>
              <w:pStyle w:val="InitFigR"/>
              <w:keepNext/>
              <w:keepLines/>
              <w:ind w:left="720" w:hanging="720"/>
              <w:rPr>
                <w:b/>
                <w:bCs/>
              </w:rPr>
            </w:pPr>
            <w:r w:rsidRPr="00FA0E49">
              <w:rPr>
                <w:b/>
                <w:bCs/>
              </w:rPr>
              <w:t>2022-23</w:t>
            </w:r>
          </w:p>
          <w:p w14:paraId="63C59D60" w14:textId="77777777" w:rsidR="00CF0E2D" w:rsidRPr="00FA0E49" w:rsidRDefault="00CF0E2D" w:rsidP="00A60D4B">
            <w:pPr>
              <w:pStyle w:val="InitFigR"/>
              <w:keepNext/>
              <w:keepLines/>
              <w:ind w:left="720" w:hanging="720"/>
              <w:rPr>
                <w:b/>
                <w:bCs/>
              </w:rPr>
            </w:pPr>
            <w:r w:rsidRPr="00FA0E49">
              <w:rPr>
                <w:b/>
                <w:bCs/>
              </w:rPr>
              <w:t>$’000</w:t>
            </w:r>
          </w:p>
        </w:tc>
        <w:tc>
          <w:tcPr>
            <w:tcW w:w="1029" w:type="dxa"/>
            <w:tcBorders>
              <w:top w:val="single" w:sz="4" w:space="0" w:color="auto"/>
              <w:bottom w:val="single" w:sz="4" w:space="0" w:color="auto"/>
            </w:tcBorders>
          </w:tcPr>
          <w:p w14:paraId="2F3360EA" w14:textId="77777777" w:rsidR="00CF0E2D" w:rsidRPr="00FA0E49" w:rsidRDefault="00CF0E2D" w:rsidP="00A60D4B">
            <w:pPr>
              <w:pStyle w:val="InitFigR"/>
              <w:keepNext/>
              <w:keepLines/>
              <w:ind w:left="720" w:hanging="720"/>
              <w:rPr>
                <w:b/>
                <w:bCs/>
              </w:rPr>
            </w:pPr>
            <w:r w:rsidRPr="00FA0E49">
              <w:rPr>
                <w:b/>
                <w:bCs/>
              </w:rPr>
              <w:t>2023-24</w:t>
            </w:r>
          </w:p>
          <w:p w14:paraId="6119C035" w14:textId="77777777" w:rsidR="00CF0E2D" w:rsidRPr="00FA0E49" w:rsidRDefault="00CF0E2D" w:rsidP="00A60D4B">
            <w:pPr>
              <w:pStyle w:val="InitFigR"/>
              <w:keepNext/>
              <w:keepLines/>
              <w:ind w:left="720" w:hanging="720"/>
              <w:rPr>
                <w:b/>
                <w:bCs/>
              </w:rPr>
            </w:pPr>
            <w:r w:rsidRPr="00FA0E49">
              <w:rPr>
                <w:b/>
                <w:bCs/>
              </w:rPr>
              <w:t>$’000</w:t>
            </w:r>
          </w:p>
        </w:tc>
        <w:tc>
          <w:tcPr>
            <w:tcW w:w="1029" w:type="dxa"/>
            <w:tcBorders>
              <w:top w:val="single" w:sz="4" w:space="0" w:color="auto"/>
              <w:bottom w:val="single" w:sz="4" w:space="0" w:color="auto"/>
            </w:tcBorders>
          </w:tcPr>
          <w:p w14:paraId="33EF8ADF" w14:textId="77777777" w:rsidR="00CF0E2D" w:rsidRPr="00FA0E49" w:rsidRDefault="00CF0E2D" w:rsidP="00A60D4B">
            <w:pPr>
              <w:pStyle w:val="InitFigR"/>
              <w:keepNext/>
              <w:keepLines/>
              <w:ind w:left="720" w:hanging="720"/>
              <w:rPr>
                <w:b/>
                <w:bCs/>
              </w:rPr>
            </w:pPr>
            <w:r w:rsidRPr="00FA0E49">
              <w:rPr>
                <w:b/>
                <w:bCs/>
              </w:rPr>
              <w:t>2024-25</w:t>
            </w:r>
          </w:p>
          <w:p w14:paraId="07AF49C8" w14:textId="77777777" w:rsidR="00CF0E2D" w:rsidRPr="00FA0E49" w:rsidRDefault="00CF0E2D" w:rsidP="00A60D4B">
            <w:pPr>
              <w:pStyle w:val="InitFigR"/>
              <w:keepNext/>
              <w:keepLines/>
              <w:ind w:left="720" w:hanging="720"/>
              <w:rPr>
                <w:b/>
                <w:bCs/>
              </w:rPr>
            </w:pPr>
            <w:r w:rsidRPr="00FA0E49">
              <w:rPr>
                <w:b/>
                <w:bCs/>
              </w:rPr>
              <w:t>$’000</w:t>
            </w:r>
          </w:p>
        </w:tc>
        <w:tc>
          <w:tcPr>
            <w:tcW w:w="1029" w:type="dxa"/>
            <w:tcBorders>
              <w:top w:val="single" w:sz="4" w:space="0" w:color="auto"/>
              <w:bottom w:val="single" w:sz="4" w:space="0" w:color="auto"/>
            </w:tcBorders>
          </w:tcPr>
          <w:p w14:paraId="6AAE3D0B" w14:textId="77777777" w:rsidR="00CF0E2D" w:rsidRPr="004E341E" w:rsidRDefault="00CF0E2D" w:rsidP="00A60D4B">
            <w:pPr>
              <w:pStyle w:val="InitFigRBold"/>
              <w:keepNext/>
              <w:keepLines/>
              <w:ind w:left="720" w:hanging="720"/>
            </w:pPr>
            <w:r w:rsidRPr="004E341E">
              <w:t>Total</w:t>
            </w:r>
          </w:p>
          <w:p w14:paraId="3968C276" w14:textId="77777777" w:rsidR="00CF0E2D" w:rsidRPr="004E341E" w:rsidRDefault="00CF0E2D" w:rsidP="00A60D4B">
            <w:pPr>
              <w:pStyle w:val="InitFigBR"/>
              <w:keepNext/>
              <w:keepLines/>
              <w:ind w:left="720" w:hanging="720"/>
            </w:pPr>
            <w:r w:rsidRPr="004E341E">
              <w:t>$’000</w:t>
            </w:r>
          </w:p>
        </w:tc>
      </w:tr>
      <w:tr w:rsidR="00CF0E2D" w:rsidRPr="00750793" w14:paraId="72B4C826" w14:textId="77777777" w:rsidTr="00A60D4B">
        <w:trPr>
          <w:cantSplit/>
          <w:jc w:val="center"/>
        </w:trPr>
        <w:tc>
          <w:tcPr>
            <w:tcW w:w="3652" w:type="dxa"/>
            <w:tcBorders>
              <w:top w:val="single" w:sz="4" w:space="0" w:color="auto"/>
            </w:tcBorders>
          </w:tcPr>
          <w:p w14:paraId="25629182" w14:textId="77777777" w:rsidR="00CF0E2D" w:rsidRDefault="00CF0E2D" w:rsidP="00A60D4B">
            <w:pPr>
              <w:pStyle w:val="InitTextL"/>
              <w:keepNext/>
              <w:keepLines/>
              <w:ind w:left="720" w:hanging="720"/>
            </w:pPr>
            <w:r>
              <w:t>Capital</w:t>
            </w:r>
          </w:p>
        </w:tc>
        <w:tc>
          <w:tcPr>
            <w:tcW w:w="1179" w:type="dxa"/>
            <w:tcBorders>
              <w:top w:val="single" w:sz="4" w:space="0" w:color="auto"/>
            </w:tcBorders>
          </w:tcPr>
          <w:p w14:paraId="5174DD21" w14:textId="77777777" w:rsidR="00CF0E2D" w:rsidRDefault="00CF0E2D" w:rsidP="00A60D4B">
            <w:pPr>
              <w:pStyle w:val="InitFigR"/>
              <w:keepNext/>
              <w:keepLines/>
              <w:ind w:left="720" w:hanging="720"/>
            </w:pPr>
            <w:r>
              <w:t>2,600</w:t>
            </w:r>
          </w:p>
        </w:tc>
        <w:tc>
          <w:tcPr>
            <w:tcW w:w="1041" w:type="dxa"/>
            <w:tcBorders>
              <w:top w:val="single" w:sz="4" w:space="0" w:color="auto"/>
            </w:tcBorders>
          </w:tcPr>
          <w:p w14:paraId="0B540E9D" w14:textId="77777777" w:rsidR="00CF0E2D" w:rsidRDefault="00CF0E2D" w:rsidP="00A60D4B">
            <w:pPr>
              <w:pStyle w:val="InitFigR"/>
              <w:keepNext/>
              <w:keepLines/>
              <w:ind w:left="720" w:hanging="720"/>
            </w:pPr>
            <w:r>
              <w:t>5,500</w:t>
            </w:r>
          </w:p>
        </w:tc>
        <w:tc>
          <w:tcPr>
            <w:tcW w:w="1029" w:type="dxa"/>
            <w:tcBorders>
              <w:top w:val="single" w:sz="4" w:space="0" w:color="auto"/>
            </w:tcBorders>
          </w:tcPr>
          <w:p w14:paraId="32C1456C" w14:textId="77777777" w:rsidR="00CF0E2D" w:rsidRDefault="00CF0E2D" w:rsidP="00A60D4B">
            <w:pPr>
              <w:pStyle w:val="InitFigR"/>
              <w:keepNext/>
              <w:keepLines/>
              <w:ind w:left="720" w:hanging="720"/>
            </w:pPr>
            <w:r>
              <w:t>4,500</w:t>
            </w:r>
          </w:p>
        </w:tc>
        <w:tc>
          <w:tcPr>
            <w:tcW w:w="1029" w:type="dxa"/>
            <w:tcBorders>
              <w:top w:val="single" w:sz="4" w:space="0" w:color="auto"/>
            </w:tcBorders>
          </w:tcPr>
          <w:p w14:paraId="3B911667" w14:textId="77777777" w:rsidR="00CF0E2D" w:rsidRDefault="00CF0E2D" w:rsidP="00A60D4B">
            <w:pPr>
              <w:pStyle w:val="InitFigR"/>
              <w:keepNext/>
              <w:keepLines/>
              <w:ind w:left="720" w:hanging="720"/>
            </w:pPr>
            <w:r>
              <w:t>4,770</w:t>
            </w:r>
          </w:p>
        </w:tc>
        <w:tc>
          <w:tcPr>
            <w:tcW w:w="1029" w:type="dxa"/>
            <w:tcBorders>
              <w:top w:val="single" w:sz="4" w:space="0" w:color="auto"/>
            </w:tcBorders>
          </w:tcPr>
          <w:p w14:paraId="481542E9" w14:textId="77777777" w:rsidR="00CF0E2D" w:rsidRPr="00CB546C" w:rsidRDefault="00CF0E2D" w:rsidP="00A60D4B">
            <w:pPr>
              <w:pStyle w:val="InitFigRBold"/>
              <w:keepNext/>
              <w:keepLines/>
              <w:ind w:left="720" w:hanging="720"/>
              <w:rPr>
                <w:bCs/>
              </w:rPr>
            </w:pPr>
            <w:r w:rsidRPr="00CB546C">
              <w:rPr>
                <w:bCs/>
              </w:rPr>
              <w:t>17,370</w:t>
            </w:r>
          </w:p>
        </w:tc>
      </w:tr>
      <w:tr w:rsidR="00CF0E2D" w:rsidRPr="00750793" w14:paraId="4576D7B6" w14:textId="77777777" w:rsidTr="00A60D4B">
        <w:trPr>
          <w:cantSplit/>
          <w:jc w:val="center"/>
        </w:trPr>
        <w:tc>
          <w:tcPr>
            <w:tcW w:w="3652" w:type="dxa"/>
          </w:tcPr>
          <w:p w14:paraId="1C6F3C0A" w14:textId="77777777" w:rsidR="00CF0E2D" w:rsidRDefault="00CF0E2D" w:rsidP="00A60D4B">
            <w:pPr>
              <w:pStyle w:val="InitTextL"/>
              <w:keepNext/>
              <w:keepLines/>
              <w:ind w:left="720" w:hanging="720"/>
            </w:pPr>
            <w:r>
              <w:t>Offset – Capital – Better Infrastructure Fund</w:t>
            </w:r>
          </w:p>
        </w:tc>
        <w:tc>
          <w:tcPr>
            <w:tcW w:w="1179" w:type="dxa"/>
          </w:tcPr>
          <w:p w14:paraId="725F0433" w14:textId="77777777" w:rsidR="00CF0E2D" w:rsidRDefault="00CF0E2D" w:rsidP="00A60D4B">
            <w:pPr>
              <w:pStyle w:val="InitFigR"/>
              <w:keepNext/>
              <w:keepLines/>
              <w:ind w:left="720" w:hanging="720"/>
            </w:pPr>
            <w:r>
              <w:t>-2,000</w:t>
            </w:r>
          </w:p>
        </w:tc>
        <w:tc>
          <w:tcPr>
            <w:tcW w:w="1041" w:type="dxa"/>
          </w:tcPr>
          <w:p w14:paraId="42311E0D" w14:textId="77777777" w:rsidR="00CF0E2D" w:rsidRDefault="00CF0E2D" w:rsidP="00A60D4B">
            <w:pPr>
              <w:pStyle w:val="InitFigR"/>
              <w:keepNext/>
              <w:keepLines/>
              <w:ind w:left="720" w:hanging="720"/>
            </w:pPr>
            <w:r>
              <w:t>-1,500</w:t>
            </w:r>
          </w:p>
        </w:tc>
        <w:tc>
          <w:tcPr>
            <w:tcW w:w="1029" w:type="dxa"/>
          </w:tcPr>
          <w:p w14:paraId="715AA692" w14:textId="77777777" w:rsidR="00CF0E2D" w:rsidRDefault="00CF0E2D" w:rsidP="00A60D4B">
            <w:pPr>
              <w:pStyle w:val="InitFigR"/>
              <w:keepNext/>
              <w:keepLines/>
              <w:ind w:left="720" w:hanging="720"/>
            </w:pPr>
            <w:r>
              <w:t>-1,500</w:t>
            </w:r>
          </w:p>
        </w:tc>
        <w:tc>
          <w:tcPr>
            <w:tcW w:w="1029" w:type="dxa"/>
          </w:tcPr>
          <w:p w14:paraId="3DB524AD" w14:textId="77777777" w:rsidR="00CF0E2D" w:rsidRDefault="00CF0E2D" w:rsidP="00A60D4B">
            <w:pPr>
              <w:pStyle w:val="InitFigR"/>
              <w:keepNext/>
              <w:keepLines/>
              <w:ind w:left="720" w:hanging="720"/>
            </w:pPr>
            <w:r>
              <w:t>-1,500</w:t>
            </w:r>
          </w:p>
        </w:tc>
        <w:tc>
          <w:tcPr>
            <w:tcW w:w="1029" w:type="dxa"/>
          </w:tcPr>
          <w:p w14:paraId="694CE194" w14:textId="77777777" w:rsidR="00CF0E2D" w:rsidRPr="00CB546C" w:rsidRDefault="00CF0E2D" w:rsidP="00A60D4B">
            <w:pPr>
              <w:pStyle w:val="InitFigRBold"/>
              <w:keepNext/>
              <w:keepLines/>
              <w:ind w:left="720" w:hanging="720"/>
              <w:rPr>
                <w:bCs/>
              </w:rPr>
            </w:pPr>
            <w:r w:rsidRPr="00CB546C">
              <w:rPr>
                <w:bCs/>
              </w:rPr>
              <w:t>-6,500</w:t>
            </w:r>
          </w:p>
        </w:tc>
      </w:tr>
      <w:tr w:rsidR="00CF0E2D" w:rsidRPr="00750793" w14:paraId="18776284" w14:textId="77777777" w:rsidTr="00A60D4B">
        <w:trPr>
          <w:cantSplit/>
          <w:jc w:val="center"/>
        </w:trPr>
        <w:tc>
          <w:tcPr>
            <w:tcW w:w="3652" w:type="dxa"/>
            <w:tcBorders>
              <w:top w:val="single" w:sz="4" w:space="0" w:color="auto"/>
              <w:bottom w:val="single" w:sz="4" w:space="0" w:color="auto"/>
            </w:tcBorders>
          </w:tcPr>
          <w:p w14:paraId="7B3E3F00" w14:textId="47C6A51A" w:rsidR="00CF0E2D" w:rsidRPr="00D13A71" w:rsidRDefault="00F57411" w:rsidP="00A60D4B">
            <w:pPr>
              <w:pStyle w:val="InitTextL"/>
              <w:keepNext/>
              <w:keepLines/>
              <w:ind w:left="720" w:hanging="720"/>
              <w:rPr>
                <w:b/>
                <w:bCs/>
              </w:rPr>
            </w:pPr>
            <w:r>
              <w:rPr>
                <w:b/>
                <w:bCs/>
              </w:rPr>
              <w:t>Net capital</w:t>
            </w:r>
          </w:p>
        </w:tc>
        <w:tc>
          <w:tcPr>
            <w:tcW w:w="1179" w:type="dxa"/>
            <w:tcBorders>
              <w:top w:val="single" w:sz="4" w:space="0" w:color="auto"/>
              <w:bottom w:val="single" w:sz="4" w:space="0" w:color="auto"/>
            </w:tcBorders>
          </w:tcPr>
          <w:p w14:paraId="1E03D3B2" w14:textId="77777777" w:rsidR="00CF0E2D" w:rsidRPr="00FA0E49" w:rsidRDefault="00CF0E2D" w:rsidP="00A60D4B">
            <w:pPr>
              <w:pStyle w:val="InitFigR"/>
              <w:keepNext/>
              <w:keepLines/>
              <w:ind w:left="720" w:hanging="720"/>
              <w:rPr>
                <w:b/>
                <w:bCs/>
              </w:rPr>
            </w:pPr>
            <w:r w:rsidRPr="00FA0E49">
              <w:rPr>
                <w:b/>
                <w:bCs/>
              </w:rPr>
              <w:t>600</w:t>
            </w:r>
          </w:p>
        </w:tc>
        <w:tc>
          <w:tcPr>
            <w:tcW w:w="1041" w:type="dxa"/>
            <w:tcBorders>
              <w:top w:val="single" w:sz="4" w:space="0" w:color="auto"/>
              <w:bottom w:val="single" w:sz="4" w:space="0" w:color="auto"/>
            </w:tcBorders>
          </w:tcPr>
          <w:p w14:paraId="13DD0E56" w14:textId="77777777" w:rsidR="00CF0E2D" w:rsidRPr="00FA0E49" w:rsidRDefault="00CF0E2D" w:rsidP="00A60D4B">
            <w:pPr>
              <w:pStyle w:val="InitFigR"/>
              <w:keepNext/>
              <w:keepLines/>
              <w:ind w:left="720" w:hanging="720"/>
              <w:rPr>
                <w:b/>
                <w:bCs/>
              </w:rPr>
            </w:pPr>
            <w:r w:rsidRPr="00FA0E49">
              <w:rPr>
                <w:b/>
                <w:bCs/>
              </w:rPr>
              <w:t>4,000</w:t>
            </w:r>
          </w:p>
        </w:tc>
        <w:tc>
          <w:tcPr>
            <w:tcW w:w="1029" w:type="dxa"/>
            <w:tcBorders>
              <w:top w:val="single" w:sz="4" w:space="0" w:color="auto"/>
              <w:bottom w:val="single" w:sz="4" w:space="0" w:color="auto"/>
            </w:tcBorders>
          </w:tcPr>
          <w:p w14:paraId="227BB556" w14:textId="77777777" w:rsidR="00CF0E2D" w:rsidRPr="00FA0E49" w:rsidRDefault="00CF0E2D" w:rsidP="00A60D4B">
            <w:pPr>
              <w:pStyle w:val="InitFigR"/>
              <w:keepNext/>
              <w:keepLines/>
              <w:ind w:left="720" w:hanging="720"/>
              <w:rPr>
                <w:b/>
                <w:bCs/>
              </w:rPr>
            </w:pPr>
            <w:r w:rsidRPr="00FA0E49">
              <w:rPr>
                <w:b/>
                <w:bCs/>
              </w:rPr>
              <w:t>3,000</w:t>
            </w:r>
          </w:p>
        </w:tc>
        <w:tc>
          <w:tcPr>
            <w:tcW w:w="1029" w:type="dxa"/>
            <w:tcBorders>
              <w:top w:val="single" w:sz="4" w:space="0" w:color="auto"/>
              <w:bottom w:val="single" w:sz="4" w:space="0" w:color="auto"/>
            </w:tcBorders>
          </w:tcPr>
          <w:p w14:paraId="7EE871A4" w14:textId="77777777" w:rsidR="00CF0E2D" w:rsidRPr="00FA0E49" w:rsidRDefault="00CF0E2D" w:rsidP="00A60D4B">
            <w:pPr>
              <w:pStyle w:val="InitFigR"/>
              <w:keepNext/>
              <w:keepLines/>
              <w:ind w:left="720" w:hanging="720"/>
              <w:rPr>
                <w:b/>
                <w:bCs/>
              </w:rPr>
            </w:pPr>
            <w:r w:rsidRPr="00FA0E49">
              <w:rPr>
                <w:b/>
                <w:bCs/>
              </w:rPr>
              <w:t>3,270</w:t>
            </w:r>
          </w:p>
        </w:tc>
        <w:tc>
          <w:tcPr>
            <w:tcW w:w="1029" w:type="dxa"/>
            <w:tcBorders>
              <w:top w:val="single" w:sz="4" w:space="0" w:color="auto"/>
              <w:bottom w:val="single" w:sz="4" w:space="0" w:color="auto"/>
            </w:tcBorders>
          </w:tcPr>
          <w:p w14:paraId="365C92C5" w14:textId="77777777" w:rsidR="00CF0E2D" w:rsidRPr="00CB546C" w:rsidRDefault="00CF0E2D" w:rsidP="00A60D4B">
            <w:pPr>
              <w:pStyle w:val="InitFigRBold"/>
              <w:keepNext/>
              <w:keepLines/>
              <w:ind w:left="720" w:hanging="720"/>
              <w:rPr>
                <w:bCs/>
              </w:rPr>
            </w:pPr>
            <w:r w:rsidRPr="00CB546C">
              <w:rPr>
                <w:bCs/>
              </w:rPr>
              <w:t>10,870</w:t>
            </w:r>
          </w:p>
        </w:tc>
      </w:tr>
      <w:tr w:rsidR="00CF0E2D" w:rsidRPr="00750793" w14:paraId="17A0C604" w14:textId="77777777" w:rsidTr="00A60D4B">
        <w:trPr>
          <w:cantSplit/>
          <w:jc w:val="center"/>
        </w:trPr>
        <w:tc>
          <w:tcPr>
            <w:tcW w:w="3652" w:type="dxa"/>
            <w:tcBorders>
              <w:top w:val="single" w:sz="4" w:space="0" w:color="auto"/>
            </w:tcBorders>
          </w:tcPr>
          <w:p w14:paraId="370B185A" w14:textId="77777777" w:rsidR="00CF0E2D" w:rsidRPr="00696D43" w:rsidRDefault="00CF0E2D" w:rsidP="00A60D4B">
            <w:pPr>
              <w:pStyle w:val="InitTextL"/>
              <w:keepNext/>
              <w:keepLines/>
              <w:ind w:left="720" w:hanging="720"/>
            </w:pPr>
            <w:r>
              <w:t>Depreciation</w:t>
            </w:r>
          </w:p>
        </w:tc>
        <w:tc>
          <w:tcPr>
            <w:tcW w:w="1179" w:type="dxa"/>
            <w:tcBorders>
              <w:top w:val="single" w:sz="4" w:space="0" w:color="auto"/>
            </w:tcBorders>
          </w:tcPr>
          <w:p w14:paraId="3FB20997" w14:textId="77777777" w:rsidR="00CF0E2D" w:rsidRPr="00696D43" w:rsidRDefault="00CF0E2D" w:rsidP="00A60D4B">
            <w:pPr>
              <w:pStyle w:val="InitFigR"/>
              <w:keepNext/>
              <w:keepLines/>
              <w:ind w:left="720" w:hanging="720"/>
            </w:pPr>
            <w:r>
              <w:t>0</w:t>
            </w:r>
          </w:p>
        </w:tc>
        <w:tc>
          <w:tcPr>
            <w:tcW w:w="1041" w:type="dxa"/>
            <w:tcBorders>
              <w:top w:val="single" w:sz="4" w:space="0" w:color="auto"/>
            </w:tcBorders>
          </w:tcPr>
          <w:p w14:paraId="2C26B7FA" w14:textId="77777777" w:rsidR="00CF0E2D" w:rsidRPr="00696D43" w:rsidRDefault="00CF0E2D" w:rsidP="00A60D4B">
            <w:pPr>
              <w:pStyle w:val="InitFigR"/>
              <w:keepNext/>
              <w:keepLines/>
              <w:ind w:left="720" w:hanging="720"/>
            </w:pPr>
            <w:r>
              <w:t>10</w:t>
            </w:r>
          </w:p>
        </w:tc>
        <w:tc>
          <w:tcPr>
            <w:tcW w:w="1029" w:type="dxa"/>
            <w:tcBorders>
              <w:top w:val="single" w:sz="4" w:space="0" w:color="auto"/>
            </w:tcBorders>
          </w:tcPr>
          <w:p w14:paraId="646CCEA8" w14:textId="77777777" w:rsidR="00CF0E2D" w:rsidRPr="00696D43" w:rsidRDefault="00CF0E2D" w:rsidP="00A60D4B">
            <w:pPr>
              <w:pStyle w:val="InitFigR"/>
              <w:keepNext/>
              <w:keepLines/>
              <w:ind w:left="720" w:hanging="720"/>
            </w:pPr>
            <w:r>
              <w:t>85</w:t>
            </w:r>
          </w:p>
        </w:tc>
        <w:tc>
          <w:tcPr>
            <w:tcW w:w="1029" w:type="dxa"/>
            <w:tcBorders>
              <w:top w:val="single" w:sz="4" w:space="0" w:color="auto"/>
            </w:tcBorders>
          </w:tcPr>
          <w:p w14:paraId="3D40DEE5" w14:textId="77777777" w:rsidR="00CF0E2D" w:rsidRPr="00696D43" w:rsidRDefault="00CF0E2D" w:rsidP="00A60D4B">
            <w:pPr>
              <w:pStyle w:val="InitFigR"/>
              <w:keepNext/>
              <w:keepLines/>
              <w:ind w:left="720" w:hanging="720"/>
            </w:pPr>
            <w:r>
              <w:t>160</w:t>
            </w:r>
          </w:p>
        </w:tc>
        <w:tc>
          <w:tcPr>
            <w:tcW w:w="1029" w:type="dxa"/>
            <w:tcBorders>
              <w:top w:val="single" w:sz="4" w:space="0" w:color="auto"/>
            </w:tcBorders>
          </w:tcPr>
          <w:p w14:paraId="7CB3C530" w14:textId="77777777" w:rsidR="00CF0E2D" w:rsidRPr="00696D43" w:rsidRDefault="00CF0E2D" w:rsidP="00A60D4B">
            <w:pPr>
              <w:pStyle w:val="InitFigRBold"/>
              <w:keepNext/>
              <w:keepLines/>
              <w:ind w:left="720" w:hanging="720"/>
              <w:rPr>
                <w:b w:val="0"/>
              </w:rPr>
            </w:pPr>
            <w:r>
              <w:t>255</w:t>
            </w:r>
          </w:p>
        </w:tc>
      </w:tr>
      <w:tr w:rsidR="00CF0E2D" w:rsidRPr="00750793" w14:paraId="2DF2268D" w14:textId="77777777" w:rsidTr="00A60D4B">
        <w:trPr>
          <w:cantSplit/>
          <w:jc w:val="center"/>
        </w:trPr>
        <w:tc>
          <w:tcPr>
            <w:tcW w:w="3652" w:type="dxa"/>
          </w:tcPr>
          <w:p w14:paraId="0DD9396F" w14:textId="77777777" w:rsidR="00CF0E2D" w:rsidRPr="00F13FAB" w:rsidRDefault="00CF0E2D" w:rsidP="00A60D4B">
            <w:pPr>
              <w:pStyle w:val="InitTextL"/>
              <w:keepNext/>
              <w:keepLines/>
              <w:ind w:left="720" w:hanging="720"/>
            </w:pPr>
            <w:r w:rsidRPr="00882BE2">
              <w:t>Expenses</w:t>
            </w:r>
          </w:p>
        </w:tc>
        <w:tc>
          <w:tcPr>
            <w:tcW w:w="1179" w:type="dxa"/>
          </w:tcPr>
          <w:p w14:paraId="617D10B8" w14:textId="77777777" w:rsidR="00CF0E2D" w:rsidRPr="00424DA4" w:rsidRDefault="00CF0E2D" w:rsidP="00A60D4B">
            <w:pPr>
              <w:pStyle w:val="InitFigR"/>
              <w:keepNext/>
              <w:keepLines/>
              <w:ind w:left="720" w:hanging="720"/>
            </w:pPr>
            <w:r>
              <w:t>297</w:t>
            </w:r>
          </w:p>
        </w:tc>
        <w:tc>
          <w:tcPr>
            <w:tcW w:w="1041" w:type="dxa"/>
          </w:tcPr>
          <w:p w14:paraId="15F741EE" w14:textId="77777777" w:rsidR="00CF0E2D" w:rsidRPr="00424DA4" w:rsidRDefault="00CF0E2D" w:rsidP="00A60D4B">
            <w:pPr>
              <w:pStyle w:val="InitFigR"/>
              <w:keepNext/>
              <w:keepLines/>
              <w:ind w:left="720" w:hanging="720"/>
            </w:pPr>
            <w:r>
              <w:t>0</w:t>
            </w:r>
          </w:p>
        </w:tc>
        <w:tc>
          <w:tcPr>
            <w:tcW w:w="1029" w:type="dxa"/>
          </w:tcPr>
          <w:p w14:paraId="49A90E31" w14:textId="77777777" w:rsidR="00CF0E2D" w:rsidRPr="00424DA4" w:rsidRDefault="00CF0E2D" w:rsidP="00A60D4B">
            <w:pPr>
              <w:pStyle w:val="InitFigR"/>
              <w:keepNext/>
              <w:keepLines/>
              <w:ind w:left="720" w:hanging="720"/>
            </w:pPr>
            <w:r>
              <w:t>4</w:t>
            </w:r>
          </w:p>
        </w:tc>
        <w:tc>
          <w:tcPr>
            <w:tcW w:w="1029" w:type="dxa"/>
          </w:tcPr>
          <w:p w14:paraId="7592599F" w14:textId="77777777" w:rsidR="00CF0E2D" w:rsidRPr="00424DA4" w:rsidRDefault="00CF0E2D" w:rsidP="00A60D4B">
            <w:pPr>
              <w:pStyle w:val="InitFigR"/>
              <w:keepNext/>
              <w:keepLines/>
              <w:ind w:left="720" w:hanging="720"/>
            </w:pPr>
            <w:r>
              <w:t>38</w:t>
            </w:r>
          </w:p>
        </w:tc>
        <w:tc>
          <w:tcPr>
            <w:tcW w:w="1029" w:type="dxa"/>
          </w:tcPr>
          <w:p w14:paraId="0A851137" w14:textId="77777777" w:rsidR="00CF0E2D" w:rsidRPr="00424DA4" w:rsidRDefault="00CF0E2D" w:rsidP="00A60D4B">
            <w:pPr>
              <w:pStyle w:val="InitFigBR"/>
              <w:keepNext/>
              <w:keepLines/>
              <w:ind w:left="720" w:hanging="720"/>
            </w:pPr>
            <w:r>
              <w:t>339</w:t>
            </w:r>
          </w:p>
        </w:tc>
      </w:tr>
      <w:tr w:rsidR="00CF0E2D" w:rsidRPr="00750793" w14:paraId="784FBBB2" w14:textId="77777777" w:rsidTr="00A60D4B">
        <w:trPr>
          <w:cantSplit/>
          <w:jc w:val="center"/>
        </w:trPr>
        <w:tc>
          <w:tcPr>
            <w:tcW w:w="3652" w:type="dxa"/>
            <w:tcBorders>
              <w:top w:val="single" w:sz="4" w:space="0" w:color="auto"/>
              <w:bottom w:val="single" w:sz="4" w:space="0" w:color="auto"/>
            </w:tcBorders>
          </w:tcPr>
          <w:p w14:paraId="3DBDB236" w14:textId="77777777" w:rsidR="00CF0E2D" w:rsidRPr="00FA0E49" w:rsidRDefault="00CF0E2D" w:rsidP="00A60D4B">
            <w:pPr>
              <w:pStyle w:val="InitTextL"/>
              <w:keepNext/>
              <w:keepLines/>
              <w:ind w:left="720" w:hanging="720"/>
              <w:rPr>
                <w:b/>
                <w:bCs/>
              </w:rPr>
            </w:pPr>
            <w:r w:rsidRPr="00A06909">
              <w:rPr>
                <w:b/>
              </w:rPr>
              <w:t>Net cost of services</w:t>
            </w:r>
          </w:p>
        </w:tc>
        <w:tc>
          <w:tcPr>
            <w:tcW w:w="1179" w:type="dxa"/>
            <w:tcBorders>
              <w:top w:val="single" w:sz="4" w:space="0" w:color="auto"/>
              <w:bottom w:val="single" w:sz="4" w:space="0" w:color="auto"/>
            </w:tcBorders>
          </w:tcPr>
          <w:p w14:paraId="316A83EE" w14:textId="77777777" w:rsidR="00CF0E2D" w:rsidRPr="00FA0E49" w:rsidRDefault="00CF0E2D" w:rsidP="00A60D4B">
            <w:pPr>
              <w:pStyle w:val="InitFigR"/>
              <w:keepNext/>
              <w:keepLines/>
              <w:ind w:left="720" w:hanging="720"/>
              <w:rPr>
                <w:b/>
                <w:bCs/>
              </w:rPr>
            </w:pPr>
            <w:r>
              <w:rPr>
                <w:b/>
              </w:rPr>
              <w:t>297</w:t>
            </w:r>
          </w:p>
        </w:tc>
        <w:tc>
          <w:tcPr>
            <w:tcW w:w="1041" w:type="dxa"/>
            <w:tcBorders>
              <w:top w:val="single" w:sz="4" w:space="0" w:color="auto"/>
              <w:bottom w:val="single" w:sz="4" w:space="0" w:color="auto"/>
            </w:tcBorders>
          </w:tcPr>
          <w:p w14:paraId="5E5411C8" w14:textId="77777777" w:rsidR="00CF0E2D" w:rsidRPr="00FA0E49" w:rsidRDefault="00CF0E2D" w:rsidP="00A60D4B">
            <w:pPr>
              <w:pStyle w:val="InitFigR"/>
              <w:keepNext/>
              <w:keepLines/>
              <w:ind w:left="720" w:hanging="720"/>
              <w:rPr>
                <w:b/>
                <w:bCs/>
              </w:rPr>
            </w:pPr>
            <w:r>
              <w:rPr>
                <w:b/>
              </w:rPr>
              <w:t>10</w:t>
            </w:r>
          </w:p>
        </w:tc>
        <w:tc>
          <w:tcPr>
            <w:tcW w:w="1029" w:type="dxa"/>
            <w:tcBorders>
              <w:top w:val="single" w:sz="4" w:space="0" w:color="auto"/>
              <w:bottom w:val="single" w:sz="4" w:space="0" w:color="auto"/>
            </w:tcBorders>
          </w:tcPr>
          <w:p w14:paraId="5A3B1B11" w14:textId="77777777" w:rsidR="00CF0E2D" w:rsidRPr="00FA0E49" w:rsidRDefault="00CF0E2D" w:rsidP="00A60D4B">
            <w:pPr>
              <w:pStyle w:val="InitFigR"/>
              <w:keepNext/>
              <w:keepLines/>
              <w:ind w:left="720" w:hanging="720"/>
              <w:rPr>
                <w:b/>
                <w:bCs/>
              </w:rPr>
            </w:pPr>
            <w:r>
              <w:rPr>
                <w:b/>
              </w:rPr>
              <w:t>89</w:t>
            </w:r>
          </w:p>
        </w:tc>
        <w:tc>
          <w:tcPr>
            <w:tcW w:w="1029" w:type="dxa"/>
            <w:tcBorders>
              <w:top w:val="single" w:sz="4" w:space="0" w:color="auto"/>
              <w:bottom w:val="single" w:sz="4" w:space="0" w:color="auto"/>
            </w:tcBorders>
          </w:tcPr>
          <w:p w14:paraId="288A4D38" w14:textId="77777777" w:rsidR="00CF0E2D" w:rsidRPr="00FA0E49" w:rsidRDefault="00CF0E2D" w:rsidP="00A60D4B">
            <w:pPr>
              <w:pStyle w:val="InitFigR"/>
              <w:keepNext/>
              <w:keepLines/>
              <w:ind w:left="720" w:hanging="720"/>
              <w:rPr>
                <w:b/>
                <w:bCs/>
              </w:rPr>
            </w:pPr>
            <w:r>
              <w:rPr>
                <w:b/>
              </w:rPr>
              <w:t>198</w:t>
            </w:r>
          </w:p>
        </w:tc>
        <w:tc>
          <w:tcPr>
            <w:tcW w:w="1029" w:type="dxa"/>
            <w:tcBorders>
              <w:top w:val="single" w:sz="4" w:space="0" w:color="auto"/>
              <w:bottom w:val="single" w:sz="4" w:space="0" w:color="auto"/>
            </w:tcBorders>
          </w:tcPr>
          <w:p w14:paraId="5CC1225A" w14:textId="77777777" w:rsidR="00CF0E2D" w:rsidRPr="00FA0E49" w:rsidRDefault="00CF0E2D" w:rsidP="00A60D4B">
            <w:pPr>
              <w:pStyle w:val="InitFigBR"/>
              <w:keepNext/>
              <w:keepLines/>
              <w:ind w:left="720" w:hanging="720"/>
              <w:rPr>
                <w:bCs/>
              </w:rPr>
            </w:pPr>
            <w:r w:rsidRPr="00FA0E49">
              <w:rPr>
                <w:bCs/>
              </w:rPr>
              <w:t>5</w:t>
            </w:r>
            <w:r>
              <w:rPr>
                <w:bCs/>
              </w:rPr>
              <w:t>94</w:t>
            </w:r>
          </w:p>
        </w:tc>
      </w:tr>
    </w:tbl>
    <w:p w14:paraId="25E0962C" w14:textId="77777777" w:rsidR="00CF0E2D" w:rsidRPr="00BC3575" w:rsidRDefault="00CF0E2D" w:rsidP="00A60D4B">
      <w:pPr>
        <w:pStyle w:val="Bbodytext"/>
        <w:rPr>
          <w:szCs w:val="24"/>
        </w:rPr>
      </w:pPr>
      <w:r w:rsidRPr="00BC3575">
        <w:t>The Government will deliver a city-</w:t>
      </w:r>
      <w:r w:rsidRPr="00BC3575">
        <w:rPr>
          <w:szCs w:val="24"/>
        </w:rPr>
        <w:t xml:space="preserve">wide package of active travel projects to </w:t>
      </w:r>
      <w:r>
        <w:rPr>
          <w:szCs w:val="24"/>
        </w:rPr>
        <w:t>increase</w:t>
      </w:r>
      <w:bookmarkEnd w:id="56"/>
      <w:r>
        <w:rPr>
          <w:szCs w:val="24"/>
        </w:rPr>
        <w:t xml:space="preserve"> </w:t>
      </w:r>
      <w:r w:rsidRPr="00BC3575">
        <w:rPr>
          <w:szCs w:val="24"/>
        </w:rPr>
        <w:t>opportunities for walking and cycling across Canberra. This will include the construction of an off-road cycle path along Sulwood Drive between Drakeford Drive and Ath</w:t>
      </w:r>
      <w:r>
        <w:rPr>
          <w:szCs w:val="24"/>
        </w:rPr>
        <w:t>l</w:t>
      </w:r>
      <w:r w:rsidRPr="00BC3575">
        <w:rPr>
          <w:szCs w:val="24"/>
        </w:rPr>
        <w:t>lon Drive</w:t>
      </w:r>
      <w:r>
        <w:rPr>
          <w:szCs w:val="24"/>
        </w:rPr>
        <w:t xml:space="preserve"> and improving access to the Mount Taylor Nature Reserve with works on the Sulwood Drive/Mannheim Street intersection and car park entrance. </w:t>
      </w:r>
    </w:p>
    <w:p w14:paraId="33EDEF3A" w14:textId="77777777" w:rsidR="00CF0E2D" w:rsidRPr="00BC3575" w:rsidRDefault="00CF0E2D" w:rsidP="00A60D4B">
      <w:pPr>
        <w:pStyle w:val="Bbodytext"/>
        <w:rPr>
          <w:szCs w:val="24"/>
        </w:rPr>
      </w:pPr>
      <w:r>
        <w:t>This initiative</w:t>
      </w:r>
      <w:r w:rsidRPr="00BC3575">
        <w:rPr>
          <w:szCs w:val="24"/>
        </w:rPr>
        <w:t xml:space="preserve"> will also deliver initial design and</w:t>
      </w:r>
      <w:r>
        <w:rPr>
          <w:szCs w:val="24"/>
        </w:rPr>
        <w:t xml:space="preserve"> </w:t>
      </w:r>
      <w:r w:rsidRPr="00BC3575">
        <w:rPr>
          <w:szCs w:val="24"/>
        </w:rPr>
        <w:t>feasibility study for the ‘Garden City Cycle Route’, a major new trunk path through the Eastern side of the Inner North.</w:t>
      </w:r>
    </w:p>
    <w:p w14:paraId="49FF445C" w14:textId="77777777" w:rsidR="00CF0E2D" w:rsidRPr="00BC3575" w:rsidRDefault="00CF0E2D" w:rsidP="00A60D4B">
      <w:pPr>
        <w:pStyle w:val="Bbodytext"/>
        <w:rPr>
          <w:szCs w:val="24"/>
        </w:rPr>
      </w:pPr>
      <w:r w:rsidRPr="00BC3575">
        <w:t xml:space="preserve">Early design and planning will also be undertaken to improve cycle connectivity in </w:t>
      </w:r>
      <w:bookmarkEnd w:id="57"/>
      <w:r w:rsidRPr="00BC3575">
        <w:t>Gungahlin.</w:t>
      </w:r>
    </w:p>
    <w:p w14:paraId="60EE516A" w14:textId="77777777" w:rsidR="00CF0E2D" w:rsidRPr="00BC3575" w:rsidRDefault="00CF0E2D" w:rsidP="00A60D4B">
      <w:pPr>
        <w:pStyle w:val="Bbodytext"/>
        <w:rPr>
          <w:szCs w:val="24"/>
        </w:rPr>
      </w:pPr>
      <w:r w:rsidRPr="00BC3575">
        <w:t xml:space="preserve">In </w:t>
      </w:r>
      <w:r w:rsidRPr="00BC3575">
        <w:rPr>
          <w:szCs w:val="24"/>
        </w:rPr>
        <w:t>addition, the Government will improve the existing active travel network through increased investment in cycle and shared path maintenance, improvements to community footpaths and</w:t>
      </w:r>
      <w:r>
        <w:rPr>
          <w:szCs w:val="24"/>
        </w:rPr>
        <w:t xml:space="preserve"> an</w:t>
      </w:r>
      <w:r w:rsidRPr="00BC3575">
        <w:rPr>
          <w:szCs w:val="24"/>
        </w:rPr>
        <w:t xml:space="preserve"> expansion of the Age Friendly Suburbs Program to Reid, Chifley, Scullin and O’Connor. </w:t>
      </w:r>
    </w:p>
    <w:p w14:paraId="31B6411A" w14:textId="77777777" w:rsidR="00CF0E2D" w:rsidRDefault="00CF0E2D" w:rsidP="00A60D4B">
      <w:pPr>
        <w:pStyle w:val="Bbodytext"/>
        <w:rPr>
          <w:szCs w:val="24"/>
        </w:rPr>
      </w:pPr>
      <w:r w:rsidRPr="00BC3575">
        <w:t>Th</w:t>
      </w:r>
      <w:r>
        <w:rPr>
          <w:szCs w:val="24"/>
        </w:rPr>
        <w:t>is</w:t>
      </w:r>
      <w:r w:rsidRPr="00BC3575">
        <w:rPr>
          <w:szCs w:val="24"/>
        </w:rPr>
        <w:t xml:space="preserve"> initiative contributes to the wellbeing domain</w:t>
      </w:r>
      <w:r>
        <w:rPr>
          <w:szCs w:val="24"/>
        </w:rPr>
        <w:t>s</w:t>
      </w:r>
      <w:r w:rsidRPr="00BC3575">
        <w:rPr>
          <w:szCs w:val="24"/>
        </w:rPr>
        <w:t xml:space="preserve"> of Access and connectivity and </w:t>
      </w:r>
      <w:r>
        <w:rPr>
          <w:szCs w:val="24"/>
        </w:rPr>
        <w:t xml:space="preserve">Health. </w:t>
      </w:r>
    </w:p>
    <w:p w14:paraId="37EC4402" w14:textId="77777777" w:rsidR="00CF0E2D" w:rsidRPr="00696D43" w:rsidRDefault="00CF0E2D" w:rsidP="00A60D4B">
      <w:pPr>
        <w:pStyle w:val="Bbodytext"/>
        <w:rPr>
          <w:szCs w:val="24"/>
        </w:rPr>
      </w:pPr>
    </w:p>
    <w:p w14:paraId="7DF9D817" w14:textId="77777777" w:rsidR="00CF0E2D" w:rsidRPr="00FB09C0" w:rsidRDefault="00CF0E2D" w:rsidP="00A60D4B">
      <w:pPr>
        <w:pStyle w:val="Heading4"/>
      </w:pPr>
      <w:r w:rsidRPr="00FB09C0">
        <w:t xml:space="preserve">Connected and sustainable Canberra – Constructing the William Hovell Drive duplication </w:t>
      </w:r>
      <w:r>
        <w:rPr>
          <w:noProof/>
        </w:rPr>
        <w:drawing>
          <wp:anchor distT="0" distB="0" distL="114300" distR="114300" simplePos="0" relativeHeight="251919360" behindDoc="0" locked="1" layoutInCell="1" allowOverlap="1" wp14:anchorId="33D28920" wp14:editId="2EE3508A">
            <wp:simplePos x="0" y="0"/>
            <wp:positionH relativeFrom="margin">
              <wp:align>right</wp:align>
            </wp:positionH>
            <wp:positionV relativeFrom="paragraph">
              <wp:posOffset>86360</wp:posOffset>
            </wp:positionV>
            <wp:extent cx="1378585" cy="507365"/>
            <wp:effectExtent l="0" t="0" r="0" b="6985"/>
            <wp:wrapSquare wrapText="bothSides"/>
            <wp:docPr id="215" name="Picture 215"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104F872B" w14:textId="77777777" w:rsidTr="00A60D4B">
        <w:trPr>
          <w:cantSplit/>
          <w:jc w:val="center"/>
        </w:trPr>
        <w:tc>
          <w:tcPr>
            <w:tcW w:w="3652" w:type="dxa"/>
            <w:tcBorders>
              <w:top w:val="single" w:sz="4" w:space="0" w:color="auto"/>
              <w:bottom w:val="single" w:sz="4" w:space="0" w:color="auto"/>
            </w:tcBorders>
          </w:tcPr>
          <w:p w14:paraId="74E3E29D" w14:textId="77777777" w:rsidR="00CF0E2D" w:rsidRPr="008B7488" w:rsidRDefault="00CF0E2D" w:rsidP="00A60D4B">
            <w:pPr>
              <w:pStyle w:val="EmptyCell0"/>
              <w:rPr>
                <w:sz w:val="24"/>
                <w:szCs w:val="24"/>
              </w:rPr>
            </w:pPr>
            <w:r w:rsidRPr="008B7488">
              <w:rPr>
                <w:sz w:val="24"/>
                <w:szCs w:val="24"/>
              </w:rPr>
              <w:t>Empty Cell</w:t>
            </w:r>
          </w:p>
        </w:tc>
        <w:tc>
          <w:tcPr>
            <w:tcW w:w="1179" w:type="dxa"/>
            <w:tcBorders>
              <w:top w:val="single" w:sz="4" w:space="0" w:color="auto"/>
              <w:bottom w:val="single" w:sz="4" w:space="0" w:color="auto"/>
            </w:tcBorders>
          </w:tcPr>
          <w:p w14:paraId="65798F67" w14:textId="77777777" w:rsidR="00CF0E2D" w:rsidRPr="009D6054" w:rsidRDefault="00CF0E2D" w:rsidP="00A60D4B">
            <w:pPr>
              <w:pStyle w:val="InitFigR"/>
              <w:rPr>
                <w:b/>
                <w:bCs/>
              </w:rPr>
            </w:pPr>
            <w:r w:rsidRPr="009D6054">
              <w:rPr>
                <w:b/>
                <w:bCs/>
              </w:rPr>
              <w:t>2021-22</w:t>
            </w:r>
          </w:p>
          <w:p w14:paraId="037F51B1" w14:textId="77777777" w:rsidR="00CF0E2D" w:rsidRPr="009D6054" w:rsidRDefault="00CF0E2D" w:rsidP="00A60D4B">
            <w:pPr>
              <w:pStyle w:val="InitFigR"/>
              <w:rPr>
                <w:b/>
                <w:bCs/>
              </w:rPr>
            </w:pPr>
            <w:r w:rsidRPr="009D6054">
              <w:rPr>
                <w:b/>
                <w:bCs/>
              </w:rPr>
              <w:t>$’000</w:t>
            </w:r>
          </w:p>
        </w:tc>
        <w:tc>
          <w:tcPr>
            <w:tcW w:w="1041" w:type="dxa"/>
            <w:tcBorders>
              <w:top w:val="single" w:sz="4" w:space="0" w:color="auto"/>
              <w:bottom w:val="single" w:sz="4" w:space="0" w:color="auto"/>
            </w:tcBorders>
          </w:tcPr>
          <w:p w14:paraId="466D9CA9" w14:textId="77777777" w:rsidR="00CF0E2D" w:rsidRPr="009D6054" w:rsidRDefault="00CF0E2D" w:rsidP="00A60D4B">
            <w:pPr>
              <w:pStyle w:val="InitFigR"/>
              <w:rPr>
                <w:b/>
                <w:bCs/>
              </w:rPr>
            </w:pPr>
            <w:r w:rsidRPr="009D6054">
              <w:rPr>
                <w:b/>
                <w:bCs/>
              </w:rPr>
              <w:t>2022-23</w:t>
            </w:r>
          </w:p>
          <w:p w14:paraId="761FE36C" w14:textId="77777777" w:rsidR="00CF0E2D" w:rsidRPr="009D6054" w:rsidRDefault="00CF0E2D" w:rsidP="00A60D4B">
            <w:pPr>
              <w:pStyle w:val="InitFigR"/>
              <w:rPr>
                <w:b/>
                <w:bCs/>
              </w:rPr>
            </w:pPr>
            <w:r w:rsidRPr="009D6054">
              <w:rPr>
                <w:b/>
                <w:bCs/>
              </w:rPr>
              <w:t>$’000</w:t>
            </w:r>
          </w:p>
        </w:tc>
        <w:tc>
          <w:tcPr>
            <w:tcW w:w="1029" w:type="dxa"/>
            <w:tcBorders>
              <w:top w:val="single" w:sz="4" w:space="0" w:color="auto"/>
              <w:bottom w:val="single" w:sz="4" w:space="0" w:color="auto"/>
            </w:tcBorders>
          </w:tcPr>
          <w:p w14:paraId="406492E1" w14:textId="77777777" w:rsidR="00CF0E2D" w:rsidRPr="009D6054" w:rsidRDefault="00CF0E2D" w:rsidP="00A60D4B">
            <w:pPr>
              <w:pStyle w:val="InitFigR"/>
              <w:rPr>
                <w:b/>
                <w:bCs/>
              </w:rPr>
            </w:pPr>
            <w:r w:rsidRPr="009D6054">
              <w:rPr>
                <w:b/>
                <w:bCs/>
              </w:rPr>
              <w:t>2023-24</w:t>
            </w:r>
          </w:p>
          <w:p w14:paraId="6D63AA43" w14:textId="77777777" w:rsidR="00CF0E2D" w:rsidRPr="009D6054" w:rsidRDefault="00CF0E2D" w:rsidP="00A60D4B">
            <w:pPr>
              <w:pStyle w:val="InitFigR"/>
              <w:rPr>
                <w:b/>
                <w:bCs/>
              </w:rPr>
            </w:pPr>
            <w:r w:rsidRPr="009D6054">
              <w:rPr>
                <w:b/>
                <w:bCs/>
              </w:rPr>
              <w:t>$’000</w:t>
            </w:r>
          </w:p>
        </w:tc>
        <w:tc>
          <w:tcPr>
            <w:tcW w:w="1029" w:type="dxa"/>
            <w:tcBorders>
              <w:top w:val="single" w:sz="4" w:space="0" w:color="auto"/>
              <w:bottom w:val="single" w:sz="4" w:space="0" w:color="auto"/>
            </w:tcBorders>
          </w:tcPr>
          <w:p w14:paraId="2387B517" w14:textId="77777777" w:rsidR="00CF0E2D" w:rsidRPr="009D6054" w:rsidRDefault="00CF0E2D" w:rsidP="00A60D4B">
            <w:pPr>
              <w:pStyle w:val="InitFigR"/>
              <w:rPr>
                <w:b/>
                <w:bCs/>
              </w:rPr>
            </w:pPr>
            <w:r w:rsidRPr="009D6054">
              <w:rPr>
                <w:b/>
                <w:bCs/>
              </w:rPr>
              <w:t>2024-25</w:t>
            </w:r>
          </w:p>
          <w:p w14:paraId="283B0ACC" w14:textId="77777777" w:rsidR="00CF0E2D" w:rsidRPr="009D6054" w:rsidRDefault="00CF0E2D" w:rsidP="00A60D4B">
            <w:pPr>
              <w:pStyle w:val="InitFigR"/>
              <w:rPr>
                <w:b/>
                <w:bCs/>
              </w:rPr>
            </w:pPr>
            <w:r w:rsidRPr="009D6054">
              <w:rPr>
                <w:b/>
                <w:bCs/>
              </w:rPr>
              <w:t>$’000</w:t>
            </w:r>
          </w:p>
        </w:tc>
        <w:tc>
          <w:tcPr>
            <w:tcW w:w="1029" w:type="dxa"/>
            <w:tcBorders>
              <w:top w:val="single" w:sz="4" w:space="0" w:color="auto"/>
              <w:bottom w:val="single" w:sz="4" w:space="0" w:color="auto"/>
            </w:tcBorders>
          </w:tcPr>
          <w:p w14:paraId="7C1A0CF9" w14:textId="77777777" w:rsidR="00CF0E2D" w:rsidRPr="009D6054" w:rsidRDefault="00CF0E2D" w:rsidP="00A60D4B">
            <w:pPr>
              <w:pStyle w:val="InitFigRBold"/>
              <w:rPr>
                <w:bCs/>
              </w:rPr>
            </w:pPr>
            <w:r w:rsidRPr="009D6054">
              <w:rPr>
                <w:bCs/>
              </w:rPr>
              <w:t>Total</w:t>
            </w:r>
          </w:p>
          <w:p w14:paraId="0E7096A2" w14:textId="77777777" w:rsidR="00CF0E2D" w:rsidRPr="009D6054" w:rsidRDefault="00CF0E2D" w:rsidP="00A60D4B">
            <w:pPr>
              <w:pStyle w:val="InitFigBR"/>
              <w:rPr>
                <w:bCs/>
              </w:rPr>
            </w:pPr>
            <w:r w:rsidRPr="009D6054">
              <w:rPr>
                <w:bCs/>
              </w:rPr>
              <w:t>$’000</w:t>
            </w:r>
          </w:p>
        </w:tc>
      </w:tr>
      <w:tr w:rsidR="00CF0E2D" w:rsidRPr="00750793" w14:paraId="62B6B725" w14:textId="77777777" w:rsidTr="00A60D4B">
        <w:trPr>
          <w:cantSplit/>
          <w:jc w:val="center"/>
        </w:trPr>
        <w:tc>
          <w:tcPr>
            <w:tcW w:w="3652" w:type="dxa"/>
            <w:tcBorders>
              <w:top w:val="single" w:sz="4" w:space="0" w:color="auto"/>
            </w:tcBorders>
          </w:tcPr>
          <w:p w14:paraId="56012694" w14:textId="77777777" w:rsidR="00CF0E2D" w:rsidRDefault="00CF0E2D" w:rsidP="00A60D4B">
            <w:pPr>
              <w:pStyle w:val="InitTextL"/>
              <w:ind w:left="321" w:hanging="321"/>
            </w:pPr>
            <w:r>
              <w:t>Capital</w:t>
            </w:r>
          </w:p>
        </w:tc>
        <w:tc>
          <w:tcPr>
            <w:tcW w:w="1179" w:type="dxa"/>
            <w:tcBorders>
              <w:top w:val="single" w:sz="4" w:space="0" w:color="auto"/>
            </w:tcBorders>
          </w:tcPr>
          <w:p w14:paraId="0531F12F" w14:textId="77777777" w:rsidR="00CF0E2D" w:rsidRDefault="00CF0E2D" w:rsidP="00A60D4B">
            <w:pPr>
              <w:pStyle w:val="InitFigR"/>
            </w:pPr>
            <w:r>
              <w:t>3,250</w:t>
            </w:r>
          </w:p>
        </w:tc>
        <w:tc>
          <w:tcPr>
            <w:tcW w:w="1041" w:type="dxa"/>
            <w:tcBorders>
              <w:top w:val="single" w:sz="4" w:space="0" w:color="auto"/>
            </w:tcBorders>
          </w:tcPr>
          <w:p w14:paraId="67FE3D63" w14:textId="77777777" w:rsidR="00CF0E2D" w:rsidRDefault="00CF0E2D" w:rsidP="00A60D4B">
            <w:pPr>
              <w:pStyle w:val="InitFigR"/>
            </w:pPr>
            <w:r>
              <w:t>12,400</w:t>
            </w:r>
          </w:p>
        </w:tc>
        <w:tc>
          <w:tcPr>
            <w:tcW w:w="1029" w:type="dxa"/>
            <w:tcBorders>
              <w:top w:val="single" w:sz="4" w:space="0" w:color="auto"/>
            </w:tcBorders>
          </w:tcPr>
          <w:p w14:paraId="1F85EA57" w14:textId="77777777" w:rsidR="00CF0E2D" w:rsidRDefault="00CF0E2D" w:rsidP="00A60D4B">
            <w:pPr>
              <w:pStyle w:val="InitFigR"/>
            </w:pPr>
            <w:r>
              <w:t>16,400</w:t>
            </w:r>
          </w:p>
        </w:tc>
        <w:tc>
          <w:tcPr>
            <w:tcW w:w="1029" w:type="dxa"/>
            <w:tcBorders>
              <w:top w:val="single" w:sz="4" w:space="0" w:color="auto"/>
            </w:tcBorders>
          </w:tcPr>
          <w:p w14:paraId="6F7BCA3E" w14:textId="77777777" w:rsidR="00CF0E2D" w:rsidRDefault="00CF0E2D" w:rsidP="00A60D4B">
            <w:pPr>
              <w:pStyle w:val="InitFigR"/>
            </w:pPr>
            <w:r>
              <w:t>31,200</w:t>
            </w:r>
          </w:p>
        </w:tc>
        <w:tc>
          <w:tcPr>
            <w:tcW w:w="1029" w:type="dxa"/>
            <w:tcBorders>
              <w:top w:val="single" w:sz="4" w:space="0" w:color="auto"/>
            </w:tcBorders>
          </w:tcPr>
          <w:p w14:paraId="7B0AA707" w14:textId="77777777" w:rsidR="00CF0E2D" w:rsidRPr="00CB546C" w:rsidRDefault="00CF0E2D" w:rsidP="00A60D4B">
            <w:pPr>
              <w:pStyle w:val="InitFigRBold"/>
              <w:rPr>
                <w:bCs/>
              </w:rPr>
            </w:pPr>
            <w:r w:rsidRPr="00CB546C">
              <w:rPr>
                <w:bCs/>
              </w:rPr>
              <w:t>63,250</w:t>
            </w:r>
          </w:p>
        </w:tc>
      </w:tr>
      <w:tr w:rsidR="00CF0E2D" w:rsidRPr="00750793" w14:paraId="6EB889D7" w14:textId="77777777" w:rsidTr="00A60D4B">
        <w:trPr>
          <w:cantSplit/>
          <w:jc w:val="center"/>
        </w:trPr>
        <w:tc>
          <w:tcPr>
            <w:tcW w:w="3652" w:type="dxa"/>
          </w:tcPr>
          <w:p w14:paraId="169CED2C" w14:textId="77777777" w:rsidR="00CF0E2D" w:rsidRDefault="00CF0E2D" w:rsidP="00A60D4B">
            <w:pPr>
              <w:pStyle w:val="InitTextL"/>
              <w:ind w:left="321" w:hanging="321"/>
            </w:pPr>
            <w:r>
              <w:t>Offset – Capital – Provision</w:t>
            </w:r>
          </w:p>
        </w:tc>
        <w:tc>
          <w:tcPr>
            <w:tcW w:w="1179" w:type="dxa"/>
          </w:tcPr>
          <w:p w14:paraId="1D436596" w14:textId="77777777" w:rsidR="00CF0E2D" w:rsidRDefault="00CF0E2D" w:rsidP="00A60D4B">
            <w:pPr>
              <w:pStyle w:val="InitFigR"/>
            </w:pPr>
            <w:r>
              <w:t>-15,000</w:t>
            </w:r>
          </w:p>
        </w:tc>
        <w:tc>
          <w:tcPr>
            <w:tcW w:w="1041" w:type="dxa"/>
          </w:tcPr>
          <w:p w14:paraId="3D9CF29A" w14:textId="77777777" w:rsidR="00CF0E2D" w:rsidRDefault="00CF0E2D" w:rsidP="00A60D4B">
            <w:pPr>
              <w:pStyle w:val="InitFigR"/>
            </w:pPr>
            <w:r>
              <w:t>-20,000</w:t>
            </w:r>
          </w:p>
        </w:tc>
        <w:tc>
          <w:tcPr>
            <w:tcW w:w="1029" w:type="dxa"/>
          </w:tcPr>
          <w:p w14:paraId="4913BFE2" w14:textId="77777777" w:rsidR="00CF0E2D" w:rsidRDefault="00CF0E2D" w:rsidP="00A60D4B">
            <w:pPr>
              <w:pStyle w:val="InitFigR"/>
            </w:pPr>
            <w:r>
              <w:t>-20,000</w:t>
            </w:r>
          </w:p>
        </w:tc>
        <w:tc>
          <w:tcPr>
            <w:tcW w:w="1029" w:type="dxa"/>
          </w:tcPr>
          <w:p w14:paraId="15B514F3" w14:textId="77777777" w:rsidR="00CF0E2D" w:rsidRDefault="00CF0E2D" w:rsidP="00A60D4B">
            <w:pPr>
              <w:pStyle w:val="InitFigR"/>
            </w:pPr>
            <w:r>
              <w:t>0</w:t>
            </w:r>
          </w:p>
        </w:tc>
        <w:tc>
          <w:tcPr>
            <w:tcW w:w="1029" w:type="dxa"/>
          </w:tcPr>
          <w:p w14:paraId="5EF16B91" w14:textId="77777777" w:rsidR="00CF0E2D" w:rsidRPr="00CB546C" w:rsidRDefault="00CF0E2D" w:rsidP="00A60D4B">
            <w:pPr>
              <w:pStyle w:val="InitFigRBold"/>
              <w:rPr>
                <w:bCs/>
              </w:rPr>
            </w:pPr>
            <w:r w:rsidRPr="00CB546C">
              <w:rPr>
                <w:bCs/>
              </w:rPr>
              <w:t>-55,000</w:t>
            </w:r>
          </w:p>
        </w:tc>
      </w:tr>
      <w:tr w:rsidR="00CF0E2D" w:rsidRPr="00750793" w14:paraId="20F6AE52" w14:textId="77777777" w:rsidTr="00A60D4B">
        <w:trPr>
          <w:cantSplit/>
          <w:jc w:val="center"/>
        </w:trPr>
        <w:tc>
          <w:tcPr>
            <w:tcW w:w="3652" w:type="dxa"/>
            <w:tcBorders>
              <w:top w:val="single" w:sz="4" w:space="0" w:color="auto"/>
              <w:bottom w:val="single" w:sz="4" w:space="0" w:color="auto"/>
            </w:tcBorders>
          </w:tcPr>
          <w:p w14:paraId="388CFA16" w14:textId="082AAAE5" w:rsidR="00CF0E2D" w:rsidRPr="00D13A71" w:rsidRDefault="00F57411" w:rsidP="00A60D4B">
            <w:pPr>
              <w:pStyle w:val="InitTextL"/>
              <w:ind w:left="321" w:hanging="321"/>
              <w:rPr>
                <w:b/>
                <w:bCs/>
              </w:rPr>
            </w:pPr>
            <w:r>
              <w:rPr>
                <w:b/>
                <w:bCs/>
              </w:rPr>
              <w:t>Net capital</w:t>
            </w:r>
          </w:p>
        </w:tc>
        <w:tc>
          <w:tcPr>
            <w:tcW w:w="1179" w:type="dxa"/>
            <w:tcBorders>
              <w:top w:val="single" w:sz="4" w:space="0" w:color="auto"/>
              <w:bottom w:val="single" w:sz="4" w:space="0" w:color="auto"/>
            </w:tcBorders>
          </w:tcPr>
          <w:p w14:paraId="1362F6EF" w14:textId="77777777" w:rsidR="00CF0E2D" w:rsidRPr="00DF3315" w:rsidRDefault="00CF0E2D" w:rsidP="00A60D4B">
            <w:pPr>
              <w:pStyle w:val="InitFigR"/>
              <w:rPr>
                <w:b/>
                <w:bCs/>
              </w:rPr>
            </w:pPr>
            <w:r w:rsidRPr="00DF3315">
              <w:rPr>
                <w:b/>
                <w:bCs/>
              </w:rPr>
              <w:t>-11</w:t>
            </w:r>
            <w:r>
              <w:rPr>
                <w:b/>
                <w:bCs/>
              </w:rPr>
              <w:t>,750</w:t>
            </w:r>
          </w:p>
        </w:tc>
        <w:tc>
          <w:tcPr>
            <w:tcW w:w="1041" w:type="dxa"/>
            <w:tcBorders>
              <w:top w:val="single" w:sz="4" w:space="0" w:color="auto"/>
              <w:bottom w:val="single" w:sz="4" w:space="0" w:color="auto"/>
            </w:tcBorders>
          </w:tcPr>
          <w:p w14:paraId="56A7F99A" w14:textId="77777777" w:rsidR="00CF0E2D" w:rsidRPr="00DF3315" w:rsidRDefault="00CF0E2D" w:rsidP="00A60D4B">
            <w:pPr>
              <w:pStyle w:val="InitFigR"/>
              <w:rPr>
                <w:b/>
                <w:bCs/>
              </w:rPr>
            </w:pPr>
            <w:r>
              <w:rPr>
                <w:b/>
                <w:bCs/>
              </w:rPr>
              <w:t>-7,600</w:t>
            </w:r>
          </w:p>
        </w:tc>
        <w:tc>
          <w:tcPr>
            <w:tcW w:w="1029" w:type="dxa"/>
            <w:tcBorders>
              <w:top w:val="single" w:sz="4" w:space="0" w:color="auto"/>
              <w:bottom w:val="single" w:sz="4" w:space="0" w:color="auto"/>
            </w:tcBorders>
          </w:tcPr>
          <w:p w14:paraId="051F6D6E" w14:textId="77777777" w:rsidR="00CF0E2D" w:rsidRPr="00DF3315" w:rsidRDefault="00CF0E2D" w:rsidP="00A60D4B">
            <w:pPr>
              <w:pStyle w:val="InitFigR"/>
              <w:rPr>
                <w:b/>
                <w:bCs/>
              </w:rPr>
            </w:pPr>
            <w:r>
              <w:rPr>
                <w:b/>
                <w:bCs/>
              </w:rPr>
              <w:t>-3,600</w:t>
            </w:r>
          </w:p>
        </w:tc>
        <w:tc>
          <w:tcPr>
            <w:tcW w:w="1029" w:type="dxa"/>
            <w:tcBorders>
              <w:top w:val="single" w:sz="4" w:space="0" w:color="auto"/>
              <w:bottom w:val="single" w:sz="4" w:space="0" w:color="auto"/>
            </w:tcBorders>
          </w:tcPr>
          <w:p w14:paraId="21B5B854" w14:textId="77777777" w:rsidR="00CF0E2D" w:rsidRPr="00DF3315" w:rsidRDefault="00CF0E2D" w:rsidP="00A60D4B">
            <w:pPr>
              <w:pStyle w:val="InitFigR"/>
              <w:rPr>
                <w:b/>
                <w:bCs/>
              </w:rPr>
            </w:pPr>
            <w:r w:rsidRPr="00DF3315">
              <w:rPr>
                <w:b/>
                <w:bCs/>
              </w:rPr>
              <w:t>31,200</w:t>
            </w:r>
          </w:p>
        </w:tc>
        <w:tc>
          <w:tcPr>
            <w:tcW w:w="1029" w:type="dxa"/>
            <w:tcBorders>
              <w:top w:val="single" w:sz="4" w:space="0" w:color="auto"/>
              <w:bottom w:val="single" w:sz="4" w:space="0" w:color="auto"/>
            </w:tcBorders>
          </w:tcPr>
          <w:p w14:paraId="536D3E2A" w14:textId="77777777" w:rsidR="00CF0E2D" w:rsidRPr="00DF3315" w:rsidRDefault="00CF0E2D" w:rsidP="00A60D4B">
            <w:pPr>
              <w:pStyle w:val="InitFigRBold"/>
              <w:rPr>
                <w:bCs/>
              </w:rPr>
            </w:pPr>
            <w:r w:rsidRPr="00DF3315">
              <w:rPr>
                <w:bCs/>
              </w:rPr>
              <w:t>8,250</w:t>
            </w:r>
          </w:p>
        </w:tc>
      </w:tr>
    </w:tbl>
    <w:p w14:paraId="328A4A32" w14:textId="77777777" w:rsidR="00CF0E2D" w:rsidRPr="0013189D" w:rsidRDefault="00CF0E2D" w:rsidP="00A60D4B">
      <w:pPr>
        <w:pStyle w:val="Bbodytext"/>
        <w:rPr>
          <w:rFonts w:ascii="Calibri" w:eastAsia="Times New Roman" w:hAnsi="Calibri" w:cs="Times New Roman"/>
          <w:szCs w:val="20"/>
        </w:rPr>
      </w:pPr>
      <w:r w:rsidRPr="0013189D">
        <w:t xml:space="preserve">The Government will duplicate William Hovell Drive from the intersection of Drake Brockman Drive to John Gorton Drive. </w:t>
      </w:r>
      <w:r>
        <w:rPr>
          <w:rFonts w:ascii="Calibri" w:eastAsia="Times New Roman" w:hAnsi="Calibri" w:cs="Times New Roman"/>
          <w:szCs w:val="20"/>
        </w:rPr>
        <w:t xml:space="preserve">This will </w:t>
      </w:r>
      <w:r w:rsidRPr="0013189D">
        <w:rPr>
          <w:rFonts w:ascii="Calibri" w:eastAsia="Times New Roman" w:hAnsi="Calibri" w:cs="Times New Roman"/>
          <w:szCs w:val="20"/>
        </w:rPr>
        <w:t xml:space="preserve">support the growth of new communities in Ginninderry and the Molonglo Valley, as well as to reduce traffic congestion and motor vehicle incidents. </w:t>
      </w:r>
      <w:r>
        <w:rPr>
          <w:rFonts w:ascii="Calibri" w:eastAsia="Times New Roman" w:hAnsi="Calibri" w:cs="Times New Roman"/>
          <w:szCs w:val="20"/>
        </w:rPr>
        <w:t>T</w:t>
      </w:r>
      <w:r w:rsidRPr="0013189D">
        <w:rPr>
          <w:rFonts w:ascii="Calibri" w:eastAsia="Times New Roman" w:hAnsi="Calibri" w:cs="Times New Roman"/>
          <w:szCs w:val="20"/>
        </w:rPr>
        <w:t xml:space="preserve">he project will include construction of a dedicated </w:t>
      </w:r>
      <w:r>
        <w:rPr>
          <w:rFonts w:ascii="Calibri" w:eastAsia="Times New Roman" w:hAnsi="Calibri" w:cs="Times New Roman"/>
          <w:szCs w:val="20"/>
        </w:rPr>
        <w:t>seven kilometres</w:t>
      </w:r>
      <w:r w:rsidRPr="0013189D">
        <w:rPr>
          <w:rFonts w:ascii="Calibri" w:eastAsia="Times New Roman" w:hAnsi="Calibri" w:cs="Times New Roman"/>
          <w:szCs w:val="20"/>
        </w:rPr>
        <w:t xml:space="preserve"> off</w:t>
      </w:r>
      <w:r>
        <w:rPr>
          <w:rFonts w:ascii="Calibri" w:eastAsia="Times New Roman" w:hAnsi="Calibri" w:cs="Times New Roman"/>
          <w:szCs w:val="20"/>
        </w:rPr>
        <w:noBreakHyphen/>
      </w:r>
      <w:r w:rsidRPr="0013189D">
        <w:rPr>
          <w:rFonts w:ascii="Calibri" w:eastAsia="Times New Roman" w:hAnsi="Calibri" w:cs="Times New Roman"/>
          <w:szCs w:val="20"/>
        </w:rPr>
        <w:t xml:space="preserve">road shared path for walking and cycling, which will link in with the existing shared path network and provide a new cycle network to the city. </w:t>
      </w:r>
    </w:p>
    <w:p w14:paraId="7E4D21CC" w14:textId="77777777" w:rsidR="00CF0E2D" w:rsidRPr="0013189D" w:rsidRDefault="00CF0E2D" w:rsidP="00A60D4B">
      <w:pPr>
        <w:pStyle w:val="Bbodytext"/>
        <w:rPr>
          <w:rFonts w:ascii="Calibri" w:eastAsia="Times New Roman" w:hAnsi="Calibri" w:cs="Times New Roman"/>
          <w:szCs w:val="20"/>
        </w:rPr>
      </w:pPr>
      <w:r w:rsidRPr="00BD2373">
        <w:rPr>
          <w:rFonts w:ascii="Calibri" w:eastAsia="Times New Roman" w:hAnsi="Calibri" w:cs="Times New Roman"/>
          <w:szCs w:val="20"/>
        </w:rPr>
        <w:t xml:space="preserve">This project includes funding facilitated </w:t>
      </w:r>
      <w:r>
        <w:rPr>
          <w:rFonts w:ascii="Calibri" w:eastAsia="Times New Roman" w:hAnsi="Calibri" w:cs="Times New Roman"/>
          <w:szCs w:val="20"/>
        </w:rPr>
        <w:t>by</w:t>
      </w:r>
      <w:r w:rsidRPr="00BD2373">
        <w:rPr>
          <w:rFonts w:ascii="Calibri" w:eastAsia="Times New Roman" w:hAnsi="Calibri" w:cs="Times New Roman"/>
          <w:szCs w:val="20"/>
        </w:rPr>
        <w:t xml:space="preserve"> a Commonwealth grant through the </w:t>
      </w:r>
      <w:r w:rsidRPr="00BD2373">
        <w:rPr>
          <w:rFonts w:ascii="Calibri" w:eastAsia="Times New Roman" w:hAnsi="Calibri" w:cs="Times New Roman"/>
          <w:i/>
          <w:iCs/>
          <w:szCs w:val="20"/>
        </w:rPr>
        <w:t>National Partnership Agreement on Land Transport Infrastructure Projects</w:t>
      </w:r>
      <w:r w:rsidRPr="00BD2373">
        <w:rPr>
          <w:rFonts w:ascii="Calibri" w:eastAsia="Times New Roman" w:hAnsi="Calibri" w:cs="Times New Roman"/>
          <w:szCs w:val="20"/>
        </w:rPr>
        <w:t xml:space="preserve">. </w:t>
      </w:r>
    </w:p>
    <w:p w14:paraId="701693CE" w14:textId="77777777" w:rsidR="00CF0E2D" w:rsidRDefault="00CF0E2D" w:rsidP="00A60D4B">
      <w:pPr>
        <w:pStyle w:val="Bbodytext"/>
        <w:rPr>
          <w:rFonts w:ascii="Calibri" w:eastAsia="Times New Roman" w:hAnsi="Calibri" w:cs="Times New Roman"/>
          <w:szCs w:val="20"/>
        </w:rPr>
      </w:pPr>
      <w:r>
        <w:lastRenderedPageBreak/>
        <w:t xml:space="preserve">This initiative </w:t>
      </w:r>
      <w:r w:rsidRPr="0013189D">
        <w:rPr>
          <w:rFonts w:ascii="Calibri" w:eastAsia="Times New Roman" w:hAnsi="Calibri" w:cs="Times New Roman"/>
          <w:szCs w:val="20"/>
        </w:rPr>
        <w:t>contributes to the wellbeing domain</w:t>
      </w:r>
      <w:r>
        <w:rPr>
          <w:rFonts w:ascii="Calibri" w:eastAsia="Times New Roman" w:hAnsi="Calibri" w:cs="Times New Roman"/>
          <w:szCs w:val="20"/>
        </w:rPr>
        <w:t>s</w:t>
      </w:r>
      <w:r w:rsidRPr="0013189D">
        <w:rPr>
          <w:rFonts w:ascii="Calibri" w:eastAsia="Times New Roman" w:hAnsi="Calibri" w:cs="Times New Roman"/>
          <w:szCs w:val="20"/>
        </w:rPr>
        <w:t xml:space="preserve"> of Access and connectivity</w:t>
      </w:r>
      <w:r>
        <w:rPr>
          <w:rFonts w:ascii="Calibri" w:eastAsia="Times New Roman" w:hAnsi="Calibri" w:cs="Times New Roman"/>
          <w:szCs w:val="20"/>
        </w:rPr>
        <w:t xml:space="preserve">, </w:t>
      </w:r>
      <w:r w:rsidRPr="0013189D">
        <w:rPr>
          <w:rFonts w:ascii="Calibri" w:eastAsia="Times New Roman" w:hAnsi="Calibri" w:cs="Times New Roman"/>
          <w:szCs w:val="20"/>
        </w:rPr>
        <w:t>Time</w:t>
      </w:r>
      <w:r>
        <w:rPr>
          <w:rFonts w:ascii="Calibri" w:eastAsia="Times New Roman" w:hAnsi="Calibri" w:cs="Times New Roman"/>
          <w:szCs w:val="20"/>
        </w:rPr>
        <w:t>,</w:t>
      </w:r>
      <w:r w:rsidRPr="0013189D">
        <w:rPr>
          <w:rFonts w:ascii="Calibri" w:eastAsia="Times New Roman" w:hAnsi="Calibri" w:cs="Times New Roman"/>
          <w:szCs w:val="20"/>
        </w:rPr>
        <w:t xml:space="preserve"> Safety</w:t>
      </w:r>
      <w:r>
        <w:rPr>
          <w:rFonts w:ascii="Calibri" w:eastAsia="Times New Roman" w:hAnsi="Calibri" w:cs="Times New Roman"/>
          <w:szCs w:val="20"/>
        </w:rPr>
        <w:t xml:space="preserve"> and </w:t>
      </w:r>
      <w:r w:rsidRPr="0013189D">
        <w:rPr>
          <w:rFonts w:ascii="Calibri" w:eastAsia="Times New Roman" w:hAnsi="Calibri" w:cs="Times New Roman"/>
          <w:szCs w:val="20"/>
        </w:rPr>
        <w:t>Health.</w:t>
      </w:r>
    </w:p>
    <w:p w14:paraId="2D313A0D" w14:textId="77777777" w:rsidR="00CF0E2D" w:rsidRDefault="00CF0E2D" w:rsidP="00A60D4B">
      <w:pPr>
        <w:pStyle w:val="Bbodytext"/>
        <w:rPr>
          <w:rFonts w:ascii="Calibri" w:eastAsia="Times New Roman" w:hAnsi="Calibri" w:cs="Times New Roman"/>
          <w:szCs w:val="20"/>
        </w:rPr>
      </w:pPr>
    </w:p>
    <w:p w14:paraId="548CD412" w14:textId="77777777" w:rsidR="00CF0E2D" w:rsidRPr="00FB09C0" w:rsidRDefault="00CF0E2D" w:rsidP="00A60D4B">
      <w:pPr>
        <w:pStyle w:val="Heading4"/>
      </w:pPr>
      <w:r w:rsidRPr="00FB09C0">
        <w:t xml:space="preserve">Connected and sustainable Canberra – Improving the city’s traffic network </w:t>
      </w:r>
      <w:r>
        <w:rPr>
          <w:noProof/>
        </w:rPr>
        <w:drawing>
          <wp:anchor distT="0" distB="0" distL="114300" distR="114300" simplePos="0" relativeHeight="251920384" behindDoc="0" locked="1" layoutInCell="1" allowOverlap="1" wp14:anchorId="619595A6" wp14:editId="429AE123">
            <wp:simplePos x="0" y="0"/>
            <wp:positionH relativeFrom="margin">
              <wp:align>right</wp:align>
            </wp:positionH>
            <wp:positionV relativeFrom="paragraph">
              <wp:posOffset>78105</wp:posOffset>
            </wp:positionV>
            <wp:extent cx="1378585" cy="507365"/>
            <wp:effectExtent l="0" t="0" r="0" b="6985"/>
            <wp:wrapSquare wrapText="bothSides"/>
            <wp:docPr id="216" name="Picture 216"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37A6B" w14:paraId="16C8F3D2" w14:textId="77777777" w:rsidTr="00A60D4B">
        <w:trPr>
          <w:cantSplit/>
          <w:jc w:val="center"/>
        </w:trPr>
        <w:tc>
          <w:tcPr>
            <w:tcW w:w="3652" w:type="dxa"/>
            <w:tcBorders>
              <w:top w:val="single" w:sz="4" w:space="0" w:color="auto"/>
              <w:bottom w:val="single" w:sz="4" w:space="0" w:color="auto"/>
            </w:tcBorders>
          </w:tcPr>
          <w:p w14:paraId="39B09E17" w14:textId="77777777" w:rsidR="00CF0E2D" w:rsidRPr="00937A6B" w:rsidRDefault="00CF0E2D" w:rsidP="00A60D4B">
            <w:pPr>
              <w:spacing w:after="0" w:line="240" w:lineRule="auto"/>
              <w:jc w:val="right"/>
              <w:rPr>
                <w:rFonts w:ascii="Calibri" w:eastAsia="Times New Roman" w:hAnsi="Calibri" w:cs="Calibri"/>
                <w:color w:val="FFFFFF"/>
                <w:sz w:val="12"/>
                <w:szCs w:val="20"/>
              </w:rPr>
            </w:pPr>
            <w:r w:rsidRPr="00937A6B">
              <w:rPr>
                <w:rFonts w:ascii="Calibri" w:eastAsia="Times New Roman" w:hAnsi="Calibri" w:cs="Calibri"/>
                <w:color w:val="FFFFFF"/>
                <w:sz w:val="12"/>
                <w:szCs w:val="20"/>
              </w:rPr>
              <w:t>Empty Cell</w:t>
            </w:r>
          </w:p>
        </w:tc>
        <w:tc>
          <w:tcPr>
            <w:tcW w:w="1179" w:type="dxa"/>
            <w:tcBorders>
              <w:top w:val="single" w:sz="4" w:space="0" w:color="auto"/>
              <w:bottom w:val="single" w:sz="4" w:space="0" w:color="auto"/>
            </w:tcBorders>
          </w:tcPr>
          <w:p w14:paraId="47ADB33E"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2021-22</w:t>
            </w:r>
          </w:p>
          <w:p w14:paraId="6DC23806"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41" w:type="dxa"/>
            <w:tcBorders>
              <w:top w:val="single" w:sz="4" w:space="0" w:color="auto"/>
              <w:bottom w:val="single" w:sz="4" w:space="0" w:color="auto"/>
            </w:tcBorders>
          </w:tcPr>
          <w:p w14:paraId="4EEC2A9A"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2022-23</w:t>
            </w:r>
          </w:p>
          <w:p w14:paraId="552B297D"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73E38E8D"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2023-24</w:t>
            </w:r>
          </w:p>
          <w:p w14:paraId="7BE0B7DF"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76FAE191"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2024-25</w:t>
            </w:r>
          </w:p>
          <w:p w14:paraId="11AC65C0"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1DC823C9"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Total</w:t>
            </w:r>
          </w:p>
          <w:p w14:paraId="22118FDE"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$’000</w:t>
            </w:r>
          </w:p>
        </w:tc>
      </w:tr>
      <w:tr w:rsidR="00CF0E2D" w:rsidRPr="00937A6B" w14:paraId="6C14B21C" w14:textId="77777777" w:rsidTr="00A60D4B">
        <w:trPr>
          <w:cantSplit/>
          <w:jc w:val="center"/>
        </w:trPr>
        <w:tc>
          <w:tcPr>
            <w:tcW w:w="3652" w:type="dxa"/>
            <w:tcBorders>
              <w:top w:val="single" w:sz="4" w:space="0" w:color="auto"/>
              <w:bottom w:val="single" w:sz="4" w:space="0" w:color="auto"/>
            </w:tcBorders>
          </w:tcPr>
          <w:p w14:paraId="363E6D4C"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Expenses</w:t>
            </w:r>
          </w:p>
        </w:tc>
        <w:tc>
          <w:tcPr>
            <w:tcW w:w="1179" w:type="dxa"/>
            <w:tcBorders>
              <w:top w:val="single" w:sz="4" w:space="0" w:color="auto"/>
              <w:bottom w:val="single" w:sz="4" w:space="0" w:color="auto"/>
            </w:tcBorders>
          </w:tcPr>
          <w:p w14:paraId="13F3C452"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150</w:t>
            </w:r>
          </w:p>
        </w:tc>
        <w:tc>
          <w:tcPr>
            <w:tcW w:w="1041" w:type="dxa"/>
            <w:tcBorders>
              <w:top w:val="single" w:sz="4" w:space="0" w:color="auto"/>
              <w:bottom w:val="single" w:sz="4" w:space="0" w:color="auto"/>
            </w:tcBorders>
          </w:tcPr>
          <w:p w14:paraId="09BF2AC0"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50</w:t>
            </w:r>
          </w:p>
        </w:tc>
        <w:tc>
          <w:tcPr>
            <w:tcW w:w="1029" w:type="dxa"/>
            <w:tcBorders>
              <w:top w:val="single" w:sz="4" w:space="0" w:color="auto"/>
              <w:bottom w:val="single" w:sz="4" w:space="0" w:color="auto"/>
            </w:tcBorders>
          </w:tcPr>
          <w:p w14:paraId="05D7BAA1"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bottom w:val="single" w:sz="4" w:space="0" w:color="auto"/>
            </w:tcBorders>
          </w:tcPr>
          <w:p w14:paraId="401F72C7"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bottom w:val="single" w:sz="4" w:space="0" w:color="auto"/>
            </w:tcBorders>
          </w:tcPr>
          <w:p w14:paraId="1183104A"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200</w:t>
            </w:r>
          </w:p>
        </w:tc>
      </w:tr>
    </w:tbl>
    <w:p w14:paraId="7101C418" w14:textId="77777777" w:rsidR="00CF0E2D" w:rsidRPr="00CB733A" w:rsidRDefault="00CF0E2D" w:rsidP="00A60D4B">
      <w:pPr>
        <w:pStyle w:val="Bbodytext"/>
        <w:rPr>
          <w:szCs w:val="24"/>
        </w:rPr>
      </w:pPr>
      <w:r w:rsidRPr="00CB733A">
        <w:t>The Government will strengthen resourcing to undertake planning and coordination to enhance traffic flows and mitigate disruptions to Ca</w:t>
      </w:r>
      <w:r w:rsidRPr="00CB733A">
        <w:rPr>
          <w:szCs w:val="24"/>
        </w:rPr>
        <w:t xml:space="preserve">nberra’s traffic network during the construction of </w:t>
      </w:r>
      <w:r>
        <w:rPr>
          <w:szCs w:val="24"/>
        </w:rPr>
        <w:t xml:space="preserve">Light Rail </w:t>
      </w:r>
      <w:r w:rsidRPr="00CB733A">
        <w:rPr>
          <w:szCs w:val="24"/>
        </w:rPr>
        <w:t xml:space="preserve">Stage 2 to Woden. </w:t>
      </w:r>
    </w:p>
    <w:p w14:paraId="6BCCCA85" w14:textId="77777777" w:rsidR="00CF0E2D" w:rsidRDefault="00CF0E2D" w:rsidP="00A60D4B">
      <w:pPr>
        <w:pStyle w:val="Bbodytext"/>
        <w:rPr>
          <w:szCs w:val="24"/>
        </w:rPr>
      </w:pPr>
      <w:r w:rsidRPr="00CB733A">
        <w:t xml:space="preserve">This initiative contributes to the </w:t>
      </w:r>
      <w:r w:rsidRPr="00CB733A">
        <w:rPr>
          <w:szCs w:val="24"/>
        </w:rPr>
        <w:t>wellbeing domain of Access and</w:t>
      </w:r>
      <w:r>
        <w:rPr>
          <w:szCs w:val="24"/>
        </w:rPr>
        <w:t xml:space="preserve"> </w:t>
      </w:r>
      <w:r w:rsidRPr="00CB733A">
        <w:rPr>
          <w:szCs w:val="24"/>
        </w:rPr>
        <w:t>connectivity.</w:t>
      </w:r>
    </w:p>
    <w:p w14:paraId="2A824F9F" w14:textId="77777777" w:rsidR="00CF0E2D" w:rsidRPr="00CB733A" w:rsidRDefault="00CF0E2D" w:rsidP="00A60D4B">
      <w:pPr>
        <w:pStyle w:val="Bbodytext"/>
        <w:rPr>
          <w:szCs w:val="24"/>
        </w:rPr>
      </w:pPr>
    </w:p>
    <w:p w14:paraId="6435519D" w14:textId="77777777" w:rsidR="00CF0E2D" w:rsidRPr="00937A6B" w:rsidRDefault="00CF0E2D" w:rsidP="00A60D4B">
      <w:pPr>
        <w:pStyle w:val="Heading4"/>
        <w:rPr>
          <w:rFonts w:eastAsia="Times New Roman" w:cs="Times New Roman"/>
          <w:b w:val="0"/>
          <w:bCs/>
          <w:szCs w:val="26"/>
          <w:lang w:val="x-none"/>
        </w:rPr>
      </w:pPr>
      <w:r w:rsidRPr="00DB57D8">
        <w:rPr>
          <w:rFonts w:eastAsia="Times New Roman"/>
        </w:rPr>
        <w:t xml:space="preserve">Connected and </w:t>
      </w:r>
      <w:r w:rsidRPr="00320FE2">
        <w:t>sustainable Canberra – Modelling transport across Canberra</w:t>
      </w:r>
      <w:r>
        <w:rPr>
          <w:noProof/>
        </w:rPr>
        <w:drawing>
          <wp:anchor distT="0" distB="0" distL="114300" distR="114300" simplePos="0" relativeHeight="251921408" behindDoc="0" locked="1" layoutInCell="1" allowOverlap="1" wp14:anchorId="4ABBE1C4" wp14:editId="24D1052E">
            <wp:simplePos x="0" y="0"/>
            <wp:positionH relativeFrom="margin">
              <wp:align>right</wp:align>
            </wp:positionH>
            <wp:positionV relativeFrom="paragraph">
              <wp:posOffset>84455</wp:posOffset>
            </wp:positionV>
            <wp:extent cx="1378585" cy="507365"/>
            <wp:effectExtent l="0" t="0" r="0" b="6985"/>
            <wp:wrapSquare wrapText="bothSides"/>
            <wp:docPr id="286" name="Picture 286"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37A6B" w14:paraId="11BD5677" w14:textId="77777777" w:rsidTr="00A60D4B">
        <w:trPr>
          <w:cantSplit/>
          <w:jc w:val="center"/>
        </w:trPr>
        <w:tc>
          <w:tcPr>
            <w:tcW w:w="3652" w:type="dxa"/>
            <w:tcBorders>
              <w:top w:val="single" w:sz="4" w:space="0" w:color="auto"/>
              <w:bottom w:val="single" w:sz="4" w:space="0" w:color="auto"/>
            </w:tcBorders>
          </w:tcPr>
          <w:p w14:paraId="6C88DF7B" w14:textId="77777777" w:rsidR="00CF0E2D" w:rsidRPr="00937A6B" w:rsidRDefault="00CF0E2D" w:rsidP="00A60D4B">
            <w:pPr>
              <w:spacing w:after="0" w:line="240" w:lineRule="auto"/>
              <w:jc w:val="right"/>
              <w:rPr>
                <w:rFonts w:ascii="Calibri" w:eastAsia="Times New Roman" w:hAnsi="Calibri" w:cs="Calibri"/>
                <w:color w:val="FFFFFF"/>
                <w:sz w:val="12"/>
                <w:szCs w:val="20"/>
              </w:rPr>
            </w:pPr>
            <w:r w:rsidRPr="00937A6B">
              <w:rPr>
                <w:rFonts w:ascii="Calibri" w:eastAsia="Times New Roman" w:hAnsi="Calibri" w:cs="Calibri"/>
                <w:color w:val="FFFFFF"/>
                <w:sz w:val="12"/>
                <w:szCs w:val="20"/>
              </w:rPr>
              <w:t>Empty Cell</w:t>
            </w:r>
          </w:p>
        </w:tc>
        <w:tc>
          <w:tcPr>
            <w:tcW w:w="1179" w:type="dxa"/>
            <w:tcBorders>
              <w:top w:val="single" w:sz="4" w:space="0" w:color="auto"/>
              <w:bottom w:val="single" w:sz="4" w:space="0" w:color="auto"/>
            </w:tcBorders>
          </w:tcPr>
          <w:p w14:paraId="59F25DA7"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2021-22</w:t>
            </w:r>
          </w:p>
          <w:p w14:paraId="41FFC621"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41" w:type="dxa"/>
            <w:tcBorders>
              <w:top w:val="single" w:sz="4" w:space="0" w:color="auto"/>
              <w:bottom w:val="single" w:sz="4" w:space="0" w:color="auto"/>
            </w:tcBorders>
          </w:tcPr>
          <w:p w14:paraId="0C60C080"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2022-23</w:t>
            </w:r>
          </w:p>
          <w:p w14:paraId="76C5A02D"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169EC899"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2023-24</w:t>
            </w:r>
          </w:p>
          <w:p w14:paraId="64825EEF"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7880F05B"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2024-25</w:t>
            </w:r>
          </w:p>
          <w:p w14:paraId="0591C4BB"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4434DC2D"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Total</w:t>
            </w:r>
          </w:p>
          <w:p w14:paraId="3AEF8490"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$’000</w:t>
            </w:r>
          </w:p>
        </w:tc>
      </w:tr>
      <w:tr w:rsidR="00CF0E2D" w:rsidRPr="00937A6B" w14:paraId="54B5E39A" w14:textId="77777777" w:rsidTr="00A60D4B">
        <w:trPr>
          <w:cantSplit/>
          <w:jc w:val="center"/>
        </w:trPr>
        <w:tc>
          <w:tcPr>
            <w:tcW w:w="3652" w:type="dxa"/>
            <w:tcBorders>
              <w:top w:val="single" w:sz="4" w:space="0" w:color="auto"/>
              <w:bottom w:val="single" w:sz="4" w:space="0" w:color="auto"/>
            </w:tcBorders>
          </w:tcPr>
          <w:p w14:paraId="27AAD804"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Expenses</w:t>
            </w:r>
          </w:p>
        </w:tc>
        <w:tc>
          <w:tcPr>
            <w:tcW w:w="1179" w:type="dxa"/>
            <w:tcBorders>
              <w:top w:val="single" w:sz="4" w:space="0" w:color="auto"/>
              <w:bottom w:val="single" w:sz="4" w:space="0" w:color="auto"/>
            </w:tcBorders>
          </w:tcPr>
          <w:p w14:paraId="602DE18D"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1,286</w:t>
            </w:r>
          </w:p>
        </w:tc>
        <w:tc>
          <w:tcPr>
            <w:tcW w:w="1041" w:type="dxa"/>
            <w:tcBorders>
              <w:top w:val="single" w:sz="4" w:space="0" w:color="auto"/>
              <w:bottom w:val="single" w:sz="4" w:space="0" w:color="auto"/>
            </w:tcBorders>
          </w:tcPr>
          <w:p w14:paraId="5B32BEBB"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1,099</w:t>
            </w:r>
          </w:p>
        </w:tc>
        <w:tc>
          <w:tcPr>
            <w:tcW w:w="1029" w:type="dxa"/>
            <w:tcBorders>
              <w:top w:val="single" w:sz="4" w:space="0" w:color="auto"/>
              <w:bottom w:val="single" w:sz="4" w:space="0" w:color="auto"/>
            </w:tcBorders>
          </w:tcPr>
          <w:p w14:paraId="44CBE3F9"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381</w:t>
            </w:r>
          </w:p>
        </w:tc>
        <w:tc>
          <w:tcPr>
            <w:tcW w:w="1029" w:type="dxa"/>
            <w:tcBorders>
              <w:top w:val="single" w:sz="4" w:space="0" w:color="auto"/>
              <w:bottom w:val="single" w:sz="4" w:space="0" w:color="auto"/>
            </w:tcBorders>
          </w:tcPr>
          <w:p w14:paraId="5CF5B1B4"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173</w:t>
            </w:r>
          </w:p>
        </w:tc>
        <w:tc>
          <w:tcPr>
            <w:tcW w:w="1029" w:type="dxa"/>
            <w:tcBorders>
              <w:top w:val="single" w:sz="4" w:space="0" w:color="auto"/>
              <w:bottom w:val="single" w:sz="4" w:space="0" w:color="auto"/>
            </w:tcBorders>
          </w:tcPr>
          <w:p w14:paraId="58AF35F5"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2,939</w:t>
            </w:r>
          </w:p>
        </w:tc>
      </w:tr>
    </w:tbl>
    <w:p w14:paraId="60E95E7D" w14:textId="77777777" w:rsidR="00CF0E2D" w:rsidRPr="00E76FF4" w:rsidRDefault="00CF0E2D" w:rsidP="00A60D4B">
      <w:pPr>
        <w:pStyle w:val="Bbodytext"/>
      </w:pPr>
      <w:r w:rsidRPr="00E03841">
        <w:t>The Government will strengthen transport modelling capability to inform city-wide planning policy and investment decisions. This will include updating and reca</w:t>
      </w:r>
      <w:r w:rsidRPr="00FB09C0">
        <w:rPr>
          <w:rFonts w:ascii="Calibri" w:eastAsia="Times New Roman" w:hAnsi="Calibri" w:cs="Times New Roman"/>
          <w:szCs w:val="20"/>
        </w:rPr>
        <w:t>librating the Canberra Strategic Transport model based on 2021 Census data, and informa</w:t>
      </w:r>
      <w:r w:rsidRPr="00E76FF4">
        <w:t xml:space="preserve">tion from a new Household Travel Survey. It will also include developing traffic models for the Gungahlin Town Centre to support future strategic transport investments in the area. </w:t>
      </w:r>
    </w:p>
    <w:p w14:paraId="73DACF8D" w14:textId="77777777" w:rsidR="00CF0E2D" w:rsidRPr="00350729" w:rsidRDefault="00CF0E2D" w:rsidP="00A60D4B">
      <w:pPr>
        <w:pStyle w:val="Bbodytext"/>
        <w:rPr>
          <w:rFonts w:ascii="Calibri" w:eastAsia="Times New Roman" w:hAnsi="Calibri" w:cs="Times New Roman"/>
          <w:szCs w:val="20"/>
        </w:rPr>
      </w:pPr>
      <w:r w:rsidRPr="00DD60C9">
        <w:t>This initiative will contribute to the wellbeing domain</w:t>
      </w:r>
      <w:r w:rsidRPr="00FB09C0">
        <w:rPr>
          <w:rFonts w:ascii="Calibri" w:eastAsia="Times New Roman" w:hAnsi="Calibri" w:cs="Times New Roman"/>
          <w:szCs w:val="20"/>
        </w:rPr>
        <w:t>s of Access and connectivity, Time and Safety.</w:t>
      </w:r>
    </w:p>
    <w:p w14:paraId="2C5954E0" w14:textId="77777777" w:rsidR="00CF0E2D" w:rsidRDefault="00CF0E2D">
      <w:pPr>
        <w:rPr>
          <w:rFonts w:ascii="Calibri" w:eastAsia="Times New Roman" w:hAnsi="Calibri" w:cs="Times New Roman"/>
          <w:sz w:val="24"/>
          <w:szCs w:val="20"/>
        </w:rPr>
      </w:pPr>
      <w:r>
        <w:rPr>
          <w:rFonts w:ascii="Calibri" w:eastAsia="Times New Roman" w:hAnsi="Calibri" w:cs="Times New Roman"/>
          <w:sz w:val="24"/>
          <w:szCs w:val="20"/>
        </w:rPr>
        <w:br w:type="page"/>
      </w:r>
    </w:p>
    <w:p w14:paraId="7A19EA91" w14:textId="77777777" w:rsidR="00CF0E2D" w:rsidRPr="00FB09C0" w:rsidRDefault="00CF0E2D" w:rsidP="00A60D4B">
      <w:pPr>
        <w:pStyle w:val="Heading4"/>
        <w:keepNext w:val="0"/>
        <w:keepLines w:val="0"/>
      </w:pPr>
      <w:r w:rsidRPr="00FB09C0">
        <w:lastRenderedPageBreak/>
        <w:t xml:space="preserve">Connected and sustainable Canberra – Monaro Highway upgrades  </w:t>
      </w:r>
      <w:r>
        <w:rPr>
          <w:noProof/>
        </w:rPr>
        <w:drawing>
          <wp:anchor distT="0" distB="0" distL="114300" distR="114300" simplePos="0" relativeHeight="251922432" behindDoc="0" locked="1" layoutInCell="1" allowOverlap="1" wp14:anchorId="01C07B8C" wp14:editId="5050686D">
            <wp:simplePos x="0" y="0"/>
            <wp:positionH relativeFrom="margin">
              <wp:posOffset>4374515</wp:posOffset>
            </wp:positionH>
            <wp:positionV relativeFrom="paragraph">
              <wp:posOffset>34925</wp:posOffset>
            </wp:positionV>
            <wp:extent cx="1378585" cy="507365"/>
            <wp:effectExtent l="0" t="0" r="0" b="6985"/>
            <wp:wrapSquare wrapText="bothSides"/>
            <wp:docPr id="218" name="Picture 218"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9072" w:type="dxa"/>
        <w:tblLayout w:type="fixed"/>
        <w:tblLook w:val="0000" w:firstRow="0" w:lastRow="0" w:firstColumn="0" w:lastColumn="0" w:noHBand="0" w:noVBand="0"/>
      </w:tblPr>
      <w:tblGrid>
        <w:gridCol w:w="3652"/>
        <w:gridCol w:w="1179"/>
        <w:gridCol w:w="1041"/>
        <w:gridCol w:w="1029"/>
        <w:gridCol w:w="1029"/>
        <w:gridCol w:w="1142"/>
      </w:tblGrid>
      <w:tr w:rsidR="00CF0E2D" w:rsidRPr="00937A6B" w14:paraId="750936EF" w14:textId="77777777" w:rsidTr="00A60D4B">
        <w:trPr>
          <w:cantSplit/>
        </w:trPr>
        <w:tc>
          <w:tcPr>
            <w:tcW w:w="3652" w:type="dxa"/>
            <w:tcBorders>
              <w:top w:val="single" w:sz="4" w:space="0" w:color="auto"/>
              <w:bottom w:val="single" w:sz="4" w:space="0" w:color="auto"/>
            </w:tcBorders>
          </w:tcPr>
          <w:p w14:paraId="4F48AAAB" w14:textId="77777777" w:rsidR="00CF0E2D" w:rsidRPr="00937A6B" w:rsidRDefault="00CF0E2D" w:rsidP="00A60D4B">
            <w:pPr>
              <w:spacing w:after="0" w:line="240" w:lineRule="auto"/>
              <w:jc w:val="right"/>
              <w:rPr>
                <w:rFonts w:ascii="Calibri" w:eastAsia="Times New Roman" w:hAnsi="Calibri" w:cs="Calibri"/>
                <w:color w:val="FFFFFF"/>
                <w:sz w:val="12"/>
                <w:szCs w:val="20"/>
              </w:rPr>
            </w:pPr>
            <w:bookmarkStart w:id="58" w:name="_Hlk79416811"/>
            <w:r w:rsidRPr="00937A6B">
              <w:rPr>
                <w:rFonts w:ascii="Calibri" w:eastAsia="Times New Roman" w:hAnsi="Calibri" w:cs="Calibri"/>
                <w:color w:val="FFFFFF"/>
                <w:sz w:val="12"/>
                <w:szCs w:val="20"/>
              </w:rPr>
              <w:t>Empty Cell</w:t>
            </w:r>
          </w:p>
        </w:tc>
        <w:tc>
          <w:tcPr>
            <w:tcW w:w="1179" w:type="dxa"/>
            <w:tcBorders>
              <w:top w:val="single" w:sz="4" w:space="0" w:color="auto"/>
              <w:bottom w:val="single" w:sz="4" w:space="0" w:color="auto"/>
            </w:tcBorders>
          </w:tcPr>
          <w:p w14:paraId="31C854D6"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2021-22</w:t>
            </w:r>
          </w:p>
          <w:p w14:paraId="6D6B731A"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41" w:type="dxa"/>
            <w:tcBorders>
              <w:top w:val="single" w:sz="4" w:space="0" w:color="auto"/>
              <w:bottom w:val="single" w:sz="4" w:space="0" w:color="auto"/>
            </w:tcBorders>
          </w:tcPr>
          <w:p w14:paraId="4E2B92B9"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2022-23</w:t>
            </w:r>
          </w:p>
          <w:p w14:paraId="78A89ACC"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77476AE8"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2023-24</w:t>
            </w:r>
          </w:p>
          <w:p w14:paraId="09DD4E94"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0A1C46D4"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2024-25</w:t>
            </w:r>
          </w:p>
          <w:p w14:paraId="79D5FC4B"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142" w:type="dxa"/>
            <w:tcBorders>
              <w:top w:val="single" w:sz="4" w:space="0" w:color="auto"/>
              <w:bottom w:val="single" w:sz="4" w:space="0" w:color="auto"/>
            </w:tcBorders>
          </w:tcPr>
          <w:p w14:paraId="213CBBD0"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Total</w:t>
            </w:r>
          </w:p>
          <w:p w14:paraId="31FDEA10"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$’000</w:t>
            </w:r>
          </w:p>
        </w:tc>
      </w:tr>
      <w:tr w:rsidR="00CF0E2D" w:rsidRPr="00937A6B" w14:paraId="1F476F29" w14:textId="77777777" w:rsidTr="00A60D4B">
        <w:trPr>
          <w:cantSplit/>
        </w:trPr>
        <w:tc>
          <w:tcPr>
            <w:tcW w:w="3652" w:type="dxa"/>
            <w:tcBorders>
              <w:top w:val="single" w:sz="4" w:space="0" w:color="auto"/>
            </w:tcBorders>
          </w:tcPr>
          <w:p w14:paraId="7D8D67D4"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Capital</w:t>
            </w:r>
          </w:p>
        </w:tc>
        <w:tc>
          <w:tcPr>
            <w:tcW w:w="1179" w:type="dxa"/>
            <w:tcBorders>
              <w:top w:val="single" w:sz="4" w:space="0" w:color="auto"/>
            </w:tcBorders>
          </w:tcPr>
          <w:p w14:paraId="34D53DB5"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1,500</w:t>
            </w:r>
          </w:p>
        </w:tc>
        <w:tc>
          <w:tcPr>
            <w:tcW w:w="1041" w:type="dxa"/>
            <w:tcBorders>
              <w:top w:val="single" w:sz="4" w:space="0" w:color="auto"/>
            </w:tcBorders>
          </w:tcPr>
          <w:p w14:paraId="73AD0ECF"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35,000</w:t>
            </w:r>
          </w:p>
        </w:tc>
        <w:tc>
          <w:tcPr>
            <w:tcW w:w="1029" w:type="dxa"/>
            <w:tcBorders>
              <w:top w:val="single" w:sz="4" w:space="0" w:color="auto"/>
            </w:tcBorders>
          </w:tcPr>
          <w:p w14:paraId="511E1508"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45,000</w:t>
            </w:r>
          </w:p>
        </w:tc>
        <w:tc>
          <w:tcPr>
            <w:tcW w:w="1029" w:type="dxa"/>
            <w:tcBorders>
              <w:top w:val="single" w:sz="4" w:space="0" w:color="auto"/>
            </w:tcBorders>
          </w:tcPr>
          <w:p w14:paraId="0A19BB3C"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55,000</w:t>
            </w:r>
          </w:p>
        </w:tc>
        <w:tc>
          <w:tcPr>
            <w:tcW w:w="1142" w:type="dxa"/>
            <w:tcBorders>
              <w:top w:val="single" w:sz="4" w:space="0" w:color="auto"/>
            </w:tcBorders>
          </w:tcPr>
          <w:p w14:paraId="1830B2C8"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136,500</w:t>
            </w:r>
          </w:p>
        </w:tc>
      </w:tr>
      <w:tr w:rsidR="00CF0E2D" w:rsidRPr="00937A6B" w14:paraId="5FD25883" w14:textId="77777777" w:rsidTr="00A60D4B">
        <w:trPr>
          <w:cantSplit/>
        </w:trPr>
        <w:tc>
          <w:tcPr>
            <w:tcW w:w="3652" w:type="dxa"/>
          </w:tcPr>
          <w:p w14:paraId="12803CD5"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Offset – Capital – Provision</w:t>
            </w:r>
          </w:p>
        </w:tc>
        <w:tc>
          <w:tcPr>
            <w:tcW w:w="1179" w:type="dxa"/>
          </w:tcPr>
          <w:p w14:paraId="5CAA6F0D"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41" w:type="dxa"/>
          </w:tcPr>
          <w:p w14:paraId="11731DFE"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-28,000</w:t>
            </w:r>
          </w:p>
        </w:tc>
        <w:tc>
          <w:tcPr>
            <w:tcW w:w="1029" w:type="dxa"/>
          </w:tcPr>
          <w:p w14:paraId="08524BB4"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-50,000</w:t>
            </w:r>
          </w:p>
        </w:tc>
        <w:tc>
          <w:tcPr>
            <w:tcW w:w="1029" w:type="dxa"/>
          </w:tcPr>
          <w:p w14:paraId="582EF53B"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-30,500</w:t>
            </w:r>
          </w:p>
        </w:tc>
        <w:tc>
          <w:tcPr>
            <w:tcW w:w="1142" w:type="dxa"/>
          </w:tcPr>
          <w:p w14:paraId="1C82C528"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-108,500</w:t>
            </w:r>
          </w:p>
        </w:tc>
      </w:tr>
      <w:tr w:rsidR="00CF0E2D" w:rsidRPr="00937A6B" w14:paraId="0405C178" w14:textId="77777777" w:rsidTr="00A60D4B">
        <w:trPr>
          <w:cantSplit/>
        </w:trPr>
        <w:tc>
          <w:tcPr>
            <w:tcW w:w="3652" w:type="dxa"/>
            <w:tcBorders>
              <w:top w:val="single" w:sz="4" w:space="0" w:color="auto"/>
              <w:bottom w:val="single" w:sz="4" w:space="0" w:color="auto"/>
            </w:tcBorders>
          </w:tcPr>
          <w:p w14:paraId="239A7049" w14:textId="37BCDE4C" w:rsidR="00CF0E2D" w:rsidRPr="00937A6B" w:rsidRDefault="00F57411" w:rsidP="00A60D4B">
            <w:pPr>
              <w:spacing w:after="0" w:line="240" w:lineRule="auto"/>
              <w:ind w:left="321" w:hanging="321"/>
              <w:rPr>
                <w:rFonts w:ascii="Calibri" w:eastAsia="Times New Roman" w:hAnsi="Calibri" w:cs="Times New Roman"/>
                <w:b/>
                <w:bCs/>
                <w:sz w:val="24"/>
                <w:szCs w:val="20"/>
              </w:rPr>
            </w:pPr>
            <w:r>
              <w:rPr>
                <w:rFonts w:ascii="Calibri" w:eastAsia="Times New Roman" w:hAnsi="Calibri" w:cs="Times New Roman"/>
                <w:b/>
                <w:bCs/>
                <w:sz w:val="24"/>
                <w:szCs w:val="20"/>
              </w:rPr>
              <w:t>Net capital</w:t>
            </w:r>
          </w:p>
        </w:tc>
        <w:tc>
          <w:tcPr>
            <w:tcW w:w="1179" w:type="dxa"/>
            <w:tcBorders>
              <w:top w:val="single" w:sz="4" w:space="0" w:color="auto"/>
              <w:bottom w:val="single" w:sz="4" w:space="0" w:color="auto"/>
            </w:tcBorders>
          </w:tcPr>
          <w:p w14:paraId="76D25A10" w14:textId="77777777" w:rsidR="00CF0E2D" w:rsidRPr="00DE70F4" w:rsidRDefault="00CF0E2D" w:rsidP="00A60D4B">
            <w:pPr>
              <w:pStyle w:val="InitFigR"/>
              <w:rPr>
                <w:b/>
              </w:rPr>
            </w:pPr>
            <w:r>
              <w:rPr>
                <w:b/>
              </w:rPr>
              <w:t>1,500</w:t>
            </w:r>
          </w:p>
        </w:tc>
        <w:tc>
          <w:tcPr>
            <w:tcW w:w="1041" w:type="dxa"/>
            <w:tcBorders>
              <w:top w:val="single" w:sz="4" w:space="0" w:color="auto"/>
              <w:bottom w:val="single" w:sz="4" w:space="0" w:color="auto"/>
            </w:tcBorders>
          </w:tcPr>
          <w:p w14:paraId="7ED604D4" w14:textId="77777777" w:rsidR="00CF0E2D" w:rsidRPr="00DE70F4" w:rsidRDefault="00CF0E2D" w:rsidP="00A60D4B">
            <w:pPr>
              <w:pStyle w:val="InitFigR"/>
              <w:rPr>
                <w:b/>
              </w:rPr>
            </w:pPr>
            <w:r>
              <w:rPr>
                <w:b/>
              </w:rPr>
              <w:t>7,0</w:t>
            </w:r>
            <w:r w:rsidRPr="007A5B7B">
              <w:rPr>
                <w:b/>
              </w:rPr>
              <w:t>00</w:t>
            </w:r>
          </w:p>
        </w:tc>
        <w:tc>
          <w:tcPr>
            <w:tcW w:w="1029" w:type="dxa"/>
            <w:tcBorders>
              <w:top w:val="single" w:sz="4" w:space="0" w:color="auto"/>
              <w:bottom w:val="single" w:sz="4" w:space="0" w:color="auto"/>
            </w:tcBorders>
          </w:tcPr>
          <w:p w14:paraId="7384444E" w14:textId="77777777" w:rsidR="00CF0E2D" w:rsidRPr="00DE70F4" w:rsidRDefault="00CF0E2D" w:rsidP="00A60D4B">
            <w:pPr>
              <w:pStyle w:val="InitFigR"/>
              <w:rPr>
                <w:b/>
              </w:rPr>
            </w:pPr>
            <w:r>
              <w:rPr>
                <w:b/>
              </w:rPr>
              <w:t>-5,0</w:t>
            </w:r>
            <w:r w:rsidRPr="00001430">
              <w:rPr>
                <w:b/>
              </w:rPr>
              <w:t>00</w:t>
            </w:r>
          </w:p>
        </w:tc>
        <w:tc>
          <w:tcPr>
            <w:tcW w:w="1029" w:type="dxa"/>
            <w:tcBorders>
              <w:top w:val="single" w:sz="4" w:space="0" w:color="auto"/>
              <w:bottom w:val="single" w:sz="4" w:space="0" w:color="auto"/>
            </w:tcBorders>
          </w:tcPr>
          <w:p w14:paraId="343D57F4" w14:textId="77777777" w:rsidR="00CF0E2D" w:rsidRPr="00DE70F4" w:rsidRDefault="00CF0E2D" w:rsidP="00A60D4B">
            <w:pPr>
              <w:pStyle w:val="InitFigR"/>
              <w:rPr>
                <w:b/>
              </w:rPr>
            </w:pPr>
            <w:r>
              <w:rPr>
                <w:b/>
              </w:rPr>
              <w:t>24,500</w:t>
            </w:r>
          </w:p>
        </w:tc>
        <w:tc>
          <w:tcPr>
            <w:tcW w:w="1142" w:type="dxa"/>
            <w:tcBorders>
              <w:top w:val="single" w:sz="4" w:space="0" w:color="auto"/>
              <w:bottom w:val="single" w:sz="4" w:space="0" w:color="auto"/>
            </w:tcBorders>
          </w:tcPr>
          <w:p w14:paraId="3063E99C" w14:textId="77777777" w:rsidR="00CF0E2D" w:rsidRPr="00DE70F4" w:rsidRDefault="00CF0E2D" w:rsidP="00A60D4B">
            <w:pPr>
              <w:pStyle w:val="InitFigR"/>
              <w:rPr>
                <w:b/>
              </w:rPr>
            </w:pPr>
            <w:r>
              <w:rPr>
                <w:b/>
              </w:rPr>
              <w:t>28,000</w:t>
            </w:r>
          </w:p>
        </w:tc>
      </w:tr>
    </w:tbl>
    <w:bookmarkEnd w:id="58"/>
    <w:p w14:paraId="6BDBCA1E" w14:textId="77777777" w:rsidR="00CF0E2D" w:rsidRPr="007A5B7B" w:rsidRDefault="00CF0E2D" w:rsidP="00A60D4B">
      <w:pPr>
        <w:pStyle w:val="Bbodytext"/>
        <w:rPr>
          <w:szCs w:val="24"/>
        </w:rPr>
      </w:pPr>
      <w:r w:rsidRPr="00143614">
        <w:t>The Government will undertake design and const</w:t>
      </w:r>
      <w:r w:rsidRPr="00143614">
        <w:rPr>
          <w:szCs w:val="24"/>
        </w:rPr>
        <w:t xml:space="preserve">ruction of an overpass and traffic interchange at Lanyon Drive as part of significant upgrades to the Monaro Highway to improve safety and travel times. In addition to delivering a grade-separated intersection for the Monaro Highway and Lanyon Drive (southbound) this project will extend David Warren Road; deliver a </w:t>
      </w:r>
      <w:r w:rsidRPr="007A5B7B">
        <w:rPr>
          <w:szCs w:val="24"/>
        </w:rPr>
        <w:t>new southbound off-ramp connecting Sheppard Street with Lanyon Drive; remove the traffic signals at David Warren Road and augment the northbound carriageway of the Monaro Highway. The total capital cost of this initiative is $160.1 million and includes $23.6 million in capital funding in 2025-26.</w:t>
      </w:r>
    </w:p>
    <w:p w14:paraId="69E5E392" w14:textId="77777777" w:rsidR="00CF0E2D" w:rsidRPr="007A5B7B" w:rsidRDefault="00CF0E2D" w:rsidP="00A60D4B">
      <w:pPr>
        <w:pStyle w:val="Bbodytext"/>
        <w:rPr>
          <w:szCs w:val="24"/>
        </w:rPr>
      </w:pPr>
      <w:r w:rsidRPr="007A5B7B">
        <w:t>This initiative</w:t>
      </w:r>
      <w:r w:rsidRPr="007A5B7B">
        <w:rPr>
          <w:szCs w:val="24"/>
        </w:rPr>
        <w:t xml:space="preserve"> is part of ongoing upgrades to the Monaro Highway, including the construction of a new overtaking lane between Williamsdale Road and Royalla Drive. </w:t>
      </w:r>
    </w:p>
    <w:p w14:paraId="33584FDA" w14:textId="77777777" w:rsidR="00CF0E2D" w:rsidRDefault="00CF0E2D" w:rsidP="00A60D4B">
      <w:pPr>
        <w:pStyle w:val="Bbodytext"/>
        <w:rPr>
          <w:szCs w:val="24"/>
        </w:rPr>
      </w:pPr>
      <w:r w:rsidRPr="00DC2394">
        <w:rPr>
          <w:rFonts w:ascii="Calibri" w:eastAsia="Times New Roman" w:hAnsi="Calibri" w:cs="Times New Roman"/>
          <w:szCs w:val="20"/>
        </w:rPr>
        <w:t xml:space="preserve">This project includes a contribution of 50 per cent of the project costs facilitated by a Commonwealth grant through the </w:t>
      </w:r>
      <w:r w:rsidRPr="00DC2394">
        <w:rPr>
          <w:rFonts w:ascii="Calibri" w:eastAsia="Times New Roman" w:hAnsi="Calibri" w:cs="Times New Roman"/>
          <w:i/>
          <w:iCs/>
          <w:szCs w:val="20"/>
        </w:rPr>
        <w:t>National Partnership Agreement on Land Transport Infrastructure Projects</w:t>
      </w:r>
      <w:r w:rsidRPr="00DC2394">
        <w:rPr>
          <w:rFonts w:ascii="Calibri" w:eastAsia="Times New Roman" w:hAnsi="Calibri" w:cs="Times New Roman"/>
          <w:szCs w:val="20"/>
        </w:rPr>
        <w:t>.</w:t>
      </w:r>
    </w:p>
    <w:p w14:paraId="5DFC22AE" w14:textId="270A0137" w:rsidR="00CF0E2D" w:rsidRDefault="00CF0E2D" w:rsidP="00A60D4B">
      <w:pPr>
        <w:pStyle w:val="Bbodytext"/>
      </w:pPr>
      <w:r>
        <w:t>This initiative</w:t>
      </w:r>
      <w:r w:rsidRPr="00143614">
        <w:rPr>
          <w:szCs w:val="24"/>
        </w:rPr>
        <w:t xml:space="preserve"> contributes to the wellbeing domain</w:t>
      </w:r>
      <w:r>
        <w:rPr>
          <w:szCs w:val="24"/>
        </w:rPr>
        <w:t>s</w:t>
      </w:r>
      <w:r w:rsidRPr="00143614">
        <w:rPr>
          <w:szCs w:val="24"/>
        </w:rPr>
        <w:t xml:space="preserve"> of Access and connectivity</w:t>
      </w:r>
      <w:r>
        <w:rPr>
          <w:szCs w:val="24"/>
        </w:rPr>
        <w:t>,</w:t>
      </w:r>
      <w:r w:rsidRPr="00143614">
        <w:rPr>
          <w:szCs w:val="24"/>
        </w:rPr>
        <w:t xml:space="preserve"> Time and Safety</w:t>
      </w:r>
      <w:r w:rsidR="00465757">
        <w:rPr>
          <w:szCs w:val="24"/>
        </w:rPr>
        <w:t>.</w:t>
      </w:r>
      <w:r>
        <w:t xml:space="preserve"> </w:t>
      </w:r>
    </w:p>
    <w:p w14:paraId="2CCB47CD" w14:textId="77777777" w:rsidR="00CF0E2D" w:rsidRDefault="00CF0E2D" w:rsidP="00A60D4B">
      <w:pPr>
        <w:pStyle w:val="Bbodytext"/>
      </w:pPr>
    </w:p>
    <w:p w14:paraId="0D8E4E1B" w14:textId="77777777" w:rsidR="00CF0E2D" w:rsidRPr="00AC4B6A" w:rsidRDefault="00CF0E2D" w:rsidP="00A60D4B">
      <w:pPr>
        <w:pStyle w:val="Heading4"/>
      </w:pPr>
      <w:r w:rsidRPr="00AC4B6A">
        <w:t xml:space="preserve">Connected and sustainable Canberra – Parkes Way/Coranderrk Street </w:t>
      </w:r>
      <w:r>
        <w:t>i</w:t>
      </w:r>
      <w:r w:rsidRPr="00AC4B6A">
        <w:t xml:space="preserve">ntersection </w:t>
      </w:r>
      <w:r>
        <w:rPr>
          <w:noProof/>
        </w:rPr>
        <w:drawing>
          <wp:anchor distT="0" distB="0" distL="114300" distR="114300" simplePos="0" relativeHeight="251923456" behindDoc="0" locked="1" layoutInCell="1" allowOverlap="1" wp14:anchorId="37C2EAC7" wp14:editId="4BB5A238">
            <wp:simplePos x="0" y="0"/>
            <wp:positionH relativeFrom="margin">
              <wp:posOffset>4344035</wp:posOffset>
            </wp:positionH>
            <wp:positionV relativeFrom="paragraph">
              <wp:posOffset>88265</wp:posOffset>
            </wp:positionV>
            <wp:extent cx="1378585" cy="507365"/>
            <wp:effectExtent l="0" t="0" r="0" b="6985"/>
            <wp:wrapSquare wrapText="bothSides"/>
            <wp:docPr id="219" name="Picture 219"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37A6B" w14:paraId="20FDC7F2" w14:textId="77777777" w:rsidTr="00A60D4B">
        <w:trPr>
          <w:cantSplit/>
          <w:jc w:val="center"/>
        </w:trPr>
        <w:tc>
          <w:tcPr>
            <w:tcW w:w="3652" w:type="dxa"/>
            <w:tcBorders>
              <w:top w:val="single" w:sz="4" w:space="0" w:color="auto"/>
              <w:bottom w:val="single" w:sz="4" w:space="0" w:color="auto"/>
            </w:tcBorders>
          </w:tcPr>
          <w:p w14:paraId="275711FD" w14:textId="77777777" w:rsidR="00CF0E2D" w:rsidRPr="00937A6B" w:rsidRDefault="00CF0E2D" w:rsidP="00A60D4B">
            <w:pPr>
              <w:spacing w:after="0" w:line="240" w:lineRule="auto"/>
              <w:jc w:val="right"/>
              <w:rPr>
                <w:rFonts w:ascii="Calibri" w:eastAsia="Times New Roman" w:hAnsi="Calibri" w:cs="Calibri"/>
                <w:color w:val="FFFFFF"/>
                <w:sz w:val="12"/>
                <w:szCs w:val="20"/>
              </w:rPr>
            </w:pPr>
            <w:r w:rsidRPr="00937A6B">
              <w:rPr>
                <w:rFonts w:ascii="Calibri" w:eastAsia="Times New Roman" w:hAnsi="Calibri" w:cs="Calibri"/>
                <w:color w:val="FFFFFF"/>
                <w:sz w:val="12"/>
                <w:szCs w:val="20"/>
              </w:rPr>
              <w:t>Empty Cell</w:t>
            </w:r>
          </w:p>
        </w:tc>
        <w:tc>
          <w:tcPr>
            <w:tcW w:w="1179" w:type="dxa"/>
            <w:tcBorders>
              <w:top w:val="single" w:sz="4" w:space="0" w:color="auto"/>
              <w:bottom w:val="single" w:sz="4" w:space="0" w:color="auto"/>
            </w:tcBorders>
          </w:tcPr>
          <w:p w14:paraId="5259E8E2"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2021-22</w:t>
            </w:r>
          </w:p>
          <w:p w14:paraId="5E47F500"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41" w:type="dxa"/>
            <w:tcBorders>
              <w:top w:val="single" w:sz="4" w:space="0" w:color="auto"/>
              <w:bottom w:val="single" w:sz="4" w:space="0" w:color="auto"/>
            </w:tcBorders>
          </w:tcPr>
          <w:p w14:paraId="098EE51C"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2022-23</w:t>
            </w:r>
          </w:p>
          <w:p w14:paraId="49F80A0F"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4BA6C5B4"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2023-24</w:t>
            </w:r>
          </w:p>
          <w:p w14:paraId="57FB6594"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6274BAC7"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2024-25</w:t>
            </w:r>
          </w:p>
          <w:p w14:paraId="332E403B"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1062EC68"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Total</w:t>
            </w:r>
          </w:p>
          <w:p w14:paraId="3E140482"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$’000</w:t>
            </w:r>
          </w:p>
        </w:tc>
      </w:tr>
      <w:tr w:rsidR="00CF0E2D" w:rsidRPr="00937A6B" w14:paraId="3EAF1928" w14:textId="77777777" w:rsidTr="00A60D4B">
        <w:trPr>
          <w:cantSplit/>
          <w:jc w:val="center"/>
        </w:trPr>
        <w:tc>
          <w:tcPr>
            <w:tcW w:w="3652" w:type="dxa"/>
            <w:tcBorders>
              <w:top w:val="single" w:sz="4" w:space="0" w:color="auto"/>
              <w:bottom w:val="single" w:sz="4" w:space="0" w:color="auto"/>
            </w:tcBorders>
          </w:tcPr>
          <w:p w14:paraId="42EC44CA"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Expenses</w:t>
            </w:r>
          </w:p>
        </w:tc>
        <w:tc>
          <w:tcPr>
            <w:tcW w:w="1179" w:type="dxa"/>
            <w:tcBorders>
              <w:top w:val="single" w:sz="4" w:space="0" w:color="auto"/>
              <w:bottom w:val="single" w:sz="4" w:space="0" w:color="auto"/>
            </w:tcBorders>
          </w:tcPr>
          <w:p w14:paraId="7D17C3DC"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4,006</w:t>
            </w:r>
          </w:p>
        </w:tc>
        <w:tc>
          <w:tcPr>
            <w:tcW w:w="1041" w:type="dxa"/>
            <w:tcBorders>
              <w:top w:val="single" w:sz="4" w:space="0" w:color="auto"/>
              <w:bottom w:val="single" w:sz="4" w:space="0" w:color="auto"/>
            </w:tcBorders>
          </w:tcPr>
          <w:p w14:paraId="13C1BDE5"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bottom w:val="single" w:sz="4" w:space="0" w:color="auto"/>
            </w:tcBorders>
          </w:tcPr>
          <w:p w14:paraId="0A9EAE1F"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bottom w:val="single" w:sz="4" w:space="0" w:color="auto"/>
            </w:tcBorders>
          </w:tcPr>
          <w:p w14:paraId="048A8A05"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bottom w:val="single" w:sz="4" w:space="0" w:color="auto"/>
            </w:tcBorders>
          </w:tcPr>
          <w:p w14:paraId="51DDA27B"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4,006</w:t>
            </w:r>
          </w:p>
        </w:tc>
      </w:tr>
    </w:tbl>
    <w:p w14:paraId="5E64F084" w14:textId="77777777" w:rsidR="00CF0E2D" w:rsidRDefault="00CF0E2D" w:rsidP="00A60D4B">
      <w:pPr>
        <w:pStyle w:val="Bbodytext"/>
        <w:rPr>
          <w:rFonts w:ascii="Calibri" w:eastAsia="Times New Roman" w:hAnsi="Calibri" w:cs="Times New Roman"/>
          <w:szCs w:val="20"/>
        </w:rPr>
      </w:pPr>
      <w:r w:rsidRPr="00937A6B">
        <w:t xml:space="preserve">The Government will </w:t>
      </w:r>
      <w:r>
        <w:rPr>
          <w:rFonts w:ascii="Calibri" w:eastAsia="Times New Roman" w:hAnsi="Calibri" w:cs="Times New Roman"/>
          <w:szCs w:val="20"/>
        </w:rPr>
        <w:t xml:space="preserve">add traffic lights to </w:t>
      </w:r>
      <w:r w:rsidRPr="00937A6B">
        <w:rPr>
          <w:rFonts w:ascii="Calibri" w:eastAsia="Times New Roman" w:hAnsi="Calibri" w:cs="Times New Roman"/>
          <w:szCs w:val="20"/>
        </w:rPr>
        <w:t>the roundabout at the intersection of Coranderrk Street and Parkes Way to help improve traffic flow</w:t>
      </w:r>
      <w:r>
        <w:rPr>
          <w:rFonts w:ascii="Calibri" w:eastAsia="Times New Roman" w:hAnsi="Calibri" w:cs="Times New Roman"/>
          <w:szCs w:val="20"/>
        </w:rPr>
        <w:t xml:space="preserve"> during construction of light rail to Woden. </w:t>
      </w:r>
      <w:r w:rsidRPr="00937A6B">
        <w:rPr>
          <w:rFonts w:ascii="Calibri" w:eastAsia="Times New Roman" w:hAnsi="Calibri" w:cs="Times New Roman"/>
          <w:szCs w:val="20"/>
        </w:rPr>
        <w:t xml:space="preserve">The signalisation </w:t>
      </w:r>
      <w:r>
        <w:rPr>
          <w:rFonts w:ascii="Calibri" w:eastAsia="Times New Roman" w:hAnsi="Calibri" w:cs="Times New Roman"/>
          <w:szCs w:val="20"/>
        </w:rPr>
        <w:t xml:space="preserve">and associated infrastructure </w:t>
      </w:r>
      <w:r w:rsidRPr="00937A6B">
        <w:rPr>
          <w:rFonts w:ascii="Calibri" w:eastAsia="Times New Roman" w:hAnsi="Calibri" w:cs="Times New Roman"/>
          <w:szCs w:val="20"/>
        </w:rPr>
        <w:t xml:space="preserve">will </w:t>
      </w:r>
      <w:r>
        <w:rPr>
          <w:rFonts w:ascii="Calibri" w:eastAsia="Times New Roman" w:hAnsi="Calibri" w:cs="Times New Roman"/>
          <w:szCs w:val="20"/>
        </w:rPr>
        <w:t xml:space="preserve">help to </w:t>
      </w:r>
      <w:r w:rsidRPr="00937A6B">
        <w:rPr>
          <w:rFonts w:ascii="Calibri" w:eastAsia="Times New Roman" w:hAnsi="Calibri" w:cs="Times New Roman"/>
          <w:szCs w:val="20"/>
        </w:rPr>
        <w:t>increas</w:t>
      </w:r>
      <w:r>
        <w:rPr>
          <w:rFonts w:ascii="Calibri" w:eastAsia="Times New Roman" w:hAnsi="Calibri" w:cs="Times New Roman"/>
          <w:szCs w:val="20"/>
        </w:rPr>
        <w:t>e</w:t>
      </w:r>
      <w:r w:rsidRPr="00937A6B">
        <w:rPr>
          <w:rFonts w:ascii="Calibri" w:eastAsia="Times New Roman" w:hAnsi="Calibri" w:cs="Times New Roman"/>
          <w:szCs w:val="20"/>
        </w:rPr>
        <w:t xml:space="preserve"> traffic </w:t>
      </w:r>
      <w:r>
        <w:rPr>
          <w:rFonts w:ascii="Calibri" w:eastAsia="Times New Roman" w:hAnsi="Calibri" w:cs="Times New Roman"/>
          <w:szCs w:val="20"/>
        </w:rPr>
        <w:t>capacity</w:t>
      </w:r>
      <w:r w:rsidRPr="00937A6B">
        <w:rPr>
          <w:rFonts w:ascii="Calibri" w:eastAsia="Times New Roman" w:hAnsi="Calibri" w:cs="Times New Roman"/>
          <w:szCs w:val="20"/>
        </w:rPr>
        <w:t xml:space="preserve"> and reduce travel times for inbound traffic to the City via the Glenloch Interchange and Parkes Way. </w:t>
      </w:r>
    </w:p>
    <w:p w14:paraId="616BE1C0" w14:textId="77777777" w:rsidR="00CF0E2D" w:rsidRDefault="00CF0E2D" w:rsidP="00A60D4B">
      <w:pPr>
        <w:pStyle w:val="Bbodytext"/>
        <w:rPr>
          <w:szCs w:val="24"/>
        </w:rPr>
      </w:pPr>
      <w:r w:rsidRPr="00255F8E">
        <w:rPr>
          <w:szCs w:val="24"/>
        </w:rPr>
        <w:t xml:space="preserve">This initiative builds on recent Government actions in this area including the </w:t>
      </w:r>
      <w:r w:rsidRPr="00255F8E">
        <w:rPr>
          <w:i/>
          <w:iCs/>
          <w:szCs w:val="24"/>
        </w:rPr>
        <w:t>Parkes Way Early Works</w:t>
      </w:r>
      <w:r w:rsidRPr="00255F8E">
        <w:rPr>
          <w:szCs w:val="24"/>
        </w:rPr>
        <w:t xml:space="preserve"> initiative, feasibility study jointly funded by the Commonwealth Government.</w:t>
      </w:r>
    </w:p>
    <w:p w14:paraId="02C06EE0" w14:textId="77777777" w:rsidR="00CF0E2D" w:rsidRDefault="00CF0E2D" w:rsidP="00A60D4B">
      <w:pPr>
        <w:pStyle w:val="Bbodytext"/>
        <w:rPr>
          <w:szCs w:val="24"/>
        </w:rPr>
      </w:pPr>
      <w:r>
        <w:rPr>
          <w:szCs w:val="24"/>
        </w:rPr>
        <w:t>This initiative</w:t>
      </w:r>
      <w:r w:rsidRPr="00255F8E">
        <w:rPr>
          <w:szCs w:val="24"/>
        </w:rPr>
        <w:t xml:space="preserve"> contributes to the wellbeing domain of Access and connectivit</w:t>
      </w:r>
      <w:r>
        <w:rPr>
          <w:szCs w:val="24"/>
        </w:rPr>
        <w:t>y.</w:t>
      </w:r>
      <w:r w:rsidRPr="00255F8E">
        <w:rPr>
          <w:szCs w:val="24"/>
        </w:rPr>
        <w:t xml:space="preserve"> </w:t>
      </w:r>
    </w:p>
    <w:p w14:paraId="2B6A3EF9" w14:textId="77777777" w:rsidR="00CF0E2D" w:rsidRPr="00255F8E" w:rsidRDefault="00CF0E2D" w:rsidP="00A60D4B">
      <w:pPr>
        <w:pStyle w:val="Bbodytext"/>
        <w:rPr>
          <w:noProof/>
          <w:szCs w:val="24"/>
        </w:rPr>
      </w:pPr>
    </w:p>
    <w:p w14:paraId="25FEA7C2" w14:textId="77777777" w:rsidR="00CF0E2D" w:rsidRDefault="00CF0E2D" w:rsidP="00A60D4B">
      <w:pPr>
        <w:pStyle w:val="Bbodytext"/>
      </w:pPr>
    </w:p>
    <w:p w14:paraId="35768B07" w14:textId="77777777" w:rsidR="00CF0E2D" w:rsidRDefault="00CF0E2D" w:rsidP="00A60D4B">
      <w:pPr>
        <w:pStyle w:val="Bbodytext"/>
      </w:pPr>
    </w:p>
    <w:p w14:paraId="1FC0654F" w14:textId="77777777" w:rsidR="00CF0E2D" w:rsidRPr="00F572B7" w:rsidRDefault="00CF0E2D" w:rsidP="00A60D4B">
      <w:pPr>
        <w:pStyle w:val="Bbodytext"/>
      </w:pPr>
    </w:p>
    <w:p w14:paraId="32FB5267" w14:textId="77777777" w:rsidR="00CF0E2D" w:rsidRPr="00937A6B" w:rsidRDefault="00CF0E2D" w:rsidP="00A60D4B">
      <w:pPr>
        <w:pStyle w:val="Heading4"/>
        <w:rPr>
          <w:rFonts w:eastAsia="Times New Roman" w:cs="Times New Roman"/>
          <w:b w:val="0"/>
          <w:bCs/>
          <w:szCs w:val="26"/>
          <w:lang w:val="x-none"/>
        </w:rPr>
      </w:pPr>
      <w:r w:rsidRPr="00DB57D8">
        <w:rPr>
          <w:rFonts w:eastAsia="Times New Roman"/>
        </w:rPr>
        <w:t xml:space="preserve">Connected and sustainable </w:t>
      </w:r>
      <w:r w:rsidRPr="00532727">
        <w:t>Canberra – Upgrades</w:t>
      </w:r>
      <w:r>
        <w:rPr>
          <w:rFonts w:eastAsia="Times New Roman" w:cs="Times New Roman"/>
          <w:bCs/>
          <w:szCs w:val="26"/>
        </w:rPr>
        <w:t xml:space="preserve"> for Pialligo </w:t>
      </w:r>
      <w:r>
        <w:rPr>
          <w:b w:val="0"/>
          <w:noProof/>
          <w:color w:val="999789"/>
          <w:sz w:val="32"/>
          <w:szCs w:val="24"/>
        </w:rPr>
        <w:drawing>
          <wp:anchor distT="0" distB="0" distL="114300" distR="114300" simplePos="0" relativeHeight="251909120" behindDoc="0" locked="1" layoutInCell="1" allowOverlap="1" wp14:anchorId="121D1497" wp14:editId="00AB9AF5">
            <wp:simplePos x="0" y="0"/>
            <wp:positionH relativeFrom="margin">
              <wp:posOffset>4683760</wp:posOffset>
            </wp:positionH>
            <wp:positionV relativeFrom="paragraph">
              <wp:posOffset>-108585</wp:posOffset>
            </wp:positionV>
            <wp:extent cx="989965" cy="503555"/>
            <wp:effectExtent l="0" t="0" r="635" b="0"/>
            <wp:wrapSquare wrapText="bothSides"/>
            <wp:docPr id="220" name="Picture 220"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tblLayout w:type="fixed"/>
        <w:tblLook w:val="0000" w:firstRow="0" w:lastRow="0" w:firstColumn="0" w:lastColumn="0" w:noHBand="0" w:noVBand="0"/>
      </w:tblPr>
      <w:tblGrid>
        <w:gridCol w:w="3652"/>
        <w:gridCol w:w="1179"/>
        <w:gridCol w:w="1041"/>
        <w:gridCol w:w="1029"/>
        <w:gridCol w:w="1029"/>
        <w:gridCol w:w="1029"/>
      </w:tblGrid>
      <w:tr w:rsidR="00CF0E2D" w:rsidRPr="007A5B7B" w14:paraId="71293020" w14:textId="77777777" w:rsidTr="00A60D4B">
        <w:trPr>
          <w:cantSplit/>
        </w:trPr>
        <w:tc>
          <w:tcPr>
            <w:tcW w:w="3652" w:type="dxa"/>
            <w:tcBorders>
              <w:top w:val="single" w:sz="4" w:space="0" w:color="auto"/>
              <w:bottom w:val="single" w:sz="4" w:space="0" w:color="auto"/>
            </w:tcBorders>
          </w:tcPr>
          <w:p w14:paraId="6E9516ED" w14:textId="77777777" w:rsidR="00CF0E2D" w:rsidRPr="007A5B7B" w:rsidRDefault="00CF0E2D" w:rsidP="00A60D4B">
            <w:pPr>
              <w:spacing w:after="0" w:line="240" w:lineRule="auto"/>
              <w:jc w:val="right"/>
              <w:rPr>
                <w:rFonts w:ascii="Calibri" w:eastAsia="Times New Roman" w:hAnsi="Calibri" w:cs="Calibri"/>
                <w:color w:val="FFFFFF"/>
                <w:sz w:val="12"/>
                <w:szCs w:val="20"/>
              </w:rPr>
            </w:pPr>
            <w:r w:rsidRPr="007A5B7B">
              <w:rPr>
                <w:rFonts w:ascii="Calibri" w:eastAsia="Times New Roman" w:hAnsi="Calibri" w:cs="Calibri"/>
                <w:color w:val="FFFFFF"/>
                <w:sz w:val="12"/>
                <w:szCs w:val="20"/>
              </w:rPr>
              <w:t>Empty Cell</w:t>
            </w:r>
          </w:p>
        </w:tc>
        <w:tc>
          <w:tcPr>
            <w:tcW w:w="1179" w:type="dxa"/>
            <w:tcBorders>
              <w:top w:val="single" w:sz="4" w:space="0" w:color="auto"/>
              <w:bottom w:val="single" w:sz="4" w:space="0" w:color="auto"/>
            </w:tcBorders>
          </w:tcPr>
          <w:p w14:paraId="689D764F" w14:textId="77777777" w:rsidR="00CF0E2D" w:rsidRPr="007A5B7B" w:rsidRDefault="00CF0E2D" w:rsidP="00A60D4B">
            <w:pPr>
              <w:spacing w:after="0" w:line="240" w:lineRule="auto"/>
              <w:jc w:val="right"/>
              <w:rPr>
                <w:rFonts w:ascii="Calibri" w:eastAsia="Times New Roman" w:hAnsi="Calibri" w:cs="Times New Roman"/>
                <w:b/>
                <w:bCs/>
                <w:sz w:val="24"/>
                <w:szCs w:val="20"/>
              </w:rPr>
            </w:pPr>
            <w:r w:rsidRPr="007A5B7B">
              <w:rPr>
                <w:rFonts w:ascii="Calibri" w:eastAsia="Times New Roman" w:hAnsi="Calibri" w:cs="Times New Roman"/>
                <w:b/>
                <w:bCs/>
                <w:sz w:val="24"/>
                <w:szCs w:val="20"/>
              </w:rPr>
              <w:t>2021-22</w:t>
            </w:r>
          </w:p>
          <w:p w14:paraId="7BD0AA69" w14:textId="77777777" w:rsidR="00CF0E2D" w:rsidRPr="007A5B7B" w:rsidRDefault="00CF0E2D" w:rsidP="00A60D4B">
            <w:pPr>
              <w:spacing w:after="0" w:line="240" w:lineRule="auto"/>
              <w:jc w:val="right"/>
              <w:rPr>
                <w:rFonts w:ascii="Calibri" w:eastAsia="Times New Roman" w:hAnsi="Calibri" w:cs="Times New Roman"/>
                <w:b/>
                <w:bCs/>
                <w:sz w:val="24"/>
                <w:szCs w:val="20"/>
              </w:rPr>
            </w:pPr>
            <w:r w:rsidRPr="007A5B7B">
              <w:rPr>
                <w:rFonts w:ascii="Calibri" w:eastAsia="Times New Roman" w:hAnsi="Calibri" w:cs="Times New Roman"/>
                <w:b/>
                <w:bCs/>
                <w:sz w:val="24"/>
                <w:szCs w:val="20"/>
              </w:rPr>
              <w:t>$’000</w:t>
            </w:r>
          </w:p>
        </w:tc>
        <w:tc>
          <w:tcPr>
            <w:tcW w:w="1041" w:type="dxa"/>
            <w:tcBorders>
              <w:top w:val="single" w:sz="4" w:space="0" w:color="auto"/>
              <w:bottom w:val="single" w:sz="4" w:space="0" w:color="auto"/>
            </w:tcBorders>
          </w:tcPr>
          <w:p w14:paraId="0F2665B3" w14:textId="77777777" w:rsidR="00CF0E2D" w:rsidRPr="007A5B7B" w:rsidRDefault="00CF0E2D" w:rsidP="00A60D4B">
            <w:pPr>
              <w:spacing w:after="0" w:line="240" w:lineRule="auto"/>
              <w:jc w:val="right"/>
              <w:rPr>
                <w:rFonts w:ascii="Calibri" w:eastAsia="Times New Roman" w:hAnsi="Calibri" w:cs="Times New Roman"/>
                <w:b/>
                <w:bCs/>
                <w:sz w:val="24"/>
                <w:szCs w:val="20"/>
              </w:rPr>
            </w:pPr>
            <w:r w:rsidRPr="007A5B7B">
              <w:rPr>
                <w:rFonts w:ascii="Calibri" w:eastAsia="Times New Roman" w:hAnsi="Calibri" w:cs="Times New Roman"/>
                <w:b/>
                <w:bCs/>
                <w:sz w:val="24"/>
                <w:szCs w:val="20"/>
              </w:rPr>
              <w:t>2022-23</w:t>
            </w:r>
          </w:p>
          <w:p w14:paraId="4F1838B4" w14:textId="77777777" w:rsidR="00CF0E2D" w:rsidRPr="007A5B7B" w:rsidRDefault="00CF0E2D" w:rsidP="00A60D4B">
            <w:pPr>
              <w:spacing w:after="0" w:line="240" w:lineRule="auto"/>
              <w:jc w:val="right"/>
              <w:rPr>
                <w:rFonts w:ascii="Calibri" w:eastAsia="Times New Roman" w:hAnsi="Calibri" w:cs="Times New Roman"/>
                <w:b/>
                <w:bCs/>
                <w:sz w:val="24"/>
                <w:szCs w:val="20"/>
              </w:rPr>
            </w:pPr>
            <w:r w:rsidRPr="007A5B7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6F441F77" w14:textId="77777777" w:rsidR="00CF0E2D" w:rsidRPr="007A5B7B" w:rsidRDefault="00CF0E2D" w:rsidP="00A60D4B">
            <w:pPr>
              <w:spacing w:after="0" w:line="240" w:lineRule="auto"/>
              <w:jc w:val="right"/>
              <w:rPr>
                <w:rFonts w:ascii="Calibri" w:eastAsia="Times New Roman" w:hAnsi="Calibri" w:cs="Times New Roman"/>
                <w:b/>
                <w:bCs/>
                <w:sz w:val="24"/>
                <w:szCs w:val="20"/>
              </w:rPr>
            </w:pPr>
            <w:r w:rsidRPr="007A5B7B">
              <w:rPr>
                <w:rFonts w:ascii="Calibri" w:eastAsia="Times New Roman" w:hAnsi="Calibri" w:cs="Times New Roman"/>
                <w:b/>
                <w:bCs/>
                <w:sz w:val="24"/>
                <w:szCs w:val="20"/>
              </w:rPr>
              <w:t>2023-24</w:t>
            </w:r>
          </w:p>
          <w:p w14:paraId="2377FC69" w14:textId="77777777" w:rsidR="00CF0E2D" w:rsidRPr="007A5B7B" w:rsidRDefault="00CF0E2D" w:rsidP="00A60D4B">
            <w:pPr>
              <w:spacing w:after="0" w:line="240" w:lineRule="auto"/>
              <w:jc w:val="right"/>
              <w:rPr>
                <w:rFonts w:ascii="Calibri" w:eastAsia="Times New Roman" w:hAnsi="Calibri" w:cs="Times New Roman"/>
                <w:b/>
                <w:bCs/>
                <w:sz w:val="24"/>
                <w:szCs w:val="20"/>
              </w:rPr>
            </w:pPr>
            <w:r w:rsidRPr="007A5B7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4D1B1C70" w14:textId="77777777" w:rsidR="00CF0E2D" w:rsidRPr="007A5B7B" w:rsidRDefault="00CF0E2D" w:rsidP="00A60D4B">
            <w:pPr>
              <w:spacing w:after="0" w:line="240" w:lineRule="auto"/>
              <w:jc w:val="right"/>
              <w:rPr>
                <w:rFonts w:ascii="Calibri" w:eastAsia="Times New Roman" w:hAnsi="Calibri" w:cs="Times New Roman"/>
                <w:b/>
                <w:bCs/>
                <w:sz w:val="24"/>
                <w:szCs w:val="20"/>
              </w:rPr>
            </w:pPr>
            <w:r w:rsidRPr="007A5B7B">
              <w:rPr>
                <w:rFonts w:ascii="Calibri" w:eastAsia="Times New Roman" w:hAnsi="Calibri" w:cs="Times New Roman"/>
                <w:b/>
                <w:bCs/>
                <w:sz w:val="24"/>
                <w:szCs w:val="20"/>
              </w:rPr>
              <w:t>2024-25</w:t>
            </w:r>
          </w:p>
          <w:p w14:paraId="241EDBCA" w14:textId="77777777" w:rsidR="00CF0E2D" w:rsidRPr="007A5B7B" w:rsidRDefault="00CF0E2D" w:rsidP="00A60D4B">
            <w:pPr>
              <w:spacing w:after="0" w:line="240" w:lineRule="auto"/>
              <w:jc w:val="right"/>
              <w:rPr>
                <w:rFonts w:ascii="Calibri" w:eastAsia="Times New Roman" w:hAnsi="Calibri" w:cs="Times New Roman"/>
                <w:b/>
                <w:bCs/>
                <w:sz w:val="24"/>
                <w:szCs w:val="20"/>
              </w:rPr>
            </w:pPr>
            <w:r w:rsidRPr="007A5B7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4EE2ABD3" w14:textId="77777777" w:rsidR="00CF0E2D" w:rsidRPr="007A5B7B" w:rsidRDefault="00CF0E2D" w:rsidP="00A60D4B">
            <w:pPr>
              <w:spacing w:after="0" w:line="240" w:lineRule="auto"/>
              <w:jc w:val="right"/>
              <w:rPr>
                <w:rFonts w:ascii="Calibri" w:eastAsia="Times New Roman" w:hAnsi="Calibri" w:cs="Times New Roman"/>
                <w:b/>
                <w:sz w:val="24"/>
                <w:szCs w:val="20"/>
              </w:rPr>
            </w:pPr>
            <w:r w:rsidRPr="007A5B7B">
              <w:rPr>
                <w:rFonts w:ascii="Calibri" w:eastAsia="Times New Roman" w:hAnsi="Calibri" w:cs="Times New Roman"/>
                <w:b/>
                <w:sz w:val="24"/>
                <w:szCs w:val="20"/>
              </w:rPr>
              <w:t>Total</w:t>
            </w:r>
          </w:p>
          <w:p w14:paraId="68E69684" w14:textId="77777777" w:rsidR="00CF0E2D" w:rsidRPr="007A5B7B" w:rsidRDefault="00CF0E2D" w:rsidP="00A60D4B">
            <w:pPr>
              <w:spacing w:after="0" w:line="240" w:lineRule="auto"/>
              <w:jc w:val="right"/>
              <w:rPr>
                <w:rFonts w:ascii="Calibri" w:eastAsia="Times New Roman" w:hAnsi="Calibri" w:cs="Times New Roman"/>
                <w:b/>
                <w:sz w:val="24"/>
                <w:szCs w:val="20"/>
              </w:rPr>
            </w:pPr>
            <w:r w:rsidRPr="007A5B7B">
              <w:rPr>
                <w:rFonts w:ascii="Calibri" w:eastAsia="Times New Roman" w:hAnsi="Calibri" w:cs="Times New Roman"/>
                <w:b/>
                <w:sz w:val="24"/>
                <w:szCs w:val="20"/>
              </w:rPr>
              <w:t>$’000</w:t>
            </w:r>
          </w:p>
        </w:tc>
      </w:tr>
      <w:tr w:rsidR="00CF0E2D" w:rsidRPr="007A5B7B" w14:paraId="26F8AF4C" w14:textId="77777777" w:rsidTr="00A60D4B">
        <w:trPr>
          <w:cantSplit/>
        </w:trPr>
        <w:tc>
          <w:tcPr>
            <w:tcW w:w="3652" w:type="dxa"/>
            <w:tcBorders>
              <w:top w:val="single" w:sz="4" w:space="0" w:color="auto"/>
            </w:tcBorders>
          </w:tcPr>
          <w:p w14:paraId="54282439" w14:textId="77777777" w:rsidR="00CF0E2D" w:rsidRPr="007A5B7B" w:rsidRDefault="00CF0E2D" w:rsidP="00A60D4B">
            <w:pPr>
              <w:spacing w:after="0" w:line="240" w:lineRule="auto"/>
              <w:ind w:left="321" w:hanging="321"/>
              <w:rPr>
                <w:rFonts w:ascii="Calibri" w:eastAsia="Times New Roman" w:hAnsi="Calibri" w:cs="Times New Roman"/>
                <w:sz w:val="24"/>
                <w:szCs w:val="20"/>
              </w:rPr>
            </w:pPr>
            <w:r w:rsidRPr="007A5B7B">
              <w:rPr>
                <w:rFonts w:ascii="Calibri" w:eastAsia="Times New Roman" w:hAnsi="Calibri" w:cs="Times New Roman"/>
                <w:sz w:val="24"/>
                <w:szCs w:val="20"/>
              </w:rPr>
              <w:t>Capital</w:t>
            </w:r>
          </w:p>
        </w:tc>
        <w:tc>
          <w:tcPr>
            <w:tcW w:w="1179" w:type="dxa"/>
            <w:tcBorders>
              <w:top w:val="single" w:sz="4" w:space="0" w:color="auto"/>
            </w:tcBorders>
          </w:tcPr>
          <w:p w14:paraId="23028E6D" w14:textId="77777777" w:rsidR="00CF0E2D" w:rsidRPr="007A5B7B" w:rsidRDefault="00CF0E2D" w:rsidP="00A60D4B">
            <w:pPr>
              <w:spacing w:after="0" w:line="240" w:lineRule="auto"/>
              <w:jc w:val="right"/>
              <w:rPr>
                <w:rFonts w:ascii="Calibri" w:eastAsia="Times New Roman" w:hAnsi="Calibri" w:cs="Times New Roman"/>
                <w:sz w:val="24"/>
                <w:szCs w:val="20"/>
              </w:rPr>
            </w:pPr>
            <w:r w:rsidRPr="007A5B7B">
              <w:rPr>
                <w:rFonts w:ascii="Calibri" w:eastAsia="Times New Roman" w:hAnsi="Calibri" w:cs="Times New Roman"/>
                <w:sz w:val="24"/>
                <w:szCs w:val="20"/>
              </w:rPr>
              <w:t>500</w:t>
            </w:r>
          </w:p>
        </w:tc>
        <w:tc>
          <w:tcPr>
            <w:tcW w:w="1041" w:type="dxa"/>
            <w:tcBorders>
              <w:top w:val="single" w:sz="4" w:space="0" w:color="auto"/>
            </w:tcBorders>
          </w:tcPr>
          <w:p w14:paraId="341EBEC5" w14:textId="77777777" w:rsidR="00CF0E2D" w:rsidRPr="007A5B7B" w:rsidRDefault="00CF0E2D" w:rsidP="00A60D4B">
            <w:pPr>
              <w:spacing w:after="0" w:line="240" w:lineRule="auto"/>
              <w:jc w:val="right"/>
              <w:rPr>
                <w:rFonts w:ascii="Calibri" w:eastAsia="Times New Roman" w:hAnsi="Calibri" w:cs="Times New Roman"/>
                <w:sz w:val="24"/>
                <w:szCs w:val="20"/>
              </w:rPr>
            </w:pPr>
            <w:r w:rsidRPr="007A5B7B">
              <w:rPr>
                <w:rFonts w:ascii="Calibri" w:eastAsia="Times New Roman" w:hAnsi="Calibri" w:cs="Times New Roman"/>
                <w:sz w:val="24"/>
                <w:szCs w:val="20"/>
              </w:rPr>
              <w:t>1,970</w:t>
            </w:r>
          </w:p>
        </w:tc>
        <w:tc>
          <w:tcPr>
            <w:tcW w:w="1029" w:type="dxa"/>
            <w:tcBorders>
              <w:top w:val="single" w:sz="4" w:space="0" w:color="auto"/>
            </w:tcBorders>
          </w:tcPr>
          <w:p w14:paraId="1A8956DF" w14:textId="77777777" w:rsidR="00CF0E2D" w:rsidRPr="007A5B7B" w:rsidRDefault="00CF0E2D" w:rsidP="00A60D4B">
            <w:pPr>
              <w:spacing w:after="0" w:line="240" w:lineRule="auto"/>
              <w:jc w:val="right"/>
              <w:rPr>
                <w:rFonts w:ascii="Calibri" w:eastAsia="Times New Roman" w:hAnsi="Calibri" w:cs="Times New Roman"/>
                <w:sz w:val="24"/>
                <w:szCs w:val="20"/>
              </w:rPr>
            </w:pPr>
            <w:r w:rsidRPr="007A5B7B">
              <w:rPr>
                <w:rFonts w:ascii="Calibri" w:eastAsia="Times New Roman" w:hAnsi="Calibri" w:cs="Times New Roman"/>
                <w:sz w:val="24"/>
                <w:szCs w:val="20"/>
              </w:rPr>
              <w:t>2,130</w:t>
            </w:r>
          </w:p>
        </w:tc>
        <w:tc>
          <w:tcPr>
            <w:tcW w:w="1029" w:type="dxa"/>
            <w:tcBorders>
              <w:top w:val="single" w:sz="4" w:space="0" w:color="auto"/>
            </w:tcBorders>
          </w:tcPr>
          <w:p w14:paraId="21D6718B" w14:textId="77777777" w:rsidR="00CF0E2D" w:rsidRPr="007A5B7B" w:rsidRDefault="00CF0E2D" w:rsidP="00A60D4B">
            <w:pPr>
              <w:spacing w:after="0" w:line="240" w:lineRule="auto"/>
              <w:jc w:val="right"/>
              <w:rPr>
                <w:rFonts w:ascii="Calibri" w:eastAsia="Times New Roman" w:hAnsi="Calibri" w:cs="Times New Roman"/>
                <w:sz w:val="24"/>
                <w:szCs w:val="20"/>
              </w:rPr>
            </w:pPr>
            <w:r w:rsidRPr="007A5B7B">
              <w:rPr>
                <w:rFonts w:ascii="Calibri" w:eastAsia="Times New Roman" w:hAnsi="Calibri" w:cs="Times New Roman"/>
                <w:sz w:val="24"/>
                <w:szCs w:val="20"/>
              </w:rPr>
              <w:t>400</w:t>
            </w:r>
          </w:p>
        </w:tc>
        <w:tc>
          <w:tcPr>
            <w:tcW w:w="1029" w:type="dxa"/>
            <w:tcBorders>
              <w:top w:val="single" w:sz="4" w:space="0" w:color="auto"/>
            </w:tcBorders>
          </w:tcPr>
          <w:p w14:paraId="3ACEB4BE" w14:textId="77777777" w:rsidR="00CF0E2D" w:rsidRPr="007A5B7B" w:rsidRDefault="00CF0E2D" w:rsidP="00A60D4B">
            <w:pPr>
              <w:spacing w:after="0" w:line="240" w:lineRule="auto"/>
              <w:jc w:val="right"/>
              <w:rPr>
                <w:rFonts w:ascii="Calibri" w:eastAsia="Times New Roman" w:hAnsi="Calibri" w:cs="Times New Roman"/>
                <w:b/>
                <w:sz w:val="24"/>
                <w:szCs w:val="20"/>
              </w:rPr>
            </w:pPr>
            <w:r w:rsidRPr="007A5B7B">
              <w:rPr>
                <w:rFonts w:ascii="Calibri" w:eastAsia="Times New Roman" w:hAnsi="Calibri" w:cs="Times New Roman"/>
                <w:b/>
                <w:bCs/>
                <w:sz w:val="24"/>
                <w:szCs w:val="20"/>
              </w:rPr>
              <w:t>5,000</w:t>
            </w:r>
          </w:p>
        </w:tc>
      </w:tr>
      <w:tr w:rsidR="00CF0E2D" w:rsidRPr="007A5B7B" w14:paraId="0316274E" w14:textId="77777777" w:rsidTr="00A60D4B">
        <w:trPr>
          <w:cantSplit/>
        </w:trPr>
        <w:tc>
          <w:tcPr>
            <w:tcW w:w="3652" w:type="dxa"/>
          </w:tcPr>
          <w:p w14:paraId="2D69BB05" w14:textId="77777777" w:rsidR="00CF0E2D" w:rsidRPr="007A5B7B" w:rsidRDefault="00CF0E2D" w:rsidP="00A60D4B">
            <w:pPr>
              <w:spacing w:after="0" w:line="240" w:lineRule="auto"/>
              <w:ind w:left="321" w:hanging="321"/>
              <w:rPr>
                <w:rFonts w:ascii="Calibri" w:eastAsia="Times New Roman" w:hAnsi="Calibri" w:cs="Times New Roman"/>
                <w:sz w:val="24"/>
                <w:szCs w:val="20"/>
              </w:rPr>
            </w:pPr>
            <w:r w:rsidRPr="007A5B7B">
              <w:rPr>
                <w:rFonts w:ascii="Calibri" w:eastAsia="Times New Roman" w:hAnsi="Calibri" w:cs="Times New Roman"/>
                <w:sz w:val="24"/>
                <w:szCs w:val="20"/>
              </w:rPr>
              <w:t>Offset – Capital – Better Infrastructure Fund</w:t>
            </w:r>
          </w:p>
        </w:tc>
        <w:tc>
          <w:tcPr>
            <w:tcW w:w="1179" w:type="dxa"/>
          </w:tcPr>
          <w:p w14:paraId="4C388270" w14:textId="77777777" w:rsidR="00CF0E2D" w:rsidRPr="007A5B7B" w:rsidRDefault="00CF0E2D" w:rsidP="00A60D4B">
            <w:pPr>
              <w:spacing w:after="0" w:line="240" w:lineRule="auto"/>
              <w:jc w:val="right"/>
              <w:rPr>
                <w:rFonts w:ascii="Calibri" w:eastAsia="Times New Roman" w:hAnsi="Calibri" w:cs="Times New Roman"/>
                <w:sz w:val="24"/>
                <w:szCs w:val="20"/>
              </w:rPr>
            </w:pPr>
            <w:r w:rsidRPr="007A5B7B">
              <w:rPr>
                <w:rFonts w:ascii="Calibri" w:eastAsia="Times New Roman" w:hAnsi="Calibri" w:cs="Times New Roman"/>
                <w:sz w:val="24"/>
                <w:szCs w:val="20"/>
              </w:rPr>
              <w:t>0</w:t>
            </w:r>
          </w:p>
        </w:tc>
        <w:tc>
          <w:tcPr>
            <w:tcW w:w="1041" w:type="dxa"/>
          </w:tcPr>
          <w:p w14:paraId="2EF0D170" w14:textId="77777777" w:rsidR="00CF0E2D" w:rsidRPr="007A5B7B" w:rsidRDefault="00CF0E2D" w:rsidP="00A60D4B">
            <w:pPr>
              <w:spacing w:after="0" w:line="240" w:lineRule="auto"/>
              <w:jc w:val="right"/>
              <w:rPr>
                <w:rFonts w:ascii="Calibri" w:eastAsia="Times New Roman" w:hAnsi="Calibri" w:cs="Times New Roman"/>
                <w:sz w:val="24"/>
                <w:szCs w:val="20"/>
              </w:rPr>
            </w:pPr>
            <w:r w:rsidRPr="007A5B7B">
              <w:rPr>
                <w:rFonts w:ascii="Calibri" w:eastAsia="Times New Roman" w:hAnsi="Calibri" w:cs="Times New Roman"/>
                <w:sz w:val="24"/>
                <w:szCs w:val="20"/>
              </w:rPr>
              <w:t>0</w:t>
            </w:r>
          </w:p>
        </w:tc>
        <w:tc>
          <w:tcPr>
            <w:tcW w:w="1029" w:type="dxa"/>
          </w:tcPr>
          <w:p w14:paraId="679F8BDA" w14:textId="77777777" w:rsidR="00CF0E2D" w:rsidRPr="007A5B7B" w:rsidRDefault="00CF0E2D" w:rsidP="00A60D4B">
            <w:pPr>
              <w:spacing w:after="0" w:line="240" w:lineRule="auto"/>
              <w:jc w:val="right"/>
              <w:rPr>
                <w:rFonts w:ascii="Calibri" w:eastAsia="Times New Roman" w:hAnsi="Calibri" w:cs="Times New Roman"/>
                <w:sz w:val="24"/>
                <w:szCs w:val="20"/>
              </w:rPr>
            </w:pPr>
            <w:r w:rsidRPr="007A5B7B">
              <w:rPr>
                <w:rFonts w:ascii="Calibri" w:eastAsia="Times New Roman" w:hAnsi="Calibri" w:cs="Times New Roman"/>
                <w:sz w:val="24"/>
                <w:szCs w:val="20"/>
              </w:rPr>
              <w:t>-1,000</w:t>
            </w:r>
          </w:p>
        </w:tc>
        <w:tc>
          <w:tcPr>
            <w:tcW w:w="1029" w:type="dxa"/>
          </w:tcPr>
          <w:p w14:paraId="6EC5260D" w14:textId="77777777" w:rsidR="00CF0E2D" w:rsidRPr="007A5B7B" w:rsidRDefault="00CF0E2D" w:rsidP="00A60D4B">
            <w:pPr>
              <w:spacing w:after="0" w:line="240" w:lineRule="auto"/>
              <w:jc w:val="right"/>
              <w:rPr>
                <w:rFonts w:ascii="Calibri" w:eastAsia="Times New Roman" w:hAnsi="Calibri" w:cs="Times New Roman"/>
                <w:sz w:val="24"/>
                <w:szCs w:val="20"/>
              </w:rPr>
            </w:pPr>
            <w:r w:rsidRPr="007A5B7B">
              <w:rPr>
                <w:rFonts w:ascii="Calibri" w:eastAsia="Times New Roman" w:hAnsi="Calibri" w:cs="Times New Roman"/>
                <w:sz w:val="24"/>
                <w:szCs w:val="20"/>
              </w:rPr>
              <w:t>0</w:t>
            </w:r>
          </w:p>
        </w:tc>
        <w:tc>
          <w:tcPr>
            <w:tcW w:w="1029" w:type="dxa"/>
          </w:tcPr>
          <w:p w14:paraId="1C51A43B" w14:textId="77777777" w:rsidR="00CF0E2D" w:rsidRPr="007A5B7B" w:rsidRDefault="00CF0E2D" w:rsidP="00A60D4B">
            <w:pPr>
              <w:spacing w:after="0" w:line="240" w:lineRule="auto"/>
              <w:jc w:val="right"/>
              <w:rPr>
                <w:rFonts w:ascii="Calibri" w:eastAsia="Times New Roman" w:hAnsi="Calibri" w:cs="Times New Roman"/>
                <w:b/>
                <w:sz w:val="24"/>
                <w:szCs w:val="20"/>
              </w:rPr>
            </w:pPr>
            <w:r w:rsidRPr="007A5B7B">
              <w:rPr>
                <w:rFonts w:ascii="Calibri" w:eastAsia="Times New Roman" w:hAnsi="Calibri" w:cs="Times New Roman"/>
                <w:b/>
                <w:sz w:val="24"/>
                <w:szCs w:val="20"/>
              </w:rPr>
              <w:t>-1,000</w:t>
            </w:r>
          </w:p>
        </w:tc>
      </w:tr>
      <w:tr w:rsidR="00CF0E2D" w:rsidRPr="007A5B7B" w14:paraId="2EC42266" w14:textId="77777777" w:rsidTr="00A60D4B">
        <w:trPr>
          <w:cantSplit/>
        </w:trPr>
        <w:tc>
          <w:tcPr>
            <w:tcW w:w="3652" w:type="dxa"/>
            <w:tcBorders>
              <w:top w:val="single" w:sz="4" w:space="0" w:color="auto"/>
              <w:bottom w:val="single" w:sz="4" w:space="0" w:color="auto"/>
            </w:tcBorders>
          </w:tcPr>
          <w:p w14:paraId="03EE93D6" w14:textId="621ED974" w:rsidR="00CF0E2D" w:rsidRPr="007A5B7B" w:rsidRDefault="00F57411" w:rsidP="00A60D4B">
            <w:pPr>
              <w:spacing w:after="0" w:line="240" w:lineRule="auto"/>
              <w:ind w:left="321" w:hanging="321"/>
              <w:rPr>
                <w:rFonts w:ascii="Calibri" w:eastAsia="Times New Roman" w:hAnsi="Calibri" w:cs="Times New Roman"/>
                <w:b/>
                <w:sz w:val="24"/>
                <w:szCs w:val="20"/>
              </w:rPr>
            </w:pPr>
            <w:r>
              <w:rPr>
                <w:rFonts w:ascii="Calibri" w:eastAsia="Times New Roman" w:hAnsi="Calibri" w:cs="Times New Roman"/>
                <w:b/>
                <w:sz w:val="24"/>
                <w:szCs w:val="20"/>
              </w:rPr>
              <w:t>Net capital</w:t>
            </w:r>
          </w:p>
        </w:tc>
        <w:tc>
          <w:tcPr>
            <w:tcW w:w="1179" w:type="dxa"/>
            <w:tcBorders>
              <w:top w:val="single" w:sz="4" w:space="0" w:color="auto"/>
              <w:bottom w:val="single" w:sz="4" w:space="0" w:color="auto"/>
            </w:tcBorders>
          </w:tcPr>
          <w:p w14:paraId="72AA2A92" w14:textId="77777777" w:rsidR="00CF0E2D" w:rsidRPr="007A5B7B" w:rsidRDefault="00CF0E2D" w:rsidP="00A60D4B">
            <w:pPr>
              <w:spacing w:after="0" w:line="240" w:lineRule="auto"/>
              <w:jc w:val="right"/>
              <w:rPr>
                <w:rFonts w:ascii="Calibri" w:eastAsia="Times New Roman" w:hAnsi="Calibri" w:cs="Times New Roman"/>
                <w:b/>
                <w:sz w:val="24"/>
                <w:szCs w:val="20"/>
              </w:rPr>
            </w:pPr>
            <w:r w:rsidRPr="007A5B7B">
              <w:rPr>
                <w:rFonts w:ascii="Calibri" w:eastAsia="Times New Roman" w:hAnsi="Calibri" w:cs="Times New Roman"/>
                <w:b/>
                <w:sz w:val="24"/>
                <w:szCs w:val="20"/>
              </w:rPr>
              <w:t>500</w:t>
            </w:r>
          </w:p>
        </w:tc>
        <w:tc>
          <w:tcPr>
            <w:tcW w:w="1041" w:type="dxa"/>
            <w:tcBorders>
              <w:top w:val="single" w:sz="4" w:space="0" w:color="auto"/>
              <w:bottom w:val="single" w:sz="4" w:space="0" w:color="auto"/>
            </w:tcBorders>
          </w:tcPr>
          <w:p w14:paraId="05300BDC" w14:textId="77777777" w:rsidR="00CF0E2D" w:rsidRPr="007A5B7B" w:rsidRDefault="00CF0E2D" w:rsidP="00A60D4B">
            <w:pPr>
              <w:spacing w:after="0" w:line="240" w:lineRule="auto"/>
              <w:jc w:val="right"/>
              <w:rPr>
                <w:rFonts w:ascii="Calibri" w:eastAsia="Times New Roman" w:hAnsi="Calibri" w:cs="Times New Roman"/>
                <w:b/>
                <w:sz w:val="24"/>
                <w:szCs w:val="20"/>
              </w:rPr>
            </w:pPr>
            <w:r w:rsidRPr="007A5B7B">
              <w:rPr>
                <w:rFonts w:ascii="Calibri" w:eastAsia="Times New Roman" w:hAnsi="Calibri" w:cs="Times New Roman"/>
                <w:b/>
                <w:bCs/>
                <w:sz w:val="24"/>
                <w:szCs w:val="20"/>
              </w:rPr>
              <w:t>1</w:t>
            </w:r>
            <w:r w:rsidRPr="007A5B7B">
              <w:rPr>
                <w:rFonts w:ascii="Calibri" w:eastAsia="Times New Roman" w:hAnsi="Calibri" w:cs="Times New Roman"/>
                <w:b/>
                <w:sz w:val="24"/>
                <w:szCs w:val="20"/>
              </w:rPr>
              <w:t>,970</w:t>
            </w:r>
          </w:p>
        </w:tc>
        <w:tc>
          <w:tcPr>
            <w:tcW w:w="1029" w:type="dxa"/>
            <w:tcBorders>
              <w:top w:val="single" w:sz="4" w:space="0" w:color="auto"/>
              <w:bottom w:val="single" w:sz="4" w:space="0" w:color="auto"/>
            </w:tcBorders>
          </w:tcPr>
          <w:p w14:paraId="1F439F9C" w14:textId="77777777" w:rsidR="00CF0E2D" w:rsidRPr="007A5B7B" w:rsidRDefault="00CF0E2D" w:rsidP="00A60D4B">
            <w:pPr>
              <w:spacing w:after="0" w:line="240" w:lineRule="auto"/>
              <w:jc w:val="right"/>
              <w:rPr>
                <w:rFonts w:ascii="Calibri" w:eastAsia="Times New Roman" w:hAnsi="Calibri" w:cs="Times New Roman"/>
                <w:b/>
                <w:sz w:val="24"/>
                <w:szCs w:val="20"/>
              </w:rPr>
            </w:pPr>
            <w:r w:rsidRPr="007A5B7B">
              <w:rPr>
                <w:rFonts w:ascii="Calibri" w:eastAsia="Times New Roman" w:hAnsi="Calibri" w:cs="Times New Roman"/>
                <w:b/>
                <w:bCs/>
                <w:sz w:val="24"/>
                <w:szCs w:val="20"/>
              </w:rPr>
              <w:t>1,</w:t>
            </w:r>
            <w:r w:rsidRPr="007A5B7B">
              <w:rPr>
                <w:rFonts w:ascii="Calibri" w:eastAsia="Times New Roman" w:hAnsi="Calibri" w:cs="Times New Roman"/>
                <w:b/>
                <w:sz w:val="24"/>
                <w:szCs w:val="20"/>
              </w:rPr>
              <w:t>130</w:t>
            </w:r>
          </w:p>
        </w:tc>
        <w:tc>
          <w:tcPr>
            <w:tcW w:w="1029" w:type="dxa"/>
            <w:tcBorders>
              <w:top w:val="single" w:sz="4" w:space="0" w:color="auto"/>
              <w:bottom w:val="single" w:sz="4" w:space="0" w:color="auto"/>
            </w:tcBorders>
          </w:tcPr>
          <w:p w14:paraId="004EEF5B" w14:textId="77777777" w:rsidR="00CF0E2D" w:rsidRPr="007A5B7B" w:rsidRDefault="00CF0E2D" w:rsidP="00A60D4B">
            <w:pPr>
              <w:spacing w:after="0" w:line="240" w:lineRule="auto"/>
              <w:jc w:val="right"/>
              <w:rPr>
                <w:rFonts w:ascii="Calibri" w:eastAsia="Times New Roman" w:hAnsi="Calibri" w:cs="Times New Roman"/>
                <w:b/>
                <w:sz w:val="24"/>
                <w:szCs w:val="20"/>
              </w:rPr>
            </w:pPr>
            <w:r w:rsidRPr="007A5B7B">
              <w:rPr>
                <w:rFonts w:ascii="Calibri" w:eastAsia="Times New Roman" w:hAnsi="Calibri" w:cs="Times New Roman"/>
                <w:b/>
                <w:sz w:val="24"/>
                <w:szCs w:val="20"/>
              </w:rPr>
              <w:t>400</w:t>
            </w:r>
          </w:p>
        </w:tc>
        <w:tc>
          <w:tcPr>
            <w:tcW w:w="1029" w:type="dxa"/>
            <w:tcBorders>
              <w:top w:val="single" w:sz="4" w:space="0" w:color="auto"/>
              <w:bottom w:val="single" w:sz="4" w:space="0" w:color="auto"/>
            </w:tcBorders>
          </w:tcPr>
          <w:p w14:paraId="6F4114B4" w14:textId="77777777" w:rsidR="00CF0E2D" w:rsidRPr="007A5B7B" w:rsidRDefault="00CF0E2D" w:rsidP="00A60D4B">
            <w:pPr>
              <w:spacing w:after="0" w:line="240" w:lineRule="auto"/>
              <w:jc w:val="right"/>
              <w:rPr>
                <w:rFonts w:ascii="Calibri" w:eastAsia="Times New Roman" w:hAnsi="Calibri" w:cs="Times New Roman"/>
                <w:b/>
                <w:sz w:val="24"/>
                <w:szCs w:val="20"/>
              </w:rPr>
            </w:pPr>
            <w:r w:rsidRPr="007A5B7B">
              <w:rPr>
                <w:rFonts w:ascii="Calibri" w:eastAsia="Times New Roman" w:hAnsi="Calibri" w:cs="Times New Roman"/>
                <w:b/>
                <w:sz w:val="24"/>
                <w:szCs w:val="20"/>
              </w:rPr>
              <w:t>4,000</w:t>
            </w:r>
          </w:p>
        </w:tc>
      </w:tr>
    </w:tbl>
    <w:p w14:paraId="35685F39" w14:textId="77777777" w:rsidR="00CF0E2D" w:rsidRDefault="00CF0E2D" w:rsidP="00A60D4B">
      <w:pPr>
        <w:pStyle w:val="Bbodytext"/>
        <w:rPr>
          <w:rFonts w:ascii="Calibri" w:eastAsia="Times New Roman" w:hAnsi="Calibri" w:cs="Times New Roman"/>
          <w:szCs w:val="20"/>
        </w:rPr>
      </w:pPr>
      <w:r w:rsidRPr="007A5B7B">
        <w:t>The Government will deliver active trav</w:t>
      </w:r>
      <w:r w:rsidRPr="007A5B7B">
        <w:rPr>
          <w:rFonts w:ascii="Calibri" w:eastAsia="Times New Roman" w:hAnsi="Calibri" w:cs="Times New Roman"/>
          <w:szCs w:val="20"/>
        </w:rPr>
        <w:t>el, road and public space improvements along</w:t>
      </w:r>
      <w:r w:rsidRPr="00964566">
        <w:rPr>
          <w:rFonts w:ascii="Calibri" w:eastAsia="Times New Roman" w:hAnsi="Calibri" w:cs="Times New Roman"/>
          <w:szCs w:val="20"/>
        </w:rPr>
        <w:t xml:space="preserve"> Beltana and Kallaroo Roads in Pialligo in response to the area’s growing status as a lifestyle and recreational precinct. These works will include new footpaths for safer pedestrian access, landscaping, more defined parking spaces, traffic calming devices and a left</w:t>
      </w:r>
      <w:r>
        <w:rPr>
          <w:rFonts w:ascii="Calibri" w:eastAsia="Times New Roman" w:hAnsi="Calibri" w:cs="Times New Roman"/>
          <w:szCs w:val="20"/>
        </w:rPr>
        <w:noBreakHyphen/>
      </w:r>
      <w:r w:rsidRPr="00964566">
        <w:rPr>
          <w:rFonts w:ascii="Calibri" w:eastAsia="Times New Roman" w:hAnsi="Calibri" w:cs="Times New Roman"/>
          <w:szCs w:val="20"/>
        </w:rPr>
        <w:t>in/left</w:t>
      </w:r>
      <w:r>
        <w:rPr>
          <w:rFonts w:ascii="Calibri" w:eastAsia="Times New Roman" w:hAnsi="Calibri" w:cs="Times New Roman"/>
          <w:szCs w:val="20"/>
        </w:rPr>
        <w:noBreakHyphen/>
      </w:r>
      <w:r w:rsidRPr="00964566">
        <w:rPr>
          <w:rFonts w:ascii="Calibri" w:eastAsia="Times New Roman" w:hAnsi="Calibri" w:cs="Times New Roman"/>
          <w:szCs w:val="20"/>
        </w:rPr>
        <w:t xml:space="preserve">out intersection from Beltana Road onto Pialligo Avenue. </w:t>
      </w:r>
    </w:p>
    <w:p w14:paraId="0019E215" w14:textId="77777777" w:rsidR="00CF0E2D" w:rsidRDefault="00CF0E2D" w:rsidP="00A60D4B">
      <w:pPr>
        <w:pStyle w:val="Bbodytext"/>
        <w:rPr>
          <w:szCs w:val="24"/>
        </w:rPr>
      </w:pPr>
      <w:r w:rsidRPr="00DC2394">
        <w:rPr>
          <w:rFonts w:ascii="Calibri" w:eastAsia="Times New Roman" w:hAnsi="Calibri" w:cs="Times New Roman"/>
          <w:szCs w:val="20"/>
        </w:rPr>
        <w:t xml:space="preserve">This project includes a contribution of 50 per cent of the project costs facilitated by a Commonwealth grant through the </w:t>
      </w:r>
      <w:r w:rsidRPr="00DC2394">
        <w:rPr>
          <w:rFonts w:ascii="Calibri" w:eastAsia="Times New Roman" w:hAnsi="Calibri" w:cs="Times New Roman"/>
          <w:i/>
          <w:iCs/>
          <w:szCs w:val="20"/>
        </w:rPr>
        <w:t>National Partnership Agreement on Land Transport Infrastructure Projects</w:t>
      </w:r>
      <w:r w:rsidRPr="00DC2394">
        <w:rPr>
          <w:rFonts w:ascii="Calibri" w:eastAsia="Times New Roman" w:hAnsi="Calibri" w:cs="Times New Roman"/>
          <w:szCs w:val="20"/>
        </w:rPr>
        <w:t>.</w:t>
      </w:r>
    </w:p>
    <w:p w14:paraId="7C02E0F8" w14:textId="77777777" w:rsidR="00CF0E2D" w:rsidRDefault="00CF0E2D" w:rsidP="00A60D4B">
      <w:pPr>
        <w:pStyle w:val="Bbodytext"/>
        <w:rPr>
          <w:rFonts w:ascii="Calibri" w:eastAsia="Times New Roman" w:hAnsi="Calibri" w:cs="Times New Roman"/>
          <w:szCs w:val="20"/>
        </w:rPr>
      </w:pPr>
      <w:r>
        <w:t>Th</w:t>
      </w:r>
      <w:r>
        <w:rPr>
          <w:rFonts w:ascii="Calibri" w:eastAsia="Times New Roman" w:hAnsi="Calibri" w:cs="Times New Roman"/>
          <w:szCs w:val="20"/>
        </w:rPr>
        <w:t>is initiative</w:t>
      </w:r>
      <w:r w:rsidRPr="00964566">
        <w:rPr>
          <w:rFonts w:ascii="Calibri" w:eastAsia="Times New Roman" w:hAnsi="Calibri" w:cs="Times New Roman"/>
          <w:szCs w:val="20"/>
        </w:rPr>
        <w:t xml:space="preserve"> contributes to the wellbeing domains of Safety </w:t>
      </w:r>
      <w:r>
        <w:rPr>
          <w:rFonts w:ascii="Calibri" w:eastAsia="Times New Roman" w:hAnsi="Calibri" w:cs="Times New Roman"/>
          <w:szCs w:val="20"/>
        </w:rPr>
        <w:t>and</w:t>
      </w:r>
      <w:r w:rsidRPr="00964566">
        <w:rPr>
          <w:rFonts w:ascii="Calibri" w:eastAsia="Times New Roman" w:hAnsi="Calibri" w:cs="Times New Roman"/>
          <w:szCs w:val="20"/>
        </w:rPr>
        <w:t xml:space="preserve"> Access and connectivity.</w:t>
      </w:r>
    </w:p>
    <w:p w14:paraId="157D83C8" w14:textId="77777777" w:rsidR="00CF0E2D" w:rsidRDefault="00CF0E2D" w:rsidP="00A60D4B">
      <w:pPr>
        <w:pStyle w:val="Bbodytext"/>
        <w:rPr>
          <w:rFonts w:ascii="Calibri" w:eastAsia="Times New Roman" w:hAnsi="Calibri" w:cs="Times New Roman"/>
          <w:szCs w:val="20"/>
        </w:rPr>
      </w:pPr>
    </w:p>
    <w:p w14:paraId="0B355053" w14:textId="77777777" w:rsidR="00CF0E2D" w:rsidRPr="00C36CB2" w:rsidRDefault="00CF0E2D" w:rsidP="00A60D4B">
      <w:pPr>
        <w:pStyle w:val="Heading4"/>
      </w:pPr>
      <w:r w:rsidRPr="00C36CB2">
        <w:t xml:space="preserve">Connected and sustainable Canberra – Upgrading roads in south-west Canberra </w:t>
      </w:r>
      <w:r>
        <w:rPr>
          <w:noProof/>
        </w:rPr>
        <w:drawing>
          <wp:anchor distT="0" distB="0" distL="114300" distR="114300" simplePos="0" relativeHeight="251924480" behindDoc="0" locked="1" layoutInCell="1" allowOverlap="1" wp14:anchorId="52646206" wp14:editId="701162C9">
            <wp:simplePos x="0" y="0"/>
            <wp:positionH relativeFrom="margin">
              <wp:posOffset>4342130</wp:posOffset>
            </wp:positionH>
            <wp:positionV relativeFrom="paragraph">
              <wp:posOffset>73025</wp:posOffset>
            </wp:positionV>
            <wp:extent cx="1378585" cy="507365"/>
            <wp:effectExtent l="0" t="0" r="0" b="6985"/>
            <wp:wrapSquare wrapText="bothSides"/>
            <wp:docPr id="221" name="Picture 221"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8959" w:type="dxa"/>
        <w:tblLayout w:type="fixed"/>
        <w:tblLook w:val="0000" w:firstRow="0" w:lastRow="0" w:firstColumn="0" w:lastColumn="0" w:noHBand="0" w:noVBand="0"/>
      </w:tblPr>
      <w:tblGrid>
        <w:gridCol w:w="3652"/>
        <w:gridCol w:w="1179"/>
        <w:gridCol w:w="1041"/>
        <w:gridCol w:w="1029"/>
        <w:gridCol w:w="1029"/>
        <w:gridCol w:w="1029"/>
      </w:tblGrid>
      <w:tr w:rsidR="00CF0E2D" w:rsidRPr="00937A6B" w14:paraId="187237F7" w14:textId="77777777" w:rsidTr="00A60D4B">
        <w:trPr>
          <w:cantSplit/>
        </w:trPr>
        <w:tc>
          <w:tcPr>
            <w:tcW w:w="3652" w:type="dxa"/>
            <w:tcBorders>
              <w:top w:val="single" w:sz="4" w:space="0" w:color="auto"/>
              <w:bottom w:val="single" w:sz="4" w:space="0" w:color="auto"/>
            </w:tcBorders>
          </w:tcPr>
          <w:p w14:paraId="17572A44" w14:textId="77777777" w:rsidR="00CF0E2D" w:rsidRPr="00937A6B" w:rsidRDefault="00CF0E2D" w:rsidP="00A60D4B">
            <w:pPr>
              <w:spacing w:after="0" w:line="240" w:lineRule="auto"/>
              <w:jc w:val="right"/>
              <w:rPr>
                <w:rFonts w:ascii="Calibri" w:eastAsia="Times New Roman" w:hAnsi="Calibri" w:cs="Calibri"/>
                <w:color w:val="FFFFFF"/>
                <w:sz w:val="12"/>
                <w:szCs w:val="20"/>
              </w:rPr>
            </w:pPr>
            <w:r w:rsidRPr="00937A6B">
              <w:rPr>
                <w:rFonts w:ascii="Calibri" w:eastAsia="Times New Roman" w:hAnsi="Calibri" w:cs="Calibri"/>
                <w:color w:val="FFFFFF"/>
                <w:sz w:val="12"/>
                <w:szCs w:val="20"/>
              </w:rPr>
              <w:t>Empty Cell</w:t>
            </w:r>
          </w:p>
        </w:tc>
        <w:tc>
          <w:tcPr>
            <w:tcW w:w="1179" w:type="dxa"/>
            <w:tcBorders>
              <w:top w:val="single" w:sz="4" w:space="0" w:color="auto"/>
              <w:bottom w:val="single" w:sz="4" w:space="0" w:color="auto"/>
            </w:tcBorders>
          </w:tcPr>
          <w:p w14:paraId="05FD2954"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2021-22</w:t>
            </w:r>
          </w:p>
          <w:p w14:paraId="5C273EF3"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41" w:type="dxa"/>
            <w:tcBorders>
              <w:top w:val="single" w:sz="4" w:space="0" w:color="auto"/>
              <w:bottom w:val="single" w:sz="4" w:space="0" w:color="auto"/>
            </w:tcBorders>
          </w:tcPr>
          <w:p w14:paraId="68A6DC66"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2022-23</w:t>
            </w:r>
          </w:p>
          <w:p w14:paraId="64621303"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218051C1"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2023-24</w:t>
            </w:r>
          </w:p>
          <w:p w14:paraId="52CD0FA9"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1FDEA93A"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2024-25</w:t>
            </w:r>
          </w:p>
          <w:p w14:paraId="3C0EDFF3"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21B24ADD"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Total</w:t>
            </w:r>
          </w:p>
          <w:p w14:paraId="4FEED51A"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$’000</w:t>
            </w:r>
          </w:p>
        </w:tc>
      </w:tr>
      <w:tr w:rsidR="00CF0E2D" w:rsidRPr="00937A6B" w14:paraId="1A09F5AB" w14:textId="77777777" w:rsidTr="00A60D4B">
        <w:trPr>
          <w:cantSplit/>
        </w:trPr>
        <w:tc>
          <w:tcPr>
            <w:tcW w:w="3652" w:type="dxa"/>
          </w:tcPr>
          <w:p w14:paraId="70D9B952"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Capital – Provision</w:t>
            </w:r>
          </w:p>
        </w:tc>
        <w:tc>
          <w:tcPr>
            <w:tcW w:w="1179" w:type="dxa"/>
          </w:tcPr>
          <w:p w14:paraId="6BA780A3"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41" w:type="dxa"/>
          </w:tcPr>
          <w:p w14:paraId="13FEE52E"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5,900</w:t>
            </w:r>
          </w:p>
        </w:tc>
        <w:tc>
          <w:tcPr>
            <w:tcW w:w="1029" w:type="dxa"/>
          </w:tcPr>
          <w:p w14:paraId="34AAC1D8"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10,000</w:t>
            </w:r>
          </w:p>
        </w:tc>
        <w:tc>
          <w:tcPr>
            <w:tcW w:w="1029" w:type="dxa"/>
          </w:tcPr>
          <w:p w14:paraId="15DB54C9"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15,000</w:t>
            </w:r>
          </w:p>
        </w:tc>
        <w:tc>
          <w:tcPr>
            <w:tcW w:w="1029" w:type="dxa"/>
          </w:tcPr>
          <w:p w14:paraId="1A506A47"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30,900</w:t>
            </w:r>
          </w:p>
        </w:tc>
      </w:tr>
      <w:tr w:rsidR="00CF0E2D" w:rsidRPr="00937A6B" w14:paraId="56832CCB" w14:textId="77777777" w:rsidTr="00A60D4B">
        <w:trPr>
          <w:cantSplit/>
        </w:trPr>
        <w:tc>
          <w:tcPr>
            <w:tcW w:w="3652" w:type="dxa"/>
          </w:tcPr>
          <w:p w14:paraId="0B226CBA"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Offset – Capital – Provision</w:t>
            </w:r>
          </w:p>
        </w:tc>
        <w:tc>
          <w:tcPr>
            <w:tcW w:w="1179" w:type="dxa"/>
          </w:tcPr>
          <w:p w14:paraId="42B1D99C"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-4,000</w:t>
            </w:r>
          </w:p>
        </w:tc>
        <w:tc>
          <w:tcPr>
            <w:tcW w:w="1041" w:type="dxa"/>
          </w:tcPr>
          <w:p w14:paraId="3BF61ECC"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-10,000</w:t>
            </w:r>
          </w:p>
        </w:tc>
        <w:tc>
          <w:tcPr>
            <w:tcW w:w="1029" w:type="dxa"/>
          </w:tcPr>
          <w:p w14:paraId="6C084BE0"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-10,000</w:t>
            </w:r>
          </w:p>
        </w:tc>
        <w:tc>
          <w:tcPr>
            <w:tcW w:w="1029" w:type="dxa"/>
          </w:tcPr>
          <w:p w14:paraId="1553D36D"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Pr>
          <w:p w14:paraId="4BE2CA99"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-24,000</w:t>
            </w:r>
          </w:p>
        </w:tc>
      </w:tr>
      <w:tr w:rsidR="00CF0E2D" w:rsidRPr="00937A6B" w14:paraId="1F70DC3C" w14:textId="77777777" w:rsidTr="00A60D4B">
        <w:trPr>
          <w:cantSplit/>
        </w:trPr>
        <w:tc>
          <w:tcPr>
            <w:tcW w:w="3652" w:type="dxa"/>
            <w:tcBorders>
              <w:top w:val="single" w:sz="4" w:space="0" w:color="auto"/>
              <w:bottom w:val="single" w:sz="4" w:space="0" w:color="auto"/>
            </w:tcBorders>
          </w:tcPr>
          <w:p w14:paraId="015A4017" w14:textId="6BB0ABA5" w:rsidR="00CF0E2D" w:rsidRPr="00937A6B" w:rsidRDefault="00F57411" w:rsidP="00A60D4B">
            <w:pPr>
              <w:spacing w:after="0" w:line="240" w:lineRule="auto"/>
              <w:ind w:left="321" w:hanging="321"/>
              <w:rPr>
                <w:rFonts w:ascii="Calibri" w:eastAsia="Times New Roman" w:hAnsi="Calibri" w:cs="Times New Roman"/>
                <w:b/>
                <w:bCs/>
                <w:sz w:val="24"/>
                <w:szCs w:val="20"/>
              </w:rPr>
            </w:pPr>
            <w:r>
              <w:rPr>
                <w:rFonts w:ascii="Calibri" w:eastAsia="Times New Roman" w:hAnsi="Calibri" w:cs="Times New Roman"/>
                <w:b/>
                <w:bCs/>
                <w:sz w:val="24"/>
                <w:szCs w:val="20"/>
              </w:rPr>
              <w:t>Net capital</w:t>
            </w:r>
            <w:r w:rsidR="00CF0E2D" w:rsidRPr="00937A6B">
              <w:rPr>
                <w:rFonts w:ascii="Calibri" w:eastAsia="Times New Roman" w:hAnsi="Calibri" w:cs="Times New Roman"/>
                <w:b/>
                <w:bCs/>
                <w:sz w:val="24"/>
                <w:szCs w:val="20"/>
              </w:rPr>
              <w:t xml:space="preserve"> </w:t>
            </w:r>
          </w:p>
        </w:tc>
        <w:tc>
          <w:tcPr>
            <w:tcW w:w="1179" w:type="dxa"/>
            <w:tcBorders>
              <w:top w:val="single" w:sz="4" w:space="0" w:color="auto"/>
              <w:bottom w:val="single" w:sz="4" w:space="0" w:color="auto"/>
            </w:tcBorders>
          </w:tcPr>
          <w:p w14:paraId="7E596BBF"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-4,000</w:t>
            </w:r>
          </w:p>
        </w:tc>
        <w:tc>
          <w:tcPr>
            <w:tcW w:w="1041" w:type="dxa"/>
            <w:tcBorders>
              <w:top w:val="single" w:sz="4" w:space="0" w:color="auto"/>
              <w:bottom w:val="single" w:sz="4" w:space="0" w:color="auto"/>
            </w:tcBorders>
          </w:tcPr>
          <w:p w14:paraId="478783D6"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-4,100</w:t>
            </w:r>
          </w:p>
        </w:tc>
        <w:tc>
          <w:tcPr>
            <w:tcW w:w="1029" w:type="dxa"/>
            <w:tcBorders>
              <w:top w:val="single" w:sz="4" w:space="0" w:color="auto"/>
              <w:bottom w:val="single" w:sz="4" w:space="0" w:color="auto"/>
            </w:tcBorders>
          </w:tcPr>
          <w:p w14:paraId="34D97B17"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w:t>
            </w:r>
          </w:p>
        </w:tc>
        <w:tc>
          <w:tcPr>
            <w:tcW w:w="1029" w:type="dxa"/>
            <w:tcBorders>
              <w:top w:val="single" w:sz="4" w:space="0" w:color="auto"/>
              <w:bottom w:val="single" w:sz="4" w:space="0" w:color="auto"/>
            </w:tcBorders>
          </w:tcPr>
          <w:p w14:paraId="1653ECBC"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15,000</w:t>
            </w:r>
          </w:p>
        </w:tc>
        <w:tc>
          <w:tcPr>
            <w:tcW w:w="1029" w:type="dxa"/>
            <w:tcBorders>
              <w:top w:val="single" w:sz="4" w:space="0" w:color="auto"/>
              <w:bottom w:val="single" w:sz="4" w:space="0" w:color="auto"/>
            </w:tcBorders>
          </w:tcPr>
          <w:p w14:paraId="2CADB7CC"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6,900</w:t>
            </w:r>
          </w:p>
        </w:tc>
      </w:tr>
      <w:tr w:rsidR="00CF0E2D" w:rsidRPr="00937A6B" w14:paraId="3C368456" w14:textId="77777777" w:rsidTr="00A60D4B">
        <w:trPr>
          <w:cantSplit/>
        </w:trPr>
        <w:tc>
          <w:tcPr>
            <w:tcW w:w="3652" w:type="dxa"/>
            <w:tcBorders>
              <w:top w:val="single" w:sz="4" w:space="0" w:color="auto"/>
              <w:bottom w:val="single" w:sz="4" w:space="0" w:color="auto"/>
            </w:tcBorders>
          </w:tcPr>
          <w:p w14:paraId="47BDBC71"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Expenses</w:t>
            </w:r>
          </w:p>
        </w:tc>
        <w:tc>
          <w:tcPr>
            <w:tcW w:w="1179" w:type="dxa"/>
            <w:tcBorders>
              <w:top w:val="single" w:sz="4" w:space="0" w:color="auto"/>
              <w:bottom w:val="single" w:sz="4" w:space="0" w:color="auto"/>
            </w:tcBorders>
          </w:tcPr>
          <w:p w14:paraId="54F3224D"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800</w:t>
            </w:r>
          </w:p>
        </w:tc>
        <w:tc>
          <w:tcPr>
            <w:tcW w:w="1041" w:type="dxa"/>
            <w:tcBorders>
              <w:top w:val="single" w:sz="4" w:space="0" w:color="auto"/>
              <w:bottom w:val="single" w:sz="4" w:space="0" w:color="auto"/>
            </w:tcBorders>
          </w:tcPr>
          <w:p w14:paraId="0E77C95B"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800</w:t>
            </w:r>
          </w:p>
        </w:tc>
        <w:tc>
          <w:tcPr>
            <w:tcW w:w="1029" w:type="dxa"/>
            <w:tcBorders>
              <w:top w:val="single" w:sz="4" w:space="0" w:color="auto"/>
              <w:bottom w:val="single" w:sz="4" w:space="0" w:color="auto"/>
            </w:tcBorders>
          </w:tcPr>
          <w:p w14:paraId="24745252"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bottom w:val="single" w:sz="4" w:space="0" w:color="auto"/>
            </w:tcBorders>
          </w:tcPr>
          <w:p w14:paraId="1D86D85A"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bottom w:val="single" w:sz="4" w:space="0" w:color="auto"/>
            </w:tcBorders>
          </w:tcPr>
          <w:p w14:paraId="5926AFE3"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1,600</w:t>
            </w:r>
          </w:p>
        </w:tc>
      </w:tr>
    </w:tbl>
    <w:p w14:paraId="127FAE2A" w14:textId="77777777" w:rsidR="00CF0E2D" w:rsidRPr="00937A6B" w:rsidRDefault="00CF0E2D" w:rsidP="00A60D4B">
      <w:pPr>
        <w:pStyle w:val="Bbodytext"/>
        <w:rPr>
          <w:rFonts w:ascii="Calibri" w:eastAsia="Times New Roman" w:hAnsi="Calibri" w:cs="Times New Roman"/>
          <w:szCs w:val="20"/>
        </w:rPr>
      </w:pPr>
      <w:r w:rsidRPr="00E03841">
        <w:t xml:space="preserve">The Government will develop a corridor plan that identifies and prioritises future infrastructure upgrades in Canberra’s south-west, to </w:t>
      </w:r>
      <w:r>
        <w:rPr>
          <w:rFonts w:ascii="Calibri" w:eastAsia="Times New Roman" w:hAnsi="Calibri" w:cs="Times New Roman"/>
          <w:szCs w:val="20"/>
        </w:rPr>
        <w:t xml:space="preserve">support the growth of the city, </w:t>
      </w:r>
      <w:r w:rsidRPr="00937A6B">
        <w:rPr>
          <w:rFonts w:ascii="Calibri" w:eastAsia="Times New Roman" w:hAnsi="Calibri" w:cs="Times New Roman"/>
          <w:szCs w:val="20"/>
        </w:rPr>
        <w:t>improve road safety</w:t>
      </w:r>
      <w:r>
        <w:rPr>
          <w:rFonts w:ascii="Calibri" w:eastAsia="Times New Roman" w:hAnsi="Calibri" w:cs="Times New Roman"/>
          <w:szCs w:val="20"/>
        </w:rPr>
        <w:t xml:space="preserve"> and strengthen opportunities for alternative forms of transport. Following the outcome of the corridor plan, specific upgrades will proceed for design and construction. </w:t>
      </w:r>
      <w:r w:rsidRPr="00937A6B">
        <w:rPr>
          <w:rFonts w:ascii="Calibri" w:eastAsia="Times New Roman" w:hAnsi="Calibri" w:cs="Times New Roman"/>
          <w:szCs w:val="20"/>
        </w:rPr>
        <w:t>A provision has been established for</w:t>
      </w:r>
      <w:r>
        <w:rPr>
          <w:rFonts w:ascii="Calibri" w:eastAsia="Times New Roman" w:hAnsi="Calibri" w:cs="Times New Roman"/>
          <w:szCs w:val="20"/>
        </w:rPr>
        <w:t xml:space="preserve"> this purpose</w:t>
      </w:r>
      <w:r w:rsidRPr="00937A6B">
        <w:rPr>
          <w:rFonts w:ascii="Calibri" w:eastAsia="Times New Roman" w:hAnsi="Calibri" w:cs="Times New Roman"/>
          <w:szCs w:val="20"/>
        </w:rPr>
        <w:t xml:space="preserve">, co-funded by the Commonwealth Government, </w:t>
      </w:r>
      <w:r>
        <w:rPr>
          <w:rFonts w:ascii="Calibri" w:eastAsia="Times New Roman" w:hAnsi="Calibri" w:cs="Times New Roman"/>
          <w:szCs w:val="20"/>
        </w:rPr>
        <w:t xml:space="preserve">for a total project value of </w:t>
      </w:r>
      <w:r w:rsidRPr="00937A6B">
        <w:rPr>
          <w:rFonts w:ascii="Calibri" w:eastAsia="Times New Roman" w:hAnsi="Calibri" w:cs="Times New Roman"/>
          <w:szCs w:val="20"/>
        </w:rPr>
        <w:t>$100 million.</w:t>
      </w:r>
    </w:p>
    <w:p w14:paraId="47492958" w14:textId="77777777" w:rsidR="00CF0E2D" w:rsidRPr="00937A6B" w:rsidRDefault="00CF0E2D" w:rsidP="00A60D4B">
      <w:pPr>
        <w:pStyle w:val="Bbodytext"/>
        <w:rPr>
          <w:rFonts w:ascii="Calibri" w:eastAsia="Times New Roman" w:hAnsi="Calibri" w:cs="Times New Roman"/>
          <w:szCs w:val="20"/>
        </w:rPr>
      </w:pPr>
      <w:r w:rsidRPr="00E03841">
        <w:t>This initiative bui</w:t>
      </w:r>
      <w:r w:rsidRPr="001955B8">
        <w:rPr>
          <w:rFonts w:ascii="Calibri" w:eastAsia="Times New Roman" w:hAnsi="Calibri" w:cs="Times New Roman"/>
          <w:szCs w:val="20"/>
        </w:rPr>
        <w:t>lds on recent Government initiatives in this area includi</w:t>
      </w:r>
      <w:r w:rsidRPr="00A90D90">
        <w:rPr>
          <w:rFonts w:ascii="Calibri" w:eastAsia="Times New Roman" w:hAnsi="Calibri" w:cs="Times New Roman"/>
          <w:szCs w:val="20"/>
        </w:rPr>
        <w:t xml:space="preserve">ng duplication of Cotter Road from Tuggeranong Parkway to Yarralumla Creek, the </w:t>
      </w:r>
      <w:r w:rsidRPr="00037E9D">
        <w:rPr>
          <w:rFonts w:ascii="Calibri" w:eastAsia="Times New Roman" w:hAnsi="Calibri" w:cs="Times New Roman"/>
          <w:szCs w:val="20"/>
        </w:rPr>
        <w:t>Molonglo East-West arterial road – Early planning</w:t>
      </w:r>
      <w:r w:rsidRPr="001955B8">
        <w:rPr>
          <w:rFonts w:ascii="Calibri" w:eastAsia="Times New Roman" w:hAnsi="Calibri" w:cs="Times New Roman"/>
          <w:szCs w:val="20"/>
        </w:rPr>
        <w:t xml:space="preserve"> initiative and the </w:t>
      </w:r>
      <w:r w:rsidRPr="00037E9D">
        <w:rPr>
          <w:rFonts w:ascii="Calibri" w:eastAsia="Times New Roman" w:hAnsi="Calibri" w:cs="Times New Roman"/>
          <w:szCs w:val="20"/>
        </w:rPr>
        <w:t xml:space="preserve">Parkes Way Early Works </w:t>
      </w:r>
      <w:r w:rsidRPr="001955B8">
        <w:rPr>
          <w:rFonts w:ascii="Calibri" w:eastAsia="Times New Roman" w:hAnsi="Calibri" w:cs="Times New Roman"/>
          <w:szCs w:val="20"/>
        </w:rPr>
        <w:t xml:space="preserve">initiative and </w:t>
      </w:r>
      <w:r w:rsidRPr="00037E9D">
        <w:rPr>
          <w:rFonts w:ascii="Calibri" w:eastAsia="Times New Roman" w:hAnsi="Calibri" w:cs="Times New Roman"/>
          <w:szCs w:val="20"/>
        </w:rPr>
        <w:t>John Gorton Drive and Molonglo River Bridge Crossing</w:t>
      </w:r>
      <w:r>
        <w:rPr>
          <w:rFonts w:ascii="Calibri" w:eastAsia="Times New Roman" w:hAnsi="Calibri" w:cs="Times New Roman"/>
          <w:i/>
          <w:iCs/>
          <w:szCs w:val="20"/>
        </w:rPr>
        <w:t xml:space="preserve"> </w:t>
      </w:r>
      <w:r>
        <w:rPr>
          <w:rFonts w:ascii="Calibri" w:eastAsia="Times New Roman" w:hAnsi="Calibri" w:cs="Times New Roman"/>
          <w:szCs w:val="20"/>
        </w:rPr>
        <w:t>project which are jointly funded by the Commonwealth Government.</w:t>
      </w:r>
    </w:p>
    <w:p w14:paraId="5CC3F5A0" w14:textId="77777777" w:rsidR="00CF0E2D" w:rsidRDefault="00CF0E2D" w:rsidP="00A60D4B">
      <w:pPr>
        <w:pStyle w:val="Bbodytext"/>
        <w:rPr>
          <w:rFonts w:ascii="Calibri" w:eastAsia="Times New Roman" w:hAnsi="Calibri" w:cs="Times New Roman"/>
          <w:szCs w:val="20"/>
        </w:rPr>
      </w:pPr>
      <w:r w:rsidRPr="00E03841">
        <w:t>This initiative</w:t>
      </w:r>
      <w:r w:rsidRPr="00937A6B">
        <w:rPr>
          <w:rFonts w:ascii="Calibri" w:eastAsia="Times New Roman" w:hAnsi="Calibri" w:cs="Times New Roman"/>
          <w:szCs w:val="20"/>
        </w:rPr>
        <w:t xml:space="preserve"> contributes to the wellbeing domains of Access and connectivity</w:t>
      </w:r>
      <w:r>
        <w:rPr>
          <w:rFonts w:ascii="Calibri" w:eastAsia="Times New Roman" w:hAnsi="Calibri" w:cs="Times New Roman"/>
          <w:szCs w:val="20"/>
        </w:rPr>
        <w:t xml:space="preserve">, Time and Safety. </w:t>
      </w:r>
    </w:p>
    <w:p w14:paraId="64B2E11A" w14:textId="77777777" w:rsidR="00CF0E2D" w:rsidRDefault="00CF0E2D" w:rsidP="00A60D4B">
      <w:pPr>
        <w:pStyle w:val="Bbodytext"/>
        <w:rPr>
          <w:rFonts w:ascii="Calibri" w:eastAsia="Times New Roman" w:hAnsi="Calibri" w:cs="Times New Roman"/>
          <w:szCs w:val="20"/>
        </w:rPr>
      </w:pPr>
    </w:p>
    <w:p w14:paraId="3D728474" w14:textId="77777777" w:rsidR="00CF0E2D" w:rsidRPr="00CF18DB" w:rsidRDefault="00CF0E2D" w:rsidP="00A60D4B">
      <w:pPr>
        <w:pStyle w:val="Heading4"/>
        <w:rPr>
          <w:rFonts w:eastAsia="Times New Roman"/>
          <w:sz w:val="24"/>
          <w:szCs w:val="24"/>
          <w:lang w:val="en-US"/>
        </w:rPr>
      </w:pPr>
    </w:p>
    <w:p w14:paraId="6D502018" w14:textId="77777777" w:rsidR="00CF0E2D" w:rsidRPr="00CB00C6" w:rsidRDefault="00CF0E2D" w:rsidP="00A60D4B">
      <w:pPr>
        <w:pStyle w:val="Heading4"/>
        <w:rPr>
          <w:rFonts w:eastAsia="Times New Roman" w:cs="Times New Roman"/>
          <w:b w:val="0"/>
          <w:bCs/>
          <w:szCs w:val="26"/>
        </w:rPr>
      </w:pPr>
      <w:r>
        <w:rPr>
          <w:rFonts w:eastAsia="Times New Roman"/>
          <w:lang w:val="en-US"/>
        </w:rPr>
        <w:t>Early design works for a new RSPCA facility</w:t>
      </w:r>
      <w:r w:rsidRPr="00937A6B">
        <w:rPr>
          <w:rFonts w:eastAsia="Times New Roman" w:cs="Times New Roman"/>
          <w:bCs/>
          <w:noProof/>
          <w:szCs w:val="26"/>
          <w:lang w:val="x-none"/>
        </w:rPr>
        <w:t xml:space="preserve"> </w:t>
      </w:r>
      <w:r>
        <w:rPr>
          <w:noProof/>
        </w:rPr>
        <w:drawing>
          <wp:anchor distT="0" distB="0" distL="114300" distR="114300" simplePos="0" relativeHeight="251925504" behindDoc="0" locked="1" layoutInCell="1" allowOverlap="1" wp14:anchorId="66079FD2" wp14:editId="4D8B1D38">
            <wp:simplePos x="0" y="0"/>
            <wp:positionH relativeFrom="margin">
              <wp:posOffset>4337685</wp:posOffset>
            </wp:positionH>
            <wp:positionV relativeFrom="paragraph">
              <wp:posOffset>-137160</wp:posOffset>
            </wp:positionV>
            <wp:extent cx="1378585" cy="507365"/>
            <wp:effectExtent l="0" t="0" r="0" b="6985"/>
            <wp:wrapSquare wrapText="bothSides"/>
            <wp:docPr id="222" name="Picture 222"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37A6B" w14:paraId="1E6CED59" w14:textId="77777777" w:rsidTr="00A60D4B">
        <w:trPr>
          <w:cantSplit/>
          <w:jc w:val="center"/>
        </w:trPr>
        <w:tc>
          <w:tcPr>
            <w:tcW w:w="3652" w:type="dxa"/>
            <w:tcBorders>
              <w:top w:val="single" w:sz="4" w:space="0" w:color="auto"/>
              <w:bottom w:val="single" w:sz="4" w:space="0" w:color="auto"/>
            </w:tcBorders>
          </w:tcPr>
          <w:p w14:paraId="35EC1D46" w14:textId="77777777" w:rsidR="00CF0E2D" w:rsidRPr="00937A6B" w:rsidRDefault="00CF0E2D" w:rsidP="00A60D4B">
            <w:pPr>
              <w:spacing w:after="0" w:line="240" w:lineRule="auto"/>
              <w:jc w:val="right"/>
              <w:rPr>
                <w:rFonts w:ascii="Calibri" w:eastAsia="Times New Roman" w:hAnsi="Calibri" w:cs="Calibri"/>
                <w:color w:val="FFFFFF"/>
                <w:sz w:val="12"/>
                <w:szCs w:val="20"/>
              </w:rPr>
            </w:pPr>
            <w:bookmarkStart w:id="59" w:name="_Hlk79928246"/>
            <w:r w:rsidRPr="00937A6B">
              <w:rPr>
                <w:rFonts w:ascii="Calibri" w:eastAsia="Times New Roman" w:hAnsi="Calibri" w:cs="Calibri"/>
                <w:color w:val="FFFFFF"/>
                <w:sz w:val="12"/>
                <w:szCs w:val="20"/>
              </w:rPr>
              <w:t>Empty Cell</w:t>
            </w:r>
          </w:p>
        </w:tc>
        <w:tc>
          <w:tcPr>
            <w:tcW w:w="1179" w:type="dxa"/>
            <w:tcBorders>
              <w:top w:val="single" w:sz="4" w:space="0" w:color="auto"/>
              <w:bottom w:val="single" w:sz="4" w:space="0" w:color="auto"/>
            </w:tcBorders>
          </w:tcPr>
          <w:p w14:paraId="3E2BD747"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2021-22</w:t>
            </w:r>
          </w:p>
          <w:p w14:paraId="32EE9842"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41" w:type="dxa"/>
            <w:tcBorders>
              <w:top w:val="single" w:sz="4" w:space="0" w:color="auto"/>
              <w:bottom w:val="single" w:sz="4" w:space="0" w:color="auto"/>
            </w:tcBorders>
          </w:tcPr>
          <w:p w14:paraId="0653F12D"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2022-23</w:t>
            </w:r>
          </w:p>
          <w:p w14:paraId="5D57EC9D"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111D35C1"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2023-24</w:t>
            </w:r>
          </w:p>
          <w:p w14:paraId="28A3E41D"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3272EC73"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2024-25</w:t>
            </w:r>
          </w:p>
          <w:p w14:paraId="7DE5CF4A"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744E5014"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Total</w:t>
            </w:r>
          </w:p>
          <w:p w14:paraId="7B62F564"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$’000</w:t>
            </w:r>
          </w:p>
        </w:tc>
      </w:tr>
      <w:tr w:rsidR="00CF0E2D" w:rsidRPr="00937A6B" w14:paraId="30451A88" w14:textId="77777777" w:rsidTr="00A60D4B">
        <w:trPr>
          <w:cantSplit/>
          <w:jc w:val="center"/>
        </w:trPr>
        <w:tc>
          <w:tcPr>
            <w:tcW w:w="3652" w:type="dxa"/>
            <w:tcBorders>
              <w:top w:val="single" w:sz="4" w:space="0" w:color="auto"/>
              <w:bottom w:val="single" w:sz="4" w:space="0" w:color="auto"/>
            </w:tcBorders>
          </w:tcPr>
          <w:p w14:paraId="53DA3816"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Expenses</w:t>
            </w:r>
          </w:p>
        </w:tc>
        <w:tc>
          <w:tcPr>
            <w:tcW w:w="1179" w:type="dxa"/>
            <w:tcBorders>
              <w:top w:val="single" w:sz="4" w:space="0" w:color="auto"/>
              <w:bottom w:val="single" w:sz="4" w:space="0" w:color="auto"/>
            </w:tcBorders>
          </w:tcPr>
          <w:p w14:paraId="75A68C24"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500</w:t>
            </w:r>
          </w:p>
        </w:tc>
        <w:tc>
          <w:tcPr>
            <w:tcW w:w="1041" w:type="dxa"/>
            <w:tcBorders>
              <w:top w:val="single" w:sz="4" w:space="0" w:color="auto"/>
              <w:bottom w:val="single" w:sz="4" w:space="0" w:color="auto"/>
            </w:tcBorders>
          </w:tcPr>
          <w:p w14:paraId="115B2D5A"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525</w:t>
            </w:r>
          </w:p>
        </w:tc>
        <w:tc>
          <w:tcPr>
            <w:tcW w:w="1029" w:type="dxa"/>
            <w:tcBorders>
              <w:top w:val="single" w:sz="4" w:space="0" w:color="auto"/>
              <w:bottom w:val="single" w:sz="4" w:space="0" w:color="auto"/>
            </w:tcBorders>
          </w:tcPr>
          <w:p w14:paraId="71E79B4D"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bottom w:val="single" w:sz="4" w:space="0" w:color="auto"/>
            </w:tcBorders>
          </w:tcPr>
          <w:p w14:paraId="5D3DCF5C"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bottom w:val="single" w:sz="4" w:space="0" w:color="auto"/>
            </w:tcBorders>
          </w:tcPr>
          <w:p w14:paraId="2748D5F7"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1,025</w:t>
            </w:r>
          </w:p>
        </w:tc>
      </w:tr>
    </w:tbl>
    <w:bookmarkEnd w:id="59"/>
    <w:p w14:paraId="661796EA" w14:textId="77777777" w:rsidR="00CF0E2D" w:rsidRPr="00937A6B" w:rsidRDefault="00CF0E2D" w:rsidP="00A60D4B">
      <w:pPr>
        <w:pStyle w:val="Bbodytext"/>
        <w:rPr>
          <w:rFonts w:ascii="Calibri" w:eastAsia="Times New Roman" w:hAnsi="Calibri" w:cs="Times New Roman"/>
          <w:i/>
          <w:iCs/>
          <w:szCs w:val="20"/>
        </w:rPr>
      </w:pPr>
      <w:r w:rsidRPr="00937A6B">
        <w:t>The Government will undertake further feasibility along with early design works, to facilitate rel</w:t>
      </w:r>
      <w:r w:rsidRPr="00937A6B">
        <w:rPr>
          <w:rFonts w:ascii="Calibri" w:eastAsia="Times New Roman" w:hAnsi="Calibri" w:cs="Times New Roman"/>
          <w:szCs w:val="20"/>
        </w:rPr>
        <w:t xml:space="preserve">ocation of the RSPCA ACT from Weston. </w:t>
      </w:r>
      <w:bookmarkStart w:id="60" w:name="_Hlk79417330"/>
      <w:r w:rsidRPr="00937A6B">
        <w:rPr>
          <w:rFonts w:ascii="Calibri" w:eastAsia="Times New Roman" w:hAnsi="Calibri" w:cs="Times New Roman"/>
          <w:szCs w:val="20"/>
        </w:rPr>
        <w:t xml:space="preserve">This initiative builds on earlier support for the RSPCA ACT to investigate opportunities to refresh and relocate these facilities. It will also support delivery of the </w:t>
      </w:r>
      <w:r w:rsidRPr="00937A6B">
        <w:rPr>
          <w:rFonts w:ascii="Calibri" w:eastAsia="Times New Roman" w:hAnsi="Calibri" w:cs="Times New Roman"/>
          <w:i/>
          <w:iCs/>
          <w:szCs w:val="20"/>
        </w:rPr>
        <w:t xml:space="preserve">ACT Animal Welfare and Management Strategy 2017-2022. </w:t>
      </w:r>
      <w:bookmarkEnd w:id="60"/>
    </w:p>
    <w:p w14:paraId="32058219" w14:textId="77777777" w:rsidR="00CF0E2D" w:rsidRDefault="00CF0E2D" w:rsidP="00A60D4B">
      <w:pPr>
        <w:pStyle w:val="Bbodytext"/>
        <w:rPr>
          <w:rFonts w:ascii="Calibri" w:eastAsia="Times New Roman" w:hAnsi="Calibri" w:cs="Times New Roman"/>
          <w:szCs w:val="20"/>
        </w:rPr>
      </w:pPr>
      <w:r w:rsidRPr="00937A6B">
        <w:t>Th</w:t>
      </w:r>
      <w:r>
        <w:rPr>
          <w:rFonts w:ascii="Calibri" w:eastAsia="Times New Roman" w:hAnsi="Calibri" w:cs="Times New Roman"/>
          <w:szCs w:val="20"/>
        </w:rPr>
        <w:t>is</w:t>
      </w:r>
      <w:r w:rsidRPr="00937A6B">
        <w:rPr>
          <w:rFonts w:ascii="Calibri" w:eastAsia="Times New Roman" w:hAnsi="Calibri" w:cs="Times New Roman"/>
          <w:szCs w:val="20"/>
        </w:rPr>
        <w:t xml:space="preserve"> initiative contributes to the wellbeing domains of Access and connectivity and Governance and institutions. </w:t>
      </w:r>
    </w:p>
    <w:p w14:paraId="185CD2EC" w14:textId="77777777" w:rsidR="00CF0E2D" w:rsidRDefault="00CF0E2D"/>
    <w:p w14:paraId="3C147968" w14:textId="77777777" w:rsidR="00CF0E2D" w:rsidRPr="00937A6B" w:rsidRDefault="00CF0E2D" w:rsidP="00A60D4B">
      <w:pPr>
        <w:pStyle w:val="Heading4"/>
        <w:rPr>
          <w:rFonts w:eastAsia="Times New Roman" w:cs="Times New Roman"/>
          <w:b w:val="0"/>
          <w:bCs/>
          <w:szCs w:val="26"/>
        </w:rPr>
      </w:pPr>
      <w:r>
        <w:rPr>
          <w:rFonts w:eastAsia="Times New Roman"/>
        </w:rPr>
        <w:t xml:space="preserve">Flexible Bus Service – </w:t>
      </w:r>
      <w:r>
        <w:rPr>
          <w:rFonts w:eastAsia="Times New Roman"/>
          <w:noProof/>
        </w:rPr>
        <w:t>continuation</w:t>
      </w:r>
      <w:r>
        <w:rPr>
          <w:rFonts w:eastAsia="Times New Roman"/>
        </w:rPr>
        <w:t xml:space="preserve"> </w:t>
      </w:r>
      <w:r>
        <w:rPr>
          <w:noProof/>
        </w:rPr>
        <w:drawing>
          <wp:anchor distT="0" distB="0" distL="114300" distR="114300" simplePos="0" relativeHeight="251926528" behindDoc="0" locked="1" layoutInCell="1" allowOverlap="1" wp14:anchorId="6CECD6B1" wp14:editId="54F52CFA">
            <wp:simplePos x="0" y="0"/>
            <wp:positionH relativeFrom="margin">
              <wp:posOffset>4351655</wp:posOffset>
            </wp:positionH>
            <wp:positionV relativeFrom="paragraph">
              <wp:posOffset>-161925</wp:posOffset>
            </wp:positionV>
            <wp:extent cx="1378585" cy="507365"/>
            <wp:effectExtent l="0" t="0" r="0" b="6985"/>
            <wp:wrapSquare wrapText="bothSides"/>
            <wp:docPr id="134" name="Picture 134"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37A6B" w14:paraId="09BCDDBA" w14:textId="77777777" w:rsidTr="00A60D4B">
        <w:trPr>
          <w:cantSplit/>
          <w:jc w:val="center"/>
        </w:trPr>
        <w:tc>
          <w:tcPr>
            <w:tcW w:w="3652" w:type="dxa"/>
            <w:tcBorders>
              <w:top w:val="single" w:sz="4" w:space="0" w:color="auto"/>
              <w:bottom w:val="single" w:sz="4" w:space="0" w:color="auto"/>
            </w:tcBorders>
          </w:tcPr>
          <w:p w14:paraId="7882642B" w14:textId="77777777" w:rsidR="00CF0E2D" w:rsidRPr="00937A6B" w:rsidRDefault="00CF0E2D" w:rsidP="00A60D4B">
            <w:pPr>
              <w:spacing w:after="0" w:line="240" w:lineRule="auto"/>
              <w:jc w:val="right"/>
              <w:rPr>
                <w:rFonts w:ascii="Calibri" w:eastAsia="Times New Roman" w:hAnsi="Calibri" w:cs="Calibri"/>
                <w:color w:val="FFFFFF"/>
                <w:sz w:val="12"/>
                <w:szCs w:val="20"/>
              </w:rPr>
            </w:pPr>
            <w:r w:rsidRPr="00937A6B">
              <w:rPr>
                <w:rFonts w:ascii="Calibri" w:eastAsia="Times New Roman" w:hAnsi="Calibri" w:cs="Calibri"/>
                <w:color w:val="FFFFFF"/>
                <w:sz w:val="12"/>
                <w:szCs w:val="20"/>
              </w:rPr>
              <w:t>Empty Cell</w:t>
            </w:r>
          </w:p>
        </w:tc>
        <w:tc>
          <w:tcPr>
            <w:tcW w:w="1179" w:type="dxa"/>
            <w:tcBorders>
              <w:top w:val="single" w:sz="4" w:space="0" w:color="auto"/>
              <w:bottom w:val="single" w:sz="4" w:space="0" w:color="auto"/>
            </w:tcBorders>
          </w:tcPr>
          <w:p w14:paraId="3D49BA36"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2021-22</w:t>
            </w:r>
          </w:p>
          <w:p w14:paraId="5079755E"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41" w:type="dxa"/>
            <w:tcBorders>
              <w:top w:val="single" w:sz="4" w:space="0" w:color="auto"/>
              <w:bottom w:val="single" w:sz="4" w:space="0" w:color="auto"/>
            </w:tcBorders>
          </w:tcPr>
          <w:p w14:paraId="5E98897D"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2022-23</w:t>
            </w:r>
          </w:p>
          <w:p w14:paraId="1CDF614B"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40A44EC4"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2023-24</w:t>
            </w:r>
          </w:p>
          <w:p w14:paraId="7A6E8AD8"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7DD171E8"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2024-25</w:t>
            </w:r>
          </w:p>
          <w:p w14:paraId="670BD1C8"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4B7BD347"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Total</w:t>
            </w:r>
          </w:p>
          <w:p w14:paraId="68651AAA"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$’000</w:t>
            </w:r>
          </w:p>
        </w:tc>
      </w:tr>
      <w:tr w:rsidR="00CF0E2D" w:rsidRPr="00937A6B" w14:paraId="2536BB9A" w14:textId="77777777" w:rsidTr="00A60D4B">
        <w:trPr>
          <w:cantSplit/>
          <w:jc w:val="center"/>
        </w:trPr>
        <w:tc>
          <w:tcPr>
            <w:tcW w:w="3652" w:type="dxa"/>
            <w:tcBorders>
              <w:top w:val="single" w:sz="4" w:space="0" w:color="auto"/>
            </w:tcBorders>
          </w:tcPr>
          <w:p w14:paraId="2D92E69D"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Expenses</w:t>
            </w:r>
          </w:p>
        </w:tc>
        <w:tc>
          <w:tcPr>
            <w:tcW w:w="1179" w:type="dxa"/>
            <w:tcBorders>
              <w:top w:val="single" w:sz="4" w:space="0" w:color="auto"/>
            </w:tcBorders>
          </w:tcPr>
          <w:p w14:paraId="77A5D7CB"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1,471</w:t>
            </w:r>
          </w:p>
        </w:tc>
        <w:tc>
          <w:tcPr>
            <w:tcW w:w="1041" w:type="dxa"/>
            <w:tcBorders>
              <w:top w:val="single" w:sz="4" w:space="0" w:color="auto"/>
            </w:tcBorders>
          </w:tcPr>
          <w:p w14:paraId="305480E1"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tcBorders>
          </w:tcPr>
          <w:p w14:paraId="34E11493"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tcBorders>
          </w:tcPr>
          <w:p w14:paraId="39DF2744"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tcBorders>
          </w:tcPr>
          <w:p w14:paraId="40F229B4"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1,47</w:t>
            </w:r>
            <w:r>
              <w:rPr>
                <w:rFonts w:ascii="Calibri" w:eastAsia="Times New Roman" w:hAnsi="Calibri" w:cs="Times New Roman"/>
                <w:b/>
                <w:sz w:val="24"/>
                <w:szCs w:val="20"/>
              </w:rPr>
              <w:t>1</w:t>
            </w:r>
          </w:p>
        </w:tc>
      </w:tr>
      <w:tr w:rsidR="00CF0E2D" w:rsidRPr="00937A6B" w14:paraId="118D0134" w14:textId="77777777" w:rsidTr="00A60D4B">
        <w:trPr>
          <w:cantSplit/>
          <w:jc w:val="center"/>
        </w:trPr>
        <w:tc>
          <w:tcPr>
            <w:tcW w:w="3652" w:type="dxa"/>
            <w:tcBorders>
              <w:bottom w:val="single" w:sz="4" w:space="0" w:color="auto"/>
            </w:tcBorders>
          </w:tcPr>
          <w:p w14:paraId="3FC7DB49"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Offset – Expenses – Provision</w:t>
            </w:r>
          </w:p>
        </w:tc>
        <w:tc>
          <w:tcPr>
            <w:tcW w:w="1179" w:type="dxa"/>
            <w:tcBorders>
              <w:bottom w:val="single" w:sz="4" w:space="0" w:color="auto"/>
            </w:tcBorders>
          </w:tcPr>
          <w:p w14:paraId="71345F46"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-791</w:t>
            </w:r>
          </w:p>
        </w:tc>
        <w:tc>
          <w:tcPr>
            <w:tcW w:w="1041" w:type="dxa"/>
            <w:tcBorders>
              <w:bottom w:val="single" w:sz="4" w:space="0" w:color="auto"/>
            </w:tcBorders>
          </w:tcPr>
          <w:p w14:paraId="013805E2"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bottom w:val="single" w:sz="4" w:space="0" w:color="auto"/>
            </w:tcBorders>
          </w:tcPr>
          <w:p w14:paraId="5D464F8B"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bottom w:val="single" w:sz="4" w:space="0" w:color="auto"/>
            </w:tcBorders>
          </w:tcPr>
          <w:p w14:paraId="6D667A49"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bottom w:val="single" w:sz="4" w:space="0" w:color="auto"/>
            </w:tcBorders>
          </w:tcPr>
          <w:p w14:paraId="0F6E3251"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-791</w:t>
            </w:r>
          </w:p>
        </w:tc>
      </w:tr>
      <w:tr w:rsidR="00CF0E2D" w:rsidRPr="00937A6B" w14:paraId="5ACDBDF1" w14:textId="77777777" w:rsidTr="00A60D4B">
        <w:trPr>
          <w:cantSplit/>
          <w:jc w:val="center"/>
        </w:trPr>
        <w:tc>
          <w:tcPr>
            <w:tcW w:w="3652" w:type="dxa"/>
            <w:tcBorders>
              <w:top w:val="single" w:sz="4" w:space="0" w:color="auto"/>
              <w:bottom w:val="single" w:sz="4" w:space="0" w:color="auto"/>
            </w:tcBorders>
          </w:tcPr>
          <w:p w14:paraId="6973EF12" w14:textId="77777777" w:rsidR="00CF0E2D" w:rsidRPr="000C5D0F" w:rsidRDefault="00CF0E2D" w:rsidP="00A60D4B">
            <w:pPr>
              <w:spacing w:after="0" w:line="240" w:lineRule="auto"/>
              <w:ind w:left="321" w:hanging="321"/>
              <w:rPr>
                <w:rFonts w:ascii="Calibri" w:eastAsia="Times New Roman" w:hAnsi="Calibri" w:cs="Times New Roman"/>
                <w:b/>
                <w:sz w:val="24"/>
                <w:szCs w:val="20"/>
              </w:rPr>
            </w:pPr>
            <w:r w:rsidRPr="000C5D0F">
              <w:rPr>
                <w:rFonts w:ascii="Calibri" w:eastAsia="Times New Roman" w:hAnsi="Calibri" w:cs="Times New Roman"/>
                <w:b/>
                <w:bCs/>
                <w:sz w:val="24"/>
                <w:szCs w:val="20"/>
              </w:rPr>
              <w:t>Net cost of services</w:t>
            </w:r>
          </w:p>
        </w:tc>
        <w:tc>
          <w:tcPr>
            <w:tcW w:w="1179" w:type="dxa"/>
            <w:tcBorders>
              <w:top w:val="single" w:sz="4" w:space="0" w:color="auto"/>
              <w:bottom w:val="single" w:sz="4" w:space="0" w:color="auto"/>
            </w:tcBorders>
          </w:tcPr>
          <w:p w14:paraId="1FA774CF" w14:textId="77777777" w:rsidR="00CF0E2D" w:rsidRPr="000C5D0F" w:rsidRDefault="00CF0E2D" w:rsidP="00A60D4B">
            <w:pPr>
              <w:spacing w:after="0" w:line="240" w:lineRule="auto"/>
              <w:jc w:val="right"/>
              <w:rPr>
                <w:rFonts w:ascii="Calibri" w:eastAsia="Times New Roman" w:hAnsi="Calibri" w:cs="Times New Roman"/>
                <w:b/>
                <w:sz w:val="24"/>
                <w:szCs w:val="20"/>
              </w:rPr>
            </w:pPr>
            <w:r w:rsidRPr="000C5D0F">
              <w:rPr>
                <w:rFonts w:ascii="Calibri" w:eastAsia="Times New Roman" w:hAnsi="Calibri" w:cs="Times New Roman"/>
                <w:b/>
                <w:sz w:val="24"/>
                <w:szCs w:val="20"/>
              </w:rPr>
              <w:t>680</w:t>
            </w:r>
          </w:p>
        </w:tc>
        <w:tc>
          <w:tcPr>
            <w:tcW w:w="1041" w:type="dxa"/>
            <w:tcBorders>
              <w:top w:val="single" w:sz="4" w:space="0" w:color="auto"/>
              <w:bottom w:val="single" w:sz="4" w:space="0" w:color="auto"/>
            </w:tcBorders>
          </w:tcPr>
          <w:p w14:paraId="7638F8EC" w14:textId="77777777" w:rsidR="00CF0E2D" w:rsidRPr="000C5D0F" w:rsidRDefault="00CF0E2D" w:rsidP="00A60D4B">
            <w:pPr>
              <w:spacing w:after="0" w:line="240" w:lineRule="auto"/>
              <w:jc w:val="right"/>
              <w:rPr>
                <w:rFonts w:ascii="Calibri" w:eastAsia="Times New Roman" w:hAnsi="Calibri" w:cs="Times New Roman"/>
                <w:b/>
                <w:sz w:val="24"/>
                <w:szCs w:val="20"/>
              </w:rPr>
            </w:pPr>
            <w:r w:rsidRPr="000C5D0F">
              <w:rPr>
                <w:rFonts w:ascii="Calibri" w:eastAsia="Times New Roman" w:hAnsi="Calibri" w:cs="Times New Roman"/>
                <w:b/>
                <w:sz w:val="24"/>
                <w:szCs w:val="20"/>
              </w:rPr>
              <w:t>0</w:t>
            </w:r>
          </w:p>
        </w:tc>
        <w:tc>
          <w:tcPr>
            <w:tcW w:w="1029" w:type="dxa"/>
            <w:tcBorders>
              <w:top w:val="single" w:sz="4" w:space="0" w:color="auto"/>
              <w:bottom w:val="single" w:sz="4" w:space="0" w:color="auto"/>
            </w:tcBorders>
          </w:tcPr>
          <w:p w14:paraId="02B259C5" w14:textId="77777777" w:rsidR="00CF0E2D" w:rsidRPr="000C5D0F" w:rsidRDefault="00CF0E2D" w:rsidP="00A60D4B">
            <w:pPr>
              <w:spacing w:after="0" w:line="240" w:lineRule="auto"/>
              <w:jc w:val="right"/>
              <w:rPr>
                <w:rFonts w:ascii="Calibri" w:eastAsia="Times New Roman" w:hAnsi="Calibri" w:cs="Times New Roman"/>
                <w:b/>
                <w:sz w:val="24"/>
                <w:szCs w:val="20"/>
              </w:rPr>
            </w:pPr>
            <w:r w:rsidRPr="000C5D0F">
              <w:rPr>
                <w:rFonts w:ascii="Calibri" w:eastAsia="Times New Roman" w:hAnsi="Calibri" w:cs="Times New Roman"/>
                <w:b/>
                <w:sz w:val="24"/>
                <w:szCs w:val="20"/>
              </w:rPr>
              <w:t>0</w:t>
            </w:r>
          </w:p>
        </w:tc>
        <w:tc>
          <w:tcPr>
            <w:tcW w:w="1029" w:type="dxa"/>
            <w:tcBorders>
              <w:top w:val="single" w:sz="4" w:space="0" w:color="auto"/>
              <w:bottom w:val="single" w:sz="4" w:space="0" w:color="auto"/>
            </w:tcBorders>
          </w:tcPr>
          <w:p w14:paraId="0F2A7A90" w14:textId="77777777" w:rsidR="00CF0E2D" w:rsidRPr="000C5D0F" w:rsidRDefault="00CF0E2D" w:rsidP="00A60D4B">
            <w:pPr>
              <w:spacing w:after="0" w:line="240" w:lineRule="auto"/>
              <w:jc w:val="right"/>
              <w:rPr>
                <w:rFonts w:ascii="Calibri" w:eastAsia="Times New Roman" w:hAnsi="Calibri" w:cs="Times New Roman"/>
                <w:b/>
                <w:sz w:val="24"/>
                <w:szCs w:val="20"/>
              </w:rPr>
            </w:pPr>
            <w:r w:rsidRPr="000C5D0F">
              <w:rPr>
                <w:rFonts w:ascii="Calibri" w:eastAsia="Times New Roman" w:hAnsi="Calibri" w:cs="Times New Roman"/>
                <w:b/>
                <w:sz w:val="24"/>
                <w:szCs w:val="20"/>
              </w:rPr>
              <w:t>0</w:t>
            </w:r>
          </w:p>
        </w:tc>
        <w:tc>
          <w:tcPr>
            <w:tcW w:w="1029" w:type="dxa"/>
            <w:tcBorders>
              <w:top w:val="single" w:sz="4" w:space="0" w:color="auto"/>
              <w:bottom w:val="single" w:sz="4" w:space="0" w:color="auto"/>
            </w:tcBorders>
          </w:tcPr>
          <w:p w14:paraId="6BACAF4B"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680</w:t>
            </w:r>
          </w:p>
        </w:tc>
      </w:tr>
    </w:tbl>
    <w:p w14:paraId="21FC9D65" w14:textId="77777777" w:rsidR="00CF0E2D" w:rsidRPr="00937A6B" w:rsidRDefault="00CF0E2D" w:rsidP="00A60D4B">
      <w:pPr>
        <w:pStyle w:val="Bbodytext"/>
        <w:rPr>
          <w:rFonts w:ascii="Calibri" w:eastAsia="Times New Roman" w:hAnsi="Calibri" w:cs="Times New Roman"/>
          <w:szCs w:val="20"/>
        </w:rPr>
      </w:pPr>
      <w:r w:rsidRPr="00937A6B">
        <w:t>The Government will continue the current weekday Flexible Bus Service for eligible people for a further 12 months while</w:t>
      </w:r>
      <w:r w:rsidRPr="00937A6B">
        <w:rPr>
          <w:rFonts w:ascii="Calibri" w:eastAsia="Times New Roman" w:hAnsi="Calibri" w:cs="Times New Roman"/>
          <w:szCs w:val="20"/>
        </w:rPr>
        <w:t xml:space="preserve"> </w:t>
      </w:r>
      <w:r>
        <w:rPr>
          <w:rFonts w:ascii="Calibri" w:eastAsia="Times New Roman" w:hAnsi="Calibri" w:cs="Times New Roman"/>
          <w:szCs w:val="20"/>
        </w:rPr>
        <w:t xml:space="preserve">a </w:t>
      </w:r>
      <w:r w:rsidRPr="00937A6B">
        <w:rPr>
          <w:rFonts w:ascii="Calibri" w:eastAsia="Times New Roman" w:hAnsi="Calibri" w:cs="Times New Roman"/>
          <w:szCs w:val="20"/>
        </w:rPr>
        <w:t xml:space="preserve">study into </w:t>
      </w:r>
      <w:r>
        <w:rPr>
          <w:rFonts w:ascii="Calibri" w:eastAsia="Times New Roman" w:hAnsi="Calibri" w:cs="Times New Roman"/>
          <w:szCs w:val="20"/>
        </w:rPr>
        <w:t xml:space="preserve">how an on-demand transport service model </w:t>
      </w:r>
      <w:r w:rsidRPr="00937A6B">
        <w:rPr>
          <w:rFonts w:ascii="Calibri" w:eastAsia="Times New Roman" w:hAnsi="Calibri" w:cs="Times New Roman"/>
          <w:szCs w:val="20"/>
        </w:rPr>
        <w:t>can best meet community needs</w:t>
      </w:r>
      <w:r w:rsidRPr="002C2FE7">
        <w:rPr>
          <w:rFonts w:ascii="Calibri" w:eastAsia="Times New Roman" w:hAnsi="Calibri" w:cs="Times New Roman"/>
          <w:szCs w:val="20"/>
        </w:rPr>
        <w:t xml:space="preserve"> </w:t>
      </w:r>
      <w:r>
        <w:rPr>
          <w:rFonts w:ascii="Calibri" w:eastAsia="Times New Roman" w:hAnsi="Calibri" w:cs="Times New Roman"/>
          <w:szCs w:val="20"/>
        </w:rPr>
        <w:t>is undertaken.</w:t>
      </w:r>
    </w:p>
    <w:p w14:paraId="732EF32C" w14:textId="77777777" w:rsidR="00CF0E2D" w:rsidRDefault="00CF0E2D" w:rsidP="00A60D4B">
      <w:pPr>
        <w:pStyle w:val="Bbodytext"/>
        <w:rPr>
          <w:rFonts w:ascii="Calibri" w:eastAsia="Times New Roman" w:hAnsi="Calibri" w:cs="Times New Roman"/>
          <w:szCs w:val="20"/>
        </w:rPr>
      </w:pPr>
      <w:r w:rsidRPr="00937A6B">
        <w:t>This initiative contributes to the</w:t>
      </w:r>
      <w:r w:rsidRPr="00937A6B">
        <w:rPr>
          <w:rFonts w:ascii="Calibri" w:eastAsia="Times New Roman" w:hAnsi="Calibri" w:cs="Times New Roman"/>
          <w:szCs w:val="20"/>
        </w:rPr>
        <w:t xml:space="preserve"> wellbeing domains of Access and connectivity and Social </w:t>
      </w:r>
      <w:r>
        <w:rPr>
          <w:rFonts w:ascii="Calibri" w:eastAsia="Times New Roman" w:hAnsi="Calibri" w:cs="Times New Roman"/>
          <w:szCs w:val="20"/>
        </w:rPr>
        <w:t>connection.</w:t>
      </w:r>
    </w:p>
    <w:p w14:paraId="6B33C3C3" w14:textId="77777777" w:rsidR="00CF0E2D" w:rsidRDefault="00CF0E2D" w:rsidP="00A60D4B">
      <w:pPr>
        <w:pStyle w:val="Bbodytext"/>
        <w:rPr>
          <w:rFonts w:ascii="Calibri" w:eastAsia="Times New Roman" w:hAnsi="Calibri" w:cs="Times New Roman"/>
          <w:szCs w:val="20"/>
        </w:rPr>
      </w:pPr>
    </w:p>
    <w:p w14:paraId="3BE9F585" w14:textId="77777777" w:rsidR="00CF0E2D" w:rsidRPr="001B48AE" w:rsidRDefault="00CF0E2D" w:rsidP="00A60D4B">
      <w:pPr>
        <w:pStyle w:val="Heading4"/>
      </w:pPr>
      <w:r w:rsidRPr="001B48AE">
        <w:t xml:space="preserve">Food organics and garden organics – </w:t>
      </w:r>
      <w:r>
        <w:t>h</w:t>
      </w:r>
      <w:r w:rsidRPr="001B48AE">
        <w:t xml:space="preserve">ousehold waste trial  </w:t>
      </w:r>
      <w:r>
        <w:rPr>
          <w:rFonts w:eastAsia="Times New Roman"/>
          <w:noProof/>
        </w:rPr>
        <w:drawing>
          <wp:anchor distT="0" distB="0" distL="114300" distR="114300" simplePos="0" relativeHeight="251845632" behindDoc="0" locked="1" layoutInCell="1" allowOverlap="1" wp14:anchorId="5CCB4338" wp14:editId="7CDE915C">
            <wp:simplePos x="0" y="0"/>
            <wp:positionH relativeFrom="margin">
              <wp:align>right</wp:align>
            </wp:positionH>
            <wp:positionV relativeFrom="paragraph">
              <wp:posOffset>70485</wp:posOffset>
            </wp:positionV>
            <wp:extent cx="1393190" cy="503555"/>
            <wp:effectExtent l="0" t="0" r="0" b="0"/>
            <wp:wrapSquare wrapText="bothSides"/>
            <wp:docPr id="223" name="Picture 223" descr="Icon representing the wellbeing domain of Environment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nvironment and clima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319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37A6B" w14:paraId="7E0BFEDA" w14:textId="77777777" w:rsidTr="00A60D4B">
        <w:trPr>
          <w:cantSplit/>
          <w:jc w:val="center"/>
        </w:trPr>
        <w:tc>
          <w:tcPr>
            <w:tcW w:w="3652" w:type="dxa"/>
            <w:tcBorders>
              <w:top w:val="single" w:sz="4" w:space="0" w:color="auto"/>
              <w:bottom w:val="single" w:sz="4" w:space="0" w:color="auto"/>
            </w:tcBorders>
          </w:tcPr>
          <w:p w14:paraId="197CB587" w14:textId="77777777" w:rsidR="00CF0E2D" w:rsidRPr="00937A6B" w:rsidRDefault="00CF0E2D" w:rsidP="00A60D4B">
            <w:pPr>
              <w:spacing w:after="0" w:line="240" w:lineRule="auto"/>
              <w:ind w:left="720" w:hanging="720"/>
              <w:jc w:val="right"/>
              <w:rPr>
                <w:rFonts w:ascii="Calibri" w:eastAsia="Times New Roman" w:hAnsi="Calibri" w:cs="Calibri"/>
                <w:color w:val="FFFFFF"/>
                <w:sz w:val="12"/>
                <w:szCs w:val="20"/>
              </w:rPr>
            </w:pPr>
            <w:r w:rsidRPr="00937A6B">
              <w:rPr>
                <w:rFonts w:ascii="Calibri" w:eastAsia="Times New Roman" w:hAnsi="Calibri" w:cs="Calibri"/>
                <w:color w:val="FFFFFF"/>
                <w:sz w:val="12"/>
                <w:szCs w:val="20"/>
              </w:rPr>
              <w:t>Empty Cell</w:t>
            </w:r>
          </w:p>
        </w:tc>
        <w:tc>
          <w:tcPr>
            <w:tcW w:w="1179" w:type="dxa"/>
            <w:tcBorders>
              <w:top w:val="single" w:sz="4" w:space="0" w:color="auto"/>
              <w:bottom w:val="single" w:sz="4" w:space="0" w:color="auto"/>
            </w:tcBorders>
          </w:tcPr>
          <w:p w14:paraId="604CB716" w14:textId="77777777" w:rsidR="00CF0E2D" w:rsidRPr="00937A6B" w:rsidRDefault="00CF0E2D" w:rsidP="00A60D4B">
            <w:pPr>
              <w:spacing w:after="0" w:line="240" w:lineRule="auto"/>
              <w:ind w:left="720" w:hanging="72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2021-22</w:t>
            </w:r>
          </w:p>
          <w:p w14:paraId="7A18A5EC" w14:textId="77777777" w:rsidR="00CF0E2D" w:rsidRPr="00937A6B" w:rsidRDefault="00CF0E2D" w:rsidP="00A60D4B">
            <w:pPr>
              <w:spacing w:after="0" w:line="240" w:lineRule="auto"/>
              <w:ind w:left="720" w:hanging="72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41" w:type="dxa"/>
            <w:tcBorders>
              <w:top w:val="single" w:sz="4" w:space="0" w:color="auto"/>
              <w:bottom w:val="single" w:sz="4" w:space="0" w:color="auto"/>
            </w:tcBorders>
          </w:tcPr>
          <w:p w14:paraId="1EA25442" w14:textId="77777777" w:rsidR="00CF0E2D" w:rsidRPr="00937A6B" w:rsidRDefault="00CF0E2D" w:rsidP="00A60D4B">
            <w:pPr>
              <w:spacing w:after="0" w:line="240" w:lineRule="auto"/>
              <w:ind w:left="720" w:hanging="72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2022-23</w:t>
            </w:r>
          </w:p>
          <w:p w14:paraId="548735D3" w14:textId="77777777" w:rsidR="00CF0E2D" w:rsidRPr="00937A6B" w:rsidRDefault="00CF0E2D" w:rsidP="00A60D4B">
            <w:pPr>
              <w:spacing w:after="0" w:line="240" w:lineRule="auto"/>
              <w:ind w:left="720" w:hanging="72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6228D54A" w14:textId="77777777" w:rsidR="00CF0E2D" w:rsidRPr="00937A6B" w:rsidRDefault="00CF0E2D" w:rsidP="00A60D4B">
            <w:pPr>
              <w:spacing w:after="0" w:line="240" w:lineRule="auto"/>
              <w:ind w:left="720" w:hanging="72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2023-24</w:t>
            </w:r>
          </w:p>
          <w:p w14:paraId="538B5877" w14:textId="77777777" w:rsidR="00CF0E2D" w:rsidRPr="00937A6B" w:rsidRDefault="00CF0E2D" w:rsidP="00A60D4B">
            <w:pPr>
              <w:spacing w:after="0" w:line="240" w:lineRule="auto"/>
              <w:ind w:left="720" w:hanging="72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23CDAC3E" w14:textId="77777777" w:rsidR="00CF0E2D" w:rsidRPr="00937A6B" w:rsidRDefault="00CF0E2D" w:rsidP="00A60D4B">
            <w:pPr>
              <w:spacing w:after="0" w:line="240" w:lineRule="auto"/>
              <w:ind w:left="720" w:hanging="72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2024-25</w:t>
            </w:r>
          </w:p>
          <w:p w14:paraId="2455864A" w14:textId="77777777" w:rsidR="00CF0E2D" w:rsidRPr="00937A6B" w:rsidRDefault="00CF0E2D" w:rsidP="00A60D4B">
            <w:pPr>
              <w:spacing w:after="0" w:line="240" w:lineRule="auto"/>
              <w:ind w:left="720" w:hanging="72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000D8E77" w14:textId="77777777" w:rsidR="00CF0E2D" w:rsidRPr="00937A6B" w:rsidRDefault="00CF0E2D" w:rsidP="00A60D4B">
            <w:pPr>
              <w:spacing w:after="0" w:line="240" w:lineRule="auto"/>
              <w:ind w:left="720" w:hanging="720"/>
              <w:jc w:val="right"/>
              <w:rPr>
                <w:rFonts w:ascii="Calibri" w:eastAsia="Times New Roman" w:hAnsi="Calibri" w:cs="Times New Roman"/>
                <w:b/>
                <w:sz w:val="24"/>
                <w:szCs w:val="20"/>
              </w:rPr>
            </w:pPr>
            <w:r w:rsidRPr="00937A6B">
              <w:rPr>
                <w:rFonts w:ascii="Calibri" w:eastAsia="Times New Roman" w:hAnsi="Calibri" w:cs="Times New Roman"/>
                <w:b/>
                <w:sz w:val="24"/>
                <w:szCs w:val="20"/>
              </w:rPr>
              <w:t>Total</w:t>
            </w:r>
          </w:p>
          <w:p w14:paraId="231F2CF2" w14:textId="77777777" w:rsidR="00CF0E2D" w:rsidRPr="00937A6B" w:rsidRDefault="00CF0E2D" w:rsidP="00A60D4B">
            <w:pPr>
              <w:spacing w:after="0" w:line="240" w:lineRule="auto"/>
              <w:ind w:left="720" w:hanging="720"/>
              <w:jc w:val="right"/>
              <w:rPr>
                <w:rFonts w:ascii="Calibri" w:eastAsia="Times New Roman" w:hAnsi="Calibri" w:cs="Times New Roman"/>
                <w:b/>
                <w:sz w:val="24"/>
                <w:szCs w:val="20"/>
              </w:rPr>
            </w:pPr>
            <w:r w:rsidRPr="00937A6B">
              <w:rPr>
                <w:rFonts w:ascii="Calibri" w:eastAsia="Times New Roman" w:hAnsi="Calibri" w:cs="Times New Roman"/>
                <w:b/>
                <w:sz w:val="24"/>
                <w:szCs w:val="20"/>
              </w:rPr>
              <w:t>$’000</w:t>
            </w:r>
          </w:p>
        </w:tc>
      </w:tr>
      <w:tr w:rsidR="00CF0E2D" w:rsidRPr="00937A6B" w14:paraId="3C8C38DD" w14:textId="77777777" w:rsidTr="00A60D4B">
        <w:trPr>
          <w:cantSplit/>
          <w:jc w:val="center"/>
        </w:trPr>
        <w:tc>
          <w:tcPr>
            <w:tcW w:w="3652" w:type="dxa"/>
            <w:tcBorders>
              <w:top w:val="single" w:sz="4" w:space="0" w:color="auto"/>
            </w:tcBorders>
          </w:tcPr>
          <w:p w14:paraId="2D3CEEDA" w14:textId="77777777" w:rsidR="00CF0E2D" w:rsidRPr="00937A6B" w:rsidRDefault="00CF0E2D" w:rsidP="00A60D4B">
            <w:pPr>
              <w:spacing w:after="0" w:line="240" w:lineRule="auto"/>
              <w:ind w:left="720" w:hanging="720"/>
              <w:rPr>
                <w:rFonts w:ascii="Calibri" w:eastAsia="Times New Roman" w:hAnsi="Calibri" w:cs="Times New Roman"/>
                <w:sz w:val="24"/>
                <w:szCs w:val="20"/>
              </w:rPr>
            </w:pPr>
            <w:r w:rsidRPr="00937A6B">
              <w:rPr>
                <w:rFonts w:ascii="Calibri" w:eastAsia="Times New Roman" w:hAnsi="Calibri" w:cs="Times New Roman"/>
                <w:sz w:val="24"/>
                <w:szCs w:val="20"/>
              </w:rPr>
              <w:t>Capital</w:t>
            </w:r>
          </w:p>
        </w:tc>
        <w:tc>
          <w:tcPr>
            <w:tcW w:w="1179" w:type="dxa"/>
            <w:tcBorders>
              <w:top w:val="single" w:sz="4" w:space="0" w:color="auto"/>
            </w:tcBorders>
          </w:tcPr>
          <w:p w14:paraId="15A3EC34" w14:textId="77777777" w:rsidR="00CF0E2D" w:rsidRPr="00937A6B" w:rsidRDefault="00CF0E2D" w:rsidP="00A60D4B">
            <w:pPr>
              <w:spacing w:after="0" w:line="240" w:lineRule="auto"/>
              <w:ind w:left="720" w:hanging="720"/>
              <w:jc w:val="right"/>
              <w:rPr>
                <w:rFonts w:ascii="Calibri" w:eastAsia="Times New Roman" w:hAnsi="Calibri" w:cs="Times New Roman"/>
                <w:sz w:val="24"/>
                <w:szCs w:val="20"/>
              </w:rPr>
            </w:pPr>
            <w:r w:rsidRPr="00937A6B">
              <w:rPr>
                <w:rFonts w:ascii="Calibri" w:eastAsia="Times New Roman" w:hAnsi="Calibri" w:cs="Times New Roman"/>
                <w:sz w:val="24"/>
                <w:szCs w:val="20"/>
              </w:rPr>
              <w:t>159</w:t>
            </w:r>
          </w:p>
        </w:tc>
        <w:tc>
          <w:tcPr>
            <w:tcW w:w="1041" w:type="dxa"/>
            <w:tcBorders>
              <w:top w:val="single" w:sz="4" w:space="0" w:color="auto"/>
            </w:tcBorders>
          </w:tcPr>
          <w:p w14:paraId="4CA9338C" w14:textId="77777777" w:rsidR="00CF0E2D" w:rsidRPr="00937A6B" w:rsidRDefault="00CF0E2D" w:rsidP="00A60D4B">
            <w:pPr>
              <w:spacing w:after="0" w:line="240" w:lineRule="auto"/>
              <w:ind w:left="720" w:hanging="720"/>
              <w:jc w:val="right"/>
              <w:rPr>
                <w:rFonts w:ascii="Calibri" w:eastAsia="Times New Roman" w:hAnsi="Calibri" w:cs="Times New Roman"/>
                <w:sz w:val="24"/>
                <w:szCs w:val="20"/>
              </w:rPr>
            </w:pPr>
            <w:r w:rsidRPr="00937A6B">
              <w:rPr>
                <w:rFonts w:ascii="Calibri" w:eastAsia="Times New Roman" w:hAnsi="Calibri" w:cs="Times New Roman"/>
                <w:sz w:val="24"/>
                <w:szCs w:val="20"/>
              </w:rPr>
              <w:t>3</w:t>
            </w:r>
          </w:p>
        </w:tc>
        <w:tc>
          <w:tcPr>
            <w:tcW w:w="1029" w:type="dxa"/>
            <w:tcBorders>
              <w:top w:val="single" w:sz="4" w:space="0" w:color="auto"/>
            </w:tcBorders>
          </w:tcPr>
          <w:p w14:paraId="122B6598" w14:textId="77777777" w:rsidR="00CF0E2D" w:rsidRPr="00937A6B" w:rsidRDefault="00CF0E2D" w:rsidP="00A60D4B">
            <w:pPr>
              <w:spacing w:after="0" w:line="240" w:lineRule="auto"/>
              <w:ind w:left="720" w:hanging="720"/>
              <w:jc w:val="right"/>
              <w:rPr>
                <w:rFonts w:ascii="Calibri" w:eastAsia="Times New Roman" w:hAnsi="Calibri" w:cs="Times New Roman"/>
                <w:sz w:val="24"/>
                <w:szCs w:val="20"/>
              </w:rPr>
            </w:pPr>
            <w:r w:rsidRPr="00937A6B">
              <w:rPr>
                <w:rFonts w:ascii="Calibri" w:eastAsia="Times New Roman" w:hAnsi="Calibri" w:cs="Times New Roman"/>
                <w:sz w:val="24"/>
                <w:szCs w:val="20"/>
              </w:rPr>
              <w:t>3</w:t>
            </w:r>
          </w:p>
        </w:tc>
        <w:tc>
          <w:tcPr>
            <w:tcW w:w="1029" w:type="dxa"/>
            <w:tcBorders>
              <w:top w:val="single" w:sz="4" w:space="0" w:color="auto"/>
            </w:tcBorders>
          </w:tcPr>
          <w:p w14:paraId="25E522A1" w14:textId="77777777" w:rsidR="00CF0E2D" w:rsidRPr="00937A6B" w:rsidRDefault="00CF0E2D" w:rsidP="00A60D4B">
            <w:pPr>
              <w:spacing w:after="0" w:line="240" w:lineRule="auto"/>
              <w:ind w:left="720" w:hanging="720"/>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tcBorders>
          </w:tcPr>
          <w:p w14:paraId="626E4CFC" w14:textId="77777777" w:rsidR="00CF0E2D" w:rsidRPr="00937A6B" w:rsidRDefault="00CF0E2D" w:rsidP="00A60D4B">
            <w:pPr>
              <w:spacing w:after="0" w:line="240" w:lineRule="auto"/>
              <w:ind w:left="720" w:hanging="72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165</w:t>
            </w:r>
          </w:p>
        </w:tc>
      </w:tr>
      <w:tr w:rsidR="00CF0E2D" w:rsidRPr="00937A6B" w14:paraId="163B94F0" w14:textId="77777777" w:rsidTr="00A60D4B">
        <w:trPr>
          <w:cantSplit/>
          <w:jc w:val="center"/>
        </w:trPr>
        <w:tc>
          <w:tcPr>
            <w:tcW w:w="3652" w:type="dxa"/>
            <w:tcBorders>
              <w:top w:val="single" w:sz="4" w:space="0" w:color="auto"/>
            </w:tcBorders>
          </w:tcPr>
          <w:p w14:paraId="6A6E3D8A" w14:textId="77777777" w:rsidR="00CF0E2D" w:rsidRPr="001B48AE" w:rsidRDefault="00CF0E2D" w:rsidP="00A60D4B">
            <w:pPr>
              <w:spacing w:after="0" w:line="240" w:lineRule="auto"/>
              <w:ind w:left="720" w:hanging="720"/>
              <w:rPr>
                <w:rFonts w:ascii="Calibri" w:eastAsia="Times New Roman" w:hAnsi="Calibri" w:cs="Times New Roman"/>
                <w:sz w:val="24"/>
                <w:szCs w:val="20"/>
              </w:rPr>
            </w:pPr>
            <w:r w:rsidRPr="00937A6B">
              <w:rPr>
                <w:rFonts w:ascii="Calibri" w:eastAsia="Times New Roman" w:hAnsi="Calibri" w:cs="Times New Roman"/>
                <w:sz w:val="24"/>
                <w:szCs w:val="20"/>
              </w:rPr>
              <w:t>Depreciation</w:t>
            </w:r>
          </w:p>
        </w:tc>
        <w:tc>
          <w:tcPr>
            <w:tcW w:w="1179" w:type="dxa"/>
            <w:tcBorders>
              <w:top w:val="single" w:sz="4" w:space="0" w:color="auto"/>
            </w:tcBorders>
          </w:tcPr>
          <w:p w14:paraId="223BCD5F" w14:textId="77777777" w:rsidR="00CF0E2D" w:rsidRPr="00937A6B" w:rsidRDefault="00CF0E2D" w:rsidP="00A60D4B">
            <w:pPr>
              <w:spacing w:after="0" w:line="240" w:lineRule="auto"/>
              <w:ind w:left="720" w:hanging="720"/>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41" w:type="dxa"/>
            <w:tcBorders>
              <w:top w:val="single" w:sz="4" w:space="0" w:color="auto"/>
            </w:tcBorders>
          </w:tcPr>
          <w:p w14:paraId="6B42811D" w14:textId="77777777" w:rsidR="00CF0E2D" w:rsidRPr="00937A6B" w:rsidRDefault="00CF0E2D" w:rsidP="00A60D4B">
            <w:pPr>
              <w:spacing w:after="0" w:line="240" w:lineRule="auto"/>
              <w:ind w:left="720" w:hanging="720"/>
              <w:jc w:val="right"/>
              <w:rPr>
                <w:rFonts w:ascii="Calibri" w:eastAsia="Times New Roman" w:hAnsi="Calibri" w:cs="Times New Roman"/>
                <w:sz w:val="24"/>
                <w:szCs w:val="20"/>
              </w:rPr>
            </w:pPr>
            <w:r w:rsidRPr="00937A6B">
              <w:rPr>
                <w:rFonts w:ascii="Calibri" w:eastAsia="Times New Roman" w:hAnsi="Calibri" w:cs="Times New Roman"/>
                <w:sz w:val="24"/>
                <w:szCs w:val="20"/>
              </w:rPr>
              <w:t>26</w:t>
            </w:r>
          </w:p>
        </w:tc>
        <w:tc>
          <w:tcPr>
            <w:tcW w:w="1029" w:type="dxa"/>
            <w:tcBorders>
              <w:top w:val="single" w:sz="4" w:space="0" w:color="auto"/>
            </w:tcBorders>
          </w:tcPr>
          <w:p w14:paraId="716019F0" w14:textId="77777777" w:rsidR="00CF0E2D" w:rsidRPr="00937A6B" w:rsidRDefault="00CF0E2D" w:rsidP="00A60D4B">
            <w:pPr>
              <w:spacing w:after="0" w:line="240" w:lineRule="auto"/>
              <w:ind w:left="720" w:hanging="720"/>
              <w:jc w:val="right"/>
              <w:rPr>
                <w:rFonts w:ascii="Calibri" w:eastAsia="Times New Roman" w:hAnsi="Calibri" w:cs="Times New Roman"/>
                <w:sz w:val="24"/>
                <w:szCs w:val="20"/>
              </w:rPr>
            </w:pPr>
            <w:r w:rsidRPr="00937A6B">
              <w:rPr>
                <w:rFonts w:ascii="Calibri" w:eastAsia="Times New Roman" w:hAnsi="Calibri" w:cs="Times New Roman"/>
                <w:sz w:val="24"/>
                <w:szCs w:val="20"/>
              </w:rPr>
              <w:t>27</w:t>
            </w:r>
          </w:p>
        </w:tc>
        <w:tc>
          <w:tcPr>
            <w:tcW w:w="1029" w:type="dxa"/>
            <w:tcBorders>
              <w:top w:val="single" w:sz="4" w:space="0" w:color="auto"/>
            </w:tcBorders>
          </w:tcPr>
          <w:p w14:paraId="0ECFF551" w14:textId="77777777" w:rsidR="00CF0E2D" w:rsidRPr="00937A6B" w:rsidRDefault="00CF0E2D" w:rsidP="00A60D4B">
            <w:pPr>
              <w:spacing w:after="0" w:line="240" w:lineRule="auto"/>
              <w:ind w:left="720" w:hanging="720"/>
              <w:jc w:val="right"/>
              <w:rPr>
                <w:rFonts w:ascii="Calibri" w:eastAsia="Times New Roman" w:hAnsi="Calibri" w:cs="Times New Roman"/>
                <w:sz w:val="24"/>
                <w:szCs w:val="20"/>
              </w:rPr>
            </w:pPr>
            <w:r w:rsidRPr="00937A6B">
              <w:rPr>
                <w:rFonts w:ascii="Calibri" w:eastAsia="Times New Roman" w:hAnsi="Calibri" w:cs="Times New Roman"/>
                <w:sz w:val="24"/>
                <w:szCs w:val="20"/>
              </w:rPr>
              <w:t>27</w:t>
            </w:r>
          </w:p>
        </w:tc>
        <w:tc>
          <w:tcPr>
            <w:tcW w:w="1029" w:type="dxa"/>
            <w:tcBorders>
              <w:top w:val="single" w:sz="4" w:space="0" w:color="auto"/>
            </w:tcBorders>
          </w:tcPr>
          <w:p w14:paraId="5B02D1E8" w14:textId="77777777" w:rsidR="00CF0E2D" w:rsidRPr="00937A6B" w:rsidRDefault="00CF0E2D" w:rsidP="00A60D4B">
            <w:pPr>
              <w:spacing w:after="0" w:line="240" w:lineRule="auto"/>
              <w:ind w:left="720" w:hanging="72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80</w:t>
            </w:r>
          </w:p>
        </w:tc>
      </w:tr>
      <w:tr w:rsidR="00CF0E2D" w:rsidRPr="00937A6B" w14:paraId="7C4984BE" w14:textId="77777777" w:rsidTr="00A60D4B">
        <w:trPr>
          <w:cantSplit/>
          <w:jc w:val="center"/>
        </w:trPr>
        <w:tc>
          <w:tcPr>
            <w:tcW w:w="3652" w:type="dxa"/>
          </w:tcPr>
          <w:p w14:paraId="06CD84FF" w14:textId="77777777" w:rsidR="00CF0E2D" w:rsidRPr="00937A6B" w:rsidRDefault="00CF0E2D" w:rsidP="00A60D4B">
            <w:pPr>
              <w:spacing w:after="0" w:line="240" w:lineRule="auto"/>
              <w:ind w:left="720" w:hanging="720"/>
              <w:rPr>
                <w:rFonts w:ascii="Calibri" w:eastAsia="Times New Roman" w:hAnsi="Calibri" w:cs="Times New Roman"/>
                <w:sz w:val="24"/>
                <w:szCs w:val="20"/>
              </w:rPr>
            </w:pPr>
            <w:r w:rsidRPr="00937A6B">
              <w:rPr>
                <w:rFonts w:ascii="Calibri" w:eastAsia="Times New Roman" w:hAnsi="Calibri" w:cs="Times New Roman"/>
                <w:sz w:val="24"/>
                <w:szCs w:val="20"/>
              </w:rPr>
              <w:t>Expenses</w:t>
            </w:r>
          </w:p>
        </w:tc>
        <w:tc>
          <w:tcPr>
            <w:tcW w:w="1179" w:type="dxa"/>
          </w:tcPr>
          <w:p w14:paraId="1573DAE5" w14:textId="77777777" w:rsidR="00CF0E2D" w:rsidRPr="00937A6B" w:rsidRDefault="00CF0E2D" w:rsidP="00A60D4B">
            <w:pPr>
              <w:spacing w:after="0" w:line="240" w:lineRule="auto"/>
              <w:ind w:left="720" w:hanging="720"/>
              <w:jc w:val="right"/>
              <w:rPr>
                <w:rFonts w:ascii="Calibri" w:eastAsia="Times New Roman" w:hAnsi="Calibri" w:cs="Times New Roman"/>
                <w:sz w:val="24"/>
                <w:szCs w:val="20"/>
              </w:rPr>
            </w:pPr>
            <w:r w:rsidRPr="00937A6B">
              <w:rPr>
                <w:rFonts w:ascii="Calibri" w:eastAsia="Times New Roman" w:hAnsi="Calibri" w:cs="Times New Roman"/>
                <w:sz w:val="24"/>
                <w:szCs w:val="20"/>
              </w:rPr>
              <w:t>1,201</w:t>
            </w:r>
          </w:p>
        </w:tc>
        <w:tc>
          <w:tcPr>
            <w:tcW w:w="1041" w:type="dxa"/>
          </w:tcPr>
          <w:p w14:paraId="18A135C5" w14:textId="77777777" w:rsidR="00CF0E2D" w:rsidRPr="00937A6B" w:rsidRDefault="00CF0E2D" w:rsidP="00A60D4B">
            <w:pPr>
              <w:spacing w:after="0" w:line="240" w:lineRule="auto"/>
              <w:ind w:left="720" w:hanging="720"/>
              <w:jc w:val="right"/>
              <w:rPr>
                <w:rFonts w:ascii="Calibri" w:eastAsia="Times New Roman" w:hAnsi="Calibri" w:cs="Times New Roman"/>
                <w:sz w:val="24"/>
                <w:szCs w:val="20"/>
              </w:rPr>
            </w:pPr>
            <w:r w:rsidRPr="00937A6B">
              <w:rPr>
                <w:rFonts w:ascii="Calibri" w:eastAsia="Times New Roman" w:hAnsi="Calibri" w:cs="Times New Roman"/>
                <w:sz w:val="24"/>
                <w:szCs w:val="20"/>
              </w:rPr>
              <w:t>1,051</w:t>
            </w:r>
          </w:p>
        </w:tc>
        <w:tc>
          <w:tcPr>
            <w:tcW w:w="1029" w:type="dxa"/>
          </w:tcPr>
          <w:p w14:paraId="7B989157" w14:textId="77777777" w:rsidR="00CF0E2D" w:rsidRPr="00937A6B" w:rsidRDefault="00CF0E2D" w:rsidP="00A60D4B">
            <w:pPr>
              <w:spacing w:after="0" w:line="240" w:lineRule="auto"/>
              <w:ind w:left="720" w:hanging="720"/>
              <w:jc w:val="right"/>
              <w:rPr>
                <w:rFonts w:ascii="Calibri" w:eastAsia="Times New Roman" w:hAnsi="Calibri" w:cs="Times New Roman"/>
                <w:sz w:val="24"/>
                <w:szCs w:val="20"/>
              </w:rPr>
            </w:pPr>
            <w:r w:rsidRPr="00937A6B">
              <w:rPr>
                <w:rFonts w:ascii="Calibri" w:eastAsia="Times New Roman" w:hAnsi="Calibri" w:cs="Times New Roman"/>
                <w:sz w:val="24"/>
                <w:szCs w:val="20"/>
              </w:rPr>
              <w:t>517</w:t>
            </w:r>
          </w:p>
        </w:tc>
        <w:tc>
          <w:tcPr>
            <w:tcW w:w="1029" w:type="dxa"/>
          </w:tcPr>
          <w:p w14:paraId="270CC173" w14:textId="77777777" w:rsidR="00CF0E2D" w:rsidRPr="00937A6B" w:rsidRDefault="00CF0E2D" w:rsidP="00A60D4B">
            <w:pPr>
              <w:spacing w:after="0" w:line="240" w:lineRule="auto"/>
              <w:ind w:left="720" w:hanging="720"/>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Pr>
          <w:p w14:paraId="2F662295" w14:textId="77777777" w:rsidR="00CF0E2D" w:rsidRPr="00937A6B" w:rsidRDefault="00CF0E2D" w:rsidP="00A60D4B">
            <w:pPr>
              <w:spacing w:after="0" w:line="240" w:lineRule="auto"/>
              <w:ind w:left="720" w:hanging="720"/>
              <w:jc w:val="right"/>
              <w:rPr>
                <w:rFonts w:ascii="Calibri" w:eastAsia="Times New Roman" w:hAnsi="Calibri" w:cs="Times New Roman"/>
                <w:b/>
                <w:sz w:val="24"/>
                <w:szCs w:val="20"/>
              </w:rPr>
            </w:pPr>
            <w:r w:rsidRPr="00937A6B">
              <w:rPr>
                <w:rFonts w:ascii="Calibri" w:eastAsia="Times New Roman" w:hAnsi="Calibri" w:cs="Times New Roman"/>
                <w:b/>
                <w:sz w:val="24"/>
                <w:szCs w:val="20"/>
              </w:rPr>
              <w:t>2,769</w:t>
            </w:r>
          </w:p>
        </w:tc>
      </w:tr>
      <w:tr w:rsidR="00CF0E2D" w:rsidRPr="00937A6B" w14:paraId="244AB45F" w14:textId="77777777" w:rsidTr="00A60D4B">
        <w:trPr>
          <w:cantSplit/>
          <w:trHeight w:val="107"/>
          <w:jc w:val="center"/>
        </w:trPr>
        <w:tc>
          <w:tcPr>
            <w:tcW w:w="3652" w:type="dxa"/>
            <w:tcBorders>
              <w:top w:val="single" w:sz="4" w:space="0" w:color="auto"/>
              <w:bottom w:val="single" w:sz="4" w:space="0" w:color="auto"/>
            </w:tcBorders>
          </w:tcPr>
          <w:p w14:paraId="2B766C54" w14:textId="77777777" w:rsidR="00CF0E2D" w:rsidRPr="00937A6B" w:rsidRDefault="00CF0E2D" w:rsidP="00A60D4B">
            <w:pPr>
              <w:spacing w:after="0" w:line="240" w:lineRule="auto"/>
              <w:ind w:left="720" w:hanging="720"/>
              <w:rPr>
                <w:rFonts w:ascii="Calibri" w:eastAsia="Times New Roman" w:hAnsi="Calibri" w:cs="Times New Roman"/>
                <w:b/>
                <w:sz w:val="24"/>
                <w:szCs w:val="20"/>
              </w:rPr>
            </w:pPr>
            <w:r w:rsidRPr="00937A6B">
              <w:rPr>
                <w:rFonts w:ascii="Calibri" w:eastAsia="Times New Roman" w:hAnsi="Calibri" w:cs="Times New Roman"/>
                <w:b/>
                <w:sz w:val="24"/>
                <w:szCs w:val="20"/>
              </w:rPr>
              <w:t>Net cost of services</w:t>
            </w:r>
          </w:p>
        </w:tc>
        <w:tc>
          <w:tcPr>
            <w:tcW w:w="1179" w:type="dxa"/>
            <w:tcBorders>
              <w:top w:val="single" w:sz="4" w:space="0" w:color="auto"/>
              <w:bottom w:val="single" w:sz="4" w:space="0" w:color="auto"/>
            </w:tcBorders>
          </w:tcPr>
          <w:p w14:paraId="79269D5E" w14:textId="77777777" w:rsidR="00CF0E2D" w:rsidRPr="00937A6B" w:rsidRDefault="00CF0E2D" w:rsidP="00A60D4B">
            <w:pPr>
              <w:spacing w:after="0" w:line="240" w:lineRule="auto"/>
              <w:ind w:left="720" w:hanging="720"/>
              <w:jc w:val="right"/>
              <w:rPr>
                <w:rFonts w:ascii="Calibri" w:eastAsia="Times New Roman" w:hAnsi="Calibri" w:cs="Times New Roman"/>
                <w:b/>
                <w:sz w:val="24"/>
                <w:szCs w:val="20"/>
              </w:rPr>
            </w:pPr>
            <w:r w:rsidRPr="00937A6B">
              <w:rPr>
                <w:rFonts w:ascii="Calibri" w:eastAsia="Times New Roman" w:hAnsi="Calibri" w:cs="Times New Roman"/>
                <w:b/>
                <w:sz w:val="24"/>
                <w:szCs w:val="20"/>
              </w:rPr>
              <w:t>1,201</w:t>
            </w:r>
          </w:p>
        </w:tc>
        <w:tc>
          <w:tcPr>
            <w:tcW w:w="1041" w:type="dxa"/>
            <w:tcBorders>
              <w:top w:val="single" w:sz="4" w:space="0" w:color="auto"/>
              <w:bottom w:val="single" w:sz="4" w:space="0" w:color="auto"/>
            </w:tcBorders>
          </w:tcPr>
          <w:p w14:paraId="59700A98" w14:textId="77777777" w:rsidR="00CF0E2D" w:rsidRPr="00937A6B" w:rsidRDefault="00CF0E2D" w:rsidP="00A60D4B">
            <w:pPr>
              <w:spacing w:after="0" w:line="240" w:lineRule="auto"/>
              <w:ind w:left="720" w:hanging="720"/>
              <w:jc w:val="right"/>
              <w:rPr>
                <w:rFonts w:ascii="Calibri" w:eastAsia="Times New Roman" w:hAnsi="Calibri" w:cs="Times New Roman"/>
                <w:b/>
                <w:sz w:val="24"/>
                <w:szCs w:val="20"/>
              </w:rPr>
            </w:pPr>
            <w:r w:rsidRPr="00937A6B">
              <w:rPr>
                <w:rFonts w:ascii="Calibri" w:eastAsia="Times New Roman" w:hAnsi="Calibri" w:cs="Times New Roman"/>
                <w:b/>
                <w:sz w:val="24"/>
                <w:szCs w:val="20"/>
              </w:rPr>
              <w:t>1,077</w:t>
            </w:r>
          </w:p>
        </w:tc>
        <w:tc>
          <w:tcPr>
            <w:tcW w:w="1029" w:type="dxa"/>
            <w:tcBorders>
              <w:top w:val="single" w:sz="4" w:space="0" w:color="auto"/>
              <w:bottom w:val="single" w:sz="4" w:space="0" w:color="auto"/>
            </w:tcBorders>
          </w:tcPr>
          <w:p w14:paraId="3A535557" w14:textId="77777777" w:rsidR="00CF0E2D" w:rsidRPr="00937A6B" w:rsidRDefault="00CF0E2D" w:rsidP="00A60D4B">
            <w:pPr>
              <w:spacing w:after="0" w:line="240" w:lineRule="auto"/>
              <w:ind w:left="720" w:hanging="720"/>
              <w:jc w:val="right"/>
              <w:rPr>
                <w:rFonts w:ascii="Calibri" w:eastAsia="Times New Roman" w:hAnsi="Calibri" w:cs="Times New Roman"/>
                <w:b/>
                <w:sz w:val="24"/>
                <w:szCs w:val="20"/>
              </w:rPr>
            </w:pPr>
            <w:r w:rsidRPr="00937A6B">
              <w:rPr>
                <w:rFonts w:ascii="Calibri" w:eastAsia="Times New Roman" w:hAnsi="Calibri" w:cs="Times New Roman"/>
                <w:b/>
                <w:sz w:val="24"/>
                <w:szCs w:val="20"/>
              </w:rPr>
              <w:t>544</w:t>
            </w:r>
          </w:p>
        </w:tc>
        <w:tc>
          <w:tcPr>
            <w:tcW w:w="1029" w:type="dxa"/>
            <w:tcBorders>
              <w:top w:val="single" w:sz="4" w:space="0" w:color="auto"/>
              <w:bottom w:val="single" w:sz="4" w:space="0" w:color="auto"/>
            </w:tcBorders>
          </w:tcPr>
          <w:p w14:paraId="29FDC891" w14:textId="77777777" w:rsidR="00CF0E2D" w:rsidRPr="00937A6B" w:rsidRDefault="00CF0E2D" w:rsidP="00A60D4B">
            <w:pPr>
              <w:spacing w:after="0" w:line="240" w:lineRule="auto"/>
              <w:ind w:left="720" w:hanging="720"/>
              <w:jc w:val="right"/>
              <w:rPr>
                <w:rFonts w:ascii="Calibri" w:eastAsia="Times New Roman" w:hAnsi="Calibri" w:cs="Times New Roman"/>
                <w:b/>
                <w:sz w:val="24"/>
                <w:szCs w:val="20"/>
              </w:rPr>
            </w:pPr>
            <w:r w:rsidRPr="00937A6B">
              <w:rPr>
                <w:rFonts w:ascii="Calibri" w:eastAsia="Times New Roman" w:hAnsi="Calibri" w:cs="Times New Roman"/>
                <w:b/>
                <w:sz w:val="24"/>
                <w:szCs w:val="20"/>
              </w:rPr>
              <w:t>27</w:t>
            </w:r>
          </w:p>
        </w:tc>
        <w:tc>
          <w:tcPr>
            <w:tcW w:w="1029" w:type="dxa"/>
            <w:tcBorders>
              <w:top w:val="single" w:sz="4" w:space="0" w:color="auto"/>
              <w:bottom w:val="single" w:sz="4" w:space="0" w:color="auto"/>
            </w:tcBorders>
          </w:tcPr>
          <w:p w14:paraId="080433FA" w14:textId="77777777" w:rsidR="00CF0E2D" w:rsidRPr="00937A6B" w:rsidRDefault="00CF0E2D" w:rsidP="00A60D4B">
            <w:pPr>
              <w:spacing w:after="0" w:line="240" w:lineRule="auto"/>
              <w:ind w:left="720" w:hanging="720"/>
              <w:jc w:val="right"/>
              <w:rPr>
                <w:rFonts w:ascii="Calibri" w:eastAsia="Times New Roman" w:hAnsi="Calibri" w:cs="Times New Roman"/>
                <w:b/>
                <w:sz w:val="24"/>
                <w:szCs w:val="20"/>
              </w:rPr>
            </w:pPr>
            <w:r w:rsidRPr="00937A6B">
              <w:rPr>
                <w:rFonts w:ascii="Calibri" w:eastAsia="Times New Roman" w:hAnsi="Calibri" w:cs="Times New Roman"/>
                <w:b/>
                <w:sz w:val="24"/>
                <w:szCs w:val="20"/>
              </w:rPr>
              <w:t>2,849</w:t>
            </w:r>
          </w:p>
        </w:tc>
      </w:tr>
    </w:tbl>
    <w:p w14:paraId="60F65CFA" w14:textId="77777777" w:rsidR="00CF0E2D" w:rsidRPr="00350729" w:rsidRDefault="00CF0E2D" w:rsidP="00A60D4B">
      <w:pPr>
        <w:pStyle w:val="Bbodytext"/>
        <w:rPr>
          <w:szCs w:val="24"/>
        </w:rPr>
      </w:pPr>
      <w:r w:rsidRPr="00350729">
        <w:t>The Government will implement a pilot Food Organics and Garden Organics (FOGO) waste collectio</w:t>
      </w:r>
      <w:r w:rsidRPr="00350729">
        <w:rPr>
          <w:szCs w:val="24"/>
        </w:rPr>
        <w:t xml:space="preserve">n service to inform a future city-wide roll-out of the service. The pilot will be delivered to homes in and around the Belconnen Town Centre, with both single unit residences and multi-unit complexes able to take part.  </w:t>
      </w:r>
    </w:p>
    <w:p w14:paraId="6659D310" w14:textId="77777777" w:rsidR="00CF0E2D" w:rsidRPr="00350729" w:rsidRDefault="00CF0E2D" w:rsidP="00A60D4B">
      <w:pPr>
        <w:pStyle w:val="Bbodytext"/>
        <w:rPr>
          <w:szCs w:val="24"/>
        </w:rPr>
      </w:pPr>
      <w:r w:rsidRPr="00350729">
        <w:t>This initiative will support the di</w:t>
      </w:r>
      <w:r w:rsidRPr="00350729">
        <w:rPr>
          <w:szCs w:val="24"/>
        </w:rPr>
        <w:t xml:space="preserve">version of significant amounts of food and garden organic waste from landfill and capture it as a resource. </w:t>
      </w:r>
    </w:p>
    <w:p w14:paraId="1F02EA66" w14:textId="77777777" w:rsidR="00CF0E2D" w:rsidRDefault="00CF0E2D" w:rsidP="00A60D4B">
      <w:pPr>
        <w:pStyle w:val="Bbodytext"/>
        <w:rPr>
          <w:szCs w:val="24"/>
        </w:rPr>
      </w:pPr>
      <w:r w:rsidRPr="00350729">
        <w:t>This ini</w:t>
      </w:r>
      <w:r w:rsidRPr="00350729">
        <w:rPr>
          <w:szCs w:val="24"/>
        </w:rPr>
        <w:t xml:space="preserve">tiative contributes to the wellbeing domain of Environment and climate. </w:t>
      </w:r>
    </w:p>
    <w:p w14:paraId="4DE71FDF" w14:textId="77777777" w:rsidR="00CF0E2D" w:rsidRPr="00F37C8B" w:rsidRDefault="00CF0E2D" w:rsidP="00A60D4B">
      <w:pPr>
        <w:pStyle w:val="Heading4"/>
        <w:rPr>
          <w:rFonts w:eastAsia="Times New Roman"/>
        </w:rPr>
      </w:pPr>
      <w:r w:rsidRPr="000F43F7">
        <w:rPr>
          <w:rFonts w:eastAsia="Times New Roman"/>
        </w:rPr>
        <w:lastRenderedPageBreak/>
        <w:t xml:space="preserve">Food organics and garden organics </w:t>
      </w:r>
      <w:r>
        <w:rPr>
          <w:rFonts w:eastAsia="Times New Roman"/>
        </w:rPr>
        <w:t xml:space="preserve">– waste recovery facility </w:t>
      </w:r>
      <w:r>
        <w:rPr>
          <w:rFonts w:eastAsia="Times New Roman"/>
          <w:noProof/>
        </w:rPr>
        <w:drawing>
          <wp:anchor distT="0" distB="0" distL="114300" distR="114300" simplePos="0" relativeHeight="251846656" behindDoc="0" locked="1" layoutInCell="1" allowOverlap="1" wp14:anchorId="017B6459" wp14:editId="75C5496D">
            <wp:simplePos x="0" y="0"/>
            <wp:positionH relativeFrom="margin">
              <wp:posOffset>4338320</wp:posOffset>
            </wp:positionH>
            <wp:positionV relativeFrom="paragraph">
              <wp:posOffset>0</wp:posOffset>
            </wp:positionV>
            <wp:extent cx="1393190" cy="503555"/>
            <wp:effectExtent l="0" t="0" r="0" b="0"/>
            <wp:wrapSquare wrapText="bothSides"/>
            <wp:docPr id="224" name="Picture 224" descr="Icon representing the wellbeing domain of Environment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nvironment and clima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319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3652"/>
        <w:gridCol w:w="1179"/>
        <w:gridCol w:w="1041"/>
        <w:gridCol w:w="1029"/>
        <w:gridCol w:w="1029"/>
        <w:gridCol w:w="1029"/>
      </w:tblGrid>
      <w:tr w:rsidR="00CF0E2D" w:rsidRPr="00937A6B" w14:paraId="647CD947" w14:textId="77777777" w:rsidTr="00A60D4B">
        <w:trPr>
          <w:cantSplit/>
          <w:jc w:val="center"/>
        </w:trPr>
        <w:tc>
          <w:tcPr>
            <w:tcW w:w="3652" w:type="dxa"/>
          </w:tcPr>
          <w:p w14:paraId="36BE9F87" w14:textId="77777777" w:rsidR="00CF0E2D" w:rsidRPr="00937A6B" w:rsidRDefault="00CF0E2D" w:rsidP="00A60D4B">
            <w:pPr>
              <w:spacing w:after="0" w:line="240" w:lineRule="auto"/>
              <w:ind w:left="1440" w:hanging="1440"/>
              <w:jc w:val="right"/>
              <w:rPr>
                <w:rFonts w:ascii="Calibri" w:eastAsia="Times New Roman" w:hAnsi="Calibri" w:cs="Calibri"/>
                <w:color w:val="FFFFFF"/>
                <w:sz w:val="12"/>
                <w:szCs w:val="20"/>
              </w:rPr>
            </w:pPr>
            <w:r w:rsidRPr="00937A6B">
              <w:rPr>
                <w:rFonts w:ascii="Calibri" w:eastAsia="Times New Roman" w:hAnsi="Calibri" w:cs="Calibri"/>
                <w:color w:val="FFFFFF"/>
                <w:sz w:val="12"/>
                <w:szCs w:val="20"/>
              </w:rPr>
              <w:t>Empty Cell</w:t>
            </w:r>
          </w:p>
        </w:tc>
        <w:tc>
          <w:tcPr>
            <w:tcW w:w="1179" w:type="dxa"/>
          </w:tcPr>
          <w:p w14:paraId="49FADF00" w14:textId="77777777" w:rsidR="00CF0E2D" w:rsidRPr="00937A6B" w:rsidRDefault="00CF0E2D" w:rsidP="00A60D4B">
            <w:pPr>
              <w:spacing w:after="0" w:line="240" w:lineRule="auto"/>
              <w:ind w:left="1440" w:hanging="144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2021-22</w:t>
            </w:r>
          </w:p>
          <w:p w14:paraId="3849DE7D" w14:textId="77777777" w:rsidR="00CF0E2D" w:rsidRPr="00937A6B" w:rsidRDefault="00CF0E2D" w:rsidP="00A60D4B">
            <w:pPr>
              <w:spacing w:after="0" w:line="240" w:lineRule="auto"/>
              <w:ind w:left="1440" w:hanging="144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41" w:type="dxa"/>
          </w:tcPr>
          <w:p w14:paraId="04E932F0" w14:textId="77777777" w:rsidR="00CF0E2D" w:rsidRPr="00937A6B" w:rsidRDefault="00CF0E2D" w:rsidP="00A60D4B">
            <w:pPr>
              <w:spacing w:after="0" w:line="240" w:lineRule="auto"/>
              <w:ind w:left="1440" w:hanging="144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2022-23</w:t>
            </w:r>
          </w:p>
          <w:p w14:paraId="0153C648" w14:textId="77777777" w:rsidR="00CF0E2D" w:rsidRPr="00937A6B" w:rsidRDefault="00CF0E2D" w:rsidP="00A60D4B">
            <w:pPr>
              <w:spacing w:after="0" w:line="240" w:lineRule="auto"/>
              <w:ind w:left="1440" w:hanging="144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Pr>
          <w:p w14:paraId="05EA6844" w14:textId="77777777" w:rsidR="00CF0E2D" w:rsidRPr="00937A6B" w:rsidRDefault="00CF0E2D" w:rsidP="00A60D4B">
            <w:pPr>
              <w:spacing w:after="0" w:line="240" w:lineRule="auto"/>
              <w:ind w:left="1440" w:hanging="144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2023-24</w:t>
            </w:r>
          </w:p>
          <w:p w14:paraId="0CAE9D59" w14:textId="77777777" w:rsidR="00CF0E2D" w:rsidRPr="00937A6B" w:rsidRDefault="00CF0E2D" w:rsidP="00A60D4B">
            <w:pPr>
              <w:spacing w:after="0" w:line="240" w:lineRule="auto"/>
              <w:ind w:left="1440" w:hanging="144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Pr>
          <w:p w14:paraId="21D7177D" w14:textId="77777777" w:rsidR="00CF0E2D" w:rsidRPr="00937A6B" w:rsidRDefault="00CF0E2D" w:rsidP="00A60D4B">
            <w:pPr>
              <w:spacing w:after="0" w:line="240" w:lineRule="auto"/>
              <w:ind w:left="1440" w:hanging="144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2024-25</w:t>
            </w:r>
          </w:p>
          <w:p w14:paraId="53ACDACD" w14:textId="77777777" w:rsidR="00CF0E2D" w:rsidRPr="00937A6B" w:rsidRDefault="00CF0E2D" w:rsidP="00A60D4B">
            <w:pPr>
              <w:spacing w:after="0" w:line="240" w:lineRule="auto"/>
              <w:ind w:left="1440" w:hanging="144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Pr>
          <w:p w14:paraId="2952C5F6" w14:textId="77777777" w:rsidR="00CF0E2D" w:rsidRPr="00937A6B" w:rsidRDefault="00CF0E2D" w:rsidP="00A60D4B">
            <w:pPr>
              <w:spacing w:after="0" w:line="240" w:lineRule="auto"/>
              <w:ind w:left="1440" w:hanging="1440"/>
              <w:jc w:val="right"/>
              <w:rPr>
                <w:rFonts w:ascii="Calibri" w:eastAsia="Times New Roman" w:hAnsi="Calibri" w:cs="Times New Roman"/>
                <w:b/>
                <w:sz w:val="24"/>
                <w:szCs w:val="20"/>
              </w:rPr>
            </w:pPr>
            <w:r w:rsidRPr="00937A6B">
              <w:rPr>
                <w:rFonts w:ascii="Calibri" w:eastAsia="Times New Roman" w:hAnsi="Calibri" w:cs="Times New Roman"/>
                <w:b/>
                <w:sz w:val="24"/>
                <w:szCs w:val="20"/>
              </w:rPr>
              <w:t>Total</w:t>
            </w:r>
          </w:p>
          <w:p w14:paraId="67813FE3" w14:textId="77777777" w:rsidR="00CF0E2D" w:rsidRPr="00937A6B" w:rsidRDefault="00CF0E2D" w:rsidP="00A60D4B">
            <w:pPr>
              <w:spacing w:after="0" w:line="240" w:lineRule="auto"/>
              <w:ind w:left="1440" w:hanging="1440"/>
              <w:jc w:val="right"/>
              <w:rPr>
                <w:rFonts w:ascii="Calibri" w:eastAsia="Times New Roman" w:hAnsi="Calibri" w:cs="Times New Roman"/>
                <w:b/>
                <w:sz w:val="24"/>
                <w:szCs w:val="20"/>
              </w:rPr>
            </w:pPr>
            <w:r w:rsidRPr="00937A6B">
              <w:rPr>
                <w:rFonts w:ascii="Calibri" w:eastAsia="Times New Roman" w:hAnsi="Calibri" w:cs="Times New Roman"/>
                <w:b/>
                <w:sz w:val="24"/>
                <w:szCs w:val="20"/>
              </w:rPr>
              <w:t>$’000</w:t>
            </w:r>
          </w:p>
        </w:tc>
      </w:tr>
      <w:tr w:rsidR="00CF0E2D" w:rsidRPr="00937A6B" w14:paraId="106B4233" w14:textId="77777777" w:rsidTr="00A60D4B">
        <w:trPr>
          <w:cantSplit/>
          <w:jc w:val="center"/>
        </w:trPr>
        <w:tc>
          <w:tcPr>
            <w:tcW w:w="3652" w:type="dxa"/>
          </w:tcPr>
          <w:p w14:paraId="24A875A0" w14:textId="77777777" w:rsidR="00CF0E2D" w:rsidRPr="00937A6B" w:rsidRDefault="00CF0E2D" w:rsidP="00A60D4B">
            <w:pPr>
              <w:spacing w:after="0" w:line="240" w:lineRule="auto"/>
              <w:ind w:left="1440" w:hanging="1440"/>
              <w:rPr>
                <w:rFonts w:ascii="Calibri" w:eastAsia="Times New Roman" w:hAnsi="Calibri" w:cs="Times New Roman"/>
                <w:sz w:val="24"/>
                <w:szCs w:val="20"/>
              </w:rPr>
            </w:pPr>
            <w:r w:rsidRPr="00937A6B">
              <w:rPr>
                <w:rFonts w:ascii="Calibri" w:eastAsia="Times New Roman" w:hAnsi="Calibri" w:cs="Times New Roman"/>
                <w:sz w:val="24"/>
                <w:szCs w:val="20"/>
              </w:rPr>
              <w:t>Capital</w:t>
            </w:r>
          </w:p>
        </w:tc>
        <w:tc>
          <w:tcPr>
            <w:tcW w:w="1179" w:type="dxa"/>
          </w:tcPr>
          <w:p w14:paraId="6DB54620" w14:textId="77777777" w:rsidR="00CF0E2D" w:rsidRPr="00937A6B" w:rsidRDefault="00CF0E2D" w:rsidP="00A60D4B">
            <w:pPr>
              <w:spacing w:after="0" w:line="240" w:lineRule="auto"/>
              <w:ind w:left="1440" w:hanging="1440"/>
              <w:jc w:val="right"/>
              <w:rPr>
                <w:rFonts w:ascii="Calibri" w:eastAsia="Times New Roman" w:hAnsi="Calibri" w:cs="Times New Roman"/>
                <w:sz w:val="24"/>
                <w:szCs w:val="20"/>
              </w:rPr>
            </w:pPr>
            <w:r w:rsidRPr="00937A6B">
              <w:rPr>
                <w:rFonts w:ascii="Calibri" w:eastAsia="Times New Roman" w:hAnsi="Calibri" w:cs="Times New Roman"/>
                <w:sz w:val="24"/>
                <w:szCs w:val="20"/>
              </w:rPr>
              <w:t>700</w:t>
            </w:r>
          </w:p>
        </w:tc>
        <w:tc>
          <w:tcPr>
            <w:tcW w:w="1041" w:type="dxa"/>
          </w:tcPr>
          <w:p w14:paraId="5E503302" w14:textId="77777777" w:rsidR="00CF0E2D" w:rsidRPr="00937A6B" w:rsidRDefault="00CF0E2D" w:rsidP="00A60D4B">
            <w:pPr>
              <w:spacing w:after="0" w:line="240" w:lineRule="auto"/>
              <w:ind w:left="1440" w:hanging="1440"/>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Pr>
          <w:p w14:paraId="45C1B775" w14:textId="77777777" w:rsidR="00CF0E2D" w:rsidRPr="00937A6B" w:rsidRDefault="00CF0E2D" w:rsidP="00A60D4B">
            <w:pPr>
              <w:spacing w:after="0" w:line="240" w:lineRule="auto"/>
              <w:ind w:left="1440" w:hanging="1440"/>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Pr>
          <w:p w14:paraId="33A7D447" w14:textId="77777777" w:rsidR="00CF0E2D" w:rsidRPr="00937A6B" w:rsidRDefault="00CF0E2D" w:rsidP="00A60D4B">
            <w:pPr>
              <w:spacing w:after="0" w:line="240" w:lineRule="auto"/>
              <w:ind w:left="1440" w:hanging="1440"/>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Pr>
          <w:p w14:paraId="48877A4A" w14:textId="77777777" w:rsidR="00CF0E2D" w:rsidRPr="00937A6B" w:rsidRDefault="00CF0E2D" w:rsidP="00A60D4B">
            <w:pPr>
              <w:spacing w:after="0" w:line="240" w:lineRule="auto"/>
              <w:ind w:left="1440" w:hanging="144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700</w:t>
            </w:r>
          </w:p>
        </w:tc>
      </w:tr>
    </w:tbl>
    <w:p w14:paraId="7DD765C8" w14:textId="77777777" w:rsidR="00CF0E2D" w:rsidRPr="001E7E8E" w:rsidRDefault="00CF0E2D" w:rsidP="00A60D4B">
      <w:pPr>
        <w:pStyle w:val="Bbodytext"/>
      </w:pPr>
      <w:r w:rsidRPr="00937A6B">
        <w:t>The Government will continue</w:t>
      </w:r>
      <w:r w:rsidRPr="001E7E8E">
        <w:t xml:space="preserve"> work to establish a Food Organics and Garden Organics (FOGO) waste recovery facility for Canberra including an Environmental Impact Assessment and site selection works. </w:t>
      </w:r>
    </w:p>
    <w:p w14:paraId="4B689FE5" w14:textId="77777777" w:rsidR="00CF0E2D" w:rsidRPr="001E7E8E" w:rsidRDefault="00CF0E2D" w:rsidP="00A60D4B">
      <w:pPr>
        <w:pStyle w:val="Bbodytext"/>
      </w:pPr>
      <w:r w:rsidRPr="00937A6B">
        <w:t>This initiative builds on early planning for a FOGO facility and services that were funded thr</w:t>
      </w:r>
      <w:r w:rsidRPr="001E7E8E">
        <w:t>ough the 2019</w:t>
      </w:r>
      <w:r w:rsidRPr="001E7E8E">
        <w:noBreakHyphen/>
        <w:t xml:space="preserve">20 Budget initiative </w:t>
      </w:r>
      <w:r w:rsidRPr="00A55563">
        <w:rPr>
          <w:i/>
          <w:iCs/>
        </w:rPr>
        <w:t>Managing waste better</w:t>
      </w:r>
      <w:r w:rsidRPr="001E7E8E">
        <w:t xml:space="preserve">. It is also linked to a pilot rollout of FOGO services to Belconnen under the initiative </w:t>
      </w:r>
      <w:r>
        <w:rPr>
          <w:rFonts w:ascii="Calibri" w:eastAsia="Times New Roman" w:hAnsi="Calibri" w:cs="Times New Roman"/>
          <w:i/>
          <w:iCs/>
          <w:szCs w:val="20"/>
        </w:rPr>
        <w:t>FOGO services for Belconnen.</w:t>
      </w:r>
    </w:p>
    <w:p w14:paraId="07CADFF3" w14:textId="77777777" w:rsidR="00CF0E2D" w:rsidRDefault="00CF0E2D" w:rsidP="00A60D4B">
      <w:pPr>
        <w:pStyle w:val="Bbodytext"/>
      </w:pPr>
      <w:r>
        <w:t>This initiative</w:t>
      </w:r>
      <w:r w:rsidRPr="001E7E8E">
        <w:t xml:space="preserve"> contributes to the wellbeing domain of Environment and climate.</w:t>
      </w:r>
    </w:p>
    <w:p w14:paraId="0CFE12E5" w14:textId="77777777" w:rsidR="00CF0E2D" w:rsidRPr="009C7FB3" w:rsidRDefault="00CF0E2D" w:rsidP="00A60D4B">
      <w:pPr>
        <w:pStyle w:val="Bbodytext"/>
      </w:pPr>
    </w:p>
    <w:p w14:paraId="0A2795B7" w14:textId="77777777" w:rsidR="00CF0E2D" w:rsidRPr="00C3699A" w:rsidRDefault="00CF0E2D" w:rsidP="00A60D4B">
      <w:pPr>
        <w:pStyle w:val="Heading4"/>
        <w:rPr>
          <w:rFonts w:eastAsia="Times New Roman" w:cs="Times New Roman"/>
          <w:b w:val="0"/>
          <w:bCs/>
          <w:szCs w:val="26"/>
        </w:rPr>
      </w:pPr>
      <w:r>
        <w:rPr>
          <w:rFonts w:eastAsia="Times New Roman"/>
        </w:rPr>
        <w:t xml:space="preserve">Growing the public transport network </w:t>
      </w:r>
      <w:r>
        <w:rPr>
          <w:noProof/>
        </w:rPr>
        <w:drawing>
          <wp:anchor distT="0" distB="0" distL="114300" distR="114300" simplePos="0" relativeHeight="251927552" behindDoc="0" locked="1" layoutInCell="1" allowOverlap="1" wp14:anchorId="2C9EC30D" wp14:editId="61AD90AE">
            <wp:simplePos x="0" y="0"/>
            <wp:positionH relativeFrom="margin">
              <wp:posOffset>4369435</wp:posOffset>
            </wp:positionH>
            <wp:positionV relativeFrom="paragraph">
              <wp:posOffset>-135255</wp:posOffset>
            </wp:positionV>
            <wp:extent cx="1378585" cy="507365"/>
            <wp:effectExtent l="0" t="0" r="0" b="6985"/>
            <wp:wrapSquare wrapText="bothSides"/>
            <wp:docPr id="135" name="Picture 135" descr="Icon representing the wellbeing domain of Access and 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 representing the wellbeing domain of Access and connectivity"/>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78585" cy="507365"/>
                    </a:xfrm>
                    <a:prstGeom prst="rect">
                      <a:avLst/>
                    </a:prstGeom>
                    <a:noFill/>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37A6B" w14:paraId="4B53A81B" w14:textId="77777777" w:rsidTr="00A60D4B">
        <w:trPr>
          <w:cantSplit/>
          <w:jc w:val="center"/>
        </w:trPr>
        <w:tc>
          <w:tcPr>
            <w:tcW w:w="3652" w:type="dxa"/>
            <w:tcBorders>
              <w:top w:val="single" w:sz="4" w:space="0" w:color="auto"/>
              <w:bottom w:val="single" w:sz="4" w:space="0" w:color="auto"/>
            </w:tcBorders>
          </w:tcPr>
          <w:p w14:paraId="2BA73BA3" w14:textId="77777777" w:rsidR="00CF0E2D" w:rsidRPr="00937A6B" w:rsidRDefault="00CF0E2D" w:rsidP="00A60D4B">
            <w:pPr>
              <w:spacing w:after="0" w:line="240" w:lineRule="auto"/>
              <w:jc w:val="right"/>
              <w:rPr>
                <w:rFonts w:ascii="Calibri" w:eastAsia="Times New Roman" w:hAnsi="Calibri" w:cs="Calibri"/>
                <w:color w:val="FFFFFF"/>
                <w:sz w:val="12"/>
                <w:szCs w:val="20"/>
              </w:rPr>
            </w:pPr>
            <w:r w:rsidRPr="00937A6B">
              <w:rPr>
                <w:rFonts w:ascii="Calibri" w:eastAsia="Times New Roman" w:hAnsi="Calibri" w:cs="Calibri"/>
                <w:color w:val="FFFFFF"/>
                <w:sz w:val="12"/>
                <w:szCs w:val="20"/>
              </w:rPr>
              <w:t>Empty Cell</w:t>
            </w:r>
          </w:p>
        </w:tc>
        <w:tc>
          <w:tcPr>
            <w:tcW w:w="1179" w:type="dxa"/>
            <w:tcBorders>
              <w:top w:val="single" w:sz="4" w:space="0" w:color="auto"/>
              <w:bottom w:val="single" w:sz="4" w:space="0" w:color="auto"/>
            </w:tcBorders>
          </w:tcPr>
          <w:p w14:paraId="49A7B1DC"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2021-22</w:t>
            </w:r>
          </w:p>
          <w:p w14:paraId="415F1000"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41" w:type="dxa"/>
            <w:tcBorders>
              <w:top w:val="single" w:sz="4" w:space="0" w:color="auto"/>
              <w:bottom w:val="single" w:sz="4" w:space="0" w:color="auto"/>
            </w:tcBorders>
          </w:tcPr>
          <w:p w14:paraId="76F5A9FC"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2022-23</w:t>
            </w:r>
          </w:p>
          <w:p w14:paraId="49872E85"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62107576"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2023-24</w:t>
            </w:r>
          </w:p>
          <w:p w14:paraId="2C772535"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71DB26F6"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2024-25</w:t>
            </w:r>
          </w:p>
          <w:p w14:paraId="7F729ADB"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6AABCE8C"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Total</w:t>
            </w:r>
          </w:p>
          <w:p w14:paraId="5C1FCEF6"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$’000</w:t>
            </w:r>
          </w:p>
        </w:tc>
      </w:tr>
      <w:tr w:rsidR="00CF0E2D" w:rsidRPr="00937A6B" w14:paraId="2AD99D26" w14:textId="77777777" w:rsidTr="00A60D4B">
        <w:trPr>
          <w:cantSplit/>
          <w:jc w:val="center"/>
        </w:trPr>
        <w:tc>
          <w:tcPr>
            <w:tcW w:w="3652" w:type="dxa"/>
            <w:tcBorders>
              <w:top w:val="single" w:sz="4" w:space="0" w:color="auto"/>
            </w:tcBorders>
          </w:tcPr>
          <w:p w14:paraId="6364ED7F"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Capital</w:t>
            </w:r>
          </w:p>
        </w:tc>
        <w:tc>
          <w:tcPr>
            <w:tcW w:w="1179" w:type="dxa"/>
            <w:tcBorders>
              <w:top w:val="single" w:sz="4" w:space="0" w:color="auto"/>
            </w:tcBorders>
          </w:tcPr>
          <w:p w14:paraId="31F80B3D"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1,800</w:t>
            </w:r>
          </w:p>
        </w:tc>
        <w:tc>
          <w:tcPr>
            <w:tcW w:w="1041" w:type="dxa"/>
            <w:tcBorders>
              <w:top w:val="single" w:sz="4" w:space="0" w:color="auto"/>
            </w:tcBorders>
          </w:tcPr>
          <w:p w14:paraId="13D3DE6E"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tcBorders>
          </w:tcPr>
          <w:p w14:paraId="4208EF70"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tcBorders>
          </w:tcPr>
          <w:p w14:paraId="6BD66E7B"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tcBorders>
          </w:tcPr>
          <w:p w14:paraId="1C5959E0"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1,800</w:t>
            </w:r>
          </w:p>
        </w:tc>
      </w:tr>
      <w:tr w:rsidR="00CF0E2D" w:rsidRPr="00937A6B" w14:paraId="4896A246" w14:textId="77777777" w:rsidTr="00A60D4B">
        <w:trPr>
          <w:cantSplit/>
          <w:jc w:val="center"/>
        </w:trPr>
        <w:tc>
          <w:tcPr>
            <w:tcW w:w="3652" w:type="dxa"/>
            <w:tcBorders>
              <w:top w:val="single" w:sz="4" w:space="0" w:color="auto"/>
            </w:tcBorders>
          </w:tcPr>
          <w:p w14:paraId="796E8C2C" w14:textId="77777777" w:rsidR="00CF0E2D" w:rsidRPr="001E7E8E"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Depreciation</w:t>
            </w:r>
          </w:p>
        </w:tc>
        <w:tc>
          <w:tcPr>
            <w:tcW w:w="1179" w:type="dxa"/>
            <w:tcBorders>
              <w:top w:val="single" w:sz="4" w:space="0" w:color="auto"/>
            </w:tcBorders>
          </w:tcPr>
          <w:p w14:paraId="21047E3B"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41" w:type="dxa"/>
            <w:tcBorders>
              <w:top w:val="single" w:sz="4" w:space="0" w:color="auto"/>
            </w:tcBorders>
          </w:tcPr>
          <w:p w14:paraId="446B55DB"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85</w:t>
            </w:r>
          </w:p>
        </w:tc>
        <w:tc>
          <w:tcPr>
            <w:tcW w:w="1029" w:type="dxa"/>
            <w:tcBorders>
              <w:top w:val="single" w:sz="4" w:space="0" w:color="auto"/>
            </w:tcBorders>
          </w:tcPr>
          <w:p w14:paraId="64C983C7"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85</w:t>
            </w:r>
          </w:p>
        </w:tc>
        <w:tc>
          <w:tcPr>
            <w:tcW w:w="1029" w:type="dxa"/>
            <w:tcBorders>
              <w:top w:val="single" w:sz="4" w:space="0" w:color="auto"/>
            </w:tcBorders>
          </w:tcPr>
          <w:p w14:paraId="21D1659A"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85</w:t>
            </w:r>
          </w:p>
        </w:tc>
        <w:tc>
          <w:tcPr>
            <w:tcW w:w="1029" w:type="dxa"/>
            <w:tcBorders>
              <w:top w:val="single" w:sz="4" w:space="0" w:color="auto"/>
            </w:tcBorders>
          </w:tcPr>
          <w:p w14:paraId="79338588"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255</w:t>
            </w:r>
          </w:p>
        </w:tc>
      </w:tr>
      <w:tr w:rsidR="00CF0E2D" w:rsidRPr="00937A6B" w14:paraId="2C72C753" w14:textId="77777777" w:rsidTr="00A60D4B">
        <w:trPr>
          <w:cantSplit/>
          <w:jc w:val="center"/>
        </w:trPr>
        <w:tc>
          <w:tcPr>
            <w:tcW w:w="3652" w:type="dxa"/>
          </w:tcPr>
          <w:p w14:paraId="55DC389C"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Expenses</w:t>
            </w:r>
          </w:p>
        </w:tc>
        <w:tc>
          <w:tcPr>
            <w:tcW w:w="1179" w:type="dxa"/>
          </w:tcPr>
          <w:p w14:paraId="7C74A910"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707</w:t>
            </w:r>
          </w:p>
        </w:tc>
        <w:tc>
          <w:tcPr>
            <w:tcW w:w="1041" w:type="dxa"/>
          </w:tcPr>
          <w:p w14:paraId="2286B656"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1,278</w:t>
            </w:r>
          </w:p>
        </w:tc>
        <w:tc>
          <w:tcPr>
            <w:tcW w:w="1029" w:type="dxa"/>
          </w:tcPr>
          <w:p w14:paraId="250DCDE5"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Pr>
          <w:p w14:paraId="1DA09D11"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Pr>
          <w:p w14:paraId="35B6449B"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1,985</w:t>
            </w:r>
          </w:p>
        </w:tc>
      </w:tr>
      <w:tr w:rsidR="00CF0E2D" w:rsidRPr="00937A6B" w14:paraId="5A74C43D" w14:textId="77777777" w:rsidTr="00A60D4B">
        <w:trPr>
          <w:cantSplit/>
          <w:trHeight w:val="107"/>
          <w:jc w:val="center"/>
        </w:trPr>
        <w:tc>
          <w:tcPr>
            <w:tcW w:w="3652" w:type="dxa"/>
            <w:tcBorders>
              <w:top w:val="single" w:sz="4" w:space="0" w:color="auto"/>
              <w:bottom w:val="single" w:sz="4" w:space="0" w:color="auto"/>
            </w:tcBorders>
          </w:tcPr>
          <w:p w14:paraId="4A558CE6" w14:textId="77777777" w:rsidR="00CF0E2D" w:rsidRPr="00937A6B" w:rsidRDefault="00CF0E2D" w:rsidP="00A60D4B">
            <w:pPr>
              <w:spacing w:after="0" w:line="240" w:lineRule="auto"/>
              <w:ind w:left="321" w:hanging="321"/>
              <w:rPr>
                <w:rFonts w:ascii="Calibri" w:eastAsia="Times New Roman" w:hAnsi="Calibri" w:cs="Times New Roman"/>
                <w:b/>
                <w:sz w:val="24"/>
                <w:szCs w:val="20"/>
              </w:rPr>
            </w:pPr>
            <w:r w:rsidRPr="00937A6B">
              <w:rPr>
                <w:rFonts w:ascii="Calibri" w:eastAsia="Times New Roman" w:hAnsi="Calibri" w:cs="Times New Roman"/>
                <w:b/>
                <w:sz w:val="24"/>
                <w:szCs w:val="20"/>
              </w:rPr>
              <w:t>Net cost of services</w:t>
            </w:r>
          </w:p>
        </w:tc>
        <w:tc>
          <w:tcPr>
            <w:tcW w:w="1179" w:type="dxa"/>
            <w:tcBorders>
              <w:top w:val="single" w:sz="4" w:space="0" w:color="auto"/>
              <w:bottom w:val="single" w:sz="4" w:space="0" w:color="auto"/>
            </w:tcBorders>
          </w:tcPr>
          <w:p w14:paraId="4F0B33E9"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707</w:t>
            </w:r>
          </w:p>
        </w:tc>
        <w:tc>
          <w:tcPr>
            <w:tcW w:w="1041" w:type="dxa"/>
            <w:tcBorders>
              <w:top w:val="single" w:sz="4" w:space="0" w:color="auto"/>
              <w:bottom w:val="single" w:sz="4" w:space="0" w:color="auto"/>
            </w:tcBorders>
          </w:tcPr>
          <w:p w14:paraId="7BD3621C"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1,363</w:t>
            </w:r>
          </w:p>
        </w:tc>
        <w:tc>
          <w:tcPr>
            <w:tcW w:w="1029" w:type="dxa"/>
            <w:tcBorders>
              <w:top w:val="single" w:sz="4" w:space="0" w:color="auto"/>
              <w:bottom w:val="single" w:sz="4" w:space="0" w:color="auto"/>
            </w:tcBorders>
          </w:tcPr>
          <w:p w14:paraId="7767BEA9"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85</w:t>
            </w:r>
          </w:p>
        </w:tc>
        <w:tc>
          <w:tcPr>
            <w:tcW w:w="1029" w:type="dxa"/>
            <w:tcBorders>
              <w:top w:val="single" w:sz="4" w:space="0" w:color="auto"/>
              <w:bottom w:val="single" w:sz="4" w:space="0" w:color="auto"/>
            </w:tcBorders>
          </w:tcPr>
          <w:p w14:paraId="620A4836"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85</w:t>
            </w:r>
          </w:p>
        </w:tc>
        <w:tc>
          <w:tcPr>
            <w:tcW w:w="1029" w:type="dxa"/>
            <w:tcBorders>
              <w:top w:val="single" w:sz="4" w:space="0" w:color="auto"/>
              <w:bottom w:val="single" w:sz="4" w:space="0" w:color="auto"/>
            </w:tcBorders>
          </w:tcPr>
          <w:p w14:paraId="3F813255"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2,240</w:t>
            </w:r>
          </w:p>
        </w:tc>
      </w:tr>
    </w:tbl>
    <w:p w14:paraId="4C993E70" w14:textId="77777777" w:rsidR="00CF0E2D" w:rsidRPr="001E7E8E" w:rsidRDefault="00CF0E2D" w:rsidP="00A60D4B">
      <w:pPr>
        <w:pStyle w:val="Bbodytext"/>
        <w:rPr>
          <w:rFonts w:ascii="Calibri" w:eastAsia="Times New Roman" w:hAnsi="Calibri" w:cs="Times New Roman"/>
          <w:szCs w:val="20"/>
        </w:rPr>
      </w:pPr>
      <w:r w:rsidRPr="00E03841">
        <w:t xml:space="preserve">The Government will provide more transport options for people in Canberra’s growing regions, by delivering additional buses, </w:t>
      </w:r>
      <w:r w:rsidRPr="001E7E8E">
        <w:rPr>
          <w:rFonts w:ascii="Calibri" w:eastAsia="Times New Roman" w:hAnsi="Calibri" w:cs="Times New Roman"/>
          <w:szCs w:val="20"/>
        </w:rPr>
        <w:t xml:space="preserve">drivers, and infrastructure to service the new suburb of Whitlam. This will ensure that public transport </w:t>
      </w:r>
      <w:r w:rsidRPr="00E76FF4">
        <w:t xml:space="preserve">services are available early in the life of the suburb, giving Canberrans access to real alternatives to private vehicles. This initiative </w:t>
      </w:r>
      <w:r w:rsidRPr="001E7E8E">
        <w:rPr>
          <w:rFonts w:ascii="Calibri" w:eastAsia="Times New Roman" w:hAnsi="Calibri" w:cs="Times New Roman"/>
          <w:szCs w:val="20"/>
        </w:rPr>
        <w:t>also provides funding for feasibility work and early planning for the delivery of a future all</w:t>
      </w:r>
      <w:r>
        <w:rPr>
          <w:rFonts w:ascii="Calibri" w:eastAsia="Times New Roman" w:hAnsi="Calibri" w:cs="Times New Roman"/>
          <w:szCs w:val="20"/>
        </w:rPr>
        <w:noBreakHyphen/>
      </w:r>
      <w:r w:rsidRPr="001E7E8E">
        <w:rPr>
          <w:rFonts w:ascii="Calibri" w:eastAsia="Times New Roman" w:hAnsi="Calibri" w:cs="Times New Roman"/>
          <w:szCs w:val="20"/>
        </w:rPr>
        <w:t xml:space="preserve">electric bus depot on Canberra’s northside, supporting the transition to a zero-emissions bus fleet. </w:t>
      </w:r>
    </w:p>
    <w:p w14:paraId="2DFD2635" w14:textId="77777777" w:rsidR="00CF0E2D" w:rsidRDefault="00CF0E2D" w:rsidP="00A60D4B">
      <w:pPr>
        <w:pStyle w:val="Bbodytext"/>
        <w:rPr>
          <w:rFonts w:ascii="Calibri" w:eastAsia="Times New Roman" w:hAnsi="Calibri" w:cs="Times New Roman"/>
          <w:szCs w:val="20"/>
        </w:rPr>
      </w:pPr>
      <w:r w:rsidRPr="00DD60C9">
        <w:t>This initiative contributes to the wellbeing domains of Access and con</w:t>
      </w:r>
      <w:r w:rsidRPr="001E7E8E">
        <w:rPr>
          <w:rFonts w:ascii="Calibri" w:eastAsia="Times New Roman" w:hAnsi="Calibri" w:cs="Times New Roman"/>
          <w:szCs w:val="20"/>
        </w:rPr>
        <w:t xml:space="preserve">nectivity and Environment and </w:t>
      </w:r>
      <w:r>
        <w:rPr>
          <w:rFonts w:ascii="Calibri" w:eastAsia="Times New Roman" w:hAnsi="Calibri" w:cs="Times New Roman"/>
          <w:szCs w:val="20"/>
        </w:rPr>
        <w:t>c</w:t>
      </w:r>
      <w:r w:rsidRPr="001E7E8E">
        <w:rPr>
          <w:rFonts w:ascii="Calibri" w:eastAsia="Times New Roman" w:hAnsi="Calibri" w:cs="Times New Roman"/>
          <w:szCs w:val="20"/>
        </w:rPr>
        <w:t xml:space="preserve">limate. </w:t>
      </w:r>
    </w:p>
    <w:p w14:paraId="63AF78B9" w14:textId="77777777" w:rsidR="00CF0E2D" w:rsidRDefault="00CF0E2D" w:rsidP="00A60D4B">
      <w:pPr>
        <w:pStyle w:val="Bbodytext"/>
      </w:pPr>
    </w:p>
    <w:p w14:paraId="5DB73742" w14:textId="77777777" w:rsidR="00CF0E2D" w:rsidRPr="00937A6B" w:rsidRDefault="00CF0E2D" w:rsidP="00A60D4B">
      <w:pPr>
        <w:pStyle w:val="Heading4"/>
        <w:rPr>
          <w:rFonts w:eastAsia="Times New Roman" w:cs="Times New Roman"/>
          <w:b w:val="0"/>
          <w:bCs/>
          <w:szCs w:val="26"/>
          <w:lang w:val="x-none"/>
        </w:rPr>
      </w:pPr>
      <w:r>
        <w:rPr>
          <w:szCs w:val="28"/>
        </w:rPr>
        <w:t>Materials Recovery Facility gate fee increase</w:t>
      </w:r>
      <w:r>
        <w:rPr>
          <w:rFonts w:eastAsia="Times New Roman"/>
          <w:noProof/>
        </w:rPr>
        <w:drawing>
          <wp:anchor distT="0" distB="0" distL="114300" distR="114300" simplePos="0" relativeHeight="251847680" behindDoc="0" locked="1" layoutInCell="1" allowOverlap="1" wp14:anchorId="5A943D93" wp14:editId="040B0C7E">
            <wp:simplePos x="0" y="0"/>
            <wp:positionH relativeFrom="margin">
              <wp:align>right</wp:align>
            </wp:positionH>
            <wp:positionV relativeFrom="paragraph">
              <wp:posOffset>-132080</wp:posOffset>
            </wp:positionV>
            <wp:extent cx="1393190" cy="503555"/>
            <wp:effectExtent l="0" t="0" r="0" b="0"/>
            <wp:wrapSquare wrapText="bothSides"/>
            <wp:docPr id="225" name="Picture 225" descr="Icon representing the wellbeing domain of Environment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nvironment and clima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319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3652"/>
        <w:gridCol w:w="1179"/>
        <w:gridCol w:w="1041"/>
        <w:gridCol w:w="1029"/>
        <w:gridCol w:w="1029"/>
        <w:gridCol w:w="1029"/>
      </w:tblGrid>
      <w:tr w:rsidR="00CF0E2D" w:rsidRPr="00937A6B" w14:paraId="59727E04" w14:textId="77777777" w:rsidTr="00A60D4B">
        <w:trPr>
          <w:cantSplit/>
          <w:jc w:val="center"/>
        </w:trPr>
        <w:tc>
          <w:tcPr>
            <w:tcW w:w="3652" w:type="dxa"/>
          </w:tcPr>
          <w:p w14:paraId="58CFC7F3" w14:textId="77777777" w:rsidR="00CF0E2D" w:rsidRPr="00937A6B" w:rsidRDefault="00CF0E2D" w:rsidP="00A60D4B">
            <w:pPr>
              <w:spacing w:after="0" w:line="240" w:lineRule="auto"/>
              <w:ind w:left="720" w:hanging="720"/>
              <w:jc w:val="right"/>
              <w:rPr>
                <w:rFonts w:ascii="Calibri" w:eastAsia="Times New Roman" w:hAnsi="Calibri" w:cs="Calibri"/>
                <w:color w:val="FFFFFF"/>
                <w:sz w:val="12"/>
                <w:szCs w:val="20"/>
              </w:rPr>
            </w:pPr>
            <w:r w:rsidRPr="00937A6B">
              <w:rPr>
                <w:rFonts w:ascii="Calibri" w:eastAsia="Times New Roman" w:hAnsi="Calibri" w:cs="Calibri"/>
                <w:color w:val="FFFFFF"/>
                <w:sz w:val="12"/>
                <w:szCs w:val="20"/>
              </w:rPr>
              <w:t>Empty Cell</w:t>
            </w:r>
          </w:p>
        </w:tc>
        <w:tc>
          <w:tcPr>
            <w:tcW w:w="1179" w:type="dxa"/>
          </w:tcPr>
          <w:p w14:paraId="3636A17A" w14:textId="77777777" w:rsidR="00CF0E2D" w:rsidRPr="00937A6B" w:rsidRDefault="00CF0E2D" w:rsidP="00A60D4B">
            <w:pPr>
              <w:spacing w:after="0" w:line="240" w:lineRule="auto"/>
              <w:ind w:left="720" w:hanging="72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2021-22</w:t>
            </w:r>
          </w:p>
          <w:p w14:paraId="68DD83E2" w14:textId="77777777" w:rsidR="00CF0E2D" w:rsidRPr="00937A6B" w:rsidRDefault="00CF0E2D" w:rsidP="00A60D4B">
            <w:pPr>
              <w:spacing w:after="0" w:line="240" w:lineRule="auto"/>
              <w:ind w:left="720" w:hanging="72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41" w:type="dxa"/>
          </w:tcPr>
          <w:p w14:paraId="151968A5" w14:textId="77777777" w:rsidR="00CF0E2D" w:rsidRPr="00937A6B" w:rsidRDefault="00CF0E2D" w:rsidP="00A60D4B">
            <w:pPr>
              <w:spacing w:after="0" w:line="240" w:lineRule="auto"/>
              <w:ind w:left="720" w:hanging="72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2022-23</w:t>
            </w:r>
          </w:p>
          <w:p w14:paraId="0AD038DE" w14:textId="77777777" w:rsidR="00CF0E2D" w:rsidRPr="00937A6B" w:rsidRDefault="00CF0E2D" w:rsidP="00A60D4B">
            <w:pPr>
              <w:spacing w:after="0" w:line="240" w:lineRule="auto"/>
              <w:ind w:left="720" w:hanging="72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Pr>
          <w:p w14:paraId="71225597" w14:textId="77777777" w:rsidR="00CF0E2D" w:rsidRPr="00937A6B" w:rsidRDefault="00CF0E2D" w:rsidP="00A60D4B">
            <w:pPr>
              <w:spacing w:after="0" w:line="240" w:lineRule="auto"/>
              <w:ind w:left="720" w:hanging="72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2023-24</w:t>
            </w:r>
          </w:p>
          <w:p w14:paraId="4D3A83DB" w14:textId="77777777" w:rsidR="00CF0E2D" w:rsidRPr="00937A6B" w:rsidRDefault="00CF0E2D" w:rsidP="00A60D4B">
            <w:pPr>
              <w:spacing w:after="0" w:line="240" w:lineRule="auto"/>
              <w:ind w:left="720" w:hanging="72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Pr>
          <w:p w14:paraId="58E14817" w14:textId="77777777" w:rsidR="00CF0E2D" w:rsidRPr="00937A6B" w:rsidRDefault="00CF0E2D" w:rsidP="00A60D4B">
            <w:pPr>
              <w:spacing w:after="0" w:line="240" w:lineRule="auto"/>
              <w:ind w:left="720" w:hanging="72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2024-25</w:t>
            </w:r>
          </w:p>
          <w:p w14:paraId="55978AE6" w14:textId="77777777" w:rsidR="00CF0E2D" w:rsidRPr="00937A6B" w:rsidRDefault="00CF0E2D" w:rsidP="00A60D4B">
            <w:pPr>
              <w:spacing w:after="0" w:line="240" w:lineRule="auto"/>
              <w:ind w:left="720" w:hanging="720"/>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Pr>
          <w:p w14:paraId="31B86CA7" w14:textId="77777777" w:rsidR="00CF0E2D" w:rsidRPr="00937A6B" w:rsidRDefault="00CF0E2D" w:rsidP="00A60D4B">
            <w:pPr>
              <w:spacing w:after="0" w:line="240" w:lineRule="auto"/>
              <w:ind w:left="720" w:hanging="720"/>
              <w:jc w:val="right"/>
              <w:rPr>
                <w:rFonts w:ascii="Calibri" w:eastAsia="Times New Roman" w:hAnsi="Calibri" w:cs="Times New Roman"/>
                <w:b/>
                <w:sz w:val="24"/>
                <w:szCs w:val="20"/>
              </w:rPr>
            </w:pPr>
            <w:r w:rsidRPr="00937A6B">
              <w:rPr>
                <w:rFonts w:ascii="Calibri" w:eastAsia="Times New Roman" w:hAnsi="Calibri" w:cs="Times New Roman"/>
                <w:b/>
                <w:sz w:val="24"/>
                <w:szCs w:val="20"/>
              </w:rPr>
              <w:t>Total</w:t>
            </w:r>
          </w:p>
          <w:p w14:paraId="0B2D0702" w14:textId="77777777" w:rsidR="00CF0E2D" w:rsidRPr="00937A6B" w:rsidRDefault="00CF0E2D" w:rsidP="00A60D4B">
            <w:pPr>
              <w:spacing w:after="0" w:line="240" w:lineRule="auto"/>
              <w:ind w:left="720" w:hanging="720"/>
              <w:jc w:val="right"/>
              <w:rPr>
                <w:rFonts w:ascii="Calibri" w:eastAsia="Times New Roman" w:hAnsi="Calibri" w:cs="Times New Roman"/>
                <w:b/>
                <w:sz w:val="24"/>
                <w:szCs w:val="20"/>
              </w:rPr>
            </w:pPr>
            <w:r w:rsidRPr="00937A6B">
              <w:rPr>
                <w:rFonts w:ascii="Calibri" w:eastAsia="Times New Roman" w:hAnsi="Calibri" w:cs="Times New Roman"/>
                <w:b/>
                <w:sz w:val="24"/>
                <w:szCs w:val="20"/>
              </w:rPr>
              <w:t>$’000</w:t>
            </w:r>
          </w:p>
        </w:tc>
      </w:tr>
      <w:tr w:rsidR="00CF0E2D" w:rsidRPr="00937A6B" w14:paraId="4ACA2C18" w14:textId="77777777" w:rsidTr="00A60D4B">
        <w:trPr>
          <w:cantSplit/>
          <w:jc w:val="center"/>
        </w:trPr>
        <w:tc>
          <w:tcPr>
            <w:tcW w:w="3652" w:type="dxa"/>
          </w:tcPr>
          <w:p w14:paraId="18593254" w14:textId="77777777" w:rsidR="00CF0E2D" w:rsidRPr="00937A6B" w:rsidRDefault="00CF0E2D" w:rsidP="00A60D4B">
            <w:pPr>
              <w:spacing w:after="0" w:line="240" w:lineRule="auto"/>
              <w:ind w:left="720" w:hanging="720"/>
              <w:rPr>
                <w:rFonts w:ascii="Calibri" w:eastAsia="Times New Roman" w:hAnsi="Calibri" w:cs="Times New Roman"/>
                <w:sz w:val="24"/>
                <w:szCs w:val="20"/>
              </w:rPr>
            </w:pPr>
            <w:r w:rsidRPr="00937A6B">
              <w:rPr>
                <w:rFonts w:ascii="Calibri" w:eastAsia="Times New Roman" w:hAnsi="Calibri" w:cs="Times New Roman"/>
                <w:sz w:val="24"/>
                <w:szCs w:val="20"/>
              </w:rPr>
              <w:t>Expenses</w:t>
            </w:r>
          </w:p>
        </w:tc>
        <w:tc>
          <w:tcPr>
            <w:tcW w:w="1179" w:type="dxa"/>
          </w:tcPr>
          <w:p w14:paraId="30EC6FF2" w14:textId="77777777" w:rsidR="00CF0E2D" w:rsidRPr="00937A6B" w:rsidRDefault="00CF0E2D" w:rsidP="00A60D4B">
            <w:pPr>
              <w:spacing w:after="0" w:line="240" w:lineRule="auto"/>
              <w:ind w:left="720" w:hanging="720"/>
              <w:jc w:val="right"/>
              <w:rPr>
                <w:rFonts w:ascii="Calibri" w:eastAsia="Times New Roman" w:hAnsi="Calibri" w:cs="Times New Roman"/>
                <w:sz w:val="24"/>
                <w:szCs w:val="20"/>
              </w:rPr>
            </w:pPr>
            <w:r w:rsidRPr="00937A6B">
              <w:rPr>
                <w:rFonts w:ascii="Calibri" w:eastAsia="Times New Roman" w:hAnsi="Calibri" w:cs="Times New Roman"/>
                <w:sz w:val="24"/>
                <w:szCs w:val="20"/>
              </w:rPr>
              <w:t>1,990</w:t>
            </w:r>
          </w:p>
        </w:tc>
        <w:tc>
          <w:tcPr>
            <w:tcW w:w="1041" w:type="dxa"/>
          </w:tcPr>
          <w:p w14:paraId="798F6FED" w14:textId="77777777" w:rsidR="00CF0E2D" w:rsidRPr="00937A6B" w:rsidRDefault="00CF0E2D" w:rsidP="00A60D4B">
            <w:pPr>
              <w:spacing w:after="0" w:line="240" w:lineRule="auto"/>
              <w:ind w:left="720" w:hanging="720"/>
              <w:jc w:val="right"/>
              <w:rPr>
                <w:rFonts w:ascii="Calibri" w:eastAsia="Times New Roman" w:hAnsi="Calibri" w:cs="Times New Roman"/>
                <w:sz w:val="24"/>
                <w:szCs w:val="20"/>
              </w:rPr>
            </w:pPr>
            <w:r w:rsidRPr="00937A6B">
              <w:rPr>
                <w:rFonts w:ascii="Calibri" w:eastAsia="Times New Roman" w:hAnsi="Calibri" w:cs="Times New Roman"/>
                <w:sz w:val="24"/>
                <w:szCs w:val="20"/>
              </w:rPr>
              <w:t>2,040</w:t>
            </w:r>
          </w:p>
        </w:tc>
        <w:tc>
          <w:tcPr>
            <w:tcW w:w="1029" w:type="dxa"/>
          </w:tcPr>
          <w:p w14:paraId="0EC5CF36" w14:textId="77777777" w:rsidR="00CF0E2D" w:rsidRPr="00937A6B" w:rsidRDefault="00CF0E2D" w:rsidP="00A60D4B">
            <w:pPr>
              <w:spacing w:after="0" w:line="240" w:lineRule="auto"/>
              <w:ind w:left="720" w:hanging="720"/>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Pr>
          <w:p w14:paraId="55AB04B0" w14:textId="77777777" w:rsidR="00CF0E2D" w:rsidRPr="00937A6B" w:rsidRDefault="00CF0E2D" w:rsidP="00A60D4B">
            <w:pPr>
              <w:spacing w:after="0" w:line="240" w:lineRule="auto"/>
              <w:ind w:left="720" w:hanging="720"/>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Pr>
          <w:p w14:paraId="1CDFA503" w14:textId="77777777" w:rsidR="00CF0E2D" w:rsidRPr="00937A6B" w:rsidRDefault="00CF0E2D" w:rsidP="00A60D4B">
            <w:pPr>
              <w:spacing w:after="0" w:line="240" w:lineRule="auto"/>
              <w:ind w:left="720" w:hanging="720"/>
              <w:jc w:val="right"/>
              <w:rPr>
                <w:rFonts w:ascii="Calibri" w:eastAsia="Times New Roman" w:hAnsi="Calibri" w:cs="Times New Roman"/>
                <w:b/>
                <w:sz w:val="24"/>
                <w:szCs w:val="20"/>
              </w:rPr>
            </w:pPr>
            <w:r w:rsidRPr="00937A6B">
              <w:rPr>
                <w:rFonts w:ascii="Calibri" w:eastAsia="Times New Roman" w:hAnsi="Calibri" w:cs="Times New Roman"/>
                <w:b/>
                <w:sz w:val="24"/>
                <w:szCs w:val="20"/>
              </w:rPr>
              <w:t>4,030</w:t>
            </w:r>
          </w:p>
        </w:tc>
      </w:tr>
    </w:tbl>
    <w:p w14:paraId="490A83E9" w14:textId="77777777" w:rsidR="00CF0E2D" w:rsidRPr="00775A2B" w:rsidRDefault="00CF0E2D" w:rsidP="00A60D4B">
      <w:pPr>
        <w:pStyle w:val="Bbodytext"/>
        <w:rPr>
          <w:rFonts w:ascii="Calibri" w:eastAsia="Times New Roman" w:hAnsi="Calibri" w:cs="Times New Roman"/>
          <w:szCs w:val="20"/>
        </w:rPr>
      </w:pPr>
      <w:r w:rsidRPr="00775A2B">
        <w:t xml:space="preserve">The Government will support </w:t>
      </w:r>
      <w:r w:rsidRPr="00775A2B">
        <w:rPr>
          <w:rFonts w:ascii="Calibri" w:eastAsia="Times New Roman" w:hAnsi="Calibri" w:cs="Times New Roman"/>
          <w:szCs w:val="20"/>
        </w:rPr>
        <w:t xml:space="preserve">continued processing of recycling waste generated by the Territory by funding the contracted gate fee increase to the Materials Recovery Facility operator across 2021-22 and 2022-23. This initiative will support the continued operation of the facility in the context of waste import restrictions and the Council of Australian Governments (COAG) waste export ban. </w:t>
      </w:r>
    </w:p>
    <w:p w14:paraId="337370C4" w14:textId="77777777" w:rsidR="00CF0E2D" w:rsidRPr="00775A2B" w:rsidRDefault="00CF0E2D" w:rsidP="00A60D4B">
      <w:pPr>
        <w:pStyle w:val="Bbodytext"/>
        <w:rPr>
          <w:rFonts w:ascii="Calibri" w:eastAsia="Times New Roman" w:hAnsi="Calibri" w:cs="Times New Roman"/>
          <w:szCs w:val="20"/>
        </w:rPr>
      </w:pPr>
      <w:r w:rsidRPr="00775A2B">
        <w:lastRenderedPageBreak/>
        <w:t xml:space="preserve">This initiative contributes to the wellbeing domain </w:t>
      </w:r>
      <w:r>
        <w:t xml:space="preserve">of </w:t>
      </w:r>
      <w:r w:rsidRPr="00775A2B">
        <w:t>Environment and climate</w:t>
      </w:r>
      <w:r w:rsidRPr="00775A2B">
        <w:rPr>
          <w:rFonts w:ascii="Calibri" w:eastAsia="Times New Roman" w:hAnsi="Calibri" w:cs="Times New Roman"/>
          <w:szCs w:val="20"/>
        </w:rPr>
        <w:t>.</w:t>
      </w:r>
    </w:p>
    <w:p w14:paraId="6EB9D0FD" w14:textId="77777777" w:rsidR="00CF0E2D" w:rsidRDefault="00CF0E2D"/>
    <w:p w14:paraId="6993662E" w14:textId="77777777" w:rsidR="00CF0E2D" w:rsidRPr="00937A6B" w:rsidRDefault="00CF0E2D" w:rsidP="00A60D4B">
      <w:pPr>
        <w:pStyle w:val="Heading4"/>
        <w:rPr>
          <w:rFonts w:eastAsia="Times New Roman" w:cs="Times New Roman"/>
          <w:b w:val="0"/>
          <w:bCs/>
          <w:szCs w:val="26"/>
          <w:lang w:val="x-none"/>
        </w:rPr>
      </w:pPr>
      <w:r w:rsidRPr="00937A6B">
        <w:rPr>
          <w:rFonts w:eastAsia="Times New Roman"/>
        </w:rPr>
        <w:t xml:space="preserve">Mawson </w:t>
      </w:r>
      <w:r>
        <w:rPr>
          <w:rFonts w:eastAsia="Times New Roman" w:cs="Times New Roman"/>
          <w:szCs w:val="26"/>
        </w:rPr>
        <w:t>s</w:t>
      </w:r>
      <w:r w:rsidRPr="00937A6B">
        <w:rPr>
          <w:rFonts w:eastAsia="Times New Roman" w:cs="Times New Roman"/>
          <w:szCs w:val="26"/>
        </w:rPr>
        <w:t xml:space="preserve">tormwater and </w:t>
      </w:r>
      <w:r>
        <w:rPr>
          <w:rFonts w:eastAsia="Times New Roman" w:cs="Times New Roman"/>
          <w:szCs w:val="26"/>
        </w:rPr>
        <w:t>pl</w:t>
      </w:r>
      <w:r w:rsidRPr="00937A6B">
        <w:rPr>
          <w:rFonts w:eastAsia="Times New Roman" w:cs="Times New Roman"/>
          <w:szCs w:val="26"/>
        </w:rPr>
        <w:t>acem</w:t>
      </w:r>
      <w:r>
        <w:rPr>
          <w:rFonts w:eastAsia="Times New Roman" w:cs="Times New Roman"/>
          <w:szCs w:val="26"/>
        </w:rPr>
        <w:t>a</w:t>
      </w:r>
      <w:r w:rsidRPr="00937A6B">
        <w:rPr>
          <w:rFonts w:eastAsia="Times New Roman" w:cs="Times New Roman"/>
          <w:szCs w:val="26"/>
        </w:rPr>
        <w:t xml:space="preserve">king </w:t>
      </w:r>
      <w:r>
        <w:rPr>
          <w:rFonts w:eastAsia="Times New Roman" w:cs="Times New Roman"/>
          <w:szCs w:val="26"/>
        </w:rPr>
        <w:t>i</w:t>
      </w:r>
      <w:r w:rsidRPr="00937A6B">
        <w:rPr>
          <w:rFonts w:eastAsia="Times New Roman" w:cs="Times New Roman"/>
          <w:szCs w:val="26"/>
        </w:rPr>
        <w:t xml:space="preserve">mprovements – </w:t>
      </w:r>
      <w:r>
        <w:rPr>
          <w:rFonts w:eastAsia="Times New Roman" w:cs="Times New Roman"/>
          <w:szCs w:val="26"/>
        </w:rPr>
        <w:t>c</w:t>
      </w:r>
      <w:r w:rsidRPr="00937A6B">
        <w:rPr>
          <w:rFonts w:eastAsia="Times New Roman" w:cs="Times New Roman"/>
          <w:szCs w:val="26"/>
        </w:rPr>
        <w:t xml:space="preserve">onstruction </w:t>
      </w:r>
      <w:r>
        <w:rPr>
          <w:b w:val="0"/>
          <w:noProof/>
          <w:color w:val="999789"/>
          <w:sz w:val="32"/>
          <w:szCs w:val="24"/>
        </w:rPr>
        <w:drawing>
          <wp:anchor distT="0" distB="0" distL="114300" distR="114300" simplePos="0" relativeHeight="251910144" behindDoc="0" locked="1" layoutInCell="1" allowOverlap="1" wp14:anchorId="36EAFA51" wp14:editId="6F91C645">
            <wp:simplePos x="0" y="0"/>
            <wp:positionH relativeFrom="margin">
              <wp:align>right</wp:align>
            </wp:positionH>
            <wp:positionV relativeFrom="paragraph">
              <wp:posOffset>75565</wp:posOffset>
            </wp:positionV>
            <wp:extent cx="989965" cy="503555"/>
            <wp:effectExtent l="0" t="0" r="635" b="0"/>
            <wp:wrapSquare wrapText="bothSides"/>
            <wp:docPr id="226" name="Picture 226"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37A6B" w14:paraId="06AA6983" w14:textId="77777777" w:rsidTr="00A60D4B">
        <w:trPr>
          <w:cantSplit/>
          <w:jc w:val="center"/>
        </w:trPr>
        <w:tc>
          <w:tcPr>
            <w:tcW w:w="3652" w:type="dxa"/>
            <w:tcBorders>
              <w:top w:val="single" w:sz="4" w:space="0" w:color="auto"/>
              <w:bottom w:val="single" w:sz="4" w:space="0" w:color="auto"/>
            </w:tcBorders>
          </w:tcPr>
          <w:p w14:paraId="56C3DEAE" w14:textId="77777777" w:rsidR="00CF0E2D" w:rsidRPr="00937A6B" w:rsidRDefault="00CF0E2D" w:rsidP="00A60D4B">
            <w:pPr>
              <w:spacing w:after="0" w:line="240" w:lineRule="auto"/>
              <w:jc w:val="right"/>
              <w:rPr>
                <w:rFonts w:ascii="Calibri" w:eastAsia="Times New Roman" w:hAnsi="Calibri" w:cs="Calibri"/>
                <w:color w:val="FFFFFF"/>
                <w:sz w:val="12"/>
                <w:szCs w:val="20"/>
              </w:rPr>
            </w:pPr>
            <w:r w:rsidRPr="00937A6B">
              <w:rPr>
                <w:rFonts w:ascii="Calibri" w:eastAsia="Times New Roman" w:hAnsi="Calibri" w:cs="Calibri"/>
                <w:color w:val="FFFFFF"/>
                <w:sz w:val="12"/>
                <w:szCs w:val="20"/>
              </w:rPr>
              <w:t>Empty Cell</w:t>
            </w:r>
          </w:p>
        </w:tc>
        <w:tc>
          <w:tcPr>
            <w:tcW w:w="1179" w:type="dxa"/>
            <w:tcBorders>
              <w:top w:val="single" w:sz="4" w:space="0" w:color="auto"/>
              <w:bottom w:val="single" w:sz="4" w:space="0" w:color="auto"/>
            </w:tcBorders>
          </w:tcPr>
          <w:p w14:paraId="3342AF99"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2021-22</w:t>
            </w:r>
          </w:p>
          <w:p w14:paraId="20575A20"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41" w:type="dxa"/>
            <w:tcBorders>
              <w:top w:val="single" w:sz="4" w:space="0" w:color="auto"/>
              <w:bottom w:val="single" w:sz="4" w:space="0" w:color="auto"/>
            </w:tcBorders>
          </w:tcPr>
          <w:p w14:paraId="5229336C"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2022-23</w:t>
            </w:r>
          </w:p>
          <w:p w14:paraId="11A6A01C"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40591EE6"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2023-24</w:t>
            </w:r>
          </w:p>
          <w:p w14:paraId="36033765"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3470EF5D"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2024-25</w:t>
            </w:r>
          </w:p>
          <w:p w14:paraId="6B9B9C2C"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4BC33893"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Total</w:t>
            </w:r>
          </w:p>
          <w:p w14:paraId="1B5E2B28"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r>
      <w:tr w:rsidR="00CF0E2D" w:rsidRPr="00937A6B" w14:paraId="28EE526D" w14:textId="77777777" w:rsidTr="00A60D4B">
        <w:trPr>
          <w:cantSplit/>
          <w:jc w:val="center"/>
        </w:trPr>
        <w:tc>
          <w:tcPr>
            <w:tcW w:w="3652" w:type="dxa"/>
            <w:tcBorders>
              <w:top w:val="single" w:sz="4" w:space="0" w:color="auto"/>
            </w:tcBorders>
          </w:tcPr>
          <w:p w14:paraId="529E811C"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Capital</w:t>
            </w:r>
          </w:p>
        </w:tc>
        <w:tc>
          <w:tcPr>
            <w:tcW w:w="1179" w:type="dxa"/>
            <w:tcBorders>
              <w:top w:val="single" w:sz="4" w:space="0" w:color="auto"/>
            </w:tcBorders>
          </w:tcPr>
          <w:p w14:paraId="25CBE3B1"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1,110</w:t>
            </w:r>
          </w:p>
        </w:tc>
        <w:tc>
          <w:tcPr>
            <w:tcW w:w="1041" w:type="dxa"/>
            <w:tcBorders>
              <w:top w:val="single" w:sz="4" w:space="0" w:color="auto"/>
            </w:tcBorders>
          </w:tcPr>
          <w:p w14:paraId="19EAD2F2"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2,020</w:t>
            </w:r>
          </w:p>
        </w:tc>
        <w:tc>
          <w:tcPr>
            <w:tcW w:w="1029" w:type="dxa"/>
            <w:tcBorders>
              <w:top w:val="single" w:sz="4" w:space="0" w:color="auto"/>
            </w:tcBorders>
          </w:tcPr>
          <w:p w14:paraId="60AB58FE"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tcBorders>
          </w:tcPr>
          <w:p w14:paraId="2881E244"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tcBorders>
          </w:tcPr>
          <w:p w14:paraId="19D203F3"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3,130</w:t>
            </w:r>
          </w:p>
        </w:tc>
      </w:tr>
      <w:tr w:rsidR="00CF0E2D" w:rsidRPr="00937A6B" w14:paraId="1D818DCA" w14:textId="77777777" w:rsidTr="00A60D4B">
        <w:trPr>
          <w:cantSplit/>
          <w:jc w:val="center"/>
        </w:trPr>
        <w:tc>
          <w:tcPr>
            <w:tcW w:w="3652" w:type="dxa"/>
          </w:tcPr>
          <w:p w14:paraId="59DCEE92"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Offset – Capital – Provision</w:t>
            </w:r>
          </w:p>
        </w:tc>
        <w:tc>
          <w:tcPr>
            <w:tcW w:w="1179" w:type="dxa"/>
          </w:tcPr>
          <w:p w14:paraId="0BB9421D"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-3,110</w:t>
            </w:r>
          </w:p>
        </w:tc>
        <w:tc>
          <w:tcPr>
            <w:tcW w:w="1041" w:type="dxa"/>
          </w:tcPr>
          <w:p w14:paraId="5D2A1BAA"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-20</w:t>
            </w:r>
          </w:p>
        </w:tc>
        <w:tc>
          <w:tcPr>
            <w:tcW w:w="1029" w:type="dxa"/>
          </w:tcPr>
          <w:p w14:paraId="33742D63"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Pr>
          <w:p w14:paraId="0AFE06A2"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Pr>
          <w:p w14:paraId="4E513C42"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-3,130</w:t>
            </w:r>
          </w:p>
        </w:tc>
      </w:tr>
      <w:tr w:rsidR="00CF0E2D" w:rsidRPr="00937A6B" w14:paraId="2AD9A759" w14:textId="77777777" w:rsidTr="00A60D4B">
        <w:trPr>
          <w:cantSplit/>
          <w:jc w:val="center"/>
        </w:trPr>
        <w:tc>
          <w:tcPr>
            <w:tcW w:w="3652" w:type="dxa"/>
            <w:tcBorders>
              <w:top w:val="single" w:sz="4" w:space="0" w:color="auto"/>
              <w:bottom w:val="single" w:sz="4" w:space="0" w:color="auto"/>
            </w:tcBorders>
          </w:tcPr>
          <w:p w14:paraId="0E2941BF" w14:textId="7CDD3183" w:rsidR="00CF0E2D" w:rsidRPr="00937A6B" w:rsidRDefault="00F57411" w:rsidP="00A60D4B">
            <w:pPr>
              <w:spacing w:after="0" w:line="240" w:lineRule="auto"/>
              <w:ind w:left="321" w:hanging="321"/>
              <w:rPr>
                <w:rFonts w:ascii="Calibri" w:eastAsia="Times New Roman" w:hAnsi="Calibri" w:cs="Times New Roman"/>
                <w:b/>
                <w:bCs/>
                <w:sz w:val="24"/>
                <w:szCs w:val="20"/>
              </w:rPr>
            </w:pPr>
            <w:r>
              <w:rPr>
                <w:rFonts w:ascii="Calibri" w:eastAsia="Times New Roman" w:hAnsi="Calibri" w:cs="Times New Roman"/>
                <w:b/>
                <w:bCs/>
                <w:sz w:val="24"/>
                <w:szCs w:val="20"/>
              </w:rPr>
              <w:t>Net capital</w:t>
            </w:r>
          </w:p>
        </w:tc>
        <w:tc>
          <w:tcPr>
            <w:tcW w:w="1179" w:type="dxa"/>
            <w:tcBorders>
              <w:top w:val="single" w:sz="4" w:space="0" w:color="auto"/>
              <w:bottom w:val="single" w:sz="4" w:space="0" w:color="auto"/>
            </w:tcBorders>
          </w:tcPr>
          <w:p w14:paraId="5FCBFB2D"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-2,000</w:t>
            </w:r>
          </w:p>
        </w:tc>
        <w:tc>
          <w:tcPr>
            <w:tcW w:w="1041" w:type="dxa"/>
            <w:tcBorders>
              <w:top w:val="single" w:sz="4" w:space="0" w:color="auto"/>
              <w:bottom w:val="single" w:sz="4" w:space="0" w:color="auto"/>
            </w:tcBorders>
          </w:tcPr>
          <w:p w14:paraId="2F6FCF6E"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2,000</w:t>
            </w:r>
          </w:p>
        </w:tc>
        <w:tc>
          <w:tcPr>
            <w:tcW w:w="1029" w:type="dxa"/>
            <w:tcBorders>
              <w:top w:val="single" w:sz="4" w:space="0" w:color="auto"/>
              <w:bottom w:val="single" w:sz="4" w:space="0" w:color="auto"/>
            </w:tcBorders>
          </w:tcPr>
          <w:p w14:paraId="6F757FE2"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w:t>
            </w:r>
          </w:p>
        </w:tc>
        <w:tc>
          <w:tcPr>
            <w:tcW w:w="1029" w:type="dxa"/>
            <w:tcBorders>
              <w:top w:val="single" w:sz="4" w:space="0" w:color="auto"/>
              <w:bottom w:val="single" w:sz="4" w:space="0" w:color="auto"/>
            </w:tcBorders>
          </w:tcPr>
          <w:p w14:paraId="09B7E18A"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w:t>
            </w:r>
          </w:p>
        </w:tc>
        <w:tc>
          <w:tcPr>
            <w:tcW w:w="1029" w:type="dxa"/>
            <w:tcBorders>
              <w:top w:val="single" w:sz="4" w:space="0" w:color="auto"/>
              <w:bottom w:val="single" w:sz="4" w:space="0" w:color="auto"/>
            </w:tcBorders>
          </w:tcPr>
          <w:p w14:paraId="6E5415EA"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w:t>
            </w:r>
          </w:p>
        </w:tc>
      </w:tr>
      <w:tr w:rsidR="00CF0E2D" w:rsidRPr="00937A6B" w14:paraId="4C54B308" w14:textId="77777777" w:rsidTr="00A60D4B">
        <w:trPr>
          <w:cantSplit/>
          <w:jc w:val="center"/>
        </w:trPr>
        <w:tc>
          <w:tcPr>
            <w:tcW w:w="3652" w:type="dxa"/>
            <w:tcBorders>
              <w:top w:val="single" w:sz="4" w:space="0" w:color="auto"/>
            </w:tcBorders>
          </w:tcPr>
          <w:p w14:paraId="7AF5C630" w14:textId="77777777" w:rsidR="00CF0E2D" w:rsidRPr="00FD75D5" w:rsidRDefault="00CF0E2D" w:rsidP="00A60D4B">
            <w:pPr>
              <w:spacing w:after="0" w:line="240" w:lineRule="auto"/>
              <w:ind w:left="321" w:hanging="321"/>
              <w:rPr>
                <w:rFonts w:ascii="Calibri" w:eastAsia="Times New Roman" w:hAnsi="Calibri" w:cs="Times New Roman"/>
                <w:sz w:val="24"/>
                <w:szCs w:val="20"/>
              </w:rPr>
            </w:pPr>
            <w:r w:rsidRPr="00FD75D5">
              <w:rPr>
                <w:rFonts w:ascii="Calibri" w:eastAsia="Times New Roman" w:hAnsi="Calibri" w:cs="Times New Roman"/>
                <w:sz w:val="24"/>
                <w:szCs w:val="20"/>
              </w:rPr>
              <w:t>Depreciation</w:t>
            </w:r>
          </w:p>
        </w:tc>
        <w:tc>
          <w:tcPr>
            <w:tcW w:w="1179" w:type="dxa"/>
            <w:tcBorders>
              <w:top w:val="single" w:sz="4" w:space="0" w:color="auto"/>
            </w:tcBorders>
          </w:tcPr>
          <w:p w14:paraId="41C11CDE"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41" w:type="dxa"/>
            <w:tcBorders>
              <w:top w:val="single" w:sz="4" w:space="0" w:color="auto"/>
            </w:tcBorders>
          </w:tcPr>
          <w:p w14:paraId="287D4D30"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tcBorders>
          </w:tcPr>
          <w:p w14:paraId="6A06EA6D"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63</w:t>
            </w:r>
          </w:p>
        </w:tc>
        <w:tc>
          <w:tcPr>
            <w:tcW w:w="1029" w:type="dxa"/>
            <w:tcBorders>
              <w:top w:val="single" w:sz="4" w:space="0" w:color="auto"/>
            </w:tcBorders>
          </w:tcPr>
          <w:p w14:paraId="265C3616"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63</w:t>
            </w:r>
          </w:p>
        </w:tc>
        <w:tc>
          <w:tcPr>
            <w:tcW w:w="1029" w:type="dxa"/>
            <w:tcBorders>
              <w:top w:val="single" w:sz="4" w:space="0" w:color="auto"/>
            </w:tcBorders>
          </w:tcPr>
          <w:p w14:paraId="3A939F57"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126</w:t>
            </w:r>
          </w:p>
        </w:tc>
      </w:tr>
      <w:tr w:rsidR="00CF0E2D" w:rsidRPr="00937A6B" w14:paraId="79887DD6" w14:textId="77777777" w:rsidTr="00A60D4B">
        <w:trPr>
          <w:cantSplit/>
          <w:jc w:val="center"/>
        </w:trPr>
        <w:tc>
          <w:tcPr>
            <w:tcW w:w="3652" w:type="dxa"/>
            <w:tcBorders>
              <w:bottom w:val="single" w:sz="4" w:space="0" w:color="auto"/>
            </w:tcBorders>
          </w:tcPr>
          <w:p w14:paraId="68651F5B" w14:textId="77777777" w:rsidR="00CF0E2D" w:rsidRPr="00FD75D5" w:rsidRDefault="00CF0E2D" w:rsidP="00A60D4B">
            <w:pPr>
              <w:spacing w:after="0" w:line="240" w:lineRule="auto"/>
              <w:ind w:left="321" w:hanging="321"/>
              <w:rPr>
                <w:rFonts w:ascii="Calibri" w:eastAsia="Times New Roman" w:hAnsi="Calibri" w:cs="Times New Roman"/>
                <w:sz w:val="24"/>
                <w:szCs w:val="20"/>
              </w:rPr>
            </w:pPr>
            <w:r w:rsidRPr="00FD75D5">
              <w:rPr>
                <w:rFonts w:ascii="Calibri" w:eastAsia="Times New Roman" w:hAnsi="Calibri" w:cs="Times New Roman"/>
                <w:sz w:val="24"/>
                <w:szCs w:val="20"/>
              </w:rPr>
              <w:t>Expense</w:t>
            </w:r>
          </w:p>
        </w:tc>
        <w:tc>
          <w:tcPr>
            <w:tcW w:w="1179" w:type="dxa"/>
            <w:tcBorders>
              <w:bottom w:val="single" w:sz="4" w:space="0" w:color="auto"/>
            </w:tcBorders>
          </w:tcPr>
          <w:p w14:paraId="0A70E404"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41" w:type="dxa"/>
            <w:tcBorders>
              <w:bottom w:val="single" w:sz="4" w:space="0" w:color="auto"/>
            </w:tcBorders>
          </w:tcPr>
          <w:p w14:paraId="27E82DE5"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bottom w:val="single" w:sz="4" w:space="0" w:color="auto"/>
            </w:tcBorders>
          </w:tcPr>
          <w:p w14:paraId="113565C3"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bottom w:val="single" w:sz="4" w:space="0" w:color="auto"/>
            </w:tcBorders>
          </w:tcPr>
          <w:p w14:paraId="488DACD3"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21</w:t>
            </w:r>
          </w:p>
        </w:tc>
        <w:tc>
          <w:tcPr>
            <w:tcW w:w="1029" w:type="dxa"/>
            <w:tcBorders>
              <w:bottom w:val="single" w:sz="4" w:space="0" w:color="auto"/>
            </w:tcBorders>
          </w:tcPr>
          <w:p w14:paraId="7E2C0353"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21</w:t>
            </w:r>
          </w:p>
        </w:tc>
      </w:tr>
      <w:tr w:rsidR="00CF0E2D" w:rsidRPr="00937A6B" w14:paraId="4007D68B" w14:textId="77777777" w:rsidTr="00A60D4B">
        <w:trPr>
          <w:cantSplit/>
          <w:trHeight w:val="107"/>
          <w:jc w:val="center"/>
        </w:trPr>
        <w:tc>
          <w:tcPr>
            <w:tcW w:w="3652" w:type="dxa"/>
            <w:tcBorders>
              <w:top w:val="single" w:sz="4" w:space="0" w:color="auto"/>
              <w:bottom w:val="single" w:sz="4" w:space="0" w:color="auto"/>
            </w:tcBorders>
          </w:tcPr>
          <w:p w14:paraId="04507029" w14:textId="77777777" w:rsidR="00CF0E2D" w:rsidRPr="00937A6B" w:rsidRDefault="00CF0E2D" w:rsidP="00A60D4B">
            <w:pPr>
              <w:spacing w:after="0" w:line="240" w:lineRule="auto"/>
              <w:ind w:left="321" w:hanging="321"/>
              <w:rPr>
                <w:rFonts w:ascii="Calibri" w:eastAsia="Times New Roman" w:hAnsi="Calibri" w:cs="Times New Roman"/>
                <w:b/>
                <w:sz w:val="24"/>
                <w:szCs w:val="20"/>
              </w:rPr>
            </w:pPr>
            <w:r w:rsidRPr="00937A6B">
              <w:rPr>
                <w:rFonts w:ascii="Calibri" w:eastAsia="Times New Roman" w:hAnsi="Calibri" w:cs="Times New Roman"/>
                <w:b/>
                <w:sz w:val="24"/>
                <w:szCs w:val="20"/>
              </w:rPr>
              <w:t>Net cost of services</w:t>
            </w:r>
          </w:p>
        </w:tc>
        <w:tc>
          <w:tcPr>
            <w:tcW w:w="1179" w:type="dxa"/>
            <w:tcBorders>
              <w:top w:val="single" w:sz="4" w:space="0" w:color="auto"/>
              <w:bottom w:val="single" w:sz="4" w:space="0" w:color="auto"/>
            </w:tcBorders>
          </w:tcPr>
          <w:p w14:paraId="1CEB7A49"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0</w:t>
            </w:r>
          </w:p>
        </w:tc>
        <w:tc>
          <w:tcPr>
            <w:tcW w:w="1041" w:type="dxa"/>
            <w:tcBorders>
              <w:top w:val="single" w:sz="4" w:space="0" w:color="auto"/>
              <w:bottom w:val="single" w:sz="4" w:space="0" w:color="auto"/>
            </w:tcBorders>
          </w:tcPr>
          <w:p w14:paraId="10BF0E80"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0</w:t>
            </w:r>
          </w:p>
        </w:tc>
        <w:tc>
          <w:tcPr>
            <w:tcW w:w="1029" w:type="dxa"/>
            <w:tcBorders>
              <w:top w:val="single" w:sz="4" w:space="0" w:color="auto"/>
              <w:bottom w:val="single" w:sz="4" w:space="0" w:color="auto"/>
            </w:tcBorders>
          </w:tcPr>
          <w:p w14:paraId="0C9BFF06"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63</w:t>
            </w:r>
          </w:p>
        </w:tc>
        <w:tc>
          <w:tcPr>
            <w:tcW w:w="1029" w:type="dxa"/>
            <w:tcBorders>
              <w:top w:val="single" w:sz="4" w:space="0" w:color="auto"/>
              <w:bottom w:val="single" w:sz="4" w:space="0" w:color="auto"/>
            </w:tcBorders>
          </w:tcPr>
          <w:p w14:paraId="57933756"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84</w:t>
            </w:r>
          </w:p>
        </w:tc>
        <w:tc>
          <w:tcPr>
            <w:tcW w:w="1029" w:type="dxa"/>
            <w:tcBorders>
              <w:top w:val="single" w:sz="4" w:space="0" w:color="auto"/>
              <w:bottom w:val="single" w:sz="4" w:space="0" w:color="auto"/>
            </w:tcBorders>
          </w:tcPr>
          <w:p w14:paraId="45BEB3E3"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147</w:t>
            </w:r>
          </w:p>
        </w:tc>
      </w:tr>
    </w:tbl>
    <w:p w14:paraId="07BE6C7D" w14:textId="77777777" w:rsidR="00CF0E2D" w:rsidRPr="00937A6B" w:rsidRDefault="00CF0E2D" w:rsidP="00A60D4B">
      <w:pPr>
        <w:pStyle w:val="Bbodytext"/>
        <w:rPr>
          <w:rFonts w:ascii="Calibri" w:eastAsia="Times New Roman" w:hAnsi="Calibri" w:cs="Times New Roman"/>
          <w:szCs w:val="20"/>
        </w:rPr>
      </w:pPr>
      <w:r w:rsidRPr="00937A6B">
        <w:t>The Government</w:t>
      </w:r>
      <w:r w:rsidRPr="00937A6B">
        <w:rPr>
          <w:rFonts w:ascii="Calibri" w:eastAsia="Times New Roman" w:hAnsi="Calibri" w:cs="Times New Roman"/>
          <w:szCs w:val="20"/>
        </w:rPr>
        <w:t xml:space="preserve"> will deliver stormwater and placemaking improvements on the southern side of the Mawson Group Centre. This will reduce flood risk in the area </w:t>
      </w:r>
      <w:r>
        <w:rPr>
          <w:rFonts w:ascii="Calibri" w:eastAsia="Times New Roman" w:hAnsi="Calibri" w:cs="Times New Roman"/>
          <w:szCs w:val="20"/>
        </w:rPr>
        <w:t>by</w:t>
      </w:r>
      <w:r w:rsidRPr="00937A6B">
        <w:rPr>
          <w:rFonts w:ascii="Calibri" w:eastAsia="Times New Roman" w:hAnsi="Calibri" w:cs="Times New Roman"/>
          <w:szCs w:val="20"/>
        </w:rPr>
        <w:t xml:space="preserve"> building retarding structures upstream along Yarralumla Creek, as well as improving paths, lighting and landscaping around the Centre.</w:t>
      </w:r>
    </w:p>
    <w:p w14:paraId="2F54B0A8" w14:textId="77777777" w:rsidR="00CF0E2D" w:rsidRPr="00057AFE" w:rsidRDefault="00CF0E2D" w:rsidP="00A60D4B">
      <w:pPr>
        <w:pStyle w:val="Bbodytext"/>
        <w:rPr>
          <w:rFonts w:ascii="Calibri" w:eastAsia="Times New Roman" w:hAnsi="Calibri" w:cs="Times New Roman"/>
          <w:i/>
          <w:iCs/>
          <w:szCs w:val="20"/>
        </w:rPr>
      </w:pPr>
      <w:r w:rsidRPr="00937A6B">
        <w:t>This ini</w:t>
      </w:r>
      <w:r w:rsidRPr="00937A6B">
        <w:rPr>
          <w:rFonts w:ascii="Calibri" w:eastAsia="Times New Roman" w:hAnsi="Calibri" w:cs="Times New Roman"/>
          <w:szCs w:val="20"/>
        </w:rPr>
        <w:t>tiative will build on detailed design funding provided for water management infrastructure in Mawson in the 2019-20 Budget</w:t>
      </w:r>
      <w:r>
        <w:rPr>
          <w:rFonts w:ascii="Calibri" w:eastAsia="Times New Roman" w:hAnsi="Calibri" w:cs="Times New Roman"/>
          <w:szCs w:val="20"/>
        </w:rPr>
        <w:t xml:space="preserve"> </w:t>
      </w:r>
      <w:bookmarkStart w:id="61" w:name="_Hlk84256641"/>
      <w:r>
        <w:rPr>
          <w:rFonts w:ascii="Calibri" w:eastAsia="Times New Roman" w:hAnsi="Calibri" w:cs="Times New Roman"/>
          <w:szCs w:val="20"/>
        </w:rPr>
        <w:t xml:space="preserve">and includes Commonwealth funding under the </w:t>
      </w:r>
      <w:r>
        <w:rPr>
          <w:rFonts w:ascii="Calibri" w:eastAsia="Times New Roman" w:hAnsi="Calibri" w:cs="Times New Roman"/>
          <w:i/>
          <w:iCs/>
          <w:szCs w:val="20"/>
        </w:rPr>
        <w:t>National Flood Mitigation Infrastructure Program.</w:t>
      </w:r>
      <w:bookmarkEnd w:id="61"/>
    </w:p>
    <w:p w14:paraId="5F09EE2D" w14:textId="77777777" w:rsidR="00CF0E2D" w:rsidRDefault="00CF0E2D" w:rsidP="00A60D4B">
      <w:pPr>
        <w:pStyle w:val="Bbodytext"/>
        <w:rPr>
          <w:rFonts w:ascii="Calibri" w:eastAsia="Times New Roman" w:hAnsi="Calibri" w:cs="Times New Roman"/>
          <w:szCs w:val="20"/>
        </w:rPr>
      </w:pPr>
      <w:r>
        <w:t>This initiative</w:t>
      </w:r>
      <w:r w:rsidRPr="00937A6B">
        <w:rPr>
          <w:rFonts w:ascii="Calibri" w:eastAsia="Times New Roman" w:hAnsi="Calibri" w:cs="Times New Roman"/>
          <w:szCs w:val="20"/>
        </w:rPr>
        <w:t xml:space="preserve"> contributes to the wellbeing domains of Safety and Access and connectivity. </w:t>
      </w:r>
    </w:p>
    <w:p w14:paraId="1B0329B0" w14:textId="77777777" w:rsidR="00CF0E2D" w:rsidRDefault="00CF0E2D" w:rsidP="00A60D4B">
      <w:pPr>
        <w:pStyle w:val="Heading4"/>
        <w:rPr>
          <w:rFonts w:eastAsia="Times New Roman"/>
        </w:rPr>
      </w:pPr>
    </w:p>
    <w:p w14:paraId="636309A5" w14:textId="77777777" w:rsidR="00CF0E2D" w:rsidRDefault="00CF0E2D" w:rsidP="00A60D4B">
      <w:pPr>
        <w:pStyle w:val="Heading4"/>
        <w:rPr>
          <w:rFonts w:eastAsia="Times New Roman"/>
        </w:rPr>
      </w:pPr>
      <w:r>
        <w:rPr>
          <w:b w:val="0"/>
          <w:noProof/>
          <w:color w:val="999789"/>
          <w:sz w:val="32"/>
          <w:szCs w:val="24"/>
        </w:rPr>
        <w:drawing>
          <wp:anchor distT="0" distB="0" distL="114300" distR="114300" simplePos="0" relativeHeight="251940864" behindDoc="0" locked="0" layoutInCell="1" allowOverlap="1" wp14:anchorId="467044E5" wp14:editId="5C0FDA89">
            <wp:simplePos x="0" y="0"/>
            <wp:positionH relativeFrom="margin">
              <wp:align>right</wp:align>
            </wp:positionH>
            <wp:positionV relativeFrom="margin">
              <wp:posOffset>4896968</wp:posOffset>
            </wp:positionV>
            <wp:extent cx="1355725" cy="503555"/>
            <wp:effectExtent l="0" t="0" r="0" b="0"/>
            <wp:wrapSquare wrapText="bothSides"/>
            <wp:docPr id="227" name="Picture 227" descr="Icon representing the wellbeing domain of Education and life-long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 representing the wellbeing domain of Education and life-long learni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355725" cy="503555"/>
                    </a:xfrm>
                    <a:prstGeom prst="rect">
                      <a:avLst/>
                    </a:prstGeom>
                  </pic:spPr>
                </pic:pic>
              </a:graphicData>
            </a:graphic>
          </wp:anchor>
        </w:drawing>
      </w:r>
      <w:r w:rsidRPr="00BA62AE">
        <w:rPr>
          <w:rFonts w:eastAsia="Times New Roman"/>
        </w:rPr>
        <w:t xml:space="preserve">New and expanded schools </w:t>
      </w:r>
      <w:r>
        <w:rPr>
          <w:rFonts w:eastAsia="Times New Roman"/>
        </w:rPr>
        <w:t>–</w:t>
      </w:r>
      <w:r w:rsidRPr="00BA62AE">
        <w:rPr>
          <w:rFonts w:eastAsia="Times New Roman"/>
        </w:rPr>
        <w:t xml:space="preserve"> Roadworks to support East Gungahlin High School</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37A6B" w14:paraId="10F8588C" w14:textId="77777777" w:rsidTr="00A60D4B">
        <w:trPr>
          <w:cantSplit/>
          <w:jc w:val="center"/>
        </w:trPr>
        <w:tc>
          <w:tcPr>
            <w:tcW w:w="3652" w:type="dxa"/>
            <w:tcBorders>
              <w:top w:val="single" w:sz="4" w:space="0" w:color="auto"/>
              <w:bottom w:val="single" w:sz="4" w:space="0" w:color="auto"/>
            </w:tcBorders>
          </w:tcPr>
          <w:p w14:paraId="6975EE6F" w14:textId="77777777" w:rsidR="00CF0E2D" w:rsidRPr="00881ED2" w:rsidRDefault="00CF0E2D" w:rsidP="00A60D4B">
            <w:pPr>
              <w:spacing w:after="0"/>
              <w:jc w:val="right"/>
              <w:rPr>
                <w:rFonts w:cs="Calibri"/>
                <w:color w:val="FFFFFF"/>
                <w:sz w:val="24"/>
                <w:szCs w:val="24"/>
              </w:rPr>
            </w:pPr>
            <w:r w:rsidRPr="00881ED2">
              <w:rPr>
                <w:rFonts w:cs="Calibri"/>
                <w:color w:val="FFFFFF"/>
                <w:sz w:val="24"/>
                <w:szCs w:val="24"/>
              </w:rPr>
              <w:t>Empty Cell</w:t>
            </w:r>
          </w:p>
        </w:tc>
        <w:tc>
          <w:tcPr>
            <w:tcW w:w="1179" w:type="dxa"/>
            <w:tcBorders>
              <w:top w:val="single" w:sz="4" w:space="0" w:color="auto"/>
              <w:bottom w:val="single" w:sz="4" w:space="0" w:color="auto"/>
            </w:tcBorders>
          </w:tcPr>
          <w:p w14:paraId="6C48FCF3" w14:textId="77777777" w:rsidR="00CF0E2D" w:rsidRPr="00881ED2" w:rsidRDefault="00CF0E2D" w:rsidP="00A60D4B">
            <w:pPr>
              <w:spacing w:after="0"/>
              <w:jc w:val="right"/>
              <w:rPr>
                <w:b/>
                <w:bCs/>
                <w:sz w:val="24"/>
                <w:szCs w:val="24"/>
              </w:rPr>
            </w:pPr>
            <w:r w:rsidRPr="00881ED2">
              <w:rPr>
                <w:b/>
                <w:bCs/>
                <w:sz w:val="24"/>
                <w:szCs w:val="24"/>
              </w:rPr>
              <w:t>2021-22</w:t>
            </w:r>
          </w:p>
          <w:p w14:paraId="471CF44E" w14:textId="77777777" w:rsidR="00CF0E2D" w:rsidRPr="00881ED2" w:rsidRDefault="00CF0E2D" w:rsidP="00A60D4B">
            <w:pPr>
              <w:spacing w:after="0"/>
              <w:jc w:val="right"/>
              <w:rPr>
                <w:b/>
                <w:bCs/>
                <w:sz w:val="24"/>
                <w:szCs w:val="24"/>
              </w:rPr>
            </w:pPr>
            <w:r w:rsidRPr="00881ED2">
              <w:rPr>
                <w:b/>
                <w:bCs/>
                <w:sz w:val="24"/>
                <w:szCs w:val="24"/>
              </w:rPr>
              <w:t>$’000</w:t>
            </w:r>
          </w:p>
        </w:tc>
        <w:tc>
          <w:tcPr>
            <w:tcW w:w="1041" w:type="dxa"/>
            <w:tcBorders>
              <w:top w:val="single" w:sz="4" w:space="0" w:color="auto"/>
              <w:bottom w:val="single" w:sz="4" w:space="0" w:color="auto"/>
            </w:tcBorders>
          </w:tcPr>
          <w:p w14:paraId="3CD54242" w14:textId="77777777" w:rsidR="00CF0E2D" w:rsidRPr="00881ED2" w:rsidRDefault="00CF0E2D" w:rsidP="00A60D4B">
            <w:pPr>
              <w:spacing w:after="0"/>
              <w:jc w:val="right"/>
              <w:rPr>
                <w:b/>
                <w:bCs/>
                <w:sz w:val="24"/>
                <w:szCs w:val="24"/>
              </w:rPr>
            </w:pPr>
            <w:r w:rsidRPr="00881ED2">
              <w:rPr>
                <w:b/>
                <w:bCs/>
                <w:sz w:val="24"/>
                <w:szCs w:val="24"/>
              </w:rPr>
              <w:t>2022-23</w:t>
            </w:r>
          </w:p>
          <w:p w14:paraId="5C5BA35C" w14:textId="77777777" w:rsidR="00CF0E2D" w:rsidRPr="00881ED2" w:rsidRDefault="00CF0E2D" w:rsidP="00A60D4B">
            <w:pPr>
              <w:spacing w:after="0"/>
              <w:jc w:val="right"/>
              <w:rPr>
                <w:b/>
                <w:bCs/>
                <w:sz w:val="24"/>
                <w:szCs w:val="24"/>
              </w:rPr>
            </w:pPr>
            <w:r w:rsidRPr="00881ED2">
              <w:rPr>
                <w:b/>
                <w:bCs/>
                <w:sz w:val="24"/>
                <w:szCs w:val="24"/>
              </w:rPr>
              <w:t>$’000</w:t>
            </w:r>
          </w:p>
        </w:tc>
        <w:tc>
          <w:tcPr>
            <w:tcW w:w="1029" w:type="dxa"/>
            <w:tcBorders>
              <w:top w:val="single" w:sz="4" w:space="0" w:color="auto"/>
              <w:bottom w:val="single" w:sz="4" w:space="0" w:color="auto"/>
            </w:tcBorders>
          </w:tcPr>
          <w:p w14:paraId="4296E1E7" w14:textId="77777777" w:rsidR="00CF0E2D" w:rsidRPr="00881ED2" w:rsidRDefault="00CF0E2D" w:rsidP="00A60D4B">
            <w:pPr>
              <w:spacing w:after="0"/>
              <w:jc w:val="right"/>
              <w:rPr>
                <w:b/>
                <w:bCs/>
                <w:sz w:val="24"/>
                <w:szCs w:val="24"/>
              </w:rPr>
            </w:pPr>
            <w:r w:rsidRPr="00881ED2">
              <w:rPr>
                <w:b/>
                <w:bCs/>
                <w:sz w:val="24"/>
                <w:szCs w:val="24"/>
              </w:rPr>
              <w:t>2023-24</w:t>
            </w:r>
          </w:p>
          <w:p w14:paraId="316540D2" w14:textId="77777777" w:rsidR="00CF0E2D" w:rsidRPr="00881ED2" w:rsidRDefault="00CF0E2D" w:rsidP="00A60D4B">
            <w:pPr>
              <w:spacing w:after="0"/>
              <w:jc w:val="right"/>
              <w:rPr>
                <w:b/>
                <w:bCs/>
                <w:sz w:val="24"/>
                <w:szCs w:val="24"/>
              </w:rPr>
            </w:pPr>
            <w:r w:rsidRPr="00881ED2">
              <w:rPr>
                <w:b/>
                <w:bCs/>
                <w:sz w:val="24"/>
                <w:szCs w:val="24"/>
              </w:rPr>
              <w:t>$’000</w:t>
            </w:r>
          </w:p>
        </w:tc>
        <w:tc>
          <w:tcPr>
            <w:tcW w:w="1029" w:type="dxa"/>
            <w:tcBorders>
              <w:top w:val="single" w:sz="4" w:space="0" w:color="auto"/>
              <w:bottom w:val="single" w:sz="4" w:space="0" w:color="auto"/>
            </w:tcBorders>
          </w:tcPr>
          <w:p w14:paraId="14749354" w14:textId="77777777" w:rsidR="00CF0E2D" w:rsidRPr="00881ED2" w:rsidRDefault="00CF0E2D" w:rsidP="00A60D4B">
            <w:pPr>
              <w:spacing w:after="0"/>
              <w:jc w:val="right"/>
              <w:rPr>
                <w:b/>
                <w:bCs/>
                <w:sz w:val="24"/>
                <w:szCs w:val="24"/>
              </w:rPr>
            </w:pPr>
            <w:r w:rsidRPr="00881ED2">
              <w:rPr>
                <w:b/>
                <w:bCs/>
                <w:sz w:val="24"/>
                <w:szCs w:val="24"/>
              </w:rPr>
              <w:t>2024-25</w:t>
            </w:r>
          </w:p>
          <w:p w14:paraId="5744CB97" w14:textId="77777777" w:rsidR="00CF0E2D" w:rsidRPr="00881ED2" w:rsidRDefault="00CF0E2D" w:rsidP="00A60D4B">
            <w:pPr>
              <w:spacing w:after="0"/>
              <w:jc w:val="right"/>
              <w:rPr>
                <w:b/>
                <w:bCs/>
                <w:sz w:val="24"/>
                <w:szCs w:val="24"/>
              </w:rPr>
            </w:pPr>
            <w:r w:rsidRPr="00881ED2">
              <w:rPr>
                <w:b/>
                <w:bCs/>
                <w:sz w:val="24"/>
                <w:szCs w:val="24"/>
              </w:rPr>
              <w:t>$’000</w:t>
            </w:r>
          </w:p>
        </w:tc>
        <w:tc>
          <w:tcPr>
            <w:tcW w:w="1029" w:type="dxa"/>
            <w:tcBorders>
              <w:top w:val="single" w:sz="4" w:space="0" w:color="auto"/>
              <w:bottom w:val="single" w:sz="4" w:space="0" w:color="auto"/>
            </w:tcBorders>
          </w:tcPr>
          <w:p w14:paraId="0543440A" w14:textId="77777777" w:rsidR="00CF0E2D" w:rsidRPr="00881ED2" w:rsidRDefault="00CF0E2D" w:rsidP="00A60D4B">
            <w:pPr>
              <w:spacing w:after="0"/>
              <w:jc w:val="right"/>
              <w:rPr>
                <w:b/>
                <w:sz w:val="24"/>
                <w:szCs w:val="24"/>
              </w:rPr>
            </w:pPr>
            <w:r w:rsidRPr="00881ED2">
              <w:rPr>
                <w:b/>
                <w:sz w:val="24"/>
                <w:szCs w:val="24"/>
              </w:rPr>
              <w:t>Total</w:t>
            </w:r>
          </w:p>
          <w:p w14:paraId="0095E17E" w14:textId="77777777" w:rsidR="00CF0E2D" w:rsidRPr="00881ED2" w:rsidRDefault="00CF0E2D" w:rsidP="00A60D4B">
            <w:pPr>
              <w:spacing w:after="0"/>
              <w:jc w:val="right"/>
              <w:rPr>
                <w:b/>
                <w:sz w:val="24"/>
                <w:szCs w:val="24"/>
              </w:rPr>
            </w:pPr>
            <w:r w:rsidRPr="00881ED2">
              <w:rPr>
                <w:b/>
                <w:sz w:val="24"/>
                <w:szCs w:val="24"/>
              </w:rPr>
              <w:t>$’000</w:t>
            </w:r>
          </w:p>
        </w:tc>
      </w:tr>
      <w:tr w:rsidR="00CF0E2D" w:rsidRPr="00937A6B" w14:paraId="0880603D" w14:textId="77777777" w:rsidTr="00A60D4B">
        <w:trPr>
          <w:cantSplit/>
          <w:jc w:val="center"/>
        </w:trPr>
        <w:tc>
          <w:tcPr>
            <w:tcW w:w="3652" w:type="dxa"/>
            <w:tcBorders>
              <w:top w:val="single" w:sz="4" w:space="0" w:color="auto"/>
            </w:tcBorders>
          </w:tcPr>
          <w:p w14:paraId="2269A810" w14:textId="77777777" w:rsidR="00CF0E2D" w:rsidRPr="00881ED2" w:rsidRDefault="00CF0E2D" w:rsidP="00A60D4B">
            <w:pPr>
              <w:spacing w:after="0"/>
              <w:ind w:left="321" w:hanging="321"/>
              <w:rPr>
                <w:sz w:val="24"/>
                <w:szCs w:val="24"/>
              </w:rPr>
            </w:pPr>
            <w:r w:rsidRPr="00881ED2">
              <w:rPr>
                <w:sz w:val="24"/>
                <w:szCs w:val="24"/>
              </w:rPr>
              <w:t>Capital</w:t>
            </w:r>
          </w:p>
        </w:tc>
        <w:tc>
          <w:tcPr>
            <w:tcW w:w="1179" w:type="dxa"/>
            <w:tcBorders>
              <w:top w:val="single" w:sz="4" w:space="0" w:color="auto"/>
            </w:tcBorders>
          </w:tcPr>
          <w:p w14:paraId="4A612B71" w14:textId="77777777" w:rsidR="00CF0E2D" w:rsidRPr="00881ED2" w:rsidRDefault="00CF0E2D" w:rsidP="00A60D4B">
            <w:pPr>
              <w:spacing w:after="0"/>
              <w:jc w:val="right"/>
              <w:rPr>
                <w:sz w:val="24"/>
                <w:szCs w:val="24"/>
              </w:rPr>
            </w:pPr>
            <w:r w:rsidRPr="00881ED2">
              <w:rPr>
                <w:sz w:val="24"/>
                <w:szCs w:val="24"/>
              </w:rPr>
              <w:t>1,000</w:t>
            </w:r>
          </w:p>
        </w:tc>
        <w:tc>
          <w:tcPr>
            <w:tcW w:w="1041" w:type="dxa"/>
            <w:tcBorders>
              <w:top w:val="single" w:sz="4" w:space="0" w:color="auto"/>
            </w:tcBorders>
          </w:tcPr>
          <w:p w14:paraId="0CCC6409" w14:textId="77777777" w:rsidR="00CF0E2D" w:rsidRPr="00881ED2" w:rsidRDefault="00CF0E2D" w:rsidP="00A60D4B">
            <w:pPr>
              <w:spacing w:after="0"/>
              <w:jc w:val="right"/>
              <w:rPr>
                <w:sz w:val="24"/>
                <w:szCs w:val="24"/>
              </w:rPr>
            </w:pPr>
            <w:r w:rsidRPr="00881ED2">
              <w:rPr>
                <w:sz w:val="24"/>
                <w:szCs w:val="24"/>
              </w:rPr>
              <w:t>4,000</w:t>
            </w:r>
          </w:p>
        </w:tc>
        <w:tc>
          <w:tcPr>
            <w:tcW w:w="1029" w:type="dxa"/>
            <w:tcBorders>
              <w:top w:val="single" w:sz="4" w:space="0" w:color="auto"/>
            </w:tcBorders>
          </w:tcPr>
          <w:p w14:paraId="18265E20" w14:textId="77777777" w:rsidR="00CF0E2D" w:rsidRPr="00881ED2" w:rsidRDefault="00CF0E2D" w:rsidP="00A60D4B">
            <w:pPr>
              <w:spacing w:after="0"/>
              <w:jc w:val="right"/>
              <w:rPr>
                <w:sz w:val="24"/>
                <w:szCs w:val="24"/>
              </w:rPr>
            </w:pPr>
            <w:r w:rsidRPr="00881ED2">
              <w:rPr>
                <w:sz w:val="24"/>
                <w:szCs w:val="24"/>
              </w:rPr>
              <w:t>650</w:t>
            </w:r>
          </w:p>
        </w:tc>
        <w:tc>
          <w:tcPr>
            <w:tcW w:w="1029" w:type="dxa"/>
            <w:tcBorders>
              <w:top w:val="single" w:sz="4" w:space="0" w:color="auto"/>
            </w:tcBorders>
          </w:tcPr>
          <w:p w14:paraId="12F5B597" w14:textId="77777777" w:rsidR="00CF0E2D" w:rsidRPr="00881ED2" w:rsidRDefault="00CF0E2D" w:rsidP="00A60D4B">
            <w:pPr>
              <w:spacing w:after="0"/>
              <w:jc w:val="right"/>
              <w:rPr>
                <w:sz w:val="24"/>
                <w:szCs w:val="24"/>
              </w:rPr>
            </w:pPr>
            <w:r w:rsidRPr="00881ED2">
              <w:rPr>
                <w:sz w:val="24"/>
                <w:szCs w:val="24"/>
              </w:rPr>
              <w:t>0</w:t>
            </w:r>
          </w:p>
        </w:tc>
        <w:tc>
          <w:tcPr>
            <w:tcW w:w="1029" w:type="dxa"/>
            <w:tcBorders>
              <w:top w:val="single" w:sz="4" w:space="0" w:color="auto"/>
            </w:tcBorders>
          </w:tcPr>
          <w:p w14:paraId="77440BAA" w14:textId="77777777" w:rsidR="00CF0E2D" w:rsidRPr="00881ED2" w:rsidRDefault="00CF0E2D" w:rsidP="00A60D4B">
            <w:pPr>
              <w:spacing w:after="0"/>
              <w:jc w:val="right"/>
              <w:rPr>
                <w:b/>
                <w:bCs/>
                <w:sz w:val="24"/>
                <w:szCs w:val="24"/>
              </w:rPr>
            </w:pPr>
            <w:r w:rsidRPr="00881ED2">
              <w:rPr>
                <w:b/>
                <w:bCs/>
                <w:sz w:val="24"/>
                <w:szCs w:val="24"/>
              </w:rPr>
              <w:t>5,650</w:t>
            </w:r>
          </w:p>
        </w:tc>
      </w:tr>
      <w:tr w:rsidR="00CF0E2D" w:rsidRPr="00937A6B" w14:paraId="4BADDB1E" w14:textId="77777777" w:rsidTr="00A60D4B">
        <w:trPr>
          <w:cantSplit/>
          <w:jc w:val="center"/>
        </w:trPr>
        <w:tc>
          <w:tcPr>
            <w:tcW w:w="3652" w:type="dxa"/>
            <w:tcBorders>
              <w:top w:val="single" w:sz="4" w:space="0" w:color="auto"/>
            </w:tcBorders>
          </w:tcPr>
          <w:p w14:paraId="3FF8B1CB" w14:textId="77777777" w:rsidR="00CF0E2D" w:rsidRPr="003E55EF" w:rsidRDefault="00CF0E2D" w:rsidP="00A60D4B">
            <w:pPr>
              <w:spacing w:after="0"/>
              <w:ind w:left="321" w:hanging="321"/>
              <w:rPr>
                <w:sz w:val="24"/>
                <w:szCs w:val="24"/>
              </w:rPr>
            </w:pPr>
            <w:r w:rsidRPr="003E55EF">
              <w:rPr>
                <w:sz w:val="24"/>
                <w:szCs w:val="24"/>
              </w:rPr>
              <w:t>Depreciation</w:t>
            </w:r>
          </w:p>
        </w:tc>
        <w:tc>
          <w:tcPr>
            <w:tcW w:w="1179" w:type="dxa"/>
            <w:tcBorders>
              <w:top w:val="single" w:sz="4" w:space="0" w:color="auto"/>
            </w:tcBorders>
          </w:tcPr>
          <w:p w14:paraId="42C983F9" w14:textId="77777777" w:rsidR="00CF0E2D" w:rsidRPr="003E55EF" w:rsidRDefault="00CF0E2D" w:rsidP="00A60D4B">
            <w:pPr>
              <w:spacing w:after="0"/>
              <w:jc w:val="right"/>
              <w:rPr>
                <w:sz w:val="24"/>
                <w:szCs w:val="24"/>
              </w:rPr>
            </w:pPr>
            <w:r w:rsidRPr="003E55EF">
              <w:rPr>
                <w:sz w:val="24"/>
                <w:szCs w:val="24"/>
              </w:rPr>
              <w:t>0</w:t>
            </w:r>
          </w:p>
        </w:tc>
        <w:tc>
          <w:tcPr>
            <w:tcW w:w="1041" w:type="dxa"/>
            <w:tcBorders>
              <w:top w:val="single" w:sz="4" w:space="0" w:color="auto"/>
            </w:tcBorders>
          </w:tcPr>
          <w:p w14:paraId="47D8CF62" w14:textId="77777777" w:rsidR="00CF0E2D" w:rsidRPr="003E55EF" w:rsidRDefault="00CF0E2D" w:rsidP="00A60D4B">
            <w:pPr>
              <w:spacing w:after="0"/>
              <w:jc w:val="right"/>
              <w:rPr>
                <w:sz w:val="24"/>
                <w:szCs w:val="24"/>
              </w:rPr>
            </w:pPr>
            <w:r w:rsidRPr="003E55EF">
              <w:rPr>
                <w:sz w:val="24"/>
                <w:szCs w:val="24"/>
              </w:rPr>
              <w:t>0</w:t>
            </w:r>
          </w:p>
        </w:tc>
        <w:tc>
          <w:tcPr>
            <w:tcW w:w="1029" w:type="dxa"/>
            <w:tcBorders>
              <w:top w:val="single" w:sz="4" w:space="0" w:color="auto"/>
            </w:tcBorders>
          </w:tcPr>
          <w:p w14:paraId="6398B9F7" w14:textId="77777777" w:rsidR="00CF0E2D" w:rsidRPr="003E55EF" w:rsidRDefault="00CF0E2D" w:rsidP="00A60D4B">
            <w:pPr>
              <w:spacing w:after="0"/>
              <w:jc w:val="right"/>
              <w:rPr>
                <w:sz w:val="24"/>
                <w:szCs w:val="24"/>
              </w:rPr>
            </w:pPr>
            <w:r w:rsidRPr="003E55EF">
              <w:rPr>
                <w:sz w:val="24"/>
                <w:szCs w:val="24"/>
              </w:rPr>
              <w:t>38</w:t>
            </w:r>
          </w:p>
        </w:tc>
        <w:tc>
          <w:tcPr>
            <w:tcW w:w="1029" w:type="dxa"/>
            <w:tcBorders>
              <w:top w:val="single" w:sz="4" w:space="0" w:color="auto"/>
            </w:tcBorders>
          </w:tcPr>
          <w:p w14:paraId="752330FD" w14:textId="77777777" w:rsidR="00CF0E2D" w:rsidRPr="00881ED2" w:rsidRDefault="00CF0E2D" w:rsidP="00A60D4B">
            <w:pPr>
              <w:spacing w:after="0"/>
              <w:jc w:val="right"/>
              <w:rPr>
                <w:sz w:val="24"/>
                <w:szCs w:val="24"/>
              </w:rPr>
            </w:pPr>
            <w:r w:rsidRPr="00881ED2">
              <w:rPr>
                <w:sz w:val="24"/>
                <w:szCs w:val="24"/>
              </w:rPr>
              <w:t>75</w:t>
            </w:r>
          </w:p>
        </w:tc>
        <w:tc>
          <w:tcPr>
            <w:tcW w:w="1029" w:type="dxa"/>
            <w:tcBorders>
              <w:top w:val="single" w:sz="4" w:space="0" w:color="auto"/>
            </w:tcBorders>
          </w:tcPr>
          <w:p w14:paraId="621B4834" w14:textId="77777777" w:rsidR="00CF0E2D" w:rsidRPr="00881ED2" w:rsidRDefault="00CF0E2D" w:rsidP="00A60D4B">
            <w:pPr>
              <w:spacing w:after="0"/>
              <w:jc w:val="right"/>
              <w:rPr>
                <w:sz w:val="24"/>
                <w:szCs w:val="24"/>
              </w:rPr>
            </w:pPr>
            <w:r w:rsidRPr="00881ED2">
              <w:rPr>
                <w:b/>
                <w:sz w:val="24"/>
                <w:szCs w:val="24"/>
              </w:rPr>
              <w:t>113</w:t>
            </w:r>
          </w:p>
        </w:tc>
      </w:tr>
      <w:tr w:rsidR="00CF0E2D" w:rsidRPr="00937A6B" w14:paraId="4DA15F0E" w14:textId="77777777" w:rsidTr="00A60D4B">
        <w:trPr>
          <w:cantSplit/>
          <w:jc w:val="center"/>
        </w:trPr>
        <w:tc>
          <w:tcPr>
            <w:tcW w:w="3652" w:type="dxa"/>
          </w:tcPr>
          <w:p w14:paraId="67BBDAC6" w14:textId="77777777" w:rsidR="00CF0E2D" w:rsidRPr="003E55EF" w:rsidRDefault="00CF0E2D" w:rsidP="00A60D4B">
            <w:pPr>
              <w:spacing w:after="0"/>
              <w:ind w:left="321" w:hanging="321"/>
              <w:rPr>
                <w:sz w:val="24"/>
                <w:szCs w:val="24"/>
              </w:rPr>
            </w:pPr>
            <w:r w:rsidRPr="003E55EF">
              <w:rPr>
                <w:sz w:val="24"/>
                <w:szCs w:val="24"/>
              </w:rPr>
              <w:t>Expenses</w:t>
            </w:r>
          </w:p>
        </w:tc>
        <w:tc>
          <w:tcPr>
            <w:tcW w:w="1179" w:type="dxa"/>
          </w:tcPr>
          <w:p w14:paraId="2CC4C5B5" w14:textId="77777777" w:rsidR="00CF0E2D" w:rsidRPr="003E55EF" w:rsidRDefault="00CF0E2D" w:rsidP="00A60D4B">
            <w:pPr>
              <w:spacing w:after="0"/>
              <w:jc w:val="right"/>
              <w:rPr>
                <w:sz w:val="24"/>
                <w:szCs w:val="24"/>
              </w:rPr>
            </w:pPr>
            <w:r w:rsidRPr="003E55EF">
              <w:rPr>
                <w:sz w:val="24"/>
                <w:szCs w:val="24"/>
              </w:rPr>
              <w:t>0</w:t>
            </w:r>
          </w:p>
        </w:tc>
        <w:tc>
          <w:tcPr>
            <w:tcW w:w="1041" w:type="dxa"/>
          </w:tcPr>
          <w:p w14:paraId="13E17A30" w14:textId="77777777" w:rsidR="00CF0E2D" w:rsidRPr="003E55EF" w:rsidRDefault="00CF0E2D" w:rsidP="00A60D4B">
            <w:pPr>
              <w:spacing w:after="0"/>
              <w:jc w:val="right"/>
              <w:rPr>
                <w:sz w:val="24"/>
                <w:szCs w:val="24"/>
              </w:rPr>
            </w:pPr>
            <w:r w:rsidRPr="003E55EF">
              <w:rPr>
                <w:sz w:val="24"/>
                <w:szCs w:val="24"/>
              </w:rPr>
              <w:t>0</w:t>
            </w:r>
          </w:p>
        </w:tc>
        <w:tc>
          <w:tcPr>
            <w:tcW w:w="1029" w:type="dxa"/>
          </w:tcPr>
          <w:p w14:paraId="4C193736" w14:textId="77777777" w:rsidR="00CF0E2D" w:rsidRPr="003E55EF" w:rsidRDefault="00CF0E2D" w:rsidP="00A60D4B">
            <w:pPr>
              <w:spacing w:after="0"/>
              <w:jc w:val="right"/>
              <w:rPr>
                <w:sz w:val="24"/>
                <w:szCs w:val="24"/>
              </w:rPr>
            </w:pPr>
            <w:r w:rsidRPr="003E55EF">
              <w:rPr>
                <w:sz w:val="24"/>
                <w:szCs w:val="24"/>
              </w:rPr>
              <w:t>0</w:t>
            </w:r>
          </w:p>
        </w:tc>
        <w:tc>
          <w:tcPr>
            <w:tcW w:w="1029" w:type="dxa"/>
          </w:tcPr>
          <w:p w14:paraId="7E680029" w14:textId="77777777" w:rsidR="00CF0E2D" w:rsidRPr="00881ED2" w:rsidRDefault="00CF0E2D" w:rsidP="00A60D4B">
            <w:pPr>
              <w:spacing w:after="0"/>
              <w:jc w:val="right"/>
              <w:rPr>
                <w:sz w:val="24"/>
                <w:szCs w:val="24"/>
              </w:rPr>
            </w:pPr>
            <w:r w:rsidRPr="00881ED2">
              <w:rPr>
                <w:sz w:val="24"/>
                <w:szCs w:val="24"/>
              </w:rPr>
              <w:t>57</w:t>
            </w:r>
          </w:p>
        </w:tc>
        <w:tc>
          <w:tcPr>
            <w:tcW w:w="1029" w:type="dxa"/>
          </w:tcPr>
          <w:p w14:paraId="76DB1429" w14:textId="77777777" w:rsidR="00CF0E2D" w:rsidRPr="00881ED2" w:rsidRDefault="00CF0E2D" w:rsidP="00A60D4B">
            <w:pPr>
              <w:spacing w:after="0"/>
              <w:jc w:val="right"/>
              <w:rPr>
                <w:b/>
                <w:sz w:val="24"/>
                <w:szCs w:val="24"/>
              </w:rPr>
            </w:pPr>
            <w:r w:rsidRPr="00881ED2">
              <w:rPr>
                <w:b/>
                <w:sz w:val="24"/>
                <w:szCs w:val="24"/>
              </w:rPr>
              <w:t>57</w:t>
            </w:r>
          </w:p>
        </w:tc>
      </w:tr>
      <w:tr w:rsidR="00CF0E2D" w:rsidRPr="00937A6B" w14:paraId="228993B3" w14:textId="77777777" w:rsidTr="00A60D4B">
        <w:trPr>
          <w:cantSplit/>
          <w:trHeight w:val="107"/>
          <w:jc w:val="center"/>
        </w:trPr>
        <w:tc>
          <w:tcPr>
            <w:tcW w:w="3652" w:type="dxa"/>
            <w:tcBorders>
              <w:top w:val="single" w:sz="4" w:space="0" w:color="auto"/>
              <w:bottom w:val="single" w:sz="4" w:space="0" w:color="auto"/>
            </w:tcBorders>
          </w:tcPr>
          <w:p w14:paraId="42C88729" w14:textId="77777777" w:rsidR="00CF0E2D" w:rsidRPr="00881ED2" w:rsidRDefault="00CF0E2D" w:rsidP="00A60D4B">
            <w:pPr>
              <w:spacing w:after="0"/>
              <w:ind w:left="321" w:hanging="321"/>
              <w:rPr>
                <w:b/>
                <w:sz w:val="24"/>
                <w:szCs w:val="24"/>
              </w:rPr>
            </w:pPr>
            <w:r w:rsidRPr="00881ED2">
              <w:rPr>
                <w:b/>
                <w:sz w:val="24"/>
                <w:szCs w:val="24"/>
              </w:rPr>
              <w:t>Net cost of services</w:t>
            </w:r>
          </w:p>
        </w:tc>
        <w:tc>
          <w:tcPr>
            <w:tcW w:w="1179" w:type="dxa"/>
            <w:tcBorders>
              <w:top w:val="single" w:sz="4" w:space="0" w:color="auto"/>
              <w:bottom w:val="single" w:sz="4" w:space="0" w:color="auto"/>
            </w:tcBorders>
          </w:tcPr>
          <w:p w14:paraId="21F5F907" w14:textId="77777777" w:rsidR="00CF0E2D" w:rsidRPr="00881ED2" w:rsidRDefault="00CF0E2D" w:rsidP="00A60D4B">
            <w:pPr>
              <w:spacing w:after="0"/>
              <w:jc w:val="right"/>
              <w:rPr>
                <w:b/>
                <w:sz w:val="24"/>
                <w:szCs w:val="24"/>
              </w:rPr>
            </w:pPr>
            <w:r w:rsidRPr="00881ED2">
              <w:rPr>
                <w:b/>
                <w:sz w:val="24"/>
                <w:szCs w:val="24"/>
              </w:rPr>
              <w:t>0</w:t>
            </w:r>
          </w:p>
        </w:tc>
        <w:tc>
          <w:tcPr>
            <w:tcW w:w="1041" w:type="dxa"/>
            <w:tcBorders>
              <w:top w:val="single" w:sz="4" w:space="0" w:color="auto"/>
              <w:bottom w:val="single" w:sz="4" w:space="0" w:color="auto"/>
            </w:tcBorders>
          </w:tcPr>
          <w:p w14:paraId="745F3FCE" w14:textId="77777777" w:rsidR="00CF0E2D" w:rsidRPr="00881ED2" w:rsidRDefault="00CF0E2D" w:rsidP="00A60D4B">
            <w:pPr>
              <w:spacing w:after="0"/>
              <w:jc w:val="right"/>
              <w:rPr>
                <w:b/>
                <w:sz w:val="24"/>
                <w:szCs w:val="24"/>
              </w:rPr>
            </w:pPr>
            <w:r w:rsidRPr="00881ED2">
              <w:rPr>
                <w:b/>
                <w:sz w:val="24"/>
                <w:szCs w:val="24"/>
              </w:rPr>
              <w:t>0</w:t>
            </w:r>
          </w:p>
        </w:tc>
        <w:tc>
          <w:tcPr>
            <w:tcW w:w="1029" w:type="dxa"/>
            <w:tcBorders>
              <w:top w:val="single" w:sz="4" w:space="0" w:color="auto"/>
              <w:bottom w:val="single" w:sz="4" w:space="0" w:color="auto"/>
            </w:tcBorders>
          </w:tcPr>
          <w:p w14:paraId="051FBFDF" w14:textId="77777777" w:rsidR="00CF0E2D" w:rsidRPr="00881ED2" w:rsidRDefault="00CF0E2D" w:rsidP="00A60D4B">
            <w:pPr>
              <w:spacing w:after="0"/>
              <w:jc w:val="right"/>
              <w:rPr>
                <w:b/>
                <w:sz w:val="24"/>
                <w:szCs w:val="24"/>
              </w:rPr>
            </w:pPr>
            <w:r w:rsidRPr="00881ED2">
              <w:rPr>
                <w:b/>
                <w:sz w:val="24"/>
                <w:szCs w:val="24"/>
              </w:rPr>
              <w:t>38</w:t>
            </w:r>
          </w:p>
        </w:tc>
        <w:tc>
          <w:tcPr>
            <w:tcW w:w="1029" w:type="dxa"/>
            <w:tcBorders>
              <w:top w:val="single" w:sz="4" w:space="0" w:color="auto"/>
              <w:bottom w:val="single" w:sz="4" w:space="0" w:color="auto"/>
            </w:tcBorders>
          </w:tcPr>
          <w:p w14:paraId="2E106F35" w14:textId="77777777" w:rsidR="00CF0E2D" w:rsidRPr="00881ED2" w:rsidRDefault="00CF0E2D" w:rsidP="00A60D4B">
            <w:pPr>
              <w:spacing w:after="0"/>
              <w:jc w:val="right"/>
              <w:rPr>
                <w:b/>
                <w:sz w:val="24"/>
                <w:szCs w:val="24"/>
              </w:rPr>
            </w:pPr>
            <w:r w:rsidRPr="00881ED2">
              <w:rPr>
                <w:b/>
                <w:sz w:val="24"/>
                <w:szCs w:val="24"/>
              </w:rPr>
              <w:t>132</w:t>
            </w:r>
          </w:p>
        </w:tc>
        <w:tc>
          <w:tcPr>
            <w:tcW w:w="1029" w:type="dxa"/>
            <w:tcBorders>
              <w:top w:val="single" w:sz="4" w:space="0" w:color="auto"/>
              <w:bottom w:val="single" w:sz="4" w:space="0" w:color="auto"/>
            </w:tcBorders>
          </w:tcPr>
          <w:p w14:paraId="478709A3" w14:textId="77777777" w:rsidR="00CF0E2D" w:rsidRPr="00881ED2" w:rsidRDefault="00CF0E2D" w:rsidP="00A60D4B">
            <w:pPr>
              <w:spacing w:after="0"/>
              <w:jc w:val="right"/>
              <w:rPr>
                <w:b/>
                <w:sz w:val="24"/>
                <w:szCs w:val="24"/>
              </w:rPr>
            </w:pPr>
            <w:r w:rsidRPr="00881ED2">
              <w:rPr>
                <w:b/>
                <w:sz w:val="24"/>
                <w:szCs w:val="24"/>
              </w:rPr>
              <w:t>170</w:t>
            </w:r>
          </w:p>
        </w:tc>
      </w:tr>
    </w:tbl>
    <w:p w14:paraId="12F3F992" w14:textId="77777777" w:rsidR="00CF0E2D" w:rsidRPr="00074E14" w:rsidRDefault="00CF0E2D" w:rsidP="00A60D4B">
      <w:pPr>
        <w:pStyle w:val="Bbodytext"/>
      </w:pPr>
      <w:r w:rsidRPr="00074E14">
        <w:t xml:space="preserve">The Government will provide additional </w:t>
      </w:r>
      <w:r w:rsidRPr="006066C5">
        <w:t xml:space="preserve">funding </w:t>
      </w:r>
      <w:r w:rsidRPr="00B162E5">
        <w:t>to deliver road and pedestrian infrastructure for access to the future Kenny High School, scheduled to open in January</w:t>
      </w:r>
      <w:r>
        <w:t> </w:t>
      </w:r>
      <w:r w:rsidRPr="00B162E5">
        <w:t>2023. The works include installation of a roundabout on Albatross Crescent, signalisation of two intersections on Well Station Drive, construction of bus bays and construction of a new path on Well Station Drive to the light rail stop.</w:t>
      </w:r>
      <w:r w:rsidRPr="00074E14">
        <w:t xml:space="preserve"> </w:t>
      </w:r>
    </w:p>
    <w:p w14:paraId="34BA0AB7" w14:textId="77777777" w:rsidR="00CF0E2D" w:rsidRPr="00937A6B" w:rsidRDefault="00CF0E2D" w:rsidP="00A60D4B">
      <w:pPr>
        <w:pStyle w:val="Bbodytext"/>
      </w:pPr>
      <w:r w:rsidRPr="00937A6B">
        <w:t xml:space="preserve">This initiative builds on recent Government investment of $700,000 in the 2019-20 Budget and $11 million in the 2020-21 Budget, to </w:t>
      </w:r>
      <w:r>
        <w:t>ensure active travel transport</w:t>
      </w:r>
      <w:r w:rsidRPr="00937A6B">
        <w:t xml:space="preserve"> </w:t>
      </w:r>
      <w:r>
        <w:t xml:space="preserve">options </w:t>
      </w:r>
      <w:r w:rsidRPr="00937A6B">
        <w:t>to the school.</w:t>
      </w:r>
    </w:p>
    <w:p w14:paraId="6039DC8E" w14:textId="77777777" w:rsidR="00CF0E2D" w:rsidRDefault="00CF0E2D" w:rsidP="00A60D4B">
      <w:pPr>
        <w:pStyle w:val="Bbodytext"/>
      </w:pPr>
      <w:r>
        <w:t>This initiative</w:t>
      </w:r>
      <w:r w:rsidRPr="00937A6B">
        <w:t xml:space="preserve"> contributes to the wellbeing domains of Education and life-long learning, Access and connectivity and Safety.</w:t>
      </w:r>
    </w:p>
    <w:p w14:paraId="26CF17C4" w14:textId="77777777" w:rsidR="00CF0E2D" w:rsidRPr="00324B85" w:rsidRDefault="00CF0E2D" w:rsidP="00A60D4B">
      <w:pPr>
        <w:pStyle w:val="Heading4"/>
      </w:pPr>
      <w:r>
        <w:lastRenderedPageBreak/>
        <w:t>Protecting Canberra’s unique environment – Growing our urban forest</w:t>
      </w:r>
      <w:r>
        <w:rPr>
          <w:rFonts w:eastAsia="Times New Roman"/>
          <w:noProof/>
        </w:rPr>
        <w:drawing>
          <wp:anchor distT="0" distB="0" distL="114300" distR="114300" simplePos="0" relativeHeight="251948032" behindDoc="0" locked="1" layoutInCell="1" allowOverlap="1" wp14:anchorId="673F8F56" wp14:editId="0C6AC0B8">
            <wp:simplePos x="0" y="0"/>
            <wp:positionH relativeFrom="margin">
              <wp:posOffset>4337050</wp:posOffset>
            </wp:positionH>
            <wp:positionV relativeFrom="paragraph">
              <wp:posOffset>8890</wp:posOffset>
            </wp:positionV>
            <wp:extent cx="1393190" cy="503555"/>
            <wp:effectExtent l="0" t="0" r="0" b="0"/>
            <wp:wrapSquare wrapText="bothSides"/>
            <wp:docPr id="228" name="Picture 228" descr="Icon representing the wellbeing domain of Environment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nvironment and clima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319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21CF939F" w14:textId="77777777" w:rsidTr="00A60D4B">
        <w:trPr>
          <w:cantSplit/>
          <w:jc w:val="center"/>
        </w:trPr>
        <w:tc>
          <w:tcPr>
            <w:tcW w:w="3652" w:type="dxa"/>
            <w:tcBorders>
              <w:top w:val="single" w:sz="4" w:space="0" w:color="auto"/>
              <w:bottom w:val="single" w:sz="4" w:space="0" w:color="auto"/>
            </w:tcBorders>
          </w:tcPr>
          <w:p w14:paraId="71CF8E6B" w14:textId="77777777" w:rsidR="00CF0E2D" w:rsidRPr="004E341E" w:rsidRDefault="00CF0E2D" w:rsidP="00A60D4B">
            <w:pPr>
              <w:pStyle w:val="EmptyCell0"/>
              <w:keepNext/>
              <w:keepLines/>
            </w:pPr>
            <w:r>
              <w:t>Empty Cell</w:t>
            </w:r>
          </w:p>
        </w:tc>
        <w:tc>
          <w:tcPr>
            <w:tcW w:w="1179" w:type="dxa"/>
            <w:tcBorders>
              <w:top w:val="single" w:sz="4" w:space="0" w:color="auto"/>
              <w:bottom w:val="single" w:sz="4" w:space="0" w:color="auto"/>
            </w:tcBorders>
          </w:tcPr>
          <w:p w14:paraId="4297A55E" w14:textId="77777777" w:rsidR="00CF0E2D" w:rsidRPr="009D6054" w:rsidRDefault="00CF0E2D" w:rsidP="00A60D4B">
            <w:pPr>
              <w:pStyle w:val="InitFigR"/>
              <w:keepNext/>
              <w:keepLines/>
              <w:rPr>
                <w:b/>
                <w:bCs/>
              </w:rPr>
            </w:pPr>
            <w:r w:rsidRPr="009D6054">
              <w:rPr>
                <w:b/>
                <w:bCs/>
              </w:rPr>
              <w:t>2021-22</w:t>
            </w:r>
          </w:p>
          <w:p w14:paraId="4EAFE2C9" w14:textId="77777777" w:rsidR="00CF0E2D" w:rsidRPr="009D6054" w:rsidRDefault="00CF0E2D" w:rsidP="00A60D4B">
            <w:pPr>
              <w:pStyle w:val="InitFigR"/>
              <w:keepNext/>
              <w:keepLines/>
              <w:rPr>
                <w:b/>
                <w:bCs/>
              </w:rPr>
            </w:pPr>
            <w:r w:rsidRPr="009D6054">
              <w:rPr>
                <w:b/>
                <w:bCs/>
              </w:rPr>
              <w:t>$’000</w:t>
            </w:r>
          </w:p>
        </w:tc>
        <w:tc>
          <w:tcPr>
            <w:tcW w:w="1041" w:type="dxa"/>
            <w:tcBorders>
              <w:top w:val="single" w:sz="4" w:space="0" w:color="auto"/>
              <w:bottom w:val="single" w:sz="4" w:space="0" w:color="auto"/>
            </w:tcBorders>
          </w:tcPr>
          <w:p w14:paraId="4C9C187A" w14:textId="77777777" w:rsidR="00CF0E2D" w:rsidRPr="009D6054" w:rsidRDefault="00CF0E2D" w:rsidP="00A60D4B">
            <w:pPr>
              <w:pStyle w:val="InitFigR"/>
              <w:keepNext/>
              <w:keepLines/>
              <w:rPr>
                <w:b/>
                <w:bCs/>
              </w:rPr>
            </w:pPr>
            <w:r w:rsidRPr="009D6054">
              <w:rPr>
                <w:b/>
                <w:bCs/>
              </w:rPr>
              <w:t>2022-23</w:t>
            </w:r>
          </w:p>
          <w:p w14:paraId="1B63E9E6" w14:textId="77777777" w:rsidR="00CF0E2D" w:rsidRPr="009D6054" w:rsidRDefault="00CF0E2D" w:rsidP="00A60D4B">
            <w:pPr>
              <w:pStyle w:val="InitFigR"/>
              <w:keepNext/>
              <w:keepLines/>
              <w:rPr>
                <w:b/>
                <w:bCs/>
              </w:rPr>
            </w:pPr>
            <w:r w:rsidRPr="009D6054">
              <w:rPr>
                <w:b/>
                <w:bCs/>
              </w:rPr>
              <w:t>$’000</w:t>
            </w:r>
          </w:p>
        </w:tc>
        <w:tc>
          <w:tcPr>
            <w:tcW w:w="1029" w:type="dxa"/>
            <w:tcBorders>
              <w:top w:val="single" w:sz="4" w:space="0" w:color="auto"/>
              <w:bottom w:val="single" w:sz="4" w:space="0" w:color="auto"/>
            </w:tcBorders>
          </w:tcPr>
          <w:p w14:paraId="6310CD68" w14:textId="77777777" w:rsidR="00CF0E2D" w:rsidRPr="009D6054" w:rsidRDefault="00CF0E2D" w:rsidP="00A60D4B">
            <w:pPr>
              <w:pStyle w:val="InitFigR"/>
              <w:keepNext/>
              <w:keepLines/>
              <w:rPr>
                <w:b/>
                <w:bCs/>
              </w:rPr>
            </w:pPr>
            <w:r w:rsidRPr="009D6054">
              <w:rPr>
                <w:b/>
                <w:bCs/>
              </w:rPr>
              <w:t>2023-24</w:t>
            </w:r>
          </w:p>
          <w:p w14:paraId="16A4F91B" w14:textId="77777777" w:rsidR="00CF0E2D" w:rsidRPr="009D6054" w:rsidRDefault="00CF0E2D" w:rsidP="00A60D4B">
            <w:pPr>
              <w:pStyle w:val="InitFigR"/>
              <w:keepNext/>
              <w:keepLines/>
              <w:rPr>
                <w:b/>
                <w:bCs/>
              </w:rPr>
            </w:pPr>
            <w:r w:rsidRPr="009D6054">
              <w:rPr>
                <w:b/>
                <w:bCs/>
              </w:rPr>
              <w:t>$’000</w:t>
            </w:r>
          </w:p>
        </w:tc>
        <w:tc>
          <w:tcPr>
            <w:tcW w:w="1029" w:type="dxa"/>
            <w:tcBorders>
              <w:top w:val="single" w:sz="4" w:space="0" w:color="auto"/>
              <w:bottom w:val="single" w:sz="4" w:space="0" w:color="auto"/>
            </w:tcBorders>
          </w:tcPr>
          <w:p w14:paraId="51F550FB" w14:textId="77777777" w:rsidR="00CF0E2D" w:rsidRPr="009D6054" w:rsidRDefault="00CF0E2D" w:rsidP="00A60D4B">
            <w:pPr>
              <w:pStyle w:val="InitFigR"/>
              <w:keepNext/>
              <w:keepLines/>
              <w:rPr>
                <w:b/>
                <w:bCs/>
              </w:rPr>
            </w:pPr>
            <w:r w:rsidRPr="009D6054">
              <w:rPr>
                <w:b/>
                <w:bCs/>
              </w:rPr>
              <w:t>2024-25</w:t>
            </w:r>
          </w:p>
          <w:p w14:paraId="4B3094A9" w14:textId="77777777" w:rsidR="00CF0E2D" w:rsidRPr="009D6054" w:rsidRDefault="00CF0E2D" w:rsidP="00A60D4B">
            <w:pPr>
              <w:pStyle w:val="InitFigR"/>
              <w:keepNext/>
              <w:keepLines/>
              <w:rPr>
                <w:b/>
                <w:bCs/>
              </w:rPr>
            </w:pPr>
            <w:r w:rsidRPr="009D6054">
              <w:rPr>
                <w:b/>
                <w:bCs/>
              </w:rPr>
              <w:t>$’000</w:t>
            </w:r>
          </w:p>
        </w:tc>
        <w:tc>
          <w:tcPr>
            <w:tcW w:w="1029" w:type="dxa"/>
            <w:tcBorders>
              <w:top w:val="single" w:sz="4" w:space="0" w:color="auto"/>
              <w:bottom w:val="single" w:sz="4" w:space="0" w:color="auto"/>
            </w:tcBorders>
          </w:tcPr>
          <w:p w14:paraId="21C3EB51" w14:textId="77777777" w:rsidR="00CF0E2D" w:rsidRPr="004E341E" w:rsidRDefault="00CF0E2D" w:rsidP="00A60D4B">
            <w:pPr>
              <w:pStyle w:val="InitFigRBold"/>
              <w:keepNext/>
              <w:keepLines/>
            </w:pPr>
            <w:r w:rsidRPr="004E341E">
              <w:t>Total</w:t>
            </w:r>
          </w:p>
          <w:p w14:paraId="742746AF" w14:textId="77777777" w:rsidR="00CF0E2D" w:rsidRPr="004E341E" w:rsidRDefault="00CF0E2D" w:rsidP="00A60D4B">
            <w:pPr>
              <w:pStyle w:val="InitFigBR"/>
              <w:keepNext/>
              <w:keepLines/>
            </w:pPr>
            <w:r w:rsidRPr="004E341E">
              <w:t>$’000</w:t>
            </w:r>
          </w:p>
        </w:tc>
      </w:tr>
      <w:tr w:rsidR="00CF0E2D" w:rsidRPr="00750793" w14:paraId="0DF025BA" w14:textId="77777777" w:rsidTr="00A60D4B">
        <w:trPr>
          <w:cantSplit/>
          <w:jc w:val="center"/>
        </w:trPr>
        <w:tc>
          <w:tcPr>
            <w:tcW w:w="3652" w:type="dxa"/>
            <w:tcBorders>
              <w:top w:val="single" w:sz="4" w:space="0" w:color="auto"/>
            </w:tcBorders>
          </w:tcPr>
          <w:p w14:paraId="335F11E8" w14:textId="77777777" w:rsidR="00CF0E2D" w:rsidRDefault="00CF0E2D" w:rsidP="00A60D4B">
            <w:pPr>
              <w:pStyle w:val="InitTextL"/>
              <w:keepNext/>
              <w:keepLines/>
              <w:ind w:left="321" w:hanging="321"/>
            </w:pPr>
            <w:r>
              <w:t>Capital</w:t>
            </w:r>
          </w:p>
        </w:tc>
        <w:tc>
          <w:tcPr>
            <w:tcW w:w="1179" w:type="dxa"/>
            <w:tcBorders>
              <w:top w:val="single" w:sz="4" w:space="0" w:color="auto"/>
            </w:tcBorders>
          </w:tcPr>
          <w:p w14:paraId="613EAE45" w14:textId="77777777" w:rsidR="00CF0E2D" w:rsidRDefault="00CF0E2D" w:rsidP="00A60D4B">
            <w:pPr>
              <w:pStyle w:val="InitFigR"/>
              <w:keepNext/>
              <w:keepLines/>
            </w:pPr>
            <w:r>
              <w:t>500</w:t>
            </w:r>
          </w:p>
        </w:tc>
        <w:tc>
          <w:tcPr>
            <w:tcW w:w="1041" w:type="dxa"/>
            <w:tcBorders>
              <w:top w:val="single" w:sz="4" w:space="0" w:color="auto"/>
            </w:tcBorders>
          </w:tcPr>
          <w:p w14:paraId="3CB087B9" w14:textId="77777777" w:rsidR="00CF0E2D" w:rsidRDefault="00CF0E2D" w:rsidP="00A60D4B">
            <w:pPr>
              <w:pStyle w:val="InitFigR"/>
              <w:keepNext/>
              <w:keepLines/>
            </w:pPr>
            <w:r>
              <w:t>204</w:t>
            </w:r>
          </w:p>
        </w:tc>
        <w:tc>
          <w:tcPr>
            <w:tcW w:w="1029" w:type="dxa"/>
            <w:tcBorders>
              <w:top w:val="single" w:sz="4" w:space="0" w:color="auto"/>
            </w:tcBorders>
          </w:tcPr>
          <w:p w14:paraId="5B53AB4F" w14:textId="77777777" w:rsidR="00CF0E2D" w:rsidRDefault="00CF0E2D" w:rsidP="00A60D4B">
            <w:pPr>
              <w:pStyle w:val="InitFigR"/>
              <w:keepNext/>
              <w:keepLines/>
            </w:pPr>
            <w:r>
              <w:t>0</w:t>
            </w:r>
          </w:p>
        </w:tc>
        <w:tc>
          <w:tcPr>
            <w:tcW w:w="1029" w:type="dxa"/>
            <w:tcBorders>
              <w:top w:val="single" w:sz="4" w:space="0" w:color="auto"/>
            </w:tcBorders>
          </w:tcPr>
          <w:p w14:paraId="33DFCD24" w14:textId="77777777" w:rsidR="00CF0E2D" w:rsidRDefault="00CF0E2D" w:rsidP="00A60D4B">
            <w:pPr>
              <w:pStyle w:val="InitFigR"/>
              <w:keepNext/>
              <w:keepLines/>
            </w:pPr>
            <w:r>
              <w:t>0</w:t>
            </w:r>
          </w:p>
        </w:tc>
        <w:tc>
          <w:tcPr>
            <w:tcW w:w="1029" w:type="dxa"/>
            <w:tcBorders>
              <w:top w:val="single" w:sz="4" w:space="0" w:color="auto"/>
            </w:tcBorders>
          </w:tcPr>
          <w:p w14:paraId="2BCDB6F2" w14:textId="77777777" w:rsidR="00CF0E2D" w:rsidRPr="009D6054" w:rsidRDefault="00CF0E2D" w:rsidP="00A60D4B">
            <w:pPr>
              <w:pStyle w:val="InitFigRBold"/>
              <w:keepNext/>
              <w:keepLines/>
              <w:rPr>
                <w:bCs/>
              </w:rPr>
            </w:pPr>
            <w:r w:rsidRPr="009D6054">
              <w:rPr>
                <w:bCs/>
              </w:rPr>
              <w:t>704</w:t>
            </w:r>
          </w:p>
        </w:tc>
      </w:tr>
      <w:tr w:rsidR="00CF0E2D" w:rsidRPr="00750793" w14:paraId="36950BD9" w14:textId="77777777" w:rsidTr="00A60D4B">
        <w:trPr>
          <w:cantSplit/>
          <w:jc w:val="center"/>
        </w:trPr>
        <w:tc>
          <w:tcPr>
            <w:tcW w:w="3652" w:type="dxa"/>
          </w:tcPr>
          <w:p w14:paraId="50E412CE" w14:textId="77777777" w:rsidR="00CF0E2D" w:rsidRDefault="00CF0E2D" w:rsidP="00A60D4B">
            <w:pPr>
              <w:pStyle w:val="InitTextL"/>
              <w:keepNext/>
              <w:keepLines/>
              <w:ind w:left="321" w:hanging="321"/>
            </w:pPr>
            <w:r>
              <w:t>Capital – Provision</w:t>
            </w:r>
          </w:p>
        </w:tc>
        <w:tc>
          <w:tcPr>
            <w:tcW w:w="1179" w:type="dxa"/>
          </w:tcPr>
          <w:p w14:paraId="58B2588E" w14:textId="77777777" w:rsidR="00CF0E2D" w:rsidRDefault="00CF0E2D" w:rsidP="00A60D4B">
            <w:pPr>
              <w:pStyle w:val="InitFigR"/>
              <w:keepNext/>
              <w:keepLines/>
            </w:pPr>
            <w:r>
              <w:t>0</w:t>
            </w:r>
          </w:p>
        </w:tc>
        <w:tc>
          <w:tcPr>
            <w:tcW w:w="1041" w:type="dxa"/>
          </w:tcPr>
          <w:p w14:paraId="4CFC12C2" w14:textId="77777777" w:rsidR="00CF0E2D" w:rsidRDefault="00CF0E2D" w:rsidP="00A60D4B">
            <w:pPr>
              <w:pStyle w:val="InitFigR"/>
              <w:keepNext/>
              <w:keepLines/>
            </w:pPr>
            <w:r>
              <w:t>2,000</w:t>
            </w:r>
          </w:p>
        </w:tc>
        <w:tc>
          <w:tcPr>
            <w:tcW w:w="1029" w:type="dxa"/>
          </w:tcPr>
          <w:p w14:paraId="7D6867C7" w14:textId="77777777" w:rsidR="00CF0E2D" w:rsidRDefault="00CF0E2D" w:rsidP="00A60D4B">
            <w:pPr>
              <w:pStyle w:val="InitFigR"/>
              <w:keepNext/>
              <w:keepLines/>
            </w:pPr>
            <w:r>
              <w:t>0</w:t>
            </w:r>
          </w:p>
        </w:tc>
        <w:tc>
          <w:tcPr>
            <w:tcW w:w="1029" w:type="dxa"/>
          </w:tcPr>
          <w:p w14:paraId="29622C30" w14:textId="77777777" w:rsidR="00CF0E2D" w:rsidRDefault="00CF0E2D" w:rsidP="00A60D4B">
            <w:pPr>
              <w:pStyle w:val="InitFigR"/>
              <w:keepNext/>
              <w:keepLines/>
            </w:pPr>
            <w:r>
              <w:t>0</w:t>
            </w:r>
          </w:p>
        </w:tc>
        <w:tc>
          <w:tcPr>
            <w:tcW w:w="1029" w:type="dxa"/>
          </w:tcPr>
          <w:p w14:paraId="364600AF" w14:textId="77777777" w:rsidR="00CF0E2D" w:rsidRPr="009D6054" w:rsidRDefault="00CF0E2D" w:rsidP="00A60D4B">
            <w:pPr>
              <w:pStyle w:val="InitFigRBold"/>
              <w:keepNext/>
              <w:keepLines/>
              <w:rPr>
                <w:bCs/>
              </w:rPr>
            </w:pPr>
            <w:r w:rsidRPr="009D6054">
              <w:rPr>
                <w:bCs/>
              </w:rPr>
              <w:t>2,000</w:t>
            </w:r>
          </w:p>
        </w:tc>
      </w:tr>
      <w:tr w:rsidR="00CF0E2D" w:rsidRPr="00750793" w14:paraId="66F941DE" w14:textId="77777777" w:rsidTr="00A60D4B">
        <w:trPr>
          <w:cantSplit/>
          <w:jc w:val="center"/>
        </w:trPr>
        <w:tc>
          <w:tcPr>
            <w:tcW w:w="3652" w:type="dxa"/>
            <w:tcBorders>
              <w:top w:val="single" w:sz="4" w:space="0" w:color="auto"/>
              <w:bottom w:val="single" w:sz="4" w:space="0" w:color="auto"/>
            </w:tcBorders>
          </w:tcPr>
          <w:p w14:paraId="0EF4483F" w14:textId="3A08A51E" w:rsidR="00CF0E2D" w:rsidRPr="00D13A71" w:rsidRDefault="00B86042" w:rsidP="00A60D4B">
            <w:pPr>
              <w:pStyle w:val="InitTextL"/>
              <w:keepNext/>
              <w:keepLines/>
              <w:ind w:left="321" w:hanging="321"/>
              <w:rPr>
                <w:b/>
                <w:bCs/>
              </w:rPr>
            </w:pPr>
            <w:r>
              <w:rPr>
                <w:b/>
                <w:bCs/>
              </w:rPr>
              <w:t>Total capital</w:t>
            </w:r>
            <w:r w:rsidR="00CF0E2D">
              <w:rPr>
                <w:b/>
                <w:bCs/>
              </w:rPr>
              <w:t xml:space="preserve"> </w:t>
            </w:r>
          </w:p>
        </w:tc>
        <w:tc>
          <w:tcPr>
            <w:tcW w:w="1179" w:type="dxa"/>
            <w:tcBorders>
              <w:top w:val="single" w:sz="4" w:space="0" w:color="auto"/>
              <w:bottom w:val="single" w:sz="4" w:space="0" w:color="auto"/>
            </w:tcBorders>
          </w:tcPr>
          <w:p w14:paraId="4C844625" w14:textId="77777777" w:rsidR="00CF0E2D" w:rsidRPr="009D6054" w:rsidRDefault="00CF0E2D" w:rsidP="00A60D4B">
            <w:pPr>
              <w:pStyle w:val="InitFigR"/>
              <w:keepNext/>
              <w:keepLines/>
              <w:rPr>
                <w:b/>
                <w:bCs/>
              </w:rPr>
            </w:pPr>
            <w:r w:rsidRPr="009D6054">
              <w:rPr>
                <w:b/>
                <w:bCs/>
              </w:rPr>
              <w:t>500</w:t>
            </w:r>
          </w:p>
        </w:tc>
        <w:tc>
          <w:tcPr>
            <w:tcW w:w="1041" w:type="dxa"/>
            <w:tcBorders>
              <w:top w:val="single" w:sz="4" w:space="0" w:color="auto"/>
              <w:bottom w:val="single" w:sz="4" w:space="0" w:color="auto"/>
            </w:tcBorders>
          </w:tcPr>
          <w:p w14:paraId="0983C832" w14:textId="77777777" w:rsidR="00CF0E2D" w:rsidRPr="009D6054" w:rsidRDefault="00CF0E2D" w:rsidP="00A60D4B">
            <w:pPr>
              <w:pStyle w:val="InitFigR"/>
              <w:keepNext/>
              <w:keepLines/>
              <w:rPr>
                <w:b/>
                <w:bCs/>
              </w:rPr>
            </w:pPr>
            <w:r w:rsidRPr="009D6054">
              <w:rPr>
                <w:b/>
                <w:bCs/>
              </w:rPr>
              <w:t>2,204</w:t>
            </w:r>
          </w:p>
        </w:tc>
        <w:tc>
          <w:tcPr>
            <w:tcW w:w="1029" w:type="dxa"/>
            <w:tcBorders>
              <w:top w:val="single" w:sz="4" w:space="0" w:color="auto"/>
              <w:bottom w:val="single" w:sz="4" w:space="0" w:color="auto"/>
            </w:tcBorders>
          </w:tcPr>
          <w:p w14:paraId="1FA3D5F8" w14:textId="77777777" w:rsidR="00CF0E2D" w:rsidRPr="009D6054" w:rsidRDefault="00CF0E2D" w:rsidP="00A60D4B">
            <w:pPr>
              <w:pStyle w:val="InitFigR"/>
              <w:keepNext/>
              <w:keepLines/>
              <w:rPr>
                <w:b/>
                <w:bCs/>
              </w:rPr>
            </w:pPr>
            <w:r w:rsidRPr="009D6054">
              <w:rPr>
                <w:b/>
                <w:bCs/>
              </w:rPr>
              <w:t>0</w:t>
            </w:r>
          </w:p>
        </w:tc>
        <w:tc>
          <w:tcPr>
            <w:tcW w:w="1029" w:type="dxa"/>
            <w:tcBorders>
              <w:top w:val="single" w:sz="4" w:space="0" w:color="auto"/>
              <w:bottom w:val="single" w:sz="4" w:space="0" w:color="auto"/>
            </w:tcBorders>
          </w:tcPr>
          <w:p w14:paraId="6B546096" w14:textId="77777777" w:rsidR="00CF0E2D" w:rsidRPr="009D6054" w:rsidRDefault="00CF0E2D" w:rsidP="00A60D4B">
            <w:pPr>
              <w:pStyle w:val="InitFigR"/>
              <w:keepNext/>
              <w:keepLines/>
              <w:rPr>
                <w:b/>
                <w:bCs/>
              </w:rPr>
            </w:pPr>
            <w:r w:rsidRPr="009D6054">
              <w:rPr>
                <w:b/>
                <w:bCs/>
              </w:rPr>
              <w:t>0</w:t>
            </w:r>
          </w:p>
        </w:tc>
        <w:tc>
          <w:tcPr>
            <w:tcW w:w="1029" w:type="dxa"/>
            <w:tcBorders>
              <w:top w:val="single" w:sz="4" w:space="0" w:color="auto"/>
              <w:bottom w:val="single" w:sz="4" w:space="0" w:color="auto"/>
            </w:tcBorders>
          </w:tcPr>
          <w:p w14:paraId="1F0A3E00" w14:textId="77777777" w:rsidR="00CF0E2D" w:rsidRPr="009D6054" w:rsidRDefault="00CF0E2D" w:rsidP="00A60D4B">
            <w:pPr>
              <w:pStyle w:val="InitFigRBold"/>
              <w:keepNext/>
              <w:keepLines/>
              <w:rPr>
                <w:bCs/>
              </w:rPr>
            </w:pPr>
            <w:r w:rsidRPr="009D6054">
              <w:rPr>
                <w:bCs/>
              </w:rPr>
              <w:t>2,704</w:t>
            </w:r>
          </w:p>
        </w:tc>
      </w:tr>
      <w:tr w:rsidR="00CF0E2D" w:rsidRPr="00750793" w14:paraId="52FA31E0" w14:textId="77777777" w:rsidTr="00A60D4B">
        <w:trPr>
          <w:cantSplit/>
          <w:jc w:val="center"/>
        </w:trPr>
        <w:tc>
          <w:tcPr>
            <w:tcW w:w="3652" w:type="dxa"/>
            <w:tcBorders>
              <w:top w:val="single" w:sz="4" w:space="0" w:color="auto"/>
            </w:tcBorders>
          </w:tcPr>
          <w:p w14:paraId="0360C083" w14:textId="77777777" w:rsidR="00CF0E2D" w:rsidRPr="00D31A86" w:rsidRDefault="00CF0E2D" w:rsidP="00A60D4B">
            <w:pPr>
              <w:pStyle w:val="InitTextL"/>
              <w:keepNext/>
              <w:keepLines/>
              <w:ind w:left="321" w:hanging="321"/>
            </w:pPr>
            <w:r w:rsidRPr="00D31A86">
              <w:t>Depreciation</w:t>
            </w:r>
          </w:p>
        </w:tc>
        <w:tc>
          <w:tcPr>
            <w:tcW w:w="1179" w:type="dxa"/>
            <w:tcBorders>
              <w:top w:val="single" w:sz="4" w:space="0" w:color="auto"/>
            </w:tcBorders>
          </w:tcPr>
          <w:p w14:paraId="31C6136B" w14:textId="77777777" w:rsidR="00CF0E2D" w:rsidRPr="00D31A86" w:rsidRDefault="00CF0E2D" w:rsidP="00A60D4B">
            <w:pPr>
              <w:pStyle w:val="InitFigR"/>
              <w:keepNext/>
              <w:keepLines/>
            </w:pPr>
            <w:r w:rsidRPr="00D31A86">
              <w:t>0</w:t>
            </w:r>
          </w:p>
        </w:tc>
        <w:tc>
          <w:tcPr>
            <w:tcW w:w="1041" w:type="dxa"/>
            <w:tcBorders>
              <w:top w:val="single" w:sz="4" w:space="0" w:color="auto"/>
            </w:tcBorders>
          </w:tcPr>
          <w:p w14:paraId="16E3C1B2" w14:textId="77777777" w:rsidR="00CF0E2D" w:rsidRPr="00D31A86" w:rsidRDefault="00CF0E2D" w:rsidP="00A60D4B">
            <w:pPr>
              <w:pStyle w:val="InitFigR"/>
              <w:keepNext/>
              <w:keepLines/>
            </w:pPr>
            <w:r w:rsidRPr="00D31A86">
              <w:t>33</w:t>
            </w:r>
          </w:p>
        </w:tc>
        <w:tc>
          <w:tcPr>
            <w:tcW w:w="1029" w:type="dxa"/>
            <w:tcBorders>
              <w:top w:val="single" w:sz="4" w:space="0" w:color="auto"/>
            </w:tcBorders>
          </w:tcPr>
          <w:p w14:paraId="3A8A8AA1" w14:textId="77777777" w:rsidR="00CF0E2D" w:rsidRDefault="00CF0E2D" w:rsidP="00A60D4B">
            <w:pPr>
              <w:pStyle w:val="InitFigR"/>
              <w:keepNext/>
              <w:keepLines/>
            </w:pPr>
            <w:r>
              <w:t>47</w:t>
            </w:r>
          </w:p>
        </w:tc>
        <w:tc>
          <w:tcPr>
            <w:tcW w:w="1029" w:type="dxa"/>
            <w:tcBorders>
              <w:top w:val="single" w:sz="4" w:space="0" w:color="auto"/>
            </w:tcBorders>
          </w:tcPr>
          <w:p w14:paraId="6FF50878" w14:textId="77777777" w:rsidR="00CF0E2D" w:rsidRDefault="00CF0E2D" w:rsidP="00A60D4B">
            <w:pPr>
              <w:pStyle w:val="InitFigR"/>
              <w:keepNext/>
              <w:keepLines/>
            </w:pPr>
            <w:r>
              <w:t>47</w:t>
            </w:r>
          </w:p>
        </w:tc>
        <w:tc>
          <w:tcPr>
            <w:tcW w:w="1029" w:type="dxa"/>
            <w:tcBorders>
              <w:top w:val="single" w:sz="4" w:space="0" w:color="auto"/>
            </w:tcBorders>
          </w:tcPr>
          <w:p w14:paraId="2652D676" w14:textId="77777777" w:rsidR="00CF0E2D" w:rsidRPr="009D6054" w:rsidRDefault="00CF0E2D" w:rsidP="00A60D4B">
            <w:pPr>
              <w:pStyle w:val="InitFigRBold"/>
              <w:keepNext/>
              <w:keepLines/>
              <w:rPr>
                <w:bCs/>
              </w:rPr>
            </w:pPr>
            <w:r w:rsidRPr="009D6054">
              <w:rPr>
                <w:bCs/>
              </w:rPr>
              <w:t>127</w:t>
            </w:r>
          </w:p>
        </w:tc>
      </w:tr>
      <w:tr w:rsidR="00CF0E2D" w:rsidRPr="00750793" w14:paraId="38C40CA2" w14:textId="77777777" w:rsidTr="00A60D4B">
        <w:trPr>
          <w:cantSplit/>
          <w:jc w:val="center"/>
        </w:trPr>
        <w:tc>
          <w:tcPr>
            <w:tcW w:w="3652" w:type="dxa"/>
          </w:tcPr>
          <w:p w14:paraId="63584360" w14:textId="77777777" w:rsidR="00CF0E2D" w:rsidRPr="00D31A86" w:rsidRDefault="00CF0E2D" w:rsidP="00A60D4B">
            <w:pPr>
              <w:pStyle w:val="InitTextL"/>
              <w:keepNext/>
              <w:keepLines/>
              <w:ind w:left="321" w:hanging="321"/>
            </w:pPr>
            <w:r w:rsidRPr="00D31A86">
              <w:t>Expenses</w:t>
            </w:r>
          </w:p>
        </w:tc>
        <w:tc>
          <w:tcPr>
            <w:tcW w:w="1179" w:type="dxa"/>
          </w:tcPr>
          <w:p w14:paraId="4C1DB462" w14:textId="77777777" w:rsidR="00CF0E2D" w:rsidRPr="00D31A86" w:rsidRDefault="00CF0E2D" w:rsidP="00A60D4B">
            <w:pPr>
              <w:pStyle w:val="InitFigR"/>
              <w:keepNext/>
              <w:keepLines/>
            </w:pPr>
            <w:r w:rsidRPr="00D31A86">
              <w:t>2,749</w:t>
            </w:r>
          </w:p>
        </w:tc>
        <w:tc>
          <w:tcPr>
            <w:tcW w:w="1041" w:type="dxa"/>
          </w:tcPr>
          <w:p w14:paraId="2A9DECC5" w14:textId="77777777" w:rsidR="00CF0E2D" w:rsidRPr="00D31A86" w:rsidRDefault="00CF0E2D" w:rsidP="00A60D4B">
            <w:pPr>
              <w:pStyle w:val="InitFigR"/>
              <w:keepNext/>
              <w:keepLines/>
            </w:pPr>
            <w:r w:rsidRPr="00D31A86">
              <w:t>4,128</w:t>
            </w:r>
          </w:p>
        </w:tc>
        <w:tc>
          <w:tcPr>
            <w:tcW w:w="1029" w:type="dxa"/>
          </w:tcPr>
          <w:p w14:paraId="0790FAE4" w14:textId="77777777" w:rsidR="00CF0E2D" w:rsidRPr="00424DA4" w:rsidRDefault="00CF0E2D" w:rsidP="00A60D4B">
            <w:pPr>
              <w:pStyle w:val="InitFigR"/>
              <w:keepNext/>
              <w:keepLines/>
            </w:pPr>
            <w:r>
              <w:t>5,261</w:t>
            </w:r>
          </w:p>
        </w:tc>
        <w:tc>
          <w:tcPr>
            <w:tcW w:w="1029" w:type="dxa"/>
          </w:tcPr>
          <w:p w14:paraId="5FF5AE94" w14:textId="77777777" w:rsidR="00CF0E2D" w:rsidRPr="00424DA4" w:rsidRDefault="00CF0E2D" w:rsidP="00A60D4B">
            <w:pPr>
              <w:pStyle w:val="InitFigR"/>
              <w:keepNext/>
              <w:keepLines/>
            </w:pPr>
            <w:r>
              <w:t>12</w:t>
            </w:r>
          </w:p>
        </w:tc>
        <w:tc>
          <w:tcPr>
            <w:tcW w:w="1029" w:type="dxa"/>
          </w:tcPr>
          <w:p w14:paraId="6F3754FB" w14:textId="77777777" w:rsidR="00CF0E2D" w:rsidRPr="009D6054" w:rsidRDefault="00CF0E2D" w:rsidP="00A60D4B">
            <w:pPr>
              <w:pStyle w:val="InitFigBR"/>
              <w:keepNext/>
              <w:keepLines/>
              <w:rPr>
                <w:bCs/>
              </w:rPr>
            </w:pPr>
            <w:r w:rsidRPr="009D6054">
              <w:rPr>
                <w:bCs/>
              </w:rPr>
              <w:t>12,150</w:t>
            </w:r>
          </w:p>
        </w:tc>
      </w:tr>
      <w:tr w:rsidR="00CF0E2D" w:rsidRPr="00750793" w14:paraId="5307DC49" w14:textId="77777777" w:rsidTr="00A60D4B">
        <w:trPr>
          <w:cantSplit/>
          <w:trHeight w:val="107"/>
          <w:jc w:val="center"/>
        </w:trPr>
        <w:tc>
          <w:tcPr>
            <w:tcW w:w="3652" w:type="dxa"/>
            <w:tcBorders>
              <w:top w:val="single" w:sz="4" w:space="0" w:color="auto"/>
              <w:bottom w:val="single" w:sz="4" w:space="0" w:color="auto"/>
            </w:tcBorders>
          </w:tcPr>
          <w:p w14:paraId="5425689C" w14:textId="77777777" w:rsidR="00CF0E2D" w:rsidRDefault="00CF0E2D" w:rsidP="00A60D4B">
            <w:pPr>
              <w:pStyle w:val="InitFigLBold"/>
              <w:keepNext/>
              <w:keepLines/>
              <w:ind w:left="321" w:hanging="321"/>
            </w:pPr>
            <w:r>
              <w:t>Net cost of services</w:t>
            </w:r>
          </w:p>
        </w:tc>
        <w:tc>
          <w:tcPr>
            <w:tcW w:w="1179" w:type="dxa"/>
            <w:tcBorders>
              <w:top w:val="single" w:sz="4" w:space="0" w:color="auto"/>
              <w:bottom w:val="single" w:sz="4" w:space="0" w:color="auto"/>
            </w:tcBorders>
          </w:tcPr>
          <w:p w14:paraId="3A2B06A2" w14:textId="77777777" w:rsidR="00CF0E2D" w:rsidRPr="00424DA4" w:rsidRDefault="00CF0E2D" w:rsidP="00A60D4B">
            <w:pPr>
              <w:pStyle w:val="InitFigRBold"/>
              <w:keepNext/>
              <w:keepLines/>
            </w:pPr>
            <w:r>
              <w:t>2,749</w:t>
            </w:r>
          </w:p>
        </w:tc>
        <w:tc>
          <w:tcPr>
            <w:tcW w:w="1041" w:type="dxa"/>
            <w:tcBorders>
              <w:top w:val="single" w:sz="4" w:space="0" w:color="auto"/>
              <w:bottom w:val="single" w:sz="4" w:space="0" w:color="auto"/>
            </w:tcBorders>
          </w:tcPr>
          <w:p w14:paraId="1FAA4627" w14:textId="77777777" w:rsidR="00CF0E2D" w:rsidRPr="00424DA4" w:rsidRDefault="00CF0E2D" w:rsidP="00A60D4B">
            <w:pPr>
              <w:pStyle w:val="InitFigRBold"/>
              <w:keepNext/>
              <w:keepLines/>
            </w:pPr>
            <w:r>
              <w:t>4,161</w:t>
            </w:r>
          </w:p>
        </w:tc>
        <w:tc>
          <w:tcPr>
            <w:tcW w:w="1029" w:type="dxa"/>
            <w:tcBorders>
              <w:top w:val="single" w:sz="4" w:space="0" w:color="auto"/>
              <w:bottom w:val="single" w:sz="4" w:space="0" w:color="auto"/>
            </w:tcBorders>
          </w:tcPr>
          <w:p w14:paraId="6251FCB7" w14:textId="77777777" w:rsidR="00CF0E2D" w:rsidRPr="00424DA4" w:rsidRDefault="00CF0E2D" w:rsidP="00A60D4B">
            <w:pPr>
              <w:pStyle w:val="InitFigRBold"/>
              <w:keepNext/>
              <w:keepLines/>
            </w:pPr>
            <w:r>
              <w:t>5,308</w:t>
            </w:r>
          </w:p>
        </w:tc>
        <w:tc>
          <w:tcPr>
            <w:tcW w:w="1029" w:type="dxa"/>
            <w:tcBorders>
              <w:top w:val="single" w:sz="4" w:space="0" w:color="auto"/>
              <w:bottom w:val="single" w:sz="4" w:space="0" w:color="auto"/>
            </w:tcBorders>
          </w:tcPr>
          <w:p w14:paraId="7E58DB4F" w14:textId="77777777" w:rsidR="00CF0E2D" w:rsidRPr="00424DA4" w:rsidRDefault="00CF0E2D" w:rsidP="00A60D4B">
            <w:pPr>
              <w:pStyle w:val="InitFigRBold"/>
              <w:keepNext/>
              <w:keepLines/>
            </w:pPr>
            <w:r>
              <w:t>59</w:t>
            </w:r>
          </w:p>
        </w:tc>
        <w:tc>
          <w:tcPr>
            <w:tcW w:w="1029" w:type="dxa"/>
            <w:tcBorders>
              <w:top w:val="single" w:sz="4" w:space="0" w:color="auto"/>
              <w:bottom w:val="single" w:sz="4" w:space="0" w:color="auto"/>
            </w:tcBorders>
          </w:tcPr>
          <w:p w14:paraId="31E255F1" w14:textId="77777777" w:rsidR="00CF0E2D" w:rsidRPr="00424DA4" w:rsidRDefault="00CF0E2D" w:rsidP="00A60D4B">
            <w:pPr>
              <w:pStyle w:val="InitFigRBold"/>
              <w:keepNext/>
              <w:keepLines/>
            </w:pPr>
            <w:r>
              <w:t>12,277</w:t>
            </w:r>
          </w:p>
        </w:tc>
      </w:tr>
    </w:tbl>
    <w:p w14:paraId="6F9ABF46" w14:textId="77777777" w:rsidR="00CF0E2D" w:rsidRPr="0013189D" w:rsidRDefault="00CF0E2D" w:rsidP="00A60D4B">
      <w:pPr>
        <w:pStyle w:val="Bbodytext"/>
        <w:keepNext/>
        <w:keepLines/>
      </w:pPr>
      <w:r w:rsidRPr="0013189D">
        <w:t>The Government will expand the tree planting program to deliver 54,000 new trees over the next three years, as part of work to grow Canberra’s urban canopy coverage to 30 per cent by 2045. The ACT Government will also expand opportunities for community groups to get involved in local planting efforts through an extension of the Adopt-a-Park program. As part of this initiative, the Holder Depot and the Curtin Woodyard will be upgraded</w:t>
      </w:r>
      <w:r>
        <w:t>.</w:t>
      </w:r>
    </w:p>
    <w:p w14:paraId="1EA8C9B5" w14:textId="77777777" w:rsidR="00CF0E2D" w:rsidRDefault="00CF0E2D" w:rsidP="00A60D4B">
      <w:pPr>
        <w:pStyle w:val="Bbodytext"/>
      </w:pPr>
      <w:r w:rsidRPr="0013189D">
        <w:t>This initiative builds on recent Government investments to strengthen Canberra’s urban tree canopy and provide shade, cool our city and enhance our resilience to a changing climate, including the 2019</w:t>
      </w:r>
      <w:r w:rsidRPr="0013189D">
        <w:noBreakHyphen/>
        <w:t xml:space="preserve">20 Budget initiative to plant at least 17,000 more trees. </w:t>
      </w:r>
    </w:p>
    <w:p w14:paraId="4C4EE02C" w14:textId="77777777" w:rsidR="00CF0E2D" w:rsidRDefault="00CF0E2D" w:rsidP="00A60D4B">
      <w:pPr>
        <w:pStyle w:val="Bbodytext"/>
      </w:pPr>
      <w:r>
        <w:t>This initiative</w:t>
      </w:r>
      <w:r w:rsidRPr="0013189D">
        <w:t xml:space="preserve"> contributes to the wellbeing domain of Environment and </w:t>
      </w:r>
      <w:r>
        <w:t>c</w:t>
      </w:r>
      <w:r w:rsidRPr="0013189D">
        <w:t>limate</w:t>
      </w:r>
      <w:r>
        <w:t>.</w:t>
      </w:r>
    </w:p>
    <w:p w14:paraId="08FAD367" w14:textId="77777777" w:rsidR="00CF0E2D" w:rsidRPr="00937A6B" w:rsidRDefault="00CF0E2D" w:rsidP="00A60D4B">
      <w:pPr>
        <w:pStyle w:val="Bbodytext"/>
      </w:pPr>
    </w:p>
    <w:p w14:paraId="198CBA9C" w14:textId="77777777" w:rsidR="00CF0E2D" w:rsidRPr="00B22460" w:rsidRDefault="00CF0E2D" w:rsidP="00A60D4B">
      <w:pPr>
        <w:pStyle w:val="Heading4"/>
      </w:pPr>
      <w:r>
        <w:rPr>
          <w:rFonts w:eastAsia="Times New Roman"/>
        </w:rPr>
        <w:t>Pr</w:t>
      </w:r>
      <w:r w:rsidRPr="00B22460">
        <w:t xml:space="preserve">otecting Canberra’s unique environment – Upgrading the stormwater network </w:t>
      </w:r>
      <w:r>
        <w:rPr>
          <w:b w:val="0"/>
          <w:noProof/>
          <w:color w:val="999789"/>
          <w:sz w:val="32"/>
          <w:szCs w:val="24"/>
        </w:rPr>
        <w:drawing>
          <wp:anchor distT="0" distB="0" distL="114300" distR="114300" simplePos="0" relativeHeight="251911168" behindDoc="0" locked="1" layoutInCell="1" allowOverlap="1" wp14:anchorId="76700A96" wp14:editId="43532217">
            <wp:simplePos x="0" y="0"/>
            <wp:positionH relativeFrom="margin">
              <wp:align>right</wp:align>
            </wp:positionH>
            <wp:positionV relativeFrom="paragraph">
              <wp:posOffset>81915</wp:posOffset>
            </wp:positionV>
            <wp:extent cx="989965" cy="503555"/>
            <wp:effectExtent l="0" t="0" r="635" b="0"/>
            <wp:wrapSquare wrapText="bothSides"/>
            <wp:docPr id="229" name="Picture 229"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37A6B" w14:paraId="75BCD945" w14:textId="77777777" w:rsidTr="00A60D4B">
        <w:trPr>
          <w:cantSplit/>
          <w:jc w:val="center"/>
        </w:trPr>
        <w:tc>
          <w:tcPr>
            <w:tcW w:w="3652" w:type="dxa"/>
            <w:tcBorders>
              <w:top w:val="single" w:sz="4" w:space="0" w:color="auto"/>
              <w:bottom w:val="single" w:sz="4" w:space="0" w:color="auto"/>
            </w:tcBorders>
          </w:tcPr>
          <w:p w14:paraId="46DFC23F" w14:textId="77777777" w:rsidR="00CF0E2D" w:rsidRPr="00937A6B" w:rsidRDefault="00CF0E2D" w:rsidP="00A60D4B">
            <w:pPr>
              <w:spacing w:after="0" w:line="240" w:lineRule="auto"/>
              <w:jc w:val="right"/>
              <w:rPr>
                <w:rFonts w:ascii="Calibri" w:eastAsia="Times New Roman" w:hAnsi="Calibri" w:cs="Calibri"/>
                <w:color w:val="FFFFFF"/>
                <w:sz w:val="12"/>
                <w:szCs w:val="20"/>
              </w:rPr>
            </w:pPr>
            <w:r w:rsidRPr="00937A6B">
              <w:rPr>
                <w:rFonts w:ascii="Calibri" w:eastAsia="Times New Roman" w:hAnsi="Calibri" w:cs="Calibri"/>
                <w:color w:val="FFFFFF"/>
                <w:sz w:val="12"/>
                <w:szCs w:val="20"/>
              </w:rPr>
              <w:t>Empty Cell</w:t>
            </w:r>
          </w:p>
        </w:tc>
        <w:tc>
          <w:tcPr>
            <w:tcW w:w="1179" w:type="dxa"/>
            <w:tcBorders>
              <w:top w:val="single" w:sz="4" w:space="0" w:color="auto"/>
              <w:bottom w:val="single" w:sz="4" w:space="0" w:color="auto"/>
            </w:tcBorders>
          </w:tcPr>
          <w:p w14:paraId="112BC0FC"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2021-22</w:t>
            </w:r>
          </w:p>
          <w:p w14:paraId="56972BB5"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41" w:type="dxa"/>
            <w:tcBorders>
              <w:top w:val="single" w:sz="4" w:space="0" w:color="auto"/>
              <w:bottom w:val="single" w:sz="4" w:space="0" w:color="auto"/>
            </w:tcBorders>
          </w:tcPr>
          <w:p w14:paraId="0074A662"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2022-23</w:t>
            </w:r>
          </w:p>
          <w:p w14:paraId="161FB919"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5A0CB019"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2023-24</w:t>
            </w:r>
          </w:p>
          <w:p w14:paraId="33CCA761"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4D3E12CC"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2024-25</w:t>
            </w:r>
          </w:p>
          <w:p w14:paraId="6163FECA"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54326DB0"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Total</w:t>
            </w:r>
          </w:p>
          <w:p w14:paraId="2DA6DEC4"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$’000</w:t>
            </w:r>
          </w:p>
        </w:tc>
      </w:tr>
      <w:tr w:rsidR="00CF0E2D" w:rsidRPr="00937A6B" w14:paraId="48721E23" w14:textId="77777777" w:rsidTr="00A60D4B">
        <w:trPr>
          <w:cantSplit/>
          <w:jc w:val="center"/>
        </w:trPr>
        <w:tc>
          <w:tcPr>
            <w:tcW w:w="3652" w:type="dxa"/>
            <w:tcBorders>
              <w:top w:val="single" w:sz="4" w:space="0" w:color="auto"/>
            </w:tcBorders>
          </w:tcPr>
          <w:p w14:paraId="68E824A0"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Capital</w:t>
            </w:r>
          </w:p>
        </w:tc>
        <w:tc>
          <w:tcPr>
            <w:tcW w:w="1179" w:type="dxa"/>
            <w:tcBorders>
              <w:top w:val="single" w:sz="4" w:space="0" w:color="auto"/>
            </w:tcBorders>
          </w:tcPr>
          <w:p w14:paraId="2CD1F202"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2,200</w:t>
            </w:r>
          </w:p>
        </w:tc>
        <w:tc>
          <w:tcPr>
            <w:tcW w:w="1041" w:type="dxa"/>
            <w:tcBorders>
              <w:top w:val="single" w:sz="4" w:space="0" w:color="auto"/>
            </w:tcBorders>
          </w:tcPr>
          <w:p w14:paraId="0D3DEF13"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2,130</w:t>
            </w:r>
          </w:p>
        </w:tc>
        <w:tc>
          <w:tcPr>
            <w:tcW w:w="1029" w:type="dxa"/>
            <w:tcBorders>
              <w:top w:val="single" w:sz="4" w:space="0" w:color="auto"/>
            </w:tcBorders>
          </w:tcPr>
          <w:p w14:paraId="1C097629"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2,250</w:t>
            </w:r>
          </w:p>
        </w:tc>
        <w:tc>
          <w:tcPr>
            <w:tcW w:w="1029" w:type="dxa"/>
            <w:tcBorders>
              <w:top w:val="single" w:sz="4" w:space="0" w:color="auto"/>
            </w:tcBorders>
          </w:tcPr>
          <w:p w14:paraId="3206B699"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tcBorders>
          </w:tcPr>
          <w:p w14:paraId="4697CBCC"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b/>
                <w:sz w:val="24"/>
                <w:szCs w:val="20"/>
              </w:rPr>
              <w:t>6,580</w:t>
            </w:r>
          </w:p>
        </w:tc>
      </w:tr>
      <w:tr w:rsidR="00CF0E2D" w:rsidRPr="00937A6B" w14:paraId="47962E7D" w14:textId="77777777" w:rsidTr="00A60D4B">
        <w:trPr>
          <w:cantSplit/>
          <w:jc w:val="center"/>
        </w:trPr>
        <w:tc>
          <w:tcPr>
            <w:tcW w:w="3652" w:type="dxa"/>
            <w:tcBorders>
              <w:top w:val="single" w:sz="4" w:space="0" w:color="auto"/>
            </w:tcBorders>
          </w:tcPr>
          <w:p w14:paraId="5CFAF410" w14:textId="77777777" w:rsidR="00CF0E2D" w:rsidRPr="00937A6B" w:rsidRDefault="00CF0E2D" w:rsidP="00A60D4B">
            <w:pPr>
              <w:spacing w:after="0" w:line="240" w:lineRule="auto"/>
              <w:ind w:left="321" w:hanging="321"/>
              <w:rPr>
                <w:rFonts w:ascii="Calibri" w:eastAsia="Times New Roman" w:hAnsi="Calibri" w:cs="Times New Roman"/>
                <w:b/>
                <w:bCs/>
                <w:sz w:val="24"/>
                <w:szCs w:val="20"/>
              </w:rPr>
            </w:pPr>
            <w:r w:rsidRPr="00937A6B">
              <w:rPr>
                <w:rFonts w:ascii="Calibri" w:eastAsia="Times New Roman" w:hAnsi="Calibri" w:cs="Times New Roman"/>
                <w:sz w:val="24"/>
                <w:szCs w:val="20"/>
              </w:rPr>
              <w:t>Depreciation</w:t>
            </w:r>
          </w:p>
        </w:tc>
        <w:tc>
          <w:tcPr>
            <w:tcW w:w="1179" w:type="dxa"/>
            <w:tcBorders>
              <w:top w:val="single" w:sz="4" w:space="0" w:color="auto"/>
            </w:tcBorders>
          </w:tcPr>
          <w:p w14:paraId="2271F15E"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41" w:type="dxa"/>
            <w:tcBorders>
              <w:top w:val="single" w:sz="4" w:space="0" w:color="auto"/>
            </w:tcBorders>
          </w:tcPr>
          <w:p w14:paraId="084557AD"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20</w:t>
            </w:r>
          </w:p>
        </w:tc>
        <w:tc>
          <w:tcPr>
            <w:tcW w:w="1029" w:type="dxa"/>
            <w:tcBorders>
              <w:top w:val="single" w:sz="4" w:space="0" w:color="auto"/>
            </w:tcBorders>
          </w:tcPr>
          <w:p w14:paraId="674147FC"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20</w:t>
            </w:r>
          </w:p>
        </w:tc>
        <w:tc>
          <w:tcPr>
            <w:tcW w:w="1029" w:type="dxa"/>
            <w:tcBorders>
              <w:top w:val="single" w:sz="4" w:space="0" w:color="auto"/>
            </w:tcBorders>
          </w:tcPr>
          <w:p w14:paraId="4E737AF8"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50</w:t>
            </w:r>
          </w:p>
        </w:tc>
        <w:tc>
          <w:tcPr>
            <w:tcW w:w="1029" w:type="dxa"/>
            <w:tcBorders>
              <w:top w:val="single" w:sz="4" w:space="0" w:color="auto"/>
            </w:tcBorders>
          </w:tcPr>
          <w:p w14:paraId="3F414F90"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b/>
                <w:sz w:val="24"/>
                <w:szCs w:val="20"/>
              </w:rPr>
              <w:t>90</w:t>
            </w:r>
          </w:p>
        </w:tc>
      </w:tr>
      <w:tr w:rsidR="00CF0E2D" w:rsidRPr="00937A6B" w14:paraId="7F2B74AD" w14:textId="77777777" w:rsidTr="00A60D4B">
        <w:trPr>
          <w:cantSplit/>
          <w:jc w:val="center"/>
        </w:trPr>
        <w:tc>
          <w:tcPr>
            <w:tcW w:w="3652" w:type="dxa"/>
          </w:tcPr>
          <w:p w14:paraId="67824FD1"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Expenses</w:t>
            </w:r>
          </w:p>
        </w:tc>
        <w:tc>
          <w:tcPr>
            <w:tcW w:w="1179" w:type="dxa"/>
          </w:tcPr>
          <w:p w14:paraId="0D3D0009"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41" w:type="dxa"/>
          </w:tcPr>
          <w:p w14:paraId="78371D74"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Pr>
          <w:p w14:paraId="7571D037"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20</w:t>
            </w:r>
          </w:p>
        </w:tc>
        <w:tc>
          <w:tcPr>
            <w:tcW w:w="1029" w:type="dxa"/>
          </w:tcPr>
          <w:p w14:paraId="2A4DCF88"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40</w:t>
            </w:r>
          </w:p>
        </w:tc>
        <w:tc>
          <w:tcPr>
            <w:tcW w:w="1029" w:type="dxa"/>
          </w:tcPr>
          <w:p w14:paraId="061F707F"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60</w:t>
            </w:r>
          </w:p>
        </w:tc>
      </w:tr>
      <w:tr w:rsidR="00CF0E2D" w:rsidRPr="00937A6B" w14:paraId="650472E2" w14:textId="77777777" w:rsidTr="00A60D4B">
        <w:trPr>
          <w:cantSplit/>
          <w:trHeight w:val="107"/>
          <w:jc w:val="center"/>
        </w:trPr>
        <w:tc>
          <w:tcPr>
            <w:tcW w:w="3652" w:type="dxa"/>
            <w:tcBorders>
              <w:top w:val="single" w:sz="4" w:space="0" w:color="auto"/>
              <w:bottom w:val="single" w:sz="4" w:space="0" w:color="auto"/>
            </w:tcBorders>
          </w:tcPr>
          <w:p w14:paraId="4128080F" w14:textId="77777777" w:rsidR="00CF0E2D" w:rsidRPr="00937A6B" w:rsidRDefault="00CF0E2D" w:rsidP="00A60D4B">
            <w:pPr>
              <w:spacing w:after="0" w:line="240" w:lineRule="auto"/>
              <w:ind w:left="321" w:hanging="321"/>
              <w:rPr>
                <w:rFonts w:ascii="Calibri" w:eastAsia="Times New Roman" w:hAnsi="Calibri" w:cs="Times New Roman"/>
                <w:b/>
                <w:sz w:val="24"/>
                <w:szCs w:val="20"/>
              </w:rPr>
            </w:pPr>
            <w:bookmarkStart w:id="62" w:name="_Hlk79353645"/>
            <w:r w:rsidRPr="00937A6B">
              <w:rPr>
                <w:rFonts w:ascii="Calibri" w:eastAsia="Times New Roman" w:hAnsi="Calibri" w:cs="Times New Roman"/>
                <w:b/>
                <w:sz w:val="24"/>
                <w:szCs w:val="20"/>
              </w:rPr>
              <w:t>Net cost of services</w:t>
            </w:r>
          </w:p>
        </w:tc>
        <w:tc>
          <w:tcPr>
            <w:tcW w:w="1179" w:type="dxa"/>
            <w:tcBorders>
              <w:top w:val="single" w:sz="4" w:space="0" w:color="auto"/>
              <w:bottom w:val="single" w:sz="4" w:space="0" w:color="auto"/>
            </w:tcBorders>
          </w:tcPr>
          <w:p w14:paraId="37CA00FD"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0</w:t>
            </w:r>
          </w:p>
        </w:tc>
        <w:tc>
          <w:tcPr>
            <w:tcW w:w="1041" w:type="dxa"/>
            <w:tcBorders>
              <w:top w:val="single" w:sz="4" w:space="0" w:color="auto"/>
              <w:bottom w:val="single" w:sz="4" w:space="0" w:color="auto"/>
            </w:tcBorders>
          </w:tcPr>
          <w:p w14:paraId="5B94C612"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20</w:t>
            </w:r>
          </w:p>
        </w:tc>
        <w:tc>
          <w:tcPr>
            <w:tcW w:w="1029" w:type="dxa"/>
            <w:tcBorders>
              <w:top w:val="single" w:sz="4" w:space="0" w:color="auto"/>
              <w:bottom w:val="single" w:sz="4" w:space="0" w:color="auto"/>
            </w:tcBorders>
          </w:tcPr>
          <w:p w14:paraId="757F8A69"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40</w:t>
            </w:r>
          </w:p>
        </w:tc>
        <w:tc>
          <w:tcPr>
            <w:tcW w:w="1029" w:type="dxa"/>
            <w:tcBorders>
              <w:top w:val="single" w:sz="4" w:space="0" w:color="auto"/>
              <w:bottom w:val="single" w:sz="4" w:space="0" w:color="auto"/>
            </w:tcBorders>
          </w:tcPr>
          <w:p w14:paraId="38EDD13C"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90</w:t>
            </w:r>
          </w:p>
        </w:tc>
        <w:tc>
          <w:tcPr>
            <w:tcW w:w="1029" w:type="dxa"/>
            <w:tcBorders>
              <w:top w:val="single" w:sz="4" w:space="0" w:color="auto"/>
              <w:bottom w:val="single" w:sz="4" w:space="0" w:color="auto"/>
            </w:tcBorders>
          </w:tcPr>
          <w:p w14:paraId="1680C4A4"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150</w:t>
            </w:r>
          </w:p>
        </w:tc>
      </w:tr>
    </w:tbl>
    <w:bookmarkEnd w:id="62"/>
    <w:p w14:paraId="76B847DA" w14:textId="77777777" w:rsidR="00CF0E2D" w:rsidRPr="008576BD" w:rsidRDefault="00CF0E2D" w:rsidP="00A60D4B">
      <w:pPr>
        <w:pStyle w:val="Bbodytext"/>
      </w:pPr>
      <w:r w:rsidRPr="00937A6B">
        <w:t xml:space="preserve">The Government will support the revitalisation of the heritage-listed Sydney and Melbourne buildings through stormwater upgrades to mitigate flood risks in </w:t>
      </w:r>
      <w:r w:rsidRPr="008576BD">
        <w:t>Verity and Odgers Lanes. This initiative will also reduce flood risks in Narrabundah by delivering a new retarding basin at Finniss Crescent, and detailed design for retarding basins at the Narrabundah Playing Fields and Throsby Crescent. The Finniss Crescent works will also deliver a refreshed play space for the Narrabundah community.</w:t>
      </w:r>
    </w:p>
    <w:p w14:paraId="16A96AC9" w14:textId="77777777" w:rsidR="00CF0E2D" w:rsidRPr="008576BD" w:rsidRDefault="00CF0E2D" w:rsidP="00A60D4B">
      <w:pPr>
        <w:pStyle w:val="Bbodytext"/>
      </w:pPr>
      <w:r w:rsidRPr="00937A6B">
        <w:t xml:space="preserve">This initiative builds on the </w:t>
      </w:r>
      <w:r w:rsidRPr="008576BD">
        <w:t xml:space="preserve">Urban Stormwater Upgrade Program and complements works continuing under the </w:t>
      </w:r>
      <w:r w:rsidRPr="00057AFE">
        <w:rPr>
          <w:i/>
          <w:iCs/>
        </w:rPr>
        <w:t>Improving Stormwater Networks</w:t>
      </w:r>
      <w:r w:rsidRPr="008576BD">
        <w:t xml:space="preserve"> initiative announced in the 2019</w:t>
      </w:r>
      <w:r w:rsidRPr="008576BD">
        <w:noBreakHyphen/>
        <w:t xml:space="preserve">20 Budget. </w:t>
      </w:r>
    </w:p>
    <w:p w14:paraId="7C726CC5" w14:textId="77777777" w:rsidR="00CF0E2D" w:rsidRDefault="00CF0E2D" w:rsidP="00A60D4B">
      <w:pPr>
        <w:pStyle w:val="Bbodytext"/>
      </w:pPr>
      <w:r>
        <w:t>This initiative</w:t>
      </w:r>
      <w:r w:rsidRPr="008576BD">
        <w:t xml:space="preserve"> contributes to the wellbeing domains of Safety and Environment and climate.</w:t>
      </w:r>
    </w:p>
    <w:p w14:paraId="4CC3B3E8" w14:textId="77777777" w:rsidR="00CF0E2D" w:rsidRDefault="00CF0E2D">
      <w:pPr>
        <w:rPr>
          <w:sz w:val="24"/>
        </w:rPr>
      </w:pPr>
      <w:r>
        <w:br w:type="page"/>
      </w:r>
    </w:p>
    <w:p w14:paraId="0AD9AC51" w14:textId="77777777" w:rsidR="00CF0E2D" w:rsidRPr="008576BD" w:rsidRDefault="00CF0E2D" w:rsidP="00A60D4B">
      <w:pPr>
        <w:pStyle w:val="Bbodytext"/>
      </w:pPr>
      <w:r>
        <w:rPr>
          <w:rFonts w:ascii="Calibri" w:eastAsiaTheme="majorEastAsia" w:hAnsi="Calibri" w:cstheme="majorBidi"/>
          <w:b/>
          <w:noProof/>
          <w:color w:val="999789"/>
          <w:sz w:val="32"/>
          <w:szCs w:val="24"/>
        </w:rPr>
        <w:lastRenderedPageBreak/>
        <w:drawing>
          <wp:anchor distT="0" distB="0" distL="114300" distR="114300" simplePos="0" relativeHeight="251939840" behindDoc="0" locked="1" layoutInCell="1" allowOverlap="1" wp14:anchorId="674FA119" wp14:editId="74E426A1">
            <wp:simplePos x="0" y="0"/>
            <wp:positionH relativeFrom="margin">
              <wp:align>right</wp:align>
            </wp:positionH>
            <wp:positionV relativeFrom="paragraph">
              <wp:posOffset>134620</wp:posOffset>
            </wp:positionV>
            <wp:extent cx="1284605" cy="503555"/>
            <wp:effectExtent l="0" t="0" r="0" b="0"/>
            <wp:wrapSquare wrapText="bothSides"/>
            <wp:docPr id="147" name="Picture 147" descr="Icon representing the wellbeing domain of Social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Icon representing the wellbeing domain of Social Connection"/>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84605" cy="503555"/>
                    </a:xfrm>
                    <a:prstGeom prst="rect">
                      <a:avLst/>
                    </a:prstGeom>
                  </pic:spPr>
                </pic:pic>
              </a:graphicData>
            </a:graphic>
            <wp14:sizeRelH relativeFrom="margin">
              <wp14:pctWidth>0</wp14:pctWidth>
            </wp14:sizeRelH>
            <wp14:sizeRelV relativeFrom="margin">
              <wp14:pctHeight>0</wp14:pctHeight>
            </wp14:sizeRelV>
          </wp:anchor>
        </w:drawing>
      </w:r>
    </w:p>
    <w:p w14:paraId="5BB45B84" w14:textId="77777777" w:rsidR="00CF0E2D" w:rsidRPr="00937A6B" w:rsidRDefault="00CF0E2D" w:rsidP="00A60D4B">
      <w:pPr>
        <w:pStyle w:val="Heading4"/>
        <w:rPr>
          <w:rFonts w:eastAsia="Times New Roman" w:cs="Times New Roman"/>
          <w:b w:val="0"/>
          <w:bCs/>
          <w:snapToGrid w:val="0"/>
          <w:sz w:val="32"/>
          <w:szCs w:val="26"/>
          <w:lang w:val="en-US"/>
        </w:rPr>
      </w:pPr>
      <w:r w:rsidRPr="00937A6B">
        <w:rPr>
          <w:rFonts w:eastAsia="Times New Roman"/>
        </w:rPr>
        <w:t xml:space="preserve">Southern Memorial Park </w:t>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37A6B" w14:paraId="3B87BD67" w14:textId="77777777" w:rsidTr="00A60D4B">
        <w:trPr>
          <w:cantSplit/>
          <w:jc w:val="center"/>
        </w:trPr>
        <w:tc>
          <w:tcPr>
            <w:tcW w:w="3652" w:type="dxa"/>
            <w:tcBorders>
              <w:top w:val="single" w:sz="4" w:space="0" w:color="auto"/>
              <w:bottom w:val="single" w:sz="4" w:space="0" w:color="auto"/>
            </w:tcBorders>
          </w:tcPr>
          <w:p w14:paraId="3127CAB8" w14:textId="77777777" w:rsidR="00CF0E2D" w:rsidRPr="00937A6B" w:rsidRDefault="00CF0E2D" w:rsidP="00A60D4B">
            <w:pPr>
              <w:spacing w:after="0" w:line="240" w:lineRule="auto"/>
              <w:jc w:val="right"/>
              <w:rPr>
                <w:rFonts w:ascii="Calibri" w:eastAsia="Times New Roman" w:hAnsi="Calibri" w:cs="Calibri"/>
                <w:color w:val="FFFFFF"/>
                <w:sz w:val="12"/>
                <w:szCs w:val="20"/>
              </w:rPr>
            </w:pPr>
            <w:r w:rsidRPr="00937A6B">
              <w:rPr>
                <w:rFonts w:ascii="Calibri" w:eastAsia="Times New Roman" w:hAnsi="Calibri" w:cs="Calibri"/>
                <w:color w:val="FFFFFF"/>
                <w:sz w:val="12"/>
                <w:szCs w:val="20"/>
              </w:rPr>
              <w:t>Empty Cell</w:t>
            </w:r>
          </w:p>
        </w:tc>
        <w:tc>
          <w:tcPr>
            <w:tcW w:w="1179" w:type="dxa"/>
            <w:tcBorders>
              <w:top w:val="single" w:sz="4" w:space="0" w:color="auto"/>
              <w:bottom w:val="single" w:sz="4" w:space="0" w:color="auto"/>
            </w:tcBorders>
          </w:tcPr>
          <w:p w14:paraId="5E98C0AB"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2021-22</w:t>
            </w:r>
          </w:p>
          <w:p w14:paraId="2524596F"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41" w:type="dxa"/>
            <w:tcBorders>
              <w:top w:val="single" w:sz="4" w:space="0" w:color="auto"/>
              <w:bottom w:val="single" w:sz="4" w:space="0" w:color="auto"/>
            </w:tcBorders>
          </w:tcPr>
          <w:p w14:paraId="7E87ADB8"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2022-23</w:t>
            </w:r>
          </w:p>
          <w:p w14:paraId="3620671A"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142022A5"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2023-24</w:t>
            </w:r>
          </w:p>
          <w:p w14:paraId="2FDDD162"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6BB67457"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2024-25</w:t>
            </w:r>
          </w:p>
          <w:p w14:paraId="519A2258"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212463CF"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Total</w:t>
            </w:r>
          </w:p>
          <w:p w14:paraId="0C15CDE0"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$’000</w:t>
            </w:r>
          </w:p>
        </w:tc>
      </w:tr>
      <w:tr w:rsidR="00CF0E2D" w:rsidRPr="00937A6B" w14:paraId="344AF8C0" w14:textId="77777777" w:rsidTr="00A60D4B">
        <w:trPr>
          <w:cantSplit/>
          <w:jc w:val="center"/>
        </w:trPr>
        <w:tc>
          <w:tcPr>
            <w:tcW w:w="3652" w:type="dxa"/>
            <w:tcBorders>
              <w:top w:val="single" w:sz="4" w:space="0" w:color="auto"/>
              <w:bottom w:val="single" w:sz="4" w:space="0" w:color="auto"/>
            </w:tcBorders>
          </w:tcPr>
          <w:p w14:paraId="6179E6A4"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Capital</w:t>
            </w:r>
          </w:p>
        </w:tc>
        <w:tc>
          <w:tcPr>
            <w:tcW w:w="1179" w:type="dxa"/>
            <w:tcBorders>
              <w:top w:val="single" w:sz="4" w:space="0" w:color="auto"/>
              <w:bottom w:val="single" w:sz="4" w:space="0" w:color="auto"/>
            </w:tcBorders>
          </w:tcPr>
          <w:p w14:paraId="1C9213B2"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350</w:t>
            </w:r>
          </w:p>
        </w:tc>
        <w:tc>
          <w:tcPr>
            <w:tcW w:w="1041" w:type="dxa"/>
            <w:tcBorders>
              <w:top w:val="single" w:sz="4" w:space="0" w:color="auto"/>
              <w:bottom w:val="single" w:sz="4" w:space="0" w:color="auto"/>
            </w:tcBorders>
          </w:tcPr>
          <w:p w14:paraId="2B0A5FA5"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500</w:t>
            </w:r>
          </w:p>
        </w:tc>
        <w:tc>
          <w:tcPr>
            <w:tcW w:w="1029" w:type="dxa"/>
            <w:tcBorders>
              <w:top w:val="single" w:sz="4" w:space="0" w:color="auto"/>
              <w:bottom w:val="single" w:sz="4" w:space="0" w:color="auto"/>
            </w:tcBorders>
          </w:tcPr>
          <w:p w14:paraId="4803F776"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800</w:t>
            </w:r>
          </w:p>
        </w:tc>
        <w:tc>
          <w:tcPr>
            <w:tcW w:w="1029" w:type="dxa"/>
            <w:tcBorders>
              <w:top w:val="single" w:sz="4" w:space="0" w:color="auto"/>
              <w:bottom w:val="single" w:sz="4" w:space="0" w:color="auto"/>
            </w:tcBorders>
          </w:tcPr>
          <w:p w14:paraId="5B393E63"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bottom w:val="single" w:sz="4" w:space="0" w:color="auto"/>
            </w:tcBorders>
          </w:tcPr>
          <w:p w14:paraId="3E1B319C"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b/>
                <w:sz w:val="24"/>
                <w:szCs w:val="20"/>
              </w:rPr>
              <w:t>1,650</w:t>
            </w:r>
          </w:p>
        </w:tc>
      </w:tr>
    </w:tbl>
    <w:p w14:paraId="3B35B7BD" w14:textId="77777777" w:rsidR="00CF0E2D" w:rsidRPr="00937A6B" w:rsidRDefault="00CF0E2D" w:rsidP="00A60D4B">
      <w:pPr>
        <w:pStyle w:val="Bbodytext"/>
        <w:rPr>
          <w:rFonts w:ascii="Calibri" w:eastAsia="Times New Roman" w:hAnsi="Calibri" w:cs="Times New Roman"/>
          <w:szCs w:val="20"/>
        </w:rPr>
      </w:pPr>
      <w:r w:rsidRPr="00937A6B">
        <w:t>The Government will progress Stage 1 of the Southern M</w:t>
      </w:r>
      <w:r w:rsidRPr="00937A6B">
        <w:rPr>
          <w:rFonts w:ascii="Calibri" w:eastAsia="Times New Roman" w:hAnsi="Calibri" w:cs="Times New Roman"/>
          <w:szCs w:val="20"/>
        </w:rPr>
        <w:t xml:space="preserve">emorial Park through detailed design work that will deliver plans for submission for Development Approval. This builds on the early design works for the cemetery announced in the 2018-19 Budget Review. </w:t>
      </w:r>
    </w:p>
    <w:p w14:paraId="16D6AD46" w14:textId="77777777" w:rsidR="00CF0E2D" w:rsidRDefault="00CF0E2D" w:rsidP="00A60D4B">
      <w:pPr>
        <w:pStyle w:val="Bbodytext"/>
        <w:rPr>
          <w:rFonts w:ascii="Calibri" w:eastAsia="Times New Roman" w:hAnsi="Calibri" w:cs="Times New Roman"/>
          <w:szCs w:val="20"/>
        </w:rPr>
      </w:pPr>
      <w:r w:rsidRPr="00937A6B">
        <w:t xml:space="preserve">This initiative contributes to the wellbeing domains </w:t>
      </w:r>
      <w:r w:rsidRPr="00937A6B">
        <w:rPr>
          <w:rFonts w:ascii="Calibri" w:eastAsia="Times New Roman" w:hAnsi="Calibri" w:cs="Times New Roman"/>
          <w:szCs w:val="20"/>
        </w:rPr>
        <w:t>of Social connection and Identity and belonging.</w:t>
      </w:r>
    </w:p>
    <w:p w14:paraId="44C20137" w14:textId="77777777" w:rsidR="00CF0E2D" w:rsidRPr="00937A6B" w:rsidRDefault="00CF0E2D" w:rsidP="00A60D4B">
      <w:pPr>
        <w:spacing w:before="120" w:after="120" w:line="240" w:lineRule="auto"/>
        <w:rPr>
          <w:rFonts w:ascii="Calibri" w:eastAsia="Times New Roman" w:hAnsi="Calibri" w:cs="Times New Roman"/>
          <w:sz w:val="24"/>
          <w:szCs w:val="20"/>
        </w:rPr>
      </w:pPr>
    </w:p>
    <w:p w14:paraId="61B569F4" w14:textId="77777777" w:rsidR="00CF0E2D" w:rsidRPr="00937A6B" w:rsidRDefault="00CF0E2D" w:rsidP="00A60D4B">
      <w:pPr>
        <w:pStyle w:val="Heading4"/>
        <w:rPr>
          <w:rFonts w:eastAsia="Times New Roman" w:cs="Times New Roman"/>
          <w:b w:val="0"/>
          <w:bCs/>
          <w:szCs w:val="26"/>
          <w:lang w:val="x-none"/>
        </w:rPr>
      </w:pPr>
      <w:r w:rsidRPr="00937A6B">
        <w:rPr>
          <w:rFonts w:eastAsia="Times New Roman"/>
        </w:rPr>
        <w:t>Weighbridge</w:t>
      </w:r>
      <w:r>
        <w:rPr>
          <w:rFonts w:eastAsia="Times New Roman" w:cs="Times New Roman"/>
          <w:bCs/>
          <w:szCs w:val="26"/>
        </w:rPr>
        <w:t xml:space="preserve"> </w:t>
      </w:r>
      <w:r>
        <w:rPr>
          <w:rFonts w:eastAsia="Times New Roman" w:cs="Times New Roman"/>
          <w:szCs w:val="26"/>
        </w:rPr>
        <w:t>system</w:t>
      </w:r>
      <w:r w:rsidRPr="00937A6B">
        <w:rPr>
          <w:rFonts w:eastAsia="Times New Roman" w:cs="Times New Roman"/>
          <w:szCs w:val="26"/>
        </w:rPr>
        <w:t xml:space="preserve"> </w:t>
      </w:r>
      <w:r>
        <w:rPr>
          <w:rFonts w:eastAsia="Times New Roman" w:cs="Times New Roman"/>
          <w:szCs w:val="26"/>
        </w:rPr>
        <w:t>r</w:t>
      </w:r>
      <w:r w:rsidRPr="00937A6B">
        <w:rPr>
          <w:rFonts w:eastAsia="Times New Roman" w:cs="Times New Roman"/>
          <w:szCs w:val="26"/>
        </w:rPr>
        <w:t>eplacement</w:t>
      </w:r>
      <w:r w:rsidRPr="00937A6B">
        <w:rPr>
          <w:rFonts w:eastAsia="Times New Roman" w:cs="Times New Roman"/>
          <w:bCs/>
          <w:noProof/>
          <w:szCs w:val="26"/>
          <w:lang w:val="x-none"/>
        </w:rPr>
        <w:t xml:space="preserve"> </w:t>
      </w:r>
      <w:r>
        <w:rPr>
          <w:rFonts w:eastAsia="Times New Roman"/>
          <w:noProof/>
        </w:rPr>
        <w:drawing>
          <wp:anchor distT="0" distB="0" distL="114300" distR="114300" simplePos="0" relativeHeight="251848704" behindDoc="0" locked="1" layoutInCell="1" allowOverlap="1" wp14:anchorId="6FAAD390" wp14:editId="07833CDE">
            <wp:simplePos x="0" y="0"/>
            <wp:positionH relativeFrom="margin">
              <wp:align>right</wp:align>
            </wp:positionH>
            <wp:positionV relativeFrom="paragraph">
              <wp:posOffset>-132080</wp:posOffset>
            </wp:positionV>
            <wp:extent cx="1393190" cy="503555"/>
            <wp:effectExtent l="0" t="0" r="0" b="0"/>
            <wp:wrapSquare wrapText="bothSides"/>
            <wp:docPr id="287" name="Picture 287" descr="Icon representing the wellbeing domain of Environment and cl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 representing the wellbeing domain of Environment and climat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93190"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937A6B" w14:paraId="629B6778" w14:textId="77777777" w:rsidTr="00A60D4B">
        <w:trPr>
          <w:cantSplit/>
          <w:jc w:val="center"/>
        </w:trPr>
        <w:tc>
          <w:tcPr>
            <w:tcW w:w="3652" w:type="dxa"/>
            <w:tcBorders>
              <w:top w:val="single" w:sz="4" w:space="0" w:color="auto"/>
              <w:bottom w:val="single" w:sz="4" w:space="0" w:color="auto"/>
            </w:tcBorders>
          </w:tcPr>
          <w:p w14:paraId="07AEA0B8" w14:textId="77777777" w:rsidR="00CF0E2D" w:rsidRPr="00937A6B" w:rsidRDefault="00CF0E2D" w:rsidP="00A60D4B">
            <w:pPr>
              <w:spacing w:after="0" w:line="240" w:lineRule="auto"/>
              <w:jc w:val="right"/>
              <w:rPr>
                <w:rFonts w:ascii="Calibri" w:eastAsia="Times New Roman" w:hAnsi="Calibri" w:cs="Calibri"/>
                <w:color w:val="FFFFFF"/>
                <w:sz w:val="12"/>
                <w:szCs w:val="20"/>
              </w:rPr>
            </w:pPr>
            <w:r w:rsidRPr="00937A6B">
              <w:rPr>
                <w:rFonts w:ascii="Calibri" w:eastAsia="Times New Roman" w:hAnsi="Calibri" w:cs="Calibri"/>
                <w:color w:val="FFFFFF"/>
                <w:sz w:val="12"/>
                <w:szCs w:val="20"/>
              </w:rPr>
              <w:t>Empty Cell</w:t>
            </w:r>
          </w:p>
        </w:tc>
        <w:tc>
          <w:tcPr>
            <w:tcW w:w="1179" w:type="dxa"/>
            <w:tcBorders>
              <w:top w:val="single" w:sz="4" w:space="0" w:color="auto"/>
              <w:bottom w:val="single" w:sz="4" w:space="0" w:color="auto"/>
            </w:tcBorders>
          </w:tcPr>
          <w:p w14:paraId="5158559C"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2021-22</w:t>
            </w:r>
          </w:p>
          <w:p w14:paraId="44D9264D"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41" w:type="dxa"/>
            <w:tcBorders>
              <w:top w:val="single" w:sz="4" w:space="0" w:color="auto"/>
              <w:bottom w:val="single" w:sz="4" w:space="0" w:color="auto"/>
            </w:tcBorders>
          </w:tcPr>
          <w:p w14:paraId="599F2FA3"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2022-23</w:t>
            </w:r>
          </w:p>
          <w:p w14:paraId="4AF36DFC"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77CF3A5B"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2023-24</w:t>
            </w:r>
          </w:p>
          <w:p w14:paraId="63FE9EC8"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3A1E43E3"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2024-25</w:t>
            </w:r>
          </w:p>
          <w:p w14:paraId="361F1E27"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$’000</w:t>
            </w:r>
          </w:p>
        </w:tc>
        <w:tc>
          <w:tcPr>
            <w:tcW w:w="1029" w:type="dxa"/>
            <w:tcBorders>
              <w:top w:val="single" w:sz="4" w:space="0" w:color="auto"/>
              <w:bottom w:val="single" w:sz="4" w:space="0" w:color="auto"/>
            </w:tcBorders>
          </w:tcPr>
          <w:p w14:paraId="62D48AF8"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Total</w:t>
            </w:r>
          </w:p>
          <w:p w14:paraId="0EE42CE8" w14:textId="77777777" w:rsidR="00CF0E2D" w:rsidRPr="00937A6B" w:rsidRDefault="00CF0E2D" w:rsidP="00A60D4B">
            <w:pPr>
              <w:spacing w:after="0" w:line="240" w:lineRule="auto"/>
              <w:jc w:val="right"/>
              <w:rPr>
                <w:rFonts w:ascii="Calibri" w:eastAsia="Times New Roman" w:hAnsi="Calibri" w:cs="Times New Roman"/>
                <w:b/>
                <w:sz w:val="24"/>
                <w:szCs w:val="20"/>
              </w:rPr>
            </w:pPr>
            <w:r w:rsidRPr="00937A6B">
              <w:rPr>
                <w:rFonts w:ascii="Calibri" w:eastAsia="Times New Roman" w:hAnsi="Calibri" w:cs="Times New Roman"/>
                <w:b/>
                <w:sz w:val="24"/>
                <w:szCs w:val="20"/>
              </w:rPr>
              <w:t>$’000</w:t>
            </w:r>
          </w:p>
        </w:tc>
      </w:tr>
      <w:tr w:rsidR="00CF0E2D" w:rsidRPr="00937A6B" w14:paraId="4D027A2C" w14:textId="77777777" w:rsidTr="00A60D4B">
        <w:trPr>
          <w:cantSplit/>
          <w:jc w:val="center"/>
        </w:trPr>
        <w:tc>
          <w:tcPr>
            <w:tcW w:w="3652" w:type="dxa"/>
            <w:tcBorders>
              <w:top w:val="single" w:sz="4" w:space="0" w:color="auto"/>
              <w:bottom w:val="single" w:sz="4" w:space="0" w:color="auto"/>
            </w:tcBorders>
          </w:tcPr>
          <w:p w14:paraId="7EDD405B"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Capital – Provision</w:t>
            </w:r>
          </w:p>
        </w:tc>
        <w:tc>
          <w:tcPr>
            <w:tcW w:w="1179" w:type="dxa"/>
            <w:tcBorders>
              <w:top w:val="single" w:sz="4" w:space="0" w:color="auto"/>
              <w:bottom w:val="single" w:sz="4" w:space="0" w:color="auto"/>
            </w:tcBorders>
          </w:tcPr>
          <w:p w14:paraId="08FAD421"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41" w:type="dxa"/>
            <w:tcBorders>
              <w:top w:val="single" w:sz="4" w:space="0" w:color="auto"/>
              <w:bottom w:val="single" w:sz="4" w:space="0" w:color="auto"/>
            </w:tcBorders>
          </w:tcPr>
          <w:p w14:paraId="19A8AD37"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750</w:t>
            </w:r>
          </w:p>
        </w:tc>
        <w:tc>
          <w:tcPr>
            <w:tcW w:w="1029" w:type="dxa"/>
            <w:tcBorders>
              <w:top w:val="single" w:sz="4" w:space="0" w:color="auto"/>
              <w:bottom w:val="single" w:sz="4" w:space="0" w:color="auto"/>
            </w:tcBorders>
          </w:tcPr>
          <w:p w14:paraId="7709C56F"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bottom w:val="single" w:sz="4" w:space="0" w:color="auto"/>
            </w:tcBorders>
          </w:tcPr>
          <w:p w14:paraId="4CE824D7"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bottom w:val="single" w:sz="4" w:space="0" w:color="auto"/>
            </w:tcBorders>
          </w:tcPr>
          <w:p w14:paraId="00DA2D24"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750</w:t>
            </w:r>
          </w:p>
        </w:tc>
      </w:tr>
      <w:tr w:rsidR="00CF0E2D" w:rsidRPr="00937A6B" w14:paraId="74F7D243" w14:textId="77777777" w:rsidTr="00A60D4B">
        <w:trPr>
          <w:cantSplit/>
          <w:jc w:val="center"/>
        </w:trPr>
        <w:tc>
          <w:tcPr>
            <w:tcW w:w="3652" w:type="dxa"/>
            <w:tcBorders>
              <w:top w:val="single" w:sz="4" w:space="0" w:color="auto"/>
              <w:bottom w:val="single" w:sz="4" w:space="0" w:color="auto"/>
            </w:tcBorders>
          </w:tcPr>
          <w:p w14:paraId="7315B762" w14:textId="77777777" w:rsidR="00CF0E2D" w:rsidRPr="00937A6B" w:rsidRDefault="00CF0E2D" w:rsidP="00A60D4B">
            <w:pPr>
              <w:spacing w:after="0" w:line="240" w:lineRule="auto"/>
              <w:ind w:left="321" w:hanging="321"/>
              <w:rPr>
                <w:rFonts w:ascii="Calibri" w:eastAsia="Times New Roman" w:hAnsi="Calibri" w:cs="Times New Roman"/>
                <w:sz w:val="24"/>
                <w:szCs w:val="20"/>
              </w:rPr>
            </w:pPr>
            <w:r w:rsidRPr="00937A6B">
              <w:rPr>
                <w:rFonts w:ascii="Calibri" w:eastAsia="Times New Roman" w:hAnsi="Calibri" w:cs="Times New Roman"/>
                <w:sz w:val="24"/>
                <w:szCs w:val="20"/>
              </w:rPr>
              <w:t>Expenses</w:t>
            </w:r>
          </w:p>
        </w:tc>
        <w:tc>
          <w:tcPr>
            <w:tcW w:w="1179" w:type="dxa"/>
            <w:tcBorders>
              <w:top w:val="single" w:sz="4" w:space="0" w:color="auto"/>
              <w:bottom w:val="single" w:sz="4" w:space="0" w:color="auto"/>
            </w:tcBorders>
          </w:tcPr>
          <w:p w14:paraId="23292842"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412</w:t>
            </w:r>
          </w:p>
        </w:tc>
        <w:tc>
          <w:tcPr>
            <w:tcW w:w="1041" w:type="dxa"/>
            <w:tcBorders>
              <w:top w:val="single" w:sz="4" w:space="0" w:color="auto"/>
              <w:bottom w:val="single" w:sz="4" w:space="0" w:color="auto"/>
            </w:tcBorders>
          </w:tcPr>
          <w:p w14:paraId="7CFA36FA"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bottom w:val="single" w:sz="4" w:space="0" w:color="auto"/>
            </w:tcBorders>
          </w:tcPr>
          <w:p w14:paraId="261C0E35"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bottom w:val="single" w:sz="4" w:space="0" w:color="auto"/>
            </w:tcBorders>
          </w:tcPr>
          <w:p w14:paraId="1D59C49F" w14:textId="77777777" w:rsidR="00CF0E2D" w:rsidRPr="00937A6B" w:rsidRDefault="00CF0E2D" w:rsidP="00A60D4B">
            <w:pPr>
              <w:spacing w:after="0" w:line="240" w:lineRule="auto"/>
              <w:jc w:val="right"/>
              <w:rPr>
                <w:rFonts w:ascii="Calibri" w:eastAsia="Times New Roman" w:hAnsi="Calibri" w:cs="Times New Roman"/>
                <w:sz w:val="24"/>
                <w:szCs w:val="20"/>
              </w:rPr>
            </w:pPr>
            <w:r w:rsidRPr="00937A6B">
              <w:rPr>
                <w:rFonts w:ascii="Calibri" w:eastAsia="Times New Roman" w:hAnsi="Calibri" w:cs="Times New Roman"/>
                <w:sz w:val="24"/>
                <w:szCs w:val="20"/>
              </w:rPr>
              <w:t>0</w:t>
            </w:r>
          </w:p>
        </w:tc>
        <w:tc>
          <w:tcPr>
            <w:tcW w:w="1029" w:type="dxa"/>
            <w:tcBorders>
              <w:top w:val="single" w:sz="4" w:space="0" w:color="auto"/>
              <w:bottom w:val="single" w:sz="4" w:space="0" w:color="auto"/>
            </w:tcBorders>
          </w:tcPr>
          <w:p w14:paraId="17D8D88A" w14:textId="77777777" w:rsidR="00CF0E2D" w:rsidRPr="00937A6B" w:rsidRDefault="00CF0E2D" w:rsidP="00A60D4B">
            <w:pPr>
              <w:spacing w:after="0" w:line="240" w:lineRule="auto"/>
              <w:jc w:val="right"/>
              <w:rPr>
                <w:rFonts w:ascii="Calibri" w:eastAsia="Times New Roman" w:hAnsi="Calibri" w:cs="Times New Roman"/>
                <w:b/>
                <w:bCs/>
                <w:sz w:val="24"/>
                <w:szCs w:val="20"/>
              </w:rPr>
            </w:pPr>
            <w:r w:rsidRPr="00937A6B">
              <w:rPr>
                <w:rFonts w:ascii="Calibri" w:eastAsia="Times New Roman" w:hAnsi="Calibri" w:cs="Times New Roman"/>
                <w:b/>
                <w:bCs/>
                <w:sz w:val="24"/>
                <w:szCs w:val="20"/>
              </w:rPr>
              <w:t>412</w:t>
            </w:r>
          </w:p>
        </w:tc>
      </w:tr>
    </w:tbl>
    <w:p w14:paraId="624A5404" w14:textId="77777777" w:rsidR="00CF0E2D" w:rsidRPr="00937A6B" w:rsidRDefault="00CF0E2D" w:rsidP="00A60D4B">
      <w:pPr>
        <w:pStyle w:val="Bbodytext"/>
        <w:rPr>
          <w:rFonts w:ascii="Calibri" w:eastAsia="Times New Roman" w:hAnsi="Calibri" w:cs="Times New Roman"/>
          <w:szCs w:val="20"/>
        </w:rPr>
      </w:pPr>
      <w:r w:rsidRPr="00937A6B">
        <w:t>The Government will replace the weighbridge system at the Mugga Lane and Mitchel</w:t>
      </w:r>
      <w:r w:rsidRPr="00937A6B">
        <w:rPr>
          <w:rFonts w:ascii="Calibri" w:eastAsia="Times New Roman" w:hAnsi="Calibri" w:cs="Times New Roman"/>
          <w:szCs w:val="20"/>
        </w:rPr>
        <w:t xml:space="preserve">l Resource Management Centres, enabling revenue collection and the analysis and reporting of waste volumes.  </w:t>
      </w:r>
    </w:p>
    <w:p w14:paraId="58860B12" w14:textId="77777777" w:rsidR="00CF0E2D" w:rsidRPr="00937A6B" w:rsidRDefault="00CF0E2D" w:rsidP="00A60D4B">
      <w:pPr>
        <w:pStyle w:val="Bbodytext"/>
        <w:rPr>
          <w:rFonts w:ascii="Calibri" w:eastAsia="Times New Roman" w:hAnsi="Calibri" w:cs="Times New Roman"/>
          <w:szCs w:val="20"/>
        </w:rPr>
      </w:pPr>
      <w:r w:rsidRPr="00937A6B">
        <w:t>This initiative contribute</w:t>
      </w:r>
      <w:r>
        <w:rPr>
          <w:rFonts w:ascii="Calibri" w:eastAsia="Times New Roman" w:hAnsi="Calibri" w:cs="Times New Roman"/>
          <w:szCs w:val="20"/>
        </w:rPr>
        <w:t>s</w:t>
      </w:r>
      <w:r w:rsidRPr="00937A6B">
        <w:rPr>
          <w:rFonts w:ascii="Calibri" w:eastAsia="Times New Roman" w:hAnsi="Calibri" w:cs="Times New Roman"/>
          <w:szCs w:val="20"/>
        </w:rPr>
        <w:t xml:space="preserve"> to the wellbeing domain of Environment and climate. </w:t>
      </w:r>
    </w:p>
    <w:p w14:paraId="2963A7C7" w14:textId="77777777" w:rsidR="00CF0E2D" w:rsidRDefault="00CF0E2D" w:rsidP="00A60D4B">
      <w:pPr>
        <w:pStyle w:val="Bbodytext"/>
      </w:pPr>
      <w:r>
        <w:br w:type="page"/>
      </w:r>
    </w:p>
    <w:p w14:paraId="6F2848E5" w14:textId="77777777" w:rsidR="00CF0E2D" w:rsidRDefault="00CF0E2D" w:rsidP="00A60D4B">
      <w:pPr>
        <w:pStyle w:val="Heading3"/>
      </w:pPr>
      <w:r w:rsidRPr="008D7AA2">
        <w:lastRenderedPageBreak/>
        <w:t>WORKSAFE ACT</w:t>
      </w:r>
    </w:p>
    <w:p w14:paraId="77815D98" w14:textId="77777777" w:rsidR="00CF0E2D" w:rsidRPr="00001430" w:rsidRDefault="00CF0E2D" w:rsidP="00A60D4B"/>
    <w:p w14:paraId="38F07958" w14:textId="77777777" w:rsidR="00CF0E2D" w:rsidRDefault="00CF0E2D" w:rsidP="00A60D4B">
      <w:r>
        <w:rPr>
          <w:b/>
          <w:bCs/>
          <w:sz w:val="28"/>
          <w:szCs w:val="28"/>
        </w:rPr>
        <w:t xml:space="preserve">Workplace health and safety – Increased support </w:t>
      </w:r>
      <w:r>
        <w:rPr>
          <w:rFonts w:ascii="Calibri" w:eastAsiaTheme="majorEastAsia" w:hAnsi="Calibri" w:cstheme="majorBidi"/>
          <w:b/>
          <w:noProof/>
          <w:color w:val="999789"/>
          <w:sz w:val="32"/>
          <w:szCs w:val="24"/>
        </w:rPr>
        <w:drawing>
          <wp:anchor distT="0" distB="0" distL="114300" distR="114300" simplePos="0" relativeHeight="251912192" behindDoc="0" locked="1" layoutInCell="1" allowOverlap="1" wp14:anchorId="50C2C65F" wp14:editId="5B410D6A">
            <wp:simplePos x="0" y="0"/>
            <wp:positionH relativeFrom="margin">
              <wp:align>right</wp:align>
            </wp:positionH>
            <wp:positionV relativeFrom="paragraph">
              <wp:posOffset>-170815</wp:posOffset>
            </wp:positionV>
            <wp:extent cx="989965" cy="503555"/>
            <wp:effectExtent l="0" t="0" r="635" b="0"/>
            <wp:wrapSquare wrapText="bothSides"/>
            <wp:docPr id="230" name="Picture 230" descr="Icon representing the wellbeing domain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 representing the wellbeing domain of Safet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89965" cy="503555"/>
                    </a:xfrm>
                    <a:prstGeom prst="rect">
                      <a:avLst/>
                    </a:prstGeom>
                  </pic:spPr>
                </pic:pic>
              </a:graphicData>
            </a:graphic>
            <wp14:sizeRelH relativeFrom="margin">
              <wp14:pctWidth>0</wp14:pctWidth>
            </wp14:sizeRelH>
            <wp14:sizeRelV relativeFrom="margin">
              <wp14:pctHeight>0</wp14:pctHeight>
            </wp14:sizeRelV>
          </wp:anchor>
        </w:drawing>
      </w:r>
    </w:p>
    <w:tbl>
      <w:tblPr>
        <w:tblW w:w="8959" w:type="dxa"/>
        <w:jc w:val="center"/>
        <w:tblLayout w:type="fixed"/>
        <w:tblLook w:val="0000" w:firstRow="0" w:lastRow="0" w:firstColumn="0" w:lastColumn="0" w:noHBand="0" w:noVBand="0"/>
      </w:tblPr>
      <w:tblGrid>
        <w:gridCol w:w="3652"/>
        <w:gridCol w:w="1179"/>
        <w:gridCol w:w="1041"/>
        <w:gridCol w:w="1029"/>
        <w:gridCol w:w="1029"/>
        <w:gridCol w:w="1029"/>
      </w:tblGrid>
      <w:tr w:rsidR="00CF0E2D" w:rsidRPr="00750793" w14:paraId="321ECBEF" w14:textId="77777777" w:rsidTr="00A60D4B">
        <w:trPr>
          <w:cantSplit/>
          <w:jc w:val="center"/>
        </w:trPr>
        <w:tc>
          <w:tcPr>
            <w:tcW w:w="3652" w:type="dxa"/>
            <w:tcBorders>
              <w:top w:val="single" w:sz="4" w:space="0" w:color="auto"/>
              <w:bottom w:val="single" w:sz="4" w:space="0" w:color="auto"/>
            </w:tcBorders>
          </w:tcPr>
          <w:p w14:paraId="7C6BF8CF" w14:textId="77777777" w:rsidR="00CF0E2D" w:rsidRPr="004E341E" w:rsidRDefault="00CF0E2D" w:rsidP="00A60D4B">
            <w:pPr>
              <w:pStyle w:val="EmptyCell0"/>
            </w:pPr>
            <w:r>
              <w:t>Empty Cell</w:t>
            </w:r>
          </w:p>
        </w:tc>
        <w:tc>
          <w:tcPr>
            <w:tcW w:w="1179" w:type="dxa"/>
            <w:tcBorders>
              <w:top w:val="single" w:sz="4" w:space="0" w:color="auto"/>
              <w:bottom w:val="single" w:sz="4" w:space="0" w:color="auto"/>
            </w:tcBorders>
          </w:tcPr>
          <w:p w14:paraId="55352737" w14:textId="77777777" w:rsidR="00CF0E2D" w:rsidRPr="007037F9" w:rsidRDefault="00CF0E2D" w:rsidP="00A60D4B">
            <w:pPr>
              <w:pStyle w:val="InitFigR"/>
              <w:rPr>
                <w:b/>
                <w:bCs/>
              </w:rPr>
            </w:pPr>
            <w:r w:rsidRPr="007037F9">
              <w:rPr>
                <w:b/>
                <w:bCs/>
              </w:rPr>
              <w:t>2021-22</w:t>
            </w:r>
          </w:p>
          <w:p w14:paraId="732E594C" w14:textId="77777777" w:rsidR="00CF0E2D" w:rsidRPr="007037F9" w:rsidRDefault="00CF0E2D" w:rsidP="00A60D4B">
            <w:pPr>
              <w:pStyle w:val="InitFigR"/>
              <w:rPr>
                <w:b/>
                <w:bCs/>
              </w:rPr>
            </w:pPr>
            <w:r w:rsidRPr="007037F9">
              <w:rPr>
                <w:b/>
                <w:bCs/>
              </w:rPr>
              <w:t>$’000</w:t>
            </w:r>
          </w:p>
        </w:tc>
        <w:tc>
          <w:tcPr>
            <w:tcW w:w="1041" w:type="dxa"/>
            <w:tcBorders>
              <w:top w:val="single" w:sz="4" w:space="0" w:color="auto"/>
              <w:bottom w:val="single" w:sz="4" w:space="0" w:color="auto"/>
            </w:tcBorders>
          </w:tcPr>
          <w:p w14:paraId="54249D2A" w14:textId="77777777" w:rsidR="00CF0E2D" w:rsidRPr="007037F9" w:rsidRDefault="00CF0E2D" w:rsidP="00A60D4B">
            <w:pPr>
              <w:pStyle w:val="InitFigR"/>
              <w:rPr>
                <w:b/>
                <w:bCs/>
              </w:rPr>
            </w:pPr>
            <w:r w:rsidRPr="007037F9">
              <w:rPr>
                <w:b/>
                <w:bCs/>
              </w:rPr>
              <w:t>2022-23</w:t>
            </w:r>
          </w:p>
          <w:p w14:paraId="1BAE251C" w14:textId="77777777" w:rsidR="00CF0E2D" w:rsidRPr="007037F9" w:rsidRDefault="00CF0E2D" w:rsidP="00A60D4B">
            <w:pPr>
              <w:pStyle w:val="InitFigR"/>
              <w:rPr>
                <w:b/>
                <w:bCs/>
              </w:rPr>
            </w:pPr>
            <w:r w:rsidRPr="007037F9">
              <w:rPr>
                <w:b/>
                <w:bCs/>
              </w:rPr>
              <w:t>$’000</w:t>
            </w:r>
          </w:p>
        </w:tc>
        <w:tc>
          <w:tcPr>
            <w:tcW w:w="1029" w:type="dxa"/>
            <w:tcBorders>
              <w:top w:val="single" w:sz="4" w:space="0" w:color="auto"/>
              <w:bottom w:val="single" w:sz="4" w:space="0" w:color="auto"/>
            </w:tcBorders>
          </w:tcPr>
          <w:p w14:paraId="02D25647" w14:textId="77777777" w:rsidR="00CF0E2D" w:rsidRPr="007037F9" w:rsidRDefault="00CF0E2D" w:rsidP="00A60D4B">
            <w:pPr>
              <w:pStyle w:val="InitFigR"/>
              <w:rPr>
                <w:b/>
                <w:bCs/>
              </w:rPr>
            </w:pPr>
            <w:r w:rsidRPr="007037F9">
              <w:rPr>
                <w:b/>
                <w:bCs/>
              </w:rPr>
              <w:t>2023-24</w:t>
            </w:r>
          </w:p>
          <w:p w14:paraId="5A44909F" w14:textId="77777777" w:rsidR="00CF0E2D" w:rsidRPr="007037F9" w:rsidRDefault="00CF0E2D" w:rsidP="00A60D4B">
            <w:pPr>
              <w:pStyle w:val="InitFigR"/>
              <w:rPr>
                <w:b/>
                <w:bCs/>
              </w:rPr>
            </w:pPr>
            <w:r w:rsidRPr="007037F9">
              <w:rPr>
                <w:b/>
                <w:bCs/>
              </w:rPr>
              <w:t>$’000</w:t>
            </w:r>
          </w:p>
        </w:tc>
        <w:tc>
          <w:tcPr>
            <w:tcW w:w="1029" w:type="dxa"/>
            <w:tcBorders>
              <w:top w:val="single" w:sz="4" w:space="0" w:color="auto"/>
              <w:bottom w:val="single" w:sz="4" w:space="0" w:color="auto"/>
            </w:tcBorders>
          </w:tcPr>
          <w:p w14:paraId="136D11C3" w14:textId="77777777" w:rsidR="00CF0E2D" w:rsidRPr="007037F9" w:rsidRDefault="00CF0E2D" w:rsidP="00A60D4B">
            <w:pPr>
              <w:pStyle w:val="InitFigR"/>
              <w:rPr>
                <w:b/>
                <w:bCs/>
              </w:rPr>
            </w:pPr>
            <w:r w:rsidRPr="007037F9">
              <w:rPr>
                <w:b/>
                <w:bCs/>
              </w:rPr>
              <w:t>2024-25</w:t>
            </w:r>
          </w:p>
          <w:p w14:paraId="5A4F22D5" w14:textId="77777777" w:rsidR="00CF0E2D" w:rsidRPr="007037F9" w:rsidRDefault="00CF0E2D" w:rsidP="00A60D4B">
            <w:pPr>
              <w:pStyle w:val="InitFigR"/>
              <w:rPr>
                <w:b/>
                <w:bCs/>
              </w:rPr>
            </w:pPr>
            <w:r w:rsidRPr="007037F9">
              <w:rPr>
                <w:b/>
                <w:bCs/>
              </w:rPr>
              <w:t>$’000</w:t>
            </w:r>
          </w:p>
        </w:tc>
        <w:tc>
          <w:tcPr>
            <w:tcW w:w="1029" w:type="dxa"/>
            <w:tcBorders>
              <w:top w:val="single" w:sz="4" w:space="0" w:color="auto"/>
              <w:bottom w:val="single" w:sz="4" w:space="0" w:color="auto"/>
            </w:tcBorders>
          </w:tcPr>
          <w:p w14:paraId="28F819AD" w14:textId="77777777" w:rsidR="00CF0E2D" w:rsidRPr="004E341E" w:rsidRDefault="00CF0E2D" w:rsidP="00A60D4B">
            <w:pPr>
              <w:pStyle w:val="InitFigRBold"/>
            </w:pPr>
            <w:r w:rsidRPr="004E341E">
              <w:t>Total</w:t>
            </w:r>
          </w:p>
          <w:p w14:paraId="50FDC296" w14:textId="77777777" w:rsidR="00CF0E2D" w:rsidRPr="004E341E" w:rsidRDefault="00CF0E2D" w:rsidP="00A60D4B">
            <w:pPr>
              <w:pStyle w:val="InitFigBR"/>
            </w:pPr>
            <w:r w:rsidRPr="004E341E">
              <w:t>$’000</w:t>
            </w:r>
          </w:p>
        </w:tc>
      </w:tr>
      <w:tr w:rsidR="00CF0E2D" w:rsidRPr="00750793" w14:paraId="5DADB7D6" w14:textId="77777777" w:rsidTr="00A60D4B">
        <w:trPr>
          <w:cantSplit/>
          <w:jc w:val="center"/>
        </w:trPr>
        <w:tc>
          <w:tcPr>
            <w:tcW w:w="3652" w:type="dxa"/>
            <w:tcBorders>
              <w:top w:val="single" w:sz="4" w:space="0" w:color="auto"/>
            </w:tcBorders>
          </w:tcPr>
          <w:p w14:paraId="628268B0" w14:textId="77777777" w:rsidR="00CF0E2D" w:rsidRDefault="00CF0E2D" w:rsidP="00A60D4B">
            <w:pPr>
              <w:pStyle w:val="InitTextL"/>
              <w:ind w:left="321" w:hanging="321"/>
            </w:pPr>
            <w:r>
              <w:t>Capital</w:t>
            </w:r>
          </w:p>
        </w:tc>
        <w:tc>
          <w:tcPr>
            <w:tcW w:w="1179" w:type="dxa"/>
            <w:tcBorders>
              <w:top w:val="single" w:sz="4" w:space="0" w:color="auto"/>
            </w:tcBorders>
          </w:tcPr>
          <w:p w14:paraId="3FF7121C" w14:textId="77777777" w:rsidR="00CF0E2D" w:rsidRDefault="00CF0E2D" w:rsidP="00A60D4B">
            <w:pPr>
              <w:pStyle w:val="InitFigR"/>
            </w:pPr>
            <w:r>
              <w:t>350</w:t>
            </w:r>
          </w:p>
        </w:tc>
        <w:tc>
          <w:tcPr>
            <w:tcW w:w="1041" w:type="dxa"/>
            <w:tcBorders>
              <w:top w:val="single" w:sz="4" w:space="0" w:color="auto"/>
            </w:tcBorders>
          </w:tcPr>
          <w:p w14:paraId="047EA4C7" w14:textId="77777777" w:rsidR="00CF0E2D" w:rsidRDefault="00CF0E2D" w:rsidP="00A60D4B">
            <w:pPr>
              <w:pStyle w:val="InitFigR"/>
            </w:pPr>
            <w:r>
              <w:t>0</w:t>
            </w:r>
          </w:p>
        </w:tc>
        <w:tc>
          <w:tcPr>
            <w:tcW w:w="1029" w:type="dxa"/>
            <w:tcBorders>
              <w:top w:val="single" w:sz="4" w:space="0" w:color="auto"/>
            </w:tcBorders>
          </w:tcPr>
          <w:p w14:paraId="0984094A" w14:textId="77777777" w:rsidR="00CF0E2D" w:rsidRDefault="00CF0E2D" w:rsidP="00A60D4B">
            <w:pPr>
              <w:pStyle w:val="InitFigR"/>
            </w:pPr>
            <w:r>
              <w:t>0</w:t>
            </w:r>
          </w:p>
        </w:tc>
        <w:tc>
          <w:tcPr>
            <w:tcW w:w="1029" w:type="dxa"/>
            <w:tcBorders>
              <w:top w:val="single" w:sz="4" w:space="0" w:color="auto"/>
            </w:tcBorders>
          </w:tcPr>
          <w:p w14:paraId="296508B1" w14:textId="77777777" w:rsidR="00CF0E2D" w:rsidRDefault="00CF0E2D" w:rsidP="00A60D4B">
            <w:pPr>
              <w:pStyle w:val="InitFigR"/>
            </w:pPr>
            <w:r>
              <w:t>0</w:t>
            </w:r>
          </w:p>
        </w:tc>
        <w:tc>
          <w:tcPr>
            <w:tcW w:w="1029" w:type="dxa"/>
            <w:tcBorders>
              <w:top w:val="single" w:sz="4" w:space="0" w:color="auto"/>
            </w:tcBorders>
          </w:tcPr>
          <w:p w14:paraId="240B399B" w14:textId="77777777" w:rsidR="00CF0E2D" w:rsidRPr="007037F9" w:rsidRDefault="00CF0E2D" w:rsidP="00A60D4B">
            <w:pPr>
              <w:pStyle w:val="InitFigRBold"/>
              <w:rPr>
                <w:bCs/>
              </w:rPr>
            </w:pPr>
            <w:r w:rsidRPr="007037F9">
              <w:rPr>
                <w:bCs/>
              </w:rPr>
              <w:t>350</w:t>
            </w:r>
          </w:p>
        </w:tc>
      </w:tr>
      <w:tr w:rsidR="00CF0E2D" w:rsidRPr="00750793" w14:paraId="449AFB2D" w14:textId="77777777" w:rsidTr="00A60D4B">
        <w:trPr>
          <w:cantSplit/>
          <w:jc w:val="center"/>
        </w:trPr>
        <w:tc>
          <w:tcPr>
            <w:tcW w:w="3652" w:type="dxa"/>
            <w:tcBorders>
              <w:top w:val="single" w:sz="4" w:space="0" w:color="auto"/>
            </w:tcBorders>
          </w:tcPr>
          <w:p w14:paraId="6C728659" w14:textId="77777777" w:rsidR="00CF0E2D" w:rsidRPr="00D13A71" w:rsidRDefault="00CF0E2D" w:rsidP="00A60D4B">
            <w:pPr>
              <w:pStyle w:val="InitTextL"/>
              <w:ind w:left="321" w:hanging="321"/>
              <w:rPr>
                <w:b/>
                <w:bCs/>
              </w:rPr>
            </w:pPr>
            <w:r>
              <w:t>Depreciation</w:t>
            </w:r>
          </w:p>
        </w:tc>
        <w:tc>
          <w:tcPr>
            <w:tcW w:w="1179" w:type="dxa"/>
            <w:tcBorders>
              <w:top w:val="single" w:sz="4" w:space="0" w:color="auto"/>
            </w:tcBorders>
          </w:tcPr>
          <w:p w14:paraId="0098FCF9" w14:textId="77777777" w:rsidR="00CF0E2D" w:rsidRDefault="00CF0E2D" w:rsidP="00A60D4B">
            <w:pPr>
              <w:pStyle w:val="InitFigR"/>
            </w:pPr>
            <w:r>
              <w:t>0</w:t>
            </w:r>
          </w:p>
        </w:tc>
        <w:tc>
          <w:tcPr>
            <w:tcW w:w="1041" w:type="dxa"/>
            <w:tcBorders>
              <w:top w:val="single" w:sz="4" w:space="0" w:color="auto"/>
            </w:tcBorders>
          </w:tcPr>
          <w:p w14:paraId="082D7AA8" w14:textId="77777777" w:rsidR="00CF0E2D" w:rsidRDefault="00CF0E2D" w:rsidP="00A60D4B">
            <w:pPr>
              <w:pStyle w:val="InitFigR"/>
            </w:pPr>
            <w:r>
              <w:t>70</w:t>
            </w:r>
          </w:p>
        </w:tc>
        <w:tc>
          <w:tcPr>
            <w:tcW w:w="1029" w:type="dxa"/>
            <w:tcBorders>
              <w:top w:val="single" w:sz="4" w:space="0" w:color="auto"/>
            </w:tcBorders>
          </w:tcPr>
          <w:p w14:paraId="53C73A3A" w14:textId="77777777" w:rsidR="00CF0E2D" w:rsidRDefault="00CF0E2D" w:rsidP="00A60D4B">
            <w:pPr>
              <w:pStyle w:val="InitFigR"/>
            </w:pPr>
            <w:r>
              <w:t>70</w:t>
            </w:r>
          </w:p>
        </w:tc>
        <w:tc>
          <w:tcPr>
            <w:tcW w:w="1029" w:type="dxa"/>
            <w:tcBorders>
              <w:top w:val="single" w:sz="4" w:space="0" w:color="auto"/>
            </w:tcBorders>
          </w:tcPr>
          <w:p w14:paraId="1D119515" w14:textId="77777777" w:rsidR="00CF0E2D" w:rsidRDefault="00CF0E2D" w:rsidP="00A60D4B">
            <w:pPr>
              <w:pStyle w:val="InitFigR"/>
            </w:pPr>
            <w:r>
              <w:t>70</w:t>
            </w:r>
          </w:p>
        </w:tc>
        <w:tc>
          <w:tcPr>
            <w:tcW w:w="1029" w:type="dxa"/>
            <w:tcBorders>
              <w:top w:val="single" w:sz="4" w:space="0" w:color="auto"/>
            </w:tcBorders>
          </w:tcPr>
          <w:p w14:paraId="469105DE" w14:textId="77777777" w:rsidR="00CF0E2D" w:rsidRPr="007037F9" w:rsidRDefault="00CF0E2D" w:rsidP="00A60D4B">
            <w:pPr>
              <w:pStyle w:val="InitFigRBold"/>
              <w:rPr>
                <w:bCs/>
              </w:rPr>
            </w:pPr>
            <w:r w:rsidRPr="007037F9">
              <w:rPr>
                <w:bCs/>
              </w:rPr>
              <w:t>210</w:t>
            </w:r>
          </w:p>
        </w:tc>
      </w:tr>
      <w:tr w:rsidR="00CF0E2D" w:rsidRPr="00750793" w14:paraId="39E12F8E" w14:textId="77777777" w:rsidTr="00A60D4B">
        <w:trPr>
          <w:cantSplit/>
          <w:jc w:val="center"/>
        </w:trPr>
        <w:tc>
          <w:tcPr>
            <w:tcW w:w="3652" w:type="dxa"/>
          </w:tcPr>
          <w:p w14:paraId="08A2CBE9" w14:textId="77777777" w:rsidR="00CF0E2D" w:rsidRPr="00F13FAB" w:rsidRDefault="00CF0E2D" w:rsidP="00A60D4B">
            <w:pPr>
              <w:pStyle w:val="InitTextL"/>
              <w:ind w:left="321" w:hanging="321"/>
            </w:pPr>
            <w:r w:rsidRPr="00882BE2">
              <w:t>Expenses</w:t>
            </w:r>
          </w:p>
        </w:tc>
        <w:tc>
          <w:tcPr>
            <w:tcW w:w="1179" w:type="dxa"/>
          </w:tcPr>
          <w:p w14:paraId="687565F6" w14:textId="77777777" w:rsidR="00CF0E2D" w:rsidRPr="00424DA4" w:rsidRDefault="00CF0E2D" w:rsidP="00A60D4B">
            <w:pPr>
              <w:pStyle w:val="InitFigR"/>
            </w:pPr>
            <w:r>
              <w:t>929</w:t>
            </w:r>
          </w:p>
        </w:tc>
        <w:tc>
          <w:tcPr>
            <w:tcW w:w="1041" w:type="dxa"/>
          </w:tcPr>
          <w:p w14:paraId="7AD570AB" w14:textId="77777777" w:rsidR="00CF0E2D" w:rsidRPr="00424DA4" w:rsidRDefault="00CF0E2D" w:rsidP="00A60D4B">
            <w:pPr>
              <w:pStyle w:val="InitFigR"/>
            </w:pPr>
            <w:r>
              <w:t>1,989</w:t>
            </w:r>
          </w:p>
        </w:tc>
        <w:tc>
          <w:tcPr>
            <w:tcW w:w="1029" w:type="dxa"/>
          </w:tcPr>
          <w:p w14:paraId="69505C4F" w14:textId="77777777" w:rsidR="00CF0E2D" w:rsidRPr="00424DA4" w:rsidRDefault="00CF0E2D" w:rsidP="00A60D4B">
            <w:pPr>
              <w:pStyle w:val="InitFigR"/>
            </w:pPr>
            <w:r>
              <w:t>2,965</w:t>
            </w:r>
          </w:p>
        </w:tc>
        <w:tc>
          <w:tcPr>
            <w:tcW w:w="1029" w:type="dxa"/>
          </w:tcPr>
          <w:p w14:paraId="4AF23D35" w14:textId="77777777" w:rsidR="00CF0E2D" w:rsidRPr="00424DA4" w:rsidRDefault="00CF0E2D" w:rsidP="00A60D4B">
            <w:pPr>
              <w:pStyle w:val="InitFigR"/>
            </w:pPr>
            <w:r>
              <w:t>3,001</w:t>
            </w:r>
          </w:p>
        </w:tc>
        <w:tc>
          <w:tcPr>
            <w:tcW w:w="1029" w:type="dxa"/>
          </w:tcPr>
          <w:p w14:paraId="4A22F36B" w14:textId="77777777" w:rsidR="00CF0E2D" w:rsidRPr="00424DA4" w:rsidRDefault="00CF0E2D" w:rsidP="00A60D4B">
            <w:pPr>
              <w:pStyle w:val="InitFigBR"/>
            </w:pPr>
            <w:r>
              <w:t>8,884</w:t>
            </w:r>
          </w:p>
        </w:tc>
      </w:tr>
      <w:tr w:rsidR="00CF0E2D" w:rsidRPr="00750793" w14:paraId="750E7369" w14:textId="77777777" w:rsidTr="00A60D4B">
        <w:trPr>
          <w:cantSplit/>
          <w:trHeight w:val="107"/>
          <w:jc w:val="center"/>
        </w:trPr>
        <w:tc>
          <w:tcPr>
            <w:tcW w:w="3652" w:type="dxa"/>
          </w:tcPr>
          <w:p w14:paraId="0EEA32B4" w14:textId="77777777" w:rsidR="00CF0E2D" w:rsidRDefault="00CF0E2D" w:rsidP="00A60D4B">
            <w:pPr>
              <w:pStyle w:val="InitTextL"/>
              <w:ind w:left="321" w:hanging="321"/>
            </w:pPr>
            <w:r>
              <w:t>Offset – Revenue</w:t>
            </w:r>
          </w:p>
        </w:tc>
        <w:tc>
          <w:tcPr>
            <w:tcW w:w="1179" w:type="dxa"/>
          </w:tcPr>
          <w:p w14:paraId="49A7EE3E" w14:textId="77777777" w:rsidR="00CF0E2D" w:rsidRPr="00424DA4" w:rsidRDefault="00CF0E2D" w:rsidP="00A60D4B">
            <w:pPr>
              <w:pStyle w:val="InitFigR"/>
            </w:pPr>
            <w:r>
              <w:t>0</w:t>
            </w:r>
          </w:p>
        </w:tc>
        <w:tc>
          <w:tcPr>
            <w:tcW w:w="1041" w:type="dxa"/>
          </w:tcPr>
          <w:p w14:paraId="4A6BABF8" w14:textId="77777777" w:rsidR="00CF0E2D" w:rsidRPr="00424DA4" w:rsidRDefault="00CF0E2D" w:rsidP="00A60D4B">
            <w:pPr>
              <w:pStyle w:val="InitFigR"/>
            </w:pPr>
            <w:r>
              <w:t>-1,600</w:t>
            </w:r>
          </w:p>
        </w:tc>
        <w:tc>
          <w:tcPr>
            <w:tcW w:w="1029" w:type="dxa"/>
          </w:tcPr>
          <w:p w14:paraId="1FB13511" w14:textId="77777777" w:rsidR="00CF0E2D" w:rsidRPr="00424DA4" w:rsidRDefault="00CF0E2D" w:rsidP="00A60D4B">
            <w:pPr>
              <w:pStyle w:val="InitFigR"/>
            </w:pPr>
            <w:r>
              <w:t>-2,914</w:t>
            </w:r>
          </w:p>
        </w:tc>
        <w:tc>
          <w:tcPr>
            <w:tcW w:w="1029" w:type="dxa"/>
          </w:tcPr>
          <w:p w14:paraId="6C4D9D32" w14:textId="77777777" w:rsidR="00CF0E2D" w:rsidRPr="00424DA4" w:rsidRDefault="00CF0E2D" w:rsidP="00A60D4B">
            <w:pPr>
              <w:pStyle w:val="InitFigR"/>
            </w:pPr>
            <w:r>
              <w:t>-2,950</w:t>
            </w:r>
          </w:p>
        </w:tc>
        <w:tc>
          <w:tcPr>
            <w:tcW w:w="1029" w:type="dxa"/>
          </w:tcPr>
          <w:p w14:paraId="78948710" w14:textId="77777777" w:rsidR="00CF0E2D" w:rsidRPr="00424DA4" w:rsidRDefault="00CF0E2D" w:rsidP="00A60D4B">
            <w:pPr>
              <w:pStyle w:val="InitFigBR"/>
            </w:pPr>
            <w:r>
              <w:t>-7,464</w:t>
            </w:r>
          </w:p>
        </w:tc>
      </w:tr>
      <w:tr w:rsidR="00CF0E2D" w:rsidRPr="00750793" w14:paraId="34704F56" w14:textId="77777777" w:rsidTr="00A60D4B">
        <w:trPr>
          <w:cantSplit/>
          <w:trHeight w:val="107"/>
          <w:jc w:val="center"/>
        </w:trPr>
        <w:tc>
          <w:tcPr>
            <w:tcW w:w="3652" w:type="dxa"/>
            <w:tcBorders>
              <w:top w:val="single" w:sz="4" w:space="0" w:color="auto"/>
              <w:bottom w:val="single" w:sz="4" w:space="0" w:color="auto"/>
            </w:tcBorders>
          </w:tcPr>
          <w:p w14:paraId="466E7410" w14:textId="77777777" w:rsidR="00CF0E2D" w:rsidRDefault="00CF0E2D" w:rsidP="00A60D4B">
            <w:pPr>
              <w:pStyle w:val="InitFigLBold"/>
              <w:ind w:left="321" w:hanging="321"/>
            </w:pPr>
            <w:r>
              <w:t>Net cost of services</w:t>
            </w:r>
          </w:p>
        </w:tc>
        <w:tc>
          <w:tcPr>
            <w:tcW w:w="1179" w:type="dxa"/>
            <w:tcBorders>
              <w:top w:val="single" w:sz="4" w:space="0" w:color="auto"/>
              <w:bottom w:val="single" w:sz="4" w:space="0" w:color="auto"/>
            </w:tcBorders>
          </w:tcPr>
          <w:p w14:paraId="16675977" w14:textId="77777777" w:rsidR="00CF0E2D" w:rsidRPr="00424DA4" w:rsidRDefault="00CF0E2D" w:rsidP="00A60D4B">
            <w:pPr>
              <w:pStyle w:val="InitFigRBold"/>
            </w:pPr>
            <w:r>
              <w:t>929</w:t>
            </w:r>
          </w:p>
        </w:tc>
        <w:tc>
          <w:tcPr>
            <w:tcW w:w="1041" w:type="dxa"/>
            <w:tcBorders>
              <w:top w:val="single" w:sz="4" w:space="0" w:color="auto"/>
              <w:bottom w:val="single" w:sz="4" w:space="0" w:color="auto"/>
            </w:tcBorders>
          </w:tcPr>
          <w:p w14:paraId="15DFE0EE" w14:textId="77777777" w:rsidR="00CF0E2D" w:rsidRPr="00424DA4" w:rsidRDefault="00CF0E2D" w:rsidP="00A60D4B">
            <w:pPr>
              <w:pStyle w:val="InitFigRBold"/>
            </w:pPr>
            <w:r>
              <w:t>459</w:t>
            </w:r>
          </w:p>
        </w:tc>
        <w:tc>
          <w:tcPr>
            <w:tcW w:w="1029" w:type="dxa"/>
            <w:tcBorders>
              <w:top w:val="single" w:sz="4" w:space="0" w:color="auto"/>
              <w:bottom w:val="single" w:sz="4" w:space="0" w:color="auto"/>
            </w:tcBorders>
          </w:tcPr>
          <w:p w14:paraId="48C4D4DD" w14:textId="77777777" w:rsidR="00CF0E2D" w:rsidRPr="00424DA4" w:rsidRDefault="00CF0E2D" w:rsidP="00A60D4B">
            <w:pPr>
              <w:pStyle w:val="InitFigRBold"/>
            </w:pPr>
            <w:r>
              <w:t>121</w:t>
            </w:r>
          </w:p>
        </w:tc>
        <w:tc>
          <w:tcPr>
            <w:tcW w:w="1029" w:type="dxa"/>
            <w:tcBorders>
              <w:top w:val="single" w:sz="4" w:space="0" w:color="auto"/>
              <w:bottom w:val="single" w:sz="4" w:space="0" w:color="auto"/>
            </w:tcBorders>
          </w:tcPr>
          <w:p w14:paraId="42270A49" w14:textId="77777777" w:rsidR="00CF0E2D" w:rsidRPr="00424DA4" w:rsidRDefault="00CF0E2D" w:rsidP="00A60D4B">
            <w:pPr>
              <w:pStyle w:val="InitFigRBold"/>
            </w:pPr>
            <w:r>
              <w:t>121</w:t>
            </w:r>
          </w:p>
        </w:tc>
        <w:tc>
          <w:tcPr>
            <w:tcW w:w="1029" w:type="dxa"/>
            <w:tcBorders>
              <w:top w:val="single" w:sz="4" w:space="0" w:color="auto"/>
              <w:bottom w:val="single" w:sz="4" w:space="0" w:color="auto"/>
            </w:tcBorders>
          </w:tcPr>
          <w:p w14:paraId="6EC270DA" w14:textId="77777777" w:rsidR="00CF0E2D" w:rsidRPr="00424DA4" w:rsidRDefault="00CF0E2D" w:rsidP="00A60D4B">
            <w:pPr>
              <w:pStyle w:val="InitFigRBold"/>
            </w:pPr>
            <w:r>
              <w:t>1,630</w:t>
            </w:r>
          </w:p>
        </w:tc>
      </w:tr>
    </w:tbl>
    <w:p w14:paraId="53A05EB2" w14:textId="77777777" w:rsidR="00CF0E2D" w:rsidRPr="00655364" w:rsidRDefault="00CF0E2D" w:rsidP="00A60D4B">
      <w:pPr>
        <w:pStyle w:val="Bbodytext"/>
      </w:pPr>
      <w:r w:rsidRPr="001A7EF2">
        <w:t xml:space="preserve">The Government will provide </w:t>
      </w:r>
      <w:r>
        <w:t xml:space="preserve">funding </w:t>
      </w:r>
      <w:r w:rsidRPr="001A7EF2">
        <w:t xml:space="preserve">to increase the operational capability of </w:t>
      </w:r>
      <w:r>
        <w:t xml:space="preserve">the Office of the Work Health and Safety Commissioner (WorkSafe ACT), to ensure compliance with work health and safety regulations across the Territory. The cost of this initiative will be partially offset by the Work Safety and Workers Compensation Regulatory levy which is collected from approved insurers and self-insurers. </w:t>
      </w:r>
    </w:p>
    <w:p w14:paraId="7B7272F9" w14:textId="77777777" w:rsidR="00A60D4B" w:rsidRDefault="00CF0E2D" w:rsidP="00A60D4B">
      <w:pPr>
        <w:pStyle w:val="Bbodytext"/>
        <w:sectPr w:rsidR="00A60D4B" w:rsidSect="00542DA2">
          <w:footerReference w:type="default" r:id="rId130"/>
          <w:pgSz w:w="11906" w:h="16838" w:code="9"/>
          <w:pgMar w:top="1151" w:right="1440" w:bottom="1729" w:left="1440" w:header="720" w:footer="720" w:gutter="0"/>
          <w:cols w:space="708"/>
          <w:docGrid w:linePitch="360"/>
        </w:sectPr>
      </w:pPr>
      <w:r>
        <w:t xml:space="preserve">This initiative contributes to the wellbeing domains of Safety and </w:t>
      </w:r>
      <w:r w:rsidRPr="00F4798B">
        <w:t>Governance and institutions</w:t>
      </w:r>
      <w:r>
        <w:t>.</w:t>
      </w:r>
    </w:p>
    <w:p w14:paraId="030B4D4F" w14:textId="133F4701" w:rsidR="006E6233" w:rsidRDefault="006E6233" w:rsidP="006E6233">
      <w:pPr>
        <w:pStyle w:val="Heading2"/>
      </w:pPr>
      <w:r>
        <w:lastRenderedPageBreak/>
        <w:t>Cost of Living Statement</w:t>
      </w:r>
    </w:p>
    <w:p w14:paraId="20B03D43" w14:textId="5E587848" w:rsidR="00A60D4B" w:rsidRDefault="00A60D4B" w:rsidP="00930757">
      <w:pPr>
        <w:pStyle w:val="Heading3"/>
      </w:pPr>
      <w:r>
        <w:t>Introduction</w:t>
      </w:r>
    </w:p>
    <w:p w14:paraId="242AE878" w14:textId="77777777" w:rsidR="00A60D4B" w:rsidRDefault="00A60D4B" w:rsidP="00A60D4B">
      <w:pPr>
        <w:pStyle w:val="Bbodytext"/>
      </w:pPr>
      <w:r>
        <w:t>On average Canberra is one of the highest income and wealth communities in the country. While wage growth has been slow in recent years, this has been offset by low inflation and increases in wealth, which has contributed to an overall improvement in living standards.</w:t>
      </w:r>
    </w:p>
    <w:p w14:paraId="1D2505C2" w14:textId="77777777" w:rsidR="00A60D4B" w:rsidRDefault="00A60D4B" w:rsidP="00A60D4B">
      <w:pPr>
        <w:pStyle w:val="Bbodytext"/>
      </w:pPr>
      <w:r>
        <w:t xml:space="preserve">However, Canberra is also a diverse community and, although income inequality has improved over time, not all Canberrans share equally in those high living standards. The process of embedding the wellbeing framework in the development of our Budget supports the Government’s ability to implement and measure the impact of our decisions on living standards more broadly. </w:t>
      </w:r>
    </w:p>
    <w:p w14:paraId="305AA5DD" w14:textId="77777777" w:rsidR="00A60D4B" w:rsidRDefault="00A60D4B" w:rsidP="00A60D4B">
      <w:pPr>
        <w:pStyle w:val="Bbodytext"/>
      </w:pPr>
      <w:r>
        <w:t xml:space="preserve">The ACT Government provides a wide range of support for those with cost of living pressures through targeted assistance and concessions. </w:t>
      </w:r>
    </w:p>
    <w:p w14:paraId="2099E694" w14:textId="77777777" w:rsidR="00A60D4B" w:rsidRDefault="00A60D4B" w:rsidP="00A60D4B">
      <w:pPr>
        <w:pStyle w:val="Bbodytext"/>
      </w:pPr>
      <w:r>
        <w:t>Additionally, the Government’s support for a strong economy and labour market provides significant opportunities for improved living standards. Importantly, the economic, community and business support packages introduced during the periods of COVID restrictions have played a key role in sustaining living standards by supporting jobs over the past 18 months.</w:t>
      </w:r>
    </w:p>
    <w:p w14:paraId="4B2F86B2" w14:textId="77777777" w:rsidR="00A60D4B" w:rsidRPr="00913110" w:rsidRDefault="00A60D4B" w:rsidP="00A60D4B">
      <w:pPr>
        <w:pStyle w:val="Bbodytext"/>
      </w:pPr>
      <w:r>
        <w:t xml:space="preserve">The ACT Government also contributes to the wellbeing of Canberrans by providing high quality health, education, and public transport services at low or no cost, to reduce the need for private spending on these essential services, and by keeping Government fees and charges as low as possible. In addition, the Government provides social housing services to meet the needs and circumstances of low income and disadvantaged people, helping to create a safer, stronger, and more inclusive </w:t>
      </w:r>
      <w:r w:rsidRPr="00913110">
        <w:t>community.</w:t>
      </w:r>
    </w:p>
    <w:p w14:paraId="794F26B7" w14:textId="77777777" w:rsidR="00A60D4B" w:rsidRDefault="00A60D4B" w:rsidP="00A60D4B">
      <w:pPr>
        <w:pStyle w:val="Bbodytext"/>
      </w:pPr>
      <w:r>
        <w:t>The current public health emergency has put greater strain on the financial situation of more Canberrans. As it did last year, t</w:t>
      </w:r>
      <w:r w:rsidRPr="00913110">
        <w:t xml:space="preserve">he Government is providing additional </w:t>
      </w:r>
      <w:r>
        <w:t xml:space="preserve">support to those households most in need including an additional </w:t>
      </w:r>
      <w:r w:rsidRPr="00913110">
        <w:t>$2</w:t>
      </w:r>
      <w:r>
        <w:t>5</w:t>
      </w:r>
      <w:r w:rsidRPr="00913110">
        <w:t>0 rebate to the around 31,000 low-income households that receive the Utilities Concession, to bring the total concession to $1,000 in 2021-22</w:t>
      </w:r>
      <w:r>
        <w:t xml:space="preserve"> and an ongoing $50 increase to the pensioner rates rebate</w:t>
      </w:r>
      <w:r w:rsidRPr="00913110">
        <w:t xml:space="preserve">. </w:t>
      </w:r>
    </w:p>
    <w:p w14:paraId="6C8D2254" w14:textId="77777777" w:rsidR="00A60D4B" w:rsidRDefault="00A60D4B" w:rsidP="00A60D4B">
      <w:pPr>
        <w:pStyle w:val="Bbodytext"/>
      </w:pPr>
      <w:r w:rsidRPr="00913110">
        <w:t>The Government is also providing residential landlords who provide rent relief between 1</w:t>
      </w:r>
      <w:r>
        <w:t> </w:t>
      </w:r>
      <w:r w:rsidRPr="00913110">
        <w:t>August 2021 and 31 December 2021 to tenants impacted by COVID-19 a land tax credit of up to $100 per week. These measures will help the most vulnerable in our community to withstand the impacts of COVID-19 and associated lockdown measures.</w:t>
      </w:r>
      <w:r>
        <w:t xml:space="preserve"> </w:t>
      </w:r>
    </w:p>
    <w:p w14:paraId="7D6AE76C" w14:textId="77777777" w:rsidR="00A60D4B" w:rsidRDefault="00A60D4B" w:rsidP="00A60D4B">
      <w:pPr>
        <w:pStyle w:val="Bbodytext"/>
      </w:pPr>
      <w:r>
        <w:t>These measures utilise the mechanisms at the disposal of the ACT Government and complement the role of the Commonwealth in providing income support which it has provided over the past two months through the COVID-19 Disaster Payment and will continue to provide at a lower rate through JobSeeker.</w:t>
      </w:r>
    </w:p>
    <w:p w14:paraId="093D24A1" w14:textId="77777777" w:rsidR="00A60D4B" w:rsidRDefault="00A60D4B" w:rsidP="00A60D4B">
      <w:pPr>
        <w:pStyle w:val="Heading3"/>
      </w:pPr>
      <w:r>
        <w:lastRenderedPageBreak/>
        <w:t>Cost of living in the ACT</w:t>
      </w:r>
    </w:p>
    <w:p w14:paraId="09B2FAD9" w14:textId="77777777" w:rsidR="00A60D4B" w:rsidRPr="004362B8" w:rsidRDefault="00A60D4B" w:rsidP="00A60D4B">
      <w:pPr>
        <w:pStyle w:val="Bbodytext"/>
      </w:pPr>
      <w:r>
        <w:t xml:space="preserve">The Wellbeing Framework uses the consumer price index (CPI) as an indicator of the cost of living in the ACT. Other key drivers of the cost of living are average household expenditure, and housing costs. </w:t>
      </w:r>
    </w:p>
    <w:p w14:paraId="324E1FD0" w14:textId="77777777" w:rsidR="00A60D4B" w:rsidRDefault="00A60D4B" w:rsidP="00A60D4B">
      <w:pPr>
        <w:pStyle w:val="Heading4"/>
      </w:pPr>
      <w:r>
        <w:t>Overall living standards in the ACT have improved</w:t>
      </w:r>
    </w:p>
    <w:p w14:paraId="7A274540" w14:textId="77777777" w:rsidR="00A60D4B" w:rsidRDefault="00A60D4B" w:rsidP="00A60D4B">
      <w:pPr>
        <w:pStyle w:val="Bbodytext"/>
      </w:pPr>
      <w:r>
        <w:t xml:space="preserve">When the price of goods and services purchased by Canberrans as measured by the CPI rise households need to spend more to maintain the same standard of living. </w:t>
      </w:r>
    </w:p>
    <w:p w14:paraId="4F98AE85" w14:textId="77777777" w:rsidR="00A60D4B" w:rsidRDefault="00A60D4B" w:rsidP="00A60D4B">
      <w:pPr>
        <w:pStyle w:val="Bbodytext"/>
      </w:pPr>
      <w:r>
        <w:t>From 2016 to 2021, Canberra’s CPI increased by 1.9 per cent each year on average. The CPI groups which contributed the most to Canberra’s CPI over the last five years were alcohol and tobacco, private health, private education, and housing. While Canberra had the second highest average annual increase in CPI over the period, behind Hobart (2.2 per cent), the rate of increase was low by historical standards.</w:t>
      </w:r>
    </w:p>
    <w:p w14:paraId="2F6C1157" w14:textId="77777777" w:rsidR="00A60D4B" w:rsidRDefault="00A60D4B" w:rsidP="00A60D4B">
      <w:pPr>
        <w:pStyle w:val="Bbodytext"/>
      </w:pPr>
      <w:r>
        <w:t xml:space="preserve">Importantly, average weekly ordinary time earnings increased by 2.0 per cent each year on average from 2016 to 2019. </w:t>
      </w:r>
      <w:r w:rsidRPr="002A5FBC">
        <w:rPr>
          <w:b/>
          <w:bCs/>
        </w:rPr>
        <w:t>This means that overall living standards in the ACT have improved as the income households are receiving has grown by more than the cost of purchasing goods and services.</w:t>
      </w:r>
    </w:p>
    <w:p w14:paraId="5FE1F518" w14:textId="77777777" w:rsidR="00A60D4B" w:rsidRPr="00153F95" w:rsidRDefault="00A60D4B" w:rsidP="00111524">
      <w:pPr>
        <w:pStyle w:val="Caption"/>
        <w:rPr>
          <w:bCs/>
          <w:sz w:val="24"/>
          <w:szCs w:val="24"/>
        </w:rPr>
      </w:pPr>
      <w:r w:rsidRPr="00153F95">
        <w:rPr>
          <w:sz w:val="24"/>
          <w:szCs w:val="24"/>
        </w:rPr>
        <w:t xml:space="preserve">Chart 3.3.1: </w:t>
      </w:r>
      <w:r w:rsidRPr="00153F95">
        <w:rPr>
          <w:bCs/>
          <w:sz w:val="24"/>
          <w:szCs w:val="24"/>
        </w:rPr>
        <w:t>Average annual percentage change in CPI by capital city, 2016 to 2021</w:t>
      </w:r>
    </w:p>
    <w:p w14:paraId="7A848649" w14:textId="77777777" w:rsidR="00A60D4B" w:rsidRPr="000818A6" w:rsidRDefault="00A60D4B" w:rsidP="00A60D4B">
      <w:r>
        <w:rPr>
          <w:noProof/>
        </w:rPr>
        <w:drawing>
          <wp:inline distT="0" distB="0" distL="0" distR="0" wp14:anchorId="177D2BDF" wp14:editId="3808B76B">
            <wp:extent cx="5731510" cy="3487394"/>
            <wp:effectExtent l="0" t="0" r="2540" b="18415"/>
            <wp:docPr id="320" name="Chart 320">
              <a:extLst xmlns:a="http://schemas.openxmlformats.org/drawingml/2006/main">
                <a:ext uri="{FF2B5EF4-FFF2-40B4-BE49-F238E27FC236}">
                  <a16:creationId xmlns:a16="http://schemas.microsoft.com/office/drawing/2014/main" id="{A03A86A4-9048-4BA0-B2B4-22D6457473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4920A64A" w14:textId="77777777" w:rsidR="00A60D4B" w:rsidRDefault="00A60D4B">
      <w:pPr>
        <w:rPr>
          <w:rFonts w:ascii="Calibri" w:eastAsiaTheme="majorEastAsia" w:hAnsi="Calibri" w:cstheme="majorBidi"/>
          <w:b/>
          <w:iCs/>
          <w:sz w:val="28"/>
        </w:rPr>
      </w:pPr>
      <w:bookmarkStart w:id="63" w:name="_Hlk83407997"/>
      <w:r>
        <w:br w:type="page"/>
      </w:r>
    </w:p>
    <w:p w14:paraId="049843D2" w14:textId="77777777" w:rsidR="00A60D4B" w:rsidRPr="0044263E" w:rsidRDefault="00A60D4B" w:rsidP="00A60D4B">
      <w:pPr>
        <w:pStyle w:val="Heading4"/>
      </w:pPr>
      <w:r>
        <w:lastRenderedPageBreak/>
        <w:t>ACT households spend more on average</w:t>
      </w:r>
    </w:p>
    <w:p w14:paraId="606E8815" w14:textId="77777777" w:rsidR="00A60D4B" w:rsidRDefault="00A60D4B" w:rsidP="00A60D4B">
      <w:pPr>
        <w:pStyle w:val="Bbodytext"/>
      </w:pPr>
      <w:r>
        <w:t>ACT households spend significantly more on average ($1,846 per week in 2020-21) than households nationally ($1,552 per week in 2020-21)</w:t>
      </w:r>
      <w:r w:rsidRPr="00D2289F">
        <w:t xml:space="preserve"> </w:t>
      </w:r>
      <w:r>
        <w:t>(</w:t>
      </w:r>
      <w:r w:rsidRPr="00C75BA9">
        <w:t>Chart 3.3.2</w:t>
      </w:r>
      <w:r>
        <w:rPr>
          <w:b/>
          <w:bCs/>
        </w:rPr>
        <w:t xml:space="preserve"> </w:t>
      </w:r>
      <w:r w:rsidRPr="00990C54">
        <w:t>below</w:t>
      </w:r>
      <w:r>
        <w:t xml:space="preserve">). ACT households spend more compared with the national average in all categories except for alcoholic beverages and tobacco products. This consistently higher level of spending is consistent with a higher standard of living and reflects the higher than average wage levels in the ACT. </w:t>
      </w:r>
    </w:p>
    <w:p w14:paraId="0B6781B2" w14:textId="77777777" w:rsidR="00A60D4B" w:rsidRDefault="00A60D4B" w:rsidP="00A60D4B">
      <w:pPr>
        <w:pStyle w:val="Bbodytext"/>
      </w:pPr>
      <w:r>
        <w:t xml:space="preserve">For all households, the largest expenditure groups were housing costs as is the case nationally, which include rents, mortgage payments, rates, and utilities. This is followed by food and non-alcoholic beverages, recreation, and transport. </w:t>
      </w:r>
    </w:p>
    <w:bookmarkEnd w:id="63"/>
    <w:p w14:paraId="1CE74B01" w14:textId="77777777" w:rsidR="00A60D4B" w:rsidRPr="00153F95" w:rsidRDefault="00A60D4B" w:rsidP="00A60D4B">
      <w:pPr>
        <w:pStyle w:val="Caption"/>
        <w:rPr>
          <w:bCs/>
          <w:sz w:val="24"/>
          <w:szCs w:val="24"/>
        </w:rPr>
      </w:pPr>
      <w:r w:rsidRPr="00153F95">
        <w:rPr>
          <w:sz w:val="24"/>
          <w:szCs w:val="24"/>
        </w:rPr>
        <w:t xml:space="preserve">Chart 3.3.2: </w:t>
      </w:r>
      <w:r w:rsidRPr="00153F95">
        <w:rPr>
          <w:bCs/>
          <w:sz w:val="24"/>
          <w:szCs w:val="24"/>
        </w:rPr>
        <w:t>Average weekly household expenditure, ACT and Australia, 2021</w:t>
      </w:r>
    </w:p>
    <w:p w14:paraId="703527D2" w14:textId="77777777" w:rsidR="00A60D4B" w:rsidRDefault="00A60D4B" w:rsidP="00A60D4B">
      <w:pPr>
        <w:rPr>
          <w:b/>
          <w:bCs/>
        </w:rPr>
      </w:pPr>
      <w:r>
        <w:rPr>
          <w:noProof/>
        </w:rPr>
        <w:drawing>
          <wp:inline distT="0" distB="0" distL="0" distR="0" wp14:anchorId="4171608F" wp14:editId="35921BE0">
            <wp:extent cx="5731510" cy="3677568"/>
            <wp:effectExtent l="0" t="0" r="2540" b="18415"/>
            <wp:docPr id="321" name="Chart 321">
              <a:extLst xmlns:a="http://schemas.openxmlformats.org/drawingml/2006/main">
                <a:ext uri="{FF2B5EF4-FFF2-40B4-BE49-F238E27FC236}">
                  <a16:creationId xmlns:a16="http://schemas.microsoft.com/office/drawing/2014/main" id="{9BE68AD2-9E62-4D90-8304-1D2237ADF9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4245A7EA" w14:textId="77777777" w:rsidR="00A60D4B" w:rsidRDefault="00A60D4B" w:rsidP="00A60D4B">
      <w:r w:rsidRPr="002A5FBC">
        <w:rPr>
          <w:b/>
          <w:bCs/>
          <w:sz w:val="18"/>
          <w:szCs w:val="18"/>
        </w:rPr>
        <w:t>Source:</w:t>
      </w:r>
      <w:r>
        <w:rPr>
          <w:sz w:val="18"/>
          <w:szCs w:val="18"/>
        </w:rPr>
        <w:t xml:space="preserve"> derived from</w:t>
      </w:r>
      <w:r w:rsidRPr="00622F0B">
        <w:rPr>
          <w:sz w:val="18"/>
          <w:szCs w:val="18"/>
        </w:rPr>
        <w:t xml:space="preserve"> </w:t>
      </w:r>
      <w:r>
        <w:rPr>
          <w:sz w:val="18"/>
          <w:szCs w:val="18"/>
        </w:rPr>
        <w:t xml:space="preserve">ABS </w:t>
      </w:r>
      <w:r w:rsidRPr="00622F0B">
        <w:rPr>
          <w:sz w:val="18"/>
          <w:szCs w:val="18"/>
        </w:rPr>
        <w:t xml:space="preserve">Household Expenditure Survey, 2015-16, </w:t>
      </w:r>
      <w:r>
        <w:rPr>
          <w:sz w:val="18"/>
          <w:szCs w:val="18"/>
        </w:rPr>
        <w:t>increased by CPI for each year up to 2020-21</w:t>
      </w:r>
    </w:p>
    <w:p w14:paraId="054782F8" w14:textId="77777777" w:rsidR="00A60D4B" w:rsidRDefault="00A60D4B" w:rsidP="00A60D4B">
      <w:pPr>
        <w:pStyle w:val="Heading4"/>
      </w:pPr>
      <w:r>
        <w:lastRenderedPageBreak/>
        <w:t>Housing in the ACT is relatively affordable</w:t>
      </w:r>
    </w:p>
    <w:p w14:paraId="23781819" w14:textId="3E254D30" w:rsidR="00A60D4B" w:rsidRDefault="00A60D4B" w:rsidP="00A60D4B">
      <w:pPr>
        <w:pStyle w:val="Bbodytext"/>
        <w:keepNext/>
        <w:keepLines/>
      </w:pPr>
      <w:r>
        <w:t>As noted above, housing costs are the most significant expense for households in Canberra and nationally. H</w:t>
      </w:r>
      <w:r w:rsidRPr="00BB16FD">
        <w:t xml:space="preserve">ouse prices and rents contribute to the high proportion of expenditure on housing. </w:t>
      </w:r>
      <w:r>
        <w:t>Despite median property prices being the third highest of all capital cities in the March quarter 2021 and median weekly rent being the highest of all capital cities</w:t>
      </w:r>
      <w:r>
        <w:rPr>
          <w:rStyle w:val="FootnoteReference"/>
        </w:rPr>
        <w:footnoteReference w:id="4"/>
      </w:r>
      <w:r>
        <w:t>, housing remains relatively affordable in the ACT relative to our income levels. In March 2021, the proportion of family income required to meet average loan repayments in the ACT was 23.6 per cent, compared with 34.7 per cent nationally, and the proportion of family income required to meet average rent payments was 20 per cent compared with 24.4 per cent nationally</w:t>
      </w:r>
      <w:r w:rsidR="008812C5">
        <w:t>.</w:t>
      </w:r>
      <w:r>
        <w:rPr>
          <w:rStyle w:val="FootnoteReference"/>
        </w:rPr>
        <w:footnoteReference w:id="5"/>
      </w:r>
    </w:p>
    <w:p w14:paraId="51412CCE" w14:textId="77777777" w:rsidR="00A60D4B" w:rsidRDefault="00A60D4B" w:rsidP="00A60D4B">
      <w:pPr>
        <w:pStyle w:val="Heading3"/>
      </w:pPr>
      <w:r>
        <w:t>Impact of ACT Government taxes and fees and utilities on households</w:t>
      </w:r>
    </w:p>
    <w:p w14:paraId="4C60BDBE" w14:textId="77777777" w:rsidR="00A60D4B" w:rsidRDefault="00A60D4B" w:rsidP="00A60D4B">
      <w:pPr>
        <w:pStyle w:val="Heading4"/>
      </w:pPr>
      <w:r>
        <w:t>ACT Government taxes and fees</w:t>
      </w:r>
    </w:p>
    <w:p w14:paraId="365BF2DF" w14:textId="3351E766" w:rsidR="00A60D4B" w:rsidRDefault="00A60D4B" w:rsidP="00A60D4B">
      <w:pPr>
        <w:pStyle w:val="Bbodytext"/>
      </w:pPr>
      <w:r>
        <w:t xml:space="preserve">Overall, </w:t>
      </w:r>
      <w:r w:rsidRPr="000021C8">
        <w:t xml:space="preserve">ACT Government </w:t>
      </w:r>
      <w:r>
        <w:t xml:space="preserve">taxes, fees and charges are </w:t>
      </w:r>
      <w:r w:rsidRPr="000021C8">
        <w:t xml:space="preserve">a </w:t>
      </w:r>
      <w:r>
        <w:t xml:space="preserve">relatively </w:t>
      </w:r>
      <w:r w:rsidRPr="000021C8">
        <w:t xml:space="preserve">small </w:t>
      </w:r>
      <w:r>
        <w:t xml:space="preserve">proportion </w:t>
      </w:r>
      <w:r w:rsidRPr="000021C8">
        <w:t xml:space="preserve">of household costs. Per capita taxation as a proportion of gross household disposable income in the ACT </w:t>
      </w:r>
      <w:r>
        <w:t>was 4.9 </w:t>
      </w:r>
      <w:r w:rsidRPr="000021C8">
        <w:t>per cent</w:t>
      </w:r>
      <w:r>
        <w:t xml:space="preserve"> in 2019-20, compared with 7.2 per cent in New South Wales and 7.3 per cent in Victoria</w:t>
      </w:r>
      <w:r w:rsidR="008812C5">
        <w:t>.</w:t>
      </w:r>
      <w:r>
        <w:rPr>
          <w:rStyle w:val="FootnoteReference"/>
        </w:rPr>
        <w:footnoteReference w:id="6"/>
      </w:r>
      <w:r w:rsidRPr="000021C8">
        <w:t xml:space="preserve"> </w:t>
      </w:r>
    </w:p>
    <w:p w14:paraId="00812E7B" w14:textId="77777777" w:rsidR="00A60D4B" w:rsidRDefault="00A60D4B" w:rsidP="00A60D4B">
      <w:pPr>
        <w:pStyle w:val="Bbodytext"/>
      </w:pPr>
      <w:r>
        <w:t>Most ACT Government taxes and fees generally increase each year in line with the wage price index (WPI). This ensures taxes and fees keep pace with the cost of providing Government services, while remaining affordable. While increases in general rates are higher than WPI, the increases above WPI are used to offset reductions in residential conveyance duty under the Government’s tax reform program delivering a simpler, fairer tax system.</w:t>
      </w:r>
    </w:p>
    <w:p w14:paraId="76E0D383" w14:textId="77777777" w:rsidR="00A60D4B" w:rsidRPr="00C973EE" w:rsidRDefault="00A60D4B" w:rsidP="00A60D4B">
      <w:pPr>
        <w:pStyle w:val="Heading4"/>
      </w:pPr>
      <w:r>
        <w:t>Property related taxes and fees</w:t>
      </w:r>
    </w:p>
    <w:p w14:paraId="2A1F3696" w14:textId="77777777" w:rsidR="00A60D4B" w:rsidRDefault="00A60D4B" w:rsidP="00A60D4B">
      <w:pPr>
        <w:pStyle w:val="Bbodytext"/>
      </w:pPr>
      <w:r>
        <w:t>Average residential general rates increased by 3.75 per cent in the ACT in 2021-22. The Fire and Emergency Services Levy (FESL) increased by 1.75 per cent in 2021-22 in line with WPI, and the safer families levy increased by $5.</w:t>
      </w:r>
    </w:p>
    <w:p w14:paraId="0A7DF063" w14:textId="77777777" w:rsidR="00A60D4B" w:rsidRPr="004D4CA9" w:rsidRDefault="00A60D4B" w:rsidP="00A60D4B">
      <w:pPr>
        <w:pStyle w:val="Heading4"/>
      </w:pPr>
      <w:r w:rsidRPr="004D4CA9">
        <w:rPr>
          <w:iCs w:val="0"/>
        </w:rPr>
        <w:lastRenderedPageBreak/>
        <w:t>Car related fees</w:t>
      </w:r>
    </w:p>
    <w:p w14:paraId="1C7BBBEA" w14:textId="77777777" w:rsidR="00A60D4B" w:rsidRPr="004D4CA9" w:rsidRDefault="00A60D4B" w:rsidP="00A60D4B">
      <w:pPr>
        <w:pStyle w:val="Bbodytext"/>
        <w:rPr>
          <w:i/>
          <w:iCs/>
        </w:rPr>
      </w:pPr>
      <w:r>
        <w:t>Car related fees, including driver licence fees, registration fees, and the road rescue fee increased by 1.75 per cent in 2021-22 in line with WPI. The Lifetime Care and Support levy increased by $8.70 for the 2021-22 contribution period.</w:t>
      </w:r>
    </w:p>
    <w:p w14:paraId="51E4D174" w14:textId="77777777" w:rsidR="00A60D4B" w:rsidRDefault="00A60D4B" w:rsidP="00A60D4B">
      <w:pPr>
        <w:pStyle w:val="Heading4"/>
      </w:pPr>
      <w:r w:rsidRPr="00E84FFA">
        <w:t xml:space="preserve">Public </w:t>
      </w:r>
      <w:r>
        <w:t>t</w:t>
      </w:r>
      <w:r w:rsidRPr="00E84FFA">
        <w:t>ransport</w:t>
      </w:r>
      <w:r>
        <w:t xml:space="preserve"> fares</w:t>
      </w:r>
    </w:p>
    <w:p w14:paraId="524439FD" w14:textId="77777777" w:rsidR="00A60D4B" w:rsidRPr="001C4AB0" w:rsidRDefault="00A60D4B" w:rsidP="00A60D4B">
      <w:pPr>
        <w:pStyle w:val="Bbodytext"/>
      </w:pPr>
      <w:r>
        <w:t xml:space="preserve">Public transport fares are scheduled to increase </w:t>
      </w:r>
      <w:r w:rsidRPr="00F530EE">
        <w:t>by 1.75 per cent from</w:t>
      </w:r>
      <w:r>
        <w:t xml:space="preserve"> 1 January 2022.</w:t>
      </w:r>
    </w:p>
    <w:p w14:paraId="1E717980" w14:textId="77777777" w:rsidR="00A60D4B" w:rsidRPr="00585516" w:rsidRDefault="00A60D4B" w:rsidP="00A60D4B">
      <w:pPr>
        <w:pStyle w:val="Heading4"/>
      </w:pPr>
      <w:r w:rsidRPr="00585516">
        <w:t>Utilities</w:t>
      </w:r>
    </w:p>
    <w:p w14:paraId="024EEE22" w14:textId="77777777" w:rsidR="00A60D4B" w:rsidRPr="00F530EE" w:rsidRDefault="00A60D4B" w:rsidP="00A60D4B">
      <w:pPr>
        <w:pStyle w:val="Bbodytext"/>
      </w:pPr>
      <w:r w:rsidRPr="00F530EE">
        <w:t xml:space="preserve">Utilities are also a major household cost. ACT households typically have higher annual energy consumption compared with households in other States and Territories due to climate conditions in the ACT, including hot summers and very cold winters.  </w:t>
      </w:r>
    </w:p>
    <w:p w14:paraId="29123E88" w14:textId="77777777" w:rsidR="00A60D4B" w:rsidRDefault="00A60D4B" w:rsidP="00A60D4B">
      <w:pPr>
        <w:pStyle w:val="Bbodytext"/>
      </w:pPr>
      <w:r>
        <w:t>T</w:t>
      </w:r>
      <w:r w:rsidRPr="00F530EE">
        <w:t>he ACT Government</w:t>
      </w:r>
      <w:r>
        <w:t xml:space="preserve"> does not directly determine </w:t>
      </w:r>
      <w:r w:rsidRPr="00F530EE">
        <w:t>the cost of electricity, gas and other utilitie</w:t>
      </w:r>
      <w:r>
        <w:t>s</w:t>
      </w:r>
      <w:r w:rsidRPr="00F530EE">
        <w:t xml:space="preserve">. </w:t>
      </w:r>
      <w:r>
        <w:t>Water and sewerage</w:t>
      </w:r>
      <w:r w:rsidRPr="00F530EE">
        <w:t xml:space="preserve"> prices are determined by the decisions of independent </w:t>
      </w:r>
      <w:r>
        <w:t>regulators</w:t>
      </w:r>
      <w:r w:rsidRPr="00F530EE">
        <w:t xml:space="preserve">. </w:t>
      </w:r>
      <w:r>
        <w:t>Other u</w:t>
      </w:r>
      <w:r w:rsidRPr="00F530EE">
        <w:t xml:space="preserve">tility charges </w:t>
      </w:r>
      <w:r>
        <w:t xml:space="preserve">are primarily set by the market but </w:t>
      </w:r>
      <w:r w:rsidRPr="00F530EE">
        <w:t xml:space="preserve">incorporate the costs of </w:t>
      </w:r>
      <w:r>
        <w:t>generation and distribution</w:t>
      </w:r>
      <w:r w:rsidRPr="00F530EE">
        <w:t xml:space="preserve">, the impact of various Commonwealth, State and Territory energy and environmental programs. </w:t>
      </w:r>
    </w:p>
    <w:p w14:paraId="3BF5B961" w14:textId="77777777" w:rsidR="00A60D4B" w:rsidRPr="00153F95" w:rsidRDefault="00A60D4B" w:rsidP="00A60D4B">
      <w:pPr>
        <w:pStyle w:val="Heading4"/>
        <w:rPr>
          <w:b w:val="0"/>
          <w:bCs/>
          <w:i/>
          <w:iCs w:val="0"/>
          <w:sz w:val="24"/>
          <w:szCs w:val="24"/>
        </w:rPr>
      </w:pPr>
      <w:r w:rsidRPr="00153F95">
        <w:rPr>
          <w:b w:val="0"/>
          <w:bCs/>
          <w:i/>
          <w:iCs w:val="0"/>
          <w:sz w:val="24"/>
          <w:szCs w:val="24"/>
        </w:rPr>
        <w:t>Electricity</w:t>
      </w:r>
    </w:p>
    <w:p w14:paraId="5CD5A424" w14:textId="77777777" w:rsidR="00A60D4B" w:rsidRPr="00F530EE" w:rsidRDefault="00A60D4B" w:rsidP="00A60D4B">
      <w:pPr>
        <w:pStyle w:val="Bbodytext"/>
      </w:pPr>
      <w:r w:rsidRPr="00F530EE">
        <w:t xml:space="preserve">ActewAGL’s standing offer </w:t>
      </w:r>
      <w:r>
        <w:t>electricity prices</w:t>
      </w:r>
      <w:r w:rsidRPr="00F530EE">
        <w:t xml:space="preserve"> are regulated by the Independent Competition and Regulatory Commission (ICRC). From 1 July 2021, </w:t>
      </w:r>
      <w:r>
        <w:t>these</w:t>
      </w:r>
      <w:r w:rsidRPr="00F530EE">
        <w:t xml:space="preserve"> prices increased by 11.95</w:t>
      </w:r>
      <w:r>
        <w:t> </w:t>
      </w:r>
      <w:r w:rsidRPr="00F530EE">
        <w:t>per</w:t>
      </w:r>
      <w:r>
        <w:t> </w:t>
      </w:r>
      <w:r w:rsidRPr="00F530EE">
        <w:t>cent, or $3.76</w:t>
      </w:r>
      <w:r>
        <w:t> </w:t>
      </w:r>
      <w:r w:rsidRPr="00F530EE">
        <w:t>per</w:t>
      </w:r>
      <w:r>
        <w:t> </w:t>
      </w:r>
      <w:r w:rsidRPr="00F530EE">
        <w:t>week for a typical Canberra household consuming 6,500kWh</w:t>
      </w:r>
      <w:r>
        <w:t> </w:t>
      </w:r>
      <w:r w:rsidRPr="00F530EE">
        <w:t xml:space="preserve">per year. This </w:t>
      </w:r>
      <w:r>
        <w:t xml:space="preserve">increase is </w:t>
      </w:r>
      <w:r w:rsidRPr="00F530EE">
        <w:t>largely due to increased network costs</w:t>
      </w:r>
      <w:r>
        <w:t xml:space="preserve"> which are regulated at a national level and passed on from distributors to retailers</w:t>
      </w:r>
      <w:r w:rsidRPr="00F530EE">
        <w:t xml:space="preserve">. </w:t>
      </w:r>
    </w:p>
    <w:p w14:paraId="0B06D41F" w14:textId="77777777" w:rsidR="00A60D4B" w:rsidRDefault="00A60D4B" w:rsidP="00A60D4B">
      <w:pPr>
        <w:pStyle w:val="Bbodytext"/>
      </w:pPr>
      <w:r w:rsidRPr="00F530EE">
        <w:t xml:space="preserve">Despite the increase in electricity prices for 2021-22, the average electricity bill for Canberrans on standing offers is broadly consistent with those in other jurisdictions. </w:t>
      </w:r>
    </w:p>
    <w:p w14:paraId="200450FA" w14:textId="5A390134" w:rsidR="00A60D4B" w:rsidRPr="00F530EE" w:rsidRDefault="00A60D4B" w:rsidP="00A60D4B">
      <w:pPr>
        <w:pStyle w:val="Bbodytext"/>
      </w:pPr>
      <w:r w:rsidRPr="00F530EE">
        <w:t>The Government wants to help Canberrans save money on their electricity bills and has taken steps to increase the transparency and comparability of pricing offers. From 1</w:t>
      </w:r>
      <w:r w:rsidR="008812C5">
        <w:t> </w:t>
      </w:r>
      <w:r w:rsidRPr="00F530EE">
        <w:t>October</w:t>
      </w:r>
      <w:r w:rsidR="008812C5">
        <w:t> </w:t>
      </w:r>
      <w:r w:rsidRPr="00F530EE">
        <w:t xml:space="preserve">2021, electricity retailers will be required to compare their offers against a common benchmark and tell their customers when they might have a better offer by putting a message on customers’ bills.  Retailers also have an obligation to give customers clear information, when contacted, to allow customers to make an informed choice before they sign up </w:t>
      </w:r>
      <w:r>
        <w:t xml:space="preserve">to </w:t>
      </w:r>
      <w:r w:rsidRPr="00F530EE">
        <w:t>a new cont</w:t>
      </w:r>
      <w:r>
        <w:t>r</w:t>
      </w:r>
      <w:r w:rsidRPr="00F530EE">
        <w:t xml:space="preserve">act. </w:t>
      </w:r>
    </w:p>
    <w:p w14:paraId="60A344A2" w14:textId="77777777" w:rsidR="00A60D4B" w:rsidRPr="00F530EE" w:rsidRDefault="00A60D4B" w:rsidP="00A60D4B">
      <w:pPr>
        <w:pStyle w:val="Bbodytext"/>
      </w:pPr>
      <w:r w:rsidRPr="00F530EE">
        <w:t xml:space="preserve">Customers are also encouraged to compare </w:t>
      </w:r>
      <w:r>
        <w:t xml:space="preserve">their </w:t>
      </w:r>
      <w:r w:rsidRPr="00F530EE">
        <w:t>current arrangements with other offers in the ACT</w:t>
      </w:r>
      <w:r>
        <w:t xml:space="preserve"> </w:t>
      </w:r>
      <w:r w:rsidRPr="00F530EE">
        <w:t xml:space="preserve">by going to the Australian Government's </w:t>
      </w:r>
      <w:hyperlink r:id="rId133" w:history="1">
        <w:r w:rsidRPr="00F530EE">
          <w:t>Energy Made Easy</w:t>
        </w:r>
      </w:hyperlink>
      <w:r w:rsidRPr="00F530EE">
        <w:t xml:space="preserve"> website (</w:t>
      </w:r>
      <w:hyperlink r:id="rId134" w:history="1">
        <w:r w:rsidRPr="00F530EE">
          <w:rPr>
            <w:rStyle w:val="Hyperlink"/>
          </w:rPr>
          <w:t>https://www.energymadeeasy.gov.au/</w:t>
        </w:r>
      </w:hyperlink>
      <w:r w:rsidRPr="00F530EE">
        <w:t>).</w:t>
      </w:r>
    </w:p>
    <w:p w14:paraId="728CF56E" w14:textId="77777777" w:rsidR="00A60D4B" w:rsidRPr="00153F95" w:rsidRDefault="00A60D4B" w:rsidP="00A60D4B">
      <w:pPr>
        <w:pStyle w:val="Heading4"/>
        <w:rPr>
          <w:b w:val="0"/>
          <w:bCs/>
          <w:i/>
          <w:iCs w:val="0"/>
          <w:sz w:val="24"/>
          <w:szCs w:val="24"/>
        </w:rPr>
      </w:pPr>
      <w:r w:rsidRPr="00153F95">
        <w:rPr>
          <w:b w:val="0"/>
          <w:bCs/>
          <w:i/>
          <w:iCs w:val="0"/>
          <w:sz w:val="24"/>
          <w:szCs w:val="24"/>
        </w:rPr>
        <w:t>Natural gas</w:t>
      </w:r>
    </w:p>
    <w:p w14:paraId="24B08376" w14:textId="77777777" w:rsidR="00A60D4B" w:rsidRPr="00F530EE" w:rsidRDefault="00A60D4B" w:rsidP="00A60D4B">
      <w:pPr>
        <w:pStyle w:val="Bbodytext"/>
      </w:pPr>
      <w:r w:rsidRPr="00F530EE">
        <w:t>The Australian Energy Regulator regulates the gas distribution network charges and approved a 0.7</w:t>
      </w:r>
      <w:r>
        <w:t> </w:t>
      </w:r>
      <w:r w:rsidRPr="00F530EE">
        <w:t>per</w:t>
      </w:r>
      <w:r>
        <w:t> </w:t>
      </w:r>
      <w:r w:rsidRPr="00F530EE">
        <w:t xml:space="preserve">cent decrease in 2021-22, for this component. Retailers have taken this into consideration in providing offers to their customers, with ActewAGL's standard contract customers </w:t>
      </w:r>
      <w:r>
        <w:t>seeing</w:t>
      </w:r>
      <w:r w:rsidRPr="00F530EE">
        <w:t xml:space="preserve"> a 1.35</w:t>
      </w:r>
      <w:r>
        <w:t> </w:t>
      </w:r>
      <w:r w:rsidRPr="00F530EE">
        <w:t>per</w:t>
      </w:r>
      <w:r>
        <w:t> </w:t>
      </w:r>
      <w:r w:rsidRPr="00F530EE">
        <w:t>cent or $27 decrease in their annual bill based on 47.5 GJ usage of gas per year.</w:t>
      </w:r>
    </w:p>
    <w:p w14:paraId="22AFFB25" w14:textId="77777777" w:rsidR="00A60D4B" w:rsidRPr="00153F95" w:rsidRDefault="00A60D4B" w:rsidP="00A60D4B">
      <w:pPr>
        <w:pStyle w:val="Heading4"/>
        <w:rPr>
          <w:b w:val="0"/>
          <w:bCs/>
          <w:i/>
          <w:iCs w:val="0"/>
          <w:sz w:val="24"/>
          <w:szCs w:val="24"/>
        </w:rPr>
      </w:pPr>
      <w:r w:rsidRPr="00153F95">
        <w:rPr>
          <w:b w:val="0"/>
          <w:bCs/>
          <w:i/>
          <w:iCs w:val="0"/>
          <w:sz w:val="24"/>
          <w:szCs w:val="24"/>
        </w:rPr>
        <w:lastRenderedPageBreak/>
        <w:t>Water and sewerage</w:t>
      </w:r>
    </w:p>
    <w:p w14:paraId="54427389" w14:textId="77777777" w:rsidR="00A60D4B" w:rsidRPr="004F2634" w:rsidRDefault="00A60D4B" w:rsidP="00A60D4B">
      <w:pPr>
        <w:pStyle w:val="Bbodytext"/>
      </w:pPr>
      <w:r w:rsidRPr="00F530EE">
        <w:t xml:space="preserve">Water and sewerage prices are also regulated by the ICRC. Combined water and sewerage bills </w:t>
      </w:r>
      <w:r>
        <w:t xml:space="preserve">increased </w:t>
      </w:r>
      <w:r w:rsidRPr="00F530EE">
        <w:t xml:space="preserve">by 2 per cent in 2021-22. Last year Icon Water </w:t>
      </w:r>
      <w:r>
        <w:t>froze</w:t>
      </w:r>
      <w:r w:rsidRPr="00F530EE">
        <w:t xml:space="preserve"> prices in response to COVID-19. This year Icon Water has indicated it will unfreeze water prices, meaning the 2</w:t>
      </w:r>
      <w:r>
        <w:t> </w:t>
      </w:r>
      <w:r w:rsidRPr="00F530EE">
        <w:t>per</w:t>
      </w:r>
      <w:r>
        <w:t xml:space="preserve"> </w:t>
      </w:r>
      <w:r w:rsidRPr="00F530EE">
        <w:t>cent increase is the combined effect of this year’s maximum price change of 0.4</w:t>
      </w:r>
      <w:r>
        <w:t> </w:t>
      </w:r>
      <w:r w:rsidRPr="00F530EE">
        <w:t>per</w:t>
      </w:r>
      <w:r>
        <w:t> </w:t>
      </w:r>
      <w:r w:rsidRPr="00F530EE">
        <w:t>cent and the maximum price change for last year.</w:t>
      </w:r>
    </w:p>
    <w:p w14:paraId="14573859" w14:textId="77777777" w:rsidR="00A60D4B" w:rsidRDefault="00A60D4B" w:rsidP="00A60D4B">
      <w:pPr>
        <w:pStyle w:val="Heading3"/>
      </w:pPr>
      <w:r>
        <w:t>Concessions</w:t>
      </w:r>
    </w:p>
    <w:p w14:paraId="71195F2F" w14:textId="77777777" w:rsidR="00A60D4B" w:rsidRDefault="00A60D4B" w:rsidP="00A60D4B">
      <w:pPr>
        <w:pStyle w:val="Bbodytext"/>
      </w:pPr>
      <w:bookmarkStart w:id="64" w:name="_Hlk75446342"/>
      <w:r w:rsidRPr="00717766">
        <w:t xml:space="preserve">The ACT Government provides a wide range of concessions to households and individuals to assist with living expenses such as general rates, </w:t>
      </w:r>
      <w:r>
        <w:t>conveyance</w:t>
      </w:r>
      <w:r w:rsidRPr="00717766">
        <w:t xml:space="preserve"> duty, utility bills, driver licence fees, motor vehicle registration fees</w:t>
      </w:r>
      <w:bookmarkEnd w:id="64"/>
      <w:r w:rsidRPr="00717766">
        <w:t xml:space="preserve">, and public transport fares. </w:t>
      </w:r>
      <w:r w:rsidRPr="00C75BA9">
        <w:t>Table 3.3.1</w:t>
      </w:r>
      <w:r w:rsidRPr="00717766">
        <w:t xml:space="preserve"> below shows a summary of some of the assistance available and the estimated annual costs.</w:t>
      </w:r>
    </w:p>
    <w:p w14:paraId="75657865" w14:textId="77777777" w:rsidR="00A60D4B" w:rsidRDefault="00A60D4B" w:rsidP="00A60D4B">
      <w:pPr>
        <w:pStyle w:val="Bbodytext"/>
      </w:pPr>
      <w:r>
        <w:t xml:space="preserve">In providing cost of living assistance to Canberrans, the ACT Government primarily targets recipients of Commonwealth concession card holders. </w:t>
      </w:r>
    </w:p>
    <w:p w14:paraId="50C8B14D" w14:textId="77777777" w:rsidR="00A60D4B" w:rsidRDefault="00A60D4B" w:rsidP="00A60D4B">
      <w:pPr>
        <w:pStyle w:val="Bbodytext"/>
      </w:pPr>
      <w:r>
        <w:t>The ACT is unable to undertake our own income and asset-based means testing because we do not have access to the individual income data needed to determine eligibility. We understand that some Canberrans who do not qualify for Commonwealth concession cards also face challenges with their cost of living, particularly people with insufficient or insecure work. We support these Canberrans by providing high quality health, education and public transport services at low or no cost to reduce the need for private spending on these essential services, and by keeping government fees and charges as low as possible.</w:t>
      </w:r>
    </w:p>
    <w:p w14:paraId="3E46C57E" w14:textId="77777777" w:rsidR="00A60D4B" w:rsidRDefault="00A60D4B" w:rsidP="00A60D4B">
      <w:pPr>
        <w:pStyle w:val="Bbodytext"/>
      </w:pPr>
      <w:r>
        <w:t>The pensioner rates rebate provides recipients of the Age Pension, Department of Veterans’ Affairs Pension, and the War Veteran’s Pension a rebate of rates of 50 per cent, up to $750 per year. The rebate cap was increased permanently by $50 from 1 July 2021. Pensioners can also defer the balance of their rates charges at a low interest rate.</w:t>
      </w:r>
    </w:p>
    <w:p w14:paraId="3C13498A" w14:textId="77777777" w:rsidR="00A60D4B" w:rsidRDefault="00A60D4B" w:rsidP="00A60D4B">
      <w:pPr>
        <w:pStyle w:val="Bbodytext"/>
      </w:pPr>
      <w:r>
        <w:t>The Utilities Concession provides holders of a Centrelink Pensioner Concession Card, Centrelink Low Income Health Care Card, Veteran’s Affairs Pensioner Concession Card or Gold Card, or ACT Services Access Card a rebate on their utility bills up to $1,000 in 2021</w:t>
      </w:r>
      <w:r w:rsidRPr="00CD4B52">
        <w:t xml:space="preserve">-22. The Government permanently increased the Utilities Concession by $50 to $750 from 1 July 2021. In 2021-22, an additional temporary $250 rebate will be provided </w:t>
      </w:r>
      <w:r>
        <w:t>in recognition of the impact of the</w:t>
      </w:r>
      <w:r w:rsidRPr="00CD4B52">
        <w:t xml:space="preserve"> COVID-19 pandemic and </w:t>
      </w:r>
      <w:r>
        <w:t xml:space="preserve">the </w:t>
      </w:r>
      <w:r w:rsidRPr="00CD4B52">
        <w:t>significant increase in electricity prices in 2021</w:t>
      </w:r>
      <w:r>
        <w:noBreakHyphen/>
      </w:r>
      <w:r w:rsidRPr="00CD4B52">
        <w:t>22. The</w:t>
      </w:r>
      <w:r>
        <w:t xml:space="preserve"> Government also permanently extended the Utilities Concession to eligible asylum seekers who hold an ACT Services Access Card from 1 July 2020.</w:t>
      </w:r>
    </w:p>
    <w:p w14:paraId="4AF91A02" w14:textId="77777777" w:rsidR="00A60D4B" w:rsidRDefault="00A60D4B">
      <w:pPr>
        <w:rPr>
          <w:b/>
          <w:iCs/>
          <w:color w:val="472D8C"/>
          <w:sz w:val="24"/>
          <w:szCs w:val="24"/>
        </w:rPr>
      </w:pPr>
      <w:r>
        <w:rPr>
          <w:sz w:val="24"/>
          <w:szCs w:val="24"/>
        </w:rPr>
        <w:br w:type="page"/>
      </w:r>
    </w:p>
    <w:p w14:paraId="5167A7A0" w14:textId="77777777" w:rsidR="00A60D4B" w:rsidRPr="00153F95" w:rsidRDefault="00A60D4B" w:rsidP="00A60D4B">
      <w:pPr>
        <w:pStyle w:val="Caption"/>
        <w:rPr>
          <w:sz w:val="24"/>
          <w:szCs w:val="24"/>
          <w:lang w:eastAsia="en-AU"/>
        </w:rPr>
      </w:pPr>
      <w:r w:rsidRPr="00153F95">
        <w:rPr>
          <w:sz w:val="24"/>
          <w:szCs w:val="24"/>
        </w:rPr>
        <w:lastRenderedPageBreak/>
        <w:t>Table 3.3.1:</w:t>
      </w:r>
      <w:r w:rsidRPr="00153F95">
        <w:rPr>
          <w:sz w:val="24"/>
          <w:szCs w:val="24"/>
          <w:lang w:eastAsia="en-AU"/>
        </w:rPr>
        <w:t xml:space="preserve"> Summary of assistance available and estimated annual take-up and costs</w:t>
      </w:r>
    </w:p>
    <w:tbl>
      <w:tblPr>
        <w:tblStyle w:val="TableGridLight"/>
        <w:tblW w:w="9001" w:type="dxa"/>
        <w:tblLayout w:type="fixed"/>
        <w:tblLook w:val="04A0" w:firstRow="1" w:lastRow="0" w:firstColumn="1" w:lastColumn="0" w:noHBand="0" w:noVBand="1"/>
      </w:tblPr>
      <w:tblGrid>
        <w:gridCol w:w="2151"/>
        <w:gridCol w:w="2811"/>
        <w:gridCol w:w="1828"/>
        <w:gridCol w:w="1105"/>
        <w:gridCol w:w="1106"/>
      </w:tblGrid>
      <w:tr w:rsidR="00A60D4B" w:rsidRPr="00073CA1" w14:paraId="3B790E71" w14:textId="77777777" w:rsidTr="00A60D4B">
        <w:trPr>
          <w:trHeight w:val="285"/>
        </w:trPr>
        <w:tc>
          <w:tcPr>
            <w:tcW w:w="2151" w:type="dxa"/>
            <w:shd w:val="clear" w:color="auto" w:fill="472D8C"/>
            <w:noWrap/>
            <w:hideMark/>
          </w:tcPr>
          <w:p w14:paraId="10968A5B" w14:textId="0A514A57" w:rsidR="00A60D4B" w:rsidRPr="008812C5" w:rsidRDefault="00A60D4B" w:rsidP="008812C5">
            <w:pPr>
              <w:pStyle w:val="BStabletextbold"/>
              <w:jc w:val="center"/>
              <w:rPr>
                <w:color w:val="FFFFFF" w:themeColor="background1"/>
              </w:rPr>
            </w:pPr>
            <w:bookmarkStart w:id="65" w:name="_Hlk81555967"/>
            <w:r w:rsidRPr="008812C5">
              <w:rPr>
                <w:color w:val="FFFFFF" w:themeColor="background1"/>
              </w:rPr>
              <w:t>Assistance</w:t>
            </w:r>
          </w:p>
        </w:tc>
        <w:tc>
          <w:tcPr>
            <w:tcW w:w="2811" w:type="dxa"/>
            <w:shd w:val="clear" w:color="auto" w:fill="472D8C"/>
          </w:tcPr>
          <w:p w14:paraId="7A4687BE" w14:textId="77777777" w:rsidR="00A60D4B" w:rsidRPr="008812C5" w:rsidRDefault="00A60D4B" w:rsidP="008812C5">
            <w:pPr>
              <w:pStyle w:val="BStabletextbold"/>
              <w:jc w:val="center"/>
              <w:rPr>
                <w:color w:val="FFFFFF" w:themeColor="background1"/>
              </w:rPr>
            </w:pPr>
            <w:r w:rsidRPr="008812C5">
              <w:rPr>
                <w:color w:val="FFFFFF" w:themeColor="background1"/>
              </w:rPr>
              <w:t>Description</w:t>
            </w:r>
          </w:p>
        </w:tc>
        <w:tc>
          <w:tcPr>
            <w:tcW w:w="1828" w:type="dxa"/>
            <w:shd w:val="clear" w:color="auto" w:fill="472D8C"/>
          </w:tcPr>
          <w:p w14:paraId="7ED2772F" w14:textId="77777777" w:rsidR="00A60D4B" w:rsidRPr="008812C5" w:rsidRDefault="00A60D4B" w:rsidP="008812C5">
            <w:pPr>
              <w:pStyle w:val="BStabletextbold"/>
              <w:jc w:val="center"/>
              <w:rPr>
                <w:color w:val="FFFFFF" w:themeColor="background1"/>
              </w:rPr>
            </w:pPr>
            <w:r w:rsidRPr="008812C5">
              <w:rPr>
                <w:color w:val="FFFFFF" w:themeColor="background1"/>
              </w:rPr>
              <w:t>Estimated take up 2021-22</w:t>
            </w:r>
          </w:p>
        </w:tc>
        <w:tc>
          <w:tcPr>
            <w:tcW w:w="1105" w:type="dxa"/>
            <w:shd w:val="clear" w:color="auto" w:fill="472D8C"/>
          </w:tcPr>
          <w:p w14:paraId="6B334D51" w14:textId="77777777" w:rsidR="00A60D4B" w:rsidRPr="008812C5" w:rsidRDefault="00A60D4B" w:rsidP="008812C5">
            <w:pPr>
              <w:pStyle w:val="BStablefiguresbold"/>
              <w:jc w:val="right"/>
              <w:rPr>
                <w:b/>
                <w:color w:val="FFFFFF" w:themeColor="background1"/>
              </w:rPr>
            </w:pPr>
            <w:r w:rsidRPr="008812C5">
              <w:rPr>
                <w:b/>
                <w:color w:val="FFFFFF" w:themeColor="background1"/>
              </w:rPr>
              <w:t>2020-21</w:t>
            </w:r>
          </w:p>
          <w:p w14:paraId="2A2A1763" w14:textId="77777777" w:rsidR="00A60D4B" w:rsidRPr="008812C5" w:rsidRDefault="00A60D4B" w:rsidP="008812C5">
            <w:pPr>
              <w:pStyle w:val="BStablefiguresbold"/>
              <w:jc w:val="right"/>
              <w:rPr>
                <w:b/>
                <w:color w:val="FFFFFF" w:themeColor="background1"/>
              </w:rPr>
            </w:pPr>
            <w:r w:rsidRPr="008812C5">
              <w:rPr>
                <w:b/>
                <w:color w:val="FFFFFF" w:themeColor="background1"/>
              </w:rPr>
              <w:t>$'000</w:t>
            </w:r>
          </w:p>
        </w:tc>
        <w:tc>
          <w:tcPr>
            <w:tcW w:w="1106" w:type="dxa"/>
            <w:shd w:val="clear" w:color="auto" w:fill="472D8C"/>
            <w:noWrap/>
            <w:hideMark/>
          </w:tcPr>
          <w:p w14:paraId="2BCFE74A" w14:textId="77777777" w:rsidR="00A60D4B" w:rsidRPr="008812C5" w:rsidRDefault="00A60D4B" w:rsidP="008812C5">
            <w:pPr>
              <w:pStyle w:val="BStablefiguresbold"/>
              <w:jc w:val="right"/>
              <w:rPr>
                <w:b/>
                <w:color w:val="FFFFFF" w:themeColor="background1"/>
              </w:rPr>
            </w:pPr>
            <w:r w:rsidRPr="008812C5">
              <w:rPr>
                <w:b/>
                <w:color w:val="FFFFFF" w:themeColor="background1"/>
              </w:rPr>
              <w:t>2021-22</w:t>
            </w:r>
          </w:p>
          <w:p w14:paraId="61E8CFCE" w14:textId="77777777" w:rsidR="00A60D4B" w:rsidRPr="008812C5" w:rsidRDefault="00A60D4B" w:rsidP="008812C5">
            <w:pPr>
              <w:pStyle w:val="BStablefiguresbold"/>
              <w:jc w:val="right"/>
              <w:rPr>
                <w:b/>
                <w:color w:val="FFFFFF" w:themeColor="background1"/>
              </w:rPr>
            </w:pPr>
            <w:r w:rsidRPr="008812C5">
              <w:rPr>
                <w:b/>
                <w:color w:val="FFFFFF" w:themeColor="background1"/>
              </w:rPr>
              <w:t>$'000</w:t>
            </w:r>
          </w:p>
        </w:tc>
      </w:tr>
      <w:bookmarkEnd w:id="65"/>
      <w:tr w:rsidR="00A60D4B" w:rsidRPr="00073CA1" w14:paraId="1C9BE3D0" w14:textId="77777777" w:rsidTr="00A60D4B">
        <w:trPr>
          <w:trHeight w:val="285"/>
        </w:trPr>
        <w:tc>
          <w:tcPr>
            <w:tcW w:w="2151" w:type="dxa"/>
            <w:noWrap/>
          </w:tcPr>
          <w:p w14:paraId="2E2BE184" w14:textId="77777777" w:rsidR="00A60D4B" w:rsidRPr="002306EF" w:rsidRDefault="00A60D4B" w:rsidP="006F1DF8">
            <w:pPr>
              <w:pStyle w:val="BStabletextbold"/>
            </w:pPr>
            <w:r w:rsidRPr="002306EF">
              <w:t>Ongoing support</w:t>
            </w:r>
          </w:p>
        </w:tc>
        <w:tc>
          <w:tcPr>
            <w:tcW w:w="2811" w:type="dxa"/>
          </w:tcPr>
          <w:p w14:paraId="64773DF9" w14:textId="77777777" w:rsidR="00A60D4B" w:rsidRPr="00073CA1" w:rsidRDefault="00A60D4B" w:rsidP="00A60D4B">
            <w:pPr>
              <w:pStyle w:val="EmptyCell0"/>
            </w:pPr>
          </w:p>
        </w:tc>
        <w:tc>
          <w:tcPr>
            <w:tcW w:w="1828" w:type="dxa"/>
          </w:tcPr>
          <w:p w14:paraId="4D915C10" w14:textId="77777777" w:rsidR="00A60D4B" w:rsidRPr="00073CA1" w:rsidRDefault="00A60D4B" w:rsidP="00A60D4B">
            <w:pPr>
              <w:pStyle w:val="EmptyCell0"/>
            </w:pPr>
          </w:p>
        </w:tc>
        <w:tc>
          <w:tcPr>
            <w:tcW w:w="1105" w:type="dxa"/>
          </w:tcPr>
          <w:p w14:paraId="5C85AD26" w14:textId="77777777" w:rsidR="00A60D4B" w:rsidRPr="00073CA1" w:rsidRDefault="00A60D4B" w:rsidP="00A60D4B">
            <w:pPr>
              <w:pStyle w:val="EmptyCell0"/>
              <w:rPr>
                <w:lang w:eastAsia="en-AU"/>
              </w:rPr>
            </w:pPr>
          </w:p>
        </w:tc>
        <w:tc>
          <w:tcPr>
            <w:tcW w:w="1106" w:type="dxa"/>
            <w:noWrap/>
          </w:tcPr>
          <w:p w14:paraId="0F5074C2" w14:textId="77777777" w:rsidR="00A60D4B" w:rsidRPr="00073CA1" w:rsidRDefault="00A60D4B" w:rsidP="00A60D4B">
            <w:pPr>
              <w:pStyle w:val="EmptyCell0"/>
              <w:rPr>
                <w:lang w:eastAsia="en-AU"/>
              </w:rPr>
            </w:pPr>
          </w:p>
        </w:tc>
      </w:tr>
      <w:tr w:rsidR="00A60D4B" w:rsidRPr="00073CA1" w14:paraId="52E746BA" w14:textId="77777777" w:rsidTr="00A60D4B">
        <w:trPr>
          <w:trHeight w:val="285"/>
        </w:trPr>
        <w:tc>
          <w:tcPr>
            <w:tcW w:w="2151" w:type="dxa"/>
            <w:noWrap/>
            <w:hideMark/>
          </w:tcPr>
          <w:p w14:paraId="237F51EB" w14:textId="77777777" w:rsidR="00A60D4B" w:rsidRPr="00073CA1" w:rsidRDefault="00A60D4B" w:rsidP="006F1DF8">
            <w:pPr>
              <w:pStyle w:val="BStabletext"/>
            </w:pPr>
            <w:r w:rsidRPr="00073CA1">
              <w:t>General rates and Fire and Emergency Services Levy rebate</w:t>
            </w:r>
          </w:p>
        </w:tc>
        <w:tc>
          <w:tcPr>
            <w:tcW w:w="2811" w:type="dxa"/>
          </w:tcPr>
          <w:p w14:paraId="6676766A" w14:textId="77777777" w:rsidR="00A60D4B" w:rsidRPr="00073CA1" w:rsidRDefault="00A60D4B" w:rsidP="006F1DF8">
            <w:pPr>
              <w:pStyle w:val="BStabletext"/>
            </w:pPr>
            <w:r w:rsidRPr="00073CA1">
              <w:t xml:space="preserve">50 per cent rebate of annual rates bill up to $700 in </w:t>
            </w:r>
            <w:r w:rsidRPr="00073CA1">
              <w:br/>
              <w:t xml:space="preserve">2020-21, increasing to </w:t>
            </w:r>
            <w:r w:rsidRPr="00073CA1">
              <w:br/>
              <w:t xml:space="preserve">$750 in 2021-22. </w:t>
            </w:r>
          </w:p>
          <w:p w14:paraId="69A9BCBD" w14:textId="77777777" w:rsidR="00A60D4B" w:rsidRPr="00073CA1" w:rsidRDefault="00A60D4B" w:rsidP="006F1DF8">
            <w:pPr>
              <w:pStyle w:val="BStabletext"/>
            </w:pPr>
            <w:r w:rsidRPr="00073CA1">
              <w:t>$98 rebate on FESL.</w:t>
            </w:r>
          </w:p>
        </w:tc>
        <w:tc>
          <w:tcPr>
            <w:tcW w:w="1828" w:type="dxa"/>
          </w:tcPr>
          <w:p w14:paraId="2FBA7EA5" w14:textId="77777777" w:rsidR="00A60D4B" w:rsidRPr="00073CA1" w:rsidRDefault="00A60D4B" w:rsidP="006F1DF8">
            <w:pPr>
              <w:pStyle w:val="BStabletext"/>
            </w:pPr>
            <w:r w:rsidRPr="00073CA1">
              <w:t xml:space="preserve">16,000 households </w:t>
            </w:r>
          </w:p>
        </w:tc>
        <w:tc>
          <w:tcPr>
            <w:tcW w:w="1105" w:type="dxa"/>
          </w:tcPr>
          <w:p w14:paraId="20994D92" w14:textId="77777777" w:rsidR="00A60D4B" w:rsidRPr="00073CA1" w:rsidRDefault="00A60D4B" w:rsidP="008812C5">
            <w:pPr>
              <w:pStyle w:val="BStablefigures"/>
              <w:jc w:val="right"/>
            </w:pPr>
            <w:r w:rsidRPr="00073CA1">
              <w:t>10,800</w:t>
            </w:r>
          </w:p>
        </w:tc>
        <w:tc>
          <w:tcPr>
            <w:tcW w:w="1106" w:type="dxa"/>
            <w:noWrap/>
          </w:tcPr>
          <w:p w14:paraId="34419469" w14:textId="77777777" w:rsidR="00A60D4B" w:rsidRPr="00073CA1" w:rsidRDefault="00A60D4B" w:rsidP="008812C5">
            <w:pPr>
              <w:pStyle w:val="BStablefigures"/>
              <w:jc w:val="right"/>
            </w:pPr>
            <w:r w:rsidRPr="00073CA1">
              <w:t>11,600</w:t>
            </w:r>
          </w:p>
        </w:tc>
      </w:tr>
      <w:tr w:rsidR="00A60D4B" w:rsidRPr="00073CA1" w14:paraId="3D9EAA29" w14:textId="77777777" w:rsidTr="00A60D4B">
        <w:trPr>
          <w:trHeight w:val="285"/>
        </w:trPr>
        <w:tc>
          <w:tcPr>
            <w:tcW w:w="2151" w:type="dxa"/>
            <w:noWrap/>
          </w:tcPr>
          <w:p w14:paraId="0D912B75" w14:textId="77777777" w:rsidR="00A60D4B" w:rsidRPr="00073CA1" w:rsidRDefault="00A60D4B" w:rsidP="006F1DF8">
            <w:pPr>
              <w:pStyle w:val="BStabletext"/>
            </w:pPr>
            <w:r w:rsidRPr="00073CA1">
              <w:t>Utilities concessions</w:t>
            </w:r>
          </w:p>
        </w:tc>
        <w:tc>
          <w:tcPr>
            <w:tcW w:w="2811" w:type="dxa"/>
          </w:tcPr>
          <w:p w14:paraId="153CF1D6" w14:textId="77777777" w:rsidR="00A60D4B" w:rsidRPr="00073CA1" w:rsidRDefault="00A60D4B" w:rsidP="006F1DF8">
            <w:pPr>
              <w:pStyle w:val="BStabletext"/>
            </w:pPr>
            <w:r w:rsidRPr="00073CA1">
              <w:t>$700 per year towards utility bill in 2020-21, $750 per year in 2021-22.</w:t>
            </w:r>
          </w:p>
        </w:tc>
        <w:tc>
          <w:tcPr>
            <w:tcW w:w="1828" w:type="dxa"/>
          </w:tcPr>
          <w:p w14:paraId="5E165969" w14:textId="77777777" w:rsidR="00A60D4B" w:rsidRPr="00073CA1" w:rsidRDefault="00A60D4B" w:rsidP="006F1DF8">
            <w:pPr>
              <w:pStyle w:val="BStabletext"/>
            </w:pPr>
            <w:r w:rsidRPr="00073CA1">
              <w:t xml:space="preserve">31,000 households </w:t>
            </w:r>
          </w:p>
        </w:tc>
        <w:tc>
          <w:tcPr>
            <w:tcW w:w="1105" w:type="dxa"/>
          </w:tcPr>
          <w:p w14:paraId="1A70F39A" w14:textId="77777777" w:rsidR="00A60D4B" w:rsidRPr="00073CA1" w:rsidRDefault="00A60D4B" w:rsidP="008812C5">
            <w:pPr>
              <w:pStyle w:val="BStablefigures"/>
              <w:jc w:val="right"/>
            </w:pPr>
            <w:r>
              <w:t>21,700</w:t>
            </w:r>
          </w:p>
        </w:tc>
        <w:tc>
          <w:tcPr>
            <w:tcW w:w="1106" w:type="dxa"/>
            <w:noWrap/>
          </w:tcPr>
          <w:p w14:paraId="7A3E2858" w14:textId="77777777" w:rsidR="00A60D4B" w:rsidRPr="00073CA1" w:rsidRDefault="00A60D4B" w:rsidP="008812C5">
            <w:pPr>
              <w:pStyle w:val="BStablefigures"/>
              <w:jc w:val="right"/>
            </w:pPr>
            <w:r>
              <w:t>23,300</w:t>
            </w:r>
          </w:p>
        </w:tc>
      </w:tr>
      <w:tr w:rsidR="00A60D4B" w:rsidRPr="00073CA1" w14:paraId="7CAA67A8" w14:textId="77777777" w:rsidTr="00A60D4B">
        <w:trPr>
          <w:trHeight w:val="285"/>
        </w:trPr>
        <w:tc>
          <w:tcPr>
            <w:tcW w:w="2151" w:type="dxa"/>
            <w:noWrap/>
          </w:tcPr>
          <w:p w14:paraId="0AF2B9D8" w14:textId="77777777" w:rsidR="00A60D4B" w:rsidRPr="00073CA1" w:rsidRDefault="00A60D4B" w:rsidP="006F1DF8">
            <w:pPr>
              <w:pStyle w:val="BStabletext"/>
            </w:pPr>
            <w:r w:rsidRPr="00073CA1">
              <w:t xml:space="preserve">Conveyance duty concessions </w:t>
            </w:r>
          </w:p>
        </w:tc>
        <w:tc>
          <w:tcPr>
            <w:tcW w:w="2811" w:type="dxa"/>
          </w:tcPr>
          <w:p w14:paraId="1CD049DF" w14:textId="77777777" w:rsidR="00A60D4B" w:rsidRPr="00073CA1" w:rsidRDefault="00A60D4B" w:rsidP="006F1DF8">
            <w:pPr>
              <w:pStyle w:val="BStabletext"/>
            </w:pPr>
            <w:r w:rsidRPr="00073CA1">
              <w:t>Up to 100 per cent discount on conveyance duty payable.</w:t>
            </w:r>
          </w:p>
        </w:tc>
        <w:tc>
          <w:tcPr>
            <w:tcW w:w="1828" w:type="dxa"/>
          </w:tcPr>
          <w:p w14:paraId="7DAE9E8A" w14:textId="77777777" w:rsidR="00A60D4B" w:rsidRPr="00073CA1" w:rsidRDefault="00A60D4B" w:rsidP="006F1DF8">
            <w:pPr>
              <w:pStyle w:val="BStabletext"/>
            </w:pPr>
            <w:r w:rsidRPr="00073CA1">
              <w:t xml:space="preserve">5,000 households </w:t>
            </w:r>
          </w:p>
        </w:tc>
        <w:tc>
          <w:tcPr>
            <w:tcW w:w="1105" w:type="dxa"/>
          </w:tcPr>
          <w:p w14:paraId="2F050C9E" w14:textId="77777777" w:rsidR="00A60D4B" w:rsidRPr="00EA695D" w:rsidRDefault="00A60D4B" w:rsidP="008812C5">
            <w:pPr>
              <w:pStyle w:val="BStablefigures"/>
              <w:jc w:val="right"/>
              <w:rPr>
                <w:highlight w:val="yellow"/>
              </w:rPr>
            </w:pPr>
            <w:r w:rsidRPr="00831015">
              <w:t>65,000</w:t>
            </w:r>
          </w:p>
        </w:tc>
        <w:tc>
          <w:tcPr>
            <w:tcW w:w="1106" w:type="dxa"/>
            <w:noWrap/>
          </w:tcPr>
          <w:p w14:paraId="6FC1E63B" w14:textId="77777777" w:rsidR="00A60D4B" w:rsidRPr="00856A1C" w:rsidRDefault="00A60D4B" w:rsidP="008812C5">
            <w:pPr>
              <w:pStyle w:val="BStablefigures"/>
              <w:jc w:val="right"/>
            </w:pPr>
            <w:r w:rsidRPr="00856A1C">
              <w:t>56,000</w:t>
            </w:r>
          </w:p>
        </w:tc>
      </w:tr>
      <w:tr w:rsidR="00A60D4B" w:rsidRPr="00073CA1" w14:paraId="0F580685" w14:textId="77777777" w:rsidTr="00A60D4B">
        <w:trPr>
          <w:trHeight w:val="285"/>
        </w:trPr>
        <w:tc>
          <w:tcPr>
            <w:tcW w:w="2151" w:type="dxa"/>
            <w:noWrap/>
            <w:hideMark/>
          </w:tcPr>
          <w:p w14:paraId="30578C8C" w14:textId="77777777" w:rsidR="00A60D4B" w:rsidRPr="00073CA1" w:rsidRDefault="00A60D4B" w:rsidP="006F1DF8">
            <w:pPr>
              <w:pStyle w:val="BStabletext"/>
            </w:pPr>
            <w:r w:rsidRPr="00073CA1">
              <w:t>Spectacles scheme</w:t>
            </w:r>
          </w:p>
        </w:tc>
        <w:tc>
          <w:tcPr>
            <w:tcW w:w="2811" w:type="dxa"/>
          </w:tcPr>
          <w:p w14:paraId="29B79BB8" w14:textId="77777777" w:rsidR="00A60D4B" w:rsidRPr="00073CA1" w:rsidRDefault="00A60D4B" w:rsidP="006F1DF8">
            <w:pPr>
              <w:pStyle w:val="BStabletext"/>
            </w:pPr>
            <w:r w:rsidRPr="00073CA1">
              <w:t>Subsidy up to $200 once every two years.</w:t>
            </w:r>
          </w:p>
        </w:tc>
        <w:tc>
          <w:tcPr>
            <w:tcW w:w="1828" w:type="dxa"/>
          </w:tcPr>
          <w:p w14:paraId="03DDB8EA" w14:textId="77777777" w:rsidR="00A60D4B" w:rsidRPr="00073CA1" w:rsidRDefault="00A60D4B" w:rsidP="006F1DF8">
            <w:pPr>
              <w:pStyle w:val="BStabletext"/>
            </w:pPr>
            <w:r w:rsidRPr="00073CA1">
              <w:t>11,000 spectacles</w:t>
            </w:r>
          </w:p>
        </w:tc>
        <w:tc>
          <w:tcPr>
            <w:tcW w:w="1105" w:type="dxa"/>
          </w:tcPr>
          <w:p w14:paraId="6C0B9F07" w14:textId="77777777" w:rsidR="00A60D4B" w:rsidRPr="00073CA1" w:rsidRDefault="00A60D4B" w:rsidP="008812C5">
            <w:pPr>
              <w:pStyle w:val="BStablefigures"/>
              <w:jc w:val="right"/>
            </w:pPr>
            <w:r w:rsidRPr="00073CA1">
              <w:t>2,400</w:t>
            </w:r>
          </w:p>
        </w:tc>
        <w:tc>
          <w:tcPr>
            <w:tcW w:w="1106" w:type="dxa"/>
            <w:noWrap/>
          </w:tcPr>
          <w:p w14:paraId="14E0CE53" w14:textId="77777777" w:rsidR="00A60D4B" w:rsidRPr="00073CA1" w:rsidRDefault="00A60D4B" w:rsidP="008812C5">
            <w:pPr>
              <w:pStyle w:val="BStablefigures"/>
              <w:jc w:val="right"/>
            </w:pPr>
            <w:r w:rsidRPr="00073CA1">
              <w:t>2,400</w:t>
            </w:r>
          </w:p>
        </w:tc>
      </w:tr>
      <w:tr w:rsidR="00A60D4B" w:rsidRPr="00073CA1" w14:paraId="54D35389" w14:textId="77777777" w:rsidTr="00A60D4B">
        <w:trPr>
          <w:trHeight w:val="285"/>
        </w:trPr>
        <w:tc>
          <w:tcPr>
            <w:tcW w:w="2151" w:type="dxa"/>
            <w:noWrap/>
          </w:tcPr>
          <w:p w14:paraId="3EFED0EB" w14:textId="77777777" w:rsidR="00A60D4B" w:rsidRPr="00073CA1" w:rsidRDefault="00A60D4B" w:rsidP="006F1DF8">
            <w:pPr>
              <w:pStyle w:val="BStabletext"/>
            </w:pPr>
            <w:r w:rsidRPr="00073CA1">
              <w:t>Taxi Subsidy scheme</w:t>
            </w:r>
          </w:p>
        </w:tc>
        <w:tc>
          <w:tcPr>
            <w:tcW w:w="2811" w:type="dxa"/>
          </w:tcPr>
          <w:p w14:paraId="50A18E7A" w14:textId="77777777" w:rsidR="00A60D4B" w:rsidRPr="00073CA1" w:rsidRDefault="00A60D4B" w:rsidP="006F1DF8">
            <w:pPr>
              <w:pStyle w:val="BStabletext"/>
            </w:pPr>
            <w:r w:rsidRPr="00073CA1">
              <w:t>Assistance for people with a disability or significant mobility restriction.</w:t>
            </w:r>
          </w:p>
        </w:tc>
        <w:tc>
          <w:tcPr>
            <w:tcW w:w="1828" w:type="dxa"/>
          </w:tcPr>
          <w:p w14:paraId="60E3C69E" w14:textId="77777777" w:rsidR="00A60D4B" w:rsidRPr="00073CA1" w:rsidRDefault="00A60D4B" w:rsidP="006F1DF8">
            <w:pPr>
              <w:pStyle w:val="BStabletext"/>
            </w:pPr>
            <w:r w:rsidRPr="00073CA1">
              <w:t>90,000 trips</w:t>
            </w:r>
          </w:p>
        </w:tc>
        <w:tc>
          <w:tcPr>
            <w:tcW w:w="1105" w:type="dxa"/>
          </w:tcPr>
          <w:p w14:paraId="1D47959C" w14:textId="77777777" w:rsidR="00A60D4B" w:rsidRPr="00073CA1" w:rsidRDefault="00A60D4B" w:rsidP="008812C5">
            <w:pPr>
              <w:pStyle w:val="BStablefigures"/>
              <w:jc w:val="right"/>
            </w:pPr>
            <w:r w:rsidRPr="00073CA1">
              <w:t>2,500</w:t>
            </w:r>
          </w:p>
        </w:tc>
        <w:tc>
          <w:tcPr>
            <w:tcW w:w="1106" w:type="dxa"/>
            <w:noWrap/>
          </w:tcPr>
          <w:p w14:paraId="5E433EF6" w14:textId="77777777" w:rsidR="00A60D4B" w:rsidRPr="00073CA1" w:rsidRDefault="00A60D4B" w:rsidP="008812C5">
            <w:pPr>
              <w:pStyle w:val="BStablefigures"/>
              <w:jc w:val="right"/>
            </w:pPr>
            <w:r w:rsidRPr="00073CA1">
              <w:t>2,500</w:t>
            </w:r>
          </w:p>
        </w:tc>
      </w:tr>
      <w:tr w:rsidR="00A60D4B" w:rsidRPr="00073CA1" w14:paraId="416C943B" w14:textId="77777777" w:rsidTr="00A60D4B">
        <w:trPr>
          <w:trHeight w:val="285"/>
        </w:trPr>
        <w:tc>
          <w:tcPr>
            <w:tcW w:w="2151" w:type="dxa"/>
            <w:noWrap/>
            <w:hideMark/>
          </w:tcPr>
          <w:p w14:paraId="4A388563" w14:textId="77777777" w:rsidR="00A60D4B" w:rsidRPr="00073CA1" w:rsidRDefault="00A60D4B" w:rsidP="006F1DF8">
            <w:pPr>
              <w:pStyle w:val="BStabletext"/>
            </w:pPr>
            <w:bookmarkStart w:id="66" w:name="_Hlk81555976"/>
            <w:r w:rsidRPr="00073CA1">
              <w:t>Motor Vehicle Registrations</w:t>
            </w:r>
            <w:r w:rsidRPr="00073CA1">
              <w:rPr>
                <w:vertAlign w:val="superscript"/>
              </w:rPr>
              <w:t>1</w:t>
            </w:r>
            <w:r w:rsidRPr="00073CA1">
              <w:t xml:space="preserve"> </w:t>
            </w:r>
          </w:p>
        </w:tc>
        <w:tc>
          <w:tcPr>
            <w:tcW w:w="2811" w:type="dxa"/>
          </w:tcPr>
          <w:p w14:paraId="7561FFE7" w14:textId="77777777" w:rsidR="00A60D4B" w:rsidRPr="00073CA1" w:rsidRDefault="00A60D4B" w:rsidP="006F1DF8">
            <w:pPr>
              <w:pStyle w:val="BStabletext"/>
            </w:pPr>
            <w:r w:rsidRPr="00073CA1">
              <w:t>Discounts on motor vehicle registration.</w:t>
            </w:r>
          </w:p>
        </w:tc>
        <w:tc>
          <w:tcPr>
            <w:tcW w:w="1828" w:type="dxa"/>
          </w:tcPr>
          <w:p w14:paraId="4BA3320F" w14:textId="77777777" w:rsidR="00A60D4B" w:rsidRPr="00073CA1" w:rsidRDefault="00A60D4B" w:rsidP="006F1DF8">
            <w:pPr>
              <w:pStyle w:val="BStabletext"/>
            </w:pPr>
            <w:r w:rsidRPr="00073CA1">
              <w:t xml:space="preserve">66,600 registrations </w:t>
            </w:r>
          </w:p>
        </w:tc>
        <w:tc>
          <w:tcPr>
            <w:tcW w:w="1105" w:type="dxa"/>
          </w:tcPr>
          <w:p w14:paraId="4EC44E14" w14:textId="77777777" w:rsidR="00A60D4B" w:rsidRPr="00073CA1" w:rsidRDefault="00A60D4B" w:rsidP="008812C5">
            <w:pPr>
              <w:pStyle w:val="BStablefigures"/>
              <w:jc w:val="right"/>
            </w:pPr>
            <w:r w:rsidRPr="00073CA1">
              <w:t>12,400</w:t>
            </w:r>
          </w:p>
        </w:tc>
        <w:tc>
          <w:tcPr>
            <w:tcW w:w="1106" w:type="dxa"/>
            <w:noWrap/>
          </w:tcPr>
          <w:p w14:paraId="5BF42CEE" w14:textId="77777777" w:rsidR="00A60D4B" w:rsidRPr="00073CA1" w:rsidRDefault="00A60D4B" w:rsidP="008812C5">
            <w:pPr>
              <w:pStyle w:val="BStablefigures"/>
              <w:jc w:val="right"/>
              <w:rPr>
                <w:highlight w:val="yellow"/>
              </w:rPr>
            </w:pPr>
            <w:r w:rsidRPr="00073CA1">
              <w:t>12,400</w:t>
            </w:r>
          </w:p>
        </w:tc>
      </w:tr>
      <w:tr w:rsidR="00A60D4B" w:rsidRPr="00073CA1" w14:paraId="22871921" w14:textId="77777777" w:rsidTr="00A60D4B">
        <w:trPr>
          <w:trHeight w:val="285"/>
        </w:trPr>
        <w:tc>
          <w:tcPr>
            <w:tcW w:w="2151" w:type="dxa"/>
            <w:noWrap/>
          </w:tcPr>
          <w:p w14:paraId="7D7F793E" w14:textId="77777777" w:rsidR="00A60D4B" w:rsidRPr="00073CA1" w:rsidRDefault="00A60D4B" w:rsidP="006F1DF8">
            <w:pPr>
              <w:pStyle w:val="BStabletext"/>
            </w:pPr>
            <w:r w:rsidRPr="00073CA1">
              <w:t>Driver Licence concessions</w:t>
            </w:r>
          </w:p>
        </w:tc>
        <w:tc>
          <w:tcPr>
            <w:tcW w:w="2811" w:type="dxa"/>
          </w:tcPr>
          <w:p w14:paraId="1E5B2940" w14:textId="77777777" w:rsidR="00A60D4B" w:rsidRPr="00073CA1" w:rsidRDefault="00A60D4B" w:rsidP="006F1DF8">
            <w:pPr>
              <w:pStyle w:val="BStabletext"/>
            </w:pPr>
            <w:r w:rsidRPr="00073CA1">
              <w:t>Up to a 100 per cent fee discount on driver licences.</w:t>
            </w:r>
          </w:p>
        </w:tc>
        <w:tc>
          <w:tcPr>
            <w:tcW w:w="1828" w:type="dxa"/>
          </w:tcPr>
          <w:p w14:paraId="2A4A3B1E" w14:textId="77777777" w:rsidR="00A60D4B" w:rsidRPr="00073CA1" w:rsidRDefault="00A60D4B" w:rsidP="006F1DF8">
            <w:pPr>
              <w:pStyle w:val="BStabletext"/>
            </w:pPr>
            <w:r w:rsidRPr="00073CA1">
              <w:t xml:space="preserve">8,400 licences </w:t>
            </w:r>
          </w:p>
        </w:tc>
        <w:tc>
          <w:tcPr>
            <w:tcW w:w="1105" w:type="dxa"/>
          </w:tcPr>
          <w:p w14:paraId="7CCAB095" w14:textId="77777777" w:rsidR="00A60D4B" w:rsidRPr="00073CA1" w:rsidRDefault="00A60D4B" w:rsidP="008812C5">
            <w:pPr>
              <w:pStyle w:val="BStablefigures"/>
              <w:jc w:val="right"/>
            </w:pPr>
            <w:r w:rsidRPr="00073CA1">
              <w:t>1,900</w:t>
            </w:r>
          </w:p>
        </w:tc>
        <w:tc>
          <w:tcPr>
            <w:tcW w:w="1106" w:type="dxa"/>
            <w:noWrap/>
          </w:tcPr>
          <w:p w14:paraId="06E5374C" w14:textId="77777777" w:rsidR="00A60D4B" w:rsidRPr="00073CA1" w:rsidRDefault="00A60D4B" w:rsidP="008812C5">
            <w:pPr>
              <w:pStyle w:val="BStablefigures"/>
              <w:jc w:val="right"/>
              <w:rPr>
                <w:highlight w:val="yellow"/>
              </w:rPr>
            </w:pPr>
            <w:r w:rsidRPr="00073CA1">
              <w:t>1,900</w:t>
            </w:r>
          </w:p>
        </w:tc>
      </w:tr>
      <w:bookmarkEnd w:id="66"/>
      <w:tr w:rsidR="00A60D4B" w:rsidRPr="00073CA1" w14:paraId="68C23AE9" w14:textId="77777777" w:rsidTr="00A60D4B">
        <w:trPr>
          <w:trHeight w:val="285"/>
        </w:trPr>
        <w:tc>
          <w:tcPr>
            <w:tcW w:w="2151" w:type="dxa"/>
            <w:noWrap/>
            <w:hideMark/>
          </w:tcPr>
          <w:p w14:paraId="33DBDB82" w14:textId="77777777" w:rsidR="00A60D4B" w:rsidRPr="00073CA1" w:rsidRDefault="00A60D4B" w:rsidP="006F1DF8">
            <w:pPr>
              <w:pStyle w:val="BStabletext"/>
            </w:pPr>
            <w:r w:rsidRPr="00073CA1">
              <w:t>Public Transport concessions</w:t>
            </w:r>
          </w:p>
        </w:tc>
        <w:tc>
          <w:tcPr>
            <w:tcW w:w="2811" w:type="dxa"/>
          </w:tcPr>
          <w:p w14:paraId="1480DFDF" w14:textId="77777777" w:rsidR="00A60D4B" w:rsidRPr="00073CA1" w:rsidRDefault="00A60D4B" w:rsidP="006F1DF8">
            <w:pPr>
              <w:pStyle w:val="BStabletext"/>
            </w:pPr>
            <w:r w:rsidRPr="00073CA1">
              <w:t xml:space="preserve">Reduced or free fares on Transport Canberra bus and light rail services. </w:t>
            </w:r>
          </w:p>
        </w:tc>
        <w:tc>
          <w:tcPr>
            <w:tcW w:w="1828" w:type="dxa"/>
          </w:tcPr>
          <w:p w14:paraId="2F193917" w14:textId="77777777" w:rsidR="00A60D4B" w:rsidRPr="00073CA1" w:rsidRDefault="00A60D4B" w:rsidP="006F1DF8">
            <w:pPr>
              <w:pStyle w:val="BStabletext"/>
            </w:pPr>
            <w:r w:rsidRPr="00073CA1">
              <w:t xml:space="preserve">3.2 million trips </w:t>
            </w:r>
          </w:p>
        </w:tc>
        <w:tc>
          <w:tcPr>
            <w:tcW w:w="1105" w:type="dxa"/>
          </w:tcPr>
          <w:p w14:paraId="75B00157" w14:textId="77777777" w:rsidR="00A60D4B" w:rsidRPr="00073CA1" w:rsidRDefault="00A60D4B" w:rsidP="008812C5">
            <w:pPr>
              <w:pStyle w:val="BStablefigures"/>
              <w:jc w:val="right"/>
            </w:pPr>
            <w:r w:rsidRPr="00073CA1">
              <w:t>5,400</w:t>
            </w:r>
          </w:p>
        </w:tc>
        <w:tc>
          <w:tcPr>
            <w:tcW w:w="1106" w:type="dxa"/>
            <w:noWrap/>
          </w:tcPr>
          <w:p w14:paraId="7C306C93" w14:textId="77777777" w:rsidR="00A60D4B" w:rsidRPr="00073CA1" w:rsidRDefault="00A60D4B" w:rsidP="008812C5">
            <w:pPr>
              <w:pStyle w:val="BStablefigures"/>
              <w:jc w:val="right"/>
              <w:rPr>
                <w:highlight w:val="yellow"/>
              </w:rPr>
            </w:pPr>
            <w:r w:rsidRPr="00073CA1">
              <w:t>5,400</w:t>
            </w:r>
          </w:p>
        </w:tc>
      </w:tr>
      <w:tr w:rsidR="00A60D4B" w:rsidRPr="00073CA1" w14:paraId="6E4ADC12" w14:textId="77777777" w:rsidTr="00A60D4B">
        <w:trPr>
          <w:trHeight w:val="285"/>
        </w:trPr>
        <w:tc>
          <w:tcPr>
            <w:tcW w:w="2151" w:type="dxa"/>
            <w:noWrap/>
          </w:tcPr>
          <w:p w14:paraId="7E5AF20E" w14:textId="77777777" w:rsidR="00A60D4B" w:rsidRPr="00F316E2" w:rsidRDefault="00A60D4B" w:rsidP="006F1DF8">
            <w:pPr>
              <w:pStyle w:val="BStabletext"/>
            </w:pPr>
            <w:r w:rsidRPr="00F316E2">
              <w:t>Temporary support</w:t>
            </w:r>
          </w:p>
        </w:tc>
        <w:tc>
          <w:tcPr>
            <w:tcW w:w="2811" w:type="dxa"/>
          </w:tcPr>
          <w:p w14:paraId="0204F522" w14:textId="77777777" w:rsidR="00A60D4B" w:rsidRPr="00F316E2" w:rsidRDefault="00A60D4B" w:rsidP="006F1DF8">
            <w:pPr>
              <w:pStyle w:val="BStabletext"/>
            </w:pPr>
          </w:p>
        </w:tc>
        <w:tc>
          <w:tcPr>
            <w:tcW w:w="1828" w:type="dxa"/>
          </w:tcPr>
          <w:p w14:paraId="133CB826" w14:textId="77777777" w:rsidR="00A60D4B" w:rsidRPr="00F316E2" w:rsidRDefault="00A60D4B" w:rsidP="006F1DF8">
            <w:pPr>
              <w:pStyle w:val="BStabletext"/>
            </w:pPr>
          </w:p>
        </w:tc>
        <w:tc>
          <w:tcPr>
            <w:tcW w:w="1105" w:type="dxa"/>
          </w:tcPr>
          <w:p w14:paraId="1B715663" w14:textId="77777777" w:rsidR="00A60D4B" w:rsidRPr="00F316E2" w:rsidRDefault="00A60D4B" w:rsidP="008812C5">
            <w:pPr>
              <w:pStyle w:val="BStablefigures"/>
              <w:jc w:val="right"/>
            </w:pPr>
          </w:p>
        </w:tc>
        <w:tc>
          <w:tcPr>
            <w:tcW w:w="1106" w:type="dxa"/>
            <w:noWrap/>
          </w:tcPr>
          <w:p w14:paraId="660BD081" w14:textId="77777777" w:rsidR="00A60D4B" w:rsidRPr="00F316E2" w:rsidRDefault="00A60D4B" w:rsidP="008812C5">
            <w:pPr>
              <w:pStyle w:val="BStablefigures"/>
              <w:jc w:val="right"/>
            </w:pPr>
          </w:p>
        </w:tc>
      </w:tr>
      <w:tr w:rsidR="00A60D4B" w:rsidRPr="00073CA1" w14:paraId="349DD31C" w14:textId="77777777" w:rsidTr="00A60D4B">
        <w:trPr>
          <w:trHeight w:val="285"/>
        </w:trPr>
        <w:tc>
          <w:tcPr>
            <w:tcW w:w="2151" w:type="dxa"/>
            <w:noWrap/>
          </w:tcPr>
          <w:p w14:paraId="48E99E5E" w14:textId="77777777" w:rsidR="00A60D4B" w:rsidRPr="00F316E2" w:rsidRDefault="00A60D4B" w:rsidP="006F1DF8">
            <w:pPr>
              <w:pStyle w:val="BStabletext"/>
            </w:pPr>
            <w:r w:rsidRPr="00F316E2">
              <w:t>Residential tenancy relief</w:t>
            </w:r>
          </w:p>
        </w:tc>
        <w:tc>
          <w:tcPr>
            <w:tcW w:w="2811" w:type="dxa"/>
          </w:tcPr>
          <w:p w14:paraId="456D517E" w14:textId="77777777" w:rsidR="00A60D4B" w:rsidRPr="00F316E2" w:rsidRDefault="00A60D4B" w:rsidP="006F1DF8">
            <w:pPr>
              <w:pStyle w:val="BStabletext"/>
            </w:pPr>
            <w:r w:rsidRPr="00F316E2">
              <w:t>Land tax credit of up to $100 per week for landlords who reduce rents for tenants.</w:t>
            </w:r>
          </w:p>
        </w:tc>
        <w:tc>
          <w:tcPr>
            <w:tcW w:w="1828" w:type="dxa"/>
          </w:tcPr>
          <w:p w14:paraId="0DDC2458" w14:textId="77777777" w:rsidR="00A60D4B" w:rsidRPr="00F316E2" w:rsidRDefault="00A60D4B" w:rsidP="006F1DF8">
            <w:pPr>
              <w:pStyle w:val="BStabletext"/>
            </w:pPr>
            <w:r w:rsidRPr="00F316E2">
              <w:t>1,000 households</w:t>
            </w:r>
          </w:p>
        </w:tc>
        <w:tc>
          <w:tcPr>
            <w:tcW w:w="1105" w:type="dxa"/>
          </w:tcPr>
          <w:p w14:paraId="516B0814" w14:textId="77777777" w:rsidR="00A60D4B" w:rsidRPr="00F316E2" w:rsidRDefault="00A60D4B" w:rsidP="008812C5">
            <w:pPr>
              <w:pStyle w:val="BStablefigures"/>
              <w:jc w:val="right"/>
            </w:pPr>
            <w:r w:rsidRPr="00F316E2">
              <w:t>0</w:t>
            </w:r>
          </w:p>
        </w:tc>
        <w:tc>
          <w:tcPr>
            <w:tcW w:w="1106" w:type="dxa"/>
            <w:noWrap/>
          </w:tcPr>
          <w:p w14:paraId="1221C561" w14:textId="77777777" w:rsidR="00A60D4B" w:rsidRPr="00F316E2" w:rsidRDefault="00A60D4B" w:rsidP="008812C5">
            <w:pPr>
              <w:pStyle w:val="BStablefigures"/>
              <w:jc w:val="right"/>
            </w:pPr>
            <w:r w:rsidRPr="00F316E2">
              <w:t>2,200</w:t>
            </w:r>
          </w:p>
        </w:tc>
      </w:tr>
      <w:tr w:rsidR="00A60D4B" w:rsidRPr="00073CA1" w14:paraId="5849DA3D" w14:textId="77777777" w:rsidTr="00A60D4B">
        <w:trPr>
          <w:trHeight w:val="285"/>
        </w:trPr>
        <w:tc>
          <w:tcPr>
            <w:tcW w:w="2151" w:type="dxa"/>
            <w:noWrap/>
          </w:tcPr>
          <w:p w14:paraId="25B8ADD8" w14:textId="77777777" w:rsidR="00A60D4B" w:rsidRPr="00F316E2" w:rsidRDefault="00A60D4B" w:rsidP="006F1DF8">
            <w:pPr>
              <w:pStyle w:val="BStabletext"/>
            </w:pPr>
            <w:r w:rsidRPr="00F316E2">
              <w:t>Utilities concession</w:t>
            </w:r>
          </w:p>
        </w:tc>
        <w:tc>
          <w:tcPr>
            <w:tcW w:w="2811" w:type="dxa"/>
          </w:tcPr>
          <w:p w14:paraId="38F1F4B0" w14:textId="77777777" w:rsidR="00A60D4B" w:rsidRPr="00F316E2" w:rsidRDefault="00A60D4B" w:rsidP="006F1DF8">
            <w:pPr>
              <w:pStyle w:val="BStabletext"/>
            </w:pPr>
            <w:r w:rsidRPr="00F316E2">
              <w:t>Additional $250 rebate for households receiving the Utilities Concession.</w:t>
            </w:r>
          </w:p>
        </w:tc>
        <w:tc>
          <w:tcPr>
            <w:tcW w:w="1828" w:type="dxa"/>
          </w:tcPr>
          <w:p w14:paraId="3544C6C6" w14:textId="77777777" w:rsidR="00A60D4B" w:rsidRPr="00F316E2" w:rsidRDefault="00A60D4B" w:rsidP="006F1DF8">
            <w:pPr>
              <w:pStyle w:val="BStabletext"/>
            </w:pPr>
            <w:r w:rsidRPr="00F316E2">
              <w:t>31,000 households</w:t>
            </w:r>
          </w:p>
        </w:tc>
        <w:tc>
          <w:tcPr>
            <w:tcW w:w="1105" w:type="dxa"/>
          </w:tcPr>
          <w:p w14:paraId="2A8A74AB" w14:textId="77777777" w:rsidR="00A60D4B" w:rsidRPr="00F316E2" w:rsidRDefault="00A60D4B" w:rsidP="008812C5">
            <w:pPr>
              <w:pStyle w:val="BStablefigures"/>
              <w:jc w:val="right"/>
            </w:pPr>
            <w:r w:rsidRPr="00F316E2">
              <w:t>0</w:t>
            </w:r>
          </w:p>
        </w:tc>
        <w:tc>
          <w:tcPr>
            <w:tcW w:w="1106" w:type="dxa"/>
            <w:noWrap/>
          </w:tcPr>
          <w:p w14:paraId="1CAA9CB0" w14:textId="77777777" w:rsidR="00A60D4B" w:rsidRPr="00F316E2" w:rsidRDefault="00A60D4B" w:rsidP="008812C5">
            <w:pPr>
              <w:pStyle w:val="BStablefigures"/>
              <w:jc w:val="right"/>
            </w:pPr>
            <w:r w:rsidRPr="00F316E2">
              <w:t>7,750</w:t>
            </w:r>
          </w:p>
        </w:tc>
      </w:tr>
      <w:tr w:rsidR="00A60D4B" w:rsidRPr="00073CA1" w14:paraId="3FA390E5" w14:textId="77777777" w:rsidTr="00A60D4B">
        <w:trPr>
          <w:trHeight w:val="285"/>
        </w:trPr>
        <w:tc>
          <w:tcPr>
            <w:tcW w:w="2151" w:type="dxa"/>
            <w:noWrap/>
          </w:tcPr>
          <w:p w14:paraId="244628E2" w14:textId="77777777" w:rsidR="00A60D4B" w:rsidRPr="002306EF" w:rsidRDefault="00A60D4B" w:rsidP="006F1DF8">
            <w:pPr>
              <w:pStyle w:val="BStabletext"/>
            </w:pPr>
            <w:r w:rsidRPr="002306EF">
              <w:t>Total</w:t>
            </w:r>
          </w:p>
        </w:tc>
        <w:tc>
          <w:tcPr>
            <w:tcW w:w="2811" w:type="dxa"/>
          </w:tcPr>
          <w:p w14:paraId="329B2DF5" w14:textId="77777777" w:rsidR="00A60D4B" w:rsidRPr="002306EF" w:rsidRDefault="00A60D4B" w:rsidP="006F1DF8">
            <w:pPr>
              <w:pStyle w:val="BStabletext"/>
            </w:pPr>
          </w:p>
        </w:tc>
        <w:tc>
          <w:tcPr>
            <w:tcW w:w="1828" w:type="dxa"/>
          </w:tcPr>
          <w:p w14:paraId="063EF144" w14:textId="77777777" w:rsidR="00A60D4B" w:rsidRPr="002306EF" w:rsidRDefault="00A60D4B" w:rsidP="006F1DF8">
            <w:pPr>
              <w:pStyle w:val="BStabletext"/>
            </w:pPr>
          </w:p>
        </w:tc>
        <w:tc>
          <w:tcPr>
            <w:tcW w:w="1105" w:type="dxa"/>
          </w:tcPr>
          <w:p w14:paraId="37BA6857" w14:textId="77777777" w:rsidR="00A60D4B" w:rsidRPr="002306EF" w:rsidRDefault="00A60D4B" w:rsidP="008812C5">
            <w:pPr>
              <w:pStyle w:val="BStablefigures"/>
              <w:jc w:val="right"/>
            </w:pPr>
            <w:r w:rsidRPr="002306EF">
              <w:t>122,100</w:t>
            </w:r>
          </w:p>
        </w:tc>
        <w:tc>
          <w:tcPr>
            <w:tcW w:w="1106" w:type="dxa"/>
            <w:noWrap/>
          </w:tcPr>
          <w:p w14:paraId="054192A6" w14:textId="77777777" w:rsidR="00A60D4B" w:rsidRPr="002306EF" w:rsidRDefault="00A60D4B" w:rsidP="008812C5">
            <w:pPr>
              <w:pStyle w:val="BStablefigures"/>
              <w:jc w:val="right"/>
            </w:pPr>
            <w:r w:rsidRPr="002306EF">
              <w:t>125,450</w:t>
            </w:r>
          </w:p>
        </w:tc>
      </w:tr>
    </w:tbl>
    <w:p w14:paraId="00FA6994" w14:textId="0BB6A525" w:rsidR="00A60D4B" w:rsidRPr="007A7FF2" w:rsidRDefault="00A60D4B" w:rsidP="00A60D4B">
      <w:pPr>
        <w:spacing w:before="120" w:after="0"/>
        <w:rPr>
          <w:b/>
          <w:bCs/>
          <w:sz w:val="18"/>
          <w:szCs w:val="18"/>
        </w:rPr>
      </w:pPr>
      <w:r w:rsidRPr="007A7FF2">
        <w:rPr>
          <w:b/>
          <w:bCs/>
          <w:sz w:val="18"/>
          <w:szCs w:val="18"/>
        </w:rPr>
        <w:t>Note:</w:t>
      </w:r>
    </w:p>
    <w:p w14:paraId="21B0F1B7" w14:textId="77777777" w:rsidR="00A60D4B" w:rsidRPr="007A7FF2" w:rsidRDefault="00A60D4B" w:rsidP="00B86042">
      <w:pPr>
        <w:pStyle w:val="BNotelist"/>
        <w:numPr>
          <w:ilvl w:val="0"/>
          <w:numId w:val="78"/>
        </w:numPr>
      </w:pPr>
      <w:r w:rsidRPr="007A7FF2">
        <w:t>Take-up and cost of motor vehicle registration concessions and driver licence concessions are different from the 2020-21 Cost of Living Statement due to a change in how the data for the concessions is gathered.</w:t>
      </w:r>
    </w:p>
    <w:p w14:paraId="1C35ADA2" w14:textId="77777777" w:rsidR="00A60D4B" w:rsidRDefault="00A60D4B">
      <w:pPr>
        <w:rPr>
          <w:color w:val="FF0000"/>
        </w:rPr>
        <w:sectPr w:rsidR="00A60D4B" w:rsidSect="00542DA2">
          <w:footerReference w:type="default" r:id="rId135"/>
          <w:footnotePr>
            <w:numRestart w:val="eachPage"/>
          </w:footnotePr>
          <w:pgSz w:w="11906" w:h="16838" w:code="9"/>
          <w:pgMar w:top="1151" w:right="1440" w:bottom="1729" w:left="1440" w:header="720" w:footer="720" w:gutter="0"/>
          <w:cols w:space="708"/>
          <w:docGrid w:linePitch="360"/>
        </w:sectPr>
      </w:pPr>
    </w:p>
    <w:p w14:paraId="5252EF03" w14:textId="77777777" w:rsidR="00A60D4B" w:rsidRDefault="00A60D4B" w:rsidP="00A60D4B">
      <w:pPr>
        <w:pStyle w:val="Heading3"/>
      </w:pPr>
      <w:r>
        <w:rPr>
          <w:noProof/>
        </w:rPr>
        <w:lastRenderedPageBreak/>
        <mc:AlternateContent>
          <mc:Choice Requires="wps">
            <w:drawing>
              <wp:anchor distT="0" distB="0" distL="114300" distR="114300" simplePos="0" relativeHeight="251956224" behindDoc="0" locked="0" layoutInCell="1" allowOverlap="1" wp14:anchorId="4144369E" wp14:editId="70F027DB">
                <wp:simplePos x="0" y="0"/>
                <wp:positionH relativeFrom="column">
                  <wp:posOffset>-393064</wp:posOffset>
                </wp:positionH>
                <wp:positionV relativeFrom="paragraph">
                  <wp:posOffset>114300</wp:posOffset>
                </wp:positionV>
                <wp:extent cx="0" cy="5810250"/>
                <wp:effectExtent l="0" t="0" r="38100" b="19050"/>
                <wp:wrapNone/>
                <wp:docPr id="288" name="Straight Connector 288"/>
                <wp:cNvGraphicFramePr/>
                <a:graphic xmlns:a="http://schemas.openxmlformats.org/drawingml/2006/main">
                  <a:graphicData uri="http://schemas.microsoft.com/office/word/2010/wordprocessingShape">
                    <wps:wsp>
                      <wps:cNvCnPr/>
                      <wps:spPr>
                        <a:xfrm>
                          <a:off x="0" y="0"/>
                          <a:ext cx="0" cy="5810250"/>
                        </a:xfrm>
                        <a:prstGeom prst="line">
                          <a:avLst/>
                        </a:prstGeom>
                        <a:ln>
                          <a:solidFill>
                            <a:schemeClr val="bg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4F5A43" id="Straight Connector 288" o:spid="_x0000_s1026" style="position:absolute;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5pt,9pt" to="-30.95pt,4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" strokecolor="white [3212]" strokeweight=".5pt">
                <v:stroke joinstyle="miter"/>
              </v:line>
            </w:pict>
          </mc:Fallback>
        </mc:AlternateContent>
      </w:r>
      <w:r>
        <w:t>ACT household scenarios</w:t>
      </w:r>
    </w:p>
    <w:p w14:paraId="52A82F67" w14:textId="77777777" w:rsidR="00A60D4B" w:rsidRDefault="00A60D4B" w:rsidP="00A60D4B">
      <w:pPr>
        <w:pStyle w:val="Bbodytext"/>
      </w:pPr>
      <w:r w:rsidRPr="0059597B">
        <w:t xml:space="preserve">Under Section 11(1)(f) of the </w:t>
      </w:r>
      <w:r w:rsidRPr="00F933B1">
        <w:rPr>
          <w:i/>
          <w:iCs/>
        </w:rPr>
        <w:t>Financial Management Act 1996</w:t>
      </w:r>
      <w:r w:rsidRPr="0059597B">
        <w:t>, the annual Budget must provide a statement on the effect of ACT taxes and fees on households and the concessions that offset the</w:t>
      </w:r>
      <w:r>
        <w:t>m</w:t>
      </w:r>
      <w:r w:rsidRPr="0059597B">
        <w:t xml:space="preserve">. Examples of how ACT Government taxes and fees, utilities, and the offsetting concessions impact ACT households are in </w:t>
      </w:r>
      <w:r w:rsidRPr="005F3FB2">
        <w:t>Table 3.3.2</w:t>
      </w:r>
      <w:r>
        <w:t xml:space="preserve"> below.</w:t>
      </w:r>
      <w:r w:rsidRPr="0059597B">
        <w:t xml:space="preserve"> The Government is mindful that it is not possible to capture</w:t>
      </w:r>
      <w:r w:rsidRPr="003335B7">
        <w:t xml:space="preserve"> </w:t>
      </w:r>
      <w:r w:rsidRPr="0059597B">
        <w:t xml:space="preserve">the impact of taxes, fees, and utility charges </w:t>
      </w:r>
      <w:r>
        <w:t xml:space="preserve">on every type </w:t>
      </w:r>
      <w:r w:rsidRPr="0059597B">
        <w:t>of household,</w:t>
      </w:r>
      <w:r>
        <w:t xml:space="preserve"> as</w:t>
      </w:r>
      <w:r w:rsidRPr="0059597B">
        <w:t xml:space="preserve"> financial circumstances or specific usage patterns of government services</w:t>
      </w:r>
      <w:r>
        <w:t xml:space="preserve"> will vary</w:t>
      </w:r>
      <w:r w:rsidRPr="0059597B">
        <w:t xml:space="preserve">. </w:t>
      </w:r>
      <w:r>
        <w:t xml:space="preserve">Therefore, eight </w:t>
      </w:r>
      <w:r w:rsidRPr="0059597B">
        <w:t>scenarios are presented as a basis for highlighting the different impacts for various household types and circumstances.</w:t>
      </w:r>
    </w:p>
    <w:p w14:paraId="192F5464" w14:textId="77777777" w:rsidR="00A60D4B" w:rsidRDefault="00A60D4B" w:rsidP="00A60D4B">
      <w:pPr>
        <w:pStyle w:val="Caption"/>
      </w:pPr>
      <w:r>
        <w:t>Table 3.3.2: Estimated impact of territory taxes and fees, and utility charges in 2021-22</w:t>
      </w:r>
    </w:p>
    <w:tbl>
      <w:tblPr>
        <w:tblStyle w:val="TableGridLight"/>
        <w:tblW w:w="13971" w:type="dxa"/>
        <w:tblLayout w:type="fixed"/>
        <w:tblLook w:val="04A0" w:firstRow="1" w:lastRow="0" w:firstColumn="1" w:lastColumn="0" w:noHBand="0" w:noVBand="1"/>
      </w:tblPr>
      <w:tblGrid>
        <w:gridCol w:w="410"/>
        <w:gridCol w:w="2186"/>
        <w:gridCol w:w="946"/>
        <w:gridCol w:w="848"/>
        <w:gridCol w:w="1077"/>
        <w:gridCol w:w="1077"/>
        <w:gridCol w:w="1077"/>
        <w:gridCol w:w="850"/>
        <w:gridCol w:w="964"/>
        <w:gridCol w:w="28"/>
        <w:gridCol w:w="681"/>
        <w:gridCol w:w="28"/>
        <w:gridCol w:w="964"/>
        <w:gridCol w:w="28"/>
        <w:gridCol w:w="823"/>
        <w:gridCol w:w="28"/>
        <w:gridCol w:w="964"/>
        <w:gridCol w:w="28"/>
        <w:gridCol w:w="936"/>
        <w:gridCol w:w="28"/>
      </w:tblGrid>
      <w:tr w:rsidR="00A60D4B" w:rsidRPr="007064D8" w14:paraId="0941220B" w14:textId="77777777" w:rsidTr="00A60D4B">
        <w:trPr>
          <w:trHeight w:val="567"/>
        </w:trPr>
        <w:tc>
          <w:tcPr>
            <w:tcW w:w="410" w:type="dxa"/>
            <w:shd w:val="clear" w:color="auto" w:fill="472D8C"/>
            <w:noWrap/>
            <w:hideMark/>
          </w:tcPr>
          <w:p w14:paraId="47C54F3A" w14:textId="77777777" w:rsidR="00A60D4B" w:rsidRPr="00513258" w:rsidRDefault="00A60D4B" w:rsidP="00A60D4B">
            <w:pPr>
              <w:rPr>
                <w:b/>
                <w:bCs/>
                <w:color w:val="FFFFFF" w:themeColor="background1"/>
                <w:sz w:val="16"/>
                <w:szCs w:val="16"/>
              </w:rPr>
            </w:pPr>
            <w:bookmarkStart w:id="67" w:name="_Hlk83120629"/>
            <w:r w:rsidRPr="00513258">
              <w:rPr>
                <w:b/>
                <w:bCs/>
                <w:color w:val="FFFFFF" w:themeColor="background1"/>
                <w:sz w:val="16"/>
                <w:szCs w:val="16"/>
              </w:rPr>
              <w:t> </w:t>
            </w:r>
          </w:p>
        </w:tc>
        <w:tc>
          <w:tcPr>
            <w:tcW w:w="2186" w:type="dxa"/>
            <w:shd w:val="clear" w:color="auto" w:fill="472D8C"/>
            <w:noWrap/>
            <w:hideMark/>
          </w:tcPr>
          <w:p w14:paraId="777D482C" w14:textId="77777777" w:rsidR="00A60D4B" w:rsidRPr="00513258" w:rsidRDefault="00A60D4B" w:rsidP="00A60D4B">
            <w:pPr>
              <w:rPr>
                <w:b/>
                <w:bCs/>
                <w:color w:val="FFFFFF" w:themeColor="background1"/>
                <w:sz w:val="16"/>
                <w:szCs w:val="16"/>
              </w:rPr>
            </w:pPr>
            <w:r w:rsidRPr="00513258">
              <w:rPr>
                <w:b/>
                <w:bCs/>
                <w:color w:val="FFFFFF" w:themeColor="background1"/>
                <w:sz w:val="16"/>
                <w:szCs w:val="16"/>
              </w:rPr>
              <w:t> </w:t>
            </w:r>
          </w:p>
        </w:tc>
        <w:tc>
          <w:tcPr>
            <w:tcW w:w="946" w:type="dxa"/>
            <w:shd w:val="clear" w:color="auto" w:fill="472D8C"/>
            <w:hideMark/>
          </w:tcPr>
          <w:p w14:paraId="1C46B39A"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Disposable income</w:t>
            </w:r>
            <w:r w:rsidRPr="00513258">
              <w:rPr>
                <w:b/>
                <w:bCs/>
                <w:color w:val="FFFFFF" w:themeColor="background1"/>
                <w:sz w:val="16"/>
                <w:szCs w:val="16"/>
                <w:vertAlign w:val="superscript"/>
              </w:rPr>
              <w:t>1</w:t>
            </w:r>
          </w:p>
        </w:tc>
        <w:tc>
          <w:tcPr>
            <w:tcW w:w="848" w:type="dxa"/>
            <w:shd w:val="clear" w:color="auto" w:fill="472D8C"/>
            <w:hideMark/>
          </w:tcPr>
          <w:p w14:paraId="5F64D8E9"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Rates, FESL, SFL</w:t>
            </w:r>
          </w:p>
        </w:tc>
        <w:tc>
          <w:tcPr>
            <w:tcW w:w="1077" w:type="dxa"/>
            <w:shd w:val="clear" w:color="auto" w:fill="472D8C"/>
            <w:hideMark/>
          </w:tcPr>
          <w:p w14:paraId="3AE244CD"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Rates and FESL Concessions</w:t>
            </w:r>
          </w:p>
        </w:tc>
        <w:tc>
          <w:tcPr>
            <w:tcW w:w="1077" w:type="dxa"/>
            <w:shd w:val="clear" w:color="auto" w:fill="472D8C"/>
            <w:hideMark/>
          </w:tcPr>
          <w:p w14:paraId="1576445E"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Conveyance Duty</w:t>
            </w:r>
            <w:r w:rsidRPr="00513258">
              <w:rPr>
                <w:b/>
                <w:bCs/>
                <w:color w:val="FFFFFF" w:themeColor="background1"/>
                <w:sz w:val="16"/>
                <w:szCs w:val="16"/>
                <w:vertAlign w:val="superscript"/>
              </w:rPr>
              <w:t>2</w:t>
            </w:r>
          </w:p>
        </w:tc>
        <w:tc>
          <w:tcPr>
            <w:tcW w:w="1077" w:type="dxa"/>
            <w:shd w:val="clear" w:color="auto" w:fill="472D8C"/>
            <w:hideMark/>
          </w:tcPr>
          <w:p w14:paraId="75298018"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Conveyance Duty Concession</w:t>
            </w:r>
          </w:p>
        </w:tc>
        <w:tc>
          <w:tcPr>
            <w:tcW w:w="850" w:type="dxa"/>
            <w:shd w:val="clear" w:color="auto" w:fill="472D8C"/>
            <w:hideMark/>
          </w:tcPr>
          <w:p w14:paraId="54241087"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Vehicle Charges</w:t>
            </w:r>
            <w:r w:rsidRPr="00513258">
              <w:rPr>
                <w:b/>
                <w:bCs/>
                <w:color w:val="FFFFFF" w:themeColor="background1"/>
                <w:sz w:val="16"/>
                <w:szCs w:val="16"/>
                <w:vertAlign w:val="superscript"/>
              </w:rPr>
              <w:t>3</w:t>
            </w:r>
          </w:p>
        </w:tc>
        <w:tc>
          <w:tcPr>
            <w:tcW w:w="992" w:type="dxa"/>
            <w:gridSpan w:val="2"/>
            <w:shd w:val="clear" w:color="auto" w:fill="472D8C"/>
            <w:hideMark/>
          </w:tcPr>
          <w:p w14:paraId="069AF5F8"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Vehicle Concession</w:t>
            </w:r>
          </w:p>
        </w:tc>
        <w:tc>
          <w:tcPr>
            <w:tcW w:w="709" w:type="dxa"/>
            <w:gridSpan w:val="2"/>
            <w:shd w:val="clear" w:color="auto" w:fill="472D8C"/>
            <w:hideMark/>
          </w:tcPr>
          <w:p w14:paraId="01DAE64B"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Action Bus Fares</w:t>
            </w:r>
          </w:p>
        </w:tc>
        <w:tc>
          <w:tcPr>
            <w:tcW w:w="992" w:type="dxa"/>
            <w:gridSpan w:val="2"/>
            <w:shd w:val="clear" w:color="auto" w:fill="472D8C"/>
            <w:hideMark/>
          </w:tcPr>
          <w:p w14:paraId="45C16B64"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Action Bus Concession</w:t>
            </w:r>
          </w:p>
        </w:tc>
        <w:tc>
          <w:tcPr>
            <w:tcW w:w="851" w:type="dxa"/>
            <w:gridSpan w:val="2"/>
            <w:shd w:val="clear" w:color="auto" w:fill="472D8C"/>
            <w:hideMark/>
          </w:tcPr>
          <w:p w14:paraId="2841B240"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Utilities</w:t>
            </w:r>
          </w:p>
        </w:tc>
        <w:tc>
          <w:tcPr>
            <w:tcW w:w="992" w:type="dxa"/>
            <w:gridSpan w:val="2"/>
            <w:shd w:val="clear" w:color="auto" w:fill="472D8C"/>
            <w:hideMark/>
          </w:tcPr>
          <w:p w14:paraId="7B600056"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Utilities concession</w:t>
            </w:r>
          </w:p>
        </w:tc>
        <w:tc>
          <w:tcPr>
            <w:tcW w:w="964" w:type="dxa"/>
            <w:gridSpan w:val="2"/>
            <w:shd w:val="clear" w:color="auto" w:fill="472D8C"/>
            <w:hideMark/>
          </w:tcPr>
          <w:p w14:paraId="2CF9E133"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Net Disposable Income</w:t>
            </w:r>
          </w:p>
        </w:tc>
      </w:tr>
      <w:bookmarkEnd w:id="67"/>
      <w:tr w:rsidR="00A60D4B" w:rsidRPr="007064D8" w14:paraId="56B07B31" w14:textId="77777777" w:rsidTr="00A60D4B">
        <w:trPr>
          <w:trHeight w:val="288"/>
        </w:trPr>
        <w:tc>
          <w:tcPr>
            <w:tcW w:w="410" w:type="dxa"/>
            <w:noWrap/>
            <w:hideMark/>
          </w:tcPr>
          <w:p w14:paraId="22C3C289" w14:textId="77777777" w:rsidR="00A60D4B" w:rsidRPr="007064D8" w:rsidRDefault="00A60D4B" w:rsidP="00A60D4B">
            <w:pPr>
              <w:rPr>
                <w:sz w:val="16"/>
                <w:szCs w:val="16"/>
              </w:rPr>
            </w:pPr>
            <w:r w:rsidRPr="007064D8">
              <w:rPr>
                <w:sz w:val="16"/>
                <w:szCs w:val="16"/>
              </w:rPr>
              <w:t>1</w:t>
            </w:r>
          </w:p>
        </w:tc>
        <w:tc>
          <w:tcPr>
            <w:tcW w:w="2186" w:type="dxa"/>
            <w:hideMark/>
          </w:tcPr>
          <w:p w14:paraId="4B0AC0A2" w14:textId="77777777" w:rsidR="00A60D4B" w:rsidRPr="007064D8" w:rsidRDefault="00A60D4B" w:rsidP="00A60D4B">
            <w:pPr>
              <w:rPr>
                <w:sz w:val="16"/>
                <w:szCs w:val="16"/>
              </w:rPr>
            </w:pPr>
            <w:r w:rsidRPr="007064D8">
              <w:rPr>
                <w:sz w:val="16"/>
                <w:szCs w:val="16"/>
              </w:rPr>
              <w:t>Belconnen - Single, pensioner</w:t>
            </w:r>
            <w:r w:rsidRPr="004258E3">
              <w:rPr>
                <w:sz w:val="16"/>
                <w:szCs w:val="16"/>
                <w:vertAlign w:val="superscript"/>
              </w:rPr>
              <w:t>4</w:t>
            </w:r>
            <w:r w:rsidRPr="007064D8">
              <w:rPr>
                <w:sz w:val="16"/>
                <w:szCs w:val="16"/>
              </w:rPr>
              <w:t>, in own unit, no car</w:t>
            </w:r>
          </w:p>
        </w:tc>
        <w:tc>
          <w:tcPr>
            <w:tcW w:w="946" w:type="dxa"/>
            <w:noWrap/>
            <w:hideMark/>
          </w:tcPr>
          <w:p w14:paraId="768CEFE6" w14:textId="77777777" w:rsidR="00A60D4B" w:rsidRPr="007064D8" w:rsidRDefault="00A60D4B" w:rsidP="00A60D4B">
            <w:pPr>
              <w:jc w:val="right"/>
              <w:rPr>
                <w:sz w:val="16"/>
                <w:szCs w:val="16"/>
              </w:rPr>
            </w:pPr>
            <w:r w:rsidRPr="007064D8">
              <w:rPr>
                <w:sz w:val="16"/>
                <w:szCs w:val="16"/>
              </w:rPr>
              <w:t> </w:t>
            </w:r>
          </w:p>
        </w:tc>
        <w:tc>
          <w:tcPr>
            <w:tcW w:w="848" w:type="dxa"/>
            <w:noWrap/>
            <w:hideMark/>
          </w:tcPr>
          <w:p w14:paraId="17DC3DB9" w14:textId="77777777" w:rsidR="00A60D4B" w:rsidRPr="007064D8" w:rsidRDefault="00A60D4B" w:rsidP="00A60D4B">
            <w:pPr>
              <w:jc w:val="right"/>
              <w:rPr>
                <w:sz w:val="16"/>
                <w:szCs w:val="16"/>
              </w:rPr>
            </w:pPr>
          </w:p>
        </w:tc>
        <w:tc>
          <w:tcPr>
            <w:tcW w:w="1077" w:type="dxa"/>
            <w:noWrap/>
            <w:hideMark/>
          </w:tcPr>
          <w:p w14:paraId="77389CB9" w14:textId="77777777" w:rsidR="00A60D4B" w:rsidRPr="007064D8" w:rsidRDefault="00A60D4B" w:rsidP="00A60D4B">
            <w:pPr>
              <w:jc w:val="right"/>
              <w:rPr>
                <w:sz w:val="16"/>
                <w:szCs w:val="16"/>
              </w:rPr>
            </w:pPr>
          </w:p>
        </w:tc>
        <w:tc>
          <w:tcPr>
            <w:tcW w:w="1077" w:type="dxa"/>
            <w:noWrap/>
            <w:hideMark/>
          </w:tcPr>
          <w:p w14:paraId="51E16017" w14:textId="77777777" w:rsidR="00A60D4B" w:rsidRPr="007064D8" w:rsidRDefault="00A60D4B" w:rsidP="00A60D4B">
            <w:pPr>
              <w:jc w:val="right"/>
              <w:rPr>
                <w:sz w:val="16"/>
                <w:szCs w:val="16"/>
              </w:rPr>
            </w:pPr>
          </w:p>
        </w:tc>
        <w:tc>
          <w:tcPr>
            <w:tcW w:w="1077" w:type="dxa"/>
            <w:noWrap/>
            <w:hideMark/>
          </w:tcPr>
          <w:p w14:paraId="4E3027FF" w14:textId="77777777" w:rsidR="00A60D4B" w:rsidRPr="007064D8" w:rsidRDefault="00A60D4B" w:rsidP="00A60D4B">
            <w:pPr>
              <w:jc w:val="right"/>
              <w:rPr>
                <w:sz w:val="16"/>
                <w:szCs w:val="16"/>
              </w:rPr>
            </w:pPr>
          </w:p>
        </w:tc>
        <w:tc>
          <w:tcPr>
            <w:tcW w:w="850" w:type="dxa"/>
            <w:noWrap/>
            <w:hideMark/>
          </w:tcPr>
          <w:p w14:paraId="287B5314" w14:textId="77777777" w:rsidR="00A60D4B" w:rsidRPr="007064D8" w:rsidRDefault="00A60D4B" w:rsidP="00A60D4B">
            <w:pPr>
              <w:jc w:val="right"/>
              <w:rPr>
                <w:sz w:val="16"/>
                <w:szCs w:val="16"/>
              </w:rPr>
            </w:pPr>
          </w:p>
        </w:tc>
        <w:tc>
          <w:tcPr>
            <w:tcW w:w="992" w:type="dxa"/>
            <w:gridSpan w:val="2"/>
            <w:noWrap/>
            <w:hideMark/>
          </w:tcPr>
          <w:p w14:paraId="1E2F0042" w14:textId="77777777" w:rsidR="00A60D4B" w:rsidRPr="007064D8" w:rsidRDefault="00A60D4B" w:rsidP="00A60D4B">
            <w:pPr>
              <w:jc w:val="right"/>
              <w:rPr>
                <w:sz w:val="16"/>
                <w:szCs w:val="16"/>
              </w:rPr>
            </w:pPr>
          </w:p>
        </w:tc>
        <w:tc>
          <w:tcPr>
            <w:tcW w:w="709" w:type="dxa"/>
            <w:gridSpan w:val="2"/>
            <w:noWrap/>
            <w:hideMark/>
          </w:tcPr>
          <w:p w14:paraId="0C299D3A" w14:textId="77777777" w:rsidR="00A60D4B" w:rsidRPr="007064D8" w:rsidRDefault="00A60D4B" w:rsidP="00A60D4B">
            <w:pPr>
              <w:jc w:val="right"/>
              <w:rPr>
                <w:sz w:val="16"/>
                <w:szCs w:val="16"/>
              </w:rPr>
            </w:pPr>
          </w:p>
        </w:tc>
        <w:tc>
          <w:tcPr>
            <w:tcW w:w="992" w:type="dxa"/>
            <w:gridSpan w:val="2"/>
            <w:noWrap/>
            <w:hideMark/>
          </w:tcPr>
          <w:p w14:paraId="338164DB" w14:textId="77777777" w:rsidR="00A60D4B" w:rsidRPr="007064D8" w:rsidRDefault="00A60D4B" w:rsidP="00A60D4B">
            <w:pPr>
              <w:jc w:val="right"/>
              <w:rPr>
                <w:sz w:val="16"/>
                <w:szCs w:val="16"/>
              </w:rPr>
            </w:pPr>
          </w:p>
        </w:tc>
        <w:tc>
          <w:tcPr>
            <w:tcW w:w="851" w:type="dxa"/>
            <w:gridSpan w:val="2"/>
            <w:noWrap/>
            <w:hideMark/>
          </w:tcPr>
          <w:p w14:paraId="0606F489" w14:textId="77777777" w:rsidR="00A60D4B" w:rsidRPr="007064D8" w:rsidRDefault="00A60D4B" w:rsidP="00A60D4B">
            <w:pPr>
              <w:jc w:val="right"/>
              <w:rPr>
                <w:sz w:val="16"/>
                <w:szCs w:val="16"/>
              </w:rPr>
            </w:pPr>
          </w:p>
        </w:tc>
        <w:tc>
          <w:tcPr>
            <w:tcW w:w="992" w:type="dxa"/>
            <w:gridSpan w:val="2"/>
            <w:noWrap/>
            <w:hideMark/>
          </w:tcPr>
          <w:p w14:paraId="53DFF07A" w14:textId="77777777" w:rsidR="00A60D4B" w:rsidRPr="007064D8" w:rsidRDefault="00A60D4B" w:rsidP="00A60D4B">
            <w:pPr>
              <w:jc w:val="right"/>
              <w:rPr>
                <w:sz w:val="16"/>
                <w:szCs w:val="16"/>
              </w:rPr>
            </w:pPr>
          </w:p>
        </w:tc>
        <w:tc>
          <w:tcPr>
            <w:tcW w:w="964" w:type="dxa"/>
            <w:gridSpan w:val="2"/>
            <w:noWrap/>
            <w:hideMark/>
          </w:tcPr>
          <w:p w14:paraId="511967D0" w14:textId="77777777" w:rsidR="00A60D4B" w:rsidRPr="007064D8" w:rsidRDefault="00A60D4B" w:rsidP="00A60D4B">
            <w:pPr>
              <w:jc w:val="right"/>
              <w:rPr>
                <w:sz w:val="16"/>
                <w:szCs w:val="16"/>
              </w:rPr>
            </w:pPr>
            <w:r w:rsidRPr="007064D8">
              <w:rPr>
                <w:sz w:val="16"/>
                <w:szCs w:val="16"/>
              </w:rPr>
              <w:t> </w:t>
            </w:r>
          </w:p>
        </w:tc>
      </w:tr>
      <w:tr w:rsidR="00A60D4B" w:rsidRPr="007064D8" w14:paraId="37E4FB98" w14:textId="77777777" w:rsidTr="00A60D4B">
        <w:trPr>
          <w:trHeight w:val="288"/>
        </w:trPr>
        <w:tc>
          <w:tcPr>
            <w:tcW w:w="410" w:type="dxa"/>
            <w:noWrap/>
            <w:hideMark/>
          </w:tcPr>
          <w:p w14:paraId="4B72DE77" w14:textId="77777777" w:rsidR="00A60D4B" w:rsidRPr="007064D8" w:rsidRDefault="00A60D4B" w:rsidP="00A60D4B">
            <w:pPr>
              <w:rPr>
                <w:sz w:val="16"/>
                <w:szCs w:val="16"/>
              </w:rPr>
            </w:pPr>
            <w:r w:rsidRPr="007064D8">
              <w:rPr>
                <w:sz w:val="16"/>
                <w:szCs w:val="16"/>
              </w:rPr>
              <w:t> </w:t>
            </w:r>
          </w:p>
        </w:tc>
        <w:tc>
          <w:tcPr>
            <w:tcW w:w="2186" w:type="dxa"/>
            <w:noWrap/>
            <w:hideMark/>
          </w:tcPr>
          <w:p w14:paraId="10CD6901" w14:textId="77777777" w:rsidR="00A60D4B" w:rsidRPr="007064D8" w:rsidRDefault="00A60D4B" w:rsidP="00A60D4B">
            <w:pPr>
              <w:jc w:val="right"/>
              <w:rPr>
                <w:sz w:val="16"/>
                <w:szCs w:val="16"/>
              </w:rPr>
            </w:pPr>
            <w:r w:rsidRPr="007064D8">
              <w:rPr>
                <w:sz w:val="16"/>
                <w:szCs w:val="16"/>
              </w:rPr>
              <w:t>2020-21</w:t>
            </w:r>
          </w:p>
        </w:tc>
        <w:tc>
          <w:tcPr>
            <w:tcW w:w="946" w:type="dxa"/>
            <w:noWrap/>
            <w:hideMark/>
          </w:tcPr>
          <w:p w14:paraId="334202D0" w14:textId="77777777" w:rsidR="00A60D4B" w:rsidRPr="007064D8" w:rsidRDefault="00A60D4B" w:rsidP="00A60D4B">
            <w:pPr>
              <w:jc w:val="right"/>
              <w:rPr>
                <w:sz w:val="16"/>
                <w:szCs w:val="16"/>
              </w:rPr>
            </w:pPr>
            <w:r w:rsidRPr="007064D8">
              <w:rPr>
                <w:sz w:val="16"/>
                <w:szCs w:val="16"/>
              </w:rPr>
              <w:t>$22,400</w:t>
            </w:r>
          </w:p>
        </w:tc>
        <w:tc>
          <w:tcPr>
            <w:tcW w:w="848" w:type="dxa"/>
            <w:noWrap/>
            <w:hideMark/>
          </w:tcPr>
          <w:p w14:paraId="0672A8ED" w14:textId="77777777" w:rsidR="00A60D4B" w:rsidRPr="007064D8" w:rsidRDefault="00A60D4B" w:rsidP="00A60D4B">
            <w:pPr>
              <w:jc w:val="right"/>
              <w:rPr>
                <w:sz w:val="16"/>
                <w:szCs w:val="16"/>
              </w:rPr>
            </w:pPr>
            <w:r w:rsidRPr="007064D8">
              <w:rPr>
                <w:sz w:val="16"/>
                <w:szCs w:val="16"/>
              </w:rPr>
              <w:t>$1,733</w:t>
            </w:r>
          </w:p>
        </w:tc>
        <w:tc>
          <w:tcPr>
            <w:tcW w:w="1077" w:type="dxa"/>
            <w:noWrap/>
            <w:hideMark/>
          </w:tcPr>
          <w:p w14:paraId="77C74AE2" w14:textId="77777777" w:rsidR="00A60D4B" w:rsidRPr="007064D8" w:rsidRDefault="00A60D4B" w:rsidP="00A60D4B">
            <w:pPr>
              <w:jc w:val="right"/>
              <w:rPr>
                <w:sz w:val="16"/>
                <w:szCs w:val="16"/>
              </w:rPr>
            </w:pPr>
            <w:r w:rsidRPr="007064D8">
              <w:rPr>
                <w:sz w:val="16"/>
                <w:szCs w:val="16"/>
              </w:rPr>
              <w:t>$948</w:t>
            </w:r>
          </w:p>
        </w:tc>
        <w:tc>
          <w:tcPr>
            <w:tcW w:w="1077" w:type="dxa"/>
            <w:noWrap/>
            <w:hideMark/>
          </w:tcPr>
          <w:p w14:paraId="3390C88C"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546A73DB" w14:textId="77777777" w:rsidR="00A60D4B" w:rsidRPr="007064D8" w:rsidRDefault="00A60D4B" w:rsidP="00A60D4B">
            <w:pPr>
              <w:jc w:val="right"/>
              <w:rPr>
                <w:sz w:val="16"/>
                <w:szCs w:val="16"/>
              </w:rPr>
            </w:pPr>
            <w:r w:rsidRPr="007064D8">
              <w:rPr>
                <w:sz w:val="16"/>
                <w:szCs w:val="16"/>
              </w:rPr>
              <w:t>$0</w:t>
            </w:r>
          </w:p>
        </w:tc>
        <w:tc>
          <w:tcPr>
            <w:tcW w:w="850" w:type="dxa"/>
            <w:noWrap/>
            <w:hideMark/>
          </w:tcPr>
          <w:p w14:paraId="12EB7FF6" w14:textId="77777777" w:rsidR="00A60D4B" w:rsidRPr="007064D8" w:rsidRDefault="00A60D4B" w:rsidP="00A60D4B">
            <w:pPr>
              <w:jc w:val="right"/>
              <w:rPr>
                <w:sz w:val="16"/>
                <w:szCs w:val="16"/>
              </w:rPr>
            </w:pPr>
            <w:r w:rsidRPr="007064D8">
              <w:rPr>
                <w:sz w:val="16"/>
                <w:szCs w:val="16"/>
              </w:rPr>
              <w:t>$0</w:t>
            </w:r>
          </w:p>
        </w:tc>
        <w:tc>
          <w:tcPr>
            <w:tcW w:w="992" w:type="dxa"/>
            <w:gridSpan w:val="2"/>
            <w:noWrap/>
            <w:hideMark/>
          </w:tcPr>
          <w:p w14:paraId="6F98CD51" w14:textId="77777777" w:rsidR="00A60D4B" w:rsidRPr="007064D8" w:rsidRDefault="00A60D4B" w:rsidP="00A60D4B">
            <w:pPr>
              <w:jc w:val="right"/>
              <w:rPr>
                <w:sz w:val="16"/>
                <w:szCs w:val="16"/>
              </w:rPr>
            </w:pPr>
            <w:r w:rsidRPr="007064D8">
              <w:rPr>
                <w:sz w:val="16"/>
                <w:szCs w:val="16"/>
              </w:rPr>
              <w:t>$0</w:t>
            </w:r>
          </w:p>
        </w:tc>
        <w:tc>
          <w:tcPr>
            <w:tcW w:w="709" w:type="dxa"/>
            <w:gridSpan w:val="2"/>
            <w:noWrap/>
            <w:hideMark/>
          </w:tcPr>
          <w:p w14:paraId="54098B2B" w14:textId="77777777" w:rsidR="00A60D4B" w:rsidRPr="007064D8" w:rsidRDefault="00A60D4B" w:rsidP="00A60D4B">
            <w:pPr>
              <w:jc w:val="right"/>
              <w:rPr>
                <w:sz w:val="16"/>
                <w:szCs w:val="16"/>
              </w:rPr>
            </w:pPr>
            <w:r w:rsidRPr="007064D8">
              <w:rPr>
                <w:sz w:val="16"/>
                <w:szCs w:val="16"/>
              </w:rPr>
              <w:t>$1,533</w:t>
            </w:r>
          </w:p>
        </w:tc>
        <w:tc>
          <w:tcPr>
            <w:tcW w:w="992" w:type="dxa"/>
            <w:gridSpan w:val="2"/>
            <w:noWrap/>
            <w:hideMark/>
          </w:tcPr>
          <w:p w14:paraId="0D2CDC72" w14:textId="77777777" w:rsidR="00A60D4B" w:rsidRPr="007064D8" w:rsidRDefault="00A60D4B" w:rsidP="00A60D4B">
            <w:pPr>
              <w:jc w:val="right"/>
              <w:rPr>
                <w:sz w:val="16"/>
                <w:szCs w:val="16"/>
              </w:rPr>
            </w:pPr>
            <w:r w:rsidRPr="007064D8">
              <w:rPr>
                <w:sz w:val="16"/>
                <w:szCs w:val="16"/>
              </w:rPr>
              <w:t>$1,533</w:t>
            </w:r>
          </w:p>
        </w:tc>
        <w:tc>
          <w:tcPr>
            <w:tcW w:w="851" w:type="dxa"/>
            <w:gridSpan w:val="2"/>
            <w:noWrap/>
            <w:hideMark/>
          </w:tcPr>
          <w:p w14:paraId="0D11C381" w14:textId="77777777" w:rsidR="00A60D4B" w:rsidRPr="007064D8" w:rsidRDefault="00A60D4B" w:rsidP="00A60D4B">
            <w:pPr>
              <w:jc w:val="right"/>
              <w:rPr>
                <w:sz w:val="16"/>
                <w:szCs w:val="16"/>
              </w:rPr>
            </w:pPr>
            <w:r w:rsidRPr="007064D8">
              <w:rPr>
                <w:sz w:val="16"/>
                <w:szCs w:val="16"/>
              </w:rPr>
              <w:t>$3,875</w:t>
            </w:r>
          </w:p>
        </w:tc>
        <w:tc>
          <w:tcPr>
            <w:tcW w:w="992" w:type="dxa"/>
            <w:gridSpan w:val="2"/>
            <w:noWrap/>
            <w:hideMark/>
          </w:tcPr>
          <w:p w14:paraId="7D85E747" w14:textId="77777777" w:rsidR="00A60D4B" w:rsidRPr="007064D8" w:rsidRDefault="00A60D4B" w:rsidP="00A60D4B">
            <w:pPr>
              <w:jc w:val="right"/>
              <w:rPr>
                <w:sz w:val="16"/>
                <w:szCs w:val="16"/>
              </w:rPr>
            </w:pPr>
            <w:r w:rsidRPr="007064D8">
              <w:rPr>
                <w:sz w:val="16"/>
                <w:szCs w:val="16"/>
              </w:rPr>
              <w:t>$</w:t>
            </w:r>
            <w:r>
              <w:rPr>
                <w:sz w:val="16"/>
                <w:szCs w:val="16"/>
              </w:rPr>
              <w:t>700</w:t>
            </w:r>
          </w:p>
        </w:tc>
        <w:tc>
          <w:tcPr>
            <w:tcW w:w="964" w:type="dxa"/>
            <w:gridSpan w:val="2"/>
            <w:noWrap/>
            <w:hideMark/>
          </w:tcPr>
          <w:p w14:paraId="15069092" w14:textId="77777777" w:rsidR="00A60D4B" w:rsidRPr="007064D8" w:rsidRDefault="00A60D4B" w:rsidP="00A60D4B">
            <w:pPr>
              <w:jc w:val="right"/>
              <w:rPr>
                <w:sz w:val="16"/>
                <w:szCs w:val="16"/>
              </w:rPr>
            </w:pPr>
            <w:r w:rsidRPr="007064D8">
              <w:rPr>
                <w:sz w:val="16"/>
                <w:szCs w:val="16"/>
              </w:rPr>
              <w:t>$18,</w:t>
            </w:r>
            <w:r>
              <w:rPr>
                <w:sz w:val="16"/>
                <w:szCs w:val="16"/>
              </w:rPr>
              <w:t>44</w:t>
            </w:r>
            <w:r w:rsidRPr="007064D8">
              <w:rPr>
                <w:sz w:val="16"/>
                <w:szCs w:val="16"/>
              </w:rPr>
              <w:t>0</w:t>
            </w:r>
          </w:p>
        </w:tc>
      </w:tr>
      <w:tr w:rsidR="00A60D4B" w:rsidRPr="007064D8" w14:paraId="3CF9AF93" w14:textId="77777777" w:rsidTr="00A60D4B">
        <w:trPr>
          <w:trHeight w:val="288"/>
        </w:trPr>
        <w:tc>
          <w:tcPr>
            <w:tcW w:w="410" w:type="dxa"/>
            <w:noWrap/>
            <w:hideMark/>
          </w:tcPr>
          <w:p w14:paraId="6694C5CA" w14:textId="77777777" w:rsidR="00A60D4B" w:rsidRPr="007064D8" w:rsidRDefault="00A60D4B" w:rsidP="00A60D4B">
            <w:pPr>
              <w:rPr>
                <w:sz w:val="16"/>
                <w:szCs w:val="16"/>
              </w:rPr>
            </w:pPr>
            <w:r w:rsidRPr="007064D8">
              <w:rPr>
                <w:sz w:val="16"/>
                <w:szCs w:val="16"/>
              </w:rPr>
              <w:t> </w:t>
            </w:r>
          </w:p>
        </w:tc>
        <w:tc>
          <w:tcPr>
            <w:tcW w:w="2186" w:type="dxa"/>
            <w:noWrap/>
            <w:hideMark/>
          </w:tcPr>
          <w:p w14:paraId="7474D2D6" w14:textId="77777777" w:rsidR="00A60D4B" w:rsidRPr="007064D8" w:rsidRDefault="00A60D4B" w:rsidP="00A60D4B">
            <w:pPr>
              <w:jc w:val="right"/>
              <w:rPr>
                <w:sz w:val="16"/>
                <w:szCs w:val="16"/>
              </w:rPr>
            </w:pPr>
            <w:r w:rsidRPr="007064D8">
              <w:rPr>
                <w:sz w:val="16"/>
                <w:szCs w:val="16"/>
              </w:rPr>
              <w:t>2021-22</w:t>
            </w:r>
          </w:p>
        </w:tc>
        <w:tc>
          <w:tcPr>
            <w:tcW w:w="946" w:type="dxa"/>
            <w:noWrap/>
            <w:hideMark/>
          </w:tcPr>
          <w:p w14:paraId="40C950A1" w14:textId="77777777" w:rsidR="00A60D4B" w:rsidRPr="007064D8" w:rsidRDefault="00A60D4B" w:rsidP="00A60D4B">
            <w:pPr>
              <w:jc w:val="right"/>
              <w:rPr>
                <w:sz w:val="16"/>
                <w:szCs w:val="16"/>
              </w:rPr>
            </w:pPr>
            <w:r w:rsidRPr="007064D8">
              <w:rPr>
                <w:sz w:val="16"/>
                <w:szCs w:val="16"/>
              </w:rPr>
              <w:t>$22,700</w:t>
            </w:r>
          </w:p>
        </w:tc>
        <w:tc>
          <w:tcPr>
            <w:tcW w:w="848" w:type="dxa"/>
            <w:noWrap/>
            <w:hideMark/>
          </w:tcPr>
          <w:p w14:paraId="0627181E" w14:textId="77777777" w:rsidR="00A60D4B" w:rsidRPr="007064D8" w:rsidRDefault="00A60D4B" w:rsidP="00A60D4B">
            <w:pPr>
              <w:jc w:val="right"/>
              <w:rPr>
                <w:sz w:val="16"/>
                <w:szCs w:val="16"/>
              </w:rPr>
            </w:pPr>
            <w:r w:rsidRPr="007064D8">
              <w:rPr>
                <w:sz w:val="16"/>
                <w:szCs w:val="16"/>
              </w:rPr>
              <w:t>$1,718</w:t>
            </w:r>
          </w:p>
        </w:tc>
        <w:tc>
          <w:tcPr>
            <w:tcW w:w="1077" w:type="dxa"/>
            <w:noWrap/>
            <w:hideMark/>
          </w:tcPr>
          <w:p w14:paraId="24D4F265" w14:textId="77777777" w:rsidR="00A60D4B" w:rsidRPr="007064D8" w:rsidRDefault="00A60D4B" w:rsidP="00A60D4B">
            <w:pPr>
              <w:jc w:val="right"/>
              <w:rPr>
                <w:sz w:val="16"/>
                <w:szCs w:val="16"/>
              </w:rPr>
            </w:pPr>
            <w:r w:rsidRPr="007064D8">
              <w:rPr>
                <w:sz w:val="16"/>
                <w:szCs w:val="16"/>
              </w:rPr>
              <w:t>$848</w:t>
            </w:r>
          </w:p>
        </w:tc>
        <w:tc>
          <w:tcPr>
            <w:tcW w:w="1077" w:type="dxa"/>
            <w:noWrap/>
            <w:hideMark/>
          </w:tcPr>
          <w:p w14:paraId="1863C8B6"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4717B48D" w14:textId="77777777" w:rsidR="00A60D4B" w:rsidRPr="007064D8" w:rsidRDefault="00A60D4B" w:rsidP="00A60D4B">
            <w:pPr>
              <w:jc w:val="right"/>
              <w:rPr>
                <w:sz w:val="16"/>
                <w:szCs w:val="16"/>
              </w:rPr>
            </w:pPr>
            <w:r w:rsidRPr="007064D8">
              <w:rPr>
                <w:sz w:val="16"/>
                <w:szCs w:val="16"/>
              </w:rPr>
              <w:t>$0</w:t>
            </w:r>
          </w:p>
        </w:tc>
        <w:tc>
          <w:tcPr>
            <w:tcW w:w="850" w:type="dxa"/>
            <w:noWrap/>
            <w:hideMark/>
          </w:tcPr>
          <w:p w14:paraId="7376552B" w14:textId="77777777" w:rsidR="00A60D4B" w:rsidRPr="007064D8" w:rsidRDefault="00A60D4B" w:rsidP="00A60D4B">
            <w:pPr>
              <w:jc w:val="right"/>
              <w:rPr>
                <w:sz w:val="16"/>
                <w:szCs w:val="16"/>
              </w:rPr>
            </w:pPr>
            <w:r w:rsidRPr="007064D8">
              <w:rPr>
                <w:sz w:val="16"/>
                <w:szCs w:val="16"/>
              </w:rPr>
              <w:t>$0</w:t>
            </w:r>
          </w:p>
        </w:tc>
        <w:tc>
          <w:tcPr>
            <w:tcW w:w="992" w:type="dxa"/>
            <w:gridSpan w:val="2"/>
            <w:noWrap/>
            <w:hideMark/>
          </w:tcPr>
          <w:p w14:paraId="1DAE4B8F" w14:textId="77777777" w:rsidR="00A60D4B" w:rsidRPr="007064D8" w:rsidRDefault="00A60D4B" w:rsidP="00A60D4B">
            <w:pPr>
              <w:jc w:val="right"/>
              <w:rPr>
                <w:sz w:val="16"/>
                <w:szCs w:val="16"/>
              </w:rPr>
            </w:pPr>
            <w:r w:rsidRPr="007064D8">
              <w:rPr>
                <w:sz w:val="16"/>
                <w:szCs w:val="16"/>
              </w:rPr>
              <w:t>$0</w:t>
            </w:r>
          </w:p>
        </w:tc>
        <w:tc>
          <w:tcPr>
            <w:tcW w:w="709" w:type="dxa"/>
            <w:gridSpan w:val="2"/>
            <w:noWrap/>
            <w:hideMark/>
          </w:tcPr>
          <w:p w14:paraId="42956705" w14:textId="77777777" w:rsidR="00A60D4B" w:rsidRPr="007064D8" w:rsidRDefault="00A60D4B" w:rsidP="00A60D4B">
            <w:pPr>
              <w:jc w:val="right"/>
              <w:rPr>
                <w:sz w:val="16"/>
                <w:szCs w:val="16"/>
              </w:rPr>
            </w:pPr>
            <w:r w:rsidRPr="007064D8">
              <w:rPr>
                <w:sz w:val="16"/>
                <w:szCs w:val="16"/>
              </w:rPr>
              <w:t>$1,533</w:t>
            </w:r>
          </w:p>
        </w:tc>
        <w:tc>
          <w:tcPr>
            <w:tcW w:w="992" w:type="dxa"/>
            <w:gridSpan w:val="2"/>
            <w:noWrap/>
            <w:hideMark/>
          </w:tcPr>
          <w:p w14:paraId="789DFBE3" w14:textId="77777777" w:rsidR="00A60D4B" w:rsidRPr="007064D8" w:rsidRDefault="00A60D4B" w:rsidP="00A60D4B">
            <w:pPr>
              <w:jc w:val="right"/>
              <w:rPr>
                <w:sz w:val="16"/>
                <w:szCs w:val="16"/>
              </w:rPr>
            </w:pPr>
            <w:r w:rsidRPr="007064D8">
              <w:rPr>
                <w:sz w:val="16"/>
                <w:szCs w:val="16"/>
              </w:rPr>
              <w:t>$1,533</w:t>
            </w:r>
          </w:p>
        </w:tc>
        <w:tc>
          <w:tcPr>
            <w:tcW w:w="851" w:type="dxa"/>
            <w:gridSpan w:val="2"/>
            <w:noWrap/>
            <w:hideMark/>
          </w:tcPr>
          <w:p w14:paraId="5FD521D5" w14:textId="77777777" w:rsidR="00A60D4B" w:rsidRPr="007064D8" w:rsidRDefault="00A60D4B" w:rsidP="00A60D4B">
            <w:pPr>
              <w:jc w:val="right"/>
              <w:rPr>
                <w:sz w:val="16"/>
                <w:szCs w:val="16"/>
              </w:rPr>
            </w:pPr>
            <w:r w:rsidRPr="007064D8">
              <w:rPr>
                <w:sz w:val="16"/>
                <w:szCs w:val="16"/>
              </w:rPr>
              <w:t>$4,016</w:t>
            </w:r>
          </w:p>
        </w:tc>
        <w:tc>
          <w:tcPr>
            <w:tcW w:w="992" w:type="dxa"/>
            <w:gridSpan w:val="2"/>
            <w:noWrap/>
            <w:hideMark/>
          </w:tcPr>
          <w:p w14:paraId="0E7FD7A7" w14:textId="77777777" w:rsidR="00A60D4B" w:rsidRPr="007064D8" w:rsidRDefault="00A60D4B" w:rsidP="00A60D4B">
            <w:pPr>
              <w:jc w:val="right"/>
              <w:rPr>
                <w:sz w:val="16"/>
                <w:szCs w:val="16"/>
              </w:rPr>
            </w:pPr>
            <w:r w:rsidRPr="007064D8">
              <w:rPr>
                <w:sz w:val="16"/>
                <w:szCs w:val="16"/>
              </w:rPr>
              <w:t>$</w:t>
            </w:r>
            <w:r>
              <w:rPr>
                <w:sz w:val="16"/>
                <w:szCs w:val="16"/>
              </w:rPr>
              <w:t>1,000</w:t>
            </w:r>
          </w:p>
        </w:tc>
        <w:tc>
          <w:tcPr>
            <w:tcW w:w="964" w:type="dxa"/>
            <w:gridSpan w:val="2"/>
            <w:noWrap/>
            <w:hideMark/>
          </w:tcPr>
          <w:p w14:paraId="5980CB07" w14:textId="77777777" w:rsidR="00A60D4B" w:rsidRPr="007064D8" w:rsidRDefault="00A60D4B" w:rsidP="00A60D4B">
            <w:pPr>
              <w:jc w:val="right"/>
              <w:rPr>
                <w:sz w:val="16"/>
                <w:szCs w:val="16"/>
              </w:rPr>
            </w:pPr>
            <w:r w:rsidRPr="007064D8">
              <w:rPr>
                <w:sz w:val="16"/>
                <w:szCs w:val="16"/>
              </w:rPr>
              <w:t>$18,</w:t>
            </w:r>
            <w:r>
              <w:rPr>
                <w:sz w:val="16"/>
                <w:szCs w:val="16"/>
              </w:rPr>
              <w:t>8</w:t>
            </w:r>
            <w:r w:rsidRPr="007064D8">
              <w:rPr>
                <w:sz w:val="16"/>
                <w:szCs w:val="16"/>
              </w:rPr>
              <w:t>14</w:t>
            </w:r>
          </w:p>
        </w:tc>
      </w:tr>
      <w:tr w:rsidR="00A60D4B" w:rsidRPr="007064D8" w14:paraId="27D34C1F" w14:textId="77777777" w:rsidTr="00A60D4B">
        <w:trPr>
          <w:trHeight w:val="288"/>
        </w:trPr>
        <w:tc>
          <w:tcPr>
            <w:tcW w:w="410" w:type="dxa"/>
            <w:noWrap/>
            <w:hideMark/>
          </w:tcPr>
          <w:p w14:paraId="51D160AF" w14:textId="77777777" w:rsidR="00A60D4B" w:rsidRPr="007064D8" w:rsidRDefault="00A60D4B" w:rsidP="00A60D4B">
            <w:pPr>
              <w:rPr>
                <w:sz w:val="16"/>
                <w:szCs w:val="16"/>
              </w:rPr>
            </w:pPr>
            <w:r w:rsidRPr="007064D8">
              <w:rPr>
                <w:sz w:val="16"/>
                <w:szCs w:val="16"/>
              </w:rPr>
              <w:t> </w:t>
            </w:r>
          </w:p>
        </w:tc>
        <w:tc>
          <w:tcPr>
            <w:tcW w:w="2186" w:type="dxa"/>
            <w:noWrap/>
            <w:hideMark/>
          </w:tcPr>
          <w:p w14:paraId="687701F2" w14:textId="77777777" w:rsidR="00A60D4B" w:rsidRPr="007064D8" w:rsidRDefault="00A60D4B" w:rsidP="00A60D4B">
            <w:pPr>
              <w:rPr>
                <w:sz w:val="16"/>
                <w:szCs w:val="16"/>
              </w:rPr>
            </w:pPr>
            <w:r w:rsidRPr="007064D8">
              <w:rPr>
                <w:sz w:val="16"/>
                <w:szCs w:val="16"/>
              </w:rPr>
              <w:t> </w:t>
            </w:r>
          </w:p>
        </w:tc>
        <w:tc>
          <w:tcPr>
            <w:tcW w:w="946" w:type="dxa"/>
            <w:noWrap/>
            <w:hideMark/>
          </w:tcPr>
          <w:p w14:paraId="3892A217" w14:textId="77777777" w:rsidR="00A60D4B" w:rsidRPr="007064D8" w:rsidRDefault="00A60D4B" w:rsidP="00A60D4B">
            <w:pPr>
              <w:jc w:val="right"/>
              <w:rPr>
                <w:sz w:val="16"/>
                <w:szCs w:val="16"/>
              </w:rPr>
            </w:pPr>
            <w:r w:rsidRPr="007064D8">
              <w:rPr>
                <w:sz w:val="16"/>
                <w:szCs w:val="16"/>
              </w:rPr>
              <w:t> </w:t>
            </w:r>
          </w:p>
        </w:tc>
        <w:tc>
          <w:tcPr>
            <w:tcW w:w="848" w:type="dxa"/>
            <w:noWrap/>
            <w:hideMark/>
          </w:tcPr>
          <w:p w14:paraId="6C612BE3" w14:textId="77777777" w:rsidR="00A60D4B" w:rsidRPr="007064D8" w:rsidRDefault="00A60D4B" w:rsidP="00A60D4B">
            <w:pPr>
              <w:jc w:val="right"/>
              <w:rPr>
                <w:sz w:val="16"/>
                <w:szCs w:val="16"/>
              </w:rPr>
            </w:pPr>
          </w:p>
        </w:tc>
        <w:tc>
          <w:tcPr>
            <w:tcW w:w="1077" w:type="dxa"/>
            <w:noWrap/>
            <w:hideMark/>
          </w:tcPr>
          <w:p w14:paraId="66DD9401" w14:textId="77777777" w:rsidR="00A60D4B" w:rsidRPr="007064D8" w:rsidRDefault="00A60D4B" w:rsidP="00A60D4B">
            <w:pPr>
              <w:jc w:val="right"/>
              <w:rPr>
                <w:sz w:val="16"/>
                <w:szCs w:val="16"/>
              </w:rPr>
            </w:pPr>
          </w:p>
        </w:tc>
        <w:tc>
          <w:tcPr>
            <w:tcW w:w="1077" w:type="dxa"/>
            <w:noWrap/>
            <w:hideMark/>
          </w:tcPr>
          <w:p w14:paraId="5D83E3F8" w14:textId="77777777" w:rsidR="00A60D4B" w:rsidRPr="007064D8" w:rsidRDefault="00A60D4B" w:rsidP="00A60D4B">
            <w:pPr>
              <w:jc w:val="right"/>
              <w:rPr>
                <w:sz w:val="16"/>
                <w:szCs w:val="16"/>
              </w:rPr>
            </w:pPr>
          </w:p>
        </w:tc>
        <w:tc>
          <w:tcPr>
            <w:tcW w:w="1077" w:type="dxa"/>
            <w:noWrap/>
            <w:hideMark/>
          </w:tcPr>
          <w:p w14:paraId="27CD99BB" w14:textId="77777777" w:rsidR="00A60D4B" w:rsidRPr="007064D8" w:rsidRDefault="00A60D4B" w:rsidP="00A60D4B">
            <w:pPr>
              <w:jc w:val="right"/>
              <w:rPr>
                <w:sz w:val="16"/>
                <w:szCs w:val="16"/>
              </w:rPr>
            </w:pPr>
          </w:p>
        </w:tc>
        <w:tc>
          <w:tcPr>
            <w:tcW w:w="850" w:type="dxa"/>
            <w:noWrap/>
            <w:hideMark/>
          </w:tcPr>
          <w:p w14:paraId="158F5F59" w14:textId="77777777" w:rsidR="00A60D4B" w:rsidRPr="007064D8" w:rsidRDefault="00A60D4B" w:rsidP="00A60D4B">
            <w:pPr>
              <w:jc w:val="right"/>
              <w:rPr>
                <w:sz w:val="16"/>
                <w:szCs w:val="16"/>
              </w:rPr>
            </w:pPr>
          </w:p>
        </w:tc>
        <w:tc>
          <w:tcPr>
            <w:tcW w:w="992" w:type="dxa"/>
            <w:gridSpan w:val="2"/>
            <w:noWrap/>
            <w:hideMark/>
          </w:tcPr>
          <w:p w14:paraId="38498697" w14:textId="77777777" w:rsidR="00A60D4B" w:rsidRPr="007064D8" w:rsidRDefault="00A60D4B" w:rsidP="00A60D4B">
            <w:pPr>
              <w:jc w:val="right"/>
              <w:rPr>
                <w:sz w:val="16"/>
                <w:szCs w:val="16"/>
              </w:rPr>
            </w:pPr>
          </w:p>
        </w:tc>
        <w:tc>
          <w:tcPr>
            <w:tcW w:w="709" w:type="dxa"/>
            <w:gridSpan w:val="2"/>
            <w:noWrap/>
            <w:hideMark/>
          </w:tcPr>
          <w:p w14:paraId="77BD1D9A" w14:textId="77777777" w:rsidR="00A60D4B" w:rsidRPr="007064D8" w:rsidRDefault="00A60D4B" w:rsidP="00A60D4B">
            <w:pPr>
              <w:jc w:val="right"/>
              <w:rPr>
                <w:sz w:val="16"/>
                <w:szCs w:val="16"/>
              </w:rPr>
            </w:pPr>
          </w:p>
        </w:tc>
        <w:tc>
          <w:tcPr>
            <w:tcW w:w="992" w:type="dxa"/>
            <w:gridSpan w:val="2"/>
            <w:noWrap/>
            <w:hideMark/>
          </w:tcPr>
          <w:p w14:paraId="2D25997A" w14:textId="77777777" w:rsidR="00A60D4B" w:rsidRPr="007064D8" w:rsidRDefault="00A60D4B" w:rsidP="00A60D4B">
            <w:pPr>
              <w:jc w:val="right"/>
              <w:rPr>
                <w:sz w:val="16"/>
                <w:szCs w:val="16"/>
              </w:rPr>
            </w:pPr>
          </w:p>
        </w:tc>
        <w:tc>
          <w:tcPr>
            <w:tcW w:w="851" w:type="dxa"/>
            <w:gridSpan w:val="2"/>
            <w:noWrap/>
            <w:hideMark/>
          </w:tcPr>
          <w:p w14:paraId="167DB2F7" w14:textId="77777777" w:rsidR="00A60D4B" w:rsidRPr="007064D8" w:rsidRDefault="00A60D4B" w:rsidP="00A60D4B">
            <w:pPr>
              <w:jc w:val="right"/>
              <w:rPr>
                <w:sz w:val="16"/>
                <w:szCs w:val="16"/>
              </w:rPr>
            </w:pPr>
          </w:p>
        </w:tc>
        <w:tc>
          <w:tcPr>
            <w:tcW w:w="992" w:type="dxa"/>
            <w:gridSpan w:val="2"/>
            <w:noWrap/>
            <w:hideMark/>
          </w:tcPr>
          <w:p w14:paraId="6F4778CE" w14:textId="77777777" w:rsidR="00A60D4B" w:rsidRPr="007064D8" w:rsidRDefault="00A60D4B" w:rsidP="00A60D4B">
            <w:pPr>
              <w:jc w:val="right"/>
              <w:rPr>
                <w:sz w:val="16"/>
                <w:szCs w:val="16"/>
              </w:rPr>
            </w:pPr>
            <w:r w:rsidRPr="007064D8">
              <w:rPr>
                <w:sz w:val="16"/>
                <w:szCs w:val="16"/>
              </w:rPr>
              <w:t xml:space="preserve"> Change </w:t>
            </w:r>
          </w:p>
        </w:tc>
        <w:tc>
          <w:tcPr>
            <w:tcW w:w="964" w:type="dxa"/>
            <w:gridSpan w:val="2"/>
            <w:noWrap/>
            <w:hideMark/>
          </w:tcPr>
          <w:p w14:paraId="23F27731" w14:textId="77777777" w:rsidR="00A60D4B" w:rsidRPr="007064D8" w:rsidRDefault="00A60D4B" w:rsidP="00A60D4B">
            <w:pPr>
              <w:jc w:val="right"/>
              <w:rPr>
                <w:sz w:val="16"/>
                <w:szCs w:val="16"/>
              </w:rPr>
            </w:pPr>
            <w:r w:rsidRPr="007064D8">
              <w:rPr>
                <w:sz w:val="16"/>
                <w:szCs w:val="16"/>
              </w:rPr>
              <w:t>$</w:t>
            </w:r>
            <w:r>
              <w:rPr>
                <w:sz w:val="16"/>
                <w:szCs w:val="16"/>
              </w:rPr>
              <w:t>374</w:t>
            </w:r>
          </w:p>
        </w:tc>
      </w:tr>
      <w:tr w:rsidR="00A60D4B" w:rsidRPr="007064D8" w14:paraId="189EF6CF" w14:textId="77777777" w:rsidTr="00A60D4B">
        <w:trPr>
          <w:trHeight w:val="588"/>
        </w:trPr>
        <w:tc>
          <w:tcPr>
            <w:tcW w:w="410" w:type="dxa"/>
            <w:noWrap/>
            <w:hideMark/>
          </w:tcPr>
          <w:p w14:paraId="701C1960" w14:textId="77777777" w:rsidR="00A60D4B" w:rsidRPr="007064D8" w:rsidRDefault="00A60D4B" w:rsidP="00A60D4B">
            <w:pPr>
              <w:rPr>
                <w:sz w:val="16"/>
                <w:szCs w:val="16"/>
              </w:rPr>
            </w:pPr>
            <w:r w:rsidRPr="007064D8">
              <w:rPr>
                <w:sz w:val="16"/>
                <w:szCs w:val="16"/>
              </w:rPr>
              <w:t>2</w:t>
            </w:r>
          </w:p>
        </w:tc>
        <w:tc>
          <w:tcPr>
            <w:tcW w:w="2186" w:type="dxa"/>
            <w:hideMark/>
          </w:tcPr>
          <w:p w14:paraId="01066919" w14:textId="77777777" w:rsidR="00A60D4B" w:rsidRPr="007064D8" w:rsidRDefault="00A60D4B" w:rsidP="00A60D4B">
            <w:pPr>
              <w:rPr>
                <w:sz w:val="16"/>
                <w:szCs w:val="16"/>
              </w:rPr>
            </w:pPr>
            <w:r w:rsidRPr="007064D8">
              <w:rPr>
                <w:sz w:val="16"/>
                <w:szCs w:val="16"/>
              </w:rPr>
              <w:t>Bruce - Couple, pensioners, in own house, 2 cars, downsizing to unit in 2021-22</w:t>
            </w:r>
          </w:p>
        </w:tc>
        <w:tc>
          <w:tcPr>
            <w:tcW w:w="946" w:type="dxa"/>
            <w:noWrap/>
            <w:hideMark/>
          </w:tcPr>
          <w:p w14:paraId="6DFA82E0" w14:textId="77777777" w:rsidR="00A60D4B" w:rsidRPr="007064D8" w:rsidRDefault="00A60D4B" w:rsidP="00A60D4B">
            <w:pPr>
              <w:jc w:val="right"/>
              <w:rPr>
                <w:sz w:val="16"/>
                <w:szCs w:val="16"/>
              </w:rPr>
            </w:pPr>
            <w:r w:rsidRPr="007064D8">
              <w:rPr>
                <w:sz w:val="16"/>
                <w:szCs w:val="16"/>
              </w:rPr>
              <w:t> </w:t>
            </w:r>
          </w:p>
        </w:tc>
        <w:tc>
          <w:tcPr>
            <w:tcW w:w="848" w:type="dxa"/>
            <w:noWrap/>
            <w:hideMark/>
          </w:tcPr>
          <w:p w14:paraId="3E7BBE51" w14:textId="77777777" w:rsidR="00A60D4B" w:rsidRPr="007064D8" w:rsidRDefault="00A60D4B" w:rsidP="00A60D4B">
            <w:pPr>
              <w:jc w:val="right"/>
              <w:rPr>
                <w:sz w:val="16"/>
                <w:szCs w:val="16"/>
              </w:rPr>
            </w:pPr>
          </w:p>
        </w:tc>
        <w:tc>
          <w:tcPr>
            <w:tcW w:w="1077" w:type="dxa"/>
            <w:noWrap/>
            <w:hideMark/>
          </w:tcPr>
          <w:p w14:paraId="2C4100DE" w14:textId="77777777" w:rsidR="00A60D4B" w:rsidRPr="007064D8" w:rsidRDefault="00A60D4B" w:rsidP="00A60D4B">
            <w:pPr>
              <w:jc w:val="right"/>
              <w:rPr>
                <w:sz w:val="16"/>
                <w:szCs w:val="16"/>
              </w:rPr>
            </w:pPr>
          </w:p>
        </w:tc>
        <w:tc>
          <w:tcPr>
            <w:tcW w:w="1077" w:type="dxa"/>
            <w:noWrap/>
            <w:hideMark/>
          </w:tcPr>
          <w:p w14:paraId="54CB1D83" w14:textId="77777777" w:rsidR="00A60D4B" w:rsidRPr="007064D8" w:rsidRDefault="00A60D4B" w:rsidP="00A60D4B">
            <w:pPr>
              <w:jc w:val="right"/>
              <w:rPr>
                <w:sz w:val="16"/>
                <w:szCs w:val="16"/>
              </w:rPr>
            </w:pPr>
          </w:p>
        </w:tc>
        <w:tc>
          <w:tcPr>
            <w:tcW w:w="1077" w:type="dxa"/>
            <w:noWrap/>
            <w:hideMark/>
          </w:tcPr>
          <w:p w14:paraId="0F3814C4" w14:textId="77777777" w:rsidR="00A60D4B" w:rsidRPr="007064D8" w:rsidRDefault="00A60D4B" w:rsidP="00A60D4B">
            <w:pPr>
              <w:jc w:val="right"/>
              <w:rPr>
                <w:sz w:val="16"/>
                <w:szCs w:val="16"/>
              </w:rPr>
            </w:pPr>
          </w:p>
        </w:tc>
        <w:tc>
          <w:tcPr>
            <w:tcW w:w="850" w:type="dxa"/>
            <w:noWrap/>
            <w:hideMark/>
          </w:tcPr>
          <w:p w14:paraId="75816570" w14:textId="77777777" w:rsidR="00A60D4B" w:rsidRPr="007064D8" w:rsidRDefault="00A60D4B" w:rsidP="00A60D4B">
            <w:pPr>
              <w:jc w:val="right"/>
              <w:rPr>
                <w:sz w:val="16"/>
                <w:szCs w:val="16"/>
              </w:rPr>
            </w:pPr>
          </w:p>
        </w:tc>
        <w:tc>
          <w:tcPr>
            <w:tcW w:w="992" w:type="dxa"/>
            <w:gridSpan w:val="2"/>
            <w:noWrap/>
            <w:hideMark/>
          </w:tcPr>
          <w:p w14:paraId="001D6969" w14:textId="77777777" w:rsidR="00A60D4B" w:rsidRPr="007064D8" w:rsidRDefault="00A60D4B" w:rsidP="00A60D4B">
            <w:pPr>
              <w:jc w:val="right"/>
              <w:rPr>
                <w:sz w:val="16"/>
                <w:szCs w:val="16"/>
              </w:rPr>
            </w:pPr>
          </w:p>
        </w:tc>
        <w:tc>
          <w:tcPr>
            <w:tcW w:w="709" w:type="dxa"/>
            <w:gridSpan w:val="2"/>
            <w:noWrap/>
            <w:hideMark/>
          </w:tcPr>
          <w:p w14:paraId="03618E08" w14:textId="77777777" w:rsidR="00A60D4B" w:rsidRPr="007064D8" w:rsidRDefault="00A60D4B" w:rsidP="00A60D4B">
            <w:pPr>
              <w:jc w:val="right"/>
              <w:rPr>
                <w:sz w:val="16"/>
                <w:szCs w:val="16"/>
              </w:rPr>
            </w:pPr>
          </w:p>
        </w:tc>
        <w:tc>
          <w:tcPr>
            <w:tcW w:w="992" w:type="dxa"/>
            <w:gridSpan w:val="2"/>
            <w:noWrap/>
            <w:hideMark/>
          </w:tcPr>
          <w:p w14:paraId="509274D1" w14:textId="77777777" w:rsidR="00A60D4B" w:rsidRPr="007064D8" w:rsidRDefault="00A60D4B" w:rsidP="00A60D4B">
            <w:pPr>
              <w:jc w:val="right"/>
              <w:rPr>
                <w:sz w:val="16"/>
                <w:szCs w:val="16"/>
              </w:rPr>
            </w:pPr>
          </w:p>
        </w:tc>
        <w:tc>
          <w:tcPr>
            <w:tcW w:w="851" w:type="dxa"/>
            <w:gridSpan w:val="2"/>
            <w:noWrap/>
            <w:hideMark/>
          </w:tcPr>
          <w:p w14:paraId="1D9848B6" w14:textId="77777777" w:rsidR="00A60D4B" w:rsidRPr="007064D8" w:rsidRDefault="00A60D4B" w:rsidP="00A60D4B">
            <w:pPr>
              <w:jc w:val="right"/>
              <w:rPr>
                <w:sz w:val="16"/>
                <w:szCs w:val="16"/>
              </w:rPr>
            </w:pPr>
          </w:p>
        </w:tc>
        <w:tc>
          <w:tcPr>
            <w:tcW w:w="992" w:type="dxa"/>
            <w:gridSpan w:val="2"/>
            <w:noWrap/>
            <w:hideMark/>
          </w:tcPr>
          <w:p w14:paraId="762A2616" w14:textId="77777777" w:rsidR="00A60D4B" w:rsidRPr="007064D8" w:rsidRDefault="00A60D4B" w:rsidP="00A60D4B">
            <w:pPr>
              <w:jc w:val="right"/>
              <w:rPr>
                <w:sz w:val="16"/>
                <w:szCs w:val="16"/>
              </w:rPr>
            </w:pPr>
          </w:p>
        </w:tc>
        <w:tc>
          <w:tcPr>
            <w:tcW w:w="964" w:type="dxa"/>
            <w:gridSpan w:val="2"/>
            <w:noWrap/>
            <w:hideMark/>
          </w:tcPr>
          <w:p w14:paraId="4A040E21" w14:textId="77777777" w:rsidR="00A60D4B" w:rsidRPr="007064D8" w:rsidRDefault="00A60D4B" w:rsidP="00A60D4B">
            <w:pPr>
              <w:jc w:val="right"/>
              <w:rPr>
                <w:sz w:val="16"/>
                <w:szCs w:val="16"/>
              </w:rPr>
            </w:pPr>
            <w:r w:rsidRPr="007064D8">
              <w:rPr>
                <w:sz w:val="16"/>
                <w:szCs w:val="16"/>
              </w:rPr>
              <w:t> </w:t>
            </w:r>
          </w:p>
        </w:tc>
      </w:tr>
      <w:tr w:rsidR="00A60D4B" w:rsidRPr="007064D8" w14:paraId="15BE6D39" w14:textId="77777777" w:rsidTr="00A60D4B">
        <w:trPr>
          <w:trHeight w:val="288"/>
        </w:trPr>
        <w:tc>
          <w:tcPr>
            <w:tcW w:w="410" w:type="dxa"/>
            <w:noWrap/>
            <w:hideMark/>
          </w:tcPr>
          <w:p w14:paraId="256F2F7A" w14:textId="77777777" w:rsidR="00A60D4B" w:rsidRPr="007064D8" w:rsidRDefault="00A60D4B" w:rsidP="00A60D4B">
            <w:pPr>
              <w:rPr>
                <w:sz w:val="16"/>
                <w:szCs w:val="16"/>
              </w:rPr>
            </w:pPr>
            <w:r w:rsidRPr="007064D8">
              <w:rPr>
                <w:sz w:val="16"/>
                <w:szCs w:val="16"/>
              </w:rPr>
              <w:t> </w:t>
            </w:r>
          </w:p>
        </w:tc>
        <w:tc>
          <w:tcPr>
            <w:tcW w:w="2186" w:type="dxa"/>
            <w:noWrap/>
            <w:hideMark/>
          </w:tcPr>
          <w:p w14:paraId="357D31B7" w14:textId="77777777" w:rsidR="00A60D4B" w:rsidRPr="007064D8" w:rsidRDefault="00A60D4B" w:rsidP="00A60D4B">
            <w:pPr>
              <w:jc w:val="right"/>
              <w:rPr>
                <w:sz w:val="16"/>
                <w:szCs w:val="16"/>
              </w:rPr>
            </w:pPr>
            <w:r w:rsidRPr="007064D8">
              <w:rPr>
                <w:sz w:val="16"/>
                <w:szCs w:val="16"/>
              </w:rPr>
              <w:t>2020-21</w:t>
            </w:r>
          </w:p>
        </w:tc>
        <w:tc>
          <w:tcPr>
            <w:tcW w:w="946" w:type="dxa"/>
            <w:noWrap/>
            <w:hideMark/>
          </w:tcPr>
          <w:p w14:paraId="1EE8FD85" w14:textId="77777777" w:rsidR="00A60D4B" w:rsidRPr="007064D8" w:rsidRDefault="00A60D4B" w:rsidP="00A60D4B">
            <w:pPr>
              <w:jc w:val="right"/>
              <w:rPr>
                <w:sz w:val="16"/>
                <w:szCs w:val="16"/>
              </w:rPr>
            </w:pPr>
            <w:r w:rsidRPr="007064D8">
              <w:rPr>
                <w:sz w:val="16"/>
                <w:szCs w:val="16"/>
              </w:rPr>
              <w:t>$33,700</w:t>
            </w:r>
          </w:p>
        </w:tc>
        <w:tc>
          <w:tcPr>
            <w:tcW w:w="848" w:type="dxa"/>
            <w:noWrap/>
            <w:hideMark/>
          </w:tcPr>
          <w:p w14:paraId="6B528818" w14:textId="77777777" w:rsidR="00A60D4B" w:rsidRPr="007064D8" w:rsidRDefault="00A60D4B" w:rsidP="00A60D4B">
            <w:pPr>
              <w:jc w:val="right"/>
              <w:rPr>
                <w:sz w:val="16"/>
                <w:szCs w:val="16"/>
              </w:rPr>
            </w:pPr>
            <w:r w:rsidRPr="007064D8">
              <w:rPr>
                <w:sz w:val="16"/>
                <w:szCs w:val="16"/>
              </w:rPr>
              <w:t>$3,586</w:t>
            </w:r>
          </w:p>
        </w:tc>
        <w:tc>
          <w:tcPr>
            <w:tcW w:w="1077" w:type="dxa"/>
            <w:noWrap/>
            <w:hideMark/>
          </w:tcPr>
          <w:p w14:paraId="583BE413" w14:textId="77777777" w:rsidR="00A60D4B" w:rsidRPr="007064D8" w:rsidRDefault="00A60D4B" w:rsidP="00A60D4B">
            <w:pPr>
              <w:jc w:val="right"/>
              <w:rPr>
                <w:sz w:val="16"/>
                <w:szCs w:val="16"/>
              </w:rPr>
            </w:pPr>
            <w:r w:rsidRPr="007064D8">
              <w:rPr>
                <w:sz w:val="16"/>
                <w:szCs w:val="16"/>
              </w:rPr>
              <w:t>$948</w:t>
            </w:r>
          </w:p>
        </w:tc>
        <w:tc>
          <w:tcPr>
            <w:tcW w:w="1077" w:type="dxa"/>
            <w:noWrap/>
            <w:hideMark/>
          </w:tcPr>
          <w:p w14:paraId="0CA9815A"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5DD40201" w14:textId="77777777" w:rsidR="00A60D4B" w:rsidRPr="007064D8" w:rsidRDefault="00A60D4B" w:rsidP="00A60D4B">
            <w:pPr>
              <w:jc w:val="right"/>
              <w:rPr>
                <w:sz w:val="16"/>
                <w:szCs w:val="16"/>
              </w:rPr>
            </w:pPr>
            <w:r w:rsidRPr="007064D8">
              <w:rPr>
                <w:sz w:val="16"/>
                <w:szCs w:val="16"/>
              </w:rPr>
              <w:t>$0</w:t>
            </w:r>
          </w:p>
        </w:tc>
        <w:tc>
          <w:tcPr>
            <w:tcW w:w="850" w:type="dxa"/>
            <w:noWrap/>
            <w:hideMark/>
          </w:tcPr>
          <w:p w14:paraId="295DD5ED" w14:textId="77777777" w:rsidR="00A60D4B" w:rsidRPr="007064D8" w:rsidRDefault="00A60D4B" w:rsidP="00A60D4B">
            <w:pPr>
              <w:jc w:val="right"/>
              <w:rPr>
                <w:sz w:val="16"/>
                <w:szCs w:val="16"/>
              </w:rPr>
            </w:pPr>
            <w:r w:rsidRPr="007064D8">
              <w:rPr>
                <w:sz w:val="16"/>
                <w:szCs w:val="16"/>
              </w:rPr>
              <w:t>$1,020</w:t>
            </w:r>
          </w:p>
        </w:tc>
        <w:tc>
          <w:tcPr>
            <w:tcW w:w="992" w:type="dxa"/>
            <w:gridSpan w:val="2"/>
            <w:noWrap/>
            <w:hideMark/>
          </w:tcPr>
          <w:p w14:paraId="0FE4BEB7" w14:textId="77777777" w:rsidR="00A60D4B" w:rsidRPr="007064D8" w:rsidRDefault="00A60D4B" w:rsidP="00A60D4B">
            <w:pPr>
              <w:jc w:val="right"/>
              <w:rPr>
                <w:sz w:val="16"/>
                <w:szCs w:val="16"/>
              </w:rPr>
            </w:pPr>
            <w:r w:rsidRPr="007064D8">
              <w:rPr>
                <w:sz w:val="16"/>
                <w:szCs w:val="16"/>
              </w:rPr>
              <w:t>$885</w:t>
            </w:r>
          </w:p>
        </w:tc>
        <w:tc>
          <w:tcPr>
            <w:tcW w:w="709" w:type="dxa"/>
            <w:gridSpan w:val="2"/>
            <w:noWrap/>
            <w:hideMark/>
          </w:tcPr>
          <w:p w14:paraId="55752F3F" w14:textId="77777777" w:rsidR="00A60D4B" w:rsidRPr="007064D8" w:rsidRDefault="00A60D4B" w:rsidP="00A60D4B">
            <w:pPr>
              <w:jc w:val="right"/>
              <w:rPr>
                <w:sz w:val="16"/>
                <w:szCs w:val="16"/>
              </w:rPr>
            </w:pPr>
            <w:r w:rsidRPr="007064D8">
              <w:rPr>
                <w:sz w:val="16"/>
                <w:szCs w:val="16"/>
              </w:rPr>
              <w:t>$0</w:t>
            </w:r>
          </w:p>
        </w:tc>
        <w:tc>
          <w:tcPr>
            <w:tcW w:w="992" w:type="dxa"/>
            <w:gridSpan w:val="2"/>
            <w:noWrap/>
            <w:hideMark/>
          </w:tcPr>
          <w:p w14:paraId="0BA269A5" w14:textId="77777777" w:rsidR="00A60D4B" w:rsidRPr="007064D8" w:rsidRDefault="00A60D4B" w:rsidP="00A60D4B">
            <w:pPr>
              <w:jc w:val="right"/>
              <w:rPr>
                <w:sz w:val="16"/>
                <w:szCs w:val="16"/>
              </w:rPr>
            </w:pPr>
            <w:r w:rsidRPr="007064D8">
              <w:rPr>
                <w:sz w:val="16"/>
                <w:szCs w:val="16"/>
              </w:rPr>
              <w:t>$0</w:t>
            </w:r>
          </w:p>
        </w:tc>
        <w:tc>
          <w:tcPr>
            <w:tcW w:w="851" w:type="dxa"/>
            <w:gridSpan w:val="2"/>
            <w:noWrap/>
            <w:hideMark/>
          </w:tcPr>
          <w:p w14:paraId="70BB85AD" w14:textId="77777777" w:rsidR="00A60D4B" w:rsidRPr="007064D8" w:rsidRDefault="00A60D4B" w:rsidP="00A60D4B">
            <w:pPr>
              <w:jc w:val="right"/>
              <w:rPr>
                <w:sz w:val="16"/>
                <w:szCs w:val="16"/>
              </w:rPr>
            </w:pPr>
            <w:r w:rsidRPr="007064D8">
              <w:rPr>
                <w:sz w:val="16"/>
                <w:szCs w:val="16"/>
              </w:rPr>
              <w:t>$4,740</w:t>
            </w:r>
          </w:p>
        </w:tc>
        <w:tc>
          <w:tcPr>
            <w:tcW w:w="992" w:type="dxa"/>
            <w:gridSpan w:val="2"/>
            <w:noWrap/>
            <w:hideMark/>
          </w:tcPr>
          <w:p w14:paraId="65043A87" w14:textId="77777777" w:rsidR="00A60D4B" w:rsidRPr="007064D8" w:rsidRDefault="00A60D4B" w:rsidP="00A60D4B">
            <w:pPr>
              <w:jc w:val="right"/>
              <w:rPr>
                <w:sz w:val="16"/>
                <w:szCs w:val="16"/>
              </w:rPr>
            </w:pPr>
            <w:r w:rsidRPr="007064D8">
              <w:rPr>
                <w:sz w:val="16"/>
                <w:szCs w:val="16"/>
              </w:rPr>
              <w:t>$</w:t>
            </w:r>
            <w:r>
              <w:rPr>
                <w:sz w:val="16"/>
                <w:szCs w:val="16"/>
              </w:rPr>
              <w:t>70</w:t>
            </w:r>
            <w:r w:rsidRPr="007064D8">
              <w:rPr>
                <w:sz w:val="16"/>
                <w:szCs w:val="16"/>
              </w:rPr>
              <w:t>0</w:t>
            </w:r>
          </w:p>
        </w:tc>
        <w:tc>
          <w:tcPr>
            <w:tcW w:w="964" w:type="dxa"/>
            <w:gridSpan w:val="2"/>
            <w:noWrap/>
            <w:hideMark/>
          </w:tcPr>
          <w:p w14:paraId="6E463078" w14:textId="77777777" w:rsidR="00A60D4B" w:rsidRPr="007064D8" w:rsidRDefault="00A60D4B" w:rsidP="00A60D4B">
            <w:pPr>
              <w:jc w:val="right"/>
              <w:rPr>
                <w:sz w:val="16"/>
                <w:szCs w:val="16"/>
              </w:rPr>
            </w:pPr>
            <w:r w:rsidRPr="007064D8">
              <w:rPr>
                <w:sz w:val="16"/>
                <w:szCs w:val="16"/>
              </w:rPr>
              <w:t>$2</w:t>
            </w:r>
            <w:r>
              <w:rPr>
                <w:sz w:val="16"/>
                <w:szCs w:val="16"/>
              </w:rPr>
              <w:t>6,887</w:t>
            </w:r>
          </w:p>
        </w:tc>
      </w:tr>
      <w:tr w:rsidR="00A60D4B" w:rsidRPr="007064D8" w14:paraId="3F4D0BA3" w14:textId="77777777" w:rsidTr="00A60D4B">
        <w:trPr>
          <w:trHeight w:val="288"/>
        </w:trPr>
        <w:tc>
          <w:tcPr>
            <w:tcW w:w="410" w:type="dxa"/>
            <w:noWrap/>
            <w:hideMark/>
          </w:tcPr>
          <w:p w14:paraId="4570E079" w14:textId="77777777" w:rsidR="00A60D4B" w:rsidRPr="007064D8" w:rsidRDefault="00A60D4B" w:rsidP="00A60D4B">
            <w:pPr>
              <w:rPr>
                <w:sz w:val="16"/>
                <w:szCs w:val="16"/>
              </w:rPr>
            </w:pPr>
            <w:r w:rsidRPr="007064D8">
              <w:rPr>
                <w:sz w:val="16"/>
                <w:szCs w:val="16"/>
              </w:rPr>
              <w:t> </w:t>
            </w:r>
          </w:p>
        </w:tc>
        <w:tc>
          <w:tcPr>
            <w:tcW w:w="2186" w:type="dxa"/>
            <w:noWrap/>
            <w:hideMark/>
          </w:tcPr>
          <w:p w14:paraId="166067B6" w14:textId="77777777" w:rsidR="00A60D4B" w:rsidRPr="007064D8" w:rsidRDefault="00A60D4B" w:rsidP="00A60D4B">
            <w:pPr>
              <w:jc w:val="right"/>
              <w:rPr>
                <w:sz w:val="16"/>
                <w:szCs w:val="16"/>
              </w:rPr>
            </w:pPr>
            <w:r w:rsidRPr="007064D8">
              <w:rPr>
                <w:sz w:val="16"/>
                <w:szCs w:val="16"/>
              </w:rPr>
              <w:t>2021-22</w:t>
            </w:r>
          </w:p>
        </w:tc>
        <w:tc>
          <w:tcPr>
            <w:tcW w:w="946" w:type="dxa"/>
            <w:noWrap/>
            <w:hideMark/>
          </w:tcPr>
          <w:p w14:paraId="0B777E39" w14:textId="77777777" w:rsidR="00A60D4B" w:rsidRPr="007064D8" w:rsidRDefault="00A60D4B" w:rsidP="00A60D4B">
            <w:pPr>
              <w:jc w:val="right"/>
              <w:rPr>
                <w:sz w:val="16"/>
                <w:szCs w:val="16"/>
              </w:rPr>
            </w:pPr>
            <w:r w:rsidRPr="007064D8">
              <w:rPr>
                <w:sz w:val="16"/>
                <w:szCs w:val="16"/>
              </w:rPr>
              <w:t>$34,200</w:t>
            </w:r>
          </w:p>
        </w:tc>
        <w:tc>
          <w:tcPr>
            <w:tcW w:w="848" w:type="dxa"/>
            <w:noWrap/>
            <w:hideMark/>
          </w:tcPr>
          <w:p w14:paraId="023200AA" w14:textId="77777777" w:rsidR="00A60D4B" w:rsidRPr="007064D8" w:rsidRDefault="00A60D4B" w:rsidP="00A60D4B">
            <w:pPr>
              <w:jc w:val="right"/>
              <w:rPr>
                <w:sz w:val="16"/>
                <w:szCs w:val="16"/>
              </w:rPr>
            </w:pPr>
            <w:r w:rsidRPr="007064D8">
              <w:rPr>
                <w:sz w:val="16"/>
                <w:szCs w:val="16"/>
              </w:rPr>
              <w:t>$2,174</w:t>
            </w:r>
          </w:p>
        </w:tc>
        <w:tc>
          <w:tcPr>
            <w:tcW w:w="1077" w:type="dxa"/>
            <w:noWrap/>
            <w:hideMark/>
          </w:tcPr>
          <w:p w14:paraId="535036D3" w14:textId="77777777" w:rsidR="00A60D4B" w:rsidRPr="007064D8" w:rsidRDefault="00A60D4B" w:rsidP="00A60D4B">
            <w:pPr>
              <w:jc w:val="right"/>
              <w:rPr>
                <w:sz w:val="16"/>
                <w:szCs w:val="16"/>
              </w:rPr>
            </w:pPr>
            <w:r w:rsidRPr="007064D8">
              <w:rPr>
                <w:sz w:val="16"/>
                <w:szCs w:val="16"/>
              </w:rPr>
              <w:t>$848</w:t>
            </w:r>
          </w:p>
        </w:tc>
        <w:tc>
          <w:tcPr>
            <w:tcW w:w="1077" w:type="dxa"/>
            <w:noWrap/>
            <w:hideMark/>
          </w:tcPr>
          <w:p w14:paraId="475417EB" w14:textId="77777777" w:rsidR="00A60D4B" w:rsidRPr="007064D8" w:rsidRDefault="00A60D4B" w:rsidP="00A60D4B">
            <w:pPr>
              <w:jc w:val="right"/>
              <w:rPr>
                <w:sz w:val="16"/>
                <w:szCs w:val="16"/>
              </w:rPr>
            </w:pPr>
            <w:r w:rsidRPr="007064D8">
              <w:rPr>
                <w:sz w:val="16"/>
                <w:szCs w:val="16"/>
              </w:rPr>
              <w:t>$7,422</w:t>
            </w:r>
          </w:p>
        </w:tc>
        <w:tc>
          <w:tcPr>
            <w:tcW w:w="1077" w:type="dxa"/>
            <w:noWrap/>
            <w:hideMark/>
          </w:tcPr>
          <w:p w14:paraId="002665FF" w14:textId="77777777" w:rsidR="00A60D4B" w:rsidRPr="007064D8" w:rsidRDefault="00A60D4B" w:rsidP="00A60D4B">
            <w:pPr>
              <w:jc w:val="right"/>
              <w:rPr>
                <w:sz w:val="16"/>
                <w:szCs w:val="16"/>
              </w:rPr>
            </w:pPr>
            <w:r w:rsidRPr="007064D8">
              <w:rPr>
                <w:sz w:val="16"/>
                <w:szCs w:val="16"/>
              </w:rPr>
              <w:t>$7,422</w:t>
            </w:r>
          </w:p>
        </w:tc>
        <w:tc>
          <w:tcPr>
            <w:tcW w:w="850" w:type="dxa"/>
            <w:noWrap/>
            <w:hideMark/>
          </w:tcPr>
          <w:p w14:paraId="5C239006" w14:textId="77777777" w:rsidR="00A60D4B" w:rsidRPr="007064D8" w:rsidRDefault="00A60D4B" w:rsidP="00A60D4B">
            <w:pPr>
              <w:jc w:val="right"/>
              <w:rPr>
                <w:sz w:val="16"/>
                <w:szCs w:val="16"/>
              </w:rPr>
            </w:pPr>
            <w:r w:rsidRPr="007064D8">
              <w:rPr>
                <w:sz w:val="16"/>
                <w:szCs w:val="16"/>
              </w:rPr>
              <w:t>$1,054</w:t>
            </w:r>
          </w:p>
        </w:tc>
        <w:tc>
          <w:tcPr>
            <w:tcW w:w="992" w:type="dxa"/>
            <w:gridSpan w:val="2"/>
            <w:noWrap/>
            <w:hideMark/>
          </w:tcPr>
          <w:p w14:paraId="5B590C59" w14:textId="77777777" w:rsidR="00A60D4B" w:rsidRPr="007064D8" w:rsidRDefault="00A60D4B" w:rsidP="00A60D4B">
            <w:pPr>
              <w:jc w:val="right"/>
              <w:rPr>
                <w:sz w:val="16"/>
                <w:szCs w:val="16"/>
              </w:rPr>
            </w:pPr>
            <w:r w:rsidRPr="007064D8">
              <w:rPr>
                <w:sz w:val="16"/>
                <w:szCs w:val="16"/>
              </w:rPr>
              <w:t>$900</w:t>
            </w:r>
          </w:p>
        </w:tc>
        <w:tc>
          <w:tcPr>
            <w:tcW w:w="709" w:type="dxa"/>
            <w:gridSpan w:val="2"/>
            <w:noWrap/>
            <w:hideMark/>
          </w:tcPr>
          <w:p w14:paraId="023B9637" w14:textId="77777777" w:rsidR="00A60D4B" w:rsidRPr="007064D8" w:rsidRDefault="00A60D4B" w:rsidP="00A60D4B">
            <w:pPr>
              <w:jc w:val="right"/>
              <w:rPr>
                <w:sz w:val="16"/>
                <w:szCs w:val="16"/>
              </w:rPr>
            </w:pPr>
            <w:r w:rsidRPr="007064D8">
              <w:rPr>
                <w:sz w:val="16"/>
                <w:szCs w:val="16"/>
              </w:rPr>
              <w:t>$0</w:t>
            </w:r>
          </w:p>
        </w:tc>
        <w:tc>
          <w:tcPr>
            <w:tcW w:w="992" w:type="dxa"/>
            <w:gridSpan w:val="2"/>
            <w:noWrap/>
            <w:hideMark/>
          </w:tcPr>
          <w:p w14:paraId="42FE7454" w14:textId="77777777" w:rsidR="00A60D4B" w:rsidRPr="007064D8" w:rsidRDefault="00A60D4B" w:rsidP="00A60D4B">
            <w:pPr>
              <w:jc w:val="right"/>
              <w:rPr>
                <w:sz w:val="16"/>
                <w:szCs w:val="16"/>
              </w:rPr>
            </w:pPr>
            <w:r w:rsidRPr="007064D8">
              <w:rPr>
                <w:sz w:val="16"/>
                <w:szCs w:val="16"/>
              </w:rPr>
              <w:t>$0</w:t>
            </w:r>
          </w:p>
        </w:tc>
        <w:tc>
          <w:tcPr>
            <w:tcW w:w="851" w:type="dxa"/>
            <w:gridSpan w:val="2"/>
            <w:noWrap/>
            <w:hideMark/>
          </w:tcPr>
          <w:p w14:paraId="36C184C6" w14:textId="77777777" w:rsidR="00A60D4B" w:rsidRPr="007064D8" w:rsidRDefault="00A60D4B" w:rsidP="00A60D4B">
            <w:pPr>
              <w:jc w:val="right"/>
              <w:rPr>
                <w:sz w:val="16"/>
                <w:szCs w:val="16"/>
              </w:rPr>
            </w:pPr>
            <w:r w:rsidRPr="007064D8">
              <w:rPr>
                <w:sz w:val="16"/>
                <w:szCs w:val="16"/>
              </w:rPr>
              <w:t>$4,973</w:t>
            </w:r>
          </w:p>
        </w:tc>
        <w:tc>
          <w:tcPr>
            <w:tcW w:w="992" w:type="dxa"/>
            <w:gridSpan w:val="2"/>
            <w:noWrap/>
            <w:hideMark/>
          </w:tcPr>
          <w:p w14:paraId="390F6AA2" w14:textId="77777777" w:rsidR="00A60D4B" w:rsidRPr="007064D8" w:rsidRDefault="00A60D4B" w:rsidP="00A60D4B">
            <w:pPr>
              <w:jc w:val="right"/>
              <w:rPr>
                <w:sz w:val="16"/>
                <w:szCs w:val="16"/>
              </w:rPr>
            </w:pPr>
            <w:r w:rsidRPr="007064D8">
              <w:rPr>
                <w:sz w:val="16"/>
                <w:szCs w:val="16"/>
              </w:rPr>
              <w:t>$</w:t>
            </w:r>
            <w:r>
              <w:rPr>
                <w:sz w:val="16"/>
                <w:szCs w:val="16"/>
              </w:rPr>
              <w:t>1,0</w:t>
            </w:r>
            <w:r w:rsidRPr="007064D8">
              <w:rPr>
                <w:sz w:val="16"/>
                <w:szCs w:val="16"/>
              </w:rPr>
              <w:t>00</w:t>
            </w:r>
          </w:p>
        </w:tc>
        <w:tc>
          <w:tcPr>
            <w:tcW w:w="964" w:type="dxa"/>
            <w:gridSpan w:val="2"/>
            <w:noWrap/>
            <w:hideMark/>
          </w:tcPr>
          <w:p w14:paraId="1F7AA65D" w14:textId="77777777" w:rsidR="00A60D4B" w:rsidRPr="007064D8" w:rsidRDefault="00A60D4B" w:rsidP="00A60D4B">
            <w:pPr>
              <w:jc w:val="right"/>
              <w:rPr>
                <w:sz w:val="16"/>
                <w:szCs w:val="16"/>
              </w:rPr>
            </w:pPr>
            <w:r w:rsidRPr="007064D8">
              <w:rPr>
                <w:sz w:val="16"/>
                <w:szCs w:val="16"/>
              </w:rPr>
              <w:t>$28,</w:t>
            </w:r>
            <w:r>
              <w:rPr>
                <w:sz w:val="16"/>
                <w:szCs w:val="16"/>
              </w:rPr>
              <w:t>7</w:t>
            </w:r>
            <w:r w:rsidRPr="007064D8">
              <w:rPr>
                <w:sz w:val="16"/>
                <w:szCs w:val="16"/>
              </w:rPr>
              <w:t>47</w:t>
            </w:r>
          </w:p>
        </w:tc>
      </w:tr>
      <w:tr w:rsidR="00A60D4B" w:rsidRPr="007064D8" w14:paraId="67B9CCAC" w14:textId="77777777" w:rsidTr="00A60D4B">
        <w:trPr>
          <w:trHeight w:val="288"/>
        </w:trPr>
        <w:tc>
          <w:tcPr>
            <w:tcW w:w="410" w:type="dxa"/>
            <w:noWrap/>
            <w:hideMark/>
          </w:tcPr>
          <w:p w14:paraId="09C43B7E" w14:textId="77777777" w:rsidR="00A60D4B" w:rsidRPr="007064D8" w:rsidRDefault="00A60D4B" w:rsidP="00A60D4B">
            <w:pPr>
              <w:rPr>
                <w:sz w:val="16"/>
                <w:szCs w:val="16"/>
              </w:rPr>
            </w:pPr>
            <w:r w:rsidRPr="007064D8">
              <w:rPr>
                <w:sz w:val="16"/>
                <w:szCs w:val="16"/>
              </w:rPr>
              <w:t> </w:t>
            </w:r>
          </w:p>
        </w:tc>
        <w:tc>
          <w:tcPr>
            <w:tcW w:w="2186" w:type="dxa"/>
            <w:noWrap/>
            <w:hideMark/>
          </w:tcPr>
          <w:p w14:paraId="482B0AFE" w14:textId="77777777" w:rsidR="00A60D4B" w:rsidRPr="007064D8" w:rsidRDefault="00A60D4B" w:rsidP="00A60D4B">
            <w:pPr>
              <w:rPr>
                <w:sz w:val="16"/>
                <w:szCs w:val="16"/>
              </w:rPr>
            </w:pPr>
            <w:r w:rsidRPr="007064D8">
              <w:rPr>
                <w:sz w:val="16"/>
                <w:szCs w:val="16"/>
              </w:rPr>
              <w:t> </w:t>
            </w:r>
          </w:p>
        </w:tc>
        <w:tc>
          <w:tcPr>
            <w:tcW w:w="946" w:type="dxa"/>
            <w:noWrap/>
            <w:hideMark/>
          </w:tcPr>
          <w:p w14:paraId="36519149" w14:textId="77777777" w:rsidR="00A60D4B" w:rsidRPr="007064D8" w:rsidRDefault="00A60D4B" w:rsidP="00A60D4B">
            <w:pPr>
              <w:jc w:val="right"/>
              <w:rPr>
                <w:sz w:val="16"/>
                <w:szCs w:val="16"/>
              </w:rPr>
            </w:pPr>
            <w:r w:rsidRPr="007064D8">
              <w:rPr>
                <w:sz w:val="16"/>
                <w:szCs w:val="16"/>
              </w:rPr>
              <w:t> </w:t>
            </w:r>
          </w:p>
        </w:tc>
        <w:tc>
          <w:tcPr>
            <w:tcW w:w="848" w:type="dxa"/>
            <w:noWrap/>
            <w:hideMark/>
          </w:tcPr>
          <w:p w14:paraId="723F5D48" w14:textId="77777777" w:rsidR="00A60D4B" w:rsidRPr="007064D8" w:rsidRDefault="00A60D4B" w:rsidP="00A60D4B">
            <w:pPr>
              <w:jc w:val="right"/>
              <w:rPr>
                <w:sz w:val="16"/>
                <w:szCs w:val="16"/>
              </w:rPr>
            </w:pPr>
          </w:p>
        </w:tc>
        <w:tc>
          <w:tcPr>
            <w:tcW w:w="1077" w:type="dxa"/>
            <w:noWrap/>
            <w:hideMark/>
          </w:tcPr>
          <w:p w14:paraId="03EA831A" w14:textId="77777777" w:rsidR="00A60D4B" w:rsidRPr="007064D8" w:rsidRDefault="00A60D4B" w:rsidP="00A60D4B">
            <w:pPr>
              <w:jc w:val="right"/>
              <w:rPr>
                <w:sz w:val="16"/>
                <w:szCs w:val="16"/>
              </w:rPr>
            </w:pPr>
          </w:p>
        </w:tc>
        <w:tc>
          <w:tcPr>
            <w:tcW w:w="1077" w:type="dxa"/>
            <w:noWrap/>
            <w:hideMark/>
          </w:tcPr>
          <w:p w14:paraId="56B43E4E" w14:textId="77777777" w:rsidR="00A60D4B" w:rsidRPr="007064D8" w:rsidRDefault="00A60D4B" w:rsidP="00A60D4B">
            <w:pPr>
              <w:jc w:val="right"/>
              <w:rPr>
                <w:sz w:val="16"/>
                <w:szCs w:val="16"/>
              </w:rPr>
            </w:pPr>
          </w:p>
        </w:tc>
        <w:tc>
          <w:tcPr>
            <w:tcW w:w="1077" w:type="dxa"/>
            <w:noWrap/>
            <w:hideMark/>
          </w:tcPr>
          <w:p w14:paraId="5BC72993" w14:textId="77777777" w:rsidR="00A60D4B" w:rsidRPr="007064D8" w:rsidRDefault="00A60D4B" w:rsidP="00A60D4B">
            <w:pPr>
              <w:jc w:val="right"/>
              <w:rPr>
                <w:sz w:val="16"/>
                <w:szCs w:val="16"/>
              </w:rPr>
            </w:pPr>
          </w:p>
        </w:tc>
        <w:tc>
          <w:tcPr>
            <w:tcW w:w="850" w:type="dxa"/>
            <w:noWrap/>
            <w:hideMark/>
          </w:tcPr>
          <w:p w14:paraId="0292D42F" w14:textId="77777777" w:rsidR="00A60D4B" w:rsidRPr="007064D8" w:rsidRDefault="00A60D4B" w:rsidP="00A60D4B">
            <w:pPr>
              <w:jc w:val="right"/>
              <w:rPr>
                <w:sz w:val="16"/>
                <w:szCs w:val="16"/>
              </w:rPr>
            </w:pPr>
          </w:p>
        </w:tc>
        <w:tc>
          <w:tcPr>
            <w:tcW w:w="992" w:type="dxa"/>
            <w:gridSpan w:val="2"/>
            <w:noWrap/>
            <w:hideMark/>
          </w:tcPr>
          <w:p w14:paraId="55E2B224" w14:textId="77777777" w:rsidR="00A60D4B" w:rsidRPr="007064D8" w:rsidRDefault="00A60D4B" w:rsidP="00A60D4B">
            <w:pPr>
              <w:jc w:val="right"/>
              <w:rPr>
                <w:sz w:val="16"/>
                <w:szCs w:val="16"/>
              </w:rPr>
            </w:pPr>
          </w:p>
        </w:tc>
        <w:tc>
          <w:tcPr>
            <w:tcW w:w="709" w:type="dxa"/>
            <w:gridSpan w:val="2"/>
            <w:noWrap/>
            <w:hideMark/>
          </w:tcPr>
          <w:p w14:paraId="74D8E937" w14:textId="77777777" w:rsidR="00A60D4B" w:rsidRPr="007064D8" w:rsidRDefault="00A60D4B" w:rsidP="00A60D4B">
            <w:pPr>
              <w:jc w:val="right"/>
              <w:rPr>
                <w:sz w:val="16"/>
                <w:szCs w:val="16"/>
              </w:rPr>
            </w:pPr>
          </w:p>
        </w:tc>
        <w:tc>
          <w:tcPr>
            <w:tcW w:w="992" w:type="dxa"/>
            <w:gridSpan w:val="2"/>
            <w:noWrap/>
            <w:hideMark/>
          </w:tcPr>
          <w:p w14:paraId="4077E787" w14:textId="77777777" w:rsidR="00A60D4B" w:rsidRPr="007064D8" w:rsidRDefault="00A60D4B" w:rsidP="00A60D4B">
            <w:pPr>
              <w:jc w:val="right"/>
              <w:rPr>
                <w:sz w:val="16"/>
                <w:szCs w:val="16"/>
              </w:rPr>
            </w:pPr>
          </w:p>
        </w:tc>
        <w:tc>
          <w:tcPr>
            <w:tcW w:w="851" w:type="dxa"/>
            <w:gridSpan w:val="2"/>
            <w:noWrap/>
            <w:hideMark/>
          </w:tcPr>
          <w:p w14:paraId="52FA0C52" w14:textId="77777777" w:rsidR="00A60D4B" w:rsidRPr="007064D8" w:rsidRDefault="00A60D4B" w:rsidP="00A60D4B">
            <w:pPr>
              <w:jc w:val="right"/>
              <w:rPr>
                <w:sz w:val="16"/>
                <w:szCs w:val="16"/>
              </w:rPr>
            </w:pPr>
          </w:p>
        </w:tc>
        <w:tc>
          <w:tcPr>
            <w:tcW w:w="992" w:type="dxa"/>
            <w:gridSpan w:val="2"/>
            <w:noWrap/>
            <w:hideMark/>
          </w:tcPr>
          <w:p w14:paraId="5DB77D4E" w14:textId="77777777" w:rsidR="00A60D4B" w:rsidRPr="007064D8" w:rsidRDefault="00A60D4B" w:rsidP="00A60D4B">
            <w:pPr>
              <w:jc w:val="right"/>
              <w:rPr>
                <w:sz w:val="16"/>
                <w:szCs w:val="16"/>
              </w:rPr>
            </w:pPr>
            <w:r w:rsidRPr="007064D8">
              <w:rPr>
                <w:sz w:val="16"/>
                <w:szCs w:val="16"/>
              </w:rPr>
              <w:t xml:space="preserve"> Change </w:t>
            </w:r>
          </w:p>
        </w:tc>
        <w:tc>
          <w:tcPr>
            <w:tcW w:w="964" w:type="dxa"/>
            <w:gridSpan w:val="2"/>
            <w:noWrap/>
            <w:hideMark/>
          </w:tcPr>
          <w:p w14:paraId="634EF92B" w14:textId="77777777" w:rsidR="00A60D4B" w:rsidRPr="007064D8" w:rsidRDefault="00A60D4B" w:rsidP="00A60D4B">
            <w:pPr>
              <w:jc w:val="right"/>
              <w:rPr>
                <w:sz w:val="16"/>
                <w:szCs w:val="16"/>
              </w:rPr>
            </w:pPr>
            <w:r w:rsidRPr="007064D8">
              <w:rPr>
                <w:sz w:val="16"/>
                <w:szCs w:val="16"/>
              </w:rPr>
              <w:t>$1,</w:t>
            </w:r>
            <w:r>
              <w:rPr>
                <w:sz w:val="16"/>
                <w:szCs w:val="16"/>
              </w:rPr>
              <w:t>860</w:t>
            </w:r>
          </w:p>
        </w:tc>
      </w:tr>
      <w:tr w:rsidR="00A60D4B" w:rsidRPr="007064D8" w14:paraId="22ECB9F4" w14:textId="77777777" w:rsidTr="00A60D4B">
        <w:trPr>
          <w:trHeight w:val="636"/>
        </w:trPr>
        <w:tc>
          <w:tcPr>
            <w:tcW w:w="410" w:type="dxa"/>
            <w:noWrap/>
            <w:hideMark/>
          </w:tcPr>
          <w:p w14:paraId="5DEDCB75" w14:textId="77777777" w:rsidR="00A60D4B" w:rsidRPr="007064D8" w:rsidRDefault="00A60D4B" w:rsidP="00A60D4B">
            <w:pPr>
              <w:rPr>
                <w:sz w:val="16"/>
                <w:szCs w:val="16"/>
              </w:rPr>
            </w:pPr>
            <w:r w:rsidRPr="007064D8">
              <w:rPr>
                <w:sz w:val="16"/>
                <w:szCs w:val="16"/>
              </w:rPr>
              <w:t>3</w:t>
            </w:r>
          </w:p>
        </w:tc>
        <w:tc>
          <w:tcPr>
            <w:tcW w:w="2186" w:type="dxa"/>
            <w:hideMark/>
          </w:tcPr>
          <w:p w14:paraId="06A333B4" w14:textId="77777777" w:rsidR="00A60D4B" w:rsidRPr="007064D8" w:rsidRDefault="00A60D4B" w:rsidP="00A60D4B">
            <w:pPr>
              <w:rPr>
                <w:sz w:val="16"/>
                <w:szCs w:val="16"/>
              </w:rPr>
            </w:pPr>
            <w:r w:rsidRPr="007064D8">
              <w:rPr>
                <w:sz w:val="16"/>
                <w:szCs w:val="16"/>
              </w:rPr>
              <w:t>Banks - Single parent, first income quintile</w:t>
            </w:r>
            <w:r w:rsidRPr="00235E6C">
              <w:rPr>
                <w:sz w:val="16"/>
                <w:szCs w:val="16"/>
                <w:vertAlign w:val="superscript"/>
              </w:rPr>
              <w:t>5</w:t>
            </w:r>
            <w:r w:rsidRPr="007064D8">
              <w:rPr>
                <w:sz w:val="16"/>
                <w:szCs w:val="16"/>
              </w:rPr>
              <w:t xml:space="preserve">, in own house, 1 car, 2 children </w:t>
            </w:r>
          </w:p>
        </w:tc>
        <w:tc>
          <w:tcPr>
            <w:tcW w:w="946" w:type="dxa"/>
            <w:noWrap/>
            <w:hideMark/>
          </w:tcPr>
          <w:p w14:paraId="3E033EF5" w14:textId="77777777" w:rsidR="00A60D4B" w:rsidRPr="007064D8" w:rsidRDefault="00A60D4B" w:rsidP="00A60D4B">
            <w:pPr>
              <w:jc w:val="right"/>
              <w:rPr>
                <w:sz w:val="16"/>
                <w:szCs w:val="16"/>
              </w:rPr>
            </w:pPr>
            <w:r w:rsidRPr="007064D8">
              <w:rPr>
                <w:sz w:val="16"/>
                <w:szCs w:val="16"/>
              </w:rPr>
              <w:t> </w:t>
            </w:r>
          </w:p>
        </w:tc>
        <w:tc>
          <w:tcPr>
            <w:tcW w:w="848" w:type="dxa"/>
            <w:noWrap/>
            <w:hideMark/>
          </w:tcPr>
          <w:p w14:paraId="1D930A2F" w14:textId="77777777" w:rsidR="00A60D4B" w:rsidRPr="007064D8" w:rsidRDefault="00A60D4B" w:rsidP="00A60D4B">
            <w:pPr>
              <w:jc w:val="right"/>
              <w:rPr>
                <w:sz w:val="16"/>
                <w:szCs w:val="16"/>
              </w:rPr>
            </w:pPr>
          </w:p>
        </w:tc>
        <w:tc>
          <w:tcPr>
            <w:tcW w:w="1077" w:type="dxa"/>
            <w:noWrap/>
            <w:hideMark/>
          </w:tcPr>
          <w:p w14:paraId="2CFA6400" w14:textId="77777777" w:rsidR="00A60D4B" w:rsidRPr="007064D8" w:rsidRDefault="00A60D4B" w:rsidP="00A60D4B">
            <w:pPr>
              <w:jc w:val="right"/>
              <w:rPr>
                <w:sz w:val="16"/>
                <w:szCs w:val="16"/>
              </w:rPr>
            </w:pPr>
          </w:p>
        </w:tc>
        <w:tc>
          <w:tcPr>
            <w:tcW w:w="1077" w:type="dxa"/>
            <w:noWrap/>
            <w:hideMark/>
          </w:tcPr>
          <w:p w14:paraId="1CDB0CF3" w14:textId="77777777" w:rsidR="00A60D4B" w:rsidRPr="007064D8" w:rsidRDefault="00A60D4B" w:rsidP="00A60D4B">
            <w:pPr>
              <w:jc w:val="right"/>
              <w:rPr>
                <w:sz w:val="16"/>
                <w:szCs w:val="16"/>
              </w:rPr>
            </w:pPr>
          </w:p>
        </w:tc>
        <w:tc>
          <w:tcPr>
            <w:tcW w:w="1077" w:type="dxa"/>
            <w:noWrap/>
            <w:hideMark/>
          </w:tcPr>
          <w:p w14:paraId="1A8C7B8E" w14:textId="77777777" w:rsidR="00A60D4B" w:rsidRPr="007064D8" w:rsidRDefault="00A60D4B" w:rsidP="00A60D4B">
            <w:pPr>
              <w:jc w:val="right"/>
              <w:rPr>
                <w:sz w:val="16"/>
                <w:szCs w:val="16"/>
              </w:rPr>
            </w:pPr>
          </w:p>
        </w:tc>
        <w:tc>
          <w:tcPr>
            <w:tcW w:w="850" w:type="dxa"/>
            <w:noWrap/>
            <w:hideMark/>
          </w:tcPr>
          <w:p w14:paraId="1A6CAFAF" w14:textId="77777777" w:rsidR="00A60D4B" w:rsidRPr="007064D8" w:rsidRDefault="00A60D4B" w:rsidP="00A60D4B">
            <w:pPr>
              <w:jc w:val="right"/>
              <w:rPr>
                <w:sz w:val="16"/>
                <w:szCs w:val="16"/>
              </w:rPr>
            </w:pPr>
          </w:p>
        </w:tc>
        <w:tc>
          <w:tcPr>
            <w:tcW w:w="992" w:type="dxa"/>
            <w:gridSpan w:val="2"/>
            <w:noWrap/>
            <w:hideMark/>
          </w:tcPr>
          <w:p w14:paraId="569C8FC9" w14:textId="77777777" w:rsidR="00A60D4B" w:rsidRPr="007064D8" w:rsidRDefault="00A60D4B" w:rsidP="00A60D4B">
            <w:pPr>
              <w:jc w:val="right"/>
              <w:rPr>
                <w:sz w:val="16"/>
                <w:szCs w:val="16"/>
              </w:rPr>
            </w:pPr>
          </w:p>
        </w:tc>
        <w:tc>
          <w:tcPr>
            <w:tcW w:w="709" w:type="dxa"/>
            <w:gridSpan w:val="2"/>
            <w:noWrap/>
            <w:hideMark/>
          </w:tcPr>
          <w:p w14:paraId="4F44E93C" w14:textId="77777777" w:rsidR="00A60D4B" w:rsidRPr="007064D8" w:rsidRDefault="00A60D4B" w:rsidP="00A60D4B">
            <w:pPr>
              <w:jc w:val="right"/>
              <w:rPr>
                <w:sz w:val="16"/>
                <w:szCs w:val="16"/>
              </w:rPr>
            </w:pPr>
          </w:p>
        </w:tc>
        <w:tc>
          <w:tcPr>
            <w:tcW w:w="992" w:type="dxa"/>
            <w:gridSpan w:val="2"/>
            <w:noWrap/>
            <w:hideMark/>
          </w:tcPr>
          <w:p w14:paraId="21B48D1F" w14:textId="77777777" w:rsidR="00A60D4B" w:rsidRPr="007064D8" w:rsidRDefault="00A60D4B" w:rsidP="00A60D4B">
            <w:pPr>
              <w:jc w:val="right"/>
              <w:rPr>
                <w:sz w:val="16"/>
                <w:szCs w:val="16"/>
              </w:rPr>
            </w:pPr>
          </w:p>
        </w:tc>
        <w:tc>
          <w:tcPr>
            <w:tcW w:w="851" w:type="dxa"/>
            <w:gridSpan w:val="2"/>
            <w:noWrap/>
            <w:hideMark/>
          </w:tcPr>
          <w:p w14:paraId="2696AE70" w14:textId="77777777" w:rsidR="00A60D4B" w:rsidRPr="007064D8" w:rsidRDefault="00A60D4B" w:rsidP="00A60D4B">
            <w:pPr>
              <w:jc w:val="right"/>
              <w:rPr>
                <w:sz w:val="16"/>
                <w:szCs w:val="16"/>
              </w:rPr>
            </w:pPr>
          </w:p>
        </w:tc>
        <w:tc>
          <w:tcPr>
            <w:tcW w:w="992" w:type="dxa"/>
            <w:gridSpan w:val="2"/>
            <w:noWrap/>
            <w:hideMark/>
          </w:tcPr>
          <w:p w14:paraId="7DAEBFCC" w14:textId="77777777" w:rsidR="00A60D4B" w:rsidRPr="007064D8" w:rsidRDefault="00A60D4B" w:rsidP="00A60D4B">
            <w:pPr>
              <w:jc w:val="right"/>
              <w:rPr>
                <w:sz w:val="16"/>
                <w:szCs w:val="16"/>
              </w:rPr>
            </w:pPr>
          </w:p>
        </w:tc>
        <w:tc>
          <w:tcPr>
            <w:tcW w:w="964" w:type="dxa"/>
            <w:gridSpan w:val="2"/>
            <w:noWrap/>
            <w:hideMark/>
          </w:tcPr>
          <w:p w14:paraId="3400EF65" w14:textId="77777777" w:rsidR="00A60D4B" w:rsidRPr="007064D8" w:rsidRDefault="00A60D4B" w:rsidP="00A60D4B">
            <w:pPr>
              <w:jc w:val="right"/>
              <w:rPr>
                <w:sz w:val="16"/>
                <w:szCs w:val="16"/>
              </w:rPr>
            </w:pPr>
            <w:r w:rsidRPr="007064D8">
              <w:rPr>
                <w:sz w:val="16"/>
                <w:szCs w:val="16"/>
              </w:rPr>
              <w:t> </w:t>
            </w:r>
          </w:p>
        </w:tc>
      </w:tr>
      <w:tr w:rsidR="00A60D4B" w:rsidRPr="007064D8" w14:paraId="49A9B07A" w14:textId="77777777" w:rsidTr="00A60D4B">
        <w:trPr>
          <w:trHeight w:val="288"/>
        </w:trPr>
        <w:tc>
          <w:tcPr>
            <w:tcW w:w="410" w:type="dxa"/>
            <w:noWrap/>
            <w:hideMark/>
          </w:tcPr>
          <w:p w14:paraId="6EA68B52" w14:textId="77777777" w:rsidR="00A60D4B" w:rsidRPr="007064D8" w:rsidRDefault="00A60D4B" w:rsidP="00A60D4B">
            <w:pPr>
              <w:rPr>
                <w:sz w:val="16"/>
                <w:szCs w:val="16"/>
              </w:rPr>
            </w:pPr>
            <w:r w:rsidRPr="007064D8">
              <w:rPr>
                <w:sz w:val="16"/>
                <w:szCs w:val="16"/>
              </w:rPr>
              <w:t> </w:t>
            </w:r>
          </w:p>
        </w:tc>
        <w:tc>
          <w:tcPr>
            <w:tcW w:w="2186" w:type="dxa"/>
            <w:noWrap/>
            <w:hideMark/>
          </w:tcPr>
          <w:p w14:paraId="063BC626" w14:textId="77777777" w:rsidR="00A60D4B" w:rsidRPr="007064D8" w:rsidRDefault="00A60D4B" w:rsidP="00A60D4B">
            <w:pPr>
              <w:jc w:val="right"/>
              <w:rPr>
                <w:sz w:val="16"/>
                <w:szCs w:val="16"/>
              </w:rPr>
            </w:pPr>
            <w:r w:rsidRPr="007064D8">
              <w:rPr>
                <w:sz w:val="16"/>
                <w:szCs w:val="16"/>
              </w:rPr>
              <w:t>2020-21</w:t>
            </w:r>
          </w:p>
        </w:tc>
        <w:tc>
          <w:tcPr>
            <w:tcW w:w="946" w:type="dxa"/>
            <w:noWrap/>
            <w:hideMark/>
          </w:tcPr>
          <w:p w14:paraId="3E2D4EEF" w14:textId="77777777" w:rsidR="00A60D4B" w:rsidRPr="007064D8" w:rsidRDefault="00A60D4B" w:rsidP="00A60D4B">
            <w:pPr>
              <w:jc w:val="right"/>
              <w:rPr>
                <w:sz w:val="16"/>
                <w:szCs w:val="16"/>
              </w:rPr>
            </w:pPr>
            <w:r w:rsidRPr="007064D8">
              <w:rPr>
                <w:sz w:val="16"/>
                <w:szCs w:val="16"/>
              </w:rPr>
              <w:t>$27,900</w:t>
            </w:r>
          </w:p>
        </w:tc>
        <w:tc>
          <w:tcPr>
            <w:tcW w:w="848" w:type="dxa"/>
            <w:noWrap/>
            <w:hideMark/>
          </w:tcPr>
          <w:p w14:paraId="6B3A0A54" w14:textId="77777777" w:rsidR="00A60D4B" w:rsidRPr="007064D8" w:rsidRDefault="00A60D4B" w:rsidP="00A60D4B">
            <w:pPr>
              <w:jc w:val="right"/>
              <w:rPr>
                <w:sz w:val="16"/>
                <w:szCs w:val="16"/>
              </w:rPr>
            </w:pPr>
            <w:r w:rsidRPr="007064D8">
              <w:rPr>
                <w:sz w:val="16"/>
                <w:szCs w:val="16"/>
              </w:rPr>
              <w:t>$2,395</w:t>
            </w:r>
          </w:p>
        </w:tc>
        <w:tc>
          <w:tcPr>
            <w:tcW w:w="1077" w:type="dxa"/>
            <w:noWrap/>
            <w:hideMark/>
          </w:tcPr>
          <w:p w14:paraId="2CAB1AC0" w14:textId="77777777" w:rsidR="00A60D4B" w:rsidRPr="007064D8" w:rsidRDefault="00A60D4B" w:rsidP="00A60D4B">
            <w:pPr>
              <w:jc w:val="right"/>
              <w:rPr>
                <w:sz w:val="16"/>
                <w:szCs w:val="16"/>
              </w:rPr>
            </w:pPr>
            <w:r w:rsidRPr="007064D8">
              <w:rPr>
                <w:sz w:val="16"/>
                <w:szCs w:val="16"/>
              </w:rPr>
              <w:t>$150</w:t>
            </w:r>
          </w:p>
        </w:tc>
        <w:tc>
          <w:tcPr>
            <w:tcW w:w="1077" w:type="dxa"/>
            <w:noWrap/>
            <w:hideMark/>
          </w:tcPr>
          <w:p w14:paraId="3B2DF052"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6C6958F2" w14:textId="77777777" w:rsidR="00A60D4B" w:rsidRPr="007064D8" w:rsidRDefault="00A60D4B" w:rsidP="00A60D4B">
            <w:pPr>
              <w:jc w:val="right"/>
              <w:rPr>
                <w:sz w:val="16"/>
                <w:szCs w:val="16"/>
              </w:rPr>
            </w:pPr>
            <w:r w:rsidRPr="007064D8">
              <w:rPr>
                <w:sz w:val="16"/>
                <w:szCs w:val="16"/>
              </w:rPr>
              <w:t>$0</w:t>
            </w:r>
          </w:p>
        </w:tc>
        <w:tc>
          <w:tcPr>
            <w:tcW w:w="850" w:type="dxa"/>
            <w:noWrap/>
            <w:hideMark/>
          </w:tcPr>
          <w:p w14:paraId="20862FFB" w14:textId="77777777" w:rsidR="00A60D4B" w:rsidRPr="007064D8" w:rsidRDefault="00A60D4B" w:rsidP="00A60D4B">
            <w:pPr>
              <w:jc w:val="right"/>
              <w:rPr>
                <w:sz w:val="16"/>
                <w:szCs w:val="16"/>
              </w:rPr>
            </w:pPr>
            <w:r w:rsidRPr="007064D8">
              <w:rPr>
                <w:sz w:val="16"/>
                <w:szCs w:val="16"/>
              </w:rPr>
              <w:t>$510</w:t>
            </w:r>
          </w:p>
        </w:tc>
        <w:tc>
          <w:tcPr>
            <w:tcW w:w="992" w:type="dxa"/>
            <w:gridSpan w:val="2"/>
            <w:noWrap/>
            <w:hideMark/>
          </w:tcPr>
          <w:p w14:paraId="56EB7198" w14:textId="77777777" w:rsidR="00A60D4B" w:rsidRPr="007064D8" w:rsidRDefault="00A60D4B" w:rsidP="00A60D4B">
            <w:pPr>
              <w:jc w:val="right"/>
              <w:rPr>
                <w:sz w:val="16"/>
                <w:szCs w:val="16"/>
              </w:rPr>
            </w:pPr>
            <w:r w:rsidRPr="007064D8">
              <w:rPr>
                <w:sz w:val="16"/>
                <w:szCs w:val="16"/>
              </w:rPr>
              <w:t>$0</w:t>
            </w:r>
          </w:p>
        </w:tc>
        <w:tc>
          <w:tcPr>
            <w:tcW w:w="709" w:type="dxa"/>
            <w:gridSpan w:val="2"/>
            <w:noWrap/>
            <w:hideMark/>
          </w:tcPr>
          <w:p w14:paraId="2171C404" w14:textId="77777777" w:rsidR="00A60D4B" w:rsidRPr="007064D8" w:rsidRDefault="00A60D4B" w:rsidP="00A60D4B">
            <w:pPr>
              <w:jc w:val="right"/>
              <w:rPr>
                <w:sz w:val="16"/>
                <w:szCs w:val="16"/>
              </w:rPr>
            </w:pPr>
            <w:r w:rsidRPr="007064D8">
              <w:rPr>
                <w:sz w:val="16"/>
                <w:szCs w:val="16"/>
              </w:rPr>
              <w:t>$766</w:t>
            </w:r>
          </w:p>
        </w:tc>
        <w:tc>
          <w:tcPr>
            <w:tcW w:w="992" w:type="dxa"/>
            <w:gridSpan w:val="2"/>
            <w:noWrap/>
            <w:hideMark/>
          </w:tcPr>
          <w:p w14:paraId="2479813B" w14:textId="77777777" w:rsidR="00A60D4B" w:rsidRPr="007064D8" w:rsidRDefault="00A60D4B" w:rsidP="00A60D4B">
            <w:pPr>
              <w:jc w:val="right"/>
              <w:rPr>
                <w:sz w:val="16"/>
                <w:szCs w:val="16"/>
              </w:rPr>
            </w:pPr>
            <w:r w:rsidRPr="007064D8">
              <w:rPr>
                <w:sz w:val="16"/>
                <w:szCs w:val="16"/>
              </w:rPr>
              <w:t>$0</w:t>
            </w:r>
          </w:p>
        </w:tc>
        <w:tc>
          <w:tcPr>
            <w:tcW w:w="851" w:type="dxa"/>
            <w:gridSpan w:val="2"/>
            <w:noWrap/>
            <w:hideMark/>
          </w:tcPr>
          <w:p w14:paraId="645F7B9D" w14:textId="77777777" w:rsidR="00A60D4B" w:rsidRPr="007064D8" w:rsidRDefault="00A60D4B" w:rsidP="00A60D4B">
            <w:pPr>
              <w:jc w:val="right"/>
              <w:rPr>
                <w:sz w:val="16"/>
                <w:szCs w:val="16"/>
              </w:rPr>
            </w:pPr>
            <w:r w:rsidRPr="007064D8">
              <w:rPr>
                <w:sz w:val="16"/>
                <w:szCs w:val="16"/>
              </w:rPr>
              <w:t>$4,826</w:t>
            </w:r>
          </w:p>
        </w:tc>
        <w:tc>
          <w:tcPr>
            <w:tcW w:w="992" w:type="dxa"/>
            <w:gridSpan w:val="2"/>
            <w:noWrap/>
            <w:hideMark/>
          </w:tcPr>
          <w:p w14:paraId="3E16254E" w14:textId="77777777" w:rsidR="00A60D4B" w:rsidRPr="007064D8" w:rsidRDefault="00A60D4B" w:rsidP="00A60D4B">
            <w:pPr>
              <w:jc w:val="right"/>
              <w:rPr>
                <w:sz w:val="16"/>
                <w:szCs w:val="16"/>
              </w:rPr>
            </w:pPr>
            <w:r w:rsidRPr="007064D8">
              <w:rPr>
                <w:sz w:val="16"/>
                <w:szCs w:val="16"/>
              </w:rPr>
              <w:t>$</w:t>
            </w:r>
            <w:r>
              <w:rPr>
                <w:sz w:val="16"/>
                <w:szCs w:val="16"/>
              </w:rPr>
              <w:t>70</w:t>
            </w:r>
            <w:r w:rsidRPr="007064D8">
              <w:rPr>
                <w:sz w:val="16"/>
                <w:szCs w:val="16"/>
              </w:rPr>
              <w:t>0</w:t>
            </w:r>
          </w:p>
        </w:tc>
        <w:tc>
          <w:tcPr>
            <w:tcW w:w="964" w:type="dxa"/>
            <w:gridSpan w:val="2"/>
            <w:noWrap/>
            <w:hideMark/>
          </w:tcPr>
          <w:p w14:paraId="72A1F10F" w14:textId="77777777" w:rsidR="00A60D4B" w:rsidRPr="007064D8" w:rsidRDefault="00A60D4B" w:rsidP="00A60D4B">
            <w:pPr>
              <w:jc w:val="right"/>
              <w:rPr>
                <w:sz w:val="16"/>
                <w:szCs w:val="16"/>
              </w:rPr>
            </w:pPr>
            <w:r w:rsidRPr="007064D8">
              <w:rPr>
                <w:sz w:val="16"/>
                <w:szCs w:val="16"/>
              </w:rPr>
              <w:t>$20,</w:t>
            </w:r>
            <w:r>
              <w:rPr>
                <w:sz w:val="16"/>
                <w:szCs w:val="16"/>
              </w:rPr>
              <w:t>25</w:t>
            </w:r>
            <w:r w:rsidRPr="007064D8">
              <w:rPr>
                <w:sz w:val="16"/>
                <w:szCs w:val="16"/>
              </w:rPr>
              <w:t>3</w:t>
            </w:r>
          </w:p>
        </w:tc>
      </w:tr>
      <w:tr w:rsidR="00A60D4B" w:rsidRPr="007064D8" w14:paraId="4E07F138" w14:textId="77777777" w:rsidTr="00A60D4B">
        <w:trPr>
          <w:trHeight w:val="288"/>
        </w:trPr>
        <w:tc>
          <w:tcPr>
            <w:tcW w:w="410" w:type="dxa"/>
            <w:noWrap/>
            <w:hideMark/>
          </w:tcPr>
          <w:p w14:paraId="0DE4250B" w14:textId="77777777" w:rsidR="00A60D4B" w:rsidRPr="007064D8" w:rsidRDefault="00A60D4B" w:rsidP="00A60D4B">
            <w:pPr>
              <w:rPr>
                <w:sz w:val="16"/>
                <w:szCs w:val="16"/>
              </w:rPr>
            </w:pPr>
            <w:r w:rsidRPr="007064D8">
              <w:rPr>
                <w:sz w:val="16"/>
                <w:szCs w:val="16"/>
              </w:rPr>
              <w:t> </w:t>
            </w:r>
          </w:p>
        </w:tc>
        <w:tc>
          <w:tcPr>
            <w:tcW w:w="2186" w:type="dxa"/>
            <w:noWrap/>
            <w:hideMark/>
          </w:tcPr>
          <w:p w14:paraId="046DDFFB" w14:textId="77777777" w:rsidR="00A60D4B" w:rsidRPr="007064D8" w:rsidRDefault="00A60D4B" w:rsidP="00A60D4B">
            <w:pPr>
              <w:jc w:val="right"/>
              <w:rPr>
                <w:sz w:val="16"/>
                <w:szCs w:val="16"/>
              </w:rPr>
            </w:pPr>
            <w:r w:rsidRPr="007064D8">
              <w:rPr>
                <w:sz w:val="16"/>
                <w:szCs w:val="16"/>
              </w:rPr>
              <w:t>2021-22</w:t>
            </w:r>
          </w:p>
        </w:tc>
        <w:tc>
          <w:tcPr>
            <w:tcW w:w="946" w:type="dxa"/>
            <w:noWrap/>
            <w:hideMark/>
          </w:tcPr>
          <w:p w14:paraId="06365084" w14:textId="77777777" w:rsidR="00A60D4B" w:rsidRPr="007064D8" w:rsidRDefault="00A60D4B" w:rsidP="00A60D4B">
            <w:pPr>
              <w:jc w:val="right"/>
              <w:rPr>
                <w:sz w:val="16"/>
                <w:szCs w:val="16"/>
              </w:rPr>
            </w:pPr>
            <w:r w:rsidRPr="007064D8">
              <w:rPr>
                <w:sz w:val="16"/>
                <w:szCs w:val="16"/>
              </w:rPr>
              <w:t>$28,400</w:t>
            </w:r>
          </w:p>
        </w:tc>
        <w:tc>
          <w:tcPr>
            <w:tcW w:w="848" w:type="dxa"/>
            <w:noWrap/>
            <w:hideMark/>
          </w:tcPr>
          <w:p w14:paraId="6CBB917F" w14:textId="77777777" w:rsidR="00A60D4B" w:rsidRPr="007064D8" w:rsidRDefault="00A60D4B" w:rsidP="00A60D4B">
            <w:pPr>
              <w:jc w:val="right"/>
              <w:rPr>
                <w:sz w:val="16"/>
                <w:szCs w:val="16"/>
              </w:rPr>
            </w:pPr>
            <w:r w:rsidRPr="007064D8">
              <w:rPr>
                <w:sz w:val="16"/>
                <w:szCs w:val="16"/>
              </w:rPr>
              <w:t>$2,425</w:t>
            </w:r>
          </w:p>
        </w:tc>
        <w:tc>
          <w:tcPr>
            <w:tcW w:w="1077" w:type="dxa"/>
            <w:noWrap/>
            <w:hideMark/>
          </w:tcPr>
          <w:p w14:paraId="72C9A228"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3C5EBD76"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1997251F" w14:textId="77777777" w:rsidR="00A60D4B" w:rsidRPr="007064D8" w:rsidRDefault="00A60D4B" w:rsidP="00A60D4B">
            <w:pPr>
              <w:jc w:val="right"/>
              <w:rPr>
                <w:sz w:val="16"/>
                <w:szCs w:val="16"/>
              </w:rPr>
            </w:pPr>
            <w:r w:rsidRPr="007064D8">
              <w:rPr>
                <w:sz w:val="16"/>
                <w:szCs w:val="16"/>
              </w:rPr>
              <w:t>$0</w:t>
            </w:r>
          </w:p>
        </w:tc>
        <w:tc>
          <w:tcPr>
            <w:tcW w:w="850" w:type="dxa"/>
            <w:noWrap/>
            <w:hideMark/>
          </w:tcPr>
          <w:p w14:paraId="5677D427" w14:textId="77777777" w:rsidR="00A60D4B" w:rsidRPr="007064D8" w:rsidRDefault="00A60D4B" w:rsidP="00A60D4B">
            <w:pPr>
              <w:jc w:val="right"/>
              <w:rPr>
                <w:sz w:val="16"/>
                <w:szCs w:val="16"/>
              </w:rPr>
            </w:pPr>
            <w:r w:rsidRPr="007064D8">
              <w:rPr>
                <w:sz w:val="16"/>
                <w:szCs w:val="16"/>
              </w:rPr>
              <w:t>$527</w:t>
            </w:r>
          </w:p>
        </w:tc>
        <w:tc>
          <w:tcPr>
            <w:tcW w:w="992" w:type="dxa"/>
            <w:gridSpan w:val="2"/>
            <w:noWrap/>
            <w:hideMark/>
          </w:tcPr>
          <w:p w14:paraId="4E12B75B" w14:textId="77777777" w:rsidR="00A60D4B" w:rsidRPr="007064D8" w:rsidRDefault="00A60D4B" w:rsidP="00A60D4B">
            <w:pPr>
              <w:jc w:val="right"/>
              <w:rPr>
                <w:sz w:val="16"/>
                <w:szCs w:val="16"/>
              </w:rPr>
            </w:pPr>
            <w:r w:rsidRPr="007064D8">
              <w:rPr>
                <w:sz w:val="16"/>
                <w:szCs w:val="16"/>
              </w:rPr>
              <w:t>$0</w:t>
            </w:r>
          </w:p>
        </w:tc>
        <w:tc>
          <w:tcPr>
            <w:tcW w:w="709" w:type="dxa"/>
            <w:gridSpan w:val="2"/>
            <w:noWrap/>
            <w:hideMark/>
          </w:tcPr>
          <w:p w14:paraId="3F10FA12" w14:textId="77777777" w:rsidR="00A60D4B" w:rsidRPr="007064D8" w:rsidRDefault="00A60D4B" w:rsidP="00A60D4B">
            <w:pPr>
              <w:jc w:val="right"/>
              <w:rPr>
                <w:sz w:val="16"/>
                <w:szCs w:val="16"/>
              </w:rPr>
            </w:pPr>
            <w:r w:rsidRPr="007064D8">
              <w:rPr>
                <w:sz w:val="16"/>
                <w:szCs w:val="16"/>
              </w:rPr>
              <w:t>$766</w:t>
            </w:r>
          </w:p>
        </w:tc>
        <w:tc>
          <w:tcPr>
            <w:tcW w:w="992" w:type="dxa"/>
            <w:gridSpan w:val="2"/>
            <w:noWrap/>
            <w:hideMark/>
          </w:tcPr>
          <w:p w14:paraId="0956607B" w14:textId="77777777" w:rsidR="00A60D4B" w:rsidRPr="007064D8" w:rsidRDefault="00A60D4B" w:rsidP="00A60D4B">
            <w:pPr>
              <w:jc w:val="right"/>
              <w:rPr>
                <w:sz w:val="16"/>
                <w:szCs w:val="16"/>
              </w:rPr>
            </w:pPr>
            <w:r w:rsidRPr="007064D8">
              <w:rPr>
                <w:sz w:val="16"/>
                <w:szCs w:val="16"/>
              </w:rPr>
              <w:t>$0</w:t>
            </w:r>
          </w:p>
        </w:tc>
        <w:tc>
          <w:tcPr>
            <w:tcW w:w="851" w:type="dxa"/>
            <w:gridSpan w:val="2"/>
            <w:noWrap/>
            <w:hideMark/>
          </w:tcPr>
          <w:p w14:paraId="51BFFD4A" w14:textId="77777777" w:rsidR="00A60D4B" w:rsidRPr="007064D8" w:rsidRDefault="00A60D4B" w:rsidP="00A60D4B">
            <w:pPr>
              <w:jc w:val="right"/>
              <w:rPr>
                <w:sz w:val="16"/>
                <w:szCs w:val="16"/>
              </w:rPr>
            </w:pPr>
            <w:r w:rsidRPr="007064D8">
              <w:rPr>
                <w:sz w:val="16"/>
                <w:szCs w:val="16"/>
              </w:rPr>
              <w:t>$5,060</w:t>
            </w:r>
          </w:p>
        </w:tc>
        <w:tc>
          <w:tcPr>
            <w:tcW w:w="992" w:type="dxa"/>
            <w:gridSpan w:val="2"/>
            <w:noWrap/>
            <w:hideMark/>
          </w:tcPr>
          <w:p w14:paraId="4D64D8F9" w14:textId="77777777" w:rsidR="00A60D4B" w:rsidRPr="007064D8" w:rsidRDefault="00A60D4B" w:rsidP="00A60D4B">
            <w:pPr>
              <w:jc w:val="right"/>
              <w:rPr>
                <w:sz w:val="16"/>
                <w:szCs w:val="16"/>
              </w:rPr>
            </w:pPr>
            <w:r w:rsidRPr="007064D8">
              <w:rPr>
                <w:sz w:val="16"/>
                <w:szCs w:val="16"/>
              </w:rPr>
              <w:t>$</w:t>
            </w:r>
            <w:r>
              <w:rPr>
                <w:sz w:val="16"/>
                <w:szCs w:val="16"/>
              </w:rPr>
              <w:t>1,0</w:t>
            </w:r>
            <w:r w:rsidRPr="007064D8">
              <w:rPr>
                <w:sz w:val="16"/>
                <w:szCs w:val="16"/>
              </w:rPr>
              <w:t>00</w:t>
            </w:r>
          </w:p>
        </w:tc>
        <w:tc>
          <w:tcPr>
            <w:tcW w:w="964" w:type="dxa"/>
            <w:gridSpan w:val="2"/>
            <w:noWrap/>
            <w:hideMark/>
          </w:tcPr>
          <w:p w14:paraId="30E4A12C" w14:textId="77777777" w:rsidR="00A60D4B" w:rsidRPr="007064D8" w:rsidRDefault="00A60D4B" w:rsidP="00A60D4B">
            <w:pPr>
              <w:jc w:val="right"/>
              <w:rPr>
                <w:sz w:val="16"/>
                <w:szCs w:val="16"/>
              </w:rPr>
            </w:pPr>
            <w:r w:rsidRPr="007064D8">
              <w:rPr>
                <w:sz w:val="16"/>
                <w:szCs w:val="16"/>
              </w:rPr>
              <w:t>$20,</w:t>
            </w:r>
            <w:r>
              <w:rPr>
                <w:sz w:val="16"/>
                <w:szCs w:val="16"/>
              </w:rPr>
              <w:t>6</w:t>
            </w:r>
            <w:r w:rsidRPr="007064D8">
              <w:rPr>
                <w:sz w:val="16"/>
                <w:szCs w:val="16"/>
              </w:rPr>
              <w:t>22</w:t>
            </w:r>
          </w:p>
        </w:tc>
      </w:tr>
      <w:tr w:rsidR="00A60D4B" w:rsidRPr="007064D8" w14:paraId="6BABCE82" w14:textId="77777777" w:rsidTr="00A60D4B">
        <w:trPr>
          <w:trHeight w:val="288"/>
        </w:trPr>
        <w:tc>
          <w:tcPr>
            <w:tcW w:w="410" w:type="dxa"/>
            <w:noWrap/>
            <w:hideMark/>
          </w:tcPr>
          <w:p w14:paraId="21BDE230" w14:textId="77777777" w:rsidR="00A60D4B" w:rsidRPr="007064D8" w:rsidRDefault="00A60D4B" w:rsidP="00A60D4B">
            <w:pPr>
              <w:rPr>
                <w:sz w:val="16"/>
                <w:szCs w:val="16"/>
              </w:rPr>
            </w:pPr>
            <w:r w:rsidRPr="007064D8">
              <w:rPr>
                <w:sz w:val="16"/>
                <w:szCs w:val="16"/>
              </w:rPr>
              <w:t> </w:t>
            </w:r>
          </w:p>
        </w:tc>
        <w:tc>
          <w:tcPr>
            <w:tcW w:w="2186" w:type="dxa"/>
            <w:noWrap/>
            <w:hideMark/>
          </w:tcPr>
          <w:p w14:paraId="0C9B140C" w14:textId="77777777" w:rsidR="00A60D4B" w:rsidRPr="007064D8" w:rsidRDefault="00A60D4B" w:rsidP="00A60D4B">
            <w:pPr>
              <w:rPr>
                <w:sz w:val="16"/>
                <w:szCs w:val="16"/>
              </w:rPr>
            </w:pPr>
            <w:r w:rsidRPr="007064D8">
              <w:rPr>
                <w:sz w:val="16"/>
                <w:szCs w:val="16"/>
              </w:rPr>
              <w:t> </w:t>
            </w:r>
          </w:p>
        </w:tc>
        <w:tc>
          <w:tcPr>
            <w:tcW w:w="946" w:type="dxa"/>
            <w:noWrap/>
            <w:hideMark/>
          </w:tcPr>
          <w:p w14:paraId="345CC436" w14:textId="77777777" w:rsidR="00A60D4B" w:rsidRPr="007064D8" w:rsidRDefault="00A60D4B" w:rsidP="00A60D4B">
            <w:pPr>
              <w:jc w:val="right"/>
              <w:rPr>
                <w:sz w:val="16"/>
                <w:szCs w:val="16"/>
              </w:rPr>
            </w:pPr>
            <w:r w:rsidRPr="007064D8">
              <w:rPr>
                <w:sz w:val="16"/>
                <w:szCs w:val="16"/>
              </w:rPr>
              <w:t> </w:t>
            </w:r>
          </w:p>
        </w:tc>
        <w:tc>
          <w:tcPr>
            <w:tcW w:w="848" w:type="dxa"/>
            <w:noWrap/>
            <w:hideMark/>
          </w:tcPr>
          <w:p w14:paraId="65E019C4" w14:textId="77777777" w:rsidR="00A60D4B" w:rsidRPr="007064D8" w:rsidRDefault="00A60D4B" w:rsidP="00A60D4B">
            <w:pPr>
              <w:jc w:val="right"/>
              <w:rPr>
                <w:sz w:val="16"/>
                <w:szCs w:val="16"/>
              </w:rPr>
            </w:pPr>
          </w:p>
        </w:tc>
        <w:tc>
          <w:tcPr>
            <w:tcW w:w="1077" w:type="dxa"/>
            <w:noWrap/>
            <w:hideMark/>
          </w:tcPr>
          <w:p w14:paraId="61495F59" w14:textId="77777777" w:rsidR="00A60D4B" w:rsidRPr="007064D8" w:rsidRDefault="00A60D4B" w:rsidP="00A60D4B">
            <w:pPr>
              <w:jc w:val="right"/>
              <w:rPr>
                <w:sz w:val="16"/>
                <w:szCs w:val="16"/>
              </w:rPr>
            </w:pPr>
          </w:p>
        </w:tc>
        <w:tc>
          <w:tcPr>
            <w:tcW w:w="1077" w:type="dxa"/>
            <w:noWrap/>
            <w:hideMark/>
          </w:tcPr>
          <w:p w14:paraId="56DBCFCB" w14:textId="77777777" w:rsidR="00A60D4B" w:rsidRPr="007064D8" w:rsidRDefault="00A60D4B" w:rsidP="00A60D4B">
            <w:pPr>
              <w:jc w:val="right"/>
              <w:rPr>
                <w:sz w:val="16"/>
                <w:szCs w:val="16"/>
              </w:rPr>
            </w:pPr>
          </w:p>
        </w:tc>
        <w:tc>
          <w:tcPr>
            <w:tcW w:w="1077" w:type="dxa"/>
            <w:noWrap/>
            <w:hideMark/>
          </w:tcPr>
          <w:p w14:paraId="49BF7F41" w14:textId="77777777" w:rsidR="00A60D4B" w:rsidRPr="007064D8" w:rsidRDefault="00A60D4B" w:rsidP="00A60D4B">
            <w:pPr>
              <w:jc w:val="right"/>
              <w:rPr>
                <w:sz w:val="16"/>
                <w:szCs w:val="16"/>
              </w:rPr>
            </w:pPr>
          </w:p>
        </w:tc>
        <w:tc>
          <w:tcPr>
            <w:tcW w:w="850" w:type="dxa"/>
            <w:noWrap/>
            <w:hideMark/>
          </w:tcPr>
          <w:p w14:paraId="5281B8A7" w14:textId="77777777" w:rsidR="00A60D4B" w:rsidRPr="007064D8" w:rsidRDefault="00A60D4B" w:rsidP="00A60D4B">
            <w:pPr>
              <w:jc w:val="right"/>
              <w:rPr>
                <w:sz w:val="16"/>
                <w:szCs w:val="16"/>
              </w:rPr>
            </w:pPr>
          </w:p>
        </w:tc>
        <w:tc>
          <w:tcPr>
            <w:tcW w:w="992" w:type="dxa"/>
            <w:gridSpan w:val="2"/>
            <w:noWrap/>
            <w:hideMark/>
          </w:tcPr>
          <w:p w14:paraId="5595C8EA" w14:textId="77777777" w:rsidR="00A60D4B" w:rsidRPr="007064D8" w:rsidRDefault="00A60D4B" w:rsidP="00A60D4B">
            <w:pPr>
              <w:jc w:val="right"/>
              <w:rPr>
                <w:sz w:val="16"/>
                <w:szCs w:val="16"/>
              </w:rPr>
            </w:pPr>
          </w:p>
        </w:tc>
        <w:tc>
          <w:tcPr>
            <w:tcW w:w="709" w:type="dxa"/>
            <w:gridSpan w:val="2"/>
            <w:noWrap/>
            <w:hideMark/>
          </w:tcPr>
          <w:p w14:paraId="6E49A893" w14:textId="77777777" w:rsidR="00A60D4B" w:rsidRPr="007064D8" w:rsidRDefault="00A60D4B" w:rsidP="00A60D4B">
            <w:pPr>
              <w:jc w:val="right"/>
              <w:rPr>
                <w:sz w:val="16"/>
                <w:szCs w:val="16"/>
              </w:rPr>
            </w:pPr>
          </w:p>
        </w:tc>
        <w:tc>
          <w:tcPr>
            <w:tcW w:w="992" w:type="dxa"/>
            <w:gridSpan w:val="2"/>
            <w:noWrap/>
            <w:hideMark/>
          </w:tcPr>
          <w:p w14:paraId="1AD4FB01" w14:textId="77777777" w:rsidR="00A60D4B" w:rsidRPr="007064D8" w:rsidRDefault="00A60D4B" w:rsidP="00A60D4B">
            <w:pPr>
              <w:jc w:val="right"/>
              <w:rPr>
                <w:sz w:val="16"/>
                <w:szCs w:val="16"/>
              </w:rPr>
            </w:pPr>
          </w:p>
        </w:tc>
        <w:tc>
          <w:tcPr>
            <w:tcW w:w="851" w:type="dxa"/>
            <w:gridSpan w:val="2"/>
            <w:noWrap/>
            <w:hideMark/>
          </w:tcPr>
          <w:p w14:paraId="77AE028B" w14:textId="77777777" w:rsidR="00A60D4B" w:rsidRPr="007064D8" w:rsidRDefault="00A60D4B" w:rsidP="00A60D4B">
            <w:pPr>
              <w:jc w:val="right"/>
              <w:rPr>
                <w:sz w:val="16"/>
                <w:szCs w:val="16"/>
              </w:rPr>
            </w:pPr>
          </w:p>
        </w:tc>
        <w:tc>
          <w:tcPr>
            <w:tcW w:w="992" w:type="dxa"/>
            <w:gridSpan w:val="2"/>
            <w:noWrap/>
            <w:hideMark/>
          </w:tcPr>
          <w:p w14:paraId="69A47CA3" w14:textId="77777777" w:rsidR="00A60D4B" w:rsidRPr="007064D8" w:rsidRDefault="00A60D4B" w:rsidP="00A60D4B">
            <w:pPr>
              <w:jc w:val="right"/>
              <w:rPr>
                <w:sz w:val="16"/>
                <w:szCs w:val="16"/>
              </w:rPr>
            </w:pPr>
            <w:r w:rsidRPr="007064D8">
              <w:rPr>
                <w:sz w:val="16"/>
                <w:szCs w:val="16"/>
              </w:rPr>
              <w:t xml:space="preserve"> Change </w:t>
            </w:r>
          </w:p>
        </w:tc>
        <w:tc>
          <w:tcPr>
            <w:tcW w:w="964" w:type="dxa"/>
            <w:gridSpan w:val="2"/>
            <w:noWrap/>
            <w:hideMark/>
          </w:tcPr>
          <w:p w14:paraId="664E7A04" w14:textId="77777777" w:rsidR="00A60D4B" w:rsidRPr="007064D8" w:rsidRDefault="00A60D4B" w:rsidP="00A60D4B">
            <w:pPr>
              <w:jc w:val="right"/>
              <w:rPr>
                <w:sz w:val="16"/>
                <w:szCs w:val="16"/>
              </w:rPr>
            </w:pPr>
            <w:r w:rsidRPr="007064D8">
              <w:rPr>
                <w:sz w:val="16"/>
                <w:szCs w:val="16"/>
              </w:rPr>
              <w:t>$</w:t>
            </w:r>
            <w:r>
              <w:rPr>
                <w:sz w:val="16"/>
                <w:szCs w:val="16"/>
              </w:rPr>
              <w:t>369</w:t>
            </w:r>
          </w:p>
        </w:tc>
      </w:tr>
      <w:tr w:rsidR="00A60D4B" w:rsidRPr="007064D8" w14:paraId="4E67512F" w14:textId="77777777" w:rsidTr="00A60D4B">
        <w:trPr>
          <w:trHeight w:val="288"/>
        </w:trPr>
        <w:tc>
          <w:tcPr>
            <w:tcW w:w="410" w:type="dxa"/>
            <w:noWrap/>
            <w:hideMark/>
          </w:tcPr>
          <w:p w14:paraId="391E3003" w14:textId="77777777" w:rsidR="00A60D4B" w:rsidRPr="007064D8" w:rsidRDefault="00A60D4B" w:rsidP="00A60D4B">
            <w:pPr>
              <w:rPr>
                <w:sz w:val="16"/>
                <w:szCs w:val="16"/>
              </w:rPr>
            </w:pPr>
            <w:r w:rsidRPr="007064D8">
              <w:rPr>
                <w:sz w:val="16"/>
                <w:szCs w:val="16"/>
              </w:rPr>
              <w:t>4</w:t>
            </w:r>
          </w:p>
        </w:tc>
        <w:tc>
          <w:tcPr>
            <w:tcW w:w="2186" w:type="dxa"/>
            <w:hideMark/>
          </w:tcPr>
          <w:p w14:paraId="5624B463" w14:textId="77777777" w:rsidR="00A60D4B" w:rsidRPr="007064D8" w:rsidRDefault="00A60D4B" w:rsidP="00A60D4B">
            <w:pPr>
              <w:rPr>
                <w:sz w:val="16"/>
                <w:szCs w:val="16"/>
              </w:rPr>
            </w:pPr>
            <w:r w:rsidRPr="007064D8">
              <w:rPr>
                <w:sz w:val="16"/>
                <w:szCs w:val="16"/>
              </w:rPr>
              <w:t>Cook - Single, fixed income retiree</w:t>
            </w:r>
            <w:r w:rsidRPr="00F73CEE">
              <w:rPr>
                <w:sz w:val="16"/>
                <w:szCs w:val="16"/>
                <w:vertAlign w:val="superscript"/>
              </w:rPr>
              <w:t>6</w:t>
            </w:r>
            <w:r w:rsidRPr="007064D8">
              <w:rPr>
                <w:sz w:val="16"/>
                <w:szCs w:val="16"/>
              </w:rPr>
              <w:t>, in own house, 1 car</w:t>
            </w:r>
          </w:p>
        </w:tc>
        <w:tc>
          <w:tcPr>
            <w:tcW w:w="946" w:type="dxa"/>
            <w:noWrap/>
            <w:hideMark/>
          </w:tcPr>
          <w:p w14:paraId="592916E0" w14:textId="77777777" w:rsidR="00A60D4B" w:rsidRPr="007064D8" w:rsidRDefault="00A60D4B" w:rsidP="00A60D4B">
            <w:pPr>
              <w:jc w:val="right"/>
              <w:rPr>
                <w:sz w:val="16"/>
                <w:szCs w:val="16"/>
              </w:rPr>
            </w:pPr>
            <w:r w:rsidRPr="007064D8">
              <w:rPr>
                <w:sz w:val="16"/>
                <w:szCs w:val="16"/>
              </w:rPr>
              <w:t> </w:t>
            </w:r>
          </w:p>
        </w:tc>
        <w:tc>
          <w:tcPr>
            <w:tcW w:w="848" w:type="dxa"/>
            <w:noWrap/>
            <w:hideMark/>
          </w:tcPr>
          <w:p w14:paraId="185F7235" w14:textId="77777777" w:rsidR="00A60D4B" w:rsidRPr="007064D8" w:rsidRDefault="00A60D4B" w:rsidP="00A60D4B">
            <w:pPr>
              <w:jc w:val="right"/>
              <w:rPr>
                <w:sz w:val="16"/>
                <w:szCs w:val="16"/>
              </w:rPr>
            </w:pPr>
          </w:p>
        </w:tc>
        <w:tc>
          <w:tcPr>
            <w:tcW w:w="1077" w:type="dxa"/>
            <w:noWrap/>
            <w:hideMark/>
          </w:tcPr>
          <w:p w14:paraId="20AD2523" w14:textId="77777777" w:rsidR="00A60D4B" w:rsidRPr="007064D8" w:rsidRDefault="00A60D4B" w:rsidP="00A60D4B">
            <w:pPr>
              <w:jc w:val="right"/>
              <w:rPr>
                <w:sz w:val="16"/>
                <w:szCs w:val="16"/>
              </w:rPr>
            </w:pPr>
          </w:p>
        </w:tc>
        <w:tc>
          <w:tcPr>
            <w:tcW w:w="1077" w:type="dxa"/>
            <w:noWrap/>
            <w:hideMark/>
          </w:tcPr>
          <w:p w14:paraId="2D7666F0" w14:textId="77777777" w:rsidR="00A60D4B" w:rsidRPr="007064D8" w:rsidRDefault="00A60D4B" w:rsidP="00A60D4B">
            <w:pPr>
              <w:jc w:val="right"/>
              <w:rPr>
                <w:sz w:val="16"/>
                <w:szCs w:val="16"/>
              </w:rPr>
            </w:pPr>
          </w:p>
        </w:tc>
        <w:tc>
          <w:tcPr>
            <w:tcW w:w="1077" w:type="dxa"/>
            <w:noWrap/>
            <w:hideMark/>
          </w:tcPr>
          <w:p w14:paraId="3257DA02" w14:textId="77777777" w:rsidR="00A60D4B" w:rsidRPr="007064D8" w:rsidRDefault="00A60D4B" w:rsidP="00A60D4B">
            <w:pPr>
              <w:jc w:val="right"/>
              <w:rPr>
                <w:sz w:val="16"/>
                <w:szCs w:val="16"/>
              </w:rPr>
            </w:pPr>
          </w:p>
        </w:tc>
        <w:tc>
          <w:tcPr>
            <w:tcW w:w="850" w:type="dxa"/>
            <w:noWrap/>
            <w:hideMark/>
          </w:tcPr>
          <w:p w14:paraId="6F5349E1" w14:textId="77777777" w:rsidR="00A60D4B" w:rsidRPr="007064D8" w:rsidRDefault="00A60D4B" w:rsidP="00A60D4B">
            <w:pPr>
              <w:jc w:val="right"/>
              <w:rPr>
                <w:sz w:val="16"/>
                <w:szCs w:val="16"/>
              </w:rPr>
            </w:pPr>
          </w:p>
        </w:tc>
        <w:tc>
          <w:tcPr>
            <w:tcW w:w="992" w:type="dxa"/>
            <w:gridSpan w:val="2"/>
            <w:noWrap/>
            <w:hideMark/>
          </w:tcPr>
          <w:p w14:paraId="69461DB1" w14:textId="77777777" w:rsidR="00A60D4B" w:rsidRPr="007064D8" w:rsidRDefault="00A60D4B" w:rsidP="00A60D4B">
            <w:pPr>
              <w:jc w:val="right"/>
              <w:rPr>
                <w:sz w:val="16"/>
                <w:szCs w:val="16"/>
              </w:rPr>
            </w:pPr>
          </w:p>
        </w:tc>
        <w:tc>
          <w:tcPr>
            <w:tcW w:w="709" w:type="dxa"/>
            <w:gridSpan w:val="2"/>
            <w:noWrap/>
            <w:hideMark/>
          </w:tcPr>
          <w:p w14:paraId="41EE114D" w14:textId="77777777" w:rsidR="00A60D4B" w:rsidRPr="007064D8" w:rsidRDefault="00A60D4B" w:rsidP="00A60D4B">
            <w:pPr>
              <w:jc w:val="right"/>
              <w:rPr>
                <w:sz w:val="16"/>
                <w:szCs w:val="16"/>
              </w:rPr>
            </w:pPr>
          </w:p>
        </w:tc>
        <w:tc>
          <w:tcPr>
            <w:tcW w:w="992" w:type="dxa"/>
            <w:gridSpan w:val="2"/>
            <w:noWrap/>
            <w:hideMark/>
          </w:tcPr>
          <w:p w14:paraId="651A966E" w14:textId="77777777" w:rsidR="00A60D4B" w:rsidRPr="007064D8" w:rsidRDefault="00A60D4B" w:rsidP="00A60D4B">
            <w:pPr>
              <w:jc w:val="right"/>
              <w:rPr>
                <w:sz w:val="16"/>
                <w:szCs w:val="16"/>
              </w:rPr>
            </w:pPr>
          </w:p>
        </w:tc>
        <w:tc>
          <w:tcPr>
            <w:tcW w:w="851" w:type="dxa"/>
            <w:gridSpan w:val="2"/>
            <w:noWrap/>
            <w:hideMark/>
          </w:tcPr>
          <w:p w14:paraId="4809E389" w14:textId="77777777" w:rsidR="00A60D4B" w:rsidRPr="007064D8" w:rsidRDefault="00A60D4B" w:rsidP="00A60D4B">
            <w:pPr>
              <w:jc w:val="right"/>
              <w:rPr>
                <w:sz w:val="16"/>
                <w:szCs w:val="16"/>
              </w:rPr>
            </w:pPr>
          </w:p>
        </w:tc>
        <w:tc>
          <w:tcPr>
            <w:tcW w:w="992" w:type="dxa"/>
            <w:gridSpan w:val="2"/>
            <w:noWrap/>
            <w:hideMark/>
          </w:tcPr>
          <w:p w14:paraId="3E6AD5FD" w14:textId="77777777" w:rsidR="00A60D4B" w:rsidRPr="007064D8" w:rsidRDefault="00A60D4B" w:rsidP="00A60D4B">
            <w:pPr>
              <w:jc w:val="right"/>
              <w:rPr>
                <w:sz w:val="16"/>
                <w:szCs w:val="16"/>
              </w:rPr>
            </w:pPr>
          </w:p>
        </w:tc>
        <w:tc>
          <w:tcPr>
            <w:tcW w:w="964" w:type="dxa"/>
            <w:gridSpan w:val="2"/>
            <w:noWrap/>
            <w:hideMark/>
          </w:tcPr>
          <w:p w14:paraId="23A00EDF" w14:textId="77777777" w:rsidR="00A60D4B" w:rsidRPr="007064D8" w:rsidRDefault="00A60D4B" w:rsidP="00A60D4B">
            <w:pPr>
              <w:jc w:val="right"/>
              <w:rPr>
                <w:sz w:val="16"/>
                <w:szCs w:val="16"/>
              </w:rPr>
            </w:pPr>
            <w:r w:rsidRPr="007064D8">
              <w:rPr>
                <w:sz w:val="16"/>
                <w:szCs w:val="16"/>
              </w:rPr>
              <w:t> </w:t>
            </w:r>
          </w:p>
        </w:tc>
      </w:tr>
      <w:tr w:rsidR="00A60D4B" w:rsidRPr="007064D8" w14:paraId="44135088" w14:textId="77777777" w:rsidTr="00A60D4B">
        <w:trPr>
          <w:trHeight w:val="288"/>
        </w:trPr>
        <w:tc>
          <w:tcPr>
            <w:tcW w:w="410" w:type="dxa"/>
            <w:noWrap/>
            <w:hideMark/>
          </w:tcPr>
          <w:p w14:paraId="6CA25F8C" w14:textId="77777777" w:rsidR="00A60D4B" w:rsidRPr="007064D8" w:rsidRDefault="00A60D4B" w:rsidP="00A60D4B">
            <w:pPr>
              <w:rPr>
                <w:sz w:val="16"/>
                <w:szCs w:val="16"/>
              </w:rPr>
            </w:pPr>
            <w:r w:rsidRPr="007064D8">
              <w:rPr>
                <w:sz w:val="16"/>
                <w:szCs w:val="16"/>
              </w:rPr>
              <w:t> </w:t>
            </w:r>
          </w:p>
        </w:tc>
        <w:tc>
          <w:tcPr>
            <w:tcW w:w="2186" w:type="dxa"/>
            <w:noWrap/>
            <w:hideMark/>
          </w:tcPr>
          <w:p w14:paraId="2C387825" w14:textId="77777777" w:rsidR="00A60D4B" w:rsidRPr="007064D8" w:rsidRDefault="00A60D4B" w:rsidP="00A60D4B">
            <w:pPr>
              <w:jc w:val="right"/>
              <w:rPr>
                <w:sz w:val="16"/>
                <w:szCs w:val="16"/>
              </w:rPr>
            </w:pPr>
            <w:r w:rsidRPr="007064D8">
              <w:rPr>
                <w:sz w:val="16"/>
                <w:szCs w:val="16"/>
              </w:rPr>
              <w:t>2020-21</w:t>
            </w:r>
          </w:p>
        </w:tc>
        <w:tc>
          <w:tcPr>
            <w:tcW w:w="946" w:type="dxa"/>
            <w:noWrap/>
            <w:hideMark/>
          </w:tcPr>
          <w:p w14:paraId="0D65E7B4" w14:textId="77777777" w:rsidR="00A60D4B" w:rsidRPr="007064D8" w:rsidRDefault="00A60D4B" w:rsidP="00A60D4B">
            <w:pPr>
              <w:jc w:val="right"/>
              <w:rPr>
                <w:sz w:val="16"/>
                <w:szCs w:val="16"/>
              </w:rPr>
            </w:pPr>
            <w:r w:rsidRPr="007064D8">
              <w:rPr>
                <w:sz w:val="16"/>
                <w:szCs w:val="16"/>
              </w:rPr>
              <w:t>$54,000</w:t>
            </w:r>
          </w:p>
        </w:tc>
        <w:tc>
          <w:tcPr>
            <w:tcW w:w="848" w:type="dxa"/>
            <w:noWrap/>
            <w:hideMark/>
          </w:tcPr>
          <w:p w14:paraId="1976AA14" w14:textId="77777777" w:rsidR="00A60D4B" w:rsidRPr="007064D8" w:rsidRDefault="00A60D4B" w:rsidP="00A60D4B">
            <w:pPr>
              <w:jc w:val="right"/>
              <w:rPr>
                <w:sz w:val="16"/>
                <w:szCs w:val="16"/>
              </w:rPr>
            </w:pPr>
            <w:r w:rsidRPr="007064D8">
              <w:rPr>
                <w:sz w:val="16"/>
                <w:szCs w:val="16"/>
              </w:rPr>
              <w:t>$3,581</w:t>
            </w:r>
          </w:p>
        </w:tc>
        <w:tc>
          <w:tcPr>
            <w:tcW w:w="1077" w:type="dxa"/>
            <w:noWrap/>
            <w:hideMark/>
          </w:tcPr>
          <w:p w14:paraId="786771E4" w14:textId="77777777" w:rsidR="00A60D4B" w:rsidRPr="007064D8" w:rsidRDefault="00A60D4B" w:rsidP="00A60D4B">
            <w:pPr>
              <w:jc w:val="right"/>
              <w:rPr>
                <w:sz w:val="16"/>
                <w:szCs w:val="16"/>
              </w:rPr>
            </w:pPr>
            <w:r w:rsidRPr="007064D8">
              <w:rPr>
                <w:sz w:val="16"/>
                <w:szCs w:val="16"/>
              </w:rPr>
              <w:t>$150</w:t>
            </w:r>
          </w:p>
        </w:tc>
        <w:tc>
          <w:tcPr>
            <w:tcW w:w="1077" w:type="dxa"/>
            <w:noWrap/>
            <w:hideMark/>
          </w:tcPr>
          <w:p w14:paraId="3389339C"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318DC436" w14:textId="77777777" w:rsidR="00A60D4B" w:rsidRPr="007064D8" w:rsidRDefault="00A60D4B" w:rsidP="00A60D4B">
            <w:pPr>
              <w:jc w:val="right"/>
              <w:rPr>
                <w:sz w:val="16"/>
                <w:szCs w:val="16"/>
              </w:rPr>
            </w:pPr>
            <w:r w:rsidRPr="007064D8">
              <w:rPr>
                <w:sz w:val="16"/>
                <w:szCs w:val="16"/>
              </w:rPr>
              <w:t>$0</w:t>
            </w:r>
          </w:p>
        </w:tc>
        <w:tc>
          <w:tcPr>
            <w:tcW w:w="850" w:type="dxa"/>
            <w:noWrap/>
            <w:hideMark/>
          </w:tcPr>
          <w:p w14:paraId="26AD0B9C" w14:textId="77777777" w:rsidR="00A60D4B" w:rsidRPr="007064D8" w:rsidRDefault="00A60D4B" w:rsidP="00A60D4B">
            <w:pPr>
              <w:jc w:val="right"/>
              <w:rPr>
                <w:sz w:val="16"/>
                <w:szCs w:val="16"/>
              </w:rPr>
            </w:pPr>
            <w:r w:rsidRPr="007064D8">
              <w:rPr>
                <w:sz w:val="16"/>
                <w:szCs w:val="16"/>
              </w:rPr>
              <w:t>$510</w:t>
            </w:r>
          </w:p>
        </w:tc>
        <w:tc>
          <w:tcPr>
            <w:tcW w:w="992" w:type="dxa"/>
            <w:gridSpan w:val="2"/>
            <w:noWrap/>
            <w:hideMark/>
          </w:tcPr>
          <w:p w14:paraId="57A317CB" w14:textId="77777777" w:rsidR="00A60D4B" w:rsidRPr="007064D8" w:rsidRDefault="00A60D4B" w:rsidP="00A60D4B">
            <w:pPr>
              <w:jc w:val="right"/>
              <w:rPr>
                <w:sz w:val="16"/>
                <w:szCs w:val="16"/>
              </w:rPr>
            </w:pPr>
            <w:r w:rsidRPr="007064D8">
              <w:rPr>
                <w:sz w:val="16"/>
                <w:szCs w:val="16"/>
              </w:rPr>
              <w:t>$442</w:t>
            </w:r>
          </w:p>
        </w:tc>
        <w:tc>
          <w:tcPr>
            <w:tcW w:w="709" w:type="dxa"/>
            <w:gridSpan w:val="2"/>
            <w:noWrap/>
            <w:hideMark/>
          </w:tcPr>
          <w:p w14:paraId="26D4A276" w14:textId="77777777" w:rsidR="00A60D4B" w:rsidRPr="007064D8" w:rsidRDefault="00A60D4B" w:rsidP="00A60D4B">
            <w:pPr>
              <w:jc w:val="right"/>
              <w:rPr>
                <w:sz w:val="16"/>
                <w:szCs w:val="16"/>
              </w:rPr>
            </w:pPr>
            <w:r w:rsidRPr="007064D8">
              <w:rPr>
                <w:sz w:val="16"/>
                <w:szCs w:val="16"/>
              </w:rPr>
              <w:t>$0</w:t>
            </w:r>
          </w:p>
        </w:tc>
        <w:tc>
          <w:tcPr>
            <w:tcW w:w="992" w:type="dxa"/>
            <w:gridSpan w:val="2"/>
            <w:noWrap/>
            <w:hideMark/>
          </w:tcPr>
          <w:p w14:paraId="466948EE" w14:textId="77777777" w:rsidR="00A60D4B" w:rsidRPr="007064D8" w:rsidRDefault="00A60D4B" w:rsidP="00A60D4B">
            <w:pPr>
              <w:jc w:val="right"/>
              <w:rPr>
                <w:sz w:val="16"/>
                <w:szCs w:val="16"/>
              </w:rPr>
            </w:pPr>
            <w:r w:rsidRPr="007064D8">
              <w:rPr>
                <w:sz w:val="16"/>
                <w:szCs w:val="16"/>
              </w:rPr>
              <w:t>$0</w:t>
            </w:r>
          </w:p>
        </w:tc>
        <w:tc>
          <w:tcPr>
            <w:tcW w:w="851" w:type="dxa"/>
            <w:gridSpan w:val="2"/>
            <w:noWrap/>
            <w:hideMark/>
          </w:tcPr>
          <w:p w14:paraId="501FB7EA" w14:textId="77777777" w:rsidR="00A60D4B" w:rsidRPr="007064D8" w:rsidRDefault="00A60D4B" w:rsidP="00A60D4B">
            <w:pPr>
              <w:jc w:val="right"/>
              <w:rPr>
                <w:sz w:val="16"/>
                <w:szCs w:val="16"/>
              </w:rPr>
            </w:pPr>
            <w:r w:rsidRPr="007064D8">
              <w:rPr>
                <w:sz w:val="16"/>
                <w:szCs w:val="16"/>
              </w:rPr>
              <w:t>$3,875</w:t>
            </w:r>
          </w:p>
        </w:tc>
        <w:tc>
          <w:tcPr>
            <w:tcW w:w="992" w:type="dxa"/>
            <w:gridSpan w:val="2"/>
            <w:noWrap/>
            <w:hideMark/>
          </w:tcPr>
          <w:p w14:paraId="6BDF6399" w14:textId="77777777" w:rsidR="00A60D4B" w:rsidRPr="007064D8" w:rsidRDefault="00A60D4B" w:rsidP="00A60D4B">
            <w:pPr>
              <w:jc w:val="right"/>
              <w:rPr>
                <w:sz w:val="16"/>
                <w:szCs w:val="16"/>
              </w:rPr>
            </w:pPr>
            <w:r w:rsidRPr="007064D8">
              <w:rPr>
                <w:sz w:val="16"/>
                <w:szCs w:val="16"/>
              </w:rPr>
              <w:t>$0</w:t>
            </w:r>
          </w:p>
        </w:tc>
        <w:tc>
          <w:tcPr>
            <w:tcW w:w="964" w:type="dxa"/>
            <w:gridSpan w:val="2"/>
            <w:noWrap/>
            <w:hideMark/>
          </w:tcPr>
          <w:p w14:paraId="73FCCB61" w14:textId="77777777" w:rsidR="00A60D4B" w:rsidRPr="007064D8" w:rsidRDefault="00A60D4B" w:rsidP="00A60D4B">
            <w:pPr>
              <w:jc w:val="right"/>
              <w:rPr>
                <w:sz w:val="16"/>
                <w:szCs w:val="16"/>
              </w:rPr>
            </w:pPr>
            <w:r w:rsidRPr="007064D8">
              <w:rPr>
                <w:sz w:val="16"/>
                <w:szCs w:val="16"/>
              </w:rPr>
              <w:t>$46,627</w:t>
            </w:r>
          </w:p>
        </w:tc>
      </w:tr>
      <w:tr w:rsidR="00A60D4B" w:rsidRPr="007064D8" w14:paraId="1FEC22C5" w14:textId="77777777" w:rsidTr="00A60D4B">
        <w:trPr>
          <w:trHeight w:val="288"/>
        </w:trPr>
        <w:tc>
          <w:tcPr>
            <w:tcW w:w="410" w:type="dxa"/>
            <w:noWrap/>
            <w:hideMark/>
          </w:tcPr>
          <w:p w14:paraId="34055AD5" w14:textId="77777777" w:rsidR="00A60D4B" w:rsidRPr="007064D8" w:rsidRDefault="00A60D4B" w:rsidP="00A60D4B">
            <w:pPr>
              <w:rPr>
                <w:sz w:val="16"/>
                <w:szCs w:val="16"/>
              </w:rPr>
            </w:pPr>
            <w:r w:rsidRPr="007064D8">
              <w:rPr>
                <w:sz w:val="16"/>
                <w:szCs w:val="16"/>
              </w:rPr>
              <w:t> </w:t>
            </w:r>
          </w:p>
        </w:tc>
        <w:tc>
          <w:tcPr>
            <w:tcW w:w="2186" w:type="dxa"/>
            <w:noWrap/>
            <w:hideMark/>
          </w:tcPr>
          <w:p w14:paraId="4C7A66A9" w14:textId="77777777" w:rsidR="00A60D4B" w:rsidRPr="007064D8" w:rsidRDefault="00A60D4B" w:rsidP="00A60D4B">
            <w:pPr>
              <w:jc w:val="right"/>
              <w:rPr>
                <w:sz w:val="16"/>
                <w:szCs w:val="16"/>
              </w:rPr>
            </w:pPr>
            <w:r w:rsidRPr="007064D8">
              <w:rPr>
                <w:sz w:val="16"/>
                <w:szCs w:val="16"/>
              </w:rPr>
              <w:t>2021-22</w:t>
            </w:r>
          </w:p>
        </w:tc>
        <w:tc>
          <w:tcPr>
            <w:tcW w:w="946" w:type="dxa"/>
            <w:noWrap/>
            <w:hideMark/>
          </w:tcPr>
          <w:p w14:paraId="0EC12D9A" w14:textId="77777777" w:rsidR="00A60D4B" w:rsidRPr="007064D8" w:rsidRDefault="00A60D4B" w:rsidP="00A60D4B">
            <w:pPr>
              <w:jc w:val="right"/>
              <w:rPr>
                <w:sz w:val="16"/>
                <w:szCs w:val="16"/>
              </w:rPr>
            </w:pPr>
            <w:r w:rsidRPr="007064D8">
              <w:rPr>
                <w:sz w:val="16"/>
                <w:szCs w:val="16"/>
              </w:rPr>
              <w:t>$55,000</w:t>
            </w:r>
          </w:p>
        </w:tc>
        <w:tc>
          <w:tcPr>
            <w:tcW w:w="848" w:type="dxa"/>
            <w:noWrap/>
            <w:hideMark/>
          </w:tcPr>
          <w:p w14:paraId="23FF1602" w14:textId="77777777" w:rsidR="00A60D4B" w:rsidRPr="007064D8" w:rsidRDefault="00A60D4B" w:rsidP="00A60D4B">
            <w:pPr>
              <w:jc w:val="right"/>
              <w:rPr>
                <w:sz w:val="16"/>
                <w:szCs w:val="16"/>
              </w:rPr>
            </w:pPr>
            <w:r w:rsidRPr="007064D8">
              <w:rPr>
                <w:sz w:val="16"/>
                <w:szCs w:val="16"/>
              </w:rPr>
              <w:t>$3,707</w:t>
            </w:r>
          </w:p>
        </w:tc>
        <w:tc>
          <w:tcPr>
            <w:tcW w:w="1077" w:type="dxa"/>
            <w:noWrap/>
            <w:hideMark/>
          </w:tcPr>
          <w:p w14:paraId="0BFC12E3"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606D3EDE"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5A11B186" w14:textId="77777777" w:rsidR="00A60D4B" w:rsidRPr="007064D8" w:rsidRDefault="00A60D4B" w:rsidP="00A60D4B">
            <w:pPr>
              <w:jc w:val="right"/>
              <w:rPr>
                <w:sz w:val="16"/>
                <w:szCs w:val="16"/>
              </w:rPr>
            </w:pPr>
            <w:r w:rsidRPr="007064D8">
              <w:rPr>
                <w:sz w:val="16"/>
                <w:szCs w:val="16"/>
              </w:rPr>
              <w:t>$0</w:t>
            </w:r>
          </w:p>
        </w:tc>
        <w:tc>
          <w:tcPr>
            <w:tcW w:w="850" w:type="dxa"/>
            <w:noWrap/>
            <w:hideMark/>
          </w:tcPr>
          <w:p w14:paraId="73D44A94" w14:textId="77777777" w:rsidR="00A60D4B" w:rsidRPr="007064D8" w:rsidRDefault="00A60D4B" w:rsidP="00A60D4B">
            <w:pPr>
              <w:jc w:val="right"/>
              <w:rPr>
                <w:sz w:val="16"/>
                <w:szCs w:val="16"/>
              </w:rPr>
            </w:pPr>
            <w:r w:rsidRPr="007064D8">
              <w:rPr>
                <w:sz w:val="16"/>
                <w:szCs w:val="16"/>
              </w:rPr>
              <w:t>$527</w:t>
            </w:r>
          </w:p>
        </w:tc>
        <w:tc>
          <w:tcPr>
            <w:tcW w:w="992" w:type="dxa"/>
            <w:gridSpan w:val="2"/>
            <w:noWrap/>
            <w:hideMark/>
          </w:tcPr>
          <w:p w14:paraId="323DF4FF" w14:textId="77777777" w:rsidR="00A60D4B" w:rsidRPr="007064D8" w:rsidRDefault="00A60D4B" w:rsidP="00A60D4B">
            <w:pPr>
              <w:jc w:val="right"/>
              <w:rPr>
                <w:sz w:val="16"/>
                <w:szCs w:val="16"/>
              </w:rPr>
            </w:pPr>
            <w:r w:rsidRPr="007064D8">
              <w:rPr>
                <w:sz w:val="16"/>
                <w:szCs w:val="16"/>
              </w:rPr>
              <w:t>$450</w:t>
            </w:r>
          </w:p>
        </w:tc>
        <w:tc>
          <w:tcPr>
            <w:tcW w:w="709" w:type="dxa"/>
            <w:gridSpan w:val="2"/>
            <w:noWrap/>
            <w:hideMark/>
          </w:tcPr>
          <w:p w14:paraId="0DEC9D67" w14:textId="77777777" w:rsidR="00A60D4B" w:rsidRPr="007064D8" w:rsidRDefault="00A60D4B" w:rsidP="00A60D4B">
            <w:pPr>
              <w:jc w:val="right"/>
              <w:rPr>
                <w:sz w:val="16"/>
                <w:szCs w:val="16"/>
              </w:rPr>
            </w:pPr>
            <w:r w:rsidRPr="007064D8">
              <w:rPr>
                <w:sz w:val="16"/>
                <w:szCs w:val="16"/>
              </w:rPr>
              <w:t>$0</w:t>
            </w:r>
          </w:p>
        </w:tc>
        <w:tc>
          <w:tcPr>
            <w:tcW w:w="992" w:type="dxa"/>
            <w:gridSpan w:val="2"/>
            <w:noWrap/>
            <w:hideMark/>
          </w:tcPr>
          <w:p w14:paraId="495F25D3" w14:textId="77777777" w:rsidR="00A60D4B" w:rsidRPr="007064D8" w:rsidRDefault="00A60D4B" w:rsidP="00A60D4B">
            <w:pPr>
              <w:jc w:val="right"/>
              <w:rPr>
                <w:sz w:val="16"/>
                <w:szCs w:val="16"/>
              </w:rPr>
            </w:pPr>
            <w:r w:rsidRPr="007064D8">
              <w:rPr>
                <w:sz w:val="16"/>
                <w:szCs w:val="16"/>
              </w:rPr>
              <w:t>$0</w:t>
            </w:r>
          </w:p>
        </w:tc>
        <w:tc>
          <w:tcPr>
            <w:tcW w:w="851" w:type="dxa"/>
            <w:gridSpan w:val="2"/>
            <w:noWrap/>
            <w:hideMark/>
          </w:tcPr>
          <w:p w14:paraId="623AEC56" w14:textId="77777777" w:rsidR="00A60D4B" w:rsidRPr="007064D8" w:rsidRDefault="00A60D4B" w:rsidP="00A60D4B">
            <w:pPr>
              <w:jc w:val="right"/>
              <w:rPr>
                <w:sz w:val="16"/>
                <w:szCs w:val="16"/>
              </w:rPr>
            </w:pPr>
            <w:r w:rsidRPr="007064D8">
              <w:rPr>
                <w:sz w:val="16"/>
                <w:szCs w:val="16"/>
              </w:rPr>
              <w:t>$4,016</w:t>
            </w:r>
          </w:p>
        </w:tc>
        <w:tc>
          <w:tcPr>
            <w:tcW w:w="992" w:type="dxa"/>
            <w:gridSpan w:val="2"/>
            <w:noWrap/>
            <w:hideMark/>
          </w:tcPr>
          <w:p w14:paraId="09899389" w14:textId="77777777" w:rsidR="00A60D4B" w:rsidRPr="007064D8" w:rsidRDefault="00A60D4B" w:rsidP="00A60D4B">
            <w:pPr>
              <w:jc w:val="right"/>
              <w:rPr>
                <w:sz w:val="16"/>
                <w:szCs w:val="16"/>
              </w:rPr>
            </w:pPr>
            <w:r w:rsidRPr="007064D8">
              <w:rPr>
                <w:sz w:val="16"/>
                <w:szCs w:val="16"/>
              </w:rPr>
              <w:t>$0</w:t>
            </w:r>
          </w:p>
        </w:tc>
        <w:tc>
          <w:tcPr>
            <w:tcW w:w="964" w:type="dxa"/>
            <w:gridSpan w:val="2"/>
            <w:noWrap/>
            <w:hideMark/>
          </w:tcPr>
          <w:p w14:paraId="7DED9EA5" w14:textId="77777777" w:rsidR="00A60D4B" w:rsidRPr="007064D8" w:rsidRDefault="00A60D4B" w:rsidP="00A60D4B">
            <w:pPr>
              <w:jc w:val="right"/>
              <w:rPr>
                <w:sz w:val="16"/>
                <w:szCs w:val="16"/>
              </w:rPr>
            </w:pPr>
            <w:r w:rsidRPr="007064D8">
              <w:rPr>
                <w:sz w:val="16"/>
                <w:szCs w:val="16"/>
              </w:rPr>
              <w:t>$47,200</w:t>
            </w:r>
          </w:p>
        </w:tc>
      </w:tr>
      <w:tr w:rsidR="00A60D4B" w:rsidRPr="007064D8" w14:paraId="0F5A1E38" w14:textId="77777777" w:rsidTr="00A60D4B">
        <w:trPr>
          <w:trHeight w:val="288"/>
        </w:trPr>
        <w:tc>
          <w:tcPr>
            <w:tcW w:w="410" w:type="dxa"/>
            <w:noWrap/>
            <w:hideMark/>
          </w:tcPr>
          <w:p w14:paraId="40FE98BD" w14:textId="77777777" w:rsidR="00A60D4B" w:rsidRPr="007064D8" w:rsidRDefault="00A60D4B" w:rsidP="00A60D4B">
            <w:pPr>
              <w:rPr>
                <w:sz w:val="16"/>
                <w:szCs w:val="16"/>
              </w:rPr>
            </w:pPr>
            <w:r w:rsidRPr="007064D8">
              <w:rPr>
                <w:sz w:val="16"/>
                <w:szCs w:val="16"/>
              </w:rPr>
              <w:t> </w:t>
            </w:r>
          </w:p>
        </w:tc>
        <w:tc>
          <w:tcPr>
            <w:tcW w:w="2186" w:type="dxa"/>
            <w:noWrap/>
            <w:hideMark/>
          </w:tcPr>
          <w:p w14:paraId="023654D8" w14:textId="77777777" w:rsidR="00A60D4B" w:rsidRPr="007064D8" w:rsidRDefault="00A60D4B" w:rsidP="00A60D4B">
            <w:pPr>
              <w:rPr>
                <w:sz w:val="16"/>
                <w:szCs w:val="16"/>
              </w:rPr>
            </w:pPr>
            <w:r w:rsidRPr="007064D8">
              <w:rPr>
                <w:sz w:val="16"/>
                <w:szCs w:val="16"/>
              </w:rPr>
              <w:t> </w:t>
            </w:r>
          </w:p>
        </w:tc>
        <w:tc>
          <w:tcPr>
            <w:tcW w:w="946" w:type="dxa"/>
            <w:noWrap/>
            <w:hideMark/>
          </w:tcPr>
          <w:p w14:paraId="79618F33" w14:textId="77777777" w:rsidR="00A60D4B" w:rsidRPr="007064D8" w:rsidRDefault="00A60D4B" w:rsidP="00A60D4B">
            <w:pPr>
              <w:jc w:val="right"/>
              <w:rPr>
                <w:sz w:val="16"/>
                <w:szCs w:val="16"/>
              </w:rPr>
            </w:pPr>
            <w:r w:rsidRPr="007064D8">
              <w:rPr>
                <w:sz w:val="16"/>
                <w:szCs w:val="16"/>
              </w:rPr>
              <w:t> </w:t>
            </w:r>
          </w:p>
        </w:tc>
        <w:tc>
          <w:tcPr>
            <w:tcW w:w="848" w:type="dxa"/>
            <w:noWrap/>
            <w:hideMark/>
          </w:tcPr>
          <w:p w14:paraId="2EBF823B" w14:textId="77777777" w:rsidR="00A60D4B" w:rsidRPr="007064D8" w:rsidRDefault="00A60D4B" w:rsidP="00A60D4B">
            <w:pPr>
              <w:jc w:val="right"/>
              <w:rPr>
                <w:sz w:val="16"/>
                <w:szCs w:val="16"/>
              </w:rPr>
            </w:pPr>
          </w:p>
        </w:tc>
        <w:tc>
          <w:tcPr>
            <w:tcW w:w="1077" w:type="dxa"/>
            <w:noWrap/>
            <w:hideMark/>
          </w:tcPr>
          <w:p w14:paraId="03F3CECE" w14:textId="77777777" w:rsidR="00A60D4B" w:rsidRPr="007064D8" w:rsidRDefault="00A60D4B" w:rsidP="00A60D4B">
            <w:pPr>
              <w:jc w:val="right"/>
              <w:rPr>
                <w:sz w:val="16"/>
                <w:szCs w:val="16"/>
              </w:rPr>
            </w:pPr>
          </w:p>
        </w:tc>
        <w:tc>
          <w:tcPr>
            <w:tcW w:w="1077" w:type="dxa"/>
            <w:noWrap/>
            <w:hideMark/>
          </w:tcPr>
          <w:p w14:paraId="3B515F3F" w14:textId="77777777" w:rsidR="00A60D4B" w:rsidRPr="007064D8" w:rsidRDefault="00A60D4B" w:rsidP="00A60D4B">
            <w:pPr>
              <w:jc w:val="right"/>
              <w:rPr>
                <w:sz w:val="16"/>
                <w:szCs w:val="16"/>
              </w:rPr>
            </w:pPr>
          </w:p>
        </w:tc>
        <w:tc>
          <w:tcPr>
            <w:tcW w:w="1077" w:type="dxa"/>
            <w:noWrap/>
            <w:hideMark/>
          </w:tcPr>
          <w:p w14:paraId="3BBFC662" w14:textId="77777777" w:rsidR="00A60D4B" w:rsidRPr="007064D8" w:rsidRDefault="00A60D4B" w:rsidP="00A60D4B">
            <w:pPr>
              <w:jc w:val="right"/>
              <w:rPr>
                <w:sz w:val="16"/>
                <w:szCs w:val="16"/>
              </w:rPr>
            </w:pPr>
          </w:p>
        </w:tc>
        <w:tc>
          <w:tcPr>
            <w:tcW w:w="850" w:type="dxa"/>
            <w:noWrap/>
            <w:hideMark/>
          </w:tcPr>
          <w:p w14:paraId="472A76EA" w14:textId="77777777" w:rsidR="00A60D4B" w:rsidRPr="007064D8" w:rsidRDefault="00A60D4B" w:rsidP="00A60D4B">
            <w:pPr>
              <w:jc w:val="right"/>
              <w:rPr>
                <w:sz w:val="16"/>
                <w:szCs w:val="16"/>
              </w:rPr>
            </w:pPr>
          </w:p>
        </w:tc>
        <w:tc>
          <w:tcPr>
            <w:tcW w:w="992" w:type="dxa"/>
            <w:gridSpan w:val="2"/>
            <w:noWrap/>
            <w:hideMark/>
          </w:tcPr>
          <w:p w14:paraId="4320DCA1" w14:textId="77777777" w:rsidR="00A60D4B" w:rsidRPr="007064D8" w:rsidRDefault="00A60D4B" w:rsidP="00A60D4B">
            <w:pPr>
              <w:jc w:val="right"/>
              <w:rPr>
                <w:sz w:val="16"/>
                <w:szCs w:val="16"/>
              </w:rPr>
            </w:pPr>
          </w:p>
        </w:tc>
        <w:tc>
          <w:tcPr>
            <w:tcW w:w="709" w:type="dxa"/>
            <w:gridSpan w:val="2"/>
            <w:noWrap/>
            <w:hideMark/>
          </w:tcPr>
          <w:p w14:paraId="5EBCDC5C" w14:textId="77777777" w:rsidR="00A60D4B" w:rsidRPr="007064D8" w:rsidRDefault="00A60D4B" w:rsidP="00A60D4B">
            <w:pPr>
              <w:jc w:val="right"/>
              <w:rPr>
                <w:sz w:val="16"/>
                <w:szCs w:val="16"/>
              </w:rPr>
            </w:pPr>
          </w:p>
        </w:tc>
        <w:tc>
          <w:tcPr>
            <w:tcW w:w="992" w:type="dxa"/>
            <w:gridSpan w:val="2"/>
            <w:noWrap/>
            <w:hideMark/>
          </w:tcPr>
          <w:p w14:paraId="0E5EA764" w14:textId="77777777" w:rsidR="00A60D4B" w:rsidRPr="007064D8" w:rsidRDefault="00A60D4B" w:rsidP="00A60D4B">
            <w:pPr>
              <w:jc w:val="right"/>
              <w:rPr>
                <w:sz w:val="16"/>
                <w:szCs w:val="16"/>
              </w:rPr>
            </w:pPr>
          </w:p>
        </w:tc>
        <w:tc>
          <w:tcPr>
            <w:tcW w:w="851" w:type="dxa"/>
            <w:gridSpan w:val="2"/>
            <w:noWrap/>
            <w:hideMark/>
          </w:tcPr>
          <w:p w14:paraId="6048655E" w14:textId="77777777" w:rsidR="00A60D4B" w:rsidRPr="007064D8" w:rsidRDefault="00A60D4B" w:rsidP="00A60D4B">
            <w:pPr>
              <w:jc w:val="right"/>
              <w:rPr>
                <w:sz w:val="16"/>
                <w:szCs w:val="16"/>
              </w:rPr>
            </w:pPr>
          </w:p>
        </w:tc>
        <w:tc>
          <w:tcPr>
            <w:tcW w:w="992" w:type="dxa"/>
            <w:gridSpan w:val="2"/>
            <w:noWrap/>
            <w:hideMark/>
          </w:tcPr>
          <w:p w14:paraId="5465B046" w14:textId="77777777" w:rsidR="00A60D4B" w:rsidRPr="007064D8" w:rsidRDefault="00A60D4B" w:rsidP="00A60D4B">
            <w:pPr>
              <w:jc w:val="right"/>
              <w:rPr>
                <w:sz w:val="16"/>
                <w:szCs w:val="16"/>
              </w:rPr>
            </w:pPr>
            <w:r w:rsidRPr="007064D8">
              <w:rPr>
                <w:sz w:val="16"/>
                <w:szCs w:val="16"/>
              </w:rPr>
              <w:t xml:space="preserve"> Change </w:t>
            </w:r>
          </w:p>
        </w:tc>
        <w:tc>
          <w:tcPr>
            <w:tcW w:w="964" w:type="dxa"/>
            <w:gridSpan w:val="2"/>
            <w:noWrap/>
            <w:hideMark/>
          </w:tcPr>
          <w:p w14:paraId="5C284133" w14:textId="77777777" w:rsidR="00A60D4B" w:rsidRPr="007064D8" w:rsidRDefault="00A60D4B" w:rsidP="00A60D4B">
            <w:pPr>
              <w:jc w:val="right"/>
              <w:rPr>
                <w:sz w:val="16"/>
                <w:szCs w:val="16"/>
              </w:rPr>
            </w:pPr>
            <w:r w:rsidRPr="007064D8">
              <w:rPr>
                <w:sz w:val="16"/>
                <w:szCs w:val="16"/>
              </w:rPr>
              <w:t>$57</w:t>
            </w:r>
            <w:r>
              <w:rPr>
                <w:sz w:val="16"/>
                <w:szCs w:val="16"/>
              </w:rPr>
              <w:t>3</w:t>
            </w:r>
          </w:p>
        </w:tc>
      </w:tr>
      <w:tr w:rsidR="00A60D4B" w:rsidRPr="007064D8" w14:paraId="31F362CD" w14:textId="77777777" w:rsidTr="00A60D4B">
        <w:trPr>
          <w:gridAfter w:val="1"/>
          <w:wAfter w:w="28" w:type="dxa"/>
          <w:trHeight w:val="288"/>
        </w:trPr>
        <w:tc>
          <w:tcPr>
            <w:tcW w:w="410" w:type="dxa"/>
            <w:shd w:val="clear" w:color="auto" w:fill="472D8C"/>
            <w:noWrap/>
          </w:tcPr>
          <w:p w14:paraId="0F45F1E9" w14:textId="77777777" w:rsidR="00A60D4B" w:rsidRPr="00513258" w:rsidRDefault="00A60D4B" w:rsidP="00A60D4B">
            <w:pPr>
              <w:rPr>
                <w:b/>
                <w:bCs/>
                <w:color w:val="FFFFFF" w:themeColor="background1"/>
                <w:sz w:val="16"/>
                <w:szCs w:val="16"/>
              </w:rPr>
            </w:pPr>
            <w:r w:rsidRPr="00513258">
              <w:rPr>
                <w:b/>
                <w:bCs/>
                <w:color w:val="FFFFFF" w:themeColor="background1"/>
                <w:sz w:val="16"/>
                <w:szCs w:val="16"/>
              </w:rPr>
              <w:lastRenderedPageBreak/>
              <w:t> </w:t>
            </w:r>
          </w:p>
        </w:tc>
        <w:tc>
          <w:tcPr>
            <w:tcW w:w="2186" w:type="dxa"/>
            <w:shd w:val="clear" w:color="auto" w:fill="472D8C"/>
            <w:noWrap/>
          </w:tcPr>
          <w:p w14:paraId="095E2787" w14:textId="77777777" w:rsidR="00A60D4B" w:rsidRPr="00513258" w:rsidRDefault="00A60D4B" w:rsidP="00A60D4B">
            <w:pPr>
              <w:rPr>
                <w:b/>
                <w:bCs/>
                <w:color w:val="FFFFFF" w:themeColor="background1"/>
                <w:sz w:val="16"/>
                <w:szCs w:val="16"/>
              </w:rPr>
            </w:pPr>
            <w:r w:rsidRPr="00513258">
              <w:rPr>
                <w:b/>
                <w:bCs/>
                <w:color w:val="FFFFFF" w:themeColor="background1"/>
                <w:sz w:val="16"/>
                <w:szCs w:val="16"/>
              </w:rPr>
              <w:t> </w:t>
            </w:r>
          </w:p>
        </w:tc>
        <w:tc>
          <w:tcPr>
            <w:tcW w:w="946" w:type="dxa"/>
            <w:shd w:val="clear" w:color="auto" w:fill="472D8C"/>
            <w:noWrap/>
          </w:tcPr>
          <w:p w14:paraId="7C1F1C23"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Disposable income</w:t>
            </w:r>
          </w:p>
        </w:tc>
        <w:tc>
          <w:tcPr>
            <w:tcW w:w="848" w:type="dxa"/>
            <w:shd w:val="clear" w:color="auto" w:fill="472D8C"/>
            <w:noWrap/>
          </w:tcPr>
          <w:p w14:paraId="50877076"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Rates, FESL, SFL</w:t>
            </w:r>
          </w:p>
        </w:tc>
        <w:tc>
          <w:tcPr>
            <w:tcW w:w="1077" w:type="dxa"/>
            <w:shd w:val="clear" w:color="auto" w:fill="472D8C"/>
            <w:noWrap/>
          </w:tcPr>
          <w:p w14:paraId="76F2418B"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Rates and FESL Concessions</w:t>
            </w:r>
          </w:p>
        </w:tc>
        <w:tc>
          <w:tcPr>
            <w:tcW w:w="1077" w:type="dxa"/>
            <w:shd w:val="clear" w:color="auto" w:fill="472D8C"/>
            <w:noWrap/>
          </w:tcPr>
          <w:p w14:paraId="46C97A2A"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Conveyance Duty</w:t>
            </w:r>
          </w:p>
        </w:tc>
        <w:tc>
          <w:tcPr>
            <w:tcW w:w="1077" w:type="dxa"/>
            <w:shd w:val="clear" w:color="auto" w:fill="472D8C"/>
            <w:noWrap/>
          </w:tcPr>
          <w:p w14:paraId="3A608316"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Conveyance Duty Concession</w:t>
            </w:r>
          </w:p>
        </w:tc>
        <w:tc>
          <w:tcPr>
            <w:tcW w:w="850" w:type="dxa"/>
            <w:shd w:val="clear" w:color="auto" w:fill="472D8C"/>
            <w:noWrap/>
          </w:tcPr>
          <w:p w14:paraId="2391B710"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Vehicle Charges</w:t>
            </w:r>
          </w:p>
        </w:tc>
        <w:tc>
          <w:tcPr>
            <w:tcW w:w="964" w:type="dxa"/>
            <w:shd w:val="clear" w:color="auto" w:fill="472D8C"/>
            <w:noWrap/>
          </w:tcPr>
          <w:p w14:paraId="2828B303"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Vehicle Concession</w:t>
            </w:r>
          </w:p>
        </w:tc>
        <w:tc>
          <w:tcPr>
            <w:tcW w:w="709" w:type="dxa"/>
            <w:gridSpan w:val="2"/>
            <w:shd w:val="clear" w:color="auto" w:fill="472D8C"/>
            <w:noWrap/>
          </w:tcPr>
          <w:p w14:paraId="3C683788"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Action Bus Fares</w:t>
            </w:r>
          </w:p>
        </w:tc>
        <w:tc>
          <w:tcPr>
            <w:tcW w:w="992" w:type="dxa"/>
            <w:gridSpan w:val="2"/>
            <w:shd w:val="clear" w:color="auto" w:fill="472D8C"/>
            <w:noWrap/>
          </w:tcPr>
          <w:p w14:paraId="05273427"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Action Bus Concession</w:t>
            </w:r>
          </w:p>
        </w:tc>
        <w:tc>
          <w:tcPr>
            <w:tcW w:w="851" w:type="dxa"/>
            <w:gridSpan w:val="2"/>
            <w:shd w:val="clear" w:color="auto" w:fill="472D8C"/>
            <w:noWrap/>
          </w:tcPr>
          <w:p w14:paraId="4C08642E"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Utilities</w:t>
            </w:r>
          </w:p>
        </w:tc>
        <w:tc>
          <w:tcPr>
            <w:tcW w:w="992" w:type="dxa"/>
            <w:gridSpan w:val="2"/>
            <w:shd w:val="clear" w:color="auto" w:fill="472D8C"/>
            <w:noWrap/>
          </w:tcPr>
          <w:p w14:paraId="78F81266"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Utilities concession</w:t>
            </w:r>
          </w:p>
        </w:tc>
        <w:tc>
          <w:tcPr>
            <w:tcW w:w="964" w:type="dxa"/>
            <w:gridSpan w:val="2"/>
            <w:shd w:val="clear" w:color="auto" w:fill="472D8C"/>
            <w:noWrap/>
          </w:tcPr>
          <w:p w14:paraId="5FE6BD27" w14:textId="77777777" w:rsidR="00A60D4B" w:rsidRPr="00513258" w:rsidRDefault="00A60D4B" w:rsidP="00A60D4B">
            <w:pPr>
              <w:jc w:val="right"/>
              <w:rPr>
                <w:b/>
                <w:bCs/>
                <w:color w:val="FFFFFF" w:themeColor="background1"/>
                <w:sz w:val="16"/>
                <w:szCs w:val="16"/>
              </w:rPr>
            </w:pPr>
            <w:r w:rsidRPr="00513258">
              <w:rPr>
                <w:b/>
                <w:bCs/>
                <w:color w:val="FFFFFF" w:themeColor="background1"/>
                <w:sz w:val="16"/>
                <w:szCs w:val="16"/>
              </w:rPr>
              <w:t>Net Disposable Income</w:t>
            </w:r>
          </w:p>
        </w:tc>
      </w:tr>
      <w:tr w:rsidR="00A60D4B" w:rsidRPr="007064D8" w14:paraId="3DFA914D" w14:textId="77777777" w:rsidTr="00A60D4B">
        <w:trPr>
          <w:gridAfter w:val="1"/>
          <w:wAfter w:w="28" w:type="dxa"/>
          <w:trHeight w:val="432"/>
        </w:trPr>
        <w:tc>
          <w:tcPr>
            <w:tcW w:w="410" w:type="dxa"/>
            <w:noWrap/>
            <w:hideMark/>
          </w:tcPr>
          <w:p w14:paraId="61221FF2" w14:textId="77777777" w:rsidR="00A60D4B" w:rsidRPr="007064D8" w:rsidRDefault="00A60D4B" w:rsidP="00A60D4B">
            <w:pPr>
              <w:rPr>
                <w:sz w:val="16"/>
                <w:szCs w:val="16"/>
              </w:rPr>
            </w:pPr>
            <w:r w:rsidRPr="007064D8">
              <w:rPr>
                <w:sz w:val="16"/>
                <w:szCs w:val="16"/>
              </w:rPr>
              <w:t>5</w:t>
            </w:r>
          </w:p>
        </w:tc>
        <w:tc>
          <w:tcPr>
            <w:tcW w:w="2186" w:type="dxa"/>
            <w:hideMark/>
          </w:tcPr>
          <w:p w14:paraId="75308012" w14:textId="77777777" w:rsidR="00A60D4B" w:rsidRPr="007064D8" w:rsidRDefault="00A60D4B" w:rsidP="00A60D4B">
            <w:pPr>
              <w:rPr>
                <w:sz w:val="16"/>
                <w:szCs w:val="16"/>
              </w:rPr>
            </w:pPr>
            <w:r w:rsidRPr="007064D8">
              <w:rPr>
                <w:sz w:val="16"/>
                <w:szCs w:val="16"/>
              </w:rPr>
              <w:t>Kingston - Single, second income quintile, in own unit, no car</w:t>
            </w:r>
          </w:p>
        </w:tc>
        <w:tc>
          <w:tcPr>
            <w:tcW w:w="946" w:type="dxa"/>
            <w:noWrap/>
            <w:hideMark/>
          </w:tcPr>
          <w:p w14:paraId="60AE27BA" w14:textId="77777777" w:rsidR="00A60D4B" w:rsidRPr="007064D8" w:rsidRDefault="00A60D4B" w:rsidP="00A60D4B">
            <w:pPr>
              <w:jc w:val="right"/>
              <w:rPr>
                <w:sz w:val="16"/>
                <w:szCs w:val="16"/>
              </w:rPr>
            </w:pPr>
            <w:r w:rsidRPr="007064D8">
              <w:rPr>
                <w:sz w:val="16"/>
                <w:szCs w:val="16"/>
              </w:rPr>
              <w:t> </w:t>
            </w:r>
          </w:p>
        </w:tc>
        <w:tc>
          <w:tcPr>
            <w:tcW w:w="848" w:type="dxa"/>
            <w:noWrap/>
            <w:hideMark/>
          </w:tcPr>
          <w:p w14:paraId="1436E7B6" w14:textId="77777777" w:rsidR="00A60D4B" w:rsidRPr="007064D8" w:rsidRDefault="00A60D4B" w:rsidP="00A60D4B">
            <w:pPr>
              <w:jc w:val="right"/>
              <w:rPr>
                <w:sz w:val="16"/>
                <w:szCs w:val="16"/>
              </w:rPr>
            </w:pPr>
          </w:p>
        </w:tc>
        <w:tc>
          <w:tcPr>
            <w:tcW w:w="1077" w:type="dxa"/>
            <w:noWrap/>
            <w:hideMark/>
          </w:tcPr>
          <w:p w14:paraId="1963DC21" w14:textId="77777777" w:rsidR="00A60D4B" w:rsidRPr="007064D8" w:rsidRDefault="00A60D4B" w:rsidP="00A60D4B">
            <w:pPr>
              <w:jc w:val="right"/>
              <w:rPr>
                <w:sz w:val="16"/>
                <w:szCs w:val="16"/>
              </w:rPr>
            </w:pPr>
          </w:p>
        </w:tc>
        <w:tc>
          <w:tcPr>
            <w:tcW w:w="1077" w:type="dxa"/>
            <w:noWrap/>
            <w:hideMark/>
          </w:tcPr>
          <w:p w14:paraId="27009B82" w14:textId="77777777" w:rsidR="00A60D4B" w:rsidRPr="007064D8" w:rsidRDefault="00A60D4B" w:rsidP="00A60D4B">
            <w:pPr>
              <w:jc w:val="right"/>
              <w:rPr>
                <w:sz w:val="16"/>
                <w:szCs w:val="16"/>
              </w:rPr>
            </w:pPr>
          </w:p>
        </w:tc>
        <w:tc>
          <w:tcPr>
            <w:tcW w:w="1077" w:type="dxa"/>
            <w:noWrap/>
            <w:hideMark/>
          </w:tcPr>
          <w:p w14:paraId="5D5A8292" w14:textId="77777777" w:rsidR="00A60D4B" w:rsidRPr="007064D8" w:rsidRDefault="00A60D4B" w:rsidP="00A60D4B">
            <w:pPr>
              <w:jc w:val="right"/>
              <w:rPr>
                <w:sz w:val="16"/>
                <w:szCs w:val="16"/>
              </w:rPr>
            </w:pPr>
          </w:p>
        </w:tc>
        <w:tc>
          <w:tcPr>
            <w:tcW w:w="850" w:type="dxa"/>
            <w:noWrap/>
            <w:hideMark/>
          </w:tcPr>
          <w:p w14:paraId="74500BA7" w14:textId="77777777" w:rsidR="00A60D4B" w:rsidRPr="007064D8" w:rsidRDefault="00A60D4B" w:rsidP="00A60D4B">
            <w:pPr>
              <w:jc w:val="right"/>
              <w:rPr>
                <w:sz w:val="16"/>
                <w:szCs w:val="16"/>
              </w:rPr>
            </w:pPr>
          </w:p>
        </w:tc>
        <w:tc>
          <w:tcPr>
            <w:tcW w:w="964" w:type="dxa"/>
            <w:noWrap/>
            <w:hideMark/>
          </w:tcPr>
          <w:p w14:paraId="3DDC0618" w14:textId="77777777" w:rsidR="00A60D4B" w:rsidRPr="007064D8" w:rsidRDefault="00A60D4B" w:rsidP="00A60D4B">
            <w:pPr>
              <w:jc w:val="right"/>
              <w:rPr>
                <w:sz w:val="16"/>
                <w:szCs w:val="16"/>
              </w:rPr>
            </w:pPr>
          </w:p>
        </w:tc>
        <w:tc>
          <w:tcPr>
            <w:tcW w:w="709" w:type="dxa"/>
            <w:gridSpan w:val="2"/>
            <w:noWrap/>
            <w:hideMark/>
          </w:tcPr>
          <w:p w14:paraId="3CE2AD72" w14:textId="77777777" w:rsidR="00A60D4B" w:rsidRPr="007064D8" w:rsidRDefault="00A60D4B" w:rsidP="00A60D4B">
            <w:pPr>
              <w:jc w:val="right"/>
              <w:rPr>
                <w:sz w:val="16"/>
                <w:szCs w:val="16"/>
              </w:rPr>
            </w:pPr>
          </w:p>
        </w:tc>
        <w:tc>
          <w:tcPr>
            <w:tcW w:w="992" w:type="dxa"/>
            <w:gridSpan w:val="2"/>
            <w:noWrap/>
            <w:hideMark/>
          </w:tcPr>
          <w:p w14:paraId="5F24C960" w14:textId="77777777" w:rsidR="00A60D4B" w:rsidRPr="007064D8" w:rsidRDefault="00A60D4B" w:rsidP="00A60D4B">
            <w:pPr>
              <w:jc w:val="right"/>
              <w:rPr>
                <w:sz w:val="16"/>
                <w:szCs w:val="16"/>
              </w:rPr>
            </w:pPr>
          </w:p>
        </w:tc>
        <w:tc>
          <w:tcPr>
            <w:tcW w:w="851" w:type="dxa"/>
            <w:gridSpan w:val="2"/>
            <w:noWrap/>
            <w:hideMark/>
          </w:tcPr>
          <w:p w14:paraId="214E5559" w14:textId="77777777" w:rsidR="00A60D4B" w:rsidRPr="007064D8" w:rsidRDefault="00A60D4B" w:rsidP="00A60D4B">
            <w:pPr>
              <w:jc w:val="right"/>
              <w:rPr>
                <w:sz w:val="16"/>
                <w:szCs w:val="16"/>
              </w:rPr>
            </w:pPr>
          </w:p>
        </w:tc>
        <w:tc>
          <w:tcPr>
            <w:tcW w:w="992" w:type="dxa"/>
            <w:gridSpan w:val="2"/>
            <w:noWrap/>
            <w:hideMark/>
          </w:tcPr>
          <w:p w14:paraId="552CF945" w14:textId="77777777" w:rsidR="00A60D4B" w:rsidRPr="007064D8" w:rsidRDefault="00A60D4B" w:rsidP="00A60D4B">
            <w:pPr>
              <w:jc w:val="right"/>
              <w:rPr>
                <w:sz w:val="16"/>
                <w:szCs w:val="16"/>
              </w:rPr>
            </w:pPr>
          </w:p>
        </w:tc>
        <w:tc>
          <w:tcPr>
            <w:tcW w:w="964" w:type="dxa"/>
            <w:gridSpan w:val="2"/>
            <w:noWrap/>
            <w:hideMark/>
          </w:tcPr>
          <w:p w14:paraId="39639FE9" w14:textId="77777777" w:rsidR="00A60D4B" w:rsidRPr="007064D8" w:rsidRDefault="00A60D4B" w:rsidP="00A60D4B">
            <w:pPr>
              <w:jc w:val="right"/>
              <w:rPr>
                <w:sz w:val="16"/>
                <w:szCs w:val="16"/>
              </w:rPr>
            </w:pPr>
            <w:r w:rsidRPr="007064D8">
              <w:rPr>
                <w:sz w:val="16"/>
                <w:szCs w:val="16"/>
              </w:rPr>
              <w:t> </w:t>
            </w:r>
          </w:p>
        </w:tc>
      </w:tr>
      <w:tr w:rsidR="00A60D4B" w:rsidRPr="007064D8" w14:paraId="153D4DB2" w14:textId="77777777" w:rsidTr="00A60D4B">
        <w:trPr>
          <w:gridAfter w:val="1"/>
          <w:wAfter w:w="28" w:type="dxa"/>
          <w:trHeight w:val="288"/>
        </w:trPr>
        <w:tc>
          <w:tcPr>
            <w:tcW w:w="410" w:type="dxa"/>
            <w:noWrap/>
            <w:hideMark/>
          </w:tcPr>
          <w:p w14:paraId="50A500C7" w14:textId="77777777" w:rsidR="00A60D4B" w:rsidRPr="007064D8" w:rsidRDefault="00A60D4B" w:rsidP="00A60D4B">
            <w:pPr>
              <w:rPr>
                <w:sz w:val="16"/>
                <w:szCs w:val="16"/>
              </w:rPr>
            </w:pPr>
            <w:r w:rsidRPr="007064D8">
              <w:rPr>
                <w:sz w:val="16"/>
                <w:szCs w:val="16"/>
              </w:rPr>
              <w:t> </w:t>
            </w:r>
          </w:p>
        </w:tc>
        <w:tc>
          <w:tcPr>
            <w:tcW w:w="2186" w:type="dxa"/>
            <w:noWrap/>
            <w:hideMark/>
          </w:tcPr>
          <w:p w14:paraId="651BA8E8" w14:textId="77777777" w:rsidR="00A60D4B" w:rsidRPr="007064D8" w:rsidRDefault="00A60D4B" w:rsidP="00A60D4B">
            <w:pPr>
              <w:jc w:val="right"/>
              <w:rPr>
                <w:sz w:val="16"/>
                <w:szCs w:val="16"/>
              </w:rPr>
            </w:pPr>
            <w:r w:rsidRPr="007064D8">
              <w:rPr>
                <w:sz w:val="16"/>
                <w:szCs w:val="16"/>
              </w:rPr>
              <w:t>2020-21</w:t>
            </w:r>
          </w:p>
        </w:tc>
        <w:tc>
          <w:tcPr>
            <w:tcW w:w="946" w:type="dxa"/>
            <w:noWrap/>
            <w:hideMark/>
          </w:tcPr>
          <w:p w14:paraId="712BCB95" w14:textId="77777777" w:rsidR="00A60D4B" w:rsidRPr="007064D8" w:rsidRDefault="00A60D4B" w:rsidP="00A60D4B">
            <w:pPr>
              <w:jc w:val="right"/>
              <w:rPr>
                <w:sz w:val="16"/>
                <w:szCs w:val="16"/>
              </w:rPr>
            </w:pPr>
            <w:r w:rsidRPr="007064D8">
              <w:rPr>
                <w:sz w:val="16"/>
                <w:szCs w:val="16"/>
              </w:rPr>
              <w:t>$4</w:t>
            </w:r>
            <w:r>
              <w:rPr>
                <w:sz w:val="16"/>
                <w:szCs w:val="16"/>
              </w:rPr>
              <w:t>7</w:t>
            </w:r>
            <w:r w:rsidRPr="007064D8">
              <w:rPr>
                <w:sz w:val="16"/>
                <w:szCs w:val="16"/>
              </w:rPr>
              <w:t>,</w:t>
            </w:r>
            <w:r>
              <w:rPr>
                <w:sz w:val="16"/>
                <w:szCs w:val="16"/>
              </w:rPr>
              <w:t>3</w:t>
            </w:r>
            <w:r w:rsidRPr="007064D8">
              <w:rPr>
                <w:sz w:val="16"/>
                <w:szCs w:val="16"/>
              </w:rPr>
              <w:t>00</w:t>
            </w:r>
          </w:p>
        </w:tc>
        <w:tc>
          <w:tcPr>
            <w:tcW w:w="848" w:type="dxa"/>
            <w:noWrap/>
            <w:hideMark/>
          </w:tcPr>
          <w:p w14:paraId="382E0445" w14:textId="77777777" w:rsidR="00A60D4B" w:rsidRPr="007064D8" w:rsidRDefault="00A60D4B" w:rsidP="00A60D4B">
            <w:pPr>
              <w:jc w:val="right"/>
              <w:rPr>
                <w:sz w:val="16"/>
                <w:szCs w:val="16"/>
              </w:rPr>
            </w:pPr>
            <w:r w:rsidRPr="007064D8">
              <w:rPr>
                <w:sz w:val="16"/>
                <w:szCs w:val="16"/>
              </w:rPr>
              <w:t>$2,232</w:t>
            </w:r>
          </w:p>
        </w:tc>
        <w:tc>
          <w:tcPr>
            <w:tcW w:w="1077" w:type="dxa"/>
            <w:noWrap/>
            <w:hideMark/>
          </w:tcPr>
          <w:p w14:paraId="5866AFB2" w14:textId="77777777" w:rsidR="00A60D4B" w:rsidRPr="007064D8" w:rsidRDefault="00A60D4B" w:rsidP="00A60D4B">
            <w:pPr>
              <w:jc w:val="right"/>
              <w:rPr>
                <w:sz w:val="16"/>
                <w:szCs w:val="16"/>
              </w:rPr>
            </w:pPr>
            <w:r w:rsidRPr="007064D8">
              <w:rPr>
                <w:sz w:val="16"/>
                <w:szCs w:val="16"/>
              </w:rPr>
              <w:t>$150</w:t>
            </w:r>
          </w:p>
        </w:tc>
        <w:tc>
          <w:tcPr>
            <w:tcW w:w="1077" w:type="dxa"/>
            <w:noWrap/>
            <w:hideMark/>
          </w:tcPr>
          <w:p w14:paraId="766F1754"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1EDEDF4A" w14:textId="77777777" w:rsidR="00A60D4B" w:rsidRPr="007064D8" w:rsidRDefault="00A60D4B" w:rsidP="00A60D4B">
            <w:pPr>
              <w:jc w:val="right"/>
              <w:rPr>
                <w:sz w:val="16"/>
                <w:szCs w:val="16"/>
              </w:rPr>
            </w:pPr>
            <w:r w:rsidRPr="007064D8">
              <w:rPr>
                <w:sz w:val="16"/>
                <w:szCs w:val="16"/>
              </w:rPr>
              <w:t>$0</w:t>
            </w:r>
          </w:p>
        </w:tc>
        <w:tc>
          <w:tcPr>
            <w:tcW w:w="850" w:type="dxa"/>
            <w:noWrap/>
            <w:hideMark/>
          </w:tcPr>
          <w:p w14:paraId="6728D167" w14:textId="77777777" w:rsidR="00A60D4B" w:rsidRPr="007064D8" w:rsidRDefault="00A60D4B" w:rsidP="00A60D4B">
            <w:pPr>
              <w:jc w:val="right"/>
              <w:rPr>
                <w:sz w:val="16"/>
                <w:szCs w:val="16"/>
              </w:rPr>
            </w:pPr>
            <w:r w:rsidRPr="007064D8">
              <w:rPr>
                <w:sz w:val="16"/>
                <w:szCs w:val="16"/>
              </w:rPr>
              <w:t>$0</w:t>
            </w:r>
          </w:p>
        </w:tc>
        <w:tc>
          <w:tcPr>
            <w:tcW w:w="964" w:type="dxa"/>
            <w:noWrap/>
            <w:hideMark/>
          </w:tcPr>
          <w:p w14:paraId="23F64D1D" w14:textId="77777777" w:rsidR="00A60D4B" w:rsidRPr="007064D8" w:rsidRDefault="00A60D4B" w:rsidP="00A60D4B">
            <w:pPr>
              <w:jc w:val="right"/>
              <w:rPr>
                <w:sz w:val="16"/>
                <w:szCs w:val="16"/>
              </w:rPr>
            </w:pPr>
            <w:r w:rsidRPr="007064D8">
              <w:rPr>
                <w:sz w:val="16"/>
                <w:szCs w:val="16"/>
              </w:rPr>
              <w:t>$0</w:t>
            </w:r>
          </w:p>
        </w:tc>
        <w:tc>
          <w:tcPr>
            <w:tcW w:w="709" w:type="dxa"/>
            <w:gridSpan w:val="2"/>
            <w:noWrap/>
            <w:hideMark/>
          </w:tcPr>
          <w:p w14:paraId="3AF90C34" w14:textId="77777777" w:rsidR="00A60D4B" w:rsidRPr="007064D8" w:rsidRDefault="00A60D4B" w:rsidP="00A60D4B">
            <w:pPr>
              <w:jc w:val="right"/>
              <w:rPr>
                <w:sz w:val="16"/>
                <w:szCs w:val="16"/>
              </w:rPr>
            </w:pPr>
            <w:r w:rsidRPr="007064D8">
              <w:rPr>
                <w:sz w:val="16"/>
                <w:szCs w:val="16"/>
              </w:rPr>
              <w:t>$1,533</w:t>
            </w:r>
          </w:p>
        </w:tc>
        <w:tc>
          <w:tcPr>
            <w:tcW w:w="992" w:type="dxa"/>
            <w:gridSpan w:val="2"/>
            <w:noWrap/>
            <w:hideMark/>
          </w:tcPr>
          <w:p w14:paraId="7F560958" w14:textId="77777777" w:rsidR="00A60D4B" w:rsidRPr="007064D8" w:rsidRDefault="00A60D4B" w:rsidP="00A60D4B">
            <w:pPr>
              <w:jc w:val="right"/>
              <w:rPr>
                <w:sz w:val="16"/>
                <w:szCs w:val="16"/>
              </w:rPr>
            </w:pPr>
            <w:r w:rsidRPr="007064D8">
              <w:rPr>
                <w:sz w:val="16"/>
                <w:szCs w:val="16"/>
              </w:rPr>
              <w:t>$0</w:t>
            </w:r>
          </w:p>
        </w:tc>
        <w:tc>
          <w:tcPr>
            <w:tcW w:w="851" w:type="dxa"/>
            <w:gridSpan w:val="2"/>
            <w:noWrap/>
            <w:hideMark/>
          </w:tcPr>
          <w:p w14:paraId="22B168BC" w14:textId="77777777" w:rsidR="00A60D4B" w:rsidRPr="007064D8" w:rsidRDefault="00A60D4B" w:rsidP="00A60D4B">
            <w:pPr>
              <w:jc w:val="right"/>
              <w:rPr>
                <w:sz w:val="16"/>
                <w:szCs w:val="16"/>
              </w:rPr>
            </w:pPr>
            <w:r w:rsidRPr="007064D8">
              <w:rPr>
                <w:sz w:val="16"/>
                <w:szCs w:val="16"/>
              </w:rPr>
              <w:t>$3,875</w:t>
            </w:r>
          </w:p>
        </w:tc>
        <w:tc>
          <w:tcPr>
            <w:tcW w:w="992" w:type="dxa"/>
            <w:gridSpan w:val="2"/>
            <w:noWrap/>
            <w:hideMark/>
          </w:tcPr>
          <w:p w14:paraId="0B0BC034" w14:textId="77777777" w:rsidR="00A60D4B" w:rsidRPr="007064D8" w:rsidRDefault="00A60D4B" w:rsidP="00A60D4B">
            <w:pPr>
              <w:jc w:val="right"/>
              <w:rPr>
                <w:sz w:val="16"/>
                <w:szCs w:val="16"/>
              </w:rPr>
            </w:pPr>
            <w:r w:rsidRPr="007064D8">
              <w:rPr>
                <w:sz w:val="16"/>
                <w:szCs w:val="16"/>
              </w:rPr>
              <w:t>$0</w:t>
            </w:r>
          </w:p>
        </w:tc>
        <w:tc>
          <w:tcPr>
            <w:tcW w:w="964" w:type="dxa"/>
            <w:gridSpan w:val="2"/>
            <w:noWrap/>
            <w:hideMark/>
          </w:tcPr>
          <w:p w14:paraId="5CD93E71" w14:textId="77777777" w:rsidR="00A60D4B" w:rsidRPr="007064D8" w:rsidRDefault="00A60D4B" w:rsidP="00A60D4B">
            <w:pPr>
              <w:jc w:val="right"/>
              <w:rPr>
                <w:sz w:val="16"/>
                <w:szCs w:val="16"/>
              </w:rPr>
            </w:pPr>
            <w:r w:rsidRPr="007064D8">
              <w:rPr>
                <w:sz w:val="16"/>
                <w:szCs w:val="16"/>
              </w:rPr>
              <w:t>$3</w:t>
            </w:r>
            <w:r>
              <w:rPr>
                <w:sz w:val="16"/>
                <w:szCs w:val="16"/>
              </w:rPr>
              <w:t>9</w:t>
            </w:r>
            <w:r w:rsidRPr="007064D8">
              <w:rPr>
                <w:sz w:val="16"/>
                <w:szCs w:val="16"/>
              </w:rPr>
              <w:t>,</w:t>
            </w:r>
            <w:r>
              <w:rPr>
                <w:sz w:val="16"/>
                <w:szCs w:val="16"/>
              </w:rPr>
              <w:t>8</w:t>
            </w:r>
            <w:r w:rsidRPr="007064D8">
              <w:rPr>
                <w:sz w:val="16"/>
                <w:szCs w:val="16"/>
              </w:rPr>
              <w:t>10</w:t>
            </w:r>
          </w:p>
        </w:tc>
      </w:tr>
      <w:tr w:rsidR="00A60D4B" w:rsidRPr="007064D8" w14:paraId="5E8A68FC" w14:textId="77777777" w:rsidTr="00A60D4B">
        <w:trPr>
          <w:gridAfter w:val="1"/>
          <w:wAfter w:w="28" w:type="dxa"/>
          <w:trHeight w:val="288"/>
        </w:trPr>
        <w:tc>
          <w:tcPr>
            <w:tcW w:w="410" w:type="dxa"/>
            <w:noWrap/>
            <w:hideMark/>
          </w:tcPr>
          <w:p w14:paraId="6BDA5491" w14:textId="77777777" w:rsidR="00A60D4B" w:rsidRPr="007064D8" w:rsidRDefault="00A60D4B" w:rsidP="00A60D4B">
            <w:pPr>
              <w:rPr>
                <w:sz w:val="16"/>
                <w:szCs w:val="16"/>
              </w:rPr>
            </w:pPr>
            <w:r w:rsidRPr="007064D8">
              <w:rPr>
                <w:sz w:val="16"/>
                <w:szCs w:val="16"/>
              </w:rPr>
              <w:t> </w:t>
            </w:r>
          </w:p>
        </w:tc>
        <w:tc>
          <w:tcPr>
            <w:tcW w:w="2186" w:type="dxa"/>
            <w:noWrap/>
            <w:hideMark/>
          </w:tcPr>
          <w:p w14:paraId="31EB33A4" w14:textId="77777777" w:rsidR="00A60D4B" w:rsidRPr="007064D8" w:rsidRDefault="00A60D4B" w:rsidP="00A60D4B">
            <w:pPr>
              <w:jc w:val="right"/>
              <w:rPr>
                <w:sz w:val="16"/>
                <w:szCs w:val="16"/>
              </w:rPr>
            </w:pPr>
            <w:r w:rsidRPr="007064D8">
              <w:rPr>
                <w:sz w:val="16"/>
                <w:szCs w:val="16"/>
              </w:rPr>
              <w:t>2021-22</w:t>
            </w:r>
          </w:p>
        </w:tc>
        <w:tc>
          <w:tcPr>
            <w:tcW w:w="946" w:type="dxa"/>
            <w:noWrap/>
            <w:hideMark/>
          </w:tcPr>
          <w:p w14:paraId="2728E2E3" w14:textId="77777777" w:rsidR="00A60D4B" w:rsidRPr="007064D8" w:rsidRDefault="00A60D4B" w:rsidP="00A60D4B">
            <w:pPr>
              <w:jc w:val="right"/>
              <w:rPr>
                <w:sz w:val="16"/>
                <w:szCs w:val="16"/>
              </w:rPr>
            </w:pPr>
            <w:r w:rsidRPr="007064D8">
              <w:rPr>
                <w:sz w:val="16"/>
                <w:szCs w:val="16"/>
              </w:rPr>
              <w:t>$4</w:t>
            </w:r>
            <w:r>
              <w:rPr>
                <w:sz w:val="16"/>
                <w:szCs w:val="16"/>
              </w:rPr>
              <w:t>8</w:t>
            </w:r>
            <w:r w:rsidRPr="007064D8">
              <w:rPr>
                <w:sz w:val="16"/>
                <w:szCs w:val="16"/>
              </w:rPr>
              <w:t>,</w:t>
            </w:r>
            <w:r>
              <w:rPr>
                <w:sz w:val="16"/>
                <w:szCs w:val="16"/>
              </w:rPr>
              <w:t>1</w:t>
            </w:r>
            <w:r w:rsidRPr="007064D8">
              <w:rPr>
                <w:sz w:val="16"/>
                <w:szCs w:val="16"/>
              </w:rPr>
              <w:t>00</w:t>
            </w:r>
          </w:p>
        </w:tc>
        <w:tc>
          <w:tcPr>
            <w:tcW w:w="848" w:type="dxa"/>
            <w:noWrap/>
            <w:hideMark/>
          </w:tcPr>
          <w:p w14:paraId="6694DCCE" w14:textId="77777777" w:rsidR="00A60D4B" w:rsidRPr="007064D8" w:rsidRDefault="00A60D4B" w:rsidP="00A60D4B">
            <w:pPr>
              <w:jc w:val="right"/>
              <w:rPr>
                <w:sz w:val="16"/>
                <w:szCs w:val="16"/>
              </w:rPr>
            </w:pPr>
            <w:r w:rsidRPr="007064D8">
              <w:rPr>
                <w:sz w:val="16"/>
                <w:szCs w:val="16"/>
              </w:rPr>
              <w:t>$2,341</w:t>
            </w:r>
          </w:p>
        </w:tc>
        <w:tc>
          <w:tcPr>
            <w:tcW w:w="1077" w:type="dxa"/>
            <w:noWrap/>
            <w:hideMark/>
          </w:tcPr>
          <w:p w14:paraId="77E7A978"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0D5D4A3F"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4EF60ADC" w14:textId="77777777" w:rsidR="00A60D4B" w:rsidRPr="007064D8" w:rsidRDefault="00A60D4B" w:rsidP="00A60D4B">
            <w:pPr>
              <w:jc w:val="right"/>
              <w:rPr>
                <w:sz w:val="16"/>
                <w:szCs w:val="16"/>
              </w:rPr>
            </w:pPr>
            <w:r w:rsidRPr="007064D8">
              <w:rPr>
                <w:sz w:val="16"/>
                <w:szCs w:val="16"/>
              </w:rPr>
              <w:t>$0</w:t>
            </w:r>
          </w:p>
        </w:tc>
        <w:tc>
          <w:tcPr>
            <w:tcW w:w="850" w:type="dxa"/>
            <w:noWrap/>
            <w:hideMark/>
          </w:tcPr>
          <w:p w14:paraId="500B67B2" w14:textId="77777777" w:rsidR="00A60D4B" w:rsidRPr="007064D8" w:rsidRDefault="00A60D4B" w:rsidP="00A60D4B">
            <w:pPr>
              <w:jc w:val="right"/>
              <w:rPr>
                <w:sz w:val="16"/>
                <w:szCs w:val="16"/>
              </w:rPr>
            </w:pPr>
            <w:r w:rsidRPr="007064D8">
              <w:rPr>
                <w:sz w:val="16"/>
                <w:szCs w:val="16"/>
              </w:rPr>
              <w:t>$0</w:t>
            </w:r>
          </w:p>
        </w:tc>
        <w:tc>
          <w:tcPr>
            <w:tcW w:w="964" w:type="dxa"/>
            <w:noWrap/>
            <w:hideMark/>
          </w:tcPr>
          <w:p w14:paraId="60960655" w14:textId="77777777" w:rsidR="00A60D4B" w:rsidRPr="007064D8" w:rsidRDefault="00A60D4B" w:rsidP="00A60D4B">
            <w:pPr>
              <w:jc w:val="right"/>
              <w:rPr>
                <w:sz w:val="16"/>
                <w:szCs w:val="16"/>
              </w:rPr>
            </w:pPr>
            <w:r w:rsidRPr="007064D8">
              <w:rPr>
                <w:sz w:val="16"/>
                <w:szCs w:val="16"/>
              </w:rPr>
              <w:t>$0</w:t>
            </w:r>
          </w:p>
        </w:tc>
        <w:tc>
          <w:tcPr>
            <w:tcW w:w="709" w:type="dxa"/>
            <w:gridSpan w:val="2"/>
            <w:noWrap/>
            <w:hideMark/>
          </w:tcPr>
          <w:p w14:paraId="767DCF94" w14:textId="77777777" w:rsidR="00A60D4B" w:rsidRPr="007064D8" w:rsidRDefault="00A60D4B" w:rsidP="00A60D4B">
            <w:pPr>
              <w:jc w:val="right"/>
              <w:rPr>
                <w:sz w:val="16"/>
                <w:szCs w:val="16"/>
              </w:rPr>
            </w:pPr>
            <w:r w:rsidRPr="007064D8">
              <w:rPr>
                <w:sz w:val="16"/>
                <w:szCs w:val="16"/>
              </w:rPr>
              <w:t>$1,533</w:t>
            </w:r>
          </w:p>
        </w:tc>
        <w:tc>
          <w:tcPr>
            <w:tcW w:w="992" w:type="dxa"/>
            <w:gridSpan w:val="2"/>
            <w:noWrap/>
            <w:hideMark/>
          </w:tcPr>
          <w:p w14:paraId="539165C3" w14:textId="77777777" w:rsidR="00A60D4B" w:rsidRPr="007064D8" w:rsidRDefault="00A60D4B" w:rsidP="00A60D4B">
            <w:pPr>
              <w:jc w:val="right"/>
              <w:rPr>
                <w:sz w:val="16"/>
                <w:szCs w:val="16"/>
              </w:rPr>
            </w:pPr>
            <w:r w:rsidRPr="007064D8">
              <w:rPr>
                <w:sz w:val="16"/>
                <w:szCs w:val="16"/>
              </w:rPr>
              <w:t>$0</w:t>
            </w:r>
          </w:p>
        </w:tc>
        <w:tc>
          <w:tcPr>
            <w:tcW w:w="851" w:type="dxa"/>
            <w:gridSpan w:val="2"/>
            <w:noWrap/>
            <w:hideMark/>
          </w:tcPr>
          <w:p w14:paraId="0BF9D391" w14:textId="77777777" w:rsidR="00A60D4B" w:rsidRPr="007064D8" w:rsidRDefault="00A60D4B" w:rsidP="00A60D4B">
            <w:pPr>
              <w:jc w:val="right"/>
              <w:rPr>
                <w:sz w:val="16"/>
                <w:szCs w:val="16"/>
              </w:rPr>
            </w:pPr>
            <w:r w:rsidRPr="007064D8">
              <w:rPr>
                <w:sz w:val="16"/>
                <w:szCs w:val="16"/>
              </w:rPr>
              <w:t>$4,016</w:t>
            </w:r>
          </w:p>
        </w:tc>
        <w:tc>
          <w:tcPr>
            <w:tcW w:w="992" w:type="dxa"/>
            <w:gridSpan w:val="2"/>
            <w:noWrap/>
            <w:hideMark/>
          </w:tcPr>
          <w:p w14:paraId="0A362078" w14:textId="77777777" w:rsidR="00A60D4B" w:rsidRPr="007064D8" w:rsidRDefault="00A60D4B" w:rsidP="00A60D4B">
            <w:pPr>
              <w:jc w:val="right"/>
              <w:rPr>
                <w:sz w:val="16"/>
                <w:szCs w:val="16"/>
              </w:rPr>
            </w:pPr>
            <w:r w:rsidRPr="007064D8">
              <w:rPr>
                <w:sz w:val="16"/>
                <w:szCs w:val="16"/>
              </w:rPr>
              <w:t>$0</w:t>
            </w:r>
          </w:p>
        </w:tc>
        <w:tc>
          <w:tcPr>
            <w:tcW w:w="964" w:type="dxa"/>
            <w:gridSpan w:val="2"/>
            <w:noWrap/>
            <w:hideMark/>
          </w:tcPr>
          <w:p w14:paraId="5988574F" w14:textId="77777777" w:rsidR="00A60D4B" w:rsidRPr="007064D8" w:rsidRDefault="00A60D4B" w:rsidP="00A60D4B">
            <w:pPr>
              <w:jc w:val="right"/>
              <w:rPr>
                <w:sz w:val="16"/>
                <w:szCs w:val="16"/>
              </w:rPr>
            </w:pPr>
            <w:r w:rsidRPr="007064D8">
              <w:rPr>
                <w:sz w:val="16"/>
                <w:szCs w:val="16"/>
              </w:rPr>
              <w:t>$</w:t>
            </w:r>
            <w:r>
              <w:rPr>
                <w:sz w:val="16"/>
                <w:szCs w:val="16"/>
              </w:rPr>
              <w:t>40,210</w:t>
            </w:r>
          </w:p>
        </w:tc>
      </w:tr>
      <w:tr w:rsidR="00A60D4B" w:rsidRPr="007064D8" w14:paraId="7411BB2A" w14:textId="77777777" w:rsidTr="00A60D4B">
        <w:trPr>
          <w:gridAfter w:val="1"/>
          <w:wAfter w:w="28" w:type="dxa"/>
          <w:trHeight w:val="288"/>
        </w:trPr>
        <w:tc>
          <w:tcPr>
            <w:tcW w:w="410" w:type="dxa"/>
            <w:noWrap/>
            <w:hideMark/>
          </w:tcPr>
          <w:p w14:paraId="7EEA6BFA" w14:textId="77777777" w:rsidR="00A60D4B" w:rsidRPr="007064D8" w:rsidRDefault="00A60D4B" w:rsidP="00A60D4B">
            <w:pPr>
              <w:rPr>
                <w:sz w:val="16"/>
                <w:szCs w:val="16"/>
              </w:rPr>
            </w:pPr>
            <w:r w:rsidRPr="007064D8">
              <w:rPr>
                <w:sz w:val="16"/>
                <w:szCs w:val="16"/>
              </w:rPr>
              <w:t> </w:t>
            </w:r>
          </w:p>
        </w:tc>
        <w:tc>
          <w:tcPr>
            <w:tcW w:w="2186" w:type="dxa"/>
            <w:noWrap/>
            <w:hideMark/>
          </w:tcPr>
          <w:p w14:paraId="023D4D43" w14:textId="77777777" w:rsidR="00A60D4B" w:rsidRPr="007064D8" w:rsidRDefault="00A60D4B" w:rsidP="00A60D4B">
            <w:pPr>
              <w:rPr>
                <w:sz w:val="16"/>
                <w:szCs w:val="16"/>
              </w:rPr>
            </w:pPr>
            <w:r w:rsidRPr="007064D8">
              <w:rPr>
                <w:sz w:val="16"/>
                <w:szCs w:val="16"/>
              </w:rPr>
              <w:t> </w:t>
            </w:r>
          </w:p>
        </w:tc>
        <w:tc>
          <w:tcPr>
            <w:tcW w:w="946" w:type="dxa"/>
            <w:noWrap/>
            <w:hideMark/>
          </w:tcPr>
          <w:p w14:paraId="04C9A523" w14:textId="77777777" w:rsidR="00A60D4B" w:rsidRPr="007064D8" w:rsidRDefault="00A60D4B" w:rsidP="00A60D4B">
            <w:pPr>
              <w:jc w:val="right"/>
              <w:rPr>
                <w:sz w:val="16"/>
                <w:szCs w:val="16"/>
              </w:rPr>
            </w:pPr>
            <w:r w:rsidRPr="007064D8">
              <w:rPr>
                <w:sz w:val="16"/>
                <w:szCs w:val="16"/>
              </w:rPr>
              <w:t> </w:t>
            </w:r>
          </w:p>
        </w:tc>
        <w:tc>
          <w:tcPr>
            <w:tcW w:w="848" w:type="dxa"/>
            <w:noWrap/>
            <w:hideMark/>
          </w:tcPr>
          <w:p w14:paraId="46D0E01F" w14:textId="77777777" w:rsidR="00A60D4B" w:rsidRPr="007064D8" w:rsidRDefault="00A60D4B" w:rsidP="00A60D4B">
            <w:pPr>
              <w:jc w:val="right"/>
              <w:rPr>
                <w:sz w:val="16"/>
                <w:szCs w:val="16"/>
              </w:rPr>
            </w:pPr>
          </w:p>
        </w:tc>
        <w:tc>
          <w:tcPr>
            <w:tcW w:w="1077" w:type="dxa"/>
            <w:noWrap/>
            <w:hideMark/>
          </w:tcPr>
          <w:p w14:paraId="5632DCC4" w14:textId="77777777" w:rsidR="00A60D4B" w:rsidRPr="007064D8" w:rsidRDefault="00A60D4B" w:rsidP="00A60D4B">
            <w:pPr>
              <w:jc w:val="right"/>
              <w:rPr>
                <w:sz w:val="16"/>
                <w:szCs w:val="16"/>
              </w:rPr>
            </w:pPr>
          </w:p>
        </w:tc>
        <w:tc>
          <w:tcPr>
            <w:tcW w:w="1077" w:type="dxa"/>
            <w:noWrap/>
            <w:hideMark/>
          </w:tcPr>
          <w:p w14:paraId="784C421C" w14:textId="77777777" w:rsidR="00A60D4B" w:rsidRPr="007064D8" w:rsidRDefault="00A60D4B" w:rsidP="00A60D4B">
            <w:pPr>
              <w:jc w:val="right"/>
              <w:rPr>
                <w:sz w:val="16"/>
                <w:szCs w:val="16"/>
              </w:rPr>
            </w:pPr>
          </w:p>
        </w:tc>
        <w:tc>
          <w:tcPr>
            <w:tcW w:w="1077" w:type="dxa"/>
            <w:noWrap/>
            <w:hideMark/>
          </w:tcPr>
          <w:p w14:paraId="2091367E" w14:textId="77777777" w:rsidR="00A60D4B" w:rsidRPr="007064D8" w:rsidRDefault="00A60D4B" w:rsidP="00A60D4B">
            <w:pPr>
              <w:jc w:val="right"/>
              <w:rPr>
                <w:sz w:val="16"/>
                <w:szCs w:val="16"/>
              </w:rPr>
            </w:pPr>
          </w:p>
        </w:tc>
        <w:tc>
          <w:tcPr>
            <w:tcW w:w="850" w:type="dxa"/>
            <w:noWrap/>
            <w:hideMark/>
          </w:tcPr>
          <w:p w14:paraId="7DE43F3C" w14:textId="77777777" w:rsidR="00A60D4B" w:rsidRPr="007064D8" w:rsidRDefault="00A60D4B" w:rsidP="00A60D4B">
            <w:pPr>
              <w:jc w:val="right"/>
              <w:rPr>
                <w:sz w:val="16"/>
                <w:szCs w:val="16"/>
              </w:rPr>
            </w:pPr>
          </w:p>
        </w:tc>
        <w:tc>
          <w:tcPr>
            <w:tcW w:w="964" w:type="dxa"/>
            <w:noWrap/>
            <w:hideMark/>
          </w:tcPr>
          <w:p w14:paraId="385ADB3B" w14:textId="77777777" w:rsidR="00A60D4B" w:rsidRPr="007064D8" w:rsidRDefault="00A60D4B" w:rsidP="00A60D4B">
            <w:pPr>
              <w:jc w:val="right"/>
              <w:rPr>
                <w:sz w:val="16"/>
                <w:szCs w:val="16"/>
              </w:rPr>
            </w:pPr>
          </w:p>
        </w:tc>
        <w:tc>
          <w:tcPr>
            <w:tcW w:w="709" w:type="dxa"/>
            <w:gridSpan w:val="2"/>
            <w:noWrap/>
            <w:hideMark/>
          </w:tcPr>
          <w:p w14:paraId="109938C8" w14:textId="77777777" w:rsidR="00A60D4B" w:rsidRPr="007064D8" w:rsidRDefault="00A60D4B" w:rsidP="00A60D4B">
            <w:pPr>
              <w:jc w:val="right"/>
              <w:rPr>
                <w:sz w:val="16"/>
                <w:szCs w:val="16"/>
              </w:rPr>
            </w:pPr>
          </w:p>
        </w:tc>
        <w:tc>
          <w:tcPr>
            <w:tcW w:w="992" w:type="dxa"/>
            <w:gridSpan w:val="2"/>
            <w:noWrap/>
            <w:hideMark/>
          </w:tcPr>
          <w:p w14:paraId="61241C08" w14:textId="77777777" w:rsidR="00A60D4B" w:rsidRPr="007064D8" w:rsidRDefault="00A60D4B" w:rsidP="00A60D4B">
            <w:pPr>
              <w:jc w:val="right"/>
              <w:rPr>
                <w:sz w:val="16"/>
                <w:szCs w:val="16"/>
              </w:rPr>
            </w:pPr>
          </w:p>
        </w:tc>
        <w:tc>
          <w:tcPr>
            <w:tcW w:w="851" w:type="dxa"/>
            <w:gridSpan w:val="2"/>
            <w:noWrap/>
            <w:hideMark/>
          </w:tcPr>
          <w:p w14:paraId="415454C5" w14:textId="77777777" w:rsidR="00A60D4B" w:rsidRPr="007064D8" w:rsidRDefault="00A60D4B" w:rsidP="00A60D4B">
            <w:pPr>
              <w:jc w:val="right"/>
              <w:rPr>
                <w:sz w:val="16"/>
                <w:szCs w:val="16"/>
              </w:rPr>
            </w:pPr>
          </w:p>
        </w:tc>
        <w:tc>
          <w:tcPr>
            <w:tcW w:w="992" w:type="dxa"/>
            <w:gridSpan w:val="2"/>
            <w:noWrap/>
            <w:hideMark/>
          </w:tcPr>
          <w:p w14:paraId="5B44D8B0" w14:textId="77777777" w:rsidR="00A60D4B" w:rsidRPr="007064D8" w:rsidRDefault="00A60D4B" w:rsidP="00A60D4B">
            <w:pPr>
              <w:jc w:val="right"/>
              <w:rPr>
                <w:sz w:val="16"/>
                <w:szCs w:val="16"/>
              </w:rPr>
            </w:pPr>
            <w:r w:rsidRPr="007064D8">
              <w:rPr>
                <w:sz w:val="16"/>
                <w:szCs w:val="16"/>
              </w:rPr>
              <w:t xml:space="preserve"> Change </w:t>
            </w:r>
          </w:p>
        </w:tc>
        <w:tc>
          <w:tcPr>
            <w:tcW w:w="964" w:type="dxa"/>
            <w:gridSpan w:val="2"/>
            <w:noWrap/>
            <w:hideMark/>
          </w:tcPr>
          <w:p w14:paraId="7B39D0F2" w14:textId="77777777" w:rsidR="00A60D4B" w:rsidRPr="007064D8" w:rsidRDefault="00A60D4B" w:rsidP="00A60D4B">
            <w:pPr>
              <w:jc w:val="right"/>
              <w:rPr>
                <w:sz w:val="16"/>
                <w:szCs w:val="16"/>
              </w:rPr>
            </w:pPr>
            <w:r w:rsidRPr="007064D8">
              <w:rPr>
                <w:sz w:val="16"/>
                <w:szCs w:val="16"/>
              </w:rPr>
              <w:t>$</w:t>
            </w:r>
            <w:r>
              <w:rPr>
                <w:sz w:val="16"/>
                <w:szCs w:val="16"/>
              </w:rPr>
              <w:t>4</w:t>
            </w:r>
            <w:r w:rsidRPr="007064D8">
              <w:rPr>
                <w:sz w:val="16"/>
                <w:szCs w:val="16"/>
              </w:rPr>
              <w:t>00</w:t>
            </w:r>
          </w:p>
        </w:tc>
      </w:tr>
      <w:tr w:rsidR="00A60D4B" w:rsidRPr="007064D8" w14:paraId="59925694" w14:textId="77777777" w:rsidTr="00A60D4B">
        <w:trPr>
          <w:gridAfter w:val="1"/>
          <w:wAfter w:w="28" w:type="dxa"/>
          <w:trHeight w:val="600"/>
        </w:trPr>
        <w:tc>
          <w:tcPr>
            <w:tcW w:w="410" w:type="dxa"/>
            <w:noWrap/>
            <w:hideMark/>
          </w:tcPr>
          <w:p w14:paraId="67461FC9" w14:textId="77777777" w:rsidR="00A60D4B" w:rsidRPr="007064D8" w:rsidRDefault="00A60D4B" w:rsidP="00A60D4B">
            <w:pPr>
              <w:rPr>
                <w:sz w:val="16"/>
                <w:szCs w:val="16"/>
              </w:rPr>
            </w:pPr>
            <w:r w:rsidRPr="007064D8">
              <w:rPr>
                <w:sz w:val="16"/>
                <w:szCs w:val="16"/>
              </w:rPr>
              <w:t>6</w:t>
            </w:r>
          </w:p>
        </w:tc>
        <w:tc>
          <w:tcPr>
            <w:tcW w:w="2186" w:type="dxa"/>
            <w:hideMark/>
          </w:tcPr>
          <w:p w14:paraId="083E40A8" w14:textId="77777777" w:rsidR="00A60D4B" w:rsidRPr="007064D8" w:rsidRDefault="00A60D4B" w:rsidP="00A60D4B">
            <w:pPr>
              <w:rPr>
                <w:sz w:val="16"/>
                <w:szCs w:val="16"/>
              </w:rPr>
            </w:pPr>
            <w:r>
              <w:rPr>
                <w:sz w:val="16"/>
                <w:szCs w:val="16"/>
              </w:rPr>
              <w:t>Turner – Single, third income quintile, purchasing own unit in 2021-22, 1 car</w:t>
            </w:r>
          </w:p>
        </w:tc>
        <w:tc>
          <w:tcPr>
            <w:tcW w:w="946" w:type="dxa"/>
            <w:noWrap/>
            <w:hideMark/>
          </w:tcPr>
          <w:p w14:paraId="57433051" w14:textId="77777777" w:rsidR="00A60D4B" w:rsidRPr="007064D8" w:rsidRDefault="00A60D4B" w:rsidP="00A60D4B">
            <w:pPr>
              <w:jc w:val="right"/>
              <w:rPr>
                <w:sz w:val="16"/>
                <w:szCs w:val="16"/>
              </w:rPr>
            </w:pPr>
            <w:r w:rsidRPr="007064D8">
              <w:rPr>
                <w:sz w:val="16"/>
                <w:szCs w:val="16"/>
              </w:rPr>
              <w:t> </w:t>
            </w:r>
          </w:p>
        </w:tc>
        <w:tc>
          <w:tcPr>
            <w:tcW w:w="848" w:type="dxa"/>
            <w:noWrap/>
            <w:hideMark/>
          </w:tcPr>
          <w:p w14:paraId="47A1719C" w14:textId="77777777" w:rsidR="00A60D4B" w:rsidRPr="007064D8" w:rsidRDefault="00A60D4B" w:rsidP="00A60D4B">
            <w:pPr>
              <w:jc w:val="right"/>
              <w:rPr>
                <w:sz w:val="16"/>
                <w:szCs w:val="16"/>
              </w:rPr>
            </w:pPr>
          </w:p>
        </w:tc>
        <w:tc>
          <w:tcPr>
            <w:tcW w:w="1077" w:type="dxa"/>
            <w:noWrap/>
            <w:hideMark/>
          </w:tcPr>
          <w:p w14:paraId="179053E0" w14:textId="77777777" w:rsidR="00A60D4B" w:rsidRPr="007064D8" w:rsidRDefault="00A60D4B" w:rsidP="00A60D4B">
            <w:pPr>
              <w:jc w:val="right"/>
              <w:rPr>
                <w:sz w:val="16"/>
                <w:szCs w:val="16"/>
              </w:rPr>
            </w:pPr>
          </w:p>
        </w:tc>
        <w:tc>
          <w:tcPr>
            <w:tcW w:w="1077" w:type="dxa"/>
            <w:noWrap/>
            <w:hideMark/>
          </w:tcPr>
          <w:p w14:paraId="16EE88ED" w14:textId="77777777" w:rsidR="00A60D4B" w:rsidRPr="007064D8" w:rsidRDefault="00A60D4B" w:rsidP="00A60D4B">
            <w:pPr>
              <w:jc w:val="right"/>
              <w:rPr>
                <w:sz w:val="16"/>
                <w:szCs w:val="16"/>
              </w:rPr>
            </w:pPr>
          </w:p>
        </w:tc>
        <w:tc>
          <w:tcPr>
            <w:tcW w:w="1077" w:type="dxa"/>
            <w:noWrap/>
            <w:hideMark/>
          </w:tcPr>
          <w:p w14:paraId="5807A9B0" w14:textId="77777777" w:rsidR="00A60D4B" w:rsidRPr="007064D8" w:rsidRDefault="00A60D4B" w:rsidP="00A60D4B">
            <w:pPr>
              <w:jc w:val="right"/>
              <w:rPr>
                <w:sz w:val="16"/>
                <w:szCs w:val="16"/>
              </w:rPr>
            </w:pPr>
          </w:p>
        </w:tc>
        <w:tc>
          <w:tcPr>
            <w:tcW w:w="850" w:type="dxa"/>
            <w:noWrap/>
            <w:hideMark/>
          </w:tcPr>
          <w:p w14:paraId="3905AA9E" w14:textId="77777777" w:rsidR="00A60D4B" w:rsidRPr="007064D8" w:rsidRDefault="00A60D4B" w:rsidP="00A60D4B">
            <w:pPr>
              <w:jc w:val="right"/>
              <w:rPr>
                <w:sz w:val="16"/>
                <w:szCs w:val="16"/>
              </w:rPr>
            </w:pPr>
          </w:p>
        </w:tc>
        <w:tc>
          <w:tcPr>
            <w:tcW w:w="964" w:type="dxa"/>
            <w:noWrap/>
            <w:hideMark/>
          </w:tcPr>
          <w:p w14:paraId="296F3588" w14:textId="77777777" w:rsidR="00A60D4B" w:rsidRPr="007064D8" w:rsidRDefault="00A60D4B" w:rsidP="00A60D4B">
            <w:pPr>
              <w:jc w:val="right"/>
              <w:rPr>
                <w:sz w:val="16"/>
                <w:szCs w:val="16"/>
              </w:rPr>
            </w:pPr>
          </w:p>
        </w:tc>
        <w:tc>
          <w:tcPr>
            <w:tcW w:w="709" w:type="dxa"/>
            <w:gridSpan w:val="2"/>
            <w:noWrap/>
            <w:hideMark/>
          </w:tcPr>
          <w:p w14:paraId="2A657CD9" w14:textId="77777777" w:rsidR="00A60D4B" w:rsidRPr="007064D8" w:rsidRDefault="00A60D4B" w:rsidP="00A60D4B">
            <w:pPr>
              <w:jc w:val="right"/>
              <w:rPr>
                <w:sz w:val="16"/>
                <w:szCs w:val="16"/>
              </w:rPr>
            </w:pPr>
          </w:p>
        </w:tc>
        <w:tc>
          <w:tcPr>
            <w:tcW w:w="992" w:type="dxa"/>
            <w:gridSpan w:val="2"/>
            <w:noWrap/>
            <w:hideMark/>
          </w:tcPr>
          <w:p w14:paraId="12734D87" w14:textId="77777777" w:rsidR="00A60D4B" w:rsidRPr="007064D8" w:rsidRDefault="00A60D4B" w:rsidP="00A60D4B">
            <w:pPr>
              <w:jc w:val="right"/>
              <w:rPr>
                <w:sz w:val="16"/>
                <w:szCs w:val="16"/>
              </w:rPr>
            </w:pPr>
          </w:p>
        </w:tc>
        <w:tc>
          <w:tcPr>
            <w:tcW w:w="851" w:type="dxa"/>
            <w:gridSpan w:val="2"/>
            <w:noWrap/>
            <w:hideMark/>
          </w:tcPr>
          <w:p w14:paraId="6C71EC76" w14:textId="77777777" w:rsidR="00A60D4B" w:rsidRPr="007064D8" w:rsidRDefault="00A60D4B" w:rsidP="00A60D4B">
            <w:pPr>
              <w:jc w:val="right"/>
              <w:rPr>
                <w:sz w:val="16"/>
                <w:szCs w:val="16"/>
              </w:rPr>
            </w:pPr>
          </w:p>
        </w:tc>
        <w:tc>
          <w:tcPr>
            <w:tcW w:w="992" w:type="dxa"/>
            <w:gridSpan w:val="2"/>
            <w:noWrap/>
            <w:hideMark/>
          </w:tcPr>
          <w:p w14:paraId="69896273" w14:textId="77777777" w:rsidR="00A60D4B" w:rsidRPr="007064D8" w:rsidRDefault="00A60D4B" w:rsidP="00A60D4B">
            <w:pPr>
              <w:jc w:val="right"/>
              <w:rPr>
                <w:sz w:val="16"/>
                <w:szCs w:val="16"/>
              </w:rPr>
            </w:pPr>
          </w:p>
        </w:tc>
        <w:tc>
          <w:tcPr>
            <w:tcW w:w="964" w:type="dxa"/>
            <w:gridSpan w:val="2"/>
            <w:noWrap/>
            <w:hideMark/>
          </w:tcPr>
          <w:p w14:paraId="5692D215" w14:textId="77777777" w:rsidR="00A60D4B" w:rsidRPr="007064D8" w:rsidRDefault="00A60D4B" w:rsidP="00A60D4B">
            <w:pPr>
              <w:jc w:val="right"/>
              <w:rPr>
                <w:sz w:val="16"/>
                <w:szCs w:val="16"/>
              </w:rPr>
            </w:pPr>
            <w:r w:rsidRPr="007064D8">
              <w:rPr>
                <w:sz w:val="16"/>
                <w:szCs w:val="16"/>
              </w:rPr>
              <w:t> </w:t>
            </w:r>
          </w:p>
        </w:tc>
      </w:tr>
      <w:tr w:rsidR="00A60D4B" w:rsidRPr="007064D8" w14:paraId="62ABCEC5" w14:textId="77777777" w:rsidTr="00A60D4B">
        <w:trPr>
          <w:gridAfter w:val="1"/>
          <w:wAfter w:w="28" w:type="dxa"/>
          <w:trHeight w:val="288"/>
        </w:trPr>
        <w:tc>
          <w:tcPr>
            <w:tcW w:w="410" w:type="dxa"/>
            <w:noWrap/>
            <w:hideMark/>
          </w:tcPr>
          <w:p w14:paraId="5E105BA2" w14:textId="77777777" w:rsidR="00A60D4B" w:rsidRPr="007064D8" w:rsidRDefault="00A60D4B" w:rsidP="00A60D4B">
            <w:pPr>
              <w:rPr>
                <w:sz w:val="16"/>
                <w:szCs w:val="16"/>
              </w:rPr>
            </w:pPr>
            <w:r w:rsidRPr="007064D8">
              <w:rPr>
                <w:sz w:val="16"/>
                <w:szCs w:val="16"/>
              </w:rPr>
              <w:t> </w:t>
            </w:r>
          </w:p>
        </w:tc>
        <w:tc>
          <w:tcPr>
            <w:tcW w:w="2186" w:type="dxa"/>
            <w:noWrap/>
            <w:hideMark/>
          </w:tcPr>
          <w:p w14:paraId="349836F6" w14:textId="77777777" w:rsidR="00A60D4B" w:rsidRPr="007064D8" w:rsidRDefault="00A60D4B" w:rsidP="00A60D4B">
            <w:pPr>
              <w:jc w:val="right"/>
              <w:rPr>
                <w:sz w:val="16"/>
                <w:szCs w:val="16"/>
              </w:rPr>
            </w:pPr>
            <w:r w:rsidRPr="007064D8">
              <w:rPr>
                <w:sz w:val="16"/>
                <w:szCs w:val="16"/>
              </w:rPr>
              <w:t>2020-21</w:t>
            </w:r>
          </w:p>
        </w:tc>
        <w:tc>
          <w:tcPr>
            <w:tcW w:w="946" w:type="dxa"/>
            <w:noWrap/>
            <w:hideMark/>
          </w:tcPr>
          <w:p w14:paraId="4E813E6D" w14:textId="77777777" w:rsidR="00A60D4B" w:rsidRPr="007064D8" w:rsidRDefault="00A60D4B" w:rsidP="00A60D4B">
            <w:pPr>
              <w:jc w:val="right"/>
              <w:rPr>
                <w:sz w:val="16"/>
                <w:szCs w:val="16"/>
              </w:rPr>
            </w:pPr>
            <w:r w:rsidRPr="007064D8">
              <w:rPr>
                <w:sz w:val="16"/>
                <w:szCs w:val="16"/>
              </w:rPr>
              <w:t>$</w:t>
            </w:r>
            <w:r>
              <w:rPr>
                <w:sz w:val="16"/>
                <w:szCs w:val="16"/>
              </w:rPr>
              <w:t>64,300</w:t>
            </w:r>
          </w:p>
        </w:tc>
        <w:tc>
          <w:tcPr>
            <w:tcW w:w="848" w:type="dxa"/>
            <w:noWrap/>
            <w:hideMark/>
          </w:tcPr>
          <w:p w14:paraId="4F44CB3D"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1D35D5BA"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35550FFF"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1B5371CC" w14:textId="77777777" w:rsidR="00A60D4B" w:rsidRPr="007064D8" w:rsidRDefault="00A60D4B" w:rsidP="00A60D4B">
            <w:pPr>
              <w:jc w:val="right"/>
              <w:rPr>
                <w:sz w:val="16"/>
                <w:szCs w:val="16"/>
              </w:rPr>
            </w:pPr>
            <w:r w:rsidRPr="007064D8">
              <w:rPr>
                <w:sz w:val="16"/>
                <w:szCs w:val="16"/>
              </w:rPr>
              <w:t>$0</w:t>
            </w:r>
          </w:p>
        </w:tc>
        <w:tc>
          <w:tcPr>
            <w:tcW w:w="850" w:type="dxa"/>
            <w:noWrap/>
            <w:hideMark/>
          </w:tcPr>
          <w:p w14:paraId="6B414F83" w14:textId="77777777" w:rsidR="00A60D4B" w:rsidRPr="007064D8" w:rsidRDefault="00A60D4B" w:rsidP="00A60D4B">
            <w:pPr>
              <w:jc w:val="right"/>
              <w:rPr>
                <w:sz w:val="16"/>
                <w:szCs w:val="16"/>
              </w:rPr>
            </w:pPr>
            <w:r w:rsidRPr="007064D8">
              <w:rPr>
                <w:sz w:val="16"/>
                <w:szCs w:val="16"/>
              </w:rPr>
              <w:t>$510</w:t>
            </w:r>
          </w:p>
        </w:tc>
        <w:tc>
          <w:tcPr>
            <w:tcW w:w="964" w:type="dxa"/>
            <w:noWrap/>
            <w:hideMark/>
          </w:tcPr>
          <w:p w14:paraId="43943B77" w14:textId="77777777" w:rsidR="00A60D4B" w:rsidRPr="007064D8" w:rsidRDefault="00A60D4B" w:rsidP="00A60D4B">
            <w:pPr>
              <w:jc w:val="right"/>
              <w:rPr>
                <w:sz w:val="16"/>
                <w:szCs w:val="16"/>
              </w:rPr>
            </w:pPr>
            <w:r w:rsidRPr="007064D8">
              <w:rPr>
                <w:sz w:val="16"/>
                <w:szCs w:val="16"/>
              </w:rPr>
              <w:t>$0</w:t>
            </w:r>
          </w:p>
        </w:tc>
        <w:tc>
          <w:tcPr>
            <w:tcW w:w="709" w:type="dxa"/>
            <w:gridSpan w:val="2"/>
            <w:noWrap/>
            <w:hideMark/>
          </w:tcPr>
          <w:p w14:paraId="28BA2D35" w14:textId="77777777" w:rsidR="00A60D4B" w:rsidRPr="007064D8" w:rsidRDefault="00A60D4B" w:rsidP="00A60D4B">
            <w:pPr>
              <w:jc w:val="right"/>
              <w:rPr>
                <w:sz w:val="16"/>
                <w:szCs w:val="16"/>
              </w:rPr>
            </w:pPr>
            <w:r w:rsidRPr="007064D8">
              <w:rPr>
                <w:sz w:val="16"/>
                <w:szCs w:val="16"/>
              </w:rPr>
              <w:t>$0</w:t>
            </w:r>
          </w:p>
        </w:tc>
        <w:tc>
          <w:tcPr>
            <w:tcW w:w="992" w:type="dxa"/>
            <w:gridSpan w:val="2"/>
            <w:noWrap/>
            <w:hideMark/>
          </w:tcPr>
          <w:p w14:paraId="09651017" w14:textId="77777777" w:rsidR="00A60D4B" w:rsidRPr="007064D8" w:rsidRDefault="00A60D4B" w:rsidP="00A60D4B">
            <w:pPr>
              <w:jc w:val="right"/>
              <w:rPr>
                <w:sz w:val="16"/>
                <w:szCs w:val="16"/>
              </w:rPr>
            </w:pPr>
            <w:r w:rsidRPr="007064D8">
              <w:rPr>
                <w:sz w:val="16"/>
                <w:szCs w:val="16"/>
              </w:rPr>
              <w:t>$0</w:t>
            </w:r>
          </w:p>
        </w:tc>
        <w:tc>
          <w:tcPr>
            <w:tcW w:w="851" w:type="dxa"/>
            <w:gridSpan w:val="2"/>
            <w:noWrap/>
            <w:hideMark/>
          </w:tcPr>
          <w:p w14:paraId="052700ED" w14:textId="77777777" w:rsidR="00A60D4B" w:rsidRPr="007064D8" w:rsidRDefault="00A60D4B" w:rsidP="00A60D4B">
            <w:pPr>
              <w:jc w:val="right"/>
              <w:rPr>
                <w:sz w:val="16"/>
                <w:szCs w:val="16"/>
              </w:rPr>
            </w:pPr>
            <w:r w:rsidRPr="007064D8">
              <w:rPr>
                <w:sz w:val="16"/>
                <w:szCs w:val="16"/>
              </w:rPr>
              <w:t>$4,073</w:t>
            </w:r>
          </w:p>
        </w:tc>
        <w:tc>
          <w:tcPr>
            <w:tcW w:w="992" w:type="dxa"/>
            <w:gridSpan w:val="2"/>
            <w:noWrap/>
            <w:hideMark/>
          </w:tcPr>
          <w:p w14:paraId="445B2AE9" w14:textId="77777777" w:rsidR="00A60D4B" w:rsidRPr="007064D8" w:rsidRDefault="00A60D4B" w:rsidP="00A60D4B">
            <w:pPr>
              <w:jc w:val="right"/>
              <w:rPr>
                <w:sz w:val="16"/>
                <w:szCs w:val="16"/>
              </w:rPr>
            </w:pPr>
            <w:r w:rsidRPr="007064D8">
              <w:rPr>
                <w:sz w:val="16"/>
                <w:szCs w:val="16"/>
              </w:rPr>
              <w:t>$0</w:t>
            </w:r>
          </w:p>
        </w:tc>
        <w:tc>
          <w:tcPr>
            <w:tcW w:w="964" w:type="dxa"/>
            <w:gridSpan w:val="2"/>
            <w:noWrap/>
            <w:hideMark/>
          </w:tcPr>
          <w:p w14:paraId="788A09ED" w14:textId="77777777" w:rsidR="00A60D4B" w:rsidRPr="00FB5D15" w:rsidRDefault="00A60D4B" w:rsidP="00A60D4B">
            <w:pPr>
              <w:jc w:val="right"/>
              <w:rPr>
                <w:sz w:val="16"/>
                <w:szCs w:val="16"/>
              </w:rPr>
            </w:pPr>
            <w:r w:rsidRPr="00FB5D15">
              <w:rPr>
                <w:sz w:val="16"/>
                <w:szCs w:val="16"/>
              </w:rPr>
              <w:t>$59,717</w:t>
            </w:r>
          </w:p>
        </w:tc>
      </w:tr>
      <w:tr w:rsidR="00A60D4B" w:rsidRPr="007064D8" w14:paraId="2C2B6D73" w14:textId="77777777" w:rsidTr="00A60D4B">
        <w:trPr>
          <w:gridAfter w:val="1"/>
          <w:wAfter w:w="28" w:type="dxa"/>
          <w:trHeight w:val="288"/>
        </w:trPr>
        <w:tc>
          <w:tcPr>
            <w:tcW w:w="410" w:type="dxa"/>
            <w:noWrap/>
            <w:hideMark/>
          </w:tcPr>
          <w:p w14:paraId="74283733" w14:textId="77777777" w:rsidR="00A60D4B" w:rsidRPr="007064D8" w:rsidRDefault="00A60D4B" w:rsidP="00A60D4B">
            <w:pPr>
              <w:rPr>
                <w:sz w:val="16"/>
                <w:szCs w:val="16"/>
              </w:rPr>
            </w:pPr>
            <w:r w:rsidRPr="007064D8">
              <w:rPr>
                <w:sz w:val="16"/>
                <w:szCs w:val="16"/>
              </w:rPr>
              <w:t> </w:t>
            </w:r>
          </w:p>
        </w:tc>
        <w:tc>
          <w:tcPr>
            <w:tcW w:w="2186" w:type="dxa"/>
            <w:noWrap/>
            <w:hideMark/>
          </w:tcPr>
          <w:p w14:paraId="45DAA559" w14:textId="77777777" w:rsidR="00A60D4B" w:rsidRPr="007064D8" w:rsidRDefault="00A60D4B" w:rsidP="00A60D4B">
            <w:pPr>
              <w:jc w:val="right"/>
              <w:rPr>
                <w:sz w:val="16"/>
                <w:szCs w:val="16"/>
              </w:rPr>
            </w:pPr>
            <w:r w:rsidRPr="007064D8">
              <w:rPr>
                <w:sz w:val="16"/>
                <w:szCs w:val="16"/>
              </w:rPr>
              <w:t>2021-22</w:t>
            </w:r>
          </w:p>
        </w:tc>
        <w:tc>
          <w:tcPr>
            <w:tcW w:w="946" w:type="dxa"/>
            <w:noWrap/>
            <w:hideMark/>
          </w:tcPr>
          <w:p w14:paraId="7006310E" w14:textId="77777777" w:rsidR="00A60D4B" w:rsidRPr="007064D8" w:rsidRDefault="00A60D4B" w:rsidP="00A60D4B">
            <w:pPr>
              <w:jc w:val="right"/>
              <w:rPr>
                <w:sz w:val="16"/>
                <w:szCs w:val="16"/>
              </w:rPr>
            </w:pPr>
            <w:r w:rsidRPr="007064D8">
              <w:rPr>
                <w:sz w:val="16"/>
                <w:szCs w:val="16"/>
              </w:rPr>
              <w:t>$</w:t>
            </w:r>
            <w:r>
              <w:rPr>
                <w:sz w:val="16"/>
                <w:szCs w:val="16"/>
              </w:rPr>
              <w:t>65,400</w:t>
            </w:r>
          </w:p>
        </w:tc>
        <w:tc>
          <w:tcPr>
            <w:tcW w:w="848" w:type="dxa"/>
            <w:noWrap/>
            <w:hideMark/>
          </w:tcPr>
          <w:p w14:paraId="3894CB3D" w14:textId="77777777" w:rsidR="00A60D4B" w:rsidRPr="007064D8" w:rsidRDefault="00A60D4B" w:rsidP="00A60D4B">
            <w:pPr>
              <w:jc w:val="right"/>
              <w:rPr>
                <w:sz w:val="16"/>
                <w:szCs w:val="16"/>
              </w:rPr>
            </w:pPr>
            <w:r w:rsidRPr="007064D8">
              <w:rPr>
                <w:sz w:val="16"/>
                <w:szCs w:val="16"/>
              </w:rPr>
              <w:t>$</w:t>
            </w:r>
            <w:r>
              <w:rPr>
                <w:sz w:val="16"/>
                <w:szCs w:val="16"/>
              </w:rPr>
              <w:t>1,854</w:t>
            </w:r>
          </w:p>
        </w:tc>
        <w:tc>
          <w:tcPr>
            <w:tcW w:w="1077" w:type="dxa"/>
            <w:noWrap/>
            <w:hideMark/>
          </w:tcPr>
          <w:p w14:paraId="3F45C564"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72B26C2F" w14:textId="77777777" w:rsidR="00A60D4B" w:rsidRPr="007064D8" w:rsidRDefault="00A60D4B" w:rsidP="00A60D4B">
            <w:pPr>
              <w:jc w:val="right"/>
              <w:rPr>
                <w:sz w:val="16"/>
                <w:szCs w:val="16"/>
              </w:rPr>
            </w:pPr>
            <w:r w:rsidRPr="007064D8">
              <w:rPr>
                <w:sz w:val="16"/>
                <w:szCs w:val="16"/>
              </w:rPr>
              <w:t>$</w:t>
            </w:r>
            <w:r>
              <w:rPr>
                <w:sz w:val="16"/>
                <w:szCs w:val="16"/>
              </w:rPr>
              <w:t>13,668</w:t>
            </w:r>
          </w:p>
        </w:tc>
        <w:tc>
          <w:tcPr>
            <w:tcW w:w="1077" w:type="dxa"/>
            <w:noWrap/>
            <w:hideMark/>
          </w:tcPr>
          <w:p w14:paraId="41ED45A1" w14:textId="77777777" w:rsidR="00A60D4B" w:rsidRPr="007064D8" w:rsidRDefault="00A60D4B" w:rsidP="00A60D4B">
            <w:pPr>
              <w:jc w:val="right"/>
              <w:rPr>
                <w:sz w:val="16"/>
                <w:szCs w:val="16"/>
              </w:rPr>
            </w:pPr>
            <w:r w:rsidRPr="007064D8">
              <w:rPr>
                <w:sz w:val="16"/>
                <w:szCs w:val="16"/>
              </w:rPr>
              <w:t>$</w:t>
            </w:r>
            <w:r>
              <w:rPr>
                <w:sz w:val="16"/>
                <w:szCs w:val="16"/>
              </w:rPr>
              <w:t>13,668</w:t>
            </w:r>
          </w:p>
        </w:tc>
        <w:tc>
          <w:tcPr>
            <w:tcW w:w="850" w:type="dxa"/>
            <w:noWrap/>
            <w:hideMark/>
          </w:tcPr>
          <w:p w14:paraId="46950363" w14:textId="77777777" w:rsidR="00A60D4B" w:rsidRPr="007064D8" w:rsidRDefault="00A60D4B" w:rsidP="00A60D4B">
            <w:pPr>
              <w:jc w:val="right"/>
              <w:rPr>
                <w:sz w:val="16"/>
                <w:szCs w:val="16"/>
              </w:rPr>
            </w:pPr>
            <w:r w:rsidRPr="007064D8">
              <w:rPr>
                <w:sz w:val="16"/>
                <w:szCs w:val="16"/>
              </w:rPr>
              <w:t>$527</w:t>
            </w:r>
          </w:p>
        </w:tc>
        <w:tc>
          <w:tcPr>
            <w:tcW w:w="964" w:type="dxa"/>
            <w:noWrap/>
            <w:hideMark/>
          </w:tcPr>
          <w:p w14:paraId="5DAFB4E5" w14:textId="77777777" w:rsidR="00A60D4B" w:rsidRPr="007064D8" w:rsidRDefault="00A60D4B" w:rsidP="00A60D4B">
            <w:pPr>
              <w:jc w:val="right"/>
              <w:rPr>
                <w:sz w:val="16"/>
                <w:szCs w:val="16"/>
              </w:rPr>
            </w:pPr>
            <w:r w:rsidRPr="007064D8">
              <w:rPr>
                <w:sz w:val="16"/>
                <w:szCs w:val="16"/>
              </w:rPr>
              <w:t>$0</w:t>
            </w:r>
          </w:p>
        </w:tc>
        <w:tc>
          <w:tcPr>
            <w:tcW w:w="709" w:type="dxa"/>
            <w:gridSpan w:val="2"/>
            <w:noWrap/>
            <w:hideMark/>
          </w:tcPr>
          <w:p w14:paraId="38BB9D6B" w14:textId="77777777" w:rsidR="00A60D4B" w:rsidRPr="007064D8" w:rsidRDefault="00A60D4B" w:rsidP="00A60D4B">
            <w:pPr>
              <w:jc w:val="right"/>
              <w:rPr>
                <w:sz w:val="16"/>
                <w:szCs w:val="16"/>
              </w:rPr>
            </w:pPr>
            <w:r w:rsidRPr="007064D8">
              <w:rPr>
                <w:sz w:val="16"/>
                <w:szCs w:val="16"/>
              </w:rPr>
              <w:t>$0</w:t>
            </w:r>
          </w:p>
        </w:tc>
        <w:tc>
          <w:tcPr>
            <w:tcW w:w="992" w:type="dxa"/>
            <w:gridSpan w:val="2"/>
            <w:noWrap/>
            <w:hideMark/>
          </w:tcPr>
          <w:p w14:paraId="1092DEC0" w14:textId="77777777" w:rsidR="00A60D4B" w:rsidRPr="007064D8" w:rsidRDefault="00A60D4B" w:rsidP="00A60D4B">
            <w:pPr>
              <w:jc w:val="right"/>
              <w:rPr>
                <w:sz w:val="16"/>
                <w:szCs w:val="16"/>
              </w:rPr>
            </w:pPr>
            <w:r w:rsidRPr="007064D8">
              <w:rPr>
                <w:sz w:val="16"/>
                <w:szCs w:val="16"/>
              </w:rPr>
              <w:t>$0</w:t>
            </w:r>
          </w:p>
        </w:tc>
        <w:tc>
          <w:tcPr>
            <w:tcW w:w="851" w:type="dxa"/>
            <w:gridSpan w:val="2"/>
            <w:noWrap/>
            <w:hideMark/>
          </w:tcPr>
          <w:p w14:paraId="6D782D29" w14:textId="77777777" w:rsidR="00A60D4B" w:rsidRPr="007064D8" w:rsidRDefault="00A60D4B" w:rsidP="00A60D4B">
            <w:pPr>
              <w:jc w:val="right"/>
              <w:rPr>
                <w:sz w:val="16"/>
                <w:szCs w:val="16"/>
              </w:rPr>
            </w:pPr>
            <w:r w:rsidRPr="007064D8">
              <w:rPr>
                <w:sz w:val="16"/>
                <w:szCs w:val="16"/>
              </w:rPr>
              <w:t>$4,973</w:t>
            </w:r>
          </w:p>
        </w:tc>
        <w:tc>
          <w:tcPr>
            <w:tcW w:w="992" w:type="dxa"/>
            <w:gridSpan w:val="2"/>
            <w:noWrap/>
            <w:hideMark/>
          </w:tcPr>
          <w:p w14:paraId="36696DB0" w14:textId="77777777" w:rsidR="00A60D4B" w:rsidRPr="007064D8" w:rsidRDefault="00A60D4B" w:rsidP="00A60D4B">
            <w:pPr>
              <w:jc w:val="right"/>
              <w:rPr>
                <w:sz w:val="16"/>
                <w:szCs w:val="16"/>
              </w:rPr>
            </w:pPr>
            <w:r w:rsidRPr="007064D8">
              <w:rPr>
                <w:sz w:val="16"/>
                <w:szCs w:val="16"/>
              </w:rPr>
              <w:t>$0</w:t>
            </w:r>
          </w:p>
        </w:tc>
        <w:tc>
          <w:tcPr>
            <w:tcW w:w="964" w:type="dxa"/>
            <w:gridSpan w:val="2"/>
            <w:noWrap/>
            <w:hideMark/>
          </w:tcPr>
          <w:p w14:paraId="05A1D315" w14:textId="77777777" w:rsidR="00A60D4B" w:rsidRPr="00FB5D15" w:rsidRDefault="00A60D4B" w:rsidP="00A60D4B">
            <w:pPr>
              <w:jc w:val="right"/>
              <w:rPr>
                <w:sz w:val="16"/>
                <w:szCs w:val="16"/>
              </w:rPr>
            </w:pPr>
            <w:r w:rsidRPr="00FB5D15">
              <w:rPr>
                <w:sz w:val="16"/>
                <w:szCs w:val="16"/>
              </w:rPr>
              <w:t>$58,046</w:t>
            </w:r>
          </w:p>
        </w:tc>
      </w:tr>
      <w:tr w:rsidR="00A60D4B" w:rsidRPr="007064D8" w14:paraId="2F2A8F67" w14:textId="77777777" w:rsidTr="00A60D4B">
        <w:trPr>
          <w:gridAfter w:val="1"/>
          <w:wAfter w:w="28" w:type="dxa"/>
          <w:trHeight w:val="288"/>
        </w:trPr>
        <w:tc>
          <w:tcPr>
            <w:tcW w:w="410" w:type="dxa"/>
            <w:noWrap/>
            <w:hideMark/>
          </w:tcPr>
          <w:p w14:paraId="19129DAF" w14:textId="77777777" w:rsidR="00A60D4B" w:rsidRPr="007064D8" w:rsidRDefault="00A60D4B" w:rsidP="00A60D4B">
            <w:pPr>
              <w:rPr>
                <w:sz w:val="16"/>
                <w:szCs w:val="16"/>
              </w:rPr>
            </w:pPr>
            <w:r w:rsidRPr="007064D8">
              <w:rPr>
                <w:sz w:val="16"/>
                <w:szCs w:val="16"/>
              </w:rPr>
              <w:t> </w:t>
            </w:r>
          </w:p>
        </w:tc>
        <w:tc>
          <w:tcPr>
            <w:tcW w:w="2186" w:type="dxa"/>
            <w:noWrap/>
            <w:hideMark/>
          </w:tcPr>
          <w:p w14:paraId="7A38124B" w14:textId="77777777" w:rsidR="00A60D4B" w:rsidRPr="007064D8" w:rsidRDefault="00A60D4B" w:rsidP="00A60D4B">
            <w:pPr>
              <w:rPr>
                <w:sz w:val="16"/>
                <w:szCs w:val="16"/>
              </w:rPr>
            </w:pPr>
            <w:r w:rsidRPr="007064D8">
              <w:rPr>
                <w:sz w:val="16"/>
                <w:szCs w:val="16"/>
              </w:rPr>
              <w:t> </w:t>
            </w:r>
          </w:p>
        </w:tc>
        <w:tc>
          <w:tcPr>
            <w:tcW w:w="946" w:type="dxa"/>
            <w:noWrap/>
            <w:hideMark/>
          </w:tcPr>
          <w:p w14:paraId="5422D1A3" w14:textId="77777777" w:rsidR="00A60D4B" w:rsidRPr="007064D8" w:rsidRDefault="00A60D4B" w:rsidP="00A60D4B">
            <w:pPr>
              <w:jc w:val="right"/>
              <w:rPr>
                <w:sz w:val="16"/>
                <w:szCs w:val="16"/>
              </w:rPr>
            </w:pPr>
            <w:r w:rsidRPr="007064D8">
              <w:rPr>
                <w:sz w:val="16"/>
                <w:szCs w:val="16"/>
              </w:rPr>
              <w:t> </w:t>
            </w:r>
          </w:p>
        </w:tc>
        <w:tc>
          <w:tcPr>
            <w:tcW w:w="848" w:type="dxa"/>
            <w:noWrap/>
            <w:hideMark/>
          </w:tcPr>
          <w:p w14:paraId="56D146EF" w14:textId="77777777" w:rsidR="00A60D4B" w:rsidRPr="007064D8" w:rsidRDefault="00A60D4B" w:rsidP="00A60D4B">
            <w:pPr>
              <w:jc w:val="right"/>
              <w:rPr>
                <w:sz w:val="16"/>
                <w:szCs w:val="16"/>
              </w:rPr>
            </w:pPr>
          </w:p>
        </w:tc>
        <w:tc>
          <w:tcPr>
            <w:tcW w:w="1077" w:type="dxa"/>
            <w:noWrap/>
            <w:hideMark/>
          </w:tcPr>
          <w:p w14:paraId="359B2E2B" w14:textId="77777777" w:rsidR="00A60D4B" w:rsidRPr="007064D8" w:rsidRDefault="00A60D4B" w:rsidP="00A60D4B">
            <w:pPr>
              <w:jc w:val="right"/>
              <w:rPr>
                <w:sz w:val="16"/>
                <w:szCs w:val="16"/>
              </w:rPr>
            </w:pPr>
          </w:p>
        </w:tc>
        <w:tc>
          <w:tcPr>
            <w:tcW w:w="1077" w:type="dxa"/>
            <w:noWrap/>
            <w:hideMark/>
          </w:tcPr>
          <w:p w14:paraId="1D46FE51" w14:textId="77777777" w:rsidR="00A60D4B" w:rsidRPr="007064D8" w:rsidRDefault="00A60D4B" w:rsidP="00A60D4B">
            <w:pPr>
              <w:jc w:val="right"/>
              <w:rPr>
                <w:sz w:val="16"/>
                <w:szCs w:val="16"/>
              </w:rPr>
            </w:pPr>
          </w:p>
        </w:tc>
        <w:tc>
          <w:tcPr>
            <w:tcW w:w="1077" w:type="dxa"/>
            <w:noWrap/>
            <w:hideMark/>
          </w:tcPr>
          <w:p w14:paraId="479722F8" w14:textId="77777777" w:rsidR="00A60D4B" w:rsidRPr="007064D8" w:rsidRDefault="00A60D4B" w:rsidP="00A60D4B">
            <w:pPr>
              <w:jc w:val="right"/>
              <w:rPr>
                <w:sz w:val="16"/>
                <w:szCs w:val="16"/>
              </w:rPr>
            </w:pPr>
          </w:p>
        </w:tc>
        <w:tc>
          <w:tcPr>
            <w:tcW w:w="850" w:type="dxa"/>
            <w:noWrap/>
            <w:hideMark/>
          </w:tcPr>
          <w:p w14:paraId="0C25711E" w14:textId="77777777" w:rsidR="00A60D4B" w:rsidRPr="007064D8" w:rsidRDefault="00A60D4B" w:rsidP="00A60D4B">
            <w:pPr>
              <w:jc w:val="right"/>
              <w:rPr>
                <w:sz w:val="16"/>
                <w:szCs w:val="16"/>
              </w:rPr>
            </w:pPr>
          </w:p>
        </w:tc>
        <w:tc>
          <w:tcPr>
            <w:tcW w:w="964" w:type="dxa"/>
            <w:noWrap/>
            <w:hideMark/>
          </w:tcPr>
          <w:p w14:paraId="13714A64" w14:textId="77777777" w:rsidR="00A60D4B" w:rsidRPr="007064D8" w:rsidRDefault="00A60D4B" w:rsidP="00A60D4B">
            <w:pPr>
              <w:jc w:val="right"/>
              <w:rPr>
                <w:sz w:val="16"/>
                <w:szCs w:val="16"/>
              </w:rPr>
            </w:pPr>
          </w:p>
        </w:tc>
        <w:tc>
          <w:tcPr>
            <w:tcW w:w="709" w:type="dxa"/>
            <w:gridSpan w:val="2"/>
            <w:noWrap/>
            <w:hideMark/>
          </w:tcPr>
          <w:p w14:paraId="7C3FA488" w14:textId="77777777" w:rsidR="00A60D4B" w:rsidRPr="007064D8" w:rsidRDefault="00A60D4B" w:rsidP="00A60D4B">
            <w:pPr>
              <w:jc w:val="right"/>
              <w:rPr>
                <w:sz w:val="16"/>
                <w:szCs w:val="16"/>
              </w:rPr>
            </w:pPr>
          </w:p>
        </w:tc>
        <w:tc>
          <w:tcPr>
            <w:tcW w:w="992" w:type="dxa"/>
            <w:gridSpan w:val="2"/>
            <w:noWrap/>
            <w:hideMark/>
          </w:tcPr>
          <w:p w14:paraId="3097FD2D" w14:textId="77777777" w:rsidR="00A60D4B" w:rsidRPr="007064D8" w:rsidRDefault="00A60D4B" w:rsidP="00A60D4B">
            <w:pPr>
              <w:jc w:val="right"/>
              <w:rPr>
                <w:sz w:val="16"/>
                <w:szCs w:val="16"/>
              </w:rPr>
            </w:pPr>
          </w:p>
        </w:tc>
        <w:tc>
          <w:tcPr>
            <w:tcW w:w="851" w:type="dxa"/>
            <w:gridSpan w:val="2"/>
            <w:noWrap/>
            <w:hideMark/>
          </w:tcPr>
          <w:p w14:paraId="51D88648" w14:textId="77777777" w:rsidR="00A60D4B" w:rsidRPr="007064D8" w:rsidRDefault="00A60D4B" w:rsidP="00A60D4B">
            <w:pPr>
              <w:jc w:val="right"/>
              <w:rPr>
                <w:sz w:val="16"/>
                <w:szCs w:val="16"/>
              </w:rPr>
            </w:pPr>
          </w:p>
        </w:tc>
        <w:tc>
          <w:tcPr>
            <w:tcW w:w="992" w:type="dxa"/>
            <w:gridSpan w:val="2"/>
            <w:noWrap/>
            <w:hideMark/>
          </w:tcPr>
          <w:p w14:paraId="7AA45750" w14:textId="77777777" w:rsidR="00A60D4B" w:rsidRPr="007064D8" w:rsidRDefault="00A60D4B" w:rsidP="00A60D4B">
            <w:pPr>
              <w:jc w:val="right"/>
              <w:rPr>
                <w:sz w:val="16"/>
                <w:szCs w:val="16"/>
              </w:rPr>
            </w:pPr>
            <w:r w:rsidRPr="007064D8">
              <w:rPr>
                <w:sz w:val="16"/>
                <w:szCs w:val="16"/>
              </w:rPr>
              <w:t xml:space="preserve"> Change </w:t>
            </w:r>
          </w:p>
        </w:tc>
        <w:tc>
          <w:tcPr>
            <w:tcW w:w="964" w:type="dxa"/>
            <w:gridSpan w:val="2"/>
            <w:noWrap/>
            <w:hideMark/>
          </w:tcPr>
          <w:p w14:paraId="0DB68C21" w14:textId="77777777" w:rsidR="00A60D4B" w:rsidRPr="00FB5D15" w:rsidRDefault="00A60D4B" w:rsidP="00A60D4B">
            <w:pPr>
              <w:jc w:val="right"/>
              <w:rPr>
                <w:sz w:val="16"/>
                <w:szCs w:val="16"/>
              </w:rPr>
            </w:pPr>
            <w:r w:rsidRPr="00FB5D15">
              <w:rPr>
                <w:sz w:val="16"/>
                <w:szCs w:val="16"/>
              </w:rPr>
              <w:t>-$1,671</w:t>
            </w:r>
          </w:p>
        </w:tc>
      </w:tr>
      <w:tr w:rsidR="00A60D4B" w:rsidRPr="007064D8" w14:paraId="5B5E3B84" w14:textId="77777777" w:rsidTr="00A60D4B">
        <w:trPr>
          <w:gridAfter w:val="1"/>
          <w:wAfter w:w="28" w:type="dxa"/>
          <w:trHeight w:val="641"/>
        </w:trPr>
        <w:tc>
          <w:tcPr>
            <w:tcW w:w="410" w:type="dxa"/>
            <w:noWrap/>
            <w:hideMark/>
          </w:tcPr>
          <w:p w14:paraId="0ECC2BDA" w14:textId="77777777" w:rsidR="00A60D4B" w:rsidRPr="007064D8" w:rsidRDefault="00A60D4B" w:rsidP="00A60D4B">
            <w:pPr>
              <w:rPr>
                <w:sz w:val="16"/>
                <w:szCs w:val="16"/>
              </w:rPr>
            </w:pPr>
            <w:r w:rsidRPr="007064D8">
              <w:rPr>
                <w:sz w:val="16"/>
                <w:szCs w:val="16"/>
              </w:rPr>
              <w:t>7</w:t>
            </w:r>
          </w:p>
        </w:tc>
        <w:tc>
          <w:tcPr>
            <w:tcW w:w="2186" w:type="dxa"/>
            <w:hideMark/>
          </w:tcPr>
          <w:p w14:paraId="49BAFDF8" w14:textId="77777777" w:rsidR="00A60D4B" w:rsidRPr="007064D8" w:rsidRDefault="00A60D4B" w:rsidP="00A60D4B">
            <w:pPr>
              <w:rPr>
                <w:sz w:val="16"/>
                <w:szCs w:val="16"/>
              </w:rPr>
            </w:pPr>
            <w:r w:rsidRPr="007064D8">
              <w:rPr>
                <w:sz w:val="16"/>
                <w:szCs w:val="16"/>
              </w:rPr>
              <w:t xml:space="preserve">Ainslie - Couple, fourth income quintile, 2 cars, 2 dependent children </w:t>
            </w:r>
          </w:p>
        </w:tc>
        <w:tc>
          <w:tcPr>
            <w:tcW w:w="946" w:type="dxa"/>
            <w:noWrap/>
            <w:hideMark/>
          </w:tcPr>
          <w:p w14:paraId="25AE00A4" w14:textId="77777777" w:rsidR="00A60D4B" w:rsidRPr="007064D8" w:rsidRDefault="00A60D4B" w:rsidP="00A60D4B">
            <w:pPr>
              <w:jc w:val="right"/>
              <w:rPr>
                <w:sz w:val="16"/>
                <w:szCs w:val="16"/>
              </w:rPr>
            </w:pPr>
            <w:r w:rsidRPr="007064D8">
              <w:rPr>
                <w:sz w:val="16"/>
                <w:szCs w:val="16"/>
              </w:rPr>
              <w:t> </w:t>
            </w:r>
          </w:p>
        </w:tc>
        <w:tc>
          <w:tcPr>
            <w:tcW w:w="848" w:type="dxa"/>
            <w:noWrap/>
            <w:hideMark/>
          </w:tcPr>
          <w:p w14:paraId="1F5B5C7C" w14:textId="77777777" w:rsidR="00A60D4B" w:rsidRPr="007064D8" w:rsidRDefault="00A60D4B" w:rsidP="00A60D4B">
            <w:pPr>
              <w:jc w:val="right"/>
              <w:rPr>
                <w:sz w:val="16"/>
                <w:szCs w:val="16"/>
              </w:rPr>
            </w:pPr>
          </w:p>
        </w:tc>
        <w:tc>
          <w:tcPr>
            <w:tcW w:w="1077" w:type="dxa"/>
            <w:noWrap/>
            <w:hideMark/>
          </w:tcPr>
          <w:p w14:paraId="0EF7D0C6" w14:textId="77777777" w:rsidR="00A60D4B" w:rsidRPr="007064D8" w:rsidRDefault="00A60D4B" w:rsidP="00A60D4B">
            <w:pPr>
              <w:jc w:val="right"/>
              <w:rPr>
                <w:sz w:val="16"/>
                <w:szCs w:val="16"/>
              </w:rPr>
            </w:pPr>
          </w:p>
        </w:tc>
        <w:tc>
          <w:tcPr>
            <w:tcW w:w="1077" w:type="dxa"/>
            <w:noWrap/>
            <w:hideMark/>
          </w:tcPr>
          <w:p w14:paraId="5410F998" w14:textId="77777777" w:rsidR="00A60D4B" w:rsidRPr="007064D8" w:rsidRDefault="00A60D4B" w:rsidP="00A60D4B">
            <w:pPr>
              <w:jc w:val="right"/>
              <w:rPr>
                <w:sz w:val="16"/>
                <w:szCs w:val="16"/>
              </w:rPr>
            </w:pPr>
          </w:p>
        </w:tc>
        <w:tc>
          <w:tcPr>
            <w:tcW w:w="1077" w:type="dxa"/>
            <w:noWrap/>
            <w:hideMark/>
          </w:tcPr>
          <w:p w14:paraId="2A4428DE" w14:textId="77777777" w:rsidR="00A60D4B" w:rsidRPr="007064D8" w:rsidRDefault="00A60D4B" w:rsidP="00A60D4B">
            <w:pPr>
              <w:jc w:val="right"/>
              <w:rPr>
                <w:sz w:val="16"/>
                <w:szCs w:val="16"/>
              </w:rPr>
            </w:pPr>
          </w:p>
        </w:tc>
        <w:tc>
          <w:tcPr>
            <w:tcW w:w="850" w:type="dxa"/>
            <w:noWrap/>
            <w:hideMark/>
          </w:tcPr>
          <w:p w14:paraId="13E08EAA" w14:textId="77777777" w:rsidR="00A60D4B" w:rsidRPr="007064D8" w:rsidRDefault="00A60D4B" w:rsidP="00A60D4B">
            <w:pPr>
              <w:jc w:val="right"/>
              <w:rPr>
                <w:sz w:val="16"/>
                <w:szCs w:val="16"/>
              </w:rPr>
            </w:pPr>
          </w:p>
        </w:tc>
        <w:tc>
          <w:tcPr>
            <w:tcW w:w="964" w:type="dxa"/>
            <w:noWrap/>
            <w:hideMark/>
          </w:tcPr>
          <w:p w14:paraId="28CDC436" w14:textId="77777777" w:rsidR="00A60D4B" w:rsidRPr="007064D8" w:rsidRDefault="00A60D4B" w:rsidP="00A60D4B">
            <w:pPr>
              <w:jc w:val="right"/>
              <w:rPr>
                <w:sz w:val="16"/>
                <w:szCs w:val="16"/>
              </w:rPr>
            </w:pPr>
          </w:p>
        </w:tc>
        <w:tc>
          <w:tcPr>
            <w:tcW w:w="709" w:type="dxa"/>
            <w:gridSpan w:val="2"/>
            <w:noWrap/>
            <w:hideMark/>
          </w:tcPr>
          <w:p w14:paraId="78ED04C9" w14:textId="77777777" w:rsidR="00A60D4B" w:rsidRPr="007064D8" w:rsidRDefault="00A60D4B" w:rsidP="00A60D4B">
            <w:pPr>
              <w:jc w:val="right"/>
              <w:rPr>
                <w:sz w:val="16"/>
                <w:szCs w:val="16"/>
              </w:rPr>
            </w:pPr>
          </w:p>
        </w:tc>
        <w:tc>
          <w:tcPr>
            <w:tcW w:w="992" w:type="dxa"/>
            <w:gridSpan w:val="2"/>
            <w:noWrap/>
            <w:hideMark/>
          </w:tcPr>
          <w:p w14:paraId="37DD8390" w14:textId="77777777" w:rsidR="00A60D4B" w:rsidRPr="007064D8" w:rsidRDefault="00A60D4B" w:rsidP="00A60D4B">
            <w:pPr>
              <w:jc w:val="right"/>
              <w:rPr>
                <w:sz w:val="16"/>
                <w:szCs w:val="16"/>
              </w:rPr>
            </w:pPr>
          </w:p>
        </w:tc>
        <w:tc>
          <w:tcPr>
            <w:tcW w:w="851" w:type="dxa"/>
            <w:gridSpan w:val="2"/>
            <w:noWrap/>
            <w:hideMark/>
          </w:tcPr>
          <w:p w14:paraId="480CFE8F" w14:textId="77777777" w:rsidR="00A60D4B" w:rsidRPr="007064D8" w:rsidRDefault="00A60D4B" w:rsidP="00A60D4B">
            <w:pPr>
              <w:jc w:val="right"/>
              <w:rPr>
                <w:sz w:val="16"/>
                <w:szCs w:val="16"/>
              </w:rPr>
            </w:pPr>
          </w:p>
        </w:tc>
        <w:tc>
          <w:tcPr>
            <w:tcW w:w="992" w:type="dxa"/>
            <w:gridSpan w:val="2"/>
            <w:noWrap/>
            <w:hideMark/>
          </w:tcPr>
          <w:p w14:paraId="358E8639" w14:textId="77777777" w:rsidR="00A60D4B" w:rsidRPr="007064D8" w:rsidRDefault="00A60D4B" w:rsidP="00A60D4B">
            <w:pPr>
              <w:jc w:val="right"/>
              <w:rPr>
                <w:sz w:val="16"/>
                <w:szCs w:val="16"/>
              </w:rPr>
            </w:pPr>
          </w:p>
        </w:tc>
        <w:tc>
          <w:tcPr>
            <w:tcW w:w="964" w:type="dxa"/>
            <w:gridSpan w:val="2"/>
            <w:noWrap/>
            <w:hideMark/>
          </w:tcPr>
          <w:p w14:paraId="37BFFD1E" w14:textId="77777777" w:rsidR="00A60D4B" w:rsidRPr="007064D8" w:rsidRDefault="00A60D4B" w:rsidP="00A60D4B">
            <w:pPr>
              <w:jc w:val="right"/>
              <w:rPr>
                <w:sz w:val="16"/>
                <w:szCs w:val="16"/>
              </w:rPr>
            </w:pPr>
            <w:r w:rsidRPr="007064D8">
              <w:rPr>
                <w:sz w:val="16"/>
                <w:szCs w:val="16"/>
              </w:rPr>
              <w:t> </w:t>
            </w:r>
          </w:p>
        </w:tc>
      </w:tr>
      <w:tr w:rsidR="00A60D4B" w:rsidRPr="007064D8" w14:paraId="3AA0E970" w14:textId="77777777" w:rsidTr="00A60D4B">
        <w:trPr>
          <w:gridAfter w:val="1"/>
          <w:wAfter w:w="28" w:type="dxa"/>
          <w:trHeight w:val="288"/>
        </w:trPr>
        <w:tc>
          <w:tcPr>
            <w:tcW w:w="410" w:type="dxa"/>
            <w:noWrap/>
            <w:hideMark/>
          </w:tcPr>
          <w:p w14:paraId="491E2C11" w14:textId="77777777" w:rsidR="00A60D4B" w:rsidRPr="007064D8" w:rsidRDefault="00A60D4B" w:rsidP="00A60D4B">
            <w:pPr>
              <w:rPr>
                <w:sz w:val="16"/>
                <w:szCs w:val="16"/>
              </w:rPr>
            </w:pPr>
            <w:r w:rsidRPr="007064D8">
              <w:rPr>
                <w:sz w:val="16"/>
                <w:szCs w:val="16"/>
              </w:rPr>
              <w:t> </w:t>
            </w:r>
          </w:p>
        </w:tc>
        <w:tc>
          <w:tcPr>
            <w:tcW w:w="2186" w:type="dxa"/>
            <w:noWrap/>
            <w:hideMark/>
          </w:tcPr>
          <w:p w14:paraId="258D5E58" w14:textId="77777777" w:rsidR="00A60D4B" w:rsidRPr="007064D8" w:rsidRDefault="00A60D4B" w:rsidP="00A60D4B">
            <w:pPr>
              <w:jc w:val="right"/>
              <w:rPr>
                <w:sz w:val="16"/>
                <w:szCs w:val="16"/>
              </w:rPr>
            </w:pPr>
            <w:r w:rsidRPr="007064D8">
              <w:rPr>
                <w:sz w:val="16"/>
                <w:szCs w:val="16"/>
              </w:rPr>
              <w:t>2020-21</w:t>
            </w:r>
          </w:p>
        </w:tc>
        <w:tc>
          <w:tcPr>
            <w:tcW w:w="946" w:type="dxa"/>
            <w:noWrap/>
            <w:hideMark/>
          </w:tcPr>
          <w:p w14:paraId="3B692B76" w14:textId="77777777" w:rsidR="00A60D4B" w:rsidRPr="007064D8" w:rsidRDefault="00A60D4B" w:rsidP="00A60D4B">
            <w:pPr>
              <w:jc w:val="right"/>
              <w:rPr>
                <w:sz w:val="16"/>
                <w:szCs w:val="16"/>
              </w:rPr>
            </w:pPr>
            <w:r w:rsidRPr="007064D8">
              <w:rPr>
                <w:sz w:val="16"/>
                <w:szCs w:val="16"/>
              </w:rPr>
              <w:t>$</w:t>
            </w:r>
            <w:r>
              <w:rPr>
                <w:sz w:val="16"/>
                <w:szCs w:val="16"/>
              </w:rPr>
              <w:t>161,400</w:t>
            </w:r>
          </w:p>
        </w:tc>
        <w:tc>
          <w:tcPr>
            <w:tcW w:w="848" w:type="dxa"/>
            <w:noWrap/>
            <w:hideMark/>
          </w:tcPr>
          <w:p w14:paraId="4CB5315F" w14:textId="77777777" w:rsidR="00A60D4B" w:rsidRPr="007064D8" w:rsidRDefault="00A60D4B" w:rsidP="00A60D4B">
            <w:pPr>
              <w:jc w:val="right"/>
              <w:rPr>
                <w:sz w:val="16"/>
                <w:szCs w:val="16"/>
              </w:rPr>
            </w:pPr>
            <w:r w:rsidRPr="007064D8">
              <w:rPr>
                <w:sz w:val="16"/>
                <w:szCs w:val="16"/>
              </w:rPr>
              <w:t>$4,767</w:t>
            </w:r>
          </w:p>
        </w:tc>
        <w:tc>
          <w:tcPr>
            <w:tcW w:w="1077" w:type="dxa"/>
            <w:noWrap/>
            <w:hideMark/>
          </w:tcPr>
          <w:p w14:paraId="5E33EBBE" w14:textId="77777777" w:rsidR="00A60D4B" w:rsidRPr="007064D8" w:rsidRDefault="00A60D4B" w:rsidP="00A60D4B">
            <w:pPr>
              <w:jc w:val="right"/>
              <w:rPr>
                <w:sz w:val="16"/>
                <w:szCs w:val="16"/>
              </w:rPr>
            </w:pPr>
            <w:r w:rsidRPr="007064D8">
              <w:rPr>
                <w:sz w:val="16"/>
                <w:szCs w:val="16"/>
              </w:rPr>
              <w:t>$150</w:t>
            </w:r>
          </w:p>
        </w:tc>
        <w:tc>
          <w:tcPr>
            <w:tcW w:w="1077" w:type="dxa"/>
            <w:noWrap/>
            <w:hideMark/>
          </w:tcPr>
          <w:p w14:paraId="08E7B6E3"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3C5FD44B" w14:textId="77777777" w:rsidR="00A60D4B" w:rsidRPr="007064D8" w:rsidRDefault="00A60D4B" w:rsidP="00A60D4B">
            <w:pPr>
              <w:jc w:val="right"/>
              <w:rPr>
                <w:sz w:val="16"/>
                <w:szCs w:val="16"/>
              </w:rPr>
            </w:pPr>
            <w:r w:rsidRPr="007064D8">
              <w:rPr>
                <w:sz w:val="16"/>
                <w:szCs w:val="16"/>
              </w:rPr>
              <w:t>$0</w:t>
            </w:r>
          </w:p>
        </w:tc>
        <w:tc>
          <w:tcPr>
            <w:tcW w:w="850" w:type="dxa"/>
            <w:noWrap/>
            <w:hideMark/>
          </w:tcPr>
          <w:p w14:paraId="43601311" w14:textId="77777777" w:rsidR="00A60D4B" w:rsidRPr="007064D8" w:rsidRDefault="00A60D4B" w:rsidP="00A60D4B">
            <w:pPr>
              <w:jc w:val="right"/>
              <w:rPr>
                <w:sz w:val="16"/>
                <w:szCs w:val="16"/>
              </w:rPr>
            </w:pPr>
            <w:r w:rsidRPr="007064D8">
              <w:rPr>
                <w:sz w:val="16"/>
                <w:szCs w:val="16"/>
              </w:rPr>
              <w:t>$1,020</w:t>
            </w:r>
          </w:p>
        </w:tc>
        <w:tc>
          <w:tcPr>
            <w:tcW w:w="964" w:type="dxa"/>
            <w:noWrap/>
            <w:hideMark/>
          </w:tcPr>
          <w:p w14:paraId="57C85A80" w14:textId="77777777" w:rsidR="00A60D4B" w:rsidRPr="007064D8" w:rsidRDefault="00A60D4B" w:rsidP="00A60D4B">
            <w:pPr>
              <w:jc w:val="right"/>
              <w:rPr>
                <w:sz w:val="16"/>
                <w:szCs w:val="16"/>
              </w:rPr>
            </w:pPr>
            <w:r w:rsidRPr="007064D8">
              <w:rPr>
                <w:sz w:val="16"/>
                <w:szCs w:val="16"/>
              </w:rPr>
              <w:t>$0</w:t>
            </w:r>
          </w:p>
        </w:tc>
        <w:tc>
          <w:tcPr>
            <w:tcW w:w="709" w:type="dxa"/>
            <w:gridSpan w:val="2"/>
            <w:noWrap/>
            <w:hideMark/>
          </w:tcPr>
          <w:p w14:paraId="3C44CCD9" w14:textId="77777777" w:rsidR="00A60D4B" w:rsidRPr="007064D8" w:rsidRDefault="00A60D4B" w:rsidP="00A60D4B">
            <w:pPr>
              <w:jc w:val="right"/>
              <w:rPr>
                <w:sz w:val="16"/>
                <w:szCs w:val="16"/>
              </w:rPr>
            </w:pPr>
            <w:r w:rsidRPr="007064D8">
              <w:rPr>
                <w:sz w:val="16"/>
                <w:szCs w:val="16"/>
              </w:rPr>
              <w:t>$766</w:t>
            </w:r>
          </w:p>
        </w:tc>
        <w:tc>
          <w:tcPr>
            <w:tcW w:w="992" w:type="dxa"/>
            <w:gridSpan w:val="2"/>
            <w:noWrap/>
            <w:hideMark/>
          </w:tcPr>
          <w:p w14:paraId="36736D56" w14:textId="77777777" w:rsidR="00A60D4B" w:rsidRPr="007064D8" w:rsidRDefault="00A60D4B" w:rsidP="00A60D4B">
            <w:pPr>
              <w:jc w:val="right"/>
              <w:rPr>
                <w:sz w:val="16"/>
                <w:szCs w:val="16"/>
              </w:rPr>
            </w:pPr>
            <w:r w:rsidRPr="007064D8">
              <w:rPr>
                <w:sz w:val="16"/>
                <w:szCs w:val="16"/>
              </w:rPr>
              <w:t>$0</w:t>
            </w:r>
          </w:p>
        </w:tc>
        <w:tc>
          <w:tcPr>
            <w:tcW w:w="851" w:type="dxa"/>
            <w:gridSpan w:val="2"/>
            <w:noWrap/>
            <w:hideMark/>
          </w:tcPr>
          <w:p w14:paraId="0536412E" w14:textId="77777777" w:rsidR="00A60D4B" w:rsidRPr="007064D8" w:rsidRDefault="00A60D4B" w:rsidP="00A60D4B">
            <w:pPr>
              <w:jc w:val="right"/>
              <w:rPr>
                <w:sz w:val="16"/>
                <w:szCs w:val="16"/>
              </w:rPr>
            </w:pPr>
            <w:r w:rsidRPr="007064D8">
              <w:rPr>
                <w:sz w:val="16"/>
                <w:szCs w:val="16"/>
              </w:rPr>
              <w:t>$5,780</w:t>
            </w:r>
          </w:p>
        </w:tc>
        <w:tc>
          <w:tcPr>
            <w:tcW w:w="992" w:type="dxa"/>
            <w:gridSpan w:val="2"/>
            <w:noWrap/>
            <w:hideMark/>
          </w:tcPr>
          <w:p w14:paraId="0D6F3963" w14:textId="77777777" w:rsidR="00A60D4B" w:rsidRPr="007064D8" w:rsidRDefault="00A60D4B" w:rsidP="00A60D4B">
            <w:pPr>
              <w:jc w:val="right"/>
              <w:rPr>
                <w:sz w:val="16"/>
                <w:szCs w:val="16"/>
              </w:rPr>
            </w:pPr>
            <w:r w:rsidRPr="007064D8">
              <w:rPr>
                <w:sz w:val="16"/>
                <w:szCs w:val="16"/>
              </w:rPr>
              <w:t>$0</w:t>
            </w:r>
          </w:p>
        </w:tc>
        <w:tc>
          <w:tcPr>
            <w:tcW w:w="964" w:type="dxa"/>
            <w:gridSpan w:val="2"/>
            <w:noWrap/>
            <w:hideMark/>
          </w:tcPr>
          <w:p w14:paraId="7EF93CDD" w14:textId="77777777" w:rsidR="00A60D4B" w:rsidRPr="007064D8" w:rsidRDefault="00A60D4B" w:rsidP="00A60D4B">
            <w:pPr>
              <w:jc w:val="right"/>
              <w:rPr>
                <w:sz w:val="16"/>
                <w:szCs w:val="16"/>
              </w:rPr>
            </w:pPr>
            <w:r w:rsidRPr="007064D8">
              <w:rPr>
                <w:sz w:val="16"/>
                <w:szCs w:val="16"/>
              </w:rPr>
              <w:t>$</w:t>
            </w:r>
            <w:r>
              <w:rPr>
                <w:sz w:val="16"/>
                <w:szCs w:val="16"/>
              </w:rPr>
              <w:t>149,216</w:t>
            </w:r>
          </w:p>
        </w:tc>
      </w:tr>
      <w:tr w:rsidR="00A60D4B" w:rsidRPr="007064D8" w14:paraId="67C17D75" w14:textId="77777777" w:rsidTr="00A60D4B">
        <w:trPr>
          <w:gridAfter w:val="1"/>
          <w:wAfter w:w="28" w:type="dxa"/>
          <w:trHeight w:val="288"/>
        </w:trPr>
        <w:tc>
          <w:tcPr>
            <w:tcW w:w="410" w:type="dxa"/>
            <w:noWrap/>
            <w:hideMark/>
          </w:tcPr>
          <w:p w14:paraId="4A2850F8" w14:textId="77777777" w:rsidR="00A60D4B" w:rsidRPr="007064D8" w:rsidRDefault="00A60D4B" w:rsidP="00A60D4B">
            <w:pPr>
              <w:rPr>
                <w:sz w:val="16"/>
                <w:szCs w:val="16"/>
              </w:rPr>
            </w:pPr>
            <w:r w:rsidRPr="007064D8">
              <w:rPr>
                <w:sz w:val="16"/>
                <w:szCs w:val="16"/>
              </w:rPr>
              <w:t> </w:t>
            </w:r>
          </w:p>
        </w:tc>
        <w:tc>
          <w:tcPr>
            <w:tcW w:w="2186" w:type="dxa"/>
            <w:noWrap/>
            <w:hideMark/>
          </w:tcPr>
          <w:p w14:paraId="07B7076C" w14:textId="77777777" w:rsidR="00A60D4B" w:rsidRPr="007064D8" w:rsidRDefault="00A60D4B" w:rsidP="00A60D4B">
            <w:pPr>
              <w:jc w:val="right"/>
              <w:rPr>
                <w:sz w:val="16"/>
                <w:szCs w:val="16"/>
              </w:rPr>
            </w:pPr>
            <w:r w:rsidRPr="007064D8">
              <w:rPr>
                <w:sz w:val="16"/>
                <w:szCs w:val="16"/>
              </w:rPr>
              <w:t>2021-22</w:t>
            </w:r>
          </w:p>
        </w:tc>
        <w:tc>
          <w:tcPr>
            <w:tcW w:w="946" w:type="dxa"/>
            <w:noWrap/>
            <w:hideMark/>
          </w:tcPr>
          <w:p w14:paraId="13A47F19" w14:textId="77777777" w:rsidR="00A60D4B" w:rsidRPr="007064D8" w:rsidRDefault="00A60D4B" w:rsidP="00A60D4B">
            <w:pPr>
              <w:jc w:val="right"/>
              <w:rPr>
                <w:sz w:val="16"/>
                <w:szCs w:val="16"/>
              </w:rPr>
            </w:pPr>
            <w:r w:rsidRPr="007064D8">
              <w:rPr>
                <w:sz w:val="16"/>
                <w:szCs w:val="16"/>
              </w:rPr>
              <w:t>$1</w:t>
            </w:r>
            <w:r>
              <w:rPr>
                <w:sz w:val="16"/>
                <w:szCs w:val="16"/>
              </w:rPr>
              <w:t>64,200</w:t>
            </w:r>
          </w:p>
        </w:tc>
        <w:tc>
          <w:tcPr>
            <w:tcW w:w="848" w:type="dxa"/>
            <w:noWrap/>
            <w:hideMark/>
          </w:tcPr>
          <w:p w14:paraId="28AC92CA" w14:textId="77777777" w:rsidR="00A60D4B" w:rsidRPr="007064D8" w:rsidRDefault="00A60D4B" w:rsidP="00A60D4B">
            <w:pPr>
              <w:jc w:val="right"/>
              <w:rPr>
                <w:sz w:val="16"/>
                <w:szCs w:val="16"/>
              </w:rPr>
            </w:pPr>
            <w:r w:rsidRPr="007064D8">
              <w:rPr>
                <w:sz w:val="16"/>
                <w:szCs w:val="16"/>
              </w:rPr>
              <w:t>$5,085</w:t>
            </w:r>
          </w:p>
        </w:tc>
        <w:tc>
          <w:tcPr>
            <w:tcW w:w="1077" w:type="dxa"/>
            <w:noWrap/>
            <w:hideMark/>
          </w:tcPr>
          <w:p w14:paraId="7F880567"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20443F33"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753947E3" w14:textId="77777777" w:rsidR="00A60D4B" w:rsidRPr="007064D8" w:rsidRDefault="00A60D4B" w:rsidP="00A60D4B">
            <w:pPr>
              <w:jc w:val="right"/>
              <w:rPr>
                <w:sz w:val="16"/>
                <w:szCs w:val="16"/>
              </w:rPr>
            </w:pPr>
            <w:r w:rsidRPr="007064D8">
              <w:rPr>
                <w:sz w:val="16"/>
                <w:szCs w:val="16"/>
              </w:rPr>
              <w:t>$0</w:t>
            </w:r>
          </w:p>
        </w:tc>
        <w:tc>
          <w:tcPr>
            <w:tcW w:w="850" w:type="dxa"/>
            <w:noWrap/>
            <w:hideMark/>
          </w:tcPr>
          <w:p w14:paraId="3187D0CB" w14:textId="77777777" w:rsidR="00A60D4B" w:rsidRPr="007064D8" w:rsidRDefault="00A60D4B" w:rsidP="00A60D4B">
            <w:pPr>
              <w:jc w:val="right"/>
              <w:rPr>
                <w:sz w:val="16"/>
                <w:szCs w:val="16"/>
              </w:rPr>
            </w:pPr>
            <w:r w:rsidRPr="007064D8">
              <w:rPr>
                <w:sz w:val="16"/>
                <w:szCs w:val="16"/>
              </w:rPr>
              <w:t>$1,054</w:t>
            </w:r>
          </w:p>
        </w:tc>
        <w:tc>
          <w:tcPr>
            <w:tcW w:w="964" w:type="dxa"/>
            <w:noWrap/>
            <w:hideMark/>
          </w:tcPr>
          <w:p w14:paraId="4261C301" w14:textId="77777777" w:rsidR="00A60D4B" w:rsidRPr="007064D8" w:rsidRDefault="00A60D4B" w:rsidP="00A60D4B">
            <w:pPr>
              <w:jc w:val="right"/>
              <w:rPr>
                <w:sz w:val="16"/>
                <w:szCs w:val="16"/>
              </w:rPr>
            </w:pPr>
            <w:r w:rsidRPr="007064D8">
              <w:rPr>
                <w:sz w:val="16"/>
                <w:szCs w:val="16"/>
              </w:rPr>
              <w:t>$0</w:t>
            </w:r>
          </w:p>
        </w:tc>
        <w:tc>
          <w:tcPr>
            <w:tcW w:w="709" w:type="dxa"/>
            <w:gridSpan w:val="2"/>
            <w:noWrap/>
            <w:hideMark/>
          </w:tcPr>
          <w:p w14:paraId="3B82CD3D" w14:textId="77777777" w:rsidR="00A60D4B" w:rsidRPr="007064D8" w:rsidRDefault="00A60D4B" w:rsidP="00A60D4B">
            <w:pPr>
              <w:jc w:val="right"/>
              <w:rPr>
                <w:sz w:val="16"/>
                <w:szCs w:val="16"/>
              </w:rPr>
            </w:pPr>
            <w:r w:rsidRPr="007064D8">
              <w:rPr>
                <w:sz w:val="16"/>
                <w:szCs w:val="16"/>
              </w:rPr>
              <w:t>$766</w:t>
            </w:r>
          </w:p>
        </w:tc>
        <w:tc>
          <w:tcPr>
            <w:tcW w:w="992" w:type="dxa"/>
            <w:gridSpan w:val="2"/>
            <w:noWrap/>
            <w:hideMark/>
          </w:tcPr>
          <w:p w14:paraId="240868C4" w14:textId="77777777" w:rsidR="00A60D4B" w:rsidRPr="007064D8" w:rsidRDefault="00A60D4B" w:rsidP="00A60D4B">
            <w:pPr>
              <w:jc w:val="right"/>
              <w:rPr>
                <w:sz w:val="16"/>
                <w:szCs w:val="16"/>
              </w:rPr>
            </w:pPr>
            <w:r w:rsidRPr="007064D8">
              <w:rPr>
                <w:sz w:val="16"/>
                <w:szCs w:val="16"/>
              </w:rPr>
              <w:t>$0</w:t>
            </w:r>
          </w:p>
        </w:tc>
        <w:tc>
          <w:tcPr>
            <w:tcW w:w="851" w:type="dxa"/>
            <w:gridSpan w:val="2"/>
            <w:noWrap/>
            <w:hideMark/>
          </w:tcPr>
          <w:p w14:paraId="71A7E53E" w14:textId="77777777" w:rsidR="00A60D4B" w:rsidRPr="007064D8" w:rsidRDefault="00A60D4B" w:rsidP="00A60D4B">
            <w:pPr>
              <w:jc w:val="right"/>
              <w:rPr>
                <w:sz w:val="16"/>
                <w:szCs w:val="16"/>
              </w:rPr>
            </w:pPr>
            <w:r w:rsidRPr="007064D8">
              <w:rPr>
                <w:sz w:val="16"/>
                <w:szCs w:val="16"/>
              </w:rPr>
              <w:t>$6,043</w:t>
            </w:r>
          </w:p>
        </w:tc>
        <w:tc>
          <w:tcPr>
            <w:tcW w:w="992" w:type="dxa"/>
            <w:gridSpan w:val="2"/>
            <w:noWrap/>
            <w:hideMark/>
          </w:tcPr>
          <w:p w14:paraId="511264A6" w14:textId="77777777" w:rsidR="00A60D4B" w:rsidRPr="007064D8" w:rsidRDefault="00A60D4B" w:rsidP="00A60D4B">
            <w:pPr>
              <w:jc w:val="right"/>
              <w:rPr>
                <w:sz w:val="16"/>
                <w:szCs w:val="16"/>
              </w:rPr>
            </w:pPr>
            <w:r w:rsidRPr="007064D8">
              <w:rPr>
                <w:sz w:val="16"/>
                <w:szCs w:val="16"/>
              </w:rPr>
              <w:t>$0</w:t>
            </w:r>
          </w:p>
        </w:tc>
        <w:tc>
          <w:tcPr>
            <w:tcW w:w="964" w:type="dxa"/>
            <w:gridSpan w:val="2"/>
            <w:noWrap/>
            <w:hideMark/>
          </w:tcPr>
          <w:p w14:paraId="49AC0826" w14:textId="77777777" w:rsidR="00A60D4B" w:rsidRPr="007064D8" w:rsidRDefault="00A60D4B" w:rsidP="00A60D4B">
            <w:pPr>
              <w:jc w:val="right"/>
              <w:rPr>
                <w:sz w:val="16"/>
                <w:szCs w:val="16"/>
              </w:rPr>
            </w:pPr>
            <w:r w:rsidRPr="007064D8">
              <w:rPr>
                <w:sz w:val="16"/>
                <w:szCs w:val="16"/>
              </w:rPr>
              <w:t>$</w:t>
            </w:r>
            <w:r>
              <w:rPr>
                <w:sz w:val="16"/>
                <w:szCs w:val="16"/>
              </w:rPr>
              <w:t>151,253</w:t>
            </w:r>
          </w:p>
        </w:tc>
      </w:tr>
      <w:tr w:rsidR="00A60D4B" w:rsidRPr="007064D8" w14:paraId="1DB6D123" w14:textId="77777777" w:rsidTr="00A60D4B">
        <w:trPr>
          <w:gridAfter w:val="1"/>
          <w:wAfter w:w="28" w:type="dxa"/>
          <w:trHeight w:val="288"/>
        </w:trPr>
        <w:tc>
          <w:tcPr>
            <w:tcW w:w="410" w:type="dxa"/>
            <w:noWrap/>
            <w:hideMark/>
          </w:tcPr>
          <w:p w14:paraId="04F6E1AD" w14:textId="77777777" w:rsidR="00A60D4B" w:rsidRPr="007064D8" w:rsidRDefault="00A60D4B" w:rsidP="00A60D4B">
            <w:pPr>
              <w:rPr>
                <w:sz w:val="16"/>
                <w:szCs w:val="16"/>
              </w:rPr>
            </w:pPr>
            <w:r w:rsidRPr="007064D8">
              <w:rPr>
                <w:sz w:val="16"/>
                <w:szCs w:val="16"/>
              </w:rPr>
              <w:t> </w:t>
            </w:r>
          </w:p>
        </w:tc>
        <w:tc>
          <w:tcPr>
            <w:tcW w:w="2186" w:type="dxa"/>
            <w:noWrap/>
            <w:hideMark/>
          </w:tcPr>
          <w:p w14:paraId="0E3C5A1B" w14:textId="77777777" w:rsidR="00A60D4B" w:rsidRPr="007064D8" w:rsidRDefault="00A60D4B" w:rsidP="00A60D4B">
            <w:pPr>
              <w:rPr>
                <w:sz w:val="16"/>
                <w:szCs w:val="16"/>
              </w:rPr>
            </w:pPr>
            <w:r w:rsidRPr="007064D8">
              <w:rPr>
                <w:sz w:val="16"/>
                <w:szCs w:val="16"/>
              </w:rPr>
              <w:t> </w:t>
            </w:r>
          </w:p>
        </w:tc>
        <w:tc>
          <w:tcPr>
            <w:tcW w:w="946" w:type="dxa"/>
            <w:noWrap/>
            <w:hideMark/>
          </w:tcPr>
          <w:p w14:paraId="3C597063" w14:textId="77777777" w:rsidR="00A60D4B" w:rsidRPr="007064D8" w:rsidRDefault="00A60D4B" w:rsidP="00A60D4B">
            <w:pPr>
              <w:jc w:val="right"/>
              <w:rPr>
                <w:sz w:val="16"/>
                <w:szCs w:val="16"/>
              </w:rPr>
            </w:pPr>
            <w:r w:rsidRPr="007064D8">
              <w:rPr>
                <w:sz w:val="16"/>
                <w:szCs w:val="16"/>
              </w:rPr>
              <w:t> </w:t>
            </w:r>
          </w:p>
        </w:tc>
        <w:tc>
          <w:tcPr>
            <w:tcW w:w="848" w:type="dxa"/>
            <w:noWrap/>
            <w:hideMark/>
          </w:tcPr>
          <w:p w14:paraId="4E3950BE" w14:textId="77777777" w:rsidR="00A60D4B" w:rsidRPr="007064D8" w:rsidRDefault="00A60D4B" w:rsidP="00A60D4B">
            <w:pPr>
              <w:jc w:val="right"/>
              <w:rPr>
                <w:sz w:val="16"/>
                <w:szCs w:val="16"/>
              </w:rPr>
            </w:pPr>
          </w:p>
        </w:tc>
        <w:tc>
          <w:tcPr>
            <w:tcW w:w="1077" w:type="dxa"/>
            <w:noWrap/>
            <w:hideMark/>
          </w:tcPr>
          <w:p w14:paraId="07DB6D82" w14:textId="77777777" w:rsidR="00A60D4B" w:rsidRPr="007064D8" w:rsidRDefault="00A60D4B" w:rsidP="00A60D4B">
            <w:pPr>
              <w:jc w:val="right"/>
              <w:rPr>
                <w:sz w:val="16"/>
                <w:szCs w:val="16"/>
              </w:rPr>
            </w:pPr>
          </w:p>
        </w:tc>
        <w:tc>
          <w:tcPr>
            <w:tcW w:w="1077" w:type="dxa"/>
            <w:noWrap/>
            <w:hideMark/>
          </w:tcPr>
          <w:p w14:paraId="0804B799" w14:textId="77777777" w:rsidR="00A60D4B" w:rsidRPr="007064D8" w:rsidRDefault="00A60D4B" w:rsidP="00A60D4B">
            <w:pPr>
              <w:jc w:val="right"/>
              <w:rPr>
                <w:sz w:val="16"/>
                <w:szCs w:val="16"/>
              </w:rPr>
            </w:pPr>
          </w:p>
        </w:tc>
        <w:tc>
          <w:tcPr>
            <w:tcW w:w="1077" w:type="dxa"/>
            <w:noWrap/>
            <w:hideMark/>
          </w:tcPr>
          <w:p w14:paraId="380411DE" w14:textId="77777777" w:rsidR="00A60D4B" w:rsidRPr="007064D8" w:rsidRDefault="00A60D4B" w:rsidP="00A60D4B">
            <w:pPr>
              <w:jc w:val="right"/>
              <w:rPr>
                <w:sz w:val="16"/>
                <w:szCs w:val="16"/>
              </w:rPr>
            </w:pPr>
          </w:p>
        </w:tc>
        <w:tc>
          <w:tcPr>
            <w:tcW w:w="850" w:type="dxa"/>
            <w:noWrap/>
            <w:hideMark/>
          </w:tcPr>
          <w:p w14:paraId="0F2E4EB6" w14:textId="77777777" w:rsidR="00A60D4B" w:rsidRPr="007064D8" w:rsidRDefault="00A60D4B" w:rsidP="00A60D4B">
            <w:pPr>
              <w:jc w:val="right"/>
              <w:rPr>
                <w:sz w:val="16"/>
                <w:szCs w:val="16"/>
              </w:rPr>
            </w:pPr>
          </w:p>
        </w:tc>
        <w:tc>
          <w:tcPr>
            <w:tcW w:w="964" w:type="dxa"/>
            <w:noWrap/>
            <w:hideMark/>
          </w:tcPr>
          <w:p w14:paraId="7E8E6684" w14:textId="77777777" w:rsidR="00A60D4B" w:rsidRPr="007064D8" w:rsidRDefault="00A60D4B" w:rsidP="00A60D4B">
            <w:pPr>
              <w:jc w:val="right"/>
              <w:rPr>
                <w:sz w:val="16"/>
                <w:szCs w:val="16"/>
              </w:rPr>
            </w:pPr>
          </w:p>
        </w:tc>
        <w:tc>
          <w:tcPr>
            <w:tcW w:w="709" w:type="dxa"/>
            <w:gridSpan w:val="2"/>
            <w:noWrap/>
            <w:hideMark/>
          </w:tcPr>
          <w:p w14:paraId="37FFE451" w14:textId="77777777" w:rsidR="00A60D4B" w:rsidRPr="007064D8" w:rsidRDefault="00A60D4B" w:rsidP="00A60D4B">
            <w:pPr>
              <w:jc w:val="right"/>
              <w:rPr>
                <w:sz w:val="16"/>
                <w:szCs w:val="16"/>
              </w:rPr>
            </w:pPr>
          </w:p>
        </w:tc>
        <w:tc>
          <w:tcPr>
            <w:tcW w:w="992" w:type="dxa"/>
            <w:gridSpan w:val="2"/>
            <w:noWrap/>
            <w:hideMark/>
          </w:tcPr>
          <w:p w14:paraId="6EE6D5C2" w14:textId="77777777" w:rsidR="00A60D4B" w:rsidRPr="007064D8" w:rsidRDefault="00A60D4B" w:rsidP="00A60D4B">
            <w:pPr>
              <w:jc w:val="right"/>
              <w:rPr>
                <w:sz w:val="16"/>
                <w:szCs w:val="16"/>
              </w:rPr>
            </w:pPr>
          </w:p>
        </w:tc>
        <w:tc>
          <w:tcPr>
            <w:tcW w:w="851" w:type="dxa"/>
            <w:gridSpan w:val="2"/>
            <w:noWrap/>
            <w:hideMark/>
          </w:tcPr>
          <w:p w14:paraId="28A3679E" w14:textId="77777777" w:rsidR="00A60D4B" w:rsidRPr="007064D8" w:rsidRDefault="00A60D4B" w:rsidP="00A60D4B">
            <w:pPr>
              <w:jc w:val="right"/>
              <w:rPr>
                <w:sz w:val="16"/>
                <w:szCs w:val="16"/>
              </w:rPr>
            </w:pPr>
          </w:p>
        </w:tc>
        <w:tc>
          <w:tcPr>
            <w:tcW w:w="992" w:type="dxa"/>
            <w:gridSpan w:val="2"/>
            <w:noWrap/>
            <w:hideMark/>
          </w:tcPr>
          <w:p w14:paraId="1FCAE0DB" w14:textId="77777777" w:rsidR="00A60D4B" w:rsidRPr="007064D8" w:rsidRDefault="00A60D4B" w:rsidP="00A60D4B">
            <w:pPr>
              <w:jc w:val="right"/>
              <w:rPr>
                <w:sz w:val="16"/>
                <w:szCs w:val="16"/>
              </w:rPr>
            </w:pPr>
            <w:r w:rsidRPr="007064D8">
              <w:rPr>
                <w:sz w:val="16"/>
                <w:szCs w:val="16"/>
              </w:rPr>
              <w:t xml:space="preserve"> Change </w:t>
            </w:r>
          </w:p>
        </w:tc>
        <w:tc>
          <w:tcPr>
            <w:tcW w:w="964" w:type="dxa"/>
            <w:gridSpan w:val="2"/>
            <w:noWrap/>
            <w:hideMark/>
          </w:tcPr>
          <w:p w14:paraId="4520FDD6" w14:textId="77777777" w:rsidR="00A60D4B" w:rsidRPr="007064D8" w:rsidRDefault="00A60D4B" w:rsidP="00A60D4B">
            <w:pPr>
              <w:jc w:val="right"/>
              <w:rPr>
                <w:sz w:val="16"/>
                <w:szCs w:val="16"/>
              </w:rPr>
            </w:pPr>
            <w:r>
              <w:rPr>
                <w:sz w:val="16"/>
                <w:szCs w:val="16"/>
              </w:rPr>
              <w:t>$2,037</w:t>
            </w:r>
          </w:p>
        </w:tc>
      </w:tr>
      <w:tr w:rsidR="00A60D4B" w:rsidRPr="007064D8" w14:paraId="25D156A4" w14:textId="77777777" w:rsidTr="00A60D4B">
        <w:trPr>
          <w:gridAfter w:val="1"/>
          <w:wAfter w:w="28" w:type="dxa"/>
          <w:trHeight w:val="432"/>
        </w:trPr>
        <w:tc>
          <w:tcPr>
            <w:tcW w:w="410" w:type="dxa"/>
            <w:noWrap/>
            <w:hideMark/>
          </w:tcPr>
          <w:p w14:paraId="0981EFC1" w14:textId="77777777" w:rsidR="00A60D4B" w:rsidRPr="007064D8" w:rsidRDefault="00A60D4B" w:rsidP="00A60D4B">
            <w:pPr>
              <w:rPr>
                <w:sz w:val="16"/>
                <w:szCs w:val="16"/>
              </w:rPr>
            </w:pPr>
            <w:r w:rsidRPr="007064D8">
              <w:rPr>
                <w:sz w:val="16"/>
                <w:szCs w:val="16"/>
              </w:rPr>
              <w:t>8</w:t>
            </w:r>
          </w:p>
        </w:tc>
        <w:tc>
          <w:tcPr>
            <w:tcW w:w="2186" w:type="dxa"/>
            <w:hideMark/>
          </w:tcPr>
          <w:p w14:paraId="58D76FE4" w14:textId="77777777" w:rsidR="00A60D4B" w:rsidRPr="007064D8" w:rsidRDefault="00A60D4B" w:rsidP="00A60D4B">
            <w:pPr>
              <w:rPr>
                <w:sz w:val="16"/>
                <w:szCs w:val="16"/>
              </w:rPr>
            </w:pPr>
            <w:r w:rsidRPr="007064D8">
              <w:rPr>
                <w:sz w:val="16"/>
                <w:szCs w:val="16"/>
              </w:rPr>
              <w:t xml:space="preserve">Forrest - Couple, fifth income quintile, 2 cars, 2 children </w:t>
            </w:r>
          </w:p>
        </w:tc>
        <w:tc>
          <w:tcPr>
            <w:tcW w:w="946" w:type="dxa"/>
            <w:noWrap/>
            <w:hideMark/>
          </w:tcPr>
          <w:p w14:paraId="5BEC612F" w14:textId="77777777" w:rsidR="00A60D4B" w:rsidRPr="007064D8" w:rsidRDefault="00A60D4B" w:rsidP="00A60D4B">
            <w:pPr>
              <w:jc w:val="right"/>
              <w:rPr>
                <w:sz w:val="16"/>
                <w:szCs w:val="16"/>
              </w:rPr>
            </w:pPr>
            <w:r w:rsidRPr="007064D8">
              <w:rPr>
                <w:sz w:val="16"/>
                <w:szCs w:val="16"/>
              </w:rPr>
              <w:t> </w:t>
            </w:r>
          </w:p>
        </w:tc>
        <w:tc>
          <w:tcPr>
            <w:tcW w:w="848" w:type="dxa"/>
            <w:noWrap/>
            <w:hideMark/>
          </w:tcPr>
          <w:p w14:paraId="16591C5F" w14:textId="77777777" w:rsidR="00A60D4B" w:rsidRPr="007064D8" w:rsidRDefault="00A60D4B" w:rsidP="00A60D4B">
            <w:pPr>
              <w:jc w:val="right"/>
              <w:rPr>
                <w:sz w:val="16"/>
                <w:szCs w:val="16"/>
              </w:rPr>
            </w:pPr>
          </w:p>
        </w:tc>
        <w:tc>
          <w:tcPr>
            <w:tcW w:w="1077" w:type="dxa"/>
            <w:noWrap/>
            <w:hideMark/>
          </w:tcPr>
          <w:p w14:paraId="73A2293F" w14:textId="77777777" w:rsidR="00A60D4B" w:rsidRPr="007064D8" w:rsidRDefault="00A60D4B" w:rsidP="00A60D4B">
            <w:pPr>
              <w:jc w:val="right"/>
              <w:rPr>
                <w:sz w:val="16"/>
                <w:szCs w:val="16"/>
              </w:rPr>
            </w:pPr>
          </w:p>
        </w:tc>
        <w:tc>
          <w:tcPr>
            <w:tcW w:w="1077" w:type="dxa"/>
            <w:noWrap/>
            <w:hideMark/>
          </w:tcPr>
          <w:p w14:paraId="2F1553B1" w14:textId="77777777" w:rsidR="00A60D4B" w:rsidRPr="007064D8" w:rsidRDefault="00A60D4B" w:rsidP="00A60D4B">
            <w:pPr>
              <w:jc w:val="right"/>
              <w:rPr>
                <w:sz w:val="16"/>
                <w:szCs w:val="16"/>
              </w:rPr>
            </w:pPr>
          </w:p>
        </w:tc>
        <w:tc>
          <w:tcPr>
            <w:tcW w:w="1077" w:type="dxa"/>
            <w:noWrap/>
            <w:hideMark/>
          </w:tcPr>
          <w:p w14:paraId="6038863D" w14:textId="77777777" w:rsidR="00A60D4B" w:rsidRPr="007064D8" w:rsidRDefault="00A60D4B" w:rsidP="00A60D4B">
            <w:pPr>
              <w:jc w:val="right"/>
              <w:rPr>
                <w:sz w:val="16"/>
                <w:szCs w:val="16"/>
              </w:rPr>
            </w:pPr>
          </w:p>
        </w:tc>
        <w:tc>
          <w:tcPr>
            <w:tcW w:w="850" w:type="dxa"/>
            <w:noWrap/>
            <w:hideMark/>
          </w:tcPr>
          <w:p w14:paraId="7382C34D" w14:textId="77777777" w:rsidR="00A60D4B" w:rsidRPr="007064D8" w:rsidRDefault="00A60D4B" w:rsidP="00A60D4B">
            <w:pPr>
              <w:jc w:val="right"/>
              <w:rPr>
                <w:sz w:val="16"/>
                <w:szCs w:val="16"/>
              </w:rPr>
            </w:pPr>
          </w:p>
        </w:tc>
        <w:tc>
          <w:tcPr>
            <w:tcW w:w="964" w:type="dxa"/>
            <w:noWrap/>
            <w:hideMark/>
          </w:tcPr>
          <w:p w14:paraId="7A8B4573" w14:textId="77777777" w:rsidR="00A60D4B" w:rsidRPr="007064D8" w:rsidRDefault="00A60D4B" w:rsidP="00A60D4B">
            <w:pPr>
              <w:jc w:val="right"/>
              <w:rPr>
                <w:sz w:val="16"/>
                <w:szCs w:val="16"/>
              </w:rPr>
            </w:pPr>
          </w:p>
        </w:tc>
        <w:tc>
          <w:tcPr>
            <w:tcW w:w="709" w:type="dxa"/>
            <w:gridSpan w:val="2"/>
            <w:noWrap/>
            <w:hideMark/>
          </w:tcPr>
          <w:p w14:paraId="4BF43CF2" w14:textId="77777777" w:rsidR="00A60D4B" w:rsidRPr="007064D8" w:rsidRDefault="00A60D4B" w:rsidP="00A60D4B">
            <w:pPr>
              <w:jc w:val="right"/>
              <w:rPr>
                <w:sz w:val="16"/>
                <w:szCs w:val="16"/>
              </w:rPr>
            </w:pPr>
          </w:p>
        </w:tc>
        <w:tc>
          <w:tcPr>
            <w:tcW w:w="992" w:type="dxa"/>
            <w:gridSpan w:val="2"/>
            <w:noWrap/>
            <w:hideMark/>
          </w:tcPr>
          <w:p w14:paraId="73D2E69A" w14:textId="77777777" w:rsidR="00A60D4B" w:rsidRPr="007064D8" w:rsidRDefault="00A60D4B" w:rsidP="00A60D4B">
            <w:pPr>
              <w:jc w:val="right"/>
              <w:rPr>
                <w:sz w:val="16"/>
                <w:szCs w:val="16"/>
              </w:rPr>
            </w:pPr>
          </w:p>
        </w:tc>
        <w:tc>
          <w:tcPr>
            <w:tcW w:w="851" w:type="dxa"/>
            <w:gridSpan w:val="2"/>
            <w:noWrap/>
            <w:hideMark/>
          </w:tcPr>
          <w:p w14:paraId="7CE5A837" w14:textId="77777777" w:rsidR="00A60D4B" w:rsidRPr="007064D8" w:rsidRDefault="00A60D4B" w:rsidP="00A60D4B">
            <w:pPr>
              <w:jc w:val="right"/>
              <w:rPr>
                <w:sz w:val="16"/>
                <w:szCs w:val="16"/>
              </w:rPr>
            </w:pPr>
          </w:p>
        </w:tc>
        <w:tc>
          <w:tcPr>
            <w:tcW w:w="992" w:type="dxa"/>
            <w:gridSpan w:val="2"/>
            <w:noWrap/>
            <w:hideMark/>
          </w:tcPr>
          <w:p w14:paraId="11733301" w14:textId="77777777" w:rsidR="00A60D4B" w:rsidRPr="007064D8" w:rsidRDefault="00A60D4B" w:rsidP="00A60D4B">
            <w:pPr>
              <w:jc w:val="right"/>
              <w:rPr>
                <w:sz w:val="16"/>
                <w:szCs w:val="16"/>
              </w:rPr>
            </w:pPr>
          </w:p>
        </w:tc>
        <w:tc>
          <w:tcPr>
            <w:tcW w:w="964" w:type="dxa"/>
            <w:gridSpan w:val="2"/>
            <w:noWrap/>
            <w:hideMark/>
          </w:tcPr>
          <w:p w14:paraId="0B786BEF" w14:textId="77777777" w:rsidR="00A60D4B" w:rsidRPr="007064D8" w:rsidRDefault="00A60D4B" w:rsidP="00A60D4B">
            <w:pPr>
              <w:jc w:val="right"/>
              <w:rPr>
                <w:sz w:val="16"/>
                <w:szCs w:val="16"/>
              </w:rPr>
            </w:pPr>
            <w:r w:rsidRPr="007064D8">
              <w:rPr>
                <w:sz w:val="16"/>
                <w:szCs w:val="16"/>
              </w:rPr>
              <w:t> </w:t>
            </w:r>
          </w:p>
        </w:tc>
      </w:tr>
      <w:tr w:rsidR="00A60D4B" w:rsidRPr="007064D8" w14:paraId="4640B4B1" w14:textId="77777777" w:rsidTr="00A60D4B">
        <w:trPr>
          <w:gridAfter w:val="1"/>
          <w:wAfter w:w="28" w:type="dxa"/>
          <w:trHeight w:val="288"/>
        </w:trPr>
        <w:tc>
          <w:tcPr>
            <w:tcW w:w="410" w:type="dxa"/>
            <w:noWrap/>
            <w:hideMark/>
          </w:tcPr>
          <w:p w14:paraId="6AF58880" w14:textId="77777777" w:rsidR="00A60D4B" w:rsidRPr="007064D8" w:rsidRDefault="00A60D4B" w:rsidP="00A60D4B">
            <w:pPr>
              <w:rPr>
                <w:sz w:val="16"/>
                <w:szCs w:val="16"/>
              </w:rPr>
            </w:pPr>
            <w:r w:rsidRPr="007064D8">
              <w:rPr>
                <w:sz w:val="16"/>
                <w:szCs w:val="16"/>
              </w:rPr>
              <w:t> </w:t>
            </w:r>
          </w:p>
        </w:tc>
        <w:tc>
          <w:tcPr>
            <w:tcW w:w="2186" w:type="dxa"/>
            <w:noWrap/>
            <w:hideMark/>
          </w:tcPr>
          <w:p w14:paraId="688275CE" w14:textId="77777777" w:rsidR="00A60D4B" w:rsidRPr="007064D8" w:rsidRDefault="00A60D4B" w:rsidP="00A60D4B">
            <w:pPr>
              <w:jc w:val="right"/>
              <w:rPr>
                <w:sz w:val="16"/>
                <w:szCs w:val="16"/>
              </w:rPr>
            </w:pPr>
            <w:r w:rsidRPr="007064D8">
              <w:rPr>
                <w:sz w:val="16"/>
                <w:szCs w:val="16"/>
              </w:rPr>
              <w:t>2020-21</w:t>
            </w:r>
          </w:p>
        </w:tc>
        <w:tc>
          <w:tcPr>
            <w:tcW w:w="946" w:type="dxa"/>
            <w:noWrap/>
            <w:hideMark/>
          </w:tcPr>
          <w:p w14:paraId="6FEE61D5" w14:textId="77777777" w:rsidR="00A60D4B" w:rsidRPr="007064D8" w:rsidRDefault="00A60D4B" w:rsidP="00A60D4B">
            <w:pPr>
              <w:jc w:val="right"/>
              <w:rPr>
                <w:sz w:val="16"/>
                <w:szCs w:val="16"/>
              </w:rPr>
            </w:pPr>
            <w:r w:rsidRPr="007064D8">
              <w:rPr>
                <w:sz w:val="16"/>
                <w:szCs w:val="16"/>
              </w:rPr>
              <w:t>$</w:t>
            </w:r>
            <w:r>
              <w:rPr>
                <w:sz w:val="16"/>
                <w:szCs w:val="16"/>
              </w:rPr>
              <w:t>253,100</w:t>
            </w:r>
          </w:p>
        </w:tc>
        <w:tc>
          <w:tcPr>
            <w:tcW w:w="848" w:type="dxa"/>
            <w:noWrap/>
            <w:hideMark/>
          </w:tcPr>
          <w:p w14:paraId="272C2E34" w14:textId="77777777" w:rsidR="00A60D4B" w:rsidRPr="007064D8" w:rsidRDefault="00A60D4B" w:rsidP="00A60D4B">
            <w:pPr>
              <w:jc w:val="right"/>
              <w:rPr>
                <w:sz w:val="16"/>
                <w:szCs w:val="16"/>
              </w:rPr>
            </w:pPr>
            <w:r w:rsidRPr="007064D8">
              <w:rPr>
                <w:sz w:val="16"/>
                <w:szCs w:val="16"/>
              </w:rPr>
              <w:t>$10,958</w:t>
            </w:r>
          </w:p>
        </w:tc>
        <w:tc>
          <w:tcPr>
            <w:tcW w:w="1077" w:type="dxa"/>
            <w:noWrap/>
            <w:hideMark/>
          </w:tcPr>
          <w:p w14:paraId="64F54440" w14:textId="77777777" w:rsidR="00A60D4B" w:rsidRPr="007064D8" w:rsidRDefault="00A60D4B" w:rsidP="00A60D4B">
            <w:pPr>
              <w:jc w:val="right"/>
              <w:rPr>
                <w:sz w:val="16"/>
                <w:szCs w:val="16"/>
              </w:rPr>
            </w:pPr>
            <w:r w:rsidRPr="007064D8">
              <w:rPr>
                <w:sz w:val="16"/>
                <w:szCs w:val="16"/>
              </w:rPr>
              <w:t>$150</w:t>
            </w:r>
          </w:p>
        </w:tc>
        <w:tc>
          <w:tcPr>
            <w:tcW w:w="1077" w:type="dxa"/>
            <w:noWrap/>
            <w:hideMark/>
          </w:tcPr>
          <w:p w14:paraId="30483068"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5C75C17F" w14:textId="77777777" w:rsidR="00A60D4B" w:rsidRPr="007064D8" w:rsidRDefault="00A60D4B" w:rsidP="00A60D4B">
            <w:pPr>
              <w:jc w:val="right"/>
              <w:rPr>
                <w:sz w:val="16"/>
                <w:szCs w:val="16"/>
              </w:rPr>
            </w:pPr>
            <w:r w:rsidRPr="007064D8">
              <w:rPr>
                <w:sz w:val="16"/>
                <w:szCs w:val="16"/>
              </w:rPr>
              <w:t>$0</w:t>
            </w:r>
          </w:p>
        </w:tc>
        <w:tc>
          <w:tcPr>
            <w:tcW w:w="850" w:type="dxa"/>
            <w:noWrap/>
            <w:hideMark/>
          </w:tcPr>
          <w:p w14:paraId="2C8D1C6D" w14:textId="77777777" w:rsidR="00A60D4B" w:rsidRPr="007064D8" w:rsidRDefault="00A60D4B" w:rsidP="00A60D4B">
            <w:pPr>
              <w:jc w:val="right"/>
              <w:rPr>
                <w:sz w:val="16"/>
                <w:szCs w:val="16"/>
              </w:rPr>
            </w:pPr>
            <w:r w:rsidRPr="007064D8">
              <w:rPr>
                <w:sz w:val="16"/>
                <w:szCs w:val="16"/>
              </w:rPr>
              <w:t>$1,020</w:t>
            </w:r>
          </w:p>
        </w:tc>
        <w:tc>
          <w:tcPr>
            <w:tcW w:w="964" w:type="dxa"/>
            <w:noWrap/>
            <w:hideMark/>
          </w:tcPr>
          <w:p w14:paraId="3C883BAB" w14:textId="77777777" w:rsidR="00A60D4B" w:rsidRPr="007064D8" w:rsidRDefault="00A60D4B" w:rsidP="00A60D4B">
            <w:pPr>
              <w:jc w:val="right"/>
              <w:rPr>
                <w:sz w:val="16"/>
                <w:szCs w:val="16"/>
              </w:rPr>
            </w:pPr>
            <w:r w:rsidRPr="007064D8">
              <w:rPr>
                <w:sz w:val="16"/>
                <w:szCs w:val="16"/>
              </w:rPr>
              <w:t>$0</w:t>
            </w:r>
          </w:p>
        </w:tc>
        <w:tc>
          <w:tcPr>
            <w:tcW w:w="709" w:type="dxa"/>
            <w:gridSpan w:val="2"/>
            <w:noWrap/>
            <w:hideMark/>
          </w:tcPr>
          <w:p w14:paraId="5165E031" w14:textId="77777777" w:rsidR="00A60D4B" w:rsidRPr="007064D8" w:rsidRDefault="00A60D4B" w:rsidP="00A60D4B">
            <w:pPr>
              <w:jc w:val="right"/>
              <w:rPr>
                <w:sz w:val="16"/>
                <w:szCs w:val="16"/>
              </w:rPr>
            </w:pPr>
            <w:r w:rsidRPr="007064D8">
              <w:rPr>
                <w:sz w:val="16"/>
                <w:szCs w:val="16"/>
              </w:rPr>
              <w:t>$766</w:t>
            </w:r>
          </w:p>
        </w:tc>
        <w:tc>
          <w:tcPr>
            <w:tcW w:w="992" w:type="dxa"/>
            <w:gridSpan w:val="2"/>
            <w:noWrap/>
            <w:hideMark/>
          </w:tcPr>
          <w:p w14:paraId="4C56A62B" w14:textId="77777777" w:rsidR="00A60D4B" w:rsidRPr="007064D8" w:rsidRDefault="00A60D4B" w:rsidP="00A60D4B">
            <w:pPr>
              <w:jc w:val="right"/>
              <w:rPr>
                <w:sz w:val="16"/>
                <w:szCs w:val="16"/>
              </w:rPr>
            </w:pPr>
            <w:r w:rsidRPr="007064D8">
              <w:rPr>
                <w:sz w:val="16"/>
                <w:szCs w:val="16"/>
              </w:rPr>
              <w:t>$0</w:t>
            </w:r>
          </w:p>
        </w:tc>
        <w:tc>
          <w:tcPr>
            <w:tcW w:w="851" w:type="dxa"/>
            <w:gridSpan w:val="2"/>
            <w:noWrap/>
            <w:hideMark/>
          </w:tcPr>
          <w:p w14:paraId="3331AED1" w14:textId="77777777" w:rsidR="00A60D4B" w:rsidRPr="007064D8" w:rsidRDefault="00A60D4B" w:rsidP="00A60D4B">
            <w:pPr>
              <w:jc w:val="right"/>
              <w:rPr>
                <w:sz w:val="16"/>
                <w:szCs w:val="16"/>
              </w:rPr>
            </w:pPr>
            <w:r w:rsidRPr="007064D8">
              <w:rPr>
                <w:sz w:val="16"/>
                <w:szCs w:val="16"/>
              </w:rPr>
              <w:t>$5,780</w:t>
            </w:r>
          </w:p>
        </w:tc>
        <w:tc>
          <w:tcPr>
            <w:tcW w:w="992" w:type="dxa"/>
            <w:gridSpan w:val="2"/>
            <w:noWrap/>
            <w:hideMark/>
          </w:tcPr>
          <w:p w14:paraId="140C50AF" w14:textId="77777777" w:rsidR="00A60D4B" w:rsidRPr="007064D8" w:rsidRDefault="00A60D4B" w:rsidP="00A60D4B">
            <w:pPr>
              <w:jc w:val="right"/>
              <w:rPr>
                <w:sz w:val="16"/>
                <w:szCs w:val="16"/>
              </w:rPr>
            </w:pPr>
            <w:r w:rsidRPr="007064D8">
              <w:rPr>
                <w:sz w:val="16"/>
                <w:szCs w:val="16"/>
              </w:rPr>
              <w:t>$0</w:t>
            </w:r>
          </w:p>
        </w:tc>
        <w:tc>
          <w:tcPr>
            <w:tcW w:w="964" w:type="dxa"/>
            <w:gridSpan w:val="2"/>
            <w:noWrap/>
            <w:hideMark/>
          </w:tcPr>
          <w:p w14:paraId="37800B5D" w14:textId="77777777" w:rsidR="00A60D4B" w:rsidRPr="007064D8" w:rsidRDefault="00A60D4B" w:rsidP="00A60D4B">
            <w:pPr>
              <w:jc w:val="right"/>
              <w:rPr>
                <w:sz w:val="16"/>
                <w:szCs w:val="16"/>
              </w:rPr>
            </w:pPr>
            <w:r w:rsidRPr="007064D8">
              <w:rPr>
                <w:sz w:val="16"/>
                <w:szCs w:val="16"/>
              </w:rPr>
              <w:t>$</w:t>
            </w:r>
            <w:r>
              <w:rPr>
                <w:sz w:val="16"/>
                <w:szCs w:val="16"/>
              </w:rPr>
              <w:t>234,726</w:t>
            </w:r>
          </w:p>
        </w:tc>
      </w:tr>
      <w:tr w:rsidR="00A60D4B" w:rsidRPr="007064D8" w14:paraId="3CB19F49" w14:textId="77777777" w:rsidTr="00A60D4B">
        <w:trPr>
          <w:gridAfter w:val="1"/>
          <w:wAfter w:w="28" w:type="dxa"/>
          <w:trHeight w:val="288"/>
        </w:trPr>
        <w:tc>
          <w:tcPr>
            <w:tcW w:w="410" w:type="dxa"/>
            <w:noWrap/>
            <w:hideMark/>
          </w:tcPr>
          <w:p w14:paraId="3B60D633" w14:textId="77777777" w:rsidR="00A60D4B" w:rsidRPr="007064D8" w:rsidRDefault="00A60D4B" w:rsidP="00A60D4B">
            <w:pPr>
              <w:rPr>
                <w:sz w:val="16"/>
                <w:szCs w:val="16"/>
              </w:rPr>
            </w:pPr>
            <w:r w:rsidRPr="007064D8">
              <w:rPr>
                <w:sz w:val="16"/>
                <w:szCs w:val="16"/>
              </w:rPr>
              <w:t> </w:t>
            </w:r>
          </w:p>
        </w:tc>
        <w:tc>
          <w:tcPr>
            <w:tcW w:w="2186" w:type="dxa"/>
            <w:noWrap/>
            <w:hideMark/>
          </w:tcPr>
          <w:p w14:paraId="0D062B96" w14:textId="77777777" w:rsidR="00A60D4B" w:rsidRPr="007064D8" w:rsidRDefault="00A60D4B" w:rsidP="00A60D4B">
            <w:pPr>
              <w:jc w:val="right"/>
              <w:rPr>
                <w:sz w:val="16"/>
                <w:szCs w:val="16"/>
              </w:rPr>
            </w:pPr>
            <w:r w:rsidRPr="007064D8">
              <w:rPr>
                <w:sz w:val="16"/>
                <w:szCs w:val="16"/>
              </w:rPr>
              <w:t>2021-22</w:t>
            </w:r>
          </w:p>
        </w:tc>
        <w:tc>
          <w:tcPr>
            <w:tcW w:w="946" w:type="dxa"/>
            <w:noWrap/>
            <w:hideMark/>
          </w:tcPr>
          <w:p w14:paraId="40C2D0CA" w14:textId="77777777" w:rsidR="00A60D4B" w:rsidRPr="007064D8" w:rsidRDefault="00A60D4B" w:rsidP="00A60D4B">
            <w:pPr>
              <w:jc w:val="right"/>
              <w:rPr>
                <w:sz w:val="16"/>
                <w:szCs w:val="16"/>
              </w:rPr>
            </w:pPr>
            <w:r w:rsidRPr="007064D8">
              <w:rPr>
                <w:sz w:val="16"/>
                <w:szCs w:val="16"/>
              </w:rPr>
              <w:t>$</w:t>
            </w:r>
            <w:r>
              <w:rPr>
                <w:sz w:val="16"/>
                <w:szCs w:val="16"/>
              </w:rPr>
              <w:t>257,600</w:t>
            </w:r>
          </w:p>
        </w:tc>
        <w:tc>
          <w:tcPr>
            <w:tcW w:w="848" w:type="dxa"/>
            <w:noWrap/>
            <w:hideMark/>
          </w:tcPr>
          <w:p w14:paraId="0CD0B12C" w14:textId="77777777" w:rsidR="00A60D4B" w:rsidRPr="007064D8" w:rsidRDefault="00A60D4B" w:rsidP="00A60D4B">
            <w:pPr>
              <w:jc w:val="right"/>
              <w:rPr>
                <w:sz w:val="16"/>
                <w:szCs w:val="16"/>
              </w:rPr>
            </w:pPr>
            <w:r w:rsidRPr="007064D8">
              <w:rPr>
                <w:sz w:val="16"/>
                <w:szCs w:val="16"/>
              </w:rPr>
              <w:t>$11,850</w:t>
            </w:r>
          </w:p>
        </w:tc>
        <w:tc>
          <w:tcPr>
            <w:tcW w:w="1077" w:type="dxa"/>
            <w:noWrap/>
            <w:hideMark/>
          </w:tcPr>
          <w:p w14:paraId="3D29AC04"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02B8F6CA" w14:textId="77777777" w:rsidR="00A60D4B" w:rsidRPr="007064D8" w:rsidRDefault="00A60D4B" w:rsidP="00A60D4B">
            <w:pPr>
              <w:jc w:val="right"/>
              <w:rPr>
                <w:sz w:val="16"/>
                <w:szCs w:val="16"/>
              </w:rPr>
            </w:pPr>
            <w:r w:rsidRPr="007064D8">
              <w:rPr>
                <w:sz w:val="16"/>
                <w:szCs w:val="16"/>
              </w:rPr>
              <w:t>$0</w:t>
            </w:r>
          </w:p>
        </w:tc>
        <w:tc>
          <w:tcPr>
            <w:tcW w:w="1077" w:type="dxa"/>
            <w:noWrap/>
            <w:hideMark/>
          </w:tcPr>
          <w:p w14:paraId="0CE054FD" w14:textId="77777777" w:rsidR="00A60D4B" w:rsidRPr="007064D8" w:rsidRDefault="00A60D4B" w:rsidP="00A60D4B">
            <w:pPr>
              <w:jc w:val="right"/>
              <w:rPr>
                <w:sz w:val="16"/>
                <w:szCs w:val="16"/>
              </w:rPr>
            </w:pPr>
            <w:r w:rsidRPr="007064D8">
              <w:rPr>
                <w:sz w:val="16"/>
                <w:szCs w:val="16"/>
              </w:rPr>
              <w:t>$0</w:t>
            </w:r>
          </w:p>
        </w:tc>
        <w:tc>
          <w:tcPr>
            <w:tcW w:w="850" w:type="dxa"/>
            <w:noWrap/>
            <w:hideMark/>
          </w:tcPr>
          <w:p w14:paraId="15292AD5" w14:textId="77777777" w:rsidR="00A60D4B" w:rsidRPr="007064D8" w:rsidRDefault="00A60D4B" w:rsidP="00A60D4B">
            <w:pPr>
              <w:jc w:val="right"/>
              <w:rPr>
                <w:sz w:val="16"/>
                <w:szCs w:val="16"/>
              </w:rPr>
            </w:pPr>
            <w:r w:rsidRPr="007064D8">
              <w:rPr>
                <w:sz w:val="16"/>
                <w:szCs w:val="16"/>
              </w:rPr>
              <w:t>$1,054</w:t>
            </w:r>
          </w:p>
        </w:tc>
        <w:tc>
          <w:tcPr>
            <w:tcW w:w="964" w:type="dxa"/>
            <w:noWrap/>
            <w:hideMark/>
          </w:tcPr>
          <w:p w14:paraId="675CEB55" w14:textId="77777777" w:rsidR="00A60D4B" w:rsidRPr="007064D8" w:rsidRDefault="00A60D4B" w:rsidP="00A60D4B">
            <w:pPr>
              <w:jc w:val="right"/>
              <w:rPr>
                <w:sz w:val="16"/>
                <w:szCs w:val="16"/>
              </w:rPr>
            </w:pPr>
            <w:r w:rsidRPr="007064D8">
              <w:rPr>
                <w:sz w:val="16"/>
                <w:szCs w:val="16"/>
              </w:rPr>
              <w:t>$0</w:t>
            </w:r>
          </w:p>
        </w:tc>
        <w:tc>
          <w:tcPr>
            <w:tcW w:w="709" w:type="dxa"/>
            <w:gridSpan w:val="2"/>
            <w:noWrap/>
            <w:hideMark/>
          </w:tcPr>
          <w:p w14:paraId="72BD1526" w14:textId="77777777" w:rsidR="00A60D4B" w:rsidRPr="007064D8" w:rsidRDefault="00A60D4B" w:rsidP="00A60D4B">
            <w:pPr>
              <w:jc w:val="right"/>
              <w:rPr>
                <w:sz w:val="16"/>
                <w:szCs w:val="16"/>
              </w:rPr>
            </w:pPr>
            <w:r w:rsidRPr="007064D8">
              <w:rPr>
                <w:sz w:val="16"/>
                <w:szCs w:val="16"/>
              </w:rPr>
              <w:t>$766</w:t>
            </w:r>
          </w:p>
        </w:tc>
        <w:tc>
          <w:tcPr>
            <w:tcW w:w="992" w:type="dxa"/>
            <w:gridSpan w:val="2"/>
            <w:noWrap/>
            <w:hideMark/>
          </w:tcPr>
          <w:p w14:paraId="5AE13F4D" w14:textId="77777777" w:rsidR="00A60D4B" w:rsidRPr="007064D8" w:rsidRDefault="00A60D4B" w:rsidP="00A60D4B">
            <w:pPr>
              <w:jc w:val="right"/>
              <w:rPr>
                <w:sz w:val="16"/>
                <w:szCs w:val="16"/>
              </w:rPr>
            </w:pPr>
            <w:r w:rsidRPr="007064D8">
              <w:rPr>
                <w:sz w:val="16"/>
                <w:szCs w:val="16"/>
              </w:rPr>
              <w:t>$0</w:t>
            </w:r>
          </w:p>
        </w:tc>
        <w:tc>
          <w:tcPr>
            <w:tcW w:w="851" w:type="dxa"/>
            <w:gridSpan w:val="2"/>
            <w:noWrap/>
            <w:hideMark/>
          </w:tcPr>
          <w:p w14:paraId="0E46476A" w14:textId="77777777" w:rsidR="00A60D4B" w:rsidRPr="007064D8" w:rsidRDefault="00A60D4B" w:rsidP="00A60D4B">
            <w:pPr>
              <w:jc w:val="right"/>
              <w:rPr>
                <w:sz w:val="16"/>
                <w:szCs w:val="16"/>
              </w:rPr>
            </w:pPr>
            <w:r w:rsidRPr="007064D8">
              <w:rPr>
                <w:sz w:val="16"/>
                <w:szCs w:val="16"/>
              </w:rPr>
              <w:t>$6,043</w:t>
            </w:r>
          </w:p>
        </w:tc>
        <w:tc>
          <w:tcPr>
            <w:tcW w:w="992" w:type="dxa"/>
            <w:gridSpan w:val="2"/>
            <w:noWrap/>
            <w:hideMark/>
          </w:tcPr>
          <w:p w14:paraId="392E6A33" w14:textId="77777777" w:rsidR="00A60D4B" w:rsidRPr="007064D8" w:rsidRDefault="00A60D4B" w:rsidP="00A60D4B">
            <w:pPr>
              <w:jc w:val="right"/>
              <w:rPr>
                <w:sz w:val="16"/>
                <w:szCs w:val="16"/>
              </w:rPr>
            </w:pPr>
            <w:r w:rsidRPr="007064D8">
              <w:rPr>
                <w:sz w:val="16"/>
                <w:szCs w:val="16"/>
              </w:rPr>
              <w:t>$0</w:t>
            </w:r>
          </w:p>
        </w:tc>
        <w:tc>
          <w:tcPr>
            <w:tcW w:w="964" w:type="dxa"/>
            <w:gridSpan w:val="2"/>
            <w:noWrap/>
            <w:hideMark/>
          </w:tcPr>
          <w:p w14:paraId="44AD0550" w14:textId="77777777" w:rsidR="00A60D4B" w:rsidRPr="007064D8" w:rsidRDefault="00A60D4B" w:rsidP="00A60D4B">
            <w:pPr>
              <w:jc w:val="right"/>
              <w:rPr>
                <w:sz w:val="16"/>
                <w:szCs w:val="16"/>
              </w:rPr>
            </w:pPr>
            <w:r w:rsidRPr="007064D8">
              <w:rPr>
                <w:sz w:val="16"/>
                <w:szCs w:val="16"/>
              </w:rPr>
              <w:t>$</w:t>
            </w:r>
            <w:r>
              <w:rPr>
                <w:sz w:val="16"/>
                <w:szCs w:val="16"/>
              </w:rPr>
              <w:t>237,888</w:t>
            </w:r>
          </w:p>
        </w:tc>
      </w:tr>
      <w:tr w:rsidR="00A60D4B" w:rsidRPr="007064D8" w14:paraId="2F620D9F" w14:textId="77777777" w:rsidTr="00A60D4B">
        <w:trPr>
          <w:gridAfter w:val="1"/>
          <w:wAfter w:w="28" w:type="dxa"/>
          <w:trHeight w:val="288"/>
        </w:trPr>
        <w:tc>
          <w:tcPr>
            <w:tcW w:w="410" w:type="dxa"/>
            <w:noWrap/>
            <w:hideMark/>
          </w:tcPr>
          <w:p w14:paraId="05388977" w14:textId="77777777" w:rsidR="00A60D4B" w:rsidRPr="007064D8" w:rsidRDefault="00A60D4B" w:rsidP="00A60D4B">
            <w:pPr>
              <w:rPr>
                <w:sz w:val="16"/>
                <w:szCs w:val="16"/>
              </w:rPr>
            </w:pPr>
            <w:r w:rsidRPr="007064D8">
              <w:rPr>
                <w:sz w:val="16"/>
                <w:szCs w:val="16"/>
              </w:rPr>
              <w:t> </w:t>
            </w:r>
          </w:p>
        </w:tc>
        <w:tc>
          <w:tcPr>
            <w:tcW w:w="2186" w:type="dxa"/>
            <w:noWrap/>
            <w:hideMark/>
          </w:tcPr>
          <w:p w14:paraId="64FE5AD1" w14:textId="77777777" w:rsidR="00A60D4B" w:rsidRPr="007064D8" w:rsidRDefault="00A60D4B" w:rsidP="00A60D4B">
            <w:pPr>
              <w:rPr>
                <w:sz w:val="16"/>
                <w:szCs w:val="16"/>
              </w:rPr>
            </w:pPr>
            <w:r w:rsidRPr="007064D8">
              <w:rPr>
                <w:sz w:val="16"/>
                <w:szCs w:val="16"/>
              </w:rPr>
              <w:t> </w:t>
            </w:r>
          </w:p>
        </w:tc>
        <w:tc>
          <w:tcPr>
            <w:tcW w:w="946" w:type="dxa"/>
            <w:noWrap/>
            <w:hideMark/>
          </w:tcPr>
          <w:p w14:paraId="0CEEF3CC" w14:textId="77777777" w:rsidR="00A60D4B" w:rsidRPr="007064D8" w:rsidRDefault="00A60D4B" w:rsidP="00A60D4B">
            <w:pPr>
              <w:jc w:val="right"/>
              <w:rPr>
                <w:sz w:val="16"/>
                <w:szCs w:val="16"/>
              </w:rPr>
            </w:pPr>
            <w:r w:rsidRPr="007064D8">
              <w:rPr>
                <w:sz w:val="16"/>
                <w:szCs w:val="16"/>
              </w:rPr>
              <w:t> </w:t>
            </w:r>
          </w:p>
        </w:tc>
        <w:tc>
          <w:tcPr>
            <w:tcW w:w="848" w:type="dxa"/>
            <w:noWrap/>
            <w:hideMark/>
          </w:tcPr>
          <w:p w14:paraId="460B93DA" w14:textId="77777777" w:rsidR="00A60D4B" w:rsidRPr="007064D8" w:rsidRDefault="00A60D4B" w:rsidP="00A60D4B">
            <w:pPr>
              <w:jc w:val="right"/>
              <w:rPr>
                <w:sz w:val="16"/>
                <w:szCs w:val="16"/>
              </w:rPr>
            </w:pPr>
            <w:r w:rsidRPr="007064D8">
              <w:rPr>
                <w:sz w:val="16"/>
                <w:szCs w:val="16"/>
              </w:rPr>
              <w:t> </w:t>
            </w:r>
          </w:p>
        </w:tc>
        <w:tc>
          <w:tcPr>
            <w:tcW w:w="1077" w:type="dxa"/>
            <w:noWrap/>
            <w:hideMark/>
          </w:tcPr>
          <w:p w14:paraId="4533FB9F" w14:textId="77777777" w:rsidR="00A60D4B" w:rsidRPr="007064D8" w:rsidRDefault="00A60D4B" w:rsidP="00A60D4B">
            <w:pPr>
              <w:jc w:val="right"/>
              <w:rPr>
                <w:sz w:val="16"/>
                <w:szCs w:val="16"/>
              </w:rPr>
            </w:pPr>
            <w:r w:rsidRPr="007064D8">
              <w:rPr>
                <w:sz w:val="16"/>
                <w:szCs w:val="16"/>
              </w:rPr>
              <w:t> </w:t>
            </w:r>
          </w:p>
        </w:tc>
        <w:tc>
          <w:tcPr>
            <w:tcW w:w="1077" w:type="dxa"/>
            <w:noWrap/>
            <w:hideMark/>
          </w:tcPr>
          <w:p w14:paraId="7648CC0A" w14:textId="77777777" w:rsidR="00A60D4B" w:rsidRPr="007064D8" w:rsidRDefault="00A60D4B" w:rsidP="00A60D4B">
            <w:pPr>
              <w:jc w:val="right"/>
              <w:rPr>
                <w:sz w:val="16"/>
                <w:szCs w:val="16"/>
              </w:rPr>
            </w:pPr>
            <w:r w:rsidRPr="007064D8">
              <w:rPr>
                <w:sz w:val="16"/>
                <w:szCs w:val="16"/>
              </w:rPr>
              <w:t> </w:t>
            </w:r>
          </w:p>
        </w:tc>
        <w:tc>
          <w:tcPr>
            <w:tcW w:w="1077" w:type="dxa"/>
            <w:noWrap/>
            <w:hideMark/>
          </w:tcPr>
          <w:p w14:paraId="61C88E32" w14:textId="77777777" w:rsidR="00A60D4B" w:rsidRPr="007064D8" w:rsidRDefault="00A60D4B" w:rsidP="00A60D4B">
            <w:pPr>
              <w:jc w:val="right"/>
              <w:rPr>
                <w:sz w:val="16"/>
                <w:szCs w:val="16"/>
              </w:rPr>
            </w:pPr>
            <w:r w:rsidRPr="007064D8">
              <w:rPr>
                <w:sz w:val="16"/>
                <w:szCs w:val="16"/>
              </w:rPr>
              <w:t> </w:t>
            </w:r>
          </w:p>
        </w:tc>
        <w:tc>
          <w:tcPr>
            <w:tcW w:w="850" w:type="dxa"/>
            <w:noWrap/>
            <w:hideMark/>
          </w:tcPr>
          <w:p w14:paraId="66040A06" w14:textId="77777777" w:rsidR="00A60D4B" w:rsidRPr="007064D8" w:rsidRDefault="00A60D4B" w:rsidP="00A60D4B">
            <w:pPr>
              <w:jc w:val="right"/>
              <w:rPr>
                <w:sz w:val="16"/>
                <w:szCs w:val="16"/>
              </w:rPr>
            </w:pPr>
            <w:r w:rsidRPr="007064D8">
              <w:rPr>
                <w:sz w:val="16"/>
                <w:szCs w:val="16"/>
              </w:rPr>
              <w:t> </w:t>
            </w:r>
          </w:p>
        </w:tc>
        <w:tc>
          <w:tcPr>
            <w:tcW w:w="964" w:type="dxa"/>
            <w:noWrap/>
            <w:hideMark/>
          </w:tcPr>
          <w:p w14:paraId="44017DAB" w14:textId="77777777" w:rsidR="00A60D4B" w:rsidRPr="007064D8" w:rsidRDefault="00A60D4B" w:rsidP="00A60D4B">
            <w:pPr>
              <w:jc w:val="right"/>
              <w:rPr>
                <w:sz w:val="16"/>
                <w:szCs w:val="16"/>
              </w:rPr>
            </w:pPr>
            <w:r w:rsidRPr="007064D8">
              <w:rPr>
                <w:sz w:val="16"/>
                <w:szCs w:val="16"/>
              </w:rPr>
              <w:t> </w:t>
            </w:r>
          </w:p>
        </w:tc>
        <w:tc>
          <w:tcPr>
            <w:tcW w:w="709" w:type="dxa"/>
            <w:gridSpan w:val="2"/>
            <w:noWrap/>
            <w:hideMark/>
          </w:tcPr>
          <w:p w14:paraId="083EDBC5" w14:textId="77777777" w:rsidR="00A60D4B" w:rsidRPr="007064D8" w:rsidRDefault="00A60D4B" w:rsidP="00A60D4B">
            <w:pPr>
              <w:jc w:val="right"/>
              <w:rPr>
                <w:sz w:val="16"/>
                <w:szCs w:val="16"/>
              </w:rPr>
            </w:pPr>
            <w:r w:rsidRPr="007064D8">
              <w:rPr>
                <w:sz w:val="16"/>
                <w:szCs w:val="16"/>
              </w:rPr>
              <w:t> </w:t>
            </w:r>
          </w:p>
        </w:tc>
        <w:tc>
          <w:tcPr>
            <w:tcW w:w="992" w:type="dxa"/>
            <w:gridSpan w:val="2"/>
            <w:noWrap/>
            <w:hideMark/>
          </w:tcPr>
          <w:p w14:paraId="6E81D574" w14:textId="77777777" w:rsidR="00A60D4B" w:rsidRPr="007064D8" w:rsidRDefault="00A60D4B" w:rsidP="00A60D4B">
            <w:pPr>
              <w:jc w:val="right"/>
              <w:rPr>
                <w:sz w:val="16"/>
                <w:szCs w:val="16"/>
              </w:rPr>
            </w:pPr>
            <w:r w:rsidRPr="007064D8">
              <w:rPr>
                <w:sz w:val="16"/>
                <w:szCs w:val="16"/>
              </w:rPr>
              <w:t> </w:t>
            </w:r>
          </w:p>
        </w:tc>
        <w:tc>
          <w:tcPr>
            <w:tcW w:w="851" w:type="dxa"/>
            <w:gridSpan w:val="2"/>
            <w:noWrap/>
            <w:hideMark/>
          </w:tcPr>
          <w:p w14:paraId="05E6A886" w14:textId="77777777" w:rsidR="00A60D4B" w:rsidRPr="007064D8" w:rsidRDefault="00A60D4B" w:rsidP="00A60D4B">
            <w:pPr>
              <w:jc w:val="right"/>
              <w:rPr>
                <w:sz w:val="16"/>
                <w:szCs w:val="16"/>
              </w:rPr>
            </w:pPr>
            <w:r w:rsidRPr="007064D8">
              <w:rPr>
                <w:sz w:val="16"/>
                <w:szCs w:val="16"/>
              </w:rPr>
              <w:t> </w:t>
            </w:r>
          </w:p>
        </w:tc>
        <w:tc>
          <w:tcPr>
            <w:tcW w:w="992" w:type="dxa"/>
            <w:gridSpan w:val="2"/>
            <w:noWrap/>
            <w:hideMark/>
          </w:tcPr>
          <w:p w14:paraId="7CDBC703" w14:textId="77777777" w:rsidR="00A60D4B" w:rsidRPr="007064D8" w:rsidRDefault="00A60D4B" w:rsidP="00A60D4B">
            <w:pPr>
              <w:jc w:val="right"/>
              <w:rPr>
                <w:sz w:val="16"/>
                <w:szCs w:val="16"/>
              </w:rPr>
            </w:pPr>
            <w:r w:rsidRPr="007064D8">
              <w:rPr>
                <w:sz w:val="16"/>
                <w:szCs w:val="16"/>
              </w:rPr>
              <w:t xml:space="preserve"> Change </w:t>
            </w:r>
          </w:p>
        </w:tc>
        <w:tc>
          <w:tcPr>
            <w:tcW w:w="964" w:type="dxa"/>
            <w:gridSpan w:val="2"/>
            <w:noWrap/>
            <w:hideMark/>
          </w:tcPr>
          <w:p w14:paraId="166EAFFC" w14:textId="77777777" w:rsidR="00A60D4B" w:rsidRPr="007064D8" w:rsidRDefault="00A60D4B" w:rsidP="00A60D4B">
            <w:pPr>
              <w:jc w:val="right"/>
              <w:rPr>
                <w:sz w:val="16"/>
                <w:szCs w:val="16"/>
              </w:rPr>
            </w:pPr>
            <w:r>
              <w:rPr>
                <w:sz w:val="16"/>
                <w:szCs w:val="16"/>
              </w:rPr>
              <w:t>$3,162</w:t>
            </w:r>
          </w:p>
        </w:tc>
      </w:tr>
    </w:tbl>
    <w:p w14:paraId="5FB153A4" w14:textId="77777777" w:rsidR="00A60D4B" w:rsidRPr="00F73CEE" w:rsidRDefault="00A60D4B" w:rsidP="00A60D4B">
      <w:pPr>
        <w:spacing w:before="120" w:after="0"/>
        <w:rPr>
          <w:b/>
          <w:bCs/>
          <w:sz w:val="18"/>
          <w:szCs w:val="18"/>
        </w:rPr>
      </w:pPr>
      <w:r w:rsidRPr="00F73CEE">
        <w:rPr>
          <w:b/>
          <w:bCs/>
          <w:sz w:val="18"/>
          <w:szCs w:val="18"/>
        </w:rPr>
        <w:t>Notes:</w:t>
      </w:r>
    </w:p>
    <w:p w14:paraId="30E2B456" w14:textId="77777777" w:rsidR="00A60D4B" w:rsidRPr="00F73CEE" w:rsidRDefault="00A60D4B" w:rsidP="00A60D4B">
      <w:pPr>
        <w:pStyle w:val="FootnoteText"/>
        <w:numPr>
          <w:ilvl w:val="0"/>
          <w:numId w:val="39"/>
        </w:numPr>
        <w:rPr>
          <w:sz w:val="18"/>
          <w:szCs w:val="18"/>
        </w:rPr>
      </w:pPr>
      <w:r w:rsidRPr="00F73CEE">
        <w:rPr>
          <w:sz w:val="18"/>
          <w:szCs w:val="18"/>
        </w:rPr>
        <w:t xml:space="preserve">Disposable income is gross income minus income tax, Medicare levy and Medicare levy surcharge where applicable. </w:t>
      </w:r>
    </w:p>
    <w:p w14:paraId="042D2774" w14:textId="77777777" w:rsidR="00A60D4B" w:rsidRPr="00F73CEE" w:rsidRDefault="00A60D4B" w:rsidP="00A60D4B">
      <w:pPr>
        <w:pStyle w:val="FootnoteText"/>
        <w:numPr>
          <w:ilvl w:val="0"/>
          <w:numId w:val="39"/>
        </w:numPr>
        <w:rPr>
          <w:sz w:val="18"/>
          <w:szCs w:val="18"/>
        </w:rPr>
      </w:pPr>
      <w:r w:rsidRPr="00F73CEE">
        <w:rPr>
          <w:sz w:val="18"/>
          <w:szCs w:val="18"/>
        </w:rPr>
        <w:t>Conveyance duty calculations are based on median unit prices in Bruce and Turner as at August 2021.</w:t>
      </w:r>
    </w:p>
    <w:p w14:paraId="534F494F" w14:textId="77777777" w:rsidR="00A60D4B" w:rsidRPr="00F73CEE" w:rsidRDefault="00A60D4B" w:rsidP="00A60D4B">
      <w:pPr>
        <w:pStyle w:val="FootnoteText"/>
        <w:numPr>
          <w:ilvl w:val="0"/>
          <w:numId w:val="39"/>
        </w:numPr>
        <w:rPr>
          <w:sz w:val="18"/>
          <w:szCs w:val="18"/>
        </w:rPr>
      </w:pPr>
      <w:r w:rsidRPr="00F73CEE">
        <w:rPr>
          <w:sz w:val="18"/>
          <w:szCs w:val="18"/>
        </w:rPr>
        <w:t xml:space="preserve">Vehicle charges include registration fees, the road rescue fee, the lifetime care and support levy and licence fees. </w:t>
      </w:r>
    </w:p>
    <w:p w14:paraId="23BC3012" w14:textId="77777777" w:rsidR="00A60D4B" w:rsidRPr="00F73CEE" w:rsidRDefault="00A60D4B" w:rsidP="00A60D4B">
      <w:pPr>
        <w:pStyle w:val="FootnoteText"/>
        <w:numPr>
          <w:ilvl w:val="0"/>
          <w:numId w:val="39"/>
        </w:numPr>
        <w:rPr>
          <w:sz w:val="18"/>
          <w:szCs w:val="18"/>
        </w:rPr>
      </w:pPr>
      <w:r w:rsidRPr="00F73CEE">
        <w:rPr>
          <w:sz w:val="18"/>
          <w:szCs w:val="18"/>
        </w:rPr>
        <w:t xml:space="preserve">Income from pension refers to Basic Age Pension only and excludes other benefits. </w:t>
      </w:r>
    </w:p>
    <w:p w14:paraId="058CEA40" w14:textId="77777777" w:rsidR="00A60D4B" w:rsidRPr="00F73CEE" w:rsidRDefault="00A60D4B" w:rsidP="00A60D4B">
      <w:pPr>
        <w:pStyle w:val="FootnoteText"/>
        <w:numPr>
          <w:ilvl w:val="0"/>
          <w:numId w:val="39"/>
        </w:numPr>
        <w:rPr>
          <w:sz w:val="18"/>
          <w:szCs w:val="18"/>
        </w:rPr>
      </w:pPr>
      <w:r w:rsidRPr="00F73CEE">
        <w:rPr>
          <w:sz w:val="18"/>
          <w:szCs w:val="18"/>
        </w:rPr>
        <w:t xml:space="preserve">Disposable income for non-retirees is based on data from the ABS Survey of Income and Housing 2017-18. </w:t>
      </w:r>
    </w:p>
    <w:p w14:paraId="0A034636" w14:textId="77777777" w:rsidR="00A60D4B" w:rsidRPr="00F73CEE" w:rsidRDefault="00A60D4B" w:rsidP="00A60D4B">
      <w:pPr>
        <w:pStyle w:val="FootnoteText"/>
        <w:numPr>
          <w:ilvl w:val="0"/>
          <w:numId w:val="39"/>
        </w:numPr>
        <w:rPr>
          <w:sz w:val="18"/>
          <w:szCs w:val="18"/>
        </w:rPr>
        <w:sectPr w:rsidR="00A60D4B" w:rsidRPr="00F73CEE" w:rsidSect="00A60D4B">
          <w:headerReference w:type="default" r:id="rId136"/>
          <w:footerReference w:type="default" r:id="rId137"/>
          <w:pgSz w:w="16838" w:h="11906" w:orient="landscape" w:code="9"/>
          <w:pgMar w:top="1440" w:right="1151" w:bottom="907" w:left="1729" w:header="720" w:footer="737" w:gutter="0"/>
          <w:cols w:space="708"/>
          <w:docGrid w:linePitch="360"/>
        </w:sectPr>
      </w:pPr>
      <w:r w:rsidRPr="00F73CEE">
        <w:rPr>
          <w:sz w:val="18"/>
          <w:szCs w:val="18"/>
        </w:rPr>
        <w:t>Non-pension income for retirees is assumed to be above the Age Pension income eligibility threshold.</w:t>
      </w:r>
    </w:p>
    <w:p w14:paraId="3AA9387F" w14:textId="77777777" w:rsidR="00A60D4B" w:rsidRDefault="00A60D4B" w:rsidP="00A60D4B">
      <w:pPr>
        <w:sectPr w:rsidR="00A60D4B" w:rsidSect="00A60D4B">
          <w:headerReference w:type="default" r:id="rId138"/>
          <w:footerReference w:type="default" r:id="rId139"/>
          <w:pgSz w:w="11906" w:h="16838" w:code="9"/>
          <w:pgMar w:top="1151" w:right="1440" w:bottom="1729" w:left="1440" w:header="720" w:footer="720" w:gutter="0"/>
          <w:cols w:space="708"/>
          <w:docGrid w:linePitch="360"/>
        </w:sectPr>
      </w:pPr>
    </w:p>
    <w:p w14:paraId="08E9206E" w14:textId="77777777" w:rsidR="00A60D4B" w:rsidRPr="00930757" w:rsidRDefault="00A60D4B" w:rsidP="00A60D4B">
      <w:pPr>
        <w:pStyle w:val="Heading2"/>
        <w:numPr>
          <w:ilvl w:val="1"/>
          <w:numId w:val="4"/>
        </w:numPr>
      </w:pPr>
      <w:bookmarkStart w:id="68" w:name="_Toc84290989"/>
      <w:r>
        <w:lastRenderedPageBreak/>
        <w:t>Expenses</w:t>
      </w:r>
      <w:bookmarkEnd w:id="68"/>
    </w:p>
    <w:p w14:paraId="728DC997" w14:textId="77777777" w:rsidR="00A60D4B" w:rsidRDefault="00A60D4B" w:rsidP="00930757">
      <w:pPr>
        <w:pStyle w:val="Heading3"/>
      </w:pPr>
      <w:r>
        <w:t>Our priorities</w:t>
      </w:r>
    </w:p>
    <w:p w14:paraId="447B9772" w14:textId="77777777" w:rsidR="00A60D4B" w:rsidRDefault="00A60D4B" w:rsidP="00A60D4B">
      <w:pPr>
        <w:pStyle w:val="Bbodytext"/>
      </w:pPr>
      <w:r>
        <w:t xml:space="preserve">The 2021-22 Budget continues the ACT Government’s support for Canberrans during the COVID-19 pandemic. </w:t>
      </w:r>
      <w:r w:rsidRPr="00B70DE1">
        <w:t xml:space="preserve">We </w:t>
      </w:r>
      <w:r>
        <w:t>are making</w:t>
      </w:r>
      <w:r w:rsidRPr="00B70DE1">
        <w:t xml:space="preserve"> record investments in our health systems</w:t>
      </w:r>
      <w:r w:rsidRPr="00C76F5C">
        <w:t xml:space="preserve"> </w:t>
      </w:r>
      <w:r>
        <w:t>to ensure we are keeping Canberrans safe, providing business support</w:t>
      </w:r>
      <w:r w:rsidRPr="00C76F5C">
        <w:t xml:space="preserve"> </w:t>
      </w:r>
      <w:r>
        <w:t xml:space="preserve">to keep our economy moving and protect jobs and ensure we are in a position to recover quickly, and for those who have unfortunately lost work or seen a significant reduction in working hours, we are providing avenues to learn new skills to assist re-entry into the jobs market when the recovery takes hold. </w:t>
      </w:r>
    </w:p>
    <w:p w14:paraId="546DD857" w14:textId="77777777" w:rsidR="00A60D4B" w:rsidRPr="00BB7377" w:rsidRDefault="00A60D4B" w:rsidP="00A60D4B">
      <w:pPr>
        <w:pStyle w:val="Bbodytext"/>
      </w:pPr>
      <w:r w:rsidRPr="00BB7377">
        <w:t xml:space="preserve">We are delivering </w:t>
      </w:r>
      <w:r>
        <w:t>our largest ever</w:t>
      </w:r>
      <w:r w:rsidRPr="00BB7377">
        <w:t xml:space="preserve"> infrastructure investment program to support employment in our construction sector and deliver long-term, productivity boosting assets across a range of </w:t>
      </w:r>
      <w:r>
        <w:t>areas – new schools, urban development projects, health assets, and investment in public service delivery</w:t>
      </w:r>
      <w:r w:rsidRPr="00BB7377">
        <w:t xml:space="preserve">. </w:t>
      </w:r>
      <w:r>
        <w:t xml:space="preserve">We are continuing to prioritise climate action by providing incentives for the take up of zero emissions vehicles and zero interest loans </w:t>
      </w:r>
      <w:r w:rsidRPr="004915B2">
        <w:t xml:space="preserve">to assist </w:t>
      </w:r>
      <w:r>
        <w:t xml:space="preserve">households and not-for-profit organisations </w:t>
      </w:r>
      <w:r w:rsidRPr="004915B2">
        <w:t>with</w:t>
      </w:r>
      <w:r>
        <w:t xml:space="preserve"> the</w:t>
      </w:r>
      <w:r w:rsidRPr="004915B2">
        <w:t xml:space="preserve"> upfront costs of investing in</w:t>
      </w:r>
      <w:r>
        <w:t xml:space="preserve"> measures to reduce their carbon footprin</w:t>
      </w:r>
      <w:r w:rsidRPr="00ED5F97">
        <w:t>t</w:t>
      </w:r>
      <w:r>
        <w:t>, as well as further protecting our environment for future generations including through growing our urban forest.</w:t>
      </w:r>
    </w:p>
    <w:p w14:paraId="151158FA" w14:textId="77777777" w:rsidR="00A60D4B" w:rsidRPr="00A242A0" w:rsidRDefault="00A60D4B" w:rsidP="00A60D4B">
      <w:pPr>
        <w:pStyle w:val="Bbodytext"/>
      </w:pPr>
      <w:r>
        <w:t>We are facing increased</w:t>
      </w:r>
      <w:r w:rsidRPr="00A242A0">
        <w:t xml:space="preserve"> costs associated with </w:t>
      </w:r>
      <w:r>
        <w:t xml:space="preserve">meeting the public </w:t>
      </w:r>
      <w:r w:rsidRPr="00A242A0">
        <w:t>health</w:t>
      </w:r>
      <w:r>
        <w:t xml:space="preserve"> challenge and providing</w:t>
      </w:r>
      <w:r w:rsidRPr="00A242A0">
        <w:t xml:space="preserve"> economic and financial supports </w:t>
      </w:r>
      <w:r>
        <w:t>as well as seeing</w:t>
      </w:r>
      <w:r w:rsidRPr="00A242A0">
        <w:t xml:space="preserve"> reductions in own</w:t>
      </w:r>
      <w:r>
        <w:noBreakHyphen/>
      </w:r>
      <w:r w:rsidRPr="00A242A0">
        <w:t>source revenue</w:t>
      </w:r>
      <w:r>
        <w:t>, through</w:t>
      </w:r>
      <w:r w:rsidRPr="00A242A0">
        <w:t xml:space="preserve"> </w:t>
      </w:r>
      <w:r>
        <w:t>both the impact of COVID on our economy and the temporary</w:t>
      </w:r>
      <w:r w:rsidRPr="00A242A0">
        <w:t xml:space="preserve"> tax concession</w:t>
      </w:r>
      <w:r>
        <w:t>s</w:t>
      </w:r>
      <w:r w:rsidRPr="00A242A0">
        <w:t xml:space="preserve"> </w:t>
      </w:r>
      <w:r>
        <w:t xml:space="preserve">needed </w:t>
      </w:r>
      <w:r w:rsidRPr="00A242A0">
        <w:t xml:space="preserve">to support businesses and households. Given the protection of our community </w:t>
      </w:r>
      <w:r>
        <w:t xml:space="preserve">now and securing our recovery from the economic and social impacts of the pandemic </w:t>
      </w:r>
      <w:r w:rsidRPr="00A242A0">
        <w:t>remains paramount, the task of budget repair will commence once pandemic conditions have substantially eased and our economic recovery has fully taken hold.</w:t>
      </w:r>
    </w:p>
    <w:p w14:paraId="558F1A5A" w14:textId="77777777" w:rsidR="00A60D4B" w:rsidRPr="00A242A0" w:rsidRDefault="00A60D4B" w:rsidP="00A60D4B">
      <w:pPr>
        <w:pStyle w:val="Bbodytext"/>
      </w:pPr>
      <w:r w:rsidRPr="00A242A0">
        <w:t xml:space="preserve">General Government Sector expenses are </w:t>
      </w:r>
      <w:r w:rsidRPr="00307AFE">
        <w:t>forecast to be $7.</w:t>
      </w:r>
      <w:r>
        <w:t>8</w:t>
      </w:r>
      <w:r w:rsidRPr="00307AFE">
        <w:t xml:space="preserve"> billion in 2021-22, </w:t>
      </w:r>
      <w:r>
        <w:t>or</w:t>
      </w:r>
      <w:r w:rsidRPr="00307AFE">
        <w:t xml:space="preserve"> 17</w:t>
      </w:r>
      <w:r>
        <w:t> </w:t>
      </w:r>
      <w:r w:rsidRPr="00307AFE">
        <w:t>per</w:t>
      </w:r>
      <w:r>
        <w:t> </w:t>
      </w:r>
      <w:r w:rsidRPr="00307AFE">
        <w:t xml:space="preserve">cent of </w:t>
      </w:r>
      <w:r>
        <w:t>GSP</w:t>
      </w:r>
      <w:r w:rsidRPr="00307AFE">
        <w:t xml:space="preserve">. </w:t>
      </w:r>
      <w:r>
        <w:t>Following the increase in 2021-22, reflecting the Government’s COVID</w:t>
      </w:r>
      <w:r>
        <w:noBreakHyphen/>
        <w:t xml:space="preserve">19 response, expenses are expected to grow at an average annual rate of 2.4 per cent from 2022-23 to 2024-25, primarily reflecting increased funding for health, education and general public services. </w:t>
      </w:r>
    </w:p>
    <w:p w14:paraId="6DF2DCFD" w14:textId="77777777" w:rsidR="00A60D4B" w:rsidRDefault="00A60D4B" w:rsidP="00A60D4B">
      <w:r>
        <w:br w:type="page"/>
      </w:r>
    </w:p>
    <w:p w14:paraId="4BCF11AA" w14:textId="12601948" w:rsidR="00A60D4B" w:rsidRPr="00B3533B" w:rsidRDefault="00A60D4B" w:rsidP="00A60D4B">
      <w:pPr>
        <w:pStyle w:val="Heading4"/>
      </w:pPr>
      <w:r w:rsidRPr="00B3533B">
        <w:lastRenderedPageBreak/>
        <w:t xml:space="preserve">Expenses and </w:t>
      </w:r>
      <w:r w:rsidR="00B86042">
        <w:t>f</w:t>
      </w:r>
      <w:r w:rsidRPr="00B3533B">
        <w:t xml:space="preserve">orward </w:t>
      </w:r>
      <w:r w:rsidR="00B86042">
        <w:t>e</w:t>
      </w:r>
      <w:r w:rsidRPr="00B3533B">
        <w:t>stimates</w:t>
      </w:r>
    </w:p>
    <w:p w14:paraId="61E59580" w14:textId="77777777" w:rsidR="00A60D4B" w:rsidRPr="00335DC1" w:rsidRDefault="00A60D4B" w:rsidP="00A60D4B">
      <w:pPr>
        <w:pStyle w:val="Bbodytext"/>
      </w:pPr>
      <w:r w:rsidRPr="00335DC1">
        <w:t xml:space="preserve">Figure 3.4.1 shows General </w:t>
      </w:r>
      <w:r w:rsidRPr="0040165E">
        <w:t xml:space="preserve">Government Sector expenses as a percentage of </w:t>
      </w:r>
      <w:r>
        <w:t>GSP</w:t>
      </w:r>
      <w:r w:rsidRPr="0040165E">
        <w:t xml:space="preserve"> over a 10</w:t>
      </w:r>
      <w:r>
        <w:noBreakHyphen/>
      </w:r>
      <w:r w:rsidRPr="0040165E">
        <w:t>year period.</w:t>
      </w:r>
      <w:r>
        <w:t xml:space="preserve"> </w:t>
      </w:r>
      <w:r w:rsidRPr="0040165E">
        <w:rPr>
          <w:shd w:val="clear" w:color="auto" w:fill="FFFFFF" w:themeFill="background1"/>
        </w:rPr>
        <w:t xml:space="preserve">The </w:t>
      </w:r>
      <w:r>
        <w:rPr>
          <w:shd w:val="clear" w:color="auto" w:fill="FFFFFF" w:themeFill="background1"/>
        </w:rPr>
        <w:t>peak in</w:t>
      </w:r>
      <w:r w:rsidRPr="0040165E">
        <w:rPr>
          <w:shd w:val="clear" w:color="auto" w:fill="FFFFFF" w:themeFill="background1"/>
        </w:rPr>
        <w:t xml:space="preserve"> 2021</w:t>
      </w:r>
      <w:r w:rsidRPr="0040165E">
        <w:rPr>
          <w:shd w:val="clear" w:color="auto" w:fill="FFFFFF" w:themeFill="background1"/>
        </w:rPr>
        <w:noBreakHyphen/>
        <w:t xml:space="preserve">22 </w:t>
      </w:r>
      <w:r>
        <w:rPr>
          <w:shd w:val="clear" w:color="auto" w:fill="FFFFFF" w:themeFill="background1"/>
        </w:rPr>
        <w:t xml:space="preserve">reflects </w:t>
      </w:r>
      <w:r w:rsidRPr="0040165E">
        <w:rPr>
          <w:shd w:val="clear" w:color="auto" w:fill="FFFFFF" w:themeFill="background1"/>
        </w:rPr>
        <w:t xml:space="preserve">additional support provided to the ACT community </w:t>
      </w:r>
      <w:r>
        <w:rPr>
          <w:shd w:val="clear" w:color="auto" w:fill="FFFFFF" w:themeFill="background1"/>
        </w:rPr>
        <w:t xml:space="preserve">and business </w:t>
      </w:r>
      <w:r w:rsidRPr="0040165E">
        <w:rPr>
          <w:shd w:val="clear" w:color="auto" w:fill="FFFFFF" w:themeFill="background1"/>
        </w:rPr>
        <w:t>during the COVID</w:t>
      </w:r>
      <w:r>
        <w:rPr>
          <w:shd w:val="clear" w:color="auto" w:fill="FFFFFF" w:themeFill="background1"/>
        </w:rPr>
        <w:noBreakHyphen/>
      </w:r>
      <w:r w:rsidRPr="0040165E">
        <w:rPr>
          <w:shd w:val="clear" w:color="auto" w:fill="FFFFFF" w:themeFill="background1"/>
        </w:rPr>
        <w:t>19 pandemic</w:t>
      </w:r>
      <w:r>
        <w:rPr>
          <w:shd w:val="clear" w:color="auto" w:fill="FFFFFF" w:themeFill="background1"/>
        </w:rPr>
        <w:t>, reducing significantly in 2022-23 before progressively declining further out to 2024-25</w:t>
      </w:r>
      <w:r w:rsidRPr="0040165E">
        <w:rPr>
          <w:shd w:val="clear" w:color="auto" w:fill="FFFFFF" w:themeFill="background1"/>
        </w:rPr>
        <w:t>.</w:t>
      </w:r>
    </w:p>
    <w:p w14:paraId="3FA53B2C" w14:textId="35096175" w:rsidR="00A60D4B" w:rsidRDefault="00A60D4B" w:rsidP="00A60D4B">
      <w:pPr>
        <w:pStyle w:val="Caption"/>
      </w:pPr>
      <w:bookmarkStart w:id="69" w:name="_Hlk79605674"/>
      <w:r>
        <w:t>Figure 3.4.</w:t>
      </w:r>
      <w:r w:rsidR="00FB4E5C">
        <w:fldChar w:fldCharType="begin"/>
      </w:r>
      <w:r w:rsidR="00FB4E5C">
        <w:instrText xml:space="preserve"> SEQ Figure \* ARABIC </w:instrText>
      </w:r>
      <w:r w:rsidR="00FB4E5C">
        <w:fldChar w:fldCharType="separate"/>
      </w:r>
      <w:r w:rsidR="00F12A80">
        <w:rPr>
          <w:noProof/>
        </w:rPr>
        <w:t>1</w:t>
      </w:r>
      <w:r w:rsidR="00FB4E5C">
        <w:rPr>
          <w:noProof/>
        </w:rPr>
        <w:fldChar w:fldCharType="end"/>
      </w:r>
      <w:r>
        <w:t>: General Government Sector total expenses as a percentage of Gross State Product</w:t>
      </w:r>
    </w:p>
    <w:bookmarkEnd w:id="69"/>
    <w:p w14:paraId="40DBE17F" w14:textId="77777777" w:rsidR="00A60D4B" w:rsidRDefault="00A60D4B" w:rsidP="00A60D4B">
      <w:pPr>
        <w:pStyle w:val="BNoteBold"/>
      </w:pPr>
      <w:r>
        <w:rPr>
          <w:noProof/>
        </w:rPr>
        <w:drawing>
          <wp:anchor distT="0" distB="0" distL="114300" distR="114300" simplePos="0" relativeHeight="251957248" behindDoc="0" locked="0" layoutInCell="1" allowOverlap="1" wp14:anchorId="4836024E" wp14:editId="5B034D04">
            <wp:simplePos x="914400" y="2553005"/>
            <wp:positionH relativeFrom="column">
              <wp:align>left</wp:align>
            </wp:positionH>
            <wp:positionV relativeFrom="paragraph">
              <wp:align>top</wp:align>
            </wp:positionV>
            <wp:extent cx="5731510" cy="3257550"/>
            <wp:effectExtent l="0" t="0" r="2540" b="0"/>
            <wp:wrapSquare wrapText="bothSides"/>
            <wp:docPr id="322" name="Chart 322">
              <a:extLst xmlns:a="http://schemas.openxmlformats.org/drawingml/2006/main">
                <a:ext uri="{FF2B5EF4-FFF2-40B4-BE49-F238E27FC236}">
                  <a16:creationId xmlns:a16="http://schemas.microsoft.com/office/drawing/2014/main" id="{155D89BD-B467-42BF-A3C3-63CC93E705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anchor>
        </w:drawing>
      </w:r>
      <w:r>
        <w:br w:type="textWrapping" w:clear="all"/>
        <w:t>Note:</w:t>
      </w:r>
    </w:p>
    <w:p w14:paraId="4E66AF29" w14:textId="77777777" w:rsidR="00A60D4B" w:rsidRDefault="00A60D4B" w:rsidP="00B86042">
      <w:pPr>
        <w:pStyle w:val="BNotelist"/>
        <w:numPr>
          <w:ilvl w:val="0"/>
          <w:numId w:val="79"/>
        </w:numPr>
      </w:pPr>
      <w:r w:rsidRPr="00537E09">
        <w:t>Total expenses for the General Government Sector exclude the impact of Large-scale Generation Certificates.</w:t>
      </w:r>
    </w:p>
    <w:p w14:paraId="545A928F" w14:textId="77777777" w:rsidR="00A60D4B" w:rsidRPr="006B02A4" w:rsidRDefault="00A60D4B" w:rsidP="00A60D4B">
      <w:pPr>
        <w:pStyle w:val="Heading4"/>
      </w:pPr>
      <w:bookmarkStart w:id="70" w:name="_Toc63586661"/>
      <w:r w:rsidRPr="006B02A4">
        <w:t>Estimated expenses by function</w:t>
      </w:r>
      <w:bookmarkEnd w:id="70"/>
    </w:p>
    <w:p w14:paraId="31B5498C" w14:textId="77777777" w:rsidR="00A60D4B" w:rsidRDefault="00A60D4B" w:rsidP="00A60D4B">
      <w:pPr>
        <w:pStyle w:val="Bbodytext"/>
      </w:pPr>
      <w:r w:rsidRPr="006B02A4">
        <w:t xml:space="preserve">Table 3.4.1 sets out the estimates of General Government Sector expenses by function under the </w:t>
      </w:r>
      <w:r w:rsidRPr="006B02A4">
        <w:rPr>
          <w:i/>
          <w:szCs w:val="18"/>
          <w:lang w:eastAsia="en-AU"/>
        </w:rPr>
        <w:t>Classification of the Functions of Government Australia</w:t>
      </w:r>
      <w:r w:rsidRPr="006B02A4">
        <w:rPr>
          <w:szCs w:val="18"/>
          <w:lang w:eastAsia="en-AU"/>
        </w:rPr>
        <w:t xml:space="preserve"> </w:t>
      </w:r>
      <w:r w:rsidRPr="006B02A4">
        <w:t xml:space="preserve">methodology over the </w:t>
      </w:r>
      <w:r w:rsidRPr="0068420A">
        <w:t>period 202</w:t>
      </w:r>
      <w:r>
        <w:t>0</w:t>
      </w:r>
      <w:r w:rsidRPr="0068420A">
        <w:noBreakHyphen/>
        <w:t>21 to 2024-25.</w:t>
      </w:r>
    </w:p>
    <w:p w14:paraId="12D35249" w14:textId="77777777" w:rsidR="00A60D4B" w:rsidRPr="006B02A4" w:rsidRDefault="00A60D4B" w:rsidP="00A60D4B">
      <w:pPr>
        <w:pStyle w:val="Bbodytext"/>
      </w:pPr>
      <w:r w:rsidRPr="006B02A4">
        <w:t xml:space="preserve">The categorisation of expenses under this methodology facilitates comparisons of the proportion of government resources spent on functions over time and between jurisdictions. However, as the methodology uses specific definitions, the classifications can differ from the thematic or structural presentation of government spending included elsewhere in the budget papers. </w:t>
      </w:r>
    </w:p>
    <w:p w14:paraId="50086680" w14:textId="77777777" w:rsidR="00A60D4B" w:rsidRDefault="00A60D4B">
      <w:pPr>
        <w:rPr>
          <w:b/>
          <w:iCs/>
          <w:color w:val="472D8C"/>
          <w:szCs w:val="18"/>
        </w:rPr>
      </w:pPr>
      <w:r>
        <w:br w:type="page"/>
      </w:r>
    </w:p>
    <w:p w14:paraId="6D512E3D" w14:textId="0F45D5E2" w:rsidR="00A60D4B" w:rsidRDefault="00A60D4B" w:rsidP="00A60D4B">
      <w:pPr>
        <w:pStyle w:val="Caption"/>
      </w:pPr>
      <w:r>
        <w:lastRenderedPageBreak/>
        <w:t>Table 3.4.</w:t>
      </w:r>
      <w:r w:rsidR="008812C5">
        <w:t>1</w:t>
      </w:r>
      <w:r>
        <w:t>: General Government Sector expenses by function</w:t>
      </w:r>
    </w:p>
    <w:tbl>
      <w:tblPr>
        <w:tblW w:w="9185" w:type="dxa"/>
        <w:tblBorders>
          <w:top w:val="single" w:sz="4" w:space="0" w:color="auto"/>
          <w:bottom w:val="single" w:sz="4" w:space="0" w:color="auto"/>
          <w:insideH w:val="single" w:sz="4" w:space="0" w:color="auto"/>
        </w:tblBorders>
        <w:tblLayout w:type="fixed"/>
        <w:tblCellMar>
          <w:left w:w="85" w:type="dxa"/>
        </w:tblCellMar>
        <w:tblLook w:val="04A0" w:firstRow="1" w:lastRow="0" w:firstColumn="1" w:lastColumn="0" w:noHBand="0" w:noVBand="1"/>
      </w:tblPr>
      <w:tblGrid>
        <w:gridCol w:w="3261"/>
        <w:gridCol w:w="1275"/>
        <w:gridCol w:w="1162"/>
        <w:gridCol w:w="1162"/>
        <w:gridCol w:w="1162"/>
        <w:gridCol w:w="1163"/>
      </w:tblGrid>
      <w:tr w:rsidR="00A60D4B" w:rsidRPr="00111524" w14:paraId="48FCB3C3" w14:textId="77777777" w:rsidTr="00A60D4B">
        <w:trPr>
          <w:trHeight w:val="156"/>
        </w:trPr>
        <w:tc>
          <w:tcPr>
            <w:tcW w:w="3261" w:type="dxa"/>
            <w:tcBorders>
              <w:bottom w:val="single" w:sz="4" w:space="0" w:color="auto"/>
            </w:tcBorders>
            <w:shd w:val="clear" w:color="auto" w:fill="472D8C"/>
          </w:tcPr>
          <w:p w14:paraId="5E67D005" w14:textId="77777777" w:rsidR="00A60D4B" w:rsidRPr="00111524" w:rsidRDefault="00A60D4B" w:rsidP="00A60D4B">
            <w:pPr>
              <w:rPr>
                <w:rFonts w:cs="Calibri"/>
                <w:b/>
                <w:color w:val="FFFFFF" w:themeColor="background1"/>
                <w:sz w:val="20"/>
              </w:rPr>
            </w:pPr>
          </w:p>
        </w:tc>
        <w:tc>
          <w:tcPr>
            <w:tcW w:w="1275" w:type="dxa"/>
            <w:tcBorders>
              <w:bottom w:val="single" w:sz="4" w:space="0" w:color="auto"/>
            </w:tcBorders>
            <w:shd w:val="clear" w:color="auto" w:fill="472D8C"/>
          </w:tcPr>
          <w:p w14:paraId="4FA44561" w14:textId="77777777" w:rsidR="00A60D4B" w:rsidRPr="00111524"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Interim Outcome</w:t>
            </w:r>
            <w:r>
              <w:rPr>
                <w:color w:val="FFFFFF" w:themeColor="background1"/>
              </w:rPr>
              <w:br/>
              <w:t>$’000</w:t>
            </w:r>
          </w:p>
        </w:tc>
        <w:tc>
          <w:tcPr>
            <w:tcW w:w="1162" w:type="dxa"/>
            <w:tcBorders>
              <w:bottom w:val="single" w:sz="4" w:space="0" w:color="auto"/>
            </w:tcBorders>
            <w:shd w:val="clear" w:color="auto" w:fill="472D8C"/>
          </w:tcPr>
          <w:p w14:paraId="6C0673DA" w14:textId="77777777" w:rsidR="00A60D4B" w:rsidRDefault="00A60D4B" w:rsidP="00A60D4B">
            <w:pPr>
              <w:pStyle w:val="BTableHeadingRowRightAligned"/>
              <w:rPr>
                <w:color w:val="FFFFFF" w:themeColor="background1"/>
              </w:rPr>
            </w:pPr>
            <w:r>
              <w:rPr>
                <w:color w:val="FFFFFF" w:themeColor="background1"/>
              </w:rPr>
              <w:t xml:space="preserve">2021-22 </w:t>
            </w:r>
            <w:r>
              <w:rPr>
                <w:color w:val="FFFFFF" w:themeColor="background1"/>
              </w:rPr>
              <w:br/>
              <w:t>Budget</w:t>
            </w:r>
            <w:r>
              <w:rPr>
                <w:color w:val="FFFFFF" w:themeColor="background1"/>
              </w:rPr>
              <w:br/>
            </w:r>
          </w:p>
          <w:p w14:paraId="4E975553" w14:textId="77777777" w:rsidR="00A60D4B" w:rsidRPr="00111524" w:rsidRDefault="00A60D4B" w:rsidP="00A60D4B">
            <w:pPr>
              <w:pStyle w:val="BTableHeadingRowRightAligned"/>
              <w:rPr>
                <w:color w:val="FFFFFF" w:themeColor="background1"/>
              </w:rPr>
            </w:pPr>
            <w:r>
              <w:rPr>
                <w:color w:val="FFFFFF" w:themeColor="background1"/>
              </w:rPr>
              <w:t>$’000</w:t>
            </w:r>
          </w:p>
        </w:tc>
        <w:tc>
          <w:tcPr>
            <w:tcW w:w="1162" w:type="dxa"/>
            <w:tcBorders>
              <w:bottom w:val="single" w:sz="4" w:space="0" w:color="auto"/>
            </w:tcBorders>
            <w:shd w:val="clear" w:color="auto" w:fill="472D8C"/>
          </w:tcPr>
          <w:p w14:paraId="1EB136FB" w14:textId="77777777" w:rsidR="00A60D4B" w:rsidRDefault="00A60D4B" w:rsidP="00A60D4B">
            <w:pPr>
              <w:pStyle w:val="BTableHeadingRowRightAligned"/>
              <w:rPr>
                <w:color w:val="FFFFFF" w:themeColor="background1"/>
              </w:rPr>
            </w:pPr>
            <w:r>
              <w:rPr>
                <w:color w:val="FFFFFF" w:themeColor="background1"/>
              </w:rPr>
              <w:t>2022-23</w:t>
            </w:r>
            <w:r>
              <w:rPr>
                <w:color w:val="FFFFFF" w:themeColor="background1"/>
              </w:rPr>
              <w:br/>
              <w:t>Estimate</w:t>
            </w:r>
            <w:r>
              <w:rPr>
                <w:color w:val="FFFFFF" w:themeColor="background1"/>
              </w:rPr>
              <w:br/>
            </w:r>
          </w:p>
          <w:p w14:paraId="0F970F42" w14:textId="77777777" w:rsidR="00A60D4B" w:rsidRPr="00111524" w:rsidRDefault="00A60D4B" w:rsidP="00A60D4B">
            <w:pPr>
              <w:pStyle w:val="BTableHeadingRowRightAligned"/>
              <w:rPr>
                <w:color w:val="FFFFFF" w:themeColor="background1"/>
              </w:rPr>
            </w:pPr>
            <w:r>
              <w:rPr>
                <w:color w:val="FFFFFF" w:themeColor="background1"/>
              </w:rPr>
              <w:t>$’000</w:t>
            </w:r>
          </w:p>
        </w:tc>
        <w:tc>
          <w:tcPr>
            <w:tcW w:w="1162" w:type="dxa"/>
            <w:tcBorders>
              <w:bottom w:val="single" w:sz="4" w:space="0" w:color="auto"/>
            </w:tcBorders>
            <w:shd w:val="clear" w:color="auto" w:fill="472D8C"/>
          </w:tcPr>
          <w:p w14:paraId="313102D0" w14:textId="77777777" w:rsidR="00A60D4B" w:rsidRDefault="00A60D4B" w:rsidP="00A60D4B">
            <w:pPr>
              <w:pStyle w:val="BTableHeadingRowRightAligned"/>
              <w:rPr>
                <w:color w:val="FFFFFF" w:themeColor="background1"/>
              </w:rPr>
            </w:pPr>
            <w:r>
              <w:rPr>
                <w:color w:val="FFFFFF" w:themeColor="background1"/>
              </w:rPr>
              <w:t>2023-24</w:t>
            </w:r>
            <w:r>
              <w:rPr>
                <w:color w:val="FFFFFF" w:themeColor="background1"/>
              </w:rPr>
              <w:br/>
              <w:t>Estimate</w:t>
            </w:r>
            <w:r>
              <w:rPr>
                <w:color w:val="FFFFFF" w:themeColor="background1"/>
              </w:rPr>
              <w:br/>
            </w:r>
          </w:p>
          <w:p w14:paraId="4045A301" w14:textId="77777777" w:rsidR="00A60D4B" w:rsidRPr="00111524" w:rsidRDefault="00A60D4B" w:rsidP="00A60D4B">
            <w:pPr>
              <w:pStyle w:val="BTableHeadingRowRightAligned"/>
              <w:rPr>
                <w:color w:val="FFFFFF" w:themeColor="background1"/>
              </w:rPr>
            </w:pPr>
            <w:r>
              <w:rPr>
                <w:color w:val="FFFFFF" w:themeColor="background1"/>
              </w:rPr>
              <w:t>$’000</w:t>
            </w:r>
          </w:p>
        </w:tc>
        <w:tc>
          <w:tcPr>
            <w:tcW w:w="1163" w:type="dxa"/>
            <w:tcBorders>
              <w:bottom w:val="single" w:sz="4" w:space="0" w:color="auto"/>
            </w:tcBorders>
            <w:shd w:val="clear" w:color="auto" w:fill="472D8C"/>
          </w:tcPr>
          <w:p w14:paraId="4A8B351B" w14:textId="77777777" w:rsidR="00A60D4B" w:rsidRDefault="00A60D4B" w:rsidP="00A60D4B">
            <w:pPr>
              <w:pStyle w:val="BTableHeadingRowRightAligned"/>
              <w:rPr>
                <w:color w:val="FFFFFF" w:themeColor="background1"/>
              </w:rPr>
            </w:pPr>
            <w:r>
              <w:rPr>
                <w:color w:val="FFFFFF" w:themeColor="background1"/>
              </w:rPr>
              <w:t>2024-25</w:t>
            </w:r>
            <w:r>
              <w:rPr>
                <w:color w:val="FFFFFF" w:themeColor="background1"/>
              </w:rPr>
              <w:br/>
              <w:t>Estimate</w:t>
            </w:r>
            <w:r>
              <w:rPr>
                <w:color w:val="FFFFFF" w:themeColor="background1"/>
              </w:rPr>
              <w:br/>
            </w:r>
          </w:p>
          <w:p w14:paraId="59811B2F" w14:textId="77777777" w:rsidR="00A60D4B" w:rsidRPr="00111524" w:rsidRDefault="00A60D4B" w:rsidP="00A60D4B">
            <w:pPr>
              <w:pStyle w:val="BTableHeadingRowRightAligned"/>
              <w:rPr>
                <w:color w:val="FFFFFF" w:themeColor="background1"/>
              </w:rPr>
            </w:pPr>
            <w:r>
              <w:rPr>
                <w:color w:val="FFFFFF" w:themeColor="background1"/>
              </w:rPr>
              <w:t>$’000</w:t>
            </w:r>
          </w:p>
        </w:tc>
      </w:tr>
      <w:tr w:rsidR="00A60D4B" w:rsidRPr="000E4757" w14:paraId="195735A6" w14:textId="77777777" w:rsidTr="00A60D4B">
        <w:trPr>
          <w:trHeight w:val="270"/>
        </w:trPr>
        <w:tc>
          <w:tcPr>
            <w:tcW w:w="3261" w:type="dxa"/>
            <w:tcBorders>
              <w:top w:val="single" w:sz="4" w:space="0" w:color="auto"/>
              <w:bottom w:val="nil"/>
              <w:right w:val="nil"/>
            </w:tcBorders>
            <w:shd w:val="clear" w:color="auto" w:fill="auto"/>
          </w:tcPr>
          <w:p w14:paraId="218929F1" w14:textId="77777777" w:rsidR="00A60D4B" w:rsidRPr="000E4757" w:rsidRDefault="00A60D4B" w:rsidP="00A60D4B">
            <w:pPr>
              <w:pStyle w:val="Btabletextunbold"/>
            </w:pPr>
            <w:r w:rsidRPr="000E4757">
              <w:t>Health</w:t>
            </w:r>
          </w:p>
        </w:tc>
        <w:tc>
          <w:tcPr>
            <w:tcW w:w="1275" w:type="dxa"/>
            <w:tcBorders>
              <w:top w:val="single" w:sz="4" w:space="0" w:color="auto"/>
              <w:left w:val="nil"/>
              <w:bottom w:val="nil"/>
              <w:right w:val="nil"/>
            </w:tcBorders>
            <w:shd w:val="clear" w:color="auto" w:fill="auto"/>
          </w:tcPr>
          <w:p w14:paraId="261ABDD2" w14:textId="77777777" w:rsidR="00A60D4B" w:rsidRPr="000E4757" w:rsidRDefault="00A60D4B" w:rsidP="00A60D4B">
            <w:pPr>
              <w:pStyle w:val="Btablefigureunbold"/>
            </w:pPr>
            <w:r w:rsidRPr="000E4757">
              <w:t>1,907,561</w:t>
            </w:r>
          </w:p>
        </w:tc>
        <w:tc>
          <w:tcPr>
            <w:tcW w:w="1162" w:type="dxa"/>
            <w:tcBorders>
              <w:top w:val="single" w:sz="4" w:space="0" w:color="auto"/>
              <w:left w:val="nil"/>
              <w:bottom w:val="nil"/>
              <w:right w:val="nil"/>
            </w:tcBorders>
            <w:shd w:val="clear" w:color="auto" w:fill="auto"/>
          </w:tcPr>
          <w:p w14:paraId="6AF0EEC3" w14:textId="77777777" w:rsidR="00A60D4B" w:rsidRPr="000E4757" w:rsidRDefault="00A60D4B" w:rsidP="00A60D4B">
            <w:pPr>
              <w:pStyle w:val="Btablefigureunbold"/>
            </w:pPr>
            <w:r w:rsidRPr="000E4757">
              <w:t>2,116,739</w:t>
            </w:r>
          </w:p>
        </w:tc>
        <w:tc>
          <w:tcPr>
            <w:tcW w:w="1162" w:type="dxa"/>
            <w:tcBorders>
              <w:top w:val="single" w:sz="4" w:space="0" w:color="auto"/>
              <w:left w:val="nil"/>
              <w:bottom w:val="nil"/>
              <w:right w:val="nil"/>
            </w:tcBorders>
            <w:shd w:val="clear" w:color="472D8C" w:fill="auto"/>
          </w:tcPr>
          <w:p w14:paraId="3804A800" w14:textId="77777777" w:rsidR="00A60D4B" w:rsidRPr="000E4757" w:rsidRDefault="00A60D4B" w:rsidP="00A60D4B">
            <w:pPr>
              <w:pStyle w:val="Btablefigureunbold"/>
            </w:pPr>
            <w:r w:rsidRPr="000E4757">
              <w:t>2,087,864</w:t>
            </w:r>
          </w:p>
        </w:tc>
        <w:tc>
          <w:tcPr>
            <w:tcW w:w="1162" w:type="dxa"/>
            <w:tcBorders>
              <w:top w:val="single" w:sz="4" w:space="0" w:color="auto"/>
              <w:left w:val="nil"/>
              <w:bottom w:val="nil"/>
              <w:right w:val="nil"/>
            </w:tcBorders>
            <w:shd w:val="clear" w:color="auto" w:fill="auto"/>
          </w:tcPr>
          <w:p w14:paraId="25ADD6E7" w14:textId="77777777" w:rsidR="00A60D4B" w:rsidRPr="000E4757" w:rsidRDefault="00A60D4B" w:rsidP="00A60D4B">
            <w:pPr>
              <w:pStyle w:val="Btablefigureunbold"/>
            </w:pPr>
            <w:r w:rsidRPr="000E4757">
              <w:t>2,141,483</w:t>
            </w:r>
          </w:p>
        </w:tc>
        <w:tc>
          <w:tcPr>
            <w:tcW w:w="1163" w:type="dxa"/>
            <w:tcBorders>
              <w:top w:val="single" w:sz="4" w:space="0" w:color="auto"/>
              <w:left w:val="nil"/>
              <w:bottom w:val="nil"/>
            </w:tcBorders>
            <w:shd w:val="clear" w:color="auto" w:fill="auto"/>
          </w:tcPr>
          <w:p w14:paraId="191A19A9" w14:textId="77777777" w:rsidR="00A60D4B" w:rsidRPr="000E4757" w:rsidRDefault="00A60D4B" w:rsidP="00A60D4B">
            <w:pPr>
              <w:pStyle w:val="Btablefigureunbold"/>
            </w:pPr>
            <w:r w:rsidRPr="000E4757">
              <w:t>2,201,385</w:t>
            </w:r>
          </w:p>
        </w:tc>
      </w:tr>
      <w:tr w:rsidR="00A60D4B" w:rsidRPr="000E4757" w14:paraId="533FA53F" w14:textId="77777777" w:rsidTr="00A60D4B">
        <w:trPr>
          <w:trHeight w:val="270"/>
        </w:trPr>
        <w:tc>
          <w:tcPr>
            <w:tcW w:w="3261" w:type="dxa"/>
            <w:tcBorders>
              <w:top w:val="nil"/>
              <w:bottom w:val="nil"/>
              <w:right w:val="nil"/>
            </w:tcBorders>
            <w:shd w:val="clear" w:color="auto" w:fill="auto"/>
          </w:tcPr>
          <w:p w14:paraId="41B1DF32" w14:textId="77777777" w:rsidR="00A60D4B" w:rsidRPr="000E4757" w:rsidRDefault="00A60D4B" w:rsidP="00A60D4B">
            <w:pPr>
              <w:pStyle w:val="Btabletextunbold"/>
            </w:pPr>
            <w:r w:rsidRPr="000E4757">
              <w:t>Education</w:t>
            </w:r>
          </w:p>
        </w:tc>
        <w:tc>
          <w:tcPr>
            <w:tcW w:w="1275" w:type="dxa"/>
            <w:tcBorders>
              <w:top w:val="nil"/>
              <w:left w:val="nil"/>
              <w:bottom w:val="nil"/>
              <w:right w:val="nil"/>
            </w:tcBorders>
            <w:shd w:val="clear" w:color="auto" w:fill="auto"/>
          </w:tcPr>
          <w:p w14:paraId="5FCC5C5A" w14:textId="77777777" w:rsidR="00A60D4B" w:rsidRPr="000E4757" w:rsidRDefault="00A60D4B" w:rsidP="00A60D4B">
            <w:pPr>
              <w:pStyle w:val="Btablefigureunbold"/>
            </w:pPr>
            <w:r w:rsidRPr="000E4757">
              <w:t>1,462,307</w:t>
            </w:r>
          </w:p>
        </w:tc>
        <w:tc>
          <w:tcPr>
            <w:tcW w:w="1162" w:type="dxa"/>
            <w:tcBorders>
              <w:top w:val="nil"/>
              <w:left w:val="nil"/>
              <w:bottom w:val="nil"/>
              <w:right w:val="nil"/>
            </w:tcBorders>
            <w:shd w:val="clear" w:color="auto" w:fill="auto"/>
          </w:tcPr>
          <w:p w14:paraId="3DFFC4B5" w14:textId="77777777" w:rsidR="00A60D4B" w:rsidRPr="000E4757" w:rsidRDefault="00A60D4B" w:rsidP="00A60D4B">
            <w:pPr>
              <w:pStyle w:val="Btablefigureunbold"/>
            </w:pPr>
            <w:r w:rsidRPr="000E4757">
              <w:t>1,591,604</w:t>
            </w:r>
          </w:p>
        </w:tc>
        <w:tc>
          <w:tcPr>
            <w:tcW w:w="1162" w:type="dxa"/>
            <w:tcBorders>
              <w:top w:val="nil"/>
              <w:left w:val="nil"/>
              <w:bottom w:val="nil"/>
              <w:right w:val="nil"/>
            </w:tcBorders>
            <w:shd w:val="clear" w:color="472D8C" w:fill="auto"/>
          </w:tcPr>
          <w:p w14:paraId="182A2FB2" w14:textId="77777777" w:rsidR="00A60D4B" w:rsidRPr="000E4757" w:rsidRDefault="00A60D4B" w:rsidP="00A60D4B">
            <w:pPr>
              <w:pStyle w:val="Btablefigureunbold"/>
            </w:pPr>
            <w:r w:rsidRPr="000E4757">
              <w:t>1,627,189</w:t>
            </w:r>
          </w:p>
        </w:tc>
        <w:tc>
          <w:tcPr>
            <w:tcW w:w="1162" w:type="dxa"/>
            <w:tcBorders>
              <w:top w:val="nil"/>
              <w:left w:val="nil"/>
              <w:bottom w:val="nil"/>
              <w:right w:val="nil"/>
            </w:tcBorders>
            <w:shd w:val="clear" w:color="auto" w:fill="auto"/>
          </w:tcPr>
          <w:p w14:paraId="25746E45" w14:textId="77777777" w:rsidR="00A60D4B" w:rsidRPr="000E4757" w:rsidRDefault="00A60D4B" w:rsidP="00A60D4B">
            <w:pPr>
              <w:pStyle w:val="Btablefigureunbold"/>
            </w:pPr>
            <w:r w:rsidRPr="000E4757">
              <w:t>1,666,653</w:t>
            </w:r>
          </w:p>
        </w:tc>
        <w:tc>
          <w:tcPr>
            <w:tcW w:w="1163" w:type="dxa"/>
            <w:tcBorders>
              <w:top w:val="nil"/>
              <w:left w:val="nil"/>
              <w:bottom w:val="nil"/>
            </w:tcBorders>
            <w:shd w:val="clear" w:color="auto" w:fill="auto"/>
          </w:tcPr>
          <w:p w14:paraId="7EB72627" w14:textId="77777777" w:rsidR="00A60D4B" w:rsidRPr="000E4757" w:rsidRDefault="00A60D4B" w:rsidP="00A60D4B">
            <w:pPr>
              <w:pStyle w:val="Btablefigureunbold"/>
            </w:pPr>
            <w:r w:rsidRPr="000E4757">
              <w:t>1,735,100</w:t>
            </w:r>
          </w:p>
        </w:tc>
      </w:tr>
      <w:tr w:rsidR="00A60D4B" w:rsidRPr="000E4757" w14:paraId="5315025A" w14:textId="77777777" w:rsidTr="00A60D4B">
        <w:trPr>
          <w:trHeight w:val="270"/>
        </w:trPr>
        <w:tc>
          <w:tcPr>
            <w:tcW w:w="3261" w:type="dxa"/>
            <w:tcBorders>
              <w:top w:val="nil"/>
              <w:bottom w:val="nil"/>
              <w:right w:val="nil"/>
            </w:tcBorders>
            <w:shd w:val="clear" w:color="auto" w:fill="auto"/>
          </w:tcPr>
          <w:p w14:paraId="4BB33E20" w14:textId="77777777" w:rsidR="00A60D4B" w:rsidRPr="000E4757" w:rsidRDefault="00A60D4B" w:rsidP="00A60D4B">
            <w:pPr>
              <w:pStyle w:val="Btabletextunbold"/>
            </w:pPr>
            <w:r w:rsidRPr="000E4757">
              <w:t>General public services</w:t>
            </w:r>
          </w:p>
        </w:tc>
        <w:tc>
          <w:tcPr>
            <w:tcW w:w="1275" w:type="dxa"/>
            <w:tcBorders>
              <w:top w:val="nil"/>
              <w:left w:val="nil"/>
              <w:bottom w:val="nil"/>
              <w:right w:val="nil"/>
            </w:tcBorders>
            <w:shd w:val="clear" w:color="auto" w:fill="auto"/>
          </w:tcPr>
          <w:p w14:paraId="36631C1B" w14:textId="77777777" w:rsidR="00A60D4B" w:rsidRPr="000E4757" w:rsidRDefault="00A60D4B" w:rsidP="00A60D4B">
            <w:pPr>
              <w:pStyle w:val="Btablefigureunbold"/>
            </w:pPr>
            <w:r w:rsidRPr="000E4757">
              <w:t>1,185,075</w:t>
            </w:r>
          </w:p>
        </w:tc>
        <w:tc>
          <w:tcPr>
            <w:tcW w:w="1162" w:type="dxa"/>
            <w:tcBorders>
              <w:top w:val="nil"/>
              <w:left w:val="nil"/>
              <w:bottom w:val="nil"/>
              <w:right w:val="nil"/>
            </w:tcBorders>
            <w:shd w:val="clear" w:color="auto" w:fill="auto"/>
          </w:tcPr>
          <w:p w14:paraId="133A006B" w14:textId="77777777" w:rsidR="00A60D4B" w:rsidRPr="000E4757" w:rsidRDefault="00A60D4B" w:rsidP="00A60D4B">
            <w:pPr>
              <w:pStyle w:val="Btablefigureunbold"/>
            </w:pPr>
            <w:r w:rsidRPr="000E4757">
              <w:t>1,376,775</w:t>
            </w:r>
          </w:p>
        </w:tc>
        <w:tc>
          <w:tcPr>
            <w:tcW w:w="1162" w:type="dxa"/>
            <w:tcBorders>
              <w:top w:val="nil"/>
              <w:left w:val="nil"/>
              <w:bottom w:val="nil"/>
              <w:right w:val="nil"/>
            </w:tcBorders>
            <w:shd w:val="clear" w:color="472D8C" w:fill="auto"/>
          </w:tcPr>
          <w:p w14:paraId="332EBCB9" w14:textId="77777777" w:rsidR="00A60D4B" w:rsidRPr="000E4757" w:rsidRDefault="00A60D4B" w:rsidP="00A60D4B">
            <w:pPr>
              <w:pStyle w:val="Btablefigureunbold"/>
            </w:pPr>
            <w:r w:rsidRPr="000E4757">
              <w:t>1,430,017</w:t>
            </w:r>
          </w:p>
        </w:tc>
        <w:tc>
          <w:tcPr>
            <w:tcW w:w="1162" w:type="dxa"/>
            <w:tcBorders>
              <w:top w:val="nil"/>
              <w:left w:val="nil"/>
              <w:bottom w:val="nil"/>
              <w:right w:val="nil"/>
            </w:tcBorders>
            <w:shd w:val="clear" w:color="auto" w:fill="auto"/>
          </w:tcPr>
          <w:p w14:paraId="230AD35C" w14:textId="77777777" w:rsidR="00A60D4B" w:rsidRPr="000E4757" w:rsidRDefault="00A60D4B" w:rsidP="00A60D4B">
            <w:pPr>
              <w:pStyle w:val="Btablefigureunbold"/>
            </w:pPr>
            <w:r w:rsidRPr="000E4757">
              <w:t>1,477,490</w:t>
            </w:r>
          </w:p>
        </w:tc>
        <w:tc>
          <w:tcPr>
            <w:tcW w:w="1163" w:type="dxa"/>
            <w:tcBorders>
              <w:top w:val="nil"/>
              <w:left w:val="nil"/>
              <w:bottom w:val="nil"/>
            </w:tcBorders>
            <w:shd w:val="clear" w:color="auto" w:fill="auto"/>
          </w:tcPr>
          <w:p w14:paraId="715B3534" w14:textId="77777777" w:rsidR="00A60D4B" w:rsidRPr="000E4757" w:rsidRDefault="00A60D4B" w:rsidP="00A60D4B">
            <w:pPr>
              <w:pStyle w:val="Btablefigureunbold"/>
            </w:pPr>
            <w:r w:rsidRPr="000E4757">
              <w:t>1,558,972</w:t>
            </w:r>
          </w:p>
        </w:tc>
      </w:tr>
      <w:tr w:rsidR="00A60D4B" w:rsidRPr="000E4757" w14:paraId="6A848386" w14:textId="77777777" w:rsidTr="00A60D4B">
        <w:trPr>
          <w:trHeight w:val="270"/>
        </w:trPr>
        <w:tc>
          <w:tcPr>
            <w:tcW w:w="3261" w:type="dxa"/>
            <w:tcBorders>
              <w:top w:val="nil"/>
              <w:bottom w:val="nil"/>
              <w:right w:val="nil"/>
            </w:tcBorders>
            <w:shd w:val="clear" w:color="auto" w:fill="auto"/>
          </w:tcPr>
          <w:p w14:paraId="68081747" w14:textId="77777777" w:rsidR="00A60D4B" w:rsidRPr="000E4757" w:rsidRDefault="00A60D4B" w:rsidP="00A60D4B">
            <w:pPr>
              <w:pStyle w:val="Btabletextunbold"/>
            </w:pPr>
            <w:r w:rsidRPr="000E4757">
              <w:t>Public order and safety</w:t>
            </w:r>
          </w:p>
        </w:tc>
        <w:tc>
          <w:tcPr>
            <w:tcW w:w="1275" w:type="dxa"/>
            <w:tcBorders>
              <w:top w:val="nil"/>
              <w:left w:val="nil"/>
              <w:bottom w:val="nil"/>
              <w:right w:val="nil"/>
            </w:tcBorders>
            <w:shd w:val="clear" w:color="auto" w:fill="auto"/>
          </w:tcPr>
          <w:p w14:paraId="1971DDCE" w14:textId="77777777" w:rsidR="00A60D4B" w:rsidRPr="000E4757" w:rsidRDefault="00A60D4B" w:rsidP="00A60D4B">
            <w:pPr>
              <w:pStyle w:val="Btablefigureunbold"/>
            </w:pPr>
            <w:r w:rsidRPr="000E4757">
              <w:t>550,900</w:t>
            </w:r>
          </w:p>
        </w:tc>
        <w:tc>
          <w:tcPr>
            <w:tcW w:w="1162" w:type="dxa"/>
            <w:tcBorders>
              <w:top w:val="nil"/>
              <w:left w:val="nil"/>
              <w:bottom w:val="nil"/>
              <w:right w:val="nil"/>
            </w:tcBorders>
            <w:shd w:val="clear" w:color="auto" w:fill="auto"/>
          </w:tcPr>
          <w:p w14:paraId="4056E79A" w14:textId="77777777" w:rsidR="00A60D4B" w:rsidRPr="000E4757" w:rsidRDefault="00A60D4B" w:rsidP="00A60D4B">
            <w:pPr>
              <w:pStyle w:val="Btablefigureunbold"/>
            </w:pPr>
            <w:r w:rsidRPr="000E4757">
              <w:t>620,084</w:t>
            </w:r>
          </w:p>
        </w:tc>
        <w:tc>
          <w:tcPr>
            <w:tcW w:w="1162" w:type="dxa"/>
            <w:tcBorders>
              <w:top w:val="nil"/>
              <w:left w:val="nil"/>
              <w:bottom w:val="nil"/>
              <w:right w:val="nil"/>
            </w:tcBorders>
            <w:shd w:val="clear" w:color="472D8C" w:fill="auto"/>
          </w:tcPr>
          <w:p w14:paraId="60FFC886" w14:textId="77777777" w:rsidR="00A60D4B" w:rsidRPr="000E4757" w:rsidRDefault="00A60D4B" w:rsidP="00A60D4B">
            <w:pPr>
              <w:pStyle w:val="Btablefigureunbold"/>
            </w:pPr>
            <w:r w:rsidRPr="000E4757">
              <w:t>603,609</w:t>
            </w:r>
          </w:p>
        </w:tc>
        <w:tc>
          <w:tcPr>
            <w:tcW w:w="1162" w:type="dxa"/>
            <w:tcBorders>
              <w:top w:val="nil"/>
              <w:left w:val="nil"/>
              <w:bottom w:val="nil"/>
              <w:right w:val="nil"/>
            </w:tcBorders>
            <w:shd w:val="clear" w:color="auto" w:fill="auto"/>
          </w:tcPr>
          <w:p w14:paraId="4FBCA4C1" w14:textId="77777777" w:rsidR="00A60D4B" w:rsidRPr="000E4757" w:rsidRDefault="00A60D4B" w:rsidP="00A60D4B">
            <w:pPr>
              <w:pStyle w:val="Btablefigureunbold"/>
            </w:pPr>
            <w:r w:rsidRPr="000E4757">
              <w:t>612,149</w:t>
            </w:r>
          </w:p>
        </w:tc>
        <w:tc>
          <w:tcPr>
            <w:tcW w:w="1163" w:type="dxa"/>
            <w:tcBorders>
              <w:top w:val="nil"/>
              <w:left w:val="nil"/>
              <w:bottom w:val="nil"/>
            </w:tcBorders>
            <w:shd w:val="clear" w:color="auto" w:fill="auto"/>
          </w:tcPr>
          <w:p w14:paraId="1309656B" w14:textId="77777777" w:rsidR="00A60D4B" w:rsidRPr="000E4757" w:rsidRDefault="00A60D4B" w:rsidP="00A60D4B">
            <w:pPr>
              <w:pStyle w:val="Btablefigureunbold"/>
            </w:pPr>
            <w:r w:rsidRPr="000E4757">
              <w:t>617,205</w:t>
            </w:r>
          </w:p>
        </w:tc>
      </w:tr>
      <w:tr w:rsidR="00A60D4B" w:rsidRPr="000E4757" w14:paraId="32CC6551" w14:textId="77777777" w:rsidTr="00A60D4B">
        <w:trPr>
          <w:trHeight w:val="270"/>
        </w:trPr>
        <w:tc>
          <w:tcPr>
            <w:tcW w:w="3261" w:type="dxa"/>
            <w:tcBorders>
              <w:top w:val="nil"/>
              <w:bottom w:val="nil"/>
              <w:right w:val="nil"/>
            </w:tcBorders>
            <w:shd w:val="clear" w:color="auto" w:fill="auto"/>
          </w:tcPr>
          <w:p w14:paraId="78B69AB8" w14:textId="77777777" w:rsidR="00A60D4B" w:rsidRPr="000E4757" w:rsidRDefault="00A60D4B" w:rsidP="00A60D4B">
            <w:pPr>
              <w:pStyle w:val="Btabletextunbold"/>
            </w:pPr>
            <w:r w:rsidRPr="000E4757">
              <w:t>Social protection</w:t>
            </w:r>
          </w:p>
        </w:tc>
        <w:tc>
          <w:tcPr>
            <w:tcW w:w="1275" w:type="dxa"/>
            <w:tcBorders>
              <w:top w:val="nil"/>
              <w:left w:val="nil"/>
              <w:bottom w:val="nil"/>
              <w:right w:val="nil"/>
            </w:tcBorders>
            <w:shd w:val="clear" w:color="auto" w:fill="auto"/>
          </w:tcPr>
          <w:p w14:paraId="105A8C64" w14:textId="77777777" w:rsidR="00A60D4B" w:rsidRPr="000E4757" w:rsidRDefault="00A60D4B" w:rsidP="00A60D4B">
            <w:pPr>
              <w:pStyle w:val="Btablefigureunbold"/>
            </w:pPr>
            <w:r w:rsidRPr="000E4757">
              <w:t>539,025</w:t>
            </w:r>
          </w:p>
        </w:tc>
        <w:tc>
          <w:tcPr>
            <w:tcW w:w="1162" w:type="dxa"/>
            <w:tcBorders>
              <w:top w:val="nil"/>
              <w:left w:val="nil"/>
              <w:bottom w:val="nil"/>
              <w:right w:val="nil"/>
            </w:tcBorders>
            <w:shd w:val="clear" w:color="auto" w:fill="auto"/>
          </w:tcPr>
          <w:p w14:paraId="7CC8A26E" w14:textId="77777777" w:rsidR="00A60D4B" w:rsidRPr="000E4757" w:rsidRDefault="00A60D4B" w:rsidP="00A60D4B">
            <w:pPr>
              <w:pStyle w:val="Btablefigureunbold"/>
            </w:pPr>
            <w:r w:rsidRPr="000E4757">
              <w:t>556,884</w:t>
            </w:r>
          </w:p>
        </w:tc>
        <w:tc>
          <w:tcPr>
            <w:tcW w:w="1162" w:type="dxa"/>
            <w:tcBorders>
              <w:top w:val="nil"/>
              <w:left w:val="nil"/>
              <w:bottom w:val="nil"/>
              <w:right w:val="nil"/>
            </w:tcBorders>
            <w:shd w:val="clear" w:color="472D8C" w:fill="auto"/>
          </w:tcPr>
          <w:p w14:paraId="380C4874" w14:textId="77777777" w:rsidR="00A60D4B" w:rsidRPr="000E4757" w:rsidRDefault="00A60D4B" w:rsidP="00A60D4B">
            <w:pPr>
              <w:pStyle w:val="Btablefigureunbold"/>
            </w:pPr>
            <w:r w:rsidRPr="000E4757">
              <w:t>490,162</w:t>
            </w:r>
          </w:p>
        </w:tc>
        <w:tc>
          <w:tcPr>
            <w:tcW w:w="1162" w:type="dxa"/>
            <w:tcBorders>
              <w:top w:val="nil"/>
              <w:left w:val="nil"/>
              <w:bottom w:val="nil"/>
              <w:right w:val="nil"/>
            </w:tcBorders>
            <w:shd w:val="clear" w:color="auto" w:fill="auto"/>
          </w:tcPr>
          <w:p w14:paraId="4A445299" w14:textId="77777777" w:rsidR="00A60D4B" w:rsidRPr="000E4757" w:rsidRDefault="00A60D4B" w:rsidP="00A60D4B">
            <w:pPr>
              <w:pStyle w:val="Btablefigureunbold"/>
            </w:pPr>
            <w:r w:rsidRPr="000E4757">
              <w:t>491,604</w:t>
            </w:r>
          </w:p>
        </w:tc>
        <w:tc>
          <w:tcPr>
            <w:tcW w:w="1163" w:type="dxa"/>
            <w:tcBorders>
              <w:top w:val="nil"/>
              <w:left w:val="nil"/>
              <w:bottom w:val="nil"/>
            </w:tcBorders>
            <w:shd w:val="clear" w:color="auto" w:fill="auto"/>
          </w:tcPr>
          <w:p w14:paraId="3A2183DC" w14:textId="77777777" w:rsidR="00A60D4B" w:rsidRPr="000E4757" w:rsidRDefault="00A60D4B" w:rsidP="00A60D4B">
            <w:pPr>
              <w:pStyle w:val="Btablefigureunbold"/>
            </w:pPr>
            <w:r w:rsidRPr="000E4757">
              <w:t>490,833</w:t>
            </w:r>
          </w:p>
        </w:tc>
      </w:tr>
      <w:tr w:rsidR="00A60D4B" w:rsidRPr="000E4757" w14:paraId="26FE49D5" w14:textId="77777777" w:rsidTr="00A60D4B">
        <w:trPr>
          <w:trHeight w:val="270"/>
        </w:trPr>
        <w:tc>
          <w:tcPr>
            <w:tcW w:w="3261" w:type="dxa"/>
            <w:tcBorders>
              <w:top w:val="nil"/>
              <w:bottom w:val="nil"/>
              <w:right w:val="nil"/>
            </w:tcBorders>
            <w:shd w:val="clear" w:color="auto" w:fill="auto"/>
          </w:tcPr>
          <w:p w14:paraId="66579875" w14:textId="77777777" w:rsidR="00A60D4B" w:rsidRPr="000E4757" w:rsidRDefault="00A60D4B" w:rsidP="00A60D4B">
            <w:pPr>
              <w:pStyle w:val="Btabletextunbold"/>
            </w:pPr>
            <w:r w:rsidRPr="000E4757">
              <w:t>Transport</w:t>
            </w:r>
          </w:p>
        </w:tc>
        <w:tc>
          <w:tcPr>
            <w:tcW w:w="1275" w:type="dxa"/>
            <w:tcBorders>
              <w:top w:val="nil"/>
              <w:left w:val="nil"/>
              <w:bottom w:val="nil"/>
              <w:right w:val="nil"/>
            </w:tcBorders>
            <w:shd w:val="clear" w:color="auto" w:fill="auto"/>
          </w:tcPr>
          <w:p w14:paraId="4980BE02" w14:textId="77777777" w:rsidR="00A60D4B" w:rsidRPr="000E4757" w:rsidRDefault="00A60D4B" w:rsidP="00A60D4B">
            <w:pPr>
              <w:pStyle w:val="Btablefigureunbold"/>
            </w:pPr>
            <w:r w:rsidRPr="000E4757">
              <w:t>459,419</w:t>
            </w:r>
          </w:p>
        </w:tc>
        <w:tc>
          <w:tcPr>
            <w:tcW w:w="1162" w:type="dxa"/>
            <w:tcBorders>
              <w:top w:val="nil"/>
              <w:left w:val="nil"/>
              <w:bottom w:val="nil"/>
              <w:right w:val="nil"/>
            </w:tcBorders>
            <w:shd w:val="clear" w:color="auto" w:fill="auto"/>
          </w:tcPr>
          <w:p w14:paraId="6B063614" w14:textId="77777777" w:rsidR="00A60D4B" w:rsidRPr="000E4757" w:rsidRDefault="00A60D4B" w:rsidP="00A60D4B">
            <w:pPr>
              <w:pStyle w:val="Btablefigureunbold"/>
            </w:pPr>
            <w:r w:rsidRPr="000E4757">
              <w:t>487,253</w:t>
            </w:r>
          </w:p>
        </w:tc>
        <w:tc>
          <w:tcPr>
            <w:tcW w:w="1162" w:type="dxa"/>
            <w:tcBorders>
              <w:top w:val="nil"/>
              <w:left w:val="nil"/>
              <w:bottom w:val="nil"/>
              <w:right w:val="nil"/>
            </w:tcBorders>
            <w:shd w:val="clear" w:color="472D8C" w:fill="auto"/>
          </w:tcPr>
          <w:p w14:paraId="685597EC" w14:textId="77777777" w:rsidR="00A60D4B" w:rsidRPr="000E4757" w:rsidRDefault="00A60D4B" w:rsidP="00A60D4B">
            <w:pPr>
              <w:pStyle w:val="Btablefigureunbold"/>
            </w:pPr>
            <w:r w:rsidRPr="000E4757">
              <w:t>486,397</w:t>
            </w:r>
          </w:p>
        </w:tc>
        <w:tc>
          <w:tcPr>
            <w:tcW w:w="1162" w:type="dxa"/>
            <w:tcBorders>
              <w:top w:val="nil"/>
              <w:left w:val="nil"/>
              <w:bottom w:val="nil"/>
              <w:right w:val="nil"/>
            </w:tcBorders>
            <w:shd w:val="clear" w:color="auto" w:fill="auto"/>
          </w:tcPr>
          <w:p w14:paraId="36B21FE9" w14:textId="77777777" w:rsidR="00A60D4B" w:rsidRPr="000E4757" w:rsidRDefault="00A60D4B" w:rsidP="00A60D4B">
            <w:pPr>
              <w:pStyle w:val="Btablefigureunbold"/>
            </w:pPr>
            <w:r w:rsidRPr="000E4757">
              <w:t>496,677</w:t>
            </w:r>
          </w:p>
        </w:tc>
        <w:tc>
          <w:tcPr>
            <w:tcW w:w="1163" w:type="dxa"/>
            <w:tcBorders>
              <w:top w:val="nil"/>
              <w:left w:val="nil"/>
              <w:bottom w:val="nil"/>
            </w:tcBorders>
            <w:shd w:val="clear" w:color="auto" w:fill="auto"/>
          </w:tcPr>
          <w:p w14:paraId="6A7F0C0D" w14:textId="77777777" w:rsidR="00A60D4B" w:rsidRPr="000E4757" w:rsidRDefault="00A60D4B" w:rsidP="00A60D4B">
            <w:pPr>
              <w:pStyle w:val="Btablefigureunbold"/>
            </w:pPr>
            <w:r w:rsidRPr="000E4757">
              <w:t>508,246</w:t>
            </w:r>
          </w:p>
        </w:tc>
      </w:tr>
      <w:tr w:rsidR="00A60D4B" w:rsidRPr="000E4757" w14:paraId="027DDB15" w14:textId="77777777" w:rsidTr="00A60D4B">
        <w:trPr>
          <w:trHeight w:val="270"/>
        </w:trPr>
        <w:tc>
          <w:tcPr>
            <w:tcW w:w="3261" w:type="dxa"/>
            <w:tcBorders>
              <w:top w:val="nil"/>
              <w:bottom w:val="nil"/>
              <w:right w:val="nil"/>
            </w:tcBorders>
            <w:shd w:val="clear" w:color="auto" w:fill="auto"/>
          </w:tcPr>
          <w:p w14:paraId="04633491" w14:textId="77777777" w:rsidR="00A60D4B" w:rsidRPr="000E4757" w:rsidRDefault="00A60D4B" w:rsidP="00A60D4B">
            <w:pPr>
              <w:pStyle w:val="Btabletextunbold"/>
            </w:pPr>
            <w:r w:rsidRPr="000E4757">
              <w:t>Environmental protection</w:t>
            </w:r>
          </w:p>
        </w:tc>
        <w:tc>
          <w:tcPr>
            <w:tcW w:w="1275" w:type="dxa"/>
            <w:tcBorders>
              <w:top w:val="nil"/>
              <w:left w:val="nil"/>
              <w:bottom w:val="nil"/>
              <w:right w:val="nil"/>
            </w:tcBorders>
            <w:shd w:val="clear" w:color="auto" w:fill="auto"/>
          </w:tcPr>
          <w:p w14:paraId="6CE45D63" w14:textId="77777777" w:rsidR="00A60D4B" w:rsidRPr="000E4757" w:rsidRDefault="00A60D4B" w:rsidP="00A60D4B">
            <w:pPr>
              <w:pStyle w:val="Btablefigureunbold"/>
            </w:pPr>
            <w:r w:rsidRPr="000E4757">
              <w:t>311,579</w:t>
            </w:r>
          </w:p>
        </w:tc>
        <w:tc>
          <w:tcPr>
            <w:tcW w:w="1162" w:type="dxa"/>
            <w:tcBorders>
              <w:top w:val="nil"/>
              <w:left w:val="nil"/>
              <w:bottom w:val="nil"/>
              <w:right w:val="nil"/>
            </w:tcBorders>
            <w:shd w:val="clear" w:color="auto" w:fill="auto"/>
          </w:tcPr>
          <w:p w14:paraId="0FDFA072" w14:textId="77777777" w:rsidR="00A60D4B" w:rsidRPr="000E4757" w:rsidRDefault="00A60D4B" w:rsidP="00A60D4B">
            <w:pPr>
              <w:pStyle w:val="Btablefigureunbold"/>
            </w:pPr>
            <w:r w:rsidRPr="000E4757">
              <w:t>233,584</w:t>
            </w:r>
          </w:p>
        </w:tc>
        <w:tc>
          <w:tcPr>
            <w:tcW w:w="1162" w:type="dxa"/>
            <w:tcBorders>
              <w:top w:val="nil"/>
              <w:left w:val="nil"/>
              <w:bottom w:val="nil"/>
              <w:right w:val="nil"/>
            </w:tcBorders>
            <w:shd w:val="clear" w:color="472D8C" w:fill="auto"/>
          </w:tcPr>
          <w:p w14:paraId="111AE419" w14:textId="77777777" w:rsidR="00A60D4B" w:rsidRPr="000E4757" w:rsidRDefault="00A60D4B" w:rsidP="00A60D4B">
            <w:pPr>
              <w:pStyle w:val="Btablefigureunbold"/>
            </w:pPr>
            <w:r w:rsidRPr="000E4757">
              <w:t>206,008</w:t>
            </w:r>
          </w:p>
        </w:tc>
        <w:tc>
          <w:tcPr>
            <w:tcW w:w="1162" w:type="dxa"/>
            <w:tcBorders>
              <w:top w:val="nil"/>
              <w:left w:val="nil"/>
              <w:bottom w:val="nil"/>
              <w:right w:val="nil"/>
            </w:tcBorders>
            <w:shd w:val="clear" w:color="auto" w:fill="auto"/>
          </w:tcPr>
          <w:p w14:paraId="4FAD4CC7" w14:textId="77777777" w:rsidR="00A60D4B" w:rsidRPr="000E4757" w:rsidRDefault="00A60D4B" w:rsidP="00A60D4B">
            <w:pPr>
              <w:pStyle w:val="Btablefigureunbold"/>
            </w:pPr>
            <w:r w:rsidRPr="000E4757">
              <w:t>181,042</w:t>
            </w:r>
          </w:p>
        </w:tc>
        <w:tc>
          <w:tcPr>
            <w:tcW w:w="1163" w:type="dxa"/>
            <w:tcBorders>
              <w:top w:val="nil"/>
              <w:left w:val="nil"/>
              <w:bottom w:val="nil"/>
            </w:tcBorders>
            <w:shd w:val="clear" w:color="auto" w:fill="auto"/>
          </w:tcPr>
          <w:p w14:paraId="466742E3" w14:textId="77777777" w:rsidR="00A60D4B" w:rsidRPr="000E4757" w:rsidRDefault="00A60D4B" w:rsidP="00A60D4B">
            <w:pPr>
              <w:pStyle w:val="Btablefigureunbold"/>
            </w:pPr>
            <w:r w:rsidRPr="000E4757">
              <w:t>173,779</w:t>
            </w:r>
          </w:p>
        </w:tc>
      </w:tr>
      <w:tr w:rsidR="00A60D4B" w:rsidRPr="000E4757" w14:paraId="5529423D" w14:textId="77777777" w:rsidTr="00A60D4B">
        <w:trPr>
          <w:trHeight w:val="270"/>
        </w:trPr>
        <w:tc>
          <w:tcPr>
            <w:tcW w:w="3261" w:type="dxa"/>
            <w:tcBorders>
              <w:top w:val="nil"/>
              <w:bottom w:val="nil"/>
              <w:right w:val="nil"/>
            </w:tcBorders>
            <w:shd w:val="clear" w:color="auto" w:fill="auto"/>
          </w:tcPr>
          <w:p w14:paraId="314A5539" w14:textId="77777777" w:rsidR="00A60D4B" w:rsidRPr="000E4757" w:rsidRDefault="00A60D4B" w:rsidP="00A60D4B">
            <w:pPr>
              <w:pStyle w:val="Btabletextunbold"/>
            </w:pPr>
            <w:r w:rsidRPr="000E4757">
              <w:t>Recreation, culture and religion</w:t>
            </w:r>
          </w:p>
        </w:tc>
        <w:tc>
          <w:tcPr>
            <w:tcW w:w="1275" w:type="dxa"/>
            <w:tcBorders>
              <w:top w:val="nil"/>
              <w:left w:val="nil"/>
              <w:bottom w:val="nil"/>
              <w:right w:val="nil"/>
            </w:tcBorders>
            <w:shd w:val="clear" w:color="auto" w:fill="auto"/>
          </w:tcPr>
          <w:p w14:paraId="0BB44614" w14:textId="77777777" w:rsidR="00A60D4B" w:rsidRPr="000E4757" w:rsidRDefault="00A60D4B" w:rsidP="00A60D4B">
            <w:pPr>
              <w:pStyle w:val="Btablefigureunbold"/>
            </w:pPr>
            <w:r w:rsidRPr="000E4757">
              <w:t>173,237</w:t>
            </w:r>
          </w:p>
        </w:tc>
        <w:tc>
          <w:tcPr>
            <w:tcW w:w="1162" w:type="dxa"/>
            <w:tcBorders>
              <w:top w:val="nil"/>
              <w:left w:val="nil"/>
              <w:bottom w:val="nil"/>
              <w:right w:val="nil"/>
            </w:tcBorders>
            <w:shd w:val="clear" w:color="auto" w:fill="auto"/>
          </w:tcPr>
          <w:p w14:paraId="1DF113A2" w14:textId="77777777" w:rsidR="00A60D4B" w:rsidRPr="000E4757" w:rsidRDefault="00A60D4B" w:rsidP="00A60D4B">
            <w:pPr>
              <w:pStyle w:val="Btablefigureunbold"/>
            </w:pPr>
            <w:r w:rsidRPr="000E4757">
              <w:t>216,617</w:t>
            </w:r>
          </w:p>
        </w:tc>
        <w:tc>
          <w:tcPr>
            <w:tcW w:w="1162" w:type="dxa"/>
            <w:tcBorders>
              <w:top w:val="nil"/>
              <w:left w:val="nil"/>
              <w:bottom w:val="nil"/>
              <w:right w:val="nil"/>
            </w:tcBorders>
            <w:shd w:val="clear" w:color="472D8C" w:fill="auto"/>
          </w:tcPr>
          <w:p w14:paraId="448AE154" w14:textId="77777777" w:rsidR="00A60D4B" w:rsidRPr="000E4757" w:rsidRDefault="00A60D4B" w:rsidP="00A60D4B">
            <w:pPr>
              <w:pStyle w:val="Btablefigureunbold"/>
            </w:pPr>
            <w:r w:rsidRPr="000E4757">
              <w:t>190,337</w:t>
            </w:r>
          </w:p>
        </w:tc>
        <w:tc>
          <w:tcPr>
            <w:tcW w:w="1162" w:type="dxa"/>
            <w:tcBorders>
              <w:top w:val="nil"/>
              <w:left w:val="nil"/>
              <w:bottom w:val="nil"/>
              <w:right w:val="nil"/>
            </w:tcBorders>
            <w:shd w:val="clear" w:color="auto" w:fill="auto"/>
          </w:tcPr>
          <w:p w14:paraId="1EF32531" w14:textId="77777777" w:rsidR="00A60D4B" w:rsidRPr="000E4757" w:rsidRDefault="00A60D4B" w:rsidP="00A60D4B">
            <w:pPr>
              <w:pStyle w:val="Btablefigureunbold"/>
            </w:pPr>
            <w:r w:rsidRPr="000E4757">
              <w:t>189,462</w:t>
            </w:r>
          </w:p>
        </w:tc>
        <w:tc>
          <w:tcPr>
            <w:tcW w:w="1163" w:type="dxa"/>
            <w:tcBorders>
              <w:top w:val="nil"/>
              <w:left w:val="nil"/>
              <w:bottom w:val="nil"/>
            </w:tcBorders>
            <w:shd w:val="clear" w:color="auto" w:fill="auto"/>
          </w:tcPr>
          <w:p w14:paraId="70E67BD3" w14:textId="77777777" w:rsidR="00A60D4B" w:rsidRPr="000E4757" w:rsidRDefault="00A60D4B" w:rsidP="00A60D4B">
            <w:pPr>
              <w:pStyle w:val="Btablefigureunbold"/>
            </w:pPr>
            <w:r w:rsidRPr="000E4757">
              <w:t>190,058</w:t>
            </w:r>
          </w:p>
        </w:tc>
      </w:tr>
      <w:tr w:rsidR="00A60D4B" w:rsidRPr="000E4757" w14:paraId="235F522A" w14:textId="77777777" w:rsidTr="00A60D4B">
        <w:trPr>
          <w:trHeight w:val="270"/>
        </w:trPr>
        <w:tc>
          <w:tcPr>
            <w:tcW w:w="3261" w:type="dxa"/>
            <w:tcBorders>
              <w:top w:val="nil"/>
              <w:bottom w:val="nil"/>
              <w:right w:val="nil"/>
            </w:tcBorders>
            <w:shd w:val="clear" w:color="auto" w:fill="auto"/>
          </w:tcPr>
          <w:p w14:paraId="2ADF1047" w14:textId="77777777" w:rsidR="00A60D4B" w:rsidRPr="000E4757" w:rsidRDefault="00A60D4B" w:rsidP="00A60D4B">
            <w:pPr>
              <w:pStyle w:val="Btabletextunbold"/>
            </w:pPr>
            <w:r w:rsidRPr="000E4757">
              <w:t>Economic affairs</w:t>
            </w:r>
          </w:p>
        </w:tc>
        <w:tc>
          <w:tcPr>
            <w:tcW w:w="1275" w:type="dxa"/>
            <w:tcBorders>
              <w:top w:val="nil"/>
              <w:left w:val="nil"/>
              <w:bottom w:val="nil"/>
              <w:right w:val="nil"/>
            </w:tcBorders>
            <w:shd w:val="clear" w:color="auto" w:fill="auto"/>
          </w:tcPr>
          <w:p w14:paraId="4A803FC5" w14:textId="77777777" w:rsidR="00A60D4B" w:rsidRPr="000E4757" w:rsidRDefault="00A60D4B" w:rsidP="00A60D4B">
            <w:pPr>
              <w:pStyle w:val="Btablefigureunbold"/>
            </w:pPr>
            <w:r w:rsidRPr="000E4757">
              <w:t>112,572</w:t>
            </w:r>
          </w:p>
        </w:tc>
        <w:tc>
          <w:tcPr>
            <w:tcW w:w="1162" w:type="dxa"/>
            <w:tcBorders>
              <w:top w:val="nil"/>
              <w:left w:val="nil"/>
              <w:bottom w:val="nil"/>
              <w:right w:val="nil"/>
            </w:tcBorders>
            <w:shd w:val="clear" w:color="auto" w:fill="auto"/>
          </w:tcPr>
          <w:p w14:paraId="351B4973" w14:textId="77777777" w:rsidR="00A60D4B" w:rsidRPr="000E4757" w:rsidRDefault="00A60D4B" w:rsidP="00A60D4B">
            <w:pPr>
              <w:pStyle w:val="Btablefigureunbold"/>
            </w:pPr>
            <w:r w:rsidRPr="000E4757">
              <w:t>461,474</w:t>
            </w:r>
          </w:p>
        </w:tc>
        <w:tc>
          <w:tcPr>
            <w:tcW w:w="1162" w:type="dxa"/>
            <w:tcBorders>
              <w:top w:val="nil"/>
              <w:left w:val="nil"/>
              <w:bottom w:val="nil"/>
              <w:right w:val="nil"/>
            </w:tcBorders>
            <w:shd w:val="clear" w:color="472D8C" w:fill="auto"/>
          </w:tcPr>
          <w:p w14:paraId="72DD954B" w14:textId="77777777" w:rsidR="00A60D4B" w:rsidRPr="000E4757" w:rsidRDefault="00A60D4B" w:rsidP="00A60D4B">
            <w:pPr>
              <w:pStyle w:val="Btablefigureunbold"/>
            </w:pPr>
            <w:r w:rsidRPr="000E4757">
              <w:t>132,124</w:t>
            </w:r>
          </w:p>
        </w:tc>
        <w:tc>
          <w:tcPr>
            <w:tcW w:w="1162" w:type="dxa"/>
            <w:tcBorders>
              <w:top w:val="nil"/>
              <w:left w:val="nil"/>
              <w:bottom w:val="nil"/>
              <w:right w:val="nil"/>
            </w:tcBorders>
            <w:shd w:val="clear" w:color="auto" w:fill="auto"/>
          </w:tcPr>
          <w:p w14:paraId="39B55A41" w14:textId="77777777" w:rsidR="00A60D4B" w:rsidRPr="000E4757" w:rsidRDefault="00A60D4B" w:rsidP="00A60D4B">
            <w:pPr>
              <w:pStyle w:val="Btablefigureunbold"/>
            </w:pPr>
            <w:r w:rsidRPr="000E4757">
              <w:t>133,293</w:t>
            </w:r>
          </w:p>
        </w:tc>
        <w:tc>
          <w:tcPr>
            <w:tcW w:w="1163" w:type="dxa"/>
            <w:tcBorders>
              <w:top w:val="nil"/>
              <w:left w:val="nil"/>
              <w:bottom w:val="nil"/>
            </w:tcBorders>
            <w:shd w:val="clear" w:color="auto" w:fill="auto"/>
          </w:tcPr>
          <w:p w14:paraId="7D543AC3" w14:textId="77777777" w:rsidR="00A60D4B" w:rsidRPr="000E4757" w:rsidRDefault="00A60D4B" w:rsidP="00A60D4B">
            <w:pPr>
              <w:pStyle w:val="Btablefigureunbold"/>
            </w:pPr>
            <w:r w:rsidRPr="000E4757">
              <w:t>131,719</w:t>
            </w:r>
          </w:p>
        </w:tc>
      </w:tr>
      <w:tr w:rsidR="00A60D4B" w:rsidRPr="000E4757" w14:paraId="42646650" w14:textId="77777777" w:rsidTr="00A60D4B">
        <w:trPr>
          <w:trHeight w:val="270"/>
        </w:trPr>
        <w:tc>
          <w:tcPr>
            <w:tcW w:w="3261" w:type="dxa"/>
            <w:tcBorders>
              <w:top w:val="nil"/>
              <w:bottom w:val="single" w:sz="4" w:space="0" w:color="auto"/>
              <w:right w:val="nil"/>
            </w:tcBorders>
            <w:shd w:val="clear" w:color="auto" w:fill="auto"/>
          </w:tcPr>
          <w:p w14:paraId="1ADFCA89" w14:textId="77777777" w:rsidR="00A60D4B" w:rsidRPr="000E4757" w:rsidRDefault="00A60D4B" w:rsidP="00A60D4B">
            <w:pPr>
              <w:pStyle w:val="Btabletextunbold"/>
            </w:pPr>
            <w:r w:rsidRPr="000E4757">
              <w:t>Housing and community amenities</w:t>
            </w:r>
          </w:p>
        </w:tc>
        <w:tc>
          <w:tcPr>
            <w:tcW w:w="1275" w:type="dxa"/>
            <w:tcBorders>
              <w:top w:val="nil"/>
              <w:left w:val="nil"/>
              <w:bottom w:val="single" w:sz="4" w:space="0" w:color="auto"/>
              <w:right w:val="nil"/>
            </w:tcBorders>
            <w:shd w:val="clear" w:color="auto" w:fill="auto"/>
          </w:tcPr>
          <w:p w14:paraId="1669A2DE" w14:textId="77777777" w:rsidR="00A60D4B" w:rsidRPr="000E4757" w:rsidRDefault="00A60D4B" w:rsidP="00A60D4B">
            <w:pPr>
              <w:pStyle w:val="Btablefigureunbold"/>
            </w:pPr>
            <w:r w:rsidRPr="000E4757">
              <w:t>92,458</w:t>
            </w:r>
          </w:p>
        </w:tc>
        <w:tc>
          <w:tcPr>
            <w:tcW w:w="1162" w:type="dxa"/>
            <w:tcBorders>
              <w:top w:val="nil"/>
              <w:left w:val="nil"/>
              <w:bottom w:val="single" w:sz="4" w:space="0" w:color="auto"/>
              <w:right w:val="nil"/>
            </w:tcBorders>
            <w:shd w:val="clear" w:color="auto" w:fill="auto"/>
          </w:tcPr>
          <w:p w14:paraId="6D99E1DB" w14:textId="77777777" w:rsidR="00A60D4B" w:rsidRPr="000E4757" w:rsidRDefault="00A60D4B" w:rsidP="00A60D4B">
            <w:pPr>
              <w:pStyle w:val="Btablefigureunbold"/>
            </w:pPr>
            <w:r w:rsidRPr="000E4757">
              <w:t>103,675</w:t>
            </w:r>
          </w:p>
        </w:tc>
        <w:tc>
          <w:tcPr>
            <w:tcW w:w="1162" w:type="dxa"/>
            <w:tcBorders>
              <w:top w:val="nil"/>
              <w:left w:val="nil"/>
              <w:bottom w:val="single" w:sz="4" w:space="0" w:color="auto"/>
              <w:right w:val="nil"/>
            </w:tcBorders>
            <w:shd w:val="clear" w:color="472D8C" w:fill="auto"/>
          </w:tcPr>
          <w:p w14:paraId="437A8C23" w14:textId="77777777" w:rsidR="00A60D4B" w:rsidRPr="000E4757" w:rsidRDefault="00A60D4B" w:rsidP="00A60D4B">
            <w:pPr>
              <w:pStyle w:val="Btablefigureunbold"/>
            </w:pPr>
            <w:r w:rsidRPr="000E4757">
              <w:t>83,629</w:t>
            </w:r>
          </w:p>
        </w:tc>
        <w:tc>
          <w:tcPr>
            <w:tcW w:w="1162" w:type="dxa"/>
            <w:tcBorders>
              <w:top w:val="nil"/>
              <w:left w:val="nil"/>
              <w:bottom w:val="single" w:sz="4" w:space="0" w:color="auto"/>
              <w:right w:val="nil"/>
            </w:tcBorders>
            <w:shd w:val="clear" w:color="auto" w:fill="auto"/>
          </w:tcPr>
          <w:p w14:paraId="4F5F050A" w14:textId="77777777" w:rsidR="00A60D4B" w:rsidRPr="000E4757" w:rsidRDefault="00A60D4B" w:rsidP="00A60D4B">
            <w:pPr>
              <w:pStyle w:val="Btablefigureunbold"/>
            </w:pPr>
            <w:r w:rsidRPr="000E4757">
              <w:t>84,509</w:t>
            </w:r>
          </w:p>
        </w:tc>
        <w:tc>
          <w:tcPr>
            <w:tcW w:w="1163" w:type="dxa"/>
            <w:tcBorders>
              <w:top w:val="nil"/>
              <w:left w:val="nil"/>
              <w:bottom w:val="single" w:sz="4" w:space="0" w:color="auto"/>
            </w:tcBorders>
            <w:shd w:val="clear" w:color="auto" w:fill="auto"/>
          </w:tcPr>
          <w:p w14:paraId="0B5120CF" w14:textId="77777777" w:rsidR="00A60D4B" w:rsidRPr="000E4757" w:rsidRDefault="00A60D4B" w:rsidP="00A60D4B">
            <w:pPr>
              <w:pStyle w:val="Btablefigureunbold"/>
            </w:pPr>
            <w:r w:rsidRPr="000E4757">
              <w:t>84,680</w:t>
            </w:r>
          </w:p>
        </w:tc>
      </w:tr>
      <w:tr w:rsidR="00A60D4B" w:rsidRPr="00921FFC" w14:paraId="32C66702" w14:textId="77777777" w:rsidTr="00A60D4B">
        <w:trPr>
          <w:trHeight w:val="270"/>
        </w:trPr>
        <w:tc>
          <w:tcPr>
            <w:tcW w:w="3261" w:type="dxa"/>
            <w:tcBorders>
              <w:top w:val="single" w:sz="4" w:space="0" w:color="auto"/>
              <w:bottom w:val="single" w:sz="4" w:space="0" w:color="auto"/>
            </w:tcBorders>
          </w:tcPr>
          <w:p w14:paraId="20B5DEFC" w14:textId="77777777" w:rsidR="00A60D4B" w:rsidRPr="00921FFC" w:rsidRDefault="00A60D4B" w:rsidP="00A60D4B">
            <w:pPr>
              <w:pStyle w:val="Btabletextbolditalic"/>
              <w:rPr>
                <w:i w:val="0"/>
                <w:color w:val="472D8C"/>
              </w:rPr>
            </w:pPr>
            <w:r w:rsidRPr="00921FFC">
              <w:rPr>
                <w:i w:val="0"/>
                <w:color w:val="472D8C"/>
              </w:rPr>
              <w:t>Total expenses</w:t>
            </w:r>
          </w:p>
        </w:tc>
        <w:tc>
          <w:tcPr>
            <w:tcW w:w="1275" w:type="dxa"/>
            <w:tcBorders>
              <w:top w:val="single" w:sz="4" w:space="0" w:color="auto"/>
              <w:bottom w:val="single" w:sz="4" w:space="0" w:color="auto"/>
            </w:tcBorders>
          </w:tcPr>
          <w:p w14:paraId="7C382DCE" w14:textId="77777777" w:rsidR="00A60D4B" w:rsidRPr="00921FFC" w:rsidRDefault="00A60D4B" w:rsidP="00A60D4B">
            <w:pPr>
              <w:pStyle w:val="Btabletextbolditalic"/>
              <w:jc w:val="right"/>
              <w:rPr>
                <w:i w:val="0"/>
                <w:color w:val="472D8C"/>
              </w:rPr>
            </w:pPr>
            <w:r w:rsidRPr="00921FFC">
              <w:rPr>
                <w:i w:val="0"/>
                <w:iCs/>
                <w:color w:val="472D8C"/>
              </w:rPr>
              <w:t>6,794,132</w:t>
            </w:r>
          </w:p>
        </w:tc>
        <w:tc>
          <w:tcPr>
            <w:tcW w:w="1162" w:type="dxa"/>
            <w:tcBorders>
              <w:top w:val="single" w:sz="4" w:space="0" w:color="auto"/>
              <w:bottom w:val="single" w:sz="4" w:space="0" w:color="auto"/>
            </w:tcBorders>
            <w:shd w:val="clear" w:color="auto" w:fill="auto"/>
          </w:tcPr>
          <w:p w14:paraId="124223E3" w14:textId="77777777" w:rsidR="00A60D4B" w:rsidRPr="00921FFC" w:rsidRDefault="00A60D4B" w:rsidP="00A60D4B">
            <w:pPr>
              <w:pStyle w:val="Btabletextbolditalic"/>
              <w:jc w:val="right"/>
              <w:rPr>
                <w:i w:val="0"/>
                <w:color w:val="472D8C"/>
              </w:rPr>
            </w:pPr>
            <w:r w:rsidRPr="00921FFC">
              <w:rPr>
                <w:i w:val="0"/>
                <w:iCs/>
                <w:color w:val="472D8C"/>
              </w:rPr>
              <w:t>7,764,689</w:t>
            </w:r>
          </w:p>
        </w:tc>
        <w:tc>
          <w:tcPr>
            <w:tcW w:w="1162" w:type="dxa"/>
            <w:tcBorders>
              <w:top w:val="single" w:sz="4" w:space="0" w:color="auto"/>
              <w:bottom w:val="single" w:sz="4" w:space="0" w:color="auto"/>
            </w:tcBorders>
            <w:shd w:val="clear" w:color="472D8C" w:fill="auto"/>
          </w:tcPr>
          <w:p w14:paraId="0E676C3F" w14:textId="77777777" w:rsidR="00A60D4B" w:rsidRPr="00921FFC" w:rsidRDefault="00A60D4B" w:rsidP="00A60D4B">
            <w:pPr>
              <w:pStyle w:val="Btabletextbolditalic"/>
              <w:jc w:val="right"/>
              <w:rPr>
                <w:i w:val="0"/>
                <w:color w:val="472D8C"/>
              </w:rPr>
            </w:pPr>
            <w:r w:rsidRPr="00921FFC">
              <w:rPr>
                <w:i w:val="0"/>
                <w:iCs/>
                <w:color w:val="472D8C"/>
              </w:rPr>
              <w:t>7,337,336</w:t>
            </w:r>
          </w:p>
        </w:tc>
        <w:tc>
          <w:tcPr>
            <w:tcW w:w="1162" w:type="dxa"/>
            <w:tcBorders>
              <w:top w:val="single" w:sz="4" w:space="0" w:color="auto"/>
              <w:bottom w:val="single" w:sz="4" w:space="0" w:color="auto"/>
            </w:tcBorders>
            <w:shd w:val="clear" w:color="auto" w:fill="auto"/>
          </w:tcPr>
          <w:p w14:paraId="30B069E1" w14:textId="77777777" w:rsidR="00A60D4B" w:rsidRPr="00921FFC" w:rsidRDefault="00A60D4B" w:rsidP="00A60D4B">
            <w:pPr>
              <w:pStyle w:val="Btabletextbolditalic"/>
              <w:jc w:val="right"/>
              <w:rPr>
                <w:i w:val="0"/>
                <w:color w:val="472D8C"/>
              </w:rPr>
            </w:pPr>
            <w:r w:rsidRPr="00921FFC">
              <w:rPr>
                <w:i w:val="0"/>
                <w:iCs/>
                <w:color w:val="472D8C"/>
              </w:rPr>
              <w:t>7,474,360</w:t>
            </w:r>
          </w:p>
        </w:tc>
        <w:tc>
          <w:tcPr>
            <w:tcW w:w="1163" w:type="dxa"/>
            <w:tcBorders>
              <w:top w:val="single" w:sz="4" w:space="0" w:color="auto"/>
              <w:bottom w:val="single" w:sz="4" w:space="0" w:color="auto"/>
            </w:tcBorders>
          </w:tcPr>
          <w:p w14:paraId="7ADAB108" w14:textId="77777777" w:rsidR="00A60D4B" w:rsidRPr="00921FFC" w:rsidRDefault="00A60D4B" w:rsidP="00A60D4B">
            <w:pPr>
              <w:pStyle w:val="Btabletextbolditalic"/>
              <w:jc w:val="right"/>
              <w:rPr>
                <w:i w:val="0"/>
                <w:color w:val="472D8C"/>
              </w:rPr>
            </w:pPr>
            <w:r w:rsidRPr="00921FFC">
              <w:rPr>
                <w:i w:val="0"/>
                <w:iCs/>
                <w:color w:val="472D8C"/>
              </w:rPr>
              <w:t>7,691,977</w:t>
            </w:r>
          </w:p>
        </w:tc>
      </w:tr>
    </w:tbl>
    <w:p w14:paraId="006A8F2C" w14:textId="77777777" w:rsidR="00A60D4B" w:rsidRDefault="00A60D4B" w:rsidP="00A60D4B">
      <w:pPr>
        <w:pStyle w:val="BNoteBold"/>
      </w:pPr>
      <w:r>
        <w:t>Note:</w:t>
      </w:r>
    </w:p>
    <w:p w14:paraId="13033D7D" w14:textId="77777777" w:rsidR="00A60D4B" w:rsidRPr="00CE621C" w:rsidRDefault="00A60D4B" w:rsidP="00A60D4B">
      <w:pPr>
        <w:pStyle w:val="BNotelist"/>
        <w:numPr>
          <w:ilvl w:val="0"/>
          <w:numId w:val="0"/>
        </w:numPr>
        <w:ind w:left="360" w:hanging="360"/>
      </w:pPr>
      <w:r>
        <w:t>Numbers may not add due to rounding.</w:t>
      </w:r>
    </w:p>
    <w:p w14:paraId="7E5AA838" w14:textId="77777777" w:rsidR="00A60D4B" w:rsidRPr="00FE175E" w:rsidRDefault="00A60D4B" w:rsidP="00A60D4B">
      <w:pPr>
        <w:pStyle w:val="Bbodytext"/>
      </w:pPr>
      <w:r w:rsidRPr="00FE175E">
        <w:t xml:space="preserve">Significant areas of growth across the forward estimate period include </w:t>
      </w:r>
      <w:r w:rsidRPr="002F1870">
        <w:t>health, education, economic affairs, and general public service functions. The growth in these areas largely reflect</w:t>
      </w:r>
      <w:r>
        <w:t>s</w:t>
      </w:r>
      <w:r w:rsidRPr="002F1870">
        <w:t xml:space="preserve"> additional support to our businesses and community in response to the COVID</w:t>
      </w:r>
      <w:r w:rsidRPr="002F1870">
        <w:noBreakHyphen/>
        <w:t xml:space="preserve">19 pandemic, </w:t>
      </w:r>
      <w:r>
        <w:t xml:space="preserve">including in health and public order and safety, </w:t>
      </w:r>
      <w:r w:rsidRPr="002F1870">
        <w:t>as well as underlying increases in wages and superannuation expenses for the ACT Government’s workforce.</w:t>
      </w:r>
      <w:r>
        <w:t xml:space="preserve"> It also reflects longer-term funding commitments to support the long-term sustainability of Territory health services and to deliver improved outcomes in education and skills training.</w:t>
      </w:r>
    </w:p>
    <w:p w14:paraId="76F46071" w14:textId="77777777" w:rsidR="00A60D4B" w:rsidRDefault="00A60D4B" w:rsidP="00A60D4B">
      <w:pPr>
        <w:pStyle w:val="Bbodytext"/>
        <w:rPr>
          <w:highlight w:val="yellow"/>
        </w:rPr>
      </w:pPr>
      <w:r>
        <w:t>Reductions</w:t>
      </w:r>
      <w:r w:rsidRPr="00FE175E">
        <w:t xml:space="preserve"> </w:t>
      </w:r>
      <w:r>
        <w:t>between years in particular functions generally</w:t>
      </w:r>
      <w:r w:rsidRPr="00FE175E">
        <w:t xml:space="preserve"> reflect</w:t>
      </w:r>
      <w:r>
        <w:t xml:space="preserve"> </w:t>
      </w:r>
      <w:r w:rsidRPr="00767069">
        <w:t>the planned completion of</w:t>
      </w:r>
      <w:r>
        <w:t xml:space="preserve"> major</w:t>
      </w:r>
      <w:r w:rsidRPr="00767069">
        <w:t xml:space="preserve"> programs</w:t>
      </w:r>
      <w:r>
        <w:t xml:space="preserve"> </w:t>
      </w:r>
      <w:r w:rsidRPr="00767069">
        <w:t>or one</w:t>
      </w:r>
      <w:r w:rsidRPr="00767069">
        <w:noBreakHyphen/>
        <w:t xml:space="preserve">off impacts. </w:t>
      </w:r>
      <w:r>
        <w:t>The reduction</w:t>
      </w:r>
      <w:r w:rsidRPr="00767069">
        <w:t xml:space="preserve"> in the environmental protection </w:t>
      </w:r>
      <w:r>
        <w:t>function</w:t>
      </w:r>
      <w:r w:rsidRPr="00767069">
        <w:t xml:space="preserve"> is mainly due to the surrender of </w:t>
      </w:r>
      <w:r>
        <w:t>La</w:t>
      </w:r>
      <w:r w:rsidRPr="00767069">
        <w:t xml:space="preserve">rge-scale </w:t>
      </w:r>
      <w:r>
        <w:t>G</w:t>
      </w:r>
      <w:r w:rsidRPr="00767069">
        <w:t xml:space="preserve">eneration </w:t>
      </w:r>
      <w:r>
        <w:t>C</w:t>
      </w:r>
      <w:r w:rsidRPr="00767069">
        <w:t>ertificate</w:t>
      </w:r>
      <w:r>
        <w:t>s</w:t>
      </w:r>
      <w:r w:rsidRPr="00767069">
        <w:t xml:space="preserve"> being lower across the forward estimates</w:t>
      </w:r>
      <w:r>
        <w:t xml:space="preserve"> period</w:t>
      </w:r>
      <w:r w:rsidRPr="00767069">
        <w:t xml:space="preserve">. </w:t>
      </w:r>
    </w:p>
    <w:p w14:paraId="1824CD75" w14:textId="77777777" w:rsidR="00A60D4B" w:rsidRDefault="00A60D4B" w:rsidP="00A60D4B">
      <w:pPr>
        <w:pStyle w:val="Bbodytext"/>
        <w:rPr>
          <w:shd w:val="clear" w:color="auto" w:fill="7F8FDC" w:themeFill="accent2" w:themeFillTint="99"/>
        </w:rPr>
      </w:pPr>
      <w:r w:rsidRPr="004D216B">
        <w:t>As the expense data refers to the General Government Sector, government expenditure in the Public Trading Enterprises Sector</w:t>
      </w:r>
      <w:r>
        <w:t xml:space="preserve"> </w:t>
      </w:r>
      <w:r w:rsidRPr="004D216B">
        <w:t>is largely excluded.</w:t>
      </w:r>
    </w:p>
    <w:p w14:paraId="56EAC576" w14:textId="77777777" w:rsidR="00A60D4B" w:rsidRPr="00F059AC" w:rsidRDefault="00A60D4B" w:rsidP="00A60D4B">
      <w:pPr>
        <w:pStyle w:val="Heading4"/>
      </w:pPr>
      <w:bookmarkStart w:id="71" w:name="_Toc63586662"/>
      <w:r w:rsidRPr="00F059AC">
        <w:t>Where will Government spending go in 202</w:t>
      </w:r>
      <w:r>
        <w:t>1</w:t>
      </w:r>
      <w:r w:rsidRPr="00F059AC">
        <w:t>-2</w:t>
      </w:r>
      <w:r>
        <w:t>2</w:t>
      </w:r>
      <w:r w:rsidRPr="00F059AC">
        <w:t>?</w:t>
      </w:r>
      <w:bookmarkEnd w:id="71"/>
    </w:p>
    <w:p w14:paraId="07A63668" w14:textId="77777777" w:rsidR="00A60D4B" w:rsidRDefault="00A60D4B" w:rsidP="00A60D4B">
      <w:pPr>
        <w:pStyle w:val="Bbodytext"/>
      </w:pPr>
      <w:r>
        <w:t>Slightly under half of the Government’s total expenses relate to healthcare and education, demonstrating the strong priority we place on these essential services.</w:t>
      </w:r>
    </w:p>
    <w:p w14:paraId="0E81F4E6" w14:textId="77777777" w:rsidR="00A60D4B" w:rsidRDefault="00A60D4B" w:rsidP="00A60D4B">
      <w:pPr>
        <w:pStyle w:val="Bbodytext"/>
      </w:pPr>
      <w:r>
        <w:t>General public services account for a further 18 per cent of expenses. This category refers to expenses relating to the organisation and operation of government, including enabling services for other functions such as whole of government insurance costs and financial and fiscal affairs, including interest on borrowings and superannuation. It also includes the delivery of Access Canberra as an efficient and accessible point of contact for Canberrans to do business with government both digitally and physically.</w:t>
      </w:r>
    </w:p>
    <w:p w14:paraId="2A9CC91D" w14:textId="77777777" w:rsidR="00A60D4B" w:rsidRDefault="00A60D4B" w:rsidP="00A60D4B">
      <w:pPr>
        <w:pStyle w:val="Bbodytext"/>
      </w:pPr>
      <w:r>
        <w:t>As shown in Figure 3.4.2, the remaining government expenses are mainly for public order and safety, social protection, transport, and economic affairs.</w:t>
      </w:r>
    </w:p>
    <w:p w14:paraId="5BDC21CB" w14:textId="77777777" w:rsidR="00A60D4B" w:rsidRDefault="00A60D4B" w:rsidP="00A60D4B">
      <w:pPr>
        <w:pStyle w:val="Bbodytext"/>
        <w:keepNext/>
        <w:keepLines/>
      </w:pPr>
      <w:r>
        <w:lastRenderedPageBreak/>
        <w:t xml:space="preserve">The share of spending allocated to any individual area of government necessarily affects the </w:t>
      </w:r>
      <w:r w:rsidRPr="00997237">
        <w:t>shares of all other areas. For example, the 2021</w:t>
      </w:r>
      <w:r w:rsidRPr="00997237">
        <w:noBreakHyphen/>
        <w:t>22 Budget makes a significant investment in support for Canberrans impacted by the pandemic</w:t>
      </w:r>
      <w:r>
        <w:t>,</w:t>
      </w:r>
      <w:r w:rsidRPr="00997237">
        <w:t xml:space="preserve"> with initiatives such as the COVID</w:t>
      </w:r>
      <w:r w:rsidRPr="00997237">
        <w:noBreakHyphen/>
        <w:t xml:space="preserve">19 Response </w:t>
      </w:r>
      <w:r>
        <w:t>F</w:t>
      </w:r>
      <w:r w:rsidRPr="00997237">
        <w:t xml:space="preserve">und and COVID-19 Business </w:t>
      </w:r>
      <w:r>
        <w:t>S</w:t>
      </w:r>
      <w:r w:rsidRPr="00997237">
        <w:t xml:space="preserve">upport </w:t>
      </w:r>
      <w:r>
        <w:t>G</w:t>
      </w:r>
      <w:r w:rsidRPr="00997237">
        <w:t>rants. A</w:t>
      </w:r>
      <w:r>
        <w:t>s a result of these large investments, other areas of government may represent a smaller share of total spending than in previous years. However, this does not mean the Government’s investment in these areas is falling in dollar terms.</w:t>
      </w:r>
    </w:p>
    <w:p w14:paraId="270954CB" w14:textId="6C26B0C4" w:rsidR="00A60D4B" w:rsidRDefault="00A60D4B" w:rsidP="00A60D4B">
      <w:pPr>
        <w:pStyle w:val="Caption"/>
      </w:pPr>
      <w:r w:rsidRPr="00720DA9">
        <w:t xml:space="preserve">Figure </w:t>
      </w:r>
      <w:r w:rsidRPr="00720DA9">
        <w:fldChar w:fldCharType="begin"/>
      </w:r>
      <w:r w:rsidRPr="00720DA9">
        <w:instrText>STYLEREF 2 \s</w:instrText>
      </w:r>
      <w:r w:rsidRPr="00720DA9">
        <w:fldChar w:fldCharType="separate"/>
      </w:r>
      <w:r w:rsidR="00F12A80">
        <w:rPr>
          <w:noProof/>
        </w:rPr>
        <w:t>3.4</w:t>
      </w:r>
      <w:r w:rsidRPr="00720DA9">
        <w:fldChar w:fldCharType="end"/>
      </w:r>
      <w:r w:rsidRPr="00720DA9">
        <w:t>.</w:t>
      </w:r>
      <w:r w:rsidRPr="00720DA9">
        <w:fldChar w:fldCharType="begin"/>
      </w:r>
      <w:r w:rsidRPr="00720DA9">
        <w:instrText>SEQ Figure \* ARABIC \s 2</w:instrText>
      </w:r>
      <w:r w:rsidRPr="00720DA9">
        <w:fldChar w:fldCharType="separate"/>
      </w:r>
      <w:r w:rsidR="00F12A80">
        <w:rPr>
          <w:noProof/>
        </w:rPr>
        <w:t>2</w:t>
      </w:r>
      <w:r w:rsidRPr="00720DA9">
        <w:fldChar w:fldCharType="end"/>
      </w:r>
      <w:r w:rsidRPr="00720DA9">
        <w:t>: Components of 202</w:t>
      </w:r>
      <w:r>
        <w:t>1</w:t>
      </w:r>
      <w:r w:rsidRPr="00720DA9">
        <w:t>-2</w:t>
      </w:r>
      <w:r>
        <w:t>2</w:t>
      </w:r>
      <w:r w:rsidRPr="00720DA9">
        <w:t xml:space="preserve"> General Government Sector expenses</w:t>
      </w:r>
    </w:p>
    <w:p w14:paraId="2C06C6BD" w14:textId="77777777" w:rsidR="00A60D4B" w:rsidRPr="00C80E61" w:rsidRDefault="00A60D4B" w:rsidP="00A60D4B">
      <w:r>
        <w:rPr>
          <w:noProof/>
        </w:rPr>
        <w:drawing>
          <wp:inline distT="0" distB="0" distL="0" distR="0" wp14:anchorId="28AE74C3" wp14:editId="47C21C4E">
            <wp:extent cx="5722620" cy="3977640"/>
            <wp:effectExtent l="0" t="0" r="0" b="3810"/>
            <wp:docPr id="323" name="Chart 323">
              <a:extLst xmlns:a="http://schemas.openxmlformats.org/drawingml/2006/main">
                <a:ext uri="{FF2B5EF4-FFF2-40B4-BE49-F238E27FC236}">
                  <a16:creationId xmlns:a16="http://schemas.microsoft.com/office/drawing/2014/main" id="{692E0372-17B1-4FA9-B569-78C3627EC5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1B031615" w14:textId="77777777" w:rsidR="00A60D4B" w:rsidRDefault="00A60D4B" w:rsidP="00A60D4B">
      <w:pPr>
        <w:pStyle w:val="Bbodytext"/>
      </w:pPr>
    </w:p>
    <w:p w14:paraId="6072D9CD" w14:textId="77777777" w:rsidR="00A60D4B" w:rsidRPr="00E1408C" w:rsidRDefault="00A60D4B" w:rsidP="00A60D4B">
      <w:pPr>
        <w:pStyle w:val="Heading4"/>
      </w:pPr>
      <w:bookmarkStart w:id="72" w:name="_Toc63586663"/>
      <w:r w:rsidRPr="00E1408C">
        <w:t>Consolidated General Government Sector expenses</w:t>
      </w:r>
      <w:bookmarkEnd w:id="72"/>
    </w:p>
    <w:p w14:paraId="311A73D3" w14:textId="77777777" w:rsidR="00A60D4B" w:rsidRPr="00E1408C" w:rsidRDefault="00A60D4B" w:rsidP="00A60D4B">
      <w:pPr>
        <w:pStyle w:val="Bbodytext"/>
      </w:pPr>
      <w:r w:rsidRPr="00E1408C">
        <w:t>Total expenses for the General Government Sector were $</w:t>
      </w:r>
      <w:r>
        <w:t>6.8</w:t>
      </w:r>
      <w:r w:rsidRPr="00E1408C">
        <w:t> billion in 20</w:t>
      </w:r>
      <w:r>
        <w:t>20</w:t>
      </w:r>
      <w:r w:rsidRPr="00E1408C">
        <w:noBreakHyphen/>
        <w:t>2</w:t>
      </w:r>
      <w:r>
        <w:t>1</w:t>
      </w:r>
      <w:r w:rsidRPr="00E1408C">
        <w:t>, forecast to grow to $</w:t>
      </w:r>
      <w:r>
        <w:t>7</w:t>
      </w:r>
      <w:r w:rsidRPr="00E1408C">
        <w:t>.</w:t>
      </w:r>
      <w:r>
        <w:t>8</w:t>
      </w:r>
      <w:r w:rsidRPr="00E1408C">
        <w:t> billion in 202</w:t>
      </w:r>
      <w:r>
        <w:t>1</w:t>
      </w:r>
      <w:r w:rsidRPr="00E1408C">
        <w:noBreakHyphen/>
        <w:t>2</w:t>
      </w:r>
      <w:r>
        <w:t>2</w:t>
      </w:r>
      <w:r w:rsidRPr="00E1408C">
        <w:t xml:space="preserve">. As in </w:t>
      </w:r>
      <w:r>
        <w:t>previous</w:t>
      </w:r>
      <w:r w:rsidRPr="00E1408C">
        <w:t xml:space="preserve"> years, almost half of the expenses in 202</w:t>
      </w:r>
      <w:r>
        <w:t>1</w:t>
      </w:r>
      <w:r w:rsidRPr="00E1408C">
        <w:noBreakHyphen/>
        <w:t>2</w:t>
      </w:r>
      <w:r>
        <w:t>2</w:t>
      </w:r>
      <w:r w:rsidRPr="00E1408C">
        <w:t xml:space="preserve"> relate to employee wages and superannuation.</w:t>
      </w:r>
    </w:p>
    <w:p w14:paraId="5EDA4423" w14:textId="77777777" w:rsidR="00A60D4B" w:rsidRPr="00E1408C" w:rsidRDefault="00A60D4B" w:rsidP="00A60D4B">
      <w:pPr>
        <w:pStyle w:val="Bbodytext"/>
      </w:pPr>
      <w:r w:rsidRPr="009144D5">
        <w:t>Expenses in 2020-21 are $44.4 million higher than forecast in the 2020</w:t>
      </w:r>
      <w:r w:rsidRPr="009144D5">
        <w:noBreakHyphen/>
        <w:t>21 Budget</w:t>
      </w:r>
      <w:r>
        <w:t>.</w:t>
      </w:r>
      <w:r w:rsidRPr="009144D5">
        <w:t xml:space="preserve"> </w:t>
      </w:r>
    </w:p>
    <w:p w14:paraId="7674CE6D" w14:textId="77777777" w:rsidR="00A60D4B" w:rsidRDefault="00A60D4B">
      <w:pPr>
        <w:rPr>
          <w:sz w:val="24"/>
        </w:rPr>
      </w:pPr>
      <w:r>
        <w:br w:type="page"/>
      </w:r>
    </w:p>
    <w:p w14:paraId="7A201205" w14:textId="5C58418C" w:rsidR="00A60D4B" w:rsidRDefault="00A60D4B" w:rsidP="00A60D4B">
      <w:pPr>
        <w:pStyle w:val="Caption"/>
      </w:pPr>
      <w:r>
        <w:lastRenderedPageBreak/>
        <w:t>Table 3.4.</w:t>
      </w:r>
      <w:r w:rsidR="008812C5">
        <w:t>2</w:t>
      </w:r>
      <w:r>
        <w:t>: General Government Sector expenses</w:t>
      </w:r>
    </w:p>
    <w:tbl>
      <w:tblPr>
        <w:tblW w:w="9185" w:type="dxa"/>
        <w:tblBorders>
          <w:top w:val="single" w:sz="4" w:space="0" w:color="auto"/>
          <w:bottom w:val="single" w:sz="4" w:space="0" w:color="auto"/>
          <w:insideH w:val="single" w:sz="4" w:space="0" w:color="auto"/>
        </w:tblBorders>
        <w:tblLayout w:type="fixed"/>
        <w:tblCellMar>
          <w:left w:w="85" w:type="dxa"/>
        </w:tblCellMar>
        <w:tblLook w:val="04A0" w:firstRow="1" w:lastRow="0" w:firstColumn="1" w:lastColumn="0" w:noHBand="0" w:noVBand="1"/>
      </w:tblPr>
      <w:tblGrid>
        <w:gridCol w:w="1987"/>
        <w:gridCol w:w="1133"/>
        <w:gridCol w:w="1133"/>
        <w:gridCol w:w="1133"/>
        <w:gridCol w:w="568"/>
        <w:gridCol w:w="1122"/>
        <w:gridCol w:w="1010"/>
        <w:gridCol w:w="1099"/>
      </w:tblGrid>
      <w:tr w:rsidR="00A60D4B" w:rsidRPr="00E53CCF" w14:paraId="1BD3080C" w14:textId="77777777" w:rsidTr="00A60D4B">
        <w:trPr>
          <w:trHeight w:val="156"/>
        </w:trPr>
        <w:tc>
          <w:tcPr>
            <w:tcW w:w="1081" w:type="pct"/>
            <w:tcBorders>
              <w:bottom w:val="single" w:sz="4" w:space="0" w:color="auto"/>
            </w:tcBorders>
            <w:shd w:val="clear" w:color="auto" w:fill="472D8C"/>
          </w:tcPr>
          <w:p w14:paraId="3B6055B5" w14:textId="77777777" w:rsidR="00A60D4B" w:rsidRPr="00111524" w:rsidRDefault="00A60D4B" w:rsidP="00A60D4B">
            <w:pPr>
              <w:rPr>
                <w:rFonts w:cs="Calibri"/>
                <w:b/>
                <w:color w:val="FFFFFF" w:themeColor="background1"/>
                <w:sz w:val="20"/>
              </w:rPr>
            </w:pPr>
          </w:p>
        </w:tc>
        <w:tc>
          <w:tcPr>
            <w:tcW w:w="617" w:type="pct"/>
            <w:tcBorders>
              <w:bottom w:val="single" w:sz="4" w:space="0" w:color="auto"/>
            </w:tcBorders>
            <w:shd w:val="clear" w:color="auto" w:fill="472D8C"/>
          </w:tcPr>
          <w:p w14:paraId="79C4DF63" w14:textId="77777777" w:rsidR="00A60D4B" w:rsidRPr="00E53CCF" w:rsidRDefault="00A60D4B" w:rsidP="00A60D4B">
            <w:pPr>
              <w:spacing w:after="0"/>
              <w:jc w:val="right"/>
              <w:rPr>
                <w:rFonts w:cs="Calibri"/>
                <w:b/>
                <w:color w:val="FFFFFF" w:themeColor="background1"/>
                <w:sz w:val="20"/>
              </w:rPr>
            </w:pPr>
            <w:r w:rsidRPr="00E53CCF">
              <w:rPr>
                <w:rFonts w:cs="Calibri"/>
                <w:b/>
                <w:color w:val="FFFFFF" w:themeColor="background1"/>
                <w:sz w:val="20"/>
              </w:rPr>
              <w:t>2020-21</w:t>
            </w:r>
          </w:p>
          <w:p w14:paraId="10BAC29E" w14:textId="77777777" w:rsidR="00A60D4B" w:rsidRPr="00E53CCF" w:rsidRDefault="00A60D4B" w:rsidP="00A60D4B">
            <w:pPr>
              <w:spacing w:after="0"/>
              <w:jc w:val="right"/>
              <w:rPr>
                <w:rFonts w:cs="Calibri"/>
                <w:b/>
                <w:color w:val="FFFFFF" w:themeColor="background1"/>
                <w:sz w:val="20"/>
              </w:rPr>
            </w:pPr>
            <w:r w:rsidRPr="00E53CCF">
              <w:rPr>
                <w:rFonts w:cs="Calibri"/>
                <w:b/>
                <w:color w:val="FFFFFF" w:themeColor="background1"/>
                <w:sz w:val="20"/>
              </w:rPr>
              <w:t>Budget</w:t>
            </w:r>
          </w:p>
          <w:p w14:paraId="67C8DF5E" w14:textId="77777777" w:rsidR="00A60D4B" w:rsidRDefault="00A60D4B" w:rsidP="00A60D4B">
            <w:pPr>
              <w:spacing w:after="0"/>
              <w:jc w:val="right"/>
              <w:rPr>
                <w:rFonts w:cs="Calibri"/>
                <w:b/>
                <w:color w:val="FFFFFF" w:themeColor="background1"/>
                <w:sz w:val="20"/>
              </w:rPr>
            </w:pPr>
          </w:p>
          <w:p w14:paraId="202E0D4A" w14:textId="77777777" w:rsidR="00A60D4B" w:rsidRPr="00E53CCF" w:rsidRDefault="00A60D4B" w:rsidP="00A60D4B">
            <w:pPr>
              <w:spacing w:after="0"/>
              <w:jc w:val="right"/>
              <w:rPr>
                <w:rFonts w:cs="Calibri"/>
                <w:b/>
                <w:color w:val="FFFFFF" w:themeColor="background1"/>
                <w:sz w:val="20"/>
              </w:rPr>
            </w:pPr>
            <w:r w:rsidRPr="00E53CCF">
              <w:rPr>
                <w:rFonts w:cs="Calibri"/>
                <w:b/>
                <w:color w:val="FFFFFF" w:themeColor="background1"/>
                <w:sz w:val="20"/>
              </w:rPr>
              <w:t>$’000</w:t>
            </w:r>
          </w:p>
        </w:tc>
        <w:tc>
          <w:tcPr>
            <w:tcW w:w="617" w:type="pct"/>
            <w:tcBorders>
              <w:bottom w:val="single" w:sz="4" w:space="0" w:color="auto"/>
            </w:tcBorders>
            <w:shd w:val="clear" w:color="auto" w:fill="472D8C"/>
          </w:tcPr>
          <w:p w14:paraId="21C09831" w14:textId="77777777" w:rsidR="00A60D4B" w:rsidRPr="00E53CCF" w:rsidRDefault="00A60D4B" w:rsidP="00A60D4B">
            <w:pPr>
              <w:spacing w:after="0"/>
              <w:jc w:val="right"/>
              <w:rPr>
                <w:rFonts w:cs="Calibri"/>
                <w:b/>
                <w:color w:val="FFFFFF" w:themeColor="background1"/>
                <w:sz w:val="20"/>
              </w:rPr>
            </w:pPr>
            <w:r w:rsidRPr="00E53CCF">
              <w:rPr>
                <w:rFonts w:cs="Calibri"/>
                <w:b/>
                <w:color w:val="FFFFFF" w:themeColor="background1"/>
                <w:sz w:val="20"/>
              </w:rPr>
              <w:t>2020-21</w:t>
            </w:r>
            <w:r w:rsidRPr="00E53CCF">
              <w:rPr>
                <w:rFonts w:cs="Calibri"/>
                <w:b/>
                <w:color w:val="FFFFFF" w:themeColor="background1"/>
                <w:sz w:val="20"/>
              </w:rPr>
              <w:br/>
              <w:t>Interim Outcome</w:t>
            </w:r>
            <w:r w:rsidRPr="00E53CCF">
              <w:rPr>
                <w:rFonts w:cs="Calibri"/>
                <w:b/>
                <w:color w:val="FFFFFF" w:themeColor="background1"/>
                <w:sz w:val="20"/>
              </w:rPr>
              <w:br/>
              <w:t>$’000</w:t>
            </w:r>
          </w:p>
        </w:tc>
        <w:tc>
          <w:tcPr>
            <w:tcW w:w="617" w:type="pct"/>
            <w:tcBorders>
              <w:bottom w:val="single" w:sz="4" w:space="0" w:color="auto"/>
            </w:tcBorders>
            <w:shd w:val="clear" w:color="auto" w:fill="472D8C"/>
          </w:tcPr>
          <w:p w14:paraId="749B4E23" w14:textId="77777777" w:rsidR="00A60D4B" w:rsidRPr="00E53CCF" w:rsidRDefault="00A60D4B" w:rsidP="00A60D4B">
            <w:pPr>
              <w:spacing w:after="0"/>
              <w:jc w:val="right"/>
              <w:rPr>
                <w:rFonts w:cs="Calibri"/>
                <w:b/>
                <w:color w:val="FFFFFF" w:themeColor="background1"/>
                <w:sz w:val="20"/>
              </w:rPr>
            </w:pPr>
            <w:r w:rsidRPr="00E53CCF">
              <w:rPr>
                <w:rFonts w:cs="Calibri"/>
                <w:b/>
                <w:color w:val="FFFFFF" w:themeColor="background1"/>
                <w:sz w:val="20"/>
              </w:rPr>
              <w:t xml:space="preserve">2021-22 </w:t>
            </w:r>
            <w:r w:rsidRPr="00E53CCF">
              <w:rPr>
                <w:rFonts w:cs="Calibri"/>
                <w:b/>
                <w:color w:val="FFFFFF" w:themeColor="background1"/>
                <w:sz w:val="20"/>
              </w:rPr>
              <w:br/>
              <w:t>Budget</w:t>
            </w:r>
          </w:p>
          <w:p w14:paraId="051199B7" w14:textId="77777777" w:rsidR="00A60D4B" w:rsidRDefault="00A60D4B" w:rsidP="00A60D4B">
            <w:pPr>
              <w:spacing w:after="0"/>
              <w:jc w:val="right"/>
              <w:rPr>
                <w:rFonts w:cs="Calibri"/>
                <w:b/>
                <w:color w:val="FFFFFF" w:themeColor="background1"/>
                <w:sz w:val="20"/>
              </w:rPr>
            </w:pPr>
          </w:p>
          <w:p w14:paraId="0F42C4D8" w14:textId="77777777" w:rsidR="00A60D4B" w:rsidRPr="00E53CCF" w:rsidRDefault="00A60D4B" w:rsidP="00A60D4B">
            <w:pPr>
              <w:spacing w:after="0"/>
              <w:jc w:val="right"/>
              <w:rPr>
                <w:rFonts w:cs="Calibri"/>
                <w:b/>
                <w:color w:val="FFFFFF" w:themeColor="background1"/>
                <w:sz w:val="20"/>
              </w:rPr>
            </w:pPr>
            <w:r w:rsidRPr="00E53CCF">
              <w:rPr>
                <w:rFonts w:cs="Calibri"/>
                <w:b/>
                <w:color w:val="FFFFFF" w:themeColor="background1"/>
                <w:sz w:val="20"/>
              </w:rPr>
              <w:t>$’000</w:t>
            </w:r>
          </w:p>
        </w:tc>
        <w:tc>
          <w:tcPr>
            <w:tcW w:w="309" w:type="pct"/>
            <w:tcBorders>
              <w:bottom w:val="single" w:sz="4" w:space="0" w:color="auto"/>
            </w:tcBorders>
            <w:shd w:val="clear" w:color="auto" w:fill="472D8C"/>
          </w:tcPr>
          <w:p w14:paraId="0F865143" w14:textId="77777777" w:rsidR="00A60D4B" w:rsidRPr="00E53CCF" w:rsidRDefault="00A60D4B" w:rsidP="00A60D4B">
            <w:pPr>
              <w:spacing w:after="0"/>
              <w:jc w:val="right"/>
              <w:rPr>
                <w:rFonts w:cs="Calibri"/>
                <w:b/>
                <w:color w:val="FFFFFF" w:themeColor="background1"/>
                <w:sz w:val="20"/>
              </w:rPr>
            </w:pPr>
            <w:r w:rsidRPr="00E53CCF">
              <w:rPr>
                <w:rFonts w:cs="Calibri"/>
                <w:b/>
                <w:color w:val="FFFFFF" w:themeColor="background1"/>
                <w:sz w:val="20"/>
              </w:rPr>
              <w:t>Var.</w:t>
            </w:r>
          </w:p>
          <w:p w14:paraId="2EE8330F" w14:textId="77777777" w:rsidR="00A60D4B" w:rsidRPr="00E53CCF" w:rsidRDefault="00A60D4B" w:rsidP="00A60D4B">
            <w:pPr>
              <w:spacing w:after="0"/>
              <w:jc w:val="right"/>
              <w:rPr>
                <w:rFonts w:cs="Calibri"/>
                <w:b/>
                <w:color w:val="FFFFFF" w:themeColor="background1"/>
                <w:sz w:val="20"/>
              </w:rPr>
            </w:pPr>
            <w:r w:rsidRPr="00E53CCF">
              <w:rPr>
                <w:rFonts w:cs="Calibri"/>
                <w:b/>
                <w:color w:val="FFFFFF" w:themeColor="background1"/>
                <w:sz w:val="20"/>
              </w:rPr>
              <w:t>%</w:t>
            </w:r>
          </w:p>
        </w:tc>
        <w:tc>
          <w:tcPr>
            <w:tcW w:w="611" w:type="pct"/>
            <w:tcBorders>
              <w:bottom w:val="single" w:sz="4" w:space="0" w:color="auto"/>
            </w:tcBorders>
            <w:shd w:val="clear" w:color="auto" w:fill="472D8C"/>
          </w:tcPr>
          <w:p w14:paraId="1CFB9760" w14:textId="77777777" w:rsidR="00A60D4B" w:rsidRPr="00E53CCF" w:rsidRDefault="00A60D4B" w:rsidP="00A60D4B">
            <w:pPr>
              <w:spacing w:after="0"/>
              <w:jc w:val="right"/>
              <w:rPr>
                <w:rFonts w:cs="Calibri"/>
                <w:b/>
                <w:color w:val="FFFFFF" w:themeColor="background1"/>
                <w:sz w:val="20"/>
              </w:rPr>
            </w:pPr>
            <w:r w:rsidRPr="00E53CCF">
              <w:rPr>
                <w:rFonts w:cs="Calibri"/>
                <w:b/>
                <w:color w:val="FFFFFF" w:themeColor="background1"/>
                <w:sz w:val="20"/>
              </w:rPr>
              <w:t>2022-23</w:t>
            </w:r>
            <w:r w:rsidRPr="00E53CCF">
              <w:rPr>
                <w:rFonts w:cs="Calibri"/>
                <w:b/>
                <w:color w:val="FFFFFF" w:themeColor="background1"/>
                <w:sz w:val="20"/>
              </w:rPr>
              <w:br/>
              <w:t>Estimate</w:t>
            </w:r>
          </w:p>
          <w:p w14:paraId="7AEAF7F1" w14:textId="77777777" w:rsidR="00A60D4B" w:rsidRDefault="00A60D4B" w:rsidP="00A60D4B">
            <w:pPr>
              <w:spacing w:after="0"/>
              <w:jc w:val="right"/>
              <w:rPr>
                <w:rFonts w:cs="Calibri"/>
                <w:b/>
                <w:color w:val="FFFFFF" w:themeColor="background1"/>
                <w:sz w:val="20"/>
              </w:rPr>
            </w:pPr>
          </w:p>
          <w:p w14:paraId="2336CFFD" w14:textId="77777777" w:rsidR="00A60D4B" w:rsidRPr="00E53CCF" w:rsidRDefault="00A60D4B" w:rsidP="00A60D4B">
            <w:pPr>
              <w:spacing w:after="0"/>
              <w:jc w:val="right"/>
              <w:rPr>
                <w:rFonts w:cs="Calibri"/>
                <w:b/>
                <w:color w:val="FFFFFF" w:themeColor="background1"/>
                <w:sz w:val="20"/>
              </w:rPr>
            </w:pPr>
            <w:r w:rsidRPr="00E53CCF">
              <w:rPr>
                <w:rFonts w:cs="Calibri"/>
                <w:b/>
                <w:color w:val="FFFFFF" w:themeColor="background1"/>
                <w:sz w:val="20"/>
              </w:rPr>
              <w:t>$’000</w:t>
            </w:r>
          </w:p>
        </w:tc>
        <w:tc>
          <w:tcPr>
            <w:tcW w:w="550" w:type="pct"/>
            <w:tcBorders>
              <w:bottom w:val="single" w:sz="4" w:space="0" w:color="auto"/>
            </w:tcBorders>
            <w:shd w:val="clear" w:color="auto" w:fill="472D8C"/>
          </w:tcPr>
          <w:p w14:paraId="08D5E512" w14:textId="77777777" w:rsidR="00A60D4B" w:rsidRPr="00E53CCF" w:rsidRDefault="00A60D4B" w:rsidP="00A60D4B">
            <w:pPr>
              <w:spacing w:after="0"/>
              <w:jc w:val="right"/>
              <w:rPr>
                <w:rFonts w:cs="Calibri"/>
                <w:b/>
                <w:color w:val="FFFFFF" w:themeColor="background1"/>
                <w:sz w:val="20"/>
              </w:rPr>
            </w:pPr>
            <w:r w:rsidRPr="00E53CCF">
              <w:rPr>
                <w:rFonts w:cs="Calibri"/>
                <w:b/>
                <w:color w:val="FFFFFF" w:themeColor="background1"/>
                <w:sz w:val="20"/>
              </w:rPr>
              <w:t>2023-24</w:t>
            </w:r>
            <w:r w:rsidRPr="00E53CCF">
              <w:rPr>
                <w:rFonts w:cs="Calibri"/>
                <w:b/>
                <w:color w:val="FFFFFF" w:themeColor="background1"/>
                <w:sz w:val="20"/>
              </w:rPr>
              <w:br/>
              <w:t>Estimate</w:t>
            </w:r>
          </w:p>
          <w:p w14:paraId="10C193F2" w14:textId="77777777" w:rsidR="00A60D4B" w:rsidRDefault="00A60D4B" w:rsidP="00A60D4B">
            <w:pPr>
              <w:spacing w:after="0"/>
              <w:jc w:val="right"/>
              <w:rPr>
                <w:rFonts w:cs="Calibri"/>
                <w:b/>
                <w:color w:val="FFFFFF" w:themeColor="background1"/>
                <w:sz w:val="20"/>
              </w:rPr>
            </w:pPr>
          </w:p>
          <w:p w14:paraId="6D556B6D" w14:textId="77777777" w:rsidR="00A60D4B" w:rsidRPr="00E53CCF" w:rsidRDefault="00A60D4B" w:rsidP="00A60D4B">
            <w:pPr>
              <w:spacing w:after="0"/>
              <w:jc w:val="right"/>
              <w:rPr>
                <w:rFonts w:cs="Calibri"/>
                <w:b/>
                <w:color w:val="FFFFFF" w:themeColor="background1"/>
                <w:sz w:val="20"/>
              </w:rPr>
            </w:pPr>
            <w:r w:rsidRPr="00E53CCF">
              <w:rPr>
                <w:rFonts w:cs="Calibri"/>
                <w:b/>
                <w:color w:val="FFFFFF" w:themeColor="background1"/>
                <w:sz w:val="20"/>
              </w:rPr>
              <w:t>$’000</w:t>
            </w:r>
          </w:p>
        </w:tc>
        <w:tc>
          <w:tcPr>
            <w:tcW w:w="598" w:type="pct"/>
            <w:tcBorders>
              <w:bottom w:val="single" w:sz="4" w:space="0" w:color="auto"/>
            </w:tcBorders>
            <w:shd w:val="clear" w:color="auto" w:fill="472D8C"/>
          </w:tcPr>
          <w:p w14:paraId="01071D80" w14:textId="77777777" w:rsidR="00A60D4B" w:rsidRPr="00E53CCF" w:rsidRDefault="00A60D4B" w:rsidP="00A60D4B">
            <w:pPr>
              <w:spacing w:after="0"/>
              <w:jc w:val="right"/>
              <w:rPr>
                <w:rFonts w:cs="Calibri"/>
                <w:b/>
                <w:color w:val="FFFFFF" w:themeColor="background1"/>
                <w:sz w:val="20"/>
              </w:rPr>
            </w:pPr>
            <w:r w:rsidRPr="00E53CCF">
              <w:rPr>
                <w:rFonts w:cs="Calibri"/>
                <w:b/>
                <w:color w:val="FFFFFF" w:themeColor="background1"/>
                <w:sz w:val="20"/>
              </w:rPr>
              <w:t>2024-25</w:t>
            </w:r>
            <w:r w:rsidRPr="00E53CCF">
              <w:rPr>
                <w:rFonts w:cs="Calibri"/>
                <w:b/>
                <w:color w:val="FFFFFF" w:themeColor="background1"/>
                <w:sz w:val="20"/>
              </w:rPr>
              <w:br/>
              <w:t>Estimate</w:t>
            </w:r>
          </w:p>
          <w:p w14:paraId="0903765E" w14:textId="77777777" w:rsidR="00A60D4B" w:rsidRDefault="00A60D4B" w:rsidP="00A60D4B">
            <w:pPr>
              <w:spacing w:after="0"/>
              <w:jc w:val="right"/>
              <w:rPr>
                <w:rFonts w:cs="Calibri"/>
                <w:b/>
                <w:color w:val="FFFFFF" w:themeColor="background1"/>
                <w:sz w:val="20"/>
              </w:rPr>
            </w:pPr>
          </w:p>
          <w:p w14:paraId="64E0B6D5" w14:textId="77777777" w:rsidR="00A60D4B" w:rsidRPr="00E53CCF" w:rsidRDefault="00A60D4B" w:rsidP="00A60D4B">
            <w:pPr>
              <w:spacing w:after="0"/>
              <w:jc w:val="right"/>
              <w:rPr>
                <w:rFonts w:cs="Calibri"/>
                <w:b/>
                <w:color w:val="FFFFFF" w:themeColor="background1"/>
                <w:sz w:val="20"/>
              </w:rPr>
            </w:pPr>
            <w:r w:rsidRPr="00E53CCF">
              <w:rPr>
                <w:rFonts w:cs="Calibri"/>
                <w:b/>
                <w:color w:val="FFFFFF" w:themeColor="background1"/>
                <w:sz w:val="20"/>
              </w:rPr>
              <w:t>$’000</w:t>
            </w:r>
          </w:p>
        </w:tc>
      </w:tr>
      <w:tr w:rsidR="00A60D4B" w:rsidRPr="00EC74DB" w14:paraId="45160D95" w14:textId="77777777" w:rsidTr="00A60D4B">
        <w:trPr>
          <w:trHeight w:val="270"/>
        </w:trPr>
        <w:tc>
          <w:tcPr>
            <w:tcW w:w="1081" w:type="pct"/>
            <w:tcBorders>
              <w:top w:val="nil"/>
              <w:bottom w:val="nil"/>
            </w:tcBorders>
          </w:tcPr>
          <w:p w14:paraId="09E87D7E" w14:textId="77777777" w:rsidR="00A60D4B" w:rsidRPr="00FB0296" w:rsidRDefault="00A60D4B" w:rsidP="00A60D4B">
            <w:pPr>
              <w:pStyle w:val="Btabletextunbold"/>
              <w:rPr>
                <w:b/>
                <w:bCs/>
              </w:rPr>
            </w:pPr>
            <w:r>
              <w:rPr>
                <w:b/>
                <w:bCs/>
              </w:rPr>
              <w:t>Expenses</w:t>
            </w:r>
          </w:p>
        </w:tc>
        <w:tc>
          <w:tcPr>
            <w:tcW w:w="617" w:type="pct"/>
            <w:tcBorders>
              <w:top w:val="nil"/>
              <w:bottom w:val="nil"/>
            </w:tcBorders>
          </w:tcPr>
          <w:p w14:paraId="3723090A" w14:textId="77777777" w:rsidR="00A60D4B" w:rsidRDefault="00A60D4B" w:rsidP="00A60D4B">
            <w:pPr>
              <w:pStyle w:val="Btablefigureunbold"/>
            </w:pPr>
          </w:p>
        </w:tc>
        <w:tc>
          <w:tcPr>
            <w:tcW w:w="617" w:type="pct"/>
            <w:tcBorders>
              <w:top w:val="nil"/>
              <w:bottom w:val="nil"/>
            </w:tcBorders>
          </w:tcPr>
          <w:p w14:paraId="561E9C4C" w14:textId="77777777" w:rsidR="00A60D4B" w:rsidRPr="00EC74DB" w:rsidRDefault="00A60D4B" w:rsidP="00A60D4B">
            <w:pPr>
              <w:pStyle w:val="Btablefigureunbold"/>
            </w:pPr>
          </w:p>
        </w:tc>
        <w:tc>
          <w:tcPr>
            <w:tcW w:w="617" w:type="pct"/>
            <w:tcBorders>
              <w:top w:val="nil"/>
              <w:bottom w:val="nil"/>
            </w:tcBorders>
            <w:shd w:val="clear" w:color="auto" w:fill="auto"/>
          </w:tcPr>
          <w:p w14:paraId="6F5EFD60" w14:textId="77777777" w:rsidR="00A60D4B" w:rsidRPr="00EC74DB" w:rsidRDefault="00A60D4B" w:rsidP="00A60D4B">
            <w:pPr>
              <w:pStyle w:val="BTablefigureBold"/>
            </w:pPr>
          </w:p>
        </w:tc>
        <w:tc>
          <w:tcPr>
            <w:tcW w:w="309" w:type="pct"/>
            <w:tcBorders>
              <w:top w:val="nil"/>
              <w:bottom w:val="nil"/>
            </w:tcBorders>
          </w:tcPr>
          <w:p w14:paraId="2A2B500D" w14:textId="77777777" w:rsidR="00A60D4B" w:rsidRPr="00111524" w:rsidRDefault="00A60D4B" w:rsidP="00A60D4B">
            <w:pPr>
              <w:pStyle w:val="Btablefigureunbold"/>
              <w:rPr>
                <w:color w:val="000000"/>
              </w:rPr>
            </w:pPr>
          </w:p>
        </w:tc>
        <w:tc>
          <w:tcPr>
            <w:tcW w:w="611" w:type="pct"/>
            <w:tcBorders>
              <w:top w:val="nil"/>
              <w:bottom w:val="nil"/>
            </w:tcBorders>
            <w:shd w:val="clear" w:color="472D8C" w:fill="auto"/>
          </w:tcPr>
          <w:p w14:paraId="5AAAC615" w14:textId="77777777" w:rsidR="00A60D4B" w:rsidRPr="00111524" w:rsidRDefault="00A60D4B" w:rsidP="00A60D4B">
            <w:pPr>
              <w:pStyle w:val="Btablefigureunbold"/>
              <w:rPr>
                <w:color w:val="000000"/>
              </w:rPr>
            </w:pPr>
          </w:p>
        </w:tc>
        <w:tc>
          <w:tcPr>
            <w:tcW w:w="550" w:type="pct"/>
            <w:tcBorders>
              <w:top w:val="nil"/>
              <w:bottom w:val="nil"/>
            </w:tcBorders>
            <w:shd w:val="clear" w:color="auto" w:fill="auto"/>
          </w:tcPr>
          <w:p w14:paraId="647DF8C8" w14:textId="77777777" w:rsidR="00A60D4B" w:rsidRPr="00EC74DB" w:rsidRDefault="00A60D4B" w:rsidP="00A60D4B">
            <w:pPr>
              <w:pStyle w:val="Btablefigureunbold"/>
            </w:pPr>
          </w:p>
        </w:tc>
        <w:tc>
          <w:tcPr>
            <w:tcW w:w="598" w:type="pct"/>
            <w:tcBorders>
              <w:top w:val="nil"/>
              <w:bottom w:val="nil"/>
            </w:tcBorders>
          </w:tcPr>
          <w:p w14:paraId="4FBDF2BD" w14:textId="77777777" w:rsidR="00A60D4B" w:rsidRPr="00EC74DB" w:rsidRDefault="00A60D4B" w:rsidP="00A60D4B">
            <w:pPr>
              <w:pStyle w:val="Btablefigureunbold"/>
            </w:pPr>
          </w:p>
        </w:tc>
      </w:tr>
      <w:tr w:rsidR="00A60D4B" w:rsidRPr="00EC74DB" w14:paraId="370273A6" w14:textId="77777777" w:rsidTr="00A60D4B">
        <w:trPr>
          <w:trHeight w:val="270"/>
        </w:trPr>
        <w:tc>
          <w:tcPr>
            <w:tcW w:w="1081" w:type="pct"/>
            <w:tcBorders>
              <w:top w:val="nil"/>
              <w:bottom w:val="nil"/>
            </w:tcBorders>
          </w:tcPr>
          <w:p w14:paraId="7A13ED8F" w14:textId="77777777" w:rsidR="00A60D4B" w:rsidRDefault="00A60D4B" w:rsidP="00A60D4B">
            <w:pPr>
              <w:pStyle w:val="Btabletextunbold"/>
            </w:pPr>
            <w:r>
              <w:t>Employee expenses</w:t>
            </w:r>
          </w:p>
        </w:tc>
        <w:tc>
          <w:tcPr>
            <w:tcW w:w="617" w:type="pct"/>
            <w:tcBorders>
              <w:top w:val="nil"/>
              <w:left w:val="nil"/>
              <w:bottom w:val="nil"/>
              <w:right w:val="nil"/>
            </w:tcBorders>
            <w:shd w:val="clear" w:color="auto" w:fill="auto"/>
          </w:tcPr>
          <w:p w14:paraId="698D7E62" w14:textId="77777777" w:rsidR="00A60D4B" w:rsidRPr="00C1635D" w:rsidRDefault="00A60D4B" w:rsidP="00A60D4B">
            <w:pPr>
              <w:pStyle w:val="Btablefigureunbold"/>
            </w:pPr>
            <w:r w:rsidRPr="00C1635D">
              <w:t>2,369,825</w:t>
            </w:r>
          </w:p>
        </w:tc>
        <w:tc>
          <w:tcPr>
            <w:tcW w:w="617" w:type="pct"/>
            <w:tcBorders>
              <w:top w:val="nil"/>
              <w:left w:val="nil"/>
              <w:bottom w:val="nil"/>
              <w:right w:val="nil"/>
            </w:tcBorders>
            <w:shd w:val="clear" w:color="auto" w:fill="auto"/>
          </w:tcPr>
          <w:p w14:paraId="7436641E" w14:textId="77777777" w:rsidR="00A60D4B" w:rsidRPr="00C1635D" w:rsidRDefault="00A60D4B" w:rsidP="00A60D4B">
            <w:pPr>
              <w:pStyle w:val="Btablefigureunbold"/>
            </w:pPr>
            <w:r w:rsidRPr="00C1635D">
              <w:t>2,467,070</w:t>
            </w:r>
          </w:p>
        </w:tc>
        <w:tc>
          <w:tcPr>
            <w:tcW w:w="617" w:type="pct"/>
            <w:tcBorders>
              <w:top w:val="nil"/>
              <w:left w:val="nil"/>
              <w:bottom w:val="nil"/>
              <w:right w:val="nil"/>
            </w:tcBorders>
            <w:shd w:val="clear" w:color="auto" w:fill="auto"/>
          </w:tcPr>
          <w:p w14:paraId="65ABD007" w14:textId="77777777" w:rsidR="00A60D4B" w:rsidRPr="00C1635D" w:rsidRDefault="00A60D4B" w:rsidP="00A60D4B">
            <w:pPr>
              <w:pStyle w:val="Btablefigureunbold"/>
              <w:rPr>
                <w:b/>
                <w:sz w:val="18"/>
                <w:szCs w:val="18"/>
              </w:rPr>
            </w:pPr>
            <w:r w:rsidRPr="00C1635D">
              <w:t>2,532,911</w:t>
            </w:r>
          </w:p>
        </w:tc>
        <w:tc>
          <w:tcPr>
            <w:tcW w:w="309" w:type="pct"/>
            <w:tcBorders>
              <w:top w:val="nil"/>
              <w:left w:val="nil"/>
              <w:bottom w:val="nil"/>
              <w:right w:val="nil"/>
            </w:tcBorders>
            <w:shd w:val="clear" w:color="auto" w:fill="auto"/>
          </w:tcPr>
          <w:p w14:paraId="0B588393" w14:textId="77777777" w:rsidR="00A60D4B" w:rsidRPr="00C1635D" w:rsidRDefault="00A60D4B" w:rsidP="00A60D4B">
            <w:pPr>
              <w:pStyle w:val="Btablefigureunbold"/>
            </w:pPr>
            <w:r w:rsidRPr="00C1635D">
              <w:t>3</w:t>
            </w:r>
          </w:p>
        </w:tc>
        <w:tc>
          <w:tcPr>
            <w:tcW w:w="611" w:type="pct"/>
            <w:tcBorders>
              <w:top w:val="nil"/>
              <w:left w:val="nil"/>
              <w:bottom w:val="nil"/>
              <w:right w:val="nil"/>
            </w:tcBorders>
            <w:shd w:val="clear" w:color="auto" w:fill="auto"/>
          </w:tcPr>
          <w:p w14:paraId="5DBC4883" w14:textId="77777777" w:rsidR="00A60D4B" w:rsidRPr="00C1635D" w:rsidRDefault="00A60D4B" w:rsidP="00A60D4B">
            <w:pPr>
              <w:pStyle w:val="Btablefigureunbold"/>
            </w:pPr>
            <w:r w:rsidRPr="00C1635D">
              <w:t>2,537,053</w:t>
            </w:r>
          </w:p>
        </w:tc>
        <w:tc>
          <w:tcPr>
            <w:tcW w:w="550" w:type="pct"/>
            <w:tcBorders>
              <w:top w:val="nil"/>
              <w:left w:val="nil"/>
              <w:bottom w:val="nil"/>
              <w:right w:val="nil"/>
            </w:tcBorders>
            <w:shd w:val="clear" w:color="auto" w:fill="auto"/>
          </w:tcPr>
          <w:p w14:paraId="1B36A694" w14:textId="77777777" w:rsidR="00A60D4B" w:rsidRPr="00C1635D" w:rsidRDefault="00A60D4B" w:rsidP="00A60D4B">
            <w:pPr>
              <w:pStyle w:val="Btablefigureunbold"/>
            </w:pPr>
            <w:r w:rsidRPr="00C1635D">
              <w:t>2,607,817</w:t>
            </w:r>
          </w:p>
        </w:tc>
        <w:tc>
          <w:tcPr>
            <w:tcW w:w="598" w:type="pct"/>
            <w:tcBorders>
              <w:top w:val="nil"/>
              <w:left w:val="nil"/>
              <w:bottom w:val="nil"/>
              <w:right w:val="nil"/>
            </w:tcBorders>
            <w:shd w:val="clear" w:color="auto" w:fill="auto"/>
          </w:tcPr>
          <w:p w14:paraId="1AA13F34" w14:textId="77777777" w:rsidR="00A60D4B" w:rsidRPr="00C1635D" w:rsidRDefault="00A60D4B" w:rsidP="00A60D4B">
            <w:pPr>
              <w:pStyle w:val="Btablefigureunbold"/>
            </w:pPr>
            <w:r w:rsidRPr="00C1635D">
              <w:t>2,679,854</w:t>
            </w:r>
          </w:p>
        </w:tc>
      </w:tr>
      <w:tr w:rsidR="00A60D4B" w:rsidRPr="00EC74DB" w14:paraId="4381A3EF" w14:textId="77777777" w:rsidTr="00A60D4B">
        <w:trPr>
          <w:trHeight w:val="270"/>
        </w:trPr>
        <w:tc>
          <w:tcPr>
            <w:tcW w:w="1081" w:type="pct"/>
            <w:tcBorders>
              <w:top w:val="nil"/>
              <w:bottom w:val="nil"/>
            </w:tcBorders>
          </w:tcPr>
          <w:p w14:paraId="741B8543" w14:textId="77777777" w:rsidR="00A60D4B" w:rsidRDefault="00A60D4B" w:rsidP="00A60D4B">
            <w:pPr>
              <w:pStyle w:val="Btabletextunbold"/>
            </w:pPr>
            <w:r>
              <w:t>Superannuation expenses</w:t>
            </w:r>
          </w:p>
        </w:tc>
        <w:tc>
          <w:tcPr>
            <w:tcW w:w="617" w:type="pct"/>
            <w:tcBorders>
              <w:top w:val="nil"/>
              <w:left w:val="nil"/>
              <w:bottom w:val="nil"/>
              <w:right w:val="nil"/>
            </w:tcBorders>
            <w:shd w:val="clear" w:color="auto" w:fill="auto"/>
          </w:tcPr>
          <w:p w14:paraId="5ED45300" w14:textId="77777777" w:rsidR="00A60D4B" w:rsidRPr="00C1635D" w:rsidRDefault="00A60D4B" w:rsidP="00A60D4B">
            <w:pPr>
              <w:pStyle w:val="Btablefigureunbold"/>
            </w:pPr>
          </w:p>
        </w:tc>
        <w:tc>
          <w:tcPr>
            <w:tcW w:w="617" w:type="pct"/>
            <w:tcBorders>
              <w:top w:val="nil"/>
              <w:left w:val="nil"/>
              <w:bottom w:val="nil"/>
              <w:right w:val="nil"/>
            </w:tcBorders>
            <w:shd w:val="clear" w:color="auto" w:fill="auto"/>
          </w:tcPr>
          <w:p w14:paraId="128103FD" w14:textId="77777777" w:rsidR="00A60D4B" w:rsidRPr="00C1635D" w:rsidRDefault="00A60D4B" w:rsidP="00A60D4B">
            <w:pPr>
              <w:pStyle w:val="Btablefigureunbold"/>
            </w:pPr>
          </w:p>
        </w:tc>
        <w:tc>
          <w:tcPr>
            <w:tcW w:w="617" w:type="pct"/>
            <w:tcBorders>
              <w:top w:val="nil"/>
              <w:left w:val="nil"/>
              <w:bottom w:val="nil"/>
              <w:right w:val="nil"/>
            </w:tcBorders>
            <w:shd w:val="clear" w:color="auto" w:fill="auto"/>
          </w:tcPr>
          <w:p w14:paraId="7A82C458" w14:textId="77777777" w:rsidR="00A60D4B" w:rsidRPr="00C1635D" w:rsidRDefault="00A60D4B" w:rsidP="00A60D4B">
            <w:pPr>
              <w:pStyle w:val="Btablefigureunbold"/>
              <w:rPr>
                <w:b/>
              </w:rPr>
            </w:pPr>
          </w:p>
        </w:tc>
        <w:tc>
          <w:tcPr>
            <w:tcW w:w="309" w:type="pct"/>
            <w:tcBorders>
              <w:top w:val="nil"/>
              <w:left w:val="nil"/>
              <w:bottom w:val="nil"/>
              <w:right w:val="nil"/>
            </w:tcBorders>
            <w:shd w:val="clear" w:color="auto" w:fill="auto"/>
          </w:tcPr>
          <w:p w14:paraId="05B35018" w14:textId="77777777" w:rsidR="00A60D4B" w:rsidRPr="00C1635D" w:rsidRDefault="00A60D4B" w:rsidP="00A60D4B">
            <w:pPr>
              <w:pStyle w:val="Btablefigureunbold"/>
            </w:pPr>
          </w:p>
        </w:tc>
        <w:tc>
          <w:tcPr>
            <w:tcW w:w="611" w:type="pct"/>
            <w:tcBorders>
              <w:top w:val="nil"/>
              <w:left w:val="nil"/>
              <w:bottom w:val="nil"/>
              <w:right w:val="nil"/>
            </w:tcBorders>
            <w:shd w:val="clear" w:color="auto" w:fill="auto"/>
          </w:tcPr>
          <w:p w14:paraId="4B146064" w14:textId="77777777" w:rsidR="00A60D4B" w:rsidRPr="00C1635D" w:rsidRDefault="00A60D4B" w:rsidP="00A60D4B">
            <w:pPr>
              <w:pStyle w:val="Btablefigureunbold"/>
            </w:pPr>
          </w:p>
        </w:tc>
        <w:tc>
          <w:tcPr>
            <w:tcW w:w="550" w:type="pct"/>
            <w:tcBorders>
              <w:top w:val="nil"/>
              <w:left w:val="nil"/>
              <w:bottom w:val="nil"/>
              <w:right w:val="nil"/>
            </w:tcBorders>
            <w:shd w:val="clear" w:color="auto" w:fill="auto"/>
          </w:tcPr>
          <w:p w14:paraId="67C2B497" w14:textId="77777777" w:rsidR="00A60D4B" w:rsidRPr="00C1635D" w:rsidRDefault="00A60D4B" w:rsidP="00A60D4B">
            <w:pPr>
              <w:pStyle w:val="Btablefigureunbold"/>
            </w:pPr>
          </w:p>
        </w:tc>
        <w:tc>
          <w:tcPr>
            <w:tcW w:w="598" w:type="pct"/>
            <w:tcBorders>
              <w:top w:val="nil"/>
              <w:left w:val="nil"/>
              <w:bottom w:val="nil"/>
              <w:right w:val="nil"/>
            </w:tcBorders>
            <w:shd w:val="clear" w:color="auto" w:fill="auto"/>
          </w:tcPr>
          <w:p w14:paraId="33970403" w14:textId="77777777" w:rsidR="00A60D4B" w:rsidRPr="00C1635D" w:rsidRDefault="00A60D4B" w:rsidP="00A60D4B">
            <w:pPr>
              <w:pStyle w:val="Btablefigureunbold"/>
            </w:pPr>
          </w:p>
        </w:tc>
      </w:tr>
      <w:tr w:rsidR="00A60D4B" w:rsidRPr="00EC74DB" w14:paraId="747ABCE6" w14:textId="77777777" w:rsidTr="00A60D4B">
        <w:trPr>
          <w:trHeight w:val="270"/>
        </w:trPr>
        <w:tc>
          <w:tcPr>
            <w:tcW w:w="1081" w:type="pct"/>
            <w:tcBorders>
              <w:top w:val="nil"/>
              <w:bottom w:val="nil"/>
            </w:tcBorders>
          </w:tcPr>
          <w:p w14:paraId="5F7ACE2E" w14:textId="77777777" w:rsidR="00A60D4B" w:rsidRDefault="00A60D4B" w:rsidP="00A60D4B">
            <w:pPr>
              <w:pStyle w:val="BStableindent"/>
            </w:pPr>
            <w:r>
              <w:t>Superannuation interest cost</w:t>
            </w:r>
          </w:p>
        </w:tc>
        <w:tc>
          <w:tcPr>
            <w:tcW w:w="617" w:type="pct"/>
            <w:tcBorders>
              <w:top w:val="nil"/>
              <w:left w:val="nil"/>
              <w:bottom w:val="nil"/>
              <w:right w:val="nil"/>
            </w:tcBorders>
            <w:shd w:val="clear" w:color="auto" w:fill="auto"/>
          </w:tcPr>
          <w:p w14:paraId="0544AA0F" w14:textId="77777777" w:rsidR="00A60D4B" w:rsidRPr="00C1635D" w:rsidRDefault="00A60D4B" w:rsidP="00A60D4B">
            <w:pPr>
              <w:pStyle w:val="Btablefigureunbold"/>
            </w:pPr>
            <w:r w:rsidRPr="00C1635D">
              <w:t>210,537</w:t>
            </w:r>
          </w:p>
        </w:tc>
        <w:tc>
          <w:tcPr>
            <w:tcW w:w="617" w:type="pct"/>
            <w:tcBorders>
              <w:top w:val="nil"/>
              <w:left w:val="nil"/>
              <w:bottom w:val="nil"/>
              <w:right w:val="nil"/>
            </w:tcBorders>
            <w:shd w:val="clear" w:color="auto" w:fill="auto"/>
          </w:tcPr>
          <w:p w14:paraId="363CB1C7" w14:textId="77777777" w:rsidR="00A60D4B" w:rsidRPr="00C1635D" w:rsidRDefault="00A60D4B" w:rsidP="00A60D4B">
            <w:pPr>
              <w:pStyle w:val="Btablefigureunbold"/>
            </w:pPr>
            <w:r w:rsidRPr="00C1635D">
              <w:t>210,537</w:t>
            </w:r>
          </w:p>
        </w:tc>
        <w:tc>
          <w:tcPr>
            <w:tcW w:w="617" w:type="pct"/>
            <w:tcBorders>
              <w:top w:val="nil"/>
              <w:left w:val="nil"/>
              <w:bottom w:val="nil"/>
              <w:right w:val="nil"/>
            </w:tcBorders>
            <w:shd w:val="clear" w:color="auto" w:fill="auto"/>
          </w:tcPr>
          <w:p w14:paraId="517CFF33" w14:textId="77777777" w:rsidR="00A60D4B" w:rsidRPr="00C1635D" w:rsidRDefault="00A60D4B" w:rsidP="00A60D4B">
            <w:pPr>
              <w:pStyle w:val="Btablefigureunbold"/>
              <w:rPr>
                <w:b/>
                <w:sz w:val="18"/>
                <w:szCs w:val="18"/>
              </w:rPr>
            </w:pPr>
            <w:r w:rsidRPr="00C1635D">
              <w:t>302,379</w:t>
            </w:r>
          </w:p>
        </w:tc>
        <w:tc>
          <w:tcPr>
            <w:tcW w:w="309" w:type="pct"/>
            <w:tcBorders>
              <w:top w:val="nil"/>
              <w:left w:val="nil"/>
              <w:bottom w:val="nil"/>
              <w:right w:val="nil"/>
            </w:tcBorders>
            <w:shd w:val="clear" w:color="auto" w:fill="auto"/>
          </w:tcPr>
          <w:p w14:paraId="4357348C" w14:textId="77777777" w:rsidR="00A60D4B" w:rsidRPr="00C1635D" w:rsidRDefault="00A60D4B" w:rsidP="00A60D4B">
            <w:pPr>
              <w:pStyle w:val="Btablefigureunbold"/>
            </w:pPr>
            <w:r w:rsidRPr="00C1635D">
              <w:t>44</w:t>
            </w:r>
          </w:p>
        </w:tc>
        <w:tc>
          <w:tcPr>
            <w:tcW w:w="611" w:type="pct"/>
            <w:tcBorders>
              <w:top w:val="nil"/>
              <w:left w:val="nil"/>
              <w:bottom w:val="nil"/>
              <w:right w:val="nil"/>
            </w:tcBorders>
            <w:shd w:val="clear" w:color="auto" w:fill="auto"/>
          </w:tcPr>
          <w:p w14:paraId="0387C3B8" w14:textId="77777777" w:rsidR="00A60D4B" w:rsidRPr="00C1635D" w:rsidRDefault="00A60D4B" w:rsidP="00A60D4B">
            <w:pPr>
              <w:pStyle w:val="Btablefigureunbold"/>
            </w:pPr>
            <w:r w:rsidRPr="00C1635D">
              <w:t>404,714</w:t>
            </w:r>
          </w:p>
        </w:tc>
        <w:tc>
          <w:tcPr>
            <w:tcW w:w="550" w:type="pct"/>
            <w:tcBorders>
              <w:top w:val="nil"/>
              <w:left w:val="nil"/>
              <w:bottom w:val="nil"/>
              <w:right w:val="nil"/>
            </w:tcBorders>
            <w:shd w:val="clear" w:color="auto" w:fill="auto"/>
          </w:tcPr>
          <w:p w14:paraId="0A6C09B1" w14:textId="77777777" w:rsidR="00A60D4B" w:rsidRPr="00C1635D" w:rsidRDefault="00A60D4B" w:rsidP="00A60D4B">
            <w:pPr>
              <w:pStyle w:val="Btablefigureunbold"/>
            </w:pPr>
            <w:r w:rsidRPr="00C1635D">
              <w:t>413,652</w:t>
            </w:r>
          </w:p>
        </w:tc>
        <w:tc>
          <w:tcPr>
            <w:tcW w:w="598" w:type="pct"/>
            <w:tcBorders>
              <w:top w:val="nil"/>
              <w:left w:val="nil"/>
              <w:bottom w:val="nil"/>
              <w:right w:val="nil"/>
            </w:tcBorders>
            <w:shd w:val="clear" w:color="auto" w:fill="auto"/>
          </w:tcPr>
          <w:p w14:paraId="6DBC8658" w14:textId="77777777" w:rsidR="00A60D4B" w:rsidRPr="00C1635D" w:rsidRDefault="00A60D4B" w:rsidP="00A60D4B">
            <w:pPr>
              <w:pStyle w:val="Btablefigureunbold"/>
            </w:pPr>
            <w:r w:rsidRPr="00C1635D">
              <w:t>421,708</w:t>
            </w:r>
          </w:p>
        </w:tc>
      </w:tr>
      <w:tr w:rsidR="00A60D4B" w:rsidRPr="00EC74DB" w14:paraId="33C1B752" w14:textId="77777777" w:rsidTr="00A60D4B">
        <w:trPr>
          <w:trHeight w:val="270"/>
        </w:trPr>
        <w:tc>
          <w:tcPr>
            <w:tcW w:w="1081" w:type="pct"/>
            <w:tcBorders>
              <w:top w:val="nil"/>
              <w:bottom w:val="nil"/>
            </w:tcBorders>
          </w:tcPr>
          <w:p w14:paraId="23ADC927" w14:textId="77777777" w:rsidR="00A60D4B" w:rsidRDefault="00A60D4B" w:rsidP="00A60D4B">
            <w:pPr>
              <w:pStyle w:val="BStableindent"/>
            </w:pPr>
            <w:r>
              <w:t>Other superannuation expense</w:t>
            </w:r>
          </w:p>
        </w:tc>
        <w:tc>
          <w:tcPr>
            <w:tcW w:w="617" w:type="pct"/>
            <w:tcBorders>
              <w:top w:val="nil"/>
              <w:left w:val="nil"/>
              <w:bottom w:val="nil"/>
              <w:right w:val="nil"/>
            </w:tcBorders>
            <w:shd w:val="clear" w:color="auto" w:fill="auto"/>
          </w:tcPr>
          <w:p w14:paraId="5D0AB1E9" w14:textId="77777777" w:rsidR="00A60D4B" w:rsidRPr="00C1635D" w:rsidRDefault="00A60D4B" w:rsidP="00A60D4B">
            <w:pPr>
              <w:pStyle w:val="Btablefigureunbold"/>
            </w:pPr>
            <w:r w:rsidRPr="00C1635D">
              <w:t>484,230</w:t>
            </w:r>
          </w:p>
        </w:tc>
        <w:tc>
          <w:tcPr>
            <w:tcW w:w="617" w:type="pct"/>
            <w:tcBorders>
              <w:top w:val="nil"/>
              <w:left w:val="nil"/>
              <w:bottom w:val="nil"/>
              <w:right w:val="nil"/>
            </w:tcBorders>
            <w:shd w:val="clear" w:color="auto" w:fill="auto"/>
          </w:tcPr>
          <w:p w14:paraId="7E582230" w14:textId="77777777" w:rsidR="00A60D4B" w:rsidRPr="00C1635D" w:rsidRDefault="00A60D4B" w:rsidP="00A60D4B">
            <w:pPr>
              <w:pStyle w:val="Btablefigureunbold"/>
            </w:pPr>
            <w:r w:rsidRPr="00C1635D">
              <w:t>492,935</w:t>
            </w:r>
          </w:p>
        </w:tc>
        <w:tc>
          <w:tcPr>
            <w:tcW w:w="617" w:type="pct"/>
            <w:tcBorders>
              <w:top w:val="nil"/>
              <w:left w:val="nil"/>
              <w:bottom w:val="nil"/>
              <w:right w:val="nil"/>
            </w:tcBorders>
            <w:shd w:val="clear" w:color="auto" w:fill="auto"/>
          </w:tcPr>
          <w:p w14:paraId="162496E2" w14:textId="77777777" w:rsidR="00A60D4B" w:rsidRPr="00C1635D" w:rsidRDefault="00A60D4B" w:rsidP="00A60D4B">
            <w:pPr>
              <w:pStyle w:val="Btablefigureunbold"/>
              <w:rPr>
                <w:b/>
                <w:sz w:val="18"/>
                <w:szCs w:val="18"/>
              </w:rPr>
            </w:pPr>
            <w:r w:rsidRPr="00C1635D">
              <w:t>549,002</w:t>
            </w:r>
          </w:p>
        </w:tc>
        <w:tc>
          <w:tcPr>
            <w:tcW w:w="309" w:type="pct"/>
            <w:tcBorders>
              <w:top w:val="nil"/>
              <w:left w:val="nil"/>
              <w:bottom w:val="nil"/>
              <w:right w:val="nil"/>
            </w:tcBorders>
            <w:shd w:val="clear" w:color="auto" w:fill="auto"/>
          </w:tcPr>
          <w:p w14:paraId="14BD10EE" w14:textId="77777777" w:rsidR="00A60D4B" w:rsidRPr="00C1635D" w:rsidRDefault="00A60D4B" w:rsidP="00A60D4B">
            <w:pPr>
              <w:pStyle w:val="Btablefigureunbold"/>
            </w:pPr>
            <w:r>
              <w:t>11</w:t>
            </w:r>
          </w:p>
        </w:tc>
        <w:tc>
          <w:tcPr>
            <w:tcW w:w="611" w:type="pct"/>
            <w:tcBorders>
              <w:top w:val="nil"/>
              <w:left w:val="nil"/>
              <w:bottom w:val="nil"/>
              <w:right w:val="nil"/>
            </w:tcBorders>
            <w:shd w:val="clear" w:color="auto" w:fill="auto"/>
          </w:tcPr>
          <w:p w14:paraId="343F301C" w14:textId="77777777" w:rsidR="00A60D4B" w:rsidRPr="00C1635D" w:rsidRDefault="00A60D4B" w:rsidP="00A60D4B">
            <w:pPr>
              <w:pStyle w:val="Btablefigureunbold"/>
            </w:pPr>
            <w:r w:rsidRPr="00C1635D">
              <w:t>426,127</w:t>
            </w:r>
          </w:p>
        </w:tc>
        <w:tc>
          <w:tcPr>
            <w:tcW w:w="550" w:type="pct"/>
            <w:tcBorders>
              <w:top w:val="nil"/>
              <w:left w:val="nil"/>
              <w:bottom w:val="nil"/>
              <w:right w:val="nil"/>
            </w:tcBorders>
            <w:shd w:val="clear" w:color="auto" w:fill="auto"/>
          </w:tcPr>
          <w:p w14:paraId="77257E1B" w14:textId="77777777" w:rsidR="00A60D4B" w:rsidRPr="00C1635D" w:rsidRDefault="00A60D4B" w:rsidP="00A60D4B">
            <w:pPr>
              <w:pStyle w:val="Btablefigureunbold"/>
            </w:pPr>
            <w:r w:rsidRPr="00C1635D">
              <w:t>420,271</w:t>
            </w:r>
          </w:p>
        </w:tc>
        <w:tc>
          <w:tcPr>
            <w:tcW w:w="598" w:type="pct"/>
            <w:tcBorders>
              <w:top w:val="nil"/>
              <w:left w:val="nil"/>
              <w:bottom w:val="nil"/>
              <w:right w:val="nil"/>
            </w:tcBorders>
            <w:shd w:val="clear" w:color="auto" w:fill="auto"/>
          </w:tcPr>
          <w:p w14:paraId="7463CD23" w14:textId="77777777" w:rsidR="00A60D4B" w:rsidRPr="00C1635D" w:rsidRDefault="00A60D4B" w:rsidP="00A60D4B">
            <w:pPr>
              <w:pStyle w:val="Btablefigureunbold"/>
            </w:pPr>
            <w:r w:rsidRPr="00C1635D">
              <w:t>417,460</w:t>
            </w:r>
          </w:p>
        </w:tc>
      </w:tr>
      <w:tr w:rsidR="00A60D4B" w:rsidRPr="00EC74DB" w14:paraId="794D0032" w14:textId="77777777" w:rsidTr="00A60D4B">
        <w:trPr>
          <w:trHeight w:val="270"/>
        </w:trPr>
        <w:tc>
          <w:tcPr>
            <w:tcW w:w="1081" w:type="pct"/>
            <w:tcBorders>
              <w:top w:val="nil"/>
              <w:bottom w:val="nil"/>
            </w:tcBorders>
          </w:tcPr>
          <w:p w14:paraId="29A28527" w14:textId="77777777" w:rsidR="00A60D4B" w:rsidRDefault="00A60D4B" w:rsidP="00A60D4B">
            <w:pPr>
              <w:pStyle w:val="Btabletextunbold"/>
            </w:pPr>
            <w:r>
              <w:t>Depreciation and amortisation</w:t>
            </w:r>
          </w:p>
        </w:tc>
        <w:tc>
          <w:tcPr>
            <w:tcW w:w="617" w:type="pct"/>
            <w:tcBorders>
              <w:top w:val="nil"/>
              <w:left w:val="nil"/>
              <w:bottom w:val="nil"/>
              <w:right w:val="nil"/>
            </w:tcBorders>
            <w:shd w:val="clear" w:color="auto" w:fill="auto"/>
          </w:tcPr>
          <w:p w14:paraId="5ADB0421" w14:textId="77777777" w:rsidR="00A60D4B" w:rsidRPr="00C1635D" w:rsidRDefault="00A60D4B" w:rsidP="00A60D4B">
            <w:pPr>
              <w:pStyle w:val="Btablefigureunbold"/>
            </w:pPr>
            <w:r w:rsidRPr="00C1635D">
              <w:t>498,236</w:t>
            </w:r>
          </w:p>
        </w:tc>
        <w:tc>
          <w:tcPr>
            <w:tcW w:w="617" w:type="pct"/>
            <w:tcBorders>
              <w:top w:val="nil"/>
              <w:left w:val="nil"/>
              <w:bottom w:val="nil"/>
              <w:right w:val="nil"/>
            </w:tcBorders>
            <w:shd w:val="clear" w:color="auto" w:fill="auto"/>
          </w:tcPr>
          <w:p w14:paraId="1F3A5376" w14:textId="77777777" w:rsidR="00A60D4B" w:rsidRPr="00C1635D" w:rsidRDefault="00A60D4B" w:rsidP="00A60D4B">
            <w:pPr>
              <w:pStyle w:val="Btablefigureunbold"/>
            </w:pPr>
            <w:r w:rsidRPr="00C1635D">
              <w:t>497,192</w:t>
            </w:r>
          </w:p>
        </w:tc>
        <w:tc>
          <w:tcPr>
            <w:tcW w:w="617" w:type="pct"/>
            <w:tcBorders>
              <w:top w:val="nil"/>
              <w:left w:val="nil"/>
              <w:bottom w:val="nil"/>
              <w:right w:val="nil"/>
            </w:tcBorders>
            <w:shd w:val="clear" w:color="auto" w:fill="auto"/>
          </w:tcPr>
          <w:p w14:paraId="1BA097CE" w14:textId="77777777" w:rsidR="00A60D4B" w:rsidRPr="00C1635D" w:rsidRDefault="00A60D4B" w:rsidP="00A60D4B">
            <w:pPr>
              <w:pStyle w:val="Btablefigureunbold"/>
              <w:rPr>
                <w:b/>
                <w:sz w:val="18"/>
                <w:szCs w:val="18"/>
              </w:rPr>
            </w:pPr>
            <w:r w:rsidRPr="00C1635D">
              <w:t>539,817</w:t>
            </w:r>
          </w:p>
        </w:tc>
        <w:tc>
          <w:tcPr>
            <w:tcW w:w="309" w:type="pct"/>
            <w:tcBorders>
              <w:top w:val="nil"/>
              <w:left w:val="nil"/>
              <w:bottom w:val="nil"/>
              <w:right w:val="nil"/>
            </w:tcBorders>
            <w:shd w:val="clear" w:color="auto" w:fill="auto"/>
          </w:tcPr>
          <w:p w14:paraId="7AEC8DAD" w14:textId="77777777" w:rsidR="00A60D4B" w:rsidRPr="00C1635D" w:rsidRDefault="00A60D4B" w:rsidP="00A60D4B">
            <w:pPr>
              <w:pStyle w:val="Btablefigureunbold"/>
            </w:pPr>
            <w:r w:rsidRPr="00C1635D">
              <w:t>9</w:t>
            </w:r>
          </w:p>
        </w:tc>
        <w:tc>
          <w:tcPr>
            <w:tcW w:w="611" w:type="pct"/>
            <w:tcBorders>
              <w:top w:val="nil"/>
              <w:left w:val="nil"/>
              <w:bottom w:val="nil"/>
              <w:right w:val="nil"/>
            </w:tcBorders>
            <w:shd w:val="clear" w:color="auto" w:fill="auto"/>
          </w:tcPr>
          <w:p w14:paraId="60042FDD" w14:textId="77777777" w:rsidR="00A60D4B" w:rsidRPr="00C1635D" w:rsidRDefault="00A60D4B" w:rsidP="00A60D4B">
            <w:pPr>
              <w:pStyle w:val="Btablefigureunbold"/>
            </w:pPr>
            <w:r w:rsidRPr="00C1635D">
              <w:t>570,141</w:t>
            </w:r>
          </w:p>
        </w:tc>
        <w:tc>
          <w:tcPr>
            <w:tcW w:w="550" w:type="pct"/>
            <w:tcBorders>
              <w:top w:val="nil"/>
              <w:left w:val="nil"/>
              <w:bottom w:val="nil"/>
              <w:right w:val="nil"/>
            </w:tcBorders>
            <w:shd w:val="clear" w:color="auto" w:fill="auto"/>
          </w:tcPr>
          <w:p w14:paraId="1BAD219B" w14:textId="77777777" w:rsidR="00A60D4B" w:rsidRPr="00C1635D" w:rsidRDefault="00A60D4B" w:rsidP="00A60D4B">
            <w:pPr>
              <w:pStyle w:val="Btablefigureunbold"/>
            </w:pPr>
            <w:r w:rsidRPr="00C1635D">
              <w:t>597,296</w:t>
            </w:r>
          </w:p>
        </w:tc>
        <w:tc>
          <w:tcPr>
            <w:tcW w:w="598" w:type="pct"/>
            <w:tcBorders>
              <w:top w:val="nil"/>
              <w:left w:val="nil"/>
              <w:bottom w:val="nil"/>
              <w:right w:val="nil"/>
            </w:tcBorders>
            <w:shd w:val="clear" w:color="auto" w:fill="auto"/>
          </w:tcPr>
          <w:p w14:paraId="5BEEF57F" w14:textId="77777777" w:rsidR="00A60D4B" w:rsidRPr="00C1635D" w:rsidRDefault="00A60D4B" w:rsidP="00A60D4B">
            <w:pPr>
              <w:pStyle w:val="Btablefigureunbold"/>
            </w:pPr>
            <w:r w:rsidRPr="00C1635D">
              <w:t>623,503</w:t>
            </w:r>
          </w:p>
        </w:tc>
      </w:tr>
      <w:tr w:rsidR="00A60D4B" w:rsidRPr="00EC74DB" w14:paraId="56851A28" w14:textId="77777777" w:rsidTr="00A60D4B">
        <w:trPr>
          <w:trHeight w:val="270"/>
        </w:trPr>
        <w:tc>
          <w:tcPr>
            <w:tcW w:w="1081" w:type="pct"/>
            <w:tcBorders>
              <w:top w:val="nil"/>
              <w:bottom w:val="nil"/>
            </w:tcBorders>
          </w:tcPr>
          <w:p w14:paraId="1A0D700F" w14:textId="77777777" w:rsidR="00A60D4B" w:rsidRDefault="00A60D4B" w:rsidP="00A60D4B">
            <w:pPr>
              <w:pStyle w:val="Btabletextunbold"/>
            </w:pPr>
            <w:r>
              <w:t>Interest expense</w:t>
            </w:r>
          </w:p>
        </w:tc>
        <w:tc>
          <w:tcPr>
            <w:tcW w:w="617" w:type="pct"/>
            <w:tcBorders>
              <w:top w:val="nil"/>
              <w:left w:val="nil"/>
              <w:bottom w:val="nil"/>
              <w:right w:val="nil"/>
            </w:tcBorders>
            <w:shd w:val="clear" w:color="auto" w:fill="auto"/>
          </w:tcPr>
          <w:p w14:paraId="1090A686" w14:textId="77777777" w:rsidR="00A60D4B" w:rsidRPr="00C1635D" w:rsidRDefault="00A60D4B" w:rsidP="00A60D4B">
            <w:pPr>
              <w:pStyle w:val="Btablefigureunbold"/>
            </w:pPr>
            <w:r w:rsidRPr="00C1635D">
              <w:t>201,989</w:t>
            </w:r>
          </w:p>
        </w:tc>
        <w:tc>
          <w:tcPr>
            <w:tcW w:w="617" w:type="pct"/>
            <w:tcBorders>
              <w:top w:val="nil"/>
              <w:left w:val="nil"/>
              <w:bottom w:val="nil"/>
              <w:right w:val="nil"/>
            </w:tcBorders>
            <w:shd w:val="clear" w:color="auto" w:fill="auto"/>
          </w:tcPr>
          <w:p w14:paraId="18512991" w14:textId="77777777" w:rsidR="00A60D4B" w:rsidRPr="00C1635D" w:rsidRDefault="00A60D4B" w:rsidP="00A60D4B">
            <w:pPr>
              <w:pStyle w:val="Btablefigureunbold"/>
            </w:pPr>
            <w:r w:rsidRPr="00C1635D">
              <w:t>198,566</w:t>
            </w:r>
          </w:p>
        </w:tc>
        <w:tc>
          <w:tcPr>
            <w:tcW w:w="617" w:type="pct"/>
            <w:tcBorders>
              <w:top w:val="nil"/>
              <w:left w:val="nil"/>
              <w:bottom w:val="nil"/>
              <w:right w:val="nil"/>
            </w:tcBorders>
            <w:shd w:val="clear" w:color="auto" w:fill="auto"/>
          </w:tcPr>
          <w:p w14:paraId="7CB44CB4" w14:textId="77777777" w:rsidR="00A60D4B" w:rsidRPr="00C1635D" w:rsidRDefault="00A60D4B" w:rsidP="00A60D4B">
            <w:pPr>
              <w:pStyle w:val="Btablefigureunbold"/>
              <w:rPr>
                <w:b/>
                <w:sz w:val="18"/>
                <w:szCs w:val="18"/>
              </w:rPr>
            </w:pPr>
            <w:r w:rsidRPr="00C1635D">
              <w:t>239,084</w:t>
            </w:r>
          </w:p>
        </w:tc>
        <w:tc>
          <w:tcPr>
            <w:tcW w:w="309" w:type="pct"/>
            <w:tcBorders>
              <w:top w:val="nil"/>
              <w:left w:val="nil"/>
              <w:bottom w:val="nil"/>
              <w:right w:val="nil"/>
            </w:tcBorders>
            <w:shd w:val="clear" w:color="auto" w:fill="auto"/>
          </w:tcPr>
          <w:p w14:paraId="2BEF9BF7" w14:textId="77777777" w:rsidR="00A60D4B" w:rsidRPr="00C1635D" w:rsidRDefault="00A60D4B" w:rsidP="00A60D4B">
            <w:pPr>
              <w:pStyle w:val="Btablefigureunbold"/>
            </w:pPr>
            <w:r w:rsidRPr="00C1635D">
              <w:t>20</w:t>
            </w:r>
          </w:p>
        </w:tc>
        <w:tc>
          <w:tcPr>
            <w:tcW w:w="611" w:type="pct"/>
            <w:tcBorders>
              <w:top w:val="nil"/>
              <w:left w:val="nil"/>
              <w:bottom w:val="nil"/>
              <w:right w:val="nil"/>
            </w:tcBorders>
            <w:shd w:val="clear" w:color="auto" w:fill="auto"/>
          </w:tcPr>
          <w:p w14:paraId="223F0EE6" w14:textId="77777777" w:rsidR="00A60D4B" w:rsidRPr="00C1635D" w:rsidRDefault="00A60D4B" w:rsidP="00A60D4B">
            <w:pPr>
              <w:pStyle w:val="Btablefigureunbold"/>
            </w:pPr>
            <w:r w:rsidRPr="00C1635D">
              <w:t>260,767</w:t>
            </w:r>
          </w:p>
        </w:tc>
        <w:tc>
          <w:tcPr>
            <w:tcW w:w="550" w:type="pct"/>
            <w:tcBorders>
              <w:top w:val="nil"/>
              <w:left w:val="nil"/>
              <w:bottom w:val="nil"/>
              <w:right w:val="nil"/>
            </w:tcBorders>
            <w:shd w:val="clear" w:color="auto" w:fill="auto"/>
          </w:tcPr>
          <w:p w14:paraId="682B61EC" w14:textId="77777777" w:rsidR="00A60D4B" w:rsidRPr="00C1635D" w:rsidRDefault="00A60D4B" w:rsidP="00A60D4B">
            <w:pPr>
              <w:pStyle w:val="Btablefigureunbold"/>
            </w:pPr>
            <w:r w:rsidRPr="00C1635D">
              <w:t>295,439</w:t>
            </w:r>
          </w:p>
        </w:tc>
        <w:tc>
          <w:tcPr>
            <w:tcW w:w="598" w:type="pct"/>
            <w:tcBorders>
              <w:top w:val="nil"/>
              <w:left w:val="nil"/>
              <w:bottom w:val="nil"/>
              <w:right w:val="nil"/>
            </w:tcBorders>
            <w:shd w:val="clear" w:color="auto" w:fill="auto"/>
          </w:tcPr>
          <w:p w14:paraId="635888CD" w14:textId="77777777" w:rsidR="00A60D4B" w:rsidRPr="00C1635D" w:rsidRDefault="00A60D4B" w:rsidP="00A60D4B">
            <w:pPr>
              <w:pStyle w:val="Btablefigureunbold"/>
            </w:pPr>
            <w:r w:rsidRPr="00C1635D">
              <w:t>323,049</w:t>
            </w:r>
          </w:p>
        </w:tc>
      </w:tr>
      <w:tr w:rsidR="00A60D4B" w:rsidRPr="00EC74DB" w14:paraId="370283CA" w14:textId="77777777" w:rsidTr="00A60D4B">
        <w:trPr>
          <w:trHeight w:val="270"/>
        </w:trPr>
        <w:tc>
          <w:tcPr>
            <w:tcW w:w="1081" w:type="pct"/>
            <w:tcBorders>
              <w:top w:val="nil"/>
              <w:bottom w:val="nil"/>
            </w:tcBorders>
          </w:tcPr>
          <w:p w14:paraId="4B4949C5" w14:textId="77777777" w:rsidR="00A60D4B" w:rsidRPr="00782A2C" w:rsidRDefault="00A60D4B" w:rsidP="00A60D4B">
            <w:pPr>
              <w:pStyle w:val="Btabletextunbold"/>
            </w:pPr>
            <w:r w:rsidRPr="00782A2C">
              <w:t>Other operating expenses</w:t>
            </w:r>
          </w:p>
        </w:tc>
        <w:tc>
          <w:tcPr>
            <w:tcW w:w="617" w:type="pct"/>
            <w:tcBorders>
              <w:top w:val="nil"/>
              <w:left w:val="nil"/>
              <w:bottom w:val="nil"/>
              <w:right w:val="nil"/>
            </w:tcBorders>
            <w:shd w:val="clear" w:color="auto" w:fill="auto"/>
          </w:tcPr>
          <w:p w14:paraId="559FF138" w14:textId="77777777" w:rsidR="00A60D4B" w:rsidRPr="00782A2C" w:rsidRDefault="00A60D4B" w:rsidP="00A60D4B">
            <w:pPr>
              <w:pStyle w:val="Btablefigureunbold"/>
            </w:pPr>
          </w:p>
        </w:tc>
        <w:tc>
          <w:tcPr>
            <w:tcW w:w="617" w:type="pct"/>
            <w:tcBorders>
              <w:top w:val="nil"/>
              <w:left w:val="nil"/>
              <w:bottom w:val="nil"/>
              <w:right w:val="nil"/>
            </w:tcBorders>
            <w:shd w:val="clear" w:color="auto" w:fill="auto"/>
          </w:tcPr>
          <w:p w14:paraId="73F5C556" w14:textId="77777777" w:rsidR="00A60D4B" w:rsidRPr="00782A2C" w:rsidRDefault="00A60D4B" w:rsidP="00A60D4B">
            <w:pPr>
              <w:pStyle w:val="Btablefigureunbold"/>
            </w:pPr>
          </w:p>
        </w:tc>
        <w:tc>
          <w:tcPr>
            <w:tcW w:w="617" w:type="pct"/>
            <w:tcBorders>
              <w:top w:val="nil"/>
              <w:left w:val="nil"/>
              <w:bottom w:val="nil"/>
              <w:right w:val="nil"/>
            </w:tcBorders>
            <w:shd w:val="clear" w:color="auto" w:fill="auto"/>
          </w:tcPr>
          <w:p w14:paraId="36A065D6" w14:textId="77777777" w:rsidR="00A60D4B" w:rsidRPr="00782A2C" w:rsidRDefault="00A60D4B" w:rsidP="00A60D4B">
            <w:pPr>
              <w:pStyle w:val="Btablefigureunbold"/>
            </w:pPr>
          </w:p>
        </w:tc>
        <w:tc>
          <w:tcPr>
            <w:tcW w:w="309" w:type="pct"/>
            <w:tcBorders>
              <w:top w:val="nil"/>
              <w:left w:val="nil"/>
              <w:bottom w:val="nil"/>
              <w:right w:val="nil"/>
            </w:tcBorders>
            <w:shd w:val="clear" w:color="auto" w:fill="auto"/>
          </w:tcPr>
          <w:p w14:paraId="426F844E" w14:textId="77777777" w:rsidR="00A60D4B" w:rsidRPr="00782A2C" w:rsidRDefault="00A60D4B" w:rsidP="00A60D4B">
            <w:pPr>
              <w:pStyle w:val="Btablefigureunbold"/>
            </w:pPr>
          </w:p>
        </w:tc>
        <w:tc>
          <w:tcPr>
            <w:tcW w:w="611" w:type="pct"/>
            <w:tcBorders>
              <w:top w:val="nil"/>
              <w:left w:val="nil"/>
              <w:bottom w:val="nil"/>
              <w:right w:val="nil"/>
            </w:tcBorders>
            <w:shd w:val="clear" w:color="auto" w:fill="auto"/>
          </w:tcPr>
          <w:p w14:paraId="4B337BB4" w14:textId="77777777" w:rsidR="00A60D4B" w:rsidRPr="00782A2C" w:rsidRDefault="00A60D4B" w:rsidP="00A60D4B">
            <w:pPr>
              <w:pStyle w:val="Btablefigureunbold"/>
            </w:pPr>
          </w:p>
        </w:tc>
        <w:tc>
          <w:tcPr>
            <w:tcW w:w="550" w:type="pct"/>
            <w:tcBorders>
              <w:top w:val="nil"/>
              <w:left w:val="nil"/>
              <w:bottom w:val="nil"/>
              <w:right w:val="nil"/>
            </w:tcBorders>
            <w:shd w:val="clear" w:color="auto" w:fill="auto"/>
          </w:tcPr>
          <w:p w14:paraId="111D7A4A" w14:textId="77777777" w:rsidR="00A60D4B" w:rsidRPr="00782A2C" w:rsidRDefault="00A60D4B" w:rsidP="00A60D4B">
            <w:pPr>
              <w:pStyle w:val="Btablefigureunbold"/>
            </w:pPr>
          </w:p>
        </w:tc>
        <w:tc>
          <w:tcPr>
            <w:tcW w:w="598" w:type="pct"/>
            <w:tcBorders>
              <w:top w:val="nil"/>
              <w:left w:val="nil"/>
              <w:bottom w:val="nil"/>
              <w:right w:val="nil"/>
            </w:tcBorders>
            <w:shd w:val="clear" w:color="auto" w:fill="auto"/>
          </w:tcPr>
          <w:p w14:paraId="32E930D1" w14:textId="77777777" w:rsidR="00A60D4B" w:rsidRPr="00782A2C" w:rsidRDefault="00A60D4B" w:rsidP="00A60D4B">
            <w:pPr>
              <w:pStyle w:val="Btablefigureunbold"/>
            </w:pPr>
          </w:p>
        </w:tc>
      </w:tr>
      <w:tr w:rsidR="00A60D4B" w:rsidRPr="00EC74DB" w14:paraId="67A4CB45" w14:textId="77777777" w:rsidTr="00A60D4B">
        <w:trPr>
          <w:trHeight w:val="270"/>
        </w:trPr>
        <w:tc>
          <w:tcPr>
            <w:tcW w:w="1081" w:type="pct"/>
            <w:tcBorders>
              <w:top w:val="nil"/>
              <w:bottom w:val="nil"/>
            </w:tcBorders>
          </w:tcPr>
          <w:p w14:paraId="7686A942" w14:textId="77777777" w:rsidR="00A60D4B" w:rsidRDefault="00A60D4B" w:rsidP="00A60D4B">
            <w:pPr>
              <w:pStyle w:val="BStableindent"/>
            </w:pPr>
            <w:r>
              <w:t>Supplies and services</w:t>
            </w:r>
          </w:p>
        </w:tc>
        <w:tc>
          <w:tcPr>
            <w:tcW w:w="617" w:type="pct"/>
            <w:tcBorders>
              <w:top w:val="nil"/>
              <w:left w:val="nil"/>
              <w:bottom w:val="nil"/>
              <w:right w:val="nil"/>
            </w:tcBorders>
            <w:shd w:val="clear" w:color="auto" w:fill="auto"/>
          </w:tcPr>
          <w:p w14:paraId="271830C1" w14:textId="77777777" w:rsidR="00A60D4B" w:rsidRPr="00C1635D" w:rsidRDefault="00A60D4B" w:rsidP="00A60D4B">
            <w:pPr>
              <w:pStyle w:val="Btablefigureunbold"/>
            </w:pPr>
            <w:r w:rsidRPr="00C1635D">
              <w:t>1,190,416</w:t>
            </w:r>
          </w:p>
        </w:tc>
        <w:tc>
          <w:tcPr>
            <w:tcW w:w="617" w:type="pct"/>
            <w:tcBorders>
              <w:top w:val="nil"/>
              <w:left w:val="nil"/>
              <w:bottom w:val="nil"/>
              <w:right w:val="nil"/>
            </w:tcBorders>
            <w:shd w:val="clear" w:color="auto" w:fill="auto"/>
          </w:tcPr>
          <w:p w14:paraId="6613259E" w14:textId="77777777" w:rsidR="00A60D4B" w:rsidRPr="00C1635D" w:rsidRDefault="00A60D4B" w:rsidP="00A60D4B">
            <w:pPr>
              <w:pStyle w:val="Btablefigureunbold"/>
            </w:pPr>
            <w:r w:rsidRPr="00C1635D">
              <w:t>1,091,789</w:t>
            </w:r>
          </w:p>
        </w:tc>
        <w:tc>
          <w:tcPr>
            <w:tcW w:w="617" w:type="pct"/>
            <w:tcBorders>
              <w:top w:val="nil"/>
              <w:left w:val="nil"/>
              <w:bottom w:val="nil"/>
              <w:right w:val="nil"/>
            </w:tcBorders>
            <w:shd w:val="clear" w:color="auto" w:fill="auto"/>
          </w:tcPr>
          <w:p w14:paraId="0796FF82" w14:textId="77777777" w:rsidR="00A60D4B" w:rsidRPr="00C1635D" w:rsidRDefault="00A60D4B" w:rsidP="00A60D4B">
            <w:pPr>
              <w:pStyle w:val="Btablefigureunbold"/>
              <w:rPr>
                <w:b/>
                <w:sz w:val="18"/>
                <w:szCs w:val="18"/>
              </w:rPr>
            </w:pPr>
            <w:r w:rsidRPr="00C1635D">
              <w:t>1,415,144</w:t>
            </w:r>
          </w:p>
        </w:tc>
        <w:tc>
          <w:tcPr>
            <w:tcW w:w="309" w:type="pct"/>
            <w:tcBorders>
              <w:top w:val="nil"/>
              <w:left w:val="nil"/>
              <w:bottom w:val="nil"/>
              <w:right w:val="nil"/>
            </w:tcBorders>
            <w:shd w:val="clear" w:color="auto" w:fill="auto"/>
          </w:tcPr>
          <w:p w14:paraId="46D4E14A" w14:textId="77777777" w:rsidR="00A60D4B" w:rsidRPr="00C1635D" w:rsidRDefault="00A60D4B" w:rsidP="00A60D4B">
            <w:pPr>
              <w:pStyle w:val="Btablefigureunbold"/>
            </w:pPr>
            <w:r w:rsidRPr="00C1635D">
              <w:t>30</w:t>
            </w:r>
          </w:p>
        </w:tc>
        <w:tc>
          <w:tcPr>
            <w:tcW w:w="611" w:type="pct"/>
            <w:tcBorders>
              <w:top w:val="nil"/>
              <w:left w:val="nil"/>
              <w:bottom w:val="nil"/>
              <w:right w:val="nil"/>
            </w:tcBorders>
            <w:shd w:val="clear" w:color="auto" w:fill="auto"/>
          </w:tcPr>
          <w:p w14:paraId="6FD39D29" w14:textId="77777777" w:rsidR="00A60D4B" w:rsidRPr="00C1635D" w:rsidRDefault="00A60D4B" w:rsidP="00A60D4B">
            <w:pPr>
              <w:pStyle w:val="Btablefigureunbold"/>
            </w:pPr>
            <w:r w:rsidRPr="00C1635D">
              <w:t>1,397,940</w:t>
            </w:r>
          </w:p>
        </w:tc>
        <w:tc>
          <w:tcPr>
            <w:tcW w:w="550" w:type="pct"/>
            <w:tcBorders>
              <w:top w:val="nil"/>
              <w:left w:val="nil"/>
              <w:bottom w:val="nil"/>
              <w:right w:val="nil"/>
            </w:tcBorders>
            <w:shd w:val="clear" w:color="auto" w:fill="auto"/>
          </w:tcPr>
          <w:p w14:paraId="24412076" w14:textId="77777777" w:rsidR="00A60D4B" w:rsidRPr="00C1635D" w:rsidRDefault="00A60D4B" w:rsidP="00A60D4B">
            <w:pPr>
              <w:pStyle w:val="Btablefigureunbold"/>
            </w:pPr>
            <w:r w:rsidRPr="00C1635D">
              <w:t>1,436,812</w:t>
            </w:r>
          </w:p>
        </w:tc>
        <w:tc>
          <w:tcPr>
            <w:tcW w:w="598" w:type="pct"/>
            <w:tcBorders>
              <w:top w:val="nil"/>
              <w:left w:val="nil"/>
              <w:bottom w:val="nil"/>
              <w:right w:val="nil"/>
            </w:tcBorders>
            <w:shd w:val="clear" w:color="auto" w:fill="auto"/>
          </w:tcPr>
          <w:p w14:paraId="71871E5D" w14:textId="77777777" w:rsidR="00A60D4B" w:rsidRPr="00C1635D" w:rsidRDefault="00A60D4B" w:rsidP="00A60D4B">
            <w:pPr>
              <w:pStyle w:val="Btablefigureunbold"/>
            </w:pPr>
            <w:r w:rsidRPr="00C1635D">
              <w:t>1,487,512</w:t>
            </w:r>
          </w:p>
        </w:tc>
      </w:tr>
      <w:tr w:rsidR="00A60D4B" w:rsidRPr="00EC74DB" w14:paraId="2580D13B" w14:textId="77777777" w:rsidTr="00A60D4B">
        <w:trPr>
          <w:trHeight w:val="270"/>
        </w:trPr>
        <w:tc>
          <w:tcPr>
            <w:tcW w:w="1081" w:type="pct"/>
            <w:tcBorders>
              <w:top w:val="nil"/>
              <w:bottom w:val="nil"/>
            </w:tcBorders>
          </w:tcPr>
          <w:p w14:paraId="38170F14" w14:textId="77777777" w:rsidR="00A60D4B" w:rsidRDefault="00A60D4B" w:rsidP="00A60D4B">
            <w:pPr>
              <w:pStyle w:val="BStableindent"/>
            </w:pPr>
            <w:r>
              <w:t>Other operating expenses</w:t>
            </w:r>
          </w:p>
        </w:tc>
        <w:tc>
          <w:tcPr>
            <w:tcW w:w="617" w:type="pct"/>
            <w:tcBorders>
              <w:top w:val="nil"/>
              <w:left w:val="nil"/>
              <w:bottom w:val="nil"/>
              <w:right w:val="nil"/>
            </w:tcBorders>
            <w:shd w:val="clear" w:color="auto" w:fill="auto"/>
          </w:tcPr>
          <w:p w14:paraId="67AA3327" w14:textId="77777777" w:rsidR="00A60D4B" w:rsidRPr="00C1635D" w:rsidRDefault="00A60D4B" w:rsidP="00A60D4B">
            <w:pPr>
              <w:pStyle w:val="Btablefigureunbold"/>
            </w:pPr>
            <w:r w:rsidRPr="00C1635D">
              <w:t>279,076</w:t>
            </w:r>
          </w:p>
        </w:tc>
        <w:tc>
          <w:tcPr>
            <w:tcW w:w="617" w:type="pct"/>
            <w:tcBorders>
              <w:top w:val="nil"/>
              <w:left w:val="nil"/>
              <w:bottom w:val="nil"/>
              <w:right w:val="nil"/>
            </w:tcBorders>
            <w:shd w:val="clear" w:color="auto" w:fill="auto"/>
          </w:tcPr>
          <w:p w14:paraId="0779448D" w14:textId="77777777" w:rsidR="00A60D4B" w:rsidRPr="00C1635D" w:rsidRDefault="00A60D4B" w:rsidP="00A60D4B">
            <w:pPr>
              <w:pStyle w:val="Btablefigureunbold"/>
            </w:pPr>
            <w:r w:rsidRPr="00C1635D">
              <w:t>374,517</w:t>
            </w:r>
          </w:p>
        </w:tc>
        <w:tc>
          <w:tcPr>
            <w:tcW w:w="617" w:type="pct"/>
            <w:tcBorders>
              <w:top w:val="nil"/>
              <w:left w:val="nil"/>
              <w:bottom w:val="nil"/>
              <w:right w:val="nil"/>
            </w:tcBorders>
            <w:shd w:val="clear" w:color="auto" w:fill="auto"/>
          </w:tcPr>
          <w:p w14:paraId="52477F7B" w14:textId="77777777" w:rsidR="00A60D4B" w:rsidRPr="00C1635D" w:rsidRDefault="00A60D4B" w:rsidP="00A60D4B">
            <w:pPr>
              <w:pStyle w:val="Btablefigureunbold"/>
              <w:rPr>
                <w:b/>
                <w:sz w:val="18"/>
                <w:szCs w:val="18"/>
              </w:rPr>
            </w:pPr>
            <w:r w:rsidRPr="00C1635D">
              <w:t>327,334</w:t>
            </w:r>
          </w:p>
        </w:tc>
        <w:tc>
          <w:tcPr>
            <w:tcW w:w="309" w:type="pct"/>
            <w:tcBorders>
              <w:top w:val="nil"/>
              <w:left w:val="nil"/>
              <w:bottom w:val="nil"/>
              <w:right w:val="nil"/>
            </w:tcBorders>
            <w:shd w:val="clear" w:color="auto" w:fill="auto"/>
          </w:tcPr>
          <w:p w14:paraId="1BF27C9C" w14:textId="77777777" w:rsidR="00A60D4B" w:rsidRPr="00C1635D" w:rsidRDefault="00A60D4B" w:rsidP="00A60D4B">
            <w:pPr>
              <w:pStyle w:val="Btablefigureunbold"/>
            </w:pPr>
            <w:r w:rsidRPr="00C1635D">
              <w:t>-13</w:t>
            </w:r>
          </w:p>
        </w:tc>
        <w:tc>
          <w:tcPr>
            <w:tcW w:w="611" w:type="pct"/>
            <w:tcBorders>
              <w:top w:val="nil"/>
              <w:left w:val="nil"/>
              <w:bottom w:val="nil"/>
              <w:right w:val="nil"/>
            </w:tcBorders>
            <w:shd w:val="clear" w:color="auto" w:fill="auto"/>
          </w:tcPr>
          <w:p w14:paraId="40A327DE" w14:textId="77777777" w:rsidR="00A60D4B" w:rsidRPr="00C1635D" w:rsidRDefault="00A60D4B" w:rsidP="00A60D4B">
            <w:pPr>
              <w:pStyle w:val="Btablefigureunbold"/>
            </w:pPr>
            <w:r w:rsidRPr="00C1635D">
              <w:t>303,577</w:t>
            </w:r>
          </w:p>
        </w:tc>
        <w:tc>
          <w:tcPr>
            <w:tcW w:w="550" w:type="pct"/>
            <w:tcBorders>
              <w:top w:val="nil"/>
              <w:left w:val="nil"/>
              <w:bottom w:val="nil"/>
              <w:right w:val="nil"/>
            </w:tcBorders>
            <w:shd w:val="clear" w:color="auto" w:fill="auto"/>
          </w:tcPr>
          <w:p w14:paraId="4E3D3628" w14:textId="77777777" w:rsidR="00A60D4B" w:rsidRPr="00C1635D" w:rsidRDefault="00A60D4B" w:rsidP="00A60D4B">
            <w:pPr>
              <w:pStyle w:val="Btablefigureunbold"/>
            </w:pPr>
            <w:r w:rsidRPr="00C1635D">
              <w:t>310,236</w:t>
            </w:r>
          </w:p>
        </w:tc>
        <w:tc>
          <w:tcPr>
            <w:tcW w:w="598" w:type="pct"/>
            <w:tcBorders>
              <w:top w:val="nil"/>
              <w:left w:val="nil"/>
              <w:bottom w:val="nil"/>
              <w:right w:val="nil"/>
            </w:tcBorders>
            <w:shd w:val="clear" w:color="auto" w:fill="auto"/>
          </w:tcPr>
          <w:p w14:paraId="1D537373" w14:textId="77777777" w:rsidR="00A60D4B" w:rsidRPr="00C1635D" w:rsidRDefault="00A60D4B" w:rsidP="00A60D4B">
            <w:pPr>
              <w:pStyle w:val="Btablefigureunbold"/>
            </w:pPr>
            <w:r w:rsidRPr="00C1635D">
              <w:t>318,918</w:t>
            </w:r>
          </w:p>
        </w:tc>
      </w:tr>
      <w:tr w:rsidR="00A60D4B" w:rsidRPr="00EC74DB" w14:paraId="55D07590" w14:textId="77777777" w:rsidTr="00A60D4B">
        <w:trPr>
          <w:trHeight w:val="270"/>
        </w:trPr>
        <w:tc>
          <w:tcPr>
            <w:tcW w:w="1081" w:type="pct"/>
            <w:tcBorders>
              <w:top w:val="nil"/>
              <w:bottom w:val="single" w:sz="4" w:space="0" w:color="auto"/>
            </w:tcBorders>
          </w:tcPr>
          <w:p w14:paraId="59E77EBA" w14:textId="77777777" w:rsidR="00A60D4B" w:rsidRDefault="00A60D4B" w:rsidP="00A60D4B">
            <w:pPr>
              <w:pStyle w:val="Btabletextunbold"/>
            </w:pPr>
            <w:r>
              <w:t>Grants and purchased services</w:t>
            </w:r>
          </w:p>
        </w:tc>
        <w:tc>
          <w:tcPr>
            <w:tcW w:w="617" w:type="pct"/>
            <w:tcBorders>
              <w:top w:val="nil"/>
              <w:left w:val="nil"/>
              <w:bottom w:val="single" w:sz="4" w:space="0" w:color="auto"/>
              <w:right w:val="nil"/>
            </w:tcBorders>
            <w:shd w:val="clear" w:color="auto" w:fill="auto"/>
          </w:tcPr>
          <w:p w14:paraId="20F58B8D" w14:textId="77777777" w:rsidR="00A60D4B" w:rsidRPr="00C1635D" w:rsidRDefault="00A60D4B" w:rsidP="00A60D4B">
            <w:pPr>
              <w:pStyle w:val="Btablefigureunbold"/>
            </w:pPr>
            <w:r w:rsidRPr="00C1635D">
              <w:t>1,515,435</w:t>
            </w:r>
          </w:p>
        </w:tc>
        <w:tc>
          <w:tcPr>
            <w:tcW w:w="617" w:type="pct"/>
            <w:tcBorders>
              <w:top w:val="nil"/>
              <w:left w:val="nil"/>
              <w:bottom w:val="single" w:sz="4" w:space="0" w:color="auto"/>
              <w:right w:val="nil"/>
            </w:tcBorders>
            <w:shd w:val="clear" w:color="auto" w:fill="auto"/>
          </w:tcPr>
          <w:p w14:paraId="06F75BDF" w14:textId="77777777" w:rsidR="00A60D4B" w:rsidRPr="00C1635D" w:rsidRDefault="00A60D4B" w:rsidP="00A60D4B">
            <w:pPr>
              <w:pStyle w:val="Btablefigureunbold"/>
            </w:pPr>
            <w:r w:rsidRPr="00C1635D">
              <w:t>1,461,525</w:t>
            </w:r>
          </w:p>
        </w:tc>
        <w:tc>
          <w:tcPr>
            <w:tcW w:w="617" w:type="pct"/>
            <w:tcBorders>
              <w:top w:val="nil"/>
              <w:left w:val="nil"/>
              <w:bottom w:val="single" w:sz="4" w:space="0" w:color="auto"/>
              <w:right w:val="nil"/>
            </w:tcBorders>
            <w:shd w:val="clear" w:color="auto" w:fill="auto"/>
          </w:tcPr>
          <w:p w14:paraId="5A8C1D9A" w14:textId="77777777" w:rsidR="00A60D4B" w:rsidRPr="00C1635D" w:rsidRDefault="00A60D4B" w:rsidP="00A60D4B">
            <w:pPr>
              <w:pStyle w:val="Btablefigureunbold"/>
              <w:rPr>
                <w:b/>
                <w:sz w:val="18"/>
                <w:szCs w:val="18"/>
              </w:rPr>
            </w:pPr>
            <w:r w:rsidRPr="00C1635D">
              <w:t>1,859,018</w:t>
            </w:r>
          </w:p>
        </w:tc>
        <w:tc>
          <w:tcPr>
            <w:tcW w:w="309" w:type="pct"/>
            <w:tcBorders>
              <w:top w:val="nil"/>
              <w:left w:val="nil"/>
              <w:bottom w:val="single" w:sz="4" w:space="0" w:color="auto"/>
              <w:right w:val="nil"/>
            </w:tcBorders>
            <w:shd w:val="clear" w:color="auto" w:fill="auto"/>
          </w:tcPr>
          <w:p w14:paraId="4C588180" w14:textId="77777777" w:rsidR="00A60D4B" w:rsidRPr="00C1635D" w:rsidRDefault="00A60D4B" w:rsidP="00A60D4B">
            <w:pPr>
              <w:pStyle w:val="Btablefigureunbold"/>
            </w:pPr>
            <w:r w:rsidRPr="00C1635D">
              <w:t>2</w:t>
            </w:r>
            <w:r>
              <w:t>7</w:t>
            </w:r>
          </w:p>
        </w:tc>
        <w:tc>
          <w:tcPr>
            <w:tcW w:w="611" w:type="pct"/>
            <w:tcBorders>
              <w:top w:val="nil"/>
              <w:left w:val="nil"/>
              <w:bottom w:val="single" w:sz="4" w:space="0" w:color="auto"/>
              <w:right w:val="nil"/>
            </w:tcBorders>
            <w:shd w:val="clear" w:color="auto" w:fill="auto"/>
          </w:tcPr>
          <w:p w14:paraId="7A6CDC32" w14:textId="77777777" w:rsidR="00A60D4B" w:rsidRPr="00C1635D" w:rsidRDefault="00A60D4B" w:rsidP="00A60D4B">
            <w:pPr>
              <w:pStyle w:val="Btablefigureunbold"/>
            </w:pPr>
            <w:r w:rsidRPr="00C1635D">
              <w:t>1,437,017</w:t>
            </w:r>
          </w:p>
        </w:tc>
        <w:tc>
          <w:tcPr>
            <w:tcW w:w="550" w:type="pct"/>
            <w:tcBorders>
              <w:top w:val="nil"/>
              <w:left w:val="nil"/>
              <w:bottom w:val="single" w:sz="4" w:space="0" w:color="auto"/>
              <w:right w:val="nil"/>
            </w:tcBorders>
            <w:shd w:val="clear" w:color="auto" w:fill="auto"/>
          </w:tcPr>
          <w:p w14:paraId="3D485C0E" w14:textId="77777777" w:rsidR="00A60D4B" w:rsidRPr="00C1635D" w:rsidRDefault="00A60D4B" w:rsidP="00A60D4B">
            <w:pPr>
              <w:pStyle w:val="Btablefigureunbold"/>
            </w:pPr>
            <w:r w:rsidRPr="00C1635D">
              <w:t>1,392,837</w:t>
            </w:r>
          </w:p>
        </w:tc>
        <w:tc>
          <w:tcPr>
            <w:tcW w:w="598" w:type="pct"/>
            <w:tcBorders>
              <w:top w:val="nil"/>
              <w:left w:val="nil"/>
              <w:bottom w:val="single" w:sz="4" w:space="0" w:color="auto"/>
              <w:right w:val="nil"/>
            </w:tcBorders>
            <w:shd w:val="clear" w:color="auto" w:fill="auto"/>
          </w:tcPr>
          <w:p w14:paraId="1C006286" w14:textId="77777777" w:rsidR="00A60D4B" w:rsidRPr="00C1635D" w:rsidRDefault="00A60D4B" w:rsidP="00A60D4B">
            <w:pPr>
              <w:pStyle w:val="Btablefigureunbold"/>
            </w:pPr>
            <w:r w:rsidRPr="00C1635D">
              <w:t>1,419,973</w:t>
            </w:r>
          </w:p>
        </w:tc>
      </w:tr>
      <w:tr w:rsidR="00A60D4B" w:rsidRPr="00315542" w14:paraId="3E0C6402" w14:textId="77777777" w:rsidTr="00A60D4B">
        <w:trPr>
          <w:trHeight w:val="270"/>
        </w:trPr>
        <w:tc>
          <w:tcPr>
            <w:tcW w:w="1081" w:type="pct"/>
            <w:tcBorders>
              <w:top w:val="single" w:sz="4" w:space="0" w:color="auto"/>
              <w:bottom w:val="single" w:sz="4" w:space="0" w:color="auto"/>
            </w:tcBorders>
          </w:tcPr>
          <w:p w14:paraId="393AE8B5" w14:textId="77777777" w:rsidR="00A60D4B" w:rsidRPr="00315542" w:rsidRDefault="00A60D4B" w:rsidP="00A60D4B">
            <w:pPr>
              <w:pStyle w:val="Btabletextbolditalic"/>
              <w:rPr>
                <w:i w:val="0"/>
                <w:color w:val="472D8C"/>
              </w:rPr>
            </w:pPr>
            <w:r w:rsidRPr="00315542">
              <w:rPr>
                <w:i w:val="0"/>
                <w:color w:val="472D8C"/>
              </w:rPr>
              <w:t>Total expenses</w:t>
            </w:r>
          </w:p>
        </w:tc>
        <w:tc>
          <w:tcPr>
            <w:tcW w:w="617" w:type="pct"/>
            <w:tcBorders>
              <w:top w:val="single" w:sz="4" w:space="0" w:color="auto"/>
              <w:left w:val="nil"/>
              <w:bottom w:val="single" w:sz="4" w:space="0" w:color="auto"/>
              <w:right w:val="nil"/>
            </w:tcBorders>
            <w:shd w:val="clear" w:color="auto" w:fill="auto"/>
          </w:tcPr>
          <w:p w14:paraId="23FE47F7" w14:textId="77777777" w:rsidR="00A60D4B" w:rsidRPr="00315542" w:rsidRDefault="00A60D4B" w:rsidP="00A60D4B">
            <w:pPr>
              <w:pStyle w:val="Btabletextbolditalic"/>
              <w:jc w:val="right"/>
              <w:rPr>
                <w:i w:val="0"/>
                <w:color w:val="472D8C"/>
              </w:rPr>
            </w:pPr>
            <w:r w:rsidRPr="00315542">
              <w:rPr>
                <w:i w:val="0"/>
                <w:color w:val="472D8C"/>
              </w:rPr>
              <w:t>6,749,744</w:t>
            </w:r>
          </w:p>
        </w:tc>
        <w:tc>
          <w:tcPr>
            <w:tcW w:w="617" w:type="pct"/>
            <w:tcBorders>
              <w:top w:val="single" w:sz="4" w:space="0" w:color="auto"/>
              <w:left w:val="nil"/>
              <w:bottom w:val="single" w:sz="4" w:space="0" w:color="auto"/>
              <w:right w:val="nil"/>
            </w:tcBorders>
            <w:shd w:val="clear" w:color="auto" w:fill="auto"/>
          </w:tcPr>
          <w:p w14:paraId="6D1B8AE5" w14:textId="77777777" w:rsidR="00A60D4B" w:rsidRPr="00315542" w:rsidRDefault="00A60D4B" w:rsidP="00A60D4B">
            <w:pPr>
              <w:pStyle w:val="Btabletextbolditalic"/>
              <w:jc w:val="right"/>
              <w:rPr>
                <w:i w:val="0"/>
                <w:color w:val="472D8C"/>
              </w:rPr>
            </w:pPr>
            <w:r w:rsidRPr="00315542">
              <w:rPr>
                <w:i w:val="0"/>
                <w:color w:val="472D8C"/>
              </w:rPr>
              <w:t>6,794,132</w:t>
            </w:r>
          </w:p>
        </w:tc>
        <w:tc>
          <w:tcPr>
            <w:tcW w:w="617" w:type="pct"/>
            <w:tcBorders>
              <w:top w:val="single" w:sz="4" w:space="0" w:color="auto"/>
              <w:left w:val="nil"/>
              <w:bottom w:val="single" w:sz="4" w:space="0" w:color="auto"/>
              <w:right w:val="nil"/>
            </w:tcBorders>
            <w:shd w:val="clear" w:color="auto" w:fill="auto"/>
          </w:tcPr>
          <w:p w14:paraId="54AC6DEC" w14:textId="77777777" w:rsidR="00A60D4B" w:rsidRPr="00315542" w:rsidRDefault="00A60D4B" w:rsidP="00A60D4B">
            <w:pPr>
              <w:pStyle w:val="Btabletextbolditalic"/>
              <w:jc w:val="right"/>
              <w:rPr>
                <w:i w:val="0"/>
                <w:color w:val="472D8C"/>
              </w:rPr>
            </w:pPr>
            <w:r w:rsidRPr="00315542">
              <w:rPr>
                <w:i w:val="0"/>
                <w:color w:val="472D8C"/>
              </w:rPr>
              <w:t>7,764,689</w:t>
            </w:r>
          </w:p>
        </w:tc>
        <w:tc>
          <w:tcPr>
            <w:tcW w:w="309" w:type="pct"/>
            <w:tcBorders>
              <w:top w:val="single" w:sz="4" w:space="0" w:color="auto"/>
              <w:left w:val="nil"/>
              <w:bottom w:val="single" w:sz="4" w:space="0" w:color="auto"/>
              <w:right w:val="nil"/>
            </w:tcBorders>
            <w:shd w:val="clear" w:color="auto" w:fill="auto"/>
          </w:tcPr>
          <w:p w14:paraId="7601E4F3" w14:textId="77777777" w:rsidR="00A60D4B" w:rsidRPr="00315542" w:rsidRDefault="00A60D4B" w:rsidP="00A60D4B">
            <w:pPr>
              <w:pStyle w:val="Btabletextbolditalic"/>
              <w:jc w:val="right"/>
              <w:rPr>
                <w:i w:val="0"/>
                <w:color w:val="472D8C"/>
              </w:rPr>
            </w:pPr>
            <w:r>
              <w:rPr>
                <w:i w:val="0"/>
                <w:iCs/>
                <w:color w:val="472D8C"/>
              </w:rPr>
              <w:t>14</w:t>
            </w:r>
          </w:p>
        </w:tc>
        <w:tc>
          <w:tcPr>
            <w:tcW w:w="611" w:type="pct"/>
            <w:tcBorders>
              <w:top w:val="single" w:sz="4" w:space="0" w:color="auto"/>
              <w:left w:val="nil"/>
              <w:bottom w:val="single" w:sz="4" w:space="0" w:color="auto"/>
              <w:right w:val="nil"/>
            </w:tcBorders>
            <w:shd w:val="clear" w:color="auto" w:fill="auto"/>
          </w:tcPr>
          <w:p w14:paraId="41B945E6" w14:textId="77777777" w:rsidR="00A60D4B" w:rsidRPr="00315542" w:rsidRDefault="00A60D4B" w:rsidP="00A60D4B">
            <w:pPr>
              <w:pStyle w:val="Btabletextbolditalic"/>
              <w:jc w:val="right"/>
              <w:rPr>
                <w:i w:val="0"/>
                <w:color w:val="472D8C"/>
              </w:rPr>
            </w:pPr>
            <w:r w:rsidRPr="00315542">
              <w:rPr>
                <w:i w:val="0"/>
                <w:color w:val="472D8C"/>
              </w:rPr>
              <w:t>7,337,336</w:t>
            </w:r>
          </w:p>
        </w:tc>
        <w:tc>
          <w:tcPr>
            <w:tcW w:w="550" w:type="pct"/>
            <w:tcBorders>
              <w:top w:val="single" w:sz="4" w:space="0" w:color="auto"/>
              <w:left w:val="nil"/>
              <w:bottom w:val="single" w:sz="4" w:space="0" w:color="auto"/>
              <w:right w:val="nil"/>
            </w:tcBorders>
            <w:shd w:val="clear" w:color="auto" w:fill="auto"/>
          </w:tcPr>
          <w:p w14:paraId="7BBB59B3" w14:textId="77777777" w:rsidR="00A60D4B" w:rsidRPr="00315542" w:rsidRDefault="00A60D4B" w:rsidP="00A60D4B">
            <w:pPr>
              <w:pStyle w:val="Btabletextbolditalic"/>
              <w:jc w:val="right"/>
              <w:rPr>
                <w:i w:val="0"/>
                <w:color w:val="472D8C"/>
              </w:rPr>
            </w:pPr>
            <w:r w:rsidRPr="00315542">
              <w:rPr>
                <w:i w:val="0"/>
                <w:color w:val="472D8C"/>
              </w:rPr>
              <w:t>7,474,360</w:t>
            </w:r>
          </w:p>
        </w:tc>
        <w:tc>
          <w:tcPr>
            <w:tcW w:w="598" w:type="pct"/>
            <w:tcBorders>
              <w:top w:val="single" w:sz="4" w:space="0" w:color="auto"/>
              <w:left w:val="nil"/>
              <w:bottom w:val="single" w:sz="4" w:space="0" w:color="auto"/>
              <w:right w:val="nil"/>
            </w:tcBorders>
            <w:shd w:val="clear" w:color="auto" w:fill="auto"/>
          </w:tcPr>
          <w:p w14:paraId="5D6D1D5D" w14:textId="77777777" w:rsidR="00A60D4B" w:rsidRPr="00315542" w:rsidRDefault="00A60D4B" w:rsidP="00A60D4B">
            <w:pPr>
              <w:pStyle w:val="Btabletextbolditalic"/>
              <w:jc w:val="right"/>
              <w:rPr>
                <w:i w:val="0"/>
                <w:color w:val="472D8C"/>
              </w:rPr>
            </w:pPr>
            <w:r w:rsidRPr="00315542">
              <w:rPr>
                <w:i w:val="0"/>
                <w:color w:val="472D8C"/>
              </w:rPr>
              <w:t>7,691,977</w:t>
            </w:r>
          </w:p>
        </w:tc>
      </w:tr>
    </w:tbl>
    <w:p w14:paraId="7C6577CA" w14:textId="77777777" w:rsidR="00A60D4B" w:rsidRPr="00B36BBB" w:rsidRDefault="00A60D4B" w:rsidP="00A60D4B">
      <w:pPr>
        <w:pStyle w:val="Heading3"/>
      </w:pPr>
      <w:bookmarkStart w:id="73" w:name="_Toc63586664"/>
      <w:r w:rsidRPr="00B36BBB">
        <w:t>Factors affecting expense</w:t>
      </w:r>
      <w:r>
        <w:t>s</w:t>
      </w:r>
      <w:bookmarkEnd w:id="73"/>
    </w:p>
    <w:p w14:paraId="5BB18322" w14:textId="77777777" w:rsidR="00A60D4B" w:rsidRPr="0063230E" w:rsidRDefault="00A60D4B" w:rsidP="00A60D4B">
      <w:pPr>
        <w:pStyle w:val="Heading4"/>
      </w:pPr>
      <w:r w:rsidRPr="0063230E">
        <w:t>Employee expenses</w:t>
      </w:r>
    </w:p>
    <w:p w14:paraId="440087D8" w14:textId="77777777" w:rsidR="00A60D4B" w:rsidRPr="0063230E" w:rsidRDefault="00A60D4B" w:rsidP="00A60D4B">
      <w:pPr>
        <w:pStyle w:val="Bbodytext"/>
      </w:pPr>
      <w:r w:rsidRPr="0063230E">
        <w:t>Employee expenses are forecast to grow by $</w:t>
      </w:r>
      <w:r>
        <w:t>65.8</w:t>
      </w:r>
      <w:r w:rsidRPr="0063230E">
        <w:t xml:space="preserve"> million, or </w:t>
      </w:r>
      <w:r>
        <w:t>3</w:t>
      </w:r>
      <w:r w:rsidRPr="0063230E">
        <w:t xml:space="preserve"> per cent, in 202</w:t>
      </w:r>
      <w:r>
        <w:t>1</w:t>
      </w:r>
      <w:r>
        <w:noBreakHyphen/>
      </w:r>
      <w:r w:rsidRPr="0063230E">
        <w:t>2</w:t>
      </w:r>
      <w:r>
        <w:t>2</w:t>
      </w:r>
      <w:r w:rsidRPr="0063230E">
        <w:t xml:space="preserve"> compared to the 20</w:t>
      </w:r>
      <w:r>
        <w:t>20</w:t>
      </w:r>
      <w:r>
        <w:noBreakHyphen/>
      </w:r>
      <w:r w:rsidRPr="00E31163">
        <w:t>21 interim outcome. This increase is largely due to growth in Health</w:t>
      </w:r>
      <w:r>
        <w:t xml:space="preserve"> services</w:t>
      </w:r>
      <w:r w:rsidRPr="00E31163">
        <w:t xml:space="preserve"> staff</w:t>
      </w:r>
      <w:r>
        <w:t xml:space="preserve"> associated with the COVID-19 clinical health response and vaccination program, as well as the </w:t>
      </w:r>
      <w:r w:rsidRPr="00E31163">
        <w:t>impact of new and continuing initiatives.</w:t>
      </w:r>
    </w:p>
    <w:p w14:paraId="636830CC" w14:textId="77777777" w:rsidR="00A60D4B" w:rsidRPr="0063230E" w:rsidRDefault="00A60D4B" w:rsidP="00A60D4B">
      <w:pPr>
        <w:pStyle w:val="Heading4"/>
      </w:pPr>
      <w:r w:rsidRPr="0063230E">
        <w:t>Superannuation interest cost and other superannuation expense</w:t>
      </w:r>
    </w:p>
    <w:p w14:paraId="2F24FF51" w14:textId="77777777" w:rsidR="00A60D4B" w:rsidRPr="00E31163" w:rsidRDefault="00A60D4B" w:rsidP="00A60D4B">
      <w:pPr>
        <w:pStyle w:val="Bbodytext"/>
      </w:pPr>
      <w:r w:rsidRPr="0063230E">
        <w:t>Superannuation interest cost</w:t>
      </w:r>
      <w:r>
        <w:t>s</w:t>
      </w:r>
      <w:r w:rsidRPr="0063230E">
        <w:t xml:space="preserve"> and other superannuation expense </w:t>
      </w:r>
      <w:r>
        <w:t>are</w:t>
      </w:r>
      <w:r w:rsidRPr="0063230E">
        <w:t xml:space="preserve"> expenses in relation to the defined benefit Commonwealth Superannuation Scheme and Public Sector Superannuation Scheme superannuation liabilities. Other superannuation expenses also capture defined contribution superannuation arrangements, including the Public Sector </w:t>
      </w:r>
      <w:r w:rsidRPr="00E31163">
        <w:t>Superannuation accumulation plan and choice of fund arrangements for existing staff.</w:t>
      </w:r>
    </w:p>
    <w:p w14:paraId="39638DE8" w14:textId="77777777" w:rsidR="00A60D4B" w:rsidRPr="0063230E" w:rsidRDefault="00A60D4B" w:rsidP="00A60D4B">
      <w:pPr>
        <w:pStyle w:val="Bbodytext"/>
      </w:pPr>
      <w:bookmarkStart w:id="74" w:name="_Hlk63080511"/>
      <w:r w:rsidRPr="00E31163">
        <w:t>The increase in superannuation expense in the 2021</w:t>
      </w:r>
      <w:r>
        <w:noBreakHyphen/>
      </w:r>
      <w:r w:rsidRPr="00E31163">
        <w:t>22 Budget from the 2020</w:t>
      </w:r>
      <w:r>
        <w:noBreakHyphen/>
      </w:r>
      <w:r w:rsidRPr="00E31163">
        <w:t>21 interim outcome is mainly due to the latest triennial liability valuation review and changes in the financial and demographic assumptions adopted for the defined benefit superannuation liability valuation estimates.</w:t>
      </w:r>
      <w:r>
        <w:t xml:space="preserve"> </w:t>
      </w:r>
    </w:p>
    <w:bookmarkEnd w:id="74"/>
    <w:p w14:paraId="3B47E20F" w14:textId="77777777" w:rsidR="00A60D4B" w:rsidRPr="0063230E" w:rsidRDefault="00A60D4B" w:rsidP="00A60D4B">
      <w:pPr>
        <w:pStyle w:val="Heading4"/>
      </w:pPr>
      <w:r w:rsidRPr="0063230E">
        <w:lastRenderedPageBreak/>
        <w:t>Depreciation and amortisation</w:t>
      </w:r>
    </w:p>
    <w:p w14:paraId="4FB83F0D" w14:textId="77777777" w:rsidR="00A60D4B" w:rsidRPr="0063230E" w:rsidRDefault="00A60D4B" w:rsidP="00A60D4B">
      <w:pPr>
        <w:pStyle w:val="Bbodytext"/>
      </w:pPr>
      <w:r w:rsidRPr="0063230E">
        <w:t>Depreciation and amortisation expenses are estimated to increase in 20</w:t>
      </w:r>
      <w:r>
        <w:t>21</w:t>
      </w:r>
      <w:r>
        <w:noBreakHyphen/>
      </w:r>
      <w:r w:rsidRPr="0063230E">
        <w:t>2</w:t>
      </w:r>
      <w:r>
        <w:t>2</w:t>
      </w:r>
      <w:r w:rsidRPr="0063230E">
        <w:t xml:space="preserve"> by $</w:t>
      </w:r>
      <w:r>
        <w:t>42.6</w:t>
      </w:r>
      <w:r w:rsidRPr="0063230E">
        <w:t xml:space="preserve"> million, </w:t>
      </w:r>
      <w:r>
        <w:t>compared to</w:t>
      </w:r>
      <w:r w:rsidRPr="0063230E">
        <w:t xml:space="preserve"> the </w:t>
      </w:r>
      <w:r>
        <w:t>2020</w:t>
      </w:r>
      <w:r>
        <w:noBreakHyphen/>
        <w:t>21 interim</w:t>
      </w:r>
      <w:r w:rsidRPr="0063230E">
        <w:t xml:space="preserve"> outcome</w:t>
      </w:r>
      <w:r>
        <w:t>. This increase</w:t>
      </w:r>
      <w:r w:rsidRPr="0063230E">
        <w:t xml:space="preserve"> mainly reflects</w:t>
      </w:r>
      <w:r>
        <w:t xml:space="preserve"> </w:t>
      </w:r>
      <w:r w:rsidRPr="00E31163">
        <w:t xml:space="preserve">new and continuing initiatives including the </w:t>
      </w:r>
      <w:r w:rsidRPr="0071162B">
        <w:t>Technology-Enabled Learning</w:t>
      </w:r>
      <w:r w:rsidRPr="00E31163">
        <w:t xml:space="preserve"> program</w:t>
      </w:r>
      <w:r>
        <w:t>,</w:t>
      </w:r>
      <w:r w:rsidRPr="00E31163">
        <w:t xml:space="preserve"> commencement of the lease for Nara House and the full year impact of leases for the Civic and Allara House government office blocks.</w:t>
      </w:r>
    </w:p>
    <w:p w14:paraId="6A57BB40" w14:textId="77777777" w:rsidR="00A60D4B" w:rsidRPr="00775AF6" w:rsidRDefault="00A60D4B" w:rsidP="00A60D4B">
      <w:pPr>
        <w:pStyle w:val="Heading4"/>
      </w:pPr>
      <w:r w:rsidRPr="0063230E">
        <w:t>Interest expense</w:t>
      </w:r>
    </w:p>
    <w:p w14:paraId="42B764CF" w14:textId="77777777" w:rsidR="00A60D4B" w:rsidRPr="00BC3B1D" w:rsidRDefault="00A60D4B" w:rsidP="00A60D4B">
      <w:pPr>
        <w:pStyle w:val="Bbodytext"/>
        <w:rPr>
          <w:rStyle w:val="normaltextrun"/>
          <w:szCs w:val="24"/>
        </w:rPr>
      </w:pPr>
      <w:r w:rsidRPr="00BC3B1D">
        <w:rPr>
          <w:rStyle w:val="normaltextrun"/>
          <w:szCs w:val="24"/>
        </w:rPr>
        <w:t xml:space="preserve">Interest expenses </w:t>
      </w:r>
      <w:r>
        <w:rPr>
          <w:rStyle w:val="normaltextrun"/>
          <w:szCs w:val="24"/>
        </w:rPr>
        <w:t>are</w:t>
      </w:r>
      <w:r w:rsidRPr="00BC3B1D">
        <w:rPr>
          <w:rStyle w:val="normaltextrun"/>
          <w:szCs w:val="24"/>
        </w:rPr>
        <w:t xml:space="preserve"> the cost of borrowing to fund infrastructure investments and finance charges on leases and public private partnerships. </w:t>
      </w:r>
    </w:p>
    <w:p w14:paraId="10A33BE2" w14:textId="77777777" w:rsidR="00A60D4B" w:rsidRDefault="00A60D4B" w:rsidP="00A60D4B">
      <w:pPr>
        <w:pStyle w:val="Bbodytext"/>
        <w:rPr>
          <w:rStyle w:val="normaltextrun"/>
          <w:szCs w:val="24"/>
        </w:rPr>
      </w:pPr>
      <w:r>
        <w:rPr>
          <w:rStyle w:val="normaltextrun"/>
          <w:szCs w:val="24"/>
        </w:rPr>
        <w:t xml:space="preserve">Interest expenses are </w:t>
      </w:r>
      <w:r w:rsidRPr="00E31163">
        <w:rPr>
          <w:rStyle w:val="normaltextrun"/>
          <w:szCs w:val="24"/>
        </w:rPr>
        <w:t>forecast to increase by $40.</w:t>
      </w:r>
      <w:r>
        <w:rPr>
          <w:rStyle w:val="normaltextrun"/>
          <w:szCs w:val="24"/>
        </w:rPr>
        <w:t>5 million, in 2021</w:t>
      </w:r>
      <w:r>
        <w:rPr>
          <w:rStyle w:val="normaltextrun"/>
          <w:szCs w:val="24"/>
        </w:rPr>
        <w:noBreakHyphen/>
        <w:t>22 from the 2020</w:t>
      </w:r>
      <w:r>
        <w:rPr>
          <w:rStyle w:val="normaltextrun"/>
          <w:szCs w:val="24"/>
        </w:rPr>
        <w:noBreakHyphen/>
        <w:t xml:space="preserve">21 interim outcome </w:t>
      </w:r>
      <w:r w:rsidRPr="0069710A">
        <w:rPr>
          <w:bdr w:val="nil"/>
        </w:rPr>
        <w:t>mainly due</w:t>
      </w:r>
      <w:r>
        <w:t xml:space="preserve"> to a projected increase in the outstanding level of borrowings</w:t>
      </w:r>
      <w:r>
        <w:rPr>
          <w:rStyle w:val="normaltextrun"/>
          <w:szCs w:val="24"/>
        </w:rPr>
        <w:t>.</w:t>
      </w:r>
    </w:p>
    <w:p w14:paraId="613D090B" w14:textId="77777777" w:rsidR="00A60D4B" w:rsidRPr="00326E13" w:rsidRDefault="00A60D4B" w:rsidP="00A60D4B">
      <w:pPr>
        <w:pStyle w:val="Heading4"/>
      </w:pPr>
      <w:r w:rsidRPr="00326E13">
        <w:t>Supplies and services</w:t>
      </w:r>
    </w:p>
    <w:p w14:paraId="7D90D0D2" w14:textId="77777777" w:rsidR="00A60D4B" w:rsidRPr="002E226E" w:rsidRDefault="00A60D4B" w:rsidP="00A60D4B">
      <w:pPr>
        <w:pStyle w:val="Bbodytext"/>
      </w:pPr>
      <w:r w:rsidRPr="002E226E">
        <w:t>Supplies and services expenses comprise supplies, repairs and maintenance, consultant and contractor</w:t>
      </w:r>
      <w:r>
        <w:t xml:space="preserve"> </w:t>
      </w:r>
      <w:r w:rsidRPr="002E226E">
        <w:t>expenses, as well as payments for ACT Policing.</w:t>
      </w:r>
    </w:p>
    <w:p w14:paraId="37A802B9" w14:textId="77777777" w:rsidR="00A60D4B" w:rsidRDefault="00A60D4B" w:rsidP="00A60D4B">
      <w:pPr>
        <w:pStyle w:val="Bbodytext"/>
      </w:pPr>
      <w:r>
        <w:t>Supplies and services are forecast to increase by $323.3 million, in 2021</w:t>
      </w:r>
      <w:r>
        <w:noBreakHyphen/>
        <w:t>22 compared to the 2020-21 interim outcome</w:t>
      </w:r>
      <w:r w:rsidRPr="009E0E3B">
        <w:t xml:space="preserve">. </w:t>
      </w:r>
      <w:r w:rsidRPr="00391D30">
        <w:t>This increase is largely due to new and continuing initiatives, including the COVID-19 Response Fund, and the impact of reprofiling of initiatives.</w:t>
      </w:r>
    </w:p>
    <w:p w14:paraId="437D458E" w14:textId="77777777" w:rsidR="00A60D4B" w:rsidRPr="0063230E" w:rsidRDefault="00A60D4B" w:rsidP="00A60D4B">
      <w:pPr>
        <w:pStyle w:val="Heading4"/>
        <w:rPr>
          <w:lang w:val="en-US"/>
        </w:rPr>
      </w:pPr>
      <w:r w:rsidRPr="0063230E">
        <w:rPr>
          <w:lang w:val="en-US"/>
        </w:rPr>
        <w:t>Other operating expenses</w:t>
      </w:r>
    </w:p>
    <w:p w14:paraId="37E223F7" w14:textId="77777777" w:rsidR="00A60D4B" w:rsidRPr="00045C15" w:rsidRDefault="00A60D4B" w:rsidP="00A60D4B">
      <w:pPr>
        <w:pStyle w:val="Bbodytext"/>
      </w:pPr>
      <w:r w:rsidRPr="00045C15">
        <w:t xml:space="preserve">Other operating expenses consist of cost of goods sold, insurance related costs, concessions, school account expenses, and other miscellaneous expenses. </w:t>
      </w:r>
    </w:p>
    <w:p w14:paraId="798A8A3A" w14:textId="77777777" w:rsidR="00A60D4B" w:rsidRPr="00045C15" w:rsidRDefault="00A60D4B" w:rsidP="00A60D4B">
      <w:pPr>
        <w:pStyle w:val="Bbodytext"/>
      </w:pPr>
      <w:r w:rsidRPr="00045C15">
        <w:t>Other operating expenses are forecast to decrease by $</w:t>
      </w:r>
      <w:r>
        <w:t>47</w:t>
      </w:r>
      <w:r w:rsidRPr="00045C15">
        <w:t>.</w:t>
      </w:r>
      <w:r>
        <w:t>2</w:t>
      </w:r>
      <w:r w:rsidRPr="00045C15">
        <w:t> million, in 202</w:t>
      </w:r>
      <w:r>
        <w:t>1</w:t>
      </w:r>
      <w:r w:rsidRPr="00045C15">
        <w:t>-2</w:t>
      </w:r>
      <w:r>
        <w:t>2</w:t>
      </w:r>
      <w:r w:rsidRPr="00045C15">
        <w:t xml:space="preserve"> compared to the 20</w:t>
      </w:r>
      <w:r>
        <w:t>20</w:t>
      </w:r>
      <w:r w:rsidRPr="00045C15">
        <w:noBreakHyphen/>
        <w:t>2</w:t>
      </w:r>
      <w:r>
        <w:t>1</w:t>
      </w:r>
      <w:r w:rsidRPr="00045C15">
        <w:t xml:space="preserve"> </w:t>
      </w:r>
      <w:r>
        <w:t>interim</w:t>
      </w:r>
      <w:r w:rsidRPr="00045C15">
        <w:t xml:space="preserve"> outcome. </w:t>
      </w:r>
      <w:r w:rsidRPr="00E40DDF">
        <w:t xml:space="preserve">This decrease is mainly attributable to </w:t>
      </w:r>
      <w:r>
        <w:t>a</w:t>
      </w:r>
      <w:r w:rsidRPr="00E40DDF">
        <w:t xml:space="preserve"> provision created in 2020</w:t>
      </w:r>
      <w:r w:rsidRPr="00E40DDF">
        <w:noBreakHyphen/>
        <w:t xml:space="preserve">21 to recognise the </w:t>
      </w:r>
      <w:r>
        <w:t>future surrender of</w:t>
      </w:r>
      <w:r w:rsidRPr="00E40DDF">
        <w:t xml:space="preserve"> Large-Scale Generation Certificates.</w:t>
      </w:r>
      <w:r w:rsidRPr="00045C15">
        <w:t xml:space="preserve"> </w:t>
      </w:r>
    </w:p>
    <w:p w14:paraId="52E5C88F" w14:textId="77777777" w:rsidR="00A60D4B" w:rsidRPr="0063230E" w:rsidRDefault="00A60D4B" w:rsidP="00A60D4B">
      <w:pPr>
        <w:pStyle w:val="Heading4"/>
      </w:pPr>
      <w:r w:rsidRPr="0063230E">
        <w:t>Grants and purchased services</w:t>
      </w:r>
    </w:p>
    <w:p w14:paraId="544BE898" w14:textId="77777777" w:rsidR="00A60D4B" w:rsidRDefault="00A60D4B" w:rsidP="00A60D4B">
      <w:pPr>
        <w:pStyle w:val="Bbodytext"/>
      </w:pPr>
      <w:r w:rsidRPr="0063230E">
        <w:t>Grant expenses are expected to increase by $</w:t>
      </w:r>
      <w:r>
        <w:t>397.5</w:t>
      </w:r>
      <w:r w:rsidRPr="0063230E">
        <w:t xml:space="preserve"> million, </w:t>
      </w:r>
      <w:r>
        <w:t>in 2021-22</w:t>
      </w:r>
      <w:r w:rsidRPr="0063230E">
        <w:t xml:space="preserve"> compared to </w:t>
      </w:r>
      <w:r>
        <w:t xml:space="preserve">the </w:t>
      </w:r>
      <w:r w:rsidRPr="0063230E">
        <w:t>20</w:t>
      </w:r>
      <w:r>
        <w:t>20-21 interim outcome</w:t>
      </w:r>
      <w:r w:rsidRPr="0063230E">
        <w:t xml:space="preserve">. </w:t>
      </w:r>
      <w:r w:rsidRPr="00952AE1">
        <w:t xml:space="preserve">This is mainly attributable to the introduction of new policy initiatives, </w:t>
      </w:r>
      <w:r>
        <w:t>especially</w:t>
      </w:r>
      <w:r w:rsidRPr="00952AE1">
        <w:t xml:space="preserve"> COVID-1</w:t>
      </w:r>
      <w:r>
        <w:t>9</w:t>
      </w:r>
      <w:r w:rsidRPr="00952AE1">
        <w:t xml:space="preserve"> Business Support Grants.</w:t>
      </w:r>
    </w:p>
    <w:p w14:paraId="7F26F677" w14:textId="77777777" w:rsidR="00A60D4B" w:rsidRDefault="00A60D4B">
      <w:pPr>
        <w:rPr>
          <w:sz w:val="24"/>
        </w:rPr>
      </w:pPr>
      <w:r>
        <w:br w:type="page"/>
      </w:r>
    </w:p>
    <w:p w14:paraId="14CA3EFA" w14:textId="77777777" w:rsidR="00A60D4B" w:rsidRDefault="00A60D4B" w:rsidP="00A60D4B">
      <w:pPr>
        <w:pStyle w:val="Heading3"/>
      </w:pPr>
      <w:bookmarkStart w:id="75" w:name="_Toc63586665"/>
      <w:r>
        <w:lastRenderedPageBreak/>
        <w:t>Community Service Obligations</w:t>
      </w:r>
      <w:bookmarkEnd w:id="75"/>
    </w:p>
    <w:p w14:paraId="2DDEA728" w14:textId="77777777" w:rsidR="00A60D4B" w:rsidRPr="00F4704E" w:rsidRDefault="00A60D4B" w:rsidP="00A60D4B">
      <w:pPr>
        <w:pStyle w:val="Bbodytext"/>
      </w:pPr>
      <w:r w:rsidRPr="00F4704E">
        <w:t xml:space="preserve">Community Service Obligations </w:t>
      </w:r>
      <w:r>
        <w:t xml:space="preserve">are </w:t>
      </w:r>
      <w:r w:rsidRPr="00F4704E">
        <w:t xml:space="preserve">primarily </w:t>
      </w:r>
      <w:r>
        <w:t>met by</w:t>
      </w:r>
      <w:r w:rsidRPr="00F4704E">
        <w:t xml:space="preserve"> Public Trading Enterprises. The definition adopted by the ACT Government is the one used by the Steering Committee on National Performance Monitoring of Government Trading Enterprises, established through the Special Premiers’ Conference in 1991</w:t>
      </w:r>
      <w:r>
        <w:t>. This</w:t>
      </w:r>
      <w:r w:rsidRPr="00F4704E">
        <w:t xml:space="preserve"> states:</w:t>
      </w:r>
    </w:p>
    <w:p w14:paraId="51BF750F" w14:textId="77777777" w:rsidR="00A60D4B" w:rsidRPr="00810C1F" w:rsidRDefault="00A60D4B" w:rsidP="00A60D4B">
      <w:pPr>
        <w:ind w:left="567"/>
        <w:rPr>
          <w:i/>
          <w:color w:val="000000"/>
          <w:sz w:val="24"/>
          <w:szCs w:val="24"/>
          <w:lang w:val="x-none"/>
        </w:rPr>
      </w:pPr>
      <w:r w:rsidRPr="00810C1F">
        <w:rPr>
          <w:i/>
          <w:color w:val="000000"/>
          <w:sz w:val="24"/>
          <w:szCs w:val="24"/>
          <w:lang w:val="x-none"/>
        </w:rPr>
        <w:t>‘A Community Service Obligation arises when a government specifically requires a public enterprise to carry out activities relating to outputs or inputs, with identified public benefit objectives, which it would not elect to do on a commercial basis, and which the government does not require other businesses in the public or private sector to undertake, or which it would only do commercially at higher prices.’</w:t>
      </w:r>
    </w:p>
    <w:p w14:paraId="38FA9DE3" w14:textId="77777777" w:rsidR="00A60D4B" w:rsidRPr="00F4704E" w:rsidRDefault="00A60D4B" w:rsidP="00A60D4B">
      <w:pPr>
        <w:pStyle w:val="Bbodytext"/>
      </w:pPr>
      <w:r w:rsidRPr="00F4704E">
        <w:t xml:space="preserve">The Government extends the policy to other business units, regardless of whether the unit is formally a Territory-owned corporation or a statutory authority, and irrespective of its organisational structure. </w:t>
      </w:r>
    </w:p>
    <w:p w14:paraId="0187D45A" w14:textId="77777777" w:rsidR="00A60D4B" w:rsidRPr="00D54A73" w:rsidRDefault="00A60D4B" w:rsidP="00A60D4B">
      <w:pPr>
        <w:pStyle w:val="Bbodytext"/>
      </w:pPr>
      <w:r w:rsidRPr="00F4704E">
        <w:t xml:space="preserve">The separate identification of Community Service Obligations provides transparency </w:t>
      </w:r>
      <w:r>
        <w:t>in relation to</w:t>
      </w:r>
      <w:r w:rsidRPr="00F4704E">
        <w:t xml:space="preserve"> the full cost of services</w:t>
      </w:r>
      <w:r>
        <w:t>,</w:t>
      </w:r>
      <w:r w:rsidRPr="00F4704E">
        <w:t xml:space="preserve"> as well as the financial implications of Government decisions in the provision of services to specific</w:t>
      </w:r>
      <w:r>
        <w:t>ally</w:t>
      </w:r>
      <w:r w:rsidRPr="00F4704E">
        <w:t xml:space="preserve"> targeted groups in the </w:t>
      </w:r>
      <w:r w:rsidRPr="00D54A73">
        <w:t>community.</w:t>
      </w:r>
    </w:p>
    <w:p w14:paraId="52EA2DBA" w14:textId="26B2B4DD" w:rsidR="00A60D4B" w:rsidRDefault="00A60D4B" w:rsidP="00A60D4B">
      <w:pPr>
        <w:pStyle w:val="Caption"/>
      </w:pPr>
      <w:r>
        <w:t>Table 3.4.</w:t>
      </w:r>
      <w:r w:rsidR="008812C5">
        <w:t>3</w:t>
      </w:r>
      <w:r>
        <w:t>: Community Service Obligations funded in the 2021-22 Budget</w:t>
      </w:r>
    </w:p>
    <w:tbl>
      <w:tblPr>
        <w:tblW w:w="9015" w:type="dxa"/>
        <w:tblBorders>
          <w:top w:val="single" w:sz="4" w:space="0" w:color="auto"/>
          <w:bottom w:val="single" w:sz="4" w:space="0" w:color="auto"/>
          <w:insideH w:val="single" w:sz="4" w:space="0" w:color="auto"/>
        </w:tblBorders>
        <w:tblLayout w:type="fixed"/>
        <w:tblCellMar>
          <w:left w:w="85" w:type="dxa"/>
        </w:tblCellMar>
        <w:tblLook w:val="04A0" w:firstRow="1" w:lastRow="0" w:firstColumn="1" w:lastColumn="0" w:noHBand="0" w:noVBand="1"/>
      </w:tblPr>
      <w:tblGrid>
        <w:gridCol w:w="3261"/>
        <w:gridCol w:w="1162"/>
        <w:gridCol w:w="4592"/>
      </w:tblGrid>
      <w:tr w:rsidR="00A60D4B" w:rsidRPr="00111524" w14:paraId="76138A28" w14:textId="77777777" w:rsidTr="00A60D4B">
        <w:trPr>
          <w:trHeight w:val="156"/>
          <w:tblHeader/>
        </w:trPr>
        <w:tc>
          <w:tcPr>
            <w:tcW w:w="3261" w:type="dxa"/>
            <w:tcBorders>
              <w:bottom w:val="single" w:sz="4" w:space="0" w:color="auto"/>
            </w:tcBorders>
            <w:shd w:val="clear" w:color="auto" w:fill="472D8C"/>
          </w:tcPr>
          <w:p w14:paraId="7CE918C7" w14:textId="77777777" w:rsidR="00A60D4B" w:rsidRPr="00111524" w:rsidRDefault="00A60D4B" w:rsidP="00A60D4B">
            <w:pPr>
              <w:rPr>
                <w:rFonts w:cs="Calibri"/>
                <w:b/>
                <w:color w:val="FFFFFF" w:themeColor="background1"/>
                <w:sz w:val="20"/>
              </w:rPr>
            </w:pPr>
            <w:bookmarkStart w:id="76" w:name="_Hlk79608540"/>
            <w:r w:rsidRPr="00D50199">
              <w:rPr>
                <w:rFonts w:ascii="Calibri" w:hAnsi="Calibri"/>
                <w:b/>
                <w:color w:val="FFFFFF" w:themeColor="background1"/>
                <w:sz w:val="20"/>
              </w:rPr>
              <w:t>CSO provided by</w:t>
            </w:r>
          </w:p>
        </w:tc>
        <w:tc>
          <w:tcPr>
            <w:tcW w:w="1162" w:type="dxa"/>
            <w:tcBorders>
              <w:bottom w:val="single" w:sz="4" w:space="0" w:color="auto"/>
            </w:tcBorders>
            <w:shd w:val="clear" w:color="auto" w:fill="472D8C"/>
          </w:tcPr>
          <w:p w14:paraId="1568784A" w14:textId="77777777" w:rsidR="00A60D4B" w:rsidRPr="00111524" w:rsidRDefault="00A60D4B" w:rsidP="00A60D4B">
            <w:pPr>
              <w:pStyle w:val="BTableHeadingRowRightAligned"/>
              <w:rPr>
                <w:color w:val="FFFFFF" w:themeColor="background1"/>
              </w:rPr>
            </w:pPr>
            <w:r>
              <w:rPr>
                <w:color w:val="FFFFFF" w:themeColor="background1"/>
              </w:rPr>
              <w:t xml:space="preserve">2021-22 </w:t>
            </w:r>
            <w:r>
              <w:rPr>
                <w:color w:val="FFFFFF" w:themeColor="background1"/>
              </w:rPr>
              <w:br/>
              <w:t>Budget</w:t>
            </w:r>
            <w:r>
              <w:rPr>
                <w:color w:val="FFFFFF" w:themeColor="background1"/>
              </w:rPr>
              <w:br/>
              <w:t>$’000</w:t>
            </w:r>
          </w:p>
        </w:tc>
        <w:tc>
          <w:tcPr>
            <w:tcW w:w="4592" w:type="dxa"/>
            <w:tcBorders>
              <w:bottom w:val="single" w:sz="4" w:space="0" w:color="auto"/>
            </w:tcBorders>
            <w:shd w:val="clear" w:color="auto" w:fill="472D8C"/>
          </w:tcPr>
          <w:p w14:paraId="63DB7B3C" w14:textId="77777777" w:rsidR="00A60D4B" w:rsidRPr="00D50199" w:rsidRDefault="00A60D4B" w:rsidP="00A60D4B">
            <w:pPr>
              <w:ind w:left="171" w:hanging="171"/>
              <w:rPr>
                <w:rFonts w:ascii="Calibri" w:hAnsi="Calibri"/>
                <w:b/>
                <w:color w:val="FFFFFF" w:themeColor="background1"/>
                <w:sz w:val="20"/>
              </w:rPr>
            </w:pPr>
            <w:r w:rsidRPr="00D50199">
              <w:rPr>
                <w:rFonts w:ascii="Calibri" w:hAnsi="Calibri"/>
                <w:b/>
                <w:color w:val="FFFFFF" w:themeColor="background1"/>
                <w:sz w:val="20"/>
              </w:rPr>
              <w:t>Description</w:t>
            </w:r>
          </w:p>
        </w:tc>
      </w:tr>
      <w:tr w:rsidR="00A60D4B" w:rsidRPr="00EC74DB" w14:paraId="751EC301" w14:textId="77777777" w:rsidTr="00A60D4B">
        <w:trPr>
          <w:trHeight w:val="270"/>
        </w:trPr>
        <w:tc>
          <w:tcPr>
            <w:tcW w:w="3261" w:type="dxa"/>
            <w:tcBorders>
              <w:top w:val="single" w:sz="4" w:space="0" w:color="auto"/>
            </w:tcBorders>
            <w:vAlign w:val="bottom"/>
          </w:tcPr>
          <w:p w14:paraId="66A806CE" w14:textId="77777777" w:rsidR="00A60D4B" w:rsidRPr="00EC74DB" w:rsidRDefault="00A60D4B" w:rsidP="00A60D4B">
            <w:pPr>
              <w:pStyle w:val="Btabletextbold"/>
            </w:pPr>
            <w:r w:rsidRPr="007841D2">
              <w:t>Chief Minister, Treasury and Economic Development Directorate</w:t>
            </w:r>
          </w:p>
        </w:tc>
        <w:tc>
          <w:tcPr>
            <w:tcW w:w="1162" w:type="dxa"/>
            <w:tcBorders>
              <w:top w:val="single" w:sz="4" w:space="0" w:color="auto"/>
            </w:tcBorders>
          </w:tcPr>
          <w:p w14:paraId="571A0ACA" w14:textId="77777777" w:rsidR="00A60D4B" w:rsidRPr="00EC74DB" w:rsidRDefault="00A60D4B" w:rsidP="00A60D4B">
            <w:pPr>
              <w:pStyle w:val="Btablefigureunbold"/>
            </w:pPr>
          </w:p>
        </w:tc>
        <w:tc>
          <w:tcPr>
            <w:tcW w:w="4592" w:type="dxa"/>
            <w:tcBorders>
              <w:top w:val="single" w:sz="4" w:space="0" w:color="auto"/>
            </w:tcBorders>
          </w:tcPr>
          <w:p w14:paraId="1D1CCE30" w14:textId="77777777" w:rsidR="00A60D4B" w:rsidRPr="00111524" w:rsidRDefault="00A60D4B" w:rsidP="00A60D4B">
            <w:pPr>
              <w:pStyle w:val="Btabletextunbold"/>
            </w:pPr>
          </w:p>
        </w:tc>
      </w:tr>
      <w:tr w:rsidR="00A60D4B" w:rsidRPr="00EC74DB" w14:paraId="0646BD60" w14:textId="77777777" w:rsidTr="00A60D4B">
        <w:trPr>
          <w:trHeight w:val="270"/>
        </w:trPr>
        <w:tc>
          <w:tcPr>
            <w:tcW w:w="3261" w:type="dxa"/>
          </w:tcPr>
          <w:p w14:paraId="382BE6B7" w14:textId="77777777" w:rsidR="00A60D4B" w:rsidRDefault="00A60D4B" w:rsidP="00A60D4B">
            <w:pPr>
              <w:pStyle w:val="Btabletextunbold"/>
            </w:pPr>
            <w:r w:rsidRPr="007841D2">
              <w:t>Exhibition Park</w:t>
            </w:r>
          </w:p>
        </w:tc>
        <w:tc>
          <w:tcPr>
            <w:tcW w:w="1162" w:type="dxa"/>
          </w:tcPr>
          <w:p w14:paraId="073EBCF2" w14:textId="77777777" w:rsidR="00A60D4B" w:rsidRPr="00A25B84" w:rsidRDefault="00A60D4B" w:rsidP="00A60D4B">
            <w:pPr>
              <w:pStyle w:val="Btablefigureunbold"/>
            </w:pPr>
            <w:r w:rsidRPr="00A25B84">
              <w:t>517</w:t>
            </w:r>
          </w:p>
        </w:tc>
        <w:tc>
          <w:tcPr>
            <w:tcW w:w="4592" w:type="dxa"/>
          </w:tcPr>
          <w:p w14:paraId="0CE347D0" w14:textId="77777777" w:rsidR="00A60D4B" w:rsidRPr="00111524" w:rsidRDefault="00A60D4B" w:rsidP="00A60D4B">
            <w:pPr>
              <w:pStyle w:val="Btabletextunbold"/>
              <w:ind w:left="164" w:firstLine="0"/>
            </w:pPr>
            <w:r w:rsidRPr="00F4704E">
              <w:t>Compensation for charging below market rates, as a result of Ministerial direction, or agreements entered into by the Government.</w:t>
            </w:r>
          </w:p>
        </w:tc>
      </w:tr>
      <w:tr w:rsidR="00A60D4B" w:rsidRPr="00EC74DB" w14:paraId="12C83411" w14:textId="77777777" w:rsidTr="00A60D4B">
        <w:trPr>
          <w:trHeight w:val="270"/>
        </w:trPr>
        <w:tc>
          <w:tcPr>
            <w:tcW w:w="3261" w:type="dxa"/>
          </w:tcPr>
          <w:p w14:paraId="62DBB1F0" w14:textId="77777777" w:rsidR="00A60D4B" w:rsidRDefault="00A60D4B" w:rsidP="00A60D4B">
            <w:pPr>
              <w:pStyle w:val="Btabletextunbold"/>
            </w:pPr>
            <w:r w:rsidRPr="007841D2">
              <w:t>Icon Water Limited</w:t>
            </w:r>
          </w:p>
        </w:tc>
        <w:tc>
          <w:tcPr>
            <w:tcW w:w="1162" w:type="dxa"/>
          </w:tcPr>
          <w:p w14:paraId="21462885" w14:textId="77777777" w:rsidR="00A60D4B" w:rsidRPr="00A25B84" w:rsidRDefault="00A60D4B" w:rsidP="00A60D4B">
            <w:pPr>
              <w:pStyle w:val="Btablefigureunbold"/>
            </w:pPr>
            <w:r w:rsidRPr="00A25B84">
              <w:t>7,653</w:t>
            </w:r>
          </w:p>
        </w:tc>
        <w:tc>
          <w:tcPr>
            <w:tcW w:w="4592" w:type="dxa"/>
          </w:tcPr>
          <w:p w14:paraId="1B8D321D" w14:textId="77777777" w:rsidR="00A60D4B" w:rsidRPr="00111524" w:rsidRDefault="00A60D4B" w:rsidP="00A60D4B">
            <w:pPr>
              <w:pStyle w:val="Btabletextunbold"/>
              <w:ind w:left="164" w:firstLine="0"/>
            </w:pPr>
            <w:r w:rsidRPr="00EF0F35">
              <w:t xml:space="preserve">Rebates on water and sewerage charges for concession card holders, schools, churches, hospitals, benevolent and charitable institutions, </w:t>
            </w:r>
            <w:r w:rsidRPr="00AF1586">
              <w:t xml:space="preserve">rebates on non-potable water to high intensity club users </w:t>
            </w:r>
            <w:r w:rsidRPr="00EF0F35">
              <w:t>and remissions provided by the ACT Civil and Administrative Tribunal.</w:t>
            </w:r>
          </w:p>
        </w:tc>
      </w:tr>
      <w:bookmarkEnd w:id="76"/>
      <w:tr w:rsidR="00A60D4B" w:rsidRPr="00EC74DB" w14:paraId="610DBC8D" w14:textId="77777777" w:rsidTr="00A60D4B">
        <w:trPr>
          <w:trHeight w:val="270"/>
        </w:trPr>
        <w:tc>
          <w:tcPr>
            <w:tcW w:w="3261" w:type="dxa"/>
          </w:tcPr>
          <w:p w14:paraId="25822620" w14:textId="77777777" w:rsidR="00A60D4B" w:rsidRDefault="00A60D4B" w:rsidP="00A60D4B">
            <w:pPr>
              <w:pStyle w:val="Btabletextunbold"/>
            </w:pPr>
            <w:r w:rsidRPr="00AF1586">
              <w:t>Several Energy Providers</w:t>
            </w:r>
          </w:p>
        </w:tc>
        <w:tc>
          <w:tcPr>
            <w:tcW w:w="1162" w:type="dxa"/>
          </w:tcPr>
          <w:p w14:paraId="0CFD6B13" w14:textId="77777777" w:rsidR="00A60D4B" w:rsidRPr="00A25B84" w:rsidRDefault="00A60D4B" w:rsidP="00A60D4B">
            <w:pPr>
              <w:pStyle w:val="Btablefigureunbold"/>
            </w:pPr>
            <w:r w:rsidRPr="00A25B84">
              <w:t>63,241</w:t>
            </w:r>
          </w:p>
        </w:tc>
        <w:tc>
          <w:tcPr>
            <w:tcW w:w="4592" w:type="dxa"/>
          </w:tcPr>
          <w:p w14:paraId="71017C62" w14:textId="77777777" w:rsidR="00A60D4B" w:rsidRPr="00111524" w:rsidRDefault="00A60D4B" w:rsidP="00A60D4B">
            <w:pPr>
              <w:pStyle w:val="Btabletextunbold"/>
              <w:ind w:left="164" w:firstLine="0"/>
            </w:pPr>
            <w:r w:rsidRPr="00EF0F35">
              <w:t>Rebates on energy bills for concession card holders and community groups, and remissions provided by the ACT Civil and Administrative Tribunal.</w:t>
            </w:r>
          </w:p>
        </w:tc>
      </w:tr>
      <w:tr w:rsidR="00A60D4B" w:rsidRPr="00EC74DB" w14:paraId="596F3DC5" w14:textId="77777777" w:rsidTr="00A60D4B">
        <w:trPr>
          <w:trHeight w:val="270"/>
        </w:trPr>
        <w:tc>
          <w:tcPr>
            <w:tcW w:w="3261" w:type="dxa"/>
          </w:tcPr>
          <w:p w14:paraId="67075E4A" w14:textId="77777777" w:rsidR="00A60D4B" w:rsidRDefault="00A60D4B" w:rsidP="00A60D4B">
            <w:pPr>
              <w:pStyle w:val="Btabletextunbold"/>
            </w:pPr>
            <w:r w:rsidRPr="007841D2">
              <w:t>Several Funeral Directors</w:t>
            </w:r>
          </w:p>
        </w:tc>
        <w:tc>
          <w:tcPr>
            <w:tcW w:w="1162" w:type="dxa"/>
          </w:tcPr>
          <w:p w14:paraId="20B91A65" w14:textId="77777777" w:rsidR="00A60D4B" w:rsidRPr="00A25B84" w:rsidRDefault="00A60D4B" w:rsidP="00A60D4B">
            <w:pPr>
              <w:pStyle w:val="Btablefigureunbold"/>
            </w:pPr>
            <w:r w:rsidRPr="00A25B84">
              <w:t>350</w:t>
            </w:r>
          </w:p>
        </w:tc>
        <w:tc>
          <w:tcPr>
            <w:tcW w:w="4592" w:type="dxa"/>
          </w:tcPr>
          <w:p w14:paraId="7836628A" w14:textId="77777777" w:rsidR="00A60D4B" w:rsidRPr="00111524" w:rsidRDefault="00A60D4B" w:rsidP="00A60D4B">
            <w:pPr>
              <w:pStyle w:val="Btabletextunbold"/>
              <w:ind w:left="164" w:firstLine="0"/>
            </w:pPr>
            <w:r>
              <w:t xml:space="preserve">Support provided to Canberrans through the </w:t>
            </w:r>
            <w:r w:rsidRPr="00EF0F35">
              <w:t>Funerals Assistance Program.</w:t>
            </w:r>
          </w:p>
        </w:tc>
      </w:tr>
      <w:tr w:rsidR="00A60D4B" w:rsidRPr="00EC74DB" w14:paraId="100AF84A" w14:textId="77777777" w:rsidTr="00A60D4B">
        <w:trPr>
          <w:trHeight w:val="270"/>
        </w:trPr>
        <w:tc>
          <w:tcPr>
            <w:tcW w:w="3261" w:type="dxa"/>
          </w:tcPr>
          <w:p w14:paraId="1BA18F4D" w14:textId="77777777" w:rsidR="00A60D4B" w:rsidRDefault="00A60D4B" w:rsidP="00A60D4B">
            <w:pPr>
              <w:pStyle w:val="Btabletextunbold"/>
            </w:pPr>
            <w:r w:rsidRPr="007841D2">
              <w:t>Transport Canberra Operations</w:t>
            </w:r>
          </w:p>
        </w:tc>
        <w:tc>
          <w:tcPr>
            <w:tcW w:w="1162" w:type="dxa"/>
          </w:tcPr>
          <w:p w14:paraId="2003438F" w14:textId="77777777" w:rsidR="00A60D4B" w:rsidRPr="00A25B84" w:rsidRDefault="00A60D4B" w:rsidP="00A60D4B">
            <w:pPr>
              <w:pStyle w:val="Btablefigureunbold"/>
            </w:pPr>
            <w:r w:rsidRPr="00A25B84">
              <w:t>10,513</w:t>
            </w:r>
          </w:p>
        </w:tc>
        <w:tc>
          <w:tcPr>
            <w:tcW w:w="4592" w:type="dxa"/>
          </w:tcPr>
          <w:p w14:paraId="38437C79" w14:textId="77777777" w:rsidR="00A60D4B" w:rsidRPr="00111524" w:rsidRDefault="00A60D4B" w:rsidP="00A60D4B">
            <w:pPr>
              <w:pStyle w:val="Btabletextunbold"/>
              <w:ind w:left="164" w:firstLine="0"/>
            </w:pPr>
            <w:r w:rsidRPr="00EF0F35">
              <w:t>Rebates on public transport for adult and student concession card holders.</w:t>
            </w:r>
          </w:p>
        </w:tc>
      </w:tr>
      <w:tr w:rsidR="00A60D4B" w:rsidRPr="00EC74DB" w14:paraId="4CEA9ADD" w14:textId="77777777" w:rsidTr="00A60D4B">
        <w:trPr>
          <w:trHeight w:val="270"/>
        </w:trPr>
        <w:tc>
          <w:tcPr>
            <w:tcW w:w="3261" w:type="dxa"/>
            <w:tcBorders>
              <w:bottom w:val="single" w:sz="4" w:space="0" w:color="auto"/>
            </w:tcBorders>
          </w:tcPr>
          <w:p w14:paraId="0FE3E98E" w14:textId="77777777" w:rsidR="00A60D4B" w:rsidRDefault="00A60D4B" w:rsidP="00A60D4B">
            <w:pPr>
              <w:pStyle w:val="Btabletextunbold"/>
            </w:pPr>
            <w:r w:rsidRPr="007841D2">
              <w:t>Public Trustee and Guardian</w:t>
            </w:r>
          </w:p>
        </w:tc>
        <w:tc>
          <w:tcPr>
            <w:tcW w:w="1162" w:type="dxa"/>
            <w:tcBorders>
              <w:bottom w:val="single" w:sz="4" w:space="0" w:color="auto"/>
            </w:tcBorders>
          </w:tcPr>
          <w:p w14:paraId="3583A8AE" w14:textId="77777777" w:rsidR="00A60D4B" w:rsidRDefault="00A60D4B" w:rsidP="00A60D4B">
            <w:pPr>
              <w:pStyle w:val="Btablefigureunbold"/>
            </w:pPr>
            <w:r>
              <w:t>964</w:t>
            </w:r>
          </w:p>
        </w:tc>
        <w:tc>
          <w:tcPr>
            <w:tcW w:w="4592" w:type="dxa"/>
            <w:tcBorders>
              <w:bottom w:val="single" w:sz="4" w:space="0" w:color="auto"/>
            </w:tcBorders>
          </w:tcPr>
          <w:p w14:paraId="16EAE89D" w14:textId="77777777" w:rsidR="00A60D4B" w:rsidRPr="00111524" w:rsidRDefault="00A60D4B" w:rsidP="00A60D4B">
            <w:pPr>
              <w:pStyle w:val="Btabletextunbold"/>
              <w:ind w:left="164" w:firstLine="0"/>
            </w:pPr>
            <w:r w:rsidRPr="00F4704E">
              <w:t xml:space="preserve">Financial Management under </w:t>
            </w:r>
            <w:r w:rsidRPr="00EF0F35">
              <w:t>ACT Civil and Administrative Tribunal</w:t>
            </w:r>
            <w:r w:rsidRPr="00F4704E">
              <w:t xml:space="preserve"> orders, Enduring Power of Attorney, welfare funerals, A</w:t>
            </w:r>
            <w:r>
              <w:t xml:space="preserve">ustralian </w:t>
            </w:r>
            <w:r w:rsidRPr="00F4704E">
              <w:t>F</w:t>
            </w:r>
            <w:r>
              <w:t xml:space="preserve">ederal </w:t>
            </w:r>
            <w:r w:rsidRPr="00F4704E">
              <w:t>P</w:t>
            </w:r>
            <w:r>
              <w:t>olice</w:t>
            </w:r>
            <w:r w:rsidRPr="00F4704E">
              <w:t xml:space="preserve"> callouts, estates and trusts administered valued at less than $100,000, the examination of external </w:t>
            </w:r>
            <w:r w:rsidRPr="00EF0F35">
              <w:t>ACT Civil and Administrative Tribunal</w:t>
            </w:r>
            <w:r w:rsidRPr="00F4704E">
              <w:t xml:space="preserve"> orders and will preparation. </w:t>
            </w:r>
          </w:p>
        </w:tc>
      </w:tr>
      <w:tr w:rsidR="00A60D4B" w:rsidRPr="00EC74DB" w14:paraId="0A5CFB93" w14:textId="77777777" w:rsidTr="00A60D4B">
        <w:trPr>
          <w:trHeight w:val="270"/>
        </w:trPr>
        <w:tc>
          <w:tcPr>
            <w:tcW w:w="3261" w:type="dxa"/>
            <w:tcBorders>
              <w:top w:val="single" w:sz="4" w:space="0" w:color="auto"/>
              <w:bottom w:val="nil"/>
            </w:tcBorders>
            <w:vAlign w:val="bottom"/>
          </w:tcPr>
          <w:p w14:paraId="5F43E33B" w14:textId="77777777" w:rsidR="00A60D4B" w:rsidRDefault="00A60D4B" w:rsidP="00A60D4B">
            <w:pPr>
              <w:pStyle w:val="Btabletextbold"/>
              <w:keepNext/>
              <w:keepLines/>
            </w:pPr>
            <w:r w:rsidRPr="007841D2">
              <w:lastRenderedPageBreak/>
              <w:t>Transport Canberra and City Services Directorate</w:t>
            </w:r>
          </w:p>
        </w:tc>
        <w:tc>
          <w:tcPr>
            <w:tcW w:w="1162" w:type="dxa"/>
            <w:tcBorders>
              <w:top w:val="single" w:sz="4" w:space="0" w:color="auto"/>
              <w:bottom w:val="nil"/>
            </w:tcBorders>
          </w:tcPr>
          <w:p w14:paraId="4A712B32" w14:textId="77777777" w:rsidR="00A60D4B" w:rsidRDefault="00A60D4B" w:rsidP="00A60D4B">
            <w:pPr>
              <w:pStyle w:val="Btablefigureunbold"/>
              <w:keepNext/>
              <w:keepLines/>
            </w:pPr>
          </w:p>
        </w:tc>
        <w:tc>
          <w:tcPr>
            <w:tcW w:w="4592" w:type="dxa"/>
            <w:tcBorders>
              <w:top w:val="single" w:sz="4" w:space="0" w:color="auto"/>
              <w:bottom w:val="nil"/>
            </w:tcBorders>
          </w:tcPr>
          <w:p w14:paraId="7292F20E" w14:textId="77777777" w:rsidR="00A60D4B" w:rsidRPr="00111524" w:rsidRDefault="00A60D4B" w:rsidP="00A60D4B">
            <w:pPr>
              <w:pStyle w:val="Btabletextunbold"/>
              <w:keepNext/>
              <w:keepLines/>
            </w:pPr>
          </w:p>
        </w:tc>
      </w:tr>
      <w:tr w:rsidR="00A60D4B" w:rsidRPr="00EC74DB" w14:paraId="56201D1B" w14:textId="77777777" w:rsidTr="00A60D4B">
        <w:trPr>
          <w:trHeight w:val="270"/>
        </w:trPr>
        <w:tc>
          <w:tcPr>
            <w:tcW w:w="3261" w:type="dxa"/>
            <w:tcBorders>
              <w:top w:val="nil"/>
              <w:bottom w:val="nil"/>
            </w:tcBorders>
          </w:tcPr>
          <w:p w14:paraId="2C2BECE0" w14:textId="77777777" w:rsidR="00A60D4B" w:rsidRDefault="00A60D4B" w:rsidP="00A60D4B">
            <w:pPr>
              <w:pStyle w:val="Btabletextunbold"/>
              <w:keepNext/>
              <w:keepLines/>
            </w:pPr>
            <w:r w:rsidRPr="006E569F">
              <w:t>Yarralumla Nursery</w:t>
            </w:r>
          </w:p>
        </w:tc>
        <w:tc>
          <w:tcPr>
            <w:tcW w:w="1162" w:type="dxa"/>
            <w:tcBorders>
              <w:top w:val="nil"/>
              <w:bottom w:val="nil"/>
            </w:tcBorders>
          </w:tcPr>
          <w:p w14:paraId="2C2B293D" w14:textId="77777777" w:rsidR="00A60D4B" w:rsidRDefault="00A60D4B" w:rsidP="00A60D4B">
            <w:pPr>
              <w:pStyle w:val="Btablefigureunbold"/>
              <w:keepNext/>
              <w:keepLines/>
            </w:pPr>
            <w:r>
              <w:t>321</w:t>
            </w:r>
          </w:p>
        </w:tc>
        <w:tc>
          <w:tcPr>
            <w:tcW w:w="4592" w:type="dxa"/>
            <w:tcBorders>
              <w:top w:val="nil"/>
              <w:bottom w:val="nil"/>
            </w:tcBorders>
          </w:tcPr>
          <w:p w14:paraId="0ED9D72A" w14:textId="77777777" w:rsidR="00A60D4B" w:rsidRPr="00111524" w:rsidRDefault="00A60D4B" w:rsidP="00A60D4B">
            <w:pPr>
              <w:pStyle w:val="Btabletextunbold"/>
              <w:ind w:left="164" w:firstLine="0"/>
            </w:pPr>
            <w:r w:rsidRPr="00F4704E">
              <w:t>Free plant issue.</w:t>
            </w:r>
          </w:p>
        </w:tc>
      </w:tr>
      <w:tr w:rsidR="00A60D4B" w:rsidRPr="00EC74DB" w14:paraId="3AA9D0CA" w14:textId="77777777" w:rsidTr="00A60D4B">
        <w:trPr>
          <w:trHeight w:val="270"/>
        </w:trPr>
        <w:tc>
          <w:tcPr>
            <w:tcW w:w="3261" w:type="dxa"/>
            <w:tcBorders>
              <w:top w:val="nil"/>
              <w:bottom w:val="single" w:sz="4" w:space="0" w:color="auto"/>
            </w:tcBorders>
          </w:tcPr>
          <w:p w14:paraId="29096D27" w14:textId="77777777" w:rsidR="00A60D4B" w:rsidRDefault="00A60D4B" w:rsidP="00A60D4B">
            <w:pPr>
              <w:pStyle w:val="Btabletextunbold"/>
            </w:pPr>
            <w:r w:rsidRPr="006E569F">
              <w:t>Transport Canberra Operations</w:t>
            </w:r>
          </w:p>
        </w:tc>
        <w:tc>
          <w:tcPr>
            <w:tcW w:w="1162" w:type="dxa"/>
            <w:tcBorders>
              <w:top w:val="nil"/>
              <w:bottom w:val="single" w:sz="4" w:space="0" w:color="auto"/>
            </w:tcBorders>
          </w:tcPr>
          <w:p w14:paraId="69AD2A90" w14:textId="77777777" w:rsidR="00A60D4B" w:rsidRDefault="00A60D4B" w:rsidP="00A60D4B">
            <w:pPr>
              <w:pStyle w:val="Btablefigureunbold"/>
            </w:pPr>
            <w:r>
              <w:t>191,695</w:t>
            </w:r>
          </w:p>
        </w:tc>
        <w:tc>
          <w:tcPr>
            <w:tcW w:w="4592" w:type="dxa"/>
            <w:tcBorders>
              <w:top w:val="nil"/>
              <w:bottom w:val="single" w:sz="4" w:space="0" w:color="auto"/>
            </w:tcBorders>
          </w:tcPr>
          <w:p w14:paraId="3346B566" w14:textId="77777777" w:rsidR="00A60D4B" w:rsidRPr="00225A97" w:rsidRDefault="00A60D4B" w:rsidP="00A60D4B">
            <w:pPr>
              <w:pStyle w:val="Btabletextunbold"/>
              <w:ind w:left="164" w:firstLine="0"/>
            </w:pPr>
            <w:r w:rsidRPr="00F4704E">
              <w:t xml:space="preserve">Funding provided to </w:t>
            </w:r>
            <w:r>
              <w:t>Transport Canberra Operations</w:t>
            </w:r>
            <w:r w:rsidRPr="00F4704E">
              <w:t xml:space="preserve"> to operate network </w:t>
            </w:r>
            <w:r>
              <w:t xml:space="preserve">(bus and light rail) </w:t>
            </w:r>
            <w:r w:rsidRPr="00F4704E">
              <w:t>services.</w:t>
            </w:r>
          </w:p>
        </w:tc>
      </w:tr>
      <w:tr w:rsidR="00A60D4B" w:rsidRPr="00EC74DB" w14:paraId="2CA1F8A3" w14:textId="77777777" w:rsidTr="00A60D4B">
        <w:trPr>
          <w:trHeight w:val="270"/>
        </w:trPr>
        <w:tc>
          <w:tcPr>
            <w:tcW w:w="3261" w:type="dxa"/>
            <w:tcBorders>
              <w:top w:val="single" w:sz="4" w:space="0" w:color="auto"/>
              <w:bottom w:val="nil"/>
            </w:tcBorders>
            <w:vAlign w:val="bottom"/>
          </w:tcPr>
          <w:p w14:paraId="1FBB9AD8" w14:textId="77777777" w:rsidR="00A60D4B" w:rsidRDefault="00A60D4B" w:rsidP="00A60D4B">
            <w:pPr>
              <w:pStyle w:val="Btabletextbold"/>
            </w:pPr>
            <w:r w:rsidRPr="001C548F">
              <w:t>Environment, Planning and Sustainable Development Directorate</w:t>
            </w:r>
          </w:p>
        </w:tc>
        <w:tc>
          <w:tcPr>
            <w:tcW w:w="1162" w:type="dxa"/>
            <w:tcBorders>
              <w:top w:val="single" w:sz="4" w:space="0" w:color="auto"/>
              <w:bottom w:val="nil"/>
            </w:tcBorders>
          </w:tcPr>
          <w:p w14:paraId="7B30128D" w14:textId="77777777" w:rsidR="00A60D4B" w:rsidRDefault="00A60D4B" w:rsidP="00A60D4B">
            <w:pPr>
              <w:pStyle w:val="Btablefigureunbold"/>
            </w:pPr>
          </w:p>
        </w:tc>
        <w:tc>
          <w:tcPr>
            <w:tcW w:w="4592" w:type="dxa"/>
            <w:tcBorders>
              <w:top w:val="single" w:sz="4" w:space="0" w:color="auto"/>
              <w:bottom w:val="nil"/>
            </w:tcBorders>
          </w:tcPr>
          <w:p w14:paraId="7E44B35D" w14:textId="77777777" w:rsidR="00A60D4B" w:rsidRPr="00111524" w:rsidRDefault="00A60D4B" w:rsidP="00A60D4B">
            <w:pPr>
              <w:pStyle w:val="Btabletextunbold"/>
            </w:pPr>
          </w:p>
        </w:tc>
      </w:tr>
      <w:tr w:rsidR="00A60D4B" w:rsidRPr="00EC74DB" w14:paraId="662D9091" w14:textId="77777777" w:rsidTr="00A60D4B">
        <w:trPr>
          <w:trHeight w:val="270"/>
        </w:trPr>
        <w:tc>
          <w:tcPr>
            <w:tcW w:w="3261" w:type="dxa"/>
            <w:tcBorders>
              <w:top w:val="nil"/>
              <w:bottom w:val="single" w:sz="4" w:space="0" w:color="auto"/>
            </w:tcBorders>
          </w:tcPr>
          <w:p w14:paraId="5CCC56CF" w14:textId="77777777" w:rsidR="00A60D4B" w:rsidRDefault="00A60D4B" w:rsidP="00A60D4B">
            <w:pPr>
              <w:pStyle w:val="Btabletextunbold"/>
            </w:pPr>
            <w:r w:rsidRPr="006E569F">
              <w:t>ACT Forests</w:t>
            </w:r>
          </w:p>
        </w:tc>
        <w:tc>
          <w:tcPr>
            <w:tcW w:w="1162" w:type="dxa"/>
            <w:tcBorders>
              <w:top w:val="nil"/>
              <w:bottom w:val="single" w:sz="4" w:space="0" w:color="auto"/>
            </w:tcBorders>
          </w:tcPr>
          <w:p w14:paraId="262B3BFC" w14:textId="77777777" w:rsidR="00A60D4B" w:rsidRDefault="00A60D4B" w:rsidP="00A60D4B">
            <w:pPr>
              <w:pStyle w:val="Btablefigureunbold"/>
            </w:pPr>
            <w:r>
              <w:t>2,297</w:t>
            </w:r>
          </w:p>
        </w:tc>
        <w:tc>
          <w:tcPr>
            <w:tcW w:w="4592" w:type="dxa"/>
            <w:tcBorders>
              <w:top w:val="nil"/>
              <w:bottom w:val="single" w:sz="4" w:space="0" w:color="auto"/>
            </w:tcBorders>
          </w:tcPr>
          <w:p w14:paraId="63A904E4" w14:textId="77777777" w:rsidR="00A60D4B" w:rsidRPr="00111524" w:rsidRDefault="00A60D4B" w:rsidP="00A60D4B">
            <w:pPr>
              <w:pStyle w:val="Btabletextunbold"/>
              <w:ind w:left="164" w:firstLine="0"/>
            </w:pPr>
            <w:r w:rsidRPr="00F4704E">
              <w:t>Provision and upkeep of public use areas within ACT Forests.</w:t>
            </w:r>
          </w:p>
        </w:tc>
      </w:tr>
      <w:tr w:rsidR="00A60D4B" w:rsidRPr="00851F63" w14:paraId="0C4CFE04" w14:textId="77777777" w:rsidTr="00A60D4B">
        <w:trPr>
          <w:trHeight w:val="270"/>
        </w:trPr>
        <w:tc>
          <w:tcPr>
            <w:tcW w:w="3261" w:type="dxa"/>
            <w:tcBorders>
              <w:top w:val="single" w:sz="4" w:space="0" w:color="auto"/>
              <w:bottom w:val="single" w:sz="4" w:space="0" w:color="auto"/>
            </w:tcBorders>
          </w:tcPr>
          <w:p w14:paraId="7D100089" w14:textId="77777777" w:rsidR="00A60D4B" w:rsidRPr="00851F63" w:rsidRDefault="00A60D4B" w:rsidP="00A60D4B">
            <w:pPr>
              <w:pStyle w:val="Btabletextbolditalic"/>
              <w:rPr>
                <w:i w:val="0"/>
                <w:color w:val="472D8C"/>
              </w:rPr>
            </w:pPr>
            <w:r w:rsidRPr="00851F63">
              <w:rPr>
                <w:i w:val="0"/>
                <w:color w:val="472D8C"/>
              </w:rPr>
              <w:t>Total Community Service Obligations</w:t>
            </w:r>
          </w:p>
        </w:tc>
        <w:tc>
          <w:tcPr>
            <w:tcW w:w="1162" w:type="dxa"/>
            <w:tcBorders>
              <w:top w:val="single" w:sz="4" w:space="0" w:color="auto"/>
              <w:bottom w:val="single" w:sz="4" w:space="0" w:color="auto"/>
            </w:tcBorders>
          </w:tcPr>
          <w:p w14:paraId="69F17D41" w14:textId="77777777" w:rsidR="00A60D4B" w:rsidRPr="00851F63" w:rsidRDefault="00A60D4B" w:rsidP="00A60D4B">
            <w:pPr>
              <w:pStyle w:val="Btabletextbolditalic"/>
              <w:jc w:val="right"/>
              <w:rPr>
                <w:i w:val="0"/>
                <w:color w:val="472D8C"/>
              </w:rPr>
            </w:pPr>
            <w:r w:rsidRPr="00851F63">
              <w:rPr>
                <w:i w:val="0"/>
                <w:color w:val="472D8C"/>
              </w:rPr>
              <w:t>277,551</w:t>
            </w:r>
          </w:p>
        </w:tc>
        <w:tc>
          <w:tcPr>
            <w:tcW w:w="4592" w:type="dxa"/>
            <w:tcBorders>
              <w:top w:val="single" w:sz="4" w:space="0" w:color="auto"/>
              <w:bottom w:val="single" w:sz="4" w:space="0" w:color="auto"/>
            </w:tcBorders>
          </w:tcPr>
          <w:p w14:paraId="705F1F9F" w14:textId="77777777" w:rsidR="00A60D4B" w:rsidRPr="00851F63" w:rsidRDefault="00A60D4B" w:rsidP="00A60D4B">
            <w:pPr>
              <w:pStyle w:val="Btabletextbolditalic"/>
              <w:rPr>
                <w:i w:val="0"/>
                <w:color w:val="472D8C"/>
              </w:rPr>
            </w:pPr>
          </w:p>
        </w:tc>
      </w:tr>
    </w:tbl>
    <w:p w14:paraId="00B99E9F" w14:textId="77777777" w:rsidR="00A60D4B" w:rsidRPr="00021B43" w:rsidRDefault="00A60D4B" w:rsidP="00A60D4B">
      <w:pPr>
        <w:pStyle w:val="Heading3"/>
      </w:pPr>
      <w:bookmarkStart w:id="77" w:name="_Toc63586666"/>
      <w:r w:rsidRPr="00021B43">
        <w:t>Community Sector Funding</w:t>
      </w:r>
      <w:bookmarkEnd w:id="77"/>
    </w:p>
    <w:p w14:paraId="6C06F1F5" w14:textId="77777777" w:rsidR="00A60D4B" w:rsidRPr="00021B43" w:rsidRDefault="00A60D4B" w:rsidP="00A60D4B">
      <w:pPr>
        <w:pStyle w:val="Bbodytext"/>
      </w:pPr>
      <w:r w:rsidRPr="00021B43">
        <w:t xml:space="preserve">The Government provides funding for not-for-profit non-government community organisations that deliver services </w:t>
      </w:r>
      <w:r>
        <w:t xml:space="preserve">to the community </w:t>
      </w:r>
      <w:r w:rsidRPr="00021B43">
        <w:t>through multi-year Service Funding Agreements to meet increasing wage</w:t>
      </w:r>
      <w:r w:rsidRPr="00021B43">
        <w:noBreakHyphen/>
        <w:t>related and administrative costs.</w:t>
      </w:r>
    </w:p>
    <w:p w14:paraId="617D26AF" w14:textId="77777777" w:rsidR="00A60D4B" w:rsidRPr="00021B43" w:rsidRDefault="00A60D4B" w:rsidP="00A60D4B">
      <w:pPr>
        <w:pStyle w:val="Bbodytext"/>
        <w:rPr>
          <w:szCs w:val="24"/>
        </w:rPr>
      </w:pPr>
      <w:r w:rsidRPr="00021B43">
        <w:rPr>
          <w:szCs w:val="24"/>
        </w:rPr>
        <w:t>Annual funding increases are calculated using the following formula:</w:t>
      </w:r>
    </w:p>
    <w:p w14:paraId="1941F57F" w14:textId="77777777" w:rsidR="00A60D4B" w:rsidRPr="00021B43" w:rsidRDefault="00A60D4B" w:rsidP="00A60D4B">
      <w:pPr>
        <w:pStyle w:val="Bbodytext"/>
        <w:rPr>
          <w:rFonts w:ascii="Calibri" w:hAnsi="Calibri"/>
          <w:i/>
          <w:iCs/>
          <w:szCs w:val="24"/>
        </w:rPr>
      </w:pPr>
      <w:r w:rsidRPr="00021B43">
        <w:rPr>
          <w:rFonts w:ascii="Calibri" w:hAnsi="Calibri"/>
          <w:i/>
          <w:iCs/>
          <w:szCs w:val="24"/>
        </w:rPr>
        <w:t>Community Sector Funding Rate = (Wage Price Index × 0.8) + (Consumer Price Index × 0.2).</w:t>
      </w:r>
    </w:p>
    <w:p w14:paraId="1273CE86" w14:textId="77777777" w:rsidR="00A60D4B" w:rsidRDefault="00A60D4B" w:rsidP="00A60D4B">
      <w:pPr>
        <w:pStyle w:val="Bbodytext"/>
        <w:rPr>
          <w:szCs w:val="24"/>
        </w:rPr>
      </w:pPr>
      <w:r>
        <w:rPr>
          <w:szCs w:val="24"/>
        </w:rPr>
        <w:t>For the 2021-22 Budget, the Wage Price Index component of the formula has been increased from 1.75 to 2.5 per cent to align with the recent Fair Work Commission decision to apply a 2.5 per cent increase to the national minimum wage. This results in a new composite rate of 2.35 per</w:t>
      </w:r>
      <w:r>
        <w:t> cent. A review of the methodology to determine the community sector funding rate in future years will be completed in 2021-22.</w:t>
      </w:r>
    </w:p>
    <w:p w14:paraId="7FC6A5CB" w14:textId="2FF0B3BB" w:rsidR="00A60D4B" w:rsidRPr="00021B43" w:rsidRDefault="00A60D4B" w:rsidP="00A60D4B">
      <w:pPr>
        <w:pStyle w:val="Bbodytext"/>
        <w:rPr>
          <w:szCs w:val="24"/>
        </w:rPr>
      </w:pPr>
      <w:r w:rsidRPr="00021B43">
        <w:rPr>
          <w:szCs w:val="24"/>
        </w:rPr>
        <w:t>Table 3.4.</w:t>
      </w:r>
      <w:r w:rsidR="00AB5271">
        <w:rPr>
          <w:szCs w:val="24"/>
        </w:rPr>
        <w:t>6</w:t>
      </w:r>
      <w:r w:rsidRPr="00021B43">
        <w:rPr>
          <w:szCs w:val="24"/>
        </w:rPr>
        <w:t xml:space="preserve"> sets out the rates that have been applied to eligible community sector funding for the 202</w:t>
      </w:r>
      <w:r>
        <w:rPr>
          <w:szCs w:val="24"/>
        </w:rPr>
        <w:t>1</w:t>
      </w:r>
      <w:r w:rsidRPr="00021B43">
        <w:rPr>
          <w:szCs w:val="24"/>
        </w:rPr>
        <w:noBreakHyphen/>
        <w:t>2</w:t>
      </w:r>
      <w:r>
        <w:rPr>
          <w:szCs w:val="24"/>
        </w:rPr>
        <w:t>2</w:t>
      </w:r>
      <w:r w:rsidRPr="00021B43">
        <w:rPr>
          <w:szCs w:val="24"/>
        </w:rPr>
        <w:t> Budget.</w:t>
      </w:r>
    </w:p>
    <w:p w14:paraId="02D36904" w14:textId="65392950" w:rsidR="00A60D4B" w:rsidRDefault="00A60D4B" w:rsidP="00A60D4B">
      <w:pPr>
        <w:pStyle w:val="Caption"/>
      </w:pPr>
      <w:r>
        <w:t>Table 3.4.</w:t>
      </w:r>
      <w:r w:rsidR="008812C5">
        <w:t>4</w:t>
      </w:r>
      <w:r>
        <w:t>: Community Sector Funding Rate</w:t>
      </w:r>
    </w:p>
    <w:tbl>
      <w:tblPr>
        <w:tblW w:w="5556" w:type="dxa"/>
        <w:jc w:val="center"/>
        <w:tblBorders>
          <w:top w:val="single" w:sz="4" w:space="0" w:color="auto"/>
          <w:bottom w:val="single" w:sz="4" w:space="0" w:color="auto"/>
          <w:insideH w:val="single" w:sz="4" w:space="0" w:color="auto"/>
        </w:tblBorders>
        <w:tblLayout w:type="fixed"/>
        <w:tblCellMar>
          <w:left w:w="85" w:type="dxa"/>
        </w:tblCellMar>
        <w:tblLook w:val="04A0" w:firstRow="1" w:lastRow="0" w:firstColumn="1" w:lastColumn="0" w:noHBand="0" w:noVBand="1"/>
      </w:tblPr>
      <w:tblGrid>
        <w:gridCol w:w="3855"/>
        <w:gridCol w:w="1701"/>
      </w:tblGrid>
      <w:tr w:rsidR="00A60D4B" w:rsidRPr="00111524" w14:paraId="18336BFD" w14:textId="77777777" w:rsidTr="00A60D4B">
        <w:trPr>
          <w:trHeight w:val="156"/>
          <w:jc w:val="center"/>
        </w:trPr>
        <w:tc>
          <w:tcPr>
            <w:tcW w:w="3855" w:type="dxa"/>
            <w:tcBorders>
              <w:bottom w:val="single" w:sz="4" w:space="0" w:color="auto"/>
            </w:tcBorders>
            <w:shd w:val="clear" w:color="auto" w:fill="472D8C"/>
          </w:tcPr>
          <w:p w14:paraId="03707322" w14:textId="77777777" w:rsidR="00A60D4B" w:rsidRPr="00111524" w:rsidRDefault="00A60D4B" w:rsidP="00A60D4B">
            <w:pPr>
              <w:rPr>
                <w:rFonts w:cs="Calibri"/>
                <w:b/>
                <w:color w:val="FFFFFF" w:themeColor="background1"/>
                <w:sz w:val="20"/>
              </w:rPr>
            </w:pPr>
          </w:p>
        </w:tc>
        <w:tc>
          <w:tcPr>
            <w:tcW w:w="1701" w:type="dxa"/>
            <w:tcBorders>
              <w:bottom w:val="single" w:sz="4" w:space="0" w:color="auto"/>
            </w:tcBorders>
            <w:shd w:val="clear" w:color="auto" w:fill="472D8C"/>
          </w:tcPr>
          <w:p w14:paraId="0BFD8712" w14:textId="77777777" w:rsidR="00A60D4B" w:rsidRPr="00111524" w:rsidRDefault="00A60D4B" w:rsidP="00A60D4B">
            <w:pPr>
              <w:pStyle w:val="BTableHeadingRowRightAligned"/>
              <w:rPr>
                <w:color w:val="FFFFFF" w:themeColor="background1"/>
              </w:rPr>
            </w:pPr>
            <w:r>
              <w:rPr>
                <w:color w:val="FFFFFF" w:themeColor="background1"/>
              </w:rPr>
              <w:t xml:space="preserve">2021-22 </w:t>
            </w:r>
            <w:r>
              <w:rPr>
                <w:color w:val="FFFFFF" w:themeColor="background1"/>
              </w:rPr>
              <w:br/>
              <w:t>Budget</w:t>
            </w:r>
            <w:r>
              <w:rPr>
                <w:color w:val="FFFFFF" w:themeColor="background1"/>
              </w:rPr>
              <w:br/>
              <w:t>percentage</w:t>
            </w:r>
          </w:p>
        </w:tc>
      </w:tr>
      <w:tr w:rsidR="00A60D4B" w:rsidRPr="00EC74DB" w14:paraId="2863650E" w14:textId="77777777" w:rsidTr="00A60D4B">
        <w:trPr>
          <w:trHeight w:val="270"/>
          <w:jc w:val="center"/>
        </w:trPr>
        <w:tc>
          <w:tcPr>
            <w:tcW w:w="3855" w:type="dxa"/>
            <w:tcBorders>
              <w:top w:val="single" w:sz="4" w:space="0" w:color="auto"/>
              <w:bottom w:val="nil"/>
            </w:tcBorders>
            <w:vAlign w:val="bottom"/>
          </w:tcPr>
          <w:p w14:paraId="07C284CF" w14:textId="77777777" w:rsidR="00A60D4B" w:rsidRPr="00EC74DB" w:rsidRDefault="00A60D4B" w:rsidP="00A60D4B">
            <w:pPr>
              <w:pStyle w:val="Btabletextunbold"/>
            </w:pPr>
            <w:r>
              <w:t>Wage price index</w:t>
            </w:r>
          </w:p>
        </w:tc>
        <w:tc>
          <w:tcPr>
            <w:tcW w:w="1701" w:type="dxa"/>
            <w:tcBorders>
              <w:top w:val="single" w:sz="4" w:space="0" w:color="auto"/>
              <w:bottom w:val="nil"/>
            </w:tcBorders>
          </w:tcPr>
          <w:p w14:paraId="4C6DB91D" w14:textId="77777777" w:rsidR="00A60D4B" w:rsidRPr="00EC74DB" w:rsidRDefault="00A60D4B" w:rsidP="00A60D4B">
            <w:pPr>
              <w:pStyle w:val="Btablefigureunbold"/>
            </w:pPr>
            <w:r>
              <w:t>2.5</w:t>
            </w:r>
          </w:p>
        </w:tc>
      </w:tr>
      <w:tr w:rsidR="00A60D4B" w14:paraId="16C38A31" w14:textId="77777777" w:rsidTr="00A60D4B">
        <w:trPr>
          <w:trHeight w:val="270"/>
          <w:jc w:val="center"/>
        </w:trPr>
        <w:tc>
          <w:tcPr>
            <w:tcW w:w="3855" w:type="dxa"/>
            <w:tcBorders>
              <w:top w:val="nil"/>
            </w:tcBorders>
          </w:tcPr>
          <w:p w14:paraId="0828838F" w14:textId="77777777" w:rsidR="00A60D4B" w:rsidRDefault="00A60D4B" w:rsidP="00A60D4B">
            <w:pPr>
              <w:pStyle w:val="Btabletextunbold"/>
            </w:pPr>
            <w:r>
              <w:t>Consumer price index</w:t>
            </w:r>
          </w:p>
        </w:tc>
        <w:tc>
          <w:tcPr>
            <w:tcW w:w="1701" w:type="dxa"/>
            <w:tcBorders>
              <w:top w:val="nil"/>
            </w:tcBorders>
          </w:tcPr>
          <w:p w14:paraId="154BC4A4" w14:textId="77777777" w:rsidR="00A60D4B" w:rsidRDefault="00A60D4B" w:rsidP="00A60D4B">
            <w:pPr>
              <w:pStyle w:val="Btablefigureunbold"/>
            </w:pPr>
            <w:r>
              <w:t>1.75</w:t>
            </w:r>
          </w:p>
        </w:tc>
      </w:tr>
      <w:tr w:rsidR="00A60D4B" w:rsidRPr="00A64840" w14:paraId="2EE2DBD5" w14:textId="77777777" w:rsidTr="00A60D4B">
        <w:trPr>
          <w:trHeight w:val="270"/>
          <w:jc w:val="center"/>
        </w:trPr>
        <w:tc>
          <w:tcPr>
            <w:tcW w:w="3855" w:type="dxa"/>
          </w:tcPr>
          <w:p w14:paraId="66993FA2" w14:textId="77777777" w:rsidR="00A60D4B" w:rsidRPr="00A64840" w:rsidRDefault="00A60D4B" w:rsidP="00A60D4B">
            <w:pPr>
              <w:pStyle w:val="Btabletextbolditalic"/>
              <w:rPr>
                <w:i w:val="0"/>
                <w:color w:val="472D8C"/>
              </w:rPr>
            </w:pPr>
            <w:r w:rsidRPr="00A64840">
              <w:rPr>
                <w:i w:val="0"/>
                <w:color w:val="472D8C"/>
              </w:rPr>
              <w:t>Community sector funding rate</w:t>
            </w:r>
          </w:p>
        </w:tc>
        <w:tc>
          <w:tcPr>
            <w:tcW w:w="1701" w:type="dxa"/>
          </w:tcPr>
          <w:p w14:paraId="202B0EC8" w14:textId="77777777" w:rsidR="00A60D4B" w:rsidRPr="00A64840" w:rsidRDefault="00A60D4B" w:rsidP="00A60D4B">
            <w:pPr>
              <w:pStyle w:val="Btabletextbolditalic"/>
              <w:jc w:val="right"/>
              <w:rPr>
                <w:i w:val="0"/>
                <w:color w:val="472D8C"/>
              </w:rPr>
            </w:pPr>
            <w:r w:rsidRPr="00A64840">
              <w:rPr>
                <w:i w:val="0"/>
                <w:color w:val="472D8C"/>
              </w:rPr>
              <w:t>2.35</w:t>
            </w:r>
          </w:p>
        </w:tc>
      </w:tr>
    </w:tbl>
    <w:p w14:paraId="501857AA" w14:textId="6279CCE7" w:rsidR="00A60D4B" w:rsidRDefault="00A60D4B" w:rsidP="00A60D4B"/>
    <w:p w14:paraId="75B6A54A" w14:textId="77777777" w:rsidR="00A77C7B" w:rsidRPr="00E55B72" w:rsidRDefault="00A77C7B" w:rsidP="00A60D4B"/>
    <w:p w14:paraId="50E7F411" w14:textId="77777777" w:rsidR="00A60D4B" w:rsidRDefault="00A60D4B">
      <w:pPr>
        <w:sectPr w:rsidR="00A60D4B" w:rsidSect="00A60D4B">
          <w:footerReference w:type="default" r:id="rId142"/>
          <w:pgSz w:w="11906" w:h="16838" w:code="9"/>
          <w:pgMar w:top="1151" w:right="1440" w:bottom="1729" w:left="1440" w:header="720" w:footer="720" w:gutter="0"/>
          <w:cols w:space="708"/>
          <w:docGrid w:linePitch="360"/>
        </w:sectPr>
      </w:pPr>
    </w:p>
    <w:p w14:paraId="6D8B0BD0" w14:textId="77777777" w:rsidR="00A60D4B" w:rsidRPr="00930757" w:rsidRDefault="00A60D4B" w:rsidP="00A60D4B">
      <w:pPr>
        <w:pStyle w:val="Heading2"/>
        <w:numPr>
          <w:ilvl w:val="1"/>
          <w:numId w:val="4"/>
        </w:numPr>
      </w:pPr>
      <w:bookmarkStart w:id="78" w:name="_Toc84290990"/>
      <w:r>
        <w:lastRenderedPageBreak/>
        <w:t>Revenue</w:t>
      </w:r>
      <w:bookmarkEnd w:id="78"/>
    </w:p>
    <w:p w14:paraId="0A510A06" w14:textId="77777777" w:rsidR="00A60D4B" w:rsidRPr="008467DD" w:rsidRDefault="00A60D4B" w:rsidP="00A60D4B">
      <w:pPr>
        <w:pStyle w:val="Heading3"/>
      </w:pPr>
      <w:r>
        <w:t>Revenue overview</w:t>
      </w:r>
    </w:p>
    <w:p w14:paraId="61FA4B8A" w14:textId="77777777" w:rsidR="00A60D4B" w:rsidRDefault="00A60D4B" w:rsidP="00A60D4B">
      <w:pPr>
        <w:pStyle w:val="Bbodytext"/>
        <w:rPr>
          <w:shd w:val="clear" w:color="auto" w:fill="FFFFFF"/>
        </w:rPr>
      </w:pPr>
      <w:r>
        <w:rPr>
          <w:shd w:val="clear" w:color="auto" w:fill="FFFFFF"/>
        </w:rPr>
        <w:t xml:space="preserve">Prior to the lockdown on 12 August 2021 in response to the outbreak of the COVID-19 Delta variant in the Territory, General Government Sector (GGS) revenue was tracking more strongly than expected at the time of the 2020-21 Budget. Accordingly, the interim outcome for 2020-21 was $6.3 billion, more than $300 million higher than anticipated, and expectations for both own source revenue and GST for 2021-22 had also become more positive. </w:t>
      </w:r>
    </w:p>
    <w:p w14:paraId="5A30D249" w14:textId="77777777" w:rsidR="00A60D4B" w:rsidRDefault="00A60D4B" w:rsidP="00A60D4B">
      <w:pPr>
        <w:pStyle w:val="Bbodytext"/>
        <w:rPr>
          <w:shd w:val="clear" w:color="auto" w:fill="FFFFFF"/>
        </w:rPr>
      </w:pPr>
      <w:r>
        <w:rPr>
          <w:noProof/>
        </w:rPr>
        <mc:AlternateContent>
          <mc:Choice Requires="wps">
            <w:drawing>
              <wp:anchor distT="0" distB="0" distL="114300" distR="114300" simplePos="0" relativeHeight="251968512" behindDoc="0" locked="0" layoutInCell="1" allowOverlap="1" wp14:anchorId="7CC4B067" wp14:editId="20B057FB">
                <wp:simplePos x="0" y="0"/>
                <wp:positionH relativeFrom="margin">
                  <wp:posOffset>2481580</wp:posOffset>
                </wp:positionH>
                <wp:positionV relativeFrom="paragraph">
                  <wp:posOffset>5080</wp:posOffset>
                </wp:positionV>
                <wp:extent cx="3229610" cy="895985"/>
                <wp:effectExtent l="0" t="0" r="0" b="0"/>
                <wp:wrapSquare wrapText="bothSides"/>
                <wp:docPr id="289" name="Text Box 289"/>
                <wp:cNvGraphicFramePr/>
                <a:graphic xmlns:a="http://schemas.openxmlformats.org/drawingml/2006/main">
                  <a:graphicData uri="http://schemas.microsoft.com/office/word/2010/wordprocessingShape">
                    <wps:wsp>
                      <wps:cNvSpPr txBox="1"/>
                      <wps:spPr>
                        <a:xfrm>
                          <a:off x="0" y="0"/>
                          <a:ext cx="3229610" cy="895985"/>
                        </a:xfrm>
                        <a:prstGeom prst="rect">
                          <a:avLst/>
                        </a:prstGeom>
                        <a:noFill/>
                        <a:ln w="6350">
                          <a:noFill/>
                        </a:ln>
                      </wps:spPr>
                      <wps:txbx>
                        <w:txbxContent>
                          <w:p w14:paraId="056D42B4" w14:textId="77777777" w:rsidR="002261A7" w:rsidRPr="002629AA" w:rsidRDefault="002261A7" w:rsidP="00A60D4B">
                            <w:pPr>
                              <w:jc w:val="center"/>
                              <w:rPr>
                                <w:b/>
                                <w:bCs/>
                                <w:color w:val="150045"/>
                                <w:sz w:val="24"/>
                                <w:szCs w:val="24"/>
                              </w:rPr>
                            </w:pPr>
                            <w:r w:rsidRPr="002629AA">
                              <w:rPr>
                                <w:b/>
                                <w:bCs/>
                                <w:color w:val="150045"/>
                                <w:sz w:val="24"/>
                                <w:szCs w:val="24"/>
                              </w:rPr>
                              <w:t>Overall, GGS revenue is now estimated to be $6.6 billion in 2021-22, and $20.2 billion from 2021</w:t>
                            </w:r>
                            <w:r w:rsidRPr="002629AA">
                              <w:rPr>
                                <w:b/>
                                <w:bCs/>
                                <w:color w:val="150045"/>
                                <w:sz w:val="24"/>
                                <w:szCs w:val="24"/>
                              </w:rPr>
                              <w:noBreakHyphen/>
                              <w:t>22 to 2024-25, only slightly stronger than expected at the time of the 2020-21 Budget.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4B067" id="Text Box 289" o:spid="_x0000_s1033" type="#_x0000_t202" style="position:absolute;margin-left:195.4pt;margin-top:.4pt;width:254.3pt;height:70.55pt;z-index:25196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" filled="f" stroked="f" strokeweight=".5pt">
                <v:textbox>
                  <w:txbxContent>
                    <w:p w14:paraId="056D42B4" w14:textId="77777777" w:rsidR="002261A7" w:rsidRPr="002629AA" w:rsidRDefault="002261A7" w:rsidP="00A60D4B">
                      <w:pPr>
                        <w:jc w:val="center"/>
                        <w:rPr>
                          <w:b/>
                          <w:bCs/>
                          <w:color w:val="150045"/>
                          <w:sz w:val="24"/>
                          <w:szCs w:val="24"/>
                        </w:rPr>
                      </w:pPr>
                      <w:r w:rsidRPr="002629AA">
                        <w:rPr>
                          <w:b/>
                          <w:bCs/>
                          <w:color w:val="150045"/>
                          <w:sz w:val="24"/>
                          <w:szCs w:val="24"/>
                        </w:rPr>
                        <w:t>Overall, GGS revenue is now estimated to be $6.6 billion in 2021-22, and $20.2 billion from 2021</w:t>
                      </w:r>
                      <w:r w:rsidRPr="002629AA">
                        <w:rPr>
                          <w:b/>
                          <w:bCs/>
                          <w:color w:val="150045"/>
                          <w:sz w:val="24"/>
                          <w:szCs w:val="24"/>
                        </w:rPr>
                        <w:noBreakHyphen/>
                        <w:t>22 to 2024-25, only slightly stronger than expected at the time of the 2020-21 Budget.</w:t>
                      </w:r>
                    </w:p>
                  </w:txbxContent>
                </v:textbox>
                <w10:wrap type="square" anchorx="margin"/>
              </v:shape>
            </w:pict>
          </mc:Fallback>
        </mc:AlternateContent>
      </w:r>
      <w:r>
        <w:rPr>
          <w:shd w:val="clear" w:color="auto" w:fill="FFFFFF"/>
        </w:rPr>
        <w:t>The lockdown in the ACT and those in NSW and Victoria in particular, and their effects on economic activity and employment, has, however, moderated those expectations.</w:t>
      </w:r>
    </w:p>
    <w:p w14:paraId="1E001C9A" w14:textId="77777777" w:rsidR="00A60D4B" w:rsidRDefault="00A60D4B" w:rsidP="00A60D4B">
      <w:pPr>
        <w:pStyle w:val="Bbodytext"/>
        <w:rPr>
          <w:shd w:val="clear" w:color="auto" w:fill="FFFFFF"/>
        </w:rPr>
      </w:pPr>
      <w:r>
        <w:rPr>
          <w:shd w:val="clear" w:color="auto" w:fill="FFFFFF"/>
        </w:rPr>
        <w:t>While overall GGS revenue is holding up, the economic and employment effects of the recent outbreak of Delta variant of COVID</w:t>
      </w:r>
      <w:r>
        <w:rPr>
          <w:shd w:val="clear" w:color="auto" w:fill="FFFFFF"/>
        </w:rPr>
        <w:noBreakHyphen/>
        <w:t>19, along with the support provided by the ACT and Commonwealth Governments to households and businesses, have had a significant impact on both own-source and GST revenue, primarily in 2021-22. Both the timing and composition of revenue has changed markedly reflecting the different impacts of the lockdown on activity and jobs and the support measures in response to it on particular sources of revenue.</w:t>
      </w:r>
    </w:p>
    <w:p w14:paraId="055610DF" w14:textId="77777777" w:rsidR="00A60D4B" w:rsidRDefault="00A60D4B" w:rsidP="00A60D4B">
      <w:pPr>
        <w:pStyle w:val="Bbodytext"/>
        <w:rPr>
          <w:shd w:val="clear" w:color="auto" w:fill="FFFFFF"/>
        </w:rPr>
      </w:pPr>
      <w:r>
        <w:rPr>
          <w:shd w:val="clear" w:color="auto" w:fill="FFFFFF"/>
        </w:rPr>
        <w:t xml:space="preserve">In aggregate, forecasts of own source taxation revenue have lifted modestly in 2021-22 and out to 2024-25, but the contributions of different sources of revenue have changed significantly. Payroll tax is expected to be slightly lower, reflecting softer labour market conditions in 2021-22, while residential and commercial conveyance duty and land tax are forecast to be stronger on the back of the robust property market. </w:t>
      </w:r>
    </w:p>
    <w:p w14:paraId="51D1F515" w14:textId="77777777" w:rsidR="00A60D4B" w:rsidRDefault="00A60D4B" w:rsidP="00A60D4B">
      <w:pPr>
        <w:pStyle w:val="Bbodytext"/>
        <w:rPr>
          <w:shd w:val="clear" w:color="auto" w:fill="FFFFFF"/>
        </w:rPr>
      </w:pPr>
      <w:r>
        <w:rPr>
          <w:shd w:val="clear" w:color="auto" w:fill="FFFFFF"/>
        </w:rPr>
        <w:t>Although GST revenue is now expected to be stronger than at the time of the ACT 2020-21 Budget in February, it is not forecast to be as high as contemplated in the Commonwealth’s 2021</w:t>
      </w:r>
      <w:r>
        <w:rPr>
          <w:shd w:val="clear" w:color="auto" w:fill="FFFFFF"/>
        </w:rPr>
        <w:noBreakHyphen/>
        <w:t>22 Budget in May 2021 due to the extended lockdowns in the two most populous states, NSW and Victoria. The GST estimates in this Budget are for the ACT to receive $43.6 million less GST revenue in 2021-22</w:t>
      </w:r>
      <w:r>
        <w:rPr>
          <w:rStyle w:val="FootnoteReference"/>
          <w:shd w:val="clear" w:color="auto" w:fill="FFFFFF"/>
        </w:rPr>
        <w:footnoteReference w:id="7"/>
      </w:r>
      <w:r>
        <w:rPr>
          <w:shd w:val="clear" w:color="auto" w:fill="FFFFFF"/>
        </w:rPr>
        <w:t xml:space="preserve"> and $267 million less from 2021</w:t>
      </w:r>
      <w:r>
        <w:rPr>
          <w:shd w:val="clear" w:color="auto" w:fill="FFFFFF"/>
        </w:rPr>
        <w:noBreakHyphen/>
        <w:t>22 to 2024-25 than published in the Commonwealth Budget prior to the lockdowns. GST revenue also remains significantly weaker than was expected prior to the pandemic.</w:t>
      </w:r>
    </w:p>
    <w:p w14:paraId="7EB3F7B3" w14:textId="77777777" w:rsidR="00A60D4B" w:rsidRDefault="00A60D4B" w:rsidP="00A60D4B">
      <w:pPr>
        <w:pStyle w:val="Bbodytext"/>
        <w:rPr>
          <w:b/>
          <w:bCs/>
          <w:shd w:val="clear" w:color="auto" w:fill="FFFFFF"/>
        </w:rPr>
      </w:pPr>
      <w:r w:rsidRPr="002526D5">
        <w:rPr>
          <w:b/>
          <w:bCs/>
          <w:noProof/>
          <w:shd w:val="clear" w:color="auto" w:fill="FFFFFF"/>
        </w:rPr>
        <w:lastRenderedPageBreak/>
        <mc:AlternateContent>
          <mc:Choice Requires="wps">
            <w:drawing>
              <wp:anchor distT="45720" distB="45720" distL="114300" distR="114300" simplePos="0" relativeHeight="251961344" behindDoc="0" locked="0" layoutInCell="1" allowOverlap="1" wp14:anchorId="282BF5B4" wp14:editId="397DB2BD">
                <wp:simplePos x="0" y="0"/>
                <wp:positionH relativeFrom="margin">
                  <wp:align>center</wp:align>
                </wp:positionH>
                <wp:positionV relativeFrom="margin">
                  <wp:align>top</wp:align>
                </wp:positionV>
                <wp:extent cx="5446395" cy="1701165"/>
                <wp:effectExtent l="0" t="0" r="0" b="0"/>
                <wp:wrapSquare wrapText="bothSides"/>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6395" cy="1701165"/>
                        </a:xfrm>
                        <a:prstGeom prst="rect">
                          <a:avLst/>
                        </a:prstGeom>
                        <a:noFill/>
                        <a:ln w="9525">
                          <a:noFill/>
                          <a:miter lim="800000"/>
                          <a:headEnd/>
                          <a:tailEnd/>
                        </a:ln>
                      </wps:spPr>
                      <wps:txbx>
                        <w:txbxContent>
                          <w:p w14:paraId="08CD36DC" w14:textId="77777777" w:rsidR="002261A7" w:rsidRPr="002629AA" w:rsidRDefault="002261A7" w:rsidP="00B86042">
                            <w:pPr>
                              <w:jc w:val="center"/>
                              <w:rPr>
                                <w:b/>
                                <w:bCs/>
                                <w:color w:val="150045"/>
                                <w:sz w:val="24"/>
                                <w:szCs w:val="24"/>
                              </w:rPr>
                            </w:pPr>
                            <w:r w:rsidRPr="002629AA">
                              <w:rPr>
                                <w:b/>
                                <w:bCs/>
                                <w:color w:val="150045"/>
                                <w:sz w:val="24"/>
                                <w:szCs w:val="24"/>
                              </w:rPr>
                              <w:t>The ACT Government’s support measures for businesses and households have also affected our own source revenue, including through residential and commercial tenancy relief, the small business hardship scheme and the waiver of a range of fees and charges. In total COVID-19 related revenue measures are estimated to reduce own source revenue by over $35 million in 2021-22. This is in addition to over $150 million being provided in business support grants by the ACT Government. The ACT Revenue Commissioner is also providing hardship relief as necessary to businesses and households during this difficult time.</w:t>
                            </w:r>
                          </w:p>
                          <w:p w14:paraId="43BE5A42" w14:textId="77777777" w:rsidR="002261A7" w:rsidRPr="00036A7E" w:rsidRDefault="002261A7" w:rsidP="00A60D4B">
                            <w:pPr>
                              <w:shd w:val="clear" w:color="auto" w:fill="B4C1FF" w:themeFill="accent1" w:themeFillTint="33"/>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2BF5B4" id="_x0000_s1034" type="#_x0000_t202" style="position:absolute;margin-left:0;margin-top:0;width:428.85pt;height:133.95pt;z-index:251961344;visibility:visible;mso-wrap-style:square;mso-width-percent:0;mso-height-percent:0;mso-wrap-distance-left:9pt;mso-wrap-distance-top:3.6pt;mso-wrap-distance-right:9pt;mso-wrap-distance-bottom:3.6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" filled="f" stroked="f">
                <v:textbox>
                  <w:txbxContent>
                    <w:p w14:paraId="08CD36DC" w14:textId="77777777" w:rsidR="002261A7" w:rsidRPr="002629AA" w:rsidRDefault="002261A7" w:rsidP="00B86042">
                      <w:pPr>
                        <w:jc w:val="center"/>
                        <w:rPr>
                          <w:b/>
                          <w:bCs/>
                          <w:color w:val="150045"/>
                          <w:sz w:val="24"/>
                          <w:szCs w:val="24"/>
                        </w:rPr>
                      </w:pPr>
                      <w:r w:rsidRPr="002629AA">
                        <w:rPr>
                          <w:b/>
                          <w:bCs/>
                          <w:color w:val="150045"/>
                          <w:sz w:val="24"/>
                          <w:szCs w:val="24"/>
                        </w:rPr>
                        <w:t>The ACT Government’s support measures for businesses and households have also affected our own source revenue, including through residential and commercial tenancy relief, the small business hardship scheme and the waiver of a range of fees and charges. In total COVID-19 related revenue measures are estimated to reduce own source revenue by over $35 million in 2021-22. This is in addition to over $150 million being provided in business support grants by the ACT Government. The ACT Revenue Commissioner is also providing hardship relief as necessary to businesses and households during this difficult time.</w:t>
                      </w:r>
                    </w:p>
                    <w:p w14:paraId="43BE5A42" w14:textId="77777777" w:rsidR="002261A7" w:rsidRPr="00036A7E" w:rsidRDefault="002261A7" w:rsidP="00A60D4B">
                      <w:pPr>
                        <w:shd w:val="clear" w:color="auto" w:fill="B4C1FF" w:themeFill="accent1" w:themeFillTint="33"/>
                        <w:rPr>
                          <w:color w:val="FFFFFF" w:themeColor="background1"/>
                        </w:rPr>
                      </w:pPr>
                    </w:p>
                  </w:txbxContent>
                </v:textbox>
                <w10:wrap type="square" anchorx="margin" anchory="margin"/>
              </v:shape>
            </w:pict>
          </mc:Fallback>
        </mc:AlternateContent>
      </w:r>
      <w:r>
        <w:rPr>
          <w:shd w:val="clear" w:color="auto" w:fill="FFFFFF"/>
        </w:rPr>
        <w:t>By contrast, other Commonwealth grants are expected to be higher in 2021-22, largely as a result of the Commonwealth’s joint contribution to business support during the lockdown.</w:t>
      </w:r>
    </w:p>
    <w:p w14:paraId="59327C65" w14:textId="77777777" w:rsidR="00A60D4B" w:rsidRDefault="00A60D4B" w:rsidP="00A60D4B">
      <w:pPr>
        <w:pStyle w:val="Bbodytext"/>
        <w:rPr>
          <w:shd w:val="clear" w:color="auto" w:fill="FFFFFF"/>
        </w:rPr>
      </w:pPr>
      <w:r>
        <w:rPr>
          <w:shd w:val="clear" w:color="auto" w:fill="FFFFFF"/>
        </w:rPr>
        <w:t xml:space="preserve">As the economy and labour market recover, most sources of revenue are expected to return to more normal growth rates, but overall GGS revenue does not return to its pre-pandemic level over the forecast period. </w:t>
      </w:r>
    </w:p>
    <w:p w14:paraId="00DB1DF7" w14:textId="77777777" w:rsidR="00A60D4B" w:rsidRDefault="00A60D4B" w:rsidP="00A60D4B">
      <w:pPr>
        <w:pStyle w:val="Bbodytext"/>
        <w:rPr>
          <w:shd w:val="clear" w:color="auto" w:fill="FFFFFF"/>
        </w:rPr>
      </w:pPr>
      <w:r w:rsidRPr="00CF6BED">
        <w:rPr>
          <w:lang w:eastAsia="en-AU"/>
        </w:rPr>
        <w:t>As with the economic forecasts in Chapter 2</w:t>
      </w:r>
      <w:r>
        <w:rPr>
          <w:lang w:eastAsia="en-AU"/>
        </w:rPr>
        <w:t xml:space="preserve"> – Economic Outlook</w:t>
      </w:r>
      <w:r w:rsidRPr="00CF6BED">
        <w:rPr>
          <w:lang w:eastAsia="en-AU"/>
        </w:rPr>
        <w:t xml:space="preserve">, there are a range of </w:t>
      </w:r>
      <w:r>
        <w:rPr>
          <w:lang w:eastAsia="en-AU"/>
        </w:rPr>
        <w:t xml:space="preserve">uncertainties associated with the evolution of the pandemic and the associated public health response that will influence the revenue estimates </w:t>
      </w:r>
      <w:r w:rsidRPr="00CF6BED">
        <w:rPr>
          <w:lang w:eastAsia="en-AU"/>
        </w:rPr>
        <w:t>presented in the baseline</w:t>
      </w:r>
      <w:r>
        <w:rPr>
          <w:lang w:eastAsia="en-AU"/>
        </w:rPr>
        <w:t xml:space="preserve"> forecasts</w:t>
      </w:r>
      <w:r w:rsidRPr="00CF6BED">
        <w:rPr>
          <w:lang w:eastAsia="en-AU"/>
        </w:rPr>
        <w:t xml:space="preserve">. </w:t>
      </w:r>
      <w:r>
        <w:rPr>
          <w:lang w:eastAsia="en-AU"/>
        </w:rPr>
        <w:t>Upside and downside scenarios for five key revenue lines – GST, payroll tax, residential conveyance duty, land tax and motor vehicle registrations – are presented later in this part. In addition, the risks associated with the property market highlighted in Chapter 2 will also have a bearing on the key property related revenue lines.</w:t>
      </w:r>
      <w:r w:rsidRPr="00D22C94">
        <w:rPr>
          <w:lang w:eastAsia="en-AU"/>
        </w:rPr>
        <w:t xml:space="preserve"> </w:t>
      </w:r>
    </w:p>
    <w:p w14:paraId="71193617" w14:textId="5CE29062" w:rsidR="00A60D4B" w:rsidRDefault="00A60D4B" w:rsidP="00A60D4B">
      <w:pPr>
        <w:pStyle w:val="Caption"/>
      </w:pPr>
      <w:r>
        <w:rPr>
          <w:noProof/>
        </w:rPr>
        <mc:AlternateContent>
          <mc:Choice Requires="wpg">
            <w:drawing>
              <wp:anchor distT="0" distB="0" distL="114300" distR="114300" simplePos="0" relativeHeight="251958272" behindDoc="0" locked="0" layoutInCell="1" allowOverlap="1" wp14:anchorId="263EC6EA" wp14:editId="5161D912">
                <wp:simplePos x="0" y="0"/>
                <wp:positionH relativeFrom="column">
                  <wp:posOffset>-166977</wp:posOffset>
                </wp:positionH>
                <wp:positionV relativeFrom="paragraph">
                  <wp:posOffset>380393</wp:posOffset>
                </wp:positionV>
                <wp:extent cx="6033217" cy="3530296"/>
                <wp:effectExtent l="0" t="0" r="0" b="0"/>
                <wp:wrapSquare wrapText="bothSides"/>
                <wp:docPr id="291" name="Group 291"/>
                <wp:cNvGraphicFramePr/>
                <a:graphic xmlns:a="http://schemas.openxmlformats.org/drawingml/2006/main">
                  <a:graphicData uri="http://schemas.microsoft.com/office/word/2010/wordprocessingGroup">
                    <wpg:wgp>
                      <wpg:cNvGrpSpPr/>
                      <wpg:grpSpPr>
                        <a:xfrm>
                          <a:off x="0" y="0"/>
                          <a:ext cx="6033217" cy="3530296"/>
                          <a:chOff x="0" y="0"/>
                          <a:chExt cx="6033217" cy="3530296"/>
                        </a:xfrm>
                      </wpg:grpSpPr>
                      <wpg:graphicFrame>
                        <wpg:cNvPr id="292" name="Chart 292"/>
                        <wpg:cNvFrPr/>
                        <wpg:xfrm>
                          <a:off x="0" y="7951"/>
                          <a:ext cx="3059430" cy="3522345"/>
                        </wpg:xfrm>
                        <a:graphic>
                          <a:graphicData uri="http://schemas.openxmlformats.org/drawingml/2006/chart">
                            <c:chart xmlns:c="http://schemas.openxmlformats.org/drawingml/2006/chart" xmlns:r="http://schemas.openxmlformats.org/officeDocument/2006/relationships" r:id="rId143"/>
                          </a:graphicData>
                        </a:graphic>
                      </wpg:graphicFrame>
                      <wpg:graphicFrame>
                        <wpg:cNvPr id="293" name="Chart 293"/>
                        <wpg:cNvFrPr/>
                        <wpg:xfrm>
                          <a:off x="2973787" y="0"/>
                          <a:ext cx="3059430" cy="3518535"/>
                        </wpg:xfrm>
                        <a:graphic>
                          <a:graphicData uri="http://schemas.openxmlformats.org/drawingml/2006/chart">
                            <c:chart xmlns:c="http://schemas.openxmlformats.org/drawingml/2006/chart" xmlns:r="http://schemas.openxmlformats.org/officeDocument/2006/relationships" r:id="rId144"/>
                          </a:graphicData>
                        </a:graphic>
                      </wpg:graphicFrame>
                    </wpg:wgp>
                  </a:graphicData>
                </a:graphic>
                <wp14:sizeRelH relativeFrom="margin">
                  <wp14:pctWidth>0</wp14:pctWidth>
                </wp14:sizeRelH>
                <wp14:sizeRelV relativeFrom="margin">
                  <wp14:pctHeight>0</wp14:pctHeight>
                </wp14:sizeRelV>
              </wp:anchor>
            </w:drawing>
          </mc:Choice>
          <mc:Fallback>
            <w:pict>
              <v:group w14:anchorId="3037B70E" id="Group 291" o:spid="_x0000_s1026" style="position:absolute;margin-left:-13.15pt;margin-top:29.95pt;width:475.05pt;height:278pt;z-index:251958272;mso-width-relative:margin;mso-height-relative:margin" coordsize="60332,35302"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292" o:spid="_x0000_s1027" type="#_x0000_t75" style="position:absolute;top:60;width:30601;height:352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">
                  <v:imagedata r:id="rId145" o:title=""/>
                  <o:lock v:ext="edit" aspectratio="f"/>
                </v:shape>
                <v:shape id="Chart 293" o:spid="_x0000_s1028" type="#_x0000_t75" style="position:absolute;left:29687;width:30663;height:351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">
                  <v:imagedata r:id="rId146" o:title=""/>
                  <o:lock v:ext="edit" aspectratio="f"/>
                </v:shape>
                <w10:wrap type="square"/>
              </v:group>
            </w:pict>
          </mc:Fallback>
        </mc:AlternateContent>
      </w:r>
      <w:r>
        <w:t xml:space="preserve">Figure </w:t>
      </w:r>
      <w:r w:rsidR="00FB4E5C">
        <w:fldChar w:fldCharType="begin"/>
      </w:r>
      <w:r w:rsidR="00FB4E5C">
        <w:instrText xml:space="preserve"> STYLEREF 2 \s </w:instrText>
      </w:r>
      <w:r w:rsidR="00FB4E5C">
        <w:fldChar w:fldCharType="separate"/>
      </w:r>
      <w:r w:rsidR="00F12A80">
        <w:rPr>
          <w:noProof/>
        </w:rPr>
        <w:t>3.5</w:t>
      </w:r>
      <w:r w:rsidR="00FB4E5C">
        <w:rPr>
          <w:noProof/>
        </w:rPr>
        <w:fldChar w:fldCharType="end"/>
      </w:r>
      <w:r>
        <w:t>.</w:t>
      </w:r>
      <w:r w:rsidR="00FB4E5C">
        <w:fldChar w:fldCharType="begin"/>
      </w:r>
      <w:r w:rsidR="00FB4E5C">
        <w:instrText xml:space="preserve"> SEQ Figure \* ARABIC \s 2 </w:instrText>
      </w:r>
      <w:r w:rsidR="00FB4E5C">
        <w:fldChar w:fldCharType="separate"/>
      </w:r>
      <w:r w:rsidR="00F12A80">
        <w:rPr>
          <w:noProof/>
        </w:rPr>
        <w:t>1</w:t>
      </w:r>
      <w:r w:rsidR="00FB4E5C">
        <w:rPr>
          <w:noProof/>
        </w:rPr>
        <w:fldChar w:fldCharType="end"/>
      </w:r>
      <w:r w:rsidRPr="00EB3D93">
        <w:rPr>
          <w:bCs/>
          <w:sz w:val="24"/>
          <w:szCs w:val="24"/>
        </w:rPr>
        <w:t xml:space="preserve">: </w:t>
      </w:r>
      <w:r w:rsidRPr="00AB2E22">
        <w:t>Changes in the total of own-source taxation and GST revenue</w:t>
      </w:r>
    </w:p>
    <w:p w14:paraId="6F3CF462" w14:textId="77777777" w:rsidR="00A60D4B" w:rsidRDefault="00A60D4B" w:rsidP="00A60D4B">
      <w:pPr>
        <w:pStyle w:val="BNote"/>
      </w:pPr>
      <w:r w:rsidRPr="004739B6">
        <w:rPr>
          <w:b/>
          <w:bCs/>
        </w:rPr>
        <w:t>Source:</w:t>
      </w:r>
      <w:r w:rsidRPr="004739B6">
        <w:t xml:space="preserve"> </w:t>
      </w:r>
      <w:r>
        <w:t>CMTEDD estimates.</w:t>
      </w:r>
    </w:p>
    <w:p w14:paraId="10784BDD" w14:textId="77777777" w:rsidR="00A60D4B" w:rsidRDefault="00A60D4B" w:rsidP="00A60D4B">
      <w:pPr>
        <w:rPr>
          <w:sz w:val="24"/>
          <w:lang w:eastAsia="en-AU"/>
        </w:rPr>
      </w:pPr>
      <w:r>
        <w:rPr>
          <w:lang w:eastAsia="en-AU"/>
        </w:rPr>
        <w:br w:type="page"/>
      </w:r>
    </w:p>
    <w:p w14:paraId="7203254A" w14:textId="7C9D4BFC" w:rsidR="00A60D4B" w:rsidRPr="00111524" w:rsidRDefault="00A60D4B" w:rsidP="00A60D4B">
      <w:pPr>
        <w:pStyle w:val="Caption"/>
      </w:pPr>
      <w:r w:rsidRPr="00111524">
        <w:lastRenderedPageBreak/>
        <w:t xml:space="preserve">Table </w:t>
      </w:r>
      <w:r w:rsidR="00FB4E5C">
        <w:fldChar w:fldCharType="begin"/>
      </w:r>
      <w:r w:rsidR="00FB4E5C">
        <w:instrText xml:space="preserve"> STYLEREF 2 \s </w:instrText>
      </w:r>
      <w:r w:rsidR="00FB4E5C">
        <w:fldChar w:fldCharType="separate"/>
      </w:r>
      <w:r w:rsidR="00F12A80">
        <w:rPr>
          <w:noProof/>
        </w:rPr>
        <w:t>3.5</w:t>
      </w:r>
      <w:r w:rsidR="00FB4E5C">
        <w:rPr>
          <w:noProof/>
        </w:rPr>
        <w:fldChar w:fldCharType="end"/>
      </w:r>
      <w:r w:rsidRPr="00111524">
        <w:t>.</w:t>
      </w:r>
      <w:r w:rsidR="00FB4E5C">
        <w:fldChar w:fldCharType="begin"/>
      </w:r>
      <w:r w:rsidR="00FB4E5C">
        <w:instrText xml:space="preserve"> SEQ Table \* ARABIC \s 2 </w:instrText>
      </w:r>
      <w:r w:rsidR="00FB4E5C">
        <w:fldChar w:fldCharType="separate"/>
      </w:r>
      <w:r w:rsidR="00F12A80">
        <w:rPr>
          <w:noProof/>
        </w:rPr>
        <w:t>1</w:t>
      </w:r>
      <w:r w:rsidR="00FB4E5C">
        <w:rPr>
          <w:noProof/>
        </w:rPr>
        <w:fldChar w:fldCharType="end"/>
      </w:r>
      <w:r w:rsidRPr="00111524">
        <w:t xml:space="preserve"> </w:t>
      </w:r>
      <w:r>
        <w:t>General Government Sector revenue</w:t>
      </w:r>
    </w:p>
    <w:tbl>
      <w:tblPr>
        <w:tblW w:w="9177" w:type="dxa"/>
        <w:tblBorders>
          <w:top w:val="single" w:sz="4" w:space="0" w:color="auto"/>
          <w:bottom w:val="single" w:sz="4" w:space="0" w:color="auto"/>
          <w:insideH w:val="single" w:sz="4" w:space="0" w:color="auto"/>
        </w:tblBorders>
        <w:tblLayout w:type="fixed"/>
        <w:tblCellMar>
          <w:left w:w="85" w:type="dxa"/>
        </w:tblCellMar>
        <w:tblLook w:val="04A0" w:firstRow="1" w:lastRow="0" w:firstColumn="1" w:lastColumn="0" w:noHBand="0" w:noVBand="1"/>
      </w:tblPr>
      <w:tblGrid>
        <w:gridCol w:w="2127"/>
        <w:gridCol w:w="1134"/>
        <w:gridCol w:w="1191"/>
        <w:gridCol w:w="1181"/>
        <w:gridCol w:w="1181"/>
        <w:gridCol w:w="1181"/>
        <w:gridCol w:w="1182"/>
      </w:tblGrid>
      <w:tr w:rsidR="00A60D4B" w:rsidRPr="008F5D57" w14:paraId="0EAEF5E4" w14:textId="77777777" w:rsidTr="00A60D4B">
        <w:trPr>
          <w:trHeight w:val="156"/>
        </w:trPr>
        <w:tc>
          <w:tcPr>
            <w:tcW w:w="2127" w:type="dxa"/>
            <w:tcBorders>
              <w:bottom w:val="single" w:sz="4" w:space="0" w:color="auto"/>
            </w:tcBorders>
            <w:shd w:val="clear" w:color="auto" w:fill="472D8C"/>
          </w:tcPr>
          <w:p w14:paraId="7DBA7713" w14:textId="77777777" w:rsidR="00A60D4B" w:rsidRPr="00111524" w:rsidRDefault="00A60D4B" w:rsidP="00A60D4B">
            <w:pPr>
              <w:rPr>
                <w:rFonts w:cs="Calibri"/>
                <w:b/>
                <w:color w:val="FFFFFF" w:themeColor="background1"/>
                <w:sz w:val="20"/>
              </w:rPr>
            </w:pPr>
          </w:p>
        </w:tc>
        <w:tc>
          <w:tcPr>
            <w:tcW w:w="1134" w:type="dxa"/>
            <w:tcBorders>
              <w:bottom w:val="single" w:sz="4" w:space="0" w:color="auto"/>
            </w:tcBorders>
            <w:shd w:val="clear" w:color="auto" w:fill="472D8C"/>
          </w:tcPr>
          <w:p w14:paraId="49A7BC85" w14:textId="77777777" w:rsidR="006F1DF8"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Budget</w:t>
            </w:r>
            <w:r>
              <w:rPr>
                <w:color w:val="FFFFFF" w:themeColor="background1"/>
              </w:rPr>
              <w:br/>
            </w:r>
          </w:p>
          <w:p w14:paraId="75770305" w14:textId="69750758" w:rsidR="00A60D4B" w:rsidRPr="00111524" w:rsidRDefault="00A60D4B" w:rsidP="00A60D4B">
            <w:pPr>
              <w:pStyle w:val="BTableHeadingRowRightAligned"/>
              <w:rPr>
                <w:color w:val="FFFFFF" w:themeColor="background1"/>
              </w:rPr>
            </w:pPr>
            <w:r>
              <w:rPr>
                <w:color w:val="FFFFFF" w:themeColor="background1"/>
              </w:rPr>
              <w:t>$’000</w:t>
            </w:r>
          </w:p>
        </w:tc>
        <w:tc>
          <w:tcPr>
            <w:tcW w:w="1191" w:type="dxa"/>
            <w:tcBorders>
              <w:bottom w:val="single" w:sz="4" w:space="0" w:color="auto"/>
            </w:tcBorders>
            <w:shd w:val="clear" w:color="auto" w:fill="472D8C"/>
          </w:tcPr>
          <w:p w14:paraId="71BBBF0A" w14:textId="77777777" w:rsidR="00A60D4B" w:rsidRPr="00111524"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Interim outcome</w:t>
            </w:r>
            <w:r>
              <w:rPr>
                <w:color w:val="FFFFFF" w:themeColor="background1"/>
              </w:rPr>
              <w:br/>
              <w:t>$’000</w:t>
            </w:r>
          </w:p>
        </w:tc>
        <w:tc>
          <w:tcPr>
            <w:tcW w:w="1181" w:type="dxa"/>
            <w:tcBorders>
              <w:bottom w:val="single" w:sz="4" w:space="0" w:color="auto"/>
            </w:tcBorders>
            <w:shd w:val="clear" w:color="auto" w:fill="472D8C"/>
          </w:tcPr>
          <w:p w14:paraId="6CE35D09" w14:textId="77777777" w:rsidR="006F1DF8" w:rsidRDefault="00A60D4B" w:rsidP="00A60D4B">
            <w:pPr>
              <w:pStyle w:val="BTableHeadingRowRightAligned"/>
              <w:rPr>
                <w:color w:val="FFFFFF" w:themeColor="background1"/>
              </w:rPr>
            </w:pPr>
            <w:r>
              <w:rPr>
                <w:color w:val="FFFFFF" w:themeColor="background1"/>
              </w:rPr>
              <w:t xml:space="preserve">2021-22 </w:t>
            </w:r>
            <w:r>
              <w:rPr>
                <w:color w:val="FFFFFF" w:themeColor="background1"/>
              </w:rPr>
              <w:br/>
              <w:t>Budget</w:t>
            </w:r>
            <w:r>
              <w:rPr>
                <w:color w:val="FFFFFF" w:themeColor="background1"/>
              </w:rPr>
              <w:br/>
            </w:r>
          </w:p>
          <w:p w14:paraId="4A9CD5F2" w14:textId="76C489B2" w:rsidR="00A60D4B" w:rsidRPr="00111524" w:rsidRDefault="00A60D4B" w:rsidP="00A60D4B">
            <w:pPr>
              <w:pStyle w:val="BTableHeadingRowRightAligned"/>
              <w:rPr>
                <w:color w:val="FFFFFF" w:themeColor="background1"/>
              </w:rPr>
            </w:pPr>
            <w:r>
              <w:rPr>
                <w:color w:val="FFFFFF" w:themeColor="background1"/>
              </w:rPr>
              <w:t>$’000</w:t>
            </w:r>
          </w:p>
        </w:tc>
        <w:tc>
          <w:tcPr>
            <w:tcW w:w="1181" w:type="dxa"/>
            <w:tcBorders>
              <w:bottom w:val="single" w:sz="4" w:space="0" w:color="auto"/>
            </w:tcBorders>
            <w:shd w:val="clear" w:color="auto" w:fill="472D8C"/>
          </w:tcPr>
          <w:p w14:paraId="427D7074" w14:textId="77777777" w:rsidR="006F1DF8" w:rsidRDefault="00A60D4B" w:rsidP="00A60D4B">
            <w:pPr>
              <w:pStyle w:val="BTableHeadingRowRightAligned"/>
              <w:rPr>
                <w:color w:val="FFFFFF" w:themeColor="background1"/>
              </w:rPr>
            </w:pPr>
            <w:r>
              <w:rPr>
                <w:color w:val="FFFFFF" w:themeColor="background1"/>
              </w:rPr>
              <w:t>2022-23</w:t>
            </w:r>
            <w:r>
              <w:rPr>
                <w:color w:val="FFFFFF" w:themeColor="background1"/>
              </w:rPr>
              <w:br/>
              <w:t>Estimate</w:t>
            </w:r>
            <w:r>
              <w:rPr>
                <w:color w:val="FFFFFF" w:themeColor="background1"/>
              </w:rPr>
              <w:br/>
            </w:r>
          </w:p>
          <w:p w14:paraId="7DC893BB" w14:textId="42F81654" w:rsidR="00A60D4B" w:rsidRPr="00111524" w:rsidRDefault="00A60D4B" w:rsidP="00A60D4B">
            <w:pPr>
              <w:pStyle w:val="BTableHeadingRowRightAligned"/>
              <w:rPr>
                <w:color w:val="FFFFFF" w:themeColor="background1"/>
              </w:rPr>
            </w:pPr>
            <w:r>
              <w:rPr>
                <w:color w:val="FFFFFF" w:themeColor="background1"/>
              </w:rPr>
              <w:t>$’000</w:t>
            </w:r>
          </w:p>
        </w:tc>
        <w:tc>
          <w:tcPr>
            <w:tcW w:w="1181" w:type="dxa"/>
            <w:tcBorders>
              <w:bottom w:val="single" w:sz="4" w:space="0" w:color="auto"/>
            </w:tcBorders>
            <w:shd w:val="clear" w:color="auto" w:fill="472D8C"/>
          </w:tcPr>
          <w:p w14:paraId="5161F643" w14:textId="77777777" w:rsidR="006F1DF8" w:rsidRDefault="00A60D4B" w:rsidP="00A60D4B">
            <w:pPr>
              <w:pStyle w:val="BTableHeadingRowRightAligned"/>
              <w:rPr>
                <w:color w:val="FFFFFF" w:themeColor="background1"/>
              </w:rPr>
            </w:pPr>
            <w:r>
              <w:rPr>
                <w:color w:val="FFFFFF" w:themeColor="background1"/>
              </w:rPr>
              <w:t>2023-24</w:t>
            </w:r>
            <w:r>
              <w:rPr>
                <w:color w:val="FFFFFF" w:themeColor="background1"/>
              </w:rPr>
              <w:br/>
              <w:t>Estimate</w:t>
            </w:r>
            <w:r>
              <w:rPr>
                <w:color w:val="FFFFFF" w:themeColor="background1"/>
              </w:rPr>
              <w:br/>
            </w:r>
          </w:p>
          <w:p w14:paraId="12D85F94" w14:textId="614FE71C" w:rsidR="00A60D4B" w:rsidRPr="00111524" w:rsidRDefault="00A60D4B" w:rsidP="00A60D4B">
            <w:pPr>
              <w:pStyle w:val="BTableHeadingRowRightAligned"/>
              <w:rPr>
                <w:color w:val="FFFFFF" w:themeColor="background1"/>
              </w:rPr>
            </w:pPr>
            <w:r>
              <w:rPr>
                <w:color w:val="FFFFFF" w:themeColor="background1"/>
              </w:rPr>
              <w:t>$’000</w:t>
            </w:r>
          </w:p>
        </w:tc>
        <w:tc>
          <w:tcPr>
            <w:tcW w:w="1182" w:type="dxa"/>
            <w:tcBorders>
              <w:bottom w:val="single" w:sz="4" w:space="0" w:color="auto"/>
            </w:tcBorders>
            <w:shd w:val="clear" w:color="auto" w:fill="472D8C"/>
          </w:tcPr>
          <w:p w14:paraId="1A999253" w14:textId="77777777" w:rsidR="006F1DF8" w:rsidRDefault="00A60D4B" w:rsidP="00A60D4B">
            <w:pPr>
              <w:pStyle w:val="BTableHeadingRowRightAligned"/>
              <w:rPr>
                <w:color w:val="FFFFFF" w:themeColor="background1"/>
              </w:rPr>
            </w:pPr>
            <w:r>
              <w:rPr>
                <w:color w:val="FFFFFF" w:themeColor="background1"/>
              </w:rPr>
              <w:t>2024-25</w:t>
            </w:r>
            <w:r>
              <w:rPr>
                <w:color w:val="FFFFFF" w:themeColor="background1"/>
              </w:rPr>
              <w:br/>
              <w:t>Estimate</w:t>
            </w:r>
            <w:r>
              <w:rPr>
                <w:color w:val="FFFFFF" w:themeColor="background1"/>
              </w:rPr>
              <w:br/>
            </w:r>
          </w:p>
          <w:p w14:paraId="11D760F3" w14:textId="3631410E" w:rsidR="00A60D4B" w:rsidRPr="00111524" w:rsidRDefault="00A60D4B" w:rsidP="00A60D4B">
            <w:pPr>
              <w:pStyle w:val="BTableHeadingRowRightAligned"/>
              <w:rPr>
                <w:color w:val="FFFFFF" w:themeColor="background1"/>
              </w:rPr>
            </w:pPr>
            <w:r>
              <w:rPr>
                <w:color w:val="FFFFFF" w:themeColor="background1"/>
              </w:rPr>
              <w:t>$’000</w:t>
            </w:r>
          </w:p>
        </w:tc>
      </w:tr>
      <w:tr w:rsidR="00A60D4B" w:rsidRPr="00337DC9" w14:paraId="4C5F9D2E" w14:textId="77777777" w:rsidTr="00A60D4B">
        <w:trPr>
          <w:trHeight w:val="20"/>
        </w:trPr>
        <w:tc>
          <w:tcPr>
            <w:tcW w:w="2127" w:type="dxa"/>
            <w:tcBorders>
              <w:top w:val="nil"/>
              <w:bottom w:val="nil"/>
            </w:tcBorders>
          </w:tcPr>
          <w:p w14:paraId="691BD45D" w14:textId="77777777" w:rsidR="00A60D4B" w:rsidRPr="008467DD" w:rsidRDefault="00A60D4B" w:rsidP="00A60D4B">
            <w:pPr>
              <w:pStyle w:val="Btabletextbold"/>
              <w:rPr>
                <w:b w:val="0"/>
                <w:bCs/>
              </w:rPr>
            </w:pPr>
            <w:r w:rsidRPr="008467DD">
              <w:rPr>
                <w:b w:val="0"/>
                <w:bCs/>
              </w:rPr>
              <w:t>Own-source taxation</w:t>
            </w:r>
          </w:p>
        </w:tc>
        <w:tc>
          <w:tcPr>
            <w:tcW w:w="1134" w:type="dxa"/>
            <w:tcBorders>
              <w:bottom w:val="nil"/>
            </w:tcBorders>
          </w:tcPr>
          <w:p w14:paraId="6BAED7E3" w14:textId="77777777" w:rsidR="00A60D4B" w:rsidRPr="000A5D48" w:rsidRDefault="00A60D4B" w:rsidP="00A60D4B">
            <w:pPr>
              <w:pStyle w:val="Btablefigureunbold"/>
              <w:rPr>
                <w:bCs/>
              </w:rPr>
            </w:pPr>
            <w:r>
              <w:rPr>
                <w:rFonts w:cs="Calibri"/>
                <w:sz w:val="18"/>
                <w:szCs w:val="18"/>
              </w:rPr>
              <w:t>1,987,230</w:t>
            </w:r>
          </w:p>
        </w:tc>
        <w:tc>
          <w:tcPr>
            <w:tcW w:w="1191" w:type="dxa"/>
            <w:tcBorders>
              <w:bottom w:val="nil"/>
            </w:tcBorders>
          </w:tcPr>
          <w:p w14:paraId="2D9D1315" w14:textId="77777777" w:rsidR="00A60D4B" w:rsidRPr="000A5D48" w:rsidRDefault="00A60D4B" w:rsidP="00A60D4B">
            <w:pPr>
              <w:pStyle w:val="Btablefigureunbold"/>
              <w:rPr>
                <w:bCs/>
              </w:rPr>
            </w:pPr>
            <w:r>
              <w:rPr>
                <w:rFonts w:cs="Calibri"/>
                <w:sz w:val="18"/>
                <w:szCs w:val="18"/>
              </w:rPr>
              <w:t>2,043,428</w:t>
            </w:r>
          </w:p>
        </w:tc>
        <w:tc>
          <w:tcPr>
            <w:tcW w:w="1181" w:type="dxa"/>
            <w:tcBorders>
              <w:bottom w:val="nil"/>
            </w:tcBorders>
            <w:shd w:val="clear" w:color="auto" w:fill="auto"/>
          </w:tcPr>
          <w:p w14:paraId="7DF1CA97" w14:textId="77777777" w:rsidR="00A60D4B" w:rsidRPr="000A5D48" w:rsidRDefault="00A60D4B" w:rsidP="00A60D4B">
            <w:pPr>
              <w:pStyle w:val="Btablefigureunbold"/>
              <w:rPr>
                <w:bCs/>
              </w:rPr>
            </w:pPr>
            <w:r>
              <w:rPr>
                <w:rFonts w:cs="Calibri"/>
                <w:sz w:val="18"/>
                <w:szCs w:val="18"/>
              </w:rPr>
              <w:t>2,216,163</w:t>
            </w:r>
          </w:p>
        </w:tc>
        <w:tc>
          <w:tcPr>
            <w:tcW w:w="1181" w:type="dxa"/>
            <w:tcBorders>
              <w:bottom w:val="nil"/>
            </w:tcBorders>
            <w:shd w:val="clear" w:color="472D8C" w:fill="auto"/>
          </w:tcPr>
          <w:p w14:paraId="3FF60B60" w14:textId="77777777" w:rsidR="00A60D4B" w:rsidRPr="000A5D48" w:rsidRDefault="00A60D4B" w:rsidP="00A60D4B">
            <w:pPr>
              <w:pStyle w:val="Btablefigureunbold"/>
              <w:rPr>
                <w:bCs/>
                <w:color w:val="000000"/>
              </w:rPr>
            </w:pPr>
            <w:r>
              <w:rPr>
                <w:rFonts w:cs="Calibri"/>
                <w:sz w:val="18"/>
                <w:szCs w:val="18"/>
              </w:rPr>
              <w:t>2,344,155</w:t>
            </w:r>
          </w:p>
        </w:tc>
        <w:tc>
          <w:tcPr>
            <w:tcW w:w="1181" w:type="dxa"/>
            <w:tcBorders>
              <w:bottom w:val="nil"/>
            </w:tcBorders>
            <w:shd w:val="clear" w:color="auto" w:fill="auto"/>
          </w:tcPr>
          <w:p w14:paraId="5D1F39EA" w14:textId="77777777" w:rsidR="00A60D4B" w:rsidRPr="000A5D48" w:rsidRDefault="00A60D4B" w:rsidP="00A60D4B">
            <w:pPr>
              <w:pStyle w:val="Btablefigureunbold"/>
              <w:rPr>
                <w:bCs/>
              </w:rPr>
            </w:pPr>
            <w:r>
              <w:rPr>
                <w:rFonts w:cs="Calibri"/>
                <w:sz w:val="18"/>
                <w:szCs w:val="18"/>
              </w:rPr>
              <w:t>2,399,836</w:t>
            </w:r>
          </w:p>
        </w:tc>
        <w:tc>
          <w:tcPr>
            <w:tcW w:w="1182" w:type="dxa"/>
            <w:tcBorders>
              <w:bottom w:val="nil"/>
            </w:tcBorders>
          </w:tcPr>
          <w:p w14:paraId="11FDB042" w14:textId="77777777" w:rsidR="00A60D4B" w:rsidRPr="000A5D48" w:rsidRDefault="00A60D4B" w:rsidP="00A60D4B">
            <w:pPr>
              <w:pStyle w:val="Btablefigureunbold"/>
              <w:rPr>
                <w:bCs/>
              </w:rPr>
            </w:pPr>
            <w:r>
              <w:rPr>
                <w:rFonts w:cs="Calibri"/>
                <w:sz w:val="18"/>
                <w:szCs w:val="18"/>
              </w:rPr>
              <w:t>2,519,774</w:t>
            </w:r>
          </w:p>
        </w:tc>
      </w:tr>
      <w:tr w:rsidR="00A60D4B" w:rsidRPr="00337DC9" w14:paraId="4CF925E6" w14:textId="77777777" w:rsidTr="00A60D4B">
        <w:trPr>
          <w:trHeight w:val="20"/>
        </w:trPr>
        <w:tc>
          <w:tcPr>
            <w:tcW w:w="2127" w:type="dxa"/>
            <w:tcBorders>
              <w:top w:val="nil"/>
              <w:bottom w:val="nil"/>
            </w:tcBorders>
          </w:tcPr>
          <w:p w14:paraId="0B1DD950" w14:textId="77777777" w:rsidR="00A60D4B" w:rsidRPr="008467DD" w:rsidRDefault="00A60D4B" w:rsidP="00A60D4B">
            <w:pPr>
              <w:pStyle w:val="Btabletextunbold"/>
              <w:rPr>
                <w:bCs/>
              </w:rPr>
            </w:pPr>
            <w:r w:rsidRPr="008467DD">
              <w:rPr>
                <w:bCs/>
              </w:rPr>
              <w:t>Goods and Services Tax</w:t>
            </w:r>
          </w:p>
        </w:tc>
        <w:tc>
          <w:tcPr>
            <w:tcW w:w="1134" w:type="dxa"/>
            <w:tcBorders>
              <w:top w:val="nil"/>
              <w:bottom w:val="nil"/>
            </w:tcBorders>
          </w:tcPr>
          <w:p w14:paraId="13267F3F" w14:textId="77777777" w:rsidR="00A60D4B" w:rsidRPr="008467DD" w:rsidRDefault="00A60D4B" w:rsidP="00A60D4B">
            <w:pPr>
              <w:pStyle w:val="Btablefigureunbold"/>
              <w:rPr>
                <w:bCs/>
              </w:rPr>
            </w:pPr>
            <w:r>
              <w:rPr>
                <w:rFonts w:cs="Calibri"/>
                <w:sz w:val="18"/>
                <w:szCs w:val="18"/>
              </w:rPr>
              <w:t>1,221,537</w:t>
            </w:r>
          </w:p>
        </w:tc>
        <w:tc>
          <w:tcPr>
            <w:tcW w:w="1191" w:type="dxa"/>
            <w:tcBorders>
              <w:top w:val="nil"/>
              <w:bottom w:val="nil"/>
            </w:tcBorders>
          </w:tcPr>
          <w:p w14:paraId="46EC5BAB" w14:textId="77777777" w:rsidR="00A60D4B" w:rsidRPr="008467DD" w:rsidRDefault="00A60D4B" w:rsidP="00A60D4B">
            <w:pPr>
              <w:pStyle w:val="Btablefigureunbold"/>
              <w:rPr>
                <w:bCs/>
              </w:rPr>
            </w:pPr>
            <w:r>
              <w:rPr>
                <w:rFonts w:cs="Calibri"/>
                <w:sz w:val="18"/>
                <w:szCs w:val="18"/>
              </w:rPr>
              <w:t>1,349,090</w:t>
            </w:r>
          </w:p>
        </w:tc>
        <w:tc>
          <w:tcPr>
            <w:tcW w:w="1181" w:type="dxa"/>
            <w:tcBorders>
              <w:top w:val="nil"/>
              <w:bottom w:val="nil"/>
            </w:tcBorders>
            <w:shd w:val="clear" w:color="auto" w:fill="auto"/>
          </w:tcPr>
          <w:p w14:paraId="74858968" w14:textId="77777777" w:rsidR="00A60D4B" w:rsidRPr="00C073DB" w:rsidRDefault="00A60D4B" w:rsidP="00A60D4B">
            <w:pPr>
              <w:pStyle w:val="BTablefigureBold"/>
              <w:rPr>
                <w:b w:val="0"/>
                <w:bCs/>
              </w:rPr>
            </w:pPr>
            <w:r w:rsidRPr="00C073DB">
              <w:rPr>
                <w:rFonts w:cs="Calibri"/>
                <w:b w:val="0"/>
                <w:bCs/>
                <w:sz w:val="18"/>
                <w:szCs w:val="18"/>
              </w:rPr>
              <w:t>1,367,761</w:t>
            </w:r>
          </w:p>
        </w:tc>
        <w:tc>
          <w:tcPr>
            <w:tcW w:w="1181" w:type="dxa"/>
            <w:tcBorders>
              <w:top w:val="nil"/>
              <w:bottom w:val="nil"/>
            </w:tcBorders>
            <w:shd w:val="clear" w:color="472D8C" w:fill="auto"/>
          </w:tcPr>
          <w:p w14:paraId="41F55643" w14:textId="77777777" w:rsidR="00A60D4B" w:rsidRPr="00C073DB" w:rsidRDefault="00A60D4B" w:rsidP="00A60D4B">
            <w:pPr>
              <w:pStyle w:val="Btablefigureunbold"/>
              <w:rPr>
                <w:bCs/>
                <w:color w:val="000000"/>
              </w:rPr>
            </w:pPr>
            <w:r w:rsidRPr="00C073DB">
              <w:rPr>
                <w:rFonts w:cs="Calibri"/>
                <w:bCs/>
                <w:sz w:val="18"/>
                <w:szCs w:val="18"/>
              </w:rPr>
              <w:t>1,400,096</w:t>
            </w:r>
          </w:p>
        </w:tc>
        <w:tc>
          <w:tcPr>
            <w:tcW w:w="1181" w:type="dxa"/>
            <w:tcBorders>
              <w:top w:val="nil"/>
              <w:bottom w:val="nil"/>
            </w:tcBorders>
            <w:shd w:val="clear" w:color="auto" w:fill="auto"/>
          </w:tcPr>
          <w:p w14:paraId="7BFB2F5D" w14:textId="77777777" w:rsidR="00A60D4B" w:rsidRPr="008467DD" w:rsidRDefault="00A60D4B" w:rsidP="00A60D4B">
            <w:pPr>
              <w:pStyle w:val="Btablefigureunbold"/>
              <w:rPr>
                <w:bCs/>
              </w:rPr>
            </w:pPr>
            <w:r>
              <w:rPr>
                <w:rFonts w:cs="Calibri"/>
                <w:sz w:val="18"/>
                <w:szCs w:val="18"/>
              </w:rPr>
              <w:t>1,457,706</w:t>
            </w:r>
          </w:p>
        </w:tc>
        <w:tc>
          <w:tcPr>
            <w:tcW w:w="1182" w:type="dxa"/>
            <w:tcBorders>
              <w:top w:val="nil"/>
              <w:bottom w:val="nil"/>
            </w:tcBorders>
          </w:tcPr>
          <w:p w14:paraId="6E54F99E" w14:textId="77777777" w:rsidR="00A60D4B" w:rsidRPr="008467DD" w:rsidRDefault="00A60D4B" w:rsidP="00A60D4B">
            <w:pPr>
              <w:pStyle w:val="Btablefigureunbold"/>
              <w:rPr>
                <w:bCs/>
              </w:rPr>
            </w:pPr>
            <w:r>
              <w:rPr>
                <w:rFonts w:cs="Calibri"/>
                <w:sz w:val="18"/>
                <w:szCs w:val="18"/>
              </w:rPr>
              <w:t>1,528,909</w:t>
            </w:r>
          </w:p>
        </w:tc>
      </w:tr>
      <w:tr w:rsidR="00A60D4B" w:rsidRPr="00337DC9" w14:paraId="3B1D7AAC" w14:textId="77777777" w:rsidTr="00A60D4B">
        <w:trPr>
          <w:trHeight w:val="20"/>
        </w:trPr>
        <w:tc>
          <w:tcPr>
            <w:tcW w:w="2127" w:type="dxa"/>
            <w:tcBorders>
              <w:top w:val="nil"/>
              <w:bottom w:val="nil"/>
            </w:tcBorders>
          </w:tcPr>
          <w:p w14:paraId="0D2FBA01" w14:textId="77777777" w:rsidR="00A60D4B" w:rsidRPr="008467DD" w:rsidRDefault="00A60D4B" w:rsidP="00A60D4B">
            <w:pPr>
              <w:pStyle w:val="Btabletextunbold"/>
              <w:rPr>
                <w:bCs/>
              </w:rPr>
            </w:pPr>
            <w:r w:rsidRPr="008467DD">
              <w:rPr>
                <w:bCs/>
              </w:rPr>
              <w:t>Commonwealth Grants</w:t>
            </w:r>
          </w:p>
        </w:tc>
        <w:tc>
          <w:tcPr>
            <w:tcW w:w="1134" w:type="dxa"/>
            <w:tcBorders>
              <w:top w:val="nil"/>
              <w:bottom w:val="nil"/>
            </w:tcBorders>
          </w:tcPr>
          <w:p w14:paraId="7AFF7CD8" w14:textId="77777777" w:rsidR="00A60D4B" w:rsidRPr="008467DD" w:rsidRDefault="00A60D4B" w:rsidP="00A60D4B">
            <w:pPr>
              <w:pStyle w:val="Btablefigureunbold"/>
              <w:rPr>
                <w:bCs/>
              </w:rPr>
            </w:pPr>
            <w:r>
              <w:rPr>
                <w:rFonts w:cs="Calibri"/>
                <w:sz w:val="18"/>
                <w:szCs w:val="18"/>
              </w:rPr>
              <w:t>1,158,195</w:t>
            </w:r>
          </w:p>
        </w:tc>
        <w:tc>
          <w:tcPr>
            <w:tcW w:w="1191" w:type="dxa"/>
            <w:tcBorders>
              <w:top w:val="nil"/>
              <w:bottom w:val="nil"/>
            </w:tcBorders>
          </w:tcPr>
          <w:p w14:paraId="36656B6C" w14:textId="77777777" w:rsidR="00A60D4B" w:rsidRPr="008467DD" w:rsidRDefault="00A60D4B" w:rsidP="00A60D4B">
            <w:pPr>
              <w:pStyle w:val="Btablefigureunbold"/>
              <w:rPr>
                <w:bCs/>
              </w:rPr>
            </w:pPr>
            <w:r>
              <w:rPr>
                <w:rFonts w:cs="Calibri"/>
                <w:sz w:val="18"/>
                <w:szCs w:val="18"/>
              </w:rPr>
              <w:t>1,157,745</w:t>
            </w:r>
          </w:p>
        </w:tc>
        <w:tc>
          <w:tcPr>
            <w:tcW w:w="1181" w:type="dxa"/>
            <w:tcBorders>
              <w:top w:val="nil"/>
              <w:bottom w:val="nil"/>
            </w:tcBorders>
            <w:shd w:val="clear" w:color="auto" w:fill="auto"/>
          </w:tcPr>
          <w:p w14:paraId="6BD6D8EF" w14:textId="77777777" w:rsidR="00A60D4B" w:rsidRPr="00C073DB" w:rsidRDefault="00A60D4B" w:rsidP="00A60D4B">
            <w:pPr>
              <w:pStyle w:val="BTablefigureBold"/>
              <w:rPr>
                <w:b w:val="0"/>
                <w:bCs/>
              </w:rPr>
            </w:pPr>
            <w:r w:rsidRPr="00C073DB">
              <w:rPr>
                <w:rFonts w:cs="Calibri"/>
                <w:b w:val="0"/>
                <w:bCs/>
                <w:sz w:val="18"/>
                <w:szCs w:val="18"/>
              </w:rPr>
              <w:t>1,399,790</w:t>
            </w:r>
          </w:p>
        </w:tc>
        <w:tc>
          <w:tcPr>
            <w:tcW w:w="1181" w:type="dxa"/>
            <w:tcBorders>
              <w:top w:val="nil"/>
              <w:bottom w:val="nil"/>
            </w:tcBorders>
            <w:shd w:val="clear" w:color="472D8C" w:fill="auto"/>
          </w:tcPr>
          <w:p w14:paraId="2C4D4CB3" w14:textId="77777777" w:rsidR="00A60D4B" w:rsidRPr="00C073DB" w:rsidRDefault="00A60D4B" w:rsidP="00A60D4B">
            <w:pPr>
              <w:pStyle w:val="Btablefigureunbold"/>
              <w:rPr>
                <w:bCs/>
                <w:color w:val="000000"/>
              </w:rPr>
            </w:pPr>
            <w:r w:rsidRPr="00C073DB">
              <w:rPr>
                <w:rFonts w:cs="Calibri"/>
                <w:bCs/>
                <w:sz w:val="18"/>
                <w:szCs w:val="18"/>
              </w:rPr>
              <w:t>1,336,957</w:t>
            </w:r>
          </w:p>
        </w:tc>
        <w:tc>
          <w:tcPr>
            <w:tcW w:w="1181" w:type="dxa"/>
            <w:tcBorders>
              <w:top w:val="nil"/>
              <w:bottom w:val="nil"/>
            </w:tcBorders>
            <w:shd w:val="clear" w:color="auto" w:fill="auto"/>
          </w:tcPr>
          <w:p w14:paraId="2C843CE1" w14:textId="77777777" w:rsidR="00A60D4B" w:rsidRPr="008467DD" w:rsidRDefault="00A60D4B" w:rsidP="00A60D4B">
            <w:pPr>
              <w:pStyle w:val="Btablefigureunbold"/>
              <w:rPr>
                <w:bCs/>
              </w:rPr>
            </w:pPr>
            <w:r>
              <w:rPr>
                <w:rFonts w:cs="Calibri"/>
                <w:sz w:val="18"/>
                <w:szCs w:val="18"/>
              </w:rPr>
              <w:t>1,407,808</w:t>
            </w:r>
          </w:p>
        </w:tc>
        <w:tc>
          <w:tcPr>
            <w:tcW w:w="1182" w:type="dxa"/>
            <w:tcBorders>
              <w:top w:val="nil"/>
              <w:bottom w:val="nil"/>
            </w:tcBorders>
          </w:tcPr>
          <w:p w14:paraId="68205303" w14:textId="77777777" w:rsidR="00A60D4B" w:rsidRPr="008467DD" w:rsidRDefault="00A60D4B" w:rsidP="00A60D4B">
            <w:pPr>
              <w:pStyle w:val="Btablefigureunbold"/>
              <w:rPr>
                <w:bCs/>
              </w:rPr>
            </w:pPr>
            <w:r>
              <w:rPr>
                <w:rFonts w:cs="Calibri"/>
                <w:sz w:val="18"/>
                <w:szCs w:val="18"/>
              </w:rPr>
              <w:t>1,330,932</w:t>
            </w:r>
          </w:p>
        </w:tc>
      </w:tr>
      <w:tr w:rsidR="00A60D4B" w:rsidRPr="00337DC9" w14:paraId="6E2E89D0" w14:textId="77777777" w:rsidTr="00A60D4B">
        <w:trPr>
          <w:trHeight w:val="20"/>
        </w:trPr>
        <w:tc>
          <w:tcPr>
            <w:tcW w:w="2127" w:type="dxa"/>
            <w:tcBorders>
              <w:top w:val="nil"/>
              <w:bottom w:val="nil"/>
            </w:tcBorders>
          </w:tcPr>
          <w:p w14:paraId="74F7F77E" w14:textId="77777777" w:rsidR="00A60D4B" w:rsidRPr="008467DD" w:rsidRDefault="00A60D4B" w:rsidP="00A60D4B">
            <w:pPr>
              <w:pStyle w:val="Btabletextunbold"/>
              <w:rPr>
                <w:bCs/>
              </w:rPr>
            </w:pPr>
            <w:r w:rsidRPr="008467DD">
              <w:rPr>
                <w:bCs/>
              </w:rPr>
              <w:t xml:space="preserve">Sales of goods and services </w:t>
            </w:r>
          </w:p>
        </w:tc>
        <w:tc>
          <w:tcPr>
            <w:tcW w:w="1134" w:type="dxa"/>
            <w:tcBorders>
              <w:top w:val="nil"/>
              <w:bottom w:val="nil"/>
            </w:tcBorders>
          </w:tcPr>
          <w:p w14:paraId="67DE82E6" w14:textId="77777777" w:rsidR="00A60D4B" w:rsidRPr="008467DD" w:rsidRDefault="00A60D4B" w:rsidP="00A60D4B">
            <w:pPr>
              <w:pStyle w:val="Btablefigureunbold"/>
              <w:rPr>
                <w:bCs/>
              </w:rPr>
            </w:pPr>
            <w:r>
              <w:rPr>
                <w:rFonts w:cs="Calibri"/>
                <w:sz w:val="18"/>
                <w:szCs w:val="18"/>
              </w:rPr>
              <w:t>561,693</w:t>
            </w:r>
          </w:p>
        </w:tc>
        <w:tc>
          <w:tcPr>
            <w:tcW w:w="1191" w:type="dxa"/>
            <w:tcBorders>
              <w:top w:val="nil"/>
              <w:bottom w:val="nil"/>
            </w:tcBorders>
          </w:tcPr>
          <w:p w14:paraId="5E50A192" w14:textId="77777777" w:rsidR="00A60D4B" w:rsidRPr="008467DD" w:rsidRDefault="00A60D4B" w:rsidP="00A60D4B">
            <w:pPr>
              <w:pStyle w:val="Btablefigureunbold"/>
              <w:rPr>
                <w:bCs/>
              </w:rPr>
            </w:pPr>
            <w:r>
              <w:rPr>
                <w:rFonts w:cs="Calibri"/>
                <w:sz w:val="18"/>
                <w:szCs w:val="18"/>
              </w:rPr>
              <w:t>579,899</w:t>
            </w:r>
          </w:p>
        </w:tc>
        <w:tc>
          <w:tcPr>
            <w:tcW w:w="1181" w:type="dxa"/>
            <w:tcBorders>
              <w:top w:val="nil"/>
              <w:bottom w:val="nil"/>
            </w:tcBorders>
            <w:shd w:val="clear" w:color="auto" w:fill="auto"/>
          </w:tcPr>
          <w:p w14:paraId="56534D15" w14:textId="77777777" w:rsidR="00A60D4B" w:rsidRPr="00C073DB" w:rsidRDefault="00A60D4B" w:rsidP="00A60D4B">
            <w:pPr>
              <w:pStyle w:val="BTablefigureBold"/>
              <w:rPr>
                <w:b w:val="0"/>
                <w:bCs/>
              </w:rPr>
            </w:pPr>
            <w:r w:rsidRPr="00C073DB">
              <w:rPr>
                <w:rFonts w:cs="Calibri"/>
                <w:b w:val="0"/>
                <w:bCs/>
                <w:sz w:val="18"/>
                <w:szCs w:val="18"/>
              </w:rPr>
              <w:t>602,40</w:t>
            </w:r>
            <w:r>
              <w:rPr>
                <w:rFonts w:cs="Calibri"/>
                <w:b w:val="0"/>
                <w:bCs/>
                <w:sz w:val="18"/>
                <w:szCs w:val="18"/>
              </w:rPr>
              <w:t>1</w:t>
            </w:r>
          </w:p>
        </w:tc>
        <w:tc>
          <w:tcPr>
            <w:tcW w:w="1181" w:type="dxa"/>
            <w:tcBorders>
              <w:top w:val="nil"/>
              <w:bottom w:val="nil"/>
            </w:tcBorders>
            <w:shd w:val="clear" w:color="472D8C" w:fill="auto"/>
          </w:tcPr>
          <w:p w14:paraId="54C0FFCF" w14:textId="77777777" w:rsidR="00A60D4B" w:rsidRPr="00C073DB" w:rsidRDefault="00A60D4B" w:rsidP="00A60D4B">
            <w:pPr>
              <w:pStyle w:val="Btablefigureunbold"/>
              <w:rPr>
                <w:bCs/>
                <w:color w:val="000000"/>
              </w:rPr>
            </w:pPr>
            <w:r w:rsidRPr="00C073DB">
              <w:rPr>
                <w:rFonts w:cs="Calibri"/>
                <w:bCs/>
                <w:sz w:val="18"/>
                <w:szCs w:val="18"/>
              </w:rPr>
              <w:t>627,844</w:t>
            </w:r>
          </w:p>
        </w:tc>
        <w:tc>
          <w:tcPr>
            <w:tcW w:w="1181" w:type="dxa"/>
            <w:tcBorders>
              <w:top w:val="nil"/>
              <w:bottom w:val="nil"/>
            </w:tcBorders>
            <w:shd w:val="clear" w:color="auto" w:fill="auto"/>
          </w:tcPr>
          <w:p w14:paraId="0B229898" w14:textId="77777777" w:rsidR="00A60D4B" w:rsidRPr="008467DD" w:rsidRDefault="00A60D4B" w:rsidP="00A60D4B">
            <w:pPr>
              <w:pStyle w:val="Btablefigureunbold"/>
              <w:rPr>
                <w:bCs/>
              </w:rPr>
            </w:pPr>
            <w:r>
              <w:rPr>
                <w:rFonts w:cs="Calibri"/>
                <w:sz w:val="18"/>
                <w:szCs w:val="18"/>
              </w:rPr>
              <w:t>643,678</w:t>
            </w:r>
          </w:p>
        </w:tc>
        <w:tc>
          <w:tcPr>
            <w:tcW w:w="1182" w:type="dxa"/>
            <w:tcBorders>
              <w:top w:val="nil"/>
              <w:bottom w:val="nil"/>
            </w:tcBorders>
          </w:tcPr>
          <w:p w14:paraId="4944C461" w14:textId="77777777" w:rsidR="00A60D4B" w:rsidRPr="008467DD" w:rsidRDefault="00A60D4B" w:rsidP="00A60D4B">
            <w:pPr>
              <w:pStyle w:val="Btablefigureunbold"/>
              <w:rPr>
                <w:bCs/>
              </w:rPr>
            </w:pPr>
            <w:r>
              <w:rPr>
                <w:rFonts w:cs="Calibri"/>
                <w:sz w:val="18"/>
                <w:szCs w:val="18"/>
              </w:rPr>
              <w:t>653,614</w:t>
            </w:r>
          </w:p>
        </w:tc>
      </w:tr>
      <w:tr w:rsidR="00A60D4B" w:rsidRPr="00337DC9" w14:paraId="7A2B59B8" w14:textId="77777777" w:rsidTr="00A60D4B">
        <w:trPr>
          <w:trHeight w:val="20"/>
        </w:trPr>
        <w:tc>
          <w:tcPr>
            <w:tcW w:w="2127" w:type="dxa"/>
            <w:tcBorders>
              <w:top w:val="nil"/>
              <w:bottom w:val="nil"/>
            </w:tcBorders>
          </w:tcPr>
          <w:p w14:paraId="0A69E2D5" w14:textId="77777777" w:rsidR="00A60D4B" w:rsidRPr="008467DD" w:rsidRDefault="00A60D4B" w:rsidP="00A60D4B">
            <w:pPr>
              <w:pStyle w:val="Btabletextunbold"/>
              <w:rPr>
                <w:bCs/>
              </w:rPr>
            </w:pPr>
            <w:r w:rsidRPr="008467DD">
              <w:rPr>
                <w:bCs/>
              </w:rPr>
              <w:t>Investment revenue</w:t>
            </w:r>
          </w:p>
        </w:tc>
        <w:tc>
          <w:tcPr>
            <w:tcW w:w="1134" w:type="dxa"/>
            <w:tcBorders>
              <w:top w:val="nil"/>
              <w:bottom w:val="nil"/>
            </w:tcBorders>
          </w:tcPr>
          <w:p w14:paraId="1B2FB902" w14:textId="77777777" w:rsidR="00A60D4B" w:rsidRPr="008467DD" w:rsidRDefault="00A60D4B" w:rsidP="00A60D4B">
            <w:pPr>
              <w:pStyle w:val="Btablefigureunbold"/>
              <w:rPr>
                <w:bCs/>
              </w:rPr>
            </w:pPr>
            <w:r>
              <w:rPr>
                <w:rFonts w:cs="Calibri"/>
                <w:sz w:val="18"/>
                <w:szCs w:val="18"/>
              </w:rPr>
              <w:t>218,819</w:t>
            </w:r>
          </w:p>
        </w:tc>
        <w:tc>
          <w:tcPr>
            <w:tcW w:w="1191" w:type="dxa"/>
            <w:tcBorders>
              <w:top w:val="nil"/>
              <w:bottom w:val="nil"/>
            </w:tcBorders>
          </w:tcPr>
          <w:p w14:paraId="10D93AFA" w14:textId="77777777" w:rsidR="00A60D4B" w:rsidRPr="008467DD" w:rsidRDefault="00A60D4B" w:rsidP="00A60D4B">
            <w:pPr>
              <w:pStyle w:val="Btablefigureunbold"/>
              <w:rPr>
                <w:bCs/>
              </w:rPr>
            </w:pPr>
            <w:r>
              <w:rPr>
                <w:rFonts w:cs="Calibri"/>
                <w:sz w:val="18"/>
                <w:szCs w:val="18"/>
              </w:rPr>
              <w:t>262,161</w:t>
            </w:r>
          </w:p>
        </w:tc>
        <w:tc>
          <w:tcPr>
            <w:tcW w:w="1181" w:type="dxa"/>
            <w:tcBorders>
              <w:top w:val="nil"/>
              <w:bottom w:val="nil"/>
            </w:tcBorders>
            <w:shd w:val="clear" w:color="auto" w:fill="auto"/>
          </w:tcPr>
          <w:p w14:paraId="78B8339A" w14:textId="77777777" w:rsidR="00A60D4B" w:rsidRPr="00C073DB" w:rsidRDefault="00A60D4B" w:rsidP="00A60D4B">
            <w:pPr>
              <w:pStyle w:val="BTablefigureBold"/>
              <w:rPr>
                <w:b w:val="0"/>
                <w:bCs/>
              </w:rPr>
            </w:pPr>
            <w:r w:rsidRPr="00C073DB">
              <w:rPr>
                <w:rFonts w:cs="Calibri"/>
                <w:b w:val="0"/>
                <w:bCs/>
                <w:sz w:val="18"/>
                <w:szCs w:val="18"/>
              </w:rPr>
              <w:t>245,643</w:t>
            </w:r>
          </w:p>
        </w:tc>
        <w:tc>
          <w:tcPr>
            <w:tcW w:w="1181" w:type="dxa"/>
            <w:tcBorders>
              <w:top w:val="nil"/>
              <w:bottom w:val="nil"/>
            </w:tcBorders>
            <w:shd w:val="clear" w:color="472D8C" w:fill="auto"/>
          </w:tcPr>
          <w:p w14:paraId="4DA09048" w14:textId="77777777" w:rsidR="00A60D4B" w:rsidRPr="00C073DB" w:rsidRDefault="00A60D4B" w:rsidP="00A60D4B">
            <w:pPr>
              <w:pStyle w:val="Btablefigureunbold"/>
              <w:rPr>
                <w:bCs/>
                <w:color w:val="000000"/>
              </w:rPr>
            </w:pPr>
            <w:r w:rsidRPr="00C073DB">
              <w:rPr>
                <w:rFonts w:cs="Calibri"/>
                <w:bCs/>
                <w:sz w:val="18"/>
                <w:szCs w:val="18"/>
              </w:rPr>
              <w:t>259,847</w:t>
            </w:r>
          </w:p>
        </w:tc>
        <w:tc>
          <w:tcPr>
            <w:tcW w:w="1181" w:type="dxa"/>
            <w:tcBorders>
              <w:top w:val="nil"/>
              <w:bottom w:val="nil"/>
            </w:tcBorders>
            <w:shd w:val="clear" w:color="auto" w:fill="auto"/>
          </w:tcPr>
          <w:p w14:paraId="23CC0561" w14:textId="77777777" w:rsidR="00A60D4B" w:rsidRPr="008467DD" w:rsidRDefault="00A60D4B" w:rsidP="00A60D4B">
            <w:pPr>
              <w:pStyle w:val="Btablefigureunbold"/>
              <w:rPr>
                <w:bCs/>
              </w:rPr>
            </w:pPr>
            <w:r>
              <w:rPr>
                <w:rFonts w:cs="Calibri"/>
                <w:sz w:val="18"/>
                <w:szCs w:val="18"/>
              </w:rPr>
              <w:t>267,212</w:t>
            </w:r>
          </w:p>
        </w:tc>
        <w:tc>
          <w:tcPr>
            <w:tcW w:w="1182" w:type="dxa"/>
            <w:tcBorders>
              <w:top w:val="nil"/>
              <w:bottom w:val="nil"/>
            </w:tcBorders>
          </w:tcPr>
          <w:p w14:paraId="64F7314E" w14:textId="77777777" w:rsidR="00A60D4B" w:rsidRPr="008467DD" w:rsidRDefault="00A60D4B" w:rsidP="00A60D4B">
            <w:pPr>
              <w:pStyle w:val="Btablefigureunbold"/>
              <w:rPr>
                <w:bCs/>
              </w:rPr>
            </w:pPr>
            <w:r>
              <w:rPr>
                <w:rFonts w:cs="Calibri"/>
                <w:sz w:val="18"/>
                <w:szCs w:val="18"/>
              </w:rPr>
              <w:t>277,476</w:t>
            </w:r>
          </w:p>
        </w:tc>
      </w:tr>
      <w:tr w:rsidR="00A60D4B" w:rsidRPr="00337DC9" w14:paraId="21D4F82A" w14:textId="77777777" w:rsidTr="00A60D4B">
        <w:trPr>
          <w:trHeight w:val="20"/>
        </w:trPr>
        <w:tc>
          <w:tcPr>
            <w:tcW w:w="2127" w:type="dxa"/>
            <w:tcBorders>
              <w:top w:val="nil"/>
              <w:bottom w:val="nil"/>
            </w:tcBorders>
          </w:tcPr>
          <w:p w14:paraId="6C1DE69F" w14:textId="77777777" w:rsidR="00A60D4B" w:rsidRPr="008467DD" w:rsidRDefault="00A60D4B" w:rsidP="00A60D4B">
            <w:pPr>
              <w:pStyle w:val="Btabletextunbold"/>
              <w:rPr>
                <w:bCs/>
              </w:rPr>
            </w:pPr>
            <w:r w:rsidRPr="008467DD">
              <w:rPr>
                <w:bCs/>
              </w:rPr>
              <w:t xml:space="preserve">Dividend and income tax equivalents </w:t>
            </w:r>
          </w:p>
        </w:tc>
        <w:tc>
          <w:tcPr>
            <w:tcW w:w="1134" w:type="dxa"/>
            <w:tcBorders>
              <w:top w:val="nil"/>
              <w:bottom w:val="nil"/>
            </w:tcBorders>
          </w:tcPr>
          <w:p w14:paraId="5225487D" w14:textId="77777777" w:rsidR="00A60D4B" w:rsidRPr="008467DD" w:rsidRDefault="00A60D4B" w:rsidP="00A60D4B">
            <w:pPr>
              <w:pStyle w:val="Btablefigureunbold"/>
              <w:rPr>
                <w:bCs/>
              </w:rPr>
            </w:pPr>
            <w:r>
              <w:rPr>
                <w:rFonts w:cs="Calibri"/>
                <w:sz w:val="18"/>
                <w:szCs w:val="18"/>
              </w:rPr>
              <w:t>486,739</w:t>
            </w:r>
          </w:p>
        </w:tc>
        <w:tc>
          <w:tcPr>
            <w:tcW w:w="1191" w:type="dxa"/>
            <w:tcBorders>
              <w:top w:val="nil"/>
              <w:bottom w:val="nil"/>
            </w:tcBorders>
          </w:tcPr>
          <w:p w14:paraId="7B5ABE72" w14:textId="77777777" w:rsidR="00A60D4B" w:rsidRPr="008467DD" w:rsidRDefault="00A60D4B" w:rsidP="00A60D4B">
            <w:pPr>
              <w:pStyle w:val="Btablefigureunbold"/>
              <w:rPr>
                <w:bCs/>
              </w:rPr>
            </w:pPr>
            <w:r>
              <w:rPr>
                <w:rFonts w:cs="Calibri"/>
                <w:sz w:val="18"/>
                <w:szCs w:val="18"/>
              </w:rPr>
              <w:t>463,004</w:t>
            </w:r>
          </w:p>
        </w:tc>
        <w:tc>
          <w:tcPr>
            <w:tcW w:w="1181" w:type="dxa"/>
            <w:tcBorders>
              <w:top w:val="nil"/>
              <w:bottom w:val="nil"/>
            </w:tcBorders>
            <w:shd w:val="clear" w:color="auto" w:fill="auto"/>
          </w:tcPr>
          <w:p w14:paraId="63490FDA" w14:textId="77777777" w:rsidR="00A60D4B" w:rsidRPr="00C073DB" w:rsidRDefault="00A60D4B" w:rsidP="00A60D4B">
            <w:pPr>
              <w:pStyle w:val="BTablefigureBold"/>
              <w:rPr>
                <w:b w:val="0"/>
                <w:bCs/>
              </w:rPr>
            </w:pPr>
            <w:r w:rsidRPr="00C073DB">
              <w:rPr>
                <w:rFonts w:cs="Calibri"/>
                <w:b w:val="0"/>
                <w:bCs/>
                <w:sz w:val="18"/>
                <w:szCs w:val="18"/>
              </w:rPr>
              <w:t>252,49</w:t>
            </w:r>
            <w:r>
              <w:rPr>
                <w:rFonts w:cs="Calibri"/>
                <w:b w:val="0"/>
                <w:bCs/>
                <w:sz w:val="18"/>
                <w:szCs w:val="18"/>
              </w:rPr>
              <w:t>0</w:t>
            </w:r>
          </w:p>
        </w:tc>
        <w:tc>
          <w:tcPr>
            <w:tcW w:w="1181" w:type="dxa"/>
            <w:tcBorders>
              <w:top w:val="nil"/>
              <w:bottom w:val="nil"/>
            </w:tcBorders>
            <w:shd w:val="clear" w:color="472D8C" w:fill="auto"/>
          </w:tcPr>
          <w:p w14:paraId="04F20287" w14:textId="77777777" w:rsidR="00A60D4B" w:rsidRPr="00C073DB" w:rsidRDefault="00A60D4B" w:rsidP="00A60D4B">
            <w:pPr>
              <w:pStyle w:val="Btablefigureunbold"/>
              <w:rPr>
                <w:bCs/>
                <w:color w:val="000000"/>
              </w:rPr>
            </w:pPr>
            <w:r w:rsidRPr="00C073DB">
              <w:rPr>
                <w:rFonts w:cs="Calibri"/>
                <w:bCs/>
                <w:sz w:val="18"/>
                <w:szCs w:val="18"/>
              </w:rPr>
              <w:t>237,645</w:t>
            </w:r>
          </w:p>
        </w:tc>
        <w:tc>
          <w:tcPr>
            <w:tcW w:w="1181" w:type="dxa"/>
            <w:tcBorders>
              <w:top w:val="nil"/>
              <w:bottom w:val="nil"/>
            </w:tcBorders>
            <w:shd w:val="clear" w:color="auto" w:fill="auto"/>
          </w:tcPr>
          <w:p w14:paraId="5357B0D6" w14:textId="77777777" w:rsidR="00A60D4B" w:rsidRPr="008467DD" w:rsidRDefault="00A60D4B" w:rsidP="00A60D4B">
            <w:pPr>
              <w:pStyle w:val="Btablefigureunbold"/>
              <w:rPr>
                <w:bCs/>
              </w:rPr>
            </w:pPr>
            <w:r>
              <w:rPr>
                <w:rFonts w:cs="Calibri"/>
                <w:sz w:val="18"/>
                <w:szCs w:val="18"/>
              </w:rPr>
              <w:t>92,818</w:t>
            </w:r>
          </w:p>
        </w:tc>
        <w:tc>
          <w:tcPr>
            <w:tcW w:w="1182" w:type="dxa"/>
            <w:tcBorders>
              <w:top w:val="nil"/>
              <w:bottom w:val="nil"/>
            </w:tcBorders>
          </w:tcPr>
          <w:p w14:paraId="6627D9A2" w14:textId="77777777" w:rsidR="00A60D4B" w:rsidRPr="008467DD" w:rsidRDefault="00A60D4B" w:rsidP="00A60D4B">
            <w:pPr>
              <w:pStyle w:val="Btablefigureunbold"/>
              <w:rPr>
                <w:bCs/>
              </w:rPr>
            </w:pPr>
            <w:r>
              <w:rPr>
                <w:rFonts w:cs="Calibri"/>
                <w:sz w:val="18"/>
                <w:szCs w:val="18"/>
              </w:rPr>
              <w:t>266,144</w:t>
            </w:r>
          </w:p>
        </w:tc>
      </w:tr>
      <w:tr w:rsidR="00A60D4B" w:rsidRPr="00653BCC" w14:paraId="31385A22" w14:textId="77777777" w:rsidTr="00A60D4B">
        <w:trPr>
          <w:trHeight w:val="20"/>
        </w:trPr>
        <w:tc>
          <w:tcPr>
            <w:tcW w:w="2127" w:type="dxa"/>
            <w:tcBorders>
              <w:top w:val="nil"/>
              <w:bottom w:val="nil"/>
            </w:tcBorders>
          </w:tcPr>
          <w:p w14:paraId="024134B5" w14:textId="77777777" w:rsidR="00A60D4B" w:rsidRPr="008467DD" w:rsidRDefault="00A60D4B" w:rsidP="00A60D4B">
            <w:pPr>
              <w:pStyle w:val="Btabletextitalic"/>
              <w:rPr>
                <w:bCs/>
                <w:i w:val="0"/>
              </w:rPr>
            </w:pPr>
            <w:r>
              <w:rPr>
                <w:bCs/>
                <w:i w:val="0"/>
              </w:rPr>
              <w:t>Other revenue</w:t>
            </w:r>
          </w:p>
        </w:tc>
        <w:tc>
          <w:tcPr>
            <w:tcW w:w="1134" w:type="dxa"/>
            <w:tcBorders>
              <w:top w:val="nil"/>
              <w:bottom w:val="nil"/>
            </w:tcBorders>
          </w:tcPr>
          <w:p w14:paraId="1A8FC83E" w14:textId="77777777" w:rsidR="00A60D4B" w:rsidRPr="008467DD" w:rsidRDefault="00A60D4B" w:rsidP="00A60D4B">
            <w:pPr>
              <w:pStyle w:val="Btablefigureunbold"/>
              <w:rPr>
                <w:bCs/>
              </w:rPr>
            </w:pPr>
            <w:r>
              <w:rPr>
                <w:rFonts w:cs="Calibri"/>
                <w:sz w:val="18"/>
                <w:szCs w:val="18"/>
              </w:rPr>
              <w:t>189,866</w:t>
            </w:r>
          </w:p>
        </w:tc>
        <w:tc>
          <w:tcPr>
            <w:tcW w:w="1191" w:type="dxa"/>
            <w:tcBorders>
              <w:top w:val="nil"/>
              <w:bottom w:val="nil"/>
            </w:tcBorders>
          </w:tcPr>
          <w:p w14:paraId="1901A6C1" w14:textId="77777777" w:rsidR="00A60D4B" w:rsidRPr="008467DD" w:rsidRDefault="00A60D4B" w:rsidP="00A60D4B">
            <w:pPr>
              <w:pStyle w:val="Btablefigureunbold"/>
              <w:rPr>
                <w:bCs/>
              </w:rPr>
            </w:pPr>
            <w:r>
              <w:rPr>
                <w:rFonts w:cs="Calibri"/>
                <w:sz w:val="18"/>
                <w:szCs w:val="18"/>
              </w:rPr>
              <w:t>244,079</w:t>
            </w:r>
          </w:p>
        </w:tc>
        <w:tc>
          <w:tcPr>
            <w:tcW w:w="1181" w:type="dxa"/>
            <w:tcBorders>
              <w:top w:val="nil"/>
              <w:bottom w:val="nil"/>
            </w:tcBorders>
            <w:shd w:val="clear" w:color="auto" w:fill="auto"/>
          </w:tcPr>
          <w:p w14:paraId="6F66F561" w14:textId="77777777" w:rsidR="00A60D4B" w:rsidRPr="008467DD" w:rsidRDefault="00A60D4B" w:rsidP="00A60D4B">
            <w:pPr>
              <w:pStyle w:val="Btablefigureunbold"/>
              <w:rPr>
                <w:bCs/>
              </w:rPr>
            </w:pPr>
            <w:r>
              <w:rPr>
                <w:rFonts w:cs="Calibri"/>
                <w:sz w:val="18"/>
                <w:szCs w:val="18"/>
              </w:rPr>
              <w:t>206,424</w:t>
            </w:r>
          </w:p>
        </w:tc>
        <w:tc>
          <w:tcPr>
            <w:tcW w:w="1181" w:type="dxa"/>
            <w:tcBorders>
              <w:top w:val="nil"/>
              <w:bottom w:val="nil"/>
            </w:tcBorders>
            <w:shd w:val="clear" w:color="472D8C" w:fill="auto"/>
          </w:tcPr>
          <w:p w14:paraId="5BE07E13" w14:textId="77777777" w:rsidR="00A60D4B" w:rsidRPr="008467DD" w:rsidRDefault="00A60D4B" w:rsidP="00A60D4B">
            <w:pPr>
              <w:pStyle w:val="Btablefigureunbold"/>
              <w:rPr>
                <w:bCs/>
                <w:color w:val="000000"/>
              </w:rPr>
            </w:pPr>
            <w:r>
              <w:rPr>
                <w:rFonts w:cs="Calibri"/>
                <w:sz w:val="18"/>
                <w:szCs w:val="18"/>
              </w:rPr>
              <w:t>185,236</w:t>
            </w:r>
          </w:p>
        </w:tc>
        <w:tc>
          <w:tcPr>
            <w:tcW w:w="1181" w:type="dxa"/>
            <w:tcBorders>
              <w:top w:val="nil"/>
              <w:bottom w:val="nil"/>
            </w:tcBorders>
            <w:shd w:val="clear" w:color="auto" w:fill="auto"/>
          </w:tcPr>
          <w:p w14:paraId="4E519836" w14:textId="77777777" w:rsidR="00A60D4B" w:rsidRPr="008467DD" w:rsidRDefault="00A60D4B" w:rsidP="00A60D4B">
            <w:pPr>
              <w:pStyle w:val="Btablefigureunbold"/>
              <w:rPr>
                <w:bCs/>
              </w:rPr>
            </w:pPr>
            <w:r>
              <w:rPr>
                <w:rFonts w:cs="Calibri"/>
                <w:sz w:val="18"/>
                <w:szCs w:val="18"/>
              </w:rPr>
              <w:t>182,933</w:t>
            </w:r>
          </w:p>
        </w:tc>
        <w:tc>
          <w:tcPr>
            <w:tcW w:w="1182" w:type="dxa"/>
            <w:tcBorders>
              <w:top w:val="nil"/>
              <w:bottom w:val="nil"/>
            </w:tcBorders>
          </w:tcPr>
          <w:p w14:paraId="2B492C61" w14:textId="77777777" w:rsidR="00A60D4B" w:rsidRPr="008467DD" w:rsidRDefault="00A60D4B" w:rsidP="00A60D4B">
            <w:pPr>
              <w:pStyle w:val="Btablefigureunbold"/>
              <w:rPr>
                <w:bCs/>
              </w:rPr>
            </w:pPr>
            <w:r>
              <w:rPr>
                <w:rFonts w:cs="Calibri"/>
                <w:sz w:val="18"/>
                <w:szCs w:val="18"/>
              </w:rPr>
              <w:t>235,28</w:t>
            </w:r>
          </w:p>
        </w:tc>
      </w:tr>
      <w:tr w:rsidR="00A60D4B" w:rsidRPr="00337DC9" w14:paraId="31F9E016" w14:textId="77777777" w:rsidTr="00A60D4B">
        <w:trPr>
          <w:trHeight w:val="243"/>
        </w:trPr>
        <w:tc>
          <w:tcPr>
            <w:tcW w:w="2127" w:type="dxa"/>
            <w:tcBorders>
              <w:top w:val="nil"/>
              <w:bottom w:val="single" w:sz="4" w:space="0" w:color="auto"/>
            </w:tcBorders>
          </w:tcPr>
          <w:p w14:paraId="59E69C79" w14:textId="77777777" w:rsidR="00A60D4B" w:rsidRPr="005755EC" w:rsidRDefault="00A60D4B" w:rsidP="00A60D4B">
            <w:pPr>
              <w:pStyle w:val="Btabletextbolditalic"/>
              <w:rPr>
                <w:b w:val="0"/>
                <w:i w:val="0"/>
              </w:rPr>
            </w:pPr>
            <w:r w:rsidRPr="005755EC">
              <w:rPr>
                <w:b w:val="0"/>
                <w:i w:val="0"/>
              </w:rPr>
              <w:t>Gains from contributed assets</w:t>
            </w:r>
          </w:p>
        </w:tc>
        <w:tc>
          <w:tcPr>
            <w:tcW w:w="1134" w:type="dxa"/>
            <w:tcBorders>
              <w:top w:val="nil"/>
              <w:bottom w:val="single" w:sz="4" w:space="0" w:color="auto"/>
            </w:tcBorders>
          </w:tcPr>
          <w:p w14:paraId="7F0DAACA" w14:textId="77777777" w:rsidR="00A60D4B" w:rsidRPr="008467DD" w:rsidRDefault="00A60D4B" w:rsidP="00A60D4B">
            <w:pPr>
              <w:pStyle w:val="Btablefigureunbold"/>
              <w:rPr>
                <w:bCs/>
              </w:rPr>
            </w:pPr>
            <w:r>
              <w:rPr>
                <w:rFonts w:cs="Calibri"/>
                <w:sz w:val="18"/>
                <w:szCs w:val="18"/>
              </w:rPr>
              <w:t>156,997</w:t>
            </w:r>
          </w:p>
        </w:tc>
        <w:tc>
          <w:tcPr>
            <w:tcW w:w="1191" w:type="dxa"/>
            <w:tcBorders>
              <w:top w:val="nil"/>
              <w:bottom w:val="single" w:sz="4" w:space="0" w:color="auto"/>
            </w:tcBorders>
          </w:tcPr>
          <w:p w14:paraId="4A5E099C" w14:textId="77777777" w:rsidR="00A60D4B" w:rsidRPr="008467DD" w:rsidRDefault="00A60D4B" w:rsidP="00A60D4B">
            <w:pPr>
              <w:pStyle w:val="Btablefigureunbold"/>
              <w:rPr>
                <w:bCs/>
              </w:rPr>
            </w:pPr>
            <w:r>
              <w:rPr>
                <w:rFonts w:cs="Calibri"/>
                <w:sz w:val="18"/>
                <w:szCs w:val="18"/>
              </w:rPr>
              <w:t>208,082</w:t>
            </w:r>
          </w:p>
        </w:tc>
        <w:tc>
          <w:tcPr>
            <w:tcW w:w="1181" w:type="dxa"/>
            <w:tcBorders>
              <w:top w:val="nil"/>
              <w:bottom w:val="single" w:sz="4" w:space="0" w:color="auto"/>
            </w:tcBorders>
            <w:shd w:val="clear" w:color="auto" w:fill="auto"/>
          </w:tcPr>
          <w:p w14:paraId="14A373D3" w14:textId="77777777" w:rsidR="00A60D4B" w:rsidRPr="008467DD" w:rsidRDefault="00A60D4B" w:rsidP="00A60D4B">
            <w:pPr>
              <w:pStyle w:val="Btablefigureunbold"/>
              <w:rPr>
                <w:bCs/>
              </w:rPr>
            </w:pPr>
            <w:r>
              <w:rPr>
                <w:rFonts w:cs="Calibri"/>
                <w:sz w:val="18"/>
                <w:szCs w:val="18"/>
              </w:rPr>
              <w:t>306,473</w:t>
            </w:r>
          </w:p>
        </w:tc>
        <w:tc>
          <w:tcPr>
            <w:tcW w:w="1181" w:type="dxa"/>
            <w:tcBorders>
              <w:top w:val="nil"/>
              <w:bottom w:val="single" w:sz="4" w:space="0" w:color="auto"/>
            </w:tcBorders>
            <w:shd w:val="clear" w:color="472D8C" w:fill="auto"/>
          </w:tcPr>
          <w:p w14:paraId="5D9F2A6F" w14:textId="77777777" w:rsidR="00A60D4B" w:rsidRPr="008467DD" w:rsidRDefault="00A60D4B" w:rsidP="00A60D4B">
            <w:pPr>
              <w:pStyle w:val="Btablefigureunbold"/>
              <w:rPr>
                <w:bCs/>
                <w:color w:val="000000"/>
              </w:rPr>
            </w:pPr>
            <w:r>
              <w:rPr>
                <w:rFonts w:cs="Calibri"/>
                <w:sz w:val="18"/>
                <w:szCs w:val="18"/>
              </w:rPr>
              <w:t>149,926</w:t>
            </w:r>
          </w:p>
        </w:tc>
        <w:tc>
          <w:tcPr>
            <w:tcW w:w="1181" w:type="dxa"/>
            <w:tcBorders>
              <w:top w:val="nil"/>
              <w:bottom w:val="single" w:sz="4" w:space="0" w:color="auto"/>
            </w:tcBorders>
            <w:shd w:val="clear" w:color="auto" w:fill="auto"/>
          </w:tcPr>
          <w:p w14:paraId="3E2BDAC9" w14:textId="77777777" w:rsidR="00A60D4B" w:rsidRPr="008467DD" w:rsidRDefault="00A60D4B" w:rsidP="00A60D4B">
            <w:pPr>
              <w:pStyle w:val="Btablefigureunbold"/>
              <w:rPr>
                <w:bCs/>
              </w:rPr>
            </w:pPr>
            <w:r>
              <w:rPr>
                <w:rFonts w:cs="Calibri"/>
                <w:sz w:val="18"/>
                <w:szCs w:val="18"/>
              </w:rPr>
              <w:t>244,272</w:t>
            </w:r>
          </w:p>
        </w:tc>
        <w:tc>
          <w:tcPr>
            <w:tcW w:w="1182" w:type="dxa"/>
            <w:tcBorders>
              <w:top w:val="nil"/>
              <w:bottom w:val="single" w:sz="4" w:space="0" w:color="auto"/>
            </w:tcBorders>
          </w:tcPr>
          <w:p w14:paraId="33753187" w14:textId="77777777" w:rsidR="00A60D4B" w:rsidRPr="008467DD" w:rsidRDefault="00A60D4B" w:rsidP="00A60D4B">
            <w:pPr>
              <w:pStyle w:val="Btablefigureunbold"/>
              <w:rPr>
                <w:bCs/>
              </w:rPr>
            </w:pPr>
            <w:r>
              <w:rPr>
                <w:rFonts w:cs="Calibri"/>
                <w:sz w:val="18"/>
                <w:szCs w:val="18"/>
              </w:rPr>
              <w:t>140,458</w:t>
            </w:r>
          </w:p>
        </w:tc>
      </w:tr>
      <w:tr w:rsidR="00A60D4B" w:rsidRPr="00337DC9" w14:paraId="52F148B0" w14:textId="77777777" w:rsidTr="00A60D4B">
        <w:trPr>
          <w:trHeight w:val="227"/>
        </w:trPr>
        <w:tc>
          <w:tcPr>
            <w:tcW w:w="2127" w:type="dxa"/>
            <w:tcBorders>
              <w:top w:val="single" w:sz="4" w:space="0" w:color="auto"/>
              <w:bottom w:val="single" w:sz="4" w:space="0" w:color="auto"/>
            </w:tcBorders>
          </w:tcPr>
          <w:p w14:paraId="5A166FE0" w14:textId="77777777" w:rsidR="00A60D4B" w:rsidRPr="00DC6089" w:rsidRDefault="00A60D4B" w:rsidP="00A60D4B">
            <w:pPr>
              <w:pStyle w:val="Btabletextbolditalic"/>
              <w:rPr>
                <w:i w:val="0"/>
                <w:iCs/>
                <w:color w:val="472D8C"/>
              </w:rPr>
            </w:pPr>
            <w:r w:rsidRPr="00DC6089">
              <w:rPr>
                <w:i w:val="0"/>
                <w:iCs/>
                <w:color w:val="472D8C"/>
              </w:rPr>
              <w:t>Total</w:t>
            </w:r>
          </w:p>
        </w:tc>
        <w:tc>
          <w:tcPr>
            <w:tcW w:w="1134" w:type="dxa"/>
            <w:tcBorders>
              <w:top w:val="single" w:sz="4" w:space="0" w:color="auto"/>
              <w:bottom w:val="single" w:sz="4" w:space="0" w:color="auto"/>
            </w:tcBorders>
            <w:vAlign w:val="bottom"/>
          </w:tcPr>
          <w:p w14:paraId="29CED3F2" w14:textId="77777777" w:rsidR="00A60D4B" w:rsidRPr="00DC6089" w:rsidRDefault="00A60D4B" w:rsidP="00A60D4B">
            <w:pPr>
              <w:pStyle w:val="Btablefigureunbold"/>
              <w:rPr>
                <w:b/>
                <w:color w:val="472D8C"/>
              </w:rPr>
            </w:pPr>
            <w:r w:rsidRPr="00DC6089">
              <w:rPr>
                <w:rFonts w:cs="Calibri"/>
                <w:b/>
                <w:bCs/>
                <w:color w:val="472D8C"/>
                <w:sz w:val="18"/>
                <w:szCs w:val="18"/>
              </w:rPr>
              <w:t>5,981,076</w:t>
            </w:r>
          </w:p>
        </w:tc>
        <w:tc>
          <w:tcPr>
            <w:tcW w:w="1191" w:type="dxa"/>
            <w:tcBorders>
              <w:top w:val="single" w:sz="4" w:space="0" w:color="auto"/>
              <w:bottom w:val="single" w:sz="4" w:space="0" w:color="auto"/>
            </w:tcBorders>
            <w:vAlign w:val="bottom"/>
          </w:tcPr>
          <w:p w14:paraId="7EA5B025" w14:textId="77777777" w:rsidR="00A60D4B" w:rsidRPr="00DC6089" w:rsidRDefault="00A60D4B" w:rsidP="00A60D4B">
            <w:pPr>
              <w:pStyle w:val="Btablefigureunbold"/>
              <w:rPr>
                <w:b/>
                <w:color w:val="472D8C"/>
              </w:rPr>
            </w:pPr>
            <w:r w:rsidRPr="00DC6089">
              <w:rPr>
                <w:rFonts w:cs="Calibri"/>
                <w:b/>
                <w:bCs/>
                <w:color w:val="472D8C"/>
                <w:sz w:val="18"/>
                <w:szCs w:val="18"/>
              </w:rPr>
              <w:t>6,307,488</w:t>
            </w:r>
          </w:p>
        </w:tc>
        <w:tc>
          <w:tcPr>
            <w:tcW w:w="1181" w:type="dxa"/>
            <w:tcBorders>
              <w:top w:val="single" w:sz="4" w:space="0" w:color="auto"/>
              <w:bottom w:val="single" w:sz="4" w:space="0" w:color="auto"/>
            </w:tcBorders>
            <w:shd w:val="clear" w:color="auto" w:fill="auto"/>
            <w:vAlign w:val="bottom"/>
          </w:tcPr>
          <w:p w14:paraId="3563755A" w14:textId="77777777" w:rsidR="00A60D4B" w:rsidRPr="00DC6089" w:rsidRDefault="00A60D4B" w:rsidP="00A60D4B">
            <w:pPr>
              <w:pStyle w:val="Btablefigureunbold"/>
              <w:rPr>
                <w:b/>
                <w:color w:val="472D8C"/>
              </w:rPr>
            </w:pPr>
            <w:r w:rsidRPr="00DC6089">
              <w:rPr>
                <w:rFonts w:cs="Calibri"/>
                <w:b/>
                <w:bCs/>
                <w:color w:val="472D8C"/>
                <w:sz w:val="18"/>
                <w:szCs w:val="18"/>
              </w:rPr>
              <w:t>6,597,145</w:t>
            </w:r>
          </w:p>
        </w:tc>
        <w:tc>
          <w:tcPr>
            <w:tcW w:w="1181" w:type="dxa"/>
            <w:tcBorders>
              <w:top w:val="single" w:sz="4" w:space="0" w:color="auto"/>
              <w:bottom w:val="single" w:sz="4" w:space="0" w:color="auto"/>
            </w:tcBorders>
            <w:shd w:val="clear" w:color="472D8C" w:fill="auto"/>
            <w:vAlign w:val="bottom"/>
          </w:tcPr>
          <w:p w14:paraId="4399C58D" w14:textId="77777777" w:rsidR="00A60D4B" w:rsidRPr="00DC6089" w:rsidRDefault="00A60D4B" w:rsidP="00A60D4B">
            <w:pPr>
              <w:pStyle w:val="Btablefigureunbold"/>
              <w:rPr>
                <w:b/>
                <w:color w:val="472D8C"/>
              </w:rPr>
            </w:pPr>
            <w:r w:rsidRPr="00DC6089">
              <w:rPr>
                <w:rFonts w:cs="Calibri"/>
                <w:b/>
                <w:bCs/>
                <w:color w:val="472D8C"/>
                <w:sz w:val="18"/>
                <w:szCs w:val="18"/>
              </w:rPr>
              <w:t>6,541,706</w:t>
            </w:r>
          </w:p>
        </w:tc>
        <w:tc>
          <w:tcPr>
            <w:tcW w:w="1181" w:type="dxa"/>
            <w:tcBorders>
              <w:top w:val="single" w:sz="4" w:space="0" w:color="auto"/>
              <w:bottom w:val="single" w:sz="4" w:space="0" w:color="auto"/>
            </w:tcBorders>
            <w:shd w:val="clear" w:color="auto" w:fill="auto"/>
            <w:vAlign w:val="bottom"/>
          </w:tcPr>
          <w:p w14:paraId="7D3C937A" w14:textId="77777777" w:rsidR="00A60D4B" w:rsidRPr="00DC6089" w:rsidRDefault="00A60D4B" w:rsidP="00A60D4B">
            <w:pPr>
              <w:pStyle w:val="Btablefigureunbold"/>
              <w:rPr>
                <w:b/>
                <w:color w:val="472D8C"/>
              </w:rPr>
            </w:pPr>
            <w:r w:rsidRPr="00DC6089">
              <w:rPr>
                <w:rFonts w:cs="Calibri"/>
                <w:b/>
                <w:bCs/>
                <w:color w:val="472D8C"/>
                <w:sz w:val="18"/>
                <w:szCs w:val="18"/>
              </w:rPr>
              <w:t>6,696,263</w:t>
            </w:r>
          </w:p>
        </w:tc>
        <w:tc>
          <w:tcPr>
            <w:tcW w:w="1182" w:type="dxa"/>
            <w:tcBorders>
              <w:top w:val="single" w:sz="4" w:space="0" w:color="auto"/>
              <w:bottom w:val="single" w:sz="4" w:space="0" w:color="auto"/>
            </w:tcBorders>
            <w:vAlign w:val="bottom"/>
          </w:tcPr>
          <w:p w14:paraId="17F2A6AF" w14:textId="77777777" w:rsidR="00A60D4B" w:rsidRPr="00DC6089" w:rsidRDefault="00A60D4B" w:rsidP="00A60D4B">
            <w:pPr>
              <w:pStyle w:val="Btablefigureunbold"/>
              <w:rPr>
                <w:b/>
                <w:color w:val="472D8C"/>
              </w:rPr>
            </w:pPr>
            <w:r w:rsidRPr="00DC6089">
              <w:rPr>
                <w:rFonts w:cs="Calibri"/>
                <w:b/>
                <w:bCs/>
                <w:color w:val="472D8C"/>
                <w:sz w:val="18"/>
                <w:szCs w:val="18"/>
              </w:rPr>
              <w:t>6,952,591</w:t>
            </w:r>
          </w:p>
        </w:tc>
      </w:tr>
    </w:tbl>
    <w:p w14:paraId="0D7E5BDC" w14:textId="77777777" w:rsidR="00A60D4B" w:rsidRDefault="00A60D4B" w:rsidP="00A60D4B">
      <w:pPr>
        <w:pStyle w:val="Heading3"/>
      </w:pPr>
      <w:r>
        <w:t>Own-source taxation revenue</w:t>
      </w:r>
    </w:p>
    <w:p w14:paraId="4396CB2F" w14:textId="77777777" w:rsidR="00A60D4B" w:rsidRDefault="00A60D4B" w:rsidP="00A60D4B">
      <w:pPr>
        <w:pStyle w:val="Bbodytext"/>
      </w:pPr>
      <w:r>
        <w:t xml:space="preserve">Own-source taxation revenue will contribute around 33.6 per cent of the ACT’s total GGS revenue in 2021-22. The ACT’s major sources of taxation revenue are payroll tax, general rates, residential conveyance duty, land tax and motor vehicle registration tax. </w:t>
      </w:r>
    </w:p>
    <w:p w14:paraId="0AFD8FC3" w14:textId="77777777" w:rsidR="00A60D4B" w:rsidRDefault="00A60D4B" w:rsidP="00A60D4B">
      <w:pPr>
        <w:pStyle w:val="Bbodytext"/>
      </w:pPr>
      <w:r w:rsidRPr="00330FCC">
        <w:t>Own-source taxation revenue is forecast to be $2.2 billion in 2021-22</w:t>
      </w:r>
      <w:r>
        <w:t>, which is $172.7 million (8.5 per cent) higher than the 2020-21 interim outcome of $2.0 billion. This is largely attributable to expected increases in property related taxes due to continuing strong market conditions in 2021-22, offset by reductions in motor vehicle registrations and transfers and gambling taxes</w:t>
      </w:r>
      <w:r w:rsidRPr="00330FCC">
        <w:t xml:space="preserve">. </w:t>
      </w:r>
    </w:p>
    <w:p w14:paraId="3C80DC78" w14:textId="77777777" w:rsidR="00A60D4B" w:rsidRDefault="00A60D4B" w:rsidP="00A60D4B">
      <w:pPr>
        <w:pStyle w:val="Bbodytext"/>
      </w:pPr>
      <w:r>
        <w:t xml:space="preserve">Over the forward estimates period, total own-source taxation revenue is forecast to be $7.3 billion, reaching $2.5 billion in 2024-25, an annual average growth rate of 5.4 per cent, lower than the pre-pandemic growth rate of 7.4 per cent per annum on average. While this is </w:t>
      </w:r>
      <w:r w:rsidRPr="00330FCC">
        <w:t>$</w:t>
      </w:r>
      <w:r>
        <w:t>200.2</w:t>
      </w:r>
      <w:r w:rsidRPr="00330FCC">
        <w:t xml:space="preserve"> million</w:t>
      </w:r>
      <w:r>
        <w:t xml:space="preserve"> (2.3 per cent)</w:t>
      </w:r>
      <w:r w:rsidRPr="00330FCC">
        <w:t xml:space="preserve"> higher than the estimates published in the 2020-21 Budget</w:t>
      </w:r>
      <w:r>
        <w:t xml:space="preserve"> over the four-year period to 2023-24, stronger revenue collections from transaction related property taxes and land tax are expected to be </w:t>
      </w:r>
      <w:r w:rsidRPr="00E86EFE">
        <w:rPr>
          <w:szCs w:val="24"/>
        </w:rPr>
        <w:t xml:space="preserve">partially offset by </w:t>
      </w:r>
      <w:r>
        <w:rPr>
          <w:szCs w:val="24"/>
        </w:rPr>
        <w:t>lower</w:t>
      </w:r>
      <w:r w:rsidRPr="00E86EFE">
        <w:rPr>
          <w:szCs w:val="24"/>
        </w:rPr>
        <w:t xml:space="preserve"> revenue from general rates, payroll tax, and gambling taxes.</w:t>
      </w:r>
    </w:p>
    <w:p w14:paraId="3696BD03" w14:textId="77777777" w:rsidR="00A60D4B" w:rsidRDefault="00A60D4B" w:rsidP="00A60D4B">
      <w:pPr>
        <w:pStyle w:val="Bbodytext"/>
      </w:pPr>
      <w:r>
        <w:br w:type="page"/>
      </w:r>
    </w:p>
    <w:p w14:paraId="4FDDF8A0" w14:textId="406C7D0D" w:rsidR="00A60D4B" w:rsidRPr="00111524" w:rsidRDefault="00A60D4B" w:rsidP="00A60D4B">
      <w:pPr>
        <w:pStyle w:val="Caption"/>
      </w:pPr>
      <w:r w:rsidRPr="00111524">
        <w:lastRenderedPageBreak/>
        <w:t xml:space="preserve">Table </w:t>
      </w:r>
      <w:r w:rsidR="00FB4E5C">
        <w:fldChar w:fldCharType="begin"/>
      </w:r>
      <w:r w:rsidR="00FB4E5C">
        <w:instrText xml:space="preserve"> STYLEREF 2 \s </w:instrText>
      </w:r>
      <w:r w:rsidR="00FB4E5C">
        <w:fldChar w:fldCharType="separate"/>
      </w:r>
      <w:r w:rsidR="00F12A80">
        <w:rPr>
          <w:noProof/>
        </w:rPr>
        <w:t>3.5</w:t>
      </w:r>
      <w:r w:rsidR="00FB4E5C">
        <w:rPr>
          <w:noProof/>
        </w:rPr>
        <w:fldChar w:fldCharType="end"/>
      </w:r>
      <w:r w:rsidRPr="00111524">
        <w:t>.</w:t>
      </w:r>
      <w:r w:rsidR="00FB4E5C">
        <w:fldChar w:fldCharType="begin"/>
      </w:r>
      <w:r w:rsidR="00FB4E5C">
        <w:instrText xml:space="preserve"> SEQ Table \* ARABIC \s 2 </w:instrText>
      </w:r>
      <w:r w:rsidR="00FB4E5C">
        <w:fldChar w:fldCharType="separate"/>
      </w:r>
      <w:r w:rsidR="00F12A80">
        <w:rPr>
          <w:noProof/>
        </w:rPr>
        <w:t>2</w:t>
      </w:r>
      <w:r w:rsidR="00FB4E5C">
        <w:rPr>
          <w:noProof/>
        </w:rPr>
        <w:fldChar w:fldCharType="end"/>
      </w:r>
      <w:r>
        <w:t xml:space="preserve"> Own-source taxation revenue</w:t>
      </w:r>
    </w:p>
    <w:tbl>
      <w:tblPr>
        <w:tblW w:w="9214" w:type="dxa"/>
        <w:tblBorders>
          <w:top w:val="single" w:sz="4" w:space="0" w:color="auto"/>
          <w:bottom w:val="single" w:sz="4" w:space="0" w:color="auto"/>
          <w:insideH w:val="single" w:sz="4" w:space="0" w:color="auto"/>
        </w:tblBorders>
        <w:tblLayout w:type="fixed"/>
        <w:tblCellMar>
          <w:left w:w="85" w:type="dxa"/>
        </w:tblCellMar>
        <w:tblLook w:val="04A0" w:firstRow="1" w:lastRow="0" w:firstColumn="1" w:lastColumn="0" w:noHBand="0" w:noVBand="1"/>
      </w:tblPr>
      <w:tblGrid>
        <w:gridCol w:w="2268"/>
        <w:gridCol w:w="1157"/>
        <w:gridCol w:w="1253"/>
        <w:gridCol w:w="1063"/>
        <w:gridCol w:w="1157"/>
        <w:gridCol w:w="1158"/>
        <w:gridCol w:w="1158"/>
      </w:tblGrid>
      <w:tr w:rsidR="00A60D4B" w:rsidRPr="008F5D57" w14:paraId="2EF18FD4" w14:textId="77777777" w:rsidTr="00A60D4B">
        <w:trPr>
          <w:trHeight w:val="156"/>
        </w:trPr>
        <w:tc>
          <w:tcPr>
            <w:tcW w:w="2268" w:type="dxa"/>
            <w:tcBorders>
              <w:bottom w:val="single" w:sz="4" w:space="0" w:color="auto"/>
            </w:tcBorders>
            <w:shd w:val="clear" w:color="auto" w:fill="472D8C"/>
          </w:tcPr>
          <w:p w14:paraId="1197F87B" w14:textId="77777777" w:rsidR="00A60D4B" w:rsidRPr="00111524" w:rsidRDefault="00A60D4B" w:rsidP="00A60D4B">
            <w:pPr>
              <w:rPr>
                <w:rFonts w:cs="Calibri"/>
                <w:b/>
                <w:color w:val="FFFFFF" w:themeColor="background1"/>
                <w:sz w:val="20"/>
              </w:rPr>
            </w:pPr>
          </w:p>
        </w:tc>
        <w:tc>
          <w:tcPr>
            <w:tcW w:w="1157" w:type="dxa"/>
            <w:tcBorders>
              <w:bottom w:val="single" w:sz="4" w:space="0" w:color="auto"/>
            </w:tcBorders>
            <w:shd w:val="clear" w:color="auto" w:fill="472D8C"/>
          </w:tcPr>
          <w:p w14:paraId="6348C375" w14:textId="77777777" w:rsidR="006F1DF8"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Budget</w:t>
            </w:r>
            <w:r>
              <w:rPr>
                <w:color w:val="FFFFFF" w:themeColor="background1"/>
              </w:rPr>
              <w:br/>
            </w:r>
          </w:p>
          <w:p w14:paraId="0E243ECF" w14:textId="108F44A2" w:rsidR="00A60D4B" w:rsidRPr="00111524" w:rsidRDefault="00A60D4B" w:rsidP="00A60D4B">
            <w:pPr>
              <w:pStyle w:val="BTableHeadingRowRightAligned"/>
              <w:rPr>
                <w:color w:val="FFFFFF" w:themeColor="background1"/>
              </w:rPr>
            </w:pPr>
            <w:r>
              <w:rPr>
                <w:color w:val="FFFFFF" w:themeColor="background1"/>
              </w:rPr>
              <w:t>$’000</w:t>
            </w:r>
          </w:p>
        </w:tc>
        <w:tc>
          <w:tcPr>
            <w:tcW w:w="1253" w:type="dxa"/>
            <w:tcBorders>
              <w:bottom w:val="single" w:sz="4" w:space="0" w:color="auto"/>
            </w:tcBorders>
            <w:shd w:val="clear" w:color="auto" w:fill="472D8C"/>
          </w:tcPr>
          <w:p w14:paraId="1F8A408D" w14:textId="77777777" w:rsidR="00A60D4B" w:rsidRPr="00111524"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Interim outcome</w:t>
            </w:r>
            <w:r>
              <w:rPr>
                <w:color w:val="FFFFFF" w:themeColor="background1"/>
              </w:rPr>
              <w:br/>
              <w:t>$’000</w:t>
            </w:r>
          </w:p>
        </w:tc>
        <w:tc>
          <w:tcPr>
            <w:tcW w:w="1063" w:type="dxa"/>
            <w:tcBorders>
              <w:bottom w:val="single" w:sz="4" w:space="0" w:color="auto"/>
            </w:tcBorders>
            <w:shd w:val="clear" w:color="auto" w:fill="472D8C"/>
          </w:tcPr>
          <w:p w14:paraId="20D615FF" w14:textId="77777777" w:rsidR="006F1DF8" w:rsidRDefault="00A60D4B" w:rsidP="00A60D4B">
            <w:pPr>
              <w:pStyle w:val="BTableHeadingRowRightAligned"/>
              <w:rPr>
                <w:color w:val="FFFFFF" w:themeColor="background1"/>
              </w:rPr>
            </w:pPr>
            <w:r>
              <w:rPr>
                <w:color w:val="FFFFFF" w:themeColor="background1"/>
              </w:rPr>
              <w:t xml:space="preserve">2021-22 </w:t>
            </w:r>
            <w:r>
              <w:rPr>
                <w:color w:val="FFFFFF" w:themeColor="background1"/>
              </w:rPr>
              <w:br/>
              <w:t>Budget</w:t>
            </w:r>
            <w:r>
              <w:rPr>
                <w:color w:val="FFFFFF" w:themeColor="background1"/>
              </w:rPr>
              <w:br/>
            </w:r>
          </w:p>
          <w:p w14:paraId="15DB214A" w14:textId="797F39B7" w:rsidR="00A60D4B" w:rsidRPr="00111524" w:rsidRDefault="00A60D4B" w:rsidP="00A60D4B">
            <w:pPr>
              <w:pStyle w:val="BTableHeadingRowRightAligned"/>
              <w:rPr>
                <w:color w:val="FFFFFF" w:themeColor="background1"/>
              </w:rPr>
            </w:pPr>
            <w:r>
              <w:rPr>
                <w:color w:val="FFFFFF" w:themeColor="background1"/>
              </w:rPr>
              <w:t>$’000</w:t>
            </w:r>
          </w:p>
        </w:tc>
        <w:tc>
          <w:tcPr>
            <w:tcW w:w="1157" w:type="dxa"/>
            <w:tcBorders>
              <w:bottom w:val="single" w:sz="4" w:space="0" w:color="auto"/>
            </w:tcBorders>
            <w:shd w:val="clear" w:color="auto" w:fill="472D8C"/>
          </w:tcPr>
          <w:p w14:paraId="0E7E8B35" w14:textId="77777777" w:rsidR="006F1DF8" w:rsidRDefault="00A60D4B" w:rsidP="00A60D4B">
            <w:pPr>
              <w:pStyle w:val="BTableHeadingRowRightAligned"/>
              <w:rPr>
                <w:color w:val="FFFFFF" w:themeColor="background1"/>
              </w:rPr>
            </w:pPr>
            <w:r>
              <w:rPr>
                <w:color w:val="FFFFFF" w:themeColor="background1"/>
              </w:rPr>
              <w:t>2022-23</w:t>
            </w:r>
            <w:r>
              <w:rPr>
                <w:color w:val="FFFFFF" w:themeColor="background1"/>
              </w:rPr>
              <w:br/>
              <w:t>Estimate</w:t>
            </w:r>
            <w:r>
              <w:rPr>
                <w:color w:val="FFFFFF" w:themeColor="background1"/>
              </w:rPr>
              <w:br/>
            </w:r>
          </w:p>
          <w:p w14:paraId="1298D2FA" w14:textId="50169C7F" w:rsidR="00A60D4B" w:rsidRPr="00111524" w:rsidRDefault="00A60D4B" w:rsidP="00A60D4B">
            <w:pPr>
              <w:pStyle w:val="BTableHeadingRowRightAligned"/>
              <w:rPr>
                <w:color w:val="FFFFFF" w:themeColor="background1"/>
              </w:rPr>
            </w:pPr>
            <w:r>
              <w:rPr>
                <w:color w:val="FFFFFF" w:themeColor="background1"/>
              </w:rPr>
              <w:t>$’000</w:t>
            </w:r>
          </w:p>
        </w:tc>
        <w:tc>
          <w:tcPr>
            <w:tcW w:w="1158" w:type="dxa"/>
            <w:tcBorders>
              <w:bottom w:val="single" w:sz="4" w:space="0" w:color="auto"/>
            </w:tcBorders>
            <w:shd w:val="clear" w:color="auto" w:fill="472D8C"/>
          </w:tcPr>
          <w:p w14:paraId="055C4A36" w14:textId="77777777" w:rsidR="006F1DF8" w:rsidRDefault="00A60D4B" w:rsidP="00A60D4B">
            <w:pPr>
              <w:pStyle w:val="BTableHeadingRowRightAligned"/>
              <w:rPr>
                <w:color w:val="FFFFFF" w:themeColor="background1"/>
              </w:rPr>
            </w:pPr>
            <w:r>
              <w:rPr>
                <w:color w:val="FFFFFF" w:themeColor="background1"/>
              </w:rPr>
              <w:t>2023-24</w:t>
            </w:r>
            <w:r>
              <w:rPr>
                <w:color w:val="FFFFFF" w:themeColor="background1"/>
              </w:rPr>
              <w:br/>
              <w:t>Estimate</w:t>
            </w:r>
            <w:r>
              <w:rPr>
                <w:color w:val="FFFFFF" w:themeColor="background1"/>
              </w:rPr>
              <w:br/>
            </w:r>
          </w:p>
          <w:p w14:paraId="0BE2720D" w14:textId="27AF2647" w:rsidR="00A60D4B" w:rsidRPr="00111524" w:rsidRDefault="00A60D4B" w:rsidP="00A60D4B">
            <w:pPr>
              <w:pStyle w:val="BTableHeadingRowRightAligned"/>
              <w:rPr>
                <w:color w:val="FFFFFF" w:themeColor="background1"/>
              </w:rPr>
            </w:pPr>
            <w:r>
              <w:rPr>
                <w:color w:val="FFFFFF" w:themeColor="background1"/>
              </w:rPr>
              <w:t>$’000</w:t>
            </w:r>
          </w:p>
        </w:tc>
        <w:tc>
          <w:tcPr>
            <w:tcW w:w="1158" w:type="dxa"/>
            <w:tcBorders>
              <w:bottom w:val="single" w:sz="4" w:space="0" w:color="auto"/>
            </w:tcBorders>
            <w:shd w:val="clear" w:color="auto" w:fill="472D8C"/>
          </w:tcPr>
          <w:p w14:paraId="17C6AD26" w14:textId="77777777" w:rsidR="006F1DF8" w:rsidRDefault="00A60D4B" w:rsidP="00A60D4B">
            <w:pPr>
              <w:pStyle w:val="BTableHeadingRowRightAligned"/>
              <w:rPr>
                <w:color w:val="FFFFFF" w:themeColor="background1"/>
              </w:rPr>
            </w:pPr>
            <w:r>
              <w:rPr>
                <w:color w:val="FFFFFF" w:themeColor="background1"/>
              </w:rPr>
              <w:t>2024-25</w:t>
            </w:r>
            <w:r>
              <w:rPr>
                <w:color w:val="FFFFFF" w:themeColor="background1"/>
              </w:rPr>
              <w:br/>
              <w:t>Estimate</w:t>
            </w:r>
            <w:r>
              <w:rPr>
                <w:color w:val="FFFFFF" w:themeColor="background1"/>
              </w:rPr>
              <w:br/>
            </w:r>
          </w:p>
          <w:p w14:paraId="093E1D2A" w14:textId="4097B9FB" w:rsidR="00A60D4B" w:rsidRPr="00111524" w:rsidRDefault="00A60D4B" w:rsidP="00A60D4B">
            <w:pPr>
              <w:pStyle w:val="BTableHeadingRowRightAligned"/>
              <w:rPr>
                <w:color w:val="FFFFFF" w:themeColor="background1"/>
              </w:rPr>
            </w:pPr>
            <w:r>
              <w:rPr>
                <w:color w:val="FFFFFF" w:themeColor="background1"/>
              </w:rPr>
              <w:t>$’000</w:t>
            </w:r>
          </w:p>
        </w:tc>
      </w:tr>
      <w:tr w:rsidR="00A60D4B" w:rsidRPr="00337DC9" w14:paraId="7A04B3D2" w14:textId="77777777" w:rsidTr="00A60D4B">
        <w:trPr>
          <w:trHeight w:val="20"/>
        </w:trPr>
        <w:tc>
          <w:tcPr>
            <w:tcW w:w="2268" w:type="dxa"/>
            <w:tcBorders>
              <w:top w:val="nil"/>
              <w:bottom w:val="nil"/>
            </w:tcBorders>
          </w:tcPr>
          <w:p w14:paraId="04277B01" w14:textId="77777777" w:rsidR="00A60D4B" w:rsidRPr="00EC74DB" w:rsidRDefault="00A60D4B" w:rsidP="00A60D4B">
            <w:pPr>
              <w:pStyle w:val="Btabletextbold"/>
            </w:pPr>
            <w:r>
              <w:t>General tax</w:t>
            </w:r>
          </w:p>
        </w:tc>
        <w:tc>
          <w:tcPr>
            <w:tcW w:w="1157" w:type="dxa"/>
            <w:tcBorders>
              <w:bottom w:val="nil"/>
            </w:tcBorders>
          </w:tcPr>
          <w:p w14:paraId="79A697AC" w14:textId="77777777" w:rsidR="00A60D4B" w:rsidRPr="00EC74DB" w:rsidRDefault="00A60D4B" w:rsidP="00A60D4B">
            <w:pPr>
              <w:pStyle w:val="Btablefigureunbold"/>
            </w:pPr>
          </w:p>
        </w:tc>
        <w:tc>
          <w:tcPr>
            <w:tcW w:w="1253" w:type="dxa"/>
            <w:tcBorders>
              <w:bottom w:val="nil"/>
            </w:tcBorders>
          </w:tcPr>
          <w:p w14:paraId="0715982D" w14:textId="77777777" w:rsidR="00A60D4B" w:rsidRPr="00EC74DB" w:rsidRDefault="00A60D4B" w:rsidP="00A60D4B">
            <w:pPr>
              <w:pStyle w:val="Btablefigureunbold"/>
            </w:pPr>
          </w:p>
        </w:tc>
        <w:tc>
          <w:tcPr>
            <w:tcW w:w="1063" w:type="dxa"/>
            <w:tcBorders>
              <w:bottom w:val="nil"/>
            </w:tcBorders>
            <w:shd w:val="clear" w:color="auto" w:fill="auto"/>
          </w:tcPr>
          <w:p w14:paraId="627B9F08" w14:textId="77777777" w:rsidR="00A60D4B" w:rsidRPr="00EC74DB" w:rsidRDefault="00A60D4B" w:rsidP="00A60D4B">
            <w:pPr>
              <w:pStyle w:val="Btablefigureunbold"/>
            </w:pPr>
          </w:p>
        </w:tc>
        <w:tc>
          <w:tcPr>
            <w:tcW w:w="1157" w:type="dxa"/>
            <w:tcBorders>
              <w:bottom w:val="nil"/>
            </w:tcBorders>
            <w:shd w:val="clear" w:color="472D8C" w:fill="auto"/>
          </w:tcPr>
          <w:p w14:paraId="3B90E7F3" w14:textId="77777777" w:rsidR="00A60D4B" w:rsidRPr="00111524" w:rsidRDefault="00A60D4B" w:rsidP="00A60D4B">
            <w:pPr>
              <w:pStyle w:val="Btablefigureunbold"/>
              <w:rPr>
                <w:color w:val="000000"/>
              </w:rPr>
            </w:pPr>
          </w:p>
        </w:tc>
        <w:tc>
          <w:tcPr>
            <w:tcW w:w="1158" w:type="dxa"/>
            <w:tcBorders>
              <w:bottom w:val="nil"/>
            </w:tcBorders>
            <w:shd w:val="clear" w:color="auto" w:fill="auto"/>
          </w:tcPr>
          <w:p w14:paraId="411F1A49" w14:textId="77777777" w:rsidR="00A60D4B" w:rsidRPr="00EC74DB" w:rsidRDefault="00A60D4B" w:rsidP="00A60D4B">
            <w:pPr>
              <w:pStyle w:val="Btablefigureunbold"/>
            </w:pPr>
          </w:p>
        </w:tc>
        <w:tc>
          <w:tcPr>
            <w:tcW w:w="1158" w:type="dxa"/>
            <w:tcBorders>
              <w:bottom w:val="nil"/>
            </w:tcBorders>
          </w:tcPr>
          <w:p w14:paraId="61404785" w14:textId="77777777" w:rsidR="00A60D4B" w:rsidRPr="00EC74DB" w:rsidRDefault="00A60D4B" w:rsidP="00A60D4B">
            <w:pPr>
              <w:pStyle w:val="Btablefigureunbold"/>
            </w:pPr>
          </w:p>
        </w:tc>
      </w:tr>
      <w:tr w:rsidR="00A60D4B" w:rsidRPr="00337DC9" w14:paraId="7C5DF0BD" w14:textId="77777777" w:rsidTr="00A60D4B">
        <w:trPr>
          <w:trHeight w:val="20"/>
        </w:trPr>
        <w:tc>
          <w:tcPr>
            <w:tcW w:w="2268" w:type="dxa"/>
            <w:tcBorders>
              <w:top w:val="nil"/>
              <w:bottom w:val="nil"/>
            </w:tcBorders>
          </w:tcPr>
          <w:p w14:paraId="21737ED2" w14:textId="77777777" w:rsidR="00A60D4B" w:rsidRPr="00EC74DB" w:rsidRDefault="00A60D4B" w:rsidP="00A60D4B">
            <w:pPr>
              <w:pStyle w:val="Btabletextunbold"/>
            </w:pPr>
            <w:r>
              <w:t>Payroll tax</w:t>
            </w:r>
          </w:p>
        </w:tc>
        <w:tc>
          <w:tcPr>
            <w:tcW w:w="1157" w:type="dxa"/>
            <w:tcBorders>
              <w:top w:val="nil"/>
              <w:bottom w:val="nil"/>
            </w:tcBorders>
          </w:tcPr>
          <w:p w14:paraId="66D4F7C2" w14:textId="77777777" w:rsidR="00A60D4B" w:rsidRDefault="00A60D4B" w:rsidP="00A60D4B">
            <w:pPr>
              <w:pStyle w:val="Btablefigureunbold"/>
            </w:pPr>
            <w:r w:rsidRPr="00014CD5">
              <w:t xml:space="preserve">563,507 </w:t>
            </w:r>
          </w:p>
        </w:tc>
        <w:tc>
          <w:tcPr>
            <w:tcW w:w="1253" w:type="dxa"/>
            <w:tcBorders>
              <w:top w:val="nil"/>
              <w:bottom w:val="nil"/>
            </w:tcBorders>
          </w:tcPr>
          <w:p w14:paraId="1331B388" w14:textId="77777777" w:rsidR="00A60D4B" w:rsidRPr="00EC74DB" w:rsidRDefault="00A60D4B" w:rsidP="00A60D4B">
            <w:pPr>
              <w:pStyle w:val="Btablefigureunbold"/>
            </w:pPr>
            <w:r w:rsidRPr="003345A4">
              <w:t>576,294</w:t>
            </w:r>
          </w:p>
        </w:tc>
        <w:tc>
          <w:tcPr>
            <w:tcW w:w="1063" w:type="dxa"/>
            <w:tcBorders>
              <w:top w:val="nil"/>
              <w:bottom w:val="nil"/>
            </w:tcBorders>
            <w:shd w:val="clear" w:color="auto" w:fill="auto"/>
          </w:tcPr>
          <w:p w14:paraId="74C12B04" w14:textId="77777777" w:rsidR="00A60D4B" w:rsidRPr="00726CF5" w:rsidRDefault="00A60D4B" w:rsidP="00A60D4B">
            <w:pPr>
              <w:pStyle w:val="BTablefigureBold"/>
              <w:rPr>
                <w:b w:val="0"/>
                <w:bCs/>
              </w:rPr>
            </w:pPr>
            <w:r w:rsidRPr="00726CF5">
              <w:rPr>
                <w:b w:val="0"/>
                <w:bCs/>
              </w:rPr>
              <w:t>588,846</w:t>
            </w:r>
          </w:p>
        </w:tc>
        <w:tc>
          <w:tcPr>
            <w:tcW w:w="1157" w:type="dxa"/>
            <w:tcBorders>
              <w:top w:val="nil"/>
              <w:bottom w:val="nil"/>
            </w:tcBorders>
            <w:shd w:val="clear" w:color="472D8C" w:fill="auto"/>
          </w:tcPr>
          <w:p w14:paraId="319C24A7" w14:textId="77777777" w:rsidR="00A60D4B" w:rsidRPr="00111524" w:rsidRDefault="00A60D4B" w:rsidP="00A60D4B">
            <w:pPr>
              <w:pStyle w:val="Btablefigureunbold"/>
              <w:rPr>
                <w:color w:val="000000"/>
              </w:rPr>
            </w:pPr>
            <w:r w:rsidRPr="00F817ED">
              <w:t>646,694</w:t>
            </w:r>
          </w:p>
        </w:tc>
        <w:tc>
          <w:tcPr>
            <w:tcW w:w="1158" w:type="dxa"/>
            <w:tcBorders>
              <w:top w:val="nil"/>
              <w:bottom w:val="nil"/>
            </w:tcBorders>
            <w:shd w:val="clear" w:color="auto" w:fill="auto"/>
          </w:tcPr>
          <w:p w14:paraId="4E36D93C" w14:textId="77777777" w:rsidR="00A60D4B" w:rsidRPr="00EC74DB" w:rsidRDefault="00A60D4B" w:rsidP="00A60D4B">
            <w:pPr>
              <w:pStyle w:val="Btablefigureunbold"/>
            </w:pPr>
            <w:r w:rsidRPr="00F817ED">
              <w:t>695,196</w:t>
            </w:r>
          </w:p>
        </w:tc>
        <w:tc>
          <w:tcPr>
            <w:tcW w:w="1158" w:type="dxa"/>
            <w:tcBorders>
              <w:top w:val="nil"/>
              <w:bottom w:val="nil"/>
            </w:tcBorders>
          </w:tcPr>
          <w:p w14:paraId="29389FFA" w14:textId="77777777" w:rsidR="00A60D4B" w:rsidRPr="00EC74DB" w:rsidRDefault="00A60D4B" w:rsidP="00A60D4B">
            <w:pPr>
              <w:pStyle w:val="Btablefigureunbold"/>
            </w:pPr>
            <w:r w:rsidRPr="00F817ED">
              <w:t>747,336</w:t>
            </w:r>
          </w:p>
        </w:tc>
      </w:tr>
      <w:tr w:rsidR="00A60D4B" w:rsidRPr="00337DC9" w14:paraId="79726BEB" w14:textId="77777777" w:rsidTr="00A60D4B">
        <w:trPr>
          <w:trHeight w:val="20"/>
        </w:trPr>
        <w:tc>
          <w:tcPr>
            <w:tcW w:w="2268" w:type="dxa"/>
            <w:tcBorders>
              <w:top w:val="nil"/>
              <w:bottom w:val="nil"/>
            </w:tcBorders>
          </w:tcPr>
          <w:p w14:paraId="3AE98855" w14:textId="77777777" w:rsidR="00A60D4B" w:rsidRDefault="00A60D4B" w:rsidP="00A60D4B">
            <w:pPr>
              <w:pStyle w:val="Btabletextunbold"/>
            </w:pPr>
            <w:r>
              <w:t>Tax waivers</w:t>
            </w:r>
          </w:p>
        </w:tc>
        <w:tc>
          <w:tcPr>
            <w:tcW w:w="1157" w:type="dxa"/>
            <w:tcBorders>
              <w:top w:val="nil"/>
              <w:bottom w:val="nil"/>
            </w:tcBorders>
          </w:tcPr>
          <w:p w14:paraId="2C200085" w14:textId="77777777" w:rsidR="00A60D4B" w:rsidRDefault="00A60D4B" w:rsidP="00A60D4B">
            <w:pPr>
              <w:pStyle w:val="Btablefigureunbold"/>
            </w:pPr>
            <w:r w:rsidRPr="00014CD5">
              <w:t xml:space="preserve">9,636 </w:t>
            </w:r>
          </w:p>
        </w:tc>
        <w:tc>
          <w:tcPr>
            <w:tcW w:w="1253" w:type="dxa"/>
            <w:tcBorders>
              <w:top w:val="nil"/>
              <w:bottom w:val="nil"/>
            </w:tcBorders>
          </w:tcPr>
          <w:p w14:paraId="62C0A769" w14:textId="77777777" w:rsidR="00A60D4B" w:rsidRDefault="00A60D4B" w:rsidP="00A60D4B">
            <w:pPr>
              <w:pStyle w:val="Btablefigureunbold"/>
            </w:pPr>
            <w:r>
              <w:t>-</w:t>
            </w:r>
          </w:p>
        </w:tc>
        <w:tc>
          <w:tcPr>
            <w:tcW w:w="1063" w:type="dxa"/>
            <w:tcBorders>
              <w:top w:val="nil"/>
              <w:bottom w:val="nil"/>
            </w:tcBorders>
            <w:shd w:val="clear" w:color="auto" w:fill="auto"/>
          </w:tcPr>
          <w:p w14:paraId="13E350B9" w14:textId="77777777" w:rsidR="00A60D4B" w:rsidRPr="00653BCC" w:rsidRDefault="00A60D4B" w:rsidP="00A60D4B">
            <w:pPr>
              <w:pStyle w:val="BTablefigureBold"/>
              <w:rPr>
                <w:b w:val="0"/>
                <w:bCs/>
              </w:rPr>
            </w:pPr>
            <w:r w:rsidRPr="00653BCC">
              <w:rPr>
                <w:b w:val="0"/>
                <w:bCs/>
              </w:rPr>
              <w:t xml:space="preserve">4,497 </w:t>
            </w:r>
          </w:p>
        </w:tc>
        <w:tc>
          <w:tcPr>
            <w:tcW w:w="1157" w:type="dxa"/>
            <w:tcBorders>
              <w:top w:val="nil"/>
              <w:bottom w:val="nil"/>
            </w:tcBorders>
            <w:shd w:val="clear" w:color="472D8C" w:fill="auto"/>
          </w:tcPr>
          <w:p w14:paraId="129C7A10" w14:textId="77777777" w:rsidR="00A60D4B" w:rsidRPr="00111524" w:rsidRDefault="00A60D4B" w:rsidP="00A60D4B">
            <w:pPr>
              <w:pStyle w:val="Btablefigureunbold"/>
              <w:rPr>
                <w:color w:val="000000"/>
              </w:rPr>
            </w:pPr>
            <w:r w:rsidRPr="009040C2">
              <w:t xml:space="preserve">2,337 </w:t>
            </w:r>
          </w:p>
        </w:tc>
        <w:tc>
          <w:tcPr>
            <w:tcW w:w="1158" w:type="dxa"/>
            <w:tcBorders>
              <w:top w:val="nil"/>
              <w:bottom w:val="nil"/>
            </w:tcBorders>
            <w:shd w:val="clear" w:color="auto" w:fill="auto"/>
          </w:tcPr>
          <w:p w14:paraId="18037BC6" w14:textId="77777777" w:rsidR="00A60D4B" w:rsidRPr="00EC74DB" w:rsidRDefault="00A60D4B" w:rsidP="00A60D4B">
            <w:pPr>
              <w:pStyle w:val="Btablefigureunbold"/>
            </w:pPr>
            <w:r w:rsidRPr="009040C2">
              <w:t xml:space="preserve">2,384 </w:t>
            </w:r>
          </w:p>
        </w:tc>
        <w:tc>
          <w:tcPr>
            <w:tcW w:w="1158" w:type="dxa"/>
            <w:tcBorders>
              <w:top w:val="nil"/>
              <w:bottom w:val="nil"/>
            </w:tcBorders>
          </w:tcPr>
          <w:p w14:paraId="58B02B1A" w14:textId="77777777" w:rsidR="00A60D4B" w:rsidRPr="00EC74DB" w:rsidRDefault="00A60D4B" w:rsidP="00A60D4B">
            <w:pPr>
              <w:pStyle w:val="Btablefigureunbold"/>
            </w:pPr>
            <w:r w:rsidRPr="009040C2">
              <w:t xml:space="preserve">2,432 </w:t>
            </w:r>
          </w:p>
        </w:tc>
      </w:tr>
      <w:tr w:rsidR="00A60D4B" w:rsidRPr="00337DC9" w14:paraId="3EF2078A" w14:textId="77777777" w:rsidTr="00A60D4B">
        <w:trPr>
          <w:trHeight w:val="20"/>
        </w:trPr>
        <w:tc>
          <w:tcPr>
            <w:tcW w:w="2268" w:type="dxa"/>
            <w:tcBorders>
              <w:top w:val="nil"/>
              <w:bottom w:val="nil"/>
            </w:tcBorders>
          </w:tcPr>
          <w:p w14:paraId="35A310A8" w14:textId="77777777" w:rsidR="00A60D4B" w:rsidRDefault="00A60D4B" w:rsidP="00A60D4B">
            <w:pPr>
              <w:pStyle w:val="Btabletextunbold"/>
            </w:pPr>
            <w:r>
              <w:t>General rates</w:t>
            </w:r>
          </w:p>
        </w:tc>
        <w:tc>
          <w:tcPr>
            <w:tcW w:w="1157" w:type="dxa"/>
            <w:tcBorders>
              <w:top w:val="nil"/>
              <w:bottom w:val="nil"/>
            </w:tcBorders>
          </w:tcPr>
          <w:p w14:paraId="4BC2C14A" w14:textId="77777777" w:rsidR="00A60D4B" w:rsidRDefault="00A60D4B" w:rsidP="00A60D4B">
            <w:pPr>
              <w:pStyle w:val="Btablefigureunbold"/>
            </w:pPr>
            <w:r w:rsidRPr="004432C2">
              <w:t xml:space="preserve">614,543 </w:t>
            </w:r>
          </w:p>
        </w:tc>
        <w:tc>
          <w:tcPr>
            <w:tcW w:w="1253" w:type="dxa"/>
            <w:tcBorders>
              <w:top w:val="nil"/>
              <w:bottom w:val="nil"/>
            </w:tcBorders>
          </w:tcPr>
          <w:p w14:paraId="097E1FEF" w14:textId="77777777" w:rsidR="00A60D4B" w:rsidRDefault="00A60D4B" w:rsidP="00A60D4B">
            <w:pPr>
              <w:pStyle w:val="Btablefigureunbold"/>
            </w:pPr>
            <w:r w:rsidRPr="004432C2">
              <w:t xml:space="preserve">612,338 </w:t>
            </w:r>
          </w:p>
        </w:tc>
        <w:tc>
          <w:tcPr>
            <w:tcW w:w="1063" w:type="dxa"/>
            <w:tcBorders>
              <w:top w:val="nil"/>
              <w:bottom w:val="nil"/>
            </w:tcBorders>
            <w:shd w:val="clear" w:color="auto" w:fill="auto"/>
          </w:tcPr>
          <w:p w14:paraId="469BC474" w14:textId="77777777" w:rsidR="00A60D4B" w:rsidRPr="009217C9" w:rsidRDefault="00A60D4B" w:rsidP="00A60D4B">
            <w:pPr>
              <w:pStyle w:val="BTablefigureBold"/>
              <w:rPr>
                <w:b w:val="0"/>
                <w:bCs/>
              </w:rPr>
            </w:pPr>
            <w:r w:rsidRPr="009217C9">
              <w:rPr>
                <w:b w:val="0"/>
                <w:bCs/>
              </w:rPr>
              <w:t xml:space="preserve">660,691 </w:t>
            </w:r>
          </w:p>
        </w:tc>
        <w:tc>
          <w:tcPr>
            <w:tcW w:w="1157" w:type="dxa"/>
            <w:tcBorders>
              <w:top w:val="nil"/>
              <w:bottom w:val="nil"/>
            </w:tcBorders>
            <w:shd w:val="clear" w:color="472D8C" w:fill="auto"/>
          </w:tcPr>
          <w:p w14:paraId="60CC6B8F" w14:textId="77777777" w:rsidR="00A60D4B" w:rsidRPr="00111524" w:rsidRDefault="00A60D4B" w:rsidP="00A60D4B">
            <w:pPr>
              <w:pStyle w:val="Btablefigureunbold"/>
              <w:rPr>
                <w:color w:val="000000"/>
              </w:rPr>
            </w:pPr>
            <w:r w:rsidRPr="004432C2">
              <w:t xml:space="preserve">716,059 </w:t>
            </w:r>
          </w:p>
        </w:tc>
        <w:tc>
          <w:tcPr>
            <w:tcW w:w="1158" w:type="dxa"/>
            <w:tcBorders>
              <w:top w:val="nil"/>
              <w:bottom w:val="nil"/>
            </w:tcBorders>
            <w:shd w:val="clear" w:color="auto" w:fill="auto"/>
          </w:tcPr>
          <w:p w14:paraId="1D47297D" w14:textId="77777777" w:rsidR="00A60D4B" w:rsidRPr="00EC74DB" w:rsidRDefault="00A60D4B" w:rsidP="00A60D4B">
            <w:pPr>
              <w:pStyle w:val="Btablefigureunbold"/>
            </w:pPr>
            <w:r w:rsidRPr="004432C2">
              <w:t xml:space="preserve">756,062 </w:t>
            </w:r>
          </w:p>
        </w:tc>
        <w:tc>
          <w:tcPr>
            <w:tcW w:w="1158" w:type="dxa"/>
            <w:tcBorders>
              <w:top w:val="nil"/>
              <w:bottom w:val="nil"/>
            </w:tcBorders>
          </w:tcPr>
          <w:p w14:paraId="4E0F6066" w14:textId="77777777" w:rsidR="00A60D4B" w:rsidRPr="00EC74DB" w:rsidRDefault="00A60D4B" w:rsidP="00A60D4B">
            <w:pPr>
              <w:pStyle w:val="Btablefigureunbold"/>
            </w:pPr>
            <w:r w:rsidRPr="004432C2">
              <w:t xml:space="preserve">798,693 </w:t>
            </w:r>
          </w:p>
        </w:tc>
      </w:tr>
      <w:tr w:rsidR="00A60D4B" w:rsidRPr="00337DC9" w14:paraId="59CC8CE9" w14:textId="77777777" w:rsidTr="00A60D4B">
        <w:trPr>
          <w:trHeight w:val="20"/>
        </w:trPr>
        <w:tc>
          <w:tcPr>
            <w:tcW w:w="2268" w:type="dxa"/>
            <w:tcBorders>
              <w:top w:val="nil"/>
              <w:bottom w:val="nil"/>
            </w:tcBorders>
          </w:tcPr>
          <w:p w14:paraId="661814D8" w14:textId="77777777" w:rsidR="00A60D4B" w:rsidRDefault="00A60D4B" w:rsidP="00A60D4B">
            <w:pPr>
              <w:pStyle w:val="Btabletextunbold"/>
            </w:pPr>
            <w:r>
              <w:t>Land tax</w:t>
            </w:r>
          </w:p>
        </w:tc>
        <w:tc>
          <w:tcPr>
            <w:tcW w:w="1157" w:type="dxa"/>
            <w:tcBorders>
              <w:top w:val="nil"/>
              <w:bottom w:val="nil"/>
            </w:tcBorders>
          </w:tcPr>
          <w:p w14:paraId="44E488E5" w14:textId="77777777" w:rsidR="00A60D4B" w:rsidRDefault="00A60D4B" w:rsidP="00A60D4B">
            <w:pPr>
              <w:pStyle w:val="Btablefigureunbold"/>
            </w:pPr>
            <w:r>
              <w:t>147,404</w:t>
            </w:r>
          </w:p>
        </w:tc>
        <w:tc>
          <w:tcPr>
            <w:tcW w:w="1253" w:type="dxa"/>
            <w:tcBorders>
              <w:top w:val="nil"/>
              <w:bottom w:val="nil"/>
            </w:tcBorders>
          </w:tcPr>
          <w:p w14:paraId="0E649EA6" w14:textId="77777777" w:rsidR="00A60D4B" w:rsidRPr="00C73254" w:rsidRDefault="00A60D4B" w:rsidP="00A60D4B">
            <w:pPr>
              <w:pStyle w:val="Btablefigureunbold"/>
            </w:pPr>
            <w:r w:rsidRPr="00C73254">
              <w:t>149,082</w:t>
            </w:r>
          </w:p>
        </w:tc>
        <w:tc>
          <w:tcPr>
            <w:tcW w:w="1063" w:type="dxa"/>
            <w:tcBorders>
              <w:top w:val="nil"/>
              <w:bottom w:val="nil"/>
            </w:tcBorders>
            <w:shd w:val="clear" w:color="auto" w:fill="auto"/>
          </w:tcPr>
          <w:p w14:paraId="4526F788" w14:textId="77777777" w:rsidR="00A60D4B" w:rsidRPr="00C73254" w:rsidRDefault="00A60D4B" w:rsidP="00A60D4B">
            <w:pPr>
              <w:pStyle w:val="BTablefigureBold"/>
              <w:rPr>
                <w:b w:val="0"/>
              </w:rPr>
            </w:pPr>
            <w:r w:rsidRPr="00C73254">
              <w:rPr>
                <w:b w:val="0"/>
              </w:rPr>
              <w:t>157,957</w:t>
            </w:r>
          </w:p>
        </w:tc>
        <w:tc>
          <w:tcPr>
            <w:tcW w:w="1157" w:type="dxa"/>
            <w:tcBorders>
              <w:top w:val="nil"/>
              <w:bottom w:val="nil"/>
            </w:tcBorders>
            <w:shd w:val="clear" w:color="472D8C" w:fill="auto"/>
          </w:tcPr>
          <w:p w14:paraId="02F30336" w14:textId="77777777" w:rsidR="00A60D4B" w:rsidRPr="00C73254" w:rsidRDefault="00A60D4B" w:rsidP="00A60D4B">
            <w:pPr>
              <w:pStyle w:val="Btablefigureunbold"/>
              <w:rPr>
                <w:color w:val="000000"/>
              </w:rPr>
            </w:pPr>
            <w:r w:rsidRPr="00C73254">
              <w:t>177,675</w:t>
            </w:r>
          </w:p>
        </w:tc>
        <w:tc>
          <w:tcPr>
            <w:tcW w:w="1158" w:type="dxa"/>
            <w:tcBorders>
              <w:top w:val="nil"/>
              <w:bottom w:val="nil"/>
            </w:tcBorders>
            <w:shd w:val="clear" w:color="auto" w:fill="auto"/>
          </w:tcPr>
          <w:p w14:paraId="3FCEEA2F" w14:textId="77777777" w:rsidR="00A60D4B" w:rsidRPr="00C73254" w:rsidRDefault="00A60D4B" w:rsidP="00A60D4B">
            <w:pPr>
              <w:pStyle w:val="Btablefigureunbold"/>
            </w:pPr>
            <w:r w:rsidRPr="00C73254">
              <w:t>181,925</w:t>
            </w:r>
          </w:p>
        </w:tc>
        <w:tc>
          <w:tcPr>
            <w:tcW w:w="1158" w:type="dxa"/>
            <w:tcBorders>
              <w:top w:val="nil"/>
              <w:bottom w:val="nil"/>
            </w:tcBorders>
          </w:tcPr>
          <w:p w14:paraId="7FFAF66C" w14:textId="77777777" w:rsidR="00A60D4B" w:rsidRPr="00C73254" w:rsidRDefault="00A60D4B" w:rsidP="00A60D4B">
            <w:pPr>
              <w:pStyle w:val="Btablefigureunbold"/>
            </w:pPr>
            <w:r w:rsidRPr="00C73254">
              <w:t>188,711</w:t>
            </w:r>
          </w:p>
        </w:tc>
      </w:tr>
      <w:tr w:rsidR="00A60D4B" w:rsidRPr="00653BCC" w14:paraId="7EB2592A" w14:textId="77777777" w:rsidTr="00A60D4B">
        <w:trPr>
          <w:trHeight w:val="20"/>
        </w:trPr>
        <w:tc>
          <w:tcPr>
            <w:tcW w:w="2268" w:type="dxa"/>
            <w:tcBorders>
              <w:top w:val="nil"/>
              <w:bottom w:val="nil"/>
            </w:tcBorders>
          </w:tcPr>
          <w:p w14:paraId="1746B444" w14:textId="77777777" w:rsidR="00A60D4B" w:rsidRPr="00653BCC" w:rsidRDefault="00A60D4B" w:rsidP="00A60D4B">
            <w:pPr>
              <w:pStyle w:val="Btabletextitalic"/>
              <w:rPr>
                <w:b/>
                <w:bCs/>
                <w:i w:val="0"/>
                <w:iCs/>
              </w:rPr>
            </w:pPr>
            <w:r w:rsidRPr="00653BCC">
              <w:rPr>
                <w:b/>
                <w:bCs/>
                <w:i w:val="0"/>
                <w:iCs/>
              </w:rPr>
              <w:t>Total general tax</w:t>
            </w:r>
          </w:p>
        </w:tc>
        <w:tc>
          <w:tcPr>
            <w:tcW w:w="1157" w:type="dxa"/>
            <w:tcBorders>
              <w:top w:val="nil"/>
              <w:bottom w:val="nil"/>
            </w:tcBorders>
          </w:tcPr>
          <w:p w14:paraId="0E7E6494" w14:textId="77777777" w:rsidR="00A60D4B" w:rsidRPr="00653BCC" w:rsidRDefault="00A60D4B" w:rsidP="00A60D4B">
            <w:pPr>
              <w:pStyle w:val="Btablefigureunbold"/>
              <w:rPr>
                <w:b/>
                <w:bCs/>
              </w:rPr>
            </w:pPr>
            <w:r w:rsidRPr="00653BCC">
              <w:rPr>
                <w:b/>
                <w:bCs/>
              </w:rPr>
              <w:t xml:space="preserve">1,335,090 </w:t>
            </w:r>
          </w:p>
        </w:tc>
        <w:tc>
          <w:tcPr>
            <w:tcW w:w="1253" w:type="dxa"/>
            <w:tcBorders>
              <w:top w:val="nil"/>
              <w:bottom w:val="nil"/>
            </w:tcBorders>
          </w:tcPr>
          <w:p w14:paraId="21E54D5F" w14:textId="77777777" w:rsidR="00A60D4B" w:rsidRPr="00555E8E" w:rsidRDefault="00A60D4B" w:rsidP="00A60D4B">
            <w:pPr>
              <w:pStyle w:val="Btablefigureunbold"/>
              <w:rPr>
                <w:b/>
                <w:bCs/>
              </w:rPr>
            </w:pPr>
            <w:r>
              <w:rPr>
                <w:rFonts w:cs="Calibri"/>
                <w:b/>
                <w:bCs/>
                <w:szCs w:val="20"/>
              </w:rPr>
              <w:t xml:space="preserve">1,337,714 </w:t>
            </w:r>
          </w:p>
        </w:tc>
        <w:tc>
          <w:tcPr>
            <w:tcW w:w="1063" w:type="dxa"/>
            <w:tcBorders>
              <w:top w:val="nil"/>
              <w:bottom w:val="nil"/>
            </w:tcBorders>
            <w:shd w:val="clear" w:color="auto" w:fill="auto"/>
          </w:tcPr>
          <w:p w14:paraId="74D5F38D" w14:textId="77777777" w:rsidR="00A60D4B" w:rsidRPr="00555E8E" w:rsidRDefault="00A60D4B" w:rsidP="00A60D4B">
            <w:pPr>
              <w:pStyle w:val="Btablefigureunbold"/>
              <w:rPr>
                <w:b/>
                <w:bCs/>
              </w:rPr>
            </w:pPr>
            <w:r>
              <w:rPr>
                <w:rFonts w:cs="Calibri"/>
                <w:b/>
                <w:bCs/>
                <w:szCs w:val="20"/>
              </w:rPr>
              <w:t xml:space="preserve">1,411,991 </w:t>
            </w:r>
          </w:p>
        </w:tc>
        <w:tc>
          <w:tcPr>
            <w:tcW w:w="1157" w:type="dxa"/>
            <w:tcBorders>
              <w:top w:val="nil"/>
              <w:bottom w:val="nil"/>
            </w:tcBorders>
            <w:shd w:val="clear" w:color="472D8C" w:fill="auto"/>
          </w:tcPr>
          <w:p w14:paraId="4EED5159" w14:textId="77777777" w:rsidR="00A60D4B" w:rsidRPr="00555E8E" w:rsidRDefault="00A60D4B" w:rsidP="00A60D4B">
            <w:pPr>
              <w:pStyle w:val="Btablefigureunbold"/>
              <w:rPr>
                <w:b/>
                <w:bCs/>
                <w:color w:val="000000"/>
              </w:rPr>
            </w:pPr>
            <w:r>
              <w:rPr>
                <w:rFonts w:cs="Calibri"/>
                <w:b/>
                <w:bCs/>
                <w:szCs w:val="20"/>
              </w:rPr>
              <w:t xml:space="preserve">1,542,765 </w:t>
            </w:r>
          </w:p>
        </w:tc>
        <w:tc>
          <w:tcPr>
            <w:tcW w:w="1158" w:type="dxa"/>
            <w:tcBorders>
              <w:top w:val="nil"/>
              <w:bottom w:val="nil"/>
            </w:tcBorders>
            <w:shd w:val="clear" w:color="auto" w:fill="auto"/>
          </w:tcPr>
          <w:p w14:paraId="0156972E" w14:textId="77777777" w:rsidR="00A60D4B" w:rsidRPr="00555E8E" w:rsidRDefault="00A60D4B" w:rsidP="00A60D4B">
            <w:pPr>
              <w:pStyle w:val="Btablefigureunbold"/>
              <w:rPr>
                <w:b/>
                <w:bCs/>
              </w:rPr>
            </w:pPr>
            <w:r>
              <w:rPr>
                <w:rFonts w:cs="Calibri"/>
                <w:b/>
                <w:bCs/>
                <w:szCs w:val="20"/>
              </w:rPr>
              <w:t xml:space="preserve">1,635,567 </w:t>
            </w:r>
          </w:p>
        </w:tc>
        <w:tc>
          <w:tcPr>
            <w:tcW w:w="1158" w:type="dxa"/>
            <w:tcBorders>
              <w:top w:val="nil"/>
              <w:bottom w:val="nil"/>
            </w:tcBorders>
          </w:tcPr>
          <w:p w14:paraId="71F27D00" w14:textId="77777777" w:rsidR="00A60D4B" w:rsidRPr="00555E8E" w:rsidRDefault="00A60D4B" w:rsidP="00A60D4B">
            <w:pPr>
              <w:pStyle w:val="Btablefigureunbold"/>
              <w:rPr>
                <w:b/>
                <w:bCs/>
              </w:rPr>
            </w:pPr>
            <w:r>
              <w:rPr>
                <w:rFonts w:cs="Calibri"/>
                <w:b/>
                <w:bCs/>
                <w:szCs w:val="20"/>
              </w:rPr>
              <w:t xml:space="preserve">1,737,172 </w:t>
            </w:r>
          </w:p>
        </w:tc>
      </w:tr>
      <w:tr w:rsidR="00A60D4B" w:rsidRPr="00337DC9" w14:paraId="140128A1" w14:textId="77777777" w:rsidTr="00A60D4B">
        <w:trPr>
          <w:trHeight w:val="397"/>
        </w:trPr>
        <w:tc>
          <w:tcPr>
            <w:tcW w:w="2268" w:type="dxa"/>
            <w:tcBorders>
              <w:top w:val="nil"/>
              <w:bottom w:val="nil"/>
            </w:tcBorders>
            <w:vAlign w:val="bottom"/>
          </w:tcPr>
          <w:p w14:paraId="1B13A8DB" w14:textId="77777777" w:rsidR="00A60D4B" w:rsidRPr="00F73FDA" w:rsidRDefault="00A60D4B" w:rsidP="00A60D4B">
            <w:pPr>
              <w:pStyle w:val="Btabletextbolditalic"/>
              <w:rPr>
                <w:i w:val="0"/>
                <w:iCs/>
              </w:rPr>
            </w:pPr>
            <w:r w:rsidRPr="00F73FDA">
              <w:rPr>
                <w:i w:val="0"/>
                <w:iCs/>
              </w:rPr>
              <w:t>Duties</w:t>
            </w:r>
          </w:p>
        </w:tc>
        <w:tc>
          <w:tcPr>
            <w:tcW w:w="1157" w:type="dxa"/>
            <w:tcBorders>
              <w:top w:val="nil"/>
              <w:bottom w:val="nil"/>
            </w:tcBorders>
            <w:vAlign w:val="bottom"/>
          </w:tcPr>
          <w:p w14:paraId="5C419221" w14:textId="77777777" w:rsidR="00A60D4B" w:rsidRPr="00EC74DB" w:rsidRDefault="00A60D4B" w:rsidP="00A60D4B">
            <w:pPr>
              <w:pStyle w:val="Btablefigureunbold"/>
              <w:jc w:val="left"/>
            </w:pPr>
          </w:p>
        </w:tc>
        <w:tc>
          <w:tcPr>
            <w:tcW w:w="1253" w:type="dxa"/>
            <w:tcBorders>
              <w:top w:val="nil"/>
              <w:bottom w:val="nil"/>
            </w:tcBorders>
            <w:vAlign w:val="bottom"/>
          </w:tcPr>
          <w:p w14:paraId="5A8FDB25" w14:textId="77777777" w:rsidR="00A60D4B" w:rsidRPr="00EC74DB" w:rsidRDefault="00A60D4B" w:rsidP="00A60D4B">
            <w:pPr>
              <w:pStyle w:val="Btablefigureunbold"/>
              <w:jc w:val="left"/>
            </w:pPr>
          </w:p>
        </w:tc>
        <w:tc>
          <w:tcPr>
            <w:tcW w:w="1063" w:type="dxa"/>
            <w:tcBorders>
              <w:top w:val="nil"/>
              <w:bottom w:val="nil"/>
            </w:tcBorders>
            <w:shd w:val="clear" w:color="auto" w:fill="auto"/>
            <w:vAlign w:val="bottom"/>
          </w:tcPr>
          <w:p w14:paraId="5BD70E81" w14:textId="77777777" w:rsidR="00A60D4B" w:rsidRPr="00653BCC" w:rsidRDefault="00A60D4B" w:rsidP="00A60D4B">
            <w:pPr>
              <w:pStyle w:val="Btablefigureunbold"/>
              <w:jc w:val="left"/>
              <w:rPr>
                <w:bCs/>
              </w:rPr>
            </w:pPr>
          </w:p>
        </w:tc>
        <w:tc>
          <w:tcPr>
            <w:tcW w:w="1157" w:type="dxa"/>
            <w:tcBorders>
              <w:top w:val="nil"/>
              <w:bottom w:val="nil"/>
            </w:tcBorders>
            <w:shd w:val="clear" w:color="472D8C" w:fill="auto"/>
            <w:vAlign w:val="bottom"/>
          </w:tcPr>
          <w:p w14:paraId="64545290" w14:textId="77777777" w:rsidR="00A60D4B" w:rsidRPr="00111524" w:rsidRDefault="00A60D4B" w:rsidP="00A60D4B">
            <w:pPr>
              <w:pStyle w:val="Btablefigureunbold"/>
              <w:jc w:val="left"/>
              <w:rPr>
                <w:color w:val="000000"/>
              </w:rPr>
            </w:pPr>
          </w:p>
        </w:tc>
        <w:tc>
          <w:tcPr>
            <w:tcW w:w="1158" w:type="dxa"/>
            <w:tcBorders>
              <w:top w:val="nil"/>
              <w:bottom w:val="nil"/>
            </w:tcBorders>
            <w:shd w:val="clear" w:color="auto" w:fill="auto"/>
            <w:vAlign w:val="bottom"/>
          </w:tcPr>
          <w:p w14:paraId="11F04724" w14:textId="77777777" w:rsidR="00A60D4B" w:rsidRPr="00EC74DB" w:rsidRDefault="00A60D4B" w:rsidP="00A60D4B">
            <w:pPr>
              <w:pStyle w:val="Btablefigureunbold"/>
              <w:jc w:val="left"/>
            </w:pPr>
          </w:p>
        </w:tc>
        <w:tc>
          <w:tcPr>
            <w:tcW w:w="1158" w:type="dxa"/>
            <w:tcBorders>
              <w:top w:val="nil"/>
              <w:bottom w:val="nil"/>
            </w:tcBorders>
            <w:vAlign w:val="bottom"/>
          </w:tcPr>
          <w:p w14:paraId="49E5E7F9" w14:textId="77777777" w:rsidR="00A60D4B" w:rsidRPr="00EC74DB" w:rsidRDefault="00A60D4B" w:rsidP="00A60D4B">
            <w:pPr>
              <w:pStyle w:val="Btablefigureunbold"/>
              <w:jc w:val="left"/>
            </w:pPr>
          </w:p>
        </w:tc>
      </w:tr>
      <w:tr w:rsidR="00A60D4B" w:rsidRPr="00337DC9" w14:paraId="192F595C" w14:textId="77777777" w:rsidTr="00A60D4B">
        <w:trPr>
          <w:trHeight w:val="227"/>
        </w:trPr>
        <w:tc>
          <w:tcPr>
            <w:tcW w:w="2268" w:type="dxa"/>
            <w:tcBorders>
              <w:top w:val="nil"/>
              <w:bottom w:val="nil"/>
            </w:tcBorders>
          </w:tcPr>
          <w:p w14:paraId="0B8074EB" w14:textId="77777777" w:rsidR="00A60D4B" w:rsidRDefault="00A60D4B" w:rsidP="00A60D4B">
            <w:pPr>
              <w:pStyle w:val="Btabletextbolditalic"/>
              <w:rPr>
                <w:b w:val="0"/>
                <w:bCs/>
                <w:i w:val="0"/>
                <w:iCs/>
              </w:rPr>
            </w:pPr>
            <w:r>
              <w:rPr>
                <w:b w:val="0"/>
                <w:bCs/>
                <w:i w:val="0"/>
                <w:iCs/>
              </w:rPr>
              <w:t>Commercial conveyances</w:t>
            </w:r>
          </w:p>
        </w:tc>
        <w:tc>
          <w:tcPr>
            <w:tcW w:w="1157" w:type="dxa"/>
            <w:tcBorders>
              <w:top w:val="nil"/>
              <w:bottom w:val="nil"/>
            </w:tcBorders>
          </w:tcPr>
          <w:p w14:paraId="5A121956" w14:textId="77777777" w:rsidR="00A60D4B" w:rsidRPr="00EC74DB" w:rsidRDefault="00A60D4B" w:rsidP="00A60D4B">
            <w:pPr>
              <w:pStyle w:val="Btablefigureunbold"/>
            </w:pPr>
            <w:r w:rsidRPr="00AC3795">
              <w:t xml:space="preserve">55,687 </w:t>
            </w:r>
          </w:p>
        </w:tc>
        <w:tc>
          <w:tcPr>
            <w:tcW w:w="1253" w:type="dxa"/>
            <w:tcBorders>
              <w:top w:val="nil"/>
              <w:bottom w:val="nil"/>
            </w:tcBorders>
          </w:tcPr>
          <w:p w14:paraId="0362DA67" w14:textId="77777777" w:rsidR="00A60D4B" w:rsidRPr="00EC74DB" w:rsidRDefault="00A60D4B" w:rsidP="00A60D4B">
            <w:pPr>
              <w:pStyle w:val="Btablefigureunbold"/>
            </w:pPr>
            <w:r w:rsidRPr="006D7EB9">
              <w:t xml:space="preserve">31,769 </w:t>
            </w:r>
          </w:p>
        </w:tc>
        <w:tc>
          <w:tcPr>
            <w:tcW w:w="1063" w:type="dxa"/>
            <w:tcBorders>
              <w:top w:val="nil"/>
              <w:bottom w:val="nil"/>
            </w:tcBorders>
            <w:shd w:val="clear" w:color="auto" w:fill="auto"/>
          </w:tcPr>
          <w:p w14:paraId="026152F3" w14:textId="77777777" w:rsidR="00A60D4B" w:rsidRPr="00653BCC" w:rsidRDefault="00A60D4B" w:rsidP="00A60D4B">
            <w:pPr>
              <w:pStyle w:val="Btablefigureunbold"/>
              <w:rPr>
                <w:bCs/>
              </w:rPr>
            </w:pPr>
            <w:r w:rsidRPr="006D7EB9">
              <w:t xml:space="preserve">85,949 </w:t>
            </w:r>
          </w:p>
        </w:tc>
        <w:tc>
          <w:tcPr>
            <w:tcW w:w="1157" w:type="dxa"/>
            <w:tcBorders>
              <w:top w:val="nil"/>
              <w:bottom w:val="nil"/>
            </w:tcBorders>
            <w:shd w:val="clear" w:color="472D8C" w:fill="auto"/>
          </w:tcPr>
          <w:p w14:paraId="6AB7EA39" w14:textId="77777777" w:rsidR="00A60D4B" w:rsidRPr="00111524" w:rsidRDefault="00A60D4B" w:rsidP="00A60D4B">
            <w:pPr>
              <w:pStyle w:val="Btablefigureunbold"/>
              <w:rPr>
                <w:color w:val="000000"/>
              </w:rPr>
            </w:pPr>
            <w:r w:rsidRPr="006D7EB9">
              <w:t xml:space="preserve">78,892 </w:t>
            </w:r>
          </w:p>
        </w:tc>
        <w:tc>
          <w:tcPr>
            <w:tcW w:w="1158" w:type="dxa"/>
            <w:tcBorders>
              <w:top w:val="nil"/>
              <w:bottom w:val="nil"/>
            </w:tcBorders>
            <w:shd w:val="clear" w:color="auto" w:fill="auto"/>
          </w:tcPr>
          <w:p w14:paraId="2CA18485" w14:textId="77777777" w:rsidR="00A60D4B" w:rsidRPr="00EC74DB" w:rsidRDefault="00A60D4B" w:rsidP="00A60D4B">
            <w:pPr>
              <w:pStyle w:val="Btablefigureunbold"/>
            </w:pPr>
            <w:r w:rsidRPr="006D7EB9">
              <w:t xml:space="preserve">71,293 </w:t>
            </w:r>
          </w:p>
        </w:tc>
        <w:tc>
          <w:tcPr>
            <w:tcW w:w="1158" w:type="dxa"/>
            <w:tcBorders>
              <w:top w:val="nil"/>
              <w:bottom w:val="nil"/>
            </w:tcBorders>
          </w:tcPr>
          <w:p w14:paraId="4B65BDCE" w14:textId="77777777" w:rsidR="00A60D4B" w:rsidRPr="00EC74DB" w:rsidRDefault="00A60D4B" w:rsidP="00A60D4B">
            <w:pPr>
              <w:pStyle w:val="Btablefigureunbold"/>
            </w:pPr>
            <w:r w:rsidRPr="006D7EB9">
              <w:t xml:space="preserve">73,931 </w:t>
            </w:r>
          </w:p>
        </w:tc>
      </w:tr>
      <w:tr w:rsidR="00A60D4B" w:rsidRPr="00337DC9" w14:paraId="171E86AB" w14:textId="77777777" w:rsidTr="00A60D4B">
        <w:trPr>
          <w:trHeight w:val="227"/>
        </w:trPr>
        <w:tc>
          <w:tcPr>
            <w:tcW w:w="2268" w:type="dxa"/>
            <w:tcBorders>
              <w:top w:val="nil"/>
              <w:bottom w:val="nil"/>
            </w:tcBorders>
          </w:tcPr>
          <w:p w14:paraId="4883E9E0" w14:textId="77777777" w:rsidR="00A60D4B" w:rsidRDefault="00A60D4B" w:rsidP="00A60D4B">
            <w:pPr>
              <w:pStyle w:val="Btabletextbolditalic"/>
              <w:rPr>
                <w:b w:val="0"/>
                <w:bCs/>
                <w:i w:val="0"/>
                <w:iCs/>
              </w:rPr>
            </w:pPr>
            <w:r>
              <w:rPr>
                <w:b w:val="0"/>
                <w:bCs/>
                <w:i w:val="0"/>
                <w:iCs/>
              </w:rPr>
              <w:t>Residential conveyances</w:t>
            </w:r>
          </w:p>
        </w:tc>
        <w:tc>
          <w:tcPr>
            <w:tcW w:w="1157" w:type="dxa"/>
            <w:tcBorders>
              <w:top w:val="nil"/>
              <w:bottom w:val="nil"/>
            </w:tcBorders>
          </w:tcPr>
          <w:p w14:paraId="07B00CD9" w14:textId="77777777" w:rsidR="00A60D4B" w:rsidRPr="00EC74DB" w:rsidRDefault="00A60D4B" w:rsidP="00A60D4B">
            <w:pPr>
              <w:pStyle w:val="Btablefigureunbold"/>
            </w:pPr>
            <w:r w:rsidRPr="00AC3795">
              <w:t xml:space="preserve">160,921 </w:t>
            </w:r>
          </w:p>
        </w:tc>
        <w:tc>
          <w:tcPr>
            <w:tcW w:w="1253" w:type="dxa"/>
            <w:tcBorders>
              <w:top w:val="nil"/>
              <w:bottom w:val="nil"/>
            </w:tcBorders>
          </w:tcPr>
          <w:p w14:paraId="07E9857A" w14:textId="77777777" w:rsidR="00A60D4B" w:rsidRPr="00EC74DB" w:rsidRDefault="00A60D4B" w:rsidP="00A60D4B">
            <w:pPr>
              <w:pStyle w:val="Btablefigureunbold"/>
            </w:pPr>
            <w:r w:rsidRPr="006D7EB9">
              <w:t xml:space="preserve">214,314 </w:t>
            </w:r>
          </w:p>
        </w:tc>
        <w:tc>
          <w:tcPr>
            <w:tcW w:w="1063" w:type="dxa"/>
            <w:tcBorders>
              <w:top w:val="nil"/>
              <w:bottom w:val="nil"/>
            </w:tcBorders>
            <w:shd w:val="clear" w:color="auto" w:fill="auto"/>
          </w:tcPr>
          <w:p w14:paraId="24B245FB" w14:textId="77777777" w:rsidR="00A60D4B" w:rsidRPr="00653BCC" w:rsidRDefault="00A60D4B" w:rsidP="00A60D4B">
            <w:pPr>
              <w:pStyle w:val="Btablefigureunbold"/>
              <w:rPr>
                <w:bCs/>
              </w:rPr>
            </w:pPr>
            <w:r w:rsidRPr="006D7EB9">
              <w:t xml:space="preserve">265,035 </w:t>
            </w:r>
          </w:p>
        </w:tc>
        <w:tc>
          <w:tcPr>
            <w:tcW w:w="1157" w:type="dxa"/>
            <w:tcBorders>
              <w:top w:val="nil"/>
              <w:bottom w:val="nil"/>
            </w:tcBorders>
            <w:shd w:val="clear" w:color="472D8C" w:fill="auto"/>
          </w:tcPr>
          <w:p w14:paraId="66336B8C" w14:textId="77777777" w:rsidR="00A60D4B" w:rsidRPr="00111524" w:rsidRDefault="00A60D4B" w:rsidP="00A60D4B">
            <w:pPr>
              <w:pStyle w:val="Btablefigureunbold"/>
              <w:rPr>
                <w:color w:val="000000"/>
              </w:rPr>
            </w:pPr>
            <w:r w:rsidRPr="006D7EB9">
              <w:t xml:space="preserve">246,978 </w:t>
            </w:r>
          </w:p>
        </w:tc>
        <w:tc>
          <w:tcPr>
            <w:tcW w:w="1158" w:type="dxa"/>
            <w:tcBorders>
              <w:top w:val="nil"/>
              <w:bottom w:val="nil"/>
            </w:tcBorders>
            <w:shd w:val="clear" w:color="auto" w:fill="auto"/>
          </w:tcPr>
          <w:p w14:paraId="5DB1D0FE" w14:textId="77777777" w:rsidR="00A60D4B" w:rsidRPr="00EC74DB" w:rsidRDefault="00A60D4B" w:rsidP="00A60D4B">
            <w:pPr>
              <w:pStyle w:val="Btablefigureunbold"/>
            </w:pPr>
            <w:r w:rsidRPr="006D7EB9">
              <w:t xml:space="preserve">203,053 </w:t>
            </w:r>
          </w:p>
        </w:tc>
        <w:tc>
          <w:tcPr>
            <w:tcW w:w="1158" w:type="dxa"/>
            <w:tcBorders>
              <w:top w:val="nil"/>
              <w:bottom w:val="nil"/>
            </w:tcBorders>
          </w:tcPr>
          <w:p w14:paraId="09AB9923" w14:textId="77777777" w:rsidR="00A60D4B" w:rsidRPr="00EC74DB" w:rsidRDefault="00A60D4B" w:rsidP="00A60D4B">
            <w:pPr>
              <w:pStyle w:val="Btablefigureunbold"/>
            </w:pPr>
            <w:r w:rsidRPr="006D7EB9">
              <w:t xml:space="preserve">201,225 </w:t>
            </w:r>
          </w:p>
        </w:tc>
      </w:tr>
      <w:tr w:rsidR="00A60D4B" w:rsidRPr="00337DC9" w14:paraId="7ECDD9A7" w14:textId="77777777" w:rsidTr="00A60D4B">
        <w:trPr>
          <w:trHeight w:val="227"/>
        </w:trPr>
        <w:tc>
          <w:tcPr>
            <w:tcW w:w="2268" w:type="dxa"/>
            <w:tcBorders>
              <w:top w:val="nil"/>
              <w:bottom w:val="nil"/>
            </w:tcBorders>
          </w:tcPr>
          <w:p w14:paraId="09211562" w14:textId="77777777" w:rsidR="00A60D4B" w:rsidRDefault="00A60D4B" w:rsidP="00A60D4B">
            <w:pPr>
              <w:pStyle w:val="Btabletextbolditalic"/>
              <w:rPr>
                <w:b w:val="0"/>
                <w:bCs/>
                <w:i w:val="0"/>
                <w:iCs/>
              </w:rPr>
            </w:pPr>
            <w:r>
              <w:rPr>
                <w:b w:val="0"/>
                <w:bCs/>
                <w:i w:val="0"/>
                <w:iCs/>
              </w:rPr>
              <w:t>Motor vehicle registrations and transfers</w:t>
            </w:r>
          </w:p>
        </w:tc>
        <w:tc>
          <w:tcPr>
            <w:tcW w:w="1157" w:type="dxa"/>
            <w:tcBorders>
              <w:top w:val="nil"/>
              <w:bottom w:val="nil"/>
            </w:tcBorders>
          </w:tcPr>
          <w:p w14:paraId="553DFA1C" w14:textId="77777777" w:rsidR="00A60D4B" w:rsidRPr="00EC74DB" w:rsidRDefault="00A60D4B" w:rsidP="00A60D4B">
            <w:pPr>
              <w:pStyle w:val="Btablefigureunbold"/>
            </w:pPr>
            <w:r w:rsidRPr="00AC3795">
              <w:t xml:space="preserve">31,500 </w:t>
            </w:r>
          </w:p>
        </w:tc>
        <w:tc>
          <w:tcPr>
            <w:tcW w:w="1253" w:type="dxa"/>
            <w:tcBorders>
              <w:top w:val="nil"/>
              <w:bottom w:val="nil"/>
            </w:tcBorders>
          </w:tcPr>
          <w:p w14:paraId="45B0F623" w14:textId="77777777" w:rsidR="00A60D4B" w:rsidRPr="00EC74DB" w:rsidRDefault="00A60D4B" w:rsidP="00A60D4B">
            <w:pPr>
              <w:pStyle w:val="Btablefigureunbold"/>
            </w:pPr>
            <w:r w:rsidRPr="006D7EB9">
              <w:t xml:space="preserve">38,992 </w:t>
            </w:r>
          </w:p>
        </w:tc>
        <w:tc>
          <w:tcPr>
            <w:tcW w:w="1063" w:type="dxa"/>
            <w:tcBorders>
              <w:top w:val="nil"/>
              <w:bottom w:val="nil"/>
            </w:tcBorders>
            <w:shd w:val="clear" w:color="auto" w:fill="auto"/>
          </w:tcPr>
          <w:p w14:paraId="30DF811F" w14:textId="77777777" w:rsidR="00A60D4B" w:rsidRPr="00653BCC" w:rsidRDefault="00A60D4B" w:rsidP="00A60D4B">
            <w:pPr>
              <w:pStyle w:val="Btablefigureunbold"/>
              <w:rPr>
                <w:bCs/>
              </w:rPr>
            </w:pPr>
            <w:r w:rsidRPr="006D7EB9">
              <w:t xml:space="preserve">34,440 </w:t>
            </w:r>
          </w:p>
        </w:tc>
        <w:tc>
          <w:tcPr>
            <w:tcW w:w="1157" w:type="dxa"/>
            <w:tcBorders>
              <w:top w:val="nil"/>
              <w:bottom w:val="nil"/>
            </w:tcBorders>
            <w:shd w:val="clear" w:color="472D8C" w:fill="auto"/>
          </w:tcPr>
          <w:p w14:paraId="09694507" w14:textId="77777777" w:rsidR="00A60D4B" w:rsidRPr="00111524" w:rsidRDefault="00A60D4B" w:rsidP="00A60D4B">
            <w:pPr>
              <w:pStyle w:val="Btablefigureunbold"/>
              <w:rPr>
                <w:color w:val="000000"/>
              </w:rPr>
            </w:pPr>
            <w:r w:rsidRPr="006D7EB9">
              <w:t xml:space="preserve">34,802 </w:t>
            </w:r>
          </w:p>
        </w:tc>
        <w:tc>
          <w:tcPr>
            <w:tcW w:w="1158" w:type="dxa"/>
            <w:tcBorders>
              <w:top w:val="nil"/>
              <w:bottom w:val="nil"/>
            </w:tcBorders>
            <w:shd w:val="clear" w:color="auto" w:fill="auto"/>
          </w:tcPr>
          <w:p w14:paraId="2689CAF4" w14:textId="77777777" w:rsidR="00A60D4B" w:rsidRPr="00EC74DB" w:rsidRDefault="00A60D4B" w:rsidP="00A60D4B">
            <w:pPr>
              <w:pStyle w:val="Btablefigureunbold"/>
            </w:pPr>
            <w:r w:rsidRPr="006D7EB9">
              <w:t xml:space="preserve">35,156 </w:t>
            </w:r>
          </w:p>
        </w:tc>
        <w:tc>
          <w:tcPr>
            <w:tcW w:w="1158" w:type="dxa"/>
            <w:tcBorders>
              <w:top w:val="nil"/>
              <w:bottom w:val="nil"/>
            </w:tcBorders>
          </w:tcPr>
          <w:p w14:paraId="0F3BA8F8" w14:textId="77777777" w:rsidR="00A60D4B" w:rsidRPr="00EC74DB" w:rsidRDefault="00A60D4B" w:rsidP="00A60D4B">
            <w:pPr>
              <w:pStyle w:val="Btablefigureunbold"/>
            </w:pPr>
            <w:r w:rsidRPr="006D7EB9">
              <w:t xml:space="preserve">35,832 </w:t>
            </w:r>
          </w:p>
        </w:tc>
      </w:tr>
      <w:tr w:rsidR="00A60D4B" w:rsidRPr="0050362F" w14:paraId="3E5F5B8B" w14:textId="77777777" w:rsidTr="00A60D4B">
        <w:trPr>
          <w:trHeight w:val="227"/>
        </w:trPr>
        <w:tc>
          <w:tcPr>
            <w:tcW w:w="2268" w:type="dxa"/>
            <w:tcBorders>
              <w:top w:val="nil"/>
              <w:bottom w:val="nil"/>
            </w:tcBorders>
          </w:tcPr>
          <w:p w14:paraId="3A23D846" w14:textId="77777777" w:rsidR="00A60D4B" w:rsidRPr="0050362F" w:rsidRDefault="00A60D4B" w:rsidP="00A60D4B">
            <w:pPr>
              <w:pStyle w:val="Btabletextbolditalic"/>
              <w:rPr>
                <w:i w:val="0"/>
                <w:iCs/>
              </w:rPr>
            </w:pPr>
            <w:r w:rsidRPr="0050362F">
              <w:rPr>
                <w:i w:val="0"/>
                <w:iCs/>
              </w:rPr>
              <w:t>Total duties</w:t>
            </w:r>
          </w:p>
        </w:tc>
        <w:tc>
          <w:tcPr>
            <w:tcW w:w="1157" w:type="dxa"/>
            <w:tcBorders>
              <w:top w:val="nil"/>
              <w:bottom w:val="nil"/>
            </w:tcBorders>
          </w:tcPr>
          <w:p w14:paraId="0C2CD1F8" w14:textId="77777777" w:rsidR="00A60D4B" w:rsidRPr="0050362F" w:rsidRDefault="00A60D4B" w:rsidP="00A60D4B">
            <w:pPr>
              <w:pStyle w:val="Btablefigureunbold"/>
              <w:rPr>
                <w:b/>
              </w:rPr>
            </w:pPr>
            <w:r w:rsidRPr="0050362F">
              <w:rPr>
                <w:b/>
              </w:rPr>
              <w:t xml:space="preserve">248,108 </w:t>
            </w:r>
          </w:p>
        </w:tc>
        <w:tc>
          <w:tcPr>
            <w:tcW w:w="1253" w:type="dxa"/>
            <w:tcBorders>
              <w:top w:val="nil"/>
              <w:bottom w:val="nil"/>
            </w:tcBorders>
          </w:tcPr>
          <w:p w14:paraId="2E7FD715" w14:textId="77777777" w:rsidR="00A60D4B" w:rsidRPr="00555E8E" w:rsidRDefault="00A60D4B" w:rsidP="00A60D4B">
            <w:pPr>
              <w:pStyle w:val="Btablefigureunbold"/>
              <w:rPr>
                <w:b/>
                <w:bCs/>
              </w:rPr>
            </w:pPr>
            <w:r w:rsidRPr="00555E8E">
              <w:rPr>
                <w:b/>
                <w:bCs/>
              </w:rPr>
              <w:t xml:space="preserve">285,075 </w:t>
            </w:r>
          </w:p>
        </w:tc>
        <w:tc>
          <w:tcPr>
            <w:tcW w:w="1063" w:type="dxa"/>
            <w:tcBorders>
              <w:top w:val="nil"/>
              <w:bottom w:val="nil"/>
            </w:tcBorders>
            <w:shd w:val="clear" w:color="auto" w:fill="auto"/>
          </w:tcPr>
          <w:p w14:paraId="796B1F1C" w14:textId="77777777" w:rsidR="00A60D4B" w:rsidRPr="00555E8E" w:rsidRDefault="00A60D4B" w:rsidP="00A60D4B">
            <w:pPr>
              <w:pStyle w:val="Btablefigureunbold"/>
              <w:rPr>
                <w:b/>
                <w:bCs/>
              </w:rPr>
            </w:pPr>
            <w:r w:rsidRPr="00555E8E">
              <w:rPr>
                <w:b/>
                <w:bCs/>
              </w:rPr>
              <w:t xml:space="preserve">385,424 </w:t>
            </w:r>
          </w:p>
        </w:tc>
        <w:tc>
          <w:tcPr>
            <w:tcW w:w="1157" w:type="dxa"/>
            <w:tcBorders>
              <w:top w:val="nil"/>
              <w:bottom w:val="nil"/>
            </w:tcBorders>
            <w:shd w:val="clear" w:color="472D8C" w:fill="auto"/>
          </w:tcPr>
          <w:p w14:paraId="1D957740" w14:textId="77777777" w:rsidR="00A60D4B" w:rsidRPr="00555E8E" w:rsidRDefault="00A60D4B" w:rsidP="00A60D4B">
            <w:pPr>
              <w:pStyle w:val="Btablefigureunbold"/>
              <w:rPr>
                <w:b/>
                <w:bCs/>
                <w:color w:val="000000"/>
              </w:rPr>
            </w:pPr>
            <w:r w:rsidRPr="00555E8E">
              <w:rPr>
                <w:b/>
                <w:bCs/>
              </w:rPr>
              <w:t xml:space="preserve">360,672 </w:t>
            </w:r>
          </w:p>
        </w:tc>
        <w:tc>
          <w:tcPr>
            <w:tcW w:w="1158" w:type="dxa"/>
            <w:tcBorders>
              <w:top w:val="nil"/>
              <w:bottom w:val="nil"/>
            </w:tcBorders>
            <w:shd w:val="clear" w:color="auto" w:fill="auto"/>
          </w:tcPr>
          <w:p w14:paraId="0A0C9251" w14:textId="77777777" w:rsidR="00A60D4B" w:rsidRPr="00555E8E" w:rsidRDefault="00A60D4B" w:rsidP="00A60D4B">
            <w:pPr>
              <w:pStyle w:val="Btablefigureunbold"/>
              <w:rPr>
                <w:b/>
                <w:bCs/>
              </w:rPr>
            </w:pPr>
            <w:r w:rsidRPr="00555E8E">
              <w:rPr>
                <w:b/>
                <w:bCs/>
              </w:rPr>
              <w:t xml:space="preserve">309,502 </w:t>
            </w:r>
          </w:p>
        </w:tc>
        <w:tc>
          <w:tcPr>
            <w:tcW w:w="1158" w:type="dxa"/>
            <w:tcBorders>
              <w:top w:val="nil"/>
              <w:bottom w:val="nil"/>
            </w:tcBorders>
          </w:tcPr>
          <w:p w14:paraId="1F55EC85" w14:textId="77777777" w:rsidR="00A60D4B" w:rsidRPr="00555E8E" w:rsidRDefault="00A60D4B" w:rsidP="00A60D4B">
            <w:pPr>
              <w:pStyle w:val="Btablefigureunbold"/>
              <w:rPr>
                <w:b/>
                <w:bCs/>
              </w:rPr>
            </w:pPr>
            <w:r w:rsidRPr="00555E8E">
              <w:rPr>
                <w:b/>
                <w:bCs/>
              </w:rPr>
              <w:t xml:space="preserve">310,988 </w:t>
            </w:r>
          </w:p>
        </w:tc>
      </w:tr>
      <w:tr w:rsidR="00A60D4B" w:rsidRPr="00337DC9" w14:paraId="43D6FE78" w14:textId="77777777" w:rsidTr="00A60D4B">
        <w:trPr>
          <w:trHeight w:val="397"/>
        </w:trPr>
        <w:tc>
          <w:tcPr>
            <w:tcW w:w="2268" w:type="dxa"/>
            <w:tcBorders>
              <w:top w:val="nil"/>
              <w:bottom w:val="nil"/>
            </w:tcBorders>
            <w:vAlign w:val="bottom"/>
          </w:tcPr>
          <w:p w14:paraId="6B47CA4C" w14:textId="77777777" w:rsidR="00A60D4B" w:rsidRPr="009B6C18" w:rsidRDefault="00A60D4B" w:rsidP="00A60D4B">
            <w:pPr>
              <w:pStyle w:val="Btabletextbolditalic"/>
              <w:rPr>
                <w:i w:val="0"/>
                <w:iCs/>
              </w:rPr>
            </w:pPr>
            <w:r w:rsidRPr="009B6C18">
              <w:rPr>
                <w:i w:val="0"/>
                <w:iCs/>
              </w:rPr>
              <w:t>Gambling taxes</w:t>
            </w:r>
          </w:p>
        </w:tc>
        <w:tc>
          <w:tcPr>
            <w:tcW w:w="1157" w:type="dxa"/>
            <w:tcBorders>
              <w:top w:val="nil"/>
              <w:bottom w:val="nil"/>
            </w:tcBorders>
            <w:vAlign w:val="bottom"/>
          </w:tcPr>
          <w:p w14:paraId="3C28A78B" w14:textId="77777777" w:rsidR="00A60D4B" w:rsidRPr="00EC74DB" w:rsidRDefault="00A60D4B" w:rsidP="00A60D4B">
            <w:pPr>
              <w:pStyle w:val="Btablefigureunbold"/>
              <w:jc w:val="left"/>
            </w:pPr>
          </w:p>
        </w:tc>
        <w:tc>
          <w:tcPr>
            <w:tcW w:w="1253" w:type="dxa"/>
            <w:tcBorders>
              <w:top w:val="nil"/>
              <w:bottom w:val="nil"/>
            </w:tcBorders>
            <w:vAlign w:val="bottom"/>
          </w:tcPr>
          <w:p w14:paraId="7EB0428E" w14:textId="77777777" w:rsidR="00A60D4B" w:rsidRPr="00EC74DB" w:rsidRDefault="00A60D4B" w:rsidP="00A60D4B">
            <w:pPr>
              <w:pStyle w:val="Btablefigureunbold"/>
              <w:jc w:val="left"/>
            </w:pPr>
          </w:p>
        </w:tc>
        <w:tc>
          <w:tcPr>
            <w:tcW w:w="1063" w:type="dxa"/>
            <w:tcBorders>
              <w:top w:val="nil"/>
              <w:bottom w:val="nil"/>
            </w:tcBorders>
            <w:shd w:val="clear" w:color="auto" w:fill="auto"/>
            <w:vAlign w:val="bottom"/>
          </w:tcPr>
          <w:p w14:paraId="4AF6313B" w14:textId="77777777" w:rsidR="00A60D4B" w:rsidRPr="00653BCC" w:rsidRDefault="00A60D4B" w:rsidP="00A60D4B">
            <w:pPr>
              <w:pStyle w:val="Btablefigureunbold"/>
              <w:jc w:val="left"/>
              <w:rPr>
                <w:bCs/>
              </w:rPr>
            </w:pPr>
          </w:p>
        </w:tc>
        <w:tc>
          <w:tcPr>
            <w:tcW w:w="1157" w:type="dxa"/>
            <w:tcBorders>
              <w:top w:val="nil"/>
              <w:bottom w:val="nil"/>
            </w:tcBorders>
            <w:shd w:val="clear" w:color="472D8C" w:fill="auto"/>
            <w:vAlign w:val="bottom"/>
          </w:tcPr>
          <w:p w14:paraId="61CB70C9" w14:textId="77777777" w:rsidR="00A60D4B" w:rsidRPr="00111524" w:rsidRDefault="00A60D4B" w:rsidP="00A60D4B">
            <w:pPr>
              <w:pStyle w:val="Btablefigureunbold"/>
              <w:jc w:val="left"/>
              <w:rPr>
                <w:color w:val="000000"/>
              </w:rPr>
            </w:pPr>
          </w:p>
        </w:tc>
        <w:tc>
          <w:tcPr>
            <w:tcW w:w="1158" w:type="dxa"/>
            <w:tcBorders>
              <w:top w:val="nil"/>
              <w:bottom w:val="nil"/>
            </w:tcBorders>
            <w:shd w:val="clear" w:color="auto" w:fill="auto"/>
            <w:vAlign w:val="bottom"/>
          </w:tcPr>
          <w:p w14:paraId="54B2AC61" w14:textId="77777777" w:rsidR="00A60D4B" w:rsidRPr="00EC74DB" w:rsidRDefault="00A60D4B" w:rsidP="00A60D4B">
            <w:pPr>
              <w:pStyle w:val="Btablefigureunbold"/>
              <w:jc w:val="left"/>
            </w:pPr>
          </w:p>
        </w:tc>
        <w:tc>
          <w:tcPr>
            <w:tcW w:w="1158" w:type="dxa"/>
            <w:tcBorders>
              <w:top w:val="nil"/>
              <w:bottom w:val="nil"/>
            </w:tcBorders>
            <w:vAlign w:val="bottom"/>
          </w:tcPr>
          <w:p w14:paraId="658BEB83" w14:textId="77777777" w:rsidR="00A60D4B" w:rsidRPr="00EC74DB" w:rsidRDefault="00A60D4B" w:rsidP="00A60D4B">
            <w:pPr>
              <w:pStyle w:val="Btablefigureunbold"/>
              <w:jc w:val="left"/>
            </w:pPr>
          </w:p>
        </w:tc>
      </w:tr>
      <w:tr w:rsidR="00A60D4B" w:rsidRPr="00337DC9" w14:paraId="6940B85B" w14:textId="77777777" w:rsidTr="00A60D4B">
        <w:trPr>
          <w:trHeight w:val="227"/>
        </w:trPr>
        <w:tc>
          <w:tcPr>
            <w:tcW w:w="2268" w:type="dxa"/>
            <w:tcBorders>
              <w:top w:val="nil"/>
              <w:bottom w:val="nil"/>
            </w:tcBorders>
          </w:tcPr>
          <w:p w14:paraId="29ED216E" w14:textId="77777777" w:rsidR="00A60D4B" w:rsidRPr="009B6C18" w:rsidRDefault="00A60D4B" w:rsidP="00A60D4B">
            <w:pPr>
              <w:pStyle w:val="Btabletextbolditalic"/>
              <w:rPr>
                <w:b w:val="0"/>
                <w:bCs/>
                <w:i w:val="0"/>
                <w:iCs/>
              </w:rPr>
            </w:pPr>
            <w:r w:rsidRPr="009B6C18">
              <w:rPr>
                <w:b w:val="0"/>
                <w:bCs/>
                <w:i w:val="0"/>
                <w:iCs/>
              </w:rPr>
              <w:t>Tabcorp licence fee</w:t>
            </w:r>
          </w:p>
        </w:tc>
        <w:tc>
          <w:tcPr>
            <w:tcW w:w="1157" w:type="dxa"/>
            <w:tcBorders>
              <w:top w:val="nil"/>
              <w:bottom w:val="nil"/>
            </w:tcBorders>
          </w:tcPr>
          <w:p w14:paraId="092838A7" w14:textId="77777777" w:rsidR="00A60D4B" w:rsidRPr="00EC74DB" w:rsidRDefault="00A60D4B" w:rsidP="00A60D4B">
            <w:pPr>
              <w:pStyle w:val="Btablefigureunbold"/>
            </w:pPr>
            <w:r w:rsidRPr="000739DA">
              <w:t xml:space="preserve">1,129 </w:t>
            </w:r>
          </w:p>
        </w:tc>
        <w:tc>
          <w:tcPr>
            <w:tcW w:w="1253" w:type="dxa"/>
            <w:tcBorders>
              <w:top w:val="nil"/>
              <w:bottom w:val="nil"/>
            </w:tcBorders>
          </w:tcPr>
          <w:p w14:paraId="67122147" w14:textId="77777777" w:rsidR="00A60D4B" w:rsidRPr="00EC74DB" w:rsidRDefault="00A60D4B" w:rsidP="00A60D4B">
            <w:pPr>
              <w:pStyle w:val="Btablefigureunbold"/>
            </w:pPr>
            <w:r w:rsidRPr="006B2963">
              <w:t xml:space="preserve">1,101 </w:t>
            </w:r>
          </w:p>
        </w:tc>
        <w:tc>
          <w:tcPr>
            <w:tcW w:w="1063" w:type="dxa"/>
            <w:tcBorders>
              <w:top w:val="nil"/>
              <w:bottom w:val="nil"/>
            </w:tcBorders>
            <w:shd w:val="clear" w:color="auto" w:fill="auto"/>
          </w:tcPr>
          <w:p w14:paraId="3D938CFD" w14:textId="77777777" w:rsidR="00A60D4B" w:rsidRPr="00653BCC" w:rsidRDefault="00A60D4B" w:rsidP="00A60D4B">
            <w:pPr>
              <w:pStyle w:val="Btablefigureunbold"/>
              <w:rPr>
                <w:bCs/>
              </w:rPr>
            </w:pPr>
            <w:r w:rsidRPr="006B2963">
              <w:t xml:space="preserve">1,120 </w:t>
            </w:r>
          </w:p>
        </w:tc>
        <w:tc>
          <w:tcPr>
            <w:tcW w:w="1157" w:type="dxa"/>
            <w:tcBorders>
              <w:top w:val="nil"/>
              <w:bottom w:val="nil"/>
            </w:tcBorders>
            <w:shd w:val="clear" w:color="472D8C" w:fill="auto"/>
          </w:tcPr>
          <w:p w14:paraId="6094AAD6" w14:textId="77777777" w:rsidR="00A60D4B" w:rsidRPr="00111524" w:rsidRDefault="00A60D4B" w:rsidP="00A60D4B">
            <w:pPr>
              <w:pStyle w:val="Btablefigureunbold"/>
              <w:rPr>
                <w:color w:val="000000"/>
              </w:rPr>
            </w:pPr>
            <w:r w:rsidRPr="006B2963">
              <w:t xml:space="preserve">1,140 </w:t>
            </w:r>
          </w:p>
        </w:tc>
        <w:tc>
          <w:tcPr>
            <w:tcW w:w="1158" w:type="dxa"/>
            <w:tcBorders>
              <w:top w:val="nil"/>
              <w:bottom w:val="nil"/>
            </w:tcBorders>
            <w:shd w:val="clear" w:color="auto" w:fill="auto"/>
          </w:tcPr>
          <w:p w14:paraId="426AC748" w14:textId="77777777" w:rsidR="00A60D4B" w:rsidRPr="00EC74DB" w:rsidRDefault="00A60D4B" w:rsidP="00A60D4B">
            <w:pPr>
              <w:pStyle w:val="Btablefigureunbold"/>
            </w:pPr>
            <w:r w:rsidRPr="006B2963">
              <w:t xml:space="preserve">1,160 </w:t>
            </w:r>
          </w:p>
        </w:tc>
        <w:tc>
          <w:tcPr>
            <w:tcW w:w="1158" w:type="dxa"/>
            <w:tcBorders>
              <w:top w:val="nil"/>
              <w:bottom w:val="nil"/>
            </w:tcBorders>
          </w:tcPr>
          <w:p w14:paraId="156BF272" w14:textId="77777777" w:rsidR="00A60D4B" w:rsidRPr="00EC74DB" w:rsidRDefault="00A60D4B" w:rsidP="00A60D4B">
            <w:pPr>
              <w:pStyle w:val="Btablefigureunbold"/>
            </w:pPr>
            <w:r w:rsidRPr="006B2963">
              <w:t xml:space="preserve">1,183 </w:t>
            </w:r>
          </w:p>
        </w:tc>
      </w:tr>
      <w:tr w:rsidR="00A60D4B" w:rsidRPr="00337DC9" w14:paraId="45AAAF4E" w14:textId="77777777" w:rsidTr="00A60D4B">
        <w:trPr>
          <w:trHeight w:val="227"/>
        </w:trPr>
        <w:tc>
          <w:tcPr>
            <w:tcW w:w="2268" w:type="dxa"/>
            <w:tcBorders>
              <w:top w:val="nil"/>
              <w:bottom w:val="nil"/>
            </w:tcBorders>
          </w:tcPr>
          <w:p w14:paraId="72ED7D0E" w14:textId="77777777" w:rsidR="00A60D4B" w:rsidRPr="009B6C18" w:rsidRDefault="00A60D4B" w:rsidP="00A60D4B">
            <w:pPr>
              <w:pStyle w:val="Btabletextbolditalic"/>
              <w:rPr>
                <w:b w:val="0"/>
                <w:bCs/>
                <w:i w:val="0"/>
                <w:iCs/>
              </w:rPr>
            </w:pPr>
            <w:r w:rsidRPr="009B6C18">
              <w:rPr>
                <w:b w:val="0"/>
                <w:bCs/>
                <w:i w:val="0"/>
                <w:iCs/>
              </w:rPr>
              <w:t>Gaming tax</w:t>
            </w:r>
          </w:p>
        </w:tc>
        <w:tc>
          <w:tcPr>
            <w:tcW w:w="1157" w:type="dxa"/>
            <w:tcBorders>
              <w:top w:val="nil"/>
              <w:bottom w:val="nil"/>
            </w:tcBorders>
          </w:tcPr>
          <w:p w14:paraId="1BE387E9" w14:textId="77777777" w:rsidR="00A60D4B" w:rsidRPr="00EC74DB" w:rsidRDefault="00A60D4B" w:rsidP="00A60D4B">
            <w:pPr>
              <w:pStyle w:val="Btablefigureunbold"/>
            </w:pPr>
            <w:r w:rsidRPr="000739DA">
              <w:t xml:space="preserve">35,823 </w:t>
            </w:r>
          </w:p>
        </w:tc>
        <w:tc>
          <w:tcPr>
            <w:tcW w:w="1253" w:type="dxa"/>
            <w:tcBorders>
              <w:top w:val="nil"/>
              <w:bottom w:val="nil"/>
            </w:tcBorders>
          </w:tcPr>
          <w:p w14:paraId="02E1B902" w14:textId="77777777" w:rsidR="00A60D4B" w:rsidRPr="00EC74DB" w:rsidRDefault="00A60D4B" w:rsidP="00A60D4B">
            <w:pPr>
              <w:pStyle w:val="Btablefigureunbold"/>
            </w:pPr>
            <w:r w:rsidRPr="006B2963">
              <w:t xml:space="preserve">35,703 </w:t>
            </w:r>
          </w:p>
        </w:tc>
        <w:tc>
          <w:tcPr>
            <w:tcW w:w="1063" w:type="dxa"/>
            <w:tcBorders>
              <w:top w:val="nil"/>
              <w:bottom w:val="nil"/>
            </w:tcBorders>
            <w:shd w:val="clear" w:color="auto" w:fill="auto"/>
          </w:tcPr>
          <w:p w14:paraId="28834085" w14:textId="77777777" w:rsidR="00A60D4B" w:rsidRPr="00653BCC" w:rsidRDefault="00A60D4B" w:rsidP="00A60D4B">
            <w:pPr>
              <w:pStyle w:val="Btablefigureunbold"/>
              <w:rPr>
                <w:bCs/>
              </w:rPr>
            </w:pPr>
            <w:r w:rsidRPr="006B2963">
              <w:t>27,35</w:t>
            </w:r>
            <w:r>
              <w:t>6</w:t>
            </w:r>
            <w:r w:rsidRPr="006B2963">
              <w:t xml:space="preserve"> </w:t>
            </w:r>
          </w:p>
        </w:tc>
        <w:tc>
          <w:tcPr>
            <w:tcW w:w="1157" w:type="dxa"/>
            <w:tcBorders>
              <w:top w:val="nil"/>
              <w:bottom w:val="nil"/>
            </w:tcBorders>
            <w:shd w:val="clear" w:color="472D8C" w:fill="auto"/>
          </w:tcPr>
          <w:p w14:paraId="4E4EEA09" w14:textId="77777777" w:rsidR="00A60D4B" w:rsidRPr="00111524" w:rsidRDefault="00A60D4B" w:rsidP="00A60D4B">
            <w:pPr>
              <w:pStyle w:val="Btablefigureunbold"/>
              <w:rPr>
                <w:color w:val="000000"/>
              </w:rPr>
            </w:pPr>
            <w:r w:rsidRPr="006B2963">
              <w:t xml:space="preserve">37,478 </w:t>
            </w:r>
          </w:p>
        </w:tc>
        <w:tc>
          <w:tcPr>
            <w:tcW w:w="1158" w:type="dxa"/>
            <w:tcBorders>
              <w:top w:val="nil"/>
              <w:bottom w:val="nil"/>
            </w:tcBorders>
            <w:shd w:val="clear" w:color="auto" w:fill="auto"/>
          </w:tcPr>
          <w:p w14:paraId="44754332" w14:textId="77777777" w:rsidR="00A60D4B" w:rsidRPr="00EC74DB" w:rsidRDefault="00A60D4B" w:rsidP="00A60D4B">
            <w:pPr>
              <w:pStyle w:val="Btablefigureunbold"/>
            </w:pPr>
            <w:r w:rsidRPr="006B2963">
              <w:t xml:space="preserve">37,304 </w:t>
            </w:r>
          </w:p>
        </w:tc>
        <w:tc>
          <w:tcPr>
            <w:tcW w:w="1158" w:type="dxa"/>
            <w:tcBorders>
              <w:top w:val="nil"/>
              <w:bottom w:val="nil"/>
            </w:tcBorders>
          </w:tcPr>
          <w:p w14:paraId="619FAC87" w14:textId="77777777" w:rsidR="00A60D4B" w:rsidRPr="00EC74DB" w:rsidRDefault="00A60D4B" w:rsidP="00A60D4B">
            <w:pPr>
              <w:pStyle w:val="Btablefigureunbold"/>
            </w:pPr>
            <w:r w:rsidRPr="006B2963">
              <w:t xml:space="preserve">37,143 </w:t>
            </w:r>
          </w:p>
        </w:tc>
      </w:tr>
      <w:tr w:rsidR="00A60D4B" w:rsidRPr="00337DC9" w14:paraId="0875047B" w14:textId="77777777" w:rsidTr="00A60D4B">
        <w:trPr>
          <w:trHeight w:val="227"/>
        </w:trPr>
        <w:tc>
          <w:tcPr>
            <w:tcW w:w="2268" w:type="dxa"/>
            <w:tcBorders>
              <w:top w:val="nil"/>
              <w:bottom w:val="nil"/>
            </w:tcBorders>
          </w:tcPr>
          <w:p w14:paraId="40140B44" w14:textId="77777777" w:rsidR="00A60D4B" w:rsidRPr="009B6C18" w:rsidRDefault="00A60D4B" w:rsidP="00A60D4B">
            <w:pPr>
              <w:pStyle w:val="Btabletextbolditalic"/>
              <w:rPr>
                <w:b w:val="0"/>
                <w:bCs/>
                <w:i w:val="0"/>
                <w:iCs/>
              </w:rPr>
            </w:pPr>
            <w:r w:rsidRPr="009B6C18">
              <w:rPr>
                <w:b w:val="0"/>
                <w:bCs/>
                <w:i w:val="0"/>
                <w:iCs/>
              </w:rPr>
              <w:t>Casino tax</w:t>
            </w:r>
          </w:p>
        </w:tc>
        <w:tc>
          <w:tcPr>
            <w:tcW w:w="1157" w:type="dxa"/>
            <w:tcBorders>
              <w:top w:val="nil"/>
              <w:bottom w:val="nil"/>
            </w:tcBorders>
          </w:tcPr>
          <w:p w14:paraId="5C0117ED" w14:textId="77777777" w:rsidR="00A60D4B" w:rsidRPr="00EC74DB" w:rsidRDefault="00A60D4B" w:rsidP="00A60D4B">
            <w:pPr>
              <w:pStyle w:val="Btablefigureunbold"/>
            </w:pPr>
            <w:r w:rsidRPr="000739DA">
              <w:t xml:space="preserve">2,750 </w:t>
            </w:r>
          </w:p>
        </w:tc>
        <w:tc>
          <w:tcPr>
            <w:tcW w:w="1253" w:type="dxa"/>
            <w:tcBorders>
              <w:top w:val="nil"/>
              <w:bottom w:val="nil"/>
            </w:tcBorders>
          </w:tcPr>
          <w:p w14:paraId="30FFD257" w14:textId="77777777" w:rsidR="00A60D4B" w:rsidRPr="00EC74DB" w:rsidRDefault="00A60D4B" w:rsidP="00A60D4B">
            <w:pPr>
              <w:pStyle w:val="Btablefigureunbold"/>
            </w:pPr>
            <w:r w:rsidRPr="006B2963">
              <w:t xml:space="preserve">3,041 </w:t>
            </w:r>
          </w:p>
        </w:tc>
        <w:tc>
          <w:tcPr>
            <w:tcW w:w="1063" w:type="dxa"/>
            <w:tcBorders>
              <w:top w:val="nil"/>
              <w:bottom w:val="nil"/>
            </w:tcBorders>
            <w:shd w:val="clear" w:color="auto" w:fill="auto"/>
          </w:tcPr>
          <w:p w14:paraId="61351504" w14:textId="77777777" w:rsidR="00A60D4B" w:rsidRPr="00653BCC" w:rsidRDefault="00A60D4B" w:rsidP="00A60D4B">
            <w:pPr>
              <w:pStyle w:val="Btablefigureunbold"/>
              <w:rPr>
                <w:bCs/>
              </w:rPr>
            </w:pPr>
            <w:r w:rsidRPr="006B2963">
              <w:t xml:space="preserve">2,071 </w:t>
            </w:r>
          </w:p>
        </w:tc>
        <w:tc>
          <w:tcPr>
            <w:tcW w:w="1157" w:type="dxa"/>
            <w:tcBorders>
              <w:top w:val="nil"/>
              <w:bottom w:val="nil"/>
            </w:tcBorders>
            <w:shd w:val="clear" w:color="472D8C" w:fill="auto"/>
          </w:tcPr>
          <w:p w14:paraId="4C742A3F" w14:textId="77777777" w:rsidR="00A60D4B" w:rsidRPr="00111524" w:rsidRDefault="00A60D4B" w:rsidP="00A60D4B">
            <w:pPr>
              <w:pStyle w:val="Btablefigureunbold"/>
              <w:rPr>
                <w:color w:val="000000"/>
              </w:rPr>
            </w:pPr>
            <w:r w:rsidRPr="006B2963">
              <w:t xml:space="preserve">2,890 </w:t>
            </w:r>
          </w:p>
        </w:tc>
        <w:tc>
          <w:tcPr>
            <w:tcW w:w="1158" w:type="dxa"/>
            <w:tcBorders>
              <w:top w:val="nil"/>
              <w:bottom w:val="nil"/>
            </w:tcBorders>
            <w:shd w:val="clear" w:color="auto" w:fill="auto"/>
          </w:tcPr>
          <w:p w14:paraId="1F858D07" w14:textId="77777777" w:rsidR="00A60D4B" w:rsidRPr="00EC74DB" w:rsidRDefault="00A60D4B" w:rsidP="00A60D4B">
            <w:pPr>
              <w:pStyle w:val="Btablefigureunbold"/>
            </w:pPr>
            <w:r w:rsidRPr="006B2963">
              <w:t xml:space="preserve">2,940 </w:t>
            </w:r>
          </w:p>
        </w:tc>
        <w:tc>
          <w:tcPr>
            <w:tcW w:w="1158" w:type="dxa"/>
            <w:tcBorders>
              <w:top w:val="nil"/>
              <w:bottom w:val="nil"/>
            </w:tcBorders>
          </w:tcPr>
          <w:p w14:paraId="61800CB9" w14:textId="77777777" w:rsidR="00A60D4B" w:rsidRPr="00EC74DB" w:rsidRDefault="00A60D4B" w:rsidP="00A60D4B">
            <w:pPr>
              <w:pStyle w:val="Btablefigureunbold"/>
            </w:pPr>
            <w:r w:rsidRPr="006B2963">
              <w:t xml:space="preserve">2,999 </w:t>
            </w:r>
          </w:p>
        </w:tc>
      </w:tr>
      <w:tr w:rsidR="00A60D4B" w:rsidRPr="00337DC9" w14:paraId="33AE6D73" w14:textId="77777777" w:rsidTr="00A60D4B">
        <w:trPr>
          <w:trHeight w:val="227"/>
        </w:trPr>
        <w:tc>
          <w:tcPr>
            <w:tcW w:w="2268" w:type="dxa"/>
            <w:tcBorders>
              <w:top w:val="nil"/>
              <w:bottom w:val="nil"/>
            </w:tcBorders>
          </w:tcPr>
          <w:p w14:paraId="0C398C0C" w14:textId="77777777" w:rsidR="00A60D4B" w:rsidRPr="009B6C18" w:rsidRDefault="00A60D4B" w:rsidP="00A60D4B">
            <w:pPr>
              <w:pStyle w:val="Btabletextbolditalic"/>
              <w:rPr>
                <w:b w:val="0"/>
                <w:bCs/>
                <w:i w:val="0"/>
                <w:iCs/>
              </w:rPr>
            </w:pPr>
            <w:r w:rsidRPr="009B6C18">
              <w:rPr>
                <w:b w:val="0"/>
                <w:bCs/>
                <w:i w:val="0"/>
                <w:iCs/>
              </w:rPr>
              <w:t>Interstate lotteries</w:t>
            </w:r>
          </w:p>
        </w:tc>
        <w:tc>
          <w:tcPr>
            <w:tcW w:w="1157" w:type="dxa"/>
            <w:tcBorders>
              <w:top w:val="nil"/>
              <w:bottom w:val="nil"/>
            </w:tcBorders>
          </w:tcPr>
          <w:p w14:paraId="16BE6607" w14:textId="77777777" w:rsidR="00A60D4B" w:rsidRPr="00EC74DB" w:rsidRDefault="00A60D4B" w:rsidP="00A60D4B">
            <w:pPr>
              <w:pStyle w:val="Btablefigureunbold"/>
            </w:pPr>
            <w:r w:rsidRPr="000739DA">
              <w:t xml:space="preserve">13,342 </w:t>
            </w:r>
          </w:p>
        </w:tc>
        <w:tc>
          <w:tcPr>
            <w:tcW w:w="1253" w:type="dxa"/>
            <w:tcBorders>
              <w:top w:val="nil"/>
              <w:bottom w:val="nil"/>
            </w:tcBorders>
          </w:tcPr>
          <w:p w14:paraId="215CE0D4" w14:textId="77777777" w:rsidR="00A60D4B" w:rsidRPr="00EC74DB" w:rsidRDefault="00A60D4B" w:rsidP="00A60D4B">
            <w:pPr>
              <w:pStyle w:val="Btablefigureunbold"/>
            </w:pPr>
            <w:r w:rsidRPr="006B2963">
              <w:t xml:space="preserve">14,384 </w:t>
            </w:r>
          </w:p>
        </w:tc>
        <w:tc>
          <w:tcPr>
            <w:tcW w:w="1063" w:type="dxa"/>
            <w:tcBorders>
              <w:top w:val="nil"/>
              <w:bottom w:val="nil"/>
            </w:tcBorders>
            <w:shd w:val="clear" w:color="auto" w:fill="auto"/>
          </w:tcPr>
          <w:p w14:paraId="0329E708" w14:textId="77777777" w:rsidR="00A60D4B" w:rsidRPr="00653BCC" w:rsidRDefault="00A60D4B" w:rsidP="00A60D4B">
            <w:pPr>
              <w:pStyle w:val="Btablefigureunbold"/>
              <w:rPr>
                <w:bCs/>
              </w:rPr>
            </w:pPr>
            <w:r w:rsidRPr="006B2963">
              <w:t xml:space="preserve">14,704 </w:t>
            </w:r>
          </w:p>
        </w:tc>
        <w:tc>
          <w:tcPr>
            <w:tcW w:w="1157" w:type="dxa"/>
            <w:tcBorders>
              <w:top w:val="nil"/>
              <w:bottom w:val="nil"/>
            </w:tcBorders>
            <w:shd w:val="clear" w:color="472D8C" w:fill="auto"/>
          </w:tcPr>
          <w:p w14:paraId="7990D25A" w14:textId="77777777" w:rsidR="00A60D4B" w:rsidRPr="00111524" w:rsidRDefault="00A60D4B" w:rsidP="00A60D4B">
            <w:pPr>
              <w:pStyle w:val="Btablefigureunbold"/>
              <w:rPr>
                <w:color w:val="000000"/>
              </w:rPr>
            </w:pPr>
            <w:r w:rsidRPr="006B2963">
              <w:t xml:space="preserve">14,962 </w:t>
            </w:r>
          </w:p>
        </w:tc>
        <w:tc>
          <w:tcPr>
            <w:tcW w:w="1158" w:type="dxa"/>
            <w:tcBorders>
              <w:top w:val="nil"/>
              <w:bottom w:val="nil"/>
            </w:tcBorders>
            <w:shd w:val="clear" w:color="auto" w:fill="auto"/>
          </w:tcPr>
          <w:p w14:paraId="43E2CC98" w14:textId="77777777" w:rsidR="00A60D4B" w:rsidRPr="00EC74DB" w:rsidRDefault="00A60D4B" w:rsidP="00A60D4B">
            <w:pPr>
              <w:pStyle w:val="Btablefigureunbold"/>
            </w:pPr>
            <w:r w:rsidRPr="006B2963">
              <w:t xml:space="preserve">15,261 </w:t>
            </w:r>
          </w:p>
        </w:tc>
        <w:tc>
          <w:tcPr>
            <w:tcW w:w="1158" w:type="dxa"/>
            <w:tcBorders>
              <w:top w:val="nil"/>
              <w:bottom w:val="nil"/>
            </w:tcBorders>
          </w:tcPr>
          <w:p w14:paraId="6ECFC466" w14:textId="77777777" w:rsidR="00A60D4B" w:rsidRPr="00EC74DB" w:rsidRDefault="00A60D4B" w:rsidP="00A60D4B">
            <w:pPr>
              <w:pStyle w:val="Btablefigureunbold"/>
            </w:pPr>
            <w:r w:rsidRPr="006B2963">
              <w:t xml:space="preserve">15,604 </w:t>
            </w:r>
          </w:p>
        </w:tc>
      </w:tr>
      <w:tr w:rsidR="00A60D4B" w:rsidRPr="00337DC9" w14:paraId="1DD7D398" w14:textId="77777777" w:rsidTr="00A60D4B">
        <w:trPr>
          <w:trHeight w:val="227"/>
        </w:trPr>
        <w:tc>
          <w:tcPr>
            <w:tcW w:w="2268" w:type="dxa"/>
            <w:tcBorders>
              <w:top w:val="nil"/>
              <w:bottom w:val="nil"/>
            </w:tcBorders>
          </w:tcPr>
          <w:p w14:paraId="45A999F0" w14:textId="77777777" w:rsidR="00A60D4B" w:rsidRPr="009B6C18" w:rsidRDefault="00A60D4B" w:rsidP="00A60D4B">
            <w:pPr>
              <w:pStyle w:val="Btabletextbolditalic"/>
              <w:rPr>
                <w:b w:val="0"/>
                <w:bCs/>
                <w:i w:val="0"/>
                <w:iCs/>
              </w:rPr>
            </w:pPr>
            <w:r w:rsidRPr="009B6C18">
              <w:rPr>
                <w:b w:val="0"/>
                <w:bCs/>
                <w:i w:val="0"/>
                <w:iCs/>
              </w:rPr>
              <w:t>Betting Operations Tax</w:t>
            </w:r>
          </w:p>
        </w:tc>
        <w:tc>
          <w:tcPr>
            <w:tcW w:w="1157" w:type="dxa"/>
            <w:tcBorders>
              <w:top w:val="nil"/>
              <w:bottom w:val="nil"/>
            </w:tcBorders>
          </w:tcPr>
          <w:p w14:paraId="168358C4" w14:textId="77777777" w:rsidR="00A60D4B" w:rsidRPr="00EC74DB" w:rsidRDefault="00A60D4B" w:rsidP="00A60D4B">
            <w:pPr>
              <w:pStyle w:val="Btablefigureunbold"/>
            </w:pPr>
            <w:r w:rsidRPr="000739DA">
              <w:t xml:space="preserve">14,370 </w:t>
            </w:r>
          </w:p>
        </w:tc>
        <w:tc>
          <w:tcPr>
            <w:tcW w:w="1253" w:type="dxa"/>
            <w:tcBorders>
              <w:top w:val="nil"/>
              <w:bottom w:val="nil"/>
            </w:tcBorders>
          </w:tcPr>
          <w:p w14:paraId="47F1231B" w14:textId="77777777" w:rsidR="00A60D4B" w:rsidRPr="00EC74DB" w:rsidRDefault="00A60D4B" w:rsidP="00A60D4B">
            <w:pPr>
              <w:pStyle w:val="Btablefigureunbold"/>
            </w:pPr>
            <w:r w:rsidRPr="006B2963">
              <w:t xml:space="preserve">14,994 </w:t>
            </w:r>
          </w:p>
        </w:tc>
        <w:tc>
          <w:tcPr>
            <w:tcW w:w="1063" w:type="dxa"/>
            <w:tcBorders>
              <w:top w:val="nil"/>
              <w:bottom w:val="nil"/>
            </w:tcBorders>
            <w:shd w:val="clear" w:color="auto" w:fill="auto"/>
          </w:tcPr>
          <w:p w14:paraId="08DC9CBA" w14:textId="77777777" w:rsidR="00A60D4B" w:rsidRPr="00653BCC" w:rsidRDefault="00A60D4B" w:rsidP="00A60D4B">
            <w:pPr>
              <w:pStyle w:val="Btablefigureunbold"/>
              <w:rPr>
                <w:bCs/>
              </w:rPr>
            </w:pPr>
            <w:r w:rsidRPr="006B2963">
              <w:t xml:space="preserve">16,960 </w:t>
            </w:r>
          </w:p>
        </w:tc>
        <w:tc>
          <w:tcPr>
            <w:tcW w:w="1157" w:type="dxa"/>
            <w:tcBorders>
              <w:top w:val="nil"/>
              <w:bottom w:val="nil"/>
            </w:tcBorders>
            <w:shd w:val="clear" w:color="472D8C" w:fill="auto"/>
          </w:tcPr>
          <w:p w14:paraId="12753DDA" w14:textId="77777777" w:rsidR="00A60D4B" w:rsidRPr="00111524" w:rsidRDefault="00A60D4B" w:rsidP="00A60D4B">
            <w:pPr>
              <w:pStyle w:val="Btablefigureunbold"/>
              <w:rPr>
                <w:color w:val="000000"/>
              </w:rPr>
            </w:pPr>
            <w:r w:rsidRPr="006B2963">
              <w:t xml:space="preserve">17,835 </w:t>
            </w:r>
          </w:p>
        </w:tc>
        <w:tc>
          <w:tcPr>
            <w:tcW w:w="1158" w:type="dxa"/>
            <w:tcBorders>
              <w:top w:val="nil"/>
              <w:bottom w:val="nil"/>
            </w:tcBorders>
            <w:shd w:val="clear" w:color="auto" w:fill="auto"/>
          </w:tcPr>
          <w:p w14:paraId="36D2831A" w14:textId="77777777" w:rsidR="00A60D4B" w:rsidRPr="00EC74DB" w:rsidRDefault="00A60D4B" w:rsidP="00A60D4B">
            <w:pPr>
              <w:pStyle w:val="Btablefigureunbold"/>
            </w:pPr>
            <w:r w:rsidRPr="006B2963">
              <w:t xml:space="preserve">19,085 </w:t>
            </w:r>
          </w:p>
        </w:tc>
        <w:tc>
          <w:tcPr>
            <w:tcW w:w="1158" w:type="dxa"/>
            <w:tcBorders>
              <w:top w:val="nil"/>
              <w:bottom w:val="nil"/>
            </w:tcBorders>
          </w:tcPr>
          <w:p w14:paraId="44FC4B0C" w14:textId="77777777" w:rsidR="00A60D4B" w:rsidRPr="00EC74DB" w:rsidRDefault="00A60D4B" w:rsidP="00A60D4B">
            <w:pPr>
              <w:pStyle w:val="Btablefigureunbold"/>
            </w:pPr>
            <w:r w:rsidRPr="006B2963">
              <w:t xml:space="preserve">20,230 </w:t>
            </w:r>
          </w:p>
        </w:tc>
      </w:tr>
      <w:tr w:rsidR="00A60D4B" w:rsidRPr="0050362F" w14:paraId="72165C30" w14:textId="77777777" w:rsidTr="00A60D4B">
        <w:trPr>
          <w:trHeight w:val="227"/>
        </w:trPr>
        <w:tc>
          <w:tcPr>
            <w:tcW w:w="2268" w:type="dxa"/>
            <w:tcBorders>
              <w:top w:val="nil"/>
              <w:bottom w:val="nil"/>
            </w:tcBorders>
          </w:tcPr>
          <w:p w14:paraId="7BDD2596" w14:textId="77777777" w:rsidR="00A60D4B" w:rsidRPr="0050362F" w:rsidRDefault="00A60D4B" w:rsidP="00A60D4B">
            <w:pPr>
              <w:pStyle w:val="Btabletextbolditalic"/>
              <w:rPr>
                <w:i w:val="0"/>
                <w:iCs/>
              </w:rPr>
            </w:pPr>
            <w:r w:rsidRPr="0050362F">
              <w:rPr>
                <w:i w:val="0"/>
                <w:iCs/>
              </w:rPr>
              <w:t>Total gambling taxes</w:t>
            </w:r>
          </w:p>
        </w:tc>
        <w:tc>
          <w:tcPr>
            <w:tcW w:w="1157" w:type="dxa"/>
            <w:tcBorders>
              <w:top w:val="nil"/>
              <w:bottom w:val="nil"/>
            </w:tcBorders>
          </w:tcPr>
          <w:p w14:paraId="6DF7F49C" w14:textId="77777777" w:rsidR="00A60D4B" w:rsidRPr="0050362F" w:rsidRDefault="00A60D4B" w:rsidP="00A60D4B">
            <w:pPr>
              <w:pStyle w:val="Btablefigureunbold"/>
              <w:rPr>
                <w:b/>
              </w:rPr>
            </w:pPr>
            <w:r w:rsidRPr="0050362F">
              <w:rPr>
                <w:b/>
              </w:rPr>
              <w:t xml:space="preserve">67,414 </w:t>
            </w:r>
          </w:p>
        </w:tc>
        <w:tc>
          <w:tcPr>
            <w:tcW w:w="1253" w:type="dxa"/>
            <w:tcBorders>
              <w:top w:val="nil"/>
              <w:bottom w:val="nil"/>
            </w:tcBorders>
          </w:tcPr>
          <w:p w14:paraId="5C6FEE18" w14:textId="77777777" w:rsidR="00A60D4B" w:rsidRPr="00555E8E" w:rsidRDefault="00A60D4B" w:rsidP="00A60D4B">
            <w:pPr>
              <w:pStyle w:val="Btablefigureunbold"/>
              <w:rPr>
                <w:b/>
                <w:bCs/>
              </w:rPr>
            </w:pPr>
            <w:r w:rsidRPr="00555E8E">
              <w:rPr>
                <w:b/>
                <w:bCs/>
              </w:rPr>
              <w:t>69,22</w:t>
            </w:r>
            <w:r>
              <w:rPr>
                <w:b/>
                <w:bCs/>
              </w:rPr>
              <w:t>2</w:t>
            </w:r>
            <w:r w:rsidRPr="00555E8E">
              <w:rPr>
                <w:b/>
                <w:bCs/>
              </w:rPr>
              <w:t xml:space="preserve"> </w:t>
            </w:r>
          </w:p>
        </w:tc>
        <w:tc>
          <w:tcPr>
            <w:tcW w:w="1063" w:type="dxa"/>
            <w:tcBorders>
              <w:top w:val="nil"/>
              <w:bottom w:val="nil"/>
            </w:tcBorders>
            <w:shd w:val="clear" w:color="auto" w:fill="auto"/>
          </w:tcPr>
          <w:p w14:paraId="4D0DFE70" w14:textId="77777777" w:rsidR="00A60D4B" w:rsidRPr="00555E8E" w:rsidRDefault="00A60D4B" w:rsidP="00A60D4B">
            <w:pPr>
              <w:pStyle w:val="Btablefigureunbold"/>
              <w:rPr>
                <w:b/>
                <w:bCs/>
              </w:rPr>
            </w:pPr>
            <w:r w:rsidRPr="00555E8E">
              <w:rPr>
                <w:b/>
                <w:bCs/>
              </w:rPr>
              <w:t>62,21</w:t>
            </w:r>
            <w:r>
              <w:rPr>
                <w:b/>
                <w:bCs/>
              </w:rPr>
              <w:t>1</w:t>
            </w:r>
            <w:r w:rsidRPr="00555E8E">
              <w:rPr>
                <w:b/>
                <w:bCs/>
              </w:rPr>
              <w:t xml:space="preserve"> </w:t>
            </w:r>
          </w:p>
        </w:tc>
        <w:tc>
          <w:tcPr>
            <w:tcW w:w="1157" w:type="dxa"/>
            <w:tcBorders>
              <w:top w:val="nil"/>
              <w:bottom w:val="nil"/>
            </w:tcBorders>
            <w:shd w:val="clear" w:color="472D8C" w:fill="auto"/>
          </w:tcPr>
          <w:p w14:paraId="2CE6E1DC" w14:textId="77777777" w:rsidR="00A60D4B" w:rsidRPr="00555E8E" w:rsidRDefault="00A60D4B" w:rsidP="00A60D4B">
            <w:pPr>
              <w:pStyle w:val="Btablefigureunbold"/>
              <w:rPr>
                <w:b/>
                <w:bCs/>
                <w:color w:val="000000"/>
              </w:rPr>
            </w:pPr>
            <w:r w:rsidRPr="00555E8E">
              <w:rPr>
                <w:b/>
                <w:bCs/>
              </w:rPr>
              <w:t xml:space="preserve">74,305 </w:t>
            </w:r>
          </w:p>
        </w:tc>
        <w:tc>
          <w:tcPr>
            <w:tcW w:w="1158" w:type="dxa"/>
            <w:tcBorders>
              <w:top w:val="nil"/>
              <w:bottom w:val="nil"/>
            </w:tcBorders>
            <w:shd w:val="clear" w:color="auto" w:fill="auto"/>
          </w:tcPr>
          <w:p w14:paraId="3073803A" w14:textId="77777777" w:rsidR="00A60D4B" w:rsidRPr="00555E8E" w:rsidRDefault="00A60D4B" w:rsidP="00A60D4B">
            <w:pPr>
              <w:pStyle w:val="Btablefigureunbold"/>
              <w:rPr>
                <w:b/>
                <w:bCs/>
              </w:rPr>
            </w:pPr>
            <w:r w:rsidRPr="00555E8E">
              <w:rPr>
                <w:b/>
                <w:bCs/>
              </w:rPr>
              <w:t xml:space="preserve">75,750 </w:t>
            </w:r>
          </w:p>
        </w:tc>
        <w:tc>
          <w:tcPr>
            <w:tcW w:w="1158" w:type="dxa"/>
            <w:tcBorders>
              <w:top w:val="nil"/>
              <w:bottom w:val="nil"/>
            </w:tcBorders>
          </w:tcPr>
          <w:p w14:paraId="5A0AF99A" w14:textId="77777777" w:rsidR="00A60D4B" w:rsidRPr="00555E8E" w:rsidRDefault="00A60D4B" w:rsidP="00A60D4B">
            <w:pPr>
              <w:pStyle w:val="Btablefigureunbold"/>
              <w:rPr>
                <w:b/>
                <w:bCs/>
              </w:rPr>
            </w:pPr>
            <w:r w:rsidRPr="00555E8E">
              <w:rPr>
                <w:b/>
                <w:bCs/>
              </w:rPr>
              <w:t xml:space="preserve">77,159 </w:t>
            </w:r>
          </w:p>
        </w:tc>
      </w:tr>
      <w:tr w:rsidR="00A60D4B" w:rsidRPr="00337DC9" w14:paraId="5693FEEF" w14:textId="77777777" w:rsidTr="00A60D4B">
        <w:trPr>
          <w:trHeight w:val="397"/>
        </w:trPr>
        <w:tc>
          <w:tcPr>
            <w:tcW w:w="2268" w:type="dxa"/>
            <w:tcBorders>
              <w:top w:val="nil"/>
              <w:bottom w:val="nil"/>
            </w:tcBorders>
            <w:vAlign w:val="bottom"/>
          </w:tcPr>
          <w:p w14:paraId="5EDB9612" w14:textId="77777777" w:rsidR="00A60D4B" w:rsidRPr="009B6C18" w:rsidRDefault="00A60D4B" w:rsidP="00A60D4B">
            <w:pPr>
              <w:pStyle w:val="Btabletextbolditalic"/>
              <w:rPr>
                <w:i w:val="0"/>
                <w:iCs/>
              </w:rPr>
            </w:pPr>
            <w:r w:rsidRPr="009B6C18">
              <w:rPr>
                <w:i w:val="0"/>
                <w:iCs/>
              </w:rPr>
              <w:t>Other taxes</w:t>
            </w:r>
          </w:p>
        </w:tc>
        <w:tc>
          <w:tcPr>
            <w:tcW w:w="1157" w:type="dxa"/>
            <w:tcBorders>
              <w:top w:val="nil"/>
              <w:bottom w:val="nil"/>
            </w:tcBorders>
            <w:vAlign w:val="bottom"/>
          </w:tcPr>
          <w:p w14:paraId="29191B77" w14:textId="77777777" w:rsidR="00A60D4B" w:rsidRPr="00EC74DB" w:rsidRDefault="00A60D4B" w:rsidP="00A60D4B">
            <w:pPr>
              <w:pStyle w:val="Btablefigureunbold"/>
              <w:jc w:val="left"/>
            </w:pPr>
          </w:p>
        </w:tc>
        <w:tc>
          <w:tcPr>
            <w:tcW w:w="1253" w:type="dxa"/>
            <w:tcBorders>
              <w:top w:val="nil"/>
              <w:bottom w:val="nil"/>
            </w:tcBorders>
            <w:vAlign w:val="bottom"/>
          </w:tcPr>
          <w:p w14:paraId="433F5F6D" w14:textId="77777777" w:rsidR="00A60D4B" w:rsidRPr="00EC74DB" w:rsidRDefault="00A60D4B" w:rsidP="00A60D4B">
            <w:pPr>
              <w:pStyle w:val="Btablefigureunbold"/>
              <w:jc w:val="left"/>
            </w:pPr>
          </w:p>
        </w:tc>
        <w:tc>
          <w:tcPr>
            <w:tcW w:w="1063" w:type="dxa"/>
            <w:tcBorders>
              <w:top w:val="nil"/>
              <w:bottom w:val="nil"/>
            </w:tcBorders>
            <w:shd w:val="clear" w:color="auto" w:fill="auto"/>
            <w:vAlign w:val="bottom"/>
          </w:tcPr>
          <w:p w14:paraId="713C9F1A" w14:textId="77777777" w:rsidR="00A60D4B" w:rsidRPr="00653BCC" w:rsidRDefault="00A60D4B" w:rsidP="00A60D4B">
            <w:pPr>
              <w:pStyle w:val="Btablefigureunbold"/>
              <w:jc w:val="left"/>
              <w:rPr>
                <w:bCs/>
              </w:rPr>
            </w:pPr>
          </w:p>
        </w:tc>
        <w:tc>
          <w:tcPr>
            <w:tcW w:w="1157" w:type="dxa"/>
            <w:tcBorders>
              <w:top w:val="nil"/>
              <w:bottom w:val="nil"/>
            </w:tcBorders>
            <w:shd w:val="clear" w:color="472D8C" w:fill="auto"/>
            <w:vAlign w:val="bottom"/>
          </w:tcPr>
          <w:p w14:paraId="3DB0A5BA" w14:textId="77777777" w:rsidR="00A60D4B" w:rsidRPr="00111524" w:rsidRDefault="00A60D4B" w:rsidP="00A60D4B">
            <w:pPr>
              <w:pStyle w:val="Btablefigureunbold"/>
              <w:jc w:val="left"/>
              <w:rPr>
                <w:color w:val="000000"/>
              </w:rPr>
            </w:pPr>
          </w:p>
        </w:tc>
        <w:tc>
          <w:tcPr>
            <w:tcW w:w="1158" w:type="dxa"/>
            <w:tcBorders>
              <w:top w:val="nil"/>
              <w:bottom w:val="nil"/>
            </w:tcBorders>
            <w:shd w:val="clear" w:color="auto" w:fill="auto"/>
            <w:vAlign w:val="bottom"/>
          </w:tcPr>
          <w:p w14:paraId="3CD29F05" w14:textId="77777777" w:rsidR="00A60D4B" w:rsidRPr="00EC74DB" w:rsidRDefault="00A60D4B" w:rsidP="00A60D4B">
            <w:pPr>
              <w:pStyle w:val="Btablefigureunbold"/>
              <w:jc w:val="left"/>
            </w:pPr>
          </w:p>
        </w:tc>
        <w:tc>
          <w:tcPr>
            <w:tcW w:w="1158" w:type="dxa"/>
            <w:tcBorders>
              <w:top w:val="nil"/>
              <w:bottom w:val="nil"/>
            </w:tcBorders>
            <w:vAlign w:val="bottom"/>
          </w:tcPr>
          <w:p w14:paraId="772B6379" w14:textId="77777777" w:rsidR="00A60D4B" w:rsidRPr="00EC74DB" w:rsidRDefault="00A60D4B" w:rsidP="00A60D4B">
            <w:pPr>
              <w:pStyle w:val="Btablefigureunbold"/>
              <w:jc w:val="left"/>
            </w:pPr>
          </w:p>
        </w:tc>
      </w:tr>
      <w:tr w:rsidR="00A60D4B" w:rsidRPr="00337DC9" w14:paraId="0F588644" w14:textId="77777777" w:rsidTr="00A60D4B">
        <w:trPr>
          <w:trHeight w:val="227"/>
        </w:trPr>
        <w:tc>
          <w:tcPr>
            <w:tcW w:w="2268" w:type="dxa"/>
            <w:tcBorders>
              <w:top w:val="nil"/>
              <w:bottom w:val="nil"/>
            </w:tcBorders>
          </w:tcPr>
          <w:p w14:paraId="06A7F8E9" w14:textId="77777777" w:rsidR="00A60D4B" w:rsidRPr="009B6C18" w:rsidRDefault="00A60D4B" w:rsidP="00A60D4B">
            <w:pPr>
              <w:pStyle w:val="Btabletextbolditalic"/>
              <w:rPr>
                <w:b w:val="0"/>
                <w:bCs/>
                <w:i w:val="0"/>
                <w:iCs/>
              </w:rPr>
            </w:pPr>
            <w:r w:rsidRPr="009B6C18">
              <w:rPr>
                <w:b w:val="0"/>
                <w:bCs/>
                <w:i w:val="0"/>
                <w:iCs/>
              </w:rPr>
              <w:t>Motor Vehicle Registration</w:t>
            </w:r>
          </w:p>
        </w:tc>
        <w:tc>
          <w:tcPr>
            <w:tcW w:w="1157" w:type="dxa"/>
            <w:tcBorders>
              <w:top w:val="nil"/>
              <w:bottom w:val="nil"/>
            </w:tcBorders>
          </w:tcPr>
          <w:p w14:paraId="7504AD33" w14:textId="77777777" w:rsidR="00A60D4B" w:rsidRPr="00887282" w:rsidRDefault="00A60D4B" w:rsidP="00A60D4B">
            <w:pPr>
              <w:pStyle w:val="Btablefigureunbold"/>
              <w:rPr>
                <w:rFonts w:cs="Calibri"/>
                <w:szCs w:val="20"/>
              </w:rPr>
            </w:pPr>
            <w:r w:rsidRPr="00887282">
              <w:rPr>
                <w:rFonts w:cs="Calibri"/>
                <w:szCs w:val="20"/>
              </w:rPr>
              <w:t xml:space="preserve">150,688 </w:t>
            </w:r>
          </w:p>
        </w:tc>
        <w:tc>
          <w:tcPr>
            <w:tcW w:w="1253" w:type="dxa"/>
            <w:tcBorders>
              <w:top w:val="nil"/>
              <w:bottom w:val="nil"/>
            </w:tcBorders>
          </w:tcPr>
          <w:p w14:paraId="4F758453" w14:textId="77777777" w:rsidR="00A60D4B" w:rsidRPr="00EC74DB" w:rsidRDefault="00A60D4B" w:rsidP="00A60D4B">
            <w:pPr>
              <w:pStyle w:val="Btablefigureunbold"/>
            </w:pPr>
            <w:r>
              <w:rPr>
                <w:rFonts w:cs="Calibri"/>
                <w:szCs w:val="20"/>
              </w:rPr>
              <w:t xml:space="preserve">157,122 </w:t>
            </w:r>
          </w:p>
        </w:tc>
        <w:tc>
          <w:tcPr>
            <w:tcW w:w="1063" w:type="dxa"/>
            <w:tcBorders>
              <w:top w:val="nil"/>
              <w:bottom w:val="nil"/>
            </w:tcBorders>
            <w:shd w:val="clear" w:color="auto" w:fill="auto"/>
          </w:tcPr>
          <w:p w14:paraId="6A62354C" w14:textId="77777777" w:rsidR="00A60D4B" w:rsidRPr="00653BCC" w:rsidRDefault="00A60D4B" w:rsidP="00A60D4B">
            <w:pPr>
              <w:pStyle w:val="Btablefigureunbold"/>
              <w:rPr>
                <w:bCs/>
              </w:rPr>
            </w:pPr>
            <w:r>
              <w:rPr>
                <w:rFonts w:cs="Calibri"/>
                <w:szCs w:val="20"/>
              </w:rPr>
              <w:t xml:space="preserve">158,168 </w:t>
            </w:r>
          </w:p>
        </w:tc>
        <w:tc>
          <w:tcPr>
            <w:tcW w:w="1157" w:type="dxa"/>
            <w:tcBorders>
              <w:top w:val="nil"/>
              <w:bottom w:val="nil"/>
            </w:tcBorders>
            <w:shd w:val="clear" w:color="472D8C" w:fill="auto"/>
          </w:tcPr>
          <w:p w14:paraId="54A399F2" w14:textId="77777777" w:rsidR="00A60D4B" w:rsidRPr="00111524" w:rsidRDefault="00A60D4B" w:rsidP="00A60D4B">
            <w:pPr>
              <w:pStyle w:val="Btablefigureunbold"/>
              <w:rPr>
                <w:color w:val="000000"/>
              </w:rPr>
            </w:pPr>
            <w:r>
              <w:rPr>
                <w:rFonts w:cs="Calibri"/>
                <w:szCs w:val="20"/>
              </w:rPr>
              <w:t xml:space="preserve">162,059 </w:t>
            </w:r>
          </w:p>
        </w:tc>
        <w:tc>
          <w:tcPr>
            <w:tcW w:w="1158" w:type="dxa"/>
            <w:tcBorders>
              <w:top w:val="nil"/>
              <w:bottom w:val="nil"/>
            </w:tcBorders>
            <w:shd w:val="clear" w:color="auto" w:fill="auto"/>
          </w:tcPr>
          <w:p w14:paraId="2355C3FD" w14:textId="77777777" w:rsidR="00A60D4B" w:rsidRPr="00EC74DB" w:rsidRDefault="00A60D4B" w:rsidP="00A60D4B">
            <w:pPr>
              <w:pStyle w:val="Btablefigureunbold"/>
            </w:pPr>
            <w:r>
              <w:rPr>
                <w:rFonts w:cs="Calibri"/>
                <w:szCs w:val="20"/>
              </w:rPr>
              <w:t xml:space="preserve">163,626 </w:t>
            </w:r>
          </w:p>
        </w:tc>
        <w:tc>
          <w:tcPr>
            <w:tcW w:w="1158" w:type="dxa"/>
            <w:tcBorders>
              <w:top w:val="nil"/>
              <w:bottom w:val="nil"/>
            </w:tcBorders>
          </w:tcPr>
          <w:p w14:paraId="2C4C8A0B" w14:textId="77777777" w:rsidR="00A60D4B" w:rsidRPr="00EC74DB" w:rsidRDefault="00A60D4B" w:rsidP="00A60D4B">
            <w:pPr>
              <w:pStyle w:val="Btablefigureunbold"/>
            </w:pPr>
            <w:r>
              <w:rPr>
                <w:rFonts w:cs="Calibri"/>
                <w:szCs w:val="20"/>
              </w:rPr>
              <w:t xml:space="preserve">171,536 </w:t>
            </w:r>
          </w:p>
        </w:tc>
      </w:tr>
      <w:tr w:rsidR="00A60D4B" w:rsidRPr="00337DC9" w14:paraId="61C07A0F" w14:textId="77777777" w:rsidTr="00A60D4B">
        <w:trPr>
          <w:trHeight w:val="227"/>
        </w:trPr>
        <w:tc>
          <w:tcPr>
            <w:tcW w:w="2268" w:type="dxa"/>
            <w:tcBorders>
              <w:top w:val="nil"/>
              <w:bottom w:val="nil"/>
            </w:tcBorders>
          </w:tcPr>
          <w:p w14:paraId="52239001" w14:textId="77777777" w:rsidR="00A60D4B" w:rsidRPr="009B6C18" w:rsidRDefault="00A60D4B" w:rsidP="00A60D4B">
            <w:pPr>
              <w:pStyle w:val="Btabletextbolditalic"/>
              <w:rPr>
                <w:b w:val="0"/>
                <w:bCs/>
                <w:i w:val="0"/>
                <w:iCs/>
              </w:rPr>
            </w:pPr>
            <w:r w:rsidRPr="009B6C18">
              <w:rPr>
                <w:b w:val="0"/>
                <w:bCs/>
                <w:i w:val="0"/>
                <w:iCs/>
              </w:rPr>
              <w:t>Ambulance Levy</w:t>
            </w:r>
          </w:p>
        </w:tc>
        <w:tc>
          <w:tcPr>
            <w:tcW w:w="1157" w:type="dxa"/>
            <w:tcBorders>
              <w:top w:val="nil"/>
              <w:bottom w:val="nil"/>
            </w:tcBorders>
          </w:tcPr>
          <w:p w14:paraId="39586422" w14:textId="77777777" w:rsidR="00A60D4B" w:rsidRPr="00887282" w:rsidRDefault="00A60D4B" w:rsidP="00A60D4B">
            <w:pPr>
              <w:pStyle w:val="Btablefigureunbold"/>
              <w:rPr>
                <w:rFonts w:cs="Calibri"/>
                <w:szCs w:val="20"/>
              </w:rPr>
            </w:pPr>
            <w:r w:rsidRPr="00887282">
              <w:rPr>
                <w:rFonts w:cs="Calibri"/>
                <w:szCs w:val="20"/>
              </w:rPr>
              <w:t xml:space="preserve">24,117 </w:t>
            </w:r>
          </w:p>
        </w:tc>
        <w:tc>
          <w:tcPr>
            <w:tcW w:w="1253" w:type="dxa"/>
            <w:tcBorders>
              <w:top w:val="nil"/>
              <w:bottom w:val="nil"/>
            </w:tcBorders>
          </w:tcPr>
          <w:p w14:paraId="0F064A2A" w14:textId="77777777" w:rsidR="00A60D4B" w:rsidRPr="00EC74DB" w:rsidRDefault="00A60D4B" w:rsidP="00A60D4B">
            <w:pPr>
              <w:pStyle w:val="Btablefigureunbold"/>
            </w:pPr>
            <w:r>
              <w:rPr>
                <w:rFonts w:cs="Calibri"/>
                <w:szCs w:val="20"/>
              </w:rPr>
              <w:t xml:space="preserve">25,461 </w:t>
            </w:r>
          </w:p>
        </w:tc>
        <w:tc>
          <w:tcPr>
            <w:tcW w:w="1063" w:type="dxa"/>
            <w:tcBorders>
              <w:top w:val="nil"/>
              <w:bottom w:val="nil"/>
            </w:tcBorders>
            <w:shd w:val="clear" w:color="auto" w:fill="auto"/>
          </w:tcPr>
          <w:p w14:paraId="7F57F09D" w14:textId="77777777" w:rsidR="00A60D4B" w:rsidRPr="00653BCC" w:rsidRDefault="00A60D4B" w:rsidP="00A60D4B">
            <w:pPr>
              <w:pStyle w:val="Btablefigureunbold"/>
              <w:rPr>
                <w:bCs/>
              </w:rPr>
            </w:pPr>
            <w:r>
              <w:rPr>
                <w:rFonts w:cs="Calibri"/>
                <w:szCs w:val="20"/>
              </w:rPr>
              <w:t xml:space="preserve">25,701 </w:t>
            </w:r>
          </w:p>
        </w:tc>
        <w:tc>
          <w:tcPr>
            <w:tcW w:w="1157" w:type="dxa"/>
            <w:tcBorders>
              <w:top w:val="nil"/>
              <w:bottom w:val="nil"/>
            </w:tcBorders>
            <w:shd w:val="clear" w:color="472D8C" w:fill="auto"/>
          </w:tcPr>
          <w:p w14:paraId="6BB6C28D" w14:textId="77777777" w:rsidR="00A60D4B" w:rsidRPr="00111524" w:rsidRDefault="00A60D4B" w:rsidP="00A60D4B">
            <w:pPr>
              <w:pStyle w:val="Btablefigureunbold"/>
              <w:rPr>
                <w:color w:val="000000"/>
              </w:rPr>
            </w:pPr>
            <w:r>
              <w:rPr>
                <w:rFonts w:cs="Calibri"/>
                <w:szCs w:val="20"/>
              </w:rPr>
              <w:t xml:space="preserve">26,384 </w:t>
            </w:r>
          </w:p>
        </w:tc>
        <w:tc>
          <w:tcPr>
            <w:tcW w:w="1158" w:type="dxa"/>
            <w:tcBorders>
              <w:top w:val="nil"/>
              <w:bottom w:val="nil"/>
            </w:tcBorders>
            <w:shd w:val="clear" w:color="auto" w:fill="auto"/>
          </w:tcPr>
          <w:p w14:paraId="5D527D74" w14:textId="77777777" w:rsidR="00A60D4B" w:rsidRPr="00EC74DB" w:rsidRDefault="00A60D4B" w:rsidP="00A60D4B">
            <w:pPr>
              <w:pStyle w:val="Btablefigureunbold"/>
            </w:pPr>
            <w:r>
              <w:rPr>
                <w:rFonts w:cs="Calibri"/>
                <w:szCs w:val="20"/>
              </w:rPr>
              <w:t xml:space="preserve">26,974 </w:t>
            </w:r>
          </w:p>
        </w:tc>
        <w:tc>
          <w:tcPr>
            <w:tcW w:w="1158" w:type="dxa"/>
            <w:tcBorders>
              <w:top w:val="nil"/>
              <w:bottom w:val="nil"/>
            </w:tcBorders>
          </w:tcPr>
          <w:p w14:paraId="40A3AA13" w14:textId="77777777" w:rsidR="00A60D4B" w:rsidRPr="00EC74DB" w:rsidRDefault="00A60D4B" w:rsidP="00A60D4B">
            <w:pPr>
              <w:pStyle w:val="Btablefigureunbold"/>
            </w:pPr>
            <w:r>
              <w:rPr>
                <w:rFonts w:cs="Calibri"/>
                <w:szCs w:val="20"/>
              </w:rPr>
              <w:t xml:space="preserve">27,648 </w:t>
            </w:r>
          </w:p>
        </w:tc>
      </w:tr>
      <w:tr w:rsidR="00A60D4B" w:rsidRPr="00337DC9" w14:paraId="12ACA575" w14:textId="77777777" w:rsidTr="00A60D4B">
        <w:trPr>
          <w:trHeight w:val="227"/>
        </w:trPr>
        <w:tc>
          <w:tcPr>
            <w:tcW w:w="2268" w:type="dxa"/>
            <w:tcBorders>
              <w:top w:val="nil"/>
              <w:bottom w:val="nil"/>
            </w:tcBorders>
          </w:tcPr>
          <w:p w14:paraId="30178584" w14:textId="77777777" w:rsidR="00A60D4B" w:rsidRPr="009B6C18" w:rsidRDefault="00A60D4B" w:rsidP="00A60D4B">
            <w:pPr>
              <w:pStyle w:val="Btabletextbolditalic"/>
              <w:rPr>
                <w:b w:val="0"/>
                <w:bCs/>
                <w:i w:val="0"/>
                <w:iCs/>
              </w:rPr>
            </w:pPr>
            <w:r w:rsidRPr="009B6C18">
              <w:rPr>
                <w:b w:val="0"/>
                <w:bCs/>
                <w:i w:val="0"/>
                <w:iCs/>
              </w:rPr>
              <w:t>Lease Variation Charge</w:t>
            </w:r>
          </w:p>
        </w:tc>
        <w:tc>
          <w:tcPr>
            <w:tcW w:w="1157" w:type="dxa"/>
            <w:tcBorders>
              <w:top w:val="nil"/>
              <w:bottom w:val="nil"/>
            </w:tcBorders>
          </w:tcPr>
          <w:p w14:paraId="1169DA4B" w14:textId="77777777" w:rsidR="00A60D4B" w:rsidRPr="00887282" w:rsidRDefault="00A60D4B" w:rsidP="00A60D4B">
            <w:pPr>
              <w:pStyle w:val="Btablefigureunbold"/>
              <w:rPr>
                <w:rFonts w:cs="Calibri"/>
                <w:szCs w:val="20"/>
              </w:rPr>
            </w:pPr>
            <w:r w:rsidRPr="00887282">
              <w:rPr>
                <w:rFonts w:cs="Calibri"/>
                <w:szCs w:val="20"/>
              </w:rPr>
              <w:t xml:space="preserve">22,044 </w:t>
            </w:r>
          </w:p>
        </w:tc>
        <w:tc>
          <w:tcPr>
            <w:tcW w:w="1253" w:type="dxa"/>
            <w:tcBorders>
              <w:top w:val="nil"/>
              <w:bottom w:val="nil"/>
            </w:tcBorders>
          </w:tcPr>
          <w:p w14:paraId="24E831B6" w14:textId="77777777" w:rsidR="00A60D4B" w:rsidRPr="00EC74DB" w:rsidRDefault="00A60D4B" w:rsidP="00A60D4B">
            <w:pPr>
              <w:pStyle w:val="Btablefigureunbold"/>
            </w:pPr>
            <w:r>
              <w:rPr>
                <w:rFonts w:cs="Calibri"/>
                <w:szCs w:val="20"/>
              </w:rPr>
              <w:t xml:space="preserve">28,005 </w:t>
            </w:r>
          </w:p>
        </w:tc>
        <w:tc>
          <w:tcPr>
            <w:tcW w:w="1063" w:type="dxa"/>
            <w:tcBorders>
              <w:top w:val="nil"/>
              <w:bottom w:val="nil"/>
            </w:tcBorders>
            <w:shd w:val="clear" w:color="auto" w:fill="auto"/>
          </w:tcPr>
          <w:p w14:paraId="7AC7CB03" w14:textId="77777777" w:rsidR="00A60D4B" w:rsidRPr="00653BCC" w:rsidRDefault="00A60D4B" w:rsidP="00A60D4B">
            <w:pPr>
              <w:pStyle w:val="Btablefigureunbold"/>
              <w:rPr>
                <w:bCs/>
              </w:rPr>
            </w:pPr>
            <w:r>
              <w:rPr>
                <w:rFonts w:cs="Calibri"/>
                <w:szCs w:val="20"/>
              </w:rPr>
              <w:t xml:space="preserve">21,498 </w:t>
            </w:r>
          </w:p>
        </w:tc>
        <w:tc>
          <w:tcPr>
            <w:tcW w:w="1157" w:type="dxa"/>
            <w:tcBorders>
              <w:top w:val="nil"/>
              <w:bottom w:val="nil"/>
            </w:tcBorders>
            <w:shd w:val="clear" w:color="472D8C" w:fill="auto"/>
          </w:tcPr>
          <w:p w14:paraId="5DC41F42" w14:textId="77777777" w:rsidR="00A60D4B" w:rsidRPr="00111524" w:rsidRDefault="00A60D4B" w:rsidP="00A60D4B">
            <w:pPr>
              <w:pStyle w:val="Btablefigureunbold"/>
              <w:rPr>
                <w:color w:val="000000"/>
              </w:rPr>
            </w:pPr>
            <w:r>
              <w:rPr>
                <w:rFonts w:cs="Calibri"/>
                <w:szCs w:val="20"/>
              </w:rPr>
              <w:t xml:space="preserve">22,660 </w:t>
            </w:r>
          </w:p>
        </w:tc>
        <w:tc>
          <w:tcPr>
            <w:tcW w:w="1158" w:type="dxa"/>
            <w:tcBorders>
              <w:top w:val="nil"/>
              <w:bottom w:val="nil"/>
            </w:tcBorders>
            <w:shd w:val="clear" w:color="auto" w:fill="auto"/>
          </w:tcPr>
          <w:p w14:paraId="47F019D7" w14:textId="77777777" w:rsidR="00A60D4B" w:rsidRPr="00EC74DB" w:rsidRDefault="00A60D4B" w:rsidP="00A60D4B">
            <w:pPr>
              <w:pStyle w:val="Btablefigureunbold"/>
            </w:pPr>
            <w:r>
              <w:rPr>
                <w:rFonts w:cs="Calibri"/>
                <w:szCs w:val="20"/>
              </w:rPr>
              <w:t xml:space="preserve">28,310 </w:t>
            </w:r>
          </w:p>
        </w:tc>
        <w:tc>
          <w:tcPr>
            <w:tcW w:w="1158" w:type="dxa"/>
            <w:tcBorders>
              <w:top w:val="nil"/>
              <w:bottom w:val="nil"/>
            </w:tcBorders>
          </w:tcPr>
          <w:p w14:paraId="611C3867" w14:textId="77777777" w:rsidR="00A60D4B" w:rsidRPr="00EC74DB" w:rsidRDefault="00A60D4B" w:rsidP="00A60D4B">
            <w:pPr>
              <w:pStyle w:val="Btablefigureunbold"/>
            </w:pPr>
            <w:r>
              <w:rPr>
                <w:rFonts w:cs="Calibri"/>
                <w:szCs w:val="20"/>
              </w:rPr>
              <w:t xml:space="preserve">29,737 </w:t>
            </w:r>
          </w:p>
        </w:tc>
      </w:tr>
      <w:tr w:rsidR="00A60D4B" w:rsidRPr="00337DC9" w14:paraId="36F0239D" w14:textId="77777777" w:rsidTr="00A60D4B">
        <w:trPr>
          <w:trHeight w:val="227"/>
        </w:trPr>
        <w:tc>
          <w:tcPr>
            <w:tcW w:w="2268" w:type="dxa"/>
            <w:tcBorders>
              <w:top w:val="nil"/>
              <w:bottom w:val="nil"/>
            </w:tcBorders>
          </w:tcPr>
          <w:p w14:paraId="04542B69" w14:textId="77777777" w:rsidR="00A60D4B" w:rsidRPr="009B6C18" w:rsidRDefault="00A60D4B" w:rsidP="00A60D4B">
            <w:pPr>
              <w:pStyle w:val="Btabletextbolditalic"/>
              <w:rPr>
                <w:b w:val="0"/>
                <w:bCs/>
                <w:i w:val="0"/>
                <w:iCs/>
              </w:rPr>
            </w:pPr>
            <w:r w:rsidRPr="009B6C18">
              <w:rPr>
                <w:b w:val="0"/>
                <w:bCs/>
                <w:i w:val="0"/>
                <w:iCs/>
              </w:rPr>
              <w:t>Utilities (Network Facilities) Tax</w:t>
            </w:r>
          </w:p>
        </w:tc>
        <w:tc>
          <w:tcPr>
            <w:tcW w:w="1157" w:type="dxa"/>
            <w:tcBorders>
              <w:top w:val="nil"/>
              <w:bottom w:val="nil"/>
            </w:tcBorders>
          </w:tcPr>
          <w:p w14:paraId="2C120D93" w14:textId="77777777" w:rsidR="00A60D4B" w:rsidRPr="00887282" w:rsidRDefault="00A60D4B" w:rsidP="00A60D4B">
            <w:pPr>
              <w:pStyle w:val="Btablefigureunbold"/>
              <w:rPr>
                <w:rFonts w:cs="Calibri"/>
                <w:szCs w:val="20"/>
              </w:rPr>
            </w:pPr>
            <w:r w:rsidRPr="00887282">
              <w:rPr>
                <w:rFonts w:cs="Calibri"/>
                <w:szCs w:val="20"/>
              </w:rPr>
              <w:t xml:space="preserve">42,160 </w:t>
            </w:r>
          </w:p>
        </w:tc>
        <w:tc>
          <w:tcPr>
            <w:tcW w:w="1253" w:type="dxa"/>
            <w:tcBorders>
              <w:top w:val="nil"/>
              <w:bottom w:val="nil"/>
            </w:tcBorders>
          </w:tcPr>
          <w:p w14:paraId="4B9F7D3E" w14:textId="77777777" w:rsidR="00A60D4B" w:rsidRPr="00EC74DB" w:rsidRDefault="00A60D4B" w:rsidP="00A60D4B">
            <w:pPr>
              <w:pStyle w:val="Btablefigureunbold"/>
            </w:pPr>
            <w:r>
              <w:rPr>
                <w:rFonts w:cs="Calibri"/>
                <w:szCs w:val="20"/>
              </w:rPr>
              <w:t xml:space="preserve">43,982 </w:t>
            </w:r>
          </w:p>
        </w:tc>
        <w:tc>
          <w:tcPr>
            <w:tcW w:w="1063" w:type="dxa"/>
            <w:tcBorders>
              <w:top w:val="nil"/>
              <w:bottom w:val="nil"/>
            </w:tcBorders>
            <w:shd w:val="clear" w:color="auto" w:fill="auto"/>
          </w:tcPr>
          <w:p w14:paraId="4094A03F" w14:textId="77777777" w:rsidR="00A60D4B" w:rsidRPr="00653BCC" w:rsidRDefault="00A60D4B" w:rsidP="00A60D4B">
            <w:pPr>
              <w:pStyle w:val="Btablefigureunbold"/>
              <w:rPr>
                <w:bCs/>
              </w:rPr>
            </w:pPr>
            <w:r>
              <w:rPr>
                <w:rFonts w:cs="Calibri"/>
                <w:szCs w:val="20"/>
              </w:rPr>
              <w:t xml:space="preserve">44,979 </w:t>
            </w:r>
          </w:p>
        </w:tc>
        <w:tc>
          <w:tcPr>
            <w:tcW w:w="1157" w:type="dxa"/>
            <w:tcBorders>
              <w:top w:val="nil"/>
              <w:bottom w:val="nil"/>
            </w:tcBorders>
            <w:shd w:val="clear" w:color="472D8C" w:fill="auto"/>
          </w:tcPr>
          <w:p w14:paraId="20D459DE" w14:textId="77777777" w:rsidR="00A60D4B" w:rsidRPr="00111524" w:rsidRDefault="00A60D4B" w:rsidP="00A60D4B">
            <w:pPr>
              <w:pStyle w:val="Btablefigureunbold"/>
              <w:rPr>
                <w:color w:val="000000"/>
              </w:rPr>
            </w:pPr>
            <w:r>
              <w:rPr>
                <w:rFonts w:cs="Calibri"/>
                <w:szCs w:val="20"/>
              </w:rPr>
              <w:t xml:space="preserve">46,224 </w:t>
            </w:r>
          </w:p>
        </w:tc>
        <w:tc>
          <w:tcPr>
            <w:tcW w:w="1158" w:type="dxa"/>
            <w:tcBorders>
              <w:top w:val="nil"/>
              <w:bottom w:val="nil"/>
            </w:tcBorders>
            <w:shd w:val="clear" w:color="auto" w:fill="auto"/>
          </w:tcPr>
          <w:p w14:paraId="0D887058" w14:textId="77777777" w:rsidR="00A60D4B" w:rsidRPr="00EC74DB" w:rsidRDefault="00A60D4B" w:rsidP="00A60D4B">
            <w:pPr>
              <w:pStyle w:val="Btablefigureunbold"/>
            </w:pPr>
            <w:r>
              <w:rPr>
                <w:rFonts w:cs="Calibri"/>
                <w:szCs w:val="20"/>
              </w:rPr>
              <w:t xml:space="preserve">47,718 </w:t>
            </w:r>
          </w:p>
        </w:tc>
        <w:tc>
          <w:tcPr>
            <w:tcW w:w="1158" w:type="dxa"/>
            <w:tcBorders>
              <w:top w:val="nil"/>
              <w:bottom w:val="nil"/>
            </w:tcBorders>
          </w:tcPr>
          <w:p w14:paraId="464A9983" w14:textId="77777777" w:rsidR="00A60D4B" w:rsidRPr="00EC74DB" w:rsidRDefault="00A60D4B" w:rsidP="00A60D4B">
            <w:pPr>
              <w:pStyle w:val="Btablefigureunbold"/>
            </w:pPr>
            <w:r>
              <w:rPr>
                <w:rFonts w:cs="Calibri"/>
                <w:szCs w:val="20"/>
              </w:rPr>
              <w:t xml:space="preserve">49,313 </w:t>
            </w:r>
          </w:p>
        </w:tc>
      </w:tr>
      <w:tr w:rsidR="00A60D4B" w:rsidRPr="00337DC9" w14:paraId="7152060C" w14:textId="77777777" w:rsidTr="00A60D4B">
        <w:trPr>
          <w:trHeight w:val="227"/>
        </w:trPr>
        <w:tc>
          <w:tcPr>
            <w:tcW w:w="2268" w:type="dxa"/>
            <w:tcBorders>
              <w:top w:val="nil"/>
              <w:bottom w:val="nil"/>
            </w:tcBorders>
          </w:tcPr>
          <w:p w14:paraId="3592FC87" w14:textId="77777777" w:rsidR="00A60D4B" w:rsidRPr="009B6C18" w:rsidRDefault="00A60D4B" w:rsidP="00A60D4B">
            <w:pPr>
              <w:pStyle w:val="Btabletextbolditalic"/>
              <w:rPr>
                <w:b w:val="0"/>
                <w:bCs/>
                <w:i w:val="0"/>
                <w:iCs/>
              </w:rPr>
            </w:pPr>
            <w:r w:rsidRPr="009B6C18">
              <w:rPr>
                <w:b w:val="0"/>
                <w:bCs/>
                <w:i w:val="0"/>
                <w:iCs/>
              </w:rPr>
              <w:t>Fire and Emergency Service Levy</w:t>
            </w:r>
          </w:p>
        </w:tc>
        <w:tc>
          <w:tcPr>
            <w:tcW w:w="1157" w:type="dxa"/>
            <w:tcBorders>
              <w:top w:val="nil"/>
              <w:bottom w:val="nil"/>
            </w:tcBorders>
          </w:tcPr>
          <w:p w14:paraId="62EE8D40" w14:textId="77777777" w:rsidR="00A60D4B" w:rsidRPr="00887282" w:rsidRDefault="00A60D4B" w:rsidP="00A60D4B">
            <w:pPr>
              <w:pStyle w:val="Btablefigureunbold"/>
              <w:rPr>
                <w:rFonts w:cs="Calibri"/>
                <w:szCs w:val="20"/>
              </w:rPr>
            </w:pPr>
            <w:r w:rsidRPr="00887282">
              <w:rPr>
                <w:rFonts w:cs="Calibri"/>
                <w:szCs w:val="20"/>
              </w:rPr>
              <w:t xml:space="preserve">87,770 </w:t>
            </w:r>
          </w:p>
        </w:tc>
        <w:tc>
          <w:tcPr>
            <w:tcW w:w="1253" w:type="dxa"/>
            <w:tcBorders>
              <w:top w:val="nil"/>
              <w:bottom w:val="nil"/>
            </w:tcBorders>
          </w:tcPr>
          <w:p w14:paraId="74ADB1A7" w14:textId="77777777" w:rsidR="00A60D4B" w:rsidRPr="00EC74DB" w:rsidRDefault="00A60D4B" w:rsidP="00A60D4B">
            <w:pPr>
              <w:pStyle w:val="Btablefigureunbold"/>
            </w:pPr>
            <w:r>
              <w:rPr>
                <w:rFonts w:cs="Calibri"/>
                <w:szCs w:val="20"/>
              </w:rPr>
              <w:t xml:space="preserve">87,259 </w:t>
            </w:r>
          </w:p>
        </w:tc>
        <w:tc>
          <w:tcPr>
            <w:tcW w:w="1063" w:type="dxa"/>
            <w:tcBorders>
              <w:top w:val="nil"/>
              <w:bottom w:val="nil"/>
            </w:tcBorders>
            <w:shd w:val="clear" w:color="auto" w:fill="auto"/>
          </w:tcPr>
          <w:p w14:paraId="468558F7" w14:textId="77777777" w:rsidR="00A60D4B" w:rsidRPr="00653BCC" w:rsidRDefault="00A60D4B" w:rsidP="00A60D4B">
            <w:pPr>
              <w:pStyle w:val="Btablefigureunbold"/>
              <w:rPr>
                <w:bCs/>
              </w:rPr>
            </w:pPr>
            <w:r>
              <w:rPr>
                <w:rFonts w:cs="Calibri"/>
                <w:szCs w:val="20"/>
              </w:rPr>
              <w:t xml:space="preserve">94,060 </w:t>
            </w:r>
          </w:p>
        </w:tc>
        <w:tc>
          <w:tcPr>
            <w:tcW w:w="1157" w:type="dxa"/>
            <w:tcBorders>
              <w:top w:val="nil"/>
              <w:bottom w:val="nil"/>
            </w:tcBorders>
            <w:shd w:val="clear" w:color="472D8C" w:fill="auto"/>
          </w:tcPr>
          <w:p w14:paraId="04B2DAF8" w14:textId="77777777" w:rsidR="00A60D4B" w:rsidRPr="00111524" w:rsidRDefault="00A60D4B" w:rsidP="00A60D4B">
            <w:pPr>
              <w:pStyle w:val="Btablefigureunbold"/>
              <w:rPr>
                <w:color w:val="000000"/>
              </w:rPr>
            </w:pPr>
            <w:r>
              <w:rPr>
                <w:rFonts w:cs="Calibri"/>
                <w:szCs w:val="20"/>
              </w:rPr>
              <w:t xml:space="preserve">96,130 </w:t>
            </w:r>
          </w:p>
        </w:tc>
        <w:tc>
          <w:tcPr>
            <w:tcW w:w="1158" w:type="dxa"/>
            <w:tcBorders>
              <w:top w:val="nil"/>
              <w:bottom w:val="nil"/>
            </w:tcBorders>
            <w:shd w:val="clear" w:color="auto" w:fill="auto"/>
          </w:tcPr>
          <w:p w14:paraId="5C870A66" w14:textId="77777777" w:rsidR="00A60D4B" w:rsidRPr="00EC74DB" w:rsidRDefault="00A60D4B" w:rsidP="00A60D4B">
            <w:pPr>
              <w:pStyle w:val="Btablefigureunbold"/>
            </w:pPr>
            <w:r>
              <w:rPr>
                <w:rFonts w:cs="Calibri"/>
                <w:szCs w:val="20"/>
              </w:rPr>
              <w:t xml:space="preserve">98,480 </w:t>
            </w:r>
          </w:p>
        </w:tc>
        <w:tc>
          <w:tcPr>
            <w:tcW w:w="1158" w:type="dxa"/>
            <w:tcBorders>
              <w:top w:val="nil"/>
              <w:bottom w:val="nil"/>
            </w:tcBorders>
          </w:tcPr>
          <w:p w14:paraId="43A6CEA2" w14:textId="77777777" w:rsidR="00A60D4B" w:rsidRPr="00EC74DB" w:rsidRDefault="00A60D4B" w:rsidP="00A60D4B">
            <w:pPr>
              <w:pStyle w:val="Btablefigureunbold"/>
            </w:pPr>
            <w:r>
              <w:rPr>
                <w:rFonts w:cs="Calibri"/>
                <w:szCs w:val="20"/>
              </w:rPr>
              <w:t xml:space="preserve">101,130 </w:t>
            </w:r>
          </w:p>
        </w:tc>
      </w:tr>
      <w:tr w:rsidR="00A60D4B" w:rsidRPr="00337DC9" w14:paraId="532457BE" w14:textId="77777777" w:rsidTr="00A60D4B">
        <w:trPr>
          <w:trHeight w:val="227"/>
        </w:trPr>
        <w:tc>
          <w:tcPr>
            <w:tcW w:w="2268" w:type="dxa"/>
            <w:tcBorders>
              <w:top w:val="nil"/>
              <w:bottom w:val="nil"/>
            </w:tcBorders>
          </w:tcPr>
          <w:p w14:paraId="72BEFB75" w14:textId="77777777" w:rsidR="00A60D4B" w:rsidRPr="009B6C18" w:rsidRDefault="00A60D4B" w:rsidP="00A60D4B">
            <w:pPr>
              <w:pStyle w:val="Btabletextbolditalic"/>
              <w:rPr>
                <w:b w:val="0"/>
                <w:bCs/>
                <w:i w:val="0"/>
                <w:iCs/>
              </w:rPr>
            </w:pPr>
            <w:r w:rsidRPr="009B6C18">
              <w:rPr>
                <w:b w:val="0"/>
                <w:bCs/>
                <w:i w:val="0"/>
                <w:iCs/>
              </w:rPr>
              <w:t>City Centre Marketing and Improvements Levy</w:t>
            </w:r>
          </w:p>
        </w:tc>
        <w:tc>
          <w:tcPr>
            <w:tcW w:w="1157" w:type="dxa"/>
            <w:tcBorders>
              <w:top w:val="nil"/>
              <w:bottom w:val="nil"/>
            </w:tcBorders>
          </w:tcPr>
          <w:p w14:paraId="23C1B682" w14:textId="77777777" w:rsidR="00A60D4B" w:rsidRPr="00887282" w:rsidRDefault="00A60D4B" w:rsidP="00A60D4B">
            <w:pPr>
              <w:pStyle w:val="Btablefigureunbold"/>
              <w:rPr>
                <w:rFonts w:cs="Calibri"/>
                <w:szCs w:val="20"/>
              </w:rPr>
            </w:pPr>
            <w:r w:rsidRPr="00887282">
              <w:rPr>
                <w:rFonts w:cs="Calibri"/>
                <w:szCs w:val="20"/>
              </w:rPr>
              <w:t xml:space="preserve">1,085 </w:t>
            </w:r>
          </w:p>
        </w:tc>
        <w:tc>
          <w:tcPr>
            <w:tcW w:w="1253" w:type="dxa"/>
            <w:tcBorders>
              <w:top w:val="nil"/>
              <w:bottom w:val="nil"/>
            </w:tcBorders>
          </w:tcPr>
          <w:p w14:paraId="59836E92" w14:textId="77777777" w:rsidR="00A60D4B" w:rsidRPr="00EC74DB" w:rsidRDefault="00A60D4B" w:rsidP="00A60D4B">
            <w:pPr>
              <w:pStyle w:val="Btablefigureunbold"/>
            </w:pPr>
            <w:r>
              <w:rPr>
                <w:rFonts w:cs="Calibri"/>
                <w:szCs w:val="20"/>
              </w:rPr>
              <w:t xml:space="preserve">1,168 </w:t>
            </w:r>
          </w:p>
        </w:tc>
        <w:tc>
          <w:tcPr>
            <w:tcW w:w="1063" w:type="dxa"/>
            <w:tcBorders>
              <w:top w:val="nil"/>
              <w:bottom w:val="nil"/>
            </w:tcBorders>
            <w:shd w:val="clear" w:color="auto" w:fill="auto"/>
          </w:tcPr>
          <w:p w14:paraId="2235AC9C" w14:textId="77777777" w:rsidR="00A60D4B" w:rsidRPr="00653BCC" w:rsidRDefault="00A60D4B" w:rsidP="00A60D4B">
            <w:pPr>
              <w:pStyle w:val="Btablefigureunbold"/>
              <w:rPr>
                <w:bCs/>
              </w:rPr>
            </w:pPr>
            <w:r>
              <w:rPr>
                <w:rFonts w:cs="Calibri"/>
                <w:szCs w:val="20"/>
              </w:rPr>
              <w:t xml:space="preserve">2,350 </w:t>
            </w:r>
          </w:p>
        </w:tc>
        <w:tc>
          <w:tcPr>
            <w:tcW w:w="1157" w:type="dxa"/>
            <w:tcBorders>
              <w:top w:val="nil"/>
              <w:bottom w:val="nil"/>
            </w:tcBorders>
            <w:shd w:val="clear" w:color="472D8C" w:fill="auto"/>
          </w:tcPr>
          <w:p w14:paraId="002BA0C9" w14:textId="77777777" w:rsidR="00A60D4B" w:rsidRPr="00111524" w:rsidRDefault="00A60D4B" w:rsidP="00A60D4B">
            <w:pPr>
              <w:pStyle w:val="Btablefigureunbold"/>
              <w:rPr>
                <w:color w:val="000000"/>
              </w:rPr>
            </w:pPr>
            <w:r>
              <w:rPr>
                <w:rFonts w:cs="Calibri"/>
                <w:szCs w:val="20"/>
              </w:rPr>
              <w:t xml:space="preserve">2,350 </w:t>
            </w:r>
          </w:p>
        </w:tc>
        <w:tc>
          <w:tcPr>
            <w:tcW w:w="1158" w:type="dxa"/>
            <w:tcBorders>
              <w:top w:val="nil"/>
              <w:bottom w:val="nil"/>
            </w:tcBorders>
            <w:shd w:val="clear" w:color="auto" w:fill="auto"/>
          </w:tcPr>
          <w:p w14:paraId="24C3F6C5" w14:textId="77777777" w:rsidR="00A60D4B" w:rsidRPr="00EC74DB" w:rsidRDefault="00A60D4B" w:rsidP="00A60D4B">
            <w:pPr>
              <w:pStyle w:val="Btablefigureunbold"/>
            </w:pPr>
            <w:r>
              <w:rPr>
                <w:rFonts w:cs="Calibri"/>
                <w:szCs w:val="20"/>
              </w:rPr>
              <w:t xml:space="preserve">2,350 </w:t>
            </w:r>
          </w:p>
        </w:tc>
        <w:tc>
          <w:tcPr>
            <w:tcW w:w="1158" w:type="dxa"/>
            <w:tcBorders>
              <w:top w:val="nil"/>
              <w:bottom w:val="nil"/>
            </w:tcBorders>
          </w:tcPr>
          <w:p w14:paraId="0CDE9C71" w14:textId="77777777" w:rsidR="00A60D4B" w:rsidRPr="00EC74DB" w:rsidRDefault="00A60D4B" w:rsidP="00A60D4B">
            <w:pPr>
              <w:pStyle w:val="Btablefigureunbold"/>
            </w:pPr>
            <w:r>
              <w:rPr>
                <w:rFonts w:cs="Calibri"/>
                <w:szCs w:val="20"/>
              </w:rPr>
              <w:t xml:space="preserve">2,350 </w:t>
            </w:r>
          </w:p>
        </w:tc>
      </w:tr>
      <w:tr w:rsidR="00A60D4B" w:rsidRPr="00337DC9" w14:paraId="3B51D89B" w14:textId="77777777" w:rsidTr="00A60D4B">
        <w:trPr>
          <w:trHeight w:val="227"/>
        </w:trPr>
        <w:tc>
          <w:tcPr>
            <w:tcW w:w="2268" w:type="dxa"/>
            <w:tcBorders>
              <w:top w:val="nil"/>
              <w:bottom w:val="nil"/>
            </w:tcBorders>
          </w:tcPr>
          <w:p w14:paraId="3446F2CF" w14:textId="77777777" w:rsidR="00A60D4B" w:rsidRPr="009B6C18" w:rsidRDefault="00A60D4B" w:rsidP="00A60D4B">
            <w:pPr>
              <w:pStyle w:val="Btabletextbolditalic"/>
              <w:rPr>
                <w:b w:val="0"/>
                <w:bCs/>
                <w:i w:val="0"/>
                <w:iCs/>
              </w:rPr>
            </w:pPr>
            <w:r w:rsidRPr="009B6C18">
              <w:rPr>
                <w:b w:val="0"/>
                <w:bCs/>
                <w:i w:val="0"/>
                <w:iCs/>
              </w:rPr>
              <w:t>Energy Industry Levy</w:t>
            </w:r>
          </w:p>
        </w:tc>
        <w:tc>
          <w:tcPr>
            <w:tcW w:w="1157" w:type="dxa"/>
            <w:tcBorders>
              <w:top w:val="nil"/>
              <w:bottom w:val="nil"/>
            </w:tcBorders>
          </w:tcPr>
          <w:p w14:paraId="20DDC06C" w14:textId="77777777" w:rsidR="00A60D4B" w:rsidRPr="00887282" w:rsidRDefault="00A60D4B" w:rsidP="00A60D4B">
            <w:pPr>
              <w:pStyle w:val="Btablefigureunbold"/>
              <w:rPr>
                <w:rFonts w:cs="Calibri"/>
                <w:szCs w:val="20"/>
              </w:rPr>
            </w:pPr>
            <w:r w:rsidRPr="00887282">
              <w:rPr>
                <w:rFonts w:cs="Calibri"/>
                <w:szCs w:val="20"/>
              </w:rPr>
              <w:t xml:space="preserve">3,754 </w:t>
            </w:r>
          </w:p>
        </w:tc>
        <w:tc>
          <w:tcPr>
            <w:tcW w:w="1253" w:type="dxa"/>
            <w:tcBorders>
              <w:top w:val="nil"/>
              <w:bottom w:val="nil"/>
            </w:tcBorders>
          </w:tcPr>
          <w:p w14:paraId="762BC52D" w14:textId="77777777" w:rsidR="00A60D4B" w:rsidRPr="00EC74DB" w:rsidRDefault="00A60D4B" w:rsidP="00A60D4B">
            <w:pPr>
              <w:pStyle w:val="Btablefigureunbold"/>
            </w:pPr>
            <w:r>
              <w:rPr>
                <w:rFonts w:cs="Calibri"/>
                <w:szCs w:val="20"/>
              </w:rPr>
              <w:t xml:space="preserve">3,510 </w:t>
            </w:r>
          </w:p>
        </w:tc>
        <w:tc>
          <w:tcPr>
            <w:tcW w:w="1063" w:type="dxa"/>
            <w:tcBorders>
              <w:top w:val="nil"/>
              <w:bottom w:val="nil"/>
            </w:tcBorders>
            <w:shd w:val="clear" w:color="auto" w:fill="auto"/>
          </w:tcPr>
          <w:p w14:paraId="0838364E" w14:textId="77777777" w:rsidR="00A60D4B" w:rsidRPr="00653BCC" w:rsidRDefault="00A60D4B" w:rsidP="00A60D4B">
            <w:pPr>
              <w:pStyle w:val="Btablefigureunbold"/>
              <w:rPr>
                <w:bCs/>
              </w:rPr>
            </w:pPr>
            <w:r>
              <w:rPr>
                <w:rFonts w:cs="Calibri"/>
                <w:szCs w:val="20"/>
              </w:rPr>
              <w:t xml:space="preserve">3,631 </w:t>
            </w:r>
          </w:p>
        </w:tc>
        <w:tc>
          <w:tcPr>
            <w:tcW w:w="1157" w:type="dxa"/>
            <w:tcBorders>
              <w:top w:val="nil"/>
              <w:bottom w:val="nil"/>
            </w:tcBorders>
            <w:shd w:val="clear" w:color="472D8C" w:fill="auto"/>
          </w:tcPr>
          <w:p w14:paraId="6F87F1A0" w14:textId="77777777" w:rsidR="00A60D4B" w:rsidRPr="00111524" w:rsidRDefault="00A60D4B" w:rsidP="00A60D4B">
            <w:pPr>
              <w:pStyle w:val="Btablefigureunbold"/>
              <w:rPr>
                <w:color w:val="000000"/>
              </w:rPr>
            </w:pPr>
            <w:r>
              <w:rPr>
                <w:rFonts w:cs="Calibri"/>
                <w:szCs w:val="20"/>
              </w:rPr>
              <w:t xml:space="preserve">3,536 </w:t>
            </w:r>
          </w:p>
        </w:tc>
        <w:tc>
          <w:tcPr>
            <w:tcW w:w="1158" w:type="dxa"/>
            <w:tcBorders>
              <w:top w:val="nil"/>
              <w:bottom w:val="nil"/>
            </w:tcBorders>
            <w:shd w:val="clear" w:color="auto" w:fill="auto"/>
          </w:tcPr>
          <w:p w14:paraId="4D4D762B" w14:textId="77777777" w:rsidR="00A60D4B" w:rsidRPr="00EC74DB" w:rsidRDefault="00A60D4B" w:rsidP="00A60D4B">
            <w:pPr>
              <w:pStyle w:val="Btablefigureunbold"/>
            </w:pPr>
            <w:r>
              <w:rPr>
                <w:rFonts w:cs="Calibri"/>
                <w:szCs w:val="20"/>
              </w:rPr>
              <w:t xml:space="preserve">3,519 </w:t>
            </w:r>
          </w:p>
        </w:tc>
        <w:tc>
          <w:tcPr>
            <w:tcW w:w="1158" w:type="dxa"/>
            <w:tcBorders>
              <w:top w:val="nil"/>
              <w:bottom w:val="nil"/>
            </w:tcBorders>
          </w:tcPr>
          <w:p w14:paraId="2FBB30F4" w14:textId="77777777" w:rsidR="00A60D4B" w:rsidRPr="00EC74DB" w:rsidRDefault="00A60D4B" w:rsidP="00A60D4B">
            <w:pPr>
              <w:pStyle w:val="Btablefigureunbold"/>
            </w:pPr>
            <w:r>
              <w:rPr>
                <w:rFonts w:cs="Calibri"/>
                <w:szCs w:val="20"/>
              </w:rPr>
              <w:t xml:space="preserve">3,701 </w:t>
            </w:r>
          </w:p>
        </w:tc>
      </w:tr>
      <w:tr w:rsidR="00A60D4B" w:rsidRPr="00337DC9" w14:paraId="3DC1144C" w14:textId="77777777" w:rsidTr="00A60D4B">
        <w:trPr>
          <w:trHeight w:val="227"/>
        </w:trPr>
        <w:tc>
          <w:tcPr>
            <w:tcW w:w="2268" w:type="dxa"/>
            <w:tcBorders>
              <w:top w:val="nil"/>
              <w:bottom w:val="nil"/>
            </w:tcBorders>
          </w:tcPr>
          <w:p w14:paraId="4DEF9597" w14:textId="77777777" w:rsidR="00A60D4B" w:rsidRPr="009B6C18" w:rsidRDefault="00A60D4B" w:rsidP="00A60D4B">
            <w:pPr>
              <w:pStyle w:val="Btabletextbolditalic"/>
              <w:rPr>
                <w:b w:val="0"/>
                <w:bCs/>
                <w:i w:val="0"/>
                <w:iCs/>
              </w:rPr>
            </w:pPr>
            <w:r w:rsidRPr="009B6C18">
              <w:rPr>
                <w:b w:val="0"/>
                <w:bCs/>
                <w:i w:val="0"/>
                <w:iCs/>
              </w:rPr>
              <w:t>Safer Families Levy</w:t>
            </w:r>
          </w:p>
        </w:tc>
        <w:tc>
          <w:tcPr>
            <w:tcW w:w="1157" w:type="dxa"/>
            <w:tcBorders>
              <w:top w:val="nil"/>
              <w:bottom w:val="nil"/>
            </w:tcBorders>
          </w:tcPr>
          <w:p w14:paraId="7B4A8F2E" w14:textId="77777777" w:rsidR="00A60D4B" w:rsidRPr="00887282" w:rsidRDefault="00A60D4B" w:rsidP="00A60D4B">
            <w:pPr>
              <w:pStyle w:val="Btablefigureunbold"/>
              <w:rPr>
                <w:rFonts w:cs="Calibri"/>
                <w:szCs w:val="20"/>
              </w:rPr>
            </w:pPr>
            <w:r w:rsidRPr="00887282">
              <w:rPr>
                <w:rFonts w:cs="Calibri"/>
                <w:szCs w:val="20"/>
              </w:rPr>
              <w:t xml:space="preserve">5,000 </w:t>
            </w:r>
          </w:p>
        </w:tc>
        <w:tc>
          <w:tcPr>
            <w:tcW w:w="1253" w:type="dxa"/>
            <w:tcBorders>
              <w:top w:val="nil"/>
              <w:bottom w:val="nil"/>
            </w:tcBorders>
          </w:tcPr>
          <w:p w14:paraId="7663C2EE" w14:textId="77777777" w:rsidR="00A60D4B" w:rsidRPr="00EC74DB" w:rsidRDefault="00A60D4B" w:rsidP="00A60D4B">
            <w:pPr>
              <w:pStyle w:val="Btablefigureunbold"/>
            </w:pPr>
            <w:r>
              <w:rPr>
                <w:rFonts w:cs="Calibri"/>
                <w:szCs w:val="20"/>
              </w:rPr>
              <w:t xml:space="preserve">4,910 </w:t>
            </w:r>
          </w:p>
        </w:tc>
        <w:tc>
          <w:tcPr>
            <w:tcW w:w="1063" w:type="dxa"/>
            <w:tcBorders>
              <w:top w:val="nil"/>
              <w:bottom w:val="nil"/>
            </w:tcBorders>
            <w:shd w:val="clear" w:color="auto" w:fill="auto"/>
          </w:tcPr>
          <w:p w14:paraId="6C3A21F7" w14:textId="77777777" w:rsidR="00A60D4B" w:rsidRPr="00653BCC" w:rsidRDefault="00A60D4B" w:rsidP="00A60D4B">
            <w:pPr>
              <w:pStyle w:val="Btablefigureunbold"/>
              <w:rPr>
                <w:bCs/>
              </w:rPr>
            </w:pPr>
            <w:r>
              <w:rPr>
                <w:rFonts w:cs="Calibri"/>
                <w:szCs w:val="20"/>
              </w:rPr>
              <w:t xml:space="preserve">6,150 </w:t>
            </w:r>
          </w:p>
        </w:tc>
        <w:tc>
          <w:tcPr>
            <w:tcW w:w="1157" w:type="dxa"/>
            <w:tcBorders>
              <w:top w:val="nil"/>
              <w:bottom w:val="nil"/>
            </w:tcBorders>
            <w:shd w:val="clear" w:color="472D8C" w:fill="auto"/>
          </w:tcPr>
          <w:p w14:paraId="0D35E42A" w14:textId="77777777" w:rsidR="00A60D4B" w:rsidRPr="00111524" w:rsidRDefault="00A60D4B" w:rsidP="00A60D4B">
            <w:pPr>
              <w:pStyle w:val="Btablefigureunbold"/>
              <w:rPr>
                <w:color w:val="000000"/>
              </w:rPr>
            </w:pPr>
            <w:r>
              <w:rPr>
                <w:rFonts w:cs="Calibri"/>
                <w:szCs w:val="20"/>
              </w:rPr>
              <w:t xml:space="preserve">7,070 </w:t>
            </w:r>
          </w:p>
        </w:tc>
        <w:tc>
          <w:tcPr>
            <w:tcW w:w="1158" w:type="dxa"/>
            <w:tcBorders>
              <w:top w:val="nil"/>
              <w:bottom w:val="nil"/>
            </w:tcBorders>
            <w:shd w:val="clear" w:color="auto" w:fill="auto"/>
          </w:tcPr>
          <w:p w14:paraId="677ED43B" w14:textId="77777777" w:rsidR="00A60D4B" w:rsidRPr="00EC74DB" w:rsidRDefault="00A60D4B" w:rsidP="00A60D4B">
            <w:pPr>
              <w:pStyle w:val="Btablefigureunbold"/>
            </w:pPr>
            <w:r>
              <w:rPr>
                <w:rFonts w:cs="Calibri"/>
                <w:szCs w:val="20"/>
              </w:rPr>
              <w:t xml:space="preserve">8,040 </w:t>
            </w:r>
          </w:p>
        </w:tc>
        <w:tc>
          <w:tcPr>
            <w:tcW w:w="1158" w:type="dxa"/>
            <w:tcBorders>
              <w:top w:val="nil"/>
              <w:bottom w:val="nil"/>
            </w:tcBorders>
          </w:tcPr>
          <w:p w14:paraId="07A0C563" w14:textId="77777777" w:rsidR="00A60D4B" w:rsidRPr="00EC74DB" w:rsidRDefault="00A60D4B" w:rsidP="00A60D4B">
            <w:pPr>
              <w:pStyle w:val="Btablefigureunbold"/>
            </w:pPr>
            <w:r>
              <w:rPr>
                <w:rFonts w:cs="Calibri"/>
                <w:szCs w:val="20"/>
              </w:rPr>
              <w:t xml:space="preserve">9,040 </w:t>
            </w:r>
          </w:p>
        </w:tc>
      </w:tr>
      <w:tr w:rsidR="00A60D4B" w:rsidRPr="0050362F" w14:paraId="55E12102" w14:textId="77777777" w:rsidTr="00A60D4B">
        <w:trPr>
          <w:trHeight w:val="227"/>
        </w:trPr>
        <w:tc>
          <w:tcPr>
            <w:tcW w:w="2268" w:type="dxa"/>
            <w:tcBorders>
              <w:top w:val="nil"/>
              <w:bottom w:val="nil"/>
            </w:tcBorders>
          </w:tcPr>
          <w:p w14:paraId="33347D54" w14:textId="77777777" w:rsidR="00A60D4B" w:rsidRPr="0050362F" w:rsidRDefault="00A60D4B" w:rsidP="00A60D4B">
            <w:pPr>
              <w:pStyle w:val="Btabletextbolditalic"/>
              <w:rPr>
                <w:i w:val="0"/>
                <w:iCs/>
              </w:rPr>
            </w:pPr>
            <w:r w:rsidRPr="0050362F">
              <w:rPr>
                <w:i w:val="0"/>
                <w:iCs/>
              </w:rPr>
              <w:t>Total other taxes</w:t>
            </w:r>
          </w:p>
        </w:tc>
        <w:tc>
          <w:tcPr>
            <w:tcW w:w="1157" w:type="dxa"/>
            <w:tcBorders>
              <w:top w:val="nil"/>
              <w:bottom w:val="nil"/>
            </w:tcBorders>
          </w:tcPr>
          <w:p w14:paraId="7FB8D18F" w14:textId="77777777" w:rsidR="00A60D4B" w:rsidRPr="00887282" w:rsidRDefault="00A60D4B" w:rsidP="00A60D4B">
            <w:pPr>
              <w:pStyle w:val="Btablefigureunbold"/>
              <w:rPr>
                <w:rFonts w:cs="Calibri"/>
                <w:b/>
                <w:bCs/>
                <w:szCs w:val="20"/>
              </w:rPr>
            </w:pPr>
            <w:r w:rsidRPr="00887282">
              <w:rPr>
                <w:rFonts w:cs="Calibri"/>
                <w:b/>
                <w:bCs/>
                <w:szCs w:val="20"/>
              </w:rPr>
              <w:t xml:space="preserve">336,618 </w:t>
            </w:r>
          </w:p>
        </w:tc>
        <w:tc>
          <w:tcPr>
            <w:tcW w:w="1253" w:type="dxa"/>
            <w:tcBorders>
              <w:top w:val="nil"/>
              <w:bottom w:val="nil"/>
            </w:tcBorders>
          </w:tcPr>
          <w:p w14:paraId="704C572D" w14:textId="77777777" w:rsidR="00A60D4B" w:rsidRPr="00555E8E" w:rsidRDefault="00A60D4B" w:rsidP="00A60D4B">
            <w:pPr>
              <w:pStyle w:val="Btablefigureunbold"/>
              <w:rPr>
                <w:b/>
                <w:bCs/>
              </w:rPr>
            </w:pPr>
            <w:r>
              <w:rPr>
                <w:rFonts w:cs="Calibri"/>
                <w:b/>
                <w:bCs/>
                <w:szCs w:val="20"/>
              </w:rPr>
              <w:t xml:space="preserve">351,417 </w:t>
            </w:r>
          </w:p>
        </w:tc>
        <w:tc>
          <w:tcPr>
            <w:tcW w:w="1063" w:type="dxa"/>
            <w:tcBorders>
              <w:top w:val="nil"/>
              <w:bottom w:val="nil"/>
            </w:tcBorders>
            <w:shd w:val="clear" w:color="auto" w:fill="auto"/>
          </w:tcPr>
          <w:p w14:paraId="3BB95FD8" w14:textId="77777777" w:rsidR="00A60D4B" w:rsidRPr="00555E8E" w:rsidRDefault="00A60D4B" w:rsidP="00A60D4B">
            <w:pPr>
              <w:pStyle w:val="Btablefigureunbold"/>
              <w:rPr>
                <w:b/>
                <w:bCs/>
              </w:rPr>
            </w:pPr>
            <w:r>
              <w:rPr>
                <w:rFonts w:cs="Calibri"/>
                <w:b/>
                <w:bCs/>
                <w:szCs w:val="20"/>
              </w:rPr>
              <w:t xml:space="preserve">356,537 </w:t>
            </w:r>
          </w:p>
        </w:tc>
        <w:tc>
          <w:tcPr>
            <w:tcW w:w="1157" w:type="dxa"/>
            <w:tcBorders>
              <w:top w:val="nil"/>
              <w:bottom w:val="nil"/>
            </w:tcBorders>
            <w:shd w:val="clear" w:color="472D8C" w:fill="auto"/>
          </w:tcPr>
          <w:p w14:paraId="519EBD1B" w14:textId="77777777" w:rsidR="00A60D4B" w:rsidRPr="00555E8E" w:rsidRDefault="00A60D4B" w:rsidP="00A60D4B">
            <w:pPr>
              <w:pStyle w:val="Btablefigureunbold"/>
              <w:rPr>
                <w:b/>
                <w:bCs/>
                <w:color w:val="000000"/>
              </w:rPr>
            </w:pPr>
            <w:r>
              <w:rPr>
                <w:rFonts w:cs="Calibri"/>
                <w:b/>
                <w:bCs/>
                <w:szCs w:val="20"/>
              </w:rPr>
              <w:t>366,413</w:t>
            </w:r>
          </w:p>
        </w:tc>
        <w:tc>
          <w:tcPr>
            <w:tcW w:w="1158" w:type="dxa"/>
            <w:tcBorders>
              <w:top w:val="nil"/>
              <w:bottom w:val="nil"/>
            </w:tcBorders>
            <w:shd w:val="clear" w:color="auto" w:fill="auto"/>
          </w:tcPr>
          <w:p w14:paraId="51C99444" w14:textId="77777777" w:rsidR="00A60D4B" w:rsidRPr="00555E8E" w:rsidRDefault="00A60D4B" w:rsidP="00A60D4B">
            <w:pPr>
              <w:pStyle w:val="Btablefigureunbold"/>
              <w:rPr>
                <w:b/>
                <w:bCs/>
              </w:rPr>
            </w:pPr>
            <w:r>
              <w:rPr>
                <w:rFonts w:cs="Calibri"/>
                <w:b/>
                <w:bCs/>
                <w:szCs w:val="20"/>
              </w:rPr>
              <w:t xml:space="preserve">379,017 </w:t>
            </w:r>
          </w:p>
        </w:tc>
        <w:tc>
          <w:tcPr>
            <w:tcW w:w="1158" w:type="dxa"/>
            <w:tcBorders>
              <w:top w:val="nil"/>
              <w:bottom w:val="nil"/>
            </w:tcBorders>
          </w:tcPr>
          <w:p w14:paraId="3D49DE47" w14:textId="77777777" w:rsidR="00A60D4B" w:rsidRPr="00555E8E" w:rsidRDefault="00A60D4B" w:rsidP="00A60D4B">
            <w:pPr>
              <w:pStyle w:val="Btablefigureunbold"/>
              <w:rPr>
                <w:b/>
                <w:bCs/>
              </w:rPr>
            </w:pPr>
            <w:r>
              <w:rPr>
                <w:rFonts w:cs="Calibri"/>
                <w:b/>
                <w:bCs/>
                <w:szCs w:val="20"/>
              </w:rPr>
              <w:t xml:space="preserve">394,455 </w:t>
            </w:r>
          </w:p>
        </w:tc>
      </w:tr>
      <w:tr w:rsidR="00A60D4B" w:rsidRPr="0050362F" w14:paraId="13517263" w14:textId="77777777" w:rsidTr="00A60D4B">
        <w:trPr>
          <w:trHeight w:val="227"/>
        </w:trPr>
        <w:tc>
          <w:tcPr>
            <w:tcW w:w="2268" w:type="dxa"/>
            <w:tcBorders>
              <w:top w:val="single" w:sz="4" w:space="0" w:color="auto"/>
              <w:bottom w:val="single" w:sz="4" w:space="0" w:color="auto"/>
            </w:tcBorders>
          </w:tcPr>
          <w:p w14:paraId="38BC340D" w14:textId="77777777" w:rsidR="00A60D4B" w:rsidRPr="00DC6089" w:rsidRDefault="00A60D4B" w:rsidP="00A60D4B">
            <w:pPr>
              <w:pStyle w:val="Btabletextbolditalic"/>
              <w:rPr>
                <w:i w:val="0"/>
                <w:iCs/>
                <w:color w:val="472D8C"/>
              </w:rPr>
            </w:pPr>
            <w:r w:rsidRPr="00DC6089">
              <w:rPr>
                <w:i w:val="0"/>
                <w:iCs/>
                <w:color w:val="472D8C"/>
              </w:rPr>
              <w:t>Total taxation</w:t>
            </w:r>
          </w:p>
        </w:tc>
        <w:tc>
          <w:tcPr>
            <w:tcW w:w="1157" w:type="dxa"/>
            <w:tcBorders>
              <w:top w:val="single" w:sz="4" w:space="0" w:color="auto"/>
              <w:bottom w:val="single" w:sz="4" w:space="0" w:color="auto"/>
            </w:tcBorders>
          </w:tcPr>
          <w:p w14:paraId="2725A6E6" w14:textId="77777777" w:rsidR="00A60D4B" w:rsidRPr="00DC6089" w:rsidRDefault="00A60D4B" w:rsidP="00A60D4B">
            <w:pPr>
              <w:pStyle w:val="Btablefigureunbold"/>
              <w:rPr>
                <w:b/>
                <w:color w:val="472D8C"/>
              </w:rPr>
            </w:pPr>
            <w:r w:rsidRPr="00DC6089">
              <w:rPr>
                <w:b/>
                <w:color w:val="472D8C"/>
              </w:rPr>
              <w:t xml:space="preserve">1,987,230 </w:t>
            </w:r>
          </w:p>
        </w:tc>
        <w:tc>
          <w:tcPr>
            <w:tcW w:w="1253" w:type="dxa"/>
            <w:tcBorders>
              <w:top w:val="single" w:sz="4" w:space="0" w:color="auto"/>
              <w:bottom w:val="single" w:sz="4" w:space="0" w:color="auto"/>
            </w:tcBorders>
          </w:tcPr>
          <w:p w14:paraId="6A8086AA" w14:textId="77777777" w:rsidR="00A60D4B" w:rsidRPr="00DC6089" w:rsidRDefault="00A60D4B" w:rsidP="00A60D4B">
            <w:pPr>
              <w:pStyle w:val="Btablefigureunbold"/>
              <w:rPr>
                <w:b/>
                <w:color w:val="472D8C"/>
              </w:rPr>
            </w:pPr>
            <w:r w:rsidRPr="00DC6089">
              <w:rPr>
                <w:b/>
                <w:color w:val="472D8C"/>
              </w:rPr>
              <w:t xml:space="preserve">2,043,428 </w:t>
            </w:r>
          </w:p>
        </w:tc>
        <w:tc>
          <w:tcPr>
            <w:tcW w:w="1063" w:type="dxa"/>
            <w:tcBorders>
              <w:top w:val="single" w:sz="4" w:space="0" w:color="auto"/>
              <w:bottom w:val="single" w:sz="4" w:space="0" w:color="auto"/>
            </w:tcBorders>
            <w:shd w:val="clear" w:color="auto" w:fill="auto"/>
          </w:tcPr>
          <w:p w14:paraId="5FBB220A" w14:textId="77777777" w:rsidR="00A60D4B" w:rsidRPr="00DC6089" w:rsidRDefault="00A60D4B" w:rsidP="00A60D4B">
            <w:pPr>
              <w:pStyle w:val="Btablefigureunbold"/>
              <w:rPr>
                <w:b/>
                <w:color w:val="472D8C"/>
              </w:rPr>
            </w:pPr>
            <w:r w:rsidRPr="00DC6089">
              <w:rPr>
                <w:rFonts w:cs="Calibri"/>
                <w:b/>
                <w:bCs/>
                <w:color w:val="472D8C"/>
                <w:szCs w:val="20"/>
              </w:rPr>
              <w:t xml:space="preserve">2,216,163 </w:t>
            </w:r>
          </w:p>
        </w:tc>
        <w:tc>
          <w:tcPr>
            <w:tcW w:w="1157" w:type="dxa"/>
            <w:tcBorders>
              <w:top w:val="single" w:sz="4" w:space="0" w:color="auto"/>
              <w:bottom w:val="single" w:sz="4" w:space="0" w:color="auto"/>
            </w:tcBorders>
            <w:shd w:val="clear" w:color="472D8C" w:fill="auto"/>
          </w:tcPr>
          <w:p w14:paraId="2915C442" w14:textId="77777777" w:rsidR="00A60D4B" w:rsidRPr="00DC6089" w:rsidRDefault="00A60D4B" w:rsidP="00A60D4B">
            <w:pPr>
              <w:pStyle w:val="Btablefigureunbold"/>
              <w:rPr>
                <w:b/>
                <w:color w:val="472D8C"/>
              </w:rPr>
            </w:pPr>
            <w:r w:rsidRPr="00DC6089">
              <w:rPr>
                <w:rFonts w:cs="Calibri"/>
                <w:b/>
                <w:bCs/>
                <w:color w:val="472D8C"/>
                <w:szCs w:val="20"/>
              </w:rPr>
              <w:t xml:space="preserve">2,344,155 </w:t>
            </w:r>
          </w:p>
        </w:tc>
        <w:tc>
          <w:tcPr>
            <w:tcW w:w="1158" w:type="dxa"/>
            <w:tcBorders>
              <w:top w:val="single" w:sz="4" w:space="0" w:color="auto"/>
              <w:bottom w:val="single" w:sz="4" w:space="0" w:color="auto"/>
            </w:tcBorders>
            <w:shd w:val="clear" w:color="auto" w:fill="auto"/>
          </w:tcPr>
          <w:p w14:paraId="4316DDA9" w14:textId="77777777" w:rsidR="00A60D4B" w:rsidRPr="00DC6089" w:rsidRDefault="00A60D4B" w:rsidP="00A60D4B">
            <w:pPr>
              <w:pStyle w:val="Btablefigureunbold"/>
              <w:rPr>
                <w:b/>
                <w:color w:val="472D8C"/>
              </w:rPr>
            </w:pPr>
            <w:r w:rsidRPr="00DC6089">
              <w:rPr>
                <w:rFonts w:cs="Calibri"/>
                <w:b/>
                <w:bCs/>
                <w:color w:val="472D8C"/>
                <w:szCs w:val="20"/>
              </w:rPr>
              <w:t xml:space="preserve">2,399,836 </w:t>
            </w:r>
          </w:p>
        </w:tc>
        <w:tc>
          <w:tcPr>
            <w:tcW w:w="1158" w:type="dxa"/>
            <w:tcBorders>
              <w:top w:val="single" w:sz="4" w:space="0" w:color="auto"/>
              <w:bottom w:val="single" w:sz="4" w:space="0" w:color="auto"/>
            </w:tcBorders>
          </w:tcPr>
          <w:p w14:paraId="5F427362" w14:textId="77777777" w:rsidR="00A60D4B" w:rsidRPr="00DC6089" w:rsidRDefault="00A60D4B" w:rsidP="00A60D4B">
            <w:pPr>
              <w:pStyle w:val="Btablefigureunbold"/>
              <w:rPr>
                <w:b/>
                <w:color w:val="472D8C"/>
              </w:rPr>
            </w:pPr>
            <w:r w:rsidRPr="00DC6089">
              <w:rPr>
                <w:rFonts w:cs="Calibri"/>
                <w:b/>
                <w:bCs/>
                <w:color w:val="472D8C"/>
                <w:szCs w:val="20"/>
              </w:rPr>
              <w:t xml:space="preserve">2,519,774 </w:t>
            </w:r>
          </w:p>
        </w:tc>
      </w:tr>
    </w:tbl>
    <w:p w14:paraId="369DF624" w14:textId="77777777" w:rsidR="00A60D4B" w:rsidRDefault="00A60D4B" w:rsidP="00A60D4B">
      <w:pPr>
        <w:rPr>
          <w:rFonts w:ascii="Calibri" w:hAnsi="Calibri"/>
          <w:sz w:val="18"/>
        </w:rPr>
      </w:pPr>
      <w:r>
        <w:br w:type="page"/>
      </w:r>
    </w:p>
    <w:p w14:paraId="64F88311" w14:textId="77777777" w:rsidR="00A60D4B" w:rsidRPr="00510954" w:rsidRDefault="00A60D4B" w:rsidP="00A60D4B">
      <w:pPr>
        <w:pStyle w:val="Heading4"/>
      </w:pPr>
      <w:r>
        <w:lastRenderedPageBreak/>
        <w:t>Payroll tax</w:t>
      </w:r>
    </w:p>
    <w:p w14:paraId="2CC901A9" w14:textId="77777777" w:rsidR="00A60D4B" w:rsidRPr="004E7829" w:rsidRDefault="00A60D4B" w:rsidP="00A60D4B">
      <w:pPr>
        <w:pStyle w:val="Bbodytext"/>
      </w:pPr>
      <w:r w:rsidRPr="004E7829">
        <w:t xml:space="preserve">Payroll tax revenue is forecast to be $588.8 million in 2021-22, a 2.2 per cent increase from the interim outcome in 2020-21 of $576.3 million. Over the forward estimates period, total payroll tax revenue is forecast to </w:t>
      </w:r>
      <w:r w:rsidRPr="004A6494">
        <w:t>increase to</w:t>
      </w:r>
      <w:r w:rsidRPr="004E7829">
        <w:t xml:space="preserve"> $747.3 million in 2024-25.</w:t>
      </w:r>
    </w:p>
    <w:p w14:paraId="36518C1C" w14:textId="77777777" w:rsidR="00A60D4B" w:rsidRDefault="00A60D4B" w:rsidP="00A60D4B">
      <w:pPr>
        <w:pStyle w:val="Bbodytext"/>
      </w:pPr>
      <w:r>
        <w:t>Despite these increases, payroll tax revenue is now expected to be lower by $18.1 million in 2021-22 and $</w:t>
      </w:r>
      <w:r>
        <w:rPr>
          <w:szCs w:val="24"/>
        </w:rPr>
        <w:t>19.1 million (0.8 per cent) lower</w:t>
      </w:r>
      <w:r>
        <w:t xml:space="preserve"> over the four-year period to 2023-24 than expected at the time of the 2020-21 Budget. This reflects </w:t>
      </w:r>
      <w:r w:rsidRPr="00AB2E22">
        <w:t xml:space="preserve">the </w:t>
      </w:r>
      <w:r>
        <w:t xml:space="preserve">estimated impact of the </w:t>
      </w:r>
      <w:r w:rsidRPr="00A37912">
        <w:t xml:space="preserve">Delta strain </w:t>
      </w:r>
      <w:r>
        <w:t xml:space="preserve">outbreaks and the associated lockdowns </w:t>
      </w:r>
      <w:r w:rsidRPr="00A37912">
        <w:t>on economic activity and employment in exposed sectors</w:t>
      </w:r>
      <w:r w:rsidDel="003D1861">
        <w:t xml:space="preserve"> </w:t>
      </w:r>
      <w:r>
        <w:t>including construction, retail and tourism in 2021-2022. While stronger growth in payroll tax is expected over the forward estimates period, reflecting strong employment and wages growth, it does not fully offset the effects of the lower payroll tax base in 2021-22.</w:t>
      </w:r>
      <w:r w:rsidRPr="003554B3">
        <w:t xml:space="preserve"> </w:t>
      </w:r>
      <w:bookmarkStart w:id="79" w:name="_Hlk63166900"/>
    </w:p>
    <w:p w14:paraId="7178CE3C" w14:textId="77777777" w:rsidR="00A60D4B" w:rsidRDefault="00A60D4B" w:rsidP="00A60D4B">
      <w:pPr>
        <w:pStyle w:val="Bbodytext"/>
      </w:pPr>
      <w:r w:rsidRPr="00F318F4">
        <w:t xml:space="preserve">Since the onset of the COVID-19 pandemic, the Government has provided </w:t>
      </w:r>
      <w:r w:rsidRPr="00E36B45">
        <w:t>$</w:t>
      </w:r>
      <w:r>
        <w:t>17.8</w:t>
      </w:r>
      <w:r w:rsidRPr="00F318F4">
        <w:t xml:space="preserve"> million</w:t>
      </w:r>
      <w:r>
        <w:rPr>
          <w:rStyle w:val="FootnoteReference"/>
        </w:rPr>
        <w:footnoteReference w:id="8"/>
      </w:r>
      <w:r w:rsidRPr="00F318F4">
        <w:t xml:space="preserve"> of support to businesses hardest hit by the pandemic in the ACT through payroll tax waivers and deferrals.</w:t>
      </w:r>
      <w:r>
        <w:t xml:space="preserve"> </w:t>
      </w:r>
      <w:r w:rsidRPr="00690207">
        <w:rPr>
          <w:b/>
          <w:bCs/>
        </w:rPr>
        <w:t>Further, wages paid to apprentices or trainees employed after 1 August 2020 are exempt from payroll tax for the period from the start of the employment until 30 June 2022. This measure was originally due to end on 30 June 2021 but has been extended for another year.</w:t>
      </w:r>
    </w:p>
    <w:p w14:paraId="428CB940" w14:textId="77777777" w:rsidR="00A60D4B" w:rsidRDefault="00A60D4B" w:rsidP="00A60D4B">
      <w:pPr>
        <w:pStyle w:val="Bbodytext"/>
      </w:pPr>
      <w:r>
        <w:t xml:space="preserve">Payroll tax relief is also available for eligible businesses that have been significantly affected during the COVID-19 pandemic as part of the Business Hardship Scheme. The scheme provides assistance to offset government and utility fees and charges up to a maximum of $10,000. </w:t>
      </w:r>
      <w:r w:rsidRPr="0089604A">
        <w:t>The total value of assistance being offered is estimated to be $46.5 million, some of which will be reflected in reduced own source taxation revenue.</w:t>
      </w:r>
    </w:p>
    <w:bookmarkEnd w:id="79"/>
    <w:p w14:paraId="2BABA3FE" w14:textId="77777777" w:rsidR="00A60D4B" w:rsidRPr="00510954" w:rsidRDefault="00A60D4B" w:rsidP="00A60D4B">
      <w:pPr>
        <w:pStyle w:val="Heading4"/>
      </w:pPr>
      <w:r>
        <w:t xml:space="preserve">General rates </w:t>
      </w:r>
    </w:p>
    <w:p w14:paraId="72BF15A5" w14:textId="77777777" w:rsidR="00A60D4B" w:rsidRPr="00F32077" w:rsidRDefault="00A60D4B" w:rsidP="00A60D4B">
      <w:pPr>
        <w:pStyle w:val="Bbodytext"/>
      </w:pPr>
      <w:r w:rsidRPr="003B1479">
        <w:t xml:space="preserve">The interim outcome for general rates revenue in 2020-21 </w:t>
      </w:r>
      <w:r w:rsidRPr="00F804BD">
        <w:t>is $612.3 million</w:t>
      </w:r>
      <w:r>
        <w:t>, $2.2 million less than forecast in the 2020-21 Budget</w:t>
      </w:r>
      <w:r w:rsidRPr="003B1479">
        <w:t xml:space="preserve">. </w:t>
      </w:r>
      <w:r>
        <w:t>This reflects fewer commercial properties in the property base than was anticipated. The forecast for 2021-22 and the forward estimates period of $2.9 billion includes the increase in average annual general rates of 3.75 per cent under Stage 3 of tax reform, the addition of properties into the property base and a change in the mix of the base as different property types come onto the market at different times.</w:t>
      </w:r>
    </w:p>
    <w:p w14:paraId="27AE5AFF" w14:textId="77777777" w:rsidR="00A60D4B" w:rsidRPr="00E1461E" w:rsidRDefault="00A60D4B" w:rsidP="00A60D4B">
      <w:pPr>
        <w:pStyle w:val="Bbodytext"/>
      </w:pPr>
      <w:r>
        <w:t xml:space="preserve">For the current stock of properties, the announced increase in average rates determines the total general rates revenue to be collected from existing properties for each property type </w:t>
      </w:r>
      <w:r w:rsidRPr="00E1461E">
        <w:t>(rural, commercial, unit titled residential and non-unit titled residential)</w:t>
      </w:r>
      <w:r>
        <w:t>.</w:t>
      </w:r>
      <w:r w:rsidRPr="00E1461E">
        <w:t xml:space="preserve"> </w:t>
      </w:r>
      <w:r>
        <w:t>F</w:t>
      </w:r>
      <w:r w:rsidRPr="0017281A">
        <w:t>ixed charge</w:t>
      </w:r>
      <w:r>
        <w:t>s</w:t>
      </w:r>
      <w:r w:rsidRPr="0017281A">
        <w:t xml:space="preserve"> and </w:t>
      </w:r>
      <w:r>
        <w:t xml:space="preserve">marginal tax rates (applied to </w:t>
      </w:r>
      <w:r w:rsidRPr="0017281A">
        <w:t>the underlying land value of a property, as measured by the Average Unimproved Value</w:t>
      </w:r>
      <w:r>
        <w:t xml:space="preserve"> [</w:t>
      </w:r>
      <w:r w:rsidRPr="0017281A">
        <w:t>AUV</w:t>
      </w:r>
      <w:r>
        <w:t>]</w:t>
      </w:r>
      <w:r w:rsidRPr="0017281A">
        <w:t>)</w:t>
      </w:r>
      <w:r w:rsidRPr="00E1461E">
        <w:t xml:space="preserve"> are set to spread the target increase in average rates fairly </w:t>
      </w:r>
      <w:r>
        <w:t xml:space="preserve">and progressively </w:t>
      </w:r>
      <w:r w:rsidRPr="00E1461E">
        <w:t xml:space="preserve">based on underlying land values. </w:t>
      </w:r>
      <w:r w:rsidRPr="00ED7580">
        <w:t>The aggregate land data for these calculations are available on the budget website.</w:t>
      </w:r>
      <w:r w:rsidRPr="00DD7466">
        <w:t xml:space="preserve"> </w:t>
      </w:r>
    </w:p>
    <w:p w14:paraId="66E5AC72" w14:textId="77777777" w:rsidR="00A60D4B" w:rsidRDefault="00A60D4B" w:rsidP="00A60D4B">
      <w:pPr>
        <w:pStyle w:val="Bbodytext"/>
        <w:keepNext/>
        <w:keepLines/>
      </w:pPr>
      <w:r w:rsidRPr="008E4C91">
        <w:lastRenderedPageBreak/>
        <w:t xml:space="preserve">Year-on-year increases in general rates revenue reflect the ACT tax reform program, as well as growth in the </w:t>
      </w:r>
      <w:r>
        <w:t>property base</w:t>
      </w:r>
      <w:r w:rsidRPr="00F32077">
        <w:t>. Under the Government’s tax reform program, increases in general rates above the growth in Wage Price Index are used to fund reductions in own</w:t>
      </w:r>
      <w:r>
        <w:noBreakHyphen/>
      </w:r>
      <w:r w:rsidRPr="00F32077">
        <w:t>source revenue from the abolition of inefficient taxes such as insurance and conveyance duties. The increase in average general rates for residential and commercial properties during the five years of Stage 3 of tax reform (2021-22 to 2025-26) will be 3.75 per cent per</w:t>
      </w:r>
      <w:r>
        <w:t> </w:t>
      </w:r>
      <w:r w:rsidRPr="00F32077">
        <w:t xml:space="preserve">year. This is lower than the increase applied in Stage 2 (prior to COVID-19 household support measures) in light of the need to moderate the pace of general rates increases in response to expectations of lower wage growth and lower business income. </w:t>
      </w:r>
    </w:p>
    <w:p w14:paraId="14157A04" w14:textId="77777777" w:rsidR="00A60D4B" w:rsidRPr="003B1479" w:rsidRDefault="00A60D4B" w:rsidP="00A60D4B">
      <w:pPr>
        <w:pStyle w:val="Bbodytext"/>
        <w:keepNext/>
        <w:keepLines/>
      </w:pPr>
      <w:r>
        <w:t>The i</w:t>
      </w:r>
      <w:r w:rsidRPr="00F32077">
        <w:t xml:space="preserve">ncrease in </w:t>
      </w:r>
      <w:r>
        <w:t xml:space="preserve">total </w:t>
      </w:r>
      <w:r w:rsidRPr="003B1479">
        <w:t>estimated general rates revenue from residential and commercial properties</w:t>
      </w:r>
      <w:r>
        <w:t xml:space="preserve"> is</w:t>
      </w:r>
      <w:r w:rsidRPr="003B1479">
        <w:t xml:space="preserve"> </w:t>
      </w:r>
      <w:r>
        <w:t>greater than</w:t>
      </w:r>
      <w:r w:rsidRPr="003B1479">
        <w:t xml:space="preserve"> 3.75 per cent due to </w:t>
      </w:r>
      <w:r>
        <w:t xml:space="preserve">additional revenue from </w:t>
      </w:r>
      <w:r w:rsidRPr="003B1479">
        <w:t>new rateable properties</w:t>
      </w:r>
      <w:r>
        <w:t xml:space="preserve"> and not due to higher increases for existing properties</w:t>
      </w:r>
      <w:r w:rsidRPr="003B1479">
        <w:t xml:space="preserve">. </w:t>
      </w:r>
    </w:p>
    <w:p w14:paraId="16F6B4D0" w14:textId="77777777" w:rsidR="00A60D4B" w:rsidRPr="00ED7580" w:rsidRDefault="00A60D4B" w:rsidP="00A60D4B">
      <w:pPr>
        <w:pStyle w:val="Bbodytext"/>
      </w:pPr>
      <w:r w:rsidRPr="00F32077">
        <w:t xml:space="preserve">The basis on which </w:t>
      </w:r>
      <w:r>
        <w:t>general rates</w:t>
      </w:r>
      <w:r w:rsidRPr="00F32077">
        <w:t xml:space="preserve"> are calculated </w:t>
      </w:r>
      <w:r>
        <w:t>is now a five</w:t>
      </w:r>
      <w:r w:rsidRPr="00F32077">
        <w:t>-year average of unimproved land value</w:t>
      </w:r>
      <w:r>
        <w:t>, having transitioned from the previous three-year averaging to improve the stability and predictability of general rates for taxpayers.</w:t>
      </w:r>
    </w:p>
    <w:p w14:paraId="11833C5F" w14:textId="77777777" w:rsidR="00A60D4B" w:rsidRPr="00ED7580" w:rsidRDefault="00A60D4B" w:rsidP="00A60D4B">
      <w:pPr>
        <w:pStyle w:val="Bbodytext"/>
      </w:pPr>
      <w:r>
        <w:t>General rates are</w:t>
      </w:r>
      <w:r w:rsidRPr="00AB2E22">
        <w:t xml:space="preserve"> less affected by economic shocks compared to transaction</w:t>
      </w:r>
      <w:r>
        <w:noBreakHyphen/>
      </w:r>
      <w:r w:rsidRPr="00AB2E22">
        <w:t>based taxes. The shift from transaction</w:t>
      </w:r>
      <w:r>
        <w:t xml:space="preserve">-based </w:t>
      </w:r>
      <w:r w:rsidRPr="00AB2E22">
        <w:t>taxes to</w:t>
      </w:r>
      <w:r>
        <w:t xml:space="preserve"> broad-based</w:t>
      </w:r>
      <w:r w:rsidRPr="00AB2E22">
        <w:t xml:space="preserve"> land tax through the ACT’s tax reform program will progressively improve the stability and predictability of the ACT’s revenue base into the future</w:t>
      </w:r>
      <w:r>
        <w:t>. The current period of uncertainty reinforces the value of a stable and predictable revenue base to fund the essential services of Government.</w:t>
      </w:r>
    </w:p>
    <w:p w14:paraId="72AFD3D0" w14:textId="77777777" w:rsidR="00A60D4B" w:rsidRDefault="00A60D4B" w:rsidP="00A60D4B">
      <w:pPr>
        <w:pStyle w:val="Heading5"/>
      </w:pPr>
      <w:r>
        <w:t>Commercial general rates</w:t>
      </w:r>
    </w:p>
    <w:p w14:paraId="5E5DC174" w14:textId="77777777" w:rsidR="00A60D4B" w:rsidRPr="005D0ABD" w:rsidRDefault="00A60D4B" w:rsidP="00A60D4B">
      <w:pPr>
        <w:pStyle w:val="Bbodytext"/>
      </w:pPr>
      <w:r w:rsidRPr="003B1479">
        <w:t xml:space="preserve">The interim outcome for </w:t>
      </w:r>
      <w:r>
        <w:t xml:space="preserve">revenue from commercial </w:t>
      </w:r>
      <w:r w:rsidRPr="003B1479">
        <w:t xml:space="preserve">general rates </w:t>
      </w:r>
      <w:r>
        <w:t xml:space="preserve">was </w:t>
      </w:r>
      <w:r w:rsidRPr="0091351C">
        <w:t>$21</w:t>
      </w:r>
      <w:r>
        <w:t>4.6</w:t>
      </w:r>
      <w:r w:rsidRPr="0091351C">
        <w:t xml:space="preserve"> million</w:t>
      </w:r>
      <w:r w:rsidRPr="008E4C91">
        <w:t xml:space="preserve">. </w:t>
      </w:r>
      <w:r>
        <w:t xml:space="preserve">This is $4.4 million (2.0 per cent) </w:t>
      </w:r>
      <w:r w:rsidRPr="005D0ABD">
        <w:t>lower than previously estimated</w:t>
      </w:r>
      <w:r>
        <w:t xml:space="preserve"> in the 2020-21 Budget</w:t>
      </w:r>
      <w:r w:rsidRPr="005D0ABD">
        <w:t xml:space="preserve">, reflecting </w:t>
      </w:r>
      <w:r>
        <w:t xml:space="preserve">a reduction in the stock due to </w:t>
      </w:r>
      <w:r w:rsidRPr="005D0ABD">
        <w:t>the redevelopment of a number of commercial properties into residential units</w:t>
      </w:r>
      <w:r>
        <w:t xml:space="preserve"> and $2.5 million in support through the commercial rates relief program. </w:t>
      </w:r>
    </w:p>
    <w:p w14:paraId="4DD378C0" w14:textId="77777777" w:rsidR="00A60D4B" w:rsidRDefault="00A60D4B" w:rsidP="00A60D4B">
      <w:pPr>
        <w:pStyle w:val="Bbodytext"/>
      </w:pPr>
      <w:r w:rsidRPr="005D0ABD">
        <w:t xml:space="preserve">Commercial general rates revenue </w:t>
      </w:r>
      <w:r w:rsidRPr="005D0ABD" w:rsidDel="003E26F6">
        <w:t xml:space="preserve">is </w:t>
      </w:r>
      <w:r>
        <w:t xml:space="preserve">expected to be $214.6 million in 2021-22, </w:t>
      </w:r>
      <w:r w:rsidDel="003E26F6">
        <w:t xml:space="preserve">broadly unchanged </w:t>
      </w:r>
      <w:r>
        <w:t>from the 2020-21 interim outcome</w:t>
      </w:r>
      <w:r w:rsidRPr="00DD7466">
        <w:t xml:space="preserve">, </w:t>
      </w:r>
      <w:r w:rsidDel="003E26F6">
        <w:t xml:space="preserve">reflecting </w:t>
      </w:r>
      <w:r>
        <w:t>the announced 3.75 per cent increase in revenue,</w:t>
      </w:r>
      <w:r w:rsidDel="00594203">
        <w:t xml:space="preserve"> </w:t>
      </w:r>
      <w:r>
        <w:t>offset by the change in the stock of commercial properties, and COVID</w:t>
      </w:r>
      <w:r>
        <w:noBreakHyphen/>
        <w:t>19 assistance measures of $5.5 million.</w:t>
      </w:r>
      <w:r w:rsidRPr="00DD7466">
        <w:t xml:space="preserve"> </w:t>
      </w:r>
      <w:r>
        <w:t>Over the remainder of the forward estimates period,</w:t>
      </w:r>
      <w:r w:rsidRPr="00DD7466">
        <w:t xml:space="preserve"> revenue </w:t>
      </w:r>
      <w:r>
        <w:t>is expected to increase</w:t>
      </w:r>
      <w:r w:rsidRPr="00DD7466">
        <w:t xml:space="preserve"> by </w:t>
      </w:r>
      <w:r>
        <w:t>8.4 per cent</w:t>
      </w:r>
      <w:r w:rsidRPr="00DD7466">
        <w:t xml:space="preserve"> </w:t>
      </w:r>
      <w:r>
        <w:t>per annum</w:t>
      </w:r>
      <w:r w:rsidRPr="00DD7466">
        <w:t xml:space="preserve">, </w:t>
      </w:r>
      <w:r>
        <w:t xml:space="preserve">combining increases in average commercial rates of 3.75 per cent for current stock and revenue from new commercial properties. </w:t>
      </w:r>
    </w:p>
    <w:p w14:paraId="44CC3005" w14:textId="77777777" w:rsidR="00A60D4B" w:rsidRDefault="00A60D4B" w:rsidP="00A60D4B">
      <w:pPr>
        <w:pStyle w:val="Bbodytext"/>
      </w:pPr>
      <w:bookmarkStart w:id="80" w:name="_Hlk83817919"/>
      <w:r w:rsidRPr="009E2B0F">
        <w:t xml:space="preserve">Commercial rates rebates </w:t>
      </w:r>
      <w:r>
        <w:t>are</w:t>
      </w:r>
      <w:r w:rsidRPr="009E2B0F">
        <w:t xml:space="preserve"> available from 1 August to 31 December 2021 to eligible commercial landlords who reduce rent charged to business tenants significantly impacted by COVID-19. Rebates </w:t>
      </w:r>
      <w:r w:rsidRPr="009E2B0F" w:rsidDel="00063E84">
        <w:t>are</w:t>
      </w:r>
      <w:r w:rsidRPr="009E2B0F">
        <w:t xml:space="preserve"> also available to commercial property owners who operate a business from their premises (owner-operators) that have been significantly impacted by COVID-19.</w:t>
      </w:r>
      <w:r>
        <w:t xml:space="preserve"> </w:t>
      </w:r>
      <w:bookmarkEnd w:id="80"/>
      <w:r>
        <w:t xml:space="preserve">This builds on the support provided to commercial property owners and their business tenants in 2019-20 and 2020-21 as a result of the initial COVID-19 lockdown and ongoing public health restrictions. </w:t>
      </w:r>
    </w:p>
    <w:p w14:paraId="685B1A96" w14:textId="77777777" w:rsidR="00A60D4B" w:rsidRDefault="00A60D4B" w:rsidP="00A60D4B">
      <w:pPr>
        <w:pStyle w:val="Bbodytext"/>
      </w:pPr>
      <w:r>
        <w:rPr>
          <w:noProof/>
        </w:rPr>
        <w:lastRenderedPageBreak/>
        <mc:AlternateContent>
          <mc:Choice Requires="wps">
            <w:drawing>
              <wp:anchor distT="45720" distB="45720" distL="114300" distR="114300" simplePos="0" relativeHeight="251962368" behindDoc="0" locked="0" layoutInCell="1" allowOverlap="1" wp14:anchorId="31D16E1E" wp14:editId="4A7A41ED">
                <wp:simplePos x="0" y="0"/>
                <wp:positionH relativeFrom="column">
                  <wp:posOffset>86995</wp:posOffset>
                </wp:positionH>
                <wp:positionV relativeFrom="paragraph">
                  <wp:posOffset>493395</wp:posOffset>
                </wp:positionV>
                <wp:extent cx="5652770" cy="5142230"/>
                <wp:effectExtent l="0" t="0" r="5080" b="1270"/>
                <wp:wrapSquare wrapText="bothSides"/>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2770" cy="5142230"/>
                        </a:xfrm>
                        <a:prstGeom prst="rect">
                          <a:avLst/>
                        </a:prstGeom>
                        <a:solidFill>
                          <a:schemeClr val="bg1">
                            <a:lumMod val="95000"/>
                          </a:schemeClr>
                        </a:solidFill>
                        <a:ln w="9525">
                          <a:noFill/>
                          <a:miter lim="800000"/>
                          <a:headEnd/>
                          <a:tailEnd/>
                        </a:ln>
                      </wps:spPr>
                      <wps:txbx>
                        <w:txbxContent>
                          <w:p w14:paraId="2F698D5C" w14:textId="77777777" w:rsidR="002261A7" w:rsidRPr="00F51C6E" w:rsidRDefault="002261A7" w:rsidP="00A60D4B">
                            <w:pPr>
                              <w:pStyle w:val="Bbodytext"/>
                              <w:spacing w:before="0"/>
                              <w:rPr>
                                <w:b/>
                                <w:bCs/>
                                <w:color w:val="150045"/>
                              </w:rPr>
                            </w:pPr>
                            <w:r w:rsidRPr="00F51C6E">
                              <w:rPr>
                                <w:b/>
                                <w:bCs/>
                                <w:color w:val="150045"/>
                              </w:rPr>
                              <w:t>In setting the rating factors for 2021-22, the Government retained different tax rates for properties with AUVs above and below $2 million. The rating system for commercial general rates in 2021-22 has the following elements:</w:t>
                            </w:r>
                          </w:p>
                          <w:p w14:paraId="7F60D85C" w14:textId="77777777" w:rsidR="002261A7" w:rsidRPr="00F51C6E" w:rsidRDefault="002261A7" w:rsidP="00A60D4B">
                            <w:pPr>
                              <w:pStyle w:val="BSbullet1"/>
                              <w:keepNext/>
                              <w:keepLines/>
                              <w:rPr>
                                <w:b/>
                                <w:bCs/>
                                <w:color w:val="150045"/>
                              </w:rPr>
                            </w:pPr>
                            <w:r w:rsidRPr="00F51C6E">
                              <w:rPr>
                                <w:b/>
                                <w:bCs/>
                                <w:color w:val="150045"/>
                              </w:rPr>
                              <w:t>a fixed charge of:</w:t>
                            </w:r>
                          </w:p>
                          <w:p w14:paraId="41594EBD" w14:textId="77777777" w:rsidR="002261A7" w:rsidRPr="00F51C6E" w:rsidRDefault="002261A7" w:rsidP="00A60D4B">
                            <w:pPr>
                              <w:pStyle w:val="BBullet2"/>
                              <w:keepNext/>
                              <w:keepLines/>
                              <w:rPr>
                                <w:b/>
                                <w:bCs/>
                                <w:color w:val="150045"/>
                              </w:rPr>
                            </w:pPr>
                            <w:r w:rsidRPr="00F51C6E">
                              <w:rPr>
                                <w:b/>
                                <w:bCs/>
                                <w:color w:val="150045"/>
                              </w:rPr>
                              <w:t>$2,720 for properties with an AUV of $2 million or less; and</w:t>
                            </w:r>
                          </w:p>
                          <w:p w14:paraId="1A2E7251" w14:textId="77777777" w:rsidR="002261A7" w:rsidRPr="00F51C6E" w:rsidRDefault="002261A7" w:rsidP="00A60D4B">
                            <w:pPr>
                              <w:pStyle w:val="BBullet2"/>
                              <w:keepNext/>
                              <w:keepLines/>
                              <w:rPr>
                                <w:b/>
                                <w:bCs/>
                                <w:color w:val="150045"/>
                              </w:rPr>
                            </w:pPr>
                            <w:r w:rsidRPr="00F51C6E">
                              <w:rPr>
                                <w:b/>
                                <w:bCs/>
                                <w:color w:val="150045"/>
                              </w:rPr>
                              <w:t>$2,895 for properties with an AUV above $2 million;</w:t>
                            </w:r>
                          </w:p>
                          <w:p w14:paraId="02E4561C" w14:textId="77777777" w:rsidR="002261A7" w:rsidRPr="00F51C6E" w:rsidRDefault="002261A7" w:rsidP="00A60D4B">
                            <w:pPr>
                              <w:pStyle w:val="BSbullet1"/>
                              <w:rPr>
                                <w:b/>
                                <w:bCs/>
                                <w:color w:val="150045"/>
                              </w:rPr>
                            </w:pPr>
                            <w:r w:rsidRPr="00F51C6E">
                              <w:rPr>
                                <w:b/>
                                <w:bCs/>
                                <w:color w:val="150045"/>
                              </w:rPr>
                              <w:t>a valuation-based charge on the AUV for 202</w:t>
                            </w:r>
                            <w:r w:rsidRPr="00F51C6E">
                              <w:rPr>
                                <w:b/>
                                <w:bCs/>
                                <w:color w:val="150045"/>
                                <w:lang w:val="en-AU"/>
                              </w:rPr>
                              <w:t>1</w:t>
                            </w:r>
                            <w:r w:rsidRPr="00F51C6E">
                              <w:rPr>
                                <w:b/>
                                <w:bCs/>
                                <w:color w:val="150045"/>
                              </w:rPr>
                              <w:t xml:space="preserve"> (which is the average of 2017, 2018, 2019</w:t>
                            </w:r>
                            <w:r w:rsidRPr="00F51C6E">
                              <w:rPr>
                                <w:b/>
                                <w:bCs/>
                                <w:color w:val="150045"/>
                                <w:lang w:val="en-AU"/>
                              </w:rPr>
                              <w:t>, 2020</w:t>
                            </w:r>
                            <w:r w:rsidRPr="00F51C6E">
                              <w:rPr>
                                <w:b/>
                                <w:bCs/>
                                <w:color w:val="150045"/>
                              </w:rPr>
                              <w:t xml:space="preserve"> and 202</w:t>
                            </w:r>
                            <w:r w:rsidRPr="00F51C6E">
                              <w:rPr>
                                <w:b/>
                                <w:bCs/>
                                <w:color w:val="150045"/>
                                <w:lang w:val="en-AU"/>
                              </w:rPr>
                              <w:t>1</w:t>
                            </w:r>
                            <w:r w:rsidRPr="00F51C6E">
                              <w:rPr>
                                <w:b/>
                                <w:bCs/>
                                <w:color w:val="150045"/>
                              </w:rPr>
                              <w:t xml:space="preserve"> unimproved land values)</w:t>
                            </w:r>
                            <w:r w:rsidRPr="00F51C6E">
                              <w:rPr>
                                <w:b/>
                                <w:bCs/>
                                <w:color w:val="150045"/>
                                <w:lang w:val="en-AU"/>
                              </w:rPr>
                              <w:t>, and</w:t>
                            </w:r>
                          </w:p>
                          <w:p w14:paraId="0CC82AFE" w14:textId="77777777" w:rsidR="002261A7" w:rsidRPr="00F51C6E" w:rsidRDefault="002261A7" w:rsidP="00A60D4B">
                            <w:pPr>
                              <w:pStyle w:val="BSbullet1"/>
                              <w:rPr>
                                <w:b/>
                                <w:bCs/>
                                <w:color w:val="150045"/>
                              </w:rPr>
                            </w:pPr>
                            <w:r w:rsidRPr="00F51C6E">
                              <w:rPr>
                                <w:b/>
                                <w:bCs/>
                                <w:color w:val="150045"/>
                              </w:rPr>
                              <w:t>marginal rating factors applied to the AUV of commercial properties – see Tables 3.5.3 and 3.5.4 for details.</w:t>
                            </w:r>
                          </w:p>
                          <w:p w14:paraId="76261C4D" w14:textId="015B2503" w:rsidR="002261A7" w:rsidRPr="00F51C6E" w:rsidRDefault="002261A7" w:rsidP="00A60D4B">
                            <w:pPr>
                              <w:pStyle w:val="Caption"/>
                              <w:rPr>
                                <w:b w:val="0"/>
                                <w:iCs w:val="0"/>
                                <w:color w:val="150045"/>
                              </w:rPr>
                            </w:pPr>
                            <w:r w:rsidRPr="00F51C6E">
                              <w:rPr>
                                <w:color w:val="150045"/>
                              </w:rPr>
                              <w:t xml:space="preserve">Table </w:t>
                            </w:r>
                            <w:r w:rsidRPr="00F51C6E">
                              <w:rPr>
                                <w:color w:val="150045"/>
                              </w:rPr>
                              <w:fldChar w:fldCharType="begin"/>
                            </w:r>
                            <w:r w:rsidRPr="00F51C6E">
                              <w:rPr>
                                <w:color w:val="150045"/>
                              </w:rPr>
                              <w:instrText xml:space="preserve"> STYLEREF 2 \s </w:instrText>
                            </w:r>
                            <w:r w:rsidRPr="00F51C6E">
                              <w:rPr>
                                <w:color w:val="150045"/>
                              </w:rPr>
                              <w:fldChar w:fldCharType="separate"/>
                            </w:r>
                            <w:r w:rsidR="00F12A80">
                              <w:rPr>
                                <w:noProof/>
                                <w:color w:val="150045"/>
                              </w:rPr>
                              <w:t>3.5</w:t>
                            </w:r>
                            <w:r w:rsidRPr="00F51C6E">
                              <w:rPr>
                                <w:noProof/>
                                <w:color w:val="150045"/>
                              </w:rPr>
                              <w:fldChar w:fldCharType="end"/>
                            </w:r>
                            <w:r w:rsidRPr="00F51C6E">
                              <w:rPr>
                                <w:color w:val="150045"/>
                              </w:rPr>
                              <w:t>.</w:t>
                            </w:r>
                            <w:r w:rsidRPr="00F51C6E">
                              <w:rPr>
                                <w:color w:val="150045"/>
                              </w:rPr>
                              <w:fldChar w:fldCharType="begin"/>
                            </w:r>
                            <w:r w:rsidRPr="00F51C6E">
                              <w:rPr>
                                <w:color w:val="150045"/>
                              </w:rPr>
                              <w:instrText xml:space="preserve"> SEQ Table \* ARABIC \s 2 </w:instrText>
                            </w:r>
                            <w:r w:rsidRPr="00F51C6E">
                              <w:rPr>
                                <w:color w:val="150045"/>
                              </w:rPr>
                              <w:fldChar w:fldCharType="separate"/>
                            </w:r>
                            <w:r w:rsidR="00F12A80">
                              <w:rPr>
                                <w:noProof/>
                                <w:color w:val="150045"/>
                              </w:rPr>
                              <w:t>3</w:t>
                            </w:r>
                            <w:r w:rsidRPr="00F51C6E">
                              <w:rPr>
                                <w:noProof/>
                                <w:color w:val="150045"/>
                              </w:rPr>
                              <w:fldChar w:fldCharType="end"/>
                            </w:r>
                            <w:r w:rsidRPr="00F51C6E">
                              <w:rPr>
                                <w:color w:val="150045"/>
                              </w:rPr>
                              <w:t>: Commercial general rates (AUV $2 million or less) – marginal rates</w:t>
                            </w:r>
                          </w:p>
                          <w:tbl>
                            <w:tblPr>
                              <w:tblW w:w="4535" w:type="dxa"/>
                              <w:jc w:val="center"/>
                              <w:tblLook w:val="04A0" w:firstRow="1" w:lastRow="0" w:firstColumn="1" w:lastColumn="0" w:noHBand="0" w:noVBand="1"/>
                            </w:tblPr>
                            <w:tblGrid>
                              <w:gridCol w:w="2551"/>
                              <w:gridCol w:w="1984"/>
                            </w:tblGrid>
                            <w:tr w:rsidR="002261A7" w:rsidRPr="00B93E1E" w14:paraId="2810805F" w14:textId="77777777" w:rsidTr="00A60D4B">
                              <w:trPr>
                                <w:cantSplit/>
                                <w:trHeight w:val="227"/>
                                <w:tblHeader/>
                                <w:jc w:val="center"/>
                              </w:trPr>
                              <w:tc>
                                <w:tcPr>
                                  <w:tcW w:w="2551" w:type="dxa"/>
                                  <w:tcBorders>
                                    <w:top w:val="single" w:sz="4" w:space="0" w:color="auto"/>
                                    <w:left w:val="nil"/>
                                    <w:bottom w:val="single" w:sz="4" w:space="0" w:color="auto"/>
                                    <w:right w:val="nil"/>
                                  </w:tcBorders>
                                  <w:shd w:val="clear" w:color="auto" w:fill="472D8C"/>
                                  <w:noWrap/>
                                  <w:hideMark/>
                                </w:tcPr>
                                <w:p w14:paraId="2F18B87D" w14:textId="77777777" w:rsidR="002261A7" w:rsidRPr="000578F1" w:rsidRDefault="002261A7" w:rsidP="00A60D4B">
                                  <w:pPr>
                                    <w:pStyle w:val="BTableHeadingRowCentreAlign"/>
                                    <w:jc w:val="left"/>
                                    <w:rPr>
                                      <w:rFonts w:eastAsia="Times New Roman" w:cs="Times New Roman"/>
                                      <w:bCs/>
                                      <w:color w:val="FFFFFF" w:themeColor="background1"/>
                                      <w:sz w:val="24"/>
                                      <w:szCs w:val="24"/>
                                      <w:lang w:eastAsia="en-AU"/>
                                    </w:rPr>
                                  </w:pPr>
                                  <w:r w:rsidRPr="000578F1">
                                    <w:rPr>
                                      <w:color w:val="FFFFFF" w:themeColor="background1"/>
                                    </w:rPr>
                                    <w:t>AUV threshold</w:t>
                                  </w:r>
                                </w:p>
                              </w:tc>
                              <w:tc>
                                <w:tcPr>
                                  <w:tcW w:w="1984" w:type="dxa"/>
                                  <w:tcBorders>
                                    <w:top w:val="single" w:sz="4" w:space="0" w:color="auto"/>
                                    <w:left w:val="nil"/>
                                    <w:bottom w:val="single" w:sz="4" w:space="0" w:color="auto"/>
                                    <w:right w:val="nil"/>
                                  </w:tcBorders>
                                  <w:shd w:val="clear" w:color="auto" w:fill="472D8C"/>
                                  <w:noWrap/>
                                  <w:hideMark/>
                                </w:tcPr>
                                <w:p w14:paraId="626A6E26" w14:textId="77777777" w:rsidR="002261A7" w:rsidRPr="000578F1" w:rsidRDefault="002261A7" w:rsidP="00A60D4B">
                                  <w:pPr>
                                    <w:pStyle w:val="BTableHeadingRowCentreAligned"/>
                                    <w:jc w:val="right"/>
                                    <w:rPr>
                                      <w:color w:val="FFFFFF" w:themeColor="background1"/>
                                      <w:lang w:eastAsia="en-AU"/>
                                    </w:rPr>
                                  </w:pPr>
                                  <w:r w:rsidRPr="000578F1">
                                    <w:rPr>
                                      <w:color w:val="FFFFFF" w:themeColor="background1"/>
                                      <w:lang w:eastAsia="en-AU"/>
                                    </w:rPr>
                                    <w:t>Marginal rates %</w:t>
                                  </w:r>
                                </w:p>
                              </w:tc>
                            </w:tr>
                            <w:tr w:rsidR="002261A7" w:rsidRPr="00B93E1E" w14:paraId="62B65860"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1C198AD0" w14:textId="77777777" w:rsidR="002261A7" w:rsidRPr="00F56528" w:rsidRDefault="002261A7" w:rsidP="00A60D4B">
                                  <w:pPr>
                                    <w:pStyle w:val="Btabletextunbold"/>
                                  </w:pPr>
                                  <w:r w:rsidRPr="00F56528">
                                    <w:t>0 to $150,000</w:t>
                                  </w:r>
                                </w:p>
                              </w:tc>
                              <w:tc>
                                <w:tcPr>
                                  <w:tcW w:w="1984" w:type="dxa"/>
                                  <w:tcBorders>
                                    <w:top w:val="nil"/>
                                    <w:left w:val="nil"/>
                                    <w:bottom w:val="nil"/>
                                    <w:right w:val="nil"/>
                                  </w:tcBorders>
                                  <w:shd w:val="clear" w:color="auto" w:fill="F2F2F2" w:themeFill="background1" w:themeFillShade="F2"/>
                                  <w:noWrap/>
                                  <w:hideMark/>
                                </w:tcPr>
                                <w:p w14:paraId="1AEF2049" w14:textId="77777777" w:rsidR="002261A7" w:rsidRPr="00F56528" w:rsidRDefault="002261A7" w:rsidP="00A60D4B">
                                  <w:pPr>
                                    <w:pStyle w:val="Btablefigureunbold"/>
                                  </w:pPr>
                                  <w:r w:rsidRPr="00F56528">
                                    <w:t>3.1917</w:t>
                                  </w:r>
                                </w:p>
                              </w:tc>
                            </w:tr>
                            <w:tr w:rsidR="002261A7" w:rsidRPr="00B93E1E" w14:paraId="291DFEBC"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08693C23" w14:textId="77777777" w:rsidR="002261A7" w:rsidRPr="00F56528" w:rsidRDefault="002261A7" w:rsidP="00A60D4B">
                                  <w:pPr>
                                    <w:pStyle w:val="Btabletextunbold"/>
                                  </w:pPr>
                                  <w:r w:rsidRPr="00F56528">
                                    <w:t>$150,001 to $275,000</w:t>
                                  </w:r>
                                </w:p>
                              </w:tc>
                              <w:tc>
                                <w:tcPr>
                                  <w:tcW w:w="1984" w:type="dxa"/>
                                  <w:tcBorders>
                                    <w:top w:val="nil"/>
                                    <w:left w:val="nil"/>
                                    <w:bottom w:val="nil"/>
                                    <w:right w:val="nil"/>
                                  </w:tcBorders>
                                  <w:shd w:val="clear" w:color="auto" w:fill="F2F2F2" w:themeFill="background1" w:themeFillShade="F2"/>
                                  <w:noWrap/>
                                  <w:hideMark/>
                                </w:tcPr>
                                <w:p w14:paraId="4834B559" w14:textId="77777777" w:rsidR="002261A7" w:rsidRPr="00F56528" w:rsidRDefault="002261A7" w:rsidP="00A60D4B">
                                  <w:pPr>
                                    <w:pStyle w:val="Btablefigureunbold"/>
                                  </w:pPr>
                                  <w:r w:rsidRPr="00F56528">
                                    <w:t>3.7370</w:t>
                                  </w:r>
                                </w:p>
                              </w:tc>
                            </w:tr>
                            <w:tr w:rsidR="002261A7" w:rsidRPr="00B93E1E" w14:paraId="34660650"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7EC23F3F" w14:textId="77777777" w:rsidR="002261A7" w:rsidRPr="00F56528" w:rsidRDefault="002261A7" w:rsidP="00A60D4B">
                                  <w:pPr>
                                    <w:pStyle w:val="Btabletextunbold"/>
                                  </w:pPr>
                                  <w:r w:rsidRPr="00F56528">
                                    <w:t>$275,001 to $600,000</w:t>
                                  </w:r>
                                </w:p>
                              </w:tc>
                              <w:tc>
                                <w:tcPr>
                                  <w:tcW w:w="1984" w:type="dxa"/>
                                  <w:tcBorders>
                                    <w:top w:val="nil"/>
                                    <w:left w:val="nil"/>
                                    <w:bottom w:val="nil"/>
                                    <w:right w:val="nil"/>
                                  </w:tcBorders>
                                  <w:shd w:val="clear" w:color="auto" w:fill="F2F2F2" w:themeFill="background1" w:themeFillShade="F2"/>
                                  <w:noWrap/>
                                  <w:hideMark/>
                                </w:tcPr>
                                <w:p w14:paraId="7D0142A1" w14:textId="77777777" w:rsidR="002261A7" w:rsidRPr="00F56528" w:rsidRDefault="002261A7" w:rsidP="00A60D4B">
                                  <w:pPr>
                                    <w:pStyle w:val="Btablefigureunbold"/>
                                  </w:pPr>
                                  <w:r w:rsidRPr="00F56528">
                                    <w:t>5.2540</w:t>
                                  </w:r>
                                </w:p>
                              </w:tc>
                            </w:tr>
                            <w:tr w:rsidR="002261A7" w:rsidRPr="004478E4" w14:paraId="5A1A3BCB" w14:textId="77777777" w:rsidTr="00A60D4B">
                              <w:trPr>
                                <w:trHeight w:val="227"/>
                                <w:jc w:val="center"/>
                              </w:trPr>
                              <w:tc>
                                <w:tcPr>
                                  <w:tcW w:w="2551" w:type="dxa"/>
                                  <w:tcBorders>
                                    <w:top w:val="nil"/>
                                    <w:left w:val="nil"/>
                                    <w:bottom w:val="single" w:sz="4" w:space="0" w:color="auto"/>
                                    <w:right w:val="nil"/>
                                  </w:tcBorders>
                                  <w:shd w:val="clear" w:color="auto" w:fill="F2F2F2" w:themeFill="background1" w:themeFillShade="F2"/>
                                  <w:noWrap/>
                                  <w:hideMark/>
                                </w:tcPr>
                                <w:p w14:paraId="490CED39" w14:textId="77777777" w:rsidR="002261A7" w:rsidRPr="00F56528" w:rsidRDefault="002261A7" w:rsidP="00A60D4B">
                                  <w:pPr>
                                    <w:pStyle w:val="Btabletextunbold"/>
                                  </w:pPr>
                                  <w:r w:rsidRPr="00F56528">
                                    <w:t>$600,001 and above</w:t>
                                  </w:r>
                                </w:p>
                              </w:tc>
                              <w:tc>
                                <w:tcPr>
                                  <w:tcW w:w="1984" w:type="dxa"/>
                                  <w:tcBorders>
                                    <w:top w:val="nil"/>
                                    <w:left w:val="nil"/>
                                    <w:bottom w:val="single" w:sz="4" w:space="0" w:color="auto"/>
                                    <w:right w:val="nil"/>
                                  </w:tcBorders>
                                  <w:shd w:val="clear" w:color="auto" w:fill="F2F2F2" w:themeFill="background1" w:themeFillShade="F2"/>
                                  <w:noWrap/>
                                  <w:hideMark/>
                                </w:tcPr>
                                <w:p w14:paraId="0FF58C76" w14:textId="77777777" w:rsidR="002261A7" w:rsidRPr="00F56528" w:rsidRDefault="002261A7" w:rsidP="00A60D4B">
                                  <w:pPr>
                                    <w:pStyle w:val="Btablefigureunbold"/>
                                  </w:pPr>
                                  <w:r w:rsidRPr="00F56528">
                                    <w:t>5.3151</w:t>
                                  </w:r>
                                </w:p>
                              </w:tc>
                            </w:tr>
                          </w:tbl>
                          <w:p w14:paraId="3B74CC0A" w14:textId="28468809" w:rsidR="002261A7" w:rsidRPr="00F51C6E" w:rsidRDefault="002261A7" w:rsidP="00A60D4B">
                            <w:pPr>
                              <w:pStyle w:val="Caption"/>
                              <w:rPr>
                                <w:b w:val="0"/>
                                <w:iCs w:val="0"/>
                                <w:color w:val="150045"/>
                              </w:rPr>
                            </w:pPr>
                            <w:r w:rsidRPr="00F51C6E">
                              <w:rPr>
                                <w:color w:val="150045"/>
                              </w:rPr>
                              <w:t xml:space="preserve">Table </w:t>
                            </w:r>
                            <w:r w:rsidRPr="00F51C6E">
                              <w:rPr>
                                <w:color w:val="150045"/>
                              </w:rPr>
                              <w:fldChar w:fldCharType="begin"/>
                            </w:r>
                            <w:r w:rsidRPr="00F51C6E">
                              <w:rPr>
                                <w:color w:val="150045"/>
                              </w:rPr>
                              <w:instrText xml:space="preserve"> STYLEREF 2 \s </w:instrText>
                            </w:r>
                            <w:r w:rsidRPr="00F51C6E">
                              <w:rPr>
                                <w:color w:val="150045"/>
                              </w:rPr>
                              <w:fldChar w:fldCharType="separate"/>
                            </w:r>
                            <w:r w:rsidR="00F12A80">
                              <w:rPr>
                                <w:noProof/>
                                <w:color w:val="150045"/>
                              </w:rPr>
                              <w:t>3.5</w:t>
                            </w:r>
                            <w:r w:rsidRPr="00F51C6E">
                              <w:rPr>
                                <w:noProof/>
                                <w:color w:val="150045"/>
                              </w:rPr>
                              <w:fldChar w:fldCharType="end"/>
                            </w:r>
                            <w:r w:rsidRPr="00F51C6E">
                              <w:rPr>
                                <w:color w:val="150045"/>
                              </w:rPr>
                              <w:t>.</w:t>
                            </w:r>
                            <w:r w:rsidRPr="00F51C6E">
                              <w:rPr>
                                <w:color w:val="150045"/>
                              </w:rPr>
                              <w:fldChar w:fldCharType="begin"/>
                            </w:r>
                            <w:r w:rsidRPr="00F51C6E">
                              <w:rPr>
                                <w:color w:val="150045"/>
                              </w:rPr>
                              <w:instrText xml:space="preserve"> SEQ Table \* ARABIC \s 2 </w:instrText>
                            </w:r>
                            <w:r w:rsidRPr="00F51C6E">
                              <w:rPr>
                                <w:color w:val="150045"/>
                              </w:rPr>
                              <w:fldChar w:fldCharType="separate"/>
                            </w:r>
                            <w:r w:rsidR="00F12A80">
                              <w:rPr>
                                <w:noProof/>
                                <w:color w:val="150045"/>
                              </w:rPr>
                              <w:t>4</w:t>
                            </w:r>
                            <w:r w:rsidRPr="00F51C6E">
                              <w:rPr>
                                <w:noProof/>
                                <w:color w:val="150045"/>
                              </w:rPr>
                              <w:fldChar w:fldCharType="end"/>
                            </w:r>
                            <w:r w:rsidRPr="00F51C6E">
                              <w:rPr>
                                <w:color w:val="150045"/>
                              </w:rPr>
                              <w:t>: Commercial general rates (AUV above $2 million) – marginal rates</w:t>
                            </w:r>
                          </w:p>
                          <w:tbl>
                            <w:tblPr>
                              <w:tblW w:w="4535" w:type="dxa"/>
                              <w:jc w:val="center"/>
                              <w:tblLook w:val="04A0" w:firstRow="1" w:lastRow="0" w:firstColumn="1" w:lastColumn="0" w:noHBand="0" w:noVBand="1"/>
                            </w:tblPr>
                            <w:tblGrid>
                              <w:gridCol w:w="2551"/>
                              <w:gridCol w:w="1984"/>
                            </w:tblGrid>
                            <w:tr w:rsidR="002261A7" w:rsidRPr="00B93E1E" w14:paraId="147A0200" w14:textId="77777777" w:rsidTr="00A60D4B">
                              <w:trPr>
                                <w:cantSplit/>
                                <w:trHeight w:val="227"/>
                                <w:tblHeader/>
                                <w:jc w:val="center"/>
                              </w:trPr>
                              <w:tc>
                                <w:tcPr>
                                  <w:tcW w:w="2551" w:type="dxa"/>
                                  <w:tcBorders>
                                    <w:top w:val="single" w:sz="4" w:space="0" w:color="auto"/>
                                    <w:left w:val="nil"/>
                                    <w:bottom w:val="single" w:sz="4" w:space="0" w:color="auto"/>
                                    <w:right w:val="nil"/>
                                  </w:tcBorders>
                                  <w:shd w:val="clear" w:color="auto" w:fill="472D8C"/>
                                  <w:noWrap/>
                                  <w:hideMark/>
                                </w:tcPr>
                                <w:p w14:paraId="0AC467B0" w14:textId="77777777" w:rsidR="002261A7" w:rsidRPr="000578F1" w:rsidRDefault="002261A7" w:rsidP="00A60D4B">
                                  <w:pPr>
                                    <w:pStyle w:val="BTableHeadingRowCentreAlign"/>
                                    <w:jc w:val="left"/>
                                    <w:rPr>
                                      <w:rFonts w:eastAsia="Times New Roman" w:cs="Times New Roman"/>
                                      <w:b w:val="0"/>
                                      <w:bCs/>
                                      <w:color w:val="FFFFFF" w:themeColor="background1"/>
                                      <w:sz w:val="24"/>
                                      <w:szCs w:val="24"/>
                                      <w:lang w:eastAsia="en-AU"/>
                                    </w:rPr>
                                  </w:pPr>
                                  <w:r w:rsidRPr="000578F1">
                                    <w:rPr>
                                      <w:color w:val="FFFFFF" w:themeColor="background1"/>
                                    </w:rPr>
                                    <w:t>AUV threshold</w:t>
                                  </w:r>
                                </w:p>
                              </w:tc>
                              <w:tc>
                                <w:tcPr>
                                  <w:tcW w:w="1984" w:type="dxa"/>
                                  <w:tcBorders>
                                    <w:top w:val="single" w:sz="4" w:space="0" w:color="auto"/>
                                    <w:left w:val="nil"/>
                                    <w:bottom w:val="single" w:sz="4" w:space="0" w:color="auto"/>
                                    <w:right w:val="nil"/>
                                  </w:tcBorders>
                                  <w:shd w:val="clear" w:color="auto" w:fill="472D8C"/>
                                  <w:noWrap/>
                                  <w:hideMark/>
                                </w:tcPr>
                                <w:p w14:paraId="2BCA8C6D" w14:textId="77777777" w:rsidR="002261A7" w:rsidRPr="000578F1" w:rsidRDefault="002261A7" w:rsidP="00A60D4B">
                                  <w:pPr>
                                    <w:pStyle w:val="BTableHeadingRowCentreAlign"/>
                                    <w:jc w:val="right"/>
                                    <w:rPr>
                                      <w:color w:val="FFFFFF" w:themeColor="background1"/>
                                      <w:lang w:eastAsia="en-AU"/>
                                    </w:rPr>
                                  </w:pPr>
                                  <w:r w:rsidRPr="000578F1">
                                    <w:rPr>
                                      <w:color w:val="FFFFFF" w:themeColor="background1"/>
                                      <w:lang w:eastAsia="en-AU"/>
                                    </w:rPr>
                                    <w:t>Marginal rates %</w:t>
                                  </w:r>
                                </w:p>
                              </w:tc>
                            </w:tr>
                            <w:tr w:rsidR="002261A7" w:rsidRPr="00B93E1E" w14:paraId="233F7B3E"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27AB69A8" w14:textId="77777777" w:rsidR="002261A7" w:rsidRPr="00F56528" w:rsidRDefault="002261A7" w:rsidP="00A60D4B">
                                  <w:pPr>
                                    <w:pStyle w:val="Btabletextunbold"/>
                                  </w:pPr>
                                  <w:r w:rsidRPr="00F56528">
                                    <w:t>0 to $150,000</w:t>
                                  </w:r>
                                </w:p>
                              </w:tc>
                              <w:tc>
                                <w:tcPr>
                                  <w:tcW w:w="1984" w:type="dxa"/>
                                  <w:tcBorders>
                                    <w:top w:val="nil"/>
                                    <w:left w:val="nil"/>
                                    <w:bottom w:val="nil"/>
                                    <w:right w:val="nil"/>
                                  </w:tcBorders>
                                  <w:shd w:val="clear" w:color="auto" w:fill="F2F2F2" w:themeFill="background1" w:themeFillShade="F2"/>
                                  <w:noWrap/>
                                  <w:hideMark/>
                                </w:tcPr>
                                <w:p w14:paraId="76011996" w14:textId="77777777" w:rsidR="002261A7" w:rsidRPr="00F56528" w:rsidRDefault="002261A7" w:rsidP="00A60D4B">
                                  <w:pPr>
                                    <w:pStyle w:val="Btablefigureunbold"/>
                                  </w:pPr>
                                  <w:r w:rsidRPr="00F56528">
                                    <w:t>3.5128</w:t>
                                  </w:r>
                                </w:p>
                              </w:tc>
                            </w:tr>
                            <w:tr w:rsidR="002261A7" w:rsidRPr="00B93E1E" w14:paraId="4E8F6681"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5567B4CA" w14:textId="77777777" w:rsidR="002261A7" w:rsidRPr="00F56528" w:rsidRDefault="002261A7" w:rsidP="00A60D4B">
                                  <w:pPr>
                                    <w:pStyle w:val="Btabletextunbold"/>
                                  </w:pPr>
                                  <w:r w:rsidRPr="00F56528">
                                    <w:t>$150,001 to $275,000</w:t>
                                  </w:r>
                                </w:p>
                              </w:tc>
                              <w:tc>
                                <w:tcPr>
                                  <w:tcW w:w="1984" w:type="dxa"/>
                                  <w:tcBorders>
                                    <w:top w:val="nil"/>
                                    <w:left w:val="nil"/>
                                    <w:bottom w:val="nil"/>
                                    <w:right w:val="nil"/>
                                  </w:tcBorders>
                                  <w:shd w:val="clear" w:color="auto" w:fill="F2F2F2" w:themeFill="background1" w:themeFillShade="F2"/>
                                  <w:noWrap/>
                                  <w:hideMark/>
                                </w:tcPr>
                                <w:p w14:paraId="068F9D3A" w14:textId="77777777" w:rsidR="002261A7" w:rsidRPr="00F56528" w:rsidRDefault="002261A7" w:rsidP="00A60D4B">
                                  <w:pPr>
                                    <w:pStyle w:val="Btablefigureunbold"/>
                                  </w:pPr>
                                  <w:r w:rsidRPr="00F56528">
                                    <w:t>4.0581</w:t>
                                  </w:r>
                                </w:p>
                              </w:tc>
                            </w:tr>
                            <w:tr w:rsidR="002261A7" w:rsidRPr="00B93E1E" w14:paraId="10EE4C5A"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6E5C31AF" w14:textId="77777777" w:rsidR="002261A7" w:rsidRPr="00F56528" w:rsidRDefault="002261A7" w:rsidP="00A60D4B">
                                  <w:pPr>
                                    <w:pStyle w:val="Btabletextunbold"/>
                                  </w:pPr>
                                  <w:r w:rsidRPr="00F56528">
                                    <w:t>$275,001 to $600,000</w:t>
                                  </w:r>
                                </w:p>
                              </w:tc>
                              <w:tc>
                                <w:tcPr>
                                  <w:tcW w:w="1984" w:type="dxa"/>
                                  <w:tcBorders>
                                    <w:top w:val="nil"/>
                                    <w:left w:val="nil"/>
                                    <w:bottom w:val="nil"/>
                                    <w:right w:val="nil"/>
                                  </w:tcBorders>
                                  <w:shd w:val="clear" w:color="auto" w:fill="F2F2F2" w:themeFill="background1" w:themeFillShade="F2"/>
                                  <w:noWrap/>
                                  <w:hideMark/>
                                </w:tcPr>
                                <w:p w14:paraId="61EB0A12" w14:textId="77777777" w:rsidR="002261A7" w:rsidRPr="00F56528" w:rsidRDefault="002261A7" w:rsidP="00A60D4B">
                                  <w:pPr>
                                    <w:pStyle w:val="Btablefigureunbold"/>
                                  </w:pPr>
                                  <w:r w:rsidRPr="00F56528">
                                    <w:t>5.5751</w:t>
                                  </w:r>
                                </w:p>
                              </w:tc>
                            </w:tr>
                            <w:tr w:rsidR="002261A7" w:rsidRPr="004478E4" w14:paraId="2C403C9A" w14:textId="77777777" w:rsidTr="00A60D4B">
                              <w:trPr>
                                <w:trHeight w:val="227"/>
                                <w:jc w:val="center"/>
                              </w:trPr>
                              <w:tc>
                                <w:tcPr>
                                  <w:tcW w:w="2551" w:type="dxa"/>
                                  <w:tcBorders>
                                    <w:top w:val="nil"/>
                                    <w:left w:val="nil"/>
                                    <w:bottom w:val="single" w:sz="4" w:space="0" w:color="auto"/>
                                    <w:right w:val="nil"/>
                                  </w:tcBorders>
                                  <w:shd w:val="clear" w:color="auto" w:fill="F2F2F2" w:themeFill="background1" w:themeFillShade="F2"/>
                                  <w:noWrap/>
                                  <w:hideMark/>
                                </w:tcPr>
                                <w:p w14:paraId="20F3DD2F" w14:textId="77777777" w:rsidR="002261A7" w:rsidRPr="00F56528" w:rsidRDefault="002261A7" w:rsidP="00A60D4B">
                                  <w:pPr>
                                    <w:pStyle w:val="Btabletextunbold"/>
                                  </w:pPr>
                                  <w:r w:rsidRPr="00F56528">
                                    <w:t>$600,001 and above</w:t>
                                  </w:r>
                                </w:p>
                              </w:tc>
                              <w:tc>
                                <w:tcPr>
                                  <w:tcW w:w="1984" w:type="dxa"/>
                                  <w:tcBorders>
                                    <w:top w:val="nil"/>
                                    <w:left w:val="nil"/>
                                    <w:bottom w:val="single" w:sz="4" w:space="0" w:color="auto"/>
                                    <w:right w:val="nil"/>
                                  </w:tcBorders>
                                  <w:shd w:val="clear" w:color="auto" w:fill="F2F2F2" w:themeFill="background1" w:themeFillShade="F2"/>
                                  <w:noWrap/>
                                  <w:hideMark/>
                                </w:tcPr>
                                <w:p w14:paraId="4679084D" w14:textId="77777777" w:rsidR="002261A7" w:rsidRPr="00F56528" w:rsidRDefault="002261A7" w:rsidP="00A60D4B">
                                  <w:pPr>
                                    <w:pStyle w:val="Btablefigureunbold"/>
                                  </w:pPr>
                                  <w:r w:rsidRPr="00F56528">
                                    <w:t>5.6362</w:t>
                                  </w:r>
                                </w:p>
                              </w:tc>
                            </w:tr>
                          </w:tbl>
                          <w:p w14:paraId="3761B67D" w14:textId="77777777" w:rsidR="002261A7" w:rsidRDefault="002261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D16E1E" id="_x0000_s1035" type="#_x0000_t202" style="position:absolute;margin-left:6.85pt;margin-top:38.85pt;width:445.1pt;height:404.9pt;z-index:25196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" fillcolor="#f2f2f2 [3052]" stroked="f">
                <v:textbox>
                  <w:txbxContent>
                    <w:p w14:paraId="2F698D5C" w14:textId="77777777" w:rsidR="002261A7" w:rsidRPr="00F51C6E" w:rsidRDefault="002261A7" w:rsidP="00A60D4B">
                      <w:pPr>
                        <w:pStyle w:val="Bbodytext"/>
                        <w:spacing w:before="0"/>
                        <w:rPr>
                          <w:b/>
                          <w:bCs/>
                          <w:color w:val="150045"/>
                        </w:rPr>
                      </w:pPr>
                      <w:r w:rsidRPr="00F51C6E">
                        <w:rPr>
                          <w:b/>
                          <w:bCs/>
                          <w:color w:val="150045"/>
                        </w:rPr>
                        <w:t>In setting the rating factors for 2021-22, the Government retained different tax rates for properties with AUVs above and below $2 million. The rating system for commercial general rates in 2021-22 has the following elements:</w:t>
                      </w:r>
                    </w:p>
                    <w:p w14:paraId="7F60D85C" w14:textId="77777777" w:rsidR="002261A7" w:rsidRPr="00F51C6E" w:rsidRDefault="002261A7" w:rsidP="00A60D4B">
                      <w:pPr>
                        <w:pStyle w:val="BSbullet1"/>
                        <w:keepNext/>
                        <w:keepLines/>
                        <w:rPr>
                          <w:b/>
                          <w:bCs/>
                          <w:color w:val="150045"/>
                        </w:rPr>
                      </w:pPr>
                      <w:r w:rsidRPr="00F51C6E">
                        <w:rPr>
                          <w:b/>
                          <w:bCs/>
                          <w:color w:val="150045"/>
                        </w:rPr>
                        <w:t>a fixed charge of:</w:t>
                      </w:r>
                    </w:p>
                    <w:p w14:paraId="41594EBD" w14:textId="77777777" w:rsidR="002261A7" w:rsidRPr="00F51C6E" w:rsidRDefault="002261A7" w:rsidP="00A60D4B">
                      <w:pPr>
                        <w:pStyle w:val="BBullet2"/>
                        <w:keepNext/>
                        <w:keepLines/>
                        <w:rPr>
                          <w:b/>
                          <w:bCs/>
                          <w:color w:val="150045"/>
                        </w:rPr>
                      </w:pPr>
                      <w:r w:rsidRPr="00F51C6E">
                        <w:rPr>
                          <w:b/>
                          <w:bCs/>
                          <w:color w:val="150045"/>
                        </w:rPr>
                        <w:t>$2,720 for properties with an AUV of $2 million or less; and</w:t>
                      </w:r>
                    </w:p>
                    <w:p w14:paraId="1A2E7251" w14:textId="77777777" w:rsidR="002261A7" w:rsidRPr="00F51C6E" w:rsidRDefault="002261A7" w:rsidP="00A60D4B">
                      <w:pPr>
                        <w:pStyle w:val="BBullet2"/>
                        <w:keepNext/>
                        <w:keepLines/>
                        <w:rPr>
                          <w:b/>
                          <w:bCs/>
                          <w:color w:val="150045"/>
                        </w:rPr>
                      </w:pPr>
                      <w:r w:rsidRPr="00F51C6E">
                        <w:rPr>
                          <w:b/>
                          <w:bCs/>
                          <w:color w:val="150045"/>
                        </w:rPr>
                        <w:t>$2,895 for properties with an AUV above $2 million;</w:t>
                      </w:r>
                    </w:p>
                    <w:p w14:paraId="02E4561C" w14:textId="77777777" w:rsidR="002261A7" w:rsidRPr="00F51C6E" w:rsidRDefault="002261A7" w:rsidP="00A60D4B">
                      <w:pPr>
                        <w:pStyle w:val="BSbullet1"/>
                        <w:rPr>
                          <w:b/>
                          <w:bCs/>
                          <w:color w:val="150045"/>
                        </w:rPr>
                      </w:pPr>
                      <w:r w:rsidRPr="00F51C6E">
                        <w:rPr>
                          <w:b/>
                          <w:bCs/>
                          <w:color w:val="150045"/>
                        </w:rPr>
                        <w:t>a valuation-based charge on the AUV for 202</w:t>
                      </w:r>
                      <w:r w:rsidRPr="00F51C6E">
                        <w:rPr>
                          <w:b/>
                          <w:bCs/>
                          <w:color w:val="150045"/>
                          <w:lang w:val="en-AU"/>
                        </w:rPr>
                        <w:t>1</w:t>
                      </w:r>
                      <w:r w:rsidRPr="00F51C6E">
                        <w:rPr>
                          <w:b/>
                          <w:bCs/>
                          <w:color w:val="150045"/>
                        </w:rPr>
                        <w:t xml:space="preserve"> (which is the average of 2017, 2018, 2019</w:t>
                      </w:r>
                      <w:r w:rsidRPr="00F51C6E">
                        <w:rPr>
                          <w:b/>
                          <w:bCs/>
                          <w:color w:val="150045"/>
                          <w:lang w:val="en-AU"/>
                        </w:rPr>
                        <w:t>, 2020</w:t>
                      </w:r>
                      <w:r w:rsidRPr="00F51C6E">
                        <w:rPr>
                          <w:b/>
                          <w:bCs/>
                          <w:color w:val="150045"/>
                        </w:rPr>
                        <w:t xml:space="preserve"> and 202</w:t>
                      </w:r>
                      <w:r w:rsidRPr="00F51C6E">
                        <w:rPr>
                          <w:b/>
                          <w:bCs/>
                          <w:color w:val="150045"/>
                          <w:lang w:val="en-AU"/>
                        </w:rPr>
                        <w:t>1</w:t>
                      </w:r>
                      <w:r w:rsidRPr="00F51C6E">
                        <w:rPr>
                          <w:b/>
                          <w:bCs/>
                          <w:color w:val="150045"/>
                        </w:rPr>
                        <w:t xml:space="preserve"> unimproved land values)</w:t>
                      </w:r>
                      <w:r w:rsidRPr="00F51C6E">
                        <w:rPr>
                          <w:b/>
                          <w:bCs/>
                          <w:color w:val="150045"/>
                          <w:lang w:val="en-AU"/>
                        </w:rPr>
                        <w:t>, and</w:t>
                      </w:r>
                    </w:p>
                    <w:p w14:paraId="0CC82AFE" w14:textId="77777777" w:rsidR="002261A7" w:rsidRPr="00F51C6E" w:rsidRDefault="002261A7" w:rsidP="00A60D4B">
                      <w:pPr>
                        <w:pStyle w:val="BSbullet1"/>
                        <w:rPr>
                          <w:b/>
                          <w:bCs/>
                          <w:color w:val="150045"/>
                        </w:rPr>
                      </w:pPr>
                      <w:r w:rsidRPr="00F51C6E">
                        <w:rPr>
                          <w:b/>
                          <w:bCs/>
                          <w:color w:val="150045"/>
                        </w:rPr>
                        <w:t>marginal rating factors applied to the AUV of commercial properties – see Tables 3.5.3 and 3.5.4 for details.</w:t>
                      </w:r>
                    </w:p>
                    <w:p w14:paraId="76261C4D" w14:textId="015B2503" w:rsidR="002261A7" w:rsidRPr="00F51C6E" w:rsidRDefault="002261A7" w:rsidP="00A60D4B">
                      <w:pPr>
                        <w:pStyle w:val="Caption"/>
                        <w:rPr>
                          <w:b w:val="0"/>
                          <w:iCs w:val="0"/>
                          <w:color w:val="150045"/>
                        </w:rPr>
                      </w:pPr>
                      <w:r w:rsidRPr="00F51C6E">
                        <w:rPr>
                          <w:color w:val="150045"/>
                        </w:rPr>
                        <w:t xml:space="preserve">Table </w:t>
                      </w:r>
                      <w:r w:rsidRPr="00F51C6E">
                        <w:rPr>
                          <w:color w:val="150045"/>
                        </w:rPr>
                        <w:fldChar w:fldCharType="begin"/>
                      </w:r>
                      <w:r w:rsidRPr="00F51C6E">
                        <w:rPr>
                          <w:color w:val="150045"/>
                        </w:rPr>
                        <w:instrText xml:space="preserve"> STYLEREF 2 \s </w:instrText>
                      </w:r>
                      <w:r w:rsidRPr="00F51C6E">
                        <w:rPr>
                          <w:color w:val="150045"/>
                        </w:rPr>
                        <w:fldChar w:fldCharType="separate"/>
                      </w:r>
                      <w:r w:rsidR="00F12A80">
                        <w:rPr>
                          <w:noProof/>
                          <w:color w:val="150045"/>
                        </w:rPr>
                        <w:t>3.5</w:t>
                      </w:r>
                      <w:r w:rsidRPr="00F51C6E">
                        <w:rPr>
                          <w:noProof/>
                          <w:color w:val="150045"/>
                        </w:rPr>
                        <w:fldChar w:fldCharType="end"/>
                      </w:r>
                      <w:r w:rsidRPr="00F51C6E">
                        <w:rPr>
                          <w:color w:val="150045"/>
                        </w:rPr>
                        <w:t>.</w:t>
                      </w:r>
                      <w:r w:rsidRPr="00F51C6E">
                        <w:rPr>
                          <w:color w:val="150045"/>
                        </w:rPr>
                        <w:fldChar w:fldCharType="begin"/>
                      </w:r>
                      <w:r w:rsidRPr="00F51C6E">
                        <w:rPr>
                          <w:color w:val="150045"/>
                        </w:rPr>
                        <w:instrText xml:space="preserve"> SEQ Table \* ARABIC \s 2 </w:instrText>
                      </w:r>
                      <w:r w:rsidRPr="00F51C6E">
                        <w:rPr>
                          <w:color w:val="150045"/>
                        </w:rPr>
                        <w:fldChar w:fldCharType="separate"/>
                      </w:r>
                      <w:r w:rsidR="00F12A80">
                        <w:rPr>
                          <w:noProof/>
                          <w:color w:val="150045"/>
                        </w:rPr>
                        <w:t>3</w:t>
                      </w:r>
                      <w:r w:rsidRPr="00F51C6E">
                        <w:rPr>
                          <w:noProof/>
                          <w:color w:val="150045"/>
                        </w:rPr>
                        <w:fldChar w:fldCharType="end"/>
                      </w:r>
                      <w:r w:rsidRPr="00F51C6E">
                        <w:rPr>
                          <w:color w:val="150045"/>
                        </w:rPr>
                        <w:t>: Commercial general rates (AUV $2 million or less) – marginal rates</w:t>
                      </w:r>
                    </w:p>
                    <w:tbl>
                      <w:tblPr>
                        <w:tblW w:w="4535" w:type="dxa"/>
                        <w:jc w:val="center"/>
                        <w:tblLook w:val="04A0" w:firstRow="1" w:lastRow="0" w:firstColumn="1" w:lastColumn="0" w:noHBand="0" w:noVBand="1"/>
                      </w:tblPr>
                      <w:tblGrid>
                        <w:gridCol w:w="2551"/>
                        <w:gridCol w:w="1984"/>
                      </w:tblGrid>
                      <w:tr w:rsidR="002261A7" w:rsidRPr="00B93E1E" w14:paraId="2810805F" w14:textId="77777777" w:rsidTr="00A60D4B">
                        <w:trPr>
                          <w:cantSplit/>
                          <w:trHeight w:val="227"/>
                          <w:tblHeader/>
                          <w:jc w:val="center"/>
                        </w:trPr>
                        <w:tc>
                          <w:tcPr>
                            <w:tcW w:w="2551" w:type="dxa"/>
                            <w:tcBorders>
                              <w:top w:val="single" w:sz="4" w:space="0" w:color="auto"/>
                              <w:left w:val="nil"/>
                              <w:bottom w:val="single" w:sz="4" w:space="0" w:color="auto"/>
                              <w:right w:val="nil"/>
                            </w:tcBorders>
                            <w:shd w:val="clear" w:color="auto" w:fill="472D8C"/>
                            <w:noWrap/>
                            <w:hideMark/>
                          </w:tcPr>
                          <w:p w14:paraId="2F18B87D" w14:textId="77777777" w:rsidR="002261A7" w:rsidRPr="000578F1" w:rsidRDefault="002261A7" w:rsidP="00A60D4B">
                            <w:pPr>
                              <w:pStyle w:val="BTableHeadingRowCentreAlign"/>
                              <w:jc w:val="left"/>
                              <w:rPr>
                                <w:rFonts w:eastAsia="Times New Roman" w:cs="Times New Roman"/>
                                <w:bCs/>
                                <w:color w:val="FFFFFF" w:themeColor="background1"/>
                                <w:sz w:val="24"/>
                                <w:szCs w:val="24"/>
                                <w:lang w:eastAsia="en-AU"/>
                              </w:rPr>
                            </w:pPr>
                            <w:r w:rsidRPr="000578F1">
                              <w:rPr>
                                <w:color w:val="FFFFFF" w:themeColor="background1"/>
                              </w:rPr>
                              <w:t>AUV threshold</w:t>
                            </w:r>
                          </w:p>
                        </w:tc>
                        <w:tc>
                          <w:tcPr>
                            <w:tcW w:w="1984" w:type="dxa"/>
                            <w:tcBorders>
                              <w:top w:val="single" w:sz="4" w:space="0" w:color="auto"/>
                              <w:left w:val="nil"/>
                              <w:bottom w:val="single" w:sz="4" w:space="0" w:color="auto"/>
                              <w:right w:val="nil"/>
                            </w:tcBorders>
                            <w:shd w:val="clear" w:color="auto" w:fill="472D8C"/>
                            <w:noWrap/>
                            <w:hideMark/>
                          </w:tcPr>
                          <w:p w14:paraId="626A6E26" w14:textId="77777777" w:rsidR="002261A7" w:rsidRPr="000578F1" w:rsidRDefault="002261A7" w:rsidP="00A60D4B">
                            <w:pPr>
                              <w:pStyle w:val="BTableHeadingRowCentreAligned"/>
                              <w:jc w:val="right"/>
                              <w:rPr>
                                <w:color w:val="FFFFFF" w:themeColor="background1"/>
                                <w:lang w:eastAsia="en-AU"/>
                              </w:rPr>
                            </w:pPr>
                            <w:r w:rsidRPr="000578F1">
                              <w:rPr>
                                <w:color w:val="FFFFFF" w:themeColor="background1"/>
                                <w:lang w:eastAsia="en-AU"/>
                              </w:rPr>
                              <w:t>Marginal rates %</w:t>
                            </w:r>
                          </w:p>
                        </w:tc>
                      </w:tr>
                      <w:tr w:rsidR="002261A7" w:rsidRPr="00B93E1E" w14:paraId="62B65860"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1C198AD0" w14:textId="77777777" w:rsidR="002261A7" w:rsidRPr="00F56528" w:rsidRDefault="002261A7" w:rsidP="00A60D4B">
                            <w:pPr>
                              <w:pStyle w:val="Btabletextunbold"/>
                            </w:pPr>
                            <w:r w:rsidRPr="00F56528">
                              <w:t>0 to $150,000</w:t>
                            </w:r>
                          </w:p>
                        </w:tc>
                        <w:tc>
                          <w:tcPr>
                            <w:tcW w:w="1984" w:type="dxa"/>
                            <w:tcBorders>
                              <w:top w:val="nil"/>
                              <w:left w:val="nil"/>
                              <w:bottom w:val="nil"/>
                              <w:right w:val="nil"/>
                            </w:tcBorders>
                            <w:shd w:val="clear" w:color="auto" w:fill="F2F2F2" w:themeFill="background1" w:themeFillShade="F2"/>
                            <w:noWrap/>
                            <w:hideMark/>
                          </w:tcPr>
                          <w:p w14:paraId="1AEF2049" w14:textId="77777777" w:rsidR="002261A7" w:rsidRPr="00F56528" w:rsidRDefault="002261A7" w:rsidP="00A60D4B">
                            <w:pPr>
                              <w:pStyle w:val="Btablefigureunbold"/>
                            </w:pPr>
                            <w:r w:rsidRPr="00F56528">
                              <w:t>3.1917</w:t>
                            </w:r>
                          </w:p>
                        </w:tc>
                      </w:tr>
                      <w:tr w:rsidR="002261A7" w:rsidRPr="00B93E1E" w14:paraId="291DFEBC"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08693C23" w14:textId="77777777" w:rsidR="002261A7" w:rsidRPr="00F56528" w:rsidRDefault="002261A7" w:rsidP="00A60D4B">
                            <w:pPr>
                              <w:pStyle w:val="Btabletextunbold"/>
                            </w:pPr>
                            <w:r w:rsidRPr="00F56528">
                              <w:t>$150,001 to $275,000</w:t>
                            </w:r>
                          </w:p>
                        </w:tc>
                        <w:tc>
                          <w:tcPr>
                            <w:tcW w:w="1984" w:type="dxa"/>
                            <w:tcBorders>
                              <w:top w:val="nil"/>
                              <w:left w:val="nil"/>
                              <w:bottom w:val="nil"/>
                              <w:right w:val="nil"/>
                            </w:tcBorders>
                            <w:shd w:val="clear" w:color="auto" w:fill="F2F2F2" w:themeFill="background1" w:themeFillShade="F2"/>
                            <w:noWrap/>
                            <w:hideMark/>
                          </w:tcPr>
                          <w:p w14:paraId="4834B559" w14:textId="77777777" w:rsidR="002261A7" w:rsidRPr="00F56528" w:rsidRDefault="002261A7" w:rsidP="00A60D4B">
                            <w:pPr>
                              <w:pStyle w:val="Btablefigureunbold"/>
                            </w:pPr>
                            <w:r w:rsidRPr="00F56528">
                              <w:t>3.7370</w:t>
                            </w:r>
                          </w:p>
                        </w:tc>
                      </w:tr>
                      <w:tr w:rsidR="002261A7" w:rsidRPr="00B93E1E" w14:paraId="34660650"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7EC23F3F" w14:textId="77777777" w:rsidR="002261A7" w:rsidRPr="00F56528" w:rsidRDefault="002261A7" w:rsidP="00A60D4B">
                            <w:pPr>
                              <w:pStyle w:val="Btabletextunbold"/>
                            </w:pPr>
                            <w:r w:rsidRPr="00F56528">
                              <w:t>$275,001 to $600,000</w:t>
                            </w:r>
                          </w:p>
                        </w:tc>
                        <w:tc>
                          <w:tcPr>
                            <w:tcW w:w="1984" w:type="dxa"/>
                            <w:tcBorders>
                              <w:top w:val="nil"/>
                              <w:left w:val="nil"/>
                              <w:bottom w:val="nil"/>
                              <w:right w:val="nil"/>
                            </w:tcBorders>
                            <w:shd w:val="clear" w:color="auto" w:fill="F2F2F2" w:themeFill="background1" w:themeFillShade="F2"/>
                            <w:noWrap/>
                            <w:hideMark/>
                          </w:tcPr>
                          <w:p w14:paraId="7D0142A1" w14:textId="77777777" w:rsidR="002261A7" w:rsidRPr="00F56528" w:rsidRDefault="002261A7" w:rsidP="00A60D4B">
                            <w:pPr>
                              <w:pStyle w:val="Btablefigureunbold"/>
                            </w:pPr>
                            <w:r w:rsidRPr="00F56528">
                              <w:t>5.2540</w:t>
                            </w:r>
                          </w:p>
                        </w:tc>
                      </w:tr>
                      <w:tr w:rsidR="002261A7" w:rsidRPr="004478E4" w14:paraId="5A1A3BCB" w14:textId="77777777" w:rsidTr="00A60D4B">
                        <w:trPr>
                          <w:trHeight w:val="227"/>
                          <w:jc w:val="center"/>
                        </w:trPr>
                        <w:tc>
                          <w:tcPr>
                            <w:tcW w:w="2551" w:type="dxa"/>
                            <w:tcBorders>
                              <w:top w:val="nil"/>
                              <w:left w:val="nil"/>
                              <w:bottom w:val="single" w:sz="4" w:space="0" w:color="auto"/>
                              <w:right w:val="nil"/>
                            </w:tcBorders>
                            <w:shd w:val="clear" w:color="auto" w:fill="F2F2F2" w:themeFill="background1" w:themeFillShade="F2"/>
                            <w:noWrap/>
                            <w:hideMark/>
                          </w:tcPr>
                          <w:p w14:paraId="490CED39" w14:textId="77777777" w:rsidR="002261A7" w:rsidRPr="00F56528" w:rsidRDefault="002261A7" w:rsidP="00A60D4B">
                            <w:pPr>
                              <w:pStyle w:val="Btabletextunbold"/>
                            </w:pPr>
                            <w:r w:rsidRPr="00F56528">
                              <w:t>$600,001 and above</w:t>
                            </w:r>
                          </w:p>
                        </w:tc>
                        <w:tc>
                          <w:tcPr>
                            <w:tcW w:w="1984" w:type="dxa"/>
                            <w:tcBorders>
                              <w:top w:val="nil"/>
                              <w:left w:val="nil"/>
                              <w:bottom w:val="single" w:sz="4" w:space="0" w:color="auto"/>
                              <w:right w:val="nil"/>
                            </w:tcBorders>
                            <w:shd w:val="clear" w:color="auto" w:fill="F2F2F2" w:themeFill="background1" w:themeFillShade="F2"/>
                            <w:noWrap/>
                            <w:hideMark/>
                          </w:tcPr>
                          <w:p w14:paraId="0FF58C76" w14:textId="77777777" w:rsidR="002261A7" w:rsidRPr="00F56528" w:rsidRDefault="002261A7" w:rsidP="00A60D4B">
                            <w:pPr>
                              <w:pStyle w:val="Btablefigureunbold"/>
                            </w:pPr>
                            <w:r w:rsidRPr="00F56528">
                              <w:t>5.3151</w:t>
                            </w:r>
                          </w:p>
                        </w:tc>
                      </w:tr>
                    </w:tbl>
                    <w:p w14:paraId="3B74CC0A" w14:textId="28468809" w:rsidR="002261A7" w:rsidRPr="00F51C6E" w:rsidRDefault="002261A7" w:rsidP="00A60D4B">
                      <w:pPr>
                        <w:pStyle w:val="Caption"/>
                        <w:rPr>
                          <w:b w:val="0"/>
                          <w:iCs w:val="0"/>
                          <w:color w:val="150045"/>
                        </w:rPr>
                      </w:pPr>
                      <w:r w:rsidRPr="00F51C6E">
                        <w:rPr>
                          <w:color w:val="150045"/>
                        </w:rPr>
                        <w:t xml:space="preserve">Table </w:t>
                      </w:r>
                      <w:r w:rsidRPr="00F51C6E">
                        <w:rPr>
                          <w:color w:val="150045"/>
                        </w:rPr>
                        <w:fldChar w:fldCharType="begin"/>
                      </w:r>
                      <w:r w:rsidRPr="00F51C6E">
                        <w:rPr>
                          <w:color w:val="150045"/>
                        </w:rPr>
                        <w:instrText xml:space="preserve"> STYLEREF 2 \s </w:instrText>
                      </w:r>
                      <w:r w:rsidRPr="00F51C6E">
                        <w:rPr>
                          <w:color w:val="150045"/>
                        </w:rPr>
                        <w:fldChar w:fldCharType="separate"/>
                      </w:r>
                      <w:r w:rsidR="00F12A80">
                        <w:rPr>
                          <w:noProof/>
                          <w:color w:val="150045"/>
                        </w:rPr>
                        <w:t>3.5</w:t>
                      </w:r>
                      <w:r w:rsidRPr="00F51C6E">
                        <w:rPr>
                          <w:noProof/>
                          <w:color w:val="150045"/>
                        </w:rPr>
                        <w:fldChar w:fldCharType="end"/>
                      </w:r>
                      <w:r w:rsidRPr="00F51C6E">
                        <w:rPr>
                          <w:color w:val="150045"/>
                        </w:rPr>
                        <w:t>.</w:t>
                      </w:r>
                      <w:r w:rsidRPr="00F51C6E">
                        <w:rPr>
                          <w:color w:val="150045"/>
                        </w:rPr>
                        <w:fldChar w:fldCharType="begin"/>
                      </w:r>
                      <w:r w:rsidRPr="00F51C6E">
                        <w:rPr>
                          <w:color w:val="150045"/>
                        </w:rPr>
                        <w:instrText xml:space="preserve"> SEQ Table \* ARABIC \s 2 </w:instrText>
                      </w:r>
                      <w:r w:rsidRPr="00F51C6E">
                        <w:rPr>
                          <w:color w:val="150045"/>
                        </w:rPr>
                        <w:fldChar w:fldCharType="separate"/>
                      </w:r>
                      <w:r w:rsidR="00F12A80">
                        <w:rPr>
                          <w:noProof/>
                          <w:color w:val="150045"/>
                        </w:rPr>
                        <w:t>4</w:t>
                      </w:r>
                      <w:r w:rsidRPr="00F51C6E">
                        <w:rPr>
                          <w:noProof/>
                          <w:color w:val="150045"/>
                        </w:rPr>
                        <w:fldChar w:fldCharType="end"/>
                      </w:r>
                      <w:r w:rsidRPr="00F51C6E">
                        <w:rPr>
                          <w:color w:val="150045"/>
                        </w:rPr>
                        <w:t>: Commercial general rates (AUV above $2 million) – marginal rates</w:t>
                      </w:r>
                    </w:p>
                    <w:tbl>
                      <w:tblPr>
                        <w:tblW w:w="4535" w:type="dxa"/>
                        <w:jc w:val="center"/>
                        <w:tblLook w:val="04A0" w:firstRow="1" w:lastRow="0" w:firstColumn="1" w:lastColumn="0" w:noHBand="0" w:noVBand="1"/>
                      </w:tblPr>
                      <w:tblGrid>
                        <w:gridCol w:w="2551"/>
                        <w:gridCol w:w="1984"/>
                      </w:tblGrid>
                      <w:tr w:rsidR="002261A7" w:rsidRPr="00B93E1E" w14:paraId="147A0200" w14:textId="77777777" w:rsidTr="00A60D4B">
                        <w:trPr>
                          <w:cantSplit/>
                          <w:trHeight w:val="227"/>
                          <w:tblHeader/>
                          <w:jc w:val="center"/>
                        </w:trPr>
                        <w:tc>
                          <w:tcPr>
                            <w:tcW w:w="2551" w:type="dxa"/>
                            <w:tcBorders>
                              <w:top w:val="single" w:sz="4" w:space="0" w:color="auto"/>
                              <w:left w:val="nil"/>
                              <w:bottom w:val="single" w:sz="4" w:space="0" w:color="auto"/>
                              <w:right w:val="nil"/>
                            </w:tcBorders>
                            <w:shd w:val="clear" w:color="auto" w:fill="472D8C"/>
                            <w:noWrap/>
                            <w:hideMark/>
                          </w:tcPr>
                          <w:p w14:paraId="0AC467B0" w14:textId="77777777" w:rsidR="002261A7" w:rsidRPr="000578F1" w:rsidRDefault="002261A7" w:rsidP="00A60D4B">
                            <w:pPr>
                              <w:pStyle w:val="BTableHeadingRowCentreAlign"/>
                              <w:jc w:val="left"/>
                              <w:rPr>
                                <w:rFonts w:eastAsia="Times New Roman" w:cs="Times New Roman"/>
                                <w:b w:val="0"/>
                                <w:bCs/>
                                <w:color w:val="FFFFFF" w:themeColor="background1"/>
                                <w:sz w:val="24"/>
                                <w:szCs w:val="24"/>
                                <w:lang w:eastAsia="en-AU"/>
                              </w:rPr>
                            </w:pPr>
                            <w:r w:rsidRPr="000578F1">
                              <w:rPr>
                                <w:color w:val="FFFFFF" w:themeColor="background1"/>
                              </w:rPr>
                              <w:t>AUV threshold</w:t>
                            </w:r>
                          </w:p>
                        </w:tc>
                        <w:tc>
                          <w:tcPr>
                            <w:tcW w:w="1984" w:type="dxa"/>
                            <w:tcBorders>
                              <w:top w:val="single" w:sz="4" w:space="0" w:color="auto"/>
                              <w:left w:val="nil"/>
                              <w:bottom w:val="single" w:sz="4" w:space="0" w:color="auto"/>
                              <w:right w:val="nil"/>
                            </w:tcBorders>
                            <w:shd w:val="clear" w:color="auto" w:fill="472D8C"/>
                            <w:noWrap/>
                            <w:hideMark/>
                          </w:tcPr>
                          <w:p w14:paraId="2BCA8C6D" w14:textId="77777777" w:rsidR="002261A7" w:rsidRPr="000578F1" w:rsidRDefault="002261A7" w:rsidP="00A60D4B">
                            <w:pPr>
                              <w:pStyle w:val="BTableHeadingRowCentreAlign"/>
                              <w:jc w:val="right"/>
                              <w:rPr>
                                <w:color w:val="FFFFFF" w:themeColor="background1"/>
                                <w:lang w:eastAsia="en-AU"/>
                              </w:rPr>
                            </w:pPr>
                            <w:r w:rsidRPr="000578F1">
                              <w:rPr>
                                <w:color w:val="FFFFFF" w:themeColor="background1"/>
                                <w:lang w:eastAsia="en-AU"/>
                              </w:rPr>
                              <w:t>Marginal rates %</w:t>
                            </w:r>
                          </w:p>
                        </w:tc>
                      </w:tr>
                      <w:tr w:rsidR="002261A7" w:rsidRPr="00B93E1E" w14:paraId="233F7B3E"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27AB69A8" w14:textId="77777777" w:rsidR="002261A7" w:rsidRPr="00F56528" w:rsidRDefault="002261A7" w:rsidP="00A60D4B">
                            <w:pPr>
                              <w:pStyle w:val="Btabletextunbold"/>
                            </w:pPr>
                            <w:r w:rsidRPr="00F56528">
                              <w:t>0 to $150,000</w:t>
                            </w:r>
                          </w:p>
                        </w:tc>
                        <w:tc>
                          <w:tcPr>
                            <w:tcW w:w="1984" w:type="dxa"/>
                            <w:tcBorders>
                              <w:top w:val="nil"/>
                              <w:left w:val="nil"/>
                              <w:bottom w:val="nil"/>
                              <w:right w:val="nil"/>
                            </w:tcBorders>
                            <w:shd w:val="clear" w:color="auto" w:fill="F2F2F2" w:themeFill="background1" w:themeFillShade="F2"/>
                            <w:noWrap/>
                            <w:hideMark/>
                          </w:tcPr>
                          <w:p w14:paraId="76011996" w14:textId="77777777" w:rsidR="002261A7" w:rsidRPr="00F56528" w:rsidRDefault="002261A7" w:rsidP="00A60D4B">
                            <w:pPr>
                              <w:pStyle w:val="Btablefigureunbold"/>
                            </w:pPr>
                            <w:r w:rsidRPr="00F56528">
                              <w:t>3.5128</w:t>
                            </w:r>
                          </w:p>
                        </w:tc>
                      </w:tr>
                      <w:tr w:rsidR="002261A7" w:rsidRPr="00B93E1E" w14:paraId="4E8F6681"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5567B4CA" w14:textId="77777777" w:rsidR="002261A7" w:rsidRPr="00F56528" w:rsidRDefault="002261A7" w:rsidP="00A60D4B">
                            <w:pPr>
                              <w:pStyle w:val="Btabletextunbold"/>
                            </w:pPr>
                            <w:r w:rsidRPr="00F56528">
                              <w:t>$150,001 to $275,000</w:t>
                            </w:r>
                          </w:p>
                        </w:tc>
                        <w:tc>
                          <w:tcPr>
                            <w:tcW w:w="1984" w:type="dxa"/>
                            <w:tcBorders>
                              <w:top w:val="nil"/>
                              <w:left w:val="nil"/>
                              <w:bottom w:val="nil"/>
                              <w:right w:val="nil"/>
                            </w:tcBorders>
                            <w:shd w:val="clear" w:color="auto" w:fill="F2F2F2" w:themeFill="background1" w:themeFillShade="F2"/>
                            <w:noWrap/>
                            <w:hideMark/>
                          </w:tcPr>
                          <w:p w14:paraId="068F9D3A" w14:textId="77777777" w:rsidR="002261A7" w:rsidRPr="00F56528" w:rsidRDefault="002261A7" w:rsidP="00A60D4B">
                            <w:pPr>
                              <w:pStyle w:val="Btablefigureunbold"/>
                            </w:pPr>
                            <w:r w:rsidRPr="00F56528">
                              <w:t>4.0581</w:t>
                            </w:r>
                          </w:p>
                        </w:tc>
                      </w:tr>
                      <w:tr w:rsidR="002261A7" w:rsidRPr="00B93E1E" w14:paraId="10EE4C5A"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6E5C31AF" w14:textId="77777777" w:rsidR="002261A7" w:rsidRPr="00F56528" w:rsidRDefault="002261A7" w:rsidP="00A60D4B">
                            <w:pPr>
                              <w:pStyle w:val="Btabletextunbold"/>
                            </w:pPr>
                            <w:r w:rsidRPr="00F56528">
                              <w:t>$275,001 to $600,000</w:t>
                            </w:r>
                          </w:p>
                        </w:tc>
                        <w:tc>
                          <w:tcPr>
                            <w:tcW w:w="1984" w:type="dxa"/>
                            <w:tcBorders>
                              <w:top w:val="nil"/>
                              <w:left w:val="nil"/>
                              <w:bottom w:val="nil"/>
                              <w:right w:val="nil"/>
                            </w:tcBorders>
                            <w:shd w:val="clear" w:color="auto" w:fill="F2F2F2" w:themeFill="background1" w:themeFillShade="F2"/>
                            <w:noWrap/>
                            <w:hideMark/>
                          </w:tcPr>
                          <w:p w14:paraId="61EB0A12" w14:textId="77777777" w:rsidR="002261A7" w:rsidRPr="00F56528" w:rsidRDefault="002261A7" w:rsidP="00A60D4B">
                            <w:pPr>
                              <w:pStyle w:val="Btablefigureunbold"/>
                            </w:pPr>
                            <w:r w:rsidRPr="00F56528">
                              <w:t>5.5751</w:t>
                            </w:r>
                          </w:p>
                        </w:tc>
                      </w:tr>
                      <w:tr w:rsidR="002261A7" w:rsidRPr="004478E4" w14:paraId="2C403C9A" w14:textId="77777777" w:rsidTr="00A60D4B">
                        <w:trPr>
                          <w:trHeight w:val="227"/>
                          <w:jc w:val="center"/>
                        </w:trPr>
                        <w:tc>
                          <w:tcPr>
                            <w:tcW w:w="2551" w:type="dxa"/>
                            <w:tcBorders>
                              <w:top w:val="nil"/>
                              <w:left w:val="nil"/>
                              <w:bottom w:val="single" w:sz="4" w:space="0" w:color="auto"/>
                              <w:right w:val="nil"/>
                            </w:tcBorders>
                            <w:shd w:val="clear" w:color="auto" w:fill="F2F2F2" w:themeFill="background1" w:themeFillShade="F2"/>
                            <w:noWrap/>
                            <w:hideMark/>
                          </w:tcPr>
                          <w:p w14:paraId="20F3DD2F" w14:textId="77777777" w:rsidR="002261A7" w:rsidRPr="00F56528" w:rsidRDefault="002261A7" w:rsidP="00A60D4B">
                            <w:pPr>
                              <w:pStyle w:val="Btabletextunbold"/>
                            </w:pPr>
                            <w:r w:rsidRPr="00F56528">
                              <w:t>$600,001 and above</w:t>
                            </w:r>
                          </w:p>
                        </w:tc>
                        <w:tc>
                          <w:tcPr>
                            <w:tcW w:w="1984" w:type="dxa"/>
                            <w:tcBorders>
                              <w:top w:val="nil"/>
                              <w:left w:val="nil"/>
                              <w:bottom w:val="single" w:sz="4" w:space="0" w:color="auto"/>
                              <w:right w:val="nil"/>
                            </w:tcBorders>
                            <w:shd w:val="clear" w:color="auto" w:fill="F2F2F2" w:themeFill="background1" w:themeFillShade="F2"/>
                            <w:noWrap/>
                            <w:hideMark/>
                          </w:tcPr>
                          <w:p w14:paraId="4679084D" w14:textId="77777777" w:rsidR="002261A7" w:rsidRPr="00F56528" w:rsidRDefault="002261A7" w:rsidP="00A60D4B">
                            <w:pPr>
                              <w:pStyle w:val="Btablefigureunbold"/>
                            </w:pPr>
                            <w:r w:rsidRPr="00F56528">
                              <w:t>5.6362</w:t>
                            </w:r>
                          </w:p>
                        </w:tc>
                      </w:tr>
                    </w:tbl>
                    <w:p w14:paraId="3761B67D" w14:textId="77777777" w:rsidR="002261A7" w:rsidRDefault="002261A7"/>
                  </w:txbxContent>
                </v:textbox>
                <w10:wrap type="square"/>
              </v:shape>
            </w:pict>
          </mc:Fallback>
        </mc:AlternateContent>
      </w:r>
      <w:r>
        <w:t xml:space="preserve">Commercial rates relief is also available for eligible businesses that have been significantly affected during the COVID-19 pandemic as part of the Business Hardship Scheme. </w:t>
      </w:r>
    </w:p>
    <w:p w14:paraId="0A17E67B" w14:textId="77777777" w:rsidR="00A60D4B" w:rsidRDefault="00A60D4B" w:rsidP="00A60D4B">
      <w:pPr>
        <w:pStyle w:val="Heading5"/>
        <w:spacing w:before="240"/>
      </w:pPr>
      <w:bookmarkStart w:id="81" w:name="_Hlk49181826"/>
      <w:r>
        <w:t>Residential general rates</w:t>
      </w:r>
    </w:p>
    <w:bookmarkEnd w:id="81"/>
    <w:p w14:paraId="51F1A512" w14:textId="77777777" w:rsidR="00A60D4B" w:rsidRDefault="00A60D4B" w:rsidP="00A60D4B">
      <w:pPr>
        <w:keepNext/>
        <w:keepLines/>
        <w:spacing w:before="120" w:line="240" w:lineRule="auto"/>
        <w:rPr>
          <w:sz w:val="24"/>
          <w:szCs w:val="24"/>
        </w:rPr>
      </w:pPr>
      <w:r>
        <w:rPr>
          <w:rStyle w:val="BbodytextChar"/>
        </w:rPr>
        <w:t>The interim outcome for r</w:t>
      </w:r>
      <w:r w:rsidRPr="00F56528">
        <w:rPr>
          <w:rStyle w:val="BbodytextChar"/>
        </w:rPr>
        <w:t>esidential general rates revenue in 2020-21 was $397.7 million</w:t>
      </w:r>
      <w:r>
        <w:rPr>
          <w:rStyle w:val="BbodytextChar"/>
        </w:rPr>
        <w:t>, $2.2 million higher than estimated in the 2020-21 Budget mainly due to higher numbers of residential units</w:t>
      </w:r>
      <w:r w:rsidRPr="00F56528">
        <w:rPr>
          <w:rStyle w:val="BbodytextChar"/>
        </w:rPr>
        <w:t>. In 2021</w:t>
      </w:r>
      <w:r>
        <w:rPr>
          <w:rStyle w:val="BbodytextChar"/>
        </w:rPr>
        <w:noBreakHyphen/>
      </w:r>
      <w:r w:rsidRPr="00F32077">
        <w:rPr>
          <w:rStyle w:val="BbodytextChar"/>
        </w:rPr>
        <w:t>22, residential general rates revenue is forecast to increase to $44</w:t>
      </w:r>
      <w:r>
        <w:rPr>
          <w:rStyle w:val="BbodytextChar"/>
        </w:rPr>
        <w:t>6.1</w:t>
      </w:r>
      <w:r w:rsidRPr="00F32077">
        <w:rPr>
          <w:rStyle w:val="BbodytextChar"/>
        </w:rPr>
        <w:t xml:space="preserve"> million. This increase reflects </w:t>
      </w:r>
      <w:r>
        <w:rPr>
          <w:rStyle w:val="BbodytextChar"/>
        </w:rPr>
        <w:t xml:space="preserve">an increase in average rates of 3.75 per cent for the current stock, expected </w:t>
      </w:r>
      <w:r w:rsidRPr="00F56528">
        <w:rPr>
          <w:rStyle w:val="BbodytextChar"/>
        </w:rPr>
        <w:t xml:space="preserve">growth in the </w:t>
      </w:r>
      <w:r>
        <w:rPr>
          <w:rStyle w:val="BbodytextChar"/>
        </w:rPr>
        <w:t xml:space="preserve">property base and </w:t>
      </w:r>
      <w:r>
        <w:rPr>
          <w:sz w:val="24"/>
          <w:szCs w:val="24"/>
        </w:rPr>
        <w:t>the impact of reduced revenue received in 2020</w:t>
      </w:r>
      <w:r>
        <w:rPr>
          <w:sz w:val="24"/>
          <w:szCs w:val="24"/>
        </w:rPr>
        <w:noBreakHyphen/>
        <w:t>21 due to COVID-19 assistance measures, including the $150 rebate that was applied to all residential properties.</w:t>
      </w:r>
      <w:r w:rsidRPr="00F56528">
        <w:rPr>
          <w:rStyle w:val="BbodytextChar"/>
        </w:rPr>
        <w:t xml:space="preserve"> </w:t>
      </w:r>
    </w:p>
    <w:p w14:paraId="3E5679B5" w14:textId="77777777" w:rsidR="00A60D4B" w:rsidRDefault="00A60D4B" w:rsidP="00A60D4B">
      <w:pPr>
        <w:pStyle w:val="Bbodytext"/>
      </w:pPr>
      <w:r w:rsidRPr="00632731">
        <w:t>Revenue from non-unit</w:t>
      </w:r>
      <w:r>
        <w:t xml:space="preserve"> titled propertie</w:t>
      </w:r>
      <w:r w:rsidRPr="00632731">
        <w:t xml:space="preserve">s </w:t>
      </w:r>
      <w:r>
        <w:t>is expected to increase</w:t>
      </w:r>
      <w:r w:rsidRPr="00632731">
        <w:t xml:space="preserve"> by </w:t>
      </w:r>
      <w:r>
        <w:t xml:space="preserve">around </w:t>
      </w:r>
      <w:r w:rsidRPr="00632731">
        <w:t xml:space="preserve">4.7 per cent </w:t>
      </w:r>
      <w:r>
        <w:t xml:space="preserve">per annum </w:t>
      </w:r>
      <w:r w:rsidRPr="00632731">
        <w:t>from 2022-23</w:t>
      </w:r>
      <w:r>
        <w:t xml:space="preserve"> to the end of </w:t>
      </w:r>
      <w:r w:rsidRPr="00EA6FF1">
        <w:t>Stage 3 of tax reform</w:t>
      </w:r>
      <w:r>
        <w:t xml:space="preserve"> (2025-26)</w:t>
      </w:r>
      <w:r w:rsidRPr="00632731">
        <w:t xml:space="preserve">. This reflects </w:t>
      </w:r>
      <w:r>
        <w:t xml:space="preserve">an </w:t>
      </w:r>
      <w:r w:rsidRPr="00632731">
        <w:t>increase in average rates by 3.75 per cent</w:t>
      </w:r>
      <w:r>
        <w:t xml:space="preserve"> for current stock,</w:t>
      </w:r>
      <w:r w:rsidRPr="00632731">
        <w:t xml:space="preserve"> as well as revenue from new properties. </w:t>
      </w:r>
      <w:r>
        <w:t>Revenue from unit titled properties is expected to increase by above 8 per cent, with strong growth in the number of</w:t>
      </w:r>
      <w:r w:rsidRPr="00632731">
        <w:t xml:space="preserve"> new properties.</w:t>
      </w:r>
    </w:p>
    <w:p w14:paraId="1687EA40" w14:textId="77777777" w:rsidR="00A60D4B" w:rsidRDefault="00A60D4B" w:rsidP="00A60D4B">
      <w:pPr>
        <w:pStyle w:val="Bbodytext"/>
      </w:pPr>
      <w:r>
        <w:lastRenderedPageBreak/>
        <w:t>In 2021-22, the Government has lowered the residential fixed charge and adjusted the marginal tax rates accordingly to achieve a 3.75 per cent increase in average rates, increasing the progressivity of the general rates system.</w:t>
      </w:r>
    </w:p>
    <w:p w14:paraId="77325663" w14:textId="77777777" w:rsidR="00A60D4B" w:rsidRPr="00F32077" w:rsidRDefault="00A60D4B" w:rsidP="00A60D4B">
      <w:pPr>
        <w:pStyle w:val="Bbodytext"/>
      </w:pPr>
      <w:r>
        <w:rPr>
          <w:noProof/>
        </w:rPr>
        <mc:AlternateContent>
          <mc:Choice Requires="wps">
            <w:drawing>
              <wp:anchor distT="45720" distB="45720" distL="114300" distR="114300" simplePos="0" relativeHeight="251963392" behindDoc="0" locked="0" layoutInCell="1" allowOverlap="1" wp14:anchorId="4F3FF072" wp14:editId="62F82CF7">
                <wp:simplePos x="0" y="0"/>
                <wp:positionH relativeFrom="margin">
                  <wp:align>right</wp:align>
                </wp:positionH>
                <wp:positionV relativeFrom="paragraph">
                  <wp:posOffset>7620</wp:posOffset>
                </wp:positionV>
                <wp:extent cx="5676265" cy="6085840"/>
                <wp:effectExtent l="0" t="0" r="635" b="0"/>
                <wp:wrapSquare wrapText="bothSides"/>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265" cy="6086247"/>
                        </a:xfrm>
                        <a:prstGeom prst="rect">
                          <a:avLst/>
                        </a:prstGeom>
                        <a:solidFill>
                          <a:schemeClr val="bg1">
                            <a:lumMod val="95000"/>
                          </a:schemeClr>
                        </a:solidFill>
                        <a:ln w="9525">
                          <a:noFill/>
                          <a:miter lim="800000"/>
                          <a:headEnd/>
                          <a:tailEnd/>
                        </a:ln>
                      </wps:spPr>
                      <wps:txbx>
                        <w:txbxContent>
                          <w:p w14:paraId="0D959D81" w14:textId="77777777" w:rsidR="002261A7" w:rsidRPr="002B16D5" w:rsidRDefault="002261A7" w:rsidP="00A60D4B">
                            <w:pPr>
                              <w:pStyle w:val="Bbodytext"/>
                              <w:spacing w:before="0"/>
                              <w:rPr>
                                <w:b/>
                                <w:bCs/>
                                <w:color w:val="150045"/>
                              </w:rPr>
                            </w:pPr>
                            <w:r w:rsidRPr="002B16D5">
                              <w:rPr>
                                <w:b/>
                                <w:bCs/>
                                <w:color w:val="150045"/>
                              </w:rPr>
                              <w:t>The rating system in 2021-22 for residential (non-unit titled and unit titled) general rates has the following elements:</w:t>
                            </w:r>
                          </w:p>
                          <w:p w14:paraId="3FC81B9B" w14:textId="77777777" w:rsidR="002261A7" w:rsidRPr="002B16D5" w:rsidRDefault="002261A7" w:rsidP="00A60D4B">
                            <w:pPr>
                              <w:pStyle w:val="BBullet1"/>
                              <w:tabs>
                                <w:tab w:val="clear" w:pos="357"/>
                                <w:tab w:val="left" w:pos="426"/>
                              </w:tabs>
                              <w:ind w:left="720" w:hanging="720"/>
                              <w:rPr>
                                <w:b/>
                                <w:bCs/>
                                <w:color w:val="150045"/>
                              </w:rPr>
                            </w:pPr>
                            <w:r w:rsidRPr="002B16D5">
                              <w:rPr>
                                <w:b/>
                                <w:bCs/>
                                <w:color w:val="150045"/>
                              </w:rPr>
                              <w:t>a fixed charge of:</w:t>
                            </w:r>
                          </w:p>
                          <w:p w14:paraId="7AD7D68E" w14:textId="77777777" w:rsidR="002261A7" w:rsidRPr="002B16D5" w:rsidRDefault="002261A7" w:rsidP="00A60D4B">
                            <w:pPr>
                              <w:pStyle w:val="BBullet2"/>
                              <w:rPr>
                                <w:b/>
                                <w:bCs/>
                                <w:color w:val="150045"/>
                              </w:rPr>
                            </w:pPr>
                            <w:r w:rsidRPr="002B16D5">
                              <w:rPr>
                                <w:b/>
                                <w:bCs/>
                                <w:color w:val="150045"/>
                              </w:rPr>
                              <w:t>$800 for non-unit titled properties; and</w:t>
                            </w:r>
                          </w:p>
                          <w:p w14:paraId="454F1034" w14:textId="77777777" w:rsidR="002261A7" w:rsidRPr="002B16D5" w:rsidRDefault="002261A7" w:rsidP="00A60D4B">
                            <w:pPr>
                              <w:pStyle w:val="BBullet2"/>
                              <w:rPr>
                                <w:b/>
                                <w:bCs/>
                                <w:color w:val="150045"/>
                              </w:rPr>
                            </w:pPr>
                            <w:r w:rsidRPr="002B16D5">
                              <w:rPr>
                                <w:b/>
                                <w:bCs/>
                                <w:color w:val="150045"/>
                              </w:rPr>
                              <w:t>$850 for unit-titled properties;</w:t>
                            </w:r>
                          </w:p>
                          <w:p w14:paraId="052D763B" w14:textId="77777777" w:rsidR="002261A7" w:rsidRPr="002B16D5" w:rsidRDefault="002261A7" w:rsidP="00A60D4B">
                            <w:pPr>
                              <w:pStyle w:val="BBullet1"/>
                              <w:tabs>
                                <w:tab w:val="clear" w:pos="357"/>
                                <w:tab w:val="left" w:pos="426"/>
                              </w:tabs>
                              <w:ind w:left="426" w:hanging="426"/>
                              <w:rPr>
                                <w:b/>
                                <w:bCs/>
                                <w:color w:val="150045"/>
                              </w:rPr>
                            </w:pPr>
                            <w:r w:rsidRPr="002B16D5">
                              <w:rPr>
                                <w:b/>
                                <w:bCs/>
                                <w:color w:val="150045"/>
                              </w:rPr>
                              <w:t>a valuation-based charge on the AUV of the block for 2021 (which is the average of 2017, 2018, 2019, 2020 and 2021 unimproved land values); and</w:t>
                            </w:r>
                          </w:p>
                          <w:p w14:paraId="3C1D7905" w14:textId="77777777" w:rsidR="002261A7" w:rsidRPr="002B16D5" w:rsidRDefault="002261A7" w:rsidP="00A60D4B">
                            <w:pPr>
                              <w:pStyle w:val="BBullet1"/>
                              <w:tabs>
                                <w:tab w:val="clear" w:pos="357"/>
                                <w:tab w:val="left" w:pos="426"/>
                              </w:tabs>
                              <w:ind w:left="426" w:hanging="426"/>
                              <w:rPr>
                                <w:b/>
                                <w:bCs/>
                                <w:color w:val="150045"/>
                              </w:rPr>
                            </w:pPr>
                            <w:r w:rsidRPr="002B16D5">
                              <w:rPr>
                                <w:b/>
                                <w:bCs/>
                                <w:color w:val="150045"/>
                              </w:rPr>
                              <w:t xml:space="preserve">marginal rating factors applied to the AUV of the block of residential properties – for non-unit </w:t>
                            </w:r>
                            <w:r w:rsidRPr="00AB5271">
                              <w:rPr>
                                <w:b/>
                                <w:bCs/>
                                <w:color w:val="150045"/>
                              </w:rPr>
                              <w:t>titled</w:t>
                            </w:r>
                            <w:r w:rsidRPr="002B16D5">
                              <w:rPr>
                                <w:b/>
                                <w:bCs/>
                                <w:color w:val="150045"/>
                              </w:rPr>
                              <w:t xml:space="preserve"> properties refer to Table 3.5.5 and for unit-titled properties refer to Table 3.5.6.</w:t>
                            </w:r>
                          </w:p>
                          <w:p w14:paraId="51B88883" w14:textId="425EC176" w:rsidR="002261A7" w:rsidRPr="002B16D5" w:rsidRDefault="002261A7" w:rsidP="00A60D4B">
                            <w:pPr>
                              <w:pStyle w:val="Caption"/>
                              <w:rPr>
                                <w:b w:val="0"/>
                                <w:iCs w:val="0"/>
                                <w:color w:val="150045"/>
                                <w:sz w:val="24"/>
                                <w:szCs w:val="24"/>
                              </w:rPr>
                            </w:pPr>
                            <w:r w:rsidRPr="002B16D5">
                              <w:rPr>
                                <w:color w:val="150045"/>
                              </w:rPr>
                              <w:t xml:space="preserve">Table </w:t>
                            </w:r>
                            <w:r w:rsidRPr="002B16D5">
                              <w:rPr>
                                <w:color w:val="150045"/>
                              </w:rPr>
                              <w:fldChar w:fldCharType="begin"/>
                            </w:r>
                            <w:r w:rsidRPr="002B16D5">
                              <w:rPr>
                                <w:color w:val="150045"/>
                              </w:rPr>
                              <w:instrText xml:space="preserve"> STYLEREF 2 \s </w:instrText>
                            </w:r>
                            <w:r w:rsidRPr="002B16D5">
                              <w:rPr>
                                <w:color w:val="150045"/>
                              </w:rPr>
                              <w:fldChar w:fldCharType="separate"/>
                            </w:r>
                            <w:r w:rsidR="00F12A80">
                              <w:rPr>
                                <w:noProof/>
                                <w:color w:val="150045"/>
                              </w:rPr>
                              <w:t>3.5</w:t>
                            </w:r>
                            <w:r w:rsidRPr="002B16D5">
                              <w:rPr>
                                <w:noProof/>
                                <w:color w:val="150045"/>
                              </w:rPr>
                              <w:fldChar w:fldCharType="end"/>
                            </w:r>
                            <w:r w:rsidRPr="002B16D5">
                              <w:rPr>
                                <w:color w:val="150045"/>
                              </w:rPr>
                              <w:t>.</w:t>
                            </w:r>
                            <w:r w:rsidRPr="002B16D5">
                              <w:rPr>
                                <w:color w:val="150045"/>
                              </w:rPr>
                              <w:fldChar w:fldCharType="begin"/>
                            </w:r>
                            <w:r w:rsidRPr="002B16D5">
                              <w:rPr>
                                <w:color w:val="150045"/>
                              </w:rPr>
                              <w:instrText xml:space="preserve"> SEQ Table \* ARABIC \s 2 </w:instrText>
                            </w:r>
                            <w:r w:rsidRPr="002B16D5">
                              <w:rPr>
                                <w:color w:val="150045"/>
                              </w:rPr>
                              <w:fldChar w:fldCharType="separate"/>
                            </w:r>
                            <w:r w:rsidR="00F12A80">
                              <w:rPr>
                                <w:noProof/>
                                <w:color w:val="150045"/>
                              </w:rPr>
                              <w:t>5</w:t>
                            </w:r>
                            <w:r w:rsidRPr="002B16D5">
                              <w:rPr>
                                <w:noProof/>
                                <w:color w:val="150045"/>
                              </w:rPr>
                              <w:fldChar w:fldCharType="end"/>
                            </w:r>
                            <w:r w:rsidRPr="002B16D5">
                              <w:rPr>
                                <w:color w:val="150045"/>
                              </w:rPr>
                              <w:t>: Residential (non-unit titled) general rates – marginal rates</w:t>
                            </w:r>
                          </w:p>
                          <w:tbl>
                            <w:tblPr>
                              <w:tblW w:w="4535" w:type="dxa"/>
                              <w:jc w:val="center"/>
                              <w:tblLook w:val="04A0" w:firstRow="1" w:lastRow="0" w:firstColumn="1" w:lastColumn="0" w:noHBand="0" w:noVBand="1"/>
                            </w:tblPr>
                            <w:tblGrid>
                              <w:gridCol w:w="2551"/>
                              <w:gridCol w:w="1984"/>
                            </w:tblGrid>
                            <w:tr w:rsidR="002261A7" w:rsidRPr="0074740E" w14:paraId="04419442" w14:textId="77777777" w:rsidTr="00A60D4B">
                              <w:trPr>
                                <w:cantSplit/>
                                <w:trHeight w:val="227"/>
                                <w:tblHeader/>
                                <w:jc w:val="center"/>
                              </w:trPr>
                              <w:tc>
                                <w:tcPr>
                                  <w:tcW w:w="2551" w:type="dxa"/>
                                  <w:tcBorders>
                                    <w:top w:val="single" w:sz="4" w:space="0" w:color="auto"/>
                                    <w:left w:val="nil"/>
                                    <w:bottom w:val="single" w:sz="4" w:space="0" w:color="auto"/>
                                    <w:right w:val="nil"/>
                                  </w:tcBorders>
                                  <w:shd w:val="clear" w:color="auto" w:fill="472D8C"/>
                                  <w:noWrap/>
                                  <w:hideMark/>
                                </w:tcPr>
                                <w:p w14:paraId="2F59DF4F" w14:textId="77777777" w:rsidR="002261A7" w:rsidRPr="003519F0" w:rsidRDefault="002261A7" w:rsidP="00A60D4B">
                                  <w:pPr>
                                    <w:pStyle w:val="BTableHeadingRowCentreAlign"/>
                                    <w:jc w:val="left"/>
                                    <w:rPr>
                                      <w:rFonts w:eastAsia="Times New Roman" w:cs="Arial"/>
                                      <w:b w:val="0"/>
                                      <w:color w:val="FFFFFF" w:themeColor="background1"/>
                                      <w:sz w:val="24"/>
                                      <w:szCs w:val="24"/>
                                    </w:rPr>
                                  </w:pPr>
                                  <w:r w:rsidRPr="003519F0">
                                    <w:rPr>
                                      <w:color w:val="FFFFFF" w:themeColor="background1"/>
                                    </w:rPr>
                                    <w:t>Block AUV threshold</w:t>
                                  </w:r>
                                </w:p>
                              </w:tc>
                              <w:tc>
                                <w:tcPr>
                                  <w:tcW w:w="1984" w:type="dxa"/>
                                  <w:tcBorders>
                                    <w:top w:val="single" w:sz="4" w:space="0" w:color="auto"/>
                                    <w:left w:val="nil"/>
                                    <w:bottom w:val="single" w:sz="4" w:space="0" w:color="auto"/>
                                    <w:right w:val="nil"/>
                                  </w:tcBorders>
                                  <w:shd w:val="clear" w:color="auto" w:fill="472D8C"/>
                                  <w:noWrap/>
                                  <w:hideMark/>
                                </w:tcPr>
                                <w:p w14:paraId="25D8ABBF" w14:textId="77777777" w:rsidR="002261A7" w:rsidRPr="003519F0" w:rsidRDefault="002261A7" w:rsidP="00A60D4B">
                                  <w:pPr>
                                    <w:pStyle w:val="BTableHeadingRowCentreAlign"/>
                                    <w:jc w:val="right"/>
                                    <w:rPr>
                                      <w:color w:val="FFFFFF" w:themeColor="background1"/>
                                      <w:lang w:eastAsia="en-AU"/>
                                    </w:rPr>
                                  </w:pPr>
                                  <w:r w:rsidRPr="003519F0">
                                    <w:rPr>
                                      <w:color w:val="FFFFFF" w:themeColor="background1"/>
                                      <w:lang w:eastAsia="en-AU"/>
                                    </w:rPr>
                                    <w:t>Marginal rates %</w:t>
                                  </w:r>
                                </w:p>
                              </w:tc>
                            </w:tr>
                            <w:tr w:rsidR="002261A7" w:rsidRPr="0074740E" w14:paraId="2B63E9FD"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62E16198" w14:textId="77777777" w:rsidR="002261A7" w:rsidRPr="00F32077" w:rsidRDefault="002261A7" w:rsidP="00A60D4B">
                                  <w:pPr>
                                    <w:pStyle w:val="Btabletextunbold"/>
                                  </w:pPr>
                                  <w:r w:rsidRPr="00F32077">
                                    <w:t>0 to $150,000</w:t>
                                  </w:r>
                                </w:p>
                              </w:tc>
                              <w:tc>
                                <w:tcPr>
                                  <w:tcW w:w="1984" w:type="dxa"/>
                                  <w:tcBorders>
                                    <w:top w:val="nil"/>
                                    <w:left w:val="nil"/>
                                    <w:bottom w:val="nil"/>
                                    <w:right w:val="nil"/>
                                  </w:tcBorders>
                                  <w:shd w:val="clear" w:color="auto" w:fill="F2F2F2" w:themeFill="background1" w:themeFillShade="F2"/>
                                  <w:noWrap/>
                                  <w:vAlign w:val="bottom"/>
                                </w:tcPr>
                                <w:p w14:paraId="7B69F834" w14:textId="77777777" w:rsidR="002261A7" w:rsidRPr="00F32077" w:rsidRDefault="002261A7" w:rsidP="00A60D4B">
                                  <w:pPr>
                                    <w:pStyle w:val="Btablefigureunbold"/>
                                  </w:pPr>
                                  <w:r w:rsidRPr="00F32077">
                                    <w:t>0.3624</w:t>
                                  </w:r>
                                </w:p>
                              </w:tc>
                            </w:tr>
                            <w:tr w:rsidR="002261A7" w:rsidRPr="0074740E" w14:paraId="2306A79E"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33145592" w14:textId="77777777" w:rsidR="002261A7" w:rsidRPr="00F32077" w:rsidRDefault="002261A7" w:rsidP="00A60D4B">
                                  <w:pPr>
                                    <w:pStyle w:val="Btabletextunbold"/>
                                  </w:pPr>
                                  <w:r w:rsidRPr="00F32077">
                                    <w:t>$150,001 to $300,000</w:t>
                                  </w:r>
                                </w:p>
                              </w:tc>
                              <w:tc>
                                <w:tcPr>
                                  <w:tcW w:w="1984" w:type="dxa"/>
                                  <w:tcBorders>
                                    <w:top w:val="nil"/>
                                    <w:left w:val="nil"/>
                                    <w:bottom w:val="nil"/>
                                    <w:right w:val="nil"/>
                                  </w:tcBorders>
                                  <w:shd w:val="clear" w:color="auto" w:fill="F2F2F2" w:themeFill="background1" w:themeFillShade="F2"/>
                                  <w:noWrap/>
                                  <w:vAlign w:val="bottom"/>
                                </w:tcPr>
                                <w:p w14:paraId="2E238088" w14:textId="77777777" w:rsidR="002261A7" w:rsidRPr="00F32077" w:rsidRDefault="002261A7" w:rsidP="00A60D4B">
                                  <w:pPr>
                                    <w:pStyle w:val="Btablefigureunbold"/>
                                  </w:pPr>
                                  <w:r w:rsidRPr="00F32077">
                                    <w:t>0.4664</w:t>
                                  </w:r>
                                </w:p>
                              </w:tc>
                            </w:tr>
                            <w:tr w:rsidR="002261A7" w:rsidRPr="0074740E" w14:paraId="306B06B5" w14:textId="77777777" w:rsidTr="00A60D4B">
                              <w:trPr>
                                <w:trHeight w:val="227"/>
                                <w:jc w:val="center"/>
                              </w:trPr>
                              <w:tc>
                                <w:tcPr>
                                  <w:tcW w:w="2551" w:type="dxa"/>
                                  <w:tcBorders>
                                    <w:top w:val="nil"/>
                                    <w:left w:val="nil"/>
                                    <w:right w:val="nil"/>
                                  </w:tcBorders>
                                  <w:shd w:val="clear" w:color="auto" w:fill="F2F2F2" w:themeFill="background1" w:themeFillShade="F2"/>
                                  <w:noWrap/>
                                  <w:hideMark/>
                                </w:tcPr>
                                <w:p w14:paraId="51591371" w14:textId="77777777" w:rsidR="002261A7" w:rsidRPr="00F32077" w:rsidRDefault="002261A7" w:rsidP="00A60D4B">
                                  <w:pPr>
                                    <w:pStyle w:val="Btabletextunbold"/>
                                  </w:pPr>
                                  <w:r w:rsidRPr="00F32077">
                                    <w:t>$300,001 to $450,000</w:t>
                                  </w:r>
                                </w:p>
                              </w:tc>
                              <w:tc>
                                <w:tcPr>
                                  <w:tcW w:w="1984" w:type="dxa"/>
                                  <w:tcBorders>
                                    <w:top w:val="nil"/>
                                    <w:left w:val="nil"/>
                                    <w:right w:val="nil"/>
                                  </w:tcBorders>
                                  <w:shd w:val="clear" w:color="auto" w:fill="F2F2F2" w:themeFill="background1" w:themeFillShade="F2"/>
                                  <w:noWrap/>
                                  <w:vAlign w:val="bottom"/>
                                </w:tcPr>
                                <w:p w14:paraId="614BB4FC" w14:textId="77777777" w:rsidR="002261A7" w:rsidRPr="00F32077" w:rsidRDefault="002261A7" w:rsidP="00A60D4B">
                                  <w:pPr>
                                    <w:pStyle w:val="Btablefigureunbold"/>
                                  </w:pPr>
                                  <w:r w:rsidRPr="00F32077">
                                    <w:t>0.5795</w:t>
                                  </w:r>
                                </w:p>
                              </w:tc>
                            </w:tr>
                            <w:tr w:rsidR="002261A7" w:rsidRPr="0074740E" w14:paraId="141CD8EF"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14ED1B75" w14:textId="77777777" w:rsidR="002261A7" w:rsidRPr="00F32077" w:rsidRDefault="002261A7" w:rsidP="00A60D4B">
                                  <w:pPr>
                                    <w:pStyle w:val="Btabletextunbold"/>
                                  </w:pPr>
                                  <w:r w:rsidRPr="00F32077">
                                    <w:t>$450,001 to $600,000</w:t>
                                  </w:r>
                                </w:p>
                              </w:tc>
                              <w:tc>
                                <w:tcPr>
                                  <w:tcW w:w="1984" w:type="dxa"/>
                                  <w:tcBorders>
                                    <w:top w:val="nil"/>
                                    <w:left w:val="nil"/>
                                    <w:bottom w:val="nil"/>
                                    <w:right w:val="nil"/>
                                  </w:tcBorders>
                                  <w:shd w:val="clear" w:color="auto" w:fill="F2F2F2" w:themeFill="background1" w:themeFillShade="F2"/>
                                  <w:noWrap/>
                                  <w:vAlign w:val="bottom"/>
                                </w:tcPr>
                                <w:p w14:paraId="674318D7" w14:textId="77777777" w:rsidR="002261A7" w:rsidRPr="00F32077" w:rsidRDefault="002261A7" w:rsidP="00A60D4B">
                                  <w:pPr>
                                    <w:pStyle w:val="Btablefigureunbold"/>
                                  </w:pPr>
                                  <w:r w:rsidRPr="00F32077">
                                    <w:t>0.6308</w:t>
                                  </w:r>
                                </w:p>
                              </w:tc>
                            </w:tr>
                            <w:tr w:rsidR="002261A7" w:rsidRPr="0074740E" w14:paraId="1696E5E2"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31BB00B9" w14:textId="77777777" w:rsidR="002261A7" w:rsidRPr="00F32077" w:rsidRDefault="002261A7" w:rsidP="00A60D4B">
                                  <w:pPr>
                                    <w:pStyle w:val="Btabletextunbold"/>
                                  </w:pPr>
                                  <w:r w:rsidRPr="00F32077">
                                    <w:t>$600,001 to $750,000</w:t>
                                  </w:r>
                                </w:p>
                              </w:tc>
                              <w:tc>
                                <w:tcPr>
                                  <w:tcW w:w="1984" w:type="dxa"/>
                                  <w:tcBorders>
                                    <w:top w:val="nil"/>
                                    <w:left w:val="nil"/>
                                    <w:bottom w:val="nil"/>
                                    <w:right w:val="nil"/>
                                  </w:tcBorders>
                                  <w:shd w:val="clear" w:color="auto" w:fill="F2F2F2" w:themeFill="background1" w:themeFillShade="F2"/>
                                  <w:noWrap/>
                                  <w:vAlign w:val="bottom"/>
                                </w:tcPr>
                                <w:p w14:paraId="6E178003" w14:textId="77777777" w:rsidR="002261A7" w:rsidRPr="00F32077" w:rsidRDefault="002261A7" w:rsidP="00A60D4B">
                                  <w:pPr>
                                    <w:pStyle w:val="Btablefigureunbold"/>
                                  </w:pPr>
                                  <w:r w:rsidRPr="00F32077">
                                    <w:t>0.6414</w:t>
                                  </w:r>
                                </w:p>
                              </w:tc>
                            </w:tr>
                            <w:tr w:rsidR="002261A7" w:rsidRPr="0074740E" w14:paraId="71A77FC4" w14:textId="77777777" w:rsidTr="00A60D4B">
                              <w:trPr>
                                <w:trHeight w:val="227"/>
                                <w:jc w:val="center"/>
                              </w:trPr>
                              <w:tc>
                                <w:tcPr>
                                  <w:tcW w:w="2551" w:type="dxa"/>
                                  <w:tcBorders>
                                    <w:top w:val="nil"/>
                                    <w:left w:val="nil"/>
                                    <w:bottom w:val="single" w:sz="4" w:space="0" w:color="auto"/>
                                    <w:right w:val="nil"/>
                                  </w:tcBorders>
                                  <w:shd w:val="clear" w:color="auto" w:fill="F2F2F2" w:themeFill="background1" w:themeFillShade="F2"/>
                                  <w:noWrap/>
                                </w:tcPr>
                                <w:p w14:paraId="35FDCD11" w14:textId="77777777" w:rsidR="002261A7" w:rsidRPr="00F32077" w:rsidRDefault="002261A7" w:rsidP="00A60D4B">
                                  <w:pPr>
                                    <w:pStyle w:val="Btabletextunbold"/>
                                  </w:pPr>
                                  <w:r w:rsidRPr="00F32077">
                                    <w:t>$750,001 and above</w:t>
                                  </w:r>
                                </w:p>
                              </w:tc>
                              <w:tc>
                                <w:tcPr>
                                  <w:tcW w:w="1984" w:type="dxa"/>
                                  <w:tcBorders>
                                    <w:top w:val="nil"/>
                                    <w:left w:val="nil"/>
                                    <w:bottom w:val="single" w:sz="4" w:space="0" w:color="auto"/>
                                    <w:right w:val="nil"/>
                                  </w:tcBorders>
                                  <w:shd w:val="clear" w:color="auto" w:fill="F2F2F2" w:themeFill="background1" w:themeFillShade="F2"/>
                                  <w:noWrap/>
                                  <w:vAlign w:val="bottom"/>
                                </w:tcPr>
                                <w:p w14:paraId="64B0E754" w14:textId="77777777" w:rsidR="002261A7" w:rsidRPr="00F32077" w:rsidRDefault="002261A7" w:rsidP="00A60D4B">
                                  <w:pPr>
                                    <w:pStyle w:val="Btablefigureunbold"/>
                                  </w:pPr>
                                  <w:r w:rsidRPr="00F32077">
                                    <w:t>0.6468</w:t>
                                  </w:r>
                                </w:p>
                              </w:tc>
                            </w:tr>
                          </w:tbl>
                          <w:p w14:paraId="41DD84E1" w14:textId="44DA408F" w:rsidR="002261A7" w:rsidRPr="002B16D5" w:rsidRDefault="002261A7" w:rsidP="00A60D4B">
                            <w:pPr>
                              <w:pStyle w:val="Caption"/>
                              <w:rPr>
                                <w:color w:val="150045"/>
                              </w:rPr>
                            </w:pPr>
                            <w:r w:rsidRPr="002B16D5">
                              <w:rPr>
                                <w:color w:val="150045"/>
                              </w:rPr>
                              <w:t xml:space="preserve">Table </w:t>
                            </w:r>
                            <w:r w:rsidRPr="002B16D5">
                              <w:rPr>
                                <w:color w:val="150045"/>
                              </w:rPr>
                              <w:fldChar w:fldCharType="begin"/>
                            </w:r>
                            <w:r w:rsidRPr="002B16D5">
                              <w:rPr>
                                <w:color w:val="150045"/>
                              </w:rPr>
                              <w:instrText xml:space="preserve"> STYLEREF 2 \s </w:instrText>
                            </w:r>
                            <w:r w:rsidRPr="002B16D5">
                              <w:rPr>
                                <w:color w:val="150045"/>
                              </w:rPr>
                              <w:fldChar w:fldCharType="separate"/>
                            </w:r>
                            <w:r w:rsidR="00F12A80">
                              <w:rPr>
                                <w:noProof/>
                                <w:color w:val="150045"/>
                              </w:rPr>
                              <w:t>3.5</w:t>
                            </w:r>
                            <w:r w:rsidRPr="002B16D5">
                              <w:rPr>
                                <w:noProof/>
                                <w:color w:val="150045"/>
                              </w:rPr>
                              <w:fldChar w:fldCharType="end"/>
                            </w:r>
                            <w:r w:rsidRPr="002B16D5">
                              <w:rPr>
                                <w:color w:val="150045"/>
                              </w:rPr>
                              <w:t>.</w:t>
                            </w:r>
                            <w:r w:rsidRPr="002B16D5">
                              <w:rPr>
                                <w:color w:val="150045"/>
                              </w:rPr>
                              <w:fldChar w:fldCharType="begin"/>
                            </w:r>
                            <w:r w:rsidRPr="002B16D5">
                              <w:rPr>
                                <w:color w:val="150045"/>
                              </w:rPr>
                              <w:instrText xml:space="preserve"> SEQ Table \* ARABIC \s 2 </w:instrText>
                            </w:r>
                            <w:r w:rsidRPr="002B16D5">
                              <w:rPr>
                                <w:color w:val="150045"/>
                              </w:rPr>
                              <w:fldChar w:fldCharType="separate"/>
                            </w:r>
                            <w:r w:rsidR="00F12A80">
                              <w:rPr>
                                <w:noProof/>
                                <w:color w:val="150045"/>
                              </w:rPr>
                              <w:t>6</w:t>
                            </w:r>
                            <w:r w:rsidRPr="002B16D5">
                              <w:rPr>
                                <w:noProof/>
                                <w:color w:val="150045"/>
                              </w:rPr>
                              <w:fldChar w:fldCharType="end"/>
                            </w:r>
                            <w:r w:rsidRPr="002B16D5">
                              <w:rPr>
                                <w:color w:val="150045"/>
                              </w:rPr>
                              <w:t>: Residential (unit titled) general rates – marginal rates</w:t>
                            </w:r>
                          </w:p>
                          <w:tbl>
                            <w:tblPr>
                              <w:tblW w:w="4535" w:type="dxa"/>
                              <w:jc w:val="center"/>
                              <w:tblLook w:val="04A0" w:firstRow="1" w:lastRow="0" w:firstColumn="1" w:lastColumn="0" w:noHBand="0" w:noVBand="1"/>
                            </w:tblPr>
                            <w:tblGrid>
                              <w:gridCol w:w="2551"/>
                              <w:gridCol w:w="1984"/>
                            </w:tblGrid>
                            <w:tr w:rsidR="002261A7" w:rsidRPr="0074740E" w14:paraId="75F05E52" w14:textId="77777777" w:rsidTr="00A60D4B">
                              <w:trPr>
                                <w:cantSplit/>
                                <w:trHeight w:val="227"/>
                                <w:tblHeader/>
                                <w:jc w:val="center"/>
                              </w:trPr>
                              <w:tc>
                                <w:tcPr>
                                  <w:tcW w:w="2551" w:type="dxa"/>
                                  <w:tcBorders>
                                    <w:top w:val="single" w:sz="4" w:space="0" w:color="auto"/>
                                    <w:left w:val="nil"/>
                                    <w:bottom w:val="single" w:sz="4" w:space="0" w:color="auto"/>
                                    <w:right w:val="nil"/>
                                  </w:tcBorders>
                                  <w:shd w:val="clear" w:color="auto" w:fill="472D8C"/>
                                  <w:noWrap/>
                                  <w:hideMark/>
                                </w:tcPr>
                                <w:p w14:paraId="6A3F7D2F" w14:textId="77777777" w:rsidR="002261A7" w:rsidRPr="003519F0" w:rsidRDefault="002261A7" w:rsidP="00A60D4B">
                                  <w:pPr>
                                    <w:pStyle w:val="BTableHeadingRowCentreAlign"/>
                                    <w:jc w:val="left"/>
                                    <w:rPr>
                                      <w:rFonts w:eastAsia="Times New Roman" w:cs="Arial"/>
                                      <w:b w:val="0"/>
                                      <w:color w:val="FFFFFF" w:themeColor="background1"/>
                                      <w:sz w:val="24"/>
                                      <w:szCs w:val="24"/>
                                    </w:rPr>
                                  </w:pPr>
                                  <w:r w:rsidRPr="003519F0">
                                    <w:rPr>
                                      <w:color w:val="FFFFFF" w:themeColor="background1"/>
                                    </w:rPr>
                                    <w:t>Block AUV threshold</w:t>
                                  </w:r>
                                  <w:r w:rsidRPr="003519F0">
                                    <w:rPr>
                                      <w:color w:val="FFFFFF" w:themeColor="background1"/>
                                      <w:vertAlign w:val="superscript"/>
                                    </w:rPr>
                                    <w:t>1</w:t>
                                  </w:r>
                                </w:p>
                              </w:tc>
                              <w:tc>
                                <w:tcPr>
                                  <w:tcW w:w="1984" w:type="dxa"/>
                                  <w:tcBorders>
                                    <w:top w:val="single" w:sz="4" w:space="0" w:color="auto"/>
                                    <w:left w:val="nil"/>
                                    <w:bottom w:val="single" w:sz="4" w:space="0" w:color="auto"/>
                                    <w:right w:val="nil"/>
                                  </w:tcBorders>
                                  <w:shd w:val="clear" w:color="auto" w:fill="472D8C"/>
                                  <w:noWrap/>
                                  <w:hideMark/>
                                </w:tcPr>
                                <w:p w14:paraId="20B25EED" w14:textId="77777777" w:rsidR="002261A7" w:rsidRPr="003519F0" w:rsidRDefault="002261A7" w:rsidP="00A60D4B">
                                  <w:pPr>
                                    <w:pStyle w:val="BTableHeadingRowCentreAlign"/>
                                    <w:jc w:val="right"/>
                                    <w:rPr>
                                      <w:color w:val="FFFFFF" w:themeColor="background1"/>
                                      <w:lang w:eastAsia="en-AU"/>
                                    </w:rPr>
                                  </w:pPr>
                                  <w:r w:rsidRPr="003519F0">
                                    <w:rPr>
                                      <w:color w:val="FFFFFF" w:themeColor="background1"/>
                                      <w:lang w:eastAsia="en-AU"/>
                                    </w:rPr>
                                    <w:t>Marginal rates %</w:t>
                                  </w:r>
                                </w:p>
                              </w:tc>
                            </w:tr>
                            <w:tr w:rsidR="002261A7" w:rsidRPr="0074740E" w14:paraId="121E0981"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215F60C8" w14:textId="77777777" w:rsidR="002261A7" w:rsidRPr="00F32077" w:rsidRDefault="002261A7" w:rsidP="00A60D4B">
                                  <w:pPr>
                                    <w:pStyle w:val="Btabletextunbold"/>
                                  </w:pPr>
                                  <w:r w:rsidRPr="00F32077">
                                    <w:t>0 to $600,000</w:t>
                                  </w:r>
                                </w:p>
                              </w:tc>
                              <w:tc>
                                <w:tcPr>
                                  <w:tcW w:w="1984" w:type="dxa"/>
                                  <w:tcBorders>
                                    <w:top w:val="nil"/>
                                    <w:left w:val="nil"/>
                                    <w:bottom w:val="nil"/>
                                    <w:right w:val="nil"/>
                                  </w:tcBorders>
                                  <w:shd w:val="clear" w:color="auto" w:fill="F2F2F2" w:themeFill="background1" w:themeFillShade="F2"/>
                                  <w:noWrap/>
                                  <w:vAlign w:val="bottom"/>
                                </w:tcPr>
                                <w:p w14:paraId="6310AF32" w14:textId="77777777" w:rsidR="002261A7" w:rsidRPr="00F32077" w:rsidRDefault="002261A7" w:rsidP="00A60D4B">
                                  <w:pPr>
                                    <w:pStyle w:val="Btablefigureunbold"/>
                                  </w:pPr>
                                  <w:r w:rsidRPr="00F32077">
                                    <w:t>0.6165</w:t>
                                  </w:r>
                                </w:p>
                              </w:tc>
                            </w:tr>
                            <w:tr w:rsidR="002261A7" w:rsidRPr="0074740E" w14:paraId="0C821D26"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255F4267" w14:textId="77777777" w:rsidR="002261A7" w:rsidRPr="00F32077" w:rsidRDefault="002261A7" w:rsidP="00A60D4B">
                                  <w:pPr>
                                    <w:pStyle w:val="Btabletextunbold"/>
                                  </w:pPr>
                                  <w:r w:rsidRPr="00F32077">
                                    <w:t>$600,001 to $2,000,000</w:t>
                                  </w:r>
                                </w:p>
                              </w:tc>
                              <w:tc>
                                <w:tcPr>
                                  <w:tcW w:w="1984" w:type="dxa"/>
                                  <w:tcBorders>
                                    <w:top w:val="nil"/>
                                    <w:left w:val="nil"/>
                                    <w:bottom w:val="nil"/>
                                    <w:right w:val="nil"/>
                                  </w:tcBorders>
                                  <w:shd w:val="clear" w:color="auto" w:fill="F2F2F2" w:themeFill="background1" w:themeFillShade="F2"/>
                                  <w:noWrap/>
                                  <w:vAlign w:val="bottom"/>
                                </w:tcPr>
                                <w:p w14:paraId="52832728" w14:textId="77777777" w:rsidR="002261A7" w:rsidRPr="00F32077" w:rsidRDefault="002261A7" w:rsidP="00A60D4B">
                                  <w:pPr>
                                    <w:pStyle w:val="Btablefigureunbold"/>
                                  </w:pPr>
                                  <w:r w:rsidRPr="00F32077">
                                    <w:t>0.7502</w:t>
                                  </w:r>
                                </w:p>
                              </w:tc>
                            </w:tr>
                            <w:tr w:rsidR="002261A7" w:rsidRPr="0074740E" w14:paraId="51324A48" w14:textId="77777777" w:rsidTr="00A60D4B">
                              <w:trPr>
                                <w:trHeight w:val="227"/>
                                <w:jc w:val="center"/>
                              </w:trPr>
                              <w:tc>
                                <w:tcPr>
                                  <w:tcW w:w="2551" w:type="dxa"/>
                                  <w:tcBorders>
                                    <w:top w:val="nil"/>
                                    <w:left w:val="nil"/>
                                    <w:right w:val="nil"/>
                                  </w:tcBorders>
                                  <w:shd w:val="clear" w:color="auto" w:fill="F2F2F2" w:themeFill="background1" w:themeFillShade="F2"/>
                                  <w:noWrap/>
                                  <w:hideMark/>
                                </w:tcPr>
                                <w:p w14:paraId="76A4F8B1" w14:textId="77777777" w:rsidR="002261A7" w:rsidRPr="00F32077" w:rsidRDefault="002261A7" w:rsidP="00A60D4B">
                                  <w:pPr>
                                    <w:pStyle w:val="Btabletextunbold"/>
                                  </w:pPr>
                                  <w:r w:rsidRPr="00F32077">
                                    <w:t>$2,000,001 to $3,650,000</w:t>
                                  </w:r>
                                </w:p>
                              </w:tc>
                              <w:tc>
                                <w:tcPr>
                                  <w:tcW w:w="1984" w:type="dxa"/>
                                  <w:tcBorders>
                                    <w:top w:val="nil"/>
                                    <w:left w:val="nil"/>
                                    <w:right w:val="nil"/>
                                  </w:tcBorders>
                                  <w:shd w:val="clear" w:color="auto" w:fill="F2F2F2" w:themeFill="background1" w:themeFillShade="F2"/>
                                  <w:noWrap/>
                                  <w:vAlign w:val="bottom"/>
                                </w:tcPr>
                                <w:p w14:paraId="31E59FDA" w14:textId="77777777" w:rsidR="002261A7" w:rsidRPr="00F32077" w:rsidRDefault="002261A7" w:rsidP="00A60D4B">
                                  <w:pPr>
                                    <w:pStyle w:val="Btablefigureunbold"/>
                                  </w:pPr>
                                  <w:r w:rsidRPr="00F32077">
                                    <w:t>0.8737</w:t>
                                  </w:r>
                                </w:p>
                              </w:tc>
                            </w:tr>
                            <w:tr w:rsidR="002261A7" w:rsidRPr="0074740E" w14:paraId="62CC11DB"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11588F11" w14:textId="77777777" w:rsidR="002261A7" w:rsidRPr="00F32077" w:rsidRDefault="002261A7" w:rsidP="00A60D4B">
                                  <w:pPr>
                                    <w:pStyle w:val="Btabletextunbold"/>
                                  </w:pPr>
                                  <w:r w:rsidRPr="00F32077">
                                    <w:t>$3,650,001 to $4,850,000</w:t>
                                  </w:r>
                                </w:p>
                              </w:tc>
                              <w:tc>
                                <w:tcPr>
                                  <w:tcW w:w="1984" w:type="dxa"/>
                                  <w:tcBorders>
                                    <w:top w:val="nil"/>
                                    <w:left w:val="nil"/>
                                    <w:bottom w:val="nil"/>
                                    <w:right w:val="nil"/>
                                  </w:tcBorders>
                                  <w:shd w:val="clear" w:color="auto" w:fill="F2F2F2" w:themeFill="background1" w:themeFillShade="F2"/>
                                  <w:noWrap/>
                                  <w:vAlign w:val="bottom"/>
                                </w:tcPr>
                                <w:p w14:paraId="0D7529AA" w14:textId="77777777" w:rsidR="002261A7" w:rsidRPr="00F32077" w:rsidRDefault="002261A7" w:rsidP="00A60D4B">
                                  <w:pPr>
                                    <w:pStyle w:val="Btablefigureunbold"/>
                                  </w:pPr>
                                  <w:r w:rsidRPr="00F32077">
                                    <w:t>0.9297</w:t>
                                  </w:r>
                                </w:p>
                              </w:tc>
                            </w:tr>
                            <w:tr w:rsidR="002261A7" w:rsidRPr="0074740E" w14:paraId="795EE5C1" w14:textId="77777777" w:rsidTr="00A60D4B">
                              <w:trPr>
                                <w:trHeight w:val="227"/>
                                <w:jc w:val="center"/>
                              </w:trPr>
                              <w:tc>
                                <w:tcPr>
                                  <w:tcW w:w="2551" w:type="dxa"/>
                                  <w:tcBorders>
                                    <w:top w:val="nil"/>
                                    <w:left w:val="nil"/>
                                    <w:bottom w:val="single" w:sz="4" w:space="0" w:color="auto"/>
                                    <w:right w:val="nil"/>
                                  </w:tcBorders>
                                  <w:shd w:val="clear" w:color="auto" w:fill="F2F2F2" w:themeFill="background1" w:themeFillShade="F2"/>
                                  <w:noWrap/>
                                  <w:hideMark/>
                                </w:tcPr>
                                <w:p w14:paraId="49D5FA1D" w14:textId="77777777" w:rsidR="002261A7" w:rsidRPr="00F32077" w:rsidRDefault="002261A7" w:rsidP="00A60D4B">
                                  <w:pPr>
                                    <w:pStyle w:val="Btabletextunbold"/>
                                  </w:pPr>
                                  <w:r w:rsidRPr="00F32077">
                                    <w:t>$4,850,001 and above</w:t>
                                  </w:r>
                                </w:p>
                              </w:tc>
                              <w:tc>
                                <w:tcPr>
                                  <w:tcW w:w="1984" w:type="dxa"/>
                                  <w:tcBorders>
                                    <w:top w:val="nil"/>
                                    <w:left w:val="nil"/>
                                    <w:bottom w:val="single" w:sz="4" w:space="0" w:color="auto"/>
                                    <w:right w:val="nil"/>
                                  </w:tcBorders>
                                  <w:shd w:val="clear" w:color="auto" w:fill="F2F2F2" w:themeFill="background1" w:themeFillShade="F2"/>
                                  <w:noWrap/>
                                  <w:vAlign w:val="bottom"/>
                                </w:tcPr>
                                <w:p w14:paraId="30E91888" w14:textId="77777777" w:rsidR="002261A7" w:rsidRPr="00F32077" w:rsidRDefault="002261A7" w:rsidP="00A60D4B">
                                  <w:pPr>
                                    <w:pStyle w:val="Btablefigureunbold"/>
                                  </w:pPr>
                                  <w:r w:rsidRPr="00F32077">
                                    <w:t>0.9783</w:t>
                                  </w:r>
                                </w:p>
                              </w:tc>
                            </w:tr>
                          </w:tbl>
                          <w:p w14:paraId="48A120D6" w14:textId="77777777" w:rsidR="002261A7" w:rsidRPr="002B16D5" w:rsidRDefault="002261A7" w:rsidP="00A60D4B">
                            <w:pPr>
                              <w:pStyle w:val="BNoteBold"/>
                              <w:rPr>
                                <w:color w:val="150045"/>
                              </w:rPr>
                            </w:pPr>
                            <w:r w:rsidRPr="002B16D5">
                              <w:rPr>
                                <w:color w:val="150045"/>
                              </w:rPr>
                              <w:t xml:space="preserve">Note: </w:t>
                            </w:r>
                          </w:p>
                          <w:p w14:paraId="6875982B" w14:textId="77777777" w:rsidR="002261A7" w:rsidRPr="002B16D5" w:rsidRDefault="002261A7" w:rsidP="00A60D4B">
                            <w:pPr>
                              <w:pStyle w:val="BNotelist"/>
                              <w:numPr>
                                <w:ilvl w:val="0"/>
                                <w:numId w:val="41"/>
                              </w:numPr>
                              <w:rPr>
                                <w:rFonts w:asciiTheme="minorHAnsi" w:eastAsiaTheme="minorEastAsia" w:hAnsiTheme="minorHAnsi"/>
                                <w:color w:val="150045"/>
                                <w:szCs w:val="18"/>
                              </w:rPr>
                            </w:pPr>
                            <w:r w:rsidRPr="002B16D5">
                              <w:rPr>
                                <w:color w:val="150045"/>
                              </w:rPr>
                              <w:t>For units, marginal rates are applied to the AUV of the block proportionate to its total residential unit entitlement. The overall rates for the block are then multiplied by the unit entitlement, proportionate to the total residential unit entitlement of the block.</w:t>
                            </w:r>
                          </w:p>
                          <w:p w14:paraId="025B8F14" w14:textId="77777777" w:rsidR="002261A7" w:rsidRPr="002B16D5" w:rsidRDefault="002261A7">
                            <w:pPr>
                              <w:rPr>
                                <w:color w:val="15004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3FF072" id="_x0000_s1036" type="#_x0000_t202" style="position:absolute;margin-left:395.75pt;margin-top:.6pt;width:446.95pt;height:479.2pt;z-index:2519633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" fillcolor="#f2f2f2 [3052]" stroked="f">
                <v:textbox>
                  <w:txbxContent>
                    <w:p w14:paraId="0D959D81" w14:textId="77777777" w:rsidR="002261A7" w:rsidRPr="002B16D5" w:rsidRDefault="002261A7" w:rsidP="00A60D4B">
                      <w:pPr>
                        <w:pStyle w:val="Bbodytext"/>
                        <w:spacing w:before="0"/>
                        <w:rPr>
                          <w:b/>
                          <w:bCs/>
                          <w:color w:val="150045"/>
                        </w:rPr>
                      </w:pPr>
                      <w:r w:rsidRPr="002B16D5">
                        <w:rPr>
                          <w:b/>
                          <w:bCs/>
                          <w:color w:val="150045"/>
                        </w:rPr>
                        <w:t>The rating system in 2021-22 for residential (non-unit titled and unit titled) general rates has the following elements:</w:t>
                      </w:r>
                    </w:p>
                    <w:p w14:paraId="3FC81B9B" w14:textId="77777777" w:rsidR="002261A7" w:rsidRPr="002B16D5" w:rsidRDefault="002261A7" w:rsidP="00A60D4B">
                      <w:pPr>
                        <w:pStyle w:val="BBullet1"/>
                        <w:tabs>
                          <w:tab w:val="clear" w:pos="357"/>
                          <w:tab w:val="left" w:pos="426"/>
                        </w:tabs>
                        <w:ind w:left="720" w:hanging="720"/>
                        <w:rPr>
                          <w:b/>
                          <w:bCs/>
                          <w:color w:val="150045"/>
                        </w:rPr>
                      </w:pPr>
                      <w:r w:rsidRPr="002B16D5">
                        <w:rPr>
                          <w:b/>
                          <w:bCs/>
                          <w:color w:val="150045"/>
                        </w:rPr>
                        <w:t>a fixed charge of:</w:t>
                      </w:r>
                    </w:p>
                    <w:p w14:paraId="7AD7D68E" w14:textId="77777777" w:rsidR="002261A7" w:rsidRPr="002B16D5" w:rsidRDefault="002261A7" w:rsidP="00A60D4B">
                      <w:pPr>
                        <w:pStyle w:val="BBullet2"/>
                        <w:rPr>
                          <w:b/>
                          <w:bCs/>
                          <w:color w:val="150045"/>
                        </w:rPr>
                      </w:pPr>
                      <w:r w:rsidRPr="002B16D5">
                        <w:rPr>
                          <w:b/>
                          <w:bCs/>
                          <w:color w:val="150045"/>
                        </w:rPr>
                        <w:t>$800 for non-unit titled properties; and</w:t>
                      </w:r>
                    </w:p>
                    <w:p w14:paraId="454F1034" w14:textId="77777777" w:rsidR="002261A7" w:rsidRPr="002B16D5" w:rsidRDefault="002261A7" w:rsidP="00A60D4B">
                      <w:pPr>
                        <w:pStyle w:val="BBullet2"/>
                        <w:rPr>
                          <w:b/>
                          <w:bCs/>
                          <w:color w:val="150045"/>
                        </w:rPr>
                      </w:pPr>
                      <w:r w:rsidRPr="002B16D5">
                        <w:rPr>
                          <w:b/>
                          <w:bCs/>
                          <w:color w:val="150045"/>
                        </w:rPr>
                        <w:t>$850 for unit-titled properties;</w:t>
                      </w:r>
                    </w:p>
                    <w:p w14:paraId="052D763B" w14:textId="77777777" w:rsidR="002261A7" w:rsidRPr="002B16D5" w:rsidRDefault="002261A7" w:rsidP="00A60D4B">
                      <w:pPr>
                        <w:pStyle w:val="BBullet1"/>
                        <w:tabs>
                          <w:tab w:val="clear" w:pos="357"/>
                          <w:tab w:val="left" w:pos="426"/>
                        </w:tabs>
                        <w:ind w:left="426" w:hanging="426"/>
                        <w:rPr>
                          <w:b/>
                          <w:bCs/>
                          <w:color w:val="150045"/>
                        </w:rPr>
                      </w:pPr>
                      <w:r w:rsidRPr="002B16D5">
                        <w:rPr>
                          <w:b/>
                          <w:bCs/>
                          <w:color w:val="150045"/>
                        </w:rPr>
                        <w:t>a valuation-based charge on the AUV of the block for 2021 (which is the average of 2017, 2018, 2019, 2020 and 2021 unimproved land values); and</w:t>
                      </w:r>
                    </w:p>
                    <w:p w14:paraId="3C1D7905" w14:textId="77777777" w:rsidR="002261A7" w:rsidRPr="002B16D5" w:rsidRDefault="002261A7" w:rsidP="00A60D4B">
                      <w:pPr>
                        <w:pStyle w:val="BBullet1"/>
                        <w:tabs>
                          <w:tab w:val="clear" w:pos="357"/>
                          <w:tab w:val="left" w:pos="426"/>
                        </w:tabs>
                        <w:ind w:left="426" w:hanging="426"/>
                        <w:rPr>
                          <w:b/>
                          <w:bCs/>
                          <w:color w:val="150045"/>
                        </w:rPr>
                      </w:pPr>
                      <w:r w:rsidRPr="002B16D5">
                        <w:rPr>
                          <w:b/>
                          <w:bCs/>
                          <w:color w:val="150045"/>
                        </w:rPr>
                        <w:t xml:space="preserve">marginal rating factors applied to the AUV of the block of residential properties – for non-unit </w:t>
                      </w:r>
                      <w:r w:rsidRPr="00AB5271">
                        <w:rPr>
                          <w:b/>
                          <w:bCs/>
                          <w:color w:val="150045"/>
                        </w:rPr>
                        <w:t>titled</w:t>
                      </w:r>
                      <w:r w:rsidRPr="002B16D5">
                        <w:rPr>
                          <w:b/>
                          <w:bCs/>
                          <w:color w:val="150045"/>
                        </w:rPr>
                        <w:t xml:space="preserve"> properties refer to Table 3.5.5 and for unit-titled properties refer to Table 3.5.6.</w:t>
                      </w:r>
                    </w:p>
                    <w:p w14:paraId="51B88883" w14:textId="425EC176" w:rsidR="002261A7" w:rsidRPr="002B16D5" w:rsidRDefault="002261A7" w:rsidP="00A60D4B">
                      <w:pPr>
                        <w:pStyle w:val="Caption"/>
                        <w:rPr>
                          <w:b w:val="0"/>
                          <w:iCs w:val="0"/>
                          <w:color w:val="150045"/>
                          <w:sz w:val="24"/>
                          <w:szCs w:val="24"/>
                        </w:rPr>
                      </w:pPr>
                      <w:r w:rsidRPr="002B16D5">
                        <w:rPr>
                          <w:color w:val="150045"/>
                        </w:rPr>
                        <w:t xml:space="preserve">Table </w:t>
                      </w:r>
                      <w:r w:rsidRPr="002B16D5">
                        <w:rPr>
                          <w:color w:val="150045"/>
                        </w:rPr>
                        <w:fldChar w:fldCharType="begin"/>
                      </w:r>
                      <w:r w:rsidRPr="002B16D5">
                        <w:rPr>
                          <w:color w:val="150045"/>
                        </w:rPr>
                        <w:instrText xml:space="preserve"> STYLEREF 2 \s </w:instrText>
                      </w:r>
                      <w:r w:rsidRPr="002B16D5">
                        <w:rPr>
                          <w:color w:val="150045"/>
                        </w:rPr>
                        <w:fldChar w:fldCharType="separate"/>
                      </w:r>
                      <w:r w:rsidR="00F12A80">
                        <w:rPr>
                          <w:noProof/>
                          <w:color w:val="150045"/>
                        </w:rPr>
                        <w:t>3.5</w:t>
                      </w:r>
                      <w:r w:rsidRPr="002B16D5">
                        <w:rPr>
                          <w:noProof/>
                          <w:color w:val="150045"/>
                        </w:rPr>
                        <w:fldChar w:fldCharType="end"/>
                      </w:r>
                      <w:r w:rsidRPr="002B16D5">
                        <w:rPr>
                          <w:color w:val="150045"/>
                        </w:rPr>
                        <w:t>.</w:t>
                      </w:r>
                      <w:r w:rsidRPr="002B16D5">
                        <w:rPr>
                          <w:color w:val="150045"/>
                        </w:rPr>
                        <w:fldChar w:fldCharType="begin"/>
                      </w:r>
                      <w:r w:rsidRPr="002B16D5">
                        <w:rPr>
                          <w:color w:val="150045"/>
                        </w:rPr>
                        <w:instrText xml:space="preserve"> SEQ Table \* ARABIC \s 2 </w:instrText>
                      </w:r>
                      <w:r w:rsidRPr="002B16D5">
                        <w:rPr>
                          <w:color w:val="150045"/>
                        </w:rPr>
                        <w:fldChar w:fldCharType="separate"/>
                      </w:r>
                      <w:r w:rsidR="00F12A80">
                        <w:rPr>
                          <w:noProof/>
                          <w:color w:val="150045"/>
                        </w:rPr>
                        <w:t>5</w:t>
                      </w:r>
                      <w:r w:rsidRPr="002B16D5">
                        <w:rPr>
                          <w:noProof/>
                          <w:color w:val="150045"/>
                        </w:rPr>
                        <w:fldChar w:fldCharType="end"/>
                      </w:r>
                      <w:r w:rsidRPr="002B16D5">
                        <w:rPr>
                          <w:color w:val="150045"/>
                        </w:rPr>
                        <w:t>: Residential (non-unit titled) general rates – marginal rates</w:t>
                      </w:r>
                    </w:p>
                    <w:tbl>
                      <w:tblPr>
                        <w:tblW w:w="4535" w:type="dxa"/>
                        <w:jc w:val="center"/>
                        <w:tblLook w:val="04A0" w:firstRow="1" w:lastRow="0" w:firstColumn="1" w:lastColumn="0" w:noHBand="0" w:noVBand="1"/>
                      </w:tblPr>
                      <w:tblGrid>
                        <w:gridCol w:w="2551"/>
                        <w:gridCol w:w="1984"/>
                      </w:tblGrid>
                      <w:tr w:rsidR="002261A7" w:rsidRPr="0074740E" w14:paraId="04419442" w14:textId="77777777" w:rsidTr="00A60D4B">
                        <w:trPr>
                          <w:cantSplit/>
                          <w:trHeight w:val="227"/>
                          <w:tblHeader/>
                          <w:jc w:val="center"/>
                        </w:trPr>
                        <w:tc>
                          <w:tcPr>
                            <w:tcW w:w="2551" w:type="dxa"/>
                            <w:tcBorders>
                              <w:top w:val="single" w:sz="4" w:space="0" w:color="auto"/>
                              <w:left w:val="nil"/>
                              <w:bottom w:val="single" w:sz="4" w:space="0" w:color="auto"/>
                              <w:right w:val="nil"/>
                            </w:tcBorders>
                            <w:shd w:val="clear" w:color="auto" w:fill="472D8C"/>
                            <w:noWrap/>
                            <w:hideMark/>
                          </w:tcPr>
                          <w:p w14:paraId="2F59DF4F" w14:textId="77777777" w:rsidR="002261A7" w:rsidRPr="003519F0" w:rsidRDefault="002261A7" w:rsidP="00A60D4B">
                            <w:pPr>
                              <w:pStyle w:val="BTableHeadingRowCentreAlign"/>
                              <w:jc w:val="left"/>
                              <w:rPr>
                                <w:rFonts w:eastAsia="Times New Roman" w:cs="Arial"/>
                                <w:b w:val="0"/>
                                <w:color w:val="FFFFFF" w:themeColor="background1"/>
                                <w:sz w:val="24"/>
                                <w:szCs w:val="24"/>
                              </w:rPr>
                            </w:pPr>
                            <w:r w:rsidRPr="003519F0">
                              <w:rPr>
                                <w:color w:val="FFFFFF" w:themeColor="background1"/>
                              </w:rPr>
                              <w:t>Block AUV threshold</w:t>
                            </w:r>
                          </w:p>
                        </w:tc>
                        <w:tc>
                          <w:tcPr>
                            <w:tcW w:w="1984" w:type="dxa"/>
                            <w:tcBorders>
                              <w:top w:val="single" w:sz="4" w:space="0" w:color="auto"/>
                              <w:left w:val="nil"/>
                              <w:bottom w:val="single" w:sz="4" w:space="0" w:color="auto"/>
                              <w:right w:val="nil"/>
                            </w:tcBorders>
                            <w:shd w:val="clear" w:color="auto" w:fill="472D8C"/>
                            <w:noWrap/>
                            <w:hideMark/>
                          </w:tcPr>
                          <w:p w14:paraId="25D8ABBF" w14:textId="77777777" w:rsidR="002261A7" w:rsidRPr="003519F0" w:rsidRDefault="002261A7" w:rsidP="00A60D4B">
                            <w:pPr>
                              <w:pStyle w:val="BTableHeadingRowCentreAlign"/>
                              <w:jc w:val="right"/>
                              <w:rPr>
                                <w:color w:val="FFFFFF" w:themeColor="background1"/>
                                <w:lang w:eastAsia="en-AU"/>
                              </w:rPr>
                            </w:pPr>
                            <w:r w:rsidRPr="003519F0">
                              <w:rPr>
                                <w:color w:val="FFFFFF" w:themeColor="background1"/>
                                <w:lang w:eastAsia="en-AU"/>
                              </w:rPr>
                              <w:t>Marginal rates %</w:t>
                            </w:r>
                          </w:p>
                        </w:tc>
                      </w:tr>
                      <w:tr w:rsidR="002261A7" w:rsidRPr="0074740E" w14:paraId="2B63E9FD"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62E16198" w14:textId="77777777" w:rsidR="002261A7" w:rsidRPr="00F32077" w:rsidRDefault="002261A7" w:rsidP="00A60D4B">
                            <w:pPr>
                              <w:pStyle w:val="Btabletextunbold"/>
                            </w:pPr>
                            <w:r w:rsidRPr="00F32077">
                              <w:t>0 to $150,000</w:t>
                            </w:r>
                          </w:p>
                        </w:tc>
                        <w:tc>
                          <w:tcPr>
                            <w:tcW w:w="1984" w:type="dxa"/>
                            <w:tcBorders>
                              <w:top w:val="nil"/>
                              <w:left w:val="nil"/>
                              <w:bottom w:val="nil"/>
                              <w:right w:val="nil"/>
                            </w:tcBorders>
                            <w:shd w:val="clear" w:color="auto" w:fill="F2F2F2" w:themeFill="background1" w:themeFillShade="F2"/>
                            <w:noWrap/>
                            <w:vAlign w:val="bottom"/>
                          </w:tcPr>
                          <w:p w14:paraId="7B69F834" w14:textId="77777777" w:rsidR="002261A7" w:rsidRPr="00F32077" w:rsidRDefault="002261A7" w:rsidP="00A60D4B">
                            <w:pPr>
                              <w:pStyle w:val="Btablefigureunbold"/>
                            </w:pPr>
                            <w:r w:rsidRPr="00F32077">
                              <w:t>0.3624</w:t>
                            </w:r>
                          </w:p>
                        </w:tc>
                      </w:tr>
                      <w:tr w:rsidR="002261A7" w:rsidRPr="0074740E" w14:paraId="2306A79E"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33145592" w14:textId="77777777" w:rsidR="002261A7" w:rsidRPr="00F32077" w:rsidRDefault="002261A7" w:rsidP="00A60D4B">
                            <w:pPr>
                              <w:pStyle w:val="Btabletextunbold"/>
                            </w:pPr>
                            <w:r w:rsidRPr="00F32077">
                              <w:t>$150,001 to $300,000</w:t>
                            </w:r>
                          </w:p>
                        </w:tc>
                        <w:tc>
                          <w:tcPr>
                            <w:tcW w:w="1984" w:type="dxa"/>
                            <w:tcBorders>
                              <w:top w:val="nil"/>
                              <w:left w:val="nil"/>
                              <w:bottom w:val="nil"/>
                              <w:right w:val="nil"/>
                            </w:tcBorders>
                            <w:shd w:val="clear" w:color="auto" w:fill="F2F2F2" w:themeFill="background1" w:themeFillShade="F2"/>
                            <w:noWrap/>
                            <w:vAlign w:val="bottom"/>
                          </w:tcPr>
                          <w:p w14:paraId="2E238088" w14:textId="77777777" w:rsidR="002261A7" w:rsidRPr="00F32077" w:rsidRDefault="002261A7" w:rsidP="00A60D4B">
                            <w:pPr>
                              <w:pStyle w:val="Btablefigureunbold"/>
                            </w:pPr>
                            <w:r w:rsidRPr="00F32077">
                              <w:t>0.4664</w:t>
                            </w:r>
                          </w:p>
                        </w:tc>
                      </w:tr>
                      <w:tr w:rsidR="002261A7" w:rsidRPr="0074740E" w14:paraId="306B06B5" w14:textId="77777777" w:rsidTr="00A60D4B">
                        <w:trPr>
                          <w:trHeight w:val="227"/>
                          <w:jc w:val="center"/>
                        </w:trPr>
                        <w:tc>
                          <w:tcPr>
                            <w:tcW w:w="2551" w:type="dxa"/>
                            <w:tcBorders>
                              <w:top w:val="nil"/>
                              <w:left w:val="nil"/>
                              <w:right w:val="nil"/>
                            </w:tcBorders>
                            <w:shd w:val="clear" w:color="auto" w:fill="F2F2F2" w:themeFill="background1" w:themeFillShade="F2"/>
                            <w:noWrap/>
                            <w:hideMark/>
                          </w:tcPr>
                          <w:p w14:paraId="51591371" w14:textId="77777777" w:rsidR="002261A7" w:rsidRPr="00F32077" w:rsidRDefault="002261A7" w:rsidP="00A60D4B">
                            <w:pPr>
                              <w:pStyle w:val="Btabletextunbold"/>
                            </w:pPr>
                            <w:r w:rsidRPr="00F32077">
                              <w:t>$300,001 to $450,000</w:t>
                            </w:r>
                          </w:p>
                        </w:tc>
                        <w:tc>
                          <w:tcPr>
                            <w:tcW w:w="1984" w:type="dxa"/>
                            <w:tcBorders>
                              <w:top w:val="nil"/>
                              <w:left w:val="nil"/>
                              <w:right w:val="nil"/>
                            </w:tcBorders>
                            <w:shd w:val="clear" w:color="auto" w:fill="F2F2F2" w:themeFill="background1" w:themeFillShade="F2"/>
                            <w:noWrap/>
                            <w:vAlign w:val="bottom"/>
                          </w:tcPr>
                          <w:p w14:paraId="614BB4FC" w14:textId="77777777" w:rsidR="002261A7" w:rsidRPr="00F32077" w:rsidRDefault="002261A7" w:rsidP="00A60D4B">
                            <w:pPr>
                              <w:pStyle w:val="Btablefigureunbold"/>
                            </w:pPr>
                            <w:r w:rsidRPr="00F32077">
                              <w:t>0.5795</w:t>
                            </w:r>
                          </w:p>
                        </w:tc>
                      </w:tr>
                      <w:tr w:rsidR="002261A7" w:rsidRPr="0074740E" w14:paraId="141CD8EF"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14ED1B75" w14:textId="77777777" w:rsidR="002261A7" w:rsidRPr="00F32077" w:rsidRDefault="002261A7" w:rsidP="00A60D4B">
                            <w:pPr>
                              <w:pStyle w:val="Btabletextunbold"/>
                            </w:pPr>
                            <w:r w:rsidRPr="00F32077">
                              <w:t>$450,001 to $600,000</w:t>
                            </w:r>
                          </w:p>
                        </w:tc>
                        <w:tc>
                          <w:tcPr>
                            <w:tcW w:w="1984" w:type="dxa"/>
                            <w:tcBorders>
                              <w:top w:val="nil"/>
                              <w:left w:val="nil"/>
                              <w:bottom w:val="nil"/>
                              <w:right w:val="nil"/>
                            </w:tcBorders>
                            <w:shd w:val="clear" w:color="auto" w:fill="F2F2F2" w:themeFill="background1" w:themeFillShade="F2"/>
                            <w:noWrap/>
                            <w:vAlign w:val="bottom"/>
                          </w:tcPr>
                          <w:p w14:paraId="674318D7" w14:textId="77777777" w:rsidR="002261A7" w:rsidRPr="00F32077" w:rsidRDefault="002261A7" w:rsidP="00A60D4B">
                            <w:pPr>
                              <w:pStyle w:val="Btablefigureunbold"/>
                            </w:pPr>
                            <w:r w:rsidRPr="00F32077">
                              <w:t>0.6308</w:t>
                            </w:r>
                          </w:p>
                        </w:tc>
                      </w:tr>
                      <w:tr w:rsidR="002261A7" w:rsidRPr="0074740E" w14:paraId="1696E5E2"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31BB00B9" w14:textId="77777777" w:rsidR="002261A7" w:rsidRPr="00F32077" w:rsidRDefault="002261A7" w:rsidP="00A60D4B">
                            <w:pPr>
                              <w:pStyle w:val="Btabletextunbold"/>
                            </w:pPr>
                            <w:r w:rsidRPr="00F32077">
                              <w:t>$600,001 to $750,000</w:t>
                            </w:r>
                          </w:p>
                        </w:tc>
                        <w:tc>
                          <w:tcPr>
                            <w:tcW w:w="1984" w:type="dxa"/>
                            <w:tcBorders>
                              <w:top w:val="nil"/>
                              <w:left w:val="nil"/>
                              <w:bottom w:val="nil"/>
                              <w:right w:val="nil"/>
                            </w:tcBorders>
                            <w:shd w:val="clear" w:color="auto" w:fill="F2F2F2" w:themeFill="background1" w:themeFillShade="F2"/>
                            <w:noWrap/>
                            <w:vAlign w:val="bottom"/>
                          </w:tcPr>
                          <w:p w14:paraId="6E178003" w14:textId="77777777" w:rsidR="002261A7" w:rsidRPr="00F32077" w:rsidRDefault="002261A7" w:rsidP="00A60D4B">
                            <w:pPr>
                              <w:pStyle w:val="Btablefigureunbold"/>
                            </w:pPr>
                            <w:r w:rsidRPr="00F32077">
                              <w:t>0.6414</w:t>
                            </w:r>
                          </w:p>
                        </w:tc>
                      </w:tr>
                      <w:tr w:rsidR="002261A7" w:rsidRPr="0074740E" w14:paraId="71A77FC4" w14:textId="77777777" w:rsidTr="00A60D4B">
                        <w:trPr>
                          <w:trHeight w:val="227"/>
                          <w:jc w:val="center"/>
                        </w:trPr>
                        <w:tc>
                          <w:tcPr>
                            <w:tcW w:w="2551" w:type="dxa"/>
                            <w:tcBorders>
                              <w:top w:val="nil"/>
                              <w:left w:val="nil"/>
                              <w:bottom w:val="single" w:sz="4" w:space="0" w:color="auto"/>
                              <w:right w:val="nil"/>
                            </w:tcBorders>
                            <w:shd w:val="clear" w:color="auto" w:fill="F2F2F2" w:themeFill="background1" w:themeFillShade="F2"/>
                            <w:noWrap/>
                          </w:tcPr>
                          <w:p w14:paraId="35FDCD11" w14:textId="77777777" w:rsidR="002261A7" w:rsidRPr="00F32077" w:rsidRDefault="002261A7" w:rsidP="00A60D4B">
                            <w:pPr>
                              <w:pStyle w:val="Btabletextunbold"/>
                            </w:pPr>
                            <w:r w:rsidRPr="00F32077">
                              <w:t>$750,001 and above</w:t>
                            </w:r>
                          </w:p>
                        </w:tc>
                        <w:tc>
                          <w:tcPr>
                            <w:tcW w:w="1984" w:type="dxa"/>
                            <w:tcBorders>
                              <w:top w:val="nil"/>
                              <w:left w:val="nil"/>
                              <w:bottom w:val="single" w:sz="4" w:space="0" w:color="auto"/>
                              <w:right w:val="nil"/>
                            </w:tcBorders>
                            <w:shd w:val="clear" w:color="auto" w:fill="F2F2F2" w:themeFill="background1" w:themeFillShade="F2"/>
                            <w:noWrap/>
                            <w:vAlign w:val="bottom"/>
                          </w:tcPr>
                          <w:p w14:paraId="64B0E754" w14:textId="77777777" w:rsidR="002261A7" w:rsidRPr="00F32077" w:rsidRDefault="002261A7" w:rsidP="00A60D4B">
                            <w:pPr>
                              <w:pStyle w:val="Btablefigureunbold"/>
                            </w:pPr>
                            <w:r w:rsidRPr="00F32077">
                              <w:t>0.6468</w:t>
                            </w:r>
                          </w:p>
                        </w:tc>
                      </w:tr>
                    </w:tbl>
                    <w:p w14:paraId="41DD84E1" w14:textId="44DA408F" w:rsidR="002261A7" w:rsidRPr="002B16D5" w:rsidRDefault="002261A7" w:rsidP="00A60D4B">
                      <w:pPr>
                        <w:pStyle w:val="Caption"/>
                        <w:rPr>
                          <w:color w:val="150045"/>
                        </w:rPr>
                      </w:pPr>
                      <w:r w:rsidRPr="002B16D5">
                        <w:rPr>
                          <w:color w:val="150045"/>
                        </w:rPr>
                        <w:t xml:space="preserve">Table </w:t>
                      </w:r>
                      <w:r w:rsidRPr="002B16D5">
                        <w:rPr>
                          <w:color w:val="150045"/>
                        </w:rPr>
                        <w:fldChar w:fldCharType="begin"/>
                      </w:r>
                      <w:r w:rsidRPr="002B16D5">
                        <w:rPr>
                          <w:color w:val="150045"/>
                        </w:rPr>
                        <w:instrText xml:space="preserve"> STYLEREF 2 \s </w:instrText>
                      </w:r>
                      <w:r w:rsidRPr="002B16D5">
                        <w:rPr>
                          <w:color w:val="150045"/>
                        </w:rPr>
                        <w:fldChar w:fldCharType="separate"/>
                      </w:r>
                      <w:r w:rsidR="00F12A80">
                        <w:rPr>
                          <w:noProof/>
                          <w:color w:val="150045"/>
                        </w:rPr>
                        <w:t>3.5</w:t>
                      </w:r>
                      <w:r w:rsidRPr="002B16D5">
                        <w:rPr>
                          <w:noProof/>
                          <w:color w:val="150045"/>
                        </w:rPr>
                        <w:fldChar w:fldCharType="end"/>
                      </w:r>
                      <w:r w:rsidRPr="002B16D5">
                        <w:rPr>
                          <w:color w:val="150045"/>
                        </w:rPr>
                        <w:t>.</w:t>
                      </w:r>
                      <w:r w:rsidRPr="002B16D5">
                        <w:rPr>
                          <w:color w:val="150045"/>
                        </w:rPr>
                        <w:fldChar w:fldCharType="begin"/>
                      </w:r>
                      <w:r w:rsidRPr="002B16D5">
                        <w:rPr>
                          <w:color w:val="150045"/>
                        </w:rPr>
                        <w:instrText xml:space="preserve"> SEQ Table \* ARABIC \s 2 </w:instrText>
                      </w:r>
                      <w:r w:rsidRPr="002B16D5">
                        <w:rPr>
                          <w:color w:val="150045"/>
                        </w:rPr>
                        <w:fldChar w:fldCharType="separate"/>
                      </w:r>
                      <w:r w:rsidR="00F12A80">
                        <w:rPr>
                          <w:noProof/>
                          <w:color w:val="150045"/>
                        </w:rPr>
                        <w:t>6</w:t>
                      </w:r>
                      <w:r w:rsidRPr="002B16D5">
                        <w:rPr>
                          <w:noProof/>
                          <w:color w:val="150045"/>
                        </w:rPr>
                        <w:fldChar w:fldCharType="end"/>
                      </w:r>
                      <w:r w:rsidRPr="002B16D5">
                        <w:rPr>
                          <w:color w:val="150045"/>
                        </w:rPr>
                        <w:t>: Residential (unit titled) general rates – marginal rates</w:t>
                      </w:r>
                    </w:p>
                    <w:tbl>
                      <w:tblPr>
                        <w:tblW w:w="4535" w:type="dxa"/>
                        <w:jc w:val="center"/>
                        <w:tblLook w:val="04A0" w:firstRow="1" w:lastRow="0" w:firstColumn="1" w:lastColumn="0" w:noHBand="0" w:noVBand="1"/>
                      </w:tblPr>
                      <w:tblGrid>
                        <w:gridCol w:w="2551"/>
                        <w:gridCol w:w="1984"/>
                      </w:tblGrid>
                      <w:tr w:rsidR="002261A7" w:rsidRPr="0074740E" w14:paraId="75F05E52" w14:textId="77777777" w:rsidTr="00A60D4B">
                        <w:trPr>
                          <w:cantSplit/>
                          <w:trHeight w:val="227"/>
                          <w:tblHeader/>
                          <w:jc w:val="center"/>
                        </w:trPr>
                        <w:tc>
                          <w:tcPr>
                            <w:tcW w:w="2551" w:type="dxa"/>
                            <w:tcBorders>
                              <w:top w:val="single" w:sz="4" w:space="0" w:color="auto"/>
                              <w:left w:val="nil"/>
                              <w:bottom w:val="single" w:sz="4" w:space="0" w:color="auto"/>
                              <w:right w:val="nil"/>
                            </w:tcBorders>
                            <w:shd w:val="clear" w:color="auto" w:fill="472D8C"/>
                            <w:noWrap/>
                            <w:hideMark/>
                          </w:tcPr>
                          <w:p w14:paraId="6A3F7D2F" w14:textId="77777777" w:rsidR="002261A7" w:rsidRPr="003519F0" w:rsidRDefault="002261A7" w:rsidP="00A60D4B">
                            <w:pPr>
                              <w:pStyle w:val="BTableHeadingRowCentreAlign"/>
                              <w:jc w:val="left"/>
                              <w:rPr>
                                <w:rFonts w:eastAsia="Times New Roman" w:cs="Arial"/>
                                <w:b w:val="0"/>
                                <w:color w:val="FFFFFF" w:themeColor="background1"/>
                                <w:sz w:val="24"/>
                                <w:szCs w:val="24"/>
                              </w:rPr>
                            </w:pPr>
                            <w:r w:rsidRPr="003519F0">
                              <w:rPr>
                                <w:color w:val="FFFFFF" w:themeColor="background1"/>
                              </w:rPr>
                              <w:t>Block AUV threshold</w:t>
                            </w:r>
                            <w:r w:rsidRPr="003519F0">
                              <w:rPr>
                                <w:color w:val="FFFFFF" w:themeColor="background1"/>
                                <w:vertAlign w:val="superscript"/>
                              </w:rPr>
                              <w:t>1</w:t>
                            </w:r>
                          </w:p>
                        </w:tc>
                        <w:tc>
                          <w:tcPr>
                            <w:tcW w:w="1984" w:type="dxa"/>
                            <w:tcBorders>
                              <w:top w:val="single" w:sz="4" w:space="0" w:color="auto"/>
                              <w:left w:val="nil"/>
                              <w:bottom w:val="single" w:sz="4" w:space="0" w:color="auto"/>
                              <w:right w:val="nil"/>
                            </w:tcBorders>
                            <w:shd w:val="clear" w:color="auto" w:fill="472D8C"/>
                            <w:noWrap/>
                            <w:hideMark/>
                          </w:tcPr>
                          <w:p w14:paraId="20B25EED" w14:textId="77777777" w:rsidR="002261A7" w:rsidRPr="003519F0" w:rsidRDefault="002261A7" w:rsidP="00A60D4B">
                            <w:pPr>
                              <w:pStyle w:val="BTableHeadingRowCentreAlign"/>
                              <w:jc w:val="right"/>
                              <w:rPr>
                                <w:color w:val="FFFFFF" w:themeColor="background1"/>
                                <w:lang w:eastAsia="en-AU"/>
                              </w:rPr>
                            </w:pPr>
                            <w:r w:rsidRPr="003519F0">
                              <w:rPr>
                                <w:color w:val="FFFFFF" w:themeColor="background1"/>
                                <w:lang w:eastAsia="en-AU"/>
                              </w:rPr>
                              <w:t>Marginal rates %</w:t>
                            </w:r>
                          </w:p>
                        </w:tc>
                      </w:tr>
                      <w:tr w:rsidR="002261A7" w:rsidRPr="0074740E" w14:paraId="121E0981"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215F60C8" w14:textId="77777777" w:rsidR="002261A7" w:rsidRPr="00F32077" w:rsidRDefault="002261A7" w:rsidP="00A60D4B">
                            <w:pPr>
                              <w:pStyle w:val="Btabletextunbold"/>
                            </w:pPr>
                            <w:r w:rsidRPr="00F32077">
                              <w:t>0 to $600,000</w:t>
                            </w:r>
                          </w:p>
                        </w:tc>
                        <w:tc>
                          <w:tcPr>
                            <w:tcW w:w="1984" w:type="dxa"/>
                            <w:tcBorders>
                              <w:top w:val="nil"/>
                              <w:left w:val="nil"/>
                              <w:bottom w:val="nil"/>
                              <w:right w:val="nil"/>
                            </w:tcBorders>
                            <w:shd w:val="clear" w:color="auto" w:fill="F2F2F2" w:themeFill="background1" w:themeFillShade="F2"/>
                            <w:noWrap/>
                            <w:vAlign w:val="bottom"/>
                          </w:tcPr>
                          <w:p w14:paraId="6310AF32" w14:textId="77777777" w:rsidR="002261A7" w:rsidRPr="00F32077" w:rsidRDefault="002261A7" w:rsidP="00A60D4B">
                            <w:pPr>
                              <w:pStyle w:val="Btablefigureunbold"/>
                            </w:pPr>
                            <w:r w:rsidRPr="00F32077">
                              <w:t>0.6165</w:t>
                            </w:r>
                          </w:p>
                        </w:tc>
                      </w:tr>
                      <w:tr w:rsidR="002261A7" w:rsidRPr="0074740E" w14:paraId="0C821D26"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255F4267" w14:textId="77777777" w:rsidR="002261A7" w:rsidRPr="00F32077" w:rsidRDefault="002261A7" w:rsidP="00A60D4B">
                            <w:pPr>
                              <w:pStyle w:val="Btabletextunbold"/>
                            </w:pPr>
                            <w:r w:rsidRPr="00F32077">
                              <w:t>$600,001 to $2,000,000</w:t>
                            </w:r>
                          </w:p>
                        </w:tc>
                        <w:tc>
                          <w:tcPr>
                            <w:tcW w:w="1984" w:type="dxa"/>
                            <w:tcBorders>
                              <w:top w:val="nil"/>
                              <w:left w:val="nil"/>
                              <w:bottom w:val="nil"/>
                              <w:right w:val="nil"/>
                            </w:tcBorders>
                            <w:shd w:val="clear" w:color="auto" w:fill="F2F2F2" w:themeFill="background1" w:themeFillShade="F2"/>
                            <w:noWrap/>
                            <w:vAlign w:val="bottom"/>
                          </w:tcPr>
                          <w:p w14:paraId="52832728" w14:textId="77777777" w:rsidR="002261A7" w:rsidRPr="00F32077" w:rsidRDefault="002261A7" w:rsidP="00A60D4B">
                            <w:pPr>
                              <w:pStyle w:val="Btablefigureunbold"/>
                            </w:pPr>
                            <w:r w:rsidRPr="00F32077">
                              <w:t>0.7502</w:t>
                            </w:r>
                          </w:p>
                        </w:tc>
                      </w:tr>
                      <w:tr w:rsidR="002261A7" w:rsidRPr="0074740E" w14:paraId="51324A48" w14:textId="77777777" w:rsidTr="00A60D4B">
                        <w:trPr>
                          <w:trHeight w:val="227"/>
                          <w:jc w:val="center"/>
                        </w:trPr>
                        <w:tc>
                          <w:tcPr>
                            <w:tcW w:w="2551" w:type="dxa"/>
                            <w:tcBorders>
                              <w:top w:val="nil"/>
                              <w:left w:val="nil"/>
                              <w:right w:val="nil"/>
                            </w:tcBorders>
                            <w:shd w:val="clear" w:color="auto" w:fill="F2F2F2" w:themeFill="background1" w:themeFillShade="F2"/>
                            <w:noWrap/>
                            <w:hideMark/>
                          </w:tcPr>
                          <w:p w14:paraId="76A4F8B1" w14:textId="77777777" w:rsidR="002261A7" w:rsidRPr="00F32077" w:rsidRDefault="002261A7" w:rsidP="00A60D4B">
                            <w:pPr>
                              <w:pStyle w:val="Btabletextunbold"/>
                            </w:pPr>
                            <w:r w:rsidRPr="00F32077">
                              <w:t>$2,000,001 to $3,650,000</w:t>
                            </w:r>
                          </w:p>
                        </w:tc>
                        <w:tc>
                          <w:tcPr>
                            <w:tcW w:w="1984" w:type="dxa"/>
                            <w:tcBorders>
                              <w:top w:val="nil"/>
                              <w:left w:val="nil"/>
                              <w:right w:val="nil"/>
                            </w:tcBorders>
                            <w:shd w:val="clear" w:color="auto" w:fill="F2F2F2" w:themeFill="background1" w:themeFillShade="F2"/>
                            <w:noWrap/>
                            <w:vAlign w:val="bottom"/>
                          </w:tcPr>
                          <w:p w14:paraId="31E59FDA" w14:textId="77777777" w:rsidR="002261A7" w:rsidRPr="00F32077" w:rsidRDefault="002261A7" w:rsidP="00A60D4B">
                            <w:pPr>
                              <w:pStyle w:val="Btablefigureunbold"/>
                            </w:pPr>
                            <w:r w:rsidRPr="00F32077">
                              <w:t>0.8737</w:t>
                            </w:r>
                          </w:p>
                        </w:tc>
                      </w:tr>
                      <w:tr w:rsidR="002261A7" w:rsidRPr="0074740E" w14:paraId="62CC11DB"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11588F11" w14:textId="77777777" w:rsidR="002261A7" w:rsidRPr="00F32077" w:rsidRDefault="002261A7" w:rsidP="00A60D4B">
                            <w:pPr>
                              <w:pStyle w:val="Btabletextunbold"/>
                            </w:pPr>
                            <w:r w:rsidRPr="00F32077">
                              <w:t>$3,650,001 to $4,850,000</w:t>
                            </w:r>
                          </w:p>
                        </w:tc>
                        <w:tc>
                          <w:tcPr>
                            <w:tcW w:w="1984" w:type="dxa"/>
                            <w:tcBorders>
                              <w:top w:val="nil"/>
                              <w:left w:val="nil"/>
                              <w:bottom w:val="nil"/>
                              <w:right w:val="nil"/>
                            </w:tcBorders>
                            <w:shd w:val="clear" w:color="auto" w:fill="F2F2F2" w:themeFill="background1" w:themeFillShade="F2"/>
                            <w:noWrap/>
                            <w:vAlign w:val="bottom"/>
                          </w:tcPr>
                          <w:p w14:paraId="0D7529AA" w14:textId="77777777" w:rsidR="002261A7" w:rsidRPr="00F32077" w:rsidRDefault="002261A7" w:rsidP="00A60D4B">
                            <w:pPr>
                              <w:pStyle w:val="Btablefigureunbold"/>
                            </w:pPr>
                            <w:r w:rsidRPr="00F32077">
                              <w:t>0.9297</w:t>
                            </w:r>
                          </w:p>
                        </w:tc>
                      </w:tr>
                      <w:tr w:rsidR="002261A7" w:rsidRPr="0074740E" w14:paraId="795EE5C1" w14:textId="77777777" w:rsidTr="00A60D4B">
                        <w:trPr>
                          <w:trHeight w:val="227"/>
                          <w:jc w:val="center"/>
                        </w:trPr>
                        <w:tc>
                          <w:tcPr>
                            <w:tcW w:w="2551" w:type="dxa"/>
                            <w:tcBorders>
                              <w:top w:val="nil"/>
                              <w:left w:val="nil"/>
                              <w:bottom w:val="single" w:sz="4" w:space="0" w:color="auto"/>
                              <w:right w:val="nil"/>
                            </w:tcBorders>
                            <w:shd w:val="clear" w:color="auto" w:fill="F2F2F2" w:themeFill="background1" w:themeFillShade="F2"/>
                            <w:noWrap/>
                            <w:hideMark/>
                          </w:tcPr>
                          <w:p w14:paraId="49D5FA1D" w14:textId="77777777" w:rsidR="002261A7" w:rsidRPr="00F32077" w:rsidRDefault="002261A7" w:rsidP="00A60D4B">
                            <w:pPr>
                              <w:pStyle w:val="Btabletextunbold"/>
                            </w:pPr>
                            <w:r w:rsidRPr="00F32077">
                              <w:t>$4,850,001 and above</w:t>
                            </w:r>
                          </w:p>
                        </w:tc>
                        <w:tc>
                          <w:tcPr>
                            <w:tcW w:w="1984" w:type="dxa"/>
                            <w:tcBorders>
                              <w:top w:val="nil"/>
                              <w:left w:val="nil"/>
                              <w:bottom w:val="single" w:sz="4" w:space="0" w:color="auto"/>
                              <w:right w:val="nil"/>
                            </w:tcBorders>
                            <w:shd w:val="clear" w:color="auto" w:fill="F2F2F2" w:themeFill="background1" w:themeFillShade="F2"/>
                            <w:noWrap/>
                            <w:vAlign w:val="bottom"/>
                          </w:tcPr>
                          <w:p w14:paraId="30E91888" w14:textId="77777777" w:rsidR="002261A7" w:rsidRPr="00F32077" w:rsidRDefault="002261A7" w:rsidP="00A60D4B">
                            <w:pPr>
                              <w:pStyle w:val="Btablefigureunbold"/>
                            </w:pPr>
                            <w:r w:rsidRPr="00F32077">
                              <w:t>0.9783</w:t>
                            </w:r>
                          </w:p>
                        </w:tc>
                      </w:tr>
                    </w:tbl>
                    <w:p w14:paraId="48A120D6" w14:textId="77777777" w:rsidR="002261A7" w:rsidRPr="002B16D5" w:rsidRDefault="002261A7" w:rsidP="00A60D4B">
                      <w:pPr>
                        <w:pStyle w:val="BNoteBold"/>
                        <w:rPr>
                          <w:color w:val="150045"/>
                        </w:rPr>
                      </w:pPr>
                      <w:r w:rsidRPr="002B16D5">
                        <w:rPr>
                          <w:color w:val="150045"/>
                        </w:rPr>
                        <w:t xml:space="preserve">Note: </w:t>
                      </w:r>
                    </w:p>
                    <w:p w14:paraId="6875982B" w14:textId="77777777" w:rsidR="002261A7" w:rsidRPr="002B16D5" w:rsidRDefault="002261A7" w:rsidP="00A60D4B">
                      <w:pPr>
                        <w:pStyle w:val="BNotelist"/>
                        <w:numPr>
                          <w:ilvl w:val="0"/>
                          <w:numId w:val="41"/>
                        </w:numPr>
                        <w:rPr>
                          <w:rFonts w:asciiTheme="minorHAnsi" w:eastAsiaTheme="minorEastAsia" w:hAnsiTheme="minorHAnsi"/>
                          <w:color w:val="150045"/>
                          <w:szCs w:val="18"/>
                        </w:rPr>
                      </w:pPr>
                      <w:r w:rsidRPr="002B16D5">
                        <w:rPr>
                          <w:color w:val="150045"/>
                        </w:rPr>
                        <w:t>For units, marginal rates are applied to the AUV of the block proportionate to its total residential unit entitlement. The overall rates for the block are then multiplied by the unit entitlement, proportionate to the total residential unit entitlement of the block.</w:t>
                      </w:r>
                    </w:p>
                    <w:p w14:paraId="025B8F14" w14:textId="77777777" w:rsidR="002261A7" w:rsidRPr="002B16D5" w:rsidRDefault="002261A7">
                      <w:pPr>
                        <w:rPr>
                          <w:color w:val="150045"/>
                        </w:rPr>
                      </w:pPr>
                    </w:p>
                  </w:txbxContent>
                </v:textbox>
                <w10:wrap type="square" anchorx="margin"/>
              </v:shape>
            </w:pict>
          </mc:Fallback>
        </mc:AlternateContent>
      </w:r>
      <w:r w:rsidRPr="00F32077">
        <w:t xml:space="preserve">The rating system in 2021-22 for rural general rates has a fixed charge of $173 and a rating factor of 0.1510 per cent applied to the AUV of rural properties. </w:t>
      </w:r>
    </w:p>
    <w:p w14:paraId="61291C8F" w14:textId="77777777" w:rsidR="00A60D4B" w:rsidRPr="00F32077" w:rsidRDefault="00A60D4B" w:rsidP="00A60D4B">
      <w:pPr>
        <w:pStyle w:val="Bbodytext"/>
      </w:pPr>
      <w:r w:rsidRPr="00F32077">
        <w:t>In 2020-21 the Government will increase the cap on the pensioner rebate by $50</w:t>
      </w:r>
      <w:r>
        <w:t xml:space="preserve"> (see Chapter 3.2</w:t>
      </w:r>
      <w:r w:rsidRPr="00BE0C93">
        <w:t xml:space="preserve"> </w:t>
      </w:r>
      <w:r>
        <w:t>for more information)</w:t>
      </w:r>
      <w:r w:rsidRPr="00F32077">
        <w:t>. This rebate is capped at $750 per household for people who entered the concession program after 1 July 1997.</w:t>
      </w:r>
    </w:p>
    <w:p w14:paraId="013978E3" w14:textId="77777777" w:rsidR="00A60D4B" w:rsidRPr="00510954" w:rsidRDefault="00A60D4B" w:rsidP="00A60D4B">
      <w:pPr>
        <w:pStyle w:val="Heading4"/>
      </w:pPr>
      <w:r>
        <w:lastRenderedPageBreak/>
        <w:t>Land tax</w:t>
      </w:r>
    </w:p>
    <w:p w14:paraId="14DF5543" w14:textId="77777777" w:rsidR="00A60D4B" w:rsidRDefault="00A60D4B" w:rsidP="00A60D4B">
      <w:pPr>
        <w:pStyle w:val="Bbodytext"/>
        <w:keepNext/>
        <w:keepLines/>
      </w:pPr>
      <w:r>
        <w:t>The interim outcome for land tax revenue is $149.1 million in 2020-21, which is $1.7 million (1.1 per cent) higher than the 2020-21 Budget estimate. This reflects stronger than expected activity and prices in the Territory’s residential property market and lower than anticipated take-up of the residential tenancy relief program.</w:t>
      </w:r>
      <w:r w:rsidRPr="00FC5DEC">
        <w:t xml:space="preserve"> </w:t>
      </w:r>
    </w:p>
    <w:p w14:paraId="56D6B90A" w14:textId="77777777" w:rsidR="00A60D4B" w:rsidRDefault="00A60D4B" w:rsidP="00A60D4B">
      <w:pPr>
        <w:pStyle w:val="Bbodytext"/>
        <w:keepNext/>
        <w:keepLines/>
      </w:pPr>
      <w:r w:rsidRPr="00FC5DEC">
        <w:t>Land</w:t>
      </w:r>
      <w:r>
        <w:t xml:space="preserve"> tax revenue is forecast to increase to $158.0 million in 2021-22 due to the buoyant property market, offset in part by the reintroduction of residential tenancy relief program as part of the Government’s COVID-19 response. </w:t>
      </w:r>
      <w:r w:rsidRPr="009E2B0F">
        <w:t>Land tax credits are available to residential landlords who reduce rent charged to tenants who have lost income due to COVID-19, from 1 August to 31 December 2021.</w:t>
      </w:r>
    </w:p>
    <w:p w14:paraId="0685A7D7" w14:textId="77777777" w:rsidR="00A60D4B" w:rsidRDefault="00A60D4B" w:rsidP="00A60D4B">
      <w:pPr>
        <w:pStyle w:val="Bbodytext"/>
      </w:pPr>
      <w:r>
        <w:t>Over the forecast period, land tax is expected to increase to $188.7 million in 2024</w:t>
      </w:r>
      <w:r>
        <w:noBreakHyphen/>
        <w:t xml:space="preserve">25 with an average annual rate of growth of 6.1 per cent over the period 2021-22 to 2024-25, higher than the pre-pandemic growth rate of 4.7 per cent per annum on average. This reflects larger than average increases in both housing prices and the stock of investment properties. </w:t>
      </w:r>
    </w:p>
    <w:p w14:paraId="50848DD0" w14:textId="77777777" w:rsidR="00A60D4B" w:rsidRPr="00A81F4B" w:rsidRDefault="00A60D4B" w:rsidP="00A60D4B">
      <w:pPr>
        <w:pStyle w:val="Bbodytext"/>
      </w:pPr>
      <w:r>
        <w:rPr>
          <w:noProof/>
        </w:rPr>
        <mc:AlternateContent>
          <mc:Choice Requires="wps">
            <w:drawing>
              <wp:anchor distT="45720" distB="45720" distL="114300" distR="114300" simplePos="0" relativeHeight="251964416" behindDoc="0" locked="0" layoutInCell="1" allowOverlap="1" wp14:anchorId="65E1DA9E" wp14:editId="248CC5E7">
                <wp:simplePos x="0" y="0"/>
                <wp:positionH relativeFrom="margin">
                  <wp:align>right</wp:align>
                </wp:positionH>
                <wp:positionV relativeFrom="paragraph">
                  <wp:posOffset>925830</wp:posOffset>
                </wp:positionV>
                <wp:extent cx="5720080" cy="1784350"/>
                <wp:effectExtent l="0" t="0" r="0" b="6350"/>
                <wp:wrapSquare wrapText="bothSides"/>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0080" cy="1784908"/>
                        </a:xfrm>
                        <a:prstGeom prst="rect">
                          <a:avLst/>
                        </a:prstGeom>
                        <a:solidFill>
                          <a:schemeClr val="bg1">
                            <a:lumMod val="95000"/>
                          </a:schemeClr>
                        </a:solidFill>
                        <a:ln w="9525">
                          <a:noFill/>
                          <a:miter lim="800000"/>
                          <a:headEnd/>
                          <a:tailEnd/>
                        </a:ln>
                      </wps:spPr>
                      <wps:txbx>
                        <w:txbxContent>
                          <w:p w14:paraId="6768FF93" w14:textId="77777777" w:rsidR="002261A7" w:rsidRPr="002B16D5" w:rsidRDefault="002261A7" w:rsidP="00A60D4B">
                            <w:pPr>
                              <w:pStyle w:val="Bbodytext"/>
                              <w:spacing w:before="0"/>
                              <w:rPr>
                                <w:b/>
                                <w:bCs/>
                                <w:color w:val="150045"/>
                                <w:highlight w:val="yellow"/>
                              </w:rPr>
                            </w:pPr>
                            <w:r w:rsidRPr="002B16D5">
                              <w:rPr>
                                <w:b/>
                                <w:bCs/>
                                <w:color w:val="150045"/>
                              </w:rPr>
                              <w:t>Table 3.5.7 shows the land tax marginal rates that apply to residential properties in 2021-22.</w:t>
                            </w:r>
                          </w:p>
                          <w:p w14:paraId="4221A356" w14:textId="7177428E" w:rsidR="002261A7" w:rsidRPr="002B16D5" w:rsidRDefault="002261A7" w:rsidP="00A60D4B">
                            <w:pPr>
                              <w:pStyle w:val="Caption"/>
                              <w:rPr>
                                <w:b w:val="0"/>
                                <w:iCs w:val="0"/>
                                <w:color w:val="150045"/>
                                <w:sz w:val="24"/>
                                <w:szCs w:val="24"/>
                              </w:rPr>
                            </w:pPr>
                            <w:r w:rsidRPr="002B16D5">
                              <w:rPr>
                                <w:color w:val="150045"/>
                              </w:rPr>
                              <w:t xml:space="preserve">Table </w:t>
                            </w:r>
                            <w:r w:rsidRPr="002B16D5">
                              <w:rPr>
                                <w:color w:val="150045"/>
                              </w:rPr>
                              <w:fldChar w:fldCharType="begin"/>
                            </w:r>
                            <w:r w:rsidRPr="002B16D5">
                              <w:rPr>
                                <w:color w:val="150045"/>
                              </w:rPr>
                              <w:instrText xml:space="preserve"> STYLEREF 2 \s </w:instrText>
                            </w:r>
                            <w:r w:rsidRPr="002B16D5">
                              <w:rPr>
                                <w:color w:val="150045"/>
                              </w:rPr>
                              <w:fldChar w:fldCharType="separate"/>
                            </w:r>
                            <w:r w:rsidR="00F12A80">
                              <w:rPr>
                                <w:noProof/>
                                <w:color w:val="150045"/>
                              </w:rPr>
                              <w:t>3.5</w:t>
                            </w:r>
                            <w:r w:rsidRPr="002B16D5">
                              <w:rPr>
                                <w:noProof/>
                                <w:color w:val="150045"/>
                              </w:rPr>
                              <w:fldChar w:fldCharType="end"/>
                            </w:r>
                            <w:r w:rsidRPr="002B16D5">
                              <w:rPr>
                                <w:color w:val="150045"/>
                              </w:rPr>
                              <w:t>.</w:t>
                            </w:r>
                            <w:r w:rsidRPr="002B16D5">
                              <w:rPr>
                                <w:color w:val="150045"/>
                              </w:rPr>
                              <w:fldChar w:fldCharType="begin"/>
                            </w:r>
                            <w:r w:rsidRPr="002B16D5">
                              <w:rPr>
                                <w:color w:val="150045"/>
                              </w:rPr>
                              <w:instrText xml:space="preserve"> SEQ Table \* ARABIC \s 2 </w:instrText>
                            </w:r>
                            <w:r w:rsidRPr="002B16D5">
                              <w:rPr>
                                <w:color w:val="150045"/>
                              </w:rPr>
                              <w:fldChar w:fldCharType="separate"/>
                            </w:r>
                            <w:r w:rsidR="00F12A80">
                              <w:rPr>
                                <w:noProof/>
                                <w:color w:val="150045"/>
                              </w:rPr>
                              <w:t>7</w:t>
                            </w:r>
                            <w:r w:rsidRPr="002B16D5">
                              <w:rPr>
                                <w:noProof/>
                                <w:color w:val="150045"/>
                              </w:rPr>
                              <w:fldChar w:fldCharType="end"/>
                            </w:r>
                            <w:r w:rsidRPr="002B16D5">
                              <w:rPr>
                                <w:color w:val="150045"/>
                              </w:rPr>
                              <w:t>: Land tax – marginal rates</w:t>
                            </w:r>
                          </w:p>
                          <w:tbl>
                            <w:tblPr>
                              <w:tblW w:w="0" w:type="auto"/>
                              <w:jc w:val="center"/>
                              <w:tblLook w:val="04A0" w:firstRow="1" w:lastRow="0" w:firstColumn="1" w:lastColumn="0" w:noHBand="0" w:noVBand="1"/>
                            </w:tblPr>
                            <w:tblGrid>
                              <w:gridCol w:w="2551"/>
                              <w:gridCol w:w="1984"/>
                            </w:tblGrid>
                            <w:tr w:rsidR="002261A7" w:rsidRPr="00AC5BE1" w14:paraId="0FF544F6" w14:textId="77777777" w:rsidTr="00A60D4B">
                              <w:trPr>
                                <w:trHeight w:val="227"/>
                                <w:tblHeader/>
                                <w:jc w:val="center"/>
                              </w:trPr>
                              <w:tc>
                                <w:tcPr>
                                  <w:tcW w:w="2551" w:type="dxa"/>
                                  <w:tcBorders>
                                    <w:top w:val="single" w:sz="4" w:space="0" w:color="auto"/>
                                    <w:left w:val="nil"/>
                                    <w:bottom w:val="single" w:sz="4" w:space="0" w:color="auto"/>
                                    <w:right w:val="nil"/>
                                  </w:tcBorders>
                                  <w:shd w:val="clear" w:color="auto" w:fill="472D8C"/>
                                  <w:noWrap/>
                                  <w:hideMark/>
                                </w:tcPr>
                                <w:p w14:paraId="1F83FA87" w14:textId="77777777" w:rsidR="002261A7" w:rsidRPr="00AC5BE1" w:rsidRDefault="002261A7" w:rsidP="00A60D4B">
                                  <w:pPr>
                                    <w:pStyle w:val="BTableHeadingRowCentreAlign"/>
                                    <w:jc w:val="left"/>
                                    <w:rPr>
                                      <w:rFonts w:eastAsia="Times New Roman" w:cs="Times New Roman"/>
                                      <w:b w:val="0"/>
                                      <w:bCs/>
                                      <w:color w:val="FFFFFF" w:themeColor="background1"/>
                                      <w:sz w:val="24"/>
                                      <w:szCs w:val="24"/>
                                    </w:rPr>
                                  </w:pPr>
                                  <w:r w:rsidRPr="00AC5BE1">
                                    <w:rPr>
                                      <w:color w:val="FFFFFF" w:themeColor="background1"/>
                                    </w:rPr>
                                    <w:t>AUV threshold</w:t>
                                  </w:r>
                                </w:p>
                              </w:tc>
                              <w:tc>
                                <w:tcPr>
                                  <w:tcW w:w="1984" w:type="dxa"/>
                                  <w:tcBorders>
                                    <w:top w:val="single" w:sz="4" w:space="0" w:color="auto"/>
                                    <w:left w:val="nil"/>
                                    <w:bottom w:val="single" w:sz="4" w:space="0" w:color="auto"/>
                                    <w:right w:val="nil"/>
                                  </w:tcBorders>
                                  <w:shd w:val="clear" w:color="auto" w:fill="472D8C"/>
                                </w:tcPr>
                                <w:p w14:paraId="252ED02E" w14:textId="77777777" w:rsidR="002261A7" w:rsidRPr="00AC5BE1" w:rsidRDefault="002261A7" w:rsidP="00A60D4B">
                                  <w:pPr>
                                    <w:spacing w:after="0" w:line="240" w:lineRule="auto"/>
                                    <w:ind w:left="227" w:hanging="227"/>
                                    <w:jc w:val="right"/>
                                    <w:rPr>
                                      <w:rFonts w:ascii="Calibri" w:eastAsia="Times New Roman" w:hAnsi="Calibri" w:cs="Times New Roman"/>
                                      <w:b/>
                                      <w:bCs/>
                                      <w:color w:val="FFFFFF" w:themeColor="background1"/>
                                      <w:sz w:val="24"/>
                                      <w:szCs w:val="24"/>
                                      <w:lang w:eastAsia="en-AU"/>
                                    </w:rPr>
                                  </w:pPr>
                                  <w:r w:rsidRPr="00AC5BE1">
                                    <w:rPr>
                                      <w:rFonts w:ascii="Calibri" w:hAnsi="Calibri"/>
                                      <w:b/>
                                      <w:color w:val="FFFFFF" w:themeColor="background1"/>
                                      <w:sz w:val="20"/>
                                      <w:lang w:eastAsia="en-AU"/>
                                    </w:rPr>
                                    <w:t>Marginal rates %</w:t>
                                  </w:r>
                                </w:p>
                              </w:tc>
                            </w:tr>
                            <w:tr w:rsidR="002261A7" w:rsidRPr="00AC5BE1" w14:paraId="7F64D265"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4F635973" w14:textId="77777777" w:rsidR="002261A7" w:rsidRPr="00AC5BE1" w:rsidRDefault="002261A7" w:rsidP="00A60D4B">
                                  <w:pPr>
                                    <w:pStyle w:val="Btabletextunbold"/>
                                  </w:pPr>
                                  <w:r w:rsidRPr="00AC5BE1">
                                    <w:t>$0 to $150,000</w:t>
                                  </w:r>
                                </w:p>
                              </w:tc>
                              <w:tc>
                                <w:tcPr>
                                  <w:tcW w:w="1984" w:type="dxa"/>
                                  <w:tcBorders>
                                    <w:top w:val="nil"/>
                                    <w:left w:val="nil"/>
                                    <w:bottom w:val="nil"/>
                                    <w:right w:val="nil"/>
                                  </w:tcBorders>
                                  <w:shd w:val="clear" w:color="auto" w:fill="F2F2F2" w:themeFill="background1" w:themeFillShade="F2"/>
                                </w:tcPr>
                                <w:p w14:paraId="316B6094" w14:textId="77777777" w:rsidR="002261A7" w:rsidRPr="00AC5BE1" w:rsidRDefault="002261A7" w:rsidP="00A60D4B">
                                  <w:pPr>
                                    <w:pStyle w:val="Btablefigureunbold"/>
                                  </w:pPr>
                                  <w:r w:rsidRPr="00AC5BE1">
                                    <w:t>0.54</w:t>
                                  </w:r>
                                </w:p>
                              </w:tc>
                            </w:tr>
                            <w:tr w:rsidR="002261A7" w:rsidRPr="00AC5BE1" w14:paraId="2B7E101E"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59E87B94" w14:textId="77777777" w:rsidR="002261A7" w:rsidRPr="00AC5BE1" w:rsidRDefault="002261A7" w:rsidP="00A60D4B">
                                  <w:pPr>
                                    <w:pStyle w:val="Btabletextunbold"/>
                                  </w:pPr>
                                  <w:r w:rsidRPr="00AC5BE1">
                                    <w:t>$150,001 to $275,000</w:t>
                                  </w:r>
                                </w:p>
                              </w:tc>
                              <w:tc>
                                <w:tcPr>
                                  <w:tcW w:w="1984" w:type="dxa"/>
                                  <w:tcBorders>
                                    <w:top w:val="nil"/>
                                    <w:left w:val="nil"/>
                                    <w:bottom w:val="nil"/>
                                    <w:right w:val="nil"/>
                                  </w:tcBorders>
                                  <w:shd w:val="clear" w:color="auto" w:fill="F2F2F2" w:themeFill="background1" w:themeFillShade="F2"/>
                                </w:tcPr>
                                <w:p w14:paraId="46D9C597" w14:textId="77777777" w:rsidR="002261A7" w:rsidRPr="00AC5BE1" w:rsidRDefault="002261A7" w:rsidP="00A60D4B">
                                  <w:pPr>
                                    <w:pStyle w:val="Btablefigureunbold"/>
                                  </w:pPr>
                                  <w:r w:rsidRPr="00AC5BE1">
                                    <w:t>0.64</w:t>
                                  </w:r>
                                </w:p>
                              </w:tc>
                            </w:tr>
                            <w:tr w:rsidR="002261A7" w:rsidRPr="00AC5BE1" w14:paraId="6713020A"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1E3D15B5" w14:textId="77777777" w:rsidR="002261A7" w:rsidRPr="00AC5BE1" w:rsidRDefault="002261A7" w:rsidP="00A60D4B">
                                  <w:pPr>
                                    <w:pStyle w:val="Btabletextunbold"/>
                                  </w:pPr>
                                  <w:r w:rsidRPr="00AC5BE1">
                                    <w:t>$275,001 to $2,000,000</w:t>
                                  </w:r>
                                </w:p>
                              </w:tc>
                              <w:tc>
                                <w:tcPr>
                                  <w:tcW w:w="1984" w:type="dxa"/>
                                  <w:tcBorders>
                                    <w:top w:val="nil"/>
                                    <w:left w:val="nil"/>
                                    <w:bottom w:val="nil"/>
                                    <w:right w:val="nil"/>
                                  </w:tcBorders>
                                  <w:shd w:val="clear" w:color="auto" w:fill="F2F2F2" w:themeFill="background1" w:themeFillShade="F2"/>
                                </w:tcPr>
                                <w:p w14:paraId="28768D2F" w14:textId="77777777" w:rsidR="002261A7" w:rsidRPr="00AC5BE1" w:rsidRDefault="002261A7" w:rsidP="00A60D4B">
                                  <w:pPr>
                                    <w:pStyle w:val="Btablefigureunbold"/>
                                  </w:pPr>
                                  <w:r w:rsidRPr="00AC5BE1">
                                    <w:t>1.12</w:t>
                                  </w:r>
                                </w:p>
                              </w:tc>
                            </w:tr>
                            <w:tr w:rsidR="002261A7" w:rsidRPr="00D22C94" w14:paraId="1DE515BE" w14:textId="77777777" w:rsidTr="00A60D4B">
                              <w:trPr>
                                <w:trHeight w:val="227"/>
                                <w:jc w:val="center"/>
                              </w:trPr>
                              <w:tc>
                                <w:tcPr>
                                  <w:tcW w:w="2551" w:type="dxa"/>
                                  <w:tcBorders>
                                    <w:top w:val="nil"/>
                                    <w:left w:val="nil"/>
                                    <w:bottom w:val="single" w:sz="4" w:space="0" w:color="auto"/>
                                    <w:right w:val="nil"/>
                                  </w:tcBorders>
                                  <w:shd w:val="clear" w:color="auto" w:fill="F2F2F2" w:themeFill="background1" w:themeFillShade="F2"/>
                                  <w:noWrap/>
                                  <w:hideMark/>
                                </w:tcPr>
                                <w:p w14:paraId="5F421BCA" w14:textId="77777777" w:rsidR="002261A7" w:rsidRPr="00AC5BE1" w:rsidRDefault="002261A7" w:rsidP="00A60D4B">
                                  <w:pPr>
                                    <w:pStyle w:val="Btabletextunbold"/>
                                  </w:pPr>
                                  <w:r w:rsidRPr="00AC5BE1">
                                    <w:t>$2,000,001+</w:t>
                                  </w:r>
                                </w:p>
                              </w:tc>
                              <w:tc>
                                <w:tcPr>
                                  <w:tcW w:w="1984" w:type="dxa"/>
                                  <w:tcBorders>
                                    <w:top w:val="nil"/>
                                    <w:left w:val="nil"/>
                                    <w:bottom w:val="single" w:sz="4" w:space="0" w:color="auto"/>
                                    <w:right w:val="nil"/>
                                  </w:tcBorders>
                                  <w:shd w:val="clear" w:color="auto" w:fill="F2F2F2" w:themeFill="background1" w:themeFillShade="F2"/>
                                </w:tcPr>
                                <w:p w14:paraId="0630EC47" w14:textId="77777777" w:rsidR="002261A7" w:rsidRPr="00537956" w:rsidRDefault="002261A7" w:rsidP="00A60D4B">
                                  <w:pPr>
                                    <w:pStyle w:val="Btablefigureunbold"/>
                                  </w:pPr>
                                  <w:r w:rsidRPr="00AC5BE1">
                                    <w:t>1.14</w:t>
                                  </w:r>
                                </w:p>
                              </w:tc>
                            </w:tr>
                          </w:tbl>
                          <w:p w14:paraId="787FEB78" w14:textId="77777777" w:rsidR="002261A7" w:rsidRDefault="002261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E1DA9E" id="_x0000_s1037" type="#_x0000_t202" style="position:absolute;margin-left:399.2pt;margin-top:72.9pt;width:450.4pt;height:140.5pt;z-index:2519644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" fillcolor="#f2f2f2 [3052]" stroked="f">
                <v:textbox>
                  <w:txbxContent>
                    <w:p w14:paraId="6768FF93" w14:textId="77777777" w:rsidR="002261A7" w:rsidRPr="002B16D5" w:rsidRDefault="002261A7" w:rsidP="00A60D4B">
                      <w:pPr>
                        <w:pStyle w:val="Bbodytext"/>
                        <w:spacing w:before="0"/>
                        <w:rPr>
                          <w:b/>
                          <w:bCs/>
                          <w:color w:val="150045"/>
                          <w:highlight w:val="yellow"/>
                        </w:rPr>
                      </w:pPr>
                      <w:r w:rsidRPr="002B16D5">
                        <w:rPr>
                          <w:b/>
                          <w:bCs/>
                          <w:color w:val="150045"/>
                        </w:rPr>
                        <w:t>Table 3.5.7 shows the land tax marginal rates that apply to residential properties in 2021-22.</w:t>
                      </w:r>
                    </w:p>
                    <w:p w14:paraId="4221A356" w14:textId="7177428E" w:rsidR="002261A7" w:rsidRPr="002B16D5" w:rsidRDefault="002261A7" w:rsidP="00A60D4B">
                      <w:pPr>
                        <w:pStyle w:val="Caption"/>
                        <w:rPr>
                          <w:b w:val="0"/>
                          <w:iCs w:val="0"/>
                          <w:color w:val="150045"/>
                          <w:sz w:val="24"/>
                          <w:szCs w:val="24"/>
                        </w:rPr>
                      </w:pPr>
                      <w:r w:rsidRPr="002B16D5">
                        <w:rPr>
                          <w:color w:val="150045"/>
                        </w:rPr>
                        <w:t xml:space="preserve">Table </w:t>
                      </w:r>
                      <w:r w:rsidRPr="002B16D5">
                        <w:rPr>
                          <w:color w:val="150045"/>
                        </w:rPr>
                        <w:fldChar w:fldCharType="begin"/>
                      </w:r>
                      <w:r w:rsidRPr="002B16D5">
                        <w:rPr>
                          <w:color w:val="150045"/>
                        </w:rPr>
                        <w:instrText xml:space="preserve"> STYLEREF 2 \s </w:instrText>
                      </w:r>
                      <w:r w:rsidRPr="002B16D5">
                        <w:rPr>
                          <w:color w:val="150045"/>
                        </w:rPr>
                        <w:fldChar w:fldCharType="separate"/>
                      </w:r>
                      <w:r w:rsidR="00F12A80">
                        <w:rPr>
                          <w:noProof/>
                          <w:color w:val="150045"/>
                        </w:rPr>
                        <w:t>3.5</w:t>
                      </w:r>
                      <w:r w:rsidRPr="002B16D5">
                        <w:rPr>
                          <w:noProof/>
                          <w:color w:val="150045"/>
                        </w:rPr>
                        <w:fldChar w:fldCharType="end"/>
                      </w:r>
                      <w:r w:rsidRPr="002B16D5">
                        <w:rPr>
                          <w:color w:val="150045"/>
                        </w:rPr>
                        <w:t>.</w:t>
                      </w:r>
                      <w:r w:rsidRPr="002B16D5">
                        <w:rPr>
                          <w:color w:val="150045"/>
                        </w:rPr>
                        <w:fldChar w:fldCharType="begin"/>
                      </w:r>
                      <w:r w:rsidRPr="002B16D5">
                        <w:rPr>
                          <w:color w:val="150045"/>
                        </w:rPr>
                        <w:instrText xml:space="preserve"> SEQ Table \* ARABIC \s 2 </w:instrText>
                      </w:r>
                      <w:r w:rsidRPr="002B16D5">
                        <w:rPr>
                          <w:color w:val="150045"/>
                        </w:rPr>
                        <w:fldChar w:fldCharType="separate"/>
                      </w:r>
                      <w:r w:rsidR="00F12A80">
                        <w:rPr>
                          <w:noProof/>
                          <w:color w:val="150045"/>
                        </w:rPr>
                        <w:t>7</w:t>
                      </w:r>
                      <w:r w:rsidRPr="002B16D5">
                        <w:rPr>
                          <w:noProof/>
                          <w:color w:val="150045"/>
                        </w:rPr>
                        <w:fldChar w:fldCharType="end"/>
                      </w:r>
                      <w:r w:rsidRPr="002B16D5">
                        <w:rPr>
                          <w:color w:val="150045"/>
                        </w:rPr>
                        <w:t>: Land tax – marginal rates</w:t>
                      </w:r>
                    </w:p>
                    <w:tbl>
                      <w:tblPr>
                        <w:tblW w:w="0" w:type="auto"/>
                        <w:jc w:val="center"/>
                        <w:tblLook w:val="04A0" w:firstRow="1" w:lastRow="0" w:firstColumn="1" w:lastColumn="0" w:noHBand="0" w:noVBand="1"/>
                      </w:tblPr>
                      <w:tblGrid>
                        <w:gridCol w:w="2551"/>
                        <w:gridCol w:w="1984"/>
                      </w:tblGrid>
                      <w:tr w:rsidR="002261A7" w:rsidRPr="00AC5BE1" w14:paraId="0FF544F6" w14:textId="77777777" w:rsidTr="00A60D4B">
                        <w:trPr>
                          <w:trHeight w:val="227"/>
                          <w:tblHeader/>
                          <w:jc w:val="center"/>
                        </w:trPr>
                        <w:tc>
                          <w:tcPr>
                            <w:tcW w:w="2551" w:type="dxa"/>
                            <w:tcBorders>
                              <w:top w:val="single" w:sz="4" w:space="0" w:color="auto"/>
                              <w:left w:val="nil"/>
                              <w:bottom w:val="single" w:sz="4" w:space="0" w:color="auto"/>
                              <w:right w:val="nil"/>
                            </w:tcBorders>
                            <w:shd w:val="clear" w:color="auto" w:fill="472D8C"/>
                            <w:noWrap/>
                            <w:hideMark/>
                          </w:tcPr>
                          <w:p w14:paraId="1F83FA87" w14:textId="77777777" w:rsidR="002261A7" w:rsidRPr="00AC5BE1" w:rsidRDefault="002261A7" w:rsidP="00A60D4B">
                            <w:pPr>
                              <w:pStyle w:val="BTableHeadingRowCentreAlign"/>
                              <w:jc w:val="left"/>
                              <w:rPr>
                                <w:rFonts w:eastAsia="Times New Roman" w:cs="Times New Roman"/>
                                <w:b w:val="0"/>
                                <w:bCs/>
                                <w:color w:val="FFFFFF" w:themeColor="background1"/>
                                <w:sz w:val="24"/>
                                <w:szCs w:val="24"/>
                              </w:rPr>
                            </w:pPr>
                            <w:r w:rsidRPr="00AC5BE1">
                              <w:rPr>
                                <w:color w:val="FFFFFF" w:themeColor="background1"/>
                              </w:rPr>
                              <w:t>AUV threshold</w:t>
                            </w:r>
                          </w:p>
                        </w:tc>
                        <w:tc>
                          <w:tcPr>
                            <w:tcW w:w="1984" w:type="dxa"/>
                            <w:tcBorders>
                              <w:top w:val="single" w:sz="4" w:space="0" w:color="auto"/>
                              <w:left w:val="nil"/>
                              <w:bottom w:val="single" w:sz="4" w:space="0" w:color="auto"/>
                              <w:right w:val="nil"/>
                            </w:tcBorders>
                            <w:shd w:val="clear" w:color="auto" w:fill="472D8C"/>
                          </w:tcPr>
                          <w:p w14:paraId="252ED02E" w14:textId="77777777" w:rsidR="002261A7" w:rsidRPr="00AC5BE1" w:rsidRDefault="002261A7" w:rsidP="00A60D4B">
                            <w:pPr>
                              <w:spacing w:after="0" w:line="240" w:lineRule="auto"/>
                              <w:ind w:left="227" w:hanging="227"/>
                              <w:jc w:val="right"/>
                              <w:rPr>
                                <w:rFonts w:ascii="Calibri" w:eastAsia="Times New Roman" w:hAnsi="Calibri" w:cs="Times New Roman"/>
                                <w:b/>
                                <w:bCs/>
                                <w:color w:val="FFFFFF" w:themeColor="background1"/>
                                <w:sz w:val="24"/>
                                <w:szCs w:val="24"/>
                                <w:lang w:eastAsia="en-AU"/>
                              </w:rPr>
                            </w:pPr>
                            <w:r w:rsidRPr="00AC5BE1">
                              <w:rPr>
                                <w:rFonts w:ascii="Calibri" w:hAnsi="Calibri"/>
                                <w:b/>
                                <w:color w:val="FFFFFF" w:themeColor="background1"/>
                                <w:sz w:val="20"/>
                                <w:lang w:eastAsia="en-AU"/>
                              </w:rPr>
                              <w:t>Marginal rates %</w:t>
                            </w:r>
                          </w:p>
                        </w:tc>
                      </w:tr>
                      <w:tr w:rsidR="002261A7" w:rsidRPr="00AC5BE1" w14:paraId="7F64D265"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4F635973" w14:textId="77777777" w:rsidR="002261A7" w:rsidRPr="00AC5BE1" w:rsidRDefault="002261A7" w:rsidP="00A60D4B">
                            <w:pPr>
                              <w:pStyle w:val="Btabletextunbold"/>
                            </w:pPr>
                            <w:r w:rsidRPr="00AC5BE1">
                              <w:t>$0 to $150,000</w:t>
                            </w:r>
                          </w:p>
                        </w:tc>
                        <w:tc>
                          <w:tcPr>
                            <w:tcW w:w="1984" w:type="dxa"/>
                            <w:tcBorders>
                              <w:top w:val="nil"/>
                              <w:left w:val="nil"/>
                              <w:bottom w:val="nil"/>
                              <w:right w:val="nil"/>
                            </w:tcBorders>
                            <w:shd w:val="clear" w:color="auto" w:fill="F2F2F2" w:themeFill="background1" w:themeFillShade="F2"/>
                          </w:tcPr>
                          <w:p w14:paraId="316B6094" w14:textId="77777777" w:rsidR="002261A7" w:rsidRPr="00AC5BE1" w:rsidRDefault="002261A7" w:rsidP="00A60D4B">
                            <w:pPr>
                              <w:pStyle w:val="Btablefigureunbold"/>
                            </w:pPr>
                            <w:r w:rsidRPr="00AC5BE1">
                              <w:t>0.54</w:t>
                            </w:r>
                          </w:p>
                        </w:tc>
                      </w:tr>
                      <w:tr w:rsidR="002261A7" w:rsidRPr="00AC5BE1" w14:paraId="2B7E101E"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59E87B94" w14:textId="77777777" w:rsidR="002261A7" w:rsidRPr="00AC5BE1" w:rsidRDefault="002261A7" w:rsidP="00A60D4B">
                            <w:pPr>
                              <w:pStyle w:val="Btabletextunbold"/>
                            </w:pPr>
                            <w:r w:rsidRPr="00AC5BE1">
                              <w:t>$150,001 to $275,000</w:t>
                            </w:r>
                          </w:p>
                        </w:tc>
                        <w:tc>
                          <w:tcPr>
                            <w:tcW w:w="1984" w:type="dxa"/>
                            <w:tcBorders>
                              <w:top w:val="nil"/>
                              <w:left w:val="nil"/>
                              <w:bottom w:val="nil"/>
                              <w:right w:val="nil"/>
                            </w:tcBorders>
                            <w:shd w:val="clear" w:color="auto" w:fill="F2F2F2" w:themeFill="background1" w:themeFillShade="F2"/>
                          </w:tcPr>
                          <w:p w14:paraId="46D9C597" w14:textId="77777777" w:rsidR="002261A7" w:rsidRPr="00AC5BE1" w:rsidRDefault="002261A7" w:rsidP="00A60D4B">
                            <w:pPr>
                              <w:pStyle w:val="Btablefigureunbold"/>
                            </w:pPr>
                            <w:r w:rsidRPr="00AC5BE1">
                              <w:t>0.64</w:t>
                            </w:r>
                          </w:p>
                        </w:tc>
                      </w:tr>
                      <w:tr w:rsidR="002261A7" w:rsidRPr="00AC5BE1" w14:paraId="6713020A" w14:textId="77777777" w:rsidTr="00A60D4B">
                        <w:trPr>
                          <w:trHeight w:val="227"/>
                          <w:jc w:val="center"/>
                        </w:trPr>
                        <w:tc>
                          <w:tcPr>
                            <w:tcW w:w="2551" w:type="dxa"/>
                            <w:tcBorders>
                              <w:top w:val="nil"/>
                              <w:left w:val="nil"/>
                              <w:bottom w:val="nil"/>
                              <w:right w:val="nil"/>
                            </w:tcBorders>
                            <w:shd w:val="clear" w:color="auto" w:fill="F2F2F2" w:themeFill="background1" w:themeFillShade="F2"/>
                            <w:noWrap/>
                            <w:hideMark/>
                          </w:tcPr>
                          <w:p w14:paraId="1E3D15B5" w14:textId="77777777" w:rsidR="002261A7" w:rsidRPr="00AC5BE1" w:rsidRDefault="002261A7" w:rsidP="00A60D4B">
                            <w:pPr>
                              <w:pStyle w:val="Btabletextunbold"/>
                            </w:pPr>
                            <w:r w:rsidRPr="00AC5BE1">
                              <w:t>$275,001 to $2,000,000</w:t>
                            </w:r>
                          </w:p>
                        </w:tc>
                        <w:tc>
                          <w:tcPr>
                            <w:tcW w:w="1984" w:type="dxa"/>
                            <w:tcBorders>
                              <w:top w:val="nil"/>
                              <w:left w:val="nil"/>
                              <w:bottom w:val="nil"/>
                              <w:right w:val="nil"/>
                            </w:tcBorders>
                            <w:shd w:val="clear" w:color="auto" w:fill="F2F2F2" w:themeFill="background1" w:themeFillShade="F2"/>
                          </w:tcPr>
                          <w:p w14:paraId="28768D2F" w14:textId="77777777" w:rsidR="002261A7" w:rsidRPr="00AC5BE1" w:rsidRDefault="002261A7" w:rsidP="00A60D4B">
                            <w:pPr>
                              <w:pStyle w:val="Btablefigureunbold"/>
                            </w:pPr>
                            <w:r w:rsidRPr="00AC5BE1">
                              <w:t>1.12</w:t>
                            </w:r>
                          </w:p>
                        </w:tc>
                      </w:tr>
                      <w:tr w:rsidR="002261A7" w:rsidRPr="00D22C94" w14:paraId="1DE515BE" w14:textId="77777777" w:rsidTr="00A60D4B">
                        <w:trPr>
                          <w:trHeight w:val="227"/>
                          <w:jc w:val="center"/>
                        </w:trPr>
                        <w:tc>
                          <w:tcPr>
                            <w:tcW w:w="2551" w:type="dxa"/>
                            <w:tcBorders>
                              <w:top w:val="nil"/>
                              <w:left w:val="nil"/>
                              <w:bottom w:val="single" w:sz="4" w:space="0" w:color="auto"/>
                              <w:right w:val="nil"/>
                            </w:tcBorders>
                            <w:shd w:val="clear" w:color="auto" w:fill="F2F2F2" w:themeFill="background1" w:themeFillShade="F2"/>
                            <w:noWrap/>
                            <w:hideMark/>
                          </w:tcPr>
                          <w:p w14:paraId="5F421BCA" w14:textId="77777777" w:rsidR="002261A7" w:rsidRPr="00AC5BE1" w:rsidRDefault="002261A7" w:rsidP="00A60D4B">
                            <w:pPr>
                              <w:pStyle w:val="Btabletextunbold"/>
                            </w:pPr>
                            <w:r w:rsidRPr="00AC5BE1">
                              <w:t>$2,000,001+</w:t>
                            </w:r>
                          </w:p>
                        </w:tc>
                        <w:tc>
                          <w:tcPr>
                            <w:tcW w:w="1984" w:type="dxa"/>
                            <w:tcBorders>
                              <w:top w:val="nil"/>
                              <w:left w:val="nil"/>
                              <w:bottom w:val="single" w:sz="4" w:space="0" w:color="auto"/>
                              <w:right w:val="nil"/>
                            </w:tcBorders>
                            <w:shd w:val="clear" w:color="auto" w:fill="F2F2F2" w:themeFill="background1" w:themeFillShade="F2"/>
                          </w:tcPr>
                          <w:p w14:paraId="0630EC47" w14:textId="77777777" w:rsidR="002261A7" w:rsidRPr="00537956" w:rsidRDefault="002261A7" w:rsidP="00A60D4B">
                            <w:pPr>
                              <w:pStyle w:val="Btablefigureunbold"/>
                            </w:pPr>
                            <w:r w:rsidRPr="00AC5BE1">
                              <w:t>1.14</w:t>
                            </w:r>
                          </w:p>
                        </w:tc>
                      </w:tr>
                    </w:tbl>
                    <w:p w14:paraId="787FEB78" w14:textId="77777777" w:rsidR="002261A7" w:rsidRDefault="002261A7"/>
                  </w:txbxContent>
                </v:textbox>
                <w10:wrap type="square" anchorx="margin"/>
              </v:shape>
            </w:pict>
          </mc:Fallback>
        </mc:AlternateContent>
      </w:r>
      <w:r w:rsidRPr="00A81F4B">
        <w:t xml:space="preserve">Land tax assessments in 2021-22 are calculated on a valuation-based charge using the AUV for 2021 (which is the average of 2017, 2018, 2019, 2020 and 2021 unimproved land values), and a fixed </w:t>
      </w:r>
      <w:r w:rsidRPr="003519F0">
        <w:t>charge of $1,392.</w:t>
      </w:r>
      <w:r w:rsidRPr="00A81F4B">
        <w:t xml:space="preserve"> Foreign investors who own residential property in the ACT are also liable for a surcharge of 0.75 per cent of the property’s AUV.</w:t>
      </w:r>
    </w:p>
    <w:p w14:paraId="084152F0" w14:textId="77777777" w:rsidR="00A60D4B" w:rsidRPr="00D53D47" w:rsidRDefault="00A60D4B" w:rsidP="00A60D4B">
      <w:pPr>
        <w:pStyle w:val="Bbodytext"/>
      </w:pPr>
      <w:r w:rsidRPr="00D53D47">
        <w:t xml:space="preserve">Over the four-year period to 2023-24, land tax revenue is </w:t>
      </w:r>
      <w:r>
        <w:t>estimated</w:t>
      </w:r>
      <w:r w:rsidRPr="00D53D47">
        <w:t xml:space="preserve"> to be </w:t>
      </w:r>
      <w:r>
        <w:t xml:space="preserve">$14.2 million (2.2 per cent) </w:t>
      </w:r>
      <w:r w:rsidRPr="00D53D47">
        <w:t xml:space="preserve">higher than the estimates in the 2020-21 Budget. </w:t>
      </w:r>
    </w:p>
    <w:p w14:paraId="4D1763A7" w14:textId="77777777" w:rsidR="00A60D4B" w:rsidRDefault="00A60D4B" w:rsidP="00A60D4B">
      <w:pPr>
        <w:pStyle w:val="Heading4"/>
      </w:pPr>
      <w:r>
        <w:t>Conveyance Duty</w:t>
      </w:r>
    </w:p>
    <w:p w14:paraId="1556ECCA" w14:textId="77777777" w:rsidR="00A60D4B" w:rsidRDefault="00A60D4B" w:rsidP="00A60D4B">
      <w:pPr>
        <w:pStyle w:val="Bbodytext"/>
      </w:pPr>
      <w:bookmarkStart w:id="82" w:name="_Toc62206620"/>
      <w:bookmarkStart w:id="83" w:name="_Hlk48921919"/>
      <w:r>
        <w:rPr>
          <w:noProof/>
        </w:rPr>
        <mc:AlternateContent>
          <mc:Choice Requires="wps">
            <w:drawing>
              <wp:anchor distT="45720" distB="45720" distL="114300" distR="114300" simplePos="0" relativeHeight="251965440" behindDoc="0" locked="0" layoutInCell="1" allowOverlap="1" wp14:anchorId="4790F4FA" wp14:editId="1F12EE4B">
                <wp:simplePos x="0" y="0"/>
                <wp:positionH relativeFrom="margin">
                  <wp:posOffset>3388550</wp:posOffset>
                </wp:positionH>
                <wp:positionV relativeFrom="paragraph">
                  <wp:posOffset>81280</wp:posOffset>
                </wp:positionV>
                <wp:extent cx="2360930" cy="1470025"/>
                <wp:effectExtent l="0" t="0" r="0" b="0"/>
                <wp:wrapSquare wrapText="bothSides"/>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70025"/>
                        </a:xfrm>
                        <a:prstGeom prst="rect">
                          <a:avLst/>
                        </a:prstGeom>
                        <a:noFill/>
                        <a:ln w="9525">
                          <a:noFill/>
                          <a:miter lim="800000"/>
                          <a:headEnd/>
                          <a:tailEnd/>
                        </a:ln>
                      </wps:spPr>
                      <wps:txbx>
                        <w:txbxContent>
                          <w:p w14:paraId="6D69DAC9" w14:textId="77777777" w:rsidR="002261A7" w:rsidRPr="002B16D5" w:rsidRDefault="002261A7" w:rsidP="00A60D4B">
                            <w:pPr>
                              <w:jc w:val="center"/>
                              <w:rPr>
                                <w:color w:val="150045"/>
                              </w:rPr>
                            </w:pPr>
                            <w:r w:rsidRPr="002B16D5">
                              <w:rPr>
                                <w:b/>
                                <w:bCs/>
                                <w:color w:val="150045"/>
                              </w:rPr>
                              <w:t>Prior to tax reform, conveyance duty and insurance duty revenue accounted for 26 per cent of our own source revenue base. Insurance duty has been abolished and conveyance duty now accounts for only 12 per cent of the base.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790F4FA" id="_x0000_s1038" type="#_x0000_t202" style="position:absolute;margin-left:266.8pt;margin-top:6.4pt;width:185.9pt;height:115.75pt;z-index:25196544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" filled="f" stroked="f">
                <v:textbox>
                  <w:txbxContent>
                    <w:p w14:paraId="6D69DAC9" w14:textId="77777777" w:rsidR="002261A7" w:rsidRPr="002B16D5" w:rsidRDefault="002261A7" w:rsidP="00A60D4B">
                      <w:pPr>
                        <w:jc w:val="center"/>
                        <w:rPr>
                          <w:color w:val="150045"/>
                        </w:rPr>
                      </w:pPr>
                      <w:r w:rsidRPr="002B16D5">
                        <w:rPr>
                          <w:b/>
                          <w:bCs/>
                          <w:color w:val="150045"/>
                        </w:rPr>
                        <w:t>Prior to tax reform, conveyance duty and insurance duty revenue accounted for 26 per cent of our own source revenue base. Insurance duty has been abolished and conveyance duty now accounts for only 12 per cent of the base.</w:t>
                      </w:r>
                    </w:p>
                  </w:txbxContent>
                </v:textbox>
                <w10:wrap type="square" anchorx="margin"/>
              </v:shape>
            </w:pict>
          </mc:Fallback>
        </mc:AlternateContent>
      </w:r>
      <w:r>
        <w:t xml:space="preserve">As a transaction-based tax, conveyance duty is a much less predictable source of revenue than other property-based taxes as it can vary significantly depending on both activity and prices in the property market. </w:t>
      </w:r>
      <w:r w:rsidRPr="00BE60E3">
        <w:t xml:space="preserve">The </w:t>
      </w:r>
      <w:r w:rsidRPr="00AB2E22">
        <w:t xml:space="preserve">ACT’s tax reform program </w:t>
      </w:r>
      <w:r>
        <w:t>seeks to</w:t>
      </w:r>
      <w:r w:rsidRPr="00AB2E22">
        <w:t xml:space="preserve"> improve the stability and predictability of the ACT’s revenue base into the future </w:t>
      </w:r>
      <w:r>
        <w:t xml:space="preserve">by shifting </w:t>
      </w:r>
      <w:r w:rsidRPr="00AB2E22">
        <w:t>from transaction</w:t>
      </w:r>
      <w:r>
        <w:t xml:space="preserve">-based </w:t>
      </w:r>
      <w:r w:rsidRPr="00AB2E22">
        <w:t xml:space="preserve">taxes </w:t>
      </w:r>
      <w:r>
        <w:t xml:space="preserve">like conveyance duty </w:t>
      </w:r>
      <w:r w:rsidRPr="00AB2E22">
        <w:t xml:space="preserve">to </w:t>
      </w:r>
      <w:r>
        <w:t>broad</w:t>
      </w:r>
      <w:r>
        <w:noBreakHyphen/>
      </w:r>
      <w:r w:rsidRPr="00AB2E22">
        <w:t xml:space="preserve">based </w:t>
      </w:r>
      <w:r>
        <w:t xml:space="preserve">land </w:t>
      </w:r>
      <w:r w:rsidRPr="00AB2E22">
        <w:t>taxes.</w:t>
      </w:r>
      <w:r>
        <w:t xml:space="preserve"> </w:t>
      </w:r>
    </w:p>
    <w:p w14:paraId="42C6C32C" w14:textId="77777777" w:rsidR="00A60D4B" w:rsidRPr="00AB2E22" w:rsidRDefault="00A60D4B" w:rsidP="00A60D4B">
      <w:pPr>
        <w:pStyle w:val="Bbodytext"/>
        <w:keepNext/>
        <w:keepLines/>
      </w:pPr>
      <w:r>
        <w:lastRenderedPageBreak/>
        <w:t xml:space="preserve">As a result of the current strength of the residential property market with historically low interest rates, conveyance duty revenue is expected to be significantly higher than was previously anticipated. Residential conveyance duty forecasts for the four years to 2023-24 have been revised up by around $200 million compared to the 2020-21 Budget. </w:t>
      </w:r>
    </w:p>
    <w:p w14:paraId="5E3A34E4" w14:textId="77777777" w:rsidR="00A60D4B" w:rsidRPr="00BE60E3" w:rsidRDefault="00A60D4B" w:rsidP="00A60D4B">
      <w:pPr>
        <w:pStyle w:val="Bbodytext"/>
        <w:keepNext/>
        <w:keepLines/>
      </w:pPr>
      <w:r w:rsidRPr="00BE60E3">
        <w:t xml:space="preserve">The housing market has been very strong over the course of 2020 </w:t>
      </w:r>
      <w:r>
        <w:t>and in the first half of 2021, with transaction volumes and prices significantly higher than anticipated. This</w:t>
      </w:r>
      <w:r w:rsidRPr="00BE60E3">
        <w:t xml:space="preserve"> has </w:t>
      </w:r>
      <w:r>
        <w:t xml:space="preserve">been </w:t>
      </w:r>
      <w:r w:rsidRPr="00BE60E3">
        <w:t xml:space="preserve">offset </w:t>
      </w:r>
      <w:r>
        <w:t xml:space="preserve">by </w:t>
      </w:r>
      <w:r w:rsidRPr="00BE60E3">
        <w:t>some weakness in the commercial sector. The strength in the housing market</w:t>
      </w:r>
      <w:r>
        <w:t xml:space="preserve"> across Australia and in the ACT</w:t>
      </w:r>
      <w:r w:rsidRPr="00BE60E3">
        <w:t xml:space="preserve"> is expected to continue to mid</w:t>
      </w:r>
      <w:r>
        <w:noBreakHyphen/>
      </w:r>
      <w:r w:rsidRPr="00BE60E3">
        <w:t xml:space="preserve">2022 before moderating </w:t>
      </w:r>
      <w:r>
        <w:t>over the rest of the forward estimates</w:t>
      </w:r>
      <w:r w:rsidRPr="00BE60E3">
        <w:t xml:space="preserve">. The commercial property market is expected to improve in 2021-22 and over the forward estimates. As a result, total conveyance duty revenue over the </w:t>
      </w:r>
      <w:r>
        <w:t>Budget and forward estimates period</w:t>
      </w:r>
      <w:r w:rsidRPr="00BE60E3">
        <w:t xml:space="preserve"> is forecast to be </w:t>
      </w:r>
      <w:r>
        <w:t>$1.2 billion, with $351.0 million expected to be collected in 2021-22, $105 </w:t>
      </w:r>
      <w:r w:rsidRPr="00BE60E3">
        <w:t xml:space="preserve">million higher than </w:t>
      </w:r>
      <w:r>
        <w:t>the interim outcome of $246 million for 2020</w:t>
      </w:r>
      <w:r>
        <w:noBreakHyphen/>
        <w:t>21.</w:t>
      </w:r>
    </w:p>
    <w:p w14:paraId="7A0BFAB9" w14:textId="77777777" w:rsidR="00A60D4B" w:rsidRDefault="00A60D4B" w:rsidP="00A60D4B">
      <w:pPr>
        <w:pStyle w:val="Bbodytext"/>
      </w:pPr>
      <w:r w:rsidRPr="00BE60E3">
        <w:t xml:space="preserve">Through the tax reform program, the Government remains committed to </w:t>
      </w:r>
      <w:r>
        <w:t xml:space="preserve">ensuring that the program is revenue neutral, with increases in general rates above WPI being used to reduce </w:t>
      </w:r>
      <w:r w:rsidRPr="00BE60E3">
        <w:t>conveyance duty</w:t>
      </w:r>
      <w:r>
        <w:t xml:space="preserve">. </w:t>
      </w:r>
    </w:p>
    <w:p w14:paraId="389E7AA0" w14:textId="77777777" w:rsidR="00A60D4B" w:rsidRPr="00AB2E22" w:rsidRDefault="00A60D4B" w:rsidP="00A60D4B">
      <w:pPr>
        <w:pStyle w:val="Bbodytext"/>
      </w:pPr>
      <w:r w:rsidRPr="00690207">
        <w:rPr>
          <w:b/>
          <w:bCs/>
        </w:rPr>
        <w:t>The Government is continuing to reduce conveyance duty rates in every Territory Budget.</w:t>
      </w:r>
      <w:r>
        <w:t xml:space="preserve"> In 2021-22, this will be through a lower marginal tax rate on dutiable value under $200,000 for owner occupier residential transactions (reducing duty by up </w:t>
      </w:r>
      <w:r w:rsidRPr="00FE7582">
        <w:t>to $</w:t>
      </w:r>
      <w:r w:rsidRPr="00F32077">
        <w:t>1,040</w:t>
      </w:r>
      <w:r w:rsidRPr="00FE7582">
        <w:t>) and</w:t>
      </w:r>
      <w:r>
        <w:t xml:space="preserve"> an increase of $100,000 in the tax-free threshold for commercial transactions. The Government has also abolished conveyance duty on off-the-plan unit purchases of $500,000 or below for owner occupiers. </w:t>
      </w:r>
    </w:p>
    <w:p w14:paraId="32D329DD" w14:textId="77777777" w:rsidR="00A60D4B" w:rsidRPr="00D8348C" w:rsidRDefault="00A60D4B" w:rsidP="00A60D4B">
      <w:pPr>
        <w:pStyle w:val="Heading5"/>
      </w:pPr>
      <w:r w:rsidRPr="00D8348C">
        <w:t>Residential conveyance duty</w:t>
      </w:r>
      <w:bookmarkEnd w:id="82"/>
    </w:p>
    <w:p w14:paraId="69F9BFAD" w14:textId="77777777" w:rsidR="00A60D4B" w:rsidRPr="00F056D9" w:rsidRDefault="00A60D4B" w:rsidP="00A60D4B">
      <w:pPr>
        <w:pStyle w:val="Bbodytext"/>
      </w:pPr>
      <w:bookmarkStart w:id="84" w:name="_Toc62206621"/>
      <w:bookmarkEnd w:id="83"/>
      <w:r w:rsidRPr="00F056D9">
        <w:t xml:space="preserve">Residential conveyance duty is forecast to </w:t>
      </w:r>
      <w:r>
        <w:t>peak at</w:t>
      </w:r>
      <w:r w:rsidRPr="00F056D9">
        <w:t xml:space="preserve"> $26</w:t>
      </w:r>
      <w:r>
        <w:t>5.0 </w:t>
      </w:r>
      <w:r w:rsidRPr="00F056D9">
        <w:t>million in 2021-22,</w:t>
      </w:r>
      <w:r>
        <w:t xml:space="preserve"> up from the 2020-21 interim outcome of $214.3 million, as the</w:t>
      </w:r>
      <w:r w:rsidRPr="00F056D9">
        <w:t xml:space="preserve"> strength in the ACT housing market</w:t>
      </w:r>
      <w:r>
        <w:t xml:space="preserve"> continues</w:t>
      </w:r>
      <w:r w:rsidRPr="00F056D9">
        <w:t xml:space="preserve">, </w:t>
      </w:r>
      <w:r>
        <w:t>driven</w:t>
      </w:r>
      <w:r w:rsidRPr="00F056D9">
        <w:t xml:space="preserve"> by record low mortgage </w:t>
      </w:r>
      <w:r>
        <w:t xml:space="preserve">interest </w:t>
      </w:r>
      <w:r w:rsidRPr="00F056D9">
        <w:t xml:space="preserve">rates </w:t>
      </w:r>
      <w:r>
        <w:t>that are not expected to increase for a number of years</w:t>
      </w:r>
      <w:r w:rsidRPr="00F056D9">
        <w:t xml:space="preserve">. </w:t>
      </w:r>
      <w:r>
        <w:t xml:space="preserve">This strength is reflected in the strong growth in Canberra’s dwelling prices, which </w:t>
      </w:r>
      <w:r w:rsidRPr="00F056D9">
        <w:t xml:space="preserve">rose by </w:t>
      </w:r>
      <w:r>
        <w:t>2.2 </w:t>
      </w:r>
      <w:r w:rsidRPr="00F056D9">
        <w:t xml:space="preserve">per cent in </w:t>
      </w:r>
      <w:r>
        <w:t>August</w:t>
      </w:r>
      <w:r w:rsidRPr="00F056D9">
        <w:t xml:space="preserve"> 2021 to be 2</w:t>
      </w:r>
      <w:r>
        <w:t>2</w:t>
      </w:r>
      <w:r w:rsidRPr="00F056D9">
        <w:t>.5 per cent</w:t>
      </w:r>
      <w:r>
        <w:t xml:space="preserve"> higher</w:t>
      </w:r>
      <w:r w:rsidRPr="00F056D9">
        <w:t xml:space="preserve"> over the year</w:t>
      </w:r>
      <w:r>
        <w:t>.</w:t>
      </w:r>
    </w:p>
    <w:p w14:paraId="2D3B3920" w14:textId="77777777" w:rsidR="00A60D4B" w:rsidRDefault="00A60D4B" w:rsidP="00A60D4B">
      <w:pPr>
        <w:pStyle w:val="Bbodytext"/>
      </w:pPr>
      <w:r w:rsidRPr="00F056D9">
        <w:t xml:space="preserve">Over the forward estimates period, activity and prices </w:t>
      </w:r>
      <w:r>
        <w:t>are</w:t>
      </w:r>
      <w:r w:rsidRPr="00F056D9">
        <w:t xml:space="preserve"> expected to </w:t>
      </w:r>
      <w:r>
        <w:t>ease</w:t>
      </w:r>
      <w:r w:rsidRPr="00F056D9">
        <w:t xml:space="preserve"> before stabilising towards the trend in 2024-25 with revenue falling by </w:t>
      </w:r>
      <w:r>
        <w:t>an average rate of around 8.8</w:t>
      </w:r>
      <w:r w:rsidRPr="00F056D9">
        <w:t xml:space="preserve"> per cent per annum</w:t>
      </w:r>
      <w:r>
        <w:t xml:space="preserve"> to $201.2 million in 2024-25</w:t>
      </w:r>
      <w:r w:rsidRPr="00F056D9">
        <w:t xml:space="preserve">. </w:t>
      </w:r>
      <w:r>
        <w:t>Total residential conveyance duty revenue forecast over the forward estimates period is $651.3 million.</w:t>
      </w:r>
    </w:p>
    <w:p w14:paraId="540B3BF8" w14:textId="77777777" w:rsidR="00A60D4B" w:rsidRDefault="00A60D4B" w:rsidP="00A60D4B">
      <w:pPr>
        <w:pStyle w:val="Bbodytext"/>
      </w:pPr>
      <w:r>
        <w:t>Over the four-year period to 2023-24</w:t>
      </w:r>
      <w:r w:rsidRPr="00F056D9">
        <w:t>, residential conveyance duty is expected to be $</w:t>
      </w:r>
      <w:r>
        <w:t>194.7 </w:t>
      </w:r>
      <w:r w:rsidRPr="00F056D9">
        <w:t xml:space="preserve">million </w:t>
      </w:r>
      <w:r>
        <w:t>higher than</w:t>
      </w:r>
      <w:r w:rsidRPr="00F056D9">
        <w:t xml:space="preserve"> the 2020-21 Budget estimates</w:t>
      </w:r>
      <w:r>
        <w:t>, reflecting higher than expected</w:t>
      </w:r>
      <w:r w:rsidRPr="00F056D9">
        <w:t xml:space="preserve"> transaction volumes and price</w:t>
      </w:r>
      <w:r>
        <w:t>s</w:t>
      </w:r>
      <w:r w:rsidRPr="00F056D9">
        <w:t xml:space="preserve">. </w:t>
      </w:r>
      <w:r>
        <w:t xml:space="preserve">This is partially offset by the impact of tax reform and </w:t>
      </w:r>
      <w:r w:rsidRPr="004A7E1A">
        <w:t xml:space="preserve">revenue forgone due to concessions for </w:t>
      </w:r>
      <w:r>
        <w:t>owner occupiers and pensioners.</w:t>
      </w:r>
    </w:p>
    <w:p w14:paraId="4E086D8A" w14:textId="77777777" w:rsidR="00A60D4B" w:rsidRPr="00BF7BFD" w:rsidRDefault="00A60D4B" w:rsidP="00A60D4B">
      <w:pPr>
        <w:pStyle w:val="Bbodytext"/>
      </w:pPr>
      <w:r w:rsidRPr="00BF7BFD">
        <w:t xml:space="preserve">While residential conveyance duty is forecast to be higher than previously anticipated over the forward estimates, this growth, and total conveyance duty revenue, is substantially lower than it would </w:t>
      </w:r>
      <w:r>
        <w:t xml:space="preserve">have </w:t>
      </w:r>
      <w:r w:rsidRPr="00BF7BFD">
        <w:t>be</w:t>
      </w:r>
      <w:r>
        <w:t>en if we had not reformed our tax system</w:t>
      </w:r>
      <w:r w:rsidRPr="00BF7BFD">
        <w:t>. Figure 3.5.</w:t>
      </w:r>
      <w:r>
        <w:t>2</w:t>
      </w:r>
      <w:r w:rsidRPr="00BF7BFD">
        <w:t xml:space="preserve"> below illustrates that forecast conveyance duty revenue would be $704 million higher over the forward estimates without tax reform.</w:t>
      </w:r>
    </w:p>
    <w:p w14:paraId="345F15CF" w14:textId="5739B969" w:rsidR="00A60D4B" w:rsidRPr="0064114E" w:rsidRDefault="00A60D4B" w:rsidP="00A60D4B">
      <w:pPr>
        <w:pStyle w:val="Caption"/>
      </w:pPr>
      <w:r>
        <w:lastRenderedPageBreak/>
        <w:t xml:space="preserve">Figure </w:t>
      </w:r>
      <w:r w:rsidR="00FB4E5C">
        <w:fldChar w:fldCharType="begin"/>
      </w:r>
      <w:r w:rsidR="00FB4E5C">
        <w:instrText xml:space="preserve"> STYLEREF 2 \s </w:instrText>
      </w:r>
      <w:r w:rsidR="00FB4E5C">
        <w:fldChar w:fldCharType="separate"/>
      </w:r>
      <w:r w:rsidR="00F12A80">
        <w:rPr>
          <w:noProof/>
        </w:rPr>
        <w:t>3.5</w:t>
      </w:r>
      <w:r w:rsidR="00FB4E5C">
        <w:rPr>
          <w:noProof/>
        </w:rPr>
        <w:fldChar w:fldCharType="end"/>
      </w:r>
      <w:r>
        <w:t>.</w:t>
      </w:r>
      <w:r w:rsidR="00FB4E5C">
        <w:fldChar w:fldCharType="begin"/>
      </w:r>
      <w:r w:rsidR="00FB4E5C">
        <w:instrText xml:space="preserve"> SEQ Figure \* ARABIC \s 2 </w:instrText>
      </w:r>
      <w:r w:rsidR="00FB4E5C">
        <w:fldChar w:fldCharType="separate"/>
      </w:r>
      <w:r w:rsidR="00F12A80">
        <w:rPr>
          <w:noProof/>
        </w:rPr>
        <w:t>2</w:t>
      </w:r>
      <w:r w:rsidR="00FB4E5C">
        <w:rPr>
          <w:noProof/>
        </w:rPr>
        <w:fldChar w:fldCharType="end"/>
      </w:r>
      <w:r w:rsidRPr="0064114E">
        <w:t xml:space="preserve">: Residential conveyance duty revenue, 2012-13 to 2024-25 </w:t>
      </w:r>
    </w:p>
    <w:p w14:paraId="3ED47566" w14:textId="77777777" w:rsidR="00A60D4B" w:rsidRDefault="00A60D4B" w:rsidP="00A60D4B">
      <w:pPr>
        <w:rPr>
          <w:noProof/>
        </w:rPr>
      </w:pPr>
      <w:r>
        <w:rPr>
          <w:noProof/>
        </w:rPr>
        <w:drawing>
          <wp:inline distT="0" distB="0" distL="0" distR="0" wp14:anchorId="344C740F" wp14:editId="0A15BF66">
            <wp:extent cx="5731510" cy="2856230"/>
            <wp:effectExtent l="0" t="0" r="2540" b="1270"/>
            <wp:docPr id="324" name="Chart 324" descr="Bar chart showing residential conveyance duty with and without tax reform from 2012-13 to 2024-25. The difference in conveyance duty with and without tax reform is generally growing over time, and while forecast residential conveyance duty over the forward estimates is higher, it would have been substantially higher without tax reform.">
              <a:extLst xmlns:a="http://schemas.openxmlformats.org/drawingml/2006/main">
                <a:ext uri="{FF2B5EF4-FFF2-40B4-BE49-F238E27FC236}">
                  <a16:creationId xmlns:a16="http://schemas.microsoft.com/office/drawing/2014/main" id="{7DF6A8CF-58E2-43B2-B38D-0AD1CADDE1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77A8A3AA" w14:textId="77777777" w:rsidR="00A60D4B" w:rsidRPr="0064114E" w:rsidRDefault="00A60D4B" w:rsidP="00A60D4B">
      <w:pPr>
        <w:pStyle w:val="Bbodytext"/>
      </w:pPr>
      <w:r w:rsidRPr="0064114E">
        <w:t>Table 3.5.8 below shows the amount of conveyance duty payable on owner-occupier purchases at different prices in 2021-22, with and without tax reform.</w:t>
      </w:r>
    </w:p>
    <w:p w14:paraId="1B9BBA41" w14:textId="0D43C11A" w:rsidR="00A60D4B" w:rsidRPr="007B4327" w:rsidRDefault="00A60D4B" w:rsidP="00A60D4B">
      <w:pPr>
        <w:pStyle w:val="Caption"/>
      </w:pPr>
      <w:r w:rsidRPr="0064114E">
        <w:t xml:space="preserve">Table </w:t>
      </w:r>
      <w:r w:rsidR="00FB4E5C">
        <w:fldChar w:fldCharType="begin"/>
      </w:r>
      <w:r w:rsidR="00FB4E5C">
        <w:instrText xml:space="preserve"> STYLEREF 2 \s </w:instrText>
      </w:r>
      <w:r w:rsidR="00FB4E5C">
        <w:fldChar w:fldCharType="separate"/>
      </w:r>
      <w:r w:rsidR="00F12A80">
        <w:rPr>
          <w:noProof/>
        </w:rPr>
        <w:t>3.5</w:t>
      </w:r>
      <w:r w:rsidR="00FB4E5C">
        <w:rPr>
          <w:noProof/>
        </w:rPr>
        <w:fldChar w:fldCharType="end"/>
      </w:r>
      <w:r w:rsidRPr="0064114E">
        <w:t>.</w:t>
      </w:r>
      <w:r w:rsidR="00FB4E5C">
        <w:fldChar w:fldCharType="begin"/>
      </w:r>
      <w:r w:rsidR="00FB4E5C">
        <w:instrText xml:space="preserve"> SEQ Table \* ARABIC \s 2 </w:instrText>
      </w:r>
      <w:r w:rsidR="00FB4E5C">
        <w:fldChar w:fldCharType="separate"/>
      </w:r>
      <w:r w:rsidR="00F12A80">
        <w:rPr>
          <w:noProof/>
        </w:rPr>
        <w:t>8</w:t>
      </w:r>
      <w:r w:rsidR="00FB4E5C">
        <w:rPr>
          <w:noProof/>
        </w:rPr>
        <w:fldChar w:fldCharType="end"/>
      </w:r>
      <w:r w:rsidRPr="0064114E">
        <w:t>: Conveyance duty payable on owner-occupier purchases by price (without concessions and not adjusted for inflation)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4"/>
        <w:gridCol w:w="1474"/>
        <w:gridCol w:w="1474"/>
        <w:gridCol w:w="1474"/>
        <w:gridCol w:w="1474"/>
      </w:tblGrid>
      <w:tr w:rsidR="00A60D4B" w:rsidRPr="007B4327" w14:paraId="0FD99AFE" w14:textId="77777777" w:rsidTr="00A60D4B">
        <w:trPr>
          <w:jc w:val="center"/>
        </w:trPr>
        <w:tc>
          <w:tcPr>
            <w:tcW w:w="1474" w:type="dxa"/>
            <w:shd w:val="clear" w:color="auto" w:fill="472D8C"/>
          </w:tcPr>
          <w:p w14:paraId="40450F14" w14:textId="77777777" w:rsidR="00A60D4B" w:rsidRPr="007B4327" w:rsidRDefault="00A60D4B" w:rsidP="00A60D4B">
            <w:pPr>
              <w:jc w:val="right"/>
              <w:rPr>
                <w:b/>
                <w:bCs/>
                <w:color w:val="FFFFFF" w:themeColor="background1"/>
                <w:sz w:val="20"/>
                <w:szCs w:val="20"/>
              </w:rPr>
            </w:pPr>
            <w:r w:rsidRPr="007B4327">
              <w:rPr>
                <w:b/>
                <w:bCs/>
                <w:color w:val="FFFFFF" w:themeColor="background1"/>
                <w:sz w:val="20"/>
                <w:szCs w:val="20"/>
              </w:rPr>
              <w:t>Property price ($)</w:t>
            </w:r>
          </w:p>
        </w:tc>
        <w:tc>
          <w:tcPr>
            <w:tcW w:w="1474" w:type="dxa"/>
            <w:shd w:val="clear" w:color="auto" w:fill="472D8C"/>
          </w:tcPr>
          <w:p w14:paraId="34604656" w14:textId="77777777" w:rsidR="00A60D4B" w:rsidRPr="007B4327" w:rsidRDefault="00A60D4B" w:rsidP="00A60D4B">
            <w:pPr>
              <w:jc w:val="right"/>
              <w:rPr>
                <w:b/>
                <w:bCs/>
                <w:color w:val="FFFFFF" w:themeColor="background1"/>
                <w:sz w:val="20"/>
                <w:szCs w:val="20"/>
              </w:rPr>
            </w:pPr>
            <w:r w:rsidRPr="007B4327">
              <w:rPr>
                <w:b/>
                <w:bCs/>
                <w:color w:val="FFFFFF" w:themeColor="background1"/>
                <w:sz w:val="20"/>
                <w:szCs w:val="20"/>
              </w:rPr>
              <w:t>Without tax reform ($)</w:t>
            </w:r>
          </w:p>
        </w:tc>
        <w:tc>
          <w:tcPr>
            <w:tcW w:w="1474" w:type="dxa"/>
            <w:shd w:val="clear" w:color="auto" w:fill="472D8C"/>
          </w:tcPr>
          <w:p w14:paraId="6C772370" w14:textId="77777777" w:rsidR="00A60D4B" w:rsidRPr="007B4327" w:rsidRDefault="00A60D4B" w:rsidP="00A60D4B">
            <w:pPr>
              <w:jc w:val="right"/>
              <w:rPr>
                <w:b/>
                <w:bCs/>
                <w:color w:val="FFFFFF" w:themeColor="background1"/>
                <w:sz w:val="20"/>
                <w:szCs w:val="20"/>
              </w:rPr>
            </w:pPr>
            <w:r w:rsidRPr="007B4327">
              <w:rPr>
                <w:b/>
                <w:bCs/>
                <w:color w:val="FFFFFF" w:themeColor="background1"/>
                <w:sz w:val="20"/>
                <w:szCs w:val="20"/>
              </w:rPr>
              <w:t>With tax reform ($)</w:t>
            </w:r>
          </w:p>
        </w:tc>
        <w:tc>
          <w:tcPr>
            <w:tcW w:w="1474" w:type="dxa"/>
            <w:shd w:val="clear" w:color="auto" w:fill="472D8C"/>
          </w:tcPr>
          <w:p w14:paraId="3197637E" w14:textId="77777777" w:rsidR="00A60D4B" w:rsidRPr="007B4327" w:rsidRDefault="00A60D4B" w:rsidP="00A60D4B">
            <w:pPr>
              <w:jc w:val="right"/>
              <w:rPr>
                <w:b/>
                <w:bCs/>
                <w:color w:val="FFFFFF" w:themeColor="background1"/>
                <w:sz w:val="20"/>
                <w:szCs w:val="20"/>
              </w:rPr>
            </w:pPr>
            <w:r w:rsidRPr="007B4327">
              <w:rPr>
                <w:b/>
                <w:bCs/>
                <w:color w:val="FFFFFF" w:themeColor="background1"/>
                <w:sz w:val="20"/>
                <w:szCs w:val="20"/>
              </w:rPr>
              <w:t>Difference</w:t>
            </w:r>
          </w:p>
          <w:p w14:paraId="17D0B084" w14:textId="77777777" w:rsidR="00A60D4B" w:rsidRPr="007B4327" w:rsidRDefault="00A60D4B" w:rsidP="00A60D4B">
            <w:pPr>
              <w:jc w:val="right"/>
              <w:rPr>
                <w:b/>
                <w:bCs/>
                <w:color w:val="FFFFFF" w:themeColor="background1"/>
                <w:sz w:val="20"/>
                <w:szCs w:val="20"/>
              </w:rPr>
            </w:pPr>
            <w:r w:rsidRPr="007B4327">
              <w:rPr>
                <w:b/>
                <w:bCs/>
                <w:color w:val="FFFFFF" w:themeColor="background1"/>
                <w:sz w:val="20"/>
                <w:szCs w:val="20"/>
              </w:rPr>
              <w:t>($)</w:t>
            </w:r>
          </w:p>
        </w:tc>
        <w:tc>
          <w:tcPr>
            <w:tcW w:w="1474" w:type="dxa"/>
            <w:shd w:val="clear" w:color="auto" w:fill="472D8C"/>
          </w:tcPr>
          <w:p w14:paraId="3C108654" w14:textId="77777777" w:rsidR="00A60D4B" w:rsidRPr="007B4327" w:rsidRDefault="00A60D4B" w:rsidP="00A60D4B">
            <w:pPr>
              <w:jc w:val="right"/>
              <w:rPr>
                <w:b/>
                <w:bCs/>
                <w:color w:val="FFFFFF" w:themeColor="background1"/>
                <w:sz w:val="20"/>
                <w:szCs w:val="20"/>
              </w:rPr>
            </w:pPr>
            <w:r w:rsidRPr="007B4327">
              <w:rPr>
                <w:b/>
                <w:bCs/>
                <w:color w:val="FFFFFF" w:themeColor="background1"/>
                <w:sz w:val="20"/>
                <w:szCs w:val="20"/>
              </w:rPr>
              <w:t>Difference</w:t>
            </w:r>
          </w:p>
          <w:p w14:paraId="60FE1E34" w14:textId="77777777" w:rsidR="00A60D4B" w:rsidRPr="007B4327" w:rsidRDefault="00A60D4B" w:rsidP="00A60D4B">
            <w:pPr>
              <w:jc w:val="right"/>
              <w:rPr>
                <w:b/>
                <w:bCs/>
                <w:color w:val="FFFFFF" w:themeColor="background1"/>
                <w:sz w:val="20"/>
                <w:szCs w:val="20"/>
              </w:rPr>
            </w:pPr>
            <w:r w:rsidRPr="007B4327">
              <w:rPr>
                <w:b/>
                <w:bCs/>
                <w:color w:val="FFFFFF" w:themeColor="background1"/>
                <w:sz w:val="20"/>
                <w:szCs w:val="20"/>
              </w:rPr>
              <w:t>(%)</w:t>
            </w:r>
          </w:p>
        </w:tc>
      </w:tr>
      <w:tr w:rsidR="00A60D4B" w14:paraId="648771A3" w14:textId="77777777" w:rsidTr="00A60D4B">
        <w:trPr>
          <w:jc w:val="center"/>
        </w:trPr>
        <w:tc>
          <w:tcPr>
            <w:tcW w:w="1474" w:type="dxa"/>
          </w:tcPr>
          <w:p w14:paraId="2A1BBD8B" w14:textId="77777777" w:rsidR="00A60D4B" w:rsidRPr="007B4327" w:rsidRDefault="00A60D4B" w:rsidP="00A60D4B">
            <w:pPr>
              <w:jc w:val="right"/>
              <w:rPr>
                <w:sz w:val="20"/>
                <w:szCs w:val="20"/>
              </w:rPr>
            </w:pPr>
            <w:r w:rsidRPr="007B4327">
              <w:rPr>
                <w:sz w:val="20"/>
                <w:szCs w:val="20"/>
              </w:rPr>
              <w:t>300,000</w:t>
            </w:r>
          </w:p>
        </w:tc>
        <w:tc>
          <w:tcPr>
            <w:tcW w:w="1474" w:type="dxa"/>
          </w:tcPr>
          <w:p w14:paraId="05434AFA" w14:textId="77777777" w:rsidR="00A60D4B" w:rsidRPr="007B4327" w:rsidRDefault="00A60D4B" w:rsidP="00A60D4B">
            <w:pPr>
              <w:jc w:val="right"/>
              <w:rPr>
                <w:sz w:val="20"/>
                <w:szCs w:val="20"/>
              </w:rPr>
            </w:pPr>
            <w:r w:rsidRPr="007B4327">
              <w:rPr>
                <w:sz w:val="20"/>
                <w:szCs w:val="20"/>
              </w:rPr>
              <w:t>9,500</w:t>
            </w:r>
          </w:p>
        </w:tc>
        <w:tc>
          <w:tcPr>
            <w:tcW w:w="1474" w:type="dxa"/>
          </w:tcPr>
          <w:p w14:paraId="01A00542" w14:textId="77777777" w:rsidR="00A60D4B" w:rsidRPr="007B4327" w:rsidRDefault="00A60D4B" w:rsidP="00A60D4B">
            <w:pPr>
              <w:jc w:val="right"/>
              <w:rPr>
                <w:sz w:val="20"/>
                <w:szCs w:val="20"/>
              </w:rPr>
            </w:pPr>
            <w:r w:rsidRPr="007B4327">
              <w:rPr>
                <w:sz w:val="20"/>
                <w:szCs w:val="20"/>
              </w:rPr>
              <w:t>3,560</w:t>
            </w:r>
          </w:p>
        </w:tc>
        <w:tc>
          <w:tcPr>
            <w:tcW w:w="1474" w:type="dxa"/>
            <w:vAlign w:val="center"/>
          </w:tcPr>
          <w:p w14:paraId="72F65D6F" w14:textId="77777777" w:rsidR="00A60D4B" w:rsidRPr="007B4327" w:rsidRDefault="00A60D4B" w:rsidP="00A60D4B">
            <w:pPr>
              <w:jc w:val="right"/>
              <w:rPr>
                <w:sz w:val="20"/>
                <w:szCs w:val="20"/>
              </w:rPr>
            </w:pPr>
            <w:r w:rsidRPr="007B4327">
              <w:rPr>
                <w:rFonts w:ascii="Calibri" w:hAnsi="Calibri" w:cs="Calibri"/>
                <w:color w:val="000000"/>
                <w:sz w:val="20"/>
                <w:szCs w:val="20"/>
              </w:rPr>
              <w:t>-5,940</w:t>
            </w:r>
          </w:p>
        </w:tc>
        <w:tc>
          <w:tcPr>
            <w:tcW w:w="1474" w:type="dxa"/>
            <w:vAlign w:val="center"/>
          </w:tcPr>
          <w:p w14:paraId="706B6ED2" w14:textId="77777777" w:rsidR="00A60D4B" w:rsidRPr="007B4327" w:rsidRDefault="00A60D4B" w:rsidP="00A60D4B">
            <w:pPr>
              <w:jc w:val="right"/>
              <w:rPr>
                <w:sz w:val="20"/>
                <w:szCs w:val="20"/>
              </w:rPr>
            </w:pPr>
            <w:r w:rsidRPr="007B4327">
              <w:rPr>
                <w:rFonts w:ascii="Calibri" w:hAnsi="Calibri" w:cs="Calibri"/>
                <w:color w:val="000000"/>
                <w:sz w:val="20"/>
                <w:szCs w:val="20"/>
              </w:rPr>
              <w:t>-63%</w:t>
            </w:r>
          </w:p>
        </w:tc>
      </w:tr>
      <w:tr w:rsidR="00A60D4B" w14:paraId="5016FBF1" w14:textId="77777777" w:rsidTr="00A60D4B">
        <w:trPr>
          <w:jc w:val="center"/>
        </w:trPr>
        <w:tc>
          <w:tcPr>
            <w:tcW w:w="1474" w:type="dxa"/>
            <w:vAlign w:val="center"/>
          </w:tcPr>
          <w:p w14:paraId="3B1F6417" w14:textId="77777777" w:rsidR="00A60D4B" w:rsidRPr="007B4327" w:rsidRDefault="00A60D4B" w:rsidP="00A60D4B">
            <w:pPr>
              <w:jc w:val="right"/>
              <w:rPr>
                <w:sz w:val="20"/>
                <w:szCs w:val="20"/>
              </w:rPr>
            </w:pPr>
            <w:r w:rsidRPr="007B4327">
              <w:rPr>
                <w:rFonts w:ascii="Calibri" w:hAnsi="Calibri" w:cs="Calibri"/>
                <w:color w:val="000000"/>
                <w:sz w:val="20"/>
                <w:szCs w:val="20"/>
              </w:rPr>
              <w:t>500,000</w:t>
            </w:r>
          </w:p>
        </w:tc>
        <w:tc>
          <w:tcPr>
            <w:tcW w:w="1474" w:type="dxa"/>
            <w:vAlign w:val="center"/>
          </w:tcPr>
          <w:p w14:paraId="3E4F9315" w14:textId="77777777" w:rsidR="00A60D4B" w:rsidRPr="007B4327" w:rsidRDefault="00A60D4B" w:rsidP="00A60D4B">
            <w:pPr>
              <w:jc w:val="right"/>
              <w:rPr>
                <w:sz w:val="20"/>
                <w:szCs w:val="20"/>
              </w:rPr>
            </w:pPr>
            <w:r w:rsidRPr="007B4327">
              <w:rPr>
                <w:rFonts w:ascii="Calibri" w:hAnsi="Calibri" w:cs="Calibri"/>
                <w:color w:val="000000"/>
                <w:sz w:val="20"/>
                <w:szCs w:val="20"/>
              </w:rPr>
              <w:t>20,500</w:t>
            </w:r>
          </w:p>
        </w:tc>
        <w:tc>
          <w:tcPr>
            <w:tcW w:w="1474" w:type="dxa"/>
            <w:vAlign w:val="center"/>
          </w:tcPr>
          <w:p w14:paraId="0DCA6679" w14:textId="77777777" w:rsidR="00A60D4B" w:rsidRPr="007B4327" w:rsidRDefault="00A60D4B" w:rsidP="00A60D4B">
            <w:pPr>
              <w:jc w:val="right"/>
              <w:rPr>
                <w:sz w:val="20"/>
                <w:szCs w:val="20"/>
              </w:rPr>
            </w:pPr>
            <w:r w:rsidRPr="007B4327">
              <w:rPr>
                <w:rFonts w:ascii="Calibri" w:hAnsi="Calibri" w:cs="Calibri"/>
                <w:color w:val="000000"/>
                <w:sz w:val="20"/>
                <w:szCs w:val="20"/>
              </w:rPr>
              <w:t>10,360</w:t>
            </w:r>
          </w:p>
        </w:tc>
        <w:tc>
          <w:tcPr>
            <w:tcW w:w="1474" w:type="dxa"/>
            <w:vAlign w:val="center"/>
          </w:tcPr>
          <w:p w14:paraId="28C9DB44" w14:textId="77777777" w:rsidR="00A60D4B" w:rsidRPr="007B4327" w:rsidRDefault="00A60D4B" w:rsidP="00A60D4B">
            <w:pPr>
              <w:jc w:val="right"/>
              <w:rPr>
                <w:sz w:val="20"/>
                <w:szCs w:val="20"/>
              </w:rPr>
            </w:pPr>
            <w:r w:rsidRPr="007B4327">
              <w:rPr>
                <w:rFonts w:ascii="Calibri" w:hAnsi="Calibri" w:cs="Calibri"/>
                <w:color w:val="000000"/>
                <w:sz w:val="20"/>
                <w:szCs w:val="20"/>
              </w:rPr>
              <w:t>-10,140</w:t>
            </w:r>
          </w:p>
        </w:tc>
        <w:tc>
          <w:tcPr>
            <w:tcW w:w="1474" w:type="dxa"/>
            <w:vAlign w:val="center"/>
          </w:tcPr>
          <w:p w14:paraId="62ED9917" w14:textId="77777777" w:rsidR="00A60D4B" w:rsidRPr="007B4327" w:rsidRDefault="00A60D4B" w:rsidP="00A60D4B">
            <w:pPr>
              <w:jc w:val="right"/>
              <w:rPr>
                <w:sz w:val="20"/>
                <w:szCs w:val="20"/>
              </w:rPr>
            </w:pPr>
            <w:r w:rsidRPr="007B4327">
              <w:rPr>
                <w:rFonts w:ascii="Calibri" w:hAnsi="Calibri" w:cs="Calibri"/>
                <w:color w:val="000000"/>
                <w:sz w:val="20"/>
                <w:szCs w:val="20"/>
              </w:rPr>
              <w:t>-49%</w:t>
            </w:r>
          </w:p>
        </w:tc>
      </w:tr>
      <w:tr w:rsidR="00A60D4B" w14:paraId="0FF19D46" w14:textId="77777777" w:rsidTr="00A60D4B">
        <w:trPr>
          <w:jc w:val="center"/>
        </w:trPr>
        <w:tc>
          <w:tcPr>
            <w:tcW w:w="1474" w:type="dxa"/>
            <w:vAlign w:val="center"/>
          </w:tcPr>
          <w:p w14:paraId="1CCC3EAB" w14:textId="77777777" w:rsidR="00A60D4B" w:rsidRPr="007B4327" w:rsidRDefault="00A60D4B" w:rsidP="00A60D4B">
            <w:pPr>
              <w:jc w:val="right"/>
              <w:rPr>
                <w:sz w:val="20"/>
                <w:szCs w:val="20"/>
              </w:rPr>
            </w:pPr>
            <w:r w:rsidRPr="007B4327">
              <w:rPr>
                <w:rFonts w:ascii="Calibri" w:hAnsi="Calibri" w:cs="Calibri"/>
                <w:color w:val="000000"/>
                <w:sz w:val="20"/>
                <w:szCs w:val="20"/>
              </w:rPr>
              <w:t>600,000</w:t>
            </w:r>
          </w:p>
        </w:tc>
        <w:tc>
          <w:tcPr>
            <w:tcW w:w="1474" w:type="dxa"/>
            <w:vAlign w:val="center"/>
          </w:tcPr>
          <w:p w14:paraId="628CF219" w14:textId="77777777" w:rsidR="00A60D4B" w:rsidRPr="007B4327" w:rsidRDefault="00A60D4B" w:rsidP="00A60D4B">
            <w:pPr>
              <w:jc w:val="right"/>
              <w:rPr>
                <w:sz w:val="20"/>
                <w:szCs w:val="20"/>
              </w:rPr>
            </w:pPr>
            <w:r w:rsidRPr="007B4327">
              <w:rPr>
                <w:rFonts w:ascii="Calibri" w:hAnsi="Calibri" w:cs="Calibri"/>
                <w:color w:val="000000"/>
                <w:sz w:val="20"/>
                <w:szCs w:val="20"/>
              </w:rPr>
              <w:t>26,250</w:t>
            </w:r>
          </w:p>
        </w:tc>
        <w:tc>
          <w:tcPr>
            <w:tcW w:w="1474" w:type="dxa"/>
            <w:vAlign w:val="center"/>
          </w:tcPr>
          <w:p w14:paraId="543089F7" w14:textId="77777777" w:rsidR="00A60D4B" w:rsidRPr="007B4327" w:rsidRDefault="00A60D4B" w:rsidP="00A60D4B">
            <w:pPr>
              <w:jc w:val="right"/>
              <w:rPr>
                <w:sz w:val="20"/>
                <w:szCs w:val="20"/>
              </w:rPr>
            </w:pPr>
            <w:r w:rsidRPr="007B4327">
              <w:rPr>
                <w:rFonts w:ascii="Calibri" w:hAnsi="Calibri" w:cs="Calibri"/>
                <w:color w:val="000000"/>
                <w:sz w:val="20"/>
                <w:szCs w:val="20"/>
              </w:rPr>
              <w:t>14,680</w:t>
            </w:r>
          </w:p>
        </w:tc>
        <w:tc>
          <w:tcPr>
            <w:tcW w:w="1474" w:type="dxa"/>
            <w:vAlign w:val="center"/>
          </w:tcPr>
          <w:p w14:paraId="65299D3F" w14:textId="77777777" w:rsidR="00A60D4B" w:rsidRPr="007B4327" w:rsidRDefault="00A60D4B" w:rsidP="00A60D4B">
            <w:pPr>
              <w:jc w:val="right"/>
              <w:rPr>
                <w:sz w:val="20"/>
                <w:szCs w:val="20"/>
              </w:rPr>
            </w:pPr>
            <w:r w:rsidRPr="007B4327">
              <w:rPr>
                <w:rFonts w:ascii="Calibri" w:hAnsi="Calibri" w:cs="Calibri"/>
                <w:color w:val="000000"/>
                <w:sz w:val="20"/>
                <w:szCs w:val="20"/>
              </w:rPr>
              <w:t>-11,570</w:t>
            </w:r>
          </w:p>
        </w:tc>
        <w:tc>
          <w:tcPr>
            <w:tcW w:w="1474" w:type="dxa"/>
            <w:vAlign w:val="center"/>
          </w:tcPr>
          <w:p w14:paraId="088275E6" w14:textId="77777777" w:rsidR="00A60D4B" w:rsidRPr="007B4327" w:rsidRDefault="00A60D4B" w:rsidP="00A60D4B">
            <w:pPr>
              <w:jc w:val="right"/>
              <w:rPr>
                <w:sz w:val="20"/>
                <w:szCs w:val="20"/>
              </w:rPr>
            </w:pPr>
            <w:r w:rsidRPr="007B4327">
              <w:rPr>
                <w:rFonts w:ascii="Calibri" w:hAnsi="Calibri" w:cs="Calibri"/>
                <w:color w:val="000000"/>
                <w:sz w:val="20"/>
                <w:szCs w:val="20"/>
              </w:rPr>
              <w:t>-44%</w:t>
            </w:r>
          </w:p>
        </w:tc>
      </w:tr>
      <w:tr w:rsidR="00A60D4B" w14:paraId="0DA9E07E" w14:textId="77777777" w:rsidTr="00A60D4B">
        <w:trPr>
          <w:jc w:val="center"/>
        </w:trPr>
        <w:tc>
          <w:tcPr>
            <w:tcW w:w="1474" w:type="dxa"/>
            <w:vAlign w:val="center"/>
          </w:tcPr>
          <w:p w14:paraId="432B3A0E" w14:textId="77777777" w:rsidR="00A60D4B" w:rsidRPr="007B4327" w:rsidRDefault="00A60D4B" w:rsidP="00A60D4B">
            <w:pPr>
              <w:jc w:val="right"/>
              <w:rPr>
                <w:sz w:val="20"/>
                <w:szCs w:val="20"/>
              </w:rPr>
            </w:pPr>
            <w:r w:rsidRPr="007B4327">
              <w:rPr>
                <w:rFonts w:ascii="Calibri" w:hAnsi="Calibri" w:cs="Calibri"/>
                <w:color w:val="000000"/>
                <w:sz w:val="20"/>
                <w:szCs w:val="20"/>
              </w:rPr>
              <w:t>700,000</w:t>
            </w:r>
          </w:p>
        </w:tc>
        <w:tc>
          <w:tcPr>
            <w:tcW w:w="1474" w:type="dxa"/>
            <w:vAlign w:val="center"/>
          </w:tcPr>
          <w:p w14:paraId="6C5F0AB1" w14:textId="77777777" w:rsidR="00A60D4B" w:rsidRPr="007B4327" w:rsidRDefault="00A60D4B" w:rsidP="00A60D4B">
            <w:pPr>
              <w:jc w:val="right"/>
              <w:rPr>
                <w:sz w:val="20"/>
                <w:szCs w:val="20"/>
              </w:rPr>
            </w:pPr>
            <w:r w:rsidRPr="007B4327">
              <w:rPr>
                <w:rFonts w:ascii="Calibri" w:hAnsi="Calibri" w:cs="Calibri"/>
                <w:color w:val="000000"/>
                <w:sz w:val="20"/>
                <w:szCs w:val="20"/>
              </w:rPr>
              <w:t>32,000</w:t>
            </w:r>
          </w:p>
        </w:tc>
        <w:tc>
          <w:tcPr>
            <w:tcW w:w="1474" w:type="dxa"/>
            <w:vAlign w:val="center"/>
          </w:tcPr>
          <w:p w14:paraId="152A1FD0" w14:textId="77777777" w:rsidR="00A60D4B" w:rsidRPr="007B4327" w:rsidRDefault="00A60D4B" w:rsidP="00A60D4B">
            <w:pPr>
              <w:jc w:val="right"/>
              <w:rPr>
                <w:sz w:val="20"/>
                <w:szCs w:val="20"/>
              </w:rPr>
            </w:pPr>
            <w:r w:rsidRPr="007B4327">
              <w:rPr>
                <w:rFonts w:ascii="Calibri" w:hAnsi="Calibri" w:cs="Calibri"/>
                <w:color w:val="000000"/>
                <w:sz w:val="20"/>
                <w:szCs w:val="20"/>
              </w:rPr>
              <w:t>19,000</w:t>
            </w:r>
          </w:p>
        </w:tc>
        <w:tc>
          <w:tcPr>
            <w:tcW w:w="1474" w:type="dxa"/>
            <w:vAlign w:val="center"/>
          </w:tcPr>
          <w:p w14:paraId="0C133D9E" w14:textId="77777777" w:rsidR="00A60D4B" w:rsidRPr="007B4327" w:rsidRDefault="00A60D4B" w:rsidP="00A60D4B">
            <w:pPr>
              <w:jc w:val="right"/>
              <w:rPr>
                <w:sz w:val="20"/>
                <w:szCs w:val="20"/>
              </w:rPr>
            </w:pPr>
            <w:r w:rsidRPr="007B4327">
              <w:rPr>
                <w:rFonts w:ascii="Calibri" w:hAnsi="Calibri" w:cs="Calibri"/>
                <w:color w:val="000000"/>
                <w:sz w:val="20"/>
                <w:szCs w:val="20"/>
              </w:rPr>
              <w:t>-13,000</w:t>
            </w:r>
          </w:p>
        </w:tc>
        <w:tc>
          <w:tcPr>
            <w:tcW w:w="1474" w:type="dxa"/>
            <w:vAlign w:val="center"/>
          </w:tcPr>
          <w:p w14:paraId="592F7BB6" w14:textId="77777777" w:rsidR="00A60D4B" w:rsidRPr="007B4327" w:rsidRDefault="00A60D4B" w:rsidP="00A60D4B">
            <w:pPr>
              <w:jc w:val="right"/>
              <w:rPr>
                <w:sz w:val="20"/>
                <w:szCs w:val="20"/>
              </w:rPr>
            </w:pPr>
            <w:r w:rsidRPr="007B4327">
              <w:rPr>
                <w:rFonts w:ascii="Calibri" w:hAnsi="Calibri" w:cs="Calibri"/>
                <w:color w:val="000000"/>
                <w:sz w:val="20"/>
                <w:szCs w:val="20"/>
              </w:rPr>
              <w:t>-41%</w:t>
            </w:r>
          </w:p>
        </w:tc>
      </w:tr>
      <w:tr w:rsidR="00A60D4B" w14:paraId="185CC640" w14:textId="77777777" w:rsidTr="00A60D4B">
        <w:trPr>
          <w:jc w:val="center"/>
        </w:trPr>
        <w:tc>
          <w:tcPr>
            <w:tcW w:w="1474" w:type="dxa"/>
            <w:vAlign w:val="center"/>
          </w:tcPr>
          <w:p w14:paraId="4916006A" w14:textId="77777777" w:rsidR="00A60D4B" w:rsidRPr="007B4327" w:rsidRDefault="00A60D4B" w:rsidP="00A60D4B">
            <w:pPr>
              <w:jc w:val="right"/>
              <w:rPr>
                <w:sz w:val="20"/>
                <w:szCs w:val="20"/>
              </w:rPr>
            </w:pPr>
            <w:r w:rsidRPr="007B4327">
              <w:rPr>
                <w:rFonts w:ascii="Calibri" w:hAnsi="Calibri" w:cs="Calibri"/>
                <w:color w:val="000000"/>
                <w:sz w:val="20"/>
                <w:szCs w:val="20"/>
              </w:rPr>
              <w:t>800,000</w:t>
            </w:r>
          </w:p>
        </w:tc>
        <w:tc>
          <w:tcPr>
            <w:tcW w:w="1474" w:type="dxa"/>
            <w:vAlign w:val="center"/>
          </w:tcPr>
          <w:p w14:paraId="6C1AB6A6" w14:textId="77777777" w:rsidR="00A60D4B" w:rsidRPr="007B4327" w:rsidRDefault="00A60D4B" w:rsidP="00A60D4B">
            <w:pPr>
              <w:jc w:val="right"/>
              <w:rPr>
                <w:sz w:val="20"/>
                <w:szCs w:val="20"/>
              </w:rPr>
            </w:pPr>
            <w:r w:rsidRPr="007B4327">
              <w:rPr>
                <w:rFonts w:ascii="Calibri" w:hAnsi="Calibri" w:cs="Calibri"/>
                <w:color w:val="000000"/>
                <w:sz w:val="20"/>
                <w:szCs w:val="20"/>
              </w:rPr>
              <w:t>37,750</w:t>
            </w:r>
          </w:p>
        </w:tc>
        <w:tc>
          <w:tcPr>
            <w:tcW w:w="1474" w:type="dxa"/>
            <w:vAlign w:val="center"/>
          </w:tcPr>
          <w:p w14:paraId="57DDFDD5" w14:textId="77777777" w:rsidR="00A60D4B" w:rsidRPr="007B4327" w:rsidRDefault="00A60D4B" w:rsidP="00A60D4B">
            <w:pPr>
              <w:jc w:val="right"/>
              <w:rPr>
                <w:sz w:val="20"/>
                <w:szCs w:val="20"/>
              </w:rPr>
            </w:pPr>
            <w:r w:rsidRPr="007B4327">
              <w:rPr>
                <w:rFonts w:ascii="Calibri" w:hAnsi="Calibri" w:cs="Calibri"/>
                <w:color w:val="000000"/>
                <w:sz w:val="20"/>
                <w:szCs w:val="20"/>
              </w:rPr>
              <w:t>24,110</w:t>
            </w:r>
          </w:p>
        </w:tc>
        <w:tc>
          <w:tcPr>
            <w:tcW w:w="1474" w:type="dxa"/>
            <w:vAlign w:val="center"/>
          </w:tcPr>
          <w:p w14:paraId="7A5FB435" w14:textId="77777777" w:rsidR="00A60D4B" w:rsidRPr="007B4327" w:rsidRDefault="00A60D4B" w:rsidP="00A60D4B">
            <w:pPr>
              <w:jc w:val="right"/>
              <w:rPr>
                <w:sz w:val="20"/>
                <w:szCs w:val="20"/>
              </w:rPr>
            </w:pPr>
            <w:r w:rsidRPr="007B4327">
              <w:rPr>
                <w:rFonts w:ascii="Calibri" w:hAnsi="Calibri" w:cs="Calibri"/>
                <w:color w:val="000000"/>
                <w:sz w:val="20"/>
                <w:szCs w:val="20"/>
              </w:rPr>
              <w:t>-13,640</w:t>
            </w:r>
          </w:p>
        </w:tc>
        <w:tc>
          <w:tcPr>
            <w:tcW w:w="1474" w:type="dxa"/>
            <w:vAlign w:val="center"/>
          </w:tcPr>
          <w:p w14:paraId="449161AB" w14:textId="77777777" w:rsidR="00A60D4B" w:rsidRPr="007B4327" w:rsidRDefault="00A60D4B" w:rsidP="00A60D4B">
            <w:pPr>
              <w:jc w:val="right"/>
              <w:rPr>
                <w:sz w:val="20"/>
                <w:szCs w:val="20"/>
              </w:rPr>
            </w:pPr>
            <w:r w:rsidRPr="007B4327">
              <w:rPr>
                <w:rFonts w:ascii="Calibri" w:hAnsi="Calibri" w:cs="Calibri"/>
                <w:color w:val="000000"/>
                <w:sz w:val="20"/>
                <w:szCs w:val="20"/>
              </w:rPr>
              <w:t>-36%</w:t>
            </w:r>
          </w:p>
        </w:tc>
      </w:tr>
      <w:tr w:rsidR="00A60D4B" w14:paraId="0BDFE5C8" w14:textId="77777777" w:rsidTr="00A60D4B">
        <w:trPr>
          <w:jc w:val="center"/>
        </w:trPr>
        <w:tc>
          <w:tcPr>
            <w:tcW w:w="1474" w:type="dxa"/>
            <w:vAlign w:val="center"/>
          </w:tcPr>
          <w:p w14:paraId="3A2E32A8" w14:textId="77777777" w:rsidR="00A60D4B" w:rsidRPr="007B4327" w:rsidRDefault="00A60D4B" w:rsidP="00A60D4B">
            <w:pPr>
              <w:jc w:val="right"/>
              <w:rPr>
                <w:sz w:val="20"/>
                <w:szCs w:val="20"/>
              </w:rPr>
            </w:pPr>
            <w:r w:rsidRPr="007B4327">
              <w:rPr>
                <w:rFonts w:ascii="Calibri" w:hAnsi="Calibri" w:cs="Calibri"/>
                <w:color w:val="000000"/>
                <w:sz w:val="20"/>
                <w:szCs w:val="20"/>
              </w:rPr>
              <w:t>1,000,000</w:t>
            </w:r>
          </w:p>
        </w:tc>
        <w:tc>
          <w:tcPr>
            <w:tcW w:w="1474" w:type="dxa"/>
            <w:vAlign w:val="center"/>
          </w:tcPr>
          <w:p w14:paraId="195A33B8" w14:textId="77777777" w:rsidR="00A60D4B" w:rsidRPr="007B4327" w:rsidRDefault="00A60D4B" w:rsidP="00A60D4B">
            <w:pPr>
              <w:jc w:val="right"/>
              <w:rPr>
                <w:sz w:val="20"/>
                <w:szCs w:val="20"/>
              </w:rPr>
            </w:pPr>
            <w:r w:rsidRPr="007B4327">
              <w:rPr>
                <w:rFonts w:ascii="Calibri" w:hAnsi="Calibri" w:cs="Calibri"/>
                <w:color w:val="000000"/>
                <w:sz w:val="20"/>
                <w:szCs w:val="20"/>
              </w:rPr>
              <w:t>49,250</w:t>
            </w:r>
          </w:p>
        </w:tc>
        <w:tc>
          <w:tcPr>
            <w:tcW w:w="1474" w:type="dxa"/>
            <w:vAlign w:val="center"/>
          </w:tcPr>
          <w:p w14:paraId="347EE7C5" w14:textId="77777777" w:rsidR="00A60D4B" w:rsidRPr="007B4327" w:rsidRDefault="00A60D4B" w:rsidP="00A60D4B">
            <w:pPr>
              <w:jc w:val="right"/>
              <w:rPr>
                <w:sz w:val="20"/>
                <w:szCs w:val="20"/>
              </w:rPr>
            </w:pPr>
            <w:r w:rsidRPr="007B4327">
              <w:rPr>
                <w:rFonts w:ascii="Calibri" w:hAnsi="Calibri" w:cs="Calibri"/>
                <w:color w:val="000000"/>
                <w:sz w:val="20"/>
                <w:szCs w:val="20"/>
              </w:rPr>
              <w:t>35,910</w:t>
            </w:r>
          </w:p>
        </w:tc>
        <w:tc>
          <w:tcPr>
            <w:tcW w:w="1474" w:type="dxa"/>
            <w:vAlign w:val="center"/>
          </w:tcPr>
          <w:p w14:paraId="038E46D0" w14:textId="77777777" w:rsidR="00A60D4B" w:rsidRPr="007B4327" w:rsidRDefault="00A60D4B" w:rsidP="00A60D4B">
            <w:pPr>
              <w:jc w:val="right"/>
              <w:rPr>
                <w:sz w:val="20"/>
                <w:szCs w:val="20"/>
              </w:rPr>
            </w:pPr>
            <w:r w:rsidRPr="007B4327">
              <w:rPr>
                <w:rFonts w:ascii="Calibri" w:hAnsi="Calibri" w:cs="Calibri"/>
                <w:color w:val="000000"/>
                <w:sz w:val="20"/>
                <w:szCs w:val="20"/>
              </w:rPr>
              <w:t>-13,340</w:t>
            </w:r>
          </w:p>
        </w:tc>
        <w:tc>
          <w:tcPr>
            <w:tcW w:w="1474" w:type="dxa"/>
            <w:vAlign w:val="center"/>
          </w:tcPr>
          <w:p w14:paraId="043F4FAA" w14:textId="77777777" w:rsidR="00A60D4B" w:rsidRPr="007B4327" w:rsidRDefault="00A60D4B" w:rsidP="00A60D4B">
            <w:pPr>
              <w:jc w:val="right"/>
              <w:rPr>
                <w:sz w:val="20"/>
                <w:szCs w:val="20"/>
              </w:rPr>
            </w:pPr>
            <w:r w:rsidRPr="007B4327">
              <w:rPr>
                <w:rFonts w:ascii="Calibri" w:hAnsi="Calibri" w:cs="Calibri"/>
                <w:color w:val="000000"/>
                <w:sz w:val="20"/>
                <w:szCs w:val="20"/>
              </w:rPr>
              <w:t>-27%</w:t>
            </w:r>
          </w:p>
        </w:tc>
      </w:tr>
      <w:tr w:rsidR="00A60D4B" w14:paraId="1E0C398A" w14:textId="77777777" w:rsidTr="00A60D4B">
        <w:trPr>
          <w:jc w:val="center"/>
        </w:trPr>
        <w:tc>
          <w:tcPr>
            <w:tcW w:w="1474" w:type="dxa"/>
            <w:tcBorders>
              <w:bottom w:val="single" w:sz="4" w:space="0" w:color="auto"/>
            </w:tcBorders>
            <w:vAlign w:val="center"/>
          </w:tcPr>
          <w:p w14:paraId="277EE5E7" w14:textId="77777777" w:rsidR="00A60D4B" w:rsidRPr="007B4327" w:rsidRDefault="00A60D4B" w:rsidP="00A60D4B">
            <w:pPr>
              <w:jc w:val="right"/>
              <w:rPr>
                <w:sz w:val="20"/>
                <w:szCs w:val="20"/>
              </w:rPr>
            </w:pPr>
            <w:r w:rsidRPr="007B4327">
              <w:rPr>
                <w:rFonts w:ascii="Calibri" w:hAnsi="Calibri" w:cs="Calibri"/>
                <w:color w:val="000000"/>
                <w:sz w:val="20"/>
                <w:szCs w:val="20"/>
              </w:rPr>
              <w:t>2,000,000</w:t>
            </w:r>
          </w:p>
        </w:tc>
        <w:tc>
          <w:tcPr>
            <w:tcW w:w="1474" w:type="dxa"/>
            <w:tcBorders>
              <w:bottom w:val="single" w:sz="4" w:space="0" w:color="auto"/>
            </w:tcBorders>
            <w:vAlign w:val="center"/>
          </w:tcPr>
          <w:p w14:paraId="4A4683E4" w14:textId="77777777" w:rsidR="00A60D4B" w:rsidRPr="007B4327" w:rsidRDefault="00A60D4B" w:rsidP="00A60D4B">
            <w:pPr>
              <w:jc w:val="right"/>
              <w:rPr>
                <w:sz w:val="20"/>
                <w:szCs w:val="20"/>
              </w:rPr>
            </w:pPr>
            <w:r w:rsidRPr="007B4327">
              <w:rPr>
                <w:rFonts w:ascii="Calibri" w:hAnsi="Calibri" w:cs="Calibri"/>
                <w:color w:val="000000"/>
                <w:sz w:val="20"/>
                <w:szCs w:val="20"/>
              </w:rPr>
              <w:t>116,750</w:t>
            </w:r>
          </w:p>
        </w:tc>
        <w:tc>
          <w:tcPr>
            <w:tcW w:w="1474" w:type="dxa"/>
            <w:tcBorders>
              <w:bottom w:val="single" w:sz="4" w:space="0" w:color="auto"/>
            </w:tcBorders>
            <w:vAlign w:val="center"/>
          </w:tcPr>
          <w:p w14:paraId="0E3EABC8" w14:textId="77777777" w:rsidR="00A60D4B" w:rsidRPr="007B4327" w:rsidRDefault="00A60D4B" w:rsidP="00A60D4B">
            <w:pPr>
              <w:jc w:val="right"/>
              <w:rPr>
                <w:sz w:val="20"/>
                <w:szCs w:val="20"/>
              </w:rPr>
            </w:pPr>
            <w:r w:rsidRPr="007B4327">
              <w:rPr>
                <w:rFonts w:ascii="Calibri" w:hAnsi="Calibri" w:cs="Calibri"/>
                <w:color w:val="000000"/>
                <w:sz w:val="20"/>
                <w:szCs w:val="20"/>
              </w:rPr>
              <w:t>90,800</w:t>
            </w:r>
          </w:p>
        </w:tc>
        <w:tc>
          <w:tcPr>
            <w:tcW w:w="1474" w:type="dxa"/>
            <w:tcBorders>
              <w:bottom w:val="single" w:sz="4" w:space="0" w:color="auto"/>
            </w:tcBorders>
            <w:vAlign w:val="center"/>
          </w:tcPr>
          <w:p w14:paraId="1550C4FE" w14:textId="77777777" w:rsidR="00A60D4B" w:rsidRPr="007B4327" w:rsidRDefault="00A60D4B" w:rsidP="00A60D4B">
            <w:pPr>
              <w:jc w:val="right"/>
              <w:rPr>
                <w:sz w:val="20"/>
                <w:szCs w:val="20"/>
              </w:rPr>
            </w:pPr>
            <w:r w:rsidRPr="007B4327">
              <w:rPr>
                <w:rFonts w:ascii="Calibri" w:hAnsi="Calibri" w:cs="Calibri"/>
                <w:color w:val="000000"/>
                <w:sz w:val="20"/>
                <w:szCs w:val="20"/>
              </w:rPr>
              <w:t>-25,950</w:t>
            </w:r>
          </w:p>
        </w:tc>
        <w:tc>
          <w:tcPr>
            <w:tcW w:w="1474" w:type="dxa"/>
            <w:tcBorders>
              <w:bottom w:val="single" w:sz="4" w:space="0" w:color="auto"/>
            </w:tcBorders>
            <w:vAlign w:val="center"/>
          </w:tcPr>
          <w:p w14:paraId="56A1F3A1" w14:textId="77777777" w:rsidR="00A60D4B" w:rsidRPr="007B4327" w:rsidRDefault="00A60D4B" w:rsidP="00A60D4B">
            <w:pPr>
              <w:jc w:val="right"/>
              <w:rPr>
                <w:sz w:val="20"/>
                <w:szCs w:val="20"/>
              </w:rPr>
            </w:pPr>
            <w:r w:rsidRPr="007B4327">
              <w:rPr>
                <w:rFonts w:ascii="Calibri" w:hAnsi="Calibri" w:cs="Calibri"/>
                <w:color w:val="000000"/>
                <w:sz w:val="20"/>
                <w:szCs w:val="20"/>
              </w:rPr>
              <w:t>-22%</w:t>
            </w:r>
          </w:p>
        </w:tc>
      </w:tr>
    </w:tbl>
    <w:p w14:paraId="560812A3" w14:textId="77777777" w:rsidR="00A60D4B" w:rsidRDefault="00A60D4B" w:rsidP="00A60D4B">
      <w:pPr>
        <w:pStyle w:val="Bbodytext"/>
        <w:spacing w:before="240"/>
      </w:pPr>
      <w:bookmarkStart w:id="85" w:name="_Hlk80100126"/>
      <w:r w:rsidRPr="00690207">
        <w:rPr>
          <w:b/>
          <w:bCs/>
          <w:noProof/>
        </w:rPr>
        <mc:AlternateContent>
          <mc:Choice Requires="wps">
            <w:drawing>
              <wp:anchor distT="45720" distB="45720" distL="114300" distR="114300" simplePos="0" relativeHeight="251966464" behindDoc="0" locked="0" layoutInCell="1" allowOverlap="1" wp14:anchorId="3BA469AB" wp14:editId="2D768962">
                <wp:simplePos x="0" y="0"/>
                <wp:positionH relativeFrom="margin">
                  <wp:posOffset>3437890</wp:posOffset>
                </wp:positionH>
                <wp:positionV relativeFrom="paragraph">
                  <wp:posOffset>229387</wp:posOffset>
                </wp:positionV>
                <wp:extent cx="2360930" cy="1404620"/>
                <wp:effectExtent l="0" t="0" r="0" b="0"/>
                <wp:wrapSquare wrapText="bothSides"/>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436EBBB" w14:textId="77777777" w:rsidR="002261A7" w:rsidRPr="002B16D5" w:rsidRDefault="002261A7" w:rsidP="00A60D4B">
                            <w:pPr>
                              <w:pStyle w:val="Bbodytext"/>
                              <w:spacing w:before="0" w:after="0"/>
                              <w:jc w:val="center"/>
                              <w:rPr>
                                <w:b/>
                                <w:bCs/>
                                <w:color w:val="150045"/>
                              </w:rPr>
                            </w:pPr>
                            <w:r w:rsidRPr="002B16D5">
                              <w:rPr>
                                <w:b/>
                                <w:bCs/>
                                <w:color w:val="150045"/>
                              </w:rPr>
                              <w:t>Stage 3 of tax reform will target residential conveyance duty reductions at affordable properties for owner-occupiers.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BA469AB" id="_x0000_s1039" type="#_x0000_t202" style="position:absolute;margin-left:270.7pt;margin-top:18.05pt;width:185.9pt;height:110.6pt;z-index:25196646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" filled="f" stroked="f">
                <v:textbox style="mso-fit-shape-to-text:t">
                  <w:txbxContent>
                    <w:p w14:paraId="1436EBBB" w14:textId="77777777" w:rsidR="002261A7" w:rsidRPr="002B16D5" w:rsidRDefault="002261A7" w:rsidP="00A60D4B">
                      <w:pPr>
                        <w:pStyle w:val="Bbodytext"/>
                        <w:spacing w:before="0" w:after="0"/>
                        <w:jc w:val="center"/>
                        <w:rPr>
                          <w:b/>
                          <w:bCs/>
                          <w:color w:val="150045"/>
                        </w:rPr>
                      </w:pPr>
                      <w:r w:rsidRPr="002B16D5">
                        <w:rPr>
                          <w:b/>
                          <w:bCs/>
                          <w:color w:val="150045"/>
                        </w:rPr>
                        <w:t>Stage 3 of tax reform will target residential conveyance duty reductions at affordable properties for owner-occupiers.</w:t>
                      </w:r>
                    </w:p>
                  </w:txbxContent>
                </v:textbox>
                <w10:wrap type="square" anchorx="margin"/>
              </v:shape>
            </w:pict>
          </mc:Fallback>
        </mc:AlternateContent>
      </w:r>
      <w:r>
        <w:t xml:space="preserve">In 2021-22, the Government has made duty concessions for off-the-plan units valued at $500,000 or below purchased by owner occupiers permanent. This will save Canberrans buying an affordable home thousands of dollars in conveyance duty. It will also encourage new affordable housing construction as it stimulates demand from purchasers for new properties below $500,000. </w:t>
      </w:r>
    </w:p>
    <w:p w14:paraId="0EBFD734" w14:textId="77777777" w:rsidR="00A60D4B" w:rsidRPr="00F318F4" w:rsidRDefault="00A60D4B" w:rsidP="00A60D4B">
      <w:pPr>
        <w:pStyle w:val="Bbodytext"/>
      </w:pPr>
      <w:bookmarkStart w:id="86" w:name="_Hlk83803330"/>
      <w:r w:rsidRPr="00F318F4">
        <w:t xml:space="preserve">Residential conveyance duty rates during Stage 3 of tax reform (2021-22 to 2025-26) are being set so that estimated revenue from residential general rates above the increase in the Wage Price Index is used to reduce forecast residential conveyance duty revenue by an equivalent amount. </w:t>
      </w:r>
      <w:r>
        <w:t xml:space="preserve">In addition, the Home Buyer Concession Scheme has been capped at an amount equal to the conveyance duty on a property transferred for $1 million, and to offset the estimated saving of this cap in 2021-22, the lowest residential conveyance duty tax rate is being reduced, providing more support for the purchase of lower value properties. </w:t>
      </w:r>
      <w:r w:rsidRPr="00F318F4">
        <w:lastRenderedPageBreak/>
        <w:t xml:space="preserve">Residential conveyance duty reductions during </w:t>
      </w:r>
      <w:r>
        <w:t>S</w:t>
      </w:r>
      <w:r w:rsidRPr="00F318F4">
        <w:t>tage 3 are also being targeted to owner</w:t>
      </w:r>
      <w:r>
        <w:noBreakHyphen/>
      </w:r>
      <w:r w:rsidRPr="00F318F4">
        <w:t>occupier purchases</w:t>
      </w:r>
      <w:bookmarkEnd w:id="85"/>
      <w:r>
        <w:t xml:space="preserve">. </w:t>
      </w:r>
    </w:p>
    <w:bookmarkEnd w:id="86"/>
    <w:p w14:paraId="70AF8D27" w14:textId="77777777" w:rsidR="00A60D4B" w:rsidRPr="0091351C" w:rsidRDefault="00A60D4B" w:rsidP="00A60D4B">
      <w:pPr>
        <w:pStyle w:val="Bbodytext"/>
      </w:pPr>
      <w:r>
        <w:rPr>
          <w:noProof/>
        </w:rPr>
        <mc:AlternateContent>
          <mc:Choice Requires="wps">
            <w:drawing>
              <wp:anchor distT="45720" distB="45720" distL="114300" distR="114300" simplePos="0" relativeHeight="251967488" behindDoc="0" locked="0" layoutInCell="1" allowOverlap="1" wp14:anchorId="37813A49" wp14:editId="73A5D982">
                <wp:simplePos x="0" y="0"/>
                <wp:positionH relativeFrom="margin">
                  <wp:align>right</wp:align>
                </wp:positionH>
                <wp:positionV relativeFrom="paragraph">
                  <wp:posOffset>1063625</wp:posOffset>
                </wp:positionV>
                <wp:extent cx="5705475" cy="2640330"/>
                <wp:effectExtent l="0" t="0" r="0" b="0"/>
                <wp:wrapSquare wrapText="bothSides"/>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2640787"/>
                        </a:xfrm>
                        <a:prstGeom prst="rect">
                          <a:avLst/>
                        </a:prstGeom>
                        <a:noFill/>
                        <a:ln w="9525">
                          <a:noFill/>
                          <a:miter lim="800000"/>
                          <a:headEnd/>
                          <a:tailEnd/>
                        </a:ln>
                      </wps:spPr>
                      <wps:txbx>
                        <w:txbxContent>
                          <w:p w14:paraId="4500DA0C" w14:textId="77777777" w:rsidR="002261A7" w:rsidRPr="002B16D5" w:rsidRDefault="002261A7" w:rsidP="00A60D4B">
                            <w:pPr>
                              <w:pStyle w:val="Bbodytext"/>
                              <w:rPr>
                                <w:b/>
                                <w:bCs/>
                                <w:color w:val="150045"/>
                              </w:rPr>
                            </w:pPr>
                            <w:r w:rsidRPr="002B16D5">
                              <w:rPr>
                                <w:b/>
                                <w:bCs/>
                                <w:color w:val="150045"/>
                              </w:rPr>
                              <w:t>Table 3.5.9 outlines residential conveyance duty thresholds and marginal tax rates for 2021</w:t>
                            </w:r>
                            <w:r w:rsidRPr="002B16D5">
                              <w:rPr>
                                <w:b/>
                                <w:bCs/>
                                <w:color w:val="150045"/>
                              </w:rPr>
                              <w:noBreakHyphen/>
                              <w:t xml:space="preserve">22. </w:t>
                            </w:r>
                          </w:p>
                          <w:p w14:paraId="4CB9E05D" w14:textId="5D01A972" w:rsidR="002261A7" w:rsidRPr="00974C1D" w:rsidRDefault="002261A7" w:rsidP="00A60D4B">
                            <w:pPr>
                              <w:pStyle w:val="Caption"/>
                              <w:keepLines/>
                              <w:rPr>
                                <w:bCs/>
                                <w:iCs w:val="0"/>
                                <w:color w:val="150045"/>
                                <w:sz w:val="24"/>
                                <w:szCs w:val="22"/>
                              </w:rPr>
                            </w:pPr>
                            <w:r w:rsidRPr="00974C1D">
                              <w:rPr>
                                <w:bCs/>
                                <w:iCs w:val="0"/>
                                <w:color w:val="150045"/>
                                <w:sz w:val="24"/>
                                <w:szCs w:val="22"/>
                              </w:rPr>
                              <w:t xml:space="preserve">Table </w:t>
                            </w:r>
                            <w:r w:rsidRPr="00974C1D">
                              <w:rPr>
                                <w:bCs/>
                                <w:iCs w:val="0"/>
                                <w:color w:val="150045"/>
                                <w:sz w:val="24"/>
                                <w:szCs w:val="22"/>
                              </w:rPr>
                              <w:fldChar w:fldCharType="begin"/>
                            </w:r>
                            <w:r w:rsidRPr="00974C1D">
                              <w:rPr>
                                <w:bCs/>
                                <w:iCs w:val="0"/>
                                <w:color w:val="150045"/>
                                <w:sz w:val="24"/>
                                <w:szCs w:val="22"/>
                              </w:rPr>
                              <w:instrText xml:space="preserve"> STYLEREF 2 \s </w:instrText>
                            </w:r>
                            <w:r w:rsidRPr="00974C1D">
                              <w:rPr>
                                <w:bCs/>
                                <w:iCs w:val="0"/>
                                <w:color w:val="150045"/>
                                <w:sz w:val="24"/>
                                <w:szCs w:val="22"/>
                              </w:rPr>
                              <w:fldChar w:fldCharType="separate"/>
                            </w:r>
                            <w:r w:rsidR="00F12A80">
                              <w:rPr>
                                <w:bCs/>
                                <w:iCs w:val="0"/>
                                <w:noProof/>
                                <w:color w:val="150045"/>
                                <w:sz w:val="24"/>
                                <w:szCs w:val="22"/>
                              </w:rPr>
                              <w:t>3.5</w:t>
                            </w:r>
                            <w:r w:rsidRPr="00974C1D">
                              <w:rPr>
                                <w:bCs/>
                                <w:iCs w:val="0"/>
                                <w:color w:val="150045"/>
                                <w:sz w:val="24"/>
                                <w:szCs w:val="22"/>
                              </w:rPr>
                              <w:fldChar w:fldCharType="end"/>
                            </w:r>
                            <w:r w:rsidRPr="00974C1D">
                              <w:rPr>
                                <w:bCs/>
                                <w:iCs w:val="0"/>
                                <w:color w:val="150045"/>
                                <w:sz w:val="24"/>
                                <w:szCs w:val="22"/>
                              </w:rPr>
                              <w:t>.</w:t>
                            </w:r>
                            <w:r w:rsidRPr="00974C1D">
                              <w:rPr>
                                <w:bCs/>
                                <w:iCs w:val="0"/>
                                <w:color w:val="150045"/>
                                <w:sz w:val="24"/>
                                <w:szCs w:val="22"/>
                              </w:rPr>
                              <w:fldChar w:fldCharType="begin"/>
                            </w:r>
                            <w:r w:rsidRPr="00974C1D">
                              <w:rPr>
                                <w:bCs/>
                                <w:iCs w:val="0"/>
                                <w:color w:val="150045"/>
                                <w:sz w:val="24"/>
                                <w:szCs w:val="22"/>
                              </w:rPr>
                              <w:instrText xml:space="preserve"> SEQ Table \* ARABIC \s 2 </w:instrText>
                            </w:r>
                            <w:r w:rsidRPr="00974C1D">
                              <w:rPr>
                                <w:bCs/>
                                <w:iCs w:val="0"/>
                                <w:color w:val="150045"/>
                                <w:sz w:val="24"/>
                                <w:szCs w:val="22"/>
                              </w:rPr>
                              <w:fldChar w:fldCharType="separate"/>
                            </w:r>
                            <w:r w:rsidR="00F12A80">
                              <w:rPr>
                                <w:bCs/>
                                <w:iCs w:val="0"/>
                                <w:noProof/>
                                <w:color w:val="150045"/>
                                <w:sz w:val="24"/>
                                <w:szCs w:val="22"/>
                              </w:rPr>
                              <w:t>9</w:t>
                            </w:r>
                            <w:r w:rsidRPr="00974C1D">
                              <w:rPr>
                                <w:bCs/>
                                <w:iCs w:val="0"/>
                                <w:color w:val="150045"/>
                                <w:sz w:val="24"/>
                                <w:szCs w:val="22"/>
                              </w:rPr>
                              <w:fldChar w:fldCharType="end"/>
                            </w:r>
                            <w:r w:rsidRPr="00974C1D">
                              <w:rPr>
                                <w:bCs/>
                                <w:iCs w:val="0"/>
                                <w:color w:val="150045"/>
                                <w:sz w:val="24"/>
                                <w:szCs w:val="22"/>
                              </w:rPr>
                              <w:t>: Residential conveyance duty rates</w:t>
                            </w:r>
                          </w:p>
                          <w:tbl>
                            <w:tblPr>
                              <w:tblW w:w="7230" w:type="dxa"/>
                              <w:jc w:val="center"/>
                              <w:tblLayout w:type="fixed"/>
                              <w:tblLook w:val="04A0" w:firstRow="1" w:lastRow="0" w:firstColumn="1" w:lastColumn="0" w:noHBand="0" w:noVBand="1"/>
                            </w:tblPr>
                            <w:tblGrid>
                              <w:gridCol w:w="2837"/>
                              <w:gridCol w:w="2196"/>
                              <w:gridCol w:w="2197"/>
                            </w:tblGrid>
                            <w:tr w:rsidR="002261A7" w:rsidRPr="00FB14B9" w14:paraId="4466088E" w14:textId="77777777" w:rsidTr="00A60D4B">
                              <w:trPr>
                                <w:trHeight w:val="227"/>
                                <w:tblHeader/>
                                <w:jc w:val="center"/>
                              </w:trPr>
                              <w:tc>
                                <w:tcPr>
                                  <w:tcW w:w="2837" w:type="dxa"/>
                                  <w:tcBorders>
                                    <w:top w:val="single" w:sz="4" w:space="0" w:color="auto"/>
                                    <w:bottom w:val="single" w:sz="4" w:space="0" w:color="auto"/>
                                  </w:tcBorders>
                                  <w:shd w:val="clear" w:color="auto" w:fill="472D8C"/>
                                  <w:noWrap/>
                                  <w:hideMark/>
                                </w:tcPr>
                                <w:p w14:paraId="11E1401B" w14:textId="77777777" w:rsidR="002261A7" w:rsidRPr="003B7C8C" w:rsidRDefault="002261A7" w:rsidP="00A60D4B">
                                  <w:pPr>
                                    <w:pStyle w:val="BTableHeadingRowCentreAlign"/>
                                    <w:keepNext/>
                                    <w:keepLines/>
                                    <w:jc w:val="left"/>
                                    <w:rPr>
                                      <w:rFonts w:eastAsia="Times New Roman" w:cs="Times New Roman"/>
                                      <w:b w:val="0"/>
                                      <w:bCs/>
                                      <w:color w:val="FFFFFF" w:themeColor="background1"/>
                                      <w:sz w:val="24"/>
                                      <w:szCs w:val="24"/>
                                      <w:lang w:eastAsia="en-AU"/>
                                    </w:rPr>
                                  </w:pPr>
                                  <w:r w:rsidRPr="003B7C8C">
                                    <w:rPr>
                                      <w:color w:val="FFFFFF" w:themeColor="background1"/>
                                    </w:rPr>
                                    <w:t>Value threshold</w:t>
                                  </w:r>
                                </w:p>
                              </w:tc>
                              <w:tc>
                                <w:tcPr>
                                  <w:tcW w:w="2196" w:type="dxa"/>
                                  <w:tcBorders>
                                    <w:top w:val="single" w:sz="4" w:space="0" w:color="auto"/>
                                    <w:bottom w:val="single" w:sz="4" w:space="0" w:color="auto"/>
                                  </w:tcBorders>
                                  <w:shd w:val="clear" w:color="auto" w:fill="472D8C"/>
                                </w:tcPr>
                                <w:p w14:paraId="09650A01" w14:textId="77777777" w:rsidR="002261A7" w:rsidRPr="003B7C8C" w:rsidRDefault="002261A7" w:rsidP="00A60D4B">
                                  <w:pPr>
                                    <w:keepNext/>
                                    <w:keepLines/>
                                    <w:spacing w:after="0" w:line="240" w:lineRule="auto"/>
                                    <w:ind w:left="227" w:hanging="227"/>
                                    <w:jc w:val="right"/>
                                    <w:rPr>
                                      <w:rFonts w:ascii="Calibri" w:hAnsi="Calibri"/>
                                      <w:b/>
                                      <w:color w:val="FFFFFF" w:themeColor="background1"/>
                                      <w:sz w:val="20"/>
                                      <w:lang w:eastAsia="en-AU"/>
                                    </w:rPr>
                                  </w:pPr>
                                  <w:r w:rsidRPr="003B7C8C">
                                    <w:rPr>
                                      <w:rFonts w:ascii="Calibri" w:hAnsi="Calibri"/>
                                      <w:b/>
                                      <w:color w:val="FFFFFF" w:themeColor="background1"/>
                                      <w:sz w:val="20"/>
                                      <w:lang w:eastAsia="en-AU"/>
                                    </w:rPr>
                                    <w:t>Owner occupier %</w:t>
                                  </w:r>
                                </w:p>
                              </w:tc>
                              <w:tc>
                                <w:tcPr>
                                  <w:tcW w:w="2197" w:type="dxa"/>
                                  <w:tcBorders>
                                    <w:top w:val="single" w:sz="4" w:space="0" w:color="auto"/>
                                    <w:bottom w:val="single" w:sz="4" w:space="0" w:color="auto"/>
                                  </w:tcBorders>
                                  <w:shd w:val="clear" w:color="auto" w:fill="472D8C"/>
                                </w:tcPr>
                                <w:p w14:paraId="043D72B4" w14:textId="77777777" w:rsidR="002261A7" w:rsidRPr="003B7C8C" w:rsidRDefault="002261A7" w:rsidP="00A60D4B">
                                  <w:pPr>
                                    <w:keepNext/>
                                    <w:keepLines/>
                                    <w:spacing w:after="0" w:line="240" w:lineRule="auto"/>
                                    <w:ind w:left="227" w:hanging="227"/>
                                    <w:jc w:val="right"/>
                                    <w:rPr>
                                      <w:rFonts w:ascii="Calibri" w:hAnsi="Calibri"/>
                                      <w:b/>
                                      <w:color w:val="FFFFFF" w:themeColor="background1"/>
                                      <w:sz w:val="20"/>
                                      <w:lang w:eastAsia="en-AU"/>
                                    </w:rPr>
                                  </w:pPr>
                                  <w:r w:rsidRPr="003B7C8C">
                                    <w:rPr>
                                      <w:rFonts w:ascii="Calibri" w:hAnsi="Calibri"/>
                                      <w:b/>
                                      <w:color w:val="FFFFFF" w:themeColor="background1"/>
                                      <w:sz w:val="20"/>
                                      <w:lang w:eastAsia="en-AU"/>
                                    </w:rPr>
                                    <w:t>Non-owner occupier %</w:t>
                                  </w:r>
                                </w:p>
                              </w:tc>
                            </w:tr>
                            <w:tr w:rsidR="002261A7" w:rsidRPr="00FB14B9" w14:paraId="339F9C77" w14:textId="77777777" w:rsidTr="00A60D4B">
                              <w:trPr>
                                <w:trHeight w:val="227"/>
                                <w:jc w:val="center"/>
                              </w:trPr>
                              <w:tc>
                                <w:tcPr>
                                  <w:tcW w:w="2837" w:type="dxa"/>
                                  <w:tcBorders>
                                    <w:top w:val="single" w:sz="4" w:space="0" w:color="auto"/>
                                  </w:tcBorders>
                                  <w:shd w:val="clear" w:color="000000" w:fill="FFFFFF"/>
                                  <w:hideMark/>
                                </w:tcPr>
                                <w:p w14:paraId="19630D06" w14:textId="77777777" w:rsidR="002261A7" w:rsidRPr="00FB14B9" w:rsidRDefault="002261A7" w:rsidP="00A60D4B">
                                  <w:pPr>
                                    <w:pStyle w:val="Btabletextunbold"/>
                                    <w:keepNext/>
                                    <w:keepLines/>
                                  </w:pPr>
                                  <w:r w:rsidRPr="00FB14B9">
                                    <w:t>Up to $200,000</w:t>
                                  </w:r>
                                </w:p>
                              </w:tc>
                              <w:tc>
                                <w:tcPr>
                                  <w:tcW w:w="2196" w:type="dxa"/>
                                  <w:tcBorders>
                                    <w:top w:val="single" w:sz="4" w:space="0" w:color="auto"/>
                                  </w:tcBorders>
                                  <w:shd w:val="clear" w:color="auto" w:fill="auto"/>
                                </w:tcPr>
                                <w:p w14:paraId="07F76611" w14:textId="77777777" w:rsidR="002261A7" w:rsidRPr="00FB14B9" w:rsidRDefault="002261A7" w:rsidP="00A60D4B">
                                  <w:pPr>
                                    <w:pStyle w:val="Btablefigureunbold"/>
                                    <w:keepNext/>
                                    <w:keepLines/>
                                  </w:pPr>
                                  <w:r w:rsidRPr="00FB14B9">
                                    <w:t>0.68</w:t>
                                  </w:r>
                                </w:p>
                              </w:tc>
                              <w:tc>
                                <w:tcPr>
                                  <w:tcW w:w="2197" w:type="dxa"/>
                                  <w:tcBorders>
                                    <w:top w:val="single" w:sz="4" w:space="0" w:color="auto"/>
                                  </w:tcBorders>
                                  <w:shd w:val="clear" w:color="auto" w:fill="auto"/>
                                </w:tcPr>
                                <w:p w14:paraId="39134735" w14:textId="77777777" w:rsidR="002261A7" w:rsidRPr="00FB14B9" w:rsidRDefault="002261A7" w:rsidP="00A60D4B">
                                  <w:pPr>
                                    <w:pStyle w:val="Btablefigureunbold"/>
                                    <w:keepNext/>
                                    <w:keepLines/>
                                  </w:pPr>
                                  <w:r w:rsidRPr="00FB14B9">
                                    <w:t>1.2</w:t>
                                  </w:r>
                                </w:p>
                              </w:tc>
                            </w:tr>
                            <w:tr w:rsidR="002261A7" w:rsidRPr="00FB14B9" w14:paraId="3D6902A8" w14:textId="77777777" w:rsidTr="00A60D4B">
                              <w:trPr>
                                <w:trHeight w:val="227"/>
                                <w:jc w:val="center"/>
                              </w:trPr>
                              <w:tc>
                                <w:tcPr>
                                  <w:tcW w:w="2837" w:type="dxa"/>
                                  <w:shd w:val="clear" w:color="000000" w:fill="FFFFFF"/>
                                  <w:hideMark/>
                                </w:tcPr>
                                <w:p w14:paraId="0D423D67" w14:textId="77777777" w:rsidR="002261A7" w:rsidRPr="00FB14B9" w:rsidRDefault="002261A7" w:rsidP="00A60D4B">
                                  <w:pPr>
                                    <w:pStyle w:val="Btabletextunbold"/>
                                    <w:keepNext/>
                                    <w:keepLines/>
                                  </w:pPr>
                                  <w:r w:rsidRPr="00FB14B9">
                                    <w:t>$200,001 to $300,000</w:t>
                                  </w:r>
                                </w:p>
                              </w:tc>
                              <w:tc>
                                <w:tcPr>
                                  <w:tcW w:w="2196" w:type="dxa"/>
                                  <w:shd w:val="clear" w:color="auto" w:fill="auto"/>
                                </w:tcPr>
                                <w:p w14:paraId="413A466D" w14:textId="77777777" w:rsidR="002261A7" w:rsidRPr="00FB14B9" w:rsidRDefault="002261A7" w:rsidP="00A60D4B">
                                  <w:pPr>
                                    <w:pStyle w:val="Btablefigureunbold"/>
                                    <w:keepNext/>
                                    <w:keepLines/>
                                  </w:pPr>
                                  <w:r w:rsidRPr="00FB14B9">
                                    <w:t>2.2</w:t>
                                  </w:r>
                                </w:p>
                              </w:tc>
                              <w:tc>
                                <w:tcPr>
                                  <w:tcW w:w="2197" w:type="dxa"/>
                                  <w:shd w:val="clear" w:color="auto" w:fill="auto"/>
                                </w:tcPr>
                                <w:p w14:paraId="73AC8B4D" w14:textId="77777777" w:rsidR="002261A7" w:rsidRPr="00FB14B9" w:rsidRDefault="002261A7" w:rsidP="00A60D4B">
                                  <w:pPr>
                                    <w:pStyle w:val="Btablefigureunbold"/>
                                    <w:keepNext/>
                                    <w:keepLines/>
                                  </w:pPr>
                                  <w:r w:rsidRPr="00FB14B9">
                                    <w:t>2.2</w:t>
                                  </w:r>
                                </w:p>
                              </w:tc>
                            </w:tr>
                            <w:tr w:rsidR="002261A7" w:rsidRPr="00FB14B9" w14:paraId="393CC1CC" w14:textId="77777777" w:rsidTr="00A60D4B">
                              <w:trPr>
                                <w:trHeight w:val="227"/>
                                <w:jc w:val="center"/>
                              </w:trPr>
                              <w:tc>
                                <w:tcPr>
                                  <w:tcW w:w="2837" w:type="dxa"/>
                                  <w:shd w:val="clear" w:color="000000" w:fill="FFFFFF"/>
                                  <w:hideMark/>
                                </w:tcPr>
                                <w:p w14:paraId="0097C046" w14:textId="77777777" w:rsidR="002261A7" w:rsidRPr="00FB14B9" w:rsidRDefault="002261A7" w:rsidP="00A60D4B">
                                  <w:pPr>
                                    <w:pStyle w:val="Btabletextunbold"/>
                                    <w:keepNext/>
                                    <w:keepLines/>
                                  </w:pPr>
                                  <w:r w:rsidRPr="00FB14B9">
                                    <w:t>$300,001 to $500,000</w:t>
                                  </w:r>
                                </w:p>
                              </w:tc>
                              <w:tc>
                                <w:tcPr>
                                  <w:tcW w:w="2196" w:type="dxa"/>
                                  <w:shd w:val="clear" w:color="auto" w:fill="auto"/>
                                </w:tcPr>
                                <w:p w14:paraId="58B7FDB8" w14:textId="77777777" w:rsidR="002261A7" w:rsidRPr="00FB14B9" w:rsidRDefault="002261A7" w:rsidP="00A60D4B">
                                  <w:pPr>
                                    <w:pStyle w:val="Btablefigureunbold"/>
                                    <w:keepNext/>
                                    <w:keepLines/>
                                  </w:pPr>
                                  <w:r w:rsidRPr="00FB14B9">
                                    <w:t>3.4</w:t>
                                  </w:r>
                                </w:p>
                              </w:tc>
                              <w:tc>
                                <w:tcPr>
                                  <w:tcW w:w="2197" w:type="dxa"/>
                                  <w:shd w:val="clear" w:color="auto" w:fill="auto"/>
                                </w:tcPr>
                                <w:p w14:paraId="258D4FD7" w14:textId="77777777" w:rsidR="002261A7" w:rsidRPr="00FB14B9" w:rsidRDefault="002261A7" w:rsidP="00A60D4B">
                                  <w:pPr>
                                    <w:pStyle w:val="Btablefigureunbold"/>
                                    <w:keepNext/>
                                    <w:keepLines/>
                                  </w:pPr>
                                  <w:r w:rsidRPr="00FB14B9">
                                    <w:t>3.4</w:t>
                                  </w:r>
                                </w:p>
                              </w:tc>
                            </w:tr>
                            <w:tr w:rsidR="002261A7" w:rsidRPr="00FB14B9" w14:paraId="7F0E00A3" w14:textId="77777777" w:rsidTr="00A60D4B">
                              <w:trPr>
                                <w:trHeight w:val="227"/>
                                <w:jc w:val="center"/>
                              </w:trPr>
                              <w:tc>
                                <w:tcPr>
                                  <w:tcW w:w="2837" w:type="dxa"/>
                                  <w:shd w:val="clear" w:color="000000" w:fill="FFFFFF"/>
                                  <w:hideMark/>
                                </w:tcPr>
                                <w:p w14:paraId="6AE38F04" w14:textId="77777777" w:rsidR="002261A7" w:rsidRPr="00FB14B9" w:rsidRDefault="002261A7" w:rsidP="00A60D4B">
                                  <w:pPr>
                                    <w:pStyle w:val="Btabletextunbold"/>
                                    <w:keepNext/>
                                    <w:keepLines/>
                                  </w:pPr>
                                  <w:r w:rsidRPr="00FB14B9">
                                    <w:t>$500,001 to $750,000</w:t>
                                  </w:r>
                                </w:p>
                              </w:tc>
                              <w:tc>
                                <w:tcPr>
                                  <w:tcW w:w="2196" w:type="dxa"/>
                                  <w:shd w:val="clear" w:color="auto" w:fill="auto"/>
                                </w:tcPr>
                                <w:p w14:paraId="36F2797A" w14:textId="77777777" w:rsidR="002261A7" w:rsidRPr="00FB14B9" w:rsidRDefault="002261A7" w:rsidP="00A60D4B">
                                  <w:pPr>
                                    <w:pStyle w:val="Btablefigureunbold"/>
                                    <w:keepNext/>
                                    <w:keepLines/>
                                  </w:pPr>
                                  <w:r w:rsidRPr="00FB14B9">
                                    <w:t>4.32</w:t>
                                  </w:r>
                                </w:p>
                              </w:tc>
                              <w:tc>
                                <w:tcPr>
                                  <w:tcW w:w="2197" w:type="dxa"/>
                                  <w:shd w:val="clear" w:color="auto" w:fill="auto"/>
                                </w:tcPr>
                                <w:p w14:paraId="0F2AFBE4" w14:textId="77777777" w:rsidR="002261A7" w:rsidRPr="00FB14B9" w:rsidRDefault="002261A7" w:rsidP="00A60D4B">
                                  <w:pPr>
                                    <w:pStyle w:val="Btablefigureunbold"/>
                                    <w:keepNext/>
                                    <w:keepLines/>
                                  </w:pPr>
                                  <w:r w:rsidRPr="00FB14B9">
                                    <w:t>4.32</w:t>
                                  </w:r>
                                </w:p>
                              </w:tc>
                            </w:tr>
                            <w:tr w:rsidR="002261A7" w:rsidRPr="00FB14B9" w14:paraId="30FFC9E9" w14:textId="77777777" w:rsidTr="00A60D4B">
                              <w:trPr>
                                <w:trHeight w:val="227"/>
                                <w:jc w:val="center"/>
                              </w:trPr>
                              <w:tc>
                                <w:tcPr>
                                  <w:tcW w:w="2837" w:type="dxa"/>
                                  <w:shd w:val="clear" w:color="000000" w:fill="FFFFFF"/>
                                  <w:hideMark/>
                                </w:tcPr>
                                <w:p w14:paraId="573B70DD" w14:textId="77777777" w:rsidR="002261A7" w:rsidRPr="00FB14B9" w:rsidRDefault="002261A7" w:rsidP="00A60D4B">
                                  <w:pPr>
                                    <w:pStyle w:val="Btabletextunbold"/>
                                    <w:keepNext/>
                                    <w:keepLines/>
                                  </w:pPr>
                                  <w:r w:rsidRPr="00FB14B9">
                                    <w:t>$750,001 to $1,000,000</w:t>
                                  </w:r>
                                </w:p>
                              </w:tc>
                              <w:tc>
                                <w:tcPr>
                                  <w:tcW w:w="2196" w:type="dxa"/>
                                  <w:shd w:val="clear" w:color="auto" w:fill="auto"/>
                                </w:tcPr>
                                <w:p w14:paraId="1E65ADAC" w14:textId="77777777" w:rsidR="002261A7" w:rsidRPr="00FB14B9" w:rsidRDefault="002261A7" w:rsidP="00A60D4B">
                                  <w:pPr>
                                    <w:pStyle w:val="Btablefigureunbold"/>
                                    <w:keepNext/>
                                    <w:keepLines/>
                                  </w:pPr>
                                  <w:r w:rsidRPr="00FB14B9">
                                    <w:t>5.9</w:t>
                                  </w:r>
                                </w:p>
                              </w:tc>
                              <w:tc>
                                <w:tcPr>
                                  <w:tcW w:w="2197" w:type="dxa"/>
                                  <w:shd w:val="clear" w:color="auto" w:fill="auto"/>
                                </w:tcPr>
                                <w:p w14:paraId="3DC45BBA" w14:textId="77777777" w:rsidR="002261A7" w:rsidRPr="00FB14B9" w:rsidRDefault="002261A7" w:rsidP="00A60D4B">
                                  <w:pPr>
                                    <w:pStyle w:val="Btablefigureunbold"/>
                                    <w:keepNext/>
                                    <w:keepLines/>
                                  </w:pPr>
                                  <w:r w:rsidRPr="00FB14B9">
                                    <w:t>5.9</w:t>
                                  </w:r>
                                </w:p>
                              </w:tc>
                            </w:tr>
                            <w:tr w:rsidR="002261A7" w:rsidRPr="00FB14B9" w14:paraId="28F9FECD" w14:textId="77777777" w:rsidTr="00A60D4B">
                              <w:trPr>
                                <w:trHeight w:val="227"/>
                                <w:jc w:val="center"/>
                              </w:trPr>
                              <w:tc>
                                <w:tcPr>
                                  <w:tcW w:w="2837" w:type="dxa"/>
                                  <w:shd w:val="clear" w:color="000000" w:fill="FFFFFF"/>
                                  <w:hideMark/>
                                </w:tcPr>
                                <w:p w14:paraId="5FF1B33A" w14:textId="77777777" w:rsidR="002261A7" w:rsidRPr="00FB14B9" w:rsidRDefault="002261A7" w:rsidP="00A60D4B">
                                  <w:pPr>
                                    <w:pStyle w:val="Btabletextunbold"/>
                                    <w:keepNext/>
                                    <w:keepLines/>
                                  </w:pPr>
                                  <w:r w:rsidRPr="00FB14B9">
                                    <w:t>$1,000,001 to $1,455,000</w:t>
                                  </w:r>
                                </w:p>
                              </w:tc>
                              <w:tc>
                                <w:tcPr>
                                  <w:tcW w:w="2196" w:type="dxa"/>
                                  <w:shd w:val="clear" w:color="auto" w:fill="auto"/>
                                </w:tcPr>
                                <w:p w14:paraId="5675B221" w14:textId="77777777" w:rsidR="002261A7" w:rsidRPr="00FB14B9" w:rsidRDefault="002261A7" w:rsidP="00A60D4B">
                                  <w:pPr>
                                    <w:pStyle w:val="Btablefigureunbold"/>
                                    <w:keepNext/>
                                    <w:keepLines/>
                                  </w:pPr>
                                  <w:r w:rsidRPr="00FB14B9">
                                    <w:t>6.4</w:t>
                                  </w:r>
                                </w:p>
                              </w:tc>
                              <w:tc>
                                <w:tcPr>
                                  <w:tcW w:w="2197" w:type="dxa"/>
                                  <w:shd w:val="clear" w:color="auto" w:fill="auto"/>
                                </w:tcPr>
                                <w:p w14:paraId="7C3F71B4" w14:textId="77777777" w:rsidR="002261A7" w:rsidRPr="00FB14B9" w:rsidRDefault="002261A7" w:rsidP="00A60D4B">
                                  <w:pPr>
                                    <w:pStyle w:val="Btablefigureunbold"/>
                                    <w:keepNext/>
                                    <w:keepLines/>
                                  </w:pPr>
                                  <w:r w:rsidRPr="00FB14B9">
                                    <w:t>6.4</w:t>
                                  </w:r>
                                </w:p>
                              </w:tc>
                            </w:tr>
                            <w:tr w:rsidR="002261A7" w:rsidRPr="00FB14B9" w14:paraId="5E0FAA9E" w14:textId="77777777" w:rsidTr="00A60D4B">
                              <w:trPr>
                                <w:trHeight w:val="227"/>
                                <w:jc w:val="center"/>
                              </w:trPr>
                              <w:tc>
                                <w:tcPr>
                                  <w:tcW w:w="2837" w:type="dxa"/>
                                  <w:tcBorders>
                                    <w:bottom w:val="single" w:sz="4" w:space="0" w:color="auto"/>
                                  </w:tcBorders>
                                  <w:shd w:val="clear" w:color="000000" w:fill="FFFFFF"/>
                                  <w:hideMark/>
                                </w:tcPr>
                                <w:p w14:paraId="19B0D46B" w14:textId="77777777" w:rsidR="002261A7" w:rsidRPr="00FB14B9" w:rsidRDefault="002261A7" w:rsidP="00A60D4B">
                                  <w:pPr>
                                    <w:pStyle w:val="Btabletextunbold"/>
                                    <w:keepNext/>
                                    <w:keepLines/>
                                  </w:pPr>
                                  <w:r w:rsidRPr="00FB14B9">
                                    <w:t>More than $1,455,000</w:t>
                                  </w:r>
                                  <w:r w:rsidRPr="00FB14B9">
                                    <w:rPr>
                                      <w:vertAlign w:val="superscript"/>
                                    </w:rPr>
                                    <w:t>1</w:t>
                                  </w:r>
                                </w:p>
                              </w:tc>
                              <w:tc>
                                <w:tcPr>
                                  <w:tcW w:w="2196" w:type="dxa"/>
                                  <w:tcBorders>
                                    <w:bottom w:val="single" w:sz="4" w:space="0" w:color="auto"/>
                                  </w:tcBorders>
                                  <w:shd w:val="clear" w:color="auto" w:fill="auto"/>
                                </w:tcPr>
                                <w:p w14:paraId="2FD1CD76" w14:textId="77777777" w:rsidR="002261A7" w:rsidRPr="00FB14B9" w:rsidRDefault="002261A7" w:rsidP="00A60D4B">
                                  <w:pPr>
                                    <w:pStyle w:val="Btablefigureunbold"/>
                                    <w:keepNext/>
                                    <w:keepLines/>
                                  </w:pPr>
                                  <w:r w:rsidRPr="00FB14B9">
                                    <w:t>4.54</w:t>
                                  </w:r>
                                </w:p>
                              </w:tc>
                              <w:tc>
                                <w:tcPr>
                                  <w:tcW w:w="2197" w:type="dxa"/>
                                  <w:tcBorders>
                                    <w:bottom w:val="single" w:sz="4" w:space="0" w:color="auto"/>
                                  </w:tcBorders>
                                  <w:shd w:val="clear" w:color="auto" w:fill="auto"/>
                                </w:tcPr>
                                <w:p w14:paraId="1EC3F160" w14:textId="77777777" w:rsidR="002261A7" w:rsidRPr="00FB14B9" w:rsidRDefault="002261A7" w:rsidP="00A60D4B">
                                  <w:pPr>
                                    <w:pStyle w:val="Btablefigureunbold"/>
                                    <w:keepNext/>
                                    <w:keepLines/>
                                  </w:pPr>
                                  <w:r w:rsidRPr="00FB14B9">
                                    <w:t>4.54</w:t>
                                  </w:r>
                                </w:p>
                              </w:tc>
                            </w:tr>
                          </w:tbl>
                          <w:p w14:paraId="1A1158D3" w14:textId="77777777" w:rsidR="002261A7" w:rsidRPr="002B16D5" w:rsidRDefault="002261A7" w:rsidP="00A60D4B">
                            <w:pPr>
                              <w:pStyle w:val="BSnoteslist"/>
                              <w:numPr>
                                <w:ilvl w:val="0"/>
                                <w:numId w:val="0"/>
                              </w:numPr>
                              <w:ind w:left="360" w:hanging="360"/>
                              <w:rPr>
                                <w:rFonts w:eastAsia="Calibri"/>
                                <w:b/>
                                <w:color w:val="150045"/>
                                <w:szCs w:val="16"/>
                              </w:rPr>
                            </w:pPr>
                            <w:r w:rsidRPr="002B16D5">
                              <w:rPr>
                                <w:rFonts w:eastAsia="Calibri"/>
                                <w:b/>
                                <w:color w:val="150045"/>
                                <w:szCs w:val="16"/>
                              </w:rPr>
                              <w:t xml:space="preserve">Note: </w:t>
                            </w:r>
                          </w:p>
                          <w:p w14:paraId="26895FEF" w14:textId="77777777" w:rsidR="002261A7" w:rsidRPr="002B16D5" w:rsidRDefault="002261A7" w:rsidP="00A60D4B">
                            <w:pPr>
                              <w:pStyle w:val="BSnoteslist"/>
                              <w:numPr>
                                <w:ilvl w:val="0"/>
                                <w:numId w:val="43"/>
                              </w:numPr>
                              <w:rPr>
                                <w:rFonts w:eastAsia="Calibri"/>
                                <w:color w:val="150045"/>
                              </w:rPr>
                            </w:pPr>
                            <w:r w:rsidRPr="002B16D5">
                              <w:rPr>
                                <w:rFonts w:eastAsia="Calibri"/>
                                <w:color w:val="150045"/>
                              </w:rPr>
                              <w:t>The more than $1,455,000 rate is a flat rate on the entire value of the transaction.</w:t>
                            </w:r>
                          </w:p>
                          <w:p w14:paraId="7F322006" w14:textId="77777777" w:rsidR="002261A7" w:rsidRDefault="002261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813A49" id="_x0000_s1040" type="#_x0000_t202" style="position:absolute;margin-left:398.05pt;margin-top:83.75pt;width:449.25pt;height:207.9pt;z-index:2519674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" filled="f" stroked="f">
                <v:textbox>
                  <w:txbxContent>
                    <w:p w14:paraId="4500DA0C" w14:textId="77777777" w:rsidR="002261A7" w:rsidRPr="002B16D5" w:rsidRDefault="002261A7" w:rsidP="00A60D4B">
                      <w:pPr>
                        <w:pStyle w:val="Bbodytext"/>
                        <w:rPr>
                          <w:b/>
                          <w:bCs/>
                          <w:color w:val="150045"/>
                        </w:rPr>
                      </w:pPr>
                      <w:r w:rsidRPr="002B16D5">
                        <w:rPr>
                          <w:b/>
                          <w:bCs/>
                          <w:color w:val="150045"/>
                        </w:rPr>
                        <w:t>Table 3.5.9 outlines residential conveyance duty thresholds and marginal tax rates for 2021</w:t>
                      </w:r>
                      <w:r w:rsidRPr="002B16D5">
                        <w:rPr>
                          <w:b/>
                          <w:bCs/>
                          <w:color w:val="150045"/>
                        </w:rPr>
                        <w:noBreakHyphen/>
                        <w:t xml:space="preserve">22. </w:t>
                      </w:r>
                    </w:p>
                    <w:p w14:paraId="4CB9E05D" w14:textId="5D01A972" w:rsidR="002261A7" w:rsidRPr="00974C1D" w:rsidRDefault="002261A7" w:rsidP="00A60D4B">
                      <w:pPr>
                        <w:pStyle w:val="Caption"/>
                        <w:keepLines/>
                        <w:rPr>
                          <w:bCs/>
                          <w:iCs w:val="0"/>
                          <w:color w:val="150045"/>
                          <w:sz w:val="24"/>
                          <w:szCs w:val="22"/>
                        </w:rPr>
                      </w:pPr>
                      <w:r w:rsidRPr="00974C1D">
                        <w:rPr>
                          <w:bCs/>
                          <w:iCs w:val="0"/>
                          <w:color w:val="150045"/>
                          <w:sz w:val="24"/>
                          <w:szCs w:val="22"/>
                        </w:rPr>
                        <w:t xml:space="preserve">Table </w:t>
                      </w:r>
                      <w:r w:rsidRPr="00974C1D">
                        <w:rPr>
                          <w:bCs/>
                          <w:iCs w:val="0"/>
                          <w:color w:val="150045"/>
                          <w:sz w:val="24"/>
                          <w:szCs w:val="22"/>
                        </w:rPr>
                        <w:fldChar w:fldCharType="begin"/>
                      </w:r>
                      <w:r w:rsidRPr="00974C1D">
                        <w:rPr>
                          <w:bCs/>
                          <w:iCs w:val="0"/>
                          <w:color w:val="150045"/>
                          <w:sz w:val="24"/>
                          <w:szCs w:val="22"/>
                        </w:rPr>
                        <w:instrText xml:space="preserve"> STYLEREF 2 \s </w:instrText>
                      </w:r>
                      <w:r w:rsidRPr="00974C1D">
                        <w:rPr>
                          <w:bCs/>
                          <w:iCs w:val="0"/>
                          <w:color w:val="150045"/>
                          <w:sz w:val="24"/>
                          <w:szCs w:val="22"/>
                        </w:rPr>
                        <w:fldChar w:fldCharType="separate"/>
                      </w:r>
                      <w:r w:rsidR="00F12A80">
                        <w:rPr>
                          <w:bCs/>
                          <w:iCs w:val="0"/>
                          <w:noProof/>
                          <w:color w:val="150045"/>
                          <w:sz w:val="24"/>
                          <w:szCs w:val="22"/>
                        </w:rPr>
                        <w:t>3.5</w:t>
                      </w:r>
                      <w:r w:rsidRPr="00974C1D">
                        <w:rPr>
                          <w:bCs/>
                          <w:iCs w:val="0"/>
                          <w:color w:val="150045"/>
                          <w:sz w:val="24"/>
                          <w:szCs w:val="22"/>
                        </w:rPr>
                        <w:fldChar w:fldCharType="end"/>
                      </w:r>
                      <w:r w:rsidRPr="00974C1D">
                        <w:rPr>
                          <w:bCs/>
                          <w:iCs w:val="0"/>
                          <w:color w:val="150045"/>
                          <w:sz w:val="24"/>
                          <w:szCs w:val="22"/>
                        </w:rPr>
                        <w:t>.</w:t>
                      </w:r>
                      <w:r w:rsidRPr="00974C1D">
                        <w:rPr>
                          <w:bCs/>
                          <w:iCs w:val="0"/>
                          <w:color w:val="150045"/>
                          <w:sz w:val="24"/>
                          <w:szCs w:val="22"/>
                        </w:rPr>
                        <w:fldChar w:fldCharType="begin"/>
                      </w:r>
                      <w:r w:rsidRPr="00974C1D">
                        <w:rPr>
                          <w:bCs/>
                          <w:iCs w:val="0"/>
                          <w:color w:val="150045"/>
                          <w:sz w:val="24"/>
                          <w:szCs w:val="22"/>
                        </w:rPr>
                        <w:instrText xml:space="preserve"> SEQ Table \* ARABIC \s 2 </w:instrText>
                      </w:r>
                      <w:r w:rsidRPr="00974C1D">
                        <w:rPr>
                          <w:bCs/>
                          <w:iCs w:val="0"/>
                          <w:color w:val="150045"/>
                          <w:sz w:val="24"/>
                          <w:szCs w:val="22"/>
                        </w:rPr>
                        <w:fldChar w:fldCharType="separate"/>
                      </w:r>
                      <w:r w:rsidR="00F12A80">
                        <w:rPr>
                          <w:bCs/>
                          <w:iCs w:val="0"/>
                          <w:noProof/>
                          <w:color w:val="150045"/>
                          <w:sz w:val="24"/>
                          <w:szCs w:val="22"/>
                        </w:rPr>
                        <w:t>9</w:t>
                      </w:r>
                      <w:r w:rsidRPr="00974C1D">
                        <w:rPr>
                          <w:bCs/>
                          <w:iCs w:val="0"/>
                          <w:color w:val="150045"/>
                          <w:sz w:val="24"/>
                          <w:szCs w:val="22"/>
                        </w:rPr>
                        <w:fldChar w:fldCharType="end"/>
                      </w:r>
                      <w:r w:rsidRPr="00974C1D">
                        <w:rPr>
                          <w:bCs/>
                          <w:iCs w:val="0"/>
                          <w:color w:val="150045"/>
                          <w:sz w:val="24"/>
                          <w:szCs w:val="22"/>
                        </w:rPr>
                        <w:t>: Residential conveyance duty rates</w:t>
                      </w:r>
                    </w:p>
                    <w:tbl>
                      <w:tblPr>
                        <w:tblW w:w="7230" w:type="dxa"/>
                        <w:jc w:val="center"/>
                        <w:tblLayout w:type="fixed"/>
                        <w:tblLook w:val="04A0" w:firstRow="1" w:lastRow="0" w:firstColumn="1" w:lastColumn="0" w:noHBand="0" w:noVBand="1"/>
                      </w:tblPr>
                      <w:tblGrid>
                        <w:gridCol w:w="2837"/>
                        <w:gridCol w:w="2196"/>
                        <w:gridCol w:w="2197"/>
                      </w:tblGrid>
                      <w:tr w:rsidR="002261A7" w:rsidRPr="00FB14B9" w14:paraId="4466088E" w14:textId="77777777" w:rsidTr="00A60D4B">
                        <w:trPr>
                          <w:trHeight w:val="227"/>
                          <w:tblHeader/>
                          <w:jc w:val="center"/>
                        </w:trPr>
                        <w:tc>
                          <w:tcPr>
                            <w:tcW w:w="2837" w:type="dxa"/>
                            <w:tcBorders>
                              <w:top w:val="single" w:sz="4" w:space="0" w:color="auto"/>
                              <w:bottom w:val="single" w:sz="4" w:space="0" w:color="auto"/>
                            </w:tcBorders>
                            <w:shd w:val="clear" w:color="auto" w:fill="472D8C"/>
                            <w:noWrap/>
                            <w:hideMark/>
                          </w:tcPr>
                          <w:p w14:paraId="11E1401B" w14:textId="77777777" w:rsidR="002261A7" w:rsidRPr="003B7C8C" w:rsidRDefault="002261A7" w:rsidP="00A60D4B">
                            <w:pPr>
                              <w:pStyle w:val="BTableHeadingRowCentreAlign"/>
                              <w:keepNext/>
                              <w:keepLines/>
                              <w:jc w:val="left"/>
                              <w:rPr>
                                <w:rFonts w:eastAsia="Times New Roman" w:cs="Times New Roman"/>
                                <w:b w:val="0"/>
                                <w:bCs/>
                                <w:color w:val="FFFFFF" w:themeColor="background1"/>
                                <w:sz w:val="24"/>
                                <w:szCs w:val="24"/>
                                <w:lang w:eastAsia="en-AU"/>
                              </w:rPr>
                            </w:pPr>
                            <w:r w:rsidRPr="003B7C8C">
                              <w:rPr>
                                <w:color w:val="FFFFFF" w:themeColor="background1"/>
                              </w:rPr>
                              <w:t>Value threshold</w:t>
                            </w:r>
                          </w:p>
                        </w:tc>
                        <w:tc>
                          <w:tcPr>
                            <w:tcW w:w="2196" w:type="dxa"/>
                            <w:tcBorders>
                              <w:top w:val="single" w:sz="4" w:space="0" w:color="auto"/>
                              <w:bottom w:val="single" w:sz="4" w:space="0" w:color="auto"/>
                            </w:tcBorders>
                            <w:shd w:val="clear" w:color="auto" w:fill="472D8C"/>
                          </w:tcPr>
                          <w:p w14:paraId="09650A01" w14:textId="77777777" w:rsidR="002261A7" w:rsidRPr="003B7C8C" w:rsidRDefault="002261A7" w:rsidP="00A60D4B">
                            <w:pPr>
                              <w:keepNext/>
                              <w:keepLines/>
                              <w:spacing w:after="0" w:line="240" w:lineRule="auto"/>
                              <w:ind w:left="227" w:hanging="227"/>
                              <w:jc w:val="right"/>
                              <w:rPr>
                                <w:rFonts w:ascii="Calibri" w:hAnsi="Calibri"/>
                                <w:b/>
                                <w:color w:val="FFFFFF" w:themeColor="background1"/>
                                <w:sz w:val="20"/>
                                <w:lang w:eastAsia="en-AU"/>
                              </w:rPr>
                            </w:pPr>
                            <w:r w:rsidRPr="003B7C8C">
                              <w:rPr>
                                <w:rFonts w:ascii="Calibri" w:hAnsi="Calibri"/>
                                <w:b/>
                                <w:color w:val="FFFFFF" w:themeColor="background1"/>
                                <w:sz w:val="20"/>
                                <w:lang w:eastAsia="en-AU"/>
                              </w:rPr>
                              <w:t>Owner occupier %</w:t>
                            </w:r>
                          </w:p>
                        </w:tc>
                        <w:tc>
                          <w:tcPr>
                            <w:tcW w:w="2197" w:type="dxa"/>
                            <w:tcBorders>
                              <w:top w:val="single" w:sz="4" w:space="0" w:color="auto"/>
                              <w:bottom w:val="single" w:sz="4" w:space="0" w:color="auto"/>
                            </w:tcBorders>
                            <w:shd w:val="clear" w:color="auto" w:fill="472D8C"/>
                          </w:tcPr>
                          <w:p w14:paraId="043D72B4" w14:textId="77777777" w:rsidR="002261A7" w:rsidRPr="003B7C8C" w:rsidRDefault="002261A7" w:rsidP="00A60D4B">
                            <w:pPr>
                              <w:keepNext/>
                              <w:keepLines/>
                              <w:spacing w:after="0" w:line="240" w:lineRule="auto"/>
                              <w:ind w:left="227" w:hanging="227"/>
                              <w:jc w:val="right"/>
                              <w:rPr>
                                <w:rFonts w:ascii="Calibri" w:hAnsi="Calibri"/>
                                <w:b/>
                                <w:color w:val="FFFFFF" w:themeColor="background1"/>
                                <w:sz w:val="20"/>
                                <w:lang w:eastAsia="en-AU"/>
                              </w:rPr>
                            </w:pPr>
                            <w:r w:rsidRPr="003B7C8C">
                              <w:rPr>
                                <w:rFonts w:ascii="Calibri" w:hAnsi="Calibri"/>
                                <w:b/>
                                <w:color w:val="FFFFFF" w:themeColor="background1"/>
                                <w:sz w:val="20"/>
                                <w:lang w:eastAsia="en-AU"/>
                              </w:rPr>
                              <w:t>Non-owner occupier %</w:t>
                            </w:r>
                          </w:p>
                        </w:tc>
                      </w:tr>
                      <w:tr w:rsidR="002261A7" w:rsidRPr="00FB14B9" w14:paraId="339F9C77" w14:textId="77777777" w:rsidTr="00A60D4B">
                        <w:trPr>
                          <w:trHeight w:val="227"/>
                          <w:jc w:val="center"/>
                        </w:trPr>
                        <w:tc>
                          <w:tcPr>
                            <w:tcW w:w="2837" w:type="dxa"/>
                            <w:tcBorders>
                              <w:top w:val="single" w:sz="4" w:space="0" w:color="auto"/>
                            </w:tcBorders>
                            <w:shd w:val="clear" w:color="000000" w:fill="FFFFFF"/>
                            <w:hideMark/>
                          </w:tcPr>
                          <w:p w14:paraId="19630D06" w14:textId="77777777" w:rsidR="002261A7" w:rsidRPr="00FB14B9" w:rsidRDefault="002261A7" w:rsidP="00A60D4B">
                            <w:pPr>
                              <w:pStyle w:val="Btabletextunbold"/>
                              <w:keepNext/>
                              <w:keepLines/>
                            </w:pPr>
                            <w:r w:rsidRPr="00FB14B9">
                              <w:t>Up to $200,000</w:t>
                            </w:r>
                          </w:p>
                        </w:tc>
                        <w:tc>
                          <w:tcPr>
                            <w:tcW w:w="2196" w:type="dxa"/>
                            <w:tcBorders>
                              <w:top w:val="single" w:sz="4" w:space="0" w:color="auto"/>
                            </w:tcBorders>
                            <w:shd w:val="clear" w:color="auto" w:fill="auto"/>
                          </w:tcPr>
                          <w:p w14:paraId="07F76611" w14:textId="77777777" w:rsidR="002261A7" w:rsidRPr="00FB14B9" w:rsidRDefault="002261A7" w:rsidP="00A60D4B">
                            <w:pPr>
                              <w:pStyle w:val="Btablefigureunbold"/>
                              <w:keepNext/>
                              <w:keepLines/>
                            </w:pPr>
                            <w:r w:rsidRPr="00FB14B9">
                              <w:t>0.68</w:t>
                            </w:r>
                          </w:p>
                        </w:tc>
                        <w:tc>
                          <w:tcPr>
                            <w:tcW w:w="2197" w:type="dxa"/>
                            <w:tcBorders>
                              <w:top w:val="single" w:sz="4" w:space="0" w:color="auto"/>
                            </w:tcBorders>
                            <w:shd w:val="clear" w:color="auto" w:fill="auto"/>
                          </w:tcPr>
                          <w:p w14:paraId="39134735" w14:textId="77777777" w:rsidR="002261A7" w:rsidRPr="00FB14B9" w:rsidRDefault="002261A7" w:rsidP="00A60D4B">
                            <w:pPr>
                              <w:pStyle w:val="Btablefigureunbold"/>
                              <w:keepNext/>
                              <w:keepLines/>
                            </w:pPr>
                            <w:r w:rsidRPr="00FB14B9">
                              <w:t>1.2</w:t>
                            </w:r>
                          </w:p>
                        </w:tc>
                      </w:tr>
                      <w:tr w:rsidR="002261A7" w:rsidRPr="00FB14B9" w14:paraId="3D6902A8" w14:textId="77777777" w:rsidTr="00A60D4B">
                        <w:trPr>
                          <w:trHeight w:val="227"/>
                          <w:jc w:val="center"/>
                        </w:trPr>
                        <w:tc>
                          <w:tcPr>
                            <w:tcW w:w="2837" w:type="dxa"/>
                            <w:shd w:val="clear" w:color="000000" w:fill="FFFFFF"/>
                            <w:hideMark/>
                          </w:tcPr>
                          <w:p w14:paraId="0D423D67" w14:textId="77777777" w:rsidR="002261A7" w:rsidRPr="00FB14B9" w:rsidRDefault="002261A7" w:rsidP="00A60D4B">
                            <w:pPr>
                              <w:pStyle w:val="Btabletextunbold"/>
                              <w:keepNext/>
                              <w:keepLines/>
                            </w:pPr>
                            <w:r w:rsidRPr="00FB14B9">
                              <w:t>$200,001 to $300,000</w:t>
                            </w:r>
                          </w:p>
                        </w:tc>
                        <w:tc>
                          <w:tcPr>
                            <w:tcW w:w="2196" w:type="dxa"/>
                            <w:shd w:val="clear" w:color="auto" w:fill="auto"/>
                          </w:tcPr>
                          <w:p w14:paraId="413A466D" w14:textId="77777777" w:rsidR="002261A7" w:rsidRPr="00FB14B9" w:rsidRDefault="002261A7" w:rsidP="00A60D4B">
                            <w:pPr>
                              <w:pStyle w:val="Btablefigureunbold"/>
                              <w:keepNext/>
                              <w:keepLines/>
                            </w:pPr>
                            <w:r w:rsidRPr="00FB14B9">
                              <w:t>2.2</w:t>
                            </w:r>
                          </w:p>
                        </w:tc>
                        <w:tc>
                          <w:tcPr>
                            <w:tcW w:w="2197" w:type="dxa"/>
                            <w:shd w:val="clear" w:color="auto" w:fill="auto"/>
                          </w:tcPr>
                          <w:p w14:paraId="73AC8B4D" w14:textId="77777777" w:rsidR="002261A7" w:rsidRPr="00FB14B9" w:rsidRDefault="002261A7" w:rsidP="00A60D4B">
                            <w:pPr>
                              <w:pStyle w:val="Btablefigureunbold"/>
                              <w:keepNext/>
                              <w:keepLines/>
                            </w:pPr>
                            <w:r w:rsidRPr="00FB14B9">
                              <w:t>2.2</w:t>
                            </w:r>
                          </w:p>
                        </w:tc>
                      </w:tr>
                      <w:tr w:rsidR="002261A7" w:rsidRPr="00FB14B9" w14:paraId="393CC1CC" w14:textId="77777777" w:rsidTr="00A60D4B">
                        <w:trPr>
                          <w:trHeight w:val="227"/>
                          <w:jc w:val="center"/>
                        </w:trPr>
                        <w:tc>
                          <w:tcPr>
                            <w:tcW w:w="2837" w:type="dxa"/>
                            <w:shd w:val="clear" w:color="000000" w:fill="FFFFFF"/>
                            <w:hideMark/>
                          </w:tcPr>
                          <w:p w14:paraId="0097C046" w14:textId="77777777" w:rsidR="002261A7" w:rsidRPr="00FB14B9" w:rsidRDefault="002261A7" w:rsidP="00A60D4B">
                            <w:pPr>
                              <w:pStyle w:val="Btabletextunbold"/>
                              <w:keepNext/>
                              <w:keepLines/>
                            </w:pPr>
                            <w:r w:rsidRPr="00FB14B9">
                              <w:t>$300,001 to $500,000</w:t>
                            </w:r>
                          </w:p>
                        </w:tc>
                        <w:tc>
                          <w:tcPr>
                            <w:tcW w:w="2196" w:type="dxa"/>
                            <w:shd w:val="clear" w:color="auto" w:fill="auto"/>
                          </w:tcPr>
                          <w:p w14:paraId="58B7FDB8" w14:textId="77777777" w:rsidR="002261A7" w:rsidRPr="00FB14B9" w:rsidRDefault="002261A7" w:rsidP="00A60D4B">
                            <w:pPr>
                              <w:pStyle w:val="Btablefigureunbold"/>
                              <w:keepNext/>
                              <w:keepLines/>
                            </w:pPr>
                            <w:r w:rsidRPr="00FB14B9">
                              <w:t>3.4</w:t>
                            </w:r>
                          </w:p>
                        </w:tc>
                        <w:tc>
                          <w:tcPr>
                            <w:tcW w:w="2197" w:type="dxa"/>
                            <w:shd w:val="clear" w:color="auto" w:fill="auto"/>
                          </w:tcPr>
                          <w:p w14:paraId="258D4FD7" w14:textId="77777777" w:rsidR="002261A7" w:rsidRPr="00FB14B9" w:rsidRDefault="002261A7" w:rsidP="00A60D4B">
                            <w:pPr>
                              <w:pStyle w:val="Btablefigureunbold"/>
                              <w:keepNext/>
                              <w:keepLines/>
                            </w:pPr>
                            <w:r w:rsidRPr="00FB14B9">
                              <w:t>3.4</w:t>
                            </w:r>
                          </w:p>
                        </w:tc>
                      </w:tr>
                      <w:tr w:rsidR="002261A7" w:rsidRPr="00FB14B9" w14:paraId="7F0E00A3" w14:textId="77777777" w:rsidTr="00A60D4B">
                        <w:trPr>
                          <w:trHeight w:val="227"/>
                          <w:jc w:val="center"/>
                        </w:trPr>
                        <w:tc>
                          <w:tcPr>
                            <w:tcW w:w="2837" w:type="dxa"/>
                            <w:shd w:val="clear" w:color="000000" w:fill="FFFFFF"/>
                            <w:hideMark/>
                          </w:tcPr>
                          <w:p w14:paraId="6AE38F04" w14:textId="77777777" w:rsidR="002261A7" w:rsidRPr="00FB14B9" w:rsidRDefault="002261A7" w:rsidP="00A60D4B">
                            <w:pPr>
                              <w:pStyle w:val="Btabletextunbold"/>
                              <w:keepNext/>
                              <w:keepLines/>
                            </w:pPr>
                            <w:r w:rsidRPr="00FB14B9">
                              <w:t>$500,001 to $750,000</w:t>
                            </w:r>
                          </w:p>
                        </w:tc>
                        <w:tc>
                          <w:tcPr>
                            <w:tcW w:w="2196" w:type="dxa"/>
                            <w:shd w:val="clear" w:color="auto" w:fill="auto"/>
                          </w:tcPr>
                          <w:p w14:paraId="36F2797A" w14:textId="77777777" w:rsidR="002261A7" w:rsidRPr="00FB14B9" w:rsidRDefault="002261A7" w:rsidP="00A60D4B">
                            <w:pPr>
                              <w:pStyle w:val="Btablefigureunbold"/>
                              <w:keepNext/>
                              <w:keepLines/>
                            </w:pPr>
                            <w:r w:rsidRPr="00FB14B9">
                              <w:t>4.32</w:t>
                            </w:r>
                          </w:p>
                        </w:tc>
                        <w:tc>
                          <w:tcPr>
                            <w:tcW w:w="2197" w:type="dxa"/>
                            <w:shd w:val="clear" w:color="auto" w:fill="auto"/>
                          </w:tcPr>
                          <w:p w14:paraId="0F2AFBE4" w14:textId="77777777" w:rsidR="002261A7" w:rsidRPr="00FB14B9" w:rsidRDefault="002261A7" w:rsidP="00A60D4B">
                            <w:pPr>
                              <w:pStyle w:val="Btablefigureunbold"/>
                              <w:keepNext/>
                              <w:keepLines/>
                            </w:pPr>
                            <w:r w:rsidRPr="00FB14B9">
                              <w:t>4.32</w:t>
                            </w:r>
                          </w:p>
                        </w:tc>
                      </w:tr>
                      <w:tr w:rsidR="002261A7" w:rsidRPr="00FB14B9" w14:paraId="30FFC9E9" w14:textId="77777777" w:rsidTr="00A60D4B">
                        <w:trPr>
                          <w:trHeight w:val="227"/>
                          <w:jc w:val="center"/>
                        </w:trPr>
                        <w:tc>
                          <w:tcPr>
                            <w:tcW w:w="2837" w:type="dxa"/>
                            <w:shd w:val="clear" w:color="000000" w:fill="FFFFFF"/>
                            <w:hideMark/>
                          </w:tcPr>
                          <w:p w14:paraId="573B70DD" w14:textId="77777777" w:rsidR="002261A7" w:rsidRPr="00FB14B9" w:rsidRDefault="002261A7" w:rsidP="00A60D4B">
                            <w:pPr>
                              <w:pStyle w:val="Btabletextunbold"/>
                              <w:keepNext/>
                              <w:keepLines/>
                            </w:pPr>
                            <w:r w:rsidRPr="00FB14B9">
                              <w:t>$750,001 to $1,000,000</w:t>
                            </w:r>
                          </w:p>
                        </w:tc>
                        <w:tc>
                          <w:tcPr>
                            <w:tcW w:w="2196" w:type="dxa"/>
                            <w:shd w:val="clear" w:color="auto" w:fill="auto"/>
                          </w:tcPr>
                          <w:p w14:paraId="1E65ADAC" w14:textId="77777777" w:rsidR="002261A7" w:rsidRPr="00FB14B9" w:rsidRDefault="002261A7" w:rsidP="00A60D4B">
                            <w:pPr>
                              <w:pStyle w:val="Btablefigureunbold"/>
                              <w:keepNext/>
                              <w:keepLines/>
                            </w:pPr>
                            <w:r w:rsidRPr="00FB14B9">
                              <w:t>5.9</w:t>
                            </w:r>
                          </w:p>
                        </w:tc>
                        <w:tc>
                          <w:tcPr>
                            <w:tcW w:w="2197" w:type="dxa"/>
                            <w:shd w:val="clear" w:color="auto" w:fill="auto"/>
                          </w:tcPr>
                          <w:p w14:paraId="3DC45BBA" w14:textId="77777777" w:rsidR="002261A7" w:rsidRPr="00FB14B9" w:rsidRDefault="002261A7" w:rsidP="00A60D4B">
                            <w:pPr>
                              <w:pStyle w:val="Btablefigureunbold"/>
                              <w:keepNext/>
                              <w:keepLines/>
                            </w:pPr>
                            <w:r w:rsidRPr="00FB14B9">
                              <w:t>5.9</w:t>
                            </w:r>
                          </w:p>
                        </w:tc>
                      </w:tr>
                      <w:tr w:rsidR="002261A7" w:rsidRPr="00FB14B9" w14:paraId="28F9FECD" w14:textId="77777777" w:rsidTr="00A60D4B">
                        <w:trPr>
                          <w:trHeight w:val="227"/>
                          <w:jc w:val="center"/>
                        </w:trPr>
                        <w:tc>
                          <w:tcPr>
                            <w:tcW w:w="2837" w:type="dxa"/>
                            <w:shd w:val="clear" w:color="000000" w:fill="FFFFFF"/>
                            <w:hideMark/>
                          </w:tcPr>
                          <w:p w14:paraId="5FF1B33A" w14:textId="77777777" w:rsidR="002261A7" w:rsidRPr="00FB14B9" w:rsidRDefault="002261A7" w:rsidP="00A60D4B">
                            <w:pPr>
                              <w:pStyle w:val="Btabletextunbold"/>
                              <w:keepNext/>
                              <w:keepLines/>
                            </w:pPr>
                            <w:r w:rsidRPr="00FB14B9">
                              <w:t>$1,000,001 to $1,455,000</w:t>
                            </w:r>
                          </w:p>
                        </w:tc>
                        <w:tc>
                          <w:tcPr>
                            <w:tcW w:w="2196" w:type="dxa"/>
                            <w:shd w:val="clear" w:color="auto" w:fill="auto"/>
                          </w:tcPr>
                          <w:p w14:paraId="5675B221" w14:textId="77777777" w:rsidR="002261A7" w:rsidRPr="00FB14B9" w:rsidRDefault="002261A7" w:rsidP="00A60D4B">
                            <w:pPr>
                              <w:pStyle w:val="Btablefigureunbold"/>
                              <w:keepNext/>
                              <w:keepLines/>
                            </w:pPr>
                            <w:r w:rsidRPr="00FB14B9">
                              <w:t>6.4</w:t>
                            </w:r>
                          </w:p>
                        </w:tc>
                        <w:tc>
                          <w:tcPr>
                            <w:tcW w:w="2197" w:type="dxa"/>
                            <w:shd w:val="clear" w:color="auto" w:fill="auto"/>
                          </w:tcPr>
                          <w:p w14:paraId="7C3F71B4" w14:textId="77777777" w:rsidR="002261A7" w:rsidRPr="00FB14B9" w:rsidRDefault="002261A7" w:rsidP="00A60D4B">
                            <w:pPr>
                              <w:pStyle w:val="Btablefigureunbold"/>
                              <w:keepNext/>
                              <w:keepLines/>
                            </w:pPr>
                            <w:r w:rsidRPr="00FB14B9">
                              <w:t>6.4</w:t>
                            </w:r>
                          </w:p>
                        </w:tc>
                      </w:tr>
                      <w:tr w:rsidR="002261A7" w:rsidRPr="00FB14B9" w14:paraId="5E0FAA9E" w14:textId="77777777" w:rsidTr="00A60D4B">
                        <w:trPr>
                          <w:trHeight w:val="227"/>
                          <w:jc w:val="center"/>
                        </w:trPr>
                        <w:tc>
                          <w:tcPr>
                            <w:tcW w:w="2837" w:type="dxa"/>
                            <w:tcBorders>
                              <w:bottom w:val="single" w:sz="4" w:space="0" w:color="auto"/>
                            </w:tcBorders>
                            <w:shd w:val="clear" w:color="000000" w:fill="FFFFFF"/>
                            <w:hideMark/>
                          </w:tcPr>
                          <w:p w14:paraId="19B0D46B" w14:textId="77777777" w:rsidR="002261A7" w:rsidRPr="00FB14B9" w:rsidRDefault="002261A7" w:rsidP="00A60D4B">
                            <w:pPr>
                              <w:pStyle w:val="Btabletextunbold"/>
                              <w:keepNext/>
                              <w:keepLines/>
                            </w:pPr>
                            <w:r w:rsidRPr="00FB14B9">
                              <w:t>More than $1,455,000</w:t>
                            </w:r>
                            <w:r w:rsidRPr="00FB14B9">
                              <w:rPr>
                                <w:vertAlign w:val="superscript"/>
                              </w:rPr>
                              <w:t>1</w:t>
                            </w:r>
                          </w:p>
                        </w:tc>
                        <w:tc>
                          <w:tcPr>
                            <w:tcW w:w="2196" w:type="dxa"/>
                            <w:tcBorders>
                              <w:bottom w:val="single" w:sz="4" w:space="0" w:color="auto"/>
                            </w:tcBorders>
                            <w:shd w:val="clear" w:color="auto" w:fill="auto"/>
                          </w:tcPr>
                          <w:p w14:paraId="2FD1CD76" w14:textId="77777777" w:rsidR="002261A7" w:rsidRPr="00FB14B9" w:rsidRDefault="002261A7" w:rsidP="00A60D4B">
                            <w:pPr>
                              <w:pStyle w:val="Btablefigureunbold"/>
                              <w:keepNext/>
                              <w:keepLines/>
                            </w:pPr>
                            <w:r w:rsidRPr="00FB14B9">
                              <w:t>4.54</w:t>
                            </w:r>
                          </w:p>
                        </w:tc>
                        <w:tc>
                          <w:tcPr>
                            <w:tcW w:w="2197" w:type="dxa"/>
                            <w:tcBorders>
                              <w:bottom w:val="single" w:sz="4" w:space="0" w:color="auto"/>
                            </w:tcBorders>
                            <w:shd w:val="clear" w:color="auto" w:fill="auto"/>
                          </w:tcPr>
                          <w:p w14:paraId="1EC3F160" w14:textId="77777777" w:rsidR="002261A7" w:rsidRPr="00FB14B9" w:rsidRDefault="002261A7" w:rsidP="00A60D4B">
                            <w:pPr>
                              <w:pStyle w:val="Btablefigureunbold"/>
                              <w:keepNext/>
                              <w:keepLines/>
                            </w:pPr>
                            <w:r w:rsidRPr="00FB14B9">
                              <w:t>4.54</w:t>
                            </w:r>
                          </w:p>
                        </w:tc>
                      </w:tr>
                    </w:tbl>
                    <w:p w14:paraId="1A1158D3" w14:textId="77777777" w:rsidR="002261A7" w:rsidRPr="002B16D5" w:rsidRDefault="002261A7" w:rsidP="00A60D4B">
                      <w:pPr>
                        <w:pStyle w:val="BSnoteslist"/>
                        <w:numPr>
                          <w:ilvl w:val="0"/>
                          <w:numId w:val="0"/>
                        </w:numPr>
                        <w:ind w:left="360" w:hanging="360"/>
                        <w:rPr>
                          <w:rFonts w:eastAsia="Calibri"/>
                          <w:b/>
                          <w:color w:val="150045"/>
                          <w:szCs w:val="16"/>
                        </w:rPr>
                      </w:pPr>
                      <w:r w:rsidRPr="002B16D5">
                        <w:rPr>
                          <w:rFonts w:eastAsia="Calibri"/>
                          <w:b/>
                          <w:color w:val="150045"/>
                          <w:szCs w:val="16"/>
                        </w:rPr>
                        <w:t xml:space="preserve">Note: </w:t>
                      </w:r>
                    </w:p>
                    <w:p w14:paraId="26895FEF" w14:textId="77777777" w:rsidR="002261A7" w:rsidRPr="002B16D5" w:rsidRDefault="002261A7" w:rsidP="00A60D4B">
                      <w:pPr>
                        <w:pStyle w:val="BSnoteslist"/>
                        <w:numPr>
                          <w:ilvl w:val="0"/>
                          <w:numId w:val="43"/>
                        </w:numPr>
                        <w:rPr>
                          <w:rFonts w:eastAsia="Calibri"/>
                          <w:color w:val="150045"/>
                        </w:rPr>
                      </w:pPr>
                      <w:r w:rsidRPr="002B16D5">
                        <w:rPr>
                          <w:rFonts w:eastAsia="Calibri"/>
                          <w:color w:val="150045"/>
                        </w:rPr>
                        <w:t>The more than $1,455,000 rate is a flat rate on the entire value of the transaction.</w:t>
                      </w:r>
                    </w:p>
                    <w:p w14:paraId="7F322006" w14:textId="77777777" w:rsidR="002261A7" w:rsidRDefault="002261A7"/>
                  </w:txbxContent>
                </v:textbox>
                <w10:wrap type="square" anchorx="margin"/>
              </v:shape>
            </w:pict>
          </mc:Fallback>
        </mc:AlternateContent>
      </w:r>
      <w:r w:rsidRPr="004A7E1A">
        <w:t>There is a downside risk to the baseline revenue estimates for residential conveyance duty in 2021-22 if the</w:t>
      </w:r>
      <w:r>
        <w:t>re is a need for lockdowns over the first half of 2022 to manage community transmissions of the</w:t>
      </w:r>
      <w:r w:rsidRPr="004A7E1A">
        <w:t xml:space="preserve"> Delta </w:t>
      </w:r>
      <w:r>
        <w:t>variant</w:t>
      </w:r>
      <w:r w:rsidRPr="004A7E1A">
        <w:t xml:space="preserve">, </w:t>
      </w:r>
      <w:r>
        <w:t xml:space="preserve">limiting activity and </w:t>
      </w:r>
      <w:r w:rsidRPr="004A7E1A">
        <w:t xml:space="preserve">dampening consumer confidence. This could see </w:t>
      </w:r>
      <w:r>
        <w:t xml:space="preserve">lower </w:t>
      </w:r>
      <w:r w:rsidRPr="004A7E1A">
        <w:t xml:space="preserve">activity and house prices than </w:t>
      </w:r>
      <w:r w:rsidRPr="0091351C">
        <w:t>expected.</w:t>
      </w:r>
      <w:r>
        <w:t xml:space="preserve"> There is also the possibility of regulators intervening to limit the possibility of a housing asset price bubble emerging. </w:t>
      </w:r>
    </w:p>
    <w:p w14:paraId="19C6F1E7" w14:textId="77777777" w:rsidR="00A60D4B" w:rsidRPr="00D8348C" w:rsidRDefault="00A60D4B" w:rsidP="00A60D4B">
      <w:pPr>
        <w:pStyle w:val="Heading5"/>
        <w:spacing w:before="240"/>
      </w:pPr>
      <w:r w:rsidRPr="00D8348C">
        <w:t>Commercial conveyance duty</w:t>
      </w:r>
      <w:bookmarkEnd w:id="84"/>
    </w:p>
    <w:p w14:paraId="003AF194" w14:textId="77777777" w:rsidR="00A60D4B" w:rsidRDefault="00A60D4B" w:rsidP="00A60D4B">
      <w:pPr>
        <w:pStyle w:val="Bbodytext"/>
        <w:keepNext/>
        <w:keepLines/>
      </w:pPr>
      <w:r w:rsidRPr="00F51A22">
        <w:t>Commercial conveyance duty revenue is forecast to increase to $85.9 million in 2021-22, $</w:t>
      </w:r>
      <w:r>
        <w:t>54.2 million</w:t>
      </w:r>
      <w:r w:rsidRPr="00F51A22">
        <w:t xml:space="preserve"> </w:t>
      </w:r>
      <w:r>
        <w:t xml:space="preserve">(170.5 per cent) </w:t>
      </w:r>
      <w:r w:rsidRPr="00F51A22">
        <w:t xml:space="preserve">higher than the 2020-21 </w:t>
      </w:r>
      <w:r>
        <w:t>interim outcome of $31.8 million. This reflects the settlement of one large transaction in July 2021 rather than June as had been anticipated and more generally</w:t>
      </w:r>
      <w:r w:rsidRPr="00F51A22">
        <w:t xml:space="preserve"> a higher volume of transactions expected from high value properties. For the same reason, commercial conveyance duty revenue is forecast </w:t>
      </w:r>
      <w:r>
        <w:t>to</w:t>
      </w:r>
      <w:r w:rsidRPr="00F51A22">
        <w:t xml:space="preserve"> </w:t>
      </w:r>
      <w:r>
        <w:t>remain at an elevated level, although declining from the high in 2021-22 to $73.9 million in 2024-25</w:t>
      </w:r>
      <w:r w:rsidRPr="00F51A22">
        <w:t xml:space="preserve">. </w:t>
      </w:r>
      <w:r>
        <w:t>Over the forward estimates period, total commercial conveyance duty is forecast to be $224.1 million.</w:t>
      </w:r>
    </w:p>
    <w:p w14:paraId="70527941" w14:textId="77777777" w:rsidR="00A60D4B" w:rsidRPr="00416FD6" w:rsidRDefault="00A60D4B" w:rsidP="00A60D4B">
      <w:pPr>
        <w:pStyle w:val="Bbodytext"/>
      </w:pPr>
      <w:r w:rsidRPr="00416FD6">
        <w:t xml:space="preserve">Moving forward, more purchasers </w:t>
      </w:r>
      <w:r>
        <w:t xml:space="preserve">of commercial property </w:t>
      </w:r>
      <w:r w:rsidRPr="00416FD6">
        <w:t xml:space="preserve">will benefit from paying no conveyance duty. During Stage 3 of tax reform, the commercial </w:t>
      </w:r>
      <w:r>
        <w:t>conveyance</w:t>
      </w:r>
      <w:r w:rsidRPr="00416FD6">
        <w:t xml:space="preserve"> duty tax</w:t>
      </w:r>
      <w:r>
        <w:noBreakHyphen/>
      </w:r>
      <w:r w:rsidRPr="00416FD6">
        <w:t xml:space="preserve">free threshold will increase </w:t>
      </w:r>
      <w:r>
        <w:t>progressively from $1.5 million</w:t>
      </w:r>
      <w:r w:rsidRPr="00416FD6">
        <w:t xml:space="preserve"> to $2 million in 2025-26. </w:t>
      </w:r>
    </w:p>
    <w:p w14:paraId="27029F30" w14:textId="77777777" w:rsidR="00A60D4B" w:rsidRPr="0027329C" w:rsidRDefault="00A60D4B" w:rsidP="00A60D4B">
      <w:pPr>
        <w:pStyle w:val="Bbodytext"/>
      </w:pPr>
      <w:r w:rsidRPr="0027329C">
        <w:t xml:space="preserve">Over the four-year period to 2023-24, total </w:t>
      </w:r>
      <w:r>
        <w:t xml:space="preserve">collections from </w:t>
      </w:r>
      <w:r w:rsidRPr="0027329C">
        <w:t xml:space="preserve">commercial conveyance duty </w:t>
      </w:r>
      <w:r>
        <w:t>are</w:t>
      </w:r>
      <w:r w:rsidRPr="0027329C">
        <w:t xml:space="preserve"> expected to be $13</w:t>
      </w:r>
      <w:r>
        <w:t>.7</w:t>
      </w:r>
      <w:r w:rsidRPr="0027329C">
        <w:t xml:space="preserve"> million (5.</w:t>
      </w:r>
      <w:r>
        <w:t>4</w:t>
      </w:r>
      <w:r w:rsidRPr="0027329C">
        <w:t xml:space="preserve"> per cent) </w:t>
      </w:r>
      <w:r>
        <w:t>higher</w:t>
      </w:r>
      <w:r w:rsidRPr="0027329C">
        <w:t xml:space="preserve"> than </w:t>
      </w:r>
      <w:r>
        <w:t>the</w:t>
      </w:r>
      <w:r w:rsidRPr="0027329C">
        <w:t xml:space="preserve"> estimate </w:t>
      </w:r>
      <w:r>
        <w:t>in</w:t>
      </w:r>
      <w:r w:rsidRPr="0027329C">
        <w:t xml:space="preserve"> the </w:t>
      </w:r>
      <w:r w:rsidRPr="0027329C">
        <w:rPr>
          <w:szCs w:val="24"/>
        </w:rPr>
        <w:t>2020-21 Budget</w:t>
      </w:r>
      <w:r w:rsidRPr="0027329C">
        <w:t xml:space="preserve">. </w:t>
      </w:r>
    </w:p>
    <w:p w14:paraId="2AA1BDF2" w14:textId="77777777" w:rsidR="00A60D4B" w:rsidRDefault="00A60D4B" w:rsidP="00A60D4B">
      <w:pPr>
        <w:pStyle w:val="Heading4"/>
      </w:pPr>
      <w:r>
        <w:t xml:space="preserve">Duty on motor vehicle registrations and transfers </w:t>
      </w:r>
    </w:p>
    <w:p w14:paraId="1A00A7A9" w14:textId="77777777" w:rsidR="00A60D4B" w:rsidRDefault="00A60D4B" w:rsidP="00A60D4B">
      <w:pPr>
        <w:pStyle w:val="Bbodytext"/>
      </w:pPr>
      <w:r w:rsidRPr="00FD1C58">
        <w:t>Revenue</w:t>
      </w:r>
      <w:r>
        <w:t xml:space="preserve"> from motor vehicle registrations and transfers duty in 2021-22 is estimated to be $34.4 million, a reduction of $4.6 million from the record high interim outcome of $39.0 million in 2020-21. Revenue from motor vehicle registrations and transfers duty is expected to be fairly stable over the forward estimates period, totalling $105.8 million.</w:t>
      </w:r>
    </w:p>
    <w:p w14:paraId="262CC175" w14:textId="77777777" w:rsidR="00A60D4B" w:rsidRPr="00FD1C58" w:rsidRDefault="00A60D4B" w:rsidP="00A60D4B">
      <w:pPr>
        <w:pStyle w:val="Bbodytext"/>
        <w:keepNext/>
        <w:keepLines/>
      </w:pPr>
      <w:r>
        <w:lastRenderedPageBreak/>
        <w:t>The strong outcome in 2020-21 was driven by stronger-than-anticipated activity from the purchase of replacement vehicles damaged by the hailstorms in January 2020 which continued into the second half of 2021 and businesses taking advantage of the Commonwealth instant asset write-off incentive to purchase vehicles. The easing of restrictions and a full recovery in consumer and business confidence also contributed to the strong outcome in that financial year.</w:t>
      </w:r>
    </w:p>
    <w:p w14:paraId="1E066EC9" w14:textId="77777777" w:rsidR="00A60D4B" w:rsidRDefault="00A60D4B" w:rsidP="00A60D4B">
      <w:pPr>
        <w:pStyle w:val="Bbodytext"/>
      </w:pPr>
      <w:r w:rsidRPr="00155866">
        <w:t xml:space="preserve">Despite the expected moderation in activity for both new and used vehicles, revenue from motor vehicle registrations and transfers duty over the </w:t>
      </w:r>
      <w:r>
        <w:t>forward estimates</w:t>
      </w:r>
      <w:r w:rsidRPr="00155866">
        <w:t xml:space="preserve"> is expected to </w:t>
      </w:r>
      <w:r>
        <w:t>trend</w:t>
      </w:r>
      <w:r w:rsidRPr="00155866">
        <w:t xml:space="preserve"> </w:t>
      </w:r>
      <w:r>
        <w:t>above the</w:t>
      </w:r>
      <w:r w:rsidRPr="00155866">
        <w:t xml:space="preserve"> 2020-21 Budget </w:t>
      </w:r>
      <w:r>
        <w:t xml:space="preserve">estimates </w:t>
      </w:r>
      <w:r w:rsidRPr="00155866">
        <w:t>reflecting a higher revenue base.</w:t>
      </w:r>
    </w:p>
    <w:p w14:paraId="77D4E138" w14:textId="77777777" w:rsidR="00A60D4B" w:rsidRPr="00C04A79" w:rsidRDefault="00A60D4B" w:rsidP="00A60D4B">
      <w:pPr>
        <w:pStyle w:val="Bbodytext"/>
      </w:pPr>
      <w:r w:rsidRPr="00D53D47">
        <w:t xml:space="preserve">Over the four-year period to 2023-24, </w:t>
      </w:r>
      <w:r w:rsidRPr="004A5121">
        <w:t xml:space="preserve">revenue from motor vehicle registrations and transfers duty </w:t>
      </w:r>
      <w:r w:rsidRPr="00D53D47">
        <w:t xml:space="preserve">is </w:t>
      </w:r>
      <w:r>
        <w:t>estimated</w:t>
      </w:r>
      <w:r w:rsidRPr="00D53D47">
        <w:t xml:space="preserve"> to be </w:t>
      </w:r>
      <w:r>
        <w:t xml:space="preserve">$12.7 million (9.7 per cent) </w:t>
      </w:r>
      <w:r w:rsidRPr="00D53D47">
        <w:t xml:space="preserve">higher than the estimates in the 2020-21 Budget. </w:t>
      </w:r>
    </w:p>
    <w:p w14:paraId="3CD11722" w14:textId="77777777" w:rsidR="00A60D4B" w:rsidRDefault="00A60D4B" w:rsidP="00A60D4B">
      <w:pPr>
        <w:pStyle w:val="Heading4"/>
      </w:pPr>
      <w:r>
        <w:t xml:space="preserve">Gambling taxes </w:t>
      </w:r>
    </w:p>
    <w:p w14:paraId="3C713B82" w14:textId="77777777" w:rsidR="00A60D4B" w:rsidRDefault="00A60D4B" w:rsidP="00A60D4B">
      <w:pPr>
        <w:pStyle w:val="Bbodytext"/>
      </w:pPr>
      <w:r>
        <w:t>Gambling tax revenue is forecast to be $62.2 million in 2021-22, a fall of $7</w:t>
      </w:r>
      <w:r w:rsidRPr="0024521F">
        <w:t xml:space="preserve"> million (</w:t>
      </w:r>
      <w:r>
        <w:t>10.1 </w:t>
      </w:r>
      <w:r w:rsidRPr="0024521F">
        <w:t>per</w:t>
      </w:r>
      <w:r>
        <w:t> </w:t>
      </w:r>
      <w:r w:rsidRPr="0024521F">
        <w:t xml:space="preserve">cent) from </w:t>
      </w:r>
      <w:r>
        <w:t>the 2020-21 interim outcome of $69.2 million. This reflects restricted access to gambling venues</w:t>
      </w:r>
      <w:r w:rsidRPr="0024521F">
        <w:t xml:space="preserve"> </w:t>
      </w:r>
      <w:r>
        <w:t xml:space="preserve">from the current lockdown in the Territory which is partially offset by an expected increase in online gambling in 2021-22. </w:t>
      </w:r>
    </w:p>
    <w:p w14:paraId="5F04C0FE" w14:textId="77777777" w:rsidR="00A60D4B" w:rsidRDefault="00A60D4B" w:rsidP="00A60D4B">
      <w:pPr>
        <w:pStyle w:val="Bbodytext"/>
        <w:keepNext/>
        <w:keepLines/>
      </w:pPr>
      <w:r>
        <w:t xml:space="preserve">Gambling tax revenue is expected to increase in 2022-23 as COVID-19 public health and social measures are eased and </w:t>
      </w:r>
      <w:r w:rsidRPr="00E43CF9">
        <w:t xml:space="preserve">increase at a </w:t>
      </w:r>
      <w:r>
        <w:t>moderate</w:t>
      </w:r>
      <w:r w:rsidRPr="00E43CF9">
        <w:t xml:space="preserve"> rate </w:t>
      </w:r>
      <w:r>
        <w:t>for the rest of the forward estimates</w:t>
      </w:r>
      <w:r w:rsidRPr="00E43CF9">
        <w:t>, primarily due to implementation of the Government’s harm minimisation initiatives.</w:t>
      </w:r>
      <w:r>
        <w:t xml:space="preserve"> Total revenue over the forward estimates period is expected to be $227.2 million. Over the four-year period to 2023-24, revenue from gambling taxes is expected to be $18.5 million (6.2 per cent) lower</w:t>
      </w:r>
      <w:r w:rsidRPr="00D97652">
        <w:t xml:space="preserve"> than the estimates in the 2020-21 Budget</w:t>
      </w:r>
      <w:r>
        <w:t xml:space="preserve"> over the four</w:t>
      </w:r>
      <w:r>
        <w:noBreakHyphen/>
        <w:t>year period to 2023</w:t>
      </w:r>
      <w:r>
        <w:noBreakHyphen/>
        <w:t>24.</w:t>
      </w:r>
    </w:p>
    <w:p w14:paraId="546CB726" w14:textId="77777777" w:rsidR="00A60D4B" w:rsidRPr="00510954" w:rsidRDefault="00A60D4B" w:rsidP="00A60D4B">
      <w:pPr>
        <w:pStyle w:val="Heading4"/>
      </w:pPr>
      <w:r>
        <w:t>Other own-source taxation revenue</w:t>
      </w:r>
    </w:p>
    <w:p w14:paraId="69BB15B4" w14:textId="77777777" w:rsidR="00A60D4B" w:rsidRDefault="00A60D4B" w:rsidP="00A60D4B">
      <w:pPr>
        <w:pStyle w:val="Bbodytext"/>
      </w:pPr>
      <w:r>
        <w:t>Other own-source taxation revenue is forecast to be $356.5 million in 2021</w:t>
      </w:r>
      <w:r>
        <w:noBreakHyphen/>
        <w:t xml:space="preserve">22, an increase of $5.1 million over the 2020-21 interim outcome of $351.4 million. This is largely driven by increases in revenue collected from the </w:t>
      </w:r>
      <w:r w:rsidRPr="002915D2">
        <w:t>Fire and Emergency Services Levy</w:t>
      </w:r>
      <w:r>
        <w:t>, the Safer Families Levy and t</w:t>
      </w:r>
      <w:r w:rsidRPr="002915D2">
        <w:t>he City Centre Marketing and Improvements Levy</w:t>
      </w:r>
      <w:r>
        <w:t>, partially offset by a decline in revenue from the Lease Variation Charge. Over the forward estimates period, total other own-source taxation revenue is forecast to be $1.1 billion, progressively increasing to $394.4 million in 2024-25. The annual average growth rate for other own-source taxation revenue is expected to be 2.9 per cent, lower than the pre-pandemic growth rate of 8.9 per cent per annum on average.</w:t>
      </w:r>
    </w:p>
    <w:p w14:paraId="493C7F9E" w14:textId="77777777" w:rsidR="00A60D4B" w:rsidRPr="003E089B" w:rsidRDefault="00A60D4B" w:rsidP="00A60D4B">
      <w:pPr>
        <w:pStyle w:val="Bbodytext"/>
      </w:pPr>
      <w:r w:rsidRPr="003E089B">
        <w:t>Over the four-year period to 2023-24, other own-source taxation revenue is estimated to be $5</w:t>
      </w:r>
      <w:r>
        <w:t>7.9</w:t>
      </w:r>
      <w:r w:rsidRPr="003E089B">
        <w:t xml:space="preserve"> million (</w:t>
      </w:r>
      <w:r>
        <w:t>4.1</w:t>
      </w:r>
      <w:r w:rsidRPr="003E089B">
        <w:t xml:space="preserve"> per cent) higher than estimated at the time of the 2020-21 Budget</w:t>
      </w:r>
      <w:r>
        <w:t xml:space="preserve">, reflecting stronger revenue collections across all other own-source taxation lines, with the motor vehicle registration fees and the </w:t>
      </w:r>
      <w:r w:rsidRPr="002915D2">
        <w:t>Fire and Emergency Services Levy</w:t>
      </w:r>
      <w:r>
        <w:t xml:space="preserve"> being the main contributors</w:t>
      </w:r>
      <w:r w:rsidRPr="003E089B">
        <w:t xml:space="preserve">. </w:t>
      </w:r>
    </w:p>
    <w:p w14:paraId="30F8B973" w14:textId="77777777" w:rsidR="00A60D4B" w:rsidRPr="00EC7BDC" w:rsidRDefault="00A60D4B" w:rsidP="00A60D4B">
      <w:pPr>
        <w:pStyle w:val="Heading5"/>
      </w:pPr>
      <w:r>
        <w:t>Motor vehicle registration fees</w:t>
      </w:r>
      <w:r w:rsidRPr="00EC7BDC">
        <w:t xml:space="preserve"> </w:t>
      </w:r>
    </w:p>
    <w:p w14:paraId="50EF3D94" w14:textId="77777777" w:rsidR="00A60D4B" w:rsidRDefault="00A60D4B" w:rsidP="00A60D4B">
      <w:pPr>
        <w:pStyle w:val="Bbodytext"/>
        <w:spacing w:line="259" w:lineRule="auto"/>
      </w:pPr>
      <w:r>
        <w:t xml:space="preserve">The interim outcome for motor vehicle registration fees is $157.1 million in 2020-21, $6.4 million (4.3 per cent) higher than estimated in the 2020-21 Budget. </w:t>
      </w:r>
    </w:p>
    <w:p w14:paraId="051A3794" w14:textId="6026FB2E" w:rsidR="00A60D4B" w:rsidRDefault="00A60D4B" w:rsidP="00A60D4B">
      <w:pPr>
        <w:pStyle w:val="Bbodytext"/>
        <w:spacing w:line="259" w:lineRule="auto"/>
      </w:pPr>
      <w:r>
        <w:lastRenderedPageBreak/>
        <w:t>Motor vehicle registration fees are forecast to increase moderately to $158.2 million in 2021</w:t>
      </w:r>
      <w:r>
        <w:noBreakHyphen/>
        <w:t>22, which is $1.0 million (0.7 per cent) higher than the 2020-21 interim outcome. Growth in motor vehicle registration fees is expected to be subdued over the period 2021</w:t>
      </w:r>
      <w:r>
        <w:noBreakHyphen/>
        <w:t xml:space="preserve">22 to 2023-24, largely due to revenue forgone from the initiative that exempts Zero Emissions Vehicles from registration fees for the first two years from the date of purchase. Further details can be found in Fiscal Strategy and </w:t>
      </w:r>
      <w:r w:rsidR="009E0720">
        <w:t>Wellbeing Initiatives</w:t>
      </w:r>
      <w:r w:rsidRPr="00EC48CD">
        <w:t xml:space="preserve"> (Chapter 3.2).</w:t>
      </w:r>
    </w:p>
    <w:p w14:paraId="59D2CFF4" w14:textId="77777777" w:rsidR="00A60D4B" w:rsidRDefault="00A60D4B" w:rsidP="00A60D4B">
      <w:pPr>
        <w:pStyle w:val="Bbodytext"/>
        <w:spacing w:line="259" w:lineRule="auto"/>
      </w:pPr>
      <w:r w:rsidRPr="00D63ADE">
        <w:t>Over the four-year period to 2023-24, motor vehicle registration fees are estimated to be $</w:t>
      </w:r>
      <w:r>
        <w:t>21.6</w:t>
      </w:r>
      <w:r w:rsidRPr="00D63ADE">
        <w:t xml:space="preserve"> million </w:t>
      </w:r>
      <w:r>
        <w:t xml:space="preserve">(3.5 per cent) </w:t>
      </w:r>
      <w:r w:rsidRPr="00D63ADE">
        <w:t>higher than the estimate in the 2020-21 Budget.</w:t>
      </w:r>
    </w:p>
    <w:p w14:paraId="07809D69" w14:textId="77777777" w:rsidR="00A60D4B" w:rsidRPr="00D8348C" w:rsidRDefault="00A60D4B" w:rsidP="00A60D4B">
      <w:pPr>
        <w:pStyle w:val="Heading5"/>
      </w:pPr>
      <w:r w:rsidRPr="00D8348C">
        <w:t>Ambulance Levy</w:t>
      </w:r>
    </w:p>
    <w:p w14:paraId="6C23697B" w14:textId="77777777" w:rsidR="00A60D4B" w:rsidRDefault="00A60D4B" w:rsidP="00A60D4B">
      <w:pPr>
        <w:pStyle w:val="Bbodytext"/>
      </w:pPr>
      <w:r w:rsidRPr="00D63ADE">
        <w:t xml:space="preserve">The Ambulance Levy is payable each month by private health insurance companies to </w:t>
      </w:r>
      <w:r>
        <w:t xml:space="preserve">partially </w:t>
      </w:r>
      <w:r w:rsidRPr="00D63ADE">
        <w:t>offset the cost of providing ambulance services in the Territory. The levy is calculated on the number and type of private health insurance contributions.</w:t>
      </w:r>
    </w:p>
    <w:p w14:paraId="2592978F" w14:textId="77777777" w:rsidR="00A60D4B" w:rsidRDefault="00A60D4B" w:rsidP="00A60D4B">
      <w:pPr>
        <w:pStyle w:val="Bbodytext"/>
        <w:keepNext/>
        <w:keepLines/>
      </w:pPr>
      <w:r>
        <w:t>The 2021-22 forecast for the Ambulance Levy is $25.7 million, around $240,000 higher than the interim outcome of</w:t>
      </w:r>
      <w:r w:rsidRPr="00D63ADE">
        <w:t xml:space="preserve"> $25.5 million in 2020-21</w:t>
      </w:r>
      <w:r>
        <w:t>, which is</w:t>
      </w:r>
      <w:r w:rsidRPr="00D63ADE">
        <w:t xml:space="preserve"> </w:t>
      </w:r>
      <w:r>
        <w:t>$</w:t>
      </w:r>
      <w:r w:rsidRPr="00D63ADE">
        <w:t>1.3 million</w:t>
      </w:r>
      <w:r>
        <w:t xml:space="preserve"> </w:t>
      </w:r>
      <w:r w:rsidRPr="00D63ADE">
        <w:t>(</w:t>
      </w:r>
      <w:r>
        <w:t>5.6</w:t>
      </w:r>
      <w:r w:rsidRPr="00D63ADE">
        <w:t xml:space="preserve"> per cent) higher than estimated in the 2020-21 Budget, due to </w:t>
      </w:r>
      <w:r>
        <w:t xml:space="preserve">a </w:t>
      </w:r>
      <w:r w:rsidRPr="00D63ADE">
        <w:t xml:space="preserve">higher than anticipated </w:t>
      </w:r>
      <w:r>
        <w:t>uptake</w:t>
      </w:r>
      <w:r w:rsidRPr="00D63ADE">
        <w:t xml:space="preserve"> of private health insurance. </w:t>
      </w:r>
    </w:p>
    <w:p w14:paraId="03CD16CE" w14:textId="77777777" w:rsidR="00A60D4B" w:rsidRDefault="00A60D4B" w:rsidP="00A60D4B">
      <w:pPr>
        <w:pStyle w:val="Bbodytext"/>
        <w:keepNext/>
        <w:keepLines/>
      </w:pPr>
      <w:r w:rsidRPr="00D63ADE">
        <w:t xml:space="preserve">This elevated level of private health insurance </w:t>
      </w:r>
      <w:r>
        <w:t>uptake</w:t>
      </w:r>
      <w:r w:rsidRPr="00D63ADE">
        <w:t xml:space="preserve"> is expected to continue </w:t>
      </w:r>
      <w:r>
        <w:t>in the near term</w:t>
      </w:r>
      <w:r w:rsidRPr="00D63ADE">
        <w:t>, reflecting a behavioural response to the pandemic</w:t>
      </w:r>
      <w:r w:rsidRPr="0092318F">
        <w:t>.</w:t>
      </w:r>
      <w:r>
        <w:t xml:space="preserve"> As a result, the Ambulance Levy is expected to increase over the forward estimates period and reach around $27.6 million in 2024-25. Total collections over the forward estimates period are forecast to be $81 million.</w:t>
      </w:r>
    </w:p>
    <w:p w14:paraId="6DF085BF" w14:textId="77777777" w:rsidR="00A60D4B" w:rsidRDefault="00A60D4B" w:rsidP="00A60D4B">
      <w:pPr>
        <w:pStyle w:val="Bbodytext"/>
        <w:keepNext/>
        <w:keepLines/>
      </w:pPr>
      <w:r w:rsidRPr="00D63ADE">
        <w:t xml:space="preserve">Over the four-year period </w:t>
      </w:r>
      <w:r>
        <w:t xml:space="preserve">to </w:t>
      </w:r>
      <w:r w:rsidRPr="00D63ADE">
        <w:t xml:space="preserve">2023-24, </w:t>
      </w:r>
      <w:r>
        <w:t xml:space="preserve">the </w:t>
      </w:r>
      <w:r w:rsidRPr="00D63ADE">
        <w:t xml:space="preserve">Ambulance Levy is estimated to be $6.2 million </w:t>
      </w:r>
      <w:r>
        <w:t xml:space="preserve">(6.3 per cent) </w:t>
      </w:r>
      <w:r w:rsidRPr="00D63ADE">
        <w:t>higher than the estimate in the 2020-21 Budget.</w:t>
      </w:r>
    </w:p>
    <w:p w14:paraId="3F47D0F8" w14:textId="77777777" w:rsidR="00A60D4B" w:rsidRPr="00D8348C" w:rsidRDefault="00A60D4B" w:rsidP="00A60D4B">
      <w:pPr>
        <w:pStyle w:val="Heading5"/>
      </w:pPr>
      <w:r w:rsidRPr="00D8348C">
        <w:t>Lease Variation Charge</w:t>
      </w:r>
    </w:p>
    <w:p w14:paraId="4128992E" w14:textId="77777777" w:rsidR="00A60D4B" w:rsidRDefault="00A60D4B" w:rsidP="00A60D4B">
      <w:pPr>
        <w:pStyle w:val="Bbodytext"/>
      </w:pPr>
      <w:r w:rsidRPr="00D63ADE">
        <w:t xml:space="preserve">The </w:t>
      </w:r>
      <w:r>
        <w:t xml:space="preserve">interim outcome for the </w:t>
      </w:r>
      <w:r w:rsidRPr="00D63ADE">
        <w:t xml:space="preserve">Lease Variation Charge is $28 million in 2020-21, </w:t>
      </w:r>
      <w:r>
        <w:t xml:space="preserve">which is </w:t>
      </w:r>
      <w:r w:rsidRPr="00D63ADE">
        <w:t>$6</w:t>
      </w:r>
      <w:r>
        <w:t> </w:t>
      </w:r>
      <w:r w:rsidRPr="00D63ADE">
        <w:t>million (</w:t>
      </w:r>
      <w:r>
        <w:t>27.0</w:t>
      </w:r>
      <w:r w:rsidRPr="00D63ADE">
        <w:t xml:space="preserve"> per cent) higher than estimated in the 2020-21 Budget. This </w:t>
      </w:r>
      <w:r w:rsidRPr="00D63ADE" w:rsidDel="00691F30">
        <w:t xml:space="preserve">is likely </w:t>
      </w:r>
      <w:r>
        <w:t>to be driven by</w:t>
      </w:r>
      <w:r w:rsidRPr="00D63ADE">
        <w:t xml:space="preserve"> </w:t>
      </w:r>
      <w:r>
        <w:t>a bring forward in activity in response to the Lease Variation Charge remission providing support for the construction sector that was in effect up to 30 June 2021</w:t>
      </w:r>
      <w:r w:rsidRPr="00D63ADE">
        <w:t xml:space="preserve">. For this reason, the Lease Variation Charge is expected to </w:t>
      </w:r>
      <w:r>
        <w:t>decline by $6.5 million (23.2 per cent) to $21.5 million</w:t>
      </w:r>
      <w:r w:rsidRPr="00D63ADE">
        <w:t xml:space="preserve"> in 2021-22</w:t>
      </w:r>
      <w:r w:rsidDel="000B5669">
        <w:t xml:space="preserve"> </w:t>
      </w:r>
      <w:r>
        <w:t>and then</w:t>
      </w:r>
      <w:r w:rsidDel="000B5669">
        <w:t xml:space="preserve"> </w:t>
      </w:r>
      <w:r>
        <w:t>increase in 2022-23, in line with stronger economic activity in this year. Growth then reflects expected levels of economic activity in 2023-24 and 2024-25. Total revenue over the forward estimates period is expected to be $80.7 million.</w:t>
      </w:r>
    </w:p>
    <w:p w14:paraId="4D894071" w14:textId="77777777" w:rsidR="00A60D4B" w:rsidRDefault="00A60D4B" w:rsidP="00A60D4B">
      <w:pPr>
        <w:pStyle w:val="Bbodytext"/>
      </w:pPr>
      <w:r w:rsidRPr="00D63ADE">
        <w:t xml:space="preserve">Over the four-year period to 2023-24, revenue from the Lease Variation Charge is estimated to be $2.5 million </w:t>
      </w:r>
      <w:r>
        <w:t xml:space="preserve">(2.6 per cent) </w:t>
      </w:r>
      <w:r w:rsidRPr="00D63ADE">
        <w:t xml:space="preserve">higher than the estimate in the 2020-21 Budget. </w:t>
      </w:r>
    </w:p>
    <w:p w14:paraId="257A1AE0" w14:textId="77777777" w:rsidR="00A60D4B" w:rsidRPr="00D8348C" w:rsidRDefault="00A60D4B" w:rsidP="00A60D4B">
      <w:pPr>
        <w:pStyle w:val="Heading5"/>
      </w:pPr>
      <w:r w:rsidRPr="00D8348C">
        <w:t>Utilities (Network Facilities) Tax</w:t>
      </w:r>
    </w:p>
    <w:p w14:paraId="5865C576" w14:textId="77777777" w:rsidR="00A60D4B" w:rsidRDefault="00A60D4B" w:rsidP="00A60D4B">
      <w:pPr>
        <w:pStyle w:val="Bbodytext"/>
      </w:pPr>
      <w:r w:rsidRPr="006C4C2E">
        <w:t>The Utilities (Network Facilities) Tax applies to the owner of a utility network facility that is</w:t>
      </w:r>
      <w:r>
        <w:t xml:space="preserve"> </w:t>
      </w:r>
      <w:r w:rsidRPr="006C4C2E">
        <w:t>installed on or under land in the ACT.</w:t>
      </w:r>
    </w:p>
    <w:p w14:paraId="535521A6" w14:textId="77777777" w:rsidR="00A60D4B" w:rsidRPr="00943814" w:rsidRDefault="00A60D4B" w:rsidP="00A60D4B">
      <w:pPr>
        <w:pStyle w:val="Bbodytext"/>
        <w:rPr>
          <w:rFonts w:eastAsia="Calibri"/>
        </w:rPr>
      </w:pPr>
      <w:r w:rsidRPr="00943814">
        <w:rPr>
          <w:rFonts w:eastAsia="Calibri"/>
        </w:rPr>
        <w:t>The interim outcome for the Utilities (Network Facilities) Tax is $44</w:t>
      </w:r>
      <w:r>
        <w:rPr>
          <w:rFonts w:eastAsia="Calibri"/>
        </w:rPr>
        <w:t>.0</w:t>
      </w:r>
      <w:r w:rsidRPr="00943814">
        <w:rPr>
          <w:rFonts w:eastAsia="Calibri"/>
        </w:rPr>
        <w:t xml:space="preserve"> million in 2020-21 and the forecast </w:t>
      </w:r>
      <w:r>
        <w:rPr>
          <w:rFonts w:eastAsia="Calibri"/>
        </w:rPr>
        <w:t>for</w:t>
      </w:r>
      <w:r w:rsidRPr="00943814">
        <w:rPr>
          <w:rFonts w:eastAsia="Calibri"/>
        </w:rPr>
        <w:t xml:space="preserve"> 2021-22 is $4</w:t>
      </w:r>
      <w:r>
        <w:rPr>
          <w:rFonts w:eastAsia="Calibri"/>
        </w:rPr>
        <w:t>5.0</w:t>
      </w:r>
      <w:r w:rsidRPr="00943814">
        <w:rPr>
          <w:rFonts w:eastAsia="Calibri"/>
        </w:rPr>
        <w:t xml:space="preserve"> million. </w:t>
      </w:r>
      <w:r>
        <w:rPr>
          <w:rFonts w:eastAsia="Calibri"/>
        </w:rPr>
        <w:t>Total revenue from this tax over the forward estimates period is expected to be $143 million, reaching $49 million in 2024-25.</w:t>
      </w:r>
    </w:p>
    <w:p w14:paraId="03F8B8B9" w14:textId="77777777" w:rsidR="00A60D4B" w:rsidRDefault="00A60D4B" w:rsidP="00A60D4B">
      <w:pPr>
        <w:pStyle w:val="Bbodytext"/>
      </w:pPr>
      <w:r w:rsidRPr="00943814">
        <w:rPr>
          <w:rFonts w:eastAsia="Calibri"/>
        </w:rPr>
        <w:lastRenderedPageBreak/>
        <w:t>Over the four-year period to 2023-24, revenue from the Utilities (Network Facilities) Tax is estimated to be $</w:t>
      </w:r>
      <w:r>
        <w:rPr>
          <w:rFonts w:eastAsia="Calibri"/>
        </w:rPr>
        <w:t>8.4</w:t>
      </w:r>
      <w:r w:rsidRPr="00943814">
        <w:rPr>
          <w:rFonts w:eastAsia="Calibri"/>
        </w:rPr>
        <w:t xml:space="preserve"> million </w:t>
      </w:r>
      <w:r>
        <w:rPr>
          <w:rFonts w:eastAsia="Calibri"/>
        </w:rPr>
        <w:t xml:space="preserve">(4.8 per cent) </w:t>
      </w:r>
      <w:r w:rsidRPr="00943814">
        <w:rPr>
          <w:rFonts w:eastAsia="Calibri"/>
        </w:rPr>
        <w:t>higher than the estimates in the 2020-21 Budget. This reflects faster than expected expansion of the utility networks in the Territory</w:t>
      </w:r>
      <w:r w:rsidRPr="0092318F">
        <w:t>.</w:t>
      </w:r>
      <w:r>
        <w:t xml:space="preserve"> </w:t>
      </w:r>
    </w:p>
    <w:p w14:paraId="77D33565" w14:textId="77777777" w:rsidR="00A60D4B" w:rsidRPr="00D8348C" w:rsidRDefault="00A60D4B" w:rsidP="00A60D4B">
      <w:pPr>
        <w:pStyle w:val="Heading5"/>
      </w:pPr>
      <w:bookmarkStart w:id="87" w:name="_Toc62206624"/>
      <w:r w:rsidRPr="00D8348C">
        <w:t>Fire and Emergency Services Levy</w:t>
      </w:r>
      <w:bookmarkEnd w:id="87"/>
    </w:p>
    <w:p w14:paraId="7CB459A0" w14:textId="77777777" w:rsidR="00A60D4B" w:rsidRPr="002915D2" w:rsidRDefault="00A60D4B" w:rsidP="00A60D4B">
      <w:pPr>
        <w:pStyle w:val="Bbodytext"/>
      </w:pPr>
      <w:bookmarkStart w:id="88" w:name="_Toc62206625"/>
      <w:r w:rsidRPr="002915D2">
        <w:t>The Fire and Emergency Services Levy (FESL) is charged on all rateable properties in the ACT. The revenue raised from the levy is used to fund emergency services activities.</w:t>
      </w:r>
    </w:p>
    <w:p w14:paraId="2DDF4BBB" w14:textId="77777777" w:rsidR="00A60D4B" w:rsidRPr="002915D2" w:rsidRDefault="00A60D4B" w:rsidP="00A60D4B">
      <w:pPr>
        <w:pStyle w:val="Bbodytext"/>
      </w:pPr>
      <w:r w:rsidRPr="002915D2">
        <w:t>The interim outcome for the levy revenue is $87</w:t>
      </w:r>
      <w:r>
        <w:t>.3</w:t>
      </w:r>
      <w:r w:rsidRPr="002915D2">
        <w:t xml:space="preserve"> million in 2020-21 and the forecast in 2021</w:t>
      </w:r>
      <w:r>
        <w:noBreakHyphen/>
      </w:r>
      <w:r w:rsidRPr="002915D2">
        <w:t>22 is $94</w:t>
      </w:r>
      <w:r>
        <w:t>.1</w:t>
      </w:r>
      <w:r w:rsidRPr="002915D2">
        <w:t xml:space="preserve"> million</w:t>
      </w:r>
      <w:r>
        <w:t xml:space="preserve"> and increasing to $101.1 million in 2024-25 due to increases to the taxable property base</w:t>
      </w:r>
      <w:r w:rsidRPr="002915D2">
        <w:t xml:space="preserve">. </w:t>
      </w:r>
      <w:r>
        <w:t>Total collections from FESL over the forward estimates period are expected to be $296 million.</w:t>
      </w:r>
    </w:p>
    <w:p w14:paraId="6A692178" w14:textId="77777777" w:rsidR="00A60D4B" w:rsidRPr="002915D2" w:rsidRDefault="00A60D4B" w:rsidP="00A60D4B">
      <w:pPr>
        <w:pStyle w:val="Bbodytext"/>
      </w:pPr>
      <w:r w:rsidRPr="002915D2">
        <w:t>The FESL for residential and rural properties in 2021-22 has the following elements:</w:t>
      </w:r>
    </w:p>
    <w:p w14:paraId="5E35DEF2" w14:textId="77777777" w:rsidR="00A60D4B" w:rsidRPr="002915D2" w:rsidRDefault="00A60D4B" w:rsidP="00A60D4B">
      <w:pPr>
        <w:pStyle w:val="BBullet1"/>
        <w:ind w:left="567" w:hanging="567"/>
      </w:pPr>
      <w:r w:rsidRPr="002915D2">
        <w:t xml:space="preserve">a fixed charge of $350; and </w:t>
      </w:r>
    </w:p>
    <w:p w14:paraId="53B6C866" w14:textId="77777777" w:rsidR="00A60D4B" w:rsidRPr="002915D2" w:rsidRDefault="00A60D4B" w:rsidP="00A60D4B">
      <w:pPr>
        <w:pStyle w:val="BBullet1"/>
        <w:ind w:left="567" w:hanging="567"/>
      </w:pPr>
      <w:r w:rsidRPr="002915D2">
        <w:t>a pensioner rebate of $98.</w:t>
      </w:r>
    </w:p>
    <w:p w14:paraId="2632CCC5" w14:textId="77777777" w:rsidR="00A60D4B" w:rsidRPr="002915D2" w:rsidRDefault="00A60D4B" w:rsidP="00A60D4B">
      <w:pPr>
        <w:pStyle w:val="Bbodytext"/>
      </w:pPr>
      <w:r w:rsidRPr="002915D2">
        <w:t xml:space="preserve">The FESL for commercial properties in 2021-22 is </w:t>
      </w:r>
      <w:r w:rsidRPr="002915D2">
        <w:rPr>
          <w:lang w:val="x-none"/>
        </w:rPr>
        <w:t>a valuation-based charge with marginal rating factors applied to the</w:t>
      </w:r>
      <w:r w:rsidRPr="002915D2">
        <w:t xml:space="preserve"> AUV for 2021 (which is the average of 2017, 2018, 2019, 2020 and 2021 unimproved land values).</w:t>
      </w:r>
    </w:p>
    <w:p w14:paraId="05E661A2" w14:textId="77777777" w:rsidR="00A60D4B" w:rsidRDefault="00A60D4B" w:rsidP="00A60D4B">
      <w:pPr>
        <w:pStyle w:val="Bbodytext"/>
      </w:pPr>
      <w:r w:rsidRPr="003B7C8C">
        <w:t>Table 3.5.</w:t>
      </w:r>
      <w:r>
        <w:t>10</w:t>
      </w:r>
      <w:r w:rsidRPr="003B7C8C">
        <w:t xml:space="preserve"> </w:t>
      </w:r>
      <w:r w:rsidRPr="002915D2">
        <w:t>outlines the marginal rating factors for newly rateable commercial properties.</w:t>
      </w:r>
    </w:p>
    <w:p w14:paraId="723C42F0" w14:textId="151F1278" w:rsidR="00A60D4B" w:rsidRPr="002915D2" w:rsidRDefault="00A60D4B" w:rsidP="00A60D4B">
      <w:pPr>
        <w:pStyle w:val="Caption"/>
        <w:rPr>
          <w:b w:val="0"/>
          <w:iCs w:val="0"/>
          <w:sz w:val="24"/>
          <w:szCs w:val="20"/>
        </w:rPr>
      </w:pPr>
      <w:r w:rsidRPr="002915D2">
        <w:t xml:space="preserve">Table </w:t>
      </w:r>
      <w:r w:rsidR="00FB4E5C">
        <w:fldChar w:fldCharType="begin"/>
      </w:r>
      <w:r w:rsidR="00FB4E5C">
        <w:instrText xml:space="preserve"> STYLEREF 2 \s </w:instrText>
      </w:r>
      <w:r w:rsidR="00FB4E5C">
        <w:fldChar w:fldCharType="separate"/>
      </w:r>
      <w:r w:rsidR="00F12A80">
        <w:rPr>
          <w:noProof/>
        </w:rPr>
        <w:t>3.5</w:t>
      </w:r>
      <w:r w:rsidR="00FB4E5C">
        <w:rPr>
          <w:noProof/>
        </w:rPr>
        <w:fldChar w:fldCharType="end"/>
      </w:r>
      <w:r w:rsidRPr="002915D2">
        <w:t>.</w:t>
      </w:r>
      <w:r w:rsidR="00FB4E5C">
        <w:fldChar w:fldCharType="begin"/>
      </w:r>
      <w:r w:rsidR="00FB4E5C">
        <w:instrText xml:space="preserve"> SEQ Table \* ARABIC \s 2 </w:instrText>
      </w:r>
      <w:r w:rsidR="00FB4E5C">
        <w:fldChar w:fldCharType="separate"/>
      </w:r>
      <w:r w:rsidR="00F12A80">
        <w:rPr>
          <w:noProof/>
        </w:rPr>
        <w:t>10</w:t>
      </w:r>
      <w:r w:rsidR="00FB4E5C">
        <w:rPr>
          <w:noProof/>
        </w:rPr>
        <w:fldChar w:fldCharType="end"/>
      </w:r>
      <w:r w:rsidRPr="002915D2">
        <w:t>: Fire and Emergency Services Levy (commercial properties) – marginal rates</w:t>
      </w:r>
    </w:p>
    <w:tbl>
      <w:tblPr>
        <w:tblW w:w="4535" w:type="dxa"/>
        <w:jc w:val="center"/>
        <w:tblLook w:val="04A0" w:firstRow="1" w:lastRow="0" w:firstColumn="1" w:lastColumn="0" w:noHBand="0" w:noVBand="1"/>
      </w:tblPr>
      <w:tblGrid>
        <w:gridCol w:w="2551"/>
        <w:gridCol w:w="1984"/>
      </w:tblGrid>
      <w:tr w:rsidR="00A60D4B" w:rsidRPr="00B93E8D" w14:paraId="26075F8B" w14:textId="77777777" w:rsidTr="00A60D4B">
        <w:trPr>
          <w:trHeight w:val="227"/>
          <w:tblHeader/>
          <w:jc w:val="center"/>
        </w:trPr>
        <w:tc>
          <w:tcPr>
            <w:tcW w:w="2551" w:type="dxa"/>
            <w:tcBorders>
              <w:top w:val="single" w:sz="4" w:space="0" w:color="auto"/>
              <w:bottom w:val="single" w:sz="4" w:space="0" w:color="auto"/>
            </w:tcBorders>
            <w:shd w:val="clear" w:color="auto" w:fill="472D8C"/>
            <w:noWrap/>
            <w:hideMark/>
          </w:tcPr>
          <w:p w14:paraId="0CE0EF25" w14:textId="77777777" w:rsidR="00A60D4B" w:rsidRPr="001943DD" w:rsidRDefault="00A60D4B" w:rsidP="00A60D4B">
            <w:pPr>
              <w:spacing w:after="0" w:line="240" w:lineRule="auto"/>
              <w:ind w:left="227" w:hanging="227"/>
              <w:rPr>
                <w:rFonts w:ascii="Calibri" w:eastAsia="Times New Roman" w:hAnsi="Calibri" w:cs="Times New Roman"/>
                <w:b/>
                <w:bCs/>
                <w:color w:val="FFFFFF" w:themeColor="background1"/>
                <w:lang w:eastAsia="en-AU"/>
              </w:rPr>
            </w:pPr>
            <w:r w:rsidRPr="001943DD">
              <w:rPr>
                <w:rFonts w:ascii="Calibri" w:eastAsia="Times New Roman" w:hAnsi="Calibri" w:cs="Times New Roman"/>
                <w:b/>
                <w:bCs/>
                <w:color w:val="FFFFFF" w:themeColor="background1"/>
                <w:lang w:eastAsia="en-AU"/>
              </w:rPr>
              <w:t>A</w:t>
            </w:r>
            <w:r w:rsidRPr="001943DD">
              <w:rPr>
                <w:rFonts w:ascii="Calibri" w:hAnsi="Calibri"/>
                <w:b/>
                <w:color w:val="FFFFFF" w:themeColor="background1"/>
                <w:sz w:val="20"/>
              </w:rPr>
              <w:t>UV threshold</w:t>
            </w:r>
          </w:p>
        </w:tc>
        <w:tc>
          <w:tcPr>
            <w:tcW w:w="1984" w:type="dxa"/>
            <w:tcBorders>
              <w:top w:val="single" w:sz="4" w:space="0" w:color="auto"/>
              <w:bottom w:val="single" w:sz="4" w:space="0" w:color="auto"/>
            </w:tcBorders>
            <w:shd w:val="clear" w:color="auto" w:fill="472D8C"/>
            <w:noWrap/>
            <w:hideMark/>
          </w:tcPr>
          <w:p w14:paraId="2C431EF5" w14:textId="77777777" w:rsidR="00A60D4B" w:rsidRPr="001943DD" w:rsidRDefault="00A60D4B" w:rsidP="00A60D4B">
            <w:pPr>
              <w:spacing w:after="0" w:line="240" w:lineRule="auto"/>
              <w:jc w:val="right"/>
              <w:rPr>
                <w:rFonts w:ascii="Calibri" w:hAnsi="Calibri"/>
                <w:b/>
                <w:color w:val="FFFFFF" w:themeColor="background1"/>
                <w:sz w:val="20"/>
                <w:lang w:eastAsia="en-AU"/>
              </w:rPr>
            </w:pPr>
            <w:r w:rsidRPr="001943DD">
              <w:rPr>
                <w:rFonts w:ascii="Calibri" w:hAnsi="Calibri"/>
                <w:b/>
                <w:color w:val="FFFFFF" w:themeColor="background1"/>
                <w:sz w:val="20"/>
                <w:lang w:eastAsia="en-AU"/>
              </w:rPr>
              <w:t>Marginal rates %</w:t>
            </w:r>
          </w:p>
        </w:tc>
      </w:tr>
      <w:tr w:rsidR="00A60D4B" w:rsidRPr="00B93E8D" w14:paraId="7B7DDEC1" w14:textId="77777777" w:rsidTr="00A60D4B">
        <w:trPr>
          <w:trHeight w:val="227"/>
          <w:jc w:val="center"/>
        </w:trPr>
        <w:tc>
          <w:tcPr>
            <w:tcW w:w="2551" w:type="dxa"/>
            <w:tcBorders>
              <w:top w:val="single" w:sz="4" w:space="0" w:color="auto"/>
            </w:tcBorders>
            <w:shd w:val="clear" w:color="auto" w:fill="auto"/>
            <w:noWrap/>
            <w:hideMark/>
          </w:tcPr>
          <w:p w14:paraId="03E9165D" w14:textId="77777777" w:rsidR="00A60D4B" w:rsidRPr="002915D2" w:rsidRDefault="00A60D4B" w:rsidP="00A60D4B">
            <w:pPr>
              <w:pStyle w:val="Btabletextunbold"/>
              <w:keepNext/>
              <w:keepLines/>
            </w:pPr>
            <w:r w:rsidRPr="002915D2">
              <w:t>$1 to $300,000</w:t>
            </w:r>
          </w:p>
        </w:tc>
        <w:tc>
          <w:tcPr>
            <w:tcW w:w="1984" w:type="dxa"/>
            <w:tcBorders>
              <w:top w:val="single" w:sz="4" w:space="0" w:color="auto"/>
            </w:tcBorders>
            <w:shd w:val="clear" w:color="auto" w:fill="auto"/>
            <w:noWrap/>
            <w:hideMark/>
          </w:tcPr>
          <w:p w14:paraId="200BB079" w14:textId="77777777" w:rsidR="00A60D4B" w:rsidRPr="002915D2" w:rsidRDefault="00A60D4B" w:rsidP="00A60D4B">
            <w:pPr>
              <w:pStyle w:val="Btablefigureunbold"/>
              <w:keepNext/>
              <w:keepLines/>
            </w:pPr>
            <w:r w:rsidRPr="002915D2">
              <w:t>0.6803</w:t>
            </w:r>
          </w:p>
        </w:tc>
      </w:tr>
      <w:tr w:rsidR="00A60D4B" w:rsidRPr="00B93E8D" w14:paraId="4B1FB34E" w14:textId="77777777" w:rsidTr="00A60D4B">
        <w:trPr>
          <w:trHeight w:val="227"/>
          <w:jc w:val="center"/>
        </w:trPr>
        <w:tc>
          <w:tcPr>
            <w:tcW w:w="2551" w:type="dxa"/>
            <w:shd w:val="clear" w:color="auto" w:fill="auto"/>
            <w:noWrap/>
            <w:hideMark/>
          </w:tcPr>
          <w:p w14:paraId="26D79949" w14:textId="77777777" w:rsidR="00A60D4B" w:rsidRPr="002915D2" w:rsidRDefault="00A60D4B" w:rsidP="00A60D4B">
            <w:pPr>
              <w:pStyle w:val="Btabletextunbold"/>
              <w:keepNext/>
              <w:keepLines/>
            </w:pPr>
            <w:r w:rsidRPr="002915D2">
              <w:t>$300,001 to $2,000,000</w:t>
            </w:r>
          </w:p>
        </w:tc>
        <w:tc>
          <w:tcPr>
            <w:tcW w:w="1984" w:type="dxa"/>
            <w:shd w:val="clear" w:color="auto" w:fill="auto"/>
            <w:noWrap/>
            <w:hideMark/>
          </w:tcPr>
          <w:p w14:paraId="38205312" w14:textId="77777777" w:rsidR="00A60D4B" w:rsidRPr="002915D2" w:rsidRDefault="00A60D4B" w:rsidP="00A60D4B">
            <w:pPr>
              <w:pStyle w:val="Btablefigureunbold"/>
              <w:keepNext/>
              <w:keepLines/>
            </w:pPr>
            <w:r w:rsidRPr="002915D2">
              <w:t>0.8015</w:t>
            </w:r>
          </w:p>
        </w:tc>
      </w:tr>
      <w:tr w:rsidR="00A60D4B" w:rsidRPr="00D22C94" w14:paraId="7396344A" w14:textId="77777777" w:rsidTr="00A60D4B">
        <w:trPr>
          <w:trHeight w:val="227"/>
          <w:jc w:val="center"/>
        </w:trPr>
        <w:tc>
          <w:tcPr>
            <w:tcW w:w="2551" w:type="dxa"/>
            <w:tcBorders>
              <w:bottom w:val="single" w:sz="4" w:space="0" w:color="auto"/>
            </w:tcBorders>
            <w:shd w:val="clear" w:color="auto" w:fill="auto"/>
            <w:noWrap/>
            <w:hideMark/>
          </w:tcPr>
          <w:p w14:paraId="1A2E820B" w14:textId="77777777" w:rsidR="00A60D4B" w:rsidRPr="002915D2" w:rsidRDefault="00A60D4B" w:rsidP="00A60D4B">
            <w:pPr>
              <w:pStyle w:val="Btabletextunbold"/>
              <w:keepNext/>
              <w:keepLines/>
            </w:pPr>
            <w:r w:rsidRPr="002915D2">
              <w:t>$2,000,001 and above</w:t>
            </w:r>
          </w:p>
        </w:tc>
        <w:tc>
          <w:tcPr>
            <w:tcW w:w="1984" w:type="dxa"/>
            <w:tcBorders>
              <w:bottom w:val="single" w:sz="4" w:space="0" w:color="auto"/>
            </w:tcBorders>
            <w:shd w:val="clear" w:color="auto" w:fill="auto"/>
            <w:noWrap/>
            <w:hideMark/>
          </w:tcPr>
          <w:p w14:paraId="053F9726" w14:textId="77777777" w:rsidR="00A60D4B" w:rsidRPr="00D8348C" w:rsidRDefault="00A60D4B" w:rsidP="00A60D4B">
            <w:pPr>
              <w:pStyle w:val="Btablefigureunbold"/>
              <w:keepNext/>
              <w:keepLines/>
            </w:pPr>
            <w:r w:rsidRPr="002915D2">
              <w:t>0.8328</w:t>
            </w:r>
          </w:p>
        </w:tc>
      </w:tr>
    </w:tbl>
    <w:p w14:paraId="6460F085" w14:textId="77777777" w:rsidR="00A60D4B" w:rsidRDefault="00A60D4B" w:rsidP="00A60D4B">
      <w:pPr>
        <w:pStyle w:val="Bbodytext"/>
      </w:pPr>
      <w:r>
        <w:t>Over the four-year period to 2023-24, revenue from FESL is expected to be $12.8 million higher than the estimates in the 2020-21 Budget as a result of a greater than expected increase in the number of properties and increase in commercial valuations.</w:t>
      </w:r>
    </w:p>
    <w:p w14:paraId="75F7FF0C" w14:textId="77777777" w:rsidR="00A60D4B" w:rsidRPr="00D8348C" w:rsidRDefault="00A60D4B" w:rsidP="00A60D4B">
      <w:pPr>
        <w:pStyle w:val="Heading5"/>
        <w:spacing w:before="240"/>
      </w:pPr>
      <w:r w:rsidRPr="00D8348C">
        <w:t>City Centre Marketing and Improvements Levy</w:t>
      </w:r>
      <w:bookmarkEnd w:id="88"/>
    </w:p>
    <w:p w14:paraId="46005C4E" w14:textId="77777777" w:rsidR="00A60D4B" w:rsidRPr="002915D2" w:rsidRDefault="00A60D4B" w:rsidP="00A60D4B">
      <w:pPr>
        <w:pStyle w:val="Bbodytext"/>
      </w:pPr>
      <w:r w:rsidRPr="002915D2">
        <w:t xml:space="preserve">The City Centre Marketing and Improvements Levy </w:t>
      </w:r>
      <w:r>
        <w:t xml:space="preserve">(CCMIL) </w:t>
      </w:r>
      <w:r w:rsidRPr="002915D2">
        <w:t xml:space="preserve">applies to all rateable commercial properties in the City and some selected areas in Braddon. The revenue is provided to the City Renewal Authority to fund events, activities and capital improvements, as well as to provide cleaning and security services across the City and Braddon. The collection area is divided into two zones and the levy is applied on the AUV of each property. </w:t>
      </w:r>
    </w:p>
    <w:p w14:paraId="16E1FA60" w14:textId="77777777" w:rsidR="00A60D4B" w:rsidRPr="002915D2" w:rsidRDefault="00A60D4B" w:rsidP="00A60D4B">
      <w:pPr>
        <w:pStyle w:val="Bbodytext"/>
      </w:pPr>
      <w:r>
        <w:t xml:space="preserve">The </w:t>
      </w:r>
      <w:r w:rsidRPr="002915D2">
        <w:t>levy applies at the rate of 0.</w:t>
      </w:r>
      <w:r>
        <w:t>2992</w:t>
      </w:r>
      <w:r w:rsidRPr="002915D2">
        <w:t> per cent for the retail core, and 0.</w:t>
      </w:r>
      <w:r>
        <w:t>2161</w:t>
      </w:r>
      <w:r w:rsidRPr="002915D2">
        <w:t xml:space="preserve"> per cent for the non</w:t>
      </w:r>
      <w:r w:rsidRPr="002915D2">
        <w:noBreakHyphen/>
        <w:t xml:space="preserve">retail core. </w:t>
      </w:r>
    </w:p>
    <w:p w14:paraId="764EE6C6" w14:textId="77777777" w:rsidR="00A60D4B" w:rsidRDefault="00A60D4B" w:rsidP="00A60D4B">
      <w:pPr>
        <w:pStyle w:val="Bbodytext"/>
        <w:rPr>
          <w:szCs w:val="24"/>
        </w:rPr>
      </w:pPr>
      <w:r>
        <w:rPr>
          <w:szCs w:val="24"/>
        </w:rPr>
        <w:t>The interim outcome for 2020-21 is $1.2 million and the forecast for 2021-22 is $2.4 million. The increase in 2021-22 is due to the levy returning to its usual rate after it was halved in 2020-21 as part of the Government’s COVID-19 assistance measures for businesses. Revenue is expected to be broadly the same over the forward estimates period. Total revenue expected to be collected from CCMIL over the forward estimates period is $7.1 million.</w:t>
      </w:r>
    </w:p>
    <w:p w14:paraId="4BF83915" w14:textId="77777777" w:rsidR="00A60D4B" w:rsidRPr="00F157D7" w:rsidRDefault="00A60D4B" w:rsidP="00A60D4B">
      <w:pPr>
        <w:pStyle w:val="Bbodytext"/>
        <w:rPr>
          <w:szCs w:val="24"/>
        </w:rPr>
      </w:pPr>
      <w:r>
        <w:lastRenderedPageBreak/>
        <w:t>Over the four-year period to 2023-24, revenue from CCMIL is expected to be $0.6 million higher than the estimates in the 2020-21 Budget.</w:t>
      </w:r>
    </w:p>
    <w:p w14:paraId="0CB2BDEA" w14:textId="77777777" w:rsidR="00A60D4B" w:rsidRPr="00D8348C" w:rsidRDefault="00A60D4B" w:rsidP="00A60D4B">
      <w:pPr>
        <w:pStyle w:val="Heading5"/>
        <w:spacing w:before="120"/>
      </w:pPr>
      <w:r w:rsidRPr="00D8348C">
        <w:t>Energy Industry Levy</w:t>
      </w:r>
    </w:p>
    <w:p w14:paraId="402C60F9" w14:textId="77777777" w:rsidR="00A60D4B" w:rsidRPr="00D8348C" w:rsidRDefault="00A60D4B" w:rsidP="00A60D4B">
      <w:pPr>
        <w:pStyle w:val="Bbodytext"/>
      </w:pPr>
      <w:r w:rsidRPr="00D8348C">
        <w:t>The Energy Industry Levy funds:</w:t>
      </w:r>
    </w:p>
    <w:p w14:paraId="0190F552" w14:textId="77777777" w:rsidR="00A60D4B" w:rsidRDefault="00A60D4B" w:rsidP="00A60D4B">
      <w:pPr>
        <w:pStyle w:val="BBullet1"/>
        <w:tabs>
          <w:tab w:val="clear" w:pos="357"/>
          <w:tab w:val="left" w:pos="426"/>
        </w:tabs>
        <w:ind w:left="426" w:hanging="426"/>
        <w:rPr>
          <w:rFonts w:eastAsiaTheme="minorEastAsia"/>
          <w:szCs w:val="24"/>
        </w:rPr>
      </w:pPr>
      <w:r>
        <w:t>the Territory’s national regulatory obligations and costs for the Australian Energy Market Commission and the Ministerial Council on Energy’s responsibilities under the Australian Energy Market Agreement; and</w:t>
      </w:r>
    </w:p>
    <w:p w14:paraId="311FFB7E" w14:textId="77777777" w:rsidR="00A60D4B" w:rsidRDefault="00A60D4B" w:rsidP="00A60D4B">
      <w:pPr>
        <w:pStyle w:val="BBullet1"/>
        <w:tabs>
          <w:tab w:val="clear" w:pos="357"/>
          <w:tab w:val="left" w:pos="426"/>
        </w:tabs>
        <w:ind w:left="426" w:hanging="426"/>
        <w:rPr>
          <w:szCs w:val="24"/>
        </w:rPr>
      </w:pPr>
      <w:r w:rsidRPr="00FB394D">
        <w:t>local regulatory costs incurred by the Territory in relation to energy utility services</w:t>
      </w:r>
      <w:r>
        <w:t>.</w:t>
      </w:r>
    </w:p>
    <w:p w14:paraId="32FFED2A" w14:textId="77777777" w:rsidR="00A60D4B" w:rsidRDefault="00A60D4B" w:rsidP="00A60D4B">
      <w:pPr>
        <w:pStyle w:val="Bbodytext"/>
      </w:pPr>
      <w:r>
        <w:t>The levy applies to the electricity supply, gas supply and distribution sectors. The levy is charged on a cost recovery basis and reflects the cost of regulatory activities.</w:t>
      </w:r>
    </w:p>
    <w:p w14:paraId="1F3A21D0" w14:textId="77777777" w:rsidR="00A60D4B" w:rsidRPr="00943814" w:rsidRDefault="00A60D4B" w:rsidP="00A60D4B">
      <w:pPr>
        <w:pStyle w:val="Bbodytext"/>
        <w:rPr>
          <w:szCs w:val="24"/>
        </w:rPr>
      </w:pPr>
      <w:r w:rsidRPr="00943814">
        <w:rPr>
          <w:szCs w:val="24"/>
        </w:rPr>
        <w:t>The interim outcome for the Energy Industry Levy is $3.5 million in 20</w:t>
      </w:r>
      <w:r>
        <w:rPr>
          <w:szCs w:val="24"/>
        </w:rPr>
        <w:t>20</w:t>
      </w:r>
      <w:r w:rsidRPr="00943814">
        <w:rPr>
          <w:szCs w:val="24"/>
        </w:rPr>
        <w:t>-2</w:t>
      </w:r>
      <w:r>
        <w:rPr>
          <w:szCs w:val="24"/>
        </w:rPr>
        <w:t>1</w:t>
      </w:r>
      <w:r w:rsidRPr="00943814">
        <w:rPr>
          <w:szCs w:val="24"/>
        </w:rPr>
        <w:t xml:space="preserve"> and the forecast for 202</w:t>
      </w:r>
      <w:r>
        <w:rPr>
          <w:szCs w:val="24"/>
        </w:rPr>
        <w:t>1</w:t>
      </w:r>
      <w:r w:rsidRPr="00943814">
        <w:rPr>
          <w:szCs w:val="24"/>
        </w:rPr>
        <w:t>-2</w:t>
      </w:r>
      <w:r>
        <w:rPr>
          <w:szCs w:val="24"/>
        </w:rPr>
        <w:t xml:space="preserve">2 </w:t>
      </w:r>
      <w:r w:rsidRPr="00943814">
        <w:rPr>
          <w:szCs w:val="24"/>
        </w:rPr>
        <w:t xml:space="preserve">is $3.6 million. </w:t>
      </w:r>
      <w:r>
        <w:rPr>
          <w:szCs w:val="24"/>
        </w:rPr>
        <w:t>Around $10.8 million is expected to be collected from this levy over the forward estimates period.</w:t>
      </w:r>
    </w:p>
    <w:p w14:paraId="142FF794" w14:textId="77777777" w:rsidR="00A60D4B" w:rsidRPr="00D22C94" w:rsidRDefault="00A60D4B" w:rsidP="00A60D4B">
      <w:pPr>
        <w:pStyle w:val="Bbodytext"/>
      </w:pPr>
      <w:r w:rsidRPr="00943814">
        <w:rPr>
          <w:szCs w:val="24"/>
        </w:rPr>
        <w:t>Over the four-year period to 2023-24, the Energy Industry Levy is forecast to be marginally higher than the 2020-21 Budget estimate, largely reflecting higher growth in the WPI than expected at the time of the 2020-21 Budget</w:t>
      </w:r>
      <w:r>
        <w:t xml:space="preserve">. </w:t>
      </w:r>
    </w:p>
    <w:p w14:paraId="0F399DC8" w14:textId="77777777" w:rsidR="00A60D4B" w:rsidRPr="006A4BC4" w:rsidRDefault="00A60D4B" w:rsidP="00A60D4B">
      <w:pPr>
        <w:pStyle w:val="Heading5"/>
      </w:pPr>
      <w:bookmarkStart w:id="89" w:name="_Toc62206626"/>
      <w:r w:rsidRPr="006A4BC4">
        <w:t>Safer Families Levy</w:t>
      </w:r>
      <w:bookmarkEnd w:id="89"/>
    </w:p>
    <w:p w14:paraId="3066B58C" w14:textId="77777777" w:rsidR="00A60D4B" w:rsidRPr="002915D2" w:rsidRDefault="00A60D4B" w:rsidP="00A60D4B">
      <w:pPr>
        <w:pStyle w:val="Bbodytext"/>
      </w:pPr>
      <w:r w:rsidRPr="002915D2">
        <w:t xml:space="preserve">The Government introduced the Safer Families Levy on 1 July 2016 to support a range of measures to prevent and respond to </w:t>
      </w:r>
      <w:r>
        <w:t>domestic and</w:t>
      </w:r>
      <w:r w:rsidRPr="002915D2">
        <w:t xml:space="preserve"> family violence. The levy, applied to residential and rural properties, will increase to $35 in 2021-22 and by an additional $5 </w:t>
      </w:r>
      <w:r>
        <w:t xml:space="preserve">in </w:t>
      </w:r>
      <w:r w:rsidRPr="002915D2">
        <w:t xml:space="preserve">each year over the forward years. </w:t>
      </w:r>
      <w:r>
        <w:t>Chapter 3.2 provides</w:t>
      </w:r>
      <w:r w:rsidRPr="002915D2">
        <w:t xml:space="preserve"> more information and Appendix H </w:t>
      </w:r>
      <w:r>
        <w:t>details</w:t>
      </w:r>
      <w:r w:rsidRPr="002915D2">
        <w:t xml:space="preserve"> funding and expenditure initiatives for the Safer Families Levy in 20</w:t>
      </w:r>
      <w:r>
        <w:t>20</w:t>
      </w:r>
      <w:r w:rsidRPr="002915D2">
        <w:t>-2</w:t>
      </w:r>
      <w:r>
        <w:t>1</w:t>
      </w:r>
      <w:r w:rsidRPr="002915D2">
        <w:t xml:space="preserve"> together with priorities in 202</w:t>
      </w:r>
      <w:r>
        <w:t>1</w:t>
      </w:r>
      <w:r w:rsidRPr="002915D2">
        <w:noBreakHyphen/>
        <w:t>2</w:t>
      </w:r>
      <w:r>
        <w:t>2</w:t>
      </w:r>
      <w:r w:rsidRPr="002915D2">
        <w:t>.</w:t>
      </w:r>
    </w:p>
    <w:p w14:paraId="6F4F7A4F" w14:textId="77777777" w:rsidR="00A60D4B" w:rsidRDefault="00A60D4B" w:rsidP="00A60D4B">
      <w:pPr>
        <w:pStyle w:val="Bbodytext"/>
        <w:rPr>
          <w:szCs w:val="24"/>
        </w:rPr>
      </w:pPr>
      <w:r w:rsidRPr="002915D2">
        <w:rPr>
          <w:szCs w:val="24"/>
        </w:rPr>
        <w:t>The interim outcome for 2020-21 is $</w:t>
      </w:r>
      <w:r>
        <w:rPr>
          <w:szCs w:val="24"/>
        </w:rPr>
        <w:t>4.9</w:t>
      </w:r>
      <w:r w:rsidRPr="002915D2">
        <w:rPr>
          <w:szCs w:val="24"/>
        </w:rPr>
        <w:t xml:space="preserve"> million and the forecast for 2021-22 is $6.</w:t>
      </w:r>
      <w:r>
        <w:rPr>
          <w:szCs w:val="24"/>
        </w:rPr>
        <w:t>2</w:t>
      </w:r>
      <w:r w:rsidRPr="002915D2">
        <w:rPr>
          <w:szCs w:val="24"/>
        </w:rPr>
        <w:t xml:space="preserve"> million</w:t>
      </w:r>
      <w:r>
        <w:rPr>
          <w:szCs w:val="24"/>
        </w:rPr>
        <w:t>, increasing to $9 million in 2024-25</w:t>
      </w:r>
      <w:r w:rsidRPr="002915D2">
        <w:rPr>
          <w:szCs w:val="24"/>
        </w:rPr>
        <w:t>.</w:t>
      </w:r>
      <w:r>
        <w:rPr>
          <w:szCs w:val="24"/>
        </w:rPr>
        <w:t xml:space="preserve"> Total collections over the forward estimates period are expected to be $24.2 million.</w:t>
      </w:r>
    </w:p>
    <w:p w14:paraId="571424F7" w14:textId="77777777" w:rsidR="00A60D4B" w:rsidRDefault="00A60D4B" w:rsidP="00A60D4B">
      <w:pPr>
        <w:pStyle w:val="Bbodytext"/>
        <w:rPr>
          <w:szCs w:val="24"/>
          <w:highlight w:val="yellow"/>
        </w:rPr>
      </w:pPr>
      <w:r>
        <w:t xml:space="preserve">Over the four-year period to 2023-24, revenue from </w:t>
      </w:r>
      <w:r w:rsidRPr="002915D2">
        <w:t>Safer Families Levy</w:t>
      </w:r>
      <w:r>
        <w:t xml:space="preserve"> is expected to be $5.6 million higher than the estimates in the 2020-21 Budget.</w:t>
      </w:r>
    </w:p>
    <w:p w14:paraId="3ADB0E7E" w14:textId="77777777" w:rsidR="00A60D4B" w:rsidRDefault="00A60D4B" w:rsidP="00A60D4B">
      <w:pPr>
        <w:pStyle w:val="Heading4"/>
      </w:pPr>
      <w:r w:rsidRPr="00024376">
        <w:t>Alternative Scenarios and Risks to selected major revenue lines</w:t>
      </w:r>
    </w:p>
    <w:p w14:paraId="00C7CDCC" w14:textId="77777777" w:rsidR="00A60D4B" w:rsidRDefault="00A60D4B" w:rsidP="00A60D4B">
      <w:pPr>
        <w:pStyle w:val="xbbodytext"/>
      </w:pPr>
      <w:r w:rsidRPr="00887140">
        <w:t xml:space="preserve">As noted in the alternative scenarios and risks section in Economic Outlook (Chapter 2.2), the impacts from the Delta variant of COVID-19 pandemic remain highly uncertain. This is particularly the case because as restrictions are eased and the virus continues to circulate in the community </w:t>
      </w:r>
      <w:r>
        <w:t xml:space="preserve">it is </w:t>
      </w:r>
      <w:r w:rsidRPr="00887140">
        <w:t>difficult to provide a definitive quantitative assessment of the balance of risks around the baseline forecast. The estimates presented in this Budget reflect a baseline scenario derived from a plausible set of assumptions described in Economic Outlook (Chapter 2.2). Due to heightened uncertainty, a range within which upside and downside scenarios may fall is presented below for key revenue lines. Revenue impacts are quantified reflecting changes in key economic parameters broadly in line with the upside and downside ranges described in Economic Outlook (Chapter 2.2).</w:t>
      </w:r>
    </w:p>
    <w:p w14:paraId="0C2EAC4E" w14:textId="77777777" w:rsidR="00A60D4B" w:rsidRDefault="00A60D4B" w:rsidP="00A60D4B">
      <w:pPr>
        <w:pStyle w:val="Bbodytext"/>
      </w:pPr>
      <w:r>
        <w:lastRenderedPageBreak/>
        <w:t>Many own-source taxation r</w:t>
      </w:r>
      <w:r w:rsidRPr="00AA0893">
        <w:t>evenue forecasts and projections are based on indexation of key economic parameters</w:t>
      </w:r>
      <w:r>
        <w:t>, such as the Wage Price Index</w:t>
      </w:r>
      <w:r w:rsidRPr="00AA0893">
        <w:t xml:space="preserve">. The parameter estimates and upside and downside ranges are outlined in Table </w:t>
      </w:r>
      <w:r w:rsidRPr="00024376">
        <w:t>3.5.11 below</w:t>
      </w:r>
      <w:r w:rsidRPr="00AA0893">
        <w:t>.</w:t>
      </w:r>
    </w:p>
    <w:p w14:paraId="7594F1B8" w14:textId="77777777" w:rsidR="00A60D4B" w:rsidRPr="00AA0893" w:rsidRDefault="00A60D4B" w:rsidP="00A60D4B">
      <w:pPr>
        <w:pStyle w:val="Bbodytext"/>
      </w:pPr>
      <w:r w:rsidRPr="00AA0893">
        <w:t xml:space="preserve">The analysis compares the baseline scenario as presented in </w:t>
      </w:r>
      <w:r w:rsidRPr="00024376">
        <w:t>Table 3.5.</w:t>
      </w:r>
      <w:r>
        <w:t>3</w:t>
      </w:r>
      <w:r w:rsidRPr="00024376">
        <w:t xml:space="preserve"> and</w:t>
      </w:r>
      <w:r w:rsidRPr="00AA0893">
        <w:t xml:space="preserve"> an alternative upside range and a downside range, for the largest own-source taxation revenue lines, which are payroll tax, residential conveyance, land tax and motor vehicle registrations</w:t>
      </w:r>
      <w:r>
        <w:t>. For GST Revenue Grants forecasts and scenarios, changes in expected economic parameters at the national level have been taken into account.</w:t>
      </w:r>
    </w:p>
    <w:p w14:paraId="6E0A0CD3" w14:textId="77777777" w:rsidR="00A60D4B" w:rsidRDefault="00A60D4B" w:rsidP="00A60D4B">
      <w:pPr>
        <w:pStyle w:val="Bbodytext"/>
      </w:pPr>
      <w:r w:rsidRPr="00024376">
        <w:t>Figure 3.5.</w:t>
      </w:r>
      <w:r>
        <w:t>3</w:t>
      </w:r>
      <w:r w:rsidRPr="00024376">
        <w:t xml:space="preserve"> sho</w:t>
      </w:r>
      <w:r w:rsidRPr="00AA0893">
        <w:t xml:space="preserve">ws the range depicted in the shaded area within which revenue may fall in the upside and downside scenarios, with the estimates presented in </w:t>
      </w:r>
      <w:r w:rsidRPr="00024376">
        <w:t>Table 3.5.12 relative</w:t>
      </w:r>
      <w:r w:rsidRPr="00AA0893">
        <w:t xml:space="preserve"> to the baseline scenario.</w:t>
      </w:r>
    </w:p>
    <w:p w14:paraId="129AEF52" w14:textId="2F7DEF89" w:rsidR="00A60D4B" w:rsidRDefault="00A60D4B" w:rsidP="00A60D4B">
      <w:pPr>
        <w:pStyle w:val="Caption"/>
      </w:pPr>
      <w:r w:rsidRPr="00024376">
        <w:t xml:space="preserve">Table </w:t>
      </w:r>
      <w:r w:rsidR="00FB4E5C">
        <w:fldChar w:fldCharType="begin"/>
      </w:r>
      <w:r w:rsidR="00FB4E5C">
        <w:instrText xml:space="preserve"> STYLEREF 2 \s </w:instrText>
      </w:r>
      <w:r w:rsidR="00FB4E5C">
        <w:fldChar w:fldCharType="separate"/>
      </w:r>
      <w:r w:rsidR="00F12A80">
        <w:rPr>
          <w:noProof/>
        </w:rPr>
        <w:t>3.5</w:t>
      </w:r>
      <w:r w:rsidR="00FB4E5C">
        <w:rPr>
          <w:noProof/>
        </w:rPr>
        <w:fldChar w:fldCharType="end"/>
      </w:r>
      <w:r w:rsidRPr="00024376">
        <w:t>.</w:t>
      </w:r>
      <w:r w:rsidR="00FB4E5C">
        <w:fldChar w:fldCharType="begin"/>
      </w:r>
      <w:r w:rsidR="00FB4E5C">
        <w:instrText xml:space="preserve"> SEQ Table \* ARABIC \s 2 </w:instrText>
      </w:r>
      <w:r w:rsidR="00FB4E5C">
        <w:fldChar w:fldCharType="separate"/>
      </w:r>
      <w:r w:rsidR="00F12A80">
        <w:rPr>
          <w:noProof/>
        </w:rPr>
        <w:t>11</w:t>
      </w:r>
      <w:r w:rsidR="00FB4E5C">
        <w:rPr>
          <w:noProof/>
        </w:rPr>
        <w:fldChar w:fldCharType="end"/>
      </w:r>
      <w:r w:rsidRPr="00024376">
        <w:t>: Economic</w:t>
      </w:r>
      <w:r w:rsidRPr="00E209ED">
        <w:t xml:space="preserve"> parameter forecasts under different scenarios, percentage change</w:t>
      </w:r>
    </w:p>
    <w:tbl>
      <w:tblPr>
        <w:tblW w:w="9072" w:type="dxa"/>
        <w:tblLayout w:type="fixed"/>
        <w:tblCellMar>
          <w:left w:w="85" w:type="dxa"/>
        </w:tblCellMar>
        <w:tblLook w:val="04A0" w:firstRow="1" w:lastRow="0" w:firstColumn="1" w:lastColumn="0" w:noHBand="0" w:noVBand="1"/>
      </w:tblPr>
      <w:tblGrid>
        <w:gridCol w:w="2694"/>
        <w:gridCol w:w="1275"/>
        <w:gridCol w:w="1276"/>
        <w:gridCol w:w="1276"/>
        <w:gridCol w:w="1276"/>
        <w:gridCol w:w="1275"/>
      </w:tblGrid>
      <w:tr w:rsidR="00A60D4B" w:rsidRPr="008F5D57" w14:paraId="0B837794" w14:textId="77777777" w:rsidTr="00A60D4B">
        <w:trPr>
          <w:trHeight w:val="156"/>
        </w:trPr>
        <w:tc>
          <w:tcPr>
            <w:tcW w:w="2694" w:type="dxa"/>
            <w:shd w:val="clear" w:color="auto" w:fill="472D8C"/>
          </w:tcPr>
          <w:p w14:paraId="5CDBC938" w14:textId="77777777" w:rsidR="00A60D4B" w:rsidRPr="00111524" w:rsidRDefault="00A60D4B" w:rsidP="00A60D4B">
            <w:pPr>
              <w:rPr>
                <w:rFonts w:cs="Calibri"/>
                <w:b/>
                <w:color w:val="FFFFFF" w:themeColor="background1"/>
                <w:sz w:val="20"/>
              </w:rPr>
            </w:pPr>
            <w:bookmarkStart w:id="90" w:name="_Hlk79934735"/>
          </w:p>
        </w:tc>
        <w:tc>
          <w:tcPr>
            <w:tcW w:w="1275" w:type="dxa"/>
            <w:shd w:val="clear" w:color="auto" w:fill="472D8C"/>
          </w:tcPr>
          <w:p w14:paraId="76C35E87" w14:textId="77777777" w:rsidR="00A60D4B" w:rsidRPr="00111524"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Estimate</w:t>
            </w:r>
            <w:r>
              <w:rPr>
                <w:color w:val="FFFFFF" w:themeColor="background1"/>
              </w:rPr>
              <w:br/>
            </w:r>
          </w:p>
        </w:tc>
        <w:tc>
          <w:tcPr>
            <w:tcW w:w="1276" w:type="dxa"/>
            <w:shd w:val="clear" w:color="auto" w:fill="472D8C"/>
          </w:tcPr>
          <w:p w14:paraId="400E648B" w14:textId="77777777" w:rsidR="00A60D4B" w:rsidRPr="00111524" w:rsidRDefault="00A60D4B" w:rsidP="00A60D4B">
            <w:pPr>
              <w:pStyle w:val="BTableHeadingRowRightAligned"/>
              <w:rPr>
                <w:color w:val="FFFFFF" w:themeColor="background1"/>
              </w:rPr>
            </w:pPr>
            <w:r>
              <w:rPr>
                <w:color w:val="FFFFFF" w:themeColor="background1"/>
              </w:rPr>
              <w:t xml:space="preserve">2021-22 </w:t>
            </w:r>
            <w:r>
              <w:rPr>
                <w:color w:val="FFFFFF" w:themeColor="background1"/>
              </w:rPr>
              <w:br/>
              <w:t>Budget</w:t>
            </w:r>
          </w:p>
        </w:tc>
        <w:tc>
          <w:tcPr>
            <w:tcW w:w="1276" w:type="dxa"/>
            <w:shd w:val="clear" w:color="auto" w:fill="472D8C"/>
          </w:tcPr>
          <w:p w14:paraId="0333F9F2" w14:textId="77777777" w:rsidR="00A60D4B" w:rsidRPr="00111524" w:rsidRDefault="00A60D4B" w:rsidP="00A60D4B">
            <w:pPr>
              <w:pStyle w:val="BTableHeadingRowRightAligned"/>
              <w:rPr>
                <w:color w:val="FFFFFF" w:themeColor="background1"/>
              </w:rPr>
            </w:pPr>
            <w:r>
              <w:rPr>
                <w:color w:val="FFFFFF" w:themeColor="background1"/>
              </w:rPr>
              <w:t>2022-23</w:t>
            </w:r>
            <w:r>
              <w:rPr>
                <w:color w:val="FFFFFF" w:themeColor="background1"/>
              </w:rPr>
              <w:br/>
              <w:t>Forecast</w:t>
            </w:r>
            <w:r>
              <w:rPr>
                <w:color w:val="FFFFFF" w:themeColor="background1"/>
              </w:rPr>
              <w:br/>
            </w:r>
          </w:p>
        </w:tc>
        <w:tc>
          <w:tcPr>
            <w:tcW w:w="1276" w:type="dxa"/>
            <w:shd w:val="clear" w:color="auto" w:fill="472D8C"/>
          </w:tcPr>
          <w:p w14:paraId="7C087D65" w14:textId="77777777" w:rsidR="00A60D4B" w:rsidRPr="00111524" w:rsidRDefault="00A60D4B" w:rsidP="00A60D4B">
            <w:pPr>
              <w:pStyle w:val="BTableHeadingRowRightAligned"/>
              <w:rPr>
                <w:color w:val="FFFFFF" w:themeColor="background1"/>
              </w:rPr>
            </w:pPr>
            <w:r>
              <w:rPr>
                <w:color w:val="FFFFFF" w:themeColor="background1"/>
              </w:rPr>
              <w:t>2023-24</w:t>
            </w:r>
            <w:r>
              <w:rPr>
                <w:color w:val="FFFFFF" w:themeColor="background1"/>
              </w:rPr>
              <w:br/>
              <w:t>Projection</w:t>
            </w:r>
            <w:r>
              <w:rPr>
                <w:color w:val="FFFFFF" w:themeColor="background1"/>
              </w:rPr>
              <w:br/>
            </w:r>
          </w:p>
        </w:tc>
        <w:tc>
          <w:tcPr>
            <w:tcW w:w="1275" w:type="dxa"/>
            <w:shd w:val="clear" w:color="auto" w:fill="472D8C"/>
          </w:tcPr>
          <w:p w14:paraId="6CBF8CA5" w14:textId="77777777" w:rsidR="00A60D4B" w:rsidRPr="00111524" w:rsidRDefault="00A60D4B" w:rsidP="00A60D4B">
            <w:pPr>
              <w:pStyle w:val="BTableHeadingRowRightAligned"/>
              <w:rPr>
                <w:color w:val="FFFFFF" w:themeColor="background1"/>
              </w:rPr>
            </w:pPr>
            <w:r>
              <w:rPr>
                <w:color w:val="FFFFFF" w:themeColor="background1"/>
              </w:rPr>
              <w:t>2024-25</w:t>
            </w:r>
            <w:r>
              <w:rPr>
                <w:color w:val="FFFFFF" w:themeColor="background1"/>
              </w:rPr>
              <w:br/>
              <w:t>Projection</w:t>
            </w:r>
          </w:p>
        </w:tc>
      </w:tr>
      <w:tr w:rsidR="00A60D4B" w:rsidRPr="00337DC9" w14:paraId="40AA10F8" w14:textId="77777777" w:rsidTr="00A60D4B">
        <w:trPr>
          <w:trHeight w:val="257"/>
        </w:trPr>
        <w:tc>
          <w:tcPr>
            <w:tcW w:w="2694" w:type="dxa"/>
          </w:tcPr>
          <w:p w14:paraId="4D8F0FF4" w14:textId="77777777" w:rsidR="00A60D4B" w:rsidRPr="00EC74DB" w:rsidRDefault="00A60D4B" w:rsidP="00A60D4B">
            <w:pPr>
              <w:pStyle w:val="Btabletextbold"/>
            </w:pPr>
            <w:r w:rsidRPr="00570678">
              <w:t>Gross State Product</w:t>
            </w:r>
          </w:p>
        </w:tc>
        <w:tc>
          <w:tcPr>
            <w:tcW w:w="1275" w:type="dxa"/>
          </w:tcPr>
          <w:p w14:paraId="0463DD69" w14:textId="77777777" w:rsidR="00A60D4B" w:rsidRPr="00EC74DB" w:rsidRDefault="00A60D4B" w:rsidP="00A60D4B">
            <w:pPr>
              <w:pStyle w:val="Btablefigureunbold"/>
            </w:pPr>
          </w:p>
        </w:tc>
        <w:tc>
          <w:tcPr>
            <w:tcW w:w="1276" w:type="dxa"/>
            <w:shd w:val="clear" w:color="auto" w:fill="auto"/>
          </w:tcPr>
          <w:p w14:paraId="0631A97D" w14:textId="77777777" w:rsidR="00A60D4B" w:rsidRPr="00EC74DB" w:rsidRDefault="00A60D4B" w:rsidP="00A60D4B">
            <w:pPr>
              <w:pStyle w:val="Btablefigureunbold"/>
            </w:pPr>
          </w:p>
        </w:tc>
        <w:tc>
          <w:tcPr>
            <w:tcW w:w="1276" w:type="dxa"/>
            <w:shd w:val="clear" w:color="472D8C" w:fill="auto"/>
          </w:tcPr>
          <w:p w14:paraId="3A3FD78F" w14:textId="77777777" w:rsidR="00A60D4B" w:rsidRPr="00111524" w:rsidRDefault="00A60D4B" w:rsidP="00A60D4B">
            <w:pPr>
              <w:pStyle w:val="Btablefigureunbold"/>
              <w:rPr>
                <w:color w:val="000000"/>
              </w:rPr>
            </w:pPr>
          </w:p>
        </w:tc>
        <w:tc>
          <w:tcPr>
            <w:tcW w:w="1276" w:type="dxa"/>
            <w:shd w:val="clear" w:color="auto" w:fill="auto"/>
          </w:tcPr>
          <w:p w14:paraId="3E3D56CD" w14:textId="77777777" w:rsidR="00A60D4B" w:rsidRPr="00EC74DB" w:rsidRDefault="00A60D4B" w:rsidP="00A60D4B">
            <w:pPr>
              <w:pStyle w:val="Btablefigureunbold"/>
            </w:pPr>
          </w:p>
        </w:tc>
        <w:tc>
          <w:tcPr>
            <w:tcW w:w="1275" w:type="dxa"/>
          </w:tcPr>
          <w:p w14:paraId="5237C5BF" w14:textId="77777777" w:rsidR="00A60D4B" w:rsidRPr="00EC74DB" w:rsidRDefault="00A60D4B" w:rsidP="00A60D4B">
            <w:pPr>
              <w:pStyle w:val="Btablefigureunbold"/>
            </w:pPr>
          </w:p>
        </w:tc>
      </w:tr>
      <w:tr w:rsidR="00A60D4B" w:rsidRPr="00337DC9" w14:paraId="6B8DB53E" w14:textId="77777777" w:rsidTr="00A60D4B">
        <w:trPr>
          <w:trHeight w:val="270"/>
        </w:trPr>
        <w:tc>
          <w:tcPr>
            <w:tcW w:w="2694" w:type="dxa"/>
          </w:tcPr>
          <w:p w14:paraId="5759D91A" w14:textId="77777777" w:rsidR="00A60D4B" w:rsidRPr="00EC74DB" w:rsidRDefault="00A60D4B" w:rsidP="00A60D4B">
            <w:pPr>
              <w:pStyle w:val="Btabletextunbold"/>
              <w:ind w:left="511"/>
            </w:pPr>
            <w:r w:rsidRPr="00B87D8D">
              <w:t>Downside Scenario</w:t>
            </w:r>
          </w:p>
        </w:tc>
        <w:tc>
          <w:tcPr>
            <w:tcW w:w="1275" w:type="dxa"/>
          </w:tcPr>
          <w:p w14:paraId="2CEAA093" w14:textId="77777777" w:rsidR="00A60D4B" w:rsidRPr="00EC74DB" w:rsidRDefault="00A60D4B" w:rsidP="00A60D4B">
            <w:pPr>
              <w:pStyle w:val="Btablefigureunbold"/>
            </w:pPr>
            <w:r>
              <w:t>3</w:t>
            </w:r>
          </w:p>
        </w:tc>
        <w:tc>
          <w:tcPr>
            <w:tcW w:w="1276" w:type="dxa"/>
            <w:shd w:val="clear" w:color="auto" w:fill="auto"/>
          </w:tcPr>
          <w:p w14:paraId="401EF0FB" w14:textId="77777777" w:rsidR="00A60D4B" w:rsidRPr="0083442A" w:rsidRDefault="00A60D4B" w:rsidP="00A60D4B">
            <w:pPr>
              <w:pStyle w:val="BTablefigureBold"/>
              <w:rPr>
                <w:b w:val="0"/>
                <w:bCs/>
              </w:rPr>
            </w:pPr>
            <w:r w:rsidRPr="00B410AF">
              <w:rPr>
                <w:b w:val="0"/>
                <w:bCs/>
              </w:rPr>
              <w:t>1¼</w:t>
            </w:r>
          </w:p>
        </w:tc>
        <w:tc>
          <w:tcPr>
            <w:tcW w:w="1276" w:type="dxa"/>
            <w:shd w:val="clear" w:color="472D8C" w:fill="auto"/>
          </w:tcPr>
          <w:p w14:paraId="7E0FB541" w14:textId="77777777" w:rsidR="00A60D4B" w:rsidRPr="0083442A" w:rsidRDefault="00A60D4B" w:rsidP="00A60D4B">
            <w:pPr>
              <w:pStyle w:val="Btablefigureunbold"/>
            </w:pPr>
            <w:r>
              <w:t>2¾</w:t>
            </w:r>
          </w:p>
        </w:tc>
        <w:tc>
          <w:tcPr>
            <w:tcW w:w="1276" w:type="dxa"/>
            <w:shd w:val="clear" w:color="auto" w:fill="auto"/>
          </w:tcPr>
          <w:p w14:paraId="3BA98A48" w14:textId="77777777" w:rsidR="00A60D4B" w:rsidRPr="0083442A" w:rsidRDefault="00A60D4B" w:rsidP="00A60D4B">
            <w:pPr>
              <w:pStyle w:val="Btablefigureunbold"/>
            </w:pPr>
            <w:r w:rsidRPr="0083442A">
              <w:t>2</w:t>
            </w:r>
            <w:r>
              <w:t>¾</w:t>
            </w:r>
          </w:p>
        </w:tc>
        <w:tc>
          <w:tcPr>
            <w:tcW w:w="1275" w:type="dxa"/>
          </w:tcPr>
          <w:p w14:paraId="722AB5CF" w14:textId="77777777" w:rsidR="00A60D4B" w:rsidRPr="0083442A" w:rsidRDefault="00A60D4B" w:rsidP="00A60D4B">
            <w:pPr>
              <w:pStyle w:val="Btablefigureunbold"/>
            </w:pPr>
            <w:r w:rsidRPr="0083442A">
              <w:t>2</w:t>
            </w:r>
            <w:r>
              <w:t>¾</w:t>
            </w:r>
          </w:p>
        </w:tc>
      </w:tr>
      <w:tr w:rsidR="00A60D4B" w:rsidRPr="00882785" w14:paraId="271BBA92" w14:textId="77777777" w:rsidTr="00A60D4B">
        <w:trPr>
          <w:trHeight w:val="270"/>
        </w:trPr>
        <w:tc>
          <w:tcPr>
            <w:tcW w:w="2694" w:type="dxa"/>
          </w:tcPr>
          <w:p w14:paraId="366EECDB" w14:textId="77777777" w:rsidR="00A60D4B" w:rsidRPr="00882785" w:rsidRDefault="00A60D4B" w:rsidP="00A60D4B">
            <w:pPr>
              <w:pStyle w:val="Btabletextunbold"/>
              <w:ind w:left="511"/>
              <w:rPr>
                <w:b/>
                <w:bCs/>
              </w:rPr>
            </w:pPr>
            <w:r w:rsidRPr="00882785">
              <w:rPr>
                <w:b/>
                <w:bCs/>
              </w:rPr>
              <w:t>Baseline Scenario</w:t>
            </w:r>
          </w:p>
        </w:tc>
        <w:tc>
          <w:tcPr>
            <w:tcW w:w="1275" w:type="dxa"/>
          </w:tcPr>
          <w:p w14:paraId="58816599" w14:textId="77777777" w:rsidR="00A60D4B" w:rsidRPr="003D1336" w:rsidRDefault="00A60D4B" w:rsidP="00A60D4B">
            <w:pPr>
              <w:pStyle w:val="Btablefigureunbold"/>
              <w:rPr>
                <w:b/>
                <w:bCs/>
              </w:rPr>
            </w:pPr>
            <w:r>
              <w:rPr>
                <w:b/>
                <w:bCs/>
              </w:rPr>
              <w:t>3</w:t>
            </w:r>
          </w:p>
        </w:tc>
        <w:tc>
          <w:tcPr>
            <w:tcW w:w="1276" w:type="dxa"/>
            <w:shd w:val="clear" w:color="auto" w:fill="auto"/>
          </w:tcPr>
          <w:p w14:paraId="772388D4" w14:textId="77777777" w:rsidR="00A60D4B" w:rsidRPr="0083442A" w:rsidRDefault="00A60D4B" w:rsidP="00A60D4B">
            <w:pPr>
              <w:pStyle w:val="BTablefigureBold"/>
              <w:rPr>
                <w:bCs/>
              </w:rPr>
            </w:pPr>
            <w:r w:rsidRPr="0083442A">
              <w:rPr>
                <w:bCs/>
              </w:rPr>
              <w:t>2½</w:t>
            </w:r>
          </w:p>
        </w:tc>
        <w:tc>
          <w:tcPr>
            <w:tcW w:w="1276" w:type="dxa"/>
            <w:shd w:val="clear" w:color="472D8C" w:fill="auto"/>
          </w:tcPr>
          <w:p w14:paraId="29451C96" w14:textId="77777777" w:rsidR="00A60D4B" w:rsidRPr="00A10067" w:rsidRDefault="00A60D4B" w:rsidP="00A60D4B">
            <w:pPr>
              <w:pStyle w:val="Btablefigureunbold"/>
              <w:rPr>
                <w:b/>
                <w:bCs/>
              </w:rPr>
            </w:pPr>
            <w:r w:rsidRPr="00403735">
              <w:rPr>
                <w:b/>
                <w:bCs/>
              </w:rPr>
              <w:t>3¼</w:t>
            </w:r>
          </w:p>
        </w:tc>
        <w:tc>
          <w:tcPr>
            <w:tcW w:w="1276" w:type="dxa"/>
            <w:shd w:val="clear" w:color="auto" w:fill="auto"/>
          </w:tcPr>
          <w:p w14:paraId="5B666BCD" w14:textId="77777777" w:rsidR="00A60D4B" w:rsidRPr="0083442A" w:rsidRDefault="00A60D4B" w:rsidP="00A60D4B">
            <w:pPr>
              <w:pStyle w:val="Btablefigureunbold"/>
              <w:rPr>
                <w:b/>
                <w:bCs/>
              </w:rPr>
            </w:pPr>
            <w:r>
              <w:rPr>
                <w:b/>
                <w:bCs/>
              </w:rPr>
              <w:t>3</w:t>
            </w:r>
            <w:r w:rsidRPr="0083442A">
              <w:rPr>
                <w:b/>
                <w:bCs/>
              </w:rPr>
              <w:t xml:space="preserve"> </w:t>
            </w:r>
          </w:p>
        </w:tc>
        <w:tc>
          <w:tcPr>
            <w:tcW w:w="1275" w:type="dxa"/>
          </w:tcPr>
          <w:p w14:paraId="034271FD" w14:textId="77777777" w:rsidR="00A60D4B" w:rsidRPr="0083442A" w:rsidRDefault="00A60D4B" w:rsidP="00A60D4B">
            <w:pPr>
              <w:pStyle w:val="Btablefigureunbold"/>
              <w:rPr>
                <w:b/>
                <w:bCs/>
              </w:rPr>
            </w:pPr>
            <w:r>
              <w:rPr>
                <w:b/>
                <w:bCs/>
              </w:rPr>
              <w:t>3</w:t>
            </w:r>
          </w:p>
        </w:tc>
      </w:tr>
      <w:tr w:rsidR="00A60D4B" w:rsidRPr="00337DC9" w14:paraId="4D25D832" w14:textId="77777777" w:rsidTr="00A60D4B">
        <w:trPr>
          <w:trHeight w:val="270"/>
        </w:trPr>
        <w:tc>
          <w:tcPr>
            <w:tcW w:w="2694" w:type="dxa"/>
          </w:tcPr>
          <w:p w14:paraId="6DD14DB4" w14:textId="77777777" w:rsidR="00A60D4B" w:rsidRDefault="00A60D4B" w:rsidP="00A60D4B">
            <w:pPr>
              <w:pStyle w:val="Btabletextunbold"/>
              <w:ind w:left="511"/>
            </w:pPr>
            <w:r w:rsidRPr="00B87D8D">
              <w:t>Upside Scenario</w:t>
            </w:r>
          </w:p>
        </w:tc>
        <w:tc>
          <w:tcPr>
            <w:tcW w:w="1275" w:type="dxa"/>
          </w:tcPr>
          <w:p w14:paraId="119EDAFE" w14:textId="77777777" w:rsidR="00A60D4B" w:rsidRDefault="00A60D4B" w:rsidP="00A60D4B">
            <w:pPr>
              <w:pStyle w:val="Btablefigureunbold"/>
            </w:pPr>
            <w:r>
              <w:t>3</w:t>
            </w:r>
          </w:p>
        </w:tc>
        <w:tc>
          <w:tcPr>
            <w:tcW w:w="1276" w:type="dxa"/>
            <w:shd w:val="clear" w:color="auto" w:fill="auto"/>
          </w:tcPr>
          <w:p w14:paraId="16440BA2" w14:textId="77777777" w:rsidR="00A60D4B" w:rsidRPr="0083442A" w:rsidRDefault="00A60D4B" w:rsidP="00A60D4B">
            <w:pPr>
              <w:pStyle w:val="BTablefigureBold"/>
              <w:rPr>
                <w:b w:val="0"/>
                <w:bCs/>
              </w:rPr>
            </w:pPr>
            <w:r>
              <w:rPr>
                <w:b w:val="0"/>
                <w:bCs/>
              </w:rPr>
              <w:t>3</w:t>
            </w:r>
            <w:r w:rsidRPr="0083442A">
              <w:rPr>
                <w:b w:val="0"/>
                <w:bCs/>
              </w:rPr>
              <w:t>½</w:t>
            </w:r>
          </w:p>
        </w:tc>
        <w:tc>
          <w:tcPr>
            <w:tcW w:w="1276" w:type="dxa"/>
            <w:shd w:val="clear" w:color="472D8C" w:fill="auto"/>
          </w:tcPr>
          <w:p w14:paraId="4B7EF2A9" w14:textId="77777777" w:rsidR="00A60D4B" w:rsidRPr="0083442A" w:rsidRDefault="00A60D4B" w:rsidP="00A60D4B">
            <w:pPr>
              <w:pStyle w:val="Btablefigureunbold"/>
            </w:pPr>
            <w:r w:rsidRPr="0083442A">
              <w:t>3</w:t>
            </w:r>
            <w:r w:rsidRPr="00403735">
              <w:t>½</w:t>
            </w:r>
          </w:p>
        </w:tc>
        <w:tc>
          <w:tcPr>
            <w:tcW w:w="1276" w:type="dxa"/>
            <w:shd w:val="clear" w:color="auto" w:fill="auto"/>
          </w:tcPr>
          <w:p w14:paraId="603008B2" w14:textId="77777777" w:rsidR="00A60D4B" w:rsidRPr="0083442A" w:rsidRDefault="00A60D4B" w:rsidP="00A60D4B">
            <w:pPr>
              <w:pStyle w:val="Btablefigureunbold"/>
            </w:pPr>
            <w:r w:rsidRPr="0083442A">
              <w:t>3¼</w:t>
            </w:r>
          </w:p>
        </w:tc>
        <w:tc>
          <w:tcPr>
            <w:tcW w:w="1275" w:type="dxa"/>
          </w:tcPr>
          <w:p w14:paraId="2DCA838F" w14:textId="77777777" w:rsidR="00A60D4B" w:rsidRPr="0083442A" w:rsidRDefault="00A60D4B" w:rsidP="00A60D4B">
            <w:pPr>
              <w:pStyle w:val="Btablefigureunbold"/>
            </w:pPr>
            <w:r w:rsidRPr="0083442A">
              <w:t>3¼</w:t>
            </w:r>
          </w:p>
        </w:tc>
      </w:tr>
      <w:tr w:rsidR="00A60D4B" w:rsidRPr="00337DC9" w14:paraId="4F6858D1" w14:textId="77777777" w:rsidTr="00A60D4B">
        <w:trPr>
          <w:trHeight w:val="257"/>
        </w:trPr>
        <w:tc>
          <w:tcPr>
            <w:tcW w:w="2694" w:type="dxa"/>
          </w:tcPr>
          <w:p w14:paraId="3FE3C870" w14:textId="77777777" w:rsidR="00A60D4B" w:rsidRPr="00EC74DB" w:rsidRDefault="00A60D4B" w:rsidP="00A60D4B">
            <w:pPr>
              <w:pStyle w:val="Btabletextbold"/>
            </w:pPr>
            <w:r>
              <w:t>Employment</w:t>
            </w:r>
          </w:p>
        </w:tc>
        <w:tc>
          <w:tcPr>
            <w:tcW w:w="1275" w:type="dxa"/>
          </w:tcPr>
          <w:p w14:paraId="208D3519" w14:textId="77777777" w:rsidR="00A60D4B" w:rsidRPr="00EC74DB" w:rsidRDefault="00A60D4B" w:rsidP="00A60D4B">
            <w:pPr>
              <w:pStyle w:val="Btablefigureunbold"/>
            </w:pPr>
          </w:p>
        </w:tc>
        <w:tc>
          <w:tcPr>
            <w:tcW w:w="1276" w:type="dxa"/>
            <w:shd w:val="clear" w:color="auto" w:fill="auto"/>
          </w:tcPr>
          <w:p w14:paraId="643AD3B3" w14:textId="77777777" w:rsidR="00A60D4B" w:rsidRPr="0083442A" w:rsidRDefault="00A60D4B" w:rsidP="00A60D4B">
            <w:pPr>
              <w:pStyle w:val="Btablefigureunbold"/>
            </w:pPr>
          </w:p>
        </w:tc>
        <w:tc>
          <w:tcPr>
            <w:tcW w:w="1276" w:type="dxa"/>
            <w:shd w:val="clear" w:color="472D8C" w:fill="auto"/>
          </w:tcPr>
          <w:p w14:paraId="3FD86F24" w14:textId="77777777" w:rsidR="00A60D4B" w:rsidRPr="0083442A" w:rsidRDefault="00A60D4B" w:rsidP="00A60D4B">
            <w:pPr>
              <w:pStyle w:val="Btablefigureunbold"/>
            </w:pPr>
          </w:p>
        </w:tc>
        <w:tc>
          <w:tcPr>
            <w:tcW w:w="1276" w:type="dxa"/>
            <w:shd w:val="clear" w:color="auto" w:fill="auto"/>
          </w:tcPr>
          <w:p w14:paraId="6D2C8E3E" w14:textId="77777777" w:rsidR="00A60D4B" w:rsidRPr="0083442A" w:rsidRDefault="00A60D4B" w:rsidP="00A60D4B">
            <w:pPr>
              <w:pStyle w:val="Btablefigureunbold"/>
            </w:pPr>
          </w:p>
        </w:tc>
        <w:tc>
          <w:tcPr>
            <w:tcW w:w="1275" w:type="dxa"/>
          </w:tcPr>
          <w:p w14:paraId="6159DC61" w14:textId="77777777" w:rsidR="00A60D4B" w:rsidRPr="0083442A" w:rsidRDefault="00A60D4B" w:rsidP="00A60D4B">
            <w:pPr>
              <w:pStyle w:val="Btablefigureunbold"/>
            </w:pPr>
          </w:p>
        </w:tc>
      </w:tr>
      <w:tr w:rsidR="00A60D4B" w:rsidRPr="00337DC9" w14:paraId="707C7D6B" w14:textId="77777777" w:rsidTr="00A60D4B">
        <w:trPr>
          <w:trHeight w:val="270"/>
        </w:trPr>
        <w:tc>
          <w:tcPr>
            <w:tcW w:w="2694" w:type="dxa"/>
          </w:tcPr>
          <w:p w14:paraId="7124331F" w14:textId="77777777" w:rsidR="00A60D4B" w:rsidRPr="00EC74DB" w:rsidRDefault="00A60D4B" w:rsidP="00A60D4B">
            <w:pPr>
              <w:pStyle w:val="Btabletextunbold"/>
              <w:ind w:left="511"/>
            </w:pPr>
            <w:r w:rsidRPr="00B87D8D">
              <w:t>Downside Scenario</w:t>
            </w:r>
          </w:p>
        </w:tc>
        <w:tc>
          <w:tcPr>
            <w:tcW w:w="1275" w:type="dxa"/>
          </w:tcPr>
          <w:p w14:paraId="14CA2D5E" w14:textId="77777777" w:rsidR="00A60D4B" w:rsidRPr="00EC74DB" w:rsidRDefault="00A60D4B" w:rsidP="00A60D4B">
            <w:pPr>
              <w:pStyle w:val="Btablefigureunbold"/>
            </w:pPr>
            <w:r w:rsidRPr="00607116">
              <w:t>1.8</w:t>
            </w:r>
          </w:p>
        </w:tc>
        <w:tc>
          <w:tcPr>
            <w:tcW w:w="1276" w:type="dxa"/>
            <w:shd w:val="clear" w:color="auto" w:fill="auto"/>
          </w:tcPr>
          <w:p w14:paraId="2B3B216D" w14:textId="77777777" w:rsidR="00A60D4B" w:rsidRPr="0083442A" w:rsidRDefault="00A60D4B" w:rsidP="00A60D4B">
            <w:pPr>
              <w:pStyle w:val="BTablefigureBold"/>
              <w:rPr>
                <w:b w:val="0"/>
                <w:bCs/>
              </w:rPr>
            </w:pPr>
            <w:r w:rsidRPr="0083442A">
              <w:rPr>
                <w:b w:val="0"/>
                <w:bCs/>
              </w:rPr>
              <w:t>-</w:t>
            </w:r>
            <w:r w:rsidRPr="00EC031A">
              <w:rPr>
                <w:b w:val="0"/>
              </w:rPr>
              <w:t>½</w:t>
            </w:r>
          </w:p>
        </w:tc>
        <w:tc>
          <w:tcPr>
            <w:tcW w:w="1276" w:type="dxa"/>
            <w:shd w:val="clear" w:color="472D8C" w:fill="auto"/>
          </w:tcPr>
          <w:p w14:paraId="167E27DE" w14:textId="77777777" w:rsidR="00A60D4B" w:rsidRPr="00403735" w:rsidRDefault="00A60D4B" w:rsidP="00A60D4B">
            <w:pPr>
              <w:pStyle w:val="Btablefigureunbold"/>
            </w:pPr>
            <w:r w:rsidRPr="00C733F0">
              <w:rPr>
                <w:bCs/>
              </w:rPr>
              <w:t>¾</w:t>
            </w:r>
          </w:p>
        </w:tc>
        <w:tc>
          <w:tcPr>
            <w:tcW w:w="1276" w:type="dxa"/>
            <w:shd w:val="clear" w:color="auto" w:fill="auto"/>
          </w:tcPr>
          <w:p w14:paraId="00CC3E41" w14:textId="77777777" w:rsidR="00A60D4B" w:rsidRPr="0083442A" w:rsidRDefault="00A60D4B" w:rsidP="00A60D4B">
            <w:pPr>
              <w:pStyle w:val="Btablefigureunbold"/>
            </w:pPr>
            <w:r w:rsidRPr="00C733F0">
              <w:rPr>
                <w:bCs/>
              </w:rPr>
              <w:t>¾</w:t>
            </w:r>
            <w:r w:rsidRPr="0083442A">
              <w:t xml:space="preserve"> </w:t>
            </w:r>
          </w:p>
        </w:tc>
        <w:tc>
          <w:tcPr>
            <w:tcW w:w="1275" w:type="dxa"/>
          </w:tcPr>
          <w:p w14:paraId="367CE57B" w14:textId="77777777" w:rsidR="00A60D4B" w:rsidRPr="0083442A" w:rsidRDefault="00A60D4B" w:rsidP="00A60D4B">
            <w:pPr>
              <w:pStyle w:val="Btablefigureunbold"/>
            </w:pPr>
            <w:r w:rsidRPr="0083442A">
              <w:t>1</w:t>
            </w:r>
          </w:p>
        </w:tc>
      </w:tr>
      <w:tr w:rsidR="00A60D4B" w:rsidRPr="00882785" w14:paraId="5443914E" w14:textId="77777777" w:rsidTr="00A60D4B">
        <w:trPr>
          <w:trHeight w:val="270"/>
        </w:trPr>
        <w:tc>
          <w:tcPr>
            <w:tcW w:w="2694" w:type="dxa"/>
          </w:tcPr>
          <w:p w14:paraId="72E46016" w14:textId="77777777" w:rsidR="00A60D4B" w:rsidRPr="00882785" w:rsidRDefault="00A60D4B" w:rsidP="00A60D4B">
            <w:pPr>
              <w:pStyle w:val="Btabletextunbold"/>
              <w:ind w:left="511"/>
              <w:rPr>
                <w:b/>
                <w:bCs/>
              </w:rPr>
            </w:pPr>
            <w:r w:rsidRPr="00882785">
              <w:rPr>
                <w:b/>
                <w:bCs/>
              </w:rPr>
              <w:t>Baseline Scenario</w:t>
            </w:r>
          </w:p>
        </w:tc>
        <w:tc>
          <w:tcPr>
            <w:tcW w:w="1275" w:type="dxa"/>
          </w:tcPr>
          <w:p w14:paraId="3E4733B0" w14:textId="77777777" w:rsidR="00A60D4B" w:rsidRPr="003D1336" w:rsidRDefault="00A60D4B" w:rsidP="00A60D4B">
            <w:pPr>
              <w:pStyle w:val="Btablefigureunbold"/>
              <w:rPr>
                <w:b/>
                <w:bCs/>
              </w:rPr>
            </w:pPr>
            <w:r w:rsidRPr="003D1336">
              <w:rPr>
                <w:b/>
                <w:bCs/>
              </w:rPr>
              <w:t>1.8</w:t>
            </w:r>
          </w:p>
        </w:tc>
        <w:tc>
          <w:tcPr>
            <w:tcW w:w="1276" w:type="dxa"/>
            <w:shd w:val="clear" w:color="auto" w:fill="auto"/>
          </w:tcPr>
          <w:p w14:paraId="4C96BEFA" w14:textId="77777777" w:rsidR="00A60D4B" w:rsidRPr="00403735" w:rsidRDefault="00A60D4B" w:rsidP="00A60D4B">
            <w:pPr>
              <w:pStyle w:val="BTablefigureBold"/>
            </w:pPr>
            <w:r w:rsidRPr="00403735">
              <w:t>½</w:t>
            </w:r>
          </w:p>
        </w:tc>
        <w:tc>
          <w:tcPr>
            <w:tcW w:w="1276" w:type="dxa"/>
            <w:shd w:val="clear" w:color="472D8C" w:fill="auto"/>
          </w:tcPr>
          <w:p w14:paraId="4E296711" w14:textId="77777777" w:rsidR="00A60D4B" w:rsidRPr="0083442A" w:rsidRDefault="00A60D4B" w:rsidP="00A60D4B">
            <w:pPr>
              <w:pStyle w:val="Btablefigureunbold"/>
              <w:rPr>
                <w:b/>
                <w:bCs/>
              </w:rPr>
            </w:pPr>
            <w:r w:rsidRPr="00267B40">
              <w:rPr>
                <w:b/>
                <w:bCs/>
              </w:rPr>
              <w:t>1</w:t>
            </w:r>
          </w:p>
        </w:tc>
        <w:tc>
          <w:tcPr>
            <w:tcW w:w="1276" w:type="dxa"/>
            <w:shd w:val="clear" w:color="auto" w:fill="auto"/>
          </w:tcPr>
          <w:p w14:paraId="2563E6BF" w14:textId="77777777" w:rsidR="00A60D4B" w:rsidRPr="0083442A" w:rsidRDefault="00A60D4B" w:rsidP="00A60D4B">
            <w:pPr>
              <w:pStyle w:val="Btablefigureunbold"/>
              <w:rPr>
                <w:b/>
                <w:bCs/>
              </w:rPr>
            </w:pPr>
            <w:r w:rsidRPr="0083442A">
              <w:rPr>
                <w:b/>
                <w:bCs/>
              </w:rPr>
              <w:t>1¼</w:t>
            </w:r>
          </w:p>
        </w:tc>
        <w:tc>
          <w:tcPr>
            <w:tcW w:w="1275" w:type="dxa"/>
          </w:tcPr>
          <w:p w14:paraId="0497F2A0" w14:textId="77777777" w:rsidR="00A60D4B" w:rsidRPr="0083442A" w:rsidRDefault="00A60D4B" w:rsidP="00A60D4B">
            <w:pPr>
              <w:pStyle w:val="Btablefigureunbold"/>
              <w:rPr>
                <w:b/>
                <w:bCs/>
              </w:rPr>
            </w:pPr>
            <w:r w:rsidRPr="0083442A">
              <w:rPr>
                <w:b/>
                <w:bCs/>
              </w:rPr>
              <w:t>1¼</w:t>
            </w:r>
          </w:p>
        </w:tc>
      </w:tr>
      <w:tr w:rsidR="00A60D4B" w:rsidRPr="00337DC9" w14:paraId="751F657F" w14:textId="77777777" w:rsidTr="00A60D4B">
        <w:trPr>
          <w:trHeight w:val="270"/>
        </w:trPr>
        <w:tc>
          <w:tcPr>
            <w:tcW w:w="2694" w:type="dxa"/>
          </w:tcPr>
          <w:p w14:paraId="3F2A4B7B" w14:textId="77777777" w:rsidR="00A60D4B" w:rsidRDefault="00A60D4B" w:rsidP="00A60D4B">
            <w:pPr>
              <w:pStyle w:val="Btabletextunbold"/>
              <w:ind w:left="511"/>
            </w:pPr>
            <w:r w:rsidRPr="00B87D8D">
              <w:t>Upside Scenario</w:t>
            </w:r>
          </w:p>
        </w:tc>
        <w:tc>
          <w:tcPr>
            <w:tcW w:w="1275" w:type="dxa"/>
          </w:tcPr>
          <w:p w14:paraId="549E87F9" w14:textId="77777777" w:rsidR="00A60D4B" w:rsidRDefault="00A60D4B" w:rsidP="00A60D4B">
            <w:pPr>
              <w:pStyle w:val="Btablefigureunbold"/>
            </w:pPr>
            <w:r w:rsidRPr="00607116">
              <w:t>1.8</w:t>
            </w:r>
          </w:p>
        </w:tc>
        <w:tc>
          <w:tcPr>
            <w:tcW w:w="1276" w:type="dxa"/>
            <w:shd w:val="clear" w:color="auto" w:fill="auto"/>
          </w:tcPr>
          <w:p w14:paraId="60D33093" w14:textId="77777777" w:rsidR="00A60D4B" w:rsidRPr="0083442A" w:rsidRDefault="00A60D4B" w:rsidP="00A60D4B">
            <w:pPr>
              <w:pStyle w:val="BTablefigureBold"/>
              <w:rPr>
                <w:b w:val="0"/>
                <w:bCs/>
              </w:rPr>
            </w:pPr>
            <w:r w:rsidRPr="00EC031A">
              <w:rPr>
                <w:b w:val="0"/>
              </w:rPr>
              <w:t>¾</w:t>
            </w:r>
          </w:p>
        </w:tc>
        <w:tc>
          <w:tcPr>
            <w:tcW w:w="1276" w:type="dxa"/>
            <w:shd w:val="clear" w:color="472D8C" w:fill="auto"/>
          </w:tcPr>
          <w:p w14:paraId="20FB5E6E" w14:textId="77777777" w:rsidR="00A60D4B" w:rsidRPr="00982689" w:rsidRDefault="00A60D4B" w:rsidP="00A60D4B">
            <w:pPr>
              <w:pStyle w:val="Btablefigureunbold"/>
            </w:pPr>
            <w:r w:rsidRPr="007B3921">
              <w:t>1</w:t>
            </w:r>
            <w:r w:rsidRPr="00403735">
              <w:t>½</w:t>
            </w:r>
          </w:p>
        </w:tc>
        <w:tc>
          <w:tcPr>
            <w:tcW w:w="1276" w:type="dxa"/>
            <w:shd w:val="clear" w:color="auto" w:fill="auto"/>
          </w:tcPr>
          <w:p w14:paraId="6662726F" w14:textId="77777777" w:rsidR="00A60D4B" w:rsidRPr="00982689" w:rsidRDefault="00A60D4B" w:rsidP="00A60D4B">
            <w:pPr>
              <w:pStyle w:val="Btablefigureunbold"/>
            </w:pPr>
            <w:r w:rsidRPr="0083442A">
              <w:t>1½</w:t>
            </w:r>
          </w:p>
        </w:tc>
        <w:tc>
          <w:tcPr>
            <w:tcW w:w="1275" w:type="dxa"/>
          </w:tcPr>
          <w:p w14:paraId="69CCE94F" w14:textId="77777777" w:rsidR="00A60D4B" w:rsidRPr="0083442A" w:rsidRDefault="00A60D4B" w:rsidP="00A60D4B">
            <w:pPr>
              <w:pStyle w:val="Btablefigureunbold"/>
            </w:pPr>
            <w:r w:rsidRPr="0083442A">
              <w:t>1</w:t>
            </w:r>
            <w:r>
              <w:t>¾</w:t>
            </w:r>
          </w:p>
        </w:tc>
      </w:tr>
      <w:tr w:rsidR="00A60D4B" w:rsidRPr="00337DC9" w14:paraId="3C58EB41" w14:textId="77777777" w:rsidTr="00A60D4B">
        <w:trPr>
          <w:trHeight w:val="257"/>
        </w:trPr>
        <w:tc>
          <w:tcPr>
            <w:tcW w:w="2694" w:type="dxa"/>
          </w:tcPr>
          <w:p w14:paraId="5085A542" w14:textId="77777777" w:rsidR="00A60D4B" w:rsidRPr="00EC74DB" w:rsidRDefault="00A60D4B" w:rsidP="00A60D4B">
            <w:pPr>
              <w:pStyle w:val="Btabletextbold"/>
            </w:pPr>
            <w:r>
              <w:t>Wage Price Index</w:t>
            </w:r>
          </w:p>
        </w:tc>
        <w:tc>
          <w:tcPr>
            <w:tcW w:w="1275" w:type="dxa"/>
          </w:tcPr>
          <w:p w14:paraId="3221B303" w14:textId="77777777" w:rsidR="00A60D4B" w:rsidRPr="00EC74DB" w:rsidRDefault="00A60D4B" w:rsidP="00A60D4B">
            <w:pPr>
              <w:pStyle w:val="Btablefigureunbold"/>
            </w:pPr>
          </w:p>
        </w:tc>
        <w:tc>
          <w:tcPr>
            <w:tcW w:w="1276" w:type="dxa"/>
            <w:shd w:val="clear" w:color="auto" w:fill="auto"/>
          </w:tcPr>
          <w:p w14:paraId="51DD525B" w14:textId="77777777" w:rsidR="00A60D4B" w:rsidRPr="0083442A" w:rsidRDefault="00A60D4B" w:rsidP="00A60D4B">
            <w:pPr>
              <w:pStyle w:val="Btablefigureunbold"/>
            </w:pPr>
          </w:p>
        </w:tc>
        <w:tc>
          <w:tcPr>
            <w:tcW w:w="1276" w:type="dxa"/>
            <w:shd w:val="clear" w:color="472D8C" w:fill="auto"/>
          </w:tcPr>
          <w:p w14:paraId="32AD45DA" w14:textId="77777777" w:rsidR="00A60D4B" w:rsidRPr="0083442A" w:rsidRDefault="00A60D4B" w:rsidP="00A60D4B">
            <w:pPr>
              <w:pStyle w:val="Btablefigureunbold"/>
            </w:pPr>
          </w:p>
        </w:tc>
        <w:tc>
          <w:tcPr>
            <w:tcW w:w="1276" w:type="dxa"/>
            <w:shd w:val="clear" w:color="auto" w:fill="auto"/>
          </w:tcPr>
          <w:p w14:paraId="3C5D790A" w14:textId="77777777" w:rsidR="00A60D4B" w:rsidRPr="0083442A" w:rsidRDefault="00A60D4B" w:rsidP="00A60D4B">
            <w:pPr>
              <w:pStyle w:val="Btablefigureunbold"/>
            </w:pPr>
          </w:p>
        </w:tc>
        <w:tc>
          <w:tcPr>
            <w:tcW w:w="1275" w:type="dxa"/>
          </w:tcPr>
          <w:p w14:paraId="68F93AFD" w14:textId="77777777" w:rsidR="00A60D4B" w:rsidRPr="0083442A" w:rsidRDefault="00A60D4B" w:rsidP="00A60D4B">
            <w:pPr>
              <w:pStyle w:val="Btablefigureunbold"/>
            </w:pPr>
          </w:p>
        </w:tc>
      </w:tr>
      <w:tr w:rsidR="00A60D4B" w:rsidRPr="00337DC9" w14:paraId="7DC2D315" w14:textId="77777777" w:rsidTr="00A60D4B">
        <w:trPr>
          <w:trHeight w:val="270"/>
        </w:trPr>
        <w:tc>
          <w:tcPr>
            <w:tcW w:w="2694" w:type="dxa"/>
          </w:tcPr>
          <w:p w14:paraId="3A45F34E" w14:textId="77777777" w:rsidR="00A60D4B" w:rsidRPr="00EC74DB" w:rsidRDefault="00A60D4B" w:rsidP="00A60D4B">
            <w:pPr>
              <w:pStyle w:val="Btabletextunbold"/>
              <w:ind w:left="511"/>
            </w:pPr>
            <w:r w:rsidRPr="00B87D8D">
              <w:t>Downside Scenario</w:t>
            </w:r>
          </w:p>
        </w:tc>
        <w:tc>
          <w:tcPr>
            <w:tcW w:w="1275" w:type="dxa"/>
          </w:tcPr>
          <w:p w14:paraId="2893D73F" w14:textId="77777777" w:rsidR="00A60D4B" w:rsidRPr="00EC74DB" w:rsidRDefault="00A60D4B" w:rsidP="00A60D4B">
            <w:pPr>
              <w:pStyle w:val="Btablefigureunbold"/>
            </w:pPr>
            <w:r>
              <w:t>1.7</w:t>
            </w:r>
          </w:p>
        </w:tc>
        <w:tc>
          <w:tcPr>
            <w:tcW w:w="1276" w:type="dxa"/>
            <w:shd w:val="clear" w:color="auto" w:fill="auto"/>
          </w:tcPr>
          <w:p w14:paraId="4AB5528B" w14:textId="77777777" w:rsidR="00A60D4B" w:rsidRPr="0083442A" w:rsidRDefault="00A60D4B" w:rsidP="00A60D4B">
            <w:pPr>
              <w:pStyle w:val="BTablefigureBold"/>
              <w:rPr>
                <w:b w:val="0"/>
                <w:bCs/>
              </w:rPr>
            </w:pPr>
            <w:r>
              <w:rPr>
                <w:b w:val="0"/>
                <w:bCs/>
              </w:rPr>
              <w:t>1¼</w:t>
            </w:r>
          </w:p>
        </w:tc>
        <w:tc>
          <w:tcPr>
            <w:tcW w:w="1276" w:type="dxa"/>
            <w:shd w:val="clear" w:color="472D8C" w:fill="auto"/>
          </w:tcPr>
          <w:p w14:paraId="292C835A" w14:textId="77777777" w:rsidR="00A60D4B" w:rsidRPr="0083442A" w:rsidRDefault="00A60D4B" w:rsidP="00A60D4B">
            <w:pPr>
              <w:pStyle w:val="Btablefigureunbold"/>
            </w:pPr>
            <w:r>
              <w:t>1½</w:t>
            </w:r>
          </w:p>
        </w:tc>
        <w:tc>
          <w:tcPr>
            <w:tcW w:w="1276" w:type="dxa"/>
            <w:shd w:val="clear" w:color="auto" w:fill="auto"/>
          </w:tcPr>
          <w:p w14:paraId="2BB7D9E8" w14:textId="77777777" w:rsidR="00A60D4B" w:rsidRPr="0083442A" w:rsidRDefault="00A60D4B" w:rsidP="00A60D4B">
            <w:pPr>
              <w:pStyle w:val="Btablefigureunbold"/>
            </w:pPr>
            <w:r>
              <w:t xml:space="preserve">1¾ </w:t>
            </w:r>
          </w:p>
        </w:tc>
        <w:tc>
          <w:tcPr>
            <w:tcW w:w="1275" w:type="dxa"/>
          </w:tcPr>
          <w:p w14:paraId="472F5453" w14:textId="77777777" w:rsidR="00A60D4B" w:rsidRPr="0083442A" w:rsidRDefault="00A60D4B" w:rsidP="00A60D4B">
            <w:pPr>
              <w:pStyle w:val="Btablefigureunbold"/>
            </w:pPr>
            <w:r>
              <w:t>2</w:t>
            </w:r>
          </w:p>
        </w:tc>
      </w:tr>
      <w:tr w:rsidR="00A60D4B" w:rsidRPr="00882785" w14:paraId="7672E9D3" w14:textId="77777777" w:rsidTr="00A60D4B">
        <w:trPr>
          <w:trHeight w:val="270"/>
        </w:trPr>
        <w:tc>
          <w:tcPr>
            <w:tcW w:w="2694" w:type="dxa"/>
          </w:tcPr>
          <w:p w14:paraId="3628D227" w14:textId="77777777" w:rsidR="00A60D4B" w:rsidRPr="00882785" w:rsidRDefault="00A60D4B" w:rsidP="00A60D4B">
            <w:pPr>
              <w:pStyle w:val="Btabletextunbold"/>
              <w:ind w:left="511"/>
              <w:rPr>
                <w:b/>
                <w:bCs/>
              </w:rPr>
            </w:pPr>
            <w:r w:rsidRPr="00882785">
              <w:rPr>
                <w:b/>
                <w:bCs/>
              </w:rPr>
              <w:t>Baseline Scenario</w:t>
            </w:r>
          </w:p>
        </w:tc>
        <w:tc>
          <w:tcPr>
            <w:tcW w:w="1275" w:type="dxa"/>
          </w:tcPr>
          <w:p w14:paraId="5712F004" w14:textId="77777777" w:rsidR="00A60D4B" w:rsidRPr="00C733F0" w:rsidRDefault="00A60D4B" w:rsidP="00A60D4B">
            <w:pPr>
              <w:pStyle w:val="Btablefigureunbold"/>
              <w:rPr>
                <w:b/>
                <w:bCs/>
              </w:rPr>
            </w:pPr>
            <w:r w:rsidRPr="00C733F0">
              <w:rPr>
                <w:b/>
                <w:bCs/>
              </w:rPr>
              <w:t>1.7</w:t>
            </w:r>
          </w:p>
        </w:tc>
        <w:tc>
          <w:tcPr>
            <w:tcW w:w="1276" w:type="dxa"/>
            <w:shd w:val="clear" w:color="auto" w:fill="auto"/>
          </w:tcPr>
          <w:p w14:paraId="0C8EBF18" w14:textId="77777777" w:rsidR="00A60D4B" w:rsidRPr="00C733F0" w:rsidRDefault="00A60D4B" w:rsidP="00A60D4B">
            <w:pPr>
              <w:pStyle w:val="BTablefigureBold"/>
              <w:rPr>
                <w:bCs/>
              </w:rPr>
            </w:pPr>
            <w:r w:rsidRPr="00C733F0">
              <w:rPr>
                <w:bCs/>
              </w:rPr>
              <w:t>1¾</w:t>
            </w:r>
          </w:p>
        </w:tc>
        <w:tc>
          <w:tcPr>
            <w:tcW w:w="1276" w:type="dxa"/>
            <w:shd w:val="clear" w:color="472D8C" w:fill="auto"/>
          </w:tcPr>
          <w:p w14:paraId="5B45B5F0" w14:textId="77777777" w:rsidR="00A60D4B" w:rsidRPr="00C733F0" w:rsidRDefault="00A60D4B" w:rsidP="00A60D4B">
            <w:pPr>
              <w:pStyle w:val="Btablefigureunbold"/>
              <w:rPr>
                <w:b/>
                <w:bCs/>
              </w:rPr>
            </w:pPr>
            <w:r w:rsidRPr="00C733F0">
              <w:rPr>
                <w:b/>
                <w:bCs/>
              </w:rPr>
              <w:t>2</w:t>
            </w:r>
          </w:p>
        </w:tc>
        <w:tc>
          <w:tcPr>
            <w:tcW w:w="1276" w:type="dxa"/>
            <w:shd w:val="clear" w:color="auto" w:fill="auto"/>
          </w:tcPr>
          <w:p w14:paraId="1C619733" w14:textId="77777777" w:rsidR="00A60D4B" w:rsidRPr="00C733F0" w:rsidRDefault="00A60D4B" w:rsidP="00A60D4B">
            <w:pPr>
              <w:pStyle w:val="Btablefigureunbold"/>
              <w:rPr>
                <w:b/>
                <w:bCs/>
              </w:rPr>
            </w:pPr>
            <w:r w:rsidRPr="00C733F0">
              <w:rPr>
                <w:b/>
                <w:bCs/>
              </w:rPr>
              <w:t>2¼</w:t>
            </w:r>
          </w:p>
        </w:tc>
        <w:tc>
          <w:tcPr>
            <w:tcW w:w="1275" w:type="dxa"/>
          </w:tcPr>
          <w:p w14:paraId="66F23F4A" w14:textId="77777777" w:rsidR="00A60D4B" w:rsidRPr="00C733F0" w:rsidRDefault="00A60D4B" w:rsidP="00A60D4B">
            <w:pPr>
              <w:pStyle w:val="Btablefigureunbold"/>
              <w:rPr>
                <w:b/>
                <w:bCs/>
              </w:rPr>
            </w:pPr>
            <w:r w:rsidRPr="00C733F0">
              <w:rPr>
                <w:b/>
                <w:bCs/>
              </w:rPr>
              <w:t xml:space="preserve">2½ </w:t>
            </w:r>
          </w:p>
        </w:tc>
      </w:tr>
      <w:tr w:rsidR="00A60D4B" w:rsidRPr="00337DC9" w14:paraId="45A829CE" w14:textId="77777777" w:rsidTr="00A60D4B">
        <w:trPr>
          <w:trHeight w:val="270"/>
        </w:trPr>
        <w:tc>
          <w:tcPr>
            <w:tcW w:w="2694" w:type="dxa"/>
          </w:tcPr>
          <w:p w14:paraId="31812BBB" w14:textId="77777777" w:rsidR="00A60D4B" w:rsidRDefault="00A60D4B" w:rsidP="00A60D4B">
            <w:pPr>
              <w:pStyle w:val="Btabletextunbold"/>
              <w:ind w:left="511"/>
            </w:pPr>
            <w:r w:rsidRPr="00B87D8D">
              <w:t>Upside Scenario</w:t>
            </w:r>
          </w:p>
        </w:tc>
        <w:tc>
          <w:tcPr>
            <w:tcW w:w="1275" w:type="dxa"/>
          </w:tcPr>
          <w:p w14:paraId="437763F3" w14:textId="77777777" w:rsidR="00A60D4B" w:rsidRDefault="00A60D4B" w:rsidP="00A60D4B">
            <w:pPr>
              <w:pStyle w:val="Btablefigureunbold"/>
            </w:pPr>
            <w:r>
              <w:t>1.7</w:t>
            </w:r>
          </w:p>
        </w:tc>
        <w:tc>
          <w:tcPr>
            <w:tcW w:w="1276" w:type="dxa"/>
            <w:shd w:val="clear" w:color="auto" w:fill="auto"/>
          </w:tcPr>
          <w:p w14:paraId="564231E6" w14:textId="77777777" w:rsidR="00A60D4B" w:rsidRPr="0083442A" w:rsidRDefault="00A60D4B" w:rsidP="00A60D4B">
            <w:pPr>
              <w:pStyle w:val="BTablefigureBold"/>
              <w:rPr>
                <w:b w:val="0"/>
                <w:bCs/>
              </w:rPr>
            </w:pPr>
            <w:r>
              <w:rPr>
                <w:b w:val="0"/>
                <w:bCs/>
              </w:rPr>
              <w:t>2</w:t>
            </w:r>
          </w:p>
        </w:tc>
        <w:tc>
          <w:tcPr>
            <w:tcW w:w="1276" w:type="dxa"/>
            <w:shd w:val="clear" w:color="472D8C" w:fill="auto"/>
          </w:tcPr>
          <w:p w14:paraId="44812F7A" w14:textId="77777777" w:rsidR="00A60D4B" w:rsidRPr="0083442A" w:rsidRDefault="00A60D4B" w:rsidP="00A60D4B">
            <w:pPr>
              <w:pStyle w:val="Btablefigureunbold"/>
            </w:pPr>
            <w:r>
              <w:t>2¼</w:t>
            </w:r>
          </w:p>
        </w:tc>
        <w:tc>
          <w:tcPr>
            <w:tcW w:w="1276" w:type="dxa"/>
            <w:shd w:val="clear" w:color="auto" w:fill="auto"/>
          </w:tcPr>
          <w:p w14:paraId="2B073CE1" w14:textId="77777777" w:rsidR="00A60D4B" w:rsidRPr="0083442A" w:rsidRDefault="00A60D4B" w:rsidP="00A60D4B">
            <w:pPr>
              <w:pStyle w:val="Btablefigureunbold"/>
            </w:pPr>
            <w:r>
              <w:t xml:space="preserve">2½ </w:t>
            </w:r>
          </w:p>
        </w:tc>
        <w:tc>
          <w:tcPr>
            <w:tcW w:w="1275" w:type="dxa"/>
          </w:tcPr>
          <w:p w14:paraId="4FB74A3F" w14:textId="77777777" w:rsidR="00A60D4B" w:rsidRPr="0083442A" w:rsidRDefault="00A60D4B" w:rsidP="00A60D4B">
            <w:pPr>
              <w:pStyle w:val="Btablefigureunbold"/>
            </w:pPr>
            <w:r>
              <w:t xml:space="preserve">2¾ </w:t>
            </w:r>
          </w:p>
        </w:tc>
      </w:tr>
      <w:tr w:rsidR="00A60D4B" w:rsidRPr="00337DC9" w14:paraId="2E25E6D0" w14:textId="77777777" w:rsidTr="00A60D4B">
        <w:trPr>
          <w:trHeight w:val="257"/>
        </w:trPr>
        <w:tc>
          <w:tcPr>
            <w:tcW w:w="2694" w:type="dxa"/>
          </w:tcPr>
          <w:p w14:paraId="5F589249" w14:textId="77777777" w:rsidR="00A60D4B" w:rsidRPr="00EC74DB" w:rsidRDefault="00A60D4B" w:rsidP="00A60D4B">
            <w:pPr>
              <w:pStyle w:val="Btabletextbold"/>
            </w:pPr>
            <w:r>
              <w:t>Consumer Price Index</w:t>
            </w:r>
          </w:p>
        </w:tc>
        <w:tc>
          <w:tcPr>
            <w:tcW w:w="1275" w:type="dxa"/>
          </w:tcPr>
          <w:p w14:paraId="63F0DB2D" w14:textId="77777777" w:rsidR="00A60D4B" w:rsidRPr="00EC74DB" w:rsidRDefault="00A60D4B" w:rsidP="00A60D4B">
            <w:pPr>
              <w:pStyle w:val="Btablefigureunbold"/>
            </w:pPr>
          </w:p>
        </w:tc>
        <w:tc>
          <w:tcPr>
            <w:tcW w:w="1276" w:type="dxa"/>
            <w:shd w:val="clear" w:color="auto" w:fill="auto"/>
          </w:tcPr>
          <w:p w14:paraId="2A153354" w14:textId="77777777" w:rsidR="00A60D4B" w:rsidRPr="0083442A" w:rsidRDefault="00A60D4B" w:rsidP="00A60D4B">
            <w:pPr>
              <w:pStyle w:val="Btablefigureunbold"/>
            </w:pPr>
          </w:p>
        </w:tc>
        <w:tc>
          <w:tcPr>
            <w:tcW w:w="1276" w:type="dxa"/>
            <w:shd w:val="clear" w:color="472D8C" w:fill="auto"/>
          </w:tcPr>
          <w:p w14:paraId="0A5ED92A" w14:textId="77777777" w:rsidR="00A60D4B" w:rsidRPr="0083442A" w:rsidRDefault="00A60D4B" w:rsidP="00A60D4B">
            <w:pPr>
              <w:pStyle w:val="Btablefigureunbold"/>
            </w:pPr>
          </w:p>
        </w:tc>
        <w:tc>
          <w:tcPr>
            <w:tcW w:w="1276" w:type="dxa"/>
            <w:shd w:val="clear" w:color="auto" w:fill="auto"/>
          </w:tcPr>
          <w:p w14:paraId="73BDC3D9" w14:textId="77777777" w:rsidR="00A60D4B" w:rsidRPr="0083442A" w:rsidRDefault="00A60D4B" w:rsidP="00A60D4B">
            <w:pPr>
              <w:pStyle w:val="Btablefigureunbold"/>
            </w:pPr>
          </w:p>
        </w:tc>
        <w:tc>
          <w:tcPr>
            <w:tcW w:w="1275" w:type="dxa"/>
          </w:tcPr>
          <w:p w14:paraId="520F4063" w14:textId="77777777" w:rsidR="00A60D4B" w:rsidRPr="0083442A" w:rsidRDefault="00A60D4B" w:rsidP="00A60D4B">
            <w:pPr>
              <w:pStyle w:val="Btablefigureunbold"/>
            </w:pPr>
          </w:p>
        </w:tc>
      </w:tr>
      <w:tr w:rsidR="00A60D4B" w:rsidRPr="00337DC9" w14:paraId="145533E7" w14:textId="77777777" w:rsidTr="00A60D4B">
        <w:trPr>
          <w:trHeight w:val="270"/>
        </w:trPr>
        <w:tc>
          <w:tcPr>
            <w:tcW w:w="2694" w:type="dxa"/>
          </w:tcPr>
          <w:p w14:paraId="7F149306" w14:textId="77777777" w:rsidR="00A60D4B" w:rsidRPr="00EC74DB" w:rsidRDefault="00A60D4B" w:rsidP="00A60D4B">
            <w:pPr>
              <w:pStyle w:val="Btabletextunbold"/>
              <w:ind w:left="511"/>
            </w:pPr>
            <w:r w:rsidRPr="00B87D8D">
              <w:t>Downside Scenario</w:t>
            </w:r>
          </w:p>
        </w:tc>
        <w:tc>
          <w:tcPr>
            <w:tcW w:w="1275" w:type="dxa"/>
          </w:tcPr>
          <w:p w14:paraId="535948BC" w14:textId="77777777" w:rsidR="00A60D4B" w:rsidRPr="003D414F" w:rsidRDefault="00A60D4B" w:rsidP="00A60D4B">
            <w:pPr>
              <w:pStyle w:val="Btablefigureunbold"/>
            </w:pPr>
            <w:r w:rsidRPr="003D414F">
              <w:t>4.8</w:t>
            </w:r>
          </w:p>
        </w:tc>
        <w:tc>
          <w:tcPr>
            <w:tcW w:w="1276" w:type="dxa"/>
            <w:shd w:val="clear" w:color="auto" w:fill="auto"/>
          </w:tcPr>
          <w:p w14:paraId="2348425E" w14:textId="77777777" w:rsidR="00A60D4B" w:rsidRPr="0083442A" w:rsidRDefault="00A60D4B" w:rsidP="00A60D4B">
            <w:pPr>
              <w:pStyle w:val="BTablefigureBold"/>
              <w:rPr>
                <w:b w:val="0"/>
                <w:bCs/>
              </w:rPr>
            </w:pPr>
            <w:r>
              <w:rPr>
                <w:b w:val="0"/>
                <w:bCs/>
              </w:rPr>
              <w:t>1</w:t>
            </w:r>
          </w:p>
        </w:tc>
        <w:tc>
          <w:tcPr>
            <w:tcW w:w="1276" w:type="dxa"/>
            <w:shd w:val="clear" w:color="472D8C" w:fill="auto"/>
          </w:tcPr>
          <w:p w14:paraId="2626E378" w14:textId="77777777" w:rsidR="00A60D4B" w:rsidRPr="0083442A" w:rsidRDefault="00A60D4B" w:rsidP="00A60D4B">
            <w:pPr>
              <w:pStyle w:val="Btablefigureunbold"/>
            </w:pPr>
            <w:r>
              <w:t>1</w:t>
            </w:r>
          </w:p>
        </w:tc>
        <w:tc>
          <w:tcPr>
            <w:tcW w:w="1276" w:type="dxa"/>
            <w:shd w:val="clear" w:color="auto" w:fill="auto"/>
          </w:tcPr>
          <w:p w14:paraId="3CF14BD5" w14:textId="77777777" w:rsidR="00A60D4B" w:rsidRPr="0083442A" w:rsidRDefault="00A60D4B" w:rsidP="00A60D4B">
            <w:pPr>
              <w:pStyle w:val="Btablefigureunbold"/>
            </w:pPr>
            <w:r>
              <w:t xml:space="preserve">1¼ </w:t>
            </w:r>
          </w:p>
        </w:tc>
        <w:tc>
          <w:tcPr>
            <w:tcW w:w="1275" w:type="dxa"/>
          </w:tcPr>
          <w:p w14:paraId="0FF71109" w14:textId="77777777" w:rsidR="00A60D4B" w:rsidRPr="0083442A" w:rsidRDefault="00A60D4B" w:rsidP="00A60D4B">
            <w:pPr>
              <w:pStyle w:val="Btablefigureunbold"/>
            </w:pPr>
            <w:r>
              <w:t xml:space="preserve">1½ </w:t>
            </w:r>
          </w:p>
        </w:tc>
      </w:tr>
      <w:tr w:rsidR="00A60D4B" w:rsidRPr="00882785" w14:paraId="70178B4A" w14:textId="77777777" w:rsidTr="00A60D4B">
        <w:trPr>
          <w:trHeight w:val="270"/>
        </w:trPr>
        <w:tc>
          <w:tcPr>
            <w:tcW w:w="2694" w:type="dxa"/>
          </w:tcPr>
          <w:p w14:paraId="23B4F026" w14:textId="77777777" w:rsidR="00A60D4B" w:rsidRPr="00882785" w:rsidRDefault="00A60D4B" w:rsidP="00A60D4B">
            <w:pPr>
              <w:pStyle w:val="Btabletextunbold"/>
              <w:ind w:left="511"/>
              <w:rPr>
                <w:b/>
                <w:bCs/>
              </w:rPr>
            </w:pPr>
            <w:r w:rsidRPr="00882785">
              <w:rPr>
                <w:b/>
                <w:bCs/>
              </w:rPr>
              <w:t>Baseline Scenario</w:t>
            </w:r>
          </w:p>
        </w:tc>
        <w:tc>
          <w:tcPr>
            <w:tcW w:w="1275" w:type="dxa"/>
          </w:tcPr>
          <w:p w14:paraId="6F6DA35D" w14:textId="77777777" w:rsidR="00A60D4B" w:rsidRPr="003D414F" w:rsidRDefault="00A60D4B" w:rsidP="00A60D4B">
            <w:pPr>
              <w:pStyle w:val="Btablefigureunbold"/>
              <w:rPr>
                <w:b/>
                <w:bCs/>
              </w:rPr>
            </w:pPr>
            <w:r w:rsidRPr="003D414F">
              <w:rPr>
                <w:b/>
                <w:bCs/>
              </w:rPr>
              <w:t>4.8</w:t>
            </w:r>
          </w:p>
        </w:tc>
        <w:tc>
          <w:tcPr>
            <w:tcW w:w="1276" w:type="dxa"/>
            <w:shd w:val="clear" w:color="auto" w:fill="auto"/>
          </w:tcPr>
          <w:p w14:paraId="5C212483" w14:textId="77777777" w:rsidR="00A60D4B" w:rsidRPr="00C733F0" w:rsidRDefault="00A60D4B" w:rsidP="00A60D4B">
            <w:pPr>
              <w:pStyle w:val="BTablefigureBold"/>
              <w:rPr>
                <w:bCs/>
              </w:rPr>
            </w:pPr>
            <w:r w:rsidRPr="00C733F0">
              <w:rPr>
                <w:bCs/>
              </w:rPr>
              <w:t xml:space="preserve">1¾ </w:t>
            </w:r>
          </w:p>
        </w:tc>
        <w:tc>
          <w:tcPr>
            <w:tcW w:w="1276" w:type="dxa"/>
            <w:shd w:val="clear" w:color="472D8C" w:fill="auto"/>
          </w:tcPr>
          <w:p w14:paraId="7E82ADFF" w14:textId="77777777" w:rsidR="00A60D4B" w:rsidRPr="00C733F0" w:rsidRDefault="00A60D4B" w:rsidP="00A60D4B">
            <w:pPr>
              <w:pStyle w:val="Btablefigureunbold"/>
              <w:rPr>
                <w:b/>
                <w:bCs/>
              </w:rPr>
            </w:pPr>
            <w:r w:rsidRPr="00C733F0">
              <w:rPr>
                <w:b/>
                <w:bCs/>
              </w:rPr>
              <w:t xml:space="preserve">1¾ </w:t>
            </w:r>
          </w:p>
        </w:tc>
        <w:tc>
          <w:tcPr>
            <w:tcW w:w="1276" w:type="dxa"/>
            <w:shd w:val="clear" w:color="auto" w:fill="auto"/>
          </w:tcPr>
          <w:p w14:paraId="765A0BDD" w14:textId="77777777" w:rsidR="00A60D4B" w:rsidRPr="00C733F0" w:rsidRDefault="00A60D4B" w:rsidP="00A60D4B">
            <w:pPr>
              <w:pStyle w:val="Btablefigureunbold"/>
              <w:rPr>
                <w:b/>
                <w:bCs/>
              </w:rPr>
            </w:pPr>
            <w:r w:rsidRPr="00C733F0">
              <w:rPr>
                <w:b/>
                <w:bCs/>
              </w:rPr>
              <w:t xml:space="preserve">2 </w:t>
            </w:r>
          </w:p>
        </w:tc>
        <w:tc>
          <w:tcPr>
            <w:tcW w:w="1275" w:type="dxa"/>
          </w:tcPr>
          <w:p w14:paraId="778623C7" w14:textId="77777777" w:rsidR="00A60D4B" w:rsidRPr="00C733F0" w:rsidRDefault="00A60D4B" w:rsidP="00A60D4B">
            <w:pPr>
              <w:pStyle w:val="Btablefigureunbold"/>
              <w:rPr>
                <w:b/>
                <w:bCs/>
              </w:rPr>
            </w:pPr>
            <w:r w:rsidRPr="00C733F0">
              <w:rPr>
                <w:b/>
                <w:bCs/>
              </w:rPr>
              <w:t xml:space="preserve">2¼ </w:t>
            </w:r>
          </w:p>
        </w:tc>
      </w:tr>
      <w:tr w:rsidR="00A60D4B" w:rsidRPr="00337DC9" w14:paraId="210648EF" w14:textId="77777777" w:rsidTr="00A60D4B">
        <w:trPr>
          <w:trHeight w:val="270"/>
        </w:trPr>
        <w:tc>
          <w:tcPr>
            <w:tcW w:w="2694" w:type="dxa"/>
          </w:tcPr>
          <w:p w14:paraId="52479BC7" w14:textId="77777777" w:rsidR="00A60D4B" w:rsidRDefault="00A60D4B" w:rsidP="00A60D4B">
            <w:pPr>
              <w:pStyle w:val="Btabletextunbold"/>
              <w:ind w:left="511"/>
            </w:pPr>
            <w:r w:rsidRPr="00B87D8D">
              <w:t>Upside Scenario</w:t>
            </w:r>
          </w:p>
        </w:tc>
        <w:tc>
          <w:tcPr>
            <w:tcW w:w="1275" w:type="dxa"/>
          </w:tcPr>
          <w:p w14:paraId="203011EA" w14:textId="77777777" w:rsidR="00A60D4B" w:rsidRPr="003D414F" w:rsidRDefault="00A60D4B" w:rsidP="00A60D4B">
            <w:pPr>
              <w:pStyle w:val="Btablefigureunbold"/>
            </w:pPr>
            <w:r w:rsidRPr="003D414F">
              <w:t>4.8</w:t>
            </w:r>
          </w:p>
        </w:tc>
        <w:tc>
          <w:tcPr>
            <w:tcW w:w="1276" w:type="dxa"/>
            <w:shd w:val="clear" w:color="auto" w:fill="auto"/>
          </w:tcPr>
          <w:p w14:paraId="6F2BF1B5" w14:textId="77777777" w:rsidR="00A60D4B" w:rsidRPr="0083442A" w:rsidRDefault="00A60D4B" w:rsidP="00A60D4B">
            <w:pPr>
              <w:pStyle w:val="BTablefigureBold"/>
              <w:rPr>
                <w:b w:val="0"/>
                <w:bCs/>
              </w:rPr>
            </w:pPr>
            <w:r>
              <w:rPr>
                <w:b w:val="0"/>
                <w:bCs/>
              </w:rPr>
              <w:t xml:space="preserve">2¼ </w:t>
            </w:r>
          </w:p>
        </w:tc>
        <w:tc>
          <w:tcPr>
            <w:tcW w:w="1276" w:type="dxa"/>
            <w:shd w:val="clear" w:color="472D8C" w:fill="auto"/>
          </w:tcPr>
          <w:p w14:paraId="03E49356" w14:textId="77777777" w:rsidR="00A60D4B" w:rsidRPr="00982689" w:rsidRDefault="00A60D4B" w:rsidP="00A60D4B">
            <w:pPr>
              <w:pStyle w:val="Btablefigureunbold"/>
            </w:pPr>
            <w:r w:rsidRPr="00982689">
              <w:t>2¼</w:t>
            </w:r>
          </w:p>
        </w:tc>
        <w:tc>
          <w:tcPr>
            <w:tcW w:w="1276" w:type="dxa"/>
            <w:shd w:val="clear" w:color="auto" w:fill="auto"/>
          </w:tcPr>
          <w:p w14:paraId="72F4F0FA" w14:textId="77777777" w:rsidR="00A60D4B" w:rsidRPr="00982689" w:rsidRDefault="00A60D4B" w:rsidP="00A60D4B">
            <w:pPr>
              <w:pStyle w:val="Btablefigureunbold"/>
            </w:pPr>
            <w:r w:rsidRPr="00982689">
              <w:t xml:space="preserve">2½ </w:t>
            </w:r>
          </w:p>
        </w:tc>
        <w:tc>
          <w:tcPr>
            <w:tcW w:w="1275" w:type="dxa"/>
          </w:tcPr>
          <w:p w14:paraId="39CDA380" w14:textId="77777777" w:rsidR="00A60D4B" w:rsidRPr="0083442A" w:rsidRDefault="00A60D4B" w:rsidP="00A60D4B">
            <w:pPr>
              <w:pStyle w:val="Btablefigureunbold"/>
            </w:pPr>
            <w:r>
              <w:t xml:space="preserve">2¾ </w:t>
            </w:r>
          </w:p>
        </w:tc>
      </w:tr>
      <w:tr w:rsidR="00A60D4B" w:rsidRPr="00337DC9" w14:paraId="1F55AEB4" w14:textId="77777777" w:rsidTr="00A60D4B">
        <w:trPr>
          <w:trHeight w:val="257"/>
        </w:trPr>
        <w:tc>
          <w:tcPr>
            <w:tcW w:w="2694" w:type="dxa"/>
          </w:tcPr>
          <w:p w14:paraId="0928ADBA" w14:textId="77777777" w:rsidR="00A60D4B" w:rsidRPr="00EC74DB" w:rsidRDefault="00A60D4B" w:rsidP="00A60D4B">
            <w:pPr>
              <w:pStyle w:val="Btabletextbold"/>
            </w:pPr>
            <w:r>
              <w:t>Population</w:t>
            </w:r>
          </w:p>
        </w:tc>
        <w:tc>
          <w:tcPr>
            <w:tcW w:w="1275" w:type="dxa"/>
          </w:tcPr>
          <w:p w14:paraId="789D752F" w14:textId="77777777" w:rsidR="00A60D4B" w:rsidRPr="00EC74DB" w:rsidRDefault="00A60D4B" w:rsidP="00A60D4B">
            <w:pPr>
              <w:pStyle w:val="Btablefigureunbold"/>
            </w:pPr>
          </w:p>
        </w:tc>
        <w:tc>
          <w:tcPr>
            <w:tcW w:w="1276" w:type="dxa"/>
            <w:shd w:val="clear" w:color="auto" w:fill="auto"/>
          </w:tcPr>
          <w:p w14:paraId="4BA58A41" w14:textId="77777777" w:rsidR="00A60D4B" w:rsidRPr="0083442A" w:rsidRDefault="00A60D4B" w:rsidP="00A60D4B">
            <w:pPr>
              <w:pStyle w:val="Btablefigureunbold"/>
            </w:pPr>
          </w:p>
        </w:tc>
        <w:tc>
          <w:tcPr>
            <w:tcW w:w="1276" w:type="dxa"/>
            <w:shd w:val="clear" w:color="472D8C" w:fill="auto"/>
          </w:tcPr>
          <w:p w14:paraId="28B5B4F5" w14:textId="77777777" w:rsidR="00A60D4B" w:rsidRPr="0083442A" w:rsidRDefault="00A60D4B" w:rsidP="00A60D4B">
            <w:pPr>
              <w:pStyle w:val="Btablefigureunbold"/>
            </w:pPr>
          </w:p>
        </w:tc>
        <w:tc>
          <w:tcPr>
            <w:tcW w:w="1276" w:type="dxa"/>
            <w:shd w:val="clear" w:color="auto" w:fill="auto"/>
          </w:tcPr>
          <w:p w14:paraId="5DEBF092" w14:textId="77777777" w:rsidR="00A60D4B" w:rsidRPr="0083442A" w:rsidRDefault="00A60D4B" w:rsidP="00A60D4B">
            <w:pPr>
              <w:pStyle w:val="Btablefigureunbold"/>
            </w:pPr>
          </w:p>
        </w:tc>
        <w:tc>
          <w:tcPr>
            <w:tcW w:w="1275" w:type="dxa"/>
          </w:tcPr>
          <w:p w14:paraId="3F78FB83" w14:textId="77777777" w:rsidR="00A60D4B" w:rsidRPr="0083442A" w:rsidRDefault="00A60D4B" w:rsidP="00A60D4B">
            <w:pPr>
              <w:pStyle w:val="Btablefigureunbold"/>
            </w:pPr>
          </w:p>
        </w:tc>
      </w:tr>
      <w:tr w:rsidR="00A60D4B" w:rsidRPr="00337DC9" w14:paraId="670F7AEA" w14:textId="77777777" w:rsidTr="00A60D4B">
        <w:trPr>
          <w:trHeight w:val="270"/>
        </w:trPr>
        <w:tc>
          <w:tcPr>
            <w:tcW w:w="2694" w:type="dxa"/>
          </w:tcPr>
          <w:p w14:paraId="351BE843" w14:textId="77777777" w:rsidR="00A60D4B" w:rsidRPr="00EC74DB" w:rsidRDefault="00A60D4B" w:rsidP="00A60D4B">
            <w:pPr>
              <w:pStyle w:val="Btabletextunbold"/>
              <w:ind w:left="511"/>
            </w:pPr>
            <w:r w:rsidRPr="00B87D8D">
              <w:t>Downside Scenario</w:t>
            </w:r>
          </w:p>
        </w:tc>
        <w:tc>
          <w:tcPr>
            <w:tcW w:w="1275" w:type="dxa"/>
          </w:tcPr>
          <w:p w14:paraId="0AAA2703" w14:textId="77777777" w:rsidR="00A60D4B" w:rsidRPr="00982689" w:rsidRDefault="00A60D4B" w:rsidP="00A60D4B">
            <w:pPr>
              <w:pStyle w:val="Btablefigureunbold"/>
            </w:pPr>
            <w:r w:rsidRPr="00982689">
              <w:t xml:space="preserve">¼ </w:t>
            </w:r>
          </w:p>
        </w:tc>
        <w:tc>
          <w:tcPr>
            <w:tcW w:w="1276" w:type="dxa"/>
            <w:shd w:val="clear" w:color="auto" w:fill="auto"/>
          </w:tcPr>
          <w:p w14:paraId="3CA75B4F" w14:textId="77777777" w:rsidR="00A60D4B" w:rsidRPr="00982689" w:rsidRDefault="00A60D4B" w:rsidP="00A60D4B">
            <w:pPr>
              <w:pStyle w:val="BTablefigureBold"/>
              <w:rPr>
                <w:b w:val="0"/>
              </w:rPr>
            </w:pPr>
            <w:r w:rsidRPr="00982689">
              <w:rPr>
                <w:b w:val="0"/>
              </w:rPr>
              <w:t>0</w:t>
            </w:r>
          </w:p>
        </w:tc>
        <w:tc>
          <w:tcPr>
            <w:tcW w:w="1276" w:type="dxa"/>
            <w:shd w:val="clear" w:color="472D8C" w:fill="auto"/>
          </w:tcPr>
          <w:p w14:paraId="7B66A888" w14:textId="77777777" w:rsidR="00A60D4B" w:rsidRPr="00982689" w:rsidRDefault="00A60D4B" w:rsidP="00A60D4B">
            <w:pPr>
              <w:pStyle w:val="Btablefigureunbold"/>
            </w:pPr>
            <w:r w:rsidRPr="00982689">
              <w:t xml:space="preserve">½ </w:t>
            </w:r>
          </w:p>
        </w:tc>
        <w:tc>
          <w:tcPr>
            <w:tcW w:w="1276" w:type="dxa"/>
            <w:shd w:val="clear" w:color="auto" w:fill="auto"/>
          </w:tcPr>
          <w:p w14:paraId="2C5C6A82" w14:textId="77777777" w:rsidR="00A60D4B" w:rsidRPr="00982689" w:rsidRDefault="00A60D4B" w:rsidP="00A60D4B">
            <w:pPr>
              <w:pStyle w:val="Btablefigureunbold"/>
            </w:pPr>
            <w:r w:rsidRPr="00982689">
              <w:t xml:space="preserve">¾ </w:t>
            </w:r>
          </w:p>
        </w:tc>
        <w:tc>
          <w:tcPr>
            <w:tcW w:w="1275" w:type="dxa"/>
          </w:tcPr>
          <w:p w14:paraId="706ED5DD" w14:textId="77777777" w:rsidR="00A60D4B" w:rsidRPr="00982689" w:rsidRDefault="00A60D4B" w:rsidP="00A60D4B">
            <w:pPr>
              <w:pStyle w:val="Btablefigureunbold"/>
            </w:pPr>
            <w:r w:rsidRPr="00982689">
              <w:t xml:space="preserve">¾ </w:t>
            </w:r>
          </w:p>
        </w:tc>
      </w:tr>
      <w:tr w:rsidR="00A60D4B" w:rsidRPr="00882785" w14:paraId="5F0D3BC0" w14:textId="77777777" w:rsidTr="00A60D4B">
        <w:trPr>
          <w:trHeight w:val="270"/>
        </w:trPr>
        <w:tc>
          <w:tcPr>
            <w:tcW w:w="2694" w:type="dxa"/>
          </w:tcPr>
          <w:p w14:paraId="57EB581F" w14:textId="77777777" w:rsidR="00A60D4B" w:rsidRPr="00882785" w:rsidRDefault="00A60D4B" w:rsidP="00A60D4B">
            <w:pPr>
              <w:pStyle w:val="Btabletextunbold"/>
              <w:ind w:left="511"/>
              <w:rPr>
                <w:b/>
                <w:bCs/>
              </w:rPr>
            </w:pPr>
            <w:r w:rsidRPr="00882785">
              <w:rPr>
                <w:b/>
                <w:bCs/>
              </w:rPr>
              <w:t>Baseline Scenario</w:t>
            </w:r>
          </w:p>
        </w:tc>
        <w:tc>
          <w:tcPr>
            <w:tcW w:w="1275" w:type="dxa"/>
          </w:tcPr>
          <w:p w14:paraId="7AA0736D" w14:textId="77777777" w:rsidR="00A60D4B" w:rsidRPr="00982689" w:rsidRDefault="00A60D4B" w:rsidP="00A60D4B">
            <w:pPr>
              <w:pStyle w:val="Btablefigureunbold"/>
              <w:rPr>
                <w:b/>
                <w:bCs/>
              </w:rPr>
            </w:pPr>
            <w:r w:rsidRPr="00982689">
              <w:rPr>
                <w:b/>
                <w:bCs/>
              </w:rPr>
              <w:t xml:space="preserve">¼ </w:t>
            </w:r>
          </w:p>
        </w:tc>
        <w:tc>
          <w:tcPr>
            <w:tcW w:w="1276" w:type="dxa"/>
            <w:shd w:val="clear" w:color="auto" w:fill="auto"/>
          </w:tcPr>
          <w:p w14:paraId="78791873" w14:textId="77777777" w:rsidR="00A60D4B" w:rsidRPr="00982689" w:rsidRDefault="00A60D4B" w:rsidP="00A60D4B">
            <w:pPr>
              <w:pStyle w:val="BTablefigureBold"/>
              <w:rPr>
                <w:bCs/>
              </w:rPr>
            </w:pPr>
            <w:r w:rsidRPr="00982689">
              <w:rPr>
                <w:bCs/>
              </w:rPr>
              <w:t xml:space="preserve">¼ </w:t>
            </w:r>
          </w:p>
        </w:tc>
        <w:tc>
          <w:tcPr>
            <w:tcW w:w="1276" w:type="dxa"/>
            <w:shd w:val="clear" w:color="472D8C" w:fill="auto"/>
          </w:tcPr>
          <w:p w14:paraId="58ABFDB8" w14:textId="77777777" w:rsidR="00A60D4B" w:rsidRPr="00982689" w:rsidRDefault="00A60D4B" w:rsidP="00A60D4B">
            <w:pPr>
              <w:pStyle w:val="Btablefigureunbold"/>
              <w:rPr>
                <w:b/>
                <w:bCs/>
              </w:rPr>
            </w:pPr>
            <w:r w:rsidRPr="00982689">
              <w:rPr>
                <w:b/>
                <w:bCs/>
              </w:rPr>
              <w:t>1</w:t>
            </w:r>
          </w:p>
        </w:tc>
        <w:tc>
          <w:tcPr>
            <w:tcW w:w="1276" w:type="dxa"/>
            <w:shd w:val="clear" w:color="auto" w:fill="auto"/>
          </w:tcPr>
          <w:p w14:paraId="5931651E" w14:textId="77777777" w:rsidR="00A60D4B" w:rsidRPr="00982689" w:rsidRDefault="00A60D4B" w:rsidP="00A60D4B">
            <w:pPr>
              <w:pStyle w:val="Btablefigureunbold"/>
              <w:rPr>
                <w:b/>
                <w:bCs/>
              </w:rPr>
            </w:pPr>
            <w:r w:rsidRPr="00982689">
              <w:rPr>
                <w:b/>
                <w:bCs/>
              </w:rPr>
              <w:t>1</w:t>
            </w:r>
          </w:p>
        </w:tc>
        <w:tc>
          <w:tcPr>
            <w:tcW w:w="1275" w:type="dxa"/>
          </w:tcPr>
          <w:p w14:paraId="5701119B" w14:textId="77777777" w:rsidR="00A60D4B" w:rsidRPr="00982689" w:rsidRDefault="00A60D4B" w:rsidP="00A60D4B">
            <w:pPr>
              <w:pStyle w:val="Btablefigureunbold"/>
              <w:rPr>
                <w:b/>
                <w:bCs/>
              </w:rPr>
            </w:pPr>
            <w:r w:rsidRPr="00982689">
              <w:rPr>
                <w:b/>
                <w:bCs/>
              </w:rPr>
              <w:t>1</w:t>
            </w:r>
          </w:p>
        </w:tc>
      </w:tr>
      <w:tr w:rsidR="00A60D4B" w:rsidRPr="00337DC9" w14:paraId="49BE5CCD" w14:textId="77777777" w:rsidTr="00A60D4B">
        <w:trPr>
          <w:trHeight w:val="270"/>
        </w:trPr>
        <w:tc>
          <w:tcPr>
            <w:tcW w:w="2694" w:type="dxa"/>
            <w:tcBorders>
              <w:bottom w:val="single" w:sz="4" w:space="0" w:color="auto"/>
            </w:tcBorders>
          </w:tcPr>
          <w:p w14:paraId="19BA29CA" w14:textId="77777777" w:rsidR="00A60D4B" w:rsidRDefault="00A60D4B" w:rsidP="00A60D4B">
            <w:pPr>
              <w:pStyle w:val="Btabletextunbold"/>
              <w:ind w:left="511"/>
            </w:pPr>
            <w:r w:rsidRPr="00B87D8D">
              <w:t>Upside Scenario</w:t>
            </w:r>
          </w:p>
        </w:tc>
        <w:tc>
          <w:tcPr>
            <w:tcW w:w="1275" w:type="dxa"/>
            <w:tcBorders>
              <w:bottom w:val="single" w:sz="4" w:space="0" w:color="auto"/>
            </w:tcBorders>
          </w:tcPr>
          <w:p w14:paraId="15E1F996" w14:textId="77777777" w:rsidR="00A60D4B" w:rsidRPr="00982689" w:rsidRDefault="00A60D4B" w:rsidP="00A60D4B">
            <w:pPr>
              <w:pStyle w:val="Btablefigureunbold"/>
            </w:pPr>
            <w:r w:rsidRPr="00982689">
              <w:t xml:space="preserve">¼ </w:t>
            </w:r>
          </w:p>
        </w:tc>
        <w:tc>
          <w:tcPr>
            <w:tcW w:w="1276" w:type="dxa"/>
            <w:tcBorders>
              <w:bottom w:val="single" w:sz="4" w:space="0" w:color="auto"/>
            </w:tcBorders>
            <w:shd w:val="clear" w:color="auto" w:fill="auto"/>
          </w:tcPr>
          <w:p w14:paraId="1930A2BF" w14:textId="77777777" w:rsidR="00A60D4B" w:rsidRPr="00982689" w:rsidRDefault="00A60D4B" w:rsidP="00A60D4B">
            <w:pPr>
              <w:pStyle w:val="BTablefigureBold"/>
              <w:rPr>
                <w:b w:val="0"/>
              </w:rPr>
            </w:pPr>
            <w:r w:rsidRPr="00982689">
              <w:rPr>
                <w:b w:val="0"/>
              </w:rPr>
              <w:t xml:space="preserve">½ </w:t>
            </w:r>
          </w:p>
        </w:tc>
        <w:tc>
          <w:tcPr>
            <w:tcW w:w="1276" w:type="dxa"/>
            <w:tcBorders>
              <w:bottom w:val="single" w:sz="4" w:space="0" w:color="auto"/>
            </w:tcBorders>
            <w:shd w:val="clear" w:color="472D8C" w:fill="auto"/>
          </w:tcPr>
          <w:p w14:paraId="79E03626" w14:textId="77777777" w:rsidR="00A60D4B" w:rsidRPr="00982689" w:rsidRDefault="00A60D4B" w:rsidP="00A60D4B">
            <w:pPr>
              <w:pStyle w:val="Btablefigureunbold"/>
            </w:pPr>
            <w:r w:rsidRPr="00982689">
              <w:t xml:space="preserve">1¼ </w:t>
            </w:r>
          </w:p>
        </w:tc>
        <w:tc>
          <w:tcPr>
            <w:tcW w:w="1276" w:type="dxa"/>
            <w:tcBorders>
              <w:bottom w:val="single" w:sz="4" w:space="0" w:color="auto"/>
            </w:tcBorders>
            <w:shd w:val="clear" w:color="auto" w:fill="auto"/>
          </w:tcPr>
          <w:p w14:paraId="298A5BEC" w14:textId="77777777" w:rsidR="00A60D4B" w:rsidRPr="00982689" w:rsidRDefault="00A60D4B" w:rsidP="00A60D4B">
            <w:pPr>
              <w:pStyle w:val="Btablefigureunbold"/>
            </w:pPr>
            <w:r w:rsidRPr="00982689">
              <w:t xml:space="preserve">1½ </w:t>
            </w:r>
          </w:p>
        </w:tc>
        <w:tc>
          <w:tcPr>
            <w:tcW w:w="1275" w:type="dxa"/>
            <w:tcBorders>
              <w:bottom w:val="single" w:sz="4" w:space="0" w:color="auto"/>
            </w:tcBorders>
          </w:tcPr>
          <w:p w14:paraId="3BF539FC" w14:textId="77777777" w:rsidR="00A60D4B" w:rsidRPr="00982689" w:rsidRDefault="00A60D4B" w:rsidP="00A60D4B">
            <w:pPr>
              <w:pStyle w:val="Btablefigureunbold"/>
            </w:pPr>
            <w:r w:rsidRPr="00982689">
              <w:t xml:space="preserve">1¼ </w:t>
            </w:r>
          </w:p>
        </w:tc>
      </w:tr>
    </w:tbl>
    <w:bookmarkEnd w:id="90"/>
    <w:p w14:paraId="26FAFFAA" w14:textId="7F078465" w:rsidR="00A60D4B" w:rsidRPr="003D03A1" w:rsidRDefault="00A60D4B" w:rsidP="00A60D4B">
      <w:pPr>
        <w:pStyle w:val="BNoteBold"/>
        <w:rPr>
          <w:b w:val="0"/>
          <w:bCs/>
        </w:rPr>
      </w:pPr>
      <w:r>
        <w:t xml:space="preserve">Sources: </w:t>
      </w:r>
      <w:r w:rsidRPr="003D03A1">
        <w:rPr>
          <w:b w:val="0"/>
          <w:bCs/>
        </w:rPr>
        <w:t>ABS Australian National Accounts; Australian National Accounts: State Account; Labour Force, Australia; Wage Price Index, Australia, Consumer Price Index, Australia, National, State and Territory Populations; and CMTE</w:t>
      </w:r>
      <w:r w:rsidR="00375A43">
        <w:rPr>
          <w:b w:val="0"/>
          <w:bCs/>
        </w:rPr>
        <w:t>D</w:t>
      </w:r>
      <w:r w:rsidRPr="003D03A1">
        <w:rPr>
          <w:b w:val="0"/>
          <w:bCs/>
        </w:rPr>
        <w:t>D estimates.</w:t>
      </w:r>
    </w:p>
    <w:p w14:paraId="062ED269" w14:textId="77777777" w:rsidR="00A60D4B" w:rsidRPr="003D03A1" w:rsidRDefault="00A60D4B" w:rsidP="00A60D4B">
      <w:pPr>
        <w:pStyle w:val="BNoteBold"/>
        <w:spacing w:before="0" w:after="240"/>
        <w:rPr>
          <w:b w:val="0"/>
          <w:bCs/>
        </w:rPr>
      </w:pPr>
      <w:r>
        <w:t xml:space="preserve">Notes: </w:t>
      </w:r>
      <w:r w:rsidRPr="003D03A1">
        <w:rPr>
          <w:b w:val="0"/>
          <w:bCs/>
        </w:rPr>
        <w:t>Forecasts and projections are rounded to a ¼ of a percentage point. GSP is in real terms, employment and population is growth over the year.</w:t>
      </w:r>
    </w:p>
    <w:p w14:paraId="4D4ABBB8" w14:textId="77777777" w:rsidR="00A60D4B" w:rsidRDefault="00A60D4B" w:rsidP="00A60D4B">
      <w:pPr>
        <w:rPr>
          <w:sz w:val="24"/>
        </w:rPr>
      </w:pPr>
      <w:r>
        <w:rPr>
          <w:sz w:val="24"/>
        </w:rPr>
        <w:t>The revenue estimates for Residential Conveyance Duty and Payroll Tax are more sensitive to downside risks from population, GSP and wages outcomes.</w:t>
      </w:r>
    </w:p>
    <w:p w14:paraId="471056D0" w14:textId="77777777" w:rsidR="00A60D4B" w:rsidRDefault="00A60D4B">
      <w:pPr>
        <w:rPr>
          <w:sz w:val="24"/>
        </w:rPr>
      </w:pPr>
      <w:r>
        <w:rPr>
          <w:sz w:val="24"/>
        </w:rPr>
        <w:br w:type="page"/>
      </w:r>
    </w:p>
    <w:p w14:paraId="58DF42A7" w14:textId="77777777" w:rsidR="00A60D4B" w:rsidRPr="008E43CE" w:rsidRDefault="00A60D4B" w:rsidP="00A60D4B">
      <w:r>
        <w:rPr>
          <w:b/>
          <w:bCs/>
          <w:noProof/>
          <w:color w:val="472D8C"/>
        </w:rPr>
        <w:lastRenderedPageBreak/>
        <mc:AlternateContent>
          <mc:Choice Requires="wpg">
            <w:drawing>
              <wp:anchor distT="0" distB="0" distL="114300" distR="114300" simplePos="0" relativeHeight="251960320" behindDoc="0" locked="0" layoutInCell="1" allowOverlap="1" wp14:anchorId="3C964C02" wp14:editId="6CEEC543">
                <wp:simplePos x="0" y="0"/>
                <wp:positionH relativeFrom="column">
                  <wp:posOffset>-6350</wp:posOffset>
                </wp:positionH>
                <wp:positionV relativeFrom="paragraph">
                  <wp:posOffset>374015</wp:posOffset>
                </wp:positionV>
                <wp:extent cx="6117590" cy="8201025"/>
                <wp:effectExtent l="0" t="0" r="0" b="0"/>
                <wp:wrapSquare wrapText="bothSides"/>
                <wp:docPr id="300" name="Group 300"/>
                <wp:cNvGraphicFramePr/>
                <a:graphic xmlns:a="http://schemas.openxmlformats.org/drawingml/2006/main">
                  <a:graphicData uri="http://schemas.microsoft.com/office/word/2010/wordprocessingGroup">
                    <wpg:wgp>
                      <wpg:cNvGrpSpPr/>
                      <wpg:grpSpPr>
                        <a:xfrm>
                          <a:off x="0" y="0"/>
                          <a:ext cx="6117590" cy="8201025"/>
                          <a:chOff x="0" y="0"/>
                          <a:chExt cx="6117590" cy="8201025"/>
                        </a:xfrm>
                      </wpg:grpSpPr>
                      <wpg:grpSp>
                        <wpg:cNvPr id="301" name="Group 301"/>
                        <wpg:cNvGrpSpPr/>
                        <wpg:grpSpPr>
                          <a:xfrm>
                            <a:off x="0" y="0"/>
                            <a:ext cx="6114778" cy="5194455"/>
                            <a:chOff x="0" y="0"/>
                            <a:chExt cx="6620984" cy="5270145"/>
                          </a:xfrm>
                        </wpg:grpSpPr>
                        <wpg:grpSp>
                          <wpg:cNvPr id="302" name="Group 302"/>
                          <wpg:cNvGrpSpPr/>
                          <wpg:grpSpPr>
                            <a:xfrm>
                              <a:off x="0" y="0"/>
                              <a:ext cx="6618322" cy="2680917"/>
                              <a:chOff x="0" y="0"/>
                              <a:chExt cx="6368965" cy="2673378"/>
                            </a:xfrm>
                          </wpg:grpSpPr>
                          <wpg:graphicFrame>
                            <wpg:cNvPr id="303" name="Chart 303"/>
                            <wpg:cNvFrPr>
                              <a:graphicFrameLocks/>
                            </wpg:cNvFrPr>
                            <wpg:xfrm>
                              <a:off x="3183213" y="2032"/>
                              <a:ext cx="3185752" cy="2671346"/>
                            </wpg:xfrm>
                            <a:graphic>
                              <a:graphicData uri="http://schemas.openxmlformats.org/drawingml/2006/chart">
                                <c:chart xmlns:c="http://schemas.openxmlformats.org/drawingml/2006/chart" xmlns:r="http://schemas.openxmlformats.org/officeDocument/2006/relationships" r:id="rId148"/>
                              </a:graphicData>
                            </a:graphic>
                          </wpg:graphicFrame>
                          <wpg:graphicFrame>
                            <wpg:cNvPr id="304" name="Chart 304"/>
                            <wpg:cNvFrPr>
                              <a:graphicFrameLocks/>
                            </wpg:cNvFrPr>
                            <wpg:xfrm>
                              <a:off x="0" y="0"/>
                              <a:ext cx="3185752" cy="2671346"/>
                            </wpg:xfrm>
                            <a:graphic>
                              <a:graphicData uri="http://schemas.openxmlformats.org/drawingml/2006/chart">
                                <c:chart xmlns:c="http://schemas.openxmlformats.org/drawingml/2006/chart" xmlns:r="http://schemas.openxmlformats.org/officeDocument/2006/relationships" r:id="rId149"/>
                              </a:graphicData>
                            </a:graphic>
                          </wpg:graphicFrame>
                        </wpg:grpSp>
                        <wpg:graphicFrame>
                          <wpg:cNvPr id="305" name="Chart 305"/>
                          <wpg:cNvFrPr>
                            <a:graphicFrameLocks/>
                          </wpg:cNvFrPr>
                          <wpg:xfrm>
                            <a:off x="3310505" y="2591266"/>
                            <a:ext cx="3310479" cy="2678879"/>
                          </wpg:xfrm>
                          <a:graphic>
                            <a:graphicData uri="http://schemas.openxmlformats.org/drawingml/2006/chart">
                              <c:chart xmlns:c="http://schemas.openxmlformats.org/drawingml/2006/chart" xmlns:r="http://schemas.openxmlformats.org/officeDocument/2006/relationships" r:id="rId150"/>
                            </a:graphicData>
                          </a:graphic>
                        </wpg:graphicFrame>
                      </wpg:grpSp>
                      <wpg:graphicFrame>
                        <wpg:cNvPr id="306" name="Chart 306"/>
                        <wpg:cNvFrPr/>
                        <wpg:xfrm>
                          <a:off x="0" y="5194300"/>
                          <a:ext cx="3060700" cy="3006725"/>
                        </wpg:xfrm>
                        <a:graphic>
                          <a:graphicData uri="http://schemas.openxmlformats.org/drawingml/2006/chart">
                            <c:chart xmlns:c="http://schemas.openxmlformats.org/drawingml/2006/chart" xmlns:r="http://schemas.openxmlformats.org/officeDocument/2006/relationships" r:id="rId151"/>
                          </a:graphicData>
                        </a:graphic>
                      </wpg:graphicFrame>
                      <wpg:graphicFrame>
                        <wpg:cNvPr id="307" name="Chart 307"/>
                        <wpg:cNvFrPr/>
                        <wpg:xfrm>
                          <a:off x="3060700" y="5194300"/>
                          <a:ext cx="3056890" cy="3006725"/>
                        </wpg:xfrm>
                        <a:graphic>
                          <a:graphicData uri="http://schemas.openxmlformats.org/drawingml/2006/chart">
                            <c:chart xmlns:c="http://schemas.openxmlformats.org/drawingml/2006/chart" xmlns:r="http://schemas.openxmlformats.org/officeDocument/2006/relationships" r:id="rId152"/>
                          </a:graphicData>
                        </a:graphic>
                      </wpg:graphicFrame>
                    </wpg:wgp>
                  </a:graphicData>
                </a:graphic>
              </wp:anchor>
            </w:drawing>
          </mc:Choice>
          <mc:Fallback>
            <w:pict>
              <v:group w14:anchorId="1E1C38BA" id="Group 300" o:spid="_x0000_s1026" style="position:absolute;margin-left:-.5pt;margin-top:29.45pt;width:481.7pt;height:645.75pt;z-index:251960320" coordsize="61175,82010" o:gfxdata="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">
                <v:group id="Group 301" o:spid="_x0000_s1027" style="position:absolute;width:61147;height:51944" coordsize="66209,52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group id="Group 302" o:spid="_x0000_s1028" style="position:absolute;width:66183;height:26809" coordsize="63689,26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Chart 303" o:spid="_x0000_s1029" type="#_x0000_t75" style="position:absolute;left:32204;top:431;width:30934;height:247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">
                      <v:imagedata r:id="rId153" o:title=""/>
                      <o:lock v:ext="edit" aspectratio="f"/>
                    </v:shape>
                    <v:shape id="Chart 304" o:spid="_x0000_s1030" type="#_x0000_t75" style="position:absolute;left:381;top:555;width:30934;height:246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">
                      <v:imagedata r:id="rId154" o:title=""/>
                      <o:lock v:ext="edit" aspectratio="f"/>
                    </v:shape>
                  </v:group>
                  <v:shape id="Chart 305" o:spid="_x0000_s1031" type="#_x0000_t75" style="position:absolute;left:33531;top:26594;width:32145;height:248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">
                    <v:imagedata r:id="rId155" o:title=""/>
                    <o:lock v:ext="edit" aspectratio="f"/>
                  </v:shape>
                </v:group>
                <v:shape id="Chart 306" o:spid="_x0000_s1032" type="#_x0000_t75" style="position:absolute;left:426;top:52608;width:30054;height:292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">
                  <v:imagedata r:id="rId156" o:title=""/>
                  <o:lock v:ext="edit" aspectratio="f"/>
                </v:shape>
                <v:shape id="Chart 307" o:spid="_x0000_s1033" type="#_x0000_t75" style="position:absolute;left:30967;top:52608;width:29505;height:288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">
                  <v:imagedata r:id="rId157" o:title=""/>
                  <o:lock v:ext="edit" aspectratio="f"/>
                </v:shape>
                <w10:wrap type="square"/>
              </v:group>
            </w:pict>
          </mc:Fallback>
        </mc:AlternateContent>
      </w:r>
      <w:r>
        <w:rPr>
          <w:b/>
          <w:bCs/>
          <w:noProof/>
          <w:color w:val="472D8C"/>
        </w:rPr>
        <w:drawing>
          <wp:anchor distT="0" distB="0" distL="114300" distR="114300" simplePos="0" relativeHeight="251959296" behindDoc="0" locked="0" layoutInCell="1" allowOverlap="1" wp14:anchorId="1F1281B2" wp14:editId="240641F0">
            <wp:simplePos x="0" y="0"/>
            <wp:positionH relativeFrom="column">
              <wp:posOffset>-4123</wp:posOffset>
            </wp:positionH>
            <wp:positionV relativeFrom="paragraph">
              <wp:posOffset>3038514</wp:posOffset>
            </wp:positionV>
            <wp:extent cx="3057377" cy="2640406"/>
            <wp:effectExtent l="0" t="0" r="0" b="0"/>
            <wp:wrapSquare wrapText="bothSides"/>
            <wp:docPr id="325" name="Chart 325">
              <a:extLst xmlns:a="http://schemas.openxmlformats.org/drawingml/2006/main">
                <a:ext uri="{FF2B5EF4-FFF2-40B4-BE49-F238E27FC236}">
                  <a16:creationId xmlns:a16="http://schemas.microsoft.com/office/drawing/2014/main" id="{00000000-0008-0000-0400-00002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anchor>
        </w:drawing>
      </w:r>
      <w:r w:rsidRPr="00DC6089">
        <w:rPr>
          <w:b/>
          <w:bCs/>
          <w:color w:val="472D8C"/>
        </w:rPr>
        <w:t>Figure 3.5.3: Selected own-source taxation revenue and GST Revenue Grant – forecast scenarios, 2018-19 = 100</w:t>
      </w:r>
    </w:p>
    <w:p w14:paraId="080CD963" w14:textId="77777777" w:rsidR="00A60D4B" w:rsidRPr="009656A2" w:rsidRDefault="00A60D4B" w:rsidP="00A60D4B">
      <w:r w:rsidRPr="00DC6089">
        <w:rPr>
          <w:b/>
          <w:bCs/>
          <w:sz w:val="18"/>
          <w:szCs w:val="18"/>
        </w:rPr>
        <w:t>Source:</w:t>
      </w:r>
      <w:r w:rsidRPr="00DC6089">
        <w:rPr>
          <w:sz w:val="18"/>
          <w:szCs w:val="18"/>
        </w:rPr>
        <w:t xml:space="preserve"> Chief Minister, Treasury and Economic Development Directorate.</w:t>
      </w:r>
    </w:p>
    <w:p w14:paraId="6FFC60D6" w14:textId="6C32F1FB" w:rsidR="00A60D4B" w:rsidRPr="00274B78" w:rsidRDefault="00A60D4B" w:rsidP="00A60D4B">
      <w:pPr>
        <w:pStyle w:val="Caption"/>
        <w:keepLines/>
      </w:pPr>
      <w:r>
        <w:lastRenderedPageBreak/>
        <w:t xml:space="preserve">Table </w:t>
      </w:r>
      <w:r w:rsidR="00FB4E5C">
        <w:fldChar w:fldCharType="begin"/>
      </w:r>
      <w:r w:rsidR="00FB4E5C">
        <w:instrText xml:space="preserve"> STYLEREF 2 \s </w:instrText>
      </w:r>
      <w:r w:rsidR="00FB4E5C">
        <w:fldChar w:fldCharType="separate"/>
      </w:r>
      <w:r w:rsidR="00F12A80">
        <w:rPr>
          <w:noProof/>
        </w:rPr>
        <w:t>3.5</w:t>
      </w:r>
      <w:r w:rsidR="00FB4E5C">
        <w:rPr>
          <w:noProof/>
        </w:rPr>
        <w:fldChar w:fldCharType="end"/>
      </w:r>
      <w:r>
        <w:t>.</w:t>
      </w:r>
      <w:r w:rsidR="00FB4E5C">
        <w:fldChar w:fldCharType="begin"/>
      </w:r>
      <w:r w:rsidR="00FB4E5C">
        <w:instrText xml:space="preserve"> SEQ Table \* ARABIC \s 2 </w:instrText>
      </w:r>
      <w:r w:rsidR="00FB4E5C">
        <w:fldChar w:fldCharType="separate"/>
      </w:r>
      <w:r w:rsidR="00F12A80">
        <w:rPr>
          <w:noProof/>
        </w:rPr>
        <w:t>12</w:t>
      </w:r>
      <w:r w:rsidR="00FB4E5C">
        <w:rPr>
          <w:noProof/>
        </w:rPr>
        <w:fldChar w:fldCharType="end"/>
      </w:r>
      <w:r w:rsidRPr="00B27FF1">
        <w:t xml:space="preserve">: </w:t>
      </w:r>
      <w:r w:rsidRPr="00C373FB">
        <w:t>Selected own-source taxation revenue and GST Revenue Grant</w:t>
      </w:r>
      <w:r w:rsidRPr="00B27FF1">
        <w:t xml:space="preserve"> from the baseline due to economic parameters – forecast scenarios</w:t>
      </w:r>
      <w:r w:rsidRPr="007424AE">
        <w:t xml:space="preserve"> </w:t>
      </w:r>
    </w:p>
    <w:tbl>
      <w:tblPr>
        <w:tblW w:w="9072" w:type="dxa"/>
        <w:tblBorders>
          <w:top w:val="single" w:sz="4" w:space="0" w:color="auto"/>
          <w:bottom w:val="single" w:sz="4" w:space="0" w:color="auto"/>
          <w:insideH w:val="single" w:sz="4" w:space="0" w:color="auto"/>
        </w:tblBorders>
        <w:tblLayout w:type="fixed"/>
        <w:tblCellMar>
          <w:left w:w="85" w:type="dxa"/>
          <w:right w:w="85" w:type="dxa"/>
        </w:tblCellMar>
        <w:tblLook w:val="04A0" w:firstRow="1" w:lastRow="0" w:firstColumn="1" w:lastColumn="0" w:noHBand="0" w:noVBand="1"/>
      </w:tblPr>
      <w:tblGrid>
        <w:gridCol w:w="3261"/>
        <w:gridCol w:w="1162"/>
        <w:gridCol w:w="1162"/>
        <w:gridCol w:w="1162"/>
        <w:gridCol w:w="1162"/>
        <w:gridCol w:w="1163"/>
      </w:tblGrid>
      <w:tr w:rsidR="00A60D4B" w:rsidRPr="008F5D57" w14:paraId="2F0AEF07" w14:textId="77777777" w:rsidTr="00A60D4B">
        <w:trPr>
          <w:trHeight w:val="156"/>
        </w:trPr>
        <w:tc>
          <w:tcPr>
            <w:tcW w:w="3261" w:type="dxa"/>
            <w:tcBorders>
              <w:bottom w:val="single" w:sz="4" w:space="0" w:color="auto"/>
            </w:tcBorders>
            <w:shd w:val="clear" w:color="auto" w:fill="472D8C"/>
          </w:tcPr>
          <w:p w14:paraId="401BE296" w14:textId="77777777" w:rsidR="00A60D4B" w:rsidRPr="00111524" w:rsidRDefault="00A60D4B" w:rsidP="00A60D4B">
            <w:pPr>
              <w:rPr>
                <w:rFonts w:cs="Calibri"/>
                <w:b/>
                <w:color w:val="FFFFFF" w:themeColor="background1"/>
                <w:sz w:val="20"/>
              </w:rPr>
            </w:pPr>
          </w:p>
        </w:tc>
        <w:tc>
          <w:tcPr>
            <w:tcW w:w="1162" w:type="dxa"/>
            <w:tcBorders>
              <w:bottom w:val="single" w:sz="4" w:space="0" w:color="auto"/>
            </w:tcBorders>
            <w:shd w:val="clear" w:color="auto" w:fill="472D8C"/>
          </w:tcPr>
          <w:p w14:paraId="08D05D40" w14:textId="77777777" w:rsidR="00A60D4B" w:rsidRPr="00111524" w:rsidRDefault="00A60D4B" w:rsidP="00A60D4B">
            <w:pPr>
              <w:pStyle w:val="BTableHeadingRowRightAligned"/>
              <w:rPr>
                <w:color w:val="FFFFFF" w:themeColor="background1"/>
              </w:rPr>
            </w:pPr>
            <w:r>
              <w:rPr>
                <w:color w:val="FFFFFF" w:themeColor="background1"/>
              </w:rPr>
              <w:t xml:space="preserve">2021-22 </w:t>
            </w:r>
            <w:r>
              <w:rPr>
                <w:color w:val="FFFFFF" w:themeColor="background1"/>
              </w:rPr>
              <w:br/>
              <w:t>Estimate</w:t>
            </w:r>
            <w:r>
              <w:rPr>
                <w:color w:val="FFFFFF" w:themeColor="background1"/>
              </w:rPr>
              <w:br/>
              <w:t>$’000</w:t>
            </w:r>
          </w:p>
        </w:tc>
        <w:tc>
          <w:tcPr>
            <w:tcW w:w="1162" w:type="dxa"/>
            <w:tcBorders>
              <w:bottom w:val="single" w:sz="4" w:space="0" w:color="auto"/>
            </w:tcBorders>
            <w:shd w:val="clear" w:color="auto" w:fill="472D8C"/>
          </w:tcPr>
          <w:p w14:paraId="3C96220A" w14:textId="77777777" w:rsidR="00A60D4B" w:rsidRPr="00111524" w:rsidRDefault="00A60D4B" w:rsidP="00A60D4B">
            <w:pPr>
              <w:pStyle w:val="BTableHeadingRowRightAligned"/>
              <w:rPr>
                <w:color w:val="FFFFFF" w:themeColor="background1"/>
              </w:rPr>
            </w:pPr>
            <w:r>
              <w:rPr>
                <w:color w:val="FFFFFF" w:themeColor="background1"/>
              </w:rPr>
              <w:t>2022-23</w:t>
            </w:r>
            <w:r>
              <w:rPr>
                <w:color w:val="FFFFFF" w:themeColor="background1"/>
              </w:rPr>
              <w:br/>
              <w:t>Estimate</w:t>
            </w:r>
            <w:r>
              <w:rPr>
                <w:color w:val="FFFFFF" w:themeColor="background1"/>
              </w:rPr>
              <w:br/>
              <w:t>$’000</w:t>
            </w:r>
          </w:p>
        </w:tc>
        <w:tc>
          <w:tcPr>
            <w:tcW w:w="1162" w:type="dxa"/>
            <w:tcBorders>
              <w:bottom w:val="single" w:sz="4" w:space="0" w:color="auto"/>
            </w:tcBorders>
            <w:shd w:val="clear" w:color="auto" w:fill="472D8C"/>
          </w:tcPr>
          <w:p w14:paraId="66A49F8A" w14:textId="77777777" w:rsidR="00A60D4B" w:rsidRPr="00111524" w:rsidRDefault="00A60D4B" w:rsidP="00A60D4B">
            <w:pPr>
              <w:pStyle w:val="BTableHeadingRowRightAligned"/>
              <w:rPr>
                <w:color w:val="FFFFFF" w:themeColor="background1"/>
              </w:rPr>
            </w:pPr>
            <w:r>
              <w:rPr>
                <w:color w:val="FFFFFF" w:themeColor="background1"/>
              </w:rPr>
              <w:t>2023-24</w:t>
            </w:r>
            <w:r>
              <w:rPr>
                <w:color w:val="FFFFFF" w:themeColor="background1"/>
              </w:rPr>
              <w:br/>
              <w:t>Estimate</w:t>
            </w:r>
            <w:r>
              <w:rPr>
                <w:color w:val="FFFFFF" w:themeColor="background1"/>
              </w:rPr>
              <w:br/>
              <w:t>$’000</w:t>
            </w:r>
          </w:p>
        </w:tc>
        <w:tc>
          <w:tcPr>
            <w:tcW w:w="1162" w:type="dxa"/>
            <w:tcBorders>
              <w:bottom w:val="single" w:sz="4" w:space="0" w:color="auto"/>
            </w:tcBorders>
            <w:shd w:val="clear" w:color="auto" w:fill="472D8C"/>
          </w:tcPr>
          <w:p w14:paraId="54895D07" w14:textId="77777777" w:rsidR="00A60D4B" w:rsidRPr="00111524" w:rsidRDefault="00A60D4B" w:rsidP="00A60D4B">
            <w:pPr>
              <w:pStyle w:val="BTableHeadingRowRightAligned"/>
              <w:rPr>
                <w:color w:val="FFFFFF" w:themeColor="background1"/>
              </w:rPr>
            </w:pPr>
            <w:r>
              <w:rPr>
                <w:color w:val="FFFFFF" w:themeColor="background1"/>
              </w:rPr>
              <w:t>2024-25</w:t>
            </w:r>
            <w:r>
              <w:rPr>
                <w:color w:val="FFFFFF" w:themeColor="background1"/>
              </w:rPr>
              <w:br/>
              <w:t>Estimate</w:t>
            </w:r>
            <w:r>
              <w:rPr>
                <w:color w:val="FFFFFF" w:themeColor="background1"/>
              </w:rPr>
              <w:br/>
              <w:t>$’000</w:t>
            </w:r>
          </w:p>
        </w:tc>
        <w:tc>
          <w:tcPr>
            <w:tcW w:w="1163" w:type="dxa"/>
            <w:tcBorders>
              <w:bottom w:val="single" w:sz="4" w:space="0" w:color="auto"/>
            </w:tcBorders>
            <w:shd w:val="clear" w:color="auto" w:fill="472D8C"/>
          </w:tcPr>
          <w:p w14:paraId="34C2C4F6" w14:textId="77777777" w:rsidR="00A60D4B" w:rsidRPr="00111524" w:rsidRDefault="00A60D4B" w:rsidP="00A60D4B">
            <w:pPr>
              <w:pStyle w:val="BTableHeadingRowRightAligned"/>
              <w:rPr>
                <w:color w:val="FFFFFF" w:themeColor="background1"/>
              </w:rPr>
            </w:pPr>
            <w:r>
              <w:rPr>
                <w:color w:val="FFFFFF" w:themeColor="background1"/>
              </w:rPr>
              <w:t>Total</w:t>
            </w:r>
            <w:r>
              <w:rPr>
                <w:color w:val="FFFFFF" w:themeColor="background1"/>
              </w:rPr>
              <w:br/>
              <w:t>Estimate</w:t>
            </w:r>
            <w:r>
              <w:rPr>
                <w:color w:val="FFFFFF" w:themeColor="background1"/>
              </w:rPr>
              <w:br/>
              <w:t>$’000</w:t>
            </w:r>
          </w:p>
        </w:tc>
      </w:tr>
      <w:tr w:rsidR="00A60D4B" w:rsidRPr="00337DC9" w14:paraId="200A46D6" w14:textId="77777777" w:rsidTr="00A60D4B">
        <w:trPr>
          <w:trHeight w:val="257"/>
        </w:trPr>
        <w:tc>
          <w:tcPr>
            <w:tcW w:w="3261" w:type="dxa"/>
            <w:tcBorders>
              <w:top w:val="nil"/>
              <w:bottom w:val="nil"/>
            </w:tcBorders>
          </w:tcPr>
          <w:p w14:paraId="5180BB54" w14:textId="77777777" w:rsidR="00A60D4B" w:rsidRPr="00EC74DB" w:rsidRDefault="00A60D4B" w:rsidP="00A60D4B">
            <w:pPr>
              <w:pStyle w:val="Btabletextbold"/>
            </w:pPr>
            <w:r w:rsidRPr="00DB09D1">
              <w:t>Payroll Tax</w:t>
            </w:r>
          </w:p>
        </w:tc>
        <w:tc>
          <w:tcPr>
            <w:tcW w:w="1162" w:type="dxa"/>
            <w:tcBorders>
              <w:bottom w:val="nil"/>
            </w:tcBorders>
          </w:tcPr>
          <w:p w14:paraId="529F72E9" w14:textId="77777777" w:rsidR="00A60D4B" w:rsidRPr="00EC74DB" w:rsidRDefault="00A60D4B" w:rsidP="00A60D4B">
            <w:pPr>
              <w:pStyle w:val="Btablefigureunbold"/>
            </w:pPr>
          </w:p>
        </w:tc>
        <w:tc>
          <w:tcPr>
            <w:tcW w:w="1162" w:type="dxa"/>
            <w:tcBorders>
              <w:bottom w:val="nil"/>
            </w:tcBorders>
            <w:shd w:val="clear" w:color="auto" w:fill="auto"/>
          </w:tcPr>
          <w:p w14:paraId="4A0835FA" w14:textId="77777777" w:rsidR="00A60D4B" w:rsidRPr="00EC74DB" w:rsidRDefault="00A60D4B" w:rsidP="00A60D4B">
            <w:pPr>
              <w:pStyle w:val="Btablefigureunbold"/>
            </w:pPr>
          </w:p>
        </w:tc>
        <w:tc>
          <w:tcPr>
            <w:tcW w:w="1162" w:type="dxa"/>
            <w:tcBorders>
              <w:bottom w:val="nil"/>
            </w:tcBorders>
            <w:shd w:val="clear" w:color="472D8C" w:fill="auto"/>
          </w:tcPr>
          <w:p w14:paraId="380B8FC9" w14:textId="77777777" w:rsidR="00A60D4B" w:rsidRPr="00111524" w:rsidRDefault="00A60D4B" w:rsidP="00A60D4B">
            <w:pPr>
              <w:pStyle w:val="Btablefigureunbold"/>
              <w:rPr>
                <w:color w:val="000000"/>
              </w:rPr>
            </w:pPr>
          </w:p>
        </w:tc>
        <w:tc>
          <w:tcPr>
            <w:tcW w:w="1162" w:type="dxa"/>
            <w:tcBorders>
              <w:bottom w:val="nil"/>
            </w:tcBorders>
            <w:shd w:val="clear" w:color="auto" w:fill="auto"/>
          </w:tcPr>
          <w:p w14:paraId="2E97F54D" w14:textId="77777777" w:rsidR="00A60D4B" w:rsidRPr="00EC74DB" w:rsidRDefault="00A60D4B" w:rsidP="00A60D4B">
            <w:pPr>
              <w:pStyle w:val="Btablefigureunbold"/>
            </w:pPr>
          </w:p>
        </w:tc>
        <w:tc>
          <w:tcPr>
            <w:tcW w:w="1163" w:type="dxa"/>
            <w:tcBorders>
              <w:bottom w:val="nil"/>
            </w:tcBorders>
          </w:tcPr>
          <w:p w14:paraId="16AA584D" w14:textId="77777777" w:rsidR="00A60D4B" w:rsidRPr="00EC74DB" w:rsidRDefault="00A60D4B" w:rsidP="00A60D4B">
            <w:pPr>
              <w:pStyle w:val="Btablefigureunbold"/>
            </w:pPr>
          </w:p>
        </w:tc>
      </w:tr>
      <w:tr w:rsidR="00A60D4B" w:rsidRPr="00337DC9" w14:paraId="4BF9C300" w14:textId="77777777" w:rsidTr="00A60D4B">
        <w:trPr>
          <w:trHeight w:val="270"/>
        </w:trPr>
        <w:tc>
          <w:tcPr>
            <w:tcW w:w="3261" w:type="dxa"/>
            <w:tcBorders>
              <w:top w:val="nil"/>
              <w:bottom w:val="nil"/>
            </w:tcBorders>
          </w:tcPr>
          <w:p w14:paraId="454C3072" w14:textId="77777777" w:rsidR="00A60D4B" w:rsidRPr="00EC74DB" w:rsidRDefault="00A60D4B" w:rsidP="00A60D4B">
            <w:pPr>
              <w:pStyle w:val="Btabletextunbold"/>
              <w:ind w:left="397"/>
            </w:pPr>
            <w:r w:rsidRPr="00DB09D1">
              <w:t>Downside</w:t>
            </w:r>
          </w:p>
        </w:tc>
        <w:tc>
          <w:tcPr>
            <w:tcW w:w="1162" w:type="dxa"/>
            <w:tcBorders>
              <w:top w:val="nil"/>
              <w:bottom w:val="nil"/>
            </w:tcBorders>
          </w:tcPr>
          <w:p w14:paraId="16EB61CE" w14:textId="77777777" w:rsidR="00A60D4B" w:rsidRPr="00F7158C" w:rsidRDefault="00A60D4B" w:rsidP="00A60D4B">
            <w:pPr>
              <w:pStyle w:val="Btablefigureunbold"/>
            </w:pPr>
            <w:r w:rsidRPr="00F7158C">
              <w:t>-10,956</w:t>
            </w:r>
          </w:p>
        </w:tc>
        <w:tc>
          <w:tcPr>
            <w:tcW w:w="1162" w:type="dxa"/>
            <w:tcBorders>
              <w:top w:val="nil"/>
              <w:bottom w:val="nil"/>
            </w:tcBorders>
            <w:shd w:val="clear" w:color="auto" w:fill="auto"/>
          </w:tcPr>
          <w:p w14:paraId="5F13CDE3" w14:textId="77777777" w:rsidR="00A60D4B" w:rsidRPr="00F7158C" w:rsidRDefault="00A60D4B" w:rsidP="00A60D4B">
            <w:pPr>
              <w:pStyle w:val="BTablefigureBold"/>
              <w:rPr>
                <w:b w:val="0"/>
              </w:rPr>
            </w:pPr>
            <w:r w:rsidRPr="00F7158C">
              <w:rPr>
                <w:b w:val="0"/>
              </w:rPr>
              <w:t>-19,218</w:t>
            </w:r>
          </w:p>
        </w:tc>
        <w:tc>
          <w:tcPr>
            <w:tcW w:w="1162" w:type="dxa"/>
            <w:tcBorders>
              <w:top w:val="nil"/>
              <w:bottom w:val="nil"/>
            </w:tcBorders>
            <w:shd w:val="clear" w:color="472D8C" w:fill="auto"/>
          </w:tcPr>
          <w:p w14:paraId="15CE6432" w14:textId="77777777" w:rsidR="00A60D4B" w:rsidRPr="00F7158C" w:rsidRDefault="00A60D4B" w:rsidP="00A60D4B">
            <w:pPr>
              <w:pStyle w:val="Btablefigureunbold"/>
              <w:rPr>
                <w:color w:val="000000"/>
              </w:rPr>
            </w:pPr>
            <w:r w:rsidRPr="00F7158C">
              <w:t>-28,692</w:t>
            </w:r>
          </w:p>
        </w:tc>
        <w:tc>
          <w:tcPr>
            <w:tcW w:w="1162" w:type="dxa"/>
            <w:tcBorders>
              <w:top w:val="nil"/>
              <w:bottom w:val="nil"/>
            </w:tcBorders>
            <w:shd w:val="clear" w:color="auto" w:fill="auto"/>
          </w:tcPr>
          <w:p w14:paraId="29E686C4" w14:textId="77777777" w:rsidR="00A60D4B" w:rsidRPr="00F7158C" w:rsidRDefault="00A60D4B" w:rsidP="00A60D4B">
            <w:pPr>
              <w:pStyle w:val="Btablefigureunbold"/>
            </w:pPr>
            <w:r w:rsidRPr="00F7158C">
              <w:t>-39,623</w:t>
            </w:r>
          </w:p>
        </w:tc>
        <w:tc>
          <w:tcPr>
            <w:tcW w:w="1163" w:type="dxa"/>
            <w:tcBorders>
              <w:top w:val="nil"/>
              <w:bottom w:val="nil"/>
            </w:tcBorders>
          </w:tcPr>
          <w:p w14:paraId="0BCCD450" w14:textId="77777777" w:rsidR="00A60D4B" w:rsidRPr="00F7158C" w:rsidRDefault="00A60D4B" w:rsidP="00A60D4B">
            <w:pPr>
              <w:pStyle w:val="Btablefigureunbold"/>
            </w:pPr>
            <w:r w:rsidRPr="00F7158C">
              <w:t>-98,489</w:t>
            </w:r>
          </w:p>
        </w:tc>
      </w:tr>
      <w:tr w:rsidR="00A60D4B" w:rsidRPr="00337DC9" w14:paraId="19F3F0E3" w14:textId="77777777" w:rsidTr="00A60D4B">
        <w:trPr>
          <w:trHeight w:val="270"/>
        </w:trPr>
        <w:tc>
          <w:tcPr>
            <w:tcW w:w="3261" w:type="dxa"/>
            <w:tcBorders>
              <w:top w:val="nil"/>
              <w:bottom w:val="nil"/>
            </w:tcBorders>
          </w:tcPr>
          <w:p w14:paraId="47BAAAD8" w14:textId="77777777" w:rsidR="00A60D4B" w:rsidRDefault="00A60D4B" w:rsidP="00A60D4B">
            <w:pPr>
              <w:pStyle w:val="Btabletextunbold"/>
              <w:ind w:left="397"/>
            </w:pPr>
            <w:r w:rsidRPr="00DB09D1">
              <w:t>Upside</w:t>
            </w:r>
          </w:p>
        </w:tc>
        <w:tc>
          <w:tcPr>
            <w:tcW w:w="1162" w:type="dxa"/>
            <w:tcBorders>
              <w:top w:val="nil"/>
              <w:bottom w:val="nil"/>
            </w:tcBorders>
          </w:tcPr>
          <w:p w14:paraId="5F39041F" w14:textId="77777777" w:rsidR="00A60D4B" w:rsidRPr="00F7158C" w:rsidRDefault="00A60D4B" w:rsidP="00A60D4B">
            <w:pPr>
              <w:pStyle w:val="Btablefigureunbold"/>
            </w:pPr>
            <w:r w:rsidRPr="00F7158C">
              <w:t>2,393</w:t>
            </w:r>
          </w:p>
        </w:tc>
        <w:tc>
          <w:tcPr>
            <w:tcW w:w="1162" w:type="dxa"/>
            <w:tcBorders>
              <w:top w:val="nil"/>
              <w:bottom w:val="nil"/>
            </w:tcBorders>
            <w:shd w:val="clear" w:color="auto" w:fill="auto"/>
          </w:tcPr>
          <w:p w14:paraId="2960096E" w14:textId="77777777" w:rsidR="00A60D4B" w:rsidRPr="00F7158C" w:rsidRDefault="00A60D4B" w:rsidP="00A60D4B">
            <w:pPr>
              <w:pStyle w:val="BTablefigureBold"/>
              <w:rPr>
                <w:b w:val="0"/>
              </w:rPr>
            </w:pPr>
            <w:r w:rsidRPr="00F7158C">
              <w:rPr>
                <w:b w:val="0"/>
              </w:rPr>
              <w:t>5,886</w:t>
            </w:r>
          </w:p>
        </w:tc>
        <w:tc>
          <w:tcPr>
            <w:tcW w:w="1162" w:type="dxa"/>
            <w:tcBorders>
              <w:top w:val="nil"/>
              <w:bottom w:val="nil"/>
            </w:tcBorders>
            <w:shd w:val="clear" w:color="472D8C" w:fill="auto"/>
          </w:tcPr>
          <w:p w14:paraId="64569793" w14:textId="77777777" w:rsidR="00A60D4B" w:rsidRPr="00F7158C" w:rsidRDefault="00A60D4B" w:rsidP="00A60D4B">
            <w:pPr>
              <w:pStyle w:val="Btablefigureunbold"/>
              <w:rPr>
                <w:color w:val="000000"/>
              </w:rPr>
            </w:pPr>
            <w:r w:rsidRPr="00F7158C">
              <w:t>11,462</w:t>
            </w:r>
          </w:p>
        </w:tc>
        <w:tc>
          <w:tcPr>
            <w:tcW w:w="1162" w:type="dxa"/>
            <w:tcBorders>
              <w:top w:val="nil"/>
              <w:bottom w:val="nil"/>
            </w:tcBorders>
            <w:shd w:val="clear" w:color="auto" w:fill="auto"/>
          </w:tcPr>
          <w:p w14:paraId="6901E1B4" w14:textId="77777777" w:rsidR="00A60D4B" w:rsidRPr="00F7158C" w:rsidRDefault="00A60D4B" w:rsidP="00A60D4B">
            <w:pPr>
              <w:pStyle w:val="Btablefigureunbold"/>
            </w:pPr>
            <w:r w:rsidRPr="00F7158C">
              <w:t>18,034</w:t>
            </w:r>
          </w:p>
        </w:tc>
        <w:tc>
          <w:tcPr>
            <w:tcW w:w="1163" w:type="dxa"/>
            <w:tcBorders>
              <w:top w:val="nil"/>
              <w:bottom w:val="nil"/>
            </w:tcBorders>
          </w:tcPr>
          <w:p w14:paraId="083CA789" w14:textId="77777777" w:rsidR="00A60D4B" w:rsidRPr="00F7158C" w:rsidRDefault="00A60D4B" w:rsidP="00A60D4B">
            <w:pPr>
              <w:pStyle w:val="Btablefigureunbold"/>
            </w:pPr>
            <w:r w:rsidRPr="00F7158C">
              <w:t>37,775</w:t>
            </w:r>
          </w:p>
        </w:tc>
      </w:tr>
      <w:tr w:rsidR="00A60D4B" w:rsidRPr="00337DC9" w14:paraId="0D1356D3" w14:textId="77777777" w:rsidTr="00A60D4B">
        <w:trPr>
          <w:trHeight w:val="270"/>
        </w:trPr>
        <w:tc>
          <w:tcPr>
            <w:tcW w:w="3261" w:type="dxa"/>
            <w:tcBorders>
              <w:top w:val="nil"/>
              <w:bottom w:val="nil"/>
            </w:tcBorders>
          </w:tcPr>
          <w:p w14:paraId="3E6CFE32" w14:textId="77777777" w:rsidR="00A60D4B" w:rsidRPr="00106029" w:rsidRDefault="00A60D4B" w:rsidP="00A60D4B">
            <w:pPr>
              <w:pStyle w:val="Btabletextunbold"/>
              <w:rPr>
                <w:b/>
                <w:bCs/>
              </w:rPr>
            </w:pPr>
            <w:r w:rsidRPr="00106029">
              <w:rPr>
                <w:b/>
                <w:bCs/>
              </w:rPr>
              <w:t>Land Tax</w:t>
            </w:r>
          </w:p>
        </w:tc>
        <w:tc>
          <w:tcPr>
            <w:tcW w:w="1162" w:type="dxa"/>
            <w:tcBorders>
              <w:top w:val="nil"/>
              <w:bottom w:val="nil"/>
            </w:tcBorders>
          </w:tcPr>
          <w:p w14:paraId="766093CF" w14:textId="77777777" w:rsidR="00A60D4B" w:rsidRPr="00F7158C" w:rsidRDefault="00A60D4B" w:rsidP="00A60D4B">
            <w:pPr>
              <w:pStyle w:val="Btablefigureunbold"/>
            </w:pPr>
          </w:p>
        </w:tc>
        <w:tc>
          <w:tcPr>
            <w:tcW w:w="1162" w:type="dxa"/>
            <w:tcBorders>
              <w:top w:val="nil"/>
              <w:bottom w:val="nil"/>
            </w:tcBorders>
            <w:shd w:val="clear" w:color="auto" w:fill="auto"/>
          </w:tcPr>
          <w:p w14:paraId="72136F9F" w14:textId="77777777" w:rsidR="00A60D4B" w:rsidRPr="00F7158C" w:rsidRDefault="00A60D4B" w:rsidP="00A60D4B">
            <w:pPr>
              <w:pStyle w:val="BTablefigureBold"/>
              <w:rPr>
                <w:b w:val="0"/>
              </w:rPr>
            </w:pPr>
          </w:p>
        </w:tc>
        <w:tc>
          <w:tcPr>
            <w:tcW w:w="1162" w:type="dxa"/>
            <w:tcBorders>
              <w:top w:val="nil"/>
              <w:bottom w:val="nil"/>
            </w:tcBorders>
            <w:shd w:val="clear" w:color="472D8C" w:fill="auto"/>
          </w:tcPr>
          <w:p w14:paraId="6EAE17AD" w14:textId="77777777" w:rsidR="00A60D4B" w:rsidRPr="00F7158C" w:rsidRDefault="00A60D4B" w:rsidP="00A60D4B">
            <w:pPr>
              <w:pStyle w:val="Btablefigureunbold"/>
              <w:rPr>
                <w:color w:val="000000"/>
              </w:rPr>
            </w:pPr>
          </w:p>
        </w:tc>
        <w:tc>
          <w:tcPr>
            <w:tcW w:w="1162" w:type="dxa"/>
            <w:tcBorders>
              <w:top w:val="nil"/>
              <w:bottom w:val="nil"/>
            </w:tcBorders>
            <w:shd w:val="clear" w:color="auto" w:fill="auto"/>
          </w:tcPr>
          <w:p w14:paraId="27CF3DDD" w14:textId="77777777" w:rsidR="00A60D4B" w:rsidRPr="00F7158C" w:rsidRDefault="00A60D4B" w:rsidP="00A60D4B">
            <w:pPr>
              <w:pStyle w:val="Btablefigureunbold"/>
            </w:pPr>
          </w:p>
        </w:tc>
        <w:tc>
          <w:tcPr>
            <w:tcW w:w="1163" w:type="dxa"/>
            <w:tcBorders>
              <w:top w:val="nil"/>
              <w:bottom w:val="nil"/>
            </w:tcBorders>
          </w:tcPr>
          <w:p w14:paraId="5484FE0F" w14:textId="77777777" w:rsidR="00A60D4B" w:rsidRPr="00F7158C" w:rsidRDefault="00A60D4B" w:rsidP="00A60D4B">
            <w:pPr>
              <w:pStyle w:val="Btablefigureunbold"/>
            </w:pPr>
          </w:p>
        </w:tc>
      </w:tr>
      <w:tr w:rsidR="00A60D4B" w:rsidRPr="00337DC9" w14:paraId="4403802A" w14:textId="77777777" w:rsidTr="00A60D4B">
        <w:trPr>
          <w:trHeight w:val="270"/>
        </w:trPr>
        <w:tc>
          <w:tcPr>
            <w:tcW w:w="3261" w:type="dxa"/>
            <w:tcBorders>
              <w:top w:val="nil"/>
              <w:bottom w:val="nil"/>
            </w:tcBorders>
          </w:tcPr>
          <w:p w14:paraId="39F69A2B" w14:textId="77777777" w:rsidR="00A60D4B" w:rsidRDefault="00A60D4B" w:rsidP="00A60D4B">
            <w:pPr>
              <w:pStyle w:val="Btabletextunbold"/>
              <w:ind w:left="397"/>
            </w:pPr>
            <w:r w:rsidRPr="00DB09D1">
              <w:t>Downside</w:t>
            </w:r>
          </w:p>
        </w:tc>
        <w:tc>
          <w:tcPr>
            <w:tcW w:w="1162" w:type="dxa"/>
            <w:tcBorders>
              <w:top w:val="nil"/>
              <w:bottom w:val="nil"/>
            </w:tcBorders>
          </w:tcPr>
          <w:p w14:paraId="44854255" w14:textId="77777777" w:rsidR="00A60D4B" w:rsidRPr="00F7158C" w:rsidRDefault="00A60D4B" w:rsidP="00A60D4B">
            <w:pPr>
              <w:pStyle w:val="Btablefigureunbold"/>
            </w:pPr>
            <w:r w:rsidRPr="00F7158C">
              <w:t>-1,462</w:t>
            </w:r>
          </w:p>
        </w:tc>
        <w:tc>
          <w:tcPr>
            <w:tcW w:w="1162" w:type="dxa"/>
            <w:tcBorders>
              <w:top w:val="nil"/>
              <w:bottom w:val="nil"/>
            </w:tcBorders>
            <w:shd w:val="clear" w:color="auto" w:fill="auto"/>
          </w:tcPr>
          <w:p w14:paraId="474E8122" w14:textId="77777777" w:rsidR="00A60D4B" w:rsidRPr="00F7158C" w:rsidRDefault="00A60D4B" w:rsidP="00A60D4B">
            <w:pPr>
              <w:pStyle w:val="BTablefigureBold"/>
              <w:rPr>
                <w:b w:val="0"/>
              </w:rPr>
            </w:pPr>
            <w:r w:rsidRPr="00F7158C">
              <w:rPr>
                <w:b w:val="0"/>
              </w:rPr>
              <w:t>-4,864</w:t>
            </w:r>
          </w:p>
        </w:tc>
        <w:tc>
          <w:tcPr>
            <w:tcW w:w="1162" w:type="dxa"/>
            <w:tcBorders>
              <w:top w:val="nil"/>
              <w:bottom w:val="nil"/>
            </w:tcBorders>
            <w:shd w:val="clear" w:color="472D8C" w:fill="auto"/>
          </w:tcPr>
          <w:p w14:paraId="29BCCF6B" w14:textId="77777777" w:rsidR="00A60D4B" w:rsidRPr="00F7158C" w:rsidRDefault="00A60D4B" w:rsidP="00A60D4B">
            <w:pPr>
              <w:pStyle w:val="Btablefigureunbold"/>
              <w:rPr>
                <w:color w:val="000000"/>
              </w:rPr>
            </w:pPr>
            <w:r w:rsidRPr="00F7158C">
              <w:t>-3,626</w:t>
            </w:r>
          </w:p>
        </w:tc>
        <w:tc>
          <w:tcPr>
            <w:tcW w:w="1162" w:type="dxa"/>
            <w:tcBorders>
              <w:top w:val="nil"/>
              <w:bottom w:val="nil"/>
            </w:tcBorders>
            <w:shd w:val="clear" w:color="auto" w:fill="auto"/>
          </w:tcPr>
          <w:p w14:paraId="4B6DFC16" w14:textId="77777777" w:rsidR="00A60D4B" w:rsidRPr="00F7158C" w:rsidRDefault="00A60D4B" w:rsidP="00A60D4B">
            <w:pPr>
              <w:pStyle w:val="Btablefigureunbold"/>
            </w:pPr>
            <w:r w:rsidRPr="00F7158C">
              <w:t>-5,330</w:t>
            </w:r>
          </w:p>
        </w:tc>
        <w:tc>
          <w:tcPr>
            <w:tcW w:w="1163" w:type="dxa"/>
            <w:tcBorders>
              <w:top w:val="nil"/>
              <w:bottom w:val="nil"/>
            </w:tcBorders>
          </w:tcPr>
          <w:p w14:paraId="556CA504" w14:textId="77777777" w:rsidR="00A60D4B" w:rsidRPr="00F7158C" w:rsidRDefault="00A60D4B" w:rsidP="00A60D4B">
            <w:pPr>
              <w:pStyle w:val="Btablefigureunbold"/>
            </w:pPr>
            <w:r w:rsidRPr="00F7158C">
              <w:t>-15,281</w:t>
            </w:r>
          </w:p>
        </w:tc>
      </w:tr>
      <w:tr w:rsidR="00A60D4B" w:rsidRPr="00337DC9" w14:paraId="3571D3F4" w14:textId="77777777" w:rsidTr="00A60D4B">
        <w:trPr>
          <w:trHeight w:val="270"/>
        </w:trPr>
        <w:tc>
          <w:tcPr>
            <w:tcW w:w="3261" w:type="dxa"/>
            <w:tcBorders>
              <w:top w:val="nil"/>
              <w:bottom w:val="nil"/>
            </w:tcBorders>
          </w:tcPr>
          <w:p w14:paraId="5558B2CF" w14:textId="77777777" w:rsidR="00A60D4B" w:rsidRDefault="00A60D4B" w:rsidP="00A60D4B">
            <w:pPr>
              <w:pStyle w:val="Btabletextunbold"/>
              <w:ind w:left="397"/>
            </w:pPr>
            <w:r w:rsidRPr="00DB09D1">
              <w:t>Upside</w:t>
            </w:r>
          </w:p>
        </w:tc>
        <w:tc>
          <w:tcPr>
            <w:tcW w:w="1162" w:type="dxa"/>
            <w:tcBorders>
              <w:top w:val="nil"/>
              <w:bottom w:val="nil"/>
            </w:tcBorders>
          </w:tcPr>
          <w:p w14:paraId="46D08A16" w14:textId="77777777" w:rsidR="00A60D4B" w:rsidRPr="00F7158C" w:rsidRDefault="00A60D4B" w:rsidP="00A60D4B">
            <w:pPr>
              <w:pStyle w:val="Btablefigureunbold"/>
            </w:pPr>
            <w:r w:rsidRPr="00F7158C">
              <w:t>1,324</w:t>
            </w:r>
          </w:p>
        </w:tc>
        <w:tc>
          <w:tcPr>
            <w:tcW w:w="1162" w:type="dxa"/>
            <w:tcBorders>
              <w:top w:val="nil"/>
              <w:bottom w:val="nil"/>
            </w:tcBorders>
            <w:shd w:val="clear" w:color="auto" w:fill="auto"/>
          </w:tcPr>
          <w:p w14:paraId="494E547E" w14:textId="77777777" w:rsidR="00A60D4B" w:rsidRPr="00F7158C" w:rsidRDefault="00A60D4B" w:rsidP="00A60D4B">
            <w:pPr>
              <w:pStyle w:val="BTablefigureBold"/>
              <w:rPr>
                <w:b w:val="0"/>
              </w:rPr>
            </w:pPr>
            <w:r w:rsidRPr="00F7158C">
              <w:rPr>
                <w:b w:val="0"/>
              </w:rPr>
              <w:t>3,066</w:t>
            </w:r>
          </w:p>
        </w:tc>
        <w:tc>
          <w:tcPr>
            <w:tcW w:w="1162" w:type="dxa"/>
            <w:tcBorders>
              <w:top w:val="nil"/>
              <w:bottom w:val="nil"/>
            </w:tcBorders>
            <w:shd w:val="clear" w:color="472D8C" w:fill="auto"/>
          </w:tcPr>
          <w:p w14:paraId="5D0C5231" w14:textId="77777777" w:rsidR="00A60D4B" w:rsidRPr="00F7158C" w:rsidRDefault="00A60D4B" w:rsidP="00A60D4B">
            <w:pPr>
              <w:pStyle w:val="Btablefigureunbold"/>
              <w:rPr>
                <w:color w:val="000000"/>
              </w:rPr>
            </w:pPr>
            <w:r w:rsidRPr="00F7158C">
              <w:t>7,238</w:t>
            </w:r>
          </w:p>
        </w:tc>
        <w:tc>
          <w:tcPr>
            <w:tcW w:w="1162" w:type="dxa"/>
            <w:tcBorders>
              <w:top w:val="nil"/>
              <w:bottom w:val="nil"/>
            </w:tcBorders>
            <w:shd w:val="clear" w:color="auto" w:fill="auto"/>
          </w:tcPr>
          <w:p w14:paraId="3CBA1BA2" w14:textId="77777777" w:rsidR="00A60D4B" w:rsidRPr="00F7158C" w:rsidRDefault="00A60D4B" w:rsidP="00A60D4B">
            <w:pPr>
              <w:pStyle w:val="Btablefigureunbold"/>
            </w:pPr>
            <w:r w:rsidRPr="00F7158C">
              <w:t>8,300</w:t>
            </w:r>
          </w:p>
        </w:tc>
        <w:tc>
          <w:tcPr>
            <w:tcW w:w="1163" w:type="dxa"/>
            <w:tcBorders>
              <w:top w:val="nil"/>
              <w:bottom w:val="nil"/>
            </w:tcBorders>
          </w:tcPr>
          <w:p w14:paraId="4AC2FD07" w14:textId="77777777" w:rsidR="00A60D4B" w:rsidRPr="00F7158C" w:rsidRDefault="00A60D4B" w:rsidP="00A60D4B">
            <w:pPr>
              <w:pStyle w:val="Btablefigureunbold"/>
            </w:pPr>
            <w:r w:rsidRPr="00F7158C">
              <w:t>19,927</w:t>
            </w:r>
          </w:p>
        </w:tc>
      </w:tr>
      <w:tr w:rsidR="00A60D4B" w:rsidRPr="00337DC9" w14:paraId="2E46315D" w14:textId="77777777" w:rsidTr="00A60D4B">
        <w:trPr>
          <w:trHeight w:val="270"/>
        </w:trPr>
        <w:tc>
          <w:tcPr>
            <w:tcW w:w="3261" w:type="dxa"/>
            <w:tcBorders>
              <w:top w:val="nil"/>
              <w:bottom w:val="nil"/>
            </w:tcBorders>
          </w:tcPr>
          <w:p w14:paraId="6ADD0C62" w14:textId="77777777" w:rsidR="00A60D4B" w:rsidRPr="00106029" w:rsidRDefault="00A60D4B" w:rsidP="00A60D4B">
            <w:pPr>
              <w:pStyle w:val="Btabletextunbold"/>
              <w:rPr>
                <w:b/>
                <w:bCs/>
              </w:rPr>
            </w:pPr>
            <w:r w:rsidRPr="0071069B">
              <w:rPr>
                <w:b/>
                <w:bCs/>
              </w:rPr>
              <w:t>Residential Conveyances</w:t>
            </w:r>
          </w:p>
        </w:tc>
        <w:tc>
          <w:tcPr>
            <w:tcW w:w="1162" w:type="dxa"/>
            <w:tcBorders>
              <w:top w:val="nil"/>
              <w:bottom w:val="nil"/>
            </w:tcBorders>
          </w:tcPr>
          <w:p w14:paraId="3D30F626" w14:textId="77777777" w:rsidR="00A60D4B" w:rsidRPr="00F7158C" w:rsidRDefault="00A60D4B" w:rsidP="00A60D4B">
            <w:pPr>
              <w:pStyle w:val="Btablefigureunbold"/>
            </w:pPr>
          </w:p>
        </w:tc>
        <w:tc>
          <w:tcPr>
            <w:tcW w:w="1162" w:type="dxa"/>
            <w:tcBorders>
              <w:top w:val="nil"/>
              <w:bottom w:val="nil"/>
            </w:tcBorders>
            <w:shd w:val="clear" w:color="auto" w:fill="auto"/>
          </w:tcPr>
          <w:p w14:paraId="1A5FF509" w14:textId="77777777" w:rsidR="00A60D4B" w:rsidRPr="00F7158C" w:rsidRDefault="00A60D4B" w:rsidP="00A60D4B">
            <w:pPr>
              <w:pStyle w:val="BTablefigureBold"/>
              <w:rPr>
                <w:b w:val="0"/>
              </w:rPr>
            </w:pPr>
          </w:p>
        </w:tc>
        <w:tc>
          <w:tcPr>
            <w:tcW w:w="1162" w:type="dxa"/>
            <w:tcBorders>
              <w:top w:val="nil"/>
              <w:bottom w:val="nil"/>
            </w:tcBorders>
            <w:shd w:val="clear" w:color="472D8C" w:fill="auto"/>
          </w:tcPr>
          <w:p w14:paraId="6E481CF4" w14:textId="77777777" w:rsidR="00A60D4B" w:rsidRPr="00F7158C" w:rsidRDefault="00A60D4B" w:rsidP="00A60D4B">
            <w:pPr>
              <w:pStyle w:val="Btablefigureunbold"/>
              <w:rPr>
                <w:color w:val="000000"/>
              </w:rPr>
            </w:pPr>
          </w:p>
        </w:tc>
        <w:tc>
          <w:tcPr>
            <w:tcW w:w="1162" w:type="dxa"/>
            <w:tcBorders>
              <w:top w:val="nil"/>
              <w:bottom w:val="nil"/>
            </w:tcBorders>
            <w:shd w:val="clear" w:color="auto" w:fill="auto"/>
          </w:tcPr>
          <w:p w14:paraId="5F8BAFCE" w14:textId="77777777" w:rsidR="00A60D4B" w:rsidRPr="00F7158C" w:rsidRDefault="00A60D4B" w:rsidP="00A60D4B">
            <w:pPr>
              <w:pStyle w:val="Btablefigureunbold"/>
            </w:pPr>
          </w:p>
        </w:tc>
        <w:tc>
          <w:tcPr>
            <w:tcW w:w="1163" w:type="dxa"/>
            <w:tcBorders>
              <w:top w:val="nil"/>
              <w:bottom w:val="nil"/>
            </w:tcBorders>
          </w:tcPr>
          <w:p w14:paraId="0CE452B9" w14:textId="77777777" w:rsidR="00A60D4B" w:rsidRPr="00F7158C" w:rsidRDefault="00A60D4B" w:rsidP="00A60D4B">
            <w:pPr>
              <w:pStyle w:val="Btablefigureunbold"/>
            </w:pPr>
          </w:p>
        </w:tc>
      </w:tr>
      <w:tr w:rsidR="00A60D4B" w:rsidRPr="00337DC9" w14:paraId="5DB9B538" w14:textId="77777777" w:rsidTr="00A60D4B">
        <w:trPr>
          <w:trHeight w:val="270"/>
        </w:trPr>
        <w:tc>
          <w:tcPr>
            <w:tcW w:w="3261" w:type="dxa"/>
            <w:tcBorders>
              <w:top w:val="nil"/>
              <w:bottom w:val="nil"/>
            </w:tcBorders>
          </w:tcPr>
          <w:p w14:paraId="55E0926D" w14:textId="77777777" w:rsidR="00A60D4B" w:rsidRDefault="00A60D4B" w:rsidP="00A60D4B">
            <w:pPr>
              <w:pStyle w:val="Btabletextunbold"/>
              <w:ind w:left="397"/>
            </w:pPr>
            <w:r w:rsidRPr="00DB09D1">
              <w:t>Downside</w:t>
            </w:r>
          </w:p>
        </w:tc>
        <w:tc>
          <w:tcPr>
            <w:tcW w:w="1162" w:type="dxa"/>
            <w:tcBorders>
              <w:top w:val="nil"/>
              <w:bottom w:val="nil"/>
            </w:tcBorders>
          </w:tcPr>
          <w:p w14:paraId="235E510B" w14:textId="77777777" w:rsidR="00A60D4B" w:rsidRPr="00F7158C" w:rsidRDefault="00A60D4B" w:rsidP="00A60D4B">
            <w:pPr>
              <w:pStyle w:val="Btablefigureunbold"/>
            </w:pPr>
            <w:r w:rsidRPr="00F7158C">
              <w:t>-32,397</w:t>
            </w:r>
          </w:p>
        </w:tc>
        <w:tc>
          <w:tcPr>
            <w:tcW w:w="1162" w:type="dxa"/>
            <w:tcBorders>
              <w:top w:val="nil"/>
              <w:bottom w:val="nil"/>
            </w:tcBorders>
            <w:shd w:val="clear" w:color="auto" w:fill="auto"/>
          </w:tcPr>
          <w:p w14:paraId="7457C69E" w14:textId="77777777" w:rsidR="00A60D4B" w:rsidRPr="00F7158C" w:rsidRDefault="00A60D4B" w:rsidP="00A60D4B">
            <w:pPr>
              <w:pStyle w:val="BTablefigureBold"/>
              <w:rPr>
                <w:b w:val="0"/>
              </w:rPr>
            </w:pPr>
            <w:r w:rsidRPr="00F7158C">
              <w:rPr>
                <w:b w:val="0"/>
              </w:rPr>
              <w:t>-33,094</w:t>
            </w:r>
          </w:p>
        </w:tc>
        <w:tc>
          <w:tcPr>
            <w:tcW w:w="1162" w:type="dxa"/>
            <w:tcBorders>
              <w:top w:val="nil"/>
              <w:bottom w:val="nil"/>
            </w:tcBorders>
            <w:shd w:val="clear" w:color="472D8C" w:fill="auto"/>
          </w:tcPr>
          <w:p w14:paraId="666BA15E" w14:textId="77777777" w:rsidR="00A60D4B" w:rsidRPr="00F7158C" w:rsidRDefault="00A60D4B" w:rsidP="00A60D4B">
            <w:pPr>
              <w:pStyle w:val="Btablefigureunbold"/>
              <w:rPr>
                <w:color w:val="000000"/>
              </w:rPr>
            </w:pPr>
            <w:r w:rsidRPr="00F7158C">
              <w:t>-14,860</w:t>
            </w:r>
          </w:p>
        </w:tc>
        <w:tc>
          <w:tcPr>
            <w:tcW w:w="1162" w:type="dxa"/>
            <w:tcBorders>
              <w:top w:val="nil"/>
              <w:bottom w:val="nil"/>
            </w:tcBorders>
            <w:shd w:val="clear" w:color="auto" w:fill="auto"/>
          </w:tcPr>
          <w:p w14:paraId="4A1A8AA9" w14:textId="77777777" w:rsidR="00A60D4B" w:rsidRPr="00F7158C" w:rsidRDefault="00A60D4B" w:rsidP="00A60D4B">
            <w:pPr>
              <w:pStyle w:val="Btablefigureunbold"/>
            </w:pPr>
            <w:r w:rsidRPr="00F7158C">
              <w:t>-13,286</w:t>
            </w:r>
          </w:p>
        </w:tc>
        <w:tc>
          <w:tcPr>
            <w:tcW w:w="1163" w:type="dxa"/>
            <w:tcBorders>
              <w:top w:val="nil"/>
              <w:bottom w:val="nil"/>
            </w:tcBorders>
          </w:tcPr>
          <w:p w14:paraId="7746445E" w14:textId="77777777" w:rsidR="00A60D4B" w:rsidRPr="00F7158C" w:rsidRDefault="00A60D4B" w:rsidP="00A60D4B">
            <w:pPr>
              <w:pStyle w:val="Btablefigureunbold"/>
            </w:pPr>
            <w:r w:rsidRPr="00F7158C">
              <w:t>-93,636</w:t>
            </w:r>
          </w:p>
        </w:tc>
      </w:tr>
      <w:tr w:rsidR="00A60D4B" w:rsidRPr="00337DC9" w14:paraId="426FD0A1" w14:textId="77777777" w:rsidTr="00A60D4B">
        <w:trPr>
          <w:trHeight w:val="270"/>
        </w:trPr>
        <w:tc>
          <w:tcPr>
            <w:tcW w:w="3261" w:type="dxa"/>
            <w:tcBorders>
              <w:top w:val="nil"/>
              <w:bottom w:val="nil"/>
            </w:tcBorders>
          </w:tcPr>
          <w:p w14:paraId="386A14EA" w14:textId="77777777" w:rsidR="00A60D4B" w:rsidRDefault="00A60D4B" w:rsidP="00A60D4B">
            <w:pPr>
              <w:pStyle w:val="Btabletextunbold"/>
              <w:ind w:left="397"/>
            </w:pPr>
            <w:r w:rsidRPr="00DB09D1">
              <w:t>Upside</w:t>
            </w:r>
          </w:p>
        </w:tc>
        <w:tc>
          <w:tcPr>
            <w:tcW w:w="1162" w:type="dxa"/>
            <w:tcBorders>
              <w:top w:val="nil"/>
              <w:bottom w:val="nil"/>
            </w:tcBorders>
          </w:tcPr>
          <w:p w14:paraId="58B11A3E" w14:textId="77777777" w:rsidR="00A60D4B" w:rsidRPr="00F7158C" w:rsidRDefault="00A60D4B" w:rsidP="00A60D4B">
            <w:pPr>
              <w:pStyle w:val="Btablefigureunbold"/>
            </w:pPr>
            <w:r w:rsidRPr="00F7158C">
              <w:t>17,016</w:t>
            </w:r>
          </w:p>
        </w:tc>
        <w:tc>
          <w:tcPr>
            <w:tcW w:w="1162" w:type="dxa"/>
            <w:tcBorders>
              <w:top w:val="nil"/>
              <w:bottom w:val="nil"/>
            </w:tcBorders>
            <w:shd w:val="clear" w:color="auto" w:fill="auto"/>
          </w:tcPr>
          <w:p w14:paraId="1D489012" w14:textId="77777777" w:rsidR="00A60D4B" w:rsidRPr="00F7158C" w:rsidRDefault="00A60D4B" w:rsidP="00A60D4B">
            <w:pPr>
              <w:pStyle w:val="BTablefigureBold"/>
              <w:rPr>
                <w:b w:val="0"/>
              </w:rPr>
            </w:pPr>
            <w:r w:rsidRPr="00F7158C">
              <w:rPr>
                <w:b w:val="0"/>
              </w:rPr>
              <w:t>16,862</w:t>
            </w:r>
          </w:p>
        </w:tc>
        <w:tc>
          <w:tcPr>
            <w:tcW w:w="1162" w:type="dxa"/>
            <w:tcBorders>
              <w:top w:val="nil"/>
              <w:bottom w:val="nil"/>
            </w:tcBorders>
            <w:shd w:val="clear" w:color="472D8C" w:fill="auto"/>
          </w:tcPr>
          <w:p w14:paraId="03CBCA53" w14:textId="77777777" w:rsidR="00A60D4B" w:rsidRPr="00F7158C" w:rsidRDefault="00A60D4B" w:rsidP="00A60D4B">
            <w:pPr>
              <w:pStyle w:val="Btablefigureunbold"/>
              <w:rPr>
                <w:color w:val="000000"/>
              </w:rPr>
            </w:pPr>
            <w:r w:rsidRPr="00F7158C">
              <w:t>11,364</w:t>
            </w:r>
          </w:p>
        </w:tc>
        <w:tc>
          <w:tcPr>
            <w:tcW w:w="1162" w:type="dxa"/>
            <w:tcBorders>
              <w:top w:val="nil"/>
              <w:bottom w:val="nil"/>
            </w:tcBorders>
            <w:shd w:val="clear" w:color="auto" w:fill="auto"/>
          </w:tcPr>
          <w:p w14:paraId="3C1D8614" w14:textId="77777777" w:rsidR="00A60D4B" w:rsidRPr="00F7158C" w:rsidRDefault="00A60D4B" w:rsidP="00A60D4B">
            <w:pPr>
              <w:pStyle w:val="Btablefigureunbold"/>
            </w:pPr>
            <w:r w:rsidRPr="00F7158C">
              <w:t>11,971</w:t>
            </w:r>
          </w:p>
        </w:tc>
        <w:tc>
          <w:tcPr>
            <w:tcW w:w="1163" w:type="dxa"/>
            <w:tcBorders>
              <w:top w:val="nil"/>
              <w:bottom w:val="nil"/>
            </w:tcBorders>
          </w:tcPr>
          <w:p w14:paraId="53AD8262" w14:textId="77777777" w:rsidR="00A60D4B" w:rsidRPr="00F7158C" w:rsidRDefault="00A60D4B" w:rsidP="00A60D4B">
            <w:pPr>
              <w:pStyle w:val="Btablefigureunbold"/>
            </w:pPr>
            <w:r w:rsidRPr="00F7158C">
              <w:t>57,213</w:t>
            </w:r>
          </w:p>
        </w:tc>
      </w:tr>
      <w:tr w:rsidR="00A60D4B" w:rsidRPr="00337DC9" w14:paraId="36B1F724" w14:textId="77777777" w:rsidTr="00A60D4B">
        <w:trPr>
          <w:trHeight w:val="270"/>
        </w:trPr>
        <w:tc>
          <w:tcPr>
            <w:tcW w:w="3261" w:type="dxa"/>
            <w:tcBorders>
              <w:top w:val="nil"/>
              <w:bottom w:val="nil"/>
            </w:tcBorders>
          </w:tcPr>
          <w:p w14:paraId="56A380F6" w14:textId="77777777" w:rsidR="00A60D4B" w:rsidRPr="00106029" w:rsidRDefault="00A60D4B" w:rsidP="00A60D4B">
            <w:pPr>
              <w:pStyle w:val="Btabletextunbold"/>
              <w:rPr>
                <w:b/>
                <w:bCs/>
              </w:rPr>
            </w:pPr>
            <w:r>
              <w:rPr>
                <w:b/>
                <w:bCs/>
              </w:rPr>
              <w:t>Motor Vehicle Registrations</w:t>
            </w:r>
          </w:p>
        </w:tc>
        <w:tc>
          <w:tcPr>
            <w:tcW w:w="1162" w:type="dxa"/>
            <w:tcBorders>
              <w:top w:val="nil"/>
              <w:bottom w:val="nil"/>
            </w:tcBorders>
          </w:tcPr>
          <w:p w14:paraId="59973A5A" w14:textId="77777777" w:rsidR="00A60D4B" w:rsidRPr="00F7158C" w:rsidRDefault="00A60D4B" w:rsidP="00A60D4B">
            <w:pPr>
              <w:pStyle w:val="Btablefigureunbold"/>
            </w:pPr>
          </w:p>
        </w:tc>
        <w:tc>
          <w:tcPr>
            <w:tcW w:w="1162" w:type="dxa"/>
            <w:tcBorders>
              <w:top w:val="nil"/>
              <w:bottom w:val="nil"/>
            </w:tcBorders>
            <w:shd w:val="clear" w:color="auto" w:fill="auto"/>
          </w:tcPr>
          <w:p w14:paraId="19A6787F" w14:textId="77777777" w:rsidR="00A60D4B" w:rsidRPr="00F7158C" w:rsidRDefault="00A60D4B" w:rsidP="00A60D4B">
            <w:pPr>
              <w:pStyle w:val="BTablefigureBold"/>
              <w:rPr>
                <w:b w:val="0"/>
              </w:rPr>
            </w:pPr>
          </w:p>
        </w:tc>
        <w:tc>
          <w:tcPr>
            <w:tcW w:w="1162" w:type="dxa"/>
            <w:tcBorders>
              <w:top w:val="nil"/>
              <w:bottom w:val="nil"/>
            </w:tcBorders>
            <w:shd w:val="clear" w:color="472D8C" w:fill="auto"/>
          </w:tcPr>
          <w:p w14:paraId="226965E6" w14:textId="77777777" w:rsidR="00A60D4B" w:rsidRPr="00F7158C" w:rsidRDefault="00A60D4B" w:rsidP="00A60D4B">
            <w:pPr>
              <w:pStyle w:val="Btablefigureunbold"/>
              <w:rPr>
                <w:color w:val="000000"/>
              </w:rPr>
            </w:pPr>
          </w:p>
        </w:tc>
        <w:tc>
          <w:tcPr>
            <w:tcW w:w="1162" w:type="dxa"/>
            <w:tcBorders>
              <w:top w:val="nil"/>
              <w:bottom w:val="nil"/>
            </w:tcBorders>
            <w:shd w:val="clear" w:color="auto" w:fill="auto"/>
          </w:tcPr>
          <w:p w14:paraId="4076E027" w14:textId="77777777" w:rsidR="00A60D4B" w:rsidRPr="00F7158C" w:rsidRDefault="00A60D4B" w:rsidP="00A60D4B">
            <w:pPr>
              <w:pStyle w:val="Btablefigureunbold"/>
            </w:pPr>
          </w:p>
        </w:tc>
        <w:tc>
          <w:tcPr>
            <w:tcW w:w="1163" w:type="dxa"/>
            <w:tcBorders>
              <w:top w:val="nil"/>
              <w:bottom w:val="nil"/>
            </w:tcBorders>
          </w:tcPr>
          <w:p w14:paraId="2B820977" w14:textId="77777777" w:rsidR="00A60D4B" w:rsidRPr="00F7158C" w:rsidRDefault="00A60D4B" w:rsidP="00A60D4B">
            <w:pPr>
              <w:pStyle w:val="Btablefigureunbold"/>
            </w:pPr>
          </w:p>
        </w:tc>
      </w:tr>
      <w:tr w:rsidR="00A60D4B" w:rsidRPr="00337DC9" w14:paraId="315D72BB" w14:textId="77777777" w:rsidTr="00A60D4B">
        <w:trPr>
          <w:trHeight w:val="270"/>
        </w:trPr>
        <w:tc>
          <w:tcPr>
            <w:tcW w:w="3261" w:type="dxa"/>
            <w:tcBorders>
              <w:top w:val="nil"/>
              <w:bottom w:val="nil"/>
            </w:tcBorders>
          </w:tcPr>
          <w:p w14:paraId="646302E8" w14:textId="77777777" w:rsidR="00A60D4B" w:rsidRDefault="00A60D4B" w:rsidP="00A60D4B">
            <w:pPr>
              <w:pStyle w:val="Btabletextunbold"/>
              <w:ind w:left="397"/>
            </w:pPr>
            <w:r w:rsidRPr="00DB09D1">
              <w:t>Downside</w:t>
            </w:r>
          </w:p>
        </w:tc>
        <w:tc>
          <w:tcPr>
            <w:tcW w:w="1162" w:type="dxa"/>
            <w:tcBorders>
              <w:top w:val="nil"/>
              <w:bottom w:val="nil"/>
            </w:tcBorders>
          </w:tcPr>
          <w:p w14:paraId="45736E86" w14:textId="77777777" w:rsidR="00A60D4B" w:rsidRPr="00F7158C" w:rsidRDefault="00A60D4B" w:rsidP="00A60D4B">
            <w:pPr>
              <w:pStyle w:val="Btablefigureunbold"/>
            </w:pPr>
            <w:r w:rsidRPr="00F7158C">
              <w:t>-1,110</w:t>
            </w:r>
          </w:p>
        </w:tc>
        <w:tc>
          <w:tcPr>
            <w:tcW w:w="1162" w:type="dxa"/>
            <w:tcBorders>
              <w:top w:val="nil"/>
              <w:bottom w:val="nil"/>
            </w:tcBorders>
            <w:shd w:val="clear" w:color="auto" w:fill="auto"/>
          </w:tcPr>
          <w:p w14:paraId="7863E843" w14:textId="77777777" w:rsidR="00A60D4B" w:rsidRPr="00F7158C" w:rsidRDefault="00A60D4B" w:rsidP="00A60D4B">
            <w:pPr>
              <w:pStyle w:val="BTablefigureBold"/>
              <w:rPr>
                <w:b w:val="0"/>
              </w:rPr>
            </w:pPr>
            <w:r w:rsidRPr="00F7158C">
              <w:rPr>
                <w:b w:val="0"/>
              </w:rPr>
              <w:t>-2,604</w:t>
            </w:r>
          </w:p>
        </w:tc>
        <w:tc>
          <w:tcPr>
            <w:tcW w:w="1162" w:type="dxa"/>
            <w:tcBorders>
              <w:top w:val="nil"/>
              <w:bottom w:val="nil"/>
            </w:tcBorders>
            <w:shd w:val="clear" w:color="472D8C" w:fill="auto"/>
          </w:tcPr>
          <w:p w14:paraId="2BD24D86" w14:textId="77777777" w:rsidR="00A60D4B" w:rsidRPr="00F7158C" w:rsidRDefault="00A60D4B" w:rsidP="00A60D4B">
            <w:pPr>
              <w:pStyle w:val="Btablefigureunbold"/>
              <w:rPr>
                <w:color w:val="000000"/>
              </w:rPr>
            </w:pPr>
            <w:r w:rsidRPr="00F7158C">
              <w:t>-4,232</w:t>
            </w:r>
          </w:p>
        </w:tc>
        <w:tc>
          <w:tcPr>
            <w:tcW w:w="1162" w:type="dxa"/>
            <w:tcBorders>
              <w:top w:val="nil"/>
              <w:bottom w:val="nil"/>
            </w:tcBorders>
            <w:shd w:val="clear" w:color="auto" w:fill="auto"/>
          </w:tcPr>
          <w:p w14:paraId="3DF4D8D5" w14:textId="77777777" w:rsidR="00A60D4B" w:rsidRPr="00F7158C" w:rsidRDefault="00A60D4B" w:rsidP="00A60D4B">
            <w:pPr>
              <w:pStyle w:val="Btablefigureunbold"/>
            </w:pPr>
            <w:r w:rsidRPr="00F7158C">
              <w:t>-5,684</w:t>
            </w:r>
          </w:p>
        </w:tc>
        <w:tc>
          <w:tcPr>
            <w:tcW w:w="1163" w:type="dxa"/>
            <w:tcBorders>
              <w:top w:val="nil"/>
              <w:bottom w:val="nil"/>
            </w:tcBorders>
          </w:tcPr>
          <w:p w14:paraId="752F4455" w14:textId="77777777" w:rsidR="00A60D4B" w:rsidRPr="00F7158C" w:rsidRDefault="00A60D4B" w:rsidP="00A60D4B">
            <w:pPr>
              <w:pStyle w:val="Btablefigureunbold"/>
            </w:pPr>
            <w:r w:rsidRPr="00F7158C">
              <w:t>-13,631</w:t>
            </w:r>
          </w:p>
        </w:tc>
      </w:tr>
      <w:tr w:rsidR="00A60D4B" w:rsidRPr="00337DC9" w14:paraId="126D8B98" w14:textId="77777777" w:rsidTr="00A60D4B">
        <w:trPr>
          <w:trHeight w:val="270"/>
        </w:trPr>
        <w:tc>
          <w:tcPr>
            <w:tcW w:w="3261" w:type="dxa"/>
            <w:tcBorders>
              <w:top w:val="nil"/>
              <w:bottom w:val="nil"/>
            </w:tcBorders>
          </w:tcPr>
          <w:p w14:paraId="69074187" w14:textId="77777777" w:rsidR="00A60D4B" w:rsidRDefault="00A60D4B" w:rsidP="00A60D4B">
            <w:pPr>
              <w:pStyle w:val="Btabletextunbold"/>
              <w:ind w:left="397"/>
            </w:pPr>
            <w:r w:rsidRPr="00DB09D1">
              <w:t>Upside</w:t>
            </w:r>
          </w:p>
        </w:tc>
        <w:tc>
          <w:tcPr>
            <w:tcW w:w="1162" w:type="dxa"/>
            <w:tcBorders>
              <w:top w:val="nil"/>
              <w:bottom w:val="nil"/>
            </w:tcBorders>
          </w:tcPr>
          <w:p w14:paraId="5669D0D4" w14:textId="77777777" w:rsidR="00A60D4B" w:rsidRPr="00F7158C" w:rsidRDefault="00A60D4B" w:rsidP="00A60D4B">
            <w:pPr>
              <w:pStyle w:val="Btablefigureunbold"/>
            </w:pPr>
            <w:r w:rsidRPr="00F7158C">
              <w:t>1,934</w:t>
            </w:r>
          </w:p>
        </w:tc>
        <w:tc>
          <w:tcPr>
            <w:tcW w:w="1162" w:type="dxa"/>
            <w:tcBorders>
              <w:top w:val="nil"/>
              <w:bottom w:val="nil"/>
            </w:tcBorders>
            <w:shd w:val="clear" w:color="auto" w:fill="auto"/>
          </w:tcPr>
          <w:p w14:paraId="347D275D" w14:textId="77777777" w:rsidR="00A60D4B" w:rsidRPr="00F7158C" w:rsidRDefault="00A60D4B" w:rsidP="00A60D4B">
            <w:pPr>
              <w:pStyle w:val="BTablefigureBold"/>
              <w:rPr>
                <w:b w:val="0"/>
              </w:rPr>
            </w:pPr>
            <w:r w:rsidRPr="00F7158C">
              <w:rPr>
                <w:b w:val="0"/>
              </w:rPr>
              <w:t>1,759</w:t>
            </w:r>
          </w:p>
        </w:tc>
        <w:tc>
          <w:tcPr>
            <w:tcW w:w="1162" w:type="dxa"/>
            <w:tcBorders>
              <w:top w:val="nil"/>
              <w:bottom w:val="nil"/>
            </w:tcBorders>
            <w:shd w:val="clear" w:color="472D8C" w:fill="auto"/>
          </w:tcPr>
          <w:p w14:paraId="405BE62A" w14:textId="77777777" w:rsidR="00A60D4B" w:rsidRPr="00F7158C" w:rsidRDefault="00A60D4B" w:rsidP="00A60D4B">
            <w:pPr>
              <w:pStyle w:val="Btablefigureunbold"/>
              <w:rPr>
                <w:color w:val="000000"/>
              </w:rPr>
            </w:pPr>
            <w:r w:rsidRPr="00F7158C">
              <w:t>2,717</w:t>
            </w:r>
          </w:p>
        </w:tc>
        <w:tc>
          <w:tcPr>
            <w:tcW w:w="1162" w:type="dxa"/>
            <w:tcBorders>
              <w:top w:val="nil"/>
              <w:bottom w:val="nil"/>
            </w:tcBorders>
            <w:shd w:val="clear" w:color="auto" w:fill="auto"/>
          </w:tcPr>
          <w:p w14:paraId="2099A8C2" w14:textId="77777777" w:rsidR="00A60D4B" w:rsidRPr="00F7158C" w:rsidRDefault="00A60D4B" w:rsidP="00A60D4B">
            <w:pPr>
              <w:pStyle w:val="Btablefigureunbold"/>
            </w:pPr>
            <w:r w:rsidRPr="00F7158C">
              <w:t>3,811</w:t>
            </w:r>
          </w:p>
        </w:tc>
        <w:tc>
          <w:tcPr>
            <w:tcW w:w="1163" w:type="dxa"/>
            <w:tcBorders>
              <w:top w:val="nil"/>
              <w:bottom w:val="nil"/>
            </w:tcBorders>
          </w:tcPr>
          <w:p w14:paraId="41EBE99A" w14:textId="77777777" w:rsidR="00A60D4B" w:rsidRPr="00F7158C" w:rsidRDefault="00A60D4B" w:rsidP="00A60D4B">
            <w:pPr>
              <w:pStyle w:val="Btablefigureunbold"/>
            </w:pPr>
            <w:r w:rsidRPr="00F7158C">
              <w:t>10,221</w:t>
            </w:r>
          </w:p>
        </w:tc>
      </w:tr>
      <w:tr w:rsidR="00A60D4B" w:rsidRPr="00337DC9" w14:paraId="0B1ED02C" w14:textId="77777777" w:rsidTr="00A60D4B">
        <w:trPr>
          <w:trHeight w:val="270"/>
        </w:trPr>
        <w:tc>
          <w:tcPr>
            <w:tcW w:w="3261" w:type="dxa"/>
            <w:tcBorders>
              <w:top w:val="nil"/>
              <w:bottom w:val="nil"/>
            </w:tcBorders>
          </w:tcPr>
          <w:p w14:paraId="0F91071C" w14:textId="77777777" w:rsidR="00A60D4B" w:rsidRPr="00542DA2" w:rsidRDefault="00A60D4B" w:rsidP="00A60D4B">
            <w:pPr>
              <w:pStyle w:val="Btabletextitalic"/>
              <w:rPr>
                <w:b/>
                <w:bCs/>
                <w:i w:val="0"/>
                <w:iCs/>
              </w:rPr>
            </w:pPr>
            <w:r>
              <w:rPr>
                <w:b/>
                <w:bCs/>
                <w:i w:val="0"/>
                <w:iCs/>
              </w:rPr>
              <w:t>All Four Taxation Revenue Lines</w:t>
            </w:r>
          </w:p>
        </w:tc>
        <w:tc>
          <w:tcPr>
            <w:tcW w:w="1162" w:type="dxa"/>
            <w:tcBorders>
              <w:top w:val="nil"/>
              <w:bottom w:val="nil"/>
            </w:tcBorders>
          </w:tcPr>
          <w:p w14:paraId="49CA7C30" w14:textId="77777777" w:rsidR="00A60D4B" w:rsidRPr="00F7158C" w:rsidRDefault="00A60D4B" w:rsidP="00A60D4B">
            <w:pPr>
              <w:pStyle w:val="Btablefigureunbold"/>
            </w:pPr>
          </w:p>
        </w:tc>
        <w:tc>
          <w:tcPr>
            <w:tcW w:w="1162" w:type="dxa"/>
            <w:tcBorders>
              <w:top w:val="nil"/>
              <w:bottom w:val="nil"/>
            </w:tcBorders>
            <w:shd w:val="clear" w:color="auto" w:fill="auto"/>
          </w:tcPr>
          <w:p w14:paraId="780B0E0F" w14:textId="77777777" w:rsidR="00A60D4B" w:rsidRPr="00F7158C" w:rsidRDefault="00A60D4B" w:rsidP="00A60D4B">
            <w:pPr>
              <w:pStyle w:val="Btablefigureunbold"/>
            </w:pPr>
          </w:p>
        </w:tc>
        <w:tc>
          <w:tcPr>
            <w:tcW w:w="1162" w:type="dxa"/>
            <w:tcBorders>
              <w:top w:val="nil"/>
              <w:bottom w:val="nil"/>
            </w:tcBorders>
            <w:shd w:val="clear" w:color="472D8C" w:fill="auto"/>
          </w:tcPr>
          <w:p w14:paraId="5B27405F" w14:textId="77777777" w:rsidR="00A60D4B" w:rsidRPr="00F7158C" w:rsidRDefault="00A60D4B" w:rsidP="00A60D4B">
            <w:pPr>
              <w:pStyle w:val="Btablefigureunbold"/>
              <w:rPr>
                <w:color w:val="000000"/>
              </w:rPr>
            </w:pPr>
          </w:p>
        </w:tc>
        <w:tc>
          <w:tcPr>
            <w:tcW w:w="1162" w:type="dxa"/>
            <w:tcBorders>
              <w:top w:val="nil"/>
              <w:bottom w:val="nil"/>
            </w:tcBorders>
            <w:shd w:val="clear" w:color="auto" w:fill="auto"/>
          </w:tcPr>
          <w:p w14:paraId="0BDD5E26" w14:textId="77777777" w:rsidR="00A60D4B" w:rsidRPr="00F7158C" w:rsidRDefault="00A60D4B" w:rsidP="00A60D4B">
            <w:pPr>
              <w:pStyle w:val="Btablefigureunbold"/>
            </w:pPr>
          </w:p>
        </w:tc>
        <w:tc>
          <w:tcPr>
            <w:tcW w:w="1163" w:type="dxa"/>
            <w:tcBorders>
              <w:top w:val="nil"/>
              <w:bottom w:val="nil"/>
            </w:tcBorders>
          </w:tcPr>
          <w:p w14:paraId="46717EEB" w14:textId="77777777" w:rsidR="00A60D4B" w:rsidRPr="00F7158C" w:rsidRDefault="00A60D4B" w:rsidP="00A60D4B">
            <w:pPr>
              <w:pStyle w:val="Btablefigureunbold"/>
            </w:pPr>
          </w:p>
        </w:tc>
      </w:tr>
      <w:tr w:rsidR="00A60D4B" w:rsidRPr="00337DC9" w14:paraId="7FB8A077" w14:textId="77777777" w:rsidTr="00A60D4B">
        <w:trPr>
          <w:trHeight w:val="270"/>
        </w:trPr>
        <w:tc>
          <w:tcPr>
            <w:tcW w:w="3261" w:type="dxa"/>
            <w:tcBorders>
              <w:top w:val="nil"/>
              <w:bottom w:val="nil"/>
            </w:tcBorders>
          </w:tcPr>
          <w:p w14:paraId="3824D072" w14:textId="77777777" w:rsidR="00A60D4B" w:rsidRPr="00F7158C" w:rsidRDefault="00A60D4B" w:rsidP="00A60D4B">
            <w:pPr>
              <w:pStyle w:val="Btabletextunbold"/>
              <w:ind w:left="397"/>
            </w:pPr>
            <w:r w:rsidRPr="00F7158C">
              <w:t>Downside</w:t>
            </w:r>
          </w:p>
        </w:tc>
        <w:tc>
          <w:tcPr>
            <w:tcW w:w="1162" w:type="dxa"/>
            <w:tcBorders>
              <w:top w:val="nil"/>
              <w:bottom w:val="nil"/>
            </w:tcBorders>
          </w:tcPr>
          <w:p w14:paraId="775D828C" w14:textId="77777777" w:rsidR="00A60D4B" w:rsidRPr="00F7158C" w:rsidRDefault="00A60D4B" w:rsidP="00A60D4B">
            <w:pPr>
              <w:pStyle w:val="Btablefigureunbold"/>
            </w:pPr>
            <w:r w:rsidRPr="00F7158C">
              <w:t>-45,925</w:t>
            </w:r>
          </w:p>
        </w:tc>
        <w:tc>
          <w:tcPr>
            <w:tcW w:w="1162" w:type="dxa"/>
            <w:tcBorders>
              <w:top w:val="nil"/>
              <w:bottom w:val="nil"/>
            </w:tcBorders>
            <w:shd w:val="clear" w:color="auto" w:fill="auto"/>
          </w:tcPr>
          <w:p w14:paraId="59662C98" w14:textId="77777777" w:rsidR="00A60D4B" w:rsidRPr="00F7158C" w:rsidRDefault="00A60D4B" w:rsidP="00A60D4B">
            <w:pPr>
              <w:pStyle w:val="Btablefigureunbold"/>
            </w:pPr>
            <w:r w:rsidRPr="00F7158C">
              <w:t>-59,780</w:t>
            </w:r>
          </w:p>
        </w:tc>
        <w:tc>
          <w:tcPr>
            <w:tcW w:w="1162" w:type="dxa"/>
            <w:tcBorders>
              <w:top w:val="nil"/>
              <w:bottom w:val="nil"/>
            </w:tcBorders>
            <w:shd w:val="clear" w:color="472D8C" w:fill="auto"/>
          </w:tcPr>
          <w:p w14:paraId="3FC9A740" w14:textId="77777777" w:rsidR="00A60D4B" w:rsidRPr="00F7158C" w:rsidRDefault="00A60D4B" w:rsidP="00A60D4B">
            <w:pPr>
              <w:pStyle w:val="Btablefigureunbold"/>
              <w:rPr>
                <w:color w:val="000000"/>
              </w:rPr>
            </w:pPr>
            <w:r w:rsidRPr="00F7158C">
              <w:t>-51,410</w:t>
            </w:r>
          </w:p>
        </w:tc>
        <w:tc>
          <w:tcPr>
            <w:tcW w:w="1162" w:type="dxa"/>
            <w:tcBorders>
              <w:top w:val="nil"/>
              <w:bottom w:val="nil"/>
            </w:tcBorders>
            <w:shd w:val="clear" w:color="auto" w:fill="auto"/>
          </w:tcPr>
          <w:p w14:paraId="36220889" w14:textId="77777777" w:rsidR="00A60D4B" w:rsidRPr="00F7158C" w:rsidRDefault="00A60D4B" w:rsidP="00A60D4B">
            <w:pPr>
              <w:pStyle w:val="Btablefigureunbold"/>
            </w:pPr>
            <w:r w:rsidRPr="00F7158C">
              <w:t>-63,923</w:t>
            </w:r>
          </w:p>
        </w:tc>
        <w:tc>
          <w:tcPr>
            <w:tcW w:w="1163" w:type="dxa"/>
            <w:tcBorders>
              <w:top w:val="nil"/>
              <w:bottom w:val="nil"/>
            </w:tcBorders>
          </w:tcPr>
          <w:p w14:paraId="52AE31C8" w14:textId="77777777" w:rsidR="00A60D4B" w:rsidRPr="00F7158C" w:rsidRDefault="00A60D4B" w:rsidP="00A60D4B">
            <w:pPr>
              <w:pStyle w:val="Btablefigureunbold"/>
            </w:pPr>
            <w:r w:rsidRPr="00F7158C">
              <w:t>-221,037</w:t>
            </w:r>
          </w:p>
        </w:tc>
      </w:tr>
      <w:tr w:rsidR="00A60D4B" w:rsidRPr="00337DC9" w14:paraId="02981F24" w14:textId="77777777" w:rsidTr="00A60D4B">
        <w:trPr>
          <w:trHeight w:val="270"/>
        </w:trPr>
        <w:tc>
          <w:tcPr>
            <w:tcW w:w="3261" w:type="dxa"/>
            <w:tcBorders>
              <w:top w:val="nil"/>
              <w:bottom w:val="nil"/>
            </w:tcBorders>
          </w:tcPr>
          <w:p w14:paraId="68F0FB20" w14:textId="77777777" w:rsidR="00A60D4B" w:rsidRPr="00F7158C" w:rsidRDefault="00A60D4B" w:rsidP="00A60D4B">
            <w:pPr>
              <w:pStyle w:val="Btabletextunbold"/>
              <w:ind w:left="397"/>
            </w:pPr>
            <w:r w:rsidRPr="00F7158C">
              <w:t>Upside</w:t>
            </w:r>
          </w:p>
        </w:tc>
        <w:tc>
          <w:tcPr>
            <w:tcW w:w="1162" w:type="dxa"/>
            <w:tcBorders>
              <w:top w:val="nil"/>
              <w:bottom w:val="nil"/>
            </w:tcBorders>
          </w:tcPr>
          <w:p w14:paraId="7FDEEB3D" w14:textId="77777777" w:rsidR="00A60D4B" w:rsidRPr="00F7158C" w:rsidRDefault="00A60D4B" w:rsidP="00A60D4B">
            <w:pPr>
              <w:pStyle w:val="Btablefigureunbold"/>
            </w:pPr>
            <w:r w:rsidRPr="00F7158C">
              <w:t>22,667</w:t>
            </w:r>
          </w:p>
        </w:tc>
        <w:tc>
          <w:tcPr>
            <w:tcW w:w="1162" w:type="dxa"/>
            <w:tcBorders>
              <w:top w:val="nil"/>
              <w:bottom w:val="nil"/>
            </w:tcBorders>
            <w:shd w:val="clear" w:color="auto" w:fill="auto"/>
          </w:tcPr>
          <w:p w14:paraId="25F38397" w14:textId="77777777" w:rsidR="00A60D4B" w:rsidRPr="00F7158C" w:rsidRDefault="00A60D4B" w:rsidP="00A60D4B">
            <w:pPr>
              <w:pStyle w:val="Btablefigureunbold"/>
            </w:pPr>
            <w:r w:rsidRPr="00F7158C">
              <w:t>27,573</w:t>
            </w:r>
          </w:p>
        </w:tc>
        <w:tc>
          <w:tcPr>
            <w:tcW w:w="1162" w:type="dxa"/>
            <w:tcBorders>
              <w:top w:val="nil"/>
              <w:bottom w:val="nil"/>
            </w:tcBorders>
            <w:shd w:val="clear" w:color="472D8C" w:fill="auto"/>
          </w:tcPr>
          <w:p w14:paraId="0A0BF839" w14:textId="77777777" w:rsidR="00A60D4B" w:rsidRPr="00F7158C" w:rsidRDefault="00A60D4B" w:rsidP="00A60D4B">
            <w:pPr>
              <w:pStyle w:val="Btablefigureunbold"/>
              <w:rPr>
                <w:color w:val="000000"/>
              </w:rPr>
            </w:pPr>
            <w:r w:rsidRPr="00F7158C">
              <w:t>32,780</w:t>
            </w:r>
          </w:p>
        </w:tc>
        <w:tc>
          <w:tcPr>
            <w:tcW w:w="1162" w:type="dxa"/>
            <w:tcBorders>
              <w:top w:val="nil"/>
              <w:bottom w:val="nil"/>
            </w:tcBorders>
            <w:shd w:val="clear" w:color="auto" w:fill="auto"/>
          </w:tcPr>
          <w:p w14:paraId="083E574F" w14:textId="77777777" w:rsidR="00A60D4B" w:rsidRPr="00F7158C" w:rsidRDefault="00A60D4B" w:rsidP="00A60D4B">
            <w:pPr>
              <w:pStyle w:val="Btablefigureunbold"/>
            </w:pPr>
            <w:r w:rsidRPr="00F7158C">
              <w:t>42,116</w:t>
            </w:r>
          </w:p>
        </w:tc>
        <w:tc>
          <w:tcPr>
            <w:tcW w:w="1163" w:type="dxa"/>
            <w:tcBorders>
              <w:top w:val="nil"/>
              <w:bottom w:val="nil"/>
            </w:tcBorders>
          </w:tcPr>
          <w:p w14:paraId="5AA838CE" w14:textId="77777777" w:rsidR="00A60D4B" w:rsidRPr="00F7158C" w:rsidRDefault="00A60D4B" w:rsidP="00A60D4B">
            <w:pPr>
              <w:pStyle w:val="Btablefigureunbold"/>
            </w:pPr>
            <w:r w:rsidRPr="00F7158C">
              <w:t>125,136</w:t>
            </w:r>
          </w:p>
        </w:tc>
      </w:tr>
      <w:tr w:rsidR="00A60D4B" w:rsidRPr="00337DC9" w14:paraId="12C2930A" w14:textId="77777777" w:rsidTr="00A60D4B">
        <w:trPr>
          <w:trHeight w:val="270"/>
        </w:trPr>
        <w:tc>
          <w:tcPr>
            <w:tcW w:w="3261" w:type="dxa"/>
            <w:tcBorders>
              <w:top w:val="nil"/>
              <w:bottom w:val="nil"/>
            </w:tcBorders>
          </w:tcPr>
          <w:p w14:paraId="20EF5590" w14:textId="77777777" w:rsidR="00A60D4B" w:rsidRPr="00542DA2" w:rsidRDefault="00A60D4B" w:rsidP="00A60D4B">
            <w:pPr>
              <w:pStyle w:val="Btabletextitalic"/>
              <w:rPr>
                <w:b/>
                <w:bCs/>
                <w:i w:val="0"/>
                <w:iCs/>
              </w:rPr>
            </w:pPr>
            <w:r w:rsidRPr="00F7158C">
              <w:rPr>
                <w:b/>
                <w:bCs/>
                <w:i w:val="0"/>
                <w:iCs/>
              </w:rPr>
              <w:t>GST Revenue Grant</w:t>
            </w:r>
          </w:p>
        </w:tc>
        <w:tc>
          <w:tcPr>
            <w:tcW w:w="1162" w:type="dxa"/>
            <w:tcBorders>
              <w:top w:val="nil"/>
              <w:bottom w:val="nil"/>
            </w:tcBorders>
          </w:tcPr>
          <w:p w14:paraId="18B2329C" w14:textId="77777777" w:rsidR="00A60D4B" w:rsidRPr="00F7158C" w:rsidRDefault="00A60D4B" w:rsidP="00A60D4B">
            <w:pPr>
              <w:pStyle w:val="Btablefigureunbold"/>
            </w:pPr>
          </w:p>
        </w:tc>
        <w:tc>
          <w:tcPr>
            <w:tcW w:w="1162" w:type="dxa"/>
            <w:tcBorders>
              <w:top w:val="nil"/>
              <w:bottom w:val="nil"/>
            </w:tcBorders>
            <w:shd w:val="clear" w:color="auto" w:fill="auto"/>
          </w:tcPr>
          <w:p w14:paraId="074C451F" w14:textId="77777777" w:rsidR="00A60D4B" w:rsidRPr="00F7158C" w:rsidRDefault="00A60D4B" w:rsidP="00A60D4B">
            <w:pPr>
              <w:pStyle w:val="Btablefigureunbold"/>
            </w:pPr>
          </w:p>
        </w:tc>
        <w:tc>
          <w:tcPr>
            <w:tcW w:w="1162" w:type="dxa"/>
            <w:tcBorders>
              <w:top w:val="nil"/>
              <w:bottom w:val="nil"/>
            </w:tcBorders>
            <w:shd w:val="clear" w:color="472D8C" w:fill="auto"/>
          </w:tcPr>
          <w:p w14:paraId="14045D74" w14:textId="77777777" w:rsidR="00A60D4B" w:rsidRPr="00F7158C" w:rsidRDefault="00A60D4B" w:rsidP="00A60D4B">
            <w:pPr>
              <w:pStyle w:val="Btablefigureunbold"/>
              <w:rPr>
                <w:color w:val="000000"/>
              </w:rPr>
            </w:pPr>
          </w:p>
        </w:tc>
        <w:tc>
          <w:tcPr>
            <w:tcW w:w="1162" w:type="dxa"/>
            <w:tcBorders>
              <w:top w:val="nil"/>
              <w:bottom w:val="nil"/>
            </w:tcBorders>
            <w:shd w:val="clear" w:color="auto" w:fill="auto"/>
          </w:tcPr>
          <w:p w14:paraId="0681DE8C" w14:textId="77777777" w:rsidR="00A60D4B" w:rsidRPr="00F7158C" w:rsidRDefault="00A60D4B" w:rsidP="00A60D4B">
            <w:pPr>
              <w:pStyle w:val="Btablefigureunbold"/>
            </w:pPr>
          </w:p>
        </w:tc>
        <w:tc>
          <w:tcPr>
            <w:tcW w:w="1163" w:type="dxa"/>
            <w:tcBorders>
              <w:top w:val="nil"/>
              <w:bottom w:val="nil"/>
            </w:tcBorders>
          </w:tcPr>
          <w:p w14:paraId="3F434533" w14:textId="77777777" w:rsidR="00A60D4B" w:rsidRPr="00F7158C" w:rsidRDefault="00A60D4B" w:rsidP="00A60D4B">
            <w:pPr>
              <w:pStyle w:val="Btablefigureunbold"/>
            </w:pPr>
          </w:p>
        </w:tc>
      </w:tr>
      <w:tr w:rsidR="00A60D4B" w:rsidRPr="00337DC9" w14:paraId="09240B5A" w14:textId="77777777" w:rsidTr="00A60D4B">
        <w:trPr>
          <w:trHeight w:val="270"/>
        </w:trPr>
        <w:tc>
          <w:tcPr>
            <w:tcW w:w="3261" w:type="dxa"/>
            <w:tcBorders>
              <w:top w:val="nil"/>
              <w:bottom w:val="nil"/>
            </w:tcBorders>
          </w:tcPr>
          <w:p w14:paraId="4D8FB47C" w14:textId="77777777" w:rsidR="00A60D4B" w:rsidRPr="00F7158C" w:rsidRDefault="00A60D4B" w:rsidP="00A60D4B">
            <w:pPr>
              <w:pStyle w:val="Btabletextunbold"/>
              <w:ind w:left="397"/>
            </w:pPr>
            <w:r w:rsidRPr="00F7158C">
              <w:t>Downside</w:t>
            </w:r>
          </w:p>
        </w:tc>
        <w:tc>
          <w:tcPr>
            <w:tcW w:w="1162" w:type="dxa"/>
            <w:tcBorders>
              <w:top w:val="nil"/>
              <w:bottom w:val="nil"/>
            </w:tcBorders>
          </w:tcPr>
          <w:p w14:paraId="1D0BC853" w14:textId="77777777" w:rsidR="00A60D4B" w:rsidRPr="00F7158C" w:rsidRDefault="00A60D4B" w:rsidP="00A60D4B">
            <w:pPr>
              <w:pStyle w:val="Btablefigureunbold"/>
            </w:pPr>
            <w:r w:rsidRPr="00F7158C">
              <w:t>-22,340</w:t>
            </w:r>
          </w:p>
        </w:tc>
        <w:tc>
          <w:tcPr>
            <w:tcW w:w="1162" w:type="dxa"/>
            <w:tcBorders>
              <w:top w:val="nil"/>
              <w:bottom w:val="nil"/>
            </w:tcBorders>
            <w:shd w:val="clear" w:color="auto" w:fill="auto"/>
          </w:tcPr>
          <w:p w14:paraId="6810D25F" w14:textId="77777777" w:rsidR="00A60D4B" w:rsidRPr="00F7158C" w:rsidRDefault="00A60D4B" w:rsidP="00A60D4B">
            <w:pPr>
              <w:pStyle w:val="Btablefigureunbold"/>
            </w:pPr>
            <w:r w:rsidRPr="002160A4">
              <w:t>-25,136</w:t>
            </w:r>
          </w:p>
        </w:tc>
        <w:tc>
          <w:tcPr>
            <w:tcW w:w="1162" w:type="dxa"/>
            <w:tcBorders>
              <w:top w:val="nil"/>
              <w:bottom w:val="nil"/>
            </w:tcBorders>
            <w:shd w:val="clear" w:color="472D8C" w:fill="auto"/>
          </w:tcPr>
          <w:p w14:paraId="68636585" w14:textId="77777777" w:rsidR="00A60D4B" w:rsidRPr="00F7158C" w:rsidRDefault="00A60D4B" w:rsidP="00A60D4B">
            <w:pPr>
              <w:pStyle w:val="Btablefigureunbold"/>
              <w:rPr>
                <w:color w:val="000000"/>
              </w:rPr>
            </w:pPr>
            <w:r w:rsidRPr="002160A4">
              <w:t>-31,654</w:t>
            </w:r>
          </w:p>
        </w:tc>
        <w:tc>
          <w:tcPr>
            <w:tcW w:w="1162" w:type="dxa"/>
            <w:tcBorders>
              <w:top w:val="nil"/>
              <w:bottom w:val="nil"/>
            </w:tcBorders>
            <w:shd w:val="clear" w:color="auto" w:fill="auto"/>
          </w:tcPr>
          <w:p w14:paraId="483A8572" w14:textId="77777777" w:rsidR="00A60D4B" w:rsidRPr="00F7158C" w:rsidRDefault="00A60D4B" w:rsidP="00A60D4B">
            <w:pPr>
              <w:pStyle w:val="Btablefigureunbold"/>
            </w:pPr>
            <w:r w:rsidRPr="002160A4">
              <w:t>-33,201</w:t>
            </w:r>
          </w:p>
        </w:tc>
        <w:tc>
          <w:tcPr>
            <w:tcW w:w="1163" w:type="dxa"/>
            <w:tcBorders>
              <w:top w:val="nil"/>
              <w:bottom w:val="nil"/>
            </w:tcBorders>
          </w:tcPr>
          <w:p w14:paraId="081E2FFF" w14:textId="77777777" w:rsidR="00A60D4B" w:rsidRPr="00F7158C" w:rsidRDefault="00A60D4B" w:rsidP="00A60D4B">
            <w:pPr>
              <w:pStyle w:val="Btablefigureunbold"/>
            </w:pPr>
            <w:r w:rsidRPr="002160A4">
              <w:t>-112,331</w:t>
            </w:r>
          </w:p>
        </w:tc>
      </w:tr>
      <w:tr w:rsidR="00A60D4B" w:rsidRPr="00337DC9" w14:paraId="1E223B2D" w14:textId="77777777" w:rsidTr="00A60D4B">
        <w:trPr>
          <w:trHeight w:val="270"/>
        </w:trPr>
        <w:tc>
          <w:tcPr>
            <w:tcW w:w="3261" w:type="dxa"/>
            <w:tcBorders>
              <w:top w:val="nil"/>
              <w:bottom w:val="nil"/>
            </w:tcBorders>
          </w:tcPr>
          <w:p w14:paraId="46D43AA3" w14:textId="77777777" w:rsidR="00A60D4B" w:rsidRPr="00F7158C" w:rsidRDefault="00A60D4B" w:rsidP="00A60D4B">
            <w:pPr>
              <w:pStyle w:val="Btabletextunbold"/>
              <w:ind w:left="397"/>
            </w:pPr>
            <w:r w:rsidRPr="00F7158C">
              <w:t>Upside</w:t>
            </w:r>
          </w:p>
        </w:tc>
        <w:tc>
          <w:tcPr>
            <w:tcW w:w="1162" w:type="dxa"/>
            <w:tcBorders>
              <w:top w:val="nil"/>
              <w:bottom w:val="nil"/>
            </w:tcBorders>
          </w:tcPr>
          <w:p w14:paraId="56DA48DE" w14:textId="77777777" w:rsidR="00A60D4B" w:rsidRPr="00F7158C" w:rsidRDefault="00A60D4B" w:rsidP="00A60D4B">
            <w:pPr>
              <w:pStyle w:val="Btablefigureunbold"/>
            </w:pPr>
            <w:r w:rsidRPr="002160A4">
              <w:t>14,898</w:t>
            </w:r>
          </w:p>
        </w:tc>
        <w:tc>
          <w:tcPr>
            <w:tcW w:w="1162" w:type="dxa"/>
            <w:tcBorders>
              <w:top w:val="nil"/>
              <w:bottom w:val="nil"/>
            </w:tcBorders>
            <w:shd w:val="clear" w:color="auto" w:fill="auto"/>
          </w:tcPr>
          <w:p w14:paraId="0F2A5BB2" w14:textId="77777777" w:rsidR="00A60D4B" w:rsidRPr="00F7158C" w:rsidRDefault="00A60D4B" w:rsidP="00A60D4B">
            <w:pPr>
              <w:pStyle w:val="Btablefigureunbold"/>
            </w:pPr>
            <w:r w:rsidRPr="002160A4">
              <w:t>15,904</w:t>
            </w:r>
          </w:p>
        </w:tc>
        <w:tc>
          <w:tcPr>
            <w:tcW w:w="1162" w:type="dxa"/>
            <w:tcBorders>
              <w:top w:val="nil"/>
              <w:bottom w:val="nil"/>
            </w:tcBorders>
            <w:shd w:val="clear" w:color="472D8C" w:fill="auto"/>
          </w:tcPr>
          <w:p w14:paraId="670C767B" w14:textId="77777777" w:rsidR="00A60D4B" w:rsidRPr="00F7158C" w:rsidRDefault="00A60D4B" w:rsidP="00A60D4B">
            <w:pPr>
              <w:pStyle w:val="Btablefigureunbold"/>
              <w:rPr>
                <w:color w:val="000000"/>
              </w:rPr>
            </w:pPr>
            <w:r w:rsidRPr="002160A4">
              <w:t>19,383</w:t>
            </w:r>
          </w:p>
        </w:tc>
        <w:tc>
          <w:tcPr>
            <w:tcW w:w="1162" w:type="dxa"/>
            <w:tcBorders>
              <w:top w:val="nil"/>
              <w:bottom w:val="nil"/>
            </w:tcBorders>
            <w:shd w:val="clear" w:color="auto" w:fill="auto"/>
          </w:tcPr>
          <w:p w14:paraId="642A3D13" w14:textId="77777777" w:rsidR="00A60D4B" w:rsidRPr="00F7158C" w:rsidRDefault="00A60D4B" w:rsidP="00A60D4B">
            <w:pPr>
              <w:pStyle w:val="Btablefigureunbold"/>
            </w:pPr>
            <w:r w:rsidRPr="002160A4">
              <w:t>23,274</w:t>
            </w:r>
          </w:p>
        </w:tc>
        <w:tc>
          <w:tcPr>
            <w:tcW w:w="1163" w:type="dxa"/>
            <w:tcBorders>
              <w:top w:val="nil"/>
              <w:bottom w:val="nil"/>
            </w:tcBorders>
          </w:tcPr>
          <w:p w14:paraId="4375ED6D" w14:textId="77777777" w:rsidR="00A60D4B" w:rsidRPr="00F7158C" w:rsidRDefault="00A60D4B" w:rsidP="00A60D4B">
            <w:pPr>
              <w:pStyle w:val="Btablefigureunbold"/>
            </w:pPr>
            <w:r w:rsidRPr="002160A4">
              <w:t>73,459</w:t>
            </w:r>
          </w:p>
        </w:tc>
      </w:tr>
      <w:tr w:rsidR="00A60D4B" w:rsidRPr="00337DC9" w14:paraId="29441F35" w14:textId="77777777" w:rsidTr="00A60D4B">
        <w:trPr>
          <w:trHeight w:val="270"/>
        </w:trPr>
        <w:tc>
          <w:tcPr>
            <w:tcW w:w="3261" w:type="dxa"/>
            <w:tcBorders>
              <w:top w:val="nil"/>
              <w:bottom w:val="nil"/>
            </w:tcBorders>
          </w:tcPr>
          <w:p w14:paraId="2244F941" w14:textId="77777777" w:rsidR="00A60D4B" w:rsidRPr="00542DA2" w:rsidRDefault="00A60D4B" w:rsidP="00A60D4B">
            <w:pPr>
              <w:pStyle w:val="Btabletextitalic"/>
              <w:rPr>
                <w:b/>
                <w:bCs/>
                <w:i w:val="0"/>
                <w:iCs/>
              </w:rPr>
            </w:pPr>
            <w:r>
              <w:rPr>
                <w:b/>
                <w:bCs/>
                <w:i w:val="0"/>
                <w:iCs/>
              </w:rPr>
              <w:t xml:space="preserve">All Four Taxation Revenue Lines and </w:t>
            </w:r>
            <w:r w:rsidRPr="00F7158C">
              <w:rPr>
                <w:b/>
                <w:bCs/>
                <w:i w:val="0"/>
                <w:iCs/>
              </w:rPr>
              <w:t>GST Revenue Grant</w:t>
            </w:r>
          </w:p>
        </w:tc>
        <w:tc>
          <w:tcPr>
            <w:tcW w:w="1162" w:type="dxa"/>
            <w:tcBorders>
              <w:top w:val="nil"/>
              <w:bottom w:val="nil"/>
            </w:tcBorders>
          </w:tcPr>
          <w:p w14:paraId="4B1AE62A" w14:textId="77777777" w:rsidR="00A60D4B" w:rsidRPr="00F7158C" w:rsidRDefault="00A60D4B" w:rsidP="00A60D4B">
            <w:pPr>
              <w:pStyle w:val="Btablefigureunbold"/>
            </w:pPr>
          </w:p>
        </w:tc>
        <w:tc>
          <w:tcPr>
            <w:tcW w:w="1162" w:type="dxa"/>
            <w:tcBorders>
              <w:top w:val="nil"/>
              <w:bottom w:val="nil"/>
            </w:tcBorders>
            <w:shd w:val="clear" w:color="auto" w:fill="auto"/>
          </w:tcPr>
          <w:p w14:paraId="61FCB1E5" w14:textId="77777777" w:rsidR="00A60D4B" w:rsidRPr="00F7158C" w:rsidRDefault="00A60D4B" w:rsidP="00A60D4B">
            <w:pPr>
              <w:pStyle w:val="Btablefigureunbold"/>
            </w:pPr>
          </w:p>
        </w:tc>
        <w:tc>
          <w:tcPr>
            <w:tcW w:w="1162" w:type="dxa"/>
            <w:tcBorders>
              <w:top w:val="nil"/>
              <w:bottom w:val="nil"/>
            </w:tcBorders>
            <w:shd w:val="clear" w:color="472D8C" w:fill="auto"/>
          </w:tcPr>
          <w:p w14:paraId="364199D3" w14:textId="77777777" w:rsidR="00A60D4B" w:rsidRPr="00F7158C" w:rsidRDefault="00A60D4B" w:rsidP="00A60D4B">
            <w:pPr>
              <w:pStyle w:val="Btablefigureunbold"/>
              <w:rPr>
                <w:color w:val="000000"/>
              </w:rPr>
            </w:pPr>
          </w:p>
        </w:tc>
        <w:tc>
          <w:tcPr>
            <w:tcW w:w="1162" w:type="dxa"/>
            <w:tcBorders>
              <w:top w:val="nil"/>
              <w:bottom w:val="nil"/>
            </w:tcBorders>
            <w:shd w:val="clear" w:color="auto" w:fill="auto"/>
          </w:tcPr>
          <w:p w14:paraId="0DB70241" w14:textId="77777777" w:rsidR="00A60D4B" w:rsidRPr="00F7158C" w:rsidRDefault="00A60D4B" w:rsidP="00A60D4B">
            <w:pPr>
              <w:pStyle w:val="Btablefigureunbold"/>
            </w:pPr>
          </w:p>
        </w:tc>
        <w:tc>
          <w:tcPr>
            <w:tcW w:w="1163" w:type="dxa"/>
            <w:tcBorders>
              <w:top w:val="nil"/>
              <w:bottom w:val="nil"/>
            </w:tcBorders>
          </w:tcPr>
          <w:p w14:paraId="40DE3FD8" w14:textId="77777777" w:rsidR="00A60D4B" w:rsidRPr="00F7158C" w:rsidRDefault="00A60D4B" w:rsidP="00A60D4B">
            <w:pPr>
              <w:pStyle w:val="Btablefigureunbold"/>
            </w:pPr>
          </w:p>
        </w:tc>
      </w:tr>
      <w:tr w:rsidR="00A60D4B" w:rsidRPr="00F7158C" w14:paraId="4EA2EBE3" w14:textId="77777777" w:rsidTr="00A60D4B">
        <w:trPr>
          <w:trHeight w:val="270"/>
        </w:trPr>
        <w:tc>
          <w:tcPr>
            <w:tcW w:w="3261" w:type="dxa"/>
            <w:tcBorders>
              <w:top w:val="nil"/>
              <w:bottom w:val="nil"/>
            </w:tcBorders>
          </w:tcPr>
          <w:p w14:paraId="356DF0A6" w14:textId="77777777" w:rsidR="00A60D4B" w:rsidRPr="00F7158C" w:rsidRDefault="00A60D4B" w:rsidP="00A60D4B">
            <w:pPr>
              <w:pStyle w:val="Btabletextunbold"/>
              <w:ind w:left="397"/>
              <w:rPr>
                <w:b/>
                <w:bCs/>
              </w:rPr>
            </w:pPr>
            <w:r w:rsidRPr="00F7158C">
              <w:rPr>
                <w:b/>
                <w:bCs/>
              </w:rPr>
              <w:t>Downside</w:t>
            </w:r>
          </w:p>
        </w:tc>
        <w:tc>
          <w:tcPr>
            <w:tcW w:w="1162" w:type="dxa"/>
            <w:tcBorders>
              <w:top w:val="nil"/>
              <w:bottom w:val="nil"/>
            </w:tcBorders>
          </w:tcPr>
          <w:p w14:paraId="55B5D337" w14:textId="77777777" w:rsidR="00A60D4B" w:rsidRPr="00F7158C" w:rsidRDefault="00A60D4B" w:rsidP="00A60D4B">
            <w:pPr>
              <w:pStyle w:val="Btablefigureunbold"/>
              <w:rPr>
                <w:b/>
                <w:bCs/>
              </w:rPr>
            </w:pPr>
            <w:r w:rsidRPr="00F7158C">
              <w:rPr>
                <w:b/>
                <w:bCs/>
              </w:rPr>
              <w:t>-68,265</w:t>
            </w:r>
          </w:p>
        </w:tc>
        <w:tc>
          <w:tcPr>
            <w:tcW w:w="1162" w:type="dxa"/>
            <w:tcBorders>
              <w:top w:val="nil"/>
              <w:bottom w:val="nil"/>
            </w:tcBorders>
            <w:shd w:val="clear" w:color="auto" w:fill="auto"/>
          </w:tcPr>
          <w:p w14:paraId="3B74C6B0" w14:textId="77777777" w:rsidR="00A60D4B" w:rsidRPr="00F7158C" w:rsidRDefault="00A60D4B" w:rsidP="00A60D4B">
            <w:pPr>
              <w:pStyle w:val="Btablefigureunbold"/>
              <w:rPr>
                <w:b/>
                <w:bCs/>
              </w:rPr>
            </w:pPr>
            <w:r w:rsidRPr="00821B25">
              <w:rPr>
                <w:b/>
                <w:bCs/>
              </w:rPr>
              <w:t>-84,915</w:t>
            </w:r>
          </w:p>
        </w:tc>
        <w:tc>
          <w:tcPr>
            <w:tcW w:w="1162" w:type="dxa"/>
            <w:tcBorders>
              <w:top w:val="nil"/>
              <w:bottom w:val="nil"/>
            </w:tcBorders>
            <w:shd w:val="clear" w:color="472D8C" w:fill="auto"/>
          </w:tcPr>
          <w:p w14:paraId="09F72263" w14:textId="77777777" w:rsidR="00A60D4B" w:rsidRPr="00F7158C" w:rsidRDefault="00A60D4B" w:rsidP="00A60D4B">
            <w:pPr>
              <w:pStyle w:val="Btablefigureunbold"/>
              <w:rPr>
                <w:b/>
                <w:bCs/>
                <w:color w:val="000000"/>
              </w:rPr>
            </w:pPr>
            <w:r w:rsidRPr="00821B25">
              <w:rPr>
                <w:b/>
                <w:bCs/>
              </w:rPr>
              <w:t>-83,064</w:t>
            </w:r>
          </w:p>
        </w:tc>
        <w:tc>
          <w:tcPr>
            <w:tcW w:w="1162" w:type="dxa"/>
            <w:tcBorders>
              <w:top w:val="nil"/>
              <w:bottom w:val="nil"/>
            </w:tcBorders>
            <w:shd w:val="clear" w:color="auto" w:fill="auto"/>
          </w:tcPr>
          <w:p w14:paraId="68EED846" w14:textId="77777777" w:rsidR="00A60D4B" w:rsidRPr="00F7158C" w:rsidRDefault="00A60D4B" w:rsidP="00A60D4B">
            <w:pPr>
              <w:pStyle w:val="Btablefigureunbold"/>
              <w:rPr>
                <w:b/>
                <w:bCs/>
              </w:rPr>
            </w:pPr>
            <w:r w:rsidRPr="00821B25">
              <w:rPr>
                <w:b/>
                <w:bCs/>
              </w:rPr>
              <w:t>-97,123</w:t>
            </w:r>
          </w:p>
        </w:tc>
        <w:tc>
          <w:tcPr>
            <w:tcW w:w="1163" w:type="dxa"/>
            <w:tcBorders>
              <w:top w:val="nil"/>
              <w:bottom w:val="nil"/>
            </w:tcBorders>
          </w:tcPr>
          <w:p w14:paraId="2DEBEAFE" w14:textId="77777777" w:rsidR="00A60D4B" w:rsidRPr="00F7158C" w:rsidRDefault="00A60D4B" w:rsidP="00A60D4B">
            <w:pPr>
              <w:pStyle w:val="Btablefigureunbold"/>
              <w:rPr>
                <w:b/>
                <w:bCs/>
              </w:rPr>
            </w:pPr>
            <w:r w:rsidRPr="00821B25">
              <w:rPr>
                <w:b/>
                <w:bCs/>
              </w:rPr>
              <w:t>-333,368</w:t>
            </w:r>
          </w:p>
        </w:tc>
      </w:tr>
      <w:tr w:rsidR="00A60D4B" w:rsidRPr="00F7158C" w14:paraId="667B7803" w14:textId="77777777" w:rsidTr="00A60D4B">
        <w:trPr>
          <w:trHeight w:val="270"/>
        </w:trPr>
        <w:tc>
          <w:tcPr>
            <w:tcW w:w="3261" w:type="dxa"/>
            <w:tcBorders>
              <w:top w:val="nil"/>
              <w:bottom w:val="single" w:sz="4" w:space="0" w:color="auto"/>
            </w:tcBorders>
          </w:tcPr>
          <w:p w14:paraId="5B404698" w14:textId="77777777" w:rsidR="00A60D4B" w:rsidRPr="00F7158C" w:rsidRDefault="00A60D4B" w:rsidP="00A60D4B">
            <w:pPr>
              <w:pStyle w:val="Btabletextunbold"/>
              <w:ind w:left="397"/>
              <w:rPr>
                <w:b/>
                <w:bCs/>
              </w:rPr>
            </w:pPr>
            <w:r w:rsidRPr="00F7158C">
              <w:rPr>
                <w:b/>
                <w:bCs/>
              </w:rPr>
              <w:t>Upside</w:t>
            </w:r>
          </w:p>
        </w:tc>
        <w:tc>
          <w:tcPr>
            <w:tcW w:w="1162" w:type="dxa"/>
            <w:tcBorders>
              <w:top w:val="nil"/>
              <w:bottom w:val="single" w:sz="4" w:space="0" w:color="auto"/>
            </w:tcBorders>
          </w:tcPr>
          <w:p w14:paraId="4BE11AF9" w14:textId="77777777" w:rsidR="00A60D4B" w:rsidRPr="00F7158C" w:rsidRDefault="00A60D4B" w:rsidP="00A60D4B">
            <w:pPr>
              <w:pStyle w:val="Btablefigureunbold"/>
              <w:rPr>
                <w:b/>
                <w:bCs/>
              </w:rPr>
            </w:pPr>
            <w:r w:rsidRPr="00821B25">
              <w:rPr>
                <w:b/>
                <w:bCs/>
              </w:rPr>
              <w:t>37,565</w:t>
            </w:r>
          </w:p>
        </w:tc>
        <w:tc>
          <w:tcPr>
            <w:tcW w:w="1162" w:type="dxa"/>
            <w:tcBorders>
              <w:top w:val="nil"/>
              <w:bottom w:val="single" w:sz="4" w:space="0" w:color="auto"/>
            </w:tcBorders>
            <w:shd w:val="clear" w:color="auto" w:fill="auto"/>
          </w:tcPr>
          <w:p w14:paraId="15D48F90" w14:textId="77777777" w:rsidR="00A60D4B" w:rsidRPr="00F7158C" w:rsidRDefault="00A60D4B" w:rsidP="00A60D4B">
            <w:pPr>
              <w:pStyle w:val="Btablefigureunbold"/>
              <w:rPr>
                <w:b/>
                <w:bCs/>
              </w:rPr>
            </w:pPr>
            <w:r w:rsidRPr="00821B25">
              <w:rPr>
                <w:b/>
                <w:bCs/>
              </w:rPr>
              <w:t>43,476</w:t>
            </w:r>
          </w:p>
        </w:tc>
        <w:tc>
          <w:tcPr>
            <w:tcW w:w="1162" w:type="dxa"/>
            <w:tcBorders>
              <w:top w:val="nil"/>
              <w:bottom w:val="single" w:sz="4" w:space="0" w:color="auto"/>
            </w:tcBorders>
            <w:shd w:val="clear" w:color="472D8C" w:fill="auto"/>
          </w:tcPr>
          <w:p w14:paraId="16943745" w14:textId="77777777" w:rsidR="00A60D4B" w:rsidRPr="00F7158C" w:rsidRDefault="00A60D4B" w:rsidP="00A60D4B">
            <w:pPr>
              <w:pStyle w:val="Btablefigureunbold"/>
              <w:rPr>
                <w:b/>
                <w:bCs/>
                <w:color w:val="000000"/>
              </w:rPr>
            </w:pPr>
            <w:r w:rsidRPr="00821B25">
              <w:rPr>
                <w:b/>
                <w:bCs/>
              </w:rPr>
              <w:t>52,163</w:t>
            </w:r>
          </w:p>
        </w:tc>
        <w:tc>
          <w:tcPr>
            <w:tcW w:w="1162" w:type="dxa"/>
            <w:tcBorders>
              <w:top w:val="nil"/>
              <w:bottom w:val="single" w:sz="4" w:space="0" w:color="auto"/>
            </w:tcBorders>
            <w:shd w:val="clear" w:color="auto" w:fill="auto"/>
          </w:tcPr>
          <w:p w14:paraId="4F190F22" w14:textId="77777777" w:rsidR="00A60D4B" w:rsidRPr="00F7158C" w:rsidRDefault="00A60D4B" w:rsidP="00A60D4B">
            <w:pPr>
              <w:pStyle w:val="Btablefigureunbold"/>
              <w:rPr>
                <w:b/>
                <w:bCs/>
              </w:rPr>
            </w:pPr>
            <w:r w:rsidRPr="00821B25">
              <w:rPr>
                <w:b/>
                <w:bCs/>
              </w:rPr>
              <w:t>65,390</w:t>
            </w:r>
          </w:p>
        </w:tc>
        <w:tc>
          <w:tcPr>
            <w:tcW w:w="1163" w:type="dxa"/>
            <w:tcBorders>
              <w:top w:val="nil"/>
              <w:bottom w:val="single" w:sz="4" w:space="0" w:color="auto"/>
            </w:tcBorders>
          </w:tcPr>
          <w:p w14:paraId="0F66669E" w14:textId="77777777" w:rsidR="00A60D4B" w:rsidRPr="00F7158C" w:rsidRDefault="00A60D4B" w:rsidP="00A60D4B">
            <w:pPr>
              <w:pStyle w:val="Btablefigureunbold"/>
              <w:rPr>
                <w:b/>
                <w:bCs/>
              </w:rPr>
            </w:pPr>
            <w:r w:rsidRPr="00821B25">
              <w:rPr>
                <w:b/>
                <w:bCs/>
              </w:rPr>
              <w:t>198,595</w:t>
            </w:r>
          </w:p>
        </w:tc>
      </w:tr>
    </w:tbl>
    <w:p w14:paraId="29B80945" w14:textId="77777777" w:rsidR="00A60D4B" w:rsidRPr="002F2F75" w:rsidRDefault="00A60D4B" w:rsidP="00A60D4B">
      <w:pPr>
        <w:pStyle w:val="BNote"/>
        <w:keepLines/>
        <w:spacing w:before="120"/>
      </w:pPr>
      <w:r w:rsidRPr="00D22C94">
        <w:rPr>
          <w:b/>
          <w:bCs/>
        </w:rPr>
        <w:t>Source</w:t>
      </w:r>
      <w:r w:rsidRPr="00F60DC6">
        <w:rPr>
          <w:b/>
          <w:bCs/>
        </w:rPr>
        <w:t xml:space="preserve">: </w:t>
      </w:r>
      <w:r w:rsidRPr="002F2F75">
        <w:t>Chief Minister, Treasury and Economic Development Directorate.</w:t>
      </w:r>
    </w:p>
    <w:p w14:paraId="1448716A" w14:textId="77777777" w:rsidR="00A60D4B" w:rsidRDefault="00A60D4B" w:rsidP="00A60D4B">
      <w:pPr>
        <w:pStyle w:val="BNote"/>
        <w:keepLines/>
      </w:pPr>
      <w:r w:rsidRPr="00322AB6">
        <w:rPr>
          <w:b/>
          <w:bCs/>
        </w:rPr>
        <w:t>Note:</w:t>
      </w:r>
      <w:r>
        <w:t xml:space="preserve"> Numbers may not add due to rounding.</w:t>
      </w:r>
    </w:p>
    <w:p w14:paraId="3A339EB7" w14:textId="77777777" w:rsidR="00A60D4B" w:rsidRDefault="00A60D4B" w:rsidP="00A60D4B">
      <w:pPr>
        <w:rPr>
          <w:sz w:val="24"/>
          <w:szCs w:val="24"/>
        </w:rPr>
      </w:pPr>
      <w:r>
        <w:rPr>
          <w:sz w:val="24"/>
          <w:szCs w:val="24"/>
        </w:rPr>
        <w:br w:type="page"/>
      </w:r>
    </w:p>
    <w:p w14:paraId="695C9697" w14:textId="77777777" w:rsidR="00A60D4B" w:rsidRDefault="00A60D4B" w:rsidP="00A60D4B">
      <w:pPr>
        <w:pStyle w:val="Heading3"/>
      </w:pPr>
      <w:r>
        <w:lastRenderedPageBreak/>
        <w:t>Commonwealth Government grants</w:t>
      </w:r>
    </w:p>
    <w:p w14:paraId="2009FCF8" w14:textId="77777777" w:rsidR="00A60D4B" w:rsidRPr="00363C25" w:rsidRDefault="00A60D4B" w:rsidP="00A60D4B">
      <w:pPr>
        <w:pStyle w:val="Bbodytext"/>
        <w:rPr>
          <w:lang w:eastAsia="en-AU"/>
        </w:rPr>
      </w:pPr>
      <w:r>
        <w:rPr>
          <w:lang w:eastAsia="en-AU"/>
        </w:rPr>
        <w:t>T</w:t>
      </w:r>
      <w:r w:rsidRPr="00363C25">
        <w:rPr>
          <w:lang w:eastAsia="en-AU"/>
        </w:rPr>
        <w:t xml:space="preserve">otal revenue received from Commonwealth Government grants in </w:t>
      </w:r>
      <w:r>
        <w:rPr>
          <w:lang w:eastAsia="en-AU"/>
        </w:rPr>
        <w:t xml:space="preserve">2021-22 is estimated to be </w:t>
      </w:r>
      <w:r w:rsidRPr="00363C25">
        <w:rPr>
          <w:lang w:eastAsia="en-AU"/>
        </w:rPr>
        <w:t>$</w:t>
      </w:r>
      <w:r>
        <w:rPr>
          <w:lang w:eastAsia="en-AU"/>
        </w:rPr>
        <w:t>2.8</w:t>
      </w:r>
      <w:r w:rsidRPr="00363C25">
        <w:rPr>
          <w:lang w:eastAsia="en-AU"/>
        </w:rPr>
        <w:t xml:space="preserve"> billion and is </w:t>
      </w:r>
      <w:r>
        <w:rPr>
          <w:lang w:eastAsia="en-AU"/>
        </w:rPr>
        <w:t>forecast</w:t>
      </w:r>
      <w:r w:rsidRPr="00363C25">
        <w:rPr>
          <w:lang w:eastAsia="en-AU"/>
        </w:rPr>
        <w:t xml:space="preserve"> to </w:t>
      </w:r>
      <w:r>
        <w:rPr>
          <w:lang w:eastAsia="en-AU"/>
        </w:rPr>
        <w:t xml:space="preserve">decline marginally to </w:t>
      </w:r>
      <w:r w:rsidRPr="00363C25">
        <w:rPr>
          <w:lang w:eastAsia="en-AU"/>
        </w:rPr>
        <w:t>$2.</w:t>
      </w:r>
      <w:r>
        <w:rPr>
          <w:lang w:eastAsia="en-AU"/>
        </w:rPr>
        <w:t>7</w:t>
      </w:r>
      <w:r w:rsidRPr="00363C25">
        <w:rPr>
          <w:lang w:eastAsia="en-AU"/>
        </w:rPr>
        <w:t xml:space="preserve"> billion in 202</w:t>
      </w:r>
      <w:r>
        <w:rPr>
          <w:lang w:eastAsia="en-AU"/>
        </w:rPr>
        <w:t>2-23.</w:t>
      </w:r>
      <w:r w:rsidRPr="00363C25">
        <w:rPr>
          <w:lang w:eastAsia="en-AU"/>
        </w:rPr>
        <w:t xml:space="preserve"> Details of these grants are available in Table 3.5.1</w:t>
      </w:r>
      <w:r>
        <w:rPr>
          <w:lang w:eastAsia="en-AU"/>
        </w:rPr>
        <w:t>3</w:t>
      </w:r>
      <w:r w:rsidRPr="00363C25">
        <w:rPr>
          <w:lang w:eastAsia="en-AU"/>
        </w:rPr>
        <w:t>.</w:t>
      </w:r>
    </w:p>
    <w:p w14:paraId="3A3A6EF7" w14:textId="77777777" w:rsidR="00A60D4B" w:rsidRPr="00363C25" w:rsidRDefault="00A60D4B" w:rsidP="00A60D4B">
      <w:pPr>
        <w:pStyle w:val="Bbodytext"/>
        <w:rPr>
          <w:rFonts w:ascii="Calibri" w:hAnsi="Calibri" w:cs="Calibri"/>
          <w:lang w:eastAsia="en-AU"/>
        </w:rPr>
      </w:pPr>
      <w:r w:rsidRPr="00363C25">
        <w:rPr>
          <w:lang w:eastAsia="en-AU"/>
        </w:rPr>
        <w:t xml:space="preserve">Further information on the Commonwealth Government’s contributions to the ACT can be found in </w:t>
      </w:r>
      <w:r w:rsidRPr="00294625">
        <w:rPr>
          <w:lang w:eastAsia="en-AU"/>
        </w:rPr>
        <w:t>Chapter 3.6</w:t>
      </w:r>
      <w:r w:rsidRPr="00363C25">
        <w:rPr>
          <w:lang w:eastAsia="en-AU"/>
        </w:rPr>
        <w:t xml:space="preserve"> on </w:t>
      </w:r>
      <w:r>
        <w:rPr>
          <w:lang w:eastAsia="en-AU"/>
        </w:rPr>
        <w:t>F</w:t>
      </w:r>
      <w:r w:rsidRPr="00363C25">
        <w:rPr>
          <w:lang w:eastAsia="en-AU"/>
        </w:rPr>
        <w:t xml:space="preserve">ederal </w:t>
      </w:r>
      <w:r>
        <w:rPr>
          <w:lang w:eastAsia="en-AU"/>
        </w:rPr>
        <w:t>F</w:t>
      </w:r>
      <w:r w:rsidRPr="00363C25">
        <w:rPr>
          <w:lang w:eastAsia="en-AU"/>
        </w:rPr>
        <w:t xml:space="preserve">inancial </w:t>
      </w:r>
      <w:r>
        <w:rPr>
          <w:lang w:eastAsia="en-AU"/>
        </w:rPr>
        <w:t>R</w:t>
      </w:r>
      <w:r w:rsidRPr="00363C25">
        <w:rPr>
          <w:lang w:eastAsia="en-AU"/>
        </w:rPr>
        <w:t xml:space="preserve">elations. </w:t>
      </w:r>
    </w:p>
    <w:p w14:paraId="6EBFCE66" w14:textId="0FBDA05F" w:rsidR="00A60D4B" w:rsidRPr="00111524" w:rsidRDefault="00A60D4B" w:rsidP="00A60D4B">
      <w:pPr>
        <w:pStyle w:val="Caption"/>
      </w:pPr>
      <w:r>
        <w:t xml:space="preserve">Table </w:t>
      </w:r>
      <w:r w:rsidR="00FB4E5C">
        <w:fldChar w:fldCharType="begin"/>
      </w:r>
      <w:r w:rsidR="00FB4E5C">
        <w:instrText xml:space="preserve"> STYLEREF 2 \s </w:instrText>
      </w:r>
      <w:r w:rsidR="00FB4E5C">
        <w:fldChar w:fldCharType="separate"/>
      </w:r>
      <w:r w:rsidR="00F12A80">
        <w:rPr>
          <w:noProof/>
        </w:rPr>
        <w:t>3.5</w:t>
      </w:r>
      <w:r w:rsidR="00FB4E5C">
        <w:rPr>
          <w:noProof/>
        </w:rPr>
        <w:fldChar w:fldCharType="end"/>
      </w:r>
      <w:r>
        <w:t>.</w:t>
      </w:r>
      <w:r w:rsidR="00FB4E5C">
        <w:fldChar w:fldCharType="begin"/>
      </w:r>
      <w:r w:rsidR="00FB4E5C">
        <w:instrText xml:space="preserve"> SEQ Table \* ARABIC \s 2 </w:instrText>
      </w:r>
      <w:r w:rsidR="00FB4E5C">
        <w:fldChar w:fldCharType="separate"/>
      </w:r>
      <w:r w:rsidR="00F12A80">
        <w:rPr>
          <w:noProof/>
        </w:rPr>
        <w:t>13</w:t>
      </w:r>
      <w:r w:rsidR="00FB4E5C">
        <w:rPr>
          <w:noProof/>
        </w:rPr>
        <w:fldChar w:fldCharType="end"/>
      </w:r>
      <w:r w:rsidRPr="00F215A2">
        <w:t xml:space="preserve">: Commonwealth Government grants </w:t>
      </w:r>
    </w:p>
    <w:tbl>
      <w:tblPr>
        <w:tblW w:w="8988" w:type="dxa"/>
        <w:tblBorders>
          <w:top w:val="single" w:sz="4" w:space="0" w:color="auto"/>
          <w:bottom w:val="single" w:sz="4" w:space="0" w:color="auto"/>
          <w:insideH w:val="single" w:sz="4" w:space="0" w:color="auto"/>
        </w:tblBorders>
        <w:tblLayout w:type="fixed"/>
        <w:tblCellMar>
          <w:left w:w="85" w:type="dxa"/>
          <w:right w:w="85" w:type="dxa"/>
        </w:tblCellMar>
        <w:tblLook w:val="04A0" w:firstRow="1" w:lastRow="0" w:firstColumn="1" w:lastColumn="0" w:noHBand="0" w:noVBand="1"/>
      </w:tblPr>
      <w:tblGrid>
        <w:gridCol w:w="2127"/>
        <w:gridCol w:w="1134"/>
        <w:gridCol w:w="1191"/>
        <w:gridCol w:w="1134"/>
        <w:gridCol w:w="1134"/>
        <w:gridCol w:w="1134"/>
        <w:gridCol w:w="1134"/>
      </w:tblGrid>
      <w:tr w:rsidR="00A60D4B" w:rsidRPr="008F5D57" w14:paraId="14FED35A" w14:textId="77777777" w:rsidTr="00A60D4B">
        <w:trPr>
          <w:trHeight w:val="156"/>
        </w:trPr>
        <w:tc>
          <w:tcPr>
            <w:tcW w:w="2127" w:type="dxa"/>
            <w:tcBorders>
              <w:bottom w:val="single" w:sz="4" w:space="0" w:color="auto"/>
            </w:tcBorders>
            <w:shd w:val="clear" w:color="auto" w:fill="472D8C"/>
          </w:tcPr>
          <w:p w14:paraId="4F5E02A2" w14:textId="77777777" w:rsidR="00A60D4B" w:rsidRPr="00111524" w:rsidRDefault="00A60D4B" w:rsidP="00A60D4B">
            <w:pPr>
              <w:rPr>
                <w:rFonts w:cs="Calibri"/>
                <w:b/>
                <w:color w:val="FFFFFF" w:themeColor="background1"/>
                <w:sz w:val="20"/>
              </w:rPr>
            </w:pPr>
          </w:p>
        </w:tc>
        <w:tc>
          <w:tcPr>
            <w:tcW w:w="1134" w:type="dxa"/>
            <w:tcBorders>
              <w:bottom w:val="single" w:sz="4" w:space="0" w:color="auto"/>
            </w:tcBorders>
            <w:shd w:val="clear" w:color="auto" w:fill="472D8C"/>
          </w:tcPr>
          <w:p w14:paraId="1A6C3FF3" w14:textId="77777777" w:rsidR="006F1DF8"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Budget</w:t>
            </w:r>
            <w:r>
              <w:rPr>
                <w:color w:val="FFFFFF" w:themeColor="background1"/>
              </w:rPr>
              <w:br/>
            </w:r>
          </w:p>
          <w:p w14:paraId="6497EA20" w14:textId="3BED51EA" w:rsidR="00A60D4B" w:rsidRPr="00111524" w:rsidRDefault="00A60D4B" w:rsidP="00A60D4B">
            <w:pPr>
              <w:pStyle w:val="BTableHeadingRowRightAligned"/>
              <w:rPr>
                <w:color w:val="FFFFFF" w:themeColor="background1"/>
              </w:rPr>
            </w:pPr>
            <w:r>
              <w:rPr>
                <w:color w:val="FFFFFF" w:themeColor="background1"/>
              </w:rPr>
              <w:t>$’000</w:t>
            </w:r>
          </w:p>
        </w:tc>
        <w:tc>
          <w:tcPr>
            <w:tcW w:w="1191" w:type="dxa"/>
            <w:tcBorders>
              <w:bottom w:val="single" w:sz="4" w:space="0" w:color="auto"/>
            </w:tcBorders>
            <w:shd w:val="clear" w:color="auto" w:fill="472D8C"/>
          </w:tcPr>
          <w:p w14:paraId="32FDAF55" w14:textId="77777777" w:rsidR="00A60D4B" w:rsidRPr="00111524"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Interim outcome</w:t>
            </w:r>
            <w:r>
              <w:rPr>
                <w:color w:val="FFFFFF" w:themeColor="background1"/>
              </w:rPr>
              <w:br/>
              <w:t>$’000</w:t>
            </w:r>
          </w:p>
        </w:tc>
        <w:tc>
          <w:tcPr>
            <w:tcW w:w="1134" w:type="dxa"/>
            <w:tcBorders>
              <w:bottom w:val="single" w:sz="4" w:space="0" w:color="auto"/>
            </w:tcBorders>
            <w:shd w:val="clear" w:color="auto" w:fill="472D8C"/>
          </w:tcPr>
          <w:p w14:paraId="6FE9C821" w14:textId="77777777" w:rsidR="006F1DF8" w:rsidRDefault="00A60D4B" w:rsidP="00A60D4B">
            <w:pPr>
              <w:pStyle w:val="BTableHeadingRowRightAligned"/>
              <w:rPr>
                <w:color w:val="FFFFFF" w:themeColor="background1"/>
              </w:rPr>
            </w:pPr>
            <w:r>
              <w:rPr>
                <w:color w:val="FFFFFF" w:themeColor="background1"/>
              </w:rPr>
              <w:t xml:space="preserve">2021-22 </w:t>
            </w:r>
            <w:r>
              <w:rPr>
                <w:color w:val="FFFFFF" w:themeColor="background1"/>
              </w:rPr>
              <w:br/>
              <w:t>Budget</w:t>
            </w:r>
            <w:r>
              <w:rPr>
                <w:color w:val="FFFFFF" w:themeColor="background1"/>
              </w:rPr>
              <w:br/>
            </w:r>
          </w:p>
          <w:p w14:paraId="493C2453" w14:textId="45DDFAC2" w:rsidR="00A60D4B" w:rsidRPr="00111524" w:rsidRDefault="00A60D4B" w:rsidP="00A60D4B">
            <w:pPr>
              <w:pStyle w:val="BTableHeadingRowRightAligned"/>
              <w:rPr>
                <w:color w:val="FFFFFF" w:themeColor="background1"/>
              </w:rPr>
            </w:pPr>
            <w:r>
              <w:rPr>
                <w:color w:val="FFFFFF" w:themeColor="background1"/>
              </w:rPr>
              <w:t>$’000</w:t>
            </w:r>
          </w:p>
        </w:tc>
        <w:tc>
          <w:tcPr>
            <w:tcW w:w="1134" w:type="dxa"/>
            <w:tcBorders>
              <w:bottom w:val="single" w:sz="4" w:space="0" w:color="auto"/>
            </w:tcBorders>
            <w:shd w:val="clear" w:color="auto" w:fill="472D8C"/>
          </w:tcPr>
          <w:p w14:paraId="4753F739" w14:textId="77777777" w:rsidR="006F1DF8" w:rsidRDefault="00A60D4B" w:rsidP="00A60D4B">
            <w:pPr>
              <w:pStyle w:val="BTableHeadingRowRightAligned"/>
              <w:rPr>
                <w:color w:val="FFFFFF" w:themeColor="background1"/>
              </w:rPr>
            </w:pPr>
            <w:r>
              <w:rPr>
                <w:color w:val="FFFFFF" w:themeColor="background1"/>
              </w:rPr>
              <w:t>2022-23</w:t>
            </w:r>
            <w:r>
              <w:rPr>
                <w:color w:val="FFFFFF" w:themeColor="background1"/>
              </w:rPr>
              <w:br/>
              <w:t>Estimate</w:t>
            </w:r>
            <w:r>
              <w:rPr>
                <w:color w:val="FFFFFF" w:themeColor="background1"/>
              </w:rPr>
              <w:br/>
            </w:r>
          </w:p>
          <w:p w14:paraId="234A52D4" w14:textId="76AF8A27" w:rsidR="00A60D4B" w:rsidRPr="00111524" w:rsidRDefault="00A60D4B" w:rsidP="00A60D4B">
            <w:pPr>
              <w:pStyle w:val="BTableHeadingRowRightAligned"/>
              <w:rPr>
                <w:color w:val="FFFFFF" w:themeColor="background1"/>
              </w:rPr>
            </w:pPr>
            <w:r>
              <w:rPr>
                <w:color w:val="FFFFFF" w:themeColor="background1"/>
              </w:rPr>
              <w:t>$’000</w:t>
            </w:r>
          </w:p>
        </w:tc>
        <w:tc>
          <w:tcPr>
            <w:tcW w:w="1134" w:type="dxa"/>
            <w:tcBorders>
              <w:bottom w:val="single" w:sz="4" w:space="0" w:color="auto"/>
            </w:tcBorders>
            <w:shd w:val="clear" w:color="auto" w:fill="472D8C"/>
          </w:tcPr>
          <w:p w14:paraId="66F2C4ED" w14:textId="77777777" w:rsidR="006F1DF8" w:rsidRDefault="00A60D4B" w:rsidP="00A60D4B">
            <w:pPr>
              <w:pStyle w:val="BTableHeadingRowRightAligned"/>
              <w:rPr>
                <w:color w:val="FFFFFF" w:themeColor="background1"/>
              </w:rPr>
            </w:pPr>
            <w:r>
              <w:rPr>
                <w:color w:val="FFFFFF" w:themeColor="background1"/>
              </w:rPr>
              <w:t>2023-24</w:t>
            </w:r>
            <w:r>
              <w:rPr>
                <w:color w:val="FFFFFF" w:themeColor="background1"/>
              </w:rPr>
              <w:br/>
              <w:t>Estimate</w:t>
            </w:r>
            <w:r>
              <w:rPr>
                <w:color w:val="FFFFFF" w:themeColor="background1"/>
              </w:rPr>
              <w:br/>
            </w:r>
          </w:p>
          <w:p w14:paraId="75585E36" w14:textId="7B4025B0" w:rsidR="00A60D4B" w:rsidRPr="00111524" w:rsidRDefault="00A60D4B" w:rsidP="00A60D4B">
            <w:pPr>
              <w:pStyle w:val="BTableHeadingRowRightAligned"/>
              <w:rPr>
                <w:color w:val="FFFFFF" w:themeColor="background1"/>
              </w:rPr>
            </w:pPr>
            <w:r>
              <w:rPr>
                <w:color w:val="FFFFFF" w:themeColor="background1"/>
              </w:rPr>
              <w:t>$’000</w:t>
            </w:r>
          </w:p>
        </w:tc>
        <w:tc>
          <w:tcPr>
            <w:tcW w:w="1134" w:type="dxa"/>
            <w:tcBorders>
              <w:bottom w:val="single" w:sz="4" w:space="0" w:color="auto"/>
            </w:tcBorders>
            <w:shd w:val="clear" w:color="auto" w:fill="472D8C"/>
          </w:tcPr>
          <w:p w14:paraId="75E8E9F5" w14:textId="77777777" w:rsidR="006F1DF8" w:rsidRDefault="00A60D4B" w:rsidP="00A60D4B">
            <w:pPr>
              <w:pStyle w:val="BTableHeadingRowRightAligned"/>
              <w:rPr>
                <w:color w:val="FFFFFF" w:themeColor="background1"/>
              </w:rPr>
            </w:pPr>
            <w:r>
              <w:rPr>
                <w:color w:val="FFFFFF" w:themeColor="background1"/>
              </w:rPr>
              <w:t>2024-25</w:t>
            </w:r>
            <w:r>
              <w:rPr>
                <w:color w:val="FFFFFF" w:themeColor="background1"/>
              </w:rPr>
              <w:br/>
              <w:t>Estimate</w:t>
            </w:r>
            <w:r>
              <w:rPr>
                <w:color w:val="FFFFFF" w:themeColor="background1"/>
              </w:rPr>
              <w:br/>
            </w:r>
          </w:p>
          <w:p w14:paraId="5A233D98" w14:textId="0A7998D5" w:rsidR="00A60D4B" w:rsidRPr="00111524" w:rsidRDefault="00A60D4B" w:rsidP="00A60D4B">
            <w:pPr>
              <w:pStyle w:val="BTableHeadingRowRightAligned"/>
              <w:rPr>
                <w:color w:val="FFFFFF" w:themeColor="background1"/>
              </w:rPr>
            </w:pPr>
            <w:r>
              <w:rPr>
                <w:color w:val="FFFFFF" w:themeColor="background1"/>
              </w:rPr>
              <w:t>$’000</w:t>
            </w:r>
          </w:p>
        </w:tc>
      </w:tr>
      <w:tr w:rsidR="00A60D4B" w:rsidRPr="00337DC9" w14:paraId="79FACEC9" w14:textId="77777777" w:rsidTr="00A60D4B">
        <w:trPr>
          <w:trHeight w:val="20"/>
        </w:trPr>
        <w:tc>
          <w:tcPr>
            <w:tcW w:w="2127" w:type="dxa"/>
            <w:tcBorders>
              <w:top w:val="nil"/>
              <w:bottom w:val="nil"/>
            </w:tcBorders>
          </w:tcPr>
          <w:p w14:paraId="0EFEE317" w14:textId="77777777" w:rsidR="00A60D4B" w:rsidRPr="00037F42" w:rsidRDefault="00A60D4B" w:rsidP="00A60D4B">
            <w:pPr>
              <w:pStyle w:val="Btabletextbold"/>
            </w:pPr>
            <w:r w:rsidRPr="00037F42">
              <w:rPr>
                <w:rFonts w:cs="Calibri"/>
                <w:sz w:val="18"/>
                <w:szCs w:val="18"/>
              </w:rPr>
              <w:t>Current grants</w:t>
            </w:r>
          </w:p>
        </w:tc>
        <w:tc>
          <w:tcPr>
            <w:tcW w:w="1134" w:type="dxa"/>
            <w:tcBorders>
              <w:bottom w:val="nil"/>
            </w:tcBorders>
          </w:tcPr>
          <w:p w14:paraId="635A9017" w14:textId="77777777" w:rsidR="00A60D4B" w:rsidRPr="009F3EF4" w:rsidRDefault="00A60D4B" w:rsidP="00A60D4B">
            <w:pPr>
              <w:pStyle w:val="Btablefigureunbold"/>
              <w:rPr>
                <w:b/>
              </w:rPr>
            </w:pPr>
          </w:p>
        </w:tc>
        <w:tc>
          <w:tcPr>
            <w:tcW w:w="1191" w:type="dxa"/>
            <w:tcBorders>
              <w:bottom w:val="nil"/>
            </w:tcBorders>
          </w:tcPr>
          <w:p w14:paraId="2456BF0A" w14:textId="77777777" w:rsidR="00A60D4B" w:rsidRPr="009F3EF4" w:rsidRDefault="00A60D4B" w:rsidP="00A60D4B">
            <w:pPr>
              <w:pStyle w:val="Btablefigureunbold"/>
              <w:rPr>
                <w:b/>
              </w:rPr>
            </w:pPr>
            <w:r w:rsidRPr="009F3EF4">
              <w:rPr>
                <w:rFonts w:cs="Calibri"/>
                <w:sz w:val="18"/>
                <w:szCs w:val="18"/>
              </w:rPr>
              <w:t> </w:t>
            </w:r>
          </w:p>
        </w:tc>
        <w:tc>
          <w:tcPr>
            <w:tcW w:w="1134" w:type="dxa"/>
            <w:tcBorders>
              <w:bottom w:val="nil"/>
            </w:tcBorders>
            <w:shd w:val="clear" w:color="auto" w:fill="auto"/>
          </w:tcPr>
          <w:p w14:paraId="2EEB9FB3" w14:textId="77777777" w:rsidR="00A60D4B" w:rsidRPr="009F3EF4" w:rsidRDefault="00A60D4B" w:rsidP="00A60D4B">
            <w:pPr>
              <w:pStyle w:val="Btablefigureunbold"/>
              <w:rPr>
                <w:b/>
              </w:rPr>
            </w:pPr>
          </w:p>
        </w:tc>
        <w:tc>
          <w:tcPr>
            <w:tcW w:w="1134" w:type="dxa"/>
            <w:tcBorders>
              <w:bottom w:val="nil"/>
            </w:tcBorders>
            <w:shd w:val="clear" w:color="472D8C" w:fill="auto"/>
          </w:tcPr>
          <w:p w14:paraId="205A714B" w14:textId="77777777" w:rsidR="00A60D4B" w:rsidRPr="009F3EF4" w:rsidRDefault="00A60D4B" w:rsidP="00A60D4B">
            <w:pPr>
              <w:pStyle w:val="Btablefigureunbold"/>
              <w:rPr>
                <w:b/>
                <w:color w:val="000000"/>
              </w:rPr>
            </w:pPr>
          </w:p>
        </w:tc>
        <w:tc>
          <w:tcPr>
            <w:tcW w:w="1134" w:type="dxa"/>
            <w:tcBorders>
              <w:bottom w:val="nil"/>
            </w:tcBorders>
            <w:shd w:val="clear" w:color="auto" w:fill="auto"/>
          </w:tcPr>
          <w:p w14:paraId="48B906DD" w14:textId="77777777" w:rsidR="00A60D4B" w:rsidRPr="009F3EF4" w:rsidRDefault="00A60D4B" w:rsidP="00A60D4B">
            <w:pPr>
              <w:pStyle w:val="Btablefigureunbold"/>
              <w:rPr>
                <w:b/>
              </w:rPr>
            </w:pPr>
          </w:p>
        </w:tc>
        <w:tc>
          <w:tcPr>
            <w:tcW w:w="1134" w:type="dxa"/>
            <w:tcBorders>
              <w:bottom w:val="nil"/>
            </w:tcBorders>
          </w:tcPr>
          <w:p w14:paraId="7D492419" w14:textId="77777777" w:rsidR="00A60D4B" w:rsidRPr="009F3EF4" w:rsidRDefault="00A60D4B" w:rsidP="00A60D4B">
            <w:pPr>
              <w:pStyle w:val="Btablefigureunbold"/>
              <w:rPr>
                <w:b/>
              </w:rPr>
            </w:pPr>
          </w:p>
        </w:tc>
      </w:tr>
      <w:tr w:rsidR="00A60D4B" w:rsidRPr="00337DC9" w14:paraId="1752FCCB" w14:textId="77777777" w:rsidTr="00A60D4B">
        <w:trPr>
          <w:trHeight w:val="20"/>
        </w:trPr>
        <w:tc>
          <w:tcPr>
            <w:tcW w:w="2127" w:type="dxa"/>
            <w:tcBorders>
              <w:top w:val="nil"/>
              <w:bottom w:val="nil"/>
            </w:tcBorders>
          </w:tcPr>
          <w:p w14:paraId="25DBF107" w14:textId="77777777" w:rsidR="00A60D4B" w:rsidRPr="002F2F75" w:rsidRDefault="00A60D4B" w:rsidP="00A60D4B">
            <w:pPr>
              <w:pStyle w:val="Btabletextunbold"/>
            </w:pPr>
            <w:r w:rsidRPr="002F2F75">
              <w:rPr>
                <w:rFonts w:cs="Calibri"/>
                <w:sz w:val="18"/>
                <w:szCs w:val="18"/>
              </w:rPr>
              <w:t>GST Revenue Grant</w:t>
            </w:r>
          </w:p>
        </w:tc>
        <w:tc>
          <w:tcPr>
            <w:tcW w:w="1134" w:type="dxa"/>
            <w:tcBorders>
              <w:top w:val="nil"/>
              <w:bottom w:val="nil"/>
            </w:tcBorders>
          </w:tcPr>
          <w:p w14:paraId="01BA64B3" w14:textId="77777777" w:rsidR="00A60D4B" w:rsidRPr="009F3EF4" w:rsidRDefault="00A60D4B" w:rsidP="00A60D4B">
            <w:pPr>
              <w:pStyle w:val="Btablefigureunbold"/>
              <w:rPr>
                <w:b/>
              </w:rPr>
            </w:pPr>
            <w:r>
              <w:rPr>
                <w:rFonts w:cs="Calibri"/>
                <w:sz w:val="18"/>
                <w:szCs w:val="18"/>
              </w:rPr>
              <w:t xml:space="preserve">1,221,537 </w:t>
            </w:r>
          </w:p>
        </w:tc>
        <w:tc>
          <w:tcPr>
            <w:tcW w:w="1191" w:type="dxa"/>
            <w:tcBorders>
              <w:top w:val="nil"/>
              <w:bottom w:val="nil"/>
            </w:tcBorders>
          </w:tcPr>
          <w:p w14:paraId="66B5E19F" w14:textId="77777777" w:rsidR="00A60D4B" w:rsidRPr="009F3EF4" w:rsidRDefault="00A60D4B" w:rsidP="00A60D4B">
            <w:pPr>
              <w:pStyle w:val="Btablefigureunbold"/>
              <w:rPr>
                <w:b/>
              </w:rPr>
            </w:pPr>
            <w:r>
              <w:rPr>
                <w:rFonts w:cs="Calibri"/>
                <w:sz w:val="18"/>
                <w:szCs w:val="18"/>
              </w:rPr>
              <w:t xml:space="preserve">1,349,090 </w:t>
            </w:r>
          </w:p>
        </w:tc>
        <w:tc>
          <w:tcPr>
            <w:tcW w:w="1134" w:type="dxa"/>
            <w:tcBorders>
              <w:top w:val="nil"/>
              <w:bottom w:val="nil"/>
            </w:tcBorders>
            <w:shd w:val="clear" w:color="auto" w:fill="auto"/>
          </w:tcPr>
          <w:p w14:paraId="6A9D6C40" w14:textId="77777777" w:rsidR="00A60D4B" w:rsidRPr="007F788F" w:rsidRDefault="00A60D4B" w:rsidP="00A60D4B">
            <w:pPr>
              <w:pStyle w:val="BTablefigureBold"/>
              <w:rPr>
                <w:b w:val="0"/>
                <w:bCs/>
              </w:rPr>
            </w:pPr>
            <w:r w:rsidRPr="007F788F">
              <w:rPr>
                <w:rFonts w:cs="Calibri"/>
                <w:b w:val="0"/>
                <w:bCs/>
                <w:sz w:val="18"/>
                <w:szCs w:val="18"/>
              </w:rPr>
              <w:t xml:space="preserve">1,367,761 </w:t>
            </w:r>
          </w:p>
        </w:tc>
        <w:tc>
          <w:tcPr>
            <w:tcW w:w="1134" w:type="dxa"/>
            <w:tcBorders>
              <w:top w:val="nil"/>
              <w:bottom w:val="nil"/>
            </w:tcBorders>
            <w:shd w:val="clear" w:color="472D8C" w:fill="auto"/>
          </w:tcPr>
          <w:p w14:paraId="344EBBC7" w14:textId="77777777" w:rsidR="00A60D4B" w:rsidRPr="009F3EF4" w:rsidRDefault="00A60D4B" w:rsidP="00A60D4B">
            <w:pPr>
              <w:pStyle w:val="Btablefigureunbold"/>
              <w:rPr>
                <w:b/>
                <w:color w:val="000000"/>
              </w:rPr>
            </w:pPr>
            <w:r>
              <w:rPr>
                <w:rFonts w:cs="Calibri"/>
                <w:sz w:val="18"/>
                <w:szCs w:val="18"/>
              </w:rPr>
              <w:t xml:space="preserve">1,400,096 </w:t>
            </w:r>
          </w:p>
        </w:tc>
        <w:tc>
          <w:tcPr>
            <w:tcW w:w="1134" w:type="dxa"/>
            <w:tcBorders>
              <w:top w:val="nil"/>
              <w:bottom w:val="nil"/>
            </w:tcBorders>
            <w:shd w:val="clear" w:color="auto" w:fill="auto"/>
          </w:tcPr>
          <w:p w14:paraId="4B8683AE" w14:textId="77777777" w:rsidR="00A60D4B" w:rsidRPr="009F3EF4" w:rsidRDefault="00A60D4B" w:rsidP="00A60D4B">
            <w:pPr>
              <w:pStyle w:val="Btablefigureunbold"/>
              <w:rPr>
                <w:b/>
              </w:rPr>
            </w:pPr>
            <w:r>
              <w:rPr>
                <w:rFonts w:cs="Calibri"/>
                <w:sz w:val="18"/>
                <w:szCs w:val="18"/>
              </w:rPr>
              <w:t xml:space="preserve">1,457,706 </w:t>
            </w:r>
          </w:p>
        </w:tc>
        <w:tc>
          <w:tcPr>
            <w:tcW w:w="1134" w:type="dxa"/>
            <w:tcBorders>
              <w:top w:val="nil"/>
              <w:bottom w:val="nil"/>
            </w:tcBorders>
          </w:tcPr>
          <w:p w14:paraId="02768182" w14:textId="77777777" w:rsidR="00A60D4B" w:rsidRPr="009F3EF4" w:rsidRDefault="00A60D4B" w:rsidP="00A60D4B">
            <w:pPr>
              <w:pStyle w:val="Btablefigureunbold"/>
              <w:rPr>
                <w:b/>
              </w:rPr>
            </w:pPr>
            <w:r>
              <w:rPr>
                <w:rFonts w:cs="Calibri"/>
                <w:sz w:val="18"/>
                <w:szCs w:val="18"/>
              </w:rPr>
              <w:t xml:space="preserve">1,528,909 </w:t>
            </w:r>
          </w:p>
        </w:tc>
      </w:tr>
      <w:tr w:rsidR="00A60D4B" w:rsidRPr="00337DC9" w14:paraId="3264CE47" w14:textId="77777777" w:rsidTr="00A60D4B">
        <w:trPr>
          <w:trHeight w:val="20"/>
        </w:trPr>
        <w:tc>
          <w:tcPr>
            <w:tcW w:w="2127" w:type="dxa"/>
            <w:tcBorders>
              <w:top w:val="nil"/>
              <w:bottom w:val="nil"/>
            </w:tcBorders>
          </w:tcPr>
          <w:p w14:paraId="65B8C3CC" w14:textId="77777777" w:rsidR="00A60D4B" w:rsidRPr="002F2F75" w:rsidRDefault="00A60D4B" w:rsidP="00A60D4B">
            <w:pPr>
              <w:pStyle w:val="Btabletextunbold"/>
            </w:pPr>
            <w:r w:rsidRPr="002F2F75">
              <w:rPr>
                <w:rFonts w:cs="Calibri"/>
                <w:sz w:val="18"/>
                <w:szCs w:val="18"/>
              </w:rPr>
              <w:t>ACT Municipal Services</w:t>
            </w:r>
          </w:p>
        </w:tc>
        <w:tc>
          <w:tcPr>
            <w:tcW w:w="1134" w:type="dxa"/>
            <w:tcBorders>
              <w:top w:val="nil"/>
              <w:bottom w:val="nil"/>
            </w:tcBorders>
          </w:tcPr>
          <w:p w14:paraId="7C3C67F6" w14:textId="77777777" w:rsidR="00A60D4B" w:rsidRPr="009F3EF4" w:rsidRDefault="00A60D4B" w:rsidP="00A60D4B">
            <w:pPr>
              <w:pStyle w:val="Btablefigureunbold"/>
              <w:rPr>
                <w:b/>
              </w:rPr>
            </w:pPr>
            <w:r>
              <w:rPr>
                <w:rFonts w:cs="Calibri"/>
                <w:sz w:val="18"/>
                <w:szCs w:val="18"/>
              </w:rPr>
              <w:t xml:space="preserve">41,247 </w:t>
            </w:r>
          </w:p>
        </w:tc>
        <w:tc>
          <w:tcPr>
            <w:tcW w:w="1191" w:type="dxa"/>
            <w:tcBorders>
              <w:top w:val="nil"/>
              <w:bottom w:val="nil"/>
            </w:tcBorders>
          </w:tcPr>
          <w:p w14:paraId="346D3610" w14:textId="77777777" w:rsidR="00A60D4B" w:rsidRPr="009F3EF4" w:rsidRDefault="00A60D4B" w:rsidP="00A60D4B">
            <w:pPr>
              <w:pStyle w:val="Btablefigureunbold"/>
              <w:rPr>
                <w:b/>
              </w:rPr>
            </w:pPr>
            <w:r>
              <w:rPr>
                <w:rFonts w:cs="Calibri"/>
                <w:sz w:val="18"/>
                <w:szCs w:val="18"/>
              </w:rPr>
              <w:t xml:space="preserve">41,247 </w:t>
            </w:r>
          </w:p>
        </w:tc>
        <w:tc>
          <w:tcPr>
            <w:tcW w:w="1134" w:type="dxa"/>
            <w:tcBorders>
              <w:top w:val="nil"/>
              <w:bottom w:val="nil"/>
            </w:tcBorders>
            <w:shd w:val="clear" w:color="auto" w:fill="auto"/>
          </w:tcPr>
          <w:p w14:paraId="5CBFDAA7" w14:textId="77777777" w:rsidR="00A60D4B" w:rsidRPr="007F788F" w:rsidRDefault="00A60D4B" w:rsidP="00A60D4B">
            <w:pPr>
              <w:pStyle w:val="BTablefigureBold"/>
              <w:rPr>
                <w:b w:val="0"/>
                <w:bCs/>
              </w:rPr>
            </w:pPr>
            <w:r w:rsidRPr="007F788F">
              <w:rPr>
                <w:rFonts w:cs="Calibri"/>
                <w:b w:val="0"/>
                <w:bCs/>
                <w:sz w:val="18"/>
                <w:szCs w:val="18"/>
              </w:rPr>
              <w:t xml:space="preserve">41,700 </w:t>
            </w:r>
          </w:p>
        </w:tc>
        <w:tc>
          <w:tcPr>
            <w:tcW w:w="1134" w:type="dxa"/>
            <w:tcBorders>
              <w:top w:val="nil"/>
              <w:bottom w:val="nil"/>
            </w:tcBorders>
            <w:shd w:val="clear" w:color="472D8C" w:fill="auto"/>
          </w:tcPr>
          <w:p w14:paraId="47342683" w14:textId="77777777" w:rsidR="00A60D4B" w:rsidRPr="009F3EF4" w:rsidRDefault="00A60D4B" w:rsidP="00A60D4B">
            <w:pPr>
              <w:pStyle w:val="Btablefigureunbold"/>
              <w:rPr>
                <w:b/>
                <w:color w:val="000000"/>
              </w:rPr>
            </w:pPr>
            <w:r>
              <w:rPr>
                <w:rFonts w:cs="Calibri"/>
                <w:sz w:val="18"/>
                <w:szCs w:val="18"/>
              </w:rPr>
              <w:t xml:space="preserve">42,284 </w:t>
            </w:r>
          </w:p>
        </w:tc>
        <w:tc>
          <w:tcPr>
            <w:tcW w:w="1134" w:type="dxa"/>
            <w:tcBorders>
              <w:top w:val="nil"/>
              <w:bottom w:val="nil"/>
            </w:tcBorders>
            <w:shd w:val="clear" w:color="auto" w:fill="auto"/>
          </w:tcPr>
          <w:p w14:paraId="36B6545F" w14:textId="77777777" w:rsidR="00A60D4B" w:rsidRPr="009F3EF4" w:rsidRDefault="00A60D4B" w:rsidP="00A60D4B">
            <w:pPr>
              <w:pStyle w:val="Btablefigureunbold"/>
              <w:rPr>
                <w:b/>
              </w:rPr>
            </w:pPr>
            <w:r>
              <w:rPr>
                <w:rFonts w:cs="Calibri"/>
                <w:sz w:val="18"/>
                <w:szCs w:val="18"/>
              </w:rPr>
              <w:t xml:space="preserve">42,876 </w:t>
            </w:r>
          </w:p>
        </w:tc>
        <w:tc>
          <w:tcPr>
            <w:tcW w:w="1134" w:type="dxa"/>
            <w:tcBorders>
              <w:top w:val="nil"/>
              <w:bottom w:val="nil"/>
            </w:tcBorders>
          </w:tcPr>
          <w:p w14:paraId="0BCF7FC1" w14:textId="77777777" w:rsidR="00A60D4B" w:rsidRPr="009F3EF4" w:rsidRDefault="00A60D4B" w:rsidP="00A60D4B">
            <w:pPr>
              <w:pStyle w:val="Btablefigureunbold"/>
              <w:rPr>
                <w:b/>
              </w:rPr>
            </w:pPr>
            <w:r>
              <w:rPr>
                <w:rFonts w:cs="Calibri"/>
                <w:sz w:val="18"/>
                <w:szCs w:val="18"/>
              </w:rPr>
              <w:t xml:space="preserve">43,434 </w:t>
            </w:r>
          </w:p>
        </w:tc>
      </w:tr>
      <w:tr w:rsidR="00A60D4B" w:rsidRPr="00337DC9" w14:paraId="2A249249" w14:textId="77777777" w:rsidTr="00A60D4B">
        <w:trPr>
          <w:trHeight w:val="20"/>
        </w:trPr>
        <w:tc>
          <w:tcPr>
            <w:tcW w:w="2127" w:type="dxa"/>
            <w:tcBorders>
              <w:top w:val="nil"/>
              <w:bottom w:val="nil"/>
            </w:tcBorders>
          </w:tcPr>
          <w:p w14:paraId="604A585A" w14:textId="77777777" w:rsidR="00A60D4B" w:rsidRPr="002F2F75" w:rsidRDefault="00A60D4B" w:rsidP="00A60D4B">
            <w:pPr>
              <w:pStyle w:val="Btabletextunbold"/>
            </w:pPr>
            <w:r w:rsidRPr="002F2F75">
              <w:rPr>
                <w:rFonts w:cs="Calibri"/>
                <w:sz w:val="18"/>
                <w:szCs w:val="18"/>
              </w:rPr>
              <w:t>National Specific Purpose Payments (SPPs)</w:t>
            </w:r>
          </w:p>
        </w:tc>
        <w:tc>
          <w:tcPr>
            <w:tcW w:w="1134" w:type="dxa"/>
            <w:tcBorders>
              <w:top w:val="nil"/>
              <w:bottom w:val="nil"/>
            </w:tcBorders>
          </w:tcPr>
          <w:p w14:paraId="1F2C5761" w14:textId="77777777" w:rsidR="00A60D4B" w:rsidRPr="009F3EF4" w:rsidRDefault="00A60D4B" w:rsidP="00A60D4B">
            <w:pPr>
              <w:pStyle w:val="Btablefigureunbold"/>
              <w:rPr>
                <w:b/>
              </w:rPr>
            </w:pPr>
            <w:r>
              <w:rPr>
                <w:rFonts w:cs="Calibri"/>
                <w:sz w:val="18"/>
                <w:szCs w:val="18"/>
              </w:rPr>
              <w:t xml:space="preserve">931,261 </w:t>
            </w:r>
          </w:p>
        </w:tc>
        <w:tc>
          <w:tcPr>
            <w:tcW w:w="1191" w:type="dxa"/>
            <w:tcBorders>
              <w:top w:val="nil"/>
              <w:bottom w:val="nil"/>
            </w:tcBorders>
          </w:tcPr>
          <w:p w14:paraId="0320E02F" w14:textId="77777777" w:rsidR="00A60D4B" w:rsidRPr="009F3EF4" w:rsidRDefault="00A60D4B" w:rsidP="00A60D4B">
            <w:pPr>
              <w:pStyle w:val="Btablefigureunbold"/>
              <w:rPr>
                <w:b/>
              </w:rPr>
            </w:pPr>
            <w:r>
              <w:rPr>
                <w:rFonts w:cs="Calibri"/>
                <w:sz w:val="18"/>
                <w:szCs w:val="18"/>
              </w:rPr>
              <w:t xml:space="preserve">901,280 </w:t>
            </w:r>
          </w:p>
        </w:tc>
        <w:tc>
          <w:tcPr>
            <w:tcW w:w="1134" w:type="dxa"/>
            <w:tcBorders>
              <w:top w:val="nil"/>
              <w:bottom w:val="nil"/>
            </w:tcBorders>
            <w:shd w:val="clear" w:color="auto" w:fill="auto"/>
          </w:tcPr>
          <w:p w14:paraId="1F452A8A" w14:textId="77777777" w:rsidR="00A60D4B" w:rsidRPr="000005EF" w:rsidRDefault="00A60D4B" w:rsidP="00A60D4B">
            <w:pPr>
              <w:pStyle w:val="BTablefigureBold"/>
              <w:rPr>
                <w:b w:val="0"/>
                <w:bCs/>
              </w:rPr>
            </w:pPr>
            <w:r w:rsidRPr="007A513C">
              <w:rPr>
                <w:rFonts w:cs="Calibri"/>
                <w:b w:val="0"/>
                <w:bCs/>
                <w:sz w:val="18"/>
                <w:szCs w:val="18"/>
              </w:rPr>
              <w:t xml:space="preserve">973,787 </w:t>
            </w:r>
          </w:p>
        </w:tc>
        <w:tc>
          <w:tcPr>
            <w:tcW w:w="1134" w:type="dxa"/>
            <w:tcBorders>
              <w:top w:val="nil"/>
              <w:bottom w:val="nil"/>
            </w:tcBorders>
            <w:shd w:val="clear" w:color="472D8C" w:fill="auto"/>
          </w:tcPr>
          <w:p w14:paraId="3B7DC435" w14:textId="77777777" w:rsidR="00A60D4B" w:rsidRPr="009F3EF4" w:rsidRDefault="00A60D4B" w:rsidP="00A60D4B">
            <w:pPr>
              <w:pStyle w:val="Btablefigureunbold"/>
              <w:rPr>
                <w:b/>
                <w:color w:val="000000"/>
              </w:rPr>
            </w:pPr>
            <w:r>
              <w:rPr>
                <w:rFonts w:cs="Calibri"/>
                <w:sz w:val="18"/>
                <w:szCs w:val="18"/>
              </w:rPr>
              <w:t xml:space="preserve">991,598 </w:t>
            </w:r>
          </w:p>
        </w:tc>
        <w:tc>
          <w:tcPr>
            <w:tcW w:w="1134" w:type="dxa"/>
            <w:tcBorders>
              <w:top w:val="nil"/>
              <w:bottom w:val="nil"/>
            </w:tcBorders>
            <w:shd w:val="clear" w:color="auto" w:fill="auto"/>
          </w:tcPr>
          <w:p w14:paraId="62DCE817" w14:textId="77777777" w:rsidR="00A60D4B" w:rsidRPr="009F3EF4" w:rsidRDefault="00A60D4B" w:rsidP="00A60D4B">
            <w:pPr>
              <w:pStyle w:val="Btablefigureunbold"/>
              <w:rPr>
                <w:b/>
              </w:rPr>
            </w:pPr>
            <w:r>
              <w:rPr>
                <w:rFonts w:cs="Calibri"/>
                <w:sz w:val="18"/>
                <w:szCs w:val="18"/>
              </w:rPr>
              <w:t xml:space="preserve">1,043,094 </w:t>
            </w:r>
          </w:p>
        </w:tc>
        <w:tc>
          <w:tcPr>
            <w:tcW w:w="1134" w:type="dxa"/>
            <w:tcBorders>
              <w:top w:val="nil"/>
              <w:bottom w:val="nil"/>
            </w:tcBorders>
          </w:tcPr>
          <w:p w14:paraId="4FC09518" w14:textId="77777777" w:rsidR="00A60D4B" w:rsidRPr="009F3EF4" w:rsidRDefault="00A60D4B" w:rsidP="00A60D4B">
            <w:pPr>
              <w:pStyle w:val="Btablefigureunbold"/>
              <w:rPr>
                <w:b/>
              </w:rPr>
            </w:pPr>
            <w:r>
              <w:rPr>
                <w:rFonts w:cs="Calibri"/>
                <w:sz w:val="18"/>
                <w:szCs w:val="18"/>
              </w:rPr>
              <w:t xml:space="preserve">1,094,755 </w:t>
            </w:r>
          </w:p>
        </w:tc>
      </w:tr>
      <w:tr w:rsidR="00A60D4B" w:rsidRPr="00337DC9" w14:paraId="2E45A1F2" w14:textId="77777777" w:rsidTr="00A60D4B">
        <w:trPr>
          <w:trHeight w:val="20"/>
        </w:trPr>
        <w:tc>
          <w:tcPr>
            <w:tcW w:w="2127" w:type="dxa"/>
            <w:tcBorders>
              <w:top w:val="nil"/>
              <w:bottom w:val="nil"/>
            </w:tcBorders>
          </w:tcPr>
          <w:p w14:paraId="580CC8D2" w14:textId="77777777" w:rsidR="00A60D4B" w:rsidRPr="002F2F75" w:rsidRDefault="00A60D4B" w:rsidP="00A60D4B">
            <w:pPr>
              <w:pStyle w:val="Btabletextunbold"/>
            </w:pPr>
            <w:r w:rsidRPr="002F2F75">
              <w:rPr>
                <w:rFonts w:cs="Calibri"/>
                <w:sz w:val="18"/>
                <w:szCs w:val="18"/>
              </w:rPr>
              <w:t>Financial Assistance Grants to Local Government</w:t>
            </w:r>
          </w:p>
        </w:tc>
        <w:tc>
          <w:tcPr>
            <w:tcW w:w="1134" w:type="dxa"/>
            <w:tcBorders>
              <w:top w:val="nil"/>
              <w:bottom w:val="nil"/>
            </w:tcBorders>
          </w:tcPr>
          <w:p w14:paraId="7D80F302" w14:textId="77777777" w:rsidR="00A60D4B" w:rsidRPr="009F3EF4" w:rsidRDefault="00A60D4B" w:rsidP="00A60D4B">
            <w:pPr>
              <w:pStyle w:val="Btablefigureunbold"/>
              <w:rPr>
                <w:b/>
              </w:rPr>
            </w:pPr>
            <w:r>
              <w:rPr>
                <w:rFonts w:cs="Calibri"/>
                <w:sz w:val="18"/>
                <w:szCs w:val="18"/>
              </w:rPr>
              <w:t xml:space="preserve">26,622 </w:t>
            </w:r>
          </w:p>
        </w:tc>
        <w:tc>
          <w:tcPr>
            <w:tcW w:w="1191" w:type="dxa"/>
            <w:tcBorders>
              <w:top w:val="nil"/>
              <w:bottom w:val="nil"/>
            </w:tcBorders>
          </w:tcPr>
          <w:p w14:paraId="56F781F2" w14:textId="77777777" w:rsidR="00A60D4B" w:rsidRPr="009F3EF4" w:rsidRDefault="00A60D4B" w:rsidP="00A60D4B">
            <w:pPr>
              <w:pStyle w:val="Btablefigureunbold"/>
              <w:rPr>
                <w:b/>
              </w:rPr>
            </w:pPr>
            <w:r>
              <w:rPr>
                <w:rFonts w:cs="Calibri"/>
                <w:sz w:val="18"/>
                <w:szCs w:val="18"/>
              </w:rPr>
              <w:t xml:space="preserve">54,912 </w:t>
            </w:r>
          </w:p>
        </w:tc>
        <w:tc>
          <w:tcPr>
            <w:tcW w:w="1134" w:type="dxa"/>
            <w:tcBorders>
              <w:top w:val="nil"/>
              <w:bottom w:val="nil"/>
            </w:tcBorders>
            <w:shd w:val="clear" w:color="auto" w:fill="auto"/>
          </w:tcPr>
          <w:p w14:paraId="7041023E" w14:textId="77777777" w:rsidR="00A60D4B" w:rsidRPr="000005EF" w:rsidRDefault="00A60D4B" w:rsidP="00A60D4B">
            <w:pPr>
              <w:pStyle w:val="BTablefigureBold"/>
              <w:rPr>
                <w:b w:val="0"/>
                <w:bCs/>
              </w:rPr>
            </w:pPr>
            <w:r w:rsidRPr="007A513C">
              <w:rPr>
                <w:rFonts w:cs="Calibri"/>
                <w:b w:val="0"/>
                <w:bCs/>
                <w:sz w:val="18"/>
                <w:szCs w:val="18"/>
              </w:rPr>
              <w:t xml:space="preserve">28,477 </w:t>
            </w:r>
          </w:p>
        </w:tc>
        <w:tc>
          <w:tcPr>
            <w:tcW w:w="1134" w:type="dxa"/>
            <w:tcBorders>
              <w:top w:val="nil"/>
              <w:bottom w:val="nil"/>
            </w:tcBorders>
            <w:shd w:val="clear" w:color="472D8C" w:fill="auto"/>
          </w:tcPr>
          <w:p w14:paraId="090002DB" w14:textId="77777777" w:rsidR="00A60D4B" w:rsidRPr="009F3EF4" w:rsidRDefault="00A60D4B" w:rsidP="00A60D4B">
            <w:pPr>
              <w:pStyle w:val="Btablefigureunbold"/>
              <w:rPr>
                <w:b/>
                <w:color w:val="000000"/>
              </w:rPr>
            </w:pPr>
            <w:r>
              <w:rPr>
                <w:rFonts w:cs="Calibri"/>
                <w:sz w:val="18"/>
                <w:szCs w:val="18"/>
              </w:rPr>
              <w:t xml:space="preserve">57,908 </w:t>
            </w:r>
          </w:p>
        </w:tc>
        <w:tc>
          <w:tcPr>
            <w:tcW w:w="1134" w:type="dxa"/>
            <w:tcBorders>
              <w:top w:val="nil"/>
              <w:bottom w:val="nil"/>
            </w:tcBorders>
            <w:shd w:val="clear" w:color="auto" w:fill="auto"/>
          </w:tcPr>
          <w:p w14:paraId="607A48A0" w14:textId="77777777" w:rsidR="00A60D4B" w:rsidRPr="009F3EF4" w:rsidRDefault="00A60D4B" w:rsidP="00A60D4B">
            <w:pPr>
              <w:pStyle w:val="Btablefigureunbold"/>
              <w:rPr>
                <w:b/>
              </w:rPr>
            </w:pPr>
            <w:r>
              <w:rPr>
                <w:rFonts w:cs="Calibri"/>
                <w:sz w:val="18"/>
                <w:szCs w:val="18"/>
              </w:rPr>
              <w:t xml:space="preserve">59,157 </w:t>
            </w:r>
          </w:p>
        </w:tc>
        <w:tc>
          <w:tcPr>
            <w:tcW w:w="1134" w:type="dxa"/>
            <w:tcBorders>
              <w:top w:val="nil"/>
              <w:bottom w:val="nil"/>
            </w:tcBorders>
          </w:tcPr>
          <w:p w14:paraId="4E40FD63" w14:textId="77777777" w:rsidR="00A60D4B" w:rsidRPr="009F3EF4" w:rsidRDefault="00A60D4B" w:rsidP="00A60D4B">
            <w:pPr>
              <w:pStyle w:val="Btablefigureunbold"/>
              <w:rPr>
                <w:b/>
              </w:rPr>
            </w:pPr>
            <w:r>
              <w:rPr>
                <w:rFonts w:cs="Calibri"/>
                <w:sz w:val="18"/>
                <w:szCs w:val="18"/>
              </w:rPr>
              <w:t xml:space="preserve">60,272 </w:t>
            </w:r>
          </w:p>
        </w:tc>
      </w:tr>
      <w:tr w:rsidR="00A60D4B" w:rsidRPr="00337DC9" w14:paraId="6EA41142" w14:textId="77777777" w:rsidTr="00A60D4B">
        <w:trPr>
          <w:trHeight w:val="20"/>
        </w:trPr>
        <w:tc>
          <w:tcPr>
            <w:tcW w:w="2127" w:type="dxa"/>
            <w:tcBorders>
              <w:top w:val="nil"/>
              <w:bottom w:val="nil"/>
            </w:tcBorders>
          </w:tcPr>
          <w:p w14:paraId="406298BB" w14:textId="77777777" w:rsidR="00A60D4B" w:rsidRPr="002F2F75" w:rsidRDefault="00A60D4B" w:rsidP="00A60D4B">
            <w:pPr>
              <w:pStyle w:val="Btabletextunbold"/>
            </w:pPr>
            <w:r w:rsidRPr="002F2F75">
              <w:rPr>
                <w:rFonts w:cs="Calibri"/>
                <w:sz w:val="18"/>
                <w:szCs w:val="18"/>
              </w:rPr>
              <w:t>National Partnership</w:t>
            </w:r>
            <w:r w:rsidRPr="002F2F75">
              <w:rPr>
                <w:rFonts w:cs="Calibri"/>
                <w:sz w:val="18"/>
                <w:szCs w:val="18"/>
              </w:rPr>
              <w:br/>
              <w:t>Payments (NPP</w:t>
            </w:r>
            <w:r>
              <w:rPr>
                <w:rFonts w:cs="Calibri"/>
                <w:sz w:val="18"/>
                <w:szCs w:val="18"/>
              </w:rPr>
              <w:t>s</w:t>
            </w:r>
            <w:r w:rsidRPr="002F2F75">
              <w:rPr>
                <w:rFonts w:cs="Calibri"/>
                <w:sz w:val="18"/>
                <w:szCs w:val="18"/>
              </w:rPr>
              <w:t xml:space="preserve">) - Current </w:t>
            </w:r>
          </w:p>
        </w:tc>
        <w:tc>
          <w:tcPr>
            <w:tcW w:w="1134" w:type="dxa"/>
            <w:tcBorders>
              <w:top w:val="nil"/>
              <w:bottom w:val="nil"/>
            </w:tcBorders>
          </w:tcPr>
          <w:p w14:paraId="218A1347" w14:textId="77777777" w:rsidR="00A60D4B" w:rsidRPr="009F3EF4" w:rsidRDefault="00A60D4B" w:rsidP="00A60D4B">
            <w:pPr>
              <w:pStyle w:val="Btablefigureunbold"/>
              <w:rPr>
                <w:b/>
              </w:rPr>
            </w:pPr>
            <w:r>
              <w:rPr>
                <w:rFonts w:cs="Calibri"/>
                <w:sz w:val="18"/>
                <w:szCs w:val="18"/>
              </w:rPr>
              <w:t xml:space="preserve">56,752 </w:t>
            </w:r>
          </w:p>
        </w:tc>
        <w:tc>
          <w:tcPr>
            <w:tcW w:w="1191" w:type="dxa"/>
            <w:tcBorders>
              <w:top w:val="nil"/>
              <w:bottom w:val="nil"/>
            </w:tcBorders>
          </w:tcPr>
          <w:p w14:paraId="4912605C" w14:textId="77777777" w:rsidR="00A60D4B" w:rsidRPr="009F3EF4" w:rsidRDefault="00A60D4B" w:rsidP="00A60D4B">
            <w:pPr>
              <w:pStyle w:val="Btablefigureunbold"/>
              <w:rPr>
                <w:b/>
              </w:rPr>
            </w:pPr>
            <w:r>
              <w:rPr>
                <w:rFonts w:cs="Calibri"/>
                <w:sz w:val="18"/>
                <w:szCs w:val="18"/>
              </w:rPr>
              <w:t xml:space="preserve">71,888 </w:t>
            </w:r>
          </w:p>
        </w:tc>
        <w:tc>
          <w:tcPr>
            <w:tcW w:w="1134" w:type="dxa"/>
            <w:tcBorders>
              <w:top w:val="nil"/>
              <w:bottom w:val="nil"/>
            </w:tcBorders>
            <w:shd w:val="clear" w:color="auto" w:fill="auto"/>
          </w:tcPr>
          <w:p w14:paraId="610793E5" w14:textId="77777777" w:rsidR="00A60D4B" w:rsidRPr="000005EF" w:rsidRDefault="00A60D4B" w:rsidP="00A60D4B">
            <w:pPr>
              <w:pStyle w:val="BTablefigureBold"/>
              <w:rPr>
                <w:b w:val="0"/>
                <w:bCs/>
              </w:rPr>
            </w:pPr>
            <w:r w:rsidRPr="007A513C">
              <w:rPr>
                <w:rFonts w:cs="Calibri"/>
                <w:b w:val="0"/>
                <w:bCs/>
                <w:sz w:val="18"/>
                <w:szCs w:val="18"/>
              </w:rPr>
              <w:t xml:space="preserve">185,796 </w:t>
            </w:r>
          </w:p>
        </w:tc>
        <w:tc>
          <w:tcPr>
            <w:tcW w:w="1134" w:type="dxa"/>
            <w:tcBorders>
              <w:top w:val="nil"/>
              <w:bottom w:val="nil"/>
            </w:tcBorders>
            <w:shd w:val="clear" w:color="472D8C" w:fill="auto"/>
          </w:tcPr>
          <w:p w14:paraId="7AC1964C" w14:textId="77777777" w:rsidR="00A60D4B" w:rsidRPr="009F3EF4" w:rsidRDefault="00A60D4B" w:rsidP="00A60D4B">
            <w:pPr>
              <w:pStyle w:val="Btablefigureunbold"/>
              <w:rPr>
                <w:b/>
                <w:color w:val="000000"/>
              </w:rPr>
            </w:pPr>
            <w:r>
              <w:rPr>
                <w:rFonts w:cs="Calibri"/>
                <w:sz w:val="18"/>
                <w:szCs w:val="18"/>
              </w:rPr>
              <w:t xml:space="preserve">32,435 </w:t>
            </w:r>
          </w:p>
        </w:tc>
        <w:tc>
          <w:tcPr>
            <w:tcW w:w="1134" w:type="dxa"/>
            <w:tcBorders>
              <w:top w:val="nil"/>
              <w:bottom w:val="nil"/>
            </w:tcBorders>
            <w:shd w:val="clear" w:color="auto" w:fill="auto"/>
          </w:tcPr>
          <w:p w14:paraId="6FAFE734" w14:textId="77777777" w:rsidR="00A60D4B" w:rsidRPr="009F3EF4" w:rsidRDefault="00A60D4B" w:rsidP="00A60D4B">
            <w:pPr>
              <w:pStyle w:val="Btablefigureunbold"/>
              <w:rPr>
                <w:b/>
              </w:rPr>
            </w:pPr>
            <w:r>
              <w:rPr>
                <w:rFonts w:cs="Calibri"/>
                <w:sz w:val="18"/>
                <w:szCs w:val="18"/>
              </w:rPr>
              <w:t xml:space="preserve">26,905 </w:t>
            </w:r>
          </w:p>
        </w:tc>
        <w:tc>
          <w:tcPr>
            <w:tcW w:w="1134" w:type="dxa"/>
            <w:tcBorders>
              <w:top w:val="nil"/>
              <w:bottom w:val="nil"/>
            </w:tcBorders>
          </w:tcPr>
          <w:p w14:paraId="4A45B0FF" w14:textId="77777777" w:rsidR="00A60D4B" w:rsidRPr="009F3EF4" w:rsidRDefault="00A60D4B" w:rsidP="00A60D4B">
            <w:pPr>
              <w:pStyle w:val="Btablefigureunbold"/>
              <w:rPr>
                <w:b/>
              </w:rPr>
            </w:pPr>
            <w:r>
              <w:rPr>
                <w:rFonts w:cs="Calibri"/>
                <w:sz w:val="18"/>
                <w:szCs w:val="18"/>
              </w:rPr>
              <w:t xml:space="preserve">3,137 </w:t>
            </w:r>
          </w:p>
        </w:tc>
      </w:tr>
      <w:tr w:rsidR="00A60D4B" w:rsidRPr="00653BCC" w14:paraId="1B729453" w14:textId="77777777" w:rsidTr="00A60D4B">
        <w:trPr>
          <w:trHeight w:val="20"/>
        </w:trPr>
        <w:tc>
          <w:tcPr>
            <w:tcW w:w="2127" w:type="dxa"/>
            <w:tcBorders>
              <w:top w:val="nil"/>
              <w:bottom w:val="nil"/>
            </w:tcBorders>
          </w:tcPr>
          <w:p w14:paraId="2736FD06" w14:textId="77777777" w:rsidR="00A60D4B" w:rsidRPr="002F2F75" w:rsidRDefault="00A60D4B" w:rsidP="00A60D4B">
            <w:pPr>
              <w:pStyle w:val="Btabletextitalic"/>
              <w:rPr>
                <w:i w:val="0"/>
              </w:rPr>
            </w:pPr>
            <w:r w:rsidRPr="002F2F75">
              <w:rPr>
                <w:rFonts w:cs="Calibri"/>
                <w:i w:val="0"/>
                <w:sz w:val="18"/>
                <w:szCs w:val="18"/>
              </w:rPr>
              <w:t xml:space="preserve">Other Commonwealth </w:t>
            </w:r>
            <w:r w:rsidRPr="002F2F75">
              <w:rPr>
                <w:rFonts w:cs="Calibri"/>
                <w:i w:val="0"/>
                <w:sz w:val="18"/>
                <w:szCs w:val="18"/>
              </w:rPr>
              <w:br/>
              <w:t>Government Payments - Current</w:t>
            </w:r>
          </w:p>
        </w:tc>
        <w:tc>
          <w:tcPr>
            <w:tcW w:w="1134" w:type="dxa"/>
            <w:tcBorders>
              <w:top w:val="nil"/>
              <w:bottom w:val="nil"/>
            </w:tcBorders>
          </w:tcPr>
          <w:p w14:paraId="0395A653" w14:textId="77777777" w:rsidR="00A60D4B" w:rsidRPr="009F3EF4" w:rsidRDefault="00A60D4B" w:rsidP="00A60D4B">
            <w:pPr>
              <w:pStyle w:val="Btablefigureunbold"/>
              <w:rPr>
                <w:b/>
              </w:rPr>
            </w:pPr>
            <w:r>
              <w:rPr>
                <w:rFonts w:cs="Calibri"/>
                <w:sz w:val="18"/>
                <w:szCs w:val="18"/>
              </w:rPr>
              <w:t xml:space="preserve">22,077 </w:t>
            </w:r>
          </w:p>
        </w:tc>
        <w:tc>
          <w:tcPr>
            <w:tcW w:w="1191" w:type="dxa"/>
            <w:tcBorders>
              <w:top w:val="nil"/>
              <w:bottom w:val="nil"/>
            </w:tcBorders>
          </w:tcPr>
          <w:p w14:paraId="1F1A7B25" w14:textId="77777777" w:rsidR="00A60D4B" w:rsidRPr="009F3EF4" w:rsidRDefault="00A60D4B" w:rsidP="00A60D4B">
            <w:pPr>
              <w:pStyle w:val="Btablefigureunbold"/>
              <w:rPr>
                <w:b/>
              </w:rPr>
            </w:pPr>
            <w:r>
              <w:rPr>
                <w:rFonts w:cs="Calibri"/>
                <w:sz w:val="18"/>
                <w:szCs w:val="18"/>
              </w:rPr>
              <w:t xml:space="preserve">24,860 </w:t>
            </w:r>
          </w:p>
        </w:tc>
        <w:tc>
          <w:tcPr>
            <w:tcW w:w="1134" w:type="dxa"/>
            <w:tcBorders>
              <w:top w:val="nil"/>
              <w:bottom w:val="nil"/>
            </w:tcBorders>
            <w:shd w:val="clear" w:color="auto" w:fill="auto"/>
          </w:tcPr>
          <w:p w14:paraId="55F30EBC" w14:textId="77777777" w:rsidR="00A60D4B" w:rsidRPr="009F3EF4" w:rsidRDefault="00A60D4B" w:rsidP="00A60D4B">
            <w:pPr>
              <w:pStyle w:val="Btablefigureunbold"/>
              <w:rPr>
                <w:b/>
              </w:rPr>
            </w:pPr>
            <w:r>
              <w:rPr>
                <w:rFonts w:cs="Calibri"/>
                <w:sz w:val="18"/>
                <w:szCs w:val="18"/>
              </w:rPr>
              <w:t xml:space="preserve">69,722 </w:t>
            </w:r>
          </w:p>
        </w:tc>
        <w:tc>
          <w:tcPr>
            <w:tcW w:w="1134" w:type="dxa"/>
            <w:tcBorders>
              <w:top w:val="nil"/>
              <w:bottom w:val="nil"/>
            </w:tcBorders>
            <w:shd w:val="clear" w:color="472D8C" w:fill="auto"/>
          </w:tcPr>
          <w:p w14:paraId="68892965" w14:textId="77777777" w:rsidR="00A60D4B" w:rsidRPr="009F3EF4" w:rsidRDefault="00A60D4B" w:rsidP="00A60D4B">
            <w:pPr>
              <w:pStyle w:val="Btablefigureunbold"/>
              <w:rPr>
                <w:b/>
                <w:color w:val="000000"/>
              </w:rPr>
            </w:pPr>
            <w:r>
              <w:rPr>
                <w:rFonts w:cs="Calibri"/>
                <w:sz w:val="18"/>
                <w:szCs w:val="18"/>
              </w:rPr>
              <w:t xml:space="preserve">31,887 </w:t>
            </w:r>
          </w:p>
        </w:tc>
        <w:tc>
          <w:tcPr>
            <w:tcW w:w="1134" w:type="dxa"/>
            <w:tcBorders>
              <w:top w:val="nil"/>
              <w:bottom w:val="nil"/>
            </w:tcBorders>
            <w:shd w:val="clear" w:color="auto" w:fill="auto"/>
          </w:tcPr>
          <w:p w14:paraId="7106057E" w14:textId="77777777" w:rsidR="00A60D4B" w:rsidRPr="009F3EF4" w:rsidRDefault="00A60D4B" w:rsidP="00A60D4B">
            <w:pPr>
              <w:pStyle w:val="Btablefigureunbold"/>
              <w:rPr>
                <w:b/>
              </w:rPr>
            </w:pPr>
            <w:r>
              <w:rPr>
                <w:rFonts w:cs="Calibri"/>
                <w:sz w:val="18"/>
                <w:szCs w:val="18"/>
              </w:rPr>
              <w:t xml:space="preserve">22,222 </w:t>
            </w:r>
          </w:p>
        </w:tc>
        <w:tc>
          <w:tcPr>
            <w:tcW w:w="1134" w:type="dxa"/>
            <w:tcBorders>
              <w:top w:val="nil"/>
              <w:bottom w:val="nil"/>
            </w:tcBorders>
          </w:tcPr>
          <w:p w14:paraId="0F0DB201" w14:textId="77777777" w:rsidR="00A60D4B" w:rsidRPr="009F3EF4" w:rsidRDefault="00A60D4B" w:rsidP="00A60D4B">
            <w:pPr>
              <w:pStyle w:val="Btablefigureunbold"/>
              <w:rPr>
                <w:b/>
              </w:rPr>
            </w:pPr>
            <w:r>
              <w:rPr>
                <w:rFonts w:cs="Calibri"/>
                <w:sz w:val="18"/>
                <w:szCs w:val="18"/>
              </w:rPr>
              <w:t xml:space="preserve">22,507 </w:t>
            </w:r>
          </w:p>
        </w:tc>
      </w:tr>
      <w:tr w:rsidR="00A60D4B" w:rsidRPr="00653BCC" w14:paraId="1EE1922A" w14:textId="77777777" w:rsidTr="00A60D4B">
        <w:trPr>
          <w:trHeight w:val="20"/>
        </w:trPr>
        <w:tc>
          <w:tcPr>
            <w:tcW w:w="2127" w:type="dxa"/>
            <w:tcBorders>
              <w:top w:val="nil"/>
              <w:bottom w:val="nil"/>
            </w:tcBorders>
          </w:tcPr>
          <w:p w14:paraId="15B10454" w14:textId="77777777" w:rsidR="00A60D4B" w:rsidRPr="00481671" w:rsidRDefault="00A60D4B" w:rsidP="00A60D4B">
            <w:pPr>
              <w:pStyle w:val="Btabletextitalic"/>
              <w:rPr>
                <w:rFonts w:cs="Calibri"/>
                <w:b/>
                <w:bCs/>
                <w:i w:val="0"/>
                <w:sz w:val="18"/>
                <w:szCs w:val="18"/>
              </w:rPr>
            </w:pPr>
            <w:r w:rsidRPr="00481671">
              <w:rPr>
                <w:rFonts w:cs="Calibri"/>
                <w:b/>
                <w:bCs/>
                <w:i w:val="0"/>
                <w:sz w:val="18"/>
                <w:szCs w:val="18"/>
              </w:rPr>
              <w:t>Total Current Grants</w:t>
            </w:r>
          </w:p>
        </w:tc>
        <w:tc>
          <w:tcPr>
            <w:tcW w:w="1134" w:type="dxa"/>
            <w:tcBorders>
              <w:top w:val="nil"/>
              <w:bottom w:val="nil"/>
            </w:tcBorders>
          </w:tcPr>
          <w:p w14:paraId="42FFCBA1" w14:textId="77777777" w:rsidR="00A60D4B" w:rsidRPr="009F3EF4" w:rsidRDefault="00A60D4B" w:rsidP="00A60D4B">
            <w:pPr>
              <w:pStyle w:val="Btablefigureunbold"/>
              <w:rPr>
                <w:rFonts w:cs="Calibri"/>
                <w:sz w:val="18"/>
                <w:szCs w:val="18"/>
              </w:rPr>
            </w:pPr>
            <w:r>
              <w:rPr>
                <w:rFonts w:cs="Calibri"/>
                <w:b/>
                <w:bCs/>
                <w:sz w:val="18"/>
                <w:szCs w:val="18"/>
              </w:rPr>
              <w:t xml:space="preserve">2,299,496 </w:t>
            </w:r>
          </w:p>
        </w:tc>
        <w:tc>
          <w:tcPr>
            <w:tcW w:w="1191" w:type="dxa"/>
            <w:tcBorders>
              <w:top w:val="nil"/>
              <w:bottom w:val="nil"/>
            </w:tcBorders>
          </w:tcPr>
          <w:p w14:paraId="6A33B368" w14:textId="77777777" w:rsidR="00A60D4B" w:rsidRPr="009F3EF4" w:rsidRDefault="00A60D4B" w:rsidP="00A60D4B">
            <w:pPr>
              <w:pStyle w:val="Btablefigureunbold"/>
              <w:rPr>
                <w:rFonts w:cs="Calibri"/>
                <w:sz w:val="18"/>
                <w:szCs w:val="18"/>
              </w:rPr>
            </w:pPr>
            <w:r>
              <w:rPr>
                <w:rFonts w:cs="Calibri"/>
                <w:b/>
                <w:bCs/>
                <w:sz w:val="18"/>
                <w:szCs w:val="18"/>
              </w:rPr>
              <w:t xml:space="preserve">2,443,277 </w:t>
            </w:r>
          </w:p>
        </w:tc>
        <w:tc>
          <w:tcPr>
            <w:tcW w:w="1134" w:type="dxa"/>
            <w:tcBorders>
              <w:top w:val="nil"/>
              <w:bottom w:val="nil"/>
            </w:tcBorders>
            <w:shd w:val="clear" w:color="auto" w:fill="auto"/>
          </w:tcPr>
          <w:p w14:paraId="5C768767" w14:textId="77777777" w:rsidR="00A60D4B" w:rsidRPr="009F3EF4" w:rsidRDefault="00A60D4B" w:rsidP="00A60D4B">
            <w:pPr>
              <w:pStyle w:val="Btablefigureunbold"/>
              <w:rPr>
                <w:rFonts w:cs="Calibri"/>
                <w:sz w:val="18"/>
                <w:szCs w:val="18"/>
              </w:rPr>
            </w:pPr>
            <w:r>
              <w:rPr>
                <w:rFonts w:cs="Calibri"/>
                <w:b/>
                <w:bCs/>
                <w:sz w:val="18"/>
                <w:szCs w:val="18"/>
              </w:rPr>
              <w:t xml:space="preserve">2,667,243 </w:t>
            </w:r>
          </w:p>
        </w:tc>
        <w:tc>
          <w:tcPr>
            <w:tcW w:w="1134" w:type="dxa"/>
            <w:tcBorders>
              <w:top w:val="nil"/>
              <w:bottom w:val="nil"/>
            </w:tcBorders>
            <w:shd w:val="clear" w:color="472D8C" w:fill="auto"/>
          </w:tcPr>
          <w:p w14:paraId="4A356677" w14:textId="77777777" w:rsidR="00A60D4B" w:rsidRPr="009F3EF4" w:rsidRDefault="00A60D4B" w:rsidP="00A60D4B">
            <w:pPr>
              <w:pStyle w:val="Btablefigureunbold"/>
              <w:rPr>
                <w:rFonts w:cs="Calibri"/>
                <w:sz w:val="18"/>
                <w:szCs w:val="18"/>
              </w:rPr>
            </w:pPr>
            <w:r>
              <w:rPr>
                <w:rFonts w:cs="Calibri"/>
                <w:b/>
                <w:bCs/>
                <w:sz w:val="18"/>
                <w:szCs w:val="18"/>
              </w:rPr>
              <w:t xml:space="preserve">2,556,208 </w:t>
            </w:r>
          </w:p>
        </w:tc>
        <w:tc>
          <w:tcPr>
            <w:tcW w:w="1134" w:type="dxa"/>
            <w:tcBorders>
              <w:top w:val="nil"/>
              <w:bottom w:val="nil"/>
            </w:tcBorders>
            <w:shd w:val="clear" w:color="auto" w:fill="auto"/>
          </w:tcPr>
          <w:p w14:paraId="7DA8BA38" w14:textId="77777777" w:rsidR="00A60D4B" w:rsidRPr="009F3EF4" w:rsidRDefault="00A60D4B" w:rsidP="00A60D4B">
            <w:pPr>
              <w:pStyle w:val="Btablefigureunbold"/>
              <w:rPr>
                <w:rFonts w:cs="Calibri"/>
                <w:sz w:val="18"/>
                <w:szCs w:val="18"/>
              </w:rPr>
            </w:pPr>
            <w:r>
              <w:rPr>
                <w:rFonts w:cs="Calibri"/>
                <w:b/>
                <w:bCs/>
                <w:sz w:val="18"/>
                <w:szCs w:val="18"/>
              </w:rPr>
              <w:t xml:space="preserve">2,651,960 </w:t>
            </w:r>
          </w:p>
        </w:tc>
        <w:tc>
          <w:tcPr>
            <w:tcW w:w="1134" w:type="dxa"/>
            <w:tcBorders>
              <w:top w:val="nil"/>
              <w:bottom w:val="nil"/>
            </w:tcBorders>
          </w:tcPr>
          <w:p w14:paraId="4CFCF220" w14:textId="77777777" w:rsidR="00A60D4B" w:rsidRPr="009F3EF4" w:rsidRDefault="00A60D4B" w:rsidP="00A60D4B">
            <w:pPr>
              <w:pStyle w:val="Btablefigureunbold"/>
              <w:rPr>
                <w:rFonts w:cs="Calibri"/>
                <w:sz w:val="18"/>
                <w:szCs w:val="18"/>
              </w:rPr>
            </w:pPr>
            <w:r>
              <w:rPr>
                <w:rFonts w:cs="Calibri"/>
                <w:b/>
                <w:bCs/>
                <w:sz w:val="18"/>
                <w:szCs w:val="18"/>
              </w:rPr>
              <w:t xml:space="preserve">2,753,014 </w:t>
            </w:r>
          </w:p>
        </w:tc>
      </w:tr>
      <w:tr w:rsidR="00A60D4B" w:rsidRPr="00653BCC" w14:paraId="64AE1E31" w14:textId="77777777" w:rsidTr="00A60D4B">
        <w:trPr>
          <w:trHeight w:val="20"/>
        </w:trPr>
        <w:tc>
          <w:tcPr>
            <w:tcW w:w="2127" w:type="dxa"/>
            <w:tcBorders>
              <w:top w:val="nil"/>
              <w:bottom w:val="nil"/>
            </w:tcBorders>
          </w:tcPr>
          <w:p w14:paraId="4EB1153F" w14:textId="77777777" w:rsidR="00A60D4B" w:rsidRPr="009F3EF4" w:rsidRDefault="00A60D4B" w:rsidP="00A60D4B">
            <w:pPr>
              <w:pStyle w:val="Btabletextitalic"/>
              <w:rPr>
                <w:rFonts w:cs="Calibri"/>
                <w:i w:val="0"/>
                <w:sz w:val="18"/>
                <w:szCs w:val="18"/>
              </w:rPr>
            </w:pPr>
          </w:p>
        </w:tc>
        <w:tc>
          <w:tcPr>
            <w:tcW w:w="1134" w:type="dxa"/>
            <w:tcBorders>
              <w:top w:val="nil"/>
              <w:bottom w:val="nil"/>
            </w:tcBorders>
          </w:tcPr>
          <w:p w14:paraId="7A88F05E" w14:textId="77777777" w:rsidR="00A60D4B" w:rsidRPr="009F3EF4" w:rsidRDefault="00A60D4B" w:rsidP="00A60D4B">
            <w:pPr>
              <w:pStyle w:val="Btablefigureunbold"/>
              <w:rPr>
                <w:rFonts w:cs="Calibri"/>
                <w:sz w:val="18"/>
                <w:szCs w:val="18"/>
              </w:rPr>
            </w:pPr>
          </w:p>
        </w:tc>
        <w:tc>
          <w:tcPr>
            <w:tcW w:w="1191" w:type="dxa"/>
            <w:tcBorders>
              <w:top w:val="nil"/>
              <w:bottom w:val="nil"/>
            </w:tcBorders>
          </w:tcPr>
          <w:p w14:paraId="727A4839" w14:textId="77777777" w:rsidR="00A60D4B" w:rsidRPr="009F3EF4" w:rsidRDefault="00A60D4B" w:rsidP="00A60D4B">
            <w:pPr>
              <w:pStyle w:val="Btablefigureunbold"/>
              <w:rPr>
                <w:rFonts w:cs="Calibri"/>
                <w:sz w:val="18"/>
                <w:szCs w:val="18"/>
              </w:rPr>
            </w:pPr>
            <w:r>
              <w:rPr>
                <w:rFonts w:cs="Calibri"/>
                <w:b/>
                <w:bCs/>
                <w:sz w:val="18"/>
                <w:szCs w:val="18"/>
              </w:rPr>
              <w:t> </w:t>
            </w:r>
          </w:p>
        </w:tc>
        <w:tc>
          <w:tcPr>
            <w:tcW w:w="1134" w:type="dxa"/>
            <w:tcBorders>
              <w:top w:val="nil"/>
              <w:bottom w:val="nil"/>
            </w:tcBorders>
            <w:shd w:val="clear" w:color="auto" w:fill="auto"/>
          </w:tcPr>
          <w:p w14:paraId="58319922" w14:textId="77777777" w:rsidR="00A60D4B" w:rsidRPr="009F3EF4" w:rsidRDefault="00A60D4B" w:rsidP="00A60D4B">
            <w:pPr>
              <w:pStyle w:val="Btablefigureunbold"/>
              <w:rPr>
                <w:rFonts w:cs="Calibri"/>
                <w:sz w:val="18"/>
                <w:szCs w:val="18"/>
              </w:rPr>
            </w:pPr>
          </w:p>
        </w:tc>
        <w:tc>
          <w:tcPr>
            <w:tcW w:w="1134" w:type="dxa"/>
            <w:tcBorders>
              <w:top w:val="nil"/>
              <w:bottom w:val="nil"/>
            </w:tcBorders>
            <w:shd w:val="clear" w:color="472D8C" w:fill="auto"/>
          </w:tcPr>
          <w:p w14:paraId="01CC92E2" w14:textId="77777777" w:rsidR="00A60D4B" w:rsidRPr="009F3EF4" w:rsidRDefault="00A60D4B" w:rsidP="00A60D4B">
            <w:pPr>
              <w:pStyle w:val="Btablefigureunbold"/>
              <w:rPr>
                <w:rFonts w:cs="Calibri"/>
                <w:sz w:val="18"/>
                <w:szCs w:val="18"/>
              </w:rPr>
            </w:pPr>
          </w:p>
        </w:tc>
        <w:tc>
          <w:tcPr>
            <w:tcW w:w="1134" w:type="dxa"/>
            <w:tcBorders>
              <w:top w:val="nil"/>
              <w:bottom w:val="nil"/>
            </w:tcBorders>
            <w:shd w:val="clear" w:color="auto" w:fill="auto"/>
          </w:tcPr>
          <w:p w14:paraId="202BA04D" w14:textId="77777777" w:rsidR="00A60D4B" w:rsidRPr="009F3EF4" w:rsidRDefault="00A60D4B" w:rsidP="00A60D4B">
            <w:pPr>
              <w:pStyle w:val="Btablefigureunbold"/>
              <w:rPr>
                <w:rFonts w:cs="Calibri"/>
                <w:sz w:val="18"/>
                <w:szCs w:val="18"/>
              </w:rPr>
            </w:pPr>
          </w:p>
        </w:tc>
        <w:tc>
          <w:tcPr>
            <w:tcW w:w="1134" w:type="dxa"/>
            <w:tcBorders>
              <w:top w:val="nil"/>
              <w:bottom w:val="nil"/>
            </w:tcBorders>
          </w:tcPr>
          <w:p w14:paraId="44B1664B" w14:textId="77777777" w:rsidR="00A60D4B" w:rsidRPr="009F3EF4" w:rsidRDefault="00A60D4B" w:rsidP="00A60D4B">
            <w:pPr>
              <w:pStyle w:val="Btablefigureunbold"/>
              <w:rPr>
                <w:rFonts w:cs="Calibri"/>
                <w:sz w:val="18"/>
                <w:szCs w:val="18"/>
              </w:rPr>
            </w:pPr>
          </w:p>
        </w:tc>
      </w:tr>
      <w:tr w:rsidR="00A60D4B" w:rsidRPr="00653BCC" w14:paraId="7C1E11DB" w14:textId="77777777" w:rsidTr="00A60D4B">
        <w:trPr>
          <w:trHeight w:val="20"/>
        </w:trPr>
        <w:tc>
          <w:tcPr>
            <w:tcW w:w="2127" w:type="dxa"/>
            <w:tcBorders>
              <w:top w:val="nil"/>
              <w:bottom w:val="nil"/>
            </w:tcBorders>
          </w:tcPr>
          <w:p w14:paraId="06C91A91" w14:textId="77777777" w:rsidR="00A60D4B" w:rsidRPr="00481671" w:rsidRDefault="00A60D4B" w:rsidP="00A60D4B">
            <w:pPr>
              <w:pStyle w:val="Btabletextitalic"/>
              <w:rPr>
                <w:rFonts w:cs="Calibri"/>
                <w:i w:val="0"/>
                <w:iCs/>
                <w:sz w:val="18"/>
                <w:szCs w:val="18"/>
              </w:rPr>
            </w:pPr>
            <w:r w:rsidRPr="00481671">
              <w:rPr>
                <w:rFonts w:cs="Calibri"/>
                <w:b/>
                <w:bCs/>
                <w:i w:val="0"/>
                <w:iCs/>
                <w:sz w:val="18"/>
                <w:szCs w:val="18"/>
              </w:rPr>
              <w:t>Capital Grants</w:t>
            </w:r>
          </w:p>
        </w:tc>
        <w:tc>
          <w:tcPr>
            <w:tcW w:w="1134" w:type="dxa"/>
            <w:tcBorders>
              <w:top w:val="nil"/>
              <w:bottom w:val="nil"/>
            </w:tcBorders>
          </w:tcPr>
          <w:p w14:paraId="6C0CDB34" w14:textId="77777777" w:rsidR="00A60D4B" w:rsidRPr="009F3EF4" w:rsidRDefault="00A60D4B" w:rsidP="00A60D4B">
            <w:pPr>
              <w:pStyle w:val="Btablefigureunbold"/>
              <w:rPr>
                <w:rFonts w:cs="Calibri"/>
                <w:sz w:val="18"/>
                <w:szCs w:val="18"/>
              </w:rPr>
            </w:pPr>
          </w:p>
        </w:tc>
        <w:tc>
          <w:tcPr>
            <w:tcW w:w="1191" w:type="dxa"/>
            <w:tcBorders>
              <w:top w:val="nil"/>
              <w:bottom w:val="nil"/>
            </w:tcBorders>
          </w:tcPr>
          <w:p w14:paraId="44425260" w14:textId="77777777" w:rsidR="00A60D4B" w:rsidRPr="009F3EF4" w:rsidRDefault="00A60D4B" w:rsidP="00A60D4B">
            <w:pPr>
              <w:pStyle w:val="Btablefigureunbold"/>
              <w:rPr>
                <w:rFonts w:cs="Calibri"/>
                <w:sz w:val="18"/>
                <w:szCs w:val="18"/>
              </w:rPr>
            </w:pPr>
            <w:r>
              <w:rPr>
                <w:rFonts w:cs="Calibri"/>
                <w:b/>
                <w:bCs/>
                <w:sz w:val="18"/>
                <w:szCs w:val="18"/>
              </w:rPr>
              <w:t> </w:t>
            </w:r>
          </w:p>
        </w:tc>
        <w:tc>
          <w:tcPr>
            <w:tcW w:w="1134" w:type="dxa"/>
            <w:tcBorders>
              <w:top w:val="nil"/>
              <w:bottom w:val="nil"/>
            </w:tcBorders>
            <w:shd w:val="clear" w:color="auto" w:fill="auto"/>
          </w:tcPr>
          <w:p w14:paraId="3F5F09B6" w14:textId="77777777" w:rsidR="00A60D4B" w:rsidRPr="009F3EF4" w:rsidRDefault="00A60D4B" w:rsidP="00A60D4B">
            <w:pPr>
              <w:pStyle w:val="Btablefigureunbold"/>
              <w:rPr>
                <w:rFonts w:cs="Calibri"/>
                <w:sz w:val="18"/>
                <w:szCs w:val="18"/>
              </w:rPr>
            </w:pPr>
          </w:p>
        </w:tc>
        <w:tc>
          <w:tcPr>
            <w:tcW w:w="1134" w:type="dxa"/>
            <w:tcBorders>
              <w:top w:val="nil"/>
              <w:bottom w:val="nil"/>
            </w:tcBorders>
            <w:shd w:val="clear" w:color="472D8C" w:fill="auto"/>
          </w:tcPr>
          <w:p w14:paraId="3C0466FB" w14:textId="77777777" w:rsidR="00A60D4B" w:rsidRPr="009F3EF4" w:rsidRDefault="00A60D4B" w:rsidP="00A60D4B">
            <w:pPr>
              <w:pStyle w:val="Btablefigureunbold"/>
              <w:rPr>
                <w:rFonts w:cs="Calibri"/>
                <w:sz w:val="18"/>
                <w:szCs w:val="18"/>
              </w:rPr>
            </w:pPr>
          </w:p>
        </w:tc>
        <w:tc>
          <w:tcPr>
            <w:tcW w:w="1134" w:type="dxa"/>
            <w:tcBorders>
              <w:top w:val="nil"/>
              <w:bottom w:val="nil"/>
            </w:tcBorders>
            <w:shd w:val="clear" w:color="auto" w:fill="auto"/>
          </w:tcPr>
          <w:p w14:paraId="0FEF7930" w14:textId="77777777" w:rsidR="00A60D4B" w:rsidRPr="009F3EF4" w:rsidRDefault="00A60D4B" w:rsidP="00A60D4B">
            <w:pPr>
              <w:pStyle w:val="Btablefigureunbold"/>
              <w:rPr>
                <w:rFonts w:cs="Calibri"/>
                <w:sz w:val="18"/>
                <w:szCs w:val="18"/>
              </w:rPr>
            </w:pPr>
          </w:p>
        </w:tc>
        <w:tc>
          <w:tcPr>
            <w:tcW w:w="1134" w:type="dxa"/>
            <w:tcBorders>
              <w:top w:val="nil"/>
              <w:bottom w:val="nil"/>
            </w:tcBorders>
          </w:tcPr>
          <w:p w14:paraId="7108DD48" w14:textId="77777777" w:rsidR="00A60D4B" w:rsidRPr="009F3EF4" w:rsidRDefault="00A60D4B" w:rsidP="00A60D4B">
            <w:pPr>
              <w:pStyle w:val="Btablefigureunbold"/>
              <w:rPr>
                <w:rFonts w:cs="Calibri"/>
                <w:sz w:val="18"/>
                <w:szCs w:val="18"/>
              </w:rPr>
            </w:pPr>
          </w:p>
        </w:tc>
      </w:tr>
      <w:tr w:rsidR="00A60D4B" w:rsidRPr="00653BCC" w14:paraId="1B290A68" w14:textId="77777777" w:rsidTr="00A60D4B">
        <w:trPr>
          <w:trHeight w:val="20"/>
        </w:trPr>
        <w:tc>
          <w:tcPr>
            <w:tcW w:w="2127" w:type="dxa"/>
            <w:tcBorders>
              <w:top w:val="nil"/>
              <w:bottom w:val="nil"/>
            </w:tcBorders>
          </w:tcPr>
          <w:p w14:paraId="28A004C2" w14:textId="77777777" w:rsidR="00A60D4B" w:rsidRPr="00481671" w:rsidRDefault="00A60D4B" w:rsidP="00A60D4B">
            <w:pPr>
              <w:pStyle w:val="Btabletextitalic"/>
              <w:rPr>
                <w:rFonts w:cs="Calibri"/>
                <w:i w:val="0"/>
                <w:iCs/>
                <w:sz w:val="18"/>
                <w:szCs w:val="18"/>
              </w:rPr>
            </w:pPr>
            <w:r w:rsidRPr="00481671">
              <w:rPr>
                <w:rFonts w:cs="Calibri"/>
                <w:i w:val="0"/>
                <w:iCs/>
                <w:sz w:val="18"/>
                <w:szCs w:val="18"/>
              </w:rPr>
              <w:t xml:space="preserve">National Partnership Payments (NPPs) - Capital </w:t>
            </w:r>
          </w:p>
        </w:tc>
        <w:tc>
          <w:tcPr>
            <w:tcW w:w="1134" w:type="dxa"/>
            <w:tcBorders>
              <w:top w:val="nil"/>
              <w:bottom w:val="nil"/>
            </w:tcBorders>
          </w:tcPr>
          <w:p w14:paraId="1DE3463E" w14:textId="77777777" w:rsidR="00A60D4B" w:rsidRPr="009F3EF4" w:rsidRDefault="00A60D4B" w:rsidP="00A60D4B">
            <w:pPr>
              <w:pStyle w:val="Btablefigureunbold"/>
              <w:rPr>
                <w:rFonts w:cs="Calibri"/>
                <w:sz w:val="18"/>
                <w:szCs w:val="18"/>
              </w:rPr>
            </w:pPr>
            <w:r>
              <w:rPr>
                <w:rFonts w:cs="Calibri"/>
                <w:sz w:val="18"/>
                <w:szCs w:val="18"/>
              </w:rPr>
              <w:t xml:space="preserve">80,236 </w:t>
            </w:r>
          </w:p>
        </w:tc>
        <w:tc>
          <w:tcPr>
            <w:tcW w:w="1191" w:type="dxa"/>
            <w:tcBorders>
              <w:top w:val="nil"/>
              <w:bottom w:val="nil"/>
            </w:tcBorders>
          </w:tcPr>
          <w:p w14:paraId="330A821B" w14:textId="77777777" w:rsidR="00A60D4B" w:rsidRPr="009F3EF4" w:rsidRDefault="00A60D4B" w:rsidP="00A60D4B">
            <w:pPr>
              <w:pStyle w:val="Btablefigureunbold"/>
              <w:rPr>
                <w:rFonts w:cs="Calibri"/>
                <w:sz w:val="18"/>
                <w:szCs w:val="18"/>
              </w:rPr>
            </w:pPr>
            <w:r>
              <w:rPr>
                <w:rFonts w:cs="Calibri"/>
                <w:sz w:val="18"/>
                <w:szCs w:val="18"/>
              </w:rPr>
              <w:t xml:space="preserve">63,559 </w:t>
            </w:r>
          </w:p>
        </w:tc>
        <w:tc>
          <w:tcPr>
            <w:tcW w:w="1134" w:type="dxa"/>
            <w:tcBorders>
              <w:top w:val="nil"/>
              <w:bottom w:val="nil"/>
            </w:tcBorders>
            <w:shd w:val="clear" w:color="auto" w:fill="auto"/>
          </w:tcPr>
          <w:p w14:paraId="352E0786" w14:textId="77777777" w:rsidR="00A60D4B" w:rsidRPr="009F3EF4" w:rsidRDefault="00A60D4B" w:rsidP="00A60D4B">
            <w:pPr>
              <w:pStyle w:val="Btablefigureunbold"/>
              <w:rPr>
                <w:rFonts w:cs="Calibri"/>
                <w:sz w:val="18"/>
                <w:szCs w:val="18"/>
              </w:rPr>
            </w:pPr>
            <w:r>
              <w:rPr>
                <w:rFonts w:cs="Calibri"/>
                <w:sz w:val="18"/>
                <w:szCs w:val="18"/>
              </w:rPr>
              <w:t xml:space="preserve">100,308 </w:t>
            </w:r>
          </w:p>
        </w:tc>
        <w:tc>
          <w:tcPr>
            <w:tcW w:w="1134" w:type="dxa"/>
            <w:tcBorders>
              <w:top w:val="nil"/>
              <w:bottom w:val="nil"/>
            </w:tcBorders>
            <w:shd w:val="clear" w:color="472D8C" w:fill="auto"/>
          </w:tcPr>
          <w:p w14:paraId="41E35E9F" w14:textId="77777777" w:rsidR="00A60D4B" w:rsidRPr="009F3EF4" w:rsidRDefault="00A60D4B" w:rsidP="00A60D4B">
            <w:pPr>
              <w:pStyle w:val="Btablefigureunbold"/>
              <w:rPr>
                <w:rFonts w:cs="Calibri"/>
                <w:sz w:val="18"/>
                <w:szCs w:val="18"/>
              </w:rPr>
            </w:pPr>
            <w:r>
              <w:rPr>
                <w:rFonts w:cs="Calibri"/>
                <w:sz w:val="18"/>
                <w:szCs w:val="18"/>
              </w:rPr>
              <w:t xml:space="preserve">180,845 </w:t>
            </w:r>
          </w:p>
        </w:tc>
        <w:tc>
          <w:tcPr>
            <w:tcW w:w="1134" w:type="dxa"/>
            <w:tcBorders>
              <w:top w:val="nil"/>
              <w:bottom w:val="nil"/>
            </w:tcBorders>
            <w:shd w:val="clear" w:color="auto" w:fill="auto"/>
          </w:tcPr>
          <w:p w14:paraId="4AB1C36A" w14:textId="77777777" w:rsidR="00A60D4B" w:rsidRPr="009F3EF4" w:rsidRDefault="00A60D4B" w:rsidP="00A60D4B">
            <w:pPr>
              <w:pStyle w:val="Btablefigureunbold"/>
              <w:rPr>
                <w:rFonts w:cs="Calibri"/>
                <w:sz w:val="18"/>
                <w:szCs w:val="18"/>
              </w:rPr>
            </w:pPr>
            <w:r>
              <w:rPr>
                <w:rFonts w:cs="Calibri"/>
                <w:sz w:val="18"/>
                <w:szCs w:val="18"/>
              </w:rPr>
              <w:t xml:space="preserve">213,554 </w:t>
            </w:r>
          </w:p>
        </w:tc>
        <w:tc>
          <w:tcPr>
            <w:tcW w:w="1134" w:type="dxa"/>
            <w:tcBorders>
              <w:top w:val="nil"/>
              <w:bottom w:val="nil"/>
            </w:tcBorders>
          </w:tcPr>
          <w:p w14:paraId="20A2A88E" w14:textId="77777777" w:rsidR="00A60D4B" w:rsidRPr="009F3EF4" w:rsidRDefault="00A60D4B" w:rsidP="00A60D4B">
            <w:pPr>
              <w:pStyle w:val="Btablefigureunbold"/>
              <w:rPr>
                <w:rFonts w:cs="Calibri"/>
                <w:sz w:val="18"/>
                <w:szCs w:val="18"/>
              </w:rPr>
            </w:pPr>
            <w:r>
              <w:rPr>
                <w:rFonts w:cs="Calibri"/>
                <w:sz w:val="18"/>
                <w:szCs w:val="18"/>
              </w:rPr>
              <w:t xml:space="preserve">106,827 </w:t>
            </w:r>
          </w:p>
        </w:tc>
      </w:tr>
      <w:tr w:rsidR="00A60D4B" w:rsidRPr="00337DC9" w14:paraId="74D779E0" w14:textId="77777777" w:rsidTr="00A60D4B">
        <w:trPr>
          <w:trHeight w:val="243"/>
        </w:trPr>
        <w:tc>
          <w:tcPr>
            <w:tcW w:w="2127" w:type="dxa"/>
            <w:tcBorders>
              <w:top w:val="nil"/>
              <w:bottom w:val="single" w:sz="4" w:space="0" w:color="auto"/>
            </w:tcBorders>
          </w:tcPr>
          <w:p w14:paraId="108101D0" w14:textId="77777777" w:rsidR="00A60D4B" w:rsidRPr="00481671" w:rsidRDefault="00A60D4B" w:rsidP="00A60D4B">
            <w:pPr>
              <w:pStyle w:val="Btabletextbolditalic"/>
              <w:rPr>
                <w:i w:val="0"/>
                <w:iCs/>
              </w:rPr>
            </w:pPr>
            <w:r w:rsidRPr="00481671">
              <w:rPr>
                <w:rFonts w:cs="Calibri"/>
                <w:i w:val="0"/>
                <w:iCs/>
                <w:sz w:val="18"/>
                <w:szCs w:val="18"/>
              </w:rPr>
              <w:t>Total Capital Grants</w:t>
            </w:r>
          </w:p>
        </w:tc>
        <w:tc>
          <w:tcPr>
            <w:tcW w:w="1134" w:type="dxa"/>
            <w:tcBorders>
              <w:top w:val="nil"/>
              <w:bottom w:val="single" w:sz="4" w:space="0" w:color="auto"/>
            </w:tcBorders>
          </w:tcPr>
          <w:p w14:paraId="402F4DB9" w14:textId="77777777" w:rsidR="00A60D4B" w:rsidRPr="009F3EF4" w:rsidRDefault="00A60D4B" w:rsidP="00A60D4B">
            <w:pPr>
              <w:pStyle w:val="Btablefigureunbold"/>
              <w:rPr>
                <w:b/>
              </w:rPr>
            </w:pPr>
            <w:r>
              <w:rPr>
                <w:rFonts w:cs="Calibri"/>
                <w:b/>
                <w:bCs/>
                <w:sz w:val="18"/>
                <w:szCs w:val="18"/>
              </w:rPr>
              <w:t xml:space="preserve">80,236 </w:t>
            </w:r>
          </w:p>
        </w:tc>
        <w:tc>
          <w:tcPr>
            <w:tcW w:w="1191" w:type="dxa"/>
            <w:tcBorders>
              <w:top w:val="nil"/>
              <w:bottom w:val="single" w:sz="4" w:space="0" w:color="auto"/>
            </w:tcBorders>
          </w:tcPr>
          <w:p w14:paraId="71C57EC8" w14:textId="77777777" w:rsidR="00A60D4B" w:rsidRPr="009F3EF4" w:rsidRDefault="00A60D4B" w:rsidP="00A60D4B">
            <w:pPr>
              <w:pStyle w:val="Btablefigureunbold"/>
              <w:rPr>
                <w:b/>
              </w:rPr>
            </w:pPr>
            <w:r>
              <w:rPr>
                <w:rFonts w:cs="Calibri"/>
                <w:b/>
                <w:bCs/>
                <w:sz w:val="18"/>
                <w:szCs w:val="18"/>
              </w:rPr>
              <w:t xml:space="preserve">63,559 </w:t>
            </w:r>
          </w:p>
        </w:tc>
        <w:tc>
          <w:tcPr>
            <w:tcW w:w="1134" w:type="dxa"/>
            <w:tcBorders>
              <w:top w:val="nil"/>
              <w:bottom w:val="single" w:sz="4" w:space="0" w:color="auto"/>
            </w:tcBorders>
            <w:shd w:val="clear" w:color="auto" w:fill="auto"/>
          </w:tcPr>
          <w:p w14:paraId="409DB0EC" w14:textId="77777777" w:rsidR="00A60D4B" w:rsidRPr="009F3EF4" w:rsidRDefault="00A60D4B" w:rsidP="00A60D4B">
            <w:pPr>
              <w:pStyle w:val="Btablefigureunbold"/>
              <w:rPr>
                <w:b/>
              </w:rPr>
            </w:pPr>
            <w:r>
              <w:rPr>
                <w:rFonts w:cs="Calibri"/>
                <w:b/>
                <w:bCs/>
                <w:sz w:val="18"/>
                <w:szCs w:val="18"/>
              </w:rPr>
              <w:t xml:space="preserve">100,308 </w:t>
            </w:r>
          </w:p>
        </w:tc>
        <w:tc>
          <w:tcPr>
            <w:tcW w:w="1134" w:type="dxa"/>
            <w:tcBorders>
              <w:top w:val="nil"/>
              <w:bottom w:val="single" w:sz="4" w:space="0" w:color="auto"/>
            </w:tcBorders>
            <w:shd w:val="clear" w:color="472D8C" w:fill="auto"/>
          </w:tcPr>
          <w:p w14:paraId="7C9927B8" w14:textId="77777777" w:rsidR="00A60D4B" w:rsidRPr="009F3EF4" w:rsidRDefault="00A60D4B" w:rsidP="00A60D4B">
            <w:pPr>
              <w:pStyle w:val="Btablefigureunbold"/>
              <w:rPr>
                <w:b/>
                <w:color w:val="000000"/>
              </w:rPr>
            </w:pPr>
            <w:r>
              <w:rPr>
                <w:rFonts w:cs="Calibri"/>
                <w:b/>
                <w:bCs/>
                <w:sz w:val="18"/>
                <w:szCs w:val="18"/>
              </w:rPr>
              <w:t xml:space="preserve">180,845 </w:t>
            </w:r>
          </w:p>
        </w:tc>
        <w:tc>
          <w:tcPr>
            <w:tcW w:w="1134" w:type="dxa"/>
            <w:tcBorders>
              <w:top w:val="nil"/>
              <w:bottom w:val="single" w:sz="4" w:space="0" w:color="auto"/>
            </w:tcBorders>
            <w:shd w:val="clear" w:color="auto" w:fill="auto"/>
          </w:tcPr>
          <w:p w14:paraId="1A95C3D1" w14:textId="77777777" w:rsidR="00A60D4B" w:rsidRPr="009F3EF4" w:rsidRDefault="00A60D4B" w:rsidP="00A60D4B">
            <w:pPr>
              <w:pStyle w:val="Btablefigureunbold"/>
              <w:rPr>
                <w:b/>
              </w:rPr>
            </w:pPr>
            <w:r>
              <w:rPr>
                <w:rFonts w:cs="Calibri"/>
                <w:b/>
                <w:bCs/>
                <w:sz w:val="18"/>
                <w:szCs w:val="18"/>
              </w:rPr>
              <w:t xml:space="preserve">213,554 </w:t>
            </w:r>
          </w:p>
        </w:tc>
        <w:tc>
          <w:tcPr>
            <w:tcW w:w="1134" w:type="dxa"/>
            <w:tcBorders>
              <w:top w:val="nil"/>
              <w:bottom w:val="single" w:sz="4" w:space="0" w:color="auto"/>
            </w:tcBorders>
          </w:tcPr>
          <w:p w14:paraId="7E85FA12" w14:textId="77777777" w:rsidR="00A60D4B" w:rsidRPr="009F3EF4" w:rsidRDefault="00A60D4B" w:rsidP="00A60D4B">
            <w:pPr>
              <w:pStyle w:val="Btablefigureunbold"/>
              <w:rPr>
                <w:b/>
              </w:rPr>
            </w:pPr>
            <w:r>
              <w:rPr>
                <w:rFonts w:cs="Calibri"/>
                <w:b/>
                <w:bCs/>
                <w:sz w:val="18"/>
                <w:szCs w:val="18"/>
              </w:rPr>
              <w:t xml:space="preserve">106,827 </w:t>
            </w:r>
          </w:p>
        </w:tc>
      </w:tr>
      <w:tr w:rsidR="00A60D4B" w:rsidRPr="00337DC9" w14:paraId="3B7B2FF8" w14:textId="77777777" w:rsidTr="00A60D4B">
        <w:trPr>
          <w:trHeight w:val="227"/>
        </w:trPr>
        <w:tc>
          <w:tcPr>
            <w:tcW w:w="2127" w:type="dxa"/>
            <w:tcBorders>
              <w:top w:val="single" w:sz="4" w:space="0" w:color="auto"/>
              <w:bottom w:val="single" w:sz="4" w:space="0" w:color="auto"/>
            </w:tcBorders>
          </w:tcPr>
          <w:p w14:paraId="096B719A" w14:textId="77777777" w:rsidR="00A60D4B" w:rsidRPr="00DC6089" w:rsidRDefault="00A60D4B" w:rsidP="00A60D4B">
            <w:pPr>
              <w:pStyle w:val="Btabletextbolditalic"/>
              <w:rPr>
                <w:i w:val="0"/>
                <w:iCs/>
                <w:color w:val="472D8C"/>
              </w:rPr>
            </w:pPr>
            <w:r w:rsidRPr="00DC6089">
              <w:rPr>
                <w:rFonts w:cs="Calibri"/>
                <w:i w:val="0"/>
                <w:iCs/>
                <w:color w:val="472D8C"/>
                <w:sz w:val="18"/>
                <w:szCs w:val="18"/>
              </w:rPr>
              <w:t>Total Commonwealth Government Funding</w:t>
            </w:r>
            <w:r w:rsidRPr="00244AB7">
              <w:rPr>
                <w:rFonts w:cs="Calibri"/>
                <w:i w:val="0"/>
                <w:iCs/>
                <w:color w:val="472D8C"/>
                <w:sz w:val="18"/>
                <w:szCs w:val="18"/>
                <w:vertAlign w:val="superscript"/>
              </w:rPr>
              <w:t>1</w:t>
            </w:r>
          </w:p>
        </w:tc>
        <w:tc>
          <w:tcPr>
            <w:tcW w:w="1134" w:type="dxa"/>
            <w:tcBorders>
              <w:top w:val="single" w:sz="4" w:space="0" w:color="auto"/>
              <w:bottom w:val="single" w:sz="4" w:space="0" w:color="auto"/>
            </w:tcBorders>
          </w:tcPr>
          <w:p w14:paraId="79F1D1B8" w14:textId="77777777" w:rsidR="00A60D4B" w:rsidRPr="00DC6089" w:rsidRDefault="00A60D4B" w:rsidP="00A60D4B">
            <w:pPr>
              <w:pStyle w:val="Btablefigureunbold"/>
              <w:rPr>
                <w:b/>
                <w:color w:val="472D8C"/>
              </w:rPr>
            </w:pPr>
            <w:r w:rsidRPr="00DC6089">
              <w:rPr>
                <w:rFonts w:cs="Calibri"/>
                <w:b/>
                <w:bCs/>
                <w:color w:val="472D8C"/>
                <w:sz w:val="18"/>
                <w:szCs w:val="18"/>
              </w:rPr>
              <w:t xml:space="preserve">2,379,732 </w:t>
            </w:r>
          </w:p>
        </w:tc>
        <w:tc>
          <w:tcPr>
            <w:tcW w:w="1191" w:type="dxa"/>
            <w:tcBorders>
              <w:top w:val="single" w:sz="4" w:space="0" w:color="auto"/>
              <w:bottom w:val="single" w:sz="4" w:space="0" w:color="auto"/>
            </w:tcBorders>
          </w:tcPr>
          <w:p w14:paraId="4D078990" w14:textId="77777777" w:rsidR="00A60D4B" w:rsidRPr="00DC6089" w:rsidRDefault="00A60D4B" w:rsidP="00A60D4B">
            <w:pPr>
              <w:pStyle w:val="Btablefigureunbold"/>
              <w:rPr>
                <w:b/>
                <w:color w:val="472D8C"/>
              </w:rPr>
            </w:pPr>
            <w:r w:rsidRPr="00DC6089">
              <w:rPr>
                <w:rFonts w:cs="Calibri"/>
                <w:b/>
                <w:bCs/>
                <w:color w:val="472D8C"/>
                <w:sz w:val="18"/>
                <w:szCs w:val="18"/>
              </w:rPr>
              <w:t>2,506,835</w:t>
            </w:r>
            <w:r w:rsidRPr="00DC6089">
              <w:rPr>
                <w:rFonts w:cs="Calibri"/>
                <w:b/>
                <w:bCs/>
                <w:color w:val="472D8C"/>
                <w:sz w:val="18"/>
                <w:szCs w:val="18"/>
                <w:vertAlign w:val="superscript"/>
              </w:rPr>
              <w:t>1</w:t>
            </w:r>
            <w:r w:rsidRPr="00DC6089">
              <w:rPr>
                <w:rFonts w:cs="Calibri"/>
                <w:b/>
                <w:bCs/>
                <w:color w:val="472D8C"/>
                <w:sz w:val="18"/>
                <w:szCs w:val="18"/>
              </w:rPr>
              <w:t xml:space="preserve"> </w:t>
            </w:r>
          </w:p>
        </w:tc>
        <w:tc>
          <w:tcPr>
            <w:tcW w:w="1134" w:type="dxa"/>
            <w:tcBorders>
              <w:top w:val="single" w:sz="4" w:space="0" w:color="auto"/>
              <w:bottom w:val="single" w:sz="4" w:space="0" w:color="auto"/>
            </w:tcBorders>
            <w:shd w:val="clear" w:color="auto" w:fill="auto"/>
          </w:tcPr>
          <w:p w14:paraId="35352DC2" w14:textId="77777777" w:rsidR="00A60D4B" w:rsidRPr="00DC6089" w:rsidRDefault="00A60D4B" w:rsidP="00A60D4B">
            <w:pPr>
              <w:pStyle w:val="Btablefigureunbold"/>
              <w:rPr>
                <w:b/>
                <w:color w:val="472D8C"/>
              </w:rPr>
            </w:pPr>
            <w:r w:rsidRPr="00DC6089">
              <w:rPr>
                <w:rFonts w:cs="Calibri"/>
                <w:b/>
                <w:bCs/>
                <w:color w:val="472D8C"/>
                <w:sz w:val="18"/>
                <w:szCs w:val="18"/>
              </w:rPr>
              <w:t xml:space="preserve">2,767,551 </w:t>
            </w:r>
          </w:p>
        </w:tc>
        <w:tc>
          <w:tcPr>
            <w:tcW w:w="1134" w:type="dxa"/>
            <w:tcBorders>
              <w:top w:val="single" w:sz="4" w:space="0" w:color="auto"/>
              <w:bottom w:val="single" w:sz="4" w:space="0" w:color="auto"/>
            </w:tcBorders>
            <w:shd w:val="clear" w:color="472D8C" w:fill="auto"/>
          </w:tcPr>
          <w:p w14:paraId="54293A26" w14:textId="77777777" w:rsidR="00A60D4B" w:rsidRPr="00DC6089" w:rsidRDefault="00A60D4B" w:rsidP="00A60D4B">
            <w:pPr>
              <w:pStyle w:val="Btablefigureunbold"/>
              <w:rPr>
                <w:b/>
                <w:color w:val="472D8C"/>
              </w:rPr>
            </w:pPr>
            <w:r w:rsidRPr="00DC6089">
              <w:rPr>
                <w:rFonts w:cs="Calibri"/>
                <w:b/>
                <w:bCs/>
                <w:color w:val="472D8C"/>
                <w:sz w:val="18"/>
                <w:szCs w:val="18"/>
              </w:rPr>
              <w:t xml:space="preserve">2,737,053 </w:t>
            </w:r>
          </w:p>
        </w:tc>
        <w:tc>
          <w:tcPr>
            <w:tcW w:w="1134" w:type="dxa"/>
            <w:tcBorders>
              <w:top w:val="single" w:sz="4" w:space="0" w:color="auto"/>
              <w:bottom w:val="single" w:sz="4" w:space="0" w:color="auto"/>
            </w:tcBorders>
            <w:shd w:val="clear" w:color="auto" w:fill="auto"/>
          </w:tcPr>
          <w:p w14:paraId="4CA8B95E" w14:textId="77777777" w:rsidR="00A60D4B" w:rsidRPr="00DC6089" w:rsidRDefault="00A60D4B" w:rsidP="00A60D4B">
            <w:pPr>
              <w:pStyle w:val="Btablefigureunbold"/>
              <w:rPr>
                <w:b/>
                <w:color w:val="472D8C"/>
              </w:rPr>
            </w:pPr>
            <w:r w:rsidRPr="00DC6089">
              <w:rPr>
                <w:rFonts w:cs="Calibri"/>
                <w:b/>
                <w:bCs/>
                <w:color w:val="472D8C"/>
                <w:sz w:val="18"/>
                <w:szCs w:val="18"/>
              </w:rPr>
              <w:t xml:space="preserve">2,865,514 </w:t>
            </w:r>
          </w:p>
        </w:tc>
        <w:tc>
          <w:tcPr>
            <w:tcW w:w="1134" w:type="dxa"/>
            <w:tcBorders>
              <w:top w:val="single" w:sz="4" w:space="0" w:color="auto"/>
              <w:bottom w:val="single" w:sz="4" w:space="0" w:color="auto"/>
            </w:tcBorders>
          </w:tcPr>
          <w:p w14:paraId="7FDC24C2" w14:textId="77777777" w:rsidR="00A60D4B" w:rsidRPr="00DC6089" w:rsidRDefault="00A60D4B" w:rsidP="00A60D4B">
            <w:pPr>
              <w:pStyle w:val="Btablefigureunbold"/>
              <w:rPr>
                <w:b/>
                <w:color w:val="472D8C"/>
              </w:rPr>
            </w:pPr>
            <w:r w:rsidRPr="00DC6089">
              <w:rPr>
                <w:rFonts w:cs="Calibri"/>
                <w:b/>
                <w:bCs/>
                <w:color w:val="472D8C"/>
                <w:sz w:val="18"/>
                <w:szCs w:val="18"/>
              </w:rPr>
              <w:t xml:space="preserve">2,859,841 </w:t>
            </w:r>
          </w:p>
        </w:tc>
      </w:tr>
    </w:tbl>
    <w:p w14:paraId="7FEC22EB" w14:textId="77777777" w:rsidR="00A60D4B" w:rsidRPr="00EA11DB" w:rsidRDefault="00A60D4B" w:rsidP="00A60D4B">
      <w:pPr>
        <w:pStyle w:val="BNoteBold"/>
      </w:pPr>
      <w:r w:rsidRPr="00EA11DB">
        <w:t>Note</w:t>
      </w:r>
      <w:r>
        <w:t>:</w:t>
      </w:r>
    </w:p>
    <w:p w14:paraId="21048BCE" w14:textId="77777777" w:rsidR="00A60D4B" w:rsidRPr="001B450E" w:rsidRDefault="00A60D4B" w:rsidP="001B450E">
      <w:pPr>
        <w:pStyle w:val="BNotelist"/>
        <w:numPr>
          <w:ilvl w:val="0"/>
          <w:numId w:val="76"/>
        </w:numPr>
        <w:rPr>
          <w:b/>
        </w:rPr>
      </w:pPr>
      <w:r w:rsidRPr="005F2652">
        <w:t>The 2020-21 Interim Outcome is consistent with the published June Quarter 2021 Consolidated Financial Report</w:t>
      </w:r>
      <w:r>
        <w:t>.</w:t>
      </w:r>
      <w:r w:rsidRPr="005F2652">
        <w:t xml:space="preserve"> </w:t>
      </w:r>
      <w:r>
        <w:t>T</w:t>
      </w:r>
      <w:r w:rsidRPr="005F2652">
        <w:t>h</w:t>
      </w:r>
      <w:r>
        <w:t>e</w:t>
      </w:r>
      <w:r w:rsidRPr="005F2652">
        <w:t xml:space="preserve"> numbers differ from the Total Commonwealth Funding to the ACT in chapter 3.6 – Federal Financial Relations due to the classification of some directly received grants by agencies as Commonwealth Grants revenue in the interim outcome. These directly received grants are classified as other revenue in the budget estimates.</w:t>
      </w:r>
    </w:p>
    <w:p w14:paraId="4674302F" w14:textId="77777777" w:rsidR="00A60D4B" w:rsidRDefault="00A60D4B" w:rsidP="00A60D4B">
      <w:pPr>
        <w:pStyle w:val="Heading3"/>
      </w:pPr>
      <w:r>
        <w:t>Sales of goods and services</w:t>
      </w:r>
    </w:p>
    <w:p w14:paraId="72694673" w14:textId="07C93B8F" w:rsidR="00A60D4B" w:rsidRPr="00955708" w:rsidRDefault="00A60D4B" w:rsidP="00955708">
      <w:pPr>
        <w:rPr>
          <w:rFonts w:ascii="Calibri" w:eastAsia="Times New Roman" w:hAnsi="Calibri" w:cs="Calibri"/>
          <w:lang w:eastAsia="en-AU"/>
        </w:rPr>
      </w:pPr>
      <w:r w:rsidRPr="00B96A03">
        <w:t xml:space="preserve">Sales of goods and services </w:t>
      </w:r>
      <w:bookmarkStart w:id="91" w:name="_Hlk49005285"/>
      <w:r w:rsidRPr="00B96A03">
        <w:t>revenue in 202</w:t>
      </w:r>
      <w:r>
        <w:t>1</w:t>
      </w:r>
      <w:r w:rsidRPr="00B96A03">
        <w:t>-2</w:t>
      </w:r>
      <w:r>
        <w:t xml:space="preserve">2 </w:t>
      </w:r>
      <w:r w:rsidRPr="00B96A03">
        <w:t>is estimated at $</w:t>
      </w:r>
      <w:r>
        <w:t>602.4</w:t>
      </w:r>
      <w:r w:rsidRPr="00B96A03">
        <w:t xml:space="preserve"> million and is forecast to increase to $6</w:t>
      </w:r>
      <w:r>
        <w:t>27.8</w:t>
      </w:r>
      <w:r w:rsidRPr="00B96A03">
        <w:t xml:space="preserve"> million in 202</w:t>
      </w:r>
      <w:r>
        <w:t>2</w:t>
      </w:r>
      <w:r w:rsidRPr="00FE2F93">
        <w:t>-2</w:t>
      </w:r>
      <w:r>
        <w:t>3</w:t>
      </w:r>
      <w:r w:rsidRPr="00FE2F93">
        <w:t xml:space="preserve">. </w:t>
      </w:r>
      <w:r>
        <w:t>Parking fees</w:t>
      </w:r>
      <w:r w:rsidRPr="00FE2F93">
        <w:t xml:space="preserve"> </w:t>
      </w:r>
      <w:r>
        <w:t xml:space="preserve">are expected to decline significantly </w:t>
      </w:r>
      <w:r w:rsidRPr="00FE2F93">
        <w:t>in 202</w:t>
      </w:r>
      <w:r>
        <w:t>1</w:t>
      </w:r>
      <w:r w:rsidRPr="00FE2F93">
        <w:t>-2</w:t>
      </w:r>
      <w:r>
        <w:t>2</w:t>
      </w:r>
      <w:r w:rsidRPr="00FE2F93">
        <w:t xml:space="preserve"> reflecting</w:t>
      </w:r>
      <w:r>
        <w:t xml:space="preserve"> the temporary pause in paid parking for Government-owned car parks</w:t>
      </w:r>
      <w:r w:rsidRPr="00FE2F93">
        <w:t xml:space="preserve"> </w:t>
      </w:r>
      <w:r>
        <w:t>during the current COVID-19 lockdown</w:t>
      </w:r>
      <w:r w:rsidRPr="00FE2F93">
        <w:t>.</w:t>
      </w:r>
      <w:r>
        <w:t xml:space="preserve"> T</w:t>
      </w:r>
      <w:r w:rsidRPr="00125AE8">
        <w:t xml:space="preserve">he Government is </w:t>
      </w:r>
      <w:r>
        <w:t xml:space="preserve">also </w:t>
      </w:r>
      <w:r w:rsidRPr="00125AE8">
        <w:t>providing support through reduced fees and charges for a number of occupations and businesses that have been significantly affected by restrictions due to the COVID-19 pandemic</w:t>
      </w:r>
      <w:r>
        <w:t xml:space="preserve">. Further information on this can be found in </w:t>
      </w:r>
      <w:r w:rsidR="00955708" w:rsidRPr="00955708">
        <w:rPr>
          <w:rFonts w:ascii="Calibri" w:eastAsia="Times New Roman" w:hAnsi="Calibri" w:cs="Calibri"/>
          <w:lang w:eastAsia="en-AU"/>
        </w:rPr>
        <w:t>Chapter 3.2 – Fiscal Strategy and Wellbeing Initiatives</w:t>
      </w:r>
      <w:r w:rsidR="00955708">
        <w:rPr>
          <w:rFonts w:ascii="Calibri" w:eastAsia="Times New Roman" w:hAnsi="Calibri" w:cs="Calibri"/>
          <w:lang w:eastAsia="en-AU"/>
        </w:rPr>
        <w:t>.</w:t>
      </w:r>
    </w:p>
    <w:bookmarkEnd w:id="91"/>
    <w:p w14:paraId="4BC09FA4" w14:textId="77777777" w:rsidR="00A60D4B" w:rsidRDefault="00A60D4B" w:rsidP="00A60D4B">
      <w:pPr>
        <w:rPr>
          <w:sz w:val="24"/>
        </w:rPr>
      </w:pPr>
      <w:r>
        <w:br w:type="page"/>
      </w:r>
    </w:p>
    <w:p w14:paraId="37B925C7" w14:textId="329FF495" w:rsidR="00A60D4B" w:rsidRDefault="00A60D4B" w:rsidP="00A60D4B">
      <w:pPr>
        <w:pStyle w:val="Caption"/>
      </w:pPr>
      <w:r>
        <w:lastRenderedPageBreak/>
        <w:t xml:space="preserve">Table </w:t>
      </w:r>
      <w:r w:rsidR="00FB4E5C">
        <w:fldChar w:fldCharType="begin"/>
      </w:r>
      <w:r w:rsidR="00FB4E5C">
        <w:instrText xml:space="preserve"> STYLEREF 2 \s </w:instrText>
      </w:r>
      <w:r w:rsidR="00FB4E5C">
        <w:fldChar w:fldCharType="separate"/>
      </w:r>
      <w:r w:rsidR="00F12A80">
        <w:rPr>
          <w:noProof/>
        </w:rPr>
        <w:t>3.5</w:t>
      </w:r>
      <w:r w:rsidR="00FB4E5C">
        <w:rPr>
          <w:noProof/>
        </w:rPr>
        <w:fldChar w:fldCharType="end"/>
      </w:r>
      <w:r>
        <w:t>.</w:t>
      </w:r>
      <w:r w:rsidR="00FB4E5C">
        <w:fldChar w:fldCharType="begin"/>
      </w:r>
      <w:r w:rsidR="00FB4E5C">
        <w:instrText xml:space="preserve"> SEQ Table \*</w:instrText>
      </w:r>
      <w:r w:rsidR="00FB4E5C">
        <w:instrText xml:space="preserve"> ARABIC \s 2 </w:instrText>
      </w:r>
      <w:r w:rsidR="00FB4E5C">
        <w:fldChar w:fldCharType="separate"/>
      </w:r>
      <w:r w:rsidR="00F12A80">
        <w:rPr>
          <w:noProof/>
        </w:rPr>
        <w:t>14</w:t>
      </w:r>
      <w:r w:rsidR="00FB4E5C">
        <w:rPr>
          <w:noProof/>
        </w:rPr>
        <w:fldChar w:fldCharType="end"/>
      </w:r>
      <w:r w:rsidRPr="009079B5">
        <w:t xml:space="preserve">: Sales of goods and </w:t>
      </w:r>
      <w:r w:rsidRPr="005C644C">
        <w:t xml:space="preserve">services </w:t>
      </w:r>
    </w:p>
    <w:tbl>
      <w:tblPr>
        <w:tblW w:w="9082" w:type="dxa"/>
        <w:tblBorders>
          <w:top w:val="single" w:sz="4" w:space="0" w:color="auto"/>
          <w:bottom w:val="single" w:sz="4" w:space="0" w:color="auto"/>
          <w:insideH w:val="single" w:sz="4" w:space="0" w:color="auto"/>
        </w:tblBorders>
        <w:tblLayout w:type="fixed"/>
        <w:tblCellMar>
          <w:left w:w="85" w:type="dxa"/>
          <w:right w:w="57" w:type="dxa"/>
        </w:tblCellMar>
        <w:tblLook w:val="04A0" w:firstRow="1" w:lastRow="0" w:firstColumn="1" w:lastColumn="0" w:noHBand="0" w:noVBand="1"/>
      </w:tblPr>
      <w:tblGrid>
        <w:gridCol w:w="2127"/>
        <w:gridCol w:w="1181"/>
        <w:gridCol w:w="1191"/>
        <w:gridCol w:w="1181"/>
        <w:gridCol w:w="1134"/>
        <w:gridCol w:w="1134"/>
        <w:gridCol w:w="1134"/>
      </w:tblGrid>
      <w:tr w:rsidR="00A60D4B" w:rsidRPr="008F5D57" w14:paraId="0108086E" w14:textId="77777777" w:rsidTr="00A60D4B">
        <w:trPr>
          <w:trHeight w:val="156"/>
        </w:trPr>
        <w:tc>
          <w:tcPr>
            <w:tcW w:w="2127" w:type="dxa"/>
            <w:tcBorders>
              <w:bottom w:val="single" w:sz="4" w:space="0" w:color="auto"/>
            </w:tcBorders>
            <w:shd w:val="clear" w:color="auto" w:fill="472D8C"/>
          </w:tcPr>
          <w:p w14:paraId="54EB1CE8" w14:textId="77777777" w:rsidR="00A60D4B" w:rsidRPr="00111524" w:rsidRDefault="00A60D4B" w:rsidP="00A60D4B">
            <w:pPr>
              <w:rPr>
                <w:rFonts w:cs="Calibri"/>
                <w:b/>
                <w:color w:val="FFFFFF" w:themeColor="background1"/>
                <w:sz w:val="20"/>
              </w:rPr>
            </w:pPr>
          </w:p>
        </w:tc>
        <w:tc>
          <w:tcPr>
            <w:tcW w:w="1181" w:type="dxa"/>
            <w:tcBorders>
              <w:bottom w:val="single" w:sz="4" w:space="0" w:color="auto"/>
            </w:tcBorders>
            <w:shd w:val="clear" w:color="auto" w:fill="472D8C"/>
          </w:tcPr>
          <w:p w14:paraId="3CCD6805" w14:textId="77777777" w:rsidR="006F1DF8"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Budget</w:t>
            </w:r>
            <w:r>
              <w:rPr>
                <w:color w:val="FFFFFF" w:themeColor="background1"/>
              </w:rPr>
              <w:br/>
            </w:r>
          </w:p>
          <w:p w14:paraId="5AC0D369" w14:textId="03646042" w:rsidR="00A60D4B" w:rsidRPr="00111524" w:rsidRDefault="00A60D4B" w:rsidP="00A60D4B">
            <w:pPr>
              <w:pStyle w:val="BTableHeadingRowRightAligned"/>
              <w:rPr>
                <w:color w:val="FFFFFF" w:themeColor="background1"/>
              </w:rPr>
            </w:pPr>
            <w:r>
              <w:rPr>
                <w:color w:val="FFFFFF" w:themeColor="background1"/>
              </w:rPr>
              <w:t>$’000</w:t>
            </w:r>
          </w:p>
        </w:tc>
        <w:tc>
          <w:tcPr>
            <w:tcW w:w="1191" w:type="dxa"/>
            <w:tcBorders>
              <w:bottom w:val="single" w:sz="4" w:space="0" w:color="auto"/>
            </w:tcBorders>
            <w:shd w:val="clear" w:color="auto" w:fill="472D8C"/>
          </w:tcPr>
          <w:p w14:paraId="327B48E6" w14:textId="77777777" w:rsidR="00A60D4B" w:rsidRPr="00111524"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Interim outcome</w:t>
            </w:r>
            <w:r>
              <w:rPr>
                <w:color w:val="FFFFFF" w:themeColor="background1"/>
              </w:rPr>
              <w:br/>
              <w:t>$’000</w:t>
            </w:r>
          </w:p>
        </w:tc>
        <w:tc>
          <w:tcPr>
            <w:tcW w:w="1181" w:type="dxa"/>
            <w:tcBorders>
              <w:bottom w:val="single" w:sz="4" w:space="0" w:color="auto"/>
            </w:tcBorders>
            <w:shd w:val="clear" w:color="auto" w:fill="472D8C"/>
          </w:tcPr>
          <w:p w14:paraId="6B3AC579" w14:textId="77777777" w:rsidR="006F1DF8" w:rsidRDefault="00A60D4B" w:rsidP="00A60D4B">
            <w:pPr>
              <w:pStyle w:val="BTableHeadingRowRightAligned"/>
              <w:rPr>
                <w:color w:val="FFFFFF" w:themeColor="background1"/>
              </w:rPr>
            </w:pPr>
            <w:r>
              <w:rPr>
                <w:color w:val="FFFFFF" w:themeColor="background1"/>
              </w:rPr>
              <w:t xml:space="preserve">2021-22 </w:t>
            </w:r>
            <w:r>
              <w:rPr>
                <w:color w:val="FFFFFF" w:themeColor="background1"/>
              </w:rPr>
              <w:br/>
              <w:t>Budget</w:t>
            </w:r>
            <w:r>
              <w:rPr>
                <w:color w:val="FFFFFF" w:themeColor="background1"/>
              </w:rPr>
              <w:br/>
            </w:r>
          </w:p>
          <w:p w14:paraId="3EA86CA8" w14:textId="2F1C4974" w:rsidR="00A60D4B" w:rsidRPr="00111524" w:rsidRDefault="00A60D4B" w:rsidP="00A60D4B">
            <w:pPr>
              <w:pStyle w:val="BTableHeadingRowRightAligned"/>
              <w:rPr>
                <w:color w:val="FFFFFF" w:themeColor="background1"/>
              </w:rPr>
            </w:pPr>
            <w:r>
              <w:rPr>
                <w:color w:val="FFFFFF" w:themeColor="background1"/>
              </w:rPr>
              <w:t>$’000</w:t>
            </w:r>
          </w:p>
        </w:tc>
        <w:tc>
          <w:tcPr>
            <w:tcW w:w="1134" w:type="dxa"/>
            <w:tcBorders>
              <w:bottom w:val="single" w:sz="4" w:space="0" w:color="auto"/>
            </w:tcBorders>
            <w:shd w:val="clear" w:color="auto" w:fill="472D8C"/>
          </w:tcPr>
          <w:p w14:paraId="2235328A" w14:textId="77777777" w:rsidR="006F1DF8" w:rsidRDefault="00A60D4B" w:rsidP="00A60D4B">
            <w:pPr>
              <w:pStyle w:val="BTableHeadingRowRightAligned"/>
              <w:rPr>
                <w:color w:val="FFFFFF" w:themeColor="background1"/>
              </w:rPr>
            </w:pPr>
            <w:r>
              <w:rPr>
                <w:color w:val="FFFFFF" w:themeColor="background1"/>
              </w:rPr>
              <w:t>2022-23</w:t>
            </w:r>
            <w:r>
              <w:rPr>
                <w:color w:val="FFFFFF" w:themeColor="background1"/>
              </w:rPr>
              <w:br/>
              <w:t>Estimate</w:t>
            </w:r>
            <w:r>
              <w:rPr>
                <w:color w:val="FFFFFF" w:themeColor="background1"/>
              </w:rPr>
              <w:br/>
            </w:r>
          </w:p>
          <w:p w14:paraId="5E5D3F59" w14:textId="48B6A718" w:rsidR="00A60D4B" w:rsidRPr="00111524" w:rsidRDefault="00A60D4B" w:rsidP="00A60D4B">
            <w:pPr>
              <w:pStyle w:val="BTableHeadingRowRightAligned"/>
              <w:rPr>
                <w:color w:val="FFFFFF" w:themeColor="background1"/>
              </w:rPr>
            </w:pPr>
            <w:r>
              <w:rPr>
                <w:color w:val="FFFFFF" w:themeColor="background1"/>
              </w:rPr>
              <w:t>$’000</w:t>
            </w:r>
          </w:p>
        </w:tc>
        <w:tc>
          <w:tcPr>
            <w:tcW w:w="1134" w:type="dxa"/>
            <w:tcBorders>
              <w:bottom w:val="single" w:sz="4" w:space="0" w:color="auto"/>
            </w:tcBorders>
            <w:shd w:val="clear" w:color="auto" w:fill="472D8C"/>
          </w:tcPr>
          <w:p w14:paraId="5E102689" w14:textId="77777777" w:rsidR="006F1DF8" w:rsidRDefault="00A60D4B" w:rsidP="00A60D4B">
            <w:pPr>
              <w:pStyle w:val="BTableHeadingRowRightAligned"/>
              <w:rPr>
                <w:color w:val="FFFFFF" w:themeColor="background1"/>
              </w:rPr>
            </w:pPr>
            <w:r>
              <w:rPr>
                <w:color w:val="FFFFFF" w:themeColor="background1"/>
              </w:rPr>
              <w:t>2023-24</w:t>
            </w:r>
            <w:r>
              <w:rPr>
                <w:color w:val="FFFFFF" w:themeColor="background1"/>
              </w:rPr>
              <w:br/>
              <w:t>Estimate</w:t>
            </w:r>
            <w:r>
              <w:rPr>
                <w:color w:val="FFFFFF" w:themeColor="background1"/>
              </w:rPr>
              <w:br/>
            </w:r>
          </w:p>
          <w:p w14:paraId="3A541CC3" w14:textId="6DE0A468" w:rsidR="00A60D4B" w:rsidRPr="00111524" w:rsidRDefault="00A60D4B" w:rsidP="00A60D4B">
            <w:pPr>
              <w:pStyle w:val="BTableHeadingRowRightAligned"/>
              <w:rPr>
                <w:color w:val="FFFFFF" w:themeColor="background1"/>
              </w:rPr>
            </w:pPr>
            <w:r>
              <w:rPr>
                <w:color w:val="FFFFFF" w:themeColor="background1"/>
              </w:rPr>
              <w:t>$’000</w:t>
            </w:r>
          </w:p>
        </w:tc>
        <w:tc>
          <w:tcPr>
            <w:tcW w:w="1134" w:type="dxa"/>
            <w:tcBorders>
              <w:bottom w:val="single" w:sz="4" w:space="0" w:color="auto"/>
            </w:tcBorders>
            <w:shd w:val="clear" w:color="auto" w:fill="472D8C"/>
          </w:tcPr>
          <w:p w14:paraId="0DE468A3" w14:textId="77777777" w:rsidR="006F1DF8" w:rsidRDefault="00A60D4B" w:rsidP="00A60D4B">
            <w:pPr>
              <w:pStyle w:val="BTableHeadingRowRightAligned"/>
              <w:rPr>
                <w:color w:val="FFFFFF" w:themeColor="background1"/>
              </w:rPr>
            </w:pPr>
            <w:r>
              <w:rPr>
                <w:color w:val="FFFFFF" w:themeColor="background1"/>
              </w:rPr>
              <w:t>2024-25</w:t>
            </w:r>
            <w:r>
              <w:rPr>
                <w:color w:val="FFFFFF" w:themeColor="background1"/>
              </w:rPr>
              <w:br/>
              <w:t>Estimate</w:t>
            </w:r>
            <w:r>
              <w:rPr>
                <w:color w:val="FFFFFF" w:themeColor="background1"/>
              </w:rPr>
              <w:br/>
            </w:r>
          </w:p>
          <w:p w14:paraId="47E0401A" w14:textId="2CA3403E" w:rsidR="00A60D4B" w:rsidRPr="00111524" w:rsidRDefault="00A60D4B" w:rsidP="00A60D4B">
            <w:pPr>
              <w:pStyle w:val="BTableHeadingRowRightAligned"/>
              <w:rPr>
                <w:color w:val="FFFFFF" w:themeColor="background1"/>
              </w:rPr>
            </w:pPr>
            <w:r>
              <w:rPr>
                <w:color w:val="FFFFFF" w:themeColor="background1"/>
              </w:rPr>
              <w:t>$’000</w:t>
            </w:r>
          </w:p>
        </w:tc>
      </w:tr>
      <w:tr w:rsidR="00A60D4B" w:rsidRPr="00337DC9" w14:paraId="3230F2ED" w14:textId="77777777" w:rsidTr="00A60D4B">
        <w:trPr>
          <w:trHeight w:val="20"/>
        </w:trPr>
        <w:tc>
          <w:tcPr>
            <w:tcW w:w="2127" w:type="dxa"/>
            <w:tcBorders>
              <w:top w:val="nil"/>
              <w:bottom w:val="nil"/>
            </w:tcBorders>
            <w:vAlign w:val="bottom"/>
          </w:tcPr>
          <w:p w14:paraId="2C38156A" w14:textId="77777777" w:rsidR="00A60D4B" w:rsidRPr="002F2F75" w:rsidRDefault="00A60D4B" w:rsidP="00A60D4B">
            <w:pPr>
              <w:pStyle w:val="Btabletextitalic"/>
              <w:rPr>
                <w:b/>
                <w:bCs/>
                <w:sz w:val="18"/>
                <w:szCs w:val="18"/>
              </w:rPr>
            </w:pPr>
            <w:r w:rsidRPr="003D03A1">
              <w:rPr>
                <w:rFonts w:cs="Calibri"/>
                <w:b/>
                <w:bCs/>
                <w:i w:val="0"/>
                <w:iCs/>
                <w:sz w:val="18"/>
                <w:szCs w:val="18"/>
              </w:rPr>
              <w:t>Regulatory fees</w:t>
            </w:r>
          </w:p>
        </w:tc>
        <w:tc>
          <w:tcPr>
            <w:tcW w:w="1181" w:type="dxa"/>
            <w:tcBorders>
              <w:bottom w:val="nil"/>
            </w:tcBorders>
          </w:tcPr>
          <w:p w14:paraId="7E9A58D9" w14:textId="77777777" w:rsidR="00A60D4B" w:rsidRPr="001015CD" w:rsidRDefault="00A60D4B" w:rsidP="00A60D4B">
            <w:pPr>
              <w:pStyle w:val="Btablefigureunbold"/>
              <w:rPr>
                <w:b/>
                <w:sz w:val="18"/>
                <w:szCs w:val="18"/>
              </w:rPr>
            </w:pPr>
            <w:r w:rsidRPr="001015CD">
              <w:rPr>
                <w:rFonts w:cs="Calibri"/>
                <w:sz w:val="18"/>
                <w:szCs w:val="18"/>
              </w:rPr>
              <w:t> </w:t>
            </w:r>
          </w:p>
        </w:tc>
        <w:tc>
          <w:tcPr>
            <w:tcW w:w="1191" w:type="dxa"/>
            <w:tcBorders>
              <w:bottom w:val="nil"/>
            </w:tcBorders>
          </w:tcPr>
          <w:p w14:paraId="024F8445" w14:textId="77777777" w:rsidR="00A60D4B" w:rsidRPr="001015CD" w:rsidRDefault="00A60D4B" w:rsidP="00A60D4B">
            <w:pPr>
              <w:pStyle w:val="Btablefigureunbold"/>
              <w:rPr>
                <w:b/>
                <w:sz w:val="18"/>
                <w:szCs w:val="18"/>
              </w:rPr>
            </w:pPr>
            <w:r w:rsidRPr="001015CD">
              <w:rPr>
                <w:rFonts w:cs="Calibri"/>
                <w:sz w:val="18"/>
                <w:szCs w:val="18"/>
              </w:rPr>
              <w:t> </w:t>
            </w:r>
          </w:p>
        </w:tc>
        <w:tc>
          <w:tcPr>
            <w:tcW w:w="1181" w:type="dxa"/>
            <w:tcBorders>
              <w:bottom w:val="nil"/>
            </w:tcBorders>
            <w:shd w:val="clear" w:color="auto" w:fill="auto"/>
          </w:tcPr>
          <w:p w14:paraId="3F91F780" w14:textId="77777777" w:rsidR="00A60D4B" w:rsidRPr="007F788F" w:rsidRDefault="00A60D4B" w:rsidP="00A60D4B">
            <w:pPr>
              <w:pStyle w:val="Btablefigureunbold"/>
              <w:rPr>
                <w:sz w:val="18"/>
                <w:szCs w:val="18"/>
              </w:rPr>
            </w:pPr>
            <w:r w:rsidRPr="007F788F">
              <w:rPr>
                <w:rFonts w:cs="Calibri"/>
                <w:sz w:val="18"/>
                <w:szCs w:val="18"/>
              </w:rPr>
              <w:t> </w:t>
            </w:r>
          </w:p>
        </w:tc>
        <w:tc>
          <w:tcPr>
            <w:tcW w:w="1134" w:type="dxa"/>
            <w:tcBorders>
              <w:bottom w:val="nil"/>
            </w:tcBorders>
            <w:shd w:val="clear" w:color="472D8C" w:fill="auto"/>
          </w:tcPr>
          <w:p w14:paraId="5DD0B853" w14:textId="77777777" w:rsidR="00A60D4B" w:rsidRPr="001015CD" w:rsidRDefault="00A60D4B" w:rsidP="00A60D4B">
            <w:pPr>
              <w:pStyle w:val="Btablefigureunbold"/>
              <w:rPr>
                <w:b/>
                <w:color w:val="000000"/>
                <w:sz w:val="18"/>
                <w:szCs w:val="18"/>
              </w:rPr>
            </w:pPr>
            <w:r w:rsidRPr="001015CD">
              <w:rPr>
                <w:rFonts w:cs="Calibri"/>
                <w:sz w:val="18"/>
                <w:szCs w:val="18"/>
              </w:rPr>
              <w:t> </w:t>
            </w:r>
          </w:p>
        </w:tc>
        <w:tc>
          <w:tcPr>
            <w:tcW w:w="1134" w:type="dxa"/>
            <w:tcBorders>
              <w:bottom w:val="nil"/>
            </w:tcBorders>
            <w:shd w:val="clear" w:color="auto" w:fill="auto"/>
          </w:tcPr>
          <w:p w14:paraId="2B3C3C4B" w14:textId="77777777" w:rsidR="00A60D4B" w:rsidRPr="001015CD" w:rsidRDefault="00A60D4B" w:rsidP="00A60D4B">
            <w:pPr>
              <w:pStyle w:val="Btablefigureunbold"/>
              <w:rPr>
                <w:b/>
                <w:sz w:val="18"/>
                <w:szCs w:val="18"/>
              </w:rPr>
            </w:pPr>
            <w:r w:rsidRPr="001015CD">
              <w:rPr>
                <w:rFonts w:cs="Calibri"/>
                <w:sz w:val="18"/>
                <w:szCs w:val="18"/>
              </w:rPr>
              <w:t> </w:t>
            </w:r>
          </w:p>
        </w:tc>
        <w:tc>
          <w:tcPr>
            <w:tcW w:w="1134" w:type="dxa"/>
            <w:tcBorders>
              <w:bottom w:val="nil"/>
            </w:tcBorders>
          </w:tcPr>
          <w:p w14:paraId="40E1D18D" w14:textId="77777777" w:rsidR="00A60D4B" w:rsidRPr="001015CD" w:rsidRDefault="00A60D4B" w:rsidP="00A60D4B">
            <w:pPr>
              <w:pStyle w:val="Btablefigureunbold"/>
              <w:rPr>
                <w:b/>
                <w:sz w:val="18"/>
                <w:szCs w:val="18"/>
              </w:rPr>
            </w:pPr>
            <w:r w:rsidRPr="001015CD">
              <w:rPr>
                <w:rFonts w:cs="Calibri"/>
                <w:sz w:val="18"/>
                <w:szCs w:val="18"/>
              </w:rPr>
              <w:t> </w:t>
            </w:r>
          </w:p>
        </w:tc>
      </w:tr>
      <w:tr w:rsidR="00A60D4B" w:rsidRPr="00337DC9" w14:paraId="2CC85F2C" w14:textId="77777777" w:rsidTr="00A60D4B">
        <w:trPr>
          <w:trHeight w:val="20"/>
        </w:trPr>
        <w:tc>
          <w:tcPr>
            <w:tcW w:w="2127" w:type="dxa"/>
            <w:tcBorders>
              <w:top w:val="nil"/>
              <w:bottom w:val="nil"/>
            </w:tcBorders>
            <w:vAlign w:val="bottom"/>
          </w:tcPr>
          <w:p w14:paraId="1AE44CBC" w14:textId="77777777" w:rsidR="00A60D4B" w:rsidRPr="002F2F75" w:rsidRDefault="00A60D4B" w:rsidP="00A60D4B">
            <w:pPr>
              <w:pStyle w:val="Btabletextunbold"/>
              <w:rPr>
                <w:bCs/>
                <w:sz w:val="18"/>
                <w:szCs w:val="18"/>
              </w:rPr>
            </w:pPr>
            <w:r w:rsidRPr="002F2F75">
              <w:rPr>
                <w:rFonts w:cs="Calibri"/>
                <w:bCs/>
                <w:sz w:val="18"/>
                <w:szCs w:val="18"/>
              </w:rPr>
              <w:t>Casino licence fees</w:t>
            </w:r>
          </w:p>
        </w:tc>
        <w:tc>
          <w:tcPr>
            <w:tcW w:w="1181" w:type="dxa"/>
            <w:tcBorders>
              <w:top w:val="nil"/>
              <w:bottom w:val="nil"/>
            </w:tcBorders>
          </w:tcPr>
          <w:p w14:paraId="43608B95" w14:textId="77777777" w:rsidR="00A60D4B" w:rsidRPr="001015CD" w:rsidRDefault="00A60D4B" w:rsidP="00A60D4B">
            <w:pPr>
              <w:pStyle w:val="Btablefigureunbold"/>
              <w:rPr>
                <w:b/>
                <w:sz w:val="18"/>
                <w:szCs w:val="18"/>
              </w:rPr>
            </w:pPr>
            <w:r>
              <w:rPr>
                <w:rFonts w:cs="Calibri"/>
                <w:sz w:val="18"/>
                <w:szCs w:val="18"/>
              </w:rPr>
              <w:t xml:space="preserve">1,008 </w:t>
            </w:r>
          </w:p>
        </w:tc>
        <w:tc>
          <w:tcPr>
            <w:tcW w:w="1191" w:type="dxa"/>
            <w:tcBorders>
              <w:top w:val="nil"/>
              <w:bottom w:val="nil"/>
            </w:tcBorders>
          </w:tcPr>
          <w:p w14:paraId="69D7B150" w14:textId="77777777" w:rsidR="00A60D4B" w:rsidRPr="001015CD" w:rsidRDefault="00A60D4B" w:rsidP="00A60D4B">
            <w:pPr>
              <w:pStyle w:val="Btablefigureunbold"/>
              <w:rPr>
                <w:b/>
                <w:sz w:val="18"/>
                <w:szCs w:val="18"/>
              </w:rPr>
            </w:pPr>
            <w:r>
              <w:rPr>
                <w:rFonts w:cs="Calibri"/>
                <w:sz w:val="18"/>
                <w:szCs w:val="18"/>
              </w:rPr>
              <w:t xml:space="preserve">990 </w:t>
            </w:r>
          </w:p>
        </w:tc>
        <w:tc>
          <w:tcPr>
            <w:tcW w:w="1181" w:type="dxa"/>
            <w:tcBorders>
              <w:top w:val="nil"/>
              <w:bottom w:val="nil"/>
            </w:tcBorders>
            <w:shd w:val="clear" w:color="auto" w:fill="auto"/>
          </w:tcPr>
          <w:p w14:paraId="12BA3045" w14:textId="77777777" w:rsidR="00A60D4B" w:rsidRPr="007F788F" w:rsidRDefault="00A60D4B" w:rsidP="00A60D4B">
            <w:pPr>
              <w:pStyle w:val="BTablefigureBold"/>
              <w:rPr>
                <w:b w:val="0"/>
                <w:sz w:val="18"/>
                <w:szCs w:val="18"/>
              </w:rPr>
            </w:pPr>
            <w:r w:rsidRPr="007F788F">
              <w:rPr>
                <w:rFonts w:cs="Calibri"/>
                <w:b w:val="0"/>
                <w:sz w:val="18"/>
                <w:szCs w:val="18"/>
              </w:rPr>
              <w:t xml:space="preserve">1,021 </w:t>
            </w:r>
          </w:p>
        </w:tc>
        <w:tc>
          <w:tcPr>
            <w:tcW w:w="1134" w:type="dxa"/>
            <w:tcBorders>
              <w:top w:val="nil"/>
              <w:bottom w:val="nil"/>
            </w:tcBorders>
            <w:shd w:val="clear" w:color="472D8C" w:fill="auto"/>
          </w:tcPr>
          <w:p w14:paraId="0BDA7141" w14:textId="77777777" w:rsidR="00A60D4B" w:rsidRPr="001015CD" w:rsidRDefault="00A60D4B" w:rsidP="00A60D4B">
            <w:pPr>
              <w:pStyle w:val="Btablefigureunbold"/>
              <w:rPr>
                <w:b/>
                <w:color w:val="000000"/>
                <w:sz w:val="18"/>
                <w:szCs w:val="18"/>
              </w:rPr>
            </w:pPr>
            <w:r>
              <w:rPr>
                <w:rFonts w:cs="Calibri"/>
                <w:sz w:val="18"/>
                <w:szCs w:val="18"/>
              </w:rPr>
              <w:t xml:space="preserve">1,036 </w:t>
            </w:r>
          </w:p>
        </w:tc>
        <w:tc>
          <w:tcPr>
            <w:tcW w:w="1134" w:type="dxa"/>
            <w:tcBorders>
              <w:top w:val="nil"/>
              <w:bottom w:val="nil"/>
            </w:tcBorders>
            <w:shd w:val="clear" w:color="auto" w:fill="auto"/>
          </w:tcPr>
          <w:p w14:paraId="56378834" w14:textId="77777777" w:rsidR="00A60D4B" w:rsidRPr="001015CD" w:rsidRDefault="00A60D4B" w:rsidP="00A60D4B">
            <w:pPr>
              <w:pStyle w:val="Btablefigureunbold"/>
              <w:rPr>
                <w:b/>
                <w:sz w:val="18"/>
                <w:szCs w:val="18"/>
              </w:rPr>
            </w:pPr>
            <w:r>
              <w:rPr>
                <w:rFonts w:cs="Calibri"/>
                <w:sz w:val="18"/>
                <w:szCs w:val="18"/>
              </w:rPr>
              <w:t xml:space="preserve">1,054 </w:t>
            </w:r>
          </w:p>
        </w:tc>
        <w:tc>
          <w:tcPr>
            <w:tcW w:w="1134" w:type="dxa"/>
            <w:tcBorders>
              <w:top w:val="nil"/>
              <w:bottom w:val="nil"/>
            </w:tcBorders>
          </w:tcPr>
          <w:p w14:paraId="2B711892" w14:textId="77777777" w:rsidR="00A60D4B" w:rsidRPr="001015CD" w:rsidRDefault="00A60D4B" w:rsidP="00A60D4B">
            <w:pPr>
              <w:pStyle w:val="Btablefigureunbold"/>
              <w:rPr>
                <w:b/>
                <w:sz w:val="18"/>
                <w:szCs w:val="18"/>
              </w:rPr>
            </w:pPr>
            <w:r>
              <w:rPr>
                <w:rFonts w:cs="Calibri"/>
                <w:sz w:val="18"/>
                <w:szCs w:val="18"/>
              </w:rPr>
              <w:t xml:space="preserve">1,072 </w:t>
            </w:r>
          </w:p>
        </w:tc>
      </w:tr>
      <w:tr w:rsidR="00A60D4B" w:rsidRPr="00337DC9" w14:paraId="4F183124" w14:textId="77777777" w:rsidTr="00A60D4B">
        <w:trPr>
          <w:trHeight w:val="20"/>
        </w:trPr>
        <w:tc>
          <w:tcPr>
            <w:tcW w:w="2127" w:type="dxa"/>
            <w:tcBorders>
              <w:top w:val="nil"/>
              <w:bottom w:val="nil"/>
            </w:tcBorders>
            <w:vAlign w:val="bottom"/>
          </w:tcPr>
          <w:p w14:paraId="1DF7F56D" w14:textId="77777777" w:rsidR="00A60D4B" w:rsidRPr="002F2F75" w:rsidRDefault="00A60D4B" w:rsidP="00A60D4B">
            <w:pPr>
              <w:pStyle w:val="Btabletextunbold"/>
              <w:rPr>
                <w:bCs/>
                <w:sz w:val="18"/>
                <w:szCs w:val="18"/>
              </w:rPr>
            </w:pPr>
            <w:r w:rsidRPr="002F2F75">
              <w:rPr>
                <w:rFonts w:cs="Calibri"/>
                <w:bCs/>
                <w:sz w:val="18"/>
                <w:szCs w:val="18"/>
              </w:rPr>
              <w:t>Drivers licences</w:t>
            </w:r>
          </w:p>
        </w:tc>
        <w:tc>
          <w:tcPr>
            <w:tcW w:w="1181" w:type="dxa"/>
            <w:tcBorders>
              <w:top w:val="nil"/>
              <w:bottom w:val="nil"/>
            </w:tcBorders>
          </w:tcPr>
          <w:p w14:paraId="4C8F134A" w14:textId="77777777" w:rsidR="00A60D4B" w:rsidRPr="001015CD" w:rsidRDefault="00A60D4B" w:rsidP="00A60D4B">
            <w:pPr>
              <w:pStyle w:val="Btablefigureunbold"/>
              <w:rPr>
                <w:b/>
                <w:sz w:val="18"/>
                <w:szCs w:val="18"/>
              </w:rPr>
            </w:pPr>
            <w:r>
              <w:rPr>
                <w:rFonts w:cs="Calibri"/>
                <w:sz w:val="18"/>
                <w:szCs w:val="18"/>
              </w:rPr>
              <w:t xml:space="preserve">13,951 </w:t>
            </w:r>
          </w:p>
        </w:tc>
        <w:tc>
          <w:tcPr>
            <w:tcW w:w="1191" w:type="dxa"/>
            <w:tcBorders>
              <w:top w:val="nil"/>
              <w:bottom w:val="nil"/>
            </w:tcBorders>
          </w:tcPr>
          <w:p w14:paraId="27E3DCAB" w14:textId="77777777" w:rsidR="00A60D4B" w:rsidRPr="001015CD" w:rsidRDefault="00A60D4B" w:rsidP="00A60D4B">
            <w:pPr>
              <w:pStyle w:val="Btablefigureunbold"/>
              <w:rPr>
                <w:b/>
                <w:sz w:val="18"/>
                <w:szCs w:val="18"/>
              </w:rPr>
            </w:pPr>
            <w:r>
              <w:rPr>
                <w:rFonts w:cs="Calibri"/>
                <w:sz w:val="18"/>
                <w:szCs w:val="18"/>
              </w:rPr>
              <w:t xml:space="preserve">12,995 </w:t>
            </w:r>
          </w:p>
        </w:tc>
        <w:tc>
          <w:tcPr>
            <w:tcW w:w="1181" w:type="dxa"/>
            <w:tcBorders>
              <w:top w:val="nil"/>
              <w:bottom w:val="nil"/>
            </w:tcBorders>
            <w:shd w:val="clear" w:color="auto" w:fill="auto"/>
          </w:tcPr>
          <w:p w14:paraId="6B955D57" w14:textId="77777777" w:rsidR="00A60D4B" w:rsidRPr="007F788F" w:rsidRDefault="00A60D4B" w:rsidP="00A60D4B">
            <w:pPr>
              <w:pStyle w:val="BTablefigureBold"/>
              <w:rPr>
                <w:b w:val="0"/>
                <w:sz w:val="18"/>
                <w:szCs w:val="18"/>
              </w:rPr>
            </w:pPr>
            <w:r w:rsidRPr="007F788F">
              <w:rPr>
                <w:rFonts w:cs="Calibri"/>
                <w:b w:val="0"/>
                <w:sz w:val="18"/>
                <w:szCs w:val="18"/>
              </w:rPr>
              <w:t xml:space="preserve">14,334 </w:t>
            </w:r>
          </w:p>
        </w:tc>
        <w:tc>
          <w:tcPr>
            <w:tcW w:w="1134" w:type="dxa"/>
            <w:tcBorders>
              <w:top w:val="nil"/>
              <w:bottom w:val="nil"/>
            </w:tcBorders>
            <w:shd w:val="clear" w:color="472D8C" w:fill="auto"/>
          </w:tcPr>
          <w:p w14:paraId="5C2ACEE9" w14:textId="77777777" w:rsidR="00A60D4B" w:rsidRPr="001015CD" w:rsidRDefault="00A60D4B" w:rsidP="00A60D4B">
            <w:pPr>
              <w:pStyle w:val="Btablefigureunbold"/>
              <w:rPr>
                <w:b/>
                <w:color w:val="000000"/>
                <w:sz w:val="18"/>
                <w:szCs w:val="18"/>
              </w:rPr>
            </w:pPr>
            <w:r>
              <w:rPr>
                <w:rFonts w:cs="Calibri"/>
                <w:sz w:val="18"/>
                <w:szCs w:val="18"/>
              </w:rPr>
              <w:t xml:space="preserve">12,447 </w:t>
            </w:r>
          </w:p>
        </w:tc>
        <w:tc>
          <w:tcPr>
            <w:tcW w:w="1134" w:type="dxa"/>
            <w:tcBorders>
              <w:top w:val="nil"/>
              <w:bottom w:val="nil"/>
            </w:tcBorders>
            <w:shd w:val="clear" w:color="auto" w:fill="auto"/>
          </w:tcPr>
          <w:p w14:paraId="7150A7AB" w14:textId="77777777" w:rsidR="00A60D4B" w:rsidRPr="001015CD" w:rsidRDefault="00A60D4B" w:rsidP="00A60D4B">
            <w:pPr>
              <w:pStyle w:val="Btablefigureunbold"/>
              <w:rPr>
                <w:b/>
                <w:sz w:val="18"/>
                <w:szCs w:val="18"/>
              </w:rPr>
            </w:pPr>
            <w:r>
              <w:rPr>
                <w:rFonts w:cs="Calibri"/>
                <w:sz w:val="18"/>
                <w:szCs w:val="18"/>
              </w:rPr>
              <w:t xml:space="preserve">12,820 </w:t>
            </w:r>
          </w:p>
        </w:tc>
        <w:tc>
          <w:tcPr>
            <w:tcW w:w="1134" w:type="dxa"/>
            <w:tcBorders>
              <w:top w:val="nil"/>
              <w:bottom w:val="nil"/>
            </w:tcBorders>
          </w:tcPr>
          <w:p w14:paraId="3E3D41F5" w14:textId="77777777" w:rsidR="00A60D4B" w:rsidRPr="001015CD" w:rsidRDefault="00A60D4B" w:rsidP="00A60D4B">
            <w:pPr>
              <w:pStyle w:val="Btablefigureunbold"/>
              <w:rPr>
                <w:b/>
                <w:sz w:val="18"/>
                <w:szCs w:val="18"/>
              </w:rPr>
            </w:pPr>
            <w:r>
              <w:rPr>
                <w:rFonts w:cs="Calibri"/>
                <w:sz w:val="18"/>
                <w:szCs w:val="18"/>
              </w:rPr>
              <w:t xml:space="preserve">12,852 </w:t>
            </w:r>
          </w:p>
        </w:tc>
      </w:tr>
      <w:tr w:rsidR="00A60D4B" w:rsidRPr="00337DC9" w14:paraId="11AA052C" w14:textId="77777777" w:rsidTr="00A60D4B">
        <w:trPr>
          <w:trHeight w:val="20"/>
        </w:trPr>
        <w:tc>
          <w:tcPr>
            <w:tcW w:w="2127" w:type="dxa"/>
            <w:tcBorders>
              <w:top w:val="nil"/>
              <w:bottom w:val="nil"/>
            </w:tcBorders>
            <w:vAlign w:val="bottom"/>
          </w:tcPr>
          <w:p w14:paraId="6E220373" w14:textId="77777777" w:rsidR="00A60D4B" w:rsidRPr="002F2F75" w:rsidRDefault="00A60D4B" w:rsidP="00A60D4B">
            <w:pPr>
              <w:pStyle w:val="Btabletextunbold"/>
              <w:rPr>
                <w:bCs/>
                <w:sz w:val="18"/>
                <w:szCs w:val="18"/>
              </w:rPr>
            </w:pPr>
            <w:r w:rsidRPr="002F2F75">
              <w:rPr>
                <w:rFonts w:cs="Calibri"/>
                <w:bCs/>
                <w:sz w:val="18"/>
                <w:szCs w:val="18"/>
              </w:rPr>
              <w:t>Taxi licences</w:t>
            </w:r>
          </w:p>
        </w:tc>
        <w:tc>
          <w:tcPr>
            <w:tcW w:w="1181" w:type="dxa"/>
            <w:tcBorders>
              <w:top w:val="nil"/>
              <w:bottom w:val="nil"/>
            </w:tcBorders>
          </w:tcPr>
          <w:p w14:paraId="29EB36A9" w14:textId="77777777" w:rsidR="00A60D4B" w:rsidRPr="001015CD" w:rsidRDefault="00A60D4B" w:rsidP="00A60D4B">
            <w:pPr>
              <w:pStyle w:val="Btablefigureunbold"/>
              <w:rPr>
                <w:b/>
                <w:sz w:val="18"/>
                <w:szCs w:val="18"/>
              </w:rPr>
            </w:pPr>
            <w:r>
              <w:rPr>
                <w:rFonts w:cs="Calibri"/>
                <w:sz w:val="18"/>
                <w:szCs w:val="18"/>
              </w:rPr>
              <w:t xml:space="preserve">- </w:t>
            </w:r>
          </w:p>
        </w:tc>
        <w:tc>
          <w:tcPr>
            <w:tcW w:w="1191" w:type="dxa"/>
            <w:tcBorders>
              <w:top w:val="nil"/>
              <w:bottom w:val="nil"/>
            </w:tcBorders>
          </w:tcPr>
          <w:p w14:paraId="3F9CA9D1" w14:textId="77777777" w:rsidR="00A60D4B" w:rsidRPr="001015CD" w:rsidRDefault="00A60D4B" w:rsidP="00A60D4B">
            <w:pPr>
              <w:pStyle w:val="Btablefigureunbold"/>
              <w:rPr>
                <w:b/>
                <w:sz w:val="18"/>
                <w:szCs w:val="18"/>
              </w:rPr>
            </w:pPr>
            <w:r>
              <w:rPr>
                <w:rFonts w:cs="Calibri"/>
                <w:sz w:val="18"/>
                <w:szCs w:val="18"/>
              </w:rPr>
              <w:t xml:space="preserve">388 </w:t>
            </w:r>
          </w:p>
        </w:tc>
        <w:tc>
          <w:tcPr>
            <w:tcW w:w="1181" w:type="dxa"/>
            <w:tcBorders>
              <w:top w:val="nil"/>
              <w:bottom w:val="nil"/>
            </w:tcBorders>
            <w:shd w:val="clear" w:color="auto" w:fill="auto"/>
          </w:tcPr>
          <w:p w14:paraId="782B8825" w14:textId="77777777" w:rsidR="00A60D4B" w:rsidRPr="007F788F" w:rsidRDefault="00A60D4B" w:rsidP="00A60D4B">
            <w:pPr>
              <w:pStyle w:val="BTablefigureBold"/>
              <w:rPr>
                <w:b w:val="0"/>
                <w:sz w:val="18"/>
                <w:szCs w:val="18"/>
              </w:rPr>
            </w:pPr>
            <w:r w:rsidRPr="007F788F">
              <w:rPr>
                <w:rFonts w:cs="Calibri"/>
                <w:b w:val="0"/>
                <w:sz w:val="18"/>
                <w:szCs w:val="18"/>
              </w:rPr>
              <w:t xml:space="preserve">613 </w:t>
            </w:r>
          </w:p>
        </w:tc>
        <w:tc>
          <w:tcPr>
            <w:tcW w:w="1134" w:type="dxa"/>
            <w:tcBorders>
              <w:top w:val="nil"/>
              <w:bottom w:val="nil"/>
            </w:tcBorders>
            <w:shd w:val="clear" w:color="472D8C" w:fill="auto"/>
          </w:tcPr>
          <w:p w14:paraId="3912EFC0" w14:textId="77777777" w:rsidR="00A60D4B" w:rsidRPr="001015CD" w:rsidRDefault="00A60D4B" w:rsidP="00A60D4B">
            <w:pPr>
              <w:pStyle w:val="Btablefigureunbold"/>
              <w:rPr>
                <w:b/>
                <w:color w:val="000000"/>
                <w:sz w:val="18"/>
                <w:szCs w:val="18"/>
              </w:rPr>
            </w:pPr>
            <w:r>
              <w:rPr>
                <w:rFonts w:cs="Calibri"/>
                <w:sz w:val="18"/>
                <w:szCs w:val="18"/>
              </w:rPr>
              <w:t xml:space="preserve">931 </w:t>
            </w:r>
          </w:p>
        </w:tc>
        <w:tc>
          <w:tcPr>
            <w:tcW w:w="1134" w:type="dxa"/>
            <w:tcBorders>
              <w:top w:val="nil"/>
              <w:bottom w:val="nil"/>
            </w:tcBorders>
            <w:shd w:val="clear" w:color="auto" w:fill="auto"/>
          </w:tcPr>
          <w:p w14:paraId="2684596A" w14:textId="77777777" w:rsidR="00A60D4B" w:rsidRPr="001015CD" w:rsidRDefault="00A60D4B" w:rsidP="00A60D4B">
            <w:pPr>
              <w:pStyle w:val="Btablefigureunbold"/>
              <w:rPr>
                <w:b/>
                <w:sz w:val="18"/>
                <w:szCs w:val="18"/>
              </w:rPr>
            </w:pPr>
            <w:r>
              <w:rPr>
                <w:rFonts w:cs="Calibri"/>
                <w:sz w:val="18"/>
                <w:szCs w:val="18"/>
              </w:rPr>
              <w:t xml:space="preserve">960 </w:t>
            </w:r>
          </w:p>
        </w:tc>
        <w:tc>
          <w:tcPr>
            <w:tcW w:w="1134" w:type="dxa"/>
            <w:tcBorders>
              <w:top w:val="nil"/>
              <w:bottom w:val="nil"/>
            </w:tcBorders>
          </w:tcPr>
          <w:p w14:paraId="3E6707FB" w14:textId="77777777" w:rsidR="00A60D4B" w:rsidRPr="001015CD" w:rsidRDefault="00A60D4B" w:rsidP="00A60D4B">
            <w:pPr>
              <w:pStyle w:val="Btablefigureunbold"/>
              <w:rPr>
                <w:b/>
                <w:sz w:val="18"/>
                <w:szCs w:val="18"/>
              </w:rPr>
            </w:pPr>
            <w:r>
              <w:rPr>
                <w:rFonts w:cs="Calibri"/>
                <w:sz w:val="18"/>
                <w:szCs w:val="18"/>
              </w:rPr>
              <w:t xml:space="preserve">962 </w:t>
            </w:r>
          </w:p>
        </w:tc>
      </w:tr>
      <w:tr w:rsidR="00A60D4B" w:rsidRPr="00337DC9" w14:paraId="798CCCA5" w14:textId="77777777" w:rsidTr="00A60D4B">
        <w:trPr>
          <w:trHeight w:val="20"/>
        </w:trPr>
        <w:tc>
          <w:tcPr>
            <w:tcW w:w="2127" w:type="dxa"/>
            <w:tcBorders>
              <w:top w:val="nil"/>
              <w:bottom w:val="nil"/>
            </w:tcBorders>
            <w:vAlign w:val="bottom"/>
          </w:tcPr>
          <w:p w14:paraId="42952C6C" w14:textId="77777777" w:rsidR="00A60D4B" w:rsidRPr="002F2F75" w:rsidRDefault="00A60D4B" w:rsidP="00A60D4B">
            <w:pPr>
              <w:pStyle w:val="Btabletextunbold"/>
              <w:rPr>
                <w:bCs/>
                <w:sz w:val="18"/>
                <w:szCs w:val="18"/>
              </w:rPr>
            </w:pPr>
            <w:r w:rsidRPr="002F2F75">
              <w:rPr>
                <w:rFonts w:cs="Calibri"/>
                <w:bCs/>
                <w:sz w:val="18"/>
                <w:szCs w:val="18"/>
              </w:rPr>
              <w:t>Fees for regulatory services</w:t>
            </w:r>
          </w:p>
        </w:tc>
        <w:tc>
          <w:tcPr>
            <w:tcW w:w="1181" w:type="dxa"/>
            <w:tcBorders>
              <w:top w:val="nil"/>
              <w:bottom w:val="nil"/>
            </w:tcBorders>
          </w:tcPr>
          <w:p w14:paraId="6FD5F0FD" w14:textId="77777777" w:rsidR="00A60D4B" w:rsidRPr="001015CD" w:rsidRDefault="00A60D4B" w:rsidP="00A60D4B">
            <w:pPr>
              <w:pStyle w:val="Btablefigureunbold"/>
              <w:rPr>
                <w:b/>
                <w:sz w:val="18"/>
                <w:szCs w:val="18"/>
              </w:rPr>
            </w:pPr>
            <w:r>
              <w:rPr>
                <w:rFonts w:cs="Calibri"/>
                <w:sz w:val="18"/>
                <w:szCs w:val="18"/>
              </w:rPr>
              <w:t xml:space="preserve">120,454 </w:t>
            </w:r>
          </w:p>
        </w:tc>
        <w:tc>
          <w:tcPr>
            <w:tcW w:w="1191" w:type="dxa"/>
            <w:tcBorders>
              <w:top w:val="nil"/>
              <w:bottom w:val="nil"/>
            </w:tcBorders>
          </w:tcPr>
          <w:p w14:paraId="7D8B1E3B" w14:textId="77777777" w:rsidR="00A60D4B" w:rsidRPr="001015CD" w:rsidRDefault="00A60D4B" w:rsidP="00A60D4B">
            <w:pPr>
              <w:pStyle w:val="Btablefigureunbold"/>
              <w:rPr>
                <w:b/>
                <w:sz w:val="18"/>
                <w:szCs w:val="18"/>
              </w:rPr>
            </w:pPr>
            <w:r>
              <w:rPr>
                <w:rFonts w:cs="Calibri"/>
                <w:sz w:val="18"/>
                <w:szCs w:val="18"/>
              </w:rPr>
              <w:t xml:space="preserve">130,699 </w:t>
            </w:r>
          </w:p>
        </w:tc>
        <w:tc>
          <w:tcPr>
            <w:tcW w:w="1181" w:type="dxa"/>
            <w:tcBorders>
              <w:top w:val="nil"/>
              <w:bottom w:val="nil"/>
            </w:tcBorders>
            <w:shd w:val="clear" w:color="auto" w:fill="auto"/>
          </w:tcPr>
          <w:p w14:paraId="5D13B53E" w14:textId="77777777" w:rsidR="00A60D4B" w:rsidRPr="007F788F" w:rsidRDefault="00A60D4B" w:rsidP="00A60D4B">
            <w:pPr>
              <w:pStyle w:val="BTablefigureBold"/>
              <w:rPr>
                <w:b w:val="0"/>
                <w:sz w:val="18"/>
                <w:szCs w:val="18"/>
              </w:rPr>
            </w:pPr>
            <w:r w:rsidRPr="007F788F">
              <w:rPr>
                <w:rFonts w:cs="Calibri"/>
                <w:b w:val="0"/>
                <w:sz w:val="18"/>
                <w:szCs w:val="18"/>
              </w:rPr>
              <w:t xml:space="preserve">126,956 </w:t>
            </w:r>
          </w:p>
        </w:tc>
        <w:tc>
          <w:tcPr>
            <w:tcW w:w="1134" w:type="dxa"/>
            <w:tcBorders>
              <w:top w:val="nil"/>
              <w:bottom w:val="nil"/>
            </w:tcBorders>
            <w:shd w:val="clear" w:color="472D8C" w:fill="auto"/>
          </w:tcPr>
          <w:p w14:paraId="581CF672" w14:textId="77777777" w:rsidR="00A60D4B" w:rsidRPr="001015CD" w:rsidRDefault="00A60D4B" w:rsidP="00A60D4B">
            <w:pPr>
              <w:pStyle w:val="Btablefigureunbold"/>
              <w:rPr>
                <w:b/>
                <w:color w:val="000000"/>
                <w:sz w:val="18"/>
                <w:szCs w:val="18"/>
              </w:rPr>
            </w:pPr>
            <w:r>
              <w:rPr>
                <w:rFonts w:cs="Calibri"/>
                <w:sz w:val="18"/>
                <w:szCs w:val="18"/>
              </w:rPr>
              <w:t xml:space="preserve">130,188 </w:t>
            </w:r>
          </w:p>
        </w:tc>
        <w:tc>
          <w:tcPr>
            <w:tcW w:w="1134" w:type="dxa"/>
            <w:tcBorders>
              <w:top w:val="nil"/>
              <w:bottom w:val="nil"/>
            </w:tcBorders>
            <w:shd w:val="clear" w:color="auto" w:fill="auto"/>
          </w:tcPr>
          <w:p w14:paraId="6A2754F8" w14:textId="77777777" w:rsidR="00A60D4B" w:rsidRPr="001015CD" w:rsidRDefault="00A60D4B" w:rsidP="00A60D4B">
            <w:pPr>
              <w:pStyle w:val="Btablefigureunbold"/>
              <w:rPr>
                <w:b/>
                <w:sz w:val="18"/>
                <w:szCs w:val="18"/>
              </w:rPr>
            </w:pPr>
            <w:r>
              <w:rPr>
                <w:rFonts w:cs="Calibri"/>
                <w:sz w:val="18"/>
                <w:szCs w:val="18"/>
              </w:rPr>
              <w:t xml:space="preserve">132,962 </w:t>
            </w:r>
          </w:p>
        </w:tc>
        <w:tc>
          <w:tcPr>
            <w:tcW w:w="1134" w:type="dxa"/>
            <w:tcBorders>
              <w:top w:val="nil"/>
              <w:bottom w:val="nil"/>
            </w:tcBorders>
          </w:tcPr>
          <w:p w14:paraId="01F39AF8" w14:textId="77777777" w:rsidR="00A60D4B" w:rsidRPr="001015CD" w:rsidRDefault="00A60D4B" w:rsidP="00A60D4B">
            <w:pPr>
              <w:pStyle w:val="Btablefigureunbold"/>
              <w:rPr>
                <w:b/>
                <w:sz w:val="18"/>
                <w:szCs w:val="18"/>
              </w:rPr>
            </w:pPr>
            <w:r>
              <w:rPr>
                <w:rFonts w:cs="Calibri"/>
                <w:sz w:val="18"/>
                <w:szCs w:val="18"/>
              </w:rPr>
              <w:t xml:space="preserve">133,415 </w:t>
            </w:r>
          </w:p>
        </w:tc>
      </w:tr>
      <w:tr w:rsidR="00A60D4B" w:rsidRPr="00337DC9" w14:paraId="6A39EC8C" w14:textId="77777777" w:rsidTr="00A60D4B">
        <w:trPr>
          <w:trHeight w:val="20"/>
        </w:trPr>
        <w:tc>
          <w:tcPr>
            <w:tcW w:w="2127" w:type="dxa"/>
            <w:tcBorders>
              <w:top w:val="nil"/>
              <w:bottom w:val="nil"/>
            </w:tcBorders>
            <w:vAlign w:val="bottom"/>
          </w:tcPr>
          <w:p w14:paraId="2993CAC2" w14:textId="77777777" w:rsidR="00A60D4B" w:rsidRPr="002F2F75" w:rsidRDefault="00A60D4B" w:rsidP="00A60D4B">
            <w:pPr>
              <w:pStyle w:val="Btabletextunbold"/>
              <w:rPr>
                <w:bCs/>
                <w:sz w:val="18"/>
                <w:szCs w:val="18"/>
              </w:rPr>
            </w:pPr>
            <w:r w:rsidRPr="002F2F75">
              <w:rPr>
                <w:rFonts w:cs="Calibri"/>
                <w:bCs/>
                <w:sz w:val="18"/>
                <w:szCs w:val="18"/>
              </w:rPr>
              <w:t>Water Abstraction Charge</w:t>
            </w:r>
          </w:p>
        </w:tc>
        <w:tc>
          <w:tcPr>
            <w:tcW w:w="1181" w:type="dxa"/>
            <w:tcBorders>
              <w:top w:val="nil"/>
              <w:bottom w:val="nil"/>
            </w:tcBorders>
          </w:tcPr>
          <w:p w14:paraId="25D645C7" w14:textId="77777777" w:rsidR="00A60D4B" w:rsidRPr="001015CD" w:rsidRDefault="00A60D4B" w:rsidP="00A60D4B">
            <w:pPr>
              <w:pStyle w:val="Btablefigureunbold"/>
              <w:rPr>
                <w:b/>
                <w:sz w:val="18"/>
                <w:szCs w:val="18"/>
              </w:rPr>
            </w:pPr>
            <w:r>
              <w:rPr>
                <w:rFonts w:cs="Calibri"/>
                <w:sz w:val="18"/>
                <w:szCs w:val="18"/>
              </w:rPr>
              <w:t xml:space="preserve">31,121 </w:t>
            </w:r>
          </w:p>
        </w:tc>
        <w:tc>
          <w:tcPr>
            <w:tcW w:w="1191" w:type="dxa"/>
            <w:tcBorders>
              <w:top w:val="nil"/>
              <w:bottom w:val="nil"/>
            </w:tcBorders>
          </w:tcPr>
          <w:p w14:paraId="283F99D8" w14:textId="77777777" w:rsidR="00A60D4B" w:rsidRPr="001015CD" w:rsidRDefault="00A60D4B" w:rsidP="00A60D4B">
            <w:pPr>
              <w:pStyle w:val="Btablefigureunbold"/>
              <w:rPr>
                <w:b/>
                <w:sz w:val="18"/>
                <w:szCs w:val="18"/>
              </w:rPr>
            </w:pPr>
            <w:r>
              <w:rPr>
                <w:rFonts w:cs="Calibri"/>
                <w:sz w:val="18"/>
                <w:szCs w:val="18"/>
              </w:rPr>
              <w:t xml:space="preserve">31,218 </w:t>
            </w:r>
          </w:p>
        </w:tc>
        <w:tc>
          <w:tcPr>
            <w:tcW w:w="1181" w:type="dxa"/>
            <w:tcBorders>
              <w:top w:val="nil"/>
              <w:bottom w:val="nil"/>
            </w:tcBorders>
            <w:shd w:val="clear" w:color="auto" w:fill="auto"/>
          </w:tcPr>
          <w:p w14:paraId="2AFDAFF0" w14:textId="77777777" w:rsidR="00A60D4B" w:rsidRPr="007F788F" w:rsidRDefault="00A60D4B" w:rsidP="00A60D4B">
            <w:pPr>
              <w:pStyle w:val="BTablefigureBold"/>
              <w:rPr>
                <w:b w:val="0"/>
                <w:sz w:val="18"/>
                <w:szCs w:val="18"/>
              </w:rPr>
            </w:pPr>
            <w:r w:rsidRPr="007F788F">
              <w:rPr>
                <w:rFonts w:cs="Calibri"/>
                <w:b w:val="0"/>
                <w:sz w:val="18"/>
                <w:szCs w:val="18"/>
              </w:rPr>
              <w:t xml:space="preserve">32,987 </w:t>
            </w:r>
          </w:p>
        </w:tc>
        <w:tc>
          <w:tcPr>
            <w:tcW w:w="1134" w:type="dxa"/>
            <w:tcBorders>
              <w:top w:val="nil"/>
              <w:bottom w:val="nil"/>
            </w:tcBorders>
            <w:shd w:val="clear" w:color="472D8C" w:fill="auto"/>
          </w:tcPr>
          <w:p w14:paraId="61535411" w14:textId="77777777" w:rsidR="00A60D4B" w:rsidRPr="001015CD" w:rsidRDefault="00A60D4B" w:rsidP="00A60D4B">
            <w:pPr>
              <w:pStyle w:val="Btablefigureunbold"/>
              <w:rPr>
                <w:b/>
                <w:color w:val="000000"/>
                <w:sz w:val="18"/>
                <w:szCs w:val="18"/>
              </w:rPr>
            </w:pPr>
            <w:r>
              <w:rPr>
                <w:rFonts w:cs="Calibri"/>
                <w:sz w:val="18"/>
                <w:szCs w:val="18"/>
              </w:rPr>
              <w:t xml:space="preserve">34,309 </w:t>
            </w:r>
          </w:p>
        </w:tc>
        <w:tc>
          <w:tcPr>
            <w:tcW w:w="1134" w:type="dxa"/>
            <w:tcBorders>
              <w:top w:val="nil"/>
              <w:bottom w:val="nil"/>
            </w:tcBorders>
            <w:shd w:val="clear" w:color="auto" w:fill="auto"/>
          </w:tcPr>
          <w:p w14:paraId="54CCEDC3" w14:textId="77777777" w:rsidR="00A60D4B" w:rsidRPr="001015CD" w:rsidRDefault="00A60D4B" w:rsidP="00A60D4B">
            <w:pPr>
              <w:pStyle w:val="Btablefigureunbold"/>
              <w:rPr>
                <w:b/>
                <w:sz w:val="18"/>
                <w:szCs w:val="18"/>
              </w:rPr>
            </w:pPr>
            <w:r>
              <w:rPr>
                <w:rFonts w:cs="Calibri"/>
                <w:sz w:val="18"/>
                <w:szCs w:val="18"/>
              </w:rPr>
              <w:t xml:space="preserve">35,549 </w:t>
            </w:r>
          </w:p>
        </w:tc>
        <w:tc>
          <w:tcPr>
            <w:tcW w:w="1134" w:type="dxa"/>
            <w:tcBorders>
              <w:top w:val="nil"/>
              <w:bottom w:val="nil"/>
            </w:tcBorders>
          </w:tcPr>
          <w:p w14:paraId="54CA26A8" w14:textId="77777777" w:rsidR="00A60D4B" w:rsidRPr="001015CD" w:rsidRDefault="00A60D4B" w:rsidP="00A60D4B">
            <w:pPr>
              <w:pStyle w:val="Btablefigureunbold"/>
              <w:rPr>
                <w:b/>
                <w:sz w:val="18"/>
                <w:szCs w:val="18"/>
              </w:rPr>
            </w:pPr>
            <w:r>
              <w:rPr>
                <w:rFonts w:cs="Calibri"/>
                <w:sz w:val="18"/>
                <w:szCs w:val="18"/>
              </w:rPr>
              <w:t xml:space="preserve">35,636 </w:t>
            </w:r>
          </w:p>
        </w:tc>
      </w:tr>
      <w:tr w:rsidR="00A60D4B" w:rsidRPr="00653BCC" w14:paraId="1D3874C9" w14:textId="77777777" w:rsidTr="00A60D4B">
        <w:trPr>
          <w:trHeight w:val="20"/>
        </w:trPr>
        <w:tc>
          <w:tcPr>
            <w:tcW w:w="2127" w:type="dxa"/>
            <w:tcBorders>
              <w:top w:val="nil"/>
              <w:bottom w:val="nil"/>
            </w:tcBorders>
          </w:tcPr>
          <w:p w14:paraId="4B3497D1" w14:textId="77777777" w:rsidR="00A60D4B" w:rsidRPr="002F2F75" w:rsidRDefault="00A60D4B" w:rsidP="00A60D4B">
            <w:pPr>
              <w:pStyle w:val="Btabletextitalic"/>
              <w:rPr>
                <w:bCs/>
                <w:i w:val="0"/>
                <w:iCs/>
                <w:sz w:val="18"/>
                <w:szCs w:val="18"/>
              </w:rPr>
            </w:pPr>
            <w:r w:rsidRPr="002F2F75">
              <w:rPr>
                <w:rFonts w:cs="Calibri"/>
                <w:bCs/>
                <w:i w:val="0"/>
                <w:iCs/>
                <w:sz w:val="18"/>
                <w:szCs w:val="18"/>
              </w:rPr>
              <w:t>Motor Accident Levy</w:t>
            </w:r>
          </w:p>
        </w:tc>
        <w:tc>
          <w:tcPr>
            <w:tcW w:w="1181" w:type="dxa"/>
            <w:tcBorders>
              <w:top w:val="nil"/>
              <w:bottom w:val="nil"/>
            </w:tcBorders>
          </w:tcPr>
          <w:p w14:paraId="3BB1086A" w14:textId="77777777" w:rsidR="00A60D4B" w:rsidRPr="001015CD" w:rsidRDefault="00A60D4B" w:rsidP="00A60D4B">
            <w:pPr>
              <w:pStyle w:val="Btablefigureunbold"/>
              <w:rPr>
                <w:b/>
                <w:iCs/>
                <w:sz w:val="18"/>
                <w:szCs w:val="18"/>
              </w:rPr>
            </w:pPr>
            <w:r>
              <w:rPr>
                <w:rFonts w:cs="Calibri"/>
                <w:sz w:val="18"/>
                <w:szCs w:val="18"/>
              </w:rPr>
              <w:t xml:space="preserve">4,933 </w:t>
            </w:r>
          </w:p>
        </w:tc>
        <w:tc>
          <w:tcPr>
            <w:tcW w:w="1191" w:type="dxa"/>
            <w:tcBorders>
              <w:top w:val="nil"/>
              <w:bottom w:val="nil"/>
            </w:tcBorders>
          </w:tcPr>
          <w:p w14:paraId="119C9C08" w14:textId="77777777" w:rsidR="00A60D4B" w:rsidRPr="001015CD" w:rsidRDefault="00A60D4B" w:rsidP="00A60D4B">
            <w:pPr>
              <w:pStyle w:val="Btablefigureunbold"/>
              <w:rPr>
                <w:b/>
                <w:iCs/>
                <w:sz w:val="18"/>
                <w:szCs w:val="18"/>
              </w:rPr>
            </w:pPr>
            <w:r>
              <w:rPr>
                <w:rFonts w:cs="Calibri"/>
                <w:sz w:val="18"/>
                <w:szCs w:val="18"/>
              </w:rPr>
              <w:t xml:space="preserve">5,064 </w:t>
            </w:r>
          </w:p>
        </w:tc>
        <w:tc>
          <w:tcPr>
            <w:tcW w:w="1181" w:type="dxa"/>
            <w:tcBorders>
              <w:top w:val="nil"/>
              <w:bottom w:val="nil"/>
            </w:tcBorders>
            <w:shd w:val="clear" w:color="auto" w:fill="auto"/>
          </w:tcPr>
          <w:p w14:paraId="401AAA5C" w14:textId="77777777" w:rsidR="00A60D4B" w:rsidRPr="001015CD" w:rsidRDefault="00A60D4B" w:rsidP="00A60D4B">
            <w:pPr>
              <w:pStyle w:val="Btablefigureunbold"/>
              <w:rPr>
                <w:b/>
                <w:iCs/>
                <w:sz w:val="18"/>
                <w:szCs w:val="18"/>
              </w:rPr>
            </w:pPr>
            <w:r>
              <w:rPr>
                <w:rFonts w:cs="Calibri"/>
                <w:sz w:val="18"/>
                <w:szCs w:val="18"/>
              </w:rPr>
              <w:t xml:space="preserve">5,033 </w:t>
            </w:r>
          </w:p>
        </w:tc>
        <w:tc>
          <w:tcPr>
            <w:tcW w:w="1134" w:type="dxa"/>
            <w:tcBorders>
              <w:top w:val="nil"/>
              <w:bottom w:val="nil"/>
            </w:tcBorders>
            <w:shd w:val="clear" w:color="472D8C" w:fill="auto"/>
          </w:tcPr>
          <w:p w14:paraId="5A0661E3" w14:textId="77777777" w:rsidR="00A60D4B" w:rsidRPr="001015CD" w:rsidRDefault="00A60D4B" w:rsidP="00A60D4B">
            <w:pPr>
              <w:pStyle w:val="Btablefigureunbold"/>
              <w:rPr>
                <w:b/>
                <w:iCs/>
                <w:color w:val="000000"/>
                <w:sz w:val="18"/>
                <w:szCs w:val="18"/>
              </w:rPr>
            </w:pPr>
            <w:r>
              <w:rPr>
                <w:rFonts w:cs="Calibri"/>
                <w:sz w:val="18"/>
                <w:szCs w:val="18"/>
              </w:rPr>
              <w:t xml:space="preserve">5,048 </w:t>
            </w:r>
          </w:p>
        </w:tc>
        <w:tc>
          <w:tcPr>
            <w:tcW w:w="1134" w:type="dxa"/>
            <w:tcBorders>
              <w:top w:val="nil"/>
              <w:bottom w:val="nil"/>
            </w:tcBorders>
            <w:shd w:val="clear" w:color="auto" w:fill="auto"/>
          </w:tcPr>
          <w:p w14:paraId="41E632D5" w14:textId="77777777" w:rsidR="00A60D4B" w:rsidRPr="001015CD" w:rsidRDefault="00A60D4B" w:rsidP="00A60D4B">
            <w:pPr>
              <w:pStyle w:val="Btablefigureunbold"/>
              <w:rPr>
                <w:b/>
                <w:iCs/>
                <w:sz w:val="18"/>
                <w:szCs w:val="18"/>
              </w:rPr>
            </w:pPr>
            <w:r>
              <w:rPr>
                <w:rFonts w:cs="Calibri"/>
                <w:sz w:val="18"/>
                <w:szCs w:val="18"/>
              </w:rPr>
              <w:t xml:space="preserve">5,084 </w:t>
            </w:r>
          </w:p>
        </w:tc>
        <w:tc>
          <w:tcPr>
            <w:tcW w:w="1134" w:type="dxa"/>
            <w:tcBorders>
              <w:top w:val="nil"/>
              <w:bottom w:val="nil"/>
            </w:tcBorders>
          </w:tcPr>
          <w:p w14:paraId="3738E866" w14:textId="77777777" w:rsidR="00A60D4B" w:rsidRPr="001015CD" w:rsidRDefault="00A60D4B" w:rsidP="00A60D4B">
            <w:pPr>
              <w:pStyle w:val="Btablefigureunbold"/>
              <w:rPr>
                <w:b/>
                <w:iCs/>
                <w:sz w:val="18"/>
                <w:szCs w:val="18"/>
              </w:rPr>
            </w:pPr>
            <w:r>
              <w:rPr>
                <w:rFonts w:cs="Calibri"/>
                <w:sz w:val="18"/>
                <w:szCs w:val="18"/>
              </w:rPr>
              <w:t xml:space="preserve">5,129 </w:t>
            </w:r>
          </w:p>
        </w:tc>
      </w:tr>
      <w:tr w:rsidR="00A60D4B" w:rsidRPr="00653BCC" w14:paraId="5D3D93A0" w14:textId="77777777" w:rsidTr="00A60D4B">
        <w:trPr>
          <w:trHeight w:val="20"/>
        </w:trPr>
        <w:tc>
          <w:tcPr>
            <w:tcW w:w="2127" w:type="dxa"/>
            <w:tcBorders>
              <w:top w:val="nil"/>
              <w:bottom w:val="nil"/>
            </w:tcBorders>
            <w:vAlign w:val="bottom"/>
          </w:tcPr>
          <w:p w14:paraId="19E513CB" w14:textId="77777777" w:rsidR="00A60D4B" w:rsidRPr="001015CD" w:rsidRDefault="00A60D4B" w:rsidP="00A60D4B">
            <w:pPr>
              <w:pStyle w:val="Btabletextitalic"/>
              <w:rPr>
                <w:rFonts w:cs="Calibri"/>
                <w:b/>
                <w:bCs/>
                <w:i w:val="0"/>
                <w:iCs/>
                <w:sz w:val="18"/>
                <w:szCs w:val="18"/>
              </w:rPr>
            </w:pPr>
            <w:r w:rsidRPr="001015CD">
              <w:rPr>
                <w:rFonts w:cs="Calibri"/>
                <w:b/>
                <w:bCs/>
                <w:i w:val="0"/>
                <w:iCs/>
                <w:sz w:val="18"/>
                <w:szCs w:val="18"/>
              </w:rPr>
              <w:t>Total Regulatory Fees</w:t>
            </w:r>
          </w:p>
        </w:tc>
        <w:tc>
          <w:tcPr>
            <w:tcW w:w="1181" w:type="dxa"/>
            <w:tcBorders>
              <w:top w:val="nil"/>
              <w:bottom w:val="nil"/>
            </w:tcBorders>
          </w:tcPr>
          <w:p w14:paraId="0435253F" w14:textId="77777777" w:rsidR="00A60D4B" w:rsidRPr="001015CD" w:rsidRDefault="00A60D4B" w:rsidP="00A60D4B">
            <w:pPr>
              <w:pStyle w:val="Btablefigureunbold"/>
              <w:rPr>
                <w:rFonts w:cs="Calibri"/>
                <w:sz w:val="18"/>
                <w:szCs w:val="18"/>
              </w:rPr>
            </w:pPr>
            <w:r>
              <w:rPr>
                <w:rFonts w:cs="Calibri"/>
                <w:b/>
                <w:bCs/>
                <w:sz w:val="18"/>
                <w:szCs w:val="18"/>
              </w:rPr>
              <w:t xml:space="preserve">171,467 </w:t>
            </w:r>
          </w:p>
        </w:tc>
        <w:tc>
          <w:tcPr>
            <w:tcW w:w="1191" w:type="dxa"/>
            <w:tcBorders>
              <w:top w:val="nil"/>
              <w:bottom w:val="nil"/>
            </w:tcBorders>
          </w:tcPr>
          <w:p w14:paraId="05E294D8" w14:textId="77777777" w:rsidR="00A60D4B" w:rsidRPr="001015CD" w:rsidRDefault="00A60D4B" w:rsidP="00A60D4B">
            <w:pPr>
              <w:pStyle w:val="Btablefigureunbold"/>
              <w:rPr>
                <w:rFonts w:cs="Calibri"/>
                <w:sz w:val="18"/>
                <w:szCs w:val="18"/>
              </w:rPr>
            </w:pPr>
            <w:r>
              <w:rPr>
                <w:rFonts w:cs="Calibri"/>
                <w:b/>
                <w:bCs/>
                <w:sz w:val="18"/>
                <w:szCs w:val="18"/>
              </w:rPr>
              <w:t xml:space="preserve">181,355 </w:t>
            </w:r>
          </w:p>
        </w:tc>
        <w:tc>
          <w:tcPr>
            <w:tcW w:w="1181" w:type="dxa"/>
            <w:tcBorders>
              <w:top w:val="nil"/>
              <w:bottom w:val="nil"/>
            </w:tcBorders>
            <w:shd w:val="clear" w:color="auto" w:fill="auto"/>
          </w:tcPr>
          <w:p w14:paraId="6074C35C" w14:textId="77777777" w:rsidR="00A60D4B" w:rsidRPr="001015CD" w:rsidRDefault="00A60D4B" w:rsidP="00A60D4B">
            <w:pPr>
              <w:pStyle w:val="Btablefigureunbold"/>
              <w:rPr>
                <w:rFonts w:cs="Calibri"/>
                <w:sz w:val="18"/>
                <w:szCs w:val="18"/>
              </w:rPr>
            </w:pPr>
            <w:r>
              <w:rPr>
                <w:rFonts w:cs="Calibri"/>
                <w:b/>
                <w:bCs/>
                <w:sz w:val="18"/>
                <w:szCs w:val="18"/>
              </w:rPr>
              <w:t xml:space="preserve">180,944 </w:t>
            </w:r>
          </w:p>
        </w:tc>
        <w:tc>
          <w:tcPr>
            <w:tcW w:w="1134" w:type="dxa"/>
            <w:tcBorders>
              <w:top w:val="nil"/>
              <w:bottom w:val="nil"/>
            </w:tcBorders>
            <w:shd w:val="clear" w:color="472D8C" w:fill="auto"/>
          </w:tcPr>
          <w:p w14:paraId="7A7796A8" w14:textId="77777777" w:rsidR="00A60D4B" w:rsidRPr="001015CD" w:rsidRDefault="00A60D4B" w:rsidP="00A60D4B">
            <w:pPr>
              <w:pStyle w:val="Btablefigureunbold"/>
              <w:rPr>
                <w:rFonts w:cs="Calibri"/>
                <w:sz w:val="18"/>
                <w:szCs w:val="18"/>
              </w:rPr>
            </w:pPr>
            <w:r>
              <w:rPr>
                <w:rFonts w:cs="Calibri"/>
                <w:b/>
                <w:bCs/>
                <w:sz w:val="18"/>
                <w:szCs w:val="18"/>
              </w:rPr>
              <w:t xml:space="preserve">183,959 </w:t>
            </w:r>
          </w:p>
        </w:tc>
        <w:tc>
          <w:tcPr>
            <w:tcW w:w="1134" w:type="dxa"/>
            <w:tcBorders>
              <w:top w:val="nil"/>
              <w:bottom w:val="nil"/>
            </w:tcBorders>
            <w:shd w:val="clear" w:color="auto" w:fill="auto"/>
          </w:tcPr>
          <w:p w14:paraId="58DB9CFF" w14:textId="77777777" w:rsidR="00A60D4B" w:rsidRPr="001015CD" w:rsidRDefault="00A60D4B" w:rsidP="00A60D4B">
            <w:pPr>
              <w:pStyle w:val="Btablefigureunbold"/>
              <w:rPr>
                <w:rFonts w:cs="Calibri"/>
                <w:sz w:val="18"/>
                <w:szCs w:val="18"/>
              </w:rPr>
            </w:pPr>
            <w:r>
              <w:rPr>
                <w:rFonts w:cs="Calibri"/>
                <w:b/>
                <w:bCs/>
                <w:sz w:val="18"/>
                <w:szCs w:val="18"/>
              </w:rPr>
              <w:t xml:space="preserve">188,429 </w:t>
            </w:r>
          </w:p>
        </w:tc>
        <w:tc>
          <w:tcPr>
            <w:tcW w:w="1134" w:type="dxa"/>
            <w:tcBorders>
              <w:top w:val="nil"/>
              <w:bottom w:val="nil"/>
            </w:tcBorders>
          </w:tcPr>
          <w:p w14:paraId="7C22C71D" w14:textId="77777777" w:rsidR="00A60D4B" w:rsidRPr="001015CD" w:rsidRDefault="00A60D4B" w:rsidP="00A60D4B">
            <w:pPr>
              <w:pStyle w:val="Btablefigureunbold"/>
              <w:rPr>
                <w:rFonts w:cs="Calibri"/>
                <w:sz w:val="18"/>
                <w:szCs w:val="18"/>
              </w:rPr>
            </w:pPr>
            <w:r>
              <w:rPr>
                <w:rFonts w:cs="Calibri"/>
                <w:b/>
                <w:bCs/>
                <w:sz w:val="18"/>
                <w:szCs w:val="18"/>
              </w:rPr>
              <w:t xml:space="preserve">189,066 </w:t>
            </w:r>
          </w:p>
        </w:tc>
      </w:tr>
      <w:tr w:rsidR="00A60D4B" w:rsidRPr="00653BCC" w14:paraId="6DABF77E" w14:textId="77777777" w:rsidTr="00A60D4B">
        <w:trPr>
          <w:trHeight w:val="20"/>
        </w:trPr>
        <w:tc>
          <w:tcPr>
            <w:tcW w:w="2127" w:type="dxa"/>
            <w:tcBorders>
              <w:top w:val="nil"/>
              <w:bottom w:val="nil"/>
            </w:tcBorders>
          </w:tcPr>
          <w:p w14:paraId="1E555724" w14:textId="77777777" w:rsidR="00A60D4B" w:rsidRPr="001015CD" w:rsidRDefault="00A60D4B" w:rsidP="00A60D4B">
            <w:pPr>
              <w:pStyle w:val="Btabletextitalic"/>
              <w:rPr>
                <w:rFonts w:cs="Calibri"/>
                <w:i w:val="0"/>
                <w:sz w:val="18"/>
                <w:szCs w:val="18"/>
              </w:rPr>
            </w:pPr>
          </w:p>
        </w:tc>
        <w:tc>
          <w:tcPr>
            <w:tcW w:w="1181" w:type="dxa"/>
            <w:tcBorders>
              <w:top w:val="nil"/>
              <w:bottom w:val="nil"/>
            </w:tcBorders>
          </w:tcPr>
          <w:p w14:paraId="4AFCB6C7" w14:textId="77777777" w:rsidR="00A60D4B" w:rsidRPr="001015CD" w:rsidRDefault="00A60D4B" w:rsidP="00A60D4B">
            <w:pPr>
              <w:pStyle w:val="Btablefigureunbold"/>
              <w:rPr>
                <w:rFonts w:cs="Calibri"/>
                <w:sz w:val="18"/>
                <w:szCs w:val="18"/>
              </w:rPr>
            </w:pPr>
          </w:p>
        </w:tc>
        <w:tc>
          <w:tcPr>
            <w:tcW w:w="1191" w:type="dxa"/>
            <w:tcBorders>
              <w:top w:val="nil"/>
              <w:bottom w:val="nil"/>
            </w:tcBorders>
          </w:tcPr>
          <w:p w14:paraId="5BFCBAB2" w14:textId="77777777" w:rsidR="00A60D4B" w:rsidRPr="001015CD" w:rsidRDefault="00A60D4B" w:rsidP="00A60D4B">
            <w:pPr>
              <w:pStyle w:val="Btablefigureunbold"/>
              <w:rPr>
                <w:rFonts w:cs="Calibri"/>
                <w:sz w:val="18"/>
                <w:szCs w:val="18"/>
              </w:rPr>
            </w:pPr>
          </w:p>
        </w:tc>
        <w:tc>
          <w:tcPr>
            <w:tcW w:w="1181" w:type="dxa"/>
            <w:tcBorders>
              <w:top w:val="nil"/>
              <w:bottom w:val="nil"/>
            </w:tcBorders>
            <w:shd w:val="clear" w:color="auto" w:fill="auto"/>
          </w:tcPr>
          <w:p w14:paraId="099326AB" w14:textId="77777777" w:rsidR="00A60D4B" w:rsidRPr="001015CD" w:rsidRDefault="00A60D4B" w:rsidP="00A60D4B">
            <w:pPr>
              <w:pStyle w:val="Btablefigureunbold"/>
              <w:rPr>
                <w:rFonts w:cs="Calibri"/>
                <w:sz w:val="18"/>
                <w:szCs w:val="18"/>
              </w:rPr>
            </w:pPr>
          </w:p>
        </w:tc>
        <w:tc>
          <w:tcPr>
            <w:tcW w:w="1134" w:type="dxa"/>
            <w:tcBorders>
              <w:top w:val="nil"/>
              <w:bottom w:val="nil"/>
            </w:tcBorders>
            <w:shd w:val="clear" w:color="472D8C" w:fill="auto"/>
          </w:tcPr>
          <w:p w14:paraId="6D3F2617" w14:textId="77777777" w:rsidR="00A60D4B" w:rsidRPr="001015CD" w:rsidRDefault="00A60D4B" w:rsidP="00A60D4B">
            <w:pPr>
              <w:pStyle w:val="Btablefigureunbold"/>
              <w:rPr>
                <w:rFonts w:cs="Calibri"/>
                <w:sz w:val="18"/>
                <w:szCs w:val="18"/>
              </w:rPr>
            </w:pPr>
          </w:p>
        </w:tc>
        <w:tc>
          <w:tcPr>
            <w:tcW w:w="1134" w:type="dxa"/>
            <w:tcBorders>
              <w:top w:val="nil"/>
              <w:bottom w:val="nil"/>
            </w:tcBorders>
            <w:shd w:val="clear" w:color="auto" w:fill="auto"/>
          </w:tcPr>
          <w:p w14:paraId="2AA5347F" w14:textId="77777777" w:rsidR="00A60D4B" w:rsidRPr="001015CD" w:rsidRDefault="00A60D4B" w:rsidP="00A60D4B">
            <w:pPr>
              <w:pStyle w:val="Btablefigureunbold"/>
              <w:rPr>
                <w:rFonts w:cs="Calibri"/>
                <w:sz w:val="18"/>
                <w:szCs w:val="18"/>
              </w:rPr>
            </w:pPr>
          </w:p>
        </w:tc>
        <w:tc>
          <w:tcPr>
            <w:tcW w:w="1134" w:type="dxa"/>
            <w:tcBorders>
              <w:top w:val="nil"/>
              <w:bottom w:val="nil"/>
            </w:tcBorders>
          </w:tcPr>
          <w:p w14:paraId="1EDBB498" w14:textId="77777777" w:rsidR="00A60D4B" w:rsidRPr="001015CD" w:rsidRDefault="00A60D4B" w:rsidP="00A60D4B">
            <w:pPr>
              <w:pStyle w:val="Btablefigureunbold"/>
              <w:rPr>
                <w:rFonts w:cs="Calibri"/>
                <w:sz w:val="18"/>
                <w:szCs w:val="18"/>
              </w:rPr>
            </w:pPr>
          </w:p>
        </w:tc>
      </w:tr>
      <w:tr w:rsidR="00A60D4B" w:rsidRPr="00653BCC" w14:paraId="28822483" w14:textId="77777777" w:rsidTr="00A60D4B">
        <w:trPr>
          <w:trHeight w:val="20"/>
        </w:trPr>
        <w:tc>
          <w:tcPr>
            <w:tcW w:w="2127" w:type="dxa"/>
            <w:tcBorders>
              <w:top w:val="nil"/>
              <w:bottom w:val="nil"/>
            </w:tcBorders>
            <w:vAlign w:val="bottom"/>
          </w:tcPr>
          <w:p w14:paraId="79429987" w14:textId="77777777" w:rsidR="00A60D4B" w:rsidRPr="001015CD" w:rsidRDefault="00A60D4B" w:rsidP="00A60D4B">
            <w:pPr>
              <w:pStyle w:val="Btabletextitalic"/>
              <w:rPr>
                <w:rFonts w:cs="Calibri"/>
                <w:i w:val="0"/>
                <w:iCs/>
                <w:sz w:val="18"/>
                <w:szCs w:val="18"/>
              </w:rPr>
            </w:pPr>
            <w:r w:rsidRPr="001015CD">
              <w:rPr>
                <w:rFonts w:cs="Calibri"/>
                <w:b/>
                <w:bCs/>
                <w:i w:val="0"/>
                <w:iCs/>
                <w:sz w:val="18"/>
                <w:szCs w:val="18"/>
              </w:rPr>
              <w:t xml:space="preserve">Other   </w:t>
            </w:r>
          </w:p>
        </w:tc>
        <w:tc>
          <w:tcPr>
            <w:tcW w:w="1181" w:type="dxa"/>
            <w:tcBorders>
              <w:top w:val="nil"/>
              <w:bottom w:val="nil"/>
            </w:tcBorders>
          </w:tcPr>
          <w:p w14:paraId="0B08BA85" w14:textId="77777777" w:rsidR="00A60D4B" w:rsidRPr="001015CD" w:rsidRDefault="00A60D4B" w:rsidP="00A60D4B">
            <w:pPr>
              <w:pStyle w:val="Btablefigureunbold"/>
              <w:rPr>
                <w:rFonts w:cs="Calibri"/>
                <w:iCs/>
                <w:sz w:val="18"/>
                <w:szCs w:val="18"/>
              </w:rPr>
            </w:pPr>
            <w:r w:rsidRPr="001015CD">
              <w:rPr>
                <w:rFonts w:cs="Calibri"/>
                <w:iCs/>
                <w:sz w:val="18"/>
                <w:szCs w:val="18"/>
              </w:rPr>
              <w:t> </w:t>
            </w:r>
          </w:p>
        </w:tc>
        <w:tc>
          <w:tcPr>
            <w:tcW w:w="1191" w:type="dxa"/>
            <w:tcBorders>
              <w:top w:val="nil"/>
              <w:bottom w:val="nil"/>
            </w:tcBorders>
          </w:tcPr>
          <w:p w14:paraId="68E83823" w14:textId="77777777" w:rsidR="00A60D4B" w:rsidRPr="001015CD" w:rsidRDefault="00A60D4B" w:rsidP="00A60D4B">
            <w:pPr>
              <w:pStyle w:val="Btablefigureunbold"/>
              <w:rPr>
                <w:rFonts w:cs="Calibri"/>
                <w:iCs/>
                <w:sz w:val="18"/>
                <w:szCs w:val="18"/>
              </w:rPr>
            </w:pPr>
            <w:r w:rsidRPr="001015CD">
              <w:rPr>
                <w:rFonts w:cs="Calibri"/>
                <w:iCs/>
                <w:sz w:val="18"/>
                <w:szCs w:val="18"/>
              </w:rPr>
              <w:t> </w:t>
            </w:r>
          </w:p>
        </w:tc>
        <w:tc>
          <w:tcPr>
            <w:tcW w:w="1181" w:type="dxa"/>
            <w:tcBorders>
              <w:top w:val="nil"/>
              <w:bottom w:val="nil"/>
            </w:tcBorders>
            <w:shd w:val="clear" w:color="auto" w:fill="auto"/>
          </w:tcPr>
          <w:p w14:paraId="2FBE7CEB" w14:textId="77777777" w:rsidR="00A60D4B" w:rsidRPr="001015CD" w:rsidRDefault="00A60D4B" w:rsidP="00A60D4B">
            <w:pPr>
              <w:pStyle w:val="Btablefigureunbold"/>
              <w:rPr>
                <w:rFonts w:cs="Calibri"/>
                <w:iCs/>
                <w:sz w:val="18"/>
                <w:szCs w:val="18"/>
              </w:rPr>
            </w:pPr>
            <w:r w:rsidRPr="001015CD">
              <w:rPr>
                <w:rFonts w:cs="Calibri"/>
                <w:iCs/>
                <w:sz w:val="18"/>
                <w:szCs w:val="18"/>
              </w:rPr>
              <w:t> </w:t>
            </w:r>
          </w:p>
        </w:tc>
        <w:tc>
          <w:tcPr>
            <w:tcW w:w="1134" w:type="dxa"/>
            <w:tcBorders>
              <w:top w:val="nil"/>
              <w:bottom w:val="nil"/>
            </w:tcBorders>
            <w:shd w:val="clear" w:color="472D8C" w:fill="auto"/>
          </w:tcPr>
          <w:p w14:paraId="39CB13EB" w14:textId="77777777" w:rsidR="00A60D4B" w:rsidRPr="001015CD" w:rsidRDefault="00A60D4B" w:rsidP="00A60D4B">
            <w:pPr>
              <w:pStyle w:val="Btablefigureunbold"/>
              <w:rPr>
                <w:rFonts w:cs="Calibri"/>
                <w:iCs/>
                <w:sz w:val="18"/>
                <w:szCs w:val="18"/>
              </w:rPr>
            </w:pPr>
            <w:r w:rsidRPr="001015CD">
              <w:rPr>
                <w:rFonts w:cs="Calibri"/>
                <w:iCs/>
                <w:sz w:val="18"/>
                <w:szCs w:val="18"/>
              </w:rPr>
              <w:t> </w:t>
            </w:r>
          </w:p>
        </w:tc>
        <w:tc>
          <w:tcPr>
            <w:tcW w:w="1134" w:type="dxa"/>
            <w:tcBorders>
              <w:top w:val="nil"/>
              <w:bottom w:val="nil"/>
            </w:tcBorders>
            <w:shd w:val="clear" w:color="auto" w:fill="auto"/>
          </w:tcPr>
          <w:p w14:paraId="3EC80253" w14:textId="77777777" w:rsidR="00A60D4B" w:rsidRPr="001015CD" w:rsidRDefault="00A60D4B" w:rsidP="00A60D4B">
            <w:pPr>
              <w:pStyle w:val="Btablefigureunbold"/>
              <w:rPr>
                <w:rFonts w:cs="Calibri"/>
                <w:iCs/>
                <w:sz w:val="18"/>
                <w:szCs w:val="18"/>
              </w:rPr>
            </w:pPr>
            <w:r w:rsidRPr="001015CD">
              <w:rPr>
                <w:rFonts w:cs="Calibri"/>
                <w:iCs/>
                <w:sz w:val="18"/>
                <w:szCs w:val="18"/>
              </w:rPr>
              <w:t> </w:t>
            </w:r>
          </w:p>
        </w:tc>
        <w:tc>
          <w:tcPr>
            <w:tcW w:w="1134" w:type="dxa"/>
            <w:tcBorders>
              <w:top w:val="nil"/>
              <w:bottom w:val="nil"/>
            </w:tcBorders>
          </w:tcPr>
          <w:p w14:paraId="1A0E0FD5" w14:textId="77777777" w:rsidR="00A60D4B" w:rsidRPr="001015CD" w:rsidRDefault="00A60D4B" w:rsidP="00A60D4B">
            <w:pPr>
              <w:pStyle w:val="Btablefigureunbold"/>
              <w:rPr>
                <w:rFonts w:cs="Calibri"/>
                <w:iCs/>
                <w:sz w:val="18"/>
                <w:szCs w:val="18"/>
              </w:rPr>
            </w:pPr>
            <w:r w:rsidRPr="001015CD">
              <w:rPr>
                <w:rFonts w:cs="Calibri"/>
                <w:iCs/>
                <w:sz w:val="18"/>
                <w:szCs w:val="18"/>
              </w:rPr>
              <w:t> </w:t>
            </w:r>
          </w:p>
        </w:tc>
      </w:tr>
      <w:tr w:rsidR="00A60D4B" w:rsidRPr="00653BCC" w14:paraId="13674AD1" w14:textId="77777777" w:rsidTr="00A60D4B">
        <w:trPr>
          <w:trHeight w:val="20"/>
        </w:trPr>
        <w:tc>
          <w:tcPr>
            <w:tcW w:w="2127" w:type="dxa"/>
            <w:tcBorders>
              <w:top w:val="nil"/>
              <w:bottom w:val="nil"/>
            </w:tcBorders>
            <w:vAlign w:val="bottom"/>
          </w:tcPr>
          <w:p w14:paraId="23BF9008" w14:textId="77777777" w:rsidR="00A60D4B" w:rsidRPr="001015CD" w:rsidRDefault="00A60D4B" w:rsidP="00A60D4B">
            <w:pPr>
              <w:pStyle w:val="Btabletextitalic"/>
              <w:rPr>
                <w:rFonts w:cs="Calibri"/>
                <w:i w:val="0"/>
                <w:iCs/>
                <w:sz w:val="18"/>
                <w:szCs w:val="18"/>
              </w:rPr>
            </w:pPr>
            <w:r w:rsidRPr="001015CD">
              <w:rPr>
                <w:rFonts w:cs="Calibri"/>
                <w:i w:val="0"/>
                <w:iCs/>
                <w:sz w:val="18"/>
                <w:szCs w:val="18"/>
              </w:rPr>
              <w:t>Parking Fees</w:t>
            </w:r>
          </w:p>
        </w:tc>
        <w:tc>
          <w:tcPr>
            <w:tcW w:w="1181" w:type="dxa"/>
            <w:tcBorders>
              <w:top w:val="nil"/>
              <w:bottom w:val="nil"/>
            </w:tcBorders>
          </w:tcPr>
          <w:p w14:paraId="07053F9A" w14:textId="77777777" w:rsidR="00A60D4B" w:rsidRPr="001015CD" w:rsidRDefault="00A60D4B" w:rsidP="00A60D4B">
            <w:pPr>
              <w:pStyle w:val="Btablefigureunbold"/>
              <w:rPr>
                <w:rFonts w:cs="Calibri"/>
                <w:iCs/>
                <w:sz w:val="18"/>
                <w:szCs w:val="18"/>
              </w:rPr>
            </w:pPr>
            <w:r>
              <w:rPr>
                <w:rFonts w:cs="Calibri"/>
                <w:sz w:val="18"/>
                <w:szCs w:val="18"/>
              </w:rPr>
              <w:t xml:space="preserve">18,071 </w:t>
            </w:r>
          </w:p>
        </w:tc>
        <w:tc>
          <w:tcPr>
            <w:tcW w:w="1191" w:type="dxa"/>
            <w:tcBorders>
              <w:top w:val="nil"/>
              <w:bottom w:val="nil"/>
            </w:tcBorders>
          </w:tcPr>
          <w:p w14:paraId="6F65AF5D" w14:textId="77777777" w:rsidR="00A60D4B" w:rsidRPr="001015CD" w:rsidRDefault="00A60D4B" w:rsidP="00A60D4B">
            <w:pPr>
              <w:pStyle w:val="Btablefigureunbold"/>
              <w:rPr>
                <w:rFonts w:cs="Calibri"/>
                <w:iCs/>
                <w:sz w:val="18"/>
                <w:szCs w:val="18"/>
              </w:rPr>
            </w:pPr>
            <w:r>
              <w:rPr>
                <w:rFonts w:cs="Calibri"/>
                <w:sz w:val="18"/>
                <w:szCs w:val="18"/>
              </w:rPr>
              <w:t xml:space="preserve">18,102 </w:t>
            </w:r>
          </w:p>
        </w:tc>
        <w:tc>
          <w:tcPr>
            <w:tcW w:w="1181" w:type="dxa"/>
            <w:tcBorders>
              <w:top w:val="nil"/>
              <w:bottom w:val="nil"/>
            </w:tcBorders>
            <w:shd w:val="clear" w:color="auto" w:fill="auto"/>
          </w:tcPr>
          <w:p w14:paraId="2B057A5F" w14:textId="77777777" w:rsidR="00A60D4B" w:rsidRPr="001015CD" w:rsidRDefault="00A60D4B" w:rsidP="00A60D4B">
            <w:pPr>
              <w:pStyle w:val="Btablefigureunbold"/>
              <w:rPr>
                <w:rFonts w:cs="Calibri"/>
                <w:iCs/>
                <w:sz w:val="18"/>
                <w:szCs w:val="18"/>
              </w:rPr>
            </w:pPr>
            <w:r>
              <w:rPr>
                <w:rFonts w:cs="Calibri"/>
                <w:sz w:val="18"/>
                <w:szCs w:val="18"/>
              </w:rPr>
              <w:t xml:space="preserve">15,301 </w:t>
            </w:r>
          </w:p>
        </w:tc>
        <w:tc>
          <w:tcPr>
            <w:tcW w:w="1134" w:type="dxa"/>
            <w:tcBorders>
              <w:top w:val="nil"/>
              <w:bottom w:val="nil"/>
            </w:tcBorders>
            <w:shd w:val="clear" w:color="472D8C" w:fill="auto"/>
          </w:tcPr>
          <w:p w14:paraId="0C346475" w14:textId="77777777" w:rsidR="00A60D4B" w:rsidRPr="001015CD" w:rsidRDefault="00A60D4B" w:rsidP="00A60D4B">
            <w:pPr>
              <w:pStyle w:val="Btablefigureunbold"/>
              <w:rPr>
                <w:rFonts w:cs="Calibri"/>
                <w:iCs/>
                <w:sz w:val="18"/>
                <w:szCs w:val="18"/>
              </w:rPr>
            </w:pPr>
            <w:r>
              <w:rPr>
                <w:rFonts w:cs="Calibri"/>
                <w:sz w:val="18"/>
                <w:szCs w:val="18"/>
              </w:rPr>
              <w:t xml:space="preserve">23,640 </w:t>
            </w:r>
          </w:p>
        </w:tc>
        <w:tc>
          <w:tcPr>
            <w:tcW w:w="1134" w:type="dxa"/>
            <w:tcBorders>
              <w:top w:val="nil"/>
              <w:bottom w:val="nil"/>
            </w:tcBorders>
            <w:shd w:val="clear" w:color="auto" w:fill="auto"/>
          </w:tcPr>
          <w:p w14:paraId="50FE9D17" w14:textId="77777777" w:rsidR="00A60D4B" w:rsidRPr="001015CD" w:rsidRDefault="00A60D4B" w:rsidP="00A60D4B">
            <w:pPr>
              <w:pStyle w:val="Btablefigureunbold"/>
              <w:rPr>
                <w:rFonts w:cs="Calibri"/>
                <w:iCs/>
                <w:sz w:val="18"/>
                <w:szCs w:val="18"/>
              </w:rPr>
            </w:pPr>
            <w:r>
              <w:rPr>
                <w:rFonts w:cs="Calibri"/>
                <w:sz w:val="18"/>
                <w:szCs w:val="18"/>
              </w:rPr>
              <w:t xml:space="preserve">24,645 </w:t>
            </w:r>
          </w:p>
        </w:tc>
        <w:tc>
          <w:tcPr>
            <w:tcW w:w="1134" w:type="dxa"/>
            <w:tcBorders>
              <w:top w:val="nil"/>
              <w:bottom w:val="nil"/>
            </w:tcBorders>
          </w:tcPr>
          <w:p w14:paraId="52DD6B39" w14:textId="77777777" w:rsidR="00A60D4B" w:rsidRPr="001015CD" w:rsidRDefault="00A60D4B" w:rsidP="00A60D4B">
            <w:pPr>
              <w:pStyle w:val="Btablefigureunbold"/>
              <w:rPr>
                <w:rFonts w:cs="Calibri"/>
                <w:iCs/>
                <w:sz w:val="18"/>
                <w:szCs w:val="18"/>
              </w:rPr>
            </w:pPr>
            <w:r>
              <w:rPr>
                <w:rFonts w:cs="Calibri"/>
                <w:sz w:val="18"/>
                <w:szCs w:val="18"/>
              </w:rPr>
              <w:t xml:space="preserve">25,693 </w:t>
            </w:r>
          </w:p>
        </w:tc>
      </w:tr>
      <w:tr w:rsidR="00A60D4B" w:rsidRPr="00653BCC" w14:paraId="7EA5F7AC" w14:textId="77777777" w:rsidTr="00A60D4B">
        <w:trPr>
          <w:trHeight w:val="20"/>
        </w:trPr>
        <w:tc>
          <w:tcPr>
            <w:tcW w:w="2127" w:type="dxa"/>
            <w:tcBorders>
              <w:top w:val="nil"/>
              <w:bottom w:val="nil"/>
            </w:tcBorders>
            <w:vAlign w:val="bottom"/>
          </w:tcPr>
          <w:p w14:paraId="7CADF6FC" w14:textId="77777777" w:rsidR="00A60D4B" w:rsidRPr="001015CD" w:rsidRDefault="00A60D4B" w:rsidP="00A60D4B">
            <w:pPr>
              <w:pStyle w:val="Btabletextitalic"/>
              <w:rPr>
                <w:rFonts w:cs="Calibri"/>
                <w:i w:val="0"/>
                <w:iCs/>
                <w:sz w:val="18"/>
                <w:szCs w:val="18"/>
              </w:rPr>
            </w:pPr>
            <w:r w:rsidRPr="001015CD">
              <w:rPr>
                <w:rFonts w:cs="Calibri"/>
                <w:i w:val="0"/>
                <w:iCs/>
                <w:sz w:val="18"/>
                <w:szCs w:val="18"/>
              </w:rPr>
              <w:t>Inpatient Fees</w:t>
            </w:r>
          </w:p>
        </w:tc>
        <w:tc>
          <w:tcPr>
            <w:tcW w:w="1181" w:type="dxa"/>
            <w:tcBorders>
              <w:top w:val="nil"/>
              <w:bottom w:val="nil"/>
            </w:tcBorders>
          </w:tcPr>
          <w:p w14:paraId="38E91131" w14:textId="77777777" w:rsidR="00A60D4B" w:rsidRPr="001015CD" w:rsidRDefault="00A60D4B" w:rsidP="00A60D4B">
            <w:pPr>
              <w:pStyle w:val="Btablefigureunbold"/>
              <w:rPr>
                <w:rFonts w:cs="Calibri"/>
                <w:iCs/>
                <w:sz w:val="18"/>
                <w:szCs w:val="18"/>
              </w:rPr>
            </w:pPr>
            <w:r>
              <w:rPr>
                <w:rFonts w:cs="Calibri"/>
                <w:sz w:val="18"/>
                <w:szCs w:val="18"/>
              </w:rPr>
              <w:t xml:space="preserve">37,298 </w:t>
            </w:r>
          </w:p>
        </w:tc>
        <w:tc>
          <w:tcPr>
            <w:tcW w:w="1191" w:type="dxa"/>
            <w:tcBorders>
              <w:top w:val="nil"/>
              <w:bottom w:val="nil"/>
            </w:tcBorders>
          </w:tcPr>
          <w:p w14:paraId="60455127" w14:textId="77777777" w:rsidR="00A60D4B" w:rsidRPr="001015CD" w:rsidRDefault="00A60D4B" w:rsidP="00A60D4B">
            <w:pPr>
              <w:pStyle w:val="Btablefigureunbold"/>
              <w:rPr>
                <w:rFonts w:cs="Calibri"/>
                <w:iCs/>
                <w:sz w:val="18"/>
                <w:szCs w:val="18"/>
              </w:rPr>
            </w:pPr>
            <w:r>
              <w:rPr>
                <w:rFonts w:cs="Calibri"/>
                <w:sz w:val="18"/>
                <w:szCs w:val="18"/>
              </w:rPr>
              <w:t xml:space="preserve">35,111 </w:t>
            </w:r>
          </w:p>
        </w:tc>
        <w:tc>
          <w:tcPr>
            <w:tcW w:w="1181" w:type="dxa"/>
            <w:tcBorders>
              <w:top w:val="nil"/>
              <w:bottom w:val="nil"/>
            </w:tcBorders>
            <w:shd w:val="clear" w:color="auto" w:fill="auto"/>
          </w:tcPr>
          <w:p w14:paraId="5E472287" w14:textId="77777777" w:rsidR="00A60D4B" w:rsidRPr="001015CD" w:rsidRDefault="00A60D4B" w:rsidP="00A60D4B">
            <w:pPr>
              <w:pStyle w:val="Btablefigureunbold"/>
              <w:rPr>
                <w:rFonts w:cs="Calibri"/>
                <w:iCs/>
                <w:sz w:val="18"/>
                <w:szCs w:val="18"/>
              </w:rPr>
            </w:pPr>
            <w:r>
              <w:rPr>
                <w:rFonts w:cs="Calibri"/>
                <w:sz w:val="18"/>
                <w:szCs w:val="18"/>
              </w:rPr>
              <w:t xml:space="preserve">37,407 </w:t>
            </w:r>
          </w:p>
        </w:tc>
        <w:tc>
          <w:tcPr>
            <w:tcW w:w="1134" w:type="dxa"/>
            <w:tcBorders>
              <w:top w:val="nil"/>
              <w:bottom w:val="nil"/>
            </w:tcBorders>
            <w:shd w:val="clear" w:color="472D8C" w:fill="auto"/>
          </w:tcPr>
          <w:p w14:paraId="6A047B51" w14:textId="77777777" w:rsidR="00A60D4B" w:rsidRPr="001015CD" w:rsidRDefault="00A60D4B" w:rsidP="00A60D4B">
            <w:pPr>
              <w:pStyle w:val="Btablefigureunbold"/>
              <w:rPr>
                <w:rFonts w:cs="Calibri"/>
                <w:iCs/>
                <w:sz w:val="18"/>
                <w:szCs w:val="18"/>
              </w:rPr>
            </w:pPr>
            <w:r>
              <w:rPr>
                <w:rFonts w:cs="Calibri"/>
                <w:sz w:val="18"/>
                <w:szCs w:val="18"/>
              </w:rPr>
              <w:t xml:space="preserve">38,391 </w:t>
            </w:r>
          </w:p>
        </w:tc>
        <w:tc>
          <w:tcPr>
            <w:tcW w:w="1134" w:type="dxa"/>
            <w:tcBorders>
              <w:top w:val="nil"/>
              <w:bottom w:val="nil"/>
            </w:tcBorders>
            <w:shd w:val="clear" w:color="auto" w:fill="auto"/>
          </w:tcPr>
          <w:p w14:paraId="48FBD04E" w14:textId="77777777" w:rsidR="00A60D4B" w:rsidRPr="001015CD" w:rsidRDefault="00A60D4B" w:rsidP="00A60D4B">
            <w:pPr>
              <w:pStyle w:val="Btablefigureunbold"/>
              <w:rPr>
                <w:rFonts w:cs="Calibri"/>
                <w:iCs/>
                <w:sz w:val="18"/>
                <w:szCs w:val="18"/>
              </w:rPr>
            </w:pPr>
            <w:r>
              <w:rPr>
                <w:rFonts w:cs="Calibri"/>
                <w:sz w:val="18"/>
                <w:szCs w:val="18"/>
              </w:rPr>
              <w:t xml:space="preserve">39,350 </w:t>
            </w:r>
          </w:p>
        </w:tc>
        <w:tc>
          <w:tcPr>
            <w:tcW w:w="1134" w:type="dxa"/>
            <w:tcBorders>
              <w:top w:val="nil"/>
              <w:bottom w:val="nil"/>
            </w:tcBorders>
          </w:tcPr>
          <w:p w14:paraId="7F73202A" w14:textId="77777777" w:rsidR="00A60D4B" w:rsidRPr="001015CD" w:rsidRDefault="00A60D4B" w:rsidP="00A60D4B">
            <w:pPr>
              <w:pStyle w:val="Btablefigureunbold"/>
              <w:rPr>
                <w:rFonts w:cs="Calibri"/>
                <w:iCs/>
                <w:sz w:val="18"/>
                <w:szCs w:val="18"/>
              </w:rPr>
            </w:pPr>
            <w:r>
              <w:rPr>
                <w:rFonts w:cs="Calibri"/>
                <w:sz w:val="18"/>
                <w:szCs w:val="18"/>
              </w:rPr>
              <w:t xml:space="preserve">40,039 </w:t>
            </w:r>
          </w:p>
        </w:tc>
      </w:tr>
      <w:tr w:rsidR="00A60D4B" w:rsidRPr="00653BCC" w14:paraId="5DFDD39F" w14:textId="77777777" w:rsidTr="00A60D4B">
        <w:trPr>
          <w:trHeight w:val="20"/>
        </w:trPr>
        <w:tc>
          <w:tcPr>
            <w:tcW w:w="2127" w:type="dxa"/>
            <w:tcBorders>
              <w:top w:val="nil"/>
              <w:bottom w:val="nil"/>
            </w:tcBorders>
            <w:vAlign w:val="bottom"/>
          </w:tcPr>
          <w:p w14:paraId="401B6A9C" w14:textId="77777777" w:rsidR="00A60D4B" w:rsidRPr="001015CD" w:rsidRDefault="00A60D4B" w:rsidP="00A60D4B">
            <w:pPr>
              <w:pStyle w:val="Btabletextitalic"/>
              <w:rPr>
                <w:rFonts w:cs="Calibri"/>
                <w:i w:val="0"/>
                <w:iCs/>
                <w:sz w:val="18"/>
                <w:szCs w:val="18"/>
              </w:rPr>
            </w:pPr>
            <w:r w:rsidRPr="001015CD">
              <w:rPr>
                <w:rFonts w:cs="Calibri"/>
                <w:i w:val="0"/>
                <w:iCs/>
                <w:sz w:val="18"/>
                <w:szCs w:val="18"/>
              </w:rPr>
              <w:t>Non-Inpatient Fees</w:t>
            </w:r>
          </w:p>
        </w:tc>
        <w:tc>
          <w:tcPr>
            <w:tcW w:w="1181" w:type="dxa"/>
            <w:tcBorders>
              <w:top w:val="nil"/>
              <w:bottom w:val="nil"/>
            </w:tcBorders>
          </w:tcPr>
          <w:p w14:paraId="76D5B683" w14:textId="77777777" w:rsidR="00A60D4B" w:rsidRPr="001015CD" w:rsidRDefault="00A60D4B" w:rsidP="00A60D4B">
            <w:pPr>
              <w:pStyle w:val="Btablefigureunbold"/>
              <w:rPr>
                <w:rFonts w:cs="Calibri"/>
                <w:iCs/>
                <w:sz w:val="18"/>
                <w:szCs w:val="18"/>
              </w:rPr>
            </w:pPr>
            <w:r>
              <w:rPr>
                <w:rFonts w:cs="Calibri"/>
                <w:sz w:val="18"/>
                <w:szCs w:val="18"/>
              </w:rPr>
              <w:t xml:space="preserve">7,756 </w:t>
            </w:r>
          </w:p>
        </w:tc>
        <w:tc>
          <w:tcPr>
            <w:tcW w:w="1191" w:type="dxa"/>
            <w:tcBorders>
              <w:top w:val="nil"/>
              <w:bottom w:val="nil"/>
            </w:tcBorders>
          </w:tcPr>
          <w:p w14:paraId="7FC7C99B" w14:textId="77777777" w:rsidR="00A60D4B" w:rsidRPr="001015CD" w:rsidRDefault="00A60D4B" w:rsidP="00A60D4B">
            <w:pPr>
              <w:pStyle w:val="Btablefigureunbold"/>
              <w:rPr>
                <w:rFonts w:cs="Calibri"/>
                <w:iCs/>
                <w:sz w:val="18"/>
                <w:szCs w:val="18"/>
              </w:rPr>
            </w:pPr>
            <w:r>
              <w:rPr>
                <w:rFonts w:cs="Calibri"/>
                <w:sz w:val="18"/>
                <w:szCs w:val="18"/>
              </w:rPr>
              <w:t xml:space="preserve">8,308 </w:t>
            </w:r>
          </w:p>
        </w:tc>
        <w:tc>
          <w:tcPr>
            <w:tcW w:w="1181" w:type="dxa"/>
            <w:tcBorders>
              <w:top w:val="nil"/>
              <w:bottom w:val="nil"/>
            </w:tcBorders>
            <w:shd w:val="clear" w:color="auto" w:fill="auto"/>
          </w:tcPr>
          <w:p w14:paraId="2E8E2FA1" w14:textId="77777777" w:rsidR="00A60D4B" w:rsidRPr="001015CD" w:rsidRDefault="00A60D4B" w:rsidP="00A60D4B">
            <w:pPr>
              <w:pStyle w:val="Btablefigureunbold"/>
              <w:rPr>
                <w:rFonts w:cs="Calibri"/>
                <w:iCs/>
                <w:sz w:val="18"/>
                <w:szCs w:val="18"/>
              </w:rPr>
            </w:pPr>
            <w:r>
              <w:rPr>
                <w:rFonts w:cs="Calibri"/>
                <w:sz w:val="18"/>
                <w:szCs w:val="18"/>
              </w:rPr>
              <w:t xml:space="preserve">7,716 </w:t>
            </w:r>
          </w:p>
        </w:tc>
        <w:tc>
          <w:tcPr>
            <w:tcW w:w="1134" w:type="dxa"/>
            <w:tcBorders>
              <w:top w:val="nil"/>
              <w:bottom w:val="nil"/>
            </w:tcBorders>
            <w:shd w:val="clear" w:color="472D8C" w:fill="auto"/>
          </w:tcPr>
          <w:p w14:paraId="1FC5F1C2" w14:textId="77777777" w:rsidR="00A60D4B" w:rsidRPr="001015CD" w:rsidRDefault="00A60D4B" w:rsidP="00A60D4B">
            <w:pPr>
              <w:pStyle w:val="Btablefigureunbold"/>
              <w:rPr>
                <w:rFonts w:cs="Calibri"/>
                <w:iCs/>
                <w:sz w:val="18"/>
                <w:szCs w:val="18"/>
              </w:rPr>
            </w:pPr>
            <w:r>
              <w:rPr>
                <w:rFonts w:cs="Calibri"/>
                <w:sz w:val="18"/>
                <w:szCs w:val="18"/>
              </w:rPr>
              <w:t xml:space="preserve">10,336 </w:t>
            </w:r>
          </w:p>
        </w:tc>
        <w:tc>
          <w:tcPr>
            <w:tcW w:w="1134" w:type="dxa"/>
            <w:tcBorders>
              <w:top w:val="nil"/>
              <w:bottom w:val="nil"/>
            </w:tcBorders>
            <w:shd w:val="clear" w:color="auto" w:fill="auto"/>
          </w:tcPr>
          <w:p w14:paraId="07D850C8" w14:textId="77777777" w:rsidR="00A60D4B" w:rsidRPr="001015CD" w:rsidRDefault="00A60D4B" w:rsidP="00A60D4B">
            <w:pPr>
              <w:pStyle w:val="Btablefigureunbold"/>
              <w:rPr>
                <w:rFonts w:cs="Calibri"/>
                <w:iCs/>
                <w:sz w:val="18"/>
                <w:szCs w:val="18"/>
              </w:rPr>
            </w:pPr>
            <w:r>
              <w:rPr>
                <w:rFonts w:cs="Calibri"/>
                <w:sz w:val="18"/>
                <w:szCs w:val="18"/>
              </w:rPr>
              <w:t xml:space="preserve">10,624 </w:t>
            </w:r>
          </w:p>
        </w:tc>
        <w:tc>
          <w:tcPr>
            <w:tcW w:w="1134" w:type="dxa"/>
            <w:tcBorders>
              <w:top w:val="nil"/>
              <w:bottom w:val="nil"/>
            </w:tcBorders>
          </w:tcPr>
          <w:p w14:paraId="109FD011" w14:textId="77777777" w:rsidR="00A60D4B" w:rsidRPr="001015CD" w:rsidRDefault="00A60D4B" w:rsidP="00A60D4B">
            <w:pPr>
              <w:pStyle w:val="Btablefigureunbold"/>
              <w:rPr>
                <w:rFonts w:cs="Calibri"/>
                <w:iCs/>
                <w:sz w:val="18"/>
                <w:szCs w:val="18"/>
              </w:rPr>
            </w:pPr>
            <w:r>
              <w:rPr>
                <w:rFonts w:cs="Calibri"/>
                <w:sz w:val="18"/>
                <w:szCs w:val="18"/>
              </w:rPr>
              <w:t xml:space="preserve">10,852 </w:t>
            </w:r>
          </w:p>
        </w:tc>
      </w:tr>
      <w:tr w:rsidR="00A60D4B" w:rsidRPr="00653BCC" w14:paraId="37F65D8D" w14:textId="77777777" w:rsidTr="00A60D4B">
        <w:trPr>
          <w:trHeight w:val="20"/>
        </w:trPr>
        <w:tc>
          <w:tcPr>
            <w:tcW w:w="2127" w:type="dxa"/>
            <w:tcBorders>
              <w:top w:val="nil"/>
              <w:bottom w:val="nil"/>
            </w:tcBorders>
            <w:vAlign w:val="bottom"/>
          </w:tcPr>
          <w:p w14:paraId="6DAC647C" w14:textId="77777777" w:rsidR="00A60D4B" w:rsidRPr="001015CD" w:rsidRDefault="00A60D4B" w:rsidP="00A60D4B">
            <w:pPr>
              <w:pStyle w:val="Btabletextitalic"/>
              <w:rPr>
                <w:rFonts w:cs="Calibri"/>
                <w:i w:val="0"/>
                <w:iCs/>
                <w:sz w:val="18"/>
                <w:szCs w:val="18"/>
              </w:rPr>
            </w:pPr>
            <w:r w:rsidRPr="001015CD">
              <w:rPr>
                <w:rFonts w:cs="Calibri"/>
                <w:i w:val="0"/>
                <w:iCs/>
                <w:sz w:val="18"/>
                <w:szCs w:val="18"/>
              </w:rPr>
              <w:t>Meals and Accommodation</w:t>
            </w:r>
          </w:p>
        </w:tc>
        <w:tc>
          <w:tcPr>
            <w:tcW w:w="1181" w:type="dxa"/>
            <w:tcBorders>
              <w:top w:val="nil"/>
              <w:bottom w:val="nil"/>
            </w:tcBorders>
          </w:tcPr>
          <w:p w14:paraId="0997CE34" w14:textId="77777777" w:rsidR="00A60D4B" w:rsidRPr="001015CD" w:rsidRDefault="00A60D4B" w:rsidP="00A60D4B">
            <w:pPr>
              <w:pStyle w:val="Btablefigureunbold"/>
              <w:rPr>
                <w:rFonts w:cs="Calibri"/>
                <w:iCs/>
                <w:sz w:val="18"/>
                <w:szCs w:val="18"/>
              </w:rPr>
            </w:pPr>
            <w:r>
              <w:rPr>
                <w:rFonts w:cs="Calibri"/>
                <w:sz w:val="18"/>
                <w:szCs w:val="18"/>
              </w:rPr>
              <w:t xml:space="preserve">3,826 </w:t>
            </w:r>
          </w:p>
        </w:tc>
        <w:tc>
          <w:tcPr>
            <w:tcW w:w="1191" w:type="dxa"/>
            <w:tcBorders>
              <w:top w:val="nil"/>
              <w:bottom w:val="nil"/>
            </w:tcBorders>
          </w:tcPr>
          <w:p w14:paraId="1FCE5CC3" w14:textId="77777777" w:rsidR="00A60D4B" w:rsidRPr="001015CD" w:rsidRDefault="00A60D4B" w:rsidP="00A60D4B">
            <w:pPr>
              <w:pStyle w:val="Btablefigureunbold"/>
              <w:rPr>
                <w:rFonts w:cs="Calibri"/>
                <w:iCs/>
                <w:sz w:val="18"/>
                <w:szCs w:val="18"/>
              </w:rPr>
            </w:pPr>
            <w:r>
              <w:rPr>
                <w:rFonts w:cs="Calibri"/>
                <w:sz w:val="18"/>
                <w:szCs w:val="18"/>
              </w:rPr>
              <w:t xml:space="preserve">3,795 </w:t>
            </w:r>
          </w:p>
        </w:tc>
        <w:tc>
          <w:tcPr>
            <w:tcW w:w="1181" w:type="dxa"/>
            <w:tcBorders>
              <w:top w:val="nil"/>
              <w:bottom w:val="nil"/>
            </w:tcBorders>
            <w:shd w:val="clear" w:color="auto" w:fill="auto"/>
          </w:tcPr>
          <w:p w14:paraId="4AC95D56" w14:textId="77777777" w:rsidR="00A60D4B" w:rsidRPr="001015CD" w:rsidRDefault="00A60D4B" w:rsidP="00A60D4B">
            <w:pPr>
              <w:pStyle w:val="Btablefigureunbold"/>
              <w:rPr>
                <w:rFonts w:cs="Calibri"/>
                <w:iCs/>
                <w:sz w:val="18"/>
                <w:szCs w:val="18"/>
              </w:rPr>
            </w:pPr>
            <w:r>
              <w:rPr>
                <w:rFonts w:cs="Calibri"/>
                <w:sz w:val="18"/>
                <w:szCs w:val="18"/>
              </w:rPr>
              <w:t xml:space="preserve">3,971 </w:t>
            </w:r>
          </w:p>
        </w:tc>
        <w:tc>
          <w:tcPr>
            <w:tcW w:w="1134" w:type="dxa"/>
            <w:tcBorders>
              <w:top w:val="nil"/>
              <w:bottom w:val="nil"/>
            </w:tcBorders>
            <w:shd w:val="clear" w:color="472D8C" w:fill="auto"/>
          </w:tcPr>
          <w:p w14:paraId="2A0E846F" w14:textId="77777777" w:rsidR="00A60D4B" w:rsidRPr="001015CD" w:rsidRDefault="00A60D4B" w:rsidP="00A60D4B">
            <w:pPr>
              <w:pStyle w:val="Btablefigureunbold"/>
              <w:rPr>
                <w:rFonts w:cs="Calibri"/>
                <w:iCs/>
                <w:sz w:val="18"/>
                <w:szCs w:val="18"/>
              </w:rPr>
            </w:pPr>
            <w:r>
              <w:rPr>
                <w:rFonts w:cs="Calibri"/>
                <w:sz w:val="18"/>
                <w:szCs w:val="18"/>
              </w:rPr>
              <w:t xml:space="preserve">4,114 </w:t>
            </w:r>
          </w:p>
        </w:tc>
        <w:tc>
          <w:tcPr>
            <w:tcW w:w="1134" w:type="dxa"/>
            <w:tcBorders>
              <w:top w:val="nil"/>
              <w:bottom w:val="nil"/>
            </w:tcBorders>
            <w:shd w:val="clear" w:color="auto" w:fill="auto"/>
          </w:tcPr>
          <w:p w14:paraId="09FB6826" w14:textId="77777777" w:rsidR="00A60D4B" w:rsidRPr="001015CD" w:rsidRDefault="00A60D4B" w:rsidP="00A60D4B">
            <w:pPr>
              <w:pStyle w:val="Btablefigureunbold"/>
              <w:rPr>
                <w:rFonts w:cs="Calibri"/>
                <w:iCs/>
                <w:sz w:val="18"/>
                <w:szCs w:val="18"/>
              </w:rPr>
            </w:pPr>
            <w:r>
              <w:rPr>
                <w:rFonts w:cs="Calibri"/>
                <w:sz w:val="18"/>
                <w:szCs w:val="18"/>
              </w:rPr>
              <w:t xml:space="preserve">4,217 </w:t>
            </w:r>
          </w:p>
        </w:tc>
        <w:tc>
          <w:tcPr>
            <w:tcW w:w="1134" w:type="dxa"/>
            <w:tcBorders>
              <w:top w:val="nil"/>
              <w:bottom w:val="nil"/>
            </w:tcBorders>
          </w:tcPr>
          <w:p w14:paraId="0CD73AC5" w14:textId="77777777" w:rsidR="00A60D4B" w:rsidRPr="001015CD" w:rsidRDefault="00A60D4B" w:rsidP="00A60D4B">
            <w:pPr>
              <w:pStyle w:val="Btablefigureunbold"/>
              <w:rPr>
                <w:rFonts w:cs="Calibri"/>
                <w:iCs/>
                <w:sz w:val="18"/>
                <w:szCs w:val="18"/>
              </w:rPr>
            </w:pPr>
            <w:r>
              <w:rPr>
                <w:rFonts w:cs="Calibri"/>
                <w:sz w:val="18"/>
                <w:szCs w:val="18"/>
              </w:rPr>
              <w:t xml:space="preserve">4,291 </w:t>
            </w:r>
          </w:p>
        </w:tc>
      </w:tr>
      <w:tr w:rsidR="00A60D4B" w:rsidRPr="00653BCC" w14:paraId="52D6ADDD" w14:textId="77777777" w:rsidTr="00A60D4B">
        <w:trPr>
          <w:trHeight w:val="20"/>
        </w:trPr>
        <w:tc>
          <w:tcPr>
            <w:tcW w:w="2127" w:type="dxa"/>
            <w:tcBorders>
              <w:top w:val="nil"/>
              <w:bottom w:val="nil"/>
            </w:tcBorders>
            <w:vAlign w:val="bottom"/>
          </w:tcPr>
          <w:p w14:paraId="016FB6BB" w14:textId="77777777" w:rsidR="00A60D4B" w:rsidRPr="001015CD" w:rsidRDefault="00A60D4B" w:rsidP="00A60D4B">
            <w:pPr>
              <w:pStyle w:val="Btabletextitalic"/>
              <w:rPr>
                <w:rFonts w:cs="Calibri"/>
                <w:i w:val="0"/>
                <w:iCs/>
                <w:sz w:val="18"/>
                <w:szCs w:val="18"/>
              </w:rPr>
            </w:pPr>
            <w:r w:rsidRPr="001015CD">
              <w:rPr>
                <w:rFonts w:cs="Calibri"/>
                <w:i w:val="0"/>
                <w:iCs/>
                <w:sz w:val="18"/>
                <w:szCs w:val="18"/>
              </w:rPr>
              <w:t>Cross Border Health Receipts</w:t>
            </w:r>
          </w:p>
        </w:tc>
        <w:tc>
          <w:tcPr>
            <w:tcW w:w="1181" w:type="dxa"/>
            <w:tcBorders>
              <w:top w:val="nil"/>
              <w:bottom w:val="nil"/>
            </w:tcBorders>
          </w:tcPr>
          <w:p w14:paraId="35C1C281" w14:textId="77777777" w:rsidR="00A60D4B" w:rsidRPr="001015CD" w:rsidRDefault="00A60D4B" w:rsidP="00A60D4B">
            <w:pPr>
              <w:pStyle w:val="Btablefigureunbold"/>
              <w:rPr>
                <w:rFonts w:cs="Calibri"/>
                <w:iCs/>
                <w:sz w:val="18"/>
                <w:szCs w:val="18"/>
              </w:rPr>
            </w:pPr>
            <w:r>
              <w:rPr>
                <w:rFonts w:cs="Calibri"/>
                <w:sz w:val="18"/>
                <w:szCs w:val="18"/>
              </w:rPr>
              <w:t xml:space="preserve">113,385 </w:t>
            </w:r>
          </w:p>
        </w:tc>
        <w:tc>
          <w:tcPr>
            <w:tcW w:w="1191" w:type="dxa"/>
            <w:tcBorders>
              <w:top w:val="nil"/>
              <w:bottom w:val="nil"/>
            </w:tcBorders>
          </w:tcPr>
          <w:p w14:paraId="654FACE6" w14:textId="77777777" w:rsidR="00A60D4B" w:rsidRPr="001015CD" w:rsidRDefault="00A60D4B" w:rsidP="00A60D4B">
            <w:pPr>
              <w:pStyle w:val="Btablefigureunbold"/>
              <w:rPr>
                <w:rFonts w:cs="Calibri"/>
                <w:iCs/>
                <w:sz w:val="18"/>
                <w:szCs w:val="18"/>
              </w:rPr>
            </w:pPr>
            <w:r>
              <w:rPr>
                <w:rFonts w:cs="Calibri"/>
                <w:sz w:val="18"/>
                <w:szCs w:val="18"/>
              </w:rPr>
              <w:t xml:space="preserve">115,079 </w:t>
            </w:r>
          </w:p>
        </w:tc>
        <w:tc>
          <w:tcPr>
            <w:tcW w:w="1181" w:type="dxa"/>
            <w:tcBorders>
              <w:top w:val="nil"/>
              <w:bottom w:val="nil"/>
            </w:tcBorders>
            <w:shd w:val="clear" w:color="auto" w:fill="auto"/>
          </w:tcPr>
          <w:p w14:paraId="3CA8D749" w14:textId="77777777" w:rsidR="00A60D4B" w:rsidRPr="001015CD" w:rsidRDefault="00A60D4B" w:rsidP="00A60D4B">
            <w:pPr>
              <w:pStyle w:val="Btablefigureunbold"/>
              <w:rPr>
                <w:rFonts w:cs="Calibri"/>
                <w:iCs/>
                <w:sz w:val="18"/>
                <w:szCs w:val="18"/>
              </w:rPr>
            </w:pPr>
            <w:r>
              <w:rPr>
                <w:rFonts w:cs="Calibri"/>
                <w:sz w:val="18"/>
                <w:szCs w:val="18"/>
              </w:rPr>
              <w:t xml:space="preserve">116,219 </w:t>
            </w:r>
          </w:p>
        </w:tc>
        <w:tc>
          <w:tcPr>
            <w:tcW w:w="1134" w:type="dxa"/>
            <w:tcBorders>
              <w:top w:val="nil"/>
              <w:bottom w:val="nil"/>
            </w:tcBorders>
            <w:shd w:val="clear" w:color="472D8C" w:fill="auto"/>
          </w:tcPr>
          <w:p w14:paraId="3457DC4B" w14:textId="77777777" w:rsidR="00A60D4B" w:rsidRPr="001015CD" w:rsidRDefault="00A60D4B" w:rsidP="00A60D4B">
            <w:pPr>
              <w:pStyle w:val="Btablefigureunbold"/>
              <w:rPr>
                <w:rFonts w:cs="Calibri"/>
                <w:iCs/>
                <w:sz w:val="18"/>
                <w:szCs w:val="18"/>
              </w:rPr>
            </w:pPr>
            <w:r>
              <w:rPr>
                <w:rFonts w:cs="Calibri"/>
                <w:sz w:val="18"/>
                <w:szCs w:val="18"/>
              </w:rPr>
              <w:t xml:space="preserve">119,124 </w:t>
            </w:r>
          </w:p>
        </w:tc>
        <w:tc>
          <w:tcPr>
            <w:tcW w:w="1134" w:type="dxa"/>
            <w:tcBorders>
              <w:top w:val="nil"/>
              <w:bottom w:val="nil"/>
            </w:tcBorders>
            <w:shd w:val="clear" w:color="auto" w:fill="auto"/>
          </w:tcPr>
          <w:p w14:paraId="29AAFBBE" w14:textId="77777777" w:rsidR="00A60D4B" w:rsidRPr="001015CD" w:rsidRDefault="00A60D4B" w:rsidP="00A60D4B">
            <w:pPr>
              <w:pStyle w:val="Btablefigureunbold"/>
              <w:rPr>
                <w:rFonts w:cs="Calibri"/>
                <w:iCs/>
                <w:sz w:val="18"/>
                <w:szCs w:val="18"/>
              </w:rPr>
            </w:pPr>
            <w:r>
              <w:rPr>
                <w:rFonts w:cs="Calibri"/>
                <w:sz w:val="18"/>
                <w:szCs w:val="18"/>
              </w:rPr>
              <w:t xml:space="preserve">122,102 </w:t>
            </w:r>
          </w:p>
        </w:tc>
        <w:tc>
          <w:tcPr>
            <w:tcW w:w="1134" w:type="dxa"/>
            <w:tcBorders>
              <w:top w:val="nil"/>
              <w:bottom w:val="nil"/>
            </w:tcBorders>
          </w:tcPr>
          <w:p w14:paraId="1F888157" w14:textId="77777777" w:rsidR="00A60D4B" w:rsidRPr="001015CD" w:rsidRDefault="00A60D4B" w:rsidP="00A60D4B">
            <w:pPr>
              <w:pStyle w:val="Btablefigureunbold"/>
              <w:rPr>
                <w:rFonts w:cs="Calibri"/>
                <w:iCs/>
                <w:sz w:val="18"/>
                <w:szCs w:val="18"/>
              </w:rPr>
            </w:pPr>
            <w:r>
              <w:rPr>
                <w:rFonts w:cs="Calibri"/>
                <w:sz w:val="18"/>
                <w:szCs w:val="18"/>
              </w:rPr>
              <w:t xml:space="preserve">124,544 </w:t>
            </w:r>
          </w:p>
        </w:tc>
      </w:tr>
      <w:tr w:rsidR="00A60D4B" w:rsidRPr="00653BCC" w14:paraId="5869AE76" w14:textId="77777777" w:rsidTr="00A60D4B">
        <w:trPr>
          <w:trHeight w:val="20"/>
        </w:trPr>
        <w:tc>
          <w:tcPr>
            <w:tcW w:w="2127" w:type="dxa"/>
            <w:tcBorders>
              <w:top w:val="nil"/>
              <w:bottom w:val="nil"/>
            </w:tcBorders>
            <w:vAlign w:val="bottom"/>
          </w:tcPr>
          <w:p w14:paraId="10D8C729" w14:textId="77777777" w:rsidR="00A60D4B" w:rsidRPr="001015CD" w:rsidRDefault="00A60D4B" w:rsidP="00A60D4B">
            <w:pPr>
              <w:pStyle w:val="Btabletextitalic"/>
              <w:rPr>
                <w:rFonts w:cs="Calibri"/>
                <w:i w:val="0"/>
                <w:iCs/>
                <w:sz w:val="18"/>
                <w:szCs w:val="18"/>
              </w:rPr>
            </w:pPr>
            <w:r w:rsidRPr="001015CD">
              <w:rPr>
                <w:rFonts w:cs="Calibri"/>
                <w:i w:val="0"/>
                <w:iCs/>
                <w:sz w:val="18"/>
                <w:szCs w:val="18"/>
              </w:rPr>
              <w:t>Sales</w:t>
            </w:r>
          </w:p>
        </w:tc>
        <w:tc>
          <w:tcPr>
            <w:tcW w:w="1181" w:type="dxa"/>
            <w:tcBorders>
              <w:top w:val="nil"/>
              <w:bottom w:val="nil"/>
            </w:tcBorders>
          </w:tcPr>
          <w:p w14:paraId="675D3B7F" w14:textId="77777777" w:rsidR="00A60D4B" w:rsidRPr="001015CD" w:rsidRDefault="00A60D4B" w:rsidP="00A60D4B">
            <w:pPr>
              <w:pStyle w:val="Btablefigureunbold"/>
              <w:rPr>
                <w:rFonts w:cs="Calibri"/>
                <w:iCs/>
                <w:sz w:val="18"/>
                <w:szCs w:val="18"/>
              </w:rPr>
            </w:pPr>
            <w:r>
              <w:rPr>
                <w:rFonts w:cs="Calibri"/>
                <w:sz w:val="18"/>
                <w:szCs w:val="18"/>
              </w:rPr>
              <w:t xml:space="preserve">33,002 </w:t>
            </w:r>
          </w:p>
        </w:tc>
        <w:tc>
          <w:tcPr>
            <w:tcW w:w="1191" w:type="dxa"/>
            <w:tcBorders>
              <w:top w:val="nil"/>
              <w:bottom w:val="nil"/>
            </w:tcBorders>
          </w:tcPr>
          <w:p w14:paraId="7EC05B8A" w14:textId="77777777" w:rsidR="00A60D4B" w:rsidRPr="001015CD" w:rsidRDefault="00A60D4B" w:rsidP="00A60D4B">
            <w:pPr>
              <w:pStyle w:val="Btablefigureunbold"/>
              <w:rPr>
                <w:rFonts w:cs="Calibri"/>
                <w:iCs/>
                <w:sz w:val="18"/>
                <w:szCs w:val="18"/>
              </w:rPr>
            </w:pPr>
            <w:r>
              <w:rPr>
                <w:rFonts w:cs="Calibri"/>
                <w:sz w:val="18"/>
                <w:szCs w:val="18"/>
              </w:rPr>
              <w:t xml:space="preserve">20,934 </w:t>
            </w:r>
          </w:p>
        </w:tc>
        <w:tc>
          <w:tcPr>
            <w:tcW w:w="1181" w:type="dxa"/>
            <w:tcBorders>
              <w:top w:val="nil"/>
              <w:bottom w:val="nil"/>
            </w:tcBorders>
            <w:shd w:val="clear" w:color="auto" w:fill="auto"/>
          </w:tcPr>
          <w:p w14:paraId="3484A642" w14:textId="77777777" w:rsidR="00A60D4B" w:rsidRPr="001015CD" w:rsidRDefault="00A60D4B" w:rsidP="00A60D4B">
            <w:pPr>
              <w:pStyle w:val="Btablefigureunbold"/>
              <w:rPr>
                <w:rFonts w:cs="Calibri"/>
                <w:iCs/>
                <w:sz w:val="18"/>
                <w:szCs w:val="18"/>
              </w:rPr>
            </w:pPr>
            <w:r>
              <w:rPr>
                <w:rFonts w:cs="Calibri"/>
                <w:sz w:val="18"/>
                <w:szCs w:val="18"/>
              </w:rPr>
              <w:t xml:space="preserve">31,910 </w:t>
            </w:r>
          </w:p>
        </w:tc>
        <w:tc>
          <w:tcPr>
            <w:tcW w:w="1134" w:type="dxa"/>
            <w:tcBorders>
              <w:top w:val="nil"/>
              <w:bottom w:val="nil"/>
            </w:tcBorders>
            <w:shd w:val="clear" w:color="472D8C" w:fill="auto"/>
          </w:tcPr>
          <w:p w14:paraId="5FEB05D2" w14:textId="77777777" w:rsidR="00A60D4B" w:rsidRPr="001015CD" w:rsidRDefault="00A60D4B" w:rsidP="00A60D4B">
            <w:pPr>
              <w:pStyle w:val="Btablefigureunbold"/>
              <w:rPr>
                <w:rFonts w:cs="Calibri"/>
                <w:iCs/>
                <w:sz w:val="18"/>
                <w:szCs w:val="18"/>
              </w:rPr>
            </w:pPr>
            <w:r>
              <w:rPr>
                <w:rFonts w:cs="Calibri"/>
                <w:sz w:val="18"/>
                <w:szCs w:val="18"/>
              </w:rPr>
              <w:t xml:space="preserve">34,438 </w:t>
            </w:r>
          </w:p>
        </w:tc>
        <w:tc>
          <w:tcPr>
            <w:tcW w:w="1134" w:type="dxa"/>
            <w:tcBorders>
              <w:top w:val="nil"/>
              <w:bottom w:val="nil"/>
            </w:tcBorders>
            <w:shd w:val="clear" w:color="auto" w:fill="auto"/>
          </w:tcPr>
          <w:p w14:paraId="564B2CF1" w14:textId="77777777" w:rsidR="00A60D4B" w:rsidRPr="001015CD" w:rsidRDefault="00A60D4B" w:rsidP="00A60D4B">
            <w:pPr>
              <w:pStyle w:val="Btablefigureunbold"/>
              <w:rPr>
                <w:rFonts w:cs="Calibri"/>
                <w:iCs/>
                <w:sz w:val="18"/>
                <w:szCs w:val="18"/>
              </w:rPr>
            </w:pPr>
            <w:r>
              <w:rPr>
                <w:rFonts w:cs="Calibri"/>
                <w:sz w:val="18"/>
                <w:szCs w:val="18"/>
              </w:rPr>
              <w:t xml:space="preserve">35,179 </w:t>
            </w:r>
          </w:p>
        </w:tc>
        <w:tc>
          <w:tcPr>
            <w:tcW w:w="1134" w:type="dxa"/>
            <w:tcBorders>
              <w:top w:val="nil"/>
              <w:bottom w:val="nil"/>
            </w:tcBorders>
          </w:tcPr>
          <w:p w14:paraId="1D0809B9" w14:textId="77777777" w:rsidR="00A60D4B" w:rsidRPr="001015CD" w:rsidRDefault="00A60D4B" w:rsidP="00A60D4B">
            <w:pPr>
              <w:pStyle w:val="Btablefigureunbold"/>
              <w:rPr>
                <w:rFonts w:cs="Calibri"/>
                <w:iCs/>
                <w:sz w:val="18"/>
                <w:szCs w:val="18"/>
              </w:rPr>
            </w:pPr>
            <w:r>
              <w:rPr>
                <w:rFonts w:cs="Calibri"/>
                <w:sz w:val="18"/>
                <w:szCs w:val="18"/>
              </w:rPr>
              <w:t xml:space="preserve">35,978 </w:t>
            </w:r>
          </w:p>
        </w:tc>
      </w:tr>
      <w:tr w:rsidR="00A60D4B" w:rsidRPr="00653BCC" w14:paraId="15AB922E" w14:textId="77777777" w:rsidTr="00A60D4B">
        <w:trPr>
          <w:trHeight w:val="20"/>
        </w:trPr>
        <w:tc>
          <w:tcPr>
            <w:tcW w:w="2127" w:type="dxa"/>
            <w:tcBorders>
              <w:top w:val="nil"/>
              <w:bottom w:val="nil"/>
            </w:tcBorders>
            <w:vAlign w:val="bottom"/>
          </w:tcPr>
          <w:p w14:paraId="6956BDCE" w14:textId="77777777" w:rsidR="00A60D4B" w:rsidRPr="001015CD" w:rsidRDefault="00A60D4B" w:rsidP="00A60D4B">
            <w:pPr>
              <w:pStyle w:val="Btabletextitalic"/>
              <w:rPr>
                <w:rFonts w:cs="Calibri"/>
                <w:i w:val="0"/>
                <w:iCs/>
                <w:sz w:val="18"/>
                <w:szCs w:val="18"/>
              </w:rPr>
            </w:pPr>
            <w:r w:rsidRPr="001015CD">
              <w:rPr>
                <w:rFonts w:cs="Calibri"/>
                <w:i w:val="0"/>
                <w:iCs/>
                <w:sz w:val="18"/>
                <w:szCs w:val="18"/>
              </w:rPr>
              <w:t>Service Receipts (Non ACT Government)</w:t>
            </w:r>
          </w:p>
        </w:tc>
        <w:tc>
          <w:tcPr>
            <w:tcW w:w="1181" w:type="dxa"/>
            <w:tcBorders>
              <w:top w:val="nil"/>
              <w:bottom w:val="nil"/>
            </w:tcBorders>
          </w:tcPr>
          <w:p w14:paraId="3FBC78FA" w14:textId="77777777" w:rsidR="00A60D4B" w:rsidRPr="001015CD" w:rsidRDefault="00A60D4B" w:rsidP="00A60D4B">
            <w:pPr>
              <w:pStyle w:val="Btablefigureunbold"/>
              <w:rPr>
                <w:rFonts w:cs="Calibri"/>
                <w:iCs/>
                <w:sz w:val="18"/>
                <w:szCs w:val="18"/>
              </w:rPr>
            </w:pPr>
            <w:r>
              <w:rPr>
                <w:rFonts w:cs="Calibri"/>
                <w:sz w:val="18"/>
                <w:szCs w:val="18"/>
              </w:rPr>
              <w:t xml:space="preserve">128,163 </w:t>
            </w:r>
          </w:p>
        </w:tc>
        <w:tc>
          <w:tcPr>
            <w:tcW w:w="1191" w:type="dxa"/>
            <w:tcBorders>
              <w:top w:val="nil"/>
              <w:bottom w:val="nil"/>
            </w:tcBorders>
          </w:tcPr>
          <w:p w14:paraId="3C79F34D" w14:textId="77777777" w:rsidR="00A60D4B" w:rsidRPr="001015CD" w:rsidRDefault="00A60D4B" w:rsidP="00A60D4B">
            <w:pPr>
              <w:pStyle w:val="Btablefigureunbold"/>
              <w:rPr>
                <w:rFonts w:cs="Calibri"/>
                <w:iCs/>
                <w:sz w:val="18"/>
                <w:szCs w:val="18"/>
              </w:rPr>
            </w:pPr>
            <w:r>
              <w:rPr>
                <w:rFonts w:cs="Calibri"/>
                <w:sz w:val="18"/>
                <w:szCs w:val="18"/>
              </w:rPr>
              <w:t xml:space="preserve">128,979 </w:t>
            </w:r>
          </w:p>
        </w:tc>
        <w:tc>
          <w:tcPr>
            <w:tcW w:w="1181" w:type="dxa"/>
            <w:tcBorders>
              <w:top w:val="nil"/>
              <w:bottom w:val="nil"/>
            </w:tcBorders>
            <w:shd w:val="clear" w:color="auto" w:fill="auto"/>
          </w:tcPr>
          <w:p w14:paraId="2D779AB4" w14:textId="77777777" w:rsidR="00A60D4B" w:rsidRPr="001015CD" w:rsidRDefault="00A60D4B" w:rsidP="00A60D4B">
            <w:pPr>
              <w:pStyle w:val="Btablefigureunbold"/>
              <w:rPr>
                <w:rFonts w:cs="Calibri"/>
                <w:iCs/>
                <w:sz w:val="18"/>
                <w:szCs w:val="18"/>
              </w:rPr>
            </w:pPr>
            <w:r>
              <w:rPr>
                <w:rFonts w:cs="Calibri"/>
                <w:sz w:val="18"/>
                <w:szCs w:val="18"/>
              </w:rPr>
              <w:t xml:space="preserve">143,656 </w:t>
            </w:r>
          </w:p>
        </w:tc>
        <w:tc>
          <w:tcPr>
            <w:tcW w:w="1134" w:type="dxa"/>
            <w:tcBorders>
              <w:top w:val="nil"/>
              <w:bottom w:val="nil"/>
            </w:tcBorders>
            <w:shd w:val="clear" w:color="472D8C" w:fill="auto"/>
          </w:tcPr>
          <w:p w14:paraId="6076BB0A" w14:textId="77777777" w:rsidR="00A60D4B" w:rsidRPr="001015CD" w:rsidRDefault="00A60D4B" w:rsidP="00A60D4B">
            <w:pPr>
              <w:pStyle w:val="Btablefigureunbold"/>
              <w:rPr>
                <w:rFonts w:cs="Calibri"/>
                <w:iCs/>
                <w:sz w:val="18"/>
                <w:szCs w:val="18"/>
              </w:rPr>
            </w:pPr>
            <w:r>
              <w:rPr>
                <w:rFonts w:cs="Calibri"/>
                <w:sz w:val="18"/>
                <w:szCs w:val="18"/>
              </w:rPr>
              <w:t xml:space="preserve">148,271 </w:t>
            </w:r>
          </w:p>
        </w:tc>
        <w:tc>
          <w:tcPr>
            <w:tcW w:w="1134" w:type="dxa"/>
            <w:tcBorders>
              <w:top w:val="nil"/>
              <w:bottom w:val="nil"/>
            </w:tcBorders>
            <w:shd w:val="clear" w:color="auto" w:fill="auto"/>
          </w:tcPr>
          <w:p w14:paraId="45F24BB2" w14:textId="77777777" w:rsidR="00A60D4B" w:rsidRPr="001015CD" w:rsidRDefault="00A60D4B" w:rsidP="00A60D4B">
            <w:pPr>
              <w:pStyle w:val="Btablefigureunbold"/>
              <w:rPr>
                <w:rFonts w:cs="Calibri"/>
                <w:iCs/>
                <w:sz w:val="18"/>
                <w:szCs w:val="18"/>
              </w:rPr>
            </w:pPr>
            <w:r>
              <w:rPr>
                <w:rFonts w:cs="Calibri"/>
                <w:sz w:val="18"/>
                <w:szCs w:val="18"/>
              </w:rPr>
              <w:t xml:space="preserve">152,197 </w:t>
            </w:r>
          </w:p>
        </w:tc>
        <w:tc>
          <w:tcPr>
            <w:tcW w:w="1134" w:type="dxa"/>
            <w:tcBorders>
              <w:top w:val="nil"/>
              <w:bottom w:val="nil"/>
            </w:tcBorders>
          </w:tcPr>
          <w:p w14:paraId="7B4EB611" w14:textId="77777777" w:rsidR="00A60D4B" w:rsidRPr="001015CD" w:rsidRDefault="00A60D4B" w:rsidP="00A60D4B">
            <w:pPr>
              <w:pStyle w:val="Btablefigureunbold"/>
              <w:rPr>
                <w:rFonts w:cs="Calibri"/>
                <w:iCs/>
                <w:sz w:val="18"/>
                <w:szCs w:val="18"/>
              </w:rPr>
            </w:pPr>
            <w:r>
              <w:rPr>
                <w:rFonts w:cs="Calibri"/>
                <w:sz w:val="18"/>
                <w:szCs w:val="18"/>
              </w:rPr>
              <w:t xml:space="preserve">155,200 </w:t>
            </w:r>
          </w:p>
        </w:tc>
      </w:tr>
      <w:tr w:rsidR="00A60D4B" w:rsidRPr="00653BCC" w14:paraId="3BB60FC8" w14:textId="77777777" w:rsidTr="00A60D4B">
        <w:trPr>
          <w:trHeight w:val="20"/>
        </w:trPr>
        <w:tc>
          <w:tcPr>
            <w:tcW w:w="2127" w:type="dxa"/>
            <w:tcBorders>
              <w:top w:val="nil"/>
              <w:bottom w:val="nil"/>
            </w:tcBorders>
            <w:vAlign w:val="bottom"/>
          </w:tcPr>
          <w:p w14:paraId="7213A6AE" w14:textId="77777777" w:rsidR="00A60D4B" w:rsidRPr="001015CD" w:rsidRDefault="00A60D4B" w:rsidP="00A60D4B">
            <w:pPr>
              <w:pStyle w:val="Btabletextitalic"/>
              <w:rPr>
                <w:rFonts w:cs="Calibri"/>
                <w:i w:val="0"/>
                <w:iCs/>
                <w:sz w:val="18"/>
                <w:szCs w:val="18"/>
              </w:rPr>
            </w:pPr>
            <w:r w:rsidRPr="001015CD">
              <w:rPr>
                <w:rFonts w:cs="Calibri"/>
                <w:i w:val="0"/>
                <w:iCs/>
                <w:sz w:val="18"/>
                <w:szCs w:val="18"/>
              </w:rPr>
              <w:t>Rent from Tenants</w:t>
            </w:r>
          </w:p>
        </w:tc>
        <w:tc>
          <w:tcPr>
            <w:tcW w:w="1181" w:type="dxa"/>
            <w:tcBorders>
              <w:top w:val="nil"/>
              <w:bottom w:val="nil"/>
            </w:tcBorders>
          </w:tcPr>
          <w:p w14:paraId="76EE5559" w14:textId="77777777" w:rsidR="00A60D4B" w:rsidRPr="001015CD" w:rsidRDefault="00A60D4B" w:rsidP="00A60D4B">
            <w:pPr>
              <w:pStyle w:val="Btablefigureunbold"/>
              <w:rPr>
                <w:rFonts w:cs="Calibri"/>
                <w:iCs/>
                <w:sz w:val="18"/>
                <w:szCs w:val="18"/>
              </w:rPr>
            </w:pPr>
            <w:r>
              <w:rPr>
                <w:rFonts w:cs="Calibri"/>
                <w:sz w:val="18"/>
                <w:szCs w:val="18"/>
              </w:rPr>
              <w:t xml:space="preserve">- </w:t>
            </w:r>
          </w:p>
        </w:tc>
        <w:tc>
          <w:tcPr>
            <w:tcW w:w="1191" w:type="dxa"/>
            <w:tcBorders>
              <w:top w:val="nil"/>
              <w:bottom w:val="nil"/>
            </w:tcBorders>
          </w:tcPr>
          <w:p w14:paraId="304D2627" w14:textId="77777777" w:rsidR="00A60D4B" w:rsidRPr="001015CD" w:rsidRDefault="00A60D4B" w:rsidP="00A60D4B">
            <w:pPr>
              <w:pStyle w:val="Btablefigureunbold"/>
              <w:rPr>
                <w:rFonts w:cs="Calibri"/>
                <w:iCs/>
                <w:sz w:val="18"/>
                <w:szCs w:val="18"/>
              </w:rPr>
            </w:pPr>
            <w:r>
              <w:rPr>
                <w:rFonts w:cs="Calibri"/>
                <w:sz w:val="18"/>
                <w:szCs w:val="18"/>
              </w:rPr>
              <w:t xml:space="preserve">11,315 </w:t>
            </w:r>
          </w:p>
        </w:tc>
        <w:tc>
          <w:tcPr>
            <w:tcW w:w="1181" w:type="dxa"/>
            <w:tcBorders>
              <w:top w:val="nil"/>
              <w:bottom w:val="nil"/>
            </w:tcBorders>
            <w:shd w:val="clear" w:color="auto" w:fill="auto"/>
          </w:tcPr>
          <w:p w14:paraId="1ABD7286" w14:textId="77777777" w:rsidR="00A60D4B" w:rsidRPr="001015CD" w:rsidRDefault="00A60D4B" w:rsidP="00A60D4B">
            <w:pPr>
              <w:pStyle w:val="Btablefigureunbold"/>
              <w:rPr>
                <w:rFonts w:cs="Calibri"/>
                <w:iCs/>
                <w:sz w:val="18"/>
                <w:szCs w:val="18"/>
              </w:rPr>
            </w:pPr>
            <w:r>
              <w:rPr>
                <w:rFonts w:cs="Calibri"/>
                <w:sz w:val="18"/>
                <w:szCs w:val="18"/>
              </w:rPr>
              <w:t xml:space="preserve">11,356 </w:t>
            </w:r>
          </w:p>
        </w:tc>
        <w:tc>
          <w:tcPr>
            <w:tcW w:w="1134" w:type="dxa"/>
            <w:tcBorders>
              <w:top w:val="nil"/>
              <w:bottom w:val="nil"/>
            </w:tcBorders>
            <w:shd w:val="clear" w:color="472D8C" w:fill="auto"/>
          </w:tcPr>
          <w:p w14:paraId="70DF35AD" w14:textId="77777777" w:rsidR="00A60D4B" w:rsidRPr="001015CD" w:rsidRDefault="00A60D4B" w:rsidP="00A60D4B">
            <w:pPr>
              <w:pStyle w:val="Btablefigureunbold"/>
              <w:rPr>
                <w:rFonts w:cs="Calibri"/>
                <w:iCs/>
                <w:sz w:val="18"/>
                <w:szCs w:val="18"/>
              </w:rPr>
            </w:pPr>
            <w:r>
              <w:rPr>
                <w:rFonts w:cs="Calibri"/>
                <w:sz w:val="18"/>
                <w:szCs w:val="18"/>
              </w:rPr>
              <w:t xml:space="preserve">11,684 </w:t>
            </w:r>
          </w:p>
        </w:tc>
        <w:tc>
          <w:tcPr>
            <w:tcW w:w="1134" w:type="dxa"/>
            <w:tcBorders>
              <w:top w:val="nil"/>
              <w:bottom w:val="nil"/>
            </w:tcBorders>
            <w:shd w:val="clear" w:color="auto" w:fill="auto"/>
          </w:tcPr>
          <w:p w14:paraId="3E1B1420" w14:textId="77777777" w:rsidR="00A60D4B" w:rsidRPr="001015CD" w:rsidRDefault="00A60D4B" w:rsidP="00A60D4B">
            <w:pPr>
              <w:pStyle w:val="Btablefigureunbold"/>
              <w:rPr>
                <w:rFonts w:cs="Calibri"/>
                <w:iCs/>
                <w:sz w:val="18"/>
                <w:szCs w:val="18"/>
              </w:rPr>
            </w:pPr>
            <w:r>
              <w:rPr>
                <w:rFonts w:cs="Calibri"/>
                <w:sz w:val="18"/>
                <w:szCs w:val="18"/>
              </w:rPr>
              <w:t xml:space="preserve">11,976 </w:t>
            </w:r>
          </w:p>
        </w:tc>
        <w:tc>
          <w:tcPr>
            <w:tcW w:w="1134" w:type="dxa"/>
            <w:tcBorders>
              <w:top w:val="nil"/>
              <w:bottom w:val="nil"/>
            </w:tcBorders>
          </w:tcPr>
          <w:p w14:paraId="2FDFE738" w14:textId="77777777" w:rsidR="00A60D4B" w:rsidRPr="001015CD" w:rsidRDefault="00A60D4B" w:rsidP="00A60D4B">
            <w:pPr>
              <w:pStyle w:val="Btablefigureunbold"/>
              <w:rPr>
                <w:rFonts w:cs="Calibri"/>
                <w:iCs/>
                <w:sz w:val="18"/>
                <w:szCs w:val="18"/>
              </w:rPr>
            </w:pPr>
            <w:r>
              <w:rPr>
                <w:rFonts w:cs="Calibri"/>
                <w:sz w:val="18"/>
                <w:szCs w:val="18"/>
              </w:rPr>
              <w:t xml:space="preserve">12,286 </w:t>
            </w:r>
          </w:p>
        </w:tc>
      </w:tr>
      <w:tr w:rsidR="00A60D4B" w:rsidRPr="00653BCC" w14:paraId="6DB2C542" w14:textId="77777777" w:rsidTr="00A60D4B">
        <w:trPr>
          <w:trHeight w:val="20"/>
        </w:trPr>
        <w:tc>
          <w:tcPr>
            <w:tcW w:w="2127" w:type="dxa"/>
            <w:tcBorders>
              <w:top w:val="nil"/>
              <w:bottom w:val="nil"/>
            </w:tcBorders>
            <w:vAlign w:val="bottom"/>
          </w:tcPr>
          <w:p w14:paraId="52884D96" w14:textId="77777777" w:rsidR="00A60D4B" w:rsidRPr="001015CD" w:rsidRDefault="00A60D4B" w:rsidP="00A60D4B">
            <w:pPr>
              <w:pStyle w:val="Btabletextitalic"/>
              <w:rPr>
                <w:rFonts w:cs="Calibri"/>
                <w:i w:val="0"/>
                <w:iCs/>
                <w:sz w:val="18"/>
                <w:szCs w:val="18"/>
              </w:rPr>
            </w:pPr>
            <w:r w:rsidRPr="001015CD">
              <w:rPr>
                <w:rFonts w:cs="Calibri"/>
                <w:i w:val="0"/>
                <w:iCs/>
                <w:sz w:val="18"/>
                <w:szCs w:val="18"/>
              </w:rPr>
              <w:t>Miscellaneous</w:t>
            </w:r>
          </w:p>
        </w:tc>
        <w:tc>
          <w:tcPr>
            <w:tcW w:w="1181" w:type="dxa"/>
            <w:tcBorders>
              <w:top w:val="nil"/>
              <w:bottom w:val="nil"/>
            </w:tcBorders>
          </w:tcPr>
          <w:p w14:paraId="52155CD7" w14:textId="77777777" w:rsidR="00A60D4B" w:rsidRPr="001015CD" w:rsidRDefault="00A60D4B" w:rsidP="00A60D4B">
            <w:pPr>
              <w:pStyle w:val="Btablefigureunbold"/>
              <w:rPr>
                <w:rFonts w:cs="Calibri"/>
                <w:iCs/>
                <w:sz w:val="18"/>
                <w:szCs w:val="18"/>
              </w:rPr>
            </w:pPr>
            <w:r>
              <w:rPr>
                <w:rFonts w:cs="Calibri"/>
                <w:sz w:val="18"/>
                <w:szCs w:val="18"/>
              </w:rPr>
              <w:t xml:space="preserve">23,763 </w:t>
            </w:r>
          </w:p>
        </w:tc>
        <w:tc>
          <w:tcPr>
            <w:tcW w:w="1191" w:type="dxa"/>
            <w:tcBorders>
              <w:top w:val="nil"/>
              <w:bottom w:val="nil"/>
            </w:tcBorders>
          </w:tcPr>
          <w:p w14:paraId="18978CC8" w14:textId="77777777" w:rsidR="00A60D4B" w:rsidRPr="001015CD" w:rsidRDefault="00A60D4B" w:rsidP="00A60D4B">
            <w:pPr>
              <w:pStyle w:val="Btablefigureunbold"/>
              <w:rPr>
                <w:rFonts w:cs="Calibri"/>
                <w:iCs/>
                <w:sz w:val="18"/>
                <w:szCs w:val="18"/>
              </w:rPr>
            </w:pPr>
            <w:r>
              <w:rPr>
                <w:rFonts w:cs="Calibri"/>
                <w:sz w:val="18"/>
                <w:szCs w:val="18"/>
              </w:rPr>
              <w:t xml:space="preserve">28,086 </w:t>
            </w:r>
          </w:p>
        </w:tc>
        <w:tc>
          <w:tcPr>
            <w:tcW w:w="1181" w:type="dxa"/>
            <w:tcBorders>
              <w:top w:val="nil"/>
              <w:bottom w:val="nil"/>
            </w:tcBorders>
            <w:shd w:val="clear" w:color="auto" w:fill="auto"/>
          </w:tcPr>
          <w:p w14:paraId="0900A4FC" w14:textId="77777777" w:rsidR="00A60D4B" w:rsidRPr="001015CD" w:rsidRDefault="00A60D4B" w:rsidP="00A60D4B">
            <w:pPr>
              <w:pStyle w:val="Btablefigureunbold"/>
              <w:rPr>
                <w:rFonts w:cs="Calibri"/>
                <w:iCs/>
                <w:sz w:val="18"/>
                <w:szCs w:val="18"/>
              </w:rPr>
            </w:pPr>
            <w:r>
              <w:rPr>
                <w:rFonts w:cs="Calibri"/>
                <w:sz w:val="18"/>
                <w:szCs w:val="18"/>
              </w:rPr>
              <w:t xml:space="preserve">26,753 </w:t>
            </w:r>
          </w:p>
        </w:tc>
        <w:tc>
          <w:tcPr>
            <w:tcW w:w="1134" w:type="dxa"/>
            <w:tcBorders>
              <w:top w:val="nil"/>
              <w:bottom w:val="nil"/>
            </w:tcBorders>
            <w:shd w:val="clear" w:color="472D8C" w:fill="auto"/>
          </w:tcPr>
          <w:p w14:paraId="78C6003B" w14:textId="77777777" w:rsidR="00A60D4B" w:rsidRPr="001015CD" w:rsidRDefault="00A60D4B" w:rsidP="00A60D4B">
            <w:pPr>
              <w:pStyle w:val="Btablefigureunbold"/>
              <w:rPr>
                <w:rFonts w:cs="Calibri"/>
                <w:iCs/>
                <w:sz w:val="18"/>
                <w:szCs w:val="18"/>
              </w:rPr>
            </w:pPr>
            <w:r>
              <w:rPr>
                <w:rFonts w:cs="Calibri"/>
                <w:sz w:val="18"/>
                <w:szCs w:val="18"/>
              </w:rPr>
              <w:t xml:space="preserve">25,717 </w:t>
            </w:r>
          </w:p>
        </w:tc>
        <w:tc>
          <w:tcPr>
            <w:tcW w:w="1134" w:type="dxa"/>
            <w:tcBorders>
              <w:top w:val="nil"/>
              <w:bottom w:val="nil"/>
            </w:tcBorders>
            <w:shd w:val="clear" w:color="auto" w:fill="auto"/>
          </w:tcPr>
          <w:p w14:paraId="5F03C979" w14:textId="77777777" w:rsidR="00A60D4B" w:rsidRPr="001015CD" w:rsidRDefault="00A60D4B" w:rsidP="00A60D4B">
            <w:pPr>
              <w:pStyle w:val="Btablefigureunbold"/>
              <w:rPr>
                <w:rFonts w:cs="Calibri"/>
                <w:iCs/>
                <w:sz w:val="18"/>
                <w:szCs w:val="18"/>
              </w:rPr>
            </w:pPr>
            <w:r>
              <w:rPr>
                <w:rFonts w:cs="Calibri"/>
                <w:sz w:val="18"/>
                <w:szCs w:val="18"/>
              </w:rPr>
              <w:t xml:space="preserve">27,048 </w:t>
            </w:r>
          </w:p>
        </w:tc>
        <w:tc>
          <w:tcPr>
            <w:tcW w:w="1134" w:type="dxa"/>
            <w:tcBorders>
              <w:top w:val="nil"/>
              <w:bottom w:val="nil"/>
            </w:tcBorders>
          </w:tcPr>
          <w:p w14:paraId="2F55127B" w14:textId="77777777" w:rsidR="00A60D4B" w:rsidRPr="001015CD" w:rsidRDefault="00A60D4B" w:rsidP="00A60D4B">
            <w:pPr>
              <w:pStyle w:val="Btablefigureunbold"/>
              <w:rPr>
                <w:rFonts w:cs="Calibri"/>
                <w:iCs/>
                <w:sz w:val="18"/>
                <w:szCs w:val="18"/>
              </w:rPr>
            </w:pPr>
            <w:r>
              <w:rPr>
                <w:rFonts w:cs="Calibri"/>
                <w:sz w:val="18"/>
                <w:szCs w:val="18"/>
              </w:rPr>
              <w:t xml:space="preserve">27,133 </w:t>
            </w:r>
          </w:p>
        </w:tc>
      </w:tr>
      <w:tr w:rsidR="00A60D4B" w:rsidRPr="00653BCC" w14:paraId="299932EA" w14:textId="77777777" w:rsidTr="00A60D4B">
        <w:trPr>
          <w:trHeight w:val="20"/>
        </w:trPr>
        <w:tc>
          <w:tcPr>
            <w:tcW w:w="2127" w:type="dxa"/>
            <w:tcBorders>
              <w:top w:val="nil"/>
              <w:bottom w:val="nil"/>
            </w:tcBorders>
            <w:vAlign w:val="bottom"/>
          </w:tcPr>
          <w:p w14:paraId="7E46673D" w14:textId="77777777" w:rsidR="00A60D4B" w:rsidRPr="001015CD" w:rsidRDefault="00A60D4B" w:rsidP="00A60D4B">
            <w:pPr>
              <w:pStyle w:val="Btabletextitalic"/>
              <w:rPr>
                <w:rFonts w:cs="Calibri"/>
                <w:i w:val="0"/>
                <w:iCs/>
                <w:sz w:val="18"/>
                <w:szCs w:val="18"/>
              </w:rPr>
            </w:pPr>
            <w:r w:rsidRPr="001015CD">
              <w:rPr>
                <w:rFonts w:cs="Calibri"/>
                <w:i w:val="0"/>
                <w:iCs/>
                <w:sz w:val="18"/>
                <w:szCs w:val="18"/>
              </w:rPr>
              <w:t xml:space="preserve">User Charges </w:t>
            </w:r>
            <w:r>
              <w:rPr>
                <w:rFonts w:cs="Calibri"/>
                <w:i w:val="0"/>
                <w:iCs/>
                <w:sz w:val="18"/>
                <w:szCs w:val="18"/>
              </w:rPr>
              <w:t>–</w:t>
            </w:r>
            <w:r w:rsidRPr="001015CD">
              <w:rPr>
                <w:rFonts w:cs="Calibri"/>
                <w:i w:val="0"/>
                <w:iCs/>
                <w:sz w:val="18"/>
                <w:szCs w:val="18"/>
              </w:rPr>
              <w:t xml:space="preserve"> ACT Government</w:t>
            </w:r>
          </w:p>
        </w:tc>
        <w:tc>
          <w:tcPr>
            <w:tcW w:w="1181" w:type="dxa"/>
            <w:tcBorders>
              <w:top w:val="nil"/>
              <w:bottom w:val="nil"/>
            </w:tcBorders>
          </w:tcPr>
          <w:p w14:paraId="6DF38F83" w14:textId="77777777" w:rsidR="00A60D4B" w:rsidRPr="001015CD" w:rsidRDefault="00A60D4B" w:rsidP="00A60D4B">
            <w:pPr>
              <w:pStyle w:val="Btablefigureunbold"/>
              <w:rPr>
                <w:rFonts w:cs="Calibri"/>
                <w:iCs/>
                <w:sz w:val="18"/>
                <w:szCs w:val="18"/>
              </w:rPr>
            </w:pPr>
            <w:r>
              <w:rPr>
                <w:rFonts w:cs="Calibri"/>
                <w:sz w:val="18"/>
                <w:szCs w:val="18"/>
              </w:rPr>
              <w:t xml:space="preserve">24,962 </w:t>
            </w:r>
          </w:p>
        </w:tc>
        <w:tc>
          <w:tcPr>
            <w:tcW w:w="1191" w:type="dxa"/>
            <w:tcBorders>
              <w:top w:val="nil"/>
              <w:bottom w:val="nil"/>
            </w:tcBorders>
          </w:tcPr>
          <w:p w14:paraId="33D57446" w14:textId="77777777" w:rsidR="00A60D4B" w:rsidRPr="001015CD" w:rsidRDefault="00A60D4B" w:rsidP="00A60D4B">
            <w:pPr>
              <w:pStyle w:val="Btablefigureunbold"/>
              <w:rPr>
                <w:rFonts w:cs="Calibri"/>
                <w:iCs/>
                <w:sz w:val="18"/>
                <w:szCs w:val="18"/>
              </w:rPr>
            </w:pPr>
            <w:r>
              <w:rPr>
                <w:rFonts w:cs="Calibri"/>
                <w:sz w:val="18"/>
                <w:szCs w:val="18"/>
              </w:rPr>
              <w:t xml:space="preserve">28,834 </w:t>
            </w:r>
          </w:p>
        </w:tc>
        <w:tc>
          <w:tcPr>
            <w:tcW w:w="1181" w:type="dxa"/>
            <w:tcBorders>
              <w:top w:val="nil"/>
              <w:bottom w:val="nil"/>
            </w:tcBorders>
            <w:shd w:val="clear" w:color="auto" w:fill="auto"/>
          </w:tcPr>
          <w:p w14:paraId="1EDA799F" w14:textId="77777777" w:rsidR="00A60D4B" w:rsidRPr="001015CD" w:rsidRDefault="00A60D4B" w:rsidP="00A60D4B">
            <w:pPr>
              <w:pStyle w:val="Btablefigureunbold"/>
              <w:rPr>
                <w:rFonts w:cs="Calibri"/>
                <w:iCs/>
                <w:sz w:val="18"/>
                <w:szCs w:val="18"/>
              </w:rPr>
            </w:pPr>
            <w:r>
              <w:rPr>
                <w:rFonts w:cs="Calibri"/>
                <w:sz w:val="18"/>
                <w:szCs w:val="18"/>
              </w:rPr>
              <w:t xml:space="preserve">27,168 </w:t>
            </w:r>
          </w:p>
        </w:tc>
        <w:tc>
          <w:tcPr>
            <w:tcW w:w="1134" w:type="dxa"/>
            <w:tcBorders>
              <w:top w:val="nil"/>
              <w:bottom w:val="nil"/>
            </w:tcBorders>
            <w:shd w:val="clear" w:color="472D8C" w:fill="auto"/>
          </w:tcPr>
          <w:p w14:paraId="3E789A95" w14:textId="77777777" w:rsidR="00A60D4B" w:rsidRPr="001015CD" w:rsidRDefault="00A60D4B" w:rsidP="00A60D4B">
            <w:pPr>
              <w:pStyle w:val="Btablefigureunbold"/>
              <w:rPr>
                <w:rFonts w:cs="Calibri"/>
                <w:iCs/>
                <w:sz w:val="18"/>
                <w:szCs w:val="18"/>
              </w:rPr>
            </w:pPr>
            <w:r>
              <w:rPr>
                <w:rFonts w:cs="Calibri"/>
                <w:sz w:val="18"/>
                <w:szCs w:val="18"/>
              </w:rPr>
              <w:t xml:space="preserve">28,170 </w:t>
            </w:r>
          </w:p>
        </w:tc>
        <w:tc>
          <w:tcPr>
            <w:tcW w:w="1134" w:type="dxa"/>
            <w:tcBorders>
              <w:top w:val="nil"/>
              <w:bottom w:val="nil"/>
            </w:tcBorders>
            <w:shd w:val="clear" w:color="auto" w:fill="auto"/>
          </w:tcPr>
          <w:p w14:paraId="33CF2D75" w14:textId="77777777" w:rsidR="00A60D4B" w:rsidRPr="001015CD" w:rsidRDefault="00A60D4B" w:rsidP="00A60D4B">
            <w:pPr>
              <w:pStyle w:val="Btablefigureunbold"/>
              <w:rPr>
                <w:rFonts w:cs="Calibri"/>
                <w:iCs/>
                <w:sz w:val="18"/>
                <w:szCs w:val="18"/>
              </w:rPr>
            </w:pPr>
            <w:r>
              <w:rPr>
                <w:rFonts w:cs="Calibri"/>
                <w:sz w:val="18"/>
                <w:szCs w:val="18"/>
              </w:rPr>
              <w:t xml:space="preserve">27,911 </w:t>
            </w:r>
          </w:p>
        </w:tc>
        <w:tc>
          <w:tcPr>
            <w:tcW w:w="1134" w:type="dxa"/>
            <w:tcBorders>
              <w:top w:val="nil"/>
              <w:bottom w:val="nil"/>
            </w:tcBorders>
          </w:tcPr>
          <w:p w14:paraId="2E0FA77D" w14:textId="77777777" w:rsidR="00A60D4B" w:rsidRPr="001015CD" w:rsidRDefault="00A60D4B" w:rsidP="00A60D4B">
            <w:pPr>
              <w:pStyle w:val="Btablefigureunbold"/>
              <w:rPr>
                <w:rFonts w:cs="Calibri"/>
                <w:iCs/>
                <w:sz w:val="18"/>
                <w:szCs w:val="18"/>
              </w:rPr>
            </w:pPr>
            <w:r>
              <w:rPr>
                <w:rFonts w:cs="Calibri"/>
                <w:sz w:val="18"/>
                <w:szCs w:val="18"/>
              </w:rPr>
              <w:t xml:space="preserve">28,532 </w:t>
            </w:r>
          </w:p>
        </w:tc>
      </w:tr>
      <w:tr w:rsidR="00A60D4B" w:rsidRPr="00337DC9" w14:paraId="53B0A791" w14:textId="77777777" w:rsidTr="00A60D4B">
        <w:trPr>
          <w:trHeight w:val="243"/>
        </w:trPr>
        <w:tc>
          <w:tcPr>
            <w:tcW w:w="2127" w:type="dxa"/>
            <w:tcBorders>
              <w:top w:val="nil"/>
              <w:bottom w:val="single" w:sz="4" w:space="0" w:color="auto"/>
            </w:tcBorders>
            <w:vAlign w:val="bottom"/>
          </w:tcPr>
          <w:p w14:paraId="7542FFF0" w14:textId="77777777" w:rsidR="00A60D4B" w:rsidRPr="001015CD" w:rsidRDefault="00A60D4B" w:rsidP="00A60D4B">
            <w:pPr>
              <w:pStyle w:val="Btabletextbolditalic"/>
              <w:rPr>
                <w:i w:val="0"/>
                <w:iCs/>
                <w:sz w:val="18"/>
                <w:szCs w:val="18"/>
              </w:rPr>
            </w:pPr>
            <w:r w:rsidRPr="001015CD">
              <w:rPr>
                <w:rFonts w:cs="Calibri"/>
                <w:i w:val="0"/>
                <w:iCs/>
                <w:sz w:val="18"/>
                <w:szCs w:val="18"/>
              </w:rPr>
              <w:t>Total Other</w:t>
            </w:r>
          </w:p>
        </w:tc>
        <w:tc>
          <w:tcPr>
            <w:tcW w:w="1181" w:type="dxa"/>
            <w:tcBorders>
              <w:top w:val="nil"/>
              <w:bottom w:val="single" w:sz="4" w:space="0" w:color="auto"/>
            </w:tcBorders>
          </w:tcPr>
          <w:p w14:paraId="26619E96" w14:textId="77777777" w:rsidR="00A60D4B" w:rsidRPr="001015CD" w:rsidRDefault="00A60D4B" w:rsidP="00A60D4B">
            <w:pPr>
              <w:pStyle w:val="Btablefigureunbold"/>
              <w:rPr>
                <w:b/>
                <w:iCs/>
                <w:sz w:val="18"/>
                <w:szCs w:val="18"/>
              </w:rPr>
            </w:pPr>
            <w:r>
              <w:rPr>
                <w:rFonts w:cs="Calibri"/>
                <w:b/>
                <w:bCs/>
                <w:sz w:val="18"/>
                <w:szCs w:val="18"/>
              </w:rPr>
              <w:t xml:space="preserve">390,226 </w:t>
            </w:r>
          </w:p>
        </w:tc>
        <w:tc>
          <w:tcPr>
            <w:tcW w:w="1191" w:type="dxa"/>
            <w:tcBorders>
              <w:top w:val="nil"/>
              <w:bottom w:val="single" w:sz="4" w:space="0" w:color="auto"/>
            </w:tcBorders>
          </w:tcPr>
          <w:p w14:paraId="0A0DB8D6" w14:textId="77777777" w:rsidR="00A60D4B" w:rsidRPr="001015CD" w:rsidRDefault="00A60D4B" w:rsidP="00A60D4B">
            <w:pPr>
              <w:pStyle w:val="Btablefigureunbold"/>
              <w:rPr>
                <w:b/>
                <w:iCs/>
                <w:sz w:val="18"/>
                <w:szCs w:val="18"/>
              </w:rPr>
            </w:pPr>
            <w:r>
              <w:rPr>
                <w:rFonts w:cs="Calibri"/>
                <w:b/>
                <w:bCs/>
                <w:sz w:val="18"/>
                <w:szCs w:val="18"/>
              </w:rPr>
              <w:t xml:space="preserve">398,543 </w:t>
            </w:r>
          </w:p>
        </w:tc>
        <w:tc>
          <w:tcPr>
            <w:tcW w:w="1181" w:type="dxa"/>
            <w:tcBorders>
              <w:top w:val="nil"/>
              <w:bottom w:val="single" w:sz="4" w:space="0" w:color="auto"/>
            </w:tcBorders>
            <w:shd w:val="clear" w:color="auto" w:fill="auto"/>
          </w:tcPr>
          <w:p w14:paraId="4B78A323" w14:textId="77777777" w:rsidR="00A60D4B" w:rsidRPr="001015CD" w:rsidRDefault="00A60D4B" w:rsidP="00A60D4B">
            <w:pPr>
              <w:pStyle w:val="Btablefigureunbold"/>
              <w:rPr>
                <w:b/>
                <w:iCs/>
                <w:sz w:val="18"/>
                <w:szCs w:val="18"/>
              </w:rPr>
            </w:pPr>
            <w:r>
              <w:rPr>
                <w:rFonts w:cs="Calibri"/>
                <w:b/>
                <w:bCs/>
                <w:sz w:val="18"/>
                <w:szCs w:val="18"/>
              </w:rPr>
              <w:t xml:space="preserve">421,457 </w:t>
            </w:r>
          </w:p>
        </w:tc>
        <w:tc>
          <w:tcPr>
            <w:tcW w:w="1134" w:type="dxa"/>
            <w:tcBorders>
              <w:top w:val="nil"/>
              <w:bottom w:val="single" w:sz="4" w:space="0" w:color="auto"/>
            </w:tcBorders>
            <w:shd w:val="clear" w:color="472D8C" w:fill="auto"/>
          </w:tcPr>
          <w:p w14:paraId="6E1754CC" w14:textId="77777777" w:rsidR="00A60D4B" w:rsidRPr="001015CD" w:rsidRDefault="00A60D4B" w:rsidP="00A60D4B">
            <w:pPr>
              <w:pStyle w:val="Btablefigureunbold"/>
              <w:rPr>
                <w:b/>
                <w:iCs/>
                <w:color w:val="000000"/>
                <w:sz w:val="18"/>
                <w:szCs w:val="18"/>
              </w:rPr>
            </w:pPr>
            <w:r>
              <w:rPr>
                <w:rFonts w:cs="Calibri"/>
                <w:b/>
                <w:bCs/>
                <w:sz w:val="18"/>
                <w:szCs w:val="18"/>
              </w:rPr>
              <w:t xml:space="preserve">443,885 </w:t>
            </w:r>
          </w:p>
        </w:tc>
        <w:tc>
          <w:tcPr>
            <w:tcW w:w="1134" w:type="dxa"/>
            <w:tcBorders>
              <w:top w:val="nil"/>
              <w:bottom w:val="single" w:sz="4" w:space="0" w:color="auto"/>
            </w:tcBorders>
            <w:shd w:val="clear" w:color="auto" w:fill="auto"/>
          </w:tcPr>
          <w:p w14:paraId="101D0335" w14:textId="77777777" w:rsidR="00A60D4B" w:rsidRPr="001015CD" w:rsidRDefault="00A60D4B" w:rsidP="00A60D4B">
            <w:pPr>
              <w:pStyle w:val="Btablefigureunbold"/>
              <w:rPr>
                <w:b/>
                <w:iCs/>
                <w:sz w:val="18"/>
                <w:szCs w:val="18"/>
              </w:rPr>
            </w:pPr>
            <w:r>
              <w:rPr>
                <w:rFonts w:cs="Calibri"/>
                <w:b/>
                <w:bCs/>
                <w:sz w:val="18"/>
                <w:szCs w:val="18"/>
              </w:rPr>
              <w:t xml:space="preserve">455,249 </w:t>
            </w:r>
          </w:p>
        </w:tc>
        <w:tc>
          <w:tcPr>
            <w:tcW w:w="1134" w:type="dxa"/>
            <w:tcBorders>
              <w:top w:val="nil"/>
              <w:bottom w:val="single" w:sz="4" w:space="0" w:color="auto"/>
            </w:tcBorders>
          </w:tcPr>
          <w:p w14:paraId="4410CDB6" w14:textId="77777777" w:rsidR="00A60D4B" w:rsidRPr="001015CD" w:rsidRDefault="00A60D4B" w:rsidP="00A60D4B">
            <w:pPr>
              <w:pStyle w:val="Btablefigureunbold"/>
              <w:rPr>
                <w:b/>
                <w:iCs/>
                <w:sz w:val="18"/>
                <w:szCs w:val="18"/>
              </w:rPr>
            </w:pPr>
            <w:r>
              <w:rPr>
                <w:rFonts w:cs="Calibri"/>
                <w:b/>
                <w:bCs/>
                <w:sz w:val="18"/>
                <w:szCs w:val="18"/>
              </w:rPr>
              <w:t xml:space="preserve">464,548 </w:t>
            </w:r>
          </w:p>
        </w:tc>
      </w:tr>
      <w:tr w:rsidR="00A60D4B" w:rsidRPr="00337DC9" w14:paraId="1750C75E" w14:textId="77777777" w:rsidTr="00A60D4B">
        <w:trPr>
          <w:trHeight w:val="227"/>
        </w:trPr>
        <w:tc>
          <w:tcPr>
            <w:tcW w:w="2127" w:type="dxa"/>
            <w:tcBorders>
              <w:top w:val="single" w:sz="4" w:space="0" w:color="auto"/>
              <w:bottom w:val="single" w:sz="4" w:space="0" w:color="auto"/>
            </w:tcBorders>
            <w:vAlign w:val="bottom"/>
          </w:tcPr>
          <w:p w14:paraId="3B194775" w14:textId="77777777" w:rsidR="00A60D4B" w:rsidRPr="00DC6089" w:rsidRDefault="00A60D4B" w:rsidP="00A60D4B">
            <w:pPr>
              <w:pStyle w:val="Btabletextbolditalic"/>
              <w:rPr>
                <w:i w:val="0"/>
                <w:iCs/>
                <w:color w:val="472D8C"/>
                <w:sz w:val="18"/>
                <w:szCs w:val="18"/>
              </w:rPr>
            </w:pPr>
            <w:r w:rsidRPr="00DC6089">
              <w:rPr>
                <w:rFonts w:cs="Calibri"/>
                <w:i w:val="0"/>
                <w:iCs/>
                <w:color w:val="472D8C"/>
                <w:sz w:val="18"/>
                <w:szCs w:val="18"/>
              </w:rPr>
              <w:t>Total Sale of Goods and Services</w:t>
            </w:r>
          </w:p>
        </w:tc>
        <w:tc>
          <w:tcPr>
            <w:tcW w:w="1181" w:type="dxa"/>
            <w:tcBorders>
              <w:top w:val="single" w:sz="4" w:space="0" w:color="auto"/>
              <w:bottom w:val="single" w:sz="4" w:space="0" w:color="auto"/>
            </w:tcBorders>
          </w:tcPr>
          <w:p w14:paraId="53D72EEA" w14:textId="77777777" w:rsidR="00A60D4B" w:rsidRPr="00DC6089" w:rsidRDefault="00A60D4B" w:rsidP="00A60D4B">
            <w:pPr>
              <w:pStyle w:val="Btablefigureunbold"/>
              <w:rPr>
                <w:b/>
                <w:iCs/>
                <w:color w:val="472D8C"/>
                <w:sz w:val="18"/>
                <w:szCs w:val="18"/>
              </w:rPr>
            </w:pPr>
            <w:r w:rsidRPr="00DC6089">
              <w:rPr>
                <w:rFonts w:cs="Calibri"/>
                <w:b/>
                <w:bCs/>
                <w:color w:val="472D8C"/>
                <w:sz w:val="18"/>
                <w:szCs w:val="18"/>
              </w:rPr>
              <w:t xml:space="preserve">561,693 </w:t>
            </w:r>
          </w:p>
        </w:tc>
        <w:tc>
          <w:tcPr>
            <w:tcW w:w="1191" w:type="dxa"/>
            <w:tcBorders>
              <w:top w:val="single" w:sz="4" w:space="0" w:color="auto"/>
              <w:bottom w:val="single" w:sz="4" w:space="0" w:color="auto"/>
            </w:tcBorders>
          </w:tcPr>
          <w:p w14:paraId="012FB7EE" w14:textId="77777777" w:rsidR="00A60D4B" w:rsidRPr="00DC6089" w:rsidRDefault="00A60D4B" w:rsidP="00A60D4B">
            <w:pPr>
              <w:pStyle w:val="Btablefigureunbold"/>
              <w:rPr>
                <w:b/>
                <w:iCs/>
                <w:color w:val="472D8C"/>
                <w:sz w:val="18"/>
                <w:szCs w:val="18"/>
              </w:rPr>
            </w:pPr>
            <w:r w:rsidRPr="00DC6089">
              <w:rPr>
                <w:rFonts w:cs="Calibri"/>
                <w:b/>
                <w:bCs/>
                <w:color w:val="472D8C"/>
                <w:sz w:val="18"/>
                <w:szCs w:val="18"/>
              </w:rPr>
              <w:t xml:space="preserve">579,899 </w:t>
            </w:r>
          </w:p>
        </w:tc>
        <w:tc>
          <w:tcPr>
            <w:tcW w:w="1181" w:type="dxa"/>
            <w:tcBorders>
              <w:top w:val="single" w:sz="4" w:space="0" w:color="auto"/>
              <w:bottom w:val="single" w:sz="4" w:space="0" w:color="auto"/>
            </w:tcBorders>
            <w:shd w:val="clear" w:color="auto" w:fill="auto"/>
          </w:tcPr>
          <w:p w14:paraId="1EAFCEAD" w14:textId="77777777" w:rsidR="00A60D4B" w:rsidRPr="00DC6089" w:rsidRDefault="00A60D4B" w:rsidP="00A60D4B">
            <w:pPr>
              <w:pStyle w:val="Btablefigureunbold"/>
              <w:rPr>
                <w:b/>
                <w:iCs/>
                <w:color w:val="472D8C"/>
                <w:sz w:val="18"/>
                <w:szCs w:val="18"/>
              </w:rPr>
            </w:pPr>
            <w:r w:rsidRPr="00DC6089">
              <w:rPr>
                <w:rFonts w:cs="Calibri"/>
                <w:b/>
                <w:bCs/>
                <w:color w:val="472D8C"/>
                <w:sz w:val="18"/>
                <w:szCs w:val="18"/>
              </w:rPr>
              <w:t xml:space="preserve">602,401 </w:t>
            </w:r>
          </w:p>
        </w:tc>
        <w:tc>
          <w:tcPr>
            <w:tcW w:w="1134" w:type="dxa"/>
            <w:tcBorders>
              <w:top w:val="single" w:sz="4" w:space="0" w:color="auto"/>
              <w:bottom w:val="single" w:sz="4" w:space="0" w:color="auto"/>
            </w:tcBorders>
            <w:shd w:val="clear" w:color="472D8C" w:fill="auto"/>
          </w:tcPr>
          <w:p w14:paraId="59987294" w14:textId="77777777" w:rsidR="00A60D4B" w:rsidRPr="00DC6089" w:rsidRDefault="00A60D4B" w:rsidP="00A60D4B">
            <w:pPr>
              <w:pStyle w:val="Btablefigureunbold"/>
              <w:rPr>
                <w:b/>
                <w:iCs/>
                <w:color w:val="472D8C"/>
                <w:sz w:val="18"/>
                <w:szCs w:val="18"/>
              </w:rPr>
            </w:pPr>
            <w:r w:rsidRPr="00DC6089">
              <w:rPr>
                <w:rFonts w:cs="Calibri"/>
                <w:b/>
                <w:bCs/>
                <w:color w:val="472D8C"/>
                <w:sz w:val="18"/>
                <w:szCs w:val="18"/>
              </w:rPr>
              <w:t xml:space="preserve">627,844 </w:t>
            </w:r>
          </w:p>
        </w:tc>
        <w:tc>
          <w:tcPr>
            <w:tcW w:w="1134" w:type="dxa"/>
            <w:tcBorders>
              <w:top w:val="single" w:sz="4" w:space="0" w:color="auto"/>
              <w:bottom w:val="single" w:sz="4" w:space="0" w:color="auto"/>
            </w:tcBorders>
            <w:shd w:val="clear" w:color="auto" w:fill="auto"/>
          </w:tcPr>
          <w:p w14:paraId="487071CB" w14:textId="77777777" w:rsidR="00A60D4B" w:rsidRPr="00DC6089" w:rsidRDefault="00A60D4B" w:rsidP="00A60D4B">
            <w:pPr>
              <w:pStyle w:val="Btablefigureunbold"/>
              <w:rPr>
                <w:b/>
                <w:iCs/>
                <w:color w:val="472D8C"/>
                <w:sz w:val="18"/>
                <w:szCs w:val="18"/>
              </w:rPr>
            </w:pPr>
            <w:r w:rsidRPr="00DC6089">
              <w:rPr>
                <w:rFonts w:cs="Calibri"/>
                <w:b/>
                <w:bCs/>
                <w:color w:val="472D8C"/>
                <w:sz w:val="18"/>
                <w:szCs w:val="18"/>
              </w:rPr>
              <w:t xml:space="preserve">643,678 </w:t>
            </w:r>
          </w:p>
        </w:tc>
        <w:tc>
          <w:tcPr>
            <w:tcW w:w="1134" w:type="dxa"/>
            <w:tcBorders>
              <w:top w:val="single" w:sz="4" w:space="0" w:color="auto"/>
              <w:bottom w:val="single" w:sz="4" w:space="0" w:color="auto"/>
            </w:tcBorders>
          </w:tcPr>
          <w:p w14:paraId="1CCA489F" w14:textId="77777777" w:rsidR="00A60D4B" w:rsidRPr="00DC6089" w:rsidRDefault="00A60D4B" w:rsidP="00A60D4B">
            <w:pPr>
              <w:pStyle w:val="Btablefigureunbold"/>
              <w:rPr>
                <w:b/>
                <w:iCs/>
                <w:color w:val="472D8C"/>
                <w:sz w:val="18"/>
                <w:szCs w:val="18"/>
              </w:rPr>
            </w:pPr>
            <w:r w:rsidRPr="00DC6089">
              <w:rPr>
                <w:rFonts w:cs="Calibri"/>
                <w:b/>
                <w:bCs/>
                <w:color w:val="472D8C"/>
                <w:sz w:val="18"/>
                <w:szCs w:val="18"/>
              </w:rPr>
              <w:t xml:space="preserve">653,614 </w:t>
            </w:r>
          </w:p>
        </w:tc>
      </w:tr>
    </w:tbl>
    <w:p w14:paraId="10FD1F31" w14:textId="77777777" w:rsidR="00A60D4B" w:rsidRPr="00881807" w:rsidRDefault="00A60D4B" w:rsidP="00A60D4B">
      <w:pPr>
        <w:pStyle w:val="Heading3"/>
      </w:pPr>
      <w:bookmarkStart w:id="92" w:name="_Toc62206643"/>
      <w:bookmarkStart w:id="93" w:name="_Toc63586679"/>
      <w:r w:rsidRPr="00881807">
        <w:t>Investment revenue</w:t>
      </w:r>
      <w:bookmarkEnd w:id="92"/>
      <w:bookmarkEnd w:id="93"/>
    </w:p>
    <w:p w14:paraId="59A25D90" w14:textId="77777777" w:rsidR="00A60D4B" w:rsidRPr="001F08CF" w:rsidRDefault="00A60D4B" w:rsidP="00A60D4B">
      <w:pPr>
        <w:pStyle w:val="Bbodytext"/>
      </w:pPr>
      <w:r>
        <w:t>Total investment</w:t>
      </w:r>
      <w:r w:rsidRPr="009079B5">
        <w:t xml:space="preserve"> revenue in </w:t>
      </w:r>
      <w:r>
        <w:t xml:space="preserve">the 2020-21 interim outcome is $43.3 million higher than the estimate in the 2020-21 Budget </w:t>
      </w:r>
      <w:r w:rsidRPr="001F08CF">
        <w:t xml:space="preserve">as </w:t>
      </w:r>
      <w:r>
        <w:t>a</w:t>
      </w:r>
      <w:r w:rsidRPr="001F08CF">
        <w:t xml:space="preserve"> result of strong investment performance in 2020-21 impacting the level of distributable income for the financial year.</w:t>
      </w:r>
    </w:p>
    <w:p w14:paraId="44EC3115" w14:textId="77777777" w:rsidR="00A60D4B" w:rsidRDefault="00A60D4B" w:rsidP="00A60D4B">
      <w:pPr>
        <w:pStyle w:val="Bbodytext"/>
        <w:rPr>
          <w:rFonts w:eastAsia="Times New Roman"/>
        </w:rPr>
      </w:pPr>
      <w:r>
        <w:t xml:space="preserve">Total investment revenue is estimated to </w:t>
      </w:r>
      <w:r>
        <w:rPr>
          <w:bdr w:val="none" w:sz="0" w:space="0" w:color="auto" w:frame="1"/>
        </w:rPr>
        <w:t>decrease by $16.5 million in the 2021-22 Budget from the 2020-21 interim outcome reflecting</w:t>
      </w:r>
      <w:r>
        <w:rPr>
          <w:rFonts w:eastAsia="Times New Roman"/>
        </w:rPr>
        <w:t xml:space="preserve"> the estimated return based on the long-term investment return assumptions.</w:t>
      </w:r>
    </w:p>
    <w:p w14:paraId="3423CF51" w14:textId="77777777" w:rsidR="00A60D4B" w:rsidRDefault="00A60D4B" w:rsidP="00A60D4B">
      <w:pPr>
        <w:rPr>
          <w:sz w:val="24"/>
        </w:rPr>
      </w:pPr>
      <w:r>
        <w:br w:type="page"/>
      </w:r>
    </w:p>
    <w:p w14:paraId="5CD5245A" w14:textId="1A8CF88D" w:rsidR="00A60D4B" w:rsidRDefault="00A60D4B" w:rsidP="00A60D4B">
      <w:pPr>
        <w:pStyle w:val="Caption"/>
      </w:pPr>
      <w:r>
        <w:lastRenderedPageBreak/>
        <w:t xml:space="preserve">Table </w:t>
      </w:r>
      <w:r w:rsidR="00FB4E5C">
        <w:fldChar w:fldCharType="begin"/>
      </w:r>
      <w:r w:rsidR="00FB4E5C">
        <w:instrText xml:space="preserve"> STYLEREF 2 \s </w:instrText>
      </w:r>
      <w:r w:rsidR="00FB4E5C">
        <w:fldChar w:fldCharType="separate"/>
      </w:r>
      <w:r w:rsidR="00F12A80">
        <w:rPr>
          <w:noProof/>
        </w:rPr>
        <w:t>3.5</w:t>
      </w:r>
      <w:r w:rsidR="00FB4E5C">
        <w:rPr>
          <w:noProof/>
        </w:rPr>
        <w:fldChar w:fldCharType="end"/>
      </w:r>
      <w:r>
        <w:t>.</w:t>
      </w:r>
      <w:r w:rsidR="00FB4E5C">
        <w:fldChar w:fldCharType="begin"/>
      </w:r>
      <w:r w:rsidR="00FB4E5C">
        <w:instrText xml:space="preserve"> SEQ Table \* ARABIC \s 2 </w:instrText>
      </w:r>
      <w:r w:rsidR="00FB4E5C">
        <w:fldChar w:fldCharType="separate"/>
      </w:r>
      <w:r w:rsidR="00F12A80">
        <w:rPr>
          <w:noProof/>
        </w:rPr>
        <w:t>15</w:t>
      </w:r>
      <w:r w:rsidR="00FB4E5C">
        <w:rPr>
          <w:noProof/>
        </w:rPr>
        <w:fldChar w:fldCharType="end"/>
      </w:r>
      <w:r w:rsidRPr="005C644C">
        <w:t>: Investment revenue</w:t>
      </w:r>
    </w:p>
    <w:tbl>
      <w:tblPr>
        <w:tblW w:w="9214" w:type="dxa"/>
        <w:tblBorders>
          <w:top w:val="single" w:sz="4" w:space="0" w:color="auto"/>
          <w:bottom w:val="single" w:sz="4" w:space="0" w:color="auto"/>
          <w:insideH w:val="single" w:sz="4" w:space="0" w:color="auto"/>
        </w:tblBorders>
        <w:tblLayout w:type="fixed"/>
        <w:tblCellMar>
          <w:left w:w="85" w:type="dxa"/>
        </w:tblCellMar>
        <w:tblLook w:val="04A0" w:firstRow="1" w:lastRow="0" w:firstColumn="1" w:lastColumn="0" w:noHBand="0" w:noVBand="1"/>
      </w:tblPr>
      <w:tblGrid>
        <w:gridCol w:w="2127"/>
        <w:gridCol w:w="1181"/>
        <w:gridCol w:w="1181"/>
        <w:gridCol w:w="1181"/>
        <w:gridCol w:w="1181"/>
        <w:gridCol w:w="1181"/>
        <w:gridCol w:w="1182"/>
      </w:tblGrid>
      <w:tr w:rsidR="00A60D4B" w:rsidRPr="008F5D57" w14:paraId="2A362285" w14:textId="77777777" w:rsidTr="00A60D4B">
        <w:trPr>
          <w:trHeight w:val="156"/>
        </w:trPr>
        <w:tc>
          <w:tcPr>
            <w:tcW w:w="2127" w:type="dxa"/>
            <w:tcBorders>
              <w:bottom w:val="single" w:sz="4" w:space="0" w:color="auto"/>
            </w:tcBorders>
            <w:shd w:val="clear" w:color="auto" w:fill="472D8C"/>
          </w:tcPr>
          <w:p w14:paraId="77E066EF" w14:textId="77777777" w:rsidR="00A60D4B" w:rsidRPr="00111524" w:rsidRDefault="00A60D4B" w:rsidP="00A60D4B">
            <w:pPr>
              <w:rPr>
                <w:rFonts w:cs="Calibri"/>
                <w:b/>
                <w:color w:val="FFFFFF" w:themeColor="background1"/>
                <w:sz w:val="20"/>
              </w:rPr>
            </w:pPr>
          </w:p>
        </w:tc>
        <w:tc>
          <w:tcPr>
            <w:tcW w:w="1181" w:type="dxa"/>
            <w:tcBorders>
              <w:bottom w:val="single" w:sz="4" w:space="0" w:color="auto"/>
            </w:tcBorders>
            <w:shd w:val="clear" w:color="auto" w:fill="472D8C"/>
          </w:tcPr>
          <w:p w14:paraId="1C5096AA" w14:textId="77777777" w:rsidR="006F1DF8"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Budget</w:t>
            </w:r>
            <w:r>
              <w:rPr>
                <w:color w:val="FFFFFF" w:themeColor="background1"/>
              </w:rPr>
              <w:br/>
            </w:r>
          </w:p>
          <w:p w14:paraId="76D9E1A5" w14:textId="0E8EEE17" w:rsidR="00A60D4B" w:rsidRPr="00111524" w:rsidRDefault="00A60D4B" w:rsidP="00A60D4B">
            <w:pPr>
              <w:pStyle w:val="BTableHeadingRowRightAligned"/>
              <w:rPr>
                <w:color w:val="FFFFFF" w:themeColor="background1"/>
              </w:rPr>
            </w:pPr>
            <w:r>
              <w:rPr>
                <w:color w:val="FFFFFF" w:themeColor="background1"/>
              </w:rPr>
              <w:t>$’000</w:t>
            </w:r>
          </w:p>
        </w:tc>
        <w:tc>
          <w:tcPr>
            <w:tcW w:w="1181" w:type="dxa"/>
            <w:tcBorders>
              <w:bottom w:val="single" w:sz="4" w:space="0" w:color="auto"/>
            </w:tcBorders>
            <w:shd w:val="clear" w:color="auto" w:fill="472D8C"/>
          </w:tcPr>
          <w:p w14:paraId="1FB27CD7" w14:textId="77777777" w:rsidR="00A60D4B" w:rsidRPr="00111524"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Interim outcome</w:t>
            </w:r>
            <w:r>
              <w:rPr>
                <w:color w:val="FFFFFF" w:themeColor="background1"/>
              </w:rPr>
              <w:br/>
              <w:t>$’000</w:t>
            </w:r>
          </w:p>
        </w:tc>
        <w:tc>
          <w:tcPr>
            <w:tcW w:w="1181" w:type="dxa"/>
            <w:tcBorders>
              <w:bottom w:val="single" w:sz="4" w:space="0" w:color="auto"/>
            </w:tcBorders>
            <w:shd w:val="clear" w:color="auto" w:fill="472D8C"/>
          </w:tcPr>
          <w:p w14:paraId="481B9DA8" w14:textId="77777777" w:rsidR="006F1DF8" w:rsidRDefault="00A60D4B" w:rsidP="00A60D4B">
            <w:pPr>
              <w:pStyle w:val="BTableHeadingRowRightAligned"/>
              <w:rPr>
                <w:color w:val="FFFFFF" w:themeColor="background1"/>
              </w:rPr>
            </w:pPr>
            <w:r>
              <w:rPr>
                <w:color w:val="FFFFFF" w:themeColor="background1"/>
              </w:rPr>
              <w:t xml:space="preserve">2021-22 </w:t>
            </w:r>
            <w:r>
              <w:rPr>
                <w:color w:val="FFFFFF" w:themeColor="background1"/>
              </w:rPr>
              <w:br/>
              <w:t>Budget</w:t>
            </w:r>
            <w:r>
              <w:rPr>
                <w:color w:val="FFFFFF" w:themeColor="background1"/>
              </w:rPr>
              <w:br/>
            </w:r>
          </w:p>
          <w:p w14:paraId="1D6C0E5D" w14:textId="5AB0B4F9" w:rsidR="00A60D4B" w:rsidRPr="00111524" w:rsidRDefault="00A60D4B" w:rsidP="00A60D4B">
            <w:pPr>
              <w:pStyle w:val="BTableHeadingRowRightAligned"/>
              <w:rPr>
                <w:color w:val="FFFFFF" w:themeColor="background1"/>
              </w:rPr>
            </w:pPr>
            <w:r>
              <w:rPr>
                <w:color w:val="FFFFFF" w:themeColor="background1"/>
              </w:rPr>
              <w:t>$’000</w:t>
            </w:r>
          </w:p>
        </w:tc>
        <w:tc>
          <w:tcPr>
            <w:tcW w:w="1181" w:type="dxa"/>
            <w:tcBorders>
              <w:bottom w:val="single" w:sz="4" w:space="0" w:color="auto"/>
            </w:tcBorders>
            <w:shd w:val="clear" w:color="auto" w:fill="472D8C"/>
          </w:tcPr>
          <w:p w14:paraId="409C2E22" w14:textId="77777777" w:rsidR="006F1DF8" w:rsidRDefault="00A60D4B" w:rsidP="00A60D4B">
            <w:pPr>
              <w:pStyle w:val="BTableHeadingRowRightAligned"/>
              <w:rPr>
                <w:color w:val="FFFFFF" w:themeColor="background1"/>
              </w:rPr>
            </w:pPr>
            <w:r>
              <w:rPr>
                <w:color w:val="FFFFFF" w:themeColor="background1"/>
              </w:rPr>
              <w:t>2022-23</w:t>
            </w:r>
            <w:r>
              <w:rPr>
                <w:color w:val="FFFFFF" w:themeColor="background1"/>
              </w:rPr>
              <w:br/>
              <w:t>Estimate</w:t>
            </w:r>
            <w:r>
              <w:rPr>
                <w:color w:val="FFFFFF" w:themeColor="background1"/>
              </w:rPr>
              <w:br/>
            </w:r>
          </w:p>
          <w:p w14:paraId="556FB97C" w14:textId="667C10C4" w:rsidR="00A60D4B" w:rsidRPr="00111524" w:rsidRDefault="00A60D4B" w:rsidP="00A60D4B">
            <w:pPr>
              <w:pStyle w:val="BTableHeadingRowRightAligned"/>
              <w:rPr>
                <w:color w:val="FFFFFF" w:themeColor="background1"/>
              </w:rPr>
            </w:pPr>
            <w:r>
              <w:rPr>
                <w:color w:val="FFFFFF" w:themeColor="background1"/>
              </w:rPr>
              <w:t>$’000</w:t>
            </w:r>
          </w:p>
        </w:tc>
        <w:tc>
          <w:tcPr>
            <w:tcW w:w="1181" w:type="dxa"/>
            <w:tcBorders>
              <w:bottom w:val="single" w:sz="4" w:space="0" w:color="auto"/>
            </w:tcBorders>
            <w:shd w:val="clear" w:color="auto" w:fill="472D8C"/>
          </w:tcPr>
          <w:p w14:paraId="73608563" w14:textId="77777777" w:rsidR="006F1DF8" w:rsidRDefault="00A60D4B" w:rsidP="00A60D4B">
            <w:pPr>
              <w:pStyle w:val="BTableHeadingRowRightAligned"/>
              <w:rPr>
                <w:color w:val="FFFFFF" w:themeColor="background1"/>
              </w:rPr>
            </w:pPr>
            <w:r>
              <w:rPr>
                <w:color w:val="FFFFFF" w:themeColor="background1"/>
              </w:rPr>
              <w:t>2023-24</w:t>
            </w:r>
            <w:r>
              <w:rPr>
                <w:color w:val="FFFFFF" w:themeColor="background1"/>
              </w:rPr>
              <w:br/>
              <w:t>Estimate</w:t>
            </w:r>
            <w:r>
              <w:rPr>
                <w:color w:val="FFFFFF" w:themeColor="background1"/>
              </w:rPr>
              <w:br/>
            </w:r>
          </w:p>
          <w:p w14:paraId="3A2BB0A0" w14:textId="42A29CA7" w:rsidR="00A60D4B" w:rsidRPr="00111524" w:rsidRDefault="00A60D4B" w:rsidP="00A60D4B">
            <w:pPr>
              <w:pStyle w:val="BTableHeadingRowRightAligned"/>
              <w:rPr>
                <w:color w:val="FFFFFF" w:themeColor="background1"/>
              </w:rPr>
            </w:pPr>
            <w:r>
              <w:rPr>
                <w:color w:val="FFFFFF" w:themeColor="background1"/>
              </w:rPr>
              <w:t>$’000</w:t>
            </w:r>
          </w:p>
        </w:tc>
        <w:tc>
          <w:tcPr>
            <w:tcW w:w="1182" w:type="dxa"/>
            <w:tcBorders>
              <w:bottom w:val="single" w:sz="4" w:space="0" w:color="auto"/>
            </w:tcBorders>
            <w:shd w:val="clear" w:color="auto" w:fill="472D8C"/>
          </w:tcPr>
          <w:p w14:paraId="273B8D68" w14:textId="77777777" w:rsidR="006F1DF8" w:rsidRDefault="00A60D4B" w:rsidP="00A60D4B">
            <w:pPr>
              <w:pStyle w:val="BTableHeadingRowRightAligned"/>
              <w:rPr>
                <w:color w:val="FFFFFF" w:themeColor="background1"/>
              </w:rPr>
            </w:pPr>
            <w:r>
              <w:rPr>
                <w:color w:val="FFFFFF" w:themeColor="background1"/>
              </w:rPr>
              <w:t>2024-25</w:t>
            </w:r>
            <w:r>
              <w:rPr>
                <w:color w:val="FFFFFF" w:themeColor="background1"/>
              </w:rPr>
              <w:br/>
              <w:t>Estimate</w:t>
            </w:r>
            <w:r>
              <w:rPr>
                <w:color w:val="FFFFFF" w:themeColor="background1"/>
              </w:rPr>
              <w:br/>
            </w:r>
          </w:p>
          <w:p w14:paraId="3923B727" w14:textId="58EA152F" w:rsidR="00A60D4B" w:rsidRPr="00111524" w:rsidRDefault="00A60D4B" w:rsidP="00A60D4B">
            <w:pPr>
              <w:pStyle w:val="BTableHeadingRowRightAligned"/>
              <w:rPr>
                <w:color w:val="FFFFFF" w:themeColor="background1"/>
              </w:rPr>
            </w:pPr>
            <w:r>
              <w:rPr>
                <w:color w:val="FFFFFF" w:themeColor="background1"/>
              </w:rPr>
              <w:t>$’000</w:t>
            </w:r>
          </w:p>
        </w:tc>
      </w:tr>
      <w:tr w:rsidR="00A60D4B" w:rsidRPr="00337DC9" w14:paraId="096159F9" w14:textId="77777777" w:rsidTr="00A60D4B">
        <w:trPr>
          <w:trHeight w:val="20"/>
        </w:trPr>
        <w:tc>
          <w:tcPr>
            <w:tcW w:w="2127" w:type="dxa"/>
            <w:tcBorders>
              <w:top w:val="nil"/>
              <w:bottom w:val="nil"/>
            </w:tcBorders>
          </w:tcPr>
          <w:p w14:paraId="79D70980" w14:textId="77777777" w:rsidR="00A60D4B" w:rsidRPr="00037F42" w:rsidRDefault="00A60D4B" w:rsidP="00A60D4B">
            <w:pPr>
              <w:pStyle w:val="Btabletextbold"/>
            </w:pPr>
            <w:r w:rsidRPr="00037F42">
              <w:rPr>
                <w:rFonts w:cs="Calibri"/>
                <w:sz w:val="18"/>
                <w:szCs w:val="18"/>
              </w:rPr>
              <w:t>Interest Received</w:t>
            </w:r>
          </w:p>
        </w:tc>
        <w:tc>
          <w:tcPr>
            <w:tcW w:w="1181" w:type="dxa"/>
            <w:tcBorders>
              <w:bottom w:val="nil"/>
            </w:tcBorders>
          </w:tcPr>
          <w:p w14:paraId="499474C0" w14:textId="77777777" w:rsidR="00A60D4B" w:rsidRPr="00037F42" w:rsidRDefault="00A60D4B" w:rsidP="00A60D4B">
            <w:pPr>
              <w:pStyle w:val="Btablefigureunbold"/>
              <w:rPr>
                <w:b/>
              </w:rPr>
            </w:pPr>
            <w:r w:rsidRPr="00037F42">
              <w:rPr>
                <w:rFonts w:cs="Calibri"/>
                <w:sz w:val="18"/>
                <w:szCs w:val="18"/>
              </w:rPr>
              <w:t> </w:t>
            </w:r>
          </w:p>
        </w:tc>
        <w:tc>
          <w:tcPr>
            <w:tcW w:w="1181" w:type="dxa"/>
            <w:tcBorders>
              <w:bottom w:val="nil"/>
            </w:tcBorders>
          </w:tcPr>
          <w:p w14:paraId="5F4FD053" w14:textId="77777777" w:rsidR="00A60D4B" w:rsidRPr="00037F42" w:rsidRDefault="00A60D4B" w:rsidP="00A60D4B">
            <w:pPr>
              <w:pStyle w:val="Btablefigureunbold"/>
              <w:rPr>
                <w:b/>
              </w:rPr>
            </w:pPr>
            <w:r w:rsidRPr="00037F42">
              <w:rPr>
                <w:rFonts w:cs="Calibri"/>
                <w:sz w:val="18"/>
                <w:szCs w:val="18"/>
              </w:rPr>
              <w:t> </w:t>
            </w:r>
          </w:p>
        </w:tc>
        <w:tc>
          <w:tcPr>
            <w:tcW w:w="1181" w:type="dxa"/>
            <w:tcBorders>
              <w:bottom w:val="nil"/>
            </w:tcBorders>
            <w:shd w:val="clear" w:color="auto" w:fill="auto"/>
          </w:tcPr>
          <w:p w14:paraId="13F7F38C" w14:textId="77777777" w:rsidR="00A60D4B" w:rsidRPr="00037F42" w:rsidRDefault="00A60D4B" w:rsidP="00A60D4B">
            <w:pPr>
              <w:pStyle w:val="Btablefigureunbold"/>
              <w:rPr>
                <w:b/>
              </w:rPr>
            </w:pPr>
            <w:r w:rsidRPr="00037F42">
              <w:rPr>
                <w:rFonts w:cs="Calibri"/>
                <w:sz w:val="18"/>
                <w:szCs w:val="18"/>
              </w:rPr>
              <w:t> </w:t>
            </w:r>
          </w:p>
        </w:tc>
        <w:tc>
          <w:tcPr>
            <w:tcW w:w="1181" w:type="dxa"/>
            <w:tcBorders>
              <w:bottom w:val="nil"/>
            </w:tcBorders>
            <w:shd w:val="clear" w:color="472D8C" w:fill="auto"/>
          </w:tcPr>
          <w:p w14:paraId="2A46EAD9" w14:textId="77777777" w:rsidR="00A60D4B" w:rsidRPr="00037F42" w:rsidRDefault="00A60D4B" w:rsidP="00A60D4B">
            <w:pPr>
              <w:pStyle w:val="Btablefigureunbold"/>
              <w:rPr>
                <w:b/>
                <w:color w:val="000000"/>
              </w:rPr>
            </w:pPr>
            <w:r w:rsidRPr="00037F42">
              <w:rPr>
                <w:rFonts w:cs="Calibri"/>
                <w:sz w:val="18"/>
                <w:szCs w:val="18"/>
              </w:rPr>
              <w:t> </w:t>
            </w:r>
          </w:p>
        </w:tc>
        <w:tc>
          <w:tcPr>
            <w:tcW w:w="1181" w:type="dxa"/>
            <w:tcBorders>
              <w:bottom w:val="nil"/>
            </w:tcBorders>
            <w:shd w:val="clear" w:color="auto" w:fill="auto"/>
          </w:tcPr>
          <w:p w14:paraId="7DAC4804" w14:textId="77777777" w:rsidR="00A60D4B" w:rsidRPr="00037F42" w:rsidRDefault="00A60D4B" w:rsidP="00A60D4B">
            <w:pPr>
              <w:pStyle w:val="Btablefigureunbold"/>
              <w:rPr>
                <w:b/>
              </w:rPr>
            </w:pPr>
            <w:r w:rsidRPr="00037F42">
              <w:rPr>
                <w:rFonts w:cs="Calibri"/>
                <w:sz w:val="18"/>
                <w:szCs w:val="18"/>
              </w:rPr>
              <w:t> </w:t>
            </w:r>
          </w:p>
        </w:tc>
        <w:tc>
          <w:tcPr>
            <w:tcW w:w="1182" w:type="dxa"/>
            <w:tcBorders>
              <w:bottom w:val="nil"/>
            </w:tcBorders>
          </w:tcPr>
          <w:p w14:paraId="5553C2B4" w14:textId="77777777" w:rsidR="00A60D4B" w:rsidRPr="00037F42" w:rsidRDefault="00A60D4B" w:rsidP="00A60D4B">
            <w:pPr>
              <w:pStyle w:val="Btablefigureunbold"/>
              <w:rPr>
                <w:b/>
              </w:rPr>
            </w:pPr>
            <w:r w:rsidRPr="00037F42">
              <w:rPr>
                <w:rFonts w:cs="Calibri"/>
                <w:sz w:val="18"/>
                <w:szCs w:val="18"/>
              </w:rPr>
              <w:t> </w:t>
            </w:r>
          </w:p>
        </w:tc>
      </w:tr>
      <w:tr w:rsidR="00A60D4B" w:rsidRPr="00337DC9" w14:paraId="61FFFB11" w14:textId="77777777" w:rsidTr="00A60D4B">
        <w:trPr>
          <w:trHeight w:val="20"/>
        </w:trPr>
        <w:tc>
          <w:tcPr>
            <w:tcW w:w="2127" w:type="dxa"/>
            <w:tcBorders>
              <w:top w:val="nil"/>
              <w:bottom w:val="nil"/>
            </w:tcBorders>
          </w:tcPr>
          <w:p w14:paraId="76C54C1E" w14:textId="77777777" w:rsidR="00A60D4B" w:rsidRPr="00037F42" w:rsidRDefault="00A60D4B" w:rsidP="00A60D4B">
            <w:pPr>
              <w:pStyle w:val="Btabletextunbold"/>
              <w:rPr>
                <w:b/>
              </w:rPr>
            </w:pPr>
            <w:r w:rsidRPr="00037F42">
              <w:rPr>
                <w:rFonts w:cs="Calibri"/>
                <w:sz w:val="18"/>
                <w:szCs w:val="18"/>
              </w:rPr>
              <w:t>Interest from Financial Investments and Banks</w:t>
            </w:r>
          </w:p>
        </w:tc>
        <w:tc>
          <w:tcPr>
            <w:tcW w:w="1181" w:type="dxa"/>
            <w:tcBorders>
              <w:top w:val="nil"/>
              <w:bottom w:val="nil"/>
            </w:tcBorders>
          </w:tcPr>
          <w:p w14:paraId="0A06109D" w14:textId="77777777" w:rsidR="00A60D4B" w:rsidRPr="00037F42" w:rsidRDefault="00A60D4B" w:rsidP="00A60D4B">
            <w:pPr>
              <w:pStyle w:val="Btablefigureunbold"/>
              <w:rPr>
                <w:b/>
              </w:rPr>
            </w:pPr>
            <w:r>
              <w:rPr>
                <w:rFonts w:cs="Calibri"/>
                <w:sz w:val="18"/>
                <w:szCs w:val="18"/>
              </w:rPr>
              <w:t xml:space="preserve">27,976 </w:t>
            </w:r>
          </w:p>
        </w:tc>
        <w:tc>
          <w:tcPr>
            <w:tcW w:w="1181" w:type="dxa"/>
            <w:tcBorders>
              <w:top w:val="nil"/>
              <w:bottom w:val="nil"/>
            </w:tcBorders>
          </w:tcPr>
          <w:p w14:paraId="25B8184D" w14:textId="77777777" w:rsidR="00A60D4B" w:rsidRPr="00037F42" w:rsidRDefault="00A60D4B" w:rsidP="00A60D4B">
            <w:pPr>
              <w:pStyle w:val="Btablefigureunbold"/>
              <w:rPr>
                <w:b/>
              </w:rPr>
            </w:pPr>
            <w:r>
              <w:rPr>
                <w:rFonts w:cs="Calibri"/>
                <w:sz w:val="18"/>
                <w:szCs w:val="18"/>
              </w:rPr>
              <w:t xml:space="preserve">25,312 </w:t>
            </w:r>
          </w:p>
        </w:tc>
        <w:tc>
          <w:tcPr>
            <w:tcW w:w="1181" w:type="dxa"/>
            <w:tcBorders>
              <w:top w:val="nil"/>
              <w:bottom w:val="nil"/>
            </w:tcBorders>
            <w:shd w:val="clear" w:color="auto" w:fill="auto"/>
          </w:tcPr>
          <w:p w14:paraId="2288FD78" w14:textId="77777777" w:rsidR="00A60D4B" w:rsidRPr="002F4A29" w:rsidRDefault="00A60D4B" w:rsidP="00A60D4B">
            <w:pPr>
              <w:pStyle w:val="BTablefigureBold"/>
              <w:rPr>
                <w:b w:val="0"/>
                <w:bCs/>
              </w:rPr>
            </w:pPr>
            <w:r w:rsidRPr="002F4A29">
              <w:rPr>
                <w:rFonts w:cs="Calibri"/>
                <w:b w:val="0"/>
                <w:bCs/>
                <w:sz w:val="18"/>
                <w:szCs w:val="18"/>
              </w:rPr>
              <w:t xml:space="preserve">28,889 </w:t>
            </w:r>
          </w:p>
        </w:tc>
        <w:tc>
          <w:tcPr>
            <w:tcW w:w="1181" w:type="dxa"/>
            <w:tcBorders>
              <w:top w:val="nil"/>
              <w:bottom w:val="nil"/>
            </w:tcBorders>
            <w:shd w:val="clear" w:color="472D8C" w:fill="auto"/>
          </w:tcPr>
          <w:p w14:paraId="7C70A09C" w14:textId="77777777" w:rsidR="00A60D4B" w:rsidRPr="00037F42" w:rsidRDefault="00A60D4B" w:rsidP="00A60D4B">
            <w:pPr>
              <w:pStyle w:val="Btablefigureunbold"/>
              <w:rPr>
                <w:b/>
                <w:color w:val="000000"/>
              </w:rPr>
            </w:pPr>
            <w:r>
              <w:rPr>
                <w:rFonts w:cs="Calibri"/>
                <w:sz w:val="18"/>
                <w:szCs w:val="18"/>
              </w:rPr>
              <w:t xml:space="preserve">26,856 </w:t>
            </w:r>
          </w:p>
        </w:tc>
        <w:tc>
          <w:tcPr>
            <w:tcW w:w="1181" w:type="dxa"/>
            <w:tcBorders>
              <w:top w:val="nil"/>
              <w:bottom w:val="nil"/>
            </w:tcBorders>
            <w:shd w:val="clear" w:color="auto" w:fill="auto"/>
          </w:tcPr>
          <w:p w14:paraId="07CE6D79" w14:textId="77777777" w:rsidR="00A60D4B" w:rsidRPr="00037F42" w:rsidRDefault="00A60D4B" w:rsidP="00A60D4B">
            <w:pPr>
              <w:pStyle w:val="Btablefigureunbold"/>
              <w:rPr>
                <w:b/>
              </w:rPr>
            </w:pPr>
            <w:r>
              <w:rPr>
                <w:rFonts w:cs="Calibri"/>
                <w:sz w:val="18"/>
                <w:szCs w:val="18"/>
              </w:rPr>
              <w:t xml:space="preserve">20,847 </w:t>
            </w:r>
          </w:p>
        </w:tc>
        <w:tc>
          <w:tcPr>
            <w:tcW w:w="1182" w:type="dxa"/>
            <w:tcBorders>
              <w:top w:val="nil"/>
              <w:bottom w:val="nil"/>
            </w:tcBorders>
          </w:tcPr>
          <w:p w14:paraId="154A648C" w14:textId="77777777" w:rsidR="00A60D4B" w:rsidRPr="00037F42" w:rsidRDefault="00A60D4B" w:rsidP="00A60D4B">
            <w:pPr>
              <w:pStyle w:val="Btablefigureunbold"/>
              <w:rPr>
                <w:b/>
              </w:rPr>
            </w:pPr>
            <w:r>
              <w:rPr>
                <w:rFonts w:cs="Calibri"/>
                <w:sz w:val="18"/>
                <w:szCs w:val="18"/>
              </w:rPr>
              <w:t xml:space="preserve">19,556 </w:t>
            </w:r>
          </w:p>
        </w:tc>
      </w:tr>
      <w:tr w:rsidR="00A60D4B" w:rsidRPr="00337DC9" w14:paraId="1AA4E1B2" w14:textId="77777777" w:rsidTr="00A60D4B">
        <w:trPr>
          <w:trHeight w:val="20"/>
        </w:trPr>
        <w:tc>
          <w:tcPr>
            <w:tcW w:w="2127" w:type="dxa"/>
            <w:tcBorders>
              <w:top w:val="nil"/>
              <w:bottom w:val="nil"/>
            </w:tcBorders>
          </w:tcPr>
          <w:p w14:paraId="344F9B76" w14:textId="77777777" w:rsidR="00A60D4B" w:rsidRPr="00037F42" w:rsidRDefault="00A60D4B" w:rsidP="00A60D4B">
            <w:pPr>
              <w:pStyle w:val="Btabletextunbold"/>
              <w:rPr>
                <w:b/>
              </w:rPr>
            </w:pPr>
            <w:r w:rsidRPr="00037F42">
              <w:rPr>
                <w:rFonts w:cs="Calibri"/>
                <w:sz w:val="18"/>
                <w:szCs w:val="18"/>
              </w:rPr>
              <w:t>Interest Received on Advances and Loans to Agencies</w:t>
            </w:r>
          </w:p>
        </w:tc>
        <w:tc>
          <w:tcPr>
            <w:tcW w:w="1181" w:type="dxa"/>
            <w:tcBorders>
              <w:top w:val="nil"/>
              <w:bottom w:val="nil"/>
            </w:tcBorders>
          </w:tcPr>
          <w:p w14:paraId="6D0BC100" w14:textId="77777777" w:rsidR="00A60D4B" w:rsidRPr="00037F42" w:rsidRDefault="00A60D4B" w:rsidP="00A60D4B">
            <w:pPr>
              <w:pStyle w:val="Btablefigureunbold"/>
              <w:rPr>
                <w:b/>
              </w:rPr>
            </w:pPr>
            <w:r>
              <w:rPr>
                <w:rFonts w:cs="Calibri"/>
                <w:sz w:val="18"/>
                <w:szCs w:val="18"/>
              </w:rPr>
              <w:t xml:space="preserve">57,740 </w:t>
            </w:r>
          </w:p>
        </w:tc>
        <w:tc>
          <w:tcPr>
            <w:tcW w:w="1181" w:type="dxa"/>
            <w:tcBorders>
              <w:top w:val="nil"/>
              <w:bottom w:val="nil"/>
            </w:tcBorders>
          </w:tcPr>
          <w:p w14:paraId="76F8139C" w14:textId="77777777" w:rsidR="00A60D4B" w:rsidRPr="00037F42" w:rsidRDefault="00A60D4B" w:rsidP="00A60D4B">
            <w:pPr>
              <w:pStyle w:val="Btablefigureunbold"/>
              <w:rPr>
                <w:b/>
              </w:rPr>
            </w:pPr>
            <w:r>
              <w:rPr>
                <w:rFonts w:cs="Calibri"/>
                <w:sz w:val="18"/>
                <w:szCs w:val="18"/>
              </w:rPr>
              <w:t xml:space="preserve">59,624 </w:t>
            </w:r>
          </w:p>
        </w:tc>
        <w:tc>
          <w:tcPr>
            <w:tcW w:w="1181" w:type="dxa"/>
            <w:tcBorders>
              <w:top w:val="nil"/>
              <w:bottom w:val="nil"/>
            </w:tcBorders>
            <w:shd w:val="clear" w:color="auto" w:fill="auto"/>
          </w:tcPr>
          <w:p w14:paraId="26153631" w14:textId="77777777" w:rsidR="00A60D4B" w:rsidRPr="002F4A29" w:rsidRDefault="00A60D4B" w:rsidP="00A60D4B">
            <w:pPr>
              <w:pStyle w:val="BTablefigureBold"/>
              <w:rPr>
                <w:b w:val="0"/>
                <w:bCs/>
              </w:rPr>
            </w:pPr>
            <w:r w:rsidRPr="002F4A29">
              <w:rPr>
                <w:rFonts w:cs="Calibri"/>
                <w:b w:val="0"/>
                <w:bCs/>
                <w:sz w:val="18"/>
                <w:szCs w:val="18"/>
              </w:rPr>
              <w:t xml:space="preserve">69,002 </w:t>
            </w:r>
          </w:p>
        </w:tc>
        <w:tc>
          <w:tcPr>
            <w:tcW w:w="1181" w:type="dxa"/>
            <w:tcBorders>
              <w:top w:val="nil"/>
              <w:bottom w:val="nil"/>
            </w:tcBorders>
            <w:shd w:val="clear" w:color="472D8C" w:fill="auto"/>
          </w:tcPr>
          <w:p w14:paraId="16CCCCA5" w14:textId="77777777" w:rsidR="00A60D4B" w:rsidRPr="00037F42" w:rsidRDefault="00A60D4B" w:rsidP="00A60D4B">
            <w:pPr>
              <w:pStyle w:val="Btablefigureunbold"/>
              <w:rPr>
                <w:b/>
                <w:color w:val="000000"/>
              </w:rPr>
            </w:pPr>
            <w:r>
              <w:rPr>
                <w:rFonts w:cs="Calibri"/>
                <w:sz w:val="18"/>
                <w:szCs w:val="18"/>
              </w:rPr>
              <w:t xml:space="preserve">69,026 </w:t>
            </w:r>
          </w:p>
        </w:tc>
        <w:tc>
          <w:tcPr>
            <w:tcW w:w="1181" w:type="dxa"/>
            <w:tcBorders>
              <w:top w:val="nil"/>
              <w:bottom w:val="nil"/>
            </w:tcBorders>
            <w:shd w:val="clear" w:color="auto" w:fill="auto"/>
          </w:tcPr>
          <w:p w14:paraId="49D39D6C" w14:textId="77777777" w:rsidR="00A60D4B" w:rsidRPr="00037F42" w:rsidRDefault="00A60D4B" w:rsidP="00A60D4B">
            <w:pPr>
              <w:pStyle w:val="Btablefigureunbold"/>
              <w:rPr>
                <w:b/>
              </w:rPr>
            </w:pPr>
            <w:r>
              <w:rPr>
                <w:rFonts w:cs="Calibri"/>
                <w:sz w:val="18"/>
                <w:szCs w:val="18"/>
              </w:rPr>
              <w:t xml:space="preserve">70,294 </w:t>
            </w:r>
          </w:p>
        </w:tc>
        <w:tc>
          <w:tcPr>
            <w:tcW w:w="1182" w:type="dxa"/>
            <w:tcBorders>
              <w:top w:val="nil"/>
              <w:bottom w:val="nil"/>
            </w:tcBorders>
          </w:tcPr>
          <w:p w14:paraId="564B1D03" w14:textId="77777777" w:rsidR="00A60D4B" w:rsidRPr="00037F42" w:rsidRDefault="00A60D4B" w:rsidP="00A60D4B">
            <w:pPr>
              <w:pStyle w:val="Btablefigureunbold"/>
              <w:rPr>
                <w:b/>
              </w:rPr>
            </w:pPr>
            <w:r>
              <w:rPr>
                <w:rFonts w:cs="Calibri"/>
                <w:sz w:val="18"/>
                <w:szCs w:val="18"/>
              </w:rPr>
              <w:t xml:space="preserve">68,585 </w:t>
            </w:r>
          </w:p>
        </w:tc>
      </w:tr>
      <w:tr w:rsidR="00A60D4B" w:rsidRPr="00337DC9" w14:paraId="66ED0D70" w14:textId="77777777" w:rsidTr="00A60D4B">
        <w:trPr>
          <w:trHeight w:val="20"/>
        </w:trPr>
        <w:tc>
          <w:tcPr>
            <w:tcW w:w="2127" w:type="dxa"/>
            <w:tcBorders>
              <w:top w:val="nil"/>
              <w:bottom w:val="nil"/>
            </w:tcBorders>
          </w:tcPr>
          <w:p w14:paraId="427328D4" w14:textId="77777777" w:rsidR="00A60D4B" w:rsidRPr="00037F42" w:rsidRDefault="00A60D4B" w:rsidP="00A60D4B">
            <w:pPr>
              <w:pStyle w:val="Btabletextunbold"/>
              <w:rPr>
                <w:b/>
              </w:rPr>
            </w:pPr>
            <w:r w:rsidRPr="00037F42">
              <w:rPr>
                <w:rFonts w:cs="Calibri"/>
                <w:sz w:val="18"/>
                <w:szCs w:val="18"/>
              </w:rPr>
              <w:t>Interest Received on Advances from</w:t>
            </w:r>
            <w:r>
              <w:rPr>
                <w:rFonts w:cs="Calibri"/>
                <w:sz w:val="18"/>
                <w:szCs w:val="18"/>
              </w:rPr>
              <w:t xml:space="preserve"> </w:t>
            </w:r>
            <w:r w:rsidRPr="00037F42">
              <w:rPr>
                <w:rFonts w:cs="Calibri"/>
                <w:sz w:val="18"/>
                <w:szCs w:val="18"/>
              </w:rPr>
              <w:t>Private Sector - Non-Banks</w:t>
            </w:r>
          </w:p>
        </w:tc>
        <w:tc>
          <w:tcPr>
            <w:tcW w:w="1181" w:type="dxa"/>
            <w:tcBorders>
              <w:top w:val="nil"/>
              <w:bottom w:val="nil"/>
            </w:tcBorders>
          </w:tcPr>
          <w:p w14:paraId="56F22B93" w14:textId="77777777" w:rsidR="00A60D4B" w:rsidRPr="00037F42" w:rsidRDefault="00A60D4B" w:rsidP="00A60D4B">
            <w:pPr>
              <w:pStyle w:val="Btablefigureunbold"/>
              <w:rPr>
                <w:b/>
              </w:rPr>
            </w:pPr>
            <w:r>
              <w:rPr>
                <w:rFonts w:cs="Calibri"/>
                <w:sz w:val="18"/>
                <w:szCs w:val="18"/>
              </w:rPr>
              <w:t xml:space="preserve">97 </w:t>
            </w:r>
          </w:p>
        </w:tc>
        <w:tc>
          <w:tcPr>
            <w:tcW w:w="1181" w:type="dxa"/>
            <w:tcBorders>
              <w:top w:val="nil"/>
              <w:bottom w:val="nil"/>
            </w:tcBorders>
          </w:tcPr>
          <w:p w14:paraId="237E8916" w14:textId="77777777" w:rsidR="00A60D4B" w:rsidRPr="00037F42" w:rsidRDefault="00A60D4B" w:rsidP="00A60D4B">
            <w:pPr>
              <w:pStyle w:val="Btablefigureunbold"/>
              <w:rPr>
                <w:b/>
              </w:rPr>
            </w:pPr>
            <w:r>
              <w:rPr>
                <w:rFonts w:cs="Calibri"/>
                <w:sz w:val="18"/>
                <w:szCs w:val="18"/>
              </w:rPr>
              <w:t xml:space="preserve">67 </w:t>
            </w:r>
          </w:p>
        </w:tc>
        <w:tc>
          <w:tcPr>
            <w:tcW w:w="1181" w:type="dxa"/>
            <w:tcBorders>
              <w:top w:val="nil"/>
              <w:bottom w:val="nil"/>
            </w:tcBorders>
            <w:shd w:val="clear" w:color="auto" w:fill="auto"/>
          </w:tcPr>
          <w:p w14:paraId="485DCCEF" w14:textId="77777777" w:rsidR="00A60D4B" w:rsidRPr="002F4A29" w:rsidRDefault="00A60D4B" w:rsidP="00A60D4B">
            <w:pPr>
              <w:pStyle w:val="BTablefigureBold"/>
              <w:rPr>
                <w:b w:val="0"/>
                <w:bCs/>
              </w:rPr>
            </w:pPr>
            <w:r w:rsidRPr="002F4A29">
              <w:rPr>
                <w:rFonts w:cs="Calibri"/>
                <w:b w:val="0"/>
                <w:bCs/>
                <w:sz w:val="18"/>
                <w:szCs w:val="18"/>
              </w:rPr>
              <w:t xml:space="preserve">- </w:t>
            </w:r>
          </w:p>
        </w:tc>
        <w:tc>
          <w:tcPr>
            <w:tcW w:w="1181" w:type="dxa"/>
            <w:tcBorders>
              <w:top w:val="nil"/>
              <w:bottom w:val="nil"/>
            </w:tcBorders>
            <w:shd w:val="clear" w:color="472D8C" w:fill="auto"/>
          </w:tcPr>
          <w:p w14:paraId="518BD2A7" w14:textId="77777777" w:rsidR="00A60D4B" w:rsidRPr="00037F42" w:rsidRDefault="00A60D4B" w:rsidP="00A60D4B">
            <w:pPr>
              <w:pStyle w:val="Btablefigureunbold"/>
              <w:rPr>
                <w:b/>
                <w:color w:val="000000"/>
              </w:rPr>
            </w:pPr>
            <w:r>
              <w:rPr>
                <w:rFonts w:cs="Calibri"/>
                <w:sz w:val="18"/>
                <w:szCs w:val="18"/>
              </w:rPr>
              <w:t xml:space="preserve">- </w:t>
            </w:r>
          </w:p>
        </w:tc>
        <w:tc>
          <w:tcPr>
            <w:tcW w:w="1181" w:type="dxa"/>
            <w:tcBorders>
              <w:top w:val="nil"/>
              <w:bottom w:val="nil"/>
            </w:tcBorders>
            <w:shd w:val="clear" w:color="auto" w:fill="auto"/>
          </w:tcPr>
          <w:p w14:paraId="7C1D24BC" w14:textId="77777777" w:rsidR="00A60D4B" w:rsidRPr="00037F42" w:rsidRDefault="00A60D4B" w:rsidP="00A60D4B">
            <w:pPr>
              <w:pStyle w:val="Btablefigureunbold"/>
              <w:rPr>
                <w:b/>
              </w:rPr>
            </w:pPr>
            <w:r>
              <w:rPr>
                <w:rFonts w:cs="Calibri"/>
                <w:sz w:val="18"/>
                <w:szCs w:val="18"/>
              </w:rPr>
              <w:t xml:space="preserve">- </w:t>
            </w:r>
          </w:p>
        </w:tc>
        <w:tc>
          <w:tcPr>
            <w:tcW w:w="1182" w:type="dxa"/>
            <w:tcBorders>
              <w:top w:val="nil"/>
              <w:bottom w:val="nil"/>
            </w:tcBorders>
          </w:tcPr>
          <w:p w14:paraId="051738DC" w14:textId="77777777" w:rsidR="00A60D4B" w:rsidRPr="00037F42" w:rsidRDefault="00A60D4B" w:rsidP="00A60D4B">
            <w:pPr>
              <w:pStyle w:val="Btablefigureunbold"/>
              <w:rPr>
                <w:b/>
              </w:rPr>
            </w:pPr>
            <w:r>
              <w:rPr>
                <w:rFonts w:cs="Calibri"/>
                <w:sz w:val="18"/>
                <w:szCs w:val="18"/>
              </w:rPr>
              <w:t xml:space="preserve">- </w:t>
            </w:r>
          </w:p>
        </w:tc>
      </w:tr>
      <w:tr w:rsidR="00A60D4B" w:rsidRPr="00337DC9" w14:paraId="6D0E407B" w14:textId="77777777" w:rsidTr="00A60D4B">
        <w:trPr>
          <w:trHeight w:val="20"/>
        </w:trPr>
        <w:tc>
          <w:tcPr>
            <w:tcW w:w="2127" w:type="dxa"/>
            <w:tcBorders>
              <w:top w:val="nil"/>
              <w:bottom w:val="nil"/>
            </w:tcBorders>
          </w:tcPr>
          <w:p w14:paraId="2F296066" w14:textId="77777777" w:rsidR="00A60D4B" w:rsidRPr="00037F42" w:rsidRDefault="00A60D4B" w:rsidP="00A60D4B">
            <w:pPr>
              <w:pStyle w:val="Btabletextunbold"/>
              <w:rPr>
                <w:b/>
              </w:rPr>
            </w:pPr>
            <w:r w:rsidRPr="00037F42">
              <w:rPr>
                <w:rFonts w:cs="Calibri"/>
                <w:sz w:val="18"/>
                <w:szCs w:val="18"/>
              </w:rPr>
              <w:t>Interest Received - Other</w:t>
            </w:r>
          </w:p>
        </w:tc>
        <w:tc>
          <w:tcPr>
            <w:tcW w:w="1181" w:type="dxa"/>
            <w:tcBorders>
              <w:top w:val="nil"/>
              <w:bottom w:val="nil"/>
            </w:tcBorders>
          </w:tcPr>
          <w:p w14:paraId="6163F34F" w14:textId="77777777" w:rsidR="00A60D4B" w:rsidRPr="00037F42" w:rsidRDefault="00A60D4B" w:rsidP="00A60D4B">
            <w:pPr>
              <w:pStyle w:val="Btablefigureunbold"/>
              <w:rPr>
                <w:b/>
              </w:rPr>
            </w:pPr>
            <w:r>
              <w:rPr>
                <w:rFonts w:cs="Calibri"/>
                <w:sz w:val="18"/>
                <w:szCs w:val="18"/>
              </w:rPr>
              <w:t xml:space="preserve">1,168 </w:t>
            </w:r>
          </w:p>
        </w:tc>
        <w:tc>
          <w:tcPr>
            <w:tcW w:w="1181" w:type="dxa"/>
            <w:tcBorders>
              <w:top w:val="nil"/>
              <w:bottom w:val="nil"/>
            </w:tcBorders>
          </w:tcPr>
          <w:p w14:paraId="5279F7C3" w14:textId="77777777" w:rsidR="00A60D4B" w:rsidRPr="00037F42" w:rsidRDefault="00A60D4B" w:rsidP="00A60D4B">
            <w:pPr>
              <w:pStyle w:val="Btablefigureunbold"/>
              <w:rPr>
                <w:b/>
              </w:rPr>
            </w:pPr>
            <w:r>
              <w:rPr>
                <w:rFonts w:cs="Calibri"/>
                <w:sz w:val="18"/>
                <w:szCs w:val="18"/>
              </w:rPr>
              <w:t xml:space="preserve">2,958 </w:t>
            </w:r>
          </w:p>
        </w:tc>
        <w:tc>
          <w:tcPr>
            <w:tcW w:w="1181" w:type="dxa"/>
            <w:tcBorders>
              <w:top w:val="nil"/>
              <w:bottom w:val="nil"/>
            </w:tcBorders>
            <w:shd w:val="clear" w:color="auto" w:fill="auto"/>
          </w:tcPr>
          <w:p w14:paraId="2C22DA6B" w14:textId="77777777" w:rsidR="00A60D4B" w:rsidRPr="002F4A29" w:rsidRDefault="00A60D4B" w:rsidP="00A60D4B">
            <w:pPr>
              <w:pStyle w:val="BTablefigureBold"/>
              <w:rPr>
                <w:b w:val="0"/>
                <w:bCs/>
              </w:rPr>
            </w:pPr>
            <w:r w:rsidRPr="002F4A29">
              <w:rPr>
                <w:rFonts w:cs="Calibri"/>
                <w:b w:val="0"/>
                <w:bCs/>
                <w:sz w:val="18"/>
                <w:szCs w:val="18"/>
              </w:rPr>
              <w:t xml:space="preserve">1,007 </w:t>
            </w:r>
          </w:p>
        </w:tc>
        <w:tc>
          <w:tcPr>
            <w:tcW w:w="1181" w:type="dxa"/>
            <w:tcBorders>
              <w:top w:val="nil"/>
              <w:bottom w:val="nil"/>
            </w:tcBorders>
            <w:shd w:val="clear" w:color="472D8C" w:fill="auto"/>
          </w:tcPr>
          <w:p w14:paraId="502207E6" w14:textId="77777777" w:rsidR="00A60D4B" w:rsidRPr="00037F42" w:rsidRDefault="00A60D4B" w:rsidP="00A60D4B">
            <w:pPr>
              <w:pStyle w:val="Btablefigureunbold"/>
              <w:rPr>
                <w:b/>
                <w:color w:val="000000"/>
              </w:rPr>
            </w:pPr>
            <w:r>
              <w:rPr>
                <w:rFonts w:cs="Calibri"/>
                <w:sz w:val="18"/>
                <w:szCs w:val="18"/>
              </w:rPr>
              <w:t xml:space="preserve">2,392 </w:t>
            </w:r>
          </w:p>
        </w:tc>
        <w:tc>
          <w:tcPr>
            <w:tcW w:w="1181" w:type="dxa"/>
            <w:tcBorders>
              <w:top w:val="nil"/>
              <w:bottom w:val="nil"/>
            </w:tcBorders>
            <w:shd w:val="clear" w:color="auto" w:fill="auto"/>
          </w:tcPr>
          <w:p w14:paraId="4495D1E7" w14:textId="77777777" w:rsidR="00A60D4B" w:rsidRPr="00037F42" w:rsidRDefault="00A60D4B" w:rsidP="00A60D4B">
            <w:pPr>
              <w:pStyle w:val="Btablefigureunbold"/>
              <w:rPr>
                <w:b/>
              </w:rPr>
            </w:pPr>
            <w:r>
              <w:rPr>
                <w:rFonts w:cs="Calibri"/>
                <w:sz w:val="18"/>
                <w:szCs w:val="18"/>
              </w:rPr>
              <w:t xml:space="preserve">3,177 </w:t>
            </w:r>
          </w:p>
        </w:tc>
        <w:tc>
          <w:tcPr>
            <w:tcW w:w="1182" w:type="dxa"/>
            <w:tcBorders>
              <w:top w:val="nil"/>
              <w:bottom w:val="nil"/>
            </w:tcBorders>
          </w:tcPr>
          <w:p w14:paraId="42A27278" w14:textId="77777777" w:rsidR="00A60D4B" w:rsidRPr="00037F42" w:rsidRDefault="00A60D4B" w:rsidP="00A60D4B">
            <w:pPr>
              <w:pStyle w:val="Btablefigureunbold"/>
              <w:rPr>
                <w:b/>
              </w:rPr>
            </w:pPr>
            <w:r>
              <w:rPr>
                <w:rFonts w:cs="Calibri"/>
                <w:sz w:val="18"/>
                <w:szCs w:val="18"/>
              </w:rPr>
              <w:t xml:space="preserve">4,455 </w:t>
            </w:r>
          </w:p>
        </w:tc>
      </w:tr>
      <w:tr w:rsidR="00A60D4B" w:rsidRPr="00337DC9" w14:paraId="55CDD16D" w14:textId="77777777" w:rsidTr="00A60D4B">
        <w:trPr>
          <w:trHeight w:val="20"/>
        </w:trPr>
        <w:tc>
          <w:tcPr>
            <w:tcW w:w="2127" w:type="dxa"/>
            <w:tcBorders>
              <w:top w:val="nil"/>
              <w:bottom w:val="nil"/>
            </w:tcBorders>
          </w:tcPr>
          <w:p w14:paraId="56CC952F" w14:textId="77777777" w:rsidR="00A60D4B" w:rsidRPr="00037F42" w:rsidRDefault="00A60D4B" w:rsidP="00A60D4B">
            <w:pPr>
              <w:pStyle w:val="Btabletextunbold"/>
              <w:rPr>
                <w:b/>
              </w:rPr>
            </w:pPr>
            <w:r w:rsidRPr="00037F42">
              <w:rPr>
                <w:rFonts w:cs="Calibri"/>
                <w:b/>
                <w:bCs/>
                <w:sz w:val="18"/>
                <w:szCs w:val="18"/>
              </w:rPr>
              <w:t>Total Interest</w:t>
            </w:r>
          </w:p>
        </w:tc>
        <w:tc>
          <w:tcPr>
            <w:tcW w:w="1181" w:type="dxa"/>
            <w:tcBorders>
              <w:top w:val="nil"/>
              <w:bottom w:val="nil"/>
            </w:tcBorders>
          </w:tcPr>
          <w:p w14:paraId="01841880" w14:textId="77777777" w:rsidR="00A60D4B" w:rsidRPr="00037F42" w:rsidRDefault="00A60D4B" w:rsidP="00A60D4B">
            <w:pPr>
              <w:pStyle w:val="Btablefigureunbold"/>
              <w:rPr>
                <w:b/>
              </w:rPr>
            </w:pPr>
            <w:r>
              <w:rPr>
                <w:rFonts w:cs="Calibri"/>
                <w:b/>
                <w:bCs/>
                <w:sz w:val="18"/>
                <w:szCs w:val="18"/>
              </w:rPr>
              <w:t xml:space="preserve">86,981 </w:t>
            </w:r>
          </w:p>
        </w:tc>
        <w:tc>
          <w:tcPr>
            <w:tcW w:w="1181" w:type="dxa"/>
            <w:tcBorders>
              <w:top w:val="nil"/>
              <w:bottom w:val="nil"/>
            </w:tcBorders>
          </w:tcPr>
          <w:p w14:paraId="43AC939B" w14:textId="77777777" w:rsidR="00A60D4B" w:rsidRPr="00037F42" w:rsidRDefault="00A60D4B" w:rsidP="00A60D4B">
            <w:pPr>
              <w:pStyle w:val="Btablefigureunbold"/>
              <w:rPr>
                <w:b/>
              </w:rPr>
            </w:pPr>
            <w:r>
              <w:rPr>
                <w:rFonts w:cs="Calibri"/>
                <w:b/>
                <w:bCs/>
                <w:sz w:val="18"/>
                <w:szCs w:val="18"/>
              </w:rPr>
              <w:t xml:space="preserve">87,960 </w:t>
            </w:r>
          </w:p>
        </w:tc>
        <w:tc>
          <w:tcPr>
            <w:tcW w:w="1181" w:type="dxa"/>
            <w:tcBorders>
              <w:top w:val="nil"/>
              <w:bottom w:val="nil"/>
            </w:tcBorders>
            <w:shd w:val="clear" w:color="auto" w:fill="auto"/>
          </w:tcPr>
          <w:p w14:paraId="4EA7887C" w14:textId="77777777" w:rsidR="00A60D4B" w:rsidRPr="002F4A29" w:rsidRDefault="00A60D4B" w:rsidP="00A60D4B">
            <w:pPr>
              <w:pStyle w:val="BTablefigureBold"/>
            </w:pPr>
            <w:r w:rsidRPr="002F4A29">
              <w:rPr>
                <w:rFonts w:cs="Calibri"/>
                <w:sz w:val="18"/>
                <w:szCs w:val="18"/>
              </w:rPr>
              <w:t xml:space="preserve">98,898 </w:t>
            </w:r>
          </w:p>
        </w:tc>
        <w:tc>
          <w:tcPr>
            <w:tcW w:w="1181" w:type="dxa"/>
            <w:tcBorders>
              <w:top w:val="nil"/>
              <w:bottom w:val="nil"/>
            </w:tcBorders>
            <w:shd w:val="clear" w:color="472D8C" w:fill="auto"/>
          </w:tcPr>
          <w:p w14:paraId="0C2BE6ED" w14:textId="77777777" w:rsidR="00A60D4B" w:rsidRPr="00037F42" w:rsidRDefault="00A60D4B" w:rsidP="00A60D4B">
            <w:pPr>
              <w:pStyle w:val="Btablefigureunbold"/>
              <w:rPr>
                <w:b/>
                <w:color w:val="000000"/>
              </w:rPr>
            </w:pPr>
            <w:r>
              <w:rPr>
                <w:rFonts w:cs="Calibri"/>
                <w:b/>
                <w:bCs/>
                <w:sz w:val="18"/>
                <w:szCs w:val="18"/>
              </w:rPr>
              <w:t xml:space="preserve">98,274 </w:t>
            </w:r>
          </w:p>
        </w:tc>
        <w:tc>
          <w:tcPr>
            <w:tcW w:w="1181" w:type="dxa"/>
            <w:tcBorders>
              <w:top w:val="nil"/>
              <w:bottom w:val="nil"/>
            </w:tcBorders>
            <w:shd w:val="clear" w:color="auto" w:fill="auto"/>
          </w:tcPr>
          <w:p w14:paraId="0B46B877" w14:textId="77777777" w:rsidR="00A60D4B" w:rsidRPr="00037F42" w:rsidRDefault="00A60D4B" w:rsidP="00A60D4B">
            <w:pPr>
              <w:pStyle w:val="Btablefigureunbold"/>
              <w:rPr>
                <w:b/>
              </w:rPr>
            </w:pPr>
            <w:r>
              <w:rPr>
                <w:rFonts w:cs="Calibri"/>
                <w:b/>
                <w:bCs/>
                <w:sz w:val="18"/>
                <w:szCs w:val="18"/>
              </w:rPr>
              <w:t xml:space="preserve">94,318 </w:t>
            </w:r>
          </w:p>
        </w:tc>
        <w:tc>
          <w:tcPr>
            <w:tcW w:w="1182" w:type="dxa"/>
            <w:tcBorders>
              <w:top w:val="nil"/>
              <w:bottom w:val="nil"/>
            </w:tcBorders>
          </w:tcPr>
          <w:p w14:paraId="331F60B5" w14:textId="77777777" w:rsidR="00A60D4B" w:rsidRPr="00037F42" w:rsidRDefault="00A60D4B" w:rsidP="00A60D4B">
            <w:pPr>
              <w:pStyle w:val="Btablefigureunbold"/>
              <w:rPr>
                <w:b/>
              </w:rPr>
            </w:pPr>
            <w:r>
              <w:rPr>
                <w:rFonts w:cs="Calibri"/>
                <w:b/>
                <w:bCs/>
                <w:sz w:val="18"/>
                <w:szCs w:val="18"/>
              </w:rPr>
              <w:t xml:space="preserve">92,596 </w:t>
            </w:r>
          </w:p>
        </w:tc>
      </w:tr>
      <w:tr w:rsidR="00A60D4B" w:rsidRPr="00653BCC" w14:paraId="30A96EF2" w14:textId="77777777" w:rsidTr="00A60D4B">
        <w:trPr>
          <w:trHeight w:val="20"/>
        </w:trPr>
        <w:tc>
          <w:tcPr>
            <w:tcW w:w="2127" w:type="dxa"/>
            <w:tcBorders>
              <w:top w:val="nil"/>
              <w:bottom w:val="nil"/>
            </w:tcBorders>
          </w:tcPr>
          <w:p w14:paraId="53E81BFC" w14:textId="77777777" w:rsidR="00A60D4B" w:rsidRPr="00037F42" w:rsidRDefault="00A60D4B" w:rsidP="00A60D4B">
            <w:pPr>
              <w:pStyle w:val="Btabletextitalic"/>
              <w:rPr>
                <w:b/>
                <w:i w:val="0"/>
              </w:rPr>
            </w:pPr>
            <w:r w:rsidRPr="00037F42">
              <w:rPr>
                <w:rFonts w:cs="Calibri"/>
                <w:b/>
                <w:bCs/>
                <w:i w:val="0"/>
                <w:sz w:val="18"/>
                <w:szCs w:val="18"/>
              </w:rPr>
              <w:t> </w:t>
            </w:r>
          </w:p>
        </w:tc>
        <w:tc>
          <w:tcPr>
            <w:tcW w:w="1181" w:type="dxa"/>
            <w:tcBorders>
              <w:top w:val="nil"/>
              <w:bottom w:val="nil"/>
            </w:tcBorders>
          </w:tcPr>
          <w:p w14:paraId="0A868724" w14:textId="77777777" w:rsidR="00A60D4B" w:rsidRPr="00037F42" w:rsidRDefault="00A60D4B" w:rsidP="00A60D4B">
            <w:pPr>
              <w:pStyle w:val="Btablefigureunbold"/>
              <w:rPr>
                <w:b/>
              </w:rPr>
            </w:pPr>
            <w:r w:rsidRPr="00037F42">
              <w:rPr>
                <w:rFonts w:cs="Calibri"/>
                <w:b/>
                <w:bCs/>
                <w:sz w:val="18"/>
                <w:szCs w:val="18"/>
              </w:rPr>
              <w:t> </w:t>
            </w:r>
          </w:p>
        </w:tc>
        <w:tc>
          <w:tcPr>
            <w:tcW w:w="1181" w:type="dxa"/>
            <w:tcBorders>
              <w:top w:val="nil"/>
              <w:bottom w:val="nil"/>
            </w:tcBorders>
          </w:tcPr>
          <w:p w14:paraId="65FB1577" w14:textId="77777777" w:rsidR="00A60D4B" w:rsidRPr="00037F42" w:rsidRDefault="00A60D4B" w:rsidP="00A60D4B">
            <w:pPr>
              <w:pStyle w:val="Btablefigureunbold"/>
              <w:rPr>
                <w:b/>
              </w:rPr>
            </w:pPr>
            <w:r w:rsidRPr="00037F42">
              <w:rPr>
                <w:rFonts w:cs="Calibri"/>
                <w:b/>
                <w:bCs/>
                <w:sz w:val="18"/>
                <w:szCs w:val="18"/>
              </w:rPr>
              <w:t> </w:t>
            </w:r>
          </w:p>
        </w:tc>
        <w:tc>
          <w:tcPr>
            <w:tcW w:w="1181" w:type="dxa"/>
            <w:tcBorders>
              <w:top w:val="nil"/>
              <w:bottom w:val="nil"/>
            </w:tcBorders>
            <w:shd w:val="clear" w:color="auto" w:fill="auto"/>
          </w:tcPr>
          <w:p w14:paraId="6C736892" w14:textId="77777777" w:rsidR="00A60D4B" w:rsidRPr="00037F42" w:rsidRDefault="00A60D4B" w:rsidP="00A60D4B">
            <w:pPr>
              <w:pStyle w:val="Btablefigureunbold"/>
              <w:rPr>
                <w:b/>
              </w:rPr>
            </w:pPr>
            <w:r w:rsidRPr="00037F42">
              <w:rPr>
                <w:rFonts w:cs="Calibri"/>
                <w:b/>
                <w:bCs/>
                <w:sz w:val="18"/>
                <w:szCs w:val="18"/>
              </w:rPr>
              <w:t> </w:t>
            </w:r>
          </w:p>
        </w:tc>
        <w:tc>
          <w:tcPr>
            <w:tcW w:w="1181" w:type="dxa"/>
            <w:tcBorders>
              <w:top w:val="nil"/>
              <w:bottom w:val="nil"/>
            </w:tcBorders>
            <w:shd w:val="clear" w:color="472D8C" w:fill="auto"/>
          </w:tcPr>
          <w:p w14:paraId="227F89EC" w14:textId="77777777" w:rsidR="00A60D4B" w:rsidRPr="00037F42" w:rsidRDefault="00A60D4B" w:rsidP="00A60D4B">
            <w:pPr>
              <w:pStyle w:val="Btablefigureunbold"/>
              <w:rPr>
                <w:b/>
                <w:color w:val="000000"/>
              </w:rPr>
            </w:pPr>
            <w:r w:rsidRPr="00037F42">
              <w:rPr>
                <w:rFonts w:cs="Calibri"/>
                <w:b/>
                <w:bCs/>
                <w:sz w:val="18"/>
                <w:szCs w:val="18"/>
              </w:rPr>
              <w:t> </w:t>
            </w:r>
          </w:p>
        </w:tc>
        <w:tc>
          <w:tcPr>
            <w:tcW w:w="1181" w:type="dxa"/>
            <w:tcBorders>
              <w:top w:val="nil"/>
              <w:bottom w:val="nil"/>
            </w:tcBorders>
            <w:shd w:val="clear" w:color="auto" w:fill="auto"/>
          </w:tcPr>
          <w:p w14:paraId="11DAF755" w14:textId="77777777" w:rsidR="00A60D4B" w:rsidRPr="00037F42" w:rsidRDefault="00A60D4B" w:rsidP="00A60D4B">
            <w:pPr>
              <w:pStyle w:val="Btablefigureunbold"/>
              <w:rPr>
                <w:b/>
              </w:rPr>
            </w:pPr>
            <w:r w:rsidRPr="00037F42">
              <w:rPr>
                <w:rFonts w:cs="Calibri"/>
                <w:b/>
                <w:bCs/>
                <w:sz w:val="18"/>
                <w:szCs w:val="18"/>
              </w:rPr>
              <w:t> </w:t>
            </w:r>
          </w:p>
        </w:tc>
        <w:tc>
          <w:tcPr>
            <w:tcW w:w="1182" w:type="dxa"/>
            <w:tcBorders>
              <w:top w:val="nil"/>
              <w:bottom w:val="nil"/>
            </w:tcBorders>
          </w:tcPr>
          <w:p w14:paraId="184F2E21" w14:textId="77777777" w:rsidR="00A60D4B" w:rsidRPr="00037F42" w:rsidRDefault="00A60D4B" w:rsidP="00A60D4B">
            <w:pPr>
              <w:pStyle w:val="Btablefigureunbold"/>
              <w:rPr>
                <w:b/>
              </w:rPr>
            </w:pPr>
            <w:r w:rsidRPr="00037F42">
              <w:rPr>
                <w:rFonts w:cs="Calibri"/>
                <w:b/>
                <w:bCs/>
                <w:sz w:val="18"/>
                <w:szCs w:val="18"/>
              </w:rPr>
              <w:t> </w:t>
            </w:r>
          </w:p>
        </w:tc>
      </w:tr>
      <w:tr w:rsidR="00A60D4B" w:rsidRPr="00653BCC" w14:paraId="29D8589C" w14:textId="77777777" w:rsidTr="00A60D4B">
        <w:trPr>
          <w:trHeight w:val="20"/>
        </w:trPr>
        <w:tc>
          <w:tcPr>
            <w:tcW w:w="2127" w:type="dxa"/>
            <w:tcBorders>
              <w:top w:val="nil"/>
              <w:bottom w:val="nil"/>
            </w:tcBorders>
          </w:tcPr>
          <w:p w14:paraId="6F121446" w14:textId="77777777" w:rsidR="00A60D4B" w:rsidRPr="00037F42" w:rsidRDefault="00A60D4B" w:rsidP="00A60D4B">
            <w:pPr>
              <w:pStyle w:val="Btabletextitalic"/>
              <w:rPr>
                <w:rFonts w:cs="Calibri"/>
                <w:b/>
                <w:bCs/>
                <w:i w:val="0"/>
                <w:sz w:val="18"/>
                <w:szCs w:val="18"/>
              </w:rPr>
            </w:pPr>
            <w:r w:rsidRPr="00037F42">
              <w:rPr>
                <w:rFonts w:cs="Calibri"/>
                <w:b/>
                <w:bCs/>
                <w:i w:val="0"/>
                <w:sz w:val="18"/>
                <w:szCs w:val="18"/>
              </w:rPr>
              <w:t>Distributions and Dividends</w:t>
            </w:r>
          </w:p>
        </w:tc>
        <w:tc>
          <w:tcPr>
            <w:tcW w:w="1181" w:type="dxa"/>
            <w:tcBorders>
              <w:top w:val="nil"/>
              <w:bottom w:val="nil"/>
            </w:tcBorders>
          </w:tcPr>
          <w:p w14:paraId="23A0C3E2" w14:textId="77777777" w:rsidR="00A60D4B" w:rsidRPr="00037F42" w:rsidRDefault="00A60D4B" w:rsidP="00A60D4B">
            <w:pPr>
              <w:pStyle w:val="Btablefigureunbold"/>
              <w:rPr>
                <w:rFonts w:cs="Calibri"/>
                <w:sz w:val="18"/>
                <w:szCs w:val="18"/>
              </w:rPr>
            </w:pPr>
            <w:r w:rsidRPr="00037F42">
              <w:rPr>
                <w:rFonts w:cs="Calibri"/>
                <w:b/>
                <w:bCs/>
                <w:sz w:val="18"/>
                <w:szCs w:val="18"/>
              </w:rPr>
              <w:t> </w:t>
            </w:r>
          </w:p>
        </w:tc>
        <w:tc>
          <w:tcPr>
            <w:tcW w:w="1181" w:type="dxa"/>
            <w:tcBorders>
              <w:top w:val="nil"/>
              <w:bottom w:val="nil"/>
            </w:tcBorders>
          </w:tcPr>
          <w:p w14:paraId="698771B7" w14:textId="77777777" w:rsidR="00A60D4B" w:rsidRPr="00037F42" w:rsidRDefault="00A60D4B" w:rsidP="00A60D4B">
            <w:pPr>
              <w:pStyle w:val="Btablefigureunbold"/>
              <w:rPr>
                <w:rFonts w:cs="Calibri"/>
                <w:sz w:val="18"/>
                <w:szCs w:val="18"/>
              </w:rPr>
            </w:pPr>
            <w:r w:rsidRPr="00037F42">
              <w:rPr>
                <w:rFonts w:cs="Calibri"/>
                <w:b/>
                <w:bCs/>
                <w:sz w:val="18"/>
                <w:szCs w:val="18"/>
              </w:rPr>
              <w:t> </w:t>
            </w:r>
          </w:p>
        </w:tc>
        <w:tc>
          <w:tcPr>
            <w:tcW w:w="1181" w:type="dxa"/>
            <w:tcBorders>
              <w:top w:val="nil"/>
              <w:bottom w:val="nil"/>
            </w:tcBorders>
            <w:shd w:val="clear" w:color="auto" w:fill="auto"/>
          </w:tcPr>
          <w:p w14:paraId="0C2277AA" w14:textId="77777777" w:rsidR="00A60D4B" w:rsidRPr="00037F42" w:rsidRDefault="00A60D4B" w:rsidP="00A60D4B">
            <w:pPr>
              <w:pStyle w:val="Btablefigureunbold"/>
              <w:rPr>
                <w:rFonts w:cs="Calibri"/>
                <w:sz w:val="18"/>
                <w:szCs w:val="18"/>
              </w:rPr>
            </w:pPr>
            <w:r w:rsidRPr="00037F42">
              <w:rPr>
                <w:rFonts w:cs="Calibri"/>
                <w:b/>
                <w:bCs/>
                <w:sz w:val="18"/>
                <w:szCs w:val="18"/>
              </w:rPr>
              <w:t> </w:t>
            </w:r>
          </w:p>
        </w:tc>
        <w:tc>
          <w:tcPr>
            <w:tcW w:w="1181" w:type="dxa"/>
            <w:tcBorders>
              <w:top w:val="nil"/>
              <w:bottom w:val="nil"/>
            </w:tcBorders>
            <w:shd w:val="clear" w:color="472D8C" w:fill="auto"/>
          </w:tcPr>
          <w:p w14:paraId="215563BD" w14:textId="77777777" w:rsidR="00A60D4B" w:rsidRPr="00037F42" w:rsidRDefault="00A60D4B" w:rsidP="00A60D4B">
            <w:pPr>
              <w:pStyle w:val="Btablefigureunbold"/>
              <w:rPr>
                <w:rFonts w:cs="Calibri"/>
                <w:sz w:val="18"/>
                <w:szCs w:val="18"/>
              </w:rPr>
            </w:pPr>
            <w:r w:rsidRPr="00037F42">
              <w:rPr>
                <w:rFonts w:cs="Calibri"/>
                <w:b/>
                <w:bCs/>
                <w:sz w:val="18"/>
                <w:szCs w:val="18"/>
              </w:rPr>
              <w:t> </w:t>
            </w:r>
          </w:p>
        </w:tc>
        <w:tc>
          <w:tcPr>
            <w:tcW w:w="1181" w:type="dxa"/>
            <w:tcBorders>
              <w:top w:val="nil"/>
              <w:bottom w:val="nil"/>
            </w:tcBorders>
            <w:shd w:val="clear" w:color="auto" w:fill="auto"/>
          </w:tcPr>
          <w:p w14:paraId="63E01F3A" w14:textId="77777777" w:rsidR="00A60D4B" w:rsidRPr="00037F42" w:rsidRDefault="00A60D4B" w:rsidP="00A60D4B">
            <w:pPr>
              <w:pStyle w:val="Btablefigureunbold"/>
              <w:rPr>
                <w:rFonts w:cs="Calibri"/>
                <w:sz w:val="18"/>
                <w:szCs w:val="18"/>
              </w:rPr>
            </w:pPr>
            <w:r w:rsidRPr="00037F42">
              <w:rPr>
                <w:rFonts w:cs="Calibri"/>
                <w:b/>
                <w:bCs/>
                <w:sz w:val="18"/>
                <w:szCs w:val="18"/>
              </w:rPr>
              <w:t> </w:t>
            </w:r>
          </w:p>
        </w:tc>
        <w:tc>
          <w:tcPr>
            <w:tcW w:w="1182" w:type="dxa"/>
            <w:tcBorders>
              <w:top w:val="nil"/>
              <w:bottom w:val="nil"/>
            </w:tcBorders>
          </w:tcPr>
          <w:p w14:paraId="281ADE8C" w14:textId="77777777" w:rsidR="00A60D4B" w:rsidRPr="00037F42" w:rsidRDefault="00A60D4B" w:rsidP="00A60D4B">
            <w:pPr>
              <w:pStyle w:val="Btablefigureunbold"/>
              <w:rPr>
                <w:rFonts w:cs="Calibri"/>
                <w:sz w:val="18"/>
                <w:szCs w:val="18"/>
              </w:rPr>
            </w:pPr>
            <w:r w:rsidRPr="00037F42">
              <w:rPr>
                <w:rFonts w:cs="Calibri"/>
                <w:b/>
                <w:bCs/>
                <w:sz w:val="18"/>
                <w:szCs w:val="18"/>
              </w:rPr>
              <w:t> </w:t>
            </w:r>
          </w:p>
        </w:tc>
      </w:tr>
      <w:tr w:rsidR="00A60D4B" w:rsidRPr="00653BCC" w14:paraId="063AAF35" w14:textId="77777777" w:rsidTr="00A60D4B">
        <w:trPr>
          <w:trHeight w:val="20"/>
        </w:trPr>
        <w:tc>
          <w:tcPr>
            <w:tcW w:w="2127" w:type="dxa"/>
            <w:tcBorders>
              <w:top w:val="nil"/>
              <w:bottom w:val="nil"/>
            </w:tcBorders>
          </w:tcPr>
          <w:p w14:paraId="6BCC118A" w14:textId="77777777" w:rsidR="00A60D4B" w:rsidRPr="00037F42" w:rsidRDefault="00A60D4B" w:rsidP="00A60D4B">
            <w:pPr>
              <w:pStyle w:val="Btabletextitalic"/>
              <w:rPr>
                <w:rFonts w:cs="Calibri"/>
                <w:i w:val="0"/>
                <w:sz w:val="18"/>
                <w:szCs w:val="18"/>
              </w:rPr>
            </w:pPr>
            <w:r w:rsidRPr="00037F42">
              <w:rPr>
                <w:rFonts w:cs="Calibri"/>
                <w:i w:val="0"/>
                <w:sz w:val="18"/>
                <w:szCs w:val="18"/>
              </w:rPr>
              <w:t>Distributions from Financial Investments</w:t>
            </w:r>
          </w:p>
        </w:tc>
        <w:tc>
          <w:tcPr>
            <w:tcW w:w="1181" w:type="dxa"/>
            <w:tcBorders>
              <w:top w:val="nil"/>
              <w:bottom w:val="nil"/>
            </w:tcBorders>
          </w:tcPr>
          <w:p w14:paraId="0EC9D62B" w14:textId="77777777" w:rsidR="00A60D4B" w:rsidRPr="00037F42" w:rsidRDefault="00A60D4B" w:rsidP="00A60D4B">
            <w:pPr>
              <w:pStyle w:val="Btablefigureunbold"/>
              <w:rPr>
                <w:rFonts w:cs="Calibri"/>
                <w:sz w:val="18"/>
                <w:szCs w:val="18"/>
              </w:rPr>
            </w:pPr>
            <w:r>
              <w:rPr>
                <w:rFonts w:cs="Calibri"/>
                <w:sz w:val="18"/>
                <w:szCs w:val="18"/>
              </w:rPr>
              <w:t xml:space="preserve">72,205 </w:t>
            </w:r>
          </w:p>
        </w:tc>
        <w:tc>
          <w:tcPr>
            <w:tcW w:w="1181" w:type="dxa"/>
            <w:tcBorders>
              <w:top w:val="nil"/>
              <w:bottom w:val="nil"/>
            </w:tcBorders>
          </w:tcPr>
          <w:p w14:paraId="7029ECFC" w14:textId="77777777" w:rsidR="00A60D4B" w:rsidRPr="00037F42" w:rsidRDefault="00A60D4B" w:rsidP="00A60D4B">
            <w:pPr>
              <w:pStyle w:val="Btablefigureunbold"/>
              <w:rPr>
                <w:rFonts w:cs="Calibri"/>
                <w:sz w:val="18"/>
                <w:szCs w:val="18"/>
              </w:rPr>
            </w:pPr>
            <w:r>
              <w:rPr>
                <w:rFonts w:cs="Calibri"/>
                <w:sz w:val="18"/>
                <w:szCs w:val="18"/>
              </w:rPr>
              <w:t xml:space="preserve">116,031 </w:t>
            </w:r>
          </w:p>
        </w:tc>
        <w:tc>
          <w:tcPr>
            <w:tcW w:w="1181" w:type="dxa"/>
            <w:tcBorders>
              <w:top w:val="nil"/>
              <w:bottom w:val="nil"/>
            </w:tcBorders>
            <w:shd w:val="clear" w:color="auto" w:fill="auto"/>
          </w:tcPr>
          <w:p w14:paraId="137576B0" w14:textId="77777777" w:rsidR="00A60D4B" w:rsidRPr="00037F42" w:rsidRDefault="00A60D4B" w:rsidP="00A60D4B">
            <w:pPr>
              <w:pStyle w:val="Btablefigureunbold"/>
              <w:rPr>
                <w:rFonts w:cs="Calibri"/>
                <w:sz w:val="18"/>
                <w:szCs w:val="18"/>
              </w:rPr>
            </w:pPr>
            <w:r>
              <w:rPr>
                <w:rFonts w:cs="Calibri"/>
                <w:sz w:val="18"/>
                <w:szCs w:val="18"/>
              </w:rPr>
              <w:t xml:space="preserve">67,608 </w:t>
            </w:r>
          </w:p>
        </w:tc>
        <w:tc>
          <w:tcPr>
            <w:tcW w:w="1181" w:type="dxa"/>
            <w:tcBorders>
              <w:top w:val="nil"/>
              <w:bottom w:val="nil"/>
            </w:tcBorders>
            <w:shd w:val="clear" w:color="472D8C" w:fill="auto"/>
          </w:tcPr>
          <w:p w14:paraId="1C56EA39" w14:textId="77777777" w:rsidR="00A60D4B" w:rsidRPr="00037F42" w:rsidRDefault="00A60D4B" w:rsidP="00A60D4B">
            <w:pPr>
              <w:pStyle w:val="Btablefigureunbold"/>
              <w:rPr>
                <w:rFonts w:cs="Calibri"/>
                <w:sz w:val="18"/>
                <w:szCs w:val="18"/>
              </w:rPr>
            </w:pPr>
            <w:r>
              <w:rPr>
                <w:rFonts w:cs="Calibri"/>
                <w:sz w:val="18"/>
                <w:szCs w:val="18"/>
              </w:rPr>
              <w:t xml:space="preserve">74,653 </w:t>
            </w:r>
          </w:p>
        </w:tc>
        <w:tc>
          <w:tcPr>
            <w:tcW w:w="1181" w:type="dxa"/>
            <w:tcBorders>
              <w:top w:val="nil"/>
              <w:bottom w:val="nil"/>
            </w:tcBorders>
            <w:shd w:val="clear" w:color="auto" w:fill="auto"/>
          </w:tcPr>
          <w:p w14:paraId="4D644D98" w14:textId="77777777" w:rsidR="00A60D4B" w:rsidRPr="00037F42" w:rsidRDefault="00A60D4B" w:rsidP="00A60D4B">
            <w:pPr>
              <w:pStyle w:val="Btablefigureunbold"/>
              <w:rPr>
                <w:rFonts w:cs="Calibri"/>
                <w:sz w:val="18"/>
                <w:szCs w:val="18"/>
              </w:rPr>
            </w:pPr>
            <w:r>
              <w:rPr>
                <w:rFonts w:cs="Calibri"/>
                <w:sz w:val="18"/>
                <w:szCs w:val="18"/>
              </w:rPr>
              <w:t xml:space="preserve">79,854 </w:t>
            </w:r>
          </w:p>
        </w:tc>
        <w:tc>
          <w:tcPr>
            <w:tcW w:w="1182" w:type="dxa"/>
            <w:tcBorders>
              <w:top w:val="nil"/>
              <w:bottom w:val="nil"/>
            </w:tcBorders>
          </w:tcPr>
          <w:p w14:paraId="1C01A599" w14:textId="77777777" w:rsidR="00A60D4B" w:rsidRPr="00037F42" w:rsidRDefault="00A60D4B" w:rsidP="00A60D4B">
            <w:pPr>
              <w:pStyle w:val="Btablefigureunbold"/>
              <w:rPr>
                <w:rFonts w:cs="Calibri"/>
                <w:sz w:val="18"/>
                <w:szCs w:val="18"/>
              </w:rPr>
            </w:pPr>
            <w:r>
              <w:rPr>
                <w:rFonts w:cs="Calibri"/>
                <w:sz w:val="18"/>
                <w:szCs w:val="18"/>
              </w:rPr>
              <w:t xml:space="preserve">85,361 </w:t>
            </w:r>
          </w:p>
        </w:tc>
      </w:tr>
      <w:tr w:rsidR="00A60D4B" w:rsidRPr="00653BCC" w14:paraId="617D7736" w14:textId="77777777" w:rsidTr="00A60D4B">
        <w:trPr>
          <w:trHeight w:val="20"/>
        </w:trPr>
        <w:tc>
          <w:tcPr>
            <w:tcW w:w="2127" w:type="dxa"/>
            <w:tcBorders>
              <w:top w:val="nil"/>
              <w:bottom w:val="nil"/>
            </w:tcBorders>
          </w:tcPr>
          <w:p w14:paraId="146048D1" w14:textId="77777777" w:rsidR="00A60D4B" w:rsidRPr="00037F42" w:rsidRDefault="00A60D4B" w:rsidP="00A60D4B">
            <w:pPr>
              <w:pStyle w:val="Btabletextitalic"/>
              <w:rPr>
                <w:rFonts w:cs="Calibri"/>
                <w:i w:val="0"/>
                <w:sz w:val="18"/>
                <w:szCs w:val="18"/>
              </w:rPr>
            </w:pPr>
            <w:r w:rsidRPr="00037F42">
              <w:rPr>
                <w:rFonts w:cs="Calibri"/>
                <w:i w:val="0"/>
                <w:sz w:val="18"/>
                <w:szCs w:val="18"/>
              </w:rPr>
              <w:t>Dividends from Financial Investments</w:t>
            </w:r>
          </w:p>
        </w:tc>
        <w:tc>
          <w:tcPr>
            <w:tcW w:w="1181" w:type="dxa"/>
            <w:tcBorders>
              <w:top w:val="nil"/>
              <w:bottom w:val="nil"/>
            </w:tcBorders>
          </w:tcPr>
          <w:p w14:paraId="4CD6351E" w14:textId="77777777" w:rsidR="00A60D4B" w:rsidRPr="00037F42" w:rsidRDefault="00A60D4B" w:rsidP="00A60D4B">
            <w:pPr>
              <w:pStyle w:val="Btablefigureunbold"/>
              <w:rPr>
                <w:rFonts w:cs="Calibri"/>
                <w:sz w:val="18"/>
                <w:szCs w:val="18"/>
              </w:rPr>
            </w:pPr>
            <w:r>
              <w:rPr>
                <w:rFonts w:cs="Calibri"/>
                <w:sz w:val="18"/>
                <w:szCs w:val="18"/>
              </w:rPr>
              <w:t xml:space="preserve">59,633 </w:t>
            </w:r>
          </w:p>
        </w:tc>
        <w:tc>
          <w:tcPr>
            <w:tcW w:w="1181" w:type="dxa"/>
            <w:tcBorders>
              <w:top w:val="nil"/>
              <w:bottom w:val="nil"/>
            </w:tcBorders>
          </w:tcPr>
          <w:p w14:paraId="50C0ACC5" w14:textId="77777777" w:rsidR="00A60D4B" w:rsidRPr="00037F42" w:rsidRDefault="00A60D4B" w:rsidP="00A60D4B">
            <w:pPr>
              <w:pStyle w:val="Btablefigureunbold"/>
              <w:rPr>
                <w:rFonts w:cs="Calibri"/>
                <w:sz w:val="18"/>
                <w:szCs w:val="18"/>
              </w:rPr>
            </w:pPr>
            <w:r>
              <w:rPr>
                <w:rFonts w:cs="Calibri"/>
                <w:sz w:val="18"/>
                <w:szCs w:val="18"/>
              </w:rPr>
              <w:t xml:space="preserve">58,171 </w:t>
            </w:r>
          </w:p>
        </w:tc>
        <w:tc>
          <w:tcPr>
            <w:tcW w:w="1181" w:type="dxa"/>
            <w:tcBorders>
              <w:top w:val="nil"/>
              <w:bottom w:val="nil"/>
            </w:tcBorders>
            <w:shd w:val="clear" w:color="auto" w:fill="auto"/>
          </w:tcPr>
          <w:p w14:paraId="0AB0D87D" w14:textId="77777777" w:rsidR="00A60D4B" w:rsidRPr="00037F42" w:rsidRDefault="00A60D4B" w:rsidP="00A60D4B">
            <w:pPr>
              <w:pStyle w:val="Btablefigureunbold"/>
              <w:rPr>
                <w:rFonts w:cs="Calibri"/>
                <w:sz w:val="18"/>
                <w:szCs w:val="18"/>
              </w:rPr>
            </w:pPr>
            <w:r>
              <w:rPr>
                <w:rFonts w:cs="Calibri"/>
                <w:sz w:val="18"/>
                <w:szCs w:val="18"/>
              </w:rPr>
              <w:t xml:space="preserve">79,137 </w:t>
            </w:r>
          </w:p>
        </w:tc>
        <w:tc>
          <w:tcPr>
            <w:tcW w:w="1181" w:type="dxa"/>
            <w:tcBorders>
              <w:top w:val="nil"/>
              <w:bottom w:val="nil"/>
            </w:tcBorders>
            <w:shd w:val="clear" w:color="472D8C" w:fill="auto"/>
          </w:tcPr>
          <w:p w14:paraId="3D6DDB7F" w14:textId="77777777" w:rsidR="00A60D4B" w:rsidRPr="00037F42" w:rsidRDefault="00A60D4B" w:rsidP="00A60D4B">
            <w:pPr>
              <w:pStyle w:val="Btablefigureunbold"/>
              <w:rPr>
                <w:rFonts w:cs="Calibri"/>
                <w:sz w:val="18"/>
                <w:szCs w:val="18"/>
              </w:rPr>
            </w:pPr>
            <w:r>
              <w:rPr>
                <w:rFonts w:cs="Calibri"/>
                <w:sz w:val="18"/>
                <w:szCs w:val="18"/>
              </w:rPr>
              <w:t xml:space="preserve">86,920 </w:t>
            </w:r>
          </w:p>
        </w:tc>
        <w:tc>
          <w:tcPr>
            <w:tcW w:w="1181" w:type="dxa"/>
            <w:tcBorders>
              <w:top w:val="nil"/>
              <w:bottom w:val="nil"/>
            </w:tcBorders>
            <w:shd w:val="clear" w:color="auto" w:fill="auto"/>
          </w:tcPr>
          <w:p w14:paraId="3A8A77CB" w14:textId="77777777" w:rsidR="00A60D4B" w:rsidRPr="00037F42" w:rsidRDefault="00A60D4B" w:rsidP="00A60D4B">
            <w:pPr>
              <w:pStyle w:val="Btablefigureunbold"/>
              <w:rPr>
                <w:rFonts w:cs="Calibri"/>
                <w:sz w:val="18"/>
                <w:szCs w:val="18"/>
              </w:rPr>
            </w:pPr>
            <w:r>
              <w:rPr>
                <w:rFonts w:cs="Calibri"/>
                <w:sz w:val="18"/>
                <w:szCs w:val="18"/>
              </w:rPr>
              <w:t xml:space="preserve">93,040 </w:t>
            </w:r>
          </w:p>
        </w:tc>
        <w:tc>
          <w:tcPr>
            <w:tcW w:w="1182" w:type="dxa"/>
            <w:tcBorders>
              <w:top w:val="nil"/>
              <w:bottom w:val="nil"/>
            </w:tcBorders>
          </w:tcPr>
          <w:p w14:paraId="6D228CB9" w14:textId="77777777" w:rsidR="00A60D4B" w:rsidRPr="00037F42" w:rsidRDefault="00A60D4B" w:rsidP="00A60D4B">
            <w:pPr>
              <w:pStyle w:val="Btablefigureunbold"/>
              <w:rPr>
                <w:rFonts w:cs="Calibri"/>
                <w:sz w:val="18"/>
                <w:szCs w:val="18"/>
              </w:rPr>
            </w:pPr>
            <w:r>
              <w:rPr>
                <w:rFonts w:cs="Calibri"/>
                <w:sz w:val="18"/>
                <w:szCs w:val="18"/>
              </w:rPr>
              <w:t xml:space="preserve">99,519 </w:t>
            </w:r>
          </w:p>
        </w:tc>
      </w:tr>
      <w:tr w:rsidR="00A60D4B" w:rsidRPr="00653BCC" w14:paraId="025992F0" w14:textId="77777777" w:rsidTr="00A60D4B">
        <w:trPr>
          <w:trHeight w:val="20"/>
        </w:trPr>
        <w:tc>
          <w:tcPr>
            <w:tcW w:w="2127" w:type="dxa"/>
            <w:tcBorders>
              <w:top w:val="nil"/>
              <w:bottom w:val="nil"/>
            </w:tcBorders>
          </w:tcPr>
          <w:p w14:paraId="255342F0" w14:textId="77777777" w:rsidR="00A60D4B" w:rsidRPr="00037F42" w:rsidRDefault="00A60D4B" w:rsidP="00A60D4B">
            <w:pPr>
              <w:pStyle w:val="Btabletextitalic"/>
              <w:rPr>
                <w:rFonts w:cs="Calibri"/>
                <w:i w:val="0"/>
                <w:sz w:val="18"/>
                <w:szCs w:val="18"/>
              </w:rPr>
            </w:pPr>
            <w:r w:rsidRPr="00037F42">
              <w:rPr>
                <w:rFonts w:cs="Calibri"/>
                <w:b/>
                <w:bCs/>
                <w:i w:val="0"/>
                <w:sz w:val="18"/>
                <w:szCs w:val="18"/>
              </w:rPr>
              <w:t>Total Dividends and Distributions</w:t>
            </w:r>
          </w:p>
        </w:tc>
        <w:tc>
          <w:tcPr>
            <w:tcW w:w="1181" w:type="dxa"/>
            <w:tcBorders>
              <w:top w:val="nil"/>
              <w:bottom w:val="nil"/>
            </w:tcBorders>
          </w:tcPr>
          <w:p w14:paraId="063BAF62" w14:textId="77777777" w:rsidR="00A60D4B" w:rsidRPr="00037F42" w:rsidRDefault="00A60D4B" w:rsidP="00A60D4B">
            <w:pPr>
              <w:pStyle w:val="Btablefigureunbold"/>
              <w:rPr>
                <w:rFonts w:cs="Calibri"/>
                <w:sz w:val="18"/>
                <w:szCs w:val="18"/>
              </w:rPr>
            </w:pPr>
            <w:r>
              <w:rPr>
                <w:rFonts w:cs="Calibri"/>
                <w:b/>
                <w:bCs/>
                <w:sz w:val="18"/>
                <w:szCs w:val="18"/>
              </w:rPr>
              <w:t xml:space="preserve">131,838 </w:t>
            </w:r>
          </w:p>
        </w:tc>
        <w:tc>
          <w:tcPr>
            <w:tcW w:w="1181" w:type="dxa"/>
            <w:tcBorders>
              <w:top w:val="nil"/>
              <w:bottom w:val="nil"/>
            </w:tcBorders>
          </w:tcPr>
          <w:p w14:paraId="3AC3ECF0" w14:textId="77777777" w:rsidR="00A60D4B" w:rsidRPr="00037F42" w:rsidRDefault="00A60D4B" w:rsidP="00A60D4B">
            <w:pPr>
              <w:pStyle w:val="Btablefigureunbold"/>
              <w:rPr>
                <w:rFonts w:cs="Calibri"/>
                <w:sz w:val="18"/>
                <w:szCs w:val="18"/>
              </w:rPr>
            </w:pPr>
            <w:r>
              <w:rPr>
                <w:rFonts w:cs="Calibri"/>
                <w:b/>
                <w:bCs/>
                <w:sz w:val="18"/>
                <w:szCs w:val="18"/>
              </w:rPr>
              <w:t xml:space="preserve">174,201 </w:t>
            </w:r>
          </w:p>
        </w:tc>
        <w:tc>
          <w:tcPr>
            <w:tcW w:w="1181" w:type="dxa"/>
            <w:tcBorders>
              <w:top w:val="nil"/>
              <w:bottom w:val="nil"/>
            </w:tcBorders>
            <w:shd w:val="clear" w:color="auto" w:fill="auto"/>
          </w:tcPr>
          <w:p w14:paraId="09657EB8" w14:textId="77777777" w:rsidR="00A60D4B" w:rsidRPr="00037F42" w:rsidRDefault="00A60D4B" w:rsidP="00A60D4B">
            <w:pPr>
              <w:pStyle w:val="Btablefigureunbold"/>
              <w:rPr>
                <w:rFonts w:cs="Calibri"/>
                <w:sz w:val="18"/>
                <w:szCs w:val="18"/>
              </w:rPr>
            </w:pPr>
            <w:r>
              <w:rPr>
                <w:rFonts w:cs="Calibri"/>
                <w:b/>
                <w:bCs/>
                <w:sz w:val="18"/>
                <w:szCs w:val="18"/>
              </w:rPr>
              <w:t xml:space="preserve">146,745 </w:t>
            </w:r>
          </w:p>
        </w:tc>
        <w:tc>
          <w:tcPr>
            <w:tcW w:w="1181" w:type="dxa"/>
            <w:tcBorders>
              <w:top w:val="nil"/>
              <w:bottom w:val="nil"/>
            </w:tcBorders>
            <w:shd w:val="clear" w:color="472D8C" w:fill="auto"/>
          </w:tcPr>
          <w:p w14:paraId="15BB0FEB" w14:textId="77777777" w:rsidR="00A60D4B" w:rsidRPr="00037F42" w:rsidRDefault="00A60D4B" w:rsidP="00A60D4B">
            <w:pPr>
              <w:pStyle w:val="Btablefigureunbold"/>
              <w:rPr>
                <w:rFonts w:cs="Calibri"/>
                <w:sz w:val="18"/>
                <w:szCs w:val="18"/>
              </w:rPr>
            </w:pPr>
            <w:r>
              <w:rPr>
                <w:rFonts w:cs="Calibri"/>
                <w:b/>
                <w:bCs/>
                <w:sz w:val="18"/>
                <w:szCs w:val="18"/>
              </w:rPr>
              <w:t xml:space="preserve">161,573 </w:t>
            </w:r>
          </w:p>
        </w:tc>
        <w:tc>
          <w:tcPr>
            <w:tcW w:w="1181" w:type="dxa"/>
            <w:tcBorders>
              <w:top w:val="nil"/>
              <w:bottom w:val="nil"/>
            </w:tcBorders>
            <w:shd w:val="clear" w:color="auto" w:fill="auto"/>
          </w:tcPr>
          <w:p w14:paraId="445E7141" w14:textId="77777777" w:rsidR="00A60D4B" w:rsidRPr="00037F42" w:rsidRDefault="00A60D4B" w:rsidP="00A60D4B">
            <w:pPr>
              <w:pStyle w:val="Btablefigureunbold"/>
              <w:rPr>
                <w:rFonts w:cs="Calibri"/>
                <w:sz w:val="18"/>
                <w:szCs w:val="18"/>
              </w:rPr>
            </w:pPr>
            <w:r>
              <w:rPr>
                <w:rFonts w:cs="Calibri"/>
                <w:b/>
                <w:bCs/>
                <w:sz w:val="18"/>
                <w:szCs w:val="18"/>
              </w:rPr>
              <w:t xml:space="preserve">172,894 </w:t>
            </w:r>
          </w:p>
        </w:tc>
        <w:tc>
          <w:tcPr>
            <w:tcW w:w="1182" w:type="dxa"/>
            <w:tcBorders>
              <w:top w:val="nil"/>
              <w:bottom w:val="nil"/>
            </w:tcBorders>
          </w:tcPr>
          <w:p w14:paraId="762B9E01" w14:textId="77777777" w:rsidR="00A60D4B" w:rsidRPr="00037F42" w:rsidRDefault="00A60D4B" w:rsidP="00A60D4B">
            <w:pPr>
              <w:pStyle w:val="Btablefigureunbold"/>
              <w:rPr>
                <w:rFonts w:cs="Calibri"/>
                <w:sz w:val="18"/>
                <w:szCs w:val="18"/>
              </w:rPr>
            </w:pPr>
            <w:r>
              <w:rPr>
                <w:rFonts w:cs="Calibri"/>
                <w:b/>
                <w:bCs/>
                <w:sz w:val="18"/>
                <w:szCs w:val="18"/>
              </w:rPr>
              <w:t xml:space="preserve">184,880 </w:t>
            </w:r>
          </w:p>
        </w:tc>
      </w:tr>
      <w:tr w:rsidR="00A60D4B" w:rsidRPr="00337DC9" w14:paraId="4DDCEC94" w14:textId="77777777" w:rsidTr="00A60D4B">
        <w:trPr>
          <w:trHeight w:val="227"/>
        </w:trPr>
        <w:tc>
          <w:tcPr>
            <w:tcW w:w="2127" w:type="dxa"/>
            <w:tcBorders>
              <w:top w:val="single" w:sz="4" w:space="0" w:color="auto"/>
              <w:bottom w:val="single" w:sz="4" w:space="0" w:color="auto"/>
            </w:tcBorders>
          </w:tcPr>
          <w:p w14:paraId="4166BD5B" w14:textId="77777777" w:rsidR="00A60D4B" w:rsidRPr="00DC6089" w:rsidRDefault="00A60D4B" w:rsidP="00A60D4B">
            <w:pPr>
              <w:pStyle w:val="Btabletextbolditalic"/>
              <w:rPr>
                <w:i w:val="0"/>
                <w:iCs/>
                <w:color w:val="472D8C"/>
              </w:rPr>
            </w:pPr>
            <w:r w:rsidRPr="00DC6089">
              <w:rPr>
                <w:rFonts w:cs="Calibri"/>
                <w:i w:val="0"/>
                <w:iCs/>
                <w:color w:val="472D8C"/>
                <w:sz w:val="18"/>
                <w:szCs w:val="18"/>
              </w:rPr>
              <w:t>Total Investment Revenue</w:t>
            </w:r>
          </w:p>
        </w:tc>
        <w:tc>
          <w:tcPr>
            <w:tcW w:w="1181" w:type="dxa"/>
            <w:tcBorders>
              <w:top w:val="single" w:sz="4" w:space="0" w:color="auto"/>
              <w:bottom w:val="single" w:sz="4" w:space="0" w:color="auto"/>
            </w:tcBorders>
          </w:tcPr>
          <w:p w14:paraId="1D7B206F" w14:textId="77777777" w:rsidR="00A60D4B" w:rsidRPr="00DC6089" w:rsidRDefault="00A60D4B" w:rsidP="00A60D4B">
            <w:pPr>
              <w:pStyle w:val="Btablefigureunbold"/>
              <w:rPr>
                <w:b/>
                <w:iCs/>
                <w:color w:val="472D8C"/>
              </w:rPr>
            </w:pPr>
            <w:r w:rsidRPr="00DC6089">
              <w:rPr>
                <w:rFonts w:cs="Calibri"/>
                <w:b/>
                <w:bCs/>
                <w:color w:val="472D8C"/>
                <w:sz w:val="18"/>
                <w:szCs w:val="18"/>
              </w:rPr>
              <w:t xml:space="preserve">218,819 </w:t>
            </w:r>
          </w:p>
        </w:tc>
        <w:tc>
          <w:tcPr>
            <w:tcW w:w="1181" w:type="dxa"/>
            <w:tcBorders>
              <w:top w:val="single" w:sz="4" w:space="0" w:color="auto"/>
              <w:bottom w:val="single" w:sz="4" w:space="0" w:color="auto"/>
            </w:tcBorders>
          </w:tcPr>
          <w:p w14:paraId="1797FAAC" w14:textId="77777777" w:rsidR="00A60D4B" w:rsidRPr="00DC6089" w:rsidRDefault="00A60D4B" w:rsidP="00A60D4B">
            <w:pPr>
              <w:pStyle w:val="Btablefigureunbold"/>
              <w:rPr>
                <w:b/>
                <w:iCs/>
                <w:color w:val="472D8C"/>
              </w:rPr>
            </w:pPr>
            <w:r w:rsidRPr="00DC6089">
              <w:rPr>
                <w:rFonts w:cs="Calibri"/>
                <w:b/>
                <w:bCs/>
                <w:color w:val="472D8C"/>
                <w:sz w:val="18"/>
                <w:szCs w:val="18"/>
              </w:rPr>
              <w:t xml:space="preserve">262,161 </w:t>
            </w:r>
          </w:p>
        </w:tc>
        <w:tc>
          <w:tcPr>
            <w:tcW w:w="1181" w:type="dxa"/>
            <w:tcBorders>
              <w:top w:val="single" w:sz="4" w:space="0" w:color="auto"/>
              <w:bottom w:val="single" w:sz="4" w:space="0" w:color="auto"/>
            </w:tcBorders>
            <w:shd w:val="clear" w:color="auto" w:fill="auto"/>
          </w:tcPr>
          <w:p w14:paraId="3C7862BD" w14:textId="77777777" w:rsidR="00A60D4B" w:rsidRPr="00DC6089" w:rsidRDefault="00A60D4B" w:rsidP="00A60D4B">
            <w:pPr>
              <w:pStyle w:val="Btablefigureunbold"/>
              <w:rPr>
                <w:b/>
                <w:iCs/>
                <w:color w:val="472D8C"/>
              </w:rPr>
            </w:pPr>
            <w:r w:rsidRPr="00DC6089">
              <w:rPr>
                <w:rFonts w:cs="Calibri"/>
                <w:b/>
                <w:bCs/>
                <w:color w:val="472D8C"/>
                <w:sz w:val="18"/>
                <w:szCs w:val="18"/>
              </w:rPr>
              <w:t xml:space="preserve">245,643 </w:t>
            </w:r>
          </w:p>
        </w:tc>
        <w:tc>
          <w:tcPr>
            <w:tcW w:w="1181" w:type="dxa"/>
            <w:tcBorders>
              <w:top w:val="single" w:sz="4" w:space="0" w:color="auto"/>
              <w:bottom w:val="single" w:sz="4" w:space="0" w:color="auto"/>
            </w:tcBorders>
            <w:shd w:val="clear" w:color="472D8C" w:fill="auto"/>
          </w:tcPr>
          <w:p w14:paraId="7170C6B9" w14:textId="77777777" w:rsidR="00A60D4B" w:rsidRPr="00DC6089" w:rsidRDefault="00A60D4B" w:rsidP="00A60D4B">
            <w:pPr>
              <w:pStyle w:val="Btablefigureunbold"/>
              <w:rPr>
                <w:b/>
                <w:iCs/>
                <w:color w:val="472D8C"/>
              </w:rPr>
            </w:pPr>
            <w:r w:rsidRPr="00DC6089">
              <w:rPr>
                <w:rFonts w:cs="Calibri"/>
                <w:b/>
                <w:bCs/>
                <w:color w:val="472D8C"/>
                <w:sz w:val="18"/>
                <w:szCs w:val="18"/>
              </w:rPr>
              <w:t xml:space="preserve">259,847 </w:t>
            </w:r>
          </w:p>
        </w:tc>
        <w:tc>
          <w:tcPr>
            <w:tcW w:w="1181" w:type="dxa"/>
            <w:tcBorders>
              <w:top w:val="single" w:sz="4" w:space="0" w:color="auto"/>
              <w:bottom w:val="single" w:sz="4" w:space="0" w:color="auto"/>
            </w:tcBorders>
            <w:shd w:val="clear" w:color="auto" w:fill="auto"/>
          </w:tcPr>
          <w:p w14:paraId="0E848DCA" w14:textId="77777777" w:rsidR="00A60D4B" w:rsidRPr="00DC6089" w:rsidRDefault="00A60D4B" w:rsidP="00A60D4B">
            <w:pPr>
              <w:pStyle w:val="Btablefigureunbold"/>
              <w:rPr>
                <w:b/>
                <w:iCs/>
                <w:color w:val="472D8C"/>
              </w:rPr>
            </w:pPr>
            <w:r w:rsidRPr="00DC6089">
              <w:rPr>
                <w:rFonts w:cs="Calibri"/>
                <w:b/>
                <w:bCs/>
                <w:color w:val="472D8C"/>
                <w:sz w:val="18"/>
                <w:szCs w:val="18"/>
              </w:rPr>
              <w:t xml:space="preserve">267,212 </w:t>
            </w:r>
          </w:p>
        </w:tc>
        <w:tc>
          <w:tcPr>
            <w:tcW w:w="1182" w:type="dxa"/>
            <w:tcBorders>
              <w:top w:val="single" w:sz="4" w:space="0" w:color="auto"/>
              <w:bottom w:val="single" w:sz="4" w:space="0" w:color="auto"/>
            </w:tcBorders>
          </w:tcPr>
          <w:p w14:paraId="0E402520" w14:textId="77777777" w:rsidR="00A60D4B" w:rsidRPr="00DC6089" w:rsidRDefault="00A60D4B" w:rsidP="00A60D4B">
            <w:pPr>
              <w:pStyle w:val="Btablefigureunbold"/>
              <w:rPr>
                <w:b/>
                <w:iCs/>
                <w:color w:val="472D8C"/>
              </w:rPr>
            </w:pPr>
            <w:r w:rsidRPr="00DC6089">
              <w:rPr>
                <w:rFonts w:cs="Calibri"/>
                <w:b/>
                <w:bCs/>
                <w:color w:val="472D8C"/>
                <w:sz w:val="18"/>
                <w:szCs w:val="18"/>
              </w:rPr>
              <w:t xml:space="preserve">277,476 </w:t>
            </w:r>
          </w:p>
        </w:tc>
      </w:tr>
    </w:tbl>
    <w:p w14:paraId="2F6CCD32" w14:textId="77777777" w:rsidR="00A60D4B" w:rsidRPr="00BF584B" w:rsidRDefault="00A60D4B" w:rsidP="00A60D4B">
      <w:pPr>
        <w:pStyle w:val="Heading3"/>
      </w:pPr>
      <w:bookmarkStart w:id="94" w:name="_Toc63586680"/>
      <w:bookmarkStart w:id="95" w:name="_Toc62206644"/>
      <w:r w:rsidRPr="00BF584B">
        <w:t>Dividends and tax equivalents</w:t>
      </w:r>
      <w:bookmarkEnd w:id="94"/>
      <w:r w:rsidRPr="00BF584B">
        <w:t xml:space="preserve"> </w:t>
      </w:r>
      <w:bookmarkStart w:id="96" w:name="_Hlk49143272"/>
      <w:bookmarkEnd w:id="95"/>
    </w:p>
    <w:p w14:paraId="7C08D26C" w14:textId="77777777" w:rsidR="00A60D4B" w:rsidRPr="00BF584B" w:rsidRDefault="00A60D4B" w:rsidP="00A60D4B">
      <w:pPr>
        <w:pStyle w:val="Bbodytext"/>
      </w:pPr>
      <w:r>
        <w:t xml:space="preserve">Dividends and tax equivalents revenue are estimated to decline to $252.5 million in 2021-22 from the interim outcome of $463.0 million in 2020-21. They are expected to fall further to $237.6 million in 2022-23 and $92.8 million in 2023-24. These reductions are primarily due to the </w:t>
      </w:r>
      <w:r w:rsidRPr="0BC331E1">
        <w:rPr>
          <w:rFonts w:ascii="Calibri" w:hAnsi="Calibri" w:cs="Calibri"/>
        </w:rPr>
        <w:t>Suburban Land Agency’s dividends and tax equivalents revenue</w:t>
      </w:r>
      <w:r>
        <w:t xml:space="preserve">. </w:t>
      </w:r>
    </w:p>
    <w:bookmarkEnd w:id="96"/>
    <w:p w14:paraId="797D8293" w14:textId="77777777" w:rsidR="00A60D4B" w:rsidRPr="007B1905" w:rsidRDefault="00A60D4B" w:rsidP="00A60D4B">
      <w:pPr>
        <w:pStyle w:val="Bbodytext"/>
      </w:pPr>
      <w:r w:rsidRPr="007B1905">
        <w:rPr>
          <w:rFonts w:ascii="Calibri" w:hAnsi="Calibri" w:cs="Calibri"/>
          <w:szCs w:val="24"/>
        </w:rPr>
        <w:t>The Suburban Land Agency’s dividends and tax equivalents revenue was $99.3 million in 2019-20 and is estimated to increase significantly to $</w:t>
      </w:r>
      <w:r>
        <w:rPr>
          <w:rFonts w:ascii="Calibri" w:hAnsi="Calibri" w:cs="Calibri"/>
          <w:szCs w:val="24"/>
        </w:rPr>
        <w:t>406.2</w:t>
      </w:r>
      <w:r w:rsidRPr="007B1905">
        <w:rPr>
          <w:rFonts w:ascii="Calibri" w:hAnsi="Calibri" w:cs="Calibri"/>
          <w:szCs w:val="24"/>
        </w:rPr>
        <w:t xml:space="preserve"> million in 2020-21</w:t>
      </w:r>
      <w:r>
        <w:rPr>
          <w:rFonts w:ascii="Calibri" w:hAnsi="Calibri" w:cs="Calibri"/>
          <w:szCs w:val="24"/>
        </w:rPr>
        <w:t>,</w:t>
      </w:r>
      <w:r w:rsidRPr="007B1905">
        <w:rPr>
          <w:rFonts w:ascii="Calibri" w:hAnsi="Calibri" w:cs="Calibri"/>
          <w:szCs w:val="24"/>
        </w:rPr>
        <w:t xml:space="preserve"> </w:t>
      </w:r>
      <w:r>
        <w:rPr>
          <w:rFonts w:ascii="Calibri" w:hAnsi="Calibri" w:cs="Calibri"/>
          <w:szCs w:val="24"/>
        </w:rPr>
        <w:t xml:space="preserve">largely </w:t>
      </w:r>
      <w:r w:rsidRPr="007B1905">
        <w:t>as a result of</w:t>
      </w:r>
      <w:r w:rsidRPr="007B1905" w:rsidDel="00DB2D43">
        <w:t xml:space="preserve"> </w:t>
      </w:r>
      <w:r w:rsidRPr="007B1905">
        <w:t>increased land sales driven by stimulus measures and record low interest rates. </w:t>
      </w:r>
    </w:p>
    <w:p w14:paraId="5F073FA8" w14:textId="77777777" w:rsidR="00A60D4B" w:rsidRPr="00FA2BEE" w:rsidRDefault="00A60D4B" w:rsidP="00A60D4B">
      <w:pPr>
        <w:pStyle w:val="Bbodytext"/>
      </w:pPr>
      <w:r w:rsidRPr="007B1905">
        <w:t xml:space="preserve">The forecast for 2021-22 is lower than the interim outcome in 2020-21 primarily due to an expected </w:t>
      </w:r>
      <w:r>
        <w:t>moderation</w:t>
      </w:r>
      <w:r w:rsidRPr="007B1905">
        <w:t xml:space="preserve"> in</w:t>
      </w:r>
      <w:r>
        <w:t xml:space="preserve"> SLA</w:t>
      </w:r>
      <w:r w:rsidRPr="007B1905">
        <w:t xml:space="preserve"> land settlements in 2021-22</w:t>
      </w:r>
      <w:r>
        <w:t xml:space="preserve"> in line with the Indicative Land Release Program, in contrast to the expected strength of the housing market. </w:t>
      </w:r>
      <w:r w:rsidRPr="007B1905">
        <w:t>Forecasts for 2022-23 and beyond reflect expected changes in the Agency’s land sales program.</w:t>
      </w:r>
      <w:r w:rsidRPr="00EE4F3A">
        <w:t xml:space="preserve"> </w:t>
      </w:r>
      <w:r>
        <w:t>The decrease in</w:t>
      </w:r>
      <w:r w:rsidRPr="00FA2BEE">
        <w:t xml:space="preserve"> 2023-24 also </w:t>
      </w:r>
      <w:r>
        <w:t>reflects</w:t>
      </w:r>
      <w:r w:rsidRPr="00FA2BEE">
        <w:t xml:space="preserve"> higher other expenses resulting from the expected transfer of a community asset to another ACT Government agency free of charge in </w:t>
      </w:r>
      <w:r>
        <w:t>that year</w:t>
      </w:r>
      <w:r w:rsidRPr="00FA2BEE">
        <w:t>.</w:t>
      </w:r>
    </w:p>
    <w:p w14:paraId="3421EC6B" w14:textId="77777777" w:rsidR="00A60D4B" w:rsidRDefault="00A60D4B" w:rsidP="00A60D4B">
      <w:pPr>
        <w:pStyle w:val="Bbodytext"/>
        <w:rPr>
          <w:szCs w:val="24"/>
        </w:rPr>
      </w:pPr>
      <w:r w:rsidRPr="001D1F32">
        <w:rPr>
          <w:szCs w:val="24"/>
        </w:rPr>
        <w:t xml:space="preserve">The Icon Water dividend in the 2020-21 </w:t>
      </w:r>
      <w:r>
        <w:rPr>
          <w:szCs w:val="24"/>
        </w:rPr>
        <w:t>i</w:t>
      </w:r>
      <w:r w:rsidRPr="001D1F32">
        <w:rPr>
          <w:szCs w:val="24"/>
        </w:rPr>
        <w:t xml:space="preserve">nterim </w:t>
      </w:r>
      <w:r>
        <w:rPr>
          <w:szCs w:val="24"/>
        </w:rPr>
        <w:t>o</w:t>
      </w:r>
      <w:r w:rsidRPr="001D1F32">
        <w:rPr>
          <w:szCs w:val="24"/>
        </w:rPr>
        <w:t xml:space="preserve">utcome is less than the 2020-21 Budget </w:t>
      </w:r>
      <w:r>
        <w:rPr>
          <w:szCs w:val="24"/>
        </w:rPr>
        <w:t xml:space="preserve">estimate due to </w:t>
      </w:r>
      <w:r w:rsidRPr="001D1F32">
        <w:rPr>
          <w:szCs w:val="24"/>
        </w:rPr>
        <w:t xml:space="preserve">lower-than-expected water consumption </w:t>
      </w:r>
      <w:r>
        <w:rPr>
          <w:szCs w:val="24"/>
        </w:rPr>
        <w:t>as a result of</w:t>
      </w:r>
      <w:r w:rsidRPr="001D1F32">
        <w:rPr>
          <w:szCs w:val="24"/>
        </w:rPr>
        <w:t xml:space="preserve"> cooler weather and higher seasonal rainfall during </w:t>
      </w:r>
      <w:r>
        <w:rPr>
          <w:szCs w:val="24"/>
        </w:rPr>
        <w:t>the year</w:t>
      </w:r>
      <w:r w:rsidRPr="001D1F32">
        <w:rPr>
          <w:szCs w:val="24"/>
        </w:rPr>
        <w:t>. The increase in the 2021-22 Budget dividend compared to the 2020</w:t>
      </w:r>
      <w:r>
        <w:rPr>
          <w:szCs w:val="24"/>
        </w:rPr>
        <w:t>-</w:t>
      </w:r>
      <w:r w:rsidRPr="001D1F32">
        <w:rPr>
          <w:szCs w:val="24"/>
        </w:rPr>
        <w:t xml:space="preserve">21 </w:t>
      </w:r>
      <w:r>
        <w:rPr>
          <w:szCs w:val="24"/>
        </w:rPr>
        <w:t>i</w:t>
      </w:r>
      <w:r w:rsidRPr="001D1F32">
        <w:rPr>
          <w:szCs w:val="24"/>
        </w:rPr>
        <w:t xml:space="preserve">nterim </w:t>
      </w:r>
      <w:r>
        <w:rPr>
          <w:szCs w:val="24"/>
        </w:rPr>
        <w:t>o</w:t>
      </w:r>
      <w:r w:rsidRPr="001D1F32">
        <w:rPr>
          <w:szCs w:val="24"/>
        </w:rPr>
        <w:t xml:space="preserve">utcome is primarily due to higher estimated water consumption and a return to normal pricing after </w:t>
      </w:r>
      <w:r>
        <w:rPr>
          <w:szCs w:val="24"/>
        </w:rPr>
        <w:t>a freeze in prices in 2020-21</w:t>
      </w:r>
      <w:r w:rsidRPr="001D1F32">
        <w:rPr>
          <w:szCs w:val="24"/>
        </w:rPr>
        <w:t xml:space="preserve"> </w:t>
      </w:r>
      <w:r>
        <w:rPr>
          <w:szCs w:val="24"/>
        </w:rPr>
        <w:t xml:space="preserve">due to the impact of </w:t>
      </w:r>
      <w:r w:rsidRPr="001D1F32">
        <w:rPr>
          <w:szCs w:val="24"/>
        </w:rPr>
        <w:t>COVID</w:t>
      </w:r>
      <w:r>
        <w:rPr>
          <w:szCs w:val="24"/>
        </w:rPr>
        <w:noBreakHyphen/>
      </w:r>
      <w:r w:rsidRPr="001D1F32">
        <w:rPr>
          <w:szCs w:val="24"/>
        </w:rPr>
        <w:t xml:space="preserve">19 </w:t>
      </w:r>
      <w:r>
        <w:rPr>
          <w:szCs w:val="24"/>
        </w:rPr>
        <w:t>on customers</w:t>
      </w:r>
      <w:r w:rsidRPr="001D1F32">
        <w:rPr>
          <w:szCs w:val="24"/>
        </w:rPr>
        <w:t>. ActewAGL Joint Venture distributions</w:t>
      </w:r>
      <w:r>
        <w:rPr>
          <w:szCs w:val="24"/>
        </w:rPr>
        <w:t xml:space="preserve"> are also expected to increase</w:t>
      </w:r>
      <w:r w:rsidRPr="001D1F32">
        <w:rPr>
          <w:szCs w:val="24"/>
        </w:rPr>
        <w:t xml:space="preserve">. </w:t>
      </w:r>
    </w:p>
    <w:p w14:paraId="14779D4A" w14:textId="77777777" w:rsidR="00A60D4B" w:rsidRPr="00BE4C9A" w:rsidRDefault="00A60D4B" w:rsidP="00A60D4B">
      <w:pPr>
        <w:pStyle w:val="Bbodytext"/>
        <w:keepNext/>
        <w:keepLines/>
        <w:rPr>
          <w:color w:val="FF0000"/>
        </w:rPr>
      </w:pPr>
      <w:r w:rsidRPr="001D1F32">
        <w:rPr>
          <w:szCs w:val="24"/>
        </w:rPr>
        <w:lastRenderedPageBreak/>
        <w:t xml:space="preserve">The </w:t>
      </w:r>
      <w:r>
        <w:rPr>
          <w:szCs w:val="24"/>
        </w:rPr>
        <w:t>reduction in dividends</w:t>
      </w:r>
      <w:r w:rsidRPr="001D1F32">
        <w:rPr>
          <w:szCs w:val="24"/>
        </w:rPr>
        <w:t xml:space="preserve"> in the 2022-23 </w:t>
      </w:r>
      <w:r>
        <w:rPr>
          <w:szCs w:val="24"/>
        </w:rPr>
        <w:t>reflects</w:t>
      </w:r>
      <w:r w:rsidRPr="001D1F32">
        <w:rPr>
          <w:szCs w:val="24"/>
        </w:rPr>
        <w:t xml:space="preserve"> increases in operating costs</w:t>
      </w:r>
      <w:r>
        <w:rPr>
          <w:szCs w:val="24"/>
        </w:rPr>
        <w:t xml:space="preserve"> including </w:t>
      </w:r>
      <w:r w:rsidRPr="001D1F32">
        <w:rPr>
          <w:szCs w:val="24"/>
        </w:rPr>
        <w:t xml:space="preserve">depreciation due to increased IT capitalisations and increased interest expense driven by lower interest capitalisations resulting from a lower capital in progress balance. Water and sewerage operating cost increases are also expected as a result of </w:t>
      </w:r>
      <w:r>
        <w:rPr>
          <w:szCs w:val="24"/>
        </w:rPr>
        <w:t>implementation of</w:t>
      </w:r>
      <w:r w:rsidRPr="001D1F32">
        <w:rPr>
          <w:szCs w:val="24"/>
        </w:rPr>
        <w:t xml:space="preserve"> the digital strategy, the 2023-28 price review preparations and implementing a sourcing strategy for corporate and customer services.</w:t>
      </w:r>
    </w:p>
    <w:p w14:paraId="4BD9E03F" w14:textId="29A122E2" w:rsidR="00A60D4B" w:rsidRPr="00DD36D3" w:rsidRDefault="00A60D4B" w:rsidP="00A60D4B">
      <w:pPr>
        <w:pStyle w:val="Caption"/>
      </w:pPr>
      <w:r>
        <w:t xml:space="preserve">Table </w:t>
      </w:r>
      <w:r w:rsidR="00FB4E5C">
        <w:fldChar w:fldCharType="begin"/>
      </w:r>
      <w:r w:rsidR="00FB4E5C">
        <w:instrText xml:space="preserve"> STYLEREF 2 \s </w:instrText>
      </w:r>
      <w:r w:rsidR="00FB4E5C">
        <w:fldChar w:fldCharType="separate"/>
      </w:r>
      <w:r w:rsidR="00F12A80">
        <w:rPr>
          <w:noProof/>
        </w:rPr>
        <w:t>3.5</w:t>
      </w:r>
      <w:r w:rsidR="00FB4E5C">
        <w:rPr>
          <w:noProof/>
        </w:rPr>
        <w:fldChar w:fldCharType="end"/>
      </w:r>
      <w:r>
        <w:t>.</w:t>
      </w:r>
      <w:r w:rsidR="00FB4E5C">
        <w:fldChar w:fldCharType="begin"/>
      </w:r>
      <w:r w:rsidR="00FB4E5C">
        <w:instrText xml:space="preserve"> SEQ Table \* ARABIC \s 2 </w:instrText>
      </w:r>
      <w:r w:rsidR="00FB4E5C">
        <w:fldChar w:fldCharType="separate"/>
      </w:r>
      <w:r w:rsidR="00F12A80">
        <w:rPr>
          <w:noProof/>
        </w:rPr>
        <w:t>16</w:t>
      </w:r>
      <w:r w:rsidR="00FB4E5C">
        <w:rPr>
          <w:noProof/>
        </w:rPr>
        <w:fldChar w:fldCharType="end"/>
      </w:r>
      <w:r w:rsidRPr="00B77276">
        <w:t>: Dividends and tax equivalents</w:t>
      </w:r>
    </w:p>
    <w:tbl>
      <w:tblPr>
        <w:tblW w:w="9214" w:type="dxa"/>
        <w:tblBorders>
          <w:top w:val="single" w:sz="4" w:space="0" w:color="auto"/>
          <w:bottom w:val="single" w:sz="4" w:space="0" w:color="auto"/>
          <w:insideH w:val="single" w:sz="4" w:space="0" w:color="auto"/>
        </w:tblBorders>
        <w:tblLayout w:type="fixed"/>
        <w:tblCellMar>
          <w:left w:w="85" w:type="dxa"/>
        </w:tblCellMar>
        <w:tblLook w:val="04A0" w:firstRow="1" w:lastRow="0" w:firstColumn="1" w:lastColumn="0" w:noHBand="0" w:noVBand="1"/>
      </w:tblPr>
      <w:tblGrid>
        <w:gridCol w:w="2127"/>
        <w:gridCol w:w="1181"/>
        <w:gridCol w:w="1181"/>
        <w:gridCol w:w="1181"/>
        <w:gridCol w:w="1181"/>
        <w:gridCol w:w="1181"/>
        <w:gridCol w:w="1182"/>
      </w:tblGrid>
      <w:tr w:rsidR="00A60D4B" w:rsidRPr="008F5D57" w14:paraId="5FE56DF7" w14:textId="77777777" w:rsidTr="00A60D4B">
        <w:trPr>
          <w:trHeight w:val="156"/>
        </w:trPr>
        <w:tc>
          <w:tcPr>
            <w:tcW w:w="2127" w:type="dxa"/>
            <w:tcBorders>
              <w:bottom w:val="single" w:sz="4" w:space="0" w:color="auto"/>
            </w:tcBorders>
            <w:shd w:val="clear" w:color="auto" w:fill="472D8C"/>
          </w:tcPr>
          <w:p w14:paraId="007CABDB" w14:textId="77777777" w:rsidR="00A60D4B" w:rsidRPr="00111524" w:rsidRDefault="00A60D4B" w:rsidP="00A60D4B">
            <w:pPr>
              <w:rPr>
                <w:rFonts w:cs="Calibri"/>
                <w:b/>
                <w:color w:val="FFFFFF" w:themeColor="background1"/>
                <w:sz w:val="20"/>
              </w:rPr>
            </w:pPr>
            <w:bookmarkStart w:id="97" w:name="_Hlk83627124"/>
            <w:bookmarkStart w:id="98" w:name="_Toc62206641"/>
            <w:bookmarkStart w:id="99" w:name="_Hlk62920519"/>
            <w:bookmarkStart w:id="100" w:name="_Toc62206645"/>
          </w:p>
        </w:tc>
        <w:tc>
          <w:tcPr>
            <w:tcW w:w="1181" w:type="dxa"/>
            <w:tcBorders>
              <w:bottom w:val="single" w:sz="4" w:space="0" w:color="auto"/>
            </w:tcBorders>
            <w:shd w:val="clear" w:color="auto" w:fill="472D8C"/>
          </w:tcPr>
          <w:p w14:paraId="2485D0AB" w14:textId="77777777" w:rsidR="006F1DF8"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Budget</w:t>
            </w:r>
            <w:r>
              <w:rPr>
                <w:color w:val="FFFFFF" w:themeColor="background1"/>
              </w:rPr>
              <w:br/>
            </w:r>
          </w:p>
          <w:p w14:paraId="49D9914D" w14:textId="32ACA6C0" w:rsidR="00A60D4B" w:rsidRPr="00111524" w:rsidRDefault="00A60D4B" w:rsidP="00A60D4B">
            <w:pPr>
              <w:pStyle w:val="BTableHeadingRowRightAligned"/>
              <w:rPr>
                <w:color w:val="FFFFFF" w:themeColor="background1"/>
              </w:rPr>
            </w:pPr>
            <w:r>
              <w:rPr>
                <w:color w:val="FFFFFF" w:themeColor="background1"/>
              </w:rPr>
              <w:t>$’000</w:t>
            </w:r>
          </w:p>
        </w:tc>
        <w:tc>
          <w:tcPr>
            <w:tcW w:w="1181" w:type="dxa"/>
            <w:tcBorders>
              <w:bottom w:val="single" w:sz="4" w:space="0" w:color="auto"/>
            </w:tcBorders>
            <w:shd w:val="clear" w:color="auto" w:fill="472D8C"/>
          </w:tcPr>
          <w:p w14:paraId="3AA81F46" w14:textId="77777777" w:rsidR="00A60D4B" w:rsidRPr="00111524"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Interim outcome</w:t>
            </w:r>
            <w:r>
              <w:rPr>
                <w:color w:val="FFFFFF" w:themeColor="background1"/>
              </w:rPr>
              <w:br/>
              <w:t>$’000</w:t>
            </w:r>
          </w:p>
        </w:tc>
        <w:tc>
          <w:tcPr>
            <w:tcW w:w="1181" w:type="dxa"/>
            <w:tcBorders>
              <w:bottom w:val="single" w:sz="4" w:space="0" w:color="auto"/>
            </w:tcBorders>
            <w:shd w:val="clear" w:color="auto" w:fill="472D8C"/>
          </w:tcPr>
          <w:p w14:paraId="53E1E9A3" w14:textId="77777777" w:rsidR="006F1DF8" w:rsidRDefault="00A60D4B" w:rsidP="00A60D4B">
            <w:pPr>
              <w:pStyle w:val="BTableHeadingRowRightAligned"/>
              <w:rPr>
                <w:color w:val="FFFFFF" w:themeColor="background1"/>
              </w:rPr>
            </w:pPr>
            <w:r>
              <w:rPr>
                <w:color w:val="FFFFFF" w:themeColor="background1"/>
              </w:rPr>
              <w:t xml:space="preserve">2021-22 </w:t>
            </w:r>
            <w:r>
              <w:rPr>
                <w:color w:val="FFFFFF" w:themeColor="background1"/>
              </w:rPr>
              <w:br/>
              <w:t>Budget</w:t>
            </w:r>
            <w:r>
              <w:rPr>
                <w:color w:val="FFFFFF" w:themeColor="background1"/>
              </w:rPr>
              <w:br/>
            </w:r>
          </w:p>
          <w:p w14:paraId="5EC49FBD" w14:textId="3CA2FD73" w:rsidR="00A60D4B" w:rsidRPr="00111524" w:rsidRDefault="00A60D4B" w:rsidP="00A60D4B">
            <w:pPr>
              <w:pStyle w:val="BTableHeadingRowRightAligned"/>
              <w:rPr>
                <w:color w:val="FFFFFF" w:themeColor="background1"/>
              </w:rPr>
            </w:pPr>
            <w:r>
              <w:rPr>
                <w:color w:val="FFFFFF" w:themeColor="background1"/>
              </w:rPr>
              <w:t>$’000</w:t>
            </w:r>
          </w:p>
        </w:tc>
        <w:tc>
          <w:tcPr>
            <w:tcW w:w="1181" w:type="dxa"/>
            <w:tcBorders>
              <w:bottom w:val="single" w:sz="4" w:space="0" w:color="auto"/>
            </w:tcBorders>
            <w:shd w:val="clear" w:color="auto" w:fill="472D8C"/>
          </w:tcPr>
          <w:p w14:paraId="7C1E4B8A" w14:textId="77777777" w:rsidR="006F1DF8" w:rsidRDefault="00A60D4B" w:rsidP="00A60D4B">
            <w:pPr>
              <w:pStyle w:val="BTableHeadingRowRightAligned"/>
              <w:rPr>
                <w:color w:val="FFFFFF" w:themeColor="background1"/>
              </w:rPr>
            </w:pPr>
            <w:r>
              <w:rPr>
                <w:color w:val="FFFFFF" w:themeColor="background1"/>
              </w:rPr>
              <w:t>2022-23</w:t>
            </w:r>
            <w:r>
              <w:rPr>
                <w:color w:val="FFFFFF" w:themeColor="background1"/>
              </w:rPr>
              <w:br/>
              <w:t>Estimate</w:t>
            </w:r>
            <w:r>
              <w:rPr>
                <w:color w:val="FFFFFF" w:themeColor="background1"/>
              </w:rPr>
              <w:br/>
            </w:r>
          </w:p>
          <w:p w14:paraId="3830F14C" w14:textId="1CCCE949" w:rsidR="00A60D4B" w:rsidRPr="00111524" w:rsidRDefault="00A60D4B" w:rsidP="00A60D4B">
            <w:pPr>
              <w:pStyle w:val="BTableHeadingRowRightAligned"/>
              <w:rPr>
                <w:color w:val="FFFFFF" w:themeColor="background1"/>
              </w:rPr>
            </w:pPr>
            <w:r>
              <w:rPr>
                <w:color w:val="FFFFFF" w:themeColor="background1"/>
              </w:rPr>
              <w:t>$’000</w:t>
            </w:r>
          </w:p>
        </w:tc>
        <w:tc>
          <w:tcPr>
            <w:tcW w:w="1181" w:type="dxa"/>
            <w:tcBorders>
              <w:bottom w:val="single" w:sz="4" w:space="0" w:color="auto"/>
            </w:tcBorders>
            <w:shd w:val="clear" w:color="auto" w:fill="472D8C"/>
          </w:tcPr>
          <w:p w14:paraId="3C1B305F" w14:textId="77777777" w:rsidR="006F1DF8" w:rsidRDefault="00A60D4B" w:rsidP="00A60D4B">
            <w:pPr>
              <w:pStyle w:val="BTableHeadingRowRightAligned"/>
              <w:rPr>
                <w:color w:val="FFFFFF" w:themeColor="background1"/>
              </w:rPr>
            </w:pPr>
            <w:r>
              <w:rPr>
                <w:color w:val="FFFFFF" w:themeColor="background1"/>
              </w:rPr>
              <w:t>2023-24</w:t>
            </w:r>
            <w:r>
              <w:rPr>
                <w:color w:val="FFFFFF" w:themeColor="background1"/>
              </w:rPr>
              <w:br/>
              <w:t>Estimate</w:t>
            </w:r>
            <w:r>
              <w:rPr>
                <w:color w:val="FFFFFF" w:themeColor="background1"/>
              </w:rPr>
              <w:br/>
            </w:r>
          </w:p>
          <w:p w14:paraId="48A5D011" w14:textId="3144EBEA" w:rsidR="00A60D4B" w:rsidRPr="00111524" w:rsidRDefault="00A60D4B" w:rsidP="00A60D4B">
            <w:pPr>
              <w:pStyle w:val="BTableHeadingRowRightAligned"/>
              <w:rPr>
                <w:color w:val="FFFFFF" w:themeColor="background1"/>
              </w:rPr>
            </w:pPr>
            <w:r>
              <w:rPr>
                <w:color w:val="FFFFFF" w:themeColor="background1"/>
              </w:rPr>
              <w:t>$’000</w:t>
            </w:r>
          </w:p>
        </w:tc>
        <w:tc>
          <w:tcPr>
            <w:tcW w:w="1182" w:type="dxa"/>
            <w:tcBorders>
              <w:bottom w:val="single" w:sz="4" w:space="0" w:color="auto"/>
            </w:tcBorders>
            <w:shd w:val="clear" w:color="auto" w:fill="472D8C"/>
          </w:tcPr>
          <w:p w14:paraId="0D291A6E" w14:textId="77777777" w:rsidR="006F1DF8" w:rsidRDefault="00A60D4B" w:rsidP="00A60D4B">
            <w:pPr>
              <w:pStyle w:val="BTableHeadingRowRightAligned"/>
              <w:rPr>
                <w:color w:val="FFFFFF" w:themeColor="background1"/>
              </w:rPr>
            </w:pPr>
            <w:r>
              <w:rPr>
                <w:color w:val="FFFFFF" w:themeColor="background1"/>
              </w:rPr>
              <w:t>2024-25</w:t>
            </w:r>
            <w:r>
              <w:rPr>
                <w:color w:val="FFFFFF" w:themeColor="background1"/>
              </w:rPr>
              <w:br/>
              <w:t>Estimate</w:t>
            </w:r>
            <w:r>
              <w:rPr>
                <w:color w:val="FFFFFF" w:themeColor="background1"/>
              </w:rPr>
              <w:br/>
            </w:r>
          </w:p>
          <w:p w14:paraId="1C2C05C1" w14:textId="7A1B8779" w:rsidR="00A60D4B" w:rsidRPr="00111524" w:rsidRDefault="00A60D4B" w:rsidP="00A60D4B">
            <w:pPr>
              <w:pStyle w:val="BTableHeadingRowRightAligned"/>
              <w:rPr>
                <w:color w:val="FFFFFF" w:themeColor="background1"/>
              </w:rPr>
            </w:pPr>
            <w:r>
              <w:rPr>
                <w:color w:val="FFFFFF" w:themeColor="background1"/>
              </w:rPr>
              <w:t>$’000</w:t>
            </w:r>
          </w:p>
        </w:tc>
      </w:tr>
      <w:tr w:rsidR="00A60D4B" w:rsidRPr="00337DC9" w14:paraId="7DEE1659" w14:textId="77777777" w:rsidTr="00A60D4B">
        <w:trPr>
          <w:trHeight w:val="20"/>
        </w:trPr>
        <w:tc>
          <w:tcPr>
            <w:tcW w:w="2127" w:type="dxa"/>
            <w:tcBorders>
              <w:top w:val="nil"/>
              <w:bottom w:val="nil"/>
            </w:tcBorders>
          </w:tcPr>
          <w:p w14:paraId="7FB8870D" w14:textId="77777777" w:rsidR="00A60D4B" w:rsidRPr="00C20249" w:rsidRDefault="00A60D4B" w:rsidP="00A60D4B">
            <w:pPr>
              <w:pStyle w:val="Btabletextbold"/>
            </w:pPr>
            <w:r w:rsidRPr="00C20249">
              <w:rPr>
                <w:rFonts w:cs="Calibri"/>
                <w:sz w:val="18"/>
                <w:szCs w:val="18"/>
              </w:rPr>
              <w:t>Dividends</w:t>
            </w:r>
          </w:p>
        </w:tc>
        <w:tc>
          <w:tcPr>
            <w:tcW w:w="1181" w:type="dxa"/>
            <w:tcBorders>
              <w:bottom w:val="nil"/>
            </w:tcBorders>
          </w:tcPr>
          <w:p w14:paraId="6521F442" w14:textId="77777777" w:rsidR="00A60D4B" w:rsidRPr="00037F42" w:rsidRDefault="00A60D4B" w:rsidP="00A60D4B">
            <w:pPr>
              <w:pStyle w:val="Btablefigureunbold"/>
              <w:rPr>
                <w:bCs/>
              </w:rPr>
            </w:pPr>
            <w:r w:rsidRPr="00037F42">
              <w:rPr>
                <w:rFonts w:cs="Calibri"/>
                <w:sz w:val="18"/>
                <w:szCs w:val="18"/>
              </w:rPr>
              <w:t> </w:t>
            </w:r>
          </w:p>
        </w:tc>
        <w:tc>
          <w:tcPr>
            <w:tcW w:w="1181" w:type="dxa"/>
            <w:tcBorders>
              <w:bottom w:val="nil"/>
            </w:tcBorders>
          </w:tcPr>
          <w:p w14:paraId="62A46F9A" w14:textId="77777777" w:rsidR="00A60D4B" w:rsidRPr="00037F42" w:rsidRDefault="00A60D4B" w:rsidP="00A60D4B">
            <w:pPr>
              <w:pStyle w:val="Btablefigureunbold"/>
              <w:rPr>
                <w:bCs/>
              </w:rPr>
            </w:pPr>
            <w:r w:rsidRPr="00037F42">
              <w:rPr>
                <w:rFonts w:cs="Calibri"/>
                <w:sz w:val="18"/>
                <w:szCs w:val="18"/>
              </w:rPr>
              <w:t> </w:t>
            </w:r>
          </w:p>
        </w:tc>
        <w:tc>
          <w:tcPr>
            <w:tcW w:w="1181" w:type="dxa"/>
            <w:tcBorders>
              <w:bottom w:val="nil"/>
            </w:tcBorders>
            <w:shd w:val="clear" w:color="auto" w:fill="auto"/>
          </w:tcPr>
          <w:p w14:paraId="595A48CD" w14:textId="77777777" w:rsidR="00A60D4B" w:rsidRPr="00037F42" w:rsidRDefault="00A60D4B" w:rsidP="00A60D4B">
            <w:pPr>
              <w:pStyle w:val="Btablefigureunbold"/>
              <w:rPr>
                <w:bCs/>
              </w:rPr>
            </w:pPr>
            <w:r w:rsidRPr="00037F42">
              <w:rPr>
                <w:rFonts w:cs="Calibri"/>
                <w:sz w:val="18"/>
                <w:szCs w:val="18"/>
              </w:rPr>
              <w:t> </w:t>
            </w:r>
          </w:p>
        </w:tc>
        <w:tc>
          <w:tcPr>
            <w:tcW w:w="1181" w:type="dxa"/>
            <w:tcBorders>
              <w:bottom w:val="nil"/>
            </w:tcBorders>
            <w:shd w:val="clear" w:color="472D8C" w:fill="auto"/>
          </w:tcPr>
          <w:p w14:paraId="77A7C2DA" w14:textId="77777777" w:rsidR="00A60D4B" w:rsidRPr="00037F42" w:rsidRDefault="00A60D4B" w:rsidP="00A60D4B">
            <w:pPr>
              <w:pStyle w:val="Btablefigureunbold"/>
              <w:rPr>
                <w:bCs/>
                <w:color w:val="000000"/>
              </w:rPr>
            </w:pPr>
            <w:r w:rsidRPr="00037F42">
              <w:rPr>
                <w:rFonts w:cs="Calibri"/>
                <w:sz w:val="18"/>
                <w:szCs w:val="18"/>
              </w:rPr>
              <w:t> </w:t>
            </w:r>
          </w:p>
        </w:tc>
        <w:tc>
          <w:tcPr>
            <w:tcW w:w="1181" w:type="dxa"/>
            <w:tcBorders>
              <w:bottom w:val="nil"/>
            </w:tcBorders>
            <w:shd w:val="clear" w:color="auto" w:fill="auto"/>
          </w:tcPr>
          <w:p w14:paraId="79EB11FD" w14:textId="77777777" w:rsidR="00A60D4B" w:rsidRPr="00037F42" w:rsidRDefault="00A60D4B" w:rsidP="00A60D4B">
            <w:pPr>
              <w:pStyle w:val="Btablefigureunbold"/>
              <w:rPr>
                <w:bCs/>
              </w:rPr>
            </w:pPr>
            <w:r w:rsidRPr="00037F42">
              <w:rPr>
                <w:rFonts w:cs="Calibri"/>
                <w:sz w:val="18"/>
                <w:szCs w:val="18"/>
              </w:rPr>
              <w:t> </w:t>
            </w:r>
          </w:p>
        </w:tc>
        <w:tc>
          <w:tcPr>
            <w:tcW w:w="1182" w:type="dxa"/>
            <w:tcBorders>
              <w:bottom w:val="nil"/>
            </w:tcBorders>
          </w:tcPr>
          <w:p w14:paraId="4A1E0D39" w14:textId="77777777" w:rsidR="00A60D4B" w:rsidRPr="00037F42" w:rsidRDefault="00A60D4B" w:rsidP="00A60D4B">
            <w:pPr>
              <w:pStyle w:val="Btablefigureunbold"/>
              <w:rPr>
                <w:bCs/>
              </w:rPr>
            </w:pPr>
            <w:r w:rsidRPr="00037F42">
              <w:rPr>
                <w:rFonts w:cs="Calibri"/>
                <w:sz w:val="18"/>
                <w:szCs w:val="18"/>
              </w:rPr>
              <w:t> </w:t>
            </w:r>
          </w:p>
        </w:tc>
      </w:tr>
      <w:tr w:rsidR="00A60D4B" w:rsidRPr="00337DC9" w14:paraId="43346A14" w14:textId="77777777" w:rsidTr="00A60D4B">
        <w:trPr>
          <w:trHeight w:val="20"/>
        </w:trPr>
        <w:tc>
          <w:tcPr>
            <w:tcW w:w="2127" w:type="dxa"/>
            <w:tcBorders>
              <w:top w:val="nil"/>
              <w:bottom w:val="nil"/>
            </w:tcBorders>
          </w:tcPr>
          <w:p w14:paraId="31DC61F3" w14:textId="77777777" w:rsidR="00A60D4B" w:rsidRPr="00037F42" w:rsidRDefault="00A60D4B" w:rsidP="00A60D4B">
            <w:pPr>
              <w:pStyle w:val="Btabletextunbold"/>
              <w:rPr>
                <w:bCs/>
              </w:rPr>
            </w:pPr>
            <w:r w:rsidRPr="00037F42">
              <w:rPr>
                <w:rFonts w:cs="Calibri"/>
                <w:sz w:val="18"/>
                <w:szCs w:val="18"/>
              </w:rPr>
              <w:t>Dividends - ICON</w:t>
            </w:r>
            <w:r>
              <w:rPr>
                <w:rFonts w:cs="Calibri"/>
                <w:sz w:val="18"/>
                <w:szCs w:val="18"/>
              </w:rPr>
              <w:t xml:space="preserve"> </w:t>
            </w:r>
            <w:r w:rsidRPr="00037F42">
              <w:rPr>
                <w:rFonts w:cs="Calibri"/>
                <w:sz w:val="18"/>
                <w:szCs w:val="18"/>
              </w:rPr>
              <w:t>Water</w:t>
            </w:r>
          </w:p>
        </w:tc>
        <w:tc>
          <w:tcPr>
            <w:tcW w:w="1181" w:type="dxa"/>
            <w:tcBorders>
              <w:top w:val="nil"/>
              <w:bottom w:val="nil"/>
            </w:tcBorders>
          </w:tcPr>
          <w:p w14:paraId="6EA66670" w14:textId="77777777" w:rsidR="00A60D4B" w:rsidRPr="00037F42" w:rsidRDefault="00A60D4B" w:rsidP="00A60D4B">
            <w:pPr>
              <w:pStyle w:val="Btablefigureunbold"/>
              <w:rPr>
                <w:bCs/>
              </w:rPr>
            </w:pPr>
            <w:r w:rsidRPr="00037F42">
              <w:rPr>
                <w:rFonts w:cs="Calibri"/>
                <w:sz w:val="18"/>
                <w:szCs w:val="18"/>
              </w:rPr>
              <w:t xml:space="preserve">42,390 </w:t>
            </w:r>
          </w:p>
        </w:tc>
        <w:tc>
          <w:tcPr>
            <w:tcW w:w="1181" w:type="dxa"/>
            <w:tcBorders>
              <w:top w:val="nil"/>
              <w:bottom w:val="nil"/>
            </w:tcBorders>
          </w:tcPr>
          <w:p w14:paraId="00B4DB9D" w14:textId="77777777" w:rsidR="00A60D4B" w:rsidRPr="00037F42" w:rsidRDefault="00A60D4B" w:rsidP="00A60D4B">
            <w:pPr>
              <w:pStyle w:val="Btablefigureunbold"/>
              <w:rPr>
                <w:bCs/>
              </w:rPr>
            </w:pPr>
            <w:r>
              <w:rPr>
                <w:rFonts w:cs="Calibri"/>
                <w:sz w:val="18"/>
                <w:szCs w:val="18"/>
              </w:rPr>
              <w:t>41,127</w:t>
            </w:r>
            <w:r w:rsidRPr="00037F42">
              <w:rPr>
                <w:rFonts w:cs="Calibri"/>
                <w:sz w:val="18"/>
                <w:szCs w:val="18"/>
              </w:rPr>
              <w:t xml:space="preserve"> </w:t>
            </w:r>
          </w:p>
        </w:tc>
        <w:tc>
          <w:tcPr>
            <w:tcW w:w="1181" w:type="dxa"/>
            <w:tcBorders>
              <w:top w:val="nil"/>
              <w:bottom w:val="nil"/>
            </w:tcBorders>
            <w:shd w:val="clear" w:color="auto" w:fill="auto"/>
          </w:tcPr>
          <w:p w14:paraId="3559D281" w14:textId="77777777" w:rsidR="00A60D4B" w:rsidRPr="00037F42" w:rsidRDefault="00A60D4B" w:rsidP="00A60D4B">
            <w:pPr>
              <w:pStyle w:val="BTablefigureBold"/>
              <w:rPr>
                <w:b w:val="0"/>
                <w:bCs/>
              </w:rPr>
            </w:pPr>
            <w:r w:rsidRPr="00037F42">
              <w:rPr>
                <w:rFonts w:cs="Calibri"/>
                <w:b w:val="0"/>
                <w:bCs/>
                <w:sz w:val="18"/>
                <w:szCs w:val="18"/>
              </w:rPr>
              <w:t xml:space="preserve">62,447 </w:t>
            </w:r>
          </w:p>
        </w:tc>
        <w:tc>
          <w:tcPr>
            <w:tcW w:w="1181" w:type="dxa"/>
            <w:tcBorders>
              <w:top w:val="nil"/>
              <w:bottom w:val="nil"/>
            </w:tcBorders>
            <w:shd w:val="clear" w:color="472D8C" w:fill="auto"/>
          </w:tcPr>
          <w:p w14:paraId="51ED68BE" w14:textId="77777777" w:rsidR="00A60D4B" w:rsidRPr="00037F42" w:rsidRDefault="00A60D4B" w:rsidP="00A60D4B">
            <w:pPr>
              <w:pStyle w:val="Btablefigureunbold"/>
              <w:rPr>
                <w:bCs/>
                <w:color w:val="000000"/>
              </w:rPr>
            </w:pPr>
            <w:r w:rsidRPr="00037F42">
              <w:rPr>
                <w:rFonts w:cs="Calibri"/>
                <w:sz w:val="18"/>
                <w:szCs w:val="18"/>
              </w:rPr>
              <w:t xml:space="preserve">50,644 </w:t>
            </w:r>
          </w:p>
        </w:tc>
        <w:tc>
          <w:tcPr>
            <w:tcW w:w="1181" w:type="dxa"/>
            <w:tcBorders>
              <w:top w:val="nil"/>
              <w:bottom w:val="nil"/>
            </w:tcBorders>
            <w:shd w:val="clear" w:color="auto" w:fill="auto"/>
          </w:tcPr>
          <w:p w14:paraId="1BD82A1D" w14:textId="77777777" w:rsidR="00A60D4B" w:rsidRPr="00037F42" w:rsidRDefault="00A60D4B" w:rsidP="00A60D4B">
            <w:pPr>
              <w:pStyle w:val="Btablefigureunbold"/>
              <w:rPr>
                <w:bCs/>
              </w:rPr>
            </w:pPr>
            <w:r w:rsidRPr="00037F42">
              <w:rPr>
                <w:rFonts w:cs="Calibri"/>
                <w:sz w:val="18"/>
                <w:szCs w:val="18"/>
              </w:rPr>
              <w:t xml:space="preserve">52,426 </w:t>
            </w:r>
          </w:p>
        </w:tc>
        <w:tc>
          <w:tcPr>
            <w:tcW w:w="1182" w:type="dxa"/>
            <w:tcBorders>
              <w:top w:val="nil"/>
              <w:bottom w:val="nil"/>
            </w:tcBorders>
          </w:tcPr>
          <w:p w14:paraId="4ED457AD" w14:textId="77777777" w:rsidR="00A60D4B" w:rsidRPr="00037F42" w:rsidRDefault="00A60D4B" w:rsidP="00A60D4B">
            <w:pPr>
              <w:pStyle w:val="Btablefigureunbold"/>
              <w:rPr>
                <w:bCs/>
              </w:rPr>
            </w:pPr>
            <w:r w:rsidRPr="00037F42">
              <w:rPr>
                <w:rFonts w:cs="Calibri"/>
                <w:sz w:val="18"/>
                <w:szCs w:val="18"/>
              </w:rPr>
              <w:t xml:space="preserve">57,158 </w:t>
            </w:r>
          </w:p>
        </w:tc>
      </w:tr>
      <w:tr w:rsidR="00A60D4B" w:rsidRPr="00337DC9" w14:paraId="533D3D78" w14:textId="77777777" w:rsidTr="00A60D4B">
        <w:trPr>
          <w:trHeight w:val="20"/>
        </w:trPr>
        <w:tc>
          <w:tcPr>
            <w:tcW w:w="2127" w:type="dxa"/>
            <w:tcBorders>
              <w:top w:val="nil"/>
              <w:bottom w:val="nil"/>
            </w:tcBorders>
          </w:tcPr>
          <w:p w14:paraId="4CD66020" w14:textId="77777777" w:rsidR="00A60D4B" w:rsidRPr="00037F42" w:rsidRDefault="00A60D4B" w:rsidP="00A60D4B">
            <w:pPr>
              <w:pStyle w:val="Btabletextunbold"/>
              <w:rPr>
                <w:bCs/>
              </w:rPr>
            </w:pPr>
            <w:r w:rsidRPr="00037F42">
              <w:rPr>
                <w:rFonts w:cs="Calibri"/>
                <w:sz w:val="18"/>
                <w:szCs w:val="18"/>
              </w:rPr>
              <w:t>Dividends - CIT Solutions</w:t>
            </w:r>
          </w:p>
        </w:tc>
        <w:tc>
          <w:tcPr>
            <w:tcW w:w="1181" w:type="dxa"/>
            <w:tcBorders>
              <w:top w:val="nil"/>
              <w:bottom w:val="nil"/>
            </w:tcBorders>
          </w:tcPr>
          <w:p w14:paraId="573283D1" w14:textId="77777777" w:rsidR="00A60D4B" w:rsidRPr="00037F42" w:rsidRDefault="00A60D4B" w:rsidP="00A60D4B">
            <w:pPr>
              <w:pStyle w:val="Btablefigureunbold"/>
              <w:rPr>
                <w:bCs/>
              </w:rPr>
            </w:pPr>
            <w:r w:rsidRPr="00037F42">
              <w:rPr>
                <w:rFonts w:cs="Calibri"/>
                <w:sz w:val="18"/>
                <w:szCs w:val="18"/>
              </w:rPr>
              <w:t xml:space="preserve">500 </w:t>
            </w:r>
          </w:p>
        </w:tc>
        <w:tc>
          <w:tcPr>
            <w:tcW w:w="1181" w:type="dxa"/>
            <w:tcBorders>
              <w:top w:val="nil"/>
              <w:bottom w:val="nil"/>
            </w:tcBorders>
          </w:tcPr>
          <w:p w14:paraId="47F7BABF" w14:textId="77777777" w:rsidR="00A60D4B" w:rsidRPr="00037F42" w:rsidRDefault="00A60D4B" w:rsidP="00A60D4B">
            <w:pPr>
              <w:pStyle w:val="Btablefigureunbold"/>
              <w:rPr>
                <w:bCs/>
              </w:rPr>
            </w:pPr>
            <w:r w:rsidRPr="00037F42">
              <w:rPr>
                <w:rFonts w:cs="Calibri"/>
                <w:sz w:val="18"/>
                <w:szCs w:val="18"/>
              </w:rPr>
              <w:t xml:space="preserve">- </w:t>
            </w:r>
          </w:p>
        </w:tc>
        <w:tc>
          <w:tcPr>
            <w:tcW w:w="1181" w:type="dxa"/>
            <w:tcBorders>
              <w:top w:val="nil"/>
              <w:bottom w:val="nil"/>
            </w:tcBorders>
            <w:shd w:val="clear" w:color="auto" w:fill="auto"/>
          </w:tcPr>
          <w:p w14:paraId="05C418B7" w14:textId="77777777" w:rsidR="00A60D4B" w:rsidRPr="00037F42" w:rsidRDefault="00A60D4B" w:rsidP="00A60D4B">
            <w:pPr>
              <w:pStyle w:val="BTablefigureBold"/>
              <w:rPr>
                <w:b w:val="0"/>
                <w:bCs/>
              </w:rPr>
            </w:pPr>
            <w:r w:rsidRPr="00037F42">
              <w:rPr>
                <w:rFonts w:cs="Calibri"/>
                <w:b w:val="0"/>
                <w:bCs/>
                <w:sz w:val="18"/>
                <w:szCs w:val="18"/>
              </w:rPr>
              <w:t xml:space="preserve">500 </w:t>
            </w:r>
          </w:p>
        </w:tc>
        <w:tc>
          <w:tcPr>
            <w:tcW w:w="1181" w:type="dxa"/>
            <w:tcBorders>
              <w:top w:val="nil"/>
              <w:bottom w:val="nil"/>
            </w:tcBorders>
            <w:shd w:val="clear" w:color="472D8C" w:fill="auto"/>
          </w:tcPr>
          <w:p w14:paraId="4EF4EA77" w14:textId="77777777" w:rsidR="00A60D4B" w:rsidRPr="00037F42" w:rsidRDefault="00A60D4B" w:rsidP="00A60D4B">
            <w:pPr>
              <w:pStyle w:val="Btablefigureunbold"/>
              <w:rPr>
                <w:bCs/>
                <w:color w:val="000000"/>
              </w:rPr>
            </w:pPr>
            <w:r w:rsidRPr="00037F42">
              <w:rPr>
                <w:rFonts w:cs="Calibri"/>
                <w:sz w:val="18"/>
                <w:szCs w:val="18"/>
              </w:rPr>
              <w:t xml:space="preserve">500 </w:t>
            </w:r>
          </w:p>
        </w:tc>
        <w:tc>
          <w:tcPr>
            <w:tcW w:w="1181" w:type="dxa"/>
            <w:tcBorders>
              <w:top w:val="nil"/>
              <w:bottom w:val="nil"/>
            </w:tcBorders>
            <w:shd w:val="clear" w:color="auto" w:fill="auto"/>
          </w:tcPr>
          <w:p w14:paraId="24D3A3BC" w14:textId="77777777" w:rsidR="00A60D4B" w:rsidRPr="00037F42" w:rsidRDefault="00A60D4B" w:rsidP="00A60D4B">
            <w:pPr>
              <w:pStyle w:val="Btablefigureunbold"/>
              <w:rPr>
                <w:bCs/>
              </w:rPr>
            </w:pPr>
            <w:r w:rsidRPr="00037F42">
              <w:rPr>
                <w:rFonts w:cs="Calibri"/>
                <w:sz w:val="18"/>
                <w:szCs w:val="18"/>
              </w:rPr>
              <w:t xml:space="preserve">500 </w:t>
            </w:r>
          </w:p>
        </w:tc>
        <w:tc>
          <w:tcPr>
            <w:tcW w:w="1182" w:type="dxa"/>
            <w:tcBorders>
              <w:top w:val="nil"/>
              <w:bottom w:val="nil"/>
            </w:tcBorders>
          </w:tcPr>
          <w:p w14:paraId="663D283B" w14:textId="77777777" w:rsidR="00A60D4B" w:rsidRPr="00037F42" w:rsidRDefault="00A60D4B" w:rsidP="00A60D4B">
            <w:pPr>
              <w:pStyle w:val="Btablefigureunbold"/>
              <w:rPr>
                <w:bCs/>
              </w:rPr>
            </w:pPr>
            <w:r w:rsidRPr="00037F42">
              <w:rPr>
                <w:rFonts w:cs="Calibri"/>
                <w:sz w:val="18"/>
                <w:szCs w:val="18"/>
              </w:rPr>
              <w:t xml:space="preserve">500 </w:t>
            </w:r>
          </w:p>
        </w:tc>
      </w:tr>
      <w:tr w:rsidR="00A60D4B" w:rsidRPr="00337DC9" w14:paraId="08425E98" w14:textId="77777777" w:rsidTr="00A60D4B">
        <w:trPr>
          <w:trHeight w:val="20"/>
        </w:trPr>
        <w:tc>
          <w:tcPr>
            <w:tcW w:w="2127" w:type="dxa"/>
            <w:tcBorders>
              <w:top w:val="nil"/>
              <w:bottom w:val="nil"/>
            </w:tcBorders>
          </w:tcPr>
          <w:p w14:paraId="6F6BFCDB" w14:textId="77777777" w:rsidR="00A60D4B" w:rsidRPr="00037F42" w:rsidRDefault="00A60D4B" w:rsidP="00A60D4B">
            <w:pPr>
              <w:pStyle w:val="Btabletextunbold"/>
              <w:rPr>
                <w:bCs/>
              </w:rPr>
            </w:pPr>
            <w:r w:rsidRPr="00037F42">
              <w:rPr>
                <w:rFonts w:cs="Calibri"/>
                <w:sz w:val="18"/>
                <w:szCs w:val="18"/>
              </w:rPr>
              <w:t>Dividends - Suburban Land Agency and City Renewal Authority</w:t>
            </w:r>
          </w:p>
        </w:tc>
        <w:tc>
          <w:tcPr>
            <w:tcW w:w="1181" w:type="dxa"/>
            <w:tcBorders>
              <w:top w:val="nil"/>
              <w:bottom w:val="nil"/>
            </w:tcBorders>
          </w:tcPr>
          <w:p w14:paraId="1CD05CB7" w14:textId="77777777" w:rsidR="00A60D4B" w:rsidRPr="00037F42" w:rsidRDefault="00A60D4B" w:rsidP="00A60D4B">
            <w:pPr>
              <w:pStyle w:val="Btablefigureunbold"/>
              <w:rPr>
                <w:bCs/>
              </w:rPr>
            </w:pPr>
            <w:r w:rsidRPr="00037F42">
              <w:rPr>
                <w:rFonts w:cs="Calibri"/>
                <w:sz w:val="18"/>
                <w:szCs w:val="18"/>
              </w:rPr>
              <w:t xml:space="preserve">289,140 </w:t>
            </w:r>
          </w:p>
        </w:tc>
        <w:tc>
          <w:tcPr>
            <w:tcW w:w="1181" w:type="dxa"/>
            <w:tcBorders>
              <w:top w:val="nil"/>
              <w:bottom w:val="nil"/>
            </w:tcBorders>
          </w:tcPr>
          <w:p w14:paraId="00819567" w14:textId="77777777" w:rsidR="00A60D4B" w:rsidRPr="00037F42" w:rsidRDefault="00A60D4B" w:rsidP="00A60D4B">
            <w:pPr>
              <w:pStyle w:val="Btablefigureunbold"/>
              <w:rPr>
                <w:bCs/>
              </w:rPr>
            </w:pPr>
            <w:r w:rsidRPr="00037F42">
              <w:rPr>
                <w:rFonts w:cs="Calibri"/>
                <w:sz w:val="18"/>
                <w:szCs w:val="18"/>
              </w:rPr>
              <w:t>2</w:t>
            </w:r>
            <w:r>
              <w:rPr>
                <w:rFonts w:cs="Calibri"/>
                <w:sz w:val="18"/>
                <w:szCs w:val="18"/>
              </w:rPr>
              <w:t>28</w:t>
            </w:r>
            <w:r w:rsidRPr="00037F42">
              <w:rPr>
                <w:rFonts w:cs="Calibri"/>
                <w:sz w:val="18"/>
                <w:szCs w:val="18"/>
              </w:rPr>
              <w:t>,</w:t>
            </w:r>
            <w:r>
              <w:rPr>
                <w:rFonts w:cs="Calibri"/>
                <w:sz w:val="18"/>
                <w:szCs w:val="18"/>
              </w:rPr>
              <w:t>228</w:t>
            </w:r>
            <w:r w:rsidRPr="00037F42">
              <w:rPr>
                <w:rFonts w:cs="Calibri"/>
                <w:sz w:val="18"/>
                <w:szCs w:val="18"/>
              </w:rPr>
              <w:t xml:space="preserve"> </w:t>
            </w:r>
          </w:p>
        </w:tc>
        <w:tc>
          <w:tcPr>
            <w:tcW w:w="1181" w:type="dxa"/>
            <w:tcBorders>
              <w:top w:val="nil"/>
              <w:bottom w:val="nil"/>
            </w:tcBorders>
            <w:shd w:val="clear" w:color="auto" w:fill="auto"/>
          </w:tcPr>
          <w:p w14:paraId="064D3762" w14:textId="77777777" w:rsidR="00A60D4B" w:rsidRPr="00037F42" w:rsidRDefault="00A60D4B" w:rsidP="00A60D4B">
            <w:pPr>
              <w:pStyle w:val="BTablefigureBold"/>
              <w:rPr>
                <w:b w:val="0"/>
                <w:bCs/>
              </w:rPr>
            </w:pPr>
            <w:r w:rsidRPr="00037F42">
              <w:rPr>
                <w:rFonts w:cs="Calibri"/>
                <w:b w:val="0"/>
                <w:bCs/>
                <w:sz w:val="18"/>
                <w:szCs w:val="18"/>
              </w:rPr>
              <w:t xml:space="preserve">108,919 </w:t>
            </w:r>
          </w:p>
        </w:tc>
        <w:tc>
          <w:tcPr>
            <w:tcW w:w="1181" w:type="dxa"/>
            <w:tcBorders>
              <w:top w:val="nil"/>
              <w:bottom w:val="nil"/>
            </w:tcBorders>
            <w:shd w:val="clear" w:color="472D8C" w:fill="auto"/>
          </w:tcPr>
          <w:p w14:paraId="5B526F76" w14:textId="77777777" w:rsidR="00A60D4B" w:rsidRPr="00037F42" w:rsidRDefault="00A60D4B" w:rsidP="00A60D4B">
            <w:pPr>
              <w:pStyle w:val="Btablefigureunbold"/>
              <w:rPr>
                <w:bCs/>
                <w:color w:val="000000"/>
              </w:rPr>
            </w:pPr>
            <w:r w:rsidRPr="00037F42">
              <w:rPr>
                <w:rFonts w:cs="Calibri"/>
                <w:sz w:val="18"/>
                <w:szCs w:val="18"/>
              </w:rPr>
              <w:t xml:space="preserve">97,942 </w:t>
            </w:r>
          </w:p>
        </w:tc>
        <w:tc>
          <w:tcPr>
            <w:tcW w:w="1181" w:type="dxa"/>
            <w:tcBorders>
              <w:top w:val="nil"/>
              <w:bottom w:val="nil"/>
            </w:tcBorders>
            <w:shd w:val="clear" w:color="auto" w:fill="auto"/>
          </w:tcPr>
          <w:p w14:paraId="048AE46F" w14:textId="77777777" w:rsidR="00A60D4B" w:rsidRPr="00037F42" w:rsidRDefault="00A60D4B" w:rsidP="00A60D4B">
            <w:pPr>
              <w:pStyle w:val="Btablefigureunbold"/>
              <w:rPr>
                <w:bCs/>
              </w:rPr>
            </w:pPr>
            <w:r w:rsidRPr="00037F42">
              <w:rPr>
                <w:rFonts w:cs="Calibri"/>
                <w:sz w:val="18"/>
                <w:szCs w:val="18"/>
              </w:rPr>
              <w:t xml:space="preserve">9,234 </w:t>
            </w:r>
          </w:p>
        </w:tc>
        <w:tc>
          <w:tcPr>
            <w:tcW w:w="1182" w:type="dxa"/>
            <w:tcBorders>
              <w:top w:val="nil"/>
              <w:bottom w:val="nil"/>
            </w:tcBorders>
          </w:tcPr>
          <w:p w14:paraId="5F6A3364" w14:textId="77777777" w:rsidR="00A60D4B" w:rsidRPr="00037F42" w:rsidRDefault="00A60D4B" w:rsidP="00A60D4B">
            <w:pPr>
              <w:pStyle w:val="Btablefigureunbold"/>
              <w:rPr>
                <w:bCs/>
              </w:rPr>
            </w:pPr>
            <w:r w:rsidRPr="00037F42">
              <w:rPr>
                <w:rFonts w:cs="Calibri"/>
                <w:sz w:val="18"/>
                <w:szCs w:val="18"/>
              </w:rPr>
              <w:t xml:space="preserve">108,359 </w:t>
            </w:r>
          </w:p>
        </w:tc>
      </w:tr>
      <w:tr w:rsidR="00A60D4B" w:rsidRPr="00337DC9" w14:paraId="063BB2A1" w14:textId="77777777" w:rsidTr="00A60D4B">
        <w:trPr>
          <w:trHeight w:val="20"/>
        </w:trPr>
        <w:tc>
          <w:tcPr>
            <w:tcW w:w="2127" w:type="dxa"/>
            <w:tcBorders>
              <w:top w:val="nil"/>
              <w:bottom w:val="nil"/>
            </w:tcBorders>
          </w:tcPr>
          <w:p w14:paraId="7533A9D5" w14:textId="77777777" w:rsidR="00A60D4B" w:rsidRPr="00037F42" w:rsidRDefault="00A60D4B" w:rsidP="00A60D4B">
            <w:pPr>
              <w:pStyle w:val="Btabletextunbold"/>
              <w:rPr>
                <w:bCs/>
              </w:rPr>
            </w:pPr>
            <w:r w:rsidRPr="00037F42">
              <w:rPr>
                <w:rFonts w:cs="Calibri"/>
                <w:b/>
                <w:bCs/>
                <w:sz w:val="18"/>
                <w:szCs w:val="18"/>
              </w:rPr>
              <w:t>Total Dividends</w:t>
            </w:r>
          </w:p>
        </w:tc>
        <w:tc>
          <w:tcPr>
            <w:tcW w:w="1181" w:type="dxa"/>
            <w:tcBorders>
              <w:top w:val="nil"/>
              <w:bottom w:val="nil"/>
            </w:tcBorders>
          </w:tcPr>
          <w:p w14:paraId="5A074E8F" w14:textId="77777777" w:rsidR="00A60D4B" w:rsidRPr="00037F42" w:rsidRDefault="00A60D4B" w:rsidP="00A60D4B">
            <w:pPr>
              <w:pStyle w:val="Btablefigureunbold"/>
              <w:rPr>
                <w:bCs/>
              </w:rPr>
            </w:pPr>
            <w:r w:rsidRPr="00037F42">
              <w:rPr>
                <w:rFonts w:cs="Calibri"/>
                <w:b/>
                <w:bCs/>
                <w:sz w:val="18"/>
                <w:szCs w:val="18"/>
              </w:rPr>
              <w:t xml:space="preserve">332,030 </w:t>
            </w:r>
          </w:p>
        </w:tc>
        <w:tc>
          <w:tcPr>
            <w:tcW w:w="1181" w:type="dxa"/>
            <w:tcBorders>
              <w:top w:val="nil"/>
              <w:bottom w:val="nil"/>
            </w:tcBorders>
          </w:tcPr>
          <w:p w14:paraId="655D994A" w14:textId="77777777" w:rsidR="00A60D4B" w:rsidRPr="00037F42" w:rsidRDefault="00A60D4B" w:rsidP="00A60D4B">
            <w:pPr>
              <w:pStyle w:val="Btablefigureunbold"/>
              <w:rPr>
                <w:bCs/>
              </w:rPr>
            </w:pPr>
            <w:r w:rsidRPr="00037F42">
              <w:rPr>
                <w:rFonts w:cs="Calibri"/>
                <w:b/>
                <w:bCs/>
                <w:sz w:val="18"/>
                <w:szCs w:val="18"/>
              </w:rPr>
              <w:t xml:space="preserve">269,355 </w:t>
            </w:r>
          </w:p>
        </w:tc>
        <w:tc>
          <w:tcPr>
            <w:tcW w:w="1181" w:type="dxa"/>
            <w:tcBorders>
              <w:top w:val="nil"/>
              <w:bottom w:val="nil"/>
            </w:tcBorders>
            <w:shd w:val="clear" w:color="auto" w:fill="auto"/>
          </w:tcPr>
          <w:p w14:paraId="52CEA7D0" w14:textId="77777777" w:rsidR="00A60D4B" w:rsidRPr="00037F42" w:rsidRDefault="00A60D4B" w:rsidP="00A60D4B">
            <w:pPr>
              <w:pStyle w:val="BTablefigureBold"/>
            </w:pPr>
            <w:r w:rsidRPr="00037F42">
              <w:rPr>
                <w:rFonts w:cs="Calibri"/>
                <w:sz w:val="18"/>
                <w:szCs w:val="18"/>
              </w:rPr>
              <w:t xml:space="preserve">171,866 </w:t>
            </w:r>
          </w:p>
        </w:tc>
        <w:tc>
          <w:tcPr>
            <w:tcW w:w="1181" w:type="dxa"/>
            <w:tcBorders>
              <w:top w:val="nil"/>
              <w:bottom w:val="nil"/>
            </w:tcBorders>
            <w:shd w:val="clear" w:color="472D8C" w:fill="auto"/>
          </w:tcPr>
          <w:p w14:paraId="5D08C109" w14:textId="77777777" w:rsidR="00A60D4B" w:rsidRPr="00037F42" w:rsidRDefault="00A60D4B" w:rsidP="00A60D4B">
            <w:pPr>
              <w:pStyle w:val="Btablefigureunbold"/>
              <w:rPr>
                <w:bCs/>
                <w:color w:val="000000"/>
              </w:rPr>
            </w:pPr>
            <w:r w:rsidRPr="00037F42">
              <w:rPr>
                <w:rFonts w:cs="Calibri"/>
                <w:b/>
                <w:bCs/>
                <w:sz w:val="18"/>
                <w:szCs w:val="18"/>
              </w:rPr>
              <w:t xml:space="preserve">149,086 </w:t>
            </w:r>
          </w:p>
        </w:tc>
        <w:tc>
          <w:tcPr>
            <w:tcW w:w="1181" w:type="dxa"/>
            <w:tcBorders>
              <w:top w:val="nil"/>
              <w:bottom w:val="nil"/>
            </w:tcBorders>
            <w:shd w:val="clear" w:color="auto" w:fill="auto"/>
          </w:tcPr>
          <w:p w14:paraId="33E25461" w14:textId="77777777" w:rsidR="00A60D4B" w:rsidRPr="00037F42" w:rsidRDefault="00A60D4B" w:rsidP="00A60D4B">
            <w:pPr>
              <w:pStyle w:val="Btablefigureunbold"/>
              <w:rPr>
                <w:bCs/>
              </w:rPr>
            </w:pPr>
            <w:r w:rsidRPr="00037F42">
              <w:rPr>
                <w:rFonts w:cs="Calibri"/>
                <w:b/>
                <w:bCs/>
                <w:sz w:val="18"/>
                <w:szCs w:val="18"/>
              </w:rPr>
              <w:t xml:space="preserve">62,160 </w:t>
            </w:r>
          </w:p>
        </w:tc>
        <w:tc>
          <w:tcPr>
            <w:tcW w:w="1182" w:type="dxa"/>
            <w:tcBorders>
              <w:top w:val="nil"/>
              <w:bottom w:val="nil"/>
            </w:tcBorders>
          </w:tcPr>
          <w:p w14:paraId="0CCBEC7A" w14:textId="77777777" w:rsidR="00A60D4B" w:rsidRPr="00037F42" w:rsidRDefault="00A60D4B" w:rsidP="00A60D4B">
            <w:pPr>
              <w:pStyle w:val="Btablefigureunbold"/>
              <w:rPr>
                <w:bCs/>
              </w:rPr>
            </w:pPr>
            <w:r w:rsidRPr="00037F42">
              <w:rPr>
                <w:rFonts w:cs="Calibri"/>
                <w:b/>
                <w:bCs/>
                <w:sz w:val="18"/>
                <w:szCs w:val="18"/>
              </w:rPr>
              <w:t xml:space="preserve">166,017 </w:t>
            </w:r>
          </w:p>
        </w:tc>
      </w:tr>
      <w:tr w:rsidR="00A60D4B" w:rsidRPr="00337DC9" w14:paraId="33D5F590" w14:textId="77777777" w:rsidTr="00A60D4B">
        <w:trPr>
          <w:trHeight w:val="20"/>
        </w:trPr>
        <w:tc>
          <w:tcPr>
            <w:tcW w:w="2127" w:type="dxa"/>
            <w:tcBorders>
              <w:top w:val="nil"/>
              <w:bottom w:val="nil"/>
            </w:tcBorders>
          </w:tcPr>
          <w:p w14:paraId="3B4087B5" w14:textId="77777777" w:rsidR="00A60D4B" w:rsidRPr="00037F42" w:rsidRDefault="00A60D4B" w:rsidP="00A60D4B">
            <w:pPr>
              <w:pStyle w:val="Btabletextunbold"/>
              <w:rPr>
                <w:bCs/>
              </w:rPr>
            </w:pPr>
            <w:r w:rsidRPr="00037F42">
              <w:rPr>
                <w:rFonts w:cs="Calibri"/>
                <w:b/>
                <w:bCs/>
                <w:sz w:val="18"/>
                <w:szCs w:val="18"/>
              </w:rPr>
              <w:t> </w:t>
            </w:r>
          </w:p>
        </w:tc>
        <w:tc>
          <w:tcPr>
            <w:tcW w:w="1181" w:type="dxa"/>
            <w:tcBorders>
              <w:top w:val="nil"/>
              <w:bottom w:val="nil"/>
            </w:tcBorders>
          </w:tcPr>
          <w:p w14:paraId="35A2ED97" w14:textId="77777777" w:rsidR="00A60D4B" w:rsidRPr="00037F42" w:rsidRDefault="00A60D4B" w:rsidP="00A60D4B">
            <w:pPr>
              <w:pStyle w:val="Btablefigureunbold"/>
              <w:rPr>
                <w:bCs/>
              </w:rPr>
            </w:pPr>
            <w:r w:rsidRPr="00037F42">
              <w:rPr>
                <w:rFonts w:cs="Calibri"/>
                <w:b/>
                <w:bCs/>
                <w:sz w:val="18"/>
                <w:szCs w:val="18"/>
              </w:rPr>
              <w:t> </w:t>
            </w:r>
          </w:p>
        </w:tc>
        <w:tc>
          <w:tcPr>
            <w:tcW w:w="1181" w:type="dxa"/>
            <w:tcBorders>
              <w:top w:val="nil"/>
              <w:bottom w:val="nil"/>
            </w:tcBorders>
          </w:tcPr>
          <w:p w14:paraId="46819498" w14:textId="77777777" w:rsidR="00A60D4B" w:rsidRPr="00037F42" w:rsidRDefault="00A60D4B" w:rsidP="00A60D4B">
            <w:pPr>
              <w:pStyle w:val="Btablefigureunbold"/>
              <w:rPr>
                <w:bCs/>
              </w:rPr>
            </w:pPr>
            <w:r w:rsidRPr="00037F42">
              <w:rPr>
                <w:rFonts w:cs="Calibri"/>
                <w:b/>
                <w:bCs/>
                <w:sz w:val="18"/>
                <w:szCs w:val="18"/>
              </w:rPr>
              <w:t> </w:t>
            </w:r>
          </w:p>
        </w:tc>
        <w:tc>
          <w:tcPr>
            <w:tcW w:w="1181" w:type="dxa"/>
            <w:tcBorders>
              <w:top w:val="nil"/>
              <w:bottom w:val="nil"/>
            </w:tcBorders>
            <w:shd w:val="clear" w:color="auto" w:fill="auto"/>
          </w:tcPr>
          <w:p w14:paraId="742E63C8" w14:textId="77777777" w:rsidR="00A60D4B" w:rsidRPr="00037F42" w:rsidRDefault="00A60D4B" w:rsidP="00A60D4B">
            <w:pPr>
              <w:pStyle w:val="BTablefigureBold"/>
              <w:rPr>
                <w:b w:val="0"/>
                <w:bCs/>
              </w:rPr>
            </w:pPr>
            <w:r w:rsidRPr="00037F42">
              <w:rPr>
                <w:rFonts w:cs="Calibri"/>
                <w:b w:val="0"/>
                <w:bCs/>
                <w:sz w:val="18"/>
                <w:szCs w:val="18"/>
              </w:rPr>
              <w:t> </w:t>
            </w:r>
          </w:p>
        </w:tc>
        <w:tc>
          <w:tcPr>
            <w:tcW w:w="1181" w:type="dxa"/>
            <w:tcBorders>
              <w:top w:val="nil"/>
              <w:bottom w:val="nil"/>
            </w:tcBorders>
            <w:shd w:val="clear" w:color="472D8C" w:fill="auto"/>
          </w:tcPr>
          <w:p w14:paraId="32B6E452" w14:textId="77777777" w:rsidR="00A60D4B" w:rsidRPr="00037F42" w:rsidRDefault="00A60D4B" w:rsidP="00A60D4B">
            <w:pPr>
              <w:pStyle w:val="Btablefigureunbold"/>
              <w:rPr>
                <w:bCs/>
                <w:color w:val="000000"/>
              </w:rPr>
            </w:pPr>
            <w:r w:rsidRPr="00037F42">
              <w:rPr>
                <w:rFonts w:cs="Calibri"/>
                <w:b/>
                <w:bCs/>
                <w:sz w:val="18"/>
                <w:szCs w:val="18"/>
              </w:rPr>
              <w:t> </w:t>
            </w:r>
          </w:p>
        </w:tc>
        <w:tc>
          <w:tcPr>
            <w:tcW w:w="1181" w:type="dxa"/>
            <w:tcBorders>
              <w:top w:val="nil"/>
              <w:bottom w:val="nil"/>
            </w:tcBorders>
            <w:shd w:val="clear" w:color="auto" w:fill="auto"/>
          </w:tcPr>
          <w:p w14:paraId="2D61F096" w14:textId="77777777" w:rsidR="00A60D4B" w:rsidRPr="00037F42" w:rsidRDefault="00A60D4B" w:rsidP="00A60D4B">
            <w:pPr>
              <w:pStyle w:val="Btablefigureunbold"/>
              <w:rPr>
                <w:bCs/>
              </w:rPr>
            </w:pPr>
            <w:r w:rsidRPr="00037F42">
              <w:rPr>
                <w:rFonts w:cs="Calibri"/>
                <w:b/>
                <w:bCs/>
                <w:sz w:val="18"/>
                <w:szCs w:val="18"/>
              </w:rPr>
              <w:t> </w:t>
            </w:r>
          </w:p>
        </w:tc>
        <w:tc>
          <w:tcPr>
            <w:tcW w:w="1182" w:type="dxa"/>
            <w:tcBorders>
              <w:top w:val="nil"/>
              <w:bottom w:val="nil"/>
            </w:tcBorders>
          </w:tcPr>
          <w:p w14:paraId="21577952" w14:textId="77777777" w:rsidR="00A60D4B" w:rsidRPr="00037F42" w:rsidRDefault="00A60D4B" w:rsidP="00A60D4B">
            <w:pPr>
              <w:pStyle w:val="Btablefigureunbold"/>
              <w:rPr>
                <w:bCs/>
              </w:rPr>
            </w:pPr>
            <w:r w:rsidRPr="00037F42">
              <w:rPr>
                <w:rFonts w:cs="Calibri"/>
                <w:b/>
                <w:bCs/>
                <w:sz w:val="18"/>
                <w:szCs w:val="18"/>
              </w:rPr>
              <w:t> </w:t>
            </w:r>
          </w:p>
        </w:tc>
      </w:tr>
      <w:tr w:rsidR="00A60D4B" w:rsidRPr="00653BCC" w14:paraId="232FBA64" w14:textId="77777777" w:rsidTr="00A60D4B">
        <w:trPr>
          <w:trHeight w:val="20"/>
        </w:trPr>
        <w:tc>
          <w:tcPr>
            <w:tcW w:w="2127" w:type="dxa"/>
            <w:tcBorders>
              <w:top w:val="nil"/>
              <w:bottom w:val="nil"/>
            </w:tcBorders>
          </w:tcPr>
          <w:p w14:paraId="323A66B0" w14:textId="77777777" w:rsidR="00A60D4B" w:rsidRPr="00037F42" w:rsidRDefault="00A60D4B" w:rsidP="00A60D4B">
            <w:pPr>
              <w:pStyle w:val="Btabletextitalic"/>
              <w:rPr>
                <w:bCs/>
                <w:i w:val="0"/>
              </w:rPr>
            </w:pPr>
            <w:r w:rsidRPr="00037F42">
              <w:rPr>
                <w:rFonts w:cs="Calibri"/>
                <w:b/>
                <w:bCs/>
                <w:i w:val="0"/>
                <w:sz w:val="18"/>
                <w:szCs w:val="18"/>
              </w:rPr>
              <w:t>Tax Equivalents</w:t>
            </w:r>
          </w:p>
        </w:tc>
        <w:tc>
          <w:tcPr>
            <w:tcW w:w="1181" w:type="dxa"/>
            <w:tcBorders>
              <w:top w:val="nil"/>
              <w:bottom w:val="nil"/>
            </w:tcBorders>
          </w:tcPr>
          <w:p w14:paraId="05822B75" w14:textId="77777777" w:rsidR="00A60D4B" w:rsidRPr="00037F42" w:rsidRDefault="00A60D4B" w:rsidP="00A60D4B">
            <w:pPr>
              <w:pStyle w:val="Btablefigureunbold"/>
              <w:rPr>
                <w:bCs/>
              </w:rPr>
            </w:pPr>
            <w:r w:rsidRPr="00037F42">
              <w:rPr>
                <w:rFonts w:cs="Calibri"/>
                <w:sz w:val="18"/>
                <w:szCs w:val="18"/>
              </w:rPr>
              <w:t> </w:t>
            </w:r>
          </w:p>
        </w:tc>
        <w:tc>
          <w:tcPr>
            <w:tcW w:w="1181" w:type="dxa"/>
            <w:tcBorders>
              <w:top w:val="nil"/>
              <w:bottom w:val="nil"/>
            </w:tcBorders>
          </w:tcPr>
          <w:p w14:paraId="6DC9DFD9" w14:textId="77777777" w:rsidR="00A60D4B" w:rsidRPr="00037F42" w:rsidRDefault="00A60D4B" w:rsidP="00A60D4B">
            <w:pPr>
              <w:pStyle w:val="Btablefigureunbold"/>
              <w:rPr>
                <w:bCs/>
              </w:rPr>
            </w:pPr>
            <w:r w:rsidRPr="00037F42">
              <w:rPr>
                <w:rFonts w:cs="Calibri"/>
                <w:sz w:val="18"/>
                <w:szCs w:val="18"/>
              </w:rPr>
              <w:t> </w:t>
            </w:r>
          </w:p>
        </w:tc>
        <w:tc>
          <w:tcPr>
            <w:tcW w:w="1181" w:type="dxa"/>
            <w:tcBorders>
              <w:top w:val="nil"/>
              <w:bottom w:val="nil"/>
            </w:tcBorders>
            <w:shd w:val="clear" w:color="auto" w:fill="auto"/>
          </w:tcPr>
          <w:p w14:paraId="749D7872" w14:textId="77777777" w:rsidR="00A60D4B" w:rsidRPr="00037F42" w:rsidRDefault="00A60D4B" w:rsidP="00A60D4B">
            <w:pPr>
              <w:pStyle w:val="Btablefigureunbold"/>
              <w:rPr>
                <w:bCs/>
              </w:rPr>
            </w:pPr>
            <w:r w:rsidRPr="00037F42">
              <w:rPr>
                <w:rFonts w:cs="Calibri"/>
                <w:sz w:val="18"/>
                <w:szCs w:val="18"/>
              </w:rPr>
              <w:t> </w:t>
            </w:r>
          </w:p>
        </w:tc>
        <w:tc>
          <w:tcPr>
            <w:tcW w:w="1181" w:type="dxa"/>
            <w:tcBorders>
              <w:top w:val="nil"/>
              <w:bottom w:val="nil"/>
            </w:tcBorders>
            <w:shd w:val="clear" w:color="472D8C" w:fill="auto"/>
          </w:tcPr>
          <w:p w14:paraId="5822ADEA" w14:textId="77777777" w:rsidR="00A60D4B" w:rsidRPr="00037F42" w:rsidRDefault="00A60D4B" w:rsidP="00A60D4B">
            <w:pPr>
              <w:pStyle w:val="Btablefigureunbold"/>
              <w:rPr>
                <w:bCs/>
                <w:color w:val="000000"/>
              </w:rPr>
            </w:pPr>
            <w:r w:rsidRPr="00037F42">
              <w:rPr>
                <w:rFonts w:cs="Calibri"/>
                <w:sz w:val="18"/>
                <w:szCs w:val="18"/>
              </w:rPr>
              <w:t> </w:t>
            </w:r>
          </w:p>
        </w:tc>
        <w:tc>
          <w:tcPr>
            <w:tcW w:w="1181" w:type="dxa"/>
            <w:tcBorders>
              <w:top w:val="nil"/>
              <w:bottom w:val="nil"/>
            </w:tcBorders>
            <w:shd w:val="clear" w:color="auto" w:fill="auto"/>
          </w:tcPr>
          <w:p w14:paraId="4576D7A1" w14:textId="77777777" w:rsidR="00A60D4B" w:rsidRPr="00037F42" w:rsidRDefault="00A60D4B" w:rsidP="00A60D4B">
            <w:pPr>
              <w:pStyle w:val="Btablefigureunbold"/>
              <w:rPr>
                <w:bCs/>
              </w:rPr>
            </w:pPr>
            <w:r w:rsidRPr="00037F42">
              <w:rPr>
                <w:rFonts w:cs="Calibri"/>
                <w:sz w:val="18"/>
                <w:szCs w:val="18"/>
              </w:rPr>
              <w:t> </w:t>
            </w:r>
          </w:p>
        </w:tc>
        <w:tc>
          <w:tcPr>
            <w:tcW w:w="1182" w:type="dxa"/>
            <w:tcBorders>
              <w:top w:val="nil"/>
              <w:bottom w:val="nil"/>
            </w:tcBorders>
          </w:tcPr>
          <w:p w14:paraId="7B3B0B5C" w14:textId="77777777" w:rsidR="00A60D4B" w:rsidRPr="00037F42" w:rsidRDefault="00A60D4B" w:rsidP="00A60D4B">
            <w:pPr>
              <w:pStyle w:val="Btablefigureunbold"/>
              <w:rPr>
                <w:bCs/>
              </w:rPr>
            </w:pPr>
            <w:r w:rsidRPr="00037F42">
              <w:rPr>
                <w:rFonts w:cs="Calibri"/>
                <w:sz w:val="18"/>
                <w:szCs w:val="18"/>
              </w:rPr>
              <w:t> </w:t>
            </w:r>
          </w:p>
        </w:tc>
      </w:tr>
      <w:tr w:rsidR="00A60D4B" w:rsidRPr="00653BCC" w14:paraId="361C1063" w14:textId="77777777" w:rsidTr="00A60D4B">
        <w:trPr>
          <w:trHeight w:val="20"/>
        </w:trPr>
        <w:tc>
          <w:tcPr>
            <w:tcW w:w="2127" w:type="dxa"/>
            <w:tcBorders>
              <w:top w:val="nil"/>
              <w:bottom w:val="nil"/>
            </w:tcBorders>
          </w:tcPr>
          <w:p w14:paraId="790E4C71" w14:textId="77777777" w:rsidR="00A60D4B" w:rsidRPr="00037F42" w:rsidRDefault="00A60D4B" w:rsidP="00A60D4B">
            <w:pPr>
              <w:pStyle w:val="Btabletextitalic"/>
              <w:rPr>
                <w:rFonts w:cs="Calibri"/>
                <w:bCs/>
                <w:i w:val="0"/>
                <w:sz w:val="18"/>
                <w:szCs w:val="18"/>
              </w:rPr>
            </w:pPr>
            <w:r w:rsidRPr="00037F42">
              <w:rPr>
                <w:rFonts w:cs="Calibri"/>
                <w:i w:val="0"/>
                <w:sz w:val="18"/>
                <w:szCs w:val="18"/>
              </w:rPr>
              <w:t>Income Tax Equivalent</w:t>
            </w:r>
          </w:p>
        </w:tc>
        <w:tc>
          <w:tcPr>
            <w:tcW w:w="1181" w:type="dxa"/>
            <w:tcBorders>
              <w:top w:val="nil"/>
              <w:bottom w:val="nil"/>
            </w:tcBorders>
          </w:tcPr>
          <w:p w14:paraId="34977B25" w14:textId="77777777" w:rsidR="00A60D4B" w:rsidRPr="00037F42" w:rsidRDefault="00A60D4B" w:rsidP="00A60D4B">
            <w:pPr>
              <w:pStyle w:val="Btablefigureunbold"/>
              <w:rPr>
                <w:rFonts w:cs="Calibri"/>
                <w:bCs/>
                <w:sz w:val="18"/>
                <w:szCs w:val="18"/>
              </w:rPr>
            </w:pPr>
            <w:r w:rsidRPr="00037F42">
              <w:rPr>
                <w:rFonts w:cs="Calibri"/>
                <w:sz w:val="18"/>
                <w:szCs w:val="18"/>
              </w:rPr>
              <w:t xml:space="preserve">154,709 </w:t>
            </w:r>
          </w:p>
        </w:tc>
        <w:tc>
          <w:tcPr>
            <w:tcW w:w="1181" w:type="dxa"/>
            <w:tcBorders>
              <w:top w:val="nil"/>
              <w:bottom w:val="nil"/>
            </w:tcBorders>
          </w:tcPr>
          <w:p w14:paraId="325C0A17" w14:textId="77777777" w:rsidR="00A60D4B" w:rsidRPr="00037F42" w:rsidRDefault="00A60D4B" w:rsidP="00A60D4B">
            <w:pPr>
              <w:pStyle w:val="Btablefigureunbold"/>
              <w:rPr>
                <w:rFonts w:cs="Calibri"/>
                <w:bCs/>
                <w:sz w:val="18"/>
                <w:szCs w:val="18"/>
              </w:rPr>
            </w:pPr>
            <w:r w:rsidRPr="00037F42">
              <w:rPr>
                <w:rFonts w:cs="Calibri"/>
                <w:sz w:val="18"/>
                <w:szCs w:val="18"/>
              </w:rPr>
              <w:t xml:space="preserve">193,649 </w:t>
            </w:r>
          </w:p>
        </w:tc>
        <w:tc>
          <w:tcPr>
            <w:tcW w:w="1181" w:type="dxa"/>
            <w:tcBorders>
              <w:top w:val="nil"/>
              <w:bottom w:val="nil"/>
            </w:tcBorders>
            <w:shd w:val="clear" w:color="auto" w:fill="auto"/>
          </w:tcPr>
          <w:p w14:paraId="0FFBF16B" w14:textId="77777777" w:rsidR="00A60D4B" w:rsidRPr="00037F42" w:rsidRDefault="00A60D4B" w:rsidP="00A60D4B">
            <w:pPr>
              <w:pStyle w:val="Btablefigureunbold"/>
              <w:rPr>
                <w:rFonts w:cs="Calibri"/>
                <w:bCs/>
                <w:sz w:val="18"/>
                <w:szCs w:val="18"/>
              </w:rPr>
            </w:pPr>
            <w:r w:rsidRPr="00037F42">
              <w:rPr>
                <w:rFonts w:cs="Calibri"/>
                <w:sz w:val="18"/>
                <w:szCs w:val="18"/>
              </w:rPr>
              <w:t xml:space="preserve">80,624 </w:t>
            </w:r>
          </w:p>
        </w:tc>
        <w:tc>
          <w:tcPr>
            <w:tcW w:w="1181" w:type="dxa"/>
            <w:tcBorders>
              <w:top w:val="nil"/>
              <w:bottom w:val="nil"/>
            </w:tcBorders>
            <w:shd w:val="clear" w:color="472D8C" w:fill="auto"/>
          </w:tcPr>
          <w:p w14:paraId="4F696046" w14:textId="77777777" w:rsidR="00A60D4B" w:rsidRPr="00037F42" w:rsidRDefault="00A60D4B" w:rsidP="00A60D4B">
            <w:pPr>
              <w:pStyle w:val="Btablefigureunbold"/>
              <w:rPr>
                <w:rFonts w:cs="Calibri"/>
                <w:bCs/>
                <w:sz w:val="18"/>
                <w:szCs w:val="18"/>
              </w:rPr>
            </w:pPr>
            <w:r w:rsidRPr="00037F42">
              <w:rPr>
                <w:rFonts w:cs="Calibri"/>
                <w:sz w:val="18"/>
                <w:szCs w:val="18"/>
              </w:rPr>
              <w:t xml:space="preserve">88,559 </w:t>
            </w:r>
          </w:p>
        </w:tc>
        <w:tc>
          <w:tcPr>
            <w:tcW w:w="1181" w:type="dxa"/>
            <w:tcBorders>
              <w:top w:val="nil"/>
              <w:bottom w:val="nil"/>
            </w:tcBorders>
            <w:shd w:val="clear" w:color="auto" w:fill="auto"/>
          </w:tcPr>
          <w:p w14:paraId="189F456F" w14:textId="77777777" w:rsidR="00A60D4B" w:rsidRPr="00037F42" w:rsidRDefault="00A60D4B" w:rsidP="00A60D4B">
            <w:pPr>
              <w:pStyle w:val="Btablefigureunbold"/>
              <w:rPr>
                <w:rFonts w:cs="Calibri"/>
                <w:bCs/>
                <w:sz w:val="18"/>
                <w:szCs w:val="18"/>
              </w:rPr>
            </w:pPr>
            <w:r w:rsidRPr="00037F42">
              <w:rPr>
                <w:rFonts w:cs="Calibri"/>
                <w:sz w:val="18"/>
                <w:szCs w:val="18"/>
              </w:rPr>
              <w:t xml:space="preserve">30,658 </w:t>
            </w:r>
          </w:p>
        </w:tc>
        <w:tc>
          <w:tcPr>
            <w:tcW w:w="1182" w:type="dxa"/>
            <w:tcBorders>
              <w:top w:val="nil"/>
              <w:bottom w:val="nil"/>
            </w:tcBorders>
          </w:tcPr>
          <w:p w14:paraId="31376B4C" w14:textId="77777777" w:rsidR="00A60D4B" w:rsidRPr="00037F42" w:rsidRDefault="00A60D4B" w:rsidP="00A60D4B">
            <w:pPr>
              <w:pStyle w:val="Btablefigureunbold"/>
              <w:rPr>
                <w:rFonts w:cs="Calibri"/>
                <w:bCs/>
                <w:sz w:val="18"/>
                <w:szCs w:val="18"/>
              </w:rPr>
            </w:pPr>
            <w:r w:rsidRPr="00037F42">
              <w:rPr>
                <w:rFonts w:cs="Calibri"/>
                <w:sz w:val="18"/>
                <w:szCs w:val="18"/>
              </w:rPr>
              <w:t xml:space="preserve">100,127 </w:t>
            </w:r>
          </w:p>
        </w:tc>
      </w:tr>
      <w:tr w:rsidR="00A60D4B" w:rsidRPr="00653BCC" w14:paraId="2E01677C" w14:textId="77777777" w:rsidTr="00A60D4B">
        <w:trPr>
          <w:trHeight w:val="20"/>
        </w:trPr>
        <w:tc>
          <w:tcPr>
            <w:tcW w:w="2127" w:type="dxa"/>
            <w:tcBorders>
              <w:top w:val="nil"/>
              <w:bottom w:val="nil"/>
            </w:tcBorders>
          </w:tcPr>
          <w:p w14:paraId="6DAD6E45" w14:textId="77777777" w:rsidR="00A60D4B" w:rsidRPr="00037F42" w:rsidRDefault="00A60D4B" w:rsidP="00A60D4B">
            <w:pPr>
              <w:pStyle w:val="Btabletextitalic"/>
              <w:rPr>
                <w:rFonts w:cs="Calibri"/>
                <w:bCs/>
                <w:i w:val="0"/>
                <w:sz w:val="18"/>
                <w:szCs w:val="18"/>
              </w:rPr>
            </w:pPr>
            <w:r w:rsidRPr="00037F42">
              <w:rPr>
                <w:rFonts w:cs="Calibri"/>
                <w:b/>
                <w:bCs/>
                <w:i w:val="0"/>
                <w:sz w:val="18"/>
                <w:szCs w:val="18"/>
              </w:rPr>
              <w:t>Total Tax Equivalents</w:t>
            </w:r>
          </w:p>
        </w:tc>
        <w:tc>
          <w:tcPr>
            <w:tcW w:w="1181" w:type="dxa"/>
            <w:tcBorders>
              <w:top w:val="nil"/>
              <w:bottom w:val="nil"/>
            </w:tcBorders>
          </w:tcPr>
          <w:p w14:paraId="316C31C5" w14:textId="77777777" w:rsidR="00A60D4B" w:rsidRPr="00037F42" w:rsidRDefault="00A60D4B" w:rsidP="00A60D4B">
            <w:pPr>
              <w:pStyle w:val="Btablefigureunbold"/>
              <w:rPr>
                <w:rFonts w:cs="Calibri"/>
                <w:bCs/>
                <w:sz w:val="18"/>
                <w:szCs w:val="18"/>
              </w:rPr>
            </w:pPr>
            <w:r w:rsidRPr="00037F42">
              <w:rPr>
                <w:rFonts w:cs="Calibri"/>
                <w:b/>
                <w:bCs/>
                <w:sz w:val="18"/>
                <w:szCs w:val="18"/>
              </w:rPr>
              <w:t xml:space="preserve">154,709 </w:t>
            </w:r>
          </w:p>
        </w:tc>
        <w:tc>
          <w:tcPr>
            <w:tcW w:w="1181" w:type="dxa"/>
            <w:tcBorders>
              <w:top w:val="nil"/>
              <w:bottom w:val="nil"/>
            </w:tcBorders>
          </w:tcPr>
          <w:p w14:paraId="1EBE3134" w14:textId="77777777" w:rsidR="00A60D4B" w:rsidRPr="00037F42" w:rsidRDefault="00A60D4B" w:rsidP="00A60D4B">
            <w:pPr>
              <w:pStyle w:val="Btablefigureunbold"/>
              <w:rPr>
                <w:rFonts w:cs="Calibri"/>
                <w:bCs/>
                <w:sz w:val="18"/>
                <w:szCs w:val="18"/>
              </w:rPr>
            </w:pPr>
            <w:r w:rsidRPr="00037F42">
              <w:rPr>
                <w:rFonts w:cs="Calibri"/>
                <w:b/>
                <w:bCs/>
                <w:sz w:val="18"/>
                <w:szCs w:val="18"/>
              </w:rPr>
              <w:t xml:space="preserve">193,649 </w:t>
            </w:r>
          </w:p>
        </w:tc>
        <w:tc>
          <w:tcPr>
            <w:tcW w:w="1181" w:type="dxa"/>
            <w:tcBorders>
              <w:top w:val="nil"/>
              <w:bottom w:val="nil"/>
            </w:tcBorders>
            <w:shd w:val="clear" w:color="auto" w:fill="auto"/>
          </w:tcPr>
          <w:p w14:paraId="01725B2E" w14:textId="77777777" w:rsidR="00A60D4B" w:rsidRPr="00037F42" w:rsidRDefault="00A60D4B" w:rsidP="00A60D4B">
            <w:pPr>
              <w:pStyle w:val="Btablefigureunbold"/>
              <w:rPr>
                <w:rFonts w:cs="Calibri"/>
                <w:bCs/>
                <w:sz w:val="18"/>
                <w:szCs w:val="18"/>
              </w:rPr>
            </w:pPr>
            <w:r w:rsidRPr="00037F42">
              <w:rPr>
                <w:rFonts w:cs="Calibri"/>
                <w:b/>
                <w:bCs/>
                <w:sz w:val="18"/>
                <w:szCs w:val="18"/>
              </w:rPr>
              <w:t xml:space="preserve">80,624 </w:t>
            </w:r>
          </w:p>
        </w:tc>
        <w:tc>
          <w:tcPr>
            <w:tcW w:w="1181" w:type="dxa"/>
            <w:tcBorders>
              <w:top w:val="nil"/>
              <w:bottom w:val="nil"/>
            </w:tcBorders>
            <w:shd w:val="clear" w:color="472D8C" w:fill="auto"/>
          </w:tcPr>
          <w:p w14:paraId="1B20AB89" w14:textId="77777777" w:rsidR="00A60D4B" w:rsidRPr="00037F42" w:rsidRDefault="00A60D4B" w:rsidP="00A60D4B">
            <w:pPr>
              <w:pStyle w:val="Btablefigureunbold"/>
              <w:rPr>
                <w:rFonts w:cs="Calibri"/>
                <w:bCs/>
                <w:sz w:val="18"/>
                <w:szCs w:val="18"/>
              </w:rPr>
            </w:pPr>
            <w:r w:rsidRPr="00037F42">
              <w:rPr>
                <w:rFonts w:cs="Calibri"/>
                <w:b/>
                <w:bCs/>
                <w:sz w:val="18"/>
                <w:szCs w:val="18"/>
              </w:rPr>
              <w:t xml:space="preserve">88,559 </w:t>
            </w:r>
          </w:p>
        </w:tc>
        <w:tc>
          <w:tcPr>
            <w:tcW w:w="1181" w:type="dxa"/>
            <w:tcBorders>
              <w:top w:val="nil"/>
              <w:bottom w:val="nil"/>
            </w:tcBorders>
            <w:shd w:val="clear" w:color="auto" w:fill="auto"/>
          </w:tcPr>
          <w:p w14:paraId="4F61669C" w14:textId="77777777" w:rsidR="00A60D4B" w:rsidRPr="00037F42" w:rsidRDefault="00A60D4B" w:rsidP="00A60D4B">
            <w:pPr>
              <w:pStyle w:val="Btablefigureunbold"/>
              <w:rPr>
                <w:rFonts w:cs="Calibri"/>
                <w:bCs/>
                <w:sz w:val="18"/>
                <w:szCs w:val="18"/>
              </w:rPr>
            </w:pPr>
            <w:r w:rsidRPr="00037F42">
              <w:rPr>
                <w:rFonts w:cs="Calibri"/>
                <w:b/>
                <w:bCs/>
                <w:sz w:val="18"/>
                <w:szCs w:val="18"/>
              </w:rPr>
              <w:t xml:space="preserve">30,658 </w:t>
            </w:r>
          </w:p>
        </w:tc>
        <w:tc>
          <w:tcPr>
            <w:tcW w:w="1182" w:type="dxa"/>
            <w:tcBorders>
              <w:top w:val="nil"/>
              <w:bottom w:val="nil"/>
            </w:tcBorders>
          </w:tcPr>
          <w:p w14:paraId="66AA4AB8" w14:textId="77777777" w:rsidR="00A60D4B" w:rsidRPr="00037F42" w:rsidRDefault="00A60D4B" w:rsidP="00A60D4B">
            <w:pPr>
              <w:pStyle w:val="Btablefigureunbold"/>
              <w:rPr>
                <w:rFonts w:cs="Calibri"/>
                <w:bCs/>
                <w:sz w:val="18"/>
                <w:szCs w:val="18"/>
              </w:rPr>
            </w:pPr>
            <w:r w:rsidRPr="00037F42">
              <w:rPr>
                <w:rFonts w:cs="Calibri"/>
                <w:b/>
                <w:bCs/>
                <w:sz w:val="18"/>
                <w:szCs w:val="18"/>
              </w:rPr>
              <w:t xml:space="preserve">100,127 </w:t>
            </w:r>
          </w:p>
        </w:tc>
      </w:tr>
      <w:tr w:rsidR="00A60D4B" w:rsidRPr="00337DC9" w14:paraId="03350791" w14:textId="77777777" w:rsidTr="00A60D4B">
        <w:trPr>
          <w:trHeight w:val="227"/>
        </w:trPr>
        <w:tc>
          <w:tcPr>
            <w:tcW w:w="2127" w:type="dxa"/>
            <w:tcBorders>
              <w:top w:val="single" w:sz="4" w:space="0" w:color="auto"/>
              <w:bottom w:val="single" w:sz="4" w:space="0" w:color="auto"/>
            </w:tcBorders>
          </w:tcPr>
          <w:p w14:paraId="06EBD671" w14:textId="77777777" w:rsidR="00A60D4B" w:rsidRPr="00DC6089" w:rsidRDefault="00A60D4B" w:rsidP="00A60D4B">
            <w:pPr>
              <w:pStyle w:val="Btabletextbolditalic"/>
              <w:rPr>
                <w:i w:val="0"/>
                <w:iCs/>
                <w:color w:val="472D8C"/>
              </w:rPr>
            </w:pPr>
            <w:r w:rsidRPr="00DC6089">
              <w:rPr>
                <w:rFonts w:cs="Calibri"/>
                <w:i w:val="0"/>
                <w:iCs/>
                <w:color w:val="472D8C"/>
                <w:sz w:val="18"/>
                <w:szCs w:val="18"/>
              </w:rPr>
              <w:t>Total Dividend and Tax Equivalents</w:t>
            </w:r>
          </w:p>
        </w:tc>
        <w:tc>
          <w:tcPr>
            <w:tcW w:w="1181" w:type="dxa"/>
            <w:tcBorders>
              <w:top w:val="single" w:sz="4" w:space="0" w:color="auto"/>
              <w:bottom w:val="single" w:sz="4" w:space="0" w:color="auto"/>
            </w:tcBorders>
          </w:tcPr>
          <w:p w14:paraId="208E7117" w14:textId="77777777" w:rsidR="00A60D4B" w:rsidRPr="00DC6089" w:rsidRDefault="00A60D4B" w:rsidP="00A60D4B">
            <w:pPr>
              <w:pStyle w:val="Btablefigureunbold"/>
              <w:rPr>
                <w:b/>
                <w:iCs/>
                <w:color w:val="472D8C"/>
              </w:rPr>
            </w:pPr>
            <w:r w:rsidRPr="00DC6089">
              <w:rPr>
                <w:rFonts w:cs="Calibri"/>
                <w:b/>
                <w:iCs/>
                <w:color w:val="472D8C"/>
                <w:sz w:val="18"/>
                <w:szCs w:val="18"/>
              </w:rPr>
              <w:t xml:space="preserve">486,739 </w:t>
            </w:r>
          </w:p>
        </w:tc>
        <w:tc>
          <w:tcPr>
            <w:tcW w:w="1181" w:type="dxa"/>
            <w:tcBorders>
              <w:top w:val="single" w:sz="4" w:space="0" w:color="auto"/>
              <w:bottom w:val="single" w:sz="4" w:space="0" w:color="auto"/>
            </w:tcBorders>
          </w:tcPr>
          <w:p w14:paraId="13953023" w14:textId="77777777" w:rsidR="00A60D4B" w:rsidRPr="00DC6089" w:rsidRDefault="00A60D4B" w:rsidP="00A60D4B">
            <w:pPr>
              <w:pStyle w:val="Btablefigureunbold"/>
              <w:rPr>
                <w:b/>
                <w:iCs/>
                <w:color w:val="472D8C"/>
              </w:rPr>
            </w:pPr>
            <w:r w:rsidRPr="00DC6089">
              <w:rPr>
                <w:rFonts w:cs="Calibri"/>
                <w:b/>
                <w:iCs/>
                <w:color w:val="472D8C"/>
                <w:sz w:val="18"/>
                <w:szCs w:val="18"/>
              </w:rPr>
              <w:t xml:space="preserve">463,004 </w:t>
            </w:r>
          </w:p>
        </w:tc>
        <w:tc>
          <w:tcPr>
            <w:tcW w:w="1181" w:type="dxa"/>
            <w:tcBorders>
              <w:top w:val="single" w:sz="4" w:space="0" w:color="auto"/>
              <w:bottom w:val="single" w:sz="4" w:space="0" w:color="auto"/>
            </w:tcBorders>
            <w:shd w:val="clear" w:color="auto" w:fill="auto"/>
          </w:tcPr>
          <w:p w14:paraId="5D646BB4" w14:textId="77777777" w:rsidR="00A60D4B" w:rsidRPr="00DC6089" w:rsidRDefault="00A60D4B" w:rsidP="00A60D4B">
            <w:pPr>
              <w:pStyle w:val="Btablefigureunbold"/>
              <w:rPr>
                <w:b/>
                <w:iCs/>
                <w:color w:val="472D8C"/>
              </w:rPr>
            </w:pPr>
            <w:r w:rsidRPr="00DC6089">
              <w:rPr>
                <w:rFonts w:cs="Calibri"/>
                <w:b/>
                <w:iCs/>
                <w:color w:val="472D8C"/>
                <w:sz w:val="18"/>
                <w:szCs w:val="18"/>
              </w:rPr>
              <w:t xml:space="preserve">252,490 </w:t>
            </w:r>
          </w:p>
        </w:tc>
        <w:tc>
          <w:tcPr>
            <w:tcW w:w="1181" w:type="dxa"/>
            <w:tcBorders>
              <w:top w:val="single" w:sz="4" w:space="0" w:color="auto"/>
              <w:bottom w:val="single" w:sz="4" w:space="0" w:color="auto"/>
            </w:tcBorders>
            <w:shd w:val="clear" w:color="472D8C" w:fill="auto"/>
          </w:tcPr>
          <w:p w14:paraId="7084D30C" w14:textId="77777777" w:rsidR="00A60D4B" w:rsidRPr="00DC6089" w:rsidRDefault="00A60D4B" w:rsidP="00A60D4B">
            <w:pPr>
              <w:pStyle w:val="Btablefigureunbold"/>
              <w:rPr>
                <w:b/>
                <w:iCs/>
                <w:color w:val="472D8C"/>
              </w:rPr>
            </w:pPr>
            <w:r w:rsidRPr="00DC6089">
              <w:rPr>
                <w:rFonts w:cs="Calibri"/>
                <w:b/>
                <w:iCs/>
                <w:color w:val="472D8C"/>
                <w:sz w:val="18"/>
                <w:szCs w:val="18"/>
              </w:rPr>
              <w:t xml:space="preserve">237,645 </w:t>
            </w:r>
          </w:p>
        </w:tc>
        <w:tc>
          <w:tcPr>
            <w:tcW w:w="1181" w:type="dxa"/>
            <w:tcBorders>
              <w:top w:val="single" w:sz="4" w:space="0" w:color="auto"/>
              <w:bottom w:val="single" w:sz="4" w:space="0" w:color="auto"/>
            </w:tcBorders>
            <w:shd w:val="clear" w:color="auto" w:fill="auto"/>
          </w:tcPr>
          <w:p w14:paraId="32A15A76" w14:textId="77777777" w:rsidR="00A60D4B" w:rsidRPr="00DC6089" w:rsidRDefault="00A60D4B" w:rsidP="00A60D4B">
            <w:pPr>
              <w:pStyle w:val="Btablefigureunbold"/>
              <w:rPr>
                <w:b/>
                <w:iCs/>
                <w:color w:val="472D8C"/>
              </w:rPr>
            </w:pPr>
            <w:r w:rsidRPr="00DC6089">
              <w:rPr>
                <w:rFonts w:cs="Calibri"/>
                <w:b/>
                <w:iCs/>
                <w:color w:val="472D8C"/>
                <w:sz w:val="18"/>
                <w:szCs w:val="18"/>
              </w:rPr>
              <w:t xml:space="preserve">92,818 </w:t>
            </w:r>
          </w:p>
        </w:tc>
        <w:tc>
          <w:tcPr>
            <w:tcW w:w="1182" w:type="dxa"/>
            <w:tcBorders>
              <w:top w:val="single" w:sz="4" w:space="0" w:color="auto"/>
              <w:bottom w:val="single" w:sz="4" w:space="0" w:color="auto"/>
            </w:tcBorders>
          </w:tcPr>
          <w:p w14:paraId="7318384E" w14:textId="77777777" w:rsidR="00A60D4B" w:rsidRPr="00DC6089" w:rsidRDefault="00A60D4B" w:rsidP="00A60D4B">
            <w:pPr>
              <w:pStyle w:val="Btablefigureunbold"/>
              <w:rPr>
                <w:b/>
                <w:iCs/>
                <w:color w:val="472D8C"/>
              </w:rPr>
            </w:pPr>
            <w:r w:rsidRPr="00DC6089">
              <w:rPr>
                <w:rFonts w:cs="Calibri"/>
                <w:b/>
                <w:iCs/>
                <w:color w:val="472D8C"/>
                <w:sz w:val="18"/>
                <w:szCs w:val="18"/>
              </w:rPr>
              <w:t xml:space="preserve">266,144 </w:t>
            </w:r>
          </w:p>
        </w:tc>
      </w:tr>
    </w:tbl>
    <w:p w14:paraId="247009A3" w14:textId="77777777" w:rsidR="00A60D4B" w:rsidRPr="00B77276" w:rsidRDefault="00A60D4B" w:rsidP="00A60D4B">
      <w:pPr>
        <w:pStyle w:val="Heading3"/>
        <w:rPr>
          <w:rFonts w:eastAsia="Times New Roman"/>
          <w:lang w:eastAsia="en-AU"/>
        </w:rPr>
      </w:pPr>
      <w:bookmarkStart w:id="101" w:name="_Toc63586681"/>
      <w:bookmarkEnd w:id="97"/>
      <w:r w:rsidRPr="00B77276">
        <w:rPr>
          <w:rFonts w:eastAsia="Times New Roman"/>
          <w:lang w:eastAsia="en-AU"/>
        </w:rPr>
        <w:t>Contributed Assets</w:t>
      </w:r>
      <w:bookmarkEnd w:id="101"/>
      <w:r w:rsidRPr="00B77276">
        <w:rPr>
          <w:rFonts w:eastAsia="Times New Roman"/>
          <w:lang w:eastAsia="en-AU"/>
        </w:rPr>
        <w:t xml:space="preserve"> </w:t>
      </w:r>
      <w:bookmarkEnd w:id="98"/>
    </w:p>
    <w:p w14:paraId="792E8263" w14:textId="77777777" w:rsidR="00A60D4B" w:rsidRDefault="00A60D4B" w:rsidP="00A60D4B">
      <w:pPr>
        <w:pStyle w:val="Bbodytext"/>
      </w:pPr>
      <w:r w:rsidRPr="000B4AF7">
        <w:t xml:space="preserve">Contributed Assets are estimated to be $208 million in 2020-21 and are forecast to increase to $306 million in 2021-22. Gains from contributed assets primarily relate to land development infrastructure assets transferred to the General Government Sector from the City Renewal Authority, Suburban Land Agency and private developers. </w:t>
      </w:r>
    </w:p>
    <w:p w14:paraId="084D0E73" w14:textId="77777777" w:rsidR="00A60D4B" w:rsidRDefault="00A60D4B" w:rsidP="00A60D4B">
      <w:pPr>
        <w:pStyle w:val="Bbodytext"/>
      </w:pPr>
      <w:r w:rsidRPr="000B4AF7">
        <w:t xml:space="preserve">Gains from contributed assets in 2020-21 are higher than </w:t>
      </w:r>
      <w:r>
        <w:t>expected in the 2020-21 Budget</w:t>
      </w:r>
      <w:r w:rsidRPr="000B4AF7">
        <w:t xml:space="preserve"> due to the accelerated completion and transfer of infrastructure assets in Whitlam and Taylor from the Suburban Land Agency. </w:t>
      </w:r>
    </w:p>
    <w:p w14:paraId="0F2FF645" w14:textId="77777777" w:rsidR="00A60D4B" w:rsidRPr="00B77276" w:rsidRDefault="00A60D4B" w:rsidP="00A60D4B">
      <w:pPr>
        <w:pStyle w:val="Bbodytext"/>
      </w:pPr>
      <w:r w:rsidRPr="000B4AF7">
        <w:t xml:space="preserve">The increase in 2021-22 is mainly due to the estimated value of assets to be received from Community Housing Canberra in exchange for extinguishment of their loan with the Territory following a restructuring of the loan arrangement. </w:t>
      </w:r>
      <w:r>
        <w:t xml:space="preserve">Further information on this can be found in Chapter 3.2. </w:t>
      </w:r>
      <w:r w:rsidRPr="000B4AF7">
        <w:t>Other gains in 2021-22 and beyond primarily reflect the transfer of infrastructure assets, such as roads and sewerage, associated with the new Indicative Land Release Program</w:t>
      </w:r>
      <w:r>
        <w:t>,</w:t>
      </w:r>
      <w:r w:rsidRPr="000B4AF7">
        <w:t xml:space="preserve"> as well as revisions to release settlement timings and revaluations of estate costs and revenues.</w:t>
      </w:r>
    </w:p>
    <w:p w14:paraId="3E077A27" w14:textId="77777777" w:rsidR="00A60D4B" w:rsidRDefault="00A60D4B">
      <w:pPr>
        <w:rPr>
          <w:b/>
          <w:iCs/>
          <w:color w:val="472D8C"/>
          <w:szCs w:val="18"/>
        </w:rPr>
      </w:pPr>
      <w:r>
        <w:br w:type="page"/>
      </w:r>
    </w:p>
    <w:p w14:paraId="3FE5EFC7" w14:textId="7F4253EB" w:rsidR="00A60D4B" w:rsidRDefault="00A60D4B" w:rsidP="00A60D4B">
      <w:pPr>
        <w:pStyle w:val="Caption"/>
        <w:keepLines/>
      </w:pPr>
      <w:r>
        <w:lastRenderedPageBreak/>
        <w:t xml:space="preserve">Table </w:t>
      </w:r>
      <w:r w:rsidR="00FB4E5C">
        <w:fldChar w:fldCharType="begin"/>
      </w:r>
      <w:r w:rsidR="00FB4E5C">
        <w:instrText xml:space="preserve"> STYLEREF 2 \s </w:instrText>
      </w:r>
      <w:r w:rsidR="00FB4E5C">
        <w:fldChar w:fldCharType="separate"/>
      </w:r>
      <w:r w:rsidR="00F12A80">
        <w:rPr>
          <w:noProof/>
        </w:rPr>
        <w:t>3.5</w:t>
      </w:r>
      <w:r w:rsidR="00FB4E5C">
        <w:rPr>
          <w:noProof/>
        </w:rPr>
        <w:fldChar w:fldCharType="end"/>
      </w:r>
      <w:r>
        <w:t>.</w:t>
      </w:r>
      <w:r w:rsidR="00FB4E5C">
        <w:fldChar w:fldCharType="begin"/>
      </w:r>
      <w:r w:rsidR="00FB4E5C">
        <w:instrText xml:space="preserve"> SEQ Table \* ARABIC \s 2 </w:instrText>
      </w:r>
      <w:r w:rsidR="00FB4E5C">
        <w:fldChar w:fldCharType="separate"/>
      </w:r>
      <w:r w:rsidR="00F12A80">
        <w:rPr>
          <w:noProof/>
        </w:rPr>
        <w:t>17</w:t>
      </w:r>
      <w:r w:rsidR="00FB4E5C">
        <w:rPr>
          <w:noProof/>
        </w:rPr>
        <w:fldChar w:fldCharType="end"/>
      </w:r>
      <w:r w:rsidRPr="007772CF">
        <w:t xml:space="preserve">: Contributed </w:t>
      </w:r>
      <w:r w:rsidRPr="00C93252">
        <w:t xml:space="preserve">assets </w:t>
      </w:r>
    </w:p>
    <w:tbl>
      <w:tblPr>
        <w:tblW w:w="9214" w:type="dxa"/>
        <w:tblBorders>
          <w:top w:val="single" w:sz="4" w:space="0" w:color="auto"/>
          <w:bottom w:val="single" w:sz="4" w:space="0" w:color="auto"/>
          <w:insideH w:val="single" w:sz="4" w:space="0" w:color="auto"/>
        </w:tblBorders>
        <w:tblLayout w:type="fixed"/>
        <w:tblCellMar>
          <w:left w:w="85" w:type="dxa"/>
        </w:tblCellMar>
        <w:tblLook w:val="04A0" w:firstRow="1" w:lastRow="0" w:firstColumn="1" w:lastColumn="0" w:noHBand="0" w:noVBand="1"/>
      </w:tblPr>
      <w:tblGrid>
        <w:gridCol w:w="2127"/>
        <w:gridCol w:w="1181"/>
        <w:gridCol w:w="1181"/>
        <w:gridCol w:w="1181"/>
        <w:gridCol w:w="1181"/>
        <w:gridCol w:w="1181"/>
        <w:gridCol w:w="1182"/>
      </w:tblGrid>
      <w:tr w:rsidR="00A60D4B" w:rsidRPr="008F5D57" w14:paraId="6A32DF2C" w14:textId="77777777" w:rsidTr="00A60D4B">
        <w:trPr>
          <w:trHeight w:val="156"/>
        </w:trPr>
        <w:tc>
          <w:tcPr>
            <w:tcW w:w="2127" w:type="dxa"/>
            <w:tcBorders>
              <w:bottom w:val="single" w:sz="4" w:space="0" w:color="auto"/>
            </w:tcBorders>
            <w:shd w:val="clear" w:color="auto" w:fill="472D8C"/>
          </w:tcPr>
          <w:p w14:paraId="732C7550" w14:textId="77777777" w:rsidR="00A60D4B" w:rsidRPr="00111524" w:rsidRDefault="00A60D4B" w:rsidP="00A60D4B">
            <w:pPr>
              <w:rPr>
                <w:rFonts w:cs="Calibri"/>
                <w:b/>
                <w:color w:val="FFFFFF" w:themeColor="background1"/>
                <w:sz w:val="20"/>
              </w:rPr>
            </w:pPr>
          </w:p>
        </w:tc>
        <w:tc>
          <w:tcPr>
            <w:tcW w:w="1181" w:type="dxa"/>
            <w:tcBorders>
              <w:bottom w:val="single" w:sz="4" w:space="0" w:color="auto"/>
            </w:tcBorders>
            <w:shd w:val="clear" w:color="auto" w:fill="472D8C"/>
          </w:tcPr>
          <w:p w14:paraId="5F56BE45" w14:textId="77777777" w:rsidR="006F1DF8"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Budget</w:t>
            </w:r>
            <w:r>
              <w:rPr>
                <w:color w:val="FFFFFF" w:themeColor="background1"/>
              </w:rPr>
              <w:br/>
            </w:r>
          </w:p>
          <w:p w14:paraId="0B9D7DF8" w14:textId="7CE7AFF8" w:rsidR="00A60D4B" w:rsidRPr="00111524" w:rsidRDefault="00A60D4B" w:rsidP="00A60D4B">
            <w:pPr>
              <w:pStyle w:val="BTableHeadingRowRightAligned"/>
              <w:rPr>
                <w:color w:val="FFFFFF" w:themeColor="background1"/>
              </w:rPr>
            </w:pPr>
            <w:r>
              <w:rPr>
                <w:color w:val="FFFFFF" w:themeColor="background1"/>
              </w:rPr>
              <w:t>$’000</w:t>
            </w:r>
          </w:p>
        </w:tc>
        <w:tc>
          <w:tcPr>
            <w:tcW w:w="1181" w:type="dxa"/>
            <w:tcBorders>
              <w:bottom w:val="single" w:sz="4" w:space="0" w:color="auto"/>
            </w:tcBorders>
            <w:shd w:val="clear" w:color="auto" w:fill="472D8C"/>
          </w:tcPr>
          <w:p w14:paraId="33F648F8" w14:textId="77777777" w:rsidR="00A60D4B" w:rsidRPr="00111524"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Interim outcome</w:t>
            </w:r>
            <w:r>
              <w:rPr>
                <w:color w:val="FFFFFF" w:themeColor="background1"/>
              </w:rPr>
              <w:br/>
              <w:t>$’000</w:t>
            </w:r>
          </w:p>
        </w:tc>
        <w:tc>
          <w:tcPr>
            <w:tcW w:w="1181" w:type="dxa"/>
            <w:tcBorders>
              <w:bottom w:val="single" w:sz="4" w:space="0" w:color="auto"/>
            </w:tcBorders>
            <w:shd w:val="clear" w:color="auto" w:fill="472D8C"/>
          </w:tcPr>
          <w:p w14:paraId="0BF7AA21" w14:textId="77777777" w:rsidR="006F1DF8" w:rsidRDefault="00A60D4B" w:rsidP="00A60D4B">
            <w:pPr>
              <w:pStyle w:val="BTableHeadingRowRightAligned"/>
              <w:rPr>
                <w:color w:val="FFFFFF" w:themeColor="background1"/>
              </w:rPr>
            </w:pPr>
            <w:r>
              <w:rPr>
                <w:color w:val="FFFFFF" w:themeColor="background1"/>
              </w:rPr>
              <w:t xml:space="preserve">2021-22 </w:t>
            </w:r>
            <w:r>
              <w:rPr>
                <w:color w:val="FFFFFF" w:themeColor="background1"/>
              </w:rPr>
              <w:br/>
              <w:t>Budget</w:t>
            </w:r>
            <w:r>
              <w:rPr>
                <w:color w:val="FFFFFF" w:themeColor="background1"/>
              </w:rPr>
              <w:br/>
            </w:r>
          </w:p>
          <w:p w14:paraId="0A5A1C93" w14:textId="1DCE3C9A" w:rsidR="00A60D4B" w:rsidRPr="00111524" w:rsidRDefault="00A60D4B" w:rsidP="00A60D4B">
            <w:pPr>
              <w:pStyle w:val="BTableHeadingRowRightAligned"/>
              <w:rPr>
                <w:color w:val="FFFFFF" w:themeColor="background1"/>
              </w:rPr>
            </w:pPr>
            <w:r>
              <w:rPr>
                <w:color w:val="FFFFFF" w:themeColor="background1"/>
              </w:rPr>
              <w:t>$’000</w:t>
            </w:r>
          </w:p>
        </w:tc>
        <w:tc>
          <w:tcPr>
            <w:tcW w:w="1181" w:type="dxa"/>
            <w:tcBorders>
              <w:bottom w:val="single" w:sz="4" w:space="0" w:color="auto"/>
            </w:tcBorders>
            <w:shd w:val="clear" w:color="auto" w:fill="472D8C"/>
          </w:tcPr>
          <w:p w14:paraId="21F95D8B" w14:textId="77777777" w:rsidR="006F1DF8" w:rsidRDefault="00A60D4B" w:rsidP="00A60D4B">
            <w:pPr>
              <w:pStyle w:val="BTableHeadingRowRightAligned"/>
              <w:rPr>
                <w:color w:val="FFFFFF" w:themeColor="background1"/>
              </w:rPr>
            </w:pPr>
            <w:r>
              <w:rPr>
                <w:color w:val="FFFFFF" w:themeColor="background1"/>
              </w:rPr>
              <w:t>2022-23</w:t>
            </w:r>
            <w:r>
              <w:rPr>
                <w:color w:val="FFFFFF" w:themeColor="background1"/>
              </w:rPr>
              <w:br/>
              <w:t>Estimate</w:t>
            </w:r>
            <w:r>
              <w:rPr>
                <w:color w:val="FFFFFF" w:themeColor="background1"/>
              </w:rPr>
              <w:br/>
            </w:r>
          </w:p>
          <w:p w14:paraId="3E06FC02" w14:textId="374660B9" w:rsidR="00A60D4B" w:rsidRPr="00111524" w:rsidRDefault="00A60D4B" w:rsidP="00A60D4B">
            <w:pPr>
              <w:pStyle w:val="BTableHeadingRowRightAligned"/>
              <w:rPr>
                <w:color w:val="FFFFFF" w:themeColor="background1"/>
              </w:rPr>
            </w:pPr>
            <w:r>
              <w:rPr>
                <w:color w:val="FFFFFF" w:themeColor="background1"/>
              </w:rPr>
              <w:t>$’000</w:t>
            </w:r>
          </w:p>
        </w:tc>
        <w:tc>
          <w:tcPr>
            <w:tcW w:w="1181" w:type="dxa"/>
            <w:tcBorders>
              <w:bottom w:val="single" w:sz="4" w:space="0" w:color="auto"/>
            </w:tcBorders>
            <w:shd w:val="clear" w:color="auto" w:fill="472D8C"/>
          </w:tcPr>
          <w:p w14:paraId="1DA306AE" w14:textId="77777777" w:rsidR="006F1DF8" w:rsidRDefault="00A60D4B" w:rsidP="00A60D4B">
            <w:pPr>
              <w:pStyle w:val="BTableHeadingRowRightAligned"/>
              <w:rPr>
                <w:color w:val="FFFFFF" w:themeColor="background1"/>
              </w:rPr>
            </w:pPr>
            <w:r>
              <w:rPr>
                <w:color w:val="FFFFFF" w:themeColor="background1"/>
              </w:rPr>
              <w:t>2023-24</w:t>
            </w:r>
            <w:r>
              <w:rPr>
                <w:color w:val="FFFFFF" w:themeColor="background1"/>
              </w:rPr>
              <w:br/>
              <w:t>Estimate</w:t>
            </w:r>
            <w:r>
              <w:rPr>
                <w:color w:val="FFFFFF" w:themeColor="background1"/>
              </w:rPr>
              <w:br/>
            </w:r>
          </w:p>
          <w:p w14:paraId="2CFEB2F1" w14:textId="76866A25" w:rsidR="00A60D4B" w:rsidRPr="00111524" w:rsidRDefault="00A60D4B" w:rsidP="00A60D4B">
            <w:pPr>
              <w:pStyle w:val="BTableHeadingRowRightAligned"/>
              <w:rPr>
                <w:color w:val="FFFFFF" w:themeColor="background1"/>
              </w:rPr>
            </w:pPr>
            <w:r>
              <w:rPr>
                <w:color w:val="FFFFFF" w:themeColor="background1"/>
              </w:rPr>
              <w:t>$’000</w:t>
            </w:r>
          </w:p>
        </w:tc>
        <w:tc>
          <w:tcPr>
            <w:tcW w:w="1182" w:type="dxa"/>
            <w:tcBorders>
              <w:bottom w:val="single" w:sz="4" w:space="0" w:color="auto"/>
            </w:tcBorders>
            <w:shd w:val="clear" w:color="auto" w:fill="472D8C"/>
          </w:tcPr>
          <w:p w14:paraId="53795C55" w14:textId="77777777" w:rsidR="006F1DF8" w:rsidRDefault="00A60D4B" w:rsidP="00A60D4B">
            <w:pPr>
              <w:pStyle w:val="BTableHeadingRowRightAligned"/>
              <w:rPr>
                <w:color w:val="FFFFFF" w:themeColor="background1"/>
              </w:rPr>
            </w:pPr>
            <w:r>
              <w:rPr>
                <w:color w:val="FFFFFF" w:themeColor="background1"/>
              </w:rPr>
              <w:t>2024-25</w:t>
            </w:r>
            <w:r>
              <w:rPr>
                <w:color w:val="FFFFFF" w:themeColor="background1"/>
              </w:rPr>
              <w:br/>
              <w:t>Estimate</w:t>
            </w:r>
            <w:r>
              <w:rPr>
                <w:color w:val="FFFFFF" w:themeColor="background1"/>
              </w:rPr>
              <w:br/>
            </w:r>
          </w:p>
          <w:p w14:paraId="422395B4" w14:textId="1243F0CB" w:rsidR="00A60D4B" w:rsidRPr="00111524" w:rsidRDefault="00A60D4B" w:rsidP="00A60D4B">
            <w:pPr>
              <w:pStyle w:val="BTableHeadingRowRightAligned"/>
              <w:rPr>
                <w:color w:val="FFFFFF" w:themeColor="background1"/>
              </w:rPr>
            </w:pPr>
            <w:r>
              <w:rPr>
                <w:color w:val="FFFFFF" w:themeColor="background1"/>
              </w:rPr>
              <w:t>$’000</w:t>
            </w:r>
          </w:p>
        </w:tc>
      </w:tr>
      <w:tr w:rsidR="00A60D4B" w:rsidRPr="00337DC9" w14:paraId="05B2E858" w14:textId="77777777" w:rsidTr="00A60D4B">
        <w:trPr>
          <w:trHeight w:val="20"/>
        </w:trPr>
        <w:tc>
          <w:tcPr>
            <w:tcW w:w="2127" w:type="dxa"/>
            <w:tcBorders>
              <w:top w:val="nil"/>
              <w:bottom w:val="nil"/>
            </w:tcBorders>
          </w:tcPr>
          <w:p w14:paraId="3CA89172" w14:textId="77777777" w:rsidR="00A60D4B" w:rsidRPr="00862789" w:rsidRDefault="00A60D4B" w:rsidP="00A60D4B">
            <w:pPr>
              <w:pStyle w:val="Btabletextbold"/>
            </w:pPr>
            <w:r w:rsidRPr="00862789">
              <w:rPr>
                <w:rFonts w:cs="Calibri"/>
                <w:sz w:val="18"/>
                <w:szCs w:val="18"/>
              </w:rPr>
              <w:t>Contributed Assets</w:t>
            </w:r>
          </w:p>
        </w:tc>
        <w:tc>
          <w:tcPr>
            <w:tcW w:w="1181" w:type="dxa"/>
            <w:tcBorders>
              <w:bottom w:val="nil"/>
            </w:tcBorders>
          </w:tcPr>
          <w:p w14:paraId="29E0A2EC" w14:textId="77777777" w:rsidR="00A60D4B" w:rsidRPr="00037F42" w:rsidRDefault="00A60D4B" w:rsidP="00A60D4B">
            <w:pPr>
              <w:pStyle w:val="Btablefigureunbold"/>
              <w:rPr>
                <w:bCs/>
              </w:rPr>
            </w:pPr>
            <w:r>
              <w:rPr>
                <w:rFonts w:cs="Calibri"/>
                <w:sz w:val="18"/>
                <w:szCs w:val="18"/>
              </w:rPr>
              <w:t> </w:t>
            </w:r>
          </w:p>
        </w:tc>
        <w:tc>
          <w:tcPr>
            <w:tcW w:w="1181" w:type="dxa"/>
            <w:tcBorders>
              <w:bottom w:val="nil"/>
            </w:tcBorders>
          </w:tcPr>
          <w:p w14:paraId="29D70FC7" w14:textId="77777777" w:rsidR="00A60D4B" w:rsidRPr="00037F42" w:rsidRDefault="00A60D4B" w:rsidP="00A60D4B">
            <w:pPr>
              <w:pStyle w:val="Btablefigureunbold"/>
              <w:rPr>
                <w:bCs/>
              </w:rPr>
            </w:pPr>
            <w:r>
              <w:rPr>
                <w:rFonts w:cs="Calibri"/>
                <w:sz w:val="18"/>
                <w:szCs w:val="18"/>
              </w:rPr>
              <w:t> </w:t>
            </w:r>
          </w:p>
        </w:tc>
        <w:tc>
          <w:tcPr>
            <w:tcW w:w="1181" w:type="dxa"/>
            <w:tcBorders>
              <w:bottom w:val="nil"/>
            </w:tcBorders>
            <w:shd w:val="clear" w:color="auto" w:fill="auto"/>
          </w:tcPr>
          <w:p w14:paraId="3A85092E" w14:textId="77777777" w:rsidR="00A60D4B" w:rsidRPr="00037F42" w:rsidRDefault="00A60D4B" w:rsidP="00A60D4B">
            <w:pPr>
              <w:pStyle w:val="Btablefigureunbold"/>
              <w:rPr>
                <w:bCs/>
              </w:rPr>
            </w:pPr>
            <w:r>
              <w:rPr>
                <w:rFonts w:cs="Calibri"/>
                <w:sz w:val="18"/>
                <w:szCs w:val="18"/>
              </w:rPr>
              <w:t> </w:t>
            </w:r>
          </w:p>
        </w:tc>
        <w:tc>
          <w:tcPr>
            <w:tcW w:w="1181" w:type="dxa"/>
            <w:tcBorders>
              <w:bottom w:val="nil"/>
            </w:tcBorders>
            <w:shd w:val="clear" w:color="472D8C" w:fill="auto"/>
          </w:tcPr>
          <w:p w14:paraId="1CBDF2EB" w14:textId="77777777" w:rsidR="00A60D4B" w:rsidRPr="00037F42" w:rsidRDefault="00A60D4B" w:rsidP="00A60D4B">
            <w:pPr>
              <w:pStyle w:val="Btablefigureunbold"/>
              <w:rPr>
                <w:bCs/>
                <w:color w:val="000000"/>
              </w:rPr>
            </w:pPr>
            <w:r>
              <w:rPr>
                <w:rFonts w:cs="Calibri"/>
                <w:sz w:val="18"/>
                <w:szCs w:val="18"/>
              </w:rPr>
              <w:t> </w:t>
            </w:r>
          </w:p>
        </w:tc>
        <w:tc>
          <w:tcPr>
            <w:tcW w:w="1181" w:type="dxa"/>
            <w:tcBorders>
              <w:bottom w:val="nil"/>
            </w:tcBorders>
            <w:shd w:val="clear" w:color="auto" w:fill="auto"/>
          </w:tcPr>
          <w:p w14:paraId="3E1CE69B" w14:textId="77777777" w:rsidR="00A60D4B" w:rsidRPr="00037F42" w:rsidRDefault="00A60D4B" w:rsidP="00A60D4B">
            <w:pPr>
              <w:pStyle w:val="Btablefigureunbold"/>
              <w:rPr>
                <w:bCs/>
              </w:rPr>
            </w:pPr>
            <w:r>
              <w:rPr>
                <w:rFonts w:cs="Calibri"/>
                <w:sz w:val="18"/>
                <w:szCs w:val="18"/>
              </w:rPr>
              <w:t> </w:t>
            </w:r>
          </w:p>
        </w:tc>
        <w:tc>
          <w:tcPr>
            <w:tcW w:w="1182" w:type="dxa"/>
            <w:tcBorders>
              <w:bottom w:val="nil"/>
            </w:tcBorders>
          </w:tcPr>
          <w:p w14:paraId="75C79BDA" w14:textId="77777777" w:rsidR="00A60D4B" w:rsidRPr="00037F42" w:rsidRDefault="00A60D4B" w:rsidP="00A60D4B">
            <w:pPr>
              <w:pStyle w:val="Btablefigureunbold"/>
              <w:rPr>
                <w:bCs/>
              </w:rPr>
            </w:pPr>
            <w:r>
              <w:rPr>
                <w:rFonts w:cs="Calibri"/>
                <w:sz w:val="18"/>
                <w:szCs w:val="18"/>
              </w:rPr>
              <w:t> </w:t>
            </w:r>
          </w:p>
        </w:tc>
      </w:tr>
      <w:tr w:rsidR="00A60D4B" w:rsidRPr="00337DC9" w14:paraId="1BA22A84" w14:textId="77777777" w:rsidTr="00A60D4B">
        <w:trPr>
          <w:trHeight w:val="20"/>
        </w:trPr>
        <w:tc>
          <w:tcPr>
            <w:tcW w:w="2127" w:type="dxa"/>
            <w:tcBorders>
              <w:top w:val="nil"/>
              <w:bottom w:val="nil"/>
            </w:tcBorders>
          </w:tcPr>
          <w:p w14:paraId="3B882C0B" w14:textId="77777777" w:rsidR="00A60D4B" w:rsidRPr="00037F42" w:rsidRDefault="00A60D4B" w:rsidP="00A60D4B">
            <w:pPr>
              <w:pStyle w:val="Btabletextunbold"/>
              <w:rPr>
                <w:bCs/>
              </w:rPr>
            </w:pPr>
            <w:r>
              <w:rPr>
                <w:rFonts w:cs="Calibri"/>
                <w:sz w:val="18"/>
                <w:szCs w:val="18"/>
              </w:rPr>
              <w:t>Gains from Contributed Assets</w:t>
            </w:r>
          </w:p>
        </w:tc>
        <w:tc>
          <w:tcPr>
            <w:tcW w:w="1181" w:type="dxa"/>
            <w:tcBorders>
              <w:top w:val="nil"/>
              <w:bottom w:val="nil"/>
            </w:tcBorders>
          </w:tcPr>
          <w:p w14:paraId="720E850C" w14:textId="77777777" w:rsidR="00A60D4B" w:rsidRPr="00037F42" w:rsidRDefault="00A60D4B" w:rsidP="00A60D4B">
            <w:pPr>
              <w:pStyle w:val="Btablefigureunbold"/>
              <w:rPr>
                <w:bCs/>
              </w:rPr>
            </w:pPr>
            <w:r>
              <w:rPr>
                <w:rFonts w:cs="Calibri"/>
                <w:sz w:val="18"/>
                <w:szCs w:val="18"/>
              </w:rPr>
              <w:t xml:space="preserve">84,054 </w:t>
            </w:r>
          </w:p>
        </w:tc>
        <w:tc>
          <w:tcPr>
            <w:tcW w:w="1181" w:type="dxa"/>
            <w:tcBorders>
              <w:top w:val="nil"/>
              <w:bottom w:val="nil"/>
            </w:tcBorders>
          </w:tcPr>
          <w:p w14:paraId="32132282" w14:textId="77777777" w:rsidR="00A60D4B" w:rsidRPr="00037F42" w:rsidRDefault="00A60D4B" w:rsidP="00A60D4B">
            <w:pPr>
              <w:pStyle w:val="Btablefigureunbold"/>
              <w:rPr>
                <w:bCs/>
              </w:rPr>
            </w:pPr>
            <w:r>
              <w:rPr>
                <w:rFonts w:cs="Calibri"/>
                <w:sz w:val="18"/>
                <w:szCs w:val="18"/>
              </w:rPr>
              <w:t xml:space="preserve">132,214 </w:t>
            </w:r>
          </w:p>
        </w:tc>
        <w:tc>
          <w:tcPr>
            <w:tcW w:w="1181" w:type="dxa"/>
            <w:tcBorders>
              <w:top w:val="nil"/>
              <w:bottom w:val="nil"/>
            </w:tcBorders>
            <w:shd w:val="clear" w:color="auto" w:fill="auto"/>
          </w:tcPr>
          <w:p w14:paraId="231FA687" w14:textId="77777777" w:rsidR="00A60D4B" w:rsidRPr="00862789" w:rsidRDefault="00A60D4B" w:rsidP="00A60D4B">
            <w:pPr>
              <w:pStyle w:val="BTablefigureBold"/>
              <w:rPr>
                <w:b w:val="0"/>
                <w:bCs/>
              </w:rPr>
            </w:pPr>
            <w:r w:rsidRPr="00862789">
              <w:rPr>
                <w:rFonts w:cs="Calibri"/>
                <w:b w:val="0"/>
                <w:bCs/>
                <w:sz w:val="18"/>
                <w:szCs w:val="18"/>
              </w:rPr>
              <w:t xml:space="preserve">254,377 </w:t>
            </w:r>
          </w:p>
        </w:tc>
        <w:tc>
          <w:tcPr>
            <w:tcW w:w="1181" w:type="dxa"/>
            <w:tcBorders>
              <w:top w:val="nil"/>
              <w:bottom w:val="nil"/>
            </w:tcBorders>
            <w:shd w:val="clear" w:color="472D8C" w:fill="auto"/>
          </w:tcPr>
          <w:p w14:paraId="10443F98" w14:textId="77777777" w:rsidR="00A60D4B" w:rsidRPr="00037F42" w:rsidRDefault="00A60D4B" w:rsidP="00A60D4B">
            <w:pPr>
              <w:pStyle w:val="Btablefigureunbold"/>
              <w:rPr>
                <w:bCs/>
                <w:color w:val="000000"/>
              </w:rPr>
            </w:pPr>
            <w:r>
              <w:rPr>
                <w:rFonts w:cs="Calibri"/>
                <w:sz w:val="18"/>
                <w:szCs w:val="18"/>
              </w:rPr>
              <w:t xml:space="preserve">108,188 </w:t>
            </w:r>
          </w:p>
        </w:tc>
        <w:tc>
          <w:tcPr>
            <w:tcW w:w="1181" w:type="dxa"/>
            <w:tcBorders>
              <w:top w:val="nil"/>
              <w:bottom w:val="nil"/>
            </w:tcBorders>
            <w:shd w:val="clear" w:color="auto" w:fill="auto"/>
          </w:tcPr>
          <w:p w14:paraId="254866B0" w14:textId="77777777" w:rsidR="00A60D4B" w:rsidRPr="00037F42" w:rsidRDefault="00A60D4B" w:rsidP="00A60D4B">
            <w:pPr>
              <w:pStyle w:val="Btablefigureunbold"/>
              <w:rPr>
                <w:bCs/>
              </w:rPr>
            </w:pPr>
            <w:r>
              <w:rPr>
                <w:rFonts w:cs="Calibri"/>
                <w:sz w:val="18"/>
                <w:szCs w:val="18"/>
              </w:rPr>
              <w:t xml:space="preserve">220,345 </w:t>
            </w:r>
          </w:p>
        </w:tc>
        <w:tc>
          <w:tcPr>
            <w:tcW w:w="1182" w:type="dxa"/>
            <w:tcBorders>
              <w:top w:val="nil"/>
              <w:bottom w:val="nil"/>
            </w:tcBorders>
          </w:tcPr>
          <w:p w14:paraId="659837D1" w14:textId="77777777" w:rsidR="00A60D4B" w:rsidRPr="00037F42" w:rsidRDefault="00A60D4B" w:rsidP="00A60D4B">
            <w:pPr>
              <w:pStyle w:val="Btablefigureunbold"/>
              <w:rPr>
                <w:bCs/>
              </w:rPr>
            </w:pPr>
            <w:r>
              <w:rPr>
                <w:rFonts w:cs="Calibri"/>
                <w:sz w:val="18"/>
                <w:szCs w:val="18"/>
              </w:rPr>
              <w:t xml:space="preserve">121,679 </w:t>
            </w:r>
          </w:p>
        </w:tc>
      </w:tr>
      <w:tr w:rsidR="00A60D4B" w:rsidRPr="00337DC9" w14:paraId="180367BC" w14:textId="77777777" w:rsidTr="00A60D4B">
        <w:trPr>
          <w:trHeight w:val="20"/>
        </w:trPr>
        <w:tc>
          <w:tcPr>
            <w:tcW w:w="2127" w:type="dxa"/>
            <w:tcBorders>
              <w:top w:val="nil"/>
              <w:bottom w:val="nil"/>
            </w:tcBorders>
          </w:tcPr>
          <w:p w14:paraId="3745B869" w14:textId="77777777" w:rsidR="00A60D4B" w:rsidRPr="00037F42" w:rsidRDefault="00A60D4B" w:rsidP="00A60D4B">
            <w:pPr>
              <w:pStyle w:val="Btabletextunbold"/>
              <w:rPr>
                <w:bCs/>
              </w:rPr>
            </w:pPr>
            <w:r>
              <w:rPr>
                <w:rFonts w:cs="Calibri"/>
                <w:sz w:val="18"/>
                <w:szCs w:val="18"/>
              </w:rPr>
              <w:t>Large-scale Generation Certificates</w:t>
            </w:r>
          </w:p>
        </w:tc>
        <w:tc>
          <w:tcPr>
            <w:tcW w:w="1181" w:type="dxa"/>
            <w:tcBorders>
              <w:top w:val="nil"/>
              <w:bottom w:val="nil"/>
            </w:tcBorders>
          </w:tcPr>
          <w:p w14:paraId="08C05F4D" w14:textId="77777777" w:rsidR="00A60D4B" w:rsidRPr="00037F42" w:rsidRDefault="00A60D4B" w:rsidP="00A60D4B">
            <w:pPr>
              <w:pStyle w:val="Btablefigureunbold"/>
              <w:rPr>
                <w:bCs/>
              </w:rPr>
            </w:pPr>
            <w:r>
              <w:rPr>
                <w:rFonts w:cs="Calibri"/>
                <w:sz w:val="18"/>
                <w:szCs w:val="18"/>
              </w:rPr>
              <w:t xml:space="preserve">70,158 </w:t>
            </w:r>
          </w:p>
        </w:tc>
        <w:tc>
          <w:tcPr>
            <w:tcW w:w="1181" w:type="dxa"/>
            <w:tcBorders>
              <w:top w:val="nil"/>
              <w:bottom w:val="nil"/>
            </w:tcBorders>
          </w:tcPr>
          <w:p w14:paraId="5714C791" w14:textId="77777777" w:rsidR="00A60D4B" w:rsidRPr="00037F42" w:rsidRDefault="00A60D4B" w:rsidP="00A60D4B">
            <w:pPr>
              <w:pStyle w:val="Btablefigureunbold"/>
              <w:rPr>
                <w:bCs/>
              </w:rPr>
            </w:pPr>
            <w:r>
              <w:rPr>
                <w:rFonts w:cs="Calibri"/>
                <w:sz w:val="18"/>
                <w:szCs w:val="18"/>
              </w:rPr>
              <w:t xml:space="preserve">71,867 </w:t>
            </w:r>
          </w:p>
        </w:tc>
        <w:tc>
          <w:tcPr>
            <w:tcW w:w="1181" w:type="dxa"/>
            <w:tcBorders>
              <w:top w:val="nil"/>
              <w:bottom w:val="nil"/>
            </w:tcBorders>
            <w:shd w:val="clear" w:color="auto" w:fill="auto"/>
          </w:tcPr>
          <w:p w14:paraId="5338E12A" w14:textId="77777777" w:rsidR="00A60D4B" w:rsidRPr="00862789" w:rsidRDefault="00A60D4B" w:rsidP="00A60D4B">
            <w:pPr>
              <w:pStyle w:val="BTablefigureBold"/>
              <w:rPr>
                <w:b w:val="0"/>
                <w:bCs/>
              </w:rPr>
            </w:pPr>
            <w:r w:rsidRPr="00862789">
              <w:rPr>
                <w:rFonts w:cs="Calibri"/>
                <w:b w:val="0"/>
                <w:bCs/>
                <w:sz w:val="18"/>
                <w:szCs w:val="18"/>
              </w:rPr>
              <w:t xml:space="preserve">49,571 </w:t>
            </w:r>
          </w:p>
        </w:tc>
        <w:tc>
          <w:tcPr>
            <w:tcW w:w="1181" w:type="dxa"/>
            <w:tcBorders>
              <w:top w:val="nil"/>
              <w:bottom w:val="nil"/>
            </w:tcBorders>
            <w:shd w:val="clear" w:color="472D8C" w:fill="auto"/>
          </w:tcPr>
          <w:p w14:paraId="4822D9C8" w14:textId="77777777" w:rsidR="00A60D4B" w:rsidRPr="00037F42" w:rsidRDefault="00A60D4B" w:rsidP="00A60D4B">
            <w:pPr>
              <w:pStyle w:val="Btablefigureunbold"/>
              <w:rPr>
                <w:bCs/>
                <w:color w:val="000000"/>
              </w:rPr>
            </w:pPr>
            <w:r>
              <w:rPr>
                <w:rFonts w:cs="Calibri"/>
                <w:sz w:val="18"/>
                <w:szCs w:val="18"/>
              </w:rPr>
              <w:t xml:space="preserve">39,175 </w:t>
            </w:r>
          </w:p>
        </w:tc>
        <w:tc>
          <w:tcPr>
            <w:tcW w:w="1181" w:type="dxa"/>
            <w:tcBorders>
              <w:top w:val="nil"/>
              <w:bottom w:val="nil"/>
            </w:tcBorders>
            <w:shd w:val="clear" w:color="auto" w:fill="auto"/>
          </w:tcPr>
          <w:p w14:paraId="7C09991B" w14:textId="77777777" w:rsidR="00A60D4B" w:rsidRPr="00037F42" w:rsidRDefault="00A60D4B" w:rsidP="00A60D4B">
            <w:pPr>
              <w:pStyle w:val="Btablefigureunbold"/>
              <w:rPr>
                <w:bCs/>
              </w:rPr>
            </w:pPr>
            <w:r>
              <w:rPr>
                <w:rFonts w:cs="Calibri"/>
                <w:sz w:val="18"/>
                <w:szCs w:val="18"/>
              </w:rPr>
              <w:t xml:space="preserve">21,329 </w:t>
            </w:r>
          </w:p>
        </w:tc>
        <w:tc>
          <w:tcPr>
            <w:tcW w:w="1182" w:type="dxa"/>
            <w:tcBorders>
              <w:top w:val="nil"/>
              <w:bottom w:val="nil"/>
            </w:tcBorders>
          </w:tcPr>
          <w:p w14:paraId="17439DA4" w14:textId="77777777" w:rsidR="00A60D4B" w:rsidRPr="00037F42" w:rsidRDefault="00A60D4B" w:rsidP="00A60D4B">
            <w:pPr>
              <w:pStyle w:val="Btablefigureunbold"/>
              <w:rPr>
                <w:bCs/>
              </w:rPr>
            </w:pPr>
            <w:r>
              <w:rPr>
                <w:rFonts w:cs="Calibri"/>
                <w:sz w:val="18"/>
                <w:szCs w:val="18"/>
              </w:rPr>
              <w:t xml:space="preserve">16,179 </w:t>
            </w:r>
          </w:p>
        </w:tc>
      </w:tr>
      <w:tr w:rsidR="00A60D4B" w:rsidRPr="00337DC9" w14:paraId="6D359557" w14:textId="77777777" w:rsidTr="00A60D4B">
        <w:trPr>
          <w:trHeight w:val="20"/>
        </w:trPr>
        <w:tc>
          <w:tcPr>
            <w:tcW w:w="2127" w:type="dxa"/>
            <w:tcBorders>
              <w:top w:val="nil"/>
              <w:bottom w:val="nil"/>
            </w:tcBorders>
          </w:tcPr>
          <w:p w14:paraId="55AF51E4" w14:textId="77777777" w:rsidR="00A60D4B" w:rsidRPr="00037F42" w:rsidRDefault="00A60D4B" w:rsidP="00A60D4B">
            <w:pPr>
              <w:pStyle w:val="Btabletextunbold"/>
              <w:rPr>
                <w:bCs/>
              </w:rPr>
            </w:pPr>
            <w:r>
              <w:rPr>
                <w:rFonts w:cs="Calibri"/>
                <w:sz w:val="18"/>
                <w:szCs w:val="18"/>
              </w:rPr>
              <w:t xml:space="preserve">Other   </w:t>
            </w:r>
          </w:p>
        </w:tc>
        <w:tc>
          <w:tcPr>
            <w:tcW w:w="1181" w:type="dxa"/>
            <w:tcBorders>
              <w:top w:val="nil"/>
              <w:bottom w:val="nil"/>
            </w:tcBorders>
          </w:tcPr>
          <w:p w14:paraId="41E57351" w14:textId="77777777" w:rsidR="00A60D4B" w:rsidRPr="00037F42" w:rsidRDefault="00A60D4B" w:rsidP="00A60D4B">
            <w:pPr>
              <w:pStyle w:val="Btablefigureunbold"/>
              <w:rPr>
                <w:bCs/>
              </w:rPr>
            </w:pPr>
            <w:r>
              <w:rPr>
                <w:rFonts w:cs="Calibri"/>
                <w:sz w:val="18"/>
                <w:szCs w:val="18"/>
              </w:rPr>
              <w:t xml:space="preserve">1,700 </w:t>
            </w:r>
          </w:p>
        </w:tc>
        <w:tc>
          <w:tcPr>
            <w:tcW w:w="1181" w:type="dxa"/>
            <w:tcBorders>
              <w:top w:val="nil"/>
              <w:bottom w:val="nil"/>
            </w:tcBorders>
          </w:tcPr>
          <w:p w14:paraId="1A85BBF3" w14:textId="77777777" w:rsidR="00A60D4B" w:rsidRPr="00037F42" w:rsidRDefault="00A60D4B" w:rsidP="00A60D4B">
            <w:pPr>
              <w:pStyle w:val="Btablefigureunbold"/>
              <w:rPr>
                <w:bCs/>
              </w:rPr>
            </w:pPr>
            <w:r>
              <w:rPr>
                <w:rFonts w:cs="Calibri"/>
                <w:sz w:val="18"/>
                <w:szCs w:val="18"/>
              </w:rPr>
              <w:t xml:space="preserve">1,188 </w:t>
            </w:r>
          </w:p>
        </w:tc>
        <w:tc>
          <w:tcPr>
            <w:tcW w:w="1181" w:type="dxa"/>
            <w:tcBorders>
              <w:top w:val="nil"/>
              <w:bottom w:val="nil"/>
            </w:tcBorders>
            <w:shd w:val="clear" w:color="auto" w:fill="auto"/>
          </w:tcPr>
          <w:p w14:paraId="178824BC" w14:textId="77777777" w:rsidR="00A60D4B" w:rsidRPr="00862789" w:rsidRDefault="00A60D4B" w:rsidP="00A60D4B">
            <w:pPr>
              <w:pStyle w:val="BTablefigureBold"/>
              <w:rPr>
                <w:b w:val="0"/>
                <w:bCs/>
              </w:rPr>
            </w:pPr>
            <w:r w:rsidRPr="00862789">
              <w:rPr>
                <w:rFonts w:cs="Calibri"/>
                <w:b w:val="0"/>
                <w:bCs/>
                <w:sz w:val="18"/>
                <w:szCs w:val="18"/>
              </w:rPr>
              <w:t xml:space="preserve">1,734 </w:t>
            </w:r>
          </w:p>
        </w:tc>
        <w:tc>
          <w:tcPr>
            <w:tcW w:w="1181" w:type="dxa"/>
            <w:tcBorders>
              <w:top w:val="nil"/>
              <w:bottom w:val="nil"/>
            </w:tcBorders>
            <w:shd w:val="clear" w:color="472D8C" w:fill="auto"/>
          </w:tcPr>
          <w:p w14:paraId="5CF5F066" w14:textId="77777777" w:rsidR="00A60D4B" w:rsidRPr="00037F42" w:rsidRDefault="00A60D4B" w:rsidP="00A60D4B">
            <w:pPr>
              <w:pStyle w:val="Btablefigureunbold"/>
              <w:rPr>
                <w:bCs/>
                <w:color w:val="000000"/>
              </w:rPr>
            </w:pPr>
            <w:r>
              <w:rPr>
                <w:rFonts w:cs="Calibri"/>
                <w:sz w:val="18"/>
                <w:szCs w:val="18"/>
              </w:rPr>
              <w:t xml:space="preserve">1,769 </w:t>
            </w:r>
          </w:p>
        </w:tc>
        <w:tc>
          <w:tcPr>
            <w:tcW w:w="1181" w:type="dxa"/>
            <w:tcBorders>
              <w:top w:val="nil"/>
              <w:bottom w:val="nil"/>
            </w:tcBorders>
            <w:shd w:val="clear" w:color="auto" w:fill="auto"/>
          </w:tcPr>
          <w:p w14:paraId="62146A6B" w14:textId="77777777" w:rsidR="00A60D4B" w:rsidRPr="00037F42" w:rsidRDefault="00A60D4B" w:rsidP="00A60D4B">
            <w:pPr>
              <w:pStyle w:val="Btablefigureunbold"/>
              <w:rPr>
                <w:bCs/>
              </w:rPr>
            </w:pPr>
            <w:r>
              <w:rPr>
                <w:rFonts w:cs="Calibri"/>
                <w:sz w:val="18"/>
                <w:szCs w:val="18"/>
              </w:rPr>
              <w:t xml:space="preserve">1,804 </w:t>
            </w:r>
          </w:p>
        </w:tc>
        <w:tc>
          <w:tcPr>
            <w:tcW w:w="1182" w:type="dxa"/>
            <w:tcBorders>
              <w:top w:val="nil"/>
              <w:bottom w:val="nil"/>
            </w:tcBorders>
          </w:tcPr>
          <w:p w14:paraId="44438441" w14:textId="77777777" w:rsidR="00A60D4B" w:rsidRPr="00037F42" w:rsidRDefault="00A60D4B" w:rsidP="00A60D4B">
            <w:pPr>
              <w:pStyle w:val="Btablefigureunbold"/>
              <w:rPr>
                <w:bCs/>
              </w:rPr>
            </w:pPr>
            <w:r>
              <w:rPr>
                <w:rFonts w:cs="Calibri"/>
                <w:sz w:val="18"/>
                <w:szCs w:val="18"/>
              </w:rPr>
              <w:t xml:space="preserve">1,804 </w:t>
            </w:r>
          </w:p>
        </w:tc>
      </w:tr>
      <w:tr w:rsidR="00A60D4B" w:rsidRPr="00337DC9" w14:paraId="57C55600" w14:textId="77777777" w:rsidTr="00A60D4B">
        <w:trPr>
          <w:trHeight w:val="20"/>
        </w:trPr>
        <w:tc>
          <w:tcPr>
            <w:tcW w:w="2127" w:type="dxa"/>
            <w:tcBorders>
              <w:top w:val="nil"/>
              <w:bottom w:val="nil"/>
            </w:tcBorders>
          </w:tcPr>
          <w:p w14:paraId="3BAF21BE" w14:textId="77777777" w:rsidR="00A60D4B" w:rsidRPr="00037F42" w:rsidRDefault="00A60D4B" w:rsidP="00A60D4B">
            <w:pPr>
              <w:pStyle w:val="Btabletextunbold"/>
              <w:rPr>
                <w:bCs/>
              </w:rPr>
            </w:pPr>
            <w:r>
              <w:rPr>
                <w:rFonts w:cs="Calibri"/>
                <w:sz w:val="18"/>
                <w:szCs w:val="18"/>
              </w:rPr>
              <w:t>Resources Received Free of Charge</w:t>
            </w:r>
          </w:p>
        </w:tc>
        <w:tc>
          <w:tcPr>
            <w:tcW w:w="1181" w:type="dxa"/>
            <w:tcBorders>
              <w:top w:val="nil"/>
              <w:bottom w:val="nil"/>
            </w:tcBorders>
          </w:tcPr>
          <w:p w14:paraId="48AE48AB" w14:textId="77777777" w:rsidR="00A60D4B" w:rsidRPr="00037F42" w:rsidRDefault="00A60D4B" w:rsidP="00A60D4B">
            <w:pPr>
              <w:pStyle w:val="Btablefigureunbold"/>
              <w:rPr>
                <w:bCs/>
              </w:rPr>
            </w:pPr>
            <w:r>
              <w:rPr>
                <w:rFonts w:cs="Calibri"/>
                <w:sz w:val="18"/>
                <w:szCs w:val="18"/>
              </w:rPr>
              <w:t xml:space="preserve">1,085 </w:t>
            </w:r>
          </w:p>
        </w:tc>
        <w:tc>
          <w:tcPr>
            <w:tcW w:w="1181" w:type="dxa"/>
            <w:tcBorders>
              <w:top w:val="nil"/>
              <w:bottom w:val="nil"/>
            </w:tcBorders>
          </w:tcPr>
          <w:p w14:paraId="6126AF5F" w14:textId="77777777" w:rsidR="00A60D4B" w:rsidRPr="00037F42" w:rsidRDefault="00A60D4B" w:rsidP="00A60D4B">
            <w:pPr>
              <w:pStyle w:val="Btablefigureunbold"/>
              <w:rPr>
                <w:bCs/>
              </w:rPr>
            </w:pPr>
            <w:r>
              <w:rPr>
                <w:rFonts w:cs="Calibri"/>
                <w:sz w:val="18"/>
                <w:szCs w:val="18"/>
              </w:rPr>
              <w:t xml:space="preserve">2,813 </w:t>
            </w:r>
          </w:p>
        </w:tc>
        <w:tc>
          <w:tcPr>
            <w:tcW w:w="1181" w:type="dxa"/>
            <w:tcBorders>
              <w:top w:val="nil"/>
              <w:bottom w:val="nil"/>
            </w:tcBorders>
            <w:shd w:val="clear" w:color="auto" w:fill="auto"/>
          </w:tcPr>
          <w:p w14:paraId="2422B4E4" w14:textId="77777777" w:rsidR="00A60D4B" w:rsidRPr="00862789" w:rsidRDefault="00A60D4B" w:rsidP="00A60D4B">
            <w:pPr>
              <w:pStyle w:val="BTablefigureBold"/>
              <w:rPr>
                <w:b w:val="0"/>
                <w:bCs/>
              </w:rPr>
            </w:pPr>
            <w:r w:rsidRPr="00862789">
              <w:rPr>
                <w:rFonts w:cs="Calibri"/>
                <w:b w:val="0"/>
                <w:bCs/>
                <w:sz w:val="18"/>
                <w:szCs w:val="18"/>
              </w:rPr>
              <w:t xml:space="preserve">791 </w:t>
            </w:r>
          </w:p>
        </w:tc>
        <w:tc>
          <w:tcPr>
            <w:tcW w:w="1181" w:type="dxa"/>
            <w:tcBorders>
              <w:top w:val="nil"/>
              <w:bottom w:val="nil"/>
            </w:tcBorders>
            <w:shd w:val="clear" w:color="472D8C" w:fill="auto"/>
          </w:tcPr>
          <w:p w14:paraId="62825F73" w14:textId="77777777" w:rsidR="00A60D4B" w:rsidRPr="00037F42" w:rsidRDefault="00A60D4B" w:rsidP="00A60D4B">
            <w:pPr>
              <w:pStyle w:val="Btablefigureunbold"/>
              <w:rPr>
                <w:bCs/>
                <w:color w:val="000000"/>
              </w:rPr>
            </w:pPr>
            <w:r>
              <w:rPr>
                <w:rFonts w:cs="Calibri"/>
                <w:sz w:val="18"/>
                <w:szCs w:val="18"/>
              </w:rPr>
              <w:t xml:space="preserve">794 </w:t>
            </w:r>
          </w:p>
        </w:tc>
        <w:tc>
          <w:tcPr>
            <w:tcW w:w="1181" w:type="dxa"/>
            <w:tcBorders>
              <w:top w:val="nil"/>
              <w:bottom w:val="nil"/>
            </w:tcBorders>
            <w:shd w:val="clear" w:color="auto" w:fill="auto"/>
          </w:tcPr>
          <w:p w14:paraId="3E94A9B3" w14:textId="77777777" w:rsidR="00A60D4B" w:rsidRPr="00037F42" w:rsidRDefault="00A60D4B" w:rsidP="00A60D4B">
            <w:pPr>
              <w:pStyle w:val="Btablefigureunbold"/>
              <w:rPr>
                <w:bCs/>
              </w:rPr>
            </w:pPr>
            <w:r>
              <w:rPr>
                <w:rFonts w:cs="Calibri"/>
                <w:sz w:val="18"/>
                <w:szCs w:val="18"/>
              </w:rPr>
              <w:t xml:space="preserve">794 </w:t>
            </w:r>
          </w:p>
        </w:tc>
        <w:tc>
          <w:tcPr>
            <w:tcW w:w="1182" w:type="dxa"/>
            <w:tcBorders>
              <w:top w:val="nil"/>
              <w:bottom w:val="nil"/>
            </w:tcBorders>
          </w:tcPr>
          <w:p w14:paraId="683F1995" w14:textId="77777777" w:rsidR="00A60D4B" w:rsidRPr="00037F42" w:rsidRDefault="00A60D4B" w:rsidP="00A60D4B">
            <w:pPr>
              <w:pStyle w:val="Btablefigureunbold"/>
              <w:rPr>
                <w:bCs/>
              </w:rPr>
            </w:pPr>
            <w:r>
              <w:rPr>
                <w:rFonts w:cs="Calibri"/>
                <w:sz w:val="18"/>
                <w:szCs w:val="18"/>
              </w:rPr>
              <w:t xml:space="preserve">796 </w:t>
            </w:r>
          </w:p>
        </w:tc>
      </w:tr>
      <w:tr w:rsidR="00A60D4B" w:rsidRPr="00337DC9" w14:paraId="0DFF230B" w14:textId="77777777" w:rsidTr="00A60D4B">
        <w:trPr>
          <w:trHeight w:val="227"/>
        </w:trPr>
        <w:tc>
          <w:tcPr>
            <w:tcW w:w="2127" w:type="dxa"/>
            <w:tcBorders>
              <w:top w:val="single" w:sz="4" w:space="0" w:color="auto"/>
              <w:bottom w:val="single" w:sz="4" w:space="0" w:color="auto"/>
            </w:tcBorders>
            <w:vAlign w:val="bottom"/>
          </w:tcPr>
          <w:p w14:paraId="488114EB" w14:textId="77777777" w:rsidR="00A60D4B" w:rsidRPr="00DC6089" w:rsidRDefault="00A60D4B" w:rsidP="00A60D4B">
            <w:pPr>
              <w:pStyle w:val="Btabletextbolditalic"/>
              <w:rPr>
                <w:i w:val="0"/>
                <w:iCs/>
                <w:color w:val="472D8C"/>
              </w:rPr>
            </w:pPr>
            <w:r w:rsidRPr="00DC6089">
              <w:rPr>
                <w:rFonts w:cs="Calibri"/>
                <w:i w:val="0"/>
                <w:iCs/>
                <w:color w:val="472D8C"/>
                <w:sz w:val="18"/>
                <w:szCs w:val="18"/>
              </w:rPr>
              <w:t xml:space="preserve">Total contributed assets </w:t>
            </w:r>
          </w:p>
        </w:tc>
        <w:tc>
          <w:tcPr>
            <w:tcW w:w="1181" w:type="dxa"/>
            <w:tcBorders>
              <w:top w:val="single" w:sz="4" w:space="0" w:color="auto"/>
              <w:bottom w:val="single" w:sz="4" w:space="0" w:color="auto"/>
            </w:tcBorders>
          </w:tcPr>
          <w:p w14:paraId="1B0C49D3" w14:textId="77777777" w:rsidR="00A60D4B" w:rsidRPr="00DC6089" w:rsidRDefault="00A60D4B" w:rsidP="00A60D4B">
            <w:pPr>
              <w:pStyle w:val="Btablefigureunbold"/>
              <w:rPr>
                <w:b/>
                <w:iCs/>
                <w:color w:val="472D8C"/>
              </w:rPr>
            </w:pPr>
            <w:r w:rsidRPr="00DC6089">
              <w:rPr>
                <w:rFonts w:cs="Calibri"/>
                <w:b/>
                <w:bCs/>
                <w:color w:val="472D8C"/>
                <w:sz w:val="18"/>
                <w:szCs w:val="18"/>
              </w:rPr>
              <w:t xml:space="preserve">156,997 </w:t>
            </w:r>
          </w:p>
        </w:tc>
        <w:tc>
          <w:tcPr>
            <w:tcW w:w="1181" w:type="dxa"/>
            <w:tcBorders>
              <w:top w:val="single" w:sz="4" w:space="0" w:color="auto"/>
              <w:bottom w:val="single" w:sz="4" w:space="0" w:color="auto"/>
            </w:tcBorders>
          </w:tcPr>
          <w:p w14:paraId="4178DDF2" w14:textId="77777777" w:rsidR="00A60D4B" w:rsidRPr="00DC6089" w:rsidRDefault="00A60D4B" w:rsidP="00A60D4B">
            <w:pPr>
              <w:pStyle w:val="Btablefigureunbold"/>
              <w:rPr>
                <w:b/>
                <w:iCs/>
                <w:color w:val="472D8C"/>
              </w:rPr>
            </w:pPr>
            <w:r w:rsidRPr="00DC6089">
              <w:rPr>
                <w:rFonts w:cs="Calibri"/>
                <w:b/>
                <w:bCs/>
                <w:color w:val="472D8C"/>
                <w:sz w:val="18"/>
                <w:szCs w:val="18"/>
              </w:rPr>
              <w:t xml:space="preserve">208,082 </w:t>
            </w:r>
          </w:p>
        </w:tc>
        <w:tc>
          <w:tcPr>
            <w:tcW w:w="1181" w:type="dxa"/>
            <w:tcBorders>
              <w:top w:val="single" w:sz="4" w:space="0" w:color="auto"/>
              <w:bottom w:val="single" w:sz="4" w:space="0" w:color="auto"/>
            </w:tcBorders>
            <w:shd w:val="clear" w:color="auto" w:fill="auto"/>
          </w:tcPr>
          <w:p w14:paraId="54E772E4" w14:textId="77777777" w:rsidR="00A60D4B" w:rsidRPr="00DC6089" w:rsidRDefault="00A60D4B" w:rsidP="00A60D4B">
            <w:pPr>
              <w:pStyle w:val="Btablefigureunbold"/>
              <w:rPr>
                <w:b/>
                <w:iCs/>
                <w:color w:val="472D8C"/>
              </w:rPr>
            </w:pPr>
            <w:r w:rsidRPr="00DC6089">
              <w:rPr>
                <w:rFonts w:cs="Calibri"/>
                <w:b/>
                <w:bCs/>
                <w:color w:val="472D8C"/>
                <w:sz w:val="18"/>
                <w:szCs w:val="18"/>
              </w:rPr>
              <w:t xml:space="preserve">306,473 </w:t>
            </w:r>
          </w:p>
        </w:tc>
        <w:tc>
          <w:tcPr>
            <w:tcW w:w="1181" w:type="dxa"/>
            <w:tcBorders>
              <w:top w:val="single" w:sz="4" w:space="0" w:color="auto"/>
              <w:bottom w:val="single" w:sz="4" w:space="0" w:color="auto"/>
            </w:tcBorders>
            <w:shd w:val="clear" w:color="472D8C" w:fill="auto"/>
          </w:tcPr>
          <w:p w14:paraId="4E2F76D5" w14:textId="77777777" w:rsidR="00A60D4B" w:rsidRPr="00DC6089" w:rsidRDefault="00A60D4B" w:rsidP="00A60D4B">
            <w:pPr>
              <w:pStyle w:val="Btablefigureunbold"/>
              <w:rPr>
                <w:b/>
                <w:iCs/>
                <w:color w:val="472D8C"/>
              </w:rPr>
            </w:pPr>
            <w:r w:rsidRPr="00DC6089">
              <w:rPr>
                <w:rFonts w:cs="Calibri"/>
                <w:b/>
                <w:bCs/>
                <w:color w:val="472D8C"/>
                <w:sz w:val="18"/>
                <w:szCs w:val="18"/>
              </w:rPr>
              <w:t xml:space="preserve">149,926 </w:t>
            </w:r>
          </w:p>
        </w:tc>
        <w:tc>
          <w:tcPr>
            <w:tcW w:w="1181" w:type="dxa"/>
            <w:tcBorders>
              <w:top w:val="single" w:sz="4" w:space="0" w:color="auto"/>
              <w:bottom w:val="single" w:sz="4" w:space="0" w:color="auto"/>
            </w:tcBorders>
            <w:shd w:val="clear" w:color="auto" w:fill="auto"/>
          </w:tcPr>
          <w:p w14:paraId="0DEEB9B3" w14:textId="77777777" w:rsidR="00A60D4B" w:rsidRPr="00DC6089" w:rsidRDefault="00A60D4B" w:rsidP="00A60D4B">
            <w:pPr>
              <w:pStyle w:val="Btablefigureunbold"/>
              <w:rPr>
                <w:b/>
                <w:iCs/>
                <w:color w:val="472D8C"/>
              </w:rPr>
            </w:pPr>
            <w:r w:rsidRPr="00DC6089">
              <w:rPr>
                <w:rFonts w:cs="Calibri"/>
                <w:b/>
                <w:bCs/>
                <w:color w:val="472D8C"/>
                <w:sz w:val="18"/>
                <w:szCs w:val="18"/>
              </w:rPr>
              <w:t xml:space="preserve">244,272 </w:t>
            </w:r>
          </w:p>
        </w:tc>
        <w:tc>
          <w:tcPr>
            <w:tcW w:w="1182" w:type="dxa"/>
            <w:tcBorders>
              <w:top w:val="single" w:sz="4" w:space="0" w:color="auto"/>
              <w:bottom w:val="single" w:sz="4" w:space="0" w:color="auto"/>
            </w:tcBorders>
          </w:tcPr>
          <w:p w14:paraId="1A56C638" w14:textId="77777777" w:rsidR="00A60D4B" w:rsidRPr="00DC6089" w:rsidRDefault="00A60D4B" w:rsidP="00A60D4B">
            <w:pPr>
              <w:pStyle w:val="Btablefigureunbold"/>
              <w:rPr>
                <w:b/>
                <w:iCs/>
                <w:color w:val="472D8C"/>
              </w:rPr>
            </w:pPr>
            <w:r w:rsidRPr="00DC6089">
              <w:rPr>
                <w:rFonts w:cs="Calibri"/>
                <w:b/>
                <w:bCs/>
                <w:color w:val="472D8C"/>
                <w:sz w:val="18"/>
                <w:szCs w:val="18"/>
              </w:rPr>
              <w:t xml:space="preserve">140,458 </w:t>
            </w:r>
          </w:p>
        </w:tc>
      </w:tr>
    </w:tbl>
    <w:p w14:paraId="0FF02887" w14:textId="77777777" w:rsidR="00A60D4B" w:rsidRPr="00933629" w:rsidRDefault="00A60D4B" w:rsidP="00A60D4B">
      <w:pPr>
        <w:pStyle w:val="Heading3"/>
        <w:rPr>
          <w:rFonts w:eastAsia="Times New Roman"/>
          <w:lang w:eastAsia="en-AU"/>
        </w:rPr>
      </w:pPr>
      <w:bookmarkStart w:id="102" w:name="_Toc63586682"/>
      <w:bookmarkEnd w:id="99"/>
      <w:r w:rsidRPr="00933629">
        <w:rPr>
          <w:rFonts w:eastAsia="Times New Roman"/>
          <w:lang w:eastAsia="en-AU"/>
        </w:rPr>
        <w:t>Other revenue</w:t>
      </w:r>
      <w:bookmarkEnd w:id="102"/>
      <w:r w:rsidRPr="00933629">
        <w:rPr>
          <w:rFonts w:eastAsia="Times New Roman"/>
          <w:lang w:eastAsia="en-AU"/>
        </w:rPr>
        <w:t xml:space="preserve"> </w:t>
      </w:r>
      <w:bookmarkEnd w:id="100"/>
    </w:p>
    <w:p w14:paraId="0B4F7A1E" w14:textId="77777777" w:rsidR="00A60D4B" w:rsidRDefault="00A60D4B" w:rsidP="00A60D4B">
      <w:pPr>
        <w:pStyle w:val="Bbodytext"/>
      </w:pPr>
      <w:r w:rsidRPr="00933629">
        <w:t>Other revenue is estimated to be $</w:t>
      </w:r>
      <w:r>
        <w:t>206.4</w:t>
      </w:r>
      <w:r w:rsidRPr="00933629">
        <w:t xml:space="preserve"> million in 202</w:t>
      </w:r>
      <w:r>
        <w:t>1</w:t>
      </w:r>
      <w:r w:rsidRPr="00933629">
        <w:t>-2</w:t>
      </w:r>
      <w:r>
        <w:t>2</w:t>
      </w:r>
      <w:r w:rsidRPr="00933629">
        <w:t xml:space="preserve"> and is forecast to </w:t>
      </w:r>
      <w:r>
        <w:t>decline</w:t>
      </w:r>
      <w:r w:rsidRPr="00933629">
        <w:t xml:space="preserve"> to $</w:t>
      </w:r>
      <w:r>
        <w:t>185.2</w:t>
      </w:r>
      <w:r w:rsidRPr="00933629">
        <w:t xml:space="preserve"> million in 202</w:t>
      </w:r>
      <w:r>
        <w:t>2</w:t>
      </w:r>
      <w:r w:rsidRPr="00933629">
        <w:t>-2</w:t>
      </w:r>
      <w:r>
        <w:t>3.</w:t>
      </w:r>
    </w:p>
    <w:p w14:paraId="030C97C9" w14:textId="77777777" w:rsidR="00A60D4B" w:rsidRDefault="00A60D4B" w:rsidP="00A60D4B">
      <w:pPr>
        <w:pStyle w:val="Bbodytext"/>
      </w:pPr>
      <w:r>
        <w:t>Traffic infringement fines are estimated to increase significantly to $58.9 million, from the interim outcome of $26.8 million in 2020-21, largely due to the additional revenue collected from the expansion of lower speed limits. This is expected to decline in the forward estimates period as we anticipate driver behavioural change.</w:t>
      </w:r>
    </w:p>
    <w:p w14:paraId="1527A70E" w14:textId="77777777" w:rsidR="00A60D4B" w:rsidRDefault="00A60D4B" w:rsidP="00A60D4B">
      <w:pPr>
        <w:pStyle w:val="Bbodytext"/>
      </w:pPr>
      <w:r>
        <w:t>Court fines have been affected by COVID-19 restrictions in 2020-21. As the economy opens from October, court fines are expected to increase moderately, before returning to more normal levels from 2022-23.</w:t>
      </w:r>
    </w:p>
    <w:p w14:paraId="2D407DEF" w14:textId="77777777" w:rsidR="00A60D4B" w:rsidRDefault="00A60D4B" w:rsidP="00A60D4B">
      <w:pPr>
        <w:pStyle w:val="Bbodytext"/>
      </w:pPr>
      <w:r>
        <w:t>Parking fines have been affected by COVID-19 restrictions in 2020-21 and will see some ongoing impacts in 2021-22, before returning to normal levels from 2022-23.</w:t>
      </w:r>
    </w:p>
    <w:p w14:paraId="1E2C0CFF" w14:textId="03C02137" w:rsidR="00A60D4B" w:rsidRDefault="00A60D4B" w:rsidP="00A60D4B">
      <w:pPr>
        <w:pStyle w:val="Caption"/>
      </w:pPr>
      <w:r>
        <w:t xml:space="preserve">Table </w:t>
      </w:r>
      <w:r w:rsidR="00FB4E5C">
        <w:fldChar w:fldCharType="begin"/>
      </w:r>
      <w:r w:rsidR="00FB4E5C">
        <w:instrText xml:space="preserve"> STYLEREF 2 \s </w:instrText>
      </w:r>
      <w:r w:rsidR="00FB4E5C">
        <w:fldChar w:fldCharType="separate"/>
      </w:r>
      <w:r w:rsidR="00F12A80">
        <w:rPr>
          <w:noProof/>
        </w:rPr>
        <w:t>3.5</w:t>
      </w:r>
      <w:r w:rsidR="00FB4E5C">
        <w:rPr>
          <w:noProof/>
        </w:rPr>
        <w:fldChar w:fldCharType="end"/>
      </w:r>
      <w:r>
        <w:t>.</w:t>
      </w:r>
      <w:r w:rsidR="00FB4E5C">
        <w:fldChar w:fldCharType="begin"/>
      </w:r>
      <w:r w:rsidR="00FB4E5C">
        <w:instrText xml:space="preserve"> SEQ Table \* ARABIC \s 2 </w:instrText>
      </w:r>
      <w:r w:rsidR="00FB4E5C">
        <w:fldChar w:fldCharType="separate"/>
      </w:r>
      <w:r w:rsidR="00F12A80">
        <w:rPr>
          <w:noProof/>
        </w:rPr>
        <w:t>18</w:t>
      </w:r>
      <w:r w:rsidR="00FB4E5C">
        <w:rPr>
          <w:noProof/>
        </w:rPr>
        <w:fldChar w:fldCharType="end"/>
      </w:r>
      <w:r w:rsidRPr="00C93252">
        <w:t xml:space="preserve">: Other revenue </w:t>
      </w:r>
    </w:p>
    <w:tbl>
      <w:tblPr>
        <w:tblW w:w="9214" w:type="dxa"/>
        <w:tblBorders>
          <w:top w:val="single" w:sz="4" w:space="0" w:color="auto"/>
          <w:bottom w:val="single" w:sz="4" w:space="0" w:color="auto"/>
          <w:insideH w:val="single" w:sz="4" w:space="0" w:color="auto"/>
        </w:tblBorders>
        <w:tblLayout w:type="fixed"/>
        <w:tblCellMar>
          <w:left w:w="85" w:type="dxa"/>
        </w:tblCellMar>
        <w:tblLook w:val="04A0" w:firstRow="1" w:lastRow="0" w:firstColumn="1" w:lastColumn="0" w:noHBand="0" w:noVBand="1"/>
      </w:tblPr>
      <w:tblGrid>
        <w:gridCol w:w="2127"/>
        <w:gridCol w:w="1181"/>
        <w:gridCol w:w="1181"/>
        <w:gridCol w:w="1181"/>
        <w:gridCol w:w="1181"/>
        <w:gridCol w:w="1181"/>
        <w:gridCol w:w="1182"/>
      </w:tblGrid>
      <w:tr w:rsidR="00A60D4B" w:rsidRPr="008F5D57" w14:paraId="0C28AE56" w14:textId="77777777" w:rsidTr="00A60D4B">
        <w:trPr>
          <w:trHeight w:val="156"/>
        </w:trPr>
        <w:tc>
          <w:tcPr>
            <w:tcW w:w="2127" w:type="dxa"/>
            <w:tcBorders>
              <w:bottom w:val="single" w:sz="4" w:space="0" w:color="auto"/>
            </w:tcBorders>
            <w:shd w:val="clear" w:color="auto" w:fill="472D8C"/>
          </w:tcPr>
          <w:p w14:paraId="1AFB5DF1" w14:textId="77777777" w:rsidR="00A60D4B" w:rsidRPr="00111524" w:rsidRDefault="00A60D4B" w:rsidP="00A60D4B">
            <w:pPr>
              <w:rPr>
                <w:rFonts w:cs="Calibri"/>
                <w:b/>
                <w:color w:val="FFFFFF" w:themeColor="background1"/>
                <w:sz w:val="20"/>
              </w:rPr>
            </w:pPr>
            <w:bookmarkStart w:id="103" w:name="_Hlk83632663"/>
          </w:p>
        </w:tc>
        <w:tc>
          <w:tcPr>
            <w:tcW w:w="1181" w:type="dxa"/>
            <w:tcBorders>
              <w:bottom w:val="single" w:sz="4" w:space="0" w:color="auto"/>
            </w:tcBorders>
            <w:shd w:val="clear" w:color="auto" w:fill="472D8C"/>
          </w:tcPr>
          <w:p w14:paraId="0A3A387F" w14:textId="77777777" w:rsidR="006F1DF8"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Budget</w:t>
            </w:r>
            <w:r>
              <w:rPr>
                <w:color w:val="FFFFFF" w:themeColor="background1"/>
              </w:rPr>
              <w:br/>
            </w:r>
          </w:p>
          <w:p w14:paraId="384FAF15" w14:textId="71D818BE" w:rsidR="00A60D4B" w:rsidRPr="00111524" w:rsidRDefault="00A60D4B" w:rsidP="00A60D4B">
            <w:pPr>
              <w:pStyle w:val="BTableHeadingRowRightAligned"/>
              <w:rPr>
                <w:color w:val="FFFFFF" w:themeColor="background1"/>
              </w:rPr>
            </w:pPr>
            <w:r>
              <w:rPr>
                <w:color w:val="FFFFFF" w:themeColor="background1"/>
              </w:rPr>
              <w:t>$’000</w:t>
            </w:r>
          </w:p>
        </w:tc>
        <w:tc>
          <w:tcPr>
            <w:tcW w:w="1181" w:type="dxa"/>
            <w:tcBorders>
              <w:bottom w:val="single" w:sz="4" w:space="0" w:color="auto"/>
            </w:tcBorders>
            <w:shd w:val="clear" w:color="auto" w:fill="472D8C"/>
          </w:tcPr>
          <w:p w14:paraId="63FC8BDF" w14:textId="77777777" w:rsidR="00A60D4B" w:rsidRPr="00111524"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Interim outcome</w:t>
            </w:r>
            <w:r>
              <w:rPr>
                <w:color w:val="FFFFFF" w:themeColor="background1"/>
              </w:rPr>
              <w:br/>
              <w:t>$’000</w:t>
            </w:r>
          </w:p>
        </w:tc>
        <w:tc>
          <w:tcPr>
            <w:tcW w:w="1181" w:type="dxa"/>
            <w:tcBorders>
              <w:bottom w:val="single" w:sz="4" w:space="0" w:color="auto"/>
            </w:tcBorders>
            <w:shd w:val="clear" w:color="auto" w:fill="472D8C"/>
          </w:tcPr>
          <w:p w14:paraId="78D124CE" w14:textId="77777777" w:rsidR="006F1DF8" w:rsidRDefault="00A60D4B" w:rsidP="00A60D4B">
            <w:pPr>
              <w:pStyle w:val="BTableHeadingRowRightAligned"/>
              <w:rPr>
                <w:color w:val="FFFFFF" w:themeColor="background1"/>
              </w:rPr>
            </w:pPr>
            <w:r>
              <w:rPr>
                <w:color w:val="FFFFFF" w:themeColor="background1"/>
              </w:rPr>
              <w:t xml:space="preserve">2021-22 </w:t>
            </w:r>
            <w:r>
              <w:rPr>
                <w:color w:val="FFFFFF" w:themeColor="background1"/>
              </w:rPr>
              <w:br/>
              <w:t>Budget</w:t>
            </w:r>
            <w:r>
              <w:rPr>
                <w:color w:val="FFFFFF" w:themeColor="background1"/>
              </w:rPr>
              <w:br/>
            </w:r>
          </w:p>
          <w:p w14:paraId="6A8EE2A5" w14:textId="76962332" w:rsidR="00A60D4B" w:rsidRPr="00111524" w:rsidRDefault="00A60D4B" w:rsidP="00A60D4B">
            <w:pPr>
              <w:pStyle w:val="BTableHeadingRowRightAligned"/>
              <w:rPr>
                <w:color w:val="FFFFFF" w:themeColor="background1"/>
              </w:rPr>
            </w:pPr>
            <w:r>
              <w:rPr>
                <w:color w:val="FFFFFF" w:themeColor="background1"/>
              </w:rPr>
              <w:t>$’000</w:t>
            </w:r>
          </w:p>
        </w:tc>
        <w:tc>
          <w:tcPr>
            <w:tcW w:w="1181" w:type="dxa"/>
            <w:tcBorders>
              <w:bottom w:val="single" w:sz="4" w:space="0" w:color="auto"/>
            </w:tcBorders>
            <w:shd w:val="clear" w:color="auto" w:fill="472D8C"/>
          </w:tcPr>
          <w:p w14:paraId="1ADC2FA9" w14:textId="77777777" w:rsidR="006F1DF8" w:rsidRDefault="00A60D4B" w:rsidP="00A60D4B">
            <w:pPr>
              <w:pStyle w:val="BTableHeadingRowRightAligned"/>
              <w:rPr>
                <w:color w:val="FFFFFF" w:themeColor="background1"/>
              </w:rPr>
            </w:pPr>
            <w:r>
              <w:rPr>
                <w:color w:val="FFFFFF" w:themeColor="background1"/>
              </w:rPr>
              <w:t>2022-23</w:t>
            </w:r>
            <w:r>
              <w:rPr>
                <w:color w:val="FFFFFF" w:themeColor="background1"/>
              </w:rPr>
              <w:br/>
              <w:t>Estimate</w:t>
            </w:r>
            <w:r>
              <w:rPr>
                <w:color w:val="FFFFFF" w:themeColor="background1"/>
              </w:rPr>
              <w:br/>
            </w:r>
          </w:p>
          <w:p w14:paraId="0699BEB8" w14:textId="0A7DE58E" w:rsidR="00A60D4B" w:rsidRPr="00111524" w:rsidRDefault="00A60D4B" w:rsidP="00A60D4B">
            <w:pPr>
              <w:pStyle w:val="BTableHeadingRowRightAligned"/>
              <w:rPr>
                <w:color w:val="FFFFFF" w:themeColor="background1"/>
              </w:rPr>
            </w:pPr>
            <w:r>
              <w:rPr>
                <w:color w:val="FFFFFF" w:themeColor="background1"/>
              </w:rPr>
              <w:t>$’000</w:t>
            </w:r>
          </w:p>
        </w:tc>
        <w:tc>
          <w:tcPr>
            <w:tcW w:w="1181" w:type="dxa"/>
            <w:tcBorders>
              <w:bottom w:val="single" w:sz="4" w:space="0" w:color="auto"/>
            </w:tcBorders>
            <w:shd w:val="clear" w:color="auto" w:fill="472D8C"/>
          </w:tcPr>
          <w:p w14:paraId="565ED030" w14:textId="77777777" w:rsidR="006F1DF8" w:rsidRDefault="00A60D4B" w:rsidP="00A60D4B">
            <w:pPr>
              <w:pStyle w:val="BTableHeadingRowRightAligned"/>
              <w:rPr>
                <w:color w:val="FFFFFF" w:themeColor="background1"/>
              </w:rPr>
            </w:pPr>
            <w:r>
              <w:rPr>
                <w:color w:val="FFFFFF" w:themeColor="background1"/>
              </w:rPr>
              <w:t>2023-24</w:t>
            </w:r>
            <w:r>
              <w:rPr>
                <w:color w:val="FFFFFF" w:themeColor="background1"/>
              </w:rPr>
              <w:br/>
              <w:t>Estimate</w:t>
            </w:r>
            <w:r>
              <w:rPr>
                <w:color w:val="FFFFFF" w:themeColor="background1"/>
              </w:rPr>
              <w:br/>
            </w:r>
          </w:p>
          <w:p w14:paraId="53364619" w14:textId="0C1D2D48" w:rsidR="00A60D4B" w:rsidRPr="00111524" w:rsidRDefault="00A60D4B" w:rsidP="00A60D4B">
            <w:pPr>
              <w:pStyle w:val="BTableHeadingRowRightAligned"/>
              <w:rPr>
                <w:color w:val="FFFFFF" w:themeColor="background1"/>
              </w:rPr>
            </w:pPr>
            <w:r>
              <w:rPr>
                <w:color w:val="FFFFFF" w:themeColor="background1"/>
              </w:rPr>
              <w:t>$’000</w:t>
            </w:r>
          </w:p>
        </w:tc>
        <w:tc>
          <w:tcPr>
            <w:tcW w:w="1182" w:type="dxa"/>
            <w:tcBorders>
              <w:bottom w:val="single" w:sz="4" w:space="0" w:color="auto"/>
            </w:tcBorders>
            <w:shd w:val="clear" w:color="auto" w:fill="472D8C"/>
          </w:tcPr>
          <w:p w14:paraId="6BF71978" w14:textId="77777777" w:rsidR="006F1DF8" w:rsidRDefault="00A60D4B" w:rsidP="00A60D4B">
            <w:pPr>
              <w:pStyle w:val="BTableHeadingRowRightAligned"/>
              <w:rPr>
                <w:color w:val="FFFFFF" w:themeColor="background1"/>
              </w:rPr>
            </w:pPr>
            <w:r>
              <w:rPr>
                <w:color w:val="FFFFFF" w:themeColor="background1"/>
              </w:rPr>
              <w:t>2024-25</w:t>
            </w:r>
            <w:r>
              <w:rPr>
                <w:color w:val="FFFFFF" w:themeColor="background1"/>
              </w:rPr>
              <w:br/>
              <w:t>Estimate</w:t>
            </w:r>
            <w:r>
              <w:rPr>
                <w:color w:val="FFFFFF" w:themeColor="background1"/>
              </w:rPr>
              <w:br/>
            </w:r>
          </w:p>
          <w:p w14:paraId="642C2231" w14:textId="0E65A1A6" w:rsidR="00A60D4B" w:rsidRPr="00111524" w:rsidRDefault="00A60D4B" w:rsidP="00A60D4B">
            <w:pPr>
              <w:pStyle w:val="BTableHeadingRowRightAligned"/>
              <w:rPr>
                <w:color w:val="FFFFFF" w:themeColor="background1"/>
              </w:rPr>
            </w:pPr>
            <w:r>
              <w:rPr>
                <w:color w:val="FFFFFF" w:themeColor="background1"/>
              </w:rPr>
              <w:t>$’000</w:t>
            </w:r>
          </w:p>
        </w:tc>
      </w:tr>
      <w:tr w:rsidR="00A60D4B" w:rsidRPr="00337DC9" w14:paraId="49B4FF94" w14:textId="77777777" w:rsidTr="00A60D4B">
        <w:trPr>
          <w:trHeight w:val="20"/>
        </w:trPr>
        <w:tc>
          <w:tcPr>
            <w:tcW w:w="2127" w:type="dxa"/>
            <w:tcBorders>
              <w:top w:val="nil"/>
              <w:bottom w:val="nil"/>
            </w:tcBorders>
          </w:tcPr>
          <w:p w14:paraId="0FB4C860" w14:textId="77777777" w:rsidR="00A60D4B" w:rsidRPr="00D866E9" w:rsidRDefault="00A60D4B" w:rsidP="00A60D4B">
            <w:pPr>
              <w:pStyle w:val="Btabletextbold"/>
            </w:pPr>
            <w:r w:rsidRPr="00D866E9">
              <w:rPr>
                <w:rFonts w:cs="Calibri"/>
                <w:sz w:val="18"/>
                <w:szCs w:val="18"/>
              </w:rPr>
              <w:t>Fines</w:t>
            </w:r>
          </w:p>
        </w:tc>
        <w:tc>
          <w:tcPr>
            <w:tcW w:w="1181" w:type="dxa"/>
            <w:tcBorders>
              <w:bottom w:val="nil"/>
            </w:tcBorders>
          </w:tcPr>
          <w:p w14:paraId="2577C805" w14:textId="77777777" w:rsidR="00A60D4B" w:rsidRPr="00037F42" w:rsidRDefault="00A60D4B" w:rsidP="00A60D4B">
            <w:pPr>
              <w:pStyle w:val="Btablefigureunbold"/>
              <w:rPr>
                <w:b/>
              </w:rPr>
            </w:pPr>
            <w:r>
              <w:rPr>
                <w:rFonts w:cs="Calibri"/>
                <w:sz w:val="18"/>
                <w:szCs w:val="18"/>
              </w:rPr>
              <w:t> </w:t>
            </w:r>
          </w:p>
        </w:tc>
        <w:tc>
          <w:tcPr>
            <w:tcW w:w="1181" w:type="dxa"/>
            <w:tcBorders>
              <w:bottom w:val="nil"/>
            </w:tcBorders>
          </w:tcPr>
          <w:p w14:paraId="7F4123AE" w14:textId="77777777" w:rsidR="00A60D4B" w:rsidRPr="00037F42" w:rsidRDefault="00A60D4B" w:rsidP="00A60D4B">
            <w:pPr>
              <w:pStyle w:val="Btablefigureunbold"/>
              <w:rPr>
                <w:b/>
              </w:rPr>
            </w:pPr>
            <w:r>
              <w:rPr>
                <w:rFonts w:cs="Calibri"/>
                <w:sz w:val="18"/>
                <w:szCs w:val="18"/>
              </w:rPr>
              <w:t> </w:t>
            </w:r>
          </w:p>
        </w:tc>
        <w:tc>
          <w:tcPr>
            <w:tcW w:w="1181" w:type="dxa"/>
            <w:tcBorders>
              <w:bottom w:val="nil"/>
            </w:tcBorders>
            <w:shd w:val="clear" w:color="auto" w:fill="auto"/>
          </w:tcPr>
          <w:p w14:paraId="0102CF70" w14:textId="77777777" w:rsidR="00A60D4B" w:rsidRPr="00037F42" w:rsidRDefault="00A60D4B" w:rsidP="00A60D4B">
            <w:pPr>
              <w:pStyle w:val="Btablefigureunbold"/>
              <w:rPr>
                <w:b/>
              </w:rPr>
            </w:pPr>
            <w:r>
              <w:rPr>
                <w:rFonts w:cs="Calibri"/>
                <w:sz w:val="18"/>
                <w:szCs w:val="18"/>
              </w:rPr>
              <w:t> </w:t>
            </w:r>
          </w:p>
        </w:tc>
        <w:tc>
          <w:tcPr>
            <w:tcW w:w="1181" w:type="dxa"/>
            <w:tcBorders>
              <w:bottom w:val="nil"/>
            </w:tcBorders>
            <w:shd w:val="clear" w:color="472D8C" w:fill="auto"/>
          </w:tcPr>
          <w:p w14:paraId="63DCADAA" w14:textId="77777777" w:rsidR="00A60D4B" w:rsidRPr="00037F42" w:rsidRDefault="00A60D4B" w:rsidP="00A60D4B">
            <w:pPr>
              <w:pStyle w:val="Btablefigureunbold"/>
              <w:rPr>
                <w:b/>
                <w:color w:val="000000"/>
              </w:rPr>
            </w:pPr>
            <w:r>
              <w:rPr>
                <w:rFonts w:cs="Calibri"/>
                <w:sz w:val="18"/>
                <w:szCs w:val="18"/>
              </w:rPr>
              <w:t> </w:t>
            </w:r>
          </w:p>
        </w:tc>
        <w:tc>
          <w:tcPr>
            <w:tcW w:w="1181" w:type="dxa"/>
            <w:tcBorders>
              <w:bottom w:val="nil"/>
            </w:tcBorders>
            <w:shd w:val="clear" w:color="auto" w:fill="auto"/>
          </w:tcPr>
          <w:p w14:paraId="23FF3285" w14:textId="77777777" w:rsidR="00A60D4B" w:rsidRPr="00037F42" w:rsidRDefault="00A60D4B" w:rsidP="00A60D4B">
            <w:pPr>
              <w:pStyle w:val="Btablefigureunbold"/>
              <w:rPr>
                <w:b/>
              </w:rPr>
            </w:pPr>
            <w:r>
              <w:rPr>
                <w:rFonts w:cs="Calibri"/>
                <w:sz w:val="18"/>
                <w:szCs w:val="18"/>
              </w:rPr>
              <w:t> </w:t>
            </w:r>
          </w:p>
        </w:tc>
        <w:tc>
          <w:tcPr>
            <w:tcW w:w="1182" w:type="dxa"/>
            <w:tcBorders>
              <w:bottom w:val="nil"/>
            </w:tcBorders>
          </w:tcPr>
          <w:p w14:paraId="1041DC81" w14:textId="77777777" w:rsidR="00A60D4B" w:rsidRPr="00037F42" w:rsidRDefault="00A60D4B" w:rsidP="00A60D4B">
            <w:pPr>
              <w:pStyle w:val="Btablefigureunbold"/>
              <w:rPr>
                <w:b/>
              </w:rPr>
            </w:pPr>
            <w:r>
              <w:rPr>
                <w:rFonts w:cs="Calibri"/>
                <w:sz w:val="18"/>
                <w:szCs w:val="18"/>
              </w:rPr>
              <w:t> </w:t>
            </w:r>
          </w:p>
        </w:tc>
      </w:tr>
      <w:tr w:rsidR="00A60D4B" w:rsidRPr="00337DC9" w14:paraId="38AF7CD0" w14:textId="77777777" w:rsidTr="00A60D4B">
        <w:trPr>
          <w:trHeight w:val="20"/>
        </w:trPr>
        <w:tc>
          <w:tcPr>
            <w:tcW w:w="2127" w:type="dxa"/>
            <w:tcBorders>
              <w:top w:val="nil"/>
              <w:bottom w:val="nil"/>
            </w:tcBorders>
          </w:tcPr>
          <w:p w14:paraId="3FBDABE1" w14:textId="77777777" w:rsidR="00A60D4B" w:rsidRPr="00037F42" w:rsidRDefault="00A60D4B" w:rsidP="00A60D4B">
            <w:pPr>
              <w:pStyle w:val="Btabletextunbold"/>
              <w:rPr>
                <w:b/>
              </w:rPr>
            </w:pPr>
            <w:r>
              <w:rPr>
                <w:rFonts w:cs="Calibri"/>
                <w:sz w:val="18"/>
                <w:szCs w:val="18"/>
              </w:rPr>
              <w:t>Traffic Infringement Fines</w:t>
            </w:r>
          </w:p>
        </w:tc>
        <w:tc>
          <w:tcPr>
            <w:tcW w:w="1181" w:type="dxa"/>
            <w:tcBorders>
              <w:top w:val="nil"/>
              <w:bottom w:val="nil"/>
            </w:tcBorders>
          </w:tcPr>
          <w:p w14:paraId="6A77ABC8" w14:textId="77777777" w:rsidR="00A60D4B" w:rsidRPr="00037F42" w:rsidRDefault="00A60D4B" w:rsidP="00A60D4B">
            <w:pPr>
              <w:pStyle w:val="Btablefigureunbold"/>
              <w:rPr>
                <w:b/>
              </w:rPr>
            </w:pPr>
            <w:r>
              <w:rPr>
                <w:rFonts w:cs="Calibri"/>
                <w:sz w:val="18"/>
                <w:szCs w:val="18"/>
              </w:rPr>
              <w:t xml:space="preserve">32,881 </w:t>
            </w:r>
          </w:p>
        </w:tc>
        <w:tc>
          <w:tcPr>
            <w:tcW w:w="1181" w:type="dxa"/>
            <w:tcBorders>
              <w:top w:val="nil"/>
              <w:bottom w:val="nil"/>
            </w:tcBorders>
          </w:tcPr>
          <w:p w14:paraId="0C05F7B8" w14:textId="77777777" w:rsidR="00A60D4B" w:rsidRPr="00037F42" w:rsidRDefault="00A60D4B" w:rsidP="00A60D4B">
            <w:pPr>
              <w:pStyle w:val="Btablefigureunbold"/>
              <w:rPr>
                <w:b/>
              </w:rPr>
            </w:pPr>
            <w:r>
              <w:rPr>
                <w:rFonts w:cs="Calibri"/>
                <w:sz w:val="18"/>
                <w:szCs w:val="18"/>
              </w:rPr>
              <w:t xml:space="preserve">26,778 </w:t>
            </w:r>
          </w:p>
        </w:tc>
        <w:tc>
          <w:tcPr>
            <w:tcW w:w="1181" w:type="dxa"/>
            <w:tcBorders>
              <w:top w:val="nil"/>
              <w:bottom w:val="nil"/>
            </w:tcBorders>
            <w:shd w:val="clear" w:color="auto" w:fill="auto"/>
          </w:tcPr>
          <w:p w14:paraId="5BFCFC13" w14:textId="77777777" w:rsidR="00A60D4B" w:rsidRPr="00D866E9" w:rsidRDefault="00A60D4B" w:rsidP="00A60D4B">
            <w:pPr>
              <w:pStyle w:val="BTablefigureBold"/>
              <w:rPr>
                <w:b w:val="0"/>
                <w:bCs/>
              </w:rPr>
            </w:pPr>
            <w:r w:rsidRPr="00D866E9">
              <w:rPr>
                <w:rFonts w:cs="Calibri"/>
                <w:b w:val="0"/>
                <w:bCs/>
                <w:sz w:val="18"/>
                <w:szCs w:val="18"/>
              </w:rPr>
              <w:t xml:space="preserve">58,938 </w:t>
            </w:r>
          </w:p>
        </w:tc>
        <w:tc>
          <w:tcPr>
            <w:tcW w:w="1181" w:type="dxa"/>
            <w:tcBorders>
              <w:top w:val="nil"/>
              <w:bottom w:val="nil"/>
            </w:tcBorders>
            <w:shd w:val="clear" w:color="472D8C" w:fill="auto"/>
          </w:tcPr>
          <w:p w14:paraId="135F4184" w14:textId="77777777" w:rsidR="00A60D4B" w:rsidRPr="00037F42" w:rsidRDefault="00A60D4B" w:rsidP="00A60D4B">
            <w:pPr>
              <w:pStyle w:val="Btablefigureunbold"/>
              <w:rPr>
                <w:b/>
                <w:color w:val="000000"/>
              </w:rPr>
            </w:pPr>
            <w:r>
              <w:rPr>
                <w:rFonts w:cs="Calibri"/>
                <w:sz w:val="18"/>
                <w:szCs w:val="18"/>
              </w:rPr>
              <w:t xml:space="preserve">34,223 </w:t>
            </w:r>
          </w:p>
        </w:tc>
        <w:tc>
          <w:tcPr>
            <w:tcW w:w="1181" w:type="dxa"/>
            <w:tcBorders>
              <w:top w:val="nil"/>
              <w:bottom w:val="nil"/>
            </w:tcBorders>
            <w:shd w:val="clear" w:color="auto" w:fill="auto"/>
          </w:tcPr>
          <w:p w14:paraId="48612BE9" w14:textId="77777777" w:rsidR="00A60D4B" w:rsidRPr="00037F42" w:rsidRDefault="00A60D4B" w:rsidP="00A60D4B">
            <w:pPr>
              <w:pStyle w:val="Btablefigureunbold"/>
              <w:rPr>
                <w:b/>
              </w:rPr>
            </w:pPr>
            <w:r>
              <w:rPr>
                <w:rFonts w:cs="Calibri"/>
                <w:sz w:val="18"/>
                <w:szCs w:val="18"/>
              </w:rPr>
              <w:t xml:space="preserve">35,335 </w:t>
            </w:r>
          </w:p>
        </w:tc>
        <w:tc>
          <w:tcPr>
            <w:tcW w:w="1182" w:type="dxa"/>
            <w:tcBorders>
              <w:top w:val="nil"/>
              <w:bottom w:val="nil"/>
            </w:tcBorders>
          </w:tcPr>
          <w:p w14:paraId="52DE6402" w14:textId="77777777" w:rsidR="00A60D4B" w:rsidRPr="00037F42" w:rsidRDefault="00A60D4B" w:rsidP="00A60D4B">
            <w:pPr>
              <w:pStyle w:val="Btablefigureunbold"/>
              <w:rPr>
                <w:b/>
              </w:rPr>
            </w:pPr>
            <w:r>
              <w:rPr>
                <w:rFonts w:cs="Calibri"/>
                <w:sz w:val="18"/>
                <w:szCs w:val="18"/>
              </w:rPr>
              <w:t xml:space="preserve">36,483 </w:t>
            </w:r>
          </w:p>
        </w:tc>
      </w:tr>
      <w:tr w:rsidR="00A60D4B" w:rsidRPr="00337DC9" w14:paraId="2A1D1FB4" w14:textId="77777777" w:rsidTr="00A60D4B">
        <w:trPr>
          <w:trHeight w:val="20"/>
        </w:trPr>
        <w:tc>
          <w:tcPr>
            <w:tcW w:w="2127" w:type="dxa"/>
            <w:tcBorders>
              <w:top w:val="nil"/>
              <w:bottom w:val="nil"/>
            </w:tcBorders>
          </w:tcPr>
          <w:p w14:paraId="3F541A78" w14:textId="77777777" w:rsidR="00A60D4B" w:rsidRPr="00037F42" w:rsidRDefault="00A60D4B" w:rsidP="00A60D4B">
            <w:pPr>
              <w:pStyle w:val="Btabletextunbold"/>
              <w:rPr>
                <w:b/>
              </w:rPr>
            </w:pPr>
            <w:r>
              <w:rPr>
                <w:rFonts w:cs="Calibri"/>
                <w:sz w:val="18"/>
                <w:szCs w:val="18"/>
              </w:rPr>
              <w:t>Court Fines</w:t>
            </w:r>
          </w:p>
        </w:tc>
        <w:tc>
          <w:tcPr>
            <w:tcW w:w="1181" w:type="dxa"/>
            <w:tcBorders>
              <w:top w:val="nil"/>
              <w:bottom w:val="nil"/>
            </w:tcBorders>
          </w:tcPr>
          <w:p w14:paraId="18883E72" w14:textId="77777777" w:rsidR="00A60D4B" w:rsidRPr="00037F42" w:rsidRDefault="00A60D4B" w:rsidP="00A60D4B">
            <w:pPr>
              <w:pStyle w:val="Btablefigureunbold"/>
              <w:rPr>
                <w:b/>
              </w:rPr>
            </w:pPr>
            <w:r>
              <w:rPr>
                <w:rFonts w:cs="Calibri"/>
                <w:sz w:val="18"/>
                <w:szCs w:val="18"/>
              </w:rPr>
              <w:t xml:space="preserve">630 </w:t>
            </w:r>
          </w:p>
        </w:tc>
        <w:tc>
          <w:tcPr>
            <w:tcW w:w="1181" w:type="dxa"/>
            <w:tcBorders>
              <w:top w:val="nil"/>
              <w:bottom w:val="nil"/>
            </w:tcBorders>
          </w:tcPr>
          <w:p w14:paraId="3DD04E84" w14:textId="77777777" w:rsidR="00A60D4B" w:rsidRPr="00037F42" w:rsidRDefault="00A60D4B" w:rsidP="00A60D4B">
            <w:pPr>
              <w:pStyle w:val="Btablefigureunbold"/>
              <w:rPr>
                <w:b/>
              </w:rPr>
            </w:pPr>
            <w:r>
              <w:rPr>
                <w:rFonts w:cs="Calibri"/>
                <w:sz w:val="18"/>
                <w:szCs w:val="18"/>
              </w:rPr>
              <w:t xml:space="preserve">23 </w:t>
            </w:r>
          </w:p>
        </w:tc>
        <w:tc>
          <w:tcPr>
            <w:tcW w:w="1181" w:type="dxa"/>
            <w:tcBorders>
              <w:top w:val="nil"/>
              <w:bottom w:val="nil"/>
            </w:tcBorders>
            <w:shd w:val="clear" w:color="auto" w:fill="auto"/>
          </w:tcPr>
          <w:p w14:paraId="7B60F325" w14:textId="77777777" w:rsidR="00A60D4B" w:rsidRPr="00D866E9" w:rsidRDefault="00A60D4B" w:rsidP="00A60D4B">
            <w:pPr>
              <w:pStyle w:val="BTablefigureBold"/>
              <w:rPr>
                <w:b w:val="0"/>
                <w:bCs/>
              </w:rPr>
            </w:pPr>
            <w:r w:rsidRPr="00D866E9">
              <w:rPr>
                <w:rFonts w:cs="Calibri"/>
                <w:b w:val="0"/>
                <w:bCs/>
                <w:sz w:val="18"/>
                <w:szCs w:val="18"/>
              </w:rPr>
              <w:t xml:space="preserve">630 </w:t>
            </w:r>
          </w:p>
        </w:tc>
        <w:tc>
          <w:tcPr>
            <w:tcW w:w="1181" w:type="dxa"/>
            <w:tcBorders>
              <w:top w:val="nil"/>
              <w:bottom w:val="nil"/>
            </w:tcBorders>
            <w:shd w:val="clear" w:color="472D8C" w:fill="auto"/>
          </w:tcPr>
          <w:p w14:paraId="515CC06F" w14:textId="77777777" w:rsidR="00A60D4B" w:rsidRPr="00037F42" w:rsidRDefault="00A60D4B" w:rsidP="00A60D4B">
            <w:pPr>
              <w:pStyle w:val="Btablefigureunbold"/>
              <w:rPr>
                <w:b/>
                <w:color w:val="000000"/>
              </w:rPr>
            </w:pPr>
            <w:r>
              <w:rPr>
                <w:rFonts w:cs="Calibri"/>
                <w:sz w:val="18"/>
                <w:szCs w:val="18"/>
              </w:rPr>
              <w:t xml:space="preserve">450 </w:t>
            </w:r>
          </w:p>
        </w:tc>
        <w:tc>
          <w:tcPr>
            <w:tcW w:w="1181" w:type="dxa"/>
            <w:tcBorders>
              <w:top w:val="nil"/>
              <w:bottom w:val="nil"/>
            </w:tcBorders>
            <w:shd w:val="clear" w:color="auto" w:fill="auto"/>
          </w:tcPr>
          <w:p w14:paraId="6E4F5509" w14:textId="77777777" w:rsidR="00A60D4B" w:rsidRPr="00037F42" w:rsidRDefault="00A60D4B" w:rsidP="00A60D4B">
            <w:pPr>
              <w:pStyle w:val="Btablefigureunbold"/>
              <w:rPr>
                <w:b/>
              </w:rPr>
            </w:pPr>
            <w:r>
              <w:rPr>
                <w:rFonts w:cs="Calibri"/>
                <w:sz w:val="18"/>
                <w:szCs w:val="18"/>
              </w:rPr>
              <w:t xml:space="preserve">450 </w:t>
            </w:r>
          </w:p>
        </w:tc>
        <w:tc>
          <w:tcPr>
            <w:tcW w:w="1182" w:type="dxa"/>
            <w:tcBorders>
              <w:top w:val="nil"/>
              <w:bottom w:val="nil"/>
            </w:tcBorders>
          </w:tcPr>
          <w:p w14:paraId="747E3DFE" w14:textId="77777777" w:rsidR="00A60D4B" w:rsidRPr="00037F42" w:rsidRDefault="00A60D4B" w:rsidP="00A60D4B">
            <w:pPr>
              <w:pStyle w:val="Btablefigureunbold"/>
              <w:rPr>
                <w:b/>
              </w:rPr>
            </w:pPr>
            <w:r>
              <w:rPr>
                <w:rFonts w:cs="Calibri"/>
                <w:sz w:val="18"/>
                <w:szCs w:val="18"/>
              </w:rPr>
              <w:t xml:space="preserve">450 </w:t>
            </w:r>
          </w:p>
        </w:tc>
      </w:tr>
      <w:tr w:rsidR="00A60D4B" w:rsidRPr="00337DC9" w14:paraId="628FBC9F" w14:textId="77777777" w:rsidTr="00A60D4B">
        <w:trPr>
          <w:trHeight w:val="20"/>
        </w:trPr>
        <w:tc>
          <w:tcPr>
            <w:tcW w:w="2127" w:type="dxa"/>
            <w:tcBorders>
              <w:top w:val="nil"/>
              <w:bottom w:val="nil"/>
            </w:tcBorders>
          </w:tcPr>
          <w:p w14:paraId="3A55FB8E" w14:textId="77777777" w:rsidR="00A60D4B" w:rsidRPr="00037F42" w:rsidRDefault="00A60D4B" w:rsidP="00A60D4B">
            <w:pPr>
              <w:pStyle w:val="Btabletextunbold"/>
              <w:rPr>
                <w:b/>
              </w:rPr>
            </w:pPr>
            <w:r>
              <w:rPr>
                <w:rFonts w:cs="Calibri"/>
                <w:sz w:val="18"/>
                <w:szCs w:val="18"/>
              </w:rPr>
              <w:t>Parking Fines</w:t>
            </w:r>
          </w:p>
        </w:tc>
        <w:tc>
          <w:tcPr>
            <w:tcW w:w="1181" w:type="dxa"/>
            <w:tcBorders>
              <w:top w:val="nil"/>
              <w:bottom w:val="nil"/>
            </w:tcBorders>
          </w:tcPr>
          <w:p w14:paraId="0FA05526" w14:textId="77777777" w:rsidR="00A60D4B" w:rsidRPr="00037F42" w:rsidRDefault="00A60D4B" w:rsidP="00A60D4B">
            <w:pPr>
              <w:pStyle w:val="Btablefigureunbold"/>
              <w:rPr>
                <w:b/>
              </w:rPr>
            </w:pPr>
            <w:r>
              <w:rPr>
                <w:rFonts w:cs="Calibri"/>
                <w:sz w:val="18"/>
                <w:szCs w:val="18"/>
              </w:rPr>
              <w:t xml:space="preserve">16,919 </w:t>
            </w:r>
          </w:p>
        </w:tc>
        <w:tc>
          <w:tcPr>
            <w:tcW w:w="1181" w:type="dxa"/>
            <w:tcBorders>
              <w:top w:val="nil"/>
              <w:bottom w:val="nil"/>
            </w:tcBorders>
          </w:tcPr>
          <w:p w14:paraId="14EF4F20" w14:textId="77777777" w:rsidR="00A60D4B" w:rsidRPr="00037F42" w:rsidRDefault="00A60D4B" w:rsidP="00A60D4B">
            <w:pPr>
              <w:pStyle w:val="Btablefigureunbold"/>
              <w:rPr>
                <w:b/>
              </w:rPr>
            </w:pPr>
            <w:r>
              <w:rPr>
                <w:rFonts w:cs="Calibri"/>
                <w:sz w:val="18"/>
                <w:szCs w:val="18"/>
              </w:rPr>
              <w:t xml:space="preserve">12,158 </w:t>
            </w:r>
          </w:p>
        </w:tc>
        <w:tc>
          <w:tcPr>
            <w:tcW w:w="1181" w:type="dxa"/>
            <w:tcBorders>
              <w:top w:val="nil"/>
              <w:bottom w:val="nil"/>
            </w:tcBorders>
            <w:shd w:val="clear" w:color="auto" w:fill="auto"/>
          </w:tcPr>
          <w:p w14:paraId="3BBB3A91" w14:textId="77777777" w:rsidR="00A60D4B" w:rsidRPr="00D866E9" w:rsidRDefault="00A60D4B" w:rsidP="00A60D4B">
            <w:pPr>
              <w:pStyle w:val="BTablefigureBold"/>
              <w:rPr>
                <w:b w:val="0"/>
                <w:bCs/>
              </w:rPr>
            </w:pPr>
            <w:r w:rsidRPr="00D866E9">
              <w:rPr>
                <w:rFonts w:cs="Calibri"/>
                <w:b w:val="0"/>
                <w:bCs/>
                <w:sz w:val="18"/>
                <w:szCs w:val="18"/>
              </w:rPr>
              <w:t xml:space="preserve">9,556 </w:t>
            </w:r>
          </w:p>
        </w:tc>
        <w:tc>
          <w:tcPr>
            <w:tcW w:w="1181" w:type="dxa"/>
            <w:tcBorders>
              <w:top w:val="nil"/>
              <w:bottom w:val="nil"/>
            </w:tcBorders>
            <w:shd w:val="clear" w:color="472D8C" w:fill="auto"/>
          </w:tcPr>
          <w:p w14:paraId="18C2B282" w14:textId="77777777" w:rsidR="00A60D4B" w:rsidRPr="00037F42" w:rsidRDefault="00A60D4B" w:rsidP="00A60D4B">
            <w:pPr>
              <w:pStyle w:val="Btablefigureunbold"/>
              <w:rPr>
                <w:b/>
                <w:color w:val="000000"/>
              </w:rPr>
            </w:pPr>
            <w:r>
              <w:rPr>
                <w:rFonts w:cs="Calibri"/>
                <w:sz w:val="18"/>
                <w:szCs w:val="18"/>
              </w:rPr>
              <w:t xml:space="preserve">19,970 </w:t>
            </w:r>
          </w:p>
        </w:tc>
        <w:tc>
          <w:tcPr>
            <w:tcW w:w="1181" w:type="dxa"/>
            <w:tcBorders>
              <w:top w:val="nil"/>
              <w:bottom w:val="nil"/>
            </w:tcBorders>
            <w:shd w:val="clear" w:color="auto" w:fill="auto"/>
          </w:tcPr>
          <w:p w14:paraId="0046D2F0" w14:textId="77777777" w:rsidR="00A60D4B" w:rsidRPr="00037F42" w:rsidRDefault="00A60D4B" w:rsidP="00A60D4B">
            <w:pPr>
              <w:pStyle w:val="Btablefigureunbold"/>
              <w:rPr>
                <w:b/>
              </w:rPr>
            </w:pPr>
            <w:r>
              <w:rPr>
                <w:rFonts w:cs="Calibri"/>
                <w:sz w:val="18"/>
                <w:szCs w:val="18"/>
              </w:rPr>
              <w:t xml:space="preserve">20,819 </w:t>
            </w:r>
          </w:p>
        </w:tc>
        <w:tc>
          <w:tcPr>
            <w:tcW w:w="1182" w:type="dxa"/>
            <w:tcBorders>
              <w:top w:val="nil"/>
              <w:bottom w:val="nil"/>
            </w:tcBorders>
          </w:tcPr>
          <w:p w14:paraId="3816ED05" w14:textId="77777777" w:rsidR="00A60D4B" w:rsidRPr="00037F42" w:rsidRDefault="00A60D4B" w:rsidP="00A60D4B">
            <w:pPr>
              <w:pStyle w:val="Btablefigureunbold"/>
              <w:rPr>
                <w:b/>
              </w:rPr>
            </w:pPr>
            <w:r>
              <w:rPr>
                <w:rFonts w:cs="Calibri"/>
                <w:sz w:val="18"/>
                <w:szCs w:val="18"/>
              </w:rPr>
              <w:t xml:space="preserve">21,704 </w:t>
            </w:r>
          </w:p>
        </w:tc>
      </w:tr>
      <w:tr w:rsidR="00A60D4B" w:rsidRPr="00337DC9" w14:paraId="1194F481" w14:textId="77777777" w:rsidTr="00A60D4B">
        <w:trPr>
          <w:trHeight w:val="20"/>
        </w:trPr>
        <w:tc>
          <w:tcPr>
            <w:tcW w:w="2127" w:type="dxa"/>
            <w:tcBorders>
              <w:top w:val="nil"/>
              <w:bottom w:val="nil"/>
            </w:tcBorders>
          </w:tcPr>
          <w:p w14:paraId="3F4405E4" w14:textId="77777777" w:rsidR="00A60D4B" w:rsidRPr="00037F42" w:rsidRDefault="00A60D4B" w:rsidP="00A60D4B">
            <w:pPr>
              <w:pStyle w:val="Btabletextunbold"/>
              <w:rPr>
                <w:b/>
              </w:rPr>
            </w:pPr>
            <w:r>
              <w:rPr>
                <w:rFonts w:cs="Calibri"/>
                <w:sz w:val="18"/>
                <w:szCs w:val="18"/>
              </w:rPr>
              <w:t>Other Fines</w:t>
            </w:r>
          </w:p>
        </w:tc>
        <w:tc>
          <w:tcPr>
            <w:tcW w:w="1181" w:type="dxa"/>
            <w:tcBorders>
              <w:top w:val="nil"/>
              <w:bottom w:val="nil"/>
            </w:tcBorders>
          </w:tcPr>
          <w:p w14:paraId="2FA2C569" w14:textId="77777777" w:rsidR="00A60D4B" w:rsidRPr="00037F42" w:rsidRDefault="00A60D4B" w:rsidP="00A60D4B">
            <w:pPr>
              <w:pStyle w:val="Btablefigureunbold"/>
              <w:rPr>
                <w:b/>
              </w:rPr>
            </w:pPr>
            <w:r>
              <w:rPr>
                <w:rFonts w:cs="Calibri"/>
                <w:sz w:val="18"/>
                <w:szCs w:val="18"/>
              </w:rPr>
              <w:t xml:space="preserve">1,523 </w:t>
            </w:r>
          </w:p>
        </w:tc>
        <w:tc>
          <w:tcPr>
            <w:tcW w:w="1181" w:type="dxa"/>
            <w:tcBorders>
              <w:top w:val="nil"/>
              <w:bottom w:val="nil"/>
            </w:tcBorders>
          </w:tcPr>
          <w:p w14:paraId="127C0EDC" w14:textId="77777777" w:rsidR="00A60D4B" w:rsidRPr="00037F42" w:rsidRDefault="00A60D4B" w:rsidP="00A60D4B">
            <w:pPr>
              <w:pStyle w:val="Btablefigureunbold"/>
              <w:rPr>
                <w:b/>
              </w:rPr>
            </w:pPr>
            <w:r>
              <w:rPr>
                <w:rFonts w:cs="Calibri"/>
                <w:sz w:val="18"/>
                <w:szCs w:val="18"/>
              </w:rPr>
              <w:t xml:space="preserve">1,586 </w:t>
            </w:r>
          </w:p>
        </w:tc>
        <w:tc>
          <w:tcPr>
            <w:tcW w:w="1181" w:type="dxa"/>
            <w:tcBorders>
              <w:top w:val="nil"/>
              <w:bottom w:val="nil"/>
            </w:tcBorders>
            <w:shd w:val="clear" w:color="auto" w:fill="auto"/>
          </w:tcPr>
          <w:p w14:paraId="3C52CCDD" w14:textId="77777777" w:rsidR="00A60D4B" w:rsidRPr="00D866E9" w:rsidRDefault="00A60D4B" w:rsidP="00A60D4B">
            <w:pPr>
              <w:pStyle w:val="BTablefigureBold"/>
              <w:rPr>
                <w:b w:val="0"/>
                <w:bCs/>
              </w:rPr>
            </w:pPr>
            <w:r w:rsidRPr="00D866E9">
              <w:rPr>
                <w:rFonts w:cs="Calibri"/>
                <w:b w:val="0"/>
                <w:bCs/>
                <w:sz w:val="18"/>
                <w:szCs w:val="18"/>
              </w:rPr>
              <w:t xml:space="preserve">1,512 </w:t>
            </w:r>
          </w:p>
        </w:tc>
        <w:tc>
          <w:tcPr>
            <w:tcW w:w="1181" w:type="dxa"/>
            <w:tcBorders>
              <w:top w:val="nil"/>
              <w:bottom w:val="nil"/>
            </w:tcBorders>
            <w:shd w:val="clear" w:color="472D8C" w:fill="auto"/>
          </w:tcPr>
          <w:p w14:paraId="4F8A03F0" w14:textId="77777777" w:rsidR="00A60D4B" w:rsidRPr="00037F42" w:rsidRDefault="00A60D4B" w:rsidP="00A60D4B">
            <w:pPr>
              <w:pStyle w:val="Btablefigureunbold"/>
              <w:rPr>
                <w:b/>
                <w:color w:val="000000"/>
              </w:rPr>
            </w:pPr>
            <w:r>
              <w:rPr>
                <w:rFonts w:cs="Calibri"/>
                <w:sz w:val="18"/>
                <w:szCs w:val="18"/>
              </w:rPr>
              <w:t xml:space="preserve">1,532 </w:t>
            </w:r>
          </w:p>
        </w:tc>
        <w:tc>
          <w:tcPr>
            <w:tcW w:w="1181" w:type="dxa"/>
            <w:tcBorders>
              <w:top w:val="nil"/>
              <w:bottom w:val="nil"/>
            </w:tcBorders>
            <w:shd w:val="clear" w:color="auto" w:fill="auto"/>
          </w:tcPr>
          <w:p w14:paraId="7CC5FD3A" w14:textId="77777777" w:rsidR="00A60D4B" w:rsidRPr="00037F42" w:rsidRDefault="00A60D4B" w:rsidP="00A60D4B">
            <w:pPr>
              <w:pStyle w:val="Btablefigureunbold"/>
              <w:rPr>
                <w:b/>
              </w:rPr>
            </w:pPr>
            <w:r>
              <w:rPr>
                <w:rFonts w:cs="Calibri"/>
                <w:sz w:val="18"/>
                <w:szCs w:val="18"/>
              </w:rPr>
              <w:t xml:space="preserve">1,566 </w:t>
            </w:r>
          </w:p>
        </w:tc>
        <w:tc>
          <w:tcPr>
            <w:tcW w:w="1182" w:type="dxa"/>
            <w:tcBorders>
              <w:top w:val="nil"/>
              <w:bottom w:val="nil"/>
            </w:tcBorders>
          </w:tcPr>
          <w:p w14:paraId="5290A19D" w14:textId="77777777" w:rsidR="00A60D4B" w:rsidRPr="00037F42" w:rsidRDefault="00A60D4B" w:rsidP="00A60D4B">
            <w:pPr>
              <w:pStyle w:val="Btablefigureunbold"/>
              <w:rPr>
                <w:b/>
              </w:rPr>
            </w:pPr>
            <w:r>
              <w:rPr>
                <w:rFonts w:cs="Calibri"/>
                <w:sz w:val="18"/>
                <w:szCs w:val="18"/>
              </w:rPr>
              <w:t xml:space="preserve">1,586 </w:t>
            </w:r>
          </w:p>
        </w:tc>
      </w:tr>
      <w:tr w:rsidR="00A60D4B" w:rsidRPr="00337DC9" w14:paraId="1856653F" w14:textId="77777777" w:rsidTr="00A60D4B">
        <w:trPr>
          <w:trHeight w:val="20"/>
        </w:trPr>
        <w:tc>
          <w:tcPr>
            <w:tcW w:w="2127" w:type="dxa"/>
            <w:tcBorders>
              <w:top w:val="nil"/>
              <w:bottom w:val="nil"/>
            </w:tcBorders>
          </w:tcPr>
          <w:p w14:paraId="1A74C4FE" w14:textId="77777777" w:rsidR="00A60D4B" w:rsidRPr="00037F42" w:rsidRDefault="00A60D4B" w:rsidP="00A60D4B">
            <w:pPr>
              <w:pStyle w:val="Btabletextunbold"/>
              <w:rPr>
                <w:b/>
              </w:rPr>
            </w:pPr>
            <w:r>
              <w:rPr>
                <w:rFonts w:cs="Calibri"/>
                <w:b/>
                <w:bCs/>
                <w:sz w:val="18"/>
                <w:szCs w:val="18"/>
              </w:rPr>
              <w:t>Total Fines</w:t>
            </w:r>
          </w:p>
        </w:tc>
        <w:tc>
          <w:tcPr>
            <w:tcW w:w="1181" w:type="dxa"/>
            <w:tcBorders>
              <w:top w:val="nil"/>
              <w:bottom w:val="nil"/>
            </w:tcBorders>
          </w:tcPr>
          <w:p w14:paraId="0CB60CBC" w14:textId="77777777" w:rsidR="00A60D4B" w:rsidRPr="00037F42" w:rsidRDefault="00A60D4B" w:rsidP="00A60D4B">
            <w:pPr>
              <w:pStyle w:val="Btablefigureunbold"/>
              <w:rPr>
                <w:b/>
              </w:rPr>
            </w:pPr>
            <w:r>
              <w:rPr>
                <w:rFonts w:cs="Calibri"/>
                <w:b/>
                <w:bCs/>
                <w:sz w:val="18"/>
                <w:szCs w:val="18"/>
              </w:rPr>
              <w:t>51,953</w:t>
            </w:r>
          </w:p>
        </w:tc>
        <w:tc>
          <w:tcPr>
            <w:tcW w:w="1181" w:type="dxa"/>
            <w:tcBorders>
              <w:top w:val="nil"/>
              <w:bottom w:val="nil"/>
            </w:tcBorders>
          </w:tcPr>
          <w:p w14:paraId="3F132E36" w14:textId="77777777" w:rsidR="00A60D4B" w:rsidRPr="00037F42" w:rsidRDefault="00A60D4B" w:rsidP="00A60D4B">
            <w:pPr>
              <w:pStyle w:val="Btablefigureunbold"/>
              <w:rPr>
                <w:b/>
              </w:rPr>
            </w:pPr>
            <w:r>
              <w:rPr>
                <w:rFonts w:cs="Calibri"/>
                <w:b/>
                <w:bCs/>
                <w:sz w:val="18"/>
                <w:szCs w:val="18"/>
              </w:rPr>
              <w:t>40,545</w:t>
            </w:r>
          </w:p>
        </w:tc>
        <w:tc>
          <w:tcPr>
            <w:tcW w:w="1181" w:type="dxa"/>
            <w:tcBorders>
              <w:top w:val="nil"/>
              <w:bottom w:val="nil"/>
            </w:tcBorders>
            <w:shd w:val="clear" w:color="auto" w:fill="auto"/>
          </w:tcPr>
          <w:p w14:paraId="5DE0A402" w14:textId="77777777" w:rsidR="00A60D4B" w:rsidRPr="00D866E9" w:rsidRDefault="00A60D4B" w:rsidP="00A60D4B">
            <w:pPr>
              <w:pStyle w:val="BTablefigureBold"/>
            </w:pPr>
            <w:r w:rsidRPr="00D866E9">
              <w:rPr>
                <w:rFonts w:cs="Calibri"/>
                <w:sz w:val="18"/>
                <w:szCs w:val="18"/>
              </w:rPr>
              <w:t>70,636</w:t>
            </w:r>
          </w:p>
        </w:tc>
        <w:tc>
          <w:tcPr>
            <w:tcW w:w="1181" w:type="dxa"/>
            <w:tcBorders>
              <w:top w:val="nil"/>
              <w:bottom w:val="nil"/>
            </w:tcBorders>
            <w:shd w:val="clear" w:color="472D8C" w:fill="auto"/>
          </w:tcPr>
          <w:p w14:paraId="0E00CB21" w14:textId="77777777" w:rsidR="00A60D4B" w:rsidRPr="00037F42" w:rsidRDefault="00A60D4B" w:rsidP="00A60D4B">
            <w:pPr>
              <w:pStyle w:val="Btablefigureunbold"/>
              <w:rPr>
                <w:b/>
                <w:color w:val="000000"/>
              </w:rPr>
            </w:pPr>
            <w:r>
              <w:rPr>
                <w:rFonts w:cs="Calibri"/>
                <w:b/>
                <w:bCs/>
                <w:sz w:val="18"/>
                <w:szCs w:val="18"/>
              </w:rPr>
              <w:t>56,175</w:t>
            </w:r>
          </w:p>
        </w:tc>
        <w:tc>
          <w:tcPr>
            <w:tcW w:w="1181" w:type="dxa"/>
            <w:tcBorders>
              <w:top w:val="nil"/>
              <w:bottom w:val="nil"/>
            </w:tcBorders>
            <w:shd w:val="clear" w:color="auto" w:fill="auto"/>
          </w:tcPr>
          <w:p w14:paraId="4F7D61C4" w14:textId="77777777" w:rsidR="00A60D4B" w:rsidRPr="00037F42" w:rsidRDefault="00A60D4B" w:rsidP="00A60D4B">
            <w:pPr>
              <w:pStyle w:val="Btablefigureunbold"/>
              <w:rPr>
                <w:b/>
              </w:rPr>
            </w:pPr>
            <w:r>
              <w:rPr>
                <w:rFonts w:cs="Calibri"/>
                <w:b/>
                <w:bCs/>
                <w:sz w:val="18"/>
                <w:szCs w:val="18"/>
              </w:rPr>
              <w:t>58,170</w:t>
            </w:r>
          </w:p>
        </w:tc>
        <w:tc>
          <w:tcPr>
            <w:tcW w:w="1182" w:type="dxa"/>
            <w:tcBorders>
              <w:top w:val="nil"/>
              <w:bottom w:val="nil"/>
            </w:tcBorders>
          </w:tcPr>
          <w:p w14:paraId="181C7F90" w14:textId="77777777" w:rsidR="00A60D4B" w:rsidRPr="00037F42" w:rsidRDefault="00A60D4B" w:rsidP="00A60D4B">
            <w:pPr>
              <w:pStyle w:val="Btablefigureunbold"/>
              <w:rPr>
                <w:b/>
              </w:rPr>
            </w:pPr>
            <w:r>
              <w:rPr>
                <w:rFonts w:cs="Calibri"/>
                <w:b/>
                <w:bCs/>
                <w:sz w:val="18"/>
                <w:szCs w:val="18"/>
              </w:rPr>
              <w:t>60,223</w:t>
            </w:r>
          </w:p>
        </w:tc>
      </w:tr>
      <w:tr w:rsidR="00A60D4B" w:rsidRPr="00337DC9" w14:paraId="3F1F9F2A" w14:textId="77777777" w:rsidTr="00A60D4B">
        <w:trPr>
          <w:trHeight w:val="20"/>
        </w:trPr>
        <w:tc>
          <w:tcPr>
            <w:tcW w:w="2127" w:type="dxa"/>
            <w:tcBorders>
              <w:top w:val="nil"/>
              <w:bottom w:val="nil"/>
            </w:tcBorders>
          </w:tcPr>
          <w:p w14:paraId="4576E2A0" w14:textId="77777777" w:rsidR="00A60D4B" w:rsidRPr="00037F42" w:rsidRDefault="00A60D4B" w:rsidP="00A60D4B">
            <w:pPr>
              <w:pStyle w:val="Btabletextunbold"/>
              <w:rPr>
                <w:b/>
              </w:rPr>
            </w:pPr>
          </w:p>
        </w:tc>
        <w:tc>
          <w:tcPr>
            <w:tcW w:w="1181" w:type="dxa"/>
            <w:tcBorders>
              <w:top w:val="nil"/>
              <w:bottom w:val="nil"/>
            </w:tcBorders>
          </w:tcPr>
          <w:p w14:paraId="7CE0EB90" w14:textId="77777777" w:rsidR="00A60D4B" w:rsidRPr="00037F42" w:rsidRDefault="00A60D4B" w:rsidP="00A60D4B">
            <w:pPr>
              <w:pStyle w:val="Btablefigureunbold"/>
              <w:rPr>
                <w:b/>
              </w:rPr>
            </w:pPr>
          </w:p>
        </w:tc>
        <w:tc>
          <w:tcPr>
            <w:tcW w:w="1181" w:type="dxa"/>
            <w:tcBorders>
              <w:top w:val="nil"/>
              <w:bottom w:val="nil"/>
            </w:tcBorders>
          </w:tcPr>
          <w:p w14:paraId="5BB9F28A" w14:textId="77777777" w:rsidR="00A60D4B" w:rsidRPr="00037F42" w:rsidRDefault="00A60D4B" w:rsidP="00A60D4B">
            <w:pPr>
              <w:pStyle w:val="Btablefigureunbold"/>
              <w:rPr>
                <w:b/>
              </w:rPr>
            </w:pPr>
          </w:p>
        </w:tc>
        <w:tc>
          <w:tcPr>
            <w:tcW w:w="1181" w:type="dxa"/>
            <w:tcBorders>
              <w:top w:val="nil"/>
              <w:bottom w:val="nil"/>
            </w:tcBorders>
            <w:shd w:val="clear" w:color="auto" w:fill="auto"/>
          </w:tcPr>
          <w:p w14:paraId="079A8276" w14:textId="77777777" w:rsidR="00A60D4B" w:rsidRPr="002F4A29" w:rsidRDefault="00A60D4B" w:rsidP="00A60D4B">
            <w:pPr>
              <w:pStyle w:val="BTablefigureBold"/>
              <w:rPr>
                <w:b w:val="0"/>
                <w:bCs/>
              </w:rPr>
            </w:pPr>
          </w:p>
        </w:tc>
        <w:tc>
          <w:tcPr>
            <w:tcW w:w="1181" w:type="dxa"/>
            <w:tcBorders>
              <w:top w:val="nil"/>
              <w:bottom w:val="nil"/>
            </w:tcBorders>
            <w:shd w:val="clear" w:color="472D8C" w:fill="auto"/>
          </w:tcPr>
          <w:p w14:paraId="4D8B92AD" w14:textId="77777777" w:rsidR="00A60D4B" w:rsidRPr="00037F42" w:rsidRDefault="00A60D4B" w:rsidP="00A60D4B">
            <w:pPr>
              <w:pStyle w:val="Btablefigureunbold"/>
              <w:rPr>
                <w:b/>
                <w:color w:val="000000"/>
              </w:rPr>
            </w:pPr>
          </w:p>
        </w:tc>
        <w:tc>
          <w:tcPr>
            <w:tcW w:w="1181" w:type="dxa"/>
            <w:tcBorders>
              <w:top w:val="nil"/>
              <w:bottom w:val="nil"/>
            </w:tcBorders>
            <w:shd w:val="clear" w:color="auto" w:fill="auto"/>
          </w:tcPr>
          <w:p w14:paraId="7E86DE52" w14:textId="77777777" w:rsidR="00A60D4B" w:rsidRPr="00037F42" w:rsidRDefault="00A60D4B" w:rsidP="00A60D4B">
            <w:pPr>
              <w:pStyle w:val="Btablefigureunbold"/>
              <w:rPr>
                <w:b/>
              </w:rPr>
            </w:pPr>
          </w:p>
        </w:tc>
        <w:tc>
          <w:tcPr>
            <w:tcW w:w="1182" w:type="dxa"/>
            <w:tcBorders>
              <w:top w:val="nil"/>
              <w:bottom w:val="nil"/>
            </w:tcBorders>
          </w:tcPr>
          <w:p w14:paraId="170BEA13" w14:textId="77777777" w:rsidR="00A60D4B" w:rsidRPr="00037F42" w:rsidRDefault="00A60D4B" w:rsidP="00A60D4B">
            <w:pPr>
              <w:pStyle w:val="Btablefigureunbold"/>
              <w:rPr>
                <w:b/>
              </w:rPr>
            </w:pPr>
          </w:p>
        </w:tc>
      </w:tr>
      <w:tr w:rsidR="00A60D4B" w:rsidRPr="00337DC9" w14:paraId="0F7836A7" w14:textId="77777777" w:rsidTr="00A60D4B">
        <w:trPr>
          <w:trHeight w:val="20"/>
        </w:trPr>
        <w:tc>
          <w:tcPr>
            <w:tcW w:w="2127" w:type="dxa"/>
            <w:tcBorders>
              <w:top w:val="nil"/>
              <w:bottom w:val="nil"/>
            </w:tcBorders>
          </w:tcPr>
          <w:p w14:paraId="3B29D3F1" w14:textId="77777777" w:rsidR="00A60D4B" w:rsidRPr="00D866E9" w:rsidRDefault="00A60D4B" w:rsidP="00A60D4B">
            <w:pPr>
              <w:pStyle w:val="Btabletextunbold"/>
              <w:rPr>
                <w:bCs/>
              </w:rPr>
            </w:pPr>
            <w:r>
              <w:rPr>
                <w:rFonts w:cs="Calibri"/>
                <w:b/>
                <w:bCs/>
                <w:sz w:val="18"/>
                <w:szCs w:val="18"/>
              </w:rPr>
              <w:t>Other</w:t>
            </w:r>
          </w:p>
        </w:tc>
        <w:tc>
          <w:tcPr>
            <w:tcW w:w="1181" w:type="dxa"/>
            <w:tcBorders>
              <w:top w:val="nil"/>
              <w:bottom w:val="nil"/>
            </w:tcBorders>
          </w:tcPr>
          <w:p w14:paraId="4EB49B8B" w14:textId="77777777" w:rsidR="00A60D4B" w:rsidRPr="00D866E9" w:rsidRDefault="00A60D4B" w:rsidP="00A60D4B">
            <w:pPr>
              <w:pStyle w:val="Btablefigureunbold"/>
              <w:rPr>
                <w:bCs/>
              </w:rPr>
            </w:pPr>
            <w:r>
              <w:rPr>
                <w:rFonts w:cs="Calibri"/>
                <w:sz w:val="18"/>
                <w:szCs w:val="18"/>
              </w:rPr>
              <w:t> </w:t>
            </w:r>
          </w:p>
        </w:tc>
        <w:tc>
          <w:tcPr>
            <w:tcW w:w="1181" w:type="dxa"/>
            <w:tcBorders>
              <w:top w:val="nil"/>
              <w:bottom w:val="nil"/>
            </w:tcBorders>
          </w:tcPr>
          <w:p w14:paraId="01BFF8EB" w14:textId="77777777" w:rsidR="00A60D4B" w:rsidRPr="00D866E9" w:rsidRDefault="00A60D4B" w:rsidP="00A60D4B">
            <w:pPr>
              <w:pStyle w:val="Btablefigureunbold"/>
              <w:rPr>
                <w:bCs/>
              </w:rPr>
            </w:pPr>
            <w:r>
              <w:rPr>
                <w:rFonts w:cs="Calibri"/>
                <w:sz w:val="18"/>
                <w:szCs w:val="18"/>
              </w:rPr>
              <w:t> </w:t>
            </w:r>
          </w:p>
        </w:tc>
        <w:tc>
          <w:tcPr>
            <w:tcW w:w="1181" w:type="dxa"/>
            <w:tcBorders>
              <w:top w:val="nil"/>
              <w:bottom w:val="nil"/>
            </w:tcBorders>
            <w:shd w:val="clear" w:color="auto" w:fill="auto"/>
          </w:tcPr>
          <w:p w14:paraId="3CBD058B" w14:textId="77777777" w:rsidR="00A60D4B" w:rsidRPr="00D866E9" w:rsidRDefault="00A60D4B" w:rsidP="00A60D4B">
            <w:pPr>
              <w:pStyle w:val="BTablefigureBold"/>
              <w:rPr>
                <w:b w:val="0"/>
                <w:bCs/>
              </w:rPr>
            </w:pPr>
            <w:r>
              <w:rPr>
                <w:rFonts w:cs="Calibri"/>
                <w:sz w:val="18"/>
                <w:szCs w:val="18"/>
              </w:rPr>
              <w:t> </w:t>
            </w:r>
          </w:p>
        </w:tc>
        <w:tc>
          <w:tcPr>
            <w:tcW w:w="1181" w:type="dxa"/>
            <w:tcBorders>
              <w:top w:val="nil"/>
              <w:bottom w:val="nil"/>
            </w:tcBorders>
            <w:shd w:val="clear" w:color="472D8C" w:fill="auto"/>
          </w:tcPr>
          <w:p w14:paraId="3A8A8BDA" w14:textId="77777777" w:rsidR="00A60D4B" w:rsidRPr="00D866E9" w:rsidRDefault="00A60D4B" w:rsidP="00A60D4B">
            <w:pPr>
              <w:pStyle w:val="Btablefigureunbold"/>
              <w:rPr>
                <w:bCs/>
                <w:color w:val="000000"/>
              </w:rPr>
            </w:pPr>
            <w:r>
              <w:rPr>
                <w:rFonts w:cs="Calibri"/>
                <w:sz w:val="18"/>
                <w:szCs w:val="18"/>
              </w:rPr>
              <w:t> </w:t>
            </w:r>
          </w:p>
        </w:tc>
        <w:tc>
          <w:tcPr>
            <w:tcW w:w="1181" w:type="dxa"/>
            <w:tcBorders>
              <w:top w:val="nil"/>
              <w:bottom w:val="nil"/>
            </w:tcBorders>
            <w:shd w:val="clear" w:color="auto" w:fill="auto"/>
          </w:tcPr>
          <w:p w14:paraId="7023F951" w14:textId="77777777" w:rsidR="00A60D4B" w:rsidRPr="00D866E9" w:rsidRDefault="00A60D4B" w:rsidP="00A60D4B">
            <w:pPr>
              <w:pStyle w:val="Btablefigureunbold"/>
              <w:rPr>
                <w:bCs/>
              </w:rPr>
            </w:pPr>
            <w:r>
              <w:rPr>
                <w:rFonts w:cs="Calibri"/>
                <w:sz w:val="18"/>
                <w:szCs w:val="18"/>
              </w:rPr>
              <w:t> </w:t>
            </w:r>
          </w:p>
        </w:tc>
        <w:tc>
          <w:tcPr>
            <w:tcW w:w="1182" w:type="dxa"/>
            <w:tcBorders>
              <w:top w:val="nil"/>
              <w:bottom w:val="nil"/>
            </w:tcBorders>
          </w:tcPr>
          <w:p w14:paraId="2F209170" w14:textId="77777777" w:rsidR="00A60D4B" w:rsidRPr="00D866E9" w:rsidRDefault="00A60D4B" w:rsidP="00A60D4B">
            <w:pPr>
              <w:pStyle w:val="Btablefigureunbold"/>
              <w:rPr>
                <w:bCs/>
              </w:rPr>
            </w:pPr>
            <w:r>
              <w:rPr>
                <w:rFonts w:cs="Calibri"/>
                <w:sz w:val="18"/>
                <w:szCs w:val="18"/>
              </w:rPr>
              <w:t> </w:t>
            </w:r>
          </w:p>
        </w:tc>
      </w:tr>
      <w:tr w:rsidR="00A60D4B" w:rsidRPr="00337DC9" w14:paraId="6ED35F19" w14:textId="77777777" w:rsidTr="00A60D4B">
        <w:trPr>
          <w:trHeight w:val="20"/>
        </w:trPr>
        <w:tc>
          <w:tcPr>
            <w:tcW w:w="2127" w:type="dxa"/>
            <w:tcBorders>
              <w:top w:val="nil"/>
              <w:bottom w:val="nil"/>
            </w:tcBorders>
          </w:tcPr>
          <w:p w14:paraId="11D56AA7" w14:textId="77777777" w:rsidR="00A60D4B" w:rsidRPr="00D866E9" w:rsidRDefault="00A60D4B" w:rsidP="00A60D4B">
            <w:pPr>
              <w:pStyle w:val="Btabletextunbold"/>
              <w:rPr>
                <w:bCs/>
              </w:rPr>
            </w:pPr>
            <w:r w:rsidRPr="00D866E9">
              <w:rPr>
                <w:rFonts w:cs="Calibri"/>
                <w:sz w:val="18"/>
                <w:szCs w:val="18"/>
              </w:rPr>
              <w:t>Superannuation Contribution</w:t>
            </w:r>
          </w:p>
        </w:tc>
        <w:tc>
          <w:tcPr>
            <w:tcW w:w="1181" w:type="dxa"/>
            <w:tcBorders>
              <w:top w:val="nil"/>
              <w:bottom w:val="nil"/>
            </w:tcBorders>
          </w:tcPr>
          <w:p w14:paraId="4369552B" w14:textId="77777777" w:rsidR="00A60D4B" w:rsidRPr="00D866E9" w:rsidRDefault="00A60D4B" w:rsidP="00A60D4B">
            <w:pPr>
              <w:pStyle w:val="Btablefigureunbold"/>
              <w:rPr>
                <w:bCs/>
              </w:rPr>
            </w:pPr>
            <w:r>
              <w:rPr>
                <w:rFonts w:cs="Calibri"/>
                <w:sz w:val="18"/>
                <w:szCs w:val="18"/>
              </w:rPr>
              <w:t xml:space="preserve">10,447 </w:t>
            </w:r>
          </w:p>
        </w:tc>
        <w:tc>
          <w:tcPr>
            <w:tcW w:w="1181" w:type="dxa"/>
            <w:tcBorders>
              <w:top w:val="nil"/>
              <w:bottom w:val="nil"/>
            </w:tcBorders>
          </w:tcPr>
          <w:p w14:paraId="3AF53DEB" w14:textId="77777777" w:rsidR="00A60D4B" w:rsidRPr="00D866E9" w:rsidRDefault="00A60D4B" w:rsidP="00A60D4B">
            <w:pPr>
              <w:pStyle w:val="Btablefigureunbold"/>
              <w:rPr>
                <w:bCs/>
              </w:rPr>
            </w:pPr>
            <w:r>
              <w:rPr>
                <w:rFonts w:cs="Calibri"/>
                <w:sz w:val="18"/>
                <w:szCs w:val="18"/>
              </w:rPr>
              <w:t xml:space="preserve">12,876 </w:t>
            </w:r>
          </w:p>
        </w:tc>
        <w:tc>
          <w:tcPr>
            <w:tcW w:w="1181" w:type="dxa"/>
            <w:tcBorders>
              <w:top w:val="nil"/>
              <w:bottom w:val="nil"/>
            </w:tcBorders>
            <w:shd w:val="clear" w:color="auto" w:fill="auto"/>
          </w:tcPr>
          <w:p w14:paraId="6D553E67" w14:textId="77777777" w:rsidR="00A60D4B" w:rsidRPr="00D866E9" w:rsidRDefault="00A60D4B" w:rsidP="00A60D4B">
            <w:pPr>
              <w:pStyle w:val="BTablefigureBold"/>
              <w:rPr>
                <w:b w:val="0"/>
                <w:bCs/>
              </w:rPr>
            </w:pPr>
            <w:r w:rsidRPr="00D866E9">
              <w:rPr>
                <w:rFonts w:cs="Calibri"/>
                <w:b w:val="0"/>
                <w:bCs/>
                <w:sz w:val="18"/>
                <w:szCs w:val="18"/>
              </w:rPr>
              <w:t xml:space="preserve">12,188 </w:t>
            </w:r>
          </w:p>
        </w:tc>
        <w:tc>
          <w:tcPr>
            <w:tcW w:w="1181" w:type="dxa"/>
            <w:tcBorders>
              <w:top w:val="nil"/>
              <w:bottom w:val="nil"/>
            </w:tcBorders>
            <w:shd w:val="clear" w:color="472D8C" w:fill="auto"/>
          </w:tcPr>
          <w:p w14:paraId="7A47F40B" w14:textId="77777777" w:rsidR="00A60D4B" w:rsidRPr="00D866E9" w:rsidRDefault="00A60D4B" w:rsidP="00A60D4B">
            <w:pPr>
              <w:pStyle w:val="Btablefigureunbold"/>
              <w:rPr>
                <w:bCs/>
                <w:color w:val="000000"/>
              </w:rPr>
            </w:pPr>
            <w:r w:rsidRPr="00D866E9">
              <w:rPr>
                <w:rFonts w:cs="Calibri"/>
                <w:bCs/>
                <w:sz w:val="18"/>
                <w:szCs w:val="18"/>
              </w:rPr>
              <w:t xml:space="preserve">12,357 </w:t>
            </w:r>
          </w:p>
        </w:tc>
        <w:tc>
          <w:tcPr>
            <w:tcW w:w="1181" w:type="dxa"/>
            <w:tcBorders>
              <w:top w:val="nil"/>
              <w:bottom w:val="nil"/>
            </w:tcBorders>
            <w:shd w:val="clear" w:color="auto" w:fill="auto"/>
          </w:tcPr>
          <w:p w14:paraId="356A494D" w14:textId="77777777" w:rsidR="00A60D4B" w:rsidRPr="00D866E9" w:rsidRDefault="00A60D4B" w:rsidP="00A60D4B">
            <w:pPr>
              <w:pStyle w:val="Btablefigureunbold"/>
              <w:rPr>
                <w:bCs/>
              </w:rPr>
            </w:pPr>
            <w:r>
              <w:rPr>
                <w:rFonts w:cs="Calibri"/>
                <w:sz w:val="18"/>
                <w:szCs w:val="18"/>
              </w:rPr>
              <w:t xml:space="preserve">12,534 </w:t>
            </w:r>
          </w:p>
        </w:tc>
        <w:tc>
          <w:tcPr>
            <w:tcW w:w="1182" w:type="dxa"/>
            <w:tcBorders>
              <w:top w:val="nil"/>
              <w:bottom w:val="nil"/>
            </w:tcBorders>
          </w:tcPr>
          <w:p w14:paraId="498AD9D3" w14:textId="77777777" w:rsidR="00A60D4B" w:rsidRPr="00D866E9" w:rsidRDefault="00A60D4B" w:rsidP="00A60D4B">
            <w:pPr>
              <w:pStyle w:val="Btablefigureunbold"/>
              <w:rPr>
                <w:bCs/>
              </w:rPr>
            </w:pPr>
            <w:r>
              <w:rPr>
                <w:rFonts w:cs="Calibri"/>
                <w:sz w:val="18"/>
                <w:szCs w:val="18"/>
              </w:rPr>
              <w:t xml:space="preserve">12,723 </w:t>
            </w:r>
          </w:p>
        </w:tc>
      </w:tr>
      <w:tr w:rsidR="00A60D4B" w:rsidRPr="00653BCC" w14:paraId="757A834F" w14:textId="77777777" w:rsidTr="00A60D4B">
        <w:trPr>
          <w:trHeight w:val="20"/>
        </w:trPr>
        <w:tc>
          <w:tcPr>
            <w:tcW w:w="2127" w:type="dxa"/>
            <w:tcBorders>
              <w:top w:val="nil"/>
              <w:bottom w:val="nil"/>
            </w:tcBorders>
          </w:tcPr>
          <w:p w14:paraId="3DF42E0E" w14:textId="77777777" w:rsidR="00A60D4B" w:rsidRPr="00D866E9" w:rsidRDefault="00A60D4B" w:rsidP="00A60D4B">
            <w:pPr>
              <w:pStyle w:val="Btabletextitalic"/>
              <w:rPr>
                <w:bCs/>
                <w:i w:val="0"/>
              </w:rPr>
            </w:pPr>
            <w:r w:rsidRPr="00D866E9">
              <w:rPr>
                <w:rFonts w:cs="Calibri"/>
                <w:i w:val="0"/>
                <w:sz w:val="18"/>
                <w:szCs w:val="18"/>
              </w:rPr>
              <w:t>Rents and Commutation</w:t>
            </w:r>
          </w:p>
        </w:tc>
        <w:tc>
          <w:tcPr>
            <w:tcW w:w="1181" w:type="dxa"/>
            <w:tcBorders>
              <w:top w:val="nil"/>
              <w:bottom w:val="nil"/>
            </w:tcBorders>
          </w:tcPr>
          <w:p w14:paraId="5B979F2F" w14:textId="77777777" w:rsidR="00A60D4B" w:rsidRPr="00D866E9" w:rsidRDefault="00A60D4B" w:rsidP="00A60D4B">
            <w:pPr>
              <w:pStyle w:val="Btablefigureunbold"/>
              <w:rPr>
                <w:bCs/>
              </w:rPr>
            </w:pPr>
            <w:r>
              <w:rPr>
                <w:rFonts w:cs="Calibri"/>
                <w:sz w:val="18"/>
                <w:szCs w:val="18"/>
              </w:rPr>
              <w:t xml:space="preserve">12,431 </w:t>
            </w:r>
          </w:p>
        </w:tc>
        <w:tc>
          <w:tcPr>
            <w:tcW w:w="1181" w:type="dxa"/>
            <w:tcBorders>
              <w:top w:val="nil"/>
              <w:bottom w:val="nil"/>
            </w:tcBorders>
          </w:tcPr>
          <w:p w14:paraId="62C2AE94" w14:textId="77777777" w:rsidR="00A60D4B" w:rsidRPr="00D866E9" w:rsidRDefault="00A60D4B" w:rsidP="00A60D4B">
            <w:pPr>
              <w:pStyle w:val="Btablefigureunbold"/>
              <w:rPr>
                <w:bCs/>
              </w:rPr>
            </w:pPr>
            <w:r>
              <w:rPr>
                <w:rFonts w:cs="Calibri"/>
                <w:sz w:val="18"/>
                <w:szCs w:val="18"/>
              </w:rPr>
              <w:t xml:space="preserve">9,803 </w:t>
            </w:r>
          </w:p>
        </w:tc>
        <w:tc>
          <w:tcPr>
            <w:tcW w:w="1181" w:type="dxa"/>
            <w:tcBorders>
              <w:top w:val="nil"/>
              <w:bottom w:val="nil"/>
            </w:tcBorders>
            <w:shd w:val="clear" w:color="auto" w:fill="auto"/>
          </w:tcPr>
          <w:p w14:paraId="61B0622B" w14:textId="77777777" w:rsidR="00A60D4B" w:rsidRPr="00D866E9" w:rsidRDefault="00A60D4B" w:rsidP="00A60D4B">
            <w:pPr>
              <w:pStyle w:val="Btablefigureunbold"/>
              <w:rPr>
                <w:bCs/>
              </w:rPr>
            </w:pPr>
            <w:r>
              <w:rPr>
                <w:rFonts w:cs="Calibri"/>
                <w:sz w:val="18"/>
                <w:szCs w:val="18"/>
              </w:rPr>
              <w:t xml:space="preserve">12,206 </w:t>
            </w:r>
          </w:p>
        </w:tc>
        <w:tc>
          <w:tcPr>
            <w:tcW w:w="1181" w:type="dxa"/>
            <w:tcBorders>
              <w:top w:val="nil"/>
              <w:bottom w:val="nil"/>
            </w:tcBorders>
            <w:shd w:val="clear" w:color="472D8C" w:fill="auto"/>
          </w:tcPr>
          <w:p w14:paraId="46B2F5DF" w14:textId="77777777" w:rsidR="00A60D4B" w:rsidRPr="00D866E9" w:rsidRDefault="00A60D4B" w:rsidP="00A60D4B">
            <w:pPr>
              <w:pStyle w:val="Btablefigureunbold"/>
              <w:rPr>
                <w:bCs/>
                <w:color w:val="000000"/>
              </w:rPr>
            </w:pPr>
            <w:r>
              <w:rPr>
                <w:rFonts w:cs="Calibri"/>
                <w:sz w:val="18"/>
                <w:szCs w:val="18"/>
              </w:rPr>
              <w:t xml:space="preserve">12,641 </w:t>
            </w:r>
          </w:p>
        </w:tc>
        <w:tc>
          <w:tcPr>
            <w:tcW w:w="1181" w:type="dxa"/>
            <w:tcBorders>
              <w:top w:val="nil"/>
              <w:bottom w:val="nil"/>
            </w:tcBorders>
            <w:shd w:val="clear" w:color="auto" w:fill="auto"/>
          </w:tcPr>
          <w:p w14:paraId="5A8F3537" w14:textId="77777777" w:rsidR="00A60D4B" w:rsidRPr="00D866E9" w:rsidRDefault="00A60D4B" w:rsidP="00A60D4B">
            <w:pPr>
              <w:pStyle w:val="Btablefigureunbold"/>
              <w:rPr>
                <w:bCs/>
              </w:rPr>
            </w:pPr>
            <w:r>
              <w:rPr>
                <w:rFonts w:cs="Calibri"/>
                <w:sz w:val="18"/>
                <w:szCs w:val="18"/>
              </w:rPr>
              <w:t xml:space="preserve">12,760 </w:t>
            </w:r>
          </w:p>
        </w:tc>
        <w:tc>
          <w:tcPr>
            <w:tcW w:w="1182" w:type="dxa"/>
            <w:tcBorders>
              <w:top w:val="nil"/>
              <w:bottom w:val="nil"/>
            </w:tcBorders>
          </w:tcPr>
          <w:p w14:paraId="42F96A94" w14:textId="77777777" w:rsidR="00A60D4B" w:rsidRPr="00D866E9" w:rsidRDefault="00A60D4B" w:rsidP="00A60D4B">
            <w:pPr>
              <w:pStyle w:val="Btablefigureunbold"/>
              <w:rPr>
                <w:bCs/>
              </w:rPr>
            </w:pPr>
            <w:r>
              <w:rPr>
                <w:rFonts w:cs="Calibri"/>
                <w:sz w:val="18"/>
                <w:szCs w:val="18"/>
              </w:rPr>
              <w:t xml:space="preserve">12,870 </w:t>
            </w:r>
          </w:p>
        </w:tc>
      </w:tr>
      <w:tr w:rsidR="00A60D4B" w:rsidRPr="00653BCC" w14:paraId="16C61383" w14:textId="77777777" w:rsidTr="00A60D4B">
        <w:trPr>
          <w:trHeight w:val="20"/>
        </w:trPr>
        <w:tc>
          <w:tcPr>
            <w:tcW w:w="2127" w:type="dxa"/>
            <w:tcBorders>
              <w:top w:val="nil"/>
              <w:bottom w:val="nil"/>
            </w:tcBorders>
          </w:tcPr>
          <w:p w14:paraId="780C5BD7" w14:textId="77777777" w:rsidR="00A60D4B" w:rsidRPr="00D866E9" w:rsidRDefault="00A60D4B" w:rsidP="00A60D4B">
            <w:pPr>
              <w:pStyle w:val="Btabletextitalic"/>
              <w:rPr>
                <w:rFonts w:cs="Calibri"/>
                <w:bCs/>
                <w:i w:val="0"/>
                <w:sz w:val="18"/>
                <w:szCs w:val="18"/>
              </w:rPr>
            </w:pPr>
            <w:r w:rsidRPr="00D866E9">
              <w:rPr>
                <w:rFonts w:cs="Calibri"/>
                <w:i w:val="0"/>
                <w:sz w:val="18"/>
                <w:szCs w:val="18"/>
              </w:rPr>
              <w:t>Contributions</w:t>
            </w:r>
          </w:p>
        </w:tc>
        <w:tc>
          <w:tcPr>
            <w:tcW w:w="1181" w:type="dxa"/>
            <w:tcBorders>
              <w:top w:val="nil"/>
              <w:bottom w:val="nil"/>
            </w:tcBorders>
          </w:tcPr>
          <w:p w14:paraId="0D2C47E9" w14:textId="77777777" w:rsidR="00A60D4B" w:rsidRPr="00D866E9" w:rsidRDefault="00A60D4B" w:rsidP="00A60D4B">
            <w:pPr>
              <w:pStyle w:val="Btablefigureunbold"/>
              <w:rPr>
                <w:rFonts w:cs="Calibri"/>
                <w:bCs/>
                <w:sz w:val="18"/>
                <w:szCs w:val="18"/>
              </w:rPr>
            </w:pPr>
            <w:r>
              <w:rPr>
                <w:rFonts w:cs="Calibri"/>
                <w:sz w:val="18"/>
                <w:szCs w:val="18"/>
              </w:rPr>
              <w:t xml:space="preserve">23,295 </w:t>
            </w:r>
          </w:p>
        </w:tc>
        <w:tc>
          <w:tcPr>
            <w:tcW w:w="1181" w:type="dxa"/>
            <w:tcBorders>
              <w:top w:val="nil"/>
              <w:bottom w:val="nil"/>
            </w:tcBorders>
          </w:tcPr>
          <w:p w14:paraId="76CF7269" w14:textId="77777777" w:rsidR="00A60D4B" w:rsidRPr="00D866E9" w:rsidRDefault="00A60D4B" w:rsidP="00A60D4B">
            <w:pPr>
              <w:pStyle w:val="Btablefigureunbold"/>
              <w:rPr>
                <w:rFonts w:cs="Calibri"/>
                <w:bCs/>
                <w:sz w:val="18"/>
                <w:szCs w:val="18"/>
              </w:rPr>
            </w:pPr>
            <w:r>
              <w:rPr>
                <w:rFonts w:cs="Calibri"/>
                <w:sz w:val="18"/>
                <w:szCs w:val="18"/>
              </w:rPr>
              <w:t xml:space="preserve">15,856 </w:t>
            </w:r>
          </w:p>
        </w:tc>
        <w:tc>
          <w:tcPr>
            <w:tcW w:w="1181" w:type="dxa"/>
            <w:tcBorders>
              <w:top w:val="nil"/>
              <w:bottom w:val="nil"/>
            </w:tcBorders>
            <w:shd w:val="clear" w:color="auto" w:fill="auto"/>
          </w:tcPr>
          <w:p w14:paraId="0F650BE7" w14:textId="77777777" w:rsidR="00A60D4B" w:rsidRPr="00D866E9" w:rsidRDefault="00A60D4B" w:rsidP="00A60D4B">
            <w:pPr>
              <w:pStyle w:val="Btablefigureunbold"/>
              <w:rPr>
                <w:rFonts w:cs="Calibri"/>
                <w:bCs/>
                <w:sz w:val="18"/>
                <w:szCs w:val="18"/>
              </w:rPr>
            </w:pPr>
            <w:r>
              <w:rPr>
                <w:rFonts w:cs="Calibri"/>
                <w:sz w:val="18"/>
                <w:szCs w:val="18"/>
              </w:rPr>
              <w:t xml:space="preserve">28,160 </w:t>
            </w:r>
          </w:p>
        </w:tc>
        <w:tc>
          <w:tcPr>
            <w:tcW w:w="1181" w:type="dxa"/>
            <w:tcBorders>
              <w:top w:val="nil"/>
              <w:bottom w:val="nil"/>
            </w:tcBorders>
            <w:shd w:val="clear" w:color="472D8C" w:fill="auto"/>
          </w:tcPr>
          <w:p w14:paraId="328643CF" w14:textId="77777777" w:rsidR="00A60D4B" w:rsidRPr="00D866E9" w:rsidRDefault="00A60D4B" w:rsidP="00A60D4B">
            <w:pPr>
              <w:pStyle w:val="Btablefigureunbold"/>
              <w:rPr>
                <w:rFonts w:cs="Calibri"/>
                <w:bCs/>
                <w:sz w:val="18"/>
                <w:szCs w:val="18"/>
              </w:rPr>
            </w:pPr>
            <w:r>
              <w:rPr>
                <w:rFonts w:cs="Calibri"/>
                <w:sz w:val="18"/>
                <w:szCs w:val="18"/>
              </w:rPr>
              <w:t xml:space="preserve">29,931 </w:t>
            </w:r>
          </w:p>
        </w:tc>
        <w:tc>
          <w:tcPr>
            <w:tcW w:w="1181" w:type="dxa"/>
            <w:tcBorders>
              <w:top w:val="nil"/>
              <w:bottom w:val="nil"/>
            </w:tcBorders>
            <w:shd w:val="clear" w:color="auto" w:fill="auto"/>
          </w:tcPr>
          <w:p w14:paraId="63E41A17" w14:textId="77777777" w:rsidR="00A60D4B" w:rsidRPr="00D866E9" w:rsidRDefault="00A60D4B" w:rsidP="00A60D4B">
            <w:pPr>
              <w:pStyle w:val="Btablefigureunbold"/>
              <w:rPr>
                <w:rFonts w:cs="Calibri"/>
                <w:bCs/>
                <w:sz w:val="18"/>
                <w:szCs w:val="18"/>
              </w:rPr>
            </w:pPr>
            <w:r>
              <w:rPr>
                <w:rFonts w:cs="Calibri"/>
                <w:sz w:val="18"/>
                <w:szCs w:val="18"/>
              </w:rPr>
              <w:t xml:space="preserve">24,787 </w:t>
            </w:r>
          </w:p>
        </w:tc>
        <w:tc>
          <w:tcPr>
            <w:tcW w:w="1182" w:type="dxa"/>
            <w:tcBorders>
              <w:top w:val="nil"/>
              <w:bottom w:val="nil"/>
            </w:tcBorders>
          </w:tcPr>
          <w:p w14:paraId="40C9BF8B" w14:textId="77777777" w:rsidR="00A60D4B" w:rsidRPr="00D866E9" w:rsidRDefault="00A60D4B" w:rsidP="00A60D4B">
            <w:pPr>
              <w:pStyle w:val="Btablefigureunbold"/>
              <w:rPr>
                <w:rFonts w:cs="Calibri"/>
                <w:bCs/>
                <w:sz w:val="18"/>
                <w:szCs w:val="18"/>
              </w:rPr>
            </w:pPr>
            <w:r>
              <w:rPr>
                <w:rFonts w:cs="Calibri"/>
                <w:sz w:val="18"/>
                <w:szCs w:val="18"/>
              </w:rPr>
              <w:t xml:space="preserve">24,787 </w:t>
            </w:r>
          </w:p>
        </w:tc>
      </w:tr>
      <w:tr w:rsidR="00A60D4B" w:rsidRPr="00653BCC" w14:paraId="12A843A6" w14:textId="77777777" w:rsidTr="00A60D4B">
        <w:trPr>
          <w:trHeight w:val="20"/>
        </w:trPr>
        <w:tc>
          <w:tcPr>
            <w:tcW w:w="2127" w:type="dxa"/>
            <w:tcBorders>
              <w:top w:val="nil"/>
              <w:bottom w:val="nil"/>
            </w:tcBorders>
          </w:tcPr>
          <w:p w14:paraId="47E73E2A" w14:textId="77777777" w:rsidR="00A60D4B" w:rsidRPr="00D866E9" w:rsidRDefault="00A60D4B" w:rsidP="00A60D4B">
            <w:pPr>
              <w:pStyle w:val="Btabletextitalic"/>
              <w:rPr>
                <w:rFonts w:cs="Calibri"/>
                <w:bCs/>
                <w:i w:val="0"/>
                <w:sz w:val="18"/>
                <w:szCs w:val="18"/>
              </w:rPr>
            </w:pPr>
            <w:r w:rsidRPr="00D866E9">
              <w:rPr>
                <w:rFonts w:cs="Calibri"/>
                <w:i w:val="0"/>
                <w:sz w:val="18"/>
                <w:szCs w:val="18"/>
              </w:rPr>
              <w:t>Lifetime Care and Support Levy</w:t>
            </w:r>
          </w:p>
        </w:tc>
        <w:tc>
          <w:tcPr>
            <w:tcW w:w="1181" w:type="dxa"/>
            <w:tcBorders>
              <w:top w:val="nil"/>
              <w:bottom w:val="nil"/>
            </w:tcBorders>
          </w:tcPr>
          <w:p w14:paraId="0D48A63B" w14:textId="77777777" w:rsidR="00A60D4B" w:rsidRPr="00D866E9" w:rsidRDefault="00A60D4B" w:rsidP="00A60D4B">
            <w:pPr>
              <w:pStyle w:val="Btablefigureunbold"/>
              <w:rPr>
                <w:rFonts w:cs="Calibri"/>
                <w:bCs/>
                <w:sz w:val="18"/>
                <w:szCs w:val="18"/>
              </w:rPr>
            </w:pPr>
            <w:r>
              <w:rPr>
                <w:rFonts w:cs="Calibri"/>
                <w:sz w:val="18"/>
                <w:szCs w:val="18"/>
              </w:rPr>
              <w:t xml:space="preserve">15,308 </w:t>
            </w:r>
          </w:p>
        </w:tc>
        <w:tc>
          <w:tcPr>
            <w:tcW w:w="1181" w:type="dxa"/>
            <w:tcBorders>
              <w:top w:val="nil"/>
              <w:bottom w:val="nil"/>
            </w:tcBorders>
          </w:tcPr>
          <w:p w14:paraId="371DD829" w14:textId="77777777" w:rsidR="00A60D4B" w:rsidRPr="00D866E9" w:rsidRDefault="00A60D4B" w:rsidP="00A60D4B">
            <w:pPr>
              <w:pStyle w:val="Btablefigureunbold"/>
              <w:rPr>
                <w:rFonts w:cs="Calibri"/>
                <w:bCs/>
                <w:sz w:val="18"/>
                <w:szCs w:val="18"/>
              </w:rPr>
            </w:pPr>
            <w:r>
              <w:rPr>
                <w:rFonts w:cs="Calibri"/>
                <w:sz w:val="18"/>
                <w:szCs w:val="18"/>
              </w:rPr>
              <w:t xml:space="preserve">15,522 </w:t>
            </w:r>
          </w:p>
        </w:tc>
        <w:tc>
          <w:tcPr>
            <w:tcW w:w="1181" w:type="dxa"/>
            <w:tcBorders>
              <w:top w:val="nil"/>
              <w:bottom w:val="nil"/>
            </w:tcBorders>
            <w:shd w:val="clear" w:color="auto" w:fill="auto"/>
          </w:tcPr>
          <w:p w14:paraId="0EFA759D" w14:textId="77777777" w:rsidR="00A60D4B" w:rsidRPr="00D866E9" w:rsidRDefault="00A60D4B" w:rsidP="00A60D4B">
            <w:pPr>
              <w:pStyle w:val="Btablefigureunbold"/>
              <w:rPr>
                <w:rFonts w:cs="Calibri"/>
                <w:bCs/>
                <w:sz w:val="18"/>
                <w:szCs w:val="18"/>
              </w:rPr>
            </w:pPr>
            <w:r>
              <w:rPr>
                <w:rFonts w:cs="Calibri"/>
                <w:sz w:val="18"/>
                <w:szCs w:val="18"/>
              </w:rPr>
              <w:t xml:space="preserve">18,973 </w:t>
            </w:r>
          </w:p>
        </w:tc>
        <w:tc>
          <w:tcPr>
            <w:tcW w:w="1181" w:type="dxa"/>
            <w:tcBorders>
              <w:top w:val="nil"/>
              <w:bottom w:val="nil"/>
            </w:tcBorders>
            <w:shd w:val="clear" w:color="472D8C" w:fill="auto"/>
          </w:tcPr>
          <w:p w14:paraId="397EBDE9" w14:textId="77777777" w:rsidR="00A60D4B" w:rsidRPr="00D866E9" w:rsidRDefault="00A60D4B" w:rsidP="00A60D4B">
            <w:pPr>
              <w:pStyle w:val="Btablefigureunbold"/>
              <w:rPr>
                <w:rFonts w:cs="Calibri"/>
                <w:bCs/>
                <w:sz w:val="18"/>
                <w:szCs w:val="18"/>
              </w:rPr>
            </w:pPr>
            <w:r>
              <w:rPr>
                <w:rFonts w:cs="Calibri"/>
                <w:sz w:val="18"/>
                <w:szCs w:val="18"/>
              </w:rPr>
              <w:t xml:space="preserve">20,823 </w:t>
            </w:r>
          </w:p>
        </w:tc>
        <w:tc>
          <w:tcPr>
            <w:tcW w:w="1181" w:type="dxa"/>
            <w:tcBorders>
              <w:top w:val="nil"/>
              <w:bottom w:val="nil"/>
            </w:tcBorders>
            <w:shd w:val="clear" w:color="auto" w:fill="auto"/>
          </w:tcPr>
          <w:p w14:paraId="4E485E1F" w14:textId="77777777" w:rsidR="00A60D4B" w:rsidRPr="00D866E9" w:rsidRDefault="00A60D4B" w:rsidP="00A60D4B">
            <w:pPr>
              <w:pStyle w:val="Btablefigureunbold"/>
              <w:rPr>
                <w:rFonts w:cs="Calibri"/>
                <w:bCs/>
                <w:sz w:val="18"/>
                <w:szCs w:val="18"/>
              </w:rPr>
            </w:pPr>
            <w:r>
              <w:rPr>
                <w:rFonts w:cs="Calibri"/>
                <w:sz w:val="18"/>
                <w:szCs w:val="18"/>
              </w:rPr>
              <w:t xml:space="preserve">22,765 </w:t>
            </w:r>
          </w:p>
        </w:tc>
        <w:tc>
          <w:tcPr>
            <w:tcW w:w="1182" w:type="dxa"/>
            <w:tcBorders>
              <w:top w:val="nil"/>
              <w:bottom w:val="nil"/>
            </w:tcBorders>
          </w:tcPr>
          <w:p w14:paraId="494FBA3B" w14:textId="77777777" w:rsidR="00A60D4B" w:rsidRPr="00D866E9" w:rsidRDefault="00A60D4B" w:rsidP="00A60D4B">
            <w:pPr>
              <w:pStyle w:val="Btablefigureunbold"/>
              <w:rPr>
                <w:rFonts w:cs="Calibri"/>
                <w:bCs/>
                <w:sz w:val="18"/>
                <w:szCs w:val="18"/>
              </w:rPr>
            </w:pPr>
            <w:r>
              <w:rPr>
                <w:rFonts w:cs="Calibri"/>
                <w:sz w:val="18"/>
                <w:szCs w:val="18"/>
              </w:rPr>
              <w:t xml:space="preserve">24,781 </w:t>
            </w:r>
          </w:p>
        </w:tc>
      </w:tr>
      <w:tr w:rsidR="00A60D4B" w:rsidRPr="00653BCC" w14:paraId="03B3C803" w14:textId="77777777" w:rsidTr="00A60D4B">
        <w:trPr>
          <w:trHeight w:val="20"/>
        </w:trPr>
        <w:tc>
          <w:tcPr>
            <w:tcW w:w="2127" w:type="dxa"/>
            <w:tcBorders>
              <w:top w:val="nil"/>
              <w:bottom w:val="nil"/>
            </w:tcBorders>
          </w:tcPr>
          <w:p w14:paraId="5C380574" w14:textId="77777777" w:rsidR="00A60D4B" w:rsidRPr="00D866E9" w:rsidRDefault="00A60D4B" w:rsidP="00A60D4B">
            <w:pPr>
              <w:pStyle w:val="Btabletextitalic"/>
              <w:rPr>
                <w:rFonts w:cs="Calibri"/>
                <w:bCs/>
                <w:i w:val="0"/>
                <w:sz w:val="18"/>
                <w:szCs w:val="18"/>
              </w:rPr>
            </w:pPr>
            <w:r w:rsidRPr="00D866E9">
              <w:rPr>
                <w:rFonts w:cs="Calibri"/>
                <w:i w:val="0"/>
                <w:sz w:val="18"/>
                <w:szCs w:val="18"/>
              </w:rPr>
              <w:t>Other Miscellaneous Revenue</w:t>
            </w:r>
          </w:p>
        </w:tc>
        <w:tc>
          <w:tcPr>
            <w:tcW w:w="1181" w:type="dxa"/>
            <w:tcBorders>
              <w:top w:val="nil"/>
              <w:bottom w:val="nil"/>
            </w:tcBorders>
          </w:tcPr>
          <w:p w14:paraId="6C361E49" w14:textId="77777777" w:rsidR="00A60D4B" w:rsidRPr="00D866E9" w:rsidRDefault="00A60D4B" w:rsidP="00A60D4B">
            <w:pPr>
              <w:pStyle w:val="Btablefigureunbold"/>
              <w:rPr>
                <w:rFonts w:cs="Calibri"/>
                <w:bCs/>
                <w:sz w:val="18"/>
                <w:szCs w:val="18"/>
              </w:rPr>
            </w:pPr>
            <w:r>
              <w:rPr>
                <w:rFonts w:cs="Calibri"/>
                <w:sz w:val="18"/>
                <w:szCs w:val="18"/>
              </w:rPr>
              <w:t xml:space="preserve">76,432 </w:t>
            </w:r>
          </w:p>
        </w:tc>
        <w:tc>
          <w:tcPr>
            <w:tcW w:w="1181" w:type="dxa"/>
            <w:tcBorders>
              <w:top w:val="nil"/>
              <w:bottom w:val="nil"/>
            </w:tcBorders>
          </w:tcPr>
          <w:p w14:paraId="7334CCFA" w14:textId="77777777" w:rsidR="00A60D4B" w:rsidRPr="00D866E9" w:rsidRDefault="00A60D4B" w:rsidP="00A60D4B">
            <w:pPr>
              <w:pStyle w:val="Btablefigureunbold"/>
              <w:rPr>
                <w:rFonts w:cs="Calibri"/>
                <w:bCs/>
                <w:sz w:val="18"/>
                <w:szCs w:val="18"/>
              </w:rPr>
            </w:pPr>
            <w:r>
              <w:rPr>
                <w:rFonts w:cs="Calibri"/>
                <w:sz w:val="18"/>
                <w:szCs w:val="18"/>
              </w:rPr>
              <w:t xml:space="preserve">149,477 </w:t>
            </w:r>
          </w:p>
        </w:tc>
        <w:tc>
          <w:tcPr>
            <w:tcW w:w="1181" w:type="dxa"/>
            <w:tcBorders>
              <w:top w:val="nil"/>
              <w:bottom w:val="nil"/>
            </w:tcBorders>
            <w:shd w:val="clear" w:color="auto" w:fill="auto"/>
          </w:tcPr>
          <w:p w14:paraId="4BA899C4" w14:textId="77777777" w:rsidR="00A60D4B" w:rsidRPr="00D866E9" w:rsidRDefault="00A60D4B" w:rsidP="00A60D4B">
            <w:pPr>
              <w:pStyle w:val="Btablefigureunbold"/>
              <w:rPr>
                <w:rFonts w:cs="Calibri"/>
                <w:bCs/>
                <w:sz w:val="18"/>
                <w:szCs w:val="18"/>
              </w:rPr>
            </w:pPr>
            <w:r>
              <w:rPr>
                <w:rFonts w:cs="Calibri"/>
                <w:sz w:val="18"/>
                <w:szCs w:val="18"/>
              </w:rPr>
              <w:t xml:space="preserve">64,261 </w:t>
            </w:r>
          </w:p>
        </w:tc>
        <w:tc>
          <w:tcPr>
            <w:tcW w:w="1181" w:type="dxa"/>
            <w:tcBorders>
              <w:top w:val="nil"/>
              <w:bottom w:val="nil"/>
            </w:tcBorders>
            <w:shd w:val="clear" w:color="472D8C" w:fill="auto"/>
          </w:tcPr>
          <w:p w14:paraId="1E1FD34A" w14:textId="77777777" w:rsidR="00A60D4B" w:rsidRPr="00D866E9" w:rsidRDefault="00A60D4B" w:rsidP="00A60D4B">
            <w:pPr>
              <w:pStyle w:val="Btablefigureunbold"/>
              <w:rPr>
                <w:rFonts w:cs="Calibri"/>
                <w:bCs/>
                <w:sz w:val="18"/>
                <w:szCs w:val="18"/>
              </w:rPr>
            </w:pPr>
            <w:r>
              <w:rPr>
                <w:rFonts w:cs="Calibri"/>
                <w:sz w:val="18"/>
                <w:szCs w:val="18"/>
              </w:rPr>
              <w:t xml:space="preserve">53,309 </w:t>
            </w:r>
          </w:p>
        </w:tc>
        <w:tc>
          <w:tcPr>
            <w:tcW w:w="1181" w:type="dxa"/>
            <w:tcBorders>
              <w:top w:val="nil"/>
              <w:bottom w:val="nil"/>
            </w:tcBorders>
            <w:shd w:val="clear" w:color="auto" w:fill="auto"/>
          </w:tcPr>
          <w:p w14:paraId="45F9849D" w14:textId="77777777" w:rsidR="00A60D4B" w:rsidRPr="00D866E9" w:rsidRDefault="00A60D4B" w:rsidP="00A60D4B">
            <w:pPr>
              <w:pStyle w:val="Btablefigureunbold"/>
              <w:rPr>
                <w:rFonts w:cs="Calibri"/>
                <w:bCs/>
                <w:sz w:val="18"/>
                <w:szCs w:val="18"/>
              </w:rPr>
            </w:pPr>
            <w:r>
              <w:rPr>
                <w:rFonts w:cs="Calibri"/>
                <w:sz w:val="18"/>
                <w:szCs w:val="18"/>
              </w:rPr>
              <w:t xml:space="preserve">51,917 </w:t>
            </w:r>
          </w:p>
        </w:tc>
        <w:tc>
          <w:tcPr>
            <w:tcW w:w="1182" w:type="dxa"/>
            <w:tcBorders>
              <w:top w:val="nil"/>
              <w:bottom w:val="nil"/>
            </w:tcBorders>
          </w:tcPr>
          <w:p w14:paraId="106166DC" w14:textId="77777777" w:rsidR="00A60D4B" w:rsidRPr="00D866E9" w:rsidRDefault="00A60D4B" w:rsidP="00A60D4B">
            <w:pPr>
              <w:pStyle w:val="Btablefigureunbold"/>
              <w:rPr>
                <w:rFonts w:cs="Calibri"/>
                <w:bCs/>
                <w:sz w:val="18"/>
                <w:szCs w:val="18"/>
              </w:rPr>
            </w:pPr>
            <w:r>
              <w:rPr>
                <w:rFonts w:cs="Calibri"/>
                <w:sz w:val="18"/>
                <w:szCs w:val="18"/>
              </w:rPr>
              <w:t xml:space="preserve">99,900 </w:t>
            </w:r>
          </w:p>
        </w:tc>
      </w:tr>
      <w:tr w:rsidR="00A60D4B" w:rsidRPr="00653BCC" w14:paraId="38988272" w14:textId="77777777" w:rsidTr="00A60D4B">
        <w:trPr>
          <w:trHeight w:val="20"/>
        </w:trPr>
        <w:tc>
          <w:tcPr>
            <w:tcW w:w="2127" w:type="dxa"/>
            <w:tcBorders>
              <w:top w:val="nil"/>
              <w:bottom w:val="nil"/>
            </w:tcBorders>
          </w:tcPr>
          <w:p w14:paraId="230CD683" w14:textId="77777777" w:rsidR="00A60D4B" w:rsidRPr="00D866E9" w:rsidRDefault="00A60D4B" w:rsidP="00A60D4B">
            <w:pPr>
              <w:pStyle w:val="Btabletextitalic"/>
              <w:rPr>
                <w:rFonts w:cs="Calibri"/>
                <w:bCs/>
                <w:i w:val="0"/>
                <w:sz w:val="18"/>
                <w:szCs w:val="18"/>
              </w:rPr>
            </w:pPr>
            <w:r w:rsidRPr="00D866E9">
              <w:rPr>
                <w:rFonts w:cs="Calibri"/>
                <w:b/>
                <w:bCs/>
                <w:i w:val="0"/>
                <w:sz w:val="18"/>
                <w:szCs w:val="18"/>
              </w:rPr>
              <w:t>Total Other</w:t>
            </w:r>
          </w:p>
        </w:tc>
        <w:tc>
          <w:tcPr>
            <w:tcW w:w="1181" w:type="dxa"/>
            <w:tcBorders>
              <w:top w:val="nil"/>
              <w:bottom w:val="nil"/>
            </w:tcBorders>
          </w:tcPr>
          <w:p w14:paraId="3E8E14A4" w14:textId="77777777" w:rsidR="00A60D4B" w:rsidRPr="00D866E9" w:rsidRDefault="00A60D4B" w:rsidP="00A60D4B">
            <w:pPr>
              <w:pStyle w:val="Btablefigureunbold"/>
              <w:rPr>
                <w:rFonts w:cs="Calibri"/>
                <w:bCs/>
                <w:sz w:val="18"/>
                <w:szCs w:val="18"/>
              </w:rPr>
            </w:pPr>
            <w:r>
              <w:rPr>
                <w:rFonts w:cs="Calibri"/>
                <w:b/>
                <w:bCs/>
                <w:sz w:val="18"/>
                <w:szCs w:val="18"/>
              </w:rPr>
              <w:t>137,913</w:t>
            </w:r>
          </w:p>
        </w:tc>
        <w:tc>
          <w:tcPr>
            <w:tcW w:w="1181" w:type="dxa"/>
            <w:tcBorders>
              <w:top w:val="nil"/>
              <w:bottom w:val="nil"/>
            </w:tcBorders>
          </w:tcPr>
          <w:p w14:paraId="6BBAA221" w14:textId="77777777" w:rsidR="00A60D4B" w:rsidRPr="00D866E9" w:rsidRDefault="00A60D4B" w:rsidP="00A60D4B">
            <w:pPr>
              <w:pStyle w:val="Btablefigureunbold"/>
              <w:rPr>
                <w:rFonts w:cs="Calibri"/>
                <w:bCs/>
                <w:sz w:val="18"/>
                <w:szCs w:val="18"/>
              </w:rPr>
            </w:pPr>
            <w:r>
              <w:rPr>
                <w:rFonts w:cs="Calibri"/>
                <w:b/>
                <w:bCs/>
                <w:sz w:val="18"/>
                <w:szCs w:val="18"/>
              </w:rPr>
              <w:t>203,534</w:t>
            </w:r>
          </w:p>
        </w:tc>
        <w:tc>
          <w:tcPr>
            <w:tcW w:w="1181" w:type="dxa"/>
            <w:tcBorders>
              <w:top w:val="nil"/>
              <w:bottom w:val="nil"/>
            </w:tcBorders>
            <w:shd w:val="clear" w:color="auto" w:fill="auto"/>
          </w:tcPr>
          <w:p w14:paraId="71EAC1EC" w14:textId="77777777" w:rsidR="00A60D4B" w:rsidRPr="00D866E9" w:rsidRDefault="00A60D4B" w:rsidP="00A60D4B">
            <w:pPr>
              <w:pStyle w:val="Btablefigureunbold"/>
              <w:rPr>
                <w:rFonts w:cs="Calibri"/>
                <w:bCs/>
                <w:sz w:val="18"/>
                <w:szCs w:val="18"/>
              </w:rPr>
            </w:pPr>
            <w:r>
              <w:rPr>
                <w:rFonts w:cs="Calibri"/>
                <w:b/>
                <w:bCs/>
                <w:sz w:val="18"/>
                <w:szCs w:val="18"/>
              </w:rPr>
              <w:t>135,788</w:t>
            </w:r>
          </w:p>
        </w:tc>
        <w:tc>
          <w:tcPr>
            <w:tcW w:w="1181" w:type="dxa"/>
            <w:tcBorders>
              <w:top w:val="nil"/>
              <w:bottom w:val="nil"/>
            </w:tcBorders>
            <w:shd w:val="clear" w:color="472D8C" w:fill="auto"/>
          </w:tcPr>
          <w:p w14:paraId="561E7757" w14:textId="77777777" w:rsidR="00A60D4B" w:rsidRPr="00D866E9" w:rsidRDefault="00A60D4B" w:rsidP="00A60D4B">
            <w:pPr>
              <w:pStyle w:val="Btablefigureunbold"/>
              <w:rPr>
                <w:rFonts w:cs="Calibri"/>
                <w:bCs/>
                <w:sz w:val="18"/>
                <w:szCs w:val="18"/>
              </w:rPr>
            </w:pPr>
            <w:r>
              <w:rPr>
                <w:rFonts w:cs="Calibri"/>
                <w:b/>
                <w:bCs/>
                <w:sz w:val="18"/>
                <w:szCs w:val="18"/>
              </w:rPr>
              <w:t>129,061</w:t>
            </w:r>
          </w:p>
        </w:tc>
        <w:tc>
          <w:tcPr>
            <w:tcW w:w="1181" w:type="dxa"/>
            <w:tcBorders>
              <w:top w:val="nil"/>
              <w:bottom w:val="nil"/>
            </w:tcBorders>
            <w:shd w:val="clear" w:color="auto" w:fill="auto"/>
          </w:tcPr>
          <w:p w14:paraId="69D52124" w14:textId="77777777" w:rsidR="00A60D4B" w:rsidRPr="00D866E9" w:rsidRDefault="00A60D4B" w:rsidP="00A60D4B">
            <w:pPr>
              <w:pStyle w:val="Btablefigureunbold"/>
              <w:rPr>
                <w:rFonts w:cs="Calibri"/>
                <w:bCs/>
                <w:sz w:val="18"/>
                <w:szCs w:val="18"/>
              </w:rPr>
            </w:pPr>
            <w:r>
              <w:rPr>
                <w:rFonts w:cs="Calibri"/>
                <w:b/>
                <w:bCs/>
                <w:sz w:val="18"/>
                <w:szCs w:val="18"/>
              </w:rPr>
              <w:t>124,763</w:t>
            </w:r>
          </w:p>
        </w:tc>
        <w:tc>
          <w:tcPr>
            <w:tcW w:w="1182" w:type="dxa"/>
            <w:tcBorders>
              <w:top w:val="nil"/>
              <w:bottom w:val="nil"/>
            </w:tcBorders>
          </w:tcPr>
          <w:p w14:paraId="3065486E" w14:textId="77777777" w:rsidR="00A60D4B" w:rsidRPr="00D866E9" w:rsidRDefault="00A60D4B" w:rsidP="00A60D4B">
            <w:pPr>
              <w:pStyle w:val="Btablefigureunbold"/>
              <w:rPr>
                <w:rFonts w:cs="Calibri"/>
                <w:bCs/>
                <w:sz w:val="18"/>
                <w:szCs w:val="18"/>
              </w:rPr>
            </w:pPr>
            <w:r>
              <w:rPr>
                <w:rFonts w:cs="Calibri"/>
                <w:b/>
                <w:bCs/>
                <w:sz w:val="18"/>
                <w:szCs w:val="18"/>
              </w:rPr>
              <w:t>175,061</w:t>
            </w:r>
          </w:p>
        </w:tc>
      </w:tr>
      <w:tr w:rsidR="00A60D4B" w:rsidRPr="00337DC9" w14:paraId="331D308E" w14:textId="77777777" w:rsidTr="00A60D4B">
        <w:trPr>
          <w:trHeight w:val="227"/>
        </w:trPr>
        <w:tc>
          <w:tcPr>
            <w:tcW w:w="2127" w:type="dxa"/>
            <w:tcBorders>
              <w:top w:val="single" w:sz="4" w:space="0" w:color="auto"/>
              <w:bottom w:val="single" w:sz="4" w:space="0" w:color="auto"/>
            </w:tcBorders>
          </w:tcPr>
          <w:p w14:paraId="4DD12B20" w14:textId="77777777" w:rsidR="00A60D4B" w:rsidRPr="00DC6089" w:rsidRDefault="00A60D4B" w:rsidP="00A60D4B">
            <w:pPr>
              <w:pStyle w:val="Btabletextbolditalic"/>
              <w:rPr>
                <w:i w:val="0"/>
                <w:iCs/>
                <w:color w:val="472D8C"/>
              </w:rPr>
            </w:pPr>
            <w:r w:rsidRPr="00DC6089">
              <w:rPr>
                <w:rFonts w:cs="Calibri"/>
                <w:i w:val="0"/>
                <w:iCs/>
                <w:color w:val="472D8C"/>
                <w:sz w:val="18"/>
                <w:szCs w:val="18"/>
              </w:rPr>
              <w:t>Total Other Revenue</w:t>
            </w:r>
          </w:p>
        </w:tc>
        <w:tc>
          <w:tcPr>
            <w:tcW w:w="1181" w:type="dxa"/>
            <w:tcBorders>
              <w:top w:val="single" w:sz="4" w:space="0" w:color="auto"/>
              <w:bottom w:val="single" w:sz="4" w:space="0" w:color="auto"/>
            </w:tcBorders>
          </w:tcPr>
          <w:p w14:paraId="6C70510D" w14:textId="77777777" w:rsidR="00A60D4B" w:rsidRPr="00DC6089" w:rsidRDefault="00A60D4B" w:rsidP="00A60D4B">
            <w:pPr>
              <w:pStyle w:val="Btablefigureunbold"/>
              <w:rPr>
                <w:b/>
                <w:iCs/>
                <w:color w:val="472D8C"/>
              </w:rPr>
            </w:pPr>
            <w:r w:rsidRPr="00DC6089">
              <w:rPr>
                <w:rFonts w:cs="Calibri"/>
                <w:b/>
                <w:bCs/>
                <w:color w:val="472D8C"/>
                <w:sz w:val="18"/>
                <w:szCs w:val="18"/>
              </w:rPr>
              <w:t>189,866</w:t>
            </w:r>
          </w:p>
        </w:tc>
        <w:tc>
          <w:tcPr>
            <w:tcW w:w="1181" w:type="dxa"/>
            <w:tcBorders>
              <w:top w:val="single" w:sz="4" w:space="0" w:color="auto"/>
              <w:bottom w:val="single" w:sz="4" w:space="0" w:color="auto"/>
            </w:tcBorders>
          </w:tcPr>
          <w:p w14:paraId="2BE2452D" w14:textId="77777777" w:rsidR="00A60D4B" w:rsidRPr="00DC6089" w:rsidRDefault="00A60D4B" w:rsidP="00A60D4B">
            <w:pPr>
              <w:pStyle w:val="Btablefigureunbold"/>
              <w:rPr>
                <w:b/>
                <w:iCs/>
                <w:color w:val="472D8C"/>
              </w:rPr>
            </w:pPr>
            <w:r w:rsidRPr="00DC6089">
              <w:rPr>
                <w:rFonts w:cs="Calibri"/>
                <w:b/>
                <w:bCs/>
                <w:color w:val="472D8C"/>
                <w:sz w:val="18"/>
                <w:szCs w:val="18"/>
              </w:rPr>
              <w:t>244,079</w:t>
            </w:r>
          </w:p>
        </w:tc>
        <w:tc>
          <w:tcPr>
            <w:tcW w:w="1181" w:type="dxa"/>
            <w:tcBorders>
              <w:top w:val="single" w:sz="4" w:space="0" w:color="auto"/>
              <w:bottom w:val="single" w:sz="4" w:space="0" w:color="auto"/>
            </w:tcBorders>
            <w:shd w:val="clear" w:color="auto" w:fill="auto"/>
          </w:tcPr>
          <w:p w14:paraId="2284A717" w14:textId="77777777" w:rsidR="00A60D4B" w:rsidRPr="00DC6089" w:rsidRDefault="00A60D4B" w:rsidP="00A60D4B">
            <w:pPr>
              <w:pStyle w:val="Btablefigureunbold"/>
              <w:rPr>
                <w:b/>
                <w:iCs/>
                <w:color w:val="472D8C"/>
              </w:rPr>
            </w:pPr>
            <w:r w:rsidRPr="00DC6089">
              <w:rPr>
                <w:rFonts w:cs="Calibri"/>
                <w:b/>
                <w:bCs/>
                <w:color w:val="472D8C"/>
                <w:sz w:val="18"/>
                <w:szCs w:val="18"/>
              </w:rPr>
              <w:t>206,424</w:t>
            </w:r>
          </w:p>
        </w:tc>
        <w:tc>
          <w:tcPr>
            <w:tcW w:w="1181" w:type="dxa"/>
            <w:tcBorders>
              <w:top w:val="single" w:sz="4" w:space="0" w:color="auto"/>
              <w:bottom w:val="single" w:sz="4" w:space="0" w:color="auto"/>
            </w:tcBorders>
            <w:shd w:val="clear" w:color="472D8C" w:fill="auto"/>
          </w:tcPr>
          <w:p w14:paraId="560AEBBB" w14:textId="77777777" w:rsidR="00A60D4B" w:rsidRPr="00DC6089" w:rsidRDefault="00A60D4B" w:rsidP="00A60D4B">
            <w:pPr>
              <w:pStyle w:val="Btablefigureunbold"/>
              <w:rPr>
                <w:b/>
                <w:iCs/>
                <w:color w:val="472D8C"/>
              </w:rPr>
            </w:pPr>
            <w:r w:rsidRPr="00DC6089">
              <w:rPr>
                <w:rFonts w:cs="Calibri"/>
                <w:b/>
                <w:bCs/>
                <w:color w:val="472D8C"/>
                <w:sz w:val="18"/>
                <w:szCs w:val="18"/>
              </w:rPr>
              <w:t>185,236</w:t>
            </w:r>
          </w:p>
        </w:tc>
        <w:tc>
          <w:tcPr>
            <w:tcW w:w="1181" w:type="dxa"/>
            <w:tcBorders>
              <w:top w:val="single" w:sz="4" w:space="0" w:color="auto"/>
              <w:bottom w:val="single" w:sz="4" w:space="0" w:color="auto"/>
            </w:tcBorders>
            <w:shd w:val="clear" w:color="auto" w:fill="auto"/>
          </w:tcPr>
          <w:p w14:paraId="7C023E9F" w14:textId="77777777" w:rsidR="00A60D4B" w:rsidRPr="00DC6089" w:rsidRDefault="00A60D4B" w:rsidP="00A60D4B">
            <w:pPr>
              <w:pStyle w:val="Btablefigureunbold"/>
              <w:rPr>
                <w:b/>
                <w:iCs/>
                <w:color w:val="472D8C"/>
              </w:rPr>
            </w:pPr>
            <w:r w:rsidRPr="00DC6089">
              <w:rPr>
                <w:rFonts w:cs="Calibri"/>
                <w:b/>
                <w:bCs/>
                <w:color w:val="472D8C"/>
                <w:sz w:val="18"/>
                <w:szCs w:val="18"/>
              </w:rPr>
              <w:t>182,933</w:t>
            </w:r>
          </w:p>
        </w:tc>
        <w:tc>
          <w:tcPr>
            <w:tcW w:w="1182" w:type="dxa"/>
            <w:tcBorders>
              <w:top w:val="single" w:sz="4" w:space="0" w:color="auto"/>
              <w:bottom w:val="single" w:sz="4" w:space="0" w:color="auto"/>
            </w:tcBorders>
          </w:tcPr>
          <w:p w14:paraId="7D2943DB" w14:textId="77777777" w:rsidR="00A60D4B" w:rsidRPr="00DC6089" w:rsidRDefault="00A60D4B" w:rsidP="00A60D4B">
            <w:pPr>
              <w:pStyle w:val="Btablefigureunbold"/>
              <w:rPr>
                <w:b/>
                <w:iCs/>
                <w:color w:val="472D8C"/>
              </w:rPr>
            </w:pPr>
            <w:r w:rsidRPr="00DC6089">
              <w:rPr>
                <w:rFonts w:cs="Calibri"/>
                <w:b/>
                <w:bCs/>
                <w:color w:val="472D8C"/>
                <w:sz w:val="18"/>
                <w:szCs w:val="18"/>
              </w:rPr>
              <w:t>235,284</w:t>
            </w:r>
          </w:p>
        </w:tc>
      </w:tr>
    </w:tbl>
    <w:p w14:paraId="01DC8524" w14:textId="77777777" w:rsidR="00A60D4B" w:rsidRDefault="00A60D4B" w:rsidP="00A60D4B">
      <w:pPr>
        <w:pStyle w:val="Heading3"/>
        <w:rPr>
          <w:rFonts w:eastAsia="Times New Roman"/>
          <w:lang w:eastAsia="en-AU"/>
        </w:rPr>
      </w:pPr>
      <w:bookmarkStart w:id="104" w:name="_Toc63586683"/>
      <w:bookmarkEnd w:id="103"/>
      <w:r w:rsidRPr="00C93252">
        <w:rPr>
          <w:rFonts w:eastAsia="Times New Roman"/>
          <w:lang w:eastAsia="en-AU"/>
        </w:rPr>
        <w:lastRenderedPageBreak/>
        <w:t>Other miscellaneous</w:t>
      </w:r>
      <w:r w:rsidRPr="00594B52">
        <w:rPr>
          <w:rFonts w:eastAsia="Times New Roman"/>
          <w:lang w:eastAsia="en-AU"/>
        </w:rPr>
        <w:t xml:space="preserve"> revenue</w:t>
      </w:r>
      <w:bookmarkEnd w:id="104"/>
    </w:p>
    <w:p w14:paraId="03EC697C" w14:textId="77777777" w:rsidR="00A60D4B" w:rsidRPr="00D074C0" w:rsidRDefault="00A60D4B" w:rsidP="00A60D4B">
      <w:pPr>
        <w:pStyle w:val="Bbodytext"/>
        <w:keepNext/>
        <w:keepLines/>
      </w:pPr>
      <w:r w:rsidRPr="00933629">
        <w:t xml:space="preserve">Other </w:t>
      </w:r>
      <w:r>
        <w:t xml:space="preserve">miscellaneous </w:t>
      </w:r>
      <w:r w:rsidRPr="00933629">
        <w:t>revenue is estimated to be $</w:t>
      </w:r>
      <w:r>
        <w:t xml:space="preserve">64.3 </w:t>
      </w:r>
      <w:r w:rsidRPr="00933629">
        <w:t>million in 202</w:t>
      </w:r>
      <w:r>
        <w:t>1</w:t>
      </w:r>
      <w:r w:rsidRPr="00933629">
        <w:t>-2</w:t>
      </w:r>
      <w:r>
        <w:t>2</w:t>
      </w:r>
      <w:r w:rsidRPr="00933629">
        <w:t xml:space="preserve"> and is forecast to </w:t>
      </w:r>
      <w:r>
        <w:t xml:space="preserve">decline </w:t>
      </w:r>
      <w:r w:rsidRPr="00933629">
        <w:t>to $</w:t>
      </w:r>
      <w:r>
        <w:t>53.3</w:t>
      </w:r>
      <w:r w:rsidRPr="00933629">
        <w:t xml:space="preserve"> million in 202</w:t>
      </w:r>
      <w:r>
        <w:t>2</w:t>
      </w:r>
      <w:r w:rsidRPr="00933629">
        <w:t>-2</w:t>
      </w:r>
      <w:r>
        <w:t>3</w:t>
      </w:r>
      <w:r w:rsidRPr="00933629">
        <w:t xml:space="preserve">. </w:t>
      </w:r>
      <w:bookmarkStart w:id="105" w:name="_Hlk63174181"/>
      <w:r w:rsidRPr="008C4E19">
        <w:t>The interim outcome for 2020-21 is expected to be higher than the estimate in the 2020-21 Budget by $73 million.</w:t>
      </w:r>
      <w:bookmarkEnd w:id="105"/>
      <w:r w:rsidRPr="008C4E19">
        <w:t xml:space="preserve"> A significant contribution comes from higher revenue from recoveries largely from reinsurers for claims against property, motor and medical malpractice policies.</w:t>
      </w:r>
    </w:p>
    <w:p w14:paraId="1F975E64" w14:textId="68DF5556" w:rsidR="00A60D4B" w:rsidRPr="00BE4C9A" w:rsidRDefault="00A60D4B" w:rsidP="00A60D4B">
      <w:pPr>
        <w:pStyle w:val="Caption"/>
        <w:rPr>
          <w:sz w:val="24"/>
        </w:rPr>
      </w:pPr>
      <w:r>
        <w:t xml:space="preserve">Table </w:t>
      </w:r>
      <w:r w:rsidR="00FB4E5C">
        <w:fldChar w:fldCharType="begin"/>
      </w:r>
      <w:r w:rsidR="00FB4E5C">
        <w:instrText xml:space="preserve"> STYLEREF 2 \s </w:instrText>
      </w:r>
      <w:r w:rsidR="00FB4E5C">
        <w:fldChar w:fldCharType="separate"/>
      </w:r>
      <w:r w:rsidR="00F12A80">
        <w:rPr>
          <w:noProof/>
        </w:rPr>
        <w:t>3.5</w:t>
      </w:r>
      <w:r w:rsidR="00FB4E5C">
        <w:rPr>
          <w:noProof/>
        </w:rPr>
        <w:fldChar w:fldCharType="end"/>
      </w:r>
      <w:r>
        <w:t>.</w:t>
      </w:r>
      <w:r w:rsidR="00FB4E5C">
        <w:fldChar w:fldCharType="begin"/>
      </w:r>
      <w:r w:rsidR="00FB4E5C">
        <w:instrText xml:space="preserve"> SEQ Table \* ARABIC \s 2 </w:instrText>
      </w:r>
      <w:r w:rsidR="00FB4E5C">
        <w:fldChar w:fldCharType="separate"/>
      </w:r>
      <w:r w:rsidR="00F12A80">
        <w:rPr>
          <w:noProof/>
        </w:rPr>
        <w:t>19</w:t>
      </w:r>
      <w:r w:rsidR="00FB4E5C">
        <w:rPr>
          <w:noProof/>
        </w:rPr>
        <w:fldChar w:fldCharType="end"/>
      </w:r>
      <w:r w:rsidRPr="000F59C6">
        <w:t xml:space="preserve">: Other </w:t>
      </w:r>
      <w:r>
        <w:t xml:space="preserve">miscellaneous </w:t>
      </w:r>
      <w:r w:rsidRPr="000F59C6">
        <w:t xml:space="preserve">revenue </w:t>
      </w:r>
    </w:p>
    <w:tbl>
      <w:tblPr>
        <w:tblW w:w="9214" w:type="dxa"/>
        <w:tblBorders>
          <w:top w:val="single" w:sz="4" w:space="0" w:color="auto"/>
          <w:bottom w:val="single" w:sz="4" w:space="0" w:color="auto"/>
          <w:insideH w:val="single" w:sz="4" w:space="0" w:color="auto"/>
        </w:tblBorders>
        <w:tblLayout w:type="fixed"/>
        <w:tblCellMar>
          <w:left w:w="85" w:type="dxa"/>
        </w:tblCellMar>
        <w:tblLook w:val="04A0" w:firstRow="1" w:lastRow="0" w:firstColumn="1" w:lastColumn="0" w:noHBand="0" w:noVBand="1"/>
      </w:tblPr>
      <w:tblGrid>
        <w:gridCol w:w="2268"/>
        <w:gridCol w:w="1040"/>
        <w:gridCol w:w="1181"/>
        <w:gridCol w:w="1181"/>
        <w:gridCol w:w="1181"/>
        <w:gridCol w:w="1181"/>
        <w:gridCol w:w="1182"/>
      </w:tblGrid>
      <w:tr w:rsidR="00A60D4B" w:rsidRPr="008F5D57" w14:paraId="7B74F8A5" w14:textId="77777777" w:rsidTr="00A60D4B">
        <w:trPr>
          <w:trHeight w:val="156"/>
        </w:trPr>
        <w:tc>
          <w:tcPr>
            <w:tcW w:w="2268" w:type="dxa"/>
            <w:tcBorders>
              <w:bottom w:val="single" w:sz="4" w:space="0" w:color="auto"/>
            </w:tcBorders>
            <w:shd w:val="clear" w:color="auto" w:fill="472D8C"/>
          </w:tcPr>
          <w:p w14:paraId="0D0CF079" w14:textId="77777777" w:rsidR="00A60D4B" w:rsidRPr="00111524" w:rsidRDefault="00A60D4B" w:rsidP="00A60D4B">
            <w:pPr>
              <w:rPr>
                <w:rFonts w:cs="Calibri"/>
                <w:b/>
                <w:color w:val="FFFFFF" w:themeColor="background1"/>
                <w:sz w:val="20"/>
              </w:rPr>
            </w:pPr>
            <w:bookmarkStart w:id="106" w:name="_Hlk83642344"/>
          </w:p>
        </w:tc>
        <w:tc>
          <w:tcPr>
            <w:tcW w:w="1040" w:type="dxa"/>
            <w:tcBorders>
              <w:bottom w:val="single" w:sz="4" w:space="0" w:color="auto"/>
            </w:tcBorders>
            <w:shd w:val="clear" w:color="auto" w:fill="472D8C"/>
          </w:tcPr>
          <w:p w14:paraId="67545D5F" w14:textId="77777777" w:rsidR="006F1DF8"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Budget</w:t>
            </w:r>
            <w:r>
              <w:rPr>
                <w:color w:val="FFFFFF" w:themeColor="background1"/>
              </w:rPr>
              <w:br/>
            </w:r>
          </w:p>
          <w:p w14:paraId="4472077E" w14:textId="01990B55" w:rsidR="00A60D4B" w:rsidRPr="00111524" w:rsidRDefault="00A60D4B" w:rsidP="00A60D4B">
            <w:pPr>
              <w:pStyle w:val="BTableHeadingRowRightAligned"/>
              <w:rPr>
                <w:color w:val="FFFFFF" w:themeColor="background1"/>
              </w:rPr>
            </w:pPr>
            <w:r>
              <w:rPr>
                <w:color w:val="FFFFFF" w:themeColor="background1"/>
              </w:rPr>
              <w:t>$’000</w:t>
            </w:r>
          </w:p>
        </w:tc>
        <w:tc>
          <w:tcPr>
            <w:tcW w:w="1181" w:type="dxa"/>
            <w:tcBorders>
              <w:bottom w:val="single" w:sz="4" w:space="0" w:color="auto"/>
            </w:tcBorders>
            <w:shd w:val="clear" w:color="auto" w:fill="472D8C"/>
          </w:tcPr>
          <w:p w14:paraId="65965170" w14:textId="77777777" w:rsidR="00A60D4B" w:rsidRPr="00111524"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Interim outcome</w:t>
            </w:r>
            <w:r>
              <w:rPr>
                <w:color w:val="FFFFFF" w:themeColor="background1"/>
              </w:rPr>
              <w:br/>
              <w:t>$’000</w:t>
            </w:r>
          </w:p>
        </w:tc>
        <w:tc>
          <w:tcPr>
            <w:tcW w:w="1181" w:type="dxa"/>
            <w:tcBorders>
              <w:bottom w:val="single" w:sz="4" w:space="0" w:color="auto"/>
            </w:tcBorders>
            <w:shd w:val="clear" w:color="auto" w:fill="472D8C"/>
          </w:tcPr>
          <w:p w14:paraId="4737F007" w14:textId="77777777" w:rsidR="006F1DF8" w:rsidRDefault="00A60D4B" w:rsidP="00A60D4B">
            <w:pPr>
              <w:pStyle w:val="BTableHeadingRowRightAligned"/>
              <w:rPr>
                <w:color w:val="FFFFFF" w:themeColor="background1"/>
              </w:rPr>
            </w:pPr>
            <w:r>
              <w:rPr>
                <w:color w:val="FFFFFF" w:themeColor="background1"/>
              </w:rPr>
              <w:t xml:space="preserve">2021-22 </w:t>
            </w:r>
            <w:r>
              <w:rPr>
                <w:color w:val="FFFFFF" w:themeColor="background1"/>
              </w:rPr>
              <w:br/>
              <w:t>Budget</w:t>
            </w:r>
            <w:r>
              <w:rPr>
                <w:color w:val="FFFFFF" w:themeColor="background1"/>
              </w:rPr>
              <w:br/>
            </w:r>
          </w:p>
          <w:p w14:paraId="52BF23FB" w14:textId="2A8EE6C5" w:rsidR="00A60D4B" w:rsidRPr="00111524" w:rsidRDefault="00A60D4B" w:rsidP="00A60D4B">
            <w:pPr>
              <w:pStyle w:val="BTableHeadingRowRightAligned"/>
              <w:rPr>
                <w:color w:val="FFFFFF" w:themeColor="background1"/>
              </w:rPr>
            </w:pPr>
            <w:r>
              <w:rPr>
                <w:color w:val="FFFFFF" w:themeColor="background1"/>
              </w:rPr>
              <w:t>$’000</w:t>
            </w:r>
          </w:p>
        </w:tc>
        <w:tc>
          <w:tcPr>
            <w:tcW w:w="1181" w:type="dxa"/>
            <w:tcBorders>
              <w:bottom w:val="single" w:sz="4" w:space="0" w:color="auto"/>
            </w:tcBorders>
            <w:shd w:val="clear" w:color="auto" w:fill="472D8C"/>
          </w:tcPr>
          <w:p w14:paraId="473C35B4" w14:textId="77777777" w:rsidR="006F1DF8" w:rsidRDefault="00A60D4B" w:rsidP="00A60D4B">
            <w:pPr>
              <w:pStyle w:val="BTableHeadingRowRightAligned"/>
              <w:rPr>
                <w:color w:val="FFFFFF" w:themeColor="background1"/>
              </w:rPr>
            </w:pPr>
            <w:r>
              <w:rPr>
                <w:color w:val="FFFFFF" w:themeColor="background1"/>
              </w:rPr>
              <w:t>2022-23</w:t>
            </w:r>
            <w:r>
              <w:rPr>
                <w:color w:val="FFFFFF" w:themeColor="background1"/>
              </w:rPr>
              <w:br/>
              <w:t>Estimate</w:t>
            </w:r>
            <w:r>
              <w:rPr>
                <w:color w:val="FFFFFF" w:themeColor="background1"/>
              </w:rPr>
              <w:br/>
            </w:r>
          </w:p>
          <w:p w14:paraId="09D43C6A" w14:textId="48001BED" w:rsidR="00A60D4B" w:rsidRPr="00111524" w:rsidRDefault="00A60D4B" w:rsidP="00A60D4B">
            <w:pPr>
              <w:pStyle w:val="BTableHeadingRowRightAligned"/>
              <w:rPr>
                <w:color w:val="FFFFFF" w:themeColor="background1"/>
              </w:rPr>
            </w:pPr>
            <w:r>
              <w:rPr>
                <w:color w:val="FFFFFF" w:themeColor="background1"/>
              </w:rPr>
              <w:t>$’000</w:t>
            </w:r>
          </w:p>
        </w:tc>
        <w:tc>
          <w:tcPr>
            <w:tcW w:w="1181" w:type="dxa"/>
            <w:tcBorders>
              <w:bottom w:val="single" w:sz="4" w:space="0" w:color="auto"/>
            </w:tcBorders>
            <w:shd w:val="clear" w:color="auto" w:fill="472D8C"/>
          </w:tcPr>
          <w:p w14:paraId="4E7F6A85" w14:textId="77777777" w:rsidR="006F1DF8" w:rsidRDefault="00A60D4B" w:rsidP="00A60D4B">
            <w:pPr>
              <w:pStyle w:val="BTableHeadingRowRightAligned"/>
              <w:rPr>
                <w:color w:val="FFFFFF" w:themeColor="background1"/>
              </w:rPr>
            </w:pPr>
            <w:r>
              <w:rPr>
                <w:color w:val="FFFFFF" w:themeColor="background1"/>
              </w:rPr>
              <w:t>2023-24</w:t>
            </w:r>
            <w:r>
              <w:rPr>
                <w:color w:val="FFFFFF" w:themeColor="background1"/>
              </w:rPr>
              <w:br/>
              <w:t>Estimate</w:t>
            </w:r>
            <w:r>
              <w:rPr>
                <w:color w:val="FFFFFF" w:themeColor="background1"/>
              </w:rPr>
              <w:br/>
            </w:r>
          </w:p>
          <w:p w14:paraId="2E1E5506" w14:textId="6BE515BA" w:rsidR="00A60D4B" w:rsidRPr="00111524" w:rsidRDefault="00A60D4B" w:rsidP="00A60D4B">
            <w:pPr>
              <w:pStyle w:val="BTableHeadingRowRightAligned"/>
              <w:rPr>
                <w:color w:val="FFFFFF" w:themeColor="background1"/>
              </w:rPr>
            </w:pPr>
            <w:r>
              <w:rPr>
                <w:color w:val="FFFFFF" w:themeColor="background1"/>
              </w:rPr>
              <w:t>$’000</w:t>
            </w:r>
          </w:p>
        </w:tc>
        <w:tc>
          <w:tcPr>
            <w:tcW w:w="1182" w:type="dxa"/>
            <w:tcBorders>
              <w:bottom w:val="single" w:sz="4" w:space="0" w:color="auto"/>
            </w:tcBorders>
            <w:shd w:val="clear" w:color="auto" w:fill="472D8C"/>
          </w:tcPr>
          <w:p w14:paraId="1C11BC8D" w14:textId="77777777" w:rsidR="006F1DF8" w:rsidRDefault="00A60D4B" w:rsidP="00A60D4B">
            <w:pPr>
              <w:pStyle w:val="BTableHeadingRowRightAligned"/>
              <w:rPr>
                <w:color w:val="FFFFFF" w:themeColor="background1"/>
              </w:rPr>
            </w:pPr>
            <w:r>
              <w:rPr>
                <w:color w:val="FFFFFF" w:themeColor="background1"/>
              </w:rPr>
              <w:t>2024-25</w:t>
            </w:r>
            <w:r>
              <w:rPr>
                <w:color w:val="FFFFFF" w:themeColor="background1"/>
              </w:rPr>
              <w:br/>
              <w:t>Estimate</w:t>
            </w:r>
            <w:r>
              <w:rPr>
                <w:color w:val="FFFFFF" w:themeColor="background1"/>
              </w:rPr>
              <w:br/>
            </w:r>
          </w:p>
          <w:p w14:paraId="5CB08897" w14:textId="0926442A" w:rsidR="00A60D4B" w:rsidRPr="00111524" w:rsidRDefault="00A60D4B" w:rsidP="00A60D4B">
            <w:pPr>
              <w:pStyle w:val="BTableHeadingRowRightAligned"/>
              <w:rPr>
                <w:color w:val="FFFFFF" w:themeColor="background1"/>
              </w:rPr>
            </w:pPr>
            <w:r>
              <w:rPr>
                <w:color w:val="FFFFFF" w:themeColor="background1"/>
              </w:rPr>
              <w:t>$’000</w:t>
            </w:r>
          </w:p>
        </w:tc>
      </w:tr>
      <w:tr w:rsidR="00A60D4B" w:rsidRPr="00337DC9" w14:paraId="6D1D4949" w14:textId="77777777" w:rsidTr="00A60D4B">
        <w:trPr>
          <w:trHeight w:val="20"/>
        </w:trPr>
        <w:tc>
          <w:tcPr>
            <w:tcW w:w="2268" w:type="dxa"/>
            <w:tcBorders>
              <w:top w:val="nil"/>
              <w:bottom w:val="nil"/>
            </w:tcBorders>
          </w:tcPr>
          <w:p w14:paraId="5173D271" w14:textId="77777777" w:rsidR="00A60D4B" w:rsidRPr="009C3123" w:rsidRDefault="00A60D4B" w:rsidP="00A60D4B">
            <w:pPr>
              <w:pStyle w:val="Btabletextbold"/>
              <w:rPr>
                <w:b w:val="0"/>
                <w:bCs/>
              </w:rPr>
            </w:pPr>
            <w:r w:rsidRPr="009C3123">
              <w:rPr>
                <w:rFonts w:cs="Calibri"/>
                <w:b w:val="0"/>
                <w:bCs/>
                <w:color w:val="000000"/>
                <w:sz w:val="18"/>
                <w:szCs w:val="18"/>
              </w:rPr>
              <w:t>Revenue from Financial Investments</w:t>
            </w:r>
          </w:p>
        </w:tc>
        <w:tc>
          <w:tcPr>
            <w:tcW w:w="1040" w:type="dxa"/>
            <w:tcBorders>
              <w:bottom w:val="nil"/>
            </w:tcBorders>
          </w:tcPr>
          <w:p w14:paraId="635D26AB" w14:textId="77777777" w:rsidR="00A60D4B" w:rsidRPr="009C3123" w:rsidRDefault="00A60D4B" w:rsidP="00A60D4B">
            <w:pPr>
              <w:pStyle w:val="Btablefigureunbold"/>
              <w:rPr>
                <w:bCs/>
              </w:rPr>
            </w:pPr>
            <w:r w:rsidRPr="009C3123">
              <w:rPr>
                <w:rFonts w:cs="Calibri"/>
                <w:bCs/>
                <w:color w:val="000000"/>
                <w:sz w:val="18"/>
                <w:szCs w:val="18"/>
              </w:rPr>
              <w:t>7,618</w:t>
            </w:r>
          </w:p>
        </w:tc>
        <w:tc>
          <w:tcPr>
            <w:tcW w:w="1181" w:type="dxa"/>
            <w:tcBorders>
              <w:bottom w:val="nil"/>
            </w:tcBorders>
          </w:tcPr>
          <w:p w14:paraId="07A1645D" w14:textId="77777777" w:rsidR="00A60D4B" w:rsidRPr="009C3123" w:rsidRDefault="00A60D4B" w:rsidP="00A60D4B">
            <w:pPr>
              <w:pStyle w:val="Btablefigureunbold"/>
              <w:rPr>
                <w:bCs/>
              </w:rPr>
            </w:pPr>
            <w:r w:rsidRPr="009C3123">
              <w:rPr>
                <w:rFonts w:cs="Calibri"/>
                <w:bCs/>
                <w:color w:val="000000"/>
                <w:sz w:val="18"/>
                <w:szCs w:val="18"/>
              </w:rPr>
              <w:t>1,935</w:t>
            </w:r>
          </w:p>
        </w:tc>
        <w:tc>
          <w:tcPr>
            <w:tcW w:w="1181" w:type="dxa"/>
            <w:tcBorders>
              <w:bottom w:val="nil"/>
            </w:tcBorders>
            <w:shd w:val="clear" w:color="auto" w:fill="auto"/>
          </w:tcPr>
          <w:p w14:paraId="5593E906" w14:textId="77777777" w:rsidR="00A60D4B" w:rsidRPr="009C3123" w:rsidRDefault="00A60D4B" w:rsidP="00A60D4B">
            <w:pPr>
              <w:pStyle w:val="Btablefigureunbold"/>
              <w:rPr>
                <w:bCs/>
              </w:rPr>
            </w:pPr>
            <w:r w:rsidRPr="009C3123">
              <w:rPr>
                <w:rFonts w:cs="Calibri"/>
                <w:bCs/>
                <w:color w:val="000000"/>
                <w:sz w:val="18"/>
                <w:szCs w:val="18"/>
              </w:rPr>
              <w:t>7,209</w:t>
            </w:r>
          </w:p>
        </w:tc>
        <w:tc>
          <w:tcPr>
            <w:tcW w:w="1181" w:type="dxa"/>
            <w:tcBorders>
              <w:bottom w:val="nil"/>
            </w:tcBorders>
            <w:shd w:val="clear" w:color="472D8C" w:fill="auto"/>
          </w:tcPr>
          <w:p w14:paraId="265F6F96" w14:textId="77777777" w:rsidR="00A60D4B" w:rsidRPr="009C3123" w:rsidRDefault="00A60D4B" w:rsidP="00A60D4B">
            <w:pPr>
              <w:pStyle w:val="Btablefigureunbold"/>
              <w:rPr>
                <w:bCs/>
                <w:color w:val="000000"/>
              </w:rPr>
            </w:pPr>
            <w:r w:rsidRPr="009C3123">
              <w:rPr>
                <w:rFonts w:cs="Calibri"/>
                <w:bCs/>
                <w:color w:val="000000"/>
                <w:sz w:val="18"/>
                <w:szCs w:val="18"/>
              </w:rPr>
              <w:t>7,710</w:t>
            </w:r>
          </w:p>
        </w:tc>
        <w:tc>
          <w:tcPr>
            <w:tcW w:w="1181" w:type="dxa"/>
            <w:tcBorders>
              <w:bottom w:val="nil"/>
            </w:tcBorders>
            <w:shd w:val="clear" w:color="auto" w:fill="auto"/>
          </w:tcPr>
          <w:p w14:paraId="36489041" w14:textId="77777777" w:rsidR="00A60D4B" w:rsidRPr="009C3123" w:rsidRDefault="00A60D4B" w:rsidP="00A60D4B">
            <w:pPr>
              <w:pStyle w:val="Btablefigureunbold"/>
              <w:rPr>
                <w:bCs/>
              </w:rPr>
            </w:pPr>
            <w:r w:rsidRPr="009C3123">
              <w:rPr>
                <w:rFonts w:cs="Calibri"/>
                <w:bCs/>
                <w:color w:val="000000"/>
                <w:sz w:val="18"/>
                <w:szCs w:val="18"/>
              </w:rPr>
              <w:t>8,091</w:t>
            </w:r>
          </w:p>
        </w:tc>
        <w:tc>
          <w:tcPr>
            <w:tcW w:w="1182" w:type="dxa"/>
            <w:tcBorders>
              <w:bottom w:val="nil"/>
            </w:tcBorders>
          </w:tcPr>
          <w:p w14:paraId="18D2E163" w14:textId="77777777" w:rsidR="00A60D4B" w:rsidRPr="009C3123" w:rsidRDefault="00A60D4B" w:rsidP="00A60D4B">
            <w:pPr>
              <w:pStyle w:val="Btablefigureunbold"/>
              <w:rPr>
                <w:bCs/>
              </w:rPr>
            </w:pPr>
            <w:r w:rsidRPr="009C3123">
              <w:rPr>
                <w:rFonts w:cs="Calibri"/>
                <w:bCs/>
                <w:color w:val="000000"/>
                <w:sz w:val="18"/>
                <w:szCs w:val="18"/>
              </w:rPr>
              <w:t>8,452</w:t>
            </w:r>
          </w:p>
        </w:tc>
      </w:tr>
      <w:tr w:rsidR="00A60D4B" w:rsidRPr="00337DC9" w14:paraId="0AF685D0" w14:textId="77777777" w:rsidTr="00A60D4B">
        <w:trPr>
          <w:trHeight w:val="20"/>
        </w:trPr>
        <w:tc>
          <w:tcPr>
            <w:tcW w:w="2268" w:type="dxa"/>
            <w:tcBorders>
              <w:top w:val="nil"/>
              <w:bottom w:val="nil"/>
            </w:tcBorders>
          </w:tcPr>
          <w:p w14:paraId="179169D0" w14:textId="77777777" w:rsidR="00A60D4B" w:rsidRPr="00037F42" w:rsidRDefault="00A60D4B" w:rsidP="00A60D4B">
            <w:pPr>
              <w:pStyle w:val="Btabletextunbold"/>
              <w:rPr>
                <w:b/>
              </w:rPr>
            </w:pPr>
            <w:r>
              <w:rPr>
                <w:rFonts w:cs="Calibri"/>
                <w:color w:val="000000"/>
                <w:sz w:val="18"/>
                <w:szCs w:val="18"/>
              </w:rPr>
              <w:t>Donations</w:t>
            </w:r>
          </w:p>
        </w:tc>
        <w:tc>
          <w:tcPr>
            <w:tcW w:w="1040" w:type="dxa"/>
            <w:tcBorders>
              <w:top w:val="nil"/>
              <w:bottom w:val="nil"/>
            </w:tcBorders>
          </w:tcPr>
          <w:p w14:paraId="40950071" w14:textId="77777777" w:rsidR="00A60D4B" w:rsidRPr="00037F42" w:rsidRDefault="00A60D4B" w:rsidP="00A60D4B">
            <w:pPr>
              <w:pStyle w:val="Btablefigureunbold"/>
              <w:rPr>
                <w:b/>
              </w:rPr>
            </w:pPr>
            <w:r>
              <w:rPr>
                <w:rFonts w:cs="Calibri"/>
                <w:color w:val="000000"/>
                <w:sz w:val="18"/>
                <w:szCs w:val="18"/>
              </w:rPr>
              <w:t>1,162</w:t>
            </w:r>
          </w:p>
        </w:tc>
        <w:tc>
          <w:tcPr>
            <w:tcW w:w="1181" w:type="dxa"/>
            <w:tcBorders>
              <w:top w:val="nil"/>
              <w:bottom w:val="nil"/>
            </w:tcBorders>
          </w:tcPr>
          <w:p w14:paraId="2F3ECB83" w14:textId="77777777" w:rsidR="00A60D4B" w:rsidRPr="00037F42" w:rsidRDefault="00A60D4B" w:rsidP="00A60D4B">
            <w:pPr>
              <w:pStyle w:val="Btablefigureunbold"/>
              <w:rPr>
                <w:b/>
              </w:rPr>
            </w:pPr>
            <w:r>
              <w:rPr>
                <w:rFonts w:cs="Calibri"/>
                <w:color w:val="000000"/>
                <w:sz w:val="18"/>
                <w:szCs w:val="18"/>
              </w:rPr>
              <w:t>854</w:t>
            </w:r>
          </w:p>
        </w:tc>
        <w:tc>
          <w:tcPr>
            <w:tcW w:w="1181" w:type="dxa"/>
            <w:tcBorders>
              <w:top w:val="nil"/>
              <w:bottom w:val="nil"/>
            </w:tcBorders>
            <w:shd w:val="clear" w:color="auto" w:fill="auto"/>
          </w:tcPr>
          <w:p w14:paraId="17123FFA" w14:textId="77777777" w:rsidR="00A60D4B" w:rsidRPr="009C3123" w:rsidRDefault="00A60D4B" w:rsidP="00A60D4B">
            <w:pPr>
              <w:pStyle w:val="BTablefigureBold"/>
              <w:rPr>
                <w:b w:val="0"/>
                <w:bCs/>
              </w:rPr>
            </w:pPr>
            <w:r w:rsidRPr="009C3123">
              <w:rPr>
                <w:rFonts w:cs="Calibri"/>
                <w:b w:val="0"/>
                <w:bCs/>
                <w:color w:val="000000"/>
                <w:sz w:val="18"/>
                <w:szCs w:val="18"/>
              </w:rPr>
              <w:t>1,161</w:t>
            </w:r>
          </w:p>
        </w:tc>
        <w:tc>
          <w:tcPr>
            <w:tcW w:w="1181" w:type="dxa"/>
            <w:tcBorders>
              <w:top w:val="nil"/>
              <w:bottom w:val="nil"/>
            </w:tcBorders>
            <w:shd w:val="clear" w:color="472D8C" w:fill="auto"/>
          </w:tcPr>
          <w:p w14:paraId="322D1610" w14:textId="77777777" w:rsidR="00A60D4B" w:rsidRPr="00037F42" w:rsidRDefault="00A60D4B" w:rsidP="00A60D4B">
            <w:pPr>
              <w:pStyle w:val="Btablefigureunbold"/>
              <w:rPr>
                <w:b/>
                <w:color w:val="000000"/>
              </w:rPr>
            </w:pPr>
            <w:r>
              <w:rPr>
                <w:rFonts w:cs="Calibri"/>
                <w:color w:val="000000"/>
                <w:sz w:val="18"/>
                <w:szCs w:val="18"/>
              </w:rPr>
              <w:t>1,190</w:t>
            </w:r>
          </w:p>
        </w:tc>
        <w:tc>
          <w:tcPr>
            <w:tcW w:w="1181" w:type="dxa"/>
            <w:tcBorders>
              <w:top w:val="nil"/>
              <w:bottom w:val="nil"/>
            </w:tcBorders>
            <w:shd w:val="clear" w:color="auto" w:fill="auto"/>
          </w:tcPr>
          <w:p w14:paraId="06B43F27" w14:textId="77777777" w:rsidR="00A60D4B" w:rsidRPr="00037F42" w:rsidRDefault="00A60D4B" w:rsidP="00A60D4B">
            <w:pPr>
              <w:pStyle w:val="Btablefigureunbold"/>
              <w:rPr>
                <w:b/>
              </w:rPr>
            </w:pPr>
            <w:r>
              <w:rPr>
                <w:rFonts w:cs="Calibri"/>
                <w:color w:val="000000"/>
                <w:sz w:val="18"/>
                <w:szCs w:val="18"/>
              </w:rPr>
              <w:t>1,220</w:t>
            </w:r>
          </w:p>
        </w:tc>
        <w:tc>
          <w:tcPr>
            <w:tcW w:w="1182" w:type="dxa"/>
            <w:tcBorders>
              <w:top w:val="nil"/>
              <w:bottom w:val="nil"/>
            </w:tcBorders>
          </w:tcPr>
          <w:p w14:paraId="4BE77EC1" w14:textId="77777777" w:rsidR="00A60D4B" w:rsidRPr="00037F42" w:rsidRDefault="00A60D4B" w:rsidP="00A60D4B">
            <w:pPr>
              <w:pStyle w:val="Btablefigureunbold"/>
              <w:rPr>
                <w:b/>
              </w:rPr>
            </w:pPr>
            <w:r>
              <w:rPr>
                <w:rFonts w:cs="Calibri"/>
                <w:color w:val="000000"/>
                <w:sz w:val="18"/>
                <w:szCs w:val="18"/>
              </w:rPr>
              <w:t>1,241</w:t>
            </w:r>
          </w:p>
        </w:tc>
      </w:tr>
      <w:tr w:rsidR="00A60D4B" w:rsidRPr="00337DC9" w14:paraId="3F43ED54" w14:textId="77777777" w:rsidTr="00A60D4B">
        <w:trPr>
          <w:trHeight w:val="20"/>
        </w:trPr>
        <w:tc>
          <w:tcPr>
            <w:tcW w:w="2268" w:type="dxa"/>
            <w:tcBorders>
              <w:top w:val="nil"/>
              <w:bottom w:val="nil"/>
            </w:tcBorders>
          </w:tcPr>
          <w:p w14:paraId="2E782BEB" w14:textId="77777777" w:rsidR="00A60D4B" w:rsidRPr="00037F42" w:rsidRDefault="00A60D4B" w:rsidP="00A60D4B">
            <w:pPr>
              <w:pStyle w:val="Btabletextunbold"/>
              <w:rPr>
                <w:b/>
              </w:rPr>
            </w:pPr>
            <w:r>
              <w:rPr>
                <w:rFonts w:cs="Calibri"/>
                <w:color w:val="000000"/>
                <w:sz w:val="18"/>
                <w:szCs w:val="18"/>
              </w:rPr>
              <w:t>Other Grants</w:t>
            </w:r>
          </w:p>
        </w:tc>
        <w:tc>
          <w:tcPr>
            <w:tcW w:w="1040" w:type="dxa"/>
            <w:tcBorders>
              <w:top w:val="nil"/>
              <w:bottom w:val="nil"/>
            </w:tcBorders>
          </w:tcPr>
          <w:p w14:paraId="5339A86B" w14:textId="77777777" w:rsidR="00A60D4B" w:rsidRPr="00037F42" w:rsidRDefault="00A60D4B" w:rsidP="00A60D4B">
            <w:pPr>
              <w:pStyle w:val="Btablefigureunbold"/>
              <w:rPr>
                <w:b/>
              </w:rPr>
            </w:pPr>
            <w:r>
              <w:rPr>
                <w:rFonts w:cs="Calibri"/>
                <w:color w:val="000000"/>
                <w:sz w:val="18"/>
                <w:szCs w:val="18"/>
              </w:rPr>
              <w:t>27,948</w:t>
            </w:r>
          </w:p>
        </w:tc>
        <w:tc>
          <w:tcPr>
            <w:tcW w:w="1181" w:type="dxa"/>
            <w:tcBorders>
              <w:top w:val="nil"/>
              <w:bottom w:val="nil"/>
            </w:tcBorders>
          </w:tcPr>
          <w:p w14:paraId="65FEE6BD" w14:textId="77777777" w:rsidR="00A60D4B" w:rsidRPr="00037F42" w:rsidRDefault="00A60D4B" w:rsidP="00A60D4B">
            <w:pPr>
              <w:pStyle w:val="Btablefigureunbold"/>
              <w:rPr>
                <w:b/>
              </w:rPr>
            </w:pPr>
            <w:r>
              <w:rPr>
                <w:rFonts w:cs="Calibri"/>
                <w:color w:val="000000"/>
                <w:sz w:val="18"/>
                <w:szCs w:val="18"/>
              </w:rPr>
              <w:t>9,505</w:t>
            </w:r>
          </w:p>
        </w:tc>
        <w:tc>
          <w:tcPr>
            <w:tcW w:w="1181" w:type="dxa"/>
            <w:tcBorders>
              <w:top w:val="nil"/>
              <w:bottom w:val="nil"/>
            </w:tcBorders>
            <w:shd w:val="clear" w:color="auto" w:fill="auto"/>
          </w:tcPr>
          <w:p w14:paraId="7EE6C0A4" w14:textId="77777777" w:rsidR="00A60D4B" w:rsidRPr="009C3123" w:rsidRDefault="00A60D4B" w:rsidP="00A60D4B">
            <w:pPr>
              <w:pStyle w:val="BTablefigureBold"/>
              <w:rPr>
                <w:b w:val="0"/>
                <w:bCs/>
              </w:rPr>
            </w:pPr>
            <w:r w:rsidRPr="009C3123">
              <w:rPr>
                <w:rFonts w:cs="Calibri"/>
                <w:b w:val="0"/>
                <w:bCs/>
                <w:color w:val="000000"/>
                <w:sz w:val="18"/>
                <w:szCs w:val="18"/>
              </w:rPr>
              <w:t>24,216</w:t>
            </w:r>
          </w:p>
        </w:tc>
        <w:tc>
          <w:tcPr>
            <w:tcW w:w="1181" w:type="dxa"/>
            <w:tcBorders>
              <w:top w:val="nil"/>
              <w:bottom w:val="nil"/>
            </w:tcBorders>
            <w:shd w:val="clear" w:color="472D8C" w:fill="auto"/>
          </w:tcPr>
          <w:p w14:paraId="75794790" w14:textId="77777777" w:rsidR="00A60D4B" w:rsidRPr="00037F42" w:rsidRDefault="00A60D4B" w:rsidP="00A60D4B">
            <w:pPr>
              <w:pStyle w:val="Btablefigureunbold"/>
              <w:rPr>
                <w:b/>
                <w:color w:val="000000"/>
              </w:rPr>
            </w:pPr>
            <w:r>
              <w:rPr>
                <w:rFonts w:cs="Calibri"/>
                <w:color w:val="000000"/>
                <w:sz w:val="18"/>
                <w:szCs w:val="18"/>
              </w:rPr>
              <w:t>11,722</w:t>
            </w:r>
          </w:p>
        </w:tc>
        <w:tc>
          <w:tcPr>
            <w:tcW w:w="1181" w:type="dxa"/>
            <w:tcBorders>
              <w:top w:val="nil"/>
              <w:bottom w:val="nil"/>
            </w:tcBorders>
            <w:shd w:val="clear" w:color="auto" w:fill="auto"/>
          </w:tcPr>
          <w:p w14:paraId="48BB6668" w14:textId="77777777" w:rsidR="00A60D4B" w:rsidRPr="00037F42" w:rsidRDefault="00A60D4B" w:rsidP="00A60D4B">
            <w:pPr>
              <w:pStyle w:val="Btablefigureunbold"/>
              <w:rPr>
                <w:b/>
              </w:rPr>
            </w:pPr>
            <w:r>
              <w:rPr>
                <w:rFonts w:cs="Calibri"/>
                <w:color w:val="000000"/>
                <w:sz w:val="18"/>
                <w:szCs w:val="18"/>
              </w:rPr>
              <w:t>10,477</w:t>
            </w:r>
          </w:p>
        </w:tc>
        <w:tc>
          <w:tcPr>
            <w:tcW w:w="1182" w:type="dxa"/>
            <w:tcBorders>
              <w:top w:val="nil"/>
              <w:bottom w:val="nil"/>
            </w:tcBorders>
          </w:tcPr>
          <w:p w14:paraId="585490CD" w14:textId="77777777" w:rsidR="00A60D4B" w:rsidRPr="00037F42" w:rsidRDefault="00A60D4B" w:rsidP="00A60D4B">
            <w:pPr>
              <w:pStyle w:val="Btablefigureunbold"/>
              <w:rPr>
                <w:b/>
              </w:rPr>
            </w:pPr>
            <w:r>
              <w:rPr>
                <w:rFonts w:cs="Calibri"/>
                <w:color w:val="000000"/>
                <w:sz w:val="18"/>
                <w:szCs w:val="18"/>
              </w:rPr>
              <w:t>56,055</w:t>
            </w:r>
          </w:p>
        </w:tc>
      </w:tr>
      <w:tr w:rsidR="00A60D4B" w:rsidRPr="00337DC9" w14:paraId="59D78D05" w14:textId="77777777" w:rsidTr="00A60D4B">
        <w:trPr>
          <w:trHeight w:val="20"/>
        </w:trPr>
        <w:tc>
          <w:tcPr>
            <w:tcW w:w="2268" w:type="dxa"/>
            <w:tcBorders>
              <w:top w:val="nil"/>
              <w:bottom w:val="nil"/>
            </w:tcBorders>
          </w:tcPr>
          <w:p w14:paraId="2BF475BA" w14:textId="77777777" w:rsidR="00A60D4B" w:rsidRPr="00037F42" w:rsidRDefault="00A60D4B" w:rsidP="00A60D4B">
            <w:pPr>
              <w:pStyle w:val="Btabletextunbold"/>
              <w:rPr>
                <w:b/>
              </w:rPr>
            </w:pPr>
            <w:r>
              <w:rPr>
                <w:rFonts w:cs="Calibri"/>
                <w:color w:val="000000"/>
                <w:sz w:val="18"/>
                <w:szCs w:val="18"/>
              </w:rPr>
              <w:t>Recoveries</w:t>
            </w:r>
          </w:p>
        </w:tc>
        <w:tc>
          <w:tcPr>
            <w:tcW w:w="1040" w:type="dxa"/>
            <w:tcBorders>
              <w:top w:val="nil"/>
              <w:bottom w:val="nil"/>
            </w:tcBorders>
          </w:tcPr>
          <w:p w14:paraId="5C551B9D" w14:textId="77777777" w:rsidR="00A60D4B" w:rsidRPr="00037F42" w:rsidRDefault="00A60D4B" w:rsidP="00A60D4B">
            <w:pPr>
              <w:pStyle w:val="Btablefigureunbold"/>
              <w:rPr>
                <w:b/>
              </w:rPr>
            </w:pPr>
            <w:r>
              <w:rPr>
                <w:rFonts w:cs="Calibri"/>
                <w:color w:val="000000"/>
                <w:sz w:val="18"/>
                <w:szCs w:val="18"/>
              </w:rPr>
              <w:t>22,299</w:t>
            </w:r>
          </w:p>
        </w:tc>
        <w:tc>
          <w:tcPr>
            <w:tcW w:w="1181" w:type="dxa"/>
            <w:tcBorders>
              <w:top w:val="nil"/>
              <w:bottom w:val="nil"/>
            </w:tcBorders>
          </w:tcPr>
          <w:p w14:paraId="481134F8" w14:textId="77777777" w:rsidR="00A60D4B" w:rsidRPr="00037F42" w:rsidRDefault="00A60D4B" w:rsidP="00A60D4B">
            <w:pPr>
              <w:pStyle w:val="Btablefigureunbold"/>
              <w:rPr>
                <w:b/>
              </w:rPr>
            </w:pPr>
            <w:r>
              <w:rPr>
                <w:rFonts w:cs="Calibri"/>
                <w:color w:val="000000"/>
                <w:sz w:val="18"/>
                <w:szCs w:val="18"/>
              </w:rPr>
              <w:t>81,410</w:t>
            </w:r>
          </w:p>
        </w:tc>
        <w:tc>
          <w:tcPr>
            <w:tcW w:w="1181" w:type="dxa"/>
            <w:tcBorders>
              <w:top w:val="nil"/>
              <w:bottom w:val="nil"/>
            </w:tcBorders>
            <w:shd w:val="clear" w:color="auto" w:fill="auto"/>
          </w:tcPr>
          <w:p w14:paraId="5729ED40" w14:textId="77777777" w:rsidR="00A60D4B" w:rsidRPr="009C3123" w:rsidRDefault="00A60D4B" w:rsidP="00A60D4B">
            <w:pPr>
              <w:pStyle w:val="BTablefigureBold"/>
              <w:rPr>
                <w:b w:val="0"/>
                <w:bCs/>
              </w:rPr>
            </w:pPr>
            <w:r w:rsidRPr="009C3123">
              <w:rPr>
                <w:rFonts w:cs="Calibri"/>
                <w:b w:val="0"/>
                <w:bCs/>
                <w:color w:val="000000"/>
                <w:sz w:val="18"/>
                <w:szCs w:val="18"/>
              </w:rPr>
              <w:t>19,384</w:t>
            </w:r>
          </w:p>
        </w:tc>
        <w:tc>
          <w:tcPr>
            <w:tcW w:w="1181" w:type="dxa"/>
            <w:tcBorders>
              <w:top w:val="nil"/>
              <w:bottom w:val="nil"/>
            </w:tcBorders>
            <w:shd w:val="clear" w:color="472D8C" w:fill="auto"/>
          </w:tcPr>
          <w:p w14:paraId="7E7FA44F" w14:textId="77777777" w:rsidR="00A60D4B" w:rsidRPr="00037F42" w:rsidRDefault="00A60D4B" w:rsidP="00A60D4B">
            <w:pPr>
              <w:pStyle w:val="Btablefigureunbold"/>
              <w:rPr>
                <w:b/>
                <w:color w:val="000000"/>
              </w:rPr>
            </w:pPr>
            <w:r>
              <w:rPr>
                <w:rFonts w:cs="Calibri"/>
                <w:color w:val="000000"/>
                <w:sz w:val="18"/>
                <w:szCs w:val="18"/>
              </w:rPr>
              <w:t>19,149</w:t>
            </w:r>
          </w:p>
        </w:tc>
        <w:tc>
          <w:tcPr>
            <w:tcW w:w="1181" w:type="dxa"/>
            <w:tcBorders>
              <w:top w:val="nil"/>
              <w:bottom w:val="nil"/>
            </w:tcBorders>
            <w:shd w:val="clear" w:color="auto" w:fill="auto"/>
          </w:tcPr>
          <w:p w14:paraId="01CF78C4" w14:textId="77777777" w:rsidR="00A60D4B" w:rsidRPr="00037F42" w:rsidRDefault="00A60D4B" w:rsidP="00A60D4B">
            <w:pPr>
              <w:pStyle w:val="Btablefigureunbold"/>
              <w:rPr>
                <w:b/>
              </w:rPr>
            </w:pPr>
            <w:r>
              <w:rPr>
                <w:rFonts w:cs="Calibri"/>
                <w:color w:val="000000"/>
                <w:sz w:val="18"/>
                <w:szCs w:val="18"/>
              </w:rPr>
              <w:t>19,383</w:t>
            </w:r>
          </w:p>
        </w:tc>
        <w:tc>
          <w:tcPr>
            <w:tcW w:w="1182" w:type="dxa"/>
            <w:tcBorders>
              <w:top w:val="nil"/>
              <w:bottom w:val="nil"/>
            </w:tcBorders>
          </w:tcPr>
          <w:p w14:paraId="0F58B9AB" w14:textId="77777777" w:rsidR="00A60D4B" w:rsidRPr="00037F42" w:rsidRDefault="00A60D4B" w:rsidP="00A60D4B">
            <w:pPr>
              <w:pStyle w:val="Btablefigureunbold"/>
              <w:rPr>
                <w:b/>
              </w:rPr>
            </w:pPr>
            <w:r>
              <w:rPr>
                <w:rFonts w:cs="Calibri"/>
                <w:color w:val="000000"/>
                <w:sz w:val="18"/>
                <w:szCs w:val="18"/>
              </w:rPr>
              <w:t>20,564</w:t>
            </w:r>
          </w:p>
        </w:tc>
      </w:tr>
      <w:tr w:rsidR="00A60D4B" w:rsidRPr="00337DC9" w14:paraId="6F3F1A1C" w14:textId="77777777" w:rsidTr="00A60D4B">
        <w:trPr>
          <w:trHeight w:val="20"/>
        </w:trPr>
        <w:tc>
          <w:tcPr>
            <w:tcW w:w="2268" w:type="dxa"/>
            <w:tcBorders>
              <w:top w:val="nil"/>
              <w:bottom w:val="nil"/>
            </w:tcBorders>
          </w:tcPr>
          <w:p w14:paraId="3D49D6A1" w14:textId="77777777" w:rsidR="00A60D4B" w:rsidRPr="00037F42" w:rsidRDefault="00A60D4B" w:rsidP="00A60D4B">
            <w:pPr>
              <w:pStyle w:val="Btabletextunbold"/>
              <w:rPr>
                <w:b/>
              </w:rPr>
            </w:pPr>
            <w:r>
              <w:rPr>
                <w:rFonts w:cs="Calibri"/>
                <w:color w:val="000000"/>
                <w:sz w:val="18"/>
                <w:szCs w:val="18"/>
              </w:rPr>
              <w:t>Perpetual Care Trust</w:t>
            </w:r>
          </w:p>
        </w:tc>
        <w:tc>
          <w:tcPr>
            <w:tcW w:w="1040" w:type="dxa"/>
            <w:tcBorders>
              <w:top w:val="nil"/>
              <w:bottom w:val="nil"/>
            </w:tcBorders>
          </w:tcPr>
          <w:p w14:paraId="54BBA1D9" w14:textId="77777777" w:rsidR="00A60D4B" w:rsidRPr="00037F42" w:rsidRDefault="00A60D4B" w:rsidP="00A60D4B">
            <w:pPr>
              <w:pStyle w:val="Btablefigureunbold"/>
              <w:rPr>
                <w:b/>
              </w:rPr>
            </w:pPr>
            <w:r>
              <w:rPr>
                <w:rFonts w:cs="Calibri"/>
                <w:color w:val="000000"/>
                <w:sz w:val="18"/>
                <w:szCs w:val="18"/>
              </w:rPr>
              <w:t>109</w:t>
            </w:r>
          </w:p>
        </w:tc>
        <w:tc>
          <w:tcPr>
            <w:tcW w:w="1181" w:type="dxa"/>
            <w:tcBorders>
              <w:top w:val="nil"/>
              <w:bottom w:val="nil"/>
            </w:tcBorders>
          </w:tcPr>
          <w:p w14:paraId="3D3CE6FC" w14:textId="77777777" w:rsidR="00A60D4B" w:rsidRPr="00037F42" w:rsidRDefault="00A60D4B" w:rsidP="00A60D4B">
            <w:pPr>
              <w:pStyle w:val="Btablefigureunbold"/>
              <w:rPr>
                <w:b/>
              </w:rPr>
            </w:pPr>
            <w:r>
              <w:rPr>
                <w:rFonts w:cs="Calibri"/>
                <w:color w:val="000000"/>
                <w:sz w:val="18"/>
                <w:szCs w:val="18"/>
              </w:rPr>
              <w:t>109</w:t>
            </w:r>
          </w:p>
        </w:tc>
        <w:tc>
          <w:tcPr>
            <w:tcW w:w="1181" w:type="dxa"/>
            <w:tcBorders>
              <w:top w:val="nil"/>
              <w:bottom w:val="nil"/>
            </w:tcBorders>
            <w:shd w:val="clear" w:color="auto" w:fill="auto"/>
          </w:tcPr>
          <w:p w14:paraId="647633A0" w14:textId="77777777" w:rsidR="00A60D4B" w:rsidRPr="009C3123" w:rsidRDefault="00A60D4B" w:rsidP="00A60D4B">
            <w:pPr>
              <w:pStyle w:val="BTablefigureBold"/>
              <w:rPr>
                <w:b w:val="0"/>
                <w:bCs/>
              </w:rPr>
            </w:pPr>
            <w:r w:rsidRPr="009C3123">
              <w:rPr>
                <w:rFonts w:cs="Calibri"/>
                <w:b w:val="0"/>
                <w:bCs/>
                <w:color w:val="000000"/>
                <w:sz w:val="18"/>
                <w:szCs w:val="18"/>
              </w:rPr>
              <w:t>88</w:t>
            </w:r>
          </w:p>
        </w:tc>
        <w:tc>
          <w:tcPr>
            <w:tcW w:w="1181" w:type="dxa"/>
            <w:tcBorders>
              <w:top w:val="nil"/>
              <w:bottom w:val="nil"/>
            </w:tcBorders>
            <w:shd w:val="clear" w:color="472D8C" w:fill="auto"/>
          </w:tcPr>
          <w:p w14:paraId="25A7786A" w14:textId="77777777" w:rsidR="00A60D4B" w:rsidRPr="00037F42" w:rsidRDefault="00A60D4B" w:rsidP="00A60D4B">
            <w:pPr>
              <w:pStyle w:val="Btablefigureunbold"/>
              <w:rPr>
                <w:b/>
                <w:color w:val="000000"/>
              </w:rPr>
            </w:pPr>
            <w:r>
              <w:rPr>
                <w:rFonts w:cs="Calibri"/>
                <w:color w:val="000000"/>
                <w:sz w:val="18"/>
                <w:szCs w:val="18"/>
              </w:rPr>
              <w:t>90</w:t>
            </w:r>
          </w:p>
        </w:tc>
        <w:tc>
          <w:tcPr>
            <w:tcW w:w="1181" w:type="dxa"/>
            <w:tcBorders>
              <w:top w:val="nil"/>
              <w:bottom w:val="nil"/>
            </w:tcBorders>
            <w:shd w:val="clear" w:color="auto" w:fill="auto"/>
          </w:tcPr>
          <w:p w14:paraId="24C33494" w14:textId="77777777" w:rsidR="00A60D4B" w:rsidRPr="00037F42" w:rsidRDefault="00A60D4B" w:rsidP="00A60D4B">
            <w:pPr>
              <w:pStyle w:val="Btablefigureunbold"/>
              <w:rPr>
                <w:b/>
              </w:rPr>
            </w:pPr>
            <w:r>
              <w:rPr>
                <w:rFonts w:cs="Calibri"/>
                <w:color w:val="000000"/>
                <w:sz w:val="18"/>
                <w:szCs w:val="18"/>
              </w:rPr>
              <w:t>92</w:t>
            </w:r>
          </w:p>
        </w:tc>
        <w:tc>
          <w:tcPr>
            <w:tcW w:w="1182" w:type="dxa"/>
            <w:tcBorders>
              <w:top w:val="nil"/>
              <w:bottom w:val="nil"/>
            </w:tcBorders>
          </w:tcPr>
          <w:p w14:paraId="6FC4E2D6" w14:textId="77777777" w:rsidR="00A60D4B" w:rsidRPr="00037F42" w:rsidRDefault="00A60D4B" w:rsidP="00A60D4B">
            <w:pPr>
              <w:pStyle w:val="Btablefigureunbold"/>
              <w:rPr>
                <w:b/>
              </w:rPr>
            </w:pPr>
            <w:r>
              <w:rPr>
                <w:rFonts w:cs="Calibri"/>
                <w:color w:val="000000"/>
                <w:sz w:val="18"/>
                <w:szCs w:val="18"/>
              </w:rPr>
              <w:t>93</w:t>
            </w:r>
          </w:p>
        </w:tc>
      </w:tr>
      <w:tr w:rsidR="00A60D4B" w:rsidRPr="00337DC9" w14:paraId="66C260D0" w14:textId="77777777" w:rsidTr="00A60D4B">
        <w:trPr>
          <w:trHeight w:val="20"/>
        </w:trPr>
        <w:tc>
          <w:tcPr>
            <w:tcW w:w="2268" w:type="dxa"/>
            <w:tcBorders>
              <w:top w:val="nil"/>
              <w:bottom w:val="nil"/>
            </w:tcBorders>
          </w:tcPr>
          <w:p w14:paraId="62D99370" w14:textId="77777777" w:rsidR="00A60D4B" w:rsidRPr="00037F42" w:rsidRDefault="00A60D4B" w:rsidP="00A60D4B">
            <w:pPr>
              <w:pStyle w:val="Btabletextunbold"/>
              <w:rPr>
                <w:b/>
              </w:rPr>
            </w:pPr>
            <w:r>
              <w:rPr>
                <w:rFonts w:cs="Calibri"/>
                <w:color w:val="000000"/>
                <w:sz w:val="18"/>
                <w:szCs w:val="18"/>
              </w:rPr>
              <w:t>Problem Gambling Assistance Fund</w:t>
            </w:r>
          </w:p>
        </w:tc>
        <w:tc>
          <w:tcPr>
            <w:tcW w:w="1040" w:type="dxa"/>
            <w:tcBorders>
              <w:top w:val="nil"/>
              <w:bottom w:val="nil"/>
            </w:tcBorders>
          </w:tcPr>
          <w:p w14:paraId="4FFA25D9" w14:textId="77777777" w:rsidR="00A60D4B" w:rsidRPr="00037F42" w:rsidRDefault="00A60D4B" w:rsidP="00A60D4B">
            <w:pPr>
              <w:pStyle w:val="Btablefigureunbold"/>
              <w:rPr>
                <w:b/>
              </w:rPr>
            </w:pPr>
            <w:r>
              <w:rPr>
                <w:rFonts w:cs="Calibri"/>
                <w:color w:val="000000"/>
                <w:sz w:val="18"/>
                <w:szCs w:val="18"/>
              </w:rPr>
              <w:t>1,841</w:t>
            </w:r>
          </w:p>
        </w:tc>
        <w:tc>
          <w:tcPr>
            <w:tcW w:w="1181" w:type="dxa"/>
            <w:tcBorders>
              <w:top w:val="nil"/>
              <w:bottom w:val="nil"/>
            </w:tcBorders>
          </w:tcPr>
          <w:p w14:paraId="4A8AE0D4" w14:textId="77777777" w:rsidR="00A60D4B" w:rsidRPr="00037F42" w:rsidRDefault="00A60D4B" w:rsidP="00A60D4B">
            <w:pPr>
              <w:pStyle w:val="Btablefigureunbold"/>
              <w:rPr>
                <w:b/>
              </w:rPr>
            </w:pPr>
            <w:r>
              <w:rPr>
                <w:rFonts w:cs="Calibri"/>
                <w:color w:val="000000"/>
                <w:sz w:val="18"/>
                <w:szCs w:val="18"/>
              </w:rPr>
              <w:t>2,404</w:t>
            </w:r>
          </w:p>
        </w:tc>
        <w:tc>
          <w:tcPr>
            <w:tcW w:w="1181" w:type="dxa"/>
            <w:tcBorders>
              <w:top w:val="nil"/>
              <w:bottom w:val="nil"/>
            </w:tcBorders>
            <w:shd w:val="clear" w:color="auto" w:fill="auto"/>
          </w:tcPr>
          <w:p w14:paraId="4CE00D8A" w14:textId="77777777" w:rsidR="00A60D4B" w:rsidRPr="009C3123" w:rsidRDefault="00A60D4B" w:rsidP="00A60D4B">
            <w:pPr>
              <w:pStyle w:val="BTablefigureBold"/>
              <w:rPr>
                <w:b w:val="0"/>
                <w:bCs/>
              </w:rPr>
            </w:pPr>
            <w:r w:rsidRPr="009C3123">
              <w:rPr>
                <w:rFonts w:cs="Calibri"/>
                <w:b w:val="0"/>
                <w:bCs/>
                <w:color w:val="000000"/>
                <w:sz w:val="18"/>
                <w:szCs w:val="18"/>
              </w:rPr>
              <w:t>3,063</w:t>
            </w:r>
          </w:p>
        </w:tc>
        <w:tc>
          <w:tcPr>
            <w:tcW w:w="1181" w:type="dxa"/>
            <w:tcBorders>
              <w:top w:val="nil"/>
              <w:bottom w:val="nil"/>
            </w:tcBorders>
            <w:shd w:val="clear" w:color="472D8C" w:fill="auto"/>
          </w:tcPr>
          <w:p w14:paraId="4A744FE2" w14:textId="77777777" w:rsidR="00A60D4B" w:rsidRPr="00037F42" w:rsidRDefault="00A60D4B" w:rsidP="00A60D4B">
            <w:pPr>
              <w:pStyle w:val="Btablefigureunbold"/>
              <w:rPr>
                <w:b/>
                <w:color w:val="000000"/>
              </w:rPr>
            </w:pPr>
            <w:r>
              <w:rPr>
                <w:rFonts w:cs="Calibri"/>
                <w:color w:val="000000"/>
                <w:sz w:val="18"/>
                <w:szCs w:val="18"/>
              </w:rPr>
              <w:t>3,062</w:t>
            </w:r>
          </w:p>
        </w:tc>
        <w:tc>
          <w:tcPr>
            <w:tcW w:w="1181" w:type="dxa"/>
            <w:tcBorders>
              <w:top w:val="nil"/>
              <w:bottom w:val="nil"/>
            </w:tcBorders>
            <w:shd w:val="clear" w:color="auto" w:fill="auto"/>
          </w:tcPr>
          <w:p w14:paraId="6B296864" w14:textId="77777777" w:rsidR="00A60D4B" w:rsidRPr="00037F42" w:rsidRDefault="00A60D4B" w:rsidP="00A60D4B">
            <w:pPr>
              <w:pStyle w:val="Btablefigureunbold"/>
              <w:rPr>
                <w:b/>
              </w:rPr>
            </w:pPr>
            <w:r>
              <w:rPr>
                <w:rFonts w:cs="Calibri"/>
                <w:color w:val="000000"/>
                <w:sz w:val="18"/>
                <w:szCs w:val="18"/>
              </w:rPr>
              <w:t>3,062</w:t>
            </w:r>
          </w:p>
        </w:tc>
        <w:tc>
          <w:tcPr>
            <w:tcW w:w="1182" w:type="dxa"/>
            <w:tcBorders>
              <w:top w:val="nil"/>
              <w:bottom w:val="nil"/>
            </w:tcBorders>
          </w:tcPr>
          <w:p w14:paraId="2E96B59F" w14:textId="77777777" w:rsidR="00A60D4B" w:rsidRPr="00037F42" w:rsidRDefault="00A60D4B" w:rsidP="00A60D4B">
            <w:pPr>
              <w:pStyle w:val="Btablefigureunbold"/>
              <w:rPr>
                <w:b/>
              </w:rPr>
            </w:pPr>
            <w:r>
              <w:rPr>
                <w:rFonts w:cs="Calibri"/>
                <w:color w:val="000000"/>
                <w:sz w:val="18"/>
                <w:szCs w:val="18"/>
              </w:rPr>
              <w:t>3,099</w:t>
            </w:r>
          </w:p>
        </w:tc>
      </w:tr>
      <w:tr w:rsidR="00A60D4B" w:rsidRPr="00337DC9" w14:paraId="3269187A" w14:textId="77777777" w:rsidTr="00A60D4B">
        <w:trPr>
          <w:trHeight w:val="20"/>
        </w:trPr>
        <w:tc>
          <w:tcPr>
            <w:tcW w:w="2268" w:type="dxa"/>
            <w:tcBorders>
              <w:top w:val="nil"/>
              <w:bottom w:val="nil"/>
            </w:tcBorders>
          </w:tcPr>
          <w:p w14:paraId="4A08F36A" w14:textId="77777777" w:rsidR="00A60D4B" w:rsidRPr="00037F42" w:rsidRDefault="00A60D4B" w:rsidP="00A60D4B">
            <w:pPr>
              <w:pStyle w:val="Btabletextunbold"/>
              <w:rPr>
                <w:b/>
              </w:rPr>
            </w:pPr>
            <w:r>
              <w:rPr>
                <w:rFonts w:cs="Calibri"/>
                <w:color w:val="000000"/>
                <w:sz w:val="18"/>
                <w:szCs w:val="18"/>
              </w:rPr>
              <w:t>Regulatory Fees</w:t>
            </w:r>
          </w:p>
        </w:tc>
        <w:tc>
          <w:tcPr>
            <w:tcW w:w="1040" w:type="dxa"/>
            <w:tcBorders>
              <w:top w:val="nil"/>
              <w:bottom w:val="nil"/>
            </w:tcBorders>
          </w:tcPr>
          <w:p w14:paraId="546EF9E8" w14:textId="77777777" w:rsidR="00A60D4B" w:rsidRPr="00037F42" w:rsidRDefault="00A60D4B" w:rsidP="00A60D4B">
            <w:pPr>
              <w:pStyle w:val="Btablefigureunbold"/>
              <w:rPr>
                <w:b/>
              </w:rPr>
            </w:pPr>
            <w:r>
              <w:rPr>
                <w:rFonts w:cs="Calibri"/>
                <w:color w:val="000000"/>
                <w:sz w:val="18"/>
                <w:szCs w:val="18"/>
              </w:rPr>
              <w:t>1,840</w:t>
            </w:r>
          </w:p>
        </w:tc>
        <w:tc>
          <w:tcPr>
            <w:tcW w:w="1181" w:type="dxa"/>
            <w:tcBorders>
              <w:top w:val="nil"/>
              <w:bottom w:val="nil"/>
            </w:tcBorders>
          </w:tcPr>
          <w:p w14:paraId="40760F4D" w14:textId="77777777" w:rsidR="00A60D4B" w:rsidRPr="00037F42" w:rsidRDefault="00A60D4B" w:rsidP="00A60D4B">
            <w:pPr>
              <w:pStyle w:val="Btablefigureunbold"/>
              <w:rPr>
                <w:b/>
              </w:rPr>
            </w:pPr>
            <w:r>
              <w:rPr>
                <w:rFonts w:cs="Calibri"/>
                <w:color w:val="000000"/>
                <w:sz w:val="18"/>
                <w:szCs w:val="18"/>
              </w:rPr>
              <w:t>1,232</w:t>
            </w:r>
          </w:p>
        </w:tc>
        <w:tc>
          <w:tcPr>
            <w:tcW w:w="1181" w:type="dxa"/>
            <w:tcBorders>
              <w:top w:val="nil"/>
              <w:bottom w:val="nil"/>
            </w:tcBorders>
            <w:shd w:val="clear" w:color="auto" w:fill="auto"/>
          </w:tcPr>
          <w:p w14:paraId="0C35C488" w14:textId="77777777" w:rsidR="00A60D4B" w:rsidRPr="009C3123" w:rsidRDefault="00A60D4B" w:rsidP="00A60D4B">
            <w:pPr>
              <w:pStyle w:val="BTablefigureBold"/>
              <w:rPr>
                <w:b w:val="0"/>
                <w:bCs/>
              </w:rPr>
            </w:pPr>
            <w:r w:rsidRPr="009C3123">
              <w:rPr>
                <w:rFonts w:cs="Calibri"/>
                <w:b w:val="0"/>
                <w:bCs/>
                <w:color w:val="000000"/>
                <w:sz w:val="18"/>
                <w:szCs w:val="18"/>
              </w:rPr>
              <w:t>1,854</w:t>
            </w:r>
          </w:p>
        </w:tc>
        <w:tc>
          <w:tcPr>
            <w:tcW w:w="1181" w:type="dxa"/>
            <w:tcBorders>
              <w:top w:val="nil"/>
              <w:bottom w:val="nil"/>
            </w:tcBorders>
            <w:shd w:val="clear" w:color="472D8C" w:fill="auto"/>
          </w:tcPr>
          <w:p w14:paraId="05C15ACB" w14:textId="77777777" w:rsidR="00A60D4B" w:rsidRPr="00037F42" w:rsidRDefault="00A60D4B" w:rsidP="00A60D4B">
            <w:pPr>
              <w:pStyle w:val="Btablefigureunbold"/>
              <w:rPr>
                <w:b/>
                <w:color w:val="000000"/>
              </w:rPr>
            </w:pPr>
            <w:r>
              <w:rPr>
                <w:rFonts w:cs="Calibri"/>
                <w:color w:val="000000"/>
                <w:sz w:val="18"/>
                <w:szCs w:val="18"/>
              </w:rPr>
              <w:t>1,854</w:t>
            </w:r>
          </w:p>
        </w:tc>
        <w:tc>
          <w:tcPr>
            <w:tcW w:w="1181" w:type="dxa"/>
            <w:tcBorders>
              <w:top w:val="nil"/>
              <w:bottom w:val="nil"/>
            </w:tcBorders>
            <w:shd w:val="clear" w:color="auto" w:fill="auto"/>
          </w:tcPr>
          <w:p w14:paraId="65C4D8DD" w14:textId="77777777" w:rsidR="00A60D4B" w:rsidRPr="00037F42" w:rsidRDefault="00A60D4B" w:rsidP="00A60D4B">
            <w:pPr>
              <w:pStyle w:val="Btablefigureunbold"/>
              <w:rPr>
                <w:b/>
              </w:rPr>
            </w:pPr>
            <w:r>
              <w:rPr>
                <w:rFonts w:cs="Calibri"/>
                <w:color w:val="000000"/>
                <w:sz w:val="18"/>
                <w:szCs w:val="18"/>
              </w:rPr>
              <w:t>1,922</w:t>
            </w:r>
          </w:p>
        </w:tc>
        <w:tc>
          <w:tcPr>
            <w:tcW w:w="1182" w:type="dxa"/>
            <w:tcBorders>
              <w:top w:val="nil"/>
              <w:bottom w:val="nil"/>
            </w:tcBorders>
          </w:tcPr>
          <w:p w14:paraId="4BC07C30" w14:textId="77777777" w:rsidR="00A60D4B" w:rsidRPr="00037F42" w:rsidRDefault="00A60D4B" w:rsidP="00A60D4B">
            <w:pPr>
              <w:pStyle w:val="Btablefigureunbold"/>
              <w:rPr>
                <w:b/>
              </w:rPr>
            </w:pPr>
            <w:r>
              <w:rPr>
                <w:rFonts w:cs="Calibri"/>
                <w:color w:val="000000"/>
                <w:sz w:val="18"/>
                <w:szCs w:val="18"/>
              </w:rPr>
              <w:t>1,961</w:t>
            </w:r>
          </w:p>
        </w:tc>
      </w:tr>
      <w:tr w:rsidR="00A60D4B" w:rsidRPr="00337DC9" w14:paraId="0443ACD9" w14:textId="77777777" w:rsidTr="00A60D4B">
        <w:trPr>
          <w:trHeight w:val="20"/>
        </w:trPr>
        <w:tc>
          <w:tcPr>
            <w:tcW w:w="2268" w:type="dxa"/>
            <w:tcBorders>
              <w:top w:val="nil"/>
              <w:bottom w:val="nil"/>
            </w:tcBorders>
          </w:tcPr>
          <w:p w14:paraId="04DCCE66" w14:textId="77777777" w:rsidR="00A60D4B" w:rsidRPr="00D866E9" w:rsidRDefault="00A60D4B" w:rsidP="00A60D4B">
            <w:pPr>
              <w:pStyle w:val="Btabletextunbold"/>
              <w:rPr>
                <w:bCs/>
              </w:rPr>
            </w:pPr>
            <w:r>
              <w:rPr>
                <w:rFonts w:cs="Calibri"/>
                <w:color w:val="000000"/>
                <w:sz w:val="18"/>
                <w:szCs w:val="18"/>
              </w:rPr>
              <w:t>Miscellaneous</w:t>
            </w:r>
          </w:p>
        </w:tc>
        <w:tc>
          <w:tcPr>
            <w:tcW w:w="1040" w:type="dxa"/>
            <w:tcBorders>
              <w:top w:val="nil"/>
              <w:bottom w:val="nil"/>
            </w:tcBorders>
          </w:tcPr>
          <w:p w14:paraId="25E6DCDF" w14:textId="77777777" w:rsidR="00A60D4B" w:rsidRPr="00D866E9" w:rsidRDefault="00A60D4B" w:rsidP="00A60D4B">
            <w:pPr>
              <w:pStyle w:val="Btablefigureunbold"/>
              <w:rPr>
                <w:bCs/>
              </w:rPr>
            </w:pPr>
            <w:r>
              <w:rPr>
                <w:rFonts w:cs="Calibri"/>
                <w:color w:val="000000"/>
                <w:sz w:val="18"/>
                <w:szCs w:val="18"/>
              </w:rPr>
              <w:t>13,615</w:t>
            </w:r>
          </w:p>
        </w:tc>
        <w:tc>
          <w:tcPr>
            <w:tcW w:w="1181" w:type="dxa"/>
            <w:tcBorders>
              <w:top w:val="nil"/>
              <w:bottom w:val="nil"/>
            </w:tcBorders>
          </w:tcPr>
          <w:p w14:paraId="24B42B3C" w14:textId="77777777" w:rsidR="00A60D4B" w:rsidRPr="00D866E9" w:rsidRDefault="00A60D4B" w:rsidP="00A60D4B">
            <w:pPr>
              <w:pStyle w:val="Btablefigureunbold"/>
              <w:rPr>
                <w:bCs/>
              </w:rPr>
            </w:pPr>
            <w:r>
              <w:rPr>
                <w:rFonts w:cs="Calibri"/>
                <w:color w:val="000000"/>
                <w:sz w:val="18"/>
                <w:szCs w:val="18"/>
              </w:rPr>
              <w:t>52,029</w:t>
            </w:r>
          </w:p>
        </w:tc>
        <w:tc>
          <w:tcPr>
            <w:tcW w:w="1181" w:type="dxa"/>
            <w:tcBorders>
              <w:top w:val="nil"/>
              <w:bottom w:val="nil"/>
            </w:tcBorders>
            <w:shd w:val="clear" w:color="auto" w:fill="auto"/>
          </w:tcPr>
          <w:p w14:paraId="2EEB5691" w14:textId="77777777" w:rsidR="00A60D4B" w:rsidRPr="009C3123" w:rsidRDefault="00A60D4B" w:rsidP="00A60D4B">
            <w:pPr>
              <w:pStyle w:val="BTablefigureBold"/>
              <w:rPr>
                <w:b w:val="0"/>
                <w:bCs/>
              </w:rPr>
            </w:pPr>
            <w:r w:rsidRPr="009C3123">
              <w:rPr>
                <w:rFonts w:cs="Calibri"/>
                <w:b w:val="0"/>
                <w:bCs/>
                <w:color w:val="000000"/>
                <w:sz w:val="18"/>
                <w:szCs w:val="18"/>
              </w:rPr>
              <w:t>7,286</w:t>
            </w:r>
          </w:p>
        </w:tc>
        <w:tc>
          <w:tcPr>
            <w:tcW w:w="1181" w:type="dxa"/>
            <w:tcBorders>
              <w:top w:val="nil"/>
              <w:bottom w:val="nil"/>
            </w:tcBorders>
            <w:shd w:val="clear" w:color="472D8C" w:fill="auto"/>
          </w:tcPr>
          <w:p w14:paraId="1564D43E" w14:textId="77777777" w:rsidR="00A60D4B" w:rsidRPr="00D866E9" w:rsidRDefault="00A60D4B" w:rsidP="00A60D4B">
            <w:pPr>
              <w:pStyle w:val="Btablefigureunbold"/>
              <w:rPr>
                <w:bCs/>
                <w:color w:val="000000"/>
              </w:rPr>
            </w:pPr>
            <w:r>
              <w:rPr>
                <w:rFonts w:cs="Calibri"/>
                <w:color w:val="000000"/>
                <w:sz w:val="18"/>
                <w:szCs w:val="18"/>
              </w:rPr>
              <w:t>8,532</w:t>
            </w:r>
          </w:p>
        </w:tc>
        <w:tc>
          <w:tcPr>
            <w:tcW w:w="1181" w:type="dxa"/>
            <w:tcBorders>
              <w:top w:val="nil"/>
              <w:bottom w:val="nil"/>
            </w:tcBorders>
            <w:shd w:val="clear" w:color="auto" w:fill="auto"/>
          </w:tcPr>
          <w:p w14:paraId="582F00A6" w14:textId="77777777" w:rsidR="00A60D4B" w:rsidRPr="00D866E9" w:rsidRDefault="00A60D4B" w:rsidP="00A60D4B">
            <w:pPr>
              <w:pStyle w:val="Btablefigureunbold"/>
              <w:rPr>
                <w:bCs/>
              </w:rPr>
            </w:pPr>
            <w:r>
              <w:rPr>
                <w:rFonts w:cs="Calibri"/>
                <w:color w:val="000000"/>
                <w:sz w:val="18"/>
                <w:szCs w:val="18"/>
              </w:rPr>
              <w:t>7,670</w:t>
            </w:r>
          </w:p>
        </w:tc>
        <w:tc>
          <w:tcPr>
            <w:tcW w:w="1182" w:type="dxa"/>
            <w:tcBorders>
              <w:top w:val="nil"/>
              <w:bottom w:val="nil"/>
            </w:tcBorders>
          </w:tcPr>
          <w:p w14:paraId="1E38CE01" w14:textId="77777777" w:rsidR="00A60D4B" w:rsidRPr="00D866E9" w:rsidRDefault="00A60D4B" w:rsidP="00A60D4B">
            <w:pPr>
              <w:pStyle w:val="Btablefigureunbold"/>
              <w:rPr>
                <w:bCs/>
              </w:rPr>
            </w:pPr>
            <w:r>
              <w:rPr>
                <w:rFonts w:cs="Calibri"/>
                <w:color w:val="000000"/>
                <w:sz w:val="18"/>
                <w:szCs w:val="18"/>
              </w:rPr>
              <w:t>8,435</w:t>
            </w:r>
          </w:p>
        </w:tc>
      </w:tr>
      <w:tr w:rsidR="00A60D4B" w:rsidRPr="00337DC9" w14:paraId="1534DABB" w14:textId="77777777" w:rsidTr="00A60D4B">
        <w:trPr>
          <w:trHeight w:val="227"/>
        </w:trPr>
        <w:tc>
          <w:tcPr>
            <w:tcW w:w="2268" w:type="dxa"/>
            <w:tcBorders>
              <w:top w:val="single" w:sz="4" w:space="0" w:color="auto"/>
              <w:bottom w:val="single" w:sz="4" w:space="0" w:color="auto"/>
            </w:tcBorders>
          </w:tcPr>
          <w:p w14:paraId="334AA1F4" w14:textId="77777777" w:rsidR="00A60D4B" w:rsidRPr="00DC6089" w:rsidRDefault="00A60D4B" w:rsidP="00A60D4B">
            <w:pPr>
              <w:pStyle w:val="Btabletextbolditalic"/>
              <w:rPr>
                <w:i w:val="0"/>
                <w:iCs/>
                <w:color w:val="472D8C"/>
              </w:rPr>
            </w:pPr>
            <w:r w:rsidRPr="00DC6089">
              <w:rPr>
                <w:rFonts w:cs="Calibri"/>
                <w:i w:val="0"/>
                <w:iCs/>
                <w:color w:val="472D8C"/>
                <w:sz w:val="18"/>
                <w:szCs w:val="18"/>
              </w:rPr>
              <w:t>Total Other Miscellaneous Revenue</w:t>
            </w:r>
          </w:p>
        </w:tc>
        <w:tc>
          <w:tcPr>
            <w:tcW w:w="1040" w:type="dxa"/>
            <w:tcBorders>
              <w:top w:val="single" w:sz="4" w:space="0" w:color="auto"/>
              <w:bottom w:val="single" w:sz="4" w:space="0" w:color="auto"/>
            </w:tcBorders>
          </w:tcPr>
          <w:p w14:paraId="5133CC0E" w14:textId="77777777" w:rsidR="00A60D4B" w:rsidRPr="00DC6089" w:rsidRDefault="00A60D4B" w:rsidP="00A60D4B">
            <w:pPr>
              <w:pStyle w:val="Btablefigureunbold"/>
              <w:rPr>
                <w:b/>
                <w:iCs/>
                <w:color w:val="472D8C"/>
              </w:rPr>
            </w:pPr>
            <w:r w:rsidRPr="00DC6089">
              <w:rPr>
                <w:rFonts w:cs="Calibri"/>
                <w:b/>
                <w:bCs/>
                <w:color w:val="472D8C"/>
                <w:sz w:val="18"/>
                <w:szCs w:val="18"/>
              </w:rPr>
              <w:t>76,432</w:t>
            </w:r>
          </w:p>
        </w:tc>
        <w:tc>
          <w:tcPr>
            <w:tcW w:w="1181" w:type="dxa"/>
            <w:tcBorders>
              <w:top w:val="single" w:sz="4" w:space="0" w:color="auto"/>
              <w:bottom w:val="single" w:sz="4" w:space="0" w:color="auto"/>
            </w:tcBorders>
          </w:tcPr>
          <w:p w14:paraId="4B281AB0" w14:textId="77777777" w:rsidR="00A60D4B" w:rsidRPr="00DC6089" w:rsidRDefault="00A60D4B" w:rsidP="00A60D4B">
            <w:pPr>
              <w:pStyle w:val="Btablefigureunbold"/>
              <w:rPr>
                <w:b/>
                <w:iCs/>
                <w:color w:val="472D8C"/>
              </w:rPr>
            </w:pPr>
            <w:r w:rsidRPr="00DC6089">
              <w:rPr>
                <w:rFonts w:cs="Calibri"/>
                <w:b/>
                <w:bCs/>
                <w:color w:val="472D8C"/>
                <w:sz w:val="18"/>
                <w:szCs w:val="18"/>
              </w:rPr>
              <w:t>149,477</w:t>
            </w:r>
          </w:p>
        </w:tc>
        <w:tc>
          <w:tcPr>
            <w:tcW w:w="1181" w:type="dxa"/>
            <w:tcBorders>
              <w:top w:val="single" w:sz="4" w:space="0" w:color="auto"/>
              <w:bottom w:val="single" w:sz="4" w:space="0" w:color="auto"/>
            </w:tcBorders>
            <w:shd w:val="clear" w:color="auto" w:fill="auto"/>
          </w:tcPr>
          <w:p w14:paraId="5C94B777" w14:textId="77777777" w:rsidR="00A60D4B" w:rsidRPr="00DC6089" w:rsidRDefault="00A60D4B" w:rsidP="00A60D4B">
            <w:pPr>
              <w:pStyle w:val="Btablefigureunbold"/>
              <w:rPr>
                <w:b/>
                <w:iCs/>
                <w:color w:val="472D8C"/>
              </w:rPr>
            </w:pPr>
            <w:r w:rsidRPr="00DC6089">
              <w:rPr>
                <w:rFonts w:cs="Calibri"/>
                <w:b/>
                <w:bCs/>
                <w:color w:val="472D8C"/>
                <w:sz w:val="18"/>
                <w:szCs w:val="18"/>
              </w:rPr>
              <w:t>64,261</w:t>
            </w:r>
          </w:p>
        </w:tc>
        <w:tc>
          <w:tcPr>
            <w:tcW w:w="1181" w:type="dxa"/>
            <w:tcBorders>
              <w:top w:val="single" w:sz="4" w:space="0" w:color="auto"/>
              <w:bottom w:val="single" w:sz="4" w:space="0" w:color="auto"/>
            </w:tcBorders>
            <w:shd w:val="clear" w:color="472D8C" w:fill="auto"/>
          </w:tcPr>
          <w:p w14:paraId="504F2ECA" w14:textId="77777777" w:rsidR="00A60D4B" w:rsidRPr="00DC6089" w:rsidRDefault="00A60D4B" w:rsidP="00A60D4B">
            <w:pPr>
              <w:pStyle w:val="Btablefigureunbold"/>
              <w:rPr>
                <w:b/>
                <w:iCs/>
                <w:color w:val="472D8C"/>
              </w:rPr>
            </w:pPr>
            <w:r w:rsidRPr="00DC6089">
              <w:rPr>
                <w:rFonts w:cs="Calibri"/>
                <w:b/>
                <w:bCs/>
                <w:color w:val="472D8C"/>
                <w:sz w:val="18"/>
                <w:szCs w:val="18"/>
              </w:rPr>
              <w:t>53,309</w:t>
            </w:r>
          </w:p>
        </w:tc>
        <w:tc>
          <w:tcPr>
            <w:tcW w:w="1181" w:type="dxa"/>
            <w:tcBorders>
              <w:top w:val="single" w:sz="4" w:space="0" w:color="auto"/>
              <w:bottom w:val="single" w:sz="4" w:space="0" w:color="auto"/>
            </w:tcBorders>
            <w:shd w:val="clear" w:color="auto" w:fill="auto"/>
          </w:tcPr>
          <w:p w14:paraId="08C2DE11" w14:textId="77777777" w:rsidR="00A60D4B" w:rsidRPr="00DC6089" w:rsidRDefault="00A60D4B" w:rsidP="00A60D4B">
            <w:pPr>
              <w:pStyle w:val="Btablefigureunbold"/>
              <w:rPr>
                <w:b/>
                <w:iCs/>
                <w:color w:val="472D8C"/>
              </w:rPr>
            </w:pPr>
            <w:r w:rsidRPr="00DC6089">
              <w:rPr>
                <w:rFonts w:cs="Calibri"/>
                <w:b/>
                <w:bCs/>
                <w:color w:val="472D8C"/>
                <w:sz w:val="18"/>
                <w:szCs w:val="18"/>
              </w:rPr>
              <w:t>51,917</w:t>
            </w:r>
          </w:p>
        </w:tc>
        <w:tc>
          <w:tcPr>
            <w:tcW w:w="1182" w:type="dxa"/>
            <w:tcBorders>
              <w:top w:val="single" w:sz="4" w:space="0" w:color="auto"/>
              <w:bottom w:val="single" w:sz="4" w:space="0" w:color="auto"/>
            </w:tcBorders>
          </w:tcPr>
          <w:p w14:paraId="36CDEE1F" w14:textId="77777777" w:rsidR="00A60D4B" w:rsidRPr="00DC6089" w:rsidRDefault="00A60D4B" w:rsidP="00A60D4B">
            <w:pPr>
              <w:pStyle w:val="Btablefigureunbold"/>
              <w:rPr>
                <w:b/>
                <w:iCs/>
                <w:color w:val="472D8C"/>
              </w:rPr>
            </w:pPr>
            <w:r w:rsidRPr="00DC6089">
              <w:rPr>
                <w:rFonts w:cs="Calibri"/>
                <w:b/>
                <w:bCs/>
                <w:color w:val="472D8C"/>
                <w:sz w:val="18"/>
                <w:szCs w:val="18"/>
              </w:rPr>
              <w:t>99,900</w:t>
            </w:r>
          </w:p>
        </w:tc>
      </w:tr>
    </w:tbl>
    <w:bookmarkEnd w:id="106"/>
    <w:p w14:paraId="27B7E5A4" w14:textId="77777777" w:rsidR="00A60D4B" w:rsidRPr="00EA11DB" w:rsidRDefault="00A60D4B" w:rsidP="00A60D4B">
      <w:pPr>
        <w:pStyle w:val="BNoteBold"/>
      </w:pPr>
      <w:r w:rsidRPr="00EA11DB">
        <w:t>Note</w:t>
      </w:r>
      <w:r>
        <w:t xml:space="preserve">: </w:t>
      </w:r>
      <w:r w:rsidRPr="000510E2">
        <w:rPr>
          <w:b w:val="0"/>
          <w:bCs/>
        </w:rPr>
        <w:t xml:space="preserve">Numbers may not add due to rounding. </w:t>
      </w:r>
    </w:p>
    <w:p w14:paraId="54F196C6" w14:textId="77777777" w:rsidR="00A60D4B" w:rsidRDefault="00A60D4B">
      <w:r>
        <w:br w:type="page"/>
      </w:r>
    </w:p>
    <w:p w14:paraId="53320DBC" w14:textId="77777777" w:rsidR="00A60D4B" w:rsidRDefault="00A60D4B"/>
    <w:p w14:paraId="4245BD0A" w14:textId="77777777" w:rsidR="00A60D4B" w:rsidRDefault="00A60D4B" w:rsidP="00A60D4B">
      <w:pPr>
        <w:sectPr w:rsidR="00A60D4B" w:rsidSect="00542DA2">
          <w:headerReference w:type="even" r:id="rId159"/>
          <w:headerReference w:type="default" r:id="rId160"/>
          <w:footerReference w:type="even" r:id="rId161"/>
          <w:footerReference w:type="default" r:id="rId162"/>
          <w:headerReference w:type="first" r:id="rId163"/>
          <w:footerReference w:type="first" r:id="rId164"/>
          <w:footnotePr>
            <w:numRestart w:val="eachPage"/>
          </w:footnotePr>
          <w:pgSz w:w="11906" w:h="16838" w:code="9"/>
          <w:pgMar w:top="1151" w:right="1440" w:bottom="1729" w:left="1440" w:header="720" w:footer="720" w:gutter="0"/>
          <w:cols w:space="708"/>
          <w:docGrid w:linePitch="360"/>
        </w:sectPr>
      </w:pPr>
    </w:p>
    <w:p w14:paraId="0871F703" w14:textId="77777777" w:rsidR="00A60D4B" w:rsidRPr="00930757" w:rsidRDefault="00A60D4B" w:rsidP="00A60D4B">
      <w:pPr>
        <w:pStyle w:val="Heading2"/>
        <w:numPr>
          <w:ilvl w:val="1"/>
          <w:numId w:val="4"/>
        </w:numPr>
      </w:pPr>
      <w:bookmarkStart w:id="107" w:name="_Toc84290991"/>
      <w:r>
        <w:lastRenderedPageBreak/>
        <w:t>Federal Financial Relations</w:t>
      </w:r>
      <w:bookmarkEnd w:id="107"/>
    </w:p>
    <w:p w14:paraId="171DE16B" w14:textId="77777777" w:rsidR="00A60D4B" w:rsidRDefault="00A60D4B" w:rsidP="00A60D4B">
      <w:pPr>
        <w:pStyle w:val="Heading5"/>
        <w:rPr>
          <w:rFonts w:ascii="Calibri" w:hAnsi="Calibri"/>
          <w:i w:val="0"/>
          <w:iCs/>
          <w:sz w:val="28"/>
        </w:rPr>
      </w:pPr>
      <w:r>
        <w:rPr>
          <w:rFonts w:ascii="Calibri" w:hAnsi="Calibri"/>
          <w:i w:val="0"/>
          <w:iCs/>
          <w:sz w:val="28"/>
        </w:rPr>
        <w:t>O</w:t>
      </w:r>
      <w:r w:rsidRPr="00753560">
        <w:rPr>
          <w:rFonts w:ascii="Calibri" w:hAnsi="Calibri"/>
          <w:i w:val="0"/>
          <w:iCs/>
          <w:sz w:val="28"/>
        </w:rPr>
        <w:t>verview</w:t>
      </w:r>
    </w:p>
    <w:p w14:paraId="705D899B" w14:textId="77777777" w:rsidR="00A60D4B" w:rsidRDefault="00A60D4B" w:rsidP="00A60D4B">
      <w:pPr>
        <w:pStyle w:val="Bbodytext"/>
      </w:pPr>
      <w:r>
        <w:t xml:space="preserve">Responding to the immediate public health and economic implications of the COVID-19 pandemic and the development of the </w:t>
      </w:r>
      <w:r w:rsidRPr="00683E3E">
        <w:rPr>
          <w:i/>
          <w:iCs/>
        </w:rPr>
        <w:t>National Plan to Transition Australia’s National COVID-19 response</w:t>
      </w:r>
      <w:r>
        <w:t xml:space="preserve"> has continued to be the key focus of the engagement between the Commonwealth and states and territories over the course of 2020-21 and into 2021-22</w:t>
      </w:r>
      <w:r w:rsidDel="002D2804">
        <w:t>.</w:t>
      </w:r>
      <w:r>
        <w:t xml:space="preserve">  </w:t>
      </w:r>
    </w:p>
    <w:p w14:paraId="4F74E0F1" w14:textId="77777777" w:rsidR="00A60D4B" w:rsidRDefault="00A60D4B" w:rsidP="00A60D4B">
      <w:pPr>
        <w:pStyle w:val="Bbodytext"/>
      </w:pPr>
      <w:r>
        <w:t>The outbreaks of the Delta variant of the virus and the resulting lockdowns across the east coast of Australia have resulted in active engagement between the Commonwealth and the states and territories on individual and business supports. With the expiry of many of the supports that were put in place over the course of 2020 as public health and economic conditions had begun to improve earlier in 2021, including JobKeeper and the JobSeeker supplement, jurisdictions have worked together on alternative supports appropriate for the current circumstances.</w:t>
      </w:r>
    </w:p>
    <w:p w14:paraId="51E64B1A" w14:textId="77777777" w:rsidR="00A60D4B" w:rsidRDefault="00A60D4B" w:rsidP="00A60D4B">
      <w:pPr>
        <w:pStyle w:val="Bbodytext"/>
      </w:pPr>
      <w:r>
        <w:t xml:space="preserve">With its significantly greater fiscal capacity, the Commonwealth has provided temporary support for individuals through the COVID Disaster Payment and the Pandemic Leave Disaster Payment, which has been complemented by additional supports provided by the states and territories. For the ACT, those additional supports are outlined in </w:t>
      </w:r>
      <w:r w:rsidRPr="00B611E0">
        <w:t xml:space="preserve">section </w:t>
      </w:r>
      <w:r w:rsidRPr="004A4E21">
        <w:t>3.2.</w:t>
      </w:r>
      <w:r>
        <w:t xml:space="preserve"> </w:t>
      </w:r>
    </w:p>
    <w:p w14:paraId="0ADBFE37" w14:textId="77777777" w:rsidR="00A60D4B" w:rsidRDefault="00A60D4B" w:rsidP="00A60D4B">
      <w:pPr>
        <w:pStyle w:val="Bbodytext"/>
      </w:pPr>
      <w:r>
        <w:t>Support for business has shifted from JobKeeper funded and administered by the Commonwealth to jointly funded programs administered by the states and territories that have varied depending on circumstances in each jurisdiction. In the ACT, that support has been delivered through a number of grants programs for businesses affected by lockdowns, with the costs shared equally with the Commonwealth. Further detail on those grants programs is outlined in secti</w:t>
      </w:r>
      <w:r w:rsidRPr="00220795">
        <w:t xml:space="preserve">on </w:t>
      </w:r>
      <w:r w:rsidRPr="00C93C97">
        <w:t>3.</w:t>
      </w:r>
      <w:r w:rsidRPr="00220795">
        <w:t>2</w:t>
      </w:r>
      <w:r w:rsidRPr="00415BD2">
        <w:t>.</w:t>
      </w:r>
      <w:r w:rsidRPr="009F2E1F">
        <w:t xml:space="preserve"> These</w:t>
      </w:r>
      <w:r>
        <w:t xml:space="preserve"> jointly funded grants programs complement a range of support measures being provided by the ACT Government to local businesses.  </w:t>
      </w:r>
    </w:p>
    <w:p w14:paraId="34B42852" w14:textId="77777777" w:rsidR="00A60D4B" w:rsidRPr="00683E3E" w:rsidRDefault="00A60D4B" w:rsidP="00A60D4B">
      <w:pPr>
        <w:spacing w:after="0" w:line="240" w:lineRule="auto"/>
        <w:rPr>
          <w:rFonts w:ascii="Garamond" w:eastAsia="Times New Roman" w:hAnsi="Garamond"/>
          <w:sz w:val="24"/>
          <w:szCs w:val="24"/>
          <w:lang w:eastAsia="en-AU"/>
        </w:rPr>
      </w:pPr>
      <w:r w:rsidRPr="00024B86">
        <w:rPr>
          <w:sz w:val="24"/>
          <w:szCs w:val="24"/>
        </w:rPr>
        <w:t xml:space="preserve">The Commonwealth has announced that its contribution to business support will cease as the ACT reaches vaccination coverage of the adult population of 80 per cent and income support will </w:t>
      </w:r>
      <w:r w:rsidRPr="00024B86">
        <w:rPr>
          <w:rFonts w:eastAsia="Times New Roman"/>
          <w:sz w:val="24"/>
          <w:szCs w:val="24"/>
        </w:rPr>
        <w:t>step down over a period of two weeks before ending.</w:t>
      </w:r>
    </w:p>
    <w:p w14:paraId="7E7BAF4C" w14:textId="77777777" w:rsidR="00A60D4B" w:rsidRDefault="00A60D4B" w:rsidP="00A60D4B">
      <w:pPr>
        <w:pStyle w:val="Bbodytext"/>
        <w:rPr>
          <w:szCs w:val="24"/>
          <w:lang w:eastAsia="en-AU"/>
        </w:rPr>
      </w:pPr>
      <w:r>
        <w:t>T</w:t>
      </w:r>
      <w:r>
        <w:rPr>
          <w:szCs w:val="24"/>
          <w:lang w:eastAsia="en-AU"/>
        </w:rPr>
        <w:t xml:space="preserve">he Commonwealth is also partially supporting the ACT’s COVID-19 health response through the </w:t>
      </w:r>
      <w:r>
        <w:rPr>
          <w:i/>
          <w:iCs/>
          <w:szCs w:val="24"/>
          <w:lang w:eastAsia="en-AU"/>
        </w:rPr>
        <w:t>National Partnership on COVID-19 Response</w:t>
      </w:r>
      <w:r>
        <w:rPr>
          <w:szCs w:val="24"/>
          <w:lang w:eastAsia="en-AU"/>
        </w:rPr>
        <w:t xml:space="preserve">, with an estimated $36.4 million in financial support in 2021-22. This agreement includes Commonwealth funding for: </w:t>
      </w:r>
    </w:p>
    <w:p w14:paraId="6A00EAD2" w14:textId="77777777" w:rsidR="00A60D4B" w:rsidRPr="002974C2" w:rsidRDefault="00A60D4B" w:rsidP="00A60D4B">
      <w:pPr>
        <w:pStyle w:val="Bbodytext"/>
        <w:numPr>
          <w:ilvl w:val="0"/>
          <w:numId w:val="71"/>
        </w:numPr>
        <w:ind w:left="567" w:hanging="578"/>
      </w:pPr>
      <w:r>
        <w:rPr>
          <w:szCs w:val="24"/>
          <w:lang w:eastAsia="en-AU"/>
        </w:rPr>
        <w:t xml:space="preserve">hospital services payments, with the Commonwealth contributing half of the costs incurred for the diagnosis and treatment of COVID-19 (including for services delivered to public patients in private hospitals); </w:t>
      </w:r>
    </w:p>
    <w:p w14:paraId="403D7000" w14:textId="77777777" w:rsidR="00A60D4B" w:rsidRPr="002974C2" w:rsidRDefault="00A60D4B" w:rsidP="00A60D4B">
      <w:pPr>
        <w:pStyle w:val="Bbodytext"/>
        <w:numPr>
          <w:ilvl w:val="0"/>
          <w:numId w:val="71"/>
        </w:numPr>
        <w:ind w:left="567" w:hanging="578"/>
      </w:pPr>
      <w:r>
        <w:rPr>
          <w:szCs w:val="24"/>
          <w:lang w:eastAsia="en-AU"/>
        </w:rPr>
        <w:t>public health payments, with the Commonwealth contributing half of the costs incurred for other activity undertaken by the public health system to manage the COVID</w:t>
      </w:r>
      <w:r>
        <w:rPr>
          <w:szCs w:val="24"/>
          <w:lang w:eastAsia="en-AU"/>
        </w:rPr>
        <w:noBreakHyphen/>
        <w:t xml:space="preserve">19 outbreak; and </w:t>
      </w:r>
    </w:p>
    <w:p w14:paraId="0FFE978E" w14:textId="77777777" w:rsidR="00A60D4B" w:rsidRPr="002974C2" w:rsidRDefault="00A60D4B" w:rsidP="00A60D4B">
      <w:pPr>
        <w:pStyle w:val="Bbodytext"/>
        <w:numPr>
          <w:ilvl w:val="0"/>
          <w:numId w:val="71"/>
        </w:numPr>
        <w:ind w:left="567" w:hanging="578"/>
      </w:pPr>
      <w:r>
        <w:rPr>
          <w:szCs w:val="24"/>
          <w:lang w:eastAsia="en-AU"/>
        </w:rPr>
        <w:t>funding for the COVID-19 vaccination program based on vaccination doses delivered.</w:t>
      </w:r>
    </w:p>
    <w:p w14:paraId="3508D71D" w14:textId="77777777" w:rsidR="00A60D4B" w:rsidRDefault="00A60D4B" w:rsidP="00A60D4B">
      <w:pPr>
        <w:keepNext/>
        <w:keepLines/>
        <w:rPr>
          <w:sz w:val="24"/>
          <w:szCs w:val="24"/>
          <w:lang w:eastAsia="en-AU"/>
        </w:rPr>
      </w:pPr>
      <w:r w:rsidRPr="002974C2">
        <w:rPr>
          <w:sz w:val="24"/>
          <w:szCs w:val="24"/>
          <w:lang w:eastAsia="en-AU"/>
        </w:rPr>
        <w:lastRenderedPageBreak/>
        <w:t xml:space="preserve">The Commonwealth has continued to provide additional infrastructure funding to the Territory to support economic growth and recovery, with more than $500 million being provided through </w:t>
      </w:r>
      <w:r w:rsidRPr="006C0EB8">
        <w:rPr>
          <w:sz w:val="24"/>
          <w:szCs w:val="24"/>
          <w:lang w:eastAsia="en-AU"/>
        </w:rPr>
        <w:t>National Partnership Program</w:t>
      </w:r>
      <w:r w:rsidRPr="002974C2">
        <w:rPr>
          <w:sz w:val="24"/>
          <w:szCs w:val="24"/>
          <w:lang w:eastAsia="en-AU"/>
        </w:rPr>
        <w:t xml:space="preserve"> funding over the four-year period from 2021-22 to 2024-25. This has increased significantly from the estimates included in the </w:t>
      </w:r>
      <w:r w:rsidRPr="008F7F0F">
        <w:rPr>
          <w:sz w:val="24"/>
          <w:szCs w:val="24"/>
          <w:lang w:eastAsia="en-AU"/>
        </w:rPr>
        <w:t>2020-21 Budget</w:t>
      </w:r>
      <w:r w:rsidRPr="002974C2">
        <w:rPr>
          <w:sz w:val="24"/>
          <w:szCs w:val="24"/>
          <w:lang w:eastAsia="en-AU"/>
        </w:rPr>
        <w:t xml:space="preserve"> due to new funding under the </w:t>
      </w:r>
      <w:r w:rsidRPr="002974C2">
        <w:rPr>
          <w:i/>
          <w:iCs/>
          <w:sz w:val="24"/>
          <w:szCs w:val="24"/>
          <w:lang w:eastAsia="en-AU"/>
        </w:rPr>
        <w:t>National Partnership Agreement on Land Transport Infrastructure Projects</w:t>
      </w:r>
      <w:r w:rsidRPr="002974C2">
        <w:rPr>
          <w:sz w:val="24"/>
          <w:szCs w:val="24"/>
          <w:lang w:eastAsia="en-AU"/>
        </w:rPr>
        <w:t>, including for Light Rail Stage 2A</w:t>
      </w:r>
      <w:r>
        <w:rPr>
          <w:sz w:val="24"/>
          <w:szCs w:val="24"/>
          <w:lang w:eastAsia="en-AU"/>
        </w:rPr>
        <w:t xml:space="preserve"> (</w:t>
      </w:r>
      <w:r w:rsidRPr="002974C2">
        <w:rPr>
          <w:sz w:val="24"/>
          <w:szCs w:val="24"/>
          <w:lang w:eastAsia="en-AU"/>
        </w:rPr>
        <w:t>$132.5 million</w:t>
      </w:r>
      <w:r>
        <w:rPr>
          <w:sz w:val="24"/>
          <w:szCs w:val="24"/>
          <w:lang w:eastAsia="en-AU"/>
        </w:rPr>
        <w:t>),</w:t>
      </w:r>
      <w:r w:rsidRPr="002974C2">
        <w:rPr>
          <w:sz w:val="24"/>
          <w:szCs w:val="24"/>
          <w:lang w:eastAsia="en-AU"/>
        </w:rPr>
        <w:t xml:space="preserve"> the duplication of William Hovell Drive</w:t>
      </w:r>
      <w:r>
        <w:rPr>
          <w:sz w:val="24"/>
          <w:szCs w:val="24"/>
          <w:lang w:eastAsia="en-AU"/>
        </w:rPr>
        <w:t xml:space="preserve"> (</w:t>
      </w:r>
      <w:r w:rsidRPr="002974C2">
        <w:rPr>
          <w:sz w:val="24"/>
          <w:szCs w:val="24"/>
          <w:lang w:eastAsia="en-AU"/>
        </w:rPr>
        <w:t>$26.5</w:t>
      </w:r>
      <w:r>
        <w:rPr>
          <w:sz w:val="24"/>
          <w:szCs w:val="24"/>
          <w:lang w:eastAsia="en-AU"/>
        </w:rPr>
        <w:t> </w:t>
      </w:r>
      <w:r w:rsidRPr="002974C2">
        <w:rPr>
          <w:sz w:val="24"/>
          <w:szCs w:val="24"/>
          <w:lang w:eastAsia="en-AU"/>
        </w:rPr>
        <w:t>million</w:t>
      </w:r>
      <w:r>
        <w:rPr>
          <w:sz w:val="24"/>
          <w:szCs w:val="24"/>
          <w:lang w:eastAsia="en-AU"/>
        </w:rPr>
        <w:t>)</w:t>
      </w:r>
      <w:r w:rsidRPr="002974C2">
        <w:rPr>
          <w:sz w:val="24"/>
          <w:szCs w:val="24"/>
          <w:lang w:eastAsia="en-AU"/>
        </w:rPr>
        <w:t xml:space="preserve"> </w:t>
      </w:r>
      <w:r>
        <w:rPr>
          <w:sz w:val="24"/>
          <w:szCs w:val="24"/>
          <w:lang w:eastAsia="en-AU"/>
        </w:rPr>
        <w:t>and</w:t>
      </w:r>
      <w:r w:rsidRPr="002974C2">
        <w:rPr>
          <w:sz w:val="24"/>
          <w:szCs w:val="24"/>
          <w:lang w:eastAsia="en-AU"/>
        </w:rPr>
        <w:t xml:space="preserve"> the third phase of the </w:t>
      </w:r>
      <w:r w:rsidRPr="002974C2">
        <w:rPr>
          <w:i/>
          <w:iCs/>
          <w:sz w:val="24"/>
          <w:szCs w:val="24"/>
          <w:lang w:eastAsia="en-AU"/>
        </w:rPr>
        <w:t>Local Roads and Community Infrastructure Program</w:t>
      </w:r>
      <w:r>
        <w:rPr>
          <w:sz w:val="24"/>
          <w:szCs w:val="24"/>
          <w:lang w:eastAsia="en-AU"/>
        </w:rPr>
        <w:t xml:space="preserve"> (</w:t>
      </w:r>
      <w:r w:rsidRPr="002974C2">
        <w:rPr>
          <w:sz w:val="24"/>
          <w:szCs w:val="24"/>
          <w:lang w:eastAsia="en-AU"/>
        </w:rPr>
        <w:t>$16 million</w:t>
      </w:r>
      <w:r>
        <w:rPr>
          <w:sz w:val="24"/>
          <w:szCs w:val="24"/>
          <w:lang w:eastAsia="en-AU"/>
        </w:rPr>
        <w:t>)</w:t>
      </w:r>
      <w:r w:rsidRPr="002974C2">
        <w:rPr>
          <w:sz w:val="24"/>
          <w:szCs w:val="24"/>
          <w:lang w:eastAsia="en-AU"/>
        </w:rPr>
        <w:t>.  </w:t>
      </w:r>
    </w:p>
    <w:p w14:paraId="2F3133AD" w14:textId="77777777" w:rsidR="00A60D4B" w:rsidRPr="002974C2" w:rsidRDefault="00A60D4B" w:rsidP="00A60D4B">
      <w:pPr>
        <w:rPr>
          <w:sz w:val="24"/>
          <w:szCs w:val="24"/>
          <w:lang w:eastAsia="en-AU"/>
        </w:rPr>
      </w:pPr>
      <w:r>
        <w:rPr>
          <w:sz w:val="24"/>
          <w:szCs w:val="24"/>
          <w:lang w:eastAsia="en-AU"/>
        </w:rPr>
        <w:t>In addition, t</w:t>
      </w:r>
      <w:r w:rsidRPr="002974C2">
        <w:rPr>
          <w:sz w:val="24"/>
          <w:szCs w:val="24"/>
          <w:lang w:eastAsia="en-AU"/>
        </w:rPr>
        <w:t xml:space="preserve">he Commonwealth is continuing to provide funding for existing major projects, such as: the upgrade of the Monaro Highway ($112.4 million); construction of the John Gorton Drive Bridge ($87.5 million from 2021-22 to 2024-25); and upgrades to the </w:t>
      </w:r>
      <w:r>
        <w:rPr>
          <w:sz w:val="24"/>
          <w:szCs w:val="24"/>
          <w:lang w:eastAsia="en-AU"/>
        </w:rPr>
        <w:t>s</w:t>
      </w:r>
      <w:r w:rsidRPr="002974C2">
        <w:rPr>
          <w:sz w:val="24"/>
          <w:szCs w:val="24"/>
          <w:lang w:eastAsia="en-AU"/>
        </w:rPr>
        <w:t>outh</w:t>
      </w:r>
      <w:r>
        <w:rPr>
          <w:sz w:val="24"/>
          <w:szCs w:val="24"/>
          <w:lang w:eastAsia="en-AU"/>
        </w:rPr>
        <w:noBreakHyphen/>
      </w:r>
      <w:r w:rsidRPr="002974C2">
        <w:rPr>
          <w:sz w:val="24"/>
          <w:szCs w:val="24"/>
          <w:lang w:eastAsia="en-AU"/>
        </w:rPr>
        <w:t xml:space="preserve">west </w:t>
      </w:r>
      <w:r>
        <w:rPr>
          <w:sz w:val="24"/>
          <w:szCs w:val="24"/>
          <w:lang w:eastAsia="en-AU"/>
        </w:rPr>
        <w:t>c</w:t>
      </w:r>
      <w:r w:rsidRPr="002974C2">
        <w:rPr>
          <w:sz w:val="24"/>
          <w:szCs w:val="24"/>
          <w:lang w:eastAsia="en-AU"/>
        </w:rPr>
        <w:t>orridor ($50 million).</w:t>
      </w:r>
    </w:p>
    <w:p w14:paraId="0D9839E9" w14:textId="77777777" w:rsidR="00A60D4B" w:rsidRPr="002C224F" w:rsidRDefault="00A60D4B" w:rsidP="00A60D4B">
      <w:pPr>
        <w:pStyle w:val="Bbodytext"/>
      </w:pPr>
      <w:r>
        <w:t>There is also a focus on how both tiers of government can collaborate to support employment and economic growth as health restrictions begin to ease. The Commonwealth and all states and territories are working together to identify and address near-term skills shortages in the labour market. Similarly, both tiers of government are collaborating to develop longer-term population and migration strategies that will promote economic growth and stability as Australia emerges from the pandemic and international borders begin to re-open.</w:t>
      </w:r>
    </w:p>
    <w:p w14:paraId="23F24CC1" w14:textId="77777777" w:rsidR="00A60D4B" w:rsidRDefault="00A60D4B" w:rsidP="00A60D4B">
      <w:pPr>
        <w:pStyle w:val="Bbodytext"/>
      </w:pPr>
      <w:r>
        <w:t>In 2021</w:t>
      </w:r>
      <w:r>
        <w:noBreakHyphen/>
        <w:t xml:space="preserve">22, the ACT is expected to receive $2.8 billion in Australian Government payments – an increase of $269 million from 2020-21, of which </w:t>
      </w:r>
      <w:r w:rsidRPr="002974C2">
        <w:t xml:space="preserve">more than </w:t>
      </w:r>
      <w:r w:rsidRPr="007462D1">
        <w:t>$</w:t>
      </w:r>
      <w:r w:rsidRPr="002974C2">
        <w:t>2</w:t>
      </w:r>
      <w:r>
        <w:t xml:space="preserve">45 million is the result of direct support from the </w:t>
      </w:r>
      <w:r w:rsidRPr="002974C2">
        <w:t>Commonwealth</w:t>
      </w:r>
      <w:r>
        <w:t xml:space="preserve"> in relation to COVID-19</w:t>
      </w:r>
      <w:r w:rsidDel="00BE254D">
        <w:t>.</w:t>
      </w:r>
      <w:r>
        <w:t xml:space="preserve"> </w:t>
      </w:r>
    </w:p>
    <w:p w14:paraId="217748EE" w14:textId="77777777" w:rsidR="00A60D4B" w:rsidRDefault="00A60D4B" w:rsidP="00A60D4B">
      <w:pPr>
        <w:pStyle w:val="Bbodytext"/>
      </w:pPr>
      <w:r w:rsidRPr="00190B40">
        <w:rPr>
          <w:szCs w:val="24"/>
        </w:rPr>
        <w:t>Around</w:t>
      </w:r>
      <w:r>
        <w:rPr>
          <w:szCs w:val="24"/>
        </w:rPr>
        <w:t xml:space="preserve"> $1.3 billion of this revenue in 2021-22 is accounted for by </w:t>
      </w:r>
      <w:r>
        <w:t>s</w:t>
      </w:r>
      <w:r w:rsidRPr="005C2CCE">
        <w:t>pecific purpose</w:t>
      </w:r>
      <w:r>
        <w:t>,</w:t>
      </w:r>
      <w:r w:rsidRPr="005C2CCE">
        <w:t xml:space="preserve"> national partnership agreement</w:t>
      </w:r>
      <w:r>
        <w:t>s and other payments. The largest proportion of these payments relate to health and education, followed by infrastructure,</w:t>
      </w:r>
      <w:r w:rsidDel="0066248B">
        <w:t xml:space="preserve"> </w:t>
      </w:r>
      <w:r>
        <w:t xml:space="preserve">affordable housing, and skills payments. </w:t>
      </w:r>
    </w:p>
    <w:p w14:paraId="78358A81" w14:textId="77777777" w:rsidR="00A60D4B" w:rsidRPr="002C224F" w:rsidRDefault="00A60D4B" w:rsidP="00A60D4B">
      <w:pPr>
        <w:pStyle w:val="Bbodytext"/>
      </w:pPr>
      <w:r>
        <w:t>Looking forward, s</w:t>
      </w:r>
      <w:r w:rsidRPr="005C2CCE">
        <w:t>pecific purpose and national partnership agreement</w:t>
      </w:r>
      <w:r>
        <w:t xml:space="preserve"> payments are expected to be $5.1 billion o</w:t>
      </w:r>
      <w:r w:rsidRPr="00B91FD8">
        <w:t xml:space="preserve">ver the </w:t>
      </w:r>
      <w:r>
        <w:t xml:space="preserve">four </w:t>
      </w:r>
      <w:r w:rsidRPr="00B91FD8">
        <w:t xml:space="preserve">years </w:t>
      </w:r>
      <w:r>
        <w:t>2021</w:t>
      </w:r>
      <w:r>
        <w:noBreakHyphen/>
        <w:t xml:space="preserve">22 </w:t>
      </w:r>
      <w:r w:rsidRPr="00B91FD8">
        <w:t xml:space="preserve">to </w:t>
      </w:r>
      <w:r>
        <w:t>2024</w:t>
      </w:r>
      <w:r>
        <w:noBreakHyphen/>
        <w:t xml:space="preserve">25. Compared to the </w:t>
      </w:r>
      <w:r w:rsidRPr="008F7F0F">
        <w:t>2020</w:t>
      </w:r>
      <w:r>
        <w:noBreakHyphen/>
      </w:r>
      <w:r w:rsidRPr="008F7F0F">
        <w:t>21 Budget</w:t>
      </w:r>
      <w:r>
        <w:rPr>
          <w:i/>
          <w:iCs/>
        </w:rPr>
        <w:t xml:space="preserve">, </w:t>
      </w:r>
      <w:r>
        <w:t>Commonwealth</w:t>
      </w:r>
      <w:r w:rsidRPr="00972596">
        <w:t xml:space="preserve"> payments </w:t>
      </w:r>
      <w:r>
        <w:t>for s</w:t>
      </w:r>
      <w:r w:rsidRPr="005C2CCE">
        <w:t>pecific purpose and national partnership agreement</w:t>
      </w:r>
      <w:r>
        <w:t>s are estimated to be</w:t>
      </w:r>
      <w:r w:rsidRPr="005C2CCE">
        <w:t xml:space="preserve"> $</w:t>
      </w:r>
      <w:r>
        <w:t>373 </w:t>
      </w:r>
      <w:r w:rsidRPr="005C2CCE">
        <w:t>million</w:t>
      </w:r>
      <w:r>
        <w:t xml:space="preserve"> higher over the period 2020-21 to 2023-24. </w:t>
      </w:r>
      <w:r w:rsidRPr="00187B7F">
        <w:t xml:space="preserve">In total, </w:t>
      </w:r>
      <w:r w:rsidRPr="002974C2">
        <w:t xml:space="preserve">more than </w:t>
      </w:r>
      <w:r w:rsidRPr="007462D1">
        <w:t>$</w:t>
      </w:r>
      <w:r w:rsidRPr="002974C2">
        <w:t>2</w:t>
      </w:r>
      <w:r>
        <w:t>70 million of the increase in s</w:t>
      </w:r>
      <w:r w:rsidRPr="005C2CCE">
        <w:t>pecific purpose and national partnership agreement</w:t>
      </w:r>
      <w:r>
        <w:t xml:space="preserve"> payments the ACT is expected to receive over the budget and forward estimates years </w:t>
      </w:r>
      <w:r w:rsidRPr="00187B7F">
        <w:t>are</w:t>
      </w:r>
      <w:r>
        <w:t xml:space="preserve"> attributable to </w:t>
      </w:r>
      <w:r w:rsidRPr="00187B7F">
        <w:t>direct</w:t>
      </w:r>
      <w:r>
        <w:t xml:space="preserve"> support from the </w:t>
      </w:r>
      <w:r w:rsidRPr="00187B7F">
        <w:t>Commonwealth</w:t>
      </w:r>
      <w:r>
        <w:t xml:space="preserve"> in relation to COVID-19.</w:t>
      </w:r>
    </w:p>
    <w:p w14:paraId="390F71F9" w14:textId="77777777" w:rsidR="00A60D4B" w:rsidRDefault="00A60D4B" w:rsidP="00A60D4B">
      <w:pPr>
        <w:pStyle w:val="Bbodytext"/>
      </w:pPr>
      <w:r>
        <w:t xml:space="preserve">In 2021-22, the remaining $1.4 billion in Commonwealth payments to the ACT are accounted for by GST revenue, which increased modestly from the </w:t>
      </w:r>
      <w:r>
        <w:rPr>
          <w:szCs w:val="24"/>
        </w:rPr>
        <w:t xml:space="preserve">interim outcome for 2020-21 of </w:t>
      </w:r>
      <w:r w:rsidRPr="0015464E">
        <w:rPr>
          <w:szCs w:val="24"/>
        </w:rPr>
        <w:t>$</w:t>
      </w:r>
      <w:r>
        <w:rPr>
          <w:szCs w:val="24"/>
        </w:rPr>
        <w:t>1.3</w:t>
      </w:r>
      <w:r w:rsidRPr="0015464E">
        <w:rPr>
          <w:szCs w:val="24"/>
        </w:rPr>
        <w:t> billion</w:t>
      </w:r>
      <w:r>
        <w:rPr>
          <w:szCs w:val="24"/>
        </w:rPr>
        <w:t xml:space="preserve">. </w:t>
      </w:r>
      <w:r>
        <w:t>GST revenues in the ACT are expected to be $5.8 billion o</w:t>
      </w:r>
      <w:r w:rsidRPr="00B91FD8">
        <w:t xml:space="preserve">ver the </w:t>
      </w:r>
      <w:r>
        <w:t xml:space="preserve">four </w:t>
      </w:r>
      <w:r w:rsidRPr="00B91FD8">
        <w:t xml:space="preserve">years </w:t>
      </w:r>
      <w:r>
        <w:t>2021</w:t>
      </w:r>
      <w:r>
        <w:noBreakHyphen/>
        <w:t xml:space="preserve">22 </w:t>
      </w:r>
      <w:r w:rsidRPr="00B91FD8">
        <w:t xml:space="preserve">to </w:t>
      </w:r>
      <w:r>
        <w:t>2024</w:t>
      </w:r>
      <w:r>
        <w:noBreakHyphen/>
        <w:t xml:space="preserve">25. </w:t>
      </w:r>
      <w:r w:rsidRPr="00CB5678">
        <w:rPr>
          <w:szCs w:val="24"/>
        </w:rPr>
        <w:t xml:space="preserve">Relative to the </w:t>
      </w:r>
      <w:r w:rsidRPr="008F7F0F">
        <w:rPr>
          <w:szCs w:val="24"/>
        </w:rPr>
        <w:t>2020-21 Budget</w:t>
      </w:r>
      <w:r w:rsidRPr="00CB5678">
        <w:rPr>
          <w:szCs w:val="24"/>
        </w:rPr>
        <w:t>, GST revenue is expected to be $</w:t>
      </w:r>
      <w:r>
        <w:rPr>
          <w:szCs w:val="24"/>
        </w:rPr>
        <w:t xml:space="preserve">67 million higher in 2021-22 and </w:t>
      </w:r>
      <w:r w:rsidRPr="00CB5678">
        <w:rPr>
          <w:szCs w:val="24"/>
        </w:rPr>
        <w:t>$231 million higher</w:t>
      </w:r>
      <w:r w:rsidRPr="00F80C2A">
        <w:rPr>
          <w:szCs w:val="24"/>
        </w:rPr>
        <w:t xml:space="preserve"> </w:t>
      </w:r>
      <w:r>
        <w:rPr>
          <w:szCs w:val="24"/>
        </w:rPr>
        <w:t>over the four years 2020-21 to 2023</w:t>
      </w:r>
      <w:r>
        <w:rPr>
          <w:szCs w:val="24"/>
        </w:rPr>
        <w:noBreakHyphen/>
        <w:t>24</w:t>
      </w:r>
      <w:r w:rsidRPr="00F80C2A">
        <w:rPr>
          <w:szCs w:val="24"/>
        </w:rPr>
        <w:t>.</w:t>
      </w:r>
    </w:p>
    <w:p w14:paraId="209421B8" w14:textId="77777777" w:rsidR="00A60D4B" w:rsidRDefault="00A60D4B" w:rsidP="00A60D4B">
      <w:pPr>
        <w:pStyle w:val="Bbodytext"/>
        <w:keepNext/>
        <w:keepLines/>
      </w:pPr>
      <w:r>
        <w:lastRenderedPageBreak/>
        <w:t>The key risk to revenues the ACT receives from the Commonwealth remains the impact of COVID-19 on GST collections, both in the short term as a result of Delta lockdowns, and in the medium term as a result of constraints on population growth as it takes time for overseas migration to return.</w:t>
      </w:r>
    </w:p>
    <w:p w14:paraId="6DDE5586" w14:textId="77777777" w:rsidR="00A60D4B" w:rsidRDefault="00A60D4B" w:rsidP="00A60D4B">
      <w:pPr>
        <w:pStyle w:val="Heading4"/>
      </w:pPr>
      <w:bookmarkStart w:id="108" w:name="_Hlk79499249"/>
      <w:r w:rsidRPr="00753560">
        <w:t xml:space="preserve">Key features of </w:t>
      </w:r>
      <w:r>
        <w:t>F</w:t>
      </w:r>
      <w:r w:rsidRPr="00753560">
        <w:t xml:space="preserve">ederal </w:t>
      </w:r>
      <w:r>
        <w:t>F</w:t>
      </w:r>
      <w:r w:rsidRPr="00753560">
        <w:t xml:space="preserve">inancial </w:t>
      </w:r>
      <w:r>
        <w:t>R</w:t>
      </w:r>
      <w:r w:rsidRPr="00753560">
        <w:t>elations</w:t>
      </w:r>
    </w:p>
    <w:p w14:paraId="0583F30A" w14:textId="77777777" w:rsidR="00A60D4B" w:rsidRDefault="00A60D4B" w:rsidP="00A60D4B">
      <w:pPr>
        <w:pStyle w:val="Bbodytext"/>
      </w:pPr>
      <w:r w:rsidRPr="00B91FD8">
        <w:t xml:space="preserve">The </w:t>
      </w:r>
      <w:r w:rsidRPr="00B91FD8">
        <w:rPr>
          <w:i/>
        </w:rPr>
        <w:t>Intergovernmental Agreement on Federal Financial Relations</w:t>
      </w:r>
      <w:r w:rsidRPr="00B91FD8">
        <w:t xml:space="preserve"> provides the overarching framework for the financial relationship between the Commonwealth and the states and territories and is overseen by the </w:t>
      </w:r>
      <w:r>
        <w:t>Council on Federal Financial Relations (CFFR)</w:t>
      </w:r>
      <w:r w:rsidRPr="00B91FD8">
        <w:t xml:space="preserve">. </w:t>
      </w:r>
      <w:r>
        <w:t>Membership of CFFR comprises the Commonwealth Treasurer (permanent Chair) and the Treasurers of each State and Territory.</w:t>
      </w:r>
    </w:p>
    <w:p w14:paraId="320F75C4" w14:textId="77777777" w:rsidR="00A60D4B" w:rsidRPr="000A0F77" w:rsidRDefault="00A60D4B" w:rsidP="00A60D4B">
      <w:pPr>
        <w:pStyle w:val="Bbodytext"/>
        <w:rPr>
          <w:color w:val="000000" w:themeColor="text1"/>
        </w:rPr>
      </w:pPr>
      <w:r>
        <w:t xml:space="preserve">In addition to the key focus on the economic and financial impacts of COVID-19, CFFR and the state and territories-only equivalent, the Board of Treasurers, have led significant reforms over the course of 2020-21. </w:t>
      </w:r>
      <w:r w:rsidRPr="000A0F77">
        <w:rPr>
          <w:color w:val="000000" w:themeColor="text1"/>
        </w:rPr>
        <w:t>For CFFR, reforms have included:</w:t>
      </w:r>
    </w:p>
    <w:p w14:paraId="16259D59" w14:textId="77777777" w:rsidR="00A60D4B" w:rsidRPr="000A0F77" w:rsidRDefault="00A60D4B" w:rsidP="00A60D4B">
      <w:pPr>
        <w:pStyle w:val="Bbodytext"/>
        <w:numPr>
          <w:ilvl w:val="0"/>
          <w:numId w:val="69"/>
        </w:numPr>
        <w:ind w:left="567" w:hanging="567"/>
        <w:rPr>
          <w:color w:val="000000" w:themeColor="text1"/>
        </w:rPr>
      </w:pPr>
      <w:r w:rsidRPr="000A0F77">
        <w:rPr>
          <w:color w:val="000000" w:themeColor="text1"/>
        </w:rPr>
        <w:t>the Intergovernmental Agreement on Automatic Mutual Recognition of Occupational Registrations;</w:t>
      </w:r>
    </w:p>
    <w:p w14:paraId="3C121B33" w14:textId="77777777" w:rsidR="00A60D4B" w:rsidRPr="000A0F77" w:rsidRDefault="00A60D4B" w:rsidP="00A60D4B">
      <w:pPr>
        <w:pStyle w:val="Bbodytext"/>
        <w:numPr>
          <w:ilvl w:val="0"/>
          <w:numId w:val="69"/>
        </w:numPr>
        <w:ind w:left="567" w:hanging="567"/>
        <w:rPr>
          <w:color w:val="000000" w:themeColor="text1"/>
        </w:rPr>
      </w:pPr>
      <w:r>
        <w:rPr>
          <w:color w:val="000000" w:themeColor="text1"/>
        </w:rPr>
        <w:t>m</w:t>
      </w:r>
      <w:r w:rsidRPr="000A0F77">
        <w:rPr>
          <w:color w:val="000000" w:themeColor="text1"/>
        </w:rPr>
        <w:t>odernising business communications and document execution, which aims to reduce costs and delays for businesses and individuals; and</w:t>
      </w:r>
    </w:p>
    <w:p w14:paraId="1DAA5264" w14:textId="77777777" w:rsidR="00A60D4B" w:rsidRPr="000A0F77" w:rsidRDefault="00A60D4B" w:rsidP="00A60D4B">
      <w:pPr>
        <w:pStyle w:val="Bbodytext"/>
        <w:numPr>
          <w:ilvl w:val="0"/>
          <w:numId w:val="69"/>
        </w:numPr>
        <w:ind w:left="567" w:hanging="567"/>
        <w:rPr>
          <w:color w:val="000000" w:themeColor="text1"/>
        </w:rPr>
      </w:pPr>
      <w:r>
        <w:rPr>
          <w:color w:val="000000" w:themeColor="text1"/>
        </w:rPr>
        <w:t>h</w:t>
      </w:r>
      <w:r w:rsidRPr="000A0F77">
        <w:rPr>
          <w:color w:val="000000" w:themeColor="text1"/>
        </w:rPr>
        <w:t>igher thresholds for charity financial reporting, which aims to reduce the reporting burden for many small charities with limited resources.</w:t>
      </w:r>
    </w:p>
    <w:p w14:paraId="2A277828" w14:textId="77777777" w:rsidR="00A60D4B" w:rsidRPr="000A0F77" w:rsidRDefault="00A60D4B" w:rsidP="00A60D4B">
      <w:pPr>
        <w:pStyle w:val="Bbodytext"/>
        <w:rPr>
          <w:color w:val="000000" w:themeColor="text1"/>
        </w:rPr>
      </w:pPr>
      <w:r>
        <w:t>The Board of Treasurers</w:t>
      </w:r>
      <w:r w:rsidRPr="00565972">
        <w:t xml:space="preserve"> </w:t>
      </w:r>
      <w:r w:rsidRPr="000A0F77">
        <w:rPr>
          <w:color w:val="000000" w:themeColor="text1"/>
        </w:rPr>
        <w:t xml:space="preserve">has </w:t>
      </w:r>
      <w:r>
        <w:rPr>
          <w:color w:val="000000" w:themeColor="text1"/>
        </w:rPr>
        <w:t>taken a proactive role in the</w:t>
      </w:r>
      <w:r w:rsidRPr="000A0F77">
        <w:rPr>
          <w:color w:val="000000" w:themeColor="text1"/>
        </w:rPr>
        <w:t xml:space="preserve"> negotiation of intergovernmental funding agreements</w:t>
      </w:r>
      <w:r>
        <w:rPr>
          <w:color w:val="000000" w:themeColor="text1"/>
        </w:rPr>
        <w:t xml:space="preserve"> to ensure that the principles of the </w:t>
      </w:r>
      <w:r w:rsidRPr="007D4607">
        <w:rPr>
          <w:i/>
          <w:iCs/>
          <w:color w:val="000000" w:themeColor="text1"/>
        </w:rPr>
        <w:t>Intergovernmental Agreement on Federal Financial Relations</w:t>
      </w:r>
      <w:r>
        <w:rPr>
          <w:color w:val="000000" w:themeColor="text1"/>
        </w:rPr>
        <w:t xml:space="preserve"> are maintained. These principles ensure that the service delivery by states and territories is adequately funded and that management of service delivery remains largely in the control of the level of government closest to the recipients of the services. Significant achievements include</w:t>
      </w:r>
      <w:r w:rsidRPr="000A0F77">
        <w:rPr>
          <w:color w:val="000000" w:themeColor="text1"/>
        </w:rPr>
        <w:t>:</w:t>
      </w:r>
    </w:p>
    <w:p w14:paraId="4739685A" w14:textId="77777777" w:rsidR="00A60D4B" w:rsidRPr="000A0F77" w:rsidRDefault="00A60D4B" w:rsidP="00A60D4B">
      <w:pPr>
        <w:pStyle w:val="Bbodytext"/>
        <w:numPr>
          <w:ilvl w:val="0"/>
          <w:numId w:val="70"/>
        </w:numPr>
        <w:ind w:left="567" w:hanging="567"/>
        <w:rPr>
          <w:rStyle w:val="Calibri12"/>
          <w:color w:val="000000" w:themeColor="text1"/>
        </w:rPr>
      </w:pPr>
      <w:r>
        <w:rPr>
          <w:rStyle w:val="Calibri12"/>
          <w:color w:val="000000" w:themeColor="text1"/>
        </w:rPr>
        <w:t xml:space="preserve">collaborating with the Commonwealth on the National Partnership on </w:t>
      </w:r>
      <w:r w:rsidRPr="000A0F77">
        <w:rPr>
          <w:rStyle w:val="Calibri12"/>
          <w:color w:val="000000" w:themeColor="text1"/>
        </w:rPr>
        <w:t>COVID-19</w:t>
      </w:r>
      <w:r>
        <w:rPr>
          <w:rStyle w:val="Calibri12"/>
          <w:color w:val="000000" w:themeColor="text1"/>
        </w:rPr>
        <w:t xml:space="preserve"> Response</w:t>
      </w:r>
      <w:r w:rsidRPr="000A0F77">
        <w:rPr>
          <w:rStyle w:val="Calibri12"/>
          <w:color w:val="000000" w:themeColor="text1"/>
        </w:rPr>
        <w:t xml:space="preserve">; and </w:t>
      </w:r>
    </w:p>
    <w:p w14:paraId="00652C07" w14:textId="77777777" w:rsidR="00A60D4B" w:rsidRPr="000A0F77" w:rsidRDefault="00A60D4B" w:rsidP="00A60D4B">
      <w:pPr>
        <w:pStyle w:val="Bbodytext"/>
        <w:numPr>
          <w:ilvl w:val="0"/>
          <w:numId w:val="70"/>
        </w:numPr>
        <w:ind w:left="567" w:hanging="567"/>
        <w:rPr>
          <w:rStyle w:val="Calibri12"/>
          <w:color w:val="000000" w:themeColor="text1"/>
        </w:rPr>
      </w:pPr>
      <w:r>
        <w:rPr>
          <w:rStyle w:val="Calibri12"/>
          <w:color w:val="000000" w:themeColor="text1"/>
        </w:rPr>
        <w:t xml:space="preserve">supporting portfolio agencies across Australia in ensuring that the </w:t>
      </w:r>
      <w:r w:rsidRPr="000A0F77">
        <w:rPr>
          <w:rStyle w:val="Calibri12"/>
          <w:color w:val="000000" w:themeColor="text1"/>
        </w:rPr>
        <w:t>National Skills Agreement</w:t>
      </w:r>
      <w:r>
        <w:rPr>
          <w:rStyle w:val="Calibri12"/>
          <w:color w:val="000000" w:themeColor="text1"/>
        </w:rPr>
        <w:t xml:space="preserve"> is appropriate to the needs of the sector and students</w:t>
      </w:r>
      <w:r w:rsidRPr="000A0F77">
        <w:rPr>
          <w:rStyle w:val="Calibri12"/>
          <w:color w:val="000000" w:themeColor="text1"/>
        </w:rPr>
        <w:t>.</w:t>
      </w:r>
    </w:p>
    <w:p w14:paraId="4456A82A" w14:textId="77777777" w:rsidR="00A60D4B" w:rsidRDefault="00A60D4B" w:rsidP="00A60D4B">
      <w:pPr>
        <w:pStyle w:val="Bbodytext"/>
        <w:rPr>
          <w:rStyle w:val="Calibri12"/>
          <w:color w:val="000000" w:themeColor="text1"/>
        </w:rPr>
      </w:pPr>
      <w:r w:rsidRPr="000A0F77">
        <w:rPr>
          <w:rStyle w:val="Calibri12"/>
          <w:color w:val="000000" w:themeColor="text1"/>
        </w:rPr>
        <w:t>As part of the</w:t>
      </w:r>
      <w:r>
        <w:t xml:space="preserve"> Board of Treasurers</w:t>
      </w:r>
      <w:r w:rsidRPr="000A0F77">
        <w:rPr>
          <w:rStyle w:val="Calibri12"/>
          <w:color w:val="000000" w:themeColor="text1"/>
        </w:rPr>
        <w:t xml:space="preserve"> Terms of Reference, a review of the objectives, function and organisation of the </w:t>
      </w:r>
      <w:r>
        <w:rPr>
          <w:rStyle w:val="Calibri12"/>
          <w:color w:val="000000" w:themeColor="text1"/>
        </w:rPr>
        <w:t>Board</w:t>
      </w:r>
      <w:r w:rsidRPr="000A0F77">
        <w:rPr>
          <w:rStyle w:val="Calibri12"/>
          <w:color w:val="000000" w:themeColor="text1"/>
        </w:rPr>
        <w:t xml:space="preserve"> </w:t>
      </w:r>
      <w:r>
        <w:rPr>
          <w:rStyle w:val="Calibri12"/>
          <w:color w:val="000000" w:themeColor="text1"/>
        </w:rPr>
        <w:t>was undertaken in 2021</w:t>
      </w:r>
      <w:r w:rsidRPr="000A0F77">
        <w:rPr>
          <w:rStyle w:val="Calibri12"/>
          <w:color w:val="000000" w:themeColor="text1"/>
        </w:rPr>
        <w:t xml:space="preserve">. </w:t>
      </w:r>
      <w:r>
        <w:rPr>
          <w:rStyle w:val="Calibri12"/>
          <w:color w:val="000000" w:themeColor="text1"/>
        </w:rPr>
        <w:t>The findings of this review are now being considered and a</w:t>
      </w:r>
      <w:r w:rsidRPr="000A0F77">
        <w:rPr>
          <w:rStyle w:val="Calibri12"/>
          <w:color w:val="000000" w:themeColor="text1"/>
        </w:rPr>
        <w:t>n outline of th</w:t>
      </w:r>
      <w:r>
        <w:rPr>
          <w:rStyle w:val="Calibri12"/>
          <w:color w:val="000000" w:themeColor="text1"/>
        </w:rPr>
        <w:t>os</w:t>
      </w:r>
      <w:r w:rsidRPr="000A0F77">
        <w:rPr>
          <w:rStyle w:val="Calibri12"/>
          <w:color w:val="000000" w:themeColor="text1"/>
        </w:rPr>
        <w:t xml:space="preserve">e findings </w:t>
      </w:r>
      <w:r>
        <w:rPr>
          <w:rStyle w:val="Calibri12"/>
          <w:color w:val="000000" w:themeColor="text1"/>
        </w:rPr>
        <w:t>and responses to them,</w:t>
      </w:r>
      <w:r w:rsidRPr="000A0F77">
        <w:rPr>
          <w:rStyle w:val="Calibri12"/>
          <w:color w:val="000000" w:themeColor="text1"/>
        </w:rPr>
        <w:t xml:space="preserve"> as well as</w:t>
      </w:r>
      <w:r>
        <w:rPr>
          <w:rStyle w:val="Calibri12"/>
          <w:color w:val="000000" w:themeColor="text1"/>
        </w:rPr>
        <w:t xml:space="preserve"> new</w:t>
      </w:r>
      <w:r w:rsidRPr="000A0F77">
        <w:rPr>
          <w:rStyle w:val="Calibri12"/>
          <w:color w:val="000000" w:themeColor="text1"/>
        </w:rPr>
        <w:t xml:space="preserve"> activities in 2022 </w:t>
      </w:r>
      <w:r>
        <w:rPr>
          <w:rStyle w:val="Calibri12"/>
          <w:color w:val="000000" w:themeColor="text1"/>
        </w:rPr>
        <w:t>will</w:t>
      </w:r>
      <w:r w:rsidRPr="000A0F77">
        <w:rPr>
          <w:rStyle w:val="Calibri12"/>
          <w:color w:val="000000" w:themeColor="text1"/>
        </w:rPr>
        <w:t xml:space="preserve"> be included in the </w:t>
      </w:r>
      <w:r w:rsidRPr="008F7F0F">
        <w:rPr>
          <w:rStyle w:val="Calibri12"/>
          <w:color w:val="000000" w:themeColor="text1"/>
        </w:rPr>
        <w:t>2022-23 Budget</w:t>
      </w:r>
      <w:r w:rsidRPr="000A0F77">
        <w:rPr>
          <w:rStyle w:val="Calibri12"/>
          <w:color w:val="000000" w:themeColor="text1"/>
        </w:rPr>
        <w:t xml:space="preserve">. The ACT </w:t>
      </w:r>
      <w:r>
        <w:rPr>
          <w:rStyle w:val="Calibri12"/>
          <w:color w:val="000000" w:themeColor="text1"/>
        </w:rPr>
        <w:t xml:space="preserve">Treasurer </w:t>
      </w:r>
      <w:r w:rsidRPr="000A0F77">
        <w:rPr>
          <w:rStyle w:val="Calibri12"/>
          <w:color w:val="000000" w:themeColor="text1"/>
        </w:rPr>
        <w:t>will assume the role of</w:t>
      </w:r>
      <w:r>
        <w:rPr>
          <w:rStyle w:val="Calibri12"/>
          <w:color w:val="000000" w:themeColor="text1"/>
        </w:rPr>
        <w:t xml:space="preserve"> Chair of the</w:t>
      </w:r>
      <w:r w:rsidRPr="000A0F77">
        <w:rPr>
          <w:rStyle w:val="Calibri12"/>
          <w:color w:val="000000" w:themeColor="text1"/>
        </w:rPr>
        <w:t xml:space="preserve"> B</w:t>
      </w:r>
      <w:r>
        <w:rPr>
          <w:rStyle w:val="Calibri12"/>
          <w:color w:val="000000" w:themeColor="text1"/>
        </w:rPr>
        <w:t xml:space="preserve">oard of Treasurers </w:t>
      </w:r>
      <w:r w:rsidRPr="000A0F77">
        <w:rPr>
          <w:rStyle w:val="Calibri12"/>
          <w:color w:val="000000" w:themeColor="text1"/>
        </w:rPr>
        <w:t>in 2022</w:t>
      </w:r>
      <w:r>
        <w:rPr>
          <w:rStyle w:val="Calibri12"/>
          <w:color w:val="000000" w:themeColor="text1"/>
        </w:rPr>
        <w:t xml:space="preserve"> and the outcomes of this review will help shape the ACT’s role as Chair.</w:t>
      </w:r>
    </w:p>
    <w:p w14:paraId="4B7E1FC3" w14:textId="77777777" w:rsidR="00A60D4B" w:rsidRPr="00B91FD8" w:rsidRDefault="00A60D4B" w:rsidP="00A60D4B">
      <w:pPr>
        <w:pStyle w:val="Heading4"/>
      </w:pPr>
      <w:bookmarkStart w:id="109" w:name="_Toc62729119"/>
      <w:bookmarkStart w:id="110" w:name="_Toc63586687"/>
      <w:bookmarkEnd w:id="108"/>
      <w:r w:rsidRPr="00B91FD8">
        <w:t>Sources of Commonwealth funding to the states and territories</w:t>
      </w:r>
      <w:bookmarkEnd w:id="109"/>
      <w:bookmarkEnd w:id="110"/>
    </w:p>
    <w:p w14:paraId="40954F29" w14:textId="77777777" w:rsidR="00A60D4B" w:rsidRDefault="00A60D4B" w:rsidP="00A60D4B">
      <w:pPr>
        <w:pStyle w:val="Bbodytext"/>
      </w:pPr>
      <w:r>
        <w:t xml:space="preserve">The ACT, along with the other states and territories, relies on the Commonwealth for a significant proportion of its total revenue, as the Commonwealth collects the majority of revenue. In contrast, states and territories deliver the majority of essential government services. </w:t>
      </w:r>
    </w:p>
    <w:p w14:paraId="3B0AB122" w14:textId="77777777" w:rsidR="00A60D4B" w:rsidRDefault="00A60D4B" w:rsidP="00A60D4B">
      <w:pPr>
        <w:pStyle w:val="Bbodytext"/>
      </w:pPr>
      <w:r>
        <w:lastRenderedPageBreak/>
        <w:t>The funding the ACT receives from the Commonwealth also acknowledges</w:t>
      </w:r>
      <w:r w:rsidRPr="00B91FD8">
        <w:t xml:space="preserve"> </w:t>
      </w:r>
      <w:r>
        <w:t>the ACT’s</w:t>
      </w:r>
      <w:r w:rsidRPr="00B91FD8">
        <w:t xml:space="preserve"> unique circumstances as a city-state in a national capital setting and as a major regional centre. This means the ACT receives funding as both a territory government and as a local government.</w:t>
      </w:r>
      <w:r>
        <w:t xml:space="preserve"> </w:t>
      </w:r>
    </w:p>
    <w:p w14:paraId="243A4C01" w14:textId="77777777" w:rsidR="00A60D4B" w:rsidRPr="00B91FD8" w:rsidRDefault="00A60D4B" w:rsidP="00A60D4B">
      <w:pPr>
        <w:pStyle w:val="Bbodytext"/>
      </w:pPr>
      <w:r w:rsidRPr="00B91FD8">
        <w:t xml:space="preserve">Under the </w:t>
      </w:r>
      <w:r w:rsidRPr="00B91FD8">
        <w:rPr>
          <w:i/>
        </w:rPr>
        <w:t>Intergovernmental Agreement on Federal Financial Relations</w:t>
      </w:r>
      <w:r w:rsidRPr="00B91FD8">
        <w:t xml:space="preserve"> the states and territories receive the following types of funding from the Commonwealth:</w:t>
      </w:r>
    </w:p>
    <w:p w14:paraId="6B82965B" w14:textId="77777777" w:rsidR="00A60D4B" w:rsidRPr="0098709E" w:rsidRDefault="00A60D4B" w:rsidP="00A60D4B">
      <w:pPr>
        <w:pStyle w:val="BBullet1"/>
        <w:tabs>
          <w:tab w:val="clear" w:pos="357"/>
          <w:tab w:val="left" w:pos="567"/>
        </w:tabs>
        <w:ind w:left="567" w:hanging="567"/>
      </w:pPr>
      <w:r w:rsidRPr="0098709E">
        <w:t>General Revenue Assistance</w:t>
      </w:r>
      <w:r>
        <w:t>, including GST;</w:t>
      </w:r>
    </w:p>
    <w:p w14:paraId="0BCF12A7" w14:textId="77777777" w:rsidR="00A60D4B" w:rsidRPr="00CB5678" w:rsidRDefault="00A60D4B" w:rsidP="00A60D4B">
      <w:pPr>
        <w:pStyle w:val="BBullet1"/>
        <w:tabs>
          <w:tab w:val="clear" w:pos="357"/>
          <w:tab w:val="left" w:pos="567"/>
        </w:tabs>
        <w:ind w:left="567" w:hanging="567"/>
      </w:pPr>
      <w:r>
        <w:t>p</w:t>
      </w:r>
      <w:r w:rsidRPr="0098709E">
        <w:t xml:space="preserve">ayments for </w:t>
      </w:r>
      <w:r w:rsidRPr="00CB5678">
        <w:t>specific purposes (including National Partnership Payments and National Agreement payments); and</w:t>
      </w:r>
    </w:p>
    <w:p w14:paraId="220B523B" w14:textId="77777777" w:rsidR="00A60D4B" w:rsidRPr="00CB5678" w:rsidRDefault="00A60D4B" w:rsidP="00A60D4B">
      <w:pPr>
        <w:pStyle w:val="BBullet1"/>
        <w:tabs>
          <w:tab w:val="clear" w:pos="357"/>
          <w:tab w:val="left" w:pos="567"/>
        </w:tabs>
        <w:ind w:left="567" w:hanging="567"/>
      </w:pPr>
      <w:r w:rsidRPr="00CB5678">
        <w:t>Financial Assistance Grants to Local Government.</w:t>
      </w:r>
    </w:p>
    <w:p w14:paraId="275E78CD" w14:textId="77777777" w:rsidR="00A60D4B" w:rsidRPr="00CB5678" w:rsidRDefault="00A60D4B" w:rsidP="00A60D4B">
      <w:pPr>
        <w:pStyle w:val="CommentText"/>
        <w:rPr>
          <w:sz w:val="24"/>
          <w:szCs w:val="24"/>
        </w:rPr>
      </w:pPr>
      <w:bookmarkStart w:id="111" w:name="_Hlk79500601"/>
      <w:r w:rsidRPr="00B80444">
        <w:rPr>
          <w:rStyle w:val="BbodytextChar"/>
        </w:rPr>
        <w:t>All Commonwealth funding to the ACT is presented in detail in Table 3.6.</w:t>
      </w:r>
      <w:r>
        <w:rPr>
          <w:rStyle w:val="BbodytextChar"/>
        </w:rPr>
        <w:t>2</w:t>
      </w:r>
      <w:r w:rsidRPr="00B80444">
        <w:rPr>
          <w:rStyle w:val="BbodytextChar"/>
        </w:rPr>
        <w:t xml:space="preserve"> at the end of this </w:t>
      </w:r>
      <w:r>
        <w:rPr>
          <w:rStyle w:val="BbodytextChar"/>
        </w:rPr>
        <w:t>section</w:t>
      </w:r>
      <w:r w:rsidRPr="00B80444">
        <w:rPr>
          <w:rStyle w:val="BbodytextChar"/>
        </w:rPr>
        <w:t>. On average, over the budget and forward estimates period, the ACT expects to receive around 42 per cent of our general government sector revenue from the Commonwealth. In</w:t>
      </w:r>
      <w:r w:rsidRPr="00CB5678">
        <w:rPr>
          <w:sz w:val="24"/>
          <w:szCs w:val="24"/>
        </w:rPr>
        <w:t xml:space="preserve"> </w:t>
      </w:r>
      <w:r>
        <w:rPr>
          <w:sz w:val="24"/>
          <w:szCs w:val="24"/>
        </w:rPr>
        <w:t>2021-22,</w:t>
      </w:r>
      <w:r w:rsidRPr="00CB5678">
        <w:rPr>
          <w:sz w:val="24"/>
          <w:szCs w:val="24"/>
        </w:rPr>
        <w:t xml:space="preserve"> total revenue expected to be received from Commonwealth Government grants is </w:t>
      </w:r>
      <w:r w:rsidRPr="00E4292C">
        <w:rPr>
          <w:sz w:val="24"/>
          <w:szCs w:val="24"/>
        </w:rPr>
        <w:t>$2.</w:t>
      </w:r>
      <w:r>
        <w:rPr>
          <w:sz w:val="24"/>
          <w:szCs w:val="24"/>
        </w:rPr>
        <w:t>8</w:t>
      </w:r>
      <w:r w:rsidRPr="00E4292C">
        <w:rPr>
          <w:sz w:val="24"/>
          <w:szCs w:val="24"/>
        </w:rPr>
        <w:t> billion</w:t>
      </w:r>
      <w:r>
        <w:rPr>
          <w:sz w:val="24"/>
          <w:szCs w:val="24"/>
        </w:rPr>
        <w:t>,</w:t>
      </w:r>
      <w:r w:rsidRPr="00CB5678">
        <w:rPr>
          <w:sz w:val="24"/>
          <w:szCs w:val="24"/>
        </w:rPr>
        <w:t xml:space="preserve"> </w:t>
      </w:r>
      <w:r w:rsidRPr="00E4292C">
        <w:rPr>
          <w:sz w:val="24"/>
          <w:szCs w:val="24"/>
        </w:rPr>
        <w:t>an increase</w:t>
      </w:r>
      <w:r w:rsidRPr="00CB5678">
        <w:rPr>
          <w:sz w:val="24"/>
          <w:szCs w:val="24"/>
        </w:rPr>
        <w:t xml:space="preserve"> on the interim outcome for 2020-21 of </w:t>
      </w:r>
      <w:r>
        <w:rPr>
          <w:sz w:val="24"/>
          <w:szCs w:val="24"/>
        </w:rPr>
        <w:t xml:space="preserve">$269 million. </w:t>
      </w:r>
      <w:r w:rsidRPr="00CB5678">
        <w:rPr>
          <w:sz w:val="24"/>
          <w:szCs w:val="24"/>
        </w:rPr>
        <w:t>Over the</w:t>
      </w:r>
      <w:r w:rsidRPr="00CB5678" w:rsidDel="00B736CE">
        <w:rPr>
          <w:sz w:val="24"/>
          <w:szCs w:val="24"/>
        </w:rPr>
        <w:t xml:space="preserve"> </w:t>
      </w:r>
      <w:r>
        <w:rPr>
          <w:sz w:val="24"/>
          <w:szCs w:val="24"/>
        </w:rPr>
        <w:t>b</w:t>
      </w:r>
      <w:r w:rsidRPr="00CB5678">
        <w:rPr>
          <w:sz w:val="24"/>
          <w:szCs w:val="24"/>
        </w:rPr>
        <w:t>udget and forward estimates period, 2021</w:t>
      </w:r>
      <w:r>
        <w:rPr>
          <w:sz w:val="24"/>
          <w:szCs w:val="24"/>
        </w:rPr>
        <w:noBreakHyphen/>
      </w:r>
      <w:r w:rsidRPr="00CB5678">
        <w:rPr>
          <w:sz w:val="24"/>
          <w:szCs w:val="24"/>
        </w:rPr>
        <w:t>22 to 2024</w:t>
      </w:r>
      <w:r w:rsidRPr="00CB5678">
        <w:rPr>
          <w:sz w:val="24"/>
          <w:szCs w:val="24"/>
        </w:rPr>
        <w:noBreakHyphen/>
        <w:t xml:space="preserve">25, total revenue expected to be received from Commonwealth Government grants is </w:t>
      </w:r>
      <w:r w:rsidRPr="00E4292C">
        <w:rPr>
          <w:sz w:val="24"/>
          <w:szCs w:val="24"/>
        </w:rPr>
        <w:t>$11.</w:t>
      </w:r>
      <w:r>
        <w:rPr>
          <w:sz w:val="24"/>
          <w:szCs w:val="24"/>
        </w:rPr>
        <w:t>2</w:t>
      </w:r>
      <w:r w:rsidRPr="00E4292C">
        <w:rPr>
          <w:sz w:val="24"/>
          <w:szCs w:val="24"/>
        </w:rPr>
        <w:t> billion.</w:t>
      </w:r>
    </w:p>
    <w:p w14:paraId="6E4D225E" w14:textId="77777777" w:rsidR="00A60D4B" w:rsidRDefault="00A60D4B" w:rsidP="00A60D4B">
      <w:pPr>
        <w:pStyle w:val="Bbodytext"/>
      </w:pPr>
      <w:r w:rsidRPr="00CB5678">
        <w:t xml:space="preserve">Compared to the </w:t>
      </w:r>
      <w:r w:rsidRPr="008F7F0F">
        <w:t>2020-21 Budget</w:t>
      </w:r>
      <w:r w:rsidRPr="00CB5678">
        <w:rPr>
          <w:szCs w:val="24"/>
        </w:rPr>
        <w:t xml:space="preserve">, Commonwealth Government grants funding received by the ACT is </w:t>
      </w:r>
      <w:r w:rsidRPr="00CB5678">
        <w:t>estimated to be $</w:t>
      </w:r>
      <w:r>
        <w:t>607</w:t>
      </w:r>
      <w:r w:rsidRPr="00CB5678">
        <w:t> million higher between 2020-21 and 2023-24.</w:t>
      </w:r>
      <w:r w:rsidRPr="00CB5678">
        <w:rPr>
          <w:szCs w:val="24"/>
        </w:rPr>
        <w:t xml:space="preserve"> </w:t>
      </w:r>
      <w:r w:rsidRPr="00CB5678">
        <w:t>The increase is predominantly due to additional</w:t>
      </w:r>
      <w:r>
        <w:t xml:space="preserve"> national partnership payments ($374 million) and GST revenue ($231 million). These figures do not reflect the Commonwealth’s Final Budget Outcome (FBO) 2020-21 publication released on 30 September 2021 as the ACT’s revenue estimates and forecasts for this Budget were completed before the release of Commonwealth’s FBO. Commonwealth grants that have been updated in the publication will be reflected in the </w:t>
      </w:r>
      <w:r w:rsidRPr="008F7F0F">
        <w:t>2021-22 Budget Review</w:t>
      </w:r>
      <w:r>
        <w:t>. In that update, the budget balancing adjustment for GST revenue grant will be $65.8 million in comparison to the $56.2 million accounted for in this Budget in 2021-22, an additional $9.6 million.</w:t>
      </w:r>
    </w:p>
    <w:p w14:paraId="202C5E72" w14:textId="77777777" w:rsidR="00A60D4B" w:rsidRDefault="00A60D4B" w:rsidP="00A60D4B">
      <w:pPr>
        <w:pStyle w:val="Heading4"/>
      </w:pPr>
      <w:bookmarkStart w:id="112" w:name="_Toc62729120"/>
      <w:bookmarkStart w:id="113" w:name="_Toc63586688"/>
      <w:bookmarkEnd w:id="111"/>
      <w:r>
        <w:t>General Revenue Assistance</w:t>
      </w:r>
      <w:bookmarkEnd w:id="112"/>
      <w:bookmarkEnd w:id="113"/>
    </w:p>
    <w:p w14:paraId="612FFD46" w14:textId="77777777" w:rsidR="00A60D4B" w:rsidRPr="00CB5678" w:rsidRDefault="00A60D4B" w:rsidP="00A60D4B">
      <w:pPr>
        <w:spacing w:before="120" w:after="120" w:line="240" w:lineRule="auto"/>
        <w:rPr>
          <w:sz w:val="24"/>
          <w:szCs w:val="24"/>
        </w:rPr>
      </w:pPr>
      <w:r w:rsidRPr="0011220E">
        <w:rPr>
          <w:sz w:val="24"/>
          <w:szCs w:val="24"/>
        </w:rPr>
        <w:t xml:space="preserve">General Revenue Assistance transfers are </w:t>
      </w:r>
      <w:r>
        <w:rPr>
          <w:sz w:val="24"/>
          <w:szCs w:val="24"/>
        </w:rPr>
        <w:t>a</w:t>
      </w:r>
      <w:r w:rsidRPr="0011220E">
        <w:rPr>
          <w:sz w:val="24"/>
          <w:szCs w:val="24"/>
        </w:rPr>
        <w:t xml:space="preserve"> major source of funding that support the delivery of services in the ACT. </w:t>
      </w:r>
      <w:r>
        <w:rPr>
          <w:sz w:val="24"/>
          <w:szCs w:val="24"/>
        </w:rPr>
        <w:t xml:space="preserve">These </w:t>
      </w:r>
      <w:r w:rsidRPr="0011220E">
        <w:rPr>
          <w:sz w:val="24"/>
          <w:szCs w:val="24"/>
        </w:rPr>
        <w:t>transfers</w:t>
      </w:r>
      <w:r>
        <w:rPr>
          <w:sz w:val="24"/>
          <w:szCs w:val="24"/>
        </w:rPr>
        <w:t>, which for the ACT comprise GST revenue and ACT Municipal Services grants,</w:t>
      </w:r>
      <w:r w:rsidRPr="0011220E">
        <w:rPr>
          <w:sz w:val="24"/>
          <w:szCs w:val="24"/>
        </w:rPr>
        <w:t xml:space="preserve"> are untied, </w:t>
      </w:r>
      <w:r>
        <w:rPr>
          <w:sz w:val="24"/>
          <w:szCs w:val="24"/>
        </w:rPr>
        <w:t>with no specific</w:t>
      </w:r>
      <w:r w:rsidRPr="0011220E">
        <w:rPr>
          <w:sz w:val="24"/>
          <w:szCs w:val="24"/>
        </w:rPr>
        <w:t xml:space="preserve"> require</w:t>
      </w:r>
      <w:r>
        <w:rPr>
          <w:sz w:val="24"/>
          <w:szCs w:val="24"/>
        </w:rPr>
        <w:t xml:space="preserve">ment that the funding is </w:t>
      </w:r>
      <w:r w:rsidRPr="0011220E">
        <w:rPr>
          <w:sz w:val="24"/>
          <w:szCs w:val="24"/>
        </w:rPr>
        <w:t xml:space="preserve">spent </w:t>
      </w:r>
      <w:r>
        <w:rPr>
          <w:sz w:val="24"/>
          <w:szCs w:val="24"/>
        </w:rPr>
        <w:t>in any</w:t>
      </w:r>
      <w:r w:rsidRPr="0011220E">
        <w:rPr>
          <w:sz w:val="24"/>
          <w:szCs w:val="24"/>
        </w:rPr>
        <w:t xml:space="preserve"> area of service delivery</w:t>
      </w:r>
      <w:r>
        <w:rPr>
          <w:sz w:val="24"/>
          <w:szCs w:val="24"/>
        </w:rPr>
        <w:t xml:space="preserve"> – providing the greatest level of flexibility to states and territories</w:t>
      </w:r>
      <w:r w:rsidRPr="0011220E">
        <w:rPr>
          <w:sz w:val="24"/>
          <w:szCs w:val="24"/>
        </w:rPr>
        <w:t>.</w:t>
      </w:r>
      <w:r>
        <w:rPr>
          <w:sz w:val="24"/>
          <w:szCs w:val="24"/>
        </w:rPr>
        <w:t xml:space="preserve"> General revenue assistance grants will account for</w:t>
      </w:r>
      <w:r w:rsidRPr="0011220E">
        <w:rPr>
          <w:sz w:val="24"/>
          <w:szCs w:val="24"/>
        </w:rPr>
        <w:t xml:space="preserve"> a</w:t>
      </w:r>
      <w:r>
        <w:rPr>
          <w:sz w:val="24"/>
          <w:szCs w:val="24"/>
        </w:rPr>
        <w:t>round</w:t>
      </w:r>
      <w:r w:rsidRPr="0011220E">
        <w:rPr>
          <w:sz w:val="24"/>
          <w:szCs w:val="24"/>
        </w:rPr>
        <w:t xml:space="preserve"> </w:t>
      </w:r>
      <w:r w:rsidRPr="007E5FB4">
        <w:rPr>
          <w:sz w:val="24"/>
          <w:szCs w:val="24"/>
        </w:rPr>
        <w:t>21</w:t>
      </w:r>
      <w:r>
        <w:rPr>
          <w:sz w:val="24"/>
          <w:szCs w:val="24"/>
        </w:rPr>
        <w:t> </w:t>
      </w:r>
      <w:r w:rsidRPr="0011220E">
        <w:rPr>
          <w:sz w:val="24"/>
          <w:szCs w:val="24"/>
        </w:rPr>
        <w:t>per</w:t>
      </w:r>
      <w:r>
        <w:rPr>
          <w:sz w:val="24"/>
          <w:szCs w:val="24"/>
        </w:rPr>
        <w:t> </w:t>
      </w:r>
      <w:r w:rsidRPr="0011220E">
        <w:rPr>
          <w:sz w:val="24"/>
          <w:szCs w:val="24"/>
        </w:rPr>
        <w:t>cent of the ACT’s Gene</w:t>
      </w:r>
      <w:r w:rsidRPr="00CB5678">
        <w:rPr>
          <w:sz w:val="24"/>
          <w:szCs w:val="24"/>
        </w:rPr>
        <w:t xml:space="preserve">ral Government Sector revenue in 2021-22. </w:t>
      </w:r>
    </w:p>
    <w:p w14:paraId="091459AC" w14:textId="77777777" w:rsidR="00A60D4B" w:rsidRPr="00CB5678" w:rsidRDefault="00A60D4B" w:rsidP="00A60D4B">
      <w:pPr>
        <w:spacing w:before="120" w:after="120" w:line="240" w:lineRule="auto"/>
        <w:rPr>
          <w:sz w:val="24"/>
          <w:szCs w:val="24"/>
        </w:rPr>
      </w:pPr>
      <w:r w:rsidRPr="00CB5678">
        <w:rPr>
          <w:sz w:val="24"/>
          <w:szCs w:val="24"/>
        </w:rPr>
        <w:t xml:space="preserve">In </w:t>
      </w:r>
      <w:r>
        <w:rPr>
          <w:sz w:val="24"/>
          <w:szCs w:val="24"/>
        </w:rPr>
        <w:t>2021-22</w:t>
      </w:r>
      <w:r w:rsidRPr="00CB5678">
        <w:rPr>
          <w:sz w:val="24"/>
          <w:szCs w:val="24"/>
        </w:rPr>
        <w:t xml:space="preserve"> General Revenue Assistance transfers are expected to be </w:t>
      </w:r>
      <w:r w:rsidRPr="00E4292C">
        <w:rPr>
          <w:sz w:val="24"/>
          <w:szCs w:val="24"/>
        </w:rPr>
        <w:t>$1.41 billion</w:t>
      </w:r>
      <w:r w:rsidRPr="00CB5678">
        <w:rPr>
          <w:sz w:val="24"/>
          <w:szCs w:val="24"/>
        </w:rPr>
        <w:t xml:space="preserve">, </w:t>
      </w:r>
      <w:r w:rsidRPr="00E4292C">
        <w:rPr>
          <w:sz w:val="24"/>
          <w:szCs w:val="24"/>
        </w:rPr>
        <w:t>a modest increase</w:t>
      </w:r>
      <w:r w:rsidRPr="00CB5678">
        <w:rPr>
          <w:sz w:val="24"/>
          <w:szCs w:val="24"/>
        </w:rPr>
        <w:t xml:space="preserve"> on the interim outcome for 2020-21 of </w:t>
      </w:r>
      <w:r w:rsidRPr="00E4292C">
        <w:rPr>
          <w:sz w:val="24"/>
          <w:szCs w:val="24"/>
        </w:rPr>
        <w:t>$1.39 billion</w:t>
      </w:r>
      <w:r w:rsidRPr="00CB5678">
        <w:rPr>
          <w:sz w:val="24"/>
          <w:szCs w:val="24"/>
        </w:rPr>
        <w:t xml:space="preserve">. Over the </w:t>
      </w:r>
      <w:r>
        <w:rPr>
          <w:sz w:val="24"/>
          <w:szCs w:val="24"/>
        </w:rPr>
        <w:t>b</w:t>
      </w:r>
      <w:r w:rsidRPr="00CB5678">
        <w:rPr>
          <w:sz w:val="24"/>
          <w:szCs w:val="24"/>
        </w:rPr>
        <w:t>udget and forward estimates period, 2021-22 to 2024-25</w:t>
      </w:r>
      <w:r>
        <w:rPr>
          <w:sz w:val="24"/>
          <w:szCs w:val="24"/>
        </w:rPr>
        <w:t>,</w:t>
      </w:r>
      <w:r w:rsidRPr="00CB5678">
        <w:rPr>
          <w:sz w:val="24"/>
          <w:szCs w:val="24"/>
        </w:rPr>
        <w:t xml:space="preserve"> General Revenue Assistance transfers are expected to be </w:t>
      </w:r>
      <w:r w:rsidRPr="00E4292C">
        <w:rPr>
          <w:sz w:val="24"/>
          <w:szCs w:val="24"/>
        </w:rPr>
        <w:t>$5.9 billion.</w:t>
      </w:r>
    </w:p>
    <w:p w14:paraId="6CC0DCE5" w14:textId="77777777" w:rsidR="00A60D4B" w:rsidRPr="00C13D05" w:rsidRDefault="00A60D4B" w:rsidP="00A60D4B">
      <w:pPr>
        <w:spacing w:before="120" w:after="120" w:line="240" w:lineRule="auto"/>
        <w:rPr>
          <w:sz w:val="24"/>
          <w:szCs w:val="24"/>
        </w:rPr>
      </w:pPr>
      <w:r w:rsidRPr="00CB5678">
        <w:rPr>
          <w:sz w:val="24"/>
          <w:szCs w:val="24"/>
        </w:rPr>
        <w:t xml:space="preserve">Compared to the </w:t>
      </w:r>
      <w:r w:rsidRPr="008F7F0F">
        <w:rPr>
          <w:iCs/>
          <w:sz w:val="24"/>
          <w:szCs w:val="24"/>
        </w:rPr>
        <w:t>2020-21 Budget</w:t>
      </w:r>
      <w:r w:rsidRPr="002022E8">
        <w:rPr>
          <w:sz w:val="24"/>
          <w:szCs w:val="24"/>
        </w:rPr>
        <w:t xml:space="preserve">, </w:t>
      </w:r>
      <w:r w:rsidRPr="00132D1C">
        <w:rPr>
          <w:sz w:val="24"/>
          <w:szCs w:val="24"/>
        </w:rPr>
        <w:t xml:space="preserve">General Revenue Assistance transfers </w:t>
      </w:r>
      <w:r w:rsidRPr="002022E8">
        <w:rPr>
          <w:sz w:val="24"/>
          <w:szCs w:val="24"/>
        </w:rPr>
        <w:t xml:space="preserve">received by the ACT </w:t>
      </w:r>
      <w:r>
        <w:rPr>
          <w:sz w:val="24"/>
          <w:szCs w:val="24"/>
        </w:rPr>
        <w:t>are</w:t>
      </w:r>
      <w:r w:rsidRPr="005C4D1D">
        <w:rPr>
          <w:sz w:val="24"/>
          <w:szCs w:val="24"/>
        </w:rPr>
        <w:t xml:space="preserve"> estimated to be $</w:t>
      </w:r>
      <w:r>
        <w:rPr>
          <w:sz w:val="24"/>
          <w:szCs w:val="24"/>
        </w:rPr>
        <w:t>231.3</w:t>
      </w:r>
      <w:r w:rsidRPr="005C4D1D">
        <w:rPr>
          <w:sz w:val="24"/>
          <w:szCs w:val="24"/>
        </w:rPr>
        <w:t> million higher between 2020-21 and 2023-24.</w:t>
      </w:r>
      <w:r w:rsidRPr="00F80C2A">
        <w:rPr>
          <w:sz w:val="24"/>
          <w:szCs w:val="24"/>
        </w:rPr>
        <w:t xml:space="preserve"> </w:t>
      </w:r>
    </w:p>
    <w:p w14:paraId="3DE72CFC" w14:textId="77777777" w:rsidR="00A60D4B" w:rsidRDefault="00A60D4B" w:rsidP="00A60D4B">
      <w:pPr>
        <w:pStyle w:val="Heading4"/>
      </w:pPr>
      <w:bookmarkStart w:id="114" w:name="_Toc63586689"/>
      <w:r w:rsidRPr="00172B40">
        <w:lastRenderedPageBreak/>
        <w:t>Goods and Services Tax (GST</w:t>
      </w:r>
      <w:r>
        <w:t>)</w:t>
      </w:r>
      <w:bookmarkEnd w:id="114"/>
    </w:p>
    <w:p w14:paraId="68B599AF" w14:textId="77777777" w:rsidR="00A60D4B" w:rsidRPr="00D26443" w:rsidRDefault="00A60D4B" w:rsidP="00A60D4B">
      <w:pPr>
        <w:pStyle w:val="Bbodytext"/>
      </w:pPr>
      <w:r w:rsidRPr="00D26443">
        <w:t>The GST is a major source of funding for the ACT</w:t>
      </w:r>
      <w:r>
        <w:t>,</w:t>
      </w:r>
      <w:r w:rsidRPr="00D26443">
        <w:t xml:space="preserve"> making up around </w:t>
      </w:r>
      <w:r w:rsidRPr="007E5FB4">
        <w:t>2</w:t>
      </w:r>
      <w:r>
        <w:t>1</w:t>
      </w:r>
      <w:r w:rsidRPr="00132D1C">
        <w:t xml:space="preserve"> per cent of the ACT’s </w:t>
      </w:r>
      <w:r>
        <w:t>G</w:t>
      </w:r>
      <w:r w:rsidRPr="00132D1C">
        <w:t xml:space="preserve">eneral </w:t>
      </w:r>
      <w:r>
        <w:t>G</w:t>
      </w:r>
      <w:r w:rsidRPr="00132D1C">
        <w:t xml:space="preserve">overnment </w:t>
      </w:r>
      <w:r>
        <w:t>S</w:t>
      </w:r>
      <w:r w:rsidRPr="00132D1C">
        <w:t xml:space="preserve">ector revenue in </w:t>
      </w:r>
      <w:r>
        <w:t>2021-22</w:t>
      </w:r>
      <w:r w:rsidRPr="00132D1C">
        <w:t>.</w:t>
      </w:r>
    </w:p>
    <w:p w14:paraId="19D5BC1F" w14:textId="77777777" w:rsidR="00A60D4B" w:rsidRDefault="00A60D4B" w:rsidP="00A60D4B">
      <w:pPr>
        <w:pStyle w:val="Bbodytext"/>
        <w:keepNext/>
        <w:keepLines/>
      </w:pPr>
      <w:r w:rsidRPr="00D26443">
        <w:t xml:space="preserve">The ACT’s GST revenue is affected by the size of the </w:t>
      </w:r>
      <w:r>
        <w:t xml:space="preserve">national </w:t>
      </w:r>
      <w:r w:rsidRPr="00D26443">
        <w:t>GST pool,</w:t>
      </w:r>
      <w:r>
        <w:t xml:space="preserve"> the</w:t>
      </w:r>
      <w:r w:rsidRPr="00D26443">
        <w:t xml:space="preserve"> </w:t>
      </w:r>
      <w:r>
        <w:t xml:space="preserve">ACT’s </w:t>
      </w:r>
      <w:r w:rsidRPr="00D26443">
        <w:t xml:space="preserve">share of the national population and </w:t>
      </w:r>
      <w:r>
        <w:t xml:space="preserve">our </w:t>
      </w:r>
      <w:r w:rsidRPr="00D26443">
        <w:t>GST relativity as determined by the Commonwealth Grants Commission</w:t>
      </w:r>
      <w:r>
        <w:t xml:space="preserve"> (CGC)</w:t>
      </w:r>
      <w:r w:rsidRPr="00D26443">
        <w:t>.</w:t>
      </w:r>
      <w:r>
        <w:t xml:space="preserve"> The GST relativity from the most recent determination, the </w:t>
      </w:r>
      <w:r w:rsidRPr="002E3014">
        <w:rPr>
          <w:i/>
          <w:iCs/>
        </w:rPr>
        <w:t>2021 Update</w:t>
      </w:r>
      <w:r>
        <w:t>, is held constant over the budget and forward estimates period to determine the ACT’s GST revenue shares.</w:t>
      </w:r>
    </w:p>
    <w:p w14:paraId="379EBA2B" w14:textId="77777777" w:rsidR="00A60D4B" w:rsidRDefault="00A60D4B" w:rsidP="00A60D4B">
      <w:pPr>
        <w:spacing w:before="120" w:after="120" w:line="240" w:lineRule="auto"/>
        <w:rPr>
          <w:sz w:val="24"/>
          <w:szCs w:val="24"/>
        </w:rPr>
      </w:pPr>
      <w:r w:rsidRPr="00CB5678">
        <w:rPr>
          <w:sz w:val="24"/>
          <w:szCs w:val="24"/>
        </w:rPr>
        <w:t xml:space="preserve">In </w:t>
      </w:r>
      <w:r>
        <w:rPr>
          <w:sz w:val="24"/>
          <w:szCs w:val="24"/>
        </w:rPr>
        <w:t>2021-22</w:t>
      </w:r>
      <w:r w:rsidRPr="00CB5678">
        <w:rPr>
          <w:sz w:val="24"/>
          <w:szCs w:val="24"/>
        </w:rPr>
        <w:t xml:space="preserve"> GST revenue is expected to be $1.4 billion, a modest increase on the interim outcome for 2020-21 of $1.3 billion. </w:t>
      </w:r>
      <w:r w:rsidRPr="002974C2">
        <w:rPr>
          <w:rStyle w:val="Calibri12"/>
        </w:rPr>
        <w:t xml:space="preserve">Higher GST revenue is largely driven by higher </w:t>
      </w:r>
      <w:r>
        <w:rPr>
          <w:rStyle w:val="Calibri12"/>
        </w:rPr>
        <w:t xml:space="preserve">consumption and </w:t>
      </w:r>
      <w:r w:rsidRPr="002974C2">
        <w:rPr>
          <w:rStyle w:val="Calibri12"/>
        </w:rPr>
        <w:t>national GST collections in 2020-21 flowing into GST allocations for the ACT in 2021-22, despite the effect of lockdowns.</w:t>
      </w:r>
      <w:r>
        <w:rPr>
          <w:rStyle w:val="Calibri12"/>
        </w:rPr>
        <w:t xml:space="preserve"> </w:t>
      </w:r>
      <w:r w:rsidRPr="00CB5678">
        <w:rPr>
          <w:sz w:val="24"/>
          <w:szCs w:val="24"/>
        </w:rPr>
        <w:t xml:space="preserve">Over the </w:t>
      </w:r>
      <w:r>
        <w:rPr>
          <w:sz w:val="24"/>
          <w:szCs w:val="24"/>
        </w:rPr>
        <w:t>b</w:t>
      </w:r>
      <w:r w:rsidRPr="00CB5678">
        <w:rPr>
          <w:sz w:val="24"/>
          <w:szCs w:val="24"/>
        </w:rPr>
        <w:t>udget and forward estimates period, 2021</w:t>
      </w:r>
      <w:r>
        <w:rPr>
          <w:sz w:val="24"/>
          <w:szCs w:val="24"/>
        </w:rPr>
        <w:noBreakHyphen/>
      </w:r>
      <w:r w:rsidRPr="00CB5678">
        <w:rPr>
          <w:sz w:val="24"/>
          <w:szCs w:val="24"/>
        </w:rPr>
        <w:t xml:space="preserve">22 to 2024-25, GST revenue is expected to be </w:t>
      </w:r>
      <w:r w:rsidRPr="00E4292C">
        <w:rPr>
          <w:sz w:val="24"/>
          <w:szCs w:val="24"/>
        </w:rPr>
        <w:t>$</w:t>
      </w:r>
      <w:r w:rsidRPr="00CB5678">
        <w:rPr>
          <w:sz w:val="24"/>
          <w:szCs w:val="24"/>
        </w:rPr>
        <w:t xml:space="preserve">5.8 billion. Relative to the </w:t>
      </w:r>
      <w:r w:rsidRPr="008F7F0F">
        <w:rPr>
          <w:sz w:val="24"/>
          <w:szCs w:val="24"/>
        </w:rPr>
        <w:t>2020</w:t>
      </w:r>
      <w:r w:rsidRPr="008F7F0F">
        <w:rPr>
          <w:sz w:val="24"/>
          <w:szCs w:val="24"/>
        </w:rPr>
        <w:noBreakHyphen/>
        <w:t>21 Budget</w:t>
      </w:r>
      <w:r w:rsidRPr="00CB5678">
        <w:rPr>
          <w:sz w:val="24"/>
          <w:szCs w:val="24"/>
        </w:rPr>
        <w:t>, GST revenue is expected to be $</w:t>
      </w:r>
      <w:r>
        <w:rPr>
          <w:sz w:val="24"/>
          <w:szCs w:val="24"/>
        </w:rPr>
        <w:t xml:space="preserve">67 million higher in 2021-22 and </w:t>
      </w:r>
      <w:r w:rsidRPr="00CB5678">
        <w:rPr>
          <w:sz w:val="24"/>
          <w:szCs w:val="24"/>
        </w:rPr>
        <w:t>$231</w:t>
      </w:r>
      <w:r>
        <w:rPr>
          <w:sz w:val="24"/>
          <w:szCs w:val="24"/>
        </w:rPr>
        <w:t> </w:t>
      </w:r>
      <w:r w:rsidRPr="00CB5678">
        <w:rPr>
          <w:sz w:val="24"/>
          <w:szCs w:val="24"/>
        </w:rPr>
        <w:t>million higher</w:t>
      </w:r>
      <w:r w:rsidRPr="00F80C2A">
        <w:rPr>
          <w:sz w:val="24"/>
          <w:szCs w:val="24"/>
        </w:rPr>
        <w:t xml:space="preserve"> </w:t>
      </w:r>
      <w:r>
        <w:rPr>
          <w:sz w:val="24"/>
          <w:szCs w:val="24"/>
        </w:rPr>
        <w:t>over the four years 2020-21 to 2023</w:t>
      </w:r>
      <w:r>
        <w:rPr>
          <w:sz w:val="24"/>
          <w:szCs w:val="24"/>
        </w:rPr>
        <w:noBreakHyphen/>
        <w:t>24</w:t>
      </w:r>
      <w:r w:rsidRPr="00F80C2A">
        <w:rPr>
          <w:sz w:val="24"/>
          <w:szCs w:val="24"/>
        </w:rPr>
        <w:t>.</w:t>
      </w:r>
      <w:r>
        <w:rPr>
          <w:sz w:val="24"/>
          <w:szCs w:val="24"/>
        </w:rPr>
        <w:t xml:space="preserve"> </w:t>
      </w:r>
    </w:p>
    <w:p w14:paraId="5F58D358" w14:textId="77777777" w:rsidR="00A60D4B" w:rsidRPr="00F80C2A" w:rsidRDefault="00A60D4B" w:rsidP="00A60D4B">
      <w:pPr>
        <w:spacing w:before="120" w:after="120" w:line="240" w:lineRule="auto"/>
        <w:rPr>
          <w:sz w:val="24"/>
          <w:szCs w:val="24"/>
        </w:rPr>
      </w:pPr>
      <w:r>
        <w:rPr>
          <w:sz w:val="24"/>
          <w:szCs w:val="24"/>
        </w:rPr>
        <w:t xml:space="preserve">Higher GST revenues relative to the </w:t>
      </w:r>
      <w:r w:rsidRPr="008F7F0F">
        <w:rPr>
          <w:iCs/>
          <w:sz w:val="24"/>
          <w:szCs w:val="24"/>
        </w:rPr>
        <w:t>2020-21 Budget</w:t>
      </w:r>
      <w:r>
        <w:rPr>
          <w:sz w:val="24"/>
          <w:szCs w:val="24"/>
        </w:rPr>
        <w:t xml:space="preserve"> are primarily the result of significantly higher national GST collections in 2020-21 than expected at the time of the 2020-21 Budget. An increase in the ACT’s GST relativity from 1.15112 to 1.16266 also contributed positively to GST revenues for the ACT, partially offset by a marginal reduction in the ACT’s share</w:t>
      </w:r>
      <w:r w:rsidDel="00E950DC">
        <w:rPr>
          <w:sz w:val="24"/>
          <w:szCs w:val="24"/>
        </w:rPr>
        <w:t xml:space="preserve"> of the </w:t>
      </w:r>
      <w:r>
        <w:rPr>
          <w:sz w:val="24"/>
          <w:szCs w:val="24"/>
        </w:rPr>
        <w:t xml:space="preserve">national population.  </w:t>
      </w:r>
      <w:r w:rsidRPr="00F80C2A">
        <w:rPr>
          <w:sz w:val="24"/>
          <w:szCs w:val="24"/>
        </w:rPr>
        <w:t xml:space="preserve"> </w:t>
      </w:r>
    </w:p>
    <w:p w14:paraId="6DB0BAFF" w14:textId="77777777" w:rsidR="00A60D4B" w:rsidRDefault="00A60D4B" w:rsidP="00A60D4B">
      <w:pPr>
        <w:pStyle w:val="Bbodytext"/>
        <w:rPr>
          <w:rStyle w:val="Calibri12"/>
        </w:rPr>
      </w:pPr>
      <w:r>
        <w:rPr>
          <w:rStyle w:val="Calibri12"/>
        </w:rPr>
        <w:t xml:space="preserve">When the impact of recent COVID-19 health restrictions on the GST pool, population growth and GST shares are taken into account, the result is higher revenue in each year of the budget and forward estimates period than estimated at the time of the </w:t>
      </w:r>
      <w:r w:rsidRPr="008F7F0F">
        <w:rPr>
          <w:rStyle w:val="Calibri12"/>
        </w:rPr>
        <w:t>2020-21 Budget</w:t>
      </w:r>
      <w:r w:rsidRPr="00024B86">
        <w:rPr>
          <w:rStyle w:val="Calibri12"/>
        </w:rPr>
        <w:t>, but still lower than expected prior to the pandemic in the 2019-20 Budget Review</w:t>
      </w:r>
      <w:r>
        <w:rPr>
          <w:rStyle w:val="Calibri12"/>
        </w:rPr>
        <w:t>. Over the budget and forward estimates period, GST revenue growth is estimated to reduce substantially from the unprecedented 8.9 per cent growth in 2020-21 to an annual average growth rate of 3.8 per cent.</w:t>
      </w:r>
    </w:p>
    <w:p w14:paraId="3002B549" w14:textId="77777777" w:rsidR="00A60D4B" w:rsidRDefault="00A60D4B" w:rsidP="00A60D4B">
      <w:pPr>
        <w:pStyle w:val="Bbodytext"/>
        <w:rPr>
          <w:rStyle w:val="Calibri12"/>
        </w:rPr>
      </w:pPr>
      <w:r>
        <w:rPr>
          <w:rStyle w:val="Calibri12"/>
        </w:rPr>
        <w:t>Figure 3.6.1 below compares the ACT’s GST entitlements in the 2021-22 Budget with the 2021-22 Commonwealth Budget, 2020-21 Budget and the 2019-20 Budget Review.</w:t>
      </w:r>
    </w:p>
    <w:p w14:paraId="72F173AE" w14:textId="248D48CE" w:rsidR="00A60D4B" w:rsidRDefault="00A60D4B" w:rsidP="00A60D4B">
      <w:pPr>
        <w:pStyle w:val="Caption"/>
        <w:keepLines/>
      </w:pPr>
      <w:r>
        <w:lastRenderedPageBreak/>
        <w:t xml:space="preserve">Figure </w:t>
      </w:r>
      <w:r>
        <w:fldChar w:fldCharType="begin"/>
      </w:r>
      <w:r>
        <w:instrText>STYLEREF 2 \s</w:instrText>
      </w:r>
      <w:r>
        <w:fldChar w:fldCharType="separate"/>
      </w:r>
      <w:r w:rsidR="00F12A80">
        <w:rPr>
          <w:noProof/>
        </w:rPr>
        <w:t>3.6</w:t>
      </w:r>
      <w:r>
        <w:fldChar w:fldCharType="end"/>
      </w:r>
      <w:r>
        <w:t>.</w:t>
      </w:r>
      <w:r>
        <w:fldChar w:fldCharType="begin"/>
      </w:r>
      <w:r>
        <w:instrText>SEQ Figure \* ARABIC \s 2</w:instrText>
      </w:r>
      <w:r>
        <w:fldChar w:fldCharType="separate"/>
      </w:r>
      <w:r w:rsidR="00F12A80">
        <w:rPr>
          <w:noProof/>
        </w:rPr>
        <w:t>1</w:t>
      </w:r>
      <w:r>
        <w:fldChar w:fldCharType="end"/>
      </w:r>
      <w:r>
        <w:t>: ACT’s GST revenue in the 2021-22 Budget compared with 2019-20 Budget Review and 2020-21 Budget</w:t>
      </w:r>
    </w:p>
    <w:p w14:paraId="33EFC2F6" w14:textId="77777777" w:rsidR="00A60D4B" w:rsidRPr="00F80C2A" w:rsidRDefault="00A60D4B" w:rsidP="00A60D4B">
      <w:pPr>
        <w:keepNext/>
        <w:keepLines/>
        <w:spacing w:before="120" w:after="120" w:line="240" w:lineRule="auto"/>
        <w:rPr>
          <w:sz w:val="24"/>
          <w:szCs w:val="24"/>
        </w:rPr>
      </w:pPr>
    </w:p>
    <w:p w14:paraId="10172ED0" w14:textId="77777777" w:rsidR="00A60D4B" w:rsidRPr="00F80C2A" w:rsidRDefault="00A60D4B" w:rsidP="00A60D4B">
      <w:pPr>
        <w:spacing w:before="120" w:after="120" w:line="240" w:lineRule="auto"/>
        <w:rPr>
          <w:sz w:val="24"/>
          <w:szCs w:val="24"/>
        </w:rPr>
      </w:pPr>
      <w:r>
        <w:rPr>
          <w:noProof/>
        </w:rPr>
        <w:drawing>
          <wp:inline distT="0" distB="0" distL="0" distR="0" wp14:anchorId="1F1C577A" wp14:editId="1D549B25">
            <wp:extent cx="5731510" cy="2721610"/>
            <wp:effectExtent l="0" t="0" r="2540" b="2540"/>
            <wp:docPr id="326" name="Chart 326">
              <a:extLst xmlns:a="http://schemas.openxmlformats.org/drawingml/2006/main">
                <a:ext uri="{FF2B5EF4-FFF2-40B4-BE49-F238E27FC236}">
                  <a16:creationId xmlns:a16="http://schemas.microsoft.com/office/drawing/2014/main" id="{978CBE89-B29C-4848-BB19-DA439237B8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646B9410" w14:textId="77777777" w:rsidR="00A60D4B" w:rsidRDefault="00A60D4B" w:rsidP="00A60D4B">
      <w:pPr>
        <w:pStyle w:val="Heading4"/>
      </w:pPr>
      <w:r>
        <w:t>GST pool</w:t>
      </w:r>
    </w:p>
    <w:p w14:paraId="0E1C13FD" w14:textId="77777777" w:rsidR="00A60D4B" w:rsidRPr="00081995" w:rsidRDefault="00A60D4B" w:rsidP="00A60D4B">
      <w:pPr>
        <w:pStyle w:val="Bbodytext"/>
      </w:pPr>
      <w:r>
        <w:rPr>
          <w:szCs w:val="24"/>
        </w:rPr>
        <w:t>T</w:t>
      </w:r>
      <w:r w:rsidRPr="00304CE6">
        <w:rPr>
          <w:szCs w:val="24"/>
        </w:rPr>
        <w:t xml:space="preserve">he Commonwealth Government increased its GST pool forecasts in the </w:t>
      </w:r>
      <w:r w:rsidRPr="008F7F0F">
        <w:rPr>
          <w:iCs/>
          <w:szCs w:val="24"/>
        </w:rPr>
        <w:t>2021-22 Commonwealth Budget</w:t>
      </w:r>
      <w:r>
        <w:rPr>
          <w:szCs w:val="24"/>
        </w:rPr>
        <w:t xml:space="preserve"> </w:t>
      </w:r>
      <w:r w:rsidRPr="00304CE6">
        <w:rPr>
          <w:szCs w:val="24"/>
        </w:rPr>
        <w:t>b</w:t>
      </w:r>
      <w:r>
        <w:rPr>
          <w:szCs w:val="24"/>
        </w:rPr>
        <w:t xml:space="preserve">y </w:t>
      </w:r>
      <w:r w:rsidRPr="00304CE6">
        <w:rPr>
          <w:szCs w:val="24"/>
        </w:rPr>
        <w:t xml:space="preserve">$21 billion over the period </w:t>
      </w:r>
      <w:r>
        <w:rPr>
          <w:szCs w:val="24"/>
        </w:rPr>
        <w:t>2</w:t>
      </w:r>
      <w:r w:rsidRPr="00304CE6">
        <w:rPr>
          <w:szCs w:val="24"/>
        </w:rPr>
        <w:t>020-21 to 2023-24</w:t>
      </w:r>
      <w:r>
        <w:rPr>
          <w:szCs w:val="24"/>
        </w:rPr>
        <w:t>,</w:t>
      </w:r>
      <w:r w:rsidRPr="00304CE6">
        <w:rPr>
          <w:szCs w:val="24"/>
        </w:rPr>
        <w:t xml:space="preserve"> in comparison to the forecasts in the </w:t>
      </w:r>
      <w:r w:rsidRPr="00454A3A">
        <w:rPr>
          <w:i/>
          <w:szCs w:val="24"/>
        </w:rPr>
        <w:t>2020-21 MYEFO</w:t>
      </w:r>
      <w:r w:rsidRPr="00304CE6">
        <w:rPr>
          <w:szCs w:val="24"/>
        </w:rPr>
        <w:t xml:space="preserve">. </w:t>
      </w:r>
      <w:r>
        <w:rPr>
          <w:szCs w:val="24"/>
        </w:rPr>
        <w:t xml:space="preserve">This was largely due to the bounce back </w:t>
      </w:r>
      <w:r w:rsidRPr="00304CE6">
        <w:rPr>
          <w:szCs w:val="24"/>
        </w:rPr>
        <w:t xml:space="preserve">in household consumption </w:t>
      </w:r>
      <w:r>
        <w:rPr>
          <w:szCs w:val="24"/>
        </w:rPr>
        <w:t xml:space="preserve">following </w:t>
      </w:r>
      <w:r w:rsidRPr="00304CE6">
        <w:rPr>
          <w:szCs w:val="24"/>
        </w:rPr>
        <w:t xml:space="preserve">the relaxation of </w:t>
      </w:r>
      <w:r>
        <w:rPr>
          <w:szCs w:val="24"/>
        </w:rPr>
        <w:t xml:space="preserve">COVID-19 public health </w:t>
      </w:r>
      <w:r w:rsidRPr="00304CE6">
        <w:rPr>
          <w:szCs w:val="24"/>
        </w:rPr>
        <w:t xml:space="preserve">restrictions across most of Australia </w:t>
      </w:r>
      <w:r>
        <w:rPr>
          <w:szCs w:val="24"/>
        </w:rPr>
        <w:t>in the first half of 2021.</w:t>
      </w:r>
      <w:r w:rsidRPr="00081995">
        <w:t xml:space="preserve"> However, the outbreak</w:t>
      </w:r>
      <w:r>
        <w:t>s</w:t>
      </w:r>
      <w:r w:rsidRPr="00081995">
        <w:t xml:space="preserve"> of the </w:t>
      </w:r>
      <w:r>
        <w:t>D</w:t>
      </w:r>
      <w:r w:rsidRPr="00081995">
        <w:t xml:space="preserve">elta strain of COVID-19 </w:t>
      </w:r>
      <w:r>
        <w:t>have seen</w:t>
      </w:r>
      <w:r w:rsidRPr="00081995">
        <w:t xml:space="preserve"> </w:t>
      </w:r>
      <w:r>
        <w:t xml:space="preserve">the reintroduction of lockdown </w:t>
      </w:r>
      <w:r w:rsidRPr="00081995">
        <w:t>restrictions</w:t>
      </w:r>
      <w:r>
        <w:t xml:space="preserve">, particularly in NSW, Victoria and the ACT. </w:t>
      </w:r>
    </w:p>
    <w:p w14:paraId="66379325" w14:textId="77777777" w:rsidR="00A60D4B" w:rsidRDefault="00A60D4B" w:rsidP="00A60D4B">
      <w:pPr>
        <w:pStyle w:val="Bbodytext"/>
      </w:pPr>
      <w:r>
        <w:t xml:space="preserve">While the ACT would ordinarily rely on the GST pool forecasts in the </w:t>
      </w:r>
      <w:r w:rsidRPr="008F7F0F">
        <w:rPr>
          <w:iCs/>
        </w:rPr>
        <w:t>2021-22 Commonwealth Budget</w:t>
      </w:r>
      <w:r>
        <w:rPr>
          <w:i/>
          <w:iCs/>
        </w:rPr>
        <w:t xml:space="preserve">, </w:t>
      </w:r>
      <w:r w:rsidRPr="00454A3A">
        <w:t>given the change in circumstances</w:t>
      </w:r>
      <w:r>
        <w:t>,</w:t>
      </w:r>
      <w:r w:rsidRPr="007C4112">
        <w:t xml:space="preserve"> </w:t>
      </w:r>
      <w:r>
        <w:t>GST pool</w:t>
      </w:r>
      <w:r w:rsidRPr="007C4112">
        <w:t xml:space="preserve"> </w:t>
      </w:r>
      <w:r>
        <w:t>forecasts have been updated to reflect the ACT’s assessment of the expected impacts of the lockdowns on discretionary household consumption and dwelling investment, which are both subject to GST, in 2021-22.</w:t>
      </w:r>
      <w:r w:rsidRPr="00081995">
        <w:t xml:space="preserve"> </w:t>
      </w:r>
    </w:p>
    <w:p w14:paraId="7D14E228" w14:textId="77777777" w:rsidR="00A60D4B" w:rsidRDefault="00A60D4B" w:rsidP="00A60D4B">
      <w:pPr>
        <w:pStyle w:val="Bbodytext"/>
      </w:pPr>
      <w:r>
        <w:t xml:space="preserve">The baseline scenario assumes that lockdowns are lifted and high-to-medium public health and social measures remain in place in NSW, Victoria and the ACT until early in the December quarter 2021. Restrictions are assumed to move from medium to low from this point, with consumption picking up slowly over the first half of 2022 and gathering pace over the remainder of the year. </w:t>
      </w:r>
    </w:p>
    <w:p w14:paraId="25351211" w14:textId="77777777" w:rsidR="00A60D4B" w:rsidRDefault="00A60D4B" w:rsidP="00A60D4B">
      <w:pPr>
        <w:pStyle w:val="Bbodytext"/>
      </w:pPr>
      <w:r>
        <w:t xml:space="preserve">Overall, the impacts on consumption and dwelling investment are expected to reduce the GST pool by $5.1 billion in 2021-22. This reduction in the GST pool would result in a fall in the </w:t>
      </w:r>
      <w:r w:rsidRPr="00081995">
        <w:t>ACT’s GST revenue</w:t>
      </w:r>
      <w:r w:rsidRPr="00081995" w:rsidDel="00373E33">
        <w:t xml:space="preserve"> </w:t>
      </w:r>
      <w:r>
        <w:t>of</w:t>
      </w:r>
      <w:r w:rsidRPr="00081995">
        <w:t xml:space="preserve"> </w:t>
      </w:r>
      <w:r>
        <w:t xml:space="preserve">$100 million in 2021-22, compared to the estimates in </w:t>
      </w:r>
      <w:r w:rsidRPr="00081995">
        <w:t xml:space="preserve">the </w:t>
      </w:r>
      <w:r w:rsidRPr="008F7F0F">
        <w:t>2021</w:t>
      </w:r>
      <w:r w:rsidRPr="008F7F0F">
        <w:noBreakHyphen/>
        <w:t>22 Commonwealth Budget</w:t>
      </w:r>
      <w:r>
        <w:t>.</w:t>
      </w:r>
      <w:r w:rsidRPr="00081995">
        <w:t xml:space="preserve"> </w:t>
      </w:r>
    </w:p>
    <w:p w14:paraId="0002E1A2" w14:textId="77777777" w:rsidR="00A60D4B" w:rsidRDefault="00A60D4B" w:rsidP="00A60D4B">
      <w:pPr>
        <w:pStyle w:val="Bbodytext"/>
        <w:keepNext/>
        <w:keepLines/>
        <w:rPr>
          <w:i/>
          <w:iCs/>
        </w:rPr>
      </w:pPr>
      <w:r>
        <w:lastRenderedPageBreak/>
        <w:t>Although a strong recovery is expected in 2022-23, t</w:t>
      </w:r>
      <w:r w:rsidRPr="00081995">
        <w:t>h</w:t>
      </w:r>
      <w:r>
        <w:t>e</w:t>
      </w:r>
      <w:r w:rsidRPr="00081995">
        <w:t xml:space="preserve"> </w:t>
      </w:r>
      <w:r>
        <w:t>growth</w:t>
      </w:r>
      <w:r w:rsidRPr="00081995">
        <w:t xml:space="preserve"> in </w:t>
      </w:r>
      <w:r>
        <w:t xml:space="preserve">household </w:t>
      </w:r>
      <w:r w:rsidRPr="00081995">
        <w:t xml:space="preserve">consumption is not expected to be </w:t>
      </w:r>
      <w:r>
        <w:t xml:space="preserve">robust enough to recover the loss in the GST pool over the forward estimates period. </w:t>
      </w:r>
      <w:r w:rsidRPr="00081995">
        <w:t>Overall, a reduction of $</w:t>
      </w:r>
      <w:r>
        <w:t>16.6</w:t>
      </w:r>
      <w:r w:rsidRPr="00081995">
        <w:t xml:space="preserve"> billion in the GST pool has been forecast over the budget and forward estimates period in comparison to the forecasts in the </w:t>
      </w:r>
      <w:r w:rsidRPr="008F7F0F">
        <w:rPr>
          <w:iCs/>
        </w:rPr>
        <w:t>2021</w:t>
      </w:r>
      <w:r>
        <w:rPr>
          <w:iCs/>
        </w:rPr>
        <w:noBreakHyphen/>
      </w:r>
      <w:r w:rsidRPr="008F7F0F">
        <w:rPr>
          <w:iCs/>
        </w:rPr>
        <w:t>22</w:t>
      </w:r>
      <w:r>
        <w:rPr>
          <w:iCs/>
        </w:rPr>
        <w:t> </w:t>
      </w:r>
      <w:r w:rsidRPr="008F7F0F">
        <w:rPr>
          <w:iCs/>
        </w:rPr>
        <w:t>Commonwealth Budget</w:t>
      </w:r>
      <w:r w:rsidRPr="00081995">
        <w:t xml:space="preserve">. </w:t>
      </w:r>
      <w:r>
        <w:t xml:space="preserve">As a result, the ACT’s GST revenue is expected to fall by </w:t>
      </w:r>
      <w:r w:rsidRPr="00081995">
        <w:t>$</w:t>
      </w:r>
      <w:r>
        <w:t>267</w:t>
      </w:r>
      <w:r w:rsidRPr="00081995">
        <w:t> million over the five</w:t>
      </w:r>
      <w:r>
        <w:t>-</w:t>
      </w:r>
      <w:r w:rsidRPr="00081995">
        <w:t>year period 2020-21 to 2024-25</w:t>
      </w:r>
      <w:r>
        <w:t xml:space="preserve"> compared to the estimates in the </w:t>
      </w:r>
      <w:r w:rsidRPr="008F7F0F">
        <w:t>2021-22 Commonwealth Budget</w:t>
      </w:r>
      <w:r>
        <w:rPr>
          <w:i/>
          <w:iCs/>
        </w:rPr>
        <w:t xml:space="preserve">. </w:t>
      </w:r>
    </w:p>
    <w:p w14:paraId="0996B3F6" w14:textId="77777777" w:rsidR="00A60D4B" w:rsidRPr="00081995" w:rsidRDefault="00A60D4B" w:rsidP="00A60D4B">
      <w:pPr>
        <w:pStyle w:val="Bbodytext"/>
      </w:pPr>
      <w:r>
        <w:t xml:space="preserve">Despite the reduction in the GST pool calculated by the ACT Government, the current estimates are still higher than the GST pool estimates in the </w:t>
      </w:r>
      <w:r w:rsidRPr="008F7F0F">
        <w:t>2020-21 Budget</w:t>
      </w:r>
      <w:r>
        <w:t xml:space="preserve">. This increased GST pool is expected to contribute around $216 million of the $231 million higher GST revenue share that the ACT is expected to receive in comparison to the estimates in the </w:t>
      </w:r>
      <w:r w:rsidRPr="008F7F0F">
        <w:t>2020-21 Budget</w:t>
      </w:r>
      <w:r>
        <w:t xml:space="preserve"> over the four-year period to 2023-24. </w:t>
      </w:r>
    </w:p>
    <w:p w14:paraId="75828901" w14:textId="77777777" w:rsidR="00A60D4B" w:rsidRPr="00D26443" w:rsidRDefault="00A60D4B" w:rsidP="00A60D4B">
      <w:pPr>
        <w:pStyle w:val="Heading4"/>
      </w:pPr>
      <w:r w:rsidRPr="00D26443">
        <w:t>Population</w:t>
      </w:r>
    </w:p>
    <w:p w14:paraId="2BCEF295" w14:textId="77777777" w:rsidR="00A60D4B" w:rsidRDefault="00A60D4B" w:rsidP="00A60D4B">
      <w:pPr>
        <w:spacing w:after="0" w:line="240" w:lineRule="auto"/>
        <w:rPr>
          <w:lang w:eastAsia="en-AU"/>
        </w:rPr>
      </w:pPr>
      <w:r w:rsidRPr="002974C2">
        <w:rPr>
          <w:sz w:val="24"/>
        </w:rPr>
        <w:t xml:space="preserve">Compared to the ACT population shares expected at the time of the </w:t>
      </w:r>
      <w:r w:rsidRPr="008F7F0F">
        <w:rPr>
          <w:iCs/>
          <w:sz w:val="24"/>
        </w:rPr>
        <w:t>2020-21 Budget</w:t>
      </w:r>
      <w:r w:rsidRPr="002974C2">
        <w:rPr>
          <w:sz w:val="24"/>
        </w:rPr>
        <w:t xml:space="preserve">, the </w:t>
      </w:r>
      <w:r w:rsidRPr="008F7F0F">
        <w:rPr>
          <w:iCs/>
          <w:sz w:val="24"/>
        </w:rPr>
        <w:t>2021-22 Commonwealth Budget</w:t>
      </w:r>
      <w:r w:rsidRPr="002974C2">
        <w:rPr>
          <w:sz w:val="24"/>
        </w:rPr>
        <w:t xml:space="preserve"> reduced </w:t>
      </w:r>
      <w:r>
        <w:rPr>
          <w:sz w:val="24"/>
        </w:rPr>
        <w:t xml:space="preserve">the </w:t>
      </w:r>
      <w:r w:rsidRPr="002974C2">
        <w:rPr>
          <w:sz w:val="24"/>
        </w:rPr>
        <w:t>ACT’s population shares by 0.005 to 0.009</w:t>
      </w:r>
      <w:r>
        <w:rPr>
          <w:sz w:val="24"/>
        </w:rPr>
        <w:t> </w:t>
      </w:r>
      <w:r w:rsidRPr="002974C2">
        <w:rPr>
          <w:sz w:val="24"/>
        </w:rPr>
        <w:t xml:space="preserve">percentage points over the three years to 2023-24. This change was largely driven by the revised assumption in the </w:t>
      </w:r>
      <w:r w:rsidRPr="008F7F0F">
        <w:rPr>
          <w:iCs/>
          <w:sz w:val="24"/>
        </w:rPr>
        <w:t>2021-22 Commonwealth Budget</w:t>
      </w:r>
      <w:r w:rsidRPr="002974C2">
        <w:rPr>
          <w:sz w:val="24"/>
        </w:rPr>
        <w:t xml:space="preserve"> on the re</w:t>
      </w:r>
      <w:r>
        <w:rPr>
          <w:sz w:val="24"/>
        </w:rPr>
        <w:t>-</w:t>
      </w:r>
      <w:r w:rsidRPr="002974C2">
        <w:rPr>
          <w:sz w:val="24"/>
        </w:rPr>
        <w:t>opening of international borders from end-2021 to mid-2022. This revision significantly affects overseas</w:t>
      </w:r>
      <w:r w:rsidRPr="00454A3A">
        <w:rPr>
          <w:sz w:val="24"/>
          <w:szCs w:val="24"/>
          <w:lang w:eastAsia="en-AU"/>
        </w:rPr>
        <w:t xml:space="preserve"> migration, </w:t>
      </w:r>
      <w:r>
        <w:rPr>
          <w:sz w:val="24"/>
          <w:szCs w:val="24"/>
          <w:lang w:eastAsia="en-AU"/>
        </w:rPr>
        <w:t xml:space="preserve">especially certain migrant groups </w:t>
      </w:r>
      <w:r w:rsidRPr="00454A3A">
        <w:rPr>
          <w:sz w:val="24"/>
          <w:szCs w:val="24"/>
          <w:lang w:eastAsia="en-AU"/>
        </w:rPr>
        <w:t>which account for a relatively greater share of population growth in the ACT than elsewhere in Australia. This has reduced the ACT’s GST share by about $1</w:t>
      </w:r>
      <w:r>
        <w:rPr>
          <w:sz w:val="24"/>
          <w:szCs w:val="24"/>
          <w:lang w:eastAsia="en-AU"/>
        </w:rPr>
        <w:t>6</w:t>
      </w:r>
      <w:r w:rsidRPr="00454A3A">
        <w:rPr>
          <w:sz w:val="24"/>
          <w:szCs w:val="24"/>
          <w:lang w:eastAsia="en-AU"/>
        </w:rPr>
        <w:t> million over the three-year period.</w:t>
      </w:r>
    </w:p>
    <w:p w14:paraId="3D3D0B61" w14:textId="77777777" w:rsidR="00A60D4B" w:rsidRDefault="00A60D4B" w:rsidP="00A60D4B">
      <w:pPr>
        <w:pStyle w:val="Bbodytext"/>
        <w:rPr>
          <w:lang w:eastAsia="en-AU"/>
        </w:rPr>
      </w:pPr>
      <w:r>
        <w:rPr>
          <w:lang w:eastAsia="en-AU"/>
        </w:rPr>
        <w:t xml:space="preserve">Since the </w:t>
      </w:r>
      <w:r w:rsidRPr="008F7F0F">
        <w:rPr>
          <w:lang w:eastAsia="en-AU"/>
        </w:rPr>
        <w:t>2021-22 Commonwealth Budget</w:t>
      </w:r>
      <w:r>
        <w:rPr>
          <w:i/>
          <w:iCs/>
          <w:lang w:eastAsia="en-AU"/>
        </w:rPr>
        <w:t xml:space="preserve">, </w:t>
      </w:r>
      <w:r w:rsidRPr="00454A3A">
        <w:rPr>
          <w:lang w:eastAsia="en-AU"/>
        </w:rPr>
        <w:t>more up-to-date population data has been released by the ABS which suggests a slightly more positive outlook for the ACT’s population growth consistent with those in the 2020-21 Budget. In addition, given the significant increase in vaccination rates across Australia, international borders could re</w:t>
      </w:r>
      <w:r>
        <w:rPr>
          <w:lang w:eastAsia="en-AU"/>
        </w:rPr>
        <w:t>-</w:t>
      </w:r>
      <w:r w:rsidRPr="00454A3A">
        <w:rPr>
          <w:lang w:eastAsia="en-AU"/>
        </w:rPr>
        <w:t>open by the end of 2021 under the National Plan.</w:t>
      </w:r>
      <w:r>
        <w:rPr>
          <w:i/>
          <w:iCs/>
          <w:lang w:eastAsia="en-AU"/>
        </w:rPr>
        <w:t xml:space="preserve"> </w:t>
      </w:r>
      <w:r w:rsidRPr="00454A3A">
        <w:rPr>
          <w:lang w:eastAsia="en-AU"/>
        </w:rPr>
        <w:t xml:space="preserve">However, given the uncertainty associated with the outlook for population, the ACT’s population share as reflected in the </w:t>
      </w:r>
      <w:r w:rsidRPr="008F7F0F">
        <w:rPr>
          <w:lang w:eastAsia="en-AU"/>
        </w:rPr>
        <w:t xml:space="preserve">2021-22 Commonwealth Budget </w:t>
      </w:r>
      <w:r w:rsidRPr="00454A3A">
        <w:rPr>
          <w:lang w:eastAsia="en-AU"/>
        </w:rPr>
        <w:t>has been adopted in the GST revenue forecasts in this Budget. As a result, there is some upside potential for GST revenue from our population share.</w:t>
      </w:r>
    </w:p>
    <w:p w14:paraId="69EA6C7D" w14:textId="77777777" w:rsidR="00A60D4B" w:rsidRPr="00D26443" w:rsidRDefault="00A60D4B" w:rsidP="00A60D4B">
      <w:pPr>
        <w:pStyle w:val="Heading4"/>
      </w:pPr>
      <w:r w:rsidRPr="00D26443">
        <w:t>GST relativity</w:t>
      </w:r>
    </w:p>
    <w:p w14:paraId="6150F8F6" w14:textId="77777777" w:rsidR="00A60D4B" w:rsidRDefault="00A60D4B" w:rsidP="00A60D4B">
      <w:pPr>
        <w:pStyle w:val="Bbodytext"/>
      </w:pPr>
      <w:r>
        <w:t xml:space="preserve">Despite a forecast reduction in the GST pool in comparison to the </w:t>
      </w:r>
      <w:r w:rsidRPr="008F7F0F">
        <w:t>2021-22 Commonwealth Budget</w:t>
      </w:r>
      <w:r>
        <w:t xml:space="preserve">, the ACT’s GST revenue share in 2021-22 is expected </w:t>
      </w:r>
      <w:r w:rsidRPr="00F47F5A">
        <w:t>to increase by $</w:t>
      </w:r>
      <w:r>
        <w:t>19</w:t>
      </w:r>
      <w:r w:rsidRPr="00F47F5A">
        <w:t xml:space="preserve"> million compared to </w:t>
      </w:r>
      <w:r>
        <w:t xml:space="preserve">current estimates for </w:t>
      </w:r>
      <w:r w:rsidRPr="00F47F5A">
        <w:t>2020-21. This increase</w:t>
      </w:r>
      <w:r>
        <w:t>, while largely due to a proportion of the higher national GST collections in 2020-21 flowing</w:t>
      </w:r>
      <w:r w:rsidRPr="00F47F5A">
        <w:t xml:space="preserve"> </w:t>
      </w:r>
      <w:r>
        <w:t>to the ACT in 2021-22, in part reflects the increase in the ACT’s GST relativity in 2021-22 to 1.16266, up from 1.15112 in 2020-21.</w:t>
      </w:r>
    </w:p>
    <w:p w14:paraId="7A6BD160" w14:textId="77777777" w:rsidR="00A60D4B" w:rsidRPr="00923518" w:rsidRDefault="00A60D4B" w:rsidP="00A60D4B">
      <w:pPr>
        <w:keepNext/>
        <w:keepLines/>
        <w:spacing w:before="120" w:after="120" w:line="240" w:lineRule="auto"/>
        <w:rPr>
          <w:sz w:val="24"/>
          <w:szCs w:val="24"/>
        </w:rPr>
      </w:pPr>
      <w:r>
        <w:rPr>
          <w:sz w:val="24"/>
          <w:szCs w:val="24"/>
        </w:rPr>
        <w:lastRenderedPageBreak/>
        <w:t>In its 2021 Update, the CGC assessed that the ACT’s fiscal capacity had weakened largely because our relative</w:t>
      </w:r>
      <w:r w:rsidDel="000B7B3D">
        <w:rPr>
          <w:sz w:val="24"/>
          <w:szCs w:val="24"/>
        </w:rPr>
        <w:t xml:space="preserve"> </w:t>
      </w:r>
      <w:r>
        <w:rPr>
          <w:sz w:val="24"/>
          <w:szCs w:val="24"/>
        </w:rPr>
        <w:t xml:space="preserve">ability to raise own source revenue decreased due to increases in mining royalties in Western Australia and below-average growth in taxable payrolls. This was offset by the CGC assessing lower investment needs for the ACT and because total state and territory expenses per capita grew faster than GST receipts, which reduces the ACT’s GST share as we generally have lower assessed expenses than the other states and territories. </w:t>
      </w:r>
      <w:r w:rsidRPr="00923518">
        <w:rPr>
          <w:sz w:val="24"/>
          <w:szCs w:val="24"/>
        </w:rPr>
        <w:t xml:space="preserve">Table </w:t>
      </w:r>
      <w:r>
        <w:rPr>
          <w:sz w:val="24"/>
          <w:szCs w:val="24"/>
        </w:rPr>
        <w:t>3.6.1</w:t>
      </w:r>
      <w:r w:rsidRPr="00923518">
        <w:rPr>
          <w:sz w:val="24"/>
          <w:szCs w:val="24"/>
        </w:rPr>
        <w:t xml:space="preserve"> shows the per capita relativities to be used for distributing GST revenue</w:t>
      </w:r>
      <w:r>
        <w:rPr>
          <w:sz w:val="24"/>
          <w:szCs w:val="24"/>
        </w:rPr>
        <w:t>.</w:t>
      </w:r>
    </w:p>
    <w:p w14:paraId="154C522E" w14:textId="6AB8D0B9" w:rsidR="00A60D4B" w:rsidRDefault="00A60D4B" w:rsidP="00A60D4B">
      <w:pPr>
        <w:pStyle w:val="Caption"/>
        <w:keepLines/>
      </w:pPr>
      <w:bookmarkStart w:id="115" w:name="_Hlk79050877"/>
      <w:r w:rsidRPr="00EC1EF1">
        <w:t>Table</w:t>
      </w:r>
      <w:r>
        <w:t xml:space="preserve"> 3.6.1 GST relativities 2016-17 to 2021-22</w:t>
      </w:r>
    </w:p>
    <w:tbl>
      <w:tblPr>
        <w:tblW w:w="9016" w:type="dxa"/>
        <w:tblLayout w:type="fixed"/>
        <w:tblCellMar>
          <w:left w:w="0" w:type="dxa"/>
          <w:right w:w="0" w:type="dxa"/>
        </w:tblCellMar>
        <w:tblLook w:val="04A0" w:firstRow="1" w:lastRow="0" w:firstColumn="1" w:lastColumn="0" w:noHBand="0" w:noVBand="1"/>
      </w:tblPr>
      <w:tblGrid>
        <w:gridCol w:w="2268"/>
        <w:gridCol w:w="1124"/>
        <w:gridCol w:w="1125"/>
        <w:gridCol w:w="1125"/>
        <w:gridCol w:w="1124"/>
        <w:gridCol w:w="1125"/>
        <w:gridCol w:w="1125"/>
      </w:tblGrid>
      <w:tr w:rsidR="00A60D4B" w:rsidRPr="00923518" w14:paraId="5C30918D" w14:textId="77777777" w:rsidTr="00A60D4B">
        <w:trPr>
          <w:trHeight w:val="313"/>
          <w:tblHeader/>
        </w:trPr>
        <w:tc>
          <w:tcPr>
            <w:tcW w:w="2268" w:type="dxa"/>
            <w:tcBorders>
              <w:top w:val="single" w:sz="4" w:space="0" w:color="auto"/>
              <w:bottom w:val="single" w:sz="4" w:space="0" w:color="auto"/>
            </w:tcBorders>
            <w:shd w:val="clear" w:color="auto" w:fill="472D8C"/>
            <w:noWrap/>
            <w:vAlign w:val="bottom"/>
            <w:hideMark/>
          </w:tcPr>
          <w:p w14:paraId="2BF95D65" w14:textId="77777777" w:rsidR="00A60D4B" w:rsidRPr="00F44ECC" w:rsidRDefault="00A60D4B" w:rsidP="00A60D4B">
            <w:pPr>
              <w:pStyle w:val="EmptyCell0"/>
              <w:rPr>
                <w:color w:val="FFFFFF" w:themeColor="background1"/>
                <w:lang w:eastAsia="en-AU"/>
              </w:rPr>
            </w:pPr>
            <w:r w:rsidRPr="00F44ECC">
              <w:rPr>
                <w:color w:val="FFFFFF" w:themeColor="background1"/>
                <w:lang w:eastAsia="en-AU"/>
              </w:rPr>
              <w:t> </w:t>
            </w:r>
          </w:p>
        </w:tc>
        <w:tc>
          <w:tcPr>
            <w:tcW w:w="1124" w:type="dxa"/>
            <w:tcBorders>
              <w:top w:val="single" w:sz="4" w:space="0" w:color="auto"/>
              <w:bottom w:val="single" w:sz="4" w:space="0" w:color="auto"/>
            </w:tcBorders>
            <w:shd w:val="clear" w:color="auto" w:fill="472D8C"/>
            <w:noWrap/>
            <w:hideMark/>
          </w:tcPr>
          <w:p w14:paraId="1880A564" w14:textId="77777777" w:rsidR="00A60D4B" w:rsidRPr="006F1DF8" w:rsidRDefault="00A60D4B" w:rsidP="006F1DF8">
            <w:pPr>
              <w:pStyle w:val="BStablefiguresbold"/>
              <w:rPr>
                <w:b/>
                <w:bCs w:val="0"/>
                <w:color w:val="FFFFFF" w:themeColor="background1"/>
              </w:rPr>
            </w:pPr>
            <w:r w:rsidRPr="006F1DF8">
              <w:rPr>
                <w:b/>
                <w:bCs w:val="0"/>
                <w:color w:val="FFFFFF" w:themeColor="background1"/>
              </w:rPr>
              <w:t xml:space="preserve">2016-17 </w:t>
            </w:r>
          </w:p>
        </w:tc>
        <w:tc>
          <w:tcPr>
            <w:tcW w:w="1125" w:type="dxa"/>
            <w:tcBorders>
              <w:top w:val="single" w:sz="4" w:space="0" w:color="auto"/>
              <w:bottom w:val="single" w:sz="4" w:space="0" w:color="auto"/>
            </w:tcBorders>
            <w:shd w:val="clear" w:color="auto" w:fill="472D8C"/>
          </w:tcPr>
          <w:p w14:paraId="1A559B90" w14:textId="77777777" w:rsidR="00A60D4B" w:rsidRPr="006F1DF8" w:rsidRDefault="00A60D4B" w:rsidP="006F1DF8">
            <w:pPr>
              <w:pStyle w:val="BStablefiguresbold"/>
              <w:rPr>
                <w:b/>
                <w:bCs w:val="0"/>
                <w:color w:val="FFFFFF" w:themeColor="background1"/>
              </w:rPr>
            </w:pPr>
            <w:r w:rsidRPr="006F1DF8">
              <w:rPr>
                <w:b/>
                <w:bCs w:val="0"/>
                <w:color w:val="FFFFFF" w:themeColor="background1"/>
              </w:rPr>
              <w:t>2017-18</w:t>
            </w:r>
          </w:p>
        </w:tc>
        <w:tc>
          <w:tcPr>
            <w:tcW w:w="1125" w:type="dxa"/>
            <w:tcBorders>
              <w:top w:val="single" w:sz="4" w:space="0" w:color="auto"/>
              <w:bottom w:val="single" w:sz="4" w:space="0" w:color="auto"/>
            </w:tcBorders>
            <w:shd w:val="clear" w:color="auto" w:fill="472D8C"/>
            <w:noWrap/>
            <w:hideMark/>
          </w:tcPr>
          <w:p w14:paraId="613D998F" w14:textId="77777777" w:rsidR="00A60D4B" w:rsidRPr="006F1DF8" w:rsidRDefault="00A60D4B" w:rsidP="006F1DF8">
            <w:pPr>
              <w:pStyle w:val="BStablefiguresbold"/>
              <w:rPr>
                <w:b/>
                <w:bCs w:val="0"/>
                <w:color w:val="FFFFFF" w:themeColor="background1"/>
              </w:rPr>
            </w:pPr>
            <w:r w:rsidRPr="006F1DF8">
              <w:rPr>
                <w:b/>
                <w:bCs w:val="0"/>
                <w:color w:val="FFFFFF" w:themeColor="background1"/>
              </w:rPr>
              <w:t>2018-19</w:t>
            </w:r>
          </w:p>
        </w:tc>
        <w:tc>
          <w:tcPr>
            <w:tcW w:w="1124" w:type="dxa"/>
            <w:tcBorders>
              <w:top w:val="single" w:sz="4" w:space="0" w:color="auto"/>
              <w:bottom w:val="single" w:sz="4" w:space="0" w:color="auto"/>
            </w:tcBorders>
            <w:shd w:val="clear" w:color="auto" w:fill="472D8C"/>
            <w:noWrap/>
            <w:hideMark/>
          </w:tcPr>
          <w:p w14:paraId="0A66616F" w14:textId="1BBC3CDA" w:rsidR="00A60D4B" w:rsidRPr="006F1DF8" w:rsidRDefault="00A60D4B" w:rsidP="006F1DF8">
            <w:pPr>
              <w:pStyle w:val="BStablefiguresbold"/>
              <w:rPr>
                <w:b/>
                <w:bCs w:val="0"/>
                <w:color w:val="FFFFFF" w:themeColor="background1"/>
              </w:rPr>
            </w:pPr>
            <w:r w:rsidRPr="006F1DF8">
              <w:rPr>
                <w:b/>
                <w:bCs w:val="0"/>
                <w:color w:val="FFFFFF" w:themeColor="background1"/>
              </w:rPr>
              <w:t>2019-20</w:t>
            </w:r>
          </w:p>
        </w:tc>
        <w:tc>
          <w:tcPr>
            <w:tcW w:w="1125" w:type="dxa"/>
            <w:tcBorders>
              <w:top w:val="single" w:sz="4" w:space="0" w:color="auto"/>
              <w:bottom w:val="single" w:sz="4" w:space="0" w:color="auto"/>
            </w:tcBorders>
            <w:shd w:val="clear" w:color="auto" w:fill="472D8C"/>
            <w:noWrap/>
            <w:hideMark/>
          </w:tcPr>
          <w:p w14:paraId="14B4950D" w14:textId="77777777" w:rsidR="00A60D4B" w:rsidRPr="006F1DF8" w:rsidRDefault="00A60D4B" w:rsidP="006F1DF8">
            <w:pPr>
              <w:pStyle w:val="BStablefiguresbold"/>
              <w:rPr>
                <w:b/>
                <w:bCs w:val="0"/>
                <w:color w:val="FFFFFF" w:themeColor="background1"/>
              </w:rPr>
            </w:pPr>
            <w:r w:rsidRPr="006F1DF8">
              <w:rPr>
                <w:b/>
                <w:bCs w:val="0"/>
                <w:color w:val="FFFFFF" w:themeColor="background1"/>
              </w:rPr>
              <w:t xml:space="preserve">2020-21 </w:t>
            </w:r>
          </w:p>
        </w:tc>
        <w:tc>
          <w:tcPr>
            <w:tcW w:w="1125" w:type="dxa"/>
            <w:tcBorders>
              <w:top w:val="single" w:sz="4" w:space="0" w:color="auto"/>
              <w:bottom w:val="single" w:sz="4" w:space="0" w:color="auto"/>
            </w:tcBorders>
            <w:shd w:val="clear" w:color="auto" w:fill="472D8C"/>
            <w:noWrap/>
            <w:hideMark/>
          </w:tcPr>
          <w:p w14:paraId="6EC6D043" w14:textId="77777777" w:rsidR="00A60D4B" w:rsidRPr="006F1DF8" w:rsidRDefault="00A60D4B" w:rsidP="006F1DF8">
            <w:pPr>
              <w:pStyle w:val="BStablefiguresbold"/>
              <w:rPr>
                <w:b/>
                <w:bCs w:val="0"/>
                <w:color w:val="FFFFFF" w:themeColor="background1"/>
              </w:rPr>
            </w:pPr>
            <w:r w:rsidRPr="006F1DF8">
              <w:rPr>
                <w:b/>
                <w:bCs w:val="0"/>
                <w:color w:val="FFFFFF" w:themeColor="background1"/>
              </w:rPr>
              <w:t>2021-22</w:t>
            </w:r>
          </w:p>
        </w:tc>
      </w:tr>
      <w:tr w:rsidR="00A60D4B" w:rsidRPr="00923518" w14:paraId="60790A65" w14:textId="77777777" w:rsidTr="00A60D4B">
        <w:trPr>
          <w:trHeight w:val="263"/>
        </w:trPr>
        <w:tc>
          <w:tcPr>
            <w:tcW w:w="2268" w:type="dxa"/>
            <w:tcBorders>
              <w:top w:val="single" w:sz="4" w:space="0" w:color="auto"/>
            </w:tcBorders>
            <w:shd w:val="clear" w:color="auto" w:fill="auto"/>
            <w:vAlign w:val="bottom"/>
            <w:hideMark/>
          </w:tcPr>
          <w:p w14:paraId="4E4CA7C3" w14:textId="77777777" w:rsidR="00A60D4B" w:rsidRPr="006F1DF8" w:rsidRDefault="00A60D4B" w:rsidP="006F1DF8">
            <w:pPr>
              <w:pStyle w:val="BStabletext"/>
            </w:pPr>
            <w:r w:rsidRPr="006F1DF8">
              <w:t>New South Wales</w:t>
            </w:r>
          </w:p>
        </w:tc>
        <w:tc>
          <w:tcPr>
            <w:tcW w:w="1124" w:type="dxa"/>
            <w:tcBorders>
              <w:top w:val="single" w:sz="4" w:space="0" w:color="auto"/>
            </w:tcBorders>
            <w:shd w:val="clear" w:color="auto" w:fill="auto"/>
          </w:tcPr>
          <w:p w14:paraId="6DCCC000" w14:textId="77777777" w:rsidR="00A60D4B" w:rsidRPr="006F1DF8" w:rsidRDefault="00A60D4B" w:rsidP="006F1DF8">
            <w:pPr>
              <w:pStyle w:val="BStablefigures"/>
              <w:rPr>
                <w:b w:val="0"/>
                <w:bCs w:val="0"/>
              </w:rPr>
            </w:pPr>
            <w:r w:rsidRPr="006F1DF8">
              <w:rPr>
                <w:b w:val="0"/>
                <w:bCs w:val="0"/>
              </w:rPr>
              <w:t>0.90464</w:t>
            </w:r>
          </w:p>
        </w:tc>
        <w:tc>
          <w:tcPr>
            <w:tcW w:w="1125" w:type="dxa"/>
            <w:tcBorders>
              <w:top w:val="single" w:sz="4" w:space="0" w:color="auto"/>
            </w:tcBorders>
            <w:shd w:val="clear" w:color="auto" w:fill="auto"/>
          </w:tcPr>
          <w:p w14:paraId="62EEA9DF" w14:textId="77777777" w:rsidR="00A60D4B" w:rsidRPr="006F1DF8" w:rsidRDefault="00A60D4B" w:rsidP="006F1DF8">
            <w:pPr>
              <w:pStyle w:val="BStablefigures"/>
              <w:rPr>
                <w:b w:val="0"/>
                <w:bCs w:val="0"/>
              </w:rPr>
            </w:pPr>
            <w:r w:rsidRPr="006F1DF8">
              <w:rPr>
                <w:b w:val="0"/>
                <w:bCs w:val="0"/>
              </w:rPr>
              <w:t>0.87672</w:t>
            </w:r>
          </w:p>
        </w:tc>
        <w:tc>
          <w:tcPr>
            <w:tcW w:w="1125" w:type="dxa"/>
            <w:tcBorders>
              <w:top w:val="single" w:sz="4" w:space="0" w:color="auto"/>
            </w:tcBorders>
            <w:shd w:val="clear" w:color="auto" w:fill="auto"/>
          </w:tcPr>
          <w:p w14:paraId="78F7C32C" w14:textId="77777777" w:rsidR="00A60D4B" w:rsidRPr="006F1DF8" w:rsidRDefault="00A60D4B" w:rsidP="006F1DF8">
            <w:pPr>
              <w:pStyle w:val="BStablefigures"/>
              <w:rPr>
                <w:b w:val="0"/>
                <w:bCs w:val="0"/>
              </w:rPr>
            </w:pPr>
            <w:r w:rsidRPr="006F1DF8">
              <w:rPr>
                <w:b w:val="0"/>
                <w:bCs w:val="0"/>
              </w:rPr>
              <w:t>0.85517</w:t>
            </w:r>
          </w:p>
        </w:tc>
        <w:tc>
          <w:tcPr>
            <w:tcW w:w="1124" w:type="dxa"/>
            <w:tcBorders>
              <w:top w:val="single" w:sz="4" w:space="0" w:color="auto"/>
            </w:tcBorders>
            <w:shd w:val="clear" w:color="auto" w:fill="auto"/>
          </w:tcPr>
          <w:p w14:paraId="54077627" w14:textId="77777777" w:rsidR="00A60D4B" w:rsidRPr="006F1DF8" w:rsidRDefault="00A60D4B" w:rsidP="006F1DF8">
            <w:pPr>
              <w:pStyle w:val="BStablefigures"/>
              <w:rPr>
                <w:b w:val="0"/>
                <w:bCs w:val="0"/>
              </w:rPr>
            </w:pPr>
            <w:r w:rsidRPr="006F1DF8">
              <w:rPr>
                <w:b w:val="0"/>
                <w:bCs w:val="0"/>
              </w:rPr>
              <w:t>0.87013</w:t>
            </w:r>
          </w:p>
        </w:tc>
        <w:tc>
          <w:tcPr>
            <w:tcW w:w="1125" w:type="dxa"/>
            <w:tcBorders>
              <w:top w:val="single" w:sz="4" w:space="0" w:color="auto"/>
            </w:tcBorders>
            <w:shd w:val="clear" w:color="auto" w:fill="D0CECE" w:themeFill="background2" w:themeFillShade="E6"/>
          </w:tcPr>
          <w:p w14:paraId="3D4CAA15" w14:textId="77777777" w:rsidR="00A60D4B" w:rsidRPr="006F1DF8" w:rsidRDefault="00A60D4B" w:rsidP="006F1DF8">
            <w:pPr>
              <w:pStyle w:val="BStablefigures"/>
              <w:rPr>
                <w:b w:val="0"/>
                <w:bCs w:val="0"/>
              </w:rPr>
            </w:pPr>
            <w:r w:rsidRPr="006F1DF8">
              <w:rPr>
                <w:b w:val="0"/>
                <w:bCs w:val="0"/>
              </w:rPr>
              <w:t>0.91808</w:t>
            </w:r>
          </w:p>
        </w:tc>
        <w:tc>
          <w:tcPr>
            <w:tcW w:w="1125" w:type="dxa"/>
            <w:tcBorders>
              <w:top w:val="single" w:sz="4" w:space="0" w:color="auto"/>
            </w:tcBorders>
            <w:shd w:val="clear" w:color="auto" w:fill="auto"/>
          </w:tcPr>
          <w:p w14:paraId="4125C165" w14:textId="77777777" w:rsidR="00A60D4B" w:rsidRPr="008E3B60" w:rsidRDefault="00A60D4B" w:rsidP="006F1DF8">
            <w:pPr>
              <w:pStyle w:val="BStablefiguresbold"/>
            </w:pPr>
            <w:r w:rsidRPr="008E3B60">
              <w:t>0.95617</w:t>
            </w:r>
          </w:p>
        </w:tc>
      </w:tr>
      <w:tr w:rsidR="00A60D4B" w:rsidRPr="00923518" w14:paraId="66B93FCB" w14:textId="77777777" w:rsidTr="00A60D4B">
        <w:trPr>
          <w:trHeight w:val="263"/>
        </w:trPr>
        <w:tc>
          <w:tcPr>
            <w:tcW w:w="2268" w:type="dxa"/>
            <w:shd w:val="clear" w:color="auto" w:fill="auto"/>
            <w:noWrap/>
            <w:vAlign w:val="bottom"/>
            <w:hideMark/>
          </w:tcPr>
          <w:p w14:paraId="1E90A234" w14:textId="77777777" w:rsidR="00A60D4B" w:rsidRPr="006F1DF8" w:rsidRDefault="00A60D4B" w:rsidP="006F1DF8">
            <w:pPr>
              <w:pStyle w:val="BStabletext"/>
            </w:pPr>
            <w:r w:rsidRPr="006F1DF8">
              <w:t>Victoria</w:t>
            </w:r>
          </w:p>
        </w:tc>
        <w:tc>
          <w:tcPr>
            <w:tcW w:w="1124" w:type="dxa"/>
            <w:shd w:val="clear" w:color="auto" w:fill="auto"/>
            <w:noWrap/>
          </w:tcPr>
          <w:p w14:paraId="2DAB72BE" w14:textId="77777777" w:rsidR="00A60D4B" w:rsidRPr="006F1DF8" w:rsidRDefault="00A60D4B" w:rsidP="006F1DF8">
            <w:pPr>
              <w:pStyle w:val="BStablefigures"/>
              <w:rPr>
                <w:b w:val="0"/>
                <w:bCs w:val="0"/>
              </w:rPr>
            </w:pPr>
            <w:r w:rsidRPr="006F1DF8">
              <w:rPr>
                <w:b w:val="0"/>
                <w:bCs w:val="0"/>
              </w:rPr>
              <w:t>0.90967</w:t>
            </w:r>
          </w:p>
        </w:tc>
        <w:tc>
          <w:tcPr>
            <w:tcW w:w="1125" w:type="dxa"/>
            <w:shd w:val="clear" w:color="auto" w:fill="auto"/>
          </w:tcPr>
          <w:p w14:paraId="255DB24D" w14:textId="77777777" w:rsidR="00A60D4B" w:rsidRPr="006F1DF8" w:rsidRDefault="00A60D4B" w:rsidP="006F1DF8">
            <w:pPr>
              <w:pStyle w:val="BStablefigures"/>
              <w:rPr>
                <w:b w:val="0"/>
                <w:bCs w:val="0"/>
              </w:rPr>
            </w:pPr>
            <w:r w:rsidRPr="006F1DF8">
              <w:rPr>
                <w:b w:val="0"/>
                <w:bCs w:val="0"/>
              </w:rPr>
              <w:t>0.93239</w:t>
            </w:r>
          </w:p>
        </w:tc>
        <w:tc>
          <w:tcPr>
            <w:tcW w:w="1125" w:type="dxa"/>
            <w:shd w:val="clear" w:color="auto" w:fill="auto"/>
            <w:noWrap/>
          </w:tcPr>
          <w:p w14:paraId="168DEE32" w14:textId="77777777" w:rsidR="00A60D4B" w:rsidRPr="006F1DF8" w:rsidRDefault="00A60D4B" w:rsidP="006F1DF8">
            <w:pPr>
              <w:pStyle w:val="BStablefigures"/>
              <w:rPr>
                <w:b w:val="0"/>
                <w:bCs w:val="0"/>
              </w:rPr>
            </w:pPr>
            <w:r w:rsidRPr="006F1DF8">
              <w:rPr>
                <w:b w:val="0"/>
                <w:bCs w:val="0"/>
              </w:rPr>
              <w:t>0.98670</w:t>
            </w:r>
          </w:p>
        </w:tc>
        <w:tc>
          <w:tcPr>
            <w:tcW w:w="1124" w:type="dxa"/>
            <w:shd w:val="clear" w:color="auto" w:fill="auto"/>
            <w:noWrap/>
          </w:tcPr>
          <w:p w14:paraId="5DF7ACCF" w14:textId="77777777" w:rsidR="00A60D4B" w:rsidRPr="006F1DF8" w:rsidRDefault="00A60D4B" w:rsidP="006F1DF8">
            <w:pPr>
              <w:pStyle w:val="BStablefigures"/>
              <w:rPr>
                <w:b w:val="0"/>
                <w:bCs w:val="0"/>
              </w:rPr>
            </w:pPr>
            <w:r w:rsidRPr="006F1DF8">
              <w:rPr>
                <w:b w:val="0"/>
                <w:bCs w:val="0"/>
              </w:rPr>
              <w:t>0.98273</w:t>
            </w:r>
          </w:p>
        </w:tc>
        <w:tc>
          <w:tcPr>
            <w:tcW w:w="1125" w:type="dxa"/>
            <w:shd w:val="clear" w:color="auto" w:fill="D0CECE" w:themeFill="background2" w:themeFillShade="E6"/>
            <w:noWrap/>
          </w:tcPr>
          <w:p w14:paraId="01AD6755" w14:textId="77777777" w:rsidR="00A60D4B" w:rsidRPr="006F1DF8" w:rsidRDefault="00A60D4B" w:rsidP="006F1DF8">
            <w:pPr>
              <w:pStyle w:val="BStablefigures"/>
              <w:rPr>
                <w:b w:val="0"/>
                <w:bCs w:val="0"/>
              </w:rPr>
            </w:pPr>
            <w:r w:rsidRPr="006F1DF8">
              <w:rPr>
                <w:b w:val="0"/>
                <w:bCs w:val="0"/>
              </w:rPr>
              <w:t>0.95992</w:t>
            </w:r>
          </w:p>
        </w:tc>
        <w:tc>
          <w:tcPr>
            <w:tcW w:w="1125" w:type="dxa"/>
            <w:shd w:val="clear" w:color="auto" w:fill="auto"/>
            <w:noWrap/>
          </w:tcPr>
          <w:p w14:paraId="7461CB18" w14:textId="77777777" w:rsidR="00A60D4B" w:rsidRPr="008E3B60" w:rsidRDefault="00A60D4B" w:rsidP="006F1DF8">
            <w:pPr>
              <w:pStyle w:val="BStablefiguresbold"/>
            </w:pPr>
            <w:r w:rsidRPr="008E3B60">
              <w:t>0.92335</w:t>
            </w:r>
          </w:p>
        </w:tc>
      </w:tr>
      <w:tr w:rsidR="00A60D4B" w:rsidRPr="00923518" w14:paraId="7F9615A6" w14:textId="77777777" w:rsidTr="00A60D4B">
        <w:trPr>
          <w:trHeight w:val="263"/>
        </w:trPr>
        <w:tc>
          <w:tcPr>
            <w:tcW w:w="2268" w:type="dxa"/>
            <w:shd w:val="clear" w:color="auto" w:fill="auto"/>
            <w:noWrap/>
            <w:vAlign w:val="bottom"/>
            <w:hideMark/>
          </w:tcPr>
          <w:p w14:paraId="6BD14B0D" w14:textId="77777777" w:rsidR="00A60D4B" w:rsidRPr="006F1DF8" w:rsidRDefault="00A60D4B" w:rsidP="006F1DF8">
            <w:pPr>
              <w:pStyle w:val="BStabletext"/>
            </w:pPr>
            <w:r w:rsidRPr="006F1DF8">
              <w:t>Queensland</w:t>
            </w:r>
          </w:p>
        </w:tc>
        <w:tc>
          <w:tcPr>
            <w:tcW w:w="1124" w:type="dxa"/>
            <w:shd w:val="clear" w:color="auto" w:fill="auto"/>
            <w:noWrap/>
          </w:tcPr>
          <w:p w14:paraId="573918AC" w14:textId="77777777" w:rsidR="00A60D4B" w:rsidRPr="006F1DF8" w:rsidRDefault="00A60D4B" w:rsidP="006F1DF8">
            <w:pPr>
              <w:pStyle w:val="BStablefigures"/>
              <w:rPr>
                <w:b w:val="0"/>
                <w:bCs w:val="0"/>
              </w:rPr>
            </w:pPr>
            <w:r w:rsidRPr="006F1DF8">
              <w:rPr>
                <w:b w:val="0"/>
                <w:bCs w:val="0"/>
              </w:rPr>
              <w:t>1.17109</w:t>
            </w:r>
          </w:p>
        </w:tc>
        <w:tc>
          <w:tcPr>
            <w:tcW w:w="1125" w:type="dxa"/>
            <w:shd w:val="clear" w:color="auto" w:fill="auto"/>
          </w:tcPr>
          <w:p w14:paraId="44746E81" w14:textId="77777777" w:rsidR="00A60D4B" w:rsidRPr="006F1DF8" w:rsidRDefault="00A60D4B" w:rsidP="006F1DF8">
            <w:pPr>
              <w:pStyle w:val="BStablefigures"/>
              <w:rPr>
                <w:b w:val="0"/>
                <w:bCs w:val="0"/>
              </w:rPr>
            </w:pPr>
            <w:r w:rsidRPr="006F1DF8">
              <w:rPr>
                <w:b w:val="0"/>
                <w:bCs w:val="0"/>
              </w:rPr>
              <w:t>1.18769</w:t>
            </w:r>
          </w:p>
        </w:tc>
        <w:tc>
          <w:tcPr>
            <w:tcW w:w="1125" w:type="dxa"/>
            <w:shd w:val="clear" w:color="auto" w:fill="auto"/>
            <w:noWrap/>
          </w:tcPr>
          <w:p w14:paraId="41C0138B" w14:textId="77777777" w:rsidR="00A60D4B" w:rsidRPr="006F1DF8" w:rsidRDefault="00A60D4B" w:rsidP="006F1DF8">
            <w:pPr>
              <w:pStyle w:val="BStablefigures"/>
              <w:rPr>
                <w:b w:val="0"/>
                <w:bCs w:val="0"/>
              </w:rPr>
            </w:pPr>
            <w:r w:rsidRPr="006F1DF8">
              <w:rPr>
                <w:b w:val="0"/>
                <w:bCs w:val="0"/>
              </w:rPr>
              <w:t>1.09584</w:t>
            </w:r>
          </w:p>
        </w:tc>
        <w:tc>
          <w:tcPr>
            <w:tcW w:w="1124" w:type="dxa"/>
            <w:shd w:val="clear" w:color="auto" w:fill="auto"/>
            <w:noWrap/>
          </w:tcPr>
          <w:p w14:paraId="00BA9CAF" w14:textId="77777777" w:rsidR="00A60D4B" w:rsidRPr="006F1DF8" w:rsidRDefault="00A60D4B" w:rsidP="006F1DF8">
            <w:pPr>
              <w:pStyle w:val="BStablefigures"/>
              <w:rPr>
                <w:b w:val="0"/>
                <w:bCs w:val="0"/>
              </w:rPr>
            </w:pPr>
            <w:r w:rsidRPr="006F1DF8">
              <w:rPr>
                <w:b w:val="0"/>
                <w:bCs w:val="0"/>
              </w:rPr>
              <w:t>1.05370</w:t>
            </w:r>
          </w:p>
        </w:tc>
        <w:tc>
          <w:tcPr>
            <w:tcW w:w="1125" w:type="dxa"/>
            <w:shd w:val="clear" w:color="auto" w:fill="D0CECE" w:themeFill="background2" w:themeFillShade="E6"/>
            <w:noWrap/>
          </w:tcPr>
          <w:p w14:paraId="1219893E" w14:textId="77777777" w:rsidR="00A60D4B" w:rsidRPr="006F1DF8" w:rsidRDefault="00A60D4B" w:rsidP="006F1DF8">
            <w:pPr>
              <w:pStyle w:val="BStablefigures"/>
              <w:rPr>
                <w:b w:val="0"/>
                <w:bCs w:val="0"/>
              </w:rPr>
            </w:pPr>
            <w:r w:rsidRPr="006F1DF8">
              <w:rPr>
                <w:b w:val="0"/>
                <w:bCs w:val="0"/>
              </w:rPr>
              <w:t>1.04907</w:t>
            </w:r>
          </w:p>
        </w:tc>
        <w:tc>
          <w:tcPr>
            <w:tcW w:w="1125" w:type="dxa"/>
            <w:shd w:val="clear" w:color="auto" w:fill="auto"/>
            <w:noWrap/>
          </w:tcPr>
          <w:p w14:paraId="78B2D4AE" w14:textId="77777777" w:rsidR="00A60D4B" w:rsidRPr="008E3B60" w:rsidRDefault="00A60D4B" w:rsidP="006F1DF8">
            <w:pPr>
              <w:pStyle w:val="BStablefiguresbold"/>
            </w:pPr>
            <w:r w:rsidRPr="008E3B60">
              <w:t>1.05918</w:t>
            </w:r>
          </w:p>
        </w:tc>
      </w:tr>
      <w:tr w:rsidR="00A60D4B" w:rsidRPr="00923518" w14:paraId="6D206C74" w14:textId="77777777" w:rsidTr="00A60D4B">
        <w:trPr>
          <w:trHeight w:val="263"/>
        </w:trPr>
        <w:tc>
          <w:tcPr>
            <w:tcW w:w="2268" w:type="dxa"/>
            <w:shd w:val="clear" w:color="auto" w:fill="auto"/>
            <w:vAlign w:val="bottom"/>
            <w:hideMark/>
          </w:tcPr>
          <w:p w14:paraId="3BC98242" w14:textId="77777777" w:rsidR="00A60D4B" w:rsidRPr="006F1DF8" w:rsidRDefault="00A60D4B" w:rsidP="006F1DF8">
            <w:pPr>
              <w:pStyle w:val="BStabletext"/>
            </w:pPr>
            <w:r w:rsidRPr="006F1DF8">
              <w:t>Western Australia</w:t>
            </w:r>
          </w:p>
        </w:tc>
        <w:tc>
          <w:tcPr>
            <w:tcW w:w="1124" w:type="dxa"/>
            <w:shd w:val="clear" w:color="auto" w:fill="auto"/>
          </w:tcPr>
          <w:p w14:paraId="3C96E8AE" w14:textId="77777777" w:rsidR="00A60D4B" w:rsidRPr="006F1DF8" w:rsidRDefault="00A60D4B" w:rsidP="006F1DF8">
            <w:pPr>
              <w:pStyle w:val="BStablefigures"/>
              <w:rPr>
                <w:b w:val="0"/>
                <w:bCs w:val="0"/>
              </w:rPr>
            </w:pPr>
            <w:r w:rsidRPr="006F1DF8">
              <w:rPr>
                <w:b w:val="0"/>
                <w:bCs w:val="0"/>
              </w:rPr>
              <w:t>0.30330</w:t>
            </w:r>
          </w:p>
        </w:tc>
        <w:tc>
          <w:tcPr>
            <w:tcW w:w="1125" w:type="dxa"/>
            <w:shd w:val="clear" w:color="auto" w:fill="auto"/>
          </w:tcPr>
          <w:p w14:paraId="046938BA" w14:textId="77777777" w:rsidR="00A60D4B" w:rsidRPr="006F1DF8" w:rsidRDefault="00A60D4B" w:rsidP="006F1DF8">
            <w:pPr>
              <w:pStyle w:val="BStablefigures"/>
              <w:rPr>
                <w:b w:val="0"/>
                <w:bCs w:val="0"/>
              </w:rPr>
            </w:pPr>
            <w:r w:rsidRPr="006F1DF8">
              <w:rPr>
                <w:b w:val="0"/>
                <w:bCs w:val="0"/>
              </w:rPr>
              <w:t>0.34434</w:t>
            </w:r>
          </w:p>
        </w:tc>
        <w:tc>
          <w:tcPr>
            <w:tcW w:w="1125" w:type="dxa"/>
            <w:shd w:val="clear" w:color="auto" w:fill="auto"/>
          </w:tcPr>
          <w:p w14:paraId="53B1DF0F" w14:textId="77777777" w:rsidR="00A60D4B" w:rsidRPr="006F1DF8" w:rsidRDefault="00A60D4B" w:rsidP="006F1DF8">
            <w:pPr>
              <w:pStyle w:val="BStablefigures"/>
              <w:rPr>
                <w:b w:val="0"/>
                <w:bCs w:val="0"/>
              </w:rPr>
            </w:pPr>
            <w:r w:rsidRPr="006F1DF8">
              <w:rPr>
                <w:b w:val="0"/>
                <w:bCs w:val="0"/>
              </w:rPr>
              <w:t>0.47287</w:t>
            </w:r>
          </w:p>
        </w:tc>
        <w:tc>
          <w:tcPr>
            <w:tcW w:w="1124" w:type="dxa"/>
            <w:shd w:val="clear" w:color="auto" w:fill="auto"/>
          </w:tcPr>
          <w:p w14:paraId="69C711B9" w14:textId="77777777" w:rsidR="00A60D4B" w:rsidRPr="006F1DF8" w:rsidRDefault="00A60D4B" w:rsidP="006F1DF8">
            <w:pPr>
              <w:pStyle w:val="BStablefigures"/>
              <w:rPr>
                <w:b w:val="0"/>
                <w:bCs w:val="0"/>
              </w:rPr>
            </w:pPr>
            <w:r w:rsidRPr="006F1DF8">
              <w:rPr>
                <w:b w:val="0"/>
                <w:bCs w:val="0"/>
              </w:rPr>
              <w:t>0.51842</w:t>
            </w:r>
          </w:p>
        </w:tc>
        <w:tc>
          <w:tcPr>
            <w:tcW w:w="1125" w:type="dxa"/>
            <w:shd w:val="clear" w:color="auto" w:fill="D0CECE" w:themeFill="background2" w:themeFillShade="E6"/>
          </w:tcPr>
          <w:p w14:paraId="14FFC6CB" w14:textId="77777777" w:rsidR="00A60D4B" w:rsidRPr="006F1DF8" w:rsidRDefault="00A60D4B" w:rsidP="006F1DF8">
            <w:pPr>
              <w:pStyle w:val="BStablefigures"/>
              <w:rPr>
                <w:b w:val="0"/>
                <w:bCs w:val="0"/>
              </w:rPr>
            </w:pPr>
            <w:r w:rsidRPr="006F1DF8">
              <w:rPr>
                <w:b w:val="0"/>
                <w:bCs w:val="0"/>
              </w:rPr>
              <w:t>0.44970</w:t>
            </w:r>
          </w:p>
        </w:tc>
        <w:tc>
          <w:tcPr>
            <w:tcW w:w="1125" w:type="dxa"/>
            <w:shd w:val="clear" w:color="auto" w:fill="auto"/>
          </w:tcPr>
          <w:p w14:paraId="337A1265" w14:textId="77777777" w:rsidR="00A60D4B" w:rsidRPr="008E3B60" w:rsidRDefault="00A60D4B" w:rsidP="006F1DF8">
            <w:pPr>
              <w:pStyle w:val="BStablefiguresbold"/>
            </w:pPr>
            <w:r w:rsidRPr="008E3B60">
              <w:t>0.41967</w:t>
            </w:r>
          </w:p>
        </w:tc>
      </w:tr>
      <w:tr w:rsidR="00A60D4B" w:rsidRPr="00923518" w14:paraId="162B3E9F" w14:textId="77777777" w:rsidTr="00A60D4B">
        <w:trPr>
          <w:trHeight w:val="263"/>
        </w:trPr>
        <w:tc>
          <w:tcPr>
            <w:tcW w:w="2268" w:type="dxa"/>
            <w:shd w:val="clear" w:color="auto" w:fill="auto"/>
            <w:vAlign w:val="bottom"/>
            <w:hideMark/>
          </w:tcPr>
          <w:p w14:paraId="0FED8E16" w14:textId="77777777" w:rsidR="00A60D4B" w:rsidRPr="006F1DF8" w:rsidRDefault="00A60D4B" w:rsidP="006F1DF8">
            <w:pPr>
              <w:pStyle w:val="BStabletext"/>
            </w:pPr>
            <w:r w:rsidRPr="006F1DF8">
              <w:t>South Australia</w:t>
            </w:r>
          </w:p>
        </w:tc>
        <w:tc>
          <w:tcPr>
            <w:tcW w:w="1124" w:type="dxa"/>
            <w:shd w:val="clear" w:color="auto" w:fill="auto"/>
          </w:tcPr>
          <w:p w14:paraId="2770A3DB" w14:textId="77777777" w:rsidR="00A60D4B" w:rsidRPr="006F1DF8" w:rsidRDefault="00A60D4B" w:rsidP="006F1DF8">
            <w:pPr>
              <w:pStyle w:val="BStablefigures"/>
              <w:rPr>
                <w:b w:val="0"/>
                <w:bCs w:val="0"/>
              </w:rPr>
            </w:pPr>
            <w:r w:rsidRPr="006F1DF8">
              <w:rPr>
                <w:b w:val="0"/>
                <w:bCs w:val="0"/>
              </w:rPr>
              <w:t>1.41695</w:t>
            </w:r>
          </w:p>
        </w:tc>
        <w:tc>
          <w:tcPr>
            <w:tcW w:w="1125" w:type="dxa"/>
            <w:shd w:val="clear" w:color="auto" w:fill="auto"/>
          </w:tcPr>
          <w:p w14:paraId="274AD570" w14:textId="77777777" w:rsidR="00A60D4B" w:rsidRPr="006F1DF8" w:rsidRDefault="00A60D4B" w:rsidP="006F1DF8">
            <w:pPr>
              <w:pStyle w:val="BStablefigures"/>
              <w:rPr>
                <w:b w:val="0"/>
                <w:bCs w:val="0"/>
              </w:rPr>
            </w:pPr>
            <w:r w:rsidRPr="006F1DF8">
              <w:rPr>
                <w:b w:val="0"/>
                <w:bCs w:val="0"/>
              </w:rPr>
              <w:t>1.43997</w:t>
            </w:r>
          </w:p>
        </w:tc>
        <w:tc>
          <w:tcPr>
            <w:tcW w:w="1125" w:type="dxa"/>
            <w:shd w:val="clear" w:color="auto" w:fill="auto"/>
          </w:tcPr>
          <w:p w14:paraId="7CEAEB19" w14:textId="77777777" w:rsidR="00A60D4B" w:rsidRPr="006F1DF8" w:rsidRDefault="00A60D4B" w:rsidP="006F1DF8">
            <w:pPr>
              <w:pStyle w:val="BStablefigures"/>
              <w:rPr>
                <w:b w:val="0"/>
                <w:bCs w:val="0"/>
              </w:rPr>
            </w:pPr>
            <w:r w:rsidRPr="006F1DF8">
              <w:rPr>
                <w:b w:val="0"/>
                <w:bCs w:val="0"/>
              </w:rPr>
              <w:t>1.47727</w:t>
            </w:r>
          </w:p>
        </w:tc>
        <w:tc>
          <w:tcPr>
            <w:tcW w:w="1124" w:type="dxa"/>
            <w:shd w:val="clear" w:color="auto" w:fill="auto"/>
          </w:tcPr>
          <w:p w14:paraId="5B4A0DE0" w14:textId="77777777" w:rsidR="00A60D4B" w:rsidRPr="006F1DF8" w:rsidRDefault="00A60D4B" w:rsidP="006F1DF8">
            <w:pPr>
              <w:pStyle w:val="BStablefigures"/>
              <w:rPr>
                <w:b w:val="0"/>
                <w:bCs w:val="0"/>
              </w:rPr>
            </w:pPr>
            <w:r w:rsidRPr="006F1DF8">
              <w:rPr>
                <w:b w:val="0"/>
                <w:bCs w:val="0"/>
              </w:rPr>
              <w:t>1.46552</w:t>
            </w:r>
          </w:p>
        </w:tc>
        <w:tc>
          <w:tcPr>
            <w:tcW w:w="1125" w:type="dxa"/>
            <w:shd w:val="clear" w:color="auto" w:fill="D0CECE" w:themeFill="background2" w:themeFillShade="E6"/>
          </w:tcPr>
          <w:p w14:paraId="43032484" w14:textId="77777777" w:rsidR="00A60D4B" w:rsidRPr="006F1DF8" w:rsidRDefault="00A60D4B" w:rsidP="006F1DF8">
            <w:pPr>
              <w:pStyle w:val="BStablefigures"/>
              <w:rPr>
                <w:b w:val="0"/>
                <w:bCs w:val="0"/>
              </w:rPr>
            </w:pPr>
            <w:r w:rsidRPr="006F1DF8">
              <w:rPr>
                <w:b w:val="0"/>
                <w:bCs w:val="0"/>
              </w:rPr>
              <w:t>1.35765</w:t>
            </w:r>
          </w:p>
        </w:tc>
        <w:tc>
          <w:tcPr>
            <w:tcW w:w="1125" w:type="dxa"/>
            <w:shd w:val="clear" w:color="auto" w:fill="auto"/>
          </w:tcPr>
          <w:p w14:paraId="6A9CA322" w14:textId="77777777" w:rsidR="00A60D4B" w:rsidRPr="008E3B60" w:rsidRDefault="00A60D4B" w:rsidP="006F1DF8">
            <w:pPr>
              <w:pStyle w:val="BStablefiguresbold"/>
            </w:pPr>
            <w:r w:rsidRPr="008E3B60">
              <w:t>1.34719</w:t>
            </w:r>
          </w:p>
        </w:tc>
      </w:tr>
      <w:tr w:rsidR="00A60D4B" w:rsidRPr="00923518" w14:paraId="5350BD5C" w14:textId="77777777" w:rsidTr="00A60D4B">
        <w:trPr>
          <w:trHeight w:val="263"/>
        </w:trPr>
        <w:tc>
          <w:tcPr>
            <w:tcW w:w="2268" w:type="dxa"/>
            <w:shd w:val="clear" w:color="auto" w:fill="auto"/>
            <w:noWrap/>
            <w:vAlign w:val="bottom"/>
            <w:hideMark/>
          </w:tcPr>
          <w:p w14:paraId="140E297D" w14:textId="77777777" w:rsidR="00A60D4B" w:rsidRPr="006F1DF8" w:rsidRDefault="00A60D4B" w:rsidP="006F1DF8">
            <w:pPr>
              <w:pStyle w:val="BStabletext"/>
            </w:pPr>
            <w:r w:rsidRPr="006F1DF8">
              <w:t>Tasmania</w:t>
            </w:r>
          </w:p>
        </w:tc>
        <w:tc>
          <w:tcPr>
            <w:tcW w:w="1124" w:type="dxa"/>
            <w:shd w:val="clear" w:color="auto" w:fill="auto"/>
            <w:noWrap/>
          </w:tcPr>
          <w:p w14:paraId="7E5A5E13" w14:textId="77777777" w:rsidR="00A60D4B" w:rsidRPr="006F1DF8" w:rsidRDefault="00A60D4B" w:rsidP="006F1DF8">
            <w:pPr>
              <w:pStyle w:val="BStablefigures"/>
              <w:rPr>
                <w:b w:val="0"/>
                <w:bCs w:val="0"/>
              </w:rPr>
            </w:pPr>
            <w:r w:rsidRPr="006F1DF8">
              <w:rPr>
                <w:b w:val="0"/>
                <w:bCs w:val="0"/>
              </w:rPr>
              <w:t>1.77693</w:t>
            </w:r>
          </w:p>
        </w:tc>
        <w:tc>
          <w:tcPr>
            <w:tcW w:w="1125" w:type="dxa"/>
            <w:shd w:val="clear" w:color="auto" w:fill="auto"/>
          </w:tcPr>
          <w:p w14:paraId="6BD7EB8C" w14:textId="77777777" w:rsidR="00A60D4B" w:rsidRPr="006F1DF8" w:rsidRDefault="00A60D4B" w:rsidP="006F1DF8">
            <w:pPr>
              <w:pStyle w:val="BStablefigures"/>
              <w:rPr>
                <w:b w:val="0"/>
                <w:bCs w:val="0"/>
              </w:rPr>
            </w:pPr>
            <w:r w:rsidRPr="006F1DF8">
              <w:rPr>
                <w:b w:val="0"/>
                <w:bCs w:val="0"/>
              </w:rPr>
              <w:t>1.80477</w:t>
            </w:r>
          </w:p>
        </w:tc>
        <w:tc>
          <w:tcPr>
            <w:tcW w:w="1125" w:type="dxa"/>
            <w:shd w:val="clear" w:color="auto" w:fill="auto"/>
            <w:noWrap/>
          </w:tcPr>
          <w:p w14:paraId="55744262" w14:textId="77777777" w:rsidR="00A60D4B" w:rsidRPr="006F1DF8" w:rsidRDefault="00A60D4B" w:rsidP="006F1DF8">
            <w:pPr>
              <w:pStyle w:val="BStablefigures"/>
              <w:rPr>
                <w:b w:val="0"/>
                <w:bCs w:val="0"/>
              </w:rPr>
            </w:pPr>
            <w:r w:rsidRPr="006F1DF8">
              <w:rPr>
                <w:b w:val="0"/>
                <w:bCs w:val="0"/>
              </w:rPr>
              <w:t>1.76706</w:t>
            </w:r>
          </w:p>
        </w:tc>
        <w:tc>
          <w:tcPr>
            <w:tcW w:w="1124" w:type="dxa"/>
            <w:shd w:val="clear" w:color="auto" w:fill="auto"/>
            <w:noWrap/>
          </w:tcPr>
          <w:p w14:paraId="6823926D" w14:textId="77777777" w:rsidR="00A60D4B" w:rsidRPr="006F1DF8" w:rsidRDefault="00A60D4B" w:rsidP="006F1DF8">
            <w:pPr>
              <w:pStyle w:val="BStablefigures"/>
              <w:rPr>
                <w:b w:val="0"/>
                <w:bCs w:val="0"/>
              </w:rPr>
            </w:pPr>
            <w:r w:rsidRPr="006F1DF8">
              <w:rPr>
                <w:b w:val="0"/>
                <w:bCs w:val="0"/>
              </w:rPr>
              <w:t>1.75576</w:t>
            </w:r>
          </w:p>
        </w:tc>
        <w:tc>
          <w:tcPr>
            <w:tcW w:w="1125" w:type="dxa"/>
            <w:shd w:val="clear" w:color="auto" w:fill="D0CECE" w:themeFill="background2" w:themeFillShade="E6"/>
            <w:noWrap/>
          </w:tcPr>
          <w:p w14:paraId="37B53DDC" w14:textId="77777777" w:rsidR="00A60D4B" w:rsidRPr="006F1DF8" w:rsidRDefault="00A60D4B" w:rsidP="006F1DF8">
            <w:pPr>
              <w:pStyle w:val="BStablefigures"/>
              <w:rPr>
                <w:b w:val="0"/>
                <w:bCs w:val="0"/>
              </w:rPr>
            </w:pPr>
            <w:r w:rsidRPr="006F1DF8">
              <w:rPr>
                <w:b w:val="0"/>
                <w:bCs w:val="0"/>
              </w:rPr>
              <w:t>1.89742</w:t>
            </w:r>
          </w:p>
        </w:tc>
        <w:tc>
          <w:tcPr>
            <w:tcW w:w="1125" w:type="dxa"/>
            <w:shd w:val="clear" w:color="auto" w:fill="auto"/>
            <w:noWrap/>
          </w:tcPr>
          <w:p w14:paraId="3F12E7BB" w14:textId="77777777" w:rsidR="00A60D4B" w:rsidRPr="008E3B60" w:rsidRDefault="00A60D4B" w:rsidP="006F1DF8">
            <w:pPr>
              <w:pStyle w:val="BStablefiguresbold"/>
            </w:pPr>
            <w:r w:rsidRPr="008E3B60">
              <w:t>1.96067</w:t>
            </w:r>
          </w:p>
        </w:tc>
      </w:tr>
      <w:tr w:rsidR="00A60D4B" w:rsidRPr="00923518" w14:paraId="757384A7" w14:textId="77777777" w:rsidTr="00A60D4B">
        <w:trPr>
          <w:trHeight w:val="263"/>
        </w:trPr>
        <w:tc>
          <w:tcPr>
            <w:tcW w:w="2268" w:type="dxa"/>
            <w:shd w:val="clear" w:color="auto" w:fill="auto"/>
            <w:vAlign w:val="bottom"/>
            <w:hideMark/>
          </w:tcPr>
          <w:p w14:paraId="5B7D56C0" w14:textId="77777777" w:rsidR="00A60D4B" w:rsidRPr="006F1DF8" w:rsidRDefault="00A60D4B" w:rsidP="006F1DF8">
            <w:pPr>
              <w:pStyle w:val="BStabletextbold"/>
            </w:pPr>
            <w:r w:rsidRPr="006F1DF8">
              <w:t>Australian Capital Territory</w:t>
            </w:r>
          </w:p>
        </w:tc>
        <w:tc>
          <w:tcPr>
            <w:tcW w:w="1124" w:type="dxa"/>
            <w:shd w:val="clear" w:color="auto" w:fill="auto"/>
          </w:tcPr>
          <w:p w14:paraId="7275E5E7" w14:textId="77777777" w:rsidR="00A60D4B" w:rsidRPr="006F1DF8" w:rsidRDefault="00A60D4B" w:rsidP="006F1DF8">
            <w:pPr>
              <w:pStyle w:val="BStablefiguresbold"/>
              <w:rPr>
                <w:b/>
              </w:rPr>
            </w:pPr>
            <w:r w:rsidRPr="006F1DF8">
              <w:rPr>
                <w:b/>
              </w:rPr>
              <w:t>1.15648</w:t>
            </w:r>
          </w:p>
        </w:tc>
        <w:tc>
          <w:tcPr>
            <w:tcW w:w="1125" w:type="dxa"/>
            <w:shd w:val="clear" w:color="auto" w:fill="auto"/>
          </w:tcPr>
          <w:p w14:paraId="3001CD2C" w14:textId="77777777" w:rsidR="00A60D4B" w:rsidRPr="006F1DF8" w:rsidRDefault="00A60D4B" w:rsidP="006F1DF8">
            <w:pPr>
              <w:pStyle w:val="BStablefiguresbold"/>
              <w:rPr>
                <w:b/>
              </w:rPr>
            </w:pPr>
            <w:r w:rsidRPr="006F1DF8">
              <w:rPr>
                <w:b/>
              </w:rPr>
              <w:t>1.19496</w:t>
            </w:r>
          </w:p>
        </w:tc>
        <w:tc>
          <w:tcPr>
            <w:tcW w:w="1125" w:type="dxa"/>
            <w:shd w:val="clear" w:color="auto" w:fill="auto"/>
          </w:tcPr>
          <w:p w14:paraId="5028ED5F" w14:textId="77777777" w:rsidR="00A60D4B" w:rsidRPr="006F1DF8" w:rsidRDefault="00A60D4B" w:rsidP="006F1DF8">
            <w:pPr>
              <w:pStyle w:val="BStablefiguresbold"/>
              <w:rPr>
                <w:b/>
              </w:rPr>
            </w:pPr>
            <w:r w:rsidRPr="006F1DF8">
              <w:rPr>
                <w:b/>
              </w:rPr>
              <w:t>1.18070</w:t>
            </w:r>
          </w:p>
        </w:tc>
        <w:tc>
          <w:tcPr>
            <w:tcW w:w="1124" w:type="dxa"/>
            <w:shd w:val="clear" w:color="auto" w:fill="auto"/>
          </w:tcPr>
          <w:p w14:paraId="4D272DED" w14:textId="77777777" w:rsidR="00A60D4B" w:rsidRPr="006F1DF8" w:rsidRDefault="00A60D4B" w:rsidP="006F1DF8">
            <w:pPr>
              <w:pStyle w:val="BStablefiguresbold"/>
              <w:rPr>
                <w:b/>
              </w:rPr>
            </w:pPr>
            <w:r w:rsidRPr="006F1DF8">
              <w:rPr>
                <w:b/>
              </w:rPr>
              <w:t>1.23759</w:t>
            </w:r>
          </w:p>
        </w:tc>
        <w:tc>
          <w:tcPr>
            <w:tcW w:w="1125" w:type="dxa"/>
            <w:shd w:val="clear" w:color="auto" w:fill="D0CECE" w:themeFill="background2" w:themeFillShade="E6"/>
          </w:tcPr>
          <w:p w14:paraId="7319C3D2" w14:textId="77777777" w:rsidR="00A60D4B" w:rsidRPr="006F1DF8" w:rsidRDefault="00A60D4B" w:rsidP="006F1DF8">
            <w:pPr>
              <w:pStyle w:val="BStablefiguresbold"/>
              <w:rPr>
                <w:b/>
              </w:rPr>
            </w:pPr>
            <w:r w:rsidRPr="006F1DF8">
              <w:rPr>
                <w:b/>
              </w:rPr>
              <w:t>1.15112</w:t>
            </w:r>
          </w:p>
        </w:tc>
        <w:tc>
          <w:tcPr>
            <w:tcW w:w="1125" w:type="dxa"/>
            <w:shd w:val="clear" w:color="auto" w:fill="auto"/>
          </w:tcPr>
          <w:p w14:paraId="3E7A509E" w14:textId="77777777" w:rsidR="00A60D4B" w:rsidRPr="006F1DF8" w:rsidRDefault="00A60D4B" w:rsidP="006F1DF8">
            <w:pPr>
              <w:pStyle w:val="BStablefiguresbold"/>
              <w:rPr>
                <w:b/>
              </w:rPr>
            </w:pPr>
            <w:r w:rsidRPr="006F1DF8">
              <w:rPr>
                <w:b/>
              </w:rPr>
              <w:t>1.16266</w:t>
            </w:r>
          </w:p>
        </w:tc>
      </w:tr>
      <w:tr w:rsidR="00A60D4B" w:rsidRPr="00EB792B" w14:paraId="6F1E7F24" w14:textId="77777777" w:rsidTr="00A60D4B">
        <w:trPr>
          <w:trHeight w:val="263"/>
        </w:trPr>
        <w:tc>
          <w:tcPr>
            <w:tcW w:w="2268" w:type="dxa"/>
            <w:tcBorders>
              <w:bottom w:val="single" w:sz="4" w:space="0" w:color="auto"/>
            </w:tcBorders>
            <w:shd w:val="clear" w:color="auto" w:fill="auto"/>
            <w:vAlign w:val="bottom"/>
            <w:hideMark/>
          </w:tcPr>
          <w:p w14:paraId="6BB4F0E7" w14:textId="77777777" w:rsidR="00A60D4B" w:rsidRPr="006F1DF8" w:rsidRDefault="00A60D4B" w:rsidP="006F1DF8">
            <w:pPr>
              <w:pStyle w:val="BStabletext"/>
            </w:pPr>
            <w:r w:rsidRPr="006F1DF8">
              <w:t>Northern Territory</w:t>
            </w:r>
          </w:p>
        </w:tc>
        <w:tc>
          <w:tcPr>
            <w:tcW w:w="1124" w:type="dxa"/>
            <w:tcBorders>
              <w:bottom w:val="single" w:sz="4" w:space="0" w:color="auto"/>
            </w:tcBorders>
            <w:shd w:val="clear" w:color="auto" w:fill="auto"/>
          </w:tcPr>
          <w:p w14:paraId="178AC009" w14:textId="77777777" w:rsidR="00A60D4B" w:rsidRPr="006F1DF8" w:rsidRDefault="00A60D4B" w:rsidP="006F1DF8">
            <w:pPr>
              <w:pStyle w:val="BStablefigures"/>
              <w:rPr>
                <w:b w:val="0"/>
                <w:bCs w:val="0"/>
              </w:rPr>
            </w:pPr>
            <w:r w:rsidRPr="006F1DF8">
              <w:rPr>
                <w:b w:val="0"/>
                <w:bCs w:val="0"/>
              </w:rPr>
              <w:t>5.28450</w:t>
            </w:r>
          </w:p>
        </w:tc>
        <w:tc>
          <w:tcPr>
            <w:tcW w:w="1125" w:type="dxa"/>
            <w:tcBorders>
              <w:bottom w:val="single" w:sz="4" w:space="0" w:color="auto"/>
            </w:tcBorders>
            <w:shd w:val="clear" w:color="auto" w:fill="auto"/>
          </w:tcPr>
          <w:p w14:paraId="40F5E552" w14:textId="77777777" w:rsidR="00A60D4B" w:rsidRPr="006F1DF8" w:rsidRDefault="00A60D4B" w:rsidP="006F1DF8">
            <w:pPr>
              <w:pStyle w:val="BStablefigures"/>
              <w:rPr>
                <w:b w:val="0"/>
                <w:bCs w:val="0"/>
              </w:rPr>
            </w:pPr>
            <w:r w:rsidRPr="006F1DF8">
              <w:rPr>
                <w:b w:val="0"/>
                <w:bCs w:val="0"/>
              </w:rPr>
              <w:t>4.66024</w:t>
            </w:r>
          </w:p>
        </w:tc>
        <w:tc>
          <w:tcPr>
            <w:tcW w:w="1125" w:type="dxa"/>
            <w:tcBorders>
              <w:bottom w:val="single" w:sz="4" w:space="0" w:color="auto"/>
            </w:tcBorders>
            <w:shd w:val="clear" w:color="auto" w:fill="auto"/>
          </w:tcPr>
          <w:p w14:paraId="346B62A4" w14:textId="77777777" w:rsidR="00A60D4B" w:rsidRPr="006F1DF8" w:rsidRDefault="00A60D4B" w:rsidP="006F1DF8">
            <w:pPr>
              <w:pStyle w:val="BStablefigures"/>
              <w:rPr>
                <w:b w:val="0"/>
                <w:bCs w:val="0"/>
              </w:rPr>
            </w:pPr>
            <w:r w:rsidRPr="006F1DF8">
              <w:rPr>
                <w:b w:val="0"/>
                <w:bCs w:val="0"/>
              </w:rPr>
              <w:t>4.25816</w:t>
            </w:r>
          </w:p>
        </w:tc>
        <w:tc>
          <w:tcPr>
            <w:tcW w:w="1124" w:type="dxa"/>
            <w:tcBorders>
              <w:bottom w:val="single" w:sz="4" w:space="0" w:color="auto"/>
            </w:tcBorders>
            <w:shd w:val="clear" w:color="auto" w:fill="auto"/>
          </w:tcPr>
          <w:p w14:paraId="16B3FDFB" w14:textId="77777777" w:rsidR="00A60D4B" w:rsidRPr="006F1DF8" w:rsidRDefault="00A60D4B" w:rsidP="006F1DF8">
            <w:pPr>
              <w:pStyle w:val="BStablefigures"/>
              <w:rPr>
                <w:b w:val="0"/>
                <w:bCs w:val="0"/>
              </w:rPr>
            </w:pPr>
            <w:r w:rsidRPr="006F1DF8">
              <w:rPr>
                <w:b w:val="0"/>
                <w:bCs w:val="0"/>
              </w:rPr>
              <w:t>4.26735</w:t>
            </w:r>
          </w:p>
        </w:tc>
        <w:tc>
          <w:tcPr>
            <w:tcW w:w="1125" w:type="dxa"/>
            <w:tcBorders>
              <w:bottom w:val="single" w:sz="4" w:space="0" w:color="auto"/>
            </w:tcBorders>
            <w:shd w:val="clear" w:color="auto" w:fill="D0CECE" w:themeFill="background2" w:themeFillShade="E6"/>
          </w:tcPr>
          <w:p w14:paraId="122335D7" w14:textId="77777777" w:rsidR="00A60D4B" w:rsidRPr="006F1DF8" w:rsidRDefault="00A60D4B" w:rsidP="006F1DF8">
            <w:pPr>
              <w:pStyle w:val="BStablefigures"/>
              <w:rPr>
                <w:b w:val="0"/>
                <w:bCs w:val="0"/>
              </w:rPr>
            </w:pPr>
            <w:r w:rsidRPr="006F1DF8">
              <w:rPr>
                <w:b w:val="0"/>
                <w:bCs w:val="0"/>
              </w:rPr>
              <w:t>4.76893</w:t>
            </w:r>
          </w:p>
        </w:tc>
        <w:tc>
          <w:tcPr>
            <w:tcW w:w="1125" w:type="dxa"/>
            <w:tcBorders>
              <w:bottom w:val="single" w:sz="4" w:space="0" w:color="auto"/>
            </w:tcBorders>
            <w:shd w:val="clear" w:color="auto" w:fill="auto"/>
          </w:tcPr>
          <w:p w14:paraId="6BD540A9" w14:textId="77777777" w:rsidR="00A60D4B" w:rsidRPr="008E3B60" w:rsidRDefault="00A60D4B" w:rsidP="006F1DF8">
            <w:pPr>
              <w:pStyle w:val="BStablefiguresbold"/>
            </w:pPr>
            <w:r w:rsidRPr="008E3B60">
              <w:t>4.79985</w:t>
            </w:r>
          </w:p>
        </w:tc>
      </w:tr>
      <w:tr w:rsidR="00A60D4B" w:rsidRPr="00DC22B7" w14:paraId="4DBD86BC" w14:textId="77777777" w:rsidTr="00A60D4B">
        <w:trPr>
          <w:trHeight w:val="263"/>
        </w:trPr>
        <w:tc>
          <w:tcPr>
            <w:tcW w:w="2268" w:type="dxa"/>
            <w:tcBorders>
              <w:top w:val="single" w:sz="4" w:space="0" w:color="auto"/>
              <w:bottom w:val="single" w:sz="4" w:space="0" w:color="auto"/>
            </w:tcBorders>
            <w:shd w:val="clear" w:color="auto" w:fill="auto"/>
            <w:noWrap/>
            <w:vAlign w:val="bottom"/>
            <w:hideMark/>
          </w:tcPr>
          <w:p w14:paraId="000069B7" w14:textId="77777777" w:rsidR="00A60D4B" w:rsidRPr="00EC1EF1" w:rsidRDefault="00A60D4B" w:rsidP="006F1DF8">
            <w:pPr>
              <w:pStyle w:val="BStabletextbold"/>
              <w:rPr>
                <w:color w:val="472D8C"/>
              </w:rPr>
            </w:pPr>
            <w:r w:rsidRPr="00EC1EF1">
              <w:rPr>
                <w:color w:val="472D8C"/>
              </w:rPr>
              <w:t>Total</w:t>
            </w:r>
          </w:p>
        </w:tc>
        <w:tc>
          <w:tcPr>
            <w:tcW w:w="1124" w:type="dxa"/>
            <w:tcBorders>
              <w:top w:val="single" w:sz="4" w:space="0" w:color="auto"/>
              <w:bottom w:val="single" w:sz="4" w:space="0" w:color="auto"/>
            </w:tcBorders>
            <w:shd w:val="clear" w:color="auto" w:fill="auto"/>
            <w:noWrap/>
            <w:vAlign w:val="center"/>
            <w:hideMark/>
          </w:tcPr>
          <w:p w14:paraId="2AE438AB" w14:textId="77777777" w:rsidR="00A60D4B" w:rsidRPr="00EC1EF1" w:rsidRDefault="00A60D4B" w:rsidP="006F1DF8">
            <w:pPr>
              <w:pStyle w:val="BStablefiguresbold"/>
              <w:rPr>
                <w:b/>
                <w:color w:val="472D8C"/>
              </w:rPr>
            </w:pPr>
            <w:r w:rsidRPr="00EC1EF1">
              <w:rPr>
                <w:b/>
                <w:color w:val="472D8C"/>
              </w:rPr>
              <w:t xml:space="preserve">1.00000 </w:t>
            </w:r>
          </w:p>
        </w:tc>
        <w:tc>
          <w:tcPr>
            <w:tcW w:w="1125" w:type="dxa"/>
            <w:tcBorders>
              <w:top w:val="single" w:sz="4" w:space="0" w:color="auto"/>
              <w:bottom w:val="single" w:sz="4" w:space="0" w:color="auto"/>
            </w:tcBorders>
            <w:shd w:val="clear" w:color="auto" w:fill="auto"/>
            <w:vAlign w:val="center"/>
          </w:tcPr>
          <w:p w14:paraId="105ED1E4" w14:textId="77777777" w:rsidR="00A60D4B" w:rsidRPr="00EC1EF1" w:rsidRDefault="00A60D4B" w:rsidP="006F1DF8">
            <w:pPr>
              <w:pStyle w:val="BStablefiguresbold"/>
              <w:rPr>
                <w:b/>
                <w:color w:val="472D8C"/>
              </w:rPr>
            </w:pPr>
            <w:r w:rsidRPr="00EC1EF1">
              <w:rPr>
                <w:b/>
                <w:color w:val="472D8C"/>
              </w:rPr>
              <w:t xml:space="preserve">1.00000 </w:t>
            </w:r>
          </w:p>
        </w:tc>
        <w:tc>
          <w:tcPr>
            <w:tcW w:w="1125" w:type="dxa"/>
            <w:tcBorders>
              <w:top w:val="single" w:sz="4" w:space="0" w:color="auto"/>
              <w:bottom w:val="single" w:sz="4" w:space="0" w:color="auto"/>
            </w:tcBorders>
            <w:shd w:val="clear" w:color="auto" w:fill="auto"/>
            <w:noWrap/>
            <w:vAlign w:val="bottom"/>
            <w:hideMark/>
          </w:tcPr>
          <w:p w14:paraId="20A6C9F5" w14:textId="77777777" w:rsidR="00A60D4B" w:rsidRPr="00EC1EF1" w:rsidRDefault="00A60D4B" w:rsidP="006F1DF8">
            <w:pPr>
              <w:pStyle w:val="BStablefiguresbold"/>
              <w:rPr>
                <w:b/>
                <w:color w:val="472D8C"/>
              </w:rPr>
            </w:pPr>
            <w:r w:rsidRPr="00EC1EF1">
              <w:rPr>
                <w:b/>
                <w:color w:val="472D8C"/>
              </w:rPr>
              <w:t>1.00000</w:t>
            </w:r>
          </w:p>
        </w:tc>
        <w:tc>
          <w:tcPr>
            <w:tcW w:w="1124" w:type="dxa"/>
            <w:tcBorders>
              <w:top w:val="single" w:sz="4" w:space="0" w:color="auto"/>
              <w:bottom w:val="single" w:sz="4" w:space="0" w:color="auto"/>
            </w:tcBorders>
            <w:shd w:val="clear" w:color="auto" w:fill="auto"/>
            <w:noWrap/>
            <w:vAlign w:val="bottom"/>
            <w:hideMark/>
          </w:tcPr>
          <w:p w14:paraId="399E8356" w14:textId="77777777" w:rsidR="00A60D4B" w:rsidRPr="00EC1EF1" w:rsidRDefault="00A60D4B" w:rsidP="006F1DF8">
            <w:pPr>
              <w:pStyle w:val="BStablefiguresbold"/>
              <w:rPr>
                <w:b/>
                <w:color w:val="472D8C"/>
              </w:rPr>
            </w:pPr>
            <w:r w:rsidRPr="00EC1EF1">
              <w:rPr>
                <w:b/>
                <w:color w:val="472D8C"/>
              </w:rPr>
              <w:t>1.00000</w:t>
            </w:r>
          </w:p>
        </w:tc>
        <w:tc>
          <w:tcPr>
            <w:tcW w:w="1125" w:type="dxa"/>
            <w:tcBorders>
              <w:top w:val="single" w:sz="4" w:space="0" w:color="auto"/>
              <w:bottom w:val="single" w:sz="4" w:space="0" w:color="auto"/>
            </w:tcBorders>
            <w:shd w:val="clear" w:color="auto" w:fill="D0CECE" w:themeFill="background2" w:themeFillShade="E6"/>
            <w:noWrap/>
            <w:vAlign w:val="bottom"/>
            <w:hideMark/>
          </w:tcPr>
          <w:p w14:paraId="11215116" w14:textId="77777777" w:rsidR="00A60D4B" w:rsidRPr="00EC1EF1" w:rsidRDefault="00A60D4B" w:rsidP="006F1DF8">
            <w:pPr>
              <w:pStyle w:val="BStablefiguresbold"/>
              <w:rPr>
                <w:b/>
                <w:color w:val="472D8C"/>
              </w:rPr>
            </w:pPr>
            <w:r w:rsidRPr="00EC1EF1">
              <w:rPr>
                <w:b/>
                <w:color w:val="472D8C"/>
              </w:rPr>
              <w:t>1.00000</w:t>
            </w:r>
          </w:p>
        </w:tc>
        <w:tc>
          <w:tcPr>
            <w:tcW w:w="1125" w:type="dxa"/>
            <w:tcBorders>
              <w:top w:val="single" w:sz="4" w:space="0" w:color="auto"/>
              <w:bottom w:val="single" w:sz="4" w:space="0" w:color="auto"/>
            </w:tcBorders>
            <w:shd w:val="clear" w:color="auto" w:fill="auto"/>
            <w:noWrap/>
            <w:vAlign w:val="bottom"/>
            <w:hideMark/>
          </w:tcPr>
          <w:p w14:paraId="46308079" w14:textId="77777777" w:rsidR="00A60D4B" w:rsidRPr="00EC1EF1" w:rsidRDefault="00A60D4B" w:rsidP="006F1DF8">
            <w:pPr>
              <w:pStyle w:val="BStablefiguresbold"/>
              <w:rPr>
                <w:b/>
                <w:color w:val="472D8C"/>
              </w:rPr>
            </w:pPr>
            <w:r w:rsidRPr="00EC1EF1">
              <w:rPr>
                <w:b/>
                <w:color w:val="472D8C"/>
              </w:rPr>
              <w:t>1.00000</w:t>
            </w:r>
          </w:p>
        </w:tc>
      </w:tr>
    </w:tbl>
    <w:p w14:paraId="7AE6BFE5" w14:textId="77777777" w:rsidR="00A60D4B" w:rsidRDefault="00A60D4B" w:rsidP="00A60D4B">
      <w:pPr>
        <w:spacing w:before="120" w:after="0"/>
        <w:rPr>
          <w:rStyle w:val="BSnotetextChar"/>
          <w:rFonts w:eastAsiaTheme="minorHAnsi"/>
        </w:rPr>
      </w:pPr>
      <w:r w:rsidRPr="00923518">
        <w:rPr>
          <w:rStyle w:val="BSnoteChar"/>
          <w:rFonts w:eastAsiaTheme="minorHAnsi"/>
        </w:rPr>
        <w:t>Source</w:t>
      </w:r>
      <w:r w:rsidRPr="00923518" w:rsidDel="00AD2D14">
        <w:rPr>
          <w:b/>
          <w:sz w:val="18"/>
          <w:szCs w:val="16"/>
          <w:lang w:val="x-none"/>
        </w:rPr>
        <w:t xml:space="preserve">: </w:t>
      </w:r>
      <w:r>
        <w:rPr>
          <w:rStyle w:val="BSnotetextChar"/>
          <w:rFonts w:eastAsiaTheme="minorHAnsi"/>
        </w:rPr>
        <w:t>CGC</w:t>
      </w:r>
      <w:r w:rsidRPr="00923518">
        <w:rPr>
          <w:rStyle w:val="BSnotetextChar"/>
          <w:rFonts w:eastAsiaTheme="minorHAnsi"/>
        </w:rPr>
        <w:t xml:space="preserve"> calculation.</w:t>
      </w:r>
    </w:p>
    <w:p w14:paraId="015CC016" w14:textId="77777777" w:rsidR="00A60D4B" w:rsidRDefault="00A60D4B" w:rsidP="00A60D4B">
      <w:pPr>
        <w:spacing w:after="0"/>
        <w:rPr>
          <w:rStyle w:val="BSnotetextChar"/>
          <w:rFonts w:eastAsiaTheme="minorHAnsi"/>
        </w:rPr>
      </w:pPr>
      <w:r w:rsidRPr="00923518">
        <w:rPr>
          <w:rStyle w:val="BSnoteChar"/>
          <w:rFonts w:eastAsiaTheme="minorHAnsi"/>
        </w:rPr>
        <w:t>Note:</w:t>
      </w:r>
      <w:r w:rsidRPr="00923518">
        <w:rPr>
          <w:b/>
          <w:sz w:val="18"/>
          <w:szCs w:val="16"/>
          <w:lang w:val="x-none"/>
        </w:rPr>
        <w:t xml:space="preserve"> </w:t>
      </w:r>
      <w:r w:rsidRPr="00923518">
        <w:rPr>
          <w:rStyle w:val="BSnotetextChar"/>
          <w:rFonts w:eastAsiaTheme="minorHAnsi"/>
        </w:rPr>
        <w:t>Numbers may not add due to rounding.</w:t>
      </w:r>
    </w:p>
    <w:p w14:paraId="1B072510" w14:textId="77D2F332" w:rsidR="00955708" w:rsidRDefault="00A60D4B" w:rsidP="00955708">
      <w:pPr>
        <w:rPr>
          <w:rStyle w:val="BSnotetextChar"/>
          <w:rFonts w:eastAsiaTheme="minorHAnsi"/>
        </w:rPr>
      </w:pPr>
      <w:r w:rsidRPr="00923518">
        <w:rPr>
          <w:rStyle w:val="BSnotetextChar"/>
          <w:rFonts w:eastAsiaTheme="minorHAnsi"/>
        </w:rPr>
        <w:t>Numbers are exclusive of adjustment for overpayment</w:t>
      </w:r>
      <w:r>
        <w:rPr>
          <w:rStyle w:val="BSnotetextChar"/>
          <w:rFonts w:eastAsiaTheme="minorHAnsi"/>
          <w:lang w:val="en-US"/>
        </w:rPr>
        <w:t>s</w:t>
      </w:r>
      <w:r w:rsidRPr="00923518">
        <w:rPr>
          <w:rStyle w:val="BSnotetextChar"/>
          <w:rFonts w:eastAsiaTheme="minorHAnsi"/>
        </w:rPr>
        <w:t xml:space="preserve"> in 201</w:t>
      </w:r>
      <w:r>
        <w:rPr>
          <w:rStyle w:val="BSnotetextChar"/>
          <w:rFonts w:eastAsiaTheme="minorHAnsi"/>
          <w:lang w:val="en-US"/>
        </w:rPr>
        <w:t>8</w:t>
      </w:r>
      <w:r w:rsidRPr="00923518">
        <w:rPr>
          <w:rStyle w:val="BSnotetextChar"/>
          <w:rFonts w:eastAsiaTheme="minorHAnsi"/>
        </w:rPr>
        <w:t>-1</w:t>
      </w:r>
      <w:r>
        <w:rPr>
          <w:rStyle w:val="BSnotetextChar"/>
          <w:rFonts w:eastAsiaTheme="minorHAnsi"/>
          <w:lang w:val="en-US"/>
        </w:rPr>
        <w:t>9</w:t>
      </w:r>
      <w:r w:rsidRPr="00923518">
        <w:rPr>
          <w:rStyle w:val="BSnotetextChar"/>
          <w:rFonts w:eastAsiaTheme="minorHAnsi"/>
        </w:rPr>
        <w:t>.</w:t>
      </w:r>
    </w:p>
    <w:p w14:paraId="5E41C443" w14:textId="084A074F" w:rsidR="00A60D4B" w:rsidRPr="00A6648C" w:rsidRDefault="00A60D4B" w:rsidP="00A60D4B">
      <w:pPr>
        <w:rPr>
          <w:rFonts w:eastAsia="Times New Roman" w:cstheme="minorHAnsi"/>
          <w:sz w:val="24"/>
          <w:szCs w:val="24"/>
          <w:lang w:eastAsia="en-AU"/>
        </w:rPr>
      </w:pPr>
      <w:r>
        <w:rPr>
          <w:rStyle w:val="BSnotetextChar"/>
          <w:rFonts w:eastAsiaTheme="minorHAnsi"/>
        </w:rPr>
        <w:br/>
      </w:r>
      <w:r w:rsidRPr="003700BB">
        <w:rPr>
          <w:rStyle w:val="BSnotetextChar"/>
          <w:rFonts w:eastAsiaTheme="minorHAnsi" w:cstheme="minorHAnsi"/>
          <w:sz w:val="24"/>
          <w:szCs w:val="24"/>
        </w:rPr>
        <w:t xml:space="preserve">The ACT’s relativity increased over the period 2016-17 to 2019-20 before falling substantially in 2020-21 as a result of the </w:t>
      </w:r>
      <w:r>
        <w:rPr>
          <w:rStyle w:val="BSnotetextChar"/>
          <w:rFonts w:eastAsiaTheme="minorHAnsi" w:cstheme="minorHAnsi"/>
          <w:sz w:val="24"/>
          <w:szCs w:val="24"/>
        </w:rPr>
        <w:t>CGC’s</w:t>
      </w:r>
      <w:r w:rsidRPr="003700BB">
        <w:rPr>
          <w:rStyle w:val="BSnotetextChar"/>
          <w:rFonts w:eastAsiaTheme="minorHAnsi" w:cstheme="minorHAnsi"/>
          <w:sz w:val="24"/>
          <w:szCs w:val="24"/>
        </w:rPr>
        <w:t xml:space="preserve"> 2020 review of its methodology for distributing the GST across jurisdictions. </w:t>
      </w:r>
      <w:r w:rsidRPr="00512406">
        <w:rPr>
          <w:rFonts w:eastAsia="Times New Roman" w:cstheme="minorHAnsi"/>
          <w:sz w:val="24"/>
          <w:szCs w:val="24"/>
          <w:lang w:eastAsia="en-AU"/>
        </w:rPr>
        <w:t xml:space="preserve">A </w:t>
      </w:r>
      <w:r>
        <w:rPr>
          <w:rFonts w:eastAsia="Times New Roman" w:cstheme="minorHAnsi"/>
          <w:sz w:val="24"/>
          <w:szCs w:val="24"/>
          <w:lang w:eastAsia="en-AU"/>
        </w:rPr>
        <w:t>factor driving this outcome</w:t>
      </w:r>
      <w:r w:rsidRPr="00512406">
        <w:rPr>
          <w:rFonts w:eastAsia="Times New Roman" w:cstheme="minorHAnsi"/>
          <w:sz w:val="24"/>
          <w:szCs w:val="24"/>
          <w:lang w:eastAsia="en-AU"/>
        </w:rPr>
        <w:t xml:space="preserve"> was improved measurement</w:t>
      </w:r>
      <w:r>
        <w:rPr>
          <w:rFonts w:eastAsia="Times New Roman" w:cstheme="minorHAnsi"/>
          <w:sz w:val="24"/>
          <w:szCs w:val="24"/>
          <w:lang w:eastAsia="en-AU"/>
        </w:rPr>
        <w:t xml:space="preserve"> of</w:t>
      </w:r>
      <w:r w:rsidRPr="00512406">
        <w:rPr>
          <w:rFonts w:eastAsia="Times New Roman" w:cstheme="minorHAnsi"/>
          <w:sz w:val="24"/>
          <w:szCs w:val="24"/>
          <w:lang w:eastAsia="en-AU"/>
        </w:rPr>
        <w:t xml:space="preserve"> the costs of providing services in remote areas, which reduced </w:t>
      </w:r>
      <w:r w:rsidRPr="003700BB">
        <w:rPr>
          <w:rFonts w:eastAsia="Times New Roman" w:cstheme="minorHAnsi"/>
          <w:sz w:val="24"/>
          <w:szCs w:val="24"/>
          <w:lang w:eastAsia="en-AU"/>
        </w:rPr>
        <w:t xml:space="preserve">the ACT’s </w:t>
      </w:r>
      <w:r w:rsidRPr="00512406">
        <w:rPr>
          <w:rFonts w:eastAsia="Times New Roman" w:cstheme="minorHAnsi"/>
          <w:sz w:val="24"/>
          <w:szCs w:val="24"/>
          <w:lang w:eastAsia="en-AU"/>
        </w:rPr>
        <w:t>assessed expense needs in a range of services, particularly Health and Police, as well as flow-through effects to our assessed investment needs.</w:t>
      </w:r>
    </w:p>
    <w:bookmarkEnd w:id="115"/>
    <w:p w14:paraId="1C1327FE" w14:textId="77777777" w:rsidR="00A60D4B" w:rsidRPr="00A755BD" w:rsidRDefault="00A60D4B" w:rsidP="00A60D4B">
      <w:pPr>
        <w:pStyle w:val="Bbodytext"/>
        <w:rPr>
          <w:rFonts w:cs="Times New Roman"/>
          <w:szCs w:val="16"/>
          <w:lang w:val="x-none"/>
        </w:rPr>
      </w:pPr>
      <w:r>
        <w:t>Over</w:t>
      </w:r>
      <w:r w:rsidRPr="00846468">
        <w:t xml:space="preserve">all, </w:t>
      </w:r>
      <w:r>
        <w:t xml:space="preserve">between 2020-21 and 2021-22, </w:t>
      </w:r>
      <w:r>
        <w:rPr>
          <w:rStyle w:val="Calibri12"/>
        </w:rPr>
        <w:t>the ACT, New South Wales</w:t>
      </w:r>
      <w:r w:rsidRPr="00846468">
        <w:rPr>
          <w:rStyle w:val="Calibri12"/>
        </w:rPr>
        <w:t>,</w:t>
      </w:r>
      <w:r>
        <w:rPr>
          <w:rStyle w:val="Calibri12"/>
        </w:rPr>
        <w:t xml:space="preserve"> Queensland, and Tasmania received increases in their GST shares</w:t>
      </w:r>
      <w:r w:rsidRPr="00846468">
        <w:rPr>
          <w:rStyle w:val="Calibri12"/>
        </w:rPr>
        <w:t xml:space="preserve"> while Victoria, </w:t>
      </w:r>
      <w:r>
        <w:rPr>
          <w:rStyle w:val="Calibri12"/>
        </w:rPr>
        <w:t xml:space="preserve">Western Australia, </w:t>
      </w:r>
      <w:r w:rsidRPr="00846468">
        <w:rPr>
          <w:rStyle w:val="Calibri12"/>
        </w:rPr>
        <w:t>South Australia</w:t>
      </w:r>
      <w:r>
        <w:rPr>
          <w:rStyle w:val="Calibri12"/>
        </w:rPr>
        <w:t>,</w:t>
      </w:r>
      <w:r w:rsidRPr="00846468">
        <w:rPr>
          <w:rStyle w:val="Calibri12"/>
        </w:rPr>
        <w:t xml:space="preserve"> </w:t>
      </w:r>
      <w:r>
        <w:rPr>
          <w:rStyle w:val="Calibri12"/>
        </w:rPr>
        <w:t xml:space="preserve">and the Northern Territory </w:t>
      </w:r>
      <w:r w:rsidRPr="00846468">
        <w:rPr>
          <w:rStyle w:val="Calibri12"/>
        </w:rPr>
        <w:t>saw a reduction in their</w:t>
      </w:r>
      <w:r>
        <w:rPr>
          <w:rStyle w:val="Calibri12"/>
        </w:rPr>
        <w:t xml:space="preserve"> </w:t>
      </w:r>
      <w:r w:rsidRPr="00846468">
        <w:rPr>
          <w:rStyle w:val="Calibri12"/>
        </w:rPr>
        <w:t>s</w:t>
      </w:r>
      <w:r>
        <w:rPr>
          <w:rStyle w:val="Calibri12"/>
        </w:rPr>
        <w:t>hares</w:t>
      </w:r>
      <w:r w:rsidRPr="00846468">
        <w:rPr>
          <w:rStyle w:val="Calibri12"/>
        </w:rPr>
        <w:t xml:space="preserve"> from the 202</w:t>
      </w:r>
      <w:r>
        <w:rPr>
          <w:rStyle w:val="Calibri12"/>
        </w:rPr>
        <w:t>1</w:t>
      </w:r>
      <w:r w:rsidRPr="00846468">
        <w:rPr>
          <w:rStyle w:val="Calibri12"/>
        </w:rPr>
        <w:t xml:space="preserve"> </w:t>
      </w:r>
      <w:r>
        <w:rPr>
          <w:rStyle w:val="Calibri12"/>
        </w:rPr>
        <w:t>Update</w:t>
      </w:r>
      <w:r w:rsidRPr="00846468">
        <w:rPr>
          <w:rStyle w:val="Calibri12"/>
        </w:rPr>
        <w:t xml:space="preserve">. </w:t>
      </w:r>
    </w:p>
    <w:p w14:paraId="25F1FE90" w14:textId="77777777" w:rsidR="00A60D4B" w:rsidRPr="005D5664" w:rsidRDefault="00A60D4B" w:rsidP="00A60D4B">
      <w:pPr>
        <w:pStyle w:val="Heading4"/>
        <w:rPr>
          <w:lang w:eastAsia="en-AU"/>
        </w:rPr>
      </w:pPr>
      <w:r w:rsidRPr="005D5664">
        <w:rPr>
          <w:lang w:eastAsia="en-AU"/>
        </w:rPr>
        <w:t>Sensitivity of GST estimates</w:t>
      </w:r>
    </w:p>
    <w:p w14:paraId="4FBF9222" w14:textId="77777777" w:rsidR="00A60D4B" w:rsidRPr="00F47F5A" w:rsidRDefault="00A60D4B" w:rsidP="00A60D4B">
      <w:pPr>
        <w:pStyle w:val="Bbodytext"/>
      </w:pPr>
      <w:r w:rsidRPr="00F47F5A">
        <w:t xml:space="preserve">A </w:t>
      </w:r>
      <w:r>
        <w:t>one</w:t>
      </w:r>
      <w:r w:rsidRPr="00F47F5A">
        <w:t xml:space="preserve"> per cent reduction in the GST pool in any year would reduce the ACT’s GST share by </w:t>
      </w:r>
      <w:r>
        <w:t xml:space="preserve">between </w:t>
      </w:r>
      <w:r w:rsidRPr="00F47F5A">
        <w:t>$13.</w:t>
      </w:r>
      <w:r>
        <w:t>1</w:t>
      </w:r>
      <w:r w:rsidRPr="00F47F5A">
        <w:t xml:space="preserve"> </w:t>
      </w:r>
      <w:r>
        <w:t>million and</w:t>
      </w:r>
      <w:r w:rsidRPr="00F47F5A">
        <w:t xml:space="preserve"> $15.</w:t>
      </w:r>
      <w:r>
        <w:t>3</w:t>
      </w:r>
      <w:r w:rsidRPr="00F47F5A">
        <w:t xml:space="preserve"> million, depending on the year affected. In total, if the forecast for the GST pool over the budget and forward estimates period reduces by 1 per cent </w:t>
      </w:r>
      <w:r>
        <w:t>(</w:t>
      </w:r>
      <w:r w:rsidRPr="00F47F5A">
        <w:t>around</w:t>
      </w:r>
      <w:r>
        <w:t xml:space="preserve"> </w:t>
      </w:r>
      <w:r w:rsidRPr="00F47F5A">
        <w:t>$3.</w:t>
      </w:r>
      <w:r>
        <w:t>2</w:t>
      </w:r>
      <w:r w:rsidRPr="00F47F5A">
        <w:t xml:space="preserve"> billion</w:t>
      </w:r>
      <w:r>
        <w:t>)</w:t>
      </w:r>
      <w:r w:rsidRPr="00F47F5A">
        <w:t>, the ACT’s GST share will reduce by $5</w:t>
      </w:r>
      <w:r>
        <w:t>7</w:t>
      </w:r>
      <w:r w:rsidRPr="00F47F5A">
        <w:t xml:space="preserve"> million over the same period. This assumes that the ACT’s share of the Australian population is the same as in the baseline scenario</w:t>
      </w:r>
      <w:r>
        <w:t xml:space="preserve"> along with the standard assumption of</w:t>
      </w:r>
      <w:r w:rsidRPr="00F47F5A">
        <w:t xml:space="preserve"> constant </w:t>
      </w:r>
      <w:r>
        <w:t>GST relativity.</w:t>
      </w:r>
    </w:p>
    <w:p w14:paraId="0356088F" w14:textId="77777777" w:rsidR="00A60D4B" w:rsidRDefault="00A60D4B" w:rsidP="00A60D4B">
      <w:pPr>
        <w:pStyle w:val="Bbodytext"/>
      </w:pPr>
      <w:r w:rsidRPr="00F47F5A">
        <w:t xml:space="preserve">If the ACT’s share of the Australian population </w:t>
      </w:r>
      <w:r>
        <w:t>was 0.01 percentage points</w:t>
      </w:r>
      <w:r w:rsidRPr="00F47F5A">
        <w:t xml:space="preserve"> lower than assumed in the baseline scenario, </w:t>
      </w:r>
      <w:r>
        <w:t>the ACT’s</w:t>
      </w:r>
      <w:r w:rsidRPr="00F47F5A">
        <w:t xml:space="preserve"> GST revenue share would </w:t>
      </w:r>
      <w:r>
        <w:t>decline</w:t>
      </w:r>
      <w:r w:rsidRPr="00F47F5A">
        <w:t xml:space="preserve"> by </w:t>
      </w:r>
      <w:r>
        <w:t xml:space="preserve">between </w:t>
      </w:r>
      <w:r w:rsidRPr="00F47F5A">
        <w:t>$7.8</w:t>
      </w:r>
      <w:r>
        <w:t xml:space="preserve"> million</w:t>
      </w:r>
      <w:r w:rsidRPr="00F47F5A">
        <w:t xml:space="preserve"> </w:t>
      </w:r>
      <w:r>
        <w:t>and</w:t>
      </w:r>
      <w:r w:rsidRPr="00F47F5A">
        <w:t xml:space="preserve"> $</w:t>
      </w:r>
      <w:r>
        <w:t>9</w:t>
      </w:r>
      <w:r w:rsidRPr="00F47F5A">
        <w:t>.</w:t>
      </w:r>
      <w:r>
        <w:t>2 million</w:t>
      </w:r>
      <w:r w:rsidRPr="00F47F5A">
        <w:t xml:space="preserve">, depending on the year affected. </w:t>
      </w:r>
      <w:r>
        <w:t xml:space="preserve">It is important to note that </w:t>
      </w:r>
      <w:r>
        <w:lastRenderedPageBreak/>
        <w:t xml:space="preserve">the effect on GST revenue for the ACT of a reduction in the ACT’s population share would likely be exacerbated by </w:t>
      </w:r>
      <w:r w:rsidRPr="00F47F5A">
        <w:t>reduc</w:t>
      </w:r>
      <w:r>
        <w:t>ing</w:t>
      </w:r>
      <w:r w:rsidRPr="00F47F5A">
        <w:t xml:space="preserve"> the ACT’s GST relativity for that year.</w:t>
      </w:r>
    </w:p>
    <w:p w14:paraId="16930023" w14:textId="77777777" w:rsidR="00A60D4B" w:rsidRPr="00F47F5A" w:rsidRDefault="00A60D4B" w:rsidP="00A60D4B">
      <w:pPr>
        <w:pStyle w:val="Bbodytext"/>
      </w:pPr>
      <w:r>
        <w:t>A one per cent increase in the GST pool or 0.01 percentage point increase in the ACT’s population share would increase the ACT’s GST share by the equivalent amounts.</w:t>
      </w:r>
    </w:p>
    <w:p w14:paraId="2078FC4F" w14:textId="77777777" w:rsidR="00A60D4B" w:rsidRPr="006C28D8" w:rsidRDefault="00A60D4B" w:rsidP="00A60D4B">
      <w:pPr>
        <w:pStyle w:val="Heading4"/>
      </w:pPr>
      <w:bookmarkStart w:id="116" w:name="_Toc62729123"/>
      <w:bookmarkStart w:id="117" w:name="_Toc63586691"/>
      <w:r w:rsidRPr="006C28D8">
        <w:t>ACT municipal services</w:t>
      </w:r>
      <w:bookmarkEnd w:id="116"/>
      <w:bookmarkEnd w:id="117"/>
    </w:p>
    <w:p w14:paraId="5C742203" w14:textId="77777777" w:rsidR="00A60D4B" w:rsidRPr="00037714" w:rsidRDefault="00A60D4B" w:rsidP="00A60D4B">
      <w:pPr>
        <w:spacing w:after="120" w:line="240" w:lineRule="auto"/>
        <w:rPr>
          <w:sz w:val="24"/>
          <w:szCs w:val="24"/>
        </w:rPr>
      </w:pPr>
      <w:r w:rsidRPr="00037714">
        <w:rPr>
          <w:sz w:val="24"/>
          <w:szCs w:val="24"/>
        </w:rPr>
        <w:t xml:space="preserve">The Commonwealth also provides General Revenue Assistance to the ACT to assist in meeting the additional municipal costs that arise from Canberra’s </w:t>
      </w:r>
      <w:r>
        <w:rPr>
          <w:sz w:val="24"/>
          <w:szCs w:val="24"/>
        </w:rPr>
        <w:t xml:space="preserve">unique </w:t>
      </w:r>
      <w:r w:rsidRPr="00037714">
        <w:rPr>
          <w:sz w:val="24"/>
          <w:szCs w:val="24"/>
        </w:rPr>
        <w:t xml:space="preserve">role as the national capital. These costs arise from a range of factors, including additional costs incurred from the design of Canberra and our inability to levy rates </w:t>
      </w:r>
      <w:r>
        <w:rPr>
          <w:sz w:val="24"/>
          <w:szCs w:val="24"/>
        </w:rPr>
        <w:t xml:space="preserve">and payroll tax </w:t>
      </w:r>
      <w:r w:rsidRPr="00037714">
        <w:rPr>
          <w:sz w:val="24"/>
          <w:szCs w:val="24"/>
        </w:rPr>
        <w:t xml:space="preserve">on the Commonwealth. </w:t>
      </w:r>
    </w:p>
    <w:p w14:paraId="6E49B995" w14:textId="77777777" w:rsidR="00A60D4B" w:rsidRPr="00037714" w:rsidRDefault="00A60D4B" w:rsidP="00A60D4B">
      <w:pPr>
        <w:spacing w:after="120" w:line="240" w:lineRule="auto"/>
        <w:rPr>
          <w:snapToGrid w:val="0"/>
          <w:sz w:val="24"/>
          <w:szCs w:val="24"/>
        </w:rPr>
      </w:pPr>
      <w:r w:rsidRPr="00037714">
        <w:rPr>
          <w:sz w:val="24"/>
          <w:szCs w:val="24"/>
        </w:rPr>
        <w:t>The level of funding was agreed</w:t>
      </w:r>
      <w:r w:rsidRPr="00037714">
        <w:rPr>
          <w:snapToGrid w:val="0"/>
          <w:sz w:val="24"/>
          <w:szCs w:val="24"/>
        </w:rPr>
        <w:t xml:space="preserve"> at the time the ACT was granted self-government and is indexed annually by a growth factor comprising indicators for wage growth and inflation.</w:t>
      </w:r>
    </w:p>
    <w:p w14:paraId="1D6189EF" w14:textId="77777777" w:rsidR="00A60D4B" w:rsidRPr="00CB5678" w:rsidRDefault="00A60D4B" w:rsidP="00A60D4B">
      <w:pPr>
        <w:spacing w:before="120" w:after="120" w:line="240" w:lineRule="auto"/>
        <w:rPr>
          <w:sz w:val="24"/>
          <w:szCs w:val="24"/>
        </w:rPr>
      </w:pPr>
      <w:bookmarkStart w:id="118" w:name="_Hlk79567366"/>
      <w:r>
        <w:rPr>
          <w:sz w:val="24"/>
          <w:szCs w:val="24"/>
        </w:rPr>
        <w:t xml:space="preserve">The interim outcome for 2020-21 for ACT municipal services was </w:t>
      </w:r>
      <w:r w:rsidRPr="0015464E">
        <w:rPr>
          <w:sz w:val="24"/>
          <w:szCs w:val="24"/>
        </w:rPr>
        <w:t>$</w:t>
      </w:r>
      <w:r>
        <w:rPr>
          <w:sz w:val="24"/>
          <w:szCs w:val="24"/>
        </w:rPr>
        <w:t xml:space="preserve">41.2 million. This is </w:t>
      </w:r>
      <w:r w:rsidRPr="00CB5678">
        <w:rPr>
          <w:sz w:val="24"/>
          <w:szCs w:val="24"/>
        </w:rPr>
        <w:t>expected to increase to $41.7 million in 2021-22. Over the</w:t>
      </w:r>
      <w:r w:rsidRPr="00CB5678" w:rsidDel="007A1167">
        <w:rPr>
          <w:sz w:val="24"/>
          <w:szCs w:val="24"/>
        </w:rPr>
        <w:t xml:space="preserve"> </w:t>
      </w:r>
      <w:r>
        <w:rPr>
          <w:sz w:val="24"/>
          <w:szCs w:val="24"/>
        </w:rPr>
        <w:t>b</w:t>
      </w:r>
      <w:r w:rsidRPr="00CB5678">
        <w:rPr>
          <w:sz w:val="24"/>
          <w:szCs w:val="24"/>
        </w:rPr>
        <w:t xml:space="preserve">udget and forward estimates period, 2021-22 to 2024-25, municipal services revenue is expected to be </w:t>
      </w:r>
      <w:r w:rsidRPr="00E4292C">
        <w:rPr>
          <w:sz w:val="24"/>
          <w:szCs w:val="24"/>
        </w:rPr>
        <w:t>$170.</w:t>
      </w:r>
      <w:r>
        <w:rPr>
          <w:sz w:val="24"/>
          <w:szCs w:val="24"/>
        </w:rPr>
        <w:t>2</w:t>
      </w:r>
      <w:r w:rsidRPr="00E4292C">
        <w:rPr>
          <w:sz w:val="24"/>
          <w:szCs w:val="24"/>
        </w:rPr>
        <w:t xml:space="preserve"> million</w:t>
      </w:r>
      <w:r w:rsidRPr="00CB5678">
        <w:rPr>
          <w:sz w:val="24"/>
          <w:szCs w:val="24"/>
        </w:rPr>
        <w:t xml:space="preserve">. </w:t>
      </w:r>
    </w:p>
    <w:p w14:paraId="41F55297" w14:textId="77777777" w:rsidR="00A60D4B" w:rsidRPr="00CB5678" w:rsidRDefault="00A60D4B" w:rsidP="00A60D4B">
      <w:pPr>
        <w:pStyle w:val="Heading4"/>
      </w:pPr>
      <w:bookmarkStart w:id="119" w:name="_Toc62729124"/>
      <w:bookmarkStart w:id="120" w:name="_Toc63586692"/>
      <w:bookmarkEnd w:id="118"/>
      <w:r w:rsidRPr="00CB5678">
        <w:t>Payments for specific purposes</w:t>
      </w:r>
      <w:bookmarkEnd w:id="119"/>
      <w:bookmarkEnd w:id="120"/>
    </w:p>
    <w:p w14:paraId="7B6E509B" w14:textId="77777777" w:rsidR="00A60D4B" w:rsidRPr="00CB5678" w:rsidRDefault="00A60D4B" w:rsidP="00A60D4B">
      <w:pPr>
        <w:pStyle w:val="Bbodytext"/>
        <w:rPr>
          <w:szCs w:val="24"/>
        </w:rPr>
      </w:pPr>
      <w:r w:rsidRPr="00CB5678">
        <w:rPr>
          <w:szCs w:val="24"/>
        </w:rPr>
        <w:t>The Commonwealth provides grants to the ACT for specific purposes to support services in health, education, skills and workforce development, and housing. This includes both National Partnership Payments, addressed in the section below, and funding under four National Agreements – Health Reform, School Reform, Skills and Workforce Development, and Housing and Homelessness.</w:t>
      </w:r>
    </w:p>
    <w:p w14:paraId="52173DC6" w14:textId="77777777" w:rsidR="00A60D4B" w:rsidRPr="00AE7C00" w:rsidRDefault="00A60D4B" w:rsidP="00A60D4B">
      <w:pPr>
        <w:spacing w:before="120" w:after="120" w:line="240" w:lineRule="auto"/>
        <w:rPr>
          <w:sz w:val="24"/>
          <w:szCs w:val="24"/>
        </w:rPr>
      </w:pPr>
      <w:r w:rsidRPr="00CB5678">
        <w:rPr>
          <w:sz w:val="24"/>
          <w:szCs w:val="24"/>
        </w:rPr>
        <w:t xml:space="preserve">The interim outcome for 2020-21 for National Agreement payments was $906.7 million. This is estimated to increase to $973.8 million in 2021-22. Over the </w:t>
      </w:r>
      <w:r>
        <w:rPr>
          <w:sz w:val="24"/>
          <w:szCs w:val="24"/>
        </w:rPr>
        <w:t>b</w:t>
      </w:r>
      <w:r w:rsidRPr="00CB5678">
        <w:rPr>
          <w:sz w:val="24"/>
          <w:szCs w:val="24"/>
        </w:rPr>
        <w:t xml:space="preserve">udget and forward estimates period, 2021-22 to 2024-25, National Agreement payments received by the ACT are expected to be </w:t>
      </w:r>
      <w:r w:rsidRPr="00E4292C">
        <w:rPr>
          <w:sz w:val="24"/>
          <w:szCs w:val="24"/>
        </w:rPr>
        <w:t>$4.1 billion</w:t>
      </w:r>
      <w:r w:rsidRPr="00CB5678">
        <w:rPr>
          <w:sz w:val="24"/>
          <w:szCs w:val="24"/>
        </w:rPr>
        <w:t>. Relative to</w:t>
      </w:r>
      <w:r>
        <w:rPr>
          <w:sz w:val="24"/>
          <w:szCs w:val="24"/>
        </w:rPr>
        <w:t xml:space="preserve"> the</w:t>
      </w:r>
      <w:r w:rsidRPr="00F80C2A">
        <w:rPr>
          <w:sz w:val="24"/>
          <w:szCs w:val="24"/>
        </w:rPr>
        <w:t xml:space="preserve"> </w:t>
      </w:r>
      <w:r w:rsidRPr="008F7F0F">
        <w:rPr>
          <w:sz w:val="24"/>
          <w:szCs w:val="24"/>
        </w:rPr>
        <w:t>2020-21 Budget</w:t>
      </w:r>
      <w:r>
        <w:rPr>
          <w:sz w:val="24"/>
          <w:szCs w:val="24"/>
        </w:rPr>
        <w:t>, National Agreement payments received by the ACT are expected to be</w:t>
      </w:r>
      <w:r w:rsidRPr="00F80C2A">
        <w:rPr>
          <w:sz w:val="24"/>
          <w:szCs w:val="24"/>
        </w:rPr>
        <w:t xml:space="preserve"> </w:t>
      </w:r>
      <w:r>
        <w:rPr>
          <w:sz w:val="24"/>
          <w:szCs w:val="24"/>
        </w:rPr>
        <w:t>$672,000 lower</w:t>
      </w:r>
      <w:r w:rsidRPr="00F80C2A">
        <w:rPr>
          <w:sz w:val="24"/>
          <w:szCs w:val="24"/>
        </w:rPr>
        <w:t xml:space="preserve"> </w:t>
      </w:r>
      <w:r>
        <w:rPr>
          <w:sz w:val="24"/>
          <w:szCs w:val="24"/>
        </w:rPr>
        <w:t>over the four years 2020</w:t>
      </w:r>
      <w:r>
        <w:rPr>
          <w:sz w:val="24"/>
          <w:szCs w:val="24"/>
        </w:rPr>
        <w:noBreakHyphen/>
        <w:t>21 to 2023</w:t>
      </w:r>
      <w:r>
        <w:rPr>
          <w:sz w:val="24"/>
          <w:szCs w:val="24"/>
        </w:rPr>
        <w:noBreakHyphen/>
        <w:t>24</w:t>
      </w:r>
      <w:r w:rsidRPr="00F80C2A">
        <w:rPr>
          <w:sz w:val="24"/>
          <w:szCs w:val="24"/>
        </w:rPr>
        <w:t>.</w:t>
      </w:r>
      <w:r w:rsidRPr="00AE7C00">
        <w:rPr>
          <w:sz w:val="24"/>
          <w:szCs w:val="24"/>
        </w:rPr>
        <w:t xml:space="preserve"> The distribution of these payments across sectors is outlined in Table</w:t>
      </w:r>
      <w:r>
        <w:rPr>
          <w:sz w:val="24"/>
          <w:szCs w:val="24"/>
        </w:rPr>
        <w:t> </w:t>
      </w:r>
      <w:r w:rsidRPr="00AE7C00">
        <w:rPr>
          <w:sz w:val="24"/>
          <w:szCs w:val="24"/>
        </w:rPr>
        <w:t>3.6.</w:t>
      </w:r>
      <w:r>
        <w:rPr>
          <w:sz w:val="24"/>
          <w:szCs w:val="24"/>
        </w:rPr>
        <w:t>2</w:t>
      </w:r>
      <w:r w:rsidRPr="00AE7C00">
        <w:rPr>
          <w:sz w:val="24"/>
          <w:szCs w:val="24"/>
        </w:rPr>
        <w:t xml:space="preserve"> </w:t>
      </w:r>
      <w:r>
        <w:rPr>
          <w:sz w:val="24"/>
          <w:szCs w:val="24"/>
        </w:rPr>
        <w:t>below</w:t>
      </w:r>
      <w:r w:rsidRPr="00AE7C00">
        <w:rPr>
          <w:sz w:val="24"/>
          <w:szCs w:val="24"/>
        </w:rPr>
        <w:t>.</w:t>
      </w:r>
    </w:p>
    <w:p w14:paraId="60A9AB52" w14:textId="77777777" w:rsidR="00A60D4B" w:rsidRPr="00422009" w:rsidRDefault="00A60D4B" w:rsidP="00A60D4B">
      <w:pPr>
        <w:spacing w:before="120" w:after="120" w:line="240" w:lineRule="auto"/>
        <w:rPr>
          <w:rFonts w:cstheme="minorHAnsi"/>
          <w:sz w:val="24"/>
          <w:szCs w:val="24"/>
        </w:rPr>
      </w:pPr>
      <w:r>
        <w:rPr>
          <w:sz w:val="24"/>
          <w:szCs w:val="24"/>
        </w:rPr>
        <w:t xml:space="preserve">Although variations in payments for specific purposes since the </w:t>
      </w:r>
      <w:r w:rsidRPr="008F7F0F">
        <w:rPr>
          <w:sz w:val="24"/>
          <w:szCs w:val="24"/>
        </w:rPr>
        <w:t>2020-21 Budget</w:t>
      </w:r>
      <w:r>
        <w:rPr>
          <w:sz w:val="24"/>
          <w:szCs w:val="24"/>
        </w:rPr>
        <w:t xml:space="preserve"> are relatively small, there are significant changes in the timing of funding related to Health payments from the Commonwealth. </w:t>
      </w:r>
      <w:r w:rsidRPr="00422009">
        <w:rPr>
          <w:rFonts w:cstheme="minorHAnsi"/>
          <w:sz w:val="24"/>
          <w:szCs w:val="24"/>
        </w:rPr>
        <w:t xml:space="preserve">Changes since the last budget are </w:t>
      </w:r>
      <w:r w:rsidRPr="00024B86">
        <w:rPr>
          <w:rFonts w:cstheme="minorHAnsi"/>
          <w:sz w:val="24"/>
          <w:szCs w:val="24"/>
          <w:shd w:val="clear" w:color="auto" w:fill="FFFFFF"/>
        </w:rPr>
        <w:t>largely driven by a decrease in Health funding in 2020-21 of $22 million, compared to expected funding for the COVID-19 response</w:t>
      </w:r>
      <w:r>
        <w:rPr>
          <w:rFonts w:cstheme="minorHAnsi"/>
          <w:sz w:val="24"/>
          <w:szCs w:val="24"/>
          <w:shd w:val="clear" w:color="auto" w:fill="FFFFFF"/>
        </w:rPr>
        <w:t>,</w:t>
      </w:r>
      <w:r w:rsidRPr="00024B86">
        <w:rPr>
          <w:rFonts w:cstheme="minorHAnsi"/>
          <w:sz w:val="24"/>
          <w:szCs w:val="24"/>
          <w:shd w:val="clear" w:color="auto" w:fill="FFFFFF"/>
        </w:rPr>
        <w:t xml:space="preserve"> as well as National Health Reform funding. Going forward, it is expected that this decrease will be largely offset by an increase in Health funding in 2021-22 compared to last budget. This is primarily attributable to the COVID-19 response, with a decrease in funding associated with other revenues associated with the National Health Reform Agreement. </w:t>
      </w:r>
    </w:p>
    <w:p w14:paraId="681E532F" w14:textId="77777777" w:rsidR="00A60D4B" w:rsidRPr="002559E0" w:rsidRDefault="00A60D4B" w:rsidP="00A60D4B">
      <w:pPr>
        <w:pStyle w:val="Heading4"/>
      </w:pPr>
      <w:bookmarkStart w:id="121" w:name="_Toc62729126"/>
      <w:bookmarkStart w:id="122" w:name="_Toc63586693"/>
      <w:r w:rsidRPr="002559E0">
        <w:t>National Partnership Payments</w:t>
      </w:r>
      <w:bookmarkEnd w:id="121"/>
      <w:bookmarkEnd w:id="122"/>
    </w:p>
    <w:p w14:paraId="6E6A2F94" w14:textId="77777777" w:rsidR="00A60D4B" w:rsidRPr="002559E0" w:rsidRDefault="00A60D4B" w:rsidP="00A60D4B">
      <w:pPr>
        <w:spacing w:before="120" w:after="120" w:line="240" w:lineRule="auto"/>
        <w:rPr>
          <w:sz w:val="24"/>
          <w:szCs w:val="24"/>
        </w:rPr>
      </w:pPr>
      <w:r>
        <w:rPr>
          <w:sz w:val="24"/>
          <w:szCs w:val="24"/>
        </w:rPr>
        <w:t>Through the Federation Funding Agreements (FFAs), t</w:t>
      </w:r>
      <w:r w:rsidRPr="002559E0">
        <w:rPr>
          <w:sz w:val="24"/>
          <w:szCs w:val="24"/>
        </w:rPr>
        <w:t>he Commonwealth provides National Partnership Payments</w:t>
      </w:r>
      <w:r>
        <w:rPr>
          <w:sz w:val="24"/>
          <w:szCs w:val="24"/>
        </w:rPr>
        <w:t xml:space="preserve"> (NPPs)</w:t>
      </w:r>
      <w:r w:rsidRPr="002559E0">
        <w:rPr>
          <w:sz w:val="24"/>
          <w:szCs w:val="24"/>
        </w:rPr>
        <w:t xml:space="preserve"> to the states and territories to support the delivery of specified projects, facilitate reforms, or reward those </w:t>
      </w:r>
      <w:r>
        <w:rPr>
          <w:sz w:val="24"/>
          <w:szCs w:val="24"/>
        </w:rPr>
        <w:t xml:space="preserve">jurisdictions </w:t>
      </w:r>
      <w:r w:rsidRPr="002559E0">
        <w:rPr>
          <w:sz w:val="24"/>
          <w:szCs w:val="24"/>
        </w:rPr>
        <w:t xml:space="preserve">that deliver on national </w:t>
      </w:r>
      <w:r w:rsidRPr="002559E0">
        <w:rPr>
          <w:sz w:val="24"/>
          <w:szCs w:val="24"/>
        </w:rPr>
        <w:lastRenderedPageBreak/>
        <w:t>reforms or achieve service delivery improvements.</w:t>
      </w:r>
      <w:r>
        <w:rPr>
          <w:sz w:val="24"/>
          <w:szCs w:val="24"/>
        </w:rPr>
        <w:t xml:space="preserve"> FFA schedules </w:t>
      </w:r>
      <w:r w:rsidRPr="002559E0">
        <w:rPr>
          <w:sz w:val="24"/>
          <w:szCs w:val="24"/>
        </w:rPr>
        <w:t xml:space="preserve">are typically </w:t>
      </w:r>
      <w:r w:rsidRPr="002559E0" w:rsidDel="00F359D1">
        <w:rPr>
          <w:sz w:val="24"/>
          <w:szCs w:val="24"/>
        </w:rPr>
        <w:t xml:space="preserve">entered </w:t>
      </w:r>
      <w:r w:rsidRPr="002559E0">
        <w:rPr>
          <w:sz w:val="24"/>
          <w:szCs w:val="24"/>
        </w:rPr>
        <w:t xml:space="preserve">for a fixed period, reflecting the nature of the project or reform involved. Payments are generally aligned with the achievement of milestones and are made after specific outcomes or outputs have been achieved. </w:t>
      </w:r>
    </w:p>
    <w:p w14:paraId="7AB0241E" w14:textId="77777777" w:rsidR="00A60D4B" w:rsidRDefault="00A60D4B" w:rsidP="00A60D4B">
      <w:pPr>
        <w:spacing w:before="120" w:after="120" w:line="240" w:lineRule="auto"/>
        <w:rPr>
          <w:sz w:val="24"/>
          <w:szCs w:val="24"/>
        </w:rPr>
      </w:pPr>
      <w:r>
        <w:rPr>
          <w:sz w:val="24"/>
          <w:szCs w:val="24"/>
        </w:rPr>
        <w:t>The interim outcome for funding through NPPs</w:t>
      </w:r>
      <w:r w:rsidRPr="72AF86AC">
        <w:rPr>
          <w:sz w:val="24"/>
          <w:szCs w:val="24"/>
        </w:rPr>
        <w:t xml:space="preserve"> </w:t>
      </w:r>
      <w:r>
        <w:rPr>
          <w:sz w:val="24"/>
          <w:szCs w:val="24"/>
        </w:rPr>
        <w:t>was estimated to be $146.1 million in 2020</w:t>
      </w:r>
      <w:r>
        <w:rPr>
          <w:sz w:val="24"/>
          <w:szCs w:val="24"/>
        </w:rPr>
        <w:noBreakHyphen/>
        <w:t>21. This is estimated to increase to $355.8 million in 2021-22. Funding through NPPs then falls to $245.2 million in 2022-23 and increases to $262.7 million in 2023-24 before falling to $132.5 million in 2024-25 as agreement funding expires.</w:t>
      </w:r>
    </w:p>
    <w:p w14:paraId="52668DB5" w14:textId="77777777" w:rsidR="00A60D4B" w:rsidRPr="002974C2" w:rsidRDefault="00A60D4B" w:rsidP="00A60D4B">
      <w:pPr>
        <w:spacing w:before="120" w:after="120" w:line="240" w:lineRule="auto"/>
        <w:rPr>
          <w:sz w:val="24"/>
          <w:szCs w:val="24"/>
        </w:rPr>
      </w:pPr>
      <w:r>
        <w:rPr>
          <w:sz w:val="24"/>
          <w:szCs w:val="24"/>
        </w:rPr>
        <w:t xml:space="preserve">A key driver of the additional funding in 2021-22 in particular is the ACT COVID-19 Business Support Package, which is providing financial support to small and medium businesses in the ACT that have been negatively affected by the ongoing COVID-19 pandemic and associated public health response. This support is being jointly funded by the Commonwealth. The ACT also expects to pay out further grants under the </w:t>
      </w:r>
      <w:r w:rsidRPr="009D2E97">
        <w:rPr>
          <w:i/>
          <w:iCs/>
          <w:sz w:val="24"/>
          <w:szCs w:val="24"/>
        </w:rPr>
        <w:t>National Partnership on Homebuilder</w:t>
      </w:r>
      <w:r>
        <w:rPr>
          <w:i/>
          <w:iCs/>
          <w:sz w:val="24"/>
          <w:szCs w:val="24"/>
        </w:rPr>
        <w:t xml:space="preserve">, </w:t>
      </w:r>
      <w:r>
        <w:rPr>
          <w:sz w:val="24"/>
          <w:szCs w:val="24"/>
        </w:rPr>
        <w:t>which will provide support to the ACT’s construction industry through the pandemic.</w:t>
      </w:r>
    </w:p>
    <w:p w14:paraId="43572781" w14:textId="77777777" w:rsidR="00A60D4B" w:rsidRPr="00C5409A" w:rsidRDefault="00A60D4B" w:rsidP="00A60D4B">
      <w:pPr>
        <w:spacing w:before="120" w:after="120" w:line="240" w:lineRule="auto"/>
        <w:rPr>
          <w:sz w:val="24"/>
          <w:szCs w:val="24"/>
        </w:rPr>
      </w:pPr>
      <w:r>
        <w:rPr>
          <w:sz w:val="24"/>
          <w:szCs w:val="24"/>
        </w:rPr>
        <w:t xml:space="preserve">Other significant funding agreements in this budget include </w:t>
      </w:r>
      <w:r>
        <w:rPr>
          <w:i/>
          <w:iCs/>
          <w:sz w:val="24"/>
          <w:szCs w:val="24"/>
        </w:rPr>
        <w:t xml:space="preserve">Guaranteeing Universal Access to Preschool </w:t>
      </w:r>
      <w:r w:rsidRPr="008E33A3">
        <w:rPr>
          <w:sz w:val="24"/>
          <w:szCs w:val="24"/>
        </w:rPr>
        <w:t>(from 202</w:t>
      </w:r>
      <w:r>
        <w:rPr>
          <w:sz w:val="24"/>
          <w:szCs w:val="24"/>
        </w:rPr>
        <w:t xml:space="preserve">1-22 </w:t>
      </w:r>
      <w:r w:rsidRPr="008E33A3">
        <w:rPr>
          <w:sz w:val="24"/>
          <w:szCs w:val="24"/>
        </w:rPr>
        <w:t>onwards)</w:t>
      </w:r>
      <w:r>
        <w:rPr>
          <w:i/>
          <w:iCs/>
          <w:sz w:val="24"/>
          <w:szCs w:val="24"/>
        </w:rPr>
        <w:t xml:space="preserve"> </w:t>
      </w:r>
      <w:r w:rsidRPr="00C5409A">
        <w:rPr>
          <w:sz w:val="24"/>
          <w:szCs w:val="24"/>
        </w:rPr>
        <w:t xml:space="preserve">and </w:t>
      </w:r>
      <w:r>
        <w:rPr>
          <w:sz w:val="24"/>
          <w:szCs w:val="24"/>
        </w:rPr>
        <w:t xml:space="preserve">additional funding for Infrastructure under </w:t>
      </w:r>
      <w:r w:rsidRPr="0084169C">
        <w:rPr>
          <w:i/>
          <w:iCs/>
          <w:sz w:val="24"/>
          <w:szCs w:val="24"/>
        </w:rPr>
        <w:t>the National Partnership Agreement on Land Transport Infrastructure Projects</w:t>
      </w:r>
      <w:r>
        <w:rPr>
          <w:sz w:val="24"/>
          <w:szCs w:val="24"/>
        </w:rPr>
        <w:t>, in particular the Road Investment Component (from 2020-21 onwards) and the Rail Investment Component (new funding).</w:t>
      </w:r>
    </w:p>
    <w:p w14:paraId="01935609" w14:textId="77777777" w:rsidR="00A60D4B" w:rsidRDefault="00A60D4B" w:rsidP="00A60D4B">
      <w:pPr>
        <w:pStyle w:val="Heading4"/>
      </w:pPr>
      <w:bookmarkStart w:id="123" w:name="_Toc62729128"/>
      <w:bookmarkStart w:id="124" w:name="_Toc63586694"/>
      <w:r w:rsidRPr="006C28D8">
        <w:t>Financial Assistance Grants to Local Government</w:t>
      </w:r>
      <w:bookmarkEnd w:id="123"/>
      <w:bookmarkEnd w:id="124"/>
    </w:p>
    <w:p w14:paraId="0C584667" w14:textId="77777777" w:rsidR="00A60D4B" w:rsidRPr="00037714" w:rsidRDefault="00A60D4B" w:rsidP="00A60D4B">
      <w:pPr>
        <w:spacing w:before="120" w:after="120" w:line="240" w:lineRule="auto"/>
        <w:rPr>
          <w:sz w:val="24"/>
          <w:szCs w:val="24"/>
        </w:rPr>
      </w:pPr>
      <w:r w:rsidRPr="00037714">
        <w:rPr>
          <w:sz w:val="24"/>
          <w:szCs w:val="24"/>
        </w:rPr>
        <w:t>Financial Assistance Grants are paid to state governments for provision to local governments according to distributions</w:t>
      </w:r>
      <w:r>
        <w:rPr>
          <w:sz w:val="24"/>
          <w:szCs w:val="24"/>
        </w:rPr>
        <w:t xml:space="preserve"> within each jurisdiction as</w:t>
      </w:r>
      <w:r w:rsidRPr="00037714">
        <w:rPr>
          <w:sz w:val="24"/>
          <w:szCs w:val="24"/>
        </w:rPr>
        <w:t xml:space="preserve"> recommended by </w:t>
      </w:r>
      <w:r>
        <w:rPr>
          <w:sz w:val="24"/>
          <w:szCs w:val="24"/>
        </w:rPr>
        <w:t>s</w:t>
      </w:r>
      <w:r w:rsidRPr="00037714">
        <w:rPr>
          <w:sz w:val="24"/>
          <w:szCs w:val="24"/>
        </w:rPr>
        <w:t>tate</w:t>
      </w:r>
      <w:r>
        <w:rPr>
          <w:sz w:val="24"/>
          <w:szCs w:val="24"/>
        </w:rPr>
        <w:t>s’ local government</w:t>
      </w:r>
      <w:r w:rsidRPr="00037714">
        <w:rPr>
          <w:sz w:val="24"/>
          <w:szCs w:val="24"/>
        </w:rPr>
        <w:t xml:space="preserve"> </w:t>
      </w:r>
      <w:r>
        <w:rPr>
          <w:sz w:val="24"/>
          <w:szCs w:val="24"/>
        </w:rPr>
        <w:t>g</w:t>
      </w:r>
      <w:r w:rsidRPr="00037714">
        <w:rPr>
          <w:sz w:val="24"/>
          <w:szCs w:val="24"/>
        </w:rPr>
        <w:t xml:space="preserve">rants </w:t>
      </w:r>
      <w:r>
        <w:rPr>
          <w:sz w:val="24"/>
          <w:szCs w:val="24"/>
        </w:rPr>
        <w:t>c</w:t>
      </w:r>
      <w:r w:rsidRPr="00037714">
        <w:rPr>
          <w:sz w:val="24"/>
          <w:szCs w:val="24"/>
        </w:rPr>
        <w:t>ommissions. Financial Assistance Grants to local government</w:t>
      </w:r>
      <w:r>
        <w:rPr>
          <w:sz w:val="24"/>
          <w:szCs w:val="24"/>
        </w:rPr>
        <w:t>s</w:t>
      </w:r>
      <w:r w:rsidRPr="00037714">
        <w:rPr>
          <w:sz w:val="24"/>
          <w:szCs w:val="24"/>
        </w:rPr>
        <w:t xml:space="preserve"> are untied and can be spent according to local government priorities. </w:t>
      </w:r>
    </w:p>
    <w:p w14:paraId="31919A90" w14:textId="77777777" w:rsidR="00A60D4B" w:rsidRPr="00CB5678" w:rsidRDefault="00A60D4B" w:rsidP="00A60D4B">
      <w:pPr>
        <w:spacing w:before="120" w:after="120" w:line="240" w:lineRule="auto"/>
        <w:rPr>
          <w:sz w:val="24"/>
          <w:szCs w:val="24"/>
        </w:rPr>
      </w:pPr>
      <w:r w:rsidRPr="00037714">
        <w:rPr>
          <w:sz w:val="24"/>
          <w:szCs w:val="24"/>
        </w:rPr>
        <w:t xml:space="preserve">As the ACT Government has responsibility for both state and municipal functions, Financial </w:t>
      </w:r>
      <w:r w:rsidRPr="00CB5678">
        <w:rPr>
          <w:sz w:val="24"/>
          <w:szCs w:val="24"/>
        </w:rPr>
        <w:t>Assistance Grants are paid directly to the ACT to be spent according to our budget priorities. The ACT receives approximately two per cent of the Financial Assistance Grants pool.</w:t>
      </w:r>
    </w:p>
    <w:p w14:paraId="39E34DAF" w14:textId="77777777" w:rsidR="00A60D4B" w:rsidRDefault="00A60D4B" w:rsidP="00A60D4B">
      <w:pPr>
        <w:pStyle w:val="Bbodytext"/>
      </w:pPr>
      <w:r w:rsidRPr="00CB5678">
        <w:t xml:space="preserve">The funding for Financial Assistance Grants is largely unchanged across 2020-21 through to </w:t>
      </w:r>
      <w:r w:rsidRPr="00E4292C">
        <w:t>2024-25</w:t>
      </w:r>
      <w:r w:rsidRPr="00CB5678">
        <w:t>, and comparable</w:t>
      </w:r>
      <w:r>
        <w:t xml:space="preserve"> to the</w:t>
      </w:r>
      <w:r w:rsidRPr="00C5409A">
        <w:t xml:space="preserve"> 2020-21 and 2021-22 budgets.</w:t>
      </w:r>
    </w:p>
    <w:p w14:paraId="6027F9B8" w14:textId="77777777" w:rsidR="00A60D4B" w:rsidRDefault="00A60D4B" w:rsidP="00A60D4B">
      <w:pPr>
        <w:pStyle w:val="Heading4"/>
      </w:pPr>
      <w:r w:rsidRPr="00753560">
        <w:t>Total Commonwealth funding to the ACT</w:t>
      </w:r>
    </w:p>
    <w:p w14:paraId="78A3E068" w14:textId="20D7C2CA" w:rsidR="00955708" w:rsidRDefault="00A60D4B" w:rsidP="00A60D4B">
      <w:pPr>
        <w:spacing w:before="120" w:after="120" w:line="240" w:lineRule="auto"/>
        <w:rPr>
          <w:sz w:val="24"/>
          <w:szCs w:val="24"/>
        </w:rPr>
      </w:pPr>
      <w:r>
        <w:rPr>
          <w:sz w:val="24"/>
          <w:szCs w:val="24"/>
        </w:rPr>
        <w:t>Australian</w:t>
      </w:r>
      <w:r w:rsidRPr="00DA3639">
        <w:rPr>
          <w:sz w:val="24"/>
          <w:szCs w:val="24"/>
        </w:rPr>
        <w:t xml:space="preserve"> Government </w:t>
      </w:r>
      <w:r>
        <w:rPr>
          <w:sz w:val="24"/>
          <w:szCs w:val="24"/>
        </w:rPr>
        <w:t xml:space="preserve">transfers to the ACT are presented in Table 3.6.2. </w:t>
      </w:r>
      <w:r w:rsidRPr="00DA3639">
        <w:rPr>
          <w:sz w:val="24"/>
          <w:szCs w:val="24"/>
        </w:rPr>
        <w:t xml:space="preserve">The </w:t>
      </w:r>
      <w:r>
        <w:rPr>
          <w:sz w:val="24"/>
          <w:szCs w:val="24"/>
        </w:rPr>
        <w:t xml:space="preserve">funding </w:t>
      </w:r>
      <w:r w:rsidRPr="00DA3639">
        <w:rPr>
          <w:sz w:val="24"/>
          <w:szCs w:val="24"/>
        </w:rPr>
        <w:t xml:space="preserve">amounts </w:t>
      </w:r>
      <w:r>
        <w:rPr>
          <w:sz w:val="24"/>
          <w:szCs w:val="24"/>
        </w:rPr>
        <w:t xml:space="preserve">and timing </w:t>
      </w:r>
      <w:r w:rsidRPr="00DA3639">
        <w:rPr>
          <w:sz w:val="24"/>
          <w:szCs w:val="24"/>
        </w:rPr>
        <w:t xml:space="preserve">may not match those published in </w:t>
      </w:r>
      <w:r w:rsidRPr="00EA503F">
        <w:rPr>
          <w:sz w:val="24"/>
          <w:szCs w:val="24"/>
        </w:rPr>
        <w:t>the 202</w:t>
      </w:r>
      <w:r>
        <w:rPr>
          <w:sz w:val="24"/>
          <w:szCs w:val="24"/>
        </w:rPr>
        <w:t xml:space="preserve">1-22 Commonwealth Budget </w:t>
      </w:r>
      <w:r w:rsidRPr="00DA3639">
        <w:rPr>
          <w:sz w:val="24"/>
          <w:szCs w:val="24"/>
        </w:rPr>
        <w:t xml:space="preserve">as the ACT includes </w:t>
      </w:r>
      <w:r>
        <w:rPr>
          <w:sz w:val="24"/>
          <w:szCs w:val="24"/>
        </w:rPr>
        <w:t>additional estimates that are</w:t>
      </w:r>
      <w:r w:rsidRPr="00DA3639">
        <w:rPr>
          <w:sz w:val="24"/>
          <w:szCs w:val="24"/>
        </w:rPr>
        <w:t xml:space="preserve"> likely to be received, based on details known about each payment.</w:t>
      </w:r>
    </w:p>
    <w:p w14:paraId="10589328" w14:textId="77777777" w:rsidR="00955708" w:rsidRDefault="00955708">
      <w:pPr>
        <w:rPr>
          <w:sz w:val="24"/>
          <w:szCs w:val="24"/>
        </w:rPr>
      </w:pPr>
      <w:r>
        <w:rPr>
          <w:sz w:val="24"/>
          <w:szCs w:val="24"/>
        </w:rPr>
        <w:br w:type="page"/>
      </w:r>
    </w:p>
    <w:p w14:paraId="41E4EA72" w14:textId="2E6E758A" w:rsidR="00A60D4B" w:rsidRPr="00111524" w:rsidRDefault="00A60D4B" w:rsidP="00A60D4B">
      <w:pPr>
        <w:pStyle w:val="Caption"/>
      </w:pPr>
      <w:bookmarkStart w:id="125" w:name="_Hlk83637644"/>
      <w:r w:rsidRPr="00111524">
        <w:lastRenderedPageBreak/>
        <w:t xml:space="preserve">Table </w:t>
      </w:r>
      <w:r>
        <w:fldChar w:fldCharType="begin"/>
      </w:r>
      <w:r>
        <w:instrText>STYLEREF 2 \s</w:instrText>
      </w:r>
      <w:r>
        <w:fldChar w:fldCharType="separate"/>
      </w:r>
      <w:r w:rsidR="00F12A80">
        <w:rPr>
          <w:noProof/>
        </w:rPr>
        <w:t>3.6</w:t>
      </w:r>
      <w:r>
        <w:fldChar w:fldCharType="end"/>
      </w:r>
      <w:r w:rsidRPr="00111524">
        <w:t>.</w:t>
      </w:r>
      <w:r>
        <w:t>2</w:t>
      </w:r>
      <w:r w:rsidRPr="00BB2E53">
        <w:rPr>
          <w:noProof/>
        </w:rPr>
        <w:t>:</w:t>
      </w:r>
      <w:r>
        <w:rPr>
          <w:noProof/>
        </w:rPr>
        <w:t xml:space="preserve"> Total Co</w:t>
      </w:r>
      <w:r w:rsidRPr="005F3FB2">
        <w:rPr>
          <w:noProof/>
        </w:rPr>
        <w:t>m</w:t>
      </w:r>
      <w:r>
        <w:rPr>
          <w:noProof/>
        </w:rPr>
        <w:t>monwealth Funding to the ACT</w:t>
      </w:r>
    </w:p>
    <w:tbl>
      <w:tblPr>
        <w:tblW w:w="9072" w:type="dxa"/>
        <w:tblBorders>
          <w:top w:val="single" w:sz="4" w:space="0" w:color="auto"/>
          <w:bottom w:val="single" w:sz="4" w:space="0" w:color="auto"/>
          <w:insideH w:val="single" w:sz="4" w:space="0" w:color="auto"/>
        </w:tblBorders>
        <w:tblLayout w:type="fixed"/>
        <w:tblCellMar>
          <w:left w:w="57" w:type="dxa"/>
        </w:tblCellMar>
        <w:tblLook w:val="04A0" w:firstRow="1" w:lastRow="0" w:firstColumn="1" w:lastColumn="0" w:noHBand="0" w:noVBand="1"/>
      </w:tblPr>
      <w:tblGrid>
        <w:gridCol w:w="3261"/>
        <w:gridCol w:w="1162"/>
        <w:gridCol w:w="1162"/>
        <w:gridCol w:w="1162"/>
        <w:gridCol w:w="1162"/>
        <w:gridCol w:w="1163"/>
      </w:tblGrid>
      <w:tr w:rsidR="00A60D4B" w:rsidRPr="008F5D57" w14:paraId="662C9712" w14:textId="77777777" w:rsidTr="00A60D4B">
        <w:trPr>
          <w:cantSplit/>
          <w:trHeight w:val="156"/>
          <w:tblHeader/>
        </w:trPr>
        <w:tc>
          <w:tcPr>
            <w:tcW w:w="3261" w:type="dxa"/>
            <w:tcBorders>
              <w:bottom w:val="single" w:sz="4" w:space="0" w:color="auto"/>
            </w:tcBorders>
            <w:shd w:val="clear" w:color="auto" w:fill="472D8C"/>
          </w:tcPr>
          <w:p w14:paraId="0602EA37" w14:textId="77777777" w:rsidR="00A60D4B" w:rsidRPr="00111524" w:rsidRDefault="00A60D4B" w:rsidP="00A60D4B">
            <w:pPr>
              <w:rPr>
                <w:rFonts w:cs="Calibri"/>
                <w:b/>
                <w:color w:val="FFFFFF" w:themeColor="background1"/>
                <w:sz w:val="20"/>
              </w:rPr>
            </w:pPr>
            <w:bookmarkStart w:id="126" w:name="_Hlk83636986"/>
          </w:p>
        </w:tc>
        <w:tc>
          <w:tcPr>
            <w:tcW w:w="1162" w:type="dxa"/>
            <w:tcBorders>
              <w:bottom w:val="single" w:sz="4" w:space="0" w:color="auto"/>
            </w:tcBorders>
            <w:shd w:val="clear" w:color="auto" w:fill="472D8C"/>
          </w:tcPr>
          <w:p w14:paraId="38DFE871" w14:textId="77777777" w:rsidR="00A60D4B" w:rsidRDefault="00A60D4B" w:rsidP="00A60D4B">
            <w:pPr>
              <w:pStyle w:val="BTableHeadingRowRightAligned"/>
              <w:rPr>
                <w:color w:val="FFFFFF" w:themeColor="background1"/>
              </w:rPr>
            </w:pPr>
            <w:r w:rsidRPr="00111524">
              <w:rPr>
                <w:color w:val="FFFFFF" w:themeColor="background1"/>
              </w:rPr>
              <w:t>2020-21</w:t>
            </w:r>
            <w:r>
              <w:rPr>
                <w:color w:val="FFFFFF" w:themeColor="background1"/>
              </w:rPr>
              <w:br/>
              <w:t>Interim</w:t>
            </w:r>
          </w:p>
          <w:p w14:paraId="00E51431" w14:textId="77777777" w:rsidR="00A60D4B" w:rsidRPr="00111524" w:rsidRDefault="00A60D4B" w:rsidP="00A60D4B">
            <w:pPr>
              <w:pStyle w:val="BTableHeadingRowRightAligned"/>
              <w:rPr>
                <w:color w:val="FFFFFF" w:themeColor="background1"/>
              </w:rPr>
            </w:pPr>
            <w:r>
              <w:rPr>
                <w:color w:val="FFFFFF" w:themeColor="background1"/>
              </w:rPr>
              <w:t>Outcome</w:t>
            </w:r>
            <w:r>
              <w:rPr>
                <w:color w:val="FFFFFF" w:themeColor="background1"/>
              </w:rPr>
              <w:br/>
              <w:t>$’000</w:t>
            </w:r>
          </w:p>
        </w:tc>
        <w:tc>
          <w:tcPr>
            <w:tcW w:w="1162" w:type="dxa"/>
            <w:tcBorders>
              <w:bottom w:val="single" w:sz="4" w:space="0" w:color="auto"/>
            </w:tcBorders>
            <w:shd w:val="clear" w:color="auto" w:fill="472D8C"/>
          </w:tcPr>
          <w:p w14:paraId="6F4446CF" w14:textId="77777777" w:rsidR="00A60D4B" w:rsidRDefault="00A60D4B" w:rsidP="00A60D4B">
            <w:pPr>
              <w:pStyle w:val="BTableHeadingRowRightAligned"/>
              <w:rPr>
                <w:color w:val="FFFFFF" w:themeColor="background1"/>
              </w:rPr>
            </w:pPr>
            <w:r>
              <w:rPr>
                <w:color w:val="FFFFFF" w:themeColor="background1"/>
              </w:rPr>
              <w:t xml:space="preserve">2021-22 </w:t>
            </w:r>
            <w:r>
              <w:rPr>
                <w:color w:val="FFFFFF" w:themeColor="background1"/>
              </w:rPr>
              <w:br/>
              <w:t>Budget</w:t>
            </w:r>
          </w:p>
          <w:p w14:paraId="295D5715" w14:textId="77777777" w:rsidR="00A60D4B" w:rsidRDefault="00A60D4B" w:rsidP="00A60D4B">
            <w:pPr>
              <w:pStyle w:val="BTableHeadingRowRightAligned"/>
              <w:rPr>
                <w:color w:val="FFFFFF" w:themeColor="background1"/>
              </w:rPr>
            </w:pPr>
          </w:p>
          <w:p w14:paraId="7CE28496" w14:textId="77777777" w:rsidR="00A60D4B" w:rsidRPr="00111524" w:rsidRDefault="00A60D4B" w:rsidP="00A60D4B">
            <w:pPr>
              <w:pStyle w:val="BTableHeadingRowRightAligned"/>
              <w:rPr>
                <w:color w:val="FFFFFF" w:themeColor="background1"/>
              </w:rPr>
            </w:pPr>
            <w:r>
              <w:rPr>
                <w:color w:val="FFFFFF" w:themeColor="background1"/>
              </w:rPr>
              <w:t>$’000</w:t>
            </w:r>
          </w:p>
        </w:tc>
        <w:tc>
          <w:tcPr>
            <w:tcW w:w="1162" w:type="dxa"/>
            <w:tcBorders>
              <w:bottom w:val="single" w:sz="4" w:space="0" w:color="auto"/>
            </w:tcBorders>
            <w:shd w:val="clear" w:color="auto" w:fill="472D8C"/>
          </w:tcPr>
          <w:p w14:paraId="19056508" w14:textId="77777777" w:rsidR="00A60D4B" w:rsidRDefault="00A60D4B" w:rsidP="00A60D4B">
            <w:pPr>
              <w:pStyle w:val="BTableHeadingRowRightAligned"/>
              <w:rPr>
                <w:color w:val="FFFFFF" w:themeColor="background1"/>
              </w:rPr>
            </w:pPr>
            <w:r>
              <w:rPr>
                <w:color w:val="FFFFFF" w:themeColor="background1"/>
              </w:rPr>
              <w:t>2022-23</w:t>
            </w:r>
            <w:r>
              <w:rPr>
                <w:color w:val="FFFFFF" w:themeColor="background1"/>
              </w:rPr>
              <w:br/>
              <w:t>Estimate</w:t>
            </w:r>
          </w:p>
          <w:p w14:paraId="7F01A52A" w14:textId="77777777" w:rsidR="00A60D4B" w:rsidRDefault="00A60D4B" w:rsidP="00A60D4B">
            <w:pPr>
              <w:pStyle w:val="BTableHeadingRowRightAligned"/>
              <w:rPr>
                <w:color w:val="FFFFFF" w:themeColor="background1"/>
              </w:rPr>
            </w:pPr>
          </w:p>
          <w:p w14:paraId="7D2A4479" w14:textId="77777777" w:rsidR="00A60D4B" w:rsidRPr="00111524" w:rsidRDefault="00A60D4B" w:rsidP="00A60D4B">
            <w:pPr>
              <w:pStyle w:val="BTableHeadingRowRightAligned"/>
              <w:rPr>
                <w:color w:val="FFFFFF" w:themeColor="background1"/>
              </w:rPr>
            </w:pPr>
            <w:r>
              <w:rPr>
                <w:color w:val="FFFFFF" w:themeColor="background1"/>
              </w:rPr>
              <w:t>$’000</w:t>
            </w:r>
          </w:p>
        </w:tc>
        <w:tc>
          <w:tcPr>
            <w:tcW w:w="1162" w:type="dxa"/>
            <w:tcBorders>
              <w:bottom w:val="single" w:sz="4" w:space="0" w:color="auto"/>
            </w:tcBorders>
            <w:shd w:val="clear" w:color="auto" w:fill="472D8C"/>
          </w:tcPr>
          <w:p w14:paraId="5991DEDA" w14:textId="77777777" w:rsidR="00A60D4B" w:rsidRDefault="00A60D4B" w:rsidP="00A60D4B">
            <w:pPr>
              <w:pStyle w:val="BTableHeadingRowRightAligned"/>
              <w:rPr>
                <w:color w:val="FFFFFF" w:themeColor="background1"/>
              </w:rPr>
            </w:pPr>
            <w:r>
              <w:rPr>
                <w:color w:val="FFFFFF" w:themeColor="background1"/>
              </w:rPr>
              <w:t>2023-24</w:t>
            </w:r>
            <w:r>
              <w:rPr>
                <w:color w:val="FFFFFF" w:themeColor="background1"/>
              </w:rPr>
              <w:br/>
              <w:t>Estimate</w:t>
            </w:r>
          </w:p>
          <w:p w14:paraId="4C1F25A4" w14:textId="77777777" w:rsidR="00A60D4B" w:rsidRDefault="00A60D4B" w:rsidP="00A60D4B">
            <w:pPr>
              <w:pStyle w:val="BTableHeadingRowRightAligned"/>
              <w:rPr>
                <w:color w:val="FFFFFF" w:themeColor="background1"/>
              </w:rPr>
            </w:pPr>
          </w:p>
          <w:p w14:paraId="61F3D340" w14:textId="77777777" w:rsidR="00A60D4B" w:rsidRPr="00111524" w:rsidRDefault="00A60D4B" w:rsidP="00A60D4B">
            <w:pPr>
              <w:pStyle w:val="BTableHeadingRowRightAligned"/>
              <w:rPr>
                <w:color w:val="FFFFFF" w:themeColor="background1"/>
              </w:rPr>
            </w:pPr>
            <w:r>
              <w:rPr>
                <w:color w:val="FFFFFF" w:themeColor="background1"/>
              </w:rPr>
              <w:t>$’000</w:t>
            </w:r>
          </w:p>
        </w:tc>
        <w:tc>
          <w:tcPr>
            <w:tcW w:w="1163" w:type="dxa"/>
            <w:tcBorders>
              <w:bottom w:val="single" w:sz="4" w:space="0" w:color="auto"/>
            </w:tcBorders>
            <w:shd w:val="clear" w:color="auto" w:fill="472D8C"/>
          </w:tcPr>
          <w:p w14:paraId="61FC33D0" w14:textId="77777777" w:rsidR="00A60D4B" w:rsidRDefault="00A60D4B" w:rsidP="00A60D4B">
            <w:pPr>
              <w:pStyle w:val="BTableHeadingRowRightAligned"/>
              <w:rPr>
                <w:color w:val="FFFFFF" w:themeColor="background1"/>
              </w:rPr>
            </w:pPr>
            <w:r>
              <w:rPr>
                <w:color w:val="FFFFFF" w:themeColor="background1"/>
              </w:rPr>
              <w:t>2024-25</w:t>
            </w:r>
            <w:r>
              <w:rPr>
                <w:color w:val="FFFFFF" w:themeColor="background1"/>
              </w:rPr>
              <w:br/>
              <w:t>Estimate</w:t>
            </w:r>
          </w:p>
          <w:p w14:paraId="235C8C2E" w14:textId="77777777" w:rsidR="00A60D4B" w:rsidRDefault="00A60D4B" w:rsidP="00A60D4B">
            <w:pPr>
              <w:pStyle w:val="BTableHeadingRowRightAligned"/>
              <w:rPr>
                <w:color w:val="FFFFFF" w:themeColor="background1"/>
              </w:rPr>
            </w:pPr>
          </w:p>
          <w:p w14:paraId="307A7D7B" w14:textId="77777777" w:rsidR="00A60D4B" w:rsidRPr="00111524" w:rsidRDefault="00A60D4B" w:rsidP="00A60D4B">
            <w:pPr>
              <w:pStyle w:val="BTableHeadingRowRightAligned"/>
              <w:rPr>
                <w:color w:val="FFFFFF" w:themeColor="background1"/>
              </w:rPr>
            </w:pPr>
            <w:r>
              <w:rPr>
                <w:color w:val="FFFFFF" w:themeColor="background1"/>
              </w:rPr>
              <w:t>$’000</w:t>
            </w:r>
          </w:p>
        </w:tc>
      </w:tr>
      <w:tr w:rsidR="00A60D4B" w:rsidRPr="00337DC9" w14:paraId="3EC5A58B" w14:textId="77777777" w:rsidTr="00A60D4B">
        <w:trPr>
          <w:cantSplit/>
          <w:trHeight w:val="257"/>
        </w:trPr>
        <w:tc>
          <w:tcPr>
            <w:tcW w:w="3261" w:type="dxa"/>
            <w:tcBorders>
              <w:top w:val="nil"/>
              <w:bottom w:val="nil"/>
            </w:tcBorders>
          </w:tcPr>
          <w:p w14:paraId="57AC8101" w14:textId="77777777" w:rsidR="00A60D4B" w:rsidRPr="00EC74DB" w:rsidRDefault="00A60D4B" w:rsidP="00A60D4B">
            <w:pPr>
              <w:pStyle w:val="Btabletextbold"/>
              <w:keepNext/>
              <w:ind w:left="0" w:firstLine="0"/>
            </w:pPr>
            <w:r>
              <w:t>General Revenue Assistance</w:t>
            </w:r>
          </w:p>
        </w:tc>
        <w:tc>
          <w:tcPr>
            <w:tcW w:w="1162" w:type="dxa"/>
            <w:tcBorders>
              <w:bottom w:val="nil"/>
            </w:tcBorders>
            <w:tcMar>
              <w:left w:w="108" w:type="dxa"/>
            </w:tcMar>
          </w:tcPr>
          <w:p w14:paraId="0FDDD9AF" w14:textId="77777777" w:rsidR="00A60D4B" w:rsidRPr="00EC74DB" w:rsidRDefault="00A60D4B" w:rsidP="00A60D4B">
            <w:pPr>
              <w:pStyle w:val="Btablefigureunbold"/>
            </w:pPr>
          </w:p>
        </w:tc>
        <w:tc>
          <w:tcPr>
            <w:tcW w:w="1162" w:type="dxa"/>
            <w:tcBorders>
              <w:bottom w:val="nil"/>
            </w:tcBorders>
            <w:shd w:val="clear" w:color="auto" w:fill="auto"/>
            <w:tcMar>
              <w:left w:w="108" w:type="dxa"/>
            </w:tcMar>
          </w:tcPr>
          <w:p w14:paraId="4CF4CBA4" w14:textId="77777777" w:rsidR="00A60D4B" w:rsidRPr="00EC74DB" w:rsidRDefault="00A60D4B" w:rsidP="00A60D4B">
            <w:pPr>
              <w:pStyle w:val="Btablefigureunbold"/>
            </w:pPr>
          </w:p>
        </w:tc>
        <w:tc>
          <w:tcPr>
            <w:tcW w:w="1162" w:type="dxa"/>
            <w:tcBorders>
              <w:bottom w:val="nil"/>
            </w:tcBorders>
            <w:shd w:val="clear" w:color="472D8C" w:fill="auto"/>
            <w:tcMar>
              <w:left w:w="108" w:type="dxa"/>
            </w:tcMar>
          </w:tcPr>
          <w:p w14:paraId="66352DD7" w14:textId="77777777" w:rsidR="00A60D4B" w:rsidRPr="00111524" w:rsidRDefault="00A60D4B" w:rsidP="00A60D4B">
            <w:pPr>
              <w:pStyle w:val="Btablefigureunbold"/>
            </w:pPr>
          </w:p>
        </w:tc>
        <w:tc>
          <w:tcPr>
            <w:tcW w:w="1162" w:type="dxa"/>
            <w:tcBorders>
              <w:bottom w:val="nil"/>
            </w:tcBorders>
            <w:shd w:val="clear" w:color="auto" w:fill="auto"/>
            <w:tcMar>
              <w:left w:w="108" w:type="dxa"/>
            </w:tcMar>
          </w:tcPr>
          <w:p w14:paraId="212C7417" w14:textId="77777777" w:rsidR="00A60D4B" w:rsidRPr="00EC74DB" w:rsidRDefault="00A60D4B" w:rsidP="00A60D4B">
            <w:pPr>
              <w:pStyle w:val="Btablefigureunbold"/>
            </w:pPr>
          </w:p>
        </w:tc>
        <w:tc>
          <w:tcPr>
            <w:tcW w:w="1163" w:type="dxa"/>
            <w:tcBorders>
              <w:bottom w:val="nil"/>
            </w:tcBorders>
            <w:tcMar>
              <w:left w:w="108" w:type="dxa"/>
            </w:tcMar>
          </w:tcPr>
          <w:p w14:paraId="416E47CF" w14:textId="77777777" w:rsidR="00A60D4B" w:rsidRPr="00EC74DB" w:rsidRDefault="00A60D4B" w:rsidP="00A60D4B">
            <w:pPr>
              <w:pStyle w:val="Btablefigureunbold"/>
            </w:pPr>
          </w:p>
        </w:tc>
      </w:tr>
      <w:tr w:rsidR="00A60D4B" w:rsidRPr="00337DC9" w14:paraId="06F3AED8" w14:textId="77777777" w:rsidTr="00A60D4B">
        <w:trPr>
          <w:cantSplit/>
          <w:trHeight w:val="270"/>
        </w:trPr>
        <w:tc>
          <w:tcPr>
            <w:tcW w:w="3261" w:type="dxa"/>
            <w:tcBorders>
              <w:top w:val="nil"/>
              <w:bottom w:val="nil"/>
            </w:tcBorders>
          </w:tcPr>
          <w:p w14:paraId="3F6C9B11" w14:textId="77777777" w:rsidR="00A60D4B" w:rsidRPr="00EC74DB" w:rsidRDefault="00A60D4B" w:rsidP="00A60D4B">
            <w:pPr>
              <w:pStyle w:val="Btabletextunbold"/>
            </w:pPr>
            <w:r>
              <w:t>ACT Municipal Services</w:t>
            </w:r>
          </w:p>
        </w:tc>
        <w:tc>
          <w:tcPr>
            <w:tcW w:w="1162" w:type="dxa"/>
            <w:tcBorders>
              <w:top w:val="nil"/>
              <w:bottom w:val="nil"/>
            </w:tcBorders>
            <w:tcMar>
              <w:left w:w="108" w:type="dxa"/>
            </w:tcMar>
          </w:tcPr>
          <w:p w14:paraId="44859F49" w14:textId="77777777" w:rsidR="00A60D4B" w:rsidRPr="00E62559" w:rsidRDefault="00A60D4B" w:rsidP="00A60D4B">
            <w:pPr>
              <w:pStyle w:val="Btablefigureunbold"/>
            </w:pPr>
            <w:r>
              <w:t>4</w:t>
            </w:r>
            <w:r w:rsidRPr="00E62559">
              <w:t>1,247</w:t>
            </w:r>
          </w:p>
        </w:tc>
        <w:tc>
          <w:tcPr>
            <w:tcW w:w="1162" w:type="dxa"/>
            <w:tcBorders>
              <w:top w:val="nil"/>
              <w:bottom w:val="nil"/>
            </w:tcBorders>
            <w:shd w:val="clear" w:color="auto" w:fill="auto"/>
            <w:tcMar>
              <w:left w:w="108" w:type="dxa"/>
            </w:tcMar>
          </w:tcPr>
          <w:p w14:paraId="553C91A1" w14:textId="77777777" w:rsidR="00A60D4B" w:rsidRPr="00E62559" w:rsidRDefault="00A60D4B" w:rsidP="00A60D4B">
            <w:pPr>
              <w:pStyle w:val="Btablefigureunbold"/>
            </w:pPr>
            <w:r w:rsidRPr="00E62559">
              <w:t>41,700</w:t>
            </w:r>
          </w:p>
        </w:tc>
        <w:tc>
          <w:tcPr>
            <w:tcW w:w="1162" w:type="dxa"/>
            <w:tcBorders>
              <w:top w:val="nil"/>
              <w:bottom w:val="nil"/>
            </w:tcBorders>
            <w:shd w:val="clear" w:color="472D8C" w:fill="auto"/>
            <w:tcMar>
              <w:left w:w="108" w:type="dxa"/>
            </w:tcMar>
          </w:tcPr>
          <w:p w14:paraId="0FABACBA" w14:textId="77777777" w:rsidR="00A60D4B" w:rsidRPr="00E62559" w:rsidRDefault="00A60D4B" w:rsidP="00A60D4B">
            <w:pPr>
              <w:pStyle w:val="Btablefigureunbold"/>
            </w:pPr>
            <w:r w:rsidRPr="00E62559">
              <w:t>42,284</w:t>
            </w:r>
          </w:p>
        </w:tc>
        <w:tc>
          <w:tcPr>
            <w:tcW w:w="1162" w:type="dxa"/>
            <w:tcBorders>
              <w:top w:val="nil"/>
              <w:bottom w:val="nil"/>
            </w:tcBorders>
            <w:shd w:val="clear" w:color="auto" w:fill="auto"/>
            <w:tcMar>
              <w:left w:w="108" w:type="dxa"/>
            </w:tcMar>
          </w:tcPr>
          <w:p w14:paraId="480E09E0" w14:textId="77777777" w:rsidR="00A60D4B" w:rsidRPr="00E62559" w:rsidRDefault="00A60D4B" w:rsidP="00A60D4B">
            <w:pPr>
              <w:pStyle w:val="Btablefigureunbold"/>
            </w:pPr>
            <w:r w:rsidRPr="00E62559">
              <w:t>42,876</w:t>
            </w:r>
          </w:p>
        </w:tc>
        <w:tc>
          <w:tcPr>
            <w:tcW w:w="1163" w:type="dxa"/>
            <w:tcBorders>
              <w:top w:val="nil"/>
              <w:bottom w:val="nil"/>
            </w:tcBorders>
            <w:tcMar>
              <w:left w:w="108" w:type="dxa"/>
            </w:tcMar>
          </w:tcPr>
          <w:p w14:paraId="5D9DB9F4" w14:textId="77777777" w:rsidR="00A60D4B" w:rsidRPr="00E62559" w:rsidRDefault="00A60D4B" w:rsidP="00A60D4B">
            <w:pPr>
              <w:pStyle w:val="Btablefigureunbold"/>
            </w:pPr>
            <w:r w:rsidRPr="00E62559">
              <w:t>43,434</w:t>
            </w:r>
          </w:p>
        </w:tc>
      </w:tr>
      <w:tr w:rsidR="00A60D4B" w:rsidRPr="00337DC9" w14:paraId="2630B0BC" w14:textId="77777777" w:rsidTr="00A60D4B">
        <w:trPr>
          <w:cantSplit/>
          <w:trHeight w:val="270"/>
        </w:trPr>
        <w:tc>
          <w:tcPr>
            <w:tcW w:w="3261" w:type="dxa"/>
            <w:tcBorders>
              <w:top w:val="nil"/>
              <w:bottom w:val="single" w:sz="4" w:space="0" w:color="auto"/>
            </w:tcBorders>
          </w:tcPr>
          <w:p w14:paraId="4D8748D8" w14:textId="77777777" w:rsidR="00A60D4B" w:rsidRDefault="00A60D4B" w:rsidP="00A60D4B">
            <w:pPr>
              <w:pStyle w:val="Btabletextunbold"/>
            </w:pPr>
            <w:r w:rsidRPr="00E8105A">
              <w:t>GST Revenue</w:t>
            </w:r>
          </w:p>
        </w:tc>
        <w:tc>
          <w:tcPr>
            <w:tcW w:w="1162" w:type="dxa"/>
            <w:tcBorders>
              <w:top w:val="nil"/>
              <w:bottom w:val="single" w:sz="4" w:space="0" w:color="auto"/>
            </w:tcBorders>
            <w:tcMar>
              <w:left w:w="108" w:type="dxa"/>
            </w:tcMar>
          </w:tcPr>
          <w:p w14:paraId="5A025F08" w14:textId="77777777" w:rsidR="00A60D4B" w:rsidRPr="006B24B0" w:rsidRDefault="00A60D4B" w:rsidP="00A60D4B">
            <w:pPr>
              <w:pStyle w:val="Btablefigureunbold"/>
            </w:pPr>
            <w:r w:rsidRPr="00401BE1">
              <w:t xml:space="preserve"> </w:t>
            </w:r>
            <w:r w:rsidRPr="006B24B0">
              <w:t>1,349,090</w:t>
            </w:r>
          </w:p>
        </w:tc>
        <w:tc>
          <w:tcPr>
            <w:tcW w:w="1162" w:type="dxa"/>
            <w:tcBorders>
              <w:top w:val="nil"/>
              <w:bottom w:val="single" w:sz="4" w:space="0" w:color="auto"/>
            </w:tcBorders>
            <w:shd w:val="clear" w:color="auto" w:fill="auto"/>
            <w:tcMar>
              <w:left w:w="108" w:type="dxa"/>
            </w:tcMar>
          </w:tcPr>
          <w:p w14:paraId="2804AA92" w14:textId="77777777" w:rsidR="00A60D4B" w:rsidRPr="006B24B0" w:rsidRDefault="00A60D4B" w:rsidP="00A60D4B">
            <w:pPr>
              <w:pStyle w:val="Btablefigureunbold"/>
            </w:pPr>
            <w:r w:rsidRPr="00401BE1">
              <w:t xml:space="preserve"> 1,367,761</w:t>
            </w:r>
          </w:p>
        </w:tc>
        <w:tc>
          <w:tcPr>
            <w:tcW w:w="1162" w:type="dxa"/>
            <w:tcBorders>
              <w:top w:val="nil"/>
              <w:bottom w:val="single" w:sz="4" w:space="0" w:color="auto"/>
            </w:tcBorders>
            <w:shd w:val="clear" w:color="472D8C" w:fill="auto"/>
            <w:tcMar>
              <w:left w:w="108" w:type="dxa"/>
            </w:tcMar>
          </w:tcPr>
          <w:p w14:paraId="561075C2" w14:textId="77777777" w:rsidR="00A60D4B" w:rsidRPr="006B24B0" w:rsidRDefault="00A60D4B" w:rsidP="00A60D4B">
            <w:pPr>
              <w:pStyle w:val="Btablefigureunbold"/>
            </w:pPr>
            <w:r w:rsidRPr="00401BE1">
              <w:t xml:space="preserve"> 1,400,096</w:t>
            </w:r>
          </w:p>
        </w:tc>
        <w:tc>
          <w:tcPr>
            <w:tcW w:w="1162" w:type="dxa"/>
            <w:tcBorders>
              <w:top w:val="nil"/>
              <w:bottom w:val="single" w:sz="4" w:space="0" w:color="auto"/>
            </w:tcBorders>
            <w:shd w:val="clear" w:color="auto" w:fill="auto"/>
            <w:tcMar>
              <w:left w:w="108" w:type="dxa"/>
            </w:tcMar>
          </w:tcPr>
          <w:p w14:paraId="508281B2" w14:textId="77777777" w:rsidR="00A60D4B" w:rsidRPr="006B24B0" w:rsidRDefault="00A60D4B" w:rsidP="00A60D4B">
            <w:pPr>
              <w:pStyle w:val="Btablefigureunbold"/>
            </w:pPr>
            <w:r w:rsidRPr="00401BE1">
              <w:t xml:space="preserve"> 1,457,706</w:t>
            </w:r>
          </w:p>
        </w:tc>
        <w:tc>
          <w:tcPr>
            <w:tcW w:w="1163" w:type="dxa"/>
            <w:tcBorders>
              <w:top w:val="nil"/>
              <w:bottom w:val="single" w:sz="4" w:space="0" w:color="auto"/>
            </w:tcBorders>
            <w:tcMar>
              <w:left w:w="108" w:type="dxa"/>
            </w:tcMar>
          </w:tcPr>
          <w:p w14:paraId="39B66AEC" w14:textId="77777777" w:rsidR="00A60D4B" w:rsidRPr="006B24B0" w:rsidRDefault="00A60D4B" w:rsidP="00A60D4B">
            <w:pPr>
              <w:pStyle w:val="Btablefigureunbold"/>
            </w:pPr>
            <w:r w:rsidRPr="00401BE1">
              <w:t xml:space="preserve"> 1,528,909</w:t>
            </w:r>
          </w:p>
        </w:tc>
      </w:tr>
      <w:tr w:rsidR="00A60D4B" w:rsidRPr="00337DC9" w14:paraId="2EC0786E" w14:textId="77777777" w:rsidTr="00A60D4B">
        <w:trPr>
          <w:cantSplit/>
          <w:trHeight w:val="270"/>
        </w:trPr>
        <w:tc>
          <w:tcPr>
            <w:tcW w:w="3261" w:type="dxa"/>
            <w:tcBorders>
              <w:top w:val="single" w:sz="4" w:space="0" w:color="auto"/>
              <w:bottom w:val="single" w:sz="4" w:space="0" w:color="auto"/>
            </w:tcBorders>
          </w:tcPr>
          <w:p w14:paraId="34F8DD56" w14:textId="77777777" w:rsidR="00A60D4B" w:rsidRDefault="00A60D4B" w:rsidP="00A60D4B">
            <w:pPr>
              <w:pStyle w:val="Btabletextbold"/>
            </w:pPr>
            <w:r>
              <w:t>Total General Revenue Assistance</w:t>
            </w:r>
          </w:p>
        </w:tc>
        <w:tc>
          <w:tcPr>
            <w:tcW w:w="1162" w:type="dxa"/>
            <w:tcBorders>
              <w:top w:val="single" w:sz="4" w:space="0" w:color="auto"/>
              <w:bottom w:val="single" w:sz="4" w:space="0" w:color="auto"/>
            </w:tcBorders>
            <w:tcMar>
              <w:left w:w="108" w:type="dxa"/>
            </w:tcMar>
          </w:tcPr>
          <w:p w14:paraId="4A4FF931" w14:textId="77777777" w:rsidR="00A60D4B" w:rsidRPr="006B24B0" w:rsidRDefault="00A60D4B" w:rsidP="00A60D4B">
            <w:pPr>
              <w:pStyle w:val="Btablefigurebold0"/>
            </w:pPr>
            <w:r w:rsidRPr="006B24B0">
              <w:t>1,390,337</w:t>
            </w:r>
          </w:p>
        </w:tc>
        <w:tc>
          <w:tcPr>
            <w:tcW w:w="1162" w:type="dxa"/>
            <w:tcBorders>
              <w:top w:val="single" w:sz="4" w:space="0" w:color="auto"/>
              <w:bottom w:val="single" w:sz="4" w:space="0" w:color="auto"/>
            </w:tcBorders>
            <w:shd w:val="clear" w:color="auto" w:fill="auto"/>
            <w:tcMar>
              <w:left w:w="108" w:type="dxa"/>
            </w:tcMar>
          </w:tcPr>
          <w:p w14:paraId="7917BB8B" w14:textId="77777777" w:rsidR="00A60D4B" w:rsidRPr="006B24B0" w:rsidRDefault="00A60D4B" w:rsidP="00A60D4B">
            <w:pPr>
              <w:pStyle w:val="Btablefigurebold0"/>
            </w:pPr>
            <w:r w:rsidRPr="0094391B">
              <w:t xml:space="preserve"> 1,409,461</w:t>
            </w:r>
          </w:p>
        </w:tc>
        <w:tc>
          <w:tcPr>
            <w:tcW w:w="1162" w:type="dxa"/>
            <w:tcBorders>
              <w:top w:val="single" w:sz="4" w:space="0" w:color="auto"/>
              <w:bottom w:val="single" w:sz="4" w:space="0" w:color="auto"/>
            </w:tcBorders>
            <w:shd w:val="clear" w:color="472D8C" w:fill="auto"/>
            <w:tcMar>
              <w:left w:w="108" w:type="dxa"/>
            </w:tcMar>
          </w:tcPr>
          <w:p w14:paraId="1E82AF2C" w14:textId="77777777" w:rsidR="00A60D4B" w:rsidRPr="006B24B0" w:rsidRDefault="00A60D4B" w:rsidP="00A60D4B">
            <w:pPr>
              <w:pStyle w:val="Btablefigurebold0"/>
            </w:pPr>
            <w:r w:rsidRPr="0094391B">
              <w:t xml:space="preserve"> 1,442,380</w:t>
            </w:r>
          </w:p>
        </w:tc>
        <w:tc>
          <w:tcPr>
            <w:tcW w:w="1162" w:type="dxa"/>
            <w:tcBorders>
              <w:top w:val="single" w:sz="4" w:space="0" w:color="auto"/>
              <w:bottom w:val="single" w:sz="4" w:space="0" w:color="auto"/>
            </w:tcBorders>
            <w:shd w:val="clear" w:color="auto" w:fill="auto"/>
            <w:tcMar>
              <w:left w:w="108" w:type="dxa"/>
            </w:tcMar>
          </w:tcPr>
          <w:p w14:paraId="1686DF36" w14:textId="77777777" w:rsidR="00A60D4B" w:rsidRPr="006B24B0" w:rsidRDefault="00A60D4B" w:rsidP="00A60D4B">
            <w:pPr>
              <w:pStyle w:val="Btablefigurebold0"/>
            </w:pPr>
            <w:r w:rsidRPr="0094391B">
              <w:t xml:space="preserve"> 1,500,582</w:t>
            </w:r>
          </w:p>
        </w:tc>
        <w:tc>
          <w:tcPr>
            <w:tcW w:w="1163" w:type="dxa"/>
            <w:tcBorders>
              <w:top w:val="single" w:sz="4" w:space="0" w:color="auto"/>
              <w:bottom w:val="single" w:sz="4" w:space="0" w:color="auto"/>
            </w:tcBorders>
            <w:tcMar>
              <w:left w:w="108" w:type="dxa"/>
            </w:tcMar>
          </w:tcPr>
          <w:p w14:paraId="4F2DE53F" w14:textId="77777777" w:rsidR="00A60D4B" w:rsidRPr="006B24B0" w:rsidRDefault="00A60D4B" w:rsidP="00A60D4B">
            <w:pPr>
              <w:pStyle w:val="Btablefigurebold0"/>
            </w:pPr>
            <w:r w:rsidRPr="0094391B">
              <w:t xml:space="preserve"> 1,572,343</w:t>
            </w:r>
          </w:p>
        </w:tc>
      </w:tr>
      <w:tr w:rsidR="00A60D4B" w:rsidRPr="00337DC9" w14:paraId="1730054D" w14:textId="77777777" w:rsidTr="00A60D4B">
        <w:trPr>
          <w:cantSplit/>
          <w:trHeight w:val="270"/>
        </w:trPr>
        <w:tc>
          <w:tcPr>
            <w:tcW w:w="3261" w:type="dxa"/>
            <w:tcBorders>
              <w:top w:val="single" w:sz="4" w:space="0" w:color="auto"/>
              <w:bottom w:val="nil"/>
            </w:tcBorders>
          </w:tcPr>
          <w:p w14:paraId="28D8E5EF" w14:textId="77777777" w:rsidR="00A60D4B" w:rsidRDefault="00A60D4B" w:rsidP="00A60D4B">
            <w:pPr>
              <w:pStyle w:val="Btabletextbold"/>
              <w:keepNext/>
            </w:pPr>
          </w:p>
          <w:p w14:paraId="23F9D0BA" w14:textId="77777777" w:rsidR="00A60D4B" w:rsidRDefault="00A60D4B" w:rsidP="00A60D4B">
            <w:pPr>
              <w:pStyle w:val="Btabletextbold"/>
              <w:keepNext/>
            </w:pPr>
            <w:r>
              <w:t>Health Services</w:t>
            </w:r>
          </w:p>
        </w:tc>
        <w:tc>
          <w:tcPr>
            <w:tcW w:w="1162" w:type="dxa"/>
            <w:tcBorders>
              <w:top w:val="single" w:sz="4" w:space="0" w:color="auto"/>
              <w:bottom w:val="nil"/>
            </w:tcBorders>
            <w:tcMar>
              <w:left w:w="108" w:type="dxa"/>
            </w:tcMar>
          </w:tcPr>
          <w:p w14:paraId="41C92D50" w14:textId="77777777" w:rsidR="00A60D4B"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5DDC2350" w14:textId="77777777" w:rsidR="00A60D4B" w:rsidRDefault="00A60D4B" w:rsidP="00A60D4B">
            <w:pPr>
              <w:pStyle w:val="Btablefigureunbold"/>
            </w:pPr>
          </w:p>
        </w:tc>
        <w:tc>
          <w:tcPr>
            <w:tcW w:w="1162" w:type="dxa"/>
            <w:tcBorders>
              <w:top w:val="single" w:sz="4" w:space="0" w:color="auto"/>
              <w:bottom w:val="nil"/>
            </w:tcBorders>
            <w:shd w:val="clear" w:color="472D8C" w:fill="auto"/>
            <w:tcMar>
              <w:left w:w="108" w:type="dxa"/>
            </w:tcMar>
          </w:tcPr>
          <w:p w14:paraId="61439851" w14:textId="77777777" w:rsidR="00A60D4B" w:rsidRPr="00111524"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7937369C" w14:textId="77777777" w:rsidR="00A60D4B" w:rsidRPr="00EC74DB" w:rsidRDefault="00A60D4B" w:rsidP="00A60D4B">
            <w:pPr>
              <w:pStyle w:val="Btablefigureunbold"/>
            </w:pPr>
          </w:p>
        </w:tc>
        <w:tc>
          <w:tcPr>
            <w:tcW w:w="1163" w:type="dxa"/>
            <w:tcBorders>
              <w:top w:val="single" w:sz="4" w:space="0" w:color="auto"/>
              <w:bottom w:val="nil"/>
            </w:tcBorders>
            <w:tcMar>
              <w:left w:w="108" w:type="dxa"/>
            </w:tcMar>
          </w:tcPr>
          <w:p w14:paraId="5637010C" w14:textId="77777777" w:rsidR="00A60D4B" w:rsidRPr="00EC74DB" w:rsidRDefault="00A60D4B" w:rsidP="00A60D4B">
            <w:pPr>
              <w:pStyle w:val="Btablefigureunbold"/>
            </w:pPr>
          </w:p>
        </w:tc>
      </w:tr>
      <w:tr w:rsidR="00A60D4B" w:rsidRPr="00337DC9" w14:paraId="0C141771" w14:textId="77777777" w:rsidTr="00A60D4B">
        <w:trPr>
          <w:cantSplit/>
          <w:trHeight w:val="270"/>
        </w:trPr>
        <w:tc>
          <w:tcPr>
            <w:tcW w:w="3261" w:type="dxa"/>
            <w:tcBorders>
              <w:top w:val="nil"/>
              <w:bottom w:val="nil"/>
            </w:tcBorders>
          </w:tcPr>
          <w:p w14:paraId="28480994" w14:textId="77777777" w:rsidR="00A60D4B" w:rsidRPr="00E8105A" w:rsidRDefault="00A60D4B" w:rsidP="00A60D4B">
            <w:pPr>
              <w:pStyle w:val="Btabletextunbold"/>
            </w:pPr>
            <w:r w:rsidRPr="00E8105A">
              <w:t>National Health Reform Funding – Hospital Services</w:t>
            </w:r>
            <w:r>
              <w:rPr>
                <w:vertAlign w:val="superscript"/>
              </w:rPr>
              <w:t>1</w:t>
            </w:r>
          </w:p>
        </w:tc>
        <w:tc>
          <w:tcPr>
            <w:tcW w:w="1162" w:type="dxa"/>
            <w:tcBorders>
              <w:top w:val="nil"/>
              <w:bottom w:val="nil"/>
            </w:tcBorders>
            <w:tcMar>
              <w:left w:w="108" w:type="dxa"/>
            </w:tcMar>
          </w:tcPr>
          <w:p w14:paraId="6EA44BDA" w14:textId="77777777" w:rsidR="00A60D4B" w:rsidRDefault="00A60D4B" w:rsidP="00A60D4B">
            <w:pPr>
              <w:pStyle w:val="Btablefigureunbold"/>
            </w:pPr>
            <w:r w:rsidRPr="00532EE3">
              <w:t>426,044</w:t>
            </w:r>
          </w:p>
        </w:tc>
        <w:tc>
          <w:tcPr>
            <w:tcW w:w="1162" w:type="dxa"/>
            <w:tcBorders>
              <w:top w:val="nil"/>
              <w:bottom w:val="nil"/>
            </w:tcBorders>
            <w:shd w:val="clear" w:color="auto" w:fill="auto"/>
            <w:tcMar>
              <w:left w:w="108" w:type="dxa"/>
            </w:tcMar>
          </w:tcPr>
          <w:p w14:paraId="2FFEE946" w14:textId="77777777" w:rsidR="00A60D4B" w:rsidRDefault="00A60D4B" w:rsidP="00A60D4B">
            <w:pPr>
              <w:pStyle w:val="Btablefigureunbold"/>
            </w:pPr>
            <w:r w:rsidRPr="00532EE3">
              <w:t>472,568</w:t>
            </w:r>
          </w:p>
        </w:tc>
        <w:tc>
          <w:tcPr>
            <w:tcW w:w="1162" w:type="dxa"/>
            <w:tcBorders>
              <w:top w:val="nil"/>
              <w:bottom w:val="nil"/>
            </w:tcBorders>
            <w:shd w:val="clear" w:color="472D8C" w:fill="auto"/>
            <w:tcMar>
              <w:left w:w="108" w:type="dxa"/>
            </w:tcMar>
          </w:tcPr>
          <w:p w14:paraId="6147FEAA" w14:textId="77777777" w:rsidR="00A60D4B" w:rsidRPr="00111524" w:rsidRDefault="00A60D4B" w:rsidP="00A60D4B">
            <w:pPr>
              <w:pStyle w:val="Btablefigureunbold"/>
              <w:rPr>
                <w:color w:val="000000"/>
              </w:rPr>
            </w:pPr>
            <w:r w:rsidRPr="00532EE3">
              <w:t>503,285</w:t>
            </w:r>
          </w:p>
        </w:tc>
        <w:tc>
          <w:tcPr>
            <w:tcW w:w="1162" w:type="dxa"/>
            <w:tcBorders>
              <w:top w:val="nil"/>
              <w:bottom w:val="nil"/>
            </w:tcBorders>
            <w:shd w:val="clear" w:color="auto" w:fill="auto"/>
            <w:tcMar>
              <w:left w:w="108" w:type="dxa"/>
            </w:tcMar>
          </w:tcPr>
          <w:p w14:paraId="2201B09A" w14:textId="77777777" w:rsidR="00A60D4B" w:rsidRPr="00EC74DB" w:rsidRDefault="00A60D4B" w:rsidP="00A60D4B">
            <w:pPr>
              <w:pStyle w:val="Btablefigureunbold"/>
            </w:pPr>
            <w:r w:rsidRPr="00532EE3">
              <w:t>535,999</w:t>
            </w:r>
          </w:p>
        </w:tc>
        <w:tc>
          <w:tcPr>
            <w:tcW w:w="1163" w:type="dxa"/>
            <w:tcBorders>
              <w:top w:val="nil"/>
              <w:bottom w:val="nil"/>
            </w:tcBorders>
            <w:tcMar>
              <w:left w:w="108" w:type="dxa"/>
            </w:tcMar>
          </w:tcPr>
          <w:p w14:paraId="35E0CC8D" w14:textId="77777777" w:rsidR="00A60D4B" w:rsidRPr="00EC74DB" w:rsidRDefault="00A60D4B" w:rsidP="00A60D4B">
            <w:pPr>
              <w:pStyle w:val="Btablefigureunbold"/>
            </w:pPr>
            <w:r w:rsidRPr="00532EE3">
              <w:t>570,839</w:t>
            </w:r>
          </w:p>
        </w:tc>
      </w:tr>
      <w:tr w:rsidR="00A60D4B" w:rsidRPr="00337DC9" w14:paraId="27441113" w14:textId="77777777" w:rsidTr="00A60D4B">
        <w:trPr>
          <w:cantSplit/>
          <w:trHeight w:val="397"/>
        </w:trPr>
        <w:tc>
          <w:tcPr>
            <w:tcW w:w="3261" w:type="dxa"/>
            <w:tcBorders>
              <w:top w:val="nil"/>
              <w:bottom w:val="nil"/>
            </w:tcBorders>
          </w:tcPr>
          <w:p w14:paraId="79D3F1D6" w14:textId="77777777" w:rsidR="00A60D4B" w:rsidRPr="00E8105A" w:rsidRDefault="00A60D4B" w:rsidP="00A60D4B">
            <w:pPr>
              <w:pStyle w:val="Btabletextunbold"/>
            </w:pPr>
            <w:r w:rsidRPr="00E8105A">
              <w:t>National Health Reform Funding – Public Health</w:t>
            </w:r>
            <w:r>
              <w:rPr>
                <w:vertAlign w:val="superscript"/>
              </w:rPr>
              <w:t>1</w:t>
            </w:r>
          </w:p>
        </w:tc>
        <w:tc>
          <w:tcPr>
            <w:tcW w:w="1162" w:type="dxa"/>
            <w:tcBorders>
              <w:top w:val="nil"/>
              <w:bottom w:val="nil"/>
            </w:tcBorders>
            <w:tcMar>
              <w:left w:w="108" w:type="dxa"/>
            </w:tcMar>
          </w:tcPr>
          <w:p w14:paraId="52F189E4" w14:textId="77777777" w:rsidR="00A60D4B" w:rsidRPr="000F1B94" w:rsidRDefault="00A60D4B" w:rsidP="00A60D4B">
            <w:pPr>
              <w:pStyle w:val="Btablefigureunbold"/>
            </w:pPr>
            <w:r w:rsidRPr="000F1B94">
              <w:t>7,354</w:t>
            </w:r>
          </w:p>
        </w:tc>
        <w:tc>
          <w:tcPr>
            <w:tcW w:w="1162" w:type="dxa"/>
            <w:tcBorders>
              <w:top w:val="nil"/>
              <w:bottom w:val="nil"/>
            </w:tcBorders>
            <w:shd w:val="clear" w:color="auto" w:fill="auto"/>
            <w:tcMar>
              <w:left w:w="108" w:type="dxa"/>
            </w:tcMar>
          </w:tcPr>
          <w:p w14:paraId="1743C014" w14:textId="77777777" w:rsidR="00A60D4B" w:rsidRPr="000F1B94" w:rsidRDefault="00A60D4B" w:rsidP="00A60D4B">
            <w:pPr>
              <w:pStyle w:val="Btablefigureunbold"/>
            </w:pPr>
            <w:r w:rsidRPr="000F1B94">
              <w:t>7,976</w:t>
            </w:r>
          </w:p>
        </w:tc>
        <w:tc>
          <w:tcPr>
            <w:tcW w:w="1162" w:type="dxa"/>
            <w:tcBorders>
              <w:top w:val="nil"/>
              <w:bottom w:val="nil"/>
            </w:tcBorders>
            <w:shd w:val="clear" w:color="472D8C" w:fill="auto"/>
            <w:tcMar>
              <w:left w:w="108" w:type="dxa"/>
            </w:tcMar>
          </w:tcPr>
          <w:p w14:paraId="1D2C8759" w14:textId="77777777" w:rsidR="00A60D4B" w:rsidRPr="000F1B94" w:rsidRDefault="00A60D4B" w:rsidP="00A60D4B">
            <w:pPr>
              <w:pStyle w:val="Btablefigureunbold"/>
            </w:pPr>
            <w:r w:rsidRPr="000F1B94">
              <w:t>8,494</w:t>
            </w:r>
          </w:p>
        </w:tc>
        <w:tc>
          <w:tcPr>
            <w:tcW w:w="1162" w:type="dxa"/>
            <w:tcBorders>
              <w:top w:val="nil"/>
              <w:bottom w:val="nil"/>
            </w:tcBorders>
            <w:shd w:val="clear" w:color="auto" w:fill="auto"/>
            <w:tcMar>
              <w:left w:w="108" w:type="dxa"/>
            </w:tcMar>
          </w:tcPr>
          <w:p w14:paraId="50513121" w14:textId="77777777" w:rsidR="00A60D4B" w:rsidRPr="000F1B94" w:rsidRDefault="00A60D4B" w:rsidP="00A60D4B">
            <w:pPr>
              <w:pStyle w:val="Btablefigureunbold"/>
            </w:pPr>
            <w:r w:rsidRPr="000F1B94">
              <w:t>9,046</w:t>
            </w:r>
          </w:p>
        </w:tc>
        <w:tc>
          <w:tcPr>
            <w:tcW w:w="1163" w:type="dxa"/>
            <w:tcBorders>
              <w:top w:val="nil"/>
              <w:bottom w:val="nil"/>
            </w:tcBorders>
            <w:tcMar>
              <w:left w:w="108" w:type="dxa"/>
            </w:tcMar>
          </w:tcPr>
          <w:p w14:paraId="55D6A9FC" w14:textId="77777777" w:rsidR="00A60D4B" w:rsidRPr="000F1B94" w:rsidRDefault="00A60D4B" w:rsidP="00A60D4B">
            <w:pPr>
              <w:pStyle w:val="Btablefigureunbold"/>
            </w:pPr>
            <w:r w:rsidRPr="000F1B94">
              <w:t>9,634</w:t>
            </w:r>
          </w:p>
        </w:tc>
      </w:tr>
      <w:tr w:rsidR="00A60D4B" w:rsidRPr="00337DC9" w14:paraId="1A6228D4" w14:textId="77777777" w:rsidTr="00A60D4B">
        <w:trPr>
          <w:cantSplit/>
          <w:trHeight w:val="270"/>
        </w:trPr>
        <w:tc>
          <w:tcPr>
            <w:tcW w:w="3261" w:type="dxa"/>
            <w:tcBorders>
              <w:top w:val="nil"/>
              <w:bottom w:val="nil"/>
            </w:tcBorders>
          </w:tcPr>
          <w:p w14:paraId="794FC849" w14:textId="77777777" w:rsidR="00A60D4B" w:rsidRPr="00E8105A" w:rsidRDefault="00A60D4B" w:rsidP="00A60D4B">
            <w:pPr>
              <w:pStyle w:val="Btabletextunbold"/>
            </w:pPr>
            <w:r w:rsidRPr="00E8105A">
              <w:t>COVID-19 public health response</w:t>
            </w:r>
            <w:r>
              <w:rPr>
                <w:vertAlign w:val="superscript"/>
              </w:rPr>
              <w:t>1,2</w:t>
            </w:r>
          </w:p>
        </w:tc>
        <w:tc>
          <w:tcPr>
            <w:tcW w:w="1162" w:type="dxa"/>
            <w:tcBorders>
              <w:top w:val="nil"/>
              <w:bottom w:val="nil"/>
            </w:tcBorders>
            <w:tcMar>
              <w:left w:w="108" w:type="dxa"/>
            </w:tcMar>
          </w:tcPr>
          <w:p w14:paraId="04C3962E" w14:textId="77777777" w:rsidR="00A60D4B" w:rsidRPr="000F1B94" w:rsidRDefault="00A60D4B" w:rsidP="00A60D4B">
            <w:pPr>
              <w:pStyle w:val="Btablefigureunbold"/>
            </w:pPr>
            <w:r w:rsidRPr="000F1B94">
              <w:t>37,672</w:t>
            </w:r>
          </w:p>
        </w:tc>
        <w:tc>
          <w:tcPr>
            <w:tcW w:w="1162" w:type="dxa"/>
            <w:tcBorders>
              <w:top w:val="nil"/>
              <w:bottom w:val="nil"/>
            </w:tcBorders>
            <w:shd w:val="clear" w:color="auto" w:fill="auto"/>
            <w:tcMar>
              <w:left w:w="108" w:type="dxa"/>
            </w:tcMar>
          </w:tcPr>
          <w:p w14:paraId="5E650759" w14:textId="77777777" w:rsidR="00A60D4B" w:rsidRPr="000F1B94" w:rsidRDefault="00A60D4B" w:rsidP="00A60D4B">
            <w:pPr>
              <w:pStyle w:val="Btablefigureunbold"/>
            </w:pPr>
            <w:r w:rsidRPr="00F54470">
              <w:t>36,414</w:t>
            </w:r>
          </w:p>
        </w:tc>
        <w:tc>
          <w:tcPr>
            <w:tcW w:w="1162" w:type="dxa"/>
            <w:tcBorders>
              <w:top w:val="nil"/>
              <w:bottom w:val="nil"/>
            </w:tcBorders>
            <w:shd w:val="clear" w:color="472D8C" w:fill="auto"/>
            <w:tcMar>
              <w:left w:w="108" w:type="dxa"/>
            </w:tcMar>
          </w:tcPr>
          <w:p w14:paraId="64D7DAB7" w14:textId="77777777" w:rsidR="00A60D4B" w:rsidRPr="000F1B94" w:rsidRDefault="00A60D4B" w:rsidP="00A60D4B">
            <w:pPr>
              <w:pStyle w:val="Btablefigureunbold"/>
            </w:pPr>
            <w:r w:rsidRPr="000F1B94">
              <w:t>0</w:t>
            </w:r>
          </w:p>
        </w:tc>
        <w:tc>
          <w:tcPr>
            <w:tcW w:w="1162" w:type="dxa"/>
            <w:tcBorders>
              <w:top w:val="nil"/>
              <w:bottom w:val="nil"/>
            </w:tcBorders>
            <w:shd w:val="clear" w:color="auto" w:fill="auto"/>
            <w:tcMar>
              <w:left w:w="108" w:type="dxa"/>
            </w:tcMar>
          </w:tcPr>
          <w:p w14:paraId="47EE8236" w14:textId="77777777" w:rsidR="00A60D4B" w:rsidRPr="000F1B94" w:rsidRDefault="00A60D4B" w:rsidP="00A60D4B">
            <w:pPr>
              <w:pStyle w:val="Btablefigureunbold"/>
            </w:pPr>
            <w:r w:rsidRPr="000F1B94">
              <w:t>0</w:t>
            </w:r>
          </w:p>
        </w:tc>
        <w:tc>
          <w:tcPr>
            <w:tcW w:w="1163" w:type="dxa"/>
            <w:tcBorders>
              <w:top w:val="nil"/>
              <w:bottom w:val="nil"/>
            </w:tcBorders>
            <w:tcMar>
              <w:left w:w="108" w:type="dxa"/>
            </w:tcMar>
          </w:tcPr>
          <w:p w14:paraId="24062264" w14:textId="77777777" w:rsidR="00A60D4B" w:rsidRPr="000F1B94" w:rsidRDefault="00A60D4B" w:rsidP="00A60D4B">
            <w:pPr>
              <w:pStyle w:val="Btablefigureunbold"/>
            </w:pPr>
            <w:r w:rsidRPr="000F1B94">
              <w:t>0</w:t>
            </w:r>
          </w:p>
        </w:tc>
      </w:tr>
      <w:tr w:rsidR="00A60D4B" w:rsidRPr="00337DC9" w14:paraId="0D5B3379" w14:textId="77777777" w:rsidTr="00A60D4B">
        <w:trPr>
          <w:cantSplit/>
          <w:trHeight w:val="270"/>
        </w:trPr>
        <w:tc>
          <w:tcPr>
            <w:tcW w:w="3261" w:type="dxa"/>
            <w:tcBorders>
              <w:top w:val="nil"/>
              <w:bottom w:val="nil"/>
            </w:tcBorders>
          </w:tcPr>
          <w:p w14:paraId="42C4FFF8" w14:textId="77777777" w:rsidR="00A60D4B" w:rsidRDefault="00A60D4B" w:rsidP="00A60D4B">
            <w:pPr>
              <w:pStyle w:val="Btabletextbolditalic"/>
            </w:pPr>
            <w:r>
              <w:t>Total National Health Reform Funding</w:t>
            </w:r>
          </w:p>
        </w:tc>
        <w:tc>
          <w:tcPr>
            <w:tcW w:w="1162" w:type="dxa"/>
            <w:tcBorders>
              <w:top w:val="nil"/>
              <w:bottom w:val="nil"/>
            </w:tcBorders>
            <w:tcMar>
              <w:left w:w="108" w:type="dxa"/>
            </w:tcMar>
          </w:tcPr>
          <w:p w14:paraId="1A9C945A" w14:textId="77777777" w:rsidR="00A60D4B" w:rsidRPr="000F1B94" w:rsidRDefault="00A60D4B" w:rsidP="00A60D4B">
            <w:pPr>
              <w:pStyle w:val="BTablefigurebolditalic"/>
            </w:pPr>
            <w:r w:rsidRPr="000F1B94">
              <w:t>471,070</w:t>
            </w:r>
          </w:p>
        </w:tc>
        <w:tc>
          <w:tcPr>
            <w:tcW w:w="1162" w:type="dxa"/>
            <w:tcBorders>
              <w:top w:val="nil"/>
              <w:bottom w:val="nil"/>
            </w:tcBorders>
            <w:shd w:val="clear" w:color="auto" w:fill="auto"/>
            <w:tcMar>
              <w:left w:w="108" w:type="dxa"/>
            </w:tcMar>
          </w:tcPr>
          <w:p w14:paraId="03F41093" w14:textId="77777777" w:rsidR="00A60D4B" w:rsidRPr="000F1B94" w:rsidRDefault="00A60D4B" w:rsidP="00A60D4B">
            <w:pPr>
              <w:pStyle w:val="BTablefigurebolditalic"/>
            </w:pPr>
            <w:r w:rsidRPr="00717F23">
              <w:t>516,958</w:t>
            </w:r>
          </w:p>
        </w:tc>
        <w:tc>
          <w:tcPr>
            <w:tcW w:w="1162" w:type="dxa"/>
            <w:tcBorders>
              <w:top w:val="nil"/>
              <w:bottom w:val="nil"/>
            </w:tcBorders>
            <w:shd w:val="clear" w:color="472D8C" w:fill="auto"/>
            <w:tcMar>
              <w:left w:w="108" w:type="dxa"/>
            </w:tcMar>
          </w:tcPr>
          <w:p w14:paraId="452C7CA4" w14:textId="77777777" w:rsidR="00A60D4B" w:rsidRPr="000F1B94" w:rsidRDefault="00A60D4B" w:rsidP="00A60D4B">
            <w:pPr>
              <w:pStyle w:val="BTablefigurebolditalic"/>
            </w:pPr>
            <w:r w:rsidRPr="000F1B94">
              <w:t>511,779</w:t>
            </w:r>
          </w:p>
        </w:tc>
        <w:tc>
          <w:tcPr>
            <w:tcW w:w="1162" w:type="dxa"/>
            <w:tcBorders>
              <w:top w:val="nil"/>
              <w:bottom w:val="nil"/>
            </w:tcBorders>
            <w:shd w:val="clear" w:color="auto" w:fill="auto"/>
            <w:tcMar>
              <w:left w:w="108" w:type="dxa"/>
            </w:tcMar>
          </w:tcPr>
          <w:p w14:paraId="56B683FB" w14:textId="77777777" w:rsidR="00A60D4B" w:rsidRPr="000F1B94" w:rsidRDefault="00A60D4B" w:rsidP="00A60D4B">
            <w:pPr>
              <w:pStyle w:val="BTablefigurebolditalic"/>
            </w:pPr>
            <w:r w:rsidRPr="000F1B94">
              <w:t>545,045</w:t>
            </w:r>
          </w:p>
        </w:tc>
        <w:tc>
          <w:tcPr>
            <w:tcW w:w="1163" w:type="dxa"/>
            <w:tcBorders>
              <w:top w:val="nil"/>
              <w:bottom w:val="nil"/>
            </w:tcBorders>
            <w:tcMar>
              <w:left w:w="108" w:type="dxa"/>
            </w:tcMar>
          </w:tcPr>
          <w:p w14:paraId="32F21D4F" w14:textId="77777777" w:rsidR="00A60D4B" w:rsidRPr="000F1B94" w:rsidRDefault="00A60D4B" w:rsidP="00A60D4B">
            <w:pPr>
              <w:pStyle w:val="BTablefigurebolditalic"/>
            </w:pPr>
            <w:r w:rsidRPr="000F1B94">
              <w:t>580,473</w:t>
            </w:r>
          </w:p>
        </w:tc>
      </w:tr>
      <w:tr w:rsidR="00A60D4B" w:rsidRPr="00337DC9" w14:paraId="3837C4F5" w14:textId="77777777" w:rsidTr="00A60D4B">
        <w:trPr>
          <w:cantSplit/>
          <w:trHeight w:val="270"/>
        </w:trPr>
        <w:tc>
          <w:tcPr>
            <w:tcW w:w="3261" w:type="dxa"/>
            <w:tcBorders>
              <w:top w:val="nil"/>
              <w:bottom w:val="nil"/>
            </w:tcBorders>
          </w:tcPr>
          <w:p w14:paraId="7ED25F47" w14:textId="77777777" w:rsidR="00A60D4B" w:rsidRPr="0046363D" w:rsidRDefault="00A60D4B" w:rsidP="00A60D4B">
            <w:pPr>
              <w:pStyle w:val="Btabletextbold"/>
              <w:keepNext/>
            </w:pPr>
            <w:r w:rsidRPr="0046363D">
              <w:t>Health Services NPPs</w:t>
            </w:r>
          </w:p>
        </w:tc>
        <w:tc>
          <w:tcPr>
            <w:tcW w:w="1162" w:type="dxa"/>
            <w:tcBorders>
              <w:top w:val="nil"/>
              <w:bottom w:val="nil"/>
            </w:tcBorders>
            <w:tcMar>
              <w:left w:w="108" w:type="dxa"/>
            </w:tcMar>
          </w:tcPr>
          <w:p w14:paraId="679E1B14" w14:textId="77777777" w:rsidR="00A60D4B" w:rsidRPr="00EC74DB" w:rsidRDefault="00A60D4B" w:rsidP="00A60D4B">
            <w:pPr>
              <w:pStyle w:val="Btablefigureunbold"/>
            </w:pPr>
          </w:p>
        </w:tc>
        <w:tc>
          <w:tcPr>
            <w:tcW w:w="1162" w:type="dxa"/>
            <w:tcBorders>
              <w:top w:val="nil"/>
              <w:bottom w:val="nil"/>
            </w:tcBorders>
            <w:shd w:val="clear" w:color="auto" w:fill="auto"/>
            <w:tcMar>
              <w:left w:w="108" w:type="dxa"/>
            </w:tcMar>
          </w:tcPr>
          <w:p w14:paraId="3781CADF" w14:textId="77777777" w:rsidR="00A60D4B" w:rsidRPr="00EC74DB" w:rsidRDefault="00A60D4B" w:rsidP="00A60D4B">
            <w:pPr>
              <w:pStyle w:val="Btablefigureunbold"/>
            </w:pPr>
          </w:p>
        </w:tc>
        <w:tc>
          <w:tcPr>
            <w:tcW w:w="1162" w:type="dxa"/>
            <w:tcBorders>
              <w:top w:val="nil"/>
              <w:bottom w:val="nil"/>
            </w:tcBorders>
            <w:shd w:val="clear" w:color="472D8C" w:fill="auto"/>
            <w:tcMar>
              <w:left w:w="108" w:type="dxa"/>
            </w:tcMar>
          </w:tcPr>
          <w:p w14:paraId="0950A97A" w14:textId="77777777" w:rsidR="00A60D4B" w:rsidRPr="00111524" w:rsidRDefault="00A60D4B" w:rsidP="00A60D4B">
            <w:pPr>
              <w:pStyle w:val="Btablefigureunbold"/>
            </w:pPr>
          </w:p>
        </w:tc>
        <w:tc>
          <w:tcPr>
            <w:tcW w:w="1162" w:type="dxa"/>
            <w:tcBorders>
              <w:top w:val="nil"/>
              <w:bottom w:val="nil"/>
            </w:tcBorders>
            <w:shd w:val="clear" w:color="auto" w:fill="auto"/>
            <w:tcMar>
              <w:left w:w="108" w:type="dxa"/>
            </w:tcMar>
          </w:tcPr>
          <w:p w14:paraId="76826656" w14:textId="77777777" w:rsidR="00A60D4B" w:rsidRPr="00EC74DB" w:rsidRDefault="00A60D4B" w:rsidP="00A60D4B">
            <w:pPr>
              <w:pStyle w:val="Btablefigureunbold"/>
            </w:pPr>
          </w:p>
        </w:tc>
        <w:tc>
          <w:tcPr>
            <w:tcW w:w="1163" w:type="dxa"/>
            <w:tcBorders>
              <w:top w:val="nil"/>
              <w:bottom w:val="nil"/>
            </w:tcBorders>
            <w:tcMar>
              <w:left w:w="108" w:type="dxa"/>
            </w:tcMar>
          </w:tcPr>
          <w:p w14:paraId="039CFA37" w14:textId="77777777" w:rsidR="00A60D4B" w:rsidRPr="00EC74DB" w:rsidRDefault="00A60D4B" w:rsidP="00A60D4B">
            <w:pPr>
              <w:pStyle w:val="Btablefigureunbold"/>
            </w:pPr>
          </w:p>
        </w:tc>
      </w:tr>
      <w:tr w:rsidR="00A60D4B" w:rsidRPr="00337DC9" w14:paraId="008DD378" w14:textId="77777777" w:rsidTr="00A60D4B">
        <w:trPr>
          <w:cantSplit/>
          <w:trHeight w:val="270"/>
        </w:trPr>
        <w:tc>
          <w:tcPr>
            <w:tcW w:w="3261" w:type="dxa"/>
            <w:tcBorders>
              <w:top w:val="nil"/>
              <w:bottom w:val="nil"/>
            </w:tcBorders>
          </w:tcPr>
          <w:p w14:paraId="4E8BAE97" w14:textId="77777777" w:rsidR="00A60D4B" w:rsidRDefault="00A60D4B" w:rsidP="00A60D4B">
            <w:pPr>
              <w:pStyle w:val="Btabletextunbold"/>
            </w:pPr>
            <w:r>
              <w:t>Comprehensive palliative care across the life course</w:t>
            </w:r>
          </w:p>
        </w:tc>
        <w:tc>
          <w:tcPr>
            <w:tcW w:w="1162" w:type="dxa"/>
            <w:tcBorders>
              <w:top w:val="nil"/>
              <w:bottom w:val="nil"/>
            </w:tcBorders>
            <w:tcMar>
              <w:left w:w="108" w:type="dxa"/>
            </w:tcMar>
          </w:tcPr>
          <w:p w14:paraId="5FB5AA8C" w14:textId="77777777" w:rsidR="00A60D4B" w:rsidRPr="00EC74DB" w:rsidRDefault="00A60D4B" w:rsidP="00A60D4B">
            <w:pPr>
              <w:pStyle w:val="Btablefigureunbold"/>
            </w:pPr>
            <w:r w:rsidRPr="00FD4804">
              <w:t>176</w:t>
            </w:r>
          </w:p>
        </w:tc>
        <w:tc>
          <w:tcPr>
            <w:tcW w:w="1162" w:type="dxa"/>
            <w:tcBorders>
              <w:top w:val="nil"/>
              <w:bottom w:val="nil"/>
            </w:tcBorders>
            <w:shd w:val="clear" w:color="auto" w:fill="auto"/>
            <w:tcMar>
              <w:left w:w="108" w:type="dxa"/>
            </w:tcMar>
          </w:tcPr>
          <w:p w14:paraId="575CB8F1" w14:textId="77777777" w:rsidR="00A60D4B" w:rsidRPr="00EC74DB" w:rsidRDefault="00A60D4B" w:rsidP="00A60D4B">
            <w:pPr>
              <w:pStyle w:val="Btablefigureunbold"/>
            </w:pPr>
            <w:r w:rsidRPr="00FD4804">
              <w:t>185</w:t>
            </w:r>
          </w:p>
        </w:tc>
        <w:tc>
          <w:tcPr>
            <w:tcW w:w="1162" w:type="dxa"/>
            <w:tcBorders>
              <w:top w:val="nil"/>
              <w:bottom w:val="nil"/>
            </w:tcBorders>
            <w:shd w:val="clear" w:color="472D8C" w:fill="auto"/>
            <w:tcMar>
              <w:left w:w="108" w:type="dxa"/>
            </w:tcMar>
          </w:tcPr>
          <w:p w14:paraId="1B2FC79A" w14:textId="77777777" w:rsidR="00A60D4B" w:rsidRPr="00111524" w:rsidRDefault="00A60D4B" w:rsidP="00A60D4B">
            <w:pPr>
              <w:pStyle w:val="Btablefigureunbold"/>
            </w:pPr>
            <w:r w:rsidRPr="00FD4804">
              <w:t>194</w:t>
            </w:r>
          </w:p>
        </w:tc>
        <w:tc>
          <w:tcPr>
            <w:tcW w:w="1162" w:type="dxa"/>
            <w:tcBorders>
              <w:top w:val="nil"/>
              <w:bottom w:val="nil"/>
            </w:tcBorders>
            <w:shd w:val="clear" w:color="auto" w:fill="auto"/>
            <w:tcMar>
              <w:left w:w="108" w:type="dxa"/>
            </w:tcMar>
          </w:tcPr>
          <w:p w14:paraId="13090E74" w14:textId="77777777" w:rsidR="00A60D4B" w:rsidRPr="00EC74DB" w:rsidRDefault="00A60D4B" w:rsidP="00A60D4B">
            <w:pPr>
              <w:pStyle w:val="Btablefigureunbold"/>
            </w:pPr>
            <w:r w:rsidRPr="00FD4804">
              <w:t>203</w:t>
            </w:r>
          </w:p>
        </w:tc>
        <w:tc>
          <w:tcPr>
            <w:tcW w:w="1163" w:type="dxa"/>
            <w:tcBorders>
              <w:top w:val="nil"/>
              <w:bottom w:val="nil"/>
            </w:tcBorders>
            <w:tcMar>
              <w:left w:w="108" w:type="dxa"/>
            </w:tcMar>
          </w:tcPr>
          <w:p w14:paraId="5D7C31C2" w14:textId="77777777" w:rsidR="00A60D4B" w:rsidRPr="00EC74DB" w:rsidRDefault="00A60D4B" w:rsidP="00A60D4B">
            <w:pPr>
              <w:pStyle w:val="Btablefigureunbold"/>
            </w:pPr>
            <w:r>
              <w:t>0</w:t>
            </w:r>
          </w:p>
        </w:tc>
      </w:tr>
      <w:tr w:rsidR="00A60D4B" w:rsidRPr="00337DC9" w14:paraId="0DBFD5AC" w14:textId="77777777" w:rsidTr="00A60D4B">
        <w:trPr>
          <w:cantSplit/>
          <w:trHeight w:val="270"/>
        </w:trPr>
        <w:tc>
          <w:tcPr>
            <w:tcW w:w="3261" w:type="dxa"/>
            <w:tcBorders>
              <w:top w:val="nil"/>
              <w:bottom w:val="nil"/>
            </w:tcBorders>
          </w:tcPr>
          <w:p w14:paraId="5BF65CF6" w14:textId="77777777" w:rsidR="00A60D4B" w:rsidRPr="00FD5B52" w:rsidRDefault="00A60D4B" w:rsidP="00A60D4B">
            <w:pPr>
              <w:pStyle w:val="Btabletextunbold"/>
              <w:rPr>
                <w:highlight w:val="cyan"/>
              </w:rPr>
            </w:pPr>
            <w:r w:rsidRPr="007D0A57">
              <w:t>Expansion of the Breast</w:t>
            </w:r>
            <w:r>
              <w:t xml:space="preserve"> </w:t>
            </w:r>
            <w:r w:rsidRPr="007D0A57">
              <w:t>Screen Australia Program</w:t>
            </w:r>
            <w:r>
              <w:rPr>
                <w:vertAlign w:val="superscript"/>
              </w:rPr>
              <w:t>3</w:t>
            </w:r>
          </w:p>
        </w:tc>
        <w:tc>
          <w:tcPr>
            <w:tcW w:w="1162" w:type="dxa"/>
            <w:tcBorders>
              <w:top w:val="nil"/>
              <w:bottom w:val="nil"/>
            </w:tcBorders>
            <w:tcMar>
              <w:left w:w="108" w:type="dxa"/>
            </w:tcMar>
          </w:tcPr>
          <w:p w14:paraId="15593651" w14:textId="77777777" w:rsidR="00A60D4B" w:rsidRPr="00EC74DB" w:rsidRDefault="00A60D4B" w:rsidP="00A60D4B">
            <w:pPr>
              <w:pStyle w:val="Btablefigureunbold"/>
            </w:pPr>
            <w:r>
              <w:t>0</w:t>
            </w:r>
          </w:p>
        </w:tc>
        <w:tc>
          <w:tcPr>
            <w:tcW w:w="1162" w:type="dxa"/>
            <w:tcBorders>
              <w:top w:val="nil"/>
              <w:bottom w:val="nil"/>
            </w:tcBorders>
            <w:shd w:val="clear" w:color="auto" w:fill="auto"/>
            <w:tcMar>
              <w:left w:w="108" w:type="dxa"/>
            </w:tcMar>
          </w:tcPr>
          <w:p w14:paraId="1A85846A" w14:textId="77777777" w:rsidR="00A60D4B" w:rsidRPr="00EC74DB" w:rsidRDefault="00A60D4B" w:rsidP="00A60D4B">
            <w:pPr>
              <w:pStyle w:val="Btablefigureunbold"/>
            </w:pPr>
            <w:r w:rsidRPr="000C2E86">
              <w:t>252</w:t>
            </w:r>
          </w:p>
        </w:tc>
        <w:tc>
          <w:tcPr>
            <w:tcW w:w="1162" w:type="dxa"/>
            <w:tcBorders>
              <w:top w:val="nil"/>
              <w:bottom w:val="nil"/>
            </w:tcBorders>
            <w:shd w:val="clear" w:color="472D8C" w:fill="auto"/>
            <w:tcMar>
              <w:left w:w="108" w:type="dxa"/>
            </w:tcMar>
          </w:tcPr>
          <w:p w14:paraId="0F3598D3" w14:textId="77777777" w:rsidR="00A60D4B" w:rsidRPr="000C2E86" w:rsidRDefault="00A60D4B" w:rsidP="00A60D4B">
            <w:pPr>
              <w:pStyle w:val="Btablefigureunbold"/>
            </w:pPr>
            <w:r w:rsidRPr="000C2E86">
              <w:t>~</w:t>
            </w:r>
          </w:p>
        </w:tc>
        <w:tc>
          <w:tcPr>
            <w:tcW w:w="1162" w:type="dxa"/>
            <w:tcBorders>
              <w:top w:val="nil"/>
              <w:bottom w:val="nil"/>
            </w:tcBorders>
            <w:shd w:val="clear" w:color="auto" w:fill="auto"/>
            <w:tcMar>
              <w:left w:w="108" w:type="dxa"/>
            </w:tcMar>
          </w:tcPr>
          <w:p w14:paraId="1634809D" w14:textId="77777777" w:rsidR="00A60D4B" w:rsidRPr="000C2E86" w:rsidRDefault="00A60D4B" w:rsidP="00A60D4B">
            <w:pPr>
              <w:pStyle w:val="Btablefigureunbold"/>
            </w:pPr>
            <w:r w:rsidRPr="000C2E86">
              <w:t>~</w:t>
            </w:r>
          </w:p>
        </w:tc>
        <w:tc>
          <w:tcPr>
            <w:tcW w:w="1163" w:type="dxa"/>
            <w:tcBorders>
              <w:top w:val="nil"/>
              <w:bottom w:val="nil"/>
            </w:tcBorders>
            <w:tcMar>
              <w:left w:w="108" w:type="dxa"/>
            </w:tcMar>
          </w:tcPr>
          <w:p w14:paraId="7736D615" w14:textId="77777777" w:rsidR="00A60D4B" w:rsidRPr="000C2E86" w:rsidRDefault="00A60D4B" w:rsidP="00A60D4B">
            <w:pPr>
              <w:pStyle w:val="Btablefigureunbold"/>
            </w:pPr>
            <w:r w:rsidRPr="000C2E86">
              <w:t>~</w:t>
            </w:r>
          </w:p>
        </w:tc>
      </w:tr>
      <w:tr w:rsidR="00A60D4B" w:rsidRPr="00337DC9" w14:paraId="45136EB9" w14:textId="77777777" w:rsidTr="00A60D4B">
        <w:trPr>
          <w:cantSplit/>
          <w:trHeight w:val="270"/>
        </w:trPr>
        <w:tc>
          <w:tcPr>
            <w:tcW w:w="3261" w:type="dxa"/>
            <w:tcBorders>
              <w:top w:val="nil"/>
              <w:bottom w:val="nil"/>
            </w:tcBorders>
          </w:tcPr>
          <w:p w14:paraId="1374ECA5" w14:textId="77777777" w:rsidR="00A60D4B" w:rsidRDefault="00A60D4B" w:rsidP="00A60D4B">
            <w:pPr>
              <w:pStyle w:val="Btabletextunbold"/>
            </w:pPr>
            <w:r w:rsidRPr="00A40934">
              <w:t xml:space="preserve">National bowel cancer screening program </w:t>
            </w:r>
            <w:r>
              <w:t>–</w:t>
            </w:r>
            <w:r w:rsidRPr="00A40934">
              <w:t xml:space="preserve"> participant follow-up function</w:t>
            </w:r>
          </w:p>
        </w:tc>
        <w:tc>
          <w:tcPr>
            <w:tcW w:w="1162" w:type="dxa"/>
            <w:tcBorders>
              <w:top w:val="nil"/>
              <w:bottom w:val="nil"/>
            </w:tcBorders>
            <w:tcMar>
              <w:left w:w="108" w:type="dxa"/>
            </w:tcMar>
          </w:tcPr>
          <w:p w14:paraId="07A74286" w14:textId="77777777" w:rsidR="00A60D4B" w:rsidRPr="00EC74DB" w:rsidRDefault="00A60D4B" w:rsidP="00A60D4B">
            <w:pPr>
              <w:pStyle w:val="Btablefigureunbold"/>
            </w:pPr>
            <w:r w:rsidRPr="00622EA4">
              <w:t>195</w:t>
            </w:r>
          </w:p>
        </w:tc>
        <w:tc>
          <w:tcPr>
            <w:tcW w:w="1162" w:type="dxa"/>
            <w:tcBorders>
              <w:top w:val="nil"/>
              <w:bottom w:val="nil"/>
            </w:tcBorders>
            <w:shd w:val="clear" w:color="auto" w:fill="auto"/>
            <w:tcMar>
              <w:left w:w="108" w:type="dxa"/>
            </w:tcMar>
          </w:tcPr>
          <w:p w14:paraId="36AFB438" w14:textId="77777777" w:rsidR="00A60D4B" w:rsidRPr="00EC74DB" w:rsidRDefault="00A60D4B" w:rsidP="00A60D4B">
            <w:pPr>
              <w:pStyle w:val="Btablefigureunbold"/>
            </w:pPr>
            <w:r w:rsidRPr="00622EA4">
              <w:t>195</w:t>
            </w:r>
          </w:p>
        </w:tc>
        <w:tc>
          <w:tcPr>
            <w:tcW w:w="1162" w:type="dxa"/>
            <w:tcBorders>
              <w:top w:val="nil"/>
              <w:bottom w:val="nil"/>
            </w:tcBorders>
            <w:shd w:val="clear" w:color="472D8C" w:fill="auto"/>
            <w:tcMar>
              <w:left w:w="108" w:type="dxa"/>
            </w:tcMar>
          </w:tcPr>
          <w:p w14:paraId="0DA1A243" w14:textId="77777777" w:rsidR="00A60D4B" w:rsidRPr="00111524" w:rsidRDefault="00A60D4B" w:rsidP="00A60D4B">
            <w:pPr>
              <w:pStyle w:val="Btablefigureunbold"/>
            </w:pPr>
            <w:r>
              <w:t>0</w:t>
            </w:r>
          </w:p>
        </w:tc>
        <w:tc>
          <w:tcPr>
            <w:tcW w:w="1162" w:type="dxa"/>
            <w:tcBorders>
              <w:top w:val="nil"/>
              <w:bottom w:val="nil"/>
            </w:tcBorders>
            <w:shd w:val="clear" w:color="auto" w:fill="auto"/>
            <w:tcMar>
              <w:left w:w="108" w:type="dxa"/>
            </w:tcMar>
          </w:tcPr>
          <w:p w14:paraId="0CDA969F"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38D100AB" w14:textId="77777777" w:rsidR="00A60D4B" w:rsidRPr="00EC74DB" w:rsidRDefault="00A60D4B" w:rsidP="00A60D4B">
            <w:pPr>
              <w:pStyle w:val="Btablefigureunbold"/>
            </w:pPr>
            <w:r>
              <w:t>0</w:t>
            </w:r>
          </w:p>
        </w:tc>
      </w:tr>
      <w:tr w:rsidR="00A60D4B" w:rsidRPr="00337DC9" w14:paraId="6CFCC61E" w14:textId="77777777" w:rsidTr="00A60D4B">
        <w:trPr>
          <w:cantSplit/>
          <w:trHeight w:val="270"/>
        </w:trPr>
        <w:tc>
          <w:tcPr>
            <w:tcW w:w="3261" w:type="dxa"/>
            <w:tcBorders>
              <w:top w:val="nil"/>
              <w:bottom w:val="nil"/>
            </w:tcBorders>
          </w:tcPr>
          <w:p w14:paraId="158B7771" w14:textId="77777777" w:rsidR="00A60D4B" w:rsidRPr="00A40934" w:rsidRDefault="00A60D4B" w:rsidP="00A60D4B">
            <w:pPr>
              <w:pStyle w:val="Btabletextunbold"/>
            </w:pPr>
            <w:r w:rsidRPr="00A40934">
              <w:t>National perinatal mental health check</w:t>
            </w:r>
          </w:p>
        </w:tc>
        <w:tc>
          <w:tcPr>
            <w:tcW w:w="1162" w:type="dxa"/>
            <w:tcBorders>
              <w:top w:val="nil"/>
              <w:bottom w:val="nil"/>
            </w:tcBorders>
            <w:tcMar>
              <w:left w:w="108" w:type="dxa"/>
            </w:tcMar>
          </w:tcPr>
          <w:p w14:paraId="2271E16D" w14:textId="77777777" w:rsidR="00A60D4B" w:rsidRPr="00EC74DB" w:rsidRDefault="00A60D4B" w:rsidP="00A60D4B">
            <w:pPr>
              <w:pStyle w:val="Btablefigureunbold"/>
            </w:pPr>
            <w:r>
              <w:t>0</w:t>
            </w:r>
          </w:p>
        </w:tc>
        <w:tc>
          <w:tcPr>
            <w:tcW w:w="1162" w:type="dxa"/>
            <w:tcBorders>
              <w:top w:val="nil"/>
              <w:bottom w:val="nil"/>
            </w:tcBorders>
            <w:shd w:val="clear" w:color="auto" w:fill="auto"/>
            <w:tcMar>
              <w:left w:w="108" w:type="dxa"/>
            </w:tcMar>
          </w:tcPr>
          <w:p w14:paraId="05E1CEFE" w14:textId="77777777" w:rsidR="00A60D4B" w:rsidRPr="00F0205E" w:rsidRDefault="00A60D4B" w:rsidP="00A60D4B">
            <w:pPr>
              <w:pStyle w:val="Btablefigureunbold"/>
            </w:pPr>
            <w:r w:rsidRPr="00F0205E">
              <w:t>~</w:t>
            </w:r>
          </w:p>
        </w:tc>
        <w:tc>
          <w:tcPr>
            <w:tcW w:w="1162" w:type="dxa"/>
            <w:tcBorders>
              <w:top w:val="nil"/>
              <w:bottom w:val="nil"/>
            </w:tcBorders>
            <w:shd w:val="clear" w:color="472D8C" w:fill="auto"/>
            <w:tcMar>
              <w:left w:w="108" w:type="dxa"/>
            </w:tcMar>
          </w:tcPr>
          <w:p w14:paraId="42CEA92F" w14:textId="77777777" w:rsidR="00A60D4B" w:rsidRPr="00F0205E" w:rsidRDefault="00A60D4B" w:rsidP="00A60D4B">
            <w:pPr>
              <w:pStyle w:val="Btablefigureunbold"/>
            </w:pPr>
            <w:r w:rsidRPr="00F0205E">
              <w:t>~</w:t>
            </w:r>
          </w:p>
        </w:tc>
        <w:tc>
          <w:tcPr>
            <w:tcW w:w="1162" w:type="dxa"/>
            <w:tcBorders>
              <w:top w:val="nil"/>
              <w:bottom w:val="nil"/>
            </w:tcBorders>
            <w:shd w:val="clear" w:color="auto" w:fill="auto"/>
            <w:tcMar>
              <w:left w:w="108" w:type="dxa"/>
            </w:tcMar>
          </w:tcPr>
          <w:p w14:paraId="0D3D51C9"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04773A1B" w14:textId="77777777" w:rsidR="00A60D4B" w:rsidRPr="00EC74DB" w:rsidRDefault="00A60D4B" w:rsidP="00A60D4B">
            <w:pPr>
              <w:pStyle w:val="Btablefigureunbold"/>
            </w:pPr>
            <w:r>
              <w:t>0</w:t>
            </w:r>
          </w:p>
        </w:tc>
      </w:tr>
      <w:tr w:rsidR="00A60D4B" w:rsidRPr="00337DC9" w14:paraId="2B4FE6A7" w14:textId="77777777" w:rsidTr="00A60D4B">
        <w:trPr>
          <w:cantSplit/>
          <w:trHeight w:val="270"/>
        </w:trPr>
        <w:tc>
          <w:tcPr>
            <w:tcW w:w="3261" w:type="dxa"/>
            <w:tcBorders>
              <w:top w:val="nil"/>
              <w:bottom w:val="nil"/>
            </w:tcBorders>
          </w:tcPr>
          <w:p w14:paraId="38496276" w14:textId="77777777" w:rsidR="00A60D4B" w:rsidRDefault="00A60D4B" w:rsidP="00A60D4B">
            <w:pPr>
              <w:pStyle w:val="Btabletextunbold"/>
            </w:pPr>
            <w:r>
              <w:t>OzFoodNet</w:t>
            </w:r>
          </w:p>
        </w:tc>
        <w:tc>
          <w:tcPr>
            <w:tcW w:w="1162" w:type="dxa"/>
            <w:tcBorders>
              <w:top w:val="nil"/>
              <w:bottom w:val="nil"/>
            </w:tcBorders>
            <w:tcMar>
              <w:left w:w="108" w:type="dxa"/>
            </w:tcMar>
          </w:tcPr>
          <w:p w14:paraId="7253228E" w14:textId="77777777" w:rsidR="00A60D4B" w:rsidRPr="00EC74DB" w:rsidRDefault="00A60D4B" w:rsidP="00A60D4B">
            <w:pPr>
              <w:pStyle w:val="Btablefigureunbold"/>
            </w:pPr>
            <w:r w:rsidRPr="00C27B08">
              <w:t>150</w:t>
            </w:r>
          </w:p>
        </w:tc>
        <w:tc>
          <w:tcPr>
            <w:tcW w:w="1162" w:type="dxa"/>
            <w:tcBorders>
              <w:top w:val="nil"/>
              <w:bottom w:val="nil"/>
            </w:tcBorders>
            <w:shd w:val="clear" w:color="auto" w:fill="auto"/>
            <w:tcMar>
              <w:left w:w="108" w:type="dxa"/>
            </w:tcMar>
          </w:tcPr>
          <w:p w14:paraId="7A618BAE" w14:textId="77777777" w:rsidR="00A60D4B" w:rsidRPr="00EC74DB" w:rsidRDefault="00A60D4B" w:rsidP="00A60D4B">
            <w:pPr>
              <w:pStyle w:val="Btablefigureunbold"/>
            </w:pPr>
            <w:r w:rsidRPr="00C27B08">
              <w:t>152</w:t>
            </w:r>
          </w:p>
        </w:tc>
        <w:tc>
          <w:tcPr>
            <w:tcW w:w="1162" w:type="dxa"/>
            <w:tcBorders>
              <w:top w:val="nil"/>
              <w:bottom w:val="nil"/>
            </w:tcBorders>
            <w:shd w:val="clear" w:color="472D8C" w:fill="auto"/>
            <w:tcMar>
              <w:left w:w="108" w:type="dxa"/>
            </w:tcMar>
          </w:tcPr>
          <w:p w14:paraId="0B389A36" w14:textId="77777777" w:rsidR="00A60D4B" w:rsidRPr="00111524" w:rsidRDefault="00A60D4B" w:rsidP="00A60D4B">
            <w:pPr>
              <w:pStyle w:val="Btablefigureunbold"/>
            </w:pPr>
            <w:r w:rsidRPr="00C27B08">
              <w:t>155</w:t>
            </w:r>
          </w:p>
        </w:tc>
        <w:tc>
          <w:tcPr>
            <w:tcW w:w="1162" w:type="dxa"/>
            <w:tcBorders>
              <w:top w:val="nil"/>
              <w:bottom w:val="nil"/>
            </w:tcBorders>
            <w:shd w:val="clear" w:color="auto" w:fill="auto"/>
            <w:tcMar>
              <w:left w:w="108" w:type="dxa"/>
            </w:tcMar>
          </w:tcPr>
          <w:p w14:paraId="1580B0CF" w14:textId="77777777" w:rsidR="00A60D4B" w:rsidRPr="00EC74DB" w:rsidRDefault="00A60D4B" w:rsidP="00A60D4B">
            <w:pPr>
              <w:pStyle w:val="Btablefigureunbold"/>
            </w:pPr>
            <w:r w:rsidRPr="00C27B08">
              <w:t>157</w:t>
            </w:r>
          </w:p>
        </w:tc>
        <w:tc>
          <w:tcPr>
            <w:tcW w:w="1163" w:type="dxa"/>
            <w:tcBorders>
              <w:top w:val="nil"/>
              <w:bottom w:val="nil"/>
            </w:tcBorders>
            <w:tcMar>
              <w:left w:w="108" w:type="dxa"/>
            </w:tcMar>
          </w:tcPr>
          <w:p w14:paraId="050BA89B" w14:textId="77777777" w:rsidR="00A60D4B" w:rsidRPr="00EC74DB" w:rsidRDefault="00A60D4B" w:rsidP="00A60D4B">
            <w:pPr>
              <w:pStyle w:val="Btablefigureunbold"/>
            </w:pPr>
            <w:r>
              <w:t>0</w:t>
            </w:r>
          </w:p>
        </w:tc>
      </w:tr>
      <w:tr w:rsidR="00A60D4B" w:rsidRPr="00337DC9" w14:paraId="6F79EB6D" w14:textId="77777777" w:rsidTr="00A60D4B">
        <w:trPr>
          <w:cantSplit/>
          <w:trHeight w:val="270"/>
        </w:trPr>
        <w:tc>
          <w:tcPr>
            <w:tcW w:w="3261" w:type="dxa"/>
            <w:tcBorders>
              <w:top w:val="nil"/>
              <w:bottom w:val="nil"/>
            </w:tcBorders>
          </w:tcPr>
          <w:p w14:paraId="33504BD1" w14:textId="77777777" w:rsidR="00A60D4B" w:rsidRDefault="00A60D4B" w:rsidP="00A60D4B">
            <w:pPr>
              <w:pStyle w:val="Btabletextunbold"/>
            </w:pPr>
            <w:r>
              <w:t>Reducing stillbirths</w:t>
            </w:r>
          </w:p>
        </w:tc>
        <w:tc>
          <w:tcPr>
            <w:tcW w:w="1162" w:type="dxa"/>
            <w:tcBorders>
              <w:top w:val="nil"/>
              <w:bottom w:val="nil"/>
            </w:tcBorders>
            <w:tcMar>
              <w:left w:w="108" w:type="dxa"/>
            </w:tcMar>
          </w:tcPr>
          <w:p w14:paraId="2A795EC7" w14:textId="77777777" w:rsidR="00A60D4B" w:rsidRPr="00EC74DB" w:rsidRDefault="00A60D4B" w:rsidP="00A60D4B">
            <w:pPr>
              <w:pStyle w:val="Btablefigureunbold"/>
            </w:pPr>
            <w:r w:rsidRPr="00CA6087">
              <w:t>83</w:t>
            </w:r>
          </w:p>
        </w:tc>
        <w:tc>
          <w:tcPr>
            <w:tcW w:w="1162" w:type="dxa"/>
            <w:tcBorders>
              <w:top w:val="nil"/>
              <w:bottom w:val="nil"/>
            </w:tcBorders>
            <w:shd w:val="clear" w:color="auto" w:fill="auto"/>
            <w:tcMar>
              <w:left w:w="108" w:type="dxa"/>
            </w:tcMar>
          </w:tcPr>
          <w:p w14:paraId="0D35C792" w14:textId="77777777" w:rsidR="00A60D4B" w:rsidRPr="00EC74DB" w:rsidRDefault="00A60D4B" w:rsidP="00A60D4B">
            <w:pPr>
              <w:pStyle w:val="Btablefigureunbold"/>
            </w:pPr>
            <w:r>
              <w:t>0</w:t>
            </w:r>
          </w:p>
        </w:tc>
        <w:tc>
          <w:tcPr>
            <w:tcW w:w="1162" w:type="dxa"/>
            <w:tcBorders>
              <w:top w:val="nil"/>
              <w:bottom w:val="nil"/>
            </w:tcBorders>
            <w:shd w:val="clear" w:color="472D8C" w:fill="auto"/>
            <w:tcMar>
              <w:left w:w="108" w:type="dxa"/>
            </w:tcMar>
          </w:tcPr>
          <w:p w14:paraId="6335E642" w14:textId="77777777" w:rsidR="00A60D4B" w:rsidRPr="00111524" w:rsidRDefault="00A60D4B" w:rsidP="00A60D4B">
            <w:pPr>
              <w:pStyle w:val="Btablefigureunbold"/>
            </w:pPr>
            <w:r>
              <w:t>0</w:t>
            </w:r>
          </w:p>
        </w:tc>
        <w:tc>
          <w:tcPr>
            <w:tcW w:w="1162" w:type="dxa"/>
            <w:tcBorders>
              <w:top w:val="nil"/>
              <w:bottom w:val="nil"/>
            </w:tcBorders>
            <w:shd w:val="clear" w:color="auto" w:fill="auto"/>
            <w:tcMar>
              <w:left w:w="108" w:type="dxa"/>
            </w:tcMar>
          </w:tcPr>
          <w:p w14:paraId="25CF50FD"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1D62B9AD" w14:textId="77777777" w:rsidR="00A60D4B" w:rsidRPr="00EC74DB" w:rsidRDefault="00A60D4B" w:rsidP="00A60D4B">
            <w:pPr>
              <w:pStyle w:val="Btablefigureunbold"/>
            </w:pPr>
            <w:r>
              <w:t>0</w:t>
            </w:r>
          </w:p>
        </w:tc>
      </w:tr>
      <w:tr w:rsidR="00A60D4B" w:rsidRPr="00337DC9" w14:paraId="53B9D16F" w14:textId="77777777" w:rsidTr="00A60D4B">
        <w:trPr>
          <w:cantSplit/>
          <w:trHeight w:val="270"/>
        </w:trPr>
        <w:tc>
          <w:tcPr>
            <w:tcW w:w="3261" w:type="dxa"/>
            <w:tcBorders>
              <w:top w:val="nil"/>
              <w:bottom w:val="nil"/>
            </w:tcBorders>
          </w:tcPr>
          <w:p w14:paraId="33499CAD" w14:textId="77777777" w:rsidR="00A60D4B" w:rsidRDefault="00A60D4B" w:rsidP="00A60D4B">
            <w:pPr>
              <w:pStyle w:val="Btabletextunbold"/>
            </w:pPr>
            <w:r>
              <w:t>Specialist dementia care</w:t>
            </w:r>
          </w:p>
        </w:tc>
        <w:tc>
          <w:tcPr>
            <w:tcW w:w="1162" w:type="dxa"/>
            <w:tcBorders>
              <w:top w:val="nil"/>
              <w:bottom w:val="nil"/>
            </w:tcBorders>
            <w:tcMar>
              <w:left w:w="108" w:type="dxa"/>
            </w:tcMar>
          </w:tcPr>
          <w:p w14:paraId="2A0C57DD" w14:textId="77777777" w:rsidR="00A60D4B" w:rsidRPr="00EC74DB" w:rsidRDefault="00A60D4B" w:rsidP="00A60D4B">
            <w:pPr>
              <w:pStyle w:val="Btablefigureunbold"/>
            </w:pPr>
            <w:r w:rsidRPr="00E20A9C">
              <w:t>217</w:t>
            </w:r>
          </w:p>
        </w:tc>
        <w:tc>
          <w:tcPr>
            <w:tcW w:w="1162" w:type="dxa"/>
            <w:tcBorders>
              <w:top w:val="nil"/>
              <w:bottom w:val="nil"/>
            </w:tcBorders>
            <w:shd w:val="clear" w:color="auto" w:fill="auto"/>
            <w:tcMar>
              <w:left w:w="108" w:type="dxa"/>
            </w:tcMar>
          </w:tcPr>
          <w:p w14:paraId="369389E9" w14:textId="77777777" w:rsidR="00A60D4B" w:rsidRPr="00EC74DB" w:rsidRDefault="00A60D4B" w:rsidP="00A60D4B">
            <w:pPr>
              <w:pStyle w:val="Btablefigureunbold"/>
            </w:pPr>
            <w:r w:rsidRPr="00E20A9C">
              <w:t>264</w:t>
            </w:r>
          </w:p>
        </w:tc>
        <w:tc>
          <w:tcPr>
            <w:tcW w:w="1162" w:type="dxa"/>
            <w:tcBorders>
              <w:top w:val="nil"/>
              <w:bottom w:val="nil"/>
            </w:tcBorders>
            <w:shd w:val="clear" w:color="472D8C" w:fill="auto"/>
            <w:tcMar>
              <w:left w:w="108" w:type="dxa"/>
            </w:tcMar>
          </w:tcPr>
          <w:p w14:paraId="551E7434" w14:textId="77777777" w:rsidR="00A60D4B" w:rsidRPr="00CA6087" w:rsidRDefault="00A60D4B" w:rsidP="00A60D4B">
            <w:pPr>
              <w:pStyle w:val="Btablefigureunbold"/>
            </w:pPr>
            <w:r w:rsidRPr="00CA6087">
              <w:t>~</w:t>
            </w:r>
          </w:p>
        </w:tc>
        <w:tc>
          <w:tcPr>
            <w:tcW w:w="1162" w:type="dxa"/>
            <w:tcBorders>
              <w:top w:val="nil"/>
              <w:bottom w:val="nil"/>
            </w:tcBorders>
            <w:shd w:val="clear" w:color="auto" w:fill="auto"/>
            <w:tcMar>
              <w:left w:w="108" w:type="dxa"/>
            </w:tcMar>
          </w:tcPr>
          <w:p w14:paraId="0C5CD073" w14:textId="77777777" w:rsidR="00A60D4B" w:rsidRPr="00CA6087" w:rsidRDefault="00A60D4B" w:rsidP="00A60D4B">
            <w:pPr>
              <w:pStyle w:val="Btablefigureunbold"/>
            </w:pPr>
            <w:r w:rsidRPr="00CA6087">
              <w:t>~</w:t>
            </w:r>
          </w:p>
        </w:tc>
        <w:tc>
          <w:tcPr>
            <w:tcW w:w="1163" w:type="dxa"/>
            <w:tcBorders>
              <w:top w:val="nil"/>
              <w:bottom w:val="nil"/>
            </w:tcBorders>
            <w:tcMar>
              <w:left w:w="108" w:type="dxa"/>
            </w:tcMar>
          </w:tcPr>
          <w:p w14:paraId="5FB59249" w14:textId="77777777" w:rsidR="00A60D4B" w:rsidRPr="00EC74DB" w:rsidRDefault="00A60D4B" w:rsidP="00A60D4B">
            <w:pPr>
              <w:pStyle w:val="Btablefigureunbold"/>
            </w:pPr>
            <w:r>
              <w:t>0</w:t>
            </w:r>
          </w:p>
        </w:tc>
      </w:tr>
      <w:tr w:rsidR="00A60D4B" w:rsidRPr="00337DC9" w14:paraId="0B53A4F5" w14:textId="77777777" w:rsidTr="00A60D4B">
        <w:trPr>
          <w:cantSplit/>
          <w:trHeight w:val="270"/>
        </w:trPr>
        <w:tc>
          <w:tcPr>
            <w:tcW w:w="3261" w:type="dxa"/>
            <w:tcBorders>
              <w:top w:val="nil"/>
              <w:bottom w:val="nil"/>
            </w:tcBorders>
          </w:tcPr>
          <w:p w14:paraId="1AA48424" w14:textId="77777777" w:rsidR="00A60D4B" w:rsidRDefault="00A60D4B" w:rsidP="00A60D4B">
            <w:pPr>
              <w:pStyle w:val="Btabletextunbold"/>
            </w:pPr>
            <w:r w:rsidRPr="003E16A9">
              <w:t>Vaccine-preventable diseases surveillance</w:t>
            </w:r>
          </w:p>
        </w:tc>
        <w:tc>
          <w:tcPr>
            <w:tcW w:w="1162" w:type="dxa"/>
            <w:tcBorders>
              <w:top w:val="nil"/>
              <w:bottom w:val="nil"/>
            </w:tcBorders>
            <w:tcMar>
              <w:left w:w="108" w:type="dxa"/>
            </w:tcMar>
          </w:tcPr>
          <w:p w14:paraId="346E1360" w14:textId="77777777" w:rsidR="00A60D4B" w:rsidRPr="00EC74DB" w:rsidRDefault="00A60D4B" w:rsidP="00A60D4B">
            <w:pPr>
              <w:pStyle w:val="Btablefigureunbold"/>
            </w:pPr>
            <w:r w:rsidRPr="00D9587C">
              <w:t>44</w:t>
            </w:r>
          </w:p>
        </w:tc>
        <w:tc>
          <w:tcPr>
            <w:tcW w:w="1162" w:type="dxa"/>
            <w:tcBorders>
              <w:top w:val="nil"/>
              <w:bottom w:val="nil"/>
            </w:tcBorders>
            <w:shd w:val="clear" w:color="auto" w:fill="auto"/>
            <w:tcMar>
              <w:left w:w="108" w:type="dxa"/>
            </w:tcMar>
          </w:tcPr>
          <w:p w14:paraId="7DEA097C" w14:textId="77777777" w:rsidR="00A60D4B" w:rsidRPr="00EC74DB" w:rsidRDefault="00A60D4B" w:rsidP="00A60D4B">
            <w:pPr>
              <w:pStyle w:val="Btablefigureunbold"/>
            </w:pPr>
            <w:r w:rsidRPr="00D9587C">
              <w:t>45</w:t>
            </w:r>
          </w:p>
        </w:tc>
        <w:tc>
          <w:tcPr>
            <w:tcW w:w="1162" w:type="dxa"/>
            <w:tcBorders>
              <w:top w:val="nil"/>
              <w:bottom w:val="nil"/>
            </w:tcBorders>
            <w:shd w:val="clear" w:color="472D8C" w:fill="auto"/>
            <w:tcMar>
              <w:left w:w="108" w:type="dxa"/>
            </w:tcMar>
          </w:tcPr>
          <w:p w14:paraId="167AE26B" w14:textId="77777777" w:rsidR="00A60D4B" w:rsidRPr="00111524" w:rsidRDefault="00A60D4B" w:rsidP="00A60D4B">
            <w:pPr>
              <w:pStyle w:val="Btablefigureunbold"/>
            </w:pPr>
            <w:r w:rsidRPr="00D9587C">
              <w:t>45</w:t>
            </w:r>
          </w:p>
        </w:tc>
        <w:tc>
          <w:tcPr>
            <w:tcW w:w="1162" w:type="dxa"/>
            <w:tcBorders>
              <w:top w:val="nil"/>
              <w:bottom w:val="nil"/>
            </w:tcBorders>
            <w:shd w:val="clear" w:color="auto" w:fill="auto"/>
            <w:tcMar>
              <w:left w:w="108" w:type="dxa"/>
            </w:tcMar>
          </w:tcPr>
          <w:p w14:paraId="034CECD4" w14:textId="77777777" w:rsidR="00A60D4B" w:rsidRPr="00EC74DB" w:rsidRDefault="00A60D4B" w:rsidP="00A60D4B">
            <w:pPr>
              <w:pStyle w:val="Btablefigureunbold"/>
            </w:pPr>
            <w:r w:rsidRPr="00D9587C">
              <w:t>46</w:t>
            </w:r>
          </w:p>
        </w:tc>
        <w:tc>
          <w:tcPr>
            <w:tcW w:w="1163" w:type="dxa"/>
            <w:tcBorders>
              <w:top w:val="nil"/>
              <w:bottom w:val="nil"/>
            </w:tcBorders>
            <w:tcMar>
              <w:left w:w="108" w:type="dxa"/>
            </w:tcMar>
          </w:tcPr>
          <w:p w14:paraId="39263F35" w14:textId="77777777" w:rsidR="00A60D4B" w:rsidRPr="00EC74DB" w:rsidRDefault="00A60D4B" w:rsidP="00A60D4B">
            <w:pPr>
              <w:pStyle w:val="Btablefigureunbold"/>
            </w:pPr>
            <w:r>
              <w:t>0</w:t>
            </w:r>
          </w:p>
        </w:tc>
      </w:tr>
      <w:tr w:rsidR="00A60D4B" w:rsidRPr="00337DC9" w14:paraId="52F0E42C" w14:textId="77777777" w:rsidTr="00A60D4B">
        <w:trPr>
          <w:cantSplit/>
          <w:trHeight w:val="270"/>
        </w:trPr>
        <w:tc>
          <w:tcPr>
            <w:tcW w:w="3261" w:type="dxa"/>
            <w:tcBorders>
              <w:top w:val="nil"/>
              <w:bottom w:val="nil"/>
            </w:tcBorders>
          </w:tcPr>
          <w:p w14:paraId="22EC072C" w14:textId="77777777" w:rsidR="00A60D4B" w:rsidRDefault="00A60D4B" w:rsidP="00A60D4B">
            <w:pPr>
              <w:pStyle w:val="Btabletextbold"/>
              <w:keepNext/>
            </w:pPr>
            <w:r>
              <w:t>Health Infrastructure NPPs</w:t>
            </w:r>
          </w:p>
        </w:tc>
        <w:tc>
          <w:tcPr>
            <w:tcW w:w="1162" w:type="dxa"/>
            <w:tcBorders>
              <w:top w:val="nil"/>
              <w:bottom w:val="nil"/>
            </w:tcBorders>
            <w:tcMar>
              <w:left w:w="108" w:type="dxa"/>
            </w:tcMar>
          </w:tcPr>
          <w:p w14:paraId="53DBF75A" w14:textId="77777777" w:rsidR="00A60D4B" w:rsidRPr="00EC74DB" w:rsidRDefault="00A60D4B" w:rsidP="00A60D4B">
            <w:pPr>
              <w:pStyle w:val="Btablefigureunbold"/>
            </w:pPr>
          </w:p>
        </w:tc>
        <w:tc>
          <w:tcPr>
            <w:tcW w:w="1162" w:type="dxa"/>
            <w:tcBorders>
              <w:top w:val="nil"/>
              <w:bottom w:val="nil"/>
            </w:tcBorders>
            <w:shd w:val="clear" w:color="auto" w:fill="auto"/>
            <w:tcMar>
              <w:left w:w="108" w:type="dxa"/>
            </w:tcMar>
          </w:tcPr>
          <w:p w14:paraId="38AD25C4" w14:textId="77777777" w:rsidR="00A60D4B" w:rsidRPr="00EC74DB" w:rsidRDefault="00A60D4B" w:rsidP="00A60D4B">
            <w:pPr>
              <w:pStyle w:val="Btablefigureunbold"/>
            </w:pPr>
          </w:p>
        </w:tc>
        <w:tc>
          <w:tcPr>
            <w:tcW w:w="1162" w:type="dxa"/>
            <w:tcBorders>
              <w:top w:val="nil"/>
              <w:bottom w:val="nil"/>
            </w:tcBorders>
            <w:shd w:val="clear" w:color="472D8C" w:fill="auto"/>
            <w:tcMar>
              <w:left w:w="108" w:type="dxa"/>
            </w:tcMar>
          </w:tcPr>
          <w:p w14:paraId="658EA385" w14:textId="77777777" w:rsidR="00A60D4B" w:rsidRPr="00111524" w:rsidRDefault="00A60D4B" w:rsidP="00A60D4B">
            <w:pPr>
              <w:pStyle w:val="Btablefigureunbold"/>
            </w:pPr>
          </w:p>
        </w:tc>
        <w:tc>
          <w:tcPr>
            <w:tcW w:w="1162" w:type="dxa"/>
            <w:tcBorders>
              <w:top w:val="nil"/>
              <w:bottom w:val="nil"/>
            </w:tcBorders>
            <w:shd w:val="clear" w:color="auto" w:fill="auto"/>
            <w:tcMar>
              <w:left w:w="108" w:type="dxa"/>
            </w:tcMar>
          </w:tcPr>
          <w:p w14:paraId="2C2424EC" w14:textId="77777777" w:rsidR="00A60D4B" w:rsidRPr="00EC74DB" w:rsidRDefault="00A60D4B" w:rsidP="00A60D4B">
            <w:pPr>
              <w:pStyle w:val="Btablefigureunbold"/>
            </w:pPr>
          </w:p>
        </w:tc>
        <w:tc>
          <w:tcPr>
            <w:tcW w:w="1163" w:type="dxa"/>
            <w:tcBorders>
              <w:top w:val="nil"/>
              <w:bottom w:val="nil"/>
            </w:tcBorders>
            <w:tcMar>
              <w:left w:w="108" w:type="dxa"/>
            </w:tcMar>
          </w:tcPr>
          <w:p w14:paraId="01A93207" w14:textId="77777777" w:rsidR="00A60D4B" w:rsidRPr="00EC74DB" w:rsidRDefault="00A60D4B" w:rsidP="00A60D4B">
            <w:pPr>
              <w:pStyle w:val="Btablefigureunbold"/>
            </w:pPr>
          </w:p>
        </w:tc>
      </w:tr>
      <w:tr w:rsidR="00A60D4B" w:rsidRPr="00337DC9" w14:paraId="390E87B4" w14:textId="77777777" w:rsidTr="00A60D4B">
        <w:trPr>
          <w:cantSplit/>
          <w:trHeight w:val="270"/>
        </w:trPr>
        <w:tc>
          <w:tcPr>
            <w:tcW w:w="3261" w:type="dxa"/>
            <w:tcBorders>
              <w:top w:val="nil"/>
              <w:bottom w:val="nil"/>
            </w:tcBorders>
          </w:tcPr>
          <w:p w14:paraId="7E6E5D93" w14:textId="77777777" w:rsidR="00A60D4B" w:rsidRDefault="00A60D4B" w:rsidP="00A60D4B">
            <w:pPr>
              <w:pStyle w:val="Btabletextunbold"/>
            </w:pPr>
            <w:r>
              <w:t>Community Health, Hospitals and Infrastructure projects</w:t>
            </w:r>
          </w:p>
        </w:tc>
        <w:tc>
          <w:tcPr>
            <w:tcW w:w="1162" w:type="dxa"/>
            <w:tcBorders>
              <w:top w:val="nil"/>
              <w:bottom w:val="nil"/>
            </w:tcBorders>
            <w:tcMar>
              <w:left w:w="108" w:type="dxa"/>
            </w:tcMar>
          </w:tcPr>
          <w:p w14:paraId="6B08C3CA" w14:textId="77777777" w:rsidR="00A60D4B" w:rsidRPr="00EC74DB" w:rsidRDefault="00A60D4B" w:rsidP="00A60D4B">
            <w:pPr>
              <w:pStyle w:val="Btablefigureunbold"/>
            </w:pPr>
            <w:r w:rsidRPr="00C3043E">
              <w:t>14,960</w:t>
            </w:r>
          </w:p>
        </w:tc>
        <w:tc>
          <w:tcPr>
            <w:tcW w:w="1162" w:type="dxa"/>
            <w:tcBorders>
              <w:top w:val="nil"/>
              <w:bottom w:val="nil"/>
            </w:tcBorders>
            <w:shd w:val="clear" w:color="auto" w:fill="auto"/>
            <w:tcMar>
              <w:left w:w="108" w:type="dxa"/>
            </w:tcMar>
          </w:tcPr>
          <w:p w14:paraId="4A4C1218" w14:textId="77777777" w:rsidR="00A60D4B" w:rsidRPr="00EC74DB" w:rsidRDefault="00A60D4B" w:rsidP="00A60D4B">
            <w:pPr>
              <w:pStyle w:val="Btablefigureunbold"/>
            </w:pPr>
            <w:r w:rsidRPr="00C3043E">
              <w:t>6,480</w:t>
            </w:r>
          </w:p>
        </w:tc>
        <w:tc>
          <w:tcPr>
            <w:tcW w:w="1162" w:type="dxa"/>
            <w:tcBorders>
              <w:top w:val="nil"/>
              <w:bottom w:val="nil"/>
            </w:tcBorders>
            <w:shd w:val="clear" w:color="472D8C" w:fill="auto"/>
            <w:tcMar>
              <w:left w:w="108" w:type="dxa"/>
            </w:tcMar>
          </w:tcPr>
          <w:p w14:paraId="635F0A58" w14:textId="77777777" w:rsidR="00A60D4B" w:rsidRPr="00111524" w:rsidRDefault="00A60D4B" w:rsidP="00A60D4B">
            <w:pPr>
              <w:pStyle w:val="Btablefigureunbold"/>
            </w:pPr>
            <w:r w:rsidRPr="00C3043E">
              <w:t>8,800</w:t>
            </w:r>
          </w:p>
        </w:tc>
        <w:tc>
          <w:tcPr>
            <w:tcW w:w="1162" w:type="dxa"/>
            <w:tcBorders>
              <w:top w:val="nil"/>
              <w:bottom w:val="nil"/>
            </w:tcBorders>
            <w:shd w:val="clear" w:color="auto" w:fill="auto"/>
            <w:tcMar>
              <w:left w:w="108" w:type="dxa"/>
            </w:tcMar>
          </w:tcPr>
          <w:p w14:paraId="501CB3D3" w14:textId="77777777" w:rsidR="00A60D4B" w:rsidRPr="00EC74DB" w:rsidRDefault="00A60D4B" w:rsidP="00A60D4B">
            <w:pPr>
              <w:pStyle w:val="Btablefigureunbold"/>
            </w:pPr>
            <w:r w:rsidRPr="00C3043E">
              <w:t>4,000</w:t>
            </w:r>
          </w:p>
        </w:tc>
        <w:tc>
          <w:tcPr>
            <w:tcW w:w="1163" w:type="dxa"/>
            <w:tcBorders>
              <w:top w:val="nil"/>
              <w:bottom w:val="nil"/>
            </w:tcBorders>
            <w:tcMar>
              <w:left w:w="108" w:type="dxa"/>
            </w:tcMar>
          </w:tcPr>
          <w:p w14:paraId="782B8808" w14:textId="77777777" w:rsidR="00A60D4B" w:rsidRPr="00EC74DB" w:rsidRDefault="00A60D4B" w:rsidP="00A60D4B">
            <w:pPr>
              <w:pStyle w:val="Btablefigureunbold"/>
            </w:pPr>
            <w:r>
              <w:t>0</w:t>
            </w:r>
          </w:p>
        </w:tc>
      </w:tr>
      <w:tr w:rsidR="00A60D4B" w:rsidRPr="00337DC9" w14:paraId="3069263B" w14:textId="77777777" w:rsidTr="00A60D4B">
        <w:trPr>
          <w:cantSplit/>
          <w:trHeight w:val="270"/>
        </w:trPr>
        <w:tc>
          <w:tcPr>
            <w:tcW w:w="3261" w:type="dxa"/>
            <w:tcBorders>
              <w:top w:val="nil"/>
              <w:bottom w:val="nil"/>
            </w:tcBorders>
          </w:tcPr>
          <w:p w14:paraId="7D78D456" w14:textId="77777777" w:rsidR="00A60D4B" w:rsidRDefault="00A60D4B" w:rsidP="00A60D4B">
            <w:pPr>
              <w:pStyle w:val="Btabletextbold"/>
              <w:keepNext/>
            </w:pPr>
            <w:r>
              <w:t>Other Health NPPs</w:t>
            </w:r>
          </w:p>
        </w:tc>
        <w:tc>
          <w:tcPr>
            <w:tcW w:w="1162" w:type="dxa"/>
            <w:tcBorders>
              <w:top w:val="nil"/>
              <w:bottom w:val="nil"/>
            </w:tcBorders>
            <w:tcMar>
              <w:left w:w="108" w:type="dxa"/>
            </w:tcMar>
          </w:tcPr>
          <w:p w14:paraId="1F76E02E" w14:textId="77777777" w:rsidR="00A60D4B" w:rsidRPr="00EC74DB" w:rsidRDefault="00A60D4B" w:rsidP="00A60D4B">
            <w:pPr>
              <w:pStyle w:val="Btablefigureunbold"/>
            </w:pPr>
          </w:p>
        </w:tc>
        <w:tc>
          <w:tcPr>
            <w:tcW w:w="1162" w:type="dxa"/>
            <w:tcBorders>
              <w:top w:val="nil"/>
              <w:bottom w:val="nil"/>
            </w:tcBorders>
            <w:shd w:val="clear" w:color="auto" w:fill="auto"/>
            <w:tcMar>
              <w:left w:w="108" w:type="dxa"/>
            </w:tcMar>
          </w:tcPr>
          <w:p w14:paraId="2E82FEC8" w14:textId="77777777" w:rsidR="00A60D4B" w:rsidRPr="00EC74DB" w:rsidRDefault="00A60D4B" w:rsidP="00A60D4B">
            <w:pPr>
              <w:pStyle w:val="Btablefigureunbold"/>
            </w:pPr>
          </w:p>
        </w:tc>
        <w:tc>
          <w:tcPr>
            <w:tcW w:w="1162" w:type="dxa"/>
            <w:tcBorders>
              <w:top w:val="nil"/>
              <w:bottom w:val="nil"/>
            </w:tcBorders>
            <w:shd w:val="clear" w:color="472D8C" w:fill="auto"/>
            <w:tcMar>
              <w:left w:w="108" w:type="dxa"/>
            </w:tcMar>
          </w:tcPr>
          <w:p w14:paraId="72750FBA" w14:textId="77777777" w:rsidR="00A60D4B" w:rsidRPr="00111524" w:rsidRDefault="00A60D4B" w:rsidP="00A60D4B">
            <w:pPr>
              <w:pStyle w:val="Btablefigureunbold"/>
            </w:pPr>
          </w:p>
        </w:tc>
        <w:tc>
          <w:tcPr>
            <w:tcW w:w="1162" w:type="dxa"/>
            <w:tcBorders>
              <w:top w:val="nil"/>
              <w:bottom w:val="nil"/>
            </w:tcBorders>
            <w:shd w:val="clear" w:color="auto" w:fill="auto"/>
            <w:tcMar>
              <w:left w:w="108" w:type="dxa"/>
            </w:tcMar>
          </w:tcPr>
          <w:p w14:paraId="0FE940F1" w14:textId="77777777" w:rsidR="00A60D4B" w:rsidRPr="00EC74DB" w:rsidRDefault="00A60D4B" w:rsidP="00A60D4B">
            <w:pPr>
              <w:pStyle w:val="Btablefigureunbold"/>
            </w:pPr>
          </w:p>
        </w:tc>
        <w:tc>
          <w:tcPr>
            <w:tcW w:w="1163" w:type="dxa"/>
            <w:tcBorders>
              <w:top w:val="nil"/>
              <w:bottom w:val="nil"/>
            </w:tcBorders>
            <w:tcMar>
              <w:left w:w="108" w:type="dxa"/>
            </w:tcMar>
          </w:tcPr>
          <w:p w14:paraId="026D2676" w14:textId="77777777" w:rsidR="00A60D4B" w:rsidRPr="00EC74DB" w:rsidRDefault="00A60D4B" w:rsidP="00A60D4B">
            <w:pPr>
              <w:pStyle w:val="Btablefigureunbold"/>
            </w:pPr>
          </w:p>
        </w:tc>
      </w:tr>
      <w:tr w:rsidR="00A60D4B" w:rsidRPr="00337DC9" w14:paraId="49DA5848" w14:textId="77777777" w:rsidTr="00A60D4B">
        <w:trPr>
          <w:cantSplit/>
          <w:trHeight w:val="270"/>
        </w:trPr>
        <w:tc>
          <w:tcPr>
            <w:tcW w:w="3261" w:type="dxa"/>
            <w:tcBorders>
              <w:top w:val="nil"/>
              <w:bottom w:val="nil"/>
            </w:tcBorders>
          </w:tcPr>
          <w:p w14:paraId="4CEC631A" w14:textId="77777777" w:rsidR="00A60D4B" w:rsidRDefault="00A60D4B" w:rsidP="00A60D4B">
            <w:pPr>
              <w:pStyle w:val="Btabletextunbold"/>
            </w:pPr>
            <w:r w:rsidRPr="009727E9">
              <w:t>Aboriginal and Torres Strait Islander National Subsidised Spectacles Scheme</w:t>
            </w:r>
          </w:p>
        </w:tc>
        <w:tc>
          <w:tcPr>
            <w:tcW w:w="1162" w:type="dxa"/>
            <w:tcBorders>
              <w:top w:val="nil"/>
              <w:bottom w:val="nil"/>
            </w:tcBorders>
            <w:tcMar>
              <w:left w:w="108" w:type="dxa"/>
            </w:tcMar>
          </w:tcPr>
          <w:p w14:paraId="23A2B9BC" w14:textId="77777777" w:rsidR="00A60D4B" w:rsidRPr="00230D9D" w:rsidRDefault="00A60D4B" w:rsidP="00A60D4B">
            <w:pPr>
              <w:pStyle w:val="Btablefigureunbold"/>
            </w:pPr>
            <w:r>
              <w:t>34</w:t>
            </w:r>
          </w:p>
        </w:tc>
        <w:tc>
          <w:tcPr>
            <w:tcW w:w="1162" w:type="dxa"/>
            <w:tcBorders>
              <w:top w:val="nil"/>
              <w:bottom w:val="nil"/>
            </w:tcBorders>
            <w:shd w:val="clear" w:color="auto" w:fill="auto"/>
            <w:tcMar>
              <w:left w:w="108" w:type="dxa"/>
            </w:tcMar>
          </w:tcPr>
          <w:p w14:paraId="34BC1A3E" w14:textId="77777777" w:rsidR="00A60D4B" w:rsidRPr="00230D9D" w:rsidRDefault="00A60D4B" w:rsidP="00A60D4B">
            <w:pPr>
              <w:pStyle w:val="Btablefigureunbold"/>
            </w:pPr>
            <w:r>
              <w:t>0</w:t>
            </w:r>
          </w:p>
        </w:tc>
        <w:tc>
          <w:tcPr>
            <w:tcW w:w="1162" w:type="dxa"/>
            <w:tcBorders>
              <w:top w:val="nil"/>
              <w:bottom w:val="nil"/>
            </w:tcBorders>
            <w:shd w:val="clear" w:color="472D8C" w:fill="auto"/>
            <w:tcMar>
              <w:left w:w="108" w:type="dxa"/>
            </w:tcMar>
          </w:tcPr>
          <w:p w14:paraId="2F479829" w14:textId="77777777" w:rsidR="00A60D4B" w:rsidRPr="00230D9D" w:rsidRDefault="00A60D4B" w:rsidP="00A60D4B">
            <w:pPr>
              <w:pStyle w:val="Btablefigureunbold"/>
            </w:pPr>
            <w:r>
              <w:t>0</w:t>
            </w:r>
          </w:p>
        </w:tc>
        <w:tc>
          <w:tcPr>
            <w:tcW w:w="1162" w:type="dxa"/>
            <w:tcBorders>
              <w:top w:val="nil"/>
              <w:bottom w:val="nil"/>
            </w:tcBorders>
            <w:shd w:val="clear" w:color="auto" w:fill="auto"/>
            <w:tcMar>
              <w:left w:w="108" w:type="dxa"/>
            </w:tcMar>
          </w:tcPr>
          <w:p w14:paraId="68A53C5A" w14:textId="77777777" w:rsidR="00A60D4B" w:rsidRPr="00230D9D" w:rsidRDefault="00A60D4B" w:rsidP="00A60D4B">
            <w:pPr>
              <w:pStyle w:val="Btablefigureunbold"/>
            </w:pPr>
            <w:r>
              <w:t>0</w:t>
            </w:r>
          </w:p>
        </w:tc>
        <w:tc>
          <w:tcPr>
            <w:tcW w:w="1163" w:type="dxa"/>
            <w:tcBorders>
              <w:top w:val="nil"/>
              <w:bottom w:val="nil"/>
            </w:tcBorders>
            <w:tcMar>
              <w:left w:w="108" w:type="dxa"/>
            </w:tcMar>
          </w:tcPr>
          <w:p w14:paraId="26093245" w14:textId="77777777" w:rsidR="00A60D4B" w:rsidRPr="00230D9D" w:rsidRDefault="00A60D4B" w:rsidP="00A60D4B">
            <w:pPr>
              <w:pStyle w:val="Btablefigureunbold"/>
            </w:pPr>
            <w:r>
              <w:t>0</w:t>
            </w:r>
          </w:p>
        </w:tc>
      </w:tr>
      <w:tr w:rsidR="00A60D4B" w:rsidRPr="00337DC9" w14:paraId="23C57600" w14:textId="77777777" w:rsidTr="00A60D4B">
        <w:trPr>
          <w:cantSplit/>
          <w:trHeight w:val="270"/>
        </w:trPr>
        <w:tc>
          <w:tcPr>
            <w:tcW w:w="3261" w:type="dxa"/>
            <w:tcBorders>
              <w:top w:val="nil"/>
              <w:bottom w:val="nil"/>
            </w:tcBorders>
          </w:tcPr>
          <w:p w14:paraId="5879AC7A" w14:textId="77777777" w:rsidR="00A60D4B" w:rsidRDefault="00A60D4B" w:rsidP="00A60D4B">
            <w:pPr>
              <w:pStyle w:val="Btabletextunbold"/>
            </w:pPr>
            <w:r>
              <w:t>Encourage more clinical trials in Australia</w:t>
            </w:r>
          </w:p>
        </w:tc>
        <w:tc>
          <w:tcPr>
            <w:tcW w:w="1162" w:type="dxa"/>
            <w:tcBorders>
              <w:top w:val="nil"/>
              <w:bottom w:val="nil"/>
            </w:tcBorders>
            <w:tcMar>
              <w:left w:w="108" w:type="dxa"/>
            </w:tcMar>
          </w:tcPr>
          <w:p w14:paraId="4EDABADB" w14:textId="77777777" w:rsidR="00A60D4B" w:rsidRPr="00EC74DB" w:rsidRDefault="00A60D4B" w:rsidP="00A60D4B">
            <w:pPr>
              <w:pStyle w:val="Btablefigureunbold"/>
            </w:pPr>
            <w:r w:rsidRPr="00230D9D">
              <w:t>153</w:t>
            </w:r>
          </w:p>
        </w:tc>
        <w:tc>
          <w:tcPr>
            <w:tcW w:w="1162" w:type="dxa"/>
            <w:tcBorders>
              <w:top w:val="nil"/>
              <w:bottom w:val="nil"/>
            </w:tcBorders>
            <w:shd w:val="clear" w:color="auto" w:fill="auto"/>
            <w:tcMar>
              <w:left w:w="108" w:type="dxa"/>
            </w:tcMar>
          </w:tcPr>
          <w:p w14:paraId="383F4B09" w14:textId="77777777" w:rsidR="00A60D4B" w:rsidRPr="00230D9D" w:rsidRDefault="00A60D4B" w:rsidP="00A60D4B">
            <w:pPr>
              <w:pStyle w:val="Btablefigureunbold"/>
            </w:pPr>
            <w:r w:rsidRPr="00230D9D">
              <w:t>~</w:t>
            </w:r>
          </w:p>
        </w:tc>
        <w:tc>
          <w:tcPr>
            <w:tcW w:w="1162" w:type="dxa"/>
            <w:tcBorders>
              <w:top w:val="nil"/>
              <w:bottom w:val="nil"/>
            </w:tcBorders>
            <w:shd w:val="clear" w:color="472D8C" w:fill="auto"/>
            <w:tcMar>
              <w:left w:w="108" w:type="dxa"/>
            </w:tcMar>
          </w:tcPr>
          <w:p w14:paraId="6F2E6C30" w14:textId="77777777" w:rsidR="00A60D4B" w:rsidRPr="00230D9D" w:rsidRDefault="00A60D4B" w:rsidP="00A60D4B">
            <w:pPr>
              <w:pStyle w:val="Btablefigureunbold"/>
            </w:pPr>
            <w:r w:rsidRPr="00230D9D">
              <w:t>~</w:t>
            </w:r>
          </w:p>
        </w:tc>
        <w:tc>
          <w:tcPr>
            <w:tcW w:w="1162" w:type="dxa"/>
            <w:tcBorders>
              <w:top w:val="nil"/>
              <w:bottom w:val="nil"/>
            </w:tcBorders>
            <w:shd w:val="clear" w:color="auto" w:fill="auto"/>
            <w:tcMar>
              <w:left w:w="108" w:type="dxa"/>
            </w:tcMar>
          </w:tcPr>
          <w:p w14:paraId="62F9580F" w14:textId="77777777" w:rsidR="00A60D4B" w:rsidRPr="00230D9D" w:rsidRDefault="00A60D4B" w:rsidP="00A60D4B">
            <w:pPr>
              <w:pStyle w:val="Btablefigureunbold"/>
            </w:pPr>
            <w:r w:rsidRPr="00230D9D">
              <w:t>~</w:t>
            </w:r>
          </w:p>
        </w:tc>
        <w:tc>
          <w:tcPr>
            <w:tcW w:w="1163" w:type="dxa"/>
            <w:tcBorders>
              <w:top w:val="nil"/>
              <w:bottom w:val="nil"/>
            </w:tcBorders>
            <w:tcMar>
              <w:left w:w="108" w:type="dxa"/>
            </w:tcMar>
          </w:tcPr>
          <w:p w14:paraId="12B42393" w14:textId="77777777" w:rsidR="00A60D4B" w:rsidRPr="00230D9D" w:rsidRDefault="00A60D4B" w:rsidP="00A60D4B">
            <w:pPr>
              <w:pStyle w:val="Btablefigureunbold"/>
            </w:pPr>
            <w:r w:rsidRPr="00230D9D">
              <w:t>~</w:t>
            </w:r>
          </w:p>
        </w:tc>
      </w:tr>
      <w:tr w:rsidR="00A60D4B" w:rsidRPr="00337DC9" w14:paraId="5127FA81" w14:textId="77777777" w:rsidTr="00A60D4B">
        <w:trPr>
          <w:cantSplit/>
          <w:trHeight w:val="270"/>
        </w:trPr>
        <w:tc>
          <w:tcPr>
            <w:tcW w:w="3261" w:type="dxa"/>
            <w:tcBorders>
              <w:top w:val="nil"/>
              <w:bottom w:val="nil"/>
            </w:tcBorders>
          </w:tcPr>
          <w:p w14:paraId="694CAF4C" w14:textId="77777777" w:rsidR="00A60D4B" w:rsidRDefault="00A60D4B" w:rsidP="00A60D4B">
            <w:pPr>
              <w:pStyle w:val="Btabletextunbold"/>
            </w:pPr>
            <w:r>
              <w:t>Essential vaccines</w:t>
            </w:r>
          </w:p>
        </w:tc>
        <w:tc>
          <w:tcPr>
            <w:tcW w:w="1162" w:type="dxa"/>
            <w:tcBorders>
              <w:top w:val="nil"/>
              <w:bottom w:val="nil"/>
            </w:tcBorders>
            <w:tcMar>
              <w:left w:w="108" w:type="dxa"/>
            </w:tcMar>
          </w:tcPr>
          <w:p w14:paraId="3DEDD385" w14:textId="77777777" w:rsidR="00A60D4B" w:rsidRPr="00EC74DB" w:rsidRDefault="00A60D4B" w:rsidP="00A60D4B">
            <w:pPr>
              <w:pStyle w:val="Btablefigureunbold"/>
            </w:pPr>
            <w:r w:rsidRPr="00D25CFF">
              <w:t>619</w:t>
            </w:r>
          </w:p>
        </w:tc>
        <w:tc>
          <w:tcPr>
            <w:tcW w:w="1162" w:type="dxa"/>
            <w:tcBorders>
              <w:top w:val="nil"/>
              <w:bottom w:val="nil"/>
            </w:tcBorders>
            <w:shd w:val="clear" w:color="auto" w:fill="auto"/>
            <w:tcMar>
              <w:left w:w="108" w:type="dxa"/>
            </w:tcMar>
          </w:tcPr>
          <w:p w14:paraId="67D87825" w14:textId="77777777" w:rsidR="00A60D4B" w:rsidRPr="00EC74DB" w:rsidRDefault="00A60D4B" w:rsidP="00A60D4B">
            <w:pPr>
              <w:pStyle w:val="Btablefigureunbold"/>
            </w:pPr>
            <w:r w:rsidRPr="00D25CFF">
              <w:t>675</w:t>
            </w:r>
          </w:p>
        </w:tc>
        <w:tc>
          <w:tcPr>
            <w:tcW w:w="1162" w:type="dxa"/>
            <w:tcBorders>
              <w:top w:val="nil"/>
              <w:bottom w:val="nil"/>
            </w:tcBorders>
            <w:shd w:val="clear" w:color="472D8C" w:fill="auto"/>
            <w:tcMar>
              <w:left w:w="108" w:type="dxa"/>
            </w:tcMar>
          </w:tcPr>
          <w:p w14:paraId="768613AE" w14:textId="77777777" w:rsidR="00A60D4B" w:rsidRPr="00111524" w:rsidRDefault="00A60D4B" w:rsidP="00A60D4B">
            <w:pPr>
              <w:pStyle w:val="Btablefigureunbold"/>
            </w:pPr>
            <w:r w:rsidRPr="00D25CFF">
              <w:t>685</w:t>
            </w:r>
          </w:p>
        </w:tc>
        <w:tc>
          <w:tcPr>
            <w:tcW w:w="1162" w:type="dxa"/>
            <w:tcBorders>
              <w:top w:val="nil"/>
              <w:bottom w:val="nil"/>
            </w:tcBorders>
            <w:shd w:val="clear" w:color="auto" w:fill="auto"/>
            <w:tcMar>
              <w:left w:w="108" w:type="dxa"/>
            </w:tcMar>
          </w:tcPr>
          <w:p w14:paraId="10ADFE2A" w14:textId="77777777" w:rsidR="00A60D4B" w:rsidRPr="00EC74DB" w:rsidRDefault="00A60D4B" w:rsidP="00A60D4B">
            <w:pPr>
              <w:pStyle w:val="Btablefigureunbold"/>
            </w:pPr>
            <w:r w:rsidRPr="00D25CFF">
              <w:t>684</w:t>
            </w:r>
          </w:p>
        </w:tc>
        <w:tc>
          <w:tcPr>
            <w:tcW w:w="1163" w:type="dxa"/>
            <w:tcBorders>
              <w:top w:val="nil"/>
              <w:bottom w:val="nil"/>
            </w:tcBorders>
            <w:tcMar>
              <w:left w:w="108" w:type="dxa"/>
            </w:tcMar>
          </w:tcPr>
          <w:p w14:paraId="7DFC3FC9" w14:textId="77777777" w:rsidR="00A60D4B" w:rsidRPr="00EC74DB" w:rsidRDefault="00A60D4B" w:rsidP="00A60D4B">
            <w:pPr>
              <w:pStyle w:val="Btablefigureunbold"/>
            </w:pPr>
            <w:r w:rsidRPr="00D25CFF">
              <w:t>692</w:t>
            </w:r>
          </w:p>
        </w:tc>
      </w:tr>
      <w:tr w:rsidR="00A60D4B" w:rsidRPr="00337DC9" w14:paraId="6865B034" w14:textId="77777777" w:rsidTr="00A60D4B">
        <w:trPr>
          <w:cantSplit/>
          <w:trHeight w:val="270"/>
        </w:trPr>
        <w:tc>
          <w:tcPr>
            <w:tcW w:w="3261" w:type="dxa"/>
            <w:tcBorders>
              <w:top w:val="nil"/>
              <w:bottom w:val="nil"/>
            </w:tcBorders>
          </w:tcPr>
          <w:p w14:paraId="05C203B4" w14:textId="77777777" w:rsidR="00A60D4B" w:rsidRDefault="00A60D4B" w:rsidP="00A60D4B">
            <w:pPr>
              <w:pStyle w:val="Btabletextunbold"/>
            </w:pPr>
            <w:r w:rsidRPr="007D0A57">
              <w:t>Health Innovation Fund</w:t>
            </w:r>
            <w:r>
              <w:rPr>
                <w:vertAlign w:val="superscript"/>
              </w:rPr>
              <w:t>3</w:t>
            </w:r>
          </w:p>
        </w:tc>
        <w:tc>
          <w:tcPr>
            <w:tcW w:w="1162" w:type="dxa"/>
            <w:tcBorders>
              <w:top w:val="nil"/>
              <w:bottom w:val="nil"/>
            </w:tcBorders>
            <w:tcMar>
              <w:left w:w="108" w:type="dxa"/>
            </w:tcMar>
          </w:tcPr>
          <w:p w14:paraId="7F14C5E3" w14:textId="77777777" w:rsidR="00A60D4B" w:rsidRPr="00EC74DB" w:rsidRDefault="00A60D4B" w:rsidP="00A60D4B">
            <w:pPr>
              <w:pStyle w:val="Btablefigureunbold"/>
            </w:pPr>
            <w:r w:rsidRPr="00C35955">
              <w:t>15,500</w:t>
            </w:r>
          </w:p>
        </w:tc>
        <w:tc>
          <w:tcPr>
            <w:tcW w:w="1162" w:type="dxa"/>
            <w:tcBorders>
              <w:top w:val="nil"/>
              <w:bottom w:val="nil"/>
            </w:tcBorders>
            <w:shd w:val="clear" w:color="auto" w:fill="auto"/>
            <w:tcMar>
              <w:left w:w="108" w:type="dxa"/>
            </w:tcMar>
          </w:tcPr>
          <w:p w14:paraId="5AF889D4" w14:textId="77777777" w:rsidR="00A60D4B" w:rsidRPr="00EC74DB" w:rsidRDefault="00A60D4B" w:rsidP="00A60D4B">
            <w:pPr>
              <w:pStyle w:val="Btablefigureunbold"/>
            </w:pPr>
            <w:r w:rsidRPr="00C35955">
              <w:t>838</w:t>
            </w:r>
          </w:p>
        </w:tc>
        <w:tc>
          <w:tcPr>
            <w:tcW w:w="1162" w:type="dxa"/>
            <w:tcBorders>
              <w:top w:val="nil"/>
              <w:bottom w:val="nil"/>
            </w:tcBorders>
            <w:shd w:val="clear" w:color="472D8C" w:fill="auto"/>
            <w:tcMar>
              <w:left w:w="108" w:type="dxa"/>
            </w:tcMar>
          </w:tcPr>
          <w:p w14:paraId="0BCC674E" w14:textId="77777777" w:rsidR="00A60D4B" w:rsidRPr="00111524" w:rsidRDefault="00A60D4B" w:rsidP="00A60D4B">
            <w:pPr>
              <w:pStyle w:val="Btablefigureunbold"/>
            </w:pPr>
            <w:r>
              <w:t>0</w:t>
            </w:r>
          </w:p>
        </w:tc>
        <w:tc>
          <w:tcPr>
            <w:tcW w:w="1162" w:type="dxa"/>
            <w:tcBorders>
              <w:top w:val="nil"/>
              <w:bottom w:val="nil"/>
            </w:tcBorders>
            <w:shd w:val="clear" w:color="auto" w:fill="auto"/>
            <w:tcMar>
              <w:left w:w="108" w:type="dxa"/>
            </w:tcMar>
          </w:tcPr>
          <w:p w14:paraId="3BA3D448"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1713A9CC" w14:textId="77777777" w:rsidR="00A60D4B" w:rsidRPr="00EC74DB" w:rsidRDefault="00A60D4B" w:rsidP="00A60D4B">
            <w:pPr>
              <w:pStyle w:val="Btablefigureunbold"/>
            </w:pPr>
            <w:r>
              <w:t>0</w:t>
            </w:r>
          </w:p>
        </w:tc>
      </w:tr>
      <w:tr w:rsidR="00A60D4B" w:rsidRPr="00337DC9" w14:paraId="18831EF2" w14:textId="77777777" w:rsidTr="00A60D4B">
        <w:trPr>
          <w:cantSplit/>
          <w:trHeight w:val="270"/>
        </w:trPr>
        <w:tc>
          <w:tcPr>
            <w:tcW w:w="3261" w:type="dxa"/>
            <w:tcBorders>
              <w:top w:val="nil"/>
              <w:bottom w:val="nil"/>
            </w:tcBorders>
          </w:tcPr>
          <w:p w14:paraId="2025A478" w14:textId="77777777" w:rsidR="00A60D4B" w:rsidRPr="00D967BC" w:rsidRDefault="00A60D4B" w:rsidP="00A60D4B">
            <w:pPr>
              <w:pStyle w:val="Btabletextunbold"/>
            </w:pPr>
            <w:r w:rsidRPr="00D967BC">
              <w:t>Lymphoedema garments and allied health therapy program</w:t>
            </w:r>
          </w:p>
        </w:tc>
        <w:tc>
          <w:tcPr>
            <w:tcW w:w="1162" w:type="dxa"/>
            <w:tcBorders>
              <w:top w:val="nil"/>
              <w:bottom w:val="nil"/>
            </w:tcBorders>
            <w:tcMar>
              <w:left w:w="108" w:type="dxa"/>
            </w:tcMar>
          </w:tcPr>
          <w:p w14:paraId="5F234072" w14:textId="77777777" w:rsidR="00A60D4B" w:rsidRPr="00EC74DB" w:rsidRDefault="00A60D4B" w:rsidP="00A60D4B">
            <w:pPr>
              <w:pStyle w:val="Btablefigureunbold"/>
            </w:pPr>
            <w:r w:rsidRPr="00AC4D9F">
              <w:t>67</w:t>
            </w:r>
          </w:p>
        </w:tc>
        <w:tc>
          <w:tcPr>
            <w:tcW w:w="1162" w:type="dxa"/>
            <w:tcBorders>
              <w:top w:val="nil"/>
              <w:bottom w:val="nil"/>
            </w:tcBorders>
            <w:shd w:val="clear" w:color="auto" w:fill="auto"/>
            <w:tcMar>
              <w:left w:w="108" w:type="dxa"/>
            </w:tcMar>
          </w:tcPr>
          <w:p w14:paraId="666C3FBC" w14:textId="77777777" w:rsidR="00A60D4B" w:rsidRPr="00EC74DB" w:rsidRDefault="00A60D4B" w:rsidP="00A60D4B">
            <w:pPr>
              <w:pStyle w:val="Btablefigureunbold"/>
            </w:pPr>
            <w:r w:rsidRPr="00AC4D9F">
              <w:t>34</w:t>
            </w:r>
          </w:p>
        </w:tc>
        <w:tc>
          <w:tcPr>
            <w:tcW w:w="1162" w:type="dxa"/>
            <w:tcBorders>
              <w:top w:val="nil"/>
              <w:bottom w:val="nil"/>
            </w:tcBorders>
            <w:shd w:val="clear" w:color="472D8C" w:fill="auto"/>
            <w:tcMar>
              <w:left w:w="108" w:type="dxa"/>
            </w:tcMar>
          </w:tcPr>
          <w:p w14:paraId="61D605D5" w14:textId="77777777" w:rsidR="00A60D4B" w:rsidRPr="00111524" w:rsidRDefault="00A60D4B" w:rsidP="00A60D4B">
            <w:pPr>
              <w:pStyle w:val="Btablefigureunbold"/>
            </w:pPr>
            <w:r w:rsidRPr="00AC4D9F">
              <w:t>34</w:t>
            </w:r>
          </w:p>
        </w:tc>
        <w:tc>
          <w:tcPr>
            <w:tcW w:w="1162" w:type="dxa"/>
            <w:tcBorders>
              <w:top w:val="nil"/>
              <w:bottom w:val="nil"/>
            </w:tcBorders>
            <w:shd w:val="clear" w:color="auto" w:fill="auto"/>
            <w:tcMar>
              <w:left w:w="108" w:type="dxa"/>
            </w:tcMar>
          </w:tcPr>
          <w:p w14:paraId="6AAAA3DA" w14:textId="77777777" w:rsidR="00A60D4B" w:rsidRPr="00EC74DB" w:rsidRDefault="00A60D4B" w:rsidP="00A60D4B">
            <w:pPr>
              <w:pStyle w:val="Btablefigureunbold"/>
            </w:pPr>
            <w:r w:rsidRPr="00AC4D9F">
              <w:t>34</w:t>
            </w:r>
          </w:p>
        </w:tc>
        <w:tc>
          <w:tcPr>
            <w:tcW w:w="1163" w:type="dxa"/>
            <w:tcBorders>
              <w:top w:val="nil"/>
              <w:bottom w:val="nil"/>
            </w:tcBorders>
            <w:tcMar>
              <w:left w:w="108" w:type="dxa"/>
            </w:tcMar>
          </w:tcPr>
          <w:p w14:paraId="2F5CDC7B" w14:textId="77777777" w:rsidR="00A60D4B" w:rsidRPr="00EC74DB" w:rsidRDefault="00A60D4B" w:rsidP="00A60D4B">
            <w:pPr>
              <w:pStyle w:val="Btablefigureunbold"/>
            </w:pPr>
            <w:r>
              <w:t>0</w:t>
            </w:r>
          </w:p>
        </w:tc>
      </w:tr>
      <w:tr w:rsidR="00A60D4B" w:rsidRPr="00337DC9" w14:paraId="27E723EA" w14:textId="77777777" w:rsidTr="00A60D4B">
        <w:trPr>
          <w:cantSplit/>
          <w:trHeight w:val="270"/>
        </w:trPr>
        <w:tc>
          <w:tcPr>
            <w:tcW w:w="3261" w:type="dxa"/>
            <w:tcBorders>
              <w:top w:val="nil"/>
              <w:bottom w:val="nil"/>
            </w:tcBorders>
          </w:tcPr>
          <w:p w14:paraId="7946EF98" w14:textId="77777777" w:rsidR="00A60D4B" w:rsidRDefault="00A60D4B" w:rsidP="00A60D4B">
            <w:pPr>
              <w:pStyle w:val="Btabletextunbold"/>
            </w:pPr>
            <w:r>
              <w:t>Public dental services for adults</w:t>
            </w:r>
          </w:p>
        </w:tc>
        <w:tc>
          <w:tcPr>
            <w:tcW w:w="1162" w:type="dxa"/>
            <w:tcBorders>
              <w:top w:val="nil"/>
              <w:bottom w:val="nil"/>
            </w:tcBorders>
            <w:tcMar>
              <w:left w:w="108" w:type="dxa"/>
            </w:tcMar>
          </w:tcPr>
          <w:p w14:paraId="31629793" w14:textId="77777777" w:rsidR="00A60D4B" w:rsidRPr="00EC74DB" w:rsidRDefault="00A60D4B" w:rsidP="00A60D4B">
            <w:pPr>
              <w:pStyle w:val="Btablefigureunbold"/>
            </w:pPr>
            <w:r w:rsidRPr="009D77A0">
              <w:t>938</w:t>
            </w:r>
          </w:p>
        </w:tc>
        <w:tc>
          <w:tcPr>
            <w:tcW w:w="1162" w:type="dxa"/>
            <w:tcBorders>
              <w:top w:val="nil"/>
              <w:bottom w:val="nil"/>
            </w:tcBorders>
            <w:shd w:val="clear" w:color="auto" w:fill="auto"/>
            <w:tcMar>
              <w:left w:w="108" w:type="dxa"/>
            </w:tcMar>
          </w:tcPr>
          <w:p w14:paraId="2E5DB7E6" w14:textId="77777777" w:rsidR="00A60D4B" w:rsidRPr="00EC74DB" w:rsidRDefault="00A60D4B" w:rsidP="00A60D4B">
            <w:pPr>
              <w:pStyle w:val="Btablefigureunbold"/>
            </w:pPr>
            <w:r w:rsidRPr="009D77A0">
              <w:t>967</w:t>
            </w:r>
          </w:p>
        </w:tc>
        <w:tc>
          <w:tcPr>
            <w:tcW w:w="1162" w:type="dxa"/>
            <w:tcBorders>
              <w:top w:val="nil"/>
              <w:bottom w:val="nil"/>
            </w:tcBorders>
            <w:shd w:val="clear" w:color="472D8C" w:fill="auto"/>
            <w:tcMar>
              <w:left w:w="108" w:type="dxa"/>
            </w:tcMar>
          </w:tcPr>
          <w:p w14:paraId="5C64AFB2" w14:textId="77777777" w:rsidR="00A60D4B" w:rsidRPr="00111524" w:rsidRDefault="00A60D4B" w:rsidP="00A60D4B">
            <w:pPr>
              <w:pStyle w:val="Btablefigureunbold"/>
            </w:pPr>
            <w:r>
              <w:t>0</w:t>
            </w:r>
          </w:p>
        </w:tc>
        <w:tc>
          <w:tcPr>
            <w:tcW w:w="1162" w:type="dxa"/>
            <w:tcBorders>
              <w:top w:val="nil"/>
              <w:bottom w:val="nil"/>
            </w:tcBorders>
            <w:shd w:val="clear" w:color="auto" w:fill="auto"/>
            <w:tcMar>
              <w:left w:w="108" w:type="dxa"/>
            </w:tcMar>
          </w:tcPr>
          <w:p w14:paraId="1DB521E6"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48E22D0D" w14:textId="77777777" w:rsidR="00A60D4B" w:rsidRPr="00EC74DB" w:rsidRDefault="00A60D4B" w:rsidP="00A60D4B">
            <w:pPr>
              <w:pStyle w:val="Btablefigureunbold"/>
            </w:pPr>
            <w:r>
              <w:t>0</w:t>
            </w:r>
          </w:p>
        </w:tc>
      </w:tr>
      <w:tr w:rsidR="00A60D4B" w:rsidRPr="00337DC9" w14:paraId="5924D5FC" w14:textId="77777777" w:rsidTr="00A60D4B">
        <w:trPr>
          <w:cantSplit/>
          <w:trHeight w:val="270"/>
        </w:trPr>
        <w:tc>
          <w:tcPr>
            <w:tcW w:w="3261" w:type="dxa"/>
            <w:tcBorders>
              <w:top w:val="nil"/>
              <w:bottom w:val="single" w:sz="4" w:space="0" w:color="auto"/>
            </w:tcBorders>
          </w:tcPr>
          <w:p w14:paraId="695999D4" w14:textId="77777777" w:rsidR="00A60D4B" w:rsidRDefault="00A60D4B" w:rsidP="00A60D4B">
            <w:pPr>
              <w:pStyle w:val="Btabletextbolditalic"/>
            </w:pPr>
            <w:r>
              <w:t>Total Health Services NPPs</w:t>
            </w:r>
          </w:p>
        </w:tc>
        <w:tc>
          <w:tcPr>
            <w:tcW w:w="1162" w:type="dxa"/>
            <w:tcBorders>
              <w:top w:val="nil"/>
              <w:bottom w:val="single" w:sz="4" w:space="0" w:color="auto"/>
            </w:tcBorders>
            <w:tcMar>
              <w:left w:w="108" w:type="dxa"/>
            </w:tcMar>
          </w:tcPr>
          <w:p w14:paraId="2D6F4158" w14:textId="77777777" w:rsidR="00A60D4B" w:rsidRPr="00EC74DB" w:rsidRDefault="00A60D4B" w:rsidP="00A60D4B">
            <w:pPr>
              <w:pStyle w:val="BTablefigurebolditalic"/>
            </w:pPr>
            <w:r w:rsidRPr="002B21C2">
              <w:t>33,136</w:t>
            </w:r>
          </w:p>
        </w:tc>
        <w:tc>
          <w:tcPr>
            <w:tcW w:w="1162" w:type="dxa"/>
            <w:tcBorders>
              <w:top w:val="nil"/>
              <w:bottom w:val="single" w:sz="4" w:space="0" w:color="auto"/>
            </w:tcBorders>
            <w:shd w:val="clear" w:color="auto" w:fill="auto"/>
            <w:tcMar>
              <w:left w:w="108" w:type="dxa"/>
            </w:tcMar>
          </w:tcPr>
          <w:p w14:paraId="202A92F4" w14:textId="77777777" w:rsidR="00A60D4B" w:rsidRPr="00EC74DB" w:rsidRDefault="00A60D4B" w:rsidP="00A60D4B">
            <w:pPr>
              <w:pStyle w:val="BTablefigurebolditalic"/>
            </w:pPr>
            <w:r w:rsidRPr="002B21C2">
              <w:t>10,087</w:t>
            </w:r>
          </w:p>
        </w:tc>
        <w:tc>
          <w:tcPr>
            <w:tcW w:w="1162" w:type="dxa"/>
            <w:tcBorders>
              <w:top w:val="nil"/>
              <w:bottom w:val="single" w:sz="4" w:space="0" w:color="auto"/>
            </w:tcBorders>
            <w:shd w:val="clear" w:color="472D8C" w:fill="auto"/>
            <w:tcMar>
              <w:left w:w="108" w:type="dxa"/>
            </w:tcMar>
          </w:tcPr>
          <w:p w14:paraId="1C546725" w14:textId="77777777" w:rsidR="00A60D4B" w:rsidRPr="00111524" w:rsidRDefault="00A60D4B" w:rsidP="00A60D4B">
            <w:pPr>
              <w:pStyle w:val="BTablefigurebolditalic"/>
            </w:pPr>
            <w:r w:rsidRPr="002B21C2">
              <w:t>9,913</w:t>
            </w:r>
          </w:p>
        </w:tc>
        <w:tc>
          <w:tcPr>
            <w:tcW w:w="1162" w:type="dxa"/>
            <w:tcBorders>
              <w:top w:val="nil"/>
              <w:bottom w:val="single" w:sz="4" w:space="0" w:color="auto"/>
            </w:tcBorders>
            <w:shd w:val="clear" w:color="auto" w:fill="auto"/>
            <w:tcMar>
              <w:left w:w="108" w:type="dxa"/>
            </w:tcMar>
          </w:tcPr>
          <w:p w14:paraId="6D05BB5F" w14:textId="77777777" w:rsidR="00A60D4B" w:rsidRPr="00EC74DB" w:rsidRDefault="00A60D4B" w:rsidP="00A60D4B">
            <w:pPr>
              <w:pStyle w:val="BTablefigurebolditalic"/>
            </w:pPr>
            <w:r w:rsidRPr="002B21C2">
              <w:t>5,124</w:t>
            </w:r>
          </w:p>
        </w:tc>
        <w:tc>
          <w:tcPr>
            <w:tcW w:w="1163" w:type="dxa"/>
            <w:tcBorders>
              <w:top w:val="nil"/>
              <w:bottom w:val="single" w:sz="4" w:space="0" w:color="auto"/>
            </w:tcBorders>
            <w:tcMar>
              <w:left w:w="108" w:type="dxa"/>
            </w:tcMar>
          </w:tcPr>
          <w:p w14:paraId="0FF22FEA" w14:textId="77777777" w:rsidR="00A60D4B" w:rsidRPr="00EC74DB" w:rsidRDefault="00A60D4B" w:rsidP="00A60D4B">
            <w:pPr>
              <w:pStyle w:val="BTablefigurebolditalic"/>
            </w:pPr>
            <w:r w:rsidRPr="002B21C2">
              <w:t>692</w:t>
            </w:r>
          </w:p>
        </w:tc>
      </w:tr>
      <w:tr w:rsidR="00A60D4B" w:rsidRPr="00337DC9" w14:paraId="4BDC8A7D" w14:textId="77777777" w:rsidTr="00A60D4B">
        <w:trPr>
          <w:cantSplit/>
          <w:trHeight w:val="270"/>
        </w:trPr>
        <w:tc>
          <w:tcPr>
            <w:tcW w:w="3261" w:type="dxa"/>
            <w:tcBorders>
              <w:top w:val="single" w:sz="4" w:space="0" w:color="auto"/>
              <w:bottom w:val="single" w:sz="4" w:space="0" w:color="auto"/>
            </w:tcBorders>
          </w:tcPr>
          <w:p w14:paraId="7532044D" w14:textId="77777777" w:rsidR="00A60D4B" w:rsidRDefault="00A60D4B" w:rsidP="00A60D4B">
            <w:pPr>
              <w:pStyle w:val="Btabletextbold"/>
            </w:pPr>
            <w:r>
              <w:t>Total Health Services Funding</w:t>
            </w:r>
          </w:p>
        </w:tc>
        <w:tc>
          <w:tcPr>
            <w:tcW w:w="1162" w:type="dxa"/>
            <w:tcBorders>
              <w:top w:val="single" w:sz="4" w:space="0" w:color="auto"/>
              <w:bottom w:val="single" w:sz="4" w:space="0" w:color="auto"/>
            </w:tcBorders>
            <w:tcMar>
              <w:left w:w="108" w:type="dxa"/>
            </w:tcMar>
          </w:tcPr>
          <w:p w14:paraId="1ADC036C" w14:textId="77777777" w:rsidR="00A60D4B" w:rsidRPr="00EC74DB" w:rsidRDefault="00A60D4B" w:rsidP="00A60D4B">
            <w:pPr>
              <w:pStyle w:val="Btablefigurebold0"/>
            </w:pPr>
            <w:r w:rsidRPr="00BF3F77">
              <w:t>504,206</w:t>
            </w:r>
          </w:p>
        </w:tc>
        <w:tc>
          <w:tcPr>
            <w:tcW w:w="1162" w:type="dxa"/>
            <w:tcBorders>
              <w:top w:val="single" w:sz="4" w:space="0" w:color="auto"/>
              <w:bottom w:val="single" w:sz="4" w:space="0" w:color="auto"/>
            </w:tcBorders>
            <w:shd w:val="clear" w:color="auto" w:fill="auto"/>
            <w:tcMar>
              <w:left w:w="108" w:type="dxa"/>
            </w:tcMar>
          </w:tcPr>
          <w:p w14:paraId="057C0D0C" w14:textId="77777777" w:rsidR="00A60D4B" w:rsidRPr="00EC74DB" w:rsidRDefault="00A60D4B" w:rsidP="00A60D4B">
            <w:pPr>
              <w:pStyle w:val="Btablefigurebold0"/>
            </w:pPr>
            <w:r w:rsidRPr="00717F23">
              <w:t>527,045</w:t>
            </w:r>
          </w:p>
        </w:tc>
        <w:tc>
          <w:tcPr>
            <w:tcW w:w="1162" w:type="dxa"/>
            <w:tcBorders>
              <w:top w:val="single" w:sz="4" w:space="0" w:color="auto"/>
              <w:bottom w:val="single" w:sz="4" w:space="0" w:color="auto"/>
            </w:tcBorders>
            <w:shd w:val="clear" w:color="472D8C" w:fill="auto"/>
            <w:tcMar>
              <w:left w:w="108" w:type="dxa"/>
            </w:tcMar>
          </w:tcPr>
          <w:p w14:paraId="030D2B6D" w14:textId="77777777" w:rsidR="00A60D4B" w:rsidRPr="00111524" w:rsidRDefault="00A60D4B" w:rsidP="00A60D4B">
            <w:pPr>
              <w:pStyle w:val="Btablefigurebold0"/>
            </w:pPr>
            <w:r w:rsidRPr="00BF3F77">
              <w:t>521,692</w:t>
            </w:r>
          </w:p>
        </w:tc>
        <w:tc>
          <w:tcPr>
            <w:tcW w:w="1162" w:type="dxa"/>
            <w:tcBorders>
              <w:top w:val="single" w:sz="4" w:space="0" w:color="auto"/>
              <w:bottom w:val="single" w:sz="4" w:space="0" w:color="auto"/>
            </w:tcBorders>
            <w:shd w:val="clear" w:color="auto" w:fill="auto"/>
            <w:tcMar>
              <w:left w:w="108" w:type="dxa"/>
            </w:tcMar>
          </w:tcPr>
          <w:p w14:paraId="2B47B291" w14:textId="77777777" w:rsidR="00A60D4B" w:rsidRPr="00EC74DB" w:rsidRDefault="00A60D4B" w:rsidP="00A60D4B">
            <w:pPr>
              <w:pStyle w:val="Btablefigurebold0"/>
            </w:pPr>
            <w:r w:rsidRPr="00BF3F77">
              <w:t>550,169</w:t>
            </w:r>
          </w:p>
        </w:tc>
        <w:tc>
          <w:tcPr>
            <w:tcW w:w="1163" w:type="dxa"/>
            <w:tcBorders>
              <w:top w:val="single" w:sz="4" w:space="0" w:color="auto"/>
              <w:bottom w:val="single" w:sz="4" w:space="0" w:color="auto"/>
            </w:tcBorders>
            <w:tcMar>
              <w:left w:w="108" w:type="dxa"/>
            </w:tcMar>
          </w:tcPr>
          <w:p w14:paraId="789A2078" w14:textId="77777777" w:rsidR="00A60D4B" w:rsidRPr="00EC74DB" w:rsidRDefault="00A60D4B" w:rsidP="00A60D4B">
            <w:pPr>
              <w:pStyle w:val="Btablefigurebold0"/>
            </w:pPr>
            <w:r w:rsidRPr="00BF3F77">
              <w:t>581,165</w:t>
            </w:r>
          </w:p>
        </w:tc>
      </w:tr>
      <w:tr w:rsidR="00A60D4B" w:rsidRPr="00337DC9" w14:paraId="2FF93BAA" w14:textId="77777777" w:rsidTr="00A60D4B">
        <w:trPr>
          <w:cantSplit/>
          <w:trHeight w:val="270"/>
        </w:trPr>
        <w:tc>
          <w:tcPr>
            <w:tcW w:w="3261" w:type="dxa"/>
            <w:tcBorders>
              <w:top w:val="single" w:sz="4" w:space="0" w:color="auto"/>
              <w:bottom w:val="nil"/>
            </w:tcBorders>
          </w:tcPr>
          <w:p w14:paraId="66B9B0A7" w14:textId="77777777" w:rsidR="00A60D4B" w:rsidRDefault="00A60D4B" w:rsidP="00A60D4B">
            <w:pPr>
              <w:pStyle w:val="Btabletextunbold"/>
              <w:keepNext/>
            </w:pPr>
          </w:p>
          <w:p w14:paraId="7CBAEF4D" w14:textId="77777777" w:rsidR="00A60D4B" w:rsidRDefault="00A60D4B" w:rsidP="00A60D4B">
            <w:pPr>
              <w:pStyle w:val="Btabletextbold"/>
              <w:keepNext/>
            </w:pPr>
            <w:r>
              <w:t>Education</w:t>
            </w:r>
          </w:p>
        </w:tc>
        <w:tc>
          <w:tcPr>
            <w:tcW w:w="1162" w:type="dxa"/>
            <w:tcBorders>
              <w:top w:val="single" w:sz="4" w:space="0" w:color="auto"/>
              <w:bottom w:val="nil"/>
            </w:tcBorders>
            <w:tcMar>
              <w:left w:w="108" w:type="dxa"/>
            </w:tcMar>
          </w:tcPr>
          <w:p w14:paraId="2A7B47BF" w14:textId="77777777" w:rsidR="00A60D4B" w:rsidRPr="00EC74DB"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567C3E15" w14:textId="77777777" w:rsidR="00A60D4B" w:rsidRPr="00EC74DB" w:rsidRDefault="00A60D4B" w:rsidP="00A60D4B">
            <w:pPr>
              <w:pStyle w:val="Btablefigureunbold"/>
            </w:pPr>
          </w:p>
        </w:tc>
        <w:tc>
          <w:tcPr>
            <w:tcW w:w="1162" w:type="dxa"/>
            <w:tcBorders>
              <w:top w:val="single" w:sz="4" w:space="0" w:color="auto"/>
              <w:bottom w:val="nil"/>
            </w:tcBorders>
            <w:shd w:val="clear" w:color="472D8C" w:fill="auto"/>
            <w:tcMar>
              <w:left w:w="108" w:type="dxa"/>
            </w:tcMar>
          </w:tcPr>
          <w:p w14:paraId="77668158" w14:textId="77777777" w:rsidR="00A60D4B" w:rsidRPr="00111524"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327D0561" w14:textId="77777777" w:rsidR="00A60D4B" w:rsidRPr="00EC74DB" w:rsidRDefault="00A60D4B" w:rsidP="00A60D4B">
            <w:pPr>
              <w:pStyle w:val="Btablefigureunbold"/>
            </w:pPr>
          </w:p>
        </w:tc>
        <w:tc>
          <w:tcPr>
            <w:tcW w:w="1163" w:type="dxa"/>
            <w:tcBorders>
              <w:top w:val="single" w:sz="4" w:space="0" w:color="auto"/>
              <w:bottom w:val="nil"/>
            </w:tcBorders>
            <w:tcMar>
              <w:left w:w="108" w:type="dxa"/>
            </w:tcMar>
          </w:tcPr>
          <w:p w14:paraId="0144302F" w14:textId="77777777" w:rsidR="00A60D4B" w:rsidRPr="00EC74DB" w:rsidRDefault="00A60D4B" w:rsidP="00A60D4B">
            <w:pPr>
              <w:pStyle w:val="Btablefigureunbold"/>
            </w:pPr>
          </w:p>
        </w:tc>
      </w:tr>
      <w:tr w:rsidR="00A60D4B" w:rsidRPr="00337DC9" w14:paraId="04ECFDE9" w14:textId="77777777" w:rsidTr="00A60D4B">
        <w:trPr>
          <w:cantSplit/>
          <w:trHeight w:val="270"/>
        </w:trPr>
        <w:tc>
          <w:tcPr>
            <w:tcW w:w="3261" w:type="dxa"/>
            <w:tcBorders>
              <w:top w:val="nil"/>
              <w:bottom w:val="nil"/>
            </w:tcBorders>
          </w:tcPr>
          <w:p w14:paraId="0772B244" w14:textId="77777777" w:rsidR="00A60D4B" w:rsidRDefault="00A60D4B" w:rsidP="00A60D4B">
            <w:pPr>
              <w:pStyle w:val="Btabletextunbold"/>
            </w:pPr>
            <w:r>
              <w:t>Quality Schools funding – Government</w:t>
            </w:r>
          </w:p>
        </w:tc>
        <w:tc>
          <w:tcPr>
            <w:tcW w:w="1162" w:type="dxa"/>
            <w:tcBorders>
              <w:top w:val="nil"/>
              <w:bottom w:val="nil"/>
            </w:tcBorders>
            <w:tcMar>
              <w:left w:w="108" w:type="dxa"/>
            </w:tcMar>
          </w:tcPr>
          <w:p w14:paraId="562DA0F3" w14:textId="77777777" w:rsidR="00A60D4B" w:rsidRPr="00933D02" w:rsidRDefault="00A60D4B" w:rsidP="00A60D4B">
            <w:pPr>
              <w:pStyle w:val="Btablefigureunbold"/>
            </w:pPr>
            <w:r w:rsidRPr="00933D02">
              <w:t>131,290</w:t>
            </w:r>
          </w:p>
        </w:tc>
        <w:tc>
          <w:tcPr>
            <w:tcW w:w="1162" w:type="dxa"/>
            <w:tcBorders>
              <w:top w:val="nil"/>
              <w:bottom w:val="nil"/>
            </w:tcBorders>
            <w:shd w:val="clear" w:color="auto" w:fill="auto"/>
            <w:tcMar>
              <w:left w:w="108" w:type="dxa"/>
            </w:tcMar>
          </w:tcPr>
          <w:p w14:paraId="2F845BFD" w14:textId="77777777" w:rsidR="00A60D4B" w:rsidRPr="00933D02" w:rsidRDefault="00A60D4B" w:rsidP="00A60D4B">
            <w:pPr>
              <w:pStyle w:val="Btablefigureunbold"/>
            </w:pPr>
            <w:r w:rsidRPr="00933D02">
              <w:t>142,917</w:t>
            </w:r>
          </w:p>
        </w:tc>
        <w:tc>
          <w:tcPr>
            <w:tcW w:w="1162" w:type="dxa"/>
            <w:tcBorders>
              <w:top w:val="nil"/>
              <w:bottom w:val="nil"/>
            </w:tcBorders>
            <w:shd w:val="clear" w:color="472D8C" w:fill="auto"/>
            <w:tcMar>
              <w:left w:w="108" w:type="dxa"/>
            </w:tcMar>
          </w:tcPr>
          <w:p w14:paraId="03C9C2A5" w14:textId="77777777" w:rsidR="00A60D4B" w:rsidRPr="00933D02" w:rsidRDefault="00A60D4B" w:rsidP="00A60D4B">
            <w:pPr>
              <w:pStyle w:val="Btablefigureunbold"/>
            </w:pPr>
            <w:r w:rsidRPr="00933D02">
              <w:t>155,983</w:t>
            </w:r>
          </w:p>
        </w:tc>
        <w:tc>
          <w:tcPr>
            <w:tcW w:w="1162" w:type="dxa"/>
            <w:tcBorders>
              <w:top w:val="nil"/>
              <w:bottom w:val="nil"/>
            </w:tcBorders>
            <w:shd w:val="clear" w:color="auto" w:fill="auto"/>
            <w:tcMar>
              <w:left w:w="108" w:type="dxa"/>
            </w:tcMar>
          </w:tcPr>
          <w:p w14:paraId="6E3CDD39" w14:textId="77777777" w:rsidR="00A60D4B" w:rsidRPr="00933D02" w:rsidRDefault="00A60D4B" w:rsidP="00A60D4B">
            <w:pPr>
              <w:pStyle w:val="Btablefigureunbold"/>
            </w:pPr>
            <w:r w:rsidRPr="00933D02">
              <w:t>166,965</w:t>
            </w:r>
          </w:p>
        </w:tc>
        <w:tc>
          <w:tcPr>
            <w:tcW w:w="1163" w:type="dxa"/>
            <w:tcBorders>
              <w:top w:val="nil"/>
              <w:bottom w:val="nil"/>
            </w:tcBorders>
            <w:tcMar>
              <w:left w:w="108" w:type="dxa"/>
            </w:tcMar>
          </w:tcPr>
          <w:p w14:paraId="2FFFD722" w14:textId="77777777" w:rsidR="00A60D4B" w:rsidRPr="00933D02" w:rsidRDefault="00A60D4B" w:rsidP="00A60D4B">
            <w:pPr>
              <w:pStyle w:val="Btablefigureunbold"/>
            </w:pPr>
            <w:r w:rsidRPr="00933D02">
              <w:t>175,256</w:t>
            </w:r>
          </w:p>
        </w:tc>
      </w:tr>
      <w:tr w:rsidR="00A60D4B" w:rsidRPr="00337DC9" w14:paraId="0976951E" w14:textId="77777777" w:rsidTr="00A60D4B">
        <w:trPr>
          <w:cantSplit/>
          <w:trHeight w:val="270"/>
        </w:trPr>
        <w:tc>
          <w:tcPr>
            <w:tcW w:w="3261" w:type="dxa"/>
            <w:tcBorders>
              <w:top w:val="nil"/>
              <w:bottom w:val="nil"/>
            </w:tcBorders>
          </w:tcPr>
          <w:p w14:paraId="12D57CDC" w14:textId="77777777" w:rsidR="00A60D4B" w:rsidRDefault="00A60D4B" w:rsidP="00A60D4B">
            <w:pPr>
              <w:pStyle w:val="Btabletextunbold"/>
            </w:pPr>
            <w:r>
              <w:lastRenderedPageBreak/>
              <w:t>Quality Schools funding – Non-Government</w:t>
            </w:r>
          </w:p>
        </w:tc>
        <w:tc>
          <w:tcPr>
            <w:tcW w:w="1162" w:type="dxa"/>
            <w:tcBorders>
              <w:top w:val="nil"/>
              <w:bottom w:val="nil"/>
            </w:tcBorders>
            <w:tcMar>
              <w:left w:w="108" w:type="dxa"/>
            </w:tcMar>
          </w:tcPr>
          <w:p w14:paraId="2323B3A7" w14:textId="77777777" w:rsidR="00A60D4B" w:rsidRPr="00933D02" w:rsidRDefault="00A60D4B" w:rsidP="00A60D4B">
            <w:pPr>
              <w:pStyle w:val="Btablefigureunbold"/>
            </w:pPr>
            <w:r w:rsidRPr="00933D02">
              <w:t>228,581</w:t>
            </w:r>
          </w:p>
        </w:tc>
        <w:tc>
          <w:tcPr>
            <w:tcW w:w="1162" w:type="dxa"/>
            <w:tcBorders>
              <w:top w:val="nil"/>
              <w:bottom w:val="nil"/>
            </w:tcBorders>
            <w:shd w:val="clear" w:color="auto" w:fill="auto"/>
            <w:tcMar>
              <w:left w:w="108" w:type="dxa"/>
            </w:tcMar>
          </w:tcPr>
          <w:p w14:paraId="2BAFDC32" w14:textId="77777777" w:rsidR="00A60D4B" w:rsidRPr="00933D02" w:rsidRDefault="00A60D4B" w:rsidP="00A60D4B">
            <w:pPr>
              <w:pStyle w:val="Btablefigureunbold"/>
            </w:pPr>
            <w:r w:rsidRPr="00933D02">
              <w:t>236,382</w:t>
            </w:r>
          </w:p>
        </w:tc>
        <w:tc>
          <w:tcPr>
            <w:tcW w:w="1162" w:type="dxa"/>
            <w:tcBorders>
              <w:top w:val="nil"/>
              <w:bottom w:val="nil"/>
            </w:tcBorders>
            <w:shd w:val="clear" w:color="472D8C" w:fill="auto"/>
            <w:tcMar>
              <w:left w:w="108" w:type="dxa"/>
            </w:tcMar>
          </w:tcPr>
          <w:p w14:paraId="149F2B6E" w14:textId="77777777" w:rsidR="00A60D4B" w:rsidRPr="00933D02" w:rsidRDefault="00A60D4B" w:rsidP="00A60D4B">
            <w:pPr>
              <w:pStyle w:val="Btablefigureunbold"/>
            </w:pPr>
            <w:r w:rsidRPr="00933D02">
              <w:t>244,840</w:t>
            </w:r>
          </w:p>
        </w:tc>
        <w:tc>
          <w:tcPr>
            <w:tcW w:w="1162" w:type="dxa"/>
            <w:tcBorders>
              <w:top w:val="nil"/>
              <w:bottom w:val="nil"/>
            </w:tcBorders>
            <w:shd w:val="clear" w:color="auto" w:fill="auto"/>
            <w:tcMar>
              <w:left w:w="108" w:type="dxa"/>
            </w:tcMar>
          </w:tcPr>
          <w:p w14:paraId="3951D674" w14:textId="77777777" w:rsidR="00A60D4B" w:rsidRPr="00933D02" w:rsidRDefault="00A60D4B" w:rsidP="00A60D4B">
            <w:pPr>
              <w:pStyle w:val="Btablefigureunbold"/>
            </w:pPr>
            <w:r w:rsidRPr="00933D02">
              <w:t>252,695</w:t>
            </w:r>
          </w:p>
        </w:tc>
        <w:tc>
          <w:tcPr>
            <w:tcW w:w="1163" w:type="dxa"/>
            <w:tcBorders>
              <w:top w:val="nil"/>
              <w:bottom w:val="nil"/>
            </w:tcBorders>
            <w:tcMar>
              <w:left w:w="108" w:type="dxa"/>
            </w:tcMar>
          </w:tcPr>
          <w:p w14:paraId="139D0286" w14:textId="77777777" w:rsidR="00A60D4B" w:rsidRPr="00933D02" w:rsidRDefault="00A60D4B" w:rsidP="00A60D4B">
            <w:pPr>
              <w:pStyle w:val="Btablefigureunbold"/>
            </w:pPr>
            <w:r w:rsidRPr="00933D02">
              <w:t>259,448</w:t>
            </w:r>
          </w:p>
        </w:tc>
      </w:tr>
      <w:tr w:rsidR="00A60D4B" w:rsidRPr="00337DC9" w14:paraId="5D51183B" w14:textId="77777777" w:rsidTr="00A60D4B">
        <w:trPr>
          <w:cantSplit/>
          <w:trHeight w:val="270"/>
        </w:trPr>
        <w:tc>
          <w:tcPr>
            <w:tcW w:w="3261" w:type="dxa"/>
            <w:tcBorders>
              <w:top w:val="nil"/>
              <w:bottom w:val="nil"/>
            </w:tcBorders>
          </w:tcPr>
          <w:p w14:paraId="2543497C" w14:textId="77777777" w:rsidR="00A60D4B" w:rsidRDefault="00A60D4B" w:rsidP="00A60D4B">
            <w:pPr>
              <w:pStyle w:val="Btabletextunbold"/>
            </w:pPr>
            <w:r>
              <w:t>Quality Schools funding – Non-Government – GST component</w:t>
            </w:r>
          </w:p>
        </w:tc>
        <w:tc>
          <w:tcPr>
            <w:tcW w:w="1162" w:type="dxa"/>
            <w:tcBorders>
              <w:top w:val="nil"/>
              <w:bottom w:val="nil"/>
            </w:tcBorders>
            <w:tcMar>
              <w:left w:w="108" w:type="dxa"/>
            </w:tcMar>
          </w:tcPr>
          <w:p w14:paraId="2166EC9F" w14:textId="77777777" w:rsidR="00A60D4B" w:rsidRPr="00933D02" w:rsidRDefault="00A60D4B" w:rsidP="00A60D4B">
            <w:pPr>
              <w:pStyle w:val="Btablefigureunbold"/>
            </w:pPr>
            <w:r w:rsidRPr="00933D02">
              <w:t>22,859</w:t>
            </w:r>
          </w:p>
        </w:tc>
        <w:tc>
          <w:tcPr>
            <w:tcW w:w="1162" w:type="dxa"/>
            <w:tcBorders>
              <w:top w:val="nil"/>
              <w:bottom w:val="nil"/>
            </w:tcBorders>
            <w:shd w:val="clear" w:color="auto" w:fill="auto"/>
            <w:tcMar>
              <w:left w:w="108" w:type="dxa"/>
            </w:tcMar>
          </w:tcPr>
          <w:p w14:paraId="049049AF" w14:textId="77777777" w:rsidR="00A60D4B" w:rsidRPr="00933D02" w:rsidRDefault="00A60D4B" w:rsidP="00A60D4B">
            <w:pPr>
              <w:pStyle w:val="Btablefigureunbold"/>
            </w:pPr>
            <w:r w:rsidRPr="00933D02">
              <w:t>23,638</w:t>
            </w:r>
          </w:p>
        </w:tc>
        <w:tc>
          <w:tcPr>
            <w:tcW w:w="1162" w:type="dxa"/>
            <w:tcBorders>
              <w:top w:val="nil"/>
              <w:bottom w:val="nil"/>
            </w:tcBorders>
            <w:shd w:val="clear" w:color="472D8C" w:fill="auto"/>
            <w:tcMar>
              <w:left w:w="108" w:type="dxa"/>
            </w:tcMar>
          </w:tcPr>
          <w:p w14:paraId="2E6781B6" w14:textId="77777777" w:rsidR="00A60D4B" w:rsidRPr="00933D02" w:rsidRDefault="00A60D4B" w:rsidP="00A60D4B">
            <w:pPr>
              <w:pStyle w:val="Btablefigureunbold"/>
            </w:pPr>
            <w:r w:rsidRPr="00933D02">
              <w:t>24,484</w:t>
            </w:r>
          </w:p>
        </w:tc>
        <w:tc>
          <w:tcPr>
            <w:tcW w:w="1162" w:type="dxa"/>
            <w:tcBorders>
              <w:top w:val="nil"/>
              <w:bottom w:val="nil"/>
            </w:tcBorders>
            <w:shd w:val="clear" w:color="auto" w:fill="auto"/>
            <w:tcMar>
              <w:left w:w="108" w:type="dxa"/>
            </w:tcMar>
          </w:tcPr>
          <w:p w14:paraId="53E7F35D" w14:textId="77777777" w:rsidR="00A60D4B" w:rsidRPr="00933D02" w:rsidRDefault="00A60D4B" w:rsidP="00A60D4B">
            <w:pPr>
              <w:pStyle w:val="Btablefigureunbold"/>
            </w:pPr>
            <w:r w:rsidRPr="00933D02">
              <w:t>25,269</w:t>
            </w:r>
          </w:p>
        </w:tc>
        <w:tc>
          <w:tcPr>
            <w:tcW w:w="1163" w:type="dxa"/>
            <w:tcBorders>
              <w:top w:val="nil"/>
              <w:bottom w:val="nil"/>
            </w:tcBorders>
            <w:tcMar>
              <w:left w:w="108" w:type="dxa"/>
            </w:tcMar>
          </w:tcPr>
          <w:p w14:paraId="0470253C" w14:textId="77777777" w:rsidR="00A60D4B" w:rsidRPr="00933D02" w:rsidRDefault="00A60D4B" w:rsidP="00A60D4B">
            <w:pPr>
              <w:pStyle w:val="Btablefigureunbold"/>
            </w:pPr>
            <w:r w:rsidRPr="00933D02">
              <w:t>25,945</w:t>
            </w:r>
          </w:p>
        </w:tc>
      </w:tr>
      <w:tr w:rsidR="00A60D4B" w:rsidRPr="00337DC9" w14:paraId="19F71375" w14:textId="77777777" w:rsidTr="00A60D4B">
        <w:trPr>
          <w:cantSplit/>
          <w:trHeight w:val="270"/>
        </w:trPr>
        <w:tc>
          <w:tcPr>
            <w:tcW w:w="3261" w:type="dxa"/>
            <w:tcBorders>
              <w:top w:val="nil"/>
              <w:bottom w:val="nil"/>
            </w:tcBorders>
          </w:tcPr>
          <w:p w14:paraId="0B1B7A6F" w14:textId="77777777" w:rsidR="00A60D4B" w:rsidRDefault="00A60D4B" w:rsidP="00A60D4B">
            <w:pPr>
              <w:pStyle w:val="Btabletextunbold"/>
            </w:pPr>
            <w:r>
              <w:rPr>
                <w:b/>
                <w:i/>
              </w:rPr>
              <w:t>Total Quality Schools Funding</w:t>
            </w:r>
          </w:p>
        </w:tc>
        <w:tc>
          <w:tcPr>
            <w:tcW w:w="1162" w:type="dxa"/>
            <w:tcBorders>
              <w:top w:val="nil"/>
              <w:bottom w:val="nil"/>
            </w:tcBorders>
            <w:tcMar>
              <w:left w:w="108" w:type="dxa"/>
            </w:tcMar>
          </w:tcPr>
          <w:p w14:paraId="3834B67D" w14:textId="77777777" w:rsidR="00A60D4B" w:rsidRPr="00EC74DB" w:rsidRDefault="00A60D4B" w:rsidP="00A60D4B">
            <w:pPr>
              <w:pStyle w:val="BTablefigurebolditalic"/>
            </w:pPr>
            <w:r w:rsidRPr="007546E6">
              <w:t>382,730</w:t>
            </w:r>
          </w:p>
        </w:tc>
        <w:tc>
          <w:tcPr>
            <w:tcW w:w="1162" w:type="dxa"/>
            <w:tcBorders>
              <w:top w:val="nil"/>
              <w:bottom w:val="nil"/>
            </w:tcBorders>
            <w:shd w:val="clear" w:color="auto" w:fill="auto"/>
            <w:tcMar>
              <w:left w:w="108" w:type="dxa"/>
            </w:tcMar>
          </w:tcPr>
          <w:p w14:paraId="59499BCC" w14:textId="77777777" w:rsidR="00A60D4B" w:rsidRPr="00EC74DB" w:rsidRDefault="00A60D4B" w:rsidP="00A60D4B">
            <w:pPr>
              <w:pStyle w:val="BTablefigurebolditalic"/>
            </w:pPr>
            <w:r w:rsidRPr="007546E6">
              <w:t>402,937</w:t>
            </w:r>
          </w:p>
        </w:tc>
        <w:tc>
          <w:tcPr>
            <w:tcW w:w="1162" w:type="dxa"/>
            <w:tcBorders>
              <w:top w:val="nil"/>
              <w:bottom w:val="nil"/>
            </w:tcBorders>
            <w:shd w:val="clear" w:color="472D8C" w:fill="auto"/>
            <w:tcMar>
              <w:left w:w="108" w:type="dxa"/>
            </w:tcMar>
          </w:tcPr>
          <w:p w14:paraId="77EAB866" w14:textId="77777777" w:rsidR="00A60D4B" w:rsidRPr="00111524" w:rsidRDefault="00A60D4B" w:rsidP="00A60D4B">
            <w:pPr>
              <w:pStyle w:val="BTablefigurebolditalic"/>
            </w:pPr>
            <w:r w:rsidRPr="007546E6">
              <w:t>425,307</w:t>
            </w:r>
          </w:p>
        </w:tc>
        <w:tc>
          <w:tcPr>
            <w:tcW w:w="1162" w:type="dxa"/>
            <w:tcBorders>
              <w:top w:val="nil"/>
              <w:bottom w:val="nil"/>
            </w:tcBorders>
            <w:shd w:val="clear" w:color="auto" w:fill="auto"/>
            <w:tcMar>
              <w:left w:w="108" w:type="dxa"/>
            </w:tcMar>
          </w:tcPr>
          <w:p w14:paraId="02B1125A" w14:textId="77777777" w:rsidR="00A60D4B" w:rsidRPr="00EC74DB" w:rsidRDefault="00A60D4B" w:rsidP="00A60D4B">
            <w:pPr>
              <w:pStyle w:val="BTablefigurebolditalic"/>
            </w:pPr>
            <w:r w:rsidRPr="007546E6">
              <w:t>444,929</w:t>
            </w:r>
          </w:p>
        </w:tc>
        <w:tc>
          <w:tcPr>
            <w:tcW w:w="1163" w:type="dxa"/>
            <w:tcBorders>
              <w:top w:val="nil"/>
              <w:bottom w:val="nil"/>
            </w:tcBorders>
            <w:tcMar>
              <w:left w:w="108" w:type="dxa"/>
            </w:tcMar>
          </w:tcPr>
          <w:p w14:paraId="5E19AC62" w14:textId="77777777" w:rsidR="00A60D4B" w:rsidRPr="00EC74DB" w:rsidRDefault="00A60D4B" w:rsidP="00A60D4B">
            <w:pPr>
              <w:pStyle w:val="BTablefigurebolditalic"/>
            </w:pPr>
            <w:r w:rsidRPr="007546E6">
              <w:t>460,649</w:t>
            </w:r>
          </w:p>
        </w:tc>
      </w:tr>
      <w:tr w:rsidR="00A60D4B" w:rsidRPr="00337DC9" w14:paraId="7C4FEA9E" w14:textId="77777777" w:rsidTr="00A60D4B">
        <w:trPr>
          <w:cantSplit/>
          <w:trHeight w:val="270"/>
        </w:trPr>
        <w:tc>
          <w:tcPr>
            <w:tcW w:w="3261" w:type="dxa"/>
            <w:tcBorders>
              <w:top w:val="nil"/>
              <w:bottom w:val="nil"/>
            </w:tcBorders>
          </w:tcPr>
          <w:p w14:paraId="36B2308B" w14:textId="77777777" w:rsidR="00A60D4B" w:rsidRDefault="00A60D4B" w:rsidP="00A60D4B">
            <w:pPr>
              <w:pStyle w:val="Btabletextbold"/>
              <w:keepNext/>
            </w:pPr>
            <w:r>
              <w:t>Education NPPs</w:t>
            </w:r>
          </w:p>
        </w:tc>
        <w:tc>
          <w:tcPr>
            <w:tcW w:w="1162" w:type="dxa"/>
            <w:tcBorders>
              <w:top w:val="nil"/>
              <w:bottom w:val="nil"/>
            </w:tcBorders>
            <w:tcMar>
              <w:left w:w="108" w:type="dxa"/>
            </w:tcMar>
          </w:tcPr>
          <w:p w14:paraId="6CFD1172" w14:textId="77777777" w:rsidR="00A60D4B" w:rsidRPr="00EC74DB" w:rsidRDefault="00A60D4B" w:rsidP="00A60D4B">
            <w:pPr>
              <w:pStyle w:val="Btablefigureunbold"/>
            </w:pPr>
          </w:p>
        </w:tc>
        <w:tc>
          <w:tcPr>
            <w:tcW w:w="1162" w:type="dxa"/>
            <w:tcBorders>
              <w:top w:val="nil"/>
              <w:bottom w:val="nil"/>
            </w:tcBorders>
            <w:shd w:val="clear" w:color="auto" w:fill="auto"/>
            <w:tcMar>
              <w:left w:w="108" w:type="dxa"/>
            </w:tcMar>
          </w:tcPr>
          <w:p w14:paraId="43933128" w14:textId="77777777" w:rsidR="00A60D4B" w:rsidRPr="00EC74DB" w:rsidRDefault="00A60D4B" w:rsidP="00A60D4B">
            <w:pPr>
              <w:pStyle w:val="Btablefigureunbold"/>
            </w:pPr>
          </w:p>
        </w:tc>
        <w:tc>
          <w:tcPr>
            <w:tcW w:w="1162" w:type="dxa"/>
            <w:tcBorders>
              <w:top w:val="nil"/>
              <w:bottom w:val="nil"/>
            </w:tcBorders>
            <w:shd w:val="clear" w:color="472D8C" w:fill="auto"/>
            <w:tcMar>
              <w:left w:w="108" w:type="dxa"/>
            </w:tcMar>
          </w:tcPr>
          <w:p w14:paraId="00D1B75B" w14:textId="77777777" w:rsidR="00A60D4B" w:rsidRPr="00111524" w:rsidRDefault="00A60D4B" w:rsidP="00A60D4B">
            <w:pPr>
              <w:pStyle w:val="Btablefigureunbold"/>
            </w:pPr>
          </w:p>
        </w:tc>
        <w:tc>
          <w:tcPr>
            <w:tcW w:w="1162" w:type="dxa"/>
            <w:tcBorders>
              <w:top w:val="nil"/>
              <w:bottom w:val="nil"/>
            </w:tcBorders>
            <w:shd w:val="clear" w:color="auto" w:fill="auto"/>
            <w:tcMar>
              <w:left w:w="108" w:type="dxa"/>
            </w:tcMar>
          </w:tcPr>
          <w:p w14:paraId="0873E026" w14:textId="77777777" w:rsidR="00A60D4B" w:rsidRPr="00EC74DB" w:rsidRDefault="00A60D4B" w:rsidP="00A60D4B">
            <w:pPr>
              <w:pStyle w:val="Btablefigureunbold"/>
            </w:pPr>
          </w:p>
        </w:tc>
        <w:tc>
          <w:tcPr>
            <w:tcW w:w="1163" w:type="dxa"/>
            <w:tcBorders>
              <w:top w:val="nil"/>
              <w:bottom w:val="nil"/>
            </w:tcBorders>
            <w:tcMar>
              <w:left w:w="108" w:type="dxa"/>
            </w:tcMar>
          </w:tcPr>
          <w:p w14:paraId="606ACD39" w14:textId="77777777" w:rsidR="00A60D4B" w:rsidRPr="00EC74DB" w:rsidRDefault="00A60D4B" w:rsidP="00A60D4B">
            <w:pPr>
              <w:pStyle w:val="Btablefigureunbold"/>
            </w:pPr>
          </w:p>
        </w:tc>
      </w:tr>
      <w:tr w:rsidR="00A60D4B" w:rsidRPr="00337DC9" w14:paraId="214D12B6" w14:textId="77777777" w:rsidTr="00A60D4B">
        <w:trPr>
          <w:cantSplit/>
          <w:trHeight w:val="270"/>
        </w:trPr>
        <w:tc>
          <w:tcPr>
            <w:tcW w:w="3261" w:type="dxa"/>
            <w:tcBorders>
              <w:top w:val="nil"/>
              <w:bottom w:val="single" w:sz="4" w:space="0" w:color="auto"/>
            </w:tcBorders>
          </w:tcPr>
          <w:p w14:paraId="20E8AEEE" w14:textId="77777777" w:rsidR="00A60D4B" w:rsidRPr="007D0A57" w:rsidRDefault="00A60D4B" w:rsidP="00A60D4B">
            <w:pPr>
              <w:pStyle w:val="Btabletextunbold"/>
            </w:pPr>
            <w:r w:rsidRPr="007D0A57">
              <w:t xml:space="preserve">National </w:t>
            </w:r>
            <w:r>
              <w:t>S</w:t>
            </w:r>
            <w:r w:rsidRPr="007D0A57">
              <w:t xml:space="preserve">chool </w:t>
            </w:r>
            <w:r>
              <w:t>C</w:t>
            </w:r>
            <w:r w:rsidRPr="007D0A57">
              <w:t xml:space="preserve">haplaincy </w:t>
            </w:r>
            <w:r>
              <w:t>P</w:t>
            </w:r>
            <w:r w:rsidRPr="007D0A57">
              <w:t>rogram</w:t>
            </w:r>
            <w:r w:rsidRPr="004E6FD5">
              <w:rPr>
                <w:vertAlign w:val="superscript"/>
              </w:rPr>
              <w:t>4</w:t>
            </w:r>
          </w:p>
        </w:tc>
        <w:tc>
          <w:tcPr>
            <w:tcW w:w="1162" w:type="dxa"/>
            <w:tcBorders>
              <w:top w:val="nil"/>
              <w:bottom w:val="single" w:sz="4" w:space="0" w:color="auto"/>
            </w:tcBorders>
            <w:tcMar>
              <w:left w:w="108" w:type="dxa"/>
            </w:tcMar>
          </w:tcPr>
          <w:p w14:paraId="198B99EF" w14:textId="77777777" w:rsidR="00A60D4B" w:rsidRPr="00EC74DB" w:rsidRDefault="00A60D4B" w:rsidP="00A60D4B">
            <w:pPr>
              <w:pStyle w:val="Btablefigureunbold"/>
            </w:pPr>
            <w:r w:rsidRPr="00FC2EC6">
              <w:t>577</w:t>
            </w:r>
          </w:p>
        </w:tc>
        <w:tc>
          <w:tcPr>
            <w:tcW w:w="1162" w:type="dxa"/>
            <w:tcBorders>
              <w:top w:val="nil"/>
              <w:bottom w:val="single" w:sz="4" w:space="0" w:color="auto"/>
            </w:tcBorders>
            <w:shd w:val="clear" w:color="auto" w:fill="auto"/>
            <w:tcMar>
              <w:left w:w="108" w:type="dxa"/>
            </w:tcMar>
          </w:tcPr>
          <w:p w14:paraId="1B9D2584" w14:textId="77777777" w:rsidR="00A60D4B" w:rsidRPr="00EC74DB" w:rsidRDefault="00A60D4B" w:rsidP="00A60D4B">
            <w:pPr>
              <w:pStyle w:val="Btablefigureunbold"/>
            </w:pPr>
            <w:r w:rsidRPr="00FC2EC6">
              <w:t>977</w:t>
            </w:r>
          </w:p>
        </w:tc>
        <w:tc>
          <w:tcPr>
            <w:tcW w:w="1162" w:type="dxa"/>
            <w:tcBorders>
              <w:top w:val="nil"/>
              <w:bottom w:val="single" w:sz="4" w:space="0" w:color="auto"/>
            </w:tcBorders>
            <w:shd w:val="clear" w:color="472D8C" w:fill="auto"/>
            <w:tcMar>
              <w:left w:w="108" w:type="dxa"/>
            </w:tcMar>
          </w:tcPr>
          <w:p w14:paraId="76B4FB90" w14:textId="77777777" w:rsidR="00A60D4B" w:rsidRPr="00111524" w:rsidRDefault="00A60D4B" w:rsidP="00A60D4B">
            <w:pPr>
              <w:pStyle w:val="Btablefigureunbold"/>
            </w:pPr>
            <w:r w:rsidRPr="00FC2EC6">
              <w:t>977</w:t>
            </w:r>
          </w:p>
        </w:tc>
        <w:tc>
          <w:tcPr>
            <w:tcW w:w="1162" w:type="dxa"/>
            <w:tcBorders>
              <w:top w:val="nil"/>
              <w:bottom w:val="single" w:sz="4" w:space="0" w:color="auto"/>
            </w:tcBorders>
            <w:shd w:val="clear" w:color="auto" w:fill="auto"/>
            <w:tcMar>
              <w:left w:w="108" w:type="dxa"/>
            </w:tcMar>
          </w:tcPr>
          <w:p w14:paraId="1823AF83" w14:textId="77777777" w:rsidR="00A60D4B" w:rsidRPr="00EC74DB" w:rsidRDefault="00A60D4B" w:rsidP="00A60D4B">
            <w:pPr>
              <w:pStyle w:val="Btablefigureunbold"/>
            </w:pPr>
            <w:r w:rsidRPr="00FC2EC6">
              <w:t>977</w:t>
            </w:r>
          </w:p>
        </w:tc>
        <w:tc>
          <w:tcPr>
            <w:tcW w:w="1163" w:type="dxa"/>
            <w:tcBorders>
              <w:top w:val="nil"/>
              <w:bottom w:val="single" w:sz="4" w:space="0" w:color="auto"/>
            </w:tcBorders>
            <w:tcMar>
              <w:left w:w="108" w:type="dxa"/>
            </w:tcMar>
          </w:tcPr>
          <w:p w14:paraId="2C10F328" w14:textId="77777777" w:rsidR="00A60D4B" w:rsidRPr="00EC74DB" w:rsidRDefault="00A60D4B" w:rsidP="00A60D4B">
            <w:pPr>
              <w:pStyle w:val="Btablefigureunbold"/>
            </w:pPr>
            <w:r w:rsidRPr="00FC2EC6">
              <w:t>977</w:t>
            </w:r>
          </w:p>
        </w:tc>
      </w:tr>
      <w:tr w:rsidR="00A60D4B" w:rsidRPr="00337DC9" w14:paraId="3B1BC924" w14:textId="77777777" w:rsidTr="00A60D4B">
        <w:trPr>
          <w:cantSplit/>
          <w:trHeight w:val="270"/>
        </w:trPr>
        <w:tc>
          <w:tcPr>
            <w:tcW w:w="3261" w:type="dxa"/>
            <w:tcBorders>
              <w:top w:val="single" w:sz="4" w:space="0" w:color="auto"/>
              <w:bottom w:val="nil"/>
            </w:tcBorders>
          </w:tcPr>
          <w:p w14:paraId="24D3870B" w14:textId="77777777" w:rsidR="00A60D4B" w:rsidRDefault="00A60D4B" w:rsidP="00A60D4B">
            <w:pPr>
              <w:pStyle w:val="Btabletextunbold"/>
            </w:pPr>
            <w:r>
              <w:t>Universal Access to Early Childhood Education</w:t>
            </w:r>
          </w:p>
        </w:tc>
        <w:tc>
          <w:tcPr>
            <w:tcW w:w="1162" w:type="dxa"/>
            <w:tcBorders>
              <w:top w:val="single" w:sz="4" w:space="0" w:color="auto"/>
              <w:bottom w:val="nil"/>
            </w:tcBorders>
            <w:tcMar>
              <w:left w:w="108" w:type="dxa"/>
            </w:tcMar>
          </w:tcPr>
          <w:p w14:paraId="61F069F1" w14:textId="77777777" w:rsidR="00A60D4B" w:rsidRPr="00EC74DB" w:rsidRDefault="00A60D4B" w:rsidP="00A60D4B">
            <w:pPr>
              <w:pStyle w:val="Btablefigureunbold"/>
            </w:pPr>
            <w:r w:rsidRPr="007A74F4">
              <w:t>9,600</w:t>
            </w:r>
          </w:p>
        </w:tc>
        <w:tc>
          <w:tcPr>
            <w:tcW w:w="1162" w:type="dxa"/>
            <w:tcBorders>
              <w:top w:val="single" w:sz="4" w:space="0" w:color="auto"/>
              <w:bottom w:val="nil"/>
            </w:tcBorders>
            <w:shd w:val="clear" w:color="auto" w:fill="auto"/>
            <w:tcMar>
              <w:left w:w="108" w:type="dxa"/>
            </w:tcMar>
          </w:tcPr>
          <w:p w14:paraId="5F1D1E30" w14:textId="77777777" w:rsidR="00A60D4B" w:rsidRPr="00EC74DB" w:rsidRDefault="00A60D4B" w:rsidP="00A60D4B">
            <w:pPr>
              <w:pStyle w:val="Btablefigureunbold"/>
            </w:pPr>
            <w:r w:rsidRPr="007A74F4">
              <w:t>6,758</w:t>
            </w:r>
          </w:p>
        </w:tc>
        <w:tc>
          <w:tcPr>
            <w:tcW w:w="1162" w:type="dxa"/>
            <w:tcBorders>
              <w:top w:val="single" w:sz="4" w:space="0" w:color="auto"/>
              <w:bottom w:val="nil"/>
            </w:tcBorders>
            <w:shd w:val="clear" w:color="472D8C" w:fill="auto"/>
            <w:tcMar>
              <w:left w:w="108" w:type="dxa"/>
            </w:tcMar>
          </w:tcPr>
          <w:p w14:paraId="7B1BF6E5" w14:textId="77777777" w:rsidR="00A60D4B" w:rsidRPr="00111524" w:rsidRDefault="00A60D4B" w:rsidP="00A60D4B">
            <w:pPr>
              <w:pStyle w:val="Btablefigureunbold"/>
            </w:pPr>
            <w:r>
              <w:t>0</w:t>
            </w:r>
          </w:p>
        </w:tc>
        <w:tc>
          <w:tcPr>
            <w:tcW w:w="1162" w:type="dxa"/>
            <w:tcBorders>
              <w:top w:val="single" w:sz="4" w:space="0" w:color="auto"/>
              <w:bottom w:val="nil"/>
            </w:tcBorders>
            <w:shd w:val="clear" w:color="auto" w:fill="auto"/>
            <w:tcMar>
              <w:left w:w="108" w:type="dxa"/>
            </w:tcMar>
          </w:tcPr>
          <w:p w14:paraId="7ADB98C3" w14:textId="77777777" w:rsidR="00A60D4B" w:rsidRPr="00EC74DB" w:rsidRDefault="00A60D4B" w:rsidP="00A60D4B">
            <w:pPr>
              <w:pStyle w:val="Btablefigureunbold"/>
            </w:pPr>
            <w:r>
              <w:t>0</w:t>
            </w:r>
          </w:p>
        </w:tc>
        <w:tc>
          <w:tcPr>
            <w:tcW w:w="1163" w:type="dxa"/>
            <w:tcBorders>
              <w:top w:val="single" w:sz="4" w:space="0" w:color="auto"/>
              <w:bottom w:val="nil"/>
            </w:tcBorders>
            <w:tcMar>
              <w:left w:w="108" w:type="dxa"/>
            </w:tcMar>
          </w:tcPr>
          <w:p w14:paraId="55806E7E" w14:textId="77777777" w:rsidR="00A60D4B" w:rsidRPr="00EC74DB" w:rsidRDefault="00A60D4B" w:rsidP="00A60D4B">
            <w:pPr>
              <w:pStyle w:val="Btablefigureunbold"/>
            </w:pPr>
            <w:r>
              <w:t>0</w:t>
            </w:r>
          </w:p>
        </w:tc>
      </w:tr>
      <w:tr w:rsidR="00A60D4B" w:rsidRPr="00337DC9" w14:paraId="3205B608" w14:textId="77777777" w:rsidTr="00A60D4B">
        <w:trPr>
          <w:cantSplit/>
          <w:trHeight w:val="270"/>
        </w:trPr>
        <w:tc>
          <w:tcPr>
            <w:tcW w:w="3261" w:type="dxa"/>
            <w:tcBorders>
              <w:top w:val="nil"/>
              <w:bottom w:val="nil"/>
            </w:tcBorders>
          </w:tcPr>
          <w:p w14:paraId="34003D1A" w14:textId="77777777" w:rsidR="00A60D4B" w:rsidRDefault="00A60D4B" w:rsidP="00A60D4B">
            <w:pPr>
              <w:pStyle w:val="Btabletextunbold"/>
            </w:pPr>
            <w:r w:rsidRPr="00CE7255">
              <w:t>Guaranteeing Universal Access to Preschool</w:t>
            </w:r>
            <w:r>
              <w:rPr>
                <w:vertAlign w:val="superscript"/>
              </w:rPr>
              <w:t>5</w:t>
            </w:r>
          </w:p>
        </w:tc>
        <w:tc>
          <w:tcPr>
            <w:tcW w:w="1162" w:type="dxa"/>
            <w:tcBorders>
              <w:top w:val="nil"/>
              <w:bottom w:val="nil"/>
            </w:tcBorders>
            <w:tcMar>
              <w:left w:w="108" w:type="dxa"/>
            </w:tcMar>
          </w:tcPr>
          <w:p w14:paraId="0834CBD1" w14:textId="77777777" w:rsidR="00A60D4B" w:rsidRPr="00EC74DB" w:rsidRDefault="00A60D4B" w:rsidP="00A60D4B">
            <w:pPr>
              <w:pStyle w:val="Btablefigureunbold"/>
            </w:pPr>
            <w:r>
              <w:t>0</w:t>
            </w:r>
          </w:p>
        </w:tc>
        <w:tc>
          <w:tcPr>
            <w:tcW w:w="1162" w:type="dxa"/>
            <w:tcBorders>
              <w:top w:val="nil"/>
              <w:bottom w:val="nil"/>
            </w:tcBorders>
            <w:shd w:val="clear" w:color="auto" w:fill="auto"/>
            <w:tcMar>
              <w:left w:w="108" w:type="dxa"/>
            </w:tcMar>
          </w:tcPr>
          <w:p w14:paraId="6C7BBB55" w14:textId="77777777" w:rsidR="00A60D4B" w:rsidRPr="00EC74DB" w:rsidRDefault="00A60D4B" w:rsidP="00A60D4B">
            <w:pPr>
              <w:pStyle w:val="Btablefigureunbold"/>
            </w:pPr>
            <w:r w:rsidRPr="00E40250">
              <w:t>3,343</w:t>
            </w:r>
          </w:p>
        </w:tc>
        <w:tc>
          <w:tcPr>
            <w:tcW w:w="1162" w:type="dxa"/>
            <w:tcBorders>
              <w:top w:val="nil"/>
              <w:bottom w:val="nil"/>
            </w:tcBorders>
            <w:shd w:val="clear" w:color="472D8C" w:fill="auto"/>
            <w:tcMar>
              <w:left w:w="108" w:type="dxa"/>
            </w:tcMar>
          </w:tcPr>
          <w:p w14:paraId="61CEA4BD" w14:textId="77777777" w:rsidR="00A60D4B" w:rsidRPr="00111524" w:rsidRDefault="00A60D4B" w:rsidP="00A60D4B">
            <w:pPr>
              <w:pStyle w:val="Btablefigureunbold"/>
            </w:pPr>
            <w:r w:rsidRPr="00E40250">
              <w:t>10,060</w:t>
            </w:r>
          </w:p>
        </w:tc>
        <w:tc>
          <w:tcPr>
            <w:tcW w:w="1162" w:type="dxa"/>
            <w:tcBorders>
              <w:top w:val="nil"/>
              <w:bottom w:val="nil"/>
            </w:tcBorders>
            <w:shd w:val="clear" w:color="auto" w:fill="auto"/>
            <w:tcMar>
              <w:left w:w="108" w:type="dxa"/>
            </w:tcMar>
          </w:tcPr>
          <w:p w14:paraId="4F92C00D" w14:textId="77777777" w:rsidR="00A60D4B" w:rsidRPr="00EC74DB" w:rsidRDefault="00A60D4B" w:rsidP="00A60D4B">
            <w:pPr>
              <w:pStyle w:val="Btablefigureunbold"/>
            </w:pPr>
            <w:r w:rsidRPr="00E40250">
              <w:t>10,369</w:t>
            </w:r>
          </w:p>
        </w:tc>
        <w:tc>
          <w:tcPr>
            <w:tcW w:w="1163" w:type="dxa"/>
            <w:tcBorders>
              <w:top w:val="nil"/>
              <w:bottom w:val="nil"/>
            </w:tcBorders>
            <w:tcMar>
              <w:left w:w="108" w:type="dxa"/>
            </w:tcMar>
          </w:tcPr>
          <w:p w14:paraId="4BDE80F3" w14:textId="77777777" w:rsidR="00A60D4B" w:rsidRPr="00EC74DB" w:rsidRDefault="00A60D4B" w:rsidP="00A60D4B">
            <w:pPr>
              <w:pStyle w:val="Btablefigureunbold"/>
            </w:pPr>
            <w:r w:rsidRPr="00E40250">
              <w:t>11,149</w:t>
            </w:r>
          </w:p>
        </w:tc>
      </w:tr>
      <w:tr w:rsidR="00A60D4B" w:rsidRPr="00337DC9" w14:paraId="67B1F236" w14:textId="77777777" w:rsidTr="00A60D4B">
        <w:trPr>
          <w:cantSplit/>
          <w:trHeight w:val="270"/>
        </w:trPr>
        <w:tc>
          <w:tcPr>
            <w:tcW w:w="3261" w:type="dxa"/>
            <w:tcBorders>
              <w:top w:val="nil"/>
              <w:bottom w:val="single" w:sz="4" w:space="0" w:color="auto"/>
            </w:tcBorders>
          </w:tcPr>
          <w:p w14:paraId="20251CE3" w14:textId="77777777" w:rsidR="00A60D4B" w:rsidRDefault="00A60D4B" w:rsidP="00A60D4B">
            <w:pPr>
              <w:pStyle w:val="Btabletextbolditalic"/>
            </w:pPr>
            <w:r>
              <w:t>Total Education NPPs</w:t>
            </w:r>
          </w:p>
        </w:tc>
        <w:tc>
          <w:tcPr>
            <w:tcW w:w="1162" w:type="dxa"/>
            <w:tcBorders>
              <w:top w:val="nil"/>
              <w:bottom w:val="single" w:sz="4" w:space="0" w:color="auto"/>
            </w:tcBorders>
            <w:tcMar>
              <w:left w:w="108" w:type="dxa"/>
            </w:tcMar>
          </w:tcPr>
          <w:p w14:paraId="4AD1EAFC" w14:textId="77777777" w:rsidR="00A60D4B" w:rsidRPr="00EC74DB" w:rsidRDefault="00A60D4B" w:rsidP="00A60D4B">
            <w:pPr>
              <w:pStyle w:val="BTablefigurebolditalic"/>
            </w:pPr>
            <w:r w:rsidRPr="00AB6886">
              <w:t>10,177</w:t>
            </w:r>
          </w:p>
        </w:tc>
        <w:tc>
          <w:tcPr>
            <w:tcW w:w="1162" w:type="dxa"/>
            <w:tcBorders>
              <w:top w:val="nil"/>
              <w:bottom w:val="single" w:sz="4" w:space="0" w:color="auto"/>
            </w:tcBorders>
            <w:shd w:val="clear" w:color="auto" w:fill="auto"/>
            <w:tcMar>
              <w:left w:w="108" w:type="dxa"/>
            </w:tcMar>
          </w:tcPr>
          <w:p w14:paraId="72309A10" w14:textId="77777777" w:rsidR="00A60D4B" w:rsidRPr="00EC74DB" w:rsidRDefault="00A60D4B" w:rsidP="00A60D4B">
            <w:pPr>
              <w:pStyle w:val="BTablefigurebolditalic"/>
            </w:pPr>
            <w:r w:rsidRPr="00AB6886">
              <w:t>11,078</w:t>
            </w:r>
          </w:p>
        </w:tc>
        <w:tc>
          <w:tcPr>
            <w:tcW w:w="1162" w:type="dxa"/>
            <w:tcBorders>
              <w:top w:val="nil"/>
              <w:bottom w:val="single" w:sz="4" w:space="0" w:color="auto"/>
            </w:tcBorders>
            <w:shd w:val="clear" w:color="472D8C" w:fill="auto"/>
            <w:tcMar>
              <w:left w:w="108" w:type="dxa"/>
            </w:tcMar>
          </w:tcPr>
          <w:p w14:paraId="4D9353D1" w14:textId="77777777" w:rsidR="00A60D4B" w:rsidRPr="00111524" w:rsidRDefault="00A60D4B" w:rsidP="00A60D4B">
            <w:pPr>
              <w:pStyle w:val="BTablefigurebolditalic"/>
            </w:pPr>
            <w:r w:rsidRPr="00AB6886">
              <w:t>11,037</w:t>
            </w:r>
          </w:p>
        </w:tc>
        <w:tc>
          <w:tcPr>
            <w:tcW w:w="1162" w:type="dxa"/>
            <w:tcBorders>
              <w:top w:val="nil"/>
              <w:bottom w:val="single" w:sz="4" w:space="0" w:color="auto"/>
            </w:tcBorders>
            <w:shd w:val="clear" w:color="auto" w:fill="auto"/>
            <w:tcMar>
              <w:left w:w="108" w:type="dxa"/>
            </w:tcMar>
          </w:tcPr>
          <w:p w14:paraId="28036A72" w14:textId="77777777" w:rsidR="00A60D4B" w:rsidRPr="00EC74DB" w:rsidRDefault="00A60D4B" w:rsidP="00A60D4B">
            <w:pPr>
              <w:pStyle w:val="BTablefigurebolditalic"/>
            </w:pPr>
            <w:r w:rsidRPr="00AB6886">
              <w:t>11,346</w:t>
            </w:r>
          </w:p>
        </w:tc>
        <w:tc>
          <w:tcPr>
            <w:tcW w:w="1163" w:type="dxa"/>
            <w:tcBorders>
              <w:top w:val="nil"/>
              <w:bottom w:val="single" w:sz="4" w:space="0" w:color="auto"/>
            </w:tcBorders>
            <w:tcMar>
              <w:left w:w="108" w:type="dxa"/>
            </w:tcMar>
          </w:tcPr>
          <w:p w14:paraId="26175203" w14:textId="77777777" w:rsidR="00A60D4B" w:rsidRPr="00EC74DB" w:rsidRDefault="00A60D4B" w:rsidP="00A60D4B">
            <w:pPr>
              <w:pStyle w:val="BTablefigurebolditalic"/>
            </w:pPr>
            <w:r w:rsidRPr="00AB6886">
              <w:t>12,126</w:t>
            </w:r>
          </w:p>
        </w:tc>
      </w:tr>
      <w:tr w:rsidR="00A60D4B" w:rsidRPr="00337DC9" w14:paraId="399E849C" w14:textId="77777777" w:rsidTr="00A60D4B">
        <w:trPr>
          <w:cantSplit/>
          <w:trHeight w:val="270"/>
        </w:trPr>
        <w:tc>
          <w:tcPr>
            <w:tcW w:w="3261" w:type="dxa"/>
            <w:tcBorders>
              <w:top w:val="single" w:sz="4" w:space="0" w:color="auto"/>
              <w:bottom w:val="single" w:sz="4" w:space="0" w:color="auto"/>
            </w:tcBorders>
          </w:tcPr>
          <w:p w14:paraId="30A5F981" w14:textId="77777777" w:rsidR="00A60D4B" w:rsidRDefault="00A60D4B" w:rsidP="00A60D4B">
            <w:pPr>
              <w:pStyle w:val="Btabletextbold"/>
            </w:pPr>
            <w:r>
              <w:t>Total Education</w:t>
            </w:r>
          </w:p>
        </w:tc>
        <w:tc>
          <w:tcPr>
            <w:tcW w:w="1162" w:type="dxa"/>
            <w:tcBorders>
              <w:top w:val="single" w:sz="4" w:space="0" w:color="auto"/>
              <w:bottom w:val="single" w:sz="4" w:space="0" w:color="auto"/>
            </w:tcBorders>
            <w:tcMar>
              <w:left w:w="108" w:type="dxa"/>
            </w:tcMar>
          </w:tcPr>
          <w:p w14:paraId="6A619550" w14:textId="77777777" w:rsidR="00A60D4B" w:rsidRPr="00EC74DB" w:rsidRDefault="00A60D4B" w:rsidP="00A60D4B">
            <w:pPr>
              <w:pStyle w:val="Btablefigurebold0"/>
            </w:pPr>
            <w:r w:rsidRPr="00396BC4">
              <w:t>392,907</w:t>
            </w:r>
          </w:p>
        </w:tc>
        <w:tc>
          <w:tcPr>
            <w:tcW w:w="1162" w:type="dxa"/>
            <w:tcBorders>
              <w:top w:val="single" w:sz="4" w:space="0" w:color="auto"/>
              <w:bottom w:val="single" w:sz="4" w:space="0" w:color="auto"/>
            </w:tcBorders>
            <w:shd w:val="clear" w:color="auto" w:fill="auto"/>
            <w:tcMar>
              <w:left w:w="108" w:type="dxa"/>
            </w:tcMar>
          </w:tcPr>
          <w:p w14:paraId="3CAA1AE5" w14:textId="77777777" w:rsidR="00A60D4B" w:rsidRPr="00EC74DB" w:rsidRDefault="00A60D4B" w:rsidP="00A60D4B">
            <w:pPr>
              <w:pStyle w:val="Btablefigurebold0"/>
            </w:pPr>
            <w:r w:rsidRPr="00396BC4">
              <w:t>414,015</w:t>
            </w:r>
          </w:p>
        </w:tc>
        <w:tc>
          <w:tcPr>
            <w:tcW w:w="1162" w:type="dxa"/>
            <w:tcBorders>
              <w:top w:val="single" w:sz="4" w:space="0" w:color="auto"/>
              <w:bottom w:val="single" w:sz="4" w:space="0" w:color="auto"/>
            </w:tcBorders>
            <w:shd w:val="clear" w:color="472D8C" w:fill="auto"/>
            <w:tcMar>
              <w:left w:w="108" w:type="dxa"/>
            </w:tcMar>
          </w:tcPr>
          <w:p w14:paraId="64D68E31" w14:textId="77777777" w:rsidR="00A60D4B" w:rsidRPr="00111524" w:rsidRDefault="00A60D4B" w:rsidP="00A60D4B">
            <w:pPr>
              <w:pStyle w:val="Btablefigurebold0"/>
            </w:pPr>
            <w:r w:rsidRPr="00396BC4">
              <w:t>436,344</w:t>
            </w:r>
          </w:p>
        </w:tc>
        <w:tc>
          <w:tcPr>
            <w:tcW w:w="1162" w:type="dxa"/>
            <w:tcBorders>
              <w:top w:val="single" w:sz="4" w:space="0" w:color="auto"/>
              <w:bottom w:val="single" w:sz="4" w:space="0" w:color="auto"/>
            </w:tcBorders>
            <w:shd w:val="clear" w:color="auto" w:fill="auto"/>
            <w:tcMar>
              <w:left w:w="108" w:type="dxa"/>
            </w:tcMar>
          </w:tcPr>
          <w:p w14:paraId="1619E730" w14:textId="77777777" w:rsidR="00A60D4B" w:rsidRPr="00EC74DB" w:rsidRDefault="00A60D4B" w:rsidP="00A60D4B">
            <w:pPr>
              <w:pStyle w:val="Btablefigurebold0"/>
            </w:pPr>
            <w:r w:rsidRPr="00396BC4">
              <w:t>456,275</w:t>
            </w:r>
          </w:p>
        </w:tc>
        <w:tc>
          <w:tcPr>
            <w:tcW w:w="1163" w:type="dxa"/>
            <w:tcBorders>
              <w:top w:val="single" w:sz="4" w:space="0" w:color="auto"/>
              <w:bottom w:val="single" w:sz="4" w:space="0" w:color="auto"/>
            </w:tcBorders>
            <w:tcMar>
              <w:left w:w="108" w:type="dxa"/>
            </w:tcMar>
          </w:tcPr>
          <w:p w14:paraId="7AC6D9CD" w14:textId="77777777" w:rsidR="00A60D4B" w:rsidRPr="00EC74DB" w:rsidRDefault="00A60D4B" w:rsidP="00A60D4B">
            <w:pPr>
              <w:pStyle w:val="Btablefigurebold0"/>
            </w:pPr>
            <w:r w:rsidRPr="00396BC4">
              <w:t>472,775</w:t>
            </w:r>
          </w:p>
        </w:tc>
      </w:tr>
      <w:tr w:rsidR="00A60D4B" w:rsidRPr="00337DC9" w14:paraId="38A7929C" w14:textId="77777777" w:rsidTr="00A60D4B">
        <w:trPr>
          <w:cantSplit/>
          <w:trHeight w:val="270"/>
        </w:trPr>
        <w:tc>
          <w:tcPr>
            <w:tcW w:w="3261" w:type="dxa"/>
            <w:tcBorders>
              <w:top w:val="single" w:sz="4" w:space="0" w:color="auto"/>
              <w:bottom w:val="nil"/>
            </w:tcBorders>
          </w:tcPr>
          <w:p w14:paraId="11522752" w14:textId="77777777" w:rsidR="00A60D4B" w:rsidRDefault="00A60D4B" w:rsidP="00A60D4B">
            <w:pPr>
              <w:pStyle w:val="Btabletextbold"/>
              <w:keepNext/>
            </w:pPr>
          </w:p>
          <w:p w14:paraId="17BB35AE" w14:textId="77777777" w:rsidR="00A60D4B" w:rsidRDefault="00A60D4B" w:rsidP="00A60D4B">
            <w:pPr>
              <w:pStyle w:val="Btabletextbold"/>
              <w:keepNext/>
            </w:pPr>
            <w:r>
              <w:t>Skills and Workforce Development</w:t>
            </w:r>
          </w:p>
        </w:tc>
        <w:tc>
          <w:tcPr>
            <w:tcW w:w="1162" w:type="dxa"/>
            <w:tcBorders>
              <w:top w:val="single" w:sz="4" w:space="0" w:color="auto"/>
              <w:bottom w:val="nil"/>
            </w:tcBorders>
            <w:tcMar>
              <w:left w:w="108" w:type="dxa"/>
            </w:tcMar>
          </w:tcPr>
          <w:p w14:paraId="0407133B" w14:textId="77777777" w:rsidR="00A60D4B" w:rsidRPr="00EC74DB"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1E7968B2" w14:textId="77777777" w:rsidR="00A60D4B" w:rsidRPr="00EC74DB" w:rsidRDefault="00A60D4B" w:rsidP="00A60D4B">
            <w:pPr>
              <w:pStyle w:val="Btablefigureunbold"/>
            </w:pPr>
          </w:p>
        </w:tc>
        <w:tc>
          <w:tcPr>
            <w:tcW w:w="1162" w:type="dxa"/>
            <w:tcBorders>
              <w:top w:val="single" w:sz="4" w:space="0" w:color="auto"/>
              <w:bottom w:val="nil"/>
            </w:tcBorders>
            <w:shd w:val="clear" w:color="472D8C" w:fill="auto"/>
            <w:tcMar>
              <w:left w:w="108" w:type="dxa"/>
            </w:tcMar>
          </w:tcPr>
          <w:p w14:paraId="32B23939" w14:textId="77777777" w:rsidR="00A60D4B" w:rsidRPr="00111524"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7A4A2143" w14:textId="77777777" w:rsidR="00A60D4B" w:rsidRPr="00EC74DB" w:rsidRDefault="00A60D4B" w:rsidP="00A60D4B">
            <w:pPr>
              <w:pStyle w:val="Btablefigureunbold"/>
            </w:pPr>
          </w:p>
        </w:tc>
        <w:tc>
          <w:tcPr>
            <w:tcW w:w="1163" w:type="dxa"/>
            <w:tcBorders>
              <w:top w:val="single" w:sz="4" w:space="0" w:color="auto"/>
              <w:bottom w:val="nil"/>
            </w:tcBorders>
            <w:tcMar>
              <w:left w:w="108" w:type="dxa"/>
            </w:tcMar>
          </w:tcPr>
          <w:p w14:paraId="08EAF437" w14:textId="77777777" w:rsidR="00A60D4B" w:rsidRPr="00EC74DB" w:rsidRDefault="00A60D4B" w:rsidP="00A60D4B">
            <w:pPr>
              <w:pStyle w:val="Btablefigureunbold"/>
            </w:pPr>
          </w:p>
        </w:tc>
      </w:tr>
      <w:tr w:rsidR="00A60D4B" w:rsidRPr="00337DC9" w14:paraId="10938069" w14:textId="77777777" w:rsidTr="00A60D4B">
        <w:trPr>
          <w:cantSplit/>
          <w:trHeight w:val="270"/>
        </w:trPr>
        <w:tc>
          <w:tcPr>
            <w:tcW w:w="3261" w:type="dxa"/>
            <w:tcBorders>
              <w:top w:val="nil"/>
              <w:bottom w:val="nil"/>
            </w:tcBorders>
          </w:tcPr>
          <w:p w14:paraId="0FB04018" w14:textId="77777777" w:rsidR="00A60D4B" w:rsidRDefault="00A60D4B" w:rsidP="00A60D4B">
            <w:pPr>
              <w:pStyle w:val="Btabletextunbold"/>
            </w:pPr>
            <w:r w:rsidRPr="00FE6D8B">
              <w:t xml:space="preserve">National </w:t>
            </w:r>
            <w:r>
              <w:t xml:space="preserve">Agreement for </w:t>
            </w:r>
            <w:r w:rsidRPr="00FE6D8B">
              <w:t>Skills and Workforce Development</w:t>
            </w:r>
          </w:p>
        </w:tc>
        <w:tc>
          <w:tcPr>
            <w:tcW w:w="1162" w:type="dxa"/>
            <w:tcBorders>
              <w:top w:val="nil"/>
              <w:bottom w:val="nil"/>
            </w:tcBorders>
            <w:tcMar>
              <w:left w:w="108" w:type="dxa"/>
            </w:tcMar>
          </w:tcPr>
          <w:p w14:paraId="77978EE4" w14:textId="77777777" w:rsidR="00A60D4B" w:rsidRPr="00EC74DB" w:rsidRDefault="00A60D4B" w:rsidP="00A60D4B">
            <w:pPr>
              <w:pStyle w:val="Btablefigureunbold"/>
            </w:pPr>
            <w:r w:rsidRPr="00E07692">
              <w:t>25,981</w:t>
            </w:r>
          </w:p>
        </w:tc>
        <w:tc>
          <w:tcPr>
            <w:tcW w:w="1162" w:type="dxa"/>
            <w:tcBorders>
              <w:top w:val="nil"/>
              <w:bottom w:val="nil"/>
            </w:tcBorders>
            <w:shd w:val="clear" w:color="auto" w:fill="auto"/>
            <w:tcMar>
              <w:left w:w="108" w:type="dxa"/>
            </w:tcMar>
          </w:tcPr>
          <w:p w14:paraId="0C51A72F" w14:textId="77777777" w:rsidR="00A60D4B" w:rsidRPr="00EC74DB" w:rsidRDefault="00A60D4B" w:rsidP="00A60D4B">
            <w:pPr>
              <w:pStyle w:val="Btablefigureunbold"/>
            </w:pPr>
            <w:r w:rsidRPr="00E07692">
              <w:t>26,391</w:t>
            </w:r>
          </w:p>
        </w:tc>
        <w:tc>
          <w:tcPr>
            <w:tcW w:w="1162" w:type="dxa"/>
            <w:tcBorders>
              <w:top w:val="nil"/>
              <w:bottom w:val="nil"/>
            </w:tcBorders>
            <w:shd w:val="clear" w:color="472D8C" w:fill="auto"/>
            <w:tcMar>
              <w:left w:w="108" w:type="dxa"/>
            </w:tcMar>
          </w:tcPr>
          <w:p w14:paraId="33876E59" w14:textId="77777777" w:rsidR="00A60D4B" w:rsidRPr="00111524" w:rsidRDefault="00A60D4B" w:rsidP="00A60D4B">
            <w:pPr>
              <w:pStyle w:val="Btablefigureunbold"/>
            </w:pPr>
            <w:r w:rsidRPr="00E07692">
              <w:t>26,686</w:t>
            </w:r>
          </w:p>
        </w:tc>
        <w:tc>
          <w:tcPr>
            <w:tcW w:w="1162" w:type="dxa"/>
            <w:tcBorders>
              <w:top w:val="nil"/>
              <w:bottom w:val="nil"/>
            </w:tcBorders>
            <w:shd w:val="clear" w:color="auto" w:fill="auto"/>
            <w:tcMar>
              <w:left w:w="108" w:type="dxa"/>
            </w:tcMar>
          </w:tcPr>
          <w:p w14:paraId="6DA10F9D" w14:textId="77777777" w:rsidR="00A60D4B" w:rsidRPr="00EC74DB" w:rsidRDefault="00A60D4B" w:rsidP="00A60D4B">
            <w:pPr>
              <w:pStyle w:val="Btablefigureunbold"/>
            </w:pPr>
            <w:r w:rsidRPr="00E07692">
              <w:t>26,971</w:t>
            </w:r>
          </w:p>
        </w:tc>
        <w:tc>
          <w:tcPr>
            <w:tcW w:w="1163" w:type="dxa"/>
            <w:tcBorders>
              <w:top w:val="nil"/>
              <w:bottom w:val="nil"/>
            </w:tcBorders>
            <w:tcMar>
              <w:left w:w="108" w:type="dxa"/>
            </w:tcMar>
          </w:tcPr>
          <w:p w14:paraId="56E0FE95" w14:textId="77777777" w:rsidR="00A60D4B" w:rsidRPr="00EC74DB" w:rsidRDefault="00A60D4B" w:rsidP="00A60D4B">
            <w:pPr>
              <w:pStyle w:val="Btablefigureunbold"/>
            </w:pPr>
            <w:r w:rsidRPr="00E07692">
              <w:t>27,232</w:t>
            </w:r>
          </w:p>
        </w:tc>
      </w:tr>
      <w:tr w:rsidR="00A60D4B" w:rsidRPr="00337DC9" w14:paraId="16FC59FD" w14:textId="77777777" w:rsidTr="00A60D4B">
        <w:trPr>
          <w:cantSplit/>
          <w:trHeight w:val="270"/>
        </w:trPr>
        <w:tc>
          <w:tcPr>
            <w:tcW w:w="3261" w:type="dxa"/>
            <w:tcBorders>
              <w:top w:val="nil"/>
              <w:bottom w:val="nil"/>
            </w:tcBorders>
          </w:tcPr>
          <w:p w14:paraId="05B1ED4D" w14:textId="77777777" w:rsidR="00A60D4B" w:rsidRDefault="00A60D4B" w:rsidP="00A60D4B">
            <w:pPr>
              <w:pStyle w:val="Btabletextbold"/>
              <w:keepNext/>
            </w:pPr>
            <w:r>
              <w:t>Skills and Workforce Development NPPs</w:t>
            </w:r>
          </w:p>
        </w:tc>
        <w:tc>
          <w:tcPr>
            <w:tcW w:w="1162" w:type="dxa"/>
            <w:tcBorders>
              <w:top w:val="nil"/>
              <w:bottom w:val="nil"/>
            </w:tcBorders>
            <w:tcMar>
              <w:left w:w="108" w:type="dxa"/>
            </w:tcMar>
          </w:tcPr>
          <w:p w14:paraId="15E95C72" w14:textId="77777777" w:rsidR="00A60D4B" w:rsidRPr="00EC74DB" w:rsidRDefault="00A60D4B" w:rsidP="00A60D4B">
            <w:pPr>
              <w:pStyle w:val="Btablefigureunbold"/>
            </w:pPr>
          </w:p>
        </w:tc>
        <w:tc>
          <w:tcPr>
            <w:tcW w:w="1162" w:type="dxa"/>
            <w:tcBorders>
              <w:top w:val="nil"/>
              <w:bottom w:val="nil"/>
            </w:tcBorders>
            <w:shd w:val="clear" w:color="auto" w:fill="auto"/>
            <w:tcMar>
              <w:left w:w="108" w:type="dxa"/>
            </w:tcMar>
          </w:tcPr>
          <w:p w14:paraId="348C411B" w14:textId="77777777" w:rsidR="00A60D4B" w:rsidRPr="00EC74DB" w:rsidRDefault="00A60D4B" w:rsidP="00A60D4B">
            <w:pPr>
              <w:pStyle w:val="Btablefigureunbold"/>
            </w:pPr>
          </w:p>
        </w:tc>
        <w:tc>
          <w:tcPr>
            <w:tcW w:w="1162" w:type="dxa"/>
            <w:tcBorders>
              <w:top w:val="nil"/>
              <w:bottom w:val="nil"/>
            </w:tcBorders>
            <w:shd w:val="clear" w:color="472D8C" w:fill="auto"/>
            <w:tcMar>
              <w:left w:w="108" w:type="dxa"/>
            </w:tcMar>
          </w:tcPr>
          <w:p w14:paraId="03AA6B6D" w14:textId="77777777" w:rsidR="00A60D4B" w:rsidRPr="00111524" w:rsidRDefault="00A60D4B" w:rsidP="00A60D4B">
            <w:pPr>
              <w:pStyle w:val="Btablefigureunbold"/>
            </w:pPr>
          </w:p>
        </w:tc>
        <w:tc>
          <w:tcPr>
            <w:tcW w:w="1162" w:type="dxa"/>
            <w:tcBorders>
              <w:top w:val="nil"/>
              <w:bottom w:val="nil"/>
            </w:tcBorders>
            <w:shd w:val="clear" w:color="auto" w:fill="auto"/>
            <w:tcMar>
              <w:left w:w="108" w:type="dxa"/>
            </w:tcMar>
          </w:tcPr>
          <w:p w14:paraId="3BE7D411" w14:textId="77777777" w:rsidR="00A60D4B" w:rsidRPr="00EC74DB" w:rsidRDefault="00A60D4B" w:rsidP="00A60D4B">
            <w:pPr>
              <w:pStyle w:val="Btablefigureunbold"/>
            </w:pPr>
          </w:p>
        </w:tc>
        <w:tc>
          <w:tcPr>
            <w:tcW w:w="1163" w:type="dxa"/>
            <w:tcBorders>
              <w:top w:val="nil"/>
              <w:bottom w:val="nil"/>
            </w:tcBorders>
            <w:tcMar>
              <w:left w:w="108" w:type="dxa"/>
            </w:tcMar>
          </w:tcPr>
          <w:p w14:paraId="47BF751B" w14:textId="77777777" w:rsidR="00A60D4B" w:rsidRPr="00EC74DB" w:rsidRDefault="00A60D4B" w:rsidP="00A60D4B">
            <w:pPr>
              <w:pStyle w:val="Btablefigureunbold"/>
            </w:pPr>
          </w:p>
        </w:tc>
      </w:tr>
      <w:tr w:rsidR="00A60D4B" w:rsidRPr="00337DC9" w14:paraId="7BF8AB04" w14:textId="77777777" w:rsidTr="00A60D4B">
        <w:trPr>
          <w:cantSplit/>
          <w:trHeight w:val="270"/>
        </w:trPr>
        <w:tc>
          <w:tcPr>
            <w:tcW w:w="3261" w:type="dxa"/>
            <w:tcBorders>
              <w:top w:val="nil"/>
              <w:bottom w:val="nil"/>
            </w:tcBorders>
          </w:tcPr>
          <w:p w14:paraId="6A14F5D5" w14:textId="77777777" w:rsidR="00A60D4B" w:rsidRDefault="00A60D4B" w:rsidP="00A60D4B">
            <w:pPr>
              <w:pStyle w:val="Btabletextunbold"/>
            </w:pPr>
            <w:r>
              <w:t>JobTrainer Fund</w:t>
            </w:r>
          </w:p>
        </w:tc>
        <w:tc>
          <w:tcPr>
            <w:tcW w:w="1162" w:type="dxa"/>
            <w:tcBorders>
              <w:top w:val="nil"/>
              <w:bottom w:val="nil"/>
            </w:tcBorders>
            <w:tcMar>
              <w:left w:w="108" w:type="dxa"/>
            </w:tcMar>
          </w:tcPr>
          <w:p w14:paraId="4127CBB0" w14:textId="77777777" w:rsidR="00A60D4B" w:rsidRPr="00EC74DB" w:rsidRDefault="00A60D4B" w:rsidP="00A60D4B">
            <w:pPr>
              <w:pStyle w:val="Btablefigureunbold"/>
            </w:pPr>
            <w:r w:rsidRPr="004E29EC">
              <w:t>8,375</w:t>
            </w:r>
          </w:p>
        </w:tc>
        <w:tc>
          <w:tcPr>
            <w:tcW w:w="1162" w:type="dxa"/>
            <w:tcBorders>
              <w:top w:val="nil"/>
              <w:bottom w:val="nil"/>
            </w:tcBorders>
            <w:shd w:val="clear" w:color="auto" w:fill="auto"/>
            <w:tcMar>
              <w:left w:w="108" w:type="dxa"/>
            </w:tcMar>
          </w:tcPr>
          <w:p w14:paraId="2EBDFA94" w14:textId="77777777" w:rsidR="00A60D4B" w:rsidRPr="00EC74DB" w:rsidRDefault="00A60D4B" w:rsidP="00A60D4B">
            <w:pPr>
              <w:pStyle w:val="Btablefigureunbold"/>
            </w:pPr>
            <w:r w:rsidRPr="004E29EC">
              <w:t>5,025</w:t>
            </w:r>
          </w:p>
        </w:tc>
        <w:tc>
          <w:tcPr>
            <w:tcW w:w="1162" w:type="dxa"/>
            <w:tcBorders>
              <w:top w:val="nil"/>
              <w:bottom w:val="nil"/>
            </w:tcBorders>
            <w:shd w:val="clear" w:color="472D8C" w:fill="auto"/>
            <w:tcMar>
              <w:left w:w="108" w:type="dxa"/>
            </w:tcMar>
          </w:tcPr>
          <w:p w14:paraId="4942B8DC" w14:textId="77777777" w:rsidR="00A60D4B" w:rsidRPr="00111524" w:rsidRDefault="00A60D4B" w:rsidP="00A60D4B">
            <w:pPr>
              <w:pStyle w:val="Btablefigureunbold"/>
            </w:pPr>
            <w:r w:rsidRPr="004E29EC">
              <w:t>3,350</w:t>
            </w:r>
          </w:p>
        </w:tc>
        <w:tc>
          <w:tcPr>
            <w:tcW w:w="1162" w:type="dxa"/>
            <w:tcBorders>
              <w:top w:val="nil"/>
              <w:bottom w:val="nil"/>
            </w:tcBorders>
            <w:shd w:val="clear" w:color="auto" w:fill="auto"/>
            <w:tcMar>
              <w:left w:w="108" w:type="dxa"/>
            </w:tcMar>
          </w:tcPr>
          <w:p w14:paraId="1FBAB980"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596B145A" w14:textId="77777777" w:rsidR="00A60D4B" w:rsidRPr="00EC74DB" w:rsidRDefault="00A60D4B" w:rsidP="00A60D4B">
            <w:pPr>
              <w:pStyle w:val="Btablefigureunbold"/>
            </w:pPr>
            <w:r>
              <w:t>0</w:t>
            </w:r>
          </w:p>
        </w:tc>
      </w:tr>
      <w:tr w:rsidR="00A60D4B" w:rsidRPr="00337DC9" w14:paraId="0B62E2F3" w14:textId="77777777" w:rsidTr="00A60D4B">
        <w:trPr>
          <w:cantSplit/>
          <w:trHeight w:val="270"/>
        </w:trPr>
        <w:tc>
          <w:tcPr>
            <w:tcW w:w="3261" w:type="dxa"/>
            <w:tcBorders>
              <w:top w:val="nil"/>
              <w:bottom w:val="nil"/>
            </w:tcBorders>
          </w:tcPr>
          <w:p w14:paraId="0DC5AEFE" w14:textId="77777777" w:rsidR="00A60D4B" w:rsidRDefault="00A60D4B" w:rsidP="00A60D4B">
            <w:pPr>
              <w:pStyle w:val="Btabletextunbold"/>
            </w:pPr>
            <w:r>
              <w:t>Revitalising TAFE campuses across Australia</w:t>
            </w:r>
          </w:p>
        </w:tc>
        <w:tc>
          <w:tcPr>
            <w:tcW w:w="1162" w:type="dxa"/>
            <w:tcBorders>
              <w:top w:val="nil"/>
              <w:bottom w:val="nil"/>
            </w:tcBorders>
            <w:tcMar>
              <w:left w:w="108" w:type="dxa"/>
            </w:tcMar>
          </w:tcPr>
          <w:p w14:paraId="73D70788" w14:textId="77777777" w:rsidR="00A60D4B" w:rsidRPr="00EC74DB" w:rsidRDefault="00A60D4B" w:rsidP="00A60D4B">
            <w:pPr>
              <w:pStyle w:val="Btablefigureunbold"/>
            </w:pPr>
            <w:r w:rsidRPr="002901D8">
              <w:t>2,000</w:t>
            </w:r>
          </w:p>
        </w:tc>
        <w:tc>
          <w:tcPr>
            <w:tcW w:w="1162" w:type="dxa"/>
            <w:tcBorders>
              <w:top w:val="nil"/>
              <w:bottom w:val="nil"/>
            </w:tcBorders>
            <w:shd w:val="clear" w:color="auto" w:fill="auto"/>
            <w:tcMar>
              <w:left w:w="108" w:type="dxa"/>
            </w:tcMar>
          </w:tcPr>
          <w:p w14:paraId="1B48F4A1" w14:textId="77777777" w:rsidR="00A60D4B" w:rsidRPr="00EC74DB" w:rsidRDefault="00A60D4B" w:rsidP="00A60D4B">
            <w:pPr>
              <w:pStyle w:val="Btablefigureunbold"/>
            </w:pPr>
            <w:r w:rsidRPr="002901D8">
              <w:t>608</w:t>
            </w:r>
          </w:p>
        </w:tc>
        <w:tc>
          <w:tcPr>
            <w:tcW w:w="1162" w:type="dxa"/>
            <w:tcBorders>
              <w:top w:val="nil"/>
              <w:bottom w:val="nil"/>
            </w:tcBorders>
            <w:shd w:val="clear" w:color="472D8C" w:fill="auto"/>
            <w:tcMar>
              <w:left w:w="108" w:type="dxa"/>
            </w:tcMar>
          </w:tcPr>
          <w:p w14:paraId="58DD80A8" w14:textId="77777777" w:rsidR="00A60D4B" w:rsidRPr="00111524" w:rsidRDefault="00A60D4B" w:rsidP="00A60D4B">
            <w:pPr>
              <w:pStyle w:val="Btablefigureunbold"/>
            </w:pPr>
            <w:r>
              <w:t>0</w:t>
            </w:r>
          </w:p>
        </w:tc>
        <w:tc>
          <w:tcPr>
            <w:tcW w:w="1162" w:type="dxa"/>
            <w:tcBorders>
              <w:top w:val="nil"/>
              <w:bottom w:val="nil"/>
            </w:tcBorders>
            <w:shd w:val="clear" w:color="auto" w:fill="auto"/>
            <w:tcMar>
              <w:left w:w="108" w:type="dxa"/>
            </w:tcMar>
          </w:tcPr>
          <w:p w14:paraId="449D8167"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697A141F" w14:textId="77777777" w:rsidR="00A60D4B" w:rsidRPr="00EC74DB" w:rsidRDefault="00A60D4B" w:rsidP="00A60D4B">
            <w:pPr>
              <w:pStyle w:val="Btablefigureunbold"/>
            </w:pPr>
            <w:r>
              <w:t>0</w:t>
            </w:r>
          </w:p>
        </w:tc>
      </w:tr>
      <w:tr w:rsidR="00A60D4B" w:rsidRPr="00337DC9" w14:paraId="2486F799" w14:textId="77777777" w:rsidTr="00A60D4B">
        <w:trPr>
          <w:cantSplit/>
          <w:trHeight w:val="270"/>
        </w:trPr>
        <w:tc>
          <w:tcPr>
            <w:tcW w:w="3261" w:type="dxa"/>
            <w:tcBorders>
              <w:top w:val="nil"/>
              <w:bottom w:val="nil"/>
            </w:tcBorders>
          </w:tcPr>
          <w:p w14:paraId="6BA93727" w14:textId="77777777" w:rsidR="00A60D4B" w:rsidRDefault="00A60D4B" w:rsidP="00A60D4B">
            <w:pPr>
              <w:pStyle w:val="Btabletextunbold"/>
            </w:pPr>
            <w:r>
              <w:t>Skilling Australians Fund</w:t>
            </w:r>
          </w:p>
        </w:tc>
        <w:tc>
          <w:tcPr>
            <w:tcW w:w="1162" w:type="dxa"/>
            <w:tcBorders>
              <w:top w:val="nil"/>
              <w:bottom w:val="nil"/>
            </w:tcBorders>
            <w:tcMar>
              <w:left w:w="108" w:type="dxa"/>
            </w:tcMar>
          </w:tcPr>
          <w:p w14:paraId="55B5B9D2" w14:textId="77777777" w:rsidR="00A60D4B" w:rsidRPr="00EC74DB" w:rsidRDefault="00A60D4B" w:rsidP="00A60D4B">
            <w:pPr>
              <w:pStyle w:val="Btablefigureunbold"/>
            </w:pPr>
            <w:r w:rsidRPr="000115A0">
              <w:t>5,162</w:t>
            </w:r>
          </w:p>
        </w:tc>
        <w:tc>
          <w:tcPr>
            <w:tcW w:w="1162" w:type="dxa"/>
            <w:tcBorders>
              <w:top w:val="nil"/>
              <w:bottom w:val="nil"/>
            </w:tcBorders>
            <w:shd w:val="clear" w:color="auto" w:fill="auto"/>
            <w:tcMar>
              <w:left w:w="108" w:type="dxa"/>
            </w:tcMar>
          </w:tcPr>
          <w:p w14:paraId="37A6816F" w14:textId="77777777" w:rsidR="00A60D4B" w:rsidRPr="00EC74DB" w:rsidRDefault="00A60D4B" w:rsidP="00A60D4B">
            <w:pPr>
              <w:pStyle w:val="Btablefigureunbold"/>
            </w:pPr>
            <w:r w:rsidRPr="000115A0">
              <w:t>2,092</w:t>
            </w:r>
          </w:p>
        </w:tc>
        <w:tc>
          <w:tcPr>
            <w:tcW w:w="1162" w:type="dxa"/>
            <w:tcBorders>
              <w:top w:val="nil"/>
              <w:bottom w:val="nil"/>
            </w:tcBorders>
            <w:shd w:val="clear" w:color="472D8C" w:fill="auto"/>
            <w:tcMar>
              <w:left w:w="108" w:type="dxa"/>
            </w:tcMar>
          </w:tcPr>
          <w:p w14:paraId="09C0587E" w14:textId="77777777" w:rsidR="00A60D4B" w:rsidRPr="00111524" w:rsidRDefault="00A60D4B" w:rsidP="00A60D4B">
            <w:pPr>
              <w:pStyle w:val="Btablefigureunbold"/>
            </w:pPr>
            <w:r>
              <w:t>0</w:t>
            </w:r>
          </w:p>
        </w:tc>
        <w:tc>
          <w:tcPr>
            <w:tcW w:w="1162" w:type="dxa"/>
            <w:tcBorders>
              <w:top w:val="nil"/>
              <w:bottom w:val="nil"/>
            </w:tcBorders>
            <w:shd w:val="clear" w:color="auto" w:fill="auto"/>
            <w:tcMar>
              <w:left w:w="108" w:type="dxa"/>
            </w:tcMar>
          </w:tcPr>
          <w:p w14:paraId="330F9318"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778AD7D5" w14:textId="77777777" w:rsidR="00A60D4B" w:rsidRPr="00EC74DB" w:rsidRDefault="00A60D4B" w:rsidP="00A60D4B">
            <w:pPr>
              <w:pStyle w:val="Btablefigureunbold"/>
            </w:pPr>
            <w:r>
              <w:t>0</w:t>
            </w:r>
          </w:p>
        </w:tc>
      </w:tr>
      <w:tr w:rsidR="00A60D4B" w:rsidRPr="00337DC9" w14:paraId="02615A2B" w14:textId="77777777" w:rsidTr="00A60D4B">
        <w:trPr>
          <w:cantSplit/>
          <w:trHeight w:val="270"/>
        </w:trPr>
        <w:tc>
          <w:tcPr>
            <w:tcW w:w="3261" w:type="dxa"/>
            <w:tcBorders>
              <w:top w:val="nil"/>
              <w:bottom w:val="single" w:sz="4" w:space="0" w:color="auto"/>
            </w:tcBorders>
          </w:tcPr>
          <w:p w14:paraId="68D56DBD" w14:textId="77777777" w:rsidR="00A60D4B" w:rsidRDefault="00A60D4B" w:rsidP="00A60D4B">
            <w:pPr>
              <w:pStyle w:val="Btabletextbolditalic"/>
            </w:pPr>
            <w:r>
              <w:t>Total Skills and Workforce Development NPPs</w:t>
            </w:r>
          </w:p>
        </w:tc>
        <w:tc>
          <w:tcPr>
            <w:tcW w:w="1162" w:type="dxa"/>
            <w:tcBorders>
              <w:top w:val="nil"/>
              <w:bottom w:val="single" w:sz="4" w:space="0" w:color="auto"/>
            </w:tcBorders>
            <w:tcMar>
              <w:left w:w="108" w:type="dxa"/>
            </w:tcMar>
          </w:tcPr>
          <w:p w14:paraId="5EDFDE99" w14:textId="77777777" w:rsidR="00A60D4B" w:rsidRPr="00EC74DB" w:rsidRDefault="00A60D4B" w:rsidP="00A60D4B">
            <w:pPr>
              <w:pStyle w:val="BTablefigurebolditalic"/>
            </w:pPr>
            <w:r w:rsidRPr="00994366">
              <w:t>15,537</w:t>
            </w:r>
          </w:p>
        </w:tc>
        <w:tc>
          <w:tcPr>
            <w:tcW w:w="1162" w:type="dxa"/>
            <w:tcBorders>
              <w:top w:val="nil"/>
              <w:bottom w:val="single" w:sz="4" w:space="0" w:color="auto"/>
            </w:tcBorders>
            <w:shd w:val="clear" w:color="auto" w:fill="auto"/>
            <w:tcMar>
              <w:left w:w="108" w:type="dxa"/>
            </w:tcMar>
          </w:tcPr>
          <w:p w14:paraId="4D6B85D9" w14:textId="77777777" w:rsidR="00A60D4B" w:rsidRPr="00EC74DB" w:rsidRDefault="00A60D4B" w:rsidP="00A60D4B">
            <w:pPr>
              <w:pStyle w:val="BTablefigurebolditalic"/>
            </w:pPr>
            <w:r w:rsidRPr="00994366">
              <w:t>7,725</w:t>
            </w:r>
          </w:p>
        </w:tc>
        <w:tc>
          <w:tcPr>
            <w:tcW w:w="1162" w:type="dxa"/>
            <w:tcBorders>
              <w:top w:val="nil"/>
              <w:bottom w:val="single" w:sz="4" w:space="0" w:color="auto"/>
            </w:tcBorders>
            <w:shd w:val="clear" w:color="472D8C" w:fill="auto"/>
            <w:tcMar>
              <w:left w:w="108" w:type="dxa"/>
            </w:tcMar>
          </w:tcPr>
          <w:p w14:paraId="30FAAFBF" w14:textId="77777777" w:rsidR="00A60D4B" w:rsidRPr="00111524" w:rsidRDefault="00A60D4B" w:rsidP="00A60D4B">
            <w:pPr>
              <w:pStyle w:val="BTablefigurebolditalic"/>
            </w:pPr>
            <w:r w:rsidRPr="00994366">
              <w:t>3,350</w:t>
            </w:r>
          </w:p>
        </w:tc>
        <w:tc>
          <w:tcPr>
            <w:tcW w:w="1162" w:type="dxa"/>
            <w:tcBorders>
              <w:top w:val="nil"/>
              <w:bottom w:val="single" w:sz="4" w:space="0" w:color="auto"/>
            </w:tcBorders>
            <w:shd w:val="clear" w:color="auto" w:fill="auto"/>
            <w:tcMar>
              <w:left w:w="108" w:type="dxa"/>
            </w:tcMar>
          </w:tcPr>
          <w:p w14:paraId="1C350B08" w14:textId="77777777" w:rsidR="00A60D4B" w:rsidRPr="00EC74DB" w:rsidRDefault="00A60D4B" w:rsidP="00A60D4B">
            <w:pPr>
              <w:pStyle w:val="BTablefigurebolditalic"/>
            </w:pPr>
            <w:r w:rsidRPr="00994366">
              <w:t>0</w:t>
            </w:r>
          </w:p>
        </w:tc>
        <w:tc>
          <w:tcPr>
            <w:tcW w:w="1163" w:type="dxa"/>
            <w:tcBorders>
              <w:top w:val="nil"/>
              <w:bottom w:val="single" w:sz="4" w:space="0" w:color="auto"/>
            </w:tcBorders>
            <w:tcMar>
              <w:left w:w="108" w:type="dxa"/>
            </w:tcMar>
          </w:tcPr>
          <w:p w14:paraId="39F4E0D0" w14:textId="77777777" w:rsidR="00A60D4B" w:rsidRPr="00EC74DB" w:rsidRDefault="00A60D4B" w:rsidP="00A60D4B">
            <w:pPr>
              <w:pStyle w:val="BTablefigurebolditalic"/>
            </w:pPr>
            <w:r w:rsidRPr="00994366">
              <w:t>0</w:t>
            </w:r>
          </w:p>
        </w:tc>
      </w:tr>
      <w:tr w:rsidR="00A60D4B" w:rsidRPr="00337DC9" w14:paraId="446E1B9E" w14:textId="77777777" w:rsidTr="00A60D4B">
        <w:trPr>
          <w:cantSplit/>
          <w:trHeight w:val="270"/>
        </w:trPr>
        <w:tc>
          <w:tcPr>
            <w:tcW w:w="3261" w:type="dxa"/>
            <w:tcBorders>
              <w:top w:val="single" w:sz="4" w:space="0" w:color="auto"/>
              <w:bottom w:val="single" w:sz="4" w:space="0" w:color="auto"/>
            </w:tcBorders>
          </w:tcPr>
          <w:p w14:paraId="6BCCC57D" w14:textId="77777777" w:rsidR="00A60D4B" w:rsidRDefault="00A60D4B" w:rsidP="00A60D4B">
            <w:pPr>
              <w:pStyle w:val="Btabletextbold"/>
            </w:pPr>
            <w:r>
              <w:t>Total Skills and Workforce Development</w:t>
            </w:r>
          </w:p>
        </w:tc>
        <w:tc>
          <w:tcPr>
            <w:tcW w:w="1162" w:type="dxa"/>
            <w:tcBorders>
              <w:top w:val="single" w:sz="4" w:space="0" w:color="auto"/>
              <w:bottom w:val="single" w:sz="4" w:space="0" w:color="auto"/>
            </w:tcBorders>
            <w:tcMar>
              <w:left w:w="108" w:type="dxa"/>
            </w:tcMar>
          </w:tcPr>
          <w:p w14:paraId="29C12A26" w14:textId="77777777" w:rsidR="00A60D4B" w:rsidRPr="00EC74DB" w:rsidRDefault="00A60D4B" w:rsidP="00A60D4B">
            <w:pPr>
              <w:pStyle w:val="Btablefigurebold0"/>
            </w:pPr>
            <w:r w:rsidRPr="00554DD2">
              <w:t>41,518</w:t>
            </w:r>
          </w:p>
        </w:tc>
        <w:tc>
          <w:tcPr>
            <w:tcW w:w="1162" w:type="dxa"/>
            <w:tcBorders>
              <w:top w:val="single" w:sz="4" w:space="0" w:color="auto"/>
              <w:bottom w:val="single" w:sz="4" w:space="0" w:color="auto"/>
            </w:tcBorders>
            <w:shd w:val="clear" w:color="auto" w:fill="auto"/>
            <w:tcMar>
              <w:left w:w="108" w:type="dxa"/>
            </w:tcMar>
          </w:tcPr>
          <w:p w14:paraId="727AC732" w14:textId="77777777" w:rsidR="00A60D4B" w:rsidRPr="00EC74DB" w:rsidRDefault="00A60D4B" w:rsidP="00A60D4B">
            <w:pPr>
              <w:pStyle w:val="Btablefigurebold0"/>
            </w:pPr>
            <w:r w:rsidRPr="00554DD2">
              <w:t>34,116</w:t>
            </w:r>
          </w:p>
        </w:tc>
        <w:tc>
          <w:tcPr>
            <w:tcW w:w="1162" w:type="dxa"/>
            <w:tcBorders>
              <w:top w:val="single" w:sz="4" w:space="0" w:color="auto"/>
              <w:bottom w:val="single" w:sz="4" w:space="0" w:color="auto"/>
            </w:tcBorders>
            <w:shd w:val="clear" w:color="472D8C" w:fill="auto"/>
            <w:tcMar>
              <w:left w:w="108" w:type="dxa"/>
            </w:tcMar>
          </w:tcPr>
          <w:p w14:paraId="6B38CFBC" w14:textId="77777777" w:rsidR="00A60D4B" w:rsidRPr="00111524" w:rsidRDefault="00A60D4B" w:rsidP="00A60D4B">
            <w:pPr>
              <w:pStyle w:val="Btablefigurebold0"/>
            </w:pPr>
            <w:r w:rsidRPr="00554DD2">
              <w:t>30,036</w:t>
            </w:r>
          </w:p>
        </w:tc>
        <w:tc>
          <w:tcPr>
            <w:tcW w:w="1162" w:type="dxa"/>
            <w:tcBorders>
              <w:top w:val="single" w:sz="4" w:space="0" w:color="auto"/>
              <w:bottom w:val="single" w:sz="4" w:space="0" w:color="auto"/>
            </w:tcBorders>
            <w:shd w:val="clear" w:color="auto" w:fill="auto"/>
            <w:tcMar>
              <w:left w:w="108" w:type="dxa"/>
            </w:tcMar>
          </w:tcPr>
          <w:p w14:paraId="7D8641D3" w14:textId="77777777" w:rsidR="00A60D4B" w:rsidRPr="00EC74DB" w:rsidRDefault="00A60D4B" w:rsidP="00A60D4B">
            <w:pPr>
              <w:pStyle w:val="Btablefigurebold0"/>
            </w:pPr>
            <w:r w:rsidRPr="00554DD2">
              <w:t>26,971</w:t>
            </w:r>
          </w:p>
        </w:tc>
        <w:tc>
          <w:tcPr>
            <w:tcW w:w="1163" w:type="dxa"/>
            <w:tcBorders>
              <w:top w:val="single" w:sz="4" w:space="0" w:color="auto"/>
              <w:bottom w:val="single" w:sz="4" w:space="0" w:color="auto"/>
            </w:tcBorders>
            <w:tcMar>
              <w:left w:w="108" w:type="dxa"/>
            </w:tcMar>
          </w:tcPr>
          <w:p w14:paraId="22983676" w14:textId="77777777" w:rsidR="00A60D4B" w:rsidRPr="00EC74DB" w:rsidRDefault="00A60D4B" w:rsidP="00A60D4B">
            <w:pPr>
              <w:pStyle w:val="Btablefigurebold0"/>
            </w:pPr>
            <w:r w:rsidRPr="00554DD2">
              <w:t>27,232</w:t>
            </w:r>
          </w:p>
        </w:tc>
      </w:tr>
      <w:tr w:rsidR="00A60D4B" w:rsidRPr="00337DC9" w14:paraId="3231FA2E" w14:textId="77777777" w:rsidTr="00A60D4B">
        <w:trPr>
          <w:cantSplit/>
          <w:trHeight w:val="270"/>
        </w:trPr>
        <w:tc>
          <w:tcPr>
            <w:tcW w:w="3261" w:type="dxa"/>
            <w:tcBorders>
              <w:top w:val="single" w:sz="4" w:space="0" w:color="auto"/>
              <w:bottom w:val="nil"/>
            </w:tcBorders>
          </w:tcPr>
          <w:p w14:paraId="4F265291" w14:textId="77777777" w:rsidR="00A60D4B" w:rsidRDefault="00A60D4B" w:rsidP="00A60D4B">
            <w:pPr>
              <w:pStyle w:val="Btabletextunbold"/>
              <w:keepNext/>
            </w:pPr>
          </w:p>
          <w:p w14:paraId="0C3A5A2C" w14:textId="77777777" w:rsidR="00A60D4B" w:rsidRDefault="00A60D4B" w:rsidP="00A60D4B">
            <w:pPr>
              <w:pStyle w:val="Btabletextbold"/>
              <w:keepNext/>
            </w:pPr>
            <w:r>
              <w:t>Community Services</w:t>
            </w:r>
          </w:p>
        </w:tc>
        <w:tc>
          <w:tcPr>
            <w:tcW w:w="1162" w:type="dxa"/>
            <w:tcBorders>
              <w:top w:val="single" w:sz="4" w:space="0" w:color="auto"/>
              <w:bottom w:val="nil"/>
            </w:tcBorders>
            <w:tcMar>
              <w:left w:w="108" w:type="dxa"/>
            </w:tcMar>
          </w:tcPr>
          <w:p w14:paraId="35A20720" w14:textId="77777777" w:rsidR="00A60D4B" w:rsidRPr="00EC74DB"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23F838DC" w14:textId="77777777" w:rsidR="00A60D4B" w:rsidRPr="00EC74DB" w:rsidRDefault="00A60D4B" w:rsidP="00A60D4B">
            <w:pPr>
              <w:pStyle w:val="Btablefigureunbold"/>
            </w:pPr>
          </w:p>
        </w:tc>
        <w:tc>
          <w:tcPr>
            <w:tcW w:w="1162" w:type="dxa"/>
            <w:tcBorders>
              <w:top w:val="single" w:sz="4" w:space="0" w:color="auto"/>
              <w:bottom w:val="nil"/>
            </w:tcBorders>
            <w:shd w:val="clear" w:color="472D8C" w:fill="auto"/>
            <w:tcMar>
              <w:left w:w="108" w:type="dxa"/>
            </w:tcMar>
          </w:tcPr>
          <w:p w14:paraId="04AA086C" w14:textId="77777777" w:rsidR="00A60D4B" w:rsidRPr="00111524"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0A11C911" w14:textId="77777777" w:rsidR="00A60D4B" w:rsidRPr="00EC74DB" w:rsidRDefault="00A60D4B" w:rsidP="00A60D4B">
            <w:pPr>
              <w:pStyle w:val="Btablefigureunbold"/>
            </w:pPr>
          </w:p>
        </w:tc>
        <w:tc>
          <w:tcPr>
            <w:tcW w:w="1163" w:type="dxa"/>
            <w:tcBorders>
              <w:top w:val="single" w:sz="4" w:space="0" w:color="auto"/>
              <w:bottom w:val="nil"/>
            </w:tcBorders>
            <w:tcMar>
              <w:left w:w="108" w:type="dxa"/>
            </w:tcMar>
          </w:tcPr>
          <w:p w14:paraId="675B3CA2" w14:textId="77777777" w:rsidR="00A60D4B" w:rsidRPr="00EC74DB" w:rsidRDefault="00A60D4B" w:rsidP="00A60D4B">
            <w:pPr>
              <w:pStyle w:val="Btablefigureunbold"/>
            </w:pPr>
          </w:p>
        </w:tc>
      </w:tr>
      <w:tr w:rsidR="00A60D4B" w:rsidRPr="00337DC9" w14:paraId="5898CD15" w14:textId="77777777" w:rsidTr="00A60D4B">
        <w:trPr>
          <w:cantSplit/>
          <w:trHeight w:val="270"/>
        </w:trPr>
        <w:tc>
          <w:tcPr>
            <w:tcW w:w="3261" w:type="dxa"/>
            <w:tcBorders>
              <w:top w:val="nil"/>
              <w:bottom w:val="nil"/>
            </w:tcBorders>
          </w:tcPr>
          <w:p w14:paraId="42577CB2" w14:textId="77777777" w:rsidR="00A60D4B" w:rsidRPr="00164BF1" w:rsidRDefault="00A60D4B" w:rsidP="00A60D4B">
            <w:pPr>
              <w:pStyle w:val="Btabletextbold"/>
              <w:keepNext/>
              <w:rPr>
                <w:highlight w:val="yellow"/>
              </w:rPr>
            </w:pPr>
            <w:r w:rsidRPr="00E8105A">
              <w:t>Community Services NPPs</w:t>
            </w:r>
          </w:p>
        </w:tc>
        <w:tc>
          <w:tcPr>
            <w:tcW w:w="1162" w:type="dxa"/>
            <w:tcBorders>
              <w:top w:val="nil"/>
              <w:bottom w:val="nil"/>
            </w:tcBorders>
            <w:tcMar>
              <w:left w:w="108" w:type="dxa"/>
            </w:tcMar>
          </w:tcPr>
          <w:p w14:paraId="3157852B" w14:textId="77777777" w:rsidR="00A60D4B" w:rsidRPr="00EC74DB" w:rsidRDefault="00A60D4B" w:rsidP="00A60D4B">
            <w:pPr>
              <w:pStyle w:val="Btablefigureunbold"/>
            </w:pPr>
          </w:p>
        </w:tc>
        <w:tc>
          <w:tcPr>
            <w:tcW w:w="1162" w:type="dxa"/>
            <w:tcBorders>
              <w:top w:val="nil"/>
              <w:bottom w:val="nil"/>
            </w:tcBorders>
            <w:shd w:val="clear" w:color="auto" w:fill="auto"/>
            <w:tcMar>
              <w:left w:w="108" w:type="dxa"/>
            </w:tcMar>
          </w:tcPr>
          <w:p w14:paraId="059C878F" w14:textId="77777777" w:rsidR="00A60D4B" w:rsidRPr="00EC74DB" w:rsidRDefault="00A60D4B" w:rsidP="00A60D4B">
            <w:pPr>
              <w:pStyle w:val="Btablefigureunbold"/>
            </w:pPr>
          </w:p>
        </w:tc>
        <w:tc>
          <w:tcPr>
            <w:tcW w:w="1162" w:type="dxa"/>
            <w:tcBorders>
              <w:top w:val="nil"/>
              <w:bottom w:val="nil"/>
            </w:tcBorders>
            <w:shd w:val="clear" w:color="472D8C" w:fill="auto"/>
            <w:tcMar>
              <w:left w:w="108" w:type="dxa"/>
            </w:tcMar>
          </w:tcPr>
          <w:p w14:paraId="6109309F" w14:textId="77777777" w:rsidR="00A60D4B" w:rsidRPr="00111524" w:rsidRDefault="00A60D4B" w:rsidP="00A60D4B">
            <w:pPr>
              <w:pStyle w:val="Btablefigureunbold"/>
            </w:pPr>
          </w:p>
        </w:tc>
        <w:tc>
          <w:tcPr>
            <w:tcW w:w="1162" w:type="dxa"/>
            <w:tcBorders>
              <w:top w:val="nil"/>
              <w:bottom w:val="nil"/>
            </w:tcBorders>
            <w:shd w:val="clear" w:color="auto" w:fill="auto"/>
            <w:tcMar>
              <w:left w:w="108" w:type="dxa"/>
            </w:tcMar>
          </w:tcPr>
          <w:p w14:paraId="389B1C07" w14:textId="77777777" w:rsidR="00A60D4B" w:rsidRPr="00EC74DB" w:rsidRDefault="00A60D4B" w:rsidP="00A60D4B">
            <w:pPr>
              <w:pStyle w:val="Btablefigureunbold"/>
            </w:pPr>
          </w:p>
        </w:tc>
        <w:tc>
          <w:tcPr>
            <w:tcW w:w="1163" w:type="dxa"/>
            <w:tcBorders>
              <w:top w:val="nil"/>
              <w:bottom w:val="nil"/>
            </w:tcBorders>
            <w:tcMar>
              <w:left w:w="108" w:type="dxa"/>
            </w:tcMar>
          </w:tcPr>
          <w:p w14:paraId="318F1156" w14:textId="77777777" w:rsidR="00A60D4B" w:rsidRPr="00EC74DB" w:rsidRDefault="00A60D4B" w:rsidP="00A60D4B">
            <w:pPr>
              <w:pStyle w:val="Btablefigureunbold"/>
            </w:pPr>
          </w:p>
        </w:tc>
      </w:tr>
      <w:tr w:rsidR="00A60D4B" w:rsidRPr="00337DC9" w14:paraId="2753F569" w14:textId="77777777" w:rsidTr="00A60D4B">
        <w:trPr>
          <w:cantSplit/>
          <w:trHeight w:val="270"/>
        </w:trPr>
        <w:tc>
          <w:tcPr>
            <w:tcW w:w="3261" w:type="dxa"/>
            <w:tcBorders>
              <w:top w:val="nil"/>
              <w:bottom w:val="nil"/>
            </w:tcBorders>
          </w:tcPr>
          <w:p w14:paraId="79008B59" w14:textId="77777777" w:rsidR="00A60D4B" w:rsidRPr="00164BF1" w:rsidRDefault="00A60D4B" w:rsidP="00A60D4B">
            <w:pPr>
              <w:pStyle w:val="Btabletextunbold"/>
              <w:rPr>
                <w:highlight w:val="yellow"/>
              </w:rPr>
            </w:pPr>
            <w:r>
              <w:t>F</w:t>
            </w:r>
            <w:r w:rsidRPr="00C7053D">
              <w:t>amily, Domestic and Sexual Violence Responses</w:t>
            </w:r>
            <w:r>
              <w:rPr>
                <w:vertAlign w:val="superscript"/>
              </w:rPr>
              <w:t>6</w:t>
            </w:r>
          </w:p>
        </w:tc>
        <w:tc>
          <w:tcPr>
            <w:tcW w:w="1162" w:type="dxa"/>
            <w:tcBorders>
              <w:top w:val="nil"/>
              <w:bottom w:val="nil"/>
            </w:tcBorders>
            <w:shd w:val="clear" w:color="auto" w:fill="auto"/>
            <w:tcMar>
              <w:left w:w="108" w:type="dxa"/>
            </w:tcMar>
          </w:tcPr>
          <w:p w14:paraId="24EEC4AD" w14:textId="77777777" w:rsidR="00A60D4B" w:rsidRPr="0071236E" w:rsidRDefault="00A60D4B" w:rsidP="00A60D4B">
            <w:pPr>
              <w:pStyle w:val="Btablefigureunbold"/>
            </w:pPr>
            <w:r w:rsidRPr="0071236E">
              <w:t>1,633</w:t>
            </w:r>
          </w:p>
        </w:tc>
        <w:tc>
          <w:tcPr>
            <w:tcW w:w="1162" w:type="dxa"/>
            <w:tcBorders>
              <w:top w:val="nil"/>
              <w:bottom w:val="nil"/>
            </w:tcBorders>
            <w:shd w:val="clear" w:color="auto" w:fill="auto"/>
            <w:tcMar>
              <w:left w:w="108" w:type="dxa"/>
            </w:tcMar>
          </w:tcPr>
          <w:p w14:paraId="76FBF7B0" w14:textId="77777777" w:rsidR="00A60D4B" w:rsidRPr="0071236E" w:rsidRDefault="00A60D4B" w:rsidP="00A60D4B">
            <w:pPr>
              <w:pStyle w:val="Btablefigureunbold"/>
            </w:pPr>
            <w:r w:rsidRPr="0071236E">
              <w:t>~</w:t>
            </w:r>
          </w:p>
        </w:tc>
        <w:tc>
          <w:tcPr>
            <w:tcW w:w="1162" w:type="dxa"/>
            <w:tcBorders>
              <w:top w:val="nil"/>
              <w:bottom w:val="nil"/>
            </w:tcBorders>
            <w:shd w:val="clear" w:color="auto" w:fill="auto"/>
            <w:tcMar>
              <w:left w:w="108" w:type="dxa"/>
            </w:tcMar>
          </w:tcPr>
          <w:p w14:paraId="3B5A08C8" w14:textId="77777777" w:rsidR="00A60D4B" w:rsidRPr="0071236E" w:rsidRDefault="00A60D4B" w:rsidP="00A60D4B">
            <w:pPr>
              <w:pStyle w:val="Btablefigureunbold"/>
            </w:pPr>
            <w:r w:rsidRPr="0071236E">
              <w:t>~</w:t>
            </w:r>
          </w:p>
        </w:tc>
        <w:tc>
          <w:tcPr>
            <w:tcW w:w="1162" w:type="dxa"/>
            <w:tcBorders>
              <w:top w:val="nil"/>
              <w:bottom w:val="nil"/>
            </w:tcBorders>
            <w:shd w:val="clear" w:color="auto" w:fill="auto"/>
            <w:tcMar>
              <w:left w:w="108" w:type="dxa"/>
            </w:tcMar>
          </w:tcPr>
          <w:p w14:paraId="080FC597" w14:textId="77777777" w:rsidR="00A60D4B" w:rsidRPr="0071236E" w:rsidRDefault="00A60D4B" w:rsidP="00A60D4B">
            <w:pPr>
              <w:pStyle w:val="Btablefigureunbold"/>
            </w:pPr>
            <w:r w:rsidRPr="0071236E">
              <w:t>0</w:t>
            </w:r>
          </w:p>
        </w:tc>
        <w:tc>
          <w:tcPr>
            <w:tcW w:w="1163" w:type="dxa"/>
            <w:tcBorders>
              <w:top w:val="nil"/>
              <w:bottom w:val="nil"/>
            </w:tcBorders>
            <w:shd w:val="clear" w:color="auto" w:fill="auto"/>
            <w:tcMar>
              <w:left w:w="108" w:type="dxa"/>
            </w:tcMar>
          </w:tcPr>
          <w:p w14:paraId="601BD8AB" w14:textId="77777777" w:rsidR="00A60D4B" w:rsidRPr="0071236E" w:rsidRDefault="00A60D4B" w:rsidP="00A60D4B">
            <w:pPr>
              <w:pStyle w:val="Btablefigureunbold"/>
            </w:pPr>
            <w:r w:rsidRPr="0071236E">
              <w:t>0</w:t>
            </w:r>
          </w:p>
        </w:tc>
      </w:tr>
      <w:tr w:rsidR="00A60D4B" w:rsidRPr="00337DC9" w14:paraId="594F030C" w14:textId="77777777" w:rsidTr="00A60D4B">
        <w:trPr>
          <w:cantSplit/>
          <w:trHeight w:val="270"/>
        </w:trPr>
        <w:tc>
          <w:tcPr>
            <w:tcW w:w="3261" w:type="dxa"/>
            <w:tcBorders>
              <w:top w:val="nil"/>
              <w:bottom w:val="single" w:sz="4" w:space="0" w:color="auto"/>
            </w:tcBorders>
          </w:tcPr>
          <w:p w14:paraId="5AFA7617" w14:textId="77777777" w:rsidR="00A60D4B" w:rsidRDefault="00A60D4B" w:rsidP="00A60D4B">
            <w:pPr>
              <w:pStyle w:val="Btabletextunbold"/>
            </w:pPr>
            <w:r w:rsidRPr="00FD5B52">
              <w:t>Payments from the Disability</w:t>
            </w:r>
            <w:r>
              <w:t xml:space="preserve"> </w:t>
            </w:r>
            <w:r w:rsidRPr="00FD5B52">
              <w:t>Care Australia Fund</w:t>
            </w:r>
          </w:p>
        </w:tc>
        <w:tc>
          <w:tcPr>
            <w:tcW w:w="1162" w:type="dxa"/>
            <w:tcBorders>
              <w:top w:val="nil"/>
              <w:bottom w:val="single" w:sz="4" w:space="0" w:color="auto"/>
            </w:tcBorders>
            <w:tcMar>
              <w:left w:w="108" w:type="dxa"/>
            </w:tcMar>
          </w:tcPr>
          <w:p w14:paraId="55912BFE" w14:textId="77777777" w:rsidR="00A60D4B" w:rsidRPr="00EC74DB" w:rsidRDefault="00A60D4B" w:rsidP="00A60D4B">
            <w:pPr>
              <w:pStyle w:val="Btablefigureunbold"/>
            </w:pPr>
            <w:r w:rsidRPr="004A06B9">
              <w:t>16,835</w:t>
            </w:r>
          </w:p>
        </w:tc>
        <w:tc>
          <w:tcPr>
            <w:tcW w:w="1162" w:type="dxa"/>
            <w:tcBorders>
              <w:top w:val="nil"/>
              <w:bottom w:val="single" w:sz="4" w:space="0" w:color="auto"/>
            </w:tcBorders>
            <w:shd w:val="clear" w:color="auto" w:fill="auto"/>
            <w:tcMar>
              <w:left w:w="108" w:type="dxa"/>
            </w:tcMar>
          </w:tcPr>
          <w:p w14:paraId="3D518EBC" w14:textId="77777777" w:rsidR="00A60D4B" w:rsidRPr="00EC74DB" w:rsidRDefault="00A60D4B" w:rsidP="00A60D4B">
            <w:pPr>
              <w:pStyle w:val="Btablefigureunbold"/>
            </w:pPr>
            <w:r w:rsidRPr="004A06B9">
              <w:t>17,424</w:t>
            </w:r>
          </w:p>
        </w:tc>
        <w:tc>
          <w:tcPr>
            <w:tcW w:w="1162" w:type="dxa"/>
            <w:tcBorders>
              <w:top w:val="nil"/>
              <w:bottom w:val="single" w:sz="4" w:space="0" w:color="auto"/>
            </w:tcBorders>
            <w:shd w:val="clear" w:color="472D8C" w:fill="auto"/>
            <w:tcMar>
              <w:left w:w="108" w:type="dxa"/>
            </w:tcMar>
          </w:tcPr>
          <w:p w14:paraId="7CDD8581" w14:textId="77777777" w:rsidR="00A60D4B" w:rsidRPr="00111524" w:rsidRDefault="00A60D4B" w:rsidP="00A60D4B">
            <w:pPr>
              <w:pStyle w:val="Btablefigureunbold"/>
            </w:pPr>
            <w:r w:rsidRPr="004A06B9">
              <w:t>18,034</w:t>
            </w:r>
          </w:p>
        </w:tc>
        <w:tc>
          <w:tcPr>
            <w:tcW w:w="1162" w:type="dxa"/>
            <w:tcBorders>
              <w:top w:val="nil"/>
              <w:bottom w:val="single" w:sz="4" w:space="0" w:color="auto"/>
            </w:tcBorders>
            <w:shd w:val="clear" w:color="auto" w:fill="auto"/>
            <w:tcMar>
              <w:left w:w="108" w:type="dxa"/>
            </w:tcMar>
          </w:tcPr>
          <w:p w14:paraId="5957A371" w14:textId="77777777" w:rsidR="00A60D4B" w:rsidRPr="00EC74DB" w:rsidRDefault="00A60D4B" w:rsidP="00A60D4B">
            <w:pPr>
              <w:pStyle w:val="Btablefigureunbold"/>
            </w:pPr>
            <w:r w:rsidRPr="004A06B9">
              <w:t>18,665</w:t>
            </w:r>
          </w:p>
        </w:tc>
        <w:tc>
          <w:tcPr>
            <w:tcW w:w="1163" w:type="dxa"/>
            <w:tcBorders>
              <w:top w:val="nil"/>
              <w:bottom w:val="single" w:sz="4" w:space="0" w:color="auto"/>
            </w:tcBorders>
            <w:tcMar>
              <w:left w:w="108" w:type="dxa"/>
            </w:tcMar>
          </w:tcPr>
          <w:p w14:paraId="12261061" w14:textId="77777777" w:rsidR="00A60D4B" w:rsidRPr="00EC74DB" w:rsidRDefault="00A60D4B" w:rsidP="00A60D4B">
            <w:pPr>
              <w:pStyle w:val="Btablefigureunbold"/>
            </w:pPr>
            <w:r>
              <w:t>0</w:t>
            </w:r>
          </w:p>
        </w:tc>
      </w:tr>
      <w:tr w:rsidR="00A60D4B" w:rsidRPr="00337DC9" w14:paraId="69F28E56" w14:textId="77777777" w:rsidTr="00A60D4B">
        <w:trPr>
          <w:cantSplit/>
          <w:trHeight w:val="270"/>
        </w:trPr>
        <w:tc>
          <w:tcPr>
            <w:tcW w:w="3261" w:type="dxa"/>
            <w:tcBorders>
              <w:top w:val="single" w:sz="4" w:space="0" w:color="auto"/>
              <w:bottom w:val="single" w:sz="4" w:space="0" w:color="auto"/>
            </w:tcBorders>
          </w:tcPr>
          <w:p w14:paraId="4734CAD6" w14:textId="77777777" w:rsidR="00A60D4B" w:rsidRDefault="00A60D4B" w:rsidP="00A60D4B">
            <w:pPr>
              <w:pStyle w:val="Btabletextbold"/>
            </w:pPr>
            <w:r>
              <w:t>Total Community Services</w:t>
            </w:r>
          </w:p>
        </w:tc>
        <w:tc>
          <w:tcPr>
            <w:tcW w:w="1162" w:type="dxa"/>
            <w:tcBorders>
              <w:top w:val="single" w:sz="4" w:space="0" w:color="auto"/>
              <w:bottom w:val="single" w:sz="4" w:space="0" w:color="auto"/>
            </w:tcBorders>
            <w:tcMar>
              <w:left w:w="108" w:type="dxa"/>
            </w:tcMar>
          </w:tcPr>
          <w:p w14:paraId="4F5647A9" w14:textId="77777777" w:rsidR="00A60D4B" w:rsidRPr="00EC74DB" w:rsidRDefault="00A60D4B" w:rsidP="00A60D4B">
            <w:pPr>
              <w:pStyle w:val="Btablefigurebold0"/>
            </w:pPr>
            <w:r w:rsidRPr="00C410B2">
              <w:t>18,468</w:t>
            </w:r>
          </w:p>
        </w:tc>
        <w:tc>
          <w:tcPr>
            <w:tcW w:w="1162" w:type="dxa"/>
            <w:tcBorders>
              <w:top w:val="single" w:sz="4" w:space="0" w:color="auto"/>
              <w:bottom w:val="single" w:sz="4" w:space="0" w:color="auto"/>
            </w:tcBorders>
            <w:shd w:val="clear" w:color="auto" w:fill="auto"/>
            <w:tcMar>
              <w:left w:w="108" w:type="dxa"/>
            </w:tcMar>
          </w:tcPr>
          <w:p w14:paraId="3C080905" w14:textId="77777777" w:rsidR="00A60D4B" w:rsidRPr="00EC74DB" w:rsidRDefault="00A60D4B" w:rsidP="00A60D4B">
            <w:pPr>
              <w:pStyle w:val="Btablefigurebold0"/>
            </w:pPr>
            <w:r w:rsidRPr="00C410B2">
              <w:t>17,424</w:t>
            </w:r>
          </w:p>
        </w:tc>
        <w:tc>
          <w:tcPr>
            <w:tcW w:w="1162" w:type="dxa"/>
            <w:tcBorders>
              <w:top w:val="single" w:sz="4" w:space="0" w:color="auto"/>
              <w:bottom w:val="single" w:sz="4" w:space="0" w:color="auto"/>
            </w:tcBorders>
            <w:shd w:val="clear" w:color="472D8C" w:fill="auto"/>
            <w:tcMar>
              <w:left w:w="108" w:type="dxa"/>
            </w:tcMar>
          </w:tcPr>
          <w:p w14:paraId="1B4ECA81" w14:textId="77777777" w:rsidR="00A60D4B" w:rsidRPr="00111524" w:rsidRDefault="00A60D4B" w:rsidP="00A60D4B">
            <w:pPr>
              <w:pStyle w:val="Btablefigurebold0"/>
            </w:pPr>
            <w:r w:rsidRPr="00C410B2">
              <w:t>18,034</w:t>
            </w:r>
          </w:p>
        </w:tc>
        <w:tc>
          <w:tcPr>
            <w:tcW w:w="1162" w:type="dxa"/>
            <w:tcBorders>
              <w:top w:val="single" w:sz="4" w:space="0" w:color="auto"/>
              <w:bottom w:val="single" w:sz="4" w:space="0" w:color="auto"/>
            </w:tcBorders>
            <w:shd w:val="clear" w:color="auto" w:fill="auto"/>
            <w:tcMar>
              <w:left w:w="108" w:type="dxa"/>
            </w:tcMar>
          </w:tcPr>
          <w:p w14:paraId="38BB677E" w14:textId="77777777" w:rsidR="00A60D4B" w:rsidRPr="00EC74DB" w:rsidRDefault="00A60D4B" w:rsidP="00A60D4B">
            <w:pPr>
              <w:pStyle w:val="Btablefigurebold0"/>
            </w:pPr>
            <w:r w:rsidRPr="00C410B2">
              <w:t>18,665</w:t>
            </w:r>
          </w:p>
        </w:tc>
        <w:tc>
          <w:tcPr>
            <w:tcW w:w="1163" w:type="dxa"/>
            <w:tcBorders>
              <w:top w:val="single" w:sz="4" w:space="0" w:color="auto"/>
              <w:bottom w:val="single" w:sz="4" w:space="0" w:color="auto"/>
            </w:tcBorders>
            <w:tcMar>
              <w:left w:w="108" w:type="dxa"/>
            </w:tcMar>
          </w:tcPr>
          <w:p w14:paraId="087E2232" w14:textId="77777777" w:rsidR="00A60D4B" w:rsidRPr="00EC74DB" w:rsidRDefault="00A60D4B" w:rsidP="00A60D4B">
            <w:pPr>
              <w:pStyle w:val="Btablefigurebold0"/>
            </w:pPr>
            <w:r w:rsidRPr="00C410B2">
              <w:t>0</w:t>
            </w:r>
          </w:p>
        </w:tc>
      </w:tr>
      <w:tr w:rsidR="00A60D4B" w:rsidRPr="00337DC9" w14:paraId="0A7B474A" w14:textId="77777777" w:rsidTr="00A60D4B">
        <w:trPr>
          <w:cantSplit/>
          <w:trHeight w:val="270"/>
        </w:trPr>
        <w:tc>
          <w:tcPr>
            <w:tcW w:w="3261" w:type="dxa"/>
            <w:tcBorders>
              <w:top w:val="single" w:sz="4" w:space="0" w:color="auto"/>
              <w:bottom w:val="nil"/>
            </w:tcBorders>
          </w:tcPr>
          <w:p w14:paraId="194B5F99" w14:textId="77777777" w:rsidR="00A60D4B" w:rsidRDefault="00A60D4B" w:rsidP="00A60D4B">
            <w:pPr>
              <w:pStyle w:val="Btabletextunbold"/>
              <w:keepNext/>
            </w:pPr>
          </w:p>
          <w:p w14:paraId="7B9F28B3" w14:textId="77777777" w:rsidR="00A60D4B" w:rsidRDefault="00A60D4B" w:rsidP="00A60D4B">
            <w:pPr>
              <w:pStyle w:val="Btabletextbold"/>
              <w:keepNext/>
            </w:pPr>
            <w:r>
              <w:t>Affordable Housing</w:t>
            </w:r>
          </w:p>
        </w:tc>
        <w:tc>
          <w:tcPr>
            <w:tcW w:w="1162" w:type="dxa"/>
            <w:tcBorders>
              <w:top w:val="single" w:sz="4" w:space="0" w:color="auto"/>
              <w:bottom w:val="nil"/>
            </w:tcBorders>
            <w:tcMar>
              <w:left w:w="108" w:type="dxa"/>
            </w:tcMar>
          </w:tcPr>
          <w:p w14:paraId="23E95D1B" w14:textId="77777777" w:rsidR="00A60D4B" w:rsidRPr="00EC74DB"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4AA594DF" w14:textId="77777777" w:rsidR="00A60D4B" w:rsidRPr="00EC74DB" w:rsidRDefault="00A60D4B" w:rsidP="00A60D4B">
            <w:pPr>
              <w:pStyle w:val="Btablefigureunbold"/>
            </w:pPr>
          </w:p>
        </w:tc>
        <w:tc>
          <w:tcPr>
            <w:tcW w:w="1162" w:type="dxa"/>
            <w:tcBorders>
              <w:top w:val="single" w:sz="4" w:space="0" w:color="auto"/>
              <w:bottom w:val="nil"/>
            </w:tcBorders>
            <w:shd w:val="clear" w:color="472D8C" w:fill="auto"/>
            <w:tcMar>
              <w:left w:w="108" w:type="dxa"/>
            </w:tcMar>
          </w:tcPr>
          <w:p w14:paraId="4D4D1477" w14:textId="77777777" w:rsidR="00A60D4B" w:rsidRPr="00111524"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2116F0D3" w14:textId="77777777" w:rsidR="00A60D4B" w:rsidRPr="00EC74DB" w:rsidRDefault="00A60D4B" w:rsidP="00A60D4B">
            <w:pPr>
              <w:pStyle w:val="Btablefigureunbold"/>
            </w:pPr>
          </w:p>
        </w:tc>
        <w:tc>
          <w:tcPr>
            <w:tcW w:w="1163" w:type="dxa"/>
            <w:tcBorders>
              <w:top w:val="single" w:sz="4" w:space="0" w:color="auto"/>
              <w:bottom w:val="nil"/>
            </w:tcBorders>
            <w:tcMar>
              <w:left w:w="108" w:type="dxa"/>
            </w:tcMar>
          </w:tcPr>
          <w:p w14:paraId="08218F18" w14:textId="77777777" w:rsidR="00A60D4B" w:rsidRPr="00EC74DB" w:rsidRDefault="00A60D4B" w:rsidP="00A60D4B">
            <w:pPr>
              <w:pStyle w:val="Btablefigureunbold"/>
            </w:pPr>
          </w:p>
        </w:tc>
      </w:tr>
      <w:tr w:rsidR="00A60D4B" w:rsidRPr="00337DC9" w14:paraId="0429BE35" w14:textId="77777777" w:rsidTr="00A60D4B">
        <w:trPr>
          <w:cantSplit/>
          <w:trHeight w:val="270"/>
        </w:trPr>
        <w:tc>
          <w:tcPr>
            <w:tcW w:w="3261" w:type="dxa"/>
            <w:tcBorders>
              <w:top w:val="nil"/>
              <w:bottom w:val="nil"/>
            </w:tcBorders>
          </w:tcPr>
          <w:p w14:paraId="366AA4DF" w14:textId="77777777" w:rsidR="00A60D4B" w:rsidRDefault="00A60D4B" w:rsidP="00A60D4B">
            <w:pPr>
              <w:pStyle w:val="Btabletextunbold"/>
            </w:pPr>
            <w:r>
              <w:t>National Housing and Homelessness Funding</w:t>
            </w:r>
          </w:p>
        </w:tc>
        <w:tc>
          <w:tcPr>
            <w:tcW w:w="1162" w:type="dxa"/>
            <w:tcBorders>
              <w:top w:val="nil"/>
              <w:bottom w:val="nil"/>
            </w:tcBorders>
            <w:tcMar>
              <w:left w:w="108" w:type="dxa"/>
            </w:tcMar>
          </w:tcPr>
          <w:p w14:paraId="3443C153" w14:textId="77777777" w:rsidR="00A60D4B" w:rsidRPr="00EC74DB" w:rsidRDefault="00A60D4B" w:rsidP="00A60D4B">
            <w:pPr>
              <w:pStyle w:val="Btablefigureunbold"/>
            </w:pPr>
            <w:r w:rsidRPr="00624C22">
              <w:t>26,949</w:t>
            </w:r>
          </w:p>
        </w:tc>
        <w:tc>
          <w:tcPr>
            <w:tcW w:w="1162" w:type="dxa"/>
            <w:tcBorders>
              <w:top w:val="nil"/>
              <w:bottom w:val="nil"/>
            </w:tcBorders>
            <w:shd w:val="clear" w:color="auto" w:fill="auto"/>
            <w:tcMar>
              <w:left w:w="108" w:type="dxa"/>
            </w:tcMar>
          </w:tcPr>
          <w:p w14:paraId="265C5D7A" w14:textId="77777777" w:rsidR="00A60D4B" w:rsidRPr="00EC74DB" w:rsidRDefault="00A60D4B" w:rsidP="00A60D4B">
            <w:pPr>
              <w:pStyle w:val="Btablefigureunbold"/>
            </w:pPr>
            <w:r w:rsidRPr="00624C22">
              <w:t>27,501</w:t>
            </w:r>
          </w:p>
        </w:tc>
        <w:tc>
          <w:tcPr>
            <w:tcW w:w="1162" w:type="dxa"/>
            <w:tcBorders>
              <w:top w:val="nil"/>
              <w:bottom w:val="nil"/>
            </w:tcBorders>
            <w:shd w:val="clear" w:color="472D8C" w:fill="auto"/>
            <w:tcMar>
              <w:left w:w="108" w:type="dxa"/>
            </w:tcMar>
          </w:tcPr>
          <w:p w14:paraId="407AE05F" w14:textId="77777777" w:rsidR="00A60D4B" w:rsidRPr="00111524" w:rsidRDefault="00A60D4B" w:rsidP="00A60D4B">
            <w:pPr>
              <w:pStyle w:val="Btablefigureunbold"/>
            </w:pPr>
            <w:r w:rsidRPr="00624C22">
              <w:t>27,826</w:t>
            </w:r>
          </w:p>
        </w:tc>
        <w:tc>
          <w:tcPr>
            <w:tcW w:w="1162" w:type="dxa"/>
            <w:tcBorders>
              <w:top w:val="nil"/>
              <w:bottom w:val="nil"/>
            </w:tcBorders>
            <w:shd w:val="clear" w:color="auto" w:fill="auto"/>
            <w:tcMar>
              <w:left w:w="108" w:type="dxa"/>
            </w:tcMar>
          </w:tcPr>
          <w:p w14:paraId="44FE6830" w14:textId="77777777" w:rsidR="00A60D4B" w:rsidRPr="00EC74DB" w:rsidRDefault="00A60D4B" w:rsidP="00A60D4B">
            <w:pPr>
              <w:pStyle w:val="Btablefigureunbold"/>
            </w:pPr>
            <w:r w:rsidRPr="00624C22">
              <w:t>26,149</w:t>
            </w:r>
          </w:p>
        </w:tc>
        <w:tc>
          <w:tcPr>
            <w:tcW w:w="1163" w:type="dxa"/>
            <w:tcBorders>
              <w:top w:val="nil"/>
              <w:bottom w:val="nil"/>
            </w:tcBorders>
            <w:tcMar>
              <w:left w:w="108" w:type="dxa"/>
            </w:tcMar>
          </w:tcPr>
          <w:p w14:paraId="6EEFE4CF" w14:textId="77777777" w:rsidR="00A60D4B" w:rsidRPr="00EC74DB" w:rsidRDefault="00A60D4B" w:rsidP="00A60D4B">
            <w:pPr>
              <w:pStyle w:val="Btablefigureunbold"/>
            </w:pPr>
            <w:r w:rsidRPr="00624C22">
              <w:t>26,401</w:t>
            </w:r>
          </w:p>
        </w:tc>
      </w:tr>
      <w:tr w:rsidR="00A60D4B" w:rsidRPr="00337DC9" w14:paraId="5EBE78A3" w14:textId="77777777" w:rsidTr="00A60D4B">
        <w:trPr>
          <w:cantSplit/>
          <w:trHeight w:val="270"/>
        </w:trPr>
        <w:tc>
          <w:tcPr>
            <w:tcW w:w="3261" w:type="dxa"/>
            <w:tcBorders>
              <w:top w:val="nil"/>
              <w:bottom w:val="nil"/>
            </w:tcBorders>
          </w:tcPr>
          <w:p w14:paraId="5072A509" w14:textId="77777777" w:rsidR="00A60D4B" w:rsidRDefault="00A60D4B" w:rsidP="00A60D4B">
            <w:pPr>
              <w:pStyle w:val="Btabletextbold"/>
              <w:keepNext/>
            </w:pPr>
            <w:r>
              <w:t>Affordable Housing NPPs</w:t>
            </w:r>
          </w:p>
        </w:tc>
        <w:tc>
          <w:tcPr>
            <w:tcW w:w="1162" w:type="dxa"/>
            <w:tcBorders>
              <w:top w:val="nil"/>
              <w:bottom w:val="nil"/>
            </w:tcBorders>
            <w:tcMar>
              <w:left w:w="108" w:type="dxa"/>
            </w:tcMar>
          </w:tcPr>
          <w:p w14:paraId="5932236F" w14:textId="77777777" w:rsidR="00A60D4B" w:rsidRPr="00EC74DB" w:rsidRDefault="00A60D4B" w:rsidP="00A60D4B">
            <w:pPr>
              <w:pStyle w:val="Btablefigureunbold"/>
            </w:pPr>
          </w:p>
        </w:tc>
        <w:tc>
          <w:tcPr>
            <w:tcW w:w="1162" w:type="dxa"/>
            <w:tcBorders>
              <w:top w:val="nil"/>
              <w:bottom w:val="nil"/>
            </w:tcBorders>
            <w:shd w:val="clear" w:color="auto" w:fill="auto"/>
            <w:tcMar>
              <w:left w:w="108" w:type="dxa"/>
            </w:tcMar>
          </w:tcPr>
          <w:p w14:paraId="73863901" w14:textId="77777777" w:rsidR="00A60D4B" w:rsidRPr="00EC74DB" w:rsidRDefault="00A60D4B" w:rsidP="00A60D4B">
            <w:pPr>
              <w:pStyle w:val="Btablefigureunbold"/>
            </w:pPr>
          </w:p>
        </w:tc>
        <w:tc>
          <w:tcPr>
            <w:tcW w:w="1162" w:type="dxa"/>
            <w:tcBorders>
              <w:top w:val="nil"/>
              <w:bottom w:val="nil"/>
            </w:tcBorders>
            <w:shd w:val="clear" w:color="472D8C" w:fill="auto"/>
            <w:tcMar>
              <w:left w:w="108" w:type="dxa"/>
            </w:tcMar>
          </w:tcPr>
          <w:p w14:paraId="7F45D9D7" w14:textId="77777777" w:rsidR="00A60D4B" w:rsidRPr="00111524" w:rsidRDefault="00A60D4B" w:rsidP="00A60D4B">
            <w:pPr>
              <w:pStyle w:val="Btablefigureunbold"/>
            </w:pPr>
          </w:p>
        </w:tc>
        <w:tc>
          <w:tcPr>
            <w:tcW w:w="1162" w:type="dxa"/>
            <w:tcBorders>
              <w:top w:val="nil"/>
              <w:bottom w:val="nil"/>
            </w:tcBorders>
            <w:shd w:val="clear" w:color="auto" w:fill="auto"/>
            <w:tcMar>
              <w:left w:w="108" w:type="dxa"/>
            </w:tcMar>
          </w:tcPr>
          <w:p w14:paraId="35C2FE53" w14:textId="77777777" w:rsidR="00A60D4B" w:rsidRPr="00EC74DB" w:rsidRDefault="00A60D4B" w:rsidP="00A60D4B">
            <w:pPr>
              <w:pStyle w:val="Btablefigureunbold"/>
            </w:pPr>
          </w:p>
        </w:tc>
        <w:tc>
          <w:tcPr>
            <w:tcW w:w="1163" w:type="dxa"/>
            <w:tcBorders>
              <w:top w:val="nil"/>
              <w:bottom w:val="nil"/>
            </w:tcBorders>
            <w:tcMar>
              <w:left w:w="108" w:type="dxa"/>
            </w:tcMar>
          </w:tcPr>
          <w:p w14:paraId="14A37B50" w14:textId="77777777" w:rsidR="00A60D4B" w:rsidRPr="00EC74DB" w:rsidRDefault="00A60D4B" w:rsidP="00A60D4B">
            <w:pPr>
              <w:pStyle w:val="Btablefigureunbold"/>
            </w:pPr>
          </w:p>
        </w:tc>
      </w:tr>
      <w:tr w:rsidR="00A60D4B" w:rsidRPr="00337DC9" w14:paraId="5419B6BF" w14:textId="77777777" w:rsidTr="00A60D4B">
        <w:trPr>
          <w:cantSplit/>
          <w:trHeight w:val="270"/>
        </w:trPr>
        <w:tc>
          <w:tcPr>
            <w:tcW w:w="3261" w:type="dxa"/>
            <w:tcBorders>
              <w:top w:val="nil"/>
              <w:bottom w:val="nil"/>
            </w:tcBorders>
          </w:tcPr>
          <w:p w14:paraId="4C26F77B" w14:textId="77777777" w:rsidR="00A60D4B" w:rsidRPr="00281493" w:rsidRDefault="00A60D4B" w:rsidP="00A60D4B">
            <w:pPr>
              <w:pStyle w:val="Btabletextunbold"/>
            </w:pPr>
            <w:r w:rsidRPr="00281493">
              <w:t>HomeBuilder</w:t>
            </w:r>
            <w:r>
              <w:rPr>
                <w:vertAlign w:val="superscript"/>
              </w:rPr>
              <w:t>7</w:t>
            </w:r>
          </w:p>
        </w:tc>
        <w:tc>
          <w:tcPr>
            <w:tcW w:w="1162" w:type="dxa"/>
            <w:tcBorders>
              <w:top w:val="nil"/>
              <w:bottom w:val="nil"/>
            </w:tcBorders>
            <w:tcMar>
              <w:left w:w="108" w:type="dxa"/>
            </w:tcMar>
          </w:tcPr>
          <w:p w14:paraId="0DF1039A" w14:textId="77777777" w:rsidR="00A60D4B" w:rsidRPr="00EC74DB" w:rsidRDefault="00A60D4B" w:rsidP="00A60D4B">
            <w:pPr>
              <w:pStyle w:val="Btablefigureunbold"/>
            </w:pPr>
            <w:r w:rsidRPr="00357595">
              <w:t xml:space="preserve">3,750 </w:t>
            </w:r>
          </w:p>
        </w:tc>
        <w:tc>
          <w:tcPr>
            <w:tcW w:w="1162" w:type="dxa"/>
            <w:tcBorders>
              <w:top w:val="nil"/>
              <w:bottom w:val="nil"/>
            </w:tcBorders>
            <w:shd w:val="clear" w:color="auto" w:fill="auto"/>
            <w:tcMar>
              <w:left w:w="108" w:type="dxa"/>
            </w:tcMar>
          </w:tcPr>
          <w:p w14:paraId="7223DD38" w14:textId="77777777" w:rsidR="00A60D4B" w:rsidRPr="00EC74DB" w:rsidRDefault="00A60D4B" w:rsidP="00A60D4B">
            <w:pPr>
              <w:pStyle w:val="Btablefigureunbold"/>
            </w:pPr>
            <w:r w:rsidRPr="00357595">
              <w:t>39,755</w:t>
            </w:r>
          </w:p>
        </w:tc>
        <w:tc>
          <w:tcPr>
            <w:tcW w:w="1162" w:type="dxa"/>
            <w:tcBorders>
              <w:top w:val="nil"/>
              <w:bottom w:val="nil"/>
            </w:tcBorders>
            <w:shd w:val="clear" w:color="472D8C" w:fill="auto"/>
            <w:tcMar>
              <w:left w:w="108" w:type="dxa"/>
            </w:tcMar>
          </w:tcPr>
          <w:p w14:paraId="64EAA8F9" w14:textId="77777777" w:rsidR="00A60D4B" w:rsidRPr="00111524" w:rsidRDefault="00A60D4B" w:rsidP="00A60D4B">
            <w:pPr>
              <w:pStyle w:val="Btablefigureunbold"/>
            </w:pPr>
            <w:r w:rsidRPr="00357595">
              <w:t>9,945</w:t>
            </w:r>
          </w:p>
        </w:tc>
        <w:tc>
          <w:tcPr>
            <w:tcW w:w="1162" w:type="dxa"/>
            <w:tcBorders>
              <w:top w:val="nil"/>
              <w:bottom w:val="nil"/>
            </w:tcBorders>
            <w:shd w:val="clear" w:color="auto" w:fill="auto"/>
            <w:tcMar>
              <w:left w:w="108" w:type="dxa"/>
            </w:tcMar>
          </w:tcPr>
          <w:p w14:paraId="19614D93"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44E9B035" w14:textId="77777777" w:rsidR="00A60D4B" w:rsidRPr="00EC74DB" w:rsidRDefault="00A60D4B" w:rsidP="00A60D4B">
            <w:pPr>
              <w:pStyle w:val="Btablefigureunbold"/>
            </w:pPr>
            <w:r>
              <w:t>0</w:t>
            </w:r>
          </w:p>
        </w:tc>
      </w:tr>
      <w:tr w:rsidR="00A60D4B" w:rsidRPr="00337DC9" w14:paraId="1D28E869" w14:textId="77777777" w:rsidTr="00A60D4B">
        <w:trPr>
          <w:cantSplit/>
          <w:trHeight w:val="270"/>
        </w:trPr>
        <w:tc>
          <w:tcPr>
            <w:tcW w:w="3261" w:type="dxa"/>
            <w:tcBorders>
              <w:top w:val="nil"/>
              <w:bottom w:val="nil"/>
            </w:tcBorders>
          </w:tcPr>
          <w:p w14:paraId="7984A0E3" w14:textId="77777777" w:rsidR="00A60D4B" w:rsidRDefault="00A60D4B" w:rsidP="00A60D4B">
            <w:pPr>
              <w:pStyle w:val="Btabletextbold"/>
              <w:keepNext/>
            </w:pPr>
            <w:r>
              <w:t>Social Impact Investments</w:t>
            </w:r>
          </w:p>
        </w:tc>
        <w:tc>
          <w:tcPr>
            <w:tcW w:w="1162" w:type="dxa"/>
            <w:tcBorders>
              <w:top w:val="nil"/>
              <w:bottom w:val="nil"/>
            </w:tcBorders>
            <w:tcMar>
              <w:left w:w="108" w:type="dxa"/>
            </w:tcMar>
          </w:tcPr>
          <w:p w14:paraId="701D2D0E" w14:textId="77777777" w:rsidR="00A60D4B" w:rsidRPr="00EC74DB" w:rsidRDefault="00A60D4B" w:rsidP="00A60D4B">
            <w:pPr>
              <w:pStyle w:val="Btablefigureunbold"/>
            </w:pPr>
          </w:p>
        </w:tc>
        <w:tc>
          <w:tcPr>
            <w:tcW w:w="1162" w:type="dxa"/>
            <w:tcBorders>
              <w:top w:val="nil"/>
              <w:bottom w:val="nil"/>
            </w:tcBorders>
            <w:shd w:val="clear" w:color="auto" w:fill="auto"/>
            <w:tcMar>
              <w:left w:w="108" w:type="dxa"/>
            </w:tcMar>
          </w:tcPr>
          <w:p w14:paraId="2A567763" w14:textId="77777777" w:rsidR="00A60D4B" w:rsidRPr="00EC74DB" w:rsidRDefault="00A60D4B" w:rsidP="00A60D4B">
            <w:pPr>
              <w:pStyle w:val="Btablefigureunbold"/>
            </w:pPr>
          </w:p>
        </w:tc>
        <w:tc>
          <w:tcPr>
            <w:tcW w:w="1162" w:type="dxa"/>
            <w:tcBorders>
              <w:top w:val="nil"/>
              <w:bottom w:val="nil"/>
            </w:tcBorders>
            <w:shd w:val="clear" w:color="472D8C" w:fill="auto"/>
            <w:tcMar>
              <w:left w:w="108" w:type="dxa"/>
            </w:tcMar>
          </w:tcPr>
          <w:p w14:paraId="522EC9D6" w14:textId="77777777" w:rsidR="00A60D4B" w:rsidRPr="00111524" w:rsidRDefault="00A60D4B" w:rsidP="00A60D4B">
            <w:pPr>
              <w:pStyle w:val="Btablefigureunbold"/>
            </w:pPr>
          </w:p>
        </w:tc>
        <w:tc>
          <w:tcPr>
            <w:tcW w:w="1162" w:type="dxa"/>
            <w:tcBorders>
              <w:top w:val="nil"/>
              <w:bottom w:val="nil"/>
            </w:tcBorders>
            <w:shd w:val="clear" w:color="auto" w:fill="auto"/>
            <w:tcMar>
              <w:left w:w="108" w:type="dxa"/>
            </w:tcMar>
          </w:tcPr>
          <w:p w14:paraId="6801EB69" w14:textId="77777777" w:rsidR="00A60D4B" w:rsidRPr="00EC74DB" w:rsidRDefault="00A60D4B" w:rsidP="00A60D4B">
            <w:pPr>
              <w:pStyle w:val="Btablefigureunbold"/>
            </w:pPr>
          </w:p>
        </w:tc>
        <w:tc>
          <w:tcPr>
            <w:tcW w:w="1163" w:type="dxa"/>
            <w:tcBorders>
              <w:top w:val="nil"/>
              <w:bottom w:val="nil"/>
            </w:tcBorders>
            <w:tcMar>
              <w:left w:w="108" w:type="dxa"/>
            </w:tcMar>
          </w:tcPr>
          <w:p w14:paraId="2CB0FEBA" w14:textId="77777777" w:rsidR="00A60D4B" w:rsidRPr="00EC74DB" w:rsidRDefault="00A60D4B" w:rsidP="00A60D4B">
            <w:pPr>
              <w:pStyle w:val="Btablefigureunbold"/>
            </w:pPr>
          </w:p>
        </w:tc>
      </w:tr>
      <w:tr w:rsidR="00A60D4B" w:rsidRPr="00337DC9" w14:paraId="66D5087F" w14:textId="77777777" w:rsidTr="00A60D4B">
        <w:trPr>
          <w:cantSplit/>
          <w:trHeight w:val="270"/>
        </w:trPr>
        <w:tc>
          <w:tcPr>
            <w:tcW w:w="3261" w:type="dxa"/>
            <w:tcBorders>
              <w:top w:val="nil"/>
              <w:bottom w:val="nil"/>
            </w:tcBorders>
          </w:tcPr>
          <w:p w14:paraId="4568B885" w14:textId="77777777" w:rsidR="00A60D4B" w:rsidRDefault="00A60D4B" w:rsidP="00A60D4B">
            <w:pPr>
              <w:pStyle w:val="Btabletextunbold"/>
            </w:pPr>
            <w:r>
              <w:t>Vulnerable priority groups</w:t>
            </w:r>
          </w:p>
        </w:tc>
        <w:tc>
          <w:tcPr>
            <w:tcW w:w="1162" w:type="dxa"/>
            <w:tcBorders>
              <w:top w:val="nil"/>
              <w:bottom w:val="nil"/>
            </w:tcBorders>
            <w:tcMar>
              <w:left w:w="108" w:type="dxa"/>
            </w:tcMar>
          </w:tcPr>
          <w:p w14:paraId="5D7B9EE1" w14:textId="77777777" w:rsidR="00A60D4B" w:rsidRPr="00EC74DB" w:rsidRDefault="00A60D4B" w:rsidP="00A60D4B">
            <w:pPr>
              <w:pStyle w:val="Btablefigureunbold"/>
            </w:pPr>
            <w:r>
              <w:t>0</w:t>
            </w:r>
          </w:p>
        </w:tc>
        <w:tc>
          <w:tcPr>
            <w:tcW w:w="1162" w:type="dxa"/>
            <w:tcBorders>
              <w:top w:val="nil"/>
              <w:bottom w:val="nil"/>
            </w:tcBorders>
            <w:shd w:val="clear" w:color="auto" w:fill="auto"/>
            <w:tcMar>
              <w:left w:w="108" w:type="dxa"/>
            </w:tcMar>
          </w:tcPr>
          <w:p w14:paraId="6A8B1266" w14:textId="77777777" w:rsidR="00A60D4B" w:rsidRPr="00EC74DB" w:rsidRDefault="00A60D4B" w:rsidP="00A60D4B">
            <w:pPr>
              <w:pStyle w:val="Btablefigureunbold"/>
            </w:pPr>
            <w:r>
              <w:t>~</w:t>
            </w:r>
          </w:p>
        </w:tc>
        <w:tc>
          <w:tcPr>
            <w:tcW w:w="1162" w:type="dxa"/>
            <w:tcBorders>
              <w:top w:val="nil"/>
              <w:bottom w:val="nil"/>
            </w:tcBorders>
            <w:shd w:val="clear" w:color="472D8C" w:fill="auto"/>
            <w:tcMar>
              <w:left w:w="108" w:type="dxa"/>
            </w:tcMar>
          </w:tcPr>
          <w:p w14:paraId="744DCC23" w14:textId="77777777" w:rsidR="00A60D4B" w:rsidRPr="00111524" w:rsidRDefault="00A60D4B" w:rsidP="00A60D4B">
            <w:pPr>
              <w:pStyle w:val="Btablefigureunbold"/>
            </w:pPr>
            <w:r>
              <w:t>0</w:t>
            </w:r>
          </w:p>
        </w:tc>
        <w:tc>
          <w:tcPr>
            <w:tcW w:w="1162" w:type="dxa"/>
            <w:tcBorders>
              <w:top w:val="nil"/>
              <w:bottom w:val="nil"/>
            </w:tcBorders>
            <w:shd w:val="clear" w:color="auto" w:fill="auto"/>
            <w:tcMar>
              <w:left w:w="108" w:type="dxa"/>
            </w:tcMar>
          </w:tcPr>
          <w:p w14:paraId="679D48EF"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1803DA29" w14:textId="77777777" w:rsidR="00A60D4B" w:rsidRPr="00EC74DB" w:rsidRDefault="00A60D4B" w:rsidP="00A60D4B">
            <w:pPr>
              <w:pStyle w:val="Btablefigureunbold"/>
            </w:pPr>
            <w:r>
              <w:t>0</w:t>
            </w:r>
          </w:p>
        </w:tc>
      </w:tr>
      <w:tr w:rsidR="00A60D4B" w:rsidRPr="00337DC9" w14:paraId="762248E6" w14:textId="77777777" w:rsidTr="00A60D4B">
        <w:trPr>
          <w:cantSplit/>
          <w:trHeight w:val="270"/>
        </w:trPr>
        <w:tc>
          <w:tcPr>
            <w:tcW w:w="3261" w:type="dxa"/>
            <w:tcBorders>
              <w:top w:val="nil"/>
              <w:bottom w:val="nil"/>
            </w:tcBorders>
          </w:tcPr>
          <w:p w14:paraId="15B3D36B" w14:textId="77777777" w:rsidR="00A60D4B" w:rsidRDefault="00A60D4B" w:rsidP="00A60D4B">
            <w:pPr>
              <w:pStyle w:val="Btabletextunbold"/>
            </w:pPr>
            <w:r>
              <w:t>Youth at risk of homelessness</w:t>
            </w:r>
          </w:p>
        </w:tc>
        <w:tc>
          <w:tcPr>
            <w:tcW w:w="1162" w:type="dxa"/>
            <w:tcBorders>
              <w:top w:val="nil"/>
              <w:bottom w:val="nil"/>
            </w:tcBorders>
            <w:tcMar>
              <w:left w:w="108" w:type="dxa"/>
            </w:tcMar>
          </w:tcPr>
          <w:p w14:paraId="2EC27D33" w14:textId="77777777" w:rsidR="00A60D4B" w:rsidRPr="00EC74DB" w:rsidRDefault="00A60D4B" w:rsidP="00A60D4B">
            <w:pPr>
              <w:pStyle w:val="Btablefigureunbold"/>
            </w:pPr>
            <w:r>
              <w:t>0</w:t>
            </w:r>
          </w:p>
        </w:tc>
        <w:tc>
          <w:tcPr>
            <w:tcW w:w="1162" w:type="dxa"/>
            <w:tcBorders>
              <w:top w:val="nil"/>
              <w:bottom w:val="nil"/>
            </w:tcBorders>
            <w:shd w:val="clear" w:color="auto" w:fill="auto"/>
            <w:tcMar>
              <w:left w:w="108" w:type="dxa"/>
            </w:tcMar>
          </w:tcPr>
          <w:p w14:paraId="7649D262" w14:textId="77777777" w:rsidR="00A60D4B" w:rsidRPr="00EC74DB" w:rsidRDefault="00A60D4B" w:rsidP="00A60D4B">
            <w:pPr>
              <w:pStyle w:val="Btablefigureunbold"/>
            </w:pPr>
            <w:r>
              <w:t>~</w:t>
            </w:r>
          </w:p>
        </w:tc>
        <w:tc>
          <w:tcPr>
            <w:tcW w:w="1162" w:type="dxa"/>
            <w:tcBorders>
              <w:top w:val="nil"/>
              <w:bottom w:val="nil"/>
            </w:tcBorders>
            <w:shd w:val="clear" w:color="472D8C" w:fill="auto"/>
            <w:tcMar>
              <w:left w:w="108" w:type="dxa"/>
            </w:tcMar>
          </w:tcPr>
          <w:p w14:paraId="0918F709" w14:textId="77777777" w:rsidR="00A60D4B" w:rsidRPr="00111524" w:rsidRDefault="00A60D4B" w:rsidP="00A60D4B">
            <w:pPr>
              <w:pStyle w:val="Btablefigureunbold"/>
            </w:pPr>
            <w:r>
              <w:t>~</w:t>
            </w:r>
          </w:p>
        </w:tc>
        <w:tc>
          <w:tcPr>
            <w:tcW w:w="1162" w:type="dxa"/>
            <w:tcBorders>
              <w:top w:val="nil"/>
              <w:bottom w:val="nil"/>
            </w:tcBorders>
            <w:shd w:val="clear" w:color="auto" w:fill="auto"/>
            <w:tcMar>
              <w:left w:w="108" w:type="dxa"/>
            </w:tcMar>
          </w:tcPr>
          <w:p w14:paraId="1DC9CA72" w14:textId="77777777" w:rsidR="00A60D4B" w:rsidRPr="00EC74DB" w:rsidRDefault="00A60D4B" w:rsidP="00A60D4B">
            <w:pPr>
              <w:pStyle w:val="Btablefigureunbold"/>
            </w:pPr>
            <w:r>
              <w:t>~</w:t>
            </w:r>
          </w:p>
        </w:tc>
        <w:tc>
          <w:tcPr>
            <w:tcW w:w="1163" w:type="dxa"/>
            <w:tcBorders>
              <w:top w:val="nil"/>
              <w:bottom w:val="nil"/>
            </w:tcBorders>
            <w:tcMar>
              <w:left w:w="108" w:type="dxa"/>
            </w:tcMar>
          </w:tcPr>
          <w:p w14:paraId="61683767" w14:textId="77777777" w:rsidR="00A60D4B" w:rsidRPr="00EC74DB" w:rsidRDefault="00A60D4B" w:rsidP="00A60D4B">
            <w:pPr>
              <w:pStyle w:val="Btablefigureunbold"/>
            </w:pPr>
            <w:r>
              <w:t>~</w:t>
            </w:r>
          </w:p>
        </w:tc>
      </w:tr>
      <w:tr w:rsidR="00A60D4B" w:rsidRPr="00337DC9" w14:paraId="7E9C060C" w14:textId="77777777" w:rsidTr="00A60D4B">
        <w:trPr>
          <w:cantSplit/>
          <w:trHeight w:val="270"/>
        </w:trPr>
        <w:tc>
          <w:tcPr>
            <w:tcW w:w="3261" w:type="dxa"/>
            <w:tcBorders>
              <w:top w:val="nil"/>
              <w:bottom w:val="single" w:sz="4" w:space="0" w:color="auto"/>
            </w:tcBorders>
          </w:tcPr>
          <w:p w14:paraId="1C53A1A2" w14:textId="77777777" w:rsidR="00A60D4B" w:rsidRDefault="00A60D4B" w:rsidP="00A60D4B">
            <w:pPr>
              <w:pStyle w:val="Btabletextbolditalic"/>
            </w:pPr>
            <w:r>
              <w:t>Total Affordable Housing NPPs</w:t>
            </w:r>
          </w:p>
        </w:tc>
        <w:tc>
          <w:tcPr>
            <w:tcW w:w="1162" w:type="dxa"/>
            <w:tcBorders>
              <w:top w:val="nil"/>
              <w:bottom w:val="single" w:sz="4" w:space="0" w:color="auto"/>
            </w:tcBorders>
            <w:tcMar>
              <w:left w:w="108" w:type="dxa"/>
            </w:tcMar>
          </w:tcPr>
          <w:p w14:paraId="4F6C83EA" w14:textId="77777777" w:rsidR="00A60D4B" w:rsidRPr="00EC74DB" w:rsidRDefault="00A60D4B" w:rsidP="00A60D4B">
            <w:pPr>
              <w:pStyle w:val="BTablefigurebolditalic"/>
            </w:pPr>
            <w:r w:rsidRPr="0065001A">
              <w:t>3,750</w:t>
            </w:r>
          </w:p>
        </w:tc>
        <w:tc>
          <w:tcPr>
            <w:tcW w:w="1162" w:type="dxa"/>
            <w:tcBorders>
              <w:top w:val="nil"/>
              <w:bottom w:val="single" w:sz="4" w:space="0" w:color="auto"/>
            </w:tcBorders>
            <w:shd w:val="clear" w:color="auto" w:fill="auto"/>
            <w:tcMar>
              <w:left w:w="108" w:type="dxa"/>
            </w:tcMar>
          </w:tcPr>
          <w:p w14:paraId="110D8D77" w14:textId="77777777" w:rsidR="00A60D4B" w:rsidRPr="00EC74DB" w:rsidRDefault="00A60D4B" w:rsidP="00A60D4B">
            <w:pPr>
              <w:pStyle w:val="BTablefigurebolditalic"/>
            </w:pPr>
            <w:r w:rsidRPr="0065001A">
              <w:t>39,755</w:t>
            </w:r>
          </w:p>
        </w:tc>
        <w:tc>
          <w:tcPr>
            <w:tcW w:w="1162" w:type="dxa"/>
            <w:tcBorders>
              <w:top w:val="nil"/>
              <w:bottom w:val="single" w:sz="4" w:space="0" w:color="auto"/>
            </w:tcBorders>
            <w:shd w:val="clear" w:color="472D8C" w:fill="auto"/>
            <w:tcMar>
              <w:left w:w="108" w:type="dxa"/>
            </w:tcMar>
          </w:tcPr>
          <w:p w14:paraId="4FF8BF75" w14:textId="77777777" w:rsidR="00A60D4B" w:rsidRPr="00111524" w:rsidRDefault="00A60D4B" w:rsidP="00A60D4B">
            <w:pPr>
              <w:pStyle w:val="BTablefigurebolditalic"/>
            </w:pPr>
            <w:r w:rsidRPr="0065001A">
              <w:t>9,945</w:t>
            </w:r>
          </w:p>
        </w:tc>
        <w:tc>
          <w:tcPr>
            <w:tcW w:w="1162" w:type="dxa"/>
            <w:tcBorders>
              <w:top w:val="nil"/>
              <w:bottom w:val="single" w:sz="4" w:space="0" w:color="auto"/>
            </w:tcBorders>
            <w:shd w:val="clear" w:color="auto" w:fill="auto"/>
            <w:tcMar>
              <w:left w:w="108" w:type="dxa"/>
            </w:tcMar>
          </w:tcPr>
          <w:p w14:paraId="14D5D24F" w14:textId="77777777" w:rsidR="00A60D4B" w:rsidRPr="00EC74DB" w:rsidRDefault="00A60D4B" w:rsidP="00A60D4B">
            <w:pPr>
              <w:pStyle w:val="BTablefigurebolditalic"/>
            </w:pPr>
            <w:r>
              <w:t>0</w:t>
            </w:r>
          </w:p>
        </w:tc>
        <w:tc>
          <w:tcPr>
            <w:tcW w:w="1163" w:type="dxa"/>
            <w:tcBorders>
              <w:top w:val="nil"/>
              <w:bottom w:val="single" w:sz="4" w:space="0" w:color="auto"/>
            </w:tcBorders>
            <w:tcMar>
              <w:left w:w="108" w:type="dxa"/>
            </w:tcMar>
          </w:tcPr>
          <w:p w14:paraId="69F1DC44" w14:textId="77777777" w:rsidR="00A60D4B" w:rsidRPr="00EC74DB" w:rsidRDefault="00A60D4B" w:rsidP="00A60D4B">
            <w:pPr>
              <w:pStyle w:val="BTablefigurebolditalic"/>
            </w:pPr>
            <w:r>
              <w:t>0</w:t>
            </w:r>
          </w:p>
        </w:tc>
      </w:tr>
      <w:tr w:rsidR="00A60D4B" w:rsidRPr="00337DC9" w14:paraId="606361CC" w14:textId="77777777" w:rsidTr="00A60D4B">
        <w:trPr>
          <w:cantSplit/>
          <w:trHeight w:val="270"/>
        </w:trPr>
        <w:tc>
          <w:tcPr>
            <w:tcW w:w="3261" w:type="dxa"/>
            <w:tcBorders>
              <w:top w:val="single" w:sz="4" w:space="0" w:color="auto"/>
              <w:bottom w:val="single" w:sz="4" w:space="0" w:color="auto"/>
            </w:tcBorders>
          </w:tcPr>
          <w:p w14:paraId="42A10966" w14:textId="77777777" w:rsidR="00A60D4B" w:rsidRDefault="00A60D4B" w:rsidP="00A60D4B">
            <w:pPr>
              <w:pStyle w:val="Btabletextbold"/>
            </w:pPr>
            <w:r>
              <w:t>Total Affordable Housing</w:t>
            </w:r>
          </w:p>
        </w:tc>
        <w:tc>
          <w:tcPr>
            <w:tcW w:w="1162" w:type="dxa"/>
            <w:tcBorders>
              <w:top w:val="single" w:sz="4" w:space="0" w:color="auto"/>
              <w:bottom w:val="single" w:sz="4" w:space="0" w:color="auto"/>
            </w:tcBorders>
            <w:tcMar>
              <w:left w:w="108" w:type="dxa"/>
            </w:tcMar>
          </w:tcPr>
          <w:p w14:paraId="36F25E74" w14:textId="77777777" w:rsidR="00A60D4B" w:rsidRPr="00EC74DB" w:rsidRDefault="00A60D4B" w:rsidP="00A60D4B">
            <w:pPr>
              <w:pStyle w:val="Btablefigurebold0"/>
            </w:pPr>
            <w:r w:rsidRPr="00A141AE">
              <w:t>30,699</w:t>
            </w:r>
          </w:p>
        </w:tc>
        <w:tc>
          <w:tcPr>
            <w:tcW w:w="1162" w:type="dxa"/>
            <w:tcBorders>
              <w:top w:val="single" w:sz="4" w:space="0" w:color="auto"/>
              <w:bottom w:val="single" w:sz="4" w:space="0" w:color="auto"/>
            </w:tcBorders>
            <w:shd w:val="clear" w:color="auto" w:fill="auto"/>
            <w:tcMar>
              <w:left w:w="108" w:type="dxa"/>
            </w:tcMar>
          </w:tcPr>
          <w:p w14:paraId="0B1E5E29" w14:textId="77777777" w:rsidR="00A60D4B" w:rsidRPr="00EC74DB" w:rsidRDefault="00A60D4B" w:rsidP="00A60D4B">
            <w:pPr>
              <w:pStyle w:val="Btablefigurebold0"/>
            </w:pPr>
            <w:r w:rsidRPr="00A141AE">
              <w:t>67,256</w:t>
            </w:r>
          </w:p>
        </w:tc>
        <w:tc>
          <w:tcPr>
            <w:tcW w:w="1162" w:type="dxa"/>
            <w:tcBorders>
              <w:top w:val="single" w:sz="4" w:space="0" w:color="auto"/>
              <w:bottom w:val="single" w:sz="4" w:space="0" w:color="auto"/>
            </w:tcBorders>
            <w:shd w:val="clear" w:color="472D8C" w:fill="auto"/>
            <w:tcMar>
              <w:left w:w="108" w:type="dxa"/>
            </w:tcMar>
          </w:tcPr>
          <w:p w14:paraId="270F1274" w14:textId="77777777" w:rsidR="00A60D4B" w:rsidRPr="00111524" w:rsidRDefault="00A60D4B" w:rsidP="00A60D4B">
            <w:pPr>
              <w:pStyle w:val="Btablefigurebold0"/>
            </w:pPr>
            <w:r w:rsidRPr="00A141AE">
              <w:t>37,771</w:t>
            </w:r>
          </w:p>
        </w:tc>
        <w:tc>
          <w:tcPr>
            <w:tcW w:w="1162" w:type="dxa"/>
            <w:tcBorders>
              <w:top w:val="single" w:sz="4" w:space="0" w:color="auto"/>
              <w:bottom w:val="single" w:sz="4" w:space="0" w:color="auto"/>
            </w:tcBorders>
            <w:shd w:val="clear" w:color="auto" w:fill="auto"/>
            <w:tcMar>
              <w:left w:w="108" w:type="dxa"/>
            </w:tcMar>
          </w:tcPr>
          <w:p w14:paraId="0843B187" w14:textId="77777777" w:rsidR="00A60D4B" w:rsidRPr="00EC74DB" w:rsidRDefault="00A60D4B" w:rsidP="00A60D4B">
            <w:pPr>
              <w:pStyle w:val="Btablefigurebold0"/>
            </w:pPr>
            <w:r w:rsidRPr="00A141AE">
              <w:t>26,149</w:t>
            </w:r>
          </w:p>
        </w:tc>
        <w:tc>
          <w:tcPr>
            <w:tcW w:w="1163" w:type="dxa"/>
            <w:tcBorders>
              <w:top w:val="single" w:sz="4" w:space="0" w:color="auto"/>
              <w:bottom w:val="single" w:sz="4" w:space="0" w:color="auto"/>
            </w:tcBorders>
            <w:tcMar>
              <w:left w:w="108" w:type="dxa"/>
            </w:tcMar>
          </w:tcPr>
          <w:p w14:paraId="27FE432A" w14:textId="77777777" w:rsidR="00A60D4B" w:rsidRPr="00EC74DB" w:rsidRDefault="00A60D4B" w:rsidP="00A60D4B">
            <w:pPr>
              <w:pStyle w:val="Btablefigurebold0"/>
            </w:pPr>
            <w:r w:rsidRPr="00A141AE">
              <w:t>26,401</w:t>
            </w:r>
          </w:p>
        </w:tc>
      </w:tr>
      <w:tr w:rsidR="00A60D4B" w:rsidRPr="00337DC9" w14:paraId="41A2D51C" w14:textId="77777777" w:rsidTr="00A60D4B">
        <w:trPr>
          <w:cantSplit/>
          <w:trHeight w:val="270"/>
        </w:trPr>
        <w:tc>
          <w:tcPr>
            <w:tcW w:w="3261" w:type="dxa"/>
            <w:tcBorders>
              <w:top w:val="single" w:sz="4" w:space="0" w:color="auto"/>
              <w:bottom w:val="nil"/>
            </w:tcBorders>
          </w:tcPr>
          <w:p w14:paraId="5FABAA25" w14:textId="77777777" w:rsidR="00A60D4B" w:rsidRDefault="00A60D4B" w:rsidP="00A60D4B">
            <w:pPr>
              <w:pStyle w:val="Btabletextbold"/>
              <w:keepNext/>
            </w:pPr>
          </w:p>
          <w:p w14:paraId="57AB41E1" w14:textId="77777777" w:rsidR="00A60D4B" w:rsidRDefault="00A60D4B" w:rsidP="00A60D4B">
            <w:pPr>
              <w:pStyle w:val="Btabletextbold"/>
              <w:keepNext/>
            </w:pPr>
            <w:r>
              <w:t>Infrastructure</w:t>
            </w:r>
          </w:p>
        </w:tc>
        <w:tc>
          <w:tcPr>
            <w:tcW w:w="1162" w:type="dxa"/>
            <w:tcBorders>
              <w:top w:val="single" w:sz="4" w:space="0" w:color="auto"/>
              <w:bottom w:val="nil"/>
            </w:tcBorders>
            <w:tcMar>
              <w:left w:w="108" w:type="dxa"/>
            </w:tcMar>
          </w:tcPr>
          <w:p w14:paraId="600B38EA" w14:textId="77777777" w:rsidR="00A60D4B" w:rsidRPr="00EC74DB"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29936398" w14:textId="77777777" w:rsidR="00A60D4B" w:rsidRPr="00EC74DB" w:rsidRDefault="00A60D4B" w:rsidP="00A60D4B">
            <w:pPr>
              <w:pStyle w:val="Btablefigureunbold"/>
            </w:pPr>
          </w:p>
        </w:tc>
        <w:tc>
          <w:tcPr>
            <w:tcW w:w="1162" w:type="dxa"/>
            <w:tcBorders>
              <w:top w:val="single" w:sz="4" w:space="0" w:color="auto"/>
              <w:bottom w:val="nil"/>
            </w:tcBorders>
            <w:shd w:val="clear" w:color="472D8C" w:fill="auto"/>
            <w:tcMar>
              <w:left w:w="108" w:type="dxa"/>
            </w:tcMar>
          </w:tcPr>
          <w:p w14:paraId="166077FE" w14:textId="77777777" w:rsidR="00A60D4B" w:rsidRPr="00111524"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0DE8007A" w14:textId="77777777" w:rsidR="00A60D4B" w:rsidRPr="00EC74DB" w:rsidRDefault="00A60D4B" w:rsidP="00A60D4B">
            <w:pPr>
              <w:pStyle w:val="Btablefigureunbold"/>
            </w:pPr>
          </w:p>
        </w:tc>
        <w:tc>
          <w:tcPr>
            <w:tcW w:w="1163" w:type="dxa"/>
            <w:tcBorders>
              <w:top w:val="single" w:sz="4" w:space="0" w:color="auto"/>
              <w:bottom w:val="nil"/>
            </w:tcBorders>
            <w:tcMar>
              <w:left w:w="108" w:type="dxa"/>
            </w:tcMar>
          </w:tcPr>
          <w:p w14:paraId="1866FA73" w14:textId="77777777" w:rsidR="00A60D4B" w:rsidRPr="00EC74DB" w:rsidRDefault="00A60D4B" w:rsidP="00A60D4B">
            <w:pPr>
              <w:pStyle w:val="Btablefigureunbold"/>
            </w:pPr>
          </w:p>
        </w:tc>
      </w:tr>
      <w:tr w:rsidR="00A60D4B" w:rsidRPr="00337DC9" w14:paraId="32A9F74F" w14:textId="77777777" w:rsidTr="00A60D4B">
        <w:trPr>
          <w:cantSplit/>
          <w:trHeight w:val="270"/>
        </w:trPr>
        <w:tc>
          <w:tcPr>
            <w:tcW w:w="3261" w:type="dxa"/>
            <w:tcBorders>
              <w:top w:val="nil"/>
              <w:bottom w:val="nil"/>
            </w:tcBorders>
          </w:tcPr>
          <w:p w14:paraId="1ED66A04" w14:textId="77777777" w:rsidR="00A60D4B" w:rsidRDefault="00A60D4B" w:rsidP="00A60D4B">
            <w:pPr>
              <w:pStyle w:val="Btabletextbold"/>
              <w:keepNext/>
            </w:pPr>
            <w:r>
              <w:t>Infrastructure Investment Program</w:t>
            </w:r>
          </w:p>
        </w:tc>
        <w:tc>
          <w:tcPr>
            <w:tcW w:w="1162" w:type="dxa"/>
            <w:tcBorders>
              <w:top w:val="nil"/>
              <w:bottom w:val="nil"/>
            </w:tcBorders>
            <w:tcMar>
              <w:left w:w="108" w:type="dxa"/>
            </w:tcMar>
          </w:tcPr>
          <w:p w14:paraId="22ADE2F0" w14:textId="77777777" w:rsidR="00A60D4B" w:rsidRPr="00EC74DB" w:rsidRDefault="00A60D4B" w:rsidP="00A60D4B">
            <w:pPr>
              <w:pStyle w:val="Btablefigureunbold"/>
            </w:pPr>
          </w:p>
        </w:tc>
        <w:tc>
          <w:tcPr>
            <w:tcW w:w="1162" w:type="dxa"/>
            <w:tcBorders>
              <w:top w:val="nil"/>
              <w:bottom w:val="nil"/>
            </w:tcBorders>
            <w:shd w:val="clear" w:color="auto" w:fill="auto"/>
            <w:tcMar>
              <w:left w:w="108" w:type="dxa"/>
            </w:tcMar>
          </w:tcPr>
          <w:p w14:paraId="03E7CF9B" w14:textId="77777777" w:rsidR="00A60D4B" w:rsidRPr="00EC74DB" w:rsidRDefault="00A60D4B" w:rsidP="00A60D4B">
            <w:pPr>
              <w:pStyle w:val="Btablefigureunbold"/>
            </w:pPr>
          </w:p>
        </w:tc>
        <w:tc>
          <w:tcPr>
            <w:tcW w:w="1162" w:type="dxa"/>
            <w:tcBorders>
              <w:top w:val="nil"/>
              <w:bottom w:val="nil"/>
            </w:tcBorders>
            <w:shd w:val="clear" w:color="472D8C" w:fill="auto"/>
            <w:tcMar>
              <w:left w:w="108" w:type="dxa"/>
            </w:tcMar>
          </w:tcPr>
          <w:p w14:paraId="6F142C8C" w14:textId="77777777" w:rsidR="00A60D4B" w:rsidRPr="00111524" w:rsidRDefault="00A60D4B" w:rsidP="00A60D4B">
            <w:pPr>
              <w:pStyle w:val="Btablefigureunbold"/>
            </w:pPr>
          </w:p>
        </w:tc>
        <w:tc>
          <w:tcPr>
            <w:tcW w:w="1162" w:type="dxa"/>
            <w:tcBorders>
              <w:top w:val="nil"/>
              <w:bottom w:val="nil"/>
            </w:tcBorders>
            <w:shd w:val="clear" w:color="auto" w:fill="auto"/>
            <w:tcMar>
              <w:left w:w="108" w:type="dxa"/>
            </w:tcMar>
          </w:tcPr>
          <w:p w14:paraId="73FDDC62" w14:textId="77777777" w:rsidR="00A60D4B" w:rsidRPr="00EC74DB" w:rsidRDefault="00A60D4B" w:rsidP="00A60D4B">
            <w:pPr>
              <w:pStyle w:val="Btablefigureunbold"/>
            </w:pPr>
          </w:p>
        </w:tc>
        <w:tc>
          <w:tcPr>
            <w:tcW w:w="1163" w:type="dxa"/>
            <w:tcBorders>
              <w:top w:val="nil"/>
              <w:bottom w:val="nil"/>
            </w:tcBorders>
            <w:tcMar>
              <w:left w:w="108" w:type="dxa"/>
            </w:tcMar>
          </w:tcPr>
          <w:p w14:paraId="6CFCA099" w14:textId="77777777" w:rsidR="00A60D4B" w:rsidRPr="00EC74DB" w:rsidRDefault="00A60D4B" w:rsidP="00A60D4B">
            <w:pPr>
              <w:pStyle w:val="Btablefigureunbold"/>
            </w:pPr>
          </w:p>
        </w:tc>
      </w:tr>
      <w:tr w:rsidR="00A60D4B" w:rsidRPr="00337DC9" w14:paraId="165A711F" w14:textId="77777777" w:rsidTr="00A60D4B">
        <w:trPr>
          <w:cantSplit/>
          <w:trHeight w:val="270"/>
        </w:trPr>
        <w:tc>
          <w:tcPr>
            <w:tcW w:w="3261" w:type="dxa"/>
            <w:tcBorders>
              <w:top w:val="nil"/>
              <w:bottom w:val="nil"/>
            </w:tcBorders>
          </w:tcPr>
          <w:p w14:paraId="3D815091" w14:textId="77777777" w:rsidR="00A60D4B" w:rsidRDefault="00A60D4B" w:rsidP="00A60D4B">
            <w:pPr>
              <w:pStyle w:val="Btabletextunbold"/>
            </w:pPr>
            <w:r>
              <w:t>Black Spot Projects</w:t>
            </w:r>
          </w:p>
        </w:tc>
        <w:tc>
          <w:tcPr>
            <w:tcW w:w="1162" w:type="dxa"/>
            <w:tcBorders>
              <w:top w:val="nil"/>
              <w:bottom w:val="nil"/>
            </w:tcBorders>
            <w:tcMar>
              <w:left w:w="108" w:type="dxa"/>
            </w:tcMar>
          </w:tcPr>
          <w:p w14:paraId="24FC8D5D" w14:textId="77777777" w:rsidR="00A60D4B" w:rsidRPr="00EC74DB" w:rsidRDefault="00A60D4B" w:rsidP="00A60D4B">
            <w:pPr>
              <w:pStyle w:val="Btablefigureunbold"/>
            </w:pPr>
            <w:r w:rsidRPr="00502718">
              <w:t>57</w:t>
            </w:r>
          </w:p>
        </w:tc>
        <w:tc>
          <w:tcPr>
            <w:tcW w:w="1162" w:type="dxa"/>
            <w:tcBorders>
              <w:top w:val="nil"/>
              <w:bottom w:val="nil"/>
            </w:tcBorders>
            <w:shd w:val="clear" w:color="auto" w:fill="auto"/>
            <w:tcMar>
              <w:left w:w="108" w:type="dxa"/>
            </w:tcMar>
          </w:tcPr>
          <w:p w14:paraId="07C7F597" w14:textId="77777777" w:rsidR="00A60D4B" w:rsidRPr="00EC74DB" w:rsidRDefault="00A60D4B" w:rsidP="00A60D4B">
            <w:pPr>
              <w:pStyle w:val="Btablefigureunbold"/>
            </w:pPr>
            <w:r w:rsidRPr="00502718">
              <w:t>2,244</w:t>
            </w:r>
          </w:p>
        </w:tc>
        <w:tc>
          <w:tcPr>
            <w:tcW w:w="1162" w:type="dxa"/>
            <w:tcBorders>
              <w:top w:val="nil"/>
              <w:bottom w:val="nil"/>
            </w:tcBorders>
            <w:shd w:val="clear" w:color="472D8C" w:fill="auto"/>
            <w:tcMar>
              <w:left w:w="108" w:type="dxa"/>
            </w:tcMar>
          </w:tcPr>
          <w:p w14:paraId="1D255C4D" w14:textId="77777777" w:rsidR="00A60D4B" w:rsidRPr="00111524" w:rsidRDefault="00A60D4B" w:rsidP="00A60D4B">
            <w:pPr>
              <w:pStyle w:val="Btablefigureunbold"/>
            </w:pPr>
            <w:r w:rsidRPr="00502718">
              <w:t>1,693</w:t>
            </w:r>
          </w:p>
        </w:tc>
        <w:tc>
          <w:tcPr>
            <w:tcW w:w="1162" w:type="dxa"/>
            <w:tcBorders>
              <w:top w:val="nil"/>
              <w:bottom w:val="nil"/>
            </w:tcBorders>
            <w:shd w:val="clear" w:color="auto" w:fill="auto"/>
            <w:tcMar>
              <w:left w:w="108" w:type="dxa"/>
            </w:tcMar>
          </w:tcPr>
          <w:p w14:paraId="3D52C386" w14:textId="77777777" w:rsidR="00A60D4B" w:rsidRPr="00EC74DB" w:rsidRDefault="00A60D4B" w:rsidP="00A60D4B">
            <w:pPr>
              <w:pStyle w:val="Btablefigureunbold"/>
            </w:pPr>
            <w:r w:rsidRPr="00502718">
              <w:t xml:space="preserve">1,529 </w:t>
            </w:r>
          </w:p>
        </w:tc>
        <w:tc>
          <w:tcPr>
            <w:tcW w:w="1163" w:type="dxa"/>
            <w:tcBorders>
              <w:top w:val="nil"/>
              <w:bottom w:val="nil"/>
            </w:tcBorders>
            <w:tcMar>
              <w:left w:w="108" w:type="dxa"/>
            </w:tcMar>
          </w:tcPr>
          <w:p w14:paraId="2B23C572" w14:textId="77777777" w:rsidR="00A60D4B" w:rsidRPr="00EC74DB" w:rsidRDefault="00A60D4B" w:rsidP="00A60D4B">
            <w:pPr>
              <w:pStyle w:val="Btablefigureunbold"/>
            </w:pPr>
            <w:r w:rsidRPr="00502718">
              <w:t>1,529</w:t>
            </w:r>
          </w:p>
        </w:tc>
      </w:tr>
      <w:tr w:rsidR="00A60D4B" w:rsidRPr="00337DC9" w14:paraId="6C124F45" w14:textId="77777777" w:rsidTr="00A60D4B">
        <w:trPr>
          <w:cantSplit/>
          <w:trHeight w:val="270"/>
        </w:trPr>
        <w:tc>
          <w:tcPr>
            <w:tcW w:w="3261" w:type="dxa"/>
            <w:tcBorders>
              <w:top w:val="nil"/>
              <w:bottom w:val="nil"/>
            </w:tcBorders>
          </w:tcPr>
          <w:p w14:paraId="26B26969" w14:textId="77777777" w:rsidR="00A60D4B" w:rsidRDefault="00A60D4B" w:rsidP="00A60D4B">
            <w:pPr>
              <w:pStyle w:val="Btabletextunbold"/>
            </w:pPr>
            <w:r>
              <w:lastRenderedPageBreak/>
              <w:t>Bridges Renewal Program</w:t>
            </w:r>
          </w:p>
        </w:tc>
        <w:tc>
          <w:tcPr>
            <w:tcW w:w="1162" w:type="dxa"/>
            <w:tcBorders>
              <w:top w:val="nil"/>
              <w:bottom w:val="nil"/>
            </w:tcBorders>
            <w:tcMar>
              <w:left w:w="108" w:type="dxa"/>
            </w:tcMar>
          </w:tcPr>
          <w:p w14:paraId="2582AEFF" w14:textId="77777777" w:rsidR="00A60D4B" w:rsidRPr="00EC74DB" w:rsidRDefault="00A60D4B" w:rsidP="00A60D4B">
            <w:pPr>
              <w:pStyle w:val="Btablefigureunbold"/>
            </w:pPr>
            <w:r>
              <w:t>0</w:t>
            </w:r>
          </w:p>
        </w:tc>
        <w:tc>
          <w:tcPr>
            <w:tcW w:w="1162" w:type="dxa"/>
            <w:tcBorders>
              <w:top w:val="nil"/>
              <w:bottom w:val="nil"/>
            </w:tcBorders>
            <w:shd w:val="clear" w:color="auto" w:fill="auto"/>
            <w:tcMar>
              <w:left w:w="108" w:type="dxa"/>
            </w:tcMar>
          </w:tcPr>
          <w:p w14:paraId="21803BEA" w14:textId="77777777" w:rsidR="00A60D4B" w:rsidRPr="00EC74DB" w:rsidRDefault="00A60D4B" w:rsidP="00A60D4B">
            <w:pPr>
              <w:pStyle w:val="Btablefigureunbold"/>
            </w:pPr>
            <w:r w:rsidRPr="00502718">
              <w:t>2,141</w:t>
            </w:r>
          </w:p>
        </w:tc>
        <w:tc>
          <w:tcPr>
            <w:tcW w:w="1162" w:type="dxa"/>
            <w:tcBorders>
              <w:top w:val="nil"/>
              <w:bottom w:val="nil"/>
            </w:tcBorders>
            <w:shd w:val="clear" w:color="472D8C" w:fill="auto"/>
            <w:tcMar>
              <w:left w:w="108" w:type="dxa"/>
            </w:tcMar>
          </w:tcPr>
          <w:p w14:paraId="4F873A3A" w14:textId="77777777" w:rsidR="00A60D4B" w:rsidRPr="00111524" w:rsidRDefault="00A60D4B" w:rsidP="00A60D4B">
            <w:pPr>
              <w:pStyle w:val="Btablefigureunbold"/>
            </w:pPr>
            <w:r w:rsidRPr="00502718">
              <w:t>3,175</w:t>
            </w:r>
          </w:p>
        </w:tc>
        <w:tc>
          <w:tcPr>
            <w:tcW w:w="1162" w:type="dxa"/>
            <w:tcBorders>
              <w:top w:val="nil"/>
              <w:bottom w:val="nil"/>
            </w:tcBorders>
            <w:shd w:val="clear" w:color="auto" w:fill="auto"/>
            <w:tcMar>
              <w:left w:w="108" w:type="dxa"/>
            </w:tcMar>
          </w:tcPr>
          <w:p w14:paraId="11D1A215" w14:textId="77777777" w:rsidR="00A60D4B" w:rsidRPr="00EC74DB" w:rsidRDefault="00A60D4B" w:rsidP="00A60D4B">
            <w:pPr>
              <w:pStyle w:val="Btablefigureunbold"/>
            </w:pPr>
            <w:r w:rsidRPr="00502718">
              <w:t xml:space="preserve">1,098 </w:t>
            </w:r>
          </w:p>
        </w:tc>
        <w:tc>
          <w:tcPr>
            <w:tcW w:w="1163" w:type="dxa"/>
            <w:tcBorders>
              <w:top w:val="nil"/>
              <w:bottom w:val="nil"/>
            </w:tcBorders>
            <w:tcMar>
              <w:left w:w="108" w:type="dxa"/>
            </w:tcMar>
          </w:tcPr>
          <w:p w14:paraId="3243BF65" w14:textId="77777777" w:rsidR="00A60D4B" w:rsidRPr="00EC74DB" w:rsidRDefault="00A60D4B" w:rsidP="00A60D4B">
            <w:pPr>
              <w:pStyle w:val="Btablefigureunbold"/>
            </w:pPr>
            <w:r w:rsidRPr="00502718">
              <w:t>826</w:t>
            </w:r>
          </w:p>
        </w:tc>
      </w:tr>
      <w:tr w:rsidR="00A60D4B" w:rsidRPr="00337DC9" w14:paraId="1709AA28" w14:textId="77777777" w:rsidTr="00A60D4B">
        <w:trPr>
          <w:cantSplit/>
          <w:trHeight w:val="270"/>
        </w:trPr>
        <w:tc>
          <w:tcPr>
            <w:tcW w:w="3261" w:type="dxa"/>
            <w:tcBorders>
              <w:top w:val="nil"/>
              <w:bottom w:val="nil"/>
            </w:tcBorders>
          </w:tcPr>
          <w:p w14:paraId="1577F225" w14:textId="77777777" w:rsidR="00A60D4B" w:rsidRDefault="00A60D4B" w:rsidP="00A60D4B">
            <w:pPr>
              <w:pStyle w:val="Btabletextunbold"/>
            </w:pPr>
            <w:r>
              <w:t>Heavy Vehicle Safety and Productivity Program</w:t>
            </w:r>
          </w:p>
        </w:tc>
        <w:tc>
          <w:tcPr>
            <w:tcW w:w="1162" w:type="dxa"/>
            <w:tcBorders>
              <w:top w:val="nil"/>
              <w:bottom w:val="nil"/>
            </w:tcBorders>
            <w:tcMar>
              <w:left w:w="108" w:type="dxa"/>
            </w:tcMar>
          </w:tcPr>
          <w:p w14:paraId="35913475" w14:textId="77777777" w:rsidR="00A60D4B" w:rsidRPr="00EC74DB" w:rsidRDefault="00A60D4B" w:rsidP="00A60D4B">
            <w:pPr>
              <w:pStyle w:val="Btablefigureunbold"/>
            </w:pPr>
            <w:r>
              <w:t>0</w:t>
            </w:r>
          </w:p>
        </w:tc>
        <w:tc>
          <w:tcPr>
            <w:tcW w:w="1162" w:type="dxa"/>
            <w:tcBorders>
              <w:top w:val="nil"/>
              <w:bottom w:val="nil"/>
            </w:tcBorders>
            <w:shd w:val="clear" w:color="auto" w:fill="auto"/>
            <w:tcMar>
              <w:left w:w="108" w:type="dxa"/>
            </w:tcMar>
          </w:tcPr>
          <w:p w14:paraId="1E963D21" w14:textId="77777777" w:rsidR="00A60D4B" w:rsidRPr="00EC74DB" w:rsidRDefault="00A60D4B" w:rsidP="00A60D4B">
            <w:pPr>
              <w:pStyle w:val="Btablefigureunbold"/>
            </w:pPr>
            <w:r w:rsidRPr="00502718">
              <w:t>60</w:t>
            </w:r>
          </w:p>
        </w:tc>
        <w:tc>
          <w:tcPr>
            <w:tcW w:w="1162" w:type="dxa"/>
            <w:tcBorders>
              <w:top w:val="nil"/>
              <w:bottom w:val="nil"/>
            </w:tcBorders>
            <w:shd w:val="clear" w:color="472D8C" w:fill="auto"/>
            <w:tcMar>
              <w:left w:w="108" w:type="dxa"/>
            </w:tcMar>
          </w:tcPr>
          <w:p w14:paraId="04B3DF8D" w14:textId="77777777" w:rsidR="00A60D4B" w:rsidRPr="00111524" w:rsidRDefault="00A60D4B" w:rsidP="00A60D4B">
            <w:pPr>
              <w:pStyle w:val="Btablefigureunbold"/>
            </w:pPr>
            <w:r w:rsidRPr="00502718">
              <w:t>117</w:t>
            </w:r>
          </w:p>
        </w:tc>
        <w:tc>
          <w:tcPr>
            <w:tcW w:w="1162" w:type="dxa"/>
            <w:tcBorders>
              <w:top w:val="nil"/>
              <w:bottom w:val="nil"/>
            </w:tcBorders>
            <w:shd w:val="clear" w:color="auto" w:fill="auto"/>
            <w:tcMar>
              <w:left w:w="108" w:type="dxa"/>
            </w:tcMar>
          </w:tcPr>
          <w:p w14:paraId="0393DF6C" w14:textId="77777777" w:rsidR="00A60D4B" w:rsidRPr="00EC74DB" w:rsidRDefault="00A60D4B" w:rsidP="00A60D4B">
            <w:pPr>
              <w:pStyle w:val="Btablefigureunbold"/>
            </w:pPr>
            <w:r w:rsidRPr="00502718">
              <w:t xml:space="preserve">2,139 </w:t>
            </w:r>
          </w:p>
        </w:tc>
        <w:tc>
          <w:tcPr>
            <w:tcW w:w="1163" w:type="dxa"/>
            <w:tcBorders>
              <w:top w:val="nil"/>
              <w:bottom w:val="nil"/>
            </w:tcBorders>
            <w:tcMar>
              <w:left w:w="108" w:type="dxa"/>
            </w:tcMar>
          </w:tcPr>
          <w:p w14:paraId="5AEED261" w14:textId="77777777" w:rsidR="00A60D4B" w:rsidRPr="00EC74DB" w:rsidRDefault="00A60D4B" w:rsidP="00A60D4B">
            <w:pPr>
              <w:pStyle w:val="Btablefigureunbold"/>
            </w:pPr>
            <w:r w:rsidRPr="00502718">
              <w:t>1,459</w:t>
            </w:r>
          </w:p>
        </w:tc>
      </w:tr>
      <w:tr w:rsidR="00A60D4B" w:rsidRPr="00337DC9" w14:paraId="08C13433" w14:textId="77777777" w:rsidTr="00A60D4B">
        <w:trPr>
          <w:cantSplit/>
          <w:trHeight w:val="270"/>
        </w:trPr>
        <w:tc>
          <w:tcPr>
            <w:tcW w:w="3261" w:type="dxa"/>
            <w:tcBorders>
              <w:top w:val="nil"/>
              <w:bottom w:val="nil"/>
            </w:tcBorders>
          </w:tcPr>
          <w:p w14:paraId="68D18EFB" w14:textId="77777777" w:rsidR="00A60D4B" w:rsidRDefault="00A60D4B" w:rsidP="00A60D4B">
            <w:pPr>
              <w:pStyle w:val="Btabletextunbold"/>
            </w:pPr>
            <w:r>
              <w:t>Rail Investment Component</w:t>
            </w:r>
          </w:p>
        </w:tc>
        <w:tc>
          <w:tcPr>
            <w:tcW w:w="1162" w:type="dxa"/>
            <w:tcBorders>
              <w:top w:val="nil"/>
              <w:bottom w:val="nil"/>
            </w:tcBorders>
            <w:tcMar>
              <w:left w:w="108" w:type="dxa"/>
            </w:tcMar>
          </w:tcPr>
          <w:p w14:paraId="4A6713D7" w14:textId="77777777" w:rsidR="00A60D4B" w:rsidRPr="00EC74DB" w:rsidRDefault="00A60D4B" w:rsidP="00A60D4B">
            <w:pPr>
              <w:pStyle w:val="Btablefigureunbold"/>
            </w:pPr>
            <w:r>
              <w:t>0</w:t>
            </w:r>
          </w:p>
        </w:tc>
        <w:tc>
          <w:tcPr>
            <w:tcW w:w="1162" w:type="dxa"/>
            <w:tcBorders>
              <w:top w:val="nil"/>
              <w:bottom w:val="nil"/>
            </w:tcBorders>
            <w:shd w:val="clear" w:color="auto" w:fill="auto"/>
            <w:tcMar>
              <w:left w:w="108" w:type="dxa"/>
            </w:tcMar>
          </w:tcPr>
          <w:p w14:paraId="6F710515" w14:textId="77777777" w:rsidR="00A60D4B" w:rsidRPr="00EC74DB" w:rsidRDefault="00A60D4B" w:rsidP="00A60D4B">
            <w:pPr>
              <w:pStyle w:val="Btablefigureunbold"/>
            </w:pPr>
            <w:r w:rsidRPr="00AE00F4">
              <w:t>20,000</w:t>
            </w:r>
          </w:p>
        </w:tc>
        <w:tc>
          <w:tcPr>
            <w:tcW w:w="1162" w:type="dxa"/>
            <w:tcBorders>
              <w:top w:val="nil"/>
              <w:bottom w:val="nil"/>
            </w:tcBorders>
            <w:shd w:val="clear" w:color="472D8C" w:fill="auto"/>
            <w:tcMar>
              <w:left w:w="108" w:type="dxa"/>
            </w:tcMar>
          </w:tcPr>
          <w:p w14:paraId="5DDCD8A2" w14:textId="77777777" w:rsidR="00A60D4B" w:rsidRPr="00111524" w:rsidRDefault="00A60D4B" w:rsidP="00A60D4B">
            <w:pPr>
              <w:pStyle w:val="Btablefigureunbold"/>
            </w:pPr>
            <w:r w:rsidRPr="00AE00F4">
              <w:t>35,000</w:t>
            </w:r>
          </w:p>
        </w:tc>
        <w:tc>
          <w:tcPr>
            <w:tcW w:w="1162" w:type="dxa"/>
            <w:tcBorders>
              <w:top w:val="nil"/>
              <w:bottom w:val="nil"/>
            </w:tcBorders>
            <w:shd w:val="clear" w:color="auto" w:fill="auto"/>
            <w:tcMar>
              <w:left w:w="108" w:type="dxa"/>
            </w:tcMar>
          </w:tcPr>
          <w:p w14:paraId="7C6FAF2A" w14:textId="77777777" w:rsidR="00A60D4B" w:rsidRPr="00EC74DB" w:rsidRDefault="00A60D4B" w:rsidP="00A60D4B">
            <w:pPr>
              <w:pStyle w:val="Btablefigureunbold"/>
            </w:pPr>
            <w:r w:rsidRPr="00AE00F4">
              <w:t>57,500</w:t>
            </w:r>
          </w:p>
        </w:tc>
        <w:tc>
          <w:tcPr>
            <w:tcW w:w="1163" w:type="dxa"/>
            <w:tcBorders>
              <w:top w:val="nil"/>
              <w:bottom w:val="nil"/>
            </w:tcBorders>
            <w:tcMar>
              <w:left w:w="108" w:type="dxa"/>
            </w:tcMar>
          </w:tcPr>
          <w:p w14:paraId="639FE92C" w14:textId="77777777" w:rsidR="00A60D4B" w:rsidRPr="00EC74DB" w:rsidRDefault="00A60D4B" w:rsidP="00A60D4B">
            <w:pPr>
              <w:pStyle w:val="Btablefigureunbold"/>
            </w:pPr>
            <w:r w:rsidRPr="00AE00F4">
              <w:t>20,000</w:t>
            </w:r>
          </w:p>
        </w:tc>
      </w:tr>
      <w:tr w:rsidR="00A60D4B" w:rsidRPr="00337DC9" w14:paraId="52F3CAF0" w14:textId="77777777" w:rsidTr="00A60D4B">
        <w:trPr>
          <w:cantSplit/>
          <w:trHeight w:val="270"/>
        </w:trPr>
        <w:tc>
          <w:tcPr>
            <w:tcW w:w="3261" w:type="dxa"/>
            <w:tcBorders>
              <w:top w:val="nil"/>
              <w:bottom w:val="nil"/>
            </w:tcBorders>
          </w:tcPr>
          <w:p w14:paraId="76FC3BA0" w14:textId="77777777" w:rsidR="00A60D4B" w:rsidRDefault="00A60D4B" w:rsidP="00A60D4B">
            <w:pPr>
              <w:pStyle w:val="Btabletextunbold"/>
            </w:pPr>
            <w:r>
              <w:t>Road Investment Component</w:t>
            </w:r>
          </w:p>
        </w:tc>
        <w:tc>
          <w:tcPr>
            <w:tcW w:w="1162" w:type="dxa"/>
            <w:tcBorders>
              <w:top w:val="nil"/>
              <w:bottom w:val="nil"/>
            </w:tcBorders>
            <w:tcMar>
              <w:left w:w="108" w:type="dxa"/>
            </w:tcMar>
          </w:tcPr>
          <w:p w14:paraId="458864AF" w14:textId="77777777" w:rsidR="00A60D4B" w:rsidRPr="00EC74DB" w:rsidRDefault="00A60D4B" w:rsidP="00A60D4B">
            <w:pPr>
              <w:pStyle w:val="Btablefigureunbold"/>
            </w:pPr>
            <w:r w:rsidRPr="00780F7B">
              <w:t>18,348</w:t>
            </w:r>
          </w:p>
        </w:tc>
        <w:tc>
          <w:tcPr>
            <w:tcW w:w="1162" w:type="dxa"/>
            <w:tcBorders>
              <w:top w:val="nil"/>
              <w:bottom w:val="nil"/>
            </w:tcBorders>
            <w:shd w:val="clear" w:color="auto" w:fill="auto"/>
            <w:tcMar>
              <w:left w:w="108" w:type="dxa"/>
            </w:tcMar>
          </w:tcPr>
          <w:p w14:paraId="1C8B5548" w14:textId="77777777" w:rsidR="00A60D4B" w:rsidRPr="00EC74DB" w:rsidRDefault="00A60D4B" w:rsidP="00A60D4B">
            <w:pPr>
              <w:pStyle w:val="Btablefigureunbold"/>
            </w:pPr>
            <w:r w:rsidRPr="00780F7B">
              <w:t>35,164</w:t>
            </w:r>
          </w:p>
        </w:tc>
        <w:tc>
          <w:tcPr>
            <w:tcW w:w="1162" w:type="dxa"/>
            <w:tcBorders>
              <w:top w:val="nil"/>
              <w:bottom w:val="nil"/>
            </w:tcBorders>
            <w:shd w:val="clear" w:color="472D8C" w:fill="auto"/>
            <w:tcMar>
              <w:left w:w="108" w:type="dxa"/>
            </w:tcMar>
          </w:tcPr>
          <w:p w14:paraId="28537E7A" w14:textId="77777777" w:rsidR="00A60D4B" w:rsidRPr="00111524" w:rsidRDefault="00A60D4B" w:rsidP="00A60D4B">
            <w:pPr>
              <w:pStyle w:val="Btablefigureunbold"/>
            </w:pPr>
            <w:r w:rsidRPr="00780F7B">
              <w:t>87,213</w:t>
            </w:r>
          </w:p>
        </w:tc>
        <w:tc>
          <w:tcPr>
            <w:tcW w:w="1162" w:type="dxa"/>
            <w:tcBorders>
              <w:top w:val="nil"/>
              <w:bottom w:val="nil"/>
            </w:tcBorders>
            <w:shd w:val="clear" w:color="auto" w:fill="auto"/>
            <w:tcMar>
              <w:left w:w="108" w:type="dxa"/>
            </w:tcMar>
          </w:tcPr>
          <w:p w14:paraId="2627E790" w14:textId="77777777" w:rsidR="00A60D4B" w:rsidRPr="00EC74DB" w:rsidRDefault="00A60D4B" w:rsidP="00A60D4B">
            <w:pPr>
              <w:pStyle w:val="Btablefigureunbold"/>
            </w:pPr>
            <w:r w:rsidRPr="00780F7B">
              <w:t>109,963</w:t>
            </w:r>
          </w:p>
        </w:tc>
        <w:tc>
          <w:tcPr>
            <w:tcW w:w="1163" w:type="dxa"/>
            <w:tcBorders>
              <w:top w:val="nil"/>
              <w:bottom w:val="nil"/>
            </w:tcBorders>
            <w:tcMar>
              <w:left w:w="108" w:type="dxa"/>
            </w:tcMar>
          </w:tcPr>
          <w:p w14:paraId="63EB3F99" w14:textId="77777777" w:rsidR="00A60D4B" w:rsidRPr="00EC74DB" w:rsidRDefault="00A60D4B" w:rsidP="00A60D4B">
            <w:pPr>
              <w:pStyle w:val="Btablefigureunbold"/>
            </w:pPr>
            <w:r w:rsidRPr="00780F7B">
              <w:t>71,278</w:t>
            </w:r>
          </w:p>
        </w:tc>
      </w:tr>
      <w:tr w:rsidR="00A60D4B" w:rsidRPr="00337DC9" w14:paraId="7F45500A" w14:textId="77777777" w:rsidTr="00A60D4B">
        <w:trPr>
          <w:cantSplit/>
          <w:trHeight w:val="270"/>
        </w:trPr>
        <w:tc>
          <w:tcPr>
            <w:tcW w:w="3261" w:type="dxa"/>
            <w:tcBorders>
              <w:top w:val="nil"/>
              <w:bottom w:val="single" w:sz="4" w:space="0" w:color="auto"/>
            </w:tcBorders>
          </w:tcPr>
          <w:p w14:paraId="6DBD4AC7" w14:textId="77777777" w:rsidR="00A60D4B" w:rsidRDefault="00A60D4B" w:rsidP="00A60D4B">
            <w:pPr>
              <w:pStyle w:val="Btabletextunbold"/>
            </w:pPr>
            <w:r>
              <w:t>Roads to Recovery</w:t>
            </w:r>
          </w:p>
        </w:tc>
        <w:tc>
          <w:tcPr>
            <w:tcW w:w="1162" w:type="dxa"/>
            <w:tcBorders>
              <w:top w:val="nil"/>
              <w:bottom w:val="single" w:sz="4" w:space="0" w:color="auto"/>
            </w:tcBorders>
            <w:tcMar>
              <w:left w:w="108" w:type="dxa"/>
            </w:tcMar>
          </w:tcPr>
          <w:p w14:paraId="11EA9C39" w14:textId="77777777" w:rsidR="00A60D4B" w:rsidRPr="00EC74DB" w:rsidRDefault="00A60D4B" w:rsidP="00A60D4B">
            <w:pPr>
              <w:pStyle w:val="Btablefigureunbold"/>
            </w:pPr>
            <w:r w:rsidRPr="00E37C94">
              <w:t>9,245</w:t>
            </w:r>
          </w:p>
        </w:tc>
        <w:tc>
          <w:tcPr>
            <w:tcW w:w="1162" w:type="dxa"/>
            <w:tcBorders>
              <w:top w:val="nil"/>
              <w:bottom w:val="single" w:sz="4" w:space="0" w:color="auto"/>
            </w:tcBorders>
            <w:shd w:val="clear" w:color="auto" w:fill="auto"/>
            <w:tcMar>
              <w:left w:w="108" w:type="dxa"/>
            </w:tcMar>
          </w:tcPr>
          <w:p w14:paraId="7077E7C8" w14:textId="77777777" w:rsidR="00A60D4B" w:rsidRPr="00EC74DB" w:rsidRDefault="00A60D4B" w:rsidP="00A60D4B">
            <w:pPr>
              <w:pStyle w:val="Btablefigureunbold"/>
            </w:pPr>
            <w:r w:rsidRPr="00E37C94">
              <w:t>8,288</w:t>
            </w:r>
          </w:p>
        </w:tc>
        <w:tc>
          <w:tcPr>
            <w:tcW w:w="1162" w:type="dxa"/>
            <w:tcBorders>
              <w:top w:val="nil"/>
              <w:bottom w:val="single" w:sz="4" w:space="0" w:color="auto"/>
            </w:tcBorders>
            <w:shd w:val="clear" w:color="472D8C" w:fill="auto"/>
            <w:tcMar>
              <w:left w:w="108" w:type="dxa"/>
            </w:tcMar>
          </w:tcPr>
          <w:p w14:paraId="4303E2E2" w14:textId="77777777" w:rsidR="00A60D4B" w:rsidRPr="00111524" w:rsidRDefault="00A60D4B" w:rsidP="00A60D4B">
            <w:pPr>
              <w:pStyle w:val="Btablefigureunbold"/>
            </w:pPr>
            <w:r w:rsidRPr="00E37C94">
              <w:t>8,288</w:t>
            </w:r>
          </w:p>
        </w:tc>
        <w:tc>
          <w:tcPr>
            <w:tcW w:w="1162" w:type="dxa"/>
            <w:tcBorders>
              <w:top w:val="nil"/>
              <w:bottom w:val="single" w:sz="4" w:space="0" w:color="auto"/>
            </w:tcBorders>
            <w:shd w:val="clear" w:color="auto" w:fill="auto"/>
            <w:tcMar>
              <w:left w:w="108" w:type="dxa"/>
            </w:tcMar>
          </w:tcPr>
          <w:p w14:paraId="0723E26E" w14:textId="77777777" w:rsidR="00A60D4B" w:rsidRPr="00EC74DB" w:rsidRDefault="00A60D4B" w:rsidP="00A60D4B">
            <w:pPr>
              <w:pStyle w:val="Btablefigureunbold"/>
            </w:pPr>
            <w:r w:rsidRPr="00E37C94">
              <w:t>7,331</w:t>
            </w:r>
          </w:p>
        </w:tc>
        <w:tc>
          <w:tcPr>
            <w:tcW w:w="1163" w:type="dxa"/>
            <w:tcBorders>
              <w:top w:val="nil"/>
              <w:bottom w:val="single" w:sz="4" w:space="0" w:color="auto"/>
            </w:tcBorders>
            <w:tcMar>
              <w:left w:w="108" w:type="dxa"/>
            </w:tcMar>
          </w:tcPr>
          <w:p w14:paraId="06B23FC6" w14:textId="77777777" w:rsidR="00A60D4B" w:rsidRPr="00EC74DB" w:rsidRDefault="00A60D4B" w:rsidP="00A60D4B">
            <w:pPr>
              <w:pStyle w:val="Btablefigureunbold"/>
            </w:pPr>
            <w:r w:rsidRPr="00E37C94">
              <w:t>7,969</w:t>
            </w:r>
          </w:p>
        </w:tc>
      </w:tr>
      <w:tr w:rsidR="00A60D4B" w:rsidRPr="00337DC9" w14:paraId="6341A7F1" w14:textId="77777777" w:rsidTr="00A60D4B">
        <w:trPr>
          <w:cantSplit/>
          <w:trHeight w:val="270"/>
        </w:trPr>
        <w:tc>
          <w:tcPr>
            <w:tcW w:w="3261" w:type="dxa"/>
            <w:tcBorders>
              <w:top w:val="single" w:sz="4" w:space="0" w:color="auto"/>
              <w:bottom w:val="nil"/>
            </w:tcBorders>
          </w:tcPr>
          <w:p w14:paraId="211C89EB" w14:textId="77777777" w:rsidR="00A60D4B" w:rsidRDefault="00A60D4B" w:rsidP="00A60D4B">
            <w:pPr>
              <w:pStyle w:val="Btabletextbold"/>
              <w:keepNext/>
            </w:pPr>
            <w:r>
              <w:t>Other Infrastructure Payments</w:t>
            </w:r>
          </w:p>
        </w:tc>
        <w:tc>
          <w:tcPr>
            <w:tcW w:w="1162" w:type="dxa"/>
            <w:tcBorders>
              <w:top w:val="single" w:sz="4" w:space="0" w:color="auto"/>
              <w:bottom w:val="nil"/>
            </w:tcBorders>
            <w:tcMar>
              <w:left w:w="108" w:type="dxa"/>
            </w:tcMar>
          </w:tcPr>
          <w:p w14:paraId="5EE3C0A1" w14:textId="77777777" w:rsidR="00A60D4B" w:rsidRPr="00EC74DB"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6261CC88" w14:textId="77777777" w:rsidR="00A60D4B" w:rsidRPr="00EC74DB" w:rsidRDefault="00A60D4B" w:rsidP="00A60D4B">
            <w:pPr>
              <w:pStyle w:val="Btablefigureunbold"/>
            </w:pPr>
          </w:p>
        </w:tc>
        <w:tc>
          <w:tcPr>
            <w:tcW w:w="1162" w:type="dxa"/>
            <w:tcBorders>
              <w:top w:val="single" w:sz="4" w:space="0" w:color="auto"/>
              <w:bottom w:val="nil"/>
            </w:tcBorders>
            <w:shd w:val="clear" w:color="472D8C" w:fill="auto"/>
            <w:tcMar>
              <w:left w:w="108" w:type="dxa"/>
            </w:tcMar>
          </w:tcPr>
          <w:p w14:paraId="5CF07AC3" w14:textId="77777777" w:rsidR="00A60D4B" w:rsidRPr="00111524"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10A26043" w14:textId="77777777" w:rsidR="00A60D4B" w:rsidRPr="00EC74DB" w:rsidRDefault="00A60D4B" w:rsidP="00A60D4B">
            <w:pPr>
              <w:pStyle w:val="Btablefigureunbold"/>
            </w:pPr>
          </w:p>
        </w:tc>
        <w:tc>
          <w:tcPr>
            <w:tcW w:w="1163" w:type="dxa"/>
            <w:tcBorders>
              <w:top w:val="single" w:sz="4" w:space="0" w:color="auto"/>
              <w:bottom w:val="nil"/>
            </w:tcBorders>
            <w:tcMar>
              <w:left w:w="108" w:type="dxa"/>
            </w:tcMar>
          </w:tcPr>
          <w:p w14:paraId="4053A083" w14:textId="77777777" w:rsidR="00A60D4B" w:rsidRPr="00EC74DB" w:rsidRDefault="00A60D4B" w:rsidP="00A60D4B">
            <w:pPr>
              <w:pStyle w:val="Btablefigureunbold"/>
            </w:pPr>
          </w:p>
        </w:tc>
      </w:tr>
      <w:tr w:rsidR="00A60D4B" w:rsidRPr="00337DC9" w14:paraId="660F815E" w14:textId="77777777" w:rsidTr="00A60D4B">
        <w:trPr>
          <w:cantSplit/>
          <w:trHeight w:val="270"/>
        </w:trPr>
        <w:tc>
          <w:tcPr>
            <w:tcW w:w="3261" w:type="dxa"/>
            <w:tcBorders>
              <w:top w:val="nil"/>
              <w:bottom w:val="single" w:sz="4" w:space="0" w:color="auto"/>
            </w:tcBorders>
          </w:tcPr>
          <w:p w14:paraId="68D4A708" w14:textId="77777777" w:rsidR="00A60D4B" w:rsidRDefault="00A60D4B" w:rsidP="00A60D4B">
            <w:pPr>
              <w:pStyle w:val="Btabletextunbold"/>
            </w:pPr>
            <w:r>
              <w:t>Local Roads and Community Infrastructure</w:t>
            </w:r>
          </w:p>
        </w:tc>
        <w:tc>
          <w:tcPr>
            <w:tcW w:w="1162" w:type="dxa"/>
            <w:tcBorders>
              <w:top w:val="nil"/>
              <w:bottom w:val="single" w:sz="4" w:space="0" w:color="auto"/>
            </w:tcBorders>
            <w:tcMar>
              <w:left w:w="108" w:type="dxa"/>
            </w:tcMar>
          </w:tcPr>
          <w:p w14:paraId="4118DFFB" w14:textId="77777777" w:rsidR="00A60D4B" w:rsidRPr="00EC74DB" w:rsidRDefault="00A60D4B" w:rsidP="00A60D4B">
            <w:pPr>
              <w:pStyle w:val="Btablefigureunbold"/>
            </w:pPr>
            <w:r w:rsidRPr="001203EF">
              <w:t>15,436</w:t>
            </w:r>
          </w:p>
        </w:tc>
        <w:tc>
          <w:tcPr>
            <w:tcW w:w="1162" w:type="dxa"/>
            <w:tcBorders>
              <w:top w:val="nil"/>
              <w:bottom w:val="single" w:sz="4" w:space="0" w:color="auto"/>
            </w:tcBorders>
            <w:shd w:val="clear" w:color="auto" w:fill="auto"/>
            <w:tcMar>
              <w:left w:w="108" w:type="dxa"/>
            </w:tcMar>
          </w:tcPr>
          <w:p w14:paraId="7255869C" w14:textId="77777777" w:rsidR="00A60D4B" w:rsidRPr="00EC74DB" w:rsidRDefault="00A60D4B" w:rsidP="00A60D4B">
            <w:pPr>
              <w:pStyle w:val="Btablefigureunbold"/>
            </w:pPr>
            <w:r w:rsidRPr="001203EF">
              <w:t>15,835</w:t>
            </w:r>
          </w:p>
        </w:tc>
        <w:tc>
          <w:tcPr>
            <w:tcW w:w="1162" w:type="dxa"/>
            <w:tcBorders>
              <w:top w:val="nil"/>
              <w:bottom w:val="single" w:sz="4" w:space="0" w:color="auto"/>
            </w:tcBorders>
            <w:shd w:val="clear" w:color="472D8C" w:fill="auto"/>
            <w:tcMar>
              <w:left w:w="108" w:type="dxa"/>
            </w:tcMar>
          </w:tcPr>
          <w:p w14:paraId="5619F420" w14:textId="77777777" w:rsidR="00A60D4B" w:rsidRPr="00111524" w:rsidRDefault="00A60D4B" w:rsidP="00A60D4B">
            <w:pPr>
              <w:pStyle w:val="Btablefigureunbold"/>
            </w:pPr>
            <w:r w:rsidRPr="001203EF">
              <w:t>9,563</w:t>
            </w:r>
          </w:p>
        </w:tc>
        <w:tc>
          <w:tcPr>
            <w:tcW w:w="1162" w:type="dxa"/>
            <w:tcBorders>
              <w:top w:val="nil"/>
              <w:bottom w:val="single" w:sz="4" w:space="0" w:color="auto"/>
            </w:tcBorders>
            <w:shd w:val="clear" w:color="auto" w:fill="auto"/>
            <w:tcMar>
              <w:left w:w="108" w:type="dxa"/>
            </w:tcMar>
          </w:tcPr>
          <w:p w14:paraId="3CB7475E" w14:textId="77777777" w:rsidR="00A60D4B" w:rsidRPr="00EC74DB" w:rsidRDefault="00A60D4B" w:rsidP="00A60D4B">
            <w:pPr>
              <w:pStyle w:val="Btablefigureunbold"/>
            </w:pPr>
            <w:r>
              <w:t>0</w:t>
            </w:r>
          </w:p>
        </w:tc>
        <w:tc>
          <w:tcPr>
            <w:tcW w:w="1163" w:type="dxa"/>
            <w:tcBorders>
              <w:top w:val="nil"/>
              <w:bottom w:val="single" w:sz="4" w:space="0" w:color="auto"/>
            </w:tcBorders>
            <w:tcMar>
              <w:left w:w="108" w:type="dxa"/>
            </w:tcMar>
          </w:tcPr>
          <w:p w14:paraId="5E39AF86" w14:textId="77777777" w:rsidR="00A60D4B" w:rsidRPr="00EC74DB" w:rsidRDefault="00A60D4B" w:rsidP="00A60D4B">
            <w:pPr>
              <w:pStyle w:val="Btablefigureunbold"/>
            </w:pPr>
            <w:r>
              <w:t>0</w:t>
            </w:r>
          </w:p>
        </w:tc>
      </w:tr>
      <w:tr w:rsidR="00A60D4B" w:rsidRPr="00337DC9" w14:paraId="022F55D8" w14:textId="77777777" w:rsidTr="00A60D4B">
        <w:trPr>
          <w:cantSplit/>
          <w:trHeight w:val="270"/>
        </w:trPr>
        <w:tc>
          <w:tcPr>
            <w:tcW w:w="3261" w:type="dxa"/>
            <w:tcBorders>
              <w:top w:val="single" w:sz="4" w:space="0" w:color="auto"/>
              <w:bottom w:val="single" w:sz="4" w:space="0" w:color="auto"/>
            </w:tcBorders>
          </w:tcPr>
          <w:p w14:paraId="7BE2DD3E" w14:textId="77777777" w:rsidR="00A60D4B" w:rsidRDefault="00A60D4B" w:rsidP="00A60D4B">
            <w:pPr>
              <w:pStyle w:val="Btabletextbold"/>
            </w:pPr>
            <w:r>
              <w:t>Total Infrastructure</w:t>
            </w:r>
          </w:p>
        </w:tc>
        <w:tc>
          <w:tcPr>
            <w:tcW w:w="1162" w:type="dxa"/>
            <w:tcBorders>
              <w:top w:val="single" w:sz="4" w:space="0" w:color="auto"/>
              <w:bottom w:val="single" w:sz="4" w:space="0" w:color="auto"/>
            </w:tcBorders>
            <w:tcMar>
              <w:left w:w="108" w:type="dxa"/>
            </w:tcMar>
          </w:tcPr>
          <w:p w14:paraId="494E9B85" w14:textId="77777777" w:rsidR="00A60D4B" w:rsidRPr="00EC74DB" w:rsidRDefault="00A60D4B" w:rsidP="00A60D4B">
            <w:pPr>
              <w:pStyle w:val="Btablefigurebold0"/>
            </w:pPr>
            <w:r w:rsidRPr="00F8437B">
              <w:t>43,086</w:t>
            </w:r>
          </w:p>
        </w:tc>
        <w:tc>
          <w:tcPr>
            <w:tcW w:w="1162" w:type="dxa"/>
            <w:tcBorders>
              <w:top w:val="single" w:sz="4" w:space="0" w:color="auto"/>
              <w:bottom w:val="single" w:sz="4" w:space="0" w:color="auto"/>
            </w:tcBorders>
            <w:shd w:val="clear" w:color="auto" w:fill="auto"/>
            <w:tcMar>
              <w:left w:w="108" w:type="dxa"/>
            </w:tcMar>
          </w:tcPr>
          <w:p w14:paraId="67B10ADD" w14:textId="77777777" w:rsidR="00A60D4B" w:rsidRPr="00EC74DB" w:rsidRDefault="00A60D4B" w:rsidP="00A60D4B">
            <w:pPr>
              <w:pStyle w:val="Btablefigurebold0"/>
            </w:pPr>
            <w:r w:rsidRPr="00F8437B">
              <w:t>83,732</w:t>
            </w:r>
          </w:p>
        </w:tc>
        <w:tc>
          <w:tcPr>
            <w:tcW w:w="1162" w:type="dxa"/>
            <w:tcBorders>
              <w:top w:val="single" w:sz="4" w:space="0" w:color="auto"/>
              <w:bottom w:val="single" w:sz="4" w:space="0" w:color="auto"/>
            </w:tcBorders>
            <w:shd w:val="clear" w:color="472D8C" w:fill="auto"/>
            <w:tcMar>
              <w:left w:w="108" w:type="dxa"/>
            </w:tcMar>
          </w:tcPr>
          <w:p w14:paraId="0DFAC06A" w14:textId="77777777" w:rsidR="00A60D4B" w:rsidRPr="00111524" w:rsidRDefault="00A60D4B" w:rsidP="00A60D4B">
            <w:pPr>
              <w:pStyle w:val="Btablefigurebold0"/>
            </w:pPr>
            <w:r w:rsidRPr="00F8437B">
              <w:t>145,049</w:t>
            </w:r>
          </w:p>
        </w:tc>
        <w:tc>
          <w:tcPr>
            <w:tcW w:w="1162" w:type="dxa"/>
            <w:tcBorders>
              <w:top w:val="single" w:sz="4" w:space="0" w:color="auto"/>
              <w:bottom w:val="single" w:sz="4" w:space="0" w:color="auto"/>
            </w:tcBorders>
            <w:shd w:val="clear" w:color="auto" w:fill="auto"/>
            <w:tcMar>
              <w:left w:w="108" w:type="dxa"/>
            </w:tcMar>
          </w:tcPr>
          <w:p w14:paraId="67B46D36" w14:textId="77777777" w:rsidR="00A60D4B" w:rsidRPr="00EC74DB" w:rsidRDefault="00A60D4B" w:rsidP="00A60D4B">
            <w:pPr>
              <w:pStyle w:val="Btablefigurebold0"/>
            </w:pPr>
            <w:r w:rsidRPr="00F8437B">
              <w:t>179,560</w:t>
            </w:r>
          </w:p>
        </w:tc>
        <w:tc>
          <w:tcPr>
            <w:tcW w:w="1163" w:type="dxa"/>
            <w:tcBorders>
              <w:top w:val="single" w:sz="4" w:space="0" w:color="auto"/>
              <w:bottom w:val="single" w:sz="4" w:space="0" w:color="auto"/>
            </w:tcBorders>
            <w:tcMar>
              <w:left w:w="108" w:type="dxa"/>
            </w:tcMar>
          </w:tcPr>
          <w:p w14:paraId="0FCE8E22" w14:textId="77777777" w:rsidR="00A60D4B" w:rsidRPr="00EC74DB" w:rsidRDefault="00A60D4B" w:rsidP="00A60D4B">
            <w:pPr>
              <w:pStyle w:val="Btablefigurebold0"/>
            </w:pPr>
            <w:r w:rsidRPr="00F8437B">
              <w:t>103,061</w:t>
            </w:r>
          </w:p>
        </w:tc>
      </w:tr>
      <w:tr w:rsidR="00A60D4B" w:rsidRPr="00337DC9" w14:paraId="0FA8C761" w14:textId="77777777" w:rsidTr="00A60D4B">
        <w:trPr>
          <w:cantSplit/>
          <w:trHeight w:val="270"/>
        </w:trPr>
        <w:tc>
          <w:tcPr>
            <w:tcW w:w="3261" w:type="dxa"/>
            <w:tcBorders>
              <w:top w:val="single" w:sz="4" w:space="0" w:color="auto"/>
              <w:bottom w:val="nil"/>
            </w:tcBorders>
          </w:tcPr>
          <w:p w14:paraId="6CFCE861" w14:textId="77777777" w:rsidR="00A60D4B" w:rsidRDefault="00A60D4B" w:rsidP="00A60D4B">
            <w:pPr>
              <w:pStyle w:val="Btabletextbold"/>
              <w:keepNext/>
            </w:pPr>
          </w:p>
          <w:p w14:paraId="3D6BB1D3" w14:textId="77777777" w:rsidR="00A60D4B" w:rsidRDefault="00A60D4B" w:rsidP="00A60D4B">
            <w:pPr>
              <w:pStyle w:val="Btabletextbold"/>
              <w:keepNext/>
            </w:pPr>
            <w:r>
              <w:t>Environment</w:t>
            </w:r>
          </w:p>
        </w:tc>
        <w:tc>
          <w:tcPr>
            <w:tcW w:w="1162" w:type="dxa"/>
            <w:tcBorders>
              <w:top w:val="single" w:sz="4" w:space="0" w:color="auto"/>
              <w:bottom w:val="nil"/>
            </w:tcBorders>
            <w:tcMar>
              <w:left w:w="108" w:type="dxa"/>
            </w:tcMar>
          </w:tcPr>
          <w:p w14:paraId="6791BB4D" w14:textId="77777777" w:rsidR="00A60D4B" w:rsidRPr="00EC74DB"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5CCB5608" w14:textId="77777777" w:rsidR="00A60D4B" w:rsidRPr="00EC74DB" w:rsidRDefault="00A60D4B" w:rsidP="00A60D4B">
            <w:pPr>
              <w:pStyle w:val="Btablefigureunbold"/>
            </w:pPr>
          </w:p>
        </w:tc>
        <w:tc>
          <w:tcPr>
            <w:tcW w:w="1162" w:type="dxa"/>
            <w:tcBorders>
              <w:top w:val="single" w:sz="4" w:space="0" w:color="auto"/>
              <w:bottom w:val="nil"/>
            </w:tcBorders>
            <w:shd w:val="clear" w:color="472D8C" w:fill="auto"/>
            <w:tcMar>
              <w:left w:w="108" w:type="dxa"/>
            </w:tcMar>
          </w:tcPr>
          <w:p w14:paraId="7FB061AB" w14:textId="77777777" w:rsidR="00A60D4B" w:rsidRPr="00111524"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2C9FEB7D" w14:textId="77777777" w:rsidR="00A60D4B" w:rsidRPr="00EC74DB" w:rsidRDefault="00A60D4B" w:rsidP="00A60D4B">
            <w:pPr>
              <w:pStyle w:val="Btablefigureunbold"/>
            </w:pPr>
          </w:p>
        </w:tc>
        <w:tc>
          <w:tcPr>
            <w:tcW w:w="1163" w:type="dxa"/>
            <w:tcBorders>
              <w:top w:val="single" w:sz="4" w:space="0" w:color="auto"/>
              <w:bottom w:val="nil"/>
            </w:tcBorders>
            <w:tcMar>
              <w:left w:w="108" w:type="dxa"/>
            </w:tcMar>
          </w:tcPr>
          <w:p w14:paraId="0E19D263" w14:textId="77777777" w:rsidR="00A60D4B" w:rsidRPr="00EC74DB" w:rsidRDefault="00A60D4B" w:rsidP="00A60D4B">
            <w:pPr>
              <w:pStyle w:val="Btablefigureunbold"/>
            </w:pPr>
          </w:p>
        </w:tc>
      </w:tr>
      <w:tr w:rsidR="00A60D4B" w:rsidRPr="00337DC9" w14:paraId="58ADA40E" w14:textId="77777777" w:rsidTr="00A60D4B">
        <w:trPr>
          <w:cantSplit/>
          <w:trHeight w:val="270"/>
        </w:trPr>
        <w:tc>
          <w:tcPr>
            <w:tcW w:w="3261" w:type="dxa"/>
            <w:tcBorders>
              <w:top w:val="nil"/>
              <w:bottom w:val="nil"/>
            </w:tcBorders>
          </w:tcPr>
          <w:p w14:paraId="58F59C8B" w14:textId="77777777" w:rsidR="00A60D4B" w:rsidRDefault="00A60D4B" w:rsidP="00A60D4B">
            <w:pPr>
              <w:pStyle w:val="Btabletextbold"/>
              <w:keepNext/>
            </w:pPr>
            <w:r>
              <w:t>Environment NPPs</w:t>
            </w:r>
          </w:p>
        </w:tc>
        <w:tc>
          <w:tcPr>
            <w:tcW w:w="1162" w:type="dxa"/>
            <w:tcBorders>
              <w:top w:val="nil"/>
              <w:bottom w:val="nil"/>
            </w:tcBorders>
            <w:tcMar>
              <w:left w:w="108" w:type="dxa"/>
            </w:tcMar>
          </w:tcPr>
          <w:p w14:paraId="61836533" w14:textId="77777777" w:rsidR="00A60D4B" w:rsidRPr="00EC74DB" w:rsidRDefault="00A60D4B" w:rsidP="00A60D4B">
            <w:pPr>
              <w:pStyle w:val="Btablefigureunbold"/>
            </w:pPr>
          </w:p>
        </w:tc>
        <w:tc>
          <w:tcPr>
            <w:tcW w:w="1162" w:type="dxa"/>
            <w:tcBorders>
              <w:top w:val="nil"/>
              <w:bottom w:val="nil"/>
            </w:tcBorders>
            <w:shd w:val="clear" w:color="auto" w:fill="auto"/>
            <w:tcMar>
              <w:left w:w="108" w:type="dxa"/>
            </w:tcMar>
          </w:tcPr>
          <w:p w14:paraId="08CE342A" w14:textId="77777777" w:rsidR="00A60D4B" w:rsidRPr="00EC74DB" w:rsidRDefault="00A60D4B" w:rsidP="00A60D4B">
            <w:pPr>
              <w:pStyle w:val="Btablefigureunbold"/>
            </w:pPr>
          </w:p>
        </w:tc>
        <w:tc>
          <w:tcPr>
            <w:tcW w:w="1162" w:type="dxa"/>
            <w:tcBorders>
              <w:top w:val="nil"/>
              <w:bottom w:val="nil"/>
            </w:tcBorders>
            <w:shd w:val="clear" w:color="472D8C" w:fill="auto"/>
            <w:tcMar>
              <w:left w:w="108" w:type="dxa"/>
            </w:tcMar>
          </w:tcPr>
          <w:p w14:paraId="69B3F28B" w14:textId="77777777" w:rsidR="00A60D4B" w:rsidRPr="00111524" w:rsidRDefault="00A60D4B" w:rsidP="00A60D4B">
            <w:pPr>
              <w:pStyle w:val="Btablefigureunbold"/>
            </w:pPr>
          </w:p>
        </w:tc>
        <w:tc>
          <w:tcPr>
            <w:tcW w:w="1162" w:type="dxa"/>
            <w:tcBorders>
              <w:top w:val="nil"/>
              <w:bottom w:val="nil"/>
            </w:tcBorders>
            <w:shd w:val="clear" w:color="auto" w:fill="auto"/>
            <w:tcMar>
              <w:left w:w="108" w:type="dxa"/>
            </w:tcMar>
          </w:tcPr>
          <w:p w14:paraId="376C9CAF" w14:textId="77777777" w:rsidR="00A60D4B" w:rsidRPr="00EC74DB" w:rsidRDefault="00A60D4B" w:rsidP="00A60D4B">
            <w:pPr>
              <w:pStyle w:val="Btablefigureunbold"/>
            </w:pPr>
          </w:p>
        </w:tc>
        <w:tc>
          <w:tcPr>
            <w:tcW w:w="1163" w:type="dxa"/>
            <w:tcBorders>
              <w:top w:val="nil"/>
              <w:bottom w:val="nil"/>
            </w:tcBorders>
            <w:tcMar>
              <w:left w:w="108" w:type="dxa"/>
            </w:tcMar>
          </w:tcPr>
          <w:p w14:paraId="5CC3A569" w14:textId="77777777" w:rsidR="00A60D4B" w:rsidRPr="00EC74DB" w:rsidRDefault="00A60D4B" w:rsidP="00A60D4B">
            <w:pPr>
              <w:pStyle w:val="Btablefigureunbold"/>
            </w:pPr>
          </w:p>
        </w:tc>
      </w:tr>
      <w:tr w:rsidR="00A60D4B" w:rsidRPr="00337DC9" w14:paraId="4A961A3E" w14:textId="77777777" w:rsidTr="00A60D4B">
        <w:trPr>
          <w:cantSplit/>
          <w:trHeight w:val="270"/>
        </w:trPr>
        <w:tc>
          <w:tcPr>
            <w:tcW w:w="3261" w:type="dxa"/>
            <w:tcBorders>
              <w:top w:val="nil"/>
              <w:bottom w:val="nil"/>
            </w:tcBorders>
          </w:tcPr>
          <w:p w14:paraId="187B910B" w14:textId="77777777" w:rsidR="00A60D4B" w:rsidRDefault="00A60D4B" w:rsidP="00A60D4B">
            <w:pPr>
              <w:pStyle w:val="Btabletextunbold"/>
            </w:pPr>
            <w:r>
              <w:t>Disaster Risk Reduction</w:t>
            </w:r>
          </w:p>
        </w:tc>
        <w:tc>
          <w:tcPr>
            <w:tcW w:w="1162" w:type="dxa"/>
            <w:tcBorders>
              <w:top w:val="nil"/>
              <w:bottom w:val="nil"/>
            </w:tcBorders>
            <w:tcMar>
              <w:left w:w="108" w:type="dxa"/>
            </w:tcMar>
            <w:vAlign w:val="bottom"/>
          </w:tcPr>
          <w:p w14:paraId="5778124F" w14:textId="77777777" w:rsidR="00A60D4B" w:rsidRPr="00933D02" w:rsidRDefault="00A60D4B" w:rsidP="00A60D4B">
            <w:pPr>
              <w:pStyle w:val="Btablefigureunbold"/>
            </w:pPr>
            <w:r w:rsidRPr="00933D02">
              <w:t>1,044</w:t>
            </w:r>
          </w:p>
        </w:tc>
        <w:tc>
          <w:tcPr>
            <w:tcW w:w="1162" w:type="dxa"/>
            <w:tcBorders>
              <w:top w:val="nil"/>
              <w:bottom w:val="nil"/>
            </w:tcBorders>
            <w:shd w:val="clear" w:color="auto" w:fill="auto"/>
            <w:tcMar>
              <w:left w:w="108" w:type="dxa"/>
            </w:tcMar>
            <w:vAlign w:val="bottom"/>
          </w:tcPr>
          <w:p w14:paraId="34634D32" w14:textId="77777777" w:rsidR="00A60D4B" w:rsidRPr="00933D02" w:rsidRDefault="00A60D4B" w:rsidP="00A60D4B">
            <w:pPr>
              <w:pStyle w:val="Btablefigureunbold"/>
            </w:pPr>
            <w:r w:rsidRPr="00933D02">
              <w:t>1,044</w:t>
            </w:r>
          </w:p>
        </w:tc>
        <w:tc>
          <w:tcPr>
            <w:tcW w:w="1162" w:type="dxa"/>
            <w:tcBorders>
              <w:top w:val="nil"/>
              <w:bottom w:val="nil"/>
            </w:tcBorders>
            <w:shd w:val="clear" w:color="472D8C" w:fill="auto"/>
            <w:tcMar>
              <w:left w:w="108" w:type="dxa"/>
            </w:tcMar>
            <w:vAlign w:val="bottom"/>
          </w:tcPr>
          <w:p w14:paraId="6095519A" w14:textId="77777777" w:rsidR="00A60D4B" w:rsidRPr="00933D02" w:rsidRDefault="00A60D4B" w:rsidP="00A60D4B">
            <w:pPr>
              <w:pStyle w:val="Btablefigureunbold"/>
            </w:pPr>
            <w:r w:rsidRPr="00933D02">
              <w:t>1,044</w:t>
            </w:r>
          </w:p>
        </w:tc>
        <w:tc>
          <w:tcPr>
            <w:tcW w:w="1162" w:type="dxa"/>
            <w:tcBorders>
              <w:top w:val="nil"/>
              <w:bottom w:val="nil"/>
            </w:tcBorders>
            <w:shd w:val="clear" w:color="auto" w:fill="auto"/>
            <w:tcMar>
              <w:left w:w="108" w:type="dxa"/>
            </w:tcMar>
            <w:vAlign w:val="bottom"/>
          </w:tcPr>
          <w:p w14:paraId="5B686400" w14:textId="77777777" w:rsidR="00A60D4B" w:rsidRPr="00933D02" w:rsidRDefault="00A60D4B" w:rsidP="00A60D4B">
            <w:pPr>
              <w:pStyle w:val="Btablefigureunbold"/>
            </w:pPr>
            <w:r w:rsidRPr="00933D02">
              <w:t>1,044</w:t>
            </w:r>
          </w:p>
        </w:tc>
        <w:tc>
          <w:tcPr>
            <w:tcW w:w="1163" w:type="dxa"/>
            <w:tcBorders>
              <w:top w:val="nil"/>
              <w:bottom w:val="nil"/>
            </w:tcBorders>
            <w:tcMar>
              <w:left w:w="108" w:type="dxa"/>
            </w:tcMar>
          </w:tcPr>
          <w:p w14:paraId="4ED132C9" w14:textId="77777777" w:rsidR="00A60D4B" w:rsidRPr="00EC74DB" w:rsidRDefault="00A60D4B" w:rsidP="00A60D4B">
            <w:pPr>
              <w:pStyle w:val="Btablefigureunbold"/>
            </w:pPr>
            <w:r>
              <w:t>0</w:t>
            </w:r>
          </w:p>
        </w:tc>
      </w:tr>
      <w:tr w:rsidR="00A60D4B" w:rsidRPr="00337DC9" w14:paraId="0AAAEA79" w14:textId="77777777" w:rsidTr="00A60D4B">
        <w:trPr>
          <w:cantSplit/>
          <w:trHeight w:val="270"/>
        </w:trPr>
        <w:tc>
          <w:tcPr>
            <w:tcW w:w="3261" w:type="dxa"/>
            <w:tcBorders>
              <w:top w:val="nil"/>
              <w:bottom w:val="nil"/>
            </w:tcBorders>
          </w:tcPr>
          <w:p w14:paraId="7B799276" w14:textId="77777777" w:rsidR="00A60D4B" w:rsidRDefault="00A60D4B" w:rsidP="00A60D4B">
            <w:pPr>
              <w:pStyle w:val="Btabletextunbold"/>
            </w:pPr>
            <w:r>
              <w:t>Environmental assessment systems upgrade</w:t>
            </w:r>
          </w:p>
        </w:tc>
        <w:tc>
          <w:tcPr>
            <w:tcW w:w="1162" w:type="dxa"/>
            <w:tcBorders>
              <w:top w:val="nil"/>
              <w:bottom w:val="nil"/>
            </w:tcBorders>
            <w:tcMar>
              <w:left w:w="108" w:type="dxa"/>
            </w:tcMar>
          </w:tcPr>
          <w:p w14:paraId="01F4C630" w14:textId="77777777" w:rsidR="00A60D4B" w:rsidRPr="00EC74DB" w:rsidRDefault="00A60D4B" w:rsidP="00A60D4B">
            <w:pPr>
              <w:pStyle w:val="Btablefigureunbold"/>
            </w:pPr>
            <w:r>
              <w:t>0</w:t>
            </w:r>
          </w:p>
        </w:tc>
        <w:tc>
          <w:tcPr>
            <w:tcW w:w="1162" w:type="dxa"/>
            <w:tcBorders>
              <w:top w:val="nil"/>
              <w:bottom w:val="nil"/>
            </w:tcBorders>
            <w:shd w:val="clear" w:color="auto" w:fill="auto"/>
            <w:tcMar>
              <w:left w:w="108" w:type="dxa"/>
            </w:tcMar>
          </w:tcPr>
          <w:p w14:paraId="2663C2BB" w14:textId="77777777" w:rsidR="00A60D4B" w:rsidRPr="00EC74DB" w:rsidRDefault="00A60D4B" w:rsidP="00A60D4B">
            <w:pPr>
              <w:pStyle w:val="Btablefigureunbold"/>
            </w:pPr>
            <w:r w:rsidRPr="00820AD0">
              <w:t>300</w:t>
            </w:r>
          </w:p>
        </w:tc>
        <w:tc>
          <w:tcPr>
            <w:tcW w:w="1162" w:type="dxa"/>
            <w:tcBorders>
              <w:top w:val="nil"/>
              <w:bottom w:val="nil"/>
            </w:tcBorders>
            <w:shd w:val="clear" w:color="472D8C" w:fill="auto"/>
            <w:tcMar>
              <w:left w:w="108" w:type="dxa"/>
            </w:tcMar>
          </w:tcPr>
          <w:p w14:paraId="5C32489D" w14:textId="77777777" w:rsidR="00A60D4B" w:rsidRPr="00111524" w:rsidRDefault="00A60D4B" w:rsidP="00A60D4B">
            <w:pPr>
              <w:pStyle w:val="Btablefigureunbold"/>
            </w:pPr>
            <w:r>
              <w:t>0</w:t>
            </w:r>
          </w:p>
        </w:tc>
        <w:tc>
          <w:tcPr>
            <w:tcW w:w="1162" w:type="dxa"/>
            <w:tcBorders>
              <w:top w:val="nil"/>
              <w:bottom w:val="nil"/>
            </w:tcBorders>
            <w:shd w:val="clear" w:color="auto" w:fill="auto"/>
            <w:tcMar>
              <w:left w:w="108" w:type="dxa"/>
            </w:tcMar>
          </w:tcPr>
          <w:p w14:paraId="1018A739"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1CD3F6AC" w14:textId="77777777" w:rsidR="00A60D4B" w:rsidRPr="00EC74DB" w:rsidRDefault="00A60D4B" w:rsidP="00A60D4B">
            <w:pPr>
              <w:pStyle w:val="Btablefigureunbold"/>
            </w:pPr>
            <w:r>
              <w:t>0</w:t>
            </w:r>
          </w:p>
        </w:tc>
      </w:tr>
      <w:tr w:rsidR="00A60D4B" w:rsidRPr="00337DC9" w14:paraId="3FB8B20E" w14:textId="77777777" w:rsidTr="00A60D4B">
        <w:trPr>
          <w:cantSplit/>
          <w:trHeight w:val="270"/>
        </w:trPr>
        <w:tc>
          <w:tcPr>
            <w:tcW w:w="3261" w:type="dxa"/>
            <w:tcBorders>
              <w:top w:val="nil"/>
              <w:bottom w:val="nil"/>
            </w:tcBorders>
          </w:tcPr>
          <w:p w14:paraId="59F1CA18" w14:textId="77777777" w:rsidR="00A60D4B" w:rsidRDefault="00A60D4B" w:rsidP="00A60D4B">
            <w:pPr>
              <w:pStyle w:val="Btabletextunbold"/>
            </w:pPr>
            <w:r w:rsidRPr="004E6FD5">
              <w:t>Fishing and Camping Facilities Program</w:t>
            </w:r>
          </w:p>
        </w:tc>
        <w:tc>
          <w:tcPr>
            <w:tcW w:w="1162" w:type="dxa"/>
            <w:tcBorders>
              <w:top w:val="nil"/>
              <w:bottom w:val="nil"/>
            </w:tcBorders>
            <w:tcMar>
              <w:left w:w="108" w:type="dxa"/>
            </w:tcMar>
          </w:tcPr>
          <w:p w14:paraId="2BE2E605" w14:textId="77777777" w:rsidR="00A60D4B" w:rsidRPr="00EC74DB" w:rsidRDefault="00A60D4B" w:rsidP="00A60D4B">
            <w:pPr>
              <w:pStyle w:val="Btablefigureunbold"/>
            </w:pPr>
            <w:r w:rsidRPr="00577FA3">
              <w:t>61</w:t>
            </w:r>
          </w:p>
        </w:tc>
        <w:tc>
          <w:tcPr>
            <w:tcW w:w="1162" w:type="dxa"/>
            <w:tcBorders>
              <w:top w:val="nil"/>
              <w:bottom w:val="nil"/>
            </w:tcBorders>
            <w:shd w:val="clear" w:color="auto" w:fill="auto"/>
            <w:tcMar>
              <w:left w:w="108" w:type="dxa"/>
            </w:tcMar>
          </w:tcPr>
          <w:p w14:paraId="3A9F057D" w14:textId="77777777" w:rsidR="00A60D4B" w:rsidRPr="00EC74DB" w:rsidRDefault="00A60D4B" w:rsidP="00A60D4B">
            <w:pPr>
              <w:pStyle w:val="Btablefigureunbold"/>
            </w:pPr>
            <w:r w:rsidRPr="00577FA3">
              <w:t>222</w:t>
            </w:r>
          </w:p>
        </w:tc>
        <w:tc>
          <w:tcPr>
            <w:tcW w:w="1162" w:type="dxa"/>
            <w:tcBorders>
              <w:top w:val="nil"/>
              <w:bottom w:val="nil"/>
            </w:tcBorders>
            <w:shd w:val="clear" w:color="472D8C" w:fill="auto"/>
            <w:tcMar>
              <w:left w:w="108" w:type="dxa"/>
            </w:tcMar>
          </w:tcPr>
          <w:p w14:paraId="01A264AE" w14:textId="77777777" w:rsidR="00A60D4B" w:rsidRPr="00111524" w:rsidRDefault="00A60D4B" w:rsidP="00A60D4B">
            <w:pPr>
              <w:pStyle w:val="Btablefigureunbold"/>
            </w:pPr>
            <w:r>
              <w:t>0</w:t>
            </w:r>
          </w:p>
        </w:tc>
        <w:tc>
          <w:tcPr>
            <w:tcW w:w="1162" w:type="dxa"/>
            <w:tcBorders>
              <w:top w:val="nil"/>
              <w:bottom w:val="nil"/>
            </w:tcBorders>
            <w:shd w:val="clear" w:color="auto" w:fill="auto"/>
            <w:tcMar>
              <w:left w:w="108" w:type="dxa"/>
            </w:tcMar>
          </w:tcPr>
          <w:p w14:paraId="4DFD19A3"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01CD656D" w14:textId="77777777" w:rsidR="00A60D4B" w:rsidRPr="00EC74DB" w:rsidRDefault="00A60D4B" w:rsidP="00A60D4B">
            <w:pPr>
              <w:pStyle w:val="Btablefigureunbold"/>
            </w:pPr>
            <w:r>
              <w:t>0</w:t>
            </w:r>
          </w:p>
        </w:tc>
      </w:tr>
      <w:tr w:rsidR="00A60D4B" w:rsidRPr="00337DC9" w14:paraId="1D184379" w14:textId="77777777" w:rsidTr="00A60D4B">
        <w:trPr>
          <w:cantSplit/>
          <w:trHeight w:val="270"/>
        </w:trPr>
        <w:tc>
          <w:tcPr>
            <w:tcW w:w="3261" w:type="dxa"/>
            <w:tcBorders>
              <w:top w:val="nil"/>
              <w:bottom w:val="nil"/>
            </w:tcBorders>
          </w:tcPr>
          <w:p w14:paraId="2B93AA6A" w14:textId="77777777" w:rsidR="00A60D4B" w:rsidRDefault="00A60D4B" w:rsidP="00A60D4B">
            <w:pPr>
              <w:pStyle w:val="Btabletextunbold"/>
            </w:pPr>
            <w:r>
              <w:t>Implementing Water Reform in the Murray-Darling Basin</w:t>
            </w:r>
          </w:p>
        </w:tc>
        <w:tc>
          <w:tcPr>
            <w:tcW w:w="1162" w:type="dxa"/>
            <w:tcBorders>
              <w:top w:val="nil"/>
              <w:bottom w:val="nil"/>
            </w:tcBorders>
            <w:tcMar>
              <w:left w:w="108" w:type="dxa"/>
            </w:tcMar>
          </w:tcPr>
          <w:p w14:paraId="5AFD817E" w14:textId="77777777" w:rsidR="00A60D4B" w:rsidRPr="00EC74DB" w:rsidRDefault="00A60D4B" w:rsidP="00A60D4B">
            <w:pPr>
              <w:pStyle w:val="Btablefigureunbold"/>
            </w:pPr>
            <w:r w:rsidRPr="00167696">
              <w:t>82</w:t>
            </w:r>
          </w:p>
        </w:tc>
        <w:tc>
          <w:tcPr>
            <w:tcW w:w="1162" w:type="dxa"/>
            <w:tcBorders>
              <w:top w:val="nil"/>
              <w:bottom w:val="nil"/>
            </w:tcBorders>
            <w:shd w:val="clear" w:color="auto" w:fill="auto"/>
            <w:tcMar>
              <w:left w:w="108" w:type="dxa"/>
            </w:tcMar>
          </w:tcPr>
          <w:p w14:paraId="4A5DA892" w14:textId="77777777" w:rsidR="00A60D4B" w:rsidRPr="00167696" w:rsidRDefault="00A60D4B" w:rsidP="00A60D4B">
            <w:pPr>
              <w:pStyle w:val="Btablefigureunbold"/>
            </w:pPr>
            <w:r w:rsidRPr="00167696">
              <w:t>~</w:t>
            </w:r>
          </w:p>
        </w:tc>
        <w:tc>
          <w:tcPr>
            <w:tcW w:w="1162" w:type="dxa"/>
            <w:tcBorders>
              <w:top w:val="nil"/>
              <w:bottom w:val="nil"/>
            </w:tcBorders>
            <w:shd w:val="clear" w:color="472D8C" w:fill="auto"/>
            <w:tcMar>
              <w:left w:w="108" w:type="dxa"/>
            </w:tcMar>
          </w:tcPr>
          <w:p w14:paraId="0618D52A" w14:textId="77777777" w:rsidR="00A60D4B" w:rsidRPr="00167696" w:rsidRDefault="00A60D4B" w:rsidP="00A60D4B">
            <w:pPr>
              <w:pStyle w:val="Btablefigureunbold"/>
            </w:pPr>
            <w:r w:rsidRPr="00167696">
              <w:t>~</w:t>
            </w:r>
          </w:p>
        </w:tc>
        <w:tc>
          <w:tcPr>
            <w:tcW w:w="1162" w:type="dxa"/>
            <w:tcBorders>
              <w:top w:val="nil"/>
              <w:bottom w:val="nil"/>
            </w:tcBorders>
            <w:shd w:val="clear" w:color="auto" w:fill="auto"/>
            <w:tcMar>
              <w:left w:w="108" w:type="dxa"/>
            </w:tcMar>
          </w:tcPr>
          <w:p w14:paraId="01B663DC" w14:textId="77777777" w:rsidR="00A60D4B" w:rsidRPr="00167696" w:rsidRDefault="00A60D4B" w:rsidP="00A60D4B">
            <w:pPr>
              <w:pStyle w:val="Btablefigureunbold"/>
            </w:pPr>
            <w:r w:rsidRPr="00167696">
              <w:t>~</w:t>
            </w:r>
          </w:p>
        </w:tc>
        <w:tc>
          <w:tcPr>
            <w:tcW w:w="1163" w:type="dxa"/>
            <w:tcBorders>
              <w:top w:val="nil"/>
              <w:bottom w:val="nil"/>
            </w:tcBorders>
            <w:tcMar>
              <w:left w:w="108" w:type="dxa"/>
            </w:tcMar>
          </w:tcPr>
          <w:p w14:paraId="4D2199DB" w14:textId="77777777" w:rsidR="00A60D4B" w:rsidRPr="00EC74DB" w:rsidRDefault="00A60D4B" w:rsidP="00A60D4B">
            <w:pPr>
              <w:pStyle w:val="Btablefigureunbold"/>
            </w:pPr>
            <w:r>
              <w:t>0</w:t>
            </w:r>
          </w:p>
        </w:tc>
      </w:tr>
      <w:tr w:rsidR="00A60D4B" w:rsidRPr="00337DC9" w14:paraId="4F7B5ACD" w14:textId="77777777" w:rsidTr="00A60D4B">
        <w:trPr>
          <w:cantSplit/>
          <w:trHeight w:val="270"/>
        </w:trPr>
        <w:tc>
          <w:tcPr>
            <w:tcW w:w="3261" w:type="dxa"/>
            <w:tcBorders>
              <w:top w:val="nil"/>
              <w:bottom w:val="nil"/>
            </w:tcBorders>
          </w:tcPr>
          <w:p w14:paraId="46E14C6D" w14:textId="77777777" w:rsidR="00A60D4B" w:rsidRDefault="00A60D4B" w:rsidP="00A60D4B">
            <w:pPr>
              <w:pStyle w:val="Btabletextunbold"/>
            </w:pPr>
            <w:r>
              <w:t>Management of established pests and weeds</w:t>
            </w:r>
          </w:p>
        </w:tc>
        <w:tc>
          <w:tcPr>
            <w:tcW w:w="1162" w:type="dxa"/>
            <w:tcBorders>
              <w:top w:val="nil"/>
              <w:bottom w:val="nil"/>
            </w:tcBorders>
            <w:tcMar>
              <w:left w:w="108" w:type="dxa"/>
            </w:tcMar>
          </w:tcPr>
          <w:p w14:paraId="4C3DD8C6" w14:textId="77777777" w:rsidR="00A60D4B" w:rsidRPr="00EC74DB" w:rsidRDefault="00A60D4B" w:rsidP="00A60D4B">
            <w:pPr>
              <w:pStyle w:val="Btablefigureunbold"/>
            </w:pPr>
            <w:r>
              <w:t>0</w:t>
            </w:r>
          </w:p>
        </w:tc>
        <w:tc>
          <w:tcPr>
            <w:tcW w:w="1162" w:type="dxa"/>
            <w:tcBorders>
              <w:top w:val="nil"/>
              <w:bottom w:val="nil"/>
            </w:tcBorders>
            <w:shd w:val="clear" w:color="auto" w:fill="auto"/>
            <w:tcMar>
              <w:left w:w="108" w:type="dxa"/>
            </w:tcMar>
          </w:tcPr>
          <w:p w14:paraId="7BB20256" w14:textId="77777777" w:rsidR="00A60D4B" w:rsidRPr="00F55426" w:rsidRDefault="00A60D4B" w:rsidP="00A60D4B">
            <w:pPr>
              <w:pStyle w:val="Btablefigureunbold"/>
            </w:pPr>
            <w:r w:rsidRPr="00F55426">
              <w:t>~</w:t>
            </w:r>
          </w:p>
        </w:tc>
        <w:tc>
          <w:tcPr>
            <w:tcW w:w="1162" w:type="dxa"/>
            <w:tcBorders>
              <w:top w:val="nil"/>
              <w:bottom w:val="nil"/>
            </w:tcBorders>
            <w:shd w:val="clear" w:color="472D8C" w:fill="auto"/>
            <w:tcMar>
              <w:left w:w="108" w:type="dxa"/>
            </w:tcMar>
          </w:tcPr>
          <w:p w14:paraId="77109859" w14:textId="77777777" w:rsidR="00A60D4B" w:rsidRPr="00F55426" w:rsidRDefault="00A60D4B" w:rsidP="00A60D4B">
            <w:pPr>
              <w:pStyle w:val="Btablefigureunbold"/>
            </w:pPr>
            <w:r w:rsidRPr="00F55426">
              <w:t>~</w:t>
            </w:r>
          </w:p>
        </w:tc>
        <w:tc>
          <w:tcPr>
            <w:tcW w:w="1162" w:type="dxa"/>
            <w:tcBorders>
              <w:top w:val="nil"/>
              <w:bottom w:val="nil"/>
            </w:tcBorders>
            <w:shd w:val="clear" w:color="auto" w:fill="auto"/>
            <w:tcMar>
              <w:left w:w="108" w:type="dxa"/>
            </w:tcMar>
          </w:tcPr>
          <w:p w14:paraId="52B178F4"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7D7A14C2" w14:textId="77777777" w:rsidR="00A60D4B" w:rsidRPr="00EC74DB" w:rsidRDefault="00A60D4B" w:rsidP="00A60D4B">
            <w:pPr>
              <w:pStyle w:val="Btablefigureunbold"/>
            </w:pPr>
            <w:r>
              <w:t>0</w:t>
            </w:r>
          </w:p>
        </w:tc>
      </w:tr>
      <w:tr w:rsidR="00A60D4B" w:rsidRPr="00337DC9" w14:paraId="3A55A2C2" w14:textId="77777777" w:rsidTr="00A60D4B">
        <w:trPr>
          <w:cantSplit/>
          <w:trHeight w:val="270"/>
        </w:trPr>
        <w:tc>
          <w:tcPr>
            <w:tcW w:w="3261" w:type="dxa"/>
            <w:tcBorders>
              <w:top w:val="nil"/>
              <w:bottom w:val="nil"/>
            </w:tcBorders>
          </w:tcPr>
          <w:p w14:paraId="4A573BEB" w14:textId="77777777" w:rsidR="00A60D4B" w:rsidRDefault="00A60D4B" w:rsidP="00A60D4B">
            <w:pPr>
              <w:pStyle w:val="Btabletextunbold"/>
            </w:pPr>
            <w:r>
              <w:t>National Forestry Industry Plan</w:t>
            </w:r>
          </w:p>
        </w:tc>
        <w:tc>
          <w:tcPr>
            <w:tcW w:w="1162" w:type="dxa"/>
            <w:tcBorders>
              <w:top w:val="nil"/>
              <w:bottom w:val="nil"/>
            </w:tcBorders>
            <w:tcMar>
              <w:left w:w="108" w:type="dxa"/>
            </w:tcMar>
          </w:tcPr>
          <w:p w14:paraId="0FA29139" w14:textId="77777777" w:rsidR="00A60D4B" w:rsidRPr="00EC74DB" w:rsidRDefault="00A60D4B" w:rsidP="00A60D4B">
            <w:pPr>
              <w:pStyle w:val="Btablefigureunbold"/>
            </w:pPr>
            <w:r>
              <w:t>0</w:t>
            </w:r>
          </w:p>
        </w:tc>
        <w:tc>
          <w:tcPr>
            <w:tcW w:w="1162" w:type="dxa"/>
            <w:tcBorders>
              <w:top w:val="nil"/>
              <w:bottom w:val="nil"/>
            </w:tcBorders>
            <w:shd w:val="clear" w:color="auto" w:fill="auto"/>
            <w:tcMar>
              <w:left w:w="108" w:type="dxa"/>
            </w:tcMar>
          </w:tcPr>
          <w:p w14:paraId="6AA9EBEE" w14:textId="77777777" w:rsidR="00A60D4B" w:rsidRPr="00A724B9" w:rsidRDefault="00A60D4B" w:rsidP="00A60D4B">
            <w:pPr>
              <w:pStyle w:val="Btablefigureunbold"/>
            </w:pPr>
            <w:r w:rsidRPr="00A724B9">
              <w:t>~</w:t>
            </w:r>
          </w:p>
        </w:tc>
        <w:tc>
          <w:tcPr>
            <w:tcW w:w="1162" w:type="dxa"/>
            <w:tcBorders>
              <w:top w:val="nil"/>
              <w:bottom w:val="nil"/>
            </w:tcBorders>
            <w:shd w:val="clear" w:color="472D8C" w:fill="auto"/>
            <w:tcMar>
              <w:left w:w="108" w:type="dxa"/>
            </w:tcMar>
          </w:tcPr>
          <w:p w14:paraId="13CCFA75" w14:textId="77777777" w:rsidR="00A60D4B" w:rsidRPr="00A724B9" w:rsidRDefault="00A60D4B" w:rsidP="00A60D4B">
            <w:pPr>
              <w:pStyle w:val="Btablefigureunbold"/>
            </w:pPr>
            <w:r w:rsidRPr="00A724B9">
              <w:t>0</w:t>
            </w:r>
          </w:p>
        </w:tc>
        <w:tc>
          <w:tcPr>
            <w:tcW w:w="1162" w:type="dxa"/>
            <w:tcBorders>
              <w:top w:val="nil"/>
              <w:bottom w:val="nil"/>
            </w:tcBorders>
            <w:shd w:val="clear" w:color="auto" w:fill="auto"/>
            <w:tcMar>
              <w:left w:w="108" w:type="dxa"/>
            </w:tcMar>
          </w:tcPr>
          <w:p w14:paraId="39B10AAF"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57F3AD8B" w14:textId="77777777" w:rsidR="00A60D4B" w:rsidRPr="00EC74DB" w:rsidRDefault="00A60D4B" w:rsidP="00A60D4B">
            <w:pPr>
              <w:pStyle w:val="Btablefigureunbold"/>
            </w:pPr>
            <w:r>
              <w:t>0</w:t>
            </w:r>
          </w:p>
        </w:tc>
      </w:tr>
      <w:tr w:rsidR="00A60D4B" w:rsidRPr="00337DC9" w14:paraId="3DA53991" w14:textId="77777777" w:rsidTr="00A60D4B">
        <w:trPr>
          <w:cantSplit/>
          <w:trHeight w:val="270"/>
        </w:trPr>
        <w:tc>
          <w:tcPr>
            <w:tcW w:w="3261" w:type="dxa"/>
            <w:tcBorders>
              <w:top w:val="nil"/>
              <w:bottom w:val="nil"/>
            </w:tcBorders>
          </w:tcPr>
          <w:p w14:paraId="0251D096" w14:textId="77777777" w:rsidR="00A60D4B" w:rsidRDefault="00A60D4B" w:rsidP="00A60D4B">
            <w:pPr>
              <w:pStyle w:val="Btabletextunbold"/>
            </w:pPr>
            <w:r>
              <w:t>National Flood Mitigation Infrastructure Program</w:t>
            </w:r>
            <w:r>
              <w:rPr>
                <w:vertAlign w:val="superscript"/>
              </w:rPr>
              <w:t>8</w:t>
            </w:r>
          </w:p>
        </w:tc>
        <w:tc>
          <w:tcPr>
            <w:tcW w:w="1162" w:type="dxa"/>
            <w:tcBorders>
              <w:top w:val="nil"/>
              <w:bottom w:val="nil"/>
            </w:tcBorders>
            <w:tcMar>
              <w:left w:w="108" w:type="dxa"/>
            </w:tcMar>
          </w:tcPr>
          <w:p w14:paraId="17BBB162" w14:textId="77777777" w:rsidR="00A60D4B" w:rsidRPr="00EC74DB" w:rsidRDefault="00A60D4B" w:rsidP="00A60D4B">
            <w:pPr>
              <w:pStyle w:val="Btablefigureunbold"/>
            </w:pPr>
            <w:r>
              <w:t>0</w:t>
            </w:r>
          </w:p>
        </w:tc>
        <w:tc>
          <w:tcPr>
            <w:tcW w:w="1162" w:type="dxa"/>
            <w:tcBorders>
              <w:top w:val="nil"/>
              <w:bottom w:val="nil"/>
            </w:tcBorders>
            <w:shd w:val="clear" w:color="auto" w:fill="auto"/>
            <w:tcMar>
              <w:left w:w="108" w:type="dxa"/>
            </w:tcMar>
          </w:tcPr>
          <w:p w14:paraId="1690BA7F" w14:textId="77777777" w:rsidR="00A60D4B" w:rsidRPr="00EC74DB" w:rsidRDefault="00A60D4B" w:rsidP="00A60D4B">
            <w:pPr>
              <w:pStyle w:val="Btablefigureunbold"/>
            </w:pPr>
            <w:r w:rsidRPr="00F55426">
              <w:t>3,340</w:t>
            </w:r>
          </w:p>
        </w:tc>
        <w:tc>
          <w:tcPr>
            <w:tcW w:w="1162" w:type="dxa"/>
            <w:tcBorders>
              <w:top w:val="nil"/>
              <w:bottom w:val="nil"/>
            </w:tcBorders>
            <w:shd w:val="clear" w:color="472D8C" w:fill="auto"/>
            <w:tcMar>
              <w:left w:w="108" w:type="dxa"/>
            </w:tcMar>
          </w:tcPr>
          <w:p w14:paraId="494F65F7" w14:textId="77777777" w:rsidR="00A60D4B" w:rsidRPr="00111524" w:rsidRDefault="00A60D4B" w:rsidP="00A60D4B">
            <w:pPr>
              <w:pStyle w:val="Btablefigureunbold"/>
            </w:pPr>
            <w:r>
              <w:t>0</w:t>
            </w:r>
          </w:p>
        </w:tc>
        <w:tc>
          <w:tcPr>
            <w:tcW w:w="1162" w:type="dxa"/>
            <w:tcBorders>
              <w:top w:val="nil"/>
              <w:bottom w:val="nil"/>
            </w:tcBorders>
            <w:shd w:val="clear" w:color="auto" w:fill="auto"/>
            <w:tcMar>
              <w:left w:w="108" w:type="dxa"/>
            </w:tcMar>
          </w:tcPr>
          <w:p w14:paraId="060787AE"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69ECD49B" w14:textId="77777777" w:rsidR="00A60D4B" w:rsidRPr="00EC74DB" w:rsidRDefault="00A60D4B" w:rsidP="00A60D4B">
            <w:pPr>
              <w:pStyle w:val="Btablefigureunbold"/>
            </w:pPr>
            <w:r>
              <w:t>0</w:t>
            </w:r>
          </w:p>
        </w:tc>
      </w:tr>
      <w:tr w:rsidR="00A60D4B" w:rsidRPr="00337DC9" w14:paraId="6C53FB1F" w14:textId="77777777" w:rsidTr="00A60D4B">
        <w:trPr>
          <w:cantSplit/>
          <w:trHeight w:val="270"/>
        </w:trPr>
        <w:tc>
          <w:tcPr>
            <w:tcW w:w="3261" w:type="dxa"/>
            <w:tcBorders>
              <w:top w:val="nil"/>
              <w:bottom w:val="nil"/>
            </w:tcBorders>
          </w:tcPr>
          <w:p w14:paraId="069E41CD" w14:textId="77777777" w:rsidR="00A60D4B" w:rsidRDefault="00A60D4B" w:rsidP="00A60D4B">
            <w:pPr>
              <w:pStyle w:val="Btabletextunbold"/>
            </w:pPr>
            <w:r>
              <w:t>National Plant Health Surveillance Program</w:t>
            </w:r>
          </w:p>
        </w:tc>
        <w:tc>
          <w:tcPr>
            <w:tcW w:w="1162" w:type="dxa"/>
            <w:tcBorders>
              <w:top w:val="nil"/>
              <w:bottom w:val="nil"/>
            </w:tcBorders>
            <w:tcMar>
              <w:left w:w="108" w:type="dxa"/>
            </w:tcMar>
          </w:tcPr>
          <w:p w14:paraId="004F0BF3" w14:textId="77777777" w:rsidR="00A60D4B" w:rsidRPr="00EC74DB" w:rsidRDefault="00A60D4B" w:rsidP="00A60D4B">
            <w:pPr>
              <w:pStyle w:val="Btablefigureunbold"/>
            </w:pPr>
            <w:r>
              <w:t>0</w:t>
            </w:r>
          </w:p>
        </w:tc>
        <w:tc>
          <w:tcPr>
            <w:tcW w:w="1162" w:type="dxa"/>
            <w:tcBorders>
              <w:top w:val="nil"/>
              <w:bottom w:val="nil"/>
            </w:tcBorders>
            <w:shd w:val="clear" w:color="auto" w:fill="auto"/>
            <w:tcMar>
              <w:left w:w="108" w:type="dxa"/>
            </w:tcMar>
          </w:tcPr>
          <w:p w14:paraId="738A1EC6" w14:textId="77777777" w:rsidR="00A60D4B" w:rsidRPr="00EC74DB" w:rsidRDefault="00A60D4B" w:rsidP="00A60D4B">
            <w:pPr>
              <w:pStyle w:val="Btablefigureunbold"/>
            </w:pPr>
            <w:r w:rsidRPr="00234A6D">
              <w:t>31</w:t>
            </w:r>
          </w:p>
        </w:tc>
        <w:tc>
          <w:tcPr>
            <w:tcW w:w="1162" w:type="dxa"/>
            <w:tcBorders>
              <w:top w:val="nil"/>
              <w:bottom w:val="nil"/>
            </w:tcBorders>
            <w:shd w:val="clear" w:color="472D8C" w:fill="auto"/>
            <w:tcMar>
              <w:left w:w="108" w:type="dxa"/>
            </w:tcMar>
          </w:tcPr>
          <w:p w14:paraId="14CB864C" w14:textId="77777777" w:rsidR="00A60D4B" w:rsidRPr="00111524" w:rsidRDefault="00A60D4B" w:rsidP="00A60D4B">
            <w:pPr>
              <w:pStyle w:val="Btablefigureunbold"/>
            </w:pPr>
            <w:r w:rsidRPr="00234A6D">
              <w:t>31</w:t>
            </w:r>
          </w:p>
        </w:tc>
        <w:tc>
          <w:tcPr>
            <w:tcW w:w="1162" w:type="dxa"/>
            <w:tcBorders>
              <w:top w:val="nil"/>
              <w:bottom w:val="nil"/>
            </w:tcBorders>
            <w:shd w:val="clear" w:color="auto" w:fill="auto"/>
            <w:tcMar>
              <w:left w:w="108" w:type="dxa"/>
            </w:tcMar>
          </w:tcPr>
          <w:p w14:paraId="5EEBD6EB" w14:textId="77777777" w:rsidR="00A60D4B" w:rsidRPr="00EC74DB" w:rsidRDefault="00A60D4B" w:rsidP="00A60D4B">
            <w:pPr>
              <w:pStyle w:val="Btablefigureunbold"/>
            </w:pPr>
            <w:r w:rsidRPr="00234A6D">
              <w:t>31</w:t>
            </w:r>
          </w:p>
        </w:tc>
        <w:tc>
          <w:tcPr>
            <w:tcW w:w="1163" w:type="dxa"/>
            <w:tcBorders>
              <w:top w:val="nil"/>
              <w:bottom w:val="nil"/>
            </w:tcBorders>
            <w:tcMar>
              <w:left w:w="108" w:type="dxa"/>
            </w:tcMar>
          </w:tcPr>
          <w:p w14:paraId="18A0CFE3" w14:textId="77777777" w:rsidR="00A60D4B" w:rsidRPr="00EC74DB" w:rsidRDefault="00A60D4B" w:rsidP="00A60D4B">
            <w:pPr>
              <w:pStyle w:val="Btablefigureunbold"/>
            </w:pPr>
            <w:r w:rsidRPr="00234A6D">
              <w:t>31</w:t>
            </w:r>
          </w:p>
        </w:tc>
      </w:tr>
      <w:tr w:rsidR="00A60D4B" w:rsidRPr="00337DC9" w14:paraId="207A16C0" w14:textId="77777777" w:rsidTr="00A60D4B">
        <w:trPr>
          <w:cantSplit/>
          <w:trHeight w:val="270"/>
        </w:trPr>
        <w:tc>
          <w:tcPr>
            <w:tcW w:w="3261" w:type="dxa"/>
            <w:tcBorders>
              <w:top w:val="nil"/>
              <w:bottom w:val="nil"/>
            </w:tcBorders>
          </w:tcPr>
          <w:p w14:paraId="6CD5D549" w14:textId="77777777" w:rsidR="00A60D4B" w:rsidRDefault="00A60D4B" w:rsidP="00A60D4B">
            <w:pPr>
              <w:pStyle w:val="Btabletextunbold"/>
            </w:pPr>
            <w:r>
              <w:t>On-farm Emergency Water Infrastructure Rebate</w:t>
            </w:r>
          </w:p>
        </w:tc>
        <w:tc>
          <w:tcPr>
            <w:tcW w:w="1162" w:type="dxa"/>
            <w:tcBorders>
              <w:top w:val="nil"/>
              <w:bottom w:val="nil"/>
            </w:tcBorders>
            <w:tcMar>
              <w:left w:w="108" w:type="dxa"/>
            </w:tcMar>
          </w:tcPr>
          <w:p w14:paraId="626449A1" w14:textId="77777777" w:rsidR="00A60D4B" w:rsidRPr="00EC74DB" w:rsidRDefault="00A60D4B" w:rsidP="00A60D4B">
            <w:pPr>
              <w:pStyle w:val="Btablefigureunbold"/>
            </w:pPr>
            <w:r w:rsidRPr="00167696">
              <w:t>46</w:t>
            </w:r>
          </w:p>
        </w:tc>
        <w:tc>
          <w:tcPr>
            <w:tcW w:w="1162" w:type="dxa"/>
            <w:tcBorders>
              <w:top w:val="nil"/>
              <w:bottom w:val="nil"/>
            </w:tcBorders>
            <w:shd w:val="clear" w:color="auto" w:fill="auto"/>
            <w:tcMar>
              <w:left w:w="108" w:type="dxa"/>
            </w:tcMar>
          </w:tcPr>
          <w:p w14:paraId="3C6985EC" w14:textId="77777777" w:rsidR="00A60D4B" w:rsidRPr="008A09CD" w:rsidRDefault="00A60D4B" w:rsidP="00A60D4B">
            <w:pPr>
              <w:pStyle w:val="Btablefigureunbold"/>
              <w:rPr>
                <w:highlight w:val="green"/>
              </w:rPr>
            </w:pPr>
            <w:r w:rsidRPr="00167696">
              <w:t>~</w:t>
            </w:r>
          </w:p>
        </w:tc>
        <w:tc>
          <w:tcPr>
            <w:tcW w:w="1162" w:type="dxa"/>
            <w:tcBorders>
              <w:top w:val="nil"/>
              <w:bottom w:val="nil"/>
            </w:tcBorders>
            <w:shd w:val="clear" w:color="472D8C" w:fill="auto"/>
            <w:tcMar>
              <w:left w:w="108" w:type="dxa"/>
            </w:tcMar>
          </w:tcPr>
          <w:p w14:paraId="37437FCF" w14:textId="77777777" w:rsidR="00A60D4B" w:rsidRPr="00111524" w:rsidRDefault="00A60D4B" w:rsidP="00A60D4B">
            <w:pPr>
              <w:pStyle w:val="Btablefigureunbold"/>
            </w:pPr>
            <w:r>
              <w:t>0</w:t>
            </w:r>
          </w:p>
        </w:tc>
        <w:tc>
          <w:tcPr>
            <w:tcW w:w="1162" w:type="dxa"/>
            <w:tcBorders>
              <w:top w:val="nil"/>
              <w:bottom w:val="nil"/>
            </w:tcBorders>
            <w:shd w:val="clear" w:color="auto" w:fill="auto"/>
            <w:tcMar>
              <w:left w:w="108" w:type="dxa"/>
            </w:tcMar>
          </w:tcPr>
          <w:p w14:paraId="338AF035"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742DEA15" w14:textId="77777777" w:rsidR="00A60D4B" w:rsidRPr="00EC74DB" w:rsidRDefault="00A60D4B" w:rsidP="00A60D4B">
            <w:pPr>
              <w:pStyle w:val="Btablefigureunbold"/>
            </w:pPr>
            <w:r>
              <w:t>0</w:t>
            </w:r>
          </w:p>
        </w:tc>
      </w:tr>
      <w:tr w:rsidR="00A60D4B" w:rsidRPr="00167696" w14:paraId="5EDEEA90" w14:textId="77777777" w:rsidTr="00A60D4B">
        <w:trPr>
          <w:cantSplit/>
          <w:trHeight w:val="270"/>
        </w:trPr>
        <w:tc>
          <w:tcPr>
            <w:tcW w:w="3261" w:type="dxa"/>
            <w:tcBorders>
              <w:top w:val="nil"/>
              <w:bottom w:val="nil"/>
            </w:tcBorders>
          </w:tcPr>
          <w:p w14:paraId="06C7859E" w14:textId="77777777" w:rsidR="00A60D4B" w:rsidRDefault="00A60D4B" w:rsidP="00A60D4B">
            <w:pPr>
              <w:pStyle w:val="Btabletextunbold"/>
            </w:pPr>
            <w:r>
              <w:t>Recycling Infrastructure</w:t>
            </w:r>
          </w:p>
        </w:tc>
        <w:tc>
          <w:tcPr>
            <w:tcW w:w="1162" w:type="dxa"/>
            <w:tcBorders>
              <w:top w:val="nil"/>
              <w:bottom w:val="nil"/>
            </w:tcBorders>
            <w:tcMar>
              <w:left w:w="108" w:type="dxa"/>
            </w:tcMar>
          </w:tcPr>
          <w:p w14:paraId="2F5DA4EA" w14:textId="77777777" w:rsidR="00A60D4B" w:rsidRPr="00EC74DB" w:rsidRDefault="00A60D4B" w:rsidP="00A60D4B">
            <w:pPr>
              <w:pStyle w:val="Btablefigureunbold"/>
            </w:pPr>
            <w:r w:rsidRPr="00E8718C">
              <w:t>4,500</w:t>
            </w:r>
          </w:p>
        </w:tc>
        <w:tc>
          <w:tcPr>
            <w:tcW w:w="1162" w:type="dxa"/>
            <w:tcBorders>
              <w:top w:val="nil"/>
              <w:bottom w:val="nil"/>
            </w:tcBorders>
            <w:shd w:val="clear" w:color="auto" w:fill="auto"/>
            <w:tcMar>
              <w:left w:w="108" w:type="dxa"/>
            </w:tcMar>
          </w:tcPr>
          <w:p w14:paraId="368C666C" w14:textId="77777777" w:rsidR="00A60D4B" w:rsidRPr="00EC74DB" w:rsidRDefault="00A60D4B" w:rsidP="00A60D4B">
            <w:pPr>
              <w:pStyle w:val="Btablefigureunbold"/>
            </w:pPr>
            <w:r w:rsidRPr="00E8718C">
              <w:t>4,000</w:t>
            </w:r>
          </w:p>
        </w:tc>
        <w:tc>
          <w:tcPr>
            <w:tcW w:w="1162" w:type="dxa"/>
            <w:tcBorders>
              <w:top w:val="nil"/>
              <w:bottom w:val="nil"/>
            </w:tcBorders>
            <w:shd w:val="clear" w:color="472D8C" w:fill="auto"/>
            <w:tcMar>
              <w:left w:w="108" w:type="dxa"/>
            </w:tcMar>
          </w:tcPr>
          <w:p w14:paraId="434206AA" w14:textId="77777777" w:rsidR="00A60D4B" w:rsidRPr="00111524" w:rsidRDefault="00A60D4B" w:rsidP="00A60D4B">
            <w:pPr>
              <w:pStyle w:val="Btablefigureunbold"/>
            </w:pPr>
            <w:r w:rsidRPr="00E8718C">
              <w:t>1,000</w:t>
            </w:r>
          </w:p>
        </w:tc>
        <w:tc>
          <w:tcPr>
            <w:tcW w:w="1162" w:type="dxa"/>
            <w:tcBorders>
              <w:top w:val="nil"/>
              <w:bottom w:val="nil"/>
            </w:tcBorders>
            <w:shd w:val="clear" w:color="auto" w:fill="auto"/>
            <w:tcMar>
              <w:left w:w="108" w:type="dxa"/>
            </w:tcMar>
          </w:tcPr>
          <w:p w14:paraId="570681E5" w14:textId="77777777" w:rsidR="00A60D4B" w:rsidRPr="00EC74DB" w:rsidRDefault="00A60D4B" w:rsidP="00A60D4B">
            <w:pPr>
              <w:pStyle w:val="Btablefigureunbold"/>
            </w:pPr>
            <w:r w:rsidRPr="00E8718C">
              <w:t>1,000</w:t>
            </w:r>
          </w:p>
        </w:tc>
        <w:tc>
          <w:tcPr>
            <w:tcW w:w="1163" w:type="dxa"/>
            <w:tcBorders>
              <w:top w:val="nil"/>
              <w:bottom w:val="nil"/>
            </w:tcBorders>
            <w:tcMar>
              <w:left w:w="108" w:type="dxa"/>
            </w:tcMar>
          </w:tcPr>
          <w:p w14:paraId="2FB21BBD" w14:textId="77777777" w:rsidR="00A60D4B" w:rsidRPr="00167696" w:rsidRDefault="00A60D4B" w:rsidP="00A60D4B">
            <w:pPr>
              <w:pStyle w:val="Btablefigureunbold"/>
            </w:pPr>
            <w:r w:rsidRPr="00167696">
              <w:t>~</w:t>
            </w:r>
          </w:p>
        </w:tc>
      </w:tr>
      <w:tr w:rsidR="00A60D4B" w:rsidRPr="00337DC9" w14:paraId="6E00A65B" w14:textId="77777777" w:rsidTr="00A60D4B">
        <w:trPr>
          <w:cantSplit/>
          <w:trHeight w:val="270"/>
        </w:trPr>
        <w:tc>
          <w:tcPr>
            <w:tcW w:w="3261" w:type="dxa"/>
            <w:tcBorders>
              <w:top w:val="nil"/>
              <w:bottom w:val="nil"/>
            </w:tcBorders>
          </w:tcPr>
          <w:p w14:paraId="28D98C67" w14:textId="77777777" w:rsidR="00A60D4B" w:rsidRDefault="00A60D4B" w:rsidP="00A60D4B">
            <w:pPr>
              <w:pStyle w:val="Btabletextunbold"/>
            </w:pPr>
            <w:r w:rsidRPr="008A09CD">
              <w:t>Regional fund for wildlife and habitat bushfire recovery</w:t>
            </w:r>
          </w:p>
        </w:tc>
        <w:tc>
          <w:tcPr>
            <w:tcW w:w="1162" w:type="dxa"/>
            <w:tcBorders>
              <w:top w:val="nil"/>
              <w:bottom w:val="nil"/>
            </w:tcBorders>
            <w:tcMar>
              <w:left w:w="108" w:type="dxa"/>
            </w:tcMar>
          </w:tcPr>
          <w:p w14:paraId="3CEC0916" w14:textId="77777777" w:rsidR="00A60D4B" w:rsidRPr="00EC74DB" w:rsidRDefault="00A60D4B" w:rsidP="00A60D4B">
            <w:pPr>
              <w:pStyle w:val="Btablefigureunbold"/>
            </w:pPr>
            <w:r>
              <w:t>0</w:t>
            </w:r>
          </w:p>
        </w:tc>
        <w:tc>
          <w:tcPr>
            <w:tcW w:w="1162" w:type="dxa"/>
            <w:tcBorders>
              <w:top w:val="nil"/>
              <w:bottom w:val="nil"/>
            </w:tcBorders>
            <w:shd w:val="clear" w:color="auto" w:fill="auto"/>
            <w:tcMar>
              <w:left w:w="108" w:type="dxa"/>
            </w:tcMar>
          </w:tcPr>
          <w:p w14:paraId="46255746" w14:textId="77777777" w:rsidR="00A60D4B" w:rsidRPr="007B017B" w:rsidRDefault="00A60D4B" w:rsidP="00A60D4B">
            <w:pPr>
              <w:pStyle w:val="Btablefigureunbold"/>
            </w:pPr>
            <w:r w:rsidRPr="007B017B">
              <w:t>~</w:t>
            </w:r>
          </w:p>
        </w:tc>
        <w:tc>
          <w:tcPr>
            <w:tcW w:w="1162" w:type="dxa"/>
            <w:tcBorders>
              <w:top w:val="nil"/>
              <w:bottom w:val="nil"/>
            </w:tcBorders>
            <w:shd w:val="clear" w:color="472D8C" w:fill="auto"/>
            <w:tcMar>
              <w:left w:w="108" w:type="dxa"/>
            </w:tcMar>
          </w:tcPr>
          <w:p w14:paraId="219200CF" w14:textId="77777777" w:rsidR="00A60D4B" w:rsidRPr="007B017B" w:rsidRDefault="00A60D4B" w:rsidP="00A60D4B">
            <w:pPr>
              <w:pStyle w:val="Btablefigureunbold"/>
            </w:pPr>
            <w:r w:rsidRPr="007B017B">
              <w:t>0</w:t>
            </w:r>
          </w:p>
        </w:tc>
        <w:tc>
          <w:tcPr>
            <w:tcW w:w="1162" w:type="dxa"/>
            <w:tcBorders>
              <w:top w:val="nil"/>
              <w:bottom w:val="nil"/>
            </w:tcBorders>
            <w:shd w:val="clear" w:color="auto" w:fill="auto"/>
            <w:tcMar>
              <w:left w:w="108" w:type="dxa"/>
            </w:tcMar>
          </w:tcPr>
          <w:p w14:paraId="7935B9A5"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1D1FF4D7" w14:textId="77777777" w:rsidR="00A60D4B" w:rsidRPr="00EC74DB" w:rsidRDefault="00A60D4B" w:rsidP="00A60D4B">
            <w:pPr>
              <w:pStyle w:val="Btablefigureunbold"/>
            </w:pPr>
            <w:r>
              <w:t>0</w:t>
            </w:r>
          </w:p>
        </w:tc>
      </w:tr>
      <w:tr w:rsidR="00A60D4B" w:rsidRPr="00337DC9" w14:paraId="6734CE10" w14:textId="77777777" w:rsidTr="00A60D4B">
        <w:trPr>
          <w:cantSplit/>
          <w:trHeight w:val="270"/>
        </w:trPr>
        <w:tc>
          <w:tcPr>
            <w:tcW w:w="3261" w:type="dxa"/>
            <w:tcBorders>
              <w:top w:val="nil"/>
              <w:bottom w:val="nil"/>
            </w:tcBorders>
          </w:tcPr>
          <w:p w14:paraId="29FAF17D" w14:textId="77777777" w:rsidR="00A60D4B" w:rsidRPr="00E20F75" w:rsidRDefault="00A60D4B" w:rsidP="00A60D4B">
            <w:pPr>
              <w:pStyle w:val="Btabletextunbold"/>
            </w:pPr>
            <w:r w:rsidRPr="00E20F75">
              <w:t>Sustainable rural water use and infrastructure program</w:t>
            </w:r>
            <w:r>
              <w:rPr>
                <w:vertAlign w:val="superscript"/>
              </w:rPr>
              <w:t>9</w:t>
            </w:r>
          </w:p>
        </w:tc>
        <w:tc>
          <w:tcPr>
            <w:tcW w:w="1162" w:type="dxa"/>
            <w:tcBorders>
              <w:top w:val="nil"/>
              <w:bottom w:val="nil"/>
            </w:tcBorders>
            <w:tcMar>
              <w:left w:w="108" w:type="dxa"/>
            </w:tcMar>
          </w:tcPr>
          <w:p w14:paraId="1B0F08C7" w14:textId="77777777" w:rsidR="00A60D4B" w:rsidRPr="00EC74DB" w:rsidRDefault="00A60D4B" w:rsidP="00A60D4B">
            <w:pPr>
              <w:pStyle w:val="Btablefigureunbold"/>
            </w:pPr>
            <w:r w:rsidRPr="00D95950">
              <w:t>300</w:t>
            </w:r>
          </w:p>
        </w:tc>
        <w:tc>
          <w:tcPr>
            <w:tcW w:w="1162" w:type="dxa"/>
            <w:tcBorders>
              <w:top w:val="nil"/>
              <w:bottom w:val="nil"/>
            </w:tcBorders>
            <w:shd w:val="clear" w:color="auto" w:fill="auto"/>
            <w:tcMar>
              <w:left w:w="108" w:type="dxa"/>
            </w:tcMar>
          </w:tcPr>
          <w:p w14:paraId="2AD06EE5" w14:textId="77777777" w:rsidR="00A60D4B" w:rsidRPr="00EC74DB" w:rsidRDefault="00A60D4B" w:rsidP="00A60D4B">
            <w:pPr>
              <w:pStyle w:val="Btablefigureunbold"/>
            </w:pPr>
            <w:r w:rsidRPr="00D95950">
              <w:t>4,369</w:t>
            </w:r>
          </w:p>
        </w:tc>
        <w:tc>
          <w:tcPr>
            <w:tcW w:w="1162" w:type="dxa"/>
            <w:tcBorders>
              <w:top w:val="nil"/>
              <w:bottom w:val="nil"/>
            </w:tcBorders>
            <w:shd w:val="clear" w:color="472D8C" w:fill="auto"/>
            <w:tcMar>
              <w:left w:w="108" w:type="dxa"/>
            </w:tcMar>
          </w:tcPr>
          <w:p w14:paraId="193B0E4D" w14:textId="77777777" w:rsidR="00A60D4B" w:rsidRPr="00111524" w:rsidRDefault="00A60D4B" w:rsidP="00A60D4B">
            <w:pPr>
              <w:pStyle w:val="Btablefigureunbold"/>
            </w:pPr>
            <w:r w:rsidRPr="00D95950">
              <w:t>29,500</w:t>
            </w:r>
          </w:p>
        </w:tc>
        <w:tc>
          <w:tcPr>
            <w:tcW w:w="1162" w:type="dxa"/>
            <w:tcBorders>
              <w:top w:val="nil"/>
              <w:bottom w:val="nil"/>
            </w:tcBorders>
            <w:shd w:val="clear" w:color="auto" w:fill="auto"/>
            <w:tcMar>
              <w:left w:w="108" w:type="dxa"/>
            </w:tcMar>
          </w:tcPr>
          <w:p w14:paraId="09A061EA" w14:textId="77777777" w:rsidR="00A60D4B" w:rsidRPr="00EC74DB" w:rsidRDefault="00A60D4B" w:rsidP="00A60D4B">
            <w:pPr>
              <w:pStyle w:val="Btablefigureunbold"/>
            </w:pPr>
            <w:r w:rsidRPr="00D95950">
              <w:t>29,500</w:t>
            </w:r>
          </w:p>
        </w:tc>
        <w:tc>
          <w:tcPr>
            <w:tcW w:w="1163" w:type="dxa"/>
            <w:tcBorders>
              <w:top w:val="nil"/>
              <w:bottom w:val="nil"/>
            </w:tcBorders>
            <w:tcMar>
              <w:left w:w="108" w:type="dxa"/>
            </w:tcMar>
          </w:tcPr>
          <w:p w14:paraId="68D8FB7D" w14:textId="77777777" w:rsidR="00A60D4B" w:rsidRPr="00EC74DB" w:rsidRDefault="00A60D4B" w:rsidP="00A60D4B">
            <w:pPr>
              <w:pStyle w:val="Btablefigureunbold"/>
            </w:pPr>
            <w:r>
              <w:t>0</w:t>
            </w:r>
          </w:p>
        </w:tc>
      </w:tr>
      <w:tr w:rsidR="00A60D4B" w:rsidRPr="00337DC9" w14:paraId="6625D3C8" w14:textId="77777777" w:rsidTr="00A60D4B">
        <w:trPr>
          <w:cantSplit/>
          <w:trHeight w:val="270"/>
        </w:trPr>
        <w:tc>
          <w:tcPr>
            <w:tcW w:w="3261" w:type="dxa"/>
            <w:tcBorders>
              <w:top w:val="nil"/>
              <w:bottom w:val="nil"/>
            </w:tcBorders>
          </w:tcPr>
          <w:p w14:paraId="6FD22BFA" w14:textId="77777777" w:rsidR="00A60D4B" w:rsidRPr="00E8105A" w:rsidRDefault="00A60D4B" w:rsidP="00A60D4B">
            <w:pPr>
              <w:pStyle w:val="Btabletextbold"/>
              <w:keepNext/>
            </w:pPr>
            <w:r w:rsidRPr="00E8105A">
              <w:t>Future Drought Fund</w:t>
            </w:r>
          </w:p>
        </w:tc>
        <w:tc>
          <w:tcPr>
            <w:tcW w:w="1162" w:type="dxa"/>
            <w:tcBorders>
              <w:top w:val="nil"/>
              <w:bottom w:val="nil"/>
            </w:tcBorders>
            <w:tcMar>
              <w:left w:w="108" w:type="dxa"/>
            </w:tcMar>
          </w:tcPr>
          <w:p w14:paraId="6CEE12CC" w14:textId="77777777" w:rsidR="00A60D4B" w:rsidRPr="00EC74DB" w:rsidRDefault="00A60D4B" w:rsidP="00A60D4B">
            <w:pPr>
              <w:pStyle w:val="Btablefigureunbold"/>
            </w:pPr>
          </w:p>
        </w:tc>
        <w:tc>
          <w:tcPr>
            <w:tcW w:w="1162" w:type="dxa"/>
            <w:tcBorders>
              <w:top w:val="nil"/>
              <w:bottom w:val="nil"/>
            </w:tcBorders>
            <w:shd w:val="clear" w:color="auto" w:fill="auto"/>
            <w:tcMar>
              <w:left w:w="108" w:type="dxa"/>
            </w:tcMar>
          </w:tcPr>
          <w:p w14:paraId="04541B6B" w14:textId="77777777" w:rsidR="00A60D4B" w:rsidRPr="00EC74DB" w:rsidRDefault="00A60D4B" w:rsidP="00A60D4B">
            <w:pPr>
              <w:pStyle w:val="Btablefigureunbold"/>
            </w:pPr>
          </w:p>
        </w:tc>
        <w:tc>
          <w:tcPr>
            <w:tcW w:w="1162" w:type="dxa"/>
            <w:tcBorders>
              <w:top w:val="nil"/>
              <w:bottom w:val="nil"/>
            </w:tcBorders>
            <w:shd w:val="clear" w:color="472D8C" w:fill="auto"/>
            <w:tcMar>
              <w:left w:w="108" w:type="dxa"/>
            </w:tcMar>
          </w:tcPr>
          <w:p w14:paraId="29AC7C5D" w14:textId="77777777" w:rsidR="00A60D4B" w:rsidRPr="00111524" w:rsidRDefault="00A60D4B" w:rsidP="00A60D4B">
            <w:pPr>
              <w:pStyle w:val="Btablefigureunbold"/>
            </w:pPr>
          </w:p>
        </w:tc>
        <w:tc>
          <w:tcPr>
            <w:tcW w:w="1162" w:type="dxa"/>
            <w:tcBorders>
              <w:top w:val="nil"/>
              <w:bottom w:val="nil"/>
            </w:tcBorders>
            <w:shd w:val="clear" w:color="auto" w:fill="auto"/>
            <w:tcMar>
              <w:left w:w="108" w:type="dxa"/>
            </w:tcMar>
          </w:tcPr>
          <w:p w14:paraId="592BC0DE" w14:textId="77777777" w:rsidR="00A60D4B" w:rsidRPr="00EC74DB" w:rsidRDefault="00A60D4B" w:rsidP="00A60D4B">
            <w:pPr>
              <w:pStyle w:val="Btablefigureunbold"/>
            </w:pPr>
          </w:p>
        </w:tc>
        <w:tc>
          <w:tcPr>
            <w:tcW w:w="1163" w:type="dxa"/>
            <w:tcBorders>
              <w:top w:val="nil"/>
              <w:bottom w:val="nil"/>
            </w:tcBorders>
            <w:tcMar>
              <w:left w:w="108" w:type="dxa"/>
            </w:tcMar>
          </w:tcPr>
          <w:p w14:paraId="7E92F09E" w14:textId="77777777" w:rsidR="00A60D4B" w:rsidRDefault="00A60D4B" w:rsidP="00A60D4B">
            <w:pPr>
              <w:pStyle w:val="Btablefigureunbold"/>
            </w:pPr>
          </w:p>
        </w:tc>
      </w:tr>
      <w:tr w:rsidR="00A60D4B" w:rsidRPr="00337DC9" w14:paraId="7868641C" w14:textId="77777777" w:rsidTr="00A60D4B">
        <w:trPr>
          <w:cantSplit/>
          <w:trHeight w:val="270"/>
        </w:trPr>
        <w:tc>
          <w:tcPr>
            <w:tcW w:w="3261" w:type="dxa"/>
            <w:tcBorders>
              <w:top w:val="nil"/>
              <w:bottom w:val="nil"/>
            </w:tcBorders>
          </w:tcPr>
          <w:p w14:paraId="543A9F8F" w14:textId="77777777" w:rsidR="00A60D4B" w:rsidRPr="00E8105A" w:rsidRDefault="00A60D4B" w:rsidP="00A60D4B">
            <w:pPr>
              <w:pStyle w:val="Btabletextunbold"/>
            </w:pPr>
            <w:r w:rsidRPr="00E8105A">
              <w:t>Farm business resilience</w:t>
            </w:r>
          </w:p>
        </w:tc>
        <w:tc>
          <w:tcPr>
            <w:tcW w:w="1162" w:type="dxa"/>
            <w:tcBorders>
              <w:top w:val="nil"/>
              <w:bottom w:val="nil"/>
            </w:tcBorders>
            <w:tcMar>
              <w:left w:w="108" w:type="dxa"/>
            </w:tcMar>
          </w:tcPr>
          <w:p w14:paraId="68080D1C" w14:textId="77777777" w:rsidR="00A60D4B" w:rsidRPr="00EC74DB" w:rsidRDefault="00A60D4B" w:rsidP="00A60D4B">
            <w:pPr>
              <w:pStyle w:val="Btablefigureunbold"/>
            </w:pPr>
            <w:r w:rsidRPr="00167696">
              <w:t>150</w:t>
            </w:r>
          </w:p>
        </w:tc>
        <w:tc>
          <w:tcPr>
            <w:tcW w:w="1162" w:type="dxa"/>
            <w:tcBorders>
              <w:top w:val="nil"/>
              <w:bottom w:val="nil"/>
            </w:tcBorders>
            <w:shd w:val="clear" w:color="auto" w:fill="auto"/>
            <w:tcMar>
              <w:left w:w="108" w:type="dxa"/>
            </w:tcMar>
          </w:tcPr>
          <w:p w14:paraId="17EBD50C" w14:textId="77777777" w:rsidR="00A60D4B" w:rsidRPr="00167696" w:rsidRDefault="00A60D4B" w:rsidP="00A60D4B">
            <w:pPr>
              <w:pStyle w:val="Btablefigureunbold"/>
            </w:pPr>
            <w:r w:rsidRPr="00167696">
              <w:t>~</w:t>
            </w:r>
          </w:p>
        </w:tc>
        <w:tc>
          <w:tcPr>
            <w:tcW w:w="1162" w:type="dxa"/>
            <w:tcBorders>
              <w:top w:val="nil"/>
              <w:bottom w:val="nil"/>
            </w:tcBorders>
            <w:shd w:val="clear" w:color="472D8C" w:fill="auto"/>
            <w:tcMar>
              <w:left w:w="108" w:type="dxa"/>
            </w:tcMar>
          </w:tcPr>
          <w:p w14:paraId="4D58FA16" w14:textId="77777777" w:rsidR="00A60D4B" w:rsidRPr="00167696" w:rsidRDefault="00A60D4B" w:rsidP="00A60D4B">
            <w:pPr>
              <w:pStyle w:val="Btablefigureunbold"/>
            </w:pPr>
            <w:r w:rsidRPr="00167696">
              <w:t>~</w:t>
            </w:r>
          </w:p>
        </w:tc>
        <w:tc>
          <w:tcPr>
            <w:tcW w:w="1162" w:type="dxa"/>
            <w:tcBorders>
              <w:top w:val="nil"/>
              <w:bottom w:val="nil"/>
            </w:tcBorders>
            <w:shd w:val="clear" w:color="auto" w:fill="auto"/>
            <w:tcMar>
              <w:left w:w="108" w:type="dxa"/>
            </w:tcMar>
          </w:tcPr>
          <w:p w14:paraId="697EF7D4" w14:textId="77777777" w:rsidR="00A60D4B" w:rsidRPr="00167696" w:rsidRDefault="00A60D4B" w:rsidP="00A60D4B">
            <w:pPr>
              <w:pStyle w:val="Btablefigureunbold"/>
            </w:pPr>
            <w:r w:rsidRPr="00167696">
              <w:t>~</w:t>
            </w:r>
          </w:p>
        </w:tc>
        <w:tc>
          <w:tcPr>
            <w:tcW w:w="1163" w:type="dxa"/>
            <w:tcBorders>
              <w:top w:val="nil"/>
              <w:bottom w:val="nil"/>
            </w:tcBorders>
            <w:tcMar>
              <w:left w:w="108" w:type="dxa"/>
            </w:tcMar>
          </w:tcPr>
          <w:p w14:paraId="46F6780D" w14:textId="77777777" w:rsidR="00A60D4B" w:rsidRDefault="00A60D4B" w:rsidP="00A60D4B">
            <w:pPr>
              <w:pStyle w:val="Btablefigureunbold"/>
            </w:pPr>
            <w:r>
              <w:t>0</w:t>
            </w:r>
          </w:p>
        </w:tc>
      </w:tr>
      <w:tr w:rsidR="00A60D4B" w:rsidRPr="00337DC9" w14:paraId="072ACFAF" w14:textId="77777777" w:rsidTr="00A60D4B">
        <w:trPr>
          <w:cantSplit/>
          <w:trHeight w:val="270"/>
        </w:trPr>
        <w:tc>
          <w:tcPr>
            <w:tcW w:w="3261" w:type="dxa"/>
            <w:tcBorders>
              <w:top w:val="nil"/>
              <w:bottom w:val="nil"/>
            </w:tcBorders>
          </w:tcPr>
          <w:p w14:paraId="57D57AC2" w14:textId="77777777" w:rsidR="00A60D4B" w:rsidRPr="00E8105A" w:rsidRDefault="00A60D4B" w:rsidP="00A60D4B">
            <w:pPr>
              <w:pStyle w:val="Btabletextunbold"/>
            </w:pPr>
            <w:r w:rsidRPr="00E8105A">
              <w:t>Regional drought resilience planning</w:t>
            </w:r>
          </w:p>
        </w:tc>
        <w:tc>
          <w:tcPr>
            <w:tcW w:w="1162" w:type="dxa"/>
            <w:tcBorders>
              <w:top w:val="nil"/>
              <w:bottom w:val="nil"/>
            </w:tcBorders>
            <w:tcMar>
              <w:left w:w="108" w:type="dxa"/>
            </w:tcMar>
          </w:tcPr>
          <w:p w14:paraId="33D35698" w14:textId="77777777" w:rsidR="00A60D4B" w:rsidRPr="00EC74DB" w:rsidRDefault="00A60D4B" w:rsidP="00A60D4B">
            <w:pPr>
              <w:pStyle w:val="Btablefigureunbold"/>
            </w:pPr>
            <w:r w:rsidRPr="00167696">
              <w:t>310</w:t>
            </w:r>
          </w:p>
        </w:tc>
        <w:tc>
          <w:tcPr>
            <w:tcW w:w="1162" w:type="dxa"/>
            <w:tcBorders>
              <w:top w:val="nil"/>
              <w:bottom w:val="nil"/>
            </w:tcBorders>
            <w:shd w:val="clear" w:color="auto" w:fill="auto"/>
            <w:tcMar>
              <w:left w:w="108" w:type="dxa"/>
            </w:tcMar>
          </w:tcPr>
          <w:p w14:paraId="4DADD132" w14:textId="77777777" w:rsidR="00A60D4B" w:rsidRPr="00167696" w:rsidRDefault="00A60D4B" w:rsidP="00A60D4B">
            <w:pPr>
              <w:pStyle w:val="Btablefigureunbold"/>
            </w:pPr>
            <w:r w:rsidRPr="00167696">
              <w:t>~</w:t>
            </w:r>
          </w:p>
        </w:tc>
        <w:tc>
          <w:tcPr>
            <w:tcW w:w="1162" w:type="dxa"/>
            <w:tcBorders>
              <w:top w:val="nil"/>
              <w:bottom w:val="nil"/>
            </w:tcBorders>
            <w:shd w:val="clear" w:color="472D8C" w:fill="auto"/>
            <w:tcMar>
              <w:left w:w="108" w:type="dxa"/>
            </w:tcMar>
          </w:tcPr>
          <w:p w14:paraId="203F4C0C" w14:textId="77777777" w:rsidR="00A60D4B" w:rsidRPr="00167696" w:rsidRDefault="00A60D4B" w:rsidP="00A60D4B">
            <w:pPr>
              <w:pStyle w:val="Btablefigureunbold"/>
            </w:pPr>
            <w:r w:rsidRPr="00167696">
              <w:t>~</w:t>
            </w:r>
          </w:p>
        </w:tc>
        <w:tc>
          <w:tcPr>
            <w:tcW w:w="1162" w:type="dxa"/>
            <w:tcBorders>
              <w:top w:val="nil"/>
              <w:bottom w:val="nil"/>
            </w:tcBorders>
            <w:shd w:val="clear" w:color="auto" w:fill="auto"/>
            <w:tcMar>
              <w:left w:w="108" w:type="dxa"/>
            </w:tcMar>
          </w:tcPr>
          <w:p w14:paraId="37553CE1" w14:textId="77777777" w:rsidR="00A60D4B" w:rsidRPr="00167696" w:rsidRDefault="00A60D4B" w:rsidP="00A60D4B">
            <w:pPr>
              <w:pStyle w:val="Btablefigureunbold"/>
            </w:pPr>
            <w:r w:rsidRPr="00167696">
              <w:t>~</w:t>
            </w:r>
          </w:p>
        </w:tc>
        <w:tc>
          <w:tcPr>
            <w:tcW w:w="1163" w:type="dxa"/>
            <w:tcBorders>
              <w:top w:val="nil"/>
              <w:bottom w:val="nil"/>
            </w:tcBorders>
            <w:tcMar>
              <w:left w:w="108" w:type="dxa"/>
            </w:tcMar>
          </w:tcPr>
          <w:p w14:paraId="5C0D5961" w14:textId="77777777" w:rsidR="00A60D4B" w:rsidRDefault="00A60D4B" w:rsidP="00A60D4B">
            <w:pPr>
              <w:pStyle w:val="Btablefigureunbold"/>
            </w:pPr>
            <w:r>
              <w:t>0</w:t>
            </w:r>
          </w:p>
        </w:tc>
      </w:tr>
      <w:tr w:rsidR="00A60D4B" w:rsidRPr="00337DC9" w14:paraId="3CD58A07" w14:textId="77777777" w:rsidTr="00A60D4B">
        <w:trPr>
          <w:cantSplit/>
          <w:trHeight w:val="270"/>
        </w:trPr>
        <w:tc>
          <w:tcPr>
            <w:tcW w:w="3261" w:type="dxa"/>
            <w:tcBorders>
              <w:top w:val="nil"/>
              <w:bottom w:val="nil"/>
            </w:tcBorders>
          </w:tcPr>
          <w:p w14:paraId="106E2034" w14:textId="77777777" w:rsidR="00A60D4B" w:rsidRPr="00E8105A" w:rsidRDefault="00A60D4B" w:rsidP="00A60D4B">
            <w:pPr>
              <w:pStyle w:val="Btabletextbold"/>
              <w:keepNext/>
            </w:pPr>
            <w:r w:rsidRPr="00E8105A">
              <w:t>Water for the Environment Special Account</w:t>
            </w:r>
          </w:p>
        </w:tc>
        <w:tc>
          <w:tcPr>
            <w:tcW w:w="1162" w:type="dxa"/>
            <w:tcBorders>
              <w:top w:val="nil"/>
              <w:bottom w:val="nil"/>
            </w:tcBorders>
            <w:tcMar>
              <w:left w:w="108" w:type="dxa"/>
            </w:tcMar>
          </w:tcPr>
          <w:p w14:paraId="6BD62422" w14:textId="77777777" w:rsidR="00A60D4B" w:rsidRPr="00EC74DB" w:rsidRDefault="00A60D4B" w:rsidP="00A60D4B">
            <w:pPr>
              <w:pStyle w:val="Btablefigureunbold"/>
            </w:pPr>
          </w:p>
        </w:tc>
        <w:tc>
          <w:tcPr>
            <w:tcW w:w="1162" w:type="dxa"/>
            <w:tcBorders>
              <w:top w:val="nil"/>
              <w:bottom w:val="nil"/>
            </w:tcBorders>
            <w:shd w:val="clear" w:color="auto" w:fill="auto"/>
            <w:tcMar>
              <w:left w:w="108" w:type="dxa"/>
            </w:tcMar>
          </w:tcPr>
          <w:p w14:paraId="113523DE" w14:textId="77777777" w:rsidR="00A60D4B" w:rsidRPr="00EC74DB" w:rsidRDefault="00A60D4B" w:rsidP="00A60D4B">
            <w:pPr>
              <w:pStyle w:val="Btablefigureunbold"/>
            </w:pPr>
          </w:p>
        </w:tc>
        <w:tc>
          <w:tcPr>
            <w:tcW w:w="1162" w:type="dxa"/>
            <w:tcBorders>
              <w:top w:val="nil"/>
              <w:bottom w:val="nil"/>
            </w:tcBorders>
            <w:shd w:val="clear" w:color="472D8C" w:fill="auto"/>
            <w:tcMar>
              <w:left w:w="108" w:type="dxa"/>
            </w:tcMar>
          </w:tcPr>
          <w:p w14:paraId="3EADA456" w14:textId="77777777" w:rsidR="00A60D4B" w:rsidRPr="00111524" w:rsidRDefault="00A60D4B" w:rsidP="00A60D4B">
            <w:pPr>
              <w:pStyle w:val="Btablefigureunbold"/>
            </w:pPr>
          </w:p>
        </w:tc>
        <w:tc>
          <w:tcPr>
            <w:tcW w:w="1162" w:type="dxa"/>
            <w:tcBorders>
              <w:top w:val="nil"/>
              <w:bottom w:val="nil"/>
            </w:tcBorders>
            <w:shd w:val="clear" w:color="auto" w:fill="auto"/>
            <w:tcMar>
              <w:left w:w="108" w:type="dxa"/>
            </w:tcMar>
          </w:tcPr>
          <w:p w14:paraId="268642EC" w14:textId="77777777" w:rsidR="00A60D4B" w:rsidRPr="00EC74DB" w:rsidRDefault="00A60D4B" w:rsidP="00A60D4B">
            <w:pPr>
              <w:pStyle w:val="Btablefigureunbold"/>
            </w:pPr>
          </w:p>
        </w:tc>
        <w:tc>
          <w:tcPr>
            <w:tcW w:w="1163" w:type="dxa"/>
            <w:tcBorders>
              <w:top w:val="nil"/>
              <w:bottom w:val="nil"/>
            </w:tcBorders>
            <w:tcMar>
              <w:left w:w="108" w:type="dxa"/>
            </w:tcMar>
          </w:tcPr>
          <w:p w14:paraId="07C21CBF" w14:textId="77777777" w:rsidR="00A60D4B" w:rsidRPr="00EC74DB" w:rsidRDefault="00A60D4B" w:rsidP="00A60D4B">
            <w:pPr>
              <w:pStyle w:val="Btablefigureunbold"/>
            </w:pPr>
          </w:p>
        </w:tc>
      </w:tr>
      <w:tr w:rsidR="00A60D4B" w:rsidRPr="00337DC9" w14:paraId="3D396E3A" w14:textId="77777777" w:rsidTr="00A60D4B">
        <w:trPr>
          <w:cantSplit/>
          <w:trHeight w:val="270"/>
        </w:trPr>
        <w:tc>
          <w:tcPr>
            <w:tcW w:w="3261" w:type="dxa"/>
            <w:tcBorders>
              <w:top w:val="nil"/>
              <w:bottom w:val="nil"/>
            </w:tcBorders>
          </w:tcPr>
          <w:p w14:paraId="671D02AF" w14:textId="77777777" w:rsidR="00A60D4B" w:rsidRPr="00E8105A" w:rsidRDefault="00A60D4B" w:rsidP="00A60D4B">
            <w:pPr>
              <w:pStyle w:val="Btabletextunbold"/>
            </w:pPr>
            <w:r w:rsidRPr="00E8105A">
              <w:t>On-farm Efficiency Program</w:t>
            </w:r>
          </w:p>
        </w:tc>
        <w:tc>
          <w:tcPr>
            <w:tcW w:w="1162" w:type="dxa"/>
            <w:tcBorders>
              <w:top w:val="nil"/>
              <w:bottom w:val="nil"/>
            </w:tcBorders>
            <w:tcMar>
              <w:left w:w="108" w:type="dxa"/>
            </w:tcMar>
          </w:tcPr>
          <w:p w14:paraId="5EFCF31A" w14:textId="77777777" w:rsidR="00A60D4B" w:rsidRPr="00167696" w:rsidRDefault="00A60D4B" w:rsidP="00A60D4B">
            <w:pPr>
              <w:pStyle w:val="Btablefigureunbold"/>
            </w:pPr>
            <w:r w:rsidRPr="00167696">
              <w:t>0</w:t>
            </w:r>
          </w:p>
        </w:tc>
        <w:tc>
          <w:tcPr>
            <w:tcW w:w="1162" w:type="dxa"/>
            <w:tcBorders>
              <w:top w:val="nil"/>
              <w:bottom w:val="nil"/>
            </w:tcBorders>
            <w:shd w:val="clear" w:color="auto" w:fill="auto"/>
            <w:tcMar>
              <w:left w:w="108" w:type="dxa"/>
            </w:tcMar>
          </w:tcPr>
          <w:p w14:paraId="29070C21" w14:textId="77777777" w:rsidR="00A60D4B" w:rsidRPr="00167696" w:rsidRDefault="00A60D4B" w:rsidP="00A60D4B">
            <w:pPr>
              <w:pStyle w:val="Btablefigureunbold"/>
            </w:pPr>
            <w:r w:rsidRPr="00167696">
              <w:t>~</w:t>
            </w:r>
          </w:p>
        </w:tc>
        <w:tc>
          <w:tcPr>
            <w:tcW w:w="1162" w:type="dxa"/>
            <w:tcBorders>
              <w:top w:val="nil"/>
              <w:bottom w:val="nil"/>
            </w:tcBorders>
            <w:shd w:val="clear" w:color="472D8C" w:fill="auto"/>
            <w:tcMar>
              <w:left w:w="108" w:type="dxa"/>
            </w:tcMar>
          </w:tcPr>
          <w:p w14:paraId="0E69261B" w14:textId="77777777" w:rsidR="00A60D4B" w:rsidRPr="00167696" w:rsidRDefault="00A60D4B" w:rsidP="00A60D4B">
            <w:pPr>
              <w:pStyle w:val="Btablefigureunbold"/>
            </w:pPr>
            <w:r w:rsidRPr="00167696">
              <w:t>~</w:t>
            </w:r>
          </w:p>
        </w:tc>
        <w:tc>
          <w:tcPr>
            <w:tcW w:w="1162" w:type="dxa"/>
            <w:tcBorders>
              <w:top w:val="nil"/>
              <w:bottom w:val="nil"/>
            </w:tcBorders>
            <w:shd w:val="clear" w:color="auto" w:fill="auto"/>
            <w:tcMar>
              <w:left w:w="108" w:type="dxa"/>
            </w:tcMar>
          </w:tcPr>
          <w:p w14:paraId="72E7A4A9" w14:textId="77777777" w:rsidR="00A60D4B" w:rsidRPr="00167696" w:rsidRDefault="00A60D4B" w:rsidP="00A60D4B">
            <w:pPr>
              <w:pStyle w:val="Btablefigureunbold"/>
            </w:pPr>
            <w:r w:rsidRPr="00167696">
              <w:t>~</w:t>
            </w:r>
          </w:p>
        </w:tc>
        <w:tc>
          <w:tcPr>
            <w:tcW w:w="1163" w:type="dxa"/>
            <w:tcBorders>
              <w:top w:val="nil"/>
              <w:bottom w:val="nil"/>
            </w:tcBorders>
            <w:tcMar>
              <w:left w:w="108" w:type="dxa"/>
            </w:tcMar>
          </w:tcPr>
          <w:p w14:paraId="3BA4D2D8" w14:textId="77777777" w:rsidR="00A60D4B" w:rsidRPr="00167696" w:rsidRDefault="00A60D4B" w:rsidP="00A60D4B">
            <w:pPr>
              <w:pStyle w:val="Btablefigureunbold"/>
            </w:pPr>
            <w:r w:rsidRPr="00167696">
              <w:t>~</w:t>
            </w:r>
          </w:p>
        </w:tc>
      </w:tr>
      <w:tr w:rsidR="00A60D4B" w:rsidRPr="00337DC9" w14:paraId="58F5377E" w14:textId="77777777" w:rsidTr="00A60D4B">
        <w:trPr>
          <w:cantSplit/>
          <w:trHeight w:val="270"/>
        </w:trPr>
        <w:tc>
          <w:tcPr>
            <w:tcW w:w="3261" w:type="dxa"/>
            <w:tcBorders>
              <w:top w:val="nil"/>
              <w:bottom w:val="single" w:sz="4" w:space="0" w:color="auto"/>
            </w:tcBorders>
          </w:tcPr>
          <w:p w14:paraId="5F468507" w14:textId="77777777" w:rsidR="00A60D4B" w:rsidRPr="00E8105A" w:rsidRDefault="00A60D4B" w:rsidP="00A60D4B">
            <w:pPr>
              <w:pStyle w:val="Btabletextunbold"/>
            </w:pPr>
            <w:r w:rsidRPr="00E8105A">
              <w:t>Water Efficiency Program</w:t>
            </w:r>
          </w:p>
        </w:tc>
        <w:tc>
          <w:tcPr>
            <w:tcW w:w="1162" w:type="dxa"/>
            <w:tcBorders>
              <w:top w:val="nil"/>
              <w:bottom w:val="single" w:sz="4" w:space="0" w:color="auto"/>
            </w:tcBorders>
            <w:tcMar>
              <w:left w:w="108" w:type="dxa"/>
            </w:tcMar>
          </w:tcPr>
          <w:p w14:paraId="2F6A5534" w14:textId="77777777" w:rsidR="00A60D4B" w:rsidRPr="00EC74DB" w:rsidRDefault="00A60D4B" w:rsidP="00A60D4B">
            <w:pPr>
              <w:pStyle w:val="Btablefigureunbold"/>
            </w:pPr>
            <w:r w:rsidRPr="00167696">
              <w:t>440</w:t>
            </w:r>
          </w:p>
        </w:tc>
        <w:tc>
          <w:tcPr>
            <w:tcW w:w="1162" w:type="dxa"/>
            <w:tcBorders>
              <w:top w:val="nil"/>
              <w:bottom w:val="single" w:sz="4" w:space="0" w:color="auto"/>
            </w:tcBorders>
            <w:shd w:val="clear" w:color="auto" w:fill="auto"/>
            <w:tcMar>
              <w:left w:w="108" w:type="dxa"/>
            </w:tcMar>
          </w:tcPr>
          <w:p w14:paraId="1D5388CE" w14:textId="77777777" w:rsidR="00A60D4B" w:rsidRPr="00EC74DB" w:rsidRDefault="00A60D4B" w:rsidP="00A60D4B">
            <w:pPr>
              <w:pStyle w:val="Btablefigureunbold"/>
            </w:pPr>
            <w:r>
              <w:t>0</w:t>
            </w:r>
          </w:p>
        </w:tc>
        <w:tc>
          <w:tcPr>
            <w:tcW w:w="1162" w:type="dxa"/>
            <w:tcBorders>
              <w:top w:val="nil"/>
              <w:bottom w:val="single" w:sz="4" w:space="0" w:color="auto"/>
            </w:tcBorders>
            <w:shd w:val="clear" w:color="472D8C" w:fill="auto"/>
            <w:tcMar>
              <w:left w:w="108" w:type="dxa"/>
            </w:tcMar>
          </w:tcPr>
          <w:p w14:paraId="28B4034E" w14:textId="77777777" w:rsidR="00A60D4B" w:rsidRPr="00111524" w:rsidRDefault="00A60D4B" w:rsidP="00A60D4B">
            <w:pPr>
              <w:pStyle w:val="Btablefigureunbold"/>
            </w:pPr>
            <w:r>
              <w:t>0</w:t>
            </w:r>
          </w:p>
        </w:tc>
        <w:tc>
          <w:tcPr>
            <w:tcW w:w="1162" w:type="dxa"/>
            <w:tcBorders>
              <w:top w:val="nil"/>
              <w:bottom w:val="single" w:sz="4" w:space="0" w:color="auto"/>
            </w:tcBorders>
            <w:shd w:val="clear" w:color="auto" w:fill="auto"/>
            <w:tcMar>
              <w:left w:w="108" w:type="dxa"/>
            </w:tcMar>
          </w:tcPr>
          <w:p w14:paraId="1CEF9138" w14:textId="77777777" w:rsidR="00A60D4B" w:rsidRPr="00EC74DB" w:rsidRDefault="00A60D4B" w:rsidP="00A60D4B">
            <w:pPr>
              <w:pStyle w:val="Btablefigureunbold"/>
            </w:pPr>
            <w:r>
              <w:t>0</w:t>
            </w:r>
          </w:p>
        </w:tc>
        <w:tc>
          <w:tcPr>
            <w:tcW w:w="1163" w:type="dxa"/>
            <w:tcBorders>
              <w:top w:val="nil"/>
              <w:bottom w:val="single" w:sz="4" w:space="0" w:color="auto"/>
            </w:tcBorders>
            <w:tcMar>
              <w:left w:w="108" w:type="dxa"/>
            </w:tcMar>
          </w:tcPr>
          <w:p w14:paraId="2DA2C891" w14:textId="77777777" w:rsidR="00A60D4B" w:rsidRPr="00EC74DB" w:rsidRDefault="00A60D4B" w:rsidP="00A60D4B">
            <w:pPr>
              <w:pStyle w:val="Btablefigureunbold"/>
            </w:pPr>
            <w:r>
              <w:t>0</w:t>
            </w:r>
          </w:p>
        </w:tc>
      </w:tr>
      <w:tr w:rsidR="00A60D4B" w:rsidRPr="00337DC9" w14:paraId="14A09E64" w14:textId="77777777" w:rsidTr="00A60D4B">
        <w:trPr>
          <w:cantSplit/>
          <w:trHeight w:val="270"/>
        </w:trPr>
        <w:tc>
          <w:tcPr>
            <w:tcW w:w="3261" w:type="dxa"/>
            <w:tcBorders>
              <w:top w:val="single" w:sz="4" w:space="0" w:color="auto"/>
              <w:bottom w:val="single" w:sz="4" w:space="0" w:color="auto"/>
            </w:tcBorders>
          </w:tcPr>
          <w:p w14:paraId="525ECE4A" w14:textId="77777777" w:rsidR="00A60D4B" w:rsidRDefault="00A60D4B" w:rsidP="00A60D4B">
            <w:pPr>
              <w:pStyle w:val="Btabletextbold"/>
            </w:pPr>
            <w:r>
              <w:t>Total Environment</w:t>
            </w:r>
          </w:p>
        </w:tc>
        <w:tc>
          <w:tcPr>
            <w:tcW w:w="1162" w:type="dxa"/>
            <w:tcBorders>
              <w:top w:val="single" w:sz="4" w:space="0" w:color="auto"/>
              <w:bottom w:val="single" w:sz="4" w:space="0" w:color="auto"/>
            </w:tcBorders>
            <w:tcMar>
              <w:left w:w="108" w:type="dxa"/>
            </w:tcMar>
          </w:tcPr>
          <w:p w14:paraId="1A1CCDD8" w14:textId="77777777" w:rsidR="00A60D4B" w:rsidRPr="00EC74DB" w:rsidRDefault="00A60D4B" w:rsidP="00A60D4B">
            <w:pPr>
              <w:pStyle w:val="Btablefigurebold0"/>
            </w:pPr>
            <w:r w:rsidRPr="00685375">
              <w:t>6,933</w:t>
            </w:r>
          </w:p>
        </w:tc>
        <w:tc>
          <w:tcPr>
            <w:tcW w:w="1162" w:type="dxa"/>
            <w:tcBorders>
              <w:top w:val="single" w:sz="4" w:space="0" w:color="auto"/>
              <w:bottom w:val="single" w:sz="4" w:space="0" w:color="auto"/>
            </w:tcBorders>
            <w:shd w:val="clear" w:color="auto" w:fill="auto"/>
            <w:tcMar>
              <w:left w:w="108" w:type="dxa"/>
            </w:tcMar>
          </w:tcPr>
          <w:p w14:paraId="5E118C97" w14:textId="77777777" w:rsidR="00A60D4B" w:rsidRPr="00EC74DB" w:rsidRDefault="00A60D4B" w:rsidP="00A60D4B">
            <w:pPr>
              <w:pStyle w:val="Btablefigurebold0"/>
            </w:pPr>
            <w:r w:rsidRPr="00685375">
              <w:t>13,306</w:t>
            </w:r>
          </w:p>
        </w:tc>
        <w:tc>
          <w:tcPr>
            <w:tcW w:w="1162" w:type="dxa"/>
            <w:tcBorders>
              <w:top w:val="single" w:sz="4" w:space="0" w:color="auto"/>
              <w:bottom w:val="single" w:sz="4" w:space="0" w:color="auto"/>
            </w:tcBorders>
            <w:shd w:val="clear" w:color="472D8C" w:fill="auto"/>
            <w:tcMar>
              <w:left w:w="108" w:type="dxa"/>
            </w:tcMar>
          </w:tcPr>
          <w:p w14:paraId="624B74BD" w14:textId="77777777" w:rsidR="00A60D4B" w:rsidRPr="00111524" w:rsidRDefault="00A60D4B" w:rsidP="00A60D4B">
            <w:pPr>
              <w:pStyle w:val="Btablefigurebold0"/>
            </w:pPr>
            <w:r w:rsidRPr="00685375">
              <w:t>31,575</w:t>
            </w:r>
          </w:p>
        </w:tc>
        <w:tc>
          <w:tcPr>
            <w:tcW w:w="1162" w:type="dxa"/>
            <w:tcBorders>
              <w:top w:val="single" w:sz="4" w:space="0" w:color="auto"/>
              <w:bottom w:val="single" w:sz="4" w:space="0" w:color="auto"/>
            </w:tcBorders>
            <w:shd w:val="clear" w:color="auto" w:fill="auto"/>
            <w:tcMar>
              <w:left w:w="108" w:type="dxa"/>
            </w:tcMar>
          </w:tcPr>
          <w:p w14:paraId="03CA687B" w14:textId="77777777" w:rsidR="00A60D4B" w:rsidRPr="00EC74DB" w:rsidRDefault="00A60D4B" w:rsidP="00A60D4B">
            <w:pPr>
              <w:pStyle w:val="Btablefigurebold0"/>
            </w:pPr>
            <w:r w:rsidRPr="00685375">
              <w:t>31,575</w:t>
            </w:r>
          </w:p>
        </w:tc>
        <w:tc>
          <w:tcPr>
            <w:tcW w:w="1163" w:type="dxa"/>
            <w:tcBorders>
              <w:top w:val="single" w:sz="4" w:space="0" w:color="auto"/>
              <w:bottom w:val="single" w:sz="4" w:space="0" w:color="auto"/>
            </w:tcBorders>
            <w:tcMar>
              <w:left w:w="108" w:type="dxa"/>
            </w:tcMar>
          </w:tcPr>
          <w:p w14:paraId="0716E6CB" w14:textId="77777777" w:rsidR="00A60D4B" w:rsidRPr="00EC74DB" w:rsidRDefault="00A60D4B" w:rsidP="00A60D4B">
            <w:pPr>
              <w:pStyle w:val="Btablefigurebold0"/>
            </w:pPr>
            <w:r w:rsidRPr="00685375">
              <w:t>31</w:t>
            </w:r>
          </w:p>
        </w:tc>
      </w:tr>
      <w:tr w:rsidR="00A60D4B" w:rsidRPr="00337DC9" w14:paraId="099D5449" w14:textId="77777777" w:rsidTr="00A60D4B">
        <w:trPr>
          <w:cantSplit/>
          <w:trHeight w:val="270"/>
        </w:trPr>
        <w:tc>
          <w:tcPr>
            <w:tcW w:w="3261" w:type="dxa"/>
            <w:tcBorders>
              <w:top w:val="single" w:sz="4" w:space="0" w:color="auto"/>
              <w:bottom w:val="nil"/>
            </w:tcBorders>
          </w:tcPr>
          <w:p w14:paraId="70E90EFC" w14:textId="77777777" w:rsidR="00A60D4B" w:rsidRDefault="00A60D4B" w:rsidP="00A60D4B">
            <w:pPr>
              <w:pStyle w:val="Btabletextbold"/>
              <w:keepNext/>
            </w:pPr>
          </w:p>
          <w:p w14:paraId="37F0BD47" w14:textId="77777777" w:rsidR="00A60D4B" w:rsidRDefault="00A60D4B" w:rsidP="00A60D4B">
            <w:pPr>
              <w:pStyle w:val="Btabletextbold"/>
              <w:keepNext/>
            </w:pPr>
            <w:r>
              <w:t>Contingent Payments</w:t>
            </w:r>
          </w:p>
        </w:tc>
        <w:tc>
          <w:tcPr>
            <w:tcW w:w="1162" w:type="dxa"/>
            <w:tcBorders>
              <w:top w:val="single" w:sz="4" w:space="0" w:color="auto"/>
              <w:bottom w:val="nil"/>
            </w:tcBorders>
            <w:tcMar>
              <w:left w:w="108" w:type="dxa"/>
            </w:tcMar>
          </w:tcPr>
          <w:p w14:paraId="299A1DA4" w14:textId="77777777" w:rsidR="00A60D4B" w:rsidRPr="00EC74DB"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186FF60C" w14:textId="77777777" w:rsidR="00A60D4B" w:rsidRPr="00EC74DB" w:rsidRDefault="00A60D4B" w:rsidP="00A60D4B">
            <w:pPr>
              <w:pStyle w:val="Btablefigureunbold"/>
            </w:pPr>
          </w:p>
        </w:tc>
        <w:tc>
          <w:tcPr>
            <w:tcW w:w="1162" w:type="dxa"/>
            <w:tcBorders>
              <w:top w:val="single" w:sz="4" w:space="0" w:color="auto"/>
              <w:bottom w:val="nil"/>
            </w:tcBorders>
            <w:shd w:val="clear" w:color="472D8C" w:fill="auto"/>
            <w:tcMar>
              <w:left w:w="108" w:type="dxa"/>
            </w:tcMar>
          </w:tcPr>
          <w:p w14:paraId="1A3ED931" w14:textId="77777777" w:rsidR="00A60D4B" w:rsidRPr="00111524"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781EF46E" w14:textId="77777777" w:rsidR="00A60D4B" w:rsidRPr="00EC74DB" w:rsidRDefault="00A60D4B" w:rsidP="00A60D4B">
            <w:pPr>
              <w:pStyle w:val="Btablefigureunbold"/>
            </w:pPr>
          </w:p>
        </w:tc>
        <w:tc>
          <w:tcPr>
            <w:tcW w:w="1163" w:type="dxa"/>
            <w:tcBorders>
              <w:top w:val="single" w:sz="4" w:space="0" w:color="auto"/>
              <w:bottom w:val="nil"/>
            </w:tcBorders>
            <w:tcMar>
              <w:left w:w="108" w:type="dxa"/>
            </w:tcMar>
          </w:tcPr>
          <w:p w14:paraId="569412AD" w14:textId="77777777" w:rsidR="00A60D4B" w:rsidRPr="00EC74DB" w:rsidRDefault="00A60D4B" w:rsidP="00A60D4B">
            <w:pPr>
              <w:pStyle w:val="Btablefigureunbold"/>
            </w:pPr>
          </w:p>
        </w:tc>
      </w:tr>
      <w:tr w:rsidR="00A60D4B" w:rsidRPr="00337DC9" w14:paraId="51523F64" w14:textId="77777777" w:rsidTr="00A60D4B">
        <w:trPr>
          <w:cantSplit/>
          <w:trHeight w:val="270"/>
        </w:trPr>
        <w:tc>
          <w:tcPr>
            <w:tcW w:w="3261" w:type="dxa"/>
            <w:tcBorders>
              <w:top w:val="nil"/>
              <w:bottom w:val="nil"/>
            </w:tcBorders>
          </w:tcPr>
          <w:p w14:paraId="73B73B66" w14:textId="77777777" w:rsidR="00A60D4B" w:rsidRDefault="00A60D4B" w:rsidP="00A60D4B">
            <w:pPr>
              <w:pStyle w:val="Btabletextunbold"/>
            </w:pPr>
            <w:r>
              <w:t>Disaster recovery funding arrangements</w:t>
            </w:r>
          </w:p>
        </w:tc>
        <w:tc>
          <w:tcPr>
            <w:tcW w:w="1162" w:type="dxa"/>
            <w:tcBorders>
              <w:top w:val="nil"/>
              <w:bottom w:val="nil"/>
            </w:tcBorders>
            <w:tcMar>
              <w:left w:w="108" w:type="dxa"/>
            </w:tcMar>
          </w:tcPr>
          <w:p w14:paraId="576EB1D0" w14:textId="77777777" w:rsidR="00A60D4B" w:rsidRPr="00EC74DB" w:rsidRDefault="00A60D4B" w:rsidP="00A60D4B">
            <w:pPr>
              <w:pStyle w:val="Btablefigureunbold"/>
            </w:pPr>
            <w:r>
              <w:t>0</w:t>
            </w:r>
          </w:p>
        </w:tc>
        <w:tc>
          <w:tcPr>
            <w:tcW w:w="1162" w:type="dxa"/>
            <w:tcBorders>
              <w:top w:val="nil"/>
              <w:bottom w:val="nil"/>
            </w:tcBorders>
            <w:shd w:val="clear" w:color="auto" w:fill="auto"/>
            <w:tcMar>
              <w:left w:w="108" w:type="dxa"/>
            </w:tcMar>
          </w:tcPr>
          <w:p w14:paraId="4CA858D8" w14:textId="77777777" w:rsidR="00A60D4B" w:rsidRPr="00EC74DB" w:rsidRDefault="00A60D4B" w:rsidP="00A60D4B">
            <w:pPr>
              <w:pStyle w:val="Btablefigureunbold"/>
            </w:pPr>
            <w:r>
              <w:t>100</w:t>
            </w:r>
          </w:p>
        </w:tc>
        <w:tc>
          <w:tcPr>
            <w:tcW w:w="1162" w:type="dxa"/>
            <w:tcBorders>
              <w:top w:val="nil"/>
              <w:bottom w:val="nil"/>
            </w:tcBorders>
            <w:shd w:val="clear" w:color="472D8C" w:fill="auto"/>
            <w:tcMar>
              <w:left w:w="108" w:type="dxa"/>
            </w:tcMar>
          </w:tcPr>
          <w:p w14:paraId="71653FF7" w14:textId="77777777" w:rsidR="00A60D4B" w:rsidRPr="00111524" w:rsidRDefault="00A60D4B" w:rsidP="00A60D4B">
            <w:pPr>
              <w:pStyle w:val="Btablefigureunbold"/>
            </w:pPr>
            <w:r>
              <w:t>0</w:t>
            </w:r>
          </w:p>
        </w:tc>
        <w:tc>
          <w:tcPr>
            <w:tcW w:w="1162" w:type="dxa"/>
            <w:tcBorders>
              <w:top w:val="nil"/>
              <w:bottom w:val="nil"/>
            </w:tcBorders>
            <w:shd w:val="clear" w:color="auto" w:fill="auto"/>
            <w:tcMar>
              <w:left w:w="108" w:type="dxa"/>
            </w:tcMar>
          </w:tcPr>
          <w:p w14:paraId="5453DD57"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305F4120" w14:textId="77777777" w:rsidR="00A60D4B" w:rsidRPr="00EC74DB" w:rsidRDefault="00A60D4B" w:rsidP="00A60D4B">
            <w:pPr>
              <w:pStyle w:val="Btablefigureunbold"/>
            </w:pPr>
            <w:r>
              <w:t>0</w:t>
            </w:r>
          </w:p>
        </w:tc>
      </w:tr>
      <w:tr w:rsidR="00A60D4B" w:rsidRPr="00337DC9" w14:paraId="2D2FA852" w14:textId="77777777" w:rsidTr="00A60D4B">
        <w:trPr>
          <w:cantSplit/>
          <w:trHeight w:val="270"/>
        </w:trPr>
        <w:tc>
          <w:tcPr>
            <w:tcW w:w="3261" w:type="dxa"/>
            <w:tcBorders>
              <w:top w:val="nil"/>
              <w:bottom w:val="single" w:sz="4" w:space="0" w:color="auto"/>
            </w:tcBorders>
          </w:tcPr>
          <w:p w14:paraId="5B56C634" w14:textId="77777777" w:rsidR="00A60D4B" w:rsidRDefault="00A60D4B" w:rsidP="00A60D4B">
            <w:pPr>
              <w:pStyle w:val="Btabletextunbold"/>
            </w:pPr>
            <w:r>
              <w:t>Hepatitis C settlement fund</w:t>
            </w:r>
          </w:p>
        </w:tc>
        <w:tc>
          <w:tcPr>
            <w:tcW w:w="1162" w:type="dxa"/>
            <w:tcBorders>
              <w:top w:val="nil"/>
              <w:bottom w:val="single" w:sz="4" w:space="0" w:color="auto"/>
            </w:tcBorders>
            <w:tcMar>
              <w:left w:w="108" w:type="dxa"/>
            </w:tcMar>
          </w:tcPr>
          <w:p w14:paraId="2AFEA1CB" w14:textId="77777777" w:rsidR="00A60D4B" w:rsidRPr="00EC74DB" w:rsidRDefault="00A60D4B" w:rsidP="00A60D4B">
            <w:pPr>
              <w:pStyle w:val="Btablefigureunbold"/>
            </w:pPr>
            <w:r>
              <w:t>0</w:t>
            </w:r>
          </w:p>
        </w:tc>
        <w:tc>
          <w:tcPr>
            <w:tcW w:w="1162" w:type="dxa"/>
            <w:tcBorders>
              <w:top w:val="nil"/>
              <w:bottom w:val="single" w:sz="4" w:space="0" w:color="auto"/>
            </w:tcBorders>
            <w:shd w:val="clear" w:color="auto" w:fill="auto"/>
            <w:tcMar>
              <w:left w:w="108" w:type="dxa"/>
            </w:tcMar>
          </w:tcPr>
          <w:p w14:paraId="0591A79D" w14:textId="77777777" w:rsidR="00A60D4B" w:rsidRPr="00560750" w:rsidRDefault="00A60D4B" w:rsidP="00A60D4B">
            <w:pPr>
              <w:pStyle w:val="Btablefigureunbold"/>
            </w:pPr>
            <w:r w:rsidRPr="00560750">
              <w:t>~</w:t>
            </w:r>
          </w:p>
        </w:tc>
        <w:tc>
          <w:tcPr>
            <w:tcW w:w="1162" w:type="dxa"/>
            <w:tcBorders>
              <w:top w:val="nil"/>
              <w:bottom w:val="single" w:sz="4" w:space="0" w:color="auto"/>
            </w:tcBorders>
            <w:shd w:val="clear" w:color="472D8C" w:fill="auto"/>
            <w:tcMar>
              <w:left w:w="108" w:type="dxa"/>
            </w:tcMar>
          </w:tcPr>
          <w:p w14:paraId="3FD7F4B9" w14:textId="77777777" w:rsidR="00A60D4B" w:rsidRPr="00560750" w:rsidRDefault="00A60D4B" w:rsidP="00A60D4B">
            <w:pPr>
              <w:pStyle w:val="Btablefigureunbold"/>
            </w:pPr>
            <w:r w:rsidRPr="00560750">
              <w:t>~</w:t>
            </w:r>
          </w:p>
        </w:tc>
        <w:tc>
          <w:tcPr>
            <w:tcW w:w="1162" w:type="dxa"/>
            <w:tcBorders>
              <w:top w:val="nil"/>
              <w:bottom w:val="single" w:sz="4" w:space="0" w:color="auto"/>
            </w:tcBorders>
            <w:shd w:val="clear" w:color="auto" w:fill="auto"/>
            <w:tcMar>
              <w:left w:w="108" w:type="dxa"/>
            </w:tcMar>
          </w:tcPr>
          <w:p w14:paraId="5AD42A02" w14:textId="77777777" w:rsidR="00A60D4B" w:rsidRPr="00560750" w:rsidRDefault="00A60D4B" w:rsidP="00A60D4B">
            <w:pPr>
              <w:pStyle w:val="Btablefigureunbold"/>
            </w:pPr>
            <w:r w:rsidRPr="00560750">
              <w:t>~</w:t>
            </w:r>
          </w:p>
        </w:tc>
        <w:tc>
          <w:tcPr>
            <w:tcW w:w="1163" w:type="dxa"/>
            <w:tcBorders>
              <w:top w:val="nil"/>
              <w:bottom w:val="single" w:sz="4" w:space="0" w:color="auto"/>
            </w:tcBorders>
            <w:tcMar>
              <w:left w:w="108" w:type="dxa"/>
            </w:tcMar>
          </w:tcPr>
          <w:p w14:paraId="185C6F89" w14:textId="77777777" w:rsidR="00A60D4B" w:rsidRPr="00560750" w:rsidRDefault="00A60D4B" w:rsidP="00A60D4B">
            <w:pPr>
              <w:pStyle w:val="Btablefigureunbold"/>
            </w:pPr>
            <w:r w:rsidRPr="00560750">
              <w:t>~</w:t>
            </w:r>
          </w:p>
        </w:tc>
      </w:tr>
      <w:tr w:rsidR="00A60D4B" w:rsidRPr="00337DC9" w14:paraId="7B911A8D" w14:textId="77777777" w:rsidTr="00A60D4B">
        <w:trPr>
          <w:cantSplit/>
          <w:trHeight w:val="270"/>
        </w:trPr>
        <w:tc>
          <w:tcPr>
            <w:tcW w:w="3261" w:type="dxa"/>
            <w:tcBorders>
              <w:top w:val="single" w:sz="4" w:space="0" w:color="auto"/>
              <w:bottom w:val="single" w:sz="4" w:space="0" w:color="auto"/>
            </w:tcBorders>
          </w:tcPr>
          <w:p w14:paraId="18592B8E" w14:textId="77777777" w:rsidR="00A60D4B" w:rsidRDefault="00A60D4B" w:rsidP="00A60D4B">
            <w:pPr>
              <w:pStyle w:val="Btabletextbold"/>
            </w:pPr>
            <w:r>
              <w:t>Total Contingent Payments</w:t>
            </w:r>
          </w:p>
        </w:tc>
        <w:tc>
          <w:tcPr>
            <w:tcW w:w="1162" w:type="dxa"/>
            <w:tcBorders>
              <w:top w:val="single" w:sz="4" w:space="0" w:color="auto"/>
              <w:bottom w:val="single" w:sz="4" w:space="0" w:color="auto"/>
            </w:tcBorders>
            <w:tcMar>
              <w:left w:w="108" w:type="dxa"/>
            </w:tcMar>
          </w:tcPr>
          <w:p w14:paraId="2FE8B14A" w14:textId="77777777" w:rsidR="00A60D4B" w:rsidRPr="00EC74DB" w:rsidRDefault="00A60D4B" w:rsidP="00A60D4B">
            <w:pPr>
              <w:pStyle w:val="Btablefigurebold0"/>
            </w:pPr>
            <w:r>
              <w:t>0</w:t>
            </w:r>
          </w:p>
        </w:tc>
        <w:tc>
          <w:tcPr>
            <w:tcW w:w="1162" w:type="dxa"/>
            <w:tcBorders>
              <w:top w:val="single" w:sz="4" w:space="0" w:color="auto"/>
              <w:bottom w:val="single" w:sz="4" w:space="0" w:color="auto"/>
            </w:tcBorders>
            <w:shd w:val="clear" w:color="auto" w:fill="auto"/>
            <w:tcMar>
              <w:left w:w="108" w:type="dxa"/>
            </w:tcMar>
          </w:tcPr>
          <w:p w14:paraId="0CE64166" w14:textId="77777777" w:rsidR="00A60D4B" w:rsidRPr="00EC74DB" w:rsidRDefault="00A60D4B" w:rsidP="00A60D4B">
            <w:pPr>
              <w:pStyle w:val="Btablefigurebold0"/>
            </w:pPr>
            <w:r>
              <w:t>100</w:t>
            </w:r>
          </w:p>
        </w:tc>
        <w:tc>
          <w:tcPr>
            <w:tcW w:w="1162" w:type="dxa"/>
            <w:tcBorders>
              <w:top w:val="single" w:sz="4" w:space="0" w:color="auto"/>
              <w:bottom w:val="single" w:sz="4" w:space="0" w:color="auto"/>
            </w:tcBorders>
            <w:shd w:val="clear" w:color="472D8C" w:fill="auto"/>
            <w:tcMar>
              <w:left w:w="108" w:type="dxa"/>
            </w:tcMar>
          </w:tcPr>
          <w:p w14:paraId="78678D8A" w14:textId="77777777" w:rsidR="00A60D4B" w:rsidRPr="00111524" w:rsidRDefault="00A60D4B" w:rsidP="00A60D4B">
            <w:pPr>
              <w:pStyle w:val="Btablefigurebold0"/>
            </w:pPr>
            <w:r>
              <w:t>0</w:t>
            </w:r>
          </w:p>
        </w:tc>
        <w:tc>
          <w:tcPr>
            <w:tcW w:w="1162" w:type="dxa"/>
            <w:tcBorders>
              <w:top w:val="single" w:sz="4" w:space="0" w:color="auto"/>
              <w:bottom w:val="single" w:sz="4" w:space="0" w:color="auto"/>
            </w:tcBorders>
            <w:shd w:val="clear" w:color="auto" w:fill="auto"/>
            <w:tcMar>
              <w:left w:w="108" w:type="dxa"/>
            </w:tcMar>
          </w:tcPr>
          <w:p w14:paraId="37ADDCC5" w14:textId="77777777" w:rsidR="00A60D4B" w:rsidRPr="00EC74DB" w:rsidRDefault="00A60D4B" w:rsidP="00A60D4B">
            <w:pPr>
              <w:pStyle w:val="Btablefigurebold0"/>
            </w:pPr>
            <w:r>
              <w:t>0</w:t>
            </w:r>
          </w:p>
        </w:tc>
        <w:tc>
          <w:tcPr>
            <w:tcW w:w="1163" w:type="dxa"/>
            <w:tcBorders>
              <w:top w:val="single" w:sz="4" w:space="0" w:color="auto"/>
              <w:bottom w:val="single" w:sz="4" w:space="0" w:color="auto"/>
            </w:tcBorders>
            <w:tcMar>
              <w:left w:w="108" w:type="dxa"/>
            </w:tcMar>
          </w:tcPr>
          <w:p w14:paraId="23FB524D" w14:textId="77777777" w:rsidR="00A60D4B" w:rsidRPr="00EC74DB" w:rsidRDefault="00A60D4B" w:rsidP="00A60D4B">
            <w:pPr>
              <w:pStyle w:val="Btablefigurebold0"/>
            </w:pPr>
            <w:r>
              <w:t>0</w:t>
            </w:r>
          </w:p>
        </w:tc>
      </w:tr>
      <w:tr w:rsidR="00A60D4B" w:rsidRPr="00337DC9" w14:paraId="46222259" w14:textId="77777777" w:rsidTr="00A60D4B">
        <w:trPr>
          <w:cantSplit/>
          <w:trHeight w:val="270"/>
        </w:trPr>
        <w:tc>
          <w:tcPr>
            <w:tcW w:w="3261" w:type="dxa"/>
            <w:tcBorders>
              <w:top w:val="single" w:sz="4" w:space="0" w:color="auto"/>
              <w:bottom w:val="nil"/>
            </w:tcBorders>
          </w:tcPr>
          <w:p w14:paraId="08B4977A" w14:textId="77777777" w:rsidR="00A60D4B" w:rsidRDefault="00A60D4B" w:rsidP="00A60D4B">
            <w:pPr>
              <w:pStyle w:val="Btabletextbold"/>
              <w:keepNext/>
            </w:pPr>
          </w:p>
          <w:p w14:paraId="1323C75D" w14:textId="77777777" w:rsidR="00A60D4B" w:rsidRDefault="00A60D4B" w:rsidP="00A60D4B">
            <w:pPr>
              <w:pStyle w:val="Btabletextbold"/>
              <w:keepNext/>
            </w:pPr>
            <w:r>
              <w:t>Other Payments</w:t>
            </w:r>
          </w:p>
        </w:tc>
        <w:tc>
          <w:tcPr>
            <w:tcW w:w="1162" w:type="dxa"/>
            <w:tcBorders>
              <w:top w:val="single" w:sz="4" w:space="0" w:color="auto"/>
              <w:bottom w:val="nil"/>
            </w:tcBorders>
            <w:tcMar>
              <w:left w:w="108" w:type="dxa"/>
            </w:tcMar>
          </w:tcPr>
          <w:p w14:paraId="5EA3FC6C" w14:textId="77777777" w:rsidR="00A60D4B" w:rsidRPr="00EC74DB"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54179991" w14:textId="77777777" w:rsidR="00A60D4B" w:rsidRPr="00EC74DB" w:rsidRDefault="00A60D4B" w:rsidP="00A60D4B">
            <w:pPr>
              <w:pStyle w:val="Btablefigureunbold"/>
            </w:pPr>
          </w:p>
        </w:tc>
        <w:tc>
          <w:tcPr>
            <w:tcW w:w="1162" w:type="dxa"/>
            <w:tcBorders>
              <w:top w:val="single" w:sz="4" w:space="0" w:color="auto"/>
              <w:bottom w:val="nil"/>
            </w:tcBorders>
            <w:shd w:val="clear" w:color="472D8C" w:fill="auto"/>
            <w:tcMar>
              <w:left w:w="108" w:type="dxa"/>
            </w:tcMar>
          </w:tcPr>
          <w:p w14:paraId="286B43D1" w14:textId="77777777" w:rsidR="00A60D4B" w:rsidRPr="00111524" w:rsidRDefault="00A60D4B" w:rsidP="00A60D4B">
            <w:pPr>
              <w:pStyle w:val="Btablefigureunbold"/>
            </w:pPr>
          </w:p>
        </w:tc>
        <w:tc>
          <w:tcPr>
            <w:tcW w:w="1162" w:type="dxa"/>
            <w:tcBorders>
              <w:top w:val="single" w:sz="4" w:space="0" w:color="auto"/>
              <w:bottom w:val="nil"/>
            </w:tcBorders>
            <w:shd w:val="clear" w:color="auto" w:fill="auto"/>
            <w:tcMar>
              <w:left w:w="108" w:type="dxa"/>
            </w:tcMar>
          </w:tcPr>
          <w:p w14:paraId="3615713C" w14:textId="77777777" w:rsidR="00A60D4B" w:rsidRPr="00EC74DB" w:rsidRDefault="00A60D4B" w:rsidP="00A60D4B">
            <w:pPr>
              <w:pStyle w:val="Btablefigureunbold"/>
            </w:pPr>
          </w:p>
        </w:tc>
        <w:tc>
          <w:tcPr>
            <w:tcW w:w="1163" w:type="dxa"/>
            <w:tcBorders>
              <w:top w:val="single" w:sz="4" w:space="0" w:color="auto"/>
              <w:bottom w:val="nil"/>
            </w:tcBorders>
            <w:tcMar>
              <w:left w:w="108" w:type="dxa"/>
            </w:tcMar>
          </w:tcPr>
          <w:p w14:paraId="6FA5C922" w14:textId="77777777" w:rsidR="00A60D4B" w:rsidRPr="00EC74DB" w:rsidRDefault="00A60D4B" w:rsidP="00A60D4B">
            <w:pPr>
              <w:pStyle w:val="Btablefigureunbold"/>
            </w:pPr>
          </w:p>
        </w:tc>
      </w:tr>
      <w:tr w:rsidR="00A60D4B" w:rsidRPr="00337DC9" w14:paraId="6927B77D" w14:textId="77777777" w:rsidTr="00A60D4B">
        <w:trPr>
          <w:cantSplit/>
          <w:trHeight w:val="270"/>
        </w:trPr>
        <w:tc>
          <w:tcPr>
            <w:tcW w:w="3261" w:type="dxa"/>
            <w:tcBorders>
              <w:top w:val="nil"/>
              <w:bottom w:val="nil"/>
            </w:tcBorders>
          </w:tcPr>
          <w:p w14:paraId="268C9A0F" w14:textId="77777777" w:rsidR="00A60D4B" w:rsidRDefault="00A60D4B" w:rsidP="00A60D4B">
            <w:pPr>
              <w:pStyle w:val="Btabletextbold"/>
              <w:keepNext/>
            </w:pPr>
            <w:r>
              <w:t>Other NPPs</w:t>
            </w:r>
          </w:p>
        </w:tc>
        <w:tc>
          <w:tcPr>
            <w:tcW w:w="1162" w:type="dxa"/>
            <w:tcBorders>
              <w:top w:val="nil"/>
              <w:bottom w:val="nil"/>
            </w:tcBorders>
            <w:tcMar>
              <w:left w:w="108" w:type="dxa"/>
            </w:tcMar>
          </w:tcPr>
          <w:p w14:paraId="7AFEF03C" w14:textId="77777777" w:rsidR="00A60D4B" w:rsidRPr="00EC74DB" w:rsidRDefault="00A60D4B" w:rsidP="00A60D4B">
            <w:pPr>
              <w:pStyle w:val="Btablefigureunbold"/>
            </w:pPr>
          </w:p>
        </w:tc>
        <w:tc>
          <w:tcPr>
            <w:tcW w:w="1162" w:type="dxa"/>
            <w:tcBorders>
              <w:top w:val="nil"/>
              <w:bottom w:val="nil"/>
            </w:tcBorders>
            <w:shd w:val="clear" w:color="auto" w:fill="auto"/>
            <w:tcMar>
              <w:left w:w="108" w:type="dxa"/>
            </w:tcMar>
          </w:tcPr>
          <w:p w14:paraId="2153363E" w14:textId="77777777" w:rsidR="00A60D4B" w:rsidRPr="00EC74DB" w:rsidRDefault="00A60D4B" w:rsidP="00A60D4B">
            <w:pPr>
              <w:pStyle w:val="Btablefigureunbold"/>
            </w:pPr>
          </w:p>
        </w:tc>
        <w:tc>
          <w:tcPr>
            <w:tcW w:w="1162" w:type="dxa"/>
            <w:tcBorders>
              <w:top w:val="nil"/>
              <w:bottom w:val="nil"/>
            </w:tcBorders>
            <w:shd w:val="clear" w:color="472D8C" w:fill="auto"/>
            <w:tcMar>
              <w:left w:w="108" w:type="dxa"/>
            </w:tcMar>
          </w:tcPr>
          <w:p w14:paraId="1054B986" w14:textId="77777777" w:rsidR="00A60D4B" w:rsidRPr="00111524" w:rsidRDefault="00A60D4B" w:rsidP="00A60D4B">
            <w:pPr>
              <w:pStyle w:val="Btablefigureunbold"/>
            </w:pPr>
          </w:p>
        </w:tc>
        <w:tc>
          <w:tcPr>
            <w:tcW w:w="1162" w:type="dxa"/>
            <w:tcBorders>
              <w:top w:val="nil"/>
              <w:bottom w:val="nil"/>
            </w:tcBorders>
            <w:shd w:val="clear" w:color="auto" w:fill="auto"/>
            <w:tcMar>
              <w:left w:w="108" w:type="dxa"/>
            </w:tcMar>
          </w:tcPr>
          <w:p w14:paraId="1D5E0AB8" w14:textId="77777777" w:rsidR="00A60D4B" w:rsidRPr="00EC74DB" w:rsidRDefault="00A60D4B" w:rsidP="00A60D4B">
            <w:pPr>
              <w:pStyle w:val="Btablefigureunbold"/>
            </w:pPr>
          </w:p>
        </w:tc>
        <w:tc>
          <w:tcPr>
            <w:tcW w:w="1163" w:type="dxa"/>
            <w:tcBorders>
              <w:top w:val="nil"/>
              <w:bottom w:val="nil"/>
            </w:tcBorders>
            <w:tcMar>
              <w:left w:w="108" w:type="dxa"/>
            </w:tcMar>
          </w:tcPr>
          <w:p w14:paraId="3BCE01CC" w14:textId="77777777" w:rsidR="00A60D4B" w:rsidRPr="00EC74DB" w:rsidRDefault="00A60D4B" w:rsidP="00A60D4B">
            <w:pPr>
              <w:pStyle w:val="Btablefigureunbold"/>
            </w:pPr>
          </w:p>
        </w:tc>
      </w:tr>
      <w:tr w:rsidR="00A60D4B" w:rsidRPr="00337DC9" w14:paraId="30FF170A" w14:textId="77777777" w:rsidTr="00A60D4B">
        <w:trPr>
          <w:cantSplit/>
          <w:trHeight w:val="270"/>
        </w:trPr>
        <w:tc>
          <w:tcPr>
            <w:tcW w:w="3261" w:type="dxa"/>
            <w:tcBorders>
              <w:top w:val="nil"/>
              <w:bottom w:val="nil"/>
            </w:tcBorders>
          </w:tcPr>
          <w:p w14:paraId="33B72215" w14:textId="77777777" w:rsidR="00A60D4B" w:rsidRPr="00560750" w:rsidRDefault="00A60D4B" w:rsidP="00A60D4B">
            <w:pPr>
              <w:pStyle w:val="Btabletextunbold"/>
            </w:pPr>
            <w:r>
              <w:t>Australian Capital Territory Asbestos Disease Assistance Scheme</w:t>
            </w:r>
          </w:p>
        </w:tc>
        <w:tc>
          <w:tcPr>
            <w:tcW w:w="1162" w:type="dxa"/>
            <w:tcBorders>
              <w:top w:val="nil"/>
              <w:bottom w:val="nil"/>
            </w:tcBorders>
            <w:tcMar>
              <w:left w:w="108" w:type="dxa"/>
            </w:tcMar>
          </w:tcPr>
          <w:p w14:paraId="13A35A25" w14:textId="77777777" w:rsidR="00A60D4B" w:rsidRDefault="00A60D4B" w:rsidP="00A60D4B">
            <w:pPr>
              <w:pStyle w:val="Btablefigureunbold"/>
            </w:pPr>
            <w:r>
              <w:t>0</w:t>
            </w:r>
          </w:p>
        </w:tc>
        <w:tc>
          <w:tcPr>
            <w:tcW w:w="1162" w:type="dxa"/>
            <w:tcBorders>
              <w:top w:val="nil"/>
              <w:bottom w:val="nil"/>
            </w:tcBorders>
            <w:shd w:val="clear" w:color="auto" w:fill="auto"/>
            <w:tcMar>
              <w:left w:w="108" w:type="dxa"/>
            </w:tcMar>
          </w:tcPr>
          <w:p w14:paraId="7CC60119" w14:textId="77777777" w:rsidR="00A60D4B" w:rsidRDefault="00A60D4B" w:rsidP="00A60D4B">
            <w:pPr>
              <w:pStyle w:val="Btablefigureunbold"/>
            </w:pPr>
            <w:r>
              <w:t>8,000</w:t>
            </w:r>
          </w:p>
        </w:tc>
        <w:tc>
          <w:tcPr>
            <w:tcW w:w="1162" w:type="dxa"/>
            <w:tcBorders>
              <w:top w:val="nil"/>
              <w:bottom w:val="nil"/>
            </w:tcBorders>
            <w:shd w:val="clear" w:color="472D8C" w:fill="auto"/>
            <w:tcMar>
              <w:left w:w="108" w:type="dxa"/>
            </w:tcMar>
          </w:tcPr>
          <w:p w14:paraId="53251D1C" w14:textId="77777777" w:rsidR="00A60D4B" w:rsidRDefault="00A60D4B" w:rsidP="00A60D4B">
            <w:pPr>
              <w:pStyle w:val="Btablefigureunbold"/>
            </w:pPr>
            <w:r>
              <w:t>0</w:t>
            </w:r>
          </w:p>
        </w:tc>
        <w:tc>
          <w:tcPr>
            <w:tcW w:w="1162" w:type="dxa"/>
            <w:tcBorders>
              <w:top w:val="nil"/>
              <w:bottom w:val="nil"/>
            </w:tcBorders>
            <w:shd w:val="clear" w:color="auto" w:fill="auto"/>
            <w:tcMar>
              <w:left w:w="108" w:type="dxa"/>
            </w:tcMar>
          </w:tcPr>
          <w:p w14:paraId="51DA8CEB" w14:textId="77777777" w:rsidR="00A60D4B" w:rsidRDefault="00A60D4B" w:rsidP="00A60D4B">
            <w:pPr>
              <w:pStyle w:val="Btablefigureunbold"/>
            </w:pPr>
            <w:r>
              <w:t>0</w:t>
            </w:r>
          </w:p>
        </w:tc>
        <w:tc>
          <w:tcPr>
            <w:tcW w:w="1163" w:type="dxa"/>
            <w:tcBorders>
              <w:top w:val="nil"/>
              <w:bottom w:val="nil"/>
            </w:tcBorders>
            <w:tcMar>
              <w:left w:w="108" w:type="dxa"/>
            </w:tcMar>
          </w:tcPr>
          <w:p w14:paraId="485CF3BB" w14:textId="77777777" w:rsidR="00A60D4B" w:rsidRDefault="00A60D4B" w:rsidP="00A60D4B">
            <w:pPr>
              <w:pStyle w:val="Btablefigureunbold"/>
            </w:pPr>
            <w:r>
              <w:t>0</w:t>
            </w:r>
          </w:p>
        </w:tc>
      </w:tr>
      <w:tr w:rsidR="00A60D4B" w:rsidRPr="00337DC9" w14:paraId="21F99BCC" w14:textId="77777777" w:rsidTr="00A60D4B">
        <w:trPr>
          <w:cantSplit/>
          <w:trHeight w:val="270"/>
        </w:trPr>
        <w:tc>
          <w:tcPr>
            <w:tcW w:w="3261" w:type="dxa"/>
            <w:tcBorders>
              <w:top w:val="nil"/>
              <w:bottom w:val="nil"/>
            </w:tcBorders>
          </w:tcPr>
          <w:p w14:paraId="4523A6C3" w14:textId="77777777" w:rsidR="00A60D4B" w:rsidRPr="00DE788F" w:rsidRDefault="00A60D4B" w:rsidP="00A60D4B">
            <w:pPr>
              <w:pStyle w:val="Btabletextunbold"/>
              <w:rPr>
                <w:highlight w:val="yellow"/>
              </w:rPr>
            </w:pPr>
            <w:r w:rsidRPr="00560750">
              <w:t xml:space="preserve">COVID-19 Business Support </w:t>
            </w:r>
            <w:r>
              <w:t>Grants</w:t>
            </w:r>
          </w:p>
        </w:tc>
        <w:tc>
          <w:tcPr>
            <w:tcW w:w="1162" w:type="dxa"/>
            <w:tcBorders>
              <w:top w:val="nil"/>
              <w:bottom w:val="nil"/>
            </w:tcBorders>
            <w:tcMar>
              <w:left w:w="108" w:type="dxa"/>
            </w:tcMar>
          </w:tcPr>
          <w:p w14:paraId="03C14F4D" w14:textId="77777777" w:rsidR="00A60D4B" w:rsidRDefault="00A60D4B" w:rsidP="00A60D4B">
            <w:pPr>
              <w:pStyle w:val="Btablefigureunbold"/>
            </w:pPr>
            <w:r>
              <w:t>0</w:t>
            </w:r>
          </w:p>
        </w:tc>
        <w:tc>
          <w:tcPr>
            <w:tcW w:w="1162" w:type="dxa"/>
            <w:tcBorders>
              <w:top w:val="nil"/>
              <w:bottom w:val="nil"/>
            </w:tcBorders>
            <w:shd w:val="clear" w:color="auto" w:fill="auto"/>
            <w:tcMar>
              <w:left w:w="108" w:type="dxa"/>
            </w:tcMar>
          </w:tcPr>
          <w:p w14:paraId="2A0BE2E3" w14:textId="77777777" w:rsidR="00A60D4B" w:rsidRPr="00EC74DB" w:rsidRDefault="00A60D4B" w:rsidP="00A60D4B">
            <w:pPr>
              <w:pStyle w:val="Btablefigureunbold"/>
            </w:pPr>
            <w:r w:rsidRPr="00943D3B">
              <w:t>1</w:t>
            </w:r>
            <w:r>
              <w:t>44,602</w:t>
            </w:r>
          </w:p>
        </w:tc>
        <w:tc>
          <w:tcPr>
            <w:tcW w:w="1162" w:type="dxa"/>
            <w:tcBorders>
              <w:top w:val="nil"/>
              <w:bottom w:val="nil"/>
            </w:tcBorders>
            <w:shd w:val="clear" w:color="472D8C" w:fill="auto"/>
            <w:tcMar>
              <w:left w:w="108" w:type="dxa"/>
            </w:tcMar>
          </w:tcPr>
          <w:p w14:paraId="250BF4DC" w14:textId="77777777" w:rsidR="00A60D4B" w:rsidRPr="00111524" w:rsidRDefault="00A60D4B" w:rsidP="00A60D4B">
            <w:pPr>
              <w:pStyle w:val="Btablefigureunbold"/>
            </w:pPr>
            <w:r>
              <w:t>0</w:t>
            </w:r>
          </w:p>
        </w:tc>
        <w:tc>
          <w:tcPr>
            <w:tcW w:w="1162" w:type="dxa"/>
            <w:tcBorders>
              <w:top w:val="nil"/>
              <w:bottom w:val="nil"/>
            </w:tcBorders>
            <w:shd w:val="clear" w:color="auto" w:fill="auto"/>
            <w:tcMar>
              <w:left w:w="108" w:type="dxa"/>
            </w:tcMar>
          </w:tcPr>
          <w:p w14:paraId="56BD5FF5"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3A171125" w14:textId="77777777" w:rsidR="00A60D4B" w:rsidRPr="00EC74DB" w:rsidRDefault="00A60D4B" w:rsidP="00A60D4B">
            <w:pPr>
              <w:pStyle w:val="Btablefigureunbold"/>
            </w:pPr>
            <w:r>
              <w:t>0</w:t>
            </w:r>
          </w:p>
        </w:tc>
      </w:tr>
      <w:tr w:rsidR="00A60D4B" w:rsidRPr="00337DC9" w14:paraId="10542E8D" w14:textId="77777777" w:rsidTr="00A60D4B">
        <w:trPr>
          <w:cantSplit/>
          <w:trHeight w:val="270"/>
        </w:trPr>
        <w:tc>
          <w:tcPr>
            <w:tcW w:w="3261" w:type="dxa"/>
            <w:tcBorders>
              <w:top w:val="nil"/>
              <w:bottom w:val="nil"/>
            </w:tcBorders>
          </w:tcPr>
          <w:p w14:paraId="7FDAB566" w14:textId="77777777" w:rsidR="00A60D4B" w:rsidRDefault="00A60D4B" w:rsidP="00A60D4B">
            <w:pPr>
              <w:pStyle w:val="Btabletextunbold"/>
            </w:pPr>
            <w:r>
              <w:t>COVID-19 Legal Assistance Funding</w:t>
            </w:r>
          </w:p>
        </w:tc>
        <w:tc>
          <w:tcPr>
            <w:tcW w:w="1162" w:type="dxa"/>
            <w:tcBorders>
              <w:top w:val="nil"/>
              <w:bottom w:val="nil"/>
            </w:tcBorders>
            <w:tcMar>
              <w:left w:w="108" w:type="dxa"/>
            </w:tcMar>
          </w:tcPr>
          <w:p w14:paraId="046E1786" w14:textId="77777777" w:rsidR="00A60D4B" w:rsidRPr="00EC74DB" w:rsidRDefault="00A60D4B" w:rsidP="00A60D4B">
            <w:pPr>
              <w:pStyle w:val="Btablefigureunbold"/>
            </w:pPr>
            <w:r w:rsidRPr="00C30A07">
              <w:t>596</w:t>
            </w:r>
          </w:p>
        </w:tc>
        <w:tc>
          <w:tcPr>
            <w:tcW w:w="1162" w:type="dxa"/>
            <w:tcBorders>
              <w:top w:val="nil"/>
              <w:bottom w:val="nil"/>
            </w:tcBorders>
            <w:shd w:val="clear" w:color="auto" w:fill="auto"/>
            <w:tcMar>
              <w:left w:w="108" w:type="dxa"/>
            </w:tcMar>
          </w:tcPr>
          <w:p w14:paraId="0E8920C3" w14:textId="77777777" w:rsidR="00A60D4B" w:rsidRPr="00EC74DB" w:rsidRDefault="00A60D4B" w:rsidP="00A60D4B">
            <w:pPr>
              <w:pStyle w:val="Btablefigureunbold"/>
            </w:pPr>
            <w:r>
              <w:t>0</w:t>
            </w:r>
          </w:p>
        </w:tc>
        <w:tc>
          <w:tcPr>
            <w:tcW w:w="1162" w:type="dxa"/>
            <w:tcBorders>
              <w:top w:val="nil"/>
              <w:bottom w:val="nil"/>
            </w:tcBorders>
            <w:shd w:val="clear" w:color="472D8C" w:fill="auto"/>
            <w:tcMar>
              <w:left w:w="108" w:type="dxa"/>
            </w:tcMar>
          </w:tcPr>
          <w:p w14:paraId="3DBA8B58" w14:textId="77777777" w:rsidR="00A60D4B" w:rsidRPr="00111524" w:rsidRDefault="00A60D4B" w:rsidP="00A60D4B">
            <w:pPr>
              <w:pStyle w:val="Btablefigureunbold"/>
            </w:pPr>
            <w:r>
              <w:t>0</w:t>
            </w:r>
          </w:p>
        </w:tc>
        <w:tc>
          <w:tcPr>
            <w:tcW w:w="1162" w:type="dxa"/>
            <w:tcBorders>
              <w:top w:val="nil"/>
              <w:bottom w:val="nil"/>
            </w:tcBorders>
            <w:shd w:val="clear" w:color="auto" w:fill="auto"/>
            <w:tcMar>
              <w:left w:w="108" w:type="dxa"/>
            </w:tcMar>
          </w:tcPr>
          <w:p w14:paraId="388072C8"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32C024E5" w14:textId="77777777" w:rsidR="00A60D4B" w:rsidRPr="00EC74DB" w:rsidRDefault="00A60D4B" w:rsidP="00A60D4B">
            <w:pPr>
              <w:pStyle w:val="Btablefigureunbold"/>
            </w:pPr>
            <w:r>
              <w:t>0</w:t>
            </w:r>
          </w:p>
        </w:tc>
      </w:tr>
      <w:tr w:rsidR="00A60D4B" w:rsidRPr="00337DC9" w14:paraId="691A9FDE" w14:textId="77777777" w:rsidTr="00A60D4B">
        <w:trPr>
          <w:cantSplit/>
          <w:trHeight w:val="270"/>
        </w:trPr>
        <w:tc>
          <w:tcPr>
            <w:tcW w:w="3261" w:type="dxa"/>
            <w:tcBorders>
              <w:top w:val="nil"/>
              <w:bottom w:val="single" w:sz="4" w:space="0" w:color="auto"/>
            </w:tcBorders>
          </w:tcPr>
          <w:p w14:paraId="088A8409" w14:textId="77777777" w:rsidR="00A60D4B" w:rsidRPr="00303F30" w:rsidRDefault="00A60D4B" w:rsidP="00A60D4B">
            <w:pPr>
              <w:pStyle w:val="Btabletextunbold"/>
            </w:pPr>
            <w:r w:rsidRPr="00303F30">
              <w:t>Family Law Information Sharing</w:t>
            </w:r>
            <w:r w:rsidRPr="00303F30">
              <w:rPr>
                <w:vertAlign w:val="superscript"/>
              </w:rPr>
              <w:t>1</w:t>
            </w:r>
            <w:r>
              <w:rPr>
                <w:vertAlign w:val="superscript"/>
              </w:rPr>
              <w:t>0</w:t>
            </w:r>
          </w:p>
        </w:tc>
        <w:tc>
          <w:tcPr>
            <w:tcW w:w="1162" w:type="dxa"/>
            <w:tcBorders>
              <w:top w:val="nil"/>
              <w:bottom w:val="single" w:sz="4" w:space="0" w:color="auto"/>
            </w:tcBorders>
            <w:tcMar>
              <w:left w:w="108" w:type="dxa"/>
            </w:tcMar>
          </w:tcPr>
          <w:p w14:paraId="44F7F236" w14:textId="77777777" w:rsidR="00A60D4B" w:rsidRPr="00EC74DB" w:rsidRDefault="00A60D4B" w:rsidP="00A60D4B">
            <w:pPr>
              <w:pStyle w:val="Btablefigureunbold"/>
            </w:pPr>
            <w:r w:rsidRPr="008A0AB4">
              <w:t>136</w:t>
            </w:r>
          </w:p>
        </w:tc>
        <w:tc>
          <w:tcPr>
            <w:tcW w:w="1162" w:type="dxa"/>
            <w:tcBorders>
              <w:top w:val="nil"/>
              <w:bottom w:val="single" w:sz="4" w:space="0" w:color="auto"/>
            </w:tcBorders>
            <w:shd w:val="clear" w:color="auto" w:fill="auto"/>
            <w:tcMar>
              <w:left w:w="108" w:type="dxa"/>
            </w:tcMar>
          </w:tcPr>
          <w:p w14:paraId="7713CA25" w14:textId="77777777" w:rsidR="00A60D4B" w:rsidRPr="00EC74DB" w:rsidRDefault="00A60D4B" w:rsidP="00A60D4B">
            <w:pPr>
              <w:pStyle w:val="Btablefigureunbold"/>
            </w:pPr>
            <w:r w:rsidRPr="008A0AB4">
              <w:t>423</w:t>
            </w:r>
          </w:p>
        </w:tc>
        <w:tc>
          <w:tcPr>
            <w:tcW w:w="1162" w:type="dxa"/>
            <w:tcBorders>
              <w:top w:val="nil"/>
              <w:bottom w:val="single" w:sz="4" w:space="0" w:color="auto"/>
            </w:tcBorders>
            <w:shd w:val="clear" w:color="472D8C" w:fill="auto"/>
            <w:tcMar>
              <w:left w:w="108" w:type="dxa"/>
            </w:tcMar>
          </w:tcPr>
          <w:p w14:paraId="4D3EE70D" w14:textId="77777777" w:rsidR="00A60D4B" w:rsidRPr="00111524" w:rsidRDefault="00A60D4B" w:rsidP="00A60D4B">
            <w:pPr>
              <w:pStyle w:val="Btablefigureunbold"/>
            </w:pPr>
            <w:r>
              <w:t>0</w:t>
            </w:r>
          </w:p>
        </w:tc>
        <w:tc>
          <w:tcPr>
            <w:tcW w:w="1162" w:type="dxa"/>
            <w:tcBorders>
              <w:top w:val="nil"/>
              <w:bottom w:val="single" w:sz="4" w:space="0" w:color="auto"/>
            </w:tcBorders>
            <w:shd w:val="clear" w:color="auto" w:fill="auto"/>
            <w:tcMar>
              <w:left w:w="108" w:type="dxa"/>
            </w:tcMar>
          </w:tcPr>
          <w:p w14:paraId="0132B013" w14:textId="77777777" w:rsidR="00A60D4B" w:rsidRPr="00EC74DB" w:rsidRDefault="00A60D4B" w:rsidP="00A60D4B">
            <w:pPr>
              <w:pStyle w:val="Btablefigureunbold"/>
            </w:pPr>
            <w:r>
              <w:t>0</w:t>
            </w:r>
          </w:p>
        </w:tc>
        <w:tc>
          <w:tcPr>
            <w:tcW w:w="1163" w:type="dxa"/>
            <w:tcBorders>
              <w:top w:val="nil"/>
              <w:bottom w:val="single" w:sz="4" w:space="0" w:color="auto"/>
            </w:tcBorders>
            <w:tcMar>
              <w:left w:w="108" w:type="dxa"/>
            </w:tcMar>
          </w:tcPr>
          <w:p w14:paraId="10996DEC" w14:textId="77777777" w:rsidR="00A60D4B" w:rsidRPr="00EC74DB" w:rsidRDefault="00A60D4B" w:rsidP="00A60D4B">
            <w:pPr>
              <w:pStyle w:val="Btablefigureunbold"/>
            </w:pPr>
            <w:r>
              <w:t>0</w:t>
            </w:r>
          </w:p>
        </w:tc>
      </w:tr>
      <w:tr w:rsidR="00A60D4B" w:rsidRPr="00337DC9" w14:paraId="26F1ACB4" w14:textId="77777777" w:rsidTr="00A60D4B">
        <w:trPr>
          <w:cantSplit/>
          <w:trHeight w:val="270"/>
        </w:trPr>
        <w:tc>
          <w:tcPr>
            <w:tcW w:w="3261" w:type="dxa"/>
            <w:tcBorders>
              <w:top w:val="single" w:sz="4" w:space="0" w:color="auto"/>
              <w:bottom w:val="nil"/>
            </w:tcBorders>
          </w:tcPr>
          <w:p w14:paraId="3D7408A3" w14:textId="77777777" w:rsidR="00A60D4B" w:rsidRPr="001807CF" w:rsidRDefault="00A60D4B" w:rsidP="00A60D4B">
            <w:pPr>
              <w:pStyle w:val="Btabletextunbold"/>
              <w:rPr>
                <w:highlight w:val="yellow"/>
              </w:rPr>
            </w:pPr>
            <w:r w:rsidRPr="00E20F75">
              <w:t>Provision of Fire Services</w:t>
            </w:r>
            <w:r w:rsidRPr="00E20F75">
              <w:rPr>
                <w:vertAlign w:val="superscript"/>
              </w:rPr>
              <w:t>1</w:t>
            </w:r>
            <w:r>
              <w:rPr>
                <w:vertAlign w:val="superscript"/>
              </w:rPr>
              <w:t>1</w:t>
            </w:r>
          </w:p>
        </w:tc>
        <w:tc>
          <w:tcPr>
            <w:tcW w:w="1162" w:type="dxa"/>
            <w:tcBorders>
              <w:top w:val="single" w:sz="4" w:space="0" w:color="auto"/>
              <w:bottom w:val="nil"/>
            </w:tcBorders>
            <w:tcMar>
              <w:left w:w="108" w:type="dxa"/>
            </w:tcMar>
          </w:tcPr>
          <w:p w14:paraId="277C3679" w14:textId="77777777" w:rsidR="00A60D4B" w:rsidRPr="001807CF" w:rsidRDefault="00A60D4B" w:rsidP="00A60D4B">
            <w:pPr>
              <w:pStyle w:val="Btablefigureunbold"/>
              <w:rPr>
                <w:highlight w:val="yellow"/>
              </w:rPr>
            </w:pPr>
            <w:r w:rsidRPr="00AD092B">
              <w:t>5,523</w:t>
            </w:r>
          </w:p>
        </w:tc>
        <w:tc>
          <w:tcPr>
            <w:tcW w:w="1162" w:type="dxa"/>
            <w:tcBorders>
              <w:top w:val="single" w:sz="4" w:space="0" w:color="auto"/>
              <w:bottom w:val="nil"/>
            </w:tcBorders>
            <w:shd w:val="clear" w:color="auto" w:fill="auto"/>
            <w:tcMar>
              <w:left w:w="108" w:type="dxa"/>
            </w:tcMar>
          </w:tcPr>
          <w:p w14:paraId="634290F4" w14:textId="77777777" w:rsidR="00A60D4B" w:rsidRPr="001807CF" w:rsidRDefault="00A60D4B" w:rsidP="00A60D4B">
            <w:pPr>
              <w:pStyle w:val="Btablefigureunbold"/>
              <w:rPr>
                <w:highlight w:val="yellow"/>
              </w:rPr>
            </w:pPr>
            <w:r w:rsidRPr="00AD092B">
              <w:t>5,717</w:t>
            </w:r>
          </w:p>
        </w:tc>
        <w:tc>
          <w:tcPr>
            <w:tcW w:w="1162" w:type="dxa"/>
            <w:tcBorders>
              <w:top w:val="single" w:sz="4" w:space="0" w:color="auto"/>
              <w:bottom w:val="nil"/>
            </w:tcBorders>
            <w:shd w:val="clear" w:color="472D8C" w:fill="auto"/>
            <w:tcMar>
              <w:left w:w="108" w:type="dxa"/>
            </w:tcMar>
          </w:tcPr>
          <w:p w14:paraId="0BBFC80C" w14:textId="77777777" w:rsidR="00A60D4B" w:rsidRPr="001807CF" w:rsidRDefault="00A60D4B" w:rsidP="00A60D4B">
            <w:pPr>
              <w:pStyle w:val="Btablefigureunbold"/>
              <w:rPr>
                <w:highlight w:val="yellow"/>
              </w:rPr>
            </w:pPr>
            <w:r w:rsidRPr="00AD092B">
              <w:t>5,717</w:t>
            </w:r>
          </w:p>
        </w:tc>
        <w:tc>
          <w:tcPr>
            <w:tcW w:w="1162" w:type="dxa"/>
            <w:tcBorders>
              <w:top w:val="single" w:sz="4" w:space="0" w:color="auto"/>
              <w:bottom w:val="nil"/>
            </w:tcBorders>
            <w:shd w:val="clear" w:color="auto" w:fill="auto"/>
            <w:tcMar>
              <w:left w:w="108" w:type="dxa"/>
            </w:tcMar>
          </w:tcPr>
          <w:p w14:paraId="576A1AF2" w14:textId="77777777" w:rsidR="00A60D4B" w:rsidRPr="001807CF" w:rsidRDefault="00A60D4B" w:rsidP="00A60D4B">
            <w:pPr>
              <w:pStyle w:val="Btablefigureunbold"/>
              <w:rPr>
                <w:highlight w:val="yellow"/>
              </w:rPr>
            </w:pPr>
            <w:r w:rsidRPr="00AD092B">
              <w:t>5,717</w:t>
            </w:r>
          </w:p>
        </w:tc>
        <w:tc>
          <w:tcPr>
            <w:tcW w:w="1163" w:type="dxa"/>
            <w:tcBorders>
              <w:top w:val="single" w:sz="4" w:space="0" w:color="auto"/>
              <w:bottom w:val="nil"/>
            </w:tcBorders>
            <w:tcMar>
              <w:left w:w="108" w:type="dxa"/>
            </w:tcMar>
          </w:tcPr>
          <w:p w14:paraId="1C98A4A9" w14:textId="77777777" w:rsidR="00A60D4B" w:rsidRPr="001807CF" w:rsidRDefault="00A60D4B" w:rsidP="00A60D4B">
            <w:pPr>
              <w:pStyle w:val="Btablefigureunbold"/>
              <w:rPr>
                <w:highlight w:val="yellow"/>
              </w:rPr>
            </w:pPr>
            <w:r w:rsidRPr="00AD092B">
              <w:t>5,717</w:t>
            </w:r>
          </w:p>
        </w:tc>
      </w:tr>
      <w:tr w:rsidR="00A60D4B" w:rsidRPr="00337DC9" w14:paraId="099F7667" w14:textId="77777777" w:rsidTr="00A60D4B">
        <w:trPr>
          <w:cantSplit/>
          <w:trHeight w:val="270"/>
        </w:trPr>
        <w:tc>
          <w:tcPr>
            <w:tcW w:w="3261" w:type="dxa"/>
            <w:tcBorders>
              <w:top w:val="nil"/>
              <w:bottom w:val="nil"/>
            </w:tcBorders>
          </w:tcPr>
          <w:p w14:paraId="207B4FE8" w14:textId="77777777" w:rsidR="00A60D4B" w:rsidRPr="00E20F75" w:rsidRDefault="00A60D4B" w:rsidP="00A60D4B">
            <w:pPr>
              <w:pStyle w:val="Btabletextunbold"/>
            </w:pPr>
            <w:r>
              <w:rPr>
                <w:rFonts w:eastAsia="Times New Roman"/>
                <w:color w:val="000000"/>
                <w:szCs w:val="20"/>
                <w:lang w:eastAsia="en-AU"/>
              </w:rPr>
              <w:t>Tourism, Accommodation Provider and Hospitality Industry Support Fund</w:t>
            </w:r>
          </w:p>
        </w:tc>
        <w:tc>
          <w:tcPr>
            <w:tcW w:w="1162" w:type="dxa"/>
            <w:tcBorders>
              <w:top w:val="nil"/>
              <w:bottom w:val="nil"/>
            </w:tcBorders>
            <w:tcMar>
              <w:left w:w="108" w:type="dxa"/>
            </w:tcMar>
          </w:tcPr>
          <w:p w14:paraId="35B53AF1" w14:textId="77777777" w:rsidR="00A60D4B" w:rsidRPr="00AD092B" w:rsidRDefault="00A60D4B" w:rsidP="00A60D4B">
            <w:pPr>
              <w:pStyle w:val="Btablefigureunbold"/>
            </w:pPr>
            <w:r>
              <w:t>0</w:t>
            </w:r>
          </w:p>
        </w:tc>
        <w:tc>
          <w:tcPr>
            <w:tcW w:w="1162" w:type="dxa"/>
            <w:tcBorders>
              <w:top w:val="nil"/>
              <w:bottom w:val="nil"/>
            </w:tcBorders>
            <w:shd w:val="clear" w:color="auto" w:fill="auto"/>
            <w:tcMar>
              <w:left w:w="108" w:type="dxa"/>
            </w:tcMar>
          </w:tcPr>
          <w:p w14:paraId="04A30A38" w14:textId="77777777" w:rsidR="00A60D4B" w:rsidRPr="00AD092B" w:rsidRDefault="00A60D4B" w:rsidP="00A60D4B">
            <w:pPr>
              <w:pStyle w:val="Btablefigureunbold"/>
            </w:pPr>
            <w:r>
              <w:t>3,600</w:t>
            </w:r>
          </w:p>
        </w:tc>
        <w:tc>
          <w:tcPr>
            <w:tcW w:w="1162" w:type="dxa"/>
            <w:tcBorders>
              <w:top w:val="nil"/>
              <w:bottom w:val="nil"/>
            </w:tcBorders>
            <w:shd w:val="clear" w:color="472D8C" w:fill="auto"/>
            <w:tcMar>
              <w:left w:w="108" w:type="dxa"/>
            </w:tcMar>
          </w:tcPr>
          <w:p w14:paraId="7DCBB193" w14:textId="77777777" w:rsidR="00A60D4B" w:rsidRPr="00AD092B" w:rsidRDefault="00A60D4B" w:rsidP="00A60D4B">
            <w:pPr>
              <w:pStyle w:val="Btablefigureunbold"/>
            </w:pPr>
            <w:r>
              <w:t>0</w:t>
            </w:r>
          </w:p>
        </w:tc>
        <w:tc>
          <w:tcPr>
            <w:tcW w:w="1162" w:type="dxa"/>
            <w:tcBorders>
              <w:top w:val="nil"/>
              <w:bottom w:val="nil"/>
            </w:tcBorders>
            <w:shd w:val="clear" w:color="auto" w:fill="auto"/>
            <w:tcMar>
              <w:left w:w="108" w:type="dxa"/>
            </w:tcMar>
          </w:tcPr>
          <w:p w14:paraId="0A684D31" w14:textId="77777777" w:rsidR="00A60D4B" w:rsidRPr="00AD092B" w:rsidRDefault="00A60D4B" w:rsidP="00A60D4B">
            <w:pPr>
              <w:pStyle w:val="Btablefigureunbold"/>
            </w:pPr>
            <w:r>
              <w:t>0</w:t>
            </w:r>
          </w:p>
        </w:tc>
        <w:tc>
          <w:tcPr>
            <w:tcW w:w="1163" w:type="dxa"/>
            <w:tcBorders>
              <w:top w:val="nil"/>
              <w:bottom w:val="nil"/>
            </w:tcBorders>
            <w:tcMar>
              <w:left w:w="108" w:type="dxa"/>
            </w:tcMar>
          </w:tcPr>
          <w:p w14:paraId="5E65FCC8" w14:textId="77777777" w:rsidR="00A60D4B" w:rsidRPr="00AD092B" w:rsidRDefault="00A60D4B" w:rsidP="00A60D4B">
            <w:pPr>
              <w:pStyle w:val="Btablefigureunbold"/>
            </w:pPr>
            <w:r>
              <w:t>0</w:t>
            </w:r>
          </w:p>
        </w:tc>
      </w:tr>
      <w:tr w:rsidR="00A60D4B" w:rsidRPr="00337DC9" w14:paraId="62C75363" w14:textId="77777777" w:rsidTr="00A60D4B">
        <w:trPr>
          <w:cantSplit/>
          <w:trHeight w:val="270"/>
        </w:trPr>
        <w:tc>
          <w:tcPr>
            <w:tcW w:w="3261" w:type="dxa"/>
            <w:tcBorders>
              <w:top w:val="nil"/>
              <w:bottom w:val="nil"/>
            </w:tcBorders>
          </w:tcPr>
          <w:p w14:paraId="458DF68E" w14:textId="77777777" w:rsidR="00A60D4B" w:rsidRDefault="00A60D4B" w:rsidP="00A60D4B">
            <w:pPr>
              <w:pStyle w:val="Btabletextbold"/>
              <w:keepNext/>
            </w:pPr>
            <w:r>
              <w:t>National Legal Assistance Partnership</w:t>
            </w:r>
          </w:p>
        </w:tc>
        <w:tc>
          <w:tcPr>
            <w:tcW w:w="1162" w:type="dxa"/>
            <w:tcBorders>
              <w:top w:val="nil"/>
              <w:bottom w:val="nil"/>
            </w:tcBorders>
            <w:tcMar>
              <w:left w:w="108" w:type="dxa"/>
            </w:tcMar>
          </w:tcPr>
          <w:p w14:paraId="723874B5" w14:textId="77777777" w:rsidR="00A60D4B" w:rsidRPr="00EC74DB" w:rsidRDefault="00A60D4B" w:rsidP="00A60D4B">
            <w:pPr>
              <w:pStyle w:val="Btablefigureunbold"/>
            </w:pPr>
          </w:p>
        </w:tc>
        <w:tc>
          <w:tcPr>
            <w:tcW w:w="1162" w:type="dxa"/>
            <w:tcBorders>
              <w:top w:val="nil"/>
              <w:bottom w:val="nil"/>
            </w:tcBorders>
            <w:shd w:val="clear" w:color="auto" w:fill="auto"/>
            <w:tcMar>
              <w:left w:w="108" w:type="dxa"/>
            </w:tcMar>
          </w:tcPr>
          <w:p w14:paraId="7AE23CC3" w14:textId="77777777" w:rsidR="00A60D4B" w:rsidRPr="00EC74DB" w:rsidRDefault="00A60D4B" w:rsidP="00A60D4B">
            <w:pPr>
              <w:pStyle w:val="Btablefigureunbold"/>
            </w:pPr>
          </w:p>
        </w:tc>
        <w:tc>
          <w:tcPr>
            <w:tcW w:w="1162" w:type="dxa"/>
            <w:tcBorders>
              <w:top w:val="nil"/>
              <w:bottom w:val="nil"/>
            </w:tcBorders>
            <w:shd w:val="clear" w:color="472D8C" w:fill="auto"/>
            <w:tcMar>
              <w:left w:w="108" w:type="dxa"/>
            </w:tcMar>
          </w:tcPr>
          <w:p w14:paraId="5441EC2A" w14:textId="77777777" w:rsidR="00A60D4B" w:rsidRPr="00111524" w:rsidRDefault="00A60D4B" w:rsidP="00A60D4B">
            <w:pPr>
              <w:pStyle w:val="Btablefigureunbold"/>
            </w:pPr>
          </w:p>
        </w:tc>
        <w:tc>
          <w:tcPr>
            <w:tcW w:w="1162" w:type="dxa"/>
            <w:tcBorders>
              <w:top w:val="nil"/>
              <w:bottom w:val="nil"/>
            </w:tcBorders>
            <w:shd w:val="clear" w:color="auto" w:fill="auto"/>
            <w:tcMar>
              <w:left w:w="108" w:type="dxa"/>
            </w:tcMar>
          </w:tcPr>
          <w:p w14:paraId="000DF3AF" w14:textId="77777777" w:rsidR="00A60D4B" w:rsidRPr="00EC74DB" w:rsidRDefault="00A60D4B" w:rsidP="00A60D4B">
            <w:pPr>
              <w:pStyle w:val="Btablefigureunbold"/>
            </w:pPr>
          </w:p>
        </w:tc>
        <w:tc>
          <w:tcPr>
            <w:tcW w:w="1163" w:type="dxa"/>
            <w:tcBorders>
              <w:top w:val="nil"/>
              <w:bottom w:val="nil"/>
            </w:tcBorders>
            <w:tcMar>
              <w:left w:w="108" w:type="dxa"/>
            </w:tcMar>
          </w:tcPr>
          <w:p w14:paraId="324A2DAF" w14:textId="77777777" w:rsidR="00A60D4B" w:rsidRPr="00EC74DB" w:rsidRDefault="00A60D4B" w:rsidP="00A60D4B">
            <w:pPr>
              <w:pStyle w:val="Btablefigureunbold"/>
            </w:pPr>
          </w:p>
        </w:tc>
      </w:tr>
      <w:tr w:rsidR="00A60D4B" w:rsidRPr="00337DC9" w14:paraId="2E5431CA" w14:textId="77777777" w:rsidTr="00A60D4B">
        <w:trPr>
          <w:cantSplit/>
          <w:trHeight w:val="270"/>
        </w:trPr>
        <w:tc>
          <w:tcPr>
            <w:tcW w:w="3261" w:type="dxa"/>
            <w:tcBorders>
              <w:top w:val="nil"/>
              <w:bottom w:val="nil"/>
            </w:tcBorders>
          </w:tcPr>
          <w:p w14:paraId="13D6E904" w14:textId="77777777" w:rsidR="00A60D4B" w:rsidRDefault="00A60D4B" w:rsidP="00A60D4B">
            <w:pPr>
              <w:pStyle w:val="Btabletextunbold"/>
            </w:pPr>
            <w:r>
              <w:t>Aboriginal and Torres Strait islander Legal Services</w:t>
            </w:r>
          </w:p>
        </w:tc>
        <w:tc>
          <w:tcPr>
            <w:tcW w:w="1162" w:type="dxa"/>
            <w:tcBorders>
              <w:top w:val="nil"/>
              <w:bottom w:val="nil"/>
            </w:tcBorders>
            <w:tcMar>
              <w:left w:w="108" w:type="dxa"/>
            </w:tcMar>
          </w:tcPr>
          <w:p w14:paraId="36B5EF15" w14:textId="77777777" w:rsidR="00A60D4B" w:rsidRPr="00EC74DB" w:rsidRDefault="00A60D4B" w:rsidP="00A60D4B">
            <w:pPr>
              <w:pStyle w:val="Btablefigureunbold"/>
            </w:pPr>
            <w:r w:rsidRPr="00F7442D">
              <w:t xml:space="preserve">766 </w:t>
            </w:r>
          </w:p>
        </w:tc>
        <w:tc>
          <w:tcPr>
            <w:tcW w:w="1162" w:type="dxa"/>
            <w:tcBorders>
              <w:top w:val="nil"/>
              <w:bottom w:val="nil"/>
            </w:tcBorders>
            <w:shd w:val="clear" w:color="auto" w:fill="auto"/>
            <w:tcMar>
              <w:left w:w="108" w:type="dxa"/>
            </w:tcMar>
          </w:tcPr>
          <w:p w14:paraId="7CA1CE0B" w14:textId="77777777" w:rsidR="00A60D4B" w:rsidRPr="00EC74DB" w:rsidRDefault="00A60D4B" w:rsidP="00A60D4B">
            <w:pPr>
              <w:pStyle w:val="Btablefigureunbold"/>
            </w:pPr>
            <w:r w:rsidRPr="00F7442D">
              <w:t>782</w:t>
            </w:r>
          </w:p>
        </w:tc>
        <w:tc>
          <w:tcPr>
            <w:tcW w:w="1162" w:type="dxa"/>
            <w:tcBorders>
              <w:top w:val="nil"/>
              <w:bottom w:val="nil"/>
            </w:tcBorders>
            <w:shd w:val="clear" w:color="472D8C" w:fill="auto"/>
            <w:tcMar>
              <w:left w:w="108" w:type="dxa"/>
            </w:tcMar>
          </w:tcPr>
          <w:p w14:paraId="666A7EE5" w14:textId="77777777" w:rsidR="00A60D4B" w:rsidRPr="00111524" w:rsidRDefault="00A60D4B" w:rsidP="00A60D4B">
            <w:pPr>
              <w:pStyle w:val="Btablefigureunbold"/>
            </w:pPr>
            <w:r w:rsidRPr="00F7442D">
              <w:t>799</w:t>
            </w:r>
          </w:p>
        </w:tc>
        <w:tc>
          <w:tcPr>
            <w:tcW w:w="1162" w:type="dxa"/>
            <w:tcBorders>
              <w:top w:val="nil"/>
              <w:bottom w:val="nil"/>
            </w:tcBorders>
            <w:shd w:val="clear" w:color="auto" w:fill="auto"/>
            <w:tcMar>
              <w:left w:w="108" w:type="dxa"/>
            </w:tcMar>
          </w:tcPr>
          <w:p w14:paraId="1E92FD9F" w14:textId="77777777" w:rsidR="00A60D4B" w:rsidRPr="00EC74DB" w:rsidRDefault="00A60D4B" w:rsidP="00A60D4B">
            <w:pPr>
              <w:pStyle w:val="Btablefigureunbold"/>
            </w:pPr>
            <w:r w:rsidRPr="00F7442D">
              <w:t>815</w:t>
            </w:r>
          </w:p>
        </w:tc>
        <w:tc>
          <w:tcPr>
            <w:tcW w:w="1163" w:type="dxa"/>
            <w:tcBorders>
              <w:top w:val="nil"/>
              <w:bottom w:val="nil"/>
            </w:tcBorders>
            <w:tcMar>
              <w:left w:w="108" w:type="dxa"/>
            </w:tcMar>
          </w:tcPr>
          <w:p w14:paraId="08187BDB" w14:textId="77777777" w:rsidR="00A60D4B" w:rsidRPr="00EC74DB" w:rsidRDefault="00A60D4B" w:rsidP="00A60D4B">
            <w:pPr>
              <w:pStyle w:val="Btablefigureunbold"/>
            </w:pPr>
            <w:r w:rsidRPr="00F7442D">
              <w:t>832</w:t>
            </w:r>
          </w:p>
        </w:tc>
      </w:tr>
      <w:tr w:rsidR="00A60D4B" w:rsidRPr="00337DC9" w14:paraId="44C766C9" w14:textId="77777777" w:rsidTr="00A60D4B">
        <w:trPr>
          <w:cantSplit/>
          <w:trHeight w:val="270"/>
        </w:trPr>
        <w:tc>
          <w:tcPr>
            <w:tcW w:w="3261" w:type="dxa"/>
            <w:tcBorders>
              <w:top w:val="nil"/>
              <w:bottom w:val="nil"/>
            </w:tcBorders>
          </w:tcPr>
          <w:p w14:paraId="6F06D2D2" w14:textId="77777777" w:rsidR="00A60D4B" w:rsidRDefault="00A60D4B" w:rsidP="00A60D4B">
            <w:pPr>
              <w:pStyle w:val="Btabletextunbold"/>
            </w:pPr>
            <w:r>
              <w:t>Community legal centres</w:t>
            </w:r>
          </w:p>
        </w:tc>
        <w:tc>
          <w:tcPr>
            <w:tcW w:w="1162" w:type="dxa"/>
            <w:tcBorders>
              <w:top w:val="nil"/>
              <w:bottom w:val="nil"/>
            </w:tcBorders>
            <w:tcMar>
              <w:left w:w="108" w:type="dxa"/>
            </w:tcMar>
          </w:tcPr>
          <w:p w14:paraId="73D2A438" w14:textId="77777777" w:rsidR="00A60D4B" w:rsidRPr="00EC74DB" w:rsidRDefault="00A60D4B" w:rsidP="00A60D4B">
            <w:pPr>
              <w:pStyle w:val="Btablefigureunbold"/>
            </w:pPr>
            <w:r w:rsidRPr="00F7442D">
              <w:t>1,084</w:t>
            </w:r>
          </w:p>
        </w:tc>
        <w:tc>
          <w:tcPr>
            <w:tcW w:w="1162" w:type="dxa"/>
            <w:tcBorders>
              <w:top w:val="nil"/>
              <w:bottom w:val="nil"/>
            </w:tcBorders>
            <w:shd w:val="clear" w:color="auto" w:fill="auto"/>
            <w:tcMar>
              <w:left w:w="108" w:type="dxa"/>
            </w:tcMar>
          </w:tcPr>
          <w:p w14:paraId="72F2E1C4" w14:textId="77777777" w:rsidR="00A60D4B" w:rsidRPr="00EC74DB" w:rsidRDefault="00A60D4B" w:rsidP="00A60D4B">
            <w:pPr>
              <w:pStyle w:val="Btablefigureunbold"/>
            </w:pPr>
            <w:r w:rsidRPr="00F7442D">
              <w:t>1,280</w:t>
            </w:r>
          </w:p>
        </w:tc>
        <w:tc>
          <w:tcPr>
            <w:tcW w:w="1162" w:type="dxa"/>
            <w:tcBorders>
              <w:top w:val="nil"/>
              <w:bottom w:val="nil"/>
            </w:tcBorders>
            <w:shd w:val="clear" w:color="472D8C" w:fill="auto"/>
            <w:tcMar>
              <w:left w:w="108" w:type="dxa"/>
            </w:tcMar>
          </w:tcPr>
          <w:p w14:paraId="6ACC0BEB" w14:textId="77777777" w:rsidR="00A60D4B" w:rsidRPr="00111524" w:rsidRDefault="00A60D4B" w:rsidP="00A60D4B">
            <w:pPr>
              <w:pStyle w:val="Btablefigureunbold"/>
            </w:pPr>
            <w:r w:rsidRPr="00F7442D">
              <w:t>1,294</w:t>
            </w:r>
          </w:p>
        </w:tc>
        <w:tc>
          <w:tcPr>
            <w:tcW w:w="1162" w:type="dxa"/>
            <w:tcBorders>
              <w:top w:val="nil"/>
              <w:bottom w:val="nil"/>
            </w:tcBorders>
            <w:shd w:val="clear" w:color="auto" w:fill="auto"/>
            <w:tcMar>
              <w:left w:w="108" w:type="dxa"/>
            </w:tcMar>
          </w:tcPr>
          <w:p w14:paraId="30F22FFB" w14:textId="77777777" w:rsidR="00A60D4B" w:rsidRPr="00EC74DB" w:rsidRDefault="00A60D4B" w:rsidP="00A60D4B">
            <w:pPr>
              <w:pStyle w:val="Btablefigureunbold"/>
            </w:pPr>
            <w:r w:rsidRPr="00F7442D">
              <w:t>1,310</w:t>
            </w:r>
          </w:p>
        </w:tc>
        <w:tc>
          <w:tcPr>
            <w:tcW w:w="1163" w:type="dxa"/>
            <w:tcBorders>
              <w:top w:val="nil"/>
              <w:bottom w:val="nil"/>
            </w:tcBorders>
            <w:tcMar>
              <w:left w:w="108" w:type="dxa"/>
            </w:tcMar>
          </w:tcPr>
          <w:p w14:paraId="56278287" w14:textId="77777777" w:rsidR="00A60D4B" w:rsidRPr="00EC74DB" w:rsidRDefault="00A60D4B" w:rsidP="00A60D4B">
            <w:pPr>
              <w:pStyle w:val="Btablefigureunbold"/>
            </w:pPr>
            <w:r w:rsidRPr="00F7442D">
              <w:t>1,325</w:t>
            </w:r>
          </w:p>
        </w:tc>
      </w:tr>
      <w:tr w:rsidR="00A60D4B" w:rsidRPr="00337DC9" w14:paraId="2B29DE6B" w14:textId="77777777" w:rsidTr="00A60D4B">
        <w:trPr>
          <w:cantSplit/>
          <w:trHeight w:val="270"/>
        </w:trPr>
        <w:tc>
          <w:tcPr>
            <w:tcW w:w="3261" w:type="dxa"/>
            <w:tcBorders>
              <w:top w:val="nil"/>
              <w:bottom w:val="nil"/>
            </w:tcBorders>
          </w:tcPr>
          <w:p w14:paraId="30BEFC85" w14:textId="77777777" w:rsidR="00A60D4B" w:rsidRPr="00613DC1" w:rsidRDefault="00A60D4B" w:rsidP="00A60D4B">
            <w:pPr>
              <w:pStyle w:val="Btabletextunbold"/>
            </w:pPr>
            <w:r w:rsidRPr="00613DC1">
              <w:t>Domestic Violence Units and Health Justice Partnerships</w:t>
            </w:r>
          </w:p>
        </w:tc>
        <w:tc>
          <w:tcPr>
            <w:tcW w:w="1162" w:type="dxa"/>
            <w:tcBorders>
              <w:top w:val="nil"/>
              <w:bottom w:val="nil"/>
            </w:tcBorders>
            <w:tcMar>
              <w:left w:w="108" w:type="dxa"/>
            </w:tcMar>
          </w:tcPr>
          <w:p w14:paraId="29EA4971" w14:textId="77777777" w:rsidR="00A60D4B" w:rsidRPr="00613DC1" w:rsidRDefault="00A60D4B" w:rsidP="00A60D4B">
            <w:pPr>
              <w:pStyle w:val="Btablefigureunbold"/>
            </w:pPr>
            <w:r w:rsidRPr="00613DC1">
              <w:t>458</w:t>
            </w:r>
          </w:p>
        </w:tc>
        <w:tc>
          <w:tcPr>
            <w:tcW w:w="1162" w:type="dxa"/>
            <w:tcBorders>
              <w:top w:val="nil"/>
              <w:bottom w:val="nil"/>
            </w:tcBorders>
            <w:shd w:val="clear" w:color="auto" w:fill="auto"/>
            <w:tcMar>
              <w:left w:w="108" w:type="dxa"/>
            </w:tcMar>
          </w:tcPr>
          <w:p w14:paraId="1C1046B3" w14:textId="77777777" w:rsidR="00A60D4B" w:rsidRPr="00613DC1" w:rsidRDefault="00A60D4B" w:rsidP="00A60D4B">
            <w:pPr>
              <w:pStyle w:val="Btablefigureunbold"/>
            </w:pPr>
            <w:r w:rsidRPr="006B7DE5">
              <w:t>608</w:t>
            </w:r>
          </w:p>
        </w:tc>
        <w:tc>
          <w:tcPr>
            <w:tcW w:w="1162" w:type="dxa"/>
            <w:tcBorders>
              <w:top w:val="nil"/>
              <w:bottom w:val="nil"/>
            </w:tcBorders>
            <w:shd w:val="clear" w:color="472D8C" w:fill="auto"/>
            <w:tcMar>
              <w:left w:w="108" w:type="dxa"/>
            </w:tcMar>
          </w:tcPr>
          <w:p w14:paraId="377501EB" w14:textId="77777777" w:rsidR="00A60D4B" w:rsidRPr="00613DC1" w:rsidRDefault="00A60D4B" w:rsidP="00A60D4B">
            <w:pPr>
              <w:pStyle w:val="Btablefigureunbold"/>
            </w:pPr>
            <w:r w:rsidRPr="006B7DE5">
              <w:t>617</w:t>
            </w:r>
          </w:p>
        </w:tc>
        <w:tc>
          <w:tcPr>
            <w:tcW w:w="1162" w:type="dxa"/>
            <w:tcBorders>
              <w:top w:val="nil"/>
              <w:bottom w:val="nil"/>
            </w:tcBorders>
            <w:shd w:val="clear" w:color="auto" w:fill="auto"/>
            <w:tcMar>
              <w:left w:w="108" w:type="dxa"/>
            </w:tcMar>
          </w:tcPr>
          <w:p w14:paraId="1ED75363" w14:textId="77777777" w:rsidR="00A60D4B" w:rsidRPr="00613DC1" w:rsidRDefault="00A60D4B" w:rsidP="00A60D4B">
            <w:pPr>
              <w:pStyle w:val="Btablefigureunbold"/>
            </w:pPr>
            <w:r w:rsidRPr="006B7DE5">
              <w:t>627</w:t>
            </w:r>
          </w:p>
        </w:tc>
        <w:tc>
          <w:tcPr>
            <w:tcW w:w="1163" w:type="dxa"/>
            <w:tcBorders>
              <w:top w:val="nil"/>
              <w:bottom w:val="nil"/>
            </w:tcBorders>
            <w:tcMar>
              <w:left w:w="108" w:type="dxa"/>
            </w:tcMar>
          </w:tcPr>
          <w:p w14:paraId="45A6CD96" w14:textId="77777777" w:rsidR="00A60D4B" w:rsidRPr="00613DC1" w:rsidRDefault="00A60D4B" w:rsidP="00A60D4B">
            <w:pPr>
              <w:pStyle w:val="Btablefigureunbold"/>
            </w:pPr>
            <w:r w:rsidRPr="006B7DE5">
              <w:t>637</w:t>
            </w:r>
          </w:p>
        </w:tc>
      </w:tr>
      <w:tr w:rsidR="00A60D4B" w:rsidRPr="00337DC9" w14:paraId="53B3D3AB" w14:textId="77777777" w:rsidTr="00A60D4B">
        <w:trPr>
          <w:cantSplit/>
          <w:trHeight w:val="270"/>
        </w:trPr>
        <w:tc>
          <w:tcPr>
            <w:tcW w:w="3261" w:type="dxa"/>
            <w:tcBorders>
              <w:top w:val="nil"/>
              <w:bottom w:val="nil"/>
            </w:tcBorders>
          </w:tcPr>
          <w:p w14:paraId="00466A12" w14:textId="77777777" w:rsidR="00A60D4B" w:rsidRPr="00613DC1" w:rsidRDefault="00A60D4B" w:rsidP="00A60D4B">
            <w:pPr>
              <w:pStyle w:val="Btabletextunbold"/>
            </w:pPr>
            <w:r w:rsidRPr="00613DC1">
              <w:t>Family advocacy and support services</w:t>
            </w:r>
          </w:p>
        </w:tc>
        <w:tc>
          <w:tcPr>
            <w:tcW w:w="1162" w:type="dxa"/>
            <w:tcBorders>
              <w:top w:val="nil"/>
              <w:bottom w:val="nil"/>
            </w:tcBorders>
            <w:tcMar>
              <w:left w:w="108" w:type="dxa"/>
            </w:tcMar>
          </w:tcPr>
          <w:p w14:paraId="285FD4AF" w14:textId="77777777" w:rsidR="00A60D4B" w:rsidRPr="00613DC1" w:rsidRDefault="00A60D4B" w:rsidP="00A60D4B">
            <w:pPr>
              <w:pStyle w:val="Btablefigureunbold"/>
            </w:pPr>
            <w:r w:rsidRPr="00613DC1">
              <w:t>742</w:t>
            </w:r>
          </w:p>
        </w:tc>
        <w:tc>
          <w:tcPr>
            <w:tcW w:w="1162" w:type="dxa"/>
            <w:tcBorders>
              <w:top w:val="nil"/>
              <w:bottom w:val="nil"/>
            </w:tcBorders>
            <w:shd w:val="clear" w:color="auto" w:fill="auto"/>
            <w:tcMar>
              <w:left w:w="108" w:type="dxa"/>
            </w:tcMar>
          </w:tcPr>
          <w:p w14:paraId="7F6F147D" w14:textId="77777777" w:rsidR="00A60D4B" w:rsidRPr="00613DC1" w:rsidRDefault="00A60D4B" w:rsidP="00A60D4B">
            <w:pPr>
              <w:pStyle w:val="Btablefigureunbold"/>
            </w:pPr>
            <w:r w:rsidRPr="00613DC1">
              <w:t>753</w:t>
            </w:r>
          </w:p>
        </w:tc>
        <w:tc>
          <w:tcPr>
            <w:tcW w:w="1162" w:type="dxa"/>
            <w:tcBorders>
              <w:top w:val="nil"/>
              <w:bottom w:val="nil"/>
            </w:tcBorders>
            <w:shd w:val="clear" w:color="472D8C" w:fill="auto"/>
            <w:tcMar>
              <w:left w:w="108" w:type="dxa"/>
            </w:tcMar>
          </w:tcPr>
          <w:p w14:paraId="6372029C" w14:textId="77777777" w:rsidR="00A60D4B" w:rsidRPr="00613DC1" w:rsidRDefault="00A60D4B" w:rsidP="00A60D4B">
            <w:pPr>
              <w:pStyle w:val="Btablefigureunbold"/>
            </w:pPr>
            <w:r w:rsidRPr="00C94BBE">
              <w:t>897</w:t>
            </w:r>
          </w:p>
        </w:tc>
        <w:tc>
          <w:tcPr>
            <w:tcW w:w="1162" w:type="dxa"/>
            <w:tcBorders>
              <w:top w:val="nil"/>
              <w:bottom w:val="nil"/>
            </w:tcBorders>
            <w:shd w:val="clear" w:color="auto" w:fill="auto"/>
            <w:tcMar>
              <w:left w:w="108" w:type="dxa"/>
            </w:tcMar>
          </w:tcPr>
          <w:p w14:paraId="27DAF69C" w14:textId="77777777" w:rsidR="00A60D4B" w:rsidRPr="00613DC1" w:rsidRDefault="00A60D4B" w:rsidP="00A60D4B">
            <w:pPr>
              <w:pStyle w:val="Btablefigureunbold"/>
            </w:pPr>
            <w:r w:rsidRPr="00C94BBE">
              <w:t>916</w:t>
            </w:r>
          </w:p>
        </w:tc>
        <w:tc>
          <w:tcPr>
            <w:tcW w:w="1163" w:type="dxa"/>
            <w:tcBorders>
              <w:top w:val="nil"/>
              <w:bottom w:val="nil"/>
            </w:tcBorders>
            <w:tcMar>
              <w:left w:w="108" w:type="dxa"/>
            </w:tcMar>
          </w:tcPr>
          <w:p w14:paraId="163393A5" w14:textId="77777777" w:rsidR="00A60D4B" w:rsidRPr="00613DC1" w:rsidRDefault="00A60D4B" w:rsidP="00A60D4B">
            <w:pPr>
              <w:pStyle w:val="Btablefigureunbold"/>
            </w:pPr>
            <w:r w:rsidRPr="00C94BBE">
              <w:t>937</w:t>
            </w:r>
          </w:p>
        </w:tc>
      </w:tr>
      <w:tr w:rsidR="00A60D4B" w:rsidRPr="00337DC9" w14:paraId="0E6747D9" w14:textId="77777777" w:rsidTr="00A60D4B">
        <w:trPr>
          <w:cantSplit/>
          <w:trHeight w:val="270"/>
        </w:trPr>
        <w:tc>
          <w:tcPr>
            <w:tcW w:w="3261" w:type="dxa"/>
            <w:tcBorders>
              <w:top w:val="nil"/>
              <w:bottom w:val="nil"/>
            </w:tcBorders>
          </w:tcPr>
          <w:p w14:paraId="34CC1FD6" w14:textId="77777777" w:rsidR="00A60D4B" w:rsidRDefault="00A60D4B" w:rsidP="00A60D4B">
            <w:pPr>
              <w:pStyle w:val="Btabletextunbold"/>
            </w:pPr>
            <w:r w:rsidRPr="00613DC1">
              <w:t>Front-line support to address workplace sexual harassment</w:t>
            </w:r>
          </w:p>
        </w:tc>
        <w:tc>
          <w:tcPr>
            <w:tcW w:w="1162" w:type="dxa"/>
            <w:tcBorders>
              <w:top w:val="nil"/>
              <w:bottom w:val="nil"/>
            </w:tcBorders>
            <w:tcMar>
              <w:left w:w="108" w:type="dxa"/>
            </w:tcMar>
          </w:tcPr>
          <w:p w14:paraId="15EE30FB" w14:textId="77777777" w:rsidR="00A60D4B" w:rsidRPr="00F7442D" w:rsidRDefault="00A60D4B" w:rsidP="00A60D4B">
            <w:pPr>
              <w:pStyle w:val="Btablefigureunbold"/>
            </w:pPr>
            <w:r w:rsidRPr="003441C3">
              <w:t>0</w:t>
            </w:r>
          </w:p>
        </w:tc>
        <w:tc>
          <w:tcPr>
            <w:tcW w:w="1162" w:type="dxa"/>
            <w:tcBorders>
              <w:top w:val="nil"/>
              <w:bottom w:val="nil"/>
            </w:tcBorders>
            <w:shd w:val="clear" w:color="auto" w:fill="auto"/>
            <w:tcMar>
              <w:left w:w="108" w:type="dxa"/>
            </w:tcMar>
          </w:tcPr>
          <w:p w14:paraId="6DD9D7A9" w14:textId="77777777" w:rsidR="00A60D4B" w:rsidRPr="00F7442D" w:rsidRDefault="00A60D4B" w:rsidP="00A60D4B">
            <w:pPr>
              <w:pStyle w:val="Btablefigureunbold"/>
            </w:pPr>
            <w:r w:rsidRPr="003441C3">
              <w:t>208</w:t>
            </w:r>
          </w:p>
        </w:tc>
        <w:tc>
          <w:tcPr>
            <w:tcW w:w="1162" w:type="dxa"/>
            <w:tcBorders>
              <w:top w:val="nil"/>
              <w:bottom w:val="nil"/>
            </w:tcBorders>
            <w:shd w:val="clear" w:color="472D8C" w:fill="auto"/>
            <w:tcMar>
              <w:left w:w="108" w:type="dxa"/>
            </w:tcMar>
          </w:tcPr>
          <w:p w14:paraId="59335D5D" w14:textId="77777777" w:rsidR="00A60D4B" w:rsidRPr="00F7442D" w:rsidRDefault="00A60D4B" w:rsidP="00A60D4B">
            <w:pPr>
              <w:pStyle w:val="Btablefigureunbold"/>
            </w:pPr>
            <w:r w:rsidRPr="003441C3">
              <w:t>208</w:t>
            </w:r>
          </w:p>
        </w:tc>
        <w:tc>
          <w:tcPr>
            <w:tcW w:w="1162" w:type="dxa"/>
            <w:tcBorders>
              <w:top w:val="nil"/>
              <w:bottom w:val="nil"/>
            </w:tcBorders>
            <w:shd w:val="clear" w:color="auto" w:fill="auto"/>
            <w:tcMar>
              <w:left w:w="108" w:type="dxa"/>
            </w:tcMar>
          </w:tcPr>
          <w:p w14:paraId="22919313" w14:textId="77777777" w:rsidR="00A60D4B" w:rsidRPr="00F7442D" w:rsidRDefault="00A60D4B" w:rsidP="00A60D4B">
            <w:pPr>
              <w:pStyle w:val="Btablefigureunbold"/>
            </w:pPr>
            <w:r w:rsidRPr="003441C3">
              <w:t>212</w:t>
            </w:r>
          </w:p>
        </w:tc>
        <w:tc>
          <w:tcPr>
            <w:tcW w:w="1163" w:type="dxa"/>
            <w:tcBorders>
              <w:top w:val="nil"/>
              <w:bottom w:val="nil"/>
            </w:tcBorders>
            <w:tcMar>
              <w:left w:w="108" w:type="dxa"/>
            </w:tcMar>
          </w:tcPr>
          <w:p w14:paraId="45C41505" w14:textId="77777777" w:rsidR="00A60D4B" w:rsidRPr="00F7442D" w:rsidRDefault="00A60D4B" w:rsidP="00A60D4B">
            <w:pPr>
              <w:pStyle w:val="Btablefigureunbold"/>
            </w:pPr>
            <w:r w:rsidRPr="003441C3">
              <w:t>215</w:t>
            </w:r>
          </w:p>
        </w:tc>
      </w:tr>
      <w:tr w:rsidR="00A60D4B" w:rsidRPr="00337DC9" w14:paraId="3A48B7A7" w14:textId="77777777" w:rsidTr="00A60D4B">
        <w:trPr>
          <w:cantSplit/>
          <w:trHeight w:val="270"/>
        </w:trPr>
        <w:tc>
          <w:tcPr>
            <w:tcW w:w="3261" w:type="dxa"/>
            <w:tcBorders>
              <w:top w:val="nil"/>
              <w:bottom w:val="nil"/>
            </w:tcBorders>
          </w:tcPr>
          <w:p w14:paraId="2B3BF9F1" w14:textId="77777777" w:rsidR="00A60D4B" w:rsidRDefault="00A60D4B" w:rsidP="00A60D4B">
            <w:pPr>
              <w:pStyle w:val="Btabletextunbold"/>
            </w:pPr>
            <w:r w:rsidRPr="00613DC1">
              <w:t>Increased legal assistance funding for vulnerable women</w:t>
            </w:r>
          </w:p>
        </w:tc>
        <w:tc>
          <w:tcPr>
            <w:tcW w:w="1162" w:type="dxa"/>
            <w:tcBorders>
              <w:top w:val="nil"/>
              <w:bottom w:val="nil"/>
            </w:tcBorders>
            <w:tcMar>
              <w:left w:w="108" w:type="dxa"/>
            </w:tcMar>
          </w:tcPr>
          <w:p w14:paraId="36F06F8A" w14:textId="77777777" w:rsidR="00A60D4B" w:rsidRPr="00F7442D" w:rsidRDefault="00A60D4B" w:rsidP="00A60D4B">
            <w:pPr>
              <w:pStyle w:val="Btablefigureunbold"/>
            </w:pPr>
            <w:r w:rsidRPr="00BB21B9">
              <w:t>0</w:t>
            </w:r>
          </w:p>
        </w:tc>
        <w:tc>
          <w:tcPr>
            <w:tcW w:w="1162" w:type="dxa"/>
            <w:tcBorders>
              <w:top w:val="nil"/>
              <w:bottom w:val="nil"/>
            </w:tcBorders>
            <w:shd w:val="clear" w:color="auto" w:fill="auto"/>
            <w:tcMar>
              <w:left w:w="108" w:type="dxa"/>
            </w:tcMar>
          </w:tcPr>
          <w:p w14:paraId="40F3C492" w14:textId="77777777" w:rsidR="00A60D4B" w:rsidRPr="00F7442D" w:rsidRDefault="00A60D4B" w:rsidP="00A60D4B">
            <w:pPr>
              <w:pStyle w:val="Btablefigureunbold"/>
            </w:pPr>
            <w:r w:rsidRPr="00BB21B9">
              <w:t>688</w:t>
            </w:r>
          </w:p>
        </w:tc>
        <w:tc>
          <w:tcPr>
            <w:tcW w:w="1162" w:type="dxa"/>
            <w:tcBorders>
              <w:top w:val="nil"/>
              <w:bottom w:val="nil"/>
            </w:tcBorders>
            <w:shd w:val="clear" w:color="472D8C" w:fill="auto"/>
            <w:tcMar>
              <w:left w:w="108" w:type="dxa"/>
            </w:tcMar>
          </w:tcPr>
          <w:p w14:paraId="62C8DACC" w14:textId="77777777" w:rsidR="00A60D4B" w:rsidRPr="00F7442D" w:rsidRDefault="00A60D4B" w:rsidP="00A60D4B">
            <w:pPr>
              <w:pStyle w:val="Btablefigureunbold"/>
            </w:pPr>
            <w:r w:rsidRPr="00BB21B9">
              <w:t>696</w:t>
            </w:r>
          </w:p>
        </w:tc>
        <w:tc>
          <w:tcPr>
            <w:tcW w:w="1162" w:type="dxa"/>
            <w:tcBorders>
              <w:top w:val="nil"/>
              <w:bottom w:val="nil"/>
            </w:tcBorders>
            <w:shd w:val="clear" w:color="auto" w:fill="auto"/>
            <w:tcMar>
              <w:left w:w="108" w:type="dxa"/>
            </w:tcMar>
          </w:tcPr>
          <w:p w14:paraId="4E7EA212" w14:textId="77777777" w:rsidR="00A60D4B" w:rsidRPr="00F7442D" w:rsidRDefault="00A60D4B" w:rsidP="00A60D4B">
            <w:pPr>
              <w:pStyle w:val="Btablefigureunbold"/>
            </w:pPr>
            <w:r w:rsidRPr="00BB21B9">
              <w:t>705</w:t>
            </w:r>
          </w:p>
        </w:tc>
        <w:tc>
          <w:tcPr>
            <w:tcW w:w="1163" w:type="dxa"/>
            <w:tcBorders>
              <w:top w:val="nil"/>
              <w:bottom w:val="nil"/>
            </w:tcBorders>
            <w:tcMar>
              <w:left w:w="108" w:type="dxa"/>
            </w:tcMar>
          </w:tcPr>
          <w:p w14:paraId="6B1C5DD5" w14:textId="77777777" w:rsidR="00A60D4B" w:rsidRPr="00F7442D" w:rsidRDefault="00A60D4B" w:rsidP="00A60D4B">
            <w:pPr>
              <w:pStyle w:val="Btablefigureunbold"/>
            </w:pPr>
            <w:r w:rsidRPr="00BB21B9">
              <w:t>714</w:t>
            </w:r>
          </w:p>
        </w:tc>
      </w:tr>
      <w:tr w:rsidR="00A60D4B" w:rsidRPr="00337DC9" w14:paraId="3EA3AA7A" w14:textId="77777777" w:rsidTr="00A60D4B">
        <w:trPr>
          <w:cantSplit/>
          <w:trHeight w:val="270"/>
        </w:trPr>
        <w:tc>
          <w:tcPr>
            <w:tcW w:w="3261" w:type="dxa"/>
            <w:tcBorders>
              <w:top w:val="nil"/>
              <w:bottom w:val="nil"/>
            </w:tcBorders>
          </w:tcPr>
          <w:p w14:paraId="12BA6480" w14:textId="77777777" w:rsidR="00A60D4B" w:rsidRDefault="00A60D4B" w:rsidP="00A60D4B">
            <w:pPr>
              <w:pStyle w:val="Btabletextunbold"/>
            </w:pPr>
            <w:r>
              <w:t>Legal aid commissions</w:t>
            </w:r>
          </w:p>
        </w:tc>
        <w:tc>
          <w:tcPr>
            <w:tcW w:w="1162" w:type="dxa"/>
            <w:tcBorders>
              <w:top w:val="nil"/>
              <w:bottom w:val="nil"/>
            </w:tcBorders>
            <w:tcMar>
              <w:left w:w="108" w:type="dxa"/>
            </w:tcMar>
          </w:tcPr>
          <w:p w14:paraId="13AE4C62" w14:textId="77777777" w:rsidR="00A60D4B" w:rsidRPr="00EC74DB" w:rsidRDefault="00A60D4B" w:rsidP="00A60D4B">
            <w:pPr>
              <w:pStyle w:val="Btablefigureunbold"/>
            </w:pPr>
            <w:r w:rsidRPr="00F7442D">
              <w:t>5,199</w:t>
            </w:r>
          </w:p>
        </w:tc>
        <w:tc>
          <w:tcPr>
            <w:tcW w:w="1162" w:type="dxa"/>
            <w:tcBorders>
              <w:top w:val="nil"/>
              <w:bottom w:val="nil"/>
            </w:tcBorders>
            <w:shd w:val="clear" w:color="auto" w:fill="auto"/>
            <w:tcMar>
              <w:left w:w="108" w:type="dxa"/>
            </w:tcMar>
          </w:tcPr>
          <w:p w14:paraId="20B502D3" w14:textId="77777777" w:rsidR="00A60D4B" w:rsidRPr="00EC74DB" w:rsidRDefault="00A60D4B" w:rsidP="00A60D4B">
            <w:pPr>
              <w:pStyle w:val="Btablefigureunbold"/>
            </w:pPr>
            <w:r w:rsidRPr="00F7442D">
              <w:t>5,260</w:t>
            </w:r>
          </w:p>
        </w:tc>
        <w:tc>
          <w:tcPr>
            <w:tcW w:w="1162" w:type="dxa"/>
            <w:tcBorders>
              <w:top w:val="nil"/>
              <w:bottom w:val="nil"/>
            </w:tcBorders>
            <w:shd w:val="clear" w:color="472D8C" w:fill="auto"/>
            <w:tcMar>
              <w:left w:w="108" w:type="dxa"/>
            </w:tcMar>
          </w:tcPr>
          <w:p w14:paraId="5B3A2D78" w14:textId="77777777" w:rsidR="00A60D4B" w:rsidRPr="00111524" w:rsidRDefault="00A60D4B" w:rsidP="00A60D4B">
            <w:pPr>
              <w:pStyle w:val="Btablefigureunbold"/>
            </w:pPr>
            <w:r w:rsidRPr="00F7442D">
              <w:t>5,323</w:t>
            </w:r>
          </w:p>
        </w:tc>
        <w:tc>
          <w:tcPr>
            <w:tcW w:w="1162" w:type="dxa"/>
            <w:tcBorders>
              <w:top w:val="nil"/>
              <w:bottom w:val="nil"/>
            </w:tcBorders>
            <w:shd w:val="clear" w:color="auto" w:fill="auto"/>
            <w:tcMar>
              <w:left w:w="108" w:type="dxa"/>
            </w:tcMar>
          </w:tcPr>
          <w:p w14:paraId="61EF461C" w14:textId="77777777" w:rsidR="00A60D4B" w:rsidRPr="00EC74DB" w:rsidRDefault="00A60D4B" w:rsidP="00A60D4B">
            <w:pPr>
              <w:pStyle w:val="Btablefigureunbold"/>
            </w:pPr>
            <w:r w:rsidRPr="00F7442D">
              <w:t>5,391</w:t>
            </w:r>
          </w:p>
        </w:tc>
        <w:tc>
          <w:tcPr>
            <w:tcW w:w="1163" w:type="dxa"/>
            <w:tcBorders>
              <w:top w:val="nil"/>
              <w:bottom w:val="nil"/>
            </w:tcBorders>
            <w:tcMar>
              <w:left w:w="108" w:type="dxa"/>
            </w:tcMar>
          </w:tcPr>
          <w:p w14:paraId="33618121" w14:textId="77777777" w:rsidR="00A60D4B" w:rsidRPr="00EC74DB" w:rsidRDefault="00A60D4B" w:rsidP="00A60D4B">
            <w:pPr>
              <w:pStyle w:val="Btablefigureunbold"/>
            </w:pPr>
            <w:r w:rsidRPr="00F7442D">
              <w:t>5,459</w:t>
            </w:r>
          </w:p>
        </w:tc>
      </w:tr>
      <w:tr w:rsidR="00A60D4B" w:rsidRPr="00337DC9" w14:paraId="5667EF82" w14:textId="77777777" w:rsidTr="00A60D4B">
        <w:trPr>
          <w:cantSplit/>
          <w:trHeight w:val="270"/>
        </w:trPr>
        <w:tc>
          <w:tcPr>
            <w:tcW w:w="3261" w:type="dxa"/>
            <w:tcBorders>
              <w:top w:val="nil"/>
              <w:bottom w:val="nil"/>
            </w:tcBorders>
          </w:tcPr>
          <w:p w14:paraId="27CFDBD8" w14:textId="77777777" w:rsidR="00A60D4B" w:rsidRDefault="00A60D4B" w:rsidP="00A60D4B">
            <w:pPr>
              <w:pStyle w:val="Btabletextunbold"/>
            </w:pPr>
            <w:r>
              <w:t>Social and Community Services Sector Supplementation</w:t>
            </w:r>
          </w:p>
        </w:tc>
        <w:tc>
          <w:tcPr>
            <w:tcW w:w="1162" w:type="dxa"/>
            <w:tcBorders>
              <w:top w:val="nil"/>
              <w:bottom w:val="nil"/>
            </w:tcBorders>
            <w:tcMar>
              <w:left w:w="108" w:type="dxa"/>
            </w:tcMar>
          </w:tcPr>
          <w:p w14:paraId="6C31B8EB" w14:textId="77777777" w:rsidR="00A60D4B" w:rsidRPr="00EC74DB" w:rsidRDefault="00A60D4B" w:rsidP="00A60D4B">
            <w:pPr>
              <w:pStyle w:val="Btablefigureunbold"/>
            </w:pPr>
            <w:r w:rsidRPr="00F7442D">
              <w:t>181</w:t>
            </w:r>
          </w:p>
        </w:tc>
        <w:tc>
          <w:tcPr>
            <w:tcW w:w="1162" w:type="dxa"/>
            <w:tcBorders>
              <w:top w:val="nil"/>
              <w:bottom w:val="nil"/>
            </w:tcBorders>
            <w:shd w:val="clear" w:color="auto" w:fill="auto"/>
            <w:tcMar>
              <w:left w:w="108" w:type="dxa"/>
            </w:tcMar>
          </w:tcPr>
          <w:p w14:paraId="4A900C34" w14:textId="77777777" w:rsidR="00A60D4B" w:rsidRPr="00EC74DB" w:rsidRDefault="00A60D4B" w:rsidP="00A60D4B">
            <w:pPr>
              <w:pStyle w:val="Btablefigureunbold"/>
            </w:pPr>
            <w:r>
              <w:t>0</w:t>
            </w:r>
          </w:p>
        </w:tc>
        <w:tc>
          <w:tcPr>
            <w:tcW w:w="1162" w:type="dxa"/>
            <w:tcBorders>
              <w:top w:val="nil"/>
              <w:bottom w:val="nil"/>
            </w:tcBorders>
            <w:shd w:val="clear" w:color="472D8C" w:fill="auto"/>
            <w:tcMar>
              <w:left w:w="108" w:type="dxa"/>
            </w:tcMar>
          </w:tcPr>
          <w:p w14:paraId="1330F20C" w14:textId="77777777" w:rsidR="00A60D4B" w:rsidRPr="00111524" w:rsidRDefault="00A60D4B" w:rsidP="00A60D4B">
            <w:pPr>
              <w:pStyle w:val="Btablefigureunbold"/>
            </w:pPr>
            <w:r>
              <w:t>0</w:t>
            </w:r>
          </w:p>
        </w:tc>
        <w:tc>
          <w:tcPr>
            <w:tcW w:w="1162" w:type="dxa"/>
            <w:tcBorders>
              <w:top w:val="nil"/>
              <w:bottom w:val="nil"/>
            </w:tcBorders>
            <w:shd w:val="clear" w:color="auto" w:fill="auto"/>
            <w:tcMar>
              <w:left w:w="108" w:type="dxa"/>
            </w:tcMar>
          </w:tcPr>
          <w:p w14:paraId="57C270F4" w14:textId="77777777" w:rsidR="00A60D4B" w:rsidRPr="00EC74DB" w:rsidRDefault="00A60D4B" w:rsidP="00A60D4B">
            <w:pPr>
              <w:pStyle w:val="Btablefigureunbold"/>
            </w:pPr>
            <w:r>
              <w:t>0</w:t>
            </w:r>
          </w:p>
        </w:tc>
        <w:tc>
          <w:tcPr>
            <w:tcW w:w="1163" w:type="dxa"/>
            <w:tcBorders>
              <w:top w:val="nil"/>
              <w:bottom w:val="nil"/>
            </w:tcBorders>
            <w:tcMar>
              <w:left w:w="108" w:type="dxa"/>
            </w:tcMar>
          </w:tcPr>
          <w:p w14:paraId="59741C20" w14:textId="77777777" w:rsidR="00A60D4B" w:rsidRPr="00EC74DB" w:rsidRDefault="00A60D4B" w:rsidP="00A60D4B">
            <w:pPr>
              <w:pStyle w:val="Btablefigureunbold"/>
            </w:pPr>
            <w:r>
              <w:t>0</w:t>
            </w:r>
          </w:p>
        </w:tc>
      </w:tr>
      <w:tr w:rsidR="00A60D4B" w:rsidRPr="00337DC9" w14:paraId="6567A211" w14:textId="77777777" w:rsidTr="00A60D4B">
        <w:trPr>
          <w:cantSplit/>
          <w:trHeight w:val="270"/>
        </w:trPr>
        <w:tc>
          <w:tcPr>
            <w:tcW w:w="3261" w:type="dxa"/>
            <w:tcBorders>
              <w:top w:val="nil"/>
              <w:bottom w:val="nil"/>
            </w:tcBorders>
          </w:tcPr>
          <w:p w14:paraId="6C5C400A" w14:textId="77777777" w:rsidR="00A60D4B" w:rsidRPr="00613DC1" w:rsidRDefault="00A60D4B" w:rsidP="00A60D4B">
            <w:pPr>
              <w:pStyle w:val="Btabletextunbold"/>
            </w:pPr>
            <w:r w:rsidRPr="00613DC1">
              <w:t>State and territory legal assistance administration</w:t>
            </w:r>
          </w:p>
        </w:tc>
        <w:tc>
          <w:tcPr>
            <w:tcW w:w="1162" w:type="dxa"/>
            <w:tcBorders>
              <w:top w:val="nil"/>
              <w:bottom w:val="nil"/>
            </w:tcBorders>
            <w:tcMar>
              <w:left w:w="108" w:type="dxa"/>
            </w:tcMar>
          </w:tcPr>
          <w:p w14:paraId="2A11BC77" w14:textId="77777777" w:rsidR="00A60D4B" w:rsidRPr="00613DC1" w:rsidRDefault="00A60D4B" w:rsidP="00A60D4B">
            <w:pPr>
              <w:pStyle w:val="Btablefigureunbold"/>
            </w:pPr>
            <w:r w:rsidRPr="00613DC1">
              <w:t>352</w:t>
            </w:r>
          </w:p>
        </w:tc>
        <w:tc>
          <w:tcPr>
            <w:tcW w:w="1162" w:type="dxa"/>
            <w:tcBorders>
              <w:top w:val="nil"/>
              <w:bottom w:val="nil"/>
            </w:tcBorders>
            <w:shd w:val="clear" w:color="auto" w:fill="auto"/>
            <w:tcMar>
              <w:left w:w="108" w:type="dxa"/>
            </w:tcMar>
          </w:tcPr>
          <w:p w14:paraId="0577EC63" w14:textId="77777777" w:rsidR="00A60D4B" w:rsidRPr="00613DC1" w:rsidRDefault="00A60D4B" w:rsidP="00A60D4B">
            <w:pPr>
              <w:pStyle w:val="Btablefigureunbold"/>
            </w:pPr>
            <w:r w:rsidRPr="00613DC1">
              <w:t>399</w:t>
            </w:r>
          </w:p>
        </w:tc>
        <w:tc>
          <w:tcPr>
            <w:tcW w:w="1162" w:type="dxa"/>
            <w:tcBorders>
              <w:top w:val="nil"/>
              <w:bottom w:val="nil"/>
            </w:tcBorders>
            <w:shd w:val="clear" w:color="472D8C" w:fill="auto"/>
            <w:tcMar>
              <w:left w:w="108" w:type="dxa"/>
            </w:tcMar>
          </w:tcPr>
          <w:p w14:paraId="64B44C8F" w14:textId="77777777" w:rsidR="00A60D4B" w:rsidRPr="00613DC1" w:rsidRDefault="00A60D4B" w:rsidP="00A60D4B">
            <w:pPr>
              <w:pStyle w:val="Btablefigureunbold"/>
            </w:pPr>
            <w:r w:rsidRPr="00613DC1">
              <w:t>404</w:t>
            </w:r>
          </w:p>
        </w:tc>
        <w:tc>
          <w:tcPr>
            <w:tcW w:w="1162" w:type="dxa"/>
            <w:tcBorders>
              <w:top w:val="nil"/>
              <w:bottom w:val="nil"/>
            </w:tcBorders>
            <w:shd w:val="clear" w:color="auto" w:fill="auto"/>
            <w:tcMar>
              <w:left w:w="108" w:type="dxa"/>
            </w:tcMar>
          </w:tcPr>
          <w:p w14:paraId="73E9E56F" w14:textId="77777777" w:rsidR="00A60D4B" w:rsidRPr="00613DC1" w:rsidRDefault="00A60D4B" w:rsidP="00A60D4B">
            <w:pPr>
              <w:pStyle w:val="Btablefigureunbold"/>
            </w:pPr>
            <w:r w:rsidRPr="00613DC1">
              <w:t>409</w:t>
            </w:r>
          </w:p>
        </w:tc>
        <w:tc>
          <w:tcPr>
            <w:tcW w:w="1163" w:type="dxa"/>
            <w:tcBorders>
              <w:top w:val="nil"/>
              <w:bottom w:val="nil"/>
            </w:tcBorders>
            <w:tcMar>
              <w:left w:w="108" w:type="dxa"/>
            </w:tcMar>
          </w:tcPr>
          <w:p w14:paraId="6F13CB35" w14:textId="77777777" w:rsidR="00A60D4B" w:rsidRPr="00613DC1" w:rsidRDefault="00A60D4B" w:rsidP="00A60D4B">
            <w:pPr>
              <w:pStyle w:val="Btablefigureunbold"/>
            </w:pPr>
            <w:r w:rsidRPr="00613DC1">
              <w:t>415</w:t>
            </w:r>
          </w:p>
        </w:tc>
      </w:tr>
      <w:tr w:rsidR="00A60D4B" w:rsidRPr="003A5280" w14:paraId="51BBB0CB" w14:textId="77777777" w:rsidTr="00A60D4B">
        <w:trPr>
          <w:cantSplit/>
          <w:trHeight w:val="270"/>
        </w:trPr>
        <w:tc>
          <w:tcPr>
            <w:tcW w:w="3261" w:type="dxa"/>
            <w:tcBorders>
              <w:top w:val="nil"/>
              <w:bottom w:val="nil"/>
            </w:tcBorders>
          </w:tcPr>
          <w:p w14:paraId="53C16315" w14:textId="77777777" w:rsidR="00A60D4B" w:rsidRDefault="00A60D4B" w:rsidP="00A60D4B">
            <w:pPr>
              <w:pStyle w:val="Btabletextunbold"/>
            </w:pPr>
            <w:r w:rsidRPr="00613DC1">
              <w:t>Supporting increased child sexual abuse prosecutions</w:t>
            </w:r>
          </w:p>
        </w:tc>
        <w:tc>
          <w:tcPr>
            <w:tcW w:w="1162" w:type="dxa"/>
            <w:tcBorders>
              <w:top w:val="nil"/>
              <w:bottom w:val="nil"/>
            </w:tcBorders>
            <w:tcMar>
              <w:left w:w="108" w:type="dxa"/>
            </w:tcMar>
          </w:tcPr>
          <w:p w14:paraId="3D02EE9A" w14:textId="77777777" w:rsidR="00A60D4B" w:rsidRPr="003A5280" w:rsidRDefault="00A60D4B" w:rsidP="00A60D4B">
            <w:pPr>
              <w:pStyle w:val="Btablefigureunbold"/>
            </w:pPr>
            <w:r w:rsidRPr="003D6ABD">
              <w:t>0</w:t>
            </w:r>
          </w:p>
        </w:tc>
        <w:tc>
          <w:tcPr>
            <w:tcW w:w="1162" w:type="dxa"/>
            <w:tcBorders>
              <w:top w:val="nil"/>
              <w:bottom w:val="nil"/>
            </w:tcBorders>
            <w:shd w:val="clear" w:color="auto" w:fill="auto"/>
            <w:tcMar>
              <w:left w:w="108" w:type="dxa"/>
            </w:tcMar>
          </w:tcPr>
          <w:p w14:paraId="348858D9" w14:textId="77777777" w:rsidR="00A60D4B" w:rsidRPr="003A5280" w:rsidRDefault="00A60D4B" w:rsidP="00A60D4B">
            <w:pPr>
              <w:pStyle w:val="Btablefigureunbold"/>
            </w:pPr>
            <w:r w:rsidRPr="003D6ABD">
              <w:t>30</w:t>
            </w:r>
          </w:p>
        </w:tc>
        <w:tc>
          <w:tcPr>
            <w:tcW w:w="1162" w:type="dxa"/>
            <w:tcBorders>
              <w:top w:val="nil"/>
              <w:bottom w:val="nil"/>
            </w:tcBorders>
            <w:shd w:val="clear" w:color="472D8C" w:fill="auto"/>
            <w:tcMar>
              <w:left w:w="108" w:type="dxa"/>
            </w:tcMar>
          </w:tcPr>
          <w:p w14:paraId="6DC53A92" w14:textId="77777777" w:rsidR="00A60D4B" w:rsidRPr="003A5280" w:rsidRDefault="00A60D4B" w:rsidP="00A60D4B">
            <w:pPr>
              <w:pStyle w:val="Btablefigureunbold"/>
            </w:pPr>
            <w:r w:rsidRPr="003D6ABD">
              <w:t>31</w:t>
            </w:r>
          </w:p>
        </w:tc>
        <w:tc>
          <w:tcPr>
            <w:tcW w:w="1162" w:type="dxa"/>
            <w:tcBorders>
              <w:top w:val="nil"/>
              <w:bottom w:val="nil"/>
            </w:tcBorders>
            <w:shd w:val="clear" w:color="auto" w:fill="auto"/>
            <w:tcMar>
              <w:left w:w="108" w:type="dxa"/>
            </w:tcMar>
          </w:tcPr>
          <w:p w14:paraId="4264E6A7" w14:textId="77777777" w:rsidR="00A60D4B" w:rsidRPr="003A5280" w:rsidRDefault="00A60D4B" w:rsidP="00A60D4B">
            <w:pPr>
              <w:pStyle w:val="Btablefigureunbold"/>
            </w:pPr>
            <w:r w:rsidRPr="003D6ABD">
              <w:t>31</w:t>
            </w:r>
          </w:p>
        </w:tc>
        <w:tc>
          <w:tcPr>
            <w:tcW w:w="1163" w:type="dxa"/>
            <w:tcBorders>
              <w:top w:val="nil"/>
              <w:bottom w:val="nil"/>
            </w:tcBorders>
            <w:tcMar>
              <w:left w:w="108" w:type="dxa"/>
            </w:tcMar>
          </w:tcPr>
          <w:p w14:paraId="33F178FF" w14:textId="77777777" w:rsidR="00A60D4B" w:rsidRPr="003A5280" w:rsidRDefault="00A60D4B" w:rsidP="00A60D4B">
            <w:pPr>
              <w:pStyle w:val="Btablefigureunbold"/>
            </w:pPr>
            <w:r w:rsidRPr="003D6ABD">
              <w:t>32</w:t>
            </w:r>
          </w:p>
        </w:tc>
      </w:tr>
      <w:tr w:rsidR="00A60D4B" w:rsidRPr="003A5280" w14:paraId="4D70AFD2" w14:textId="77777777" w:rsidTr="00A60D4B">
        <w:trPr>
          <w:cantSplit/>
          <w:trHeight w:val="270"/>
        </w:trPr>
        <w:tc>
          <w:tcPr>
            <w:tcW w:w="3261" w:type="dxa"/>
            <w:tcBorders>
              <w:top w:val="nil"/>
              <w:bottom w:val="nil"/>
            </w:tcBorders>
          </w:tcPr>
          <w:p w14:paraId="287A33A4" w14:textId="77777777" w:rsidR="00A60D4B" w:rsidRDefault="00A60D4B" w:rsidP="00A60D4B">
            <w:pPr>
              <w:pStyle w:val="Btabletextunbold"/>
            </w:pPr>
            <w:r w:rsidRPr="00716ED5">
              <w:t xml:space="preserve"> Supporting people with mental health conditions access the justice system</w:t>
            </w:r>
          </w:p>
        </w:tc>
        <w:tc>
          <w:tcPr>
            <w:tcW w:w="1162" w:type="dxa"/>
            <w:tcBorders>
              <w:top w:val="nil"/>
              <w:bottom w:val="nil"/>
            </w:tcBorders>
            <w:tcMar>
              <w:left w:w="108" w:type="dxa"/>
            </w:tcMar>
          </w:tcPr>
          <w:p w14:paraId="731BD086" w14:textId="77777777" w:rsidR="00A60D4B" w:rsidRPr="003A5280" w:rsidRDefault="00A60D4B" w:rsidP="00A60D4B">
            <w:pPr>
              <w:pStyle w:val="Btablefigureunbold"/>
            </w:pPr>
            <w:r w:rsidRPr="003D6ABD">
              <w:t>0</w:t>
            </w:r>
          </w:p>
        </w:tc>
        <w:tc>
          <w:tcPr>
            <w:tcW w:w="1162" w:type="dxa"/>
            <w:tcBorders>
              <w:top w:val="nil"/>
              <w:bottom w:val="nil"/>
            </w:tcBorders>
            <w:shd w:val="clear" w:color="auto" w:fill="auto"/>
            <w:tcMar>
              <w:left w:w="108" w:type="dxa"/>
            </w:tcMar>
          </w:tcPr>
          <w:p w14:paraId="0D1B9C7E" w14:textId="77777777" w:rsidR="00A60D4B" w:rsidRPr="003A5280" w:rsidRDefault="00A60D4B" w:rsidP="00A60D4B">
            <w:pPr>
              <w:pStyle w:val="Btablefigureunbold"/>
            </w:pPr>
            <w:r w:rsidRPr="003D6ABD">
              <w:t>269</w:t>
            </w:r>
          </w:p>
        </w:tc>
        <w:tc>
          <w:tcPr>
            <w:tcW w:w="1162" w:type="dxa"/>
            <w:tcBorders>
              <w:top w:val="nil"/>
              <w:bottom w:val="nil"/>
            </w:tcBorders>
            <w:shd w:val="clear" w:color="472D8C" w:fill="auto"/>
            <w:tcMar>
              <w:left w:w="108" w:type="dxa"/>
            </w:tcMar>
          </w:tcPr>
          <w:p w14:paraId="774F5254" w14:textId="77777777" w:rsidR="00A60D4B" w:rsidRPr="003A5280" w:rsidRDefault="00A60D4B" w:rsidP="00A60D4B">
            <w:pPr>
              <w:pStyle w:val="Btablefigureunbold"/>
            </w:pPr>
            <w:r w:rsidRPr="003D6ABD">
              <w:t>278</w:t>
            </w:r>
          </w:p>
        </w:tc>
        <w:tc>
          <w:tcPr>
            <w:tcW w:w="1162" w:type="dxa"/>
            <w:tcBorders>
              <w:top w:val="nil"/>
              <w:bottom w:val="nil"/>
            </w:tcBorders>
            <w:shd w:val="clear" w:color="auto" w:fill="auto"/>
            <w:tcMar>
              <w:left w:w="108" w:type="dxa"/>
            </w:tcMar>
          </w:tcPr>
          <w:p w14:paraId="39166870" w14:textId="77777777" w:rsidR="00A60D4B" w:rsidRPr="003A5280" w:rsidRDefault="00A60D4B" w:rsidP="00A60D4B">
            <w:pPr>
              <w:pStyle w:val="Btablefigureunbold"/>
            </w:pPr>
            <w:r w:rsidRPr="003D6ABD">
              <w:t>278</w:t>
            </w:r>
          </w:p>
        </w:tc>
        <w:tc>
          <w:tcPr>
            <w:tcW w:w="1163" w:type="dxa"/>
            <w:tcBorders>
              <w:top w:val="nil"/>
              <w:bottom w:val="nil"/>
            </w:tcBorders>
            <w:tcMar>
              <w:left w:w="108" w:type="dxa"/>
            </w:tcMar>
          </w:tcPr>
          <w:p w14:paraId="2BB15759" w14:textId="77777777" w:rsidR="00A60D4B" w:rsidRPr="003A5280" w:rsidRDefault="00A60D4B" w:rsidP="00A60D4B">
            <w:pPr>
              <w:pStyle w:val="Btablefigureunbold"/>
            </w:pPr>
            <w:r w:rsidRPr="003D6ABD">
              <w:t>278</w:t>
            </w:r>
          </w:p>
        </w:tc>
      </w:tr>
      <w:tr w:rsidR="00A60D4B" w:rsidRPr="00337DC9" w14:paraId="1F89DF16" w14:textId="77777777" w:rsidTr="00A60D4B">
        <w:trPr>
          <w:cantSplit/>
          <w:trHeight w:val="270"/>
        </w:trPr>
        <w:tc>
          <w:tcPr>
            <w:tcW w:w="3261" w:type="dxa"/>
            <w:tcBorders>
              <w:top w:val="nil"/>
              <w:bottom w:val="nil"/>
            </w:tcBorders>
          </w:tcPr>
          <w:p w14:paraId="7715F7DB" w14:textId="77777777" w:rsidR="00A60D4B" w:rsidRPr="003A4CE7" w:rsidRDefault="00A60D4B" w:rsidP="00A60D4B">
            <w:pPr>
              <w:pStyle w:val="Btabletextbolditalic"/>
            </w:pPr>
            <w:r w:rsidRPr="003A4CE7">
              <w:t>Total Other NPPs</w:t>
            </w:r>
          </w:p>
        </w:tc>
        <w:tc>
          <w:tcPr>
            <w:tcW w:w="1162" w:type="dxa"/>
            <w:tcBorders>
              <w:top w:val="nil"/>
              <w:bottom w:val="nil"/>
            </w:tcBorders>
            <w:tcMar>
              <w:left w:w="108" w:type="dxa"/>
            </w:tcMar>
          </w:tcPr>
          <w:p w14:paraId="20D29455" w14:textId="77777777" w:rsidR="00A60D4B" w:rsidRPr="003A4CE7" w:rsidRDefault="00A60D4B" w:rsidP="00A60D4B">
            <w:pPr>
              <w:pStyle w:val="BTablefigurebolditalic"/>
            </w:pPr>
            <w:r w:rsidRPr="003A4CE7">
              <w:t>15,037</w:t>
            </w:r>
          </w:p>
        </w:tc>
        <w:tc>
          <w:tcPr>
            <w:tcW w:w="1162" w:type="dxa"/>
            <w:tcBorders>
              <w:top w:val="nil"/>
              <w:bottom w:val="nil"/>
            </w:tcBorders>
            <w:shd w:val="clear" w:color="auto" w:fill="auto"/>
            <w:tcMar>
              <w:left w:w="108" w:type="dxa"/>
            </w:tcMar>
          </w:tcPr>
          <w:p w14:paraId="49913973" w14:textId="77777777" w:rsidR="00A60D4B" w:rsidRPr="00F3681E" w:rsidRDefault="00A60D4B" w:rsidP="00A60D4B">
            <w:pPr>
              <w:pStyle w:val="BTablefigurebolditalic"/>
            </w:pPr>
            <w:r w:rsidRPr="004E2747">
              <w:t>1</w:t>
            </w:r>
            <w:r>
              <w:t>72,619</w:t>
            </w:r>
          </w:p>
        </w:tc>
        <w:tc>
          <w:tcPr>
            <w:tcW w:w="1162" w:type="dxa"/>
            <w:tcBorders>
              <w:top w:val="nil"/>
              <w:bottom w:val="nil"/>
            </w:tcBorders>
            <w:shd w:val="clear" w:color="472D8C" w:fill="auto"/>
            <w:tcMar>
              <w:left w:w="108" w:type="dxa"/>
            </w:tcMar>
          </w:tcPr>
          <w:p w14:paraId="6355CFEF" w14:textId="77777777" w:rsidR="00A60D4B" w:rsidRPr="00F3681E" w:rsidRDefault="00A60D4B" w:rsidP="00A60D4B">
            <w:pPr>
              <w:pStyle w:val="BTablefigurebolditalic"/>
            </w:pPr>
            <w:r w:rsidRPr="00C36B12">
              <w:t>16,264</w:t>
            </w:r>
          </w:p>
        </w:tc>
        <w:tc>
          <w:tcPr>
            <w:tcW w:w="1162" w:type="dxa"/>
            <w:tcBorders>
              <w:top w:val="nil"/>
              <w:bottom w:val="nil"/>
            </w:tcBorders>
            <w:shd w:val="clear" w:color="auto" w:fill="auto"/>
            <w:tcMar>
              <w:left w:w="108" w:type="dxa"/>
            </w:tcMar>
          </w:tcPr>
          <w:p w14:paraId="6E16F7E3" w14:textId="77777777" w:rsidR="00A60D4B" w:rsidRPr="00F3681E" w:rsidRDefault="00A60D4B" w:rsidP="00A60D4B">
            <w:pPr>
              <w:pStyle w:val="BTablefigurebolditalic"/>
            </w:pPr>
            <w:r w:rsidRPr="00C36B12">
              <w:t>16,411</w:t>
            </w:r>
          </w:p>
        </w:tc>
        <w:tc>
          <w:tcPr>
            <w:tcW w:w="1163" w:type="dxa"/>
            <w:tcBorders>
              <w:top w:val="nil"/>
              <w:bottom w:val="nil"/>
            </w:tcBorders>
            <w:tcMar>
              <w:left w:w="108" w:type="dxa"/>
            </w:tcMar>
          </w:tcPr>
          <w:p w14:paraId="0230A72B" w14:textId="77777777" w:rsidR="00A60D4B" w:rsidRPr="00F3681E" w:rsidRDefault="00A60D4B" w:rsidP="00A60D4B">
            <w:pPr>
              <w:pStyle w:val="BTablefigurebolditalic"/>
            </w:pPr>
            <w:r w:rsidRPr="00C36B12">
              <w:t>16,561</w:t>
            </w:r>
          </w:p>
        </w:tc>
      </w:tr>
      <w:tr w:rsidR="00A60D4B" w:rsidRPr="00337DC9" w14:paraId="7BD74B5A" w14:textId="77777777" w:rsidTr="00A60D4B">
        <w:trPr>
          <w:cantSplit/>
          <w:trHeight w:val="270"/>
        </w:trPr>
        <w:tc>
          <w:tcPr>
            <w:tcW w:w="3261" w:type="dxa"/>
            <w:tcBorders>
              <w:top w:val="nil"/>
              <w:bottom w:val="single" w:sz="4" w:space="0" w:color="auto"/>
            </w:tcBorders>
          </w:tcPr>
          <w:p w14:paraId="074006E5" w14:textId="77777777" w:rsidR="00A60D4B" w:rsidRDefault="00A60D4B" w:rsidP="00A60D4B">
            <w:pPr>
              <w:pStyle w:val="Btabletextunbold"/>
            </w:pPr>
            <w:r>
              <w:t>Financial assistance to local governments – Financial Assistance Grant program</w:t>
            </w:r>
          </w:p>
        </w:tc>
        <w:tc>
          <w:tcPr>
            <w:tcW w:w="1162" w:type="dxa"/>
            <w:tcBorders>
              <w:top w:val="nil"/>
              <w:bottom w:val="single" w:sz="4" w:space="0" w:color="auto"/>
            </w:tcBorders>
            <w:tcMar>
              <w:left w:w="108" w:type="dxa"/>
            </w:tcMar>
          </w:tcPr>
          <w:p w14:paraId="3E5536A4" w14:textId="77777777" w:rsidR="00A60D4B" w:rsidRPr="00EC74DB" w:rsidRDefault="00A60D4B" w:rsidP="00A60D4B">
            <w:pPr>
              <w:pStyle w:val="Btablefigureunbold"/>
            </w:pPr>
            <w:r w:rsidRPr="00C04597">
              <w:t>54,912</w:t>
            </w:r>
          </w:p>
        </w:tc>
        <w:tc>
          <w:tcPr>
            <w:tcW w:w="1162" w:type="dxa"/>
            <w:tcBorders>
              <w:top w:val="nil"/>
              <w:bottom w:val="single" w:sz="4" w:space="0" w:color="auto"/>
            </w:tcBorders>
            <w:shd w:val="clear" w:color="auto" w:fill="auto"/>
            <w:tcMar>
              <w:left w:w="108" w:type="dxa"/>
            </w:tcMar>
          </w:tcPr>
          <w:p w14:paraId="661DF4F0" w14:textId="77777777" w:rsidR="00A60D4B" w:rsidRPr="00EC74DB" w:rsidRDefault="00A60D4B" w:rsidP="00A60D4B">
            <w:pPr>
              <w:pStyle w:val="Btablefigureunbold"/>
            </w:pPr>
            <w:r w:rsidRPr="00C04597">
              <w:t>28,477</w:t>
            </w:r>
          </w:p>
        </w:tc>
        <w:tc>
          <w:tcPr>
            <w:tcW w:w="1162" w:type="dxa"/>
            <w:tcBorders>
              <w:top w:val="nil"/>
              <w:bottom w:val="single" w:sz="4" w:space="0" w:color="auto"/>
            </w:tcBorders>
            <w:shd w:val="clear" w:color="472D8C" w:fill="auto"/>
            <w:tcMar>
              <w:left w:w="108" w:type="dxa"/>
            </w:tcMar>
          </w:tcPr>
          <w:p w14:paraId="264A8058" w14:textId="77777777" w:rsidR="00A60D4B" w:rsidRPr="00111524" w:rsidRDefault="00A60D4B" w:rsidP="00A60D4B">
            <w:pPr>
              <w:pStyle w:val="Btablefigureunbold"/>
            </w:pPr>
            <w:r w:rsidRPr="00C04597">
              <w:t>57,908</w:t>
            </w:r>
          </w:p>
        </w:tc>
        <w:tc>
          <w:tcPr>
            <w:tcW w:w="1162" w:type="dxa"/>
            <w:tcBorders>
              <w:top w:val="nil"/>
              <w:bottom w:val="single" w:sz="4" w:space="0" w:color="auto"/>
            </w:tcBorders>
            <w:shd w:val="clear" w:color="auto" w:fill="auto"/>
            <w:tcMar>
              <w:left w:w="108" w:type="dxa"/>
            </w:tcMar>
          </w:tcPr>
          <w:p w14:paraId="132A6BB1" w14:textId="77777777" w:rsidR="00A60D4B" w:rsidRPr="00EC74DB" w:rsidRDefault="00A60D4B" w:rsidP="00A60D4B">
            <w:pPr>
              <w:pStyle w:val="Btablefigureunbold"/>
            </w:pPr>
            <w:r w:rsidRPr="00C04597">
              <w:t>59,157</w:t>
            </w:r>
          </w:p>
        </w:tc>
        <w:tc>
          <w:tcPr>
            <w:tcW w:w="1163" w:type="dxa"/>
            <w:tcBorders>
              <w:top w:val="nil"/>
              <w:bottom w:val="single" w:sz="4" w:space="0" w:color="auto"/>
            </w:tcBorders>
            <w:tcMar>
              <w:left w:w="108" w:type="dxa"/>
            </w:tcMar>
          </w:tcPr>
          <w:p w14:paraId="5D720FDC" w14:textId="77777777" w:rsidR="00A60D4B" w:rsidRPr="00EC74DB" w:rsidRDefault="00A60D4B" w:rsidP="00A60D4B">
            <w:pPr>
              <w:pStyle w:val="Btablefigureunbold"/>
            </w:pPr>
            <w:r w:rsidRPr="00C04597">
              <w:t>60,272</w:t>
            </w:r>
          </w:p>
        </w:tc>
      </w:tr>
      <w:tr w:rsidR="00A60D4B" w:rsidRPr="00337DC9" w14:paraId="6B80F572" w14:textId="77777777" w:rsidTr="00A60D4B">
        <w:trPr>
          <w:cantSplit/>
          <w:trHeight w:val="270"/>
        </w:trPr>
        <w:tc>
          <w:tcPr>
            <w:tcW w:w="3261" w:type="dxa"/>
            <w:tcBorders>
              <w:top w:val="single" w:sz="4" w:space="0" w:color="auto"/>
              <w:bottom w:val="single" w:sz="4" w:space="0" w:color="auto"/>
            </w:tcBorders>
          </w:tcPr>
          <w:p w14:paraId="0D72B322" w14:textId="77777777" w:rsidR="00A60D4B" w:rsidRPr="003A4CE7" w:rsidRDefault="00A60D4B" w:rsidP="00A60D4B">
            <w:pPr>
              <w:pStyle w:val="Btabletextbold"/>
            </w:pPr>
            <w:r w:rsidRPr="003A4CE7">
              <w:t xml:space="preserve">Total Other Payments </w:t>
            </w:r>
          </w:p>
        </w:tc>
        <w:tc>
          <w:tcPr>
            <w:tcW w:w="1162" w:type="dxa"/>
            <w:tcBorders>
              <w:top w:val="single" w:sz="4" w:space="0" w:color="auto"/>
              <w:bottom w:val="single" w:sz="4" w:space="0" w:color="auto"/>
            </w:tcBorders>
            <w:tcMar>
              <w:left w:w="108" w:type="dxa"/>
            </w:tcMar>
          </w:tcPr>
          <w:p w14:paraId="044EE783" w14:textId="77777777" w:rsidR="00A60D4B" w:rsidRPr="003A4CE7" w:rsidRDefault="00A60D4B" w:rsidP="00A60D4B">
            <w:pPr>
              <w:pStyle w:val="Btablefigurebold0"/>
            </w:pPr>
            <w:r w:rsidRPr="003A4CE7">
              <w:t>69,949</w:t>
            </w:r>
          </w:p>
        </w:tc>
        <w:tc>
          <w:tcPr>
            <w:tcW w:w="1162" w:type="dxa"/>
            <w:tcBorders>
              <w:top w:val="single" w:sz="4" w:space="0" w:color="auto"/>
              <w:bottom w:val="single" w:sz="4" w:space="0" w:color="auto"/>
            </w:tcBorders>
            <w:shd w:val="clear" w:color="auto" w:fill="auto"/>
            <w:tcMar>
              <w:left w:w="108" w:type="dxa"/>
            </w:tcMar>
          </w:tcPr>
          <w:p w14:paraId="62143CFE" w14:textId="77777777" w:rsidR="00A60D4B" w:rsidRPr="00F3681E" w:rsidRDefault="00A60D4B" w:rsidP="00A60D4B">
            <w:pPr>
              <w:pStyle w:val="Btablefigurebold0"/>
            </w:pPr>
            <w:r>
              <w:t>201,096</w:t>
            </w:r>
          </w:p>
        </w:tc>
        <w:tc>
          <w:tcPr>
            <w:tcW w:w="1162" w:type="dxa"/>
            <w:tcBorders>
              <w:top w:val="single" w:sz="4" w:space="0" w:color="auto"/>
              <w:bottom w:val="single" w:sz="4" w:space="0" w:color="auto"/>
            </w:tcBorders>
            <w:shd w:val="clear" w:color="472D8C" w:fill="auto"/>
            <w:tcMar>
              <w:left w:w="108" w:type="dxa"/>
            </w:tcMar>
          </w:tcPr>
          <w:p w14:paraId="3D74C327" w14:textId="77777777" w:rsidR="00A60D4B" w:rsidRPr="00F3681E" w:rsidRDefault="00A60D4B" w:rsidP="00A60D4B">
            <w:pPr>
              <w:pStyle w:val="Btablefigurebold0"/>
            </w:pPr>
            <w:r w:rsidRPr="00885FB6">
              <w:t>74,172</w:t>
            </w:r>
          </w:p>
        </w:tc>
        <w:tc>
          <w:tcPr>
            <w:tcW w:w="1162" w:type="dxa"/>
            <w:tcBorders>
              <w:top w:val="single" w:sz="4" w:space="0" w:color="auto"/>
              <w:bottom w:val="single" w:sz="4" w:space="0" w:color="auto"/>
            </w:tcBorders>
            <w:shd w:val="clear" w:color="auto" w:fill="auto"/>
            <w:tcMar>
              <w:left w:w="108" w:type="dxa"/>
            </w:tcMar>
          </w:tcPr>
          <w:p w14:paraId="436F71B4" w14:textId="77777777" w:rsidR="00A60D4B" w:rsidRPr="00F3681E" w:rsidRDefault="00A60D4B" w:rsidP="00A60D4B">
            <w:pPr>
              <w:pStyle w:val="Btablefigurebold0"/>
            </w:pPr>
            <w:r w:rsidRPr="00885FB6">
              <w:t>75,568</w:t>
            </w:r>
          </w:p>
        </w:tc>
        <w:tc>
          <w:tcPr>
            <w:tcW w:w="1163" w:type="dxa"/>
            <w:tcBorders>
              <w:top w:val="single" w:sz="4" w:space="0" w:color="auto"/>
              <w:bottom w:val="single" w:sz="4" w:space="0" w:color="auto"/>
            </w:tcBorders>
            <w:tcMar>
              <w:left w:w="108" w:type="dxa"/>
            </w:tcMar>
          </w:tcPr>
          <w:p w14:paraId="2569EB9F" w14:textId="77777777" w:rsidR="00A60D4B" w:rsidRPr="00F3681E" w:rsidRDefault="00A60D4B" w:rsidP="00A60D4B">
            <w:pPr>
              <w:pStyle w:val="Btablefigurebold0"/>
            </w:pPr>
            <w:r w:rsidRPr="00885FB6">
              <w:t>76,833</w:t>
            </w:r>
          </w:p>
        </w:tc>
      </w:tr>
      <w:tr w:rsidR="00A60D4B" w:rsidRPr="00337DC9" w14:paraId="23E445C8" w14:textId="77777777" w:rsidTr="00A60D4B">
        <w:trPr>
          <w:cantSplit/>
          <w:trHeight w:val="270"/>
        </w:trPr>
        <w:tc>
          <w:tcPr>
            <w:tcW w:w="3261" w:type="dxa"/>
            <w:tcBorders>
              <w:top w:val="single" w:sz="4" w:space="0" w:color="auto"/>
              <w:bottom w:val="single" w:sz="4" w:space="0" w:color="auto"/>
            </w:tcBorders>
          </w:tcPr>
          <w:p w14:paraId="4D550994" w14:textId="77777777" w:rsidR="00A60D4B" w:rsidRPr="005F3FB2" w:rsidRDefault="00A60D4B" w:rsidP="00A60D4B">
            <w:pPr>
              <w:pStyle w:val="Btabletextbold"/>
              <w:rPr>
                <w:color w:val="472D8C"/>
              </w:rPr>
            </w:pPr>
            <w:r w:rsidRPr="005F3FB2">
              <w:rPr>
                <w:color w:val="472D8C"/>
              </w:rPr>
              <w:t>Total Commonwealth Government Funding</w:t>
            </w:r>
          </w:p>
        </w:tc>
        <w:tc>
          <w:tcPr>
            <w:tcW w:w="1162" w:type="dxa"/>
            <w:tcBorders>
              <w:top w:val="single" w:sz="4" w:space="0" w:color="auto"/>
              <w:bottom w:val="single" w:sz="4" w:space="0" w:color="auto"/>
            </w:tcBorders>
            <w:tcMar>
              <w:left w:w="108" w:type="dxa"/>
            </w:tcMar>
          </w:tcPr>
          <w:p w14:paraId="525D53A6" w14:textId="77777777" w:rsidR="00A60D4B" w:rsidRPr="005F3FB2" w:rsidRDefault="00A60D4B" w:rsidP="00A60D4B">
            <w:pPr>
              <w:pStyle w:val="Btablefigurebold0"/>
              <w:rPr>
                <w:color w:val="472D8C"/>
              </w:rPr>
            </w:pPr>
            <w:r w:rsidRPr="005F3FB2">
              <w:rPr>
                <w:color w:val="472D8C"/>
              </w:rPr>
              <w:t>2,498,103</w:t>
            </w:r>
          </w:p>
        </w:tc>
        <w:tc>
          <w:tcPr>
            <w:tcW w:w="1162" w:type="dxa"/>
            <w:tcBorders>
              <w:top w:val="single" w:sz="4" w:space="0" w:color="auto"/>
              <w:bottom w:val="single" w:sz="4" w:space="0" w:color="auto"/>
            </w:tcBorders>
            <w:shd w:val="clear" w:color="auto" w:fill="auto"/>
            <w:tcMar>
              <w:left w:w="108" w:type="dxa"/>
            </w:tcMar>
          </w:tcPr>
          <w:p w14:paraId="615EDBD2" w14:textId="77777777" w:rsidR="00A60D4B" w:rsidRPr="005F3FB2" w:rsidRDefault="00A60D4B" w:rsidP="00A60D4B">
            <w:pPr>
              <w:pStyle w:val="Btablefigurebold0"/>
              <w:rPr>
                <w:color w:val="472D8C"/>
              </w:rPr>
            </w:pPr>
            <w:r w:rsidRPr="005F3FB2">
              <w:rPr>
                <w:color w:val="472D8C"/>
              </w:rPr>
              <w:t>2,767,551</w:t>
            </w:r>
          </w:p>
        </w:tc>
        <w:tc>
          <w:tcPr>
            <w:tcW w:w="1162" w:type="dxa"/>
            <w:tcBorders>
              <w:top w:val="single" w:sz="4" w:space="0" w:color="auto"/>
              <w:bottom w:val="single" w:sz="4" w:space="0" w:color="auto"/>
            </w:tcBorders>
            <w:shd w:val="clear" w:color="472D8C" w:fill="auto"/>
            <w:tcMar>
              <w:left w:w="108" w:type="dxa"/>
            </w:tcMar>
          </w:tcPr>
          <w:p w14:paraId="0F24034C" w14:textId="77777777" w:rsidR="00A60D4B" w:rsidRPr="005F3FB2" w:rsidRDefault="00A60D4B" w:rsidP="00A60D4B">
            <w:pPr>
              <w:pStyle w:val="Btablefigurebold0"/>
              <w:rPr>
                <w:color w:val="472D8C"/>
              </w:rPr>
            </w:pPr>
            <w:r w:rsidRPr="005F3FB2">
              <w:rPr>
                <w:color w:val="472D8C"/>
              </w:rPr>
              <w:t xml:space="preserve"> 2,737,053 </w:t>
            </w:r>
          </w:p>
        </w:tc>
        <w:tc>
          <w:tcPr>
            <w:tcW w:w="1162" w:type="dxa"/>
            <w:tcBorders>
              <w:top w:val="single" w:sz="4" w:space="0" w:color="auto"/>
              <w:bottom w:val="single" w:sz="4" w:space="0" w:color="auto"/>
            </w:tcBorders>
            <w:shd w:val="clear" w:color="auto" w:fill="auto"/>
            <w:tcMar>
              <w:left w:w="108" w:type="dxa"/>
            </w:tcMar>
          </w:tcPr>
          <w:p w14:paraId="739F45AF" w14:textId="77777777" w:rsidR="00A60D4B" w:rsidRPr="005F3FB2" w:rsidRDefault="00A60D4B" w:rsidP="00A60D4B">
            <w:pPr>
              <w:pStyle w:val="Btablefigurebold0"/>
              <w:rPr>
                <w:color w:val="472D8C"/>
              </w:rPr>
            </w:pPr>
            <w:r w:rsidRPr="005F3FB2">
              <w:rPr>
                <w:color w:val="472D8C"/>
              </w:rPr>
              <w:t xml:space="preserve"> 2,865,514 </w:t>
            </w:r>
          </w:p>
        </w:tc>
        <w:tc>
          <w:tcPr>
            <w:tcW w:w="1163" w:type="dxa"/>
            <w:tcBorders>
              <w:top w:val="single" w:sz="4" w:space="0" w:color="auto"/>
              <w:bottom w:val="single" w:sz="4" w:space="0" w:color="auto"/>
            </w:tcBorders>
            <w:tcMar>
              <w:left w:w="108" w:type="dxa"/>
            </w:tcMar>
          </w:tcPr>
          <w:p w14:paraId="40414AED" w14:textId="77777777" w:rsidR="00A60D4B" w:rsidRPr="005F3FB2" w:rsidRDefault="00A60D4B" w:rsidP="00A60D4B">
            <w:pPr>
              <w:pStyle w:val="Btablefigurebold0"/>
              <w:rPr>
                <w:color w:val="472D8C"/>
              </w:rPr>
            </w:pPr>
            <w:r w:rsidRPr="005F3FB2">
              <w:rPr>
                <w:color w:val="472D8C"/>
              </w:rPr>
              <w:t xml:space="preserve"> 2,859,841 </w:t>
            </w:r>
          </w:p>
        </w:tc>
      </w:tr>
    </w:tbl>
    <w:p w14:paraId="0755E1C7" w14:textId="77777777" w:rsidR="00A60D4B" w:rsidRPr="00B53CEF" w:rsidRDefault="00A60D4B" w:rsidP="00A60D4B">
      <w:pPr>
        <w:pStyle w:val="BNoteBold"/>
        <w:keepNext w:val="0"/>
        <w:rPr>
          <w:b w:val="0"/>
          <w:bCs/>
        </w:rPr>
      </w:pPr>
      <w:r w:rsidRPr="00B53CEF">
        <w:t>Source:</w:t>
      </w:r>
      <w:r w:rsidRPr="00B53CEF">
        <w:rPr>
          <w:b w:val="0"/>
          <w:bCs/>
        </w:rPr>
        <w:t xml:space="preserve"> The 2021-22 Commonwealth Budget and CMTEDD calculations.</w:t>
      </w:r>
    </w:p>
    <w:p w14:paraId="04C333C9" w14:textId="77777777" w:rsidR="00A60D4B" w:rsidRDefault="00A60D4B" w:rsidP="00A60D4B">
      <w:pPr>
        <w:pStyle w:val="BNoteBold"/>
        <w:keepNext w:val="0"/>
        <w:spacing w:before="0"/>
      </w:pPr>
      <w:r>
        <w:t>Notes:</w:t>
      </w:r>
      <w:r w:rsidRPr="00B53CEF">
        <w:rPr>
          <w:b w:val="0"/>
          <w:bCs/>
        </w:rPr>
        <w:t xml:space="preserve"> The symbol ~ indicates that the allocation has not yet been determined by the Commonwealth.</w:t>
      </w:r>
    </w:p>
    <w:p w14:paraId="4FA66B1A" w14:textId="77777777" w:rsidR="00A60D4B" w:rsidRDefault="00A60D4B" w:rsidP="001B450E">
      <w:pPr>
        <w:pStyle w:val="BNotelist"/>
        <w:keepNext w:val="0"/>
        <w:numPr>
          <w:ilvl w:val="0"/>
          <w:numId w:val="75"/>
        </w:numPr>
      </w:pPr>
      <w:bookmarkStart w:id="127" w:name="_Hlk80003715"/>
      <w:r>
        <w:t xml:space="preserve">The estimates for National Health Reform funding included in the 2021-22 Budget do not match the 2021-22 Commonwealth Budget estimates, as the Commonwealth’s estimates are based on different activity levels than those forecast by </w:t>
      </w:r>
      <w:r w:rsidRPr="00F83631">
        <w:t>the ACT Government</w:t>
      </w:r>
      <w:r>
        <w:t xml:space="preserve">. </w:t>
      </w:r>
    </w:p>
    <w:bookmarkEnd w:id="127"/>
    <w:p w14:paraId="3E67B06B" w14:textId="77777777" w:rsidR="00A60D4B" w:rsidRDefault="00A60D4B" w:rsidP="00A60D4B">
      <w:pPr>
        <w:pStyle w:val="BNotelist"/>
      </w:pPr>
      <w:r>
        <w:lastRenderedPageBreak/>
        <w:t xml:space="preserve">The 2020-21 funding for </w:t>
      </w:r>
      <w:r w:rsidRPr="00556366">
        <w:rPr>
          <w:i/>
          <w:iCs/>
        </w:rPr>
        <w:t>COVID-19 public health response</w:t>
      </w:r>
      <w:r>
        <w:t xml:space="preserve"> reflects an estimate, rather than actual Commonwealth revenue received for this agreement.</w:t>
      </w:r>
    </w:p>
    <w:p w14:paraId="2AE7C8E5" w14:textId="77777777" w:rsidR="00A60D4B" w:rsidRPr="007D0A57" w:rsidRDefault="00A60D4B" w:rsidP="00A60D4B">
      <w:pPr>
        <w:pStyle w:val="BNotelist"/>
      </w:pPr>
      <w:r w:rsidRPr="007D0A57">
        <w:t>The estimates included in the table for these agreements for 2021-22 reflect actual Commonwealth payments made to the ACT for the year-to-date to</w:t>
      </w:r>
      <w:r>
        <w:t xml:space="preserve"> 1 October </w:t>
      </w:r>
      <w:r w:rsidRPr="007D0A57">
        <w:t>2021.</w:t>
      </w:r>
    </w:p>
    <w:p w14:paraId="1912D2BC" w14:textId="77777777" w:rsidR="00A60D4B" w:rsidRPr="00AD69E9" w:rsidRDefault="00A60D4B" w:rsidP="00A60D4B">
      <w:pPr>
        <w:pStyle w:val="BNotelist"/>
        <w:keepNext w:val="0"/>
        <w:keepLines/>
        <w:ind w:left="357" w:hanging="357"/>
      </w:pPr>
      <w:r w:rsidRPr="00AD69E9">
        <w:t>The 2021-22</w:t>
      </w:r>
      <w:r>
        <w:t xml:space="preserve"> Commonwealth Budget did not include state and territory allocations for the </w:t>
      </w:r>
      <w:r w:rsidRPr="00556366">
        <w:rPr>
          <w:i/>
          <w:iCs/>
        </w:rPr>
        <w:t>National School Chaplaincy Program</w:t>
      </w:r>
      <w:r>
        <w:rPr>
          <w:i/>
          <w:iCs/>
        </w:rPr>
        <w:t xml:space="preserve"> </w:t>
      </w:r>
      <w:r>
        <w:t>for the 2022-23, 2023-24 and 2024-25 financial years as these allocations are yet to be determined. The 2021-22 Budget estimates assume that funding for this agreement in 2022-23, 2023-24 and 2024-25 will remain at the 2021-22 funding level.</w:t>
      </w:r>
    </w:p>
    <w:p w14:paraId="022B2C19" w14:textId="77777777" w:rsidR="00A60D4B" w:rsidRPr="00C7053D" w:rsidRDefault="00A60D4B" w:rsidP="00A60D4B">
      <w:pPr>
        <w:pStyle w:val="BNotelist"/>
        <w:keepNext w:val="0"/>
        <w:keepLines/>
        <w:ind w:left="357" w:hanging="357"/>
      </w:pPr>
      <w:r>
        <w:t xml:space="preserve">The 2021-22 Commonwealth Budget did not include state and territory allocations for </w:t>
      </w:r>
      <w:r w:rsidRPr="00207CC9">
        <w:rPr>
          <w:i/>
          <w:iCs/>
        </w:rPr>
        <w:t>Guaranteeing Universal Access to Preschool</w:t>
      </w:r>
      <w:r w:rsidRPr="00207CC9">
        <w:t>.</w:t>
      </w:r>
      <w:r>
        <w:t xml:space="preserve"> The 2021-22 Budget estimates assume the ACT receives a share of total Commonwealth funding under this agreement similar to that of its share of the </w:t>
      </w:r>
      <w:r w:rsidRPr="003965D3">
        <w:rPr>
          <w:i/>
          <w:iCs/>
        </w:rPr>
        <w:t>National Partnership Agreement on</w:t>
      </w:r>
      <w:r>
        <w:rPr>
          <w:i/>
          <w:iCs/>
        </w:rPr>
        <w:t xml:space="preserve"> Universal Access to</w:t>
      </w:r>
      <w:r w:rsidRPr="003965D3">
        <w:rPr>
          <w:i/>
          <w:iCs/>
        </w:rPr>
        <w:t xml:space="preserve"> Early Childhood Education</w:t>
      </w:r>
      <w:r>
        <w:t>.</w:t>
      </w:r>
    </w:p>
    <w:p w14:paraId="4D477E98" w14:textId="77777777" w:rsidR="00A60D4B" w:rsidRPr="00FB5E06" w:rsidRDefault="00A60D4B" w:rsidP="00A60D4B">
      <w:pPr>
        <w:pStyle w:val="BNotelist"/>
        <w:keepNext w:val="0"/>
        <w:ind w:left="357" w:hanging="357"/>
      </w:pPr>
      <w:r w:rsidRPr="00FB5E06">
        <w:rPr>
          <w:i/>
          <w:iCs/>
        </w:rPr>
        <w:t>Family, Domestic and Sexual Violence Responses</w:t>
      </w:r>
      <w:r w:rsidRPr="00FB5E06">
        <w:t xml:space="preserve"> was previously called </w:t>
      </w:r>
      <w:r w:rsidRPr="00FB5E06">
        <w:rPr>
          <w:i/>
          <w:iCs/>
        </w:rPr>
        <w:t xml:space="preserve">COVID-19 Domestic Violence </w:t>
      </w:r>
      <w:r>
        <w:rPr>
          <w:i/>
          <w:iCs/>
        </w:rPr>
        <w:t>S</w:t>
      </w:r>
      <w:r w:rsidRPr="00FB5E06">
        <w:rPr>
          <w:i/>
          <w:iCs/>
        </w:rPr>
        <w:t>upport</w:t>
      </w:r>
      <w:r>
        <w:t>.</w:t>
      </w:r>
    </w:p>
    <w:p w14:paraId="4AD059F3" w14:textId="77777777" w:rsidR="00A60D4B" w:rsidRDefault="00A60D4B" w:rsidP="00A60D4B">
      <w:pPr>
        <w:pStyle w:val="BNotelist"/>
        <w:keepNext w:val="0"/>
        <w:ind w:left="357" w:hanging="357"/>
      </w:pPr>
      <w:bookmarkStart w:id="128" w:name="_Hlk80004257"/>
      <w:r>
        <w:t xml:space="preserve">The 2021-22 Commonwealth Budget did not include any state or territory allocations for the </w:t>
      </w:r>
      <w:r w:rsidRPr="00CE7255">
        <w:rPr>
          <w:i/>
          <w:iCs/>
        </w:rPr>
        <w:t>National Partnership on HomeBuilder</w:t>
      </w:r>
      <w:r>
        <w:t>. The 2021-22 Budget estimates for this agreement in 2021-22 and 2022-23 are based on the projected value of applications expected to be approved under this program</w:t>
      </w:r>
      <w:bookmarkEnd w:id="128"/>
      <w:r>
        <w:t>.</w:t>
      </w:r>
    </w:p>
    <w:p w14:paraId="361789C2" w14:textId="77777777" w:rsidR="00A60D4B" w:rsidRDefault="00A60D4B" w:rsidP="00A60D4B">
      <w:pPr>
        <w:pStyle w:val="BNotelist"/>
      </w:pPr>
      <w:r>
        <w:t xml:space="preserve">The 2021-22 Commonwealth Budget did not include a funding allocation for the ACT for the </w:t>
      </w:r>
      <w:r w:rsidRPr="00525125">
        <w:rPr>
          <w:i/>
          <w:iCs/>
        </w:rPr>
        <w:t>National Flood Mitigation Infrastructure Program</w:t>
      </w:r>
      <w:r>
        <w:t>. The 2021-22 Budget estimates for this program are based on subsequent correspondence from the Commonwealth advising of ACT projects that have been approved for Commonwealth funding.</w:t>
      </w:r>
    </w:p>
    <w:p w14:paraId="400CA015" w14:textId="77777777" w:rsidR="00A60D4B" w:rsidRDefault="00A60D4B" w:rsidP="00A60D4B">
      <w:pPr>
        <w:pStyle w:val="BNotelist"/>
      </w:pPr>
      <w:r w:rsidRPr="00AC08D2">
        <w:t>The 2021-22 Budget estimates for the</w:t>
      </w:r>
      <w:r w:rsidRPr="00AC08D2">
        <w:rPr>
          <w:i/>
          <w:iCs/>
        </w:rPr>
        <w:t xml:space="preserve"> Sustainable Rural Water Use Program </w:t>
      </w:r>
      <w:r w:rsidRPr="00AC08D2">
        <w:t>are based on Commonwealth revenues and expected expenditure. Negotiations between the Commonwealth and the ACT for the delivery and transfer of water entitlements under the Murray-Darling Basin Water Efficiency Program are still ongoing.</w:t>
      </w:r>
    </w:p>
    <w:p w14:paraId="3F661FD8" w14:textId="77777777" w:rsidR="00A60D4B" w:rsidRDefault="00A60D4B" w:rsidP="00A60D4B">
      <w:pPr>
        <w:pStyle w:val="BNotelist"/>
      </w:pPr>
      <w:r>
        <w:t xml:space="preserve">The 2021-22 Budget estimates for the </w:t>
      </w:r>
      <w:r w:rsidRPr="00303F30">
        <w:rPr>
          <w:i/>
          <w:iCs/>
        </w:rPr>
        <w:t>Project Agreement for Family Law Information Sharing</w:t>
      </w:r>
      <w:r>
        <w:t xml:space="preserve"> differ from the 2021-22 Commonwealth Budget estimates due the timing of Commonwealth payments.</w:t>
      </w:r>
    </w:p>
    <w:p w14:paraId="4BE06F9E" w14:textId="77777777" w:rsidR="00A60D4B" w:rsidRDefault="00A60D4B" w:rsidP="00A60D4B">
      <w:pPr>
        <w:pStyle w:val="BNotelist"/>
      </w:pPr>
      <w:r w:rsidRPr="002F2F08">
        <w:t xml:space="preserve">The 2021-22 Commonwealth Budget has </w:t>
      </w:r>
      <w:r>
        <w:t>not for publication (nfp)</w:t>
      </w:r>
      <w:r w:rsidRPr="002F2F08">
        <w:t xml:space="preserve"> for the 2022-23, 2023-24 and 2024-25 financial years</w:t>
      </w:r>
      <w:r>
        <w:t xml:space="preserve"> for the</w:t>
      </w:r>
      <w:r w:rsidRPr="002F2F08">
        <w:t xml:space="preserve"> </w:t>
      </w:r>
      <w:r w:rsidRPr="0034201A">
        <w:rPr>
          <w:i/>
          <w:iCs/>
        </w:rPr>
        <w:t>Provision of Fire Services</w:t>
      </w:r>
      <w:r w:rsidRPr="002F2F08">
        <w:t xml:space="preserve"> agreement</w:t>
      </w:r>
      <w:r>
        <w:t>, as the current agreement</w:t>
      </w:r>
      <w:r w:rsidRPr="002F2F08">
        <w:t xml:space="preserve"> expires in 2021-22 and a new agreement is currently under negotiation. The estimates included in the 2021-22 Budget assume that funding in these years for this agreement will remain at the same level as for 2021</w:t>
      </w:r>
      <w:r w:rsidRPr="002F2F08">
        <w:noBreakHyphen/>
        <w:t>22.</w:t>
      </w:r>
      <w:bookmarkEnd w:id="125"/>
      <w:bookmarkEnd w:id="126"/>
    </w:p>
    <w:p w14:paraId="7C26EB8B" w14:textId="77777777" w:rsidR="00A60D4B" w:rsidRDefault="00A60D4B">
      <w:r>
        <w:br w:type="page"/>
      </w:r>
    </w:p>
    <w:p w14:paraId="7C2729F4" w14:textId="77777777" w:rsidR="00A60D4B" w:rsidRDefault="00A60D4B">
      <w:pPr>
        <w:rPr>
          <w:rFonts w:ascii="Calibri" w:hAnsi="Calibri"/>
          <w:sz w:val="18"/>
        </w:rPr>
      </w:pPr>
    </w:p>
    <w:p w14:paraId="05817C97" w14:textId="77777777" w:rsidR="00A60D4B" w:rsidRDefault="00A60D4B" w:rsidP="00A60D4B">
      <w:pPr>
        <w:pStyle w:val="BNotelist"/>
        <w:numPr>
          <w:ilvl w:val="0"/>
          <w:numId w:val="0"/>
        </w:numPr>
        <w:ind w:left="360"/>
        <w:sectPr w:rsidR="00A60D4B" w:rsidSect="00542DA2">
          <w:footerReference w:type="default" r:id="rId166"/>
          <w:pgSz w:w="11906" w:h="16838" w:code="9"/>
          <w:pgMar w:top="1151" w:right="1440" w:bottom="1729" w:left="1440" w:header="720" w:footer="720" w:gutter="0"/>
          <w:cols w:space="708"/>
          <w:docGrid w:linePitch="360"/>
        </w:sectPr>
      </w:pPr>
    </w:p>
    <w:p w14:paraId="53956593" w14:textId="77777777" w:rsidR="00A60D4B" w:rsidRPr="00930757" w:rsidRDefault="00A60D4B" w:rsidP="00A60D4B">
      <w:pPr>
        <w:pStyle w:val="Heading2"/>
        <w:numPr>
          <w:ilvl w:val="1"/>
          <w:numId w:val="4"/>
        </w:numPr>
      </w:pPr>
      <w:bookmarkStart w:id="129" w:name="_Toc83298679"/>
      <w:bookmarkStart w:id="130" w:name="_Toc84290992"/>
      <w:r>
        <w:lastRenderedPageBreak/>
        <w:t>I</w:t>
      </w:r>
      <w:bookmarkEnd w:id="129"/>
      <w:r>
        <w:t>nfrastructure and Capital</w:t>
      </w:r>
      <w:bookmarkEnd w:id="130"/>
    </w:p>
    <w:p w14:paraId="2566A580" w14:textId="77777777" w:rsidR="00A60D4B" w:rsidRDefault="00A60D4B" w:rsidP="00A60D4B">
      <w:pPr>
        <w:pStyle w:val="Heading3"/>
      </w:pPr>
      <w:r>
        <w:t>The 2021-22 Infrastructure Investment Program</w:t>
      </w:r>
    </w:p>
    <w:p w14:paraId="6DE7E4F5" w14:textId="77777777" w:rsidR="00A60D4B" w:rsidRDefault="00A60D4B" w:rsidP="00A60D4B">
      <w:pPr>
        <w:pStyle w:val="Bbodytext"/>
      </w:pPr>
      <w:r w:rsidRPr="006B50BC">
        <w:rPr>
          <w:noProof/>
        </w:rPr>
        <mc:AlternateContent>
          <mc:Choice Requires="wps">
            <w:drawing>
              <wp:anchor distT="45720" distB="45720" distL="114300" distR="114300" simplePos="0" relativeHeight="251972608" behindDoc="0" locked="0" layoutInCell="1" allowOverlap="1" wp14:anchorId="51D09A48" wp14:editId="4ABB8CB4">
                <wp:simplePos x="0" y="0"/>
                <wp:positionH relativeFrom="margin">
                  <wp:posOffset>3105150</wp:posOffset>
                </wp:positionH>
                <wp:positionV relativeFrom="paragraph">
                  <wp:posOffset>210820</wp:posOffset>
                </wp:positionV>
                <wp:extent cx="2638425" cy="2428875"/>
                <wp:effectExtent l="0" t="0" r="9525" b="9525"/>
                <wp:wrapSquare wrapText="bothSides"/>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2428875"/>
                        </a:xfrm>
                        <a:prstGeom prst="rect">
                          <a:avLst/>
                        </a:prstGeom>
                        <a:solidFill>
                          <a:srgbClr val="FFFFFF"/>
                        </a:solidFill>
                        <a:ln w="9525">
                          <a:noFill/>
                          <a:miter lim="800000"/>
                          <a:headEnd/>
                          <a:tailEnd/>
                        </a:ln>
                      </wps:spPr>
                      <wps:txbx>
                        <w:txbxContent>
                          <w:p w14:paraId="3DB7A140" w14:textId="77777777" w:rsidR="002261A7" w:rsidRPr="006B50BC" w:rsidRDefault="002261A7" w:rsidP="00A60D4B">
                            <w:pPr>
                              <w:spacing w:before="120" w:after="120" w:line="240" w:lineRule="auto"/>
                              <w:jc w:val="center"/>
                              <w:rPr>
                                <w:color w:val="150045"/>
                                <w:sz w:val="24"/>
                                <w:szCs w:val="24"/>
                              </w:rPr>
                            </w:pPr>
                            <w:r w:rsidRPr="006B50BC">
                              <w:rPr>
                                <w:b/>
                                <w:bCs/>
                                <w:color w:val="150045"/>
                                <w:sz w:val="24"/>
                                <w:szCs w:val="24"/>
                              </w:rPr>
                              <w:t xml:space="preserve">Our infrastructure investment program provides an important pipeline of activity to support the economy and create jobs. Interest rates are the lowest since Federation, providing a </w:t>
                            </w:r>
                            <w:r>
                              <w:rPr>
                                <w:b/>
                                <w:bCs/>
                                <w:color w:val="150045"/>
                                <w:sz w:val="24"/>
                                <w:szCs w:val="24"/>
                              </w:rPr>
                              <w:t>valuable</w:t>
                            </w:r>
                            <w:r w:rsidRPr="006B50BC">
                              <w:rPr>
                                <w:b/>
                                <w:bCs/>
                                <w:color w:val="150045"/>
                                <w:sz w:val="24"/>
                                <w:szCs w:val="24"/>
                              </w:rPr>
                              <w:t xml:space="preserve"> opportunity for the Government to build sustainable, productivity</w:t>
                            </w:r>
                            <w:r w:rsidRPr="006B50BC">
                              <w:rPr>
                                <w:b/>
                                <w:bCs/>
                                <w:color w:val="150045"/>
                                <w:sz w:val="24"/>
                                <w:szCs w:val="24"/>
                              </w:rPr>
                              <w:noBreakHyphen/>
                              <w:t>improving and growth</w:t>
                            </w:r>
                            <w:r w:rsidRPr="006B50BC">
                              <w:rPr>
                                <w:b/>
                                <w:bCs/>
                                <w:color w:val="150045"/>
                                <w:sz w:val="24"/>
                                <w:szCs w:val="24"/>
                              </w:rPr>
                              <w:noBreakHyphen/>
                              <w:t>enabling infrastructure to prepare our city for the future.</w:t>
                            </w:r>
                          </w:p>
                          <w:p w14:paraId="48B1EB04" w14:textId="77777777" w:rsidR="002261A7" w:rsidRDefault="002261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D09A48" id="_x0000_s1041" type="#_x0000_t202" style="position:absolute;margin-left:244.5pt;margin-top:16.6pt;width:207.75pt;height:191.25pt;z-index:251972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" stroked="f">
                <v:textbox>
                  <w:txbxContent>
                    <w:p w14:paraId="3DB7A140" w14:textId="77777777" w:rsidR="002261A7" w:rsidRPr="006B50BC" w:rsidRDefault="002261A7" w:rsidP="00A60D4B">
                      <w:pPr>
                        <w:spacing w:before="120" w:after="120" w:line="240" w:lineRule="auto"/>
                        <w:jc w:val="center"/>
                        <w:rPr>
                          <w:color w:val="150045"/>
                          <w:sz w:val="24"/>
                          <w:szCs w:val="24"/>
                        </w:rPr>
                      </w:pPr>
                      <w:r w:rsidRPr="006B50BC">
                        <w:rPr>
                          <w:b/>
                          <w:bCs/>
                          <w:color w:val="150045"/>
                          <w:sz w:val="24"/>
                          <w:szCs w:val="24"/>
                        </w:rPr>
                        <w:t xml:space="preserve">Our infrastructure investment program provides an important pipeline of activity to support the economy and create jobs. Interest rates are the lowest since Federation, providing a </w:t>
                      </w:r>
                      <w:r>
                        <w:rPr>
                          <w:b/>
                          <w:bCs/>
                          <w:color w:val="150045"/>
                          <w:sz w:val="24"/>
                          <w:szCs w:val="24"/>
                        </w:rPr>
                        <w:t>valuable</w:t>
                      </w:r>
                      <w:r w:rsidRPr="006B50BC">
                        <w:rPr>
                          <w:b/>
                          <w:bCs/>
                          <w:color w:val="150045"/>
                          <w:sz w:val="24"/>
                          <w:szCs w:val="24"/>
                        </w:rPr>
                        <w:t xml:space="preserve"> opportunity for the Government to build sustainable, productivity</w:t>
                      </w:r>
                      <w:r w:rsidRPr="006B50BC">
                        <w:rPr>
                          <w:b/>
                          <w:bCs/>
                          <w:color w:val="150045"/>
                          <w:sz w:val="24"/>
                          <w:szCs w:val="24"/>
                        </w:rPr>
                        <w:noBreakHyphen/>
                        <w:t>improving and growth</w:t>
                      </w:r>
                      <w:r w:rsidRPr="006B50BC">
                        <w:rPr>
                          <w:b/>
                          <w:bCs/>
                          <w:color w:val="150045"/>
                          <w:sz w:val="24"/>
                          <w:szCs w:val="24"/>
                        </w:rPr>
                        <w:noBreakHyphen/>
                        <w:t>enabling infrastructure to prepare our city for the future.</w:t>
                      </w:r>
                    </w:p>
                    <w:p w14:paraId="48B1EB04" w14:textId="77777777" w:rsidR="002261A7" w:rsidRDefault="002261A7"/>
                  </w:txbxContent>
                </v:textbox>
                <w10:wrap type="square" anchorx="margin"/>
              </v:shape>
            </w:pict>
          </mc:Fallback>
        </mc:AlternateContent>
      </w:r>
      <w:r w:rsidRPr="00A62771">
        <w:t>The ACT Infrastructure Investment Program</w:t>
      </w:r>
      <w:r>
        <w:t xml:space="preserve"> (IIP) </w:t>
      </w:r>
      <w:r w:rsidRPr="00A62771">
        <w:t>includes $5.0 billion of investment in the General Government Sector (GGS) and $1.4</w:t>
      </w:r>
      <w:r>
        <w:t> </w:t>
      </w:r>
      <w:r w:rsidRPr="00A62771">
        <w:t>billion of investment by Public Trading Enterprises (PTEs)</w:t>
      </w:r>
      <w:r>
        <w:t xml:space="preserve"> over the next five years.</w:t>
      </w:r>
    </w:p>
    <w:p w14:paraId="74477373" w14:textId="77777777" w:rsidR="00A60D4B" w:rsidRPr="00A62771" w:rsidRDefault="00A60D4B" w:rsidP="00A60D4B">
      <w:pPr>
        <w:pStyle w:val="Bbodytext"/>
      </w:pPr>
      <w:r>
        <w:t xml:space="preserve">This is our largest ever program with </w:t>
      </w:r>
      <w:r w:rsidRPr="00A62771">
        <w:t>a record $1.3 billion in 2021-22 and $6.4 billion over the five years to 2025-26.</w:t>
      </w:r>
    </w:p>
    <w:p w14:paraId="74250B12" w14:textId="77777777" w:rsidR="00A60D4B" w:rsidRDefault="00A60D4B" w:rsidP="00A60D4B">
      <w:pPr>
        <w:pStyle w:val="Bbodytext"/>
      </w:pPr>
      <w:r w:rsidRPr="00A62771">
        <w:t xml:space="preserve">This Budget marks the first year of the move to a five-year budget cycle for our infrastructure investment program. The addition of the fifth year reflects the longer timeframe involved in planning and delivering the large and complex projects that Canberra needs. </w:t>
      </w:r>
    </w:p>
    <w:p w14:paraId="4C269AF6" w14:textId="77777777" w:rsidR="00A60D4B" w:rsidRDefault="00A60D4B" w:rsidP="00A60D4B">
      <w:pPr>
        <w:pStyle w:val="Bbodytext"/>
      </w:pPr>
      <w:r w:rsidRPr="00A62771">
        <w:t>This means that we take a long-term view in building our economic and social capital through investment</w:t>
      </w:r>
      <w:r>
        <w:t>s</w:t>
      </w:r>
      <w:r w:rsidRPr="00A62771">
        <w:t xml:space="preserve"> in health and community wellbeing, education and skills development, and in environment, climate, transport and planning. </w:t>
      </w:r>
      <w:r>
        <w:t>We are also investing i</w:t>
      </w:r>
      <w:r w:rsidRPr="00A62771">
        <w:t>n projects with high local content for fast-tracked delivery</w:t>
      </w:r>
      <w:r>
        <w:t>.</w:t>
      </w:r>
    </w:p>
    <w:p w14:paraId="0013BF17" w14:textId="77777777" w:rsidR="00A60D4B" w:rsidRDefault="00A60D4B" w:rsidP="00A60D4B">
      <w:pPr>
        <w:pStyle w:val="Bbodytext"/>
      </w:pPr>
      <w:r w:rsidRPr="006B50BC">
        <w:rPr>
          <w:noProof/>
        </w:rPr>
        <mc:AlternateContent>
          <mc:Choice Requires="wps">
            <w:drawing>
              <wp:anchor distT="45720" distB="45720" distL="114300" distR="114300" simplePos="0" relativeHeight="251973632" behindDoc="0" locked="0" layoutInCell="1" allowOverlap="1" wp14:anchorId="1811B959" wp14:editId="7B004AA5">
                <wp:simplePos x="0" y="0"/>
                <wp:positionH relativeFrom="margin">
                  <wp:align>right</wp:align>
                </wp:positionH>
                <wp:positionV relativeFrom="paragraph">
                  <wp:posOffset>153035</wp:posOffset>
                </wp:positionV>
                <wp:extent cx="3114675" cy="2847975"/>
                <wp:effectExtent l="0" t="0" r="9525" b="9525"/>
                <wp:wrapSquare wrapText="bothSides"/>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2847975"/>
                        </a:xfrm>
                        <a:prstGeom prst="rect">
                          <a:avLst/>
                        </a:prstGeom>
                        <a:solidFill>
                          <a:srgbClr val="FFFFFF"/>
                        </a:solidFill>
                        <a:ln w="9525">
                          <a:noFill/>
                          <a:miter lim="800000"/>
                          <a:headEnd/>
                          <a:tailEnd/>
                        </a:ln>
                      </wps:spPr>
                      <wps:txbx>
                        <w:txbxContent>
                          <w:p w14:paraId="3331826B" w14:textId="77777777" w:rsidR="002261A7" w:rsidRPr="00782C7A" w:rsidRDefault="002261A7" w:rsidP="00A60D4B">
                            <w:pPr>
                              <w:keepNext/>
                              <w:keepLines/>
                              <w:spacing w:before="120" w:after="120" w:line="240" w:lineRule="auto"/>
                              <w:jc w:val="center"/>
                              <w:rPr>
                                <w:b/>
                                <w:bCs/>
                                <w:color w:val="150045"/>
                                <w:sz w:val="24"/>
                                <w:szCs w:val="24"/>
                              </w:rPr>
                            </w:pPr>
                            <w:r w:rsidRPr="00782C7A">
                              <w:rPr>
                                <w:b/>
                                <w:bCs/>
                                <w:color w:val="150045"/>
                                <w:sz w:val="24"/>
                                <w:szCs w:val="24"/>
                              </w:rPr>
                              <w:t>Our capital investment priorities continue to be health, education, public transport, public housing, sustainable energy and urban renewal. These priorities are mutually re</w:t>
                            </w:r>
                            <w:r w:rsidRPr="00782C7A">
                              <w:rPr>
                                <w:b/>
                                <w:bCs/>
                                <w:color w:val="150045"/>
                                <w:sz w:val="24"/>
                                <w:szCs w:val="24"/>
                              </w:rPr>
                              <w:noBreakHyphen/>
                              <w:t>enforcing: quality health and education services are the foundation for a vibrant, inclusive, and innovative society. Our significant urban renewal program incorporates a well-integrated public transport system that connects people with places, public housing facilities that meet the needs of residents, and modern health, education and community facilities with easy access.</w:t>
                            </w:r>
                          </w:p>
                          <w:p w14:paraId="0D6501BD" w14:textId="77777777" w:rsidR="002261A7" w:rsidRDefault="002261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1B959" id="_x0000_s1042" type="#_x0000_t202" style="position:absolute;margin-left:194.05pt;margin-top:12.05pt;width:245.25pt;height:224.25pt;z-index:2519736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" stroked="f">
                <v:textbox>
                  <w:txbxContent>
                    <w:p w14:paraId="3331826B" w14:textId="77777777" w:rsidR="002261A7" w:rsidRPr="00782C7A" w:rsidRDefault="002261A7" w:rsidP="00A60D4B">
                      <w:pPr>
                        <w:keepNext/>
                        <w:keepLines/>
                        <w:spacing w:before="120" w:after="120" w:line="240" w:lineRule="auto"/>
                        <w:jc w:val="center"/>
                        <w:rPr>
                          <w:b/>
                          <w:bCs/>
                          <w:color w:val="150045"/>
                          <w:sz w:val="24"/>
                          <w:szCs w:val="24"/>
                        </w:rPr>
                      </w:pPr>
                      <w:r w:rsidRPr="00782C7A">
                        <w:rPr>
                          <w:b/>
                          <w:bCs/>
                          <w:color w:val="150045"/>
                          <w:sz w:val="24"/>
                          <w:szCs w:val="24"/>
                        </w:rPr>
                        <w:t>Our capital investment priorities continue to be health, education, public transport, public housing, sustainable energy and urban renewal. These priorities are mutually re</w:t>
                      </w:r>
                      <w:r w:rsidRPr="00782C7A">
                        <w:rPr>
                          <w:b/>
                          <w:bCs/>
                          <w:color w:val="150045"/>
                          <w:sz w:val="24"/>
                          <w:szCs w:val="24"/>
                        </w:rPr>
                        <w:noBreakHyphen/>
                        <w:t>enforcing: quality health and education services are the foundation for a vibrant, inclusive, and innovative society. Our significant urban renewal program incorporates a well-integrated public transport system that connects people with places, public housing facilities that meet the needs of residents, and modern health, education and community facilities with easy access.</w:t>
                      </w:r>
                    </w:p>
                    <w:p w14:paraId="0D6501BD" w14:textId="77777777" w:rsidR="002261A7" w:rsidRDefault="002261A7"/>
                  </w:txbxContent>
                </v:textbox>
                <w10:wrap type="square" anchorx="margin"/>
              </v:shape>
            </w:pict>
          </mc:Fallback>
        </mc:AlternateContent>
      </w:r>
      <w:r w:rsidRPr="00A62771">
        <w:t xml:space="preserve">The 2021-22 ACT Infrastructure Investment Program continues </w:t>
      </w:r>
      <w:r>
        <w:t>the</w:t>
      </w:r>
      <w:r w:rsidRPr="00A62771">
        <w:t xml:space="preserve"> approach</w:t>
      </w:r>
      <w:r>
        <w:t xml:space="preserve"> of</w:t>
      </w:r>
      <w:r w:rsidRPr="00A62771">
        <w:t xml:space="preserve"> focussing on both smaller projects that can be delivered quickly and longer-term investment</w:t>
      </w:r>
      <w:r>
        <w:t>s</w:t>
      </w:r>
      <w:r w:rsidRPr="00A62771">
        <w:t xml:space="preserve"> to enhance the wellbeing of Canberrans and support our future economic growth. </w:t>
      </w:r>
    </w:p>
    <w:p w14:paraId="1096822A" w14:textId="77777777" w:rsidR="00A60D4B" w:rsidRPr="00A62771" w:rsidRDefault="00A60D4B" w:rsidP="00A60D4B">
      <w:pPr>
        <w:pStyle w:val="Bbodytext"/>
      </w:pPr>
      <w:r w:rsidRPr="00A62771">
        <w:t xml:space="preserve">Investment in the GGS is funded through the budget and delivered by portfolio agencies. </w:t>
      </w:r>
      <w:r>
        <w:t>The c</w:t>
      </w:r>
      <w:r w:rsidRPr="00A62771">
        <w:t>ontribution from the Commonwealth Government for the GGS infrastructure investment program is around $610 million over 5</w:t>
      </w:r>
      <w:r>
        <w:t> </w:t>
      </w:r>
      <w:r w:rsidRPr="00A62771">
        <w:t xml:space="preserve">years. </w:t>
      </w:r>
    </w:p>
    <w:p w14:paraId="790C508F" w14:textId="77777777" w:rsidR="00A60D4B" w:rsidRPr="00A62771" w:rsidRDefault="00A60D4B" w:rsidP="00A60D4B">
      <w:pPr>
        <w:pStyle w:val="Bbodytext"/>
      </w:pPr>
      <w:r w:rsidRPr="00A62771">
        <w:t>PTEs undertake capital works to deliver specific services drawing on their own sources of revenue or borrowings and supplementation from the budget. The five PTEs are Cemeteries and Crematoria Authority, City Renewal Authority, Housing ACT, Icon Water and Suburban Land Agency.</w:t>
      </w:r>
    </w:p>
    <w:p w14:paraId="687B7A7F" w14:textId="77777777" w:rsidR="00A60D4B" w:rsidRPr="00A62771" w:rsidRDefault="00A60D4B" w:rsidP="00A60D4B">
      <w:pPr>
        <w:pStyle w:val="Bbodytext"/>
      </w:pPr>
      <w:r w:rsidRPr="00A62771">
        <w:lastRenderedPageBreak/>
        <w:t xml:space="preserve">A summary of the ACT Infrastructure Investment Program over the next five years is provided in </w:t>
      </w:r>
      <w:r w:rsidRPr="00E445EC">
        <w:t>Table 3.</w:t>
      </w:r>
      <w:r>
        <w:t>7.1</w:t>
      </w:r>
      <w:r w:rsidRPr="00A62771">
        <w:t xml:space="preserve"> below. More detailed information on the investment programs by the GGS and PTEs is provided in the subsequent sections.</w:t>
      </w:r>
    </w:p>
    <w:p w14:paraId="64174E33" w14:textId="77777777" w:rsidR="00A60D4B" w:rsidRPr="00B05ECD" w:rsidRDefault="00A60D4B" w:rsidP="00A60D4B">
      <w:pPr>
        <w:pStyle w:val="Caption"/>
      </w:pPr>
      <w:r w:rsidRPr="00B05ECD">
        <w:t>Table</w:t>
      </w:r>
      <w:r>
        <w:t xml:space="preserve"> 3</w:t>
      </w:r>
      <w:r w:rsidRPr="00B05ECD">
        <w:t>.</w:t>
      </w:r>
      <w:r>
        <w:t>7.1</w:t>
      </w:r>
      <w:r w:rsidRPr="00B05ECD">
        <w:t xml:space="preserve">:  Summary of the 2021-22 </w:t>
      </w:r>
      <w:r w:rsidRPr="000C570A">
        <w:t>GGS</w:t>
      </w:r>
      <w:r>
        <w:t xml:space="preserve"> </w:t>
      </w:r>
      <w:r w:rsidRPr="00B05ECD">
        <w:t>Infrastructure Investment Program – 5 years to 2025</w:t>
      </w:r>
      <w:r w:rsidRPr="00B05ECD">
        <w:noBreakHyphen/>
        <w:t>26</w:t>
      </w:r>
    </w:p>
    <w:tbl>
      <w:tblPr>
        <w:tblStyle w:val="TableGrid"/>
        <w:tblW w:w="90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2891"/>
        <w:gridCol w:w="1020"/>
        <w:gridCol w:w="1020"/>
        <w:gridCol w:w="1020"/>
        <w:gridCol w:w="1020"/>
        <w:gridCol w:w="1020"/>
        <w:gridCol w:w="1020"/>
      </w:tblGrid>
      <w:tr w:rsidR="00A60D4B" w14:paraId="062A8E93" w14:textId="77777777" w:rsidTr="00A60D4B">
        <w:trPr>
          <w:tblHeader/>
        </w:trPr>
        <w:tc>
          <w:tcPr>
            <w:tcW w:w="2891" w:type="dxa"/>
            <w:tcBorders>
              <w:top w:val="single" w:sz="4" w:space="0" w:color="auto"/>
              <w:bottom w:val="single" w:sz="4" w:space="0" w:color="auto"/>
            </w:tcBorders>
            <w:shd w:val="clear" w:color="auto" w:fill="472D8C"/>
          </w:tcPr>
          <w:p w14:paraId="6D1FE23A" w14:textId="77777777" w:rsidR="00A60D4B" w:rsidRPr="001C3DDD" w:rsidRDefault="00A60D4B" w:rsidP="00A60D4B">
            <w:pPr>
              <w:rPr>
                <w:color w:val="FFFFFF" w:themeColor="background1"/>
              </w:rPr>
            </w:pPr>
          </w:p>
        </w:tc>
        <w:tc>
          <w:tcPr>
            <w:tcW w:w="1020" w:type="dxa"/>
            <w:tcBorders>
              <w:top w:val="single" w:sz="4" w:space="0" w:color="auto"/>
              <w:bottom w:val="single" w:sz="4" w:space="0" w:color="auto"/>
            </w:tcBorders>
            <w:shd w:val="clear" w:color="auto" w:fill="472D8C"/>
          </w:tcPr>
          <w:p w14:paraId="7B36B3E4" w14:textId="77777777" w:rsidR="00A60D4B" w:rsidRPr="001C3DDD" w:rsidRDefault="00A60D4B" w:rsidP="00A60D4B">
            <w:pPr>
              <w:jc w:val="right"/>
              <w:rPr>
                <w:b/>
                <w:color w:val="FFFFFF" w:themeColor="background1"/>
                <w:sz w:val="20"/>
                <w:szCs w:val="20"/>
              </w:rPr>
            </w:pPr>
            <w:r w:rsidRPr="001C3DDD">
              <w:rPr>
                <w:b/>
                <w:color w:val="FFFFFF" w:themeColor="background1"/>
                <w:sz w:val="20"/>
                <w:szCs w:val="20"/>
              </w:rPr>
              <w:t>2021-22 Allocation</w:t>
            </w:r>
            <w:r w:rsidRPr="001C3DDD">
              <w:rPr>
                <w:b/>
                <w:color w:val="FFFFFF" w:themeColor="background1"/>
                <w:sz w:val="20"/>
                <w:szCs w:val="20"/>
              </w:rPr>
              <w:br/>
              <w:t>$’000</w:t>
            </w:r>
          </w:p>
        </w:tc>
        <w:tc>
          <w:tcPr>
            <w:tcW w:w="1020" w:type="dxa"/>
            <w:tcBorders>
              <w:top w:val="single" w:sz="4" w:space="0" w:color="auto"/>
              <w:bottom w:val="single" w:sz="4" w:space="0" w:color="auto"/>
            </w:tcBorders>
            <w:shd w:val="clear" w:color="auto" w:fill="472D8C"/>
          </w:tcPr>
          <w:p w14:paraId="7CA03686" w14:textId="77777777" w:rsidR="00A60D4B" w:rsidRPr="001C3DDD" w:rsidRDefault="00A60D4B" w:rsidP="00A60D4B">
            <w:pPr>
              <w:jc w:val="right"/>
              <w:rPr>
                <w:b/>
                <w:color w:val="FFFFFF" w:themeColor="background1"/>
                <w:sz w:val="20"/>
                <w:szCs w:val="20"/>
              </w:rPr>
            </w:pPr>
            <w:r w:rsidRPr="001C3DDD">
              <w:rPr>
                <w:b/>
                <w:color w:val="FFFFFF" w:themeColor="background1"/>
                <w:sz w:val="20"/>
                <w:szCs w:val="20"/>
              </w:rPr>
              <w:t>2022-23 Allocation</w:t>
            </w:r>
            <w:r w:rsidRPr="001C3DDD">
              <w:rPr>
                <w:b/>
                <w:color w:val="FFFFFF" w:themeColor="background1"/>
                <w:sz w:val="20"/>
                <w:szCs w:val="20"/>
              </w:rPr>
              <w:br/>
              <w:t>$’000</w:t>
            </w:r>
          </w:p>
        </w:tc>
        <w:tc>
          <w:tcPr>
            <w:tcW w:w="1020" w:type="dxa"/>
            <w:tcBorders>
              <w:top w:val="single" w:sz="4" w:space="0" w:color="auto"/>
              <w:bottom w:val="single" w:sz="4" w:space="0" w:color="auto"/>
            </w:tcBorders>
            <w:shd w:val="clear" w:color="auto" w:fill="472D8C"/>
          </w:tcPr>
          <w:p w14:paraId="2958A6E5" w14:textId="77777777" w:rsidR="00A60D4B" w:rsidRPr="001C3DDD" w:rsidRDefault="00A60D4B" w:rsidP="00A60D4B">
            <w:pPr>
              <w:jc w:val="right"/>
              <w:rPr>
                <w:b/>
                <w:color w:val="FFFFFF" w:themeColor="background1"/>
                <w:sz w:val="20"/>
                <w:szCs w:val="20"/>
              </w:rPr>
            </w:pPr>
            <w:r w:rsidRPr="001C3DDD">
              <w:rPr>
                <w:b/>
                <w:color w:val="FFFFFF" w:themeColor="background1"/>
                <w:sz w:val="20"/>
                <w:szCs w:val="20"/>
              </w:rPr>
              <w:t>2023-24 Allocation</w:t>
            </w:r>
            <w:r w:rsidRPr="001C3DDD">
              <w:rPr>
                <w:b/>
                <w:color w:val="FFFFFF" w:themeColor="background1"/>
                <w:sz w:val="20"/>
                <w:szCs w:val="20"/>
              </w:rPr>
              <w:br/>
              <w:t>$’000</w:t>
            </w:r>
          </w:p>
        </w:tc>
        <w:tc>
          <w:tcPr>
            <w:tcW w:w="1020" w:type="dxa"/>
            <w:tcBorders>
              <w:top w:val="single" w:sz="4" w:space="0" w:color="auto"/>
              <w:bottom w:val="single" w:sz="4" w:space="0" w:color="auto"/>
            </w:tcBorders>
            <w:shd w:val="clear" w:color="auto" w:fill="472D8C"/>
          </w:tcPr>
          <w:p w14:paraId="49076E8A" w14:textId="77777777" w:rsidR="00A60D4B" w:rsidRPr="001C3DDD" w:rsidRDefault="00A60D4B" w:rsidP="00A60D4B">
            <w:pPr>
              <w:jc w:val="right"/>
              <w:rPr>
                <w:b/>
                <w:color w:val="FFFFFF" w:themeColor="background1"/>
                <w:sz w:val="20"/>
                <w:szCs w:val="20"/>
              </w:rPr>
            </w:pPr>
            <w:r w:rsidRPr="001C3DDD">
              <w:rPr>
                <w:b/>
                <w:color w:val="FFFFFF" w:themeColor="background1"/>
                <w:sz w:val="20"/>
                <w:szCs w:val="20"/>
              </w:rPr>
              <w:t>2024-25 Allocation</w:t>
            </w:r>
            <w:r w:rsidRPr="001C3DDD">
              <w:rPr>
                <w:b/>
                <w:color w:val="FFFFFF" w:themeColor="background1"/>
                <w:sz w:val="20"/>
                <w:szCs w:val="20"/>
              </w:rPr>
              <w:br/>
              <w:t>$’000</w:t>
            </w:r>
          </w:p>
        </w:tc>
        <w:tc>
          <w:tcPr>
            <w:tcW w:w="1020" w:type="dxa"/>
            <w:tcBorders>
              <w:top w:val="single" w:sz="4" w:space="0" w:color="auto"/>
              <w:bottom w:val="single" w:sz="4" w:space="0" w:color="auto"/>
            </w:tcBorders>
            <w:shd w:val="clear" w:color="auto" w:fill="472D8C"/>
          </w:tcPr>
          <w:p w14:paraId="3D288BAF" w14:textId="77777777" w:rsidR="00A60D4B" w:rsidRPr="001C3DDD" w:rsidRDefault="00A60D4B" w:rsidP="00A60D4B">
            <w:pPr>
              <w:jc w:val="right"/>
              <w:rPr>
                <w:b/>
                <w:color w:val="FFFFFF" w:themeColor="background1"/>
                <w:sz w:val="20"/>
                <w:szCs w:val="20"/>
              </w:rPr>
            </w:pPr>
            <w:r w:rsidRPr="001C3DDD">
              <w:rPr>
                <w:b/>
                <w:color w:val="FFFFFF" w:themeColor="background1"/>
                <w:sz w:val="20"/>
                <w:szCs w:val="20"/>
              </w:rPr>
              <w:t>2025-26 Allocation</w:t>
            </w:r>
            <w:r w:rsidRPr="001C3DDD">
              <w:rPr>
                <w:b/>
                <w:color w:val="FFFFFF" w:themeColor="background1"/>
                <w:sz w:val="20"/>
                <w:szCs w:val="20"/>
              </w:rPr>
              <w:br/>
              <w:t>$’000</w:t>
            </w:r>
          </w:p>
        </w:tc>
        <w:tc>
          <w:tcPr>
            <w:tcW w:w="1020" w:type="dxa"/>
            <w:tcBorders>
              <w:top w:val="single" w:sz="4" w:space="0" w:color="auto"/>
              <w:bottom w:val="single" w:sz="4" w:space="0" w:color="auto"/>
            </w:tcBorders>
            <w:shd w:val="clear" w:color="auto" w:fill="472D8C"/>
          </w:tcPr>
          <w:p w14:paraId="57839376" w14:textId="77777777" w:rsidR="00A60D4B" w:rsidRPr="001C3DDD" w:rsidRDefault="00A60D4B" w:rsidP="00A60D4B">
            <w:pPr>
              <w:jc w:val="right"/>
              <w:rPr>
                <w:b/>
                <w:color w:val="FFFFFF" w:themeColor="background1"/>
                <w:sz w:val="20"/>
                <w:szCs w:val="20"/>
              </w:rPr>
            </w:pPr>
            <w:r w:rsidRPr="001C3DDD">
              <w:rPr>
                <w:b/>
                <w:color w:val="FFFFFF" w:themeColor="background1"/>
                <w:sz w:val="20"/>
                <w:szCs w:val="20"/>
              </w:rPr>
              <w:t>Total Investment</w:t>
            </w:r>
          </w:p>
          <w:p w14:paraId="6DBCFC5E" w14:textId="77777777" w:rsidR="00A60D4B" w:rsidRPr="001C3DDD" w:rsidRDefault="00A60D4B" w:rsidP="00A60D4B">
            <w:pPr>
              <w:jc w:val="right"/>
              <w:rPr>
                <w:b/>
                <w:color w:val="FFFFFF" w:themeColor="background1"/>
                <w:sz w:val="20"/>
                <w:szCs w:val="20"/>
              </w:rPr>
            </w:pPr>
            <w:r w:rsidRPr="001C3DDD">
              <w:rPr>
                <w:b/>
                <w:color w:val="FFFFFF" w:themeColor="background1"/>
                <w:sz w:val="20"/>
                <w:szCs w:val="20"/>
              </w:rPr>
              <w:t>$’000</w:t>
            </w:r>
          </w:p>
        </w:tc>
      </w:tr>
      <w:tr w:rsidR="00A60D4B" w14:paraId="4A694110" w14:textId="77777777" w:rsidTr="00A60D4B">
        <w:trPr>
          <w:trHeight w:val="397"/>
        </w:trPr>
        <w:tc>
          <w:tcPr>
            <w:tcW w:w="2891" w:type="dxa"/>
            <w:tcBorders>
              <w:top w:val="single" w:sz="4" w:space="0" w:color="auto"/>
            </w:tcBorders>
          </w:tcPr>
          <w:p w14:paraId="29AC4A96" w14:textId="77777777" w:rsidR="00A60D4B" w:rsidRPr="00155AFE" w:rsidRDefault="00A60D4B" w:rsidP="00A60D4B">
            <w:pPr>
              <w:rPr>
                <w:sz w:val="20"/>
                <w:szCs w:val="20"/>
              </w:rPr>
            </w:pPr>
            <w:r w:rsidRPr="00155AFE">
              <w:rPr>
                <w:rFonts w:ascii="Calibri" w:hAnsi="Calibri" w:cs="Calibri"/>
                <w:b/>
                <w:bCs/>
                <w:color w:val="000000"/>
                <w:sz w:val="20"/>
                <w:szCs w:val="20"/>
              </w:rPr>
              <w:t>New Capital Works</w:t>
            </w:r>
          </w:p>
        </w:tc>
        <w:tc>
          <w:tcPr>
            <w:tcW w:w="1020" w:type="dxa"/>
            <w:tcBorders>
              <w:top w:val="single" w:sz="4" w:space="0" w:color="auto"/>
            </w:tcBorders>
          </w:tcPr>
          <w:p w14:paraId="51B62446" w14:textId="77777777" w:rsidR="00A60D4B" w:rsidRDefault="00A60D4B" w:rsidP="00A60D4B">
            <w:pPr>
              <w:jc w:val="right"/>
            </w:pPr>
            <w:r>
              <w:rPr>
                <w:rFonts w:ascii="Calibri" w:hAnsi="Calibri" w:cs="Calibri"/>
                <w:b/>
                <w:color w:val="000000"/>
                <w:sz w:val="20"/>
                <w:szCs w:val="20"/>
              </w:rPr>
              <w:t> </w:t>
            </w:r>
          </w:p>
        </w:tc>
        <w:tc>
          <w:tcPr>
            <w:tcW w:w="1020" w:type="dxa"/>
            <w:tcBorders>
              <w:top w:val="single" w:sz="4" w:space="0" w:color="auto"/>
            </w:tcBorders>
          </w:tcPr>
          <w:p w14:paraId="539A6BB8" w14:textId="77777777" w:rsidR="00A60D4B" w:rsidRDefault="00A60D4B" w:rsidP="00A60D4B">
            <w:pPr>
              <w:jc w:val="right"/>
            </w:pPr>
            <w:r>
              <w:rPr>
                <w:rFonts w:ascii="Calibri" w:hAnsi="Calibri" w:cs="Calibri"/>
                <w:b/>
                <w:color w:val="000000"/>
                <w:sz w:val="20"/>
                <w:szCs w:val="20"/>
              </w:rPr>
              <w:t> </w:t>
            </w:r>
          </w:p>
        </w:tc>
        <w:tc>
          <w:tcPr>
            <w:tcW w:w="1020" w:type="dxa"/>
            <w:tcBorders>
              <w:top w:val="single" w:sz="4" w:space="0" w:color="auto"/>
            </w:tcBorders>
          </w:tcPr>
          <w:p w14:paraId="662346F6" w14:textId="77777777" w:rsidR="00A60D4B" w:rsidRDefault="00A60D4B" w:rsidP="00A60D4B">
            <w:pPr>
              <w:jc w:val="right"/>
            </w:pPr>
            <w:r>
              <w:rPr>
                <w:rFonts w:ascii="Calibri" w:hAnsi="Calibri" w:cs="Calibri"/>
                <w:b/>
                <w:color w:val="000000"/>
                <w:sz w:val="20"/>
                <w:szCs w:val="20"/>
              </w:rPr>
              <w:t> </w:t>
            </w:r>
          </w:p>
        </w:tc>
        <w:tc>
          <w:tcPr>
            <w:tcW w:w="1020" w:type="dxa"/>
            <w:tcBorders>
              <w:top w:val="single" w:sz="4" w:space="0" w:color="auto"/>
            </w:tcBorders>
          </w:tcPr>
          <w:p w14:paraId="72663264" w14:textId="77777777" w:rsidR="00A60D4B" w:rsidRDefault="00A60D4B" w:rsidP="00A60D4B">
            <w:pPr>
              <w:jc w:val="right"/>
            </w:pPr>
            <w:r>
              <w:rPr>
                <w:rFonts w:ascii="Calibri" w:hAnsi="Calibri" w:cs="Calibri"/>
                <w:b/>
                <w:color w:val="000000"/>
                <w:sz w:val="20"/>
                <w:szCs w:val="20"/>
              </w:rPr>
              <w:t> </w:t>
            </w:r>
          </w:p>
        </w:tc>
        <w:tc>
          <w:tcPr>
            <w:tcW w:w="1020" w:type="dxa"/>
            <w:tcBorders>
              <w:top w:val="single" w:sz="4" w:space="0" w:color="auto"/>
            </w:tcBorders>
          </w:tcPr>
          <w:p w14:paraId="55A81D2A" w14:textId="77777777" w:rsidR="00A60D4B" w:rsidRDefault="00A60D4B" w:rsidP="00A60D4B">
            <w:pPr>
              <w:jc w:val="right"/>
            </w:pPr>
            <w:r>
              <w:rPr>
                <w:rFonts w:ascii="Calibri" w:hAnsi="Calibri" w:cs="Calibri"/>
                <w:b/>
                <w:color w:val="000000"/>
                <w:sz w:val="20"/>
                <w:szCs w:val="20"/>
              </w:rPr>
              <w:t> </w:t>
            </w:r>
          </w:p>
        </w:tc>
        <w:tc>
          <w:tcPr>
            <w:tcW w:w="1020" w:type="dxa"/>
            <w:tcBorders>
              <w:top w:val="single" w:sz="4" w:space="0" w:color="auto"/>
            </w:tcBorders>
          </w:tcPr>
          <w:p w14:paraId="2D73B165" w14:textId="77777777" w:rsidR="00A60D4B" w:rsidRDefault="00A60D4B" w:rsidP="00A60D4B">
            <w:pPr>
              <w:jc w:val="right"/>
            </w:pPr>
            <w:r>
              <w:rPr>
                <w:rFonts w:ascii="Calibri" w:hAnsi="Calibri" w:cs="Calibri"/>
                <w:b/>
                <w:bCs/>
                <w:color w:val="000000"/>
                <w:sz w:val="20"/>
                <w:szCs w:val="20"/>
              </w:rPr>
              <w:t> </w:t>
            </w:r>
          </w:p>
        </w:tc>
      </w:tr>
      <w:tr w:rsidR="00A60D4B" w14:paraId="579353CD" w14:textId="77777777" w:rsidTr="00A60D4B">
        <w:tc>
          <w:tcPr>
            <w:tcW w:w="2891" w:type="dxa"/>
          </w:tcPr>
          <w:p w14:paraId="42F1E6B1" w14:textId="77777777" w:rsidR="00A60D4B" w:rsidRPr="00155AFE" w:rsidRDefault="00A60D4B" w:rsidP="00A60D4B">
            <w:pPr>
              <w:rPr>
                <w:sz w:val="20"/>
                <w:szCs w:val="20"/>
              </w:rPr>
            </w:pPr>
            <w:r>
              <w:rPr>
                <w:rFonts w:ascii="Calibri" w:hAnsi="Calibri" w:cs="Calibri"/>
                <w:color w:val="000000"/>
                <w:sz w:val="20"/>
                <w:szCs w:val="20"/>
              </w:rPr>
              <w:t>Early Planning</w:t>
            </w:r>
          </w:p>
        </w:tc>
        <w:tc>
          <w:tcPr>
            <w:tcW w:w="1020" w:type="dxa"/>
          </w:tcPr>
          <w:p w14:paraId="552BF302" w14:textId="77777777" w:rsidR="00A60D4B" w:rsidRDefault="00A60D4B" w:rsidP="00A60D4B">
            <w:pPr>
              <w:jc w:val="right"/>
            </w:pPr>
            <w:r>
              <w:rPr>
                <w:rFonts w:ascii="Calibri" w:hAnsi="Calibri" w:cs="Calibri"/>
                <w:color w:val="000000"/>
                <w:sz w:val="20"/>
                <w:szCs w:val="20"/>
              </w:rPr>
              <w:t>13,481</w:t>
            </w:r>
          </w:p>
        </w:tc>
        <w:tc>
          <w:tcPr>
            <w:tcW w:w="1020" w:type="dxa"/>
          </w:tcPr>
          <w:p w14:paraId="12168459" w14:textId="77777777" w:rsidR="00A60D4B" w:rsidRDefault="00A60D4B" w:rsidP="00A60D4B">
            <w:pPr>
              <w:jc w:val="right"/>
            </w:pPr>
            <w:r>
              <w:rPr>
                <w:rFonts w:ascii="Calibri" w:hAnsi="Calibri" w:cs="Calibri"/>
                <w:color w:val="000000"/>
                <w:sz w:val="20"/>
                <w:szCs w:val="20"/>
              </w:rPr>
              <w:t>7,269</w:t>
            </w:r>
          </w:p>
        </w:tc>
        <w:tc>
          <w:tcPr>
            <w:tcW w:w="1020" w:type="dxa"/>
          </w:tcPr>
          <w:p w14:paraId="04DFFE09" w14:textId="77777777" w:rsidR="00A60D4B" w:rsidRDefault="00A60D4B" w:rsidP="00A60D4B">
            <w:pPr>
              <w:jc w:val="right"/>
            </w:pPr>
            <w:r>
              <w:rPr>
                <w:rFonts w:ascii="Calibri" w:hAnsi="Calibri" w:cs="Calibri"/>
                <w:color w:val="000000"/>
                <w:sz w:val="20"/>
                <w:szCs w:val="20"/>
              </w:rPr>
              <w:t>296</w:t>
            </w:r>
          </w:p>
        </w:tc>
        <w:tc>
          <w:tcPr>
            <w:tcW w:w="1020" w:type="dxa"/>
          </w:tcPr>
          <w:p w14:paraId="20215F7C" w14:textId="77777777" w:rsidR="00A60D4B" w:rsidRDefault="00A60D4B" w:rsidP="00A60D4B">
            <w:pPr>
              <w:jc w:val="right"/>
            </w:pPr>
            <w:r>
              <w:rPr>
                <w:rFonts w:ascii="Calibri" w:hAnsi="Calibri" w:cs="Calibri"/>
                <w:color w:val="000000"/>
                <w:sz w:val="20"/>
                <w:szCs w:val="20"/>
              </w:rPr>
              <w:t>28</w:t>
            </w:r>
          </w:p>
        </w:tc>
        <w:tc>
          <w:tcPr>
            <w:tcW w:w="1020" w:type="dxa"/>
          </w:tcPr>
          <w:p w14:paraId="3B58E513" w14:textId="77777777" w:rsidR="00A60D4B" w:rsidRDefault="00A60D4B" w:rsidP="00A60D4B">
            <w:pPr>
              <w:jc w:val="right"/>
            </w:pPr>
            <w:r>
              <w:rPr>
                <w:rFonts w:ascii="Calibri" w:hAnsi="Calibri" w:cs="Calibri"/>
                <w:color w:val="000000"/>
                <w:sz w:val="20"/>
                <w:szCs w:val="20"/>
              </w:rPr>
              <w:t>0</w:t>
            </w:r>
          </w:p>
        </w:tc>
        <w:tc>
          <w:tcPr>
            <w:tcW w:w="1020" w:type="dxa"/>
          </w:tcPr>
          <w:p w14:paraId="5C58D940" w14:textId="77777777" w:rsidR="00A60D4B" w:rsidRDefault="00A60D4B" w:rsidP="00A60D4B">
            <w:pPr>
              <w:jc w:val="right"/>
            </w:pPr>
            <w:r>
              <w:rPr>
                <w:rFonts w:ascii="Calibri" w:hAnsi="Calibri" w:cs="Calibri"/>
                <w:b/>
                <w:bCs/>
                <w:color w:val="000000"/>
                <w:sz w:val="20"/>
                <w:szCs w:val="20"/>
              </w:rPr>
              <w:t>21,074</w:t>
            </w:r>
          </w:p>
        </w:tc>
      </w:tr>
      <w:tr w:rsidR="00A60D4B" w14:paraId="563485E4" w14:textId="77777777" w:rsidTr="00A60D4B">
        <w:tc>
          <w:tcPr>
            <w:tcW w:w="2891" w:type="dxa"/>
          </w:tcPr>
          <w:p w14:paraId="4A02BA5C" w14:textId="77777777" w:rsidR="00A60D4B" w:rsidRPr="00155AFE" w:rsidRDefault="00A60D4B" w:rsidP="00A60D4B">
            <w:pPr>
              <w:rPr>
                <w:sz w:val="20"/>
                <w:szCs w:val="20"/>
              </w:rPr>
            </w:pPr>
            <w:r>
              <w:rPr>
                <w:rFonts w:ascii="Calibri" w:hAnsi="Calibri" w:cs="Calibri"/>
                <w:color w:val="000000"/>
                <w:sz w:val="20"/>
                <w:szCs w:val="20"/>
              </w:rPr>
              <w:t>Design</w:t>
            </w:r>
          </w:p>
        </w:tc>
        <w:tc>
          <w:tcPr>
            <w:tcW w:w="1020" w:type="dxa"/>
          </w:tcPr>
          <w:p w14:paraId="65B441EC" w14:textId="77777777" w:rsidR="00A60D4B" w:rsidRDefault="00A60D4B" w:rsidP="00A60D4B">
            <w:pPr>
              <w:jc w:val="right"/>
            </w:pPr>
            <w:r>
              <w:rPr>
                <w:rFonts w:ascii="Calibri" w:hAnsi="Calibri" w:cs="Calibri"/>
                <w:color w:val="000000"/>
                <w:sz w:val="20"/>
                <w:szCs w:val="20"/>
              </w:rPr>
              <w:t>8,813</w:t>
            </w:r>
          </w:p>
        </w:tc>
        <w:tc>
          <w:tcPr>
            <w:tcW w:w="1020" w:type="dxa"/>
          </w:tcPr>
          <w:p w14:paraId="4F51E728" w14:textId="77777777" w:rsidR="00A60D4B" w:rsidRDefault="00A60D4B" w:rsidP="00A60D4B">
            <w:pPr>
              <w:jc w:val="right"/>
            </w:pPr>
            <w:r>
              <w:rPr>
                <w:rFonts w:ascii="Calibri" w:hAnsi="Calibri" w:cs="Calibri"/>
                <w:color w:val="000000"/>
                <w:sz w:val="20"/>
                <w:szCs w:val="20"/>
              </w:rPr>
              <w:t>14,127</w:t>
            </w:r>
          </w:p>
        </w:tc>
        <w:tc>
          <w:tcPr>
            <w:tcW w:w="1020" w:type="dxa"/>
          </w:tcPr>
          <w:p w14:paraId="141DBD01" w14:textId="77777777" w:rsidR="00A60D4B" w:rsidRDefault="00A60D4B" w:rsidP="00A60D4B">
            <w:pPr>
              <w:jc w:val="right"/>
            </w:pPr>
            <w:r>
              <w:rPr>
                <w:rFonts w:ascii="Calibri" w:hAnsi="Calibri" w:cs="Calibri"/>
                <w:color w:val="000000"/>
                <w:sz w:val="20"/>
                <w:szCs w:val="20"/>
              </w:rPr>
              <w:t>500</w:t>
            </w:r>
          </w:p>
        </w:tc>
        <w:tc>
          <w:tcPr>
            <w:tcW w:w="1020" w:type="dxa"/>
          </w:tcPr>
          <w:p w14:paraId="53E8902D" w14:textId="77777777" w:rsidR="00A60D4B" w:rsidRDefault="00A60D4B" w:rsidP="00A60D4B">
            <w:pPr>
              <w:jc w:val="right"/>
            </w:pPr>
            <w:r>
              <w:rPr>
                <w:rFonts w:ascii="Calibri" w:hAnsi="Calibri" w:cs="Calibri"/>
                <w:color w:val="000000"/>
                <w:sz w:val="20"/>
                <w:szCs w:val="20"/>
              </w:rPr>
              <w:t>0</w:t>
            </w:r>
          </w:p>
        </w:tc>
        <w:tc>
          <w:tcPr>
            <w:tcW w:w="1020" w:type="dxa"/>
          </w:tcPr>
          <w:p w14:paraId="1BEFECC3" w14:textId="77777777" w:rsidR="00A60D4B" w:rsidRDefault="00A60D4B" w:rsidP="00A60D4B">
            <w:pPr>
              <w:jc w:val="right"/>
            </w:pPr>
            <w:r>
              <w:rPr>
                <w:rFonts w:ascii="Calibri" w:hAnsi="Calibri" w:cs="Calibri"/>
                <w:color w:val="000000"/>
                <w:sz w:val="20"/>
                <w:szCs w:val="20"/>
              </w:rPr>
              <w:t>0</w:t>
            </w:r>
          </w:p>
        </w:tc>
        <w:tc>
          <w:tcPr>
            <w:tcW w:w="1020" w:type="dxa"/>
          </w:tcPr>
          <w:p w14:paraId="5E5AA338" w14:textId="77777777" w:rsidR="00A60D4B" w:rsidRDefault="00A60D4B" w:rsidP="00A60D4B">
            <w:pPr>
              <w:jc w:val="right"/>
            </w:pPr>
            <w:r>
              <w:rPr>
                <w:rFonts w:ascii="Calibri" w:hAnsi="Calibri" w:cs="Calibri"/>
                <w:b/>
                <w:bCs/>
                <w:color w:val="000000"/>
                <w:sz w:val="20"/>
                <w:szCs w:val="20"/>
              </w:rPr>
              <w:t>23,440</w:t>
            </w:r>
          </w:p>
        </w:tc>
      </w:tr>
      <w:tr w:rsidR="00A60D4B" w14:paraId="0F2B4BE7" w14:textId="77777777" w:rsidTr="00A60D4B">
        <w:tc>
          <w:tcPr>
            <w:tcW w:w="2891" w:type="dxa"/>
          </w:tcPr>
          <w:p w14:paraId="380160E8" w14:textId="77777777" w:rsidR="00A60D4B" w:rsidRPr="00155AFE" w:rsidRDefault="00A60D4B" w:rsidP="00A60D4B">
            <w:pPr>
              <w:rPr>
                <w:sz w:val="20"/>
                <w:szCs w:val="20"/>
              </w:rPr>
            </w:pPr>
            <w:r>
              <w:rPr>
                <w:rFonts w:ascii="Calibri" w:hAnsi="Calibri" w:cs="Calibri"/>
                <w:color w:val="000000"/>
                <w:sz w:val="20"/>
                <w:szCs w:val="20"/>
              </w:rPr>
              <w:t>Construction</w:t>
            </w:r>
          </w:p>
        </w:tc>
        <w:tc>
          <w:tcPr>
            <w:tcW w:w="1020" w:type="dxa"/>
          </w:tcPr>
          <w:p w14:paraId="27EF7F65" w14:textId="77777777" w:rsidR="00A60D4B" w:rsidRDefault="00A60D4B" w:rsidP="00A60D4B">
            <w:pPr>
              <w:jc w:val="right"/>
            </w:pPr>
            <w:r>
              <w:rPr>
                <w:rFonts w:ascii="Calibri" w:hAnsi="Calibri" w:cs="Calibri"/>
                <w:color w:val="000000"/>
                <w:sz w:val="20"/>
                <w:szCs w:val="20"/>
              </w:rPr>
              <w:t>141,546</w:t>
            </w:r>
          </w:p>
        </w:tc>
        <w:tc>
          <w:tcPr>
            <w:tcW w:w="1020" w:type="dxa"/>
          </w:tcPr>
          <w:p w14:paraId="29F71ABD" w14:textId="77777777" w:rsidR="00A60D4B" w:rsidRDefault="00A60D4B" w:rsidP="00A60D4B">
            <w:pPr>
              <w:jc w:val="right"/>
            </w:pPr>
            <w:r>
              <w:rPr>
                <w:rFonts w:ascii="Calibri" w:hAnsi="Calibri" w:cs="Calibri"/>
                <w:color w:val="000000"/>
                <w:sz w:val="20"/>
                <w:szCs w:val="20"/>
              </w:rPr>
              <w:t>189,620</w:t>
            </w:r>
          </w:p>
        </w:tc>
        <w:tc>
          <w:tcPr>
            <w:tcW w:w="1020" w:type="dxa"/>
          </w:tcPr>
          <w:p w14:paraId="07C97E5C" w14:textId="77777777" w:rsidR="00A60D4B" w:rsidRDefault="00A60D4B" w:rsidP="00A60D4B">
            <w:pPr>
              <w:jc w:val="right"/>
            </w:pPr>
            <w:r>
              <w:rPr>
                <w:rFonts w:ascii="Calibri" w:hAnsi="Calibri" w:cs="Calibri"/>
                <w:color w:val="000000"/>
                <w:sz w:val="20"/>
                <w:szCs w:val="20"/>
              </w:rPr>
              <w:t>131,460</w:t>
            </w:r>
          </w:p>
        </w:tc>
        <w:tc>
          <w:tcPr>
            <w:tcW w:w="1020" w:type="dxa"/>
          </w:tcPr>
          <w:p w14:paraId="58013DA7" w14:textId="77777777" w:rsidR="00A60D4B" w:rsidRDefault="00A60D4B" w:rsidP="00A60D4B">
            <w:pPr>
              <w:jc w:val="right"/>
            </w:pPr>
            <w:r>
              <w:rPr>
                <w:rFonts w:ascii="Calibri" w:hAnsi="Calibri" w:cs="Calibri"/>
                <w:color w:val="000000"/>
                <w:sz w:val="20"/>
                <w:szCs w:val="20"/>
              </w:rPr>
              <w:t>89,989</w:t>
            </w:r>
          </w:p>
        </w:tc>
        <w:tc>
          <w:tcPr>
            <w:tcW w:w="1020" w:type="dxa"/>
          </w:tcPr>
          <w:p w14:paraId="42A70C48" w14:textId="77777777" w:rsidR="00A60D4B" w:rsidRDefault="00A60D4B" w:rsidP="00A60D4B">
            <w:pPr>
              <w:jc w:val="right"/>
            </w:pPr>
            <w:r>
              <w:rPr>
                <w:rFonts w:ascii="Calibri" w:hAnsi="Calibri" w:cs="Calibri"/>
                <w:color w:val="000000"/>
                <w:sz w:val="20"/>
                <w:szCs w:val="20"/>
              </w:rPr>
              <w:t>23,600</w:t>
            </w:r>
          </w:p>
        </w:tc>
        <w:tc>
          <w:tcPr>
            <w:tcW w:w="1020" w:type="dxa"/>
          </w:tcPr>
          <w:p w14:paraId="1D8EED1E" w14:textId="77777777" w:rsidR="00A60D4B" w:rsidRDefault="00A60D4B" w:rsidP="00A60D4B">
            <w:pPr>
              <w:jc w:val="right"/>
            </w:pPr>
            <w:r>
              <w:rPr>
                <w:rFonts w:ascii="Calibri" w:hAnsi="Calibri" w:cs="Calibri"/>
                <w:b/>
                <w:bCs/>
                <w:color w:val="000000"/>
                <w:sz w:val="20"/>
                <w:szCs w:val="20"/>
              </w:rPr>
              <w:t>576,215</w:t>
            </w:r>
          </w:p>
        </w:tc>
      </w:tr>
      <w:tr w:rsidR="00A60D4B" w14:paraId="7EC87461" w14:textId="77777777" w:rsidTr="00A60D4B">
        <w:tc>
          <w:tcPr>
            <w:tcW w:w="2891" w:type="dxa"/>
          </w:tcPr>
          <w:p w14:paraId="0B0B92A5" w14:textId="77777777" w:rsidR="00A60D4B" w:rsidRPr="00155AFE" w:rsidRDefault="00A60D4B" w:rsidP="00A60D4B">
            <w:pPr>
              <w:rPr>
                <w:sz w:val="20"/>
                <w:szCs w:val="20"/>
              </w:rPr>
            </w:pPr>
            <w:r>
              <w:rPr>
                <w:rFonts w:ascii="Calibri" w:hAnsi="Calibri" w:cs="Calibri"/>
                <w:color w:val="000000"/>
                <w:sz w:val="20"/>
                <w:szCs w:val="20"/>
              </w:rPr>
              <w:t>ICT</w:t>
            </w:r>
          </w:p>
        </w:tc>
        <w:tc>
          <w:tcPr>
            <w:tcW w:w="1020" w:type="dxa"/>
          </w:tcPr>
          <w:p w14:paraId="5605807C" w14:textId="77777777" w:rsidR="00A60D4B" w:rsidRDefault="00A60D4B" w:rsidP="00A60D4B">
            <w:pPr>
              <w:jc w:val="right"/>
            </w:pPr>
            <w:r>
              <w:rPr>
                <w:rFonts w:ascii="Calibri" w:hAnsi="Calibri" w:cs="Calibri"/>
                <w:color w:val="000000"/>
                <w:sz w:val="20"/>
                <w:szCs w:val="20"/>
              </w:rPr>
              <w:t>19,144</w:t>
            </w:r>
          </w:p>
        </w:tc>
        <w:tc>
          <w:tcPr>
            <w:tcW w:w="1020" w:type="dxa"/>
          </w:tcPr>
          <w:p w14:paraId="2C1EE5E5" w14:textId="77777777" w:rsidR="00A60D4B" w:rsidRDefault="00A60D4B" w:rsidP="00A60D4B">
            <w:pPr>
              <w:jc w:val="right"/>
            </w:pPr>
            <w:r>
              <w:rPr>
                <w:rFonts w:ascii="Calibri" w:hAnsi="Calibri" w:cs="Calibri"/>
                <w:color w:val="000000"/>
                <w:sz w:val="20"/>
                <w:szCs w:val="20"/>
              </w:rPr>
              <w:t>10,574</w:t>
            </w:r>
          </w:p>
        </w:tc>
        <w:tc>
          <w:tcPr>
            <w:tcW w:w="1020" w:type="dxa"/>
          </w:tcPr>
          <w:p w14:paraId="38665BA8" w14:textId="77777777" w:rsidR="00A60D4B" w:rsidRDefault="00A60D4B" w:rsidP="00A60D4B">
            <w:pPr>
              <w:jc w:val="right"/>
            </w:pPr>
            <w:r>
              <w:rPr>
                <w:rFonts w:ascii="Calibri" w:hAnsi="Calibri" w:cs="Calibri"/>
                <w:color w:val="000000"/>
                <w:sz w:val="20"/>
                <w:szCs w:val="20"/>
              </w:rPr>
              <w:t>11,743</w:t>
            </w:r>
          </w:p>
        </w:tc>
        <w:tc>
          <w:tcPr>
            <w:tcW w:w="1020" w:type="dxa"/>
          </w:tcPr>
          <w:p w14:paraId="49D71139" w14:textId="77777777" w:rsidR="00A60D4B" w:rsidRDefault="00A60D4B" w:rsidP="00A60D4B">
            <w:pPr>
              <w:jc w:val="right"/>
            </w:pPr>
            <w:r>
              <w:rPr>
                <w:rFonts w:ascii="Calibri" w:hAnsi="Calibri" w:cs="Calibri"/>
                <w:color w:val="000000"/>
                <w:sz w:val="20"/>
                <w:szCs w:val="20"/>
              </w:rPr>
              <w:t>10,373</w:t>
            </w:r>
          </w:p>
        </w:tc>
        <w:tc>
          <w:tcPr>
            <w:tcW w:w="1020" w:type="dxa"/>
          </w:tcPr>
          <w:p w14:paraId="5ABCA5B3" w14:textId="77777777" w:rsidR="00A60D4B" w:rsidRDefault="00A60D4B" w:rsidP="00A60D4B">
            <w:pPr>
              <w:jc w:val="right"/>
            </w:pPr>
            <w:r>
              <w:rPr>
                <w:rFonts w:ascii="Calibri" w:hAnsi="Calibri" w:cs="Calibri"/>
                <w:color w:val="000000"/>
                <w:sz w:val="20"/>
                <w:szCs w:val="20"/>
              </w:rPr>
              <w:t>5,134</w:t>
            </w:r>
          </w:p>
        </w:tc>
        <w:tc>
          <w:tcPr>
            <w:tcW w:w="1020" w:type="dxa"/>
          </w:tcPr>
          <w:p w14:paraId="122DB6BF" w14:textId="77777777" w:rsidR="00A60D4B" w:rsidRDefault="00A60D4B" w:rsidP="00A60D4B">
            <w:pPr>
              <w:jc w:val="right"/>
            </w:pPr>
            <w:r>
              <w:rPr>
                <w:rFonts w:ascii="Calibri" w:hAnsi="Calibri" w:cs="Calibri"/>
                <w:b/>
                <w:bCs/>
                <w:color w:val="000000"/>
                <w:sz w:val="20"/>
                <w:szCs w:val="20"/>
              </w:rPr>
              <w:t>56,968</w:t>
            </w:r>
          </w:p>
        </w:tc>
      </w:tr>
      <w:tr w:rsidR="00A60D4B" w14:paraId="05B82AB7" w14:textId="77777777" w:rsidTr="00A60D4B">
        <w:trPr>
          <w:trHeight w:val="283"/>
        </w:trPr>
        <w:tc>
          <w:tcPr>
            <w:tcW w:w="2891" w:type="dxa"/>
          </w:tcPr>
          <w:p w14:paraId="6B25B9E0" w14:textId="77777777" w:rsidR="00A60D4B" w:rsidRPr="00155AFE" w:rsidRDefault="00A60D4B" w:rsidP="00A60D4B">
            <w:pPr>
              <w:rPr>
                <w:sz w:val="20"/>
                <w:szCs w:val="20"/>
              </w:rPr>
            </w:pPr>
            <w:r>
              <w:rPr>
                <w:rFonts w:ascii="Calibri" w:hAnsi="Calibri" w:cs="Calibri"/>
                <w:color w:val="000000"/>
                <w:sz w:val="20"/>
                <w:szCs w:val="20"/>
              </w:rPr>
              <w:t>ICT Early Planning</w:t>
            </w:r>
          </w:p>
        </w:tc>
        <w:tc>
          <w:tcPr>
            <w:tcW w:w="1020" w:type="dxa"/>
          </w:tcPr>
          <w:p w14:paraId="2158C455" w14:textId="77777777" w:rsidR="00A60D4B" w:rsidRDefault="00A60D4B" w:rsidP="00A60D4B">
            <w:pPr>
              <w:jc w:val="right"/>
            </w:pPr>
            <w:r>
              <w:rPr>
                <w:rFonts w:ascii="Calibri" w:hAnsi="Calibri" w:cs="Calibri"/>
                <w:color w:val="000000"/>
                <w:sz w:val="20"/>
                <w:szCs w:val="20"/>
              </w:rPr>
              <w:t>0</w:t>
            </w:r>
          </w:p>
        </w:tc>
        <w:tc>
          <w:tcPr>
            <w:tcW w:w="1020" w:type="dxa"/>
          </w:tcPr>
          <w:p w14:paraId="6570B164" w14:textId="77777777" w:rsidR="00A60D4B" w:rsidRDefault="00A60D4B" w:rsidP="00A60D4B">
            <w:pPr>
              <w:jc w:val="right"/>
            </w:pPr>
            <w:r>
              <w:rPr>
                <w:rFonts w:ascii="Calibri" w:hAnsi="Calibri" w:cs="Calibri"/>
                <w:color w:val="000000"/>
                <w:sz w:val="20"/>
                <w:szCs w:val="20"/>
              </w:rPr>
              <w:t>0</w:t>
            </w:r>
          </w:p>
        </w:tc>
        <w:tc>
          <w:tcPr>
            <w:tcW w:w="1020" w:type="dxa"/>
          </w:tcPr>
          <w:p w14:paraId="2F52323B" w14:textId="77777777" w:rsidR="00A60D4B" w:rsidRDefault="00A60D4B" w:rsidP="00A60D4B">
            <w:pPr>
              <w:jc w:val="right"/>
            </w:pPr>
            <w:r>
              <w:rPr>
                <w:rFonts w:ascii="Calibri" w:hAnsi="Calibri" w:cs="Calibri"/>
                <w:color w:val="000000"/>
                <w:sz w:val="20"/>
                <w:szCs w:val="20"/>
              </w:rPr>
              <w:t>0</w:t>
            </w:r>
          </w:p>
        </w:tc>
        <w:tc>
          <w:tcPr>
            <w:tcW w:w="1020" w:type="dxa"/>
          </w:tcPr>
          <w:p w14:paraId="7F5DC04B" w14:textId="77777777" w:rsidR="00A60D4B" w:rsidRDefault="00A60D4B" w:rsidP="00A60D4B">
            <w:pPr>
              <w:jc w:val="right"/>
            </w:pPr>
            <w:r>
              <w:rPr>
                <w:rFonts w:ascii="Calibri" w:hAnsi="Calibri" w:cs="Calibri"/>
                <w:color w:val="000000"/>
                <w:sz w:val="20"/>
                <w:szCs w:val="20"/>
              </w:rPr>
              <w:t>0</w:t>
            </w:r>
          </w:p>
        </w:tc>
        <w:tc>
          <w:tcPr>
            <w:tcW w:w="1020" w:type="dxa"/>
          </w:tcPr>
          <w:p w14:paraId="4AA70CA9" w14:textId="77777777" w:rsidR="00A60D4B" w:rsidRDefault="00A60D4B" w:rsidP="00A60D4B">
            <w:pPr>
              <w:jc w:val="right"/>
            </w:pPr>
            <w:r>
              <w:rPr>
                <w:rFonts w:ascii="Calibri" w:hAnsi="Calibri" w:cs="Calibri"/>
                <w:color w:val="000000"/>
                <w:sz w:val="20"/>
                <w:szCs w:val="20"/>
              </w:rPr>
              <w:t>0</w:t>
            </w:r>
          </w:p>
        </w:tc>
        <w:tc>
          <w:tcPr>
            <w:tcW w:w="1020" w:type="dxa"/>
          </w:tcPr>
          <w:p w14:paraId="059D7C5A" w14:textId="77777777" w:rsidR="00A60D4B" w:rsidRDefault="00A60D4B" w:rsidP="00A60D4B">
            <w:pPr>
              <w:jc w:val="right"/>
            </w:pPr>
            <w:r>
              <w:rPr>
                <w:rFonts w:ascii="Calibri" w:hAnsi="Calibri" w:cs="Calibri"/>
                <w:b/>
                <w:color w:val="000000"/>
                <w:sz w:val="20"/>
                <w:szCs w:val="20"/>
              </w:rPr>
              <w:t>0</w:t>
            </w:r>
          </w:p>
        </w:tc>
      </w:tr>
      <w:tr w:rsidR="00A60D4B" w14:paraId="0C6C9535" w14:textId="77777777" w:rsidTr="00A60D4B">
        <w:tc>
          <w:tcPr>
            <w:tcW w:w="2891" w:type="dxa"/>
          </w:tcPr>
          <w:p w14:paraId="054B73CB" w14:textId="77777777" w:rsidR="00A60D4B" w:rsidRPr="00155AFE" w:rsidRDefault="00A60D4B" w:rsidP="00A60D4B">
            <w:pPr>
              <w:rPr>
                <w:sz w:val="20"/>
                <w:szCs w:val="20"/>
              </w:rPr>
            </w:pPr>
            <w:r>
              <w:rPr>
                <w:rFonts w:ascii="Calibri" w:hAnsi="Calibri" w:cs="Calibri"/>
                <w:color w:val="000000"/>
                <w:sz w:val="20"/>
                <w:szCs w:val="20"/>
              </w:rPr>
              <w:t>PP+E</w:t>
            </w:r>
          </w:p>
        </w:tc>
        <w:tc>
          <w:tcPr>
            <w:tcW w:w="1020" w:type="dxa"/>
          </w:tcPr>
          <w:p w14:paraId="3AA5E6E6" w14:textId="77777777" w:rsidR="00A60D4B" w:rsidRDefault="00A60D4B" w:rsidP="00A60D4B">
            <w:pPr>
              <w:jc w:val="right"/>
            </w:pPr>
            <w:r>
              <w:rPr>
                <w:rFonts w:ascii="Calibri" w:hAnsi="Calibri" w:cs="Calibri"/>
                <w:color w:val="000000"/>
                <w:sz w:val="20"/>
                <w:szCs w:val="20"/>
              </w:rPr>
              <w:t>27,808</w:t>
            </w:r>
          </w:p>
        </w:tc>
        <w:tc>
          <w:tcPr>
            <w:tcW w:w="1020" w:type="dxa"/>
          </w:tcPr>
          <w:p w14:paraId="0997C938" w14:textId="77777777" w:rsidR="00A60D4B" w:rsidRDefault="00A60D4B" w:rsidP="00A60D4B">
            <w:pPr>
              <w:jc w:val="right"/>
            </w:pPr>
            <w:r>
              <w:rPr>
                <w:rFonts w:ascii="Calibri" w:hAnsi="Calibri" w:cs="Calibri"/>
                <w:color w:val="000000"/>
                <w:sz w:val="20"/>
                <w:szCs w:val="20"/>
              </w:rPr>
              <w:t>14,322</w:t>
            </w:r>
          </w:p>
        </w:tc>
        <w:tc>
          <w:tcPr>
            <w:tcW w:w="1020" w:type="dxa"/>
          </w:tcPr>
          <w:p w14:paraId="1F0F1DA5" w14:textId="77777777" w:rsidR="00A60D4B" w:rsidRDefault="00A60D4B" w:rsidP="00A60D4B">
            <w:pPr>
              <w:jc w:val="right"/>
            </w:pPr>
            <w:r>
              <w:rPr>
                <w:rFonts w:ascii="Calibri" w:hAnsi="Calibri" w:cs="Calibri"/>
                <w:color w:val="000000"/>
                <w:sz w:val="20"/>
                <w:szCs w:val="20"/>
              </w:rPr>
              <w:t>12,849</w:t>
            </w:r>
          </w:p>
        </w:tc>
        <w:tc>
          <w:tcPr>
            <w:tcW w:w="1020" w:type="dxa"/>
          </w:tcPr>
          <w:p w14:paraId="21F1148A" w14:textId="77777777" w:rsidR="00A60D4B" w:rsidRDefault="00A60D4B" w:rsidP="00A60D4B">
            <w:pPr>
              <w:jc w:val="right"/>
            </w:pPr>
            <w:r>
              <w:rPr>
                <w:rFonts w:ascii="Calibri" w:hAnsi="Calibri" w:cs="Calibri"/>
                <w:color w:val="000000"/>
                <w:sz w:val="20"/>
                <w:szCs w:val="20"/>
              </w:rPr>
              <w:t>11,680</w:t>
            </w:r>
          </w:p>
        </w:tc>
        <w:tc>
          <w:tcPr>
            <w:tcW w:w="1020" w:type="dxa"/>
          </w:tcPr>
          <w:p w14:paraId="38ADC48E" w14:textId="77777777" w:rsidR="00A60D4B" w:rsidRDefault="00A60D4B" w:rsidP="00A60D4B">
            <w:pPr>
              <w:jc w:val="right"/>
            </w:pPr>
            <w:r>
              <w:rPr>
                <w:rFonts w:ascii="Calibri" w:hAnsi="Calibri" w:cs="Calibri"/>
                <w:color w:val="000000"/>
                <w:sz w:val="20"/>
                <w:szCs w:val="20"/>
              </w:rPr>
              <w:t>3,000</w:t>
            </w:r>
          </w:p>
        </w:tc>
        <w:tc>
          <w:tcPr>
            <w:tcW w:w="1020" w:type="dxa"/>
          </w:tcPr>
          <w:p w14:paraId="7D5A4DEE" w14:textId="77777777" w:rsidR="00A60D4B" w:rsidRDefault="00A60D4B" w:rsidP="00A60D4B">
            <w:pPr>
              <w:jc w:val="right"/>
            </w:pPr>
            <w:r>
              <w:rPr>
                <w:rFonts w:ascii="Calibri" w:hAnsi="Calibri" w:cs="Calibri"/>
                <w:b/>
                <w:bCs/>
                <w:color w:val="000000"/>
                <w:sz w:val="20"/>
                <w:szCs w:val="20"/>
              </w:rPr>
              <w:t>69,659</w:t>
            </w:r>
          </w:p>
        </w:tc>
      </w:tr>
      <w:tr w:rsidR="00A60D4B" w14:paraId="1CA53D48" w14:textId="77777777" w:rsidTr="00A60D4B">
        <w:tc>
          <w:tcPr>
            <w:tcW w:w="2891" w:type="dxa"/>
          </w:tcPr>
          <w:p w14:paraId="3CA4BB8A" w14:textId="77777777" w:rsidR="00A60D4B" w:rsidRPr="00155AFE" w:rsidRDefault="00A60D4B" w:rsidP="00A60D4B">
            <w:pPr>
              <w:rPr>
                <w:sz w:val="20"/>
                <w:szCs w:val="20"/>
              </w:rPr>
            </w:pPr>
            <w:r>
              <w:rPr>
                <w:rFonts w:ascii="Calibri" w:hAnsi="Calibri" w:cs="Calibri"/>
                <w:color w:val="000000"/>
                <w:sz w:val="20"/>
                <w:szCs w:val="20"/>
              </w:rPr>
              <w:t>Capital Grants</w:t>
            </w:r>
          </w:p>
        </w:tc>
        <w:tc>
          <w:tcPr>
            <w:tcW w:w="1020" w:type="dxa"/>
          </w:tcPr>
          <w:p w14:paraId="16BB7A32" w14:textId="77777777" w:rsidR="00A60D4B" w:rsidRDefault="00A60D4B" w:rsidP="00A60D4B">
            <w:pPr>
              <w:jc w:val="right"/>
            </w:pPr>
            <w:r>
              <w:rPr>
                <w:rFonts w:ascii="Calibri" w:hAnsi="Calibri" w:cs="Calibri"/>
                <w:color w:val="000000"/>
                <w:sz w:val="20"/>
                <w:szCs w:val="20"/>
              </w:rPr>
              <w:t>8,895</w:t>
            </w:r>
          </w:p>
        </w:tc>
        <w:tc>
          <w:tcPr>
            <w:tcW w:w="1020" w:type="dxa"/>
          </w:tcPr>
          <w:p w14:paraId="314B9A92" w14:textId="77777777" w:rsidR="00A60D4B" w:rsidRDefault="00A60D4B" w:rsidP="00A60D4B">
            <w:pPr>
              <w:jc w:val="right"/>
            </w:pPr>
            <w:r>
              <w:rPr>
                <w:rFonts w:ascii="Calibri" w:hAnsi="Calibri" w:cs="Calibri"/>
                <w:color w:val="000000"/>
                <w:sz w:val="20"/>
                <w:szCs w:val="20"/>
              </w:rPr>
              <w:t>13,171</w:t>
            </w:r>
          </w:p>
        </w:tc>
        <w:tc>
          <w:tcPr>
            <w:tcW w:w="1020" w:type="dxa"/>
          </w:tcPr>
          <w:p w14:paraId="3C7594AD" w14:textId="77777777" w:rsidR="00A60D4B" w:rsidRDefault="00A60D4B" w:rsidP="00A60D4B">
            <w:pPr>
              <w:jc w:val="right"/>
            </w:pPr>
            <w:r>
              <w:rPr>
                <w:rFonts w:ascii="Calibri" w:hAnsi="Calibri" w:cs="Calibri"/>
                <w:color w:val="000000"/>
                <w:sz w:val="20"/>
                <w:szCs w:val="20"/>
              </w:rPr>
              <w:t>7,000</w:t>
            </w:r>
          </w:p>
        </w:tc>
        <w:tc>
          <w:tcPr>
            <w:tcW w:w="1020" w:type="dxa"/>
          </w:tcPr>
          <w:p w14:paraId="05D58F30" w14:textId="77777777" w:rsidR="00A60D4B" w:rsidRDefault="00A60D4B" w:rsidP="00A60D4B">
            <w:pPr>
              <w:jc w:val="right"/>
            </w:pPr>
            <w:r>
              <w:rPr>
                <w:rFonts w:ascii="Calibri" w:hAnsi="Calibri" w:cs="Calibri"/>
                <w:color w:val="000000"/>
                <w:sz w:val="20"/>
                <w:szCs w:val="20"/>
              </w:rPr>
              <w:t>0</w:t>
            </w:r>
          </w:p>
        </w:tc>
        <w:tc>
          <w:tcPr>
            <w:tcW w:w="1020" w:type="dxa"/>
          </w:tcPr>
          <w:p w14:paraId="6CE2CBD9" w14:textId="77777777" w:rsidR="00A60D4B" w:rsidRDefault="00A60D4B" w:rsidP="00A60D4B">
            <w:pPr>
              <w:jc w:val="right"/>
            </w:pPr>
            <w:r>
              <w:rPr>
                <w:rFonts w:ascii="Calibri" w:hAnsi="Calibri" w:cs="Calibri"/>
                <w:color w:val="000000"/>
                <w:sz w:val="20"/>
                <w:szCs w:val="20"/>
              </w:rPr>
              <w:t>0</w:t>
            </w:r>
          </w:p>
        </w:tc>
        <w:tc>
          <w:tcPr>
            <w:tcW w:w="1020" w:type="dxa"/>
          </w:tcPr>
          <w:p w14:paraId="53B33280" w14:textId="77777777" w:rsidR="00A60D4B" w:rsidRDefault="00A60D4B" w:rsidP="00A60D4B">
            <w:pPr>
              <w:jc w:val="right"/>
            </w:pPr>
            <w:r>
              <w:rPr>
                <w:rFonts w:ascii="Calibri" w:hAnsi="Calibri" w:cs="Calibri"/>
                <w:b/>
                <w:bCs/>
                <w:color w:val="000000"/>
                <w:sz w:val="20"/>
                <w:szCs w:val="20"/>
              </w:rPr>
              <w:t>29,066</w:t>
            </w:r>
          </w:p>
        </w:tc>
      </w:tr>
      <w:tr w:rsidR="00A60D4B" w14:paraId="4FE4925C" w14:textId="77777777" w:rsidTr="00A60D4B">
        <w:trPr>
          <w:trHeight w:val="397"/>
        </w:trPr>
        <w:tc>
          <w:tcPr>
            <w:tcW w:w="2891" w:type="dxa"/>
          </w:tcPr>
          <w:p w14:paraId="0A2CB266" w14:textId="77777777" w:rsidR="00A60D4B" w:rsidRPr="000B280A" w:rsidRDefault="00A60D4B" w:rsidP="00A60D4B">
            <w:pPr>
              <w:rPr>
                <w:rFonts w:ascii="Calibri" w:hAnsi="Calibri" w:cs="Calibri"/>
                <w:b/>
                <w:bCs/>
                <w:color w:val="000000"/>
                <w:sz w:val="20"/>
                <w:szCs w:val="20"/>
              </w:rPr>
            </w:pPr>
            <w:r w:rsidRPr="000B280A">
              <w:rPr>
                <w:rFonts w:ascii="Calibri" w:hAnsi="Calibri" w:cs="Calibri"/>
                <w:b/>
                <w:bCs/>
                <w:color w:val="000000"/>
                <w:sz w:val="20"/>
                <w:szCs w:val="20"/>
              </w:rPr>
              <w:t>Total New Works</w:t>
            </w:r>
          </w:p>
        </w:tc>
        <w:tc>
          <w:tcPr>
            <w:tcW w:w="1020" w:type="dxa"/>
          </w:tcPr>
          <w:p w14:paraId="6FC4B237" w14:textId="77777777" w:rsidR="00A60D4B" w:rsidRPr="000B280A"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219,687</w:t>
            </w:r>
          </w:p>
        </w:tc>
        <w:tc>
          <w:tcPr>
            <w:tcW w:w="1020" w:type="dxa"/>
          </w:tcPr>
          <w:p w14:paraId="67F5ECE7" w14:textId="77777777" w:rsidR="00A60D4B" w:rsidRPr="000B280A"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249,083</w:t>
            </w:r>
          </w:p>
        </w:tc>
        <w:tc>
          <w:tcPr>
            <w:tcW w:w="1020" w:type="dxa"/>
          </w:tcPr>
          <w:p w14:paraId="608E3CBF" w14:textId="77777777" w:rsidR="00A60D4B" w:rsidRPr="000B280A"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163,848</w:t>
            </w:r>
          </w:p>
        </w:tc>
        <w:tc>
          <w:tcPr>
            <w:tcW w:w="1020" w:type="dxa"/>
          </w:tcPr>
          <w:p w14:paraId="4BBD5BA1" w14:textId="77777777" w:rsidR="00A60D4B" w:rsidRPr="000B280A"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112,070</w:t>
            </w:r>
          </w:p>
        </w:tc>
        <w:tc>
          <w:tcPr>
            <w:tcW w:w="1020" w:type="dxa"/>
          </w:tcPr>
          <w:p w14:paraId="3A710D13" w14:textId="77777777" w:rsidR="00A60D4B" w:rsidRPr="000B280A"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31,734</w:t>
            </w:r>
          </w:p>
        </w:tc>
        <w:tc>
          <w:tcPr>
            <w:tcW w:w="1020" w:type="dxa"/>
          </w:tcPr>
          <w:p w14:paraId="1E0F66B9" w14:textId="77777777" w:rsidR="00A60D4B" w:rsidRPr="000B280A"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776,422</w:t>
            </w:r>
          </w:p>
        </w:tc>
      </w:tr>
      <w:tr w:rsidR="00A60D4B" w14:paraId="5EC23C98" w14:textId="77777777" w:rsidTr="00A60D4B">
        <w:trPr>
          <w:trHeight w:val="397"/>
        </w:trPr>
        <w:tc>
          <w:tcPr>
            <w:tcW w:w="2891" w:type="dxa"/>
          </w:tcPr>
          <w:p w14:paraId="0ECFB462" w14:textId="77777777" w:rsidR="00A60D4B" w:rsidRPr="00155AFE" w:rsidRDefault="00A60D4B" w:rsidP="00A60D4B">
            <w:pPr>
              <w:rPr>
                <w:b/>
                <w:sz w:val="20"/>
                <w:szCs w:val="20"/>
              </w:rPr>
            </w:pPr>
            <w:r w:rsidRPr="00155AFE">
              <w:rPr>
                <w:rFonts w:ascii="Calibri" w:hAnsi="Calibri" w:cs="Calibri"/>
                <w:b/>
                <w:bCs/>
                <w:color w:val="000000"/>
                <w:sz w:val="20"/>
                <w:szCs w:val="20"/>
              </w:rPr>
              <w:t>Total Better Infrastructure Fund</w:t>
            </w:r>
          </w:p>
        </w:tc>
        <w:tc>
          <w:tcPr>
            <w:tcW w:w="1020" w:type="dxa"/>
          </w:tcPr>
          <w:p w14:paraId="5147C8BA" w14:textId="77777777" w:rsidR="00A60D4B" w:rsidRDefault="00A60D4B" w:rsidP="00A60D4B">
            <w:pPr>
              <w:jc w:val="right"/>
            </w:pPr>
            <w:r>
              <w:rPr>
                <w:rFonts w:ascii="Calibri" w:hAnsi="Calibri" w:cs="Calibri"/>
                <w:b/>
                <w:bCs/>
                <w:color w:val="000000"/>
                <w:sz w:val="20"/>
                <w:szCs w:val="20"/>
              </w:rPr>
              <w:t>98,844</w:t>
            </w:r>
          </w:p>
        </w:tc>
        <w:tc>
          <w:tcPr>
            <w:tcW w:w="1020" w:type="dxa"/>
          </w:tcPr>
          <w:p w14:paraId="49EC5918" w14:textId="77777777" w:rsidR="00A60D4B" w:rsidRDefault="00A60D4B" w:rsidP="00A60D4B">
            <w:pPr>
              <w:jc w:val="right"/>
            </w:pPr>
            <w:r>
              <w:rPr>
                <w:rFonts w:ascii="Calibri" w:hAnsi="Calibri" w:cs="Calibri"/>
                <w:b/>
                <w:bCs/>
                <w:color w:val="000000"/>
                <w:sz w:val="20"/>
                <w:szCs w:val="20"/>
              </w:rPr>
              <w:t>76,923</w:t>
            </w:r>
          </w:p>
        </w:tc>
        <w:tc>
          <w:tcPr>
            <w:tcW w:w="1020" w:type="dxa"/>
          </w:tcPr>
          <w:p w14:paraId="0B22B92D" w14:textId="77777777" w:rsidR="00A60D4B" w:rsidRDefault="00A60D4B" w:rsidP="00A60D4B">
            <w:pPr>
              <w:jc w:val="right"/>
            </w:pPr>
            <w:r>
              <w:rPr>
                <w:rFonts w:ascii="Calibri" w:hAnsi="Calibri" w:cs="Calibri"/>
                <w:b/>
                <w:bCs/>
                <w:color w:val="000000"/>
                <w:sz w:val="20"/>
                <w:szCs w:val="20"/>
              </w:rPr>
              <w:t>74,845</w:t>
            </w:r>
          </w:p>
        </w:tc>
        <w:tc>
          <w:tcPr>
            <w:tcW w:w="1020" w:type="dxa"/>
          </w:tcPr>
          <w:p w14:paraId="4E26A373" w14:textId="77777777" w:rsidR="00A60D4B" w:rsidRDefault="00A60D4B" w:rsidP="00A60D4B">
            <w:pPr>
              <w:jc w:val="right"/>
            </w:pPr>
            <w:r>
              <w:rPr>
                <w:rFonts w:ascii="Calibri" w:hAnsi="Calibri" w:cs="Calibri"/>
                <w:b/>
                <w:bCs/>
                <w:color w:val="000000"/>
                <w:sz w:val="20"/>
                <w:szCs w:val="20"/>
              </w:rPr>
              <w:t>79,908</w:t>
            </w:r>
          </w:p>
        </w:tc>
        <w:tc>
          <w:tcPr>
            <w:tcW w:w="1020" w:type="dxa"/>
          </w:tcPr>
          <w:p w14:paraId="3B596425" w14:textId="77777777" w:rsidR="00A60D4B" w:rsidRDefault="00A60D4B" w:rsidP="00A60D4B">
            <w:pPr>
              <w:jc w:val="right"/>
            </w:pPr>
            <w:r>
              <w:rPr>
                <w:rFonts w:ascii="Calibri" w:hAnsi="Calibri" w:cs="Calibri"/>
                <w:b/>
                <w:bCs/>
                <w:color w:val="000000"/>
                <w:sz w:val="20"/>
                <w:szCs w:val="20"/>
              </w:rPr>
              <w:t>73,553</w:t>
            </w:r>
          </w:p>
        </w:tc>
        <w:tc>
          <w:tcPr>
            <w:tcW w:w="1020" w:type="dxa"/>
          </w:tcPr>
          <w:p w14:paraId="6F63B276" w14:textId="77777777" w:rsidR="00A60D4B" w:rsidRDefault="00A60D4B" w:rsidP="00A60D4B">
            <w:pPr>
              <w:jc w:val="right"/>
            </w:pPr>
            <w:r>
              <w:rPr>
                <w:rFonts w:ascii="Calibri" w:hAnsi="Calibri" w:cs="Calibri"/>
                <w:b/>
                <w:bCs/>
                <w:color w:val="000000"/>
                <w:sz w:val="20"/>
                <w:szCs w:val="20"/>
              </w:rPr>
              <w:t>404,073</w:t>
            </w:r>
          </w:p>
        </w:tc>
      </w:tr>
      <w:tr w:rsidR="00A60D4B" w14:paraId="47DE4A3C" w14:textId="77777777" w:rsidTr="00A60D4B">
        <w:tc>
          <w:tcPr>
            <w:tcW w:w="2891" w:type="dxa"/>
          </w:tcPr>
          <w:p w14:paraId="5C9B8A6E" w14:textId="77777777" w:rsidR="00A60D4B" w:rsidRPr="00155AFE" w:rsidRDefault="00A60D4B" w:rsidP="00A60D4B">
            <w:pPr>
              <w:rPr>
                <w:sz w:val="20"/>
                <w:szCs w:val="20"/>
              </w:rPr>
            </w:pPr>
            <w:r>
              <w:rPr>
                <w:rFonts w:ascii="Calibri" w:hAnsi="Calibri" w:cs="Calibri"/>
                <w:b/>
                <w:color w:val="000000"/>
                <w:sz w:val="20"/>
                <w:szCs w:val="20"/>
              </w:rPr>
              <w:t>Works-in-progress</w:t>
            </w:r>
          </w:p>
        </w:tc>
        <w:tc>
          <w:tcPr>
            <w:tcW w:w="1020" w:type="dxa"/>
          </w:tcPr>
          <w:p w14:paraId="561A776D" w14:textId="77777777" w:rsidR="00A60D4B" w:rsidRDefault="00A60D4B" w:rsidP="00A60D4B">
            <w:pPr>
              <w:jc w:val="right"/>
            </w:pPr>
          </w:p>
        </w:tc>
        <w:tc>
          <w:tcPr>
            <w:tcW w:w="1020" w:type="dxa"/>
          </w:tcPr>
          <w:p w14:paraId="506465CA" w14:textId="77777777" w:rsidR="00A60D4B" w:rsidRDefault="00A60D4B" w:rsidP="00A60D4B">
            <w:pPr>
              <w:jc w:val="right"/>
            </w:pPr>
          </w:p>
        </w:tc>
        <w:tc>
          <w:tcPr>
            <w:tcW w:w="1020" w:type="dxa"/>
          </w:tcPr>
          <w:p w14:paraId="36A1E461" w14:textId="77777777" w:rsidR="00A60D4B" w:rsidRDefault="00A60D4B" w:rsidP="00A60D4B">
            <w:pPr>
              <w:jc w:val="right"/>
            </w:pPr>
          </w:p>
        </w:tc>
        <w:tc>
          <w:tcPr>
            <w:tcW w:w="1020" w:type="dxa"/>
          </w:tcPr>
          <w:p w14:paraId="7BC32996" w14:textId="77777777" w:rsidR="00A60D4B" w:rsidRDefault="00A60D4B" w:rsidP="00A60D4B">
            <w:pPr>
              <w:jc w:val="right"/>
            </w:pPr>
          </w:p>
        </w:tc>
        <w:tc>
          <w:tcPr>
            <w:tcW w:w="1020" w:type="dxa"/>
          </w:tcPr>
          <w:p w14:paraId="091F6338" w14:textId="77777777" w:rsidR="00A60D4B" w:rsidRDefault="00A60D4B" w:rsidP="00A60D4B">
            <w:pPr>
              <w:jc w:val="right"/>
            </w:pPr>
          </w:p>
        </w:tc>
        <w:tc>
          <w:tcPr>
            <w:tcW w:w="1020" w:type="dxa"/>
          </w:tcPr>
          <w:p w14:paraId="142E1B69" w14:textId="77777777" w:rsidR="00A60D4B" w:rsidRDefault="00A60D4B" w:rsidP="00A60D4B">
            <w:pPr>
              <w:jc w:val="right"/>
            </w:pPr>
            <w:r>
              <w:rPr>
                <w:rFonts w:ascii="Calibri" w:hAnsi="Calibri" w:cs="Calibri"/>
                <w:b/>
                <w:bCs/>
                <w:color w:val="000000"/>
                <w:sz w:val="20"/>
                <w:szCs w:val="20"/>
              </w:rPr>
              <w:t> </w:t>
            </w:r>
          </w:p>
        </w:tc>
      </w:tr>
      <w:tr w:rsidR="00A60D4B" w14:paraId="761998BA" w14:textId="77777777" w:rsidTr="00A60D4B">
        <w:trPr>
          <w:trHeight w:val="227"/>
        </w:trPr>
        <w:tc>
          <w:tcPr>
            <w:tcW w:w="2891" w:type="dxa"/>
          </w:tcPr>
          <w:p w14:paraId="35D2B764" w14:textId="77777777" w:rsidR="00A60D4B" w:rsidRPr="00155AFE" w:rsidRDefault="00A60D4B" w:rsidP="00A60D4B">
            <w:pPr>
              <w:rPr>
                <w:sz w:val="20"/>
                <w:szCs w:val="20"/>
              </w:rPr>
            </w:pPr>
            <w:r>
              <w:rPr>
                <w:rFonts w:ascii="Calibri" w:hAnsi="Calibri" w:cs="Calibri"/>
                <w:color w:val="000000"/>
                <w:sz w:val="20"/>
                <w:szCs w:val="20"/>
              </w:rPr>
              <w:t>Early Planning</w:t>
            </w:r>
          </w:p>
        </w:tc>
        <w:tc>
          <w:tcPr>
            <w:tcW w:w="1020" w:type="dxa"/>
          </w:tcPr>
          <w:p w14:paraId="6FD237C4"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7,036 </w:t>
            </w:r>
          </w:p>
        </w:tc>
        <w:tc>
          <w:tcPr>
            <w:tcW w:w="1020" w:type="dxa"/>
          </w:tcPr>
          <w:p w14:paraId="6EB23C22"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2,372 </w:t>
            </w:r>
          </w:p>
        </w:tc>
        <w:tc>
          <w:tcPr>
            <w:tcW w:w="1020" w:type="dxa"/>
          </w:tcPr>
          <w:p w14:paraId="46B9CDC7"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0 </w:t>
            </w:r>
          </w:p>
        </w:tc>
        <w:tc>
          <w:tcPr>
            <w:tcW w:w="1020" w:type="dxa"/>
          </w:tcPr>
          <w:p w14:paraId="611814A5"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0 </w:t>
            </w:r>
          </w:p>
        </w:tc>
        <w:tc>
          <w:tcPr>
            <w:tcW w:w="1020" w:type="dxa"/>
          </w:tcPr>
          <w:p w14:paraId="73DCF779"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0 </w:t>
            </w:r>
          </w:p>
        </w:tc>
        <w:tc>
          <w:tcPr>
            <w:tcW w:w="1020" w:type="dxa"/>
          </w:tcPr>
          <w:p w14:paraId="7F0ECE9F" w14:textId="77777777" w:rsidR="00A60D4B" w:rsidRPr="009E34E6" w:rsidRDefault="00A60D4B" w:rsidP="00A60D4B">
            <w:pPr>
              <w:jc w:val="right"/>
              <w:rPr>
                <w:b/>
                <w:sz w:val="20"/>
                <w:szCs w:val="20"/>
              </w:rPr>
            </w:pPr>
            <w:r w:rsidRPr="009E34E6">
              <w:rPr>
                <w:rFonts w:ascii="Calibri" w:hAnsi="Calibri" w:cs="Calibri"/>
                <w:b/>
                <w:color w:val="000000"/>
                <w:sz w:val="20"/>
                <w:szCs w:val="20"/>
              </w:rPr>
              <w:t xml:space="preserve">9,408 </w:t>
            </w:r>
          </w:p>
        </w:tc>
      </w:tr>
      <w:tr w:rsidR="00A60D4B" w14:paraId="3E240857" w14:textId="77777777" w:rsidTr="00A60D4B">
        <w:trPr>
          <w:trHeight w:val="283"/>
        </w:trPr>
        <w:tc>
          <w:tcPr>
            <w:tcW w:w="2891" w:type="dxa"/>
          </w:tcPr>
          <w:p w14:paraId="4F051839" w14:textId="77777777" w:rsidR="00A60D4B" w:rsidRDefault="00A60D4B" w:rsidP="00A60D4B">
            <w:r>
              <w:rPr>
                <w:rFonts w:ascii="Calibri" w:hAnsi="Calibri" w:cs="Calibri"/>
                <w:color w:val="000000"/>
                <w:sz w:val="20"/>
                <w:szCs w:val="20"/>
              </w:rPr>
              <w:t>Design</w:t>
            </w:r>
          </w:p>
        </w:tc>
        <w:tc>
          <w:tcPr>
            <w:tcW w:w="1020" w:type="dxa"/>
          </w:tcPr>
          <w:p w14:paraId="117F17E7"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4,347 </w:t>
            </w:r>
          </w:p>
        </w:tc>
        <w:tc>
          <w:tcPr>
            <w:tcW w:w="1020" w:type="dxa"/>
          </w:tcPr>
          <w:p w14:paraId="53C4C08C"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715 </w:t>
            </w:r>
          </w:p>
        </w:tc>
        <w:tc>
          <w:tcPr>
            <w:tcW w:w="1020" w:type="dxa"/>
          </w:tcPr>
          <w:p w14:paraId="3E1BAD93"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800 </w:t>
            </w:r>
          </w:p>
        </w:tc>
        <w:tc>
          <w:tcPr>
            <w:tcW w:w="1020" w:type="dxa"/>
          </w:tcPr>
          <w:p w14:paraId="46DEBDC3"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0 </w:t>
            </w:r>
          </w:p>
        </w:tc>
        <w:tc>
          <w:tcPr>
            <w:tcW w:w="1020" w:type="dxa"/>
          </w:tcPr>
          <w:p w14:paraId="6A22C81D"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0 </w:t>
            </w:r>
          </w:p>
        </w:tc>
        <w:tc>
          <w:tcPr>
            <w:tcW w:w="1020" w:type="dxa"/>
          </w:tcPr>
          <w:p w14:paraId="5363FE6A" w14:textId="77777777" w:rsidR="00A60D4B" w:rsidRPr="009E34E6" w:rsidRDefault="00A60D4B" w:rsidP="00A60D4B">
            <w:pPr>
              <w:jc w:val="right"/>
              <w:rPr>
                <w:b/>
                <w:sz w:val="20"/>
                <w:szCs w:val="20"/>
              </w:rPr>
            </w:pPr>
            <w:r w:rsidRPr="009E34E6">
              <w:rPr>
                <w:rFonts w:ascii="Calibri" w:hAnsi="Calibri" w:cs="Calibri"/>
                <w:b/>
                <w:color w:val="000000"/>
                <w:sz w:val="20"/>
                <w:szCs w:val="20"/>
              </w:rPr>
              <w:t xml:space="preserve">5,862 </w:t>
            </w:r>
          </w:p>
        </w:tc>
      </w:tr>
      <w:tr w:rsidR="00A60D4B" w14:paraId="19A4263A" w14:textId="77777777" w:rsidTr="00A60D4B">
        <w:tc>
          <w:tcPr>
            <w:tcW w:w="2891" w:type="dxa"/>
          </w:tcPr>
          <w:p w14:paraId="0760D7A9" w14:textId="77777777" w:rsidR="00A60D4B" w:rsidRDefault="00A60D4B" w:rsidP="00A60D4B">
            <w:r>
              <w:rPr>
                <w:rFonts w:ascii="Calibri" w:hAnsi="Calibri" w:cs="Calibri"/>
                <w:color w:val="000000"/>
                <w:sz w:val="20"/>
                <w:szCs w:val="20"/>
              </w:rPr>
              <w:t>Construction</w:t>
            </w:r>
          </w:p>
        </w:tc>
        <w:tc>
          <w:tcPr>
            <w:tcW w:w="1020" w:type="dxa"/>
          </w:tcPr>
          <w:p w14:paraId="293E3102"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518,642 </w:t>
            </w:r>
          </w:p>
        </w:tc>
        <w:tc>
          <w:tcPr>
            <w:tcW w:w="1020" w:type="dxa"/>
          </w:tcPr>
          <w:p w14:paraId="51EADF8F"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742,372 </w:t>
            </w:r>
          </w:p>
        </w:tc>
        <w:tc>
          <w:tcPr>
            <w:tcW w:w="1020" w:type="dxa"/>
          </w:tcPr>
          <w:p w14:paraId="3A8F55E1"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508,176 </w:t>
            </w:r>
          </w:p>
        </w:tc>
        <w:tc>
          <w:tcPr>
            <w:tcW w:w="1020" w:type="dxa"/>
          </w:tcPr>
          <w:p w14:paraId="27DE65EB"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152,618 </w:t>
            </w:r>
          </w:p>
        </w:tc>
        <w:tc>
          <w:tcPr>
            <w:tcW w:w="1020" w:type="dxa"/>
          </w:tcPr>
          <w:p w14:paraId="19F89F4C" w14:textId="77777777" w:rsidR="00A60D4B" w:rsidRPr="009E34E6" w:rsidRDefault="00A60D4B" w:rsidP="00A60D4B">
            <w:pPr>
              <w:jc w:val="right"/>
              <w:rPr>
                <w:rFonts w:ascii="Calibri" w:hAnsi="Calibri" w:cs="Calibri"/>
                <w:color w:val="000000"/>
                <w:sz w:val="20"/>
                <w:szCs w:val="20"/>
              </w:rPr>
            </w:pPr>
            <w:r w:rsidRPr="009E34E6">
              <w:rPr>
                <w:rFonts w:ascii="Calibri" w:hAnsi="Calibri" w:cs="Calibri"/>
                <w:color w:val="000000"/>
                <w:sz w:val="20"/>
                <w:szCs w:val="20"/>
              </w:rPr>
              <w:t xml:space="preserve">5,500 </w:t>
            </w:r>
          </w:p>
        </w:tc>
        <w:tc>
          <w:tcPr>
            <w:tcW w:w="1020" w:type="dxa"/>
          </w:tcPr>
          <w:p w14:paraId="7203DF8D" w14:textId="77777777" w:rsidR="00A60D4B" w:rsidRPr="009E34E6" w:rsidRDefault="00A60D4B" w:rsidP="00A60D4B">
            <w:pPr>
              <w:jc w:val="right"/>
              <w:rPr>
                <w:rFonts w:ascii="Calibri" w:hAnsi="Calibri" w:cs="Calibri"/>
                <w:b/>
                <w:color w:val="000000"/>
                <w:sz w:val="20"/>
                <w:szCs w:val="20"/>
              </w:rPr>
            </w:pPr>
            <w:r w:rsidRPr="009E34E6">
              <w:rPr>
                <w:rFonts w:ascii="Calibri" w:hAnsi="Calibri" w:cs="Calibri"/>
                <w:b/>
                <w:color w:val="000000"/>
                <w:sz w:val="20"/>
                <w:szCs w:val="20"/>
              </w:rPr>
              <w:t xml:space="preserve">1,927,308 </w:t>
            </w:r>
          </w:p>
        </w:tc>
      </w:tr>
      <w:tr w:rsidR="00A60D4B" w14:paraId="7DABDD0B" w14:textId="77777777" w:rsidTr="00A60D4B">
        <w:tc>
          <w:tcPr>
            <w:tcW w:w="2891" w:type="dxa"/>
          </w:tcPr>
          <w:p w14:paraId="495B383E" w14:textId="77777777" w:rsidR="00A60D4B" w:rsidRDefault="00A60D4B" w:rsidP="00A60D4B">
            <w:r>
              <w:rPr>
                <w:rFonts w:ascii="Calibri" w:hAnsi="Calibri" w:cs="Calibri"/>
                <w:color w:val="000000"/>
                <w:sz w:val="20"/>
                <w:szCs w:val="20"/>
              </w:rPr>
              <w:t>ICT</w:t>
            </w:r>
          </w:p>
        </w:tc>
        <w:tc>
          <w:tcPr>
            <w:tcW w:w="1020" w:type="dxa"/>
          </w:tcPr>
          <w:p w14:paraId="4B896CB4"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98,429 </w:t>
            </w:r>
          </w:p>
        </w:tc>
        <w:tc>
          <w:tcPr>
            <w:tcW w:w="1020" w:type="dxa"/>
          </w:tcPr>
          <w:p w14:paraId="721C087C"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61,538 </w:t>
            </w:r>
          </w:p>
        </w:tc>
        <w:tc>
          <w:tcPr>
            <w:tcW w:w="1020" w:type="dxa"/>
          </w:tcPr>
          <w:p w14:paraId="387E67BF"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29,729 </w:t>
            </w:r>
          </w:p>
        </w:tc>
        <w:tc>
          <w:tcPr>
            <w:tcW w:w="1020" w:type="dxa"/>
          </w:tcPr>
          <w:p w14:paraId="645ED709"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11,330 </w:t>
            </w:r>
          </w:p>
        </w:tc>
        <w:tc>
          <w:tcPr>
            <w:tcW w:w="1020" w:type="dxa"/>
          </w:tcPr>
          <w:p w14:paraId="256C6D81"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7,447 </w:t>
            </w:r>
          </w:p>
        </w:tc>
        <w:tc>
          <w:tcPr>
            <w:tcW w:w="1020" w:type="dxa"/>
          </w:tcPr>
          <w:p w14:paraId="4BB1C3A8" w14:textId="77777777" w:rsidR="00A60D4B" w:rsidRPr="009E34E6" w:rsidRDefault="00A60D4B" w:rsidP="00A60D4B">
            <w:pPr>
              <w:jc w:val="right"/>
              <w:rPr>
                <w:b/>
                <w:sz w:val="20"/>
                <w:szCs w:val="20"/>
              </w:rPr>
            </w:pPr>
            <w:r w:rsidRPr="009E34E6">
              <w:rPr>
                <w:rFonts w:ascii="Calibri" w:hAnsi="Calibri" w:cs="Calibri"/>
                <w:b/>
                <w:color w:val="000000"/>
                <w:sz w:val="20"/>
                <w:szCs w:val="20"/>
              </w:rPr>
              <w:t xml:space="preserve">208,473 </w:t>
            </w:r>
          </w:p>
        </w:tc>
      </w:tr>
      <w:tr w:rsidR="00A60D4B" w14:paraId="0CF3560D" w14:textId="77777777" w:rsidTr="00A60D4B">
        <w:tc>
          <w:tcPr>
            <w:tcW w:w="2891" w:type="dxa"/>
          </w:tcPr>
          <w:p w14:paraId="454BE71B" w14:textId="77777777" w:rsidR="00A60D4B" w:rsidRDefault="00A60D4B" w:rsidP="00A60D4B">
            <w:r>
              <w:rPr>
                <w:rFonts w:ascii="Calibri" w:hAnsi="Calibri" w:cs="Calibri"/>
                <w:color w:val="000000"/>
                <w:sz w:val="20"/>
                <w:szCs w:val="20"/>
              </w:rPr>
              <w:t>PP+E</w:t>
            </w:r>
          </w:p>
        </w:tc>
        <w:tc>
          <w:tcPr>
            <w:tcW w:w="1020" w:type="dxa"/>
          </w:tcPr>
          <w:p w14:paraId="0BEDD73F"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67,144 </w:t>
            </w:r>
          </w:p>
        </w:tc>
        <w:tc>
          <w:tcPr>
            <w:tcW w:w="1020" w:type="dxa"/>
          </w:tcPr>
          <w:p w14:paraId="3E673699"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57,483 </w:t>
            </w:r>
          </w:p>
        </w:tc>
        <w:tc>
          <w:tcPr>
            <w:tcW w:w="1020" w:type="dxa"/>
          </w:tcPr>
          <w:p w14:paraId="18A65397"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5,892 </w:t>
            </w:r>
          </w:p>
        </w:tc>
        <w:tc>
          <w:tcPr>
            <w:tcW w:w="1020" w:type="dxa"/>
          </w:tcPr>
          <w:p w14:paraId="3FE190B0"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5,477 </w:t>
            </w:r>
          </w:p>
        </w:tc>
        <w:tc>
          <w:tcPr>
            <w:tcW w:w="1020" w:type="dxa"/>
          </w:tcPr>
          <w:p w14:paraId="4B7878B1"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3,466 </w:t>
            </w:r>
          </w:p>
        </w:tc>
        <w:tc>
          <w:tcPr>
            <w:tcW w:w="1020" w:type="dxa"/>
          </w:tcPr>
          <w:p w14:paraId="67BB0673" w14:textId="77777777" w:rsidR="00A60D4B" w:rsidRPr="009E34E6" w:rsidRDefault="00A60D4B" w:rsidP="00A60D4B">
            <w:pPr>
              <w:jc w:val="right"/>
              <w:rPr>
                <w:b/>
                <w:sz w:val="20"/>
                <w:szCs w:val="20"/>
              </w:rPr>
            </w:pPr>
            <w:r w:rsidRPr="009E34E6">
              <w:rPr>
                <w:rFonts w:ascii="Calibri" w:hAnsi="Calibri" w:cs="Calibri"/>
                <w:b/>
                <w:color w:val="000000"/>
                <w:sz w:val="20"/>
                <w:szCs w:val="20"/>
              </w:rPr>
              <w:t xml:space="preserve">139,462 </w:t>
            </w:r>
          </w:p>
        </w:tc>
      </w:tr>
      <w:tr w:rsidR="00A60D4B" w14:paraId="3047505F" w14:textId="77777777" w:rsidTr="00A60D4B">
        <w:tc>
          <w:tcPr>
            <w:tcW w:w="2891" w:type="dxa"/>
          </w:tcPr>
          <w:p w14:paraId="6E38F641" w14:textId="77777777" w:rsidR="00A60D4B" w:rsidRDefault="00A60D4B" w:rsidP="00A60D4B">
            <w:r>
              <w:rPr>
                <w:rFonts w:ascii="Calibri" w:hAnsi="Calibri" w:cs="Calibri"/>
                <w:color w:val="000000"/>
                <w:sz w:val="20"/>
                <w:szCs w:val="20"/>
              </w:rPr>
              <w:t>Capital Grants</w:t>
            </w:r>
          </w:p>
        </w:tc>
        <w:tc>
          <w:tcPr>
            <w:tcW w:w="1020" w:type="dxa"/>
          </w:tcPr>
          <w:p w14:paraId="1A4C0B09"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14,470 </w:t>
            </w:r>
          </w:p>
        </w:tc>
        <w:tc>
          <w:tcPr>
            <w:tcW w:w="1020" w:type="dxa"/>
          </w:tcPr>
          <w:p w14:paraId="72500FA4"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16,179 </w:t>
            </w:r>
          </w:p>
        </w:tc>
        <w:tc>
          <w:tcPr>
            <w:tcW w:w="1020" w:type="dxa"/>
          </w:tcPr>
          <w:p w14:paraId="0474E956"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8,810 </w:t>
            </w:r>
          </w:p>
        </w:tc>
        <w:tc>
          <w:tcPr>
            <w:tcW w:w="1020" w:type="dxa"/>
          </w:tcPr>
          <w:p w14:paraId="14284B4E"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0 </w:t>
            </w:r>
          </w:p>
        </w:tc>
        <w:tc>
          <w:tcPr>
            <w:tcW w:w="1020" w:type="dxa"/>
          </w:tcPr>
          <w:p w14:paraId="68DDB89D" w14:textId="77777777" w:rsidR="00A60D4B" w:rsidRPr="009E34E6" w:rsidRDefault="00A60D4B" w:rsidP="00A60D4B">
            <w:pPr>
              <w:jc w:val="right"/>
              <w:rPr>
                <w:sz w:val="20"/>
                <w:szCs w:val="20"/>
              </w:rPr>
            </w:pPr>
            <w:r w:rsidRPr="009E34E6">
              <w:rPr>
                <w:rFonts w:ascii="Calibri" w:hAnsi="Calibri" w:cs="Calibri"/>
                <w:color w:val="000000"/>
                <w:sz w:val="20"/>
                <w:szCs w:val="20"/>
              </w:rPr>
              <w:t xml:space="preserve">0 </w:t>
            </w:r>
          </w:p>
        </w:tc>
        <w:tc>
          <w:tcPr>
            <w:tcW w:w="1020" w:type="dxa"/>
          </w:tcPr>
          <w:p w14:paraId="1D00519A" w14:textId="77777777" w:rsidR="00A60D4B" w:rsidRPr="009E34E6" w:rsidRDefault="00A60D4B" w:rsidP="00A60D4B">
            <w:pPr>
              <w:jc w:val="right"/>
              <w:rPr>
                <w:b/>
                <w:sz w:val="20"/>
                <w:szCs w:val="20"/>
              </w:rPr>
            </w:pPr>
            <w:r w:rsidRPr="009E34E6">
              <w:rPr>
                <w:rFonts w:ascii="Calibri" w:hAnsi="Calibri" w:cs="Calibri"/>
                <w:b/>
                <w:color w:val="000000"/>
                <w:sz w:val="20"/>
                <w:szCs w:val="20"/>
              </w:rPr>
              <w:t xml:space="preserve">39,459 </w:t>
            </w:r>
          </w:p>
        </w:tc>
      </w:tr>
      <w:tr w:rsidR="00A60D4B" w14:paraId="2BF4AEF0" w14:textId="77777777" w:rsidTr="00A60D4B">
        <w:trPr>
          <w:trHeight w:val="98"/>
        </w:trPr>
        <w:tc>
          <w:tcPr>
            <w:tcW w:w="2891" w:type="dxa"/>
          </w:tcPr>
          <w:p w14:paraId="3AE314AB" w14:textId="77777777" w:rsidR="00A60D4B" w:rsidRDefault="00A60D4B" w:rsidP="00A60D4B">
            <w:r>
              <w:rPr>
                <w:rFonts w:ascii="Calibri" w:hAnsi="Calibri" w:cs="Calibri"/>
                <w:b/>
                <w:bCs/>
                <w:color w:val="000000"/>
                <w:sz w:val="20"/>
                <w:szCs w:val="20"/>
              </w:rPr>
              <w:t>Total Works-In-Progress</w:t>
            </w:r>
          </w:p>
        </w:tc>
        <w:tc>
          <w:tcPr>
            <w:tcW w:w="1020" w:type="dxa"/>
          </w:tcPr>
          <w:p w14:paraId="349CBAE4" w14:textId="77777777" w:rsidR="00A60D4B" w:rsidRPr="00F07047" w:rsidRDefault="00A60D4B" w:rsidP="00A60D4B">
            <w:pPr>
              <w:jc w:val="right"/>
              <w:rPr>
                <w:rFonts w:ascii="Calibri" w:hAnsi="Calibri" w:cs="Calibri"/>
                <w:b/>
                <w:bCs/>
                <w:color w:val="000000" w:themeColor="text1"/>
                <w:sz w:val="20"/>
                <w:szCs w:val="20"/>
              </w:rPr>
            </w:pPr>
            <w:r w:rsidRPr="00F07047">
              <w:rPr>
                <w:rFonts w:ascii="Calibri" w:hAnsi="Calibri" w:cs="Calibri"/>
                <w:b/>
                <w:bCs/>
                <w:color w:val="000000" w:themeColor="text1"/>
                <w:sz w:val="20"/>
                <w:szCs w:val="20"/>
              </w:rPr>
              <w:t>710,068</w:t>
            </w:r>
          </w:p>
        </w:tc>
        <w:tc>
          <w:tcPr>
            <w:tcW w:w="1020" w:type="dxa"/>
          </w:tcPr>
          <w:p w14:paraId="7BBA7D57" w14:textId="77777777" w:rsidR="00A60D4B" w:rsidRPr="00F07047" w:rsidRDefault="00A60D4B" w:rsidP="00A60D4B">
            <w:pPr>
              <w:jc w:val="right"/>
              <w:rPr>
                <w:rFonts w:ascii="Calibri" w:hAnsi="Calibri" w:cs="Calibri"/>
                <w:b/>
                <w:bCs/>
                <w:color w:val="000000" w:themeColor="text1"/>
                <w:sz w:val="20"/>
                <w:szCs w:val="20"/>
              </w:rPr>
            </w:pPr>
            <w:r w:rsidRPr="00F07047">
              <w:rPr>
                <w:rFonts w:ascii="Calibri" w:hAnsi="Calibri" w:cs="Calibri"/>
                <w:b/>
                <w:bCs/>
                <w:color w:val="000000" w:themeColor="text1"/>
                <w:sz w:val="20"/>
                <w:szCs w:val="20"/>
              </w:rPr>
              <w:t>880,659</w:t>
            </w:r>
          </w:p>
        </w:tc>
        <w:tc>
          <w:tcPr>
            <w:tcW w:w="1020" w:type="dxa"/>
          </w:tcPr>
          <w:p w14:paraId="3C675B81" w14:textId="77777777" w:rsidR="00A60D4B" w:rsidRPr="00F07047" w:rsidRDefault="00A60D4B" w:rsidP="00A60D4B">
            <w:pPr>
              <w:jc w:val="right"/>
              <w:rPr>
                <w:rFonts w:ascii="Calibri" w:hAnsi="Calibri" w:cs="Calibri"/>
                <w:b/>
                <w:bCs/>
                <w:color w:val="000000" w:themeColor="text1"/>
                <w:sz w:val="20"/>
                <w:szCs w:val="20"/>
              </w:rPr>
            </w:pPr>
            <w:r w:rsidRPr="00F07047">
              <w:rPr>
                <w:rFonts w:ascii="Calibri" w:hAnsi="Calibri" w:cs="Calibri"/>
                <w:b/>
                <w:bCs/>
                <w:color w:val="000000" w:themeColor="text1"/>
                <w:sz w:val="20"/>
                <w:szCs w:val="20"/>
              </w:rPr>
              <w:t>553,407</w:t>
            </w:r>
          </w:p>
        </w:tc>
        <w:tc>
          <w:tcPr>
            <w:tcW w:w="1020" w:type="dxa"/>
          </w:tcPr>
          <w:p w14:paraId="642E4917" w14:textId="77777777" w:rsidR="00A60D4B" w:rsidRPr="00F07047" w:rsidRDefault="00A60D4B" w:rsidP="00A60D4B">
            <w:pPr>
              <w:jc w:val="right"/>
              <w:rPr>
                <w:rFonts w:ascii="Calibri" w:hAnsi="Calibri" w:cs="Calibri"/>
                <w:b/>
                <w:bCs/>
                <w:color w:val="000000" w:themeColor="text1"/>
                <w:sz w:val="20"/>
                <w:szCs w:val="20"/>
              </w:rPr>
            </w:pPr>
            <w:r w:rsidRPr="00F07047">
              <w:rPr>
                <w:rFonts w:ascii="Calibri" w:hAnsi="Calibri" w:cs="Calibri"/>
                <w:b/>
                <w:bCs/>
                <w:color w:val="000000" w:themeColor="text1"/>
                <w:sz w:val="20"/>
                <w:szCs w:val="20"/>
              </w:rPr>
              <w:t>169,425</w:t>
            </w:r>
          </w:p>
        </w:tc>
        <w:tc>
          <w:tcPr>
            <w:tcW w:w="1020" w:type="dxa"/>
          </w:tcPr>
          <w:p w14:paraId="5EB6E067" w14:textId="77777777" w:rsidR="00A60D4B" w:rsidRPr="00F07047" w:rsidRDefault="00A60D4B" w:rsidP="00A60D4B">
            <w:pPr>
              <w:jc w:val="right"/>
              <w:rPr>
                <w:rFonts w:ascii="Calibri" w:hAnsi="Calibri" w:cs="Calibri"/>
                <w:b/>
                <w:bCs/>
                <w:color w:val="000000" w:themeColor="text1"/>
                <w:sz w:val="20"/>
                <w:szCs w:val="20"/>
              </w:rPr>
            </w:pPr>
            <w:r w:rsidRPr="00F07047">
              <w:rPr>
                <w:rFonts w:ascii="Calibri" w:hAnsi="Calibri" w:cs="Calibri"/>
                <w:b/>
                <w:bCs/>
                <w:color w:val="000000" w:themeColor="text1"/>
                <w:sz w:val="20"/>
                <w:szCs w:val="20"/>
              </w:rPr>
              <w:t>16,413</w:t>
            </w:r>
          </w:p>
        </w:tc>
        <w:tc>
          <w:tcPr>
            <w:tcW w:w="1020" w:type="dxa"/>
          </w:tcPr>
          <w:p w14:paraId="28CBC296" w14:textId="77777777" w:rsidR="00A60D4B" w:rsidRPr="00F07047" w:rsidRDefault="00A60D4B" w:rsidP="00A60D4B">
            <w:pPr>
              <w:jc w:val="right"/>
              <w:rPr>
                <w:rFonts w:ascii="Calibri" w:hAnsi="Calibri" w:cs="Calibri"/>
                <w:b/>
                <w:bCs/>
                <w:color w:val="000000" w:themeColor="text1"/>
                <w:sz w:val="20"/>
                <w:szCs w:val="20"/>
              </w:rPr>
            </w:pPr>
            <w:r w:rsidRPr="00F07047">
              <w:rPr>
                <w:rFonts w:ascii="Calibri" w:hAnsi="Calibri" w:cs="Calibri"/>
                <w:b/>
                <w:bCs/>
                <w:color w:val="000000" w:themeColor="text1"/>
                <w:sz w:val="20"/>
                <w:szCs w:val="20"/>
              </w:rPr>
              <w:t>2,329,972</w:t>
            </w:r>
          </w:p>
        </w:tc>
      </w:tr>
      <w:tr w:rsidR="00A60D4B" w14:paraId="47992297" w14:textId="77777777" w:rsidTr="00A60D4B">
        <w:trPr>
          <w:trHeight w:val="397"/>
        </w:trPr>
        <w:tc>
          <w:tcPr>
            <w:tcW w:w="2891" w:type="dxa"/>
          </w:tcPr>
          <w:p w14:paraId="64E7FABD" w14:textId="77777777" w:rsidR="00A60D4B" w:rsidRDefault="00A60D4B" w:rsidP="00A60D4B">
            <w:r>
              <w:rPr>
                <w:rFonts w:ascii="Calibri" w:hAnsi="Calibri" w:cs="Calibri"/>
                <w:b/>
                <w:bCs/>
                <w:color w:val="000000"/>
                <w:sz w:val="20"/>
                <w:szCs w:val="20"/>
              </w:rPr>
              <w:t>Central Capital Provisions</w:t>
            </w:r>
          </w:p>
        </w:tc>
        <w:tc>
          <w:tcPr>
            <w:tcW w:w="1020" w:type="dxa"/>
          </w:tcPr>
          <w:p w14:paraId="328AFE6D" w14:textId="77777777" w:rsidR="00A60D4B" w:rsidRDefault="00A60D4B" w:rsidP="00A60D4B">
            <w:pPr>
              <w:jc w:val="right"/>
            </w:pPr>
          </w:p>
        </w:tc>
        <w:tc>
          <w:tcPr>
            <w:tcW w:w="1020" w:type="dxa"/>
          </w:tcPr>
          <w:p w14:paraId="194F664E" w14:textId="77777777" w:rsidR="00A60D4B" w:rsidRDefault="00A60D4B" w:rsidP="00A60D4B">
            <w:pPr>
              <w:jc w:val="right"/>
            </w:pPr>
          </w:p>
        </w:tc>
        <w:tc>
          <w:tcPr>
            <w:tcW w:w="1020" w:type="dxa"/>
          </w:tcPr>
          <w:p w14:paraId="1614757C" w14:textId="77777777" w:rsidR="00A60D4B" w:rsidRDefault="00A60D4B" w:rsidP="00A60D4B">
            <w:pPr>
              <w:jc w:val="right"/>
            </w:pPr>
          </w:p>
        </w:tc>
        <w:tc>
          <w:tcPr>
            <w:tcW w:w="1020" w:type="dxa"/>
          </w:tcPr>
          <w:p w14:paraId="29EBE3E6" w14:textId="77777777" w:rsidR="00A60D4B" w:rsidRDefault="00A60D4B" w:rsidP="00A60D4B">
            <w:pPr>
              <w:jc w:val="right"/>
            </w:pPr>
          </w:p>
        </w:tc>
        <w:tc>
          <w:tcPr>
            <w:tcW w:w="1020" w:type="dxa"/>
          </w:tcPr>
          <w:p w14:paraId="5992BDD4" w14:textId="77777777" w:rsidR="00A60D4B" w:rsidRDefault="00A60D4B" w:rsidP="00A60D4B">
            <w:pPr>
              <w:jc w:val="right"/>
            </w:pPr>
          </w:p>
        </w:tc>
        <w:tc>
          <w:tcPr>
            <w:tcW w:w="1020" w:type="dxa"/>
          </w:tcPr>
          <w:p w14:paraId="6D894E99" w14:textId="77777777" w:rsidR="00A60D4B" w:rsidRDefault="00A60D4B" w:rsidP="00A60D4B">
            <w:pPr>
              <w:jc w:val="right"/>
            </w:pPr>
          </w:p>
        </w:tc>
      </w:tr>
      <w:tr w:rsidR="00A60D4B" w14:paraId="7405BF49" w14:textId="77777777" w:rsidTr="00A60D4B">
        <w:tc>
          <w:tcPr>
            <w:tcW w:w="2891" w:type="dxa"/>
          </w:tcPr>
          <w:p w14:paraId="58D0E0FB" w14:textId="77777777" w:rsidR="00A60D4B" w:rsidRDefault="00A60D4B" w:rsidP="00A60D4B">
            <w:r>
              <w:rPr>
                <w:rFonts w:ascii="Calibri" w:hAnsi="Calibri" w:cs="Calibri"/>
                <w:color w:val="000000"/>
                <w:sz w:val="20"/>
                <w:szCs w:val="20"/>
              </w:rPr>
              <w:t>Early Planning</w:t>
            </w:r>
          </w:p>
        </w:tc>
        <w:tc>
          <w:tcPr>
            <w:tcW w:w="1020" w:type="dxa"/>
          </w:tcPr>
          <w:p w14:paraId="6053ED20" w14:textId="77777777" w:rsidR="00A60D4B" w:rsidRDefault="00A60D4B" w:rsidP="00A60D4B">
            <w:pPr>
              <w:jc w:val="right"/>
            </w:pPr>
            <w:r>
              <w:rPr>
                <w:rFonts w:ascii="Calibri" w:hAnsi="Calibri" w:cs="Calibri"/>
                <w:color w:val="000000"/>
                <w:sz w:val="20"/>
                <w:szCs w:val="20"/>
              </w:rPr>
              <w:t>0</w:t>
            </w:r>
          </w:p>
        </w:tc>
        <w:tc>
          <w:tcPr>
            <w:tcW w:w="1020" w:type="dxa"/>
          </w:tcPr>
          <w:p w14:paraId="0EBCCCB4" w14:textId="77777777" w:rsidR="00A60D4B" w:rsidRDefault="00A60D4B" w:rsidP="00A60D4B">
            <w:pPr>
              <w:jc w:val="right"/>
            </w:pPr>
            <w:r>
              <w:rPr>
                <w:rFonts w:ascii="Calibri" w:hAnsi="Calibri" w:cs="Calibri"/>
                <w:color w:val="000000"/>
                <w:sz w:val="20"/>
                <w:szCs w:val="20"/>
              </w:rPr>
              <w:t>0</w:t>
            </w:r>
          </w:p>
        </w:tc>
        <w:tc>
          <w:tcPr>
            <w:tcW w:w="1020" w:type="dxa"/>
          </w:tcPr>
          <w:p w14:paraId="7C05D454" w14:textId="77777777" w:rsidR="00A60D4B" w:rsidRDefault="00A60D4B" w:rsidP="00A60D4B">
            <w:pPr>
              <w:jc w:val="right"/>
            </w:pPr>
            <w:r>
              <w:rPr>
                <w:rFonts w:ascii="Calibri" w:hAnsi="Calibri" w:cs="Calibri"/>
                <w:color w:val="000000"/>
                <w:sz w:val="20"/>
                <w:szCs w:val="20"/>
              </w:rPr>
              <w:t>0</w:t>
            </w:r>
          </w:p>
        </w:tc>
        <w:tc>
          <w:tcPr>
            <w:tcW w:w="1020" w:type="dxa"/>
          </w:tcPr>
          <w:p w14:paraId="06AF8A8A" w14:textId="77777777" w:rsidR="00A60D4B" w:rsidRDefault="00A60D4B" w:rsidP="00A60D4B">
            <w:pPr>
              <w:jc w:val="right"/>
            </w:pPr>
            <w:r>
              <w:rPr>
                <w:rFonts w:ascii="Calibri" w:hAnsi="Calibri" w:cs="Calibri"/>
                <w:color w:val="000000"/>
                <w:sz w:val="20"/>
                <w:szCs w:val="20"/>
              </w:rPr>
              <w:t>0</w:t>
            </w:r>
          </w:p>
        </w:tc>
        <w:tc>
          <w:tcPr>
            <w:tcW w:w="1020" w:type="dxa"/>
          </w:tcPr>
          <w:p w14:paraId="17627287" w14:textId="77777777" w:rsidR="00A60D4B" w:rsidRDefault="00A60D4B" w:rsidP="00A60D4B">
            <w:pPr>
              <w:jc w:val="right"/>
            </w:pPr>
            <w:r>
              <w:rPr>
                <w:rFonts w:ascii="Calibri" w:hAnsi="Calibri" w:cs="Calibri"/>
                <w:color w:val="000000"/>
                <w:sz w:val="20"/>
                <w:szCs w:val="20"/>
              </w:rPr>
              <w:t>0</w:t>
            </w:r>
          </w:p>
        </w:tc>
        <w:tc>
          <w:tcPr>
            <w:tcW w:w="1020" w:type="dxa"/>
          </w:tcPr>
          <w:p w14:paraId="36D066D5" w14:textId="77777777" w:rsidR="00A60D4B" w:rsidRDefault="00A60D4B" w:rsidP="00A60D4B">
            <w:pPr>
              <w:jc w:val="right"/>
            </w:pPr>
            <w:r>
              <w:rPr>
                <w:rFonts w:ascii="Calibri" w:hAnsi="Calibri" w:cs="Calibri"/>
                <w:b/>
                <w:bCs/>
                <w:color w:val="000000"/>
                <w:sz w:val="20"/>
                <w:szCs w:val="20"/>
              </w:rPr>
              <w:t>0</w:t>
            </w:r>
          </w:p>
        </w:tc>
      </w:tr>
      <w:tr w:rsidR="00A60D4B" w14:paraId="392964A0" w14:textId="77777777" w:rsidTr="00A60D4B">
        <w:tc>
          <w:tcPr>
            <w:tcW w:w="2891" w:type="dxa"/>
          </w:tcPr>
          <w:p w14:paraId="1B883F6B" w14:textId="77777777" w:rsidR="00A60D4B" w:rsidRDefault="00A60D4B" w:rsidP="00A60D4B">
            <w:r>
              <w:rPr>
                <w:rFonts w:ascii="Calibri" w:hAnsi="Calibri" w:cs="Calibri"/>
                <w:color w:val="000000"/>
                <w:sz w:val="20"/>
                <w:szCs w:val="20"/>
              </w:rPr>
              <w:t>Design</w:t>
            </w:r>
          </w:p>
        </w:tc>
        <w:tc>
          <w:tcPr>
            <w:tcW w:w="1020" w:type="dxa"/>
          </w:tcPr>
          <w:p w14:paraId="54F5B4ED" w14:textId="77777777" w:rsidR="00A60D4B" w:rsidRDefault="00A60D4B" w:rsidP="00A60D4B">
            <w:pPr>
              <w:jc w:val="right"/>
            </w:pPr>
            <w:r>
              <w:rPr>
                <w:rFonts w:ascii="Calibri" w:hAnsi="Calibri" w:cs="Calibri"/>
                <w:color w:val="000000"/>
                <w:sz w:val="20"/>
                <w:szCs w:val="20"/>
              </w:rPr>
              <w:t>0</w:t>
            </w:r>
          </w:p>
        </w:tc>
        <w:tc>
          <w:tcPr>
            <w:tcW w:w="1020" w:type="dxa"/>
          </w:tcPr>
          <w:p w14:paraId="712AC5C1" w14:textId="77777777" w:rsidR="00A60D4B" w:rsidRDefault="00A60D4B" w:rsidP="00A60D4B">
            <w:pPr>
              <w:jc w:val="right"/>
            </w:pPr>
            <w:r>
              <w:rPr>
                <w:rFonts w:ascii="Calibri" w:hAnsi="Calibri" w:cs="Calibri"/>
                <w:color w:val="000000"/>
                <w:sz w:val="20"/>
                <w:szCs w:val="20"/>
              </w:rPr>
              <w:t>7,000</w:t>
            </w:r>
          </w:p>
        </w:tc>
        <w:tc>
          <w:tcPr>
            <w:tcW w:w="1020" w:type="dxa"/>
          </w:tcPr>
          <w:p w14:paraId="10F17F44" w14:textId="77777777" w:rsidR="00A60D4B" w:rsidRDefault="00A60D4B" w:rsidP="00A60D4B">
            <w:pPr>
              <w:jc w:val="right"/>
            </w:pPr>
            <w:r>
              <w:rPr>
                <w:rFonts w:ascii="Calibri" w:hAnsi="Calibri" w:cs="Calibri"/>
                <w:color w:val="000000"/>
                <w:sz w:val="20"/>
                <w:szCs w:val="20"/>
              </w:rPr>
              <w:t>6,000</w:t>
            </w:r>
          </w:p>
        </w:tc>
        <w:tc>
          <w:tcPr>
            <w:tcW w:w="1020" w:type="dxa"/>
          </w:tcPr>
          <w:p w14:paraId="1BAC1AD0" w14:textId="77777777" w:rsidR="00A60D4B" w:rsidRDefault="00A60D4B" w:rsidP="00A60D4B">
            <w:pPr>
              <w:jc w:val="right"/>
            </w:pPr>
            <w:r>
              <w:rPr>
                <w:rFonts w:ascii="Calibri" w:hAnsi="Calibri" w:cs="Calibri"/>
                <w:color w:val="000000"/>
                <w:sz w:val="20"/>
                <w:szCs w:val="20"/>
              </w:rPr>
              <w:t>0</w:t>
            </w:r>
          </w:p>
        </w:tc>
        <w:tc>
          <w:tcPr>
            <w:tcW w:w="1020" w:type="dxa"/>
          </w:tcPr>
          <w:p w14:paraId="348D5F80" w14:textId="77777777" w:rsidR="00A60D4B" w:rsidRDefault="00A60D4B" w:rsidP="00A60D4B">
            <w:pPr>
              <w:jc w:val="right"/>
            </w:pPr>
            <w:r>
              <w:rPr>
                <w:rFonts w:ascii="Calibri" w:hAnsi="Calibri" w:cs="Calibri"/>
                <w:color w:val="000000"/>
                <w:sz w:val="20"/>
                <w:szCs w:val="20"/>
              </w:rPr>
              <w:t>0</w:t>
            </w:r>
          </w:p>
        </w:tc>
        <w:tc>
          <w:tcPr>
            <w:tcW w:w="1020" w:type="dxa"/>
          </w:tcPr>
          <w:p w14:paraId="2E958559" w14:textId="77777777" w:rsidR="00A60D4B" w:rsidRDefault="00A60D4B" w:rsidP="00A60D4B">
            <w:pPr>
              <w:jc w:val="right"/>
            </w:pPr>
            <w:r>
              <w:rPr>
                <w:rFonts w:ascii="Calibri" w:hAnsi="Calibri" w:cs="Calibri"/>
                <w:b/>
                <w:bCs/>
                <w:color w:val="000000"/>
                <w:sz w:val="20"/>
                <w:szCs w:val="20"/>
              </w:rPr>
              <w:t>13,000</w:t>
            </w:r>
          </w:p>
        </w:tc>
      </w:tr>
      <w:tr w:rsidR="00A60D4B" w14:paraId="58629175" w14:textId="77777777" w:rsidTr="00A60D4B">
        <w:trPr>
          <w:trHeight w:val="227"/>
        </w:trPr>
        <w:tc>
          <w:tcPr>
            <w:tcW w:w="2891" w:type="dxa"/>
          </w:tcPr>
          <w:p w14:paraId="040617EF" w14:textId="77777777" w:rsidR="00A60D4B" w:rsidRDefault="00A60D4B" w:rsidP="00A60D4B">
            <w:r>
              <w:rPr>
                <w:rFonts w:ascii="Calibri" w:hAnsi="Calibri" w:cs="Calibri"/>
                <w:color w:val="000000"/>
                <w:sz w:val="20"/>
                <w:szCs w:val="20"/>
              </w:rPr>
              <w:t>Construction</w:t>
            </w:r>
          </w:p>
        </w:tc>
        <w:tc>
          <w:tcPr>
            <w:tcW w:w="1020" w:type="dxa"/>
          </w:tcPr>
          <w:p w14:paraId="78D0DC13" w14:textId="77777777" w:rsidR="00A60D4B" w:rsidRDefault="00A60D4B" w:rsidP="00A60D4B">
            <w:pPr>
              <w:jc w:val="right"/>
            </w:pPr>
            <w:r>
              <w:rPr>
                <w:rFonts w:ascii="Calibri" w:hAnsi="Calibri" w:cs="Calibri"/>
                <w:color w:val="000000"/>
                <w:sz w:val="20"/>
                <w:szCs w:val="20"/>
              </w:rPr>
              <w:t>0</w:t>
            </w:r>
          </w:p>
        </w:tc>
        <w:tc>
          <w:tcPr>
            <w:tcW w:w="1020" w:type="dxa"/>
          </w:tcPr>
          <w:p w14:paraId="7F97C434" w14:textId="77777777" w:rsidR="00A60D4B" w:rsidRDefault="00A60D4B" w:rsidP="00A60D4B">
            <w:pPr>
              <w:jc w:val="right"/>
            </w:pPr>
            <w:r>
              <w:rPr>
                <w:rFonts w:ascii="Calibri" w:hAnsi="Calibri" w:cs="Calibri"/>
                <w:color w:val="000000"/>
                <w:sz w:val="20"/>
                <w:szCs w:val="20"/>
              </w:rPr>
              <w:t>269,707</w:t>
            </w:r>
          </w:p>
        </w:tc>
        <w:tc>
          <w:tcPr>
            <w:tcW w:w="1020" w:type="dxa"/>
          </w:tcPr>
          <w:p w14:paraId="7C4EF01B" w14:textId="77777777" w:rsidR="00A60D4B" w:rsidRDefault="00A60D4B" w:rsidP="00A60D4B">
            <w:pPr>
              <w:jc w:val="right"/>
            </w:pPr>
            <w:r>
              <w:rPr>
                <w:rFonts w:ascii="Calibri" w:hAnsi="Calibri" w:cs="Calibri"/>
                <w:color w:val="000000"/>
                <w:sz w:val="20"/>
                <w:szCs w:val="20"/>
              </w:rPr>
              <w:t>312,698</w:t>
            </w:r>
          </w:p>
        </w:tc>
        <w:tc>
          <w:tcPr>
            <w:tcW w:w="1020" w:type="dxa"/>
          </w:tcPr>
          <w:p w14:paraId="7B5E2754" w14:textId="77777777" w:rsidR="00A60D4B" w:rsidRDefault="00A60D4B" w:rsidP="00A60D4B">
            <w:pPr>
              <w:jc w:val="right"/>
            </w:pPr>
            <w:r>
              <w:rPr>
                <w:rFonts w:ascii="Calibri" w:hAnsi="Calibri" w:cs="Calibri"/>
                <w:color w:val="000000"/>
                <w:sz w:val="20"/>
                <w:szCs w:val="20"/>
              </w:rPr>
              <w:t>290,876</w:t>
            </w:r>
          </w:p>
        </w:tc>
        <w:tc>
          <w:tcPr>
            <w:tcW w:w="1020" w:type="dxa"/>
          </w:tcPr>
          <w:p w14:paraId="6617B487" w14:textId="77777777" w:rsidR="00A60D4B" w:rsidRDefault="00A60D4B" w:rsidP="00A60D4B">
            <w:pPr>
              <w:jc w:val="right"/>
            </w:pPr>
            <w:r>
              <w:rPr>
                <w:rFonts w:ascii="Calibri" w:hAnsi="Calibri" w:cs="Calibri"/>
                <w:color w:val="000000"/>
                <w:sz w:val="20"/>
                <w:szCs w:val="20"/>
              </w:rPr>
              <w:t>336,197</w:t>
            </w:r>
          </w:p>
        </w:tc>
        <w:tc>
          <w:tcPr>
            <w:tcW w:w="1020" w:type="dxa"/>
          </w:tcPr>
          <w:p w14:paraId="3675985A" w14:textId="77777777" w:rsidR="00A60D4B" w:rsidRDefault="00A60D4B" w:rsidP="00A60D4B">
            <w:pPr>
              <w:jc w:val="right"/>
            </w:pPr>
            <w:r>
              <w:rPr>
                <w:rFonts w:ascii="Calibri" w:hAnsi="Calibri" w:cs="Calibri"/>
                <w:b/>
                <w:bCs/>
                <w:color w:val="000000"/>
                <w:sz w:val="20"/>
                <w:szCs w:val="20"/>
              </w:rPr>
              <w:t>1,209,478</w:t>
            </w:r>
          </w:p>
        </w:tc>
      </w:tr>
      <w:tr w:rsidR="00A60D4B" w14:paraId="0DAAA31C" w14:textId="77777777" w:rsidTr="00A60D4B">
        <w:tc>
          <w:tcPr>
            <w:tcW w:w="2891" w:type="dxa"/>
          </w:tcPr>
          <w:p w14:paraId="58730A66" w14:textId="77777777" w:rsidR="00A60D4B" w:rsidRDefault="00A60D4B" w:rsidP="00A60D4B">
            <w:r>
              <w:rPr>
                <w:rFonts w:ascii="Calibri" w:hAnsi="Calibri" w:cs="Calibri"/>
                <w:color w:val="000000"/>
                <w:sz w:val="20"/>
                <w:szCs w:val="20"/>
              </w:rPr>
              <w:t>ICT</w:t>
            </w:r>
          </w:p>
        </w:tc>
        <w:tc>
          <w:tcPr>
            <w:tcW w:w="1020" w:type="dxa"/>
          </w:tcPr>
          <w:p w14:paraId="5062BD2D" w14:textId="77777777" w:rsidR="00A60D4B" w:rsidRDefault="00A60D4B" w:rsidP="00A60D4B">
            <w:pPr>
              <w:jc w:val="right"/>
            </w:pPr>
            <w:r>
              <w:rPr>
                <w:rFonts w:ascii="Calibri" w:hAnsi="Calibri" w:cs="Calibri"/>
                <w:color w:val="000000"/>
                <w:sz w:val="20"/>
                <w:szCs w:val="20"/>
              </w:rPr>
              <w:t>0</w:t>
            </w:r>
          </w:p>
        </w:tc>
        <w:tc>
          <w:tcPr>
            <w:tcW w:w="1020" w:type="dxa"/>
          </w:tcPr>
          <w:p w14:paraId="7700442E" w14:textId="77777777" w:rsidR="00A60D4B" w:rsidRDefault="00A60D4B" w:rsidP="00A60D4B">
            <w:pPr>
              <w:jc w:val="right"/>
            </w:pPr>
            <w:r>
              <w:rPr>
                <w:rFonts w:ascii="Calibri" w:hAnsi="Calibri" w:cs="Calibri"/>
                <w:color w:val="000000"/>
                <w:sz w:val="20"/>
                <w:szCs w:val="20"/>
              </w:rPr>
              <w:t>519</w:t>
            </w:r>
          </w:p>
        </w:tc>
        <w:tc>
          <w:tcPr>
            <w:tcW w:w="1020" w:type="dxa"/>
          </w:tcPr>
          <w:p w14:paraId="60449AEF" w14:textId="77777777" w:rsidR="00A60D4B" w:rsidRDefault="00A60D4B" w:rsidP="00A60D4B">
            <w:pPr>
              <w:jc w:val="right"/>
            </w:pPr>
            <w:r>
              <w:rPr>
                <w:rFonts w:ascii="Calibri" w:hAnsi="Calibri" w:cs="Calibri"/>
                <w:color w:val="000000"/>
                <w:sz w:val="20"/>
                <w:szCs w:val="20"/>
              </w:rPr>
              <w:t>0</w:t>
            </w:r>
          </w:p>
        </w:tc>
        <w:tc>
          <w:tcPr>
            <w:tcW w:w="1020" w:type="dxa"/>
          </w:tcPr>
          <w:p w14:paraId="42F8B756" w14:textId="77777777" w:rsidR="00A60D4B" w:rsidRDefault="00A60D4B" w:rsidP="00A60D4B">
            <w:pPr>
              <w:jc w:val="right"/>
            </w:pPr>
            <w:r>
              <w:rPr>
                <w:rFonts w:ascii="Calibri" w:hAnsi="Calibri" w:cs="Calibri"/>
                <w:color w:val="000000"/>
                <w:sz w:val="20"/>
                <w:szCs w:val="20"/>
              </w:rPr>
              <w:t>0</w:t>
            </w:r>
          </w:p>
        </w:tc>
        <w:tc>
          <w:tcPr>
            <w:tcW w:w="1020" w:type="dxa"/>
          </w:tcPr>
          <w:p w14:paraId="5A9E4963" w14:textId="77777777" w:rsidR="00A60D4B" w:rsidRDefault="00A60D4B" w:rsidP="00A60D4B">
            <w:pPr>
              <w:jc w:val="right"/>
            </w:pPr>
            <w:r>
              <w:rPr>
                <w:rFonts w:ascii="Calibri" w:hAnsi="Calibri" w:cs="Calibri"/>
                <w:color w:val="000000"/>
                <w:sz w:val="20"/>
                <w:szCs w:val="20"/>
              </w:rPr>
              <w:t>0</w:t>
            </w:r>
          </w:p>
        </w:tc>
        <w:tc>
          <w:tcPr>
            <w:tcW w:w="1020" w:type="dxa"/>
          </w:tcPr>
          <w:p w14:paraId="0572516E" w14:textId="77777777" w:rsidR="00A60D4B" w:rsidRDefault="00A60D4B" w:rsidP="00A60D4B">
            <w:pPr>
              <w:jc w:val="right"/>
            </w:pPr>
            <w:r>
              <w:rPr>
                <w:rFonts w:ascii="Calibri" w:hAnsi="Calibri" w:cs="Calibri"/>
                <w:b/>
                <w:bCs/>
                <w:color w:val="000000"/>
                <w:sz w:val="20"/>
                <w:szCs w:val="20"/>
              </w:rPr>
              <w:t>519</w:t>
            </w:r>
          </w:p>
        </w:tc>
      </w:tr>
      <w:tr w:rsidR="00A60D4B" w14:paraId="6749573B" w14:textId="77777777" w:rsidTr="00A60D4B">
        <w:tc>
          <w:tcPr>
            <w:tcW w:w="2891" w:type="dxa"/>
          </w:tcPr>
          <w:p w14:paraId="66401AD9" w14:textId="77777777" w:rsidR="00A60D4B" w:rsidRDefault="00A60D4B" w:rsidP="00A60D4B">
            <w:r>
              <w:rPr>
                <w:rFonts w:ascii="Calibri" w:hAnsi="Calibri" w:cs="Calibri"/>
                <w:color w:val="000000"/>
                <w:sz w:val="20"/>
                <w:szCs w:val="20"/>
              </w:rPr>
              <w:t>PP+E</w:t>
            </w:r>
          </w:p>
        </w:tc>
        <w:tc>
          <w:tcPr>
            <w:tcW w:w="1020" w:type="dxa"/>
          </w:tcPr>
          <w:p w14:paraId="4452E115" w14:textId="77777777" w:rsidR="00A60D4B" w:rsidRDefault="00A60D4B" w:rsidP="00A60D4B">
            <w:pPr>
              <w:jc w:val="right"/>
            </w:pPr>
            <w:r>
              <w:rPr>
                <w:rFonts w:ascii="Calibri" w:hAnsi="Calibri" w:cs="Calibri"/>
                <w:color w:val="000000"/>
                <w:sz w:val="20"/>
                <w:szCs w:val="20"/>
              </w:rPr>
              <w:t>0</w:t>
            </w:r>
          </w:p>
        </w:tc>
        <w:tc>
          <w:tcPr>
            <w:tcW w:w="1020" w:type="dxa"/>
          </w:tcPr>
          <w:p w14:paraId="3A91ABD6" w14:textId="77777777" w:rsidR="00A60D4B" w:rsidRDefault="00A60D4B" w:rsidP="00A60D4B">
            <w:pPr>
              <w:jc w:val="right"/>
            </w:pPr>
            <w:r>
              <w:rPr>
                <w:rFonts w:ascii="Calibri" w:hAnsi="Calibri" w:cs="Calibri"/>
                <w:color w:val="000000"/>
                <w:sz w:val="20"/>
                <w:szCs w:val="20"/>
              </w:rPr>
              <w:t>36,148</w:t>
            </w:r>
          </w:p>
        </w:tc>
        <w:tc>
          <w:tcPr>
            <w:tcW w:w="1020" w:type="dxa"/>
          </w:tcPr>
          <w:p w14:paraId="0179F5FB" w14:textId="77777777" w:rsidR="00A60D4B" w:rsidRDefault="00A60D4B" w:rsidP="00A60D4B">
            <w:pPr>
              <w:jc w:val="right"/>
            </w:pPr>
            <w:r>
              <w:rPr>
                <w:rFonts w:ascii="Calibri" w:hAnsi="Calibri" w:cs="Calibri"/>
                <w:color w:val="000000"/>
                <w:sz w:val="20"/>
                <w:szCs w:val="20"/>
              </w:rPr>
              <w:t>40,461</w:t>
            </w:r>
          </w:p>
        </w:tc>
        <w:tc>
          <w:tcPr>
            <w:tcW w:w="1020" w:type="dxa"/>
          </w:tcPr>
          <w:p w14:paraId="3EDE4B5E" w14:textId="77777777" w:rsidR="00A60D4B" w:rsidRDefault="00A60D4B" w:rsidP="00A60D4B">
            <w:pPr>
              <w:jc w:val="right"/>
            </w:pPr>
            <w:r>
              <w:rPr>
                <w:rFonts w:ascii="Calibri" w:hAnsi="Calibri" w:cs="Calibri"/>
                <w:color w:val="000000"/>
                <w:sz w:val="20"/>
                <w:szCs w:val="20"/>
              </w:rPr>
              <w:t>50,279</w:t>
            </w:r>
          </w:p>
        </w:tc>
        <w:tc>
          <w:tcPr>
            <w:tcW w:w="1020" w:type="dxa"/>
          </w:tcPr>
          <w:p w14:paraId="70FE1CEE" w14:textId="77777777" w:rsidR="00A60D4B" w:rsidRDefault="00A60D4B" w:rsidP="00A60D4B">
            <w:pPr>
              <w:jc w:val="right"/>
            </w:pPr>
            <w:r>
              <w:rPr>
                <w:rFonts w:ascii="Calibri" w:hAnsi="Calibri" w:cs="Calibri"/>
                <w:color w:val="000000"/>
                <w:sz w:val="20"/>
                <w:szCs w:val="20"/>
              </w:rPr>
              <w:t>0</w:t>
            </w:r>
          </w:p>
        </w:tc>
        <w:tc>
          <w:tcPr>
            <w:tcW w:w="1020" w:type="dxa"/>
          </w:tcPr>
          <w:p w14:paraId="5FA8BC36" w14:textId="77777777" w:rsidR="00A60D4B" w:rsidRDefault="00A60D4B" w:rsidP="00A60D4B">
            <w:pPr>
              <w:jc w:val="right"/>
            </w:pPr>
            <w:r>
              <w:rPr>
                <w:rFonts w:ascii="Calibri" w:hAnsi="Calibri" w:cs="Calibri"/>
                <w:b/>
                <w:bCs/>
                <w:color w:val="000000"/>
                <w:sz w:val="20"/>
                <w:szCs w:val="20"/>
              </w:rPr>
              <w:t>126,888</w:t>
            </w:r>
          </w:p>
        </w:tc>
      </w:tr>
      <w:tr w:rsidR="00A60D4B" w14:paraId="7476ED75" w14:textId="77777777" w:rsidTr="00A60D4B">
        <w:tc>
          <w:tcPr>
            <w:tcW w:w="2891" w:type="dxa"/>
          </w:tcPr>
          <w:p w14:paraId="03A456B1" w14:textId="77777777" w:rsidR="00A60D4B" w:rsidRDefault="00A60D4B" w:rsidP="00A60D4B">
            <w:r>
              <w:rPr>
                <w:rFonts w:ascii="Calibri" w:hAnsi="Calibri" w:cs="Calibri"/>
                <w:color w:val="000000"/>
                <w:sz w:val="20"/>
                <w:szCs w:val="20"/>
              </w:rPr>
              <w:t>Capital Grants</w:t>
            </w:r>
          </w:p>
        </w:tc>
        <w:tc>
          <w:tcPr>
            <w:tcW w:w="1020" w:type="dxa"/>
          </w:tcPr>
          <w:p w14:paraId="529E7920" w14:textId="77777777" w:rsidR="00A60D4B" w:rsidRDefault="00A60D4B" w:rsidP="00A60D4B">
            <w:pPr>
              <w:jc w:val="right"/>
            </w:pPr>
            <w:r>
              <w:rPr>
                <w:rFonts w:ascii="Calibri" w:hAnsi="Calibri" w:cs="Calibri"/>
                <w:color w:val="000000"/>
                <w:sz w:val="20"/>
                <w:szCs w:val="20"/>
              </w:rPr>
              <w:t>0</w:t>
            </w:r>
          </w:p>
        </w:tc>
        <w:tc>
          <w:tcPr>
            <w:tcW w:w="1020" w:type="dxa"/>
          </w:tcPr>
          <w:p w14:paraId="24999CA4" w14:textId="77777777" w:rsidR="00A60D4B" w:rsidRDefault="00A60D4B" w:rsidP="00A60D4B">
            <w:pPr>
              <w:jc w:val="right"/>
            </w:pPr>
            <w:r>
              <w:rPr>
                <w:rFonts w:ascii="Calibri" w:hAnsi="Calibri" w:cs="Calibri"/>
                <w:color w:val="000000"/>
                <w:sz w:val="20"/>
                <w:szCs w:val="20"/>
              </w:rPr>
              <w:t>38,000</w:t>
            </w:r>
          </w:p>
        </w:tc>
        <w:tc>
          <w:tcPr>
            <w:tcW w:w="1020" w:type="dxa"/>
          </w:tcPr>
          <w:p w14:paraId="341AF527" w14:textId="77777777" w:rsidR="00A60D4B" w:rsidRDefault="00A60D4B" w:rsidP="00A60D4B">
            <w:pPr>
              <w:jc w:val="right"/>
            </w:pPr>
            <w:r>
              <w:rPr>
                <w:rFonts w:ascii="Calibri" w:hAnsi="Calibri" w:cs="Calibri"/>
                <w:color w:val="000000"/>
                <w:sz w:val="20"/>
                <w:szCs w:val="20"/>
              </w:rPr>
              <w:t>35,000</w:t>
            </w:r>
          </w:p>
        </w:tc>
        <w:tc>
          <w:tcPr>
            <w:tcW w:w="1020" w:type="dxa"/>
          </w:tcPr>
          <w:p w14:paraId="093BAE24" w14:textId="77777777" w:rsidR="00A60D4B" w:rsidRDefault="00A60D4B" w:rsidP="00A60D4B">
            <w:pPr>
              <w:jc w:val="right"/>
            </w:pPr>
            <w:r>
              <w:rPr>
                <w:rFonts w:ascii="Calibri" w:hAnsi="Calibri" w:cs="Calibri"/>
                <w:color w:val="000000"/>
                <w:sz w:val="20"/>
                <w:szCs w:val="20"/>
              </w:rPr>
              <w:t>7,329</w:t>
            </w:r>
          </w:p>
        </w:tc>
        <w:tc>
          <w:tcPr>
            <w:tcW w:w="1020" w:type="dxa"/>
          </w:tcPr>
          <w:p w14:paraId="51944DCE" w14:textId="77777777" w:rsidR="00A60D4B" w:rsidRDefault="00A60D4B" w:rsidP="00A60D4B">
            <w:pPr>
              <w:jc w:val="right"/>
            </w:pPr>
            <w:r>
              <w:rPr>
                <w:rFonts w:ascii="Calibri" w:hAnsi="Calibri" w:cs="Calibri"/>
                <w:color w:val="000000"/>
                <w:sz w:val="20"/>
                <w:szCs w:val="20"/>
              </w:rPr>
              <w:t>25,788</w:t>
            </w:r>
          </w:p>
        </w:tc>
        <w:tc>
          <w:tcPr>
            <w:tcW w:w="1020" w:type="dxa"/>
          </w:tcPr>
          <w:p w14:paraId="4179B08D" w14:textId="77777777" w:rsidR="00A60D4B" w:rsidRDefault="00A60D4B" w:rsidP="00A60D4B">
            <w:pPr>
              <w:jc w:val="right"/>
            </w:pPr>
            <w:r>
              <w:rPr>
                <w:rFonts w:ascii="Calibri" w:hAnsi="Calibri" w:cs="Calibri"/>
                <w:b/>
                <w:bCs/>
                <w:color w:val="000000"/>
                <w:sz w:val="20"/>
                <w:szCs w:val="20"/>
              </w:rPr>
              <w:t>106,117</w:t>
            </w:r>
          </w:p>
        </w:tc>
      </w:tr>
      <w:tr w:rsidR="00A60D4B" w14:paraId="30CCA39B" w14:textId="77777777" w:rsidTr="00A60D4B">
        <w:tc>
          <w:tcPr>
            <w:tcW w:w="2891" w:type="dxa"/>
          </w:tcPr>
          <w:p w14:paraId="11809259" w14:textId="77777777" w:rsidR="00A60D4B" w:rsidRDefault="00A60D4B" w:rsidP="00A60D4B">
            <w:r>
              <w:rPr>
                <w:rFonts w:ascii="Calibri" w:hAnsi="Calibri" w:cs="Calibri"/>
                <w:b/>
                <w:bCs/>
                <w:color w:val="000000"/>
                <w:sz w:val="20"/>
                <w:szCs w:val="20"/>
              </w:rPr>
              <w:t>Total Central Capital Provisions</w:t>
            </w:r>
          </w:p>
        </w:tc>
        <w:tc>
          <w:tcPr>
            <w:tcW w:w="1020" w:type="dxa"/>
          </w:tcPr>
          <w:p w14:paraId="0C7B2917" w14:textId="77777777" w:rsidR="00A60D4B" w:rsidRDefault="00A60D4B" w:rsidP="00A60D4B">
            <w:pPr>
              <w:jc w:val="right"/>
            </w:pPr>
            <w:r w:rsidRPr="00D226EB">
              <w:rPr>
                <w:rFonts w:ascii="Calibri" w:hAnsi="Calibri" w:cs="Calibri"/>
                <w:b/>
                <w:bCs/>
                <w:color w:val="000000" w:themeColor="text1"/>
                <w:sz w:val="20"/>
                <w:szCs w:val="20"/>
              </w:rPr>
              <w:t>0</w:t>
            </w:r>
          </w:p>
        </w:tc>
        <w:tc>
          <w:tcPr>
            <w:tcW w:w="1020" w:type="dxa"/>
          </w:tcPr>
          <w:p w14:paraId="6BE41924" w14:textId="77777777" w:rsidR="00A60D4B" w:rsidRDefault="00A60D4B" w:rsidP="00A60D4B">
            <w:pPr>
              <w:jc w:val="right"/>
            </w:pPr>
            <w:r w:rsidRPr="00D226EB">
              <w:rPr>
                <w:rFonts w:ascii="Calibri" w:hAnsi="Calibri" w:cs="Calibri"/>
                <w:b/>
                <w:bCs/>
                <w:color w:val="000000" w:themeColor="text1"/>
                <w:sz w:val="20"/>
                <w:szCs w:val="20"/>
              </w:rPr>
              <w:t>351,374</w:t>
            </w:r>
          </w:p>
        </w:tc>
        <w:tc>
          <w:tcPr>
            <w:tcW w:w="1020" w:type="dxa"/>
          </w:tcPr>
          <w:p w14:paraId="28A5665A" w14:textId="77777777" w:rsidR="00A60D4B" w:rsidRDefault="00A60D4B" w:rsidP="00A60D4B">
            <w:pPr>
              <w:jc w:val="right"/>
            </w:pPr>
            <w:r w:rsidRPr="00D226EB">
              <w:rPr>
                <w:rFonts w:ascii="Calibri" w:hAnsi="Calibri" w:cs="Calibri"/>
                <w:b/>
                <w:bCs/>
                <w:color w:val="000000" w:themeColor="text1"/>
                <w:sz w:val="20"/>
                <w:szCs w:val="20"/>
              </w:rPr>
              <w:t>394,159</w:t>
            </w:r>
          </w:p>
        </w:tc>
        <w:tc>
          <w:tcPr>
            <w:tcW w:w="1020" w:type="dxa"/>
          </w:tcPr>
          <w:p w14:paraId="6C54504D" w14:textId="77777777" w:rsidR="00A60D4B" w:rsidRDefault="00A60D4B" w:rsidP="00A60D4B">
            <w:pPr>
              <w:jc w:val="right"/>
            </w:pPr>
            <w:r w:rsidRPr="00D226EB">
              <w:rPr>
                <w:rFonts w:ascii="Calibri" w:hAnsi="Calibri" w:cs="Calibri"/>
                <w:b/>
                <w:bCs/>
                <w:color w:val="000000" w:themeColor="text1"/>
                <w:sz w:val="20"/>
                <w:szCs w:val="20"/>
              </w:rPr>
              <w:t>348,484</w:t>
            </w:r>
          </w:p>
        </w:tc>
        <w:tc>
          <w:tcPr>
            <w:tcW w:w="1020" w:type="dxa"/>
          </w:tcPr>
          <w:p w14:paraId="7999905B" w14:textId="77777777" w:rsidR="00A60D4B" w:rsidRDefault="00A60D4B" w:rsidP="00A60D4B">
            <w:pPr>
              <w:jc w:val="right"/>
            </w:pPr>
            <w:r w:rsidRPr="00D226EB">
              <w:rPr>
                <w:rFonts w:ascii="Calibri" w:hAnsi="Calibri" w:cs="Calibri"/>
                <w:b/>
                <w:bCs/>
                <w:color w:val="000000" w:themeColor="text1"/>
                <w:sz w:val="20"/>
                <w:szCs w:val="20"/>
              </w:rPr>
              <w:t>361,985</w:t>
            </w:r>
          </w:p>
        </w:tc>
        <w:tc>
          <w:tcPr>
            <w:tcW w:w="1020" w:type="dxa"/>
          </w:tcPr>
          <w:p w14:paraId="1343F2F7" w14:textId="77777777" w:rsidR="00A60D4B" w:rsidRDefault="00A60D4B" w:rsidP="00A60D4B">
            <w:pPr>
              <w:jc w:val="right"/>
            </w:pPr>
            <w:r w:rsidRPr="00D226EB">
              <w:rPr>
                <w:rFonts w:ascii="Calibri" w:hAnsi="Calibri" w:cs="Calibri"/>
                <w:b/>
                <w:bCs/>
                <w:color w:val="000000" w:themeColor="text1"/>
                <w:sz w:val="20"/>
                <w:szCs w:val="20"/>
              </w:rPr>
              <w:t>1,456,002</w:t>
            </w:r>
          </w:p>
        </w:tc>
      </w:tr>
      <w:tr w:rsidR="00A60D4B" w14:paraId="4C16E87D" w14:textId="77777777" w:rsidTr="00A60D4B">
        <w:tc>
          <w:tcPr>
            <w:tcW w:w="2891" w:type="dxa"/>
          </w:tcPr>
          <w:p w14:paraId="35AD3BCA" w14:textId="77777777" w:rsidR="00A60D4B" w:rsidRDefault="00A60D4B" w:rsidP="00A60D4B">
            <w:pPr>
              <w:rPr>
                <w:rFonts w:ascii="Calibri" w:hAnsi="Calibri" w:cs="Calibri"/>
                <w:b/>
                <w:bCs/>
                <w:color w:val="000000"/>
                <w:sz w:val="20"/>
                <w:szCs w:val="20"/>
              </w:rPr>
            </w:pPr>
          </w:p>
        </w:tc>
        <w:tc>
          <w:tcPr>
            <w:tcW w:w="1020" w:type="dxa"/>
          </w:tcPr>
          <w:p w14:paraId="51DB7CFD" w14:textId="77777777" w:rsidR="00A60D4B" w:rsidRDefault="00A60D4B" w:rsidP="00A60D4B">
            <w:pPr>
              <w:jc w:val="right"/>
              <w:rPr>
                <w:rFonts w:ascii="Calibri" w:hAnsi="Calibri" w:cs="Calibri"/>
                <w:b/>
                <w:bCs/>
                <w:color w:val="000000"/>
                <w:sz w:val="20"/>
                <w:szCs w:val="20"/>
              </w:rPr>
            </w:pPr>
          </w:p>
        </w:tc>
        <w:tc>
          <w:tcPr>
            <w:tcW w:w="1020" w:type="dxa"/>
          </w:tcPr>
          <w:p w14:paraId="6C56D01F" w14:textId="77777777" w:rsidR="00A60D4B" w:rsidRDefault="00A60D4B" w:rsidP="00A60D4B">
            <w:pPr>
              <w:jc w:val="right"/>
              <w:rPr>
                <w:rFonts w:ascii="Calibri" w:hAnsi="Calibri" w:cs="Calibri"/>
                <w:b/>
                <w:bCs/>
                <w:color w:val="000000"/>
                <w:sz w:val="20"/>
                <w:szCs w:val="20"/>
              </w:rPr>
            </w:pPr>
          </w:p>
        </w:tc>
        <w:tc>
          <w:tcPr>
            <w:tcW w:w="1020" w:type="dxa"/>
          </w:tcPr>
          <w:p w14:paraId="597B29C6" w14:textId="77777777" w:rsidR="00A60D4B" w:rsidRDefault="00A60D4B" w:rsidP="00A60D4B">
            <w:pPr>
              <w:jc w:val="right"/>
              <w:rPr>
                <w:rFonts w:ascii="Calibri" w:hAnsi="Calibri" w:cs="Calibri"/>
                <w:b/>
                <w:bCs/>
                <w:color w:val="000000"/>
                <w:sz w:val="20"/>
                <w:szCs w:val="20"/>
              </w:rPr>
            </w:pPr>
          </w:p>
        </w:tc>
        <w:tc>
          <w:tcPr>
            <w:tcW w:w="1020" w:type="dxa"/>
          </w:tcPr>
          <w:p w14:paraId="64FE7C26" w14:textId="77777777" w:rsidR="00A60D4B" w:rsidRDefault="00A60D4B" w:rsidP="00A60D4B">
            <w:pPr>
              <w:jc w:val="right"/>
              <w:rPr>
                <w:rFonts w:ascii="Calibri" w:hAnsi="Calibri" w:cs="Calibri"/>
                <w:b/>
                <w:bCs/>
                <w:color w:val="000000"/>
                <w:sz w:val="20"/>
                <w:szCs w:val="20"/>
              </w:rPr>
            </w:pPr>
          </w:p>
        </w:tc>
        <w:tc>
          <w:tcPr>
            <w:tcW w:w="1020" w:type="dxa"/>
          </w:tcPr>
          <w:p w14:paraId="11EDBB3D" w14:textId="77777777" w:rsidR="00A60D4B" w:rsidRDefault="00A60D4B" w:rsidP="00A60D4B">
            <w:pPr>
              <w:jc w:val="right"/>
              <w:rPr>
                <w:rFonts w:ascii="Calibri" w:hAnsi="Calibri" w:cs="Calibri"/>
                <w:b/>
                <w:bCs/>
                <w:color w:val="000000"/>
                <w:sz w:val="20"/>
                <w:szCs w:val="20"/>
              </w:rPr>
            </w:pPr>
          </w:p>
        </w:tc>
        <w:tc>
          <w:tcPr>
            <w:tcW w:w="1020" w:type="dxa"/>
          </w:tcPr>
          <w:p w14:paraId="6834C92E" w14:textId="77777777" w:rsidR="00A60D4B" w:rsidRDefault="00A60D4B" w:rsidP="00A60D4B">
            <w:pPr>
              <w:jc w:val="right"/>
              <w:rPr>
                <w:rFonts w:ascii="Calibri" w:hAnsi="Calibri" w:cs="Calibri"/>
                <w:b/>
                <w:bCs/>
                <w:color w:val="000000"/>
                <w:sz w:val="20"/>
                <w:szCs w:val="20"/>
              </w:rPr>
            </w:pPr>
          </w:p>
        </w:tc>
      </w:tr>
      <w:tr w:rsidR="00A60D4B" w14:paraId="7746426D" w14:textId="77777777" w:rsidTr="00A60D4B">
        <w:tc>
          <w:tcPr>
            <w:tcW w:w="2891" w:type="dxa"/>
          </w:tcPr>
          <w:p w14:paraId="25E1EA24" w14:textId="77777777" w:rsidR="00A60D4B" w:rsidRDefault="00A60D4B" w:rsidP="00A60D4B">
            <w:r>
              <w:rPr>
                <w:rFonts w:ascii="Calibri" w:hAnsi="Calibri" w:cs="Calibri"/>
                <w:b/>
                <w:bCs/>
                <w:color w:val="000000"/>
                <w:sz w:val="20"/>
                <w:szCs w:val="20"/>
              </w:rPr>
              <w:t>Total Infrastructure Investment Program Including Provisions</w:t>
            </w:r>
          </w:p>
        </w:tc>
        <w:tc>
          <w:tcPr>
            <w:tcW w:w="1020" w:type="dxa"/>
          </w:tcPr>
          <w:p w14:paraId="66E01BAD" w14:textId="77777777" w:rsidR="00A60D4B" w:rsidRPr="001C0611" w:rsidRDefault="00A60D4B" w:rsidP="00A60D4B">
            <w:pPr>
              <w:jc w:val="right"/>
              <w:rPr>
                <w:b/>
                <w:bCs/>
                <w:color w:val="000000" w:themeColor="text1"/>
              </w:rPr>
            </w:pPr>
            <w:r>
              <w:rPr>
                <w:rFonts w:ascii="Calibri" w:hAnsi="Calibri" w:cs="Calibri"/>
                <w:b/>
                <w:bCs/>
                <w:color w:val="000000"/>
                <w:sz w:val="20"/>
                <w:szCs w:val="20"/>
              </w:rPr>
              <w:t>1,028,599</w:t>
            </w:r>
          </w:p>
        </w:tc>
        <w:tc>
          <w:tcPr>
            <w:tcW w:w="1020" w:type="dxa"/>
          </w:tcPr>
          <w:p w14:paraId="3E92A951" w14:textId="77777777" w:rsidR="00A60D4B" w:rsidRPr="001C0611" w:rsidRDefault="00A60D4B" w:rsidP="00A60D4B">
            <w:pPr>
              <w:jc w:val="right"/>
              <w:rPr>
                <w:b/>
                <w:bCs/>
                <w:color w:val="000000" w:themeColor="text1"/>
              </w:rPr>
            </w:pPr>
            <w:r>
              <w:rPr>
                <w:rFonts w:ascii="Calibri" w:hAnsi="Calibri" w:cs="Calibri"/>
                <w:b/>
                <w:bCs/>
                <w:color w:val="000000"/>
                <w:sz w:val="20"/>
                <w:szCs w:val="20"/>
              </w:rPr>
              <w:t>1,558,039</w:t>
            </w:r>
          </w:p>
        </w:tc>
        <w:tc>
          <w:tcPr>
            <w:tcW w:w="1020" w:type="dxa"/>
          </w:tcPr>
          <w:p w14:paraId="1B7670BB" w14:textId="77777777" w:rsidR="00A60D4B" w:rsidRPr="001C0611" w:rsidRDefault="00A60D4B" w:rsidP="00A60D4B">
            <w:pPr>
              <w:jc w:val="right"/>
              <w:rPr>
                <w:b/>
                <w:bCs/>
                <w:color w:val="000000" w:themeColor="text1"/>
              </w:rPr>
            </w:pPr>
            <w:r>
              <w:rPr>
                <w:rFonts w:ascii="Calibri" w:hAnsi="Calibri" w:cs="Calibri"/>
                <w:b/>
                <w:bCs/>
                <w:color w:val="000000"/>
                <w:sz w:val="20"/>
                <w:szCs w:val="20"/>
              </w:rPr>
              <w:t>1,186,259</w:t>
            </w:r>
          </w:p>
        </w:tc>
        <w:tc>
          <w:tcPr>
            <w:tcW w:w="1020" w:type="dxa"/>
          </w:tcPr>
          <w:p w14:paraId="29CF636B" w14:textId="77777777" w:rsidR="00A60D4B" w:rsidRPr="001C0611" w:rsidRDefault="00A60D4B" w:rsidP="00A60D4B">
            <w:pPr>
              <w:jc w:val="right"/>
              <w:rPr>
                <w:b/>
                <w:bCs/>
                <w:color w:val="000000" w:themeColor="text1"/>
              </w:rPr>
            </w:pPr>
            <w:r>
              <w:rPr>
                <w:rFonts w:ascii="Calibri" w:hAnsi="Calibri" w:cs="Calibri"/>
                <w:b/>
                <w:bCs/>
                <w:color w:val="000000"/>
                <w:sz w:val="20"/>
                <w:szCs w:val="20"/>
              </w:rPr>
              <w:t>709,887</w:t>
            </w:r>
          </w:p>
        </w:tc>
        <w:tc>
          <w:tcPr>
            <w:tcW w:w="1020" w:type="dxa"/>
          </w:tcPr>
          <w:p w14:paraId="1425BD2A" w14:textId="77777777" w:rsidR="00A60D4B" w:rsidRPr="001C0611" w:rsidRDefault="00A60D4B" w:rsidP="00A60D4B">
            <w:pPr>
              <w:jc w:val="right"/>
              <w:rPr>
                <w:b/>
                <w:bCs/>
                <w:color w:val="000000" w:themeColor="text1"/>
              </w:rPr>
            </w:pPr>
            <w:r>
              <w:rPr>
                <w:rFonts w:ascii="Calibri" w:hAnsi="Calibri" w:cs="Calibri"/>
                <w:b/>
                <w:bCs/>
                <w:color w:val="000000"/>
                <w:sz w:val="20"/>
                <w:szCs w:val="20"/>
              </w:rPr>
              <w:t>483,685</w:t>
            </w:r>
          </w:p>
        </w:tc>
        <w:tc>
          <w:tcPr>
            <w:tcW w:w="1020" w:type="dxa"/>
          </w:tcPr>
          <w:p w14:paraId="06D6BE11" w14:textId="77777777" w:rsidR="00A60D4B" w:rsidRPr="001C0611" w:rsidRDefault="00A60D4B" w:rsidP="00A60D4B">
            <w:pPr>
              <w:jc w:val="right"/>
              <w:rPr>
                <w:b/>
                <w:bCs/>
                <w:color w:val="000000" w:themeColor="text1"/>
              </w:rPr>
            </w:pPr>
            <w:r>
              <w:rPr>
                <w:rFonts w:ascii="Calibri" w:hAnsi="Calibri" w:cs="Calibri"/>
                <w:b/>
                <w:bCs/>
                <w:color w:val="000000"/>
                <w:sz w:val="20"/>
                <w:szCs w:val="20"/>
              </w:rPr>
              <w:t>4,966,469</w:t>
            </w:r>
          </w:p>
        </w:tc>
      </w:tr>
      <w:tr w:rsidR="00A60D4B" w14:paraId="0F8D812C" w14:textId="77777777" w:rsidTr="00A60D4B">
        <w:tc>
          <w:tcPr>
            <w:tcW w:w="2891" w:type="dxa"/>
          </w:tcPr>
          <w:p w14:paraId="5D6F4EE6" w14:textId="77777777" w:rsidR="00A60D4B" w:rsidRDefault="00A60D4B" w:rsidP="00A60D4B">
            <w:pPr>
              <w:rPr>
                <w:rFonts w:ascii="Calibri" w:hAnsi="Calibri" w:cs="Calibri"/>
                <w:b/>
                <w:bCs/>
                <w:color w:val="000000"/>
                <w:sz w:val="20"/>
                <w:szCs w:val="20"/>
              </w:rPr>
            </w:pPr>
          </w:p>
        </w:tc>
        <w:tc>
          <w:tcPr>
            <w:tcW w:w="1020" w:type="dxa"/>
          </w:tcPr>
          <w:p w14:paraId="1232BEC6" w14:textId="77777777" w:rsidR="00A60D4B" w:rsidRDefault="00A60D4B" w:rsidP="00A60D4B">
            <w:pPr>
              <w:jc w:val="right"/>
              <w:rPr>
                <w:rFonts w:ascii="Calibri" w:hAnsi="Calibri" w:cs="Calibri"/>
                <w:b/>
                <w:bCs/>
                <w:color w:val="000000"/>
                <w:sz w:val="20"/>
                <w:szCs w:val="20"/>
              </w:rPr>
            </w:pPr>
          </w:p>
        </w:tc>
        <w:tc>
          <w:tcPr>
            <w:tcW w:w="1020" w:type="dxa"/>
          </w:tcPr>
          <w:p w14:paraId="3FCD7704" w14:textId="77777777" w:rsidR="00A60D4B" w:rsidRDefault="00A60D4B" w:rsidP="00A60D4B">
            <w:pPr>
              <w:jc w:val="right"/>
              <w:rPr>
                <w:rFonts w:ascii="Calibri" w:hAnsi="Calibri" w:cs="Calibri"/>
                <w:b/>
                <w:bCs/>
                <w:color w:val="000000"/>
                <w:sz w:val="20"/>
                <w:szCs w:val="20"/>
              </w:rPr>
            </w:pPr>
          </w:p>
        </w:tc>
        <w:tc>
          <w:tcPr>
            <w:tcW w:w="1020" w:type="dxa"/>
          </w:tcPr>
          <w:p w14:paraId="485B9A10" w14:textId="77777777" w:rsidR="00A60D4B" w:rsidRDefault="00A60D4B" w:rsidP="00A60D4B">
            <w:pPr>
              <w:jc w:val="right"/>
              <w:rPr>
                <w:rFonts w:ascii="Calibri" w:hAnsi="Calibri" w:cs="Calibri"/>
                <w:b/>
                <w:bCs/>
                <w:color w:val="000000"/>
                <w:sz w:val="20"/>
                <w:szCs w:val="20"/>
              </w:rPr>
            </w:pPr>
          </w:p>
        </w:tc>
        <w:tc>
          <w:tcPr>
            <w:tcW w:w="1020" w:type="dxa"/>
          </w:tcPr>
          <w:p w14:paraId="7D3227D5" w14:textId="77777777" w:rsidR="00A60D4B" w:rsidRDefault="00A60D4B" w:rsidP="00A60D4B">
            <w:pPr>
              <w:jc w:val="right"/>
              <w:rPr>
                <w:rFonts w:ascii="Calibri" w:hAnsi="Calibri" w:cs="Calibri"/>
                <w:b/>
                <w:bCs/>
                <w:color w:val="000000"/>
                <w:sz w:val="20"/>
                <w:szCs w:val="20"/>
              </w:rPr>
            </w:pPr>
          </w:p>
        </w:tc>
        <w:tc>
          <w:tcPr>
            <w:tcW w:w="1020" w:type="dxa"/>
          </w:tcPr>
          <w:p w14:paraId="082F1649" w14:textId="77777777" w:rsidR="00A60D4B" w:rsidRDefault="00A60D4B" w:rsidP="00A60D4B">
            <w:pPr>
              <w:jc w:val="right"/>
              <w:rPr>
                <w:rFonts w:ascii="Calibri" w:hAnsi="Calibri" w:cs="Calibri"/>
                <w:b/>
                <w:bCs/>
                <w:color w:val="000000"/>
                <w:sz w:val="20"/>
                <w:szCs w:val="20"/>
              </w:rPr>
            </w:pPr>
          </w:p>
        </w:tc>
        <w:tc>
          <w:tcPr>
            <w:tcW w:w="1020" w:type="dxa"/>
          </w:tcPr>
          <w:p w14:paraId="1176A465" w14:textId="77777777" w:rsidR="00A60D4B" w:rsidRDefault="00A60D4B" w:rsidP="00A60D4B">
            <w:pPr>
              <w:jc w:val="right"/>
              <w:rPr>
                <w:rFonts w:ascii="Calibri" w:hAnsi="Calibri" w:cs="Calibri"/>
                <w:b/>
                <w:bCs/>
                <w:color w:val="000000"/>
                <w:sz w:val="20"/>
                <w:szCs w:val="20"/>
              </w:rPr>
            </w:pPr>
          </w:p>
        </w:tc>
      </w:tr>
      <w:tr w:rsidR="00A60D4B" w:rsidRPr="00332DCD" w14:paraId="5CE96566" w14:textId="77777777" w:rsidTr="00A60D4B">
        <w:tc>
          <w:tcPr>
            <w:tcW w:w="2891" w:type="dxa"/>
          </w:tcPr>
          <w:p w14:paraId="42A13D97" w14:textId="77777777" w:rsidR="00A60D4B" w:rsidRPr="00063012" w:rsidRDefault="00A60D4B" w:rsidP="00A60D4B">
            <w:pPr>
              <w:rPr>
                <w:rFonts w:ascii="Calibri" w:hAnsi="Calibri" w:cs="Calibri"/>
                <w:b/>
                <w:sz w:val="20"/>
                <w:szCs w:val="20"/>
              </w:rPr>
            </w:pPr>
            <w:r w:rsidRPr="00063012">
              <w:rPr>
                <w:rFonts w:ascii="Calibri" w:hAnsi="Calibri" w:cs="Calibri"/>
                <w:b/>
                <w:sz w:val="20"/>
                <w:szCs w:val="20"/>
              </w:rPr>
              <w:t xml:space="preserve">Capital Delivery Provision </w:t>
            </w:r>
          </w:p>
        </w:tc>
        <w:tc>
          <w:tcPr>
            <w:tcW w:w="1020" w:type="dxa"/>
          </w:tcPr>
          <w:p w14:paraId="3EC4A412" w14:textId="77777777" w:rsidR="00A60D4B" w:rsidRPr="00063012" w:rsidRDefault="00A60D4B" w:rsidP="00A60D4B">
            <w:pPr>
              <w:jc w:val="right"/>
              <w:rPr>
                <w:rFonts w:ascii="Calibri" w:hAnsi="Calibri" w:cs="Calibri"/>
                <w:b/>
                <w:sz w:val="20"/>
                <w:szCs w:val="20"/>
              </w:rPr>
            </w:pPr>
            <w:r w:rsidRPr="00063012">
              <w:rPr>
                <w:rFonts w:ascii="Calibri" w:hAnsi="Calibri" w:cs="Calibri"/>
                <w:b/>
                <w:sz w:val="20"/>
                <w:szCs w:val="20"/>
              </w:rPr>
              <w:t>-60,000</w:t>
            </w:r>
          </w:p>
        </w:tc>
        <w:tc>
          <w:tcPr>
            <w:tcW w:w="1020" w:type="dxa"/>
          </w:tcPr>
          <w:p w14:paraId="18D714B1" w14:textId="77777777" w:rsidR="00A60D4B" w:rsidRPr="00063012" w:rsidRDefault="00A60D4B" w:rsidP="00A60D4B">
            <w:pPr>
              <w:jc w:val="right"/>
              <w:rPr>
                <w:rFonts w:ascii="Calibri" w:hAnsi="Calibri" w:cs="Calibri"/>
                <w:b/>
                <w:sz w:val="20"/>
                <w:szCs w:val="20"/>
              </w:rPr>
            </w:pPr>
            <w:r w:rsidRPr="00063012">
              <w:rPr>
                <w:rFonts w:ascii="Calibri" w:hAnsi="Calibri" w:cs="Calibri"/>
                <w:b/>
                <w:sz w:val="20"/>
                <w:szCs w:val="20"/>
              </w:rPr>
              <w:t>-</w:t>
            </w:r>
            <w:r w:rsidRPr="00063012">
              <w:rPr>
                <w:rFonts w:ascii="Calibri" w:hAnsi="Calibri" w:cs="Calibri"/>
                <w:b/>
                <w:bCs/>
                <w:sz w:val="20"/>
                <w:szCs w:val="20"/>
              </w:rPr>
              <w:t>490</w:t>
            </w:r>
            <w:r w:rsidRPr="00063012">
              <w:rPr>
                <w:rFonts w:ascii="Calibri" w:hAnsi="Calibri" w:cs="Calibri"/>
                <w:b/>
                <w:sz w:val="20"/>
                <w:szCs w:val="20"/>
              </w:rPr>
              <w:t>,000</w:t>
            </w:r>
          </w:p>
        </w:tc>
        <w:tc>
          <w:tcPr>
            <w:tcW w:w="1020" w:type="dxa"/>
          </w:tcPr>
          <w:p w14:paraId="0E418F17" w14:textId="77777777" w:rsidR="00A60D4B" w:rsidRPr="00063012" w:rsidRDefault="00A60D4B" w:rsidP="00A60D4B">
            <w:pPr>
              <w:jc w:val="right"/>
              <w:rPr>
                <w:rFonts w:ascii="Calibri" w:hAnsi="Calibri" w:cs="Calibri"/>
                <w:b/>
                <w:sz w:val="20"/>
                <w:szCs w:val="20"/>
              </w:rPr>
            </w:pPr>
            <w:r w:rsidRPr="00063012">
              <w:rPr>
                <w:rFonts w:ascii="Calibri" w:hAnsi="Calibri" w:cs="Calibri"/>
                <w:b/>
                <w:bCs/>
                <w:sz w:val="20"/>
                <w:szCs w:val="20"/>
              </w:rPr>
              <w:t>-50,000</w:t>
            </w:r>
          </w:p>
        </w:tc>
        <w:tc>
          <w:tcPr>
            <w:tcW w:w="1020" w:type="dxa"/>
          </w:tcPr>
          <w:p w14:paraId="041B0F18" w14:textId="77777777" w:rsidR="00A60D4B" w:rsidRPr="00063012" w:rsidRDefault="00A60D4B" w:rsidP="00A60D4B">
            <w:pPr>
              <w:jc w:val="right"/>
              <w:rPr>
                <w:rFonts w:ascii="Calibri" w:hAnsi="Calibri" w:cs="Calibri"/>
                <w:b/>
                <w:sz w:val="20"/>
                <w:szCs w:val="20"/>
              </w:rPr>
            </w:pPr>
            <w:r w:rsidRPr="00063012">
              <w:rPr>
                <w:rFonts w:ascii="Calibri" w:hAnsi="Calibri" w:cs="Calibri"/>
                <w:b/>
                <w:sz w:val="20"/>
                <w:szCs w:val="20"/>
              </w:rPr>
              <w:t>400,000</w:t>
            </w:r>
          </w:p>
        </w:tc>
        <w:tc>
          <w:tcPr>
            <w:tcW w:w="1020" w:type="dxa"/>
          </w:tcPr>
          <w:p w14:paraId="1D1EC5DE" w14:textId="77777777" w:rsidR="00A60D4B" w:rsidRPr="00063012" w:rsidRDefault="00A60D4B" w:rsidP="00A60D4B">
            <w:pPr>
              <w:jc w:val="right"/>
              <w:rPr>
                <w:rFonts w:ascii="Calibri" w:hAnsi="Calibri" w:cs="Calibri"/>
                <w:b/>
                <w:sz w:val="20"/>
                <w:szCs w:val="20"/>
              </w:rPr>
            </w:pPr>
            <w:r w:rsidRPr="00063012">
              <w:rPr>
                <w:rFonts w:ascii="Calibri" w:hAnsi="Calibri" w:cs="Calibri"/>
                <w:b/>
                <w:bCs/>
                <w:sz w:val="20"/>
                <w:szCs w:val="20"/>
              </w:rPr>
              <w:t>200</w:t>
            </w:r>
            <w:r w:rsidRPr="00063012">
              <w:rPr>
                <w:rFonts w:ascii="Calibri" w:hAnsi="Calibri" w:cs="Calibri"/>
                <w:b/>
                <w:sz w:val="20"/>
                <w:szCs w:val="20"/>
              </w:rPr>
              <w:t>,000</w:t>
            </w:r>
          </w:p>
        </w:tc>
        <w:tc>
          <w:tcPr>
            <w:tcW w:w="1020" w:type="dxa"/>
          </w:tcPr>
          <w:p w14:paraId="40998754" w14:textId="77777777" w:rsidR="00A60D4B" w:rsidRPr="00063012" w:rsidRDefault="00A60D4B" w:rsidP="00A60D4B">
            <w:pPr>
              <w:jc w:val="right"/>
              <w:rPr>
                <w:rFonts w:ascii="Calibri" w:hAnsi="Calibri" w:cs="Calibri"/>
                <w:b/>
                <w:sz w:val="20"/>
                <w:szCs w:val="20"/>
              </w:rPr>
            </w:pPr>
            <w:r w:rsidRPr="00063012">
              <w:rPr>
                <w:rFonts w:ascii="Calibri" w:hAnsi="Calibri" w:cs="Calibri"/>
                <w:b/>
                <w:sz w:val="20"/>
                <w:szCs w:val="20"/>
              </w:rPr>
              <w:t>0</w:t>
            </w:r>
          </w:p>
        </w:tc>
      </w:tr>
      <w:tr w:rsidR="00A60D4B" w14:paraId="34F68900" w14:textId="77777777" w:rsidTr="00A60D4B">
        <w:tc>
          <w:tcPr>
            <w:tcW w:w="2891" w:type="dxa"/>
          </w:tcPr>
          <w:p w14:paraId="00E3E9A1" w14:textId="77777777" w:rsidR="00A60D4B" w:rsidRDefault="00A60D4B" w:rsidP="00A60D4B">
            <w:pPr>
              <w:rPr>
                <w:rFonts w:ascii="Calibri" w:hAnsi="Calibri" w:cs="Calibri"/>
                <w:b/>
                <w:bCs/>
                <w:color w:val="000000"/>
                <w:sz w:val="20"/>
                <w:szCs w:val="20"/>
              </w:rPr>
            </w:pPr>
          </w:p>
        </w:tc>
        <w:tc>
          <w:tcPr>
            <w:tcW w:w="1020" w:type="dxa"/>
          </w:tcPr>
          <w:p w14:paraId="4286645C" w14:textId="77777777" w:rsidR="00A60D4B" w:rsidRDefault="00A60D4B" w:rsidP="00A60D4B">
            <w:pPr>
              <w:jc w:val="right"/>
              <w:rPr>
                <w:rFonts w:ascii="Calibri" w:hAnsi="Calibri" w:cs="Calibri"/>
                <w:b/>
                <w:bCs/>
                <w:color w:val="000000"/>
                <w:sz w:val="20"/>
                <w:szCs w:val="20"/>
              </w:rPr>
            </w:pPr>
          </w:p>
        </w:tc>
        <w:tc>
          <w:tcPr>
            <w:tcW w:w="1020" w:type="dxa"/>
          </w:tcPr>
          <w:p w14:paraId="38C4F0F8" w14:textId="77777777" w:rsidR="00A60D4B" w:rsidRDefault="00A60D4B" w:rsidP="00A60D4B">
            <w:pPr>
              <w:jc w:val="right"/>
              <w:rPr>
                <w:rFonts w:ascii="Calibri" w:hAnsi="Calibri" w:cs="Calibri"/>
                <w:b/>
                <w:bCs/>
                <w:color w:val="000000"/>
                <w:sz w:val="20"/>
                <w:szCs w:val="20"/>
              </w:rPr>
            </w:pPr>
          </w:p>
        </w:tc>
        <w:tc>
          <w:tcPr>
            <w:tcW w:w="1020" w:type="dxa"/>
          </w:tcPr>
          <w:p w14:paraId="765D2D56" w14:textId="77777777" w:rsidR="00A60D4B" w:rsidRDefault="00A60D4B" w:rsidP="00A60D4B">
            <w:pPr>
              <w:jc w:val="right"/>
              <w:rPr>
                <w:rFonts w:ascii="Calibri" w:hAnsi="Calibri" w:cs="Calibri"/>
                <w:b/>
                <w:bCs/>
                <w:color w:val="000000"/>
                <w:sz w:val="20"/>
                <w:szCs w:val="20"/>
              </w:rPr>
            </w:pPr>
          </w:p>
        </w:tc>
        <w:tc>
          <w:tcPr>
            <w:tcW w:w="1020" w:type="dxa"/>
          </w:tcPr>
          <w:p w14:paraId="6FA134E0" w14:textId="77777777" w:rsidR="00A60D4B" w:rsidRDefault="00A60D4B" w:rsidP="00A60D4B">
            <w:pPr>
              <w:jc w:val="right"/>
              <w:rPr>
                <w:rFonts w:ascii="Calibri" w:hAnsi="Calibri" w:cs="Calibri"/>
                <w:b/>
                <w:bCs/>
                <w:color w:val="000000"/>
                <w:sz w:val="20"/>
                <w:szCs w:val="20"/>
              </w:rPr>
            </w:pPr>
          </w:p>
        </w:tc>
        <w:tc>
          <w:tcPr>
            <w:tcW w:w="1020" w:type="dxa"/>
          </w:tcPr>
          <w:p w14:paraId="1676604D" w14:textId="77777777" w:rsidR="00A60D4B" w:rsidRDefault="00A60D4B" w:rsidP="00A60D4B">
            <w:pPr>
              <w:jc w:val="right"/>
              <w:rPr>
                <w:rFonts w:ascii="Calibri" w:hAnsi="Calibri" w:cs="Calibri"/>
                <w:b/>
                <w:bCs/>
                <w:color w:val="000000"/>
                <w:sz w:val="20"/>
                <w:szCs w:val="20"/>
              </w:rPr>
            </w:pPr>
          </w:p>
        </w:tc>
        <w:tc>
          <w:tcPr>
            <w:tcW w:w="1020" w:type="dxa"/>
          </w:tcPr>
          <w:p w14:paraId="5659253D" w14:textId="77777777" w:rsidR="00A60D4B" w:rsidRDefault="00A60D4B" w:rsidP="00A60D4B">
            <w:pPr>
              <w:jc w:val="right"/>
              <w:rPr>
                <w:rFonts w:ascii="Calibri" w:hAnsi="Calibri" w:cs="Calibri"/>
                <w:b/>
                <w:bCs/>
                <w:color w:val="000000"/>
                <w:sz w:val="20"/>
                <w:szCs w:val="20"/>
              </w:rPr>
            </w:pPr>
          </w:p>
        </w:tc>
      </w:tr>
      <w:tr w:rsidR="00A60D4B" w:rsidRPr="001B2A09" w14:paraId="479A0F45" w14:textId="77777777" w:rsidTr="00A60D4B">
        <w:tc>
          <w:tcPr>
            <w:tcW w:w="2891" w:type="dxa"/>
          </w:tcPr>
          <w:p w14:paraId="70F297CB" w14:textId="77777777" w:rsidR="00A60D4B" w:rsidRDefault="00A60D4B" w:rsidP="00A60D4B">
            <w:pPr>
              <w:rPr>
                <w:rFonts w:ascii="Calibri" w:hAnsi="Calibri" w:cs="Calibri"/>
                <w:b/>
                <w:bCs/>
                <w:color w:val="000000"/>
                <w:sz w:val="20"/>
                <w:szCs w:val="20"/>
              </w:rPr>
            </w:pPr>
            <w:r>
              <w:rPr>
                <w:rFonts w:ascii="Calibri" w:hAnsi="Calibri" w:cs="Calibri"/>
                <w:b/>
                <w:bCs/>
                <w:color w:val="000000"/>
                <w:sz w:val="20"/>
                <w:szCs w:val="20"/>
              </w:rPr>
              <w:t xml:space="preserve">Total Infrastructure Investment Program Forecast (GGS) </w:t>
            </w:r>
          </w:p>
        </w:tc>
        <w:tc>
          <w:tcPr>
            <w:tcW w:w="1020" w:type="dxa"/>
          </w:tcPr>
          <w:p w14:paraId="25B63BF0" w14:textId="77777777" w:rsidR="00A60D4B"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968,599</w:t>
            </w:r>
          </w:p>
        </w:tc>
        <w:tc>
          <w:tcPr>
            <w:tcW w:w="1020" w:type="dxa"/>
          </w:tcPr>
          <w:p w14:paraId="5B261CF5" w14:textId="77777777" w:rsidR="00A60D4B"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1,068,039</w:t>
            </w:r>
          </w:p>
        </w:tc>
        <w:tc>
          <w:tcPr>
            <w:tcW w:w="1020" w:type="dxa"/>
          </w:tcPr>
          <w:p w14:paraId="6031DABD" w14:textId="77777777" w:rsidR="00A60D4B"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1,136,259</w:t>
            </w:r>
          </w:p>
        </w:tc>
        <w:tc>
          <w:tcPr>
            <w:tcW w:w="1020" w:type="dxa"/>
          </w:tcPr>
          <w:p w14:paraId="73A16889" w14:textId="77777777" w:rsidR="00A60D4B"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1,109,887</w:t>
            </w:r>
          </w:p>
        </w:tc>
        <w:tc>
          <w:tcPr>
            <w:tcW w:w="1020" w:type="dxa"/>
          </w:tcPr>
          <w:p w14:paraId="123454D8" w14:textId="77777777" w:rsidR="00A60D4B"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683,685</w:t>
            </w:r>
          </w:p>
        </w:tc>
        <w:tc>
          <w:tcPr>
            <w:tcW w:w="1020" w:type="dxa"/>
          </w:tcPr>
          <w:p w14:paraId="7CA7ACB8" w14:textId="77777777" w:rsidR="00A60D4B"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4,966,469</w:t>
            </w:r>
          </w:p>
        </w:tc>
      </w:tr>
      <w:tr w:rsidR="00A60D4B" w14:paraId="18678C6F" w14:textId="77777777" w:rsidTr="00A60D4B">
        <w:tc>
          <w:tcPr>
            <w:tcW w:w="2891" w:type="dxa"/>
          </w:tcPr>
          <w:p w14:paraId="7C48B0CA" w14:textId="77777777" w:rsidR="00A60D4B" w:rsidRDefault="00A60D4B" w:rsidP="00A60D4B">
            <w:pPr>
              <w:rPr>
                <w:rFonts w:ascii="Calibri" w:hAnsi="Calibri" w:cs="Calibri"/>
                <w:b/>
                <w:bCs/>
                <w:color w:val="000000"/>
                <w:sz w:val="20"/>
                <w:szCs w:val="20"/>
              </w:rPr>
            </w:pPr>
          </w:p>
        </w:tc>
        <w:tc>
          <w:tcPr>
            <w:tcW w:w="1020" w:type="dxa"/>
          </w:tcPr>
          <w:p w14:paraId="0BB336B6" w14:textId="77777777" w:rsidR="00A60D4B" w:rsidRDefault="00A60D4B" w:rsidP="00A60D4B">
            <w:pPr>
              <w:jc w:val="right"/>
              <w:rPr>
                <w:rFonts w:ascii="Calibri" w:hAnsi="Calibri" w:cs="Calibri"/>
                <w:b/>
                <w:bCs/>
                <w:color w:val="000000"/>
                <w:sz w:val="20"/>
                <w:szCs w:val="20"/>
              </w:rPr>
            </w:pPr>
          </w:p>
        </w:tc>
        <w:tc>
          <w:tcPr>
            <w:tcW w:w="1020" w:type="dxa"/>
          </w:tcPr>
          <w:p w14:paraId="7546AB5F" w14:textId="77777777" w:rsidR="00A60D4B" w:rsidRDefault="00A60D4B" w:rsidP="00A60D4B">
            <w:pPr>
              <w:jc w:val="right"/>
              <w:rPr>
                <w:rFonts w:ascii="Calibri" w:hAnsi="Calibri" w:cs="Calibri"/>
                <w:b/>
                <w:bCs/>
                <w:color w:val="000000"/>
                <w:sz w:val="20"/>
                <w:szCs w:val="20"/>
              </w:rPr>
            </w:pPr>
          </w:p>
        </w:tc>
        <w:tc>
          <w:tcPr>
            <w:tcW w:w="1020" w:type="dxa"/>
          </w:tcPr>
          <w:p w14:paraId="332951C0" w14:textId="77777777" w:rsidR="00A60D4B" w:rsidRDefault="00A60D4B" w:rsidP="00A60D4B">
            <w:pPr>
              <w:jc w:val="right"/>
              <w:rPr>
                <w:rFonts w:ascii="Calibri" w:hAnsi="Calibri" w:cs="Calibri"/>
                <w:b/>
                <w:bCs/>
                <w:color w:val="000000"/>
                <w:sz w:val="20"/>
                <w:szCs w:val="20"/>
              </w:rPr>
            </w:pPr>
          </w:p>
        </w:tc>
        <w:tc>
          <w:tcPr>
            <w:tcW w:w="1020" w:type="dxa"/>
          </w:tcPr>
          <w:p w14:paraId="5331FE80" w14:textId="77777777" w:rsidR="00A60D4B" w:rsidRDefault="00A60D4B" w:rsidP="00A60D4B">
            <w:pPr>
              <w:jc w:val="right"/>
              <w:rPr>
                <w:rFonts w:ascii="Calibri" w:hAnsi="Calibri" w:cs="Calibri"/>
                <w:b/>
                <w:bCs/>
                <w:color w:val="000000"/>
                <w:sz w:val="20"/>
                <w:szCs w:val="20"/>
              </w:rPr>
            </w:pPr>
          </w:p>
        </w:tc>
        <w:tc>
          <w:tcPr>
            <w:tcW w:w="1020" w:type="dxa"/>
          </w:tcPr>
          <w:p w14:paraId="3FFD66D7" w14:textId="77777777" w:rsidR="00A60D4B" w:rsidRDefault="00A60D4B" w:rsidP="00A60D4B">
            <w:pPr>
              <w:jc w:val="right"/>
              <w:rPr>
                <w:rFonts w:ascii="Calibri" w:hAnsi="Calibri" w:cs="Calibri"/>
                <w:b/>
                <w:bCs/>
                <w:color w:val="000000"/>
                <w:sz w:val="20"/>
                <w:szCs w:val="20"/>
              </w:rPr>
            </w:pPr>
          </w:p>
        </w:tc>
        <w:tc>
          <w:tcPr>
            <w:tcW w:w="1020" w:type="dxa"/>
          </w:tcPr>
          <w:p w14:paraId="775F26FC" w14:textId="77777777" w:rsidR="00A60D4B" w:rsidRDefault="00A60D4B" w:rsidP="00A60D4B">
            <w:pPr>
              <w:jc w:val="right"/>
              <w:rPr>
                <w:rFonts w:ascii="Calibri" w:hAnsi="Calibri" w:cs="Calibri"/>
                <w:b/>
                <w:bCs/>
                <w:color w:val="000000"/>
                <w:sz w:val="20"/>
                <w:szCs w:val="20"/>
              </w:rPr>
            </w:pPr>
          </w:p>
        </w:tc>
      </w:tr>
      <w:tr w:rsidR="00A60D4B" w14:paraId="426A1C6B" w14:textId="77777777" w:rsidTr="00A60D4B">
        <w:tc>
          <w:tcPr>
            <w:tcW w:w="2891" w:type="dxa"/>
          </w:tcPr>
          <w:p w14:paraId="57832D9A" w14:textId="77777777" w:rsidR="00A60D4B" w:rsidRDefault="00A60D4B" w:rsidP="00A60D4B">
            <w:pPr>
              <w:rPr>
                <w:rFonts w:ascii="Calibri" w:hAnsi="Calibri" w:cs="Calibri"/>
                <w:b/>
                <w:bCs/>
                <w:color w:val="000000"/>
                <w:sz w:val="20"/>
                <w:szCs w:val="20"/>
              </w:rPr>
            </w:pPr>
            <w:r>
              <w:rPr>
                <w:rFonts w:ascii="Calibri" w:hAnsi="Calibri" w:cs="Calibri"/>
                <w:b/>
                <w:bCs/>
                <w:color w:val="000000"/>
                <w:sz w:val="20"/>
                <w:szCs w:val="20"/>
              </w:rPr>
              <w:t>Public Trading Enterprises (PTE)</w:t>
            </w:r>
          </w:p>
        </w:tc>
        <w:tc>
          <w:tcPr>
            <w:tcW w:w="1020" w:type="dxa"/>
          </w:tcPr>
          <w:p w14:paraId="5E795E63" w14:textId="77777777" w:rsidR="00A60D4B" w:rsidRDefault="00A60D4B" w:rsidP="00A60D4B">
            <w:pPr>
              <w:jc w:val="right"/>
              <w:rPr>
                <w:rFonts w:ascii="Calibri" w:hAnsi="Calibri" w:cs="Calibri"/>
                <w:b/>
                <w:bCs/>
                <w:color w:val="000000"/>
                <w:sz w:val="20"/>
                <w:szCs w:val="20"/>
              </w:rPr>
            </w:pPr>
            <w:r w:rsidRPr="002E14B4">
              <w:rPr>
                <w:rFonts w:ascii="Calibri" w:hAnsi="Calibri" w:cs="Calibri"/>
                <w:b/>
                <w:bCs/>
                <w:color w:val="000000"/>
                <w:sz w:val="20"/>
                <w:szCs w:val="20"/>
              </w:rPr>
              <w:t>372,065</w:t>
            </w:r>
          </w:p>
        </w:tc>
        <w:tc>
          <w:tcPr>
            <w:tcW w:w="1020" w:type="dxa"/>
          </w:tcPr>
          <w:p w14:paraId="7126D5F3" w14:textId="77777777" w:rsidR="00A60D4B" w:rsidRDefault="00A60D4B" w:rsidP="00A60D4B">
            <w:pPr>
              <w:jc w:val="right"/>
              <w:rPr>
                <w:rFonts w:ascii="Calibri" w:hAnsi="Calibri" w:cs="Calibri"/>
                <w:b/>
                <w:bCs/>
                <w:color w:val="000000"/>
                <w:sz w:val="20"/>
                <w:szCs w:val="20"/>
              </w:rPr>
            </w:pPr>
            <w:r w:rsidRPr="002E14B4">
              <w:rPr>
                <w:rFonts w:ascii="Calibri" w:hAnsi="Calibri" w:cs="Calibri"/>
                <w:b/>
                <w:bCs/>
                <w:color w:val="000000"/>
                <w:sz w:val="20"/>
                <w:szCs w:val="20"/>
              </w:rPr>
              <w:t>381,413</w:t>
            </w:r>
          </w:p>
        </w:tc>
        <w:tc>
          <w:tcPr>
            <w:tcW w:w="1020" w:type="dxa"/>
          </w:tcPr>
          <w:p w14:paraId="79EAD13F" w14:textId="77777777" w:rsidR="00A60D4B" w:rsidRDefault="00A60D4B" w:rsidP="00A60D4B">
            <w:pPr>
              <w:jc w:val="right"/>
              <w:rPr>
                <w:rFonts w:ascii="Calibri" w:hAnsi="Calibri" w:cs="Calibri"/>
                <w:b/>
                <w:bCs/>
                <w:color w:val="000000"/>
                <w:sz w:val="20"/>
                <w:szCs w:val="20"/>
              </w:rPr>
            </w:pPr>
            <w:r w:rsidRPr="002E14B4">
              <w:rPr>
                <w:rFonts w:ascii="Calibri" w:hAnsi="Calibri" w:cs="Calibri"/>
                <w:b/>
                <w:bCs/>
                <w:color w:val="000000"/>
                <w:sz w:val="20"/>
                <w:szCs w:val="20"/>
              </w:rPr>
              <w:t>353,696</w:t>
            </w:r>
          </w:p>
        </w:tc>
        <w:tc>
          <w:tcPr>
            <w:tcW w:w="1020" w:type="dxa"/>
          </w:tcPr>
          <w:p w14:paraId="406A5566" w14:textId="77777777" w:rsidR="00A60D4B"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255,</w:t>
            </w:r>
            <w:r w:rsidRPr="002E14B4">
              <w:rPr>
                <w:rFonts w:ascii="Calibri" w:hAnsi="Calibri" w:cs="Calibri"/>
                <w:b/>
                <w:bCs/>
                <w:color w:val="000000"/>
                <w:sz w:val="20"/>
                <w:szCs w:val="20"/>
              </w:rPr>
              <w:t>126</w:t>
            </w:r>
          </w:p>
        </w:tc>
        <w:tc>
          <w:tcPr>
            <w:tcW w:w="1020" w:type="dxa"/>
          </w:tcPr>
          <w:p w14:paraId="4A5AF91B" w14:textId="77777777" w:rsidR="00A60D4B"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84,080</w:t>
            </w:r>
          </w:p>
        </w:tc>
        <w:tc>
          <w:tcPr>
            <w:tcW w:w="1020" w:type="dxa"/>
          </w:tcPr>
          <w:p w14:paraId="1F134C7D" w14:textId="77777777" w:rsidR="00A60D4B" w:rsidRDefault="00A60D4B" w:rsidP="00A60D4B">
            <w:pPr>
              <w:jc w:val="right"/>
              <w:rPr>
                <w:rFonts w:ascii="Calibri" w:hAnsi="Calibri" w:cs="Calibri"/>
                <w:b/>
                <w:bCs/>
                <w:color w:val="000000"/>
                <w:sz w:val="20"/>
                <w:szCs w:val="20"/>
              </w:rPr>
            </w:pPr>
            <w:r w:rsidRPr="002E14B4">
              <w:rPr>
                <w:rFonts w:ascii="Calibri" w:hAnsi="Calibri" w:cs="Calibri"/>
                <w:b/>
                <w:bCs/>
                <w:color w:val="000000"/>
                <w:sz w:val="20"/>
                <w:szCs w:val="20"/>
              </w:rPr>
              <w:t>1,446,380</w:t>
            </w:r>
          </w:p>
        </w:tc>
      </w:tr>
      <w:tr w:rsidR="00A60D4B" w14:paraId="7F2674C8" w14:textId="77777777" w:rsidTr="00A60D4B">
        <w:tc>
          <w:tcPr>
            <w:tcW w:w="2891" w:type="dxa"/>
          </w:tcPr>
          <w:p w14:paraId="7BD119DF" w14:textId="77777777" w:rsidR="00A60D4B" w:rsidRDefault="00A60D4B" w:rsidP="00A60D4B">
            <w:pPr>
              <w:rPr>
                <w:rFonts w:ascii="Calibri" w:hAnsi="Calibri" w:cs="Calibri"/>
                <w:b/>
                <w:bCs/>
                <w:color w:val="000000"/>
                <w:sz w:val="20"/>
                <w:szCs w:val="20"/>
              </w:rPr>
            </w:pPr>
          </w:p>
        </w:tc>
        <w:tc>
          <w:tcPr>
            <w:tcW w:w="1020" w:type="dxa"/>
          </w:tcPr>
          <w:p w14:paraId="1FDA7A86" w14:textId="77777777" w:rsidR="00A60D4B" w:rsidRDefault="00A60D4B" w:rsidP="00A60D4B">
            <w:pPr>
              <w:jc w:val="right"/>
              <w:rPr>
                <w:rFonts w:ascii="Calibri" w:hAnsi="Calibri" w:cs="Calibri"/>
                <w:b/>
                <w:bCs/>
                <w:color w:val="000000"/>
                <w:sz w:val="20"/>
                <w:szCs w:val="20"/>
              </w:rPr>
            </w:pPr>
          </w:p>
        </w:tc>
        <w:tc>
          <w:tcPr>
            <w:tcW w:w="1020" w:type="dxa"/>
          </w:tcPr>
          <w:p w14:paraId="1B9B198F" w14:textId="77777777" w:rsidR="00A60D4B" w:rsidRDefault="00A60D4B" w:rsidP="00A60D4B">
            <w:pPr>
              <w:jc w:val="right"/>
              <w:rPr>
                <w:rFonts w:ascii="Calibri" w:hAnsi="Calibri" w:cs="Calibri"/>
                <w:b/>
                <w:bCs/>
                <w:color w:val="000000"/>
                <w:sz w:val="20"/>
                <w:szCs w:val="20"/>
              </w:rPr>
            </w:pPr>
          </w:p>
        </w:tc>
        <w:tc>
          <w:tcPr>
            <w:tcW w:w="1020" w:type="dxa"/>
          </w:tcPr>
          <w:p w14:paraId="2830433D" w14:textId="77777777" w:rsidR="00A60D4B" w:rsidRDefault="00A60D4B" w:rsidP="00A60D4B">
            <w:pPr>
              <w:jc w:val="right"/>
              <w:rPr>
                <w:rFonts w:ascii="Calibri" w:hAnsi="Calibri" w:cs="Calibri"/>
                <w:b/>
                <w:bCs/>
                <w:color w:val="000000"/>
                <w:sz w:val="20"/>
                <w:szCs w:val="20"/>
              </w:rPr>
            </w:pPr>
          </w:p>
        </w:tc>
        <w:tc>
          <w:tcPr>
            <w:tcW w:w="1020" w:type="dxa"/>
          </w:tcPr>
          <w:p w14:paraId="5E904F27" w14:textId="77777777" w:rsidR="00A60D4B" w:rsidRDefault="00A60D4B" w:rsidP="00A60D4B">
            <w:pPr>
              <w:jc w:val="right"/>
              <w:rPr>
                <w:rFonts w:ascii="Calibri" w:hAnsi="Calibri" w:cs="Calibri"/>
                <w:b/>
                <w:bCs/>
                <w:color w:val="000000"/>
                <w:sz w:val="20"/>
                <w:szCs w:val="20"/>
              </w:rPr>
            </w:pPr>
          </w:p>
        </w:tc>
        <w:tc>
          <w:tcPr>
            <w:tcW w:w="1020" w:type="dxa"/>
          </w:tcPr>
          <w:p w14:paraId="61397CC2" w14:textId="77777777" w:rsidR="00A60D4B" w:rsidRDefault="00A60D4B" w:rsidP="00A60D4B">
            <w:pPr>
              <w:jc w:val="right"/>
              <w:rPr>
                <w:rFonts w:ascii="Calibri" w:hAnsi="Calibri" w:cs="Calibri"/>
                <w:b/>
                <w:bCs/>
                <w:color w:val="000000"/>
                <w:sz w:val="20"/>
                <w:szCs w:val="20"/>
              </w:rPr>
            </w:pPr>
          </w:p>
        </w:tc>
        <w:tc>
          <w:tcPr>
            <w:tcW w:w="1020" w:type="dxa"/>
          </w:tcPr>
          <w:p w14:paraId="75740666" w14:textId="77777777" w:rsidR="00A60D4B" w:rsidRDefault="00A60D4B" w:rsidP="00A60D4B">
            <w:pPr>
              <w:jc w:val="right"/>
              <w:rPr>
                <w:rFonts w:ascii="Calibri" w:hAnsi="Calibri" w:cs="Calibri"/>
                <w:b/>
                <w:bCs/>
                <w:color w:val="000000"/>
                <w:sz w:val="20"/>
                <w:szCs w:val="20"/>
              </w:rPr>
            </w:pPr>
          </w:p>
        </w:tc>
      </w:tr>
      <w:tr w:rsidR="00A60D4B" w14:paraId="622AD2C5" w14:textId="77777777" w:rsidTr="00A60D4B">
        <w:tc>
          <w:tcPr>
            <w:tcW w:w="2891" w:type="dxa"/>
            <w:tcBorders>
              <w:bottom w:val="single" w:sz="4" w:space="0" w:color="auto"/>
            </w:tcBorders>
          </w:tcPr>
          <w:p w14:paraId="015B1512" w14:textId="77777777" w:rsidR="00A60D4B" w:rsidRDefault="00A60D4B" w:rsidP="00A60D4B">
            <w:pPr>
              <w:rPr>
                <w:rFonts w:ascii="Calibri" w:hAnsi="Calibri" w:cs="Calibri"/>
                <w:b/>
                <w:bCs/>
                <w:color w:val="000000"/>
                <w:sz w:val="20"/>
                <w:szCs w:val="20"/>
              </w:rPr>
            </w:pPr>
            <w:r>
              <w:rPr>
                <w:rFonts w:ascii="Calibri" w:hAnsi="Calibri" w:cs="Calibri"/>
                <w:b/>
                <w:bCs/>
                <w:color w:val="000000"/>
                <w:sz w:val="20"/>
                <w:szCs w:val="20"/>
              </w:rPr>
              <w:t xml:space="preserve">TOTAL GGS and PTE Infrastructure Investment Forecast </w:t>
            </w:r>
          </w:p>
        </w:tc>
        <w:tc>
          <w:tcPr>
            <w:tcW w:w="1020" w:type="dxa"/>
            <w:tcBorders>
              <w:bottom w:val="single" w:sz="4" w:space="0" w:color="auto"/>
            </w:tcBorders>
          </w:tcPr>
          <w:p w14:paraId="1E44031F" w14:textId="77777777" w:rsidR="00A60D4B" w:rsidRPr="00B24B6C"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1,340,664</w:t>
            </w:r>
          </w:p>
        </w:tc>
        <w:tc>
          <w:tcPr>
            <w:tcW w:w="1020" w:type="dxa"/>
            <w:tcBorders>
              <w:bottom w:val="single" w:sz="4" w:space="0" w:color="auto"/>
            </w:tcBorders>
          </w:tcPr>
          <w:p w14:paraId="32387CDA" w14:textId="77777777" w:rsidR="00A60D4B" w:rsidRPr="00B24B6C"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1,449,452</w:t>
            </w:r>
          </w:p>
        </w:tc>
        <w:tc>
          <w:tcPr>
            <w:tcW w:w="1020" w:type="dxa"/>
            <w:tcBorders>
              <w:bottom w:val="single" w:sz="4" w:space="0" w:color="auto"/>
            </w:tcBorders>
          </w:tcPr>
          <w:p w14:paraId="3C1A8C34" w14:textId="77777777" w:rsidR="00A60D4B" w:rsidRPr="00B24B6C"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1,489,955</w:t>
            </w:r>
          </w:p>
        </w:tc>
        <w:tc>
          <w:tcPr>
            <w:tcW w:w="1020" w:type="dxa"/>
            <w:tcBorders>
              <w:bottom w:val="single" w:sz="4" w:space="0" w:color="auto"/>
            </w:tcBorders>
          </w:tcPr>
          <w:p w14:paraId="61817048" w14:textId="77777777" w:rsidR="00A60D4B" w:rsidRPr="00B24B6C"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1,365,013</w:t>
            </w:r>
          </w:p>
        </w:tc>
        <w:tc>
          <w:tcPr>
            <w:tcW w:w="1020" w:type="dxa"/>
            <w:tcBorders>
              <w:bottom w:val="single" w:sz="4" w:space="0" w:color="auto"/>
            </w:tcBorders>
          </w:tcPr>
          <w:p w14:paraId="3DBD63F5" w14:textId="77777777" w:rsidR="00A60D4B" w:rsidRPr="00B24B6C"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767,765</w:t>
            </w:r>
          </w:p>
        </w:tc>
        <w:tc>
          <w:tcPr>
            <w:tcW w:w="1020" w:type="dxa"/>
            <w:tcBorders>
              <w:bottom w:val="single" w:sz="4" w:space="0" w:color="auto"/>
            </w:tcBorders>
          </w:tcPr>
          <w:p w14:paraId="25B073C4" w14:textId="77777777" w:rsidR="00A60D4B" w:rsidRDefault="00A60D4B" w:rsidP="00A60D4B">
            <w:pPr>
              <w:jc w:val="right"/>
              <w:rPr>
                <w:rFonts w:ascii="Calibri" w:hAnsi="Calibri" w:cs="Calibri"/>
                <w:b/>
                <w:bCs/>
                <w:color w:val="000000"/>
                <w:sz w:val="20"/>
                <w:szCs w:val="20"/>
              </w:rPr>
            </w:pPr>
            <w:r>
              <w:rPr>
                <w:rFonts w:ascii="Calibri" w:hAnsi="Calibri" w:cs="Calibri"/>
                <w:b/>
                <w:bCs/>
                <w:color w:val="000000"/>
                <w:sz w:val="20"/>
                <w:szCs w:val="20"/>
              </w:rPr>
              <w:t>6,412,849</w:t>
            </w:r>
          </w:p>
          <w:p w14:paraId="7D55DDCC" w14:textId="77777777" w:rsidR="00A60D4B" w:rsidRPr="00B24B6C" w:rsidRDefault="00A60D4B" w:rsidP="00A60D4B">
            <w:pPr>
              <w:jc w:val="right"/>
              <w:rPr>
                <w:rFonts w:ascii="Calibri" w:hAnsi="Calibri" w:cs="Calibri"/>
                <w:b/>
                <w:bCs/>
                <w:color w:val="000000"/>
                <w:sz w:val="20"/>
                <w:szCs w:val="20"/>
              </w:rPr>
            </w:pPr>
          </w:p>
        </w:tc>
      </w:tr>
      <w:tr w:rsidR="00A60D4B" w14:paraId="348B89B5" w14:textId="77777777" w:rsidTr="00A60D4B">
        <w:tc>
          <w:tcPr>
            <w:tcW w:w="2891" w:type="dxa"/>
            <w:tcBorders>
              <w:top w:val="single" w:sz="4" w:space="0" w:color="auto"/>
              <w:bottom w:val="single" w:sz="4" w:space="0" w:color="auto"/>
            </w:tcBorders>
          </w:tcPr>
          <w:p w14:paraId="1FE4AC8E" w14:textId="77777777" w:rsidR="00A60D4B" w:rsidRDefault="00A60D4B" w:rsidP="00A60D4B">
            <w:r>
              <w:rPr>
                <w:rFonts w:ascii="Calibri" w:hAnsi="Calibri" w:cs="Calibri"/>
                <w:b/>
                <w:bCs/>
                <w:color w:val="000000"/>
                <w:sz w:val="20"/>
                <w:szCs w:val="20"/>
              </w:rPr>
              <w:t>Capital Works Reserve (GGS) and offsetting provision</w:t>
            </w:r>
          </w:p>
        </w:tc>
        <w:tc>
          <w:tcPr>
            <w:tcW w:w="1020" w:type="dxa"/>
            <w:tcBorders>
              <w:top w:val="single" w:sz="4" w:space="0" w:color="auto"/>
              <w:bottom w:val="single" w:sz="4" w:space="0" w:color="auto"/>
            </w:tcBorders>
          </w:tcPr>
          <w:p w14:paraId="22BC8706" w14:textId="77777777" w:rsidR="00A60D4B" w:rsidRDefault="00A60D4B" w:rsidP="00A60D4B">
            <w:pPr>
              <w:jc w:val="right"/>
            </w:pPr>
            <w:r>
              <w:rPr>
                <w:rFonts w:ascii="Calibri" w:hAnsi="Calibri" w:cs="Calibri"/>
                <w:b/>
                <w:bCs/>
                <w:color w:val="000000"/>
                <w:sz w:val="20"/>
                <w:szCs w:val="20"/>
              </w:rPr>
              <w:t>190,000</w:t>
            </w:r>
          </w:p>
        </w:tc>
        <w:tc>
          <w:tcPr>
            <w:tcW w:w="1020" w:type="dxa"/>
            <w:tcBorders>
              <w:top w:val="single" w:sz="4" w:space="0" w:color="auto"/>
              <w:bottom w:val="single" w:sz="4" w:space="0" w:color="auto"/>
            </w:tcBorders>
          </w:tcPr>
          <w:p w14:paraId="3594B6F0" w14:textId="77777777" w:rsidR="00A60D4B" w:rsidRDefault="00A60D4B" w:rsidP="00A60D4B">
            <w:pPr>
              <w:jc w:val="right"/>
            </w:pPr>
            <w:r>
              <w:rPr>
                <w:rFonts w:ascii="Calibri" w:hAnsi="Calibri" w:cs="Calibri"/>
                <w:b/>
                <w:bCs/>
                <w:color w:val="000000"/>
                <w:sz w:val="20"/>
                <w:szCs w:val="20"/>
              </w:rPr>
              <w:t>-190,000</w:t>
            </w:r>
          </w:p>
        </w:tc>
        <w:tc>
          <w:tcPr>
            <w:tcW w:w="1020" w:type="dxa"/>
            <w:tcBorders>
              <w:top w:val="single" w:sz="4" w:space="0" w:color="auto"/>
              <w:bottom w:val="single" w:sz="4" w:space="0" w:color="auto"/>
            </w:tcBorders>
          </w:tcPr>
          <w:p w14:paraId="253AF326" w14:textId="77777777" w:rsidR="00A60D4B" w:rsidRDefault="00A60D4B" w:rsidP="00A60D4B">
            <w:pPr>
              <w:jc w:val="right"/>
            </w:pPr>
            <w:r>
              <w:rPr>
                <w:rFonts w:ascii="Calibri" w:hAnsi="Calibri" w:cs="Calibri"/>
                <w:b/>
                <w:bCs/>
                <w:color w:val="000000"/>
                <w:sz w:val="20"/>
                <w:szCs w:val="20"/>
              </w:rPr>
              <w:t>0</w:t>
            </w:r>
          </w:p>
        </w:tc>
        <w:tc>
          <w:tcPr>
            <w:tcW w:w="1020" w:type="dxa"/>
            <w:tcBorders>
              <w:top w:val="single" w:sz="4" w:space="0" w:color="auto"/>
              <w:bottom w:val="single" w:sz="4" w:space="0" w:color="auto"/>
            </w:tcBorders>
          </w:tcPr>
          <w:p w14:paraId="618ECA1A" w14:textId="77777777" w:rsidR="00A60D4B" w:rsidRDefault="00A60D4B" w:rsidP="00A60D4B">
            <w:pPr>
              <w:jc w:val="right"/>
            </w:pPr>
            <w:r>
              <w:rPr>
                <w:rFonts w:ascii="Calibri" w:hAnsi="Calibri" w:cs="Calibri"/>
                <w:b/>
                <w:bCs/>
                <w:color w:val="000000"/>
                <w:sz w:val="20"/>
                <w:szCs w:val="20"/>
              </w:rPr>
              <w:t>0</w:t>
            </w:r>
          </w:p>
        </w:tc>
        <w:tc>
          <w:tcPr>
            <w:tcW w:w="1020" w:type="dxa"/>
            <w:tcBorders>
              <w:top w:val="single" w:sz="4" w:space="0" w:color="auto"/>
              <w:bottom w:val="single" w:sz="4" w:space="0" w:color="auto"/>
            </w:tcBorders>
          </w:tcPr>
          <w:p w14:paraId="3DEC245B" w14:textId="77777777" w:rsidR="00A60D4B" w:rsidRDefault="00A60D4B" w:rsidP="00A60D4B">
            <w:pPr>
              <w:jc w:val="right"/>
            </w:pPr>
            <w:r>
              <w:rPr>
                <w:rFonts w:ascii="Calibri" w:hAnsi="Calibri" w:cs="Calibri"/>
                <w:b/>
                <w:bCs/>
                <w:color w:val="000000"/>
                <w:sz w:val="20"/>
                <w:szCs w:val="20"/>
              </w:rPr>
              <w:t>0</w:t>
            </w:r>
          </w:p>
        </w:tc>
        <w:tc>
          <w:tcPr>
            <w:tcW w:w="1020" w:type="dxa"/>
            <w:tcBorders>
              <w:top w:val="single" w:sz="4" w:space="0" w:color="auto"/>
              <w:bottom w:val="single" w:sz="4" w:space="0" w:color="auto"/>
            </w:tcBorders>
          </w:tcPr>
          <w:p w14:paraId="273B99E4" w14:textId="77777777" w:rsidR="00A60D4B" w:rsidRDefault="00A60D4B" w:rsidP="00A60D4B">
            <w:pPr>
              <w:jc w:val="right"/>
            </w:pPr>
            <w:r>
              <w:rPr>
                <w:rFonts w:ascii="Calibri" w:hAnsi="Calibri" w:cs="Calibri"/>
                <w:b/>
                <w:bCs/>
                <w:color w:val="000000"/>
                <w:sz w:val="20"/>
                <w:szCs w:val="20"/>
              </w:rPr>
              <w:t>0</w:t>
            </w:r>
          </w:p>
        </w:tc>
      </w:tr>
    </w:tbl>
    <w:p w14:paraId="682EC256" w14:textId="77777777" w:rsidR="00A60D4B" w:rsidRPr="00A45E44" w:rsidRDefault="00A60D4B" w:rsidP="00A60D4B"/>
    <w:p w14:paraId="64E2586C" w14:textId="77777777" w:rsidR="00A60D4B" w:rsidRPr="00893FB2" w:rsidRDefault="00A60D4B" w:rsidP="00A60D4B">
      <w:pPr>
        <w:pStyle w:val="Heading3"/>
      </w:pPr>
      <w:r>
        <w:br w:type="page"/>
      </w:r>
      <w:bookmarkStart w:id="131" w:name="_Toc83298698"/>
      <w:r>
        <w:rPr>
          <w:iCs/>
          <w:color w:val="auto"/>
          <w:sz w:val="28"/>
          <w:szCs w:val="22"/>
        </w:rPr>
        <w:lastRenderedPageBreak/>
        <w:t>General Government Sector Infrastructure Investment Program</w:t>
      </w:r>
      <w:bookmarkEnd w:id="131"/>
    </w:p>
    <w:p w14:paraId="5A6718C0" w14:textId="77777777" w:rsidR="00A60D4B" w:rsidRPr="00A62771" w:rsidRDefault="00A60D4B" w:rsidP="00A60D4B">
      <w:pPr>
        <w:pStyle w:val="Bbodytext"/>
      </w:pPr>
      <w:r w:rsidRPr="00A62771">
        <w:t xml:space="preserve">The GGS Infrastructure Investment Program is an estimated $968 million in 2021-22 and $5.0 billion over the five years to 2025-26. This is a significant step up in expenditure from past years and an increase of 28 per cent from the previous five years to 2020-21. </w:t>
      </w:r>
    </w:p>
    <w:p w14:paraId="402D5EB5" w14:textId="6DE30BC2" w:rsidR="00A60D4B" w:rsidRDefault="00A60D4B" w:rsidP="00A60D4B">
      <w:pPr>
        <w:pStyle w:val="Caption"/>
      </w:pPr>
      <w:r>
        <w:t>Figure</w:t>
      </w:r>
      <w:r w:rsidRPr="00111524">
        <w:t xml:space="preserve"> </w:t>
      </w:r>
      <w:r>
        <w:fldChar w:fldCharType="begin"/>
      </w:r>
      <w:r>
        <w:instrText>STYLEREF 2 \s</w:instrText>
      </w:r>
      <w:r>
        <w:fldChar w:fldCharType="separate"/>
      </w:r>
      <w:r w:rsidR="00F12A80">
        <w:rPr>
          <w:noProof/>
        </w:rPr>
        <w:t>3.7</w:t>
      </w:r>
      <w:r>
        <w:fldChar w:fldCharType="end"/>
      </w:r>
      <w:r w:rsidRPr="00111524">
        <w:t>.</w:t>
      </w:r>
      <w:r>
        <w:fldChar w:fldCharType="begin"/>
      </w:r>
      <w:r>
        <w:instrText>SEQ Table \* ARABIC \s 2</w:instrText>
      </w:r>
      <w:r>
        <w:fldChar w:fldCharType="separate"/>
      </w:r>
      <w:r w:rsidR="00F12A80">
        <w:rPr>
          <w:noProof/>
        </w:rPr>
        <w:t>1</w:t>
      </w:r>
      <w:r>
        <w:fldChar w:fldCharType="end"/>
      </w:r>
      <w:r w:rsidRPr="00111524">
        <w:t xml:space="preserve"> </w:t>
      </w:r>
      <w:r w:rsidRPr="003B0D4A">
        <w:t>GGS</w:t>
      </w:r>
      <w:r>
        <w:t xml:space="preserve"> </w:t>
      </w:r>
      <w:r w:rsidRPr="00B05ECD">
        <w:t>Infrastructure Investment Program –</w:t>
      </w:r>
      <w:r>
        <w:t xml:space="preserve"> </w:t>
      </w:r>
      <w:r w:rsidRPr="00B05ECD">
        <w:t>5 year</w:t>
      </w:r>
      <w:r>
        <w:t xml:space="preserve"> period comparison</w:t>
      </w:r>
    </w:p>
    <w:p w14:paraId="2797213E" w14:textId="3B3019A1" w:rsidR="00A60D4B" w:rsidRDefault="00C83B65" w:rsidP="00A60D4B">
      <w:r>
        <w:rPr>
          <w:noProof/>
        </w:rPr>
        <mc:AlternateContent>
          <mc:Choice Requires="wps">
            <w:drawing>
              <wp:anchor distT="0" distB="0" distL="114300" distR="114300" simplePos="0" relativeHeight="251976704" behindDoc="0" locked="0" layoutInCell="1" allowOverlap="1" wp14:anchorId="6FF6ADAD" wp14:editId="426ACF2B">
                <wp:simplePos x="0" y="0"/>
                <wp:positionH relativeFrom="column">
                  <wp:posOffset>1490022</wp:posOffset>
                </wp:positionH>
                <wp:positionV relativeFrom="paragraph">
                  <wp:posOffset>550630</wp:posOffset>
                </wp:positionV>
                <wp:extent cx="1905542" cy="311496"/>
                <wp:effectExtent l="0" t="0" r="0" b="0"/>
                <wp:wrapNone/>
                <wp:docPr id="311" name="TextBox 8"/>
                <wp:cNvGraphicFramePr/>
                <a:graphic xmlns:a="http://schemas.openxmlformats.org/drawingml/2006/main">
                  <a:graphicData uri="http://schemas.microsoft.com/office/word/2010/wordprocessingShape">
                    <wps:wsp>
                      <wps:cNvSpPr txBox="1"/>
                      <wps:spPr>
                        <a:xfrm>
                          <a:off x="0" y="0"/>
                          <a:ext cx="1905542" cy="311496"/>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E01FC50" w14:textId="77777777" w:rsidR="002261A7" w:rsidRPr="00522800" w:rsidRDefault="002261A7" w:rsidP="00A60D4B">
                            <w:pPr>
                              <w:spacing w:after="0" w:line="240" w:lineRule="auto"/>
                              <w:rPr>
                                <w:rFonts w:hAnsi="Calibri"/>
                                <w:b/>
                                <w:bCs/>
                                <w:color w:val="000000" w:themeColor="text1"/>
                                <w:sz w:val="20"/>
                                <w:szCs w:val="20"/>
                              </w:rPr>
                            </w:pPr>
                            <w:r w:rsidRPr="00522800">
                              <w:rPr>
                                <w:rFonts w:hAnsi="Calibri"/>
                                <w:b/>
                                <w:bCs/>
                                <w:color w:val="000000" w:themeColor="text1"/>
                                <w:sz w:val="20"/>
                                <w:szCs w:val="20"/>
                              </w:rPr>
                              <w:t xml:space="preserve">Average Expenditure </w:t>
                            </w:r>
                          </w:p>
                        </w:txbxContent>
                      </wps:txbx>
                      <wps:bodyPr vertOverflow="clip" horzOverflow="clip" wrap="square" rtlCol="0" anchor="t">
                        <a:noAutofit/>
                      </wps:bodyPr>
                    </wps:wsp>
                  </a:graphicData>
                </a:graphic>
              </wp:anchor>
            </w:drawing>
          </mc:Choice>
          <mc:Fallback>
            <w:pict>
              <v:shape w14:anchorId="6FF6ADAD" id="TextBox 8" o:spid="_x0000_s1043" type="#_x0000_t202" style="position:absolute;margin-left:117.3pt;margin-top:43.35pt;width:150.05pt;height:24.55pt;z-index:25197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" filled="f" stroked="f">
                <v:textbox>
                  <w:txbxContent>
                    <w:p w14:paraId="6E01FC50" w14:textId="77777777" w:rsidR="002261A7" w:rsidRPr="00522800" w:rsidRDefault="002261A7" w:rsidP="00A60D4B">
                      <w:pPr>
                        <w:spacing w:after="0" w:line="240" w:lineRule="auto"/>
                        <w:rPr>
                          <w:rFonts w:hAnsi="Calibri"/>
                          <w:b/>
                          <w:bCs/>
                          <w:color w:val="000000" w:themeColor="text1"/>
                          <w:sz w:val="20"/>
                          <w:szCs w:val="20"/>
                        </w:rPr>
                      </w:pPr>
                      <w:r w:rsidRPr="00522800">
                        <w:rPr>
                          <w:rFonts w:hAnsi="Calibri"/>
                          <w:b/>
                          <w:bCs/>
                          <w:color w:val="000000" w:themeColor="text1"/>
                          <w:sz w:val="20"/>
                          <w:szCs w:val="20"/>
                        </w:rPr>
                        <w:t xml:space="preserve">Average Expenditure </w:t>
                      </w:r>
                    </w:p>
                  </w:txbxContent>
                </v:textbox>
              </v:shape>
            </w:pict>
          </mc:Fallback>
        </mc:AlternateContent>
      </w:r>
      <w:r w:rsidR="00A60D4B">
        <w:rPr>
          <w:noProof/>
        </w:rPr>
        <mc:AlternateContent>
          <mc:Choice Requires="wps">
            <w:drawing>
              <wp:anchor distT="0" distB="0" distL="114300" distR="114300" simplePos="0" relativeHeight="251977728" behindDoc="0" locked="0" layoutInCell="1" allowOverlap="1" wp14:anchorId="553C8870" wp14:editId="5D4363A2">
                <wp:simplePos x="0" y="0"/>
                <wp:positionH relativeFrom="column">
                  <wp:posOffset>3636986</wp:posOffset>
                </wp:positionH>
                <wp:positionV relativeFrom="paragraph">
                  <wp:posOffset>20244</wp:posOffset>
                </wp:positionV>
                <wp:extent cx="1809750" cy="266700"/>
                <wp:effectExtent l="0" t="0" r="0" b="0"/>
                <wp:wrapNone/>
                <wp:docPr id="310" name="TextBox 15"/>
                <wp:cNvGraphicFramePr/>
                <a:graphic xmlns:a="http://schemas.openxmlformats.org/drawingml/2006/main">
                  <a:graphicData uri="http://schemas.microsoft.com/office/word/2010/wordprocessingShape">
                    <wps:wsp>
                      <wps:cNvSpPr txBox="1"/>
                      <wps:spPr>
                        <a:xfrm>
                          <a:off x="0" y="0"/>
                          <a:ext cx="1809750" cy="26670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72F8D22" w14:textId="77777777" w:rsidR="002261A7" w:rsidRPr="00522800" w:rsidRDefault="002261A7" w:rsidP="00A60D4B">
                            <w:pPr>
                              <w:spacing w:after="0" w:line="240" w:lineRule="auto"/>
                              <w:rPr>
                                <w:rFonts w:hAnsi="Calibri"/>
                                <w:b/>
                                <w:bCs/>
                                <w:color w:val="000000" w:themeColor="text1"/>
                                <w:sz w:val="20"/>
                                <w:szCs w:val="20"/>
                              </w:rPr>
                            </w:pPr>
                            <w:r w:rsidRPr="00522800">
                              <w:rPr>
                                <w:rFonts w:hAnsi="Calibri"/>
                                <w:b/>
                                <w:bCs/>
                                <w:color w:val="000000" w:themeColor="text1"/>
                                <w:sz w:val="20"/>
                                <w:szCs w:val="20"/>
                              </w:rPr>
                              <w:t xml:space="preserve">Average Expenditure Forecast </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553C8870" id="TextBox 15" o:spid="_x0000_s1044" type="#_x0000_t202" style="position:absolute;margin-left:286.4pt;margin-top:1.6pt;width:142.5pt;height:21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" filled="f" stroked="f">
                <v:textbox>
                  <w:txbxContent>
                    <w:p w14:paraId="672F8D22" w14:textId="77777777" w:rsidR="002261A7" w:rsidRPr="00522800" w:rsidRDefault="002261A7" w:rsidP="00A60D4B">
                      <w:pPr>
                        <w:spacing w:after="0" w:line="240" w:lineRule="auto"/>
                        <w:rPr>
                          <w:rFonts w:hAnsi="Calibri"/>
                          <w:b/>
                          <w:bCs/>
                          <w:color w:val="000000" w:themeColor="text1"/>
                          <w:sz w:val="20"/>
                          <w:szCs w:val="20"/>
                        </w:rPr>
                      </w:pPr>
                      <w:r w:rsidRPr="00522800">
                        <w:rPr>
                          <w:rFonts w:hAnsi="Calibri"/>
                          <w:b/>
                          <w:bCs/>
                          <w:color w:val="000000" w:themeColor="text1"/>
                          <w:sz w:val="20"/>
                          <w:szCs w:val="20"/>
                        </w:rPr>
                        <w:t xml:space="preserve">Average Expenditure Forecast </w:t>
                      </w:r>
                    </w:p>
                  </w:txbxContent>
                </v:textbox>
              </v:shape>
            </w:pict>
          </mc:Fallback>
        </mc:AlternateContent>
      </w:r>
      <w:r w:rsidR="00A60D4B">
        <w:rPr>
          <w:noProof/>
        </w:rPr>
        <mc:AlternateContent>
          <mc:Choice Requires="wps">
            <w:drawing>
              <wp:anchor distT="0" distB="0" distL="114300" distR="114300" simplePos="0" relativeHeight="251974656" behindDoc="0" locked="0" layoutInCell="1" allowOverlap="1" wp14:anchorId="598569EF" wp14:editId="6E3DD2BC">
                <wp:simplePos x="0" y="0"/>
                <wp:positionH relativeFrom="column">
                  <wp:posOffset>666750</wp:posOffset>
                </wp:positionH>
                <wp:positionV relativeFrom="paragraph">
                  <wp:posOffset>862330</wp:posOffset>
                </wp:positionV>
                <wp:extent cx="2343150" cy="16012"/>
                <wp:effectExtent l="0" t="0" r="19050" b="22225"/>
                <wp:wrapNone/>
                <wp:docPr id="312" name="Straight Connector 4"/>
                <wp:cNvGraphicFramePr/>
                <a:graphic xmlns:a="http://schemas.openxmlformats.org/drawingml/2006/main">
                  <a:graphicData uri="http://schemas.microsoft.com/office/word/2010/wordprocessingShape">
                    <wps:wsp>
                      <wps:cNvCnPr/>
                      <wps:spPr>
                        <a:xfrm>
                          <a:off x="0" y="0"/>
                          <a:ext cx="2343150" cy="16012"/>
                        </a:xfrm>
                        <a:prstGeom prst="line">
                          <a:avLst/>
                        </a:prstGeom>
                        <a:ln>
                          <a:solidFill>
                            <a:srgbClr val="26828E"/>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F520F2" id="Straight Connector 4" o:spid="_x0000_s1026" style="position:absolute;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67.9pt" to="237pt,6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" strokecolor="#26828e" strokeweight="1pt">
                <v:stroke joinstyle="miter"/>
              </v:line>
            </w:pict>
          </mc:Fallback>
        </mc:AlternateContent>
      </w:r>
      <w:r w:rsidR="00A60D4B">
        <w:rPr>
          <w:noProof/>
        </w:rPr>
        <mc:AlternateContent>
          <mc:Choice Requires="wps">
            <w:drawing>
              <wp:anchor distT="0" distB="0" distL="114300" distR="114300" simplePos="0" relativeHeight="251975680" behindDoc="0" locked="0" layoutInCell="1" allowOverlap="1" wp14:anchorId="54CA5920" wp14:editId="71CA10F1">
                <wp:simplePos x="0" y="0"/>
                <wp:positionH relativeFrom="column">
                  <wp:posOffset>3114675</wp:posOffset>
                </wp:positionH>
                <wp:positionV relativeFrom="paragraph">
                  <wp:posOffset>535305</wp:posOffset>
                </wp:positionV>
                <wp:extent cx="2266950" cy="0"/>
                <wp:effectExtent l="0" t="0" r="0" b="0"/>
                <wp:wrapNone/>
                <wp:docPr id="313" name="Straight Connector 6"/>
                <wp:cNvGraphicFramePr/>
                <a:graphic xmlns:a="http://schemas.openxmlformats.org/drawingml/2006/main">
                  <a:graphicData uri="http://schemas.microsoft.com/office/word/2010/wordprocessingShape">
                    <wps:wsp>
                      <wps:cNvCnPr/>
                      <wps:spPr>
                        <a:xfrm flipV="1">
                          <a:off x="0" y="0"/>
                          <a:ext cx="226695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4F9255" id="Straight Connector 6" o:spid="_x0000_s1026" style="position:absolute;flip:y;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5.25pt,42.15pt" to="423.75pt,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" strokecolor="#001889 [3204]" strokeweight="1pt">
                <v:stroke joinstyle="miter"/>
              </v:line>
            </w:pict>
          </mc:Fallback>
        </mc:AlternateContent>
      </w:r>
      <w:r w:rsidR="00A60D4B">
        <w:rPr>
          <w:noProof/>
        </w:rPr>
        <w:drawing>
          <wp:inline distT="0" distB="0" distL="0" distR="0" wp14:anchorId="6FF8D21A" wp14:editId="37A126A8">
            <wp:extent cx="5731510" cy="2657475"/>
            <wp:effectExtent l="0" t="0" r="2540" b="0"/>
            <wp:docPr id="327" name="Chart 327">
              <a:extLst xmlns:a="http://schemas.openxmlformats.org/drawingml/2006/main">
                <a:ext uri="{FF2B5EF4-FFF2-40B4-BE49-F238E27FC236}">
                  <a16:creationId xmlns:a16="http://schemas.microsoft.com/office/drawing/2014/main" id="{EB351062-C66D-45E6-BDFD-92C920E456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6BE3190B" w14:textId="77777777" w:rsidR="00A60D4B" w:rsidRPr="00C14039" w:rsidRDefault="00A60D4B" w:rsidP="00A60D4B">
      <w:pPr>
        <w:pStyle w:val="Heading4"/>
        <w:rPr>
          <w:i/>
          <w:iCs w:val="0"/>
        </w:rPr>
      </w:pPr>
      <w:r w:rsidRPr="00C14039">
        <w:rPr>
          <w:i/>
          <w:iCs w:val="0"/>
        </w:rPr>
        <w:t xml:space="preserve">Program </w:t>
      </w:r>
      <w:r>
        <w:rPr>
          <w:i/>
          <w:iCs w:val="0"/>
        </w:rPr>
        <w:t>c</w:t>
      </w:r>
      <w:r w:rsidRPr="00C14039">
        <w:rPr>
          <w:i/>
          <w:iCs w:val="0"/>
        </w:rPr>
        <w:t>omponents</w:t>
      </w:r>
    </w:p>
    <w:p w14:paraId="0244ACD1" w14:textId="77777777" w:rsidR="00A60D4B" w:rsidRPr="00A62771" w:rsidRDefault="00A60D4B" w:rsidP="00A60D4B">
      <w:pPr>
        <w:rPr>
          <w:sz w:val="24"/>
          <w:szCs w:val="24"/>
        </w:rPr>
      </w:pPr>
      <w:r w:rsidRPr="00D85DD5">
        <w:rPr>
          <w:rStyle w:val="BbodytextChar"/>
        </w:rPr>
        <w:t>The GGS Infrastructure Investment Program has five main components</w:t>
      </w:r>
      <w:r w:rsidRPr="00A62771">
        <w:rPr>
          <w:sz w:val="24"/>
          <w:szCs w:val="24"/>
        </w:rPr>
        <w:t>.</w:t>
      </w:r>
    </w:p>
    <w:p w14:paraId="1FA67E1B" w14:textId="77777777" w:rsidR="00A60D4B" w:rsidRPr="00A62771" w:rsidRDefault="00A60D4B" w:rsidP="00A60D4B">
      <w:pPr>
        <w:numPr>
          <w:ilvl w:val="0"/>
          <w:numId w:val="1"/>
        </w:numPr>
        <w:rPr>
          <w:sz w:val="24"/>
          <w:szCs w:val="24"/>
        </w:rPr>
      </w:pPr>
      <w:r w:rsidRPr="00A62771">
        <w:rPr>
          <w:b/>
          <w:sz w:val="24"/>
          <w:szCs w:val="24"/>
        </w:rPr>
        <w:t>New capital works</w:t>
      </w:r>
      <w:r w:rsidRPr="00A62771">
        <w:rPr>
          <w:sz w:val="24"/>
          <w:szCs w:val="24"/>
        </w:rPr>
        <w:t xml:space="preserve">: $220 million in 2021-22 and $776 million over the five years to 2025-26. The program includes new projects approved in the 2021-22 Budget for physical infrastructure and ICT. </w:t>
      </w:r>
    </w:p>
    <w:p w14:paraId="5140A3C8" w14:textId="77777777" w:rsidR="00A60D4B" w:rsidRPr="00A62771" w:rsidRDefault="00A60D4B" w:rsidP="00A60D4B">
      <w:pPr>
        <w:numPr>
          <w:ilvl w:val="0"/>
          <w:numId w:val="1"/>
        </w:numPr>
        <w:rPr>
          <w:sz w:val="24"/>
          <w:szCs w:val="24"/>
        </w:rPr>
      </w:pPr>
      <w:r w:rsidRPr="00A62771">
        <w:rPr>
          <w:b/>
          <w:bCs/>
          <w:sz w:val="24"/>
          <w:szCs w:val="24"/>
        </w:rPr>
        <w:t>Better Infrastructure Fund (BIF)</w:t>
      </w:r>
      <w:r w:rsidRPr="00A62771">
        <w:rPr>
          <w:sz w:val="24"/>
          <w:szCs w:val="24"/>
        </w:rPr>
        <w:t>: $99 million in 2021-22 and $404 million over the five years to 2025-26. BIF provides funds for improvements to existing infrastructure which extend the useful life, or improve the delivery capacity of existing physical assets.</w:t>
      </w:r>
    </w:p>
    <w:p w14:paraId="37D8158F" w14:textId="77777777" w:rsidR="00A60D4B" w:rsidRPr="00A62771" w:rsidRDefault="00A60D4B" w:rsidP="00A60D4B">
      <w:pPr>
        <w:pStyle w:val="BBullet1"/>
        <w:rPr>
          <w:szCs w:val="24"/>
        </w:rPr>
      </w:pPr>
      <w:r w:rsidRPr="00A62771">
        <w:rPr>
          <w:b/>
          <w:bCs/>
          <w:szCs w:val="24"/>
        </w:rPr>
        <w:t>Works-in-progress</w:t>
      </w:r>
      <w:r w:rsidRPr="00A62771">
        <w:rPr>
          <w:szCs w:val="24"/>
        </w:rPr>
        <w:t>: $710 million in 2021-22 and $2.3 billion over the five years to 2025</w:t>
      </w:r>
      <w:r>
        <w:rPr>
          <w:szCs w:val="24"/>
        </w:rPr>
        <w:noBreakHyphen/>
      </w:r>
      <w:r w:rsidRPr="00A62771">
        <w:rPr>
          <w:szCs w:val="24"/>
        </w:rPr>
        <w:t>26 for projects that commenced prior to 2021-22.</w:t>
      </w:r>
    </w:p>
    <w:p w14:paraId="77BFE9FC" w14:textId="77777777" w:rsidR="00A60D4B" w:rsidRPr="00A62771" w:rsidRDefault="00A60D4B" w:rsidP="00A60D4B">
      <w:pPr>
        <w:numPr>
          <w:ilvl w:val="0"/>
          <w:numId w:val="1"/>
        </w:numPr>
        <w:rPr>
          <w:bCs/>
          <w:sz w:val="24"/>
          <w:szCs w:val="24"/>
        </w:rPr>
      </w:pPr>
      <w:r w:rsidRPr="00A62771">
        <w:rPr>
          <w:b/>
          <w:sz w:val="24"/>
          <w:szCs w:val="24"/>
        </w:rPr>
        <w:t>Central capital provisions:</w:t>
      </w:r>
      <w:r w:rsidRPr="00A62771">
        <w:rPr>
          <w:bCs/>
          <w:sz w:val="24"/>
          <w:szCs w:val="24"/>
        </w:rPr>
        <w:t xml:space="preserve"> </w:t>
      </w:r>
      <w:r w:rsidRPr="00A62771">
        <w:rPr>
          <w:sz w:val="24"/>
          <w:szCs w:val="24"/>
        </w:rPr>
        <w:t>$1.5 billion over the five years to 2025-26</w:t>
      </w:r>
      <w:r w:rsidRPr="00A62771">
        <w:rPr>
          <w:bCs/>
          <w:sz w:val="24"/>
          <w:szCs w:val="24"/>
        </w:rPr>
        <w:t xml:space="preserve">. These provisions set aside funding for significant capital works projects for which budgets or other details are yet to be settled, or which are commercially sensitive. Provisioned funding is allocated once conditions are met, generally as a result of the approval of business cases, provision of other information, or following the conclusion of tender processes in the case of commercial sensitivities. </w:t>
      </w:r>
    </w:p>
    <w:p w14:paraId="18805CFD" w14:textId="77777777" w:rsidR="00A60D4B" w:rsidRPr="00A62771" w:rsidRDefault="00A60D4B" w:rsidP="00A60D4B">
      <w:pPr>
        <w:keepNext/>
        <w:keepLines/>
        <w:numPr>
          <w:ilvl w:val="0"/>
          <w:numId w:val="1"/>
        </w:numPr>
        <w:ind w:left="357" w:hanging="357"/>
        <w:rPr>
          <w:bCs/>
          <w:sz w:val="24"/>
          <w:szCs w:val="24"/>
        </w:rPr>
      </w:pPr>
      <w:r w:rsidRPr="00A62771">
        <w:rPr>
          <w:b/>
          <w:sz w:val="24"/>
          <w:szCs w:val="24"/>
        </w:rPr>
        <w:lastRenderedPageBreak/>
        <w:t>Capital Delivery Provision:</w:t>
      </w:r>
      <w:r w:rsidRPr="00A62771">
        <w:rPr>
          <w:bCs/>
          <w:sz w:val="24"/>
          <w:szCs w:val="24"/>
        </w:rPr>
        <w:t xml:space="preserve"> net zero impact over the five years to 2025-26. </w:t>
      </w:r>
      <w:r w:rsidRPr="00A62771">
        <w:rPr>
          <w:sz w:val="24"/>
          <w:szCs w:val="24"/>
        </w:rPr>
        <w:t xml:space="preserve">The Capital Delivery Provision (CDP) is applied to the total infrastructure investment program including provisions. The CDP indicatively re-profiles approximately 6 per cent of the investment program in 2021-22 and </w:t>
      </w:r>
      <w:r>
        <w:rPr>
          <w:sz w:val="24"/>
          <w:szCs w:val="24"/>
        </w:rPr>
        <w:t>31</w:t>
      </w:r>
      <w:r w:rsidRPr="00A62771">
        <w:rPr>
          <w:sz w:val="24"/>
          <w:szCs w:val="24"/>
        </w:rPr>
        <w:t xml:space="preserve"> per cent of the program in 2022-23 into the last two years of </w:t>
      </w:r>
      <w:r>
        <w:rPr>
          <w:sz w:val="24"/>
          <w:szCs w:val="24"/>
        </w:rPr>
        <w:t>the program</w:t>
      </w:r>
      <w:r w:rsidRPr="00A62771">
        <w:rPr>
          <w:sz w:val="24"/>
          <w:szCs w:val="24"/>
        </w:rPr>
        <w:t>. This indicative re-profiling provides forecasts of program expenditure based on historical trends and does not affect the delivery of any individual project.</w:t>
      </w:r>
    </w:p>
    <w:p w14:paraId="0F7C13E1" w14:textId="77777777" w:rsidR="00A60D4B" w:rsidRPr="00A62771" w:rsidRDefault="00A60D4B" w:rsidP="00A60D4B">
      <w:pPr>
        <w:pStyle w:val="Bbodytext"/>
      </w:pPr>
      <w:r w:rsidRPr="00A62771">
        <w:t xml:space="preserve">The Budget also provides for a </w:t>
      </w:r>
      <w:r w:rsidRPr="00A62771">
        <w:rPr>
          <w:b/>
          <w:bCs/>
        </w:rPr>
        <w:t>capital works reserve</w:t>
      </w:r>
      <w:r w:rsidRPr="00A62771">
        <w:t xml:space="preserve"> which allows agencies with multi-year budget allocations for capital works to draw on future funding if an agency’s capital expenditure in a budget year exceeds that agency’s allocation for that year. For example, if projects are delivered more quickly than scheduled, directorates can access future years’ funding through the reserve to maintain the pace of progress, while staying within the overall project cost envelope. </w:t>
      </w:r>
    </w:p>
    <w:p w14:paraId="26135A88" w14:textId="77777777" w:rsidR="00A60D4B" w:rsidRPr="00A62771" w:rsidRDefault="00A60D4B" w:rsidP="00A60D4B">
      <w:pPr>
        <w:pStyle w:val="Bbodytext"/>
      </w:pPr>
      <w:r w:rsidRPr="00A62771">
        <w:t>Funds available under the capital works reserve are not included in the GGS Infrastructure Investment Program until they are drawn by agencies. The amount available from the reserve in 2021-22 is $190 million and unused reserve funding lapses at the end of the financial year.</w:t>
      </w:r>
    </w:p>
    <w:p w14:paraId="4F84EB4C" w14:textId="77777777" w:rsidR="00A60D4B" w:rsidRPr="00A62771" w:rsidRDefault="00A60D4B" w:rsidP="00A60D4B">
      <w:pPr>
        <w:pStyle w:val="Bbodytext"/>
      </w:pPr>
      <w:r w:rsidRPr="00A62771">
        <w:t xml:space="preserve">Projects funded under the GGS Infrastructure Investment Program are identified, assessed and developed in accordance with </w:t>
      </w:r>
      <w:hyperlink r:id="rId168" w:history="1">
        <w:r w:rsidRPr="00A62771">
          <w:rPr>
            <w:rStyle w:val="Hyperlink"/>
            <w:szCs w:val="24"/>
          </w:rPr>
          <w:t>The Capital Framework</w:t>
        </w:r>
      </w:hyperlink>
      <w:r w:rsidRPr="00A62771">
        <w:rPr>
          <w:u w:val="single"/>
        </w:rPr>
        <w:t>.</w:t>
      </w:r>
      <w:r w:rsidRPr="00A62771">
        <w:rPr>
          <w:vertAlign w:val="superscript"/>
        </w:rPr>
        <w:footnoteReference w:id="9"/>
      </w:r>
      <w:r w:rsidRPr="00A62771">
        <w:t xml:space="preserve"> </w:t>
      </w:r>
    </w:p>
    <w:p w14:paraId="39439EEC" w14:textId="77777777" w:rsidR="00A60D4B" w:rsidRPr="00A62771" w:rsidRDefault="00A60D4B" w:rsidP="00A60D4B">
      <w:pPr>
        <w:pStyle w:val="Bbodytext"/>
      </w:pPr>
      <w:r w:rsidRPr="00A62771">
        <w:t>New capital initiatives in the 2021-22 budget year are outlined in Chapter 3.2.</w:t>
      </w:r>
    </w:p>
    <w:p w14:paraId="7234952E" w14:textId="77777777" w:rsidR="00A60D4B" w:rsidRPr="00A62771" w:rsidRDefault="00A60D4B" w:rsidP="00A60D4B">
      <w:pPr>
        <w:pStyle w:val="Bbodytext"/>
      </w:pPr>
      <w:r w:rsidRPr="00A62771">
        <w:rPr>
          <w:i/>
          <w:iCs/>
        </w:rPr>
        <w:t>Appendices D</w:t>
      </w:r>
      <w:r w:rsidRPr="00A62771">
        <w:t xml:space="preserve"> and </w:t>
      </w:r>
      <w:r w:rsidRPr="00A62771">
        <w:rPr>
          <w:i/>
          <w:iCs/>
        </w:rPr>
        <w:t>E</w:t>
      </w:r>
      <w:r w:rsidRPr="00A62771">
        <w:t xml:space="preserve"> provide information on projects in the 2021-22 Better Infrastructure Fund and works-in-progress respectively.</w:t>
      </w:r>
    </w:p>
    <w:p w14:paraId="664BF08F" w14:textId="77777777" w:rsidR="00A60D4B" w:rsidRDefault="00A60D4B" w:rsidP="00A60D4B">
      <w:pPr>
        <w:pStyle w:val="Bbodytext"/>
        <w:rPr>
          <w:rFonts w:eastAsiaTheme="majorEastAsia" w:cstheme="majorBidi"/>
          <w:b/>
          <w:i/>
        </w:rPr>
      </w:pPr>
      <w:r w:rsidRPr="00A62771">
        <w:t xml:space="preserve">More detailed information on the Infrastructure Investment Program in the General Government Sector can be found at </w:t>
      </w:r>
      <w:hyperlink r:id="rId169" w:history="1">
        <w:r w:rsidRPr="00522800">
          <w:rPr>
            <w:rStyle w:val="Hyperlink"/>
          </w:rPr>
          <w:t>https://www.treasury.act.gov.au/budget/budget-2021-22/budget-papers/</w:t>
        </w:r>
      </w:hyperlink>
      <w:r>
        <w:t xml:space="preserve"> .</w:t>
      </w:r>
    </w:p>
    <w:p w14:paraId="0A5878B1" w14:textId="77777777" w:rsidR="00A60D4B" w:rsidRDefault="00A60D4B" w:rsidP="00A60D4B">
      <w:pPr>
        <w:pStyle w:val="Heading4"/>
        <w:rPr>
          <w:i/>
          <w:iCs w:val="0"/>
        </w:rPr>
      </w:pPr>
      <w:r>
        <w:rPr>
          <w:i/>
          <w:iCs w:val="0"/>
        </w:rPr>
        <w:t>P</w:t>
      </w:r>
      <w:r w:rsidRPr="00CC790F">
        <w:rPr>
          <w:i/>
          <w:iCs w:val="0"/>
        </w:rPr>
        <w:t>rogram by agency</w:t>
      </w:r>
    </w:p>
    <w:p w14:paraId="7F1AD080" w14:textId="77777777" w:rsidR="00A60D4B" w:rsidRPr="00A62771" w:rsidRDefault="00A60D4B">
      <w:pPr>
        <w:rPr>
          <w:sz w:val="24"/>
          <w:szCs w:val="24"/>
        </w:rPr>
      </w:pPr>
      <w:r w:rsidRPr="00A62771">
        <w:rPr>
          <w:sz w:val="24"/>
          <w:szCs w:val="24"/>
        </w:rPr>
        <w:t xml:space="preserve">The GGS Infrastructure Investment Program is delivered by budget-funded agencies. </w:t>
      </w:r>
      <w:r w:rsidRPr="00474946">
        <w:rPr>
          <w:sz w:val="24"/>
          <w:szCs w:val="24"/>
        </w:rPr>
        <w:t>Table 3.</w:t>
      </w:r>
      <w:r>
        <w:rPr>
          <w:sz w:val="24"/>
          <w:szCs w:val="24"/>
        </w:rPr>
        <w:t>7.</w:t>
      </w:r>
      <w:r w:rsidRPr="00474946">
        <w:rPr>
          <w:sz w:val="24"/>
          <w:szCs w:val="24"/>
        </w:rPr>
        <w:t xml:space="preserve">2 </w:t>
      </w:r>
      <w:r w:rsidRPr="00A62771">
        <w:rPr>
          <w:sz w:val="24"/>
          <w:szCs w:val="24"/>
        </w:rPr>
        <w:t>below shows the Program for each agency for the five years to 2025-26. The central capital provisions are held by ACT Treasury until they are allocated to the delivery agencies.</w:t>
      </w:r>
    </w:p>
    <w:p w14:paraId="42BDB32A" w14:textId="77777777" w:rsidR="00A60D4B" w:rsidRPr="00C85E0C" w:rsidRDefault="00A60D4B">
      <w:pPr>
        <w:rPr>
          <w:b/>
          <w:i/>
          <w:sz w:val="28"/>
        </w:rPr>
      </w:pPr>
      <w:r>
        <w:rPr>
          <w:sz w:val="24"/>
          <w:szCs w:val="24"/>
        </w:rPr>
        <w:br w:type="page"/>
      </w:r>
    </w:p>
    <w:p w14:paraId="028F250F" w14:textId="77777777" w:rsidR="00A60D4B" w:rsidRPr="00C61169" w:rsidRDefault="00A60D4B" w:rsidP="00A60D4B">
      <w:pPr>
        <w:pStyle w:val="Caption"/>
      </w:pPr>
      <w:r w:rsidRPr="00C61169">
        <w:lastRenderedPageBreak/>
        <w:t>Table 3.</w:t>
      </w:r>
      <w:r>
        <w:t>7.</w:t>
      </w:r>
      <w:r w:rsidRPr="00C61169">
        <w:t>2: Summary of Infrastructure Investment Program by Agency</w:t>
      </w:r>
      <w:r>
        <w:t xml:space="preserve"> </w:t>
      </w:r>
      <w:r w:rsidRPr="00C61169">
        <w:t>- GGS</w:t>
      </w:r>
    </w:p>
    <w:tbl>
      <w:tblPr>
        <w:tblStyle w:val="TableGrid"/>
        <w:tblW w:w="90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2891"/>
        <w:gridCol w:w="1020"/>
        <w:gridCol w:w="1020"/>
        <w:gridCol w:w="1020"/>
        <w:gridCol w:w="1020"/>
        <w:gridCol w:w="1020"/>
        <w:gridCol w:w="1020"/>
      </w:tblGrid>
      <w:tr w:rsidR="00A60D4B" w14:paraId="309C5285" w14:textId="77777777" w:rsidTr="00A60D4B">
        <w:trPr>
          <w:tblHeader/>
        </w:trPr>
        <w:tc>
          <w:tcPr>
            <w:tcW w:w="2891" w:type="dxa"/>
            <w:tcBorders>
              <w:top w:val="single" w:sz="4" w:space="0" w:color="auto"/>
              <w:bottom w:val="single" w:sz="4" w:space="0" w:color="auto"/>
            </w:tcBorders>
            <w:shd w:val="clear" w:color="auto" w:fill="472D8C"/>
          </w:tcPr>
          <w:p w14:paraId="488D58E9" w14:textId="77777777" w:rsidR="00A60D4B" w:rsidRDefault="00A60D4B" w:rsidP="00A60D4B">
            <w:bookmarkStart w:id="132" w:name="_Hlk82686244"/>
          </w:p>
        </w:tc>
        <w:tc>
          <w:tcPr>
            <w:tcW w:w="1020" w:type="dxa"/>
            <w:tcBorders>
              <w:top w:val="single" w:sz="4" w:space="0" w:color="auto"/>
              <w:bottom w:val="single" w:sz="4" w:space="0" w:color="auto"/>
            </w:tcBorders>
            <w:shd w:val="clear" w:color="auto" w:fill="472D8C"/>
          </w:tcPr>
          <w:p w14:paraId="7198BFC8" w14:textId="77777777" w:rsidR="00A60D4B" w:rsidRPr="00566A40" w:rsidRDefault="00A60D4B" w:rsidP="00A60D4B">
            <w:pPr>
              <w:jc w:val="right"/>
              <w:rPr>
                <w:b/>
                <w:color w:val="FFFFFF" w:themeColor="background1"/>
                <w:sz w:val="20"/>
                <w:szCs w:val="20"/>
              </w:rPr>
            </w:pPr>
            <w:r w:rsidRPr="00566A40">
              <w:rPr>
                <w:b/>
                <w:color w:val="FFFFFF" w:themeColor="background1"/>
                <w:sz w:val="20"/>
                <w:szCs w:val="20"/>
              </w:rPr>
              <w:t>2021-22 Financing</w:t>
            </w:r>
            <w:r w:rsidRPr="00566A40">
              <w:rPr>
                <w:b/>
                <w:color w:val="FFFFFF" w:themeColor="background1"/>
                <w:sz w:val="20"/>
                <w:szCs w:val="20"/>
              </w:rPr>
              <w:br/>
              <w:t>$’000</w:t>
            </w:r>
          </w:p>
        </w:tc>
        <w:tc>
          <w:tcPr>
            <w:tcW w:w="1020" w:type="dxa"/>
            <w:tcBorders>
              <w:top w:val="single" w:sz="4" w:space="0" w:color="auto"/>
              <w:bottom w:val="single" w:sz="4" w:space="0" w:color="auto"/>
            </w:tcBorders>
            <w:shd w:val="clear" w:color="auto" w:fill="472D8C"/>
          </w:tcPr>
          <w:p w14:paraId="0C024409" w14:textId="77777777" w:rsidR="00A60D4B" w:rsidRPr="00566A40" w:rsidRDefault="00A60D4B" w:rsidP="00A60D4B">
            <w:pPr>
              <w:jc w:val="right"/>
              <w:rPr>
                <w:b/>
                <w:color w:val="FFFFFF" w:themeColor="background1"/>
                <w:sz w:val="20"/>
                <w:szCs w:val="20"/>
              </w:rPr>
            </w:pPr>
            <w:r w:rsidRPr="00566A40">
              <w:rPr>
                <w:b/>
                <w:color w:val="FFFFFF" w:themeColor="background1"/>
                <w:sz w:val="20"/>
                <w:szCs w:val="20"/>
              </w:rPr>
              <w:t>2022-23 Financing</w:t>
            </w:r>
            <w:r w:rsidRPr="00566A40">
              <w:rPr>
                <w:b/>
                <w:color w:val="FFFFFF" w:themeColor="background1"/>
                <w:sz w:val="20"/>
                <w:szCs w:val="20"/>
              </w:rPr>
              <w:br/>
              <w:t>$’000</w:t>
            </w:r>
          </w:p>
        </w:tc>
        <w:tc>
          <w:tcPr>
            <w:tcW w:w="1020" w:type="dxa"/>
            <w:tcBorders>
              <w:top w:val="single" w:sz="4" w:space="0" w:color="auto"/>
              <w:bottom w:val="single" w:sz="4" w:space="0" w:color="auto"/>
            </w:tcBorders>
            <w:shd w:val="clear" w:color="auto" w:fill="472D8C"/>
          </w:tcPr>
          <w:p w14:paraId="4DF8C1CB" w14:textId="77777777" w:rsidR="00A60D4B" w:rsidRPr="00566A40" w:rsidRDefault="00A60D4B" w:rsidP="00A60D4B">
            <w:pPr>
              <w:jc w:val="right"/>
              <w:rPr>
                <w:b/>
                <w:color w:val="FFFFFF" w:themeColor="background1"/>
                <w:sz w:val="20"/>
                <w:szCs w:val="20"/>
              </w:rPr>
            </w:pPr>
            <w:r w:rsidRPr="00566A40">
              <w:rPr>
                <w:b/>
                <w:color w:val="FFFFFF" w:themeColor="background1"/>
                <w:sz w:val="20"/>
                <w:szCs w:val="20"/>
              </w:rPr>
              <w:t>2023-24 Financing</w:t>
            </w:r>
            <w:r w:rsidRPr="00566A40">
              <w:rPr>
                <w:b/>
                <w:color w:val="FFFFFF" w:themeColor="background1"/>
                <w:sz w:val="20"/>
                <w:szCs w:val="20"/>
              </w:rPr>
              <w:br/>
              <w:t>$’000</w:t>
            </w:r>
          </w:p>
        </w:tc>
        <w:tc>
          <w:tcPr>
            <w:tcW w:w="1020" w:type="dxa"/>
            <w:tcBorders>
              <w:top w:val="single" w:sz="4" w:space="0" w:color="auto"/>
              <w:bottom w:val="single" w:sz="4" w:space="0" w:color="auto"/>
            </w:tcBorders>
            <w:shd w:val="clear" w:color="auto" w:fill="472D8C"/>
          </w:tcPr>
          <w:p w14:paraId="5B2F6F3F" w14:textId="77777777" w:rsidR="00A60D4B" w:rsidRPr="00566A40" w:rsidRDefault="00A60D4B" w:rsidP="00A60D4B">
            <w:pPr>
              <w:jc w:val="right"/>
              <w:rPr>
                <w:b/>
                <w:color w:val="FFFFFF" w:themeColor="background1"/>
                <w:sz w:val="20"/>
                <w:szCs w:val="20"/>
              </w:rPr>
            </w:pPr>
            <w:r w:rsidRPr="00566A40">
              <w:rPr>
                <w:b/>
                <w:color w:val="FFFFFF" w:themeColor="background1"/>
                <w:sz w:val="20"/>
                <w:szCs w:val="20"/>
              </w:rPr>
              <w:t>2024-25 Financing</w:t>
            </w:r>
            <w:r w:rsidRPr="00566A40">
              <w:rPr>
                <w:b/>
                <w:color w:val="FFFFFF" w:themeColor="background1"/>
                <w:sz w:val="20"/>
                <w:szCs w:val="20"/>
              </w:rPr>
              <w:br/>
              <w:t>$’000</w:t>
            </w:r>
          </w:p>
        </w:tc>
        <w:tc>
          <w:tcPr>
            <w:tcW w:w="1020" w:type="dxa"/>
            <w:tcBorders>
              <w:top w:val="single" w:sz="4" w:space="0" w:color="auto"/>
              <w:bottom w:val="single" w:sz="4" w:space="0" w:color="auto"/>
            </w:tcBorders>
            <w:shd w:val="clear" w:color="auto" w:fill="472D8C"/>
          </w:tcPr>
          <w:p w14:paraId="45CBB04F" w14:textId="77777777" w:rsidR="00A60D4B" w:rsidRPr="00566A40" w:rsidRDefault="00A60D4B" w:rsidP="00A60D4B">
            <w:pPr>
              <w:jc w:val="right"/>
              <w:rPr>
                <w:b/>
                <w:color w:val="FFFFFF" w:themeColor="background1"/>
                <w:sz w:val="20"/>
                <w:szCs w:val="20"/>
              </w:rPr>
            </w:pPr>
            <w:r w:rsidRPr="00566A40">
              <w:rPr>
                <w:b/>
                <w:color w:val="FFFFFF" w:themeColor="background1"/>
                <w:sz w:val="20"/>
                <w:szCs w:val="20"/>
              </w:rPr>
              <w:t>2025-26 Financing</w:t>
            </w:r>
            <w:r w:rsidRPr="00566A40">
              <w:rPr>
                <w:b/>
                <w:color w:val="FFFFFF" w:themeColor="background1"/>
                <w:sz w:val="20"/>
                <w:szCs w:val="20"/>
              </w:rPr>
              <w:br/>
              <w:t>$’000</w:t>
            </w:r>
          </w:p>
        </w:tc>
        <w:tc>
          <w:tcPr>
            <w:tcW w:w="1020" w:type="dxa"/>
            <w:tcBorders>
              <w:top w:val="single" w:sz="4" w:space="0" w:color="auto"/>
              <w:bottom w:val="single" w:sz="4" w:space="0" w:color="auto"/>
            </w:tcBorders>
            <w:shd w:val="clear" w:color="auto" w:fill="472D8C"/>
          </w:tcPr>
          <w:p w14:paraId="32379A2C" w14:textId="77777777" w:rsidR="00A60D4B" w:rsidRPr="00566A40" w:rsidRDefault="00A60D4B" w:rsidP="00A60D4B">
            <w:pPr>
              <w:jc w:val="right"/>
              <w:rPr>
                <w:b/>
                <w:color w:val="FFFFFF" w:themeColor="background1"/>
                <w:sz w:val="20"/>
                <w:szCs w:val="20"/>
              </w:rPr>
            </w:pPr>
            <w:r w:rsidRPr="00566A40">
              <w:rPr>
                <w:b/>
                <w:color w:val="FFFFFF" w:themeColor="background1"/>
                <w:sz w:val="20"/>
                <w:szCs w:val="20"/>
              </w:rPr>
              <w:t>Total Investment</w:t>
            </w:r>
          </w:p>
          <w:p w14:paraId="1A224ACD" w14:textId="77777777" w:rsidR="00A60D4B" w:rsidRPr="00566A40" w:rsidRDefault="00A60D4B" w:rsidP="00A60D4B">
            <w:pPr>
              <w:jc w:val="right"/>
              <w:rPr>
                <w:b/>
                <w:color w:val="FFFFFF" w:themeColor="background1"/>
                <w:sz w:val="20"/>
                <w:szCs w:val="20"/>
              </w:rPr>
            </w:pPr>
            <w:r w:rsidRPr="00566A40">
              <w:rPr>
                <w:b/>
                <w:color w:val="FFFFFF" w:themeColor="background1"/>
                <w:sz w:val="20"/>
                <w:szCs w:val="20"/>
              </w:rPr>
              <w:t>$’000</w:t>
            </w:r>
          </w:p>
        </w:tc>
      </w:tr>
      <w:tr w:rsidR="00C83B65" w14:paraId="1FECF579" w14:textId="77777777" w:rsidTr="00C83B65">
        <w:trPr>
          <w:trHeight w:val="201"/>
        </w:trPr>
        <w:tc>
          <w:tcPr>
            <w:tcW w:w="2891" w:type="dxa"/>
            <w:vAlign w:val="bottom"/>
          </w:tcPr>
          <w:p w14:paraId="016B38D5" w14:textId="45976774" w:rsidR="00C83B65" w:rsidRDefault="00C83B65" w:rsidP="00C83B65">
            <w:pPr>
              <w:rPr>
                <w:rFonts w:ascii="Calibri" w:hAnsi="Calibri" w:cs="Calibri"/>
                <w:b/>
                <w:bCs/>
                <w:color w:val="000000"/>
                <w:sz w:val="20"/>
                <w:szCs w:val="20"/>
              </w:rPr>
            </w:pPr>
            <w:r>
              <w:rPr>
                <w:rFonts w:ascii="Calibri" w:hAnsi="Calibri" w:cs="Calibri"/>
                <w:b/>
                <w:bCs/>
                <w:color w:val="000000"/>
                <w:sz w:val="20"/>
                <w:szCs w:val="20"/>
              </w:rPr>
              <w:t>ACT Electoral Commission</w:t>
            </w:r>
          </w:p>
        </w:tc>
        <w:tc>
          <w:tcPr>
            <w:tcW w:w="1020" w:type="dxa"/>
            <w:vAlign w:val="center"/>
          </w:tcPr>
          <w:p w14:paraId="096FF0DD" w14:textId="6BA37044" w:rsidR="00C83B65" w:rsidRDefault="00C83B65" w:rsidP="00C83B65">
            <w:pPr>
              <w:jc w:val="right"/>
              <w:rPr>
                <w:rFonts w:ascii="Calibri" w:hAnsi="Calibri" w:cs="Calibri"/>
                <w:color w:val="FFFFFF"/>
                <w:sz w:val="20"/>
                <w:szCs w:val="20"/>
              </w:rPr>
            </w:pPr>
            <w:r>
              <w:rPr>
                <w:rFonts w:ascii="Calibri" w:hAnsi="Calibri" w:cs="Calibri"/>
                <w:color w:val="FFFFFF"/>
                <w:sz w:val="20"/>
                <w:szCs w:val="20"/>
              </w:rPr>
              <w:t> </w:t>
            </w:r>
          </w:p>
        </w:tc>
        <w:tc>
          <w:tcPr>
            <w:tcW w:w="1020" w:type="dxa"/>
            <w:vAlign w:val="center"/>
          </w:tcPr>
          <w:p w14:paraId="26780B94" w14:textId="7816CDA5" w:rsidR="00C83B65" w:rsidRDefault="00C83B65" w:rsidP="00C83B65">
            <w:pPr>
              <w:jc w:val="right"/>
              <w:rPr>
                <w:rFonts w:ascii="Calibri" w:hAnsi="Calibri" w:cs="Calibri"/>
                <w:color w:val="FFFFFF"/>
                <w:sz w:val="20"/>
                <w:szCs w:val="20"/>
              </w:rPr>
            </w:pPr>
            <w:r>
              <w:rPr>
                <w:rFonts w:ascii="Calibri" w:hAnsi="Calibri" w:cs="Calibri"/>
                <w:color w:val="FFFFFF"/>
                <w:sz w:val="20"/>
                <w:szCs w:val="20"/>
              </w:rPr>
              <w:t> </w:t>
            </w:r>
          </w:p>
        </w:tc>
        <w:tc>
          <w:tcPr>
            <w:tcW w:w="1020" w:type="dxa"/>
            <w:vAlign w:val="center"/>
          </w:tcPr>
          <w:p w14:paraId="66610212" w14:textId="1DDC3758" w:rsidR="00C83B65" w:rsidRDefault="00C83B65" w:rsidP="00C83B65">
            <w:pPr>
              <w:jc w:val="right"/>
              <w:rPr>
                <w:rFonts w:ascii="Calibri" w:hAnsi="Calibri" w:cs="Calibri"/>
                <w:color w:val="FFFFFF"/>
                <w:sz w:val="20"/>
                <w:szCs w:val="20"/>
              </w:rPr>
            </w:pPr>
            <w:r>
              <w:rPr>
                <w:rFonts w:ascii="Calibri" w:hAnsi="Calibri" w:cs="Calibri"/>
                <w:color w:val="FFFFFF"/>
                <w:sz w:val="20"/>
                <w:szCs w:val="20"/>
              </w:rPr>
              <w:t> </w:t>
            </w:r>
          </w:p>
        </w:tc>
        <w:tc>
          <w:tcPr>
            <w:tcW w:w="1020" w:type="dxa"/>
            <w:vAlign w:val="center"/>
          </w:tcPr>
          <w:p w14:paraId="329951CE" w14:textId="2443DCF3" w:rsidR="00C83B65" w:rsidRDefault="00C83B65" w:rsidP="00C83B65">
            <w:pPr>
              <w:jc w:val="right"/>
              <w:rPr>
                <w:rFonts w:ascii="Calibri" w:hAnsi="Calibri" w:cs="Calibri"/>
                <w:color w:val="FFFFFF"/>
                <w:sz w:val="20"/>
                <w:szCs w:val="20"/>
              </w:rPr>
            </w:pPr>
            <w:r>
              <w:rPr>
                <w:rFonts w:ascii="Calibri" w:hAnsi="Calibri" w:cs="Calibri"/>
                <w:color w:val="FFFFFF"/>
                <w:sz w:val="20"/>
                <w:szCs w:val="20"/>
              </w:rPr>
              <w:t> </w:t>
            </w:r>
          </w:p>
        </w:tc>
        <w:tc>
          <w:tcPr>
            <w:tcW w:w="1020" w:type="dxa"/>
            <w:vAlign w:val="center"/>
          </w:tcPr>
          <w:p w14:paraId="3EE42527" w14:textId="5A800FAC" w:rsidR="00C83B65" w:rsidRDefault="00C83B65" w:rsidP="00C83B65">
            <w:pPr>
              <w:jc w:val="right"/>
              <w:rPr>
                <w:rFonts w:ascii="Calibri" w:hAnsi="Calibri" w:cs="Calibri"/>
                <w:color w:val="FFFFFF"/>
                <w:sz w:val="20"/>
                <w:szCs w:val="20"/>
              </w:rPr>
            </w:pPr>
            <w:r>
              <w:rPr>
                <w:rFonts w:ascii="Calibri" w:hAnsi="Calibri" w:cs="Calibri"/>
                <w:color w:val="FFFFFF"/>
                <w:sz w:val="20"/>
                <w:szCs w:val="20"/>
              </w:rPr>
              <w:t> </w:t>
            </w:r>
          </w:p>
        </w:tc>
        <w:tc>
          <w:tcPr>
            <w:tcW w:w="1020" w:type="dxa"/>
            <w:vAlign w:val="center"/>
          </w:tcPr>
          <w:p w14:paraId="5172106D" w14:textId="7DE61891" w:rsidR="00C83B65" w:rsidRDefault="00C83B65" w:rsidP="00C83B65">
            <w:pPr>
              <w:jc w:val="right"/>
              <w:rPr>
                <w:rFonts w:ascii="Calibri" w:hAnsi="Calibri" w:cs="Calibri"/>
                <w:color w:val="FFFFFF"/>
                <w:sz w:val="20"/>
                <w:szCs w:val="20"/>
              </w:rPr>
            </w:pPr>
            <w:r>
              <w:rPr>
                <w:rFonts w:ascii="Calibri" w:hAnsi="Calibri" w:cs="Calibri"/>
                <w:color w:val="FFFFFF"/>
                <w:sz w:val="20"/>
                <w:szCs w:val="20"/>
              </w:rPr>
              <w:t>0</w:t>
            </w:r>
          </w:p>
        </w:tc>
      </w:tr>
      <w:tr w:rsidR="00C83B65" w14:paraId="2F4A86C0" w14:textId="77777777" w:rsidTr="00C83B65">
        <w:trPr>
          <w:trHeight w:val="87"/>
        </w:trPr>
        <w:tc>
          <w:tcPr>
            <w:tcW w:w="2891" w:type="dxa"/>
            <w:vAlign w:val="bottom"/>
          </w:tcPr>
          <w:p w14:paraId="6091EE8F" w14:textId="7F495FC5" w:rsidR="00C83B65" w:rsidRDefault="00C83B65" w:rsidP="00C83B65">
            <w:pPr>
              <w:rPr>
                <w:rFonts w:ascii="Calibri" w:hAnsi="Calibri" w:cs="Calibri"/>
                <w:b/>
                <w:bCs/>
                <w:color w:val="000000"/>
                <w:sz w:val="20"/>
                <w:szCs w:val="20"/>
              </w:rPr>
            </w:pPr>
            <w:r>
              <w:rPr>
                <w:rFonts w:ascii="Calibri" w:hAnsi="Calibri" w:cs="Calibri"/>
                <w:color w:val="000000"/>
                <w:sz w:val="20"/>
                <w:szCs w:val="20"/>
              </w:rPr>
              <w:t>New Capital Works</w:t>
            </w:r>
          </w:p>
        </w:tc>
        <w:tc>
          <w:tcPr>
            <w:tcW w:w="1020" w:type="dxa"/>
            <w:vAlign w:val="center"/>
          </w:tcPr>
          <w:p w14:paraId="5979C85A" w14:textId="3CEBF464" w:rsidR="00C83B65" w:rsidRDefault="00C83B65" w:rsidP="00C83B65">
            <w:pPr>
              <w:jc w:val="right"/>
              <w:rPr>
                <w:rFonts w:ascii="Calibri" w:hAnsi="Calibri" w:cs="Calibri"/>
                <w:color w:val="FFFFFF"/>
                <w:sz w:val="20"/>
                <w:szCs w:val="20"/>
              </w:rPr>
            </w:pPr>
            <w:r>
              <w:rPr>
                <w:rFonts w:ascii="Calibri" w:hAnsi="Calibri" w:cs="Calibri"/>
                <w:color w:val="000000"/>
                <w:sz w:val="20"/>
                <w:szCs w:val="20"/>
              </w:rPr>
              <w:t>0</w:t>
            </w:r>
          </w:p>
        </w:tc>
        <w:tc>
          <w:tcPr>
            <w:tcW w:w="1020" w:type="dxa"/>
            <w:vAlign w:val="center"/>
          </w:tcPr>
          <w:p w14:paraId="30080DD2" w14:textId="430B627D" w:rsidR="00C83B65" w:rsidRDefault="00C83B65" w:rsidP="00C83B65">
            <w:pPr>
              <w:jc w:val="right"/>
              <w:rPr>
                <w:rFonts w:ascii="Calibri" w:hAnsi="Calibri" w:cs="Calibri"/>
                <w:color w:val="FFFFFF"/>
                <w:sz w:val="20"/>
                <w:szCs w:val="20"/>
              </w:rPr>
            </w:pPr>
            <w:r>
              <w:rPr>
                <w:rFonts w:ascii="Calibri" w:hAnsi="Calibri" w:cs="Calibri"/>
                <w:color w:val="000000"/>
                <w:sz w:val="20"/>
                <w:szCs w:val="20"/>
              </w:rPr>
              <w:t>0</w:t>
            </w:r>
          </w:p>
        </w:tc>
        <w:tc>
          <w:tcPr>
            <w:tcW w:w="1020" w:type="dxa"/>
            <w:vAlign w:val="center"/>
          </w:tcPr>
          <w:p w14:paraId="4007050F" w14:textId="26CE3E29" w:rsidR="00C83B65" w:rsidRDefault="00C83B65" w:rsidP="00C83B65">
            <w:pPr>
              <w:jc w:val="right"/>
              <w:rPr>
                <w:rFonts w:ascii="Calibri" w:hAnsi="Calibri" w:cs="Calibri"/>
                <w:color w:val="FFFFFF"/>
                <w:sz w:val="20"/>
                <w:szCs w:val="20"/>
              </w:rPr>
            </w:pPr>
            <w:r>
              <w:rPr>
                <w:rFonts w:ascii="Calibri" w:hAnsi="Calibri" w:cs="Calibri"/>
                <w:color w:val="000000"/>
                <w:sz w:val="20"/>
                <w:szCs w:val="20"/>
              </w:rPr>
              <w:t>0</w:t>
            </w:r>
          </w:p>
        </w:tc>
        <w:tc>
          <w:tcPr>
            <w:tcW w:w="1020" w:type="dxa"/>
            <w:vAlign w:val="center"/>
          </w:tcPr>
          <w:p w14:paraId="6859ED22" w14:textId="5133822F" w:rsidR="00C83B65" w:rsidRDefault="00C83B65" w:rsidP="00C83B65">
            <w:pPr>
              <w:jc w:val="right"/>
              <w:rPr>
                <w:rFonts w:ascii="Calibri" w:hAnsi="Calibri" w:cs="Calibri"/>
                <w:color w:val="FFFFFF"/>
                <w:sz w:val="20"/>
                <w:szCs w:val="20"/>
              </w:rPr>
            </w:pPr>
            <w:r>
              <w:rPr>
                <w:rFonts w:ascii="Calibri" w:hAnsi="Calibri" w:cs="Calibri"/>
                <w:color w:val="000000"/>
                <w:sz w:val="20"/>
                <w:szCs w:val="20"/>
              </w:rPr>
              <w:t>0</w:t>
            </w:r>
          </w:p>
        </w:tc>
        <w:tc>
          <w:tcPr>
            <w:tcW w:w="1020" w:type="dxa"/>
            <w:vAlign w:val="center"/>
          </w:tcPr>
          <w:p w14:paraId="5CEB25A4" w14:textId="4016365E" w:rsidR="00C83B65" w:rsidRDefault="00C83B65" w:rsidP="00C83B65">
            <w:pPr>
              <w:jc w:val="right"/>
              <w:rPr>
                <w:rFonts w:ascii="Calibri" w:hAnsi="Calibri" w:cs="Calibri"/>
                <w:color w:val="FFFFFF"/>
                <w:sz w:val="20"/>
                <w:szCs w:val="20"/>
              </w:rPr>
            </w:pPr>
            <w:r>
              <w:rPr>
                <w:rFonts w:ascii="Calibri" w:hAnsi="Calibri" w:cs="Calibri"/>
                <w:color w:val="000000"/>
                <w:sz w:val="20"/>
                <w:szCs w:val="20"/>
              </w:rPr>
              <w:t>0</w:t>
            </w:r>
          </w:p>
        </w:tc>
        <w:tc>
          <w:tcPr>
            <w:tcW w:w="1020" w:type="dxa"/>
            <w:vAlign w:val="center"/>
          </w:tcPr>
          <w:p w14:paraId="440FDAD2" w14:textId="2F308034" w:rsidR="00C83B65" w:rsidRDefault="00C83B65" w:rsidP="00C83B65">
            <w:pPr>
              <w:jc w:val="right"/>
              <w:rPr>
                <w:rFonts w:ascii="Calibri" w:hAnsi="Calibri" w:cs="Calibri"/>
                <w:color w:val="FFFFFF"/>
                <w:sz w:val="20"/>
                <w:szCs w:val="20"/>
              </w:rPr>
            </w:pPr>
            <w:r>
              <w:rPr>
                <w:rFonts w:ascii="Calibri" w:hAnsi="Calibri" w:cs="Calibri"/>
                <w:b/>
                <w:bCs/>
                <w:color w:val="000000"/>
                <w:sz w:val="20"/>
                <w:szCs w:val="20"/>
              </w:rPr>
              <w:t>0</w:t>
            </w:r>
          </w:p>
        </w:tc>
      </w:tr>
      <w:tr w:rsidR="00C83B65" w14:paraId="4E90201A" w14:textId="77777777" w:rsidTr="00C83B65">
        <w:trPr>
          <w:trHeight w:val="132"/>
        </w:trPr>
        <w:tc>
          <w:tcPr>
            <w:tcW w:w="2891" w:type="dxa"/>
            <w:vAlign w:val="bottom"/>
          </w:tcPr>
          <w:p w14:paraId="59205322" w14:textId="72B30C60" w:rsidR="00C83B65" w:rsidRDefault="00C83B65" w:rsidP="00C83B65">
            <w:pPr>
              <w:rPr>
                <w:rFonts w:ascii="Calibri" w:hAnsi="Calibri" w:cs="Calibri"/>
                <w:b/>
                <w:bCs/>
                <w:color w:val="000000"/>
                <w:sz w:val="20"/>
                <w:szCs w:val="20"/>
              </w:rPr>
            </w:pPr>
            <w:r>
              <w:rPr>
                <w:rFonts w:ascii="Calibri" w:hAnsi="Calibri" w:cs="Calibri"/>
                <w:color w:val="000000"/>
                <w:sz w:val="20"/>
                <w:szCs w:val="20"/>
              </w:rPr>
              <w:t>Better Infrastructure Fund</w:t>
            </w:r>
          </w:p>
        </w:tc>
        <w:tc>
          <w:tcPr>
            <w:tcW w:w="1020" w:type="dxa"/>
            <w:vAlign w:val="center"/>
          </w:tcPr>
          <w:p w14:paraId="482221F5" w14:textId="59EEB5A3" w:rsidR="00C83B65" w:rsidRDefault="00C83B65" w:rsidP="00C83B65">
            <w:pPr>
              <w:jc w:val="right"/>
              <w:rPr>
                <w:rFonts w:ascii="Calibri" w:hAnsi="Calibri" w:cs="Calibri"/>
                <w:color w:val="FFFFFF"/>
                <w:sz w:val="20"/>
                <w:szCs w:val="20"/>
              </w:rPr>
            </w:pPr>
            <w:r>
              <w:rPr>
                <w:rFonts w:ascii="Calibri" w:hAnsi="Calibri" w:cs="Calibri"/>
                <w:color w:val="000000"/>
                <w:sz w:val="20"/>
                <w:szCs w:val="20"/>
              </w:rPr>
              <w:t>0</w:t>
            </w:r>
          </w:p>
        </w:tc>
        <w:tc>
          <w:tcPr>
            <w:tcW w:w="1020" w:type="dxa"/>
            <w:vAlign w:val="center"/>
          </w:tcPr>
          <w:p w14:paraId="607D8F57" w14:textId="35BB044F" w:rsidR="00C83B65" w:rsidRDefault="00C83B65" w:rsidP="00C83B65">
            <w:pPr>
              <w:jc w:val="right"/>
              <w:rPr>
                <w:rFonts w:ascii="Calibri" w:hAnsi="Calibri" w:cs="Calibri"/>
                <w:color w:val="FFFFFF"/>
                <w:sz w:val="20"/>
                <w:szCs w:val="20"/>
              </w:rPr>
            </w:pPr>
            <w:r>
              <w:rPr>
                <w:rFonts w:ascii="Calibri" w:hAnsi="Calibri" w:cs="Calibri"/>
                <w:color w:val="000000"/>
                <w:sz w:val="20"/>
                <w:szCs w:val="20"/>
              </w:rPr>
              <w:t>0</w:t>
            </w:r>
          </w:p>
        </w:tc>
        <w:tc>
          <w:tcPr>
            <w:tcW w:w="1020" w:type="dxa"/>
            <w:vAlign w:val="center"/>
          </w:tcPr>
          <w:p w14:paraId="4BF0E68E" w14:textId="62A11939" w:rsidR="00C83B65" w:rsidRDefault="00C83B65" w:rsidP="00C83B65">
            <w:pPr>
              <w:jc w:val="right"/>
              <w:rPr>
                <w:rFonts w:ascii="Calibri" w:hAnsi="Calibri" w:cs="Calibri"/>
                <w:color w:val="FFFFFF"/>
                <w:sz w:val="20"/>
                <w:szCs w:val="20"/>
              </w:rPr>
            </w:pPr>
            <w:r>
              <w:rPr>
                <w:rFonts w:ascii="Calibri" w:hAnsi="Calibri" w:cs="Calibri"/>
                <w:color w:val="000000"/>
                <w:sz w:val="20"/>
                <w:szCs w:val="20"/>
              </w:rPr>
              <w:t>0</w:t>
            </w:r>
          </w:p>
        </w:tc>
        <w:tc>
          <w:tcPr>
            <w:tcW w:w="1020" w:type="dxa"/>
            <w:vAlign w:val="center"/>
          </w:tcPr>
          <w:p w14:paraId="73C9A947" w14:textId="59518755" w:rsidR="00C83B65" w:rsidRDefault="00C83B65" w:rsidP="00C83B65">
            <w:pPr>
              <w:jc w:val="right"/>
              <w:rPr>
                <w:rFonts w:ascii="Calibri" w:hAnsi="Calibri" w:cs="Calibri"/>
                <w:color w:val="FFFFFF"/>
                <w:sz w:val="20"/>
                <w:szCs w:val="20"/>
              </w:rPr>
            </w:pPr>
            <w:r>
              <w:rPr>
                <w:rFonts w:ascii="Calibri" w:hAnsi="Calibri" w:cs="Calibri"/>
                <w:color w:val="000000"/>
                <w:sz w:val="20"/>
                <w:szCs w:val="20"/>
              </w:rPr>
              <w:t>0</w:t>
            </w:r>
          </w:p>
        </w:tc>
        <w:tc>
          <w:tcPr>
            <w:tcW w:w="1020" w:type="dxa"/>
            <w:vAlign w:val="center"/>
          </w:tcPr>
          <w:p w14:paraId="1A7004E0" w14:textId="27C1A9BD" w:rsidR="00C83B65" w:rsidRDefault="00C83B65" w:rsidP="00C83B65">
            <w:pPr>
              <w:jc w:val="right"/>
              <w:rPr>
                <w:rFonts w:ascii="Calibri" w:hAnsi="Calibri" w:cs="Calibri"/>
                <w:color w:val="FFFFFF"/>
                <w:sz w:val="20"/>
                <w:szCs w:val="20"/>
              </w:rPr>
            </w:pPr>
            <w:r>
              <w:rPr>
                <w:rFonts w:ascii="Calibri" w:hAnsi="Calibri" w:cs="Calibri"/>
                <w:color w:val="000000"/>
                <w:sz w:val="20"/>
                <w:szCs w:val="20"/>
              </w:rPr>
              <w:t>0</w:t>
            </w:r>
          </w:p>
        </w:tc>
        <w:tc>
          <w:tcPr>
            <w:tcW w:w="1020" w:type="dxa"/>
            <w:vAlign w:val="center"/>
          </w:tcPr>
          <w:p w14:paraId="5677D76C" w14:textId="4B9973AD" w:rsidR="00C83B65" w:rsidRDefault="00C83B65" w:rsidP="00C83B65">
            <w:pPr>
              <w:jc w:val="right"/>
              <w:rPr>
                <w:rFonts w:ascii="Calibri" w:hAnsi="Calibri" w:cs="Calibri"/>
                <w:color w:val="FFFFFF"/>
                <w:sz w:val="20"/>
                <w:szCs w:val="20"/>
              </w:rPr>
            </w:pPr>
            <w:r>
              <w:rPr>
                <w:rFonts w:ascii="Calibri" w:hAnsi="Calibri" w:cs="Calibri"/>
                <w:b/>
                <w:bCs/>
                <w:color w:val="000000"/>
                <w:sz w:val="20"/>
                <w:szCs w:val="20"/>
              </w:rPr>
              <w:t>0</w:t>
            </w:r>
          </w:p>
        </w:tc>
      </w:tr>
      <w:tr w:rsidR="00C83B65" w14:paraId="4819897E" w14:textId="77777777" w:rsidTr="00C83B65">
        <w:trPr>
          <w:trHeight w:val="63"/>
        </w:trPr>
        <w:tc>
          <w:tcPr>
            <w:tcW w:w="2891" w:type="dxa"/>
            <w:vAlign w:val="bottom"/>
          </w:tcPr>
          <w:p w14:paraId="0A2C656F" w14:textId="58F7A0A4" w:rsidR="00C83B65" w:rsidRDefault="00C83B65" w:rsidP="00C83B65">
            <w:pPr>
              <w:rPr>
                <w:rFonts w:ascii="Calibri" w:hAnsi="Calibri" w:cs="Calibri"/>
                <w:b/>
                <w:bCs/>
                <w:color w:val="000000"/>
                <w:sz w:val="20"/>
                <w:szCs w:val="20"/>
              </w:rPr>
            </w:pPr>
            <w:r>
              <w:rPr>
                <w:rFonts w:ascii="Calibri" w:hAnsi="Calibri" w:cs="Calibri"/>
                <w:color w:val="000000"/>
                <w:sz w:val="20"/>
                <w:szCs w:val="20"/>
              </w:rPr>
              <w:t>Works-in-progress</w:t>
            </w:r>
          </w:p>
        </w:tc>
        <w:tc>
          <w:tcPr>
            <w:tcW w:w="1020" w:type="dxa"/>
            <w:vAlign w:val="center"/>
          </w:tcPr>
          <w:p w14:paraId="643BFA96" w14:textId="2EDAA9E4" w:rsidR="00C83B65" w:rsidRDefault="00C83B65" w:rsidP="00C83B65">
            <w:pPr>
              <w:jc w:val="right"/>
              <w:rPr>
                <w:rFonts w:ascii="Calibri" w:hAnsi="Calibri" w:cs="Calibri"/>
                <w:color w:val="FFFFFF"/>
                <w:sz w:val="20"/>
                <w:szCs w:val="20"/>
              </w:rPr>
            </w:pPr>
            <w:r>
              <w:rPr>
                <w:rFonts w:ascii="Calibri" w:hAnsi="Calibri" w:cs="Calibri"/>
                <w:color w:val="000000"/>
                <w:sz w:val="20"/>
                <w:szCs w:val="20"/>
              </w:rPr>
              <w:t>263</w:t>
            </w:r>
          </w:p>
        </w:tc>
        <w:tc>
          <w:tcPr>
            <w:tcW w:w="1020" w:type="dxa"/>
            <w:vAlign w:val="center"/>
          </w:tcPr>
          <w:p w14:paraId="6C092D39" w14:textId="15B46267" w:rsidR="00C83B65" w:rsidRDefault="00C83B65" w:rsidP="00C83B65">
            <w:pPr>
              <w:jc w:val="right"/>
              <w:rPr>
                <w:rFonts w:ascii="Calibri" w:hAnsi="Calibri" w:cs="Calibri"/>
                <w:color w:val="FFFFFF"/>
                <w:sz w:val="20"/>
                <w:szCs w:val="20"/>
              </w:rPr>
            </w:pPr>
            <w:r>
              <w:rPr>
                <w:rFonts w:ascii="Calibri" w:hAnsi="Calibri" w:cs="Calibri"/>
                <w:color w:val="000000"/>
                <w:sz w:val="20"/>
                <w:szCs w:val="20"/>
              </w:rPr>
              <w:t>0</w:t>
            </w:r>
          </w:p>
        </w:tc>
        <w:tc>
          <w:tcPr>
            <w:tcW w:w="1020" w:type="dxa"/>
            <w:vAlign w:val="center"/>
          </w:tcPr>
          <w:p w14:paraId="3718D0A7" w14:textId="442FC356" w:rsidR="00C83B65" w:rsidRDefault="00C83B65" w:rsidP="00C83B65">
            <w:pPr>
              <w:jc w:val="right"/>
              <w:rPr>
                <w:rFonts w:ascii="Calibri" w:hAnsi="Calibri" w:cs="Calibri"/>
                <w:color w:val="FFFFFF"/>
                <w:sz w:val="20"/>
                <w:szCs w:val="20"/>
              </w:rPr>
            </w:pPr>
            <w:r>
              <w:rPr>
                <w:rFonts w:ascii="Calibri" w:hAnsi="Calibri" w:cs="Calibri"/>
                <w:color w:val="000000"/>
                <w:sz w:val="20"/>
                <w:szCs w:val="20"/>
              </w:rPr>
              <w:t>0</w:t>
            </w:r>
          </w:p>
        </w:tc>
        <w:tc>
          <w:tcPr>
            <w:tcW w:w="1020" w:type="dxa"/>
            <w:vAlign w:val="center"/>
          </w:tcPr>
          <w:p w14:paraId="4E0974B4" w14:textId="7765A3BD" w:rsidR="00C83B65" w:rsidRDefault="00C83B65" w:rsidP="00C83B65">
            <w:pPr>
              <w:jc w:val="right"/>
              <w:rPr>
                <w:rFonts w:ascii="Calibri" w:hAnsi="Calibri" w:cs="Calibri"/>
                <w:color w:val="FFFFFF"/>
                <w:sz w:val="20"/>
                <w:szCs w:val="20"/>
              </w:rPr>
            </w:pPr>
            <w:r>
              <w:rPr>
                <w:rFonts w:ascii="Calibri" w:hAnsi="Calibri" w:cs="Calibri"/>
                <w:color w:val="000000"/>
                <w:sz w:val="20"/>
                <w:szCs w:val="20"/>
              </w:rPr>
              <w:t>0</w:t>
            </w:r>
          </w:p>
        </w:tc>
        <w:tc>
          <w:tcPr>
            <w:tcW w:w="1020" w:type="dxa"/>
            <w:vAlign w:val="center"/>
          </w:tcPr>
          <w:p w14:paraId="5BCEF5A8" w14:textId="11478046" w:rsidR="00C83B65" w:rsidRDefault="00C83B65" w:rsidP="00C83B65">
            <w:pPr>
              <w:jc w:val="right"/>
              <w:rPr>
                <w:rFonts w:ascii="Calibri" w:hAnsi="Calibri" w:cs="Calibri"/>
                <w:color w:val="FFFFFF"/>
                <w:sz w:val="20"/>
                <w:szCs w:val="20"/>
              </w:rPr>
            </w:pPr>
            <w:r>
              <w:rPr>
                <w:rFonts w:ascii="Calibri" w:hAnsi="Calibri" w:cs="Calibri"/>
                <w:color w:val="000000"/>
                <w:sz w:val="20"/>
                <w:szCs w:val="20"/>
              </w:rPr>
              <w:t>0</w:t>
            </w:r>
          </w:p>
        </w:tc>
        <w:tc>
          <w:tcPr>
            <w:tcW w:w="1020" w:type="dxa"/>
            <w:vAlign w:val="center"/>
          </w:tcPr>
          <w:p w14:paraId="2DB306D3" w14:textId="7F10C595" w:rsidR="00C83B65" w:rsidRDefault="00C83B65" w:rsidP="00C83B65">
            <w:pPr>
              <w:jc w:val="right"/>
              <w:rPr>
                <w:rFonts w:ascii="Calibri" w:hAnsi="Calibri" w:cs="Calibri"/>
                <w:color w:val="FFFFFF"/>
                <w:sz w:val="20"/>
                <w:szCs w:val="20"/>
              </w:rPr>
            </w:pPr>
            <w:r>
              <w:rPr>
                <w:rFonts w:ascii="Calibri" w:hAnsi="Calibri" w:cs="Calibri"/>
                <w:b/>
                <w:bCs/>
                <w:color w:val="000000"/>
                <w:sz w:val="20"/>
                <w:szCs w:val="20"/>
              </w:rPr>
              <w:t>263</w:t>
            </w:r>
          </w:p>
        </w:tc>
      </w:tr>
      <w:tr w:rsidR="00C83B65" w14:paraId="3A0565E8" w14:textId="77777777" w:rsidTr="00C83B65">
        <w:trPr>
          <w:trHeight w:val="69"/>
        </w:trPr>
        <w:tc>
          <w:tcPr>
            <w:tcW w:w="2891" w:type="dxa"/>
            <w:vAlign w:val="bottom"/>
          </w:tcPr>
          <w:p w14:paraId="16BC937F" w14:textId="4178E242" w:rsidR="00C83B65" w:rsidRDefault="00C83B65" w:rsidP="00C83B65">
            <w:pPr>
              <w:rPr>
                <w:rFonts w:ascii="Calibri" w:hAnsi="Calibri" w:cs="Calibri"/>
                <w:b/>
                <w:bCs/>
                <w:color w:val="000000"/>
                <w:sz w:val="20"/>
                <w:szCs w:val="20"/>
              </w:rPr>
            </w:pPr>
            <w:r>
              <w:rPr>
                <w:rFonts w:ascii="Calibri" w:hAnsi="Calibri" w:cs="Calibri"/>
                <w:b/>
                <w:bCs/>
                <w:color w:val="000000"/>
                <w:sz w:val="20"/>
                <w:szCs w:val="20"/>
              </w:rPr>
              <w:t>Total</w:t>
            </w:r>
          </w:p>
        </w:tc>
        <w:tc>
          <w:tcPr>
            <w:tcW w:w="1020" w:type="dxa"/>
            <w:vAlign w:val="center"/>
          </w:tcPr>
          <w:p w14:paraId="5B73381E" w14:textId="558CE501" w:rsidR="00C83B65" w:rsidRDefault="00C83B65" w:rsidP="00C83B65">
            <w:pPr>
              <w:jc w:val="right"/>
              <w:rPr>
                <w:rFonts w:ascii="Calibri" w:hAnsi="Calibri" w:cs="Calibri"/>
                <w:color w:val="FFFFFF"/>
                <w:sz w:val="20"/>
                <w:szCs w:val="20"/>
              </w:rPr>
            </w:pPr>
            <w:r>
              <w:rPr>
                <w:rFonts w:ascii="Calibri" w:hAnsi="Calibri" w:cs="Calibri"/>
                <w:b/>
                <w:bCs/>
                <w:color w:val="000000"/>
                <w:sz w:val="20"/>
                <w:szCs w:val="20"/>
              </w:rPr>
              <w:t>263</w:t>
            </w:r>
          </w:p>
        </w:tc>
        <w:tc>
          <w:tcPr>
            <w:tcW w:w="1020" w:type="dxa"/>
            <w:vAlign w:val="center"/>
          </w:tcPr>
          <w:p w14:paraId="6E3CAD97" w14:textId="193A27D7" w:rsidR="00C83B65" w:rsidRDefault="00C83B65" w:rsidP="00C83B65">
            <w:pPr>
              <w:jc w:val="right"/>
              <w:rPr>
                <w:rFonts w:ascii="Calibri" w:hAnsi="Calibri" w:cs="Calibri"/>
                <w:color w:val="FFFFFF"/>
                <w:sz w:val="20"/>
                <w:szCs w:val="20"/>
              </w:rPr>
            </w:pPr>
            <w:r>
              <w:rPr>
                <w:rFonts w:ascii="Calibri" w:hAnsi="Calibri" w:cs="Calibri"/>
                <w:b/>
                <w:bCs/>
                <w:color w:val="000000"/>
                <w:sz w:val="20"/>
                <w:szCs w:val="20"/>
              </w:rPr>
              <w:t>0</w:t>
            </w:r>
          </w:p>
        </w:tc>
        <w:tc>
          <w:tcPr>
            <w:tcW w:w="1020" w:type="dxa"/>
            <w:vAlign w:val="center"/>
          </w:tcPr>
          <w:p w14:paraId="28DC59C4" w14:textId="671719BA" w:rsidR="00C83B65" w:rsidRDefault="00C83B65" w:rsidP="00C83B65">
            <w:pPr>
              <w:jc w:val="right"/>
              <w:rPr>
                <w:rFonts w:ascii="Calibri" w:hAnsi="Calibri" w:cs="Calibri"/>
                <w:color w:val="FFFFFF"/>
                <w:sz w:val="20"/>
                <w:szCs w:val="20"/>
              </w:rPr>
            </w:pPr>
            <w:r>
              <w:rPr>
                <w:rFonts w:ascii="Calibri" w:hAnsi="Calibri" w:cs="Calibri"/>
                <w:b/>
                <w:bCs/>
                <w:color w:val="000000"/>
                <w:sz w:val="20"/>
                <w:szCs w:val="20"/>
              </w:rPr>
              <w:t>0</w:t>
            </w:r>
          </w:p>
        </w:tc>
        <w:tc>
          <w:tcPr>
            <w:tcW w:w="1020" w:type="dxa"/>
            <w:vAlign w:val="center"/>
          </w:tcPr>
          <w:p w14:paraId="286C7ADD" w14:textId="7C42DE5E" w:rsidR="00C83B65" w:rsidRDefault="00C83B65" w:rsidP="00C83B65">
            <w:pPr>
              <w:jc w:val="right"/>
              <w:rPr>
                <w:rFonts w:ascii="Calibri" w:hAnsi="Calibri" w:cs="Calibri"/>
                <w:color w:val="FFFFFF"/>
                <w:sz w:val="20"/>
                <w:szCs w:val="20"/>
              </w:rPr>
            </w:pPr>
            <w:r>
              <w:rPr>
                <w:rFonts w:ascii="Calibri" w:hAnsi="Calibri" w:cs="Calibri"/>
                <w:b/>
                <w:bCs/>
                <w:color w:val="000000"/>
                <w:sz w:val="20"/>
                <w:szCs w:val="20"/>
              </w:rPr>
              <w:t>0</w:t>
            </w:r>
          </w:p>
        </w:tc>
        <w:tc>
          <w:tcPr>
            <w:tcW w:w="1020" w:type="dxa"/>
            <w:vAlign w:val="center"/>
          </w:tcPr>
          <w:p w14:paraId="64B22EC6" w14:textId="2C59A846" w:rsidR="00C83B65" w:rsidRDefault="00C83B65" w:rsidP="00C83B65">
            <w:pPr>
              <w:jc w:val="right"/>
              <w:rPr>
                <w:rFonts w:ascii="Calibri" w:hAnsi="Calibri" w:cs="Calibri"/>
                <w:color w:val="FFFFFF"/>
                <w:sz w:val="20"/>
                <w:szCs w:val="20"/>
              </w:rPr>
            </w:pPr>
            <w:r>
              <w:rPr>
                <w:rFonts w:ascii="Calibri" w:hAnsi="Calibri" w:cs="Calibri"/>
                <w:b/>
                <w:bCs/>
                <w:color w:val="000000"/>
                <w:sz w:val="20"/>
                <w:szCs w:val="20"/>
              </w:rPr>
              <w:t>0</w:t>
            </w:r>
          </w:p>
        </w:tc>
        <w:tc>
          <w:tcPr>
            <w:tcW w:w="1020" w:type="dxa"/>
            <w:vAlign w:val="center"/>
          </w:tcPr>
          <w:p w14:paraId="22B94E81" w14:textId="06993D1B" w:rsidR="00C83B65" w:rsidRDefault="00C83B65" w:rsidP="00C83B65">
            <w:pPr>
              <w:jc w:val="right"/>
              <w:rPr>
                <w:rFonts w:ascii="Calibri" w:hAnsi="Calibri" w:cs="Calibri"/>
                <w:color w:val="FFFFFF"/>
                <w:sz w:val="20"/>
                <w:szCs w:val="20"/>
              </w:rPr>
            </w:pPr>
            <w:r>
              <w:rPr>
                <w:rFonts w:ascii="Calibri" w:hAnsi="Calibri" w:cs="Calibri"/>
                <w:b/>
                <w:bCs/>
                <w:color w:val="000000"/>
                <w:sz w:val="20"/>
                <w:szCs w:val="20"/>
              </w:rPr>
              <w:t>263</w:t>
            </w:r>
          </w:p>
        </w:tc>
      </w:tr>
      <w:tr w:rsidR="00A60D4B" w14:paraId="478719BB" w14:textId="77777777" w:rsidTr="00C83B65">
        <w:trPr>
          <w:trHeight w:val="340"/>
        </w:trPr>
        <w:tc>
          <w:tcPr>
            <w:tcW w:w="2891" w:type="dxa"/>
            <w:vAlign w:val="bottom"/>
          </w:tcPr>
          <w:p w14:paraId="78168D0F" w14:textId="77777777" w:rsidR="00A60D4B" w:rsidRDefault="00A60D4B" w:rsidP="00A60D4B">
            <w:r>
              <w:rPr>
                <w:rFonts w:ascii="Calibri" w:hAnsi="Calibri" w:cs="Calibri"/>
                <w:b/>
                <w:bCs/>
                <w:color w:val="000000"/>
                <w:sz w:val="20"/>
                <w:szCs w:val="20"/>
              </w:rPr>
              <w:t>ACT Health Directorate</w:t>
            </w:r>
          </w:p>
        </w:tc>
        <w:tc>
          <w:tcPr>
            <w:tcW w:w="1020" w:type="dxa"/>
          </w:tcPr>
          <w:p w14:paraId="142E6300" w14:textId="77777777" w:rsidR="00A60D4B" w:rsidRDefault="00A60D4B" w:rsidP="00A60D4B">
            <w:pPr>
              <w:jc w:val="right"/>
            </w:pPr>
            <w:r>
              <w:rPr>
                <w:rFonts w:ascii="Calibri" w:hAnsi="Calibri" w:cs="Calibri"/>
                <w:color w:val="FFFFFF"/>
                <w:sz w:val="20"/>
                <w:szCs w:val="20"/>
              </w:rPr>
              <w:t> </w:t>
            </w:r>
          </w:p>
        </w:tc>
        <w:tc>
          <w:tcPr>
            <w:tcW w:w="1020" w:type="dxa"/>
          </w:tcPr>
          <w:p w14:paraId="5298B5DD" w14:textId="77777777" w:rsidR="00A60D4B" w:rsidRDefault="00A60D4B" w:rsidP="00A60D4B">
            <w:pPr>
              <w:jc w:val="right"/>
            </w:pPr>
            <w:r>
              <w:rPr>
                <w:rFonts w:ascii="Calibri" w:hAnsi="Calibri" w:cs="Calibri"/>
                <w:color w:val="FFFFFF"/>
                <w:sz w:val="20"/>
                <w:szCs w:val="20"/>
              </w:rPr>
              <w:t> </w:t>
            </w:r>
          </w:p>
        </w:tc>
        <w:tc>
          <w:tcPr>
            <w:tcW w:w="1020" w:type="dxa"/>
          </w:tcPr>
          <w:p w14:paraId="4785C856" w14:textId="77777777" w:rsidR="00A60D4B" w:rsidRDefault="00A60D4B" w:rsidP="00A60D4B">
            <w:pPr>
              <w:jc w:val="right"/>
            </w:pPr>
            <w:r>
              <w:rPr>
                <w:rFonts w:ascii="Calibri" w:hAnsi="Calibri" w:cs="Calibri"/>
                <w:color w:val="FFFFFF"/>
                <w:sz w:val="20"/>
                <w:szCs w:val="20"/>
              </w:rPr>
              <w:t> </w:t>
            </w:r>
          </w:p>
        </w:tc>
        <w:tc>
          <w:tcPr>
            <w:tcW w:w="1020" w:type="dxa"/>
          </w:tcPr>
          <w:p w14:paraId="7263580A" w14:textId="77777777" w:rsidR="00A60D4B" w:rsidRDefault="00A60D4B" w:rsidP="00A60D4B">
            <w:pPr>
              <w:jc w:val="right"/>
            </w:pPr>
            <w:r>
              <w:rPr>
                <w:rFonts w:ascii="Calibri" w:hAnsi="Calibri" w:cs="Calibri"/>
                <w:color w:val="FFFFFF"/>
                <w:sz w:val="20"/>
                <w:szCs w:val="20"/>
              </w:rPr>
              <w:t> </w:t>
            </w:r>
          </w:p>
        </w:tc>
        <w:tc>
          <w:tcPr>
            <w:tcW w:w="1020" w:type="dxa"/>
          </w:tcPr>
          <w:p w14:paraId="68357ECD" w14:textId="77777777" w:rsidR="00A60D4B" w:rsidRDefault="00A60D4B" w:rsidP="00A60D4B">
            <w:pPr>
              <w:jc w:val="right"/>
            </w:pPr>
            <w:r>
              <w:rPr>
                <w:rFonts w:ascii="Calibri" w:hAnsi="Calibri" w:cs="Calibri"/>
                <w:color w:val="FFFFFF"/>
                <w:sz w:val="20"/>
                <w:szCs w:val="20"/>
              </w:rPr>
              <w:t> </w:t>
            </w:r>
          </w:p>
        </w:tc>
        <w:tc>
          <w:tcPr>
            <w:tcW w:w="1020" w:type="dxa"/>
          </w:tcPr>
          <w:p w14:paraId="674E7262" w14:textId="77777777" w:rsidR="00A60D4B" w:rsidRDefault="00A60D4B" w:rsidP="00A60D4B">
            <w:pPr>
              <w:jc w:val="right"/>
            </w:pPr>
            <w:r>
              <w:rPr>
                <w:rFonts w:ascii="Calibri" w:hAnsi="Calibri" w:cs="Calibri"/>
                <w:color w:val="FFFFFF"/>
                <w:sz w:val="20"/>
                <w:szCs w:val="20"/>
              </w:rPr>
              <w:t>0</w:t>
            </w:r>
          </w:p>
        </w:tc>
      </w:tr>
      <w:tr w:rsidR="00A60D4B" w14:paraId="3A08E92F" w14:textId="77777777" w:rsidTr="00A60D4B">
        <w:tc>
          <w:tcPr>
            <w:tcW w:w="2891" w:type="dxa"/>
            <w:vAlign w:val="bottom"/>
          </w:tcPr>
          <w:p w14:paraId="24F2E5A4" w14:textId="77777777" w:rsidR="00A60D4B" w:rsidRDefault="00A60D4B" w:rsidP="00A60D4B">
            <w:r>
              <w:rPr>
                <w:rFonts w:ascii="Calibri" w:hAnsi="Calibri" w:cs="Calibri"/>
                <w:color w:val="000000"/>
                <w:sz w:val="20"/>
                <w:szCs w:val="20"/>
              </w:rPr>
              <w:t>New Capital Works</w:t>
            </w:r>
          </w:p>
        </w:tc>
        <w:tc>
          <w:tcPr>
            <w:tcW w:w="1020" w:type="dxa"/>
          </w:tcPr>
          <w:p w14:paraId="15607BBA" w14:textId="77777777" w:rsidR="00A60D4B" w:rsidRDefault="00A60D4B" w:rsidP="00A60D4B">
            <w:pPr>
              <w:jc w:val="right"/>
            </w:pPr>
            <w:r>
              <w:rPr>
                <w:rFonts w:ascii="Calibri" w:hAnsi="Calibri" w:cs="Calibri"/>
                <w:color w:val="000000"/>
                <w:sz w:val="20"/>
                <w:szCs w:val="20"/>
              </w:rPr>
              <w:t>14,121</w:t>
            </w:r>
          </w:p>
        </w:tc>
        <w:tc>
          <w:tcPr>
            <w:tcW w:w="1020" w:type="dxa"/>
          </w:tcPr>
          <w:p w14:paraId="31775C6C" w14:textId="77777777" w:rsidR="00A60D4B" w:rsidRDefault="00A60D4B" w:rsidP="00A60D4B">
            <w:pPr>
              <w:jc w:val="right"/>
            </w:pPr>
            <w:r>
              <w:rPr>
                <w:rFonts w:ascii="Calibri" w:hAnsi="Calibri" w:cs="Calibri"/>
                <w:color w:val="000000"/>
                <w:sz w:val="20"/>
                <w:szCs w:val="20"/>
              </w:rPr>
              <w:t>21,710</w:t>
            </w:r>
          </w:p>
        </w:tc>
        <w:tc>
          <w:tcPr>
            <w:tcW w:w="1020" w:type="dxa"/>
          </w:tcPr>
          <w:p w14:paraId="4B216A82" w14:textId="77777777" w:rsidR="00A60D4B" w:rsidRDefault="00A60D4B" w:rsidP="00A60D4B">
            <w:pPr>
              <w:jc w:val="right"/>
            </w:pPr>
            <w:r>
              <w:rPr>
                <w:rFonts w:ascii="Calibri" w:hAnsi="Calibri" w:cs="Calibri"/>
                <w:color w:val="000000"/>
                <w:sz w:val="20"/>
                <w:szCs w:val="20"/>
              </w:rPr>
              <w:t>1,000</w:t>
            </w:r>
          </w:p>
        </w:tc>
        <w:tc>
          <w:tcPr>
            <w:tcW w:w="1020" w:type="dxa"/>
          </w:tcPr>
          <w:p w14:paraId="5BFFDDCF" w14:textId="77777777" w:rsidR="00A60D4B" w:rsidRDefault="00A60D4B" w:rsidP="00A60D4B">
            <w:pPr>
              <w:jc w:val="right"/>
            </w:pPr>
            <w:r>
              <w:rPr>
                <w:rFonts w:ascii="Calibri" w:hAnsi="Calibri" w:cs="Calibri"/>
                <w:color w:val="000000"/>
                <w:sz w:val="20"/>
                <w:szCs w:val="20"/>
              </w:rPr>
              <w:t>0</w:t>
            </w:r>
          </w:p>
        </w:tc>
        <w:tc>
          <w:tcPr>
            <w:tcW w:w="1020" w:type="dxa"/>
          </w:tcPr>
          <w:p w14:paraId="01ED2D36" w14:textId="77777777" w:rsidR="00A60D4B" w:rsidRDefault="00A60D4B" w:rsidP="00A60D4B">
            <w:pPr>
              <w:jc w:val="right"/>
            </w:pPr>
            <w:r>
              <w:rPr>
                <w:rFonts w:ascii="Calibri" w:hAnsi="Calibri" w:cs="Calibri"/>
                <w:color w:val="000000"/>
                <w:sz w:val="20"/>
                <w:szCs w:val="20"/>
              </w:rPr>
              <w:t>0</w:t>
            </w:r>
          </w:p>
        </w:tc>
        <w:tc>
          <w:tcPr>
            <w:tcW w:w="1020" w:type="dxa"/>
          </w:tcPr>
          <w:p w14:paraId="02EC3063" w14:textId="77777777" w:rsidR="00A60D4B" w:rsidRDefault="00A60D4B" w:rsidP="00A60D4B">
            <w:pPr>
              <w:jc w:val="right"/>
            </w:pPr>
            <w:r>
              <w:rPr>
                <w:rFonts w:ascii="Calibri" w:hAnsi="Calibri" w:cs="Calibri"/>
                <w:b/>
                <w:bCs/>
                <w:color w:val="000000"/>
                <w:sz w:val="20"/>
                <w:szCs w:val="20"/>
              </w:rPr>
              <w:t>36,831</w:t>
            </w:r>
          </w:p>
        </w:tc>
      </w:tr>
      <w:tr w:rsidR="00A60D4B" w14:paraId="71E16316" w14:textId="77777777" w:rsidTr="00A60D4B">
        <w:tc>
          <w:tcPr>
            <w:tcW w:w="2891" w:type="dxa"/>
            <w:vAlign w:val="bottom"/>
          </w:tcPr>
          <w:p w14:paraId="02E688CA" w14:textId="77777777" w:rsidR="00A60D4B" w:rsidRDefault="00A60D4B" w:rsidP="00A60D4B">
            <w:r>
              <w:rPr>
                <w:rFonts w:ascii="Calibri" w:hAnsi="Calibri" w:cs="Calibri"/>
                <w:color w:val="000000"/>
                <w:sz w:val="20"/>
                <w:szCs w:val="20"/>
              </w:rPr>
              <w:t>Better Infrastructure Fund</w:t>
            </w:r>
          </w:p>
        </w:tc>
        <w:tc>
          <w:tcPr>
            <w:tcW w:w="1020" w:type="dxa"/>
          </w:tcPr>
          <w:p w14:paraId="611A5B9D" w14:textId="77777777" w:rsidR="00A60D4B" w:rsidRDefault="00A60D4B" w:rsidP="00A60D4B">
            <w:pPr>
              <w:jc w:val="right"/>
            </w:pPr>
            <w:r>
              <w:rPr>
                <w:rFonts w:ascii="Calibri" w:hAnsi="Calibri" w:cs="Calibri"/>
                <w:color w:val="000000"/>
                <w:sz w:val="20"/>
                <w:szCs w:val="20"/>
              </w:rPr>
              <w:t>2,062</w:t>
            </w:r>
          </w:p>
        </w:tc>
        <w:tc>
          <w:tcPr>
            <w:tcW w:w="1020" w:type="dxa"/>
          </w:tcPr>
          <w:p w14:paraId="4B3972A6" w14:textId="77777777" w:rsidR="00A60D4B" w:rsidRDefault="00A60D4B" w:rsidP="00A60D4B">
            <w:pPr>
              <w:jc w:val="right"/>
            </w:pPr>
            <w:r>
              <w:rPr>
                <w:rFonts w:ascii="Calibri" w:hAnsi="Calibri" w:cs="Calibri"/>
                <w:color w:val="000000"/>
                <w:sz w:val="20"/>
                <w:szCs w:val="20"/>
              </w:rPr>
              <w:t>1,432</w:t>
            </w:r>
          </w:p>
        </w:tc>
        <w:tc>
          <w:tcPr>
            <w:tcW w:w="1020" w:type="dxa"/>
          </w:tcPr>
          <w:p w14:paraId="75F02843" w14:textId="77777777" w:rsidR="00A60D4B" w:rsidRDefault="00A60D4B" w:rsidP="00A60D4B">
            <w:pPr>
              <w:jc w:val="right"/>
            </w:pPr>
            <w:r>
              <w:rPr>
                <w:rFonts w:ascii="Calibri" w:hAnsi="Calibri" w:cs="Calibri"/>
                <w:color w:val="000000"/>
                <w:sz w:val="20"/>
                <w:szCs w:val="20"/>
              </w:rPr>
              <w:t>1,468</w:t>
            </w:r>
          </w:p>
        </w:tc>
        <w:tc>
          <w:tcPr>
            <w:tcW w:w="1020" w:type="dxa"/>
          </w:tcPr>
          <w:p w14:paraId="19458A01" w14:textId="77777777" w:rsidR="00A60D4B" w:rsidRDefault="00A60D4B" w:rsidP="00A60D4B">
            <w:pPr>
              <w:jc w:val="right"/>
            </w:pPr>
            <w:r>
              <w:rPr>
                <w:rFonts w:ascii="Calibri" w:hAnsi="Calibri" w:cs="Calibri"/>
                <w:color w:val="000000"/>
                <w:sz w:val="20"/>
                <w:szCs w:val="20"/>
              </w:rPr>
              <w:t>1,505</w:t>
            </w:r>
          </w:p>
        </w:tc>
        <w:tc>
          <w:tcPr>
            <w:tcW w:w="1020" w:type="dxa"/>
          </w:tcPr>
          <w:p w14:paraId="1BCBFEFD" w14:textId="77777777" w:rsidR="00A60D4B" w:rsidRDefault="00A60D4B" w:rsidP="00A60D4B">
            <w:pPr>
              <w:jc w:val="right"/>
            </w:pPr>
            <w:r>
              <w:rPr>
                <w:rFonts w:ascii="Calibri" w:hAnsi="Calibri" w:cs="Calibri"/>
                <w:color w:val="000000"/>
                <w:sz w:val="20"/>
                <w:szCs w:val="20"/>
              </w:rPr>
              <w:t>1,543</w:t>
            </w:r>
          </w:p>
        </w:tc>
        <w:tc>
          <w:tcPr>
            <w:tcW w:w="1020" w:type="dxa"/>
          </w:tcPr>
          <w:p w14:paraId="7C01F358" w14:textId="77777777" w:rsidR="00A60D4B" w:rsidRDefault="00A60D4B" w:rsidP="00A60D4B">
            <w:pPr>
              <w:jc w:val="right"/>
            </w:pPr>
            <w:r>
              <w:rPr>
                <w:rFonts w:ascii="Calibri" w:hAnsi="Calibri" w:cs="Calibri"/>
                <w:b/>
                <w:bCs/>
                <w:color w:val="000000"/>
                <w:sz w:val="20"/>
                <w:szCs w:val="20"/>
              </w:rPr>
              <w:t>8,010</w:t>
            </w:r>
          </w:p>
        </w:tc>
      </w:tr>
      <w:tr w:rsidR="00A60D4B" w14:paraId="0DD8FFB6" w14:textId="77777777" w:rsidTr="00A60D4B">
        <w:tc>
          <w:tcPr>
            <w:tcW w:w="2891" w:type="dxa"/>
            <w:vAlign w:val="bottom"/>
          </w:tcPr>
          <w:p w14:paraId="6EA34763" w14:textId="77777777" w:rsidR="00A60D4B" w:rsidRDefault="00A60D4B" w:rsidP="00A60D4B">
            <w:r>
              <w:rPr>
                <w:rFonts w:ascii="Calibri" w:hAnsi="Calibri" w:cs="Calibri"/>
                <w:color w:val="000000"/>
                <w:sz w:val="20"/>
                <w:szCs w:val="20"/>
              </w:rPr>
              <w:t>Works-in-progress</w:t>
            </w:r>
          </w:p>
        </w:tc>
        <w:tc>
          <w:tcPr>
            <w:tcW w:w="1020" w:type="dxa"/>
          </w:tcPr>
          <w:p w14:paraId="08F69FAC" w14:textId="77777777" w:rsidR="00A60D4B" w:rsidRDefault="00A60D4B" w:rsidP="00A60D4B">
            <w:pPr>
              <w:jc w:val="right"/>
            </w:pPr>
            <w:r>
              <w:rPr>
                <w:rFonts w:ascii="Calibri" w:hAnsi="Calibri" w:cs="Calibri"/>
                <w:color w:val="000000"/>
                <w:sz w:val="20"/>
                <w:szCs w:val="20"/>
              </w:rPr>
              <w:t>60,052</w:t>
            </w:r>
          </w:p>
        </w:tc>
        <w:tc>
          <w:tcPr>
            <w:tcW w:w="1020" w:type="dxa"/>
          </w:tcPr>
          <w:p w14:paraId="785842F4" w14:textId="77777777" w:rsidR="00A60D4B" w:rsidRDefault="00A60D4B" w:rsidP="00A60D4B">
            <w:pPr>
              <w:jc w:val="right"/>
            </w:pPr>
            <w:r>
              <w:rPr>
                <w:rFonts w:ascii="Calibri" w:hAnsi="Calibri" w:cs="Calibri"/>
                <w:color w:val="000000"/>
                <w:sz w:val="20"/>
                <w:szCs w:val="20"/>
              </w:rPr>
              <w:t>46,840</w:t>
            </w:r>
          </w:p>
        </w:tc>
        <w:tc>
          <w:tcPr>
            <w:tcW w:w="1020" w:type="dxa"/>
          </w:tcPr>
          <w:p w14:paraId="6D0D70B1" w14:textId="77777777" w:rsidR="00A60D4B" w:rsidRDefault="00A60D4B" w:rsidP="00A60D4B">
            <w:pPr>
              <w:jc w:val="right"/>
            </w:pPr>
            <w:r>
              <w:rPr>
                <w:rFonts w:ascii="Calibri" w:hAnsi="Calibri" w:cs="Calibri"/>
                <w:color w:val="000000"/>
                <w:sz w:val="20"/>
                <w:szCs w:val="20"/>
              </w:rPr>
              <w:t>6,509</w:t>
            </w:r>
          </w:p>
        </w:tc>
        <w:tc>
          <w:tcPr>
            <w:tcW w:w="1020" w:type="dxa"/>
          </w:tcPr>
          <w:p w14:paraId="37A91F6D" w14:textId="77777777" w:rsidR="00A60D4B" w:rsidRDefault="00A60D4B" w:rsidP="00A60D4B">
            <w:pPr>
              <w:jc w:val="right"/>
            </w:pPr>
            <w:r>
              <w:rPr>
                <w:rFonts w:ascii="Calibri" w:hAnsi="Calibri" w:cs="Calibri"/>
                <w:color w:val="000000"/>
                <w:sz w:val="20"/>
                <w:szCs w:val="20"/>
              </w:rPr>
              <w:t>5,009</w:t>
            </w:r>
          </w:p>
        </w:tc>
        <w:tc>
          <w:tcPr>
            <w:tcW w:w="1020" w:type="dxa"/>
          </w:tcPr>
          <w:p w14:paraId="6E276C71" w14:textId="77777777" w:rsidR="00A60D4B" w:rsidRDefault="00A60D4B" w:rsidP="00A60D4B">
            <w:pPr>
              <w:jc w:val="right"/>
            </w:pPr>
            <w:r>
              <w:rPr>
                <w:rFonts w:ascii="Calibri" w:hAnsi="Calibri" w:cs="Calibri"/>
                <w:color w:val="000000"/>
                <w:sz w:val="20"/>
                <w:szCs w:val="20"/>
              </w:rPr>
              <w:t>0</w:t>
            </w:r>
          </w:p>
        </w:tc>
        <w:tc>
          <w:tcPr>
            <w:tcW w:w="1020" w:type="dxa"/>
          </w:tcPr>
          <w:p w14:paraId="79780EB4" w14:textId="77777777" w:rsidR="00A60D4B" w:rsidRDefault="00A60D4B" w:rsidP="00A60D4B">
            <w:pPr>
              <w:jc w:val="right"/>
            </w:pPr>
            <w:r>
              <w:rPr>
                <w:rFonts w:ascii="Calibri" w:hAnsi="Calibri" w:cs="Calibri"/>
                <w:b/>
                <w:bCs/>
                <w:color w:val="000000"/>
                <w:sz w:val="20"/>
                <w:szCs w:val="20"/>
              </w:rPr>
              <w:t>118,410</w:t>
            </w:r>
          </w:p>
        </w:tc>
      </w:tr>
      <w:tr w:rsidR="00A60D4B" w14:paraId="3AAF32E1" w14:textId="77777777" w:rsidTr="00A60D4B">
        <w:tc>
          <w:tcPr>
            <w:tcW w:w="2891" w:type="dxa"/>
            <w:vAlign w:val="bottom"/>
          </w:tcPr>
          <w:p w14:paraId="58D6A762" w14:textId="77777777" w:rsidR="00A60D4B" w:rsidRDefault="00A60D4B" w:rsidP="00A60D4B">
            <w:r>
              <w:rPr>
                <w:rFonts w:ascii="Calibri" w:hAnsi="Calibri" w:cs="Calibri"/>
                <w:b/>
                <w:bCs/>
                <w:color w:val="000000"/>
                <w:sz w:val="20"/>
                <w:szCs w:val="20"/>
              </w:rPr>
              <w:t>Total</w:t>
            </w:r>
          </w:p>
        </w:tc>
        <w:tc>
          <w:tcPr>
            <w:tcW w:w="1020" w:type="dxa"/>
          </w:tcPr>
          <w:p w14:paraId="3DE03245" w14:textId="77777777" w:rsidR="00A60D4B" w:rsidRDefault="00A60D4B" w:rsidP="00A60D4B">
            <w:pPr>
              <w:jc w:val="right"/>
            </w:pPr>
            <w:r>
              <w:rPr>
                <w:rFonts w:ascii="Calibri" w:hAnsi="Calibri" w:cs="Calibri"/>
                <w:b/>
                <w:bCs/>
                <w:color w:val="000000"/>
                <w:sz w:val="20"/>
                <w:szCs w:val="20"/>
              </w:rPr>
              <w:t>76,235</w:t>
            </w:r>
          </w:p>
        </w:tc>
        <w:tc>
          <w:tcPr>
            <w:tcW w:w="1020" w:type="dxa"/>
          </w:tcPr>
          <w:p w14:paraId="5CF54879" w14:textId="77777777" w:rsidR="00A60D4B" w:rsidRDefault="00A60D4B" w:rsidP="00A60D4B">
            <w:pPr>
              <w:jc w:val="right"/>
            </w:pPr>
            <w:r>
              <w:rPr>
                <w:rFonts w:ascii="Calibri" w:hAnsi="Calibri" w:cs="Calibri"/>
                <w:b/>
                <w:bCs/>
                <w:color w:val="000000"/>
                <w:sz w:val="20"/>
                <w:szCs w:val="20"/>
              </w:rPr>
              <w:t>69,982</w:t>
            </w:r>
          </w:p>
        </w:tc>
        <w:tc>
          <w:tcPr>
            <w:tcW w:w="1020" w:type="dxa"/>
          </w:tcPr>
          <w:p w14:paraId="48EA27C4" w14:textId="77777777" w:rsidR="00A60D4B" w:rsidRDefault="00A60D4B" w:rsidP="00A60D4B">
            <w:pPr>
              <w:jc w:val="right"/>
            </w:pPr>
            <w:r>
              <w:rPr>
                <w:rFonts w:ascii="Calibri" w:hAnsi="Calibri" w:cs="Calibri"/>
                <w:b/>
                <w:bCs/>
                <w:color w:val="000000"/>
                <w:sz w:val="20"/>
                <w:szCs w:val="20"/>
              </w:rPr>
              <w:t>8,977</w:t>
            </w:r>
          </w:p>
        </w:tc>
        <w:tc>
          <w:tcPr>
            <w:tcW w:w="1020" w:type="dxa"/>
          </w:tcPr>
          <w:p w14:paraId="5A0473ED" w14:textId="77777777" w:rsidR="00A60D4B" w:rsidRDefault="00A60D4B" w:rsidP="00A60D4B">
            <w:pPr>
              <w:jc w:val="right"/>
            </w:pPr>
            <w:r>
              <w:rPr>
                <w:rFonts w:ascii="Calibri" w:hAnsi="Calibri" w:cs="Calibri"/>
                <w:b/>
                <w:bCs/>
                <w:color w:val="000000"/>
                <w:sz w:val="20"/>
                <w:szCs w:val="20"/>
              </w:rPr>
              <w:t>6,514</w:t>
            </w:r>
          </w:p>
        </w:tc>
        <w:tc>
          <w:tcPr>
            <w:tcW w:w="1020" w:type="dxa"/>
          </w:tcPr>
          <w:p w14:paraId="77E0303F" w14:textId="77777777" w:rsidR="00A60D4B" w:rsidRDefault="00A60D4B" w:rsidP="00A60D4B">
            <w:pPr>
              <w:jc w:val="right"/>
            </w:pPr>
            <w:r>
              <w:rPr>
                <w:rFonts w:ascii="Calibri" w:hAnsi="Calibri" w:cs="Calibri"/>
                <w:b/>
                <w:bCs/>
                <w:color w:val="000000"/>
                <w:sz w:val="20"/>
                <w:szCs w:val="20"/>
              </w:rPr>
              <w:t>1,543</w:t>
            </w:r>
          </w:p>
        </w:tc>
        <w:tc>
          <w:tcPr>
            <w:tcW w:w="1020" w:type="dxa"/>
          </w:tcPr>
          <w:p w14:paraId="6EA7E954" w14:textId="77777777" w:rsidR="00A60D4B" w:rsidRDefault="00A60D4B" w:rsidP="00A60D4B">
            <w:pPr>
              <w:jc w:val="right"/>
            </w:pPr>
            <w:r>
              <w:rPr>
                <w:rFonts w:ascii="Calibri" w:hAnsi="Calibri" w:cs="Calibri"/>
                <w:b/>
                <w:bCs/>
                <w:color w:val="000000"/>
                <w:sz w:val="20"/>
                <w:szCs w:val="20"/>
              </w:rPr>
              <w:t>163,251</w:t>
            </w:r>
          </w:p>
        </w:tc>
      </w:tr>
      <w:tr w:rsidR="00A60D4B" w14:paraId="4BD853FF" w14:textId="77777777" w:rsidTr="00A60D4B">
        <w:trPr>
          <w:trHeight w:val="397"/>
        </w:trPr>
        <w:tc>
          <w:tcPr>
            <w:tcW w:w="2891" w:type="dxa"/>
            <w:vAlign w:val="bottom"/>
          </w:tcPr>
          <w:p w14:paraId="6E3FA2D9" w14:textId="77777777" w:rsidR="00A60D4B" w:rsidRDefault="00A60D4B" w:rsidP="00A60D4B">
            <w:r>
              <w:rPr>
                <w:rFonts w:ascii="Calibri" w:hAnsi="Calibri" w:cs="Calibri"/>
                <w:b/>
                <w:bCs/>
                <w:color w:val="000000"/>
                <w:sz w:val="20"/>
                <w:szCs w:val="20"/>
              </w:rPr>
              <w:t>ACT Integrity Commission</w:t>
            </w:r>
          </w:p>
        </w:tc>
        <w:tc>
          <w:tcPr>
            <w:tcW w:w="1020" w:type="dxa"/>
            <w:vAlign w:val="center"/>
          </w:tcPr>
          <w:p w14:paraId="1A57591E"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24029829"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12942295"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57FF5EC2"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7AE30DE4"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7398E6BA" w14:textId="77777777" w:rsidR="00A60D4B" w:rsidRDefault="00A60D4B" w:rsidP="00A60D4B">
            <w:pPr>
              <w:jc w:val="right"/>
            </w:pPr>
            <w:r>
              <w:rPr>
                <w:rFonts w:ascii="Calibri" w:hAnsi="Calibri" w:cs="Calibri"/>
                <w:color w:val="FFFFFF"/>
                <w:sz w:val="20"/>
                <w:szCs w:val="20"/>
              </w:rPr>
              <w:t>0</w:t>
            </w:r>
          </w:p>
        </w:tc>
      </w:tr>
      <w:tr w:rsidR="00A60D4B" w14:paraId="6FD7C06A" w14:textId="77777777" w:rsidTr="00A60D4B">
        <w:tc>
          <w:tcPr>
            <w:tcW w:w="2891" w:type="dxa"/>
            <w:vAlign w:val="bottom"/>
          </w:tcPr>
          <w:p w14:paraId="451B432A" w14:textId="77777777" w:rsidR="00A60D4B" w:rsidRDefault="00A60D4B" w:rsidP="00A60D4B">
            <w:r>
              <w:rPr>
                <w:rFonts w:ascii="Calibri" w:hAnsi="Calibri" w:cs="Calibri"/>
                <w:color w:val="000000"/>
                <w:sz w:val="20"/>
                <w:szCs w:val="20"/>
              </w:rPr>
              <w:t>New Capital Works</w:t>
            </w:r>
          </w:p>
        </w:tc>
        <w:tc>
          <w:tcPr>
            <w:tcW w:w="1020" w:type="dxa"/>
            <w:vAlign w:val="center"/>
          </w:tcPr>
          <w:p w14:paraId="41EC80D1" w14:textId="77777777" w:rsidR="00A60D4B" w:rsidRDefault="00A60D4B" w:rsidP="00A60D4B">
            <w:pPr>
              <w:jc w:val="right"/>
            </w:pPr>
            <w:r>
              <w:rPr>
                <w:rFonts w:ascii="Calibri" w:hAnsi="Calibri" w:cs="Calibri"/>
                <w:color w:val="000000"/>
                <w:sz w:val="20"/>
                <w:szCs w:val="20"/>
              </w:rPr>
              <w:t>390</w:t>
            </w:r>
          </w:p>
        </w:tc>
        <w:tc>
          <w:tcPr>
            <w:tcW w:w="1020" w:type="dxa"/>
            <w:vAlign w:val="center"/>
          </w:tcPr>
          <w:p w14:paraId="2916B49C" w14:textId="77777777" w:rsidR="00A60D4B" w:rsidRDefault="00A60D4B" w:rsidP="00A60D4B">
            <w:pPr>
              <w:jc w:val="right"/>
            </w:pPr>
            <w:r>
              <w:rPr>
                <w:rFonts w:ascii="Calibri" w:hAnsi="Calibri" w:cs="Calibri"/>
                <w:color w:val="000000"/>
                <w:sz w:val="20"/>
                <w:szCs w:val="20"/>
              </w:rPr>
              <w:t>731</w:t>
            </w:r>
          </w:p>
        </w:tc>
        <w:tc>
          <w:tcPr>
            <w:tcW w:w="1020" w:type="dxa"/>
            <w:vAlign w:val="center"/>
          </w:tcPr>
          <w:p w14:paraId="671B809D"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2521ECDD"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2188AE5B"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1395AB42" w14:textId="77777777" w:rsidR="00A60D4B" w:rsidRDefault="00A60D4B" w:rsidP="00A60D4B">
            <w:pPr>
              <w:jc w:val="right"/>
            </w:pPr>
            <w:r>
              <w:rPr>
                <w:rFonts w:ascii="Calibri" w:hAnsi="Calibri" w:cs="Calibri"/>
                <w:b/>
                <w:bCs/>
                <w:color w:val="000000"/>
                <w:sz w:val="20"/>
                <w:szCs w:val="20"/>
              </w:rPr>
              <w:t>1,121</w:t>
            </w:r>
          </w:p>
        </w:tc>
      </w:tr>
      <w:tr w:rsidR="00A60D4B" w14:paraId="67C4FEF0" w14:textId="77777777" w:rsidTr="00A60D4B">
        <w:tc>
          <w:tcPr>
            <w:tcW w:w="2891" w:type="dxa"/>
            <w:vAlign w:val="bottom"/>
          </w:tcPr>
          <w:p w14:paraId="42FDA09D" w14:textId="77777777" w:rsidR="00A60D4B" w:rsidRDefault="00A60D4B" w:rsidP="00A60D4B">
            <w:r>
              <w:rPr>
                <w:rFonts w:ascii="Calibri" w:hAnsi="Calibri" w:cs="Calibri"/>
                <w:color w:val="000000"/>
                <w:sz w:val="20"/>
                <w:szCs w:val="20"/>
              </w:rPr>
              <w:t>Better Infrastructure Fund</w:t>
            </w:r>
          </w:p>
        </w:tc>
        <w:tc>
          <w:tcPr>
            <w:tcW w:w="1020" w:type="dxa"/>
            <w:vAlign w:val="center"/>
          </w:tcPr>
          <w:p w14:paraId="1707757D"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1432F6B5"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022F3D5F"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69522127"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0ECEC57E"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2D7B219B" w14:textId="77777777" w:rsidR="00A60D4B" w:rsidRDefault="00A60D4B" w:rsidP="00A60D4B">
            <w:pPr>
              <w:jc w:val="right"/>
            </w:pPr>
            <w:r>
              <w:rPr>
                <w:rFonts w:ascii="Calibri" w:hAnsi="Calibri" w:cs="Calibri"/>
                <w:b/>
                <w:bCs/>
                <w:color w:val="000000"/>
                <w:sz w:val="20"/>
                <w:szCs w:val="20"/>
              </w:rPr>
              <w:t>0</w:t>
            </w:r>
          </w:p>
        </w:tc>
      </w:tr>
      <w:tr w:rsidR="00A60D4B" w14:paraId="677A7C73" w14:textId="77777777" w:rsidTr="00A60D4B">
        <w:tc>
          <w:tcPr>
            <w:tcW w:w="2891" w:type="dxa"/>
            <w:vAlign w:val="bottom"/>
          </w:tcPr>
          <w:p w14:paraId="0B752FE8" w14:textId="77777777" w:rsidR="00A60D4B" w:rsidRDefault="00A60D4B" w:rsidP="00A60D4B">
            <w:r>
              <w:rPr>
                <w:rFonts w:ascii="Calibri" w:hAnsi="Calibri" w:cs="Calibri"/>
                <w:color w:val="000000"/>
                <w:sz w:val="20"/>
                <w:szCs w:val="20"/>
              </w:rPr>
              <w:t>Works-in-progress</w:t>
            </w:r>
          </w:p>
        </w:tc>
        <w:tc>
          <w:tcPr>
            <w:tcW w:w="1020" w:type="dxa"/>
            <w:vAlign w:val="center"/>
          </w:tcPr>
          <w:p w14:paraId="29BB8E48"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1B4E2013"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1F312A0F"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3C273AEB"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480C2F6C"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16842B36" w14:textId="77777777" w:rsidR="00A60D4B" w:rsidRDefault="00A60D4B" w:rsidP="00A60D4B">
            <w:pPr>
              <w:jc w:val="right"/>
            </w:pPr>
            <w:r>
              <w:rPr>
                <w:rFonts w:ascii="Calibri" w:hAnsi="Calibri" w:cs="Calibri"/>
                <w:b/>
                <w:bCs/>
                <w:color w:val="000000"/>
                <w:sz w:val="20"/>
                <w:szCs w:val="20"/>
              </w:rPr>
              <w:t>0</w:t>
            </w:r>
          </w:p>
        </w:tc>
      </w:tr>
      <w:tr w:rsidR="00A60D4B" w14:paraId="66CBA9FC" w14:textId="77777777" w:rsidTr="00A60D4B">
        <w:tc>
          <w:tcPr>
            <w:tcW w:w="2891" w:type="dxa"/>
            <w:vAlign w:val="bottom"/>
          </w:tcPr>
          <w:p w14:paraId="61052CB4" w14:textId="77777777" w:rsidR="00A60D4B" w:rsidRDefault="00A60D4B" w:rsidP="00A60D4B">
            <w:r>
              <w:rPr>
                <w:rFonts w:ascii="Calibri" w:hAnsi="Calibri" w:cs="Calibri"/>
                <w:b/>
                <w:bCs/>
                <w:color w:val="000000"/>
                <w:sz w:val="20"/>
                <w:szCs w:val="20"/>
              </w:rPr>
              <w:t>Total</w:t>
            </w:r>
          </w:p>
        </w:tc>
        <w:tc>
          <w:tcPr>
            <w:tcW w:w="1020" w:type="dxa"/>
            <w:vAlign w:val="center"/>
          </w:tcPr>
          <w:p w14:paraId="1E90E8EF" w14:textId="77777777" w:rsidR="00A60D4B" w:rsidRDefault="00A60D4B" w:rsidP="00A60D4B">
            <w:pPr>
              <w:jc w:val="right"/>
            </w:pPr>
            <w:r>
              <w:rPr>
                <w:rFonts w:ascii="Calibri" w:hAnsi="Calibri" w:cs="Calibri"/>
                <w:b/>
                <w:bCs/>
                <w:color w:val="000000"/>
                <w:sz w:val="20"/>
                <w:szCs w:val="20"/>
              </w:rPr>
              <w:t>390</w:t>
            </w:r>
          </w:p>
        </w:tc>
        <w:tc>
          <w:tcPr>
            <w:tcW w:w="1020" w:type="dxa"/>
            <w:vAlign w:val="center"/>
          </w:tcPr>
          <w:p w14:paraId="3844CFBF" w14:textId="77777777" w:rsidR="00A60D4B" w:rsidRDefault="00A60D4B" w:rsidP="00A60D4B">
            <w:pPr>
              <w:jc w:val="right"/>
            </w:pPr>
            <w:r>
              <w:rPr>
                <w:rFonts w:ascii="Calibri" w:hAnsi="Calibri" w:cs="Calibri"/>
                <w:b/>
                <w:bCs/>
                <w:color w:val="000000"/>
                <w:sz w:val="20"/>
                <w:szCs w:val="20"/>
              </w:rPr>
              <w:t>731</w:t>
            </w:r>
          </w:p>
        </w:tc>
        <w:tc>
          <w:tcPr>
            <w:tcW w:w="1020" w:type="dxa"/>
            <w:vAlign w:val="center"/>
          </w:tcPr>
          <w:p w14:paraId="42E2B1B2" w14:textId="77777777" w:rsidR="00A60D4B" w:rsidRDefault="00A60D4B" w:rsidP="00A60D4B">
            <w:pPr>
              <w:jc w:val="right"/>
            </w:pPr>
            <w:r>
              <w:rPr>
                <w:rFonts w:ascii="Calibri" w:hAnsi="Calibri" w:cs="Calibri"/>
                <w:b/>
                <w:bCs/>
                <w:color w:val="000000"/>
                <w:sz w:val="20"/>
                <w:szCs w:val="20"/>
              </w:rPr>
              <w:t>0</w:t>
            </w:r>
          </w:p>
        </w:tc>
        <w:tc>
          <w:tcPr>
            <w:tcW w:w="1020" w:type="dxa"/>
            <w:vAlign w:val="center"/>
          </w:tcPr>
          <w:p w14:paraId="0DC7D54E" w14:textId="77777777" w:rsidR="00A60D4B" w:rsidRDefault="00A60D4B" w:rsidP="00A60D4B">
            <w:pPr>
              <w:jc w:val="right"/>
            </w:pPr>
            <w:r>
              <w:rPr>
                <w:rFonts w:ascii="Calibri" w:hAnsi="Calibri" w:cs="Calibri"/>
                <w:b/>
                <w:bCs/>
                <w:color w:val="000000"/>
                <w:sz w:val="20"/>
                <w:szCs w:val="20"/>
              </w:rPr>
              <w:t>0</w:t>
            </w:r>
          </w:p>
        </w:tc>
        <w:tc>
          <w:tcPr>
            <w:tcW w:w="1020" w:type="dxa"/>
            <w:vAlign w:val="center"/>
          </w:tcPr>
          <w:p w14:paraId="464ECA6E" w14:textId="77777777" w:rsidR="00A60D4B" w:rsidRDefault="00A60D4B" w:rsidP="00A60D4B">
            <w:pPr>
              <w:jc w:val="right"/>
            </w:pPr>
            <w:r>
              <w:rPr>
                <w:rFonts w:ascii="Calibri" w:hAnsi="Calibri" w:cs="Calibri"/>
                <w:b/>
                <w:bCs/>
                <w:color w:val="000000"/>
                <w:sz w:val="20"/>
                <w:szCs w:val="20"/>
              </w:rPr>
              <w:t>0</w:t>
            </w:r>
          </w:p>
        </w:tc>
        <w:tc>
          <w:tcPr>
            <w:tcW w:w="1020" w:type="dxa"/>
            <w:vAlign w:val="center"/>
          </w:tcPr>
          <w:p w14:paraId="57B8C789" w14:textId="77777777" w:rsidR="00A60D4B" w:rsidRDefault="00A60D4B" w:rsidP="00A60D4B">
            <w:pPr>
              <w:jc w:val="right"/>
            </w:pPr>
            <w:r>
              <w:rPr>
                <w:rFonts w:ascii="Calibri" w:hAnsi="Calibri" w:cs="Calibri"/>
                <w:b/>
                <w:bCs/>
                <w:color w:val="000000"/>
                <w:sz w:val="20"/>
                <w:szCs w:val="20"/>
              </w:rPr>
              <w:t>1,121</w:t>
            </w:r>
          </w:p>
        </w:tc>
      </w:tr>
      <w:tr w:rsidR="00A60D4B" w14:paraId="7F4E879B" w14:textId="77777777" w:rsidTr="00A60D4B">
        <w:trPr>
          <w:trHeight w:val="340"/>
        </w:trPr>
        <w:tc>
          <w:tcPr>
            <w:tcW w:w="2891" w:type="dxa"/>
            <w:vAlign w:val="bottom"/>
          </w:tcPr>
          <w:p w14:paraId="2E4512DF" w14:textId="77777777" w:rsidR="00A60D4B" w:rsidRDefault="00A60D4B" w:rsidP="00A60D4B">
            <w:r>
              <w:rPr>
                <w:rFonts w:ascii="Calibri" w:hAnsi="Calibri" w:cs="Calibri"/>
                <w:b/>
                <w:bCs/>
                <w:color w:val="000000"/>
                <w:sz w:val="20"/>
                <w:szCs w:val="20"/>
              </w:rPr>
              <w:t>Canberra Health Services</w:t>
            </w:r>
          </w:p>
        </w:tc>
        <w:tc>
          <w:tcPr>
            <w:tcW w:w="1020" w:type="dxa"/>
            <w:vAlign w:val="center"/>
          </w:tcPr>
          <w:p w14:paraId="2AF1C530"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1826838E"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18918C25"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22BA2BB4"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5B2B5E13"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29C4D5E5" w14:textId="77777777" w:rsidR="00A60D4B" w:rsidRDefault="00A60D4B" w:rsidP="00A60D4B">
            <w:pPr>
              <w:jc w:val="right"/>
            </w:pPr>
            <w:r>
              <w:rPr>
                <w:rFonts w:ascii="Calibri" w:hAnsi="Calibri" w:cs="Calibri"/>
                <w:color w:val="FFFFFF"/>
                <w:sz w:val="20"/>
                <w:szCs w:val="20"/>
              </w:rPr>
              <w:t>0</w:t>
            </w:r>
          </w:p>
        </w:tc>
      </w:tr>
      <w:tr w:rsidR="00A60D4B" w14:paraId="42915D0F" w14:textId="77777777" w:rsidTr="00A60D4B">
        <w:tc>
          <w:tcPr>
            <w:tcW w:w="2891" w:type="dxa"/>
            <w:vAlign w:val="bottom"/>
          </w:tcPr>
          <w:p w14:paraId="02B54836" w14:textId="77777777" w:rsidR="00A60D4B" w:rsidRDefault="00A60D4B" w:rsidP="00A60D4B">
            <w:r>
              <w:rPr>
                <w:rFonts w:ascii="Calibri" w:hAnsi="Calibri" w:cs="Calibri"/>
                <w:color w:val="000000"/>
                <w:sz w:val="20"/>
                <w:szCs w:val="20"/>
              </w:rPr>
              <w:t>New Capital Works</w:t>
            </w:r>
          </w:p>
        </w:tc>
        <w:tc>
          <w:tcPr>
            <w:tcW w:w="1020" w:type="dxa"/>
            <w:vAlign w:val="center"/>
          </w:tcPr>
          <w:p w14:paraId="7F9FFFAD" w14:textId="77777777" w:rsidR="00A60D4B" w:rsidRDefault="00A60D4B" w:rsidP="00A60D4B">
            <w:pPr>
              <w:jc w:val="right"/>
            </w:pPr>
            <w:r>
              <w:rPr>
                <w:rFonts w:ascii="Calibri" w:hAnsi="Calibri" w:cs="Calibri"/>
                <w:color w:val="000000"/>
                <w:sz w:val="20"/>
                <w:szCs w:val="20"/>
              </w:rPr>
              <w:t>2,902</w:t>
            </w:r>
          </w:p>
        </w:tc>
        <w:tc>
          <w:tcPr>
            <w:tcW w:w="1020" w:type="dxa"/>
            <w:vAlign w:val="center"/>
          </w:tcPr>
          <w:p w14:paraId="38209BAB" w14:textId="77777777" w:rsidR="00A60D4B" w:rsidRDefault="00A60D4B" w:rsidP="00A60D4B">
            <w:pPr>
              <w:jc w:val="right"/>
            </w:pPr>
            <w:r>
              <w:rPr>
                <w:rFonts w:ascii="Calibri" w:hAnsi="Calibri" w:cs="Calibri"/>
                <w:color w:val="000000"/>
                <w:sz w:val="20"/>
                <w:szCs w:val="20"/>
              </w:rPr>
              <w:t>12,025</w:t>
            </w:r>
          </w:p>
        </w:tc>
        <w:tc>
          <w:tcPr>
            <w:tcW w:w="1020" w:type="dxa"/>
            <w:vAlign w:val="center"/>
          </w:tcPr>
          <w:p w14:paraId="5600B76D" w14:textId="77777777" w:rsidR="00A60D4B" w:rsidRDefault="00A60D4B" w:rsidP="00A60D4B">
            <w:pPr>
              <w:jc w:val="right"/>
            </w:pPr>
            <w:r>
              <w:rPr>
                <w:rFonts w:ascii="Calibri" w:hAnsi="Calibri" w:cs="Calibri"/>
                <w:color w:val="000000"/>
                <w:sz w:val="20"/>
                <w:szCs w:val="20"/>
              </w:rPr>
              <w:t>4,700</w:t>
            </w:r>
          </w:p>
        </w:tc>
        <w:tc>
          <w:tcPr>
            <w:tcW w:w="1020" w:type="dxa"/>
            <w:vAlign w:val="center"/>
          </w:tcPr>
          <w:p w14:paraId="7489B54C"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61FD299B"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48320908" w14:textId="77777777" w:rsidR="00A60D4B" w:rsidRDefault="00A60D4B" w:rsidP="00A60D4B">
            <w:pPr>
              <w:jc w:val="right"/>
            </w:pPr>
            <w:r>
              <w:rPr>
                <w:rFonts w:ascii="Calibri" w:hAnsi="Calibri" w:cs="Calibri"/>
                <w:b/>
                <w:bCs/>
                <w:color w:val="000000"/>
                <w:sz w:val="20"/>
                <w:szCs w:val="20"/>
              </w:rPr>
              <w:t>19,627</w:t>
            </w:r>
          </w:p>
        </w:tc>
      </w:tr>
      <w:tr w:rsidR="00A60D4B" w14:paraId="5A39412A" w14:textId="77777777" w:rsidTr="00A60D4B">
        <w:tc>
          <w:tcPr>
            <w:tcW w:w="2891" w:type="dxa"/>
            <w:vAlign w:val="bottom"/>
          </w:tcPr>
          <w:p w14:paraId="5DABEA87" w14:textId="77777777" w:rsidR="00A60D4B" w:rsidRDefault="00A60D4B" w:rsidP="00A60D4B">
            <w:r>
              <w:rPr>
                <w:rFonts w:ascii="Calibri" w:hAnsi="Calibri" w:cs="Calibri"/>
                <w:color w:val="000000"/>
                <w:sz w:val="20"/>
                <w:szCs w:val="20"/>
              </w:rPr>
              <w:t>Better Infrastructure Fund</w:t>
            </w:r>
          </w:p>
        </w:tc>
        <w:tc>
          <w:tcPr>
            <w:tcW w:w="1020" w:type="dxa"/>
            <w:vAlign w:val="center"/>
          </w:tcPr>
          <w:p w14:paraId="27513455" w14:textId="77777777" w:rsidR="00A60D4B" w:rsidRDefault="00A60D4B" w:rsidP="00A60D4B">
            <w:pPr>
              <w:jc w:val="right"/>
            </w:pPr>
            <w:r>
              <w:rPr>
                <w:rFonts w:ascii="Calibri" w:hAnsi="Calibri" w:cs="Calibri"/>
                <w:color w:val="000000"/>
                <w:sz w:val="20"/>
                <w:szCs w:val="20"/>
              </w:rPr>
              <w:t>5,007</w:t>
            </w:r>
          </w:p>
        </w:tc>
        <w:tc>
          <w:tcPr>
            <w:tcW w:w="1020" w:type="dxa"/>
            <w:vAlign w:val="center"/>
          </w:tcPr>
          <w:p w14:paraId="71515AF2" w14:textId="77777777" w:rsidR="00A60D4B" w:rsidRDefault="00A60D4B" w:rsidP="00A60D4B">
            <w:pPr>
              <w:jc w:val="right"/>
            </w:pPr>
            <w:r>
              <w:rPr>
                <w:rFonts w:ascii="Calibri" w:hAnsi="Calibri" w:cs="Calibri"/>
                <w:color w:val="000000"/>
                <w:sz w:val="20"/>
                <w:szCs w:val="20"/>
              </w:rPr>
              <w:t>4,075</w:t>
            </w:r>
          </w:p>
        </w:tc>
        <w:tc>
          <w:tcPr>
            <w:tcW w:w="1020" w:type="dxa"/>
            <w:vAlign w:val="center"/>
          </w:tcPr>
          <w:p w14:paraId="591AED59" w14:textId="77777777" w:rsidR="00A60D4B" w:rsidRDefault="00A60D4B" w:rsidP="00A60D4B">
            <w:pPr>
              <w:jc w:val="right"/>
            </w:pPr>
            <w:r>
              <w:rPr>
                <w:rFonts w:ascii="Calibri" w:hAnsi="Calibri" w:cs="Calibri"/>
                <w:color w:val="000000"/>
                <w:sz w:val="20"/>
                <w:szCs w:val="20"/>
              </w:rPr>
              <w:t>4,434</w:t>
            </w:r>
          </w:p>
        </w:tc>
        <w:tc>
          <w:tcPr>
            <w:tcW w:w="1020" w:type="dxa"/>
            <w:vAlign w:val="center"/>
          </w:tcPr>
          <w:p w14:paraId="79105DD9" w14:textId="77777777" w:rsidR="00A60D4B" w:rsidRDefault="00A60D4B" w:rsidP="00A60D4B">
            <w:pPr>
              <w:jc w:val="right"/>
            </w:pPr>
            <w:r>
              <w:rPr>
                <w:rFonts w:ascii="Calibri" w:hAnsi="Calibri" w:cs="Calibri"/>
                <w:color w:val="000000"/>
                <w:sz w:val="20"/>
                <w:szCs w:val="20"/>
              </w:rPr>
              <w:t>4,545</w:t>
            </w:r>
          </w:p>
        </w:tc>
        <w:tc>
          <w:tcPr>
            <w:tcW w:w="1020" w:type="dxa"/>
            <w:vAlign w:val="center"/>
          </w:tcPr>
          <w:p w14:paraId="03ED4AF7" w14:textId="77777777" w:rsidR="00A60D4B" w:rsidRDefault="00A60D4B" w:rsidP="00A60D4B">
            <w:pPr>
              <w:jc w:val="right"/>
            </w:pPr>
            <w:r>
              <w:rPr>
                <w:rFonts w:ascii="Calibri" w:hAnsi="Calibri" w:cs="Calibri"/>
                <w:color w:val="000000"/>
                <w:sz w:val="20"/>
                <w:szCs w:val="20"/>
              </w:rPr>
              <w:t>4,658</w:t>
            </w:r>
          </w:p>
        </w:tc>
        <w:tc>
          <w:tcPr>
            <w:tcW w:w="1020" w:type="dxa"/>
            <w:vAlign w:val="center"/>
          </w:tcPr>
          <w:p w14:paraId="4161A665" w14:textId="77777777" w:rsidR="00A60D4B" w:rsidRDefault="00A60D4B" w:rsidP="00A60D4B">
            <w:pPr>
              <w:jc w:val="right"/>
            </w:pPr>
            <w:r>
              <w:rPr>
                <w:rFonts w:ascii="Calibri" w:hAnsi="Calibri" w:cs="Calibri"/>
                <w:b/>
                <w:bCs/>
                <w:color w:val="000000"/>
                <w:sz w:val="20"/>
                <w:szCs w:val="20"/>
              </w:rPr>
              <w:t>22,719</w:t>
            </w:r>
          </w:p>
        </w:tc>
      </w:tr>
      <w:tr w:rsidR="00A60D4B" w14:paraId="6D27991D" w14:textId="77777777" w:rsidTr="00A60D4B">
        <w:tc>
          <w:tcPr>
            <w:tcW w:w="2891" w:type="dxa"/>
            <w:vAlign w:val="bottom"/>
          </w:tcPr>
          <w:p w14:paraId="6185C53E" w14:textId="77777777" w:rsidR="00A60D4B" w:rsidRDefault="00A60D4B" w:rsidP="00A60D4B">
            <w:r>
              <w:rPr>
                <w:rFonts w:ascii="Calibri" w:hAnsi="Calibri" w:cs="Calibri"/>
                <w:color w:val="000000"/>
                <w:sz w:val="20"/>
                <w:szCs w:val="20"/>
              </w:rPr>
              <w:t>Works-in-progress</w:t>
            </w:r>
          </w:p>
        </w:tc>
        <w:tc>
          <w:tcPr>
            <w:tcW w:w="1020" w:type="dxa"/>
            <w:vAlign w:val="center"/>
          </w:tcPr>
          <w:p w14:paraId="63ECC552" w14:textId="77777777" w:rsidR="00A60D4B" w:rsidRDefault="00A60D4B" w:rsidP="00A60D4B">
            <w:pPr>
              <w:jc w:val="right"/>
            </w:pPr>
            <w:r>
              <w:rPr>
                <w:rFonts w:ascii="Calibri" w:hAnsi="Calibri" w:cs="Calibri"/>
                <w:color w:val="000000"/>
                <w:sz w:val="20"/>
                <w:szCs w:val="20"/>
              </w:rPr>
              <w:t>59,938</w:t>
            </w:r>
          </w:p>
        </w:tc>
        <w:tc>
          <w:tcPr>
            <w:tcW w:w="1020" w:type="dxa"/>
            <w:vAlign w:val="center"/>
          </w:tcPr>
          <w:p w14:paraId="0D5AC6EA" w14:textId="77777777" w:rsidR="00A60D4B" w:rsidRDefault="00A60D4B" w:rsidP="00A60D4B">
            <w:pPr>
              <w:jc w:val="right"/>
            </w:pPr>
            <w:r>
              <w:rPr>
                <w:rFonts w:ascii="Calibri" w:hAnsi="Calibri" w:cs="Calibri"/>
                <w:color w:val="000000"/>
                <w:sz w:val="20"/>
                <w:szCs w:val="20"/>
              </w:rPr>
              <w:t>56,945</w:t>
            </w:r>
          </w:p>
        </w:tc>
        <w:tc>
          <w:tcPr>
            <w:tcW w:w="1020" w:type="dxa"/>
            <w:vAlign w:val="center"/>
          </w:tcPr>
          <w:p w14:paraId="6E8DB69A" w14:textId="77777777" w:rsidR="00A60D4B" w:rsidRDefault="00A60D4B" w:rsidP="00A60D4B">
            <w:pPr>
              <w:jc w:val="right"/>
            </w:pPr>
            <w:r>
              <w:rPr>
                <w:rFonts w:ascii="Calibri" w:hAnsi="Calibri" w:cs="Calibri"/>
                <w:color w:val="000000"/>
                <w:sz w:val="20"/>
                <w:szCs w:val="20"/>
              </w:rPr>
              <w:t>1,900</w:t>
            </w:r>
          </w:p>
        </w:tc>
        <w:tc>
          <w:tcPr>
            <w:tcW w:w="1020" w:type="dxa"/>
            <w:vAlign w:val="center"/>
          </w:tcPr>
          <w:p w14:paraId="4DA3299B"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077FFC4C"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53FEB30B" w14:textId="77777777" w:rsidR="00A60D4B" w:rsidRDefault="00A60D4B" w:rsidP="00A60D4B">
            <w:pPr>
              <w:jc w:val="right"/>
            </w:pPr>
            <w:r>
              <w:rPr>
                <w:rFonts w:ascii="Calibri" w:hAnsi="Calibri" w:cs="Calibri"/>
                <w:b/>
                <w:bCs/>
                <w:color w:val="000000"/>
                <w:sz w:val="20"/>
                <w:szCs w:val="20"/>
              </w:rPr>
              <w:t>118,783</w:t>
            </w:r>
          </w:p>
        </w:tc>
      </w:tr>
      <w:tr w:rsidR="00A60D4B" w14:paraId="66C887DC" w14:textId="77777777" w:rsidTr="00A60D4B">
        <w:tc>
          <w:tcPr>
            <w:tcW w:w="2891" w:type="dxa"/>
            <w:vAlign w:val="bottom"/>
          </w:tcPr>
          <w:p w14:paraId="2329F1DC" w14:textId="77777777" w:rsidR="00A60D4B" w:rsidRDefault="00A60D4B" w:rsidP="00A60D4B">
            <w:r>
              <w:rPr>
                <w:rFonts w:ascii="Calibri" w:hAnsi="Calibri" w:cs="Calibri"/>
                <w:b/>
                <w:bCs/>
                <w:color w:val="000000"/>
                <w:sz w:val="20"/>
                <w:szCs w:val="20"/>
              </w:rPr>
              <w:t>Total</w:t>
            </w:r>
          </w:p>
        </w:tc>
        <w:tc>
          <w:tcPr>
            <w:tcW w:w="1020" w:type="dxa"/>
            <w:vAlign w:val="center"/>
          </w:tcPr>
          <w:p w14:paraId="1B30565F" w14:textId="77777777" w:rsidR="00A60D4B" w:rsidRDefault="00A60D4B" w:rsidP="00A60D4B">
            <w:pPr>
              <w:jc w:val="right"/>
            </w:pPr>
            <w:r>
              <w:rPr>
                <w:rFonts w:ascii="Calibri" w:hAnsi="Calibri" w:cs="Calibri"/>
                <w:b/>
                <w:bCs/>
                <w:color w:val="000000"/>
                <w:sz w:val="20"/>
                <w:szCs w:val="20"/>
              </w:rPr>
              <w:t>67,847</w:t>
            </w:r>
          </w:p>
        </w:tc>
        <w:tc>
          <w:tcPr>
            <w:tcW w:w="1020" w:type="dxa"/>
            <w:vAlign w:val="center"/>
          </w:tcPr>
          <w:p w14:paraId="286E3EFF" w14:textId="77777777" w:rsidR="00A60D4B" w:rsidRDefault="00A60D4B" w:rsidP="00A60D4B">
            <w:pPr>
              <w:jc w:val="right"/>
            </w:pPr>
            <w:r>
              <w:rPr>
                <w:rFonts w:ascii="Calibri" w:hAnsi="Calibri" w:cs="Calibri"/>
                <w:b/>
                <w:bCs/>
                <w:color w:val="000000"/>
                <w:sz w:val="20"/>
                <w:szCs w:val="20"/>
              </w:rPr>
              <w:t>73,045</w:t>
            </w:r>
          </w:p>
        </w:tc>
        <w:tc>
          <w:tcPr>
            <w:tcW w:w="1020" w:type="dxa"/>
            <w:vAlign w:val="center"/>
          </w:tcPr>
          <w:p w14:paraId="2873973A" w14:textId="77777777" w:rsidR="00A60D4B" w:rsidRDefault="00A60D4B" w:rsidP="00A60D4B">
            <w:pPr>
              <w:jc w:val="right"/>
            </w:pPr>
            <w:r>
              <w:rPr>
                <w:rFonts w:ascii="Calibri" w:hAnsi="Calibri" w:cs="Calibri"/>
                <w:b/>
                <w:bCs/>
                <w:color w:val="000000"/>
                <w:sz w:val="20"/>
                <w:szCs w:val="20"/>
              </w:rPr>
              <w:t>11,034</w:t>
            </w:r>
          </w:p>
        </w:tc>
        <w:tc>
          <w:tcPr>
            <w:tcW w:w="1020" w:type="dxa"/>
            <w:vAlign w:val="center"/>
          </w:tcPr>
          <w:p w14:paraId="757D56B2" w14:textId="77777777" w:rsidR="00A60D4B" w:rsidRDefault="00A60D4B" w:rsidP="00A60D4B">
            <w:pPr>
              <w:jc w:val="right"/>
            </w:pPr>
            <w:r>
              <w:rPr>
                <w:rFonts w:ascii="Calibri" w:hAnsi="Calibri" w:cs="Calibri"/>
                <w:b/>
                <w:bCs/>
                <w:color w:val="000000"/>
                <w:sz w:val="20"/>
                <w:szCs w:val="20"/>
              </w:rPr>
              <w:t>4,545</w:t>
            </w:r>
          </w:p>
        </w:tc>
        <w:tc>
          <w:tcPr>
            <w:tcW w:w="1020" w:type="dxa"/>
            <w:vAlign w:val="center"/>
          </w:tcPr>
          <w:p w14:paraId="6473E791" w14:textId="77777777" w:rsidR="00A60D4B" w:rsidRDefault="00A60D4B" w:rsidP="00A60D4B">
            <w:pPr>
              <w:jc w:val="right"/>
            </w:pPr>
            <w:r>
              <w:rPr>
                <w:rFonts w:ascii="Calibri" w:hAnsi="Calibri" w:cs="Calibri"/>
                <w:b/>
                <w:bCs/>
                <w:color w:val="000000"/>
                <w:sz w:val="20"/>
                <w:szCs w:val="20"/>
              </w:rPr>
              <w:t>4,658</w:t>
            </w:r>
          </w:p>
        </w:tc>
        <w:tc>
          <w:tcPr>
            <w:tcW w:w="1020" w:type="dxa"/>
            <w:vAlign w:val="center"/>
          </w:tcPr>
          <w:p w14:paraId="4D879E16" w14:textId="77777777" w:rsidR="00A60D4B" w:rsidRDefault="00A60D4B" w:rsidP="00A60D4B">
            <w:pPr>
              <w:jc w:val="right"/>
            </w:pPr>
            <w:r>
              <w:rPr>
                <w:rFonts w:ascii="Calibri" w:hAnsi="Calibri" w:cs="Calibri"/>
                <w:b/>
                <w:bCs/>
                <w:color w:val="000000"/>
                <w:sz w:val="20"/>
                <w:szCs w:val="20"/>
              </w:rPr>
              <w:t>161,129</w:t>
            </w:r>
          </w:p>
        </w:tc>
      </w:tr>
      <w:tr w:rsidR="00A60D4B" w14:paraId="24F7DA19" w14:textId="77777777" w:rsidTr="00A60D4B">
        <w:trPr>
          <w:trHeight w:val="340"/>
        </w:trPr>
        <w:tc>
          <w:tcPr>
            <w:tcW w:w="2891" w:type="dxa"/>
            <w:vAlign w:val="bottom"/>
          </w:tcPr>
          <w:p w14:paraId="3610E2E8" w14:textId="77777777" w:rsidR="00A60D4B" w:rsidRDefault="00A60D4B" w:rsidP="00A60D4B">
            <w:r>
              <w:rPr>
                <w:rFonts w:ascii="Calibri" w:hAnsi="Calibri" w:cs="Calibri"/>
                <w:b/>
                <w:bCs/>
                <w:color w:val="000000"/>
                <w:sz w:val="20"/>
                <w:szCs w:val="20"/>
              </w:rPr>
              <w:t>Canberra Institute of Technology</w:t>
            </w:r>
          </w:p>
        </w:tc>
        <w:tc>
          <w:tcPr>
            <w:tcW w:w="1020" w:type="dxa"/>
            <w:vAlign w:val="center"/>
          </w:tcPr>
          <w:p w14:paraId="40DDABE8"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1318C404"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38249409"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6E4FFB27"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0D62F7DD"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28CB93F5" w14:textId="77777777" w:rsidR="00A60D4B" w:rsidRDefault="00A60D4B" w:rsidP="00A60D4B">
            <w:pPr>
              <w:jc w:val="right"/>
            </w:pPr>
            <w:r>
              <w:rPr>
                <w:rFonts w:ascii="Calibri" w:hAnsi="Calibri" w:cs="Calibri"/>
                <w:color w:val="FFFFFF"/>
                <w:sz w:val="20"/>
                <w:szCs w:val="20"/>
              </w:rPr>
              <w:t>0</w:t>
            </w:r>
          </w:p>
        </w:tc>
      </w:tr>
      <w:tr w:rsidR="00A60D4B" w14:paraId="5F69EF6B" w14:textId="77777777" w:rsidTr="00A60D4B">
        <w:tc>
          <w:tcPr>
            <w:tcW w:w="2891" w:type="dxa"/>
            <w:vAlign w:val="bottom"/>
          </w:tcPr>
          <w:p w14:paraId="5376BE7B" w14:textId="77777777" w:rsidR="00A60D4B" w:rsidRDefault="00A60D4B" w:rsidP="00A60D4B">
            <w:r>
              <w:rPr>
                <w:rFonts w:ascii="Calibri" w:hAnsi="Calibri" w:cs="Calibri"/>
                <w:color w:val="000000"/>
                <w:sz w:val="20"/>
                <w:szCs w:val="20"/>
              </w:rPr>
              <w:t>New Capital Works</w:t>
            </w:r>
          </w:p>
        </w:tc>
        <w:tc>
          <w:tcPr>
            <w:tcW w:w="1020" w:type="dxa"/>
          </w:tcPr>
          <w:p w14:paraId="0D7666E1" w14:textId="77777777" w:rsidR="00A60D4B" w:rsidRDefault="00A60D4B" w:rsidP="00A60D4B">
            <w:pPr>
              <w:jc w:val="right"/>
            </w:pPr>
            <w:r>
              <w:rPr>
                <w:rFonts w:ascii="Calibri" w:hAnsi="Calibri" w:cs="Calibri"/>
                <w:color w:val="000000"/>
                <w:sz w:val="20"/>
                <w:szCs w:val="20"/>
              </w:rPr>
              <w:t>0</w:t>
            </w:r>
          </w:p>
        </w:tc>
        <w:tc>
          <w:tcPr>
            <w:tcW w:w="1020" w:type="dxa"/>
          </w:tcPr>
          <w:p w14:paraId="12557253" w14:textId="77777777" w:rsidR="00A60D4B" w:rsidRDefault="00A60D4B" w:rsidP="00A60D4B">
            <w:pPr>
              <w:jc w:val="right"/>
            </w:pPr>
            <w:r>
              <w:rPr>
                <w:rFonts w:ascii="Calibri" w:hAnsi="Calibri" w:cs="Calibri"/>
                <w:color w:val="000000"/>
                <w:sz w:val="20"/>
                <w:szCs w:val="20"/>
              </w:rPr>
              <w:t>0</w:t>
            </w:r>
          </w:p>
        </w:tc>
        <w:tc>
          <w:tcPr>
            <w:tcW w:w="1020" w:type="dxa"/>
          </w:tcPr>
          <w:p w14:paraId="730F908C" w14:textId="77777777" w:rsidR="00A60D4B" w:rsidRDefault="00A60D4B" w:rsidP="00A60D4B">
            <w:pPr>
              <w:jc w:val="right"/>
            </w:pPr>
            <w:r>
              <w:rPr>
                <w:rFonts w:ascii="Calibri" w:hAnsi="Calibri" w:cs="Calibri"/>
                <w:color w:val="000000"/>
                <w:sz w:val="20"/>
                <w:szCs w:val="20"/>
              </w:rPr>
              <w:t>0</w:t>
            </w:r>
          </w:p>
        </w:tc>
        <w:tc>
          <w:tcPr>
            <w:tcW w:w="1020" w:type="dxa"/>
          </w:tcPr>
          <w:p w14:paraId="3729461E" w14:textId="77777777" w:rsidR="00A60D4B" w:rsidRDefault="00A60D4B" w:rsidP="00A60D4B">
            <w:pPr>
              <w:jc w:val="right"/>
            </w:pPr>
            <w:r>
              <w:rPr>
                <w:rFonts w:ascii="Calibri" w:hAnsi="Calibri" w:cs="Calibri"/>
                <w:color w:val="000000"/>
                <w:sz w:val="20"/>
                <w:szCs w:val="20"/>
              </w:rPr>
              <w:t>0</w:t>
            </w:r>
          </w:p>
        </w:tc>
        <w:tc>
          <w:tcPr>
            <w:tcW w:w="1020" w:type="dxa"/>
          </w:tcPr>
          <w:p w14:paraId="4573BF18" w14:textId="77777777" w:rsidR="00A60D4B" w:rsidRDefault="00A60D4B" w:rsidP="00A60D4B">
            <w:pPr>
              <w:jc w:val="right"/>
            </w:pPr>
            <w:r>
              <w:rPr>
                <w:rFonts w:ascii="Calibri" w:hAnsi="Calibri" w:cs="Calibri"/>
                <w:color w:val="000000"/>
                <w:sz w:val="20"/>
                <w:szCs w:val="20"/>
              </w:rPr>
              <w:t>0</w:t>
            </w:r>
          </w:p>
        </w:tc>
        <w:tc>
          <w:tcPr>
            <w:tcW w:w="1020" w:type="dxa"/>
          </w:tcPr>
          <w:p w14:paraId="0476DF87" w14:textId="77777777" w:rsidR="00A60D4B" w:rsidRDefault="00A60D4B" w:rsidP="00A60D4B">
            <w:pPr>
              <w:jc w:val="right"/>
            </w:pPr>
            <w:r>
              <w:rPr>
                <w:rFonts w:ascii="Calibri" w:hAnsi="Calibri" w:cs="Calibri"/>
                <w:b/>
                <w:bCs/>
                <w:color w:val="000000"/>
                <w:sz w:val="20"/>
                <w:szCs w:val="20"/>
              </w:rPr>
              <w:t>0</w:t>
            </w:r>
          </w:p>
        </w:tc>
      </w:tr>
      <w:tr w:rsidR="00A60D4B" w14:paraId="03F3C162" w14:textId="77777777" w:rsidTr="00A60D4B">
        <w:tc>
          <w:tcPr>
            <w:tcW w:w="2891" w:type="dxa"/>
            <w:vAlign w:val="bottom"/>
          </w:tcPr>
          <w:p w14:paraId="7E12D09B" w14:textId="77777777" w:rsidR="00A60D4B" w:rsidRDefault="00A60D4B" w:rsidP="00A60D4B">
            <w:r>
              <w:rPr>
                <w:rFonts w:ascii="Calibri" w:hAnsi="Calibri" w:cs="Calibri"/>
                <w:color w:val="000000"/>
                <w:sz w:val="20"/>
                <w:szCs w:val="20"/>
              </w:rPr>
              <w:t>Better Infrastructure Fund</w:t>
            </w:r>
          </w:p>
        </w:tc>
        <w:tc>
          <w:tcPr>
            <w:tcW w:w="1020" w:type="dxa"/>
          </w:tcPr>
          <w:p w14:paraId="32D9CA5D" w14:textId="77777777" w:rsidR="00A60D4B" w:rsidRDefault="00A60D4B" w:rsidP="00A60D4B">
            <w:pPr>
              <w:jc w:val="right"/>
            </w:pPr>
            <w:r>
              <w:rPr>
                <w:rFonts w:ascii="Calibri" w:hAnsi="Calibri" w:cs="Calibri"/>
                <w:color w:val="000000"/>
                <w:sz w:val="20"/>
                <w:szCs w:val="20"/>
              </w:rPr>
              <w:t>2,917</w:t>
            </w:r>
          </w:p>
        </w:tc>
        <w:tc>
          <w:tcPr>
            <w:tcW w:w="1020" w:type="dxa"/>
          </w:tcPr>
          <w:p w14:paraId="68351598" w14:textId="77777777" w:rsidR="00A60D4B" w:rsidRDefault="00A60D4B" w:rsidP="00A60D4B">
            <w:pPr>
              <w:jc w:val="right"/>
            </w:pPr>
            <w:r>
              <w:rPr>
                <w:rFonts w:ascii="Calibri" w:hAnsi="Calibri" w:cs="Calibri"/>
                <w:color w:val="000000"/>
                <w:sz w:val="20"/>
                <w:szCs w:val="20"/>
              </w:rPr>
              <w:t>2,990</w:t>
            </w:r>
          </w:p>
        </w:tc>
        <w:tc>
          <w:tcPr>
            <w:tcW w:w="1020" w:type="dxa"/>
          </w:tcPr>
          <w:p w14:paraId="578A50D1" w14:textId="77777777" w:rsidR="00A60D4B" w:rsidRDefault="00A60D4B" w:rsidP="00A60D4B">
            <w:pPr>
              <w:jc w:val="right"/>
            </w:pPr>
            <w:r>
              <w:rPr>
                <w:rFonts w:ascii="Calibri" w:hAnsi="Calibri" w:cs="Calibri"/>
                <w:color w:val="000000"/>
                <w:sz w:val="20"/>
                <w:szCs w:val="20"/>
              </w:rPr>
              <w:t>3,064</w:t>
            </w:r>
          </w:p>
        </w:tc>
        <w:tc>
          <w:tcPr>
            <w:tcW w:w="1020" w:type="dxa"/>
          </w:tcPr>
          <w:p w14:paraId="704B51A4" w14:textId="77777777" w:rsidR="00A60D4B" w:rsidRDefault="00A60D4B" w:rsidP="00A60D4B">
            <w:pPr>
              <w:jc w:val="right"/>
            </w:pPr>
            <w:r>
              <w:rPr>
                <w:rFonts w:ascii="Calibri" w:hAnsi="Calibri" w:cs="Calibri"/>
                <w:color w:val="000000"/>
                <w:sz w:val="20"/>
                <w:szCs w:val="20"/>
              </w:rPr>
              <w:t>3,141</w:t>
            </w:r>
          </w:p>
        </w:tc>
        <w:tc>
          <w:tcPr>
            <w:tcW w:w="1020" w:type="dxa"/>
          </w:tcPr>
          <w:p w14:paraId="1487FA1D" w14:textId="77777777" w:rsidR="00A60D4B" w:rsidRDefault="00A60D4B" w:rsidP="00A60D4B">
            <w:pPr>
              <w:jc w:val="right"/>
            </w:pPr>
            <w:r>
              <w:rPr>
                <w:rFonts w:ascii="Calibri" w:hAnsi="Calibri" w:cs="Calibri"/>
                <w:color w:val="000000"/>
                <w:sz w:val="20"/>
                <w:szCs w:val="20"/>
              </w:rPr>
              <w:t>3,220</w:t>
            </w:r>
          </w:p>
        </w:tc>
        <w:tc>
          <w:tcPr>
            <w:tcW w:w="1020" w:type="dxa"/>
          </w:tcPr>
          <w:p w14:paraId="3F92F5FD" w14:textId="77777777" w:rsidR="00A60D4B" w:rsidRDefault="00A60D4B" w:rsidP="00A60D4B">
            <w:pPr>
              <w:jc w:val="right"/>
            </w:pPr>
            <w:r>
              <w:rPr>
                <w:rFonts w:ascii="Calibri" w:hAnsi="Calibri" w:cs="Calibri"/>
                <w:b/>
                <w:bCs/>
                <w:color w:val="000000"/>
                <w:sz w:val="20"/>
                <w:szCs w:val="20"/>
              </w:rPr>
              <w:t>15,332</w:t>
            </w:r>
          </w:p>
        </w:tc>
      </w:tr>
      <w:tr w:rsidR="00A60D4B" w14:paraId="7D5FBCAD" w14:textId="77777777" w:rsidTr="00A60D4B">
        <w:tc>
          <w:tcPr>
            <w:tcW w:w="2891" w:type="dxa"/>
            <w:vAlign w:val="bottom"/>
          </w:tcPr>
          <w:p w14:paraId="394E713E" w14:textId="77777777" w:rsidR="00A60D4B" w:rsidRDefault="00A60D4B" w:rsidP="00A60D4B">
            <w:r>
              <w:rPr>
                <w:rFonts w:ascii="Calibri" w:hAnsi="Calibri" w:cs="Calibri"/>
                <w:color w:val="000000"/>
                <w:sz w:val="20"/>
                <w:szCs w:val="20"/>
              </w:rPr>
              <w:t>Works-in-progress</w:t>
            </w:r>
          </w:p>
        </w:tc>
        <w:tc>
          <w:tcPr>
            <w:tcW w:w="1020" w:type="dxa"/>
          </w:tcPr>
          <w:p w14:paraId="115B2A8C" w14:textId="77777777" w:rsidR="00A60D4B" w:rsidRDefault="00A60D4B" w:rsidP="00A60D4B">
            <w:pPr>
              <w:jc w:val="right"/>
            </w:pPr>
            <w:r>
              <w:rPr>
                <w:rFonts w:ascii="Calibri" w:hAnsi="Calibri" w:cs="Calibri"/>
                <w:color w:val="000000"/>
                <w:sz w:val="20"/>
                <w:szCs w:val="20"/>
              </w:rPr>
              <w:t>2,524</w:t>
            </w:r>
          </w:p>
        </w:tc>
        <w:tc>
          <w:tcPr>
            <w:tcW w:w="1020" w:type="dxa"/>
          </w:tcPr>
          <w:p w14:paraId="717BFA39" w14:textId="77777777" w:rsidR="00A60D4B" w:rsidRDefault="00A60D4B" w:rsidP="00A60D4B">
            <w:pPr>
              <w:jc w:val="right"/>
            </w:pPr>
            <w:r>
              <w:rPr>
                <w:rFonts w:ascii="Calibri" w:hAnsi="Calibri" w:cs="Calibri"/>
                <w:color w:val="000000"/>
                <w:sz w:val="20"/>
                <w:szCs w:val="20"/>
              </w:rPr>
              <w:t>1,257</w:t>
            </w:r>
          </w:p>
        </w:tc>
        <w:tc>
          <w:tcPr>
            <w:tcW w:w="1020" w:type="dxa"/>
          </w:tcPr>
          <w:p w14:paraId="3C3B53D8" w14:textId="77777777" w:rsidR="00A60D4B" w:rsidRDefault="00A60D4B" w:rsidP="00A60D4B">
            <w:pPr>
              <w:jc w:val="right"/>
            </w:pPr>
            <w:r>
              <w:rPr>
                <w:rFonts w:ascii="Calibri" w:hAnsi="Calibri" w:cs="Calibri"/>
                <w:color w:val="000000"/>
                <w:sz w:val="20"/>
                <w:szCs w:val="20"/>
              </w:rPr>
              <w:t>1,257</w:t>
            </w:r>
          </w:p>
        </w:tc>
        <w:tc>
          <w:tcPr>
            <w:tcW w:w="1020" w:type="dxa"/>
          </w:tcPr>
          <w:p w14:paraId="4B0C581D" w14:textId="77777777" w:rsidR="00A60D4B" w:rsidRDefault="00A60D4B" w:rsidP="00A60D4B">
            <w:pPr>
              <w:jc w:val="right"/>
            </w:pPr>
            <w:r>
              <w:rPr>
                <w:rFonts w:ascii="Calibri" w:hAnsi="Calibri" w:cs="Calibri"/>
                <w:color w:val="000000"/>
                <w:sz w:val="20"/>
                <w:szCs w:val="20"/>
              </w:rPr>
              <w:t>1,257</w:t>
            </w:r>
          </w:p>
        </w:tc>
        <w:tc>
          <w:tcPr>
            <w:tcW w:w="1020" w:type="dxa"/>
          </w:tcPr>
          <w:p w14:paraId="339D37CA" w14:textId="77777777" w:rsidR="00A60D4B" w:rsidRDefault="00A60D4B" w:rsidP="00A60D4B">
            <w:pPr>
              <w:jc w:val="right"/>
            </w:pPr>
            <w:r>
              <w:rPr>
                <w:rFonts w:ascii="Calibri" w:hAnsi="Calibri" w:cs="Calibri"/>
                <w:color w:val="000000"/>
                <w:sz w:val="20"/>
                <w:szCs w:val="20"/>
              </w:rPr>
              <w:t>1,257</w:t>
            </w:r>
          </w:p>
        </w:tc>
        <w:tc>
          <w:tcPr>
            <w:tcW w:w="1020" w:type="dxa"/>
          </w:tcPr>
          <w:p w14:paraId="3171FF66" w14:textId="77777777" w:rsidR="00A60D4B" w:rsidRDefault="00A60D4B" w:rsidP="00A60D4B">
            <w:pPr>
              <w:jc w:val="right"/>
            </w:pPr>
            <w:r>
              <w:rPr>
                <w:rFonts w:ascii="Calibri" w:hAnsi="Calibri" w:cs="Calibri"/>
                <w:b/>
                <w:bCs/>
                <w:color w:val="000000"/>
                <w:sz w:val="20"/>
                <w:szCs w:val="20"/>
              </w:rPr>
              <w:t>7,552</w:t>
            </w:r>
          </w:p>
        </w:tc>
      </w:tr>
      <w:tr w:rsidR="00A60D4B" w14:paraId="644EC877" w14:textId="77777777" w:rsidTr="00A60D4B">
        <w:tc>
          <w:tcPr>
            <w:tcW w:w="2891" w:type="dxa"/>
            <w:vAlign w:val="bottom"/>
          </w:tcPr>
          <w:p w14:paraId="5CD623C5" w14:textId="77777777" w:rsidR="00A60D4B" w:rsidRDefault="00A60D4B" w:rsidP="00A60D4B">
            <w:r>
              <w:rPr>
                <w:rFonts w:ascii="Calibri" w:hAnsi="Calibri" w:cs="Calibri"/>
                <w:b/>
                <w:bCs/>
                <w:color w:val="000000"/>
                <w:sz w:val="20"/>
                <w:szCs w:val="20"/>
              </w:rPr>
              <w:t>Total</w:t>
            </w:r>
          </w:p>
        </w:tc>
        <w:tc>
          <w:tcPr>
            <w:tcW w:w="1020" w:type="dxa"/>
          </w:tcPr>
          <w:p w14:paraId="1E271E33" w14:textId="77777777" w:rsidR="00A60D4B" w:rsidRDefault="00A60D4B" w:rsidP="00A60D4B">
            <w:pPr>
              <w:jc w:val="right"/>
            </w:pPr>
            <w:r>
              <w:rPr>
                <w:rFonts w:ascii="Calibri" w:hAnsi="Calibri" w:cs="Calibri"/>
                <w:b/>
                <w:bCs/>
                <w:color w:val="000000"/>
                <w:sz w:val="20"/>
                <w:szCs w:val="20"/>
              </w:rPr>
              <w:t>5,441</w:t>
            </w:r>
          </w:p>
        </w:tc>
        <w:tc>
          <w:tcPr>
            <w:tcW w:w="1020" w:type="dxa"/>
          </w:tcPr>
          <w:p w14:paraId="5DBE5800" w14:textId="77777777" w:rsidR="00A60D4B" w:rsidRDefault="00A60D4B" w:rsidP="00A60D4B">
            <w:pPr>
              <w:jc w:val="right"/>
            </w:pPr>
            <w:r>
              <w:rPr>
                <w:rFonts w:ascii="Calibri" w:hAnsi="Calibri" w:cs="Calibri"/>
                <w:b/>
                <w:bCs/>
                <w:color w:val="000000"/>
                <w:sz w:val="20"/>
                <w:szCs w:val="20"/>
              </w:rPr>
              <w:t>4,247</w:t>
            </w:r>
          </w:p>
        </w:tc>
        <w:tc>
          <w:tcPr>
            <w:tcW w:w="1020" w:type="dxa"/>
          </w:tcPr>
          <w:p w14:paraId="6A42F128" w14:textId="77777777" w:rsidR="00A60D4B" w:rsidRDefault="00A60D4B" w:rsidP="00A60D4B">
            <w:pPr>
              <w:jc w:val="right"/>
            </w:pPr>
            <w:r>
              <w:rPr>
                <w:rFonts w:ascii="Calibri" w:hAnsi="Calibri" w:cs="Calibri"/>
                <w:b/>
                <w:bCs/>
                <w:color w:val="000000"/>
                <w:sz w:val="20"/>
                <w:szCs w:val="20"/>
              </w:rPr>
              <w:t>4,321</w:t>
            </w:r>
          </w:p>
        </w:tc>
        <w:tc>
          <w:tcPr>
            <w:tcW w:w="1020" w:type="dxa"/>
          </w:tcPr>
          <w:p w14:paraId="252A80B9" w14:textId="77777777" w:rsidR="00A60D4B" w:rsidRDefault="00A60D4B" w:rsidP="00A60D4B">
            <w:pPr>
              <w:jc w:val="right"/>
            </w:pPr>
            <w:r>
              <w:rPr>
                <w:rFonts w:ascii="Calibri" w:hAnsi="Calibri" w:cs="Calibri"/>
                <w:b/>
                <w:bCs/>
                <w:color w:val="000000"/>
                <w:sz w:val="20"/>
                <w:szCs w:val="20"/>
              </w:rPr>
              <w:t>4,398</w:t>
            </w:r>
          </w:p>
        </w:tc>
        <w:tc>
          <w:tcPr>
            <w:tcW w:w="1020" w:type="dxa"/>
          </w:tcPr>
          <w:p w14:paraId="6A98EFFA" w14:textId="77777777" w:rsidR="00A60D4B" w:rsidRDefault="00A60D4B" w:rsidP="00A60D4B">
            <w:pPr>
              <w:jc w:val="right"/>
            </w:pPr>
            <w:r>
              <w:rPr>
                <w:rFonts w:ascii="Calibri" w:hAnsi="Calibri" w:cs="Calibri"/>
                <w:b/>
                <w:bCs/>
                <w:color w:val="000000"/>
                <w:sz w:val="20"/>
                <w:szCs w:val="20"/>
              </w:rPr>
              <w:t>4,477</w:t>
            </w:r>
          </w:p>
        </w:tc>
        <w:tc>
          <w:tcPr>
            <w:tcW w:w="1020" w:type="dxa"/>
          </w:tcPr>
          <w:p w14:paraId="083B418F" w14:textId="77777777" w:rsidR="00A60D4B" w:rsidRDefault="00A60D4B" w:rsidP="00A60D4B">
            <w:pPr>
              <w:jc w:val="right"/>
            </w:pPr>
            <w:r>
              <w:rPr>
                <w:rFonts w:ascii="Calibri" w:hAnsi="Calibri" w:cs="Calibri"/>
                <w:b/>
                <w:bCs/>
                <w:color w:val="000000"/>
                <w:sz w:val="20"/>
                <w:szCs w:val="20"/>
              </w:rPr>
              <w:t>22,884</w:t>
            </w:r>
          </w:p>
        </w:tc>
      </w:tr>
      <w:tr w:rsidR="00A60D4B" w14:paraId="1BC1C7E3" w14:textId="77777777" w:rsidTr="00A60D4B">
        <w:trPr>
          <w:trHeight w:val="907"/>
        </w:trPr>
        <w:tc>
          <w:tcPr>
            <w:tcW w:w="2891" w:type="dxa"/>
            <w:vAlign w:val="bottom"/>
          </w:tcPr>
          <w:p w14:paraId="3D6D5BF1" w14:textId="77777777" w:rsidR="00A60D4B" w:rsidRDefault="00A60D4B" w:rsidP="00A60D4B">
            <w:r>
              <w:rPr>
                <w:rFonts w:ascii="Calibri" w:hAnsi="Calibri" w:cs="Calibri"/>
                <w:b/>
                <w:bCs/>
                <w:color w:val="000000"/>
                <w:sz w:val="20"/>
                <w:szCs w:val="20"/>
              </w:rPr>
              <w:t>Chief Minister, Treasury and Economic Development Directorate</w:t>
            </w:r>
          </w:p>
        </w:tc>
        <w:tc>
          <w:tcPr>
            <w:tcW w:w="1020" w:type="dxa"/>
            <w:vAlign w:val="center"/>
          </w:tcPr>
          <w:p w14:paraId="276CF6CE"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1A4516E7"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678C5C21"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0EB75162"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29B9C597"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56DDF30B" w14:textId="77777777" w:rsidR="00A60D4B" w:rsidRDefault="00A60D4B" w:rsidP="00A60D4B">
            <w:pPr>
              <w:jc w:val="right"/>
            </w:pPr>
            <w:r>
              <w:rPr>
                <w:rFonts w:ascii="Calibri" w:hAnsi="Calibri" w:cs="Calibri"/>
                <w:color w:val="FFFFFF"/>
                <w:sz w:val="20"/>
                <w:szCs w:val="20"/>
              </w:rPr>
              <w:t>0</w:t>
            </w:r>
          </w:p>
        </w:tc>
      </w:tr>
      <w:tr w:rsidR="00A60D4B" w14:paraId="78D49EF9" w14:textId="77777777" w:rsidTr="00A60D4B">
        <w:tc>
          <w:tcPr>
            <w:tcW w:w="2891" w:type="dxa"/>
            <w:vAlign w:val="bottom"/>
          </w:tcPr>
          <w:p w14:paraId="741E0F9A" w14:textId="77777777" w:rsidR="00A60D4B" w:rsidRDefault="00A60D4B" w:rsidP="00A60D4B">
            <w:r>
              <w:rPr>
                <w:rFonts w:ascii="Calibri" w:hAnsi="Calibri" w:cs="Calibri"/>
                <w:color w:val="000000"/>
                <w:sz w:val="20"/>
                <w:szCs w:val="20"/>
              </w:rPr>
              <w:t>New Capital Works</w:t>
            </w:r>
          </w:p>
        </w:tc>
        <w:tc>
          <w:tcPr>
            <w:tcW w:w="1020" w:type="dxa"/>
          </w:tcPr>
          <w:p w14:paraId="4049735E" w14:textId="77777777" w:rsidR="00A60D4B" w:rsidRPr="00522800" w:rsidRDefault="00A60D4B" w:rsidP="00A60D4B">
            <w:pPr>
              <w:jc w:val="right"/>
              <w:rPr>
                <w:sz w:val="20"/>
                <w:szCs w:val="20"/>
              </w:rPr>
            </w:pPr>
            <w:r w:rsidRPr="00522800">
              <w:rPr>
                <w:sz w:val="20"/>
                <w:szCs w:val="20"/>
              </w:rPr>
              <w:t>41,848</w:t>
            </w:r>
          </w:p>
        </w:tc>
        <w:tc>
          <w:tcPr>
            <w:tcW w:w="1020" w:type="dxa"/>
          </w:tcPr>
          <w:p w14:paraId="5CDBB0B1" w14:textId="77777777" w:rsidR="00A60D4B" w:rsidRPr="00522800" w:rsidRDefault="00A60D4B" w:rsidP="00A60D4B">
            <w:pPr>
              <w:jc w:val="right"/>
              <w:rPr>
                <w:sz w:val="20"/>
                <w:szCs w:val="20"/>
              </w:rPr>
            </w:pPr>
            <w:r w:rsidRPr="00522800">
              <w:rPr>
                <w:sz w:val="20"/>
                <w:szCs w:val="20"/>
              </w:rPr>
              <w:t>25,024</w:t>
            </w:r>
          </w:p>
        </w:tc>
        <w:tc>
          <w:tcPr>
            <w:tcW w:w="1020" w:type="dxa"/>
          </w:tcPr>
          <w:p w14:paraId="73166471" w14:textId="77777777" w:rsidR="00A60D4B" w:rsidRPr="00522800" w:rsidRDefault="00A60D4B" w:rsidP="00A60D4B">
            <w:pPr>
              <w:jc w:val="right"/>
              <w:rPr>
                <w:sz w:val="20"/>
                <w:szCs w:val="20"/>
              </w:rPr>
            </w:pPr>
            <w:r w:rsidRPr="00522800">
              <w:rPr>
                <w:sz w:val="20"/>
                <w:szCs w:val="20"/>
              </w:rPr>
              <w:t>19,046</w:t>
            </w:r>
          </w:p>
        </w:tc>
        <w:tc>
          <w:tcPr>
            <w:tcW w:w="1020" w:type="dxa"/>
          </w:tcPr>
          <w:p w14:paraId="3D1843B4" w14:textId="77777777" w:rsidR="00A60D4B" w:rsidRPr="00522800" w:rsidRDefault="00A60D4B" w:rsidP="00A60D4B">
            <w:pPr>
              <w:jc w:val="right"/>
              <w:rPr>
                <w:sz w:val="20"/>
                <w:szCs w:val="20"/>
              </w:rPr>
            </w:pPr>
            <w:r w:rsidRPr="00522800">
              <w:rPr>
                <w:sz w:val="20"/>
                <w:szCs w:val="20"/>
              </w:rPr>
              <w:t>10,241</w:t>
            </w:r>
          </w:p>
        </w:tc>
        <w:tc>
          <w:tcPr>
            <w:tcW w:w="1020" w:type="dxa"/>
          </w:tcPr>
          <w:p w14:paraId="66EA2595" w14:textId="77777777" w:rsidR="00A60D4B" w:rsidRPr="00522800" w:rsidRDefault="00A60D4B" w:rsidP="00A60D4B">
            <w:pPr>
              <w:jc w:val="right"/>
              <w:rPr>
                <w:sz w:val="20"/>
                <w:szCs w:val="20"/>
              </w:rPr>
            </w:pPr>
            <w:r w:rsidRPr="00522800">
              <w:rPr>
                <w:sz w:val="20"/>
                <w:szCs w:val="20"/>
              </w:rPr>
              <w:t>0</w:t>
            </w:r>
          </w:p>
        </w:tc>
        <w:tc>
          <w:tcPr>
            <w:tcW w:w="1020" w:type="dxa"/>
          </w:tcPr>
          <w:p w14:paraId="3FB0B320" w14:textId="77777777" w:rsidR="00A60D4B" w:rsidRPr="00522800" w:rsidRDefault="00A60D4B" w:rsidP="00A60D4B">
            <w:pPr>
              <w:jc w:val="right"/>
              <w:rPr>
                <w:b/>
                <w:bCs/>
                <w:sz w:val="20"/>
                <w:szCs w:val="20"/>
              </w:rPr>
            </w:pPr>
            <w:r w:rsidRPr="00522800">
              <w:rPr>
                <w:b/>
                <w:bCs/>
                <w:sz w:val="20"/>
                <w:szCs w:val="20"/>
              </w:rPr>
              <w:t>96,159</w:t>
            </w:r>
          </w:p>
        </w:tc>
      </w:tr>
      <w:tr w:rsidR="00A60D4B" w14:paraId="10896FD6" w14:textId="77777777" w:rsidTr="00A60D4B">
        <w:tc>
          <w:tcPr>
            <w:tcW w:w="2891" w:type="dxa"/>
            <w:vAlign w:val="bottom"/>
          </w:tcPr>
          <w:p w14:paraId="0FE3BA2F" w14:textId="77777777" w:rsidR="00A60D4B" w:rsidRDefault="00A60D4B" w:rsidP="00A60D4B">
            <w:r>
              <w:rPr>
                <w:rFonts w:ascii="Calibri" w:hAnsi="Calibri" w:cs="Calibri"/>
                <w:color w:val="000000"/>
                <w:sz w:val="20"/>
                <w:szCs w:val="20"/>
              </w:rPr>
              <w:t>Better Infrastructure Fund</w:t>
            </w:r>
          </w:p>
        </w:tc>
        <w:tc>
          <w:tcPr>
            <w:tcW w:w="1020" w:type="dxa"/>
          </w:tcPr>
          <w:p w14:paraId="2E6A5D24" w14:textId="77777777" w:rsidR="00A60D4B" w:rsidRPr="00522800" w:rsidRDefault="00A60D4B" w:rsidP="00A60D4B">
            <w:pPr>
              <w:jc w:val="right"/>
              <w:rPr>
                <w:sz w:val="20"/>
                <w:szCs w:val="20"/>
              </w:rPr>
            </w:pPr>
            <w:r w:rsidRPr="00522800">
              <w:rPr>
                <w:sz w:val="20"/>
                <w:szCs w:val="20"/>
              </w:rPr>
              <w:t>13,800</w:t>
            </w:r>
          </w:p>
        </w:tc>
        <w:tc>
          <w:tcPr>
            <w:tcW w:w="1020" w:type="dxa"/>
          </w:tcPr>
          <w:p w14:paraId="4183ED2B" w14:textId="77777777" w:rsidR="00A60D4B" w:rsidRPr="00522800" w:rsidRDefault="00A60D4B" w:rsidP="00A60D4B">
            <w:pPr>
              <w:jc w:val="right"/>
              <w:rPr>
                <w:sz w:val="20"/>
                <w:szCs w:val="20"/>
              </w:rPr>
            </w:pPr>
            <w:r w:rsidRPr="00522800">
              <w:rPr>
                <w:sz w:val="20"/>
                <w:szCs w:val="20"/>
              </w:rPr>
              <w:t>8,393</w:t>
            </w:r>
          </w:p>
        </w:tc>
        <w:tc>
          <w:tcPr>
            <w:tcW w:w="1020" w:type="dxa"/>
          </w:tcPr>
          <w:p w14:paraId="7D2E6235" w14:textId="77777777" w:rsidR="00A60D4B" w:rsidRPr="00522800" w:rsidRDefault="00A60D4B" w:rsidP="00A60D4B">
            <w:pPr>
              <w:jc w:val="right"/>
              <w:rPr>
                <w:sz w:val="20"/>
                <w:szCs w:val="20"/>
              </w:rPr>
            </w:pPr>
            <w:r w:rsidRPr="00522800">
              <w:rPr>
                <w:sz w:val="20"/>
                <w:szCs w:val="20"/>
              </w:rPr>
              <w:t>8,603</w:t>
            </w:r>
          </w:p>
        </w:tc>
        <w:tc>
          <w:tcPr>
            <w:tcW w:w="1020" w:type="dxa"/>
          </w:tcPr>
          <w:p w14:paraId="777A986A" w14:textId="77777777" w:rsidR="00A60D4B" w:rsidRPr="00522800" w:rsidRDefault="00A60D4B" w:rsidP="00A60D4B">
            <w:pPr>
              <w:jc w:val="right"/>
              <w:rPr>
                <w:sz w:val="20"/>
                <w:szCs w:val="20"/>
              </w:rPr>
            </w:pPr>
            <w:r w:rsidRPr="00522800">
              <w:rPr>
                <w:sz w:val="20"/>
                <w:szCs w:val="20"/>
              </w:rPr>
              <w:t>8,818</w:t>
            </w:r>
          </w:p>
        </w:tc>
        <w:tc>
          <w:tcPr>
            <w:tcW w:w="1020" w:type="dxa"/>
          </w:tcPr>
          <w:p w14:paraId="353622CE" w14:textId="77777777" w:rsidR="00A60D4B" w:rsidRPr="00522800" w:rsidRDefault="00A60D4B" w:rsidP="00A60D4B">
            <w:pPr>
              <w:jc w:val="right"/>
              <w:rPr>
                <w:sz w:val="20"/>
                <w:szCs w:val="20"/>
              </w:rPr>
            </w:pPr>
            <w:r w:rsidRPr="00522800">
              <w:rPr>
                <w:sz w:val="20"/>
                <w:szCs w:val="20"/>
              </w:rPr>
              <w:t>9,038</w:t>
            </w:r>
          </w:p>
        </w:tc>
        <w:tc>
          <w:tcPr>
            <w:tcW w:w="1020" w:type="dxa"/>
          </w:tcPr>
          <w:p w14:paraId="78E1FBE5" w14:textId="77777777" w:rsidR="00A60D4B" w:rsidRPr="00522800" w:rsidRDefault="00A60D4B" w:rsidP="00A60D4B">
            <w:pPr>
              <w:jc w:val="right"/>
              <w:rPr>
                <w:b/>
                <w:bCs/>
                <w:sz w:val="20"/>
                <w:szCs w:val="20"/>
              </w:rPr>
            </w:pPr>
            <w:r w:rsidRPr="00522800">
              <w:rPr>
                <w:b/>
                <w:bCs/>
                <w:sz w:val="20"/>
                <w:szCs w:val="20"/>
              </w:rPr>
              <w:t>48,652</w:t>
            </w:r>
          </w:p>
        </w:tc>
      </w:tr>
      <w:tr w:rsidR="00A60D4B" w14:paraId="332A1E5D" w14:textId="77777777" w:rsidTr="00A60D4B">
        <w:tc>
          <w:tcPr>
            <w:tcW w:w="2891" w:type="dxa"/>
            <w:vAlign w:val="bottom"/>
          </w:tcPr>
          <w:p w14:paraId="03943119" w14:textId="77777777" w:rsidR="00A60D4B" w:rsidRDefault="00A60D4B" w:rsidP="00A60D4B">
            <w:r>
              <w:rPr>
                <w:rFonts w:ascii="Calibri" w:hAnsi="Calibri" w:cs="Calibri"/>
                <w:color w:val="000000"/>
                <w:sz w:val="20"/>
                <w:szCs w:val="20"/>
              </w:rPr>
              <w:t>Works-in-progress</w:t>
            </w:r>
          </w:p>
        </w:tc>
        <w:tc>
          <w:tcPr>
            <w:tcW w:w="1020" w:type="dxa"/>
          </w:tcPr>
          <w:p w14:paraId="672C4314" w14:textId="77777777" w:rsidR="00A60D4B" w:rsidRPr="00522800" w:rsidRDefault="00A60D4B" w:rsidP="00A60D4B">
            <w:pPr>
              <w:jc w:val="right"/>
              <w:rPr>
                <w:sz w:val="20"/>
                <w:szCs w:val="20"/>
              </w:rPr>
            </w:pPr>
            <w:r w:rsidRPr="00522800">
              <w:rPr>
                <w:sz w:val="20"/>
                <w:szCs w:val="20"/>
              </w:rPr>
              <w:t>46,220</w:t>
            </w:r>
          </w:p>
        </w:tc>
        <w:tc>
          <w:tcPr>
            <w:tcW w:w="1020" w:type="dxa"/>
          </w:tcPr>
          <w:p w14:paraId="28163C8B" w14:textId="77777777" w:rsidR="00A60D4B" w:rsidRPr="00522800" w:rsidRDefault="00A60D4B" w:rsidP="00A60D4B">
            <w:pPr>
              <w:jc w:val="right"/>
              <w:rPr>
                <w:sz w:val="20"/>
                <w:szCs w:val="20"/>
              </w:rPr>
            </w:pPr>
            <w:r w:rsidRPr="00522800">
              <w:rPr>
                <w:sz w:val="20"/>
                <w:szCs w:val="20"/>
              </w:rPr>
              <w:t>40,596</w:t>
            </w:r>
          </w:p>
        </w:tc>
        <w:tc>
          <w:tcPr>
            <w:tcW w:w="1020" w:type="dxa"/>
          </w:tcPr>
          <w:p w14:paraId="781D7802" w14:textId="77777777" w:rsidR="00A60D4B" w:rsidRPr="00522800" w:rsidRDefault="00A60D4B" w:rsidP="00A60D4B">
            <w:pPr>
              <w:jc w:val="right"/>
              <w:rPr>
                <w:sz w:val="20"/>
                <w:szCs w:val="20"/>
              </w:rPr>
            </w:pPr>
            <w:r w:rsidRPr="00522800">
              <w:rPr>
                <w:sz w:val="20"/>
                <w:szCs w:val="20"/>
              </w:rPr>
              <w:t>7,660</w:t>
            </w:r>
          </w:p>
        </w:tc>
        <w:tc>
          <w:tcPr>
            <w:tcW w:w="1020" w:type="dxa"/>
          </w:tcPr>
          <w:p w14:paraId="1D91EAED" w14:textId="77777777" w:rsidR="00A60D4B" w:rsidRPr="00522800" w:rsidRDefault="00A60D4B" w:rsidP="00A60D4B">
            <w:pPr>
              <w:jc w:val="right"/>
              <w:rPr>
                <w:sz w:val="20"/>
                <w:szCs w:val="20"/>
              </w:rPr>
            </w:pPr>
            <w:r w:rsidRPr="00522800">
              <w:rPr>
                <w:sz w:val="20"/>
                <w:szCs w:val="20"/>
              </w:rPr>
              <w:t>500</w:t>
            </w:r>
          </w:p>
        </w:tc>
        <w:tc>
          <w:tcPr>
            <w:tcW w:w="1020" w:type="dxa"/>
          </w:tcPr>
          <w:p w14:paraId="01EE45DE" w14:textId="77777777" w:rsidR="00A60D4B" w:rsidRPr="00522800" w:rsidRDefault="00A60D4B" w:rsidP="00A60D4B">
            <w:pPr>
              <w:jc w:val="right"/>
              <w:rPr>
                <w:sz w:val="20"/>
                <w:szCs w:val="20"/>
              </w:rPr>
            </w:pPr>
            <w:r w:rsidRPr="00522800">
              <w:rPr>
                <w:sz w:val="20"/>
                <w:szCs w:val="20"/>
              </w:rPr>
              <w:t>1,500</w:t>
            </w:r>
          </w:p>
        </w:tc>
        <w:tc>
          <w:tcPr>
            <w:tcW w:w="1020" w:type="dxa"/>
          </w:tcPr>
          <w:p w14:paraId="2CFAF8DE" w14:textId="77777777" w:rsidR="00A60D4B" w:rsidRPr="00522800" w:rsidRDefault="00A60D4B" w:rsidP="00A60D4B">
            <w:pPr>
              <w:jc w:val="right"/>
              <w:rPr>
                <w:b/>
                <w:bCs/>
                <w:sz w:val="20"/>
                <w:szCs w:val="20"/>
              </w:rPr>
            </w:pPr>
            <w:r w:rsidRPr="00522800">
              <w:rPr>
                <w:b/>
                <w:bCs/>
                <w:sz w:val="20"/>
                <w:szCs w:val="20"/>
              </w:rPr>
              <w:t>96,476</w:t>
            </w:r>
          </w:p>
        </w:tc>
      </w:tr>
      <w:tr w:rsidR="00A60D4B" w14:paraId="3DC55B6B" w14:textId="77777777" w:rsidTr="00A60D4B">
        <w:tc>
          <w:tcPr>
            <w:tcW w:w="2891" w:type="dxa"/>
            <w:vAlign w:val="bottom"/>
          </w:tcPr>
          <w:p w14:paraId="71DBABBA" w14:textId="77777777" w:rsidR="00A60D4B" w:rsidRDefault="00A60D4B" w:rsidP="00A60D4B">
            <w:r>
              <w:rPr>
                <w:rFonts w:ascii="Calibri" w:hAnsi="Calibri" w:cs="Calibri"/>
                <w:b/>
                <w:bCs/>
                <w:color w:val="000000"/>
                <w:sz w:val="20"/>
                <w:szCs w:val="20"/>
              </w:rPr>
              <w:t>Total</w:t>
            </w:r>
          </w:p>
        </w:tc>
        <w:tc>
          <w:tcPr>
            <w:tcW w:w="1020" w:type="dxa"/>
          </w:tcPr>
          <w:p w14:paraId="1357E586" w14:textId="77777777" w:rsidR="00A60D4B" w:rsidRPr="00522800" w:rsidRDefault="00A60D4B" w:rsidP="00A60D4B">
            <w:pPr>
              <w:jc w:val="right"/>
              <w:rPr>
                <w:b/>
                <w:bCs/>
                <w:sz w:val="20"/>
                <w:szCs w:val="20"/>
              </w:rPr>
            </w:pPr>
            <w:r w:rsidRPr="00522800">
              <w:rPr>
                <w:b/>
                <w:bCs/>
                <w:sz w:val="20"/>
                <w:szCs w:val="20"/>
              </w:rPr>
              <w:t>101,868</w:t>
            </w:r>
          </w:p>
        </w:tc>
        <w:tc>
          <w:tcPr>
            <w:tcW w:w="1020" w:type="dxa"/>
          </w:tcPr>
          <w:p w14:paraId="2E0D0F56" w14:textId="77777777" w:rsidR="00A60D4B" w:rsidRPr="00522800" w:rsidRDefault="00A60D4B" w:rsidP="00A60D4B">
            <w:pPr>
              <w:jc w:val="right"/>
              <w:rPr>
                <w:b/>
                <w:bCs/>
                <w:sz w:val="20"/>
                <w:szCs w:val="20"/>
              </w:rPr>
            </w:pPr>
            <w:r w:rsidRPr="00522800">
              <w:rPr>
                <w:b/>
                <w:bCs/>
                <w:sz w:val="20"/>
                <w:szCs w:val="20"/>
              </w:rPr>
              <w:t>74,013</w:t>
            </w:r>
          </w:p>
        </w:tc>
        <w:tc>
          <w:tcPr>
            <w:tcW w:w="1020" w:type="dxa"/>
          </w:tcPr>
          <w:p w14:paraId="46121EEC" w14:textId="77777777" w:rsidR="00A60D4B" w:rsidRPr="00522800" w:rsidRDefault="00A60D4B" w:rsidP="00A60D4B">
            <w:pPr>
              <w:jc w:val="right"/>
              <w:rPr>
                <w:b/>
                <w:bCs/>
                <w:sz w:val="20"/>
                <w:szCs w:val="20"/>
              </w:rPr>
            </w:pPr>
            <w:r w:rsidRPr="00522800">
              <w:rPr>
                <w:b/>
                <w:bCs/>
                <w:sz w:val="20"/>
                <w:szCs w:val="20"/>
              </w:rPr>
              <w:t>35,309</w:t>
            </w:r>
          </w:p>
        </w:tc>
        <w:tc>
          <w:tcPr>
            <w:tcW w:w="1020" w:type="dxa"/>
          </w:tcPr>
          <w:p w14:paraId="403924EB" w14:textId="77777777" w:rsidR="00A60D4B" w:rsidRPr="00522800" w:rsidRDefault="00A60D4B" w:rsidP="00A60D4B">
            <w:pPr>
              <w:jc w:val="right"/>
              <w:rPr>
                <w:b/>
                <w:bCs/>
                <w:sz w:val="20"/>
                <w:szCs w:val="20"/>
              </w:rPr>
            </w:pPr>
            <w:r w:rsidRPr="00522800">
              <w:rPr>
                <w:b/>
                <w:bCs/>
                <w:sz w:val="20"/>
                <w:szCs w:val="20"/>
              </w:rPr>
              <w:t>19,559</w:t>
            </w:r>
          </w:p>
        </w:tc>
        <w:tc>
          <w:tcPr>
            <w:tcW w:w="1020" w:type="dxa"/>
          </w:tcPr>
          <w:p w14:paraId="6B4A1566" w14:textId="77777777" w:rsidR="00A60D4B" w:rsidRPr="00522800" w:rsidRDefault="00A60D4B" w:rsidP="00A60D4B">
            <w:pPr>
              <w:jc w:val="right"/>
              <w:rPr>
                <w:b/>
                <w:bCs/>
                <w:sz w:val="20"/>
                <w:szCs w:val="20"/>
              </w:rPr>
            </w:pPr>
            <w:r w:rsidRPr="00522800">
              <w:rPr>
                <w:b/>
                <w:bCs/>
                <w:sz w:val="20"/>
                <w:szCs w:val="20"/>
              </w:rPr>
              <w:t>10,538</w:t>
            </w:r>
          </w:p>
        </w:tc>
        <w:tc>
          <w:tcPr>
            <w:tcW w:w="1020" w:type="dxa"/>
          </w:tcPr>
          <w:p w14:paraId="1423D594" w14:textId="77777777" w:rsidR="00A60D4B" w:rsidRPr="00522800" w:rsidRDefault="00A60D4B" w:rsidP="00A60D4B">
            <w:pPr>
              <w:jc w:val="right"/>
              <w:rPr>
                <w:b/>
                <w:bCs/>
                <w:sz w:val="20"/>
                <w:szCs w:val="20"/>
              </w:rPr>
            </w:pPr>
            <w:r w:rsidRPr="00522800">
              <w:rPr>
                <w:b/>
                <w:bCs/>
                <w:sz w:val="20"/>
                <w:szCs w:val="20"/>
              </w:rPr>
              <w:t>241,287</w:t>
            </w:r>
          </w:p>
        </w:tc>
      </w:tr>
      <w:tr w:rsidR="00A60D4B" w14:paraId="3DC5A9B1" w14:textId="77777777" w:rsidTr="00A60D4B">
        <w:trPr>
          <w:trHeight w:val="397"/>
        </w:trPr>
        <w:tc>
          <w:tcPr>
            <w:tcW w:w="2891" w:type="dxa"/>
            <w:vAlign w:val="bottom"/>
          </w:tcPr>
          <w:p w14:paraId="5750EABE" w14:textId="77777777" w:rsidR="00A60D4B" w:rsidRDefault="00A60D4B" w:rsidP="00A60D4B">
            <w:r>
              <w:rPr>
                <w:rFonts w:ascii="Calibri" w:hAnsi="Calibri" w:cs="Calibri"/>
                <w:b/>
                <w:bCs/>
                <w:color w:val="000000"/>
                <w:sz w:val="20"/>
                <w:szCs w:val="20"/>
              </w:rPr>
              <w:t>City Renewal Authority</w:t>
            </w:r>
          </w:p>
        </w:tc>
        <w:tc>
          <w:tcPr>
            <w:tcW w:w="1020" w:type="dxa"/>
            <w:vAlign w:val="center"/>
          </w:tcPr>
          <w:p w14:paraId="564A50D1"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7C0B3AF0"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55E1014C"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33FBA10B"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575DF411"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4A691E8B" w14:textId="77777777" w:rsidR="00A60D4B" w:rsidRDefault="00A60D4B" w:rsidP="00A60D4B">
            <w:pPr>
              <w:jc w:val="right"/>
            </w:pPr>
            <w:r>
              <w:rPr>
                <w:rFonts w:ascii="Calibri" w:hAnsi="Calibri" w:cs="Calibri"/>
                <w:color w:val="FFFFFF"/>
                <w:sz w:val="20"/>
                <w:szCs w:val="20"/>
              </w:rPr>
              <w:t>0</w:t>
            </w:r>
          </w:p>
        </w:tc>
      </w:tr>
      <w:tr w:rsidR="00A60D4B" w14:paraId="17C772E5" w14:textId="77777777" w:rsidTr="00A60D4B">
        <w:tc>
          <w:tcPr>
            <w:tcW w:w="2891" w:type="dxa"/>
            <w:vAlign w:val="bottom"/>
          </w:tcPr>
          <w:p w14:paraId="630BB40E" w14:textId="77777777" w:rsidR="00A60D4B" w:rsidRDefault="00A60D4B" w:rsidP="00A60D4B">
            <w:r>
              <w:rPr>
                <w:rFonts w:ascii="Calibri" w:hAnsi="Calibri" w:cs="Calibri"/>
                <w:color w:val="000000"/>
                <w:sz w:val="20"/>
                <w:szCs w:val="20"/>
              </w:rPr>
              <w:t>New Capital Works</w:t>
            </w:r>
          </w:p>
        </w:tc>
        <w:tc>
          <w:tcPr>
            <w:tcW w:w="1020" w:type="dxa"/>
          </w:tcPr>
          <w:p w14:paraId="5307653C" w14:textId="77777777" w:rsidR="00A60D4B" w:rsidRDefault="00A60D4B" w:rsidP="00A60D4B">
            <w:pPr>
              <w:jc w:val="right"/>
            </w:pPr>
            <w:r>
              <w:rPr>
                <w:rFonts w:ascii="Calibri" w:hAnsi="Calibri" w:cs="Calibri"/>
                <w:color w:val="000000"/>
                <w:sz w:val="20"/>
                <w:szCs w:val="20"/>
              </w:rPr>
              <w:t>1,910</w:t>
            </w:r>
          </w:p>
        </w:tc>
        <w:tc>
          <w:tcPr>
            <w:tcW w:w="1020" w:type="dxa"/>
          </w:tcPr>
          <w:p w14:paraId="5DC39B11" w14:textId="77777777" w:rsidR="00A60D4B" w:rsidRDefault="00A60D4B" w:rsidP="00A60D4B">
            <w:pPr>
              <w:jc w:val="right"/>
            </w:pPr>
            <w:r>
              <w:rPr>
                <w:rFonts w:ascii="Calibri" w:hAnsi="Calibri" w:cs="Calibri"/>
                <w:color w:val="000000"/>
                <w:sz w:val="20"/>
                <w:szCs w:val="20"/>
              </w:rPr>
              <w:t>890</w:t>
            </w:r>
          </w:p>
        </w:tc>
        <w:tc>
          <w:tcPr>
            <w:tcW w:w="1020" w:type="dxa"/>
          </w:tcPr>
          <w:p w14:paraId="3420C713" w14:textId="77777777" w:rsidR="00A60D4B" w:rsidRDefault="00A60D4B" w:rsidP="00A60D4B">
            <w:pPr>
              <w:jc w:val="right"/>
            </w:pPr>
            <w:r>
              <w:rPr>
                <w:rFonts w:ascii="Calibri" w:hAnsi="Calibri" w:cs="Calibri"/>
                <w:color w:val="000000"/>
                <w:sz w:val="20"/>
                <w:szCs w:val="20"/>
              </w:rPr>
              <w:t>0</w:t>
            </w:r>
          </w:p>
        </w:tc>
        <w:tc>
          <w:tcPr>
            <w:tcW w:w="1020" w:type="dxa"/>
          </w:tcPr>
          <w:p w14:paraId="6881ECF5" w14:textId="77777777" w:rsidR="00A60D4B" w:rsidRDefault="00A60D4B" w:rsidP="00A60D4B">
            <w:pPr>
              <w:jc w:val="right"/>
            </w:pPr>
            <w:r>
              <w:rPr>
                <w:rFonts w:ascii="Calibri" w:hAnsi="Calibri" w:cs="Calibri"/>
                <w:color w:val="000000"/>
                <w:sz w:val="20"/>
                <w:szCs w:val="20"/>
              </w:rPr>
              <w:t>0</w:t>
            </w:r>
          </w:p>
        </w:tc>
        <w:tc>
          <w:tcPr>
            <w:tcW w:w="1020" w:type="dxa"/>
          </w:tcPr>
          <w:p w14:paraId="5B6C50AA" w14:textId="77777777" w:rsidR="00A60D4B" w:rsidRDefault="00A60D4B" w:rsidP="00A60D4B">
            <w:pPr>
              <w:jc w:val="right"/>
            </w:pPr>
            <w:r>
              <w:rPr>
                <w:rFonts w:ascii="Calibri" w:hAnsi="Calibri" w:cs="Calibri"/>
                <w:color w:val="000000"/>
                <w:sz w:val="20"/>
                <w:szCs w:val="20"/>
              </w:rPr>
              <w:t>0</w:t>
            </w:r>
          </w:p>
        </w:tc>
        <w:tc>
          <w:tcPr>
            <w:tcW w:w="1020" w:type="dxa"/>
          </w:tcPr>
          <w:p w14:paraId="655F658B" w14:textId="77777777" w:rsidR="00A60D4B" w:rsidRDefault="00A60D4B" w:rsidP="00A60D4B">
            <w:pPr>
              <w:jc w:val="right"/>
            </w:pPr>
            <w:r>
              <w:rPr>
                <w:rFonts w:ascii="Calibri" w:hAnsi="Calibri" w:cs="Calibri"/>
                <w:b/>
                <w:bCs/>
                <w:color w:val="000000"/>
                <w:sz w:val="20"/>
                <w:szCs w:val="20"/>
              </w:rPr>
              <w:t>2,800</w:t>
            </w:r>
          </w:p>
        </w:tc>
      </w:tr>
      <w:tr w:rsidR="00A60D4B" w14:paraId="071B6A44" w14:textId="77777777" w:rsidTr="00A60D4B">
        <w:tc>
          <w:tcPr>
            <w:tcW w:w="2891" w:type="dxa"/>
            <w:vAlign w:val="bottom"/>
          </w:tcPr>
          <w:p w14:paraId="598F7629" w14:textId="77777777" w:rsidR="00A60D4B" w:rsidRDefault="00A60D4B" w:rsidP="00A60D4B">
            <w:r>
              <w:rPr>
                <w:rFonts w:ascii="Calibri" w:hAnsi="Calibri" w:cs="Calibri"/>
                <w:color w:val="000000"/>
                <w:sz w:val="20"/>
                <w:szCs w:val="20"/>
              </w:rPr>
              <w:t>Better Infrastructure Fund</w:t>
            </w:r>
          </w:p>
        </w:tc>
        <w:tc>
          <w:tcPr>
            <w:tcW w:w="1020" w:type="dxa"/>
          </w:tcPr>
          <w:p w14:paraId="6FB4DADC" w14:textId="77777777" w:rsidR="00A60D4B" w:rsidRDefault="00A60D4B" w:rsidP="00A60D4B">
            <w:pPr>
              <w:jc w:val="right"/>
            </w:pPr>
            <w:r>
              <w:rPr>
                <w:rFonts w:ascii="Calibri" w:hAnsi="Calibri" w:cs="Calibri"/>
                <w:color w:val="000000"/>
                <w:sz w:val="20"/>
                <w:szCs w:val="20"/>
              </w:rPr>
              <w:t>0</w:t>
            </w:r>
          </w:p>
        </w:tc>
        <w:tc>
          <w:tcPr>
            <w:tcW w:w="1020" w:type="dxa"/>
          </w:tcPr>
          <w:p w14:paraId="083D0D35" w14:textId="77777777" w:rsidR="00A60D4B" w:rsidRDefault="00A60D4B" w:rsidP="00A60D4B">
            <w:pPr>
              <w:jc w:val="right"/>
            </w:pPr>
            <w:r>
              <w:rPr>
                <w:rFonts w:ascii="Calibri" w:hAnsi="Calibri" w:cs="Calibri"/>
                <w:color w:val="000000"/>
                <w:sz w:val="20"/>
                <w:szCs w:val="20"/>
              </w:rPr>
              <w:t>0</w:t>
            </w:r>
          </w:p>
        </w:tc>
        <w:tc>
          <w:tcPr>
            <w:tcW w:w="1020" w:type="dxa"/>
          </w:tcPr>
          <w:p w14:paraId="2930514B" w14:textId="77777777" w:rsidR="00A60D4B" w:rsidRDefault="00A60D4B" w:rsidP="00A60D4B">
            <w:pPr>
              <w:jc w:val="right"/>
            </w:pPr>
            <w:r>
              <w:rPr>
                <w:rFonts w:ascii="Calibri" w:hAnsi="Calibri" w:cs="Calibri"/>
                <w:color w:val="000000"/>
                <w:sz w:val="20"/>
                <w:szCs w:val="20"/>
              </w:rPr>
              <w:t>0</w:t>
            </w:r>
          </w:p>
        </w:tc>
        <w:tc>
          <w:tcPr>
            <w:tcW w:w="1020" w:type="dxa"/>
          </w:tcPr>
          <w:p w14:paraId="3DAB7613" w14:textId="77777777" w:rsidR="00A60D4B" w:rsidRDefault="00A60D4B" w:rsidP="00A60D4B">
            <w:pPr>
              <w:jc w:val="right"/>
            </w:pPr>
            <w:r>
              <w:rPr>
                <w:rFonts w:ascii="Calibri" w:hAnsi="Calibri" w:cs="Calibri"/>
                <w:color w:val="000000"/>
                <w:sz w:val="20"/>
                <w:szCs w:val="20"/>
              </w:rPr>
              <w:t>0</w:t>
            </w:r>
          </w:p>
        </w:tc>
        <w:tc>
          <w:tcPr>
            <w:tcW w:w="1020" w:type="dxa"/>
          </w:tcPr>
          <w:p w14:paraId="75DD89D8" w14:textId="77777777" w:rsidR="00A60D4B" w:rsidRDefault="00A60D4B" w:rsidP="00A60D4B">
            <w:pPr>
              <w:jc w:val="right"/>
            </w:pPr>
            <w:r>
              <w:rPr>
                <w:rFonts w:ascii="Calibri" w:hAnsi="Calibri" w:cs="Calibri"/>
                <w:color w:val="000000"/>
                <w:sz w:val="20"/>
                <w:szCs w:val="20"/>
              </w:rPr>
              <w:t>0</w:t>
            </w:r>
          </w:p>
        </w:tc>
        <w:tc>
          <w:tcPr>
            <w:tcW w:w="1020" w:type="dxa"/>
          </w:tcPr>
          <w:p w14:paraId="4EFE2698" w14:textId="77777777" w:rsidR="00A60D4B" w:rsidRDefault="00A60D4B" w:rsidP="00A60D4B">
            <w:pPr>
              <w:jc w:val="right"/>
            </w:pPr>
            <w:r>
              <w:rPr>
                <w:rFonts w:ascii="Calibri" w:hAnsi="Calibri" w:cs="Calibri"/>
                <w:b/>
                <w:bCs/>
                <w:color w:val="000000"/>
                <w:sz w:val="20"/>
                <w:szCs w:val="20"/>
              </w:rPr>
              <w:t>0</w:t>
            </w:r>
          </w:p>
        </w:tc>
      </w:tr>
      <w:tr w:rsidR="00A60D4B" w14:paraId="61FDD1CC" w14:textId="77777777" w:rsidTr="00A60D4B">
        <w:tc>
          <w:tcPr>
            <w:tcW w:w="2891" w:type="dxa"/>
            <w:vAlign w:val="bottom"/>
          </w:tcPr>
          <w:p w14:paraId="41C86C66" w14:textId="77777777" w:rsidR="00A60D4B" w:rsidRDefault="00A60D4B" w:rsidP="00A60D4B">
            <w:r>
              <w:rPr>
                <w:rFonts w:ascii="Calibri" w:hAnsi="Calibri" w:cs="Calibri"/>
                <w:color w:val="000000"/>
                <w:sz w:val="20"/>
                <w:szCs w:val="20"/>
              </w:rPr>
              <w:t>Works-in-progress</w:t>
            </w:r>
          </w:p>
        </w:tc>
        <w:tc>
          <w:tcPr>
            <w:tcW w:w="1020" w:type="dxa"/>
          </w:tcPr>
          <w:p w14:paraId="40F359A6" w14:textId="77777777" w:rsidR="00A60D4B" w:rsidRDefault="00A60D4B" w:rsidP="00A60D4B">
            <w:pPr>
              <w:jc w:val="right"/>
            </w:pPr>
            <w:r>
              <w:rPr>
                <w:rFonts w:ascii="Calibri" w:hAnsi="Calibri" w:cs="Calibri"/>
                <w:color w:val="000000"/>
                <w:sz w:val="20"/>
                <w:szCs w:val="20"/>
              </w:rPr>
              <w:t>15,913</w:t>
            </w:r>
          </w:p>
        </w:tc>
        <w:tc>
          <w:tcPr>
            <w:tcW w:w="1020" w:type="dxa"/>
          </w:tcPr>
          <w:p w14:paraId="52C311EA" w14:textId="77777777" w:rsidR="00A60D4B" w:rsidRDefault="00A60D4B" w:rsidP="00A60D4B">
            <w:pPr>
              <w:jc w:val="right"/>
            </w:pPr>
            <w:r>
              <w:rPr>
                <w:rFonts w:ascii="Calibri" w:hAnsi="Calibri" w:cs="Calibri"/>
                <w:color w:val="000000"/>
                <w:sz w:val="20"/>
                <w:szCs w:val="20"/>
              </w:rPr>
              <w:t>15,330</w:t>
            </w:r>
          </w:p>
        </w:tc>
        <w:tc>
          <w:tcPr>
            <w:tcW w:w="1020" w:type="dxa"/>
          </w:tcPr>
          <w:p w14:paraId="20932B55" w14:textId="77777777" w:rsidR="00A60D4B" w:rsidRDefault="00A60D4B" w:rsidP="00A60D4B">
            <w:pPr>
              <w:jc w:val="right"/>
            </w:pPr>
            <w:r>
              <w:rPr>
                <w:rFonts w:ascii="Calibri" w:hAnsi="Calibri" w:cs="Calibri"/>
                <w:color w:val="000000"/>
                <w:sz w:val="20"/>
                <w:szCs w:val="20"/>
              </w:rPr>
              <w:t>5,751</w:t>
            </w:r>
          </w:p>
        </w:tc>
        <w:tc>
          <w:tcPr>
            <w:tcW w:w="1020" w:type="dxa"/>
          </w:tcPr>
          <w:p w14:paraId="48F20FE1" w14:textId="77777777" w:rsidR="00A60D4B" w:rsidRDefault="00A60D4B" w:rsidP="00A60D4B">
            <w:pPr>
              <w:jc w:val="right"/>
            </w:pPr>
            <w:r>
              <w:rPr>
                <w:rFonts w:ascii="Calibri" w:hAnsi="Calibri" w:cs="Calibri"/>
                <w:color w:val="000000"/>
                <w:sz w:val="20"/>
                <w:szCs w:val="20"/>
              </w:rPr>
              <w:t>0</w:t>
            </w:r>
          </w:p>
        </w:tc>
        <w:tc>
          <w:tcPr>
            <w:tcW w:w="1020" w:type="dxa"/>
          </w:tcPr>
          <w:p w14:paraId="095806D4" w14:textId="77777777" w:rsidR="00A60D4B" w:rsidRDefault="00A60D4B" w:rsidP="00A60D4B">
            <w:pPr>
              <w:jc w:val="right"/>
            </w:pPr>
            <w:r>
              <w:rPr>
                <w:rFonts w:ascii="Calibri" w:hAnsi="Calibri" w:cs="Calibri"/>
                <w:color w:val="000000"/>
                <w:sz w:val="20"/>
                <w:szCs w:val="20"/>
              </w:rPr>
              <w:t>0</w:t>
            </w:r>
          </w:p>
        </w:tc>
        <w:tc>
          <w:tcPr>
            <w:tcW w:w="1020" w:type="dxa"/>
          </w:tcPr>
          <w:p w14:paraId="110AAF90" w14:textId="77777777" w:rsidR="00A60D4B" w:rsidRDefault="00A60D4B" w:rsidP="00A60D4B">
            <w:pPr>
              <w:jc w:val="right"/>
            </w:pPr>
            <w:r>
              <w:rPr>
                <w:rFonts w:ascii="Calibri" w:hAnsi="Calibri" w:cs="Calibri"/>
                <w:b/>
                <w:bCs/>
                <w:color w:val="000000"/>
                <w:sz w:val="20"/>
                <w:szCs w:val="20"/>
              </w:rPr>
              <w:t>36,994</w:t>
            </w:r>
          </w:p>
        </w:tc>
      </w:tr>
      <w:tr w:rsidR="00A60D4B" w14:paraId="59FA15B9" w14:textId="77777777" w:rsidTr="00A60D4B">
        <w:tc>
          <w:tcPr>
            <w:tcW w:w="2891" w:type="dxa"/>
            <w:vAlign w:val="bottom"/>
          </w:tcPr>
          <w:p w14:paraId="61665892" w14:textId="77777777" w:rsidR="00A60D4B" w:rsidRDefault="00A60D4B" w:rsidP="00A60D4B">
            <w:r>
              <w:rPr>
                <w:rFonts w:ascii="Calibri" w:hAnsi="Calibri" w:cs="Calibri"/>
                <w:b/>
                <w:bCs/>
                <w:color w:val="000000"/>
                <w:sz w:val="20"/>
                <w:szCs w:val="20"/>
              </w:rPr>
              <w:t>Total</w:t>
            </w:r>
          </w:p>
        </w:tc>
        <w:tc>
          <w:tcPr>
            <w:tcW w:w="1020" w:type="dxa"/>
          </w:tcPr>
          <w:p w14:paraId="2E60D499" w14:textId="77777777" w:rsidR="00A60D4B" w:rsidRDefault="00A60D4B" w:rsidP="00A60D4B">
            <w:pPr>
              <w:jc w:val="right"/>
            </w:pPr>
            <w:r>
              <w:rPr>
                <w:rFonts w:ascii="Calibri" w:hAnsi="Calibri" w:cs="Calibri"/>
                <w:b/>
                <w:bCs/>
                <w:color w:val="000000"/>
                <w:sz w:val="20"/>
                <w:szCs w:val="20"/>
              </w:rPr>
              <w:t>17,823</w:t>
            </w:r>
          </w:p>
        </w:tc>
        <w:tc>
          <w:tcPr>
            <w:tcW w:w="1020" w:type="dxa"/>
          </w:tcPr>
          <w:p w14:paraId="53C8B936" w14:textId="77777777" w:rsidR="00A60D4B" w:rsidRDefault="00A60D4B" w:rsidP="00A60D4B">
            <w:pPr>
              <w:jc w:val="right"/>
            </w:pPr>
            <w:r>
              <w:rPr>
                <w:rFonts w:ascii="Calibri" w:hAnsi="Calibri" w:cs="Calibri"/>
                <w:b/>
                <w:bCs/>
                <w:color w:val="000000"/>
                <w:sz w:val="20"/>
                <w:szCs w:val="20"/>
              </w:rPr>
              <w:t>16,220</w:t>
            </w:r>
          </w:p>
        </w:tc>
        <w:tc>
          <w:tcPr>
            <w:tcW w:w="1020" w:type="dxa"/>
          </w:tcPr>
          <w:p w14:paraId="56763F55" w14:textId="77777777" w:rsidR="00A60D4B" w:rsidRDefault="00A60D4B" w:rsidP="00A60D4B">
            <w:pPr>
              <w:jc w:val="right"/>
            </w:pPr>
            <w:r>
              <w:rPr>
                <w:rFonts w:ascii="Calibri" w:hAnsi="Calibri" w:cs="Calibri"/>
                <w:b/>
                <w:bCs/>
                <w:color w:val="000000"/>
                <w:sz w:val="20"/>
                <w:szCs w:val="20"/>
              </w:rPr>
              <w:t>5,751</w:t>
            </w:r>
          </w:p>
        </w:tc>
        <w:tc>
          <w:tcPr>
            <w:tcW w:w="1020" w:type="dxa"/>
          </w:tcPr>
          <w:p w14:paraId="11687D3E" w14:textId="77777777" w:rsidR="00A60D4B" w:rsidRDefault="00A60D4B" w:rsidP="00A60D4B">
            <w:pPr>
              <w:jc w:val="right"/>
            </w:pPr>
            <w:r>
              <w:rPr>
                <w:rFonts w:ascii="Calibri" w:hAnsi="Calibri" w:cs="Calibri"/>
                <w:b/>
                <w:bCs/>
                <w:color w:val="000000"/>
                <w:sz w:val="20"/>
                <w:szCs w:val="20"/>
              </w:rPr>
              <w:t>0</w:t>
            </w:r>
          </w:p>
        </w:tc>
        <w:tc>
          <w:tcPr>
            <w:tcW w:w="1020" w:type="dxa"/>
          </w:tcPr>
          <w:p w14:paraId="7099736F" w14:textId="77777777" w:rsidR="00A60D4B" w:rsidRDefault="00A60D4B" w:rsidP="00A60D4B">
            <w:pPr>
              <w:jc w:val="right"/>
            </w:pPr>
            <w:r>
              <w:rPr>
                <w:rFonts w:ascii="Calibri" w:hAnsi="Calibri" w:cs="Calibri"/>
                <w:b/>
                <w:bCs/>
                <w:color w:val="000000"/>
                <w:sz w:val="20"/>
                <w:szCs w:val="20"/>
              </w:rPr>
              <w:t>0</w:t>
            </w:r>
          </w:p>
        </w:tc>
        <w:tc>
          <w:tcPr>
            <w:tcW w:w="1020" w:type="dxa"/>
          </w:tcPr>
          <w:p w14:paraId="49EE6734" w14:textId="77777777" w:rsidR="00A60D4B" w:rsidRDefault="00A60D4B" w:rsidP="00A60D4B">
            <w:pPr>
              <w:jc w:val="right"/>
            </w:pPr>
            <w:r>
              <w:rPr>
                <w:rFonts w:ascii="Calibri" w:hAnsi="Calibri" w:cs="Calibri"/>
                <w:b/>
                <w:bCs/>
                <w:color w:val="000000"/>
                <w:sz w:val="20"/>
                <w:szCs w:val="20"/>
              </w:rPr>
              <w:t>39,794</w:t>
            </w:r>
          </w:p>
        </w:tc>
      </w:tr>
      <w:tr w:rsidR="00A60D4B" w14:paraId="3B9F40DB" w14:textId="77777777" w:rsidTr="00A60D4B">
        <w:trPr>
          <w:trHeight w:val="397"/>
        </w:trPr>
        <w:tc>
          <w:tcPr>
            <w:tcW w:w="2891" w:type="dxa"/>
            <w:vAlign w:val="bottom"/>
          </w:tcPr>
          <w:p w14:paraId="6A204042" w14:textId="77777777" w:rsidR="00A60D4B" w:rsidRDefault="00A60D4B" w:rsidP="00A60D4B">
            <w:r>
              <w:rPr>
                <w:rFonts w:ascii="Calibri" w:hAnsi="Calibri" w:cs="Calibri"/>
                <w:b/>
                <w:bCs/>
                <w:color w:val="000000"/>
                <w:sz w:val="20"/>
                <w:szCs w:val="20"/>
              </w:rPr>
              <w:t>Community Services Directorate</w:t>
            </w:r>
          </w:p>
        </w:tc>
        <w:tc>
          <w:tcPr>
            <w:tcW w:w="1020" w:type="dxa"/>
            <w:vAlign w:val="center"/>
          </w:tcPr>
          <w:p w14:paraId="724E0CF3"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3753B27A"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20F2B0E3"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1978C1A5"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48A98DDD"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2BB43698" w14:textId="77777777" w:rsidR="00A60D4B" w:rsidRDefault="00A60D4B" w:rsidP="00A60D4B">
            <w:pPr>
              <w:jc w:val="right"/>
            </w:pPr>
            <w:r>
              <w:rPr>
                <w:rFonts w:ascii="Calibri" w:hAnsi="Calibri" w:cs="Calibri"/>
                <w:color w:val="FFFFFF"/>
                <w:sz w:val="20"/>
                <w:szCs w:val="20"/>
              </w:rPr>
              <w:t>0</w:t>
            </w:r>
          </w:p>
        </w:tc>
      </w:tr>
      <w:tr w:rsidR="00A60D4B" w14:paraId="50557FE0" w14:textId="77777777" w:rsidTr="00A60D4B">
        <w:tc>
          <w:tcPr>
            <w:tcW w:w="2891" w:type="dxa"/>
            <w:vAlign w:val="bottom"/>
          </w:tcPr>
          <w:p w14:paraId="6787F104" w14:textId="77777777" w:rsidR="00A60D4B" w:rsidRDefault="00A60D4B" w:rsidP="00A60D4B">
            <w:r>
              <w:rPr>
                <w:rFonts w:ascii="Calibri" w:hAnsi="Calibri" w:cs="Calibri"/>
                <w:color w:val="000000"/>
                <w:sz w:val="20"/>
                <w:szCs w:val="20"/>
              </w:rPr>
              <w:t>New Capital Works</w:t>
            </w:r>
          </w:p>
        </w:tc>
        <w:tc>
          <w:tcPr>
            <w:tcW w:w="1020" w:type="dxa"/>
          </w:tcPr>
          <w:p w14:paraId="65361006" w14:textId="77777777" w:rsidR="00A60D4B" w:rsidRDefault="00A60D4B" w:rsidP="00A60D4B">
            <w:pPr>
              <w:jc w:val="right"/>
            </w:pPr>
            <w:r>
              <w:rPr>
                <w:rFonts w:ascii="Calibri" w:hAnsi="Calibri" w:cs="Calibri"/>
                <w:color w:val="000000"/>
                <w:sz w:val="20"/>
                <w:szCs w:val="20"/>
              </w:rPr>
              <w:t>2,582</w:t>
            </w:r>
          </w:p>
        </w:tc>
        <w:tc>
          <w:tcPr>
            <w:tcW w:w="1020" w:type="dxa"/>
          </w:tcPr>
          <w:p w14:paraId="6611B3C2" w14:textId="77777777" w:rsidR="00A60D4B" w:rsidRDefault="00A60D4B" w:rsidP="00A60D4B">
            <w:pPr>
              <w:jc w:val="right"/>
            </w:pPr>
            <w:r>
              <w:rPr>
                <w:rFonts w:ascii="Calibri" w:hAnsi="Calibri" w:cs="Calibri"/>
                <w:color w:val="000000"/>
                <w:sz w:val="20"/>
                <w:szCs w:val="20"/>
              </w:rPr>
              <w:t>0</w:t>
            </w:r>
          </w:p>
        </w:tc>
        <w:tc>
          <w:tcPr>
            <w:tcW w:w="1020" w:type="dxa"/>
          </w:tcPr>
          <w:p w14:paraId="502A03CD" w14:textId="77777777" w:rsidR="00A60D4B" w:rsidRDefault="00A60D4B" w:rsidP="00A60D4B">
            <w:pPr>
              <w:jc w:val="right"/>
            </w:pPr>
            <w:r>
              <w:rPr>
                <w:rFonts w:ascii="Calibri" w:hAnsi="Calibri" w:cs="Calibri"/>
                <w:color w:val="000000"/>
                <w:sz w:val="20"/>
                <w:szCs w:val="20"/>
              </w:rPr>
              <w:t>0</w:t>
            </w:r>
          </w:p>
        </w:tc>
        <w:tc>
          <w:tcPr>
            <w:tcW w:w="1020" w:type="dxa"/>
          </w:tcPr>
          <w:p w14:paraId="76E09FA5" w14:textId="77777777" w:rsidR="00A60D4B" w:rsidRDefault="00A60D4B" w:rsidP="00A60D4B">
            <w:pPr>
              <w:jc w:val="right"/>
            </w:pPr>
            <w:r>
              <w:rPr>
                <w:rFonts w:ascii="Calibri" w:hAnsi="Calibri" w:cs="Calibri"/>
                <w:color w:val="000000"/>
                <w:sz w:val="20"/>
                <w:szCs w:val="20"/>
              </w:rPr>
              <w:t>0</w:t>
            </w:r>
          </w:p>
        </w:tc>
        <w:tc>
          <w:tcPr>
            <w:tcW w:w="1020" w:type="dxa"/>
          </w:tcPr>
          <w:p w14:paraId="2259646B" w14:textId="77777777" w:rsidR="00A60D4B" w:rsidRDefault="00A60D4B" w:rsidP="00A60D4B">
            <w:pPr>
              <w:jc w:val="right"/>
            </w:pPr>
            <w:r>
              <w:rPr>
                <w:rFonts w:ascii="Calibri" w:hAnsi="Calibri" w:cs="Calibri"/>
                <w:color w:val="000000"/>
                <w:sz w:val="20"/>
                <w:szCs w:val="20"/>
              </w:rPr>
              <w:t>0</w:t>
            </w:r>
          </w:p>
        </w:tc>
        <w:tc>
          <w:tcPr>
            <w:tcW w:w="1020" w:type="dxa"/>
          </w:tcPr>
          <w:p w14:paraId="5A6E30DD" w14:textId="77777777" w:rsidR="00A60D4B" w:rsidRDefault="00A60D4B" w:rsidP="00A60D4B">
            <w:pPr>
              <w:jc w:val="right"/>
            </w:pPr>
            <w:r>
              <w:rPr>
                <w:rFonts w:ascii="Calibri" w:hAnsi="Calibri" w:cs="Calibri"/>
                <w:b/>
                <w:bCs/>
                <w:color w:val="000000"/>
                <w:sz w:val="20"/>
                <w:szCs w:val="20"/>
              </w:rPr>
              <w:t>2,582</w:t>
            </w:r>
          </w:p>
        </w:tc>
      </w:tr>
      <w:tr w:rsidR="00A60D4B" w14:paraId="52915459" w14:textId="77777777" w:rsidTr="00A60D4B">
        <w:tc>
          <w:tcPr>
            <w:tcW w:w="2891" w:type="dxa"/>
            <w:vAlign w:val="bottom"/>
          </w:tcPr>
          <w:p w14:paraId="7B179C4C" w14:textId="77777777" w:rsidR="00A60D4B" w:rsidRDefault="00A60D4B" w:rsidP="00A60D4B">
            <w:r>
              <w:rPr>
                <w:rFonts w:ascii="Calibri" w:hAnsi="Calibri" w:cs="Calibri"/>
                <w:color w:val="000000"/>
                <w:sz w:val="20"/>
                <w:szCs w:val="20"/>
              </w:rPr>
              <w:t>Better Infrastructure Fund</w:t>
            </w:r>
          </w:p>
        </w:tc>
        <w:tc>
          <w:tcPr>
            <w:tcW w:w="1020" w:type="dxa"/>
          </w:tcPr>
          <w:p w14:paraId="53D40D57" w14:textId="77777777" w:rsidR="00A60D4B" w:rsidRDefault="00A60D4B" w:rsidP="00A60D4B">
            <w:pPr>
              <w:jc w:val="right"/>
            </w:pPr>
            <w:r>
              <w:rPr>
                <w:rFonts w:ascii="Calibri" w:hAnsi="Calibri" w:cs="Calibri"/>
                <w:color w:val="000000"/>
                <w:sz w:val="20"/>
                <w:szCs w:val="20"/>
              </w:rPr>
              <w:t>1,587</w:t>
            </w:r>
          </w:p>
        </w:tc>
        <w:tc>
          <w:tcPr>
            <w:tcW w:w="1020" w:type="dxa"/>
          </w:tcPr>
          <w:p w14:paraId="091094A8" w14:textId="77777777" w:rsidR="00A60D4B" w:rsidRDefault="00A60D4B" w:rsidP="00A60D4B">
            <w:pPr>
              <w:jc w:val="right"/>
            </w:pPr>
            <w:r>
              <w:rPr>
                <w:rFonts w:ascii="Calibri" w:hAnsi="Calibri" w:cs="Calibri"/>
                <w:color w:val="000000"/>
                <w:sz w:val="20"/>
                <w:szCs w:val="20"/>
              </w:rPr>
              <w:t>448</w:t>
            </w:r>
          </w:p>
        </w:tc>
        <w:tc>
          <w:tcPr>
            <w:tcW w:w="1020" w:type="dxa"/>
          </w:tcPr>
          <w:p w14:paraId="5C23A089" w14:textId="77777777" w:rsidR="00A60D4B" w:rsidRDefault="00A60D4B" w:rsidP="00A60D4B">
            <w:pPr>
              <w:jc w:val="right"/>
            </w:pPr>
            <w:r>
              <w:rPr>
                <w:rFonts w:ascii="Calibri" w:hAnsi="Calibri" w:cs="Calibri"/>
                <w:color w:val="000000"/>
                <w:sz w:val="20"/>
                <w:szCs w:val="20"/>
              </w:rPr>
              <w:t>459</w:t>
            </w:r>
          </w:p>
        </w:tc>
        <w:tc>
          <w:tcPr>
            <w:tcW w:w="1020" w:type="dxa"/>
          </w:tcPr>
          <w:p w14:paraId="5DD287C0" w14:textId="77777777" w:rsidR="00A60D4B" w:rsidRDefault="00A60D4B" w:rsidP="00A60D4B">
            <w:pPr>
              <w:jc w:val="right"/>
            </w:pPr>
            <w:r>
              <w:rPr>
                <w:rFonts w:ascii="Calibri" w:hAnsi="Calibri" w:cs="Calibri"/>
                <w:color w:val="000000"/>
                <w:sz w:val="20"/>
                <w:szCs w:val="20"/>
              </w:rPr>
              <w:t>470</w:t>
            </w:r>
          </w:p>
        </w:tc>
        <w:tc>
          <w:tcPr>
            <w:tcW w:w="1020" w:type="dxa"/>
          </w:tcPr>
          <w:p w14:paraId="70AEC4BD" w14:textId="77777777" w:rsidR="00A60D4B" w:rsidRDefault="00A60D4B" w:rsidP="00A60D4B">
            <w:pPr>
              <w:jc w:val="right"/>
            </w:pPr>
            <w:r>
              <w:rPr>
                <w:rFonts w:ascii="Calibri" w:hAnsi="Calibri" w:cs="Calibri"/>
                <w:color w:val="000000"/>
                <w:sz w:val="20"/>
                <w:szCs w:val="20"/>
              </w:rPr>
              <w:t>482</w:t>
            </w:r>
          </w:p>
        </w:tc>
        <w:tc>
          <w:tcPr>
            <w:tcW w:w="1020" w:type="dxa"/>
          </w:tcPr>
          <w:p w14:paraId="7BBE6764" w14:textId="77777777" w:rsidR="00A60D4B" w:rsidRDefault="00A60D4B" w:rsidP="00A60D4B">
            <w:pPr>
              <w:jc w:val="right"/>
            </w:pPr>
            <w:r>
              <w:rPr>
                <w:rFonts w:ascii="Calibri" w:hAnsi="Calibri" w:cs="Calibri"/>
                <w:b/>
                <w:bCs/>
                <w:color w:val="000000"/>
                <w:sz w:val="20"/>
                <w:szCs w:val="20"/>
              </w:rPr>
              <w:t>3,446</w:t>
            </w:r>
          </w:p>
        </w:tc>
      </w:tr>
      <w:tr w:rsidR="00A60D4B" w14:paraId="6F4981A2" w14:textId="77777777" w:rsidTr="00A60D4B">
        <w:tc>
          <w:tcPr>
            <w:tcW w:w="2891" w:type="dxa"/>
            <w:vAlign w:val="bottom"/>
          </w:tcPr>
          <w:p w14:paraId="2C5DBF43" w14:textId="77777777" w:rsidR="00A60D4B" w:rsidRDefault="00A60D4B" w:rsidP="00A60D4B">
            <w:r>
              <w:rPr>
                <w:rFonts w:ascii="Calibri" w:hAnsi="Calibri" w:cs="Calibri"/>
                <w:color w:val="000000"/>
                <w:sz w:val="20"/>
                <w:szCs w:val="20"/>
              </w:rPr>
              <w:t>Works-in-progress</w:t>
            </w:r>
          </w:p>
        </w:tc>
        <w:tc>
          <w:tcPr>
            <w:tcW w:w="1020" w:type="dxa"/>
          </w:tcPr>
          <w:p w14:paraId="237F3A85" w14:textId="77777777" w:rsidR="00A60D4B" w:rsidRDefault="00A60D4B" w:rsidP="00A60D4B">
            <w:pPr>
              <w:jc w:val="right"/>
            </w:pPr>
            <w:r>
              <w:rPr>
                <w:rFonts w:ascii="Calibri" w:hAnsi="Calibri" w:cs="Calibri"/>
                <w:color w:val="000000"/>
                <w:sz w:val="20"/>
                <w:szCs w:val="20"/>
              </w:rPr>
              <w:t>3,302</w:t>
            </w:r>
          </w:p>
        </w:tc>
        <w:tc>
          <w:tcPr>
            <w:tcW w:w="1020" w:type="dxa"/>
          </w:tcPr>
          <w:p w14:paraId="62F4B73D" w14:textId="77777777" w:rsidR="00A60D4B" w:rsidRDefault="00A60D4B" w:rsidP="00A60D4B">
            <w:pPr>
              <w:jc w:val="right"/>
            </w:pPr>
            <w:r>
              <w:rPr>
                <w:rFonts w:ascii="Calibri" w:hAnsi="Calibri" w:cs="Calibri"/>
                <w:color w:val="000000"/>
                <w:sz w:val="20"/>
                <w:szCs w:val="20"/>
              </w:rPr>
              <w:t>0</w:t>
            </w:r>
          </w:p>
        </w:tc>
        <w:tc>
          <w:tcPr>
            <w:tcW w:w="1020" w:type="dxa"/>
          </w:tcPr>
          <w:p w14:paraId="61267E78" w14:textId="77777777" w:rsidR="00A60D4B" w:rsidRDefault="00A60D4B" w:rsidP="00A60D4B">
            <w:pPr>
              <w:jc w:val="right"/>
            </w:pPr>
            <w:r>
              <w:rPr>
                <w:rFonts w:ascii="Calibri" w:hAnsi="Calibri" w:cs="Calibri"/>
                <w:color w:val="000000"/>
                <w:sz w:val="20"/>
                <w:szCs w:val="20"/>
              </w:rPr>
              <w:t>0</w:t>
            </w:r>
          </w:p>
        </w:tc>
        <w:tc>
          <w:tcPr>
            <w:tcW w:w="1020" w:type="dxa"/>
          </w:tcPr>
          <w:p w14:paraId="1CCE9D3C" w14:textId="77777777" w:rsidR="00A60D4B" w:rsidRDefault="00A60D4B" w:rsidP="00A60D4B">
            <w:pPr>
              <w:jc w:val="right"/>
            </w:pPr>
            <w:r>
              <w:rPr>
                <w:rFonts w:ascii="Calibri" w:hAnsi="Calibri" w:cs="Calibri"/>
                <w:color w:val="000000"/>
                <w:sz w:val="20"/>
                <w:szCs w:val="20"/>
              </w:rPr>
              <w:t>0</w:t>
            </w:r>
          </w:p>
        </w:tc>
        <w:tc>
          <w:tcPr>
            <w:tcW w:w="1020" w:type="dxa"/>
          </w:tcPr>
          <w:p w14:paraId="3D72BFE5" w14:textId="77777777" w:rsidR="00A60D4B" w:rsidRDefault="00A60D4B" w:rsidP="00A60D4B">
            <w:pPr>
              <w:jc w:val="right"/>
            </w:pPr>
            <w:r>
              <w:rPr>
                <w:rFonts w:ascii="Calibri" w:hAnsi="Calibri" w:cs="Calibri"/>
                <w:color w:val="000000"/>
                <w:sz w:val="20"/>
                <w:szCs w:val="20"/>
              </w:rPr>
              <w:t>0</w:t>
            </w:r>
          </w:p>
        </w:tc>
        <w:tc>
          <w:tcPr>
            <w:tcW w:w="1020" w:type="dxa"/>
          </w:tcPr>
          <w:p w14:paraId="76387766" w14:textId="77777777" w:rsidR="00A60D4B" w:rsidRDefault="00A60D4B" w:rsidP="00A60D4B">
            <w:pPr>
              <w:jc w:val="right"/>
            </w:pPr>
            <w:r>
              <w:rPr>
                <w:rFonts w:ascii="Calibri" w:hAnsi="Calibri" w:cs="Calibri"/>
                <w:b/>
                <w:bCs/>
                <w:color w:val="000000"/>
                <w:sz w:val="20"/>
                <w:szCs w:val="20"/>
              </w:rPr>
              <w:t>3,302</w:t>
            </w:r>
          </w:p>
        </w:tc>
      </w:tr>
      <w:tr w:rsidR="00A60D4B" w14:paraId="48DEA3F6" w14:textId="77777777" w:rsidTr="00A60D4B">
        <w:tc>
          <w:tcPr>
            <w:tcW w:w="2891" w:type="dxa"/>
            <w:vAlign w:val="bottom"/>
          </w:tcPr>
          <w:p w14:paraId="71FF0E2C" w14:textId="77777777" w:rsidR="00A60D4B" w:rsidRDefault="00A60D4B" w:rsidP="00A60D4B">
            <w:r>
              <w:rPr>
                <w:rFonts w:ascii="Calibri" w:hAnsi="Calibri" w:cs="Calibri"/>
                <w:b/>
                <w:bCs/>
                <w:color w:val="000000"/>
                <w:sz w:val="20"/>
                <w:szCs w:val="20"/>
              </w:rPr>
              <w:t>Total</w:t>
            </w:r>
          </w:p>
        </w:tc>
        <w:tc>
          <w:tcPr>
            <w:tcW w:w="1020" w:type="dxa"/>
          </w:tcPr>
          <w:p w14:paraId="60CFA498" w14:textId="77777777" w:rsidR="00A60D4B" w:rsidRDefault="00A60D4B" w:rsidP="00A60D4B">
            <w:pPr>
              <w:jc w:val="right"/>
            </w:pPr>
            <w:r>
              <w:rPr>
                <w:rFonts w:ascii="Calibri" w:hAnsi="Calibri" w:cs="Calibri"/>
                <w:b/>
                <w:bCs/>
                <w:color w:val="000000"/>
                <w:sz w:val="20"/>
                <w:szCs w:val="20"/>
              </w:rPr>
              <w:t>7,471</w:t>
            </w:r>
          </w:p>
        </w:tc>
        <w:tc>
          <w:tcPr>
            <w:tcW w:w="1020" w:type="dxa"/>
          </w:tcPr>
          <w:p w14:paraId="18EA49BE" w14:textId="77777777" w:rsidR="00A60D4B" w:rsidRDefault="00A60D4B" w:rsidP="00A60D4B">
            <w:pPr>
              <w:jc w:val="right"/>
            </w:pPr>
            <w:r>
              <w:rPr>
                <w:rFonts w:ascii="Calibri" w:hAnsi="Calibri" w:cs="Calibri"/>
                <w:b/>
                <w:bCs/>
                <w:color w:val="000000"/>
                <w:sz w:val="20"/>
                <w:szCs w:val="20"/>
              </w:rPr>
              <w:t>448</w:t>
            </w:r>
          </w:p>
        </w:tc>
        <w:tc>
          <w:tcPr>
            <w:tcW w:w="1020" w:type="dxa"/>
          </w:tcPr>
          <w:p w14:paraId="6F1BAE6D" w14:textId="77777777" w:rsidR="00A60D4B" w:rsidRDefault="00A60D4B" w:rsidP="00A60D4B">
            <w:pPr>
              <w:jc w:val="right"/>
            </w:pPr>
            <w:r>
              <w:rPr>
                <w:rFonts w:ascii="Calibri" w:hAnsi="Calibri" w:cs="Calibri"/>
                <w:b/>
                <w:bCs/>
                <w:color w:val="000000"/>
                <w:sz w:val="20"/>
                <w:szCs w:val="20"/>
              </w:rPr>
              <w:t>459</w:t>
            </w:r>
          </w:p>
        </w:tc>
        <w:tc>
          <w:tcPr>
            <w:tcW w:w="1020" w:type="dxa"/>
          </w:tcPr>
          <w:p w14:paraId="13FF727A" w14:textId="77777777" w:rsidR="00A60D4B" w:rsidRDefault="00A60D4B" w:rsidP="00A60D4B">
            <w:pPr>
              <w:jc w:val="right"/>
            </w:pPr>
            <w:r>
              <w:rPr>
                <w:rFonts w:ascii="Calibri" w:hAnsi="Calibri" w:cs="Calibri"/>
                <w:b/>
                <w:bCs/>
                <w:color w:val="000000"/>
                <w:sz w:val="20"/>
                <w:szCs w:val="20"/>
              </w:rPr>
              <w:t>470</w:t>
            </w:r>
          </w:p>
        </w:tc>
        <w:tc>
          <w:tcPr>
            <w:tcW w:w="1020" w:type="dxa"/>
          </w:tcPr>
          <w:p w14:paraId="49D774EE" w14:textId="77777777" w:rsidR="00A60D4B" w:rsidRDefault="00A60D4B" w:rsidP="00A60D4B">
            <w:pPr>
              <w:jc w:val="right"/>
            </w:pPr>
            <w:r>
              <w:rPr>
                <w:rFonts w:ascii="Calibri" w:hAnsi="Calibri" w:cs="Calibri"/>
                <w:b/>
                <w:bCs/>
                <w:color w:val="000000"/>
                <w:sz w:val="20"/>
                <w:szCs w:val="20"/>
              </w:rPr>
              <w:t>482</w:t>
            </w:r>
          </w:p>
        </w:tc>
        <w:tc>
          <w:tcPr>
            <w:tcW w:w="1020" w:type="dxa"/>
          </w:tcPr>
          <w:p w14:paraId="69ADBAA8" w14:textId="77777777" w:rsidR="00A60D4B" w:rsidRDefault="00A60D4B" w:rsidP="00A60D4B">
            <w:pPr>
              <w:jc w:val="right"/>
            </w:pPr>
            <w:r>
              <w:rPr>
                <w:rFonts w:ascii="Calibri" w:hAnsi="Calibri" w:cs="Calibri"/>
                <w:b/>
                <w:bCs/>
                <w:color w:val="000000"/>
                <w:sz w:val="20"/>
                <w:szCs w:val="20"/>
              </w:rPr>
              <w:t>9,330</w:t>
            </w:r>
          </w:p>
        </w:tc>
      </w:tr>
      <w:tr w:rsidR="00A60D4B" w14:paraId="2BCDBEAF" w14:textId="77777777" w:rsidTr="00A60D4B">
        <w:trPr>
          <w:trHeight w:val="397"/>
        </w:trPr>
        <w:tc>
          <w:tcPr>
            <w:tcW w:w="2891" w:type="dxa"/>
            <w:vAlign w:val="bottom"/>
          </w:tcPr>
          <w:p w14:paraId="2044E18C" w14:textId="77777777" w:rsidR="00A60D4B" w:rsidRDefault="00A60D4B" w:rsidP="00A60D4B">
            <w:r>
              <w:rPr>
                <w:rFonts w:ascii="Calibri" w:hAnsi="Calibri" w:cs="Calibri"/>
                <w:b/>
                <w:bCs/>
                <w:color w:val="000000"/>
                <w:sz w:val="20"/>
                <w:szCs w:val="20"/>
              </w:rPr>
              <w:t>Cultural Facilities Corporation</w:t>
            </w:r>
          </w:p>
        </w:tc>
        <w:tc>
          <w:tcPr>
            <w:tcW w:w="1020" w:type="dxa"/>
            <w:vAlign w:val="center"/>
          </w:tcPr>
          <w:p w14:paraId="0D8D6EC9"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05DFCDF8"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75ED585D"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2D63ED9C"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6D9F3D08"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10F54110" w14:textId="77777777" w:rsidR="00A60D4B" w:rsidRDefault="00A60D4B" w:rsidP="00A60D4B">
            <w:pPr>
              <w:jc w:val="right"/>
            </w:pPr>
            <w:r>
              <w:rPr>
                <w:rFonts w:ascii="Calibri" w:hAnsi="Calibri" w:cs="Calibri"/>
                <w:color w:val="FFFFFF"/>
                <w:sz w:val="20"/>
                <w:szCs w:val="20"/>
              </w:rPr>
              <w:t>0</w:t>
            </w:r>
          </w:p>
        </w:tc>
      </w:tr>
      <w:tr w:rsidR="00A60D4B" w14:paraId="67243619" w14:textId="77777777" w:rsidTr="00A60D4B">
        <w:tc>
          <w:tcPr>
            <w:tcW w:w="2891" w:type="dxa"/>
            <w:vAlign w:val="bottom"/>
          </w:tcPr>
          <w:p w14:paraId="0F18F813" w14:textId="77777777" w:rsidR="00A60D4B" w:rsidRDefault="00A60D4B" w:rsidP="00A60D4B">
            <w:r>
              <w:rPr>
                <w:rFonts w:ascii="Calibri" w:hAnsi="Calibri" w:cs="Calibri"/>
                <w:color w:val="000000"/>
                <w:sz w:val="20"/>
                <w:szCs w:val="20"/>
              </w:rPr>
              <w:t>New Capital Works</w:t>
            </w:r>
          </w:p>
        </w:tc>
        <w:tc>
          <w:tcPr>
            <w:tcW w:w="1020" w:type="dxa"/>
            <w:vAlign w:val="center"/>
          </w:tcPr>
          <w:p w14:paraId="4BF1A2BB" w14:textId="77777777" w:rsidR="00A60D4B" w:rsidRDefault="00A60D4B" w:rsidP="00A60D4B">
            <w:pPr>
              <w:jc w:val="right"/>
            </w:pPr>
            <w:r>
              <w:rPr>
                <w:rFonts w:ascii="Calibri" w:hAnsi="Calibri" w:cs="Calibri"/>
                <w:color w:val="000000"/>
                <w:sz w:val="20"/>
                <w:szCs w:val="20"/>
              </w:rPr>
              <w:t>1,250</w:t>
            </w:r>
          </w:p>
        </w:tc>
        <w:tc>
          <w:tcPr>
            <w:tcW w:w="1020" w:type="dxa"/>
            <w:vAlign w:val="center"/>
          </w:tcPr>
          <w:p w14:paraId="0FFCB1C2" w14:textId="77777777" w:rsidR="00A60D4B" w:rsidRDefault="00A60D4B" w:rsidP="00A60D4B">
            <w:pPr>
              <w:jc w:val="right"/>
            </w:pPr>
            <w:r>
              <w:rPr>
                <w:rFonts w:ascii="Calibri" w:hAnsi="Calibri" w:cs="Calibri"/>
                <w:color w:val="000000"/>
                <w:sz w:val="20"/>
                <w:szCs w:val="20"/>
              </w:rPr>
              <w:t>445</w:t>
            </w:r>
          </w:p>
        </w:tc>
        <w:tc>
          <w:tcPr>
            <w:tcW w:w="1020" w:type="dxa"/>
            <w:vAlign w:val="center"/>
          </w:tcPr>
          <w:p w14:paraId="6C3C2070" w14:textId="77777777" w:rsidR="00A60D4B" w:rsidRDefault="00A60D4B" w:rsidP="00A60D4B">
            <w:pPr>
              <w:jc w:val="right"/>
            </w:pPr>
            <w:r>
              <w:rPr>
                <w:rFonts w:ascii="Calibri" w:hAnsi="Calibri" w:cs="Calibri"/>
                <w:color w:val="000000"/>
                <w:sz w:val="20"/>
                <w:szCs w:val="20"/>
              </w:rPr>
              <w:t>347</w:t>
            </w:r>
          </w:p>
        </w:tc>
        <w:tc>
          <w:tcPr>
            <w:tcW w:w="1020" w:type="dxa"/>
            <w:vAlign w:val="center"/>
          </w:tcPr>
          <w:p w14:paraId="59B55508"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1C8C06EC"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42F25E9B" w14:textId="77777777" w:rsidR="00A60D4B" w:rsidRDefault="00A60D4B" w:rsidP="00A60D4B">
            <w:pPr>
              <w:jc w:val="right"/>
            </w:pPr>
            <w:r>
              <w:rPr>
                <w:rFonts w:ascii="Calibri" w:hAnsi="Calibri" w:cs="Calibri"/>
                <w:b/>
                <w:bCs/>
                <w:color w:val="000000"/>
                <w:sz w:val="20"/>
                <w:szCs w:val="20"/>
              </w:rPr>
              <w:t>2,042</w:t>
            </w:r>
          </w:p>
        </w:tc>
      </w:tr>
      <w:tr w:rsidR="00A60D4B" w14:paraId="59880784" w14:textId="77777777" w:rsidTr="00A60D4B">
        <w:tc>
          <w:tcPr>
            <w:tcW w:w="2891" w:type="dxa"/>
            <w:vAlign w:val="bottom"/>
          </w:tcPr>
          <w:p w14:paraId="733C5C75" w14:textId="77777777" w:rsidR="00A60D4B" w:rsidRDefault="00A60D4B" w:rsidP="00A60D4B">
            <w:r>
              <w:rPr>
                <w:rFonts w:ascii="Calibri" w:hAnsi="Calibri" w:cs="Calibri"/>
                <w:color w:val="000000"/>
                <w:sz w:val="20"/>
                <w:szCs w:val="20"/>
              </w:rPr>
              <w:t>Better Infrastructure Fund</w:t>
            </w:r>
          </w:p>
        </w:tc>
        <w:tc>
          <w:tcPr>
            <w:tcW w:w="1020" w:type="dxa"/>
            <w:vAlign w:val="center"/>
          </w:tcPr>
          <w:p w14:paraId="6DB3EC9D" w14:textId="77777777" w:rsidR="00A60D4B" w:rsidRDefault="00A60D4B" w:rsidP="00A60D4B">
            <w:pPr>
              <w:jc w:val="right"/>
            </w:pPr>
            <w:r>
              <w:rPr>
                <w:rFonts w:ascii="Calibri" w:hAnsi="Calibri" w:cs="Calibri"/>
                <w:color w:val="000000"/>
                <w:sz w:val="20"/>
                <w:szCs w:val="20"/>
              </w:rPr>
              <w:t>439</w:t>
            </w:r>
          </w:p>
        </w:tc>
        <w:tc>
          <w:tcPr>
            <w:tcW w:w="1020" w:type="dxa"/>
            <w:vAlign w:val="center"/>
          </w:tcPr>
          <w:p w14:paraId="2A892378" w14:textId="77777777" w:rsidR="00A60D4B" w:rsidRDefault="00A60D4B" w:rsidP="00A60D4B">
            <w:pPr>
              <w:jc w:val="right"/>
            </w:pPr>
            <w:r>
              <w:rPr>
                <w:rFonts w:ascii="Calibri" w:hAnsi="Calibri" w:cs="Calibri"/>
                <w:color w:val="000000"/>
                <w:sz w:val="20"/>
                <w:szCs w:val="20"/>
              </w:rPr>
              <w:t>450</w:t>
            </w:r>
          </w:p>
        </w:tc>
        <w:tc>
          <w:tcPr>
            <w:tcW w:w="1020" w:type="dxa"/>
            <w:vAlign w:val="center"/>
          </w:tcPr>
          <w:p w14:paraId="6A2283BD" w14:textId="77777777" w:rsidR="00A60D4B" w:rsidRDefault="00A60D4B" w:rsidP="00A60D4B">
            <w:pPr>
              <w:jc w:val="right"/>
            </w:pPr>
            <w:r>
              <w:rPr>
                <w:rFonts w:ascii="Calibri" w:hAnsi="Calibri" w:cs="Calibri"/>
                <w:color w:val="000000"/>
                <w:sz w:val="20"/>
                <w:szCs w:val="20"/>
              </w:rPr>
              <w:t>461</w:t>
            </w:r>
          </w:p>
        </w:tc>
        <w:tc>
          <w:tcPr>
            <w:tcW w:w="1020" w:type="dxa"/>
            <w:vAlign w:val="center"/>
          </w:tcPr>
          <w:p w14:paraId="4924DEFF" w14:textId="77777777" w:rsidR="00A60D4B" w:rsidRDefault="00A60D4B" w:rsidP="00A60D4B">
            <w:pPr>
              <w:jc w:val="right"/>
            </w:pPr>
            <w:r>
              <w:rPr>
                <w:rFonts w:ascii="Calibri" w:hAnsi="Calibri" w:cs="Calibri"/>
                <w:color w:val="000000"/>
                <w:sz w:val="20"/>
                <w:szCs w:val="20"/>
              </w:rPr>
              <w:t>473</w:t>
            </w:r>
          </w:p>
        </w:tc>
        <w:tc>
          <w:tcPr>
            <w:tcW w:w="1020" w:type="dxa"/>
            <w:vAlign w:val="center"/>
          </w:tcPr>
          <w:p w14:paraId="268BC7B6" w14:textId="77777777" w:rsidR="00A60D4B" w:rsidRDefault="00A60D4B" w:rsidP="00A60D4B">
            <w:pPr>
              <w:jc w:val="right"/>
            </w:pPr>
            <w:r>
              <w:rPr>
                <w:rFonts w:ascii="Calibri" w:hAnsi="Calibri" w:cs="Calibri"/>
                <w:color w:val="000000"/>
                <w:sz w:val="20"/>
                <w:szCs w:val="20"/>
              </w:rPr>
              <w:t>485</w:t>
            </w:r>
          </w:p>
        </w:tc>
        <w:tc>
          <w:tcPr>
            <w:tcW w:w="1020" w:type="dxa"/>
            <w:vAlign w:val="center"/>
          </w:tcPr>
          <w:p w14:paraId="5B795A3F" w14:textId="77777777" w:rsidR="00A60D4B" w:rsidRDefault="00A60D4B" w:rsidP="00A60D4B">
            <w:pPr>
              <w:jc w:val="right"/>
            </w:pPr>
            <w:r>
              <w:rPr>
                <w:rFonts w:ascii="Calibri" w:hAnsi="Calibri" w:cs="Calibri"/>
                <w:b/>
                <w:bCs/>
                <w:color w:val="000000"/>
                <w:sz w:val="20"/>
                <w:szCs w:val="20"/>
              </w:rPr>
              <w:t>2,308</w:t>
            </w:r>
          </w:p>
        </w:tc>
      </w:tr>
      <w:tr w:rsidR="00A60D4B" w14:paraId="10B8E84B" w14:textId="77777777" w:rsidTr="00A60D4B">
        <w:tc>
          <w:tcPr>
            <w:tcW w:w="2891" w:type="dxa"/>
            <w:vAlign w:val="bottom"/>
          </w:tcPr>
          <w:p w14:paraId="52952A9E" w14:textId="77777777" w:rsidR="00A60D4B" w:rsidRDefault="00A60D4B" w:rsidP="00A60D4B">
            <w:r>
              <w:rPr>
                <w:rFonts w:ascii="Calibri" w:hAnsi="Calibri" w:cs="Calibri"/>
                <w:color w:val="000000"/>
                <w:sz w:val="20"/>
                <w:szCs w:val="20"/>
              </w:rPr>
              <w:t>Works-in-progress</w:t>
            </w:r>
          </w:p>
        </w:tc>
        <w:tc>
          <w:tcPr>
            <w:tcW w:w="1020" w:type="dxa"/>
            <w:vAlign w:val="center"/>
          </w:tcPr>
          <w:p w14:paraId="3F90DD2B" w14:textId="77777777" w:rsidR="00A60D4B" w:rsidRDefault="00A60D4B" w:rsidP="00A60D4B">
            <w:pPr>
              <w:jc w:val="right"/>
            </w:pPr>
            <w:r>
              <w:rPr>
                <w:rFonts w:ascii="Calibri" w:hAnsi="Calibri" w:cs="Calibri"/>
                <w:color w:val="000000"/>
                <w:sz w:val="20"/>
                <w:szCs w:val="20"/>
              </w:rPr>
              <w:t>1,098</w:t>
            </w:r>
          </w:p>
        </w:tc>
        <w:tc>
          <w:tcPr>
            <w:tcW w:w="1020" w:type="dxa"/>
            <w:vAlign w:val="center"/>
          </w:tcPr>
          <w:p w14:paraId="3381986F" w14:textId="77777777" w:rsidR="00A60D4B" w:rsidRDefault="00A60D4B" w:rsidP="00A60D4B">
            <w:pPr>
              <w:jc w:val="right"/>
            </w:pPr>
            <w:r>
              <w:rPr>
                <w:rFonts w:ascii="Calibri" w:hAnsi="Calibri" w:cs="Calibri"/>
                <w:color w:val="000000"/>
                <w:sz w:val="20"/>
                <w:szCs w:val="20"/>
              </w:rPr>
              <w:t>1,621</w:t>
            </w:r>
          </w:p>
        </w:tc>
        <w:tc>
          <w:tcPr>
            <w:tcW w:w="1020" w:type="dxa"/>
            <w:vAlign w:val="center"/>
          </w:tcPr>
          <w:p w14:paraId="0DC19DB0"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57CB27BA"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27BFECA7"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08E69398" w14:textId="77777777" w:rsidR="00A60D4B" w:rsidRDefault="00A60D4B" w:rsidP="00A60D4B">
            <w:pPr>
              <w:jc w:val="right"/>
            </w:pPr>
            <w:r>
              <w:rPr>
                <w:rFonts w:ascii="Calibri" w:hAnsi="Calibri" w:cs="Calibri"/>
                <w:b/>
                <w:bCs/>
                <w:color w:val="000000"/>
                <w:sz w:val="20"/>
                <w:szCs w:val="20"/>
              </w:rPr>
              <w:t>2,719</w:t>
            </w:r>
          </w:p>
        </w:tc>
      </w:tr>
      <w:tr w:rsidR="00A60D4B" w14:paraId="558FE394" w14:textId="77777777" w:rsidTr="00A60D4B">
        <w:tc>
          <w:tcPr>
            <w:tcW w:w="2891" w:type="dxa"/>
            <w:vAlign w:val="bottom"/>
          </w:tcPr>
          <w:p w14:paraId="20B42FF5" w14:textId="77777777" w:rsidR="00A60D4B" w:rsidRDefault="00A60D4B" w:rsidP="00A60D4B">
            <w:r>
              <w:rPr>
                <w:rFonts w:ascii="Calibri" w:hAnsi="Calibri" w:cs="Calibri"/>
                <w:b/>
                <w:bCs/>
                <w:color w:val="000000"/>
                <w:sz w:val="20"/>
                <w:szCs w:val="20"/>
              </w:rPr>
              <w:t>Total</w:t>
            </w:r>
          </w:p>
        </w:tc>
        <w:tc>
          <w:tcPr>
            <w:tcW w:w="1020" w:type="dxa"/>
            <w:vAlign w:val="center"/>
          </w:tcPr>
          <w:p w14:paraId="3BA09203" w14:textId="77777777" w:rsidR="00A60D4B" w:rsidRDefault="00A60D4B" w:rsidP="00A60D4B">
            <w:pPr>
              <w:jc w:val="right"/>
            </w:pPr>
            <w:r>
              <w:rPr>
                <w:rFonts w:ascii="Calibri" w:hAnsi="Calibri" w:cs="Calibri"/>
                <w:b/>
                <w:bCs/>
                <w:color w:val="000000"/>
                <w:sz w:val="20"/>
                <w:szCs w:val="20"/>
              </w:rPr>
              <w:t>2,787</w:t>
            </w:r>
          </w:p>
        </w:tc>
        <w:tc>
          <w:tcPr>
            <w:tcW w:w="1020" w:type="dxa"/>
            <w:vAlign w:val="center"/>
          </w:tcPr>
          <w:p w14:paraId="1A0E45EC" w14:textId="77777777" w:rsidR="00A60D4B" w:rsidRDefault="00A60D4B" w:rsidP="00A60D4B">
            <w:pPr>
              <w:jc w:val="right"/>
            </w:pPr>
            <w:r>
              <w:rPr>
                <w:rFonts w:ascii="Calibri" w:hAnsi="Calibri" w:cs="Calibri"/>
                <w:b/>
                <w:bCs/>
                <w:color w:val="000000"/>
                <w:sz w:val="20"/>
                <w:szCs w:val="20"/>
              </w:rPr>
              <w:t>2,516</w:t>
            </w:r>
          </w:p>
        </w:tc>
        <w:tc>
          <w:tcPr>
            <w:tcW w:w="1020" w:type="dxa"/>
            <w:vAlign w:val="center"/>
          </w:tcPr>
          <w:p w14:paraId="309D377E" w14:textId="77777777" w:rsidR="00A60D4B" w:rsidRDefault="00A60D4B" w:rsidP="00A60D4B">
            <w:pPr>
              <w:jc w:val="right"/>
            </w:pPr>
            <w:r>
              <w:rPr>
                <w:rFonts w:ascii="Calibri" w:hAnsi="Calibri" w:cs="Calibri"/>
                <w:b/>
                <w:bCs/>
                <w:color w:val="000000"/>
                <w:sz w:val="20"/>
                <w:szCs w:val="20"/>
              </w:rPr>
              <w:t>808</w:t>
            </w:r>
          </w:p>
        </w:tc>
        <w:tc>
          <w:tcPr>
            <w:tcW w:w="1020" w:type="dxa"/>
            <w:vAlign w:val="center"/>
          </w:tcPr>
          <w:p w14:paraId="1A669E90" w14:textId="77777777" w:rsidR="00A60D4B" w:rsidRDefault="00A60D4B" w:rsidP="00A60D4B">
            <w:pPr>
              <w:jc w:val="right"/>
            </w:pPr>
            <w:r>
              <w:rPr>
                <w:rFonts w:ascii="Calibri" w:hAnsi="Calibri" w:cs="Calibri"/>
                <w:b/>
                <w:bCs/>
                <w:color w:val="000000"/>
                <w:sz w:val="20"/>
                <w:szCs w:val="20"/>
              </w:rPr>
              <w:t>473</w:t>
            </w:r>
          </w:p>
        </w:tc>
        <w:tc>
          <w:tcPr>
            <w:tcW w:w="1020" w:type="dxa"/>
            <w:vAlign w:val="center"/>
          </w:tcPr>
          <w:p w14:paraId="6DDDC038" w14:textId="77777777" w:rsidR="00A60D4B" w:rsidRDefault="00A60D4B" w:rsidP="00A60D4B">
            <w:pPr>
              <w:jc w:val="right"/>
            </w:pPr>
            <w:r>
              <w:rPr>
                <w:rFonts w:ascii="Calibri" w:hAnsi="Calibri" w:cs="Calibri"/>
                <w:b/>
                <w:bCs/>
                <w:color w:val="000000"/>
                <w:sz w:val="20"/>
                <w:szCs w:val="20"/>
              </w:rPr>
              <w:t>485</w:t>
            </w:r>
          </w:p>
        </w:tc>
        <w:tc>
          <w:tcPr>
            <w:tcW w:w="1020" w:type="dxa"/>
            <w:vAlign w:val="center"/>
          </w:tcPr>
          <w:p w14:paraId="6F24103D" w14:textId="77777777" w:rsidR="00A60D4B" w:rsidRDefault="00A60D4B" w:rsidP="00A60D4B">
            <w:pPr>
              <w:jc w:val="right"/>
            </w:pPr>
            <w:r>
              <w:rPr>
                <w:rFonts w:ascii="Calibri" w:hAnsi="Calibri" w:cs="Calibri"/>
                <w:b/>
                <w:bCs/>
                <w:color w:val="000000"/>
                <w:sz w:val="20"/>
                <w:szCs w:val="20"/>
              </w:rPr>
              <w:t>7,069</w:t>
            </w:r>
          </w:p>
        </w:tc>
      </w:tr>
      <w:tr w:rsidR="00A60D4B" w14:paraId="6B7E5C7D" w14:textId="77777777" w:rsidTr="00A60D4B">
        <w:trPr>
          <w:trHeight w:val="397"/>
        </w:trPr>
        <w:tc>
          <w:tcPr>
            <w:tcW w:w="2891" w:type="dxa"/>
            <w:vAlign w:val="bottom"/>
          </w:tcPr>
          <w:p w14:paraId="0C1A8281" w14:textId="77777777" w:rsidR="00A60D4B" w:rsidRDefault="00A60D4B" w:rsidP="00A60D4B">
            <w:r>
              <w:rPr>
                <w:rFonts w:ascii="Calibri" w:hAnsi="Calibri" w:cs="Calibri"/>
                <w:b/>
                <w:bCs/>
                <w:color w:val="000000"/>
                <w:sz w:val="20"/>
                <w:szCs w:val="20"/>
              </w:rPr>
              <w:lastRenderedPageBreak/>
              <w:t>Education Directorate</w:t>
            </w:r>
          </w:p>
        </w:tc>
        <w:tc>
          <w:tcPr>
            <w:tcW w:w="1020" w:type="dxa"/>
            <w:vAlign w:val="center"/>
          </w:tcPr>
          <w:p w14:paraId="700D4B41"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490CE5E3"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0EDC1740"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2C74A74D"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1242FF88"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2F51AD9E" w14:textId="77777777" w:rsidR="00A60D4B" w:rsidRDefault="00A60D4B" w:rsidP="00A60D4B">
            <w:pPr>
              <w:jc w:val="right"/>
            </w:pPr>
            <w:r>
              <w:rPr>
                <w:rFonts w:ascii="Calibri" w:hAnsi="Calibri" w:cs="Calibri"/>
                <w:color w:val="FFFFFF"/>
                <w:sz w:val="20"/>
                <w:szCs w:val="20"/>
              </w:rPr>
              <w:t>0</w:t>
            </w:r>
          </w:p>
        </w:tc>
      </w:tr>
      <w:tr w:rsidR="00A60D4B" w14:paraId="4D0D6F81" w14:textId="77777777" w:rsidTr="00A60D4B">
        <w:tc>
          <w:tcPr>
            <w:tcW w:w="2891" w:type="dxa"/>
            <w:vAlign w:val="bottom"/>
          </w:tcPr>
          <w:p w14:paraId="69AF1C4C" w14:textId="77777777" w:rsidR="00A60D4B" w:rsidRDefault="00A60D4B" w:rsidP="00A60D4B">
            <w:r>
              <w:rPr>
                <w:rFonts w:ascii="Calibri" w:hAnsi="Calibri" w:cs="Calibri"/>
                <w:color w:val="000000"/>
                <w:sz w:val="20"/>
                <w:szCs w:val="20"/>
              </w:rPr>
              <w:t>New Capital Works</w:t>
            </w:r>
          </w:p>
        </w:tc>
        <w:tc>
          <w:tcPr>
            <w:tcW w:w="1020" w:type="dxa"/>
            <w:vAlign w:val="center"/>
          </w:tcPr>
          <w:p w14:paraId="7DDD773B" w14:textId="77777777" w:rsidR="00A60D4B" w:rsidRDefault="00A60D4B" w:rsidP="00A60D4B">
            <w:pPr>
              <w:jc w:val="right"/>
            </w:pPr>
            <w:r>
              <w:rPr>
                <w:rFonts w:ascii="Calibri" w:hAnsi="Calibri" w:cs="Calibri"/>
                <w:color w:val="000000"/>
                <w:sz w:val="20"/>
                <w:szCs w:val="20"/>
              </w:rPr>
              <w:t>50,656</w:t>
            </w:r>
          </w:p>
        </w:tc>
        <w:tc>
          <w:tcPr>
            <w:tcW w:w="1020" w:type="dxa"/>
            <w:vAlign w:val="center"/>
          </w:tcPr>
          <w:p w14:paraId="34341AA7" w14:textId="77777777" w:rsidR="00A60D4B" w:rsidRDefault="00A60D4B" w:rsidP="00A60D4B">
            <w:pPr>
              <w:jc w:val="right"/>
            </w:pPr>
            <w:r>
              <w:rPr>
                <w:rFonts w:ascii="Calibri" w:hAnsi="Calibri" w:cs="Calibri"/>
                <w:color w:val="000000"/>
                <w:sz w:val="20"/>
                <w:szCs w:val="20"/>
              </w:rPr>
              <w:t>79,538</w:t>
            </w:r>
          </w:p>
        </w:tc>
        <w:tc>
          <w:tcPr>
            <w:tcW w:w="1020" w:type="dxa"/>
            <w:vAlign w:val="center"/>
          </w:tcPr>
          <w:p w14:paraId="4DEF5B33" w14:textId="77777777" w:rsidR="00A60D4B" w:rsidRDefault="00A60D4B" w:rsidP="00A60D4B">
            <w:pPr>
              <w:jc w:val="right"/>
            </w:pPr>
            <w:r>
              <w:rPr>
                <w:rFonts w:ascii="Calibri" w:hAnsi="Calibri" w:cs="Calibri"/>
                <w:color w:val="000000"/>
                <w:sz w:val="20"/>
                <w:szCs w:val="20"/>
              </w:rPr>
              <w:t>44,683</w:t>
            </w:r>
          </w:p>
        </w:tc>
        <w:tc>
          <w:tcPr>
            <w:tcW w:w="1020" w:type="dxa"/>
            <w:vAlign w:val="center"/>
          </w:tcPr>
          <w:p w14:paraId="728A87E5" w14:textId="77777777" w:rsidR="00A60D4B" w:rsidRDefault="00A60D4B" w:rsidP="00A60D4B">
            <w:pPr>
              <w:jc w:val="right"/>
            </w:pPr>
            <w:r>
              <w:rPr>
                <w:rFonts w:ascii="Calibri" w:hAnsi="Calibri" w:cs="Calibri"/>
                <w:color w:val="000000"/>
                <w:sz w:val="20"/>
                <w:szCs w:val="20"/>
              </w:rPr>
              <w:t>8,783</w:t>
            </w:r>
          </w:p>
        </w:tc>
        <w:tc>
          <w:tcPr>
            <w:tcW w:w="1020" w:type="dxa"/>
            <w:vAlign w:val="center"/>
          </w:tcPr>
          <w:p w14:paraId="478C4A43" w14:textId="77777777" w:rsidR="00A60D4B" w:rsidRDefault="00A60D4B" w:rsidP="00A60D4B">
            <w:pPr>
              <w:jc w:val="right"/>
            </w:pPr>
            <w:r>
              <w:rPr>
                <w:rFonts w:ascii="Calibri" w:hAnsi="Calibri" w:cs="Calibri"/>
                <w:color w:val="000000"/>
                <w:sz w:val="20"/>
                <w:szCs w:val="20"/>
              </w:rPr>
              <w:t>5,134</w:t>
            </w:r>
          </w:p>
        </w:tc>
        <w:tc>
          <w:tcPr>
            <w:tcW w:w="1020" w:type="dxa"/>
            <w:vAlign w:val="center"/>
          </w:tcPr>
          <w:p w14:paraId="6C09BFBC" w14:textId="77777777" w:rsidR="00A60D4B" w:rsidRDefault="00A60D4B" w:rsidP="00A60D4B">
            <w:pPr>
              <w:jc w:val="right"/>
            </w:pPr>
            <w:r>
              <w:rPr>
                <w:rFonts w:ascii="Calibri" w:hAnsi="Calibri" w:cs="Calibri"/>
                <w:b/>
                <w:bCs/>
                <w:color w:val="000000"/>
                <w:sz w:val="20"/>
                <w:szCs w:val="20"/>
              </w:rPr>
              <w:t>188,794</w:t>
            </w:r>
          </w:p>
        </w:tc>
      </w:tr>
      <w:tr w:rsidR="00A60D4B" w14:paraId="1BD66F7E" w14:textId="77777777" w:rsidTr="00A60D4B">
        <w:tc>
          <w:tcPr>
            <w:tcW w:w="2891" w:type="dxa"/>
            <w:vAlign w:val="bottom"/>
          </w:tcPr>
          <w:p w14:paraId="177B8A66" w14:textId="77777777" w:rsidR="00A60D4B" w:rsidRDefault="00A60D4B" w:rsidP="00A60D4B">
            <w:r>
              <w:rPr>
                <w:rFonts w:ascii="Calibri" w:hAnsi="Calibri" w:cs="Calibri"/>
                <w:color w:val="000000"/>
                <w:sz w:val="20"/>
                <w:szCs w:val="20"/>
              </w:rPr>
              <w:t>Better Infrastructure Fund</w:t>
            </w:r>
          </w:p>
        </w:tc>
        <w:tc>
          <w:tcPr>
            <w:tcW w:w="1020" w:type="dxa"/>
            <w:vAlign w:val="center"/>
          </w:tcPr>
          <w:p w14:paraId="7979190F" w14:textId="77777777" w:rsidR="00A60D4B" w:rsidRDefault="00A60D4B" w:rsidP="00A60D4B">
            <w:pPr>
              <w:jc w:val="right"/>
            </w:pPr>
            <w:r>
              <w:rPr>
                <w:rFonts w:ascii="Calibri" w:hAnsi="Calibri" w:cs="Calibri"/>
                <w:color w:val="000000"/>
                <w:sz w:val="20"/>
                <w:szCs w:val="20"/>
              </w:rPr>
              <w:t>30,641</w:t>
            </w:r>
          </w:p>
        </w:tc>
        <w:tc>
          <w:tcPr>
            <w:tcW w:w="1020" w:type="dxa"/>
            <w:vAlign w:val="center"/>
          </w:tcPr>
          <w:p w14:paraId="35C34285" w14:textId="77777777" w:rsidR="00A60D4B" w:rsidRDefault="00A60D4B" w:rsidP="00A60D4B">
            <w:pPr>
              <w:jc w:val="right"/>
            </w:pPr>
            <w:r>
              <w:rPr>
                <w:rFonts w:ascii="Calibri" w:hAnsi="Calibri" w:cs="Calibri"/>
                <w:color w:val="000000"/>
                <w:sz w:val="20"/>
                <w:szCs w:val="20"/>
              </w:rPr>
              <w:t>25,947</w:t>
            </w:r>
          </w:p>
        </w:tc>
        <w:tc>
          <w:tcPr>
            <w:tcW w:w="1020" w:type="dxa"/>
            <w:vAlign w:val="center"/>
          </w:tcPr>
          <w:p w14:paraId="1EDBBBB7" w14:textId="77777777" w:rsidR="00A60D4B" w:rsidRDefault="00A60D4B" w:rsidP="00A60D4B">
            <w:pPr>
              <w:jc w:val="right"/>
            </w:pPr>
            <w:r>
              <w:rPr>
                <w:rFonts w:ascii="Calibri" w:hAnsi="Calibri" w:cs="Calibri"/>
                <w:color w:val="000000"/>
                <w:sz w:val="20"/>
                <w:szCs w:val="20"/>
              </w:rPr>
              <w:t>22,181</w:t>
            </w:r>
          </w:p>
        </w:tc>
        <w:tc>
          <w:tcPr>
            <w:tcW w:w="1020" w:type="dxa"/>
            <w:vAlign w:val="center"/>
          </w:tcPr>
          <w:p w14:paraId="6EBD1553" w14:textId="77777777" w:rsidR="00A60D4B" w:rsidRDefault="00A60D4B" w:rsidP="00A60D4B">
            <w:pPr>
              <w:jc w:val="right"/>
            </w:pPr>
            <w:r>
              <w:rPr>
                <w:rFonts w:ascii="Calibri" w:hAnsi="Calibri" w:cs="Calibri"/>
                <w:color w:val="000000"/>
                <w:sz w:val="20"/>
                <w:szCs w:val="20"/>
              </w:rPr>
              <w:t>25,850</w:t>
            </w:r>
          </w:p>
        </w:tc>
        <w:tc>
          <w:tcPr>
            <w:tcW w:w="1020" w:type="dxa"/>
            <w:vAlign w:val="center"/>
          </w:tcPr>
          <w:p w14:paraId="66E7F3AE" w14:textId="77777777" w:rsidR="00A60D4B" w:rsidRDefault="00A60D4B" w:rsidP="00A60D4B">
            <w:pPr>
              <w:jc w:val="right"/>
            </w:pPr>
            <w:r>
              <w:rPr>
                <w:rFonts w:ascii="Calibri" w:hAnsi="Calibri" w:cs="Calibri"/>
                <w:color w:val="000000"/>
                <w:sz w:val="20"/>
                <w:szCs w:val="20"/>
              </w:rPr>
              <w:t>18,197</w:t>
            </w:r>
          </w:p>
        </w:tc>
        <w:tc>
          <w:tcPr>
            <w:tcW w:w="1020" w:type="dxa"/>
            <w:vAlign w:val="center"/>
          </w:tcPr>
          <w:p w14:paraId="6B7C5504" w14:textId="77777777" w:rsidR="00A60D4B" w:rsidRDefault="00A60D4B" w:rsidP="00A60D4B">
            <w:pPr>
              <w:jc w:val="right"/>
            </w:pPr>
            <w:r>
              <w:rPr>
                <w:rFonts w:ascii="Calibri" w:hAnsi="Calibri" w:cs="Calibri"/>
                <w:b/>
                <w:bCs/>
                <w:color w:val="000000"/>
                <w:sz w:val="20"/>
                <w:szCs w:val="20"/>
              </w:rPr>
              <w:t>122,816</w:t>
            </w:r>
          </w:p>
        </w:tc>
      </w:tr>
      <w:tr w:rsidR="00A60D4B" w14:paraId="4BE1420D" w14:textId="77777777" w:rsidTr="00A60D4B">
        <w:tc>
          <w:tcPr>
            <w:tcW w:w="2891" w:type="dxa"/>
            <w:vAlign w:val="bottom"/>
          </w:tcPr>
          <w:p w14:paraId="0C800420" w14:textId="77777777" w:rsidR="00A60D4B" w:rsidRDefault="00A60D4B" w:rsidP="00A60D4B">
            <w:r>
              <w:rPr>
                <w:rFonts w:ascii="Calibri" w:hAnsi="Calibri" w:cs="Calibri"/>
                <w:color w:val="000000"/>
                <w:sz w:val="20"/>
                <w:szCs w:val="20"/>
              </w:rPr>
              <w:t>Works-in-progress</w:t>
            </w:r>
          </w:p>
        </w:tc>
        <w:tc>
          <w:tcPr>
            <w:tcW w:w="1020" w:type="dxa"/>
            <w:vAlign w:val="center"/>
          </w:tcPr>
          <w:p w14:paraId="262B00D1" w14:textId="77777777" w:rsidR="00A60D4B" w:rsidRDefault="00A60D4B" w:rsidP="00A60D4B">
            <w:pPr>
              <w:jc w:val="right"/>
            </w:pPr>
            <w:r>
              <w:rPr>
                <w:rFonts w:ascii="Calibri" w:hAnsi="Calibri" w:cs="Calibri"/>
                <w:color w:val="000000"/>
                <w:sz w:val="20"/>
                <w:szCs w:val="20"/>
              </w:rPr>
              <w:t>101,822</w:t>
            </w:r>
          </w:p>
        </w:tc>
        <w:tc>
          <w:tcPr>
            <w:tcW w:w="1020" w:type="dxa"/>
            <w:vAlign w:val="center"/>
          </w:tcPr>
          <w:p w14:paraId="5ACB0673" w14:textId="77777777" w:rsidR="00A60D4B" w:rsidRDefault="00A60D4B" w:rsidP="00A60D4B">
            <w:pPr>
              <w:jc w:val="right"/>
            </w:pPr>
            <w:r>
              <w:rPr>
                <w:rFonts w:ascii="Calibri" w:hAnsi="Calibri" w:cs="Calibri"/>
                <w:color w:val="000000"/>
                <w:sz w:val="20"/>
                <w:szCs w:val="20"/>
              </w:rPr>
              <w:t>103,368</w:t>
            </w:r>
          </w:p>
        </w:tc>
        <w:tc>
          <w:tcPr>
            <w:tcW w:w="1020" w:type="dxa"/>
            <w:vAlign w:val="center"/>
          </w:tcPr>
          <w:p w14:paraId="39C35048" w14:textId="77777777" w:rsidR="00A60D4B" w:rsidRDefault="00A60D4B" w:rsidP="00A60D4B">
            <w:pPr>
              <w:jc w:val="right"/>
            </w:pPr>
            <w:r>
              <w:rPr>
                <w:rFonts w:ascii="Calibri" w:hAnsi="Calibri" w:cs="Calibri"/>
                <w:color w:val="000000"/>
                <w:sz w:val="20"/>
                <w:szCs w:val="20"/>
              </w:rPr>
              <w:t>25,338</w:t>
            </w:r>
          </w:p>
        </w:tc>
        <w:tc>
          <w:tcPr>
            <w:tcW w:w="1020" w:type="dxa"/>
            <w:vAlign w:val="center"/>
          </w:tcPr>
          <w:p w14:paraId="14EBA038" w14:textId="77777777" w:rsidR="00A60D4B" w:rsidRDefault="00A60D4B" w:rsidP="00A60D4B">
            <w:pPr>
              <w:jc w:val="right"/>
            </w:pPr>
            <w:r>
              <w:rPr>
                <w:rFonts w:ascii="Calibri" w:hAnsi="Calibri" w:cs="Calibri"/>
                <w:color w:val="000000"/>
                <w:sz w:val="20"/>
                <w:szCs w:val="20"/>
              </w:rPr>
              <w:t>6,321</w:t>
            </w:r>
          </w:p>
        </w:tc>
        <w:tc>
          <w:tcPr>
            <w:tcW w:w="1020" w:type="dxa"/>
            <w:vAlign w:val="center"/>
          </w:tcPr>
          <w:p w14:paraId="2E6E3174" w14:textId="77777777" w:rsidR="00A60D4B" w:rsidRDefault="00A60D4B" w:rsidP="00A60D4B">
            <w:pPr>
              <w:jc w:val="right"/>
            </w:pPr>
            <w:r>
              <w:rPr>
                <w:rFonts w:ascii="Calibri" w:hAnsi="Calibri" w:cs="Calibri"/>
                <w:color w:val="000000"/>
                <w:sz w:val="20"/>
                <w:szCs w:val="20"/>
              </w:rPr>
              <w:t>6,447</w:t>
            </w:r>
          </w:p>
        </w:tc>
        <w:tc>
          <w:tcPr>
            <w:tcW w:w="1020" w:type="dxa"/>
            <w:vAlign w:val="center"/>
          </w:tcPr>
          <w:p w14:paraId="546BEFF4" w14:textId="77777777" w:rsidR="00A60D4B" w:rsidRDefault="00A60D4B" w:rsidP="00A60D4B">
            <w:pPr>
              <w:jc w:val="right"/>
            </w:pPr>
            <w:r>
              <w:rPr>
                <w:rFonts w:ascii="Calibri" w:hAnsi="Calibri" w:cs="Calibri"/>
                <w:b/>
                <w:bCs/>
                <w:color w:val="000000"/>
                <w:sz w:val="20"/>
                <w:szCs w:val="20"/>
              </w:rPr>
              <w:t>243,296</w:t>
            </w:r>
          </w:p>
        </w:tc>
      </w:tr>
      <w:tr w:rsidR="00A60D4B" w14:paraId="03E8F4E3" w14:textId="77777777" w:rsidTr="00A60D4B">
        <w:tc>
          <w:tcPr>
            <w:tcW w:w="2891" w:type="dxa"/>
            <w:vAlign w:val="bottom"/>
          </w:tcPr>
          <w:p w14:paraId="1BAFC178" w14:textId="77777777" w:rsidR="00A60D4B" w:rsidRDefault="00A60D4B" w:rsidP="00A60D4B">
            <w:r>
              <w:rPr>
                <w:rFonts w:ascii="Calibri" w:hAnsi="Calibri" w:cs="Calibri"/>
                <w:b/>
                <w:bCs/>
                <w:color w:val="000000"/>
                <w:sz w:val="20"/>
                <w:szCs w:val="20"/>
              </w:rPr>
              <w:t>Total</w:t>
            </w:r>
          </w:p>
        </w:tc>
        <w:tc>
          <w:tcPr>
            <w:tcW w:w="1020" w:type="dxa"/>
            <w:vAlign w:val="center"/>
          </w:tcPr>
          <w:p w14:paraId="409DDCC7" w14:textId="77777777" w:rsidR="00A60D4B" w:rsidRDefault="00A60D4B" w:rsidP="00A60D4B">
            <w:pPr>
              <w:jc w:val="right"/>
            </w:pPr>
            <w:r>
              <w:rPr>
                <w:rFonts w:ascii="Calibri" w:hAnsi="Calibri" w:cs="Calibri"/>
                <w:b/>
                <w:bCs/>
                <w:color w:val="000000"/>
                <w:sz w:val="20"/>
                <w:szCs w:val="20"/>
              </w:rPr>
              <w:t>183,119</w:t>
            </w:r>
          </w:p>
        </w:tc>
        <w:tc>
          <w:tcPr>
            <w:tcW w:w="1020" w:type="dxa"/>
            <w:vAlign w:val="center"/>
          </w:tcPr>
          <w:p w14:paraId="032BA360" w14:textId="77777777" w:rsidR="00A60D4B" w:rsidRDefault="00A60D4B" w:rsidP="00A60D4B">
            <w:pPr>
              <w:jc w:val="right"/>
            </w:pPr>
            <w:r>
              <w:rPr>
                <w:rFonts w:ascii="Calibri" w:hAnsi="Calibri" w:cs="Calibri"/>
                <w:b/>
                <w:bCs/>
                <w:color w:val="000000"/>
                <w:sz w:val="20"/>
                <w:szCs w:val="20"/>
              </w:rPr>
              <w:t>208,853</w:t>
            </w:r>
          </w:p>
        </w:tc>
        <w:tc>
          <w:tcPr>
            <w:tcW w:w="1020" w:type="dxa"/>
            <w:vAlign w:val="center"/>
          </w:tcPr>
          <w:p w14:paraId="3C274EA0" w14:textId="77777777" w:rsidR="00A60D4B" w:rsidRDefault="00A60D4B" w:rsidP="00A60D4B">
            <w:pPr>
              <w:jc w:val="right"/>
            </w:pPr>
            <w:r>
              <w:rPr>
                <w:rFonts w:ascii="Calibri" w:hAnsi="Calibri" w:cs="Calibri"/>
                <w:b/>
                <w:bCs/>
                <w:color w:val="000000"/>
                <w:sz w:val="20"/>
                <w:szCs w:val="20"/>
              </w:rPr>
              <w:t>92,202</w:t>
            </w:r>
          </w:p>
        </w:tc>
        <w:tc>
          <w:tcPr>
            <w:tcW w:w="1020" w:type="dxa"/>
            <w:vAlign w:val="center"/>
          </w:tcPr>
          <w:p w14:paraId="4B00252C" w14:textId="77777777" w:rsidR="00A60D4B" w:rsidRDefault="00A60D4B" w:rsidP="00A60D4B">
            <w:pPr>
              <w:jc w:val="right"/>
            </w:pPr>
            <w:r>
              <w:rPr>
                <w:rFonts w:ascii="Calibri" w:hAnsi="Calibri" w:cs="Calibri"/>
                <w:b/>
                <w:bCs/>
                <w:color w:val="000000"/>
                <w:sz w:val="20"/>
                <w:szCs w:val="20"/>
              </w:rPr>
              <w:t>40,954</w:t>
            </w:r>
          </w:p>
        </w:tc>
        <w:tc>
          <w:tcPr>
            <w:tcW w:w="1020" w:type="dxa"/>
            <w:vAlign w:val="center"/>
          </w:tcPr>
          <w:p w14:paraId="5F9ED9AE" w14:textId="77777777" w:rsidR="00A60D4B" w:rsidRDefault="00A60D4B" w:rsidP="00A60D4B">
            <w:pPr>
              <w:jc w:val="right"/>
            </w:pPr>
            <w:r>
              <w:rPr>
                <w:rFonts w:ascii="Calibri" w:hAnsi="Calibri" w:cs="Calibri"/>
                <w:b/>
                <w:bCs/>
                <w:color w:val="000000"/>
                <w:sz w:val="20"/>
                <w:szCs w:val="20"/>
              </w:rPr>
              <w:t>29,778</w:t>
            </w:r>
          </w:p>
        </w:tc>
        <w:tc>
          <w:tcPr>
            <w:tcW w:w="1020" w:type="dxa"/>
            <w:vAlign w:val="center"/>
          </w:tcPr>
          <w:p w14:paraId="6C11DA19" w14:textId="77777777" w:rsidR="00A60D4B" w:rsidRDefault="00A60D4B" w:rsidP="00A60D4B">
            <w:pPr>
              <w:jc w:val="right"/>
            </w:pPr>
            <w:r>
              <w:rPr>
                <w:rFonts w:ascii="Calibri" w:hAnsi="Calibri" w:cs="Calibri"/>
                <w:b/>
                <w:bCs/>
                <w:color w:val="000000"/>
                <w:sz w:val="20"/>
                <w:szCs w:val="20"/>
              </w:rPr>
              <w:t>554,906</w:t>
            </w:r>
          </w:p>
        </w:tc>
      </w:tr>
      <w:tr w:rsidR="00A60D4B" w14:paraId="095A40E1" w14:textId="77777777" w:rsidTr="00A60D4B">
        <w:trPr>
          <w:trHeight w:val="907"/>
        </w:trPr>
        <w:tc>
          <w:tcPr>
            <w:tcW w:w="2891" w:type="dxa"/>
            <w:vAlign w:val="bottom"/>
          </w:tcPr>
          <w:p w14:paraId="10C80C36" w14:textId="77777777" w:rsidR="00A60D4B" w:rsidRDefault="00A60D4B" w:rsidP="00A60D4B">
            <w:r>
              <w:rPr>
                <w:rFonts w:ascii="Calibri" w:hAnsi="Calibri" w:cs="Calibri"/>
                <w:b/>
                <w:bCs/>
                <w:color w:val="000000"/>
                <w:sz w:val="20"/>
                <w:szCs w:val="20"/>
              </w:rPr>
              <w:t>Environment, Planning and Sustainable Development Directorate</w:t>
            </w:r>
          </w:p>
        </w:tc>
        <w:tc>
          <w:tcPr>
            <w:tcW w:w="1020" w:type="dxa"/>
            <w:vAlign w:val="center"/>
          </w:tcPr>
          <w:p w14:paraId="65892AB0"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5A378F2F"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207CD179"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6F7CC8CD"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21304301"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538751CE" w14:textId="77777777" w:rsidR="00A60D4B" w:rsidRDefault="00A60D4B" w:rsidP="00A60D4B">
            <w:pPr>
              <w:jc w:val="right"/>
            </w:pPr>
            <w:r>
              <w:rPr>
                <w:rFonts w:ascii="Calibri" w:hAnsi="Calibri" w:cs="Calibri"/>
                <w:color w:val="FFFFFF"/>
                <w:sz w:val="20"/>
                <w:szCs w:val="20"/>
              </w:rPr>
              <w:t>0</w:t>
            </w:r>
          </w:p>
        </w:tc>
      </w:tr>
      <w:tr w:rsidR="00A60D4B" w14:paraId="776546D5" w14:textId="77777777" w:rsidTr="00A60D4B">
        <w:tc>
          <w:tcPr>
            <w:tcW w:w="2891" w:type="dxa"/>
            <w:vAlign w:val="bottom"/>
          </w:tcPr>
          <w:p w14:paraId="6677A092" w14:textId="77777777" w:rsidR="00A60D4B" w:rsidRDefault="00A60D4B" w:rsidP="00A60D4B">
            <w:r>
              <w:rPr>
                <w:rFonts w:ascii="Calibri" w:hAnsi="Calibri" w:cs="Calibri"/>
                <w:color w:val="000000"/>
                <w:sz w:val="20"/>
                <w:szCs w:val="20"/>
              </w:rPr>
              <w:t>New Capital Works</w:t>
            </w:r>
          </w:p>
        </w:tc>
        <w:tc>
          <w:tcPr>
            <w:tcW w:w="1020" w:type="dxa"/>
            <w:vAlign w:val="center"/>
          </w:tcPr>
          <w:p w14:paraId="16580105" w14:textId="77777777" w:rsidR="00A60D4B" w:rsidRDefault="00A60D4B" w:rsidP="00A60D4B">
            <w:pPr>
              <w:jc w:val="right"/>
            </w:pPr>
            <w:r>
              <w:rPr>
                <w:rFonts w:ascii="Calibri" w:hAnsi="Calibri" w:cs="Calibri"/>
                <w:color w:val="000000"/>
                <w:sz w:val="20"/>
                <w:szCs w:val="20"/>
              </w:rPr>
              <w:t>3,946</w:t>
            </w:r>
          </w:p>
        </w:tc>
        <w:tc>
          <w:tcPr>
            <w:tcW w:w="1020" w:type="dxa"/>
            <w:vAlign w:val="center"/>
          </w:tcPr>
          <w:p w14:paraId="492BD995" w14:textId="77777777" w:rsidR="00A60D4B" w:rsidRDefault="00A60D4B" w:rsidP="00A60D4B">
            <w:pPr>
              <w:jc w:val="right"/>
            </w:pPr>
            <w:r>
              <w:rPr>
                <w:rFonts w:ascii="Calibri" w:hAnsi="Calibri" w:cs="Calibri"/>
                <w:color w:val="000000"/>
                <w:sz w:val="20"/>
                <w:szCs w:val="20"/>
              </w:rPr>
              <w:t>7,428</w:t>
            </w:r>
          </w:p>
        </w:tc>
        <w:tc>
          <w:tcPr>
            <w:tcW w:w="1020" w:type="dxa"/>
            <w:vAlign w:val="center"/>
          </w:tcPr>
          <w:p w14:paraId="32470EE2" w14:textId="77777777" w:rsidR="00A60D4B" w:rsidRDefault="00A60D4B" w:rsidP="00A60D4B">
            <w:pPr>
              <w:jc w:val="right"/>
            </w:pPr>
            <w:r>
              <w:rPr>
                <w:rFonts w:ascii="Calibri" w:hAnsi="Calibri" w:cs="Calibri"/>
                <w:color w:val="000000"/>
                <w:sz w:val="20"/>
                <w:szCs w:val="20"/>
              </w:rPr>
              <w:t>443</w:t>
            </w:r>
          </w:p>
        </w:tc>
        <w:tc>
          <w:tcPr>
            <w:tcW w:w="1020" w:type="dxa"/>
            <w:vAlign w:val="center"/>
          </w:tcPr>
          <w:p w14:paraId="6B12C133" w14:textId="77777777" w:rsidR="00A60D4B" w:rsidRDefault="00A60D4B" w:rsidP="00A60D4B">
            <w:pPr>
              <w:jc w:val="right"/>
            </w:pPr>
            <w:r>
              <w:rPr>
                <w:rFonts w:ascii="Calibri" w:hAnsi="Calibri" w:cs="Calibri"/>
                <w:color w:val="000000"/>
                <w:sz w:val="20"/>
                <w:szCs w:val="20"/>
              </w:rPr>
              <w:t>97</w:t>
            </w:r>
          </w:p>
        </w:tc>
        <w:tc>
          <w:tcPr>
            <w:tcW w:w="1020" w:type="dxa"/>
            <w:vAlign w:val="center"/>
          </w:tcPr>
          <w:p w14:paraId="498ABE35"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6AAFDAAE" w14:textId="77777777" w:rsidR="00A60D4B" w:rsidRDefault="00A60D4B" w:rsidP="00A60D4B">
            <w:pPr>
              <w:jc w:val="right"/>
            </w:pPr>
            <w:r>
              <w:rPr>
                <w:rFonts w:ascii="Calibri" w:hAnsi="Calibri" w:cs="Calibri"/>
                <w:b/>
                <w:bCs/>
                <w:color w:val="000000"/>
                <w:sz w:val="20"/>
                <w:szCs w:val="20"/>
              </w:rPr>
              <w:t>11,914</w:t>
            </w:r>
          </w:p>
        </w:tc>
      </w:tr>
      <w:tr w:rsidR="00A60D4B" w14:paraId="3920AA67" w14:textId="77777777" w:rsidTr="00A60D4B">
        <w:tc>
          <w:tcPr>
            <w:tcW w:w="2891" w:type="dxa"/>
            <w:vAlign w:val="bottom"/>
          </w:tcPr>
          <w:p w14:paraId="035B62BA" w14:textId="77777777" w:rsidR="00A60D4B" w:rsidRDefault="00A60D4B" w:rsidP="00A60D4B">
            <w:r>
              <w:rPr>
                <w:rFonts w:ascii="Calibri" w:hAnsi="Calibri" w:cs="Calibri"/>
                <w:color w:val="000000"/>
                <w:sz w:val="20"/>
                <w:szCs w:val="20"/>
              </w:rPr>
              <w:t>Better Infrastructure Fund</w:t>
            </w:r>
          </w:p>
        </w:tc>
        <w:tc>
          <w:tcPr>
            <w:tcW w:w="1020" w:type="dxa"/>
            <w:vAlign w:val="center"/>
          </w:tcPr>
          <w:p w14:paraId="63E72B19" w14:textId="77777777" w:rsidR="00A60D4B" w:rsidRDefault="00A60D4B" w:rsidP="00A60D4B">
            <w:pPr>
              <w:jc w:val="right"/>
            </w:pPr>
            <w:r>
              <w:rPr>
                <w:rFonts w:ascii="Calibri" w:hAnsi="Calibri" w:cs="Calibri"/>
                <w:color w:val="000000"/>
                <w:sz w:val="20"/>
                <w:szCs w:val="20"/>
              </w:rPr>
              <w:t>3,608</w:t>
            </w:r>
          </w:p>
        </w:tc>
        <w:tc>
          <w:tcPr>
            <w:tcW w:w="1020" w:type="dxa"/>
            <w:vAlign w:val="center"/>
          </w:tcPr>
          <w:p w14:paraId="366D3A65" w14:textId="77777777" w:rsidR="00A60D4B" w:rsidRDefault="00A60D4B" w:rsidP="00A60D4B">
            <w:pPr>
              <w:jc w:val="right"/>
            </w:pPr>
            <w:r>
              <w:rPr>
                <w:rFonts w:ascii="Calibri" w:hAnsi="Calibri" w:cs="Calibri"/>
                <w:color w:val="000000"/>
                <w:sz w:val="20"/>
                <w:szCs w:val="20"/>
              </w:rPr>
              <w:t>1,104</w:t>
            </w:r>
          </w:p>
        </w:tc>
        <w:tc>
          <w:tcPr>
            <w:tcW w:w="1020" w:type="dxa"/>
            <w:vAlign w:val="center"/>
          </w:tcPr>
          <w:p w14:paraId="17660624" w14:textId="77777777" w:rsidR="00A60D4B" w:rsidRDefault="00A60D4B" w:rsidP="00A60D4B">
            <w:pPr>
              <w:jc w:val="right"/>
            </w:pPr>
            <w:r>
              <w:rPr>
                <w:rFonts w:ascii="Calibri" w:hAnsi="Calibri" w:cs="Calibri"/>
                <w:color w:val="000000"/>
                <w:sz w:val="20"/>
                <w:szCs w:val="20"/>
              </w:rPr>
              <w:t>1,131</w:t>
            </w:r>
          </w:p>
        </w:tc>
        <w:tc>
          <w:tcPr>
            <w:tcW w:w="1020" w:type="dxa"/>
            <w:vAlign w:val="center"/>
          </w:tcPr>
          <w:p w14:paraId="40065790" w14:textId="77777777" w:rsidR="00A60D4B" w:rsidRDefault="00A60D4B" w:rsidP="00A60D4B">
            <w:pPr>
              <w:jc w:val="right"/>
            </w:pPr>
            <w:r>
              <w:rPr>
                <w:rFonts w:ascii="Calibri" w:hAnsi="Calibri" w:cs="Calibri"/>
                <w:color w:val="000000"/>
                <w:sz w:val="20"/>
                <w:szCs w:val="20"/>
              </w:rPr>
              <w:t>1,160</w:t>
            </w:r>
          </w:p>
        </w:tc>
        <w:tc>
          <w:tcPr>
            <w:tcW w:w="1020" w:type="dxa"/>
            <w:vAlign w:val="center"/>
          </w:tcPr>
          <w:p w14:paraId="4E5A09E6" w14:textId="77777777" w:rsidR="00A60D4B" w:rsidRDefault="00A60D4B" w:rsidP="00A60D4B">
            <w:pPr>
              <w:jc w:val="right"/>
            </w:pPr>
            <w:r>
              <w:rPr>
                <w:rFonts w:ascii="Calibri" w:hAnsi="Calibri" w:cs="Calibri"/>
                <w:color w:val="000000"/>
                <w:sz w:val="20"/>
                <w:szCs w:val="20"/>
              </w:rPr>
              <w:t>1,189</w:t>
            </w:r>
          </w:p>
        </w:tc>
        <w:tc>
          <w:tcPr>
            <w:tcW w:w="1020" w:type="dxa"/>
            <w:vAlign w:val="center"/>
          </w:tcPr>
          <w:p w14:paraId="6F3AAD8B" w14:textId="77777777" w:rsidR="00A60D4B" w:rsidRDefault="00A60D4B" w:rsidP="00A60D4B">
            <w:pPr>
              <w:jc w:val="right"/>
            </w:pPr>
            <w:r>
              <w:rPr>
                <w:rFonts w:ascii="Calibri" w:hAnsi="Calibri" w:cs="Calibri"/>
                <w:b/>
                <w:bCs/>
                <w:color w:val="000000"/>
                <w:sz w:val="20"/>
                <w:szCs w:val="20"/>
              </w:rPr>
              <w:t>8,192</w:t>
            </w:r>
          </w:p>
        </w:tc>
      </w:tr>
      <w:tr w:rsidR="00A60D4B" w14:paraId="201B0F30" w14:textId="77777777" w:rsidTr="00A60D4B">
        <w:tc>
          <w:tcPr>
            <w:tcW w:w="2891" w:type="dxa"/>
            <w:vAlign w:val="bottom"/>
          </w:tcPr>
          <w:p w14:paraId="35360377" w14:textId="77777777" w:rsidR="00A60D4B" w:rsidRDefault="00A60D4B" w:rsidP="00A60D4B">
            <w:r>
              <w:rPr>
                <w:rFonts w:ascii="Calibri" w:hAnsi="Calibri" w:cs="Calibri"/>
                <w:color w:val="000000"/>
                <w:sz w:val="20"/>
                <w:szCs w:val="20"/>
              </w:rPr>
              <w:t>Works-in-progress</w:t>
            </w:r>
          </w:p>
        </w:tc>
        <w:tc>
          <w:tcPr>
            <w:tcW w:w="1020" w:type="dxa"/>
            <w:vAlign w:val="center"/>
          </w:tcPr>
          <w:p w14:paraId="742FC218" w14:textId="77777777" w:rsidR="00A60D4B" w:rsidRDefault="00A60D4B" w:rsidP="00A60D4B">
            <w:pPr>
              <w:jc w:val="right"/>
            </w:pPr>
            <w:r>
              <w:rPr>
                <w:rFonts w:ascii="Calibri" w:hAnsi="Calibri" w:cs="Calibri"/>
                <w:color w:val="000000"/>
                <w:sz w:val="20"/>
                <w:szCs w:val="20"/>
              </w:rPr>
              <w:t>8,819</w:t>
            </w:r>
          </w:p>
        </w:tc>
        <w:tc>
          <w:tcPr>
            <w:tcW w:w="1020" w:type="dxa"/>
            <w:vAlign w:val="center"/>
          </w:tcPr>
          <w:p w14:paraId="67361910" w14:textId="77777777" w:rsidR="00A60D4B" w:rsidRDefault="00A60D4B" w:rsidP="00A60D4B">
            <w:pPr>
              <w:jc w:val="right"/>
            </w:pPr>
            <w:r>
              <w:rPr>
                <w:rFonts w:ascii="Calibri" w:hAnsi="Calibri" w:cs="Calibri"/>
                <w:color w:val="000000"/>
                <w:sz w:val="20"/>
                <w:szCs w:val="20"/>
              </w:rPr>
              <w:t>1,147</w:t>
            </w:r>
          </w:p>
        </w:tc>
        <w:tc>
          <w:tcPr>
            <w:tcW w:w="1020" w:type="dxa"/>
            <w:vAlign w:val="center"/>
          </w:tcPr>
          <w:p w14:paraId="216C6EE1"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57E66F13"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3E4014BA"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3B6801D5" w14:textId="77777777" w:rsidR="00A60D4B" w:rsidRDefault="00A60D4B" w:rsidP="00A60D4B">
            <w:pPr>
              <w:jc w:val="right"/>
            </w:pPr>
            <w:r>
              <w:rPr>
                <w:rFonts w:ascii="Calibri" w:hAnsi="Calibri" w:cs="Calibri"/>
                <w:b/>
                <w:bCs/>
                <w:color w:val="000000"/>
                <w:sz w:val="20"/>
                <w:szCs w:val="20"/>
              </w:rPr>
              <w:t>9,966</w:t>
            </w:r>
          </w:p>
        </w:tc>
      </w:tr>
      <w:tr w:rsidR="00A60D4B" w14:paraId="05468900" w14:textId="77777777" w:rsidTr="00A60D4B">
        <w:tc>
          <w:tcPr>
            <w:tcW w:w="2891" w:type="dxa"/>
            <w:vAlign w:val="bottom"/>
          </w:tcPr>
          <w:p w14:paraId="492270DD" w14:textId="77777777" w:rsidR="00A60D4B" w:rsidRDefault="00A60D4B" w:rsidP="00A60D4B">
            <w:r>
              <w:rPr>
                <w:rFonts w:ascii="Calibri" w:hAnsi="Calibri" w:cs="Calibri"/>
                <w:b/>
                <w:bCs/>
                <w:color w:val="000000"/>
                <w:sz w:val="20"/>
                <w:szCs w:val="20"/>
              </w:rPr>
              <w:t>Total</w:t>
            </w:r>
          </w:p>
        </w:tc>
        <w:tc>
          <w:tcPr>
            <w:tcW w:w="1020" w:type="dxa"/>
            <w:vAlign w:val="center"/>
          </w:tcPr>
          <w:p w14:paraId="4950B29D" w14:textId="77777777" w:rsidR="00A60D4B" w:rsidRDefault="00A60D4B" w:rsidP="00A60D4B">
            <w:pPr>
              <w:jc w:val="right"/>
            </w:pPr>
            <w:r>
              <w:rPr>
                <w:rFonts w:ascii="Calibri" w:hAnsi="Calibri" w:cs="Calibri"/>
                <w:b/>
                <w:bCs/>
                <w:color w:val="000000"/>
                <w:sz w:val="20"/>
                <w:szCs w:val="20"/>
              </w:rPr>
              <w:t>16,373</w:t>
            </w:r>
          </w:p>
        </w:tc>
        <w:tc>
          <w:tcPr>
            <w:tcW w:w="1020" w:type="dxa"/>
            <w:vAlign w:val="center"/>
          </w:tcPr>
          <w:p w14:paraId="37E11331" w14:textId="77777777" w:rsidR="00A60D4B" w:rsidRDefault="00A60D4B" w:rsidP="00A60D4B">
            <w:pPr>
              <w:jc w:val="right"/>
            </w:pPr>
            <w:r>
              <w:rPr>
                <w:rFonts w:ascii="Calibri" w:hAnsi="Calibri" w:cs="Calibri"/>
                <w:b/>
                <w:bCs/>
                <w:color w:val="000000"/>
                <w:sz w:val="20"/>
                <w:szCs w:val="20"/>
              </w:rPr>
              <w:t>9,679</w:t>
            </w:r>
          </w:p>
        </w:tc>
        <w:tc>
          <w:tcPr>
            <w:tcW w:w="1020" w:type="dxa"/>
            <w:vAlign w:val="center"/>
          </w:tcPr>
          <w:p w14:paraId="50AA16B1" w14:textId="77777777" w:rsidR="00A60D4B" w:rsidRDefault="00A60D4B" w:rsidP="00A60D4B">
            <w:pPr>
              <w:jc w:val="right"/>
            </w:pPr>
            <w:r>
              <w:rPr>
                <w:rFonts w:ascii="Calibri" w:hAnsi="Calibri" w:cs="Calibri"/>
                <w:b/>
                <w:bCs/>
                <w:color w:val="000000"/>
                <w:sz w:val="20"/>
                <w:szCs w:val="20"/>
              </w:rPr>
              <w:t>1,574</w:t>
            </w:r>
          </w:p>
        </w:tc>
        <w:tc>
          <w:tcPr>
            <w:tcW w:w="1020" w:type="dxa"/>
            <w:vAlign w:val="center"/>
          </w:tcPr>
          <w:p w14:paraId="2835609D" w14:textId="77777777" w:rsidR="00A60D4B" w:rsidRDefault="00A60D4B" w:rsidP="00A60D4B">
            <w:pPr>
              <w:jc w:val="right"/>
            </w:pPr>
            <w:r>
              <w:rPr>
                <w:rFonts w:ascii="Calibri" w:hAnsi="Calibri" w:cs="Calibri"/>
                <w:b/>
                <w:bCs/>
                <w:color w:val="000000"/>
                <w:sz w:val="20"/>
                <w:szCs w:val="20"/>
              </w:rPr>
              <w:t>1,257</w:t>
            </w:r>
          </w:p>
        </w:tc>
        <w:tc>
          <w:tcPr>
            <w:tcW w:w="1020" w:type="dxa"/>
            <w:vAlign w:val="center"/>
          </w:tcPr>
          <w:p w14:paraId="22C8387C" w14:textId="77777777" w:rsidR="00A60D4B" w:rsidRDefault="00A60D4B" w:rsidP="00A60D4B">
            <w:pPr>
              <w:jc w:val="right"/>
            </w:pPr>
            <w:r>
              <w:rPr>
                <w:rFonts w:ascii="Calibri" w:hAnsi="Calibri" w:cs="Calibri"/>
                <w:b/>
                <w:bCs/>
                <w:color w:val="000000"/>
                <w:sz w:val="20"/>
                <w:szCs w:val="20"/>
              </w:rPr>
              <w:t>1,189</w:t>
            </w:r>
          </w:p>
        </w:tc>
        <w:tc>
          <w:tcPr>
            <w:tcW w:w="1020" w:type="dxa"/>
            <w:vAlign w:val="center"/>
          </w:tcPr>
          <w:p w14:paraId="762BB187" w14:textId="77777777" w:rsidR="00A60D4B" w:rsidRDefault="00A60D4B" w:rsidP="00A60D4B">
            <w:pPr>
              <w:jc w:val="right"/>
            </w:pPr>
            <w:r>
              <w:rPr>
                <w:rFonts w:ascii="Calibri" w:hAnsi="Calibri" w:cs="Calibri"/>
                <w:b/>
                <w:bCs/>
                <w:color w:val="000000"/>
                <w:sz w:val="20"/>
                <w:szCs w:val="20"/>
              </w:rPr>
              <w:t>30,072</w:t>
            </w:r>
          </w:p>
        </w:tc>
      </w:tr>
      <w:tr w:rsidR="00A60D4B" w14:paraId="7FF35150" w14:textId="77777777" w:rsidTr="00A60D4B">
        <w:trPr>
          <w:trHeight w:val="397"/>
        </w:trPr>
        <w:tc>
          <w:tcPr>
            <w:tcW w:w="2891" w:type="dxa"/>
            <w:vAlign w:val="bottom"/>
          </w:tcPr>
          <w:p w14:paraId="7E026956" w14:textId="77777777" w:rsidR="00A60D4B" w:rsidRDefault="00A60D4B" w:rsidP="00A60D4B">
            <w:r>
              <w:rPr>
                <w:rFonts w:ascii="Calibri" w:hAnsi="Calibri" w:cs="Calibri"/>
                <w:b/>
                <w:bCs/>
                <w:color w:val="000000"/>
                <w:sz w:val="20"/>
                <w:szCs w:val="20"/>
              </w:rPr>
              <w:t>Housing ACT</w:t>
            </w:r>
          </w:p>
        </w:tc>
        <w:tc>
          <w:tcPr>
            <w:tcW w:w="1020" w:type="dxa"/>
            <w:vAlign w:val="center"/>
          </w:tcPr>
          <w:p w14:paraId="3D900C1E"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5A2DA8BF"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24AF9D07"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0027CFC4"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125A4ADA"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2CF64CF6" w14:textId="77777777" w:rsidR="00A60D4B" w:rsidRDefault="00A60D4B" w:rsidP="00A60D4B">
            <w:pPr>
              <w:jc w:val="right"/>
            </w:pPr>
            <w:r>
              <w:rPr>
                <w:rFonts w:ascii="Calibri" w:hAnsi="Calibri" w:cs="Calibri"/>
                <w:color w:val="FFFFFF"/>
                <w:sz w:val="20"/>
                <w:szCs w:val="20"/>
              </w:rPr>
              <w:t>0</w:t>
            </w:r>
          </w:p>
        </w:tc>
      </w:tr>
      <w:tr w:rsidR="00A60D4B" w14:paraId="4E7791E6" w14:textId="77777777" w:rsidTr="00A60D4B">
        <w:tc>
          <w:tcPr>
            <w:tcW w:w="2891" w:type="dxa"/>
            <w:vAlign w:val="bottom"/>
          </w:tcPr>
          <w:p w14:paraId="34835536" w14:textId="77777777" w:rsidR="00A60D4B" w:rsidRDefault="00A60D4B" w:rsidP="00A60D4B">
            <w:r>
              <w:rPr>
                <w:rFonts w:ascii="Calibri" w:hAnsi="Calibri" w:cs="Calibri"/>
                <w:color w:val="000000"/>
                <w:sz w:val="20"/>
                <w:szCs w:val="20"/>
              </w:rPr>
              <w:t>New Capital Works</w:t>
            </w:r>
          </w:p>
        </w:tc>
        <w:tc>
          <w:tcPr>
            <w:tcW w:w="1020" w:type="dxa"/>
            <w:vAlign w:val="center"/>
          </w:tcPr>
          <w:p w14:paraId="2D68C8DE" w14:textId="77777777" w:rsidR="00A60D4B" w:rsidRDefault="00A60D4B" w:rsidP="00A60D4B">
            <w:pPr>
              <w:jc w:val="right"/>
            </w:pPr>
            <w:r>
              <w:rPr>
                <w:rFonts w:ascii="Calibri" w:hAnsi="Calibri" w:cs="Calibri"/>
                <w:color w:val="000000"/>
                <w:sz w:val="20"/>
                <w:szCs w:val="20"/>
              </w:rPr>
              <w:t>61,760</w:t>
            </w:r>
          </w:p>
        </w:tc>
        <w:tc>
          <w:tcPr>
            <w:tcW w:w="1020" w:type="dxa"/>
            <w:vAlign w:val="center"/>
          </w:tcPr>
          <w:p w14:paraId="27EEB4BB" w14:textId="77777777" w:rsidR="00A60D4B" w:rsidRDefault="00A60D4B" w:rsidP="00A60D4B">
            <w:pPr>
              <w:jc w:val="right"/>
            </w:pPr>
            <w:r>
              <w:rPr>
                <w:rFonts w:ascii="Calibri" w:hAnsi="Calibri" w:cs="Calibri"/>
                <w:color w:val="000000"/>
                <w:sz w:val="20"/>
                <w:szCs w:val="20"/>
              </w:rPr>
              <w:t>20,000</w:t>
            </w:r>
          </w:p>
        </w:tc>
        <w:tc>
          <w:tcPr>
            <w:tcW w:w="1020" w:type="dxa"/>
            <w:vAlign w:val="center"/>
          </w:tcPr>
          <w:p w14:paraId="0B9839BC" w14:textId="77777777" w:rsidR="00A60D4B" w:rsidRDefault="00A60D4B" w:rsidP="00A60D4B">
            <w:pPr>
              <w:jc w:val="right"/>
            </w:pPr>
            <w:r>
              <w:rPr>
                <w:rFonts w:ascii="Calibri" w:hAnsi="Calibri" w:cs="Calibri"/>
                <w:color w:val="000000"/>
                <w:sz w:val="20"/>
                <w:szCs w:val="20"/>
              </w:rPr>
              <w:t>20,000</w:t>
            </w:r>
          </w:p>
        </w:tc>
        <w:tc>
          <w:tcPr>
            <w:tcW w:w="1020" w:type="dxa"/>
            <w:vAlign w:val="center"/>
          </w:tcPr>
          <w:p w14:paraId="69EBA5EE"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104983FD"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6F59434B" w14:textId="77777777" w:rsidR="00A60D4B" w:rsidRDefault="00A60D4B" w:rsidP="00A60D4B">
            <w:pPr>
              <w:jc w:val="right"/>
            </w:pPr>
            <w:r>
              <w:rPr>
                <w:rFonts w:ascii="Calibri" w:hAnsi="Calibri" w:cs="Calibri"/>
                <w:b/>
                <w:bCs/>
                <w:color w:val="000000"/>
                <w:sz w:val="20"/>
                <w:szCs w:val="20"/>
              </w:rPr>
              <w:t>101,760</w:t>
            </w:r>
          </w:p>
        </w:tc>
      </w:tr>
      <w:tr w:rsidR="00A60D4B" w14:paraId="327ABA70" w14:textId="77777777" w:rsidTr="00A60D4B">
        <w:tc>
          <w:tcPr>
            <w:tcW w:w="2891" w:type="dxa"/>
            <w:vAlign w:val="bottom"/>
          </w:tcPr>
          <w:p w14:paraId="5C2515EB" w14:textId="77777777" w:rsidR="00A60D4B" w:rsidRDefault="00A60D4B" w:rsidP="00A60D4B">
            <w:r>
              <w:rPr>
                <w:rFonts w:ascii="Calibri" w:hAnsi="Calibri" w:cs="Calibri"/>
                <w:color w:val="000000"/>
                <w:sz w:val="20"/>
                <w:szCs w:val="20"/>
              </w:rPr>
              <w:t>Better Infrastructure Fund</w:t>
            </w:r>
          </w:p>
        </w:tc>
        <w:tc>
          <w:tcPr>
            <w:tcW w:w="1020" w:type="dxa"/>
            <w:vAlign w:val="center"/>
          </w:tcPr>
          <w:p w14:paraId="15C6D1C2"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0769BCD9"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7E7E7B3D"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554ACC05"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3181B535"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5811807A" w14:textId="77777777" w:rsidR="00A60D4B" w:rsidRDefault="00A60D4B" w:rsidP="00A60D4B">
            <w:pPr>
              <w:jc w:val="right"/>
            </w:pPr>
            <w:r>
              <w:rPr>
                <w:rFonts w:ascii="Calibri" w:hAnsi="Calibri" w:cs="Calibri"/>
                <w:b/>
                <w:bCs/>
                <w:color w:val="000000"/>
                <w:sz w:val="20"/>
                <w:szCs w:val="20"/>
              </w:rPr>
              <w:t>0</w:t>
            </w:r>
          </w:p>
        </w:tc>
      </w:tr>
      <w:tr w:rsidR="00A60D4B" w14:paraId="52D12EB5" w14:textId="77777777" w:rsidTr="00A60D4B">
        <w:tc>
          <w:tcPr>
            <w:tcW w:w="2891" w:type="dxa"/>
            <w:vAlign w:val="bottom"/>
          </w:tcPr>
          <w:p w14:paraId="294F26AB" w14:textId="77777777" w:rsidR="00A60D4B" w:rsidRDefault="00A60D4B" w:rsidP="00A60D4B">
            <w:r>
              <w:rPr>
                <w:rFonts w:ascii="Calibri" w:hAnsi="Calibri" w:cs="Calibri"/>
                <w:color w:val="000000"/>
                <w:sz w:val="20"/>
                <w:szCs w:val="20"/>
              </w:rPr>
              <w:t>Works-in-progress</w:t>
            </w:r>
          </w:p>
        </w:tc>
        <w:tc>
          <w:tcPr>
            <w:tcW w:w="1020" w:type="dxa"/>
            <w:vAlign w:val="center"/>
          </w:tcPr>
          <w:p w14:paraId="5C8B28A4" w14:textId="77777777" w:rsidR="00A60D4B" w:rsidRDefault="00A60D4B" w:rsidP="00A60D4B">
            <w:pPr>
              <w:jc w:val="right"/>
            </w:pPr>
            <w:r>
              <w:rPr>
                <w:rFonts w:ascii="Calibri" w:hAnsi="Calibri" w:cs="Calibri"/>
                <w:color w:val="000000"/>
                <w:sz w:val="20"/>
                <w:szCs w:val="20"/>
              </w:rPr>
              <w:t>33,788</w:t>
            </w:r>
          </w:p>
        </w:tc>
        <w:tc>
          <w:tcPr>
            <w:tcW w:w="1020" w:type="dxa"/>
            <w:vAlign w:val="center"/>
          </w:tcPr>
          <w:p w14:paraId="61A2F018" w14:textId="77777777" w:rsidR="00A60D4B" w:rsidRDefault="00A60D4B" w:rsidP="00A60D4B">
            <w:pPr>
              <w:jc w:val="right"/>
            </w:pPr>
            <w:r>
              <w:rPr>
                <w:rFonts w:ascii="Calibri" w:hAnsi="Calibri" w:cs="Calibri"/>
                <w:color w:val="000000"/>
                <w:sz w:val="20"/>
                <w:szCs w:val="20"/>
              </w:rPr>
              <w:t>5,000</w:t>
            </w:r>
          </w:p>
        </w:tc>
        <w:tc>
          <w:tcPr>
            <w:tcW w:w="1020" w:type="dxa"/>
            <w:vAlign w:val="center"/>
          </w:tcPr>
          <w:p w14:paraId="42E1C4BA" w14:textId="77777777" w:rsidR="00A60D4B" w:rsidRDefault="00A60D4B" w:rsidP="00A60D4B">
            <w:pPr>
              <w:jc w:val="right"/>
            </w:pPr>
            <w:r>
              <w:rPr>
                <w:rFonts w:ascii="Calibri" w:hAnsi="Calibri" w:cs="Calibri"/>
                <w:color w:val="000000"/>
                <w:sz w:val="20"/>
                <w:szCs w:val="20"/>
              </w:rPr>
              <w:t>5,000</w:t>
            </w:r>
          </w:p>
        </w:tc>
        <w:tc>
          <w:tcPr>
            <w:tcW w:w="1020" w:type="dxa"/>
            <w:vAlign w:val="center"/>
          </w:tcPr>
          <w:p w14:paraId="6A44DEA5" w14:textId="77777777" w:rsidR="00A60D4B" w:rsidRDefault="00A60D4B" w:rsidP="00A60D4B">
            <w:pPr>
              <w:jc w:val="right"/>
            </w:pPr>
            <w:r>
              <w:rPr>
                <w:rFonts w:ascii="Calibri" w:hAnsi="Calibri" w:cs="Calibri"/>
                <w:color w:val="000000"/>
                <w:sz w:val="20"/>
                <w:szCs w:val="20"/>
              </w:rPr>
              <w:t>5,000</w:t>
            </w:r>
          </w:p>
        </w:tc>
        <w:tc>
          <w:tcPr>
            <w:tcW w:w="1020" w:type="dxa"/>
            <w:vAlign w:val="center"/>
          </w:tcPr>
          <w:p w14:paraId="6F1E604B" w14:textId="77777777" w:rsidR="00A60D4B" w:rsidRDefault="00A60D4B" w:rsidP="00A60D4B">
            <w:pPr>
              <w:jc w:val="right"/>
            </w:pPr>
            <w:r>
              <w:rPr>
                <w:rFonts w:ascii="Calibri" w:hAnsi="Calibri" w:cs="Calibri"/>
                <w:color w:val="000000"/>
                <w:sz w:val="20"/>
                <w:szCs w:val="20"/>
              </w:rPr>
              <w:t>5,000</w:t>
            </w:r>
          </w:p>
        </w:tc>
        <w:tc>
          <w:tcPr>
            <w:tcW w:w="1020" w:type="dxa"/>
            <w:vAlign w:val="center"/>
          </w:tcPr>
          <w:p w14:paraId="7B60FCDA" w14:textId="77777777" w:rsidR="00A60D4B" w:rsidRDefault="00A60D4B" w:rsidP="00A60D4B">
            <w:pPr>
              <w:jc w:val="right"/>
            </w:pPr>
            <w:r>
              <w:rPr>
                <w:rFonts w:ascii="Calibri" w:hAnsi="Calibri" w:cs="Calibri"/>
                <w:b/>
                <w:bCs/>
                <w:color w:val="000000"/>
                <w:sz w:val="20"/>
                <w:szCs w:val="20"/>
              </w:rPr>
              <w:t>53,788</w:t>
            </w:r>
          </w:p>
        </w:tc>
      </w:tr>
      <w:tr w:rsidR="00A60D4B" w14:paraId="67CFF7B0" w14:textId="77777777" w:rsidTr="00A60D4B">
        <w:tc>
          <w:tcPr>
            <w:tcW w:w="2891" w:type="dxa"/>
            <w:vAlign w:val="bottom"/>
          </w:tcPr>
          <w:p w14:paraId="3DF9A4CE" w14:textId="77777777" w:rsidR="00A60D4B" w:rsidRDefault="00A60D4B" w:rsidP="00A60D4B">
            <w:r>
              <w:rPr>
                <w:rFonts w:ascii="Calibri" w:hAnsi="Calibri" w:cs="Calibri"/>
                <w:b/>
                <w:bCs/>
                <w:color w:val="000000"/>
                <w:sz w:val="20"/>
                <w:szCs w:val="20"/>
              </w:rPr>
              <w:t>Total</w:t>
            </w:r>
          </w:p>
        </w:tc>
        <w:tc>
          <w:tcPr>
            <w:tcW w:w="1020" w:type="dxa"/>
            <w:vAlign w:val="center"/>
          </w:tcPr>
          <w:p w14:paraId="2D343E84" w14:textId="77777777" w:rsidR="00A60D4B" w:rsidRDefault="00A60D4B" w:rsidP="00A60D4B">
            <w:pPr>
              <w:jc w:val="right"/>
            </w:pPr>
            <w:r>
              <w:rPr>
                <w:rFonts w:ascii="Calibri" w:hAnsi="Calibri" w:cs="Calibri"/>
                <w:b/>
                <w:bCs/>
                <w:color w:val="000000"/>
                <w:sz w:val="20"/>
                <w:szCs w:val="20"/>
              </w:rPr>
              <w:t>95,548</w:t>
            </w:r>
          </w:p>
        </w:tc>
        <w:tc>
          <w:tcPr>
            <w:tcW w:w="1020" w:type="dxa"/>
            <w:vAlign w:val="center"/>
          </w:tcPr>
          <w:p w14:paraId="484F12F6" w14:textId="77777777" w:rsidR="00A60D4B" w:rsidRDefault="00A60D4B" w:rsidP="00A60D4B">
            <w:pPr>
              <w:jc w:val="right"/>
            </w:pPr>
            <w:r>
              <w:rPr>
                <w:rFonts w:ascii="Calibri" w:hAnsi="Calibri" w:cs="Calibri"/>
                <w:b/>
                <w:bCs/>
                <w:color w:val="000000"/>
                <w:sz w:val="20"/>
                <w:szCs w:val="20"/>
              </w:rPr>
              <w:t>25,000</w:t>
            </w:r>
          </w:p>
        </w:tc>
        <w:tc>
          <w:tcPr>
            <w:tcW w:w="1020" w:type="dxa"/>
            <w:vAlign w:val="center"/>
          </w:tcPr>
          <w:p w14:paraId="1C974C5F" w14:textId="77777777" w:rsidR="00A60D4B" w:rsidRDefault="00A60D4B" w:rsidP="00A60D4B">
            <w:pPr>
              <w:jc w:val="right"/>
            </w:pPr>
            <w:r>
              <w:rPr>
                <w:rFonts w:ascii="Calibri" w:hAnsi="Calibri" w:cs="Calibri"/>
                <w:b/>
                <w:bCs/>
                <w:color w:val="000000"/>
                <w:sz w:val="20"/>
                <w:szCs w:val="20"/>
              </w:rPr>
              <w:t>25,000</w:t>
            </w:r>
          </w:p>
        </w:tc>
        <w:tc>
          <w:tcPr>
            <w:tcW w:w="1020" w:type="dxa"/>
            <w:vAlign w:val="center"/>
          </w:tcPr>
          <w:p w14:paraId="7359ACA7" w14:textId="77777777" w:rsidR="00A60D4B" w:rsidRDefault="00A60D4B" w:rsidP="00A60D4B">
            <w:pPr>
              <w:jc w:val="right"/>
            </w:pPr>
            <w:r>
              <w:rPr>
                <w:rFonts w:ascii="Calibri" w:hAnsi="Calibri" w:cs="Calibri"/>
                <w:b/>
                <w:bCs/>
                <w:color w:val="000000"/>
                <w:sz w:val="20"/>
                <w:szCs w:val="20"/>
              </w:rPr>
              <w:t>5,000</w:t>
            </w:r>
          </w:p>
        </w:tc>
        <w:tc>
          <w:tcPr>
            <w:tcW w:w="1020" w:type="dxa"/>
            <w:vAlign w:val="center"/>
          </w:tcPr>
          <w:p w14:paraId="52418232" w14:textId="77777777" w:rsidR="00A60D4B" w:rsidRDefault="00A60D4B" w:rsidP="00A60D4B">
            <w:pPr>
              <w:jc w:val="right"/>
            </w:pPr>
            <w:r>
              <w:rPr>
                <w:rFonts w:ascii="Calibri" w:hAnsi="Calibri" w:cs="Calibri"/>
                <w:b/>
                <w:bCs/>
                <w:color w:val="000000"/>
                <w:sz w:val="20"/>
                <w:szCs w:val="20"/>
              </w:rPr>
              <w:t>5,000</w:t>
            </w:r>
          </w:p>
        </w:tc>
        <w:tc>
          <w:tcPr>
            <w:tcW w:w="1020" w:type="dxa"/>
            <w:vAlign w:val="center"/>
          </w:tcPr>
          <w:p w14:paraId="362C9800" w14:textId="77777777" w:rsidR="00A60D4B" w:rsidRDefault="00A60D4B" w:rsidP="00A60D4B">
            <w:pPr>
              <w:jc w:val="right"/>
            </w:pPr>
            <w:r>
              <w:rPr>
                <w:rFonts w:ascii="Calibri" w:hAnsi="Calibri" w:cs="Calibri"/>
                <w:b/>
                <w:bCs/>
                <w:color w:val="000000"/>
                <w:sz w:val="20"/>
                <w:szCs w:val="20"/>
              </w:rPr>
              <w:t>155,548</w:t>
            </w:r>
          </w:p>
        </w:tc>
      </w:tr>
      <w:tr w:rsidR="00A60D4B" w14:paraId="4D0D1D32" w14:textId="77777777" w:rsidTr="00A60D4B">
        <w:trPr>
          <w:trHeight w:val="624"/>
        </w:trPr>
        <w:tc>
          <w:tcPr>
            <w:tcW w:w="2891" w:type="dxa"/>
            <w:vAlign w:val="bottom"/>
          </w:tcPr>
          <w:p w14:paraId="305E03EA" w14:textId="77777777" w:rsidR="00A60D4B" w:rsidRDefault="00A60D4B" w:rsidP="00A60D4B">
            <w:r>
              <w:rPr>
                <w:rFonts w:ascii="Calibri" w:hAnsi="Calibri" w:cs="Calibri"/>
                <w:b/>
                <w:bCs/>
                <w:color w:val="000000"/>
                <w:sz w:val="20"/>
                <w:szCs w:val="20"/>
              </w:rPr>
              <w:t>Justice and Community Safety Directorate</w:t>
            </w:r>
          </w:p>
        </w:tc>
        <w:tc>
          <w:tcPr>
            <w:tcW w:w="1020" w:type="dxa"/>
            <w:vAlign w:val="center"/>
          </w:tcPr>
          <w:p w14:paraId="21C8EDD8"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34593609"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5D7AC472"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49CF26B3"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2B0C8056"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19A43EE2" w14:textId="77777777" w:rsidR="00A60D4B" w:rsidRDefault="00A60D4B" w:rsidP="00A60D4B">
            <w:pPr>
              <w:jc w:val="right"/>
            </w:pPr>
            <w:r>
              <w:rPr>
                <w:rFonts w:ascii="Calibri" w:hAnsi="Calibri" w:cs="Calibri"/>
                <w:color w:val="FFFFFF"/>
                <w:sz w:val="20"/>
                <w:szCs w:val="20"/>
              </w:rPr>
              <w:t>0</w:t>
            </w:r>
          </w:p>
        </w:tc>
      </w:tr>
      <w:tr w:rsidR="00A60D4B" w14:paraId="30D6CB57" w14:textId="77777777" w:rsidTr="00A60D4B">
        <w:tc>
          <w:tcPr>
            <w:tcW w:w="2891" w:type="dxa"/>
            <w:vAlign w:val="bottom"/>
          </w:tcPr>
          <w:p w14:paraId="0B25F0BE" w14:textId="77777777" w:rsidR="00A60D4B" w:rsidRDefault="00A60D4B" w:rsidP="00A60D4B">
            <w:r>
              <w:rPr>
                <w:rFonts w:ascii="Calibri" w:hAnsi="Calibri" w:cs="Calibri"/>
                <w:color w:val="000000"/>
                <w:sz w:val="20"/>
                <w:szCs w:val="20"/>
              </w:rPr>
              <w:t>New Capital Works</w:t>
            </w:r>
          </w:p>
        </w:tc>
        <w:tc>
          <w:tcPr>
            <w:tcW w:w="1020" w:type="dxa"/>
            <w:vAlign w:val="center"/>
          </w:tcPr>
          <w:p w14:paraId="499159E0" w14:textId="77777777" w:rsidR="00A60D4B" w:rsidRDefault="00A60D4B" w:rsidP="00A60D4B">
            <w:pPr>
              <w:jc w:val="right"/>
            </w:pPr>
            <w:r>
              <w:rPr>
                <w:rFonts w:ascii="Calibri" w:hAnsi="Calibri" w:cs="Calibri"/>
                <w:color w:val="000000"/>
                <w:sz w:val="20"/>
                <w:szCs w:val="20"/>
              </w:rPr>
              <w:t>12,696</w:t>
            </w:r>
          </w:p>
        </w:tc>
        <w:tc>
          <w:tcPr>
            <w:tcW w:w="1020" w:type="dxa"/>
            <w:vAlign w:val="center"/>
          </w:tcPr>
          <w:p w14:paraId="6831D0B2" w14:textId="77777777" w:rsidR="00A60D4B" w:rsidRDefault="00A60D4B" w:rsidP="00A60D4B">
            <w:pPr>
              <w:jc w:val="right"/>
            </w:pPr>
            <w:r>
              <w:rPr>
                <w:rFonts w:ascii="Calibri" w:hAnsi="Calibri" w:cs="Calibri"/>
                <w:color w:val="000000"/>
                <w:sz w:val="20"/>
                <w:szCs w:val="20"/>
              </w:rPr>
              <w:t>17,047</w:t>
            </w:r>
          </w:p>
        </w:tc>
        <w:tc>
          <w:tcPr>
            <w:tcW w:w="1020" w:type="dxa"/>
            <w:vAlign w:val="center"/>
          </w:tcPr>
          <w:p w14:paraId="5A203333" w14:textId="77777777" w:rsidR="00A60D4B" w:rsidRDefault="00A60D4B" w:rsidP="00A60D4B">
            <w:pPr>
              <w:jc w:val="right"/>
            </w:pPr>
            <w:r>
              <w:rPr>
                <w:rFonts w:ascii="Calibri" w:hAnsi="Calibri" w:cs="Calibri"/>
                <w:color w:val="000000"/>
                <w:sz w:val="20"/>
                <w:szCs w:val="20"/>
              </w:rPr>
              <w:t>5,846</w:t>
            </w:r>
          </w:p>
        </w:tc>
        <w:tc>
          <w:tcPr>
            <w:tcW w:w="1020" w:type="dxa"/>
            <w:vAlign w:val="center"/>
          </w:tcPr>
          <w:p w14:paraId="20591301" w14:textId="77777777" w:rsidR="00A60D4B" w:rsidRDefault="00A60D4B" w:rsidP="00A60D4B">
            <w:pPr>
              <w:jc w:val="right"/>
            </w:pPr>
            <w:r>
              <w:rPr>
                <w:rFonts w:ascii="Calibri" w:hAnsi="Calibri" w:cs="Calibri"/>
                <w:color w:val="000000"/>
                <w:sz w:val="20"/>
                <w:szCs w:val="20"/>
              </w:rPr>
              <w:t>3,079</w:t>
            </w:r>
          </w:p>
        </w:tc>
        <w:tc>
          <w:tcPr>
            <w:tcW w:w="1020" w:type="dxa"/>
            <w:vAlign w:val="center"/>
          </w:tcPr>
          <w:p w14:paraId="143AE149" w14:textId="77777777" w:rsidR="00A60D4B" w:rsidRDefault="00A60D4B" w:rsidP="00A60D4B">
            <w:pPr>
              <w:jc w:val="right"/>
            </w:pPr>
            <w:r>
              <w:rPr>
                <w:rFonts w:ascii="Calibri" w:hAnsi="Calibri" w:cs="Calibri"/>
                <w:color w:val="000000"/>
                <w:sz w:val="20"/>
                <w:szCs w:val="20"/>
              </w:rPr>
              <w:t>3,000</w:t>
            </w:r>
          </w:p>
        </w:tc>
        <w:tc>
          <w:tcPr>
            <w:tcW w:w="1020" w:type="dxa"/>
            <w:vAlign w:val="center"/>
          </w:tcPr>
          <w:p w14:paraId="31E171C8" w14:textId="77777777" w:rsidR="00A60D4B" w:rsidRDefault="00A60D4B" w:rsidP="00A60D4B">
            <w:pPr>
              <w:jc w:val="right"/>
            </w:pPr>
            <w:r>
              <w:rPr>
                <w:rFonts w:ascii="Calibri" w:hAnsi="Calibri" w:cs="Calibri"/>
                <w:b/>
                <w:bCs/>
                <w:color w:val="000000"/>
                <w:sz w:val="20"/>
                <w:szCs w:val="20"/>
              </w:rPr>
              <w:t>41,668</w:t>
            </w:r>
          </w:p>
        </w:tc>
      </w:tr>
      <w:tr w:rsidR="00A60D4B" w14:paraId="6C4A03AE" w14:textId="77777777" w:rsidTr="00A60D4B">
        <w:tc>
          <w:tcPr>
            <w:tcW w:w="2891" w:type="dxa"/>
            <w:vAlign w:val="bottom"/>
          </w:tcPr>
          <w:p w14:paraId="3B439F99" w14:textId="77777777" w:rsidR="00A60D4B" w:rsidRDefault="00A60D4B" w:rsidP="00A60D4B">
            <w:r>
              <w:rPr>
                <w:rFonts w:ascii="Calibri" w:hAnsi="Calibri" w:cs="Calibri"/>
                <w:color w:val="000000"/>
                <w:sz w:val="20"/>
                <w:szCs w:val="20"/>
              </w:rPr>
              <w:t>Better Infrastructure Fund</w:t>
            </w:r>
          </w:p>
        </w:tc>
        <w:tc>
          <w:tcPr>
            <w:tcW w:w="1020" w:type="dxa"/>
            <w:vAlign w:val="center"/>
          </w:tcPr>
          <w:p w14:paraId="2C4E8600" w14:textId="77777777" w:rsidR="00A60D4B" w:rsidRDefault="00A60D4B" w:rsidP="00A60D4B">
            <w:pPr>
              <w:jc w:val="right"/>
            </w:pPr>
            <w:r>
              <w:rPr>
                <w:rFonts w:ascii="Calibri" w:hAnsi="Calibri" w:cs="Calibri"/>
                <w:color w:val="000000"/>
                <w:sz w:val="20"/>
                <w:szCs w:val="20"/>
              </w:rPr>
              <w:t>3,032</w:t>
            </w:r>
          </w:p>
        </w:tc>
        <w:tc>
          <w:tcPr>
            <w:tcW w:w="1020" w:type="dxa"/>
            <w:vAlign w:val="center"/>
          </w:tcPr>
          <w:p w14:paraId="5B778A89" w14:textId="77777777" w:rsidR="00A60D4B" w:rsidRDefault="00A60D4B" w:rsidP="00A60D4B">
            <w:pPr>
              <w:jc w:val="right"/>
            </w:pPr>
            <w:r>
              <w:rPr>
                <w:rFonts w:ascii="Calibri" w:hAnsi="Calibri" w:cs="Calibri"/>
                <w:color w:val="000000"/>
                <w:sz w:val="20"/>
                <w:szCs w:val="20"/>
              </w:rPr>
              <w:t>2,052</w:t>
            </w:r>
          </w:p>
        </w:tc>
        <w:tc>
          <w:tcPr>
            <w:tcW w:w="1020" w:type="dxa"/>
            <w:vAlign w:val="center"/>
          </w:tcPr>
          <w:p w14:paraId="140A9020" w14:textId="77777777" w:rsidR="00A60D4B" w:rsidRDefault="00A60D4B" w:rsidP="00A60D4B">
            <w:pPr>
              <w:jc w:val="right"/>
            </w:pPr>
            <w:r>
              <w:rPr>
                <w:rFonts w:ascii="Calibri" w:hAnsi="Calibri" w:cs="Calibri"/>
                <w:color w:val="000000"/>
                <w:sz w:val="20"/>
                <w:szCs w:val="20"/>
              </w:rPr>
              <w:t>2,102</w:t>
            </w:r>
          </w:p>
        </w:tc>
        <w:tc>
          <w:tcPr>
            <w:tcW w:w="1020" w:type="dxa"/>
            <w:vAlign w:val="center"/>
          </w:tcPr>
          <w:p w14:paraId="7447D3BE" w14:textId="77777777" w:rsidR="00A60D4B" w:rsidRDefault="00A60D4B" w:rsidP="00A60D4B">
            <w:pPr>
              <w:jc w:val="right"/>
            </w:pPr>
            <w:r>
              <w:rPr>
                <w:rFonts w:ascii="Calibri" w:hAnsi="Calibri" w:cs="Calibri"/>
                <w:color w:val="000000"/>
                <w:sz w:val="20"/>
                <w:szCs w:val="20"/>
              </w:rPr>
              <w:t>2,155</w:t>
            </w:r>
          </w:p>
        </w:tc>
        <w:tc>
          <w:tcPr>
            <w:tcW w:w="1020" w:type="dxa"/>
            <w:vAlign w:val="center"/>
          </w:tcPr>
          <w:p w14:paraId="0293221A" w14:textId="77777777" w:rsidR="00A60D4B" w:rsidRDefault="00A60D4B" w:rsidP="00A60D4B">
            <w:pPr>
              <w:jc w:val="right"/>
            </w:pPr>
            <w:r>
              <w:rPr>
                <w:rFonts w:ascii="Calibri" w:hAnsi="Calibri" w:cs="Calibri"/>
                <w:color w:val="000000"/>
                <w:sz w:val="20"/>
                <w:szCs w:val="20"/>
              </w:rPr>
              <w:t>2,155</w:t>
            </w:r>
          </w:p>
        </w:tc>
        <w:tc>
          <w:tcPr>
            <w:tcW w:w="1020" w:type="dxa"/>
            <w:vAlign w:val="center"/>
          </w:tcPr>
          <w:p w14:paraId="618FFF82" w14:textId="77777777" w:rsidR="00A60D4B" w:rsidRDefault="00A60D4B" w:rsidP="00A60D4B">
            <w:pPr>
              <w:jc w:val="right"/>
            </w:pPr>
            <w:r>
              <w:rPr>
                <w:rFonts w:ascii="Calibri" w:hAnsi="Calibri" w:cs="Calibri"/>
                <w:b/>
                <w:bCs/>
                <w:color w:val="000000"/>
                <w:sz w:val="20"/>
                <w:szCs w:val="20"/>
              </w:rPr>
              <w:t>11,496</w:t>
            </w:r>
          </w:p>
        </w:tc>
      </w:tr>
      <w:tr w:rsidR="00A60D4B" w14:paraId="4B38E414" w14:textId="77777777" w:rsidTr="00A60D4B">
        <w:tc>
          <w:tcPr>
            <w:tcW w:w="2891" w:type="dxa"/>
            <w:vAlign w:val="bottom"/>
          </w:tcPr>
          <w:p w14:paraId="6E7C18CD" w14:textId="77777777" w:rsidR="00A60D4B" w:rsidRDefault="00A60D4B" w:rsidP="00A60D4B">
            <w:r>
              <w:rPr>
                <w:rFonts w:ascii="Calibri" w:hAnsi="Calibri" w:cs="Calibri"/>
                <w:color w:val="000000"/>
                <w:sz w:val="20"/>
                <w:szCs w:val="20"/>
              </w:rPr>
              <w:t>Works-in-progress</w:t>
            </w:r>
          </w:p>
        </w:tc>
        <w:tc>
          <w:tcPr>
            <w:tcW w:w="1020" w:type="dxa"/>
            <w:vAlign w:val="center"/>
          </w:tcPr>
          <w:p w14:paraId="29D07493" w14:textId="77777777" w:rsidR="00A60D4B" w:rsidRDefault="00A60D4B" w:rsidP="00A60D4B">
            <w:pPr>
              <w:jc w:val="right"/>
            </w:pPr>
            <w:r>
              <w:rPr>
                <w:rFonts w:ascii="Calibri" w:hAnsi="Calibri" w:cs="Calibri"/>
                <w:color w:val="000000"/>
                <w:sz w:val="20"/>
                <w:szCs w:val="20"/>
              </w:rPr>
              <w:t>31,291</w:t>
            </w:r>
          </w:p>
        </w:tc>
        <w:tc>
          <w:tcPr>
            <w:tcW w:w="1020" w:type="dxa"/>
            <w:vAlign w:val="center"/>
          </w:tcPr>
          <w:p w14:paraId="3D14E7DF" w14:textId="77777777" w:rsidR="00A60D4B" w:rsidRDefault="00A60D4B" w:rsidP="00A60D4B">
            <w:pPr>
              <w:jc w:val="right"/>
            </w:pPr>
            <w:r>
              <w:rPr>
                <w:rFonts w:ascii="Calibri" w:hAnsi="Calibri" w:cs="Calibri"/>
                <w:color w:val="000000"/>
                <w:sz w:val="20"/>
                <w:szCs w:val="20"/>
              </w:rPr>
              <w:t>26,356</w:t>
            </w:r>
          </w:p>
        </w:tc>
        <w:tc>
          <w:tcPr>
            <w:tcW w:w="1020" w:type="dxa"/>
            <w:vAlign w:val="center"/>
          </w:tcPr>
          <w:p w14:paraId="66101FE4" w14:textId="77777777" w:rsidR="00A60D4B" w:rsidRDefault="00A60D4B" w:rsidP="00A60D4B">
            <w:pPr>
              <w:jc w:val="right"/>
            </w:pPr>
            <w:r>
              <w:rPr>
                <w:rFonts w:ascii="Calibri" w:hAnsi="Calibri" w:cs="Calibri"/>
                <w:color w:val="000000"/>
                <w:sz w:val="20"/>
                <w:szCs w:val="20"/>
              </w:rPr>
              <w:t>26,131</w:t>
            </w:r>
          </w:p>
        </w:tc>
        <w:tc>
          <w:tcPr>
            <w:tcW w:w="1020" w:type="dxa"/>
            <w:vAlign w:val="center"/>
          </w:tcPr>
          <w:p w14:paraId="13A44B6B" w14:textId="77777777" w:rsidR="00A60D4B" w:rsidRDefault="00A60D4B" w:rsidP="00A60D4B">
            <w:pPr>
              <w:jc w:val="right"/>
            </w:pPr>
            <w:r>
              <w:rPr>
                <w:rFonts w:ascii="Calibri" w:hAnsi="Calibri" w:cs="Calibri"/>
                <w:color w:val="000000"/>
                <w:sz w:val="20"/>
                <w:szCs w:val="20"/>
              </w:rPr>
              <w:t>2,122</w:t>
            </w:r>
          </w:p>
        </w:tc>
        <w:tc>
          <w:tcPr>
            <w:tcW w:w="1020" w:type="dxa"/>
            <w:vAlign w:val="center"/>
          </w:tcPr>
          <w:p w14:paraId="20EDF654" w14:textId="77777777" w:rsidR="00A60D4B" w:rsidRDefault="00A60D4B" w:rsidP="00A60D4B">
            <w:pPr>
              <w:jc w:val="right"/>
            </w:pPr>
            <w:r>
              <w:rPr>
                <w:rFonts w:ascii="Calibri" w:hAnsi="Calibri" w:cs="Calibri"/>
                <w:color w:val="000000"/>
                <w:sz w:val="20"/>
                <w:szCs w:val="20"/>
              </w:rPr>
              <w:t>111</w:t>
            </w:r>
          </w:p>
        </w:tc>
        <w:tc>
          <w:tcPr>
            <w:tcW w:w="1020" w:type="dxa"/>
            <w:vAlign w:val="center"/>
          </w:tcPr>
          <w:p w14:paraId="640FBFAB" w14:textId="77777777" w:rsidR="00A60D4B" w:rsidRDefault="00A60D4B" w:rsidP="00A60D4B">
            <w:pPr>
              <w:jc w:val="right"/>
            </w:pPr>
            <w:r>
              <w:rPr>
                <w:rFonts w:ascii="Calibri" w:hAnsi="Calibri" w:cs="Calibri"/>
                <w:b/>
                <w:bCs/>
                <w:color w:val="000000"/>
                <w:sz w:val="20"/>
                <w:szCs w:val="20"/>
              </w:rPr>
              <w:t>86,011</w:t>
            </w:r>
          </w:p>
        </w:tc>
      </w:tr>
      <w:tr w:rsidR="00A60D4B" w14:paraId="63DD694C" w14:textId="77777777" w:rsidTr="00A60D4B">
        <w:tc>
          <w:tcPr>
            <w:tcW w:w="2891" w:type="dxa"/>
            <w:vAlign w:val="bottom"/>
          </w:tcPr>
          <w:p w14:paraId="6092AEC0" w14:textId="77777777" w:rsidR="00A60D4B" w:rsidRDefault="00A60D4B" w:rsidP="00A60D4B">
            <w:r>
              <w:rPr>
                <w:rFonts w:ascii="Calibri" w:hAnsi="Calibri" w:cs="Calibri"/>
                <w:b/>
                <w:bCs/>
                <w:color w:val="000000"/>
                <w:sz w:val="20"/>
                <w:szCs w:val="20"/>
              </w:rPr>
              <w:t>Total</w:t>
            </w:r>
          </w:p>
        </w:tc>
        <w:tc>
          <w:tcPr>
            <w:tcW w:w="1020" w:type="dxa"/>
            <w:vAlign w:val="center"/>
          </w:tcPr>
          <w:p w14:paraId="7646F3A2" w14:textId="77777777" w:rsidR="00A60D4B" w:rsidRDefault="00A60D4B" w:rsidP="00A60D4B">
            <w:pPr>
              <w:jc w:val="right"/>
            </w:pPr>
            <w:r>
              <w:rPr>
                <w:rFonts w:ascii="Calibri" w:hAnsi="Calibri" w:cs="Calibri"/>
                <w:b/>
                <w:bCs/>
                <w:color w:val="000000"/>
                <w:sz w:val="20"/>
                <w:szCs w:val="20"/>
              </w:rPr>
              <w:t>47,019</w:t>
            </w:r>
          </w:p>
        </w:tc>
        <w:tc>
          <w:tcPr>
            <w:tcW w:w="1020" w:type="dxa"/>
            <w:vAlign w:val="center"/>
          </w:tcPr>
          <w:p w14:paraId="1AFD7FAC" w14:textId="77777777" w:rsidR="00A60D4B" w:rsidRDefault="00A60D4B" w:rsidP="00A60D4B">
            <w:pPr>
              <w:jc w:val="right"/>
            </w:pPr>
            <w:r>
              <w:rPr>
                <w:rFonts w:ascii="Calibri" w:hAnsi="Calibri" w:cs="Calibri"/>
                <w:b/>
                <w:bCs/>
                <w:color w:val="000000"/>
                <w:sz w:val="20"/>
                <w:szCs w:val="20"/>
              </w:rPr>
              <w:t>45,455</w:t>
            </w:r>
          </w:p>
        </w:tc>
        <w:tc>
          <w:tcPr>
            <w:tcW w:w="1020" w:type="dxa"/>
            <w:vAlign w:val="center"/>
          </w:tcPr>
          <w:p w14:paraId="0A1799AB" w14:textId="77777777" w:rsidR="00A60D4B" w:rsidRDefault="00A60D4B" w:rsidP="00A60D4B">
            <w:pPr>
              <w:jc w:val="right"/>
            </w:pPr>
            <w:r>
              <w:rPr>
                <w:rFonts w:ascii="Calibri" w:hAnsi="Calibri" w:cs="Calibri"/>
                <w:b/>
                <w:bCs/>
                <w:color w:val="000000"/>
                <w:sz w:val="20"/>
                <w:szCs w:val="20"/>
              </w:rPr>
              <w:t>34,079</w:t>
            </w:r>
          </w:p>
        </w:tc>
        <w:tc>
          <w:tcPr>
            <w:tcW w:w="1020" w:type="dxa"/>
            <w:vAlign w:val="center"/>
          </w:tcPr>
          <w:p w14:paraId="466EE0BB" w14:textId="77777777" w:rsidR="00A60D4B" w:rsidRDefault="00A60D4B" w:rsidP="00A60D4B">
            <w:pPr>
              <w:jc w:val="right"/>
            </w:pPr>
            <w:r>
              <w:rPr>
                <w:rFonts w:ascii="Calibri" w:hAnsi="Calibri" w:cs="Calibri"/>
                <w:b/>
                <w:bCs/>
                <w:color w:val="000000"/>
                <w:sz w:val="20"/>
                <w:szCs w:val="20"/>
              </w:rPr>
              <w:t>7,356</w:t>
            </w:r>
          </w:p>
        </w:tc>
        <w:tc>
          <w:tcPr>
            <w:tcW w:w="1020" w:type="dxa"/>
            <w:vAlign w:val="center"/>
          </w:tcPr>
          <w:p w14:paraId="26B034D6" w14:textId="77777777" w:rsidR="00A60D4B" w:rsidRDefault="00A60D4B" w:rsidP="00A60D4B">
            <w:pPr>
              <w:jc w:val="right"/>
            </w:pPr>
            <w:r>
              <w:rPr>
                <w:rFonts w:ascii="Calibri" w:hAnsi="Calibri" w:cs="Calibri"/>
                <w:b/>
                <w:bCs/>
                <w:color w:val="000000"/>
                <w:sz w:val="20"/>
                <w:szCs w:val="20"/>
              </w:rPr>
              <w:t>5,266</w:t>
            </w:r>
          </w:p>
        </w:tc>
        <w:tc>
          <w:tcPr>
            <w:tcW w:w="1020" w:type="dxa"/>
            <w:vAlign w:val="center"/>
          </w:tcPr>
          <w:p w14:paraId="50E7B37B" w14:textId="77777777" w:rsidR="00A60D4B" w:rsidRDefault="00A60D4B" w:rsidP="00A60D4B">
            <w:pPr>
              <w:jc w:val="right"/>
            </w:pPr>
            <w:r>
              <w:rPr>
                <w:rFonts w:ascii="Calibri" w:hAnsi="Calibri" w:cs="Calibri"/>
                <w:b/>
                <w:bCs/>
                <w:color w:val="000000"/>
                <w:sz w:val="20"/>
                <w:szCs w:val="20"/>
              </w:rPr>
              <w:t>139,175</w:t>
            </w:r>
          </w:p>
        </w:tc>
      </w:tr>
      <w:tr w:rsidR="00A60D4B" w14:paraId="1709F25B" w14:textId="77777777" w:rsidTr="00A60D4B">
        <w:trPr>
          <w:trHeight w:val="397"/>
        </w:trPr>
        <w:tc>
          <w:tcPr>
            <w:tcW w:w="2891" w:type="dxa"/>
            <w:vAlign w:val="bottom"/>
          </w:tcPr>
          <w:p w14:paraId="401D6CDD" w14:textId="77777777" w:rsidR="00A60D4B" w:rsidRDefault="00A60D4B" w:rsidP="00A60D4B">
            <w:r>
              <w:rPr>
                <w:rFonts w:ascii="Calibri" w:hAnsi="Calibri" w:cs="Calibri"/>
                <w:b/>
                <w:bCs/>
                <w:color w:val="000000"/>
                <w:sz w:val="20"/>
                <w:szCs w:val="20"/>
              </w:rPr>
              <w:t>Major Projects Canberra</w:t>
            </w:r>
          </w:p>
        </w:tc>
        <w:tc>
          <w:tcPr>
            <w:tcW w:w="1020" w:type="dxa"/>
            <w:vAlign w:val="center"/>
          </w:tcPr>
          <w:p w14:paraId="43E63579"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719E3EF7"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5EE28C07"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3422E3F3"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398FC156"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5AF8D4D6" w14:textId="77777777" w:rsidR="00A60D4B" w:rsidRDefault="00A60D4B" w:rsidP="00A60D4B">
            <w:pPr>
              <w:jc w:val="right"/>
            </w:pPr>
            <w:r>
              <w:rPr>
                <w:rFonts w:ascii="Calibri" w:hAnsi="Calibri" w:cs="Calibri"/>
                <w:color w:val="FFFFFF"/>
                <w:sz w:val="20"/>
                <w:szCs w:val="20"/>
              </w:rPr>
              <w:t>0</w:t>
            </w:r>
          </w:p>
        </w:tc>
      </w:tr>
      <w:tr w:rsidR="00A60D4B" w14:paraId="4015459C" w14:textId="77777777" w:rsidTr="00A60D4B">
        <w:tc>
          <w:tcPr>
            <w:tcW w:w="2891" w:type="dxa"/>
            <w:vAlign w:val="bottom"/>
          </w:tcPr>
          <w:p w14:paraId="73A35403" w14:textId="77777777" w:rsidR="00A60D4B" w:rsidRDefault="00A60D4B" w:rsidP="00A60D4B">
            <w:r>
              <w:rPr>
                <w:rFonts w:ascii="Calibri" w:hAnsi="Calibri" w:cs="Calibri"/>
                <w:color w:val="000000"/>
                <w:sz w:val="20"/>
                <w:szCs w:val="20"/>
              </w:rPr>
              <w:t>New Capital Works</w:t>
            </w:r>
          </w:p>
        </w:tc>
        <w:tc>
          <w:tcPr>
            <w:tcW w:w="1020" w:type="dxa"/>
          </w:tcPr>
          <w:p w14:paraId="5BDAF7D1" w14:textId="77777777" w:rsidR="00A60D4B" w:rsidRPr="002938C0" w:rsidRDefault="00A60D4B" w:rsidP="00A60D4B">
            <w:pPr>
              <w:jc w:val="right"/>
              <w:rPr>
                <w:rFonts w:ascii="Calibri" w:hAnsi="Calibri" w:cs="Calibri"/>
                <w:color w:val="000000"/>
                <w:sz w:val="20"/>
                <w:szCs w:val="20"/>
              </w:rPr>
            </w:pPr>
            <w:r w:rsidRPr="00E65A36">
              <w:rPr>
                <w:rFonts w:ascii="Calibri" w:hAnsi="Calibri" w:cs="Calibri"/>
                <w:color w:val="000000"/>
                <w:sz w:val="20"/>
                <w:szCs w:val="20"/>
              </w:rPr>
              <w:t>3</w:t>
            </w:r>
            <w:r>
              <w:rPr>
                <w:rFonts w:ascii="Calibri" w:hAnsi="Calibri" w:cs="Calibri"/>
                <w:color w:val="000000"/>
                <w:sz w:val="20"/>
                <w:szCs w:val="20"/>
              </w:rPr>
              <w:t>,</w:t>
            </w:r>
            <w:r w:rsidRPr="00E65A36">
              <w:rPr>
                <w:rFonts w:ascii="Calibri" w:hAnsi="Calibri" w:cs="Calibri"/>
                <w:color w:val="000000"/>
                <w:sz w:val="20"/>
                <w:szCs w:val="20"/>
              </w:rPr>
              <w:t>631</w:t>
            </w:r>
          </w:p>
        </w:tc>
        <w:tc>
          <w:tcPr>
            <w:tcW w:w="1020" w:type="dxa"/>
          </w:tcPr>
          <w:p w14:paraId="7A61E929" w14:textId="77777777" w:rsidR="00A60D4B" w:rsidRPr="002938C0" w:rsidRDefault="00A60D4B" w:rsidP="00A60D4B">
            <w:pPr>
              <w:jc w:val="right"/>
              <w:rPr>
                <w:rFonts w:ascii="Calibri" w:hAnsi="Calibri" w:cs="Calibri"/>
                <w:color w:val="000000"/>
                <w:sz w:val="20"/>
                <w:szCs w:val="20"/>
              </w:rPr>
            </w:pPr>
            <w:r w:rsidRPr="00E65A36">
              <w:rPr>
                <w:rFonts w:ascii="Calibri" w:hAnsi="Calibri" w:cs="Calibri"/>
                <w:color w:val="000000"/>
                <w:sz w:val="20"/>
                <w:szCs w:val="20"/>
              </w:rPr>
              <w:t>5</w:t>
            </w:r>
            <w:r>
              <w:rPr>
                <w:rFonts w:ascii="Calibri" w:hAnsi="Calibri" w:cs="Calibri"/>
                <w:color w:val="000000"/>
                <w:sz w:val="20"/>
                <w:szCs w:val="20"/>
              </w:rPr>
              <w:t>,</w:t>
            </w:r>
            <w:r w:rsidRPr="00E65A36">
              <w:rPr>
                <w:rFonts w:ascii="Calibri" w:hAnsi="Calibri" w:cs="Calibri"/>
                <w:color w:val="000000"/>
                <w:sz w:val="20"/>
                <w:szCs w:val="20"/>
              </w:rPr>
              <w:t>193</w:t>
            </w:r>
          </w:p>
        </w:tc>
        <w:tc>
          <w:tcPr>
            <w:tcW w:w="1020" w:type="dxa"/>
          </w:tcPr>
          <w:p w14:paraId="193ABABD" w14:textId="77777777" w:rsidR="00A60D4B" w:rsidRPr="002938C0" w:rsidRDefault="00A60D4B" w:rsidP="00A60D4B">
            <w:pPr>
              <w:jc w:val="right"/>
              <w:rPr>
                <w:rFonts w:ascii="Calibri" w:hAnsi="Calibri" w:cs="Calibri"/>
                <w:color w:val="000000"/>
                <w:sz w:val="20"/>
                <w:szCs w:val="20"/>
              </w:rPr>
            </w:pPr>
            <w:r w:rsidRPr="00E65A36">
              <w:rPr>
                <w:rFonts w:ascii="Calibri" w:hAnsi="Calibri" w:cs="Calibri"/>
                <w:color w:val="000000"/>
                <w:sz w:val="20"/>
                <w:szCs w:val="20"/>
              </w:rPr>
              <w:t>0</w:t>
            </w:r>
          </w:p>
        </w:tc>
        <w:tc>
          <w:tcPr>
            <w:tcW w:w="1020" w:type="dxa"/>
          </w:tcPr>
          <w:p w14:paraId="7D1AAD6A" w14:textId="77777777" w:rsidR="00A60D4B" w:rsidRPr="002938C0" w:rsidRDefault="00A60D4B" w:rsidP="00A60D4B">
            <w:pPr>
              <w:jc w:val="right"/>
              <w:rPr>
                <w:rFonts w:ascii="Calibri" w:hAnsi="Calibri" w:cs="Calibri"/>
                <w:color w:val="000000"/>
                <w:sz w:val="20"/>
                <w:szCs w:val="20"/>
              </w:rPr>
            </w:pPr>
            <w:r w:rsidRPr="00E65A36">
              <w:rPr>
                <w:rFonts w:ascii="Calibri" w:hAnsi="Calibri" w:cs="Calibri"/>
                <w:color w:val="000000"/>
                <w:sz w:val="20"/>
                <w:szCs w:val="20"/>
              </w:rPr>
              <w:t>0</w:t>
            </w:r>
          </w:p>
        </w:tc>
        <w:tc>
          <w:tcPr>
            <w:tcW w:w="1020" w:type="dxa"/>
          </w:tcPr>
          <w:p w14:paraId="037BA3AA" w14:textId="77777777" w:rsidR="00A60D4B" w:rsidRPr="002938C0" w:rsidRDefault="00A60D4B" w:rsidP="00A60D4B">
            <w:pPr>
              <w:jc w:val="right"/>
              <w:rPr>
                <w:rFonts w:ascii="Calibri" w:hAnsi="Calibri" w:cs="Calibri"/>
                <w:color w:val="000000"/>
                <w:sz w:val="20"/>
                <w:szCs w:val="20"/>
              </w:rPr>
            </w:pPr>
            <w:r w:rsidRPr="00E65A36">
              <w:rPr>
                <w:rFonts w:ascii="Calibri" w:hAnsi="Calibri" w:cs="Calibri"/>
                <w:color w:val="000000"/>
                <w:sz w:val="20"/>
                <w:szCs w:val="20"/>
              </w:rPr>
              <w:t>0</w:t>
            </w:r>
          </w:p>
        </w:tc>
        <w:tc>
          <w:tcPr>
            <w:tcW w:w="1020" w:type="dxa"/>
          </w:tcPr>
          <w:p w14:paraId="39425074" w14:textId="77777777" w:rsidR="00A60D4B" w:rsidRPr="00544DFD" w:rsidRDefault="00A60D4B" w:rsidP="00A60D4B">
            <w:pPr>
              <w:jc w:val="right"/>
              <w:rPr>
                <w:rFonts w:ascii="Calibri" w:hAnsi="Calibri" w:cs="Calibri"/>
                <w:b/>
                <w:bCs/>
                <w:color w:val="000000"/>
                <w:sz w:val="20"/>
                <w:szCs w:val="20"/>
              </w:rPr>
            </w:pPr>
            <w:r w:rsidRPr="00544DFD">
              <w:rPr>
                <w:rFonts w:ascii="Calibri" w:hAnsi="Calibri" w:cs="Calibri"/>
                <w:b/>
                <w:bCs/>
                <w:color w:val="000000"/>
                <w:sz w:val="20"/>
                <w:szCs w:val="20"/>
              </w:rPr>
              <w:t>8,824</w:t>
            </w:r>
          </w:p>
        </w:tc>
      </w:tr>
      <w:tr w:rsidR="00A60D4B" w14:paraId="6BF60876" w14:textId="77777777" w:rsidTr="00A60D4B">
        <w:tc>
          <w:tcPr>
            <w:tcW w:w="2891" w:type="dxa"/>
            <w:vAlign w:val="bottom"/>
          </w:tcPr>
          <w:p w14:paraId="0B1C58DA" w14:textId="77777777" w:rsidR="00A60D4B" w:rsidRDefault="00A60D4B" w:rsidP="00A60D4B">
            <w:r>
              <w:rPr>
                <w:rFonts w:ascii="Calibri" w:hAnsi="Calibri" w:cs="Calibri"/>
                <w:color w:val="000000"/>
                <w:sz w:val="20"/>
                <w:szCs w:val="20"/>
              </w:rPr>
              <w:t>Better Infrastructure Fund</w:t>
            </w:r>
          </w:p>
        </w:tc>
        <w:tc>
          <w:tcPr>
            <w:tcW w:w="1020" w:type="dxa"/>
          </w:tcPr>
          <w:p w14:paraId="59895B3E" w14:textId="77777777" w:rsidR="00A60D4B" w:rsidRPr="002938C0" w:rsidRDefault="00A60D4B" w:rsidP="00A60D4B">
            <w:pPr>
              <w:jc w:val="right"/>
              <w:rPr>
                <w:rFonts w:ascii="Calibri" w:hAnsi="Calibri" w:cs="Calibri"/>
                <w:color w:val="000000"/>
                <w:sz w:val="20"/>
                <w:szCs w:val="20"/>
              </w:rPr>
            </w:pPr>
            <w:r w:rsidRPr="002938C0">
              <w:rPr>
                <w:rFonts w:ascii="Calibri" w:hAnsi="Calibri" w:cs="Calibri"/>
                <w:color w:val="000000"/>
                <w:sz w:val="20"/>
                <w:szCs w:val="20"/>
              </w:rPr>
              <w:t>3</w:t>
            </w:r>
            <w:r>
              <w:rPr>
                <w:rFonts w:ascii="Calibri" w:hAnsi="Calibri" w:cs="Calibri"/>
                <w:color w:val="000000"/>
                <w:sz w:val="20"/>
                <w:szCs w:val="20"/>
              </w:rPr>
              <w:t>,</w:t>
            </w:r>
            <w:r w:rsidRPr="002938C0">
              <w:rPr>
                <w:rFonts w:ascii="Calibri" w:hAnsi="Calibri" w:cs="Calibri"/>
                <w:color w:val="000000"/>
                <w:sz w:val="20"/>
                <w:szCs w:val="20"/>
              </w:rPr>
              <w:t>625</w:t>
            </w:r>
          </w:p>
        </w:tc>
        <w:tc>
          <w:tcPr>
            <w:tcW w:w="1020" w:type="dxa"/>
          </w:tcPr>
          <w:p w14:paraId="057E2E45" w14:textId="77777777" w:rsidR="00A60D4B" w:rsidRPr="002938C0" w:rsidRDefault="00A60D4B" w:rsidP="00A60D4B">
            <w:pPr>
              <w:jc w:val="right"/>
              <w:rPr>
                <w:rFonts w:ascii="Calibri" w:hAnsi="Calibri" w:cs="Calibri"/>
                <w:color w:val="000000"/>
                <w:sz w:val="20"/>
                <w:szCs w:val="20"/>
              </w:rPr>
            </w:pPr>
            <w:r w:rsidRPr="002938C0">
              <w:rPr>
                <w:rFonts w:ascii="Calibri" w:hAnsi="Calibri" w:cs="Calibri"/>
                <w:color w:val="000000"/>
                <w:sz w:val="20"/>
                <w:szCs w:val="20"/>
              </w:rPr>
              <w:t>3</w:t>
            </w:r>
            <w:r>
              <w:rPr>
                <w:rFonts w:ascii="Calibri" w:hAnsi="Calibri" w:cs="Calibri"/>
                <w:color w:val="000000"/>
                <w:sz w:val="20"/>
                <w:szCs w:val="20"/>
              </w:rPr>
              <w:t>,</w:t>
            </w:r>
            <w:r w:rsidRPr="002938C0">
              <w:rPr>
                <w:rFonts w:ascii="Calibri" w:hAnsi="Calibri" w:cs="Calibri"/>
                <w:color w:val="000000"/>
                <w:sz w:val="20"/>
                <w:szCs w:val="20"/>
              </w:rPr>
              <w:t>690</w:t>
            </w:r>
          </w:p>
        </w:tc>
        <w:tc>
          <w:tcPr>
            <w:tcW w:w="1020" w:type="dxa"/>
          </w:tcPr>
          <w:p w14:paraId="54C1D140" w14:textId="77777777" w:rsidR="00A60D4B" w:rsidRPr="002938C0" w:rsidRDefault="00A60D4B" w:rsidP="00A60D4B">
            <w:pPr>
              <w:jc w:val="right"/>
              <w:rPr>
                <w:rFonts w:ascii="Calibri" w:hAnsi="Calibri" w:cs="Calibri"/>
                <w:color w:val="000000"/>
                <w:sz w:val="20"/>
                <w:szCs w:val="20"/>
              </w:rPr>
            </w:pPr>
            <w:r w:rsidRPr="002938C0">
              <w:rPr>
                <w:rFonts w:ascii="Calibri" w:hAnsi="Calibri" w:cs="Calibri"/>
                <w:color w:val="000000"/>
                <w:sz w:val="20"/>
                <w:szCs w:val="20"/>
              </w:rPr>
              <w:t>3</w:t>
            </w:r>
            <w:r>
              <w:rPr>
                <w:rFonts w:ascii="Calibri" w:hAnsi="Calibri" w:cs="Calibri"/>
                <w:color w:val="000000"/>
                <w:sz w:val="20"/>
                <w:szCs w:val="20"/>
              </w:rPr>
              <w:t>,</w:t>
            </w:r>
            <w:r w:rsidRPr="002938C0">
              <w:rPr>
                <w:rFonts w:ascii="Calibri" w:hAnsi="Calibri" w:cs="Calibri"/>
                <w:color w:val="000000"/>
                <w:sz w:val="20"/>
                <w:szCs w:val="20"/>
              </w:rPr>
              <w:t>941</w:t>
            </w:r>
          </w:p>
        </w:tc>
        <w:tc>
          <w:tcPr>
            <w:tcW w:w="1020" w:type="dxa"/>
          </w:tcPr>
          <w:p w14:paraId="2A856954" w14:textId="77777777" w:rsidR="00A60D4B" w:rsidRPr="002938C0" w:rsidRDefault="00A60D4B" w:rsidP="00A60D4B">
            <w:pPr>
              <w:jc w:val="right"/>
              <w:rPr>
                <w:rFonts w:ascii="Calibri" w:hAnsi="Calibri" w:cs="Calibri"/>
                <w:color w:val="000000"/>
                <w:sz w:val="20"/>
                <w:szCs w:val="20"/>
              </w:rPr>
            </w:pPr>
            <w:r w:rsidRPr="002938C0">
              <w:rPr>
                <w:rFonts w:ascii="Calibri" w:hAnsi="Calibri" w:cs="Calibri"/>
                <w:color w:val="000000"/>
                <w:sz w:val="20"/>
                <w:szCs w:val="20"/>
              </w:rPr>
              <w:t>4</w:t>
            </w:r>
            <w:r>
              <w:rPr>
                <w:rFonts w:ascii="Calibri" w:hAnsi="Calibri" w:cs="Calibri"/>
                <w:color w:val="000000"/>
                <w:sz w:val="20"/>
                <w:szCs w:val="20"/>
              </w:rPr>
              <w:t>,</w:t>
            </w:r>
            <w:r w:rsidRPr="002938C0">
              <w:rPr>
                <w:rFonts w:ascii="Calibri" w:hAnsi="Calibri" w:cs="Calibri"/>
                <w:color w:val="000000"/>
                <w:sz w:val="20"/>
                <w:szCs w:val="20"/>
              </w:rPr>
              <w:t>114</w:t>
            </w:r>
          </w:p>
        </w:tc>
        <w:tc>
          <w:tcPr>
            <w:tcW w:w="1020" w:type="dxa"/>
          </w:tcPr>
          <w:p w14:paraId="5B2696A1" w14:textId="77777777" w:rsidR="00A60D4B" w:rsidRPr="002938C0" w:rsidRDefault="00A60D4B" w:rsidP="00A60D4B">
            <w:pPr>
              <w:jc w:val="right"/>
              <w:rPr>
                <w:rFonts w:ascii="Calibri" w:hAnsi="Calibri" w:cs="Calibri"/>
                <w:color w:val="000000"/>
                <w:sz w:val="20"/>
                <w:szCs w:val="20"/>
              </w:rPr>
            </w:pPr>
            <w:r w:rsidRPr="002938C0">
              <w:rPr>
                <w:rFonts w:ascii="Calibri" w:hAnsi="Calibri" w:cs="Calibri"/>
                <w:color w:val="000000"/>
                <w:sz w:val="20"/>
                <w:szCs w:val="20"/>
              </w:rPr>
              <w:t>4</w:t>
            </w:r>
            <w:r>
              <w:rPr>
                <w:rFonts w:ascii="Calibri" w:hAnsi="Calibri" w:cs="Calibri"/>
                <w:color w:val="000000"/>
                <w:sz w:val="20"/>
                <w:szCs w:val="20"/>
              </w:rPr>
              <w:t>,</w:t>
            </w:r>
            <w:r w:rsidRPr="002938C0">
              <w:rPr>
                <w:rFonts w:ascii="Calibri" w:hAnsi="Calibri" w:cs="Calibri"/>
                <w:color w:val="000000"/>
                <w:sz w:val="20"/>
                <w:szCs w:val="20"/>
              </w:rPr>
              <w:t>217</w:t>
            </w:r>
          </w:p>
        </w:tc>
        <w:tc>
          <w:tcPr>
            <w:tcW w:w="1020" w:type="dxa"/>
          </w:tcPr>
          <w:p w14:paraId="726D7387" w14:textId="77777777" w:rsidR="00A60D4B" w:rsidRPr="00544DFD" w:rsidRDefault="00A60D4B" w:rsidP="00A60D4B">
            <w:pPr>
              <w:jc w:val="right"/>
              <w:rPr>
                <w:rFonts w:ascii="Calibri" w:hAnsi="Calibri" w:cs="Calibri"/>
                <w:b/>
                <w:bCs/>
                <w:color w:val="000000"/>
                <w:sz w:val="20"/>
                <w:szCs w:val="20"/>
              </w:rPr>
            </w:pPr>
            <w:r w:rsidRPr="00544DFD">
              <w:rPr>
                <w:rFonts w:ascii="Calibri" w:hAnsi="Calibri" w:cs="Calibri"/>
                <w:b/>
                <w:bCs/>
                <w:color w:val="000000"/>
                <w:sz w:val="20"/>
                <w:szCs w:val="20"/>
              </w:rPr>
              <w:t>19,587</w:t>
            </w:r>
          </w:p>
        </w:tc>
      </w:tr>
      <w:tr w:rsidR="00A60D4B" w14:paraId="45E0F16A" w14:textId="77777777" w:rsidTr="00A60D4B">
        <w:tc>
          <w:tcPr>
            <w:tcW w:w="2891" w:type="dxa"/>
            <w:vAlign w:val="bottom"/>
          </w:tcPr>
          <w:p w14:paraId="58AF91F9" w14:textId="77777777" w:rsidR="00A60D4B" w:rsidRDefault="00A60D4B" w:rsidP="00A60D4B">
            <w:r>
              <w:rPr>
                <w:rFonts w:ascii="Calibri" w:hAnsi="Calibri" w:cs="Calibri"/>
                <w:color w:val="000000"/>
                <w:sz w:val="20"/>
                <w:szCs w:val="20"/>
              </w:rPr>
              <w:t>Works-in-progress</w:t>
            </w:r>
          </w:p>
        </w:tc>
        <w:tc>
          <w:tcPr>
            <w:tcW w:w="1020" w:type="dxa"/>
          </w:tcPr>
          <w:p w14:paraId="627FE814" w14:textId="77777777" w:rsidR="00A60D4B" w:rsidRPr="002938C0" w:rsidRDefault="00A60D4B" w:rsidP="00A60D4B">
            <w:pPr>
              <w:jc w:val="right"/>
              <w:rPr>
                <w:rFonts w:ascii="Calibri" w:hAnsi="Calibri" w:cs="Calibri"/>
                <w:color w:val="000000"/>
                <w:sz w:val="20"/>
                <w:szCs w:val="20"/>
              </w:rPr>
            </w:pPr>
            <w:r w:rsidRPr="002938C0">
              <w:rPr>
                <w:rFonts w:ascii="Calibri" w:hAnsi="Calibri" w:cs="Calibri"/>
                <w:color w:val="000000"/>
                <w:sz w:val="20"/>
                <w:szCs w:val="20"/>
              </w:rPr>
              <w:t>169</w:t>
            </w:r>
            <w:r>
              <w:rPr>
                <w:rFonts w:ascii="Calibri" w:hAnsi="Calibri" w:cs="Calibri"/>
                <w:color w:val="000000"/>
                <w:sz w:val="20"/>
                <w:szCs w:val="20"/>
              </w:rPr>
              <w:t>,</w:t>
            </w:r>
            <w:r w:rsidRPr="002938C0">
              <w:rPr>
                <w:rFonts w:ascii="Calibri" w:hAnsi="Calibri" w:cs="Calibri"/>
                <w:color w:val="000000"/>
                <w:sz w:val="20"/>
                <w:szCs w:val="20"/>
              </w:rPr>
              <w:t>309</w:t>
            </w:r>
          </w:p>
        </w:tc>
        <w:tc>
          <w:tcPr>
            <w:tcW w:w="1020" w:type="dxa"/>
          </w:tcPr>
          <w:p w14:paraId="5FF73350" w14:textId="77777777" w:rsidR="00A60D4B" w:rsidRPr="002938C0" w:rsidRDefault="00A60D4B" w:rsidP="00A60D4B">
            <w:pPr>
              <w:jc w:val="right"/>
              <w:rPr>
                <w:rFonts w:ascii="Calibri" w:hAnsi="Calibri" w:cs="Calibri"/>
                <w:color w:val="000000"/>
                <w:sz w:val="20"/>
                <w:szCs w:val="20"/>
              </w:rPr>
            </w:pPr>
            <w:r w:rsidRPr="002938C0">
              <w:rPr>
                <w:rFonts w:ascii="Calibri" w:hAnsi="Calibri" w:cs="Calibri"/>
                <w:color w:val="000000"/>
                <w:sz w:val="20"/>
                <w:szCs w:val="20"/>
              </w:rPr>
              <w:t>342</w:t>
            </w:r>
            <w:r>
              <w:rPr>
                <w:rFonts w:ascii="Calibri" w:hAnsi="Calibri" w:cs="Calibri"/>
                <w:color w:val="000000"/>
                <w:sz w:val="20"/>
                <w:szCs w:val="20"/>
              </w:rPr>
              <w:t>,</w:t>
            </w:r>
            <w:r w:rsidRPr="002938C0">
              <w:rPr>
                <w:rFonts w:ascii="Calibri" w:hAnsi="Calibri" w:cs="Calibri"/>
                <w:color w:val="000000"/>
                <w:sz w:val="20"/>
                <w:szCs w:val="20"/>
              </w:rPr>
              <w:t>985</w:t>
            </w:r>
          </w:p>
        </w:tc>
        <w:tc>
          <w:tcPr>
            <w:tcW w:w="1020" w:type="dxa"/>
          </w:tcPr>
          <w:p w14:paraId="29785B0E" w14:textId="77777777" w:rsidR="00A60D4B" w:rsidRPr="002938C0" w:rsidRDefault="00A60D4B" w:rsidP="00A60D4B">
            <w:pPr>
              <w:jc w:val="right"/>
              <w:rPr>
                <w:rFonts w:ascii="Calibri" w:hAnsi="Calibri" w:cs="Calibri"/>
                <w:color w:val="000000"/>
                <w:sz w:val="20"/>
                <w:szCs w:val="20"/>
              </w:rPr>
            </w:pPr>
            <w:r w:rsidRPr="002938C0">
              <w:rPr>
                <w:rFonts w:ascii="Calibri" w:hAnsi="Calibri" w:cs="Calibri"/>
                <w:color w:val="000000"/>
                <w:sz w:val="20"/>
                <w:szCs w:val="20"/>
              </w:rPr>
              <w:t>332</w:t>
            </w:r>
            <w:r>
              <w:rPr>
                <w:rFonts w:ascii="Calibri" w:hAnsi="Calibri" w:cs="Calibri"/>
                <w:color w:val="000000"/>
                <w:sz w:val="20"/>
                <w:szCs w:val="20"/>
              </w:rPr>
              <w:t>,</w:t>
            </w:r>
            <w:r w:rsidRPr="002938C0">
              <w:rPr>
                <w:rFonts w:ascii="Calibri" w:hAnsi="Calibri" w:cs="Calibri"/>
                <w:color w:val="000000"/>
                <w:sz w:val="20"/>
                <w:szCs w:val="20"/>
              </w:rPr>
              <w:t>595</w:t>
            </w:r>
          </w:p>
        </w:tc>
        <w:tc>
          <w:tcPr>
            <w:tcW w:w="1020" w:type="dxa"/>
          </w:tcPr>
          <w:p w14:paraId="0949FD82" w14:textId="77777777" w:rsidR="00A60D4B" w:rsidRPr="002938C0" w:rsidRDefault="00A60D4B" w:rsidP="00A60D4B">
            <w:pPr>
              <w:jc w:val="right"/>
              <w:rPr>
                <w:rFonts w:ascii="Calibri" w:hAnsi="Calibri" w:cs="Calibri"/>
                <w:color w:val="000000"/>
                <w:sz w:val="20"/>
                <w:szCs w:val="20"/>
              </w:rPr>
            </w:pPr>
            <w:r w:rsidRPr="002938C0">
              <w:rPr>
                <w:rFonts w:ascii="Calibri" w:hAnsi="Calibri" w:cs="Calibri"/>
                <w:color w:val="000000"/>
                <w:sz w:val="20"/>
                <w:szCs w:val="20"/>
              </w:rPr>
              <w:t>47</w:t>
            </w:r>
            <w:r>
              <w:rPr>
                <w:rFonts w:ascii="Calibri" w:hAnsi="Calibri" w:cs="Calibri"/>
                <w:color w:val="000000"/>
                <w:sz w:val="20"/>
                <w:szCs w:val="20"/>
              </w:rPr>
              <w:t>,</w:t>
            </w:r>
            <w:r w:rsidRPr="002938C0">
              <w:rPr>
                <w:rFonts w:ascii="Calibri" w:hAnsi="Calibri" w:cs="Calibri"/>
                <w:color w:val="000000"/>
                <w:sz w:val="20"/>
                <w:szCs w:val="20"/>
              </w:rPr>
              <w:t>135</w:t>
            </w:r>
          </w:p>
        </w:tc>
        <w:tc>
          <w:tcPr>
            <w:tcW w:w="1020" w:type="dxa"/>
          </w:tcPr>
          <w:p w14:paraId="768F1A66" w14:textId="77777777" w:rsidR="00A60D4B" w:rsidRPr="002938C0" w:rsidRDefault="00A60D4B" w:rsidP="00A60D4B">
            <w:pPr>
              <w:jc w:val="right"/>
              <w:rPr>
                <w:rFonts w:ascii="Calibri" w:hAnsi="Calibri" w:cs="Calibri"/>
                <w:color w:val="000000"/>
                <w:sz w:val="20"/>
                <w:szCs w:val="20"/>
              </w:rPr>
            </w:pPr>
            <w:r w:rsidRPr="002938C0">
              <w:rPr>
                <w:rFonts w:ascii="Calibri" w:hAnsi="Calibri" w:cs="Calibri"/>
                <w:color w:val="000000"/>
                <w:sz w:val="20"/>
                <w:szCs w:val="20"/>
              </w:rPr>
              <w:t>0</w:t>
            </w:r>
          </w:p>
        </w:tc>
        <w:tc>
          <w:tcPr>
            <w:tcW w:w="1020" w:type="dxa"/>
          </w:tcPr>
          <w:p w14:paraId="6AF4A168" w14:textId="77777777" w:rsidR="00A60D4B" w:rsidRPr="00544DFD" w:rsidRDefault="00A60D4B" w:rsidP="00A60D4B">
            <w:pPr>
              <w:jc w:val="right"/>
              <w:rPr>
                <w:rFonts w:ascii="Calibri" w:hAnsi="Calibri" w:cs="Calibri"/>
                <w:b/>
                <w:bCs/>
                <w:color w:val="000000"/>
                <w:sz w:val="20"/>
                <w:szCs w:val="20"/>
              </w:rPr>
            </w:pPr>
            <w:r w:rsidRPr="00544DFD">
              <w:rPr>
                <w:rFonts w:ascii="Calibri" w:hAnsi="Calibri" w:cs="Calibri"/>
                <w:b/>
                <w:bCs/>
                <w:color w:val="000000"/>
                <w:sz w:val="20"/>
                <w:szCs w:val="20"/>
              </w:rPr>
              <w:t>892,024</w:t>
            </w:r>
          </w:p>
        </w:tc>
      </w:tr>
      <w:tr w:rsidR="00A60D4B" w14:paraId="1556B3C7" w14:textId="77777777" w:rsidTr="00A60D4B">
        <w:tc>
          <w:tcPr>
            <w:tcW w:w="2891" w:type="dxa"/>
            <w:vAlign w:val="bottom"/>
          </w:tcPr>
          <w:p w14:paraId="619A593B" w14:textId="77777777" w:rsidR="00A60D4B" w:rsidRDefault="00A60D4B" w:rsidP="00A60D4B">
            <w:r>
              <w:rPr>
                <w:rFonts w:ascii="Calibri" w:hAnsi="Calibri" w:cs="Calibri"/>
                <w:b/>
                <w:bCs/>
                <w:color w:val="000000"/>
                <w:sz w:val="20"/>
                <w:szCs w:val="20"/>
              </w:rPr>
              <w:t>Total</w:t>
            </w:r>
          </w:p>
        </w:tc>
        <w:tc>
          <w:tcPr>
            <w:tcW w:w="1020" w:type="dxa"/>
          </w:tcPr>
          <w:p w14:paraId="795E1195" w14:textId="77777777" w:rsidR="00A60D4B" w:rsidRPr="00544DFD" w:rsidRDefault="00A60D4B" w:rsidP="00A60D4B">
            <w:pPr>
              <w:jc w:val="right"/>
              <w:rPr>
                <w:rFonts w:ascii="Calibri" w:hAnsi="Calibri" w:cs="Calibri"/>
                <w:b/>
                <w:bCs/>
                <w:color w:val="000000"/>
                <w:sz w:val="20"/>
                <w:szCs w:val="20"/>
              </w:rPr>
            </w:pPr>
            <w:r w:rsidRPr="00544DFD">
              <w:rPr>
                <w:rFonts w:ascii="Calibri" w:hAnsi="Calibri" w:cs="Calibri"/>
                <w:b/>
                <w:bCs/>
                <w:color w:val="000000"/>
                <w:sz w:val="20"/>
                <w:szCs w:val="20"/>
              </w:rPr>
              <w:t>176,565</w:t>
            </w:r>
          </w:p>
        </w:tc>
        <w:tc>
          <w:tcPr>
            <w:tcW w:w="1020" w:type="dxa"/>
          </w:tcPr>
          <w:p w14:paraId="28D58993" w14:textId="77777777" w:rsidR="00A60D4B" w:rsidRPr="00544DFD" w:rsidRDefault="00A60D4B" w:rsidP="00A60D4B">
            <w:pPr>
              <w:jc w:val="right"/>
              <w:rPr>
                <w:rFonts w:ascii="Calibri" w:hAnsi="Calibri" w:cs="Calibri"/>
                <w:b/>
                <w:bCs/>
                <w:color w:val="000000"/>
                <w:sz w:val="20"/>
                <w:szCs w:val="20"/>
              </w:rPr>
            </w:pPr>
            <w:r w:rsidRPr="00544DFD">
              <w:rPr>
                <w:rFonts w:ascii="Calibri" w:hAnsi="Calibri" w:cs="Calibri"/>
                <w:b/>
                <w:bCs/>
                <w:color w:val="000000"/>
                <w:sz w:val="20"/>
                <w:szCs w:val="20"/>
              </w:rPr>
              <w:t>351,868</w:t>
            </w:r>
          </w:p>
        </w:tc>
        <w:tc>
          <w:tcPr>
            <w:tcW w:w="1020" w:type="dxa"/>
          </w:tcPr>
          <w:p w14:paraId="230B9D67" w14:textId="77777777" w:rsidR="00A60D4B" w:rsidRPr="00544DFD" w:rsidRDefault="00A60D4B" w:rsidP="00A60D4B">
            <w:pPr>
              <w:jc w:val="right"/>
              <w:rPr>
                <w:rFonts w:ascii="Calibri" w:hAnsi="Calibri" w:cs="Calibri"/>
                <w:b/>
                <w:bCs/>
                <w:color w:val="000000"/>
                <w:sz w:val="20"/>
                <w:szCs w:val="20"/>
              </w:rPr>
            </w:pPr>
            <w:r w:rsidRPr="00544DFD">
              <w:rPr>
                <w:rFonts w:ascii="Calibri" w:hAnsi="Calibri" w:cs="Calibri"/>
                <w:b/>
                <w:bCs/>
                <w:color w:val="000000"/>
                <w:sz w:val="20"/>
                <w:szCs w:val="20"/>
              </w:rPr>
              <w:t>336,536</w:t>
            </w:r>
          </w:p>
        </w:tc>
        <w:tc>
          <w:tcPr>
            <w:tcW w:w="1020" w:type="dxa"/>
          </w:tcPr>
          <w:p w14:paraId="0FA23976" w14:textId="77777777" w:rsidR="00A60D4B" w:rsidRPr="00544DFD" w:rsidRDefault="00A60D4B" w:rsidP="00A60D4B">
            <w:pPr>
              <w:jc w:val="right"/>
              <w:rPr>
                <w:rFonts w:ascii="Calibri" w:hAnsi="Calibri" w:cs="Calibri"/>
                <w:b/>
                <w:bCs/>
                <w:color w:val="000000"/>
                <w:sz w:val="20"/>
                <w:szCs w:val="20"/>
              </w:rPr>
            </w:pPr>
            <w:r w:rsidRPr="00544DFD">
              <w:rPr>
                <w:rFonts w:ascii="Calibri" w:hAnsi="Calibri" w:cs="Calibri"/>
                <w:b/>
                <w:bCs/>
                <w:color w:val="000000"/>
                <w:sz w:val="20"/>
                <w:szCs w:val="20"/>
              </w:rPr>
              <w:t>51,249</w:t>
            </w:r>
          </w:p>
        </w:tc>
        <w:tc>
          <w:tcPr>
            <w:tcW w:w="1020" w:type="dxa"/>
          </w:tcPr>
          <w:p w14:paraId="5D830A74" w14:textId="77777777" w:rsidR="00A60D4B" w:rsidRPr="00544DFD" w:rsidRDefault="00A60D4B" w:rsidP="00A60D4B">
            <w:pPr>
              <w:jc w:val="right"/>
              <w:rPr>
                <w:rFonts w:ascii="Calibri" w:hAnsi="Calibri" w:cs="Calibri"/>
                <w:b/>
                <w:bCs/>
                <w:color w:val="000000"/>
                <w:sz w:val="20"/>
                <w:szCs w:val="20"/>
              </w:rPr>
            </w:pPr>
            <w:r w:rsidRPr="00544DFD">
              <w:rPr>
                <w:rFonts w:ascii="Calibri" w:hAnsi="Calibri" w:cs="Calibri"/>
                <w:b/>
                <w:bCs/>
                <w:color w:val="000000"/>
                <w:sz w:val="20"/>
                <w:szCs w:val="20"/>
              </w:rPr>
              <w:t>4,217</w:t>
            </w:r>
          </w:p>
        </w:tc>
        <w:tc>
          <w:tcPr>
            <w:tcW w:w="1020" w:type="dxa"/>
          </w:tcPr>
          <w:p w14:paraId="0734F2E3" w14:textId="77777777" w:rsidR="00A60D4B" w:rsidRPr="00544DFD" w:rsidRDefault="00A60D4B" w:rsidP="00A60D4B">
            <w:pPr>
              <w:jc w:val="right"/>
              <w:rPr>
                <w:rFonts w:ascii="Calibri" w:hAnsi="Calibri" w:cs="Calibri"/>
                <w:b/>
                <w:bCs/>
                <w:color w:val="000000"/>
                <w:sz w:val="20"/>
                <w:szCs w:val="20"/>
              </w:rPr>
            </w:pPr>
            <w:r w:rsidRPr="00544DFD">
              <w:rPr>
                <w:rFonts w:ascii="Calibri" w:hAnsi="Calibri" w:cs="Calibri"/>
                <w:b/>
                <w:bCs/>
                <w:color w:val="000000"/>
                <w:sz w:val="20"/>
                <w:szCs w:val="20"/>
              </w:rPr>
              <w:t>920,435</w:t>
            </w:r>
          </w:p>
        </w:tc>
      </w:tr>
      <w:tr w:rsidR="00A60D4B" w14:paraId="145098E0" w14:textId="77777777" w:rsidTr="00A60D4B">
        <w:trPr>
          <w:trHeight w:val="397"/>
        </w:trPr>
        <w:tc>
          <w:tcPr>
            <w:tcW w:w="2891" w:type="dxa"/>
            <w:vAlign w:val="bottom"/>
          </w:tcPr>
          <w:p w14:paraId="3A3B8D72" w14:textId="77777777" w:rsidR="00A60D4B" w:rsidRDefault="00A60D4B" w:rsidP="00A60D4B">
            <w:r>
              <w:rPr>
                <w:rFonts w:ascii="Calibri" w:hAnsi="Calibri" w:cs="Calibri"/>
                <w:b/>
                <w:bCs/>
                <w:color w:val="000000"/>
                <w:sz w:val="20"/>
                <w:szCs w:val="20"/>
              </w:rPr>
              <w:t>Office of the Legislative Assembly</w:t>
            </w:r>
          </w:p>
        </w:tc>
        <w:tc>
          <w:tcPr>
            <w:tcW w:w="1020" w:type="dxa"/>
            <w:vAlign w:val="center"/>
          </w:tcPr>
          <w:p w14:paraId="19AE1214"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45F83D91"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5F5EB545"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4F5D10DA"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405C4D8B"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301798E0" w14:textId="77777777" w:rsidR="00A60D4B" w:rsidRDefault="00A60D4B" w:rsidP="00A60D4B">
            <w:pPr>
              <w:jc w:val="right"/>
            </w:pPr>
            <w:r>
              <w:rPr>
                <w:rFonts w:ascii="Calibri" w:hAnsi="Calibri" w:cs="Calibri"/>
                <w:color w:val="FFFFFF"/>
                <w:sz w:val="20"/>
                <w:szCs w:val="20"/>
              </w:rPr>
              <w:t>0</w:t>
            </w:r>
          </w:p>
        </w:tc>
      </w:tr>
      <w:tr w:rsidR="00A60D4B" w14:paraId="4BE934E5" w14:textId="77777777" w:rsidTr="00A60D4B">
        <w:tc>
          <w:tcPr>
            <w:tcW w:w="2891" w:type="dxa"/>
            <w:vAlign w:val="bottom"/>
          </w:tcPr>
          <w:p w14:paraId="7305987F" w14:textId="77777777" w:rsidR="00A60D4B" w:rsidRDefault="00A60D4B" w:rsidP="00A60D4B">
            <w:r>
              <w:rPr>
                <w:rFonts w:ascii="Calibri" w:hAnsi="Calibri" w:cs="Calibri"/>
                <w:color w:val="000000"/>
                <w:sz w:val="20"/>
                <w:szCs w:val="20"/>
              </w:rPr>
              <w:t>New Capital Works</w:t>
            </w:r>
          </w:p>
        </w:tc>
        <w:tc>
          <w:tcPr>
            <w:tcW w:w="1020" w:type="dxa"/>
            <w:vAlign w:val="center"/>
          </w:tcPr>
          <w:p w14:paraId="38B83926"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0E7527C5"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3F83768D"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3167CBBA"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75FF6380"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619929E6" w14:textId="77777777" w:rsidR="00A60D4B" w:rsidRDefault="00A60D4B" w:rsidP="00A60D4B">
            <w:pPr>
              <w:jc w:val="right"/>
            </w:pPr>
            <w:r>
              <w:rPr>
                <w:rFonts w:ascii="Calibri" w:hAnsi="Calibri" w:cs="Calibri"/>
                <w:b/>
                <w:bCs/>
                <w:color w:val="000000"/>
                <w:sz w:val="20"/>
                <w:szCs w:val="20"/>
              </w:rPr>
              <w:t>0</w:t>
            </w:r>
          </w:p>
        </w:tc>
      </w:tr>
      <w:tr w:rsidR="00A60D4B" w14:paraId="2E763DFD" w14:textId="77777777" w:rsidTr="00A60D4B">
        <w:tc>
          <w:tcPr>
            <w:tcW w:w="2891" w:type="dxa"/>
            <w:vAlign w:val="bottom"/>
          </w:tcPr>
          <w:p w14:paraId="4C9F14F3" w14:textId="77777777" w:rsidR="00A60D4B" w:rsidRDefault="00A60D4B" w:rsidP="00A60D4B">
            <w:r>
              <w:rPr>
                <w:rFonts w:ascii="Calibri" w:hAnsi="Calibri" w:cs="Calibri"/>
                <w:color w:val="000000"/>
                <w:sz w:val="20"/>
                <w:szCs w:val="20"/>
              </w:rPr>
              <w:t>Better Infrastructure Fund</w:t>
            </w:r>
          </w:p>
        </w:tc>
        <w:tc>
          <w:tcPr>
            <w:tcW w:w="1020" w:type="dxa"/>
            <w:vAlign w:val="center"/>
          </w:tcPr>
          <w:p w14:paraId="0DF38D5D" w14:textId="77777777" w:rsidR="00A60D4B" w:rsidRDefault="00A60D4B" w:rsidP="00A60D4B">
            <w:pPr>
              <w:jc w:val="right"/>
            </w:pPr>
            <w:r>
              <w:rPr>
                <w:rFonts w:ascii="Calibri" w:hAnsi="Calibri" w:cs="Calibri"/>
                <w:color w:val="000000"/>
                <w:sz w:val="20"/>
                <w:szCs w:val="20"/>
              </w:rPr>
              <w:t>292</w:t>
            </w:r>
          </w:p>
        </w:tc>
        <w:tc>
          <w:tcPr>
            <w:tcW w:w="1020" w:type="dxa"/>
            <w:vAlign w:val="center"/>
          </w:tcPr>
          <w:p w14:paraId="5382EF84" w14:textId="77777777" w:rsidR="00A60D4B" w:rsidRDefault="00A60D4B" w:rsidP="00A60D4B">
            <w:pPr>
              <w:jc w:val="right"/>
            </w:pPr>
            <w:r>
              <w:rPr>
                <w:rFonts w:ascii="Calibri" w:hAnsi="Calibri" w:cs="Calibri"/>
                <w:color w:val="000000"/>
                <w:sz w:val="20"/>
                <w:szCs w:val="20"/>
              </w:rPr>
              <w:t>299</w:t>
            </w:r>
          </w:p>
        </w:tc>
        <w:tc>
          <w:tcPr>
            <w:tcW w:w="1020" w:type="dxa"/>
            <w:vAlign w:val="center"/>
          </w:tcPr>
          <w:p w14:paraId="612B86C6" w14:textId="77777777" w:rsidR="00A60D4B" w:rsidRDefault="00A60D4B" w:rsidP="00A60D4B">
            <w:pPr>
              <w:jc w:val="right"/>
            </w:pPr>
            <w:r>
              <w:rPr>
                <w:rFonts w:ascii="Calibri" w:hAnsi="Calibri" w:cs="Calibri"/>
                <w:color w:val="000000"/>
                <w:sz w:val="20"/>
                <w:szCs w:val="20"/>
              </w:rPr>
              <w:t>307</w:t>
            </w:r>
          </w:p>
        </w:tc>
        <w:tc>
          <w:tcPr>
            <w:tcW w:w="1020" w:type="dxa"/>
            <w:vAlign w:val="center"/>
          </w:tcPr>
          <w:p w14:paraId="5DDE4261" w14:textId="77777777" w:rsidR="00A60D4B" w:rsidRDefault="00A60D4B" w:rsidP="00A60D4B">
            <w:pPr>
              <w:jc w:val="right"/>
            </w:pPr>
            <w:r>
              <w:rPr>
                <w:rFonts w:ascii="Calibri" w:hAnsi="Calibri" w:cs="Calibri"/>
                <w:color w:val="000000"/>
                <w:sz w:val="20"/>
                <w:szCs w:val="20"/>
              </w:rPr>
              <w:t>315</w:t>
            </w:r>
          </w:p>
        </w:tc>
        <w:tc>
          <w:tcPr>
            <w:tcW w:w="1020" w:type="dxa"/>
            <w:vAlign w:val="center"/>
          </w:tcPr>
          <w:p w14:paraId="32A56505" w14:textId="77777777" w:rsidR="00A60D4B" w:rsidRDefault="00A60D4B" w:rsidP="00A60D4B">
            <w:pPr>
              <w:jc w:val="right"/>
            </w:pPr>
            <w:r>
              <w:rPr>
                <w:rFonts w:ascii="Calibri" w:hAnsi="Calibri" w:cs="Calibri"/>
                <w:color w:val="000000"/>
                <w:sz w:val="20"/>
                <w:szCs w:val="20"/>
              </w:rPr>
              <w:t>323</w:t>
            </w:r>
          </w:p>
        </w:tc>
        <w:tc>
          <w:tcPr>
            <w:tcW w:w="1020" w:type="dxa"/>
            <w:vAlign w:val="center"/>
          </w:tcPr>
          <w:p w14:paraId="0E214C3B" w14:textId="77777777" w:rsidR="00A60D4B" w:rsidRDefault="00A60D4B" w:rsidP="00A60D4B">
            <w:pPr>
              <w:jc w:val="right"/>
            </w:pPr>
            <w:r>
              <w:rPr>
                <w:rFonts w:ascii="Calibri" w:hAnsi="Calibri" w:cs="Calibri"/>
                <w:b/>
                <w:bCs/>
                <w:color w:val="000000"/>
                <w:sz w:val="20"/>
                <w:szCs w:val="20"/>
              </w:rPr>
              <w:t>1,536</w:t>
            </w:r>
          </w:p>
        </w:tc>
      </w:tr>
      <w:tr w:rsidR="00A60D4B" w14:paraId="23644B20" w14:textId="77777777" w:rsidTr="00A60D4B">
        <w:tc>
          <w:tcPr>
            <w:tcW w:w="2891" w:type="dxa"/>
            <w:vAlign w:val="bottom"/>
          </w:tcPr>
          <w:p w14:paraId="0934E27D" w14:textId="77777777" w:rsidR="00A60D4B" w:rsidRDefault="00A60D4B" w:rsidP="00A60D4B">
            <w:r>
              <w:rPr>
                <w:rFonts w:ascii="Calibri" w:hAnsi="Calibri" w:cs="Calibri"/>
                <w:color w:val="000000"/>
                <w:sz w:val="20"/>
                <w:szCs w:val="20"/>
              </w:rPr>
              <w:t>Works-in-progress</w:t>
            </w:r>
          </w:p>
        </w:tc>
        <w:tc>
          <w:tcPr>
            <w:tcW w:w="1020" w:type="dxa"/>
            <w:vAlign w:val="center"/>
          </w:tcPr>
          <w:p w14:paraId="4CE18524" w14:textId="77777777" w:rsidR="00A60D4B" w:rsidRDefault="00A60D4B" w:rsidP="00A60D4B">
            <w:pPr>
              <w:jc w:val="right"/>
            </w:pPr>
            <w:r>
              <w:rPr>
                <w:rFonts w:ascii="Calibri" w:hAnsi="Calibri" w:cs="Calibri"/>
                <w:color w:val="000000"/>
                <w:sz w:val="20"/>
                <w:szCs w:val="20"/>
              </w:rPr>
              <w:t>35</w:t>
            </w:r>
          </w:p>
        </w:tc>
        <w:tc>
          <w:tcPr>
            <w:tcW w:w="1020" w:type="dxa"/>
            <w:vAlign w:val="center"/>
          </w:tcPr>
          <w:p w14:paraId="02BD849B" w14:textId="77777777" w:rsidR="00A60D4B" w:rsidRDefault="00A60D4B" w:rsidP="00A60D4B">
            <w:pPr>
              <w:jc w:val="right"/>
            </w:pPr>
            <w:r>
              <w:rPr>
                <w:rFonts w:ascii="Calibri" w:hAnsi="Calibri" w:cs="Calibri"/>
                <w:color w:val="000000"/>
                <w:sz w:val="20"/>
                <w:szCs w:val="20"/>
              </w:rPr>
              <w:t>35</w:t>
            </w:r>
          </w:p>
        </w:tc>
        <w:tc>
          <w:tcPr>
            <w:tcW w:w="1020" w:type="dxa"/>
            <w:vAlign w:val="center"/>
          </w:tcPr>
          <w:p w14:paraId="3B94EF92" w14:textId="77777777" w:rsidR="00A60D4B" w:rsidRDefault="00A60D4B" w:rsidP="00A60D4B">
            <w:pPr>
              <w:jc w:val="right"/>
            </w:pPr>
            <w:r>
              <w:rPr>
                <w:rFonts w:ascii="Calibri" w:hAnsi="Calibri" w:cs="Calibri"/>
                <w:color w:val="000000"/>
                <w:sz w:val="20"/>
                <w:szCs w:val="20"/>
              </w:rPr>
              <w:t>35</w:t>
            </w:r>
          </w:p>
        </w:tc>
        <w:tc>
          <w:tcPr>
            <w:tcW w:w="1020" w:type="dxa"/>
            <w:vAlign w:val="center"/>
          </w:tcPr>
          <w:p w14:paraId="5BB795E5" w14:textId="77777777" w:rsidR="00A60D4B" w:rsidRDefault="00A60D4B" w:rsidP="00A60D4B">
            <w:pPr>
              <w:jc w:val="right"/>
            </w:pPr>
            <w:r>
              <w:rPr>
                <w:rFonts w:ascii="Calibri" w:hAnsi="Calibri" w:cs="Calibri"/>
                <w:color w:val="000000"/>
                <w:sz w:val="20"/>
                <w:szCs w:val="20"/>
              </w:rPr>
              <w:t>35</w:t>
            </w:r>
          </w:p>
        </w:tc>
        <w:tc>
          <w:tcPr>
            <w:tcW w:w="1020" w:type="dxa"/>
            <w:vAlign w:val="center"/>
          </w:tcPr>
          <w:p w14:paraId="2CFE6B94" w14:textId="77777777" w:rsidR="00A60D4B" w:rsidRDefault="00A60D4B" w:rsidP="00A60D4B">
            <w:pPr>
              <w:jc w:val="right"/>
            </w:pPr>
            <w:r>
              <w:rPr>
                <w:rFonts w:ascii="Calibri" w:hAnsi="Calibri" w:cs="Calibri"/>
                <w:color w:val="000000"/>
                <w:sz w:val="20"/>
                <w:szCs w:val="20"/>
              </w:rPr>
              <w:t>35</w:t>
            </w:r>
          </w:p>
        </w:tc>
        <w:tc>
          <w:tcPr>
            <w:tcW w:w="1020" w:type="dxa"/>
            <w:vAlign w:val="center"/>
          </w:tcPr>
          <w:p w14:paraId="3771CA22" w14:textId="77777777" w:rsidR="00A60D4B" w:rsidRDefault="00A60D4B" w:rsidP="00A60D4B">
            <w:pPr>
              <w:jc w:val="right"/>
            </w:pPr>
            <w:r>
              <w:rPr>
                <w:rFonts w:ascii="Calibri" w:hAnsi="Calibri" w:cs="Calibri"/>
                <w:b/>
                <w:bCs/>
                <w:color w:val="000000"/>
                <w:sz w:val="20"/>
                <w:szCs w:val="20"/>
              </w:rPr>
              <w:t>175</w:t>
            </w:r>
          </w:p>
        </w:tc>
      </w:tr>
      <w:tr w:rsidR="00A60D4B" w14:paraId="7593DB97" w14:textId="77777777" w:rsidTr="00A60D4B">
        <w:tc>
          <w:tcPr>
            <w:tcW w:w="2891" w:type="dxa"/>
            <w:vAlign w:val="bottom"/>
          </w:tcPr>
          <w:p w14:paraId="59A2DD1F" w14:textId="77777777" w:rsidR="00A60D4B" w:rsidRDefault="00A60D4B" w:rsidP="00A60D4B">
            <w:r>
              <w:rPr>
                <w:rFonts w:ascii="Calibri" w:hAnsi="Calibri" w:cs="Calibri"/>
                <w:b/>
                <w:bCs/>
                <w:color w:val="000000"/>
                <w:sz w:val="20"/>
                <w:szCs w:val="20"/>
              </w:rPr>
              <w:t>Total</w:t>
            </w:r>
          </w:p>
        </w:tc>
        <w:tc>
          <w:tcPr>
            <w:tcW w:w="1020" w:type="dxa"/>
            <w:vAlign w:val="center"/>
          </w:tcPr>
          <w:p w14:paraId="5809C793" w14:textId="77777777" w:rsidR="00A60D4B" w:rsidRDefault="00A60D4B" w:rsidP="00A60D4B">
            <w:pPr>
              <w:jc w:val="right"/>
            </w:pPr>
            <w:r>
              <w:rPr>
                <w:rFonts w:ascii="Calibri" w:hAnsi="Calibri" w:cs="Calibri"/>
                <w:b/>
                <w:bCs/>
                <w:color w:val="000000"/>
                <w:sz w:val="20"/>
                <w:szCs w:val="20"/>
              </w:rPr>
              <w:t>327</w:t>
            </w:r>
          </w:p>
        </w:tc>
        <w:tc>
          <w:tcPr>
            <w:tcW w:w="1020" w:type="dxa"/>
            <w:vAlign w:val="center"/>
          </w:tcPr>
          <w:p w14:paraId="0A3A4007" w14:textId="77777777" w:rsidR="00A60D4B" w:rsidRDefault="00A60D4B" w:rsidP="00A60D4B">
            <w:pPr>
              <w:jc w:val="right"/>
            </w:pPr>
            <w:r>
              <w:rPr>
                <w:rFonts w:ascii="Calibri" w:hAnsi="Calibri" w:cs="Calibri"/>
                <w:b/>
                <w:bCs/>
                <w:color w:val="000000"/>
                <w:sz w:val="20"/>
                <w:szCs w:val="20"/>
              </w:rPr>
              <w:t>334</w:t>
            </w:r>
          </w:p>
        </w:tc>
        <w:tc>
          <w:tcPr>
            <w:tcW w:w="1020" w:type="dxa"/>
            <w:vAlign w:val="center"/>
          </w:tcPr>
          <w:p w14:paraId="77B6F60D" w14:textId="77777777" w:rsidR="00A60D4B" w:rsidRDefault="00A60D4B" w:rsidP="00A60D4B">
            <w:pPr>
              <w:jc w:val="right"/>
            </w:pPr>
            <w:r>
              <w:rPr>
                <w:rFonts w:ascii="Calibri" w:hAnsi="Calibri" w:cs="Calibri"/>
                <w:b/>
                <w:bCs/>
                <w:color w:val="000000"/>
                <w:sz w:val="20"/>
                <w:szCs w:val="20"/>
              </w:rPr>
              <w:t>342</w:t>
            </w:r>
          </w:p>
        </w:tc>
        <w:tc>
          <w:tcPr>
            <w:tcW w:w="1020" w:type="dxa"/>
            <w:vAlign w:val="center"/>
          </w:tcPr>
          <w:p w14:paraId="410A42B0" w14:textId="77777777" w:rsidR="00A60D4B" w:rsidRDefault="00A60D4B" w:rsidP="00A60D4B">
            <w:pPr>
              <w:jc w:val="right"/>
            </w:pPr>
            <w:r>
              <w:rPr>
                <w:rFonts w:ascii="Calibri" w:hAnsi="Calibri" w:cs="Calibri"/>
                <w:b/>
                <w:bCs/>
                <w:color w:val="000000"/>
                <w:sz w:val="20"/>
                <w:szCs w:val="20"/>
              </w:rPr>
              <w:t>350</w:t>
            </w:r>
          </w:p>
        </w:tc>
        <w:tc>
          <w:tcPr>
            <w:tcW w:w="1020" w:type="dxa"/>
            <w:vAlign w:val="center"/>
          </w:tcPr>
          <w:p w14:paraId="41AD3E6B" w14:textId="77777777" w:rsidR="00A60D4B" w:rsidRDefault="00A60D4B" w:rsidP="00A60D4B">
            <w:pPr>
              <w:jc w:val="right"/>
            </w:pPr>
            <w:r>
              <w:rPr>
                <w:rFonts w:ascii="Calibri" w:hAnsi="Calibri" w:cs="Calibri"/>
                <w:b/>
                <w:bCs/>
                <w:color w:val="000000"/>
                <w:sz w:val="20"/>
                <w:szCs w:val="20"/>
              </w:rPr>
              <w:t>358</w:t>
            </w:r>
          </w:p>
        </w:tc>
        <w:tc>
          <w:tcPr>
            <w:tcW w:w="1020" w:type="dxa"/>
            <w:vAlign w:val="center"/>
          </w:tcPr>
          <w:p w14:paraId="2E40589A" w14:textId="77777777" w:rsidR="00A60D4B" w:rsidRDefault="00A60D4B" w:rsidP="00A60D4B">
            <w:pPr>
              <w:jc w:val="right"/>
            </w:pPr>
            <w:r>
              <w:rPr>
                <w:rFonts w:ascii="Calibri" w:hAnsi="Calibri" w:cs="Calibri"/>
                <w:b/>
                <w:bCs/>
                <w:color w:val="000000"/>
                <w:sz w:val="20"/>
                <w:szCs w:val="20"/>
              </w:rPr>
              <w:t>1,711</w:t>
            </w:r>
          </w:p>
        </w:tc>
      </w:tr>
      <w:tr w:rsidR="00A60D4B" w14:paraId="68A04BA3" w14:textId="77777777" w:rsidTr="00A60D4B">
        <w:trPr>
          <w:trHeight w:val="624"/>
        </w:trPr>
        <w:tc>
          <w:tcPr>
            <w:tcW w:w="2891" w:type="dxa"/>
            <w:vAlign w:val="bottom"/>
          </w:tcPr>
          <w:p w14:paraId="445C3348" w14:textId="77777777" w:rsidR="00A60D4B" w:rsidRDefault="00A60D4B" w:rsidP="00A60D4B">
            <w:r>
              <w:rPr>
                <w:rFonts w:ascii="Calibri" w:hAnsi="Calibri" w:cs="Calibri"/>
                <w:b/>
                <w:bCs/>
                <w:color w:val="000000"/>
                <w:sz w:val="20"/>
                <w:szCs w:val="20"/>
              </w:rPr>
              <w:t>Office of the Work Health and Safety Commissioner</w:t>
            </w:r>
          </w:p>
        </w:tc>
        <w:tc>
          <w:tcPr>
            <w:tcW w:w="1020" w:type="dxa"/>
            <w:vAlign w:val="center"/>
          </w:tcPr>
          <w:p w14:paraId="20281BB6"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3DBBE4B1"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6C413064"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1BEA6138"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09A0629C"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68F3B62A" w14:textId="77777777" w:rsidR="00A60D4B" w:rsidRDefault="00A60D4B" w:rsidP="00A60D4B">
            <w:pPr>
              <w:jc w:val="right"/>
            </w:pPr>
            <w:r>
              <w:rPr>
                <w:rFonts w:ascii="Calibri" w:hAnsi="Calibri" w:cs="Calibri"/>
                <w:color w:val="FFFFFF"/>
                <w:sz w:val="20"/>
                <w:szCs w:val="20"/>
              </w:rPr>
              <w:t>0</w:t>
            </w:r>
          </w:p>
        </w:tc>
      </w:tr>
      <w:tr w:rsidR="00A60D4B" w14:paraId="34C312D7" w14:textId="77777777" w:rsidTr="00A60D4B">
        <w:tc>
          <w:tcPr>
            <w:tcW w:w="2891" w:type="dxa"/>
            <w:vAlign w:val="bottom"/>
          </w:tcPr>
          <w:p w14:paraId="68829902" w14:textId="77777777" w:rsidR="00A60D4B" w:rsidRDefault="00A60D4B" w:rsidP="00A60D4B">
            <w:r>
              <w:rPr>
                <w:rFonts w:ascii="Calibri" w:hAnsi="Calibri" w:cs="Calibri"/>
                <w:color w:val="000000"/>
                <w:sz w:val="20"/>
                <w:szCs w:val="20"/>
              </w:rPr>
              <w:t>New Capital Works</w:t>
            </w:r>
          </w:p>
        </w:tc>
        <w:tc>
          <w:tcPr>
            <w:tcW w:w="1020" w:type="dxa"/>
            <w:vAlign w:val="center"/>
          </w:tcPr>
          <w:p w14:paraId="7534D809" w14:textId="77777777" w:rsidR="00A60D4B" w:rsidRDefault="00A60D4B" w:rsidP="00A60D4B">
            <w:pPr>
              <w:jc w:val="right"/>
            </w:pPr>
            <w:r>
              <w:rPr>
                <w:rFonts w:ascii="Calibri" w:hAnsi="Calibri" w:cs="Calibri"/>
                <w:color w:val="000000"/>
                <w:sz w:val="20"/>
                <w:szCs w:val="20"/>
              </w:rPr>
              <w:t>350</w:t>
            </w:r>
          </w:p>
        </w:tc>
        <w:tc>
          <w:tcPr>
            <w:tcW w:w="1020" w:type="dxa"/>
            <w:vAlign w:val="center"/>
          </w:tcPr>
          <w:p w14:paraId="0750CA35"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416A0D53"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1C8DFA3A"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0DC54B14"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64DE0718" w14:textId="77777777" w:rsidR="00A60D4B" w:rsidRDefault="00A60D4B" w:rsidP="00A60D4B">
            <w:pPr>
              <w:jc w:val="right"/>
            </w:pPr>
            <w:r>
              <w:rPr>
                <w:rFonts w:ascii="Calibri" w:hAnsi="Calibri" w:cs="Calibri"/>
                <w:b/>
                <w:bCs/>
                <w:color w:val="000000"/>
                <w:sz w:val="20"/>
                <w:szCs w:val="20"/>
              </w:rPr>
              <w:t>350</w:t>
            </w:r>
          </w:p>
        </w:tc>
      </w:tr>
      <w:tr w:rsidR="00A60D4B" w14:paraId="2162D1F2" w14:textId="77777777" w:rsidTr="00A60D4B">
        <w:tc>
          <w:tcPr>
            <w:tcW w:w="2891" w:type="dxa"/>
            <w:vAlign w:val="bottom"/>
          </w:tcPr>
          <w:p w14:paraId="3AB683E5" w14:textId="77777777" w:rsidR="00A60D4B" w:rsidRDefault="00A60D4B" w:rsidP="00A60D4B">
            <w:r>
              <w:rPr>
                <w:rFonts w:ascii="Calibri" w:hAnsi="Calibri" w:cs="Calibri"/>
                <w:color w:val="000000"/>
                <w:sz w:val="20"/>
                <w:szCs w:val="20"/>
              </w:rPr>
              <w:t>Better Infrastructure Fund</w:t>
            </w:r>
          </w:p>
        </w:tc>
        <w:tc>
          <w:tcPr>
            <w:tcW w:w="1020" w:type="dxa"/>
            <w:vAlign w:val="center"/>
          </w:tcPr>
          <w:p w14:paraId="06EEAE1A"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0D99E0FB"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6358C63D"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5FB9EFD2"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7B322713"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4E11F14C" w14:textId="77777777" w:rsidR="00A60D4B" w:rsidRDefault="00A60D4B" w:rsidP="00A60D4B">
            <w:pPr>
              <w:jc w:val="right"/>
            </w:pPr>
            <w:r>
              <w:rPr>
                <w:rFonts w:ascii="Calibri" w:hAnsi="Calibri" w:cs="Calibri"/>
                <w:b/>
                <w:bCs/>
                <w:color w:val="000000"/>
                <w:sz w:val="20"/>
                <w:szCs w:val="20"/>
              </w:rPr>
              <w:t>0</w:t>
            </w:r>
          </w:p>
        </w:tc>
      </w:tr>
      <w:tr w:rsidR="00A60D4B" w14:paraId="1B41E289" w14:textId="77777777" w:rsidTr="00A60D4B">
        <w:tc>
          <w:tcPr>
            <w:tcW w:w="2891" w:type="dxa"/>
            <w:vAlign w:val="bottom"/>
          </w:tcPr>
          <w:p w14:paraId="671CE284" w14:textId="77777777" w:rsidR="00A60D4B" w:rsidRDefault="00A60D4B" w:rsidP="00A60D4B">
            <w:r>
              <w:rPr>
                <w:rFonts w:ascii="Calibri" w:hAnsi="Calibri" w:cs="Calibri"/>
                <w:color w:val="000000"/>
                <w:sz w:val="20"/>
                <w:szCs w:val="20"/>
              </w:rPr>
              <w:t>Works-in-progress</w:t>
            </w:r>
          </w:p>
        </w:tc>
        <w:tc>
          <w:tcPr>
            <w:tcW w:w="1020" w:type="dxa"/>
            <w:vAlign w:val="center"/>
          </w:tcPr>
          <w:p w14:paraId="5A2AC53B"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35DD5C20"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0823FC7D"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6799F81D"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18D04CED" w14:textId="77777777" w:rsidR="00A60D4B" w:rsidRDefault="00A60D4B" w:rsidP="00A60D4B">
            <w:pPr>
              <w:jc w:val="right"/>
            </w:pPr>
            <w:r>
              <w:rPr>
                <w:rFonts w:ascii="Calibri" w:hAnsi="Calibri" w:cs="Calibri"/>
                <w:color w:val="000000"/>
                <w:sz w:val="20"/>
                <w:szCs w:val="20"/>
              </w:rPr>
              <w:t>0</w:t>
            </w:r>
          </w:p>
        </w:tc>
        <w:tc>
          <w:tcPr>
            <w:tcW w:w="1020" w:type="dxa"/>
            <w:vAlign w:val="center"/>
          </w:tcPr>
          <w:p w14:paraId="0A23D227" w14:textId="77777777" w:rsidR="00A60D4B" w:rsidRDefault="00A60D4B" w:rsidP="00A60D4B">
            <w:pPr>
              <w:jc w:val="right"/>
            </w:pPr>
            <w:r>
              <w:rPr>
                <w:rFonts w:ascii="Calibri" w:hAnsi="Calibri" w:cs="Calibri"/>
                <w:b/>
                <w:bCs/>
                <w:color w:val="000000"/>
                <w:sz w:val="20"/>
                <w:szCs w:val="20"/>
              </w:rPr>
              <w:t>0</w:t>
            </w:r>
          </w:p>
        </w:tc>
      </w:tr>
      <w:tr w:rsidR="00A60D4B" w14:paraId="3E7CBE6C" w14:textId="77777777" w:rsidTr="00A60D4B">
        <w:tc>
          <w:tcPr>
            <w:tcW w:w="2891" w:type="dxa"/>
            <w:vAlign w:val="bottom"/>
          </w:tcPr>
          <w:p w14:paraId="499C565E" w14:textId="77777777" w:rsidR="00A60D4B" w:rsidRDefault="00A60D4B" w:rsidP="00A60D4B">
            <w:r>
              <w:rPr>
                <w:rFonts w:ascii="Calibri" w:hAnsi="Calibri" w:cs="Calibri"/>
                <w:b/>
                <w:bCs/>
                <w:color w:val="000000"/>
                <w:sz w:val="20"/>
                <w:szCs w:val="20"/>
              </w:rPr>
              <w:t>Total</w:t>
            </w:r>
          </w:p>
        </w:tc>
        <w:tc>
          <w:tcPr>
            <w:tcW w:w="1020" w:type="dxa"/>
            <w:vAlign w:val="center"/>
          </w:tcPr>
          <w:p w14:paraId="0DAA419F" w14:textId="77777777" w:rsidR="00A60D4B" w:rsidRDefault="00A60D4B" w:rsidP="00A60D4B">
            <w:pPr>
              <w:jc w:val="right"/>
            </w:pPr>
            <w:r>
              <w:rPr>
                <w:rFonts w:ascii="Calibri" w:hAnsi="Calibri" w:cs="Calibri"/>
                <w:b/>
                <w:bCs/>
                <w:color w:val="000000"/>
                <w:sz w:val="20"/>
                <w:szCs w:val="20"/>
              </w:rPr>
              <w:t>350</w:t>
            </w:r>
          </w:p>
        </w:tc>
        <w:tc>
          <w:tcPr>
            <w:tcW w:w="1020" w:type="dxa"/>
            <w:vAlign w:val="center"/>
          </w:tcPr>
          <w:p w14:paraId="57A432B3" w14:textId="77777777" w:rsidR="00A60D4B" w:rsidRDefault="00A60D4B" w:rsidP="00A60D4B">
            <w:pPr>
              <w:jc w:val="right"/>
            </w:pPr>
            <w:r>
              <w:rPr>
                <w:rFonts w:ascii="Calibri" w:hAnsi="Calibri" w:cs="Calibri"/>
                <w:b/>
                <w:bCs/>
                <w:color w:val="000000"/>
                <w:sz w:val="20"/>
                <w:szCs w:val="20"/>
              </w:rPr>
              <w:t>0</w:t>
            </w:r>
          </w:p>
        </w:tc>
        <w:tc>
          <w:tcPr>
            <w:tcW w:w="1020" w:type="dxa"/>
            <w:vAlign w:val="center"/>
          </w:tcPr>
          <w:p w14:paraId="5139D0DF" w14:textId="77777777" w:rsidR="00A60D4B" w:rsidRDefault="00A60D4B" w:rsidP="00A60D4B">
            <w:pPr>
              <w:jc w:val="right"/>
            </w:pPr>
            <w:r>
              <w:rPr>
                <w:rFonts w:ascii="Calibri" w:hAnsi="Calibri" w:cs="Calibri"/>
                <w:b/>
                <w:bCs/>
                <w:color w:val="000000"/>
                <w:sz w:val="20"/>
                <w:szCs w:val="20"/>
              </w:rPr>
              <w:t>0</w:t>
            </w:r>
          </w:p>
        </w:tc>
        <w:tc>
          <w:tcPr>
            <w:tcW w:w="1020" w:type="dxa"/>
            <w:vAlign w:val="center"/>
          </w:tcPr>
          <w:p w14:paraId="320EDEAB" w14:textId="77777777" w:rsidR="00A60D4B" w:rsidRDefault="00A60D4B" w:rsidP="00A60D4B">
            <w:pPr>
              <w:jc w:val="right"/>
            </w:pPr>
            <w:r>
              <w:rPr>
                <w:rFonts w:ascii="Calibri" w:hAnsi="Calibri" w:cs="Calibri"/>
                <w:b/>
                <w:bCs/>
                <w:color w:val="000000"/>
                <w:sz w:val="20"/>
                <w:szCs w:val="20"/>
              </w:rPr>
              <w:t>0</w:t>
            </w:r>
          </w:p>
        </w:tc>
        <w:tc>
          <w:tcPr>
            <w:tcW w:w="1020" w:type="dxa"/>
            <w:vAlign w:val="center"/>
          </w:tcPr>
          <w:p w14:paraId="7F810FEC" w14:textId="77777777" w:rsidR="00A60D4B" w:rsidRDefault="00A60D4B" w:rsidP="00A60D4B">
            <w:pPr>
              <w:jc w:val="right"/>
            </w:pPr>
            <w:r>
              <w:rPr>
                <w:rFonts w:ascii="Calibri" w:hAnsi="Calibri" w:cs="Calibri"/>
                <w:b/>
                <w:bCs/>
                <w:color w:val="000000"/>
                <w:sz w:val="20"/>
                <w:szCs w:val="20"/>
              </w:rPr>
              <w:t>0</w:t>
            </w:r>
          </w:p>
        </w:tc>
        <w:tc>
          <w:tcPr>
            <w:tcW w:w="1020" w:type="dxa"/>
            <w:vAlign w:val="center"/>
          </w:tcPr>
          <w:p w14:paraId="154CCDB8" w14:textId="77777777" w:rsidR="00A60D4B" w:rsidRDefault="00A60D4B" w:rsidP="00A60D4B">
            <w:pPr>
              <w:jc w:val="right"/>
            </w:pPr>
            <w:r>
              <w:rPr>
                <w:rFonts w:ascii="Calibri" w:hAnsi="Calibri" w:cs="Calibri"/>
                <w:b/>
                <w:bCs/>
                <w:color w:val="000000"/>
                <w:sz w:val="20"/>
                <w:szCs w:val="20"/>
              </w:rPr>
              <w:t>350</w:t>
            </w:r>
          </w:p>
        </w:tc>
      </w:tr>
      <w:tr w:rsidR="00A60D4B" w14:paraId="4913816C" w14:textId="77777777" w:rsidTr="00A60D4B">
        <w:trPr>
          <w:trHeight w:val="624"/>
        </w:trPr>
        <w:tc>
          <w:tcPr>
            <w:tcW w:w="2891" w:type="dxa"/>
            <w:vAlign w:val="bottom"/>
          </w:tcPr>
          <w:p w14:paraId="52A20003" w14:textId="77777777" w:rsidR="00A60D4B" w:rsidRDefault="00A60D4B" w:rsidP="00A60D4B">
            <w:r>
              <w:rPr>
                <w:rFonts w:ascii="Calibri" w:hAnsi="Calibri" w:cs="Calibri"/>
                <w:b/>
                <w:bCs/>
                <w:color w:val="000000"/>
                <w:sz w:val="20"/>
                <w:szCs w:val="20"/>
              </w:rPr>
              <w:t>Transport Canberra and City Services Directorate</w:t>
            </w:r>
          </w:p>
        </w:tc>
        <w:tc>
          <w:tcPr>
            <w:tcW w:w="1020" w:type="dxa"/>
            <w:vAlign w:val="center"/>
          </w:tcPr>
          <w:p w14:paraId="2BE75792"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651745C4"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48DC6637"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4A4A290B"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1A155567"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3F7A120E" w14:textId="77777777" w:rsidR="00A60D4B" w:rsidRDefault="00A60D4B" w:rsidP="00A60D4B">
            <w:pPr>
              <w:jc w:val="right"/>
            </w:pPr>
            <w:r>
              <w:rPr>
                <w:rFonts w:ascii="Calibri" w:hAnsi="Calibri" w:cs="Calibri"/>
                <w:color w:val="FFFFFF"/>
                <w:sz w:val="20"/>
                <w:szCs w:val="20"/>
              </w:rPr>
              <w:t>0</w:t>
            </w:r>
          </w:p>
        </w:tc>
      </w:tr>
      <w:tr w:rsidR="00A60D4B" w14:paraId="086BFD21" w14:textId="77777777" w:rsidTr="00A60D4B">
        <w:tc>
          <w:tcPr>
            <w:tcW w:w="2891" w:type="dxa"/>
            <w:vAlign w:val="bottom"/>
          </w:tcPr>
          <w:p w14:paraId="0C58DA03" w14:textId="77777777" w:rsidR="00A60D4B" w:rsidRDefault="00A60D4B" w:rsidP="00A60D4B">
            <w:r>
              <w:rPr>
                <w:rFonts w:ascii="Calibri" w:hAnsi="Calibri" w:cs="Calibri"/>
                <w:color w:val="000000"/>
                <w:sz w:val="20"/>
                <w:szCs w:val="20"/>
              </w:rPr>
              <w:t>New Capital Works</w:t>
            </w:r>
          </w:p>
        </w:tc>
        <w:tc>
          <w:tcPr>
            <w:tcW w:w="1020" w:type="dxa"/>
            <w:vAlign w:val="center"/>
          </w:tcPr>
          <w:p w14:paraId="47B06D65" w14:textId="77777777" w:rsidR="00A60D4B" w:rsidRDefault="00A60D4B" w:rsidP="00A60D4B">
            <w:pPr>
              <w:jc w:val="right"/>
            </w:pPr>
            <w:r>
              <w:rPr>
                <w:rFonts w:ascii="Calibri" w:hAnsi="Calibri" w:cs="Calibri"/>
                <w:color w:val="000000"/>
                <w:sz w:val="20"/>
                <w:szCs w:val="20"/>
              </w:rPr>
              <w:t>21,645</w:t>
            </w:r>
          </w:p>
        </w:tc>
        <w:tc>
          <w:tcPr>
            <w:tcW w:w="1020" w:type="dxa"/>
            <w:vAlign w:val="center"/>
          </w:tcPr>
          <w:p w14:paraId="5661A065" w14:textId="77777777" w:rsidR="00A60D4B" w:rsidRDefault="00A60D4B" w:rsidP="00A60D4B">
            <w:pPr>
              <w:jc w:val="right"/>
            </w:pPr>
            <w:r>
              <w:rPr>
                <w:rFonts w:ascii="Calibri" w:hAnsi="Calibri" w:cs="Calibri"/>
                <w:color w:val="000000"/>
                <w:sz w:val="20"/>
                <w:szCs w:val="20"/>
              </w:rPr>
              <w:t>59,052</w:t>
            </w:r>
          </w:p>
        </w:tc>
        <w:tc>
          <w:tcPr>
            <w:tcW w:w="1020" w:type="dxa"/>
            <w:vAlign w:val="center"/>
          </w:tcPr>
          <w:p w14:paraId="7A532153" w14:textId="77777777" w:rsidR="00A60D4B" w:rsidRDefault="00A60D4B" w:rsidP="00A60D4B">
            <w:pPr>
              <w:jc w:val="right"/>
            </w:pPr>
            <w:r>
              <w:rPr>
                <w:rFonts w:ascii="Calibri" w:hAnsi="Calibri" w:cs="Calibri"/>
                <w:color w:val="000000"/>
                <w:sz w:val="20"/>
                <w:szCs w:val="20"/>
              </w:rPr>
              <w:t>67,783</w:t>
            </w:r>
          </w:p>
        </w:tc>
        <w:tc>
          <w:tcPr>
            <w:tcW w:w="1020" w:type="dxa"/>
            <w:vAlign w:val="center"/>
          </w:tcPr>
          <w:p w14:paraId="623256CD" w14:textId="77777777" w:rsidR="00A60D4B" w:rsidRDefault="00A60D4B" w:rsidP="00A60D4B">
            <w:pPr>
              <w:jc w:val="right"/>
            </w:pPr>
            <w:r>
              <w:rPr>
                <w:rFonts w:ascii="Calibri" w:hAnsi="Calibri" w:cs="Calibri"/>
                <w:color w:val="000000"/>
                <w:sz w:val="20"/>
                <w:szCs w:val="20"/>
              </w:rPr>
              <w:t>89,870</w:t>
            </w:r>
          </w:p>
        </w:tc>
        <w:tc>
          <w:tcPr>
            <w:tcW w:w="1020" w:type="dxa"/>
            <w:vAlign w:val="center"/>
          </w:tcPr>
          <w:p w14:paraId="4038D4CF" w14:textId="77777777" w:rsidR="00A60D4B" w:rsidRDefault="00A60D4B" w:rsidP="00A60D4B">
            <w:pPr>
              <w:jc w:val="right"/>
            </w:pPr>
            <w:r>
              <w:rPr>
                <w:rFonts w:ascii="Calibri" w:hAnsi="Calibri" w:cs="Calibri"/>
                <w:color w:val="000000"/>
                <w:sz w:val="20"/>
                <w:szCs w:val="20"/>
              </w:rPr>
              <w:t>23,600</w:t>
            </w:r>
          </w:p>
        </w:tc>
        <w:tc>
          <w:tcPr>
            <w:tcW w:w="1020" w:type="dxa"/>
            <w:vAlign w:val="center"/>
          </w:tcPr>
          <w:p w14:paraId="5F48D6F9" w14:textId="77777777" w:rsidR="00A60D4B" w:rsidRDefault="00A60D4B" w:rsidP="00A60D4B">
            <w:pPr>
              <w:jc w:val="right"/>
            </w:pPr>
            <w:r>
              <w:rPr>
                <w:rFonts w:ascii="Calibri" w:hAnsi="Calibri" w:cs="Calibri"/>
                <w:b/>
                <w:bCs/>
                <w:color w:val="000000"/>
                <w:sz w:val="20"/>
                <w:szCs w:val="20"/>
              </w:rPr>
              <w:t>261,950</w:t>
            </w:r>
          </w:p>
        </w:tc>
      </w:tr>
      <w:tr w:rsidR="00A60D4B" w14:paraId="31358805" w14:textId="77777777" w:rsidTr="00A60D4B">
        <w:tc>
          <w:tcPr>
            <w:tcW w:w="2891" w:type="dxa"/>
            <w:vAlign w:val="bottom"/>
          </w:tcPr>
          <w:p w14:paraId="31DA9954" w14:textId="77777777" w:rsidR="00A60D4B" w:rsidRDefault="00A60D4B" w:rsidP="00A60D4B">
            <w:r>
              <w:rPr>
                <w:rFonts w:ascii="Calibri" w:hAnsi="Calibri" w:cs="Calibri"/>
                <w:color w:val="000000"/>
                <w:sz w:val="20"/>
                <w:szCs w:val="20"/>
              </w:rPr>
              <w:t>Better Infrastructure Fund</w:t>
            </w:r>
          </w:p>
        </w:tc>
        <w:tc>
          <w:tcPr>
            <w:tcW w:w="1020" w:type="dxa"/>
            <w:vAlign w:val="center"/>
          </w:tcPr>
          <w:p w14:paraId="2A390A27" w14:textId="77777777" w:rsidR="00A60D4B" w:rsidRDefault="00A60D4B" w:rsidP="00A60D4B">
            <w:pPr>
              <w:jc w:val="right"/>
            </w:pPr>
            <w:r>
              <w:rPr>
                <w:rFonts w:ascii="Calibri" w:hAnsi="Calibri" w:cs="Calibri"/>
                <w:color w:val="000000"/>
                <w:sz w:val="20"/>
                <w:szCs w:val="20"/>
              </w:rPr>
              <w:t>31,834</w:t>
            </w:r>
          </w:p>
        </w:tc>
        <w:tc>
          <w:tcPr>
            <w:tcW w:w="1020" w:type="dxa"/>
            <w:vAlign w:val="center"/>
          </w:tcPr>
          <w:p w14:paraId="69473D74" w14:textId="77777777" w:rsidR="00A60D4B" w:rsidRDefault="00A60D4B" w:rsidP="00A60D4B">
            <w:pPr>
              <w:jc w:val="right"/>
            </w:pPr>
            <w:r>
              <w:rPr>
                <w:rFonts w:ascii="Calibri" w:hAnsi="Calibri" w:cs="Calibri"/>
                <w:color w:val="000000"/>
                <w:sz w:val="20"/>
                <w:szCs w:val="20"/>
              </w:rPr>
              <w:t>26,043</w:t>
            </w:r>
          </w:p>
        </w:tc>
        <w:tc>
          <w:tcPr>
            <w:tcW w:w="1020" w:type="dxa"/>
            <w:vAlign w:val="center"/>
          </w:tcPr>
          <w:p w14:paraId="6D0D6953" w14:textId="77777777" w:rsidR="00A60D4B" w:rsidRDefault="00A60D4B" w:rsidP="00A60D4B">
            <w:pPr>
              <w:jc w:val="right"/>
            </w:pPr>
            <w:r>
              <w:rPr>
                <w:rFonts w:ascii="Calibri" w:hAnsi="Calibri" w:cs="Calibri"/>
                <w:color w:val="000000"/>
                <w:sz w:val="20"/>
                <w:szCs w:val="20"/>
              </w:rPr>
              <w:t>26,694</w:t>
            </w:r>
          </w:p>
        </w:tc>
        <w:tc>
          <w:tcPr>
            <w:tcW w:w="1020" w:type="dxa"/>
            <w:vAlign w:val="center"/>
          </w:tcPr>
          <w:p w14:paraId="368E7B5B" w14:textId="77777777" w:rsidR="00A60D4B" w:rsidRDefault="00A60D4B" w:rsidP="00A60D4B">
            <w:pPr>
              <w:jc w:val="right"/>
            </w:pPr>
            <w:r>
              <w:rPr>
                <w:rFonts w:ascii="Calibri" w:hAnsi="Calibri" w:cs="Calibri"/>
                <w:color w:val="000000"/>
                <w:sz w:val="20"/>
                <w:szCs w:val="20"/>
              </w:rPr>
              <w:t>27,362</w:t>
            </w:r>
          </w:p>
        </w:tc>
        <w:tc>
          <w:tcPr>
            <w:tcW w:w="1020" w:type="dxa"/>
            <w:vAlign w:val="center"/>
          </w:tcPr>
          <w:p w14:paraId="131F229C" w14:textId="77777777" w:rsidR="00A60D4B" w:rsidRDefault="00A60D4B" w:rsidP="00A60D4B">
            <w:pPr>
              <w:jc w:val="right"/>
            </w:pPr>
            <w:r>
              <w:rPr>
                <w:rFonts w:ascii="Calibri" w:hAnsi="Calibri" w:cs="Calibri"/>
                <w:color w:val="000000"/>
                <w:sz w:val="20"/>
                <w:szCs w:val="20"/>
              </w:rPr>
              <w:t>28,046</w:t>
            </w:r>
          </w:p>
        </w:tc>
        <w:tc>
          <w:tcPr>
            <w:tcW w:w="1020" w:type="dxa"/>
            <w:vAlign w:val="center"/>
          </w:tcPr>
          <w:p w14:paraId="2C7F7844" w14:textId="77777777" w:rsidR="00A60D4B" w:rsidRDefault="00A60D4B" w:rsidP="00A60D4B">
            <w:pPr>
              <w:jc w:val="right"/>
            </w:pPr>
            <w:r>
              <w:rPr>
                <w:rFonts w:ascii="Calibri" w:hAnsi="Calibri" w:cs="Calibri"/>
                <w:b/>
                <w:bCs/>
                <w:color w:val="000000"/>
                <w:sz w:val="20"/>
                <w:szCs w:val="20"/>
              </w:rPr>
              <w:t>139,979</w:t>
            </w:r>
          </w:p>
        </w:tc>
      </w:tr>
      <w:tr w:rsidR="00A60D4B" w:rsidRPr="005A657C" w14:paraId="112EC452" w14:textId="77777777" w:rsidTr="00A60D4B">
        <w:tc>
          <w:tcPr>
            <w:tcW w:w="2891" w:type="dxa"/>
            <w:vAlign w:val="bottom"/>
          </w:tcPr>
          <w:p w14:paraId="6DAFEDF2" w14:textId="77777777" w:rsidR="00A60D4B" w:rsidRDefault="00A60D4B" w:rsidP="00A60D4B">
            <w:r>
              <w:rPr>
                <w:rFonts w:ascii="Calibri" w:hAnsi="Calibri" w:cs="Calibri"/>
                <w:color w:val="000000"/>
                <w:sz w:val="20"/>
                <w:szCs w:val="20"/>
              </w:rPr>
              <w:t>Works-in-progress</w:t>
            </w:r>
          </w:p>
        </w:tc>
        <w:tc>
          <w:tcPr>
            <w:tcW w:w="1020" w:type="dxa"/>
            <w:vAlign w:val="center"/>
          </w:tcPr>
          <w:p w14:paraId="11485DB8" w14:textId="77777777" w:rsidR="00A60D4B" w:rsidRDefault="00A60D4B" w:rsidP="00A60D4B">
            <w:pPr>
              <w:jc w:val="right"/>
            </w:pPr>
            <w:r>
              <w:rPr>
                <w:rFonts w:ascii="Calibri" w:hAnsi="Calibri" w:cs="Calibri"/>
                <w:color w:val="000000"/>
                <w:sz w:val="20"/>
                <w:szCs w:val="20"/>
              </w:rPr>
              <w:t>175,694</w:t>
            </w:r>
          </w:p>
        </w:tc>
        <w:tc>
          <w:tcPr>
            <w:tcW w:w="1020" w:type="dxa"/>
            <w:vAlign w:val="center"/>
          </w:tcPr>
          <w:p w14:paraId="2040189D" w14:textId="77777777" w:rsidR="00A60D4B" w:rsidRDefault="00A60D4B" w:rsidP="00A60D4B">
            <w:pPr>
              <w:jc w:val="right"/>
            </w:pPr>
            <w:r>
              <w:rPr>
                <w:rFonts w:ascii="Calibri" w:hAnsi="Calibri" w:cs="Calibri"/>
                <w:color w:val="000000"/>
                <w:sz w:val="20"/>
                <w:szCs w:val="20"/>
              </w:rPr>
              <w:t>239,179</w:t>
            </w:r>
          </w:p>
        </w:tc>
        <w:tc>
          <w:tcPr>
            <w:tcW w:w="1020" w:type="dxa"/>
            <w:vAlign w:val="center"/>
          </w:tcPr>
          <w:p w14:paraId="55FCFE6C" w14:textId="77777777" w:rsidR="00A60D4B" w:rsidRDefault="00A60D4B" w:rsidP="00A60D4B">
            <w:pPr>
              <w:jc w:val="right"/>
            </w:pPr>
            <w:r>
              <w:rPr>
                <w:rFonts w:ascii="Calibri" w:hAnsi="Calibri" w:cs="Calibri"/>
                <w:color w:val="000000"/>
                <w:sz w:val="20"/>
                <w:szCs w:val="20"/>
              </w:rPr>
              <w:t>141,231</w:t>
            </w:r>
          </w:p>
        </w:tc>
        <w:tc>
          <w:tcPr>
            <w:tcW w:w="1020" w:type="dxa"/>
            <w:vAlign w:val="center"/>
          </w:tcPr>
          <w:p w14:paraId="65B968B2" w14:textId="77777777" w:rsidR="00A60D4B" w:rsidRDefault="00A60D4B" w:rsidP="00A60D4B">
            <w:pPr>
              <w:jc w:val="right"/>
            </w:pPr>
            <w:r>
              <w:rPr>
                <w:rFonts w:ascii="Calibri" w:hAnsi="Calibri" w:cs="Calibri"/>
                <w:color w:val="000000"/>
                <w:sz w:val="20"/>
                <w:szCs w:val="20"/>
              </w:rPr>
              <w:t>102,046</w:t>
            </w:r>
          </w:p>
        </w:tc>
        <w:tc>
          <w:tcPr>
            <w:tcW w:w="1020" w:type="dxa"/>
            <w:vAlign w:val="center"/>
          </w:tcPr>
          <w:p w14:paraId="14F27159" w14:textId="77777777" w:rsidR="00A60D4B" w:rsidRPr="005A657C" w:rsidRDefault="00A60D4B" w:rsidP="00A60D4B">
            <w:pPr>
              <w:jc w:val="right"/>
              <w:rPr>
                <w:color w:val="000000" w:themeColor="text1"/>
              </w:rPr>
            </w:pPr>
            <w:r w:rsidRPr="005A657C">
              <w:rPr>
                <w:rFonts w:ascii="Calibri" w:hAnsi="Calibri" w:cs="Calibri"/>
                <w:color w:val="000000" w:themeColor="text1"/>
                <w:sz w:val="20"/>
                <w:szCs w:val="20"/>
              </w:rPr>
              <w:t>2,063</w:t>
            </w:r>
          </w:p>
        </w:tc>
        <w:tc>
          <w:tcPr>
            <w:tcW w:w="1020" w:type="dxa"/>
            <w:vAlign w:val="center"/>
          </w:tcPr>
          <w:p w14:paraId="33F32066" w14:textId="77777777" w:rsidR="00A60D4B" w:rsidRPr="005A657C" w:rsidRDefault="00A60D4B" w:rsidP="00A60D4B">
            <w:pPr>
              <w:jc w:val="right"/>
              <w:rPr>
                <w:color w:val="000000" w:themeColor="text1"/>
              </w:rPr>
            </w:pPr>
            <w:r w:rsidRPr="005A657C">
              <w:rPr>
                <w:rFonts w:ascii="Calibri" w:hAnsi="Calibri" w:cs="Calibri"/>
                <w:b/>
                <w:bCs/>
                <w:color w:val="000000" w:themeColor="text1"/>
                <w:sz w:val="20"/>
                <w:szCs w:val="20"/>
              </w:rPr>
              <w:t>660,213</w:t>
            </w:r>
          </w:p>
        </w:tc>
      </w:tr>
      <w:tr w:rsidR="00A60D4B" w14:paraId="7C669C99" w14:textId="77777777" w:rsidTr="00A60D4B">
        <w:tc>
          <w:tcPr>
            <w:tcW w:w="2891" w:type="dxa"/>
            <w:vAlign w:val="bottom"/>
          </w:tcPr>
          <w:p w14:paraId="4A2E3A68" w14:textId="77777777" w:rsidR="00A60D4B" w:rsidRDefault="00A60D4B" w:rsidP="00A60D4B">
            <w:r>
              <w:rPr>
                <w:rFonts w:ascii="Calibri" w:hAnsi="Calibri" w:cs="Calibri"/>
                <w:b/>
                <w:bCs/>
                <w:color w:val="000000"/>
                <w:sz w:val="20"/>
                <w:szCs w:val="20"/>
              </w:rPr>
              <w:t>Total</w:t>
            </w:r>
          </w:p>
        </w:tc>
        <w:tc>
          <w:tcPr>
            <w:tcW w:w="1020" w:type="dxa"/>
            <w:vAlign w:val="center"/>
          </w:tcPr>
          <w:p w14:paraId="6A837F98" w14:textId="77777777" w:rsidR="00A60D4B" w:rsidRPr="005A657C" w:rsidRDefault="00A60D4B" w:rsidP="00A60D4B">
            <w:pPr>
              <w:jc w:val="right"/>
              <w:rPr>
                <w:color w:val="000000" w:themeColor="text1"/>
              </w:rPr>
            </w:pPr>
            <w:r w:rsidRPr="005A657C">
              <w:rPr>
                <w:rFonts w:ascii="Calibri" w:hAnsi="Calibri" w:cs="Calibri"/>
                <w:b/>
                <w:bCs/>
                <w:color w:val="000000" w:themeColor="text1"/>
                <w:sz w:val="20"/>
                <w:szCs w:val="20"/>
              </w:rPr>
              <w:t>229,173</w:t>
            </w:r>
          </w:p>
        </w:tc>
        <w:tc>
          <w:tcPr>
            <w:tcW w:w="1020" w:type="dxa"/>
            <w:vAlign w:val="center"/>
          </w:tcPr>
          <w:p w14:paraId="51C2E5ED" w14:textId="77777777" w:rsidR="00A60D4B" w:rsidRPr="005A657C" w:rsidRDefault="00A60D4B" w:rsidP="00A60D4B">
            <w:pPr>
              <w:jc w:val="right"/>
              <w:rPr>
                <w:color w:val="000000" w:themeColor="text1"/>
              </w:rPr>
            </w:pPr>
            <w:r w:rsidRPr="005A657C">
              <w:rPr>
                <w:rFonts w:ascii="Calibri" w:hAnsi="Calibri" w:cs="Calibri"/>
                <w:b/>
                <w:bCs/>
                <w:color w:val="000000" w:themeColor="text1"/>
                <w:sz w:val="20"/>
                <w:szCs w:val="20"/>
              </w:rPr>
              <w:t>324,274</w:t>
            </w:r>
          </w:p>
        </w:tc>
        <w:tc>
          <w:tcPr>
            <w:tcW w:w="1020" w:type="dxa"/>
            <w:vAlign w:val="center"/>
          </w:tcPr>
          <w:p w14:paraId="3CFB8AAB" w14:textId="77777777" w:rsidR="00A60D4B" w:rsidRPr="005A657C" w:rsidRDefault="00A60D4B" w:rsidP="00A60D4B">
            <w:pPr>
              <w:jc w:val="right"/>
              <w:rPr>
                <w:color w:val="000000" w:themeColor="text1"/>
              </w:rPr>
            </w:pPr>
            <w:r w:rsidRPr="005A657C">
              <w:rPr>
                <w:rFonts w:ascii="Calibri" w:hAnsi="Calibri" w:cs="Calibri"/>
                <w:b/>
                <w:bCs/>
                <w:color w:val="000000" w:themeColor="text1"/>
                <w:sz w:val="20"/>
                <w:szCs w:val="20"/>
              </w:rPr>
              <w:t>235,708</w:t>
            </w:r>
          </w:p>
        </w:tc>
        <w:tc>
          <w:tcPr>
            <w:tcW w:w="1020" w:type="dxa"/>
            <w:vAlign w:val="center"/>
          </w:tcPr>
          <w:p w14:paraId="1903863C" w14:textId="77777777" w:rsidR="00A60D4B" w:rsidRPr="005A657C" w:rsidRDefault="00A60D4B" w:rsidP="00A60D4B">
            <w:pPr>
              <w:jc w:val="right"/>
              <w:rPr>
                <w:color w:val="000000" w:themeColor="text1"/>
              </w:rPr>
            </w:pPr>
            <w:r w:rsidRPr="005A657C">
              <w:rPr>
                <w:rFonts w:ascii="Calibri" w:hAnsi="Calibri" w:cs="Calibri"/>
                <w:b/>
                <w:bCs/>
                <w:color w:val="000000" w:themeColor="text1"/>
                <w:sz w:val="20"/>
                <w:szCs w:val="20"/>
              </w:rPr>
              <w:t>219,278</w:t>
            </w:r>
          </w:p>
        </w:tc>
        <w:tc>
          <w:tcPr>
            <w:tcW w:w="1020" w:type="dxa"/>
            <w:vAlign w:val="center"/>
          </w:tcPr>
          <w:p w14:paraId="3741638B" w14:textId="77777777" w:rsidR="00A60D4B" w:rsidRPr="005A657C" w:rsidRDefault="00A60D4B" w:rsidP="00A60D4B">
            <w:pPr>
              <w:jc w:val="right"/>
              <w:rPr>
                <w:color w:val="000000" w:themeColor="text1"/>
              </w:rPr>
            </w:pPr>
            <w:r w:rsidRPr="005A657C">
              <w:rPr>
                <w:rFonts w:ascii="Calibri" w:hAnsi="Calibri" w:cs="Calibri"/>
                <w:b/>
                <w:bCs/>
                <w:color w:val="000000" w:themeColor="text1"/>
                <w:sz w:val="20"/>
                <w:szCs w:val="20"/>
              </w:rPr>
              <w:t>53,709</w:t>
            </w:r>
          </w:p>
        </w:tc>
        <w:tc>
          <w:tcPr>
            <w:tcW w:w="1020" w:type="dxa"/>
            <w:vAlign w:val="center"/>
          </w:tcPr>
          <w:p w14:paraId="6294AABA" w14:textId="77777777" w:rsidR="00A60D4B" w:rsidRPr="005A657C" w:rsidRDefault="00A60D4B" w:rsidP="00A60D4B">
            <w:pPr>
              <w:jc w:val="right"/>
              <w:rPr>
                <w:color w:val="000000" w:themeColor="text1"/>
              </w:rPr>
            </w:pPr>
            <w:r w:rsidRPr="005A657C">
              <w:rPr>
                <w:rFonts w:ascii="Calibri" w:hAnsi="Calibri" w:cs="Calibri"/>
                <w:b/>
                <w:bCs/>
                <w:color w:val="000000" w:themeColor="text1"/>
                <w:sz w:val="20"/>
                <w:szCs w:val="20"/>
              </w:rPr>
              <w:t>1,062,142</w:t>
            </w:r>
          </w:p>
        </w:tc>
      </w:tr>
      <w:tr w:rsidR="00A60D4B" w14:paraId="64F6620D" w14:textId="77777777" w:rsidTr="00A60D4B">
        <w:trPr>
          <w:trHeight w:val="397"/>
        </w:trPr>
        <w:tc>
          <w:tcPr>
            <w:tcW w:w="2891" w:type="dxa"/>
            <w:vAlign w:val="bottom"/>
          </w:tcPr>
          <w:p w14:paraId="0792A387" w14:textId="77777777" w:rsidR="00A60D4B" w:rsidRDefault="00A60D4B" w:rsidP="00A60D4B">
            <w:pPr>
              <w:pageBreakBefore/>
            </w:pPr>
            <w:r>
              <w:rPr>
                <w:rFonts w:ascii="Calibri" w:hAnsi="Calibri" w:cs="Calibri"/>
                <w:b/>
                <w:bCs/>
                <w:color w:val="000000"/>
                <w:sz w:val="20"/>
                <w:szCs w:val="20"/>
              </w:rPr>
              <w:lastRenderedPageBreak/>
              <w:t>Total all Agencies</w:t>
            </w:r>
          </w:p>
        </w:tc>
        <w:tc>
          <w:tcPr>
            <w:tcW w:w="1020" w:type="dxa"/>
            <w:vAlign w:val="bottom"/>
          </w:tcPr>
          <w:p w14:paraId="1F9834F5" w14:textId="77777777" w:rsidR="00A60D4B" w:rsidRDefault="00A60D4B" w:rsidP="00A60D4B">
            <w:pPr>
              <w:pageBreakBefore/>
              <w:jc w:val="right"/>
            </w:pPr>
          </w:p>
        </w:tc>
        <w:tc>
          <w:tcPr>
            <w:tcW w:w="1020" w:type="dxa"/>
            <w:vAlign w:val="bottom"/>
          </w:tcPr>
          <w:p w14:paraId="2D345659" w14:textId="77777777" w:rsidR="00A60D4B" w:rsidRDefault="00A60D4B" w:rsidP="00A60D4B">
            <w:pPr>
              <w:pageBreakBefore/>
              <w:jc w:val="right"/>
            </w:pPr>
          </w:p>
        </w:tc>
        <w:tc>
          <w:tcPr>
            <w:tcW w:w="1020" w:type="dxa"/>
            <w:vAlign w:val="bottom"/>
          </w:tcPr>
          <w:p w14:paraId="4BE168C7" w14:textId="77777777" w:rsidR="00A60D4B" w:rsidRDefault="00A60D4B" w:rsidP="00A60D4B">
            <w:pPr>
              <w:pageBreakBefore/>
              <w:jc w:val="right"/>
            </w:pPr>
          </w:p>
        </w:tc>
        <w:tc>
          <w:tcPr>
            <w:tcW w:w="1020" w:type="dxa"/>
            <w:vAlign w:val="bottom"/>
          </w:tcPr>
          <w:p w14:paraId="217D68F8" w14:textId="77777777" w:rsidR="00A60D4B" w:rsidRDefault="00A60D4B" w:rsidP="00A60D4B">
            <w:pPr>
              <w:pageBreakBefore/>
              <w:jc w:val="right"/>
            </w:pPr>
          </w:p>
        </w:tc>
        <w:tc>
          <w:tcPr>
            <w:tcW w:w="1020" w:type="dxa"/>
            <w:vAlign w:val="bottom"/>
          </w:tcPr>
          <w:p w14:paraId="6330C14B" w14:textId="77777777" w:rsidR="00A60D4B" w:rsidRDefault="00A60D4B" w:rsidP="00A60D4B">
            <w:pPr>
              <w:pageBreakBefore/>
              <w:jc w:val="right"/>
            </w:pPr>
          </w:p>
        </w:tc>
        <w:tc>
          <w:tcPr>
            <w:tcW w:w="1020" w:type="dxa"/>
            <w:vAlign w:val="bottom"/>
          </w:tcPr>
          <w:p w14:paraId="607433DC" w14:textId="77777777" w:rsidR="00A60D4B" w:rsidRDefault="00A60D4B" w:rsidP="00A60D4B">
            <w:pPr>
              <w:pageBreakBefore/>
              <w:jc w:val="right"/>
            </w:pPr>
          </w:p>
        </w:tc>
      </w:tr>
      <w:tr w:rsidR="00A60D4B" w14:paraId="0DA76DFF" w14:textId="77777777" w:rsidTr="00A60D4B">
        <w:tc>
          <w:tcPr>
            <w:tcW w:w="2891" w:type="dxa"/>
          </w:tcPr>
          <w:p w14:paraId="5B1C7279" w14:textId="77777777" w:rsidR="00A60D4B" w:rsidRDefault="00A60D4B" w:rsidP="00A60D4B">
            <w:r>
              <w:rPr>
                <w:rFonts w:ascii="Calibri" w:hAnsi="Calibri" w:cs="Calibri"/>
                <w:color w:val="000000"/>
                <w:sz w:val="20"/>
                <w:szCs w:val="20"/>
              </w:rPr>
              <w:t>New Capital Works</w:t>
            </w:r>
          </w:p>
        </w:tc>
        <w:tc>
          <w:tcPr>
            <w:tcW w:w="1020" w:type="dxa"/>
          </w:tcPr>
          <w:p w14:paraId="6D607F6B" w14:textId="77777777" w:rsidR="00A60D4B" w:rsidRDefault="00A60D4B" w:rsidP="00A60D4B">
            <w:pPr>
              <w:jc w:val="right"/>
            </w:pPr>
            <w:r>
              <w:rPr>
                <w:rFonts w:ascii="Calibri" w:hAnsi="Calibri" w:cs="Calibri"/>
                <w:color w:val="000000"/>
                <w:sz w:val="20"/>
                <w:szCs w:val="20"/>
              </w:rPr>
              <w:t>219,687</w:t>
            </w:r>
          </w:p>
        </w:tc>
        <w:tc>
          <w:tcPr>
            <w:tcW w:w="1020" w:type="dxa"/>
          </w:tcPr>
          <w:p w14:paraId="2A05288E" w14:textId="77777777" w:rsidR="00A60D4B" w:rsidRDefault="00A60D4B" w:rsidP="00A60D4B">
            <w:pPr>
              <w:jc w:val="right"/>
            </w:pPr>
            <w:r>
              <w:rPr>
                <w:rFonts w:ascii="Calibri" w:hAnsi="Calibri" w:cs="Calibri"/>
                <w:color w:val="000000"/>
                <w:sz w:val="20"/>
                <w:szCs w:val="20"/>
              </w:rPr>
              <w:t>249,083</w:t>
            </w:r>
          </w:p>
        </w:tc>
        <w:tc>
          <w:tcPr>
            <w:tcW w:w="1020" w:type="dxa"/>
          </w:tcPr>
          <w:p w14:paraId="22F18CA8" w14:textId="77777777" w:rsidR="00A60D4B" w:rsidRDefault="00A60D4B" w:rsidP="00A60D4B">
            <w:pPr>
              <w:jc w:val="right"/>
            </w:pPr>
            <w:r>
              <w:rPr>
                <w:rFonts w:ascii="Calibri" w:hAnsi="Calibri" w:cs="Calibri"/>
                <w:color w:val="000000"/>
                <w:sz w:val="20"/>
                <w:szCs w:val="20"/>
              </w:rPr>
              <w:t>163,848</w:t>
            </w:r>
          </w:p>
        </w:tc>
        <w:tc>
          <w:tcPr>
            <w:tcW w:w="1020" w:type="dxa"/>
          </w:tcPr>
          <w:p w14:paraId="27ADBDEF" w14:textId="77777777" w:rsidR="00A60D4B" w:rsidRDefault="00A60D4B" w:rsidP="00A60D4B">
            <w:pPr>
              <w:jc w:val="right"/>
            </w:pPr>
            <w:r>
              <w:rPr>
                <w:rFonts w:ascii="Calibri" w:hAnsi="Calibri" w:cs="Calibri"/>
                <w:color w:val="000000"/>
                <w:sz w:val="20"/>
                <w:szCs w:val="20"/>
              </w:rPr>
              <w:t>112,070</w:t>
            </w:r>
          </w:p>
        </w:tc>
        <w:tc>
          <w:tcPr>
            <w:tcW w:w="1020" w:type="dxa"/>
          </w:tcPr>
          <w:p w14:paraId="4F5C3671" w14:textId="77777777" w:rsidR="00A60D4B" w:rsidRDefault="00A60D4B" w:rsidP="00A60D4B">
            <w:pPr>
              <w:jc w:val="right"/>
            </w:pPr>
            <w:r>
              <w:rPr>
                <w:rFonts w:ascii="Calibri" w:hAnsi="Calibri" w:cs="Calibri"/>
                <w:color w:val="000000"/>
                <w:sz w:val="20"/>
                <w:szCs w:val="20"/>
              </w:rPr>
              <w:t>31,734</w:t>
            </w:r>
          </w:p>
        </w:tc>
        <w:tc>
          <w:tcPr>
            <w:tcW w:w="1020" w:type="dxa"/>
          </w:tcPr>
          <w:p w14:paraId="1FA164DE" w14:textId="77777777" w:rsidR="00A60D4B" w:rsidRPr="001C564A" w:rsidRDefault="00A60D4B" w:rsidP="00A60D4B">
            <w:pPr>
              <w:jc w:val="right"/>
              <w:rPr>
                <w:b/>
                <w:bCs/>
              </w:rPr>
            </w:pPr>
            <w:r w:rsidRPr="001C564A">
              <w:rPr>
                <w:rFonts w:ascii="Calibri" w:hAnsi="Calibri" w:cs="Calibri"/>
                <w:b/>
                <w:bCs/>
                <w:color w:val="000000"/>
                <w:sz w:val="20"/>
                <w:szCs w:val="20"/>
              </w:rPr>
              <w:t>776,422</w:t>
            </w:r>
          </w:p>
        </w:tc>
      </w:tr>
      <w:tr w:rsidR="00A60D4B" w14:paraId="500E63D1" w14:textId="77777777" w:rsidTr="00A60D4B">
        <w:tc>
          <w:tcPr>
            <w:tcW w:w="2891" w:type="dxa"/>
          </w:tcPr>
          <w:p w14:paraId="6B337ED7" w14:textId="77777777" w:rsidR="00A60D4B" w:rsidRDefault="00A60D4B" w:rsidP="00A60D4B">
            <w:r>
              <w:rPr>
                <w:rFonts w:ascii="Calibri" w:hAnsi="Calibri" w:cs="Calibri"/>
                <w:color w:val="000000"/>
                <w:sz w:val="20"/>
                <w:szCs w:val="20"/>
              </w:rPr>
              <w:t>Better Infrastructure Fund</w:t>
            </w:r>
          </w:p>
        </w:tc>
        <w:tc>
          <w:tcPr>
            <w:tcW w:w="1020" w:type="dxa"/>
          </w:tcPr>
          <w:p w14:paraId="3195E894" w14:textId="77777777" w:rsidR="00A60D4B" w:rsidRDefault="00A60D4B" w:rsidP="00A60D4B">
            <w:pPr>
              <w:jc w:val="right"/>
            </w:pPr>
            <w:r>
              <w:rPr>
                <w:rFonts w:ascii="Calibri" w:hAnsi="Calibri" w:cs="Calibri"/>
                <w:color w:val="000000"/>
                <w:sz w:val="20"/>
                <w:szCs w:val="20"/>
              </w:rPr>
              <w:t>98,844</w:t>
            </w:r>
          </w:p>
        </w:tc>
        <w:tc>
          <w:tcPr>
            <w:tcW w:w="1020" w:type="dxa"/>
          </w:tcPr>
          <w:p w14:paraId="5F0853F3" w14:textId="77777777" w:rsidR="00A60D4B" w:rsidRDefault="00A60D4B" w:rsidP="00A60D4B">
            <w:pPr>
              <w:jc w:val="right"/>
            </w:pPr>
            <w:r>
              <w:rPr>
                <w:rFonts w:ascii="Calibri" w:hAnsi="Calibri" w:cs="Calibri"/>
                <w:color w:val="000000"/>
                <w:sz w:val="20"/>
                <w:szCs w:val="20"/>
              </w:rPr>
              <w:t>76,923</w:t>
            </w:r>
          </w:p>
        </w:tc>
        <w:tc>
          <w:tcPr>
            <w:tcW w:w="1020" w:type="dxa"/>
          </w:tcPr>
          <w:p w14:paraId="5D89777A" w14:textId="77777777" w:rsidR="00A60D4B" w:rsidRDefault="00A60D4B" w:rsidP="00A60D4B">
            <w:pPr>
              <w:jc w:val="right"/>
            </w:pPr>
            <w:r>
              <w:rPr>
                <w:rFonts w:ascii="Calibri" w:hAnsi="Calibri" w:cs="Calibri"/>
                <w:color w:val="000000"/>
                <w:sz w:val="20"/>
                <w:szCs w:val="20"/>
              </w:rPr>
              <w:t>74,845</w:t>
            </w:r>
          </w:p>
        </w:tc>
        <w:tc>
          <w:tcPr>
            <w:tcW w:w="1020" w:type="dxa"/>
          </w:tcPr>
          <w:p w14:paraId="7DB97A3A" w14:textId="77777777" w:rsidR="00A60D4B" w:rsidRDefault="00A60D4B" w:rsidP="00A60D4B">
            <w:pPr>
              <w:jc w:val="right"/>
            </w:pPr>
            <w:r>
              <w:rPr>
                <w:rFonts w:ascii="Calibri" w:hAnsi="Calibri" w:cs="Calibri"/>
                <w:color w:val="000000"/>
                <w:sz w:val="20"/>
                <w:szCs w:val="20"/>
              </w:rPr>
              <w:t>79,908</w:t>
            </w:r>
          </w:p>
        </w:tc>
        <w:tc>
          <w:tcPr>
            <w:tcW w:w="1020" w:type="dxa"/>
          </w:tcPr>
          <w:p w14:paraId="4F930D63" w14:textId="77777777" w:rsidR="00A60D4B" w:rsidRDefault="00A60D4B" w:rsidP="00A60D4B">
            <w:pPr>
              <w:jc w:val="right"/>
            </w:pPr>
            <w:r>
              <w:rPr>
                <w:rFonts w:ascii="Calibri" w:hAnsi="Calibri" w:cs="Calibri"/>
                <w:color w:val="000000"/>
                <w:sz w:val="20"/>
                <w:szCs w:val="20"/>
              </w:rPr>
              <w:t>73,553</w:t>
            </w:r>
          </w:p>
        </w:tc>
        <w:tc>
          <w:tcPr>
            <w:tcW w:w="1020" w:type="dxa"/>
          </w:tcPr>
          <w:p w14:paraId="577574CB" w14:textId="77777777" w:rsidR="00A60D4B" w:rsidRPr="001C564A" w:rsidRDefault="00A60D4B" w:rsidP="00A60D4B">
            <w:pPr>
              <w:jc w:val="right"/>
              <w:rPr>
                <w:b/>
                <w:bCs/>
              </w:rPr>
            </w:pPr>
            <w:r w:rsidRPr="001C564A">
              <w:rPr>
                <w:rFonts w:ascii="Calibri" w:hAnsi="Calibri" w:cs="Calibri"/>
                <w:b/>
                <w:bCs/>
                <w:color w:val="000000"/>
                <w:sz w:val="20"/>
                <w:szCs w:val="20"/>
              </w:rPr>
              <w:t>404,073</w:t>
            </w:r>
          </w:p>
        </w:tc>
      </w:tr>
      <w:tr w:rsidR="00A60D4B" w14:paraId="7B669D53" w14:textId="77777777" w:rsidTr="00A60D4B">
        <w:tc>
          <w:tcPr>
            <w:tcW w:w="2891" w:type="dxa"/>
          </w:tcPr>
          <w:p w14:paraId="53181B1F" w14:textId="77777777" w:rsidR="00A60D4B" w:rsidRDefault="00A60D4B" w:rsidP="00A60D4B">
            <w:r>
              <w:rPr>
                <w:rFonts w:ascii="Calibri" w:hAnsi="Calibri" w:cs="Calibri"/>
                <w:color w:val="000000"/>
                <w:sz w:val="20"/>
                <w:szCs w:val="20"/>
              </w:rPr>
              <w:t>Works-in-progress</w:t>
            </w:r>
          </w:p>
        </w:tc>
        <w:tc>
          <w:tcPr>
            <w:tcW w:w="1020" w:type="dxa"/>
          </w:tcPr>
          <w:p w14:paraId="5ED55811" w14:textId="77777777" w:rsidR="00A60D4B" w:rsidRDefault="00A60D4B" w:rsidP="00A60D4B">
            <w:pPr>
              <w:jc w:val="right"/>
            </w:pPr>
            <w:r>
              <w:rPr>
                <w:rFonts w:ascii="Calibri" w:hAnsi="Calibri" w:cs="Calibri"/>
                <w:color w:val="000000"/>
                <w:sz w:val="20"/>
                <w:szCs w:val="20"/>
              </w:rPr>
              <w:t>710,068</w:t>
            </w:r>
          </w:p>
        </w:tc>
        <w:tc>
          <w:tcPr>
            <w:tcW w:w="1020" w:type="dxa"/>
          </w:tcPr>
          <w:p w14:paraId="39A05BEB" w14:textId="77777777" w:rsidR="00A60D4B" w:rsidRDefault="00A60D4B" w:rsidP="00A60D4B">
            <w:pPr>
              <w:jc w:val="right"/>
            </w:pPr>
            <w:r>
              <w:rPr>
                <w:rFonts w:ascii="Calibri" w:hAnsi="Calibri" w:cs="Calibri"/>
                <w:color w:val="000000"/>
                <w:sz w:val="20"/>
                <w:szCs w:val="20"/>
              </w:rPr>
              <w:t>880,659</w:t>
            </w:r>
          </w:p>
        </w:tc>
        <w:tc>
          <w:tcPr>
            <w:tcW w:w="1020" w:type="dxa"/>
          </w:tcPr>
          <w:p w14:paraId="57F314BF" w14:textId="77777777" w:rsidR="00A60D4B" w:rsidRDefault="00A60D4B" w:rsidP="00A60D4B">
            <w:pPr>
              <w:jc w:val="right"/>
            </w:pPr>
            <w:r>
              <w:rPr>
                <w:rFonts w:ascii="Calibri" w:hAnsi="Calibri" w:cs="Calibri"/>
                <w:color w:val="000000"/>
                <w:sz w:val="20"/>
                <w:szCs w:val="20"/>
              </w:rPr>
              <w:t>553,407</w:t>
            </w:r>
          </w:p>
        </w:tc>
        <w:tc>
          <w:tcPr>
            <w:tcW w:w="1020" w:type="dxa"/>
          </w:tcPr>
          <w:p w14:paraId="236FBD14" w14:textId="77777777" w:rsidR="00A60D4B" w:rsidRDefault="00A60D4B" w:rsidP="00A60D4B">
            <w:pPr>
              <w:jc w:val="right"/>
            </w:pPr>
            <w:r>
              <w:rPr>
                <w:rFonts w:ascii="Calibri" w:hAnsi="Calibri" w:cs="Calibri"/>
                <w:color w:val="000000"/>
                <w:sz w:val="20"/>
                <w:szCs w:val="20"/>
              </w:rPr>
              <w:t>169,425</w:t>
            </w:r>
          </w:p>
        </w:tc>
        <w:tc>
          <w:tcPr>
            <w:tcW w:w="1020" w:type="dxa"/>
          </w:tcPr>
          <w:p w14:paraId="10B56C01" w14:textId="77777777" w:rsidR="00A60D4B" w:rsidRPr="001C564A" w:rsidRDefault="00A60D4B" w:rsidP="00A60D4B">
            <w:pPr>
              <w:jc w:val="right"/>
              <w:rPr>
                <w:color w:val="000000" w:themeColor="text1"/>
              </w:rPr>
            </w:pPr>
            <w:r w:rsidRPr="001C564A">
              <w:rPr>
                <w:rFonts w:ascii="Calibri" w:hAnsi="Calibri" w:cs="Calibri"/>
                <w:color w:val="000000" w:themeColor="text1"/>
                <w:sz w:val="20"/>
                <w:szCs w:val="20"/>
              </w:rPr>
              <w:t>16,413</w:t>
            </w:r>
          </w:p>
        </w:tc>
        <w:tc>
          <w:tcPr>
            <w:tcW w:w="1020" w:type="dxa"/>
          </w:tcPr>
          <w:p w14:paraId="1AFD1DA2" w14:textId="77777777" w:rsidR="00A60D4B" w:rsidRPr="001C564A" w:rsidRDefault="00A60D4B" w:rsidP="00A60D4B">
            <w:pPr>
              <w:jc w:val="right"/>
              <w:rPr>
                <w:b/>
                <w:bCs/>
                <w:color w:val="000000" w:themeColor="text1"/>
              </w:rPr>
            </w:pPr>
            <w:r w:rsidRPr="001C564A">
              <w:rPr>
                <w:rFonts w:ascii="Calibri" w:hAnsi="Calibri" w:cs="Calibri"/>
                <w:b/>
                <w:bCs/>
                <w:color w:val="000000" w:themeColor="text1"/>
                <w:sz w:val="20"/>
                <w:szCs w:val="20"/>
              </w:rPr>
              <w:t>2,329,972</w:t>
            </w:r>
          </w:p>
        </w:tc>
      </w:tr>
      <w:tr w:rsidR="00A60D4B" w14:paraId="4B017193" w14:textId="77777777" w:rsidTr="00A60D4B">
        <w:tc>
          <w:tcPr>
            <w:tcW w:w="2891" w:type="dxa"/>
          </w:tcPr>
          <w:p w14:paraId="2AAE7250" w14:textId="77777777" w:rsidR="00A60D4B" w:rsidRDefault="00A60D4B" w:rsidP="00A60D4B">
            <w:r>
              <w:rPr>
                <w:rFonts w:ascii="Calibri" w:hAnsi="Calibri" w:cs="Calibri"/>
                <w:b/>
                <w:bCs/>
                <w:color w:val="000000"/>
                <w:sz w:val="20"/>
                <w:szCs w:val="20"/>
              </w:rPr>
              <w:t xml:space="preserve">TOTAL AGENCY INFRASTRUCTURE PROGRAMS </w:t>
            </w:r>
          </w:p>
        </w:tc>
        <w:tc>
          <w:tcPr>
            <w:tcW w:w="1020" w:type="dxa"/>
          </w:tcPr>
          <w:p w14:paraId="016435F7" w14:textId="77777777" w:rsidR="00A60D4B" w:rsidRPr="00893579" w:rsidRDefault="00A60D4B" w:rsidP="00A60D4B">
            <w:pPr>
              <w:jc w:val="right"/>
              <w:rPr>
                <w:b/>
                <w:bCs/>
                <w:color w:val="000000" w:themeColor="text1"/>
              </w:rPr>
            </w:pPr>
            <w:r w:rsidRPr="00893579">
              <w:rPr>
                <w:rFonts w:ascii="Calibri" w:hAnsi="Calibri" w:cs="Calibri"/>
                <w:b/>
                <w:bCs/>
                <w:color w:val="000000" w:themeColor="text1"/>
                <w:sz w:val="20"/>
                <w:szCs w:val="20"/>
              </w:rPr>
              <w:t>1,028,</w:t>
            </w:r>
            <w:r>
              <w:rPr>
                <w:rFonts w:ascii="Calibri" w:hAnsi="Calibri" w:cs="Calibri"/>
                <w:b/>
                <w:bCs/>
                <w:color w:val="000000" w:themeColor="text1"/>
                <w:sz w:val="20"/>
                <w:szCs w:val="20"/>
              </w:rPr>
              <w:t>599</w:t>
            </w:r>
          </w:p>
        </w:tc>
        <w:tc>
          <w:tcPr>
            <w:tcW w:w="1020" w:type="dxa"/>
          </w:tcPr>
          <w:p w14:paraId="7C770278" w14:textId="77777777" w:rsidR="00A60D4B" w:rsidRPr="00893579" w:rsidRDefault="00A60D4B" w:rsidP="00A60D4B">
            <w:pPr>
              <w:jc w:val="right"/>
              <w:rPr>
                <w:b/>
                <w:bCs/>
                <w:color w:val="000000" w:themeColor="text1"/>
              </w:rPr>
            </w:pPr>
            <w:r w:rsidRPr="00893579">
              <w:rPr>
                <w:rFonts w:ascii="Calibri" w:hAnsi="Calibri" w:cs="Calibri"/>
                <w:b/>
                <w:bCs/>
                <w:color w:val="000000" w:themeColor="text1"/>
                <w:sz w:val="20"/>
                <w:szCs w:val="20"/>
              </w:rPr>
              <w:t>1,206,665</w:t>
            </w:r>
          </w:p>
        </w:tc>
        <w:tc>
          <w:tcPr>
            <w:tcW w:w="1020" w:type="dxa"/>
          </w:tcPr>
          <w:p w14:paraId="7CA6A935" w14:textId="77777777" w:rsidR="00A60D4B" w:rsidRPr="00893579" w:rsidRDefault="00A60D4B" w:rsidP="00A60D4B">
            <w:pPr>
              <w:jc w:val="right"/>
              <w:rPr>
                <w:b/>
                <w:bCs/>
                <w:color w:val="000000" w:themeColor="text1"/>
              </w:rPr>
            </w:pPr>
            <w:r w:rsidRPr="00893579">
              <w:rPr>
                <w:rFonts w:ascii="Calibri" w:hAnsi="Calibri" w:cs="Calibri"/>
                <w:b/>
                <w:bCs/>
                <w:color w:val="000000" w:themeColor="text1"/>
                <w:sz w:val="20"/>
                <w:szCs w:val="20"/>
              </w:rPr>
              <w:t>792,100</w:t>
            </w:r>
          </w:p>
        </w:tc>
        <w:tc>
          <w:tcPr>
            <w:tcW w:w="1020" w:type="dxa"/>
          </w:tcPr>
          <w:p w14:paraId="20B64620" w14:textId="77777777" w:rsidR="00A60D4B" w:rsidRPr="00893579" w:rsidRDefault="00A60D4B" w:rsidP="00A60D4B">
            <w:pPr>
              <w:jc w:val="right"/>
              <w:rPr>
                <w:b/>
                <w:bCs/>
                <w:color w:val="000000" w:themeColor="text1"/>
              </w:rPr>
            </w:pPr>
            <w:r w:rsidRPr="00893579">
              <w:rPr>
                <w:rFonts w:ascii="Calibri" w:hAnsi="Calibri" w:cs="Calibri"/>
                <w:b/>
                <w:bCs/>
                <w:color w:val="000000" w:themeColor="text1"/>
                <w:sz w:val="20"/>
                <w:szCs w:val="20"/>
              </w:rPr>
              <w:t>361,403</w:t>
            </w:r>
          </w:p>
        </w:tc>
        <w:tc>
          <w:tcPr>
            <w:tcW w:w="1020" w:type="dxa"/>
          </w:tcPr>
          <w:p w14:paraId="0BACF472" w14:textId="77777777" w:rsidR="00A60D4B" w:rsidRPr="00893579" w:rsidRDefault="00A60D4B" w:rsidP="00A60D4B">
            <w:pPr>
              <w:jc w:val="right"/>
              <w:rPr>
                <w:b/>
                <w:bCs/>
                <w:color w:val="000000" w:themeColor="text1"/>
              </w:rPr>
            </w:pPr>
            <w:r w:rsidRPr="00893579">
              <w:rPr>
                <w:rFonts w:ascii="Calibri" w:hAnsi="Calibri" w:cs="Calibri"/>
                <w:b/>
                <w:bCs/>
                <w:color w:val="000000" w:themeColor="text1"/>
                <w:sz w:val="20"/>
                <w:szCs w:val="20"/>
              </w:rPr>
              <w:t>121,700</w:t>
            </w:r>
          </w:p>
        </w:tc>
        <w:tc>
          <w:tcPr>
            <w:tcW w:w="1020" w:type="dxa"/>
          </w:tcPr>
          <w:p w14:paraId="052A8372" w14:textId="77777777" w:rsidR="00A60D4B" w:rsidRPr="00893579" w:rsidRDefault="00A60D4B" w:rsidP="00A60D4B">
            <w:pPr>
              <w:jc w:val="right"/>
              <w:rPr>
                <w:b/>
                <w:bCs/>
                <w:color w:val="000000" w:themeColor="text1"/>
              </w:rPr>
            </w:pPr>
            <w:r w:rsidRPr="00893579">
              <w:rPr>
                <w:rFonts w:ascii="Calibri" w:hAnsi="Calibri" w:cs="Calibri"/>
                <w:b/>
                <w:bCs/>
                <w:color w:val="000000" w:themeColor="text1"/>
                <w:sz w:val="20"/>
                <w:szCs w:val="20"/>
              </w:rPr>
              <w:t>3,510,</w:t>
            </w:r>
            <w:r>
              <w:rPr>
                <w:rFonts w:ascii="Calibri" w:hAnsi="Calibri" w:cs="Calibri"/>
                <w:b/>
                <w:bCs/>
                <w:color w:val="000000" w:themeColor="text1"/>
                <w:sz w:val="20"/>
                <w:szCs w:val="20"/>
              </w:rPr>
              <w:t>467</w:t>
            </w:r>
          </w:p>
        </w:tc>
      </w:tr>
      <w:tr w:rsidR="00A60D4B" w14:paraId="2AB84B1B" w14:textId="77777777" w:rsidTr="00A60D4B">
        <w:trPr>
          <w:trHeight w:val="397"/>
        </w:trPr>
        <w:tc>
          <w:tcPr>
            <w:tcW w:w="2891" w:type="dxa"/>
            <w:vAlign w:val="bottom"/>
          </w:tcPr>
          <w:p w14:paraId="116EE0FB" w14:textId="77777777" w:rsidR="00A60D4B" w:rsidRDefault="00A60D4B" w:rsidP="00A60D4B">
            <w:r>
              <w:rPr>
                <w:rFonts w:ascii="Calibri" w:hAnsi="Calibri" w:cs="Calibri"/>
                <w:b/>
                <w:bCs/>
                <w:color w:val="000000"/>
                <w:sz w:val="20"/>
                <w:szCs w:val="20"/>
              </w:rPr>
              <w:t>Central Capital Provisions</w:t>
            </w:r>
          </w:p>
        </w:tc>
        <w:tc>
          <w:tcPr>
            <w:tcW w:w="1020" w:type="dxa"/>
            <w:vAlign w:val="center"/>
          </w:tcPr>
          <w:p w14:paraId="65B9C915"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23642AE9"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54CEDEEC"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1F4AD901"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1573C9F7" w14:textId="77777777" w:rsidR="00A60D4B" w:rsidRDefault="00A60D4B" w:rsidP="00A60D4B">
            <w:pPr>
              <w:jc w:val="right"/>
            </w:pPr>
            <w:r>
              <w:rPr>
                <w:rFonts w:ascii="Calibri" w:hAnsi="Calibri" w:cs="Calibri"/>
                <w:color w:val="FFFFFF"/>
                <w:sz w:val="20"/>
                <w:szCs w:val="20"/>
              </w:rPr>
              <w:t> </w:t>
            </w:r>
          </w:p>
        </w:tc>
        <w:tc>
          <w:tcPr>
            <w:tcW w:w="1020" w:type="dxa"/>
            <w:vAlign w:val="center"/>
          </w:tcPr>
          <w:p w14:paraId="1617D0F7" w14:textId="77777777" w:rsidR="00A60D4B" w:rsidRDefault="00A60D4B" w:rsidP="00A60D4B">
            <w:pPr>
              <w:jc w:val="right"/>
            </w:pPr>
            <w:r>
              <w:rPr>
                <w:rFonts w:ascii="Calibri" w:hAnsi="Calibri" w:cs="Calibri"/>
                <w:color w:val="FFFFFF"/>
                <w:sz w:val="20"/>
                <w:szCs w:val="20"/>
              </w:rPr>
              <w:t> </w:t>
            </w:r>
          </w:p>
        </w:tc>
      </w:tr>
      <w:tr w:rsidR="00A60D4B" w14:paraId="27E9C69D" w14:textId="77777777" w:rsidTr="00A60D4B">
        <w:tc>
          <w:tcPr>
            <w:tcW w:w="2891" w:type="dxa"/>
            <w:vAlign w:val="bottom"/>
          </w:tcPr>
          <w:p w14:paraId="7B260733" w14:textId="77777777" w:rsidR="00A60D4B" w:rsidRDefault="00A60D4B" w:rsidP="00A60D4B">
            <w:r>
              <w:rPr>
                <w:rFonts w:ascii="Calibri" w:hAnsi="Calibri" w:cs="Calibri"/>
                <w:color w:val="000000"/>
                <w:sz w:val="20"/>
                <w:szCs w:val="20"/>
              </w:rPr>
              <w:t>New Capital Works</w:t>
            </w:r>
          </w:p>
        </w:tc>
        <w:tc>
          <w:tcPr>
            <w:tcW w:w="1020" w:type="dxa"/>
          </w:tcPr>
          <w:p w14:paraId="7CEF18CC" w14:textId="77777777" w:rsidR="00A60D4B" w:rsidRPr="00317F86" w:rsidRDefault="00A60D4B" w:rsidP="00A60D4B">
            <w:pPr>
              <w:jc w:val="right"/>
              <w:rPr>
                <w:color w:val="000000" w:themeColor="text1"/>
              </w:rPr>
            </w:pPr>
            <w:r w:rsidRPr="00317F86">
              <w:rPr>
                <w:rFonts w:ascii="Calibri" w:hAnsi="Calibri" w:cs="Calibri"/>
                <w:color w:val="000000" w:themeColor="text1"/>
                <w:sz w:val="20"/>
                <w:szCs w:val="20"/>
              </w:rPr>
              <w:t>0</w:t>
            </w:r>
          </w:p>
        </w:tc>
        <w:tc>
          <w:tcPr>
            <w:tcW w:w="1020" w:type="dxa"/>
          </w:tcPr>
          <w:p w14:paraId="7B975240" w14:textId="77777777" w:rsidR="00A60D4B" w:rsidRPr="00317F86" w:rsidRDefault="00A60D4B" w:rsidP="00A60D4B">
            <w:pPr>
              <w:jc w:val="right"/>
              <w:rPr>
                <w:color w:val="000000" w:themeColor="text1"/>
              </w:rPr>
            </w:pPr>
            <w:r w:rsidRPr="00317F86">
              <w:rPr>
                <w:rFonts w:ascii="Calibri" w:hAnsi="Calibri" w:cs="Calibri"/>
                <w:color w:val="000000" w:themeColor="text1"/>
                <w:sz w:val="20"/>
                <w:szCs w:val="20"/>
              </w:rPr>
              <w:t>22,721</w:t>
            </w:r>
          </w:p>
        </w:tc>
        <w:tc>
          <w:tcPr>
            <w:tcW w:w="1020" w:type="dxa"/>
          </w:tcPr>
          <w:p w14:paraId="773B6319" w14:textId="77777777" w:rsidR="00A60D4B" w:rsidRPr="00317F86" w:rsidRDefault="00A60D4B" w:rsidP="00A60D4B">
            <w:pPr>
              <w:jc w:val="right"/>
              <w:rPr>
                <w:color w:val="000000" w:themeColor="text1"/>
              </w:rPr>
            </w:pPr>
            <w:r w:rsidRPr="00317F86">
              <w:rPr>
                <w:rFonts w:ascii="Calibri" w:hAnsi="Calibri" w:cs="Calibri"/>
                <w:color w:val="000000" w:themeColor="text1"/>
                <w:sz w:val="20"/>
                <w:szCs w:val="20"/>
              </w:rPr>
              <w:t>66,741</w:t>
            </w:r>
          </w:p>
        </w:tc>
        <w:tc>
          <w:tcPr>
            <w:tcW w:w="1020" w:type="dxa"/>
          </w:tcPr>
          <w:p w14:paraId="3C55AE0B" w14:textId="77777777" w:rsidR="00A60D4B" w:rsidRPr="00317F86" w:rsidRDefault="00A60D4B" w:rsidP="00A60D4B">
            <w:pPr>
              <w:jc w:val="right"/>
              <w:rPr>
                <w:color w:val="000000" w:themeColor="text1"/>
              </w:rPr>
            </w:pPr>
            <w:r w:rsidRPr="00317F86">
              <w:rPr>
                <w:rFonts w:ascii="Calibri" w:hAnsi="Calibri" w:cs="Calibri"/>
                <w:color w:val="000000" w:themeColor="text1"/>
                <w:sz w:val="20"/>
                <w:szCs w:val="20"/>
              </w:rPr>
              <w:t>44,764</w:t>
            </w:r>
          </w:p>
        </w:tc>
        <w:tc>
          <w:tcPr>
            <w:tcW w:w="1020" w:type="dxa"/>
          </w:tcPr>
          <w:p w14:paraId="3E02AE7E" w14:textId="77777777" w:rsidR="00A60D4B" w:rsidRPr="00317F86" w:rsidRDefault="00A60D4B" w:rsidP="00A60D4B">
            <w:pPr>
              <w:jc w:val="right"/>
              <w:rPr>
                <w:color w:val="000000" w:themeColor="text1"/>
              </w:rPr>
            </w:pPr>
            <w:r w:rsidRPr="00317F86">
              <w:rPr>
                <w:rFonts w:ascii="Calibri" w:hAnsi="Calibri" w:cs="Calibri"/>
                <w:color w:val="000000" w:themeColor="text1"/>
                <w:sz w:val="20"/>
                <w:szCs w:val="20"/>
              </w:rPr>
              <w:t>5,329</w:t>
            </w:r>
          </w:p>
        </w:tc>
        <w:tc>
          <w:tcPr>
            <w:tcW w:w="1020" w:type="dxa"/>
          </w:tcPr>
          <w:p w14:paraId="07ECF117" w14:textId="77777777" w:rsidR="00A60D4B" w:rsidRPr="00317F86" w:rsidRDefault="00A60D4B" w:rsidP="00A60D4B">
            <w:pPr>
              <w:jc w:val="right"/>
              <w:rPr>
                <w:color w:val="000000" w:themeColor="text1"/>
              </w:rPr>
            </w:pPr>
            <w:r w:rsidRPr="00317F86">
              <w:rPr>
                <w:rFonts w:ascii="Calibri" w:hAnsi="Calibri" w:cs="Calibri"/>
                <w:b/>
                <w:bCs/>
                <w:color w:val="000000" w:themeColor="text1"/>
                <w:sz w:val="20"/>
                <w:szCs w:val="20"/>
              </w:rPr>
              <w:t>139,555</w:t>
            </w:r>
          </w:p>
        </w:tc>
      </w:tr>
      <w:tr w:rsidR="00A60D4B" w14:paraId="510E3F36" w14:textId="77777777" w:rsidTr="00A60D4B">
        <w:tc>
          <w:tcPr>
            <w:tcW w:w="2891" w:type="dxa"/>
            <w:vAlign w:val="bottom"/>
          </w:tcPr>
          <w:p w14:paraId="4E7544E8" w14:textId="77777777" w:rsidR="00A60D4B" w:rsidRDefault="00A60D4B" w:rsidP="00A60D4B">
            <w:r>
              <w:rPr>
                <w:rFonts w:ascii="Calibri" w:hAnsi="Calibri" w:cs="Calibri"/>
                <w:color w:val="000000"/>
                <w:sz w:val="20"/>
                <w:szCs w:val="20"/>
              </w:rPr>
              <w:t>Better Infrastructure Fund</w:t>
            </w:r>
          </w:p>
        </w:tc>
        <w:tc>
          <w:tcPr>
            <w:tcW w:w="1020" w:type="dxa"/>
          </w:tcPr>
          <w:p w14:paraId="03E16A40" w14:textId="77777777" w:rsidR="00A60D4B" w:rsidRPr="00317F86" w:rsidRDefault="00A60D4B" w:rsidP="00A60D4B">
            <w:pPr>
              <w:jc w:val="right"/>
              <w:rPr>
                <w:color w:val="000000" w:themeColor="text1"/>
              </w:rPr>
            </w:pPr>
            <w:r w:rsidRPr="00317F86">
              <w:rPr>
                <w:rFonts w:ascii="Calibri" w:hAnsi="Calibri" w:cs="Calibri"/>
                <w:color w:val="000000" w:themeColor="text1"/>
                <w:sz w:val="20"/>
                <w:szCs w:val="20"/>
              </w:rPr>
              <w:t>0</w:t>
            </w:r>
          </w:p>
        </w:tc>
        <w:tc>
          <w:tcPr>
            <w:tcW w:w="1020" w:type="dxa"/>
          </w:tcPr>
          <w:p w14:paraId="79B5D74A" w14:textId="77777777" w:rsidR="00A60D4B" w:rsidRPr="00317F86" w:rsidRDefault="00A60D4B" w:rsidP="00A60D4B">
            <w:pPr>
              <w:jc w:val="right"/>
              <w:rPr>
                <w:color w:val="000000" w:themeColor="text1"/>
              </w:rPr>
            </w:pPr>
            <w:r w:rsidRPr="00317F86">
              <w:rPr>
                <w:rFonts w:ascii="Calibri" w:hAnsi="Calibri" w:cs="Calibri"/>
                <w:color w:val="000000" w:themeColor="text1"/>
                <w:sz w:val="20"/>
                <w:szCs w:val="20"/>
              </w:rPr>
              <w:t>0</w:t>
            </w:r>
          </w:p>
        </w:tc>
        <w:tc>
          <w:tcPr>
            <w:tcW w:w="1020" w:type="dxa"/>
          </w:tcPr>
          <w:p w14:paraId="50111B02" w14:textId="77777777" w:rsidR="00A60D4B" w:rsidRPr="00317F86" w:rsidRDefault="00A60D4B" w:rsidP="00A60D4B">
            <w:pPr>
              <w:jc w:val="right"/>
              <w:rPr>
                <w:color w:val="000000" w:themeColor="text1"/>
              </w:rPr>
            </w:pPr>
            <w:r w:rsidRPr="00317F86">
              <w:rPr>
                <w:rFonts w:ascii="Calibri" w:hAnsi="Calibri" w:cs="Calibri"/>
                <w:color w:val="000000" w:themeColor="text1"/>
                <w:sz w:val="20"/>
                <w:szCs w:val="20"/>
              </w:rPr>
              <w:t>0</w:t>
            </w:r>
          </w:p>
        </w:tc>
        <w:tc>
          <w:tcPr>
            <w:tcW w:w="1020" w:type="dxa"/>
          </w:tcPr>
          <w:p w14:paraId="3B45EF92" w14:textId="77777777" w:rsidR="00A60D4B" w:rsidRPr="00317F86" w:rsidRDefault="00A60D4B" w:rsidP="00A60D4B">
            <w:pPr>
              <w:jc w:val="right"/>
              <w:rPr>
                <w:color w:val="000000" w:themeColor="text1"/>
              </w:rPr>
            </w:pPr>
            <w:r w:rsidRPr="00317F86">
              <w:rPr>
                <w:rFonts w:ascii="Calibri" w:hAnsi="Calibri" w:cs="Calibri"/>
                <w:color w:val="000000" w:themeColor="text1"/>
                <w:sz w:val="20"/>
                <w:szCs w:val="20"/>
              </w:rPr>
              <w:t>0</w:t>
            </w:r>
          </w:p>
        </w:tc>
        <w:tc>
          <w:tcPr>
            <w:tcW w:w="1020" w:type="dxa"/>
          </w:tcPr>
          <w:p w14:paraId="050497B3" w14:textId="77777777" w:rsidR="00A60D4B" w:rsidRPr="00317F86" w:rsidRDefault="00A60D4B" w:rsidP="00A60D4B">
            <w:pPr>
              <w:jc w:val="right"/>
              <w:rPr>
                <w:color w:val="000000" w:themeColor="text1"/>
              </w:rPr>
            </w:pPr>
            <w:r w:rsidRPr="00317F86">
              <w:rPr>
                <w:rFonts w:ascii="Calibri" w:hAnsi="Calibri" w:cs="Calibri"/>
                <w:color w:val="000000" w:themeColor="text1"/>
                <w:sz w:val="20"/>
                <w:szCs w:val="20"/>
              </w:rPr>
              <w:t>0</w:t>
            </w:r>
          </w:p>
        </w:tc>
        <w:tc>
          <w:tcPr>
            <w:tcW w:w="1020" w:type="dxa"/>
          </w:tcPr>
          <w:p w14:paraId="1C3C5179" w14:textId="77777777" w:rsidR="00A60D4B" w:rsidRPr="00317F86" w:rsidRDefault="00A60D4B" w:rsidP="00A60D4B">
            <w:pPr>
              <w:jc w:val="right"/>
              <w:rPr>
                <w:color w:val="000000" w:themeColor="text1"/>
              </w:rPr>
            </w:pPr>
            <w:r w:rsidRPr="00317F86">
              <w:rPr>
                <w:rFonts w:ascii="Calibri" w:hAnsi="Calibri" w:cs="Calibri"/>
                <w:b/>
                <w:bCs/>
                <w:color w:val="000000" w:themeColor="text1"/>
                <w:sz w:val="20"/>
                <w:szCs w:val="20"/>
              </w:rPr>
              <w:t>0</w:t>
            </w:r>
          </w:p>
        </w:tc>
      </w:tr>
      <w:tr w:rsidR="00A60D4B" w14:paraId="620C9B00" w14:textId="77777777" w:rsidTr="00A60D4B">
        <w:tc>
          <w:tcPr>
            <w:tcW w:w="2891" w:type="dxa"/>
            <w:vAlign w:val="bottom"/>
          </w:tcPr>
          <w:p w14:paraId="2A9BD38F" w14:textId="77777777" w:rsidR="00A60D4B" w:rsidRDefault="00A60D4B" w:rsidP="00A60D4B">
            <w:r>
              <w:rPr>
                <w:rFonts w:ascii="Calibri" w:hAnsi="Calibri" w:cs="Calibri"/>
                <w:color w:val="000000"/>
                <w:sz w:val="20"/>
                <w:szCs w:val="20"/>
              </w:rPr>
              <w:t>Works-in-progress</w:t>
            </w:r>
          </w:p>
        </w:tc>
        <w:tc>
          <w:tcPr>
            <w:tcW w:w="1020" w:type="dxa"/>
          </w:tcPr>
          <w:p w14:paraId="370FDFBB" w14:textId="77777777" w:rsidR="00A60D4B" w:rsidRPr="00317F86" w:rsidRDefault="00A60D4B" w:rsidP="00A60D4B">
            <w:pPr>
              <w:jc w:val="right"/>
              <w:rPr>
                <w:color w:val="000000" w:themeColor="text1"/>
              </w:rPr>
            </w:pPr>
            <w:r w:rsidRPr="00317F86">
              <w:rPr>
                <w:rFonts w:ascii="Calibri" w:hAnsi="Calibri" w:cs="Calibri"/>
                <w:color w:val="000000" w:themeColor="text1"/>
                <w:sz w:val="20"/>
                <w:szCs w:val="20"/>
              </w:rPr>
              <w:t>0</w:t>
            </w:r>
          </w:p>
        </w:tc>
        <w:tc>
          <w:tcPr>
            <w:tcW w:w="1020" w:type="dxa"/>
          </w:tcPr>
          <w:p w14:paraId="7706C70C" w14:textId="77777777" w:rsidR="00A60D4B" w:rsidRPr="00317F86" w:rsidRDefault="00A60D4B" w:rsidP="00A60D4B">
            <w:pPr>
              <w:jc w:val="right"/>
              <w:rPr>
                <w:color w:val="000000" w:themeColor="text1"/>
              </w:rPr>
            </w:pPr>
            <w:r w:rsidRPr="00317F86">
              <w:rPr>
                <w:rFonts w:ascii="Calibri" w:hAnsi="Calibri" w:cs="Calibri"/>
                <w:color w:val="000000" w:themeColor="text1"/>
                <w:sz w:val="20"/>
                <w:szCs w:val="20"/>
              </w:rPr>
              <w:t>328,653</w:t>
            </w:r>
          </w:p>
        </w:tc>
        <w:tc>
          <w:tcPr>
            <w:tcW w:w="1020" w:type="dxa"/>
          </w:tcPr>
          <w:p w14:paraId="5A0F0773" w14:textId="77777777" w:rsidR="00A60D4B" w:rsidRPr="00317F86" w:rsidRDefault="00A60D4B" w:rsidP="00A60D4B">
            <w:pPr>
              <w:jc w:val="right"/>
              <w:rPr>
                <w:color w:val="000000" w:themeColor="text1"/>
              </w:rPr>
            </w:pPr>
            <w:r w:rsidRPr="00317F86">
              <w:rPr>
                <w:rFonts w:ascii="Calibri" w:hAnsi="Calibri" w:cs="Calibri"/>
                <w:color w:val="000000" w:themeColor="text1"/>
                <w:sz w:val="20"/>
                <w:szCs w:val="20"/>
              </w:rPr>
              <w:t>327,418</w:t>
            </w:r>
          </w:p>
        </w:tc>
        <w:tc>
          <w:tcPr>
            <w:tcW w:w="1020" w:type="dxa"/>
          </w:tcPr>
          <w:p w14:paraId="0D9DBCCB" w14:textId="77777777" w:rsidR="00A60D4B" w:rsidRPr="00317F86" w:rsidRDefault="00A60D4B" w:rsidP="00A60D4B">
            <w:pPr>
              <w:jc w:val="right"/>
              <w:rPr>
                <w:color w:val="000000" w:themeColor="text1"/>
              </w:rPr>
            </w:pPr>
            <w:r w:rsidRPr="00317F86">
              <w:rPr>
                <w:rFonts w:ascii="Calibri" w:hAnsi="Calibri" w:cs="Calibri"/>
                <w:color w:val="000000" w:themeColor="text1"/>
                <w:sz w:val="20"/>
                <w:szCs w:val="20"/>
              </w:rPr>
              <w:t>303,720</w:t>
            </w:r>
          </w:p>
        </w:tc>
        <w:tc>
          <w:tcPr>
            <w:tcW w:w="1020" w:type="dxa"/>
          </w:tcPr>
          <w:p w14:paraId="77606E71" w14:textId="77777777" w:rsidR="00A60D4B" w:rsidRPr="00317F86" w:rsidRDefault="00A60D4B" w:rsidP="00A60D4B">
            <w:pPr>
              <w:jc w:val="right"/>
              <w:rPr>
                <w:color w:val="000000" w:themeColor="text1"/>
              </w:rPr>
            </w:pPr>
            <w:r w:rsidRPr="00317F86">
              <w:rPr>
                <w:rFonts w:ascii="Calibri" w:hAnsi="Calibri" w:cs="Calibri"/>
                <w:color w:val="000000" w:themeColor="text1"/>
                <w:sz w:val="20"/>
                <w:szCs w:val="20"/>
              </w:rPr>
              <w:t>356,656</w:t>
            </w:r>
          </w:p>
        </w:tc>
        <w:tc>
          <w:tcPr>
            <w:tcW w:w="1020" w:type="dxa"/>
          </w:tcPr>
          <w:p w14:paraId="4979D5D1" w14:textId="77777777" w:rsidR="00A60D4B" w:rsidRPr="00317F86" w:rsidRDefault="00A60D4B" w:rsidP="00A60D4B">
            <w:pPr>
              <w:jc w:val="right"/>
              <w:rPr>
                <w:color w:val="000000" w:themeColor="text1"/>
              </w:rPr>
            </w:pPr>
            <w:r w:rsidRPr="00317F86">
              <w:rPr>
                <w:rFonts w:ascii="Calibri" w:hAnsi="Calibri" w:cs="Calibri"/>
                <w:b/>
                <w:bCs/>
                <w:color w:val="000000" w:themeColor="text1"/>
                <w:sz w:val="20"/>
                <w:szCs w:val="20"/>
              </w:rPr>
              <w:t>1,316,447</w:t>
            </w:r>
          </w:p>
        </w:tc>
      </w:tr>
      <w:tr w:rsidR="00A60D4B" w14:paraId="6FCB3946" w14:textId="77777777" w:rsidTr="00A60D4B">
        <w:trPr>
          <w:trHeight w:val="397"/>
        </w:trPr>
        <w:tc>
          <w:tcPr>
            <w:tcW w:w="2891" w:type="dxa"/>
          </w:tcPr>
          <w:p w14:paraId="18A3344E" w14:textId="77777777" w:rsidR="00A60D4B" w:rsidRDefault="00A60D4B" w:rsidP="00A60D4B">
            <w:r>
              <w:rPr>
                <w:rFonts w:ascii="Calibri" w:hAnsi="Calibri" w:cs="Calibri"/>
                <w:b/>
                <w:bCs/>
                <w:color w:val="000000"/>
                <w:sz w:val="20"/>
                <w:szCs w:val="20"/>
              </w:rPr>
              <w:t>Total Central Capital Provisions</w:t>
            </w:r>
          </w:p>
        </w:tc>
        <w:tc>
          <w:tcPr>
            <w:tcW w:w="1020" w:type="dxa"/>
          </w:tcPr>
          <w:p w14:paraId="481A5DFE" w14:textId="77777777" w:rsidR="00A60D4B" w:rsidRPr="00317F86" w:rsidRDefault="00A60D4B" w:rsidP="00A60D4B">
            <w:pPr>
              <w:jc w:val="right"/>
              <w:rPr>
                <w:color w:val="000000" w:themeColor="text1"/>
              </w:rPr>
            </w:pPr>
            <w:r w:rsidRPr="00317F86">
              <w:rPr>
                <w:rFonts w:ascii="Calibri" w:hAnsi="Calibri" w:cs="Calibri"/>
                <w:b/>
                <w:bCs/>
                <w:color w:val="000000" w:themeColor="text1"/>
                <w:sz w:val="20"/>
                <w:szCs w:val="20"/>
              </w:rPr>
              <w:t>0</w:t>
            </w:r>
          </w:p>
        </w:tc>
        <w:tc>
          <w:tcPr>
            <w:tcW w:w="1020" w:type="dxa"/>
          </w:tcPr>
          <w:p w14:paraId="3694A1F4" w14:textId="77777777" w:rsidR="00A60D4B" w:rsidRPr="00317F86" w:rsidRDefault="00A60D4B" w:rsidP="00A60D4B">
            <w:pPr>
              <w:jc w:val="right"/>
              <w:rPr>
                <w:color w:val="000000" w:themeColor="text1"/>
              </w:rPr>
            </w:pPr>
            <w:r w:rsidRPr="00317F86">
              <w:rPr>
                <w:rFonts w:ascii="Calibri" w:hAnsi="Calibri" w:cs="Calibri"/>
                <w:b/>
                <w:bCs/>
                <w:color w:val="000000" w:themeColor="text1"/>
                <w:sz w:val="20"/>
                <w:szCs w:val="20"/>
              </w:rPr>
              <w:t>351,374</w:t>
            </w:r>
          </w:p>
        </w:tc>
        <w:tc>
          <w:tcPr>
            <w:tcW w:w="1020" w:type="dxa"/>
          </w:tcPr>
          <w:p w14:paraId="7F15EED2" w14:textId="77777777" w:rsidR="00A60D4B" w:rsidRPr="00317F86" w:rsidRDefault="00A60D4B" w:rsidP="00A60D4B">
            <w:pPr>
              <w:jc w:val="right"/>
              <w:rPr>
                <w:color w:val="000000" w:themeColor="text1"/>
              </w:rPr>
            </w:pPr>
            <w:r w:rsidRPr="00317F86">
              <w:rPr>
                <w:rFonts w:ascii="Calibri" w:hAnsi="Calibri" w:cs="Calibri"/>
                <w:b/>
                <w:bCs/>
                <w:color w:val="000000" w:themeColor="text1"/>
                <w:sz w:val="20"/>
                <w:szCs w:val="20"/>
              </w:rPr>
              <w:t>394,159</w:t>
            </w:r>
          </w:p>
        </w:tc>
        <w:tc>
          <w:tcPr>
            <w:tcW w:w="1020" w:type="dxa"/>
          </w:tcPr>
          <w:p w14:paraId="0777DEAF" w14:textId="77777777" w:rsidR="00A60D4B" w:rsidRPr="00317F86" w:rsidRDefault="00A60D4B" w:rsidP="00A60D4B">
            <w:pPr>
              <w:jc w:val="right"/>
              <w:rPr>
                <w:color w:val="000000" w:themeColor="text1"/>
              </w:rPr>
            </w:pPr>
            <w:r w:rsidRPr="00317F86">
              <w:rPr>
                <w:rFonts w:ascii="Calibri" w:hAnsi="Calibri" w:cs="Calibri"/>
                <w:b/>
                <w:bCs/>
                <w:color w:val="000000" w:themeColor="text1"/>
                <w:sz w:val="20"/>
                <w:szCs w:val="20"/>
              </w:rPr>
              <w:t>348,484</w:t>
            </w:r>
          </w:p>
        </w:tc>
        <w:tc>
          <w:tcPr>
            <w:tcW w:w="1020" w:type="dxa"/>
          </w:tcPr>
          <w:p w14:paraId="1CA6A4BC" w14:textId="77777777" w:rsidR="00A60D4B" w:rsidRPr="00317F86" w:rsidRDefault="00A60D4B" w:rsidP="00A60D4B">
            <w:pPr>
              <w:jc w:val="right"/>
              <w:rPr>
                <w:color w:val="000000" w:themeColor="text1"/>
              </w:rPr>
            </w:pPr>
            <w:r w:rsidRPr="00317F86">
              <w:rPr>
                <w:rFonts w:ascii="Calibri" w:hAnsi="Calibri" w:cs="Calibri"/>
                <w:b/>
                <w:bCs/>
                <w:color w:val="000000" w:themeColor="text1"/>
                <w:sz w:val="20"/>
                <w:szCs w:val="20"/>
              </w:rPr>
              <w:t>361,985</w:t>
            </w:r>
          </w:p>
        </w:tc>
        <w:tc>
          <w:tcPr>
            <w:tcW w:w="1020" w:type="dxa"/>
          </w:tcPr>
          <w:p w14:paraId="400A8CE0" w14:textId="77777777" w:rsidR="00A60D4B" w:rsidRPr="00317F86" w:rsidRDefault="00A60D4B" w:rsidP="00A60D4B">
            <w:pPr>
              <w:jc w:val="right"/>
              <w:rPr>
                <w:color w:val="000000" w:themeColor="text1"/>
              </w:rPr>
            </w:pPr>
            <w:r w:rsidRPr="00317F86">
              <w:rPr>
                <w:rFonts w:ascii="Calibri" w:hAnsi="Calibri" w:cs="Calibri"/>
                <w:b/>
                <w:bCs/>
                <w:color w:val="000000" w:themeColor="text1"/>
                <w:sz w:val="20"/>
                <w:szCs w:val="20"/>
              </w:rPr>
              <w:t>1,456,002</w:t>
            </w:r>
          </w:p>
        </w:tc>
      </w:tr>
      <w:tr w:rsidR="00A60D4B" w14:paraId="7898FF9D" w14:textId="77777777" w:rsidTr="00A60D4B">
        <w:trPr>
          <w:trHeight w:val="367"/>
        </w:trPr>
        <w:tc>
          <w:tcPr>
            <w:tcW w:w="2891" w:type="dxa"/>
            <w:tcBorders>
              <w:bottom w:val="single" w:sz="4" w:space="0" w:color="auto"/>
            </w:tcBorders>
          </w:tcPr>
          <w:p w14:paraId="626132B5" w14:textId="77777777" w:rsidR="00A60D4B" w:rsidRDefault="00A60D4B" w:rsidP="00A60D4B">
            <w:r>
              <w:rPr>
                <w:rFonts w:ascii="Calibri" w:hAnsi="Calibri" w:cs="Calibri"/>
                <w:b/>
                <w:bCs/>
                <w:color w:val="000000"/>
                <w:sz w:val="20"/>
                <w:szCs w:val="20"/>
              </w:rPr>
              <w:t xml:space="preserve">TOTAL INFRASTRUCTURE INVESTMENT PROGRAM </w:t>
            </w:r>
          </w:p>
        </w:tc>
        <w:tc>
          <w:tcPr>
            <w:tcW w:w="1020" w:type="dxa"/>
            <w:tcBorders>
              <w:bottom w:val="single" w:sz="4" w:space="0" w:color="auto"/>
            </w:tcBorders>
          </w:tcPr>
          <w:p w14:paraId="45E32265" w14:textId="77777777" w:rsidR="00A60D4B" w:rsidRDefault="00A60D4B" w:rsidP="00A60D4B">
            <w:pPr>
              <w:jc w:val="right"/>
            </w:pPr>
            <w:r>
              <w:rPr>
                <w:rFonts w:ascii="Calibri" w:hAnsi="Calibri" w:cs="Calibri"/>
                <w:b/>
                <w:bCs/>
                <w:color w:val="000000"/>
                <w:sz w:val="20"/>
                <w:szCs w:val="20"/>
              </w:rPr>
              <w:t>1,028,599</w:t>
            </w:r>
          </w:p>
        </w:tc>
        <w:tc>
          <w:tcPr>
            <w:tcW w:w="1020" w:type="dxa"/>
            <w:tcBorders>
              <w:bottom w:val="single" w:sz="4" w:space="0" w:color="auto"/>
            </w:tcBorders>
          </w:tcPr>
          <w:p w14:paraId="35AB51F6" w14:textId="77777777" w:rsidR="00A60D4B" w:rsidRDefault="00A60D4B" w:rsidP="00A60D4B">
            <w:pPr>
              <w:jc w:val="right"/>
            </w:pPr>
            <w:r>
              <w:rPr>
                <w:rFonts w:ascii="Calibri" w:hAnsi="Calibri" w:cs="Calibri"/>
                <w:b/>
                <w:bCs/>
                <w:color w:val="000000"/>
                <w:sz w:val="20"/>
                <w:szCs w:val="20"/>
              </w:rPr>
              <w:t>1,558,039</w:t>
            </w:r>
          </w:p>
        </w:tc>
        <w:tc>
          <w:tcPr>
            <w:tcW w:w="1020" w:type="dxa"/>
            <w:tcBorders>
              <w:bottom w:val="single" w:sz="4" w:space="0" w:color="auto"/>
            </w:tcBorders>
          </w:tcPr>
          <w:p w14:paraId="087418F8" w14:textId="77777777" w:rsidR="00A60D4B" w:rsidRDefault="00A60D4B" w:rsidP="00A60D4B">
            <w:pPr>
              <w:jc w:val="right"/>
            </w:pPr>
            <w:r>
              <w:rPr>
                <w:rFonts w:ascii="Calibri" w:hAnsi="Calibri" w:cs="Calibri"/>
                <w:b/>
                <w:bCs/>
                <w:color w:val="000000"/>
                <w:sz w:val="20"/>
                <w:szCs w:val="20"/>
              </w:rPr>
              <w:t>1,186,259</w:t>
            </w:r>
          </w:p>
        </w:tc>
        <w:tc>
          <w:tcPr>
            <w:tcW w:w="1020" w:type="dxa"/>
            <w:tcBorders>
              <w:bottom w:val="single" w:sz="4" w:space="0" w:color="auto"/>
            </w:tcBorders>
          </w:tcPr>
          <w:p w14:paraId="68EEAA53" w14:textId="77777777" w:rsidR="00A60D4B" w:rsidRDefault="00A60D4B" w:rsidP="00A60D4B">
            <w:pPr>
              <w:jc w:val="right"/>
            </w:pPr>
            <w:r>
              <w:rPr>
                <w:rFonts w:ascii="Calibri" w:hAnsi="Calibri" w:cs="Calibri"/>
                <w:b/>
                <w:bCs/>
                <w:color w:val="000000"/>
                <w:sz w:val="20"/>
                <w:szCs w:val="20"/>
              </w:rPr>
              <w:t>709,887</w:t>
            </w:r>
          </w:p>
        </w:tc>
        <w:tc>
          <w:tcPr>
            <w:tcW w:w="1020" w:type="dxa"/>
            <w:tcBorders>
              <w:bottom w:val="single" w:sz="4" w:space="0" w:color="auto"/>
            </w:tcBorders>
          </w:tcPr>
          <w:p w14:paraId="27090FE4" w14:textId="77777777" w:rsidR="00A60D4B" w:rsidRDefault="00A60D4B" w:rsidP="00A60D4B">
            <w:pPr>
              <w:jc w:val="right"/>
            </w:pPr>
            <w:r>
              <w:rPr>
                <w:rFonts w:ascii="Calibri" w:hAnsi="Calibri" w:cs="Calibri"/>
                <w:b/>
                <w:bCs/>
                <w:color w:val="000000"/>
                <w:sz w:val="20"/>
                <w:szCs w:val="20"/>
              </w:rPr>
              <w:t>483,685</w:t>
            </w:r>
          </w:p>
        </w:tc>
        <w:tc>
          <w:tcPr>
            <w:tcW w:w="1020" w:type="dxa"/>
            <w:tcBorders>
              <w:bottom w:val="single" w:sz="4" w:space="0" w:color="auto"/>
            </w:tcBorders>
          </w:tcPr>
          <w:p w14:paraId="21B35A39" w14:textId="77777777" w:rsidR="00A60D4B" w:rsidRDefault="00A60D4B" w:rsidP="00A60D4B">
            <w:pPr>
              <w:jc w:val="right"/>
            </w:pPr>
            <w:r>
              <w:rPr>
                <w:rFonts w:ascii="Calibri" w:hAnsi="Calibri" w:cs="Calibri"/>
                <w:b/>
                <w:bCs/>
                <w:color w:val="000000"/>
                <w:sz w:val="20"/>
                <w:szCs w:val="20"/>
              </w:rPr>
              <w:t>4,966,469</w:t>
            </w:r>
          </w:p>
        </w:tc>
      </w:tr>
      <w:bookmarkEnd w:id="132"/>
    </w:tbl>
    <w:p w14:paraId="2093321B" w14:textId="77777777" w:rsidR="00A60D4B" w:rsidRDefault="00A60D4B" w:rsidP="00A60D4B">
      <w:pPr>
        <w:rPr>
          <w:rFonts w:ascii="Calibri" w:eastAsiaTheme="majorEastAsia" w:hAnsi="Calibri" w:cstheme="majorBidi"/>
          <w:b/>
          <w:iCs/>
          <w:sz w:val="28"/>
        </w:rPr>
      </w:pPr>
    </w:p>
    <w:p w14:paraId="49F60A41" w14:textId="77777777" w:rsidR="00A60D4B" w:rsidRPr="00716D8B" w:rsidRDefault="00A60D4B" w:rsidP="00A60D4B">
      <w:pPr>
        <w:rPr>
          <w:rFonts w:ascii="Calibri" w:eastAsiaTheme="majorEastAsia" w:hAnsi="Calibri" w:cstheme="majorBidi"/>
          <w:b/>
          <w:iCs/>
          <w:sz w:val="28"/>
        </w:rPr>
      </w:pPr>
      <w:r w:rsidRPr="00716D8B">
        <w:rPr>
          <w:rFonts w:ascii="Calibri" w:eastAsiaTheme="majorEastAsia" w:hAnsi="Calibri" w:cstheme="majorBidi"/>
          <w:b/>
          <w:iCs/>
          <w:sz w:val="28"/>
        </w:rPr>
        <w:t xml:space="preserve">Public </w:t>
      </w:r>
      <w:r>
        <w:rPr>
          <w:rFonts w:ascii="Calibri" w:eastAsiaTheme="majorEastAsia" w:hAnsi="Calibri" w:cstheme="majorBidi"/>
          <w:b/>
          <w:iCs/>
          <w:sz w:val="28"/>
        </w:rPr>
        <w:t>t</w:t>
      </w:r>
      <w:r w:rsidRPr="00716D8B">
        <w:rPr>
          <w:rFonts w:ascii="Calibri" w:eastAsiaTheme="majorEastAsia" w:hAnsi="Calibri" w:cstheme="majorBidi"/>
          <w:b/>
          <w:iCs/>
          <w:sz w:val="28"/>
        </w:rPr>
        <w:t xml:space="preserve">rading </w:t>
      </w:r>
      <w:r>
        <w:rPr>
          <w:rFonts w:ascii="Calibri" w:eastAsiaTheme="majorEastAsia" w:hAnsi="Calibri" w:cstheme="majorBidi"/>
          <w:b/>
          <w:iCs/>
          <w:sz w:val="28"/>
        </w:rPr>
        <w:t>e</w:t>
      </w:r>
      <w:r w:rsidRPr="00716D8B">
        <w:rPr>
          <w:rFonts w:ascii="Calibri" w:eastAsiaTheme="majorEastAsia" w:hAnsi="Calibri" w:cstheme="majorBidi"/>
          <w:b/>
          <w:iCs/>
          <w:sz w:val="28"/>
        </w:rPr>
        <w:t>nterprises</w:t>
      </w:r>
      <w:r>
        <w:rPr>
          <w:rFonts w:ascii="Calibri" w:eastAsiaTheme="majorEastAsia" w:hAnsi="Calibri" w:cstheme="majorBidi"/>
          <w:b/>
          <w:iCs/>
          <w:sz w:val="28"/>
        </w:rPr>
        <w:t xml:space="preserve"> infrastructure investment program</w:t>
      </w:r>
    </w:p>
    <w:p w14:paraId="7EF42E49" w14:textId="77777777" w:rsidR="00A60D4B" w:rsidRPr="00474946" w:rsidRDefault="00A60D4B" w:rsidP="00A60D4B">
      <w:pPr>
        <w:pStyle w:val="Bbodytext"/>
      </w:pPr>
      <w:r w:rsidRPr="00474946">
        <w:t>In 2021-22, Public Trading Enterprises (PTEs) with their own infrastructure programs are expected to undertake new works totalling $372 million and $1.4 billion over the five years to 2025-26. These programs below are funded outside of the budget through each entity’s own-source revenue or borrowing, as detailed in Table 3.</w:t>
      </w:r>
      <w:r>
        <w:t>7.</w:t>
      </w:r>
      <w:r w:rsidRPr="00474946">
        <w:t>3.</w:t>
      </w:r>
    </w:p>
    <w:p w14:paraId="78A09C14" w14:textId="77777777" w:rsidR="00A60D4B" w:rsidRPr="005B3FAC" w:rsidRDefault="00A60D4B" w:rsidP="00A60D4B">
      <w:pPr>
        <w:pStyle w:val="Caption"/>
        <w:rPr>
          <w:highlight w:val="cyan"/>
        </w:rPr>
      </w:pPr>
      <w:r>
        <w:t>Table 3.7.3: Summary of Public Trading Enterprises’ infrastructure program – 2021-22 to 2025</w:t>
      </w:r>
      <w:r>
        <w:noBreakHyphen/>
        <w:t>26</w:t>
      </w:r>
      <w:r w:rsidRPr="00595E1D">
        <w:rPr>
          <w:vertAlign w:val="superscript"/>
        </w:rPr>
        <w:t>1</w:t>
      </w:r>
      <w:r>
        <w:t xml:space="preserve"> </w:t>
      </w:r>
    </w:p>
    <w:tbl>
      <w:tblPr>
        <w:tblStyle w:val="TableGrid"/>
        <w:tblW w:w="900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6"/>
        <w:gridCol w:w="1122"/>
        <w:gridCol w:w="1123"/>
        <w:gridCol w:w="1123"/>
        <w:gridCol w:w="1123"/>
        <w:gridCol w:w="1123"/>
        <w:gridCol w:w="1123"/>
      </w:tblGrid>
      <w:tr w:rsidR="00A60D4B" w:rsidRPr="005B3FAC" w14:paraId="364D1199" w14:textId="77777777" w:rsidTr="00A60D4B">
        <w:tc>
          <w:tcPr>
            <w:tcW w:w="2266" w:type="dxa"/>
            <w:tcBorders>
              <w:bottom w:val="single" w:sz="4" w:space="0" w:color="auto"/>
            </w:tcBorders>
            <w:shd w:val="clear" w:color="auto" w:fill="472D8C"/>
          </w:tcPr>
          <w:p w14:paraId="4490AB51" w14:textId="77777777" w:rsidR="00A60D4B" w:rsidRPr="00792FD7" w:rsidRDefault="00A60D4B" w:rsidP="00A60D4B">
            <w:pPr>
              <w:pStyle w:val="BTableHeadingRowRightAligned"/>
              <w:jc w:val="left"/>
              <w:rPr>
                <w:color w:val="FFFFFF" w:themeColor="background1"/>
              </w:rPr>
            </w:pPr>
            <w:r w:rsidRPr="00792FD7">
              <w:rPr>
                <w:color w:val="FFFFFF" w:themeColor="background1"/>
              </w:rPr>
              <w:t>Agency</w:t>
            </w:r>
          </w:p>
        </w:tc>
        <w:tc>
          <w:tcPr>
            <w:tcW w:w="1122" w:type="dxa"/>
            <w:tcBorders>
              <w:bottom w:val="single" w:sz="4" w:space="0" w:color="auto"/>
            </w:tcBorders>
            <w:shd w:val="clear" w:color="auto" w:fill="472D8C"/>
          </w:tcPr>
          <w:p w14:paraId="7D092C99" w14:textId="77777777" w:rsidR="00A60D4B" w:rsidRPr="00792FD7" w:rsidRDefault="00A60D4B" w:rsidP="00A60D4B">
            <w:pPr>
              <w:pStyle w:val="BTableHeadingRowRightAligned"/>
              <w:rPr>
                <w:color w:val="FFFFFF" w:themeColor="background1"/>
              </w:rPr>
            </w:pPr>
            <w:r w:rsidRPr="00792FD7">
              <w:rPr>
                <w:color w:val="FFFFFF" w:themeColor="background1"/>
              </w:rPr>
              <w:t>Financing</w:t>
            </w:r>
          </w:p>
          <w:p w14:paraId="6400D22E" w14:textId="77777777" w:rsidR="00A60D4B" w:rsidRPr="00792FD7" w:rsidRDefault="00A60D4B" w:rsidP="00A60D4B">
            <w:pPr>
              <w:pStyle w:val="BTableHeadingRowRightAligned"/>
              <w:rPr>
                <w:color w:val="FFFFFF" w:themeColor="background1"/>
              </w:rPr>
            </w:pPr>
            <w:r w:rsidRPr="00792FD7">
              <w:rPr>
                <w:color w:val="FFFFFF" w:themeColor="background1"/>
              </w:rPr>
              <w:t>2021-22</w:t>
            </w:r>
          </w:p>
          <w:p w14:paraId="0E8C1E6F" w14:textId="77777777" w:rsidR="00A60D4B" w:rsidRPr="00792FD7" w:rsidRDefault="00A60D4B" w:rsidP="00A60D4B">
            <w:pPr>
              <w:pStyle w:val="BTableHeadingRowRightAligned"/>
              <w:rPr>
                <w:color w:val="FFFFFF" w:themeColor="background1"/>
              </w:rPr>
            </w:pPr>
            <w:r w:rsidRPr="00792FD7">
              <w:rPr>
                <w:color w:val="FFFFFF" w:themeColor="background1"/>
              </w:rPr>
              <w:t>$’000</w:t>
            </w:r>
          </w:p>
        </w:tc>
        <w:tc>
          <w:tcPr>
            <w:tcW w:w="1123" w:type="dxa"/>
            <w:tcBorders>
              <w:bottom w:val="single" w:sz="4" w:space="0" w:color="auto"/>
            </w:tcBorders>
            <w:shd w:val="clear" w:color="auto" w:fill="472D8C"/>
          </w:tcPr>
          <w:p w14:paraId="30783522" w14:textId="77777777" w:rsidR="00A60D4B" w:rsidRPr="00792FD7" w:rsidRDefault="00A60D4B" w:rsidP="00A60D4B">
            <w:pPr>
              <w:pStyle w:val="BTableHeadingRowRightAligned"/>
              <w:rPr>
                <w:color w:val="FFFFFF" w:themeColor="background1"/>
              </w:rPr>
            </w:pPr>
            <w:r w:rsidRPr="00792FD7">
              <w:rPr>
                <w:color w:val="FFFFFF" w:themeColor="background1"/>
              </w:rPr>
              <w:t>Financing</w:t>
            </w:r>
          </w:p>
          <w:p w14:paraId="0E9B24A8" w14:textId="77777777" w:rsidR="00A60D4B" w:rsidRPr="00792FD7" w:rsidRDefault="00A60D4B" w:rsidP="00A60D4B">
            <w:pPr>
              <w:pStyle w:val="BTableHeadingRowRightAligned"/>
              <w:rPr>
                <w:color w:val="FFFFFF" w:themeColor="background1"/>
              </w:rPr>
            </w:pPr>
            <w:r w:rsidRPr="00792FD7">
              <w:rPr>
                <w:color w:val="FFFFFF" w:themeColor="background1"/>
              </w:rPr>
              <w:t>2022-23</w:t>
            </w:r>
          </w:p>
          <w:p w14:paraId="70DA098F" w14:textId="77777777" w:rsidR="00A60D4B" w:rsidRPr="00792FD7" w:rsidRDefault="00A60D4B" w:rsidP="00A60D4B">
            <w:pPr>
              <w:pStyle w:val="BTableHeadingRowRightAligned"/>
              <w:rPr>
                <w:color w:val="FFFFFF" w:themeColor="background1"/>
              </w:rPr>
            </w:pPr>
            <w:r w:rsidRPr="00792FD7">
              <w:rPr>
                <w:color w:val="FFFFFF" w:themeColor="background1"/>
              </w:rPr>
              <w:t>$’000</w:t>
            </w:r>
          </w:p>
        </w:tc>
        <w:tc>
          <w:tcPr>
            <w:tcW w:w="1123" w:type="dxa"/>
            <w:tcBorders>
              <w:bottom w:val="single" w:sz="4" w:space="0" w:color="auto"/>
            </w:tcBorders>
            <w:shd w:val="clear" w:color="auto" w:fill="472D8C"/>
          </w:tcPr>
          <w:p w14:paraId="77ADAC8E" w14:textId="77777777" w:rsidR="00A60D4B" w:rsidRPr="00792FD7" w:rsidRDefault="00A60D4B" w:rsidP="00A60D4B">
            <w:pPr>
              <w:pStyle w:val="BTableHeadingRowRightAligned"/>
              <w:rPr>
                <w:color w:val="FFFFFF" w:themeColor="background1"/>
              </w:rPr>
            </w:pPr>
            <w:r w:rsidRPr="00792FD7">
              <w:rPr>
                <w:color w:val="FFFFFF" w:themeColor="background1"/>
              </w:rPr>
              <w:t>Financing</w:t>
            </w:r>
          </w:p>
          <w:p w14:paraId="5CC1BC4B" w14:textId="77777777" w:rsidR="00A60D4B" w:rsidRPr="00792FD7" w:rsidRDefault="00A60D4B" w:rsidP="00A60D4B">
            <w:pPr>
              <w:pStyle w:val="BTableHeadingRowRightAligned"/>
              <w:rPr>
                <w:color w:val="FFFFFF" w:themeColor="background1"/>
              </w:rPr>
            </w:pPr>
            <w:r w:rsidRPr="00792FD7">
              <w:rPr>
                <w:color w:val="FFFFFF" w:themeColor="background1"/>
              </w:rPr>
              <w:t>2023-24</w:t>
            </w:r>
          </w:p>
          <w:p w14:paraId="0F617B11" w14:textId="77777777" w:rsidR="00A60D4B" w:rsidRPr="00792FD7" w:rsidRDefault="00A60D4B" w:rsidP="00A60D4B">
            <w:pPr>
              <w:pStyle w:val="BTableHeadingRowRightAligned"/>
              <w:rPr>
                <w:color w:val="FFFFFF" w:themeColor="background1"/>
              </w:rPr>
            </w:pPr>
            <w:r w:rsidRPr="00792FD7">
              <w:rPr>
                <w:color w:val="FFFFFF" w:themeColor="background1"/>
              </w:rPr>
              <w:t>$’000</w:t>
            </w:r>
          </w:p>
        </w:tc>
        <w:tc>
          <w:tcPr>
            <w:tcW w:w="1123" w:type="dxa"/>
            <w:tcBorders>
              <w:bottom w:val="single" w:sz="4" w:space="0" w:color="auto"/>
            </w:tcBorders>
            <w:shd w:val="clear" w:color="auto" w:fill="472D8C"/>
          </w:tcPr>
          <w:p w14:paraId="29BAEB48" w14:textId="77777777" w:rsidR="00A60D4B" w:rsidRPr="00792FD7" w:rsidRDefault="00A60D4B" w:rsidP="00A60D4B">
            <w:pPr>
              <w:pStyle w:val="BTableHeadingRowRightAligned"/>
              <w:rPr>
                <w:color w:val="FFFFFF" w:themeColor="background1"/>
              </w:rPr>
            </w:pPr>
            <w:r w:rsidRPr="00792FD7">
              <w:rPr>
                <w:color w:val="FFFFFF" w:themeColor="background1"/>
              </w:rPr>
              <w:t>Financing</w:t>
            </w:r>
          </w:p>
          <w:p w14:paraId="02E0F42A" w14:textId="77777777" w:rsidR="00A60D4B" w:rsidRPr="00792FD7" w:rsidRDefault="00A60D4B" w:rsidP="00A60D4B">
            <w:pPr>
              <w:pStyle w:val="BTableHeadingRowRightAligned"/>
              <w:rPr>
                <w:color w:val="FFFFFF" w:themeColor="background1"/>
              </w:rPr>
            </w:pPr>
            <w:r w:rsidRPr="00792FD7">
              <w:rPr>
                <w:color w:val="FFFFFF" w:themeColor="background1"/>
              </w:rPr>
              <w:t>2024-25</w:t>
            </w:r>
          </w:p>
          <w:p w14:paraId="0B039BEB" w14:textId="77777777" w:rsidR="00A60D4B" w:rsidRPr="00792FD7" w:rsidRDefault="00A60D4B" w:rsidP="00A60D4B">
            <w:pPr>
              <w:pStyle w:val="BTableHeadingRowRightAligned"/>
              <w:rPr>
                <w:color w:val="FFFFFF" w:themeColor="background1"/>
              </w:rPr>
            </w:pPr>
            <w:r w:rsidRPr="00792FD7">
              <w:rPr>
                <w:color w:val="FFFFFF" w:themeColor="background1"/>
              </w:rPr>
              <w:t>$’000</w:t>
            </w:r>
          </w:p>
        </w:tc>
        <w:tc>
          <w:tcPr>
            <w:tcW w:w="1123" w:type="dxa"/>
            <w:tcBorders>
              <w:bottom w:val="single" w:sz="4" w:space="0" w:color="auto"/>
            </w:tcBorders>
            <w:shd w:val="clear" w:color="auto" w:fill="472D8C"/>
          </w:tcPr>
          <w:p w14:paraId="248143BE" w14:textId="77777777" w:rsidR="00A60D4B" w:rsidRPr="00792FD7" w:rsidRDefault="00A60D4B" w:rsidP="00A60D4B">
            <w:pPr>
              <w:pStyle w:val="BTableHeadingRowRightAligned"/>
              <w:rPr>
                <w:color w:val="FFFFFF" w:themeColor="background1"/>
              </w:rPr>
            </w:pPr>
            <w:r w:rsidRPr="00792FD7">
              <w:rPr>
                <w:color w:val="FFFFFF" w:themeColor="background1"/>
              </w:rPr>
              <w:t>Financing</w:t>
            </w:r>
          </w:p>
          <w:p w14:paraId="0E10916E" w14:textId="77777777" w:rsidR="00A60D4B" w:rsidRPr="00792FD7" w:rsidRDefault="00A60D4B" w:rsidP="00A60D4B">
            <w:pPr>
              <w:pStyle w:val="BTableHeadingRowRightAligned"/>
              <w:rPr>
                <w:color w:val="FFFFFF" w:themeColor="background1"/>
              </w:rPr>
            </w:pPr>
            <w:r w:rsidRPr="00792FD7">
              <w:rPr>
                <w:color w:val="FFFFFF" w:themeColor="background1"/>
              </w:rPr>
              <w:t>2025-26</w:t>
            </w:r>
          </w:p>
          <w:p w14:paraId="2CA7E325" w14:textId="77777777" w:rsidR="00A60D4B" w:rsidRPr="00792FD7" w:rsidRDefault="00A60D4B" w:rsidP="00A60D4B">
            <w:pPr>
              <w:pStyle w:val="BTableHeadingRowRightAligned"/>
              <w:rPr>
                <w:color w:val="FFFFFF" w:themeColor="background1"/>
              </w:rPr>
            </w:pPr>
            <w:r w:rsidRPr="00792FD7">
              <w:rPr>
                <w:color w:val="FFFFFF" w:themeColor="background1"/>
              </w:rPr>
              <w:t>$’000</w:t>
            </w:r>
          </w:p>
        </w:tc>
        <w:tc>
          <w:tcPr>
            <w:tcW w:w="1123" w:type="dxa"/>
            <w:tcBorders>
              <w:bottom w:val="single" w:sz="4" w:space="0" w:color="auto"/>
            </w:tcBorders>
            <w:shd w:val="clear" w:color="auto" w:fill="472D8C"/>
          </w:tcPr>
          <w:p w14:paraId="3FC1CAC9" w14:textId="77777777" w:rsidR="00A60D4B" w:rsidRPr="00792FD7" w:rsidRDefault="00A60D4B" w:rsidP="00A60D4B">
            <w:pPr>
              <w:pStyle w:val="BTableHeadingRowRightAligned"/>
              <w:rPr>
                <w:color w:val="FFFFFF" w:themeColor="background1"/>
              </w:rPr>
            </w:pPr>
            <w:r w:rsidRPr="00792FD7">
              <w:rPr>
                <w:color w:val="FFFFFF" w:themeColor="background1"/>
              </w:rPr>
              <w:t xml:space="preserve">Total </w:t>
            </w:r>
          </w:p>
          <w:p w14:paraId="088D5608" w14:textId="77777777" w:rsidR="00A60D4B" w:rsidRPr="00792FD7" w:rsidRDefault="00A60D4B" w:rsidP="00A60D4B">
            <w:pPr>
              <w:pStyle w:val="BTableHeadingRowRightAligned"/>
              <w:rPr>
                <w:color w:val="FFFFFF" w:themeColor="background1"/>
              </w:rPr>
            </w:pPr>
          </w:p>
          <w:p w14:paraId="312A13F9" w14:textId="77777777" w:rsidR="00A60D4B" w:rsidRPr="00792FD7" w:rsidRDefault="00A60D4B" w:rsidP="00A60D4B">
            <w:pPr>
              <w:pStyle w:val="BTableHeadingRowRightAligned"/>
              <w:rPr>
                <w:color w:val="FFFFFF" w:themeColor="background1"/>
              </w:rPr>
            </w:pPr>
            <w:r w:rsidRPr="00792FD7">
              <w:rPr>
                <w:color w:val="FFFFFF" w:themeColor="background1"/>
              </w:rPr>
              <w:t xml:space="preserve">$’000 </w:t>
            </w:r>
          </w:p>
        </w:tc>
      </w:tr>
      <w:tr w:rsidR="00A60D4B" w:rsidRPr="005B3FAC" w14:paraId="38FE78D4" w14:textId="77777777" w:rsidTr="00A60D4B">
        <w:tc>
          <w:tcPr>
            <w:tcW w:w="2266" w:type="dxa"/>
            <w:tcBorders>
              <w:top w:val="single" w:sz="4" w:space="0" w:color="auto"/>
              <w:bottom w:val="nil"/>
            </w:tcBorders>
          </w:tcPr>
          <w:p w14:paraId="45A8E1C4" w14:textId="77777777" w:rsidR="00A60D4B" w:rsidRPr="003422EE" w:rsidRDefault="00A60D4B" w:rsidP="00A60D4B">
            <w:pPr>
              <w:pStyle w:val="Btabletextunbold"/>
            </w:pPr>
            <w:bookmarkStart w:id="133" w:name="_Hlk82962474"/>
            <w:r w:rsidRPr="003422EE">
              <w:t>Cemeteries and Crematoria Authority</w:t>
            </w:r>
            <w:bookmarkEnd w:id="133"/>
          </w:p>
        </w:tc>
        <w:tc>
          <w:tcPr>
            <w:tcW w:w="1122" w:type="dxa"/>
            <w:tcBorders>
              <w:top w:val="single" w:sz="4" w:space="0" w:color="auto"/>
              <w:bottom w:val="nil"/>
            </w:tcBorders>
          </w:tcPr>
          <w:p w14:paraId="7AE9E51B" w14:textId="77777777" w:rsidR="00A60D4B" w:rsidRPr="003422EE" w:rsidRDefault="00A60D4B" w:rsidP="00A60D4B">
            <w:pPr>
              <w:pStyle w:val="Btablefigureunbold"/>
            </w:pPr>
            <w:r w:rsidRPr="003422EE">
              <w:t>331</w:t>
            </w:r>
          </w:p>
        </w:tc>
        <w:tc>
          <w:tcPr>
            <w:tcW w:w="1123" w:type="dxa"/>
            <w:tcBorders>
              <w:top w:val="single" w:sz="4" w:space="0" w:color="auto"/>
              <w:bottom w:val="nil"/>
            </w:tcBorders>
          </w:tcPr>
          <w:p w14:paraId="7A0732E4" w14:textId="77777777" w:rsidR="00A60D4B" w:rsidRPr="003422EE" w:rsidRDefault="00A60D4B" w:rsidP="00A60D4B">
            <w:pPr>
              <w:pStyle w:val="Btablefigureunbold"/>
            </w:pPr>
            <w:r w:rsidRPr="003422EE">
              <w:t>242</w:t>
            </w:r>
          </w:p>
        </w:tc>
        <w:tc>
          <w:tcPr>
            <w:tcW w:w="1123" w:type="dxa"/>
            <w:tcBorders>
              <w:top w:val="single" w:sz="4" w:space="0" w:color="auto"/>
              <w:bottom w:val="nil"/>
            </w:tcBorders>
          </w:tcPr>
          <w:p w14:paraId="01385F3A" w14:textId="77777777" w:rsidR="00A60D4B" w:rsidRPr="003422EE" w:rsidRDefault="00A60D4B" w:rsidP="00A60D4B">
            <w:pPr>
              <w:pStyle w:val="Btablefigureunbold"/>
            </w:pPr>
            <w:r w:rsidRPr="003422EE">
              <w:t>362</w:t>
            </w:r>
          </w:p>
        </w:tc>
        <w:tc>
          <w:tcPr>
            <w:tcW w:w="1123" w:type="dxa"/>
            <w:tcBorders>
              <w:top w:val="single" w:sz="4" w:space="0" w:color="auto"/>
              <w:bottom w:val="nil"/>
            </w:tcBorders>
          </w:tcPr>
          <w:p w14:paraId="6AA9D410" w14:textId="77777777" w:rsidR="00A60D4B" w:rsidRPr="003422EE" w:rsidRDefault="00A60D4B" w:rsidP="00A60D4B">
            <w:pPr>
              <w:pStyle w:val="Btablefigureunbold"/>
            </w:pPr>
            <w:r w:rsidRPr="003422EE">
              <w:t>367</w:t>
            </w:r>
          </w:p>
        </w:tc>
        <w:tc>
          <w:tcPr>
            <w:tcW w:w="1123" w:type="dxa"/>
            <w:tcBorders>
              <w:top w:val="single" w:sz="4" w:space="0" w:color="auto"/>
              <w:bottom w:val="nil"/>
            </w:tcBorders>
          </w:tcPr>
          <w:p w14:paraId="10395929" w14:textId="77777777" w:rsidR="00A60D4B" w:rsidRPr="003422EE" w:rsidRDefault="00A60D4B" w:rsidP="00A60D4B">
            <w:pPr>
              <w:pStyle w:val="Btablefigureunbold"/>
            </w:pPr>
            <w:r w:rsidRPr="003422EE">
              <w:t>380</w:t>
            </w:r>
          </w:p>
        </w:tc>
        <w:tc>
          <w:tcPr>
            <w:tcW w:w="1123" w:type="dxa"/>
            <w:tcBorders>
              <w:top w:val="single" w:sz="4" w:space="0" w:color="auto"/>
              <w:bottom w:val="nil"/>
            </w:tcBorders>
          </w:tcPr>
          <w:p w14:paraId="031E35B1" w14:textId="77777777" w:rsidR="00A60D4B" w:rsidRPr="003422EE" w:rsidRDefault="00A60D4B" w:rsidP="00A60D4B">
            <w:pPr>
              <w:pStyle w:val="BTablefigureBold"/>
            </w:pPr>
            <w:r w:rsidRPr="003422EE">
              <w:t>1,682</w:t>
            </w:r>
          </w:p>
        </w:tc>
      </w:tr>
      <w:tr w:rsidR="00A60D4B" w:rsidRPr="005B3FAC" w14:paraId="69C2748C" w14:textId="77777777" w:rsidTr="00A60D4B">
        <w:tc>
          <w:tcPr>
            <w:tcW w:w="2266" w:type="dxa"/>
            <w:tcBorders>
              <w:top w:val="nil"/>
              <w:bottom w:val="nil"/>
            </w:tcBorders>
          </w:tcPr>
          <w:p w14:paraId="156E3955" w14:textId="77777777" w:rsidR="00A60D4B" w:rsidRPr="002E14B4" w:rsidRDefault="00A60D4B" w:rsidP="00A60D4B">
            <w:pPr>
              <w:pStyle w:val="Btabletextunbold"/>
            </w:pPr>
            <w:r w:rsidRPr="002E14B4">
              <w:t>City Renewal Authority</w:t>
            </w:r>
          </w:p>
        </w:tc>
        <w:tc>
          <w:tcPr>
            <w:tcW w:w="1122" w:type="dxa"/>
            <w:tcBorders>
              <w:top w:val="nil"/>
              <w:bottom w:val="nil"/>
            </w:tcBorders>
          </w:tcPr>
          <w:p w14:paraId="409A33F7" w14:textId="77777777" w:rsidR="00A60D4B" w:rsidRPr="002E14B4" w:rsidRDefault="00A60D4B" w:rsidP="00A60D4B">
            <w:pPr>
              <w:pStyle w:val="Btablefigureunbold"/>
            </w:pPr>
            <w:r w:rsidRPr="002E14B4">
              <w:t>1,360</w:t>
            </w:r>
          </w:p>
        </w:tc>
        <w:tc>
          <w:tcPr>
            <w:tcW w:w="1123" w:type="dxa"/>
            <w:tcBorders>
              <w:top w:val="nil"/>
              <w:bottom w:val="nil"/>
            </w:tcBorders>
          </w:tcPr>
          <w:p w14:paraId="76C86C82" w14:textId="77777777" w:rsidR="00A60D4B" w:rsidRPr="002E14B4" w:rsidRDefault="00A60D4B" w:rsidP="00A60D4B">
            <w:pPr>
              <w:pStyle w:val="Btablefigureunbold"/>
            </w:pPr>
            <w:r w:rsidRPr="002E14B4">
              <w:t>2,438</w:t>
            </w:r>
          </w:p>
        </w:tc>
        <w:tc>
          <w:tcPr>
            <w:tcW w:w="1123" w:type="dxa"/>
            <w:tcBorders>
              <w:top w:val="nil"/>
              <w:bottom w:val="nil"/>
            </w:tcBorders>
          </w:tcPr>
          <w:p w14:paraId="01F7B902" w14:textId="77777777" w:rsidR="00A60D4B" w:rsidRPr="002E14B4" w:rsidRDefault="00A60D4B" w:rsidP="00A60D4B">
            <w:pPr>
              <w:pStyle w:val="Btablefigureunbold"/>
            </w:pPr>
            <w:r w:rsidRPr="002E14B4">
              <w:t>708</w:t>
            </w:r>
          </w:p>
        </w:tc>
        <w:tc>
          <w:tcPr>
            <w:tcW w:w="1123" w:type="dxa"/>
            <w:tcBorders>
              <w:top w:val="nil"/>
              <w:bottom w:val="nil"/>
            </w:tcBorders>
          </w:tcPr>
          <w:p w14:paraId="178125EB" w14:textId="77777777" w:rsidR="00A60D4B" w:rsidRPr="002E14B4" w:rsidRDefault="00A60D4B" w:rsidP="00A60D4B">
            <w:pPr>
              <w:pStyle w:val="Btablefigureunbold"/>
            </w:pPr>
            <w:r w:rsidRPr="002E14B4">
              <w:t>0</w:t>
            </w:r>
          </w:p>
        </w:tc>
        <w:tc>
          <w:tcPr>
            <w:tcW w:w="1123" w:type="dxa"/>
            <w:tcBorders>
              <w:top w:val="nil"/>
              <w:bottom w:val="nil"/>
            </w:tcBorders>
          </w:tcPr>
          <w:p w14:paraId="509877F2" w14:textId="77777777" w:rsidR="00A60D4B" w:rsidRPr="002E14B4" w:rsidRDefault="00A60D4B" w:rsidP="00A60D4B">
            <w:pPr>
              <w:pStyle w:val="Btablefigureunbold"/>
            </w:pPr>
            <w:r w:rsidRPr="002E14B4">
              <w:t>0</w:t>
            </w:r>
          </w:p>
        </w:tc>
        <w:tc>
          <w:tcPr>
            <w:tcW w:w="1123" w:type="dxa"/>
            <w:tcBorders>
              <w:top w:val="nil"/>
              <w:bottom w:val="nil"/>
            </w:tcBorders>
          </w:tcPr>
          <w:p w14:paraId="043E6C03" w14:textId="77777777" w:rsidR="00A60D4B" w:rsidRPr="002E14B4" w:rsidRDefault="00A60D4B" w:rsidP="00A60D4B">
            <w:pPr>
              <w:pStyle w:val="BTablefigureBold"/>
            </w:pPr>
            <w:r w:rsidRPr="002E14B4">
              <w:t>4,506</w:t>
            </w:r>
          </w:p>
        </w:tc>
      </w:tr>
      <w:tr w:rsidR="00A60D4B" w:rsidRPr="005B3FAC" w14:paraId="1EF58919" w14:textId="77777777" w:rsidTr="00A60D4B">
        <w:tc>
          <w:tcPr>
            <w:tcW w:w="2266" w:type="dxa"/>
            <w:tcBorders>
              <w:top w:val="nil"/>
              <w:bottom w:val="nil"/>
            </w:tcBorders>
            <w:shd w:val="clear" w:color="auto" w:fill="auto"/>
          </w:tcPr>
          <w:p w14:paraId="63FE074F" w14:textId="77777777" w:rsidR="00A60D4B" w:rsidRPr="005B3FAC" w:rsidRDefault="00A60D4B" w:rsidP="00A60D4B">
            <w:pPr>
              <w:pStyle w:val="Btabletextunbold"/>
              <w:rPr>
                <w:highlight w:val="cyan"/>
              </w:rPr>
            </w:pPr>
            <w:r w:rsidRPr="007247E9">
              <w:t>Housing ACT</w:t>
            </w:r>
          </w:p>
        </w:tc>
        <w:tc>
          <w:tcPr>
            <w:tcW w:w="1122" w:type="dxa"/>
            <w:tcBorders>
              <w:top w:val="nil"/>
              <w:bottom w:val="nil"/>
            </w:tcBorders>
          </w:tcPr>
          <w:p w14:paraId="236B437C" w14:textId="77777777" w:rsidR="00A60D4B" w:rsidRPr="007247E9" w:rsidRDefault="00A60D4B" w:rsidP="00A60D4B">
            <w:pPr>
              <w:pStyle w:val="Btablefigureunbold"/>
            </w:pPr>
            <w:r w:rsidRPr="007247E9">
              <w:t>152,800</w:t>
            </w:r>
          </w:p>
        </w:tc>
        <w:tc>
          <w:tcPr>
            <w:tcW w:w="1123" w:type="dxa"/>
            <w:tcBorders>
              <w:top w:val="nil"/>
              <w:bottom w:val="nil"/>
            </w:tcBorders>
          </w:tcPr>
          <w:p w14:paraId="6508A118" w14:textId="77777777" w:rsidR="00A60D4B" w:rsidRPr="007247E9" w:rsidRDefault="00A60D4B" w:rsidP="00A60D4B">
            <w:pPr>
              <w:pStyle w:val="Btablefigureunbold"/>
            </w:pPr>
            <w:r w:rsidRPr="007247E9">
              <w:t>157,200</w:t>
            </w:r>
          </w:p>
        </w:tc>
        <w:tc>
          <w:tcPr>
            <w:tcW w:w="1123" w:type="dxa"/>
            <w:tcBorders>
              <w:top w:val="nil"/>
              <w:bottom w:val="nil"/>
            </w:tcBorders>
          </w:tcPr>
          <w:p w14:paraId="171906A3" w14:textId="77777777" w:rsidR="00A60D4B" w:rsidRPr="007247E9" w:rsidRDefault="00A60D4B" w:rsidP="00A60D4B">
            <w:pPr>
              <w:pStyle w:val="Btablefigureunbold"/>
            </w:pPr>
            <w:r w:rsidRPr="007247E9">
              <w:t>93,400</w:t>
            </w:r>
          </w:p>
        </w:tc>
        <w:tc>
          <w:tcPr>
            <w:tcW w:w="1123" w:type="dxa"/>
            <w:tcBorders>
              <w:top w:val="nil"/>
              <w:bottom w:val="nil"/>
            </w:tcBorders>
          </w:tcPr>
          <w:p w14:paraId="36206ACA" w14:textId="77777777" w:rsidR="00A60D4B" w:rsidRPr="007247E9" w:rsidRDefault="00A60D4B" w:rsidP="00A60D4B">
            <w:pPr>
              <w:pStyle w:val="Btablefigureunbold"/>
            </w:pPr>
            <w:r w:rsidRPr="007247E9">
              <w:t>22,200</w:t>
            </w:r>
          </w:p>
        </w:tc>
        <w:tc>
          <w:tcPr>
            <w:tcW w:w="1123" w:type="dxa"/>
            <w:tcBorders>
              <w:top w:val="nil"/>
              <w:bottom w:val="nil"/>
            </w:tcBorders>
          </w:tcPr>
          <w:p w14:paraId="14AD9D7A" w14:textId="77777777" w:rsidR="00A60D4B" w:rsidRPr="007247E9" w:rsidRDefault="00A60D4B" w:rsidP="00A60D4B">
            <w:pPr>
              <w:pStyle w:val="Btablefigureunbold"/>
            </w:pPr>
            <w:r>
              <w:t>0</w:t>
            </w:r>
          </w:p>
        </w:tc>
        <w:tc>
          <w:tcPr>
            <w:tcW w:w="1123" w:type="dxa"/>
            <w:tcBorders>
              <w:top w:val="nil"/>
              <w:bottom w:val="nil"/>
            </w:tcBorders>
          </w:tcPr>
          <w:p w14:paraId="637F1FD8" w14:textId="77777777" w:rsidR="00A60D4B" w:rsidRPr="007247E9" w:rsidRDefault="00A60D4B" w:rsidP="00A60D4B">
            <w:pPr>
              <w:pStyle w:val="BTablefigureBold"/>
            </w:pPr>
            <w:r w:rsidRPr="007247E9">
              <w:t>425,600</w:t>
            </w:r>
          </w:p>
        </w:tc>
      </w:tr>
      <w:tr w:rsidR="00A60D4B" w:rsidRPr="005B3FAC" w14:paraId="7C00741C" w14:textId="77777777" w:rsidTr="00A60D4B">
        <w:tc>
          <w:tcPr>
            <w:tcW w:w="2266" w:type="dxa"/>
            <w:tcBorders>
              <w:top w:val="nil"/>
              <w:bottom w:val="nil"/>
            </w:tcBorders>
            <w:shd w:val="clear" w:color="auto" w:fill="auto"/>
          </w:tcPr>
          <w:p w14:paraId="4C993F93" w14:textId="77777777" w:rsidR="00A60D4B" w:rsidRPr="009C738F" w:rsidRDefault="00A60D4B" w:rsidP="00A60D4B">
            <w:pPr>
              <w:pStyle w:val="Btabletextunbold"/>
            </w:pPr>
            <w:r w:rsidRPr="009C738F">
              <w:t>Icon Water</w:t>
            </w:r>
          </w:p>
        </w:tc>
        <w:tc>
          <w:tcPr>
            <w:tcW w:w="1122" w:type="dxa"/>
            <w:tcBorders>
              <w:top w:val="nil"/>
              <w:bottom w:val="nil"/>
            </w:tcBorders>
            <w:shd w:val="clear" w:color="auto" w:fill="auto"/>
          </w:tcPr>
          <w:p w14:paraId="2E28CCC9" w14:textId="77777777" w:rsidR="00A60D4B" w:rsidRPr="009C738F" w:rsidRDefault="00A60D4B" w:rsidP="00A60D4B">
            <w:pPr>
              <w:pStyle w:val="Btablefigureunbold"/>
            </w:pPr>
            <w:r w:rsidRPr="009C738F">
              <w:t>101,652</w:t>
            </w:r>
          </w:p>
        </w:tc>
        <w:tc>
          <w:tcPr>
            <w:tcW w:w="1123" w:type="dxa"/>
            <w:tcBorders>
              <w:top w:val="nil"/>
              <w:bottom w:val="nil"/>
            </w:tcBorders>
            <w:shd w:val="clear" w:color="auto" w:fill="auto"/>
          </w:tcPr>
          <w:p w14:paraId="6E450173" w14:textId="77777777" w:rsidR="00A60D4B" w:rsidRPr="009C738F" w:rsidRDefault="00A60D4B" w:rsidP="00A60D4B">
            <w:pPr>
              <w:pStyle w:val="Btablefigureunbold"/>
            </w:pPr>
            <w:r w:rsidRPr="009C738F">
              <w:t>69,410</w:t>
            </w:r>
          </w:p>
        </w:tc>
        <w:tc>
          <w:tcPr>
            <w:tcW w:w="1123" w:type="dxa"/>
            <w:tcBorders>
              <w:top w:val="nil"/>
              <w:bottom w:val="nil"/>
            </w:tcBorders>
            <w:shd w:val="clear" w:color="auto" w:fill="auto"/>
          </w:tcPr>
          <w:p w14:paraId="68558F16" w14:textId="77777777" w:rsidR="00A60D4B" w:rsidRPr="009C738F" w:rsidRDefault="00A60D4B" w:rsidP="00A60D4B">
            <w:pPr>
              <w:pStyle w:val="Btablefigureunbold"/>
            </w:pPr>
            <w:r w:rsidRPr="009C738F">
              <w:t>112,123</w:t>
            </w:r>
          </w:p>
        </w:tc>
        <w:tc>
          <w:tcPr>
            <w:tcW w:w="1123" w:type="dxa"/>
            <w:tcBorders>
              <w:top w:val="nil"/>
              <w:bottom w:val="nil"/>
            </w:tcBorders>
            <w:shd w:val="clear" w:color="auto" w:fill="auto"/>
          </w:tcPr>
          <w:p w14:paraId="355F3801" w14:textId="77777777" w:rsidR="00A60D4B" w:rsidRPr="009C738F" w:rsidRDefault="00A60D4B" w:rsidP="00A60D4B">
            <w:pPr>
              <w:pStyle w:val="Btablefigureunbold"/>
            </w:pPr>
            <w:r w:rsidRPr="009C738F">
              <w:t>117,100</w:t>
            </w:r>
          </w:p>
        </w:tc>
        <w:tc>
          <w:tcPr>
            <w:tcW w:w="1123" w:type="dxa"/>
            <w:tcBorders>
              <w:top w:val="nil"/>
              <w:bottom w:val="nil"/>
            </w:tcBorders>
            <w:shd w:val="clear" w:color="auto" w:fill="auto"/>
          </w:tcPr>
          <w:p w14:paraId="20F43F41" w14:textId="77777777" w:rsidR="00A60D4B" w:rsidRPr="009C738F" w:rsidRDefault="00A60D4B" w:rsidP="00A60D4B">
            <w:pPr>
              <w:pStyle w:val="Btablefigureunbold"/>
            </w:pPr>
            <w:r w:rsidRPr="009C738F">
              <w:t>83,700</w:t>
            </w:r>
          </w:p>
        </w:tc>
        <w:tc>
          <w:tcPr>
            <w:tcW w:w="1123" w:type="dxa"/>
            <w:tcBorders>
              <w:top w:val="nil"/>
              <w:bottom w:val="nil"/>
            </w:tcBorders>
            <w:shd w:val="clear" w:color="auto" w:fill="auto"/>
          </w:tcPr>
          <w:p w14:paraId="552B5FA1" w14:textId="77777777" w:rsidR="00A60D4B" w:rsidRPr="009C738F" w:rsidRDefault="00A60D4B" w:rsidP="00A60D4B">
            <w:pPr>
              <w:pStyle w:val="BTablefigureBold"/>
            </w:pPr>
            <w:r w:rsidRPr="009C738F">
              <w:t>483,985</w:t>
            </w:r>
          </w:p>
        </w:tc>
      </w:tr>
      <w:tr w:rsidR="00A60D4B" w:rsidRPr="005B3FAC" w14:paraId="5C314592" w14:textId="77777777" w:rsidTr="00A60D4B">
        <w:tc>
          <w:tcPr>
            <w:tcW w:w="2266" w:type="dxa"/>
            <w:tcBorders>
              <w:top w:val="nil"/>
              <w:bottom w:val="single" w:sz="4" w:space="0" w:color="auto"/>
            </w:tcBorders>
          </w:tcPr>
          <w:p w14:paraId="38734118" w14:textId="77777777" w:rsidR="00A60D4B" w:rsidRPr="006161EC" w:rsidRDefault="00A60D4B" w:rsidP="00A60D4B">
            <w:pPr>
              <w:pStyle w:val="Btabletextunbold"/>
            </w:pPr>
            <w:r w:rsidRPr="006161EC">
              <w:t>Suburban Land Agency</w:t>
            </w:r>
          </w:p>
        </w:tc>
        <w:tc>
          <w:tcPr>
            <w:tcW w:w="1122" w:type="dxa"/>
            <w:tcBorders>
              <w:top w:val="nil"/>
              <w:bottom w:val="single" w:sz="4" w:space="0" w:color="auto"/>
            </w:tcBorders>
          </w:tcPr>
          <w:p w14:paraId="3895175A" w14:textId="77777777" w:rsidR="00A60D4B" w:rsidRPr="006161EC" w:rsidRDefault="00A60D4B" w:rsidP="00A60D4B">
            <w:pPr>
              <w:pStyle w:val="Btablefigureunbold"/>
            </w:pPr>
            <w:r w:rsidRPr="006161EC">
              <w:t>115,922</w:t>
            </w:r>
          </w:p>
        </w:tc>
        <w:tc>
          <w:tcPr>
            <w:tcW w:w="1123" w:type="dxa"/>
            <w:tcBorders>
              <w:top w:val="nil"/>
              <w:bottom w:val="single" w:sz="4" w:space="0" w:color="auto"/>
            </w:tcBorders>
          </w:tcPr>
          <w:p w14:paraId="4AADA52C" w14:textId="77777777" w:rsidR="00A60D4B" w:rsidRPr="006161EC" w:rsidRDefault="00A60D4B" w:rsidP="00A60D4B">
            <w:pPr>
              <w:pStyle w:val="Btablefigureunbold"/>
            </w:pPr>
            <w:r w:rsidRPr="006161EC">
              <w:t>152,123</w:t>
            </w:r>
          </w:p>
        </w:tc>
        <w:tc>
          <w:tcPr>
            <w:tcW w:w="1123" w:type="dxa"/>
            <w:tcBorders>
              <w:top w:val="nil"/>
              <w:bottom w:val="single" w:sz="4" w:space="0" w:color="auto"/>
            </w:tcBorders>
          </w:tcPr>
          <w:p w14:paraId="02A65BC9" w14:textId="77777777" w:rsidR="00A60D4B" w:rsidRPr="006161EC" w:rsidRDefault="00A60D4B" w:rsidP="00A60D4B">
            <w:pPr>
              <w:pStyle w:val="Btablefigureunbold"/>
            </w:pPr>
            <w:r w:rsidRPr="006161EC">
              <w:t>147,103</w:t>
            </w:r>
          </w:p>
        </w:tc>
        <w:tc>
          <w:tcPr>
            <w:tcW w:w="1123" w:type="dxa"/>
            <w:tcBorders>
              <w:top w:val="nil"/>
              <w:bottom w:val="single" w:sz="4" w:space="0" w:color="auto"/>
            </w:tcBorders>
          </w:tcPr>
          <w:p w14:paraId="431BD67B" w14:textId="77777777" w:rsidR="00A60D4B" w:rsidRPr="006161EC" w:rsidRDefault="00A60D4B" w:rsidP="00A60D4B">
            <w:pPr>
              <w:pStyle w:val="Btablefigureunbold"/>
            </w:pPr>
            <w:r w:rsidRPr="006161EC">
              <w:t>115,459</w:t>
            </w:r>
          </w:p>
        </w:tc>
        <w:tc>
          <w:tcPr>
            <w:tcW w:w="1123" w:type="dxa"/>
            <w:tcBorders>
              <w:top w:val="nil"/>
              <w:bottom w:val="single" w:sz="4" w:space="0" w:color="auto"/>
            </w:tcBorders>
          </w:tcPr>
          <w:p w14:paraId="1E0009D3" w14:textId="77777777" w:rsidR="00A60D4B" w:rsidRPr="006161EC" w:rsidRDefault="00A60D4B" w:rsidP="00A60D4B">
            <w:pPr>
              <w:pStyle w:val="Btablefigureunbold"/>
            </w:pPr>
            <w:r>
              <w:t>0</w:t>
            </w:r>
          </w:p>
        </w:tc>
        <w:tc>
          <w:tcPr>
            <w:tcW w:w="1123" w:type="dxa"/>
            <w:tcBorders>
              <w:top w:val="nil"/>
              <w:bottom w:val="single" w:sz="4" w:space="0" w:color="auto"/>
            </w:tcBorders>
          </w:tcPr>
          <w:p w14:paraId="0285A5AB" w14:textId="77777777" w:rsidR="00A60D4B" w:rsidRPr="006161EC" w:rsidRDefault="00A60D4B" w:rsidP="00A60D4B">
            <w:pPr>
              <w:pStyle w:val="BTablefigureBold"/>
            </w:pPr>
            <w:r w:rsidRPr="006161EC">
              <w:t>530,607</w:t>
            </w:r>
          </w:p>
        </w:tc>
      </w:tr>
      <w:tr w:rsidR="00A60D4B" w14:paraId="31B3293A" w14:textId="77777777" w:rsidTr="00A60D4B">
        <w:tc>
          <w:tcPr>
            <w:tcW w:w="2266" w:type="dxa"/>
            <w:tcBorders>
              <w:top w:val="single" w:sz="4" w:space="0" w:color="auto"/>
            </w:tcBorders>
          </w:tcPr>
          <w:p w14:paraId="6946D193" w14:textId="77777777" w:rsidR="00A60D4B" w:rsidRPr="004D6B98" w:rsidRDefault="00A60D4B" w:rsidP="00A60D4B">
            <w:pPr>
              <w:pStyle w:val="Btabletextbold"/>
            </w:pPr>
            <w:r w:rsidRPr="004D6B98">
              <w:t>Total PTEs</w:t>
            </w:r>
          </w:p>
        </w:tc>
        <w:tc>
          <w:tcPr>
            <w:tcW w:w="1122" w:type="dxa"/>
            <w:tcBorders>
              <w:top w:val="single" w:sz="4" w:space="0" w:color="auto"/>
            </w:tcBorders>
            <w:vAlign w:val="center"/>
          </w:tcPr>
          <w:p w14:paraId="5CE2D595" w14:textId="77777777" w:rsidR="00A60D4B" w:rsidRPr="004D6B98" w:rsidRDefault="00A60D4B" w:rsidP="00A60D4B">
            <w:pPr>
              <w:pStyle w:val="BTablefigureBold"/>
            </w:pPr>
            <w:r w:rsidRPr="002E14B4">
              <w:rPr>
                <w:rFonts w:cs="Calibri"/>
                <w:color w:val="000000"/>
                <w:szCs w:val="20"/>
              </w:rPr>
              <w:t>372,065</w:t>
            </w:r>
          </w:p>
        </w:tc>
        <w:tc>
          <w:tcPr>
            <w:tcW w:w="1123" w:type="dxa"/>
            <w:tcBorders>
              <w:top w:val="single" w:sz="4" w:space="0" w:color="auto"/>
            </w:tcBorders>
            <w:vAlign w:val="center"/>
          </w:tcPr>
          <w:p w14:paraId="0528A586" w14:textId="77777777" w:rsidR="00A60D4B" w:rsidRPr="004D6B98" w:rsidRDefault="00A60D4B" w:rsidP="00A60D4B">
            <w:pPr>
              <w:pStyle w:val="BTablefigureBold"/>
            </w:pPr>
            <w:r w:rsidRPr="002E14B4">
              <w:rPr>
                <w:rFonts w:cs="Calibri"/>
                <w:color w:val="000000"/>
                <w:szCs w:val="20"/>
              </w:rPr>
              <w:t>381,413</w:t>
            </w:r>
          </w:p>
        </w:tc>
        <w:tc>
          <w:tcPr>
            <w:tcW w:w="1123" w:type="dxa"/>
            <w:tcBorders>
              <w:top w:val="single" w:sz="4" w:space="0" w:color="auto"/>
            </w:tcBorders>
            <w:vAlign w:val="center"/>
          </w:tcPr>
          <w:p w14:paraId="0362CAD8" w14:textId="77777777" w:rsidR="00A60D4B" w:rsidRPr="004D6B98" w:rsidRDefault="00A60D4B" w:rsidP="00A60D4B">
            <w:pPr>
              <w:pStyle w:val="BTablefigureBold"/>
            </w:pPr>
            <w:r w:rsidRPr="002E14B4">
              <w:rPr>
                <w:rFonts w:cs="Calibri"/>
                <w:color w:val="000000"/>
                <w:szCs w:val="20"/>
              </w:rPr>
              <w:t>353,696</w:t>
            </w:r>
          </w:p>
        </w:tc>
        <w:tc>
          <w:tcPr>
            <w:tcW w:w="1123" w:type="dxa"/>
            <w:tcBorders>
              <w:top w:val="single" w:sz="4" w:space="0" w:color="auto"/>
            </w:tcBorders>
            <w:vAlign w:val="center"/>
          </w:tcPr>
          <w:p w14:paraId="000C66B0" w14:textId="77777777" w:rsidR="00A60D4B" w:rsidRPr="004D6B98" w:rsidRDefault="00A60D4B" w:rsidP="00A60D4B">
            <w:pPr>
              <w:pStyle w:val="BTablefigureBold"/>
            </w:pPr>
            <w:r w:rsidRPr="002E14B4">
              <w:rPr>
                <w:rFonts w:cs="Calibri"/>
                <w:color w:val="000000"/>
                <w:szCs w:val="20"/>
              </w:rPr>
              <w:t>255,126</w:t>
            </w:r>
          </w:p>
        </w:tc>
        <w:tc>
          <w:tcPr>
            <w:tcW w:w="1123" w:type="dxa"/>
            <w:tcBorders>
              <w:top w:val="single" w:sz="4" w:space="0" w:color="auto"/>
            </w:tcBorders>
            <w:vAlign w:val="center"/>
          </w:tcPr>
          <w:p w14:paraId="76CC1379" w14:textId="77777777" w:rsidR="00A60D4B" w:rsidRPr="004D6B98" w:rsidRDefault="00A60D4B" w:rsidP="00A60D4B">
            <w:pPr>
              <w:pStyle w:val="BTablefigureBold"/>
            </w:pPr>
            <w:r w:rsidRPr="002E14B4">
              <w:rPr>
                <w:rFonts w:cs="Calibri"/>
                <w:color w:val="000000"/>
                <w:szCs w:val="20"/>
              </w:rPr>
              <w:t>84,080</w:t>
            </w:r>
          </w:p>
        </w:tc>
        <w:tc>
          <w:tcPr>
            <w:tcW w:w="1123" w:type="dxa"/>
            <w:tcBorders>
              <w:top w:val="single" w:sz="4" w:space="0" w:color="auto"/>
            </w:tcBorders>
            <w:vAlign w:val="center"/>
          </w:tcPr>
          <w:p w14:paraId="0E14093D" w14:textId="77777777" w:rsidR="00A60D4B" w:rsidRPr="004D6B98" w:rsidRDefault="00A60D4B" w:rsidP="00A60D4B">
            <w:pPr>
              <w:pStyle w:val="BTablefigureBold"/>
            </w:pPr>
            <w:r w:rsidRPr="002E14B4">
              <w:rPr>
                <w:rFonts w:cs="Calibri"/>
                <w:color w:val="000000"/>
                <w:szCs w:val="20"/>
              </w:rPr>
              <w:t>1,446,380</w:t>
            </w:r>
          </w:p>
        </w:tc>
      </w:tr>
    </w:tbl>
    <w:p w14:paraId="41415529" w14:textId="77777777" w:rsidR="00A60D4B" w:rsidRDefault="00A60D4B" w:rsidP="00A60D4B">
      <w:pPr>
        <w:pStyle w:val="ListParagraph"/>
        <w:ind w:left="993" w:hanging="851"/>
        <w:rPr>
          <w:sz w:val="18"/>
          <w:szCs w:val="18"/>
        </w:rPr>
      </w:pPr>
      <w:r w:rsidRPr="004701B6">
        <w:rPr>
          <w:sz w:val="18"/>
          <w:szCs w:val="18"/>
        </w:rPr>
        <w:t>Note</w:t>
      </w:r>
      <w:r>
        <w:rPr>
          <w:sz w:val="18"/>
          <w:szCs w:val="18"/>
        </w:rPr>
        <w:t>:</w:t>
      </w:r>
    </w:p>
    <w:p w14:paraId="026CDD7D" w14:textId="77777777" w:rsidR="00A60D4B" w:rsidRDefault="00A60D4B" w:rsidP="00A60D4B">
      <w:pPr>
        <w:pStyle w:val="ListParagraph"/>
        <w:ind w:left="567" w:hanging="425"/>
        <w:rPr>
          <w:sz w:val="18"/>
          <w:szCs w:val="18"/>
        </w:rPr>
      </w:pPr>
      <w:r w:rsidRPr="004701B6">
        <w:rPr>
          <w:sz w:val="18"/>
          <w:szCs w:val="18"/>
        </w:rPr>
        <w:t xml:space="preserve">1. </w:t>
      </w:r>
      <w:r>
        <w:rPr>
          <w:sz w:val="18"/>
          <w:szCs w:val="18"/>
        </w:rPr>
        <w:tab/>
        <w:t xml:space="preserve">Except for Icon Water and </w:t>
      </w:r>
      <w:r w:rsidRPr="004476A4">
        <w:rPr>
          <w:sz w:val="18"/>
          <w:szCs w:val="18"/>
        </w:rPr>
        <w:t>Cemeteries and Crematoria Authority</w:t>
      </w:r>
      <w:r>
        <w:rPr>
          <w:sz w:val="18"/>
          <w:szCs w:val="18"/>
        </w:rPr>
        <w:t xml:space="preserve">, capital works programs for the PTEs are determined on a rolling four-year cycle. </w:t>
      </w:r>
    </w:p>
    <w:p w14:paraId="2579C4DA" w14:textId="77777777" w:rsidR="00A60D4B" w:rsidRPr="004701B6" w:rsidRDefault="00A60D4B" w:rsidP="00A60D4B">
      <w:pPr>
        <w:pStyle w:val="ListParagraph"/>
        <w:ind w:left="709" w:hanging="709"/>
        <w:rPr>
          <w:sz w:val="18"/>
          <w:szCs w:val="18"/>
        </w:rPr>
      </w:pPr>
      <w:r w:rsidRPr="004701B6">
        <w:rPr>
          <w:sz w:val="18"/>
          <w:szCs w:val="18"/>
        </w:rPr>
        <w:t xml:space="preserve">  </w:t>
      </w:r>
    </w:p>
    <w:p w14:paraId="4B819AC4" w14:textId="77777777" w:rsidR="00A60D4B" w:rsidRPr="00DC66C5" w:rsidRDefault="00A60D4B" w:rsidP="00A60D4B">
      <w:pPr>
        <w:pStyle w:val="Heading4"/>
        <w:rPr>
          <w:i/>
          <w:iCs w:val="0"/>
        </w:rPr>
      </w:pPr>
      <w:r w:rsidRPr="00DC66C5">
        <w:rPr>
          <w:i/>
          <w:iCs w:val="0"/>
        </w:rPr>
        <w:t xml:space="preserve">Cemeteries and Crematoria Authority </w:t>
      </w:r>
    </w:p>
    <w:p w14:paraId="461B2B31" w14:textId="77777777" w:rsidR="00A60D4B" w:rsidRPr="007852CB" w:rsidRDefault="00A60D4B" w:rsidP="00A60D4B">
      <w:pPr>
        <w:pStyle w:val="Bbodytext"/>
      </w:pPr>
      <w:r w:rsidRPr="007852CB">
        <w:t xml:space="preserve">The Cemeteries and Crematoria Authority manages three cemeteries and a crematorium in the ACT. The Authority is responsible for ensuring that there are suitable interment options and adequate burial capacity for the ACT community. The forward capital works program for the Authority includes maintaining existing facilities and replacing plant and equipment when items have reached end of life. </w:t>
      </w:r>
    </w:p>
    <w:p w14:paraId="1B54D669" w14:textId="77777777" w:rsidR="00A60D4B" w:rsidRPr="00DC66C5" w:rsidRDefault="00A60D4B" w:rsidP="00A60D4B">
      <w:pPr>
        <w:pStyle w:val="Heading4"/>
        <w:rPr>
          <w:i/>
          <w:iCs w:val="0"/>
        </w:rPr>
      </w:pPr>
      <w:r w:rsidRPr="00DC66C5">
        <w:rPr>
          <w:i/>
          <w:iCs w:val="0"/>
        </w:rPr>
        <w:lastRenderedPageBreak/>
        <w:t xml:space="preserve">City Renewal Authority </w:t>
      </w:r>
    </w:p>
    <w:p w14:paraId="20B24B4B" w14:textId="77777777" w:rsidR="00A60D4B" w:rsidRPr="007852CB" w:rsidRDefault="00A60D4B" w:rsidP="00A60D4B">
      <w:pPr>
        <w:pStyle w:val="Bbodytext"/>
      </w:pPr>
      <w:r w:rsidRPr="007852CB">
        <w:t xml:space="preserve">The City Renewal Authority is responsible for managing the revitalisation of central Canberra to make it a great place to live, work, explore and enjoy. The Authority is doing this by leading the transformation of the City Renewal Precinct, which spans Dickson, Northbourne Avenue, Haig Park, Braddon, the city centre and Acton Waterfront. </w:t>
      </w:r>
    </w:p>
    <w:p w14:paraId="72FF4B38" w14:textId="77777777" w:rsidR="00A60D4B" w:rsidRPr="007852CB" w:rsidRDefault="00A60D4B" w:rsidP="00A60D4B">
      <w:pPr>
        <w:pStyle w:val="Bbodytext"/>
      </w:pPr>
      <w:r w:rsidRPr="007852CB">
        <w:t>In partnership with the community, private sector, and other government agencies, the Authority is</w:t>
      </w:r>
      <w:r w:rsidRPr="007852CB" w:rsidDel="00276F4F">
        <w:t xml:space="preserve"> </w:t>
      </w:r>
      <w:r w:rsidRPr="007852CB">
        <w:t xml:space="preserve">creating a vital and prosperous city heart through the delivery of a people-centred, design-led and sustainable urban renewal program. </w:t>
      </w:r>
    </w:p>
    <w:p w14:paraId="46F58E6B" w14:textId="77777777" w:rsidR="00A60D4B" w:rsidRPr="007852CB" w:rsidRDefault="00A60D4B" w:rsidP="00A60D4B">
      <w:pPr>
        <w:pStyle w:val="Bbodytext"/>
      </w:pPr>
      <w:r w:rsidRPr="007852CB">
        <w:t>In addition to leading urban renewal within the precinct, the Authority sells government-owned leases in the precinct on behalf of the Territory and is actively undertaking design and development planning activities for future land releases within the city centre.</w:t>
      </w:r>
    </w:p>
    <w:p w14:paraId="55656813" w14:textId="77777777" w:rsidR="00A60D4B" w:rsidRPr="001D1594" w:rsidRDefault="00A60D4B" w:rsidP="00A60D4B">
      <w:pPr>
        <w:pStyle w:val="Heading4"/>
        <w:rPr>
          <w:i/>
          <w:iCs w:val="0"/>
        </w:rPr>
      </w:pPr>
      <w:r w:rsidRPr="001D1594">
        <w:rPr>
          <w:i/>
          <w:iCs w:val="0"/>
        </w:rPr>
        <w:t xml:space="preserve">Housing ACT </w:t>
      </w:r>
    </w:p>
    <w:p w14:paraId="2E568C80" w14:textId="77777777" w:rsidR="00A60D4B" w:rsidRPr="007852CB" w:rsidRDefault="00A60D4B" w:rsidP="00A60D4B">
      <w:pPr>
        <w:pStyle w:val="Bbodytext"/>
      </w:pPr>
      <w:r w:rsidRPr="007852CB">
        <w:t>Housing ACT undertakes an annual program of building and purchasing properties, as well as upgrading and refurbishing homes to ensure they meet the needs of tenants. The capital works program is largely driven by the Growing and Renewing Public Housing Program, the construction of Common Ground Dickson, the repair and maintenance of the public housing portfolio, as well as other smaller but essential works (such as the Energy Efficiency program) that assist in the provision of appropriate housing.</w:t>
      </w:r>
    </w:p>
    <w:p w14:paraId="4958DE0B" w14:textId="77777777" w:rsidR="00A60D4B" w:rsidRPr="007852CB" w:rsidRDefault="00A60D4B" w:rsidP="00A60D4B">
      <w:pPr>
        <w:pStyle w:val="Bbodytext"/>
      </w:pPr>
      <w:r w:rsidRPr="007852CB">
        <w:t>The Common Ground Dickson development includes 40 residential units (20 supportive and 20 affordable), with a mix of one, two and three-bedroom dwellings, as well as communal areas, community spaces, onsite support services and provision for a social enterprise business. The complex will provide long-term, high-quality housing options for people experiencing chronic homelessness and for low-income earners. The future tenant cohort is expected to include older women, single parents and families with children.</w:t>
      </w:r>
    </w:p>
    <w:p w14:paraId="714B3A23" w14:textId="77777777" w:rsidR="00A60D4B" w:rsidRPr="007852CB" w:rsidRDefault="00A60D4B" w:rsidP="00A60D4B">
      <w:pPr>
        <w:pStyle w:val="Bbodytext"/>
      </w:pPr>
      <w:r w:rsidRPr="007852CB">
        <w:t>Furthermore, 2021-22 will see an increased investment of $80 million in the repair and maintenance of the public housing portfolio, improving the average condition of current housing stock and the quality of life of current and future tenants.</w:t>
      </w:r>
    </w:p>
    <w:p w14:paraId="6E02515D" w14:textId="77777777" w:rsidR="00A60D4B" w:rsidRPr="007852CB" w:rsidRDefault="00A60D4B" w:rsidP="00A60D4B">
      <w:pPr>
        <w:pStyle w:val="Bbodytext"/>
      </w:pPr>
      <w:r w:rsidRPr="007852CB">
        <w:t>Overall, Housing ACT will continue to focus on improving tenant outcomes by continuing to upgrade Canberra’s ageing public housing stock and in doing so support the broader renewal of Canberra’s city and urban areas.</w:t>
      </w:r>
    </w:p>
    <w:p w14:paraId="69F85857" w14:textId="77777777" w:rsidR="00A60D4B" w:rsidRPr="00573050" w:rsidRDefault="00A60D4B" w:rsidP="00A60D4B">
      <w:pPr>
        <w:pStyle w:val="Heading4"/>
        <w:rPr>
          <w:i/>
          <w:iCs w:val="0"/>
        </w:rPr>
      </w:pPr>
      <w:r w:rsidRPr="00573050">
        <w:rPr>
          <w:i/>
          <w:iCs w:val="0"/>
        </w:rPr>
        <w:t xml:space="preserve">Icon Water Limited </w:t>
      </w:r>
    </w:p>
    <w:p w14:paraId="7761EFAC" w14:textId="77777777" w:rsidR="00A60D4B" w:rsidRPr="007852CB" w:rsidRDefault="00A60D4B" w:rsidP="00A60D4B">
      <w:pPr>
        <w:pStyle w:val="Bbodytext"/>
      </w:pPr>
      <w:r w:rsidRPr="007852CB">
        <w:t xml:space="preserve">Icon Water Limited is an unlisted public company owned by the ACT Government. Icon Water owns and manages the assets used to provide water and sewerage services to the ACT and deliver bulk water to Queanbeyan. Icon Water also has an investment in the ACT’s energy distributor (Evoenergy) and retailer (ActewAGL), through a joint venture of two partnerships with Jemena Limited and AGL Energy Limited. </w:t>
      </w:r>
    </w:p>
    <w:p w14:paraId="0334932C" w14:textId="77777777" w:rsidR="00A60D4B" w:rsidRPr="007852CB" w:rsidRDefault="00A60D4B" w:rsidP="00A60D4B">
      <w:pPr>
        <w:pStyle w:val="Bbodytext"/>
      </w:pPr>
      <w:r w:rsidRPr="007852CB">
        <w:t>Key highlights within the capital program planned over the five years to 2025-26 include:</w:t>
      </w:r>
    </w:p>
    <w:p w14:paraId="12FEB1DD" w14:textId="77777777" w:rsidR="00A60D4B" w:rsidRPr="00435C02" w:rsidRDefault="00A60D4B" w:rsidP="00A60D4B">
      <w:pPr>
        <w:numPr>
          <w:ilvl w:val="0"/>
          <w:numId w:val="1"/>
        </w:numPr>
        <w:rPr>
          <w:bCs/>
          <w:sz w:val="24"/>
          <w:szCs w:val="24"/>
        </w:rPr>
      </w:pPr>
      <w:r w:rsidRPr="00435C02">
        <w:rPr>
          <w:bCs/>
          <w:sz w:val="24"/>
          <w:szCs w:val="24"/>
        </w:rPr>
        <w:t>ongoing upgrades to the Lower Molonglo Water Quality Control Centre (LMWQCC), which was constructed in the 1970s and requires substantial upgrades and renewals. LMWQCC is critical to ensuring that the water discharged from Canberra maintains the river health of the Murrumbidgee;</w:t>
      </w:r>
    </w:p>
    <w:p w14:paraId="4FFA2B93" w14:textId="77777777" w:rsidR="00A60D4B" w:rsidRPr="00435C02" w:rsidRDefault="00A60D4B" w:rsidP="00A60D4B">
      <w:pPr>
        <w:numPr>
          <w:ilvl w:val="0"/>
          <w:numId w:val="1"/>
        </w:numPr>
        <w:rPr>
          <w:bCs/>
          <w:sz w:val="24"/>
          <w:szCs w:val="24"/>
        </w:rPr>
      </w:pPr>
      <w:r w:rsidRPr="00435C02">
        <w:rPr>
          <w:bCs/>
          <w:sz w:val="24"/>
          <w:szCs w:val="24"/>
        </w:rPr>
        <w:lastRenderedPageBreak/>
        <w:t>replacement of several reservoir roofs and other significant structural elements to ensure the continued provision of high-quality water to the community from these aged assets;</w:t>
      </w:r>
    </w:p>
    <w:p w14:paraId="4B669166" w14:textId="77777777" w:rsidR="00A60D4B" w:rsidRPr="00435C02" w:rsidRDefault="00A60D4B" w:rsidP="00A60D4B">
      <w:pPr>
        <w:numPr>
          <w:ilvl w:val="0"/>
          <w:numId w:val="1"/>
        </w:numPr>
        <w:rPr>
          <w:bCs/>
          <w:sz w:val="24"/>
          <w:szCs w:val="24"/>
        </w:rPr>
      </w:pPr>
      <w:r w:rsidRPr="00435C02">
        <w:rPr>
          <w:bCs/>
          <w:sz w:val="24"/>
          <w:szCs w:val="24"/>
        </w:rPr>
        <w:t>increasing the capacity of the existing trunk sewer system to accommodate population growth and provide additional ventilation and odour control units. This includes upgrades to the Belconnen trunk sewer and within the North Canberra sewer network;</w:t>
      </w:r>
    </w:p>
    <w:p w14:paraId="38E4DE95" w14:textId="77777777" w:rsidR="00A60D4B" w:rsidRPr="00435C02" w:rsidRDefault="00A60D4B" w:rsidP="00A60D4B">
      <w:pPr>
        <w:numPr>
          <w:ilvl w:val="0"/>
          <w:numId w:val="1"/>
        </w:numPr>
        <w:rPr>
          <w:bCs/>
          <w:sz w:val="24"/>
          <w:szCs w:val="24"/>
        </w:rPr>
      </w:pPr>
      <w:r w:rsidRPr="00435C02">
        <w:rPr>
          <w:bCs/>
          <w:sz w:val="24"/>
          <w:szCs w:val="24"/>
        </w:rPr>
        <w:t>replacements and upgrades at the Cotter Pump Station to ensure reliable and safe supply of water from Cotter Reservoir and the Murrumbidgee River;</w:t>
      </w:r>
    </w:p>
    <w:p w14:paraId="3F3BBC84" w14:textId="77777777" w:rsidR="00A60D4B" w:rsidRPr="00435C02" w:rsidRDefault="00A60D4B" w:rsidP="00A60D4B">
      <w:pPr>
        <w:numPr>
          <w:ilvl w:val="0"/>
          <w:numId w:val="1"/>
        </w:numPr>
        <w:rPr>
          <w:bCs/>
          <w:sz w:val="24"/>
          <w:szCs w:val="24"/>
        </w:rPr>
      </w:pPr>
      <w:r w:rsidRPr="00435C02">
        <w:rPr>
          <w:bCs/>
          <w:sz w:val="24"/>
          <w:szCs w:val="24"/>
        </w:rPr>
        <w:t>continued renewal of the water pipes and sewer pipes to minimise interruptions to customer water and sewer services;</w:t>
      </w:r>
    </w:p>
    <w:p w14:paraId="71BBEB3E" w14:textId="77777777" w:rsidR="00A60D4B" w:rsidRPr="00435C02" w:rsidRDefault="00A60D4B" w:rsidP="00A60D4B">
      <w:pPr>
        <w:numPr>
          <w:ilvl w:val="0"/>
          <w:numId w:val="1"/>
        </w:numPr>
        <w:rPr>
          <w:bCs/>
          <w:sz w:val="24"/>
          <w:szCs w:val="24"/>
        </w:rPr>
      </w:pPr>
      <w:r w:rsidRPr="00435C02">
        <w:rPr>
          <w:bCs/>
          <w:sz w:val="24"/>
          <w:szCs w:val="24"/>
        </w:rPr>
        <w:t>upgrading the Googong Water Treatment Plant clarifier systems, which provide critical water supply for the ACT and Queanbeyan; and</w:t>
      </w:r>
    </w:p>
    <w:p w14:paraId="513C9AD0" w14:textId="77777777" w:rsidR="00A60D4B" w:rsidRPr="00EA7EB1" w:rsidRDefault="00A60D4B" w:rsidP="00A60D4B">
      <w:pPr>
        <w:numPr>
          <w:ilvl w:val="0"/>
          <w:numId w:val="1"/>
        </w:numPr>
        <w:rPr>
          <w:bCs/>
        </w:rPr>
      </w:pPr>
      <w:r w:rsidRPr="00435C02">
        <w:rPr>
          <w:bCs/>
          <w:sz w:val="24"/>
          <w:szCs w:val="24"/>
        </w:rPr>
        <w:t>ongoing renewal of water meters to meet regulatory requirements and to provide accurate metering and replace defective devices.</w:t>
      </w:r>
    </w:p>
    <w:p w14:paraId="1D0C0FFB" w14:textId="77777777" w:rsidR="00A60D4B" w:rsidRPr="00BD600D" w:rsidRDefault="00A60D4B" w:rsidP="00A60D4B">
      <w:pPr>
        <w:pStyle w:val="Heading4"/>
        <w:rPr>
          <w:i/>
          <w:iCs w:val="0"/>
        </w:rPr>
      </w:pPr>
      <w:r w:rsidRPr="00BD600D">
        <w:rPr>
          <w:i/>
          <w:iCs w:val="0"/>
        </w:rPr>
        <w:t>Suburban Land Agency</w:t>
      </w:r>
    </w:p>
    <w:p w14:paraId="72CDD1AB" w14:textId="77777777" w:rsidR="00A60D4B" w:rsidRPr="007852CB" w:rsidRDefault="00A60D4B" w:rsidP="00A60D4B">
      <w:pPr>
        <w:pStyle w:val="Bbodytext"/>
      </w:pPr>
      <w:r w:rsidRPr="007852CB">
        <w:t xml:space="preserve">The Suburban Land Agency (SLA) is the largest PTE by expenditure. The agency develops and releases residential, commercial, industrial and community land in new suburban estates and through urban renewal projects. </w:t>
      </w:r>
    </w:p>
    <w:p w14:paraId="5CF183E2" w14:textId="77777777" w:rsidR="00A60D4B" w:rsidRPr="007852CB" w:rsidRDefault="00A60D4B" w:rsidP="00A60D4B">
      <w:pPr>
        <w:pStyle w:val="Bbodytext"/>
      </w:pPr>
      <w:r w:rsidRPr="007852CB">
        <w:t xml:space="preserve">The SLA buys and sells land leases on behalf of the Territory to deliver a mixture of public and private housing in new suburbs. Through its land release program, the SLA delivers affordable and community housing and carries out development of land in an environmentally sustainable way. </w:t>
      </w:r>
    </w:p>
    <w:p w14:paraId="385D4B32" w14:textId="77777777" w:rsidR="00A60D4B" w:rsidRPr="007852CB" w:rsidRDefault="00A60D4B" w:rsidP="00A60D4B">
      <w:pPr>
        <w:pStyle w:val="Bbodytext"/>
      </w:pPr>
      <w:r w:rsidRPr="007852CB">
        <w:t>Since its establishment on 1 July 2017, the SLA has delivered land releases across Canberra. Major estate developments over the next four years include the suburbs of Jacka and Kenny in Gungahlin; Whitlam in the Molonglo Valley; Strathnairn and Macnamara in Belconnen; and Kingston Foreshore and East Lake in Central Canberra.</w:t>
      </w:r>
    </w:p>
    <w:p w14:paraId="6E1A8BB0" w14:textId="77777777" w:rsidR="00A60D4B" w:rsidRPr="007852CB" w:rsidRDefault="00A60D4B" w:rsidP="00A60D4B">
      <w:pPr>
        <w:pStyle w:val="Bbodytext"/>
      </w:pPr>
      <w:r w:rsidRPr="007852CB">
        <w:t>The SLA will also undertake infrastructure works supporting the Molonglo Valley region including the 132kV powerline underground relocation project, the Molonglo Valley Interceptor Sewer and the Deep Creek Water Control Pond.</w:t>
      </w:r>
    </w:p>
    <w:p w14:paraId="0B6DC691" w14:textId="77777777" w:rsidR="00A60D4B" w:rsidRPr="007852CB" w:rsidRDefault="00A60D4B" w:rsidP="00A60D4B">
      <w:pPr>
        <w:pStyle w:val="Bbodytext"/>
      </w:pPr>
      <w:r w:rsidRPr="007852CB">
        <w:t>Further information on the forward capital works program of the SLA is provided in the Indicative Land Release Program section below.</w:t>
      </w:r>
    </w:p>
    <w:p w14:paraId="0D67643F" w14:textId="77777777" w:rsidR="00A60D4B" w:rsidRDefault="00A60D4B">
      <w:pPr>
        <w:rPr>
          <w:rFonts w:ascii="Calibri" w:eastAsiaTheme="majorEastAsia" w:hAnsi="Calibri" w:cstheme="majorBidi"/>
          <w:b/>
          <w:color w:val="999789"/>
          <w:sz w:val="32"/>
          <w:szCs w:val="24"/>
        </w:rPr>
      </w:pPr>
      <w:r>
        <w:br w:type="page"/>
      </w:r>
    </w:p>
    <w:p w14:paraId="527D87DF" w14:textId="77777777" w:rsidR="00A60D4B" w:rsidRPr="00F92D77" w:rsidRDefault="00A60D4B" w:rsidP="00A60D4B">
      <w:pPr>
        <w:pStyle w:val="Heading3"/>
      </w:pPr>
      <w:bookmarkStart w:id="134" w:name="_Toc83298699"/>
      <w:r w:rsidRPr="00F92D77">
        <w:lastRenderedPageBreak/>
        <w:t>Indicative Land Release Program</w:t>
      </w:r>
      <w:bookmarkEnd w:id="134"/>
    </w:p>
    <w:p w14:paraId="34D25EB0" w14:textId="77777777" w:rsidR="00A60D4B" w:rsidRPr="00435C02" w:rsidRDefault="00A60D4B" w:rsidP="00A60D4B">
      <w:pPr>
        <w:pStyle w:val="Bbodytext"/>
      </w:pPr>
      <w:r w:rsidRPr="00435C02">
        <w:t>The ACT Government plans for the supply and release of land by considering factors such as forecast population changes, household changes, demand for land for non-residential purposes such as commercial and community uses, and the capacity to deliver key infrastructure and services cost</w:t>
      </w:r>
      <w:r w:rsidRPr="00435C02">
        <w:noBreakHyphen/>
        <w:t>effectively.</w:t>
      </w:r>
    </w:p>
    <w:p w14:paraId="05875644" w14:textId="77777777" w:rsidR="00A60D4B" w:rsidRPr="00435C02" w:rsidRDefault="00A60D4B" w:rsidP="00A60D4B">
      <w:pPr>
        <w:pStyle w:val="Bbodytext"/>
      </w:pPr>
      <w:r w:rsidRPr="00435C02">
        <w:t>The Government is in the unique position of setting the strategic planning directions and shaping how our city will group and change, as well as balancing the supply of land to meet the needs of our growing and changing city.</w:t>
      </w:r>
    </w:p>
    <w:p w14:paraId="34051764" w14:textId="77777777" w:rsidR="00A60D4B" w:rsidRPr="00435C02" w:rsidRDefault="00A60D4B" w:rsidP="00A60D4B">
      <w:pPr>
        <w:pStyle w:val="Bbodytext"/>
      </w:pPr>
      <w:r w:rsidRPr="00435C02">
        <w:t>Each year the Government prepares and publishes an Indicative Land Release Program</w:t>
      </w:r>
      <w:r>
        <w:t xml:space="preserve">, available </w:t>
      </w:r>
      <w:hyperlink r:id="rId170" w:history="1">
        <w:r w:rsidRPr="00CF3AB7">
          <w:rPr>
            <w:rStyle w:val="Hyperlink"/>
            <w:szCs w:val="24"/>
          </w:rPr>
          <w:t>here</w:t>
        </w:r>
      </w:hyperlink>
      <w:r w:rsidRPr="00435C02">
        <w:t>. The program is an important mechanism through which the ACT Government delivers on the strategic directions in the ACT Planning Strategy and the Housing Strategy and is a key driver for the ACT Infrastructure Plan.</w:t>
      </w:r>
    </w:p>
    <w:p w14:paraId="425F2302" w14:textId="77777777" w:rsidR="00A60D4B" w:rsidRPr="00177B59" w:rsidRDefault="00A60D4B" w:rsidP="00A60D4B">
      <w:pPr>
        <w:rPr>
          <w:rFonts w:ascii="Calibri" w:eastAsiaTheme="majorEastAsia" w:hAnsi="Calibri" w:cstheme="majorBidi"/>
          <w:b/>
          <w:iCs/>
          <w:sz w:val="28"/>
        </w:rPr>
      </w:pPr>
      <w:r w:rsidRPr="00177B59">
        <w:rPr>
          <w:rFonts w:ascii="Calibri" w:eastAsiaTheme="majorEastAsia" w:hAnsi="Calibri" w:cstheme="majorBidi"/>
          <w:b/>
          <w:iCs/>
          <w:sz w:val="28"/>
        </w:rPr>
        <w:t>Initiatives supporting land releases</w:t>
      </w:r>
    </w:p>
    <w:p w14:paraId="56CEC8BC" w14:textId="77777777" w:rsidR="00A60D4B" w:rsidRPr="00435C02" w:rsidRDefault="00A60D4B" w:rsidP="00A60D4B">
      <w:pPr>
        <w:pStyle w:val="Bbodytext"/>
      </w:pPr>
      <w:r w:rsidRPr="00435C02">
        <w:t>Through the 2021-22 Budget, the ACT Government is investing in infrastructure and planning initiatives that support the delivery of the Indicative Land Release Program, including:</w:t>
      </w:r>
    </w:p>
    <w:p w14:paraId="55F7B94D" w14:textId="77777777" w:rsidR="00A60D4B" w:rsidRPr="00435C02" w:rsidRDefault="00A60D4B" w:rsidP="00A60D4B">
      <w:pPr>
        <w:numPr>
          <w:ilvl w:val="0"/>
          <w:numId w:val="1"/>
        </w:numPr>
        <w:rPr>
          <w:bCs/>
          <w:sz w:val="24"/>
          <w:szCs w:val="24"/>
        </w:rPr>
      </w:pPr>
      <w:r w:rsidRPr="00435C02">
        <w:rPr>
          <w:b/>
          <w:sz w:val="24"/>
          <w:szCs w:val="24"/>
        </w:rPr>
        <w:t>William Hovell Drive duplication and shared path – Construction ($63.3 million):</w:t>
      </w:r>
      <w:r w:rsidRPr="00435C02">
        <w:rPr>
          <w:bCs/>
          <w:sz w:val="24"/>
          <w:szCs w:val="24"/>
        </w:rPr>
        <w:t xml:space="preserve"> Duplication of William Hovell Drive will be extended between Drake Brockman Drive to John Gorton Drive, including a 7</w:t>
      </w:r>
      <w:r>
        <w:rPr>
          <w:bCs/>
          <w:sz w:val="24"/>
          <w:szCs w:val="24"/>
        </w:rPr>
        <w:t xml:space="preserve"> </w:t>
      </w:r>
      <w:r w:rsidRPr="00435C02">
        <w:rPr>
          <w:bCs/>
          <w:sz w:val="24"/>
          <w:szCs w:val="24"/>
        </w:rPr>
        <w:t>k</w:t>
      </w:r>
      <w:r>
        <w:rPr>
          <w:bCs/>
          <w:sz w:val="24"/>
          <w:szCs w:val="24"/>
        </w:rPr>
        <w:t>ilometre</w:t>
      </w:r>
      <w:r w:rsidRPr="00435C02">
        <w:rPr>
          <w:bCs/>
          <w:sz w:val="24"/>
          <w:szCs w:val="24"/>
        </w:rPr>
        <w:t xml:space="preserve"> dedicated off-road shared path for walking and cycling. This will support land release in Ginninderry and the Molonglo Valley by improving connectivity and reducing traffic congestion. </w:t>
      </w:r>
    </w:p>
    <w:p w14:paraId="1B8C931F" w14:textId="77777777" w:rsidR="00A60D4B" w:rsidRPr="00435C02" w:rsidRDefault="00A60D4B" w:rsidP="00A60D4B">
      <w:pPr>
        <w:numPr>
          <w:ilvl w:val="0"/>
          <w:numId w:val="1"/>
        </w:numPr>
        <w:rPr>
          <w:bCs/>
          <w:sz w:val="24"/>
          <w:szCs w:val="24"/>
        </w:rPr>
      </w:pPr>
      <w:r w:rsidRPr="00435C02">
        <w:rPr>
          <w:b/>
          <w:sz w:val="24"/>
          <w:szCs w:val="24"/>
        </w:rPr>
        <w:t>Environmental Offsets and Franklin Nature Reserve Enhancement ($6.2 million):</w:t>
      </w:r>
      <w:r w:rsidRPr="00435C02">
        <w:rPr>
          <w:bCs/>
          <w:sz w:val="24"/>
          <w:szCs w:val="24"/>
        </w:rPr>
        <w:t xml:space="preserve"> Biodiversity offset commitments to support land releases as part of the West Belconnen and Gungahlin Strategic Assessments will continue.</w:t>
      </w:r>
    </w:p>
    <w:p w14:paraId="7AF4BF0F" w14:textId="77777777" w:rsidR="00A60D4B" w:rsidRPr="00435C02" w:rsidRDefault="00A60D4B" w:rsidP="00A60D4B">
      <w:pPr>
        <w:numPr>
          <w:ilvl w:val="0"/>
          <w:numId w:val="1"/>
        </w:numPr>
        <w:rPr>
          <w:bCs/>
          <w:sz w:val="24"/>
          <w:szCs w:val="24"/>
        </w:rPr>
      </w:pPr>
      <w:r w:rsidRPr="00435C02">
        <w:rPr>
          <w:b/>
          <w:sz w:val="24"/>
          <w:szCs w:val="24"/>
        </w:rPr>
        <w:t>Kenny High School supporting road and active travel infrastructure ($5.7 million):</w:t>
      </w:r>
      <w:r w:rsidRPr="00435C02">
        <w:rPr>
          <w:bCs/>
          <w:sz w:val="24"/>
          <w:szCs w:val="24"/>
        </w:rPr>
        <w:t xml:space="preserve"> road and pedestrian infrastructure for access to the future Kenny High School, scheduled to open in January 2023, will be delivered.</w:t>
      </w:r>
    </w:p>
    <w:p w14:paraId="1A52A880" w14:textId="77777777" w:rsidR="00A60D4B" w:rsidRPr="00435C02" w:rsidRDefault="00A60D4B" w:rsidP="00A60D4B">
      <w:pPr>
        <w:numPr>
          <w:ilvl w:val="0"/>
          <w:numId w:val="1"/>
        </w:numPr>
        <w:rPr>
          <w:bCs/>
          <w:sz w:val="24"/>
          <w:szCs w:val="24"/>
        </w:rPr>
      </w:pPr>
      <w:r w:rsidRPr="00435C02">
        <w:rPr>
          <w:b/>
          <w:sz w:val="24"/>
          <w:szCs w:val="24"/>
        </w:rPr>
        <w:t>Site servicing and capital works Watson Section 76 ($4.2 million):</w:t>
      </w:r>
      <w:r w:rsidRPr="00435C02">
        <w:rPr>
          <w:bCs/>
          <w:sz w:val="24"/>
          <w:szCs w:val="24"/>
        </w:rPr>
        <w:t xml:space="preserve"> site servicing works will be undertaken and a park and active travel connections constructed at Block 2, Section 76 Watson to facilitate the release of approximately 200 new dwellings in 2022</w:t>
      </w:r>
      <w:r>
        <w:rPr>
          <w:bCs/>
          <w:sz w:val="24"/>
          <w:szCs w:val="24"/>
        </w:rPr>
        <w:noBreakHyphen/>
      </w:r>
      <w:r w:rsidRPr="00435C02">
        <w:rPr>
          <w:bCs/>
          <w:sz w:val="24"/>
          <w:szCs w:val="24"/>
        </w:rPr>
        <w:t xml:space="preserve">23. </w:t>
      </w:r>
    </w:p>
    <w:p w14:paraId="7016E853" w14:textId="77777777" w:rsidR="00A60D4B" w:rsidRPr="00435C02" w:rsidRDefault="00A60D4B" w:rsidP="00A60D4B">
      <w:pPr>
        <w:numPr>
          <w:ilvl w:val="0"/>
          <w:numId w:val="1"/>
        </w:numPr>
        <w:rPr>
          <w:bCs/>
          <w:sz w:val="24"/>
          <w:szCs w:val="24"/>
        </w:rPr>
      </w:pPr>
      <w:r w:rsidRPr="007E7E7D">
        <w:rPr>
          <w:b/>
          <w:sz w:val="24"/>
          <w:szCs w:val="24"/>
        </w:rPr>
        <w:t>Mawson stormwater and place making improvements ($3.1 million):</w:t>
      </w:r>
      <w:r w:rsidRPr="00435C02">
        <w:rPr>
          <w:bCs/>
          <w:sz w:val="24"/>
          <w:szCs w:val="24"/>
        </w:rPr>
        <w:t xml:space="preserve"> Stormwater and place making improvements will be delivered on the southern side of Mawson Group Centre, to reduce flood risk in the area as well as improving the urban realm. This will support the scheduled release of 40 dwellings and 5,200 square metres of commercial space in 2023-24.</w:t>
      </w:r>
    </w:p>
    <w:p w14:paraId="39DBB057" w14:textId="77777777" w:rsidR="00A60D4B" w:rsidRPr="00435C02" w:rsidRDefault="00A60D4B" w:rsidP="00A60D4B">
      <w:pPr>
        <w:keepNext/>
        <w:keepLines/>
        <w:numPr>
          <w:ilvl w:val="0"/>
          <w:numId w:val="1"/>
        </w:numPr>
        <w:ind w:left="357" w:hanging="357"/>
        <w:rPr>
          <w:bCs/>
          <w:sz w:val="24"/>
          <w:szCs w:val="24"/>
        </w:rPr>
      </w:pPr>
      <w:r w:rsidRPr="00435C02">
        <w:rPr>
          <w:b/>
          <w:sz w:val="24"/>
          <w:szCs w:val="24"/>
        </w:rPr>
        <w:lastRenderedPageBreak/>
        <w:t>East Lake Urban Renewal – Site Investigations and Planning ($2.1 million):</w:t>
      </w:r>
      <w:r w:rsidRPr="00435C02">
        <w:rPr>
          <w:bCs/>
          <w:sz w:val="24"/>
          <w:szCs w:val="24"/>
        </w:rPr>
        <w:t xml:space="preserve"> Planning and site investigation work will be undertaken to prepare the East Lake Urban Renewal project for development, continuing work in this area which commenced through the 2019-20 Budget.</w:t>
      </w:r>
    </w:p>
    <w:p w14:paraId="3C08BA92" w14:textId="77777777" w:rsidR="00A60D4B" w:rsidRPr="00435C02" w:rsidRDefault="00A60D4B" w:rsidP="00A60D4B">
      <w:pPr>
        <w:numPr>
          <w:ilvl w:val="0"/>
          <w:numId w:val="1"/>
        </w:numPr>
        <w:rPr>
          <w:bCs/>
          <w:sz w:val="24"/>
          <w:szCs w:val="24"/>
        </w:rPr>
      </w:pPr>
      <w:r w:rsidRPr="00435C02">
        <w:rPr>
          <w:b/>
          <w:sz w:val="24"/>
          <w:szCs w:val="24"/>
        </w:rPr>
        <w:t>Progressing RSPCA project home ($1.0 million):</w:t>
      </w:r>
      <w:r w:rsidRPr="00435C02">
        <w:rPr>
          <w:bCs/>
          <w:sz w:val="24"/>
          <w:szCs w:val="24"/>
        </w:rPr>
        <w:t xml:space="preserve"> Feasibility and early design works will be undertaken to facilitate relocation of the RSPCA from Weston, which will allow for 30</w:t>
      </w:r>
      <w:r>
        <w:rPr>
          <w:bCs/>
          <w:sz w:val="24"/>
          <w:szCs w:val="24"/>
        </w:rPr>
        <w:t> </w:t>
      </w:r>
      <w:r w:rsidRPr="00435C02">
        <w:rPr>
          <w:bCs/>
          <w:sz w:val="24"/>
          <w:szCs w:val="24"/>
        </w:rPr>
        <w:t xml:space="preserve">dwellings scheduled for release in 2025-26 following the relocation, and the potential for an additional 800 dwellings in the North Weston subdivision following the removal of the existing RSPCA operational buffer zone. </w:t>
      </w:r>
    </w:p>
    <w:p w14:paraId="35EA3906" w14:textId="77777777" w:rsidR="00A60D4B" w:rsidRPr="00435C02" w:rsidRDefault="00A60D4B" w:rsidP="00A60D4B">
      <w:pPr>
        <w:rPr>
          <w:sz w:val="24"/>
          <w:szCs w:val="24"/>
        </w:rPr>
      </w:pPr>
      <w:r w:rsidRPr="00435C02">
        <w:rPr>
          <w:sz w:val="24"/>
          <w:szCs w:val="24"/>
        </w:rPr>
        <w:t>Several significant projects related to land release that were funded in previous budgets will also continue to be delivered throughout 2021-22, including:</w:t>
      </w:r>
    </w:p>
    <w:p w14:paraId="759A67AE" w14:textId="77777777" w:rsidR="00A60D4B" w:rsidRPr="00435C02" w:rsidRDefault="00A60D4B" w:rsidP="00A60D4B">
      <w:pPr>
        <w:numPr>
          <w:ilvl w:val="0"/>
          <w:numId w:val="1"/>
        </w:numPr>
        <w:rPr>
          <w:bCs/>
          <w:sz w:val="24"/>
          <w:szCs w:val="24"/>
        </w:rPr>
      </w:pPr>
      <w:r w:rsidRPr="00435C02">
        <w:rPr>
          <w:b/>
          <w:sz w:val="24"/>
          <w:szCs w:val="24"/>
        </w:rPr>
        <w:t>John Gorton Drive and Molonglo River Bridge Crossing ($178.0 million):</w:t>
      </w:r>
      <w:r w:rsidRPr="00435C02">
        <w:rPr>
          <w:bCs/>
          <w:sz w:val="24"/>
          <w:szCs w:val="24"/>
        </w:rPr>
        <w:t xml:space="preserve"> Detailed design and construction of the John Gorton Drive 3C extension are being progressed, including constructing a bridge across the Molonglo River. The project includes a signalised intersection which will provide access to the planned Molonglo group centre, on</w:t>
      </w:r>
      <w:r w:rsidRPr="00435C02">
        <w:rPr>
          <w:bCs/>
          <w:sz w:val="24"/>
          <w:szCs w:val="24"/>
        </w:rPr>
        <w:noBreakHyphen/>
        <w:t>road cycle lanes and an off-road shared use path.</w:t>
      </w:r>
    </w:p>
    <w:p w14:paraId="3F886982" w14:textId="77777777" w:rsidR="00A60D4B" w:rsidRPr="00435C02" w:rsidRDefault="00A60D4B" w:rsidP="00A60D4B">
      <w:pPr>
        <w:numPr>
          <w:ilvl w:val="0"/>
          <w:numId w:val="1"/>
        </w:numPr>
        <w:rPr>
          <w:bCs/>
          <w:sz w:val="24"/>
          <w:szCs w:val="24"/>
        </w:rPr>
      </w:pPr>
      <w:r w:rsidRPr="00435C02">
        <w:rPr>
          <w:b/>
          <w:sz w:val="24"/>
          <w:szCs w:val="24"/>
        </w:rPr>
        <w:t>Building Light Rail to Woden and raising London Circuit:</w:t>
      </w:r>
      <w:r w:rsidRPr="00435C02">
        <w:rPr>
          <w:bCs/>
          <w:sz w:val="24"/>
          <w:szCs w:val="24"/>
        </w:rPr>
        <w:t xml:space="preserve"> Planning and early works on extending light rail to Commonwealth Park and through the Parliamentary Zone to Woden are being progressed. This project will support future development opportunities and future investment toward the Government’s commitment to provide 70 per cent urban infill.</w:t>
      </w:r>
    </w:p>
    <w:p w14:paraId="6F447E42" w14:textId="77777777" w:rsidR="00A60D4B" w:rsidRPr="00435C02" w:rsidRDefault="00A60D4B" w:rsidP="00A60D4B">
      <w:pPr>
        <w:rPr>
          <w:sz w:val="24"/>
          <w:szCs w:val="24"/>
        </w:rPr>
      </w:pPr>
      <w:r w:rsidRPr="00435C02">
        <w:rPr>
          <w:sz w:val="24"/>
          <w:szCs w:val="24"/>
        </w:rPr>
        <w:t xml:space="preserve">In addition to the substantial capital investments being made by the Government in the 2021-22 Budget to support land release activities, both the Suburban Land Agency and City Renewal Authority will also deliver significant infrastructure works through their respective capital programs. In 2021-22, the estimated combined value of capital works to be funded by these agencies is </w:t>
      </w:r>
      <w:r w:rsidRPr="00E445EC">
        <w:rPr>
          <w:sz w:val="24"/>
          <w:szCs w:val="24"/>
        </w:rPr>
        <w:t>$117</w:t>
      </w:r>
      <w:r>
        <w:rPr>
          <w:sz w:val="24"/>
          <w:szCs w:val="24"/>
        </w:rPr>
        <w:t>.3</w:t>
      </w:r>
      <w:r w:rsidRPr="00E445EC">
        <w:rPr>
          <w:sz w:val="24"/>
          <w:szCs w:val="24"/>
        </w:rPr>
        <w:t xml:space="preserve"> million, as detailed in Table 3.</w:t>
      </w:r>
      <w:r>
        <w:rPr>
          <w:sz w:val="24"/>
          <w:szCs w:val="24"/>
        </w:rPr>
        <w:t>7.3</w:t>
      </w:r>
      <w:r w:rsidRPr="00E445EC">
        <w:rPr>
          <w:sz w:val="24"/>
          <w:szCs w:val="24"/>
        </w:rPr>
        <w:t>.</w:t>
      </w:r>
    </w:p>
    <w:p w14:paraId="31ACA89B" w14:textId="77777777" w:rsidR="00A60D4B" w:rsidRDefault="00A60D4B">
      <w:pPr>
        <w:rPr>
          <w:rFonts w:ascii="Calibri" w:eastAsiaTheme="majorEastAsia" w:hAnsi="Calibri" w:cstheme="majorBidi"/>
          <w:b/>
          <w:iCs/>
          <w:sz w:val="32"/>
          <w:szCs w:val="32"/>
        </w:rPr>
      </w:pPr>
      <w:r>
        <w:rPr>
          <w:rFonts w:ascii="Calibri" w:eastAsiaTheme="majorEastAsia" w:hAnsi="Calibri" w:cstheme="majorBidi"/>
          <w:b/>
          <w:iCs/>
          <w:sz w:val="32"/>
          <w:szCs w:val="32"/>
        </w:rPr>
        <w:br w:type="page"/>
      </w:r>
    </w:p>
    <w:p w14:paraId="47CD1B40" w14:textId="77777777" w:rsidR="00A60D4B" w:rsidRPr="003D5A13" w:rsidRDefault="00A60D4B" w:rsidP="00A60D4B">
      <w:pPr>
        <w:keepNext/>
        <w:keepLines/>
        <w:rPr>
          <w:rFonts w:ascii="Calibri" w:eastAsiaTheme="majorEastAsia" w:hAnsi="Calibri" w:cstheme="majorBidi"/>
          <w:b/>
          <w:sz w:val="32"/>
          <w:szCs w:val="32"/>
        </w:rPr>
      </w:pPr>
      <w:r w:rsidRPr="003D5A13">
        <w:rPr>
          <w:rFonts w:ascii="Calibri" w:eastAsiaTheme="majorEastAsia" w:hAnsi="Calibri" w:cstheme="majorBidi"/>
          <w:b/>
          <w:sz w:val="32"/>
          <w:szCs w:val="32"/>
        </w:rPr>
        <w:lastRenderedPageBreak/>
        <w:t>Managing the Territory’s assets</w:t>
      </w:r>
    </w:p>
    <w:p w14:paraId="229B3108" w14:textId="77777777" w:rsidR="00A60D4B" w:rsidRPr="00F92D77" w:rsidRDefault="00A60D4B" w:rsidP="00A60D4B">
      <w:pPr>
        <w:keepNext/>
        <w:keepLines/>
        <w:rPr>
          <w:rFonts w:ascii="Calibri" w:eastAsiaTheme="majorEastAsia" w:hAnsi="Calibri" w:cstheme="majorBidi"/>
          <w:b/>
          <w:iCs/>
          <w:sz w:val="28"/>
        </w:rPr>
      </w:pPr>
      <w:r w:rsidRPr="00F92D77">
        <w:rPr>
          <w:rFonts w:ascii="Calibri" w:eastAsiaTheme="majorEastAsia" w:hAnsi="Calibri" w:cstheme="majorBidi"/>
          <w:b/>
          <w:iCs/>
          <w:sz w:val="28"/>
        </w:rPr>
        <w:t>The Territory’s asset base</w:t>
      </w:r>
    </w:p>
    <w:p w14:paraId="36B4BE06" w14:textId="77777777" w:rsidR="00A60D4B" w:rsidRPr="00435C02" w:rsidRDefault="00A60D4B" w:rsidP="00A60D4B">
      <w:pPr>
        <w:pStyle w:val="Bbodytext"/>
      </w:pPr>
      <w:r w:rsidRPr="00435C02">
        <w:t xml:space="preserve">The Territory’s asset base is critical to the delivery of government services to the community, supporting its ongoing wellbeing and productivity. </w:t>
      </w:r>
    </w:p>
    <w:p w14:paraId="4EEAB5E9" w14:textId="77777777" w:rsidR="00A60D4B" w:rsidRPr="00435C02" w:rsidRDefault="00A60D4B" w:rsidP="00A60D4B">
      <w:pPr>
        <w:pStyle w:val="Bbodytext"/>
      </w:pPr>
      <w:r w:rsidRPr="00435C02">
        <w:t>As at 30 June 2021, the Territory’s physical asset base was valued at $27.4 billion, with $17 billion in the GGS and $10 billion in the PTE sector. Capital investment by PTEs is funded through their own-source revenue or borrowing. Along with the government sector, PTE’s significantly contribute to the social and economic benefit of Canberrans through their investments in infrastructure.</w:t>
      </w:r>
    </w:p>
    <w:p w14:paraId="1D517B4C" w14:textId="77777777" w:rsidR="00A60D4B" w:rsidRPr="00435C02" w:rsidRDefault="00A60D4B" w:rsidP="00A60D4B">
      <w:pPr>
        <w:pStyle w:val="Bbodytext"/>
      </w:pPr>
      <w:r w:rsidRPr="00E445EC">
        <w:rPr>
          <w:bCs/>
        </w:rPr>
        <w:t>Table 3.7.4</w:t>
      </w:r>
      <w:r w:rsidRPr="00435C02">
        <w:t xml:space="preserve"> demonstrates the growth in the Territory asset base over the last five years and estimates the value of the asset base, as at 30 June 2022, resulting from the Government’s ongoing commitment to infrastructure investment.</w:t>
      </w:r>
    </w:p>
    <w:p w14:paraId="59F3C94E" w14:textId="77777777" w:rsidR="00A60D4B" w:rsidRPr="00E445EC" w:rsidRDefault="00A60D4B" w:rsidP="00A60D4B">
      <w:pPr>
        <w:pStyle w:val="Caption"/>
      </w:pPr>
      <w:r w:rsidRPr="00E445EC">
        <w:t>Table 3.7</w:t>
      </w:r>
      <w:r>
        <w:t>.4</w:t>
      </w:r>
      <w:r w:rsidRPr="00E445EC">
        <w:t xml:space="preserve">: Total Territory physical assets </w:t>
      </w:r>
      <w:r w:rsidRPr="00E445EC">
        <w:rPr>
          <w:bCs/>
        </w:rPr>
        <w:t>–</w:t>
      </w:r>
      <w:r w:rsidRPr="00E445EC">
        <w:t xml:space="preserve"> value by sector</w:t>
      </w:r>
    </w:p>
    <w:tbl>
      <w:tblPr>
        <w:tblW w:w="9075" w:type="dxa"/>
        <w:jc w:val="center"/>
        <w:tblLayout w:type="fixed"/>
        <w:tblLook w:val="04A0" w:firstRow="1" w:lastRow="0" w:firstColumn="1" w:lastColumn="0" w:noHBand="0" w:noVBand="1"/>
      </w:tblPr>
      <w:tblGrid>
        <w:gridCol w:w="2913"/>
        <w:gridCol w:w="1027"/>
        <w:gridCol w:w="1027"/>
        <w:gridCol w:w="1027"/>
        <w:gridCol w:w="1027"/>
        <w:gridCol w:w="1027"/>
        <w:gridCol w:w="1027"/>
      </w:tblGrid>
      <w:tr w:rsidR="00A60D4B" w14:paraId="4EBD8191" w14:textId="77777777" w:rsidTr="00A60D4B">
        <w:trPr>
          <w:trHeight w:val="185"/>
          <w:jc w:val="center"/>
        </w:trPr>
        <w:tc>
          <w:tcPr>
            <w:tcW w:w="2912" w:type="dxa"/>
            <w:tcBorders>
              <w:top w:val="single" w:sz="4" w:space="0" w:color="auto"/>
              <w:left w:val="nil"/>
              <w:bottom w:val="nil"/>
              <w:right w:val="nil"/>
            </w:tcBorders>
            <w:shd w:val="clear" w:color="auto" w:fill="4B2D8C"/>
            <w:noWrap/>
            <w:hideMark/>
          </w:tcPr>
          <w:p w14:paraId="787EA61A" w14:textId="77777777" w:rsidR="00A60D4B" w:rsidRPr="001E03FF" w:rsidRDefault="00A60D4B" w:rsidP="006F1DF8">
            <w:pPr>
              <w:pStyle w:val="BStabletext"/>
              <w:rPr>
                <w:b/>
                <w:bCs w:val="0"/>
                <w:color w:val="FFFFFF" w:themeColor="background1"/>
              </w:rPr>
            </w:pPr>
            <w:r w:rsidRPr="001E03FF">
              <w:rPr>
                <w:b/>
                <w:bCs w:val="0"/>
                <w:color w:val="FFFFFF" w:themeColor="background1"/>
              </w:rPr>
              <w:t>As at 30 June</w:t>
            </w:r>
          </w:p>
        </w:tc>
        <w:tc>
          <w:tcPr>
            <w:tcW w:w="1026" w:type="dxa"/>
            <w:tcBorders>
              <w:top w:val="single" w:sz="4" w:space="0" w:color="auto"/>
              <w:left w:val="nil"/>
              <w:bottom w:val="nil"/>
              <w:right w:val="nil"/>
            </w:tcBorders>
            <w:shd w:val="clear" w:color="auto" w:fill="4B2D8C"/>
            <w:hideMark/>
          </w:tcPr>
          <w:p w14:paraId="2DB71B72" w14:textId="77777777" w:rsidR="00A60D4B" w:rsidRPr="001E03FF" w:rsidRDefault="00A60D4B" w:rsidP="007744D2">
            <w:pPr>
              <w:pStyle w:val="BStablefigures"/>
              <w:jc w:val="right"/>
              <w:rPr>
                <w:rFonts w:eastAsia="Calibri"/>
                <w:color w:val="FFFFFF" w:themeColor="background1"/>
              </w:rPr>
            </w:pPr>
            <w:r w:rsidRPr="001E03FF">
              <w:rPr>
                <w:rFonts w:eastAsia="Calibri"/>
                <w:color w:val="FFFFFF" w:themeColor="background1"/>
              </w:rPr>
              <w:t>2017</w:t>
            </w:r>
          </w:p>
        </w:tc>
        <w:tc>
          <w:tcPr>
            <w:tcW w:w="1026" w:type="dxa"/>
            <w:tcBorders>
              <w:top w:val="single" w:sz="4" w:space="0" w:color="auto"/>
              <w:left w:val="nil"/>
              <w:bottom w:val="nil"/>
              <w:right w:val="nil"/>
            </w:tcBorders>
            <w:shd w:val="clear" w:color="auto" w:fill="4B2D8C"/>
            <w:hideMark/>
          </w:tcPr>
          <w:p w14:paraId="64A4C2BF" w14:textId="77777777" w:rsidR="00A60D4B" w:rsidRPr="001E03FF" w:rsidRDefault="00A60D4B" w:rsidP="007744D2">
            <w:pPr>
              <w:pStyle w:val="BStablefigures"/>
              <w:jc w:val="right"/>
              <w:rPr>
                <w:rFonts w:eastAsia="Calibri"/>
                <w:color w:val="FFFFFF" w:themeColor="background1"/>
              </w:rPr>
            </w:pPr>
            <w:r w:rsidRPr="001E03FF">
              <w:rPr>
                <w:rFonts w:eastAsia="Calibri"/>
                <w:color w:val="FFFFFF" w:themeColor="background1"/>
              </w:rPr>
              <w:t>2018</w:t>
            </w:r>
          </w:p>
        </w:tc>
        <w:tc>
          <w:tcPr>
            <w:tcW w:w="1026" w:type="dxa"/>
            <w:tcBorders>
              <w:top w:val="single" w:sz="4" w:space="0" w:color="auto"/>
              <w:left w:val="nil"/>
              <w:bottom w:val="nil"/>
              <w:right w:val="nil"/>
            </w:tcBorders>
            <w:shd w:val="clear" w:color="auto" w:fill="4B2D8C"/>
            <w:hideMark/>
          </w:tcPr>
          <w:p w14:paraId="1FD00D87" w14:textId="77777777" w:rsidR="00A60D4B" w:rsidRPr="001E03FF" w:rsidRDefault="00A60D4B" w:rsidP="007744D2">
            <w:pPr>
              <w:pStyle w:val="BStablefigures"/>
              <w:jc w:val="right"/>
              <w:rPr>
                <w:rFonts w:eastAsia="Calibri"/>
                <w:color w:val="FFFFFF" w:themeColor="background1"/>
              </w:rPr>
            </w:pPr>
            <w:r w:rsidRPr="001E03FF">
              <w:rPr>
                <w:rFonts w:eastAsia="Calibri"/>
                <w:color w:val="FFFFFF" w:themeColor="background1"/>
              </w:rPr>
              <w:t>2019</w:t>
            </w:r>
          </w:p>
        </w:tc>
        <w:tc>
          <w:tcPr>
            <w:tcW w:w="1026" w:type="dxa"/>
            <w:tcBorders>
              <w:top w:val="single" w:sz="4" w:space="0" w:color="auto"/>
              <w:left w:val="nil"/>
              <w:bottom w:val="nil"/>
              <w:right w:val="nil"/>
            </w:tcBorders>
            <w:shd w:val="clear" w:color="auto" w:fill="4B2D8C"/>
            <w:hideMark/>
          </w:tcPr>
          <w:p w14:paraId="0BA3BC5A" w14:textId="77777777" w:rsidR="00A60D4B" w:rsidRPr="001E03FF" w:rsidRDefault="00A60D4B" w:rsidP="007744D2">
            <w:pPr>
              <w:pStyle w:val="BStablefigures"/>
              <w:jc w:val="right"/>
              <w:rPr>
                <w:rFonts w:eastAsia="Calibri"/>
                <w:color w:val="FFFFFF" w:themeColor="background1"/>
              </w:rPr>
            </w:pPr>
            <w:r w:rsidRPr="001E03FF">
              <w:rPr>
                <w:rFonts w:eastAsia="Calibri"/>
                <w:color w:val="FFFFFF" w:themeColor="background1"/>
              </w:rPr>
              <w:t>2020</w:t>
            </w:r>
          </w:p>
        </w:tc>
        <w:tc>
          <w:tcPr>
            <w:tcW w:w="1026" w:type="dxa"/>
            <w:tcBorders>
              <w:top w:val="single" w:sz="4" w:space="0" w:color="auto"/>
              <w:left w:val="nil"/>
              <w:bottom w:val="nil"/>
              <w:right w:val="nil"/>
            </w:tcBorders>
            <w:shd w:val="clear" w:color="auto" w:fill="4B2D8C"/>
            <w:hideMark/>
          </w:tcPr>
          <w:p w14:paraId="237D870A" w14:textId="77777777" w:rsidR="00A60D4B" w:rsidRPr="001E03FF" w:rsidRDefault="00A60D4B" w:rsidP="007744D2">
            <w:pPr>
              <w:pStyle w:val="BStablefigures"/>
              <w:jc w:val="right"/>
              <w:rPr>
                <w:rFonts w:eastAsia="Calibri"/>
                <w:color w:val="FFFFFF" w:themeColor="background1"/>
              </w:rPr>
            </w:pPr>
            <w:r w:rsidRPr="001E03FF">
              <w:rPr>
                <w:rFonts w:eastAsia="Calibri"/>
                <w:color w:val="FFFFFF" w:themeColor="background1"/>
              </w:rPr>
              <w:t>2021</w:t>
            </w:r>
          </w:p>
        </w:tc>
        <w:tc>
          <w:tcPr>
            <w:tcW w:w="1026" w:type="dxa"/>
            <w:tcBorders>
              <w:top w:val="single" w:sz="4" w:space="0" w:color="auto"/>
              <w:left w:val="nil"/>
              <w:bottom w:val="nil"/>
              <w:right w:val="nil"/>
            </w:tcBorders>
            <w:shd w:val="clear" w:color="auto" w:fill="4B2D8C"/>
            <w:hideMark/>
          </w:tcPr>
          <w:p w14:paraId="21B242E8" w14:textId="77777777" w:rsidR="00A60D4B" w:rsidRPr="001E03FF" w:rsidRDefault="00A60D4B" w:rsidP="007744D2">
            <w:pPr>
              <w:pStyle w:val="BStablefigures"/>
              <w:jc w:val="right"/>
              <w:rPr>
                <w:rFonts w:eastAsia="Calibri"/>
                <w:color w:val="FFFFFF" w:themeColor="background1"/>
              </w:rPr>
            </w:pPr>
            <w:r w:rsidRPr="001E03FF">
              <w:rPr>
                <w:rFonts w:eastAsia="Calibri"/>
                <w:color w:val="FFFFFF" w:themeColor="background1"/>
              </w:rPr>
              <w:t>2022</w:t>
            </w:r>
          </w:p>
        </w:tc>
      </w:tr>
      <w:tr w:rsidR="00A60D4B" w14:paraId="70C70740" w14:textId="77777777" w:rsidTr="00A60D4B">
        <w:trPr>
          <w:trHeight w:val="185"/>
          <w:jc w:val="center"/>
        </w:trPr>
        <w:tc>
          <w:tcPr>
            <w:tcW w:w="2912" w:type="dxa"/>
            <w:shd w:val="clear" w:color="auto" w:fill="4B2D8C"/>
            <w:noWrap/>
            <w:hideMark/>
          </w:tcPr>
          <w:p w14:paraId="572075DC" w14:textId="77777777" w:rsidR="00A60D4B" w:rsidRPr="001E03FF" w:rsidRDefault="00A60D4B" w:rsidP="00A60D4B">
            <w:pPr>
              <w:pStyle w:val="EmptyCell0"/>
              <w:widowControl w:val="0"/>
              <w:spacing w:line="256" w:lineRule="auto"/>
              <w:rPr>
                <w:color w:val="FFFFFF" w:themeColor="background1"/>
              </w:rPr>
            </w:pPr>
            <w:r w:rsidRPr="001E03FF">
              <w:rPr>
                <w:color w:val="FFFFFF" w:themeColor="background1"/>
              </w:rPr>
              <w:t xml:space="preserve"> </w:t>
            </w:r>
          </w:p>
        </w:tc>
        <w:tc>
          <w:tcPr>
            <w:tcW w:w="1026" w:type="dxa"/>
            <w:shd w:val="clear" w:color="auto" w:fill="4B2D8C"/>
            <w:hideMark/>
          </w:tcPr>
          <w:p w14:paraId="13565F21" w14:textId="77777777" w:rsidR="00A60D4B" w:rsidRPr="001E03FF" w:rsidRDefault="00A60D4B" w:rsidP="007744D2">
            <w:pPr>
              <w:pStyle w:val="BStablefigures"/>
              <w:jc w:val="right"/>
              <w:rPr>
                <w:rFonts w:eastAsia="Calibri"/>
                <w:color w:val="FFFFFF" w:themeColor="background1"/>
              </w:rPr>
            </w:pPr>
            <w:r w:rsidRPr="001E03FF">
              <w:rPr>
                <w:rFonts w:eastAsia="Calibri"/>
                <w:color w:val="FFFFFF" w:themeColor="background1"/>
              </w:rPr>
              <w:t xml:space="preserve">Actual </w:t>
            </w:r>
          </w:p>
        </w:tc>
        <w:tc>
          <w:tcPr>
            <w:tcW w:w="1026" w:type="dxa"/>
            <w:shd w:val="clear" w:color="auto" w:fill="4B2D8C"/>
            <w:hideMark/>
          </w:tcPr>
          <w:p w14:paraId="738C1F2C" w14:textId="77777777" w:rsidR="00A60D4B" w:rsidRPr="001E03FF" w:rsidRDefault="00A60D4B" w:rsidP="007744D2">
            <w:pPr>
              <w:pStyle w:val="BStablefigures"/>
              <w:jc w:val="right"/>
              <w:rPr>
                <w:rFonts w:eastAsia="Calibri"/>
                <w:color w:val="FFFFFF" w:themeColor="background1"/>
              </w:rPr>
            </w:pPr>
            <w:r w:rsidRPr="001E03FF">
              <w:rPr>
                <w:rFonts w:eastAsia="Calibri"/>
                <w:color w:val="FFFFFF" w:themeColor="background1"/>
              </w:rPr>
              <w:t>Actual</w:t>
            </w:r>
          </w:p>
        </w:tc>
        <w:tc>
          <w:tcPr>
            <w:tcW w:w="1026" w:type="dxa"/>
            <w:shd w:val="clear" w:color="auto" w:fill="4B2D8C"/>
            <w:hideMark/>
          </w:tcPr>
          <w:p w14:paraId="6194BEF0" w14:textId="77777777" w:rsidR="00A60D4B" w:rsidRPr="001E03FF" w:rsidRDefault="00A60D4B" w:rsidP="007744D2">
            <w:pPr>
              <w:pStyle w:val="BStablefigures"/>
              <w:jc w:val="right"/>
              <w:rPr>
                <w:rFonts w:eastAsia="Calibri"/>
                <w:color w:val="FFFFFF" w:themeColor="background1"/>
              </w:rPr>
            </w:pPr>
            <w:r w:rsidRPr="001E03FF">
              <w:rPr>
                <w:rFonts w:eastAsia="Calibri"/>
                <w:color w:val="FFFFFF" w:themeColor="background1"/>
              </w:rPr>
              <w:t xml:space="preserve">Actual </w:t>
            </w:r>
          </w:p>
        </w:tc>
        <w:tc>
          <w:tcPr>
            <w:tcW w:w="1026" w:type="dxa"/>
            <w:shd w:val="clear" w:color="auto" w:fill="4B2D8C"/>
            <w:hideMark/>
          </w:tcPr>
          <w:p w14:paraId="226DE304" w14:textId="77777777" w:rsidR="00A60D4B" w:rsidRPr="001E03FF" w:rsidRDefault="00A60D4B" w:rsidP="007744D2">
            <w:pPr>
              <w:pStyle w:val="BStablefigures"/>
              <w:jc w:val="right"/>
              <w:rPr>
                <w:rFonts w:eastAsia="Calibri"/>
                <w:color w:val="FFFFFF" w:themeColor="background1"/>
              </w:rPr>
            </w:pPr>
            <w:r w:rsidRPr="001E03FF">
              <w:rPr>
                <w:rFonts w:eastAsia="Calibri"/>
                <w:color w:val="FFFFFF" w:themeColor="background1"/>
              </w:rPr>
              <w:t>Actual</w:t>
            </w:r>
          </w:p>
        </w:tc>
        <w:tc>
          <w:tcPr>
            <w:tcW w:w="1026" w:type="dxa"/>
            <w:shd w:val="clear" w:color="auto" w:fill="4B2D8C"/>
            <w:hideMark/>
          </w:tcPr>
          <w:p w14:paraId="6CAAE485" w14:textId="77777777" w:rsidR="00A60D4B" w:rsidRPr="001E03FF" w:rsidRDefault="00A60D4B" w:rsidP="007744D2">
            <w:pPr>
              <w:pStyle w:val="BStablefigures"/>
              <w:jc w:val="right"/>
              <w:rPr>
                <w:rFonts w:eastAsia="Calibri"/>
                <w:color w:val="FFFFFF" w:themeColor="background1"/>
              </w:rPr>
            </w:pPr>
            <w:r w:rsidRPr="001E03FF">
              <w:rPr>
                <w:rFonts w:eastAsia="Calibri"/>
                <w:color w:val="FFFFFF" w:themeColor="background1"/>
              </w:rPr>
              <w:t>Actual</w:t>
            </w:r>
          </w:p>
        </w:tc>
        <w:tc>
          <w:tcPr>
            <w:tcW w:w="1026" w:type="dxa"/>
            <w:shd w:val="clear" w:color="auto" w:fill="4B2D8C"/>
            <w:hideMark/>
          </w:tcPr>
          <w:p w14:paraId="730DBAE0" w14:textId="77777777" w:rsidR="00A60D4B" w:rsidRPr="001E03FF" w:rsidRDefault="00A60D4B" w:rsidP="007744D2">
            <w:pPr>
              <w:pStyle w:val="BStablefigures"/>
              <w:jc w:val="right"/>
              <w:rPr>
                <w:rFonts w:eastAsia="Calibri"/>
                <w:color w:val="FFFFFF" w:themeColor="background1"/>
              </w:rPr>
            </w:pPr>
            <w:r w:rsidRPr="001E03FF">
              <w:rPr>
                <w:rFonts w:eastAsia="Calibri"/>
                <w:color w:val="FFFFFF" w:themeColor="background1"/>
              </w:rPr>
              <w:t>Estimate</w:t>
            </w:r>
          </w:p>
        </w:tc>
      </w:tr>
      <w:tr w:rsidR="00A60D4B" w14:paraId="6D3E5053" w14:textId="77777777" w:rsidTr="00A60D4B">
        <w:trPr>
          <w:trHeight w:val="185"/>
          <w:jc w:val="center"/>
        </w:trPr>
        <w:tc>
          <w:tcPr>
            <w:tcW w:w="2912" w:type="dxa"/>
            <w:tcBorders>
              <w:top w:val="nil"/>
              <w:left w:val="nil"/>
              <w:bottom w:val="single" w:sz="4" w:space="0" w:color="auto"/>
              <w:right w:val="nil"/>
            </w:tcBorders>
            <w:shd w:val="clear" w:color="auto" w:fill="4B2D8C"/>
            <w:noWrap/>
            <w:hideMark/>
          </w:tcPr>
          <w:p w14:paraId="1E6E2766" w14:textId="77777777" w:rsidR="00A60D4B" w:rsidRPr="001E03FF" w:rsidRDefault="00A60D4B" w:rsidP="00A60D4B">
            <w:pPr>
              <w:pStyle w:val="EmptyCell0"/>
              <w:widowControl w:val="0"/>
              <w:spacing w:line="256" w:lineRule="auto"/>
              <w:jc w:val="left"/>
              <w:rPr>
                <w:color w:val="FFFFFF" w:themeColor="background1"/>
              </w:rPr>
            </w:pPr>
            <w:r w:rsidRPr="001E03FF">
              <w:rPr>
                <w:color w:val="FFFFFF" w:themeColor="background1"/>
              </w:rPr>
              <w:t xml:space="preserve"> </w:t>
            </w:r>
          </w:p>
        </w:tc>
        <w:tc>
          <w:tcPr>
            <w:tcW w:w="1026" w:type="dxa"/>
            <w:tcBorders>
              <w:top w:val="nil"/>
              <w:left w:val="nil"/>
              <w:bottom w:val="single" w:sz="4" w:space="0" w:color="auto"/>
              <w:right w:val="nil"/>
            </w:tcBorders>
            <w:shd w:val="clear" w:color="auto" w:fill="4B2D8C"/>
            <w:hideMark/>
          </w:tcPr>
          <w:p w14:paraId="02EA455B" w14:textId="77777777" w:rsidR="00A60D4B" w:rsidRPr="001E03FF" w:rsidRDefault="00A60D4B" w:rsidP="007744D2">
            <w:pPr>
              <w:pStyle w:val="BStablefigures"/>
              <w:jc w:val="right"/>
              <w:rPr>
                <w:rFonts w:eastAsia="Calibri"/>
                <w:color w:val="FFFFFF" w:themeColor="background1"/>
              </w:rPr>
            </w:pPr>
            <w:r w:rsidRPr="001E03FF">
              <w:rPr>
                <w:rFonts w:eastAsia="Calibri"/>
                <w:color w:val="FFFFFF" w:themeColor="background1"/>
              </w:rPr>
              <w:t>$m</w:t>
            </w:r>
          </w:p>
        </w:tc>
        <w:tc>
          <w:tcPr>
            <w:tcW w:w="1026" w:type="dxa"/>
            <w:tcBorders>
              <w:top w:val="nil"/>
              <w:left w:val="nil"/>
              <w:bottom w:val="single" w:sz="4" w:space="0" w:color="auto"/>
              <w:right w:val="nil"/>
            </w:tcBorders>
            <w:shd w:val="clear" w:color="auto" w:fill="4B2D8C"/>
            <w:hideMark/>
          </w:tcPr>
          <w:p w14:paraId="70736A9B" w14:textId="77777777" w:rsidR="00A60D4B" w:rsidRPr="001E03FF" w:rsidRDefault="00A60D4B" w:rsidP="007744D2">
            <w:pPr>
              <w:pStyle w:val="BStablefigures"/>
              <w:jc w:val="right"/>
              <w:rPr>
                <w:rFonts w:eastAsia="Calibri"/>
                <w:color w:val="FFFFFF" w:themeColor="background1"/>
              </w:rPr>
            </w:pPr>
            <w:r w:rsidRPr="001E03FF">
              <w:rPr>
                <w:rFonts w:eastAsia="Calibri"/>
                <w:color w:val="FFFFFF" w:themeColor="background1"/>
              </w:rPr>
              <w:t>$m</w:t>
            </w:r>
          </w:p>
        </w:tc>
        <w:tc>
          <w:tcPr>
            <w:tcW w:w="1026" w:type="dxa"/>
            <w:tcBorders>
              <w:top w:val="nil"/>
              <w:left w:val="nil"/>
              <w:bottom w:val="single" w:sz="4" w:space="0" w:color="auto"/>
              <w:right w:val="nil"/>
            </w:tcBorders>
            <w:shd w:val="clear" w:color="auto" w:fill="4B2D8C"/>
            <w:hideMark/>
          </w:tcPr>
          <w:p w14:paraId="16CD9F25" w14:textId="77777777" w:rsidR="00A60D4B" w:rsidRPr="001E03FF" w:rsidRDefault="00A60D4B" w:rsidP="007744D2">
            <w:pPr>
              <w:pStyle w:val="BStablefigures"/>
              <w:jc w:val="right"/>
              <w:rPr>
                <w:rFonts w:eastAsia="Calibri"/>
                <w:color w:val="FFFFFF" w:themeColor="background1"/>
              </w:rPr>
            </w:pPr>
            <w:r w:rsidRPr="001E03FF">
              <w:rPr>
                <w:rFonts w:eastAsia="Calibri"/>
                <w:color w:val="FFFFFF" w:themeColor="background1"/>
              </w:rPr>
              <w:t>$m</w:t>
            </w:r>
          </w:p>
        </w:tc>
        <w:tc>
          <w:tcPr>
            <w:tcW w:w="1026" w:type="dxa"/>
            <w:tcBorders>
              <w:top w:val="nil"/>
              <w:left w:val="nil"/>
              <w:bottom w:val="single" w:sz="4" w:space="0" w:color="auto"/>
              <w:right w:val="nil"/>
            </w:tcBorders>
            <w:shd w:val="clear" w:color="auto" w:fill="4B2D8C"/>
            <w:hideMark/>
          </w:tcPr>
          <w:p w14:paraId="695F08F5" w14:textId="77777777" w:rsidR="00A60D4B" w:rsidRPr="001E03FF" w:rsidRDefault="00A60D4B" w:rsidP="007744D2">
            <w:pPr>
              <w:pStyle w:val="BStablefigures"/>
              <w:jc w:val="right"/>
              <w:rPr>
                <w:rFonts w:eastAsia="Calibri"/>
                <w:color w:val="FFFFFF" w:themeColor="background1"/>
              </w:rPr>
            </w:pPr>
            <w:r w:rsidRPr="001E03FF">
              <w:rPr>
                <w:rFonts w:eastAsia="Calibri"/>
                <w:color w:val="FFFFFF" w:themeColor="background1"/>
              </w:rPr>
              <w:t>$m</w:t>
            </w:r>
          </w:p>
        </w:tc>
        <w:tc>
          <w:tcPr>
            <w:tcW w:w="1026" w:type="dxa"/>
            <w:tcBorders>
              <w:top w:val="nil"/>
              <w:left w:val="nil"/>
              <w:bottom w:val="single" w:sz="4" w:space="0" w:color="auto"/>
              <w:right w:val="nil"/>
            </w:tcBorders>
            <w:shd w:val="clear" w:color="auto" w:fill="4B2D8C"/>
            <w:hideMark/>
          </w:tcPr>
          <w:p w14:paraId="7DE799E2" w14:textId="77777777" w:rsidR="00A60D4B" w:rsidRPr="001E03FF" w:rsidRDefault="00A60D4B" w:rsidP="007744D2">
            <w:pPr>
              <w:pStyle w:val="BStablefigures"/>
              <w:jc w:val="right"/>
              <w:rPr>
                <w:rFonts w:eastAsia="Calibri"/>
                <w:color w:val="FFFFFF" w:themeColor="background1"/>
              </w:rPr>
            </w:pPr>
            <w:r w:rsidRPr="001E03FF">
              <w:rPr>
                <w:rFonts w:eastAsia="Calibri"/>
                <w:color w:val="FFFFFF" w:themeColor="background1"/>
              </w:rPr>
              <w:t>$m</w:t>
            </w:r>
          </w:p>
        </w:tc>
        <w:tc>
          <w:tcPr>
            <w:tcW w:w="1026" w:type="dxa"/>
            <w:tcBorders>
              <w:top w:val="nil"/>
              <w:left w:val="nil"/>
              <w:bottom w:val="single" w:sz="4" w:space="0" w:color="auto"/>
              <w:right w:val="nil"/>
            </w:tcBorders>
            <w:shd w:val="clear" w:color="auto" w:fill="4B2D8C"/>
            <w:hideMark/>
          </w:tcPr>
          <w:p w14:paraId="39076F1C" w14:textId="77777777" w:rsidR="00A60D4B" w:rsidRPr="001E03FF" w:rsidRDefault="00A60D4B" w:rsidP="007744D2">
            <w:pPr>
              <w:pStyle w:val="BStablefigures"/>
              <w:jc w:val="right"/>
              <w:rPr>
                <w:rFonts w:eastAsia="Calibri"/>
                <w:color w:val="FFFFFF" w:themeColor="background1"/>
              </w:rPr>
            </w:pPr>
            <w:r w:rsidRPr="001E03FF">
              <w:rPr>
                <w:rFonts w:eastAsia="Calibri"/>
                <w:color w:val="FFFFFF" w:themeColor="background1"/>
              </w:rPr>
              <w:t>$m</w:t>
            </w:r>
          </w:p>
        </w:tc>
      </w:tr>
      <w:tr w:rsidR="00A60D4B" w14:paraId="32344DCF" w14:textId="77777777" w:rsidTr="00A60D4B">
        <w:trPr>
          <w:trHeight w:val="185"/>
          <w:jc w:val="center"/>
        </w:trPr>
        <w:tc>
          <w:tcPr>
            <w:tcW w:w="2912" w:type="dxa"/>
            <w:noWrap/>
            <w:hideMark/>
          </w:tcPr>
          <w:p w14:paraId="0A9C611D" w14:textId="77777777" w:rsidR="00A60D4B" w:rsidRDefault="00A60D4B" w:rsidP="00A60D4B">
            <w:pPr>
              <w:pStyle w:val="BStabletextunbold"/>
              <w:spacing w:line="256" w:lineRule="auto"/>
              <w:rPr>
                <w:lang w:eastAsia="en-AU"/>
              </w:rPr>
            </w:pPr>
            <w:r>
              <w:rPr>
                <w:lang w:eastAsia="en-AU"/>
              </w:rPr>
              <w:t>General Government Sector</w:t>
            </w:r>
          </w:p>
        </w:tc>
        <w:tc>
          <w:tcPr>
            <w:tcW w:w="1026" w:type="dxa"/>
            <w:hideMark/>
          </w:tcPr>
          <w:p w14:paraId="2C464AD0" w14:textId="77777777" w:rsidR="00A60D4B" w:rsidRPr="001E03FF" w:rsidRDefault="00A60D4B" w:rsidP="001E03FF">
            <w:pPr>
              <w:pStyle w:val="BStablefiguresunbold"/>
              <w:rPr>
                <w:rFonts w:eastAsia="Calibri"/>
                <w:b w:val="0"/>
                <w:bCs w:val="0"/>
                <w:lang w:eastAsia="en-AU"/>
              </w:rPr>
            </w:pPr>
            <w:r w:rsidRPr="001E03FF">
              <w:rPr>
                <w:rFonts w:eastAsia="Calibri"/>
                <w:b w:val="0"/>
                <w:bCs w:val="0"/>
                <w:lang w:eastAsia="en-AU"/>
              </w:rPr>
              <w:t>15,066</w:t>
            </w:r>
          </w:p>
        </w:tc>
        <w:tc>
          <w:tcPr>
            <w:tcW w:w="1026" w:type="dxa"/>
            <w:hideMark/>
          </w:tcPr>
          <w:p w14:paraId="1FB0C6A9" w14:textId="77777777" w:rsidR="00A60D4B" w:rsidRPr="001E03FF" w:rsidRDefault="00A60D4B" w:rsidP="001E03FF">
            <w:pPr>
              <w:pStyle w:val="BStablefiguresunbold"/>
              <w:rPr>
                <w:rFonts w:eastAsia="Calibri"/>
                <w:b w:val="0"/>
                <w:bCs w:val="0"/>
                <w:lang w:eastAsia="en-AU"/>
              </w:rPr>
            </w:pPr>
            <w:r w:rsidRPr="001E03FF">
              <w:rPr>
                <w:rFonts w:eastAsia="Calibri"/>
                <w:b w:val="0"/>
                <w:bCs w:val="0"/>
                <w:lang w:eastAsia="en-AU"/>
              </w:rPr>
              <w:t>16,006</w:t>
            </w:r>
          </w:p>
        </w:tc>
        <w:tc>
          <w:tcPr>
            <w:tcW w:w="1026" w:type="dxa"/>
          </w:tcPr>
          <w:p w14:paraId="3D378587" w14:textId="69E8FE89" w:rsidR="00A60D4B" w:rsidRPr="001E03FF" w:rsidRDefault="00A60D4B" w:rsidP="001E03FF">
            <w:pPr>
              <w:pStyle w:val="BStablefiguresunbold"/>
              <w:rPr>
                <w:rFonts w:eastAsia="Calibri"/>
                <w:b w:val="0"/>
                <w:bCs w:val="0"/>
                <w:lang w:eastAsia="en-AU"/>
              </w:rPr>
            </w:pPr>
            <w:r w:rsidRPr="001E03FF">
              <w:rPr>
                <w:rFonts w:eastAsia="Calibri"/>
                <w:b w:val="0"/>
                <w:bCs w:val="0"/>
                <w:lang w:eastAsia="en-AU"/>
              </w:rPr>
              <w:t>16,422</w:t>
            </w:r>
          </w:p>
        </w:tc>
        <w:tc>
          <w:tcPr>
            <w:tcW w:w="1026" w:type="dxa"/>
            <w:hideMark/>
          </w:tcPr>
          <w:p w14:paraId="160A5001" w14:textId="77777777" w:rsidR="00A60D4B" w:rsidRPr="001E03FF" w:rsidRDefault="00A60D4B" w:rsidP="001E03FF">
            <w:pPr>
              <w:pStyle w:val="BStablefiguresunbold"/>
              <w:rPr>
                <w:rFonts w:eastAsia="Calibri"/>
                <w:b w:val="0"/>
                <w:bCs w:val="0"/>
                <w:color w:val="000000"/>
                <w:lang w:eastAsia="en-AU"/>
              </w:rPr>
            </w:pPr>
            <w:r w:rsidRPr="001E03FF">
              <w:rPr>
                <w:rFonts w:eastAsia="Calibri"/>
                <w:b w:val="0"/>
                <w:bCs w:val="0"/>
                <w:lang w:eastAsia="en-AU"/>
              </w:rPr>
              <w:t>16,572</w:t>
            </w:r>
          </w:p>
        </w:tc>
        <w:tc>
          <w:tcPr>
            <w:tcW w:w="1026" w:type="dxa"/>
            <w:hideMark/>
          </w:tcPr>
          <w:p w14:paraId="24AC068A" w14:textId="77777777" w:rsidR="00A60D4B" w:rsidRPr="001E03FF" w:rsidRDefault="00A60D4B" w:rsidP="001E03FF">
            <w:pPr>
              <w:pStyle w:val="BStablefiguresunbold"/>
              <w:rPr>
                <w:rFonts w:eastAsia="Calibri"/>
                <w:b w:val="0"/>
                <w:bCs w:val="0"/>
                <w:color w:val="000000"/>
                <w:lang w:eastAsia="en-AU"/>
              </w:rPr>
            </w:pPr>
            <w:r w:rsidRPr="001E03FF">
              <w:rPr>
                <w:rFonts w:eastAsia="Calibri"/>
                <w:b w:val="0"/>
                <w:bCs w:val="0"/>
                <w:lang w:eastAsia="en-AU"/>
              </w:rPr>
              <w:t>17,123</w:t>
            </w:r>
          </w:p>
        </w:tc>
        <w:tc>
          <w:tcPr>
            <w:tcW w:w="1026" w:type="dxa"/>
            <w:shd w:val="clear" w:color="auto" w:fill="auto"/>
          </w:tcPr>
          <w:p w14:paraId="76839D3E" w14:textId="77777777" w:rsidR="00A60D4B" w:rsidRPr="001E03FF" w:rsidRDefault="00A60D4B" w:rsidP="001E03FF">
            <w:pPr>
              <w:pStyle w:val="BStablefiguresunbold"/>
              <w:rPr>
                <w:rFonts w:eastAsia="Calibri"/>
                <w:b w:val="0"/>
                <w:bCs w:val="0"/>
                <w:lang w:eastAsia="en-AU"/>
              </w:rPr>
            </w:pPr>
            <w:r w:rsidRPr="001E03FF">
              <w:rPr>
                <w:rFonts w:eastAsia="Calibri"/>
                <w:b w:val="0"/>
                <w:bCs w:val="0"/>
                <w:lang w:eastAsia="en-AU"/>
              </w:rPr>
              <w:t>17,515</w:t>
            </w:r>
          </w:p>
        </w:tc>
      </w:tr>
      <w:tr w:rsidR="00A60D4B" w14:paraId="4B3849BE" w14:textId="77777777" w:rsidTr="00A60D4B">
        <w:trPr>
          <w:trHeight w:val="185"/>
          <w:jc w:val="center"/>
        </w:trPr>
        <w:tc>
          <w:tcPr>
            <w:tcW w:w="2912" w:type="dxa"/>
            <w:tcBorders>
              <w:top w:val="nil"/>
              <w:left w:val="nil"/>
              <w:bottom w:val="single" w:sz="4" w:space="0" w:color="auto"/>
              <w:right w:val="nil"/>
            </w:tcBorders>
            <w:noWrap/>
            <w:hideMark/>
          </w:tcPr>
          <w:p w14:paraId="1B99C276" w14:textId="77777777" w:rsidR="00A60D4B" w:rsidRDefault="00A60D4B" w:rsidP="00A60D4B">
            <w:pPr>
              <w:pStyle w:val="BStabletextunbold"/>
              <w:spacing w:line="256" w:lineRule="auto"/>
              <w:rPr>
                <w:lang w:eastAsia="en-AU"/>
              </w:rPr>
            </w:pPr>
            <w:r>
              <w:rPr>
                <w:lang w:eastAsia="en-AU"/>
              </w:rPr>
              <w:t>Public Trading Enterprise Sector</w:t>
            </w:r>
          </w:p>
        </w:tc>
        <w:tc>
          <w:tcPr>
            <w:tcW w:w="1026" w:type="dxa"/>
            <w:tcBorders>
              <w:top w:val="nil"/>
              <w:left w:val="nil"/>
              <w:bottom w:val="single" w:sz="4" w:space="0" w:color="auto"/>
              <w:right w:val="nil"/>
            </w:tcBorders>
            <w:hideMark/>
          </w:tcPr>
          <w:p w14:paraId="74C5EE8C" w14:textId="77777777" w:rsidR="00A60D4B" w:rsidRPr="001E03FF" w:rsidRDefault="00A60D4B" w:rsidP="001E03FF">
            <w:pPr>
              <w:pStyle w:val="BStablefiguresunbold"/>
              <w:rPr>
                <w:rFonts w:eastAsia="Calibri"/>
                <w:b w:val="0"/>
                <w:bCs w:val="0"/>
                <w:lang w:eastAsia="en-AU"/>
              </w:rPr>
            </w:pPr>
            <w:r w:rsidRPr="001E03FF">
              <w:rPr>
                <w:rFonts w:eastAsia="Calibri"/>
                <w:b w:val="0"/>
                <w:bCs w:val="0"/>
                <w:lang w:eastAsia="en-AU"/>
              </w:rPr>
              <w:t>7,</w:t>
            </w:r>
            <w:r w:rsidRPr="001E03FF">
              <w:rPr>
                <w:rFonts w:eastAsia="Calibri"/>
                <w:b w:val="0"/>
                <w:bCs w:val="0"/>
                <w:lang w:val="en-AU" w:eastAsia="en-AU"/>
              </w:rPr>
              <w:t>282</w:t>
            </w:r>
          </w:p>
        </w:tc>
        <w:tc>
          <w:tcPr>
            <w:tcW w:w="1026" w:type="dxa"/>
            <w:tcBorders>
              <w:top w:val="nil"/>
              <w:left w:val="nil"/>
              <w:bottom w:val="single" w:sz="4" w:space="0" w:color="auto"/>
              <w:right w:val="nil"/>
            </w:tcBorders>
            <w:hideMark/>
          </w:tcPr>
          <w:p w14:paraId="685D6E36" w14:textId="77777777" w:rsidR="00A60D4B" w:rsidRPr="001E03FF" w:rsidRDefault="00A60D4B" w:rsidP="001E03FF">
            <w:pPr>
              <w:pStyle w:val="BStablefiguresunbold"/>
              <w:rPr>
                <w:rFonts w:eastAsia="Calibri"/>
                <w:b w:val="0"/>
                <w:bCs w:val="0"/>
                <w:lang w:eastAsia="en-AU"/>
              </w:rPr>
            </w:pPr>
            <w:r w:rsidRPr="001E03FF">
              <w:rPr>
                <w:rFonts w:eastAsia="Calibri"/>
                <w:b w:val="0"/>
                <w:bCs w:val="0"/>
                <w:lang w:eastAsia="en-AU"/>
              </w:rPr>
              <w:t>8,415</w:t>
            </w:r>
          </w:p>
        </w:tc>
        <w:tc>
          <w:tcPr>
            <w:tcW w:w="1026" w:type="dxa"/>
            <w:tcBorders>
              <w:top w:val="nil"/>
              <w:left w:val="nil"/>
              <w:bottom w:val="single" w:sz="4" w:space="0" w:color="auto"/>
              <w:right w:val="nil"/>
            </w:tcBorders>
            <w:hideMark/>
          </w:tcPr>
          <w:p w14:paraId="635A0979" w14:textId="77777777" w:rsidR="00A60D4B" w:rsidRPr="001E03FF" w:rsidRDefault="00A60D4B" w:rsidP="001E03FF">
            <w:pPr>
              <w:pStyle w:val="BStablefiguresunbold"/>
              <w:rPr>
                <w:rFonts w:eastAsia="Calibri"/>
                <w:b w:val="0"/>
                <w:bCs w:val="0"/>
                <w:lang w:eastAsia="en-AU"/>
              </w:rPr>
            </w:pPr>
            <w:r w:rsidRPr="001E03FF">
              <w:rPr>
                <w:rFonts w:eastAsia="Calibri"/>
                <w:b w:val="0"/>
                <w:bCs w:val="0"/>
                <w:lang w:eastAsia="en-AU"/>
              </w:rPr>
              <w:t>8,028</w:t>
            </w:r>
          </w:p>
        </w:tc>
        <w:tc>
          <w:tcPr>
            <w:tcW w:w="1026" w:type="dxa"/>
            <w:tcBorders>
              <w:top w:val="nil"/>
              <w:left w:val="nil"/>
              <w:bottom w:val="single" w:sz="4" w:space="0" w:color="auto"/>
              <w:right w:val="nil"/>
            </w:tcBorders>
            <w:hideMark/>
          </w:tcPr>
          <w:p w14:paraId="102A4A77" w14:textId="77777777" w:rsidR="00A60D4B" w:rsidRPr="001E03FF" w:rsidRDefault="00A60D4B" w:rsidP="001E03FF">
            <w:pPr>
              <w:pStyle w:val="BStablefiguresunbold"/>
              <w:rPr>
                <w:rFonts w:eastAsia="Calibri"/>
                <w:b w:val="0"/>
                <w:bCs w:val="0"/>
                <w:lang w:eastAsia="en-AU"/>
              </w:rPr>
            </w:pPr>
            <w:r w:rsidRPr="001E03FF">
              <w:rPr>
                <w:rFonts w:eastAsia="Calibri"/>
                <w:b w:val="0"/>
                <w:bCs w:val="0"/>
                <w:lang w:eastAsia="en-AU"/>
              </w:rPr>
              <w:t>8,913</w:t>
            </w:r>
          </w:p>
        </w:tc>
        <w:tc>
          <w:tcPr>
            <w:tcW w:w="1026" w:type="dxa"/>
            <w:tcBorders>
              <w:top w:val="nil"/>
              <w:left w:val="nil"/>
              <w:bottom w:val="single" w:sz="4" w:space="0" w:color="auto"/>
              <w:right w:val="nil"/>
            </w:tcBorders>
            <w:hideMark/>
          </w:tcPr>
          <w:p w14:paraId="41777319" w14:textId="77777777" w:rsidR="00A60D4B" w:rsidRPr="001E03FF" w:rsidRDefault="00A60D4B" w:rsidP="001E03FF">
            <w:pPr>
              <w:pStyle w:val="BStablefiguresunbold"/>
              <w:rPr>
                <w:rFonts w:eastAsia="Calibri"/>
                <w:b w:val="0"/>
                <w:bCs w:val="0"/>
                <w:lang w:eastAsia="en-AU"/>
              </w:rPr>
            </w:pPr>
            <w:r w:rsidRPr="001E03FF">
              <w:rPr>
                <w:rFonts w:eastAsia="Calibri"/>
                <w:b w:val="0"/>
                <w:bCs w:val="0"/>
                <w:lang w:eastAsia="en-AU"/>
              </w:rPr>
              <w:t>10,242</w:t>
            </w:r>
          </w:p>
        </w:tc>
        <w:tc>
          <w:tcPr>
            <w:tcW w:w="1026" w:type="dxa"/>
            <w:tcBorders>
              <w:top w:val="nil"/>
              <w:left w:val="nil"/>
              <w:bottom w:val="single" w:sz="4" w:space="0" w:color="auto"/>
              <w:right w:val="nil"/>
            </w:tcBorders>
            <w:shd w:val="clear" w:color="auto" w:fill="auto"/>
          </w:tcPr>
          <w:p w14:paraId="1E8764F2" w14:textId="77777777" w:rsidR="00A60D4B" w:rsidRPr="001E03FF" w:rsidRDefault="00A60D4B" w:rsidP="001E03FF">
            <w:pPr>
              <w:pStyle w:val="BStablefiguresunbold"/>
              <w:rPr>
                <w:rFonts w:eastAsia="Calibri"/>
                <w:b w:val="0"/>
                <w:bCs w:val="0"/>
                <w:lang w:eastAsia="en-AU"/>
              </w:rPr>
            </w:pPr>
            <w:r w:rsidRPr="001E03FF">
              <w:rPr>
                <w:rFonts w:eastAsia="Calibri"/>
                <w:b w:val="0"/>
                <w:bCs w:val="0"/>
                <w:lang w:eastAsia="en-AU"/>
              </w:rPr>
              <w:t>10,403</w:t>
            </w:r>
          </w:p>
        </w:tc>
      </w:tr>
      <w:tr w:rsidR="00A60D4B" w14:paraId="75D6CEC2" w14:textId="77777777" w:rsidTr="00A60D4B">
        <w:trPr>
          <w:trHeight w:val="185"/>
          <w:jc w:val="center"/>
        </w:trPr>
        <w:tc>
          <w:tcPr>
            <w:tcW w:w="2912" w:type="dxa"/>
            <w:tcBorders>
              <w:top w:val="single" w:sz="4" w:space="0" w:color="auto"/>
              <w:left w:val="nil"/>
              <w:bottom w:val="single" w:sz="4" w:space="0" w:color="auto"/>
              <w:right w:val="nil"/>
            </w:tcBorders>
            <w:noWrap/>
            <w:hideMark/>
          </w:tcPr>
          <w:p w14:paraId="4971CFD8" w14:textId="77777777" w:rsidR="00A60D4B" w:rsidRPr="001E03FF" w:rsidRDefault="00A60D4B" w:rsidP="006F1DF8">
            <w:pPr>
              <w:pStyle w:val="BStabletext"/>
              <w:rPr>
                <w:b/>
                <w:bCs w:val="0"/>
                <w:color w:val="000000" w:themeColor="text1"/>
              </w:rPr>
            </w:pPr>
            <w:r w:rsidRPr="001E03FF">
              <w:rPr>
                <w:b/>
                <w:bCs w:val="0"/>
                <w:color w:val="000000" w:themeColor="text1"/>
              </w:rPr>
              <w:t>Total Territory</w:t>
            </w:r>
          </w:p>
        </w:tc>
        <w:tc>
          <w:tcPr>
            <w:tcW w:w="1026" w:type="dxa"/>
            <w:tcBorders>
              <w:top w:val="single" w:sz="4" w:space="0" w:color="auto"/>
              <w:left w:val="nil"/>
              <w:bottom w:val="single" w:sz="4" w:space="0" w:color="auto"/>
              <w:right w:val="nil"/>
            </w:tcBorders>
            <w:hideMark/>
          </w:tcPr>
          <w:p w14:paraId="2E3F78CC" w14:textId="77777777" w:rsidR="00A60D4B" w:rsidRPr="001E03FF" w:rsidRDefault="00A60D4B" w:rsidP="001E03FF">
            <w:pPr>
              <w:pStyle w:val="BStablefigures"/>
              <w:jc w:val="right"/>
              <w:rPr>
                <w:rFonts w:eastAsia="Calibri"/>
                <w:bCs w:val="0"/>
                <w:color w:val="000000" w:themeColor="text1"/>
              </w:rPr>
            </w:pPr>
            <w:r w:rsidRPr="001E03FF">
              <w:rPr>
                <w:rFonts w:eastAsia="Calibri"/>
                <w:bCs w:val="0"/>
                <w:color w:val="000000" w:themeColor="text1"/>
              </w:rPr>
              <w:t>22,348</w:t>
            </w:r>
          </w:p>
        </w:tc>
        <w:tc>
          <w:tcPr>
            <w:tcW w:w="1026" w:type="dxa"/>
            <w:tcBorders>
              <w:top w:val="single" w:sz="4" w:space="0" w:color="auto"/>
              <w:left w:val="nil"/>
              <w:bottom w:val="single" w:sz="4" w:space="0" w:color="auto"/>
              <w:right w:val="nil"/>
            </w:tcBorders>
            <w:hideMark/>
          </w:tcPr>
          <w:p w14:paraId="5409F017" w14:textId="77777777" w:rsidR="00A60D4B" w:rsidRPr="001E03FF" w:rsidRDefault="00A60D4B" w:rsidP="001E03FF">
            <w:pPr>
              <w:pStyle w:val="BStablefigures"/>
              <w:jc w:val="right"/>
              <w:rPr>
                <w:rFonts w:eastAsia="Calibri"/>
                <w:bCs w:val="0"/>
                <w:color w:val="000000" w:themeColor="text1"/>
              </w:rPr>
            </w:pPr>
            <w:r w:rsidRPr="001E03FF">
              <w:rPr>
                <w:rFonts w:eastAsia="Calibri"/>
                <w:bCs w:val="0"/>
                <w:color w:val="000000" w:themeColor="text1"/>
              </w:rPr>
              <w:t>24,421</w:t>
            </w:r>
          </w:p>
        </w:tc>
        <w:tc>
          <w:tcPr>
            <w:tcW w:w="1026" w:type="dxa"/>
            <w:tcBorders>
              <w:top w:val="single" w:sz="4" w:space="0" w:color="auto"/>
              <w:left w:val="nil"/>
              <w:bottom w:val="single" w:sz="4" w:space="0" w:color="auto"/>
              <w:right w:val="nil"/>
            </w:tcBorders>
            <w:hideMark/>
          </w:tcPr>
          <w:p w14:paraId="1C4C9539" w14:textId="77777777" w:rsidR="00A60D4B" w:rsidRPr="001E03FF" w:rsidRDefault="00A60D4B" w:rsidP="001E03FF">
            <w:pPr>
              <w:pStyle w:val="BStablefigures"/>
              <w:jc w:val="right"/>
              <w:rPr>
                <w:rFonts w:eastAsia="Calibri"/>
                <w:bCs w:val="0"/>
                <w:color w:val="000000" w:themeColor="text1"/>
              </w:rPr>
            </w:pPr>
            <w:r w:rsidRPr="001E03FF">
              <w:rPr>
                <w:rFonts w:eastAsia="Calibri"/>
                <w:bCs w:val="0"/>
                <w:color w:val="000000" w:themeColor="text1"/>
              </w:rPr>
              <w:t>24,450</w:t>
            </w:r>
          </w:p>
        </w:tc>
        <w:tc>
          <w:tcPr>
            <w:tcW w:w="1026" w:type="dxa"/>
            <w:tcBorders>
              <w:top w:val="single" w:sz="4" w:space="0" w:color="auto"/>
              <w:left w:val="nil"/>
              <w:bottom w:val="single" w:sz="4" w:space="0" w:color="auto"/>
              <w:right w:val="nil"/>
            </w:tcBorders>
            <w:hideMark/>
          </w:tcPr>
          <w:p w14:paraId="410570A4" w14:textId="77777777" w:rsidR="00A60D4B" w:rsidRPr="001E03FF" w:rsidRDefault="00A60D4B" w:rsidP="001E03FF">
            <w:pPr>
              <w:pStyle w:val="BStablefigures"/>
              <w:jc w:val="right"/>
              <w:rPr>
                <w:rFonts w:eastAsia="Calibri"/>
                <w:bCs w:val="0"/>
                <w:color w:val="000000" w:themeColor="text1"/>
              </w:rPr>
            </w:pPr>
            <w:r w:rsidRPr="001E03FF">
              <w:rPr>
                <w:rFonts w:eastAsia="Calibri"/>
                <w:bCs w:val="0"/>
                <w:color w:val="000000" w:themeColor="text1"/>
              </w:rPr>
              <w:t>25,485</w:t>
            </w:r>
          </w:p>
        </w:tc>
        <w:tc>
          <w:tcPr>
            <w:tcW w:w="1026" w:type="dxa"/>
            <w:tcBorders>
              <w:top w:val="single" w:sz="4" w:space="0" w:color="auto"/>
              <w:left w:val="nil"/>
              <w:bottom w:val="single" w:sz="4" w:space="0" w:color="auto"/>
              <w:right w:val="nil"/>
            </w:tcBorders>
            <w:hideMark/>
          </w:tcPr>
          <w:p w14:paraId="08BF219E" w14:textId="77777777" w:rsidR="00A60D4B" w:rsidRPr="001E03FF" w:rsidRDefault="00A60D4B" w:rsidP="001E03FF">
            <w:pPr>
              <w:pStyle w:val="BStablefigures"/>
              <w:jc w:val="right"/>
              <w:rPr>
                <w:rFonts w:eastAsia="Calibri"/>
                <w:bCs w:val="0"/>
                <w:color w:val="000000" w:themeColor="text1"/>
              </w:rPr>
            </w:pPr>
            <w:r w:rsidRPr="001E03FF">
              <w:rPr>
                <w:rFonts w:eastAsia="Calibri"/>
                <w:bCs w:val="0"/>
                <w:color w:val="000000" w:themeColor="text1"/>
              </w:rPr>
              <w:t>27,365</w:t>
            </w:r>
          </w:p>
        </w:tc>
        <w:tc>
          <w:tcPr>
            <w:tcW w:w="1026" w:type="dxa"/>
            <w:tcBorders>
              <w:top w:val="single" w:sz="4" w:space="0" w:color="auto"/>
              <w:left w:val="nil"/>
              <w:bottom w:val="single" w:sz="4" w:space="0" w:color="auto"/>
              <w:right w:val="nil"/>
            </w:tcBorders>
            <w:shd w:val="clear" w:color="auto" w:fill="auto"/>
          </w:tcPr>
          <w:p w14:paraId="27795C4D" w14:textId="77777777" w:rsidR="00A60D4B" w:rsidRPr="001E03FF" w:rsidRDefault="00A60D4B" w:rsidP="001E03FF">
            <w:pPr>
              <w:pStyle w:val="BStablefigures"/>
              <w:jc w:val="right"/>
              <w:rPr>
                <w:rFonts w:eastAsia="Calibri"/>
                <w:bCs w:val="0"/>
                <w:color w:val="000000" w:themeColor="text1"/>
              </w:rPr>
            </w:pPr>
            <w:r w:rsidRPr="001E03FF">
              <w:rPr>
                <w:rFonts w:eastAsia="Calibri"/>
                <w:bCs w:val="0"/>
                <w:color w:val="000000" w:themeColor="text1"/>
              </w:rPr>
              <w:t>27,918</w:t>
            </w:r>
          </w:p>
        </w:tc>
      </w:tr>
    </w:tbl>
    <w:p w14:paraId="4CC6F20B" w14:textId="77777777" w:rsidR="00A60D4B" w:rsidRPr="00435C02" w:rsidRDefault="00A60D4B" w:rsidP="00A60D4B">
      <w:pPr>
        <w:pStyle w:val="ListParagraph"/>
        <w:ind w:left="0"/>
        <w:rPr>
          <w:noProof/>
          <w:sz w:val="24"/>
          <w:szCs w:val="24"/>
        </w:rPr>
      </w:pPr>
    </w:p>
    <w:p w14:paraId="07407CB9" w14:textId="77777777" w:rsidR="00A60D4B" w:rsidRPr="00435C02" w:rsidRDefault="00A60D4B" w:rsidP="00A60D4B">
      <w:pPr>
        <w:pStyle w:val="Bbodytext"/>
      </w:pPr>
      <w:r w:rsidRPr="00E445EC">
        <w:rPr>
          <w:bCs/>
        </w:rPr>
        <w:t>Figure 3.7.2</w:t>
      </w:r>
      <w:r w:rsidRPr="00435C02">
        <w:t xml:space="preserve"> below indicates the Territory’s physical assets largely consists of buildings (including, public housing, schools and CIT campuses, community buildings, hospitals and government offices), infrastructure assets (such as water and sewerage, cycle and footpaths, roads, bridges and stormwater assets), and the land on which they are located.</w:t>
      </w:r>
    </w:p>
    <w:p w14:paraId="4FFD67D3" w14:textId="77777777" w:rsidR="00A60D4B" w:rsidRPr="003F0792" w:rsidRDefault="00A60D4B" w:rsidP="00A60D4B">
      <w:pPr>
        <w:pStyle w:val="Caption"/>
      </w:pPr>
      <w:r>
        <w:lastRenderedPageBreak/>
        <w:t>Figure</w:t>
      </w:r>
      <w:r w:rsidRPr="00111524">
        <w:t xml:space="preserve"> </w:t>
      </w:r>
      <w:r>
        <w:t>3.7.2</w:t>
      </w:r>
      <w:r w:rsidRPr="00111524">
        <w:t xml:space="preserve"> </w:t>
      </w:r>
      <w:r w:rsidRPr="00C96A43">
        <w:t xml:space="preserve">Total Territory physical assets – </w:t>
      </w:r>
      <w:r>
        <w:t>value</w:t>
      </w:r>
      <w:r w:rsidRPr="00C96A43">
        <w:t xml:space="preserve"> by </w:t>
      </w:r>
      <w:r>
        <w:t>asset class</w:t>
      </w:r>
    </w:p>
    <w:p w14:paraId="4784E058" w14:textId="77777777" w:rsidR="00A60D4B" w:rsidRPr="001E6A76" w:rsidRDefault="00A60D4B" w:rsidP="00A60D4B">
      <w:r>
        <w:rPr>
          <w:noProof/>
        </w:rPr>
        <w:drawing>
          <wp:inline distT="0" distB="0" distL="0" distR="0" wp14:anchorId="3C54D492" wp14:editId="1D6BC134">
            <wp:extent cx="5731200" cy="3225600"/>
            <wp:effectExtent l="0" t="0" r="3175" b="0"/>
            <wp:docPr id="328" name="Chart 328" descr="This chart depicts the Territory physical asset value by class. The physical asset comprises of 38% infrastructure assets, 33% land, 25% buildings, 2% plant &amp; Equipment, 1% Heritage &amp; Community assets and 0.4% Lease hold improvements.">
              <a:extLst xmlns:a="http://schemas.openxmlformats.org/drawingml/2006/main">
                <a:ext uri="{FF2B5EF4-FFF2-40B4-BE49-F238E27FC236}">
                  <a16:creationId xmlns:a16="http://schemas.microsoft.com/office/drawing/2014/main" id="{C0FD316E-0173-4D1C-92FE-ED9B5609F0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4F9F6FE0" w14:textId="77777777" w:rsidR="00A60D4B" w:rsidRPr="00F92D77" w:rsidRDefault="00A60D4B" w:rsidP="00A60D4B">
      <w:pPr>
        <w:rPr>
          <w:rFonts w:ascii="Calibri" w:eastAsiaTheme="majorEastAsia" w:hAnsi="Calibri" w:cstheme="majorBidi"/>
          <w:b/>
          <w:iCs/>
          <w:sz w:val="28"/>
        </w:rPr>
      </w:pPr>
      <w:r w:rsidRPr="00F92D77">
        <w:rPr>
          <w:rFonts w:ascii="Calibri" w:eastAsiaTheme="majorEastAsia" w:hAnsi="Calibri" w:cstheme="majorBidi"/>
          <w:b/>
          <w:iCs/>
          <w:sz w:val="28"/>
        </w:rPr>
        <w:t>Asset management</w:t>
      </w:r>
    </w:p>
    <w:p w14:paraId="3293D166" w14:textId="77777777" w:rsidR="00A60D4B" w:rsidRPr="00435C02" w:rsidRDefault="00A60D4B" w:rsidP="00A60D4B">
      <w:pPr>
        <w:pStyle w:val="Bbodytext"/>
        <w:rPr>
          <w:rFonts w:ascii="Calibri" w:eastAsia="Times New Roman" w:hAnsi="Calibri" w:cs="Times New Roman"/>
          <w:color w:val="000000"/>
        </w:rPr>
      </w:pPr>
      <w:r w:rsidRPr="00435C02">
        <w:t xml:space="preserve">To maintain and improve the quality of the Territory’s growing asset base the Government is forecast to invest more than $1.6 billion over the five years to 2025-26 to maintain and improve the quality of the assets under management. More than $1.3 billion will be invested in the maintenance of assets, while a further $403 million will be invested on capital improvements through the Better Infrastructure Fund (BIF). These ongoing investments in asset management continue to support the Government’s delivery of services to a modern and efficient city that has been recognised as one of the most liveable and sustainable cities in the </w:t>
      </w:r>
      <w:r w:rsidRPr="00435C02">
        <w:rPr>
          <w:rFonts w:ascii="Calibri" w:eastAsia="Times New Roman" w:hAnsi="Calibri" w:cs="Times New Roman"/>
          <w:color w:val="000000"/>
        </w:rPr>
        <w:t xml:space="preserve">world. </w:t>
      </w:r>
    </w:p>
    <w:p w14:paraId="6BD4F48B" w14:textId="77777777" w:rsidR="00A60D4B" w:rsidRPr="00435C02" w:rsidRDefault="00A60D4B" w:rsidP="00A60D4B">
      <w:pPr>
        <w:pStyle w:val="Bbodytext"/>
        <w:rPr>
          <w:rFonts w:ascii="Calibri" w:eastAsia="Times New Roman" w:hAnsi="Calibri" w:cs="Times New Roman"/>
          <w:color w:val="000000"/>
        </w:rPr>
      </w:pPr>
      <w:r w:rsidRPr="00782C7A">
        <w:rPr>
          <w:rFonts w:ascii="Calibri" w:eastAsia="Times New Roman" w:hAnsi="Calibri" w:cs="Times New Roman"/>
          <w:bCs/>
          <w:color w:val="000000"/>
        </w:rPr>
        <w:t>Figure 3.7.3</w:t>
      </w:r>
      <w:r w:rsidRPr="00435C02">
        <w:rPr>
          <w:rFonts w:ascii="Calibri" w:eastAsia="Times New Roman" w:hAnsi="Calibri" w:cs="Times New Roman"/>
          <w:color w:val="000000"/>
        </w:rPr>
        <w:t xml:space="preserve"> demonstrates the previous five years of investment in maintenance and capital improvements to 2020-21 against the Territory asset base and forecasts these investments for 2021-22.</w:t>
      </w:r>
    </w:p>
    <w:p w14:paraId="63B66511" w14:textId="77777777" w:rsidR="00A60D4B" w:rsidRDefault="00A60D4B" w:rsidP="00A60D4B">
      <w:pPr>
        <w:pStyle w:val="Caption"/>
      </w:pPr>
      <w:r w:rsidRPr="00782C7A">
        <w:lastRenderedPageBreak/>
        <w:t>Figure 3.7.3 Total</w:t>
      </w:r>
      <w:r w:rsidRPr="00ED594E">
        <w:t xml:space="preserve"> Territory Investment in Repairs and Maintenance (R&amp;M) and Better Infrastructure Fund over the five years to 2020-21</w:t>
      </w:r>
    </w:p>
    <w:p w14:paraId="67501EA8" w14:textId="1A55E9AF" w:rsidR="00A60D4B" w:rsidRDefault="00A60D4B" w:rsidP="00A60D4B">
      <w:pPr>
        <w:rPr>
          <w:b/>
        </w:rPr>
      </w:pPr>
      <w:r>
        <w:rPr>
          <w:noProof/>
        </w:rPr>
        <mc:AlternateContent>
          <mc:Choice Requires="wps">
            <w:drawing>
              <wp:anchor distT="0" distB="0" distL="114300" distR="114300" simplePos="0" relativeHeight="251971584" behindDoc="0" locked="0" layoutInCell="1" allowOverlap="1" wp14:anchorId="5C990167" wp14:editId="6CF28B61">
                <wp:simplePos x="0" y="0"/>
                <wp:positionH relativeFrom="column">
                  <wp:posOffset>4426890</wp:posOffset>
                </wp:positionH>
                <wp:positionV relativeFrom="paragraph">
                  <wp:posOffset>3114930</wp:posOffset>
                </wp:positionV>
                <wp:extent cx="268747" cy="71692"/>
                <wp:effectExtent l="0" t="0" r="17145" b="24130"/>
                <wp:wrapNone/>
                <wp:docPr id="316" name="TextBox 3"/>
                <wp:cNvGraphicFramePr/>
                <a:graphic xmlns:a="http://schemas.openxmlformats.org/drawingml/2006/main">
                  <a:graphicData uri="http://schemas.microsoft.com/office/word/2010/wordprocessingShape">
                    <wps:wsp>
                      <wps:cNvSpPr txBox="1"/>
                      <wps:spPr>
                        <a:xfrm>
                          <a:off x="0" y="0"/>
                          <a:ext cx="268747" cy="71692"/>
                        </a:xfrm>
                        <a:prstGeom prst="rect">
                          <a:avLst/>
                        </a:prstGeom>
                        <a:solidFill>
                          <a:srgbClr val="26828E"/>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vertOverflow="clip" horzOverflow="clip" wrap="square" rtlCol="0" anchor="t"/>
                    </wps:wsp>
                  </a:graphicData>
                </a:graphic>
              </wp:anchor>
            </w:drawing>
          </mc:Choice>
          <mc:Fallback>
            <w:pict>
              <v:shape w14:anchorId="29382A48" id="TextBox 3" o:spid="_x0000_s1026" type="#_x0000_t202" style="position:absolute;margin-left:348.55pt;margin-top:245.25pt;width:21.15pt;height:5.65pt;z-index:25197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" fillcolor="#26828e" strokecolor="black [3213]"/>
            </w:pict>
          </mc:Fallback>
        </mc:AlternateContent>
      </w:r>
      <w:r>
        <w:rPr>
          <w:noProof/>
        </w:rPr>
        <w:drawing>
          <wp:inline distT="0" distB="0" distL="0" distR="0" wp14:anchorId="1414357B" wp14:editId="66547BBC">
            <wp:extent cx="5731200" cy="3319200"/>
            <wp:effectExtent l="0" t="0" r="3175" b="0"/>
            <wp:docPr id="329" name="Chart 329" descr="Total Territory investment in repairs and maintenance and Better Infrastructure fund over the five years from 2016-17 to 2020-21.">
              <a:extLst xmlns:a="http://schemas.openxmlformats.org/drawingml/2006/main">
                <a:ext uri="{FF2B5EF4-FFF2-40B4-BE49-F238E27FC236}">
                  <a16:creationId xmlns:a16="http://schemas.microsoft.com/office/drawing/2014/main" id="{69F3EBF4-628E-4393-B9A4-FF9F6B0A6B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07B4F8F0" w14:textId="77777777" w:rsidR="00A60D4B" w:rsidRPr="009503A6" w:rsidRDefault="00A60D4B" w:rsidP="00A60D4B">
      <w:pPr>
        <w:pStyle w:val="Heading2"/>
        <w:keepLines w:val="0"/>
        <w:numPr>
          <w:ilvl w:val="0"/>
          <w:numId w:val="0"/>
        </w:numPr>
        <w:spacing w:before="120"/>
        <w:rPr>
          <w:rFonts w:eastAsia="Times New Roman" w:cs="Times New Roman"/>
          <w:caps w:val="0"/>
          <w:snapToGrid w:val="0"/>
          <w:color w:val="auto"/>
          <w:sz w:val="32"/>
          <w:szCs w:val="20"/>
          <w:lang w:val="x-none"/>
        </w:rPr>
      </w:pPr>
      <w:bookmarkStart w:id="135" w:name="_Toc83298700"/>
      <w:bookmarkStart w:id="136" w:name="_Toc84290715"/>
      <w:bookmarkStart w:id="137" w:name="_Toc84290993"/>
      <w:r w:rsidRPr="009503A6">
        <w:rPr>
          <w:rFonts w:eastAsia="Times New Roman" w:cs="Times New Roman"/>
          <w:caps w:val="0"/>
          <w:snapToGrid w:val="0"/>
          <w:color w:val="auto"/>
          <w:sz w:val="32"/>
          <w:szCs w:val="20"/>
          <w:lang w:val="x-none"/>
        </w:rPr>
        <w:t xml:space="preserve">Distribution of Territory assets </w:t>
      </w:r>
      <w:r>
        <w:rPr>
          <w:rFonts w:eastAsia="Times New Roman" w:cs="Times New Roman"/>
          <w:caps w:val="0"/>
          <w:snapToGrid w:val="0"/>
          <w:color w:val="auto"/>
          <w:sz w:val="32"/>
          <w:szCs w:val="20"/>
        </w:rPr>
        <w:t>across</w:t>
      </w:r>
      <w:r w:rsidRPr="009503A6">
        <w:rPr>
          <w:rFonts w:eastAsia="Times New Roman" w:cs="Times New Roman"/>
          <w:caps w:val="0"/>
          <w:snapToGrid w:val="0"/>
          <w:color w:val="auto"/>
          <w:sz w:val="32"/>
          <w:szCs w:val="20"/>
          <w:lang w:val="x-none"/>
        </w:rPr>
        <w:t xml:space="preserve"> </w:t>
      </w:r>
      <w:r>
        <w:rPr>
          <w:rFonts w:eastAsia="Times New Roman" w:cs="Times New Roman"/>
          <w:caps w:val="0"/>
          <w:snapToGrid w:val="0"/>
          <w:color w:val="auto"/>
          <w:sz w:val="32"/>
          <w:szCs w:val="20"/>
        </w:rPr>
        <w:t>government</w:t>
      </w:r>
      <w:r w:rsidRPr="009503A6">
        <w:rPr>
          <w:rFonts w:eastAsia="Times New Roman" w:cs="Times New Roman"/>
          <w:caps w:val="0"/>
          <w:snapToGrid w:val="0"/>
          <w:color w:val="auto"/>
          <w:sz w:val="32"/>
          <w:szCs w:val="20"/>
          <w:lang w:val="x-none"/>
        </w:rPr>
        <w:t xml:space="preserve"> agency</w:t>
      </w:r>
      <w:bookmarkEnd w:id="135"/>
      <w:bookmarkEnd w:id="136"/>
      <w:bookmarkEnd w:id="137"/>
    </w:p>
    <w:p w14:paraId="44BEC3DD" w14:textId="77777777" w:rsidR="00A60D4B" w:rsidRPr="007852CB" w:rsidRDefault="00A60D4B" w:rsidP="00A60D4B">
      <w:pPr>
        <w:pStyle w:val="Bbodytext"/>
      </w:pPr>
      <w:r w:rsidRPr="007852CB">
        <w:t xml:space="preserve">Figure 3.7.4 shows the Territory’s asset portfolio distributed across government agencies over the last five years to 2020-21. The last five years have seen infrastructure investments to improve the sustainability of the environment, while balancing the social sustainability of a growing city, and improving supports to vulnerable Canberrans through the growth and renewal of public housing assets. The Government also continues its expansion of assets that support both the health services system and the education sector which support our growing population. </w:t>
      </w:r>
    </w:p>
    <w:p w14:paraId="656CC35C" w14:textId="38FE20CA" w:rsidR="00A60D4B" w:rsidRDefault="00A60D4B" w:rsidP="00A60D4B">
      <w:pPr>
        <w:pStyle w:val="Caption"/>
      </w:pPr>
      <w:r>
        <w:t>Figure</w:t>
      </w:r>
      <w:r w:rsidRPr="00111524">
        <w:t xml:space="preserve"> </w:t>
      </w:r>
      <w:r w:rsidR="007744D2">
        <w:t>3.7</w:t>
      </w:r>
      <w:r w:rsidRPr="00D36EA3">
        <w:t>.</w:t>
      </w:r>
      <w:r>
        <w:t>4</w:t>
      </w:r>
      <w:r w:rsidRPr="00111524">
        <w:t xml:space="preserve"> </w:t>
      </w:r>
      <w:r>
        <w:t xml:space="preserve">2020-21 </w:t>
      </w:r>
      <w:r w:rsidRPr="00D36EA3">
        <w:t xml:space="preserve">Total Territory physical assets – </w:t>
      </w:r>
      <w:r>
        <w:t xml:space="preserve">Agency distribution </w:t>
      </w:r>
    </w:p>
    <w:p w14:paraId="188F849B" w14:textId="77777777" w:rsidR="00A60D4B" w:rsidRDefault="00A60D4B" w:rsidP="00A60D4B">
      <w:pPr>
        <w:rPr>
          <w:rFonts w:ascii="Calibri" w:eastAsiaTheme="majorEastAsia" w:hAnsi="Calibri" w:cstheme="majorBidi"/>
          <w:b/>
          <w:iCs/>
          <w:sz w:val="28"/>
        </w:rPr>
      </w:pPr>
      <w:r>
        <w:rPr>
          <w:noProof/>
        </w:rPr>
        <w:drawing>
          <wp:inline distT="0" distB="0" distL="0" distR="0" wp14:anchorId="521BC326" wp14:editId="0E1A5935">
            <wp:extent cx="5731510" cy="2651125"/>
            <wp:effectExtent l="0" t="0" r="2540" b="15875"/>
            <wp:docPr id="330" name="Chart 330">
              <a:extLst xmlns:a="http://schemas.openxmlformats.org/drawingml/2006/main">
                <a:ext uri="{FF2B5EF4-FFF2-40B4-BE49-F238E27FC236}">
                  <a16:creationId xmlns:a16="http://schemas.microsoft.com/office/drawing/2014/main" id="{C8ADBDBF-6265-42E1-8496-AF73D53A05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54DEDC2A" w14:textId="77777777" w:rsidR="00A60D4B" w:rsidRPr="00435C02" w:rsidRDefault="00A60D4B" w:rsidP="00A60D4B">
      <w:pPr>
        <w:pStyle w:val="Bbodytext"/>
      </w:pPr>
      <w:r w:rsidRPr="00435C02">
        <w:lastRenderedPageBreak/>
        <w:t xml:space="preserve">Transport Canberra and City Services (TCCS) Directorate manages the largest proportion of the Territory’s assets valued at $10.3 billion, representing 38 per cent of the asset portfolio. This includes major infrastructure such as roads, bridges, cycle and footpaths and municipal assets, such as stormwater. The largest single component of the Territory’s asset base is managed by ACT Housing, with the portfolio of government residential properties accounting for $6.7 billion or 24 per cent of the Territory asset base. The Government has undertaken, and continues, a significant program of public housing renewal to expand, modernise and improve the efficiency of its social housing services to meet the needs of disadvantaged Canberrans. </w:t>
      </w:r>
    </w:p>
    <w:p w14:paraId="04B11765" w14:textId="77777777" w:rsidR="00A60D4B" w:rsidRPr="00435C02" w:rsidRDefault="00A60D4B" w:rsidP="00A60D4B">
      <w:pPr>
        <w:spacing w:after="120" w:line="240" w:lineRule="auto"/>
        <w:rPr>
          <w:sz w:val="24"/>
          <w:szCs w:val="24"/>
        </w:rPr>
      </w:pPr>
      <w:r w:rsidRPr="00435C02">
        <w:rPr>
          <w:sz w:val="24"/>
          <w:szCs w:val="24"/>
        </w:rPr>
        <w:t xml:space="preserve">Other major components of the Territory’s infrastructure assets include: </w:t>
      </w:r>
    </w:p>
    <w:p w14:paraId="18DB32E5" w14:textId="77777777" w:rsidR="00A60D4B" w:rsidRPr="00435C02" w:rsidRDefault="00A60D4B" w:rsidP="00A60D4B">
      <w:pPr>
        <w:pStyle w:val="ListParagraph"/>
        <w:numPr>
          <w:ilvl w:val="0"/>
          <w:numId w:val="72"/>
        </w:numPr>
        <w:spacing w:before="120" w:after="120" w:line="240" w:lineRule="auto"/>
        <w:ind w:left="284" w:hanging="284"/>
        <w:contextualSpacing w:val="0"/>
        <w:rPr>
          <w:sz w:val="24"/>
          <w:szCs w:val="24"/>
        </w:rPr>
      </w:pPr>
      <w:r w:rsidRPr="00435C02">
        <w:rPr>
          <w:sz w:val="24"/>
          <w:szCs w:val="24"/>
        </w:rPr>
        <w:t xml:space="preserve">Icon Water which provides water and sewerage services to the ACT community and manages $2.6 billion of associated assets on behalf of the Territory; </w:t>
      </w:r>
    </w:p>
    <w:p w14:paraId="2C3C2D52" w14:textId="77777777" w:rsidR="00A60D4B" w:rsidRPr="00435C02" w:rsidRDefault="00A60D4B" w:rsidP="00A60D4B">
      <w:pPr>
        <w:pStyle w:val="ListParagraph"/>
        <w:numPr>
          <w:ilvl w:val="0"/>
          <w:numId w:val="72"/>
        </w:numPr>
        <w:spacing w:before="120" w:after="120" w:line="240" w:lineRule="auto"/>
        <w:ind w:left="284" w:hanging="284"/>
        <w:contextualSpacing w:val="0"/>
        <w:rPr>
          <w:sz w:val="24"/>
          <w:szCs w:val="24"/>
        </w:rPr>
      </w:pPr>
      <w:r w:rsidRPr="00435C02">
        <w:rPr>
          <w:sz w:val="24"/>
          <w:szCs w:val="24"/>
        </w:rPr>
        <w:t>The Education Directorate and CIT manage $2.3 billion of infrastructure assets, with further expansion of education related assets announced in this budget that support the education and life-long learning of Canberrans;</w:t>
      </w:r>
    </w:p>
    <w:p w14:paraId="1BA36A20" w14:textId="77777777" w:rsidR="00A60D4B" w:rsidRPr="00435C02" w:rsidRDefault="00A60D4B" w:rsidP="00A60D4B">
      <w:pPr>
        <w:pStyle w:val="ListParagraph"/>
        <w:numPr>
          <w:ilvl w:val="0"/>
          <w:numId w:val="72"/>
        </w:numPr>
        <w:spacing w:before="120" w:after="120" w:line="240" w:lineRule="auto"/>
        <w:ind w:left="284" w:hanging="284"/>
        <w:contextualSpacing w:val="0"/>
        <w:rPr>
          <w:sz w:val="24"/>
          <w:szCs w:val="24"/>
        </w:rPr>
      </w:pPr>
      <w:r w:rsidRPr="00435C02">
        <w:rPr>
          <w:sz w:val="24"/>
          <w:szCs w:val="24"/>
        </w:rPr>
        <w:t>Chief Minister, Treasury and Economic Development Directorate (CMTEDD) holds $2</w:t>
      </w:r>
      <w:r>
        <w:rPr>
          <w:sz w:val="24"/>
          <w:szCs w:val="24"/>
        </w:rPr>
        <w:t> </w:t>
      </w:r>
      <w:r w:rsidRPr="00435C02">
        <w:rPr>
          <w:sz w:val="24"/>
          <w:szCs w:val="24"/>
        </w:rPr>
        <w:t>billion worth of assets, primarily consisting of community building and lands of the Territory; and</w:t>
      </w:r>
    </w:p>
    <w:p w14:paraId="672AFE1A" w14:textId="77777777" w:rsidR="00A60D4B" w:rsidRPr="00435C02" w:rsidRDefault="00A60D4B" w:rsidP="00A60D4B">
      <w:pPr>
        <w:pStyle w:val="ListParagraph"/>
        <w:numPr>
          <w:ilvl w:val="0"/>
          <w:numId w:val="72"/>
        </w:numPr>
        <w:spacing w:before="120" w:after="120" w:line="240" w:lineRule="auto"/>
        <w:ind w:left="284" w:hanging="284"/>
        <w:rPr>
          <w:sz w:val="24"/>
          <w:szCs w:val="24"/>
        </w:rPr>
      </w:pPr>
      <w:r w:rsidRPr="00435C02">
        <w:rPr>
          <w:sz w:val="24"/>
          <w:szCs w:val="24"/>
        </w:rPr>
        <w:t>The Territory’s health services infrastructure assets are valued at $1.3 billion, predominantly consisting of hospitals and community health facilities. Considerable expansion of this asset base is underway through the program of works associated with the expansion of the Canberra Hospital.</w:t>
      </w:r>
    </w:p>
    <w:p w14:paraId="7763194A" w14:textId="77777777" w:rsidR="00A60D4B" w:rsidRDefault="00A60D4B" w:rsidP="00A60D4B">
      <w:pPr>
        <w:rPr>
          <w:rFonts w:ascii="Calibri" w:eastAsiaTheme="majorEastAsia" w:hAnsi="Calibri" w:cstheme="majorBidi"/>
          <w:b/>
          <w:sz w:val="28"/>
        </w:rPr>
      </w:pPr>
    </w:p>
    <w:p w14:paraId="2FCE10AA" w14:textId="77777777" w:rsidR="00A60D4B" w:rsidRDefault="00A60D4B" w:rsidP="00A60D4B"/>
    <w:p w14:paraId="0F620913" w14:textId="77777777" w:rsidR="00A60D4B" w:rsidRDefault="00A60D4B">
      <w:r>
        <w:br w:type="page"/>
      </w:r>
    </w:p>
    <w:p w14:paraId="3F02E409" w14:textId="77777777" w:rsidR="00A60D4B" w:rsidRDefault="00A60D4B"/>
    <w:p w14:paraId="6CF307B5" w14:textId="77777777" w:rsidR="00A60D4B" w:rsidRDefault="00A60D4B" w:rsidP="00A60D4B">
      <w:pPr>
        <w:sectPr w:rsidR="00A60D4B" w:rsidSect="00542DA2">
          <w:footerReference w:type="default" r:id="rId174"/>
          <w:pgSz w:w="11906" w:h="16838" w:code="9"/>
          <w:pgMar w:top="1151" w:right="1440" w:bottom="1729" w:left="1440" w:header="720" w:footer="720" w:gutter="0"/>
          <w:cols w:space="708"/>
          <w:docGrid w:linePitch="360"/>
        </w:sectPr>
      </w:pPr>
    </w:p>
    <w:p w14:paraId="427B8DCF" w14:textId="724232CE" w:rsidR="00A60D4B" w:rsidRDefault="00A60D4B" w:rsidP="00A60D4B">
      <w:pPr>
        <w:pStyle w:val="Heading2"/>
        <w:numPr>
          <w:ilvl w:val="1"/>
          <w:numId w:val="4"/>
        </w:numPr>
      </w:pPr>
      <w:bookmarkStart w:id="138" w:name="_Toc84290994"/>
      <w:r>
        <w:lastRenderedPageBreak/>
        <w:t>Key Balance Sheet Metrics</w:t>
      </w:r>
      <w:bookmarkEnd w:id="138"/>
    </w:p>
    <w:p w14:paraId="18FC1D23" w14:textId="77777777" w:rsidR="00A60D4B" w:rsidRPr="00771263" w:rsidRDefault="00A60D4B" w:rsidP="00A60D4B">
      <w:pPr>
        <w:pStyle w:val="Bbodytext"/>
      </w:pPr>
      <w:r w:rsidRPr="00771263">
        <w:t>Net debt, net financial liabilities and net worth are three key indicators of the strength of Government finances.</w:t>
      </w:r>
    </w:p>
    <w:p w14:paraId="1AF68083" w14:textId="77777777" w:rsidR="00A60D4B" w:rsidRPr="00771263" w:rsidRDefault="00A60D4B" w:rsidP="00A60D4B">
      <w:pPr>
        <w:pStyle w:val="Bbodytext"/>
      </w:pPr>
      <w:r w:rsidRPr="00771263">
        <w:t xml:space="preserve">Net debt is defined as the sum of the Government’s gross debt, less financial assets such as cash and investments. Net financial liabilities consider unfunded superannuation liabilities and provide a broader measure of the </w:t>
      </w:r>
      <w:r>
        <w:t>G</w:t>
      </w:r>
      <w:r w:rsidRPr="00771263">
        <w:t>overnment’s financial position. Net worth is the sum of all the Government’s financial and non-financial assets, less liabilities.</w:t>
      </w:r>
    </w:p>
    <w:p w14:paraId="7DACEF49" w14:textId="77777777" w:rsidR="00A60D4B" w:rsidRDefault="00A60D4B" w:rsidP="00A60D4B">
      <w:pPr>
        <w:pStyle w:val="Bbodytext"/>
      </w:pPr>
      <w:r w:rsidRPr="00771263">
        <w:t>The tables below provide a summary of these key balance sheet measures for the General Government Sector.</w:t>
      </w:r>
    </w:p>
    <w:p w14:paraId="6E64D195" w14:textId="1B1309F2" w:rsidR="00A60D4B" w:rsidRPr="00FF75BA" w:rsidRDefault="00A60D4B" w:rsidP="00A60D4B">
      <w:pPr>
        <w:pStyle w:val="Caption"/>
      </w:pPr>
      <w:r w:rsidRPr="00111524">
        <w:t xml:space="preserve">Table </w:t>
      </w:r>
      <w:r w:rsidR="00FB4E5C">
        <w:fldChar w:fldCharType="begin"/>
      </w:r>
      <w:r w:rsidR="00FB4E5C">
        <w:instrText xml:space="preserve"> STYLEREF 2 \s </w:instrText>
      </w:r>
      <w:r w:rsidR="00FB4E5C">
        <w:fldChar w:fldCharType="separate"/>
      </w:r>
      <w:r w:rsidR="00F12A80">
        <w:rPr>
          <w:noProof/>
        </w:rPr>
        <w:t>3.8</w:t>
      </w:r>
      <w:r w:rsidR="00FB4E5C">
        <w:rPr>
          <w:noProof/>
        </w:rPr>
        <w:fldChar w:fldCharType="end"/>
      </w:r>
      <w:r w:rsidRPr="00111524">
        <w:t>.</w:t>
      </w:r>
      <w:r w:rsidR="00FB4E5C">
        <w:fldChar w:fldCharType="begin"/>
      </w:r>
      <w:r w:rsidR="00FB4E5C">
        <w:instrText xml:space="preserve"> SEQ Table \* ARABIC \s 2 </w:instrText>
      </w:r>
      <w:r w:rsidR="00FB4E5C">
        <w:fldChar w:fldCharType="separate"/>
      </w:r>
      <w:r w:rsidR="00F12A80">
        <w:rPr>
          <w:noProof/>
        </w:rPr>
        <w:t>1</w:t>
      </w:r>
      <w:r w:rsidR="00FB4E5C">
        <w:rPr>
          <w:noProof/>
        </w:rPr>
        <w:fldChar w:fldCharType="end"/>
      </w:r>
      <w:r>
        <w:rPr>
          <w:noProof/>
        </w:rPr>
        <w:t xml:space="preserve">: </w:t>
      </w:r>
      <w:r w:rsidRPr="00285AD2">
        <w:t>Net debt (excluding superannuation)</w:t>
      </w:r>
    </w:p>
    <w:tbl>
      <w:tblPr>
        <w:tblW w:w="9100" w:type="dxa"/>
        <w:jc w:val="center"/>
        <w:tblBorders>
          <w:top w:val="single" w:sz="4" w:space="0" w:color="auto"/>
          <w:bottom w:val="single" w:sz="4" w:space="0" w:color="auto"/>
        </w:tblBorders>
        <w:tblLook w:val="01E0" w:firstRow="1" w:lastRow="1" w:firstColumn="1" w:lastColumn="1" w:noHBand="0" w:noVBand="0"/>
      </w:tblPr>
      <w:tblGrid>
        <w:gridCol w:w="2705"/>
        <w:gridCol w:w="1805"/>
        <w:gridCol w:w="1077"/>
        <w:gridCol w:w="1171"/>
        <w:gridCol w:w="1171"/>
        <w:gridCol w:w="1171"/>
      </w:tblGrid>
      <w:tr w:rsidR="00A60D4B" w:rsidRPr="006C6A78" w14:paraId="14CF617B" w14:textId="77777777" w:rsidTr="00A60D4B">
        <w:trPr>
          <w:trHeight w:val="316"/>
          <w:tblHeader/>
          <w:jc w:val="center"/>
        </w:trPr>
        <w:tc>
          <w:tcPr>
            <w:tcW w:w="1486" w:type="pct"/>
            <w:tcBorders>
              <w:top w:val="single" w:sz="4" w:space="0" w:color="auto"/>
              <w:bottom w:val="single" w:sz="4" w:space="0" w:color="auto"/>
            </w:tcBorders>
            <w:shd w:val="clear" w:color="auto" w:fill="472D8C"/>
          </w:tcPr>
          <w:p w14:paraId="2CC929F5" w14:textId="77777777" w:rsidR="00A60D4B" w:rsidRPr="00FC7F2D" w:rsidRDefault="00A60D4B" w:rsidP="00A60D4B">
            <w:pPr>
              <w:spacing w:after="0" w:line="240" w:lineRule="auto"/>
              <w:jc w:val="right"/>
              <w:rPr>
                <w:rFonts w:ascii="Calibri" w:eastAsia="Times New Roman" w:hAnsi="Calibri" w:cs="Calibri"/>
                <w:color w:val="FFFFFF"/>
                <w:sz w:val="12"/>
                <w:szCs w:val="20"/>
              </w:rPr>
            </w:pPr>
          </w:p>
        </w:tc>
        <w:tc>
          <w:tcPr>
            <w:tcW w:w="992" w:type="pct"/>
            <w:tcBorders>
              <w:top w:val="single" w:sz="4" w:space="0" w:color="auto"/>
              <w:bottom w:val="single" w:sz="4" w:space="0" w:color="auto"/>
            </w:tcBorders>
            <w:shd w:val="clear" w:color="auto" w:fill="472D8C"/>
          </w:tcPr>
          <w:p w14:paraId="3C5B53FA" w14:textId="77777777" w:rsidR="00A60D4B" w:rsidRPr="00FC7F2D" w:rsidRDefault="00A60D4B" w:rsidP="00A60D4B">
            <w:pPr>
              <w:pStyle w:val="BTableHeadingRowRightAligned"/>
              <w:rPr>
                <w:color w:val="FFFFFF" w:themeColor="background1"/>
              </w:rPr>
            </w:pPr>
            <w:r w:rsidRPr="00FC7F2D">
              <w:rPr>
                <w:color w:val="FFFFFF" w:themeColor="background1"/>
              </w:rPr>
              <w:t>2020-21</w:t>
            </w:r>
          </w:p>
          <w:p w14:paraId="16B16B99" w14:textId="77777777" w:rsidR="00A60D4B" w:rsidRPr="00FC7F2D" w:rsidRDefault="00A60D4B" w:rsidP="00A60D4B">
            <w:pPr>
              <w:pStyle w:val="BTableHeadingRowRightAligned"/>
              <w:rPr>
                <w:color w:val="FFFFFF" w:themeColor="background1"/>
              </w:rPr>
            </w:pPr>
            <w:r w:rsidRPr="00FC7F2D">
              <w:rPr>
                <w:color w:val="FFFFFF" w:themeColor="background1"/>
              </w:rPr>
              <w:t>Interim</w:t>
            </w:r>
          </w:p>
          <w:p w14:paraId="2F7994E4" w14:textId="77777777" w:rsidR="00A60D4B" w:rsidRPr="00FC7F2D" w:rsidRDefault="00A60D4B" w:rsidP="00A60D4B">
            <w:pPr>
              <w:pStyle w:val="BTableHeadingRowRightAligned"/>
              <w:rPr>
                <w:color w:val="FFFFFF" w:themeColor="background1"/>
              </w:rPr>
            </w:pPr>
            <w:r w:rsidRPr="00FC7F2D">
              <w:rPr>
                <w:color w:val="FFFFFF" w:themeColor="background1"/>
              </w:rPr>
              <w:t>Outcome</w:t>
            </w:r>
          </w:p>
          <w:p w14:paraId="6651AD2B" w14:textId="77777777" w:rsidR="00A60D4B" w:rsidRPr="00FC7F2D" w:rsidRDefault="00A60D4B" w:rsidP="00A60D4B">
            <w:pPr>
              <w:pStyle w:val="BTableHeadingRowRightAligned"/>
              <w:rPr>
                <w:color w:val="FFFFFF" w:themeColor="background1"/>
              </w:rPr>
            </w:pPr>
            <w:r w:rsidRPr="00FC7F2D">
              <w:rPr>
                <w:color w:val="FFFFFF" w:themeColor="background1"/>
              </w:rPr>
              <w:t>$m</w:t>
            </w:r>
          </w:p>
        </w:tc>
        <w:tc>
          <w:tcPr>
            <w:tcW w:w="592" w:type="pct"/>
            <w:tcBorders>
              <w:top w:val="single" w:sz="4" w:space="0" w:color="auto"/>
              <w:bottom w:val="single" w:sz="4" w:space="0" w:color="auto"/>
            </w:tcBorders>
            <w:shd w:val="clear" w:color="auto" w:fill="472D8C"/>
          </w:tcPr>
          <w:p w14:paraId="666D2941" w14:textId="77777777" w:rsidR="00A60D4B" w:rsidRPr="00FC7F2D" w:rsidRDefault="00A60D4B" w:rsidP="00A60D4B">
            <w:pPr>
              <w:pStyle w:val="BTableHeadingRowRightAligned"/>
              <w:rPr>
                <w:color w:val="FFFFFF" w:themeColor="background1"/>
              </w:rPr>
            </w:pPr>
            <w:r w:rsidRPr="00FC7F2D">
              <w:rPr>
                <w:color w:val="FFFFFF" w:themeColor="background1"/>
              </w:rPr>
              <w:t>2021-22 Budget</w:t>
            </w:r>
          </w:p>
          <w:p w14:paraId="04D48C44" w14:textId="77777777" w:rsidR="00A60D4B" w:rsidRPr="00FC7F2D" w:rsidRDefault="00A60D4B" w:rsidP="00A60D4B">
            <w:pPr>
              <w:pStyle w:val="BTableHeadingRowRightAligned"/>
              <w:rPr>
                <w:color w:val="FFFFFF" w:themeColor="background1"/>
              </w:rPr>
            </w:pPr>
          </w:p>
          <w:p w14:paraId="6915C486" w14:textId="77777777" w:rsidR="00A60D4B" w:rsidRPr="00FC7F2D" w:rsidRDefault="00A60D4B" w:rsidP="00A60D4B">
            <w:pPr>
              <w:pStyle w:val="BTableHeadingRowRightAligned"/>
              <w:rPr>
                <w:color w:val="FFFFFF" w:themeColor="background1"/>
              </w:rPr>
            </w:pPr>
            <w:r w:rsidRPr="00FC7F2D">
              <w:rPr>
                <w:color w:val="FFFFFF" w:themeColor="background1"/>
              </w:rPr>
              <w:t>$m</w:t>
            </w:r>
          </w:p>
        </w:tc>
        <w:tc>
          <w:tcPr>
            <w:tcW w:w="643" w:type="pct"/>
            <w:tcBorders>
              <w:top w:val="single" w:sz="4" w:space="0" w:color="auto"/>
              <w:bottom w:val="single" w:sz="4" w:space="0" w:color="auto"/>
            </w:tcBorders>
            <w:shd w:val="clear" w:color="auto" w:fill="472D8C"/>
          </w:tcPr>
          <w:p w14:paraId="03212EE3" w14:textId="77777777" w:rsidR="00A60D4B" w:rsidRPr="00FC7F2D" w:rsidRDefault="00A60D4B" w:rsidP="00A60D4B">
            <w:pPr>
              <w:pStyle w:val="BTableHeadingRowRightAligned"/>
              <w:rPr>
                <w:color w:val="FFFFFF" w:themeColor="background1"/>
              </w:rPr>
            </w:pPr>
            <w:r w:rsidRPr="00FC7F2D">
              <w:rPr>
                <w:color w:val="FFFFFF" w:themeColor="background1"/>
              </w:rPr>
              <w:t>2022-23 Estimate</w:t>
            </w:r>
          </w:p>
          <w:p w14:paraId="2B1064A7" w14:textId="77777777" w:rsidR="00A60D4B" w:rsidRPr="00FC7F2D" w:rsidRDefault="00A60D4B" w:rsidP="00A60D4B">
            <w:pPr>
              <w:pStyle w:val="BTableHeadingRowRightAligned"/>
              <w:rPr>
                <w:color w:val="FFFFFF" w:themeColor="background1"/>
              </w:rPr>
            </w:pPr>
          </w:p>
          <w:p w14:paraId="2EF21843" w14:textId="77777777" w:rsidR="00A60D4B" w:rsidRPr="00FC7F2D" w:rsidRDefault="00A60D4B" w:rsidP="00A60D4B">
            <w:pPr>
              <w:pStyle w:val="BTableHeadingRowRightAligned"/>
              <w:rPr>
                <w:color w:val="FFFFFF" w:themeColor="background1"/>
              </w:rPr>
            </w:pPr>
            <w:r w:rsidRPr="00FC7F2D">
              <w:rPr>
                <w:color w:val="FFFFFF" w:themeColor="background1"/>
              </w:rPr>
              <w:t>$m</w:t>
            </w:r>
          </w:p>
        </w:tc>
        <w:tc>
          <w:tcPr>
            <w:tcW w:w="643" w:type="pct"/>
            <w:tcBorders>
              <w:top w:val="single" w:sz="4" w:space="0" w:color="auto"/>
              <w:bottom w:val="single" w:sz="4" w:space="0" w:color="auto"/>
            </w:tcBorders>
            <w:shd w:val="clear" w:color="auto" w:fill="472D8C"/>
          </w:tcPr>
          <w:p w14:paraId="189998A9" w14:textId="77777777" w:rsidR="00A60D4B" w:rsidRPr="00FC7F2D" w:rsidRDefault="00A60D4B" w:rsidP="00A60D4B">
            <w:pPr>
              <w:pStyle w:val="BTableHeadingRowRightAligned"/>
              <w:rPr>
                <w:color w:val="FFFFFF" w:themeColor="background1"/>
              </w:rPr>
            </w:pPr>
            <w:r w:rsidRPr="00FC7F2D">
              <w:rPr>
                <w:color w:val="FFFFFF" w:themeColor="background1"/>
              </w:rPr>
              <w:t>2023-24 Estimate</w:t>
            </w:r>
          </w:p>
          <w:p w14:paraId="57824876" w14:textId="77777777" w:rsidR="00A60D4B" w:rsidRPr="00FC7F2D" w:rsidRDefault="00A60D4B" w:rsidP="00A60D4B">
            <w:pPr>
              <w:pStyle w:val="BTableHeadingRowRightAligned"/>
              <w:rPr>
                <w:color w:val="FFFFFF" w:themeColor="background1"/>
              </w:rPr>
            </w:pPr>
          </w:p>
          <w:p w14:paraId="3C22B221" w14:textId="77777777" w:rsidR="00A60D4B" w:rsidRPr="00FC7F2D" w:rsidRDefault="00A60D4B" w:rsidP="00A60D4B">
            <w:pPr>
              <w:pStyle w:val="BTableHeadingRowRightAligned"/>
              <w:rPr>
                <w:color w:val="FFFFFF" w:themeColor="background1"/>
              </w:rPr>
            </w:pPr>
            <w:r w:rsidRPr="00FC7F2D">
              <w:rPr>
                <w:color w:val="FFFFFF" w:themeColor="background1"/>
              </w:rPr>
              <w:t>$m</w:t>
            </w:r>
          </w:p>
        </w:tc>
        <w:tc>
          <w:tcPr>
            <w:tcW w:w="643" w:type="pct"/>
            <w:tcBorders>
              <w:top w:val="single" w:sz="4" w:space="0" w:color="auto"/>
              <w:bottom w:val="single" w:sz="4" w:space="0" w:color="auto"/>
            </w:tcBorders>
            <w:shd w:val="clear" w:color="auto" w:fill="472D8C"/>
          </w:tcPr>
          <w:p w14:paraId="1A187EF9" w14:textId="77777777" w:rsidR="00A60D4B" w:rsidRPr="00FC7F2D" w:rsidRDefault="00A60D4B" w:rsidP="00A60D4B">
            <w:pPr>
              <w:pStyle w:val="BTableHeadingRowRightAligned"/>
              <w:rPr>
                <w:color w:val="FFFFFF" w:themeColor="background1"/>
              </w:rPr>
            </w:pPr>
            <w:r w:rsidRPr="00FC7F2D">
              <w:rPr>
                <w:color w:val="FFFFFF" w:themeColor="background1"/>
              </w:rPr>
              <w:t>2024-25 Estimate</w:t>
            </w:r>
          </w:p>
          <w:p w14:paraId="38CBC7E9" w14:textId="77777777" w:rsidR="00A60D4B" w:rsidRPr="00FC7F2D" w:rsidRDefault="00A60D4B" w:rsidP="00A60D4B">
            <w:pPr>
              <w:pStyle w:val="BTableHeadingRowRightAligned"/>
              <w:rPr>
                <w:color w:val="FFFFFF" w:themeColor="background1"/>
              </w:rPr>
            </w:pPr>
          </w:p>
          <w:p w14:paraId="7CC10AFC" w14:textId="77777777" w:rsidR="00A60D4B" w:rsidRPr="00FC7F2D" w:rsidRDefault="00A60D4B" w:rsidP="00A60D4B">
            <w:pPr>
              <w:pStyle w:val="BTableHeadingRowRightAligned"/>
              <w:rPr>
                <w:color w:val="FFFFFF" w:themeColor="background1"/>
              </w:rPr>
            </w:pPr>
            <w:r w:rsidRPr="00FC7F2D">
              <w:rPr>
                <w:color w:val="FFFFFF" w:themeColor="background1"/>
              </w:rPr>
              <w:t>$m</w:t>
            </w:r>
          </w:p>
        </w:tc>
      </w:tr>
      <w:tr w:rsidR="00A60D4B" w:rsidRPr="006C6A78" w14:paraId="7C477495" w14:textId="77777777" w:rsidTr="00A60D4B">
        <w:trPr>
          <w:trHeight w:hRule="exact" w:val="284"/>
          <w:jc w:val="center"/>
        </w:trPr>
        <w:tc>
          <w:tcPr>
            <w:tcW w:w="1486" w:type="pct"/>
            <w:tcBorders>
              <w:top w:val="nil"/>
              <w:bottom w:val="nil"/>
            </w:tcBorders>
            <w:shd w:val="clear" w:color="auto" w:fill="auto"/>
          </w:tcPr>
          <w:p w14:paraId="72DB6FF1" w14:textId="77777777" w:rsidR="00A60D4B" w:rsidRPr="00FC7F2D" w:rsidRDefault="00A60D4B" w:rsidP="00A60D4B">
            <w:pPr>
              <w:pStyle w:val="Btabletextunbold"/>
              <w:rPr>
                <w:lang w:eastAsia="en-AU"/>
              </w:rPr>
            </w:pPr>
            <w:r w:rsidRPr="00FC7F2D">
              <w:rPr>
                <w:lang w:eastAsia="en-AU"/>
              </w:rPr>
              <w:t>2020-21 Budget</w:t>
            </w:r>
          </w:p>
        </w:tc>
        <w:tc>
          <w:tcPr>
            <w:tcW w:w="992" w:type="pct"/>
            <w:tcBorders>
              <w:top w:val="nil"/>
              <w:bottom w:val="nil"/>
            </w:tcBorders>
            <w:shd w:val="clear" w:color="auto" w:fill="auto"/>
          </w:tcPr>
          <w:p w14:paraId="67625C98" w14:textId="77777777" w:rsidR="00A60D4B" w:rsidRPr="00FC7F2D" w:rsidRDefault="00A60D4B" w:rsidP="00A60D4B">
            <w:pPr>
              <w:pStyle w:val="Btablefigureunbold"/>
            </w:pPr>
            <w:r>
              <w:t>4,665.0</w:t>
            </w:r>
          </w:p>
        </w:tc>
        <w:tc>
          <w:tcPr>
            <w:tcW w:w="592" w:type="pct"/>
            <w:tcBorders>
              <w:top w:val="nil"/>
              <w:bottom w:val="nil"/>
            </w:tcBorders>
            <w:shd w:val="clear" w:color="auto" w:fill="auto"/>
          </w:tcPr>
          <w:p w14:paraId="438730B9" w14:textId="77777777" w:rsidR="00A60D4B" w:rsidRPr="00FC7F2D" w:rsidRDefault="00A60D4B" w:rsidP="00A60D4B">
            <w:pPr>
              <w:pStyle w:val="Btablefigureunbold"/>
            </w:pPr>
            <w:r w:rsidRPr="00FC7F2D">
              <w:t>5,960.6</w:t>
            </w:r>
          </w:p>
        </w:tc>
        <w:tc>
          <w:tcPr>
            <w:tcW w:w="643" w:type="pct"/>
            <w:tcBorders>
              <w:top w:val="nil"/>
              <w:bottom w:val="nil"/>
            </w:tcBorders>
            <w:shd w:val="clear" w:color="auto" w:fill="auto"/>
          </w:tcPr>
          <w:p w14:paraId="34650C90" w14:textId="77777777" w:rsidR="00A60D4B" w:rsidRPr="00FC7F2D" w:rsidRDefault="00A60D4B" w:rsidP="00A60D4B">
            <w:pPr>
              <w:pStyle w:val="Btablefigureunbold"/>
            </w:pPr>
            <w:r w:rsidRPr="00FC7F2D">
              <w:t>6,926.7</w:t>
            </w:r>
          </w:p>
        </w:tc>
        <w:tc>
          <w:tcPr>
            <w:tcW w:w="643" w:type="pct"/>
            <w:tcBorders>
              <w:top w:val="nil"/>
              <w:bottom w:val="nil"/>
            </w:tcBorders>
            <w:shd w:val="clear" w:color="auto" w:fill="auto"/>
          </w:tcPr>
          <w:p w14:paraId="239FC49C" w14:textId="77777777" w:rsidR="00A60D4B" w:rsidRPr="00FC7F2D" w:rsidRDefault="00A60D4B" w:rsidP="00A60D4B">
            <w:pPr>
              <w:pStyle w:val="Btablefigureunbold"/>
            </w:pPr>
            <w:r w:rsidRPr="00FC7F2D">
              <w:t>7,658.6</w:t>
            </w:r>
          </w:p>
        </w:tc>
        <w:tc>
          <w:tcPr>
            <w:tcW w:w="643" w:type="pct"/>
            <w:tcBorders>
              <w:top w:val="nil"/>
              <w:bottom w:val="nil"/>
            </w:tcBorders>
            <w:shd w:val="clear" w:color="auto" w:fill="auto"/>
          </w:tcPr>
          <w:p w14:paraId="43465569" w14:textId="77777777" w:rsidR="00A60D4B" w:rsidRPr="00FC7F2D" w:rsidRDefault="00A60D4B" w:rsidP="00A60D4B">
            <w:pPr>
              <w:pStyle w:val="Btablefigureunbold"/>
            </w:pPr>
            <w:r>
              <w:t>na</w:t>
            </w:r>
          </w:p>
        </w:tc>
      </w:tr>
      <w:tr w:rsidR="00A60D4B" w:rsidRPr="006C6A78" w14:paraId="225B9C5A" w14:textId="77777777" w:rsidTr="00A60D4B">
        <w:trPr>
          <w:trHeight w:hRule="exact" w:val="284"/>
          <w:jc w:val="center"/>
        </w:trPr>
        <w:tc>
          <w:tcPr>
            <w:tcW w:w="1486" w:type="pct"/>
            <w:tcBorders>
              <w:top w:val="nil"/>
              <w:bottom w:val="nil"/>
            </w:tcBorders>
            <w:shd w:val="clear" w:color="auto" w:fill="auto"/>
          </w:tcPr>
          <w:p w14:paraId="5C50775B" w14:textId="77777777" w:rsidR="00A60D4B" w:rsidRPr="00FC7F2D" w:rsidRDefault="00A60D4B" w:rsidP="00A60D4B">
            <w:pPr>
              <w:pStyle w:val="Btabletextunbold"/>
              <w:rPr>
                <w:lang w:eastAsia="en-AU"/>
              </w:rPr>
            </w:pPr>
            <w:r w:rsidRPr="00FC7F2D">
              <w:rPr>
                <w:lang w:eastAsia="en-AU"/>
              </w:rPr>
              <w:t>202</w:t>
            </w:r>
            <w:r>
              <w:rPr>
                <w:lang w:eastAsia="en-AU"/>
              </w:rPr>
              <w:t>1</w:t>
            </w:r>
            <w:r w:rsidRPr="00FC7F2D">
              <w:rPr>
                <w:lang w:eastAsia="en-AU"/>
              </w:rPr>
              <w:t>-2</w:t>
            </w:r>
            <w:r>
              <w:rPr>
                <w:lang w:eastAsia="en-AU"/>
              </w:rPr>
              <w:t>2</w:t>
            </w:r>
            <w:r w:rsidRPr="00FC7F2D">
              <w:rPr>
                <w:lang w:eastAsia="en-AU"/>
              </w:rPr>
              <w:t xml:space="preserve"> Budget</w:t>
            </w:r>
          </w:p>
        </w:tc>
        <w:tc>
          <w:tcPr>
            <w:tcW w:w="992" w:type="pct"/>
            <w:tcBorders>
              <w:top w:val="nil"/>
              <w:bottom w:val="nil"/>
            </w:tcBorders>
            <w:shd w:val="clear" w:color="auto" w:fill="auto"/>
          </w:tcPr>
          <w:p w14:paraId="15FFC862" w14:textId="77777777" w:rsidR="00A60D4B" w:rsidRPr="00FC7F2D" w:rsidRDefault="00A60D4B" w:rsidP="00A60D4B">
            <w:pPr>
              <w:pStyle w:val="Btablefigureunbold"/>
            </w:pPr>
            <w:r>
              <w:t>4,352.8</w:t>
            </w:r>
          </w:p>
        </w:tc>
        <w:tc>
          <w:tcPr>
            <w:tcW w:w="592" w:type="pct"/>
            <w:tcBorders>
              <w:top w:val="nil"/>
              <w:bottom w:val="nil"/>
            </w:tcBorders>
            <w:shd w:val="clear" w:color="auto" w:fill="auto"/>
          </w:tcPr>
          <w:p w14:paraId="10B727C7" w14:textId="77777777" w:rsidR="00A60D4B" w:rsidRPr="00FC7F2D" w:rsidRDefault="00A60D4B" w:rsidP="00A60D4B">
            <w:pPr>
              <w:pStyle w:val="Btablefigureunbold"/>
            </w:pPr>
            <w:r>
              <w:t>5,721.0</w:t>
            </w:r>
          </w:p>
        </w:tc>
        <w:tc>
          <w:tcPr>
            <w:tcW w:w="643" w:type="pct"/>
            <w:tcBorders>
              <w:top w:val="nil"/>
              <w:bottom w:val="nil"/>
            </w:tcBorders>
            <w:shd w:val="clear" w:color="auto" w:fill="auto"/>
          </w:tcPr>
          <w:p w14:paraId="5D7DBE67" w14:textId="77777777" w:rsidR="00A60D4B" w:rsidRPr="00FC7F2D" w:rsidRDefault="00A60D4B" w:rsidP="00A60D4B">
            <w:pPr>
              <w:pStyle w:val="Btablefigureunbold"/>
            </w:pPr>
            <w:r>
              <w:t>6,875.9</w:t>
            </w:r>
          </w:p>
        </w:tc>
        <w:tc>
          <w:tcPr>
            <w:tcW w:w="643" w:type="pct"/>
            <w:tcBorders>
              <w:top w:val="nil"/>
              <w:bottom w:val="nil"/>
            </w:tcBorders>
            <w:shd w:val="clear" w:color="auto" w:fill="auto"/>
          </w:tcPr>
          <w:p w14:paraId="3BFE6FB4" w14:textId="77777777" w:rsidR="00A60D4B" w:rsidRPr="00FC7F2D" w:rsidRDefault="00A60D4B" w:rsidP="00A60D4B">
            <w:pPr>
              <w:pStyle w:val="Btablefigureunbold"/>
            </w:pPr>
            <w:r>
              <w:t>8,245.2</w:t>
            </w:r>
          </w:p>
        </w:tc>
        <w:tc>
          <w:tcPr>
            <w:tcW w:w="643" w:type="pct"/>
            <w:tcBorders>
              <w:top w:val="nil"/>
              <w:bottom w:val="nil"/>
            </w:tcBorders>
            <w:shd w:val="clear" w:color="auto" w:fill="auto"/>
          </w:tcPr>
          <w:p w14:paraId="2B1010A7" w14:textId="77777777" w:rsidR="00A60D4B" w:rsidRPr="00FC7F2D" w:rsidRDefault="00A60D4B" w:rsidP="00A60D4B">
            <w:pPr>
              <w:pStyle w:val="Btablefigureunbold"/>
            </w:pPr>
            <w:r>
              <w:t>9,580.9</w:t>
            </w:r>
          </w:p>
        </w:tc>
      </w:tr>
      <w:tr w:rsidR="00A60D4B" w:rsidRPr="006C6A78" w14:paraId="2A7511C2" w14:textId="77777777" w:rsidTr="00A60D4B">
        <w:trPr>
          <w:trHeight w:hRule="exact" w:val="284"/>
          <w:jc w:val="center"/>
        </w:trPr>
        <w:tc>
          <w:tcPr>
            <w:tcW w:w="1486" w:type="pct"/>
            <w:tcBorders>
              <w:top w:val="nil"/>
              <w:bottom w:val="single" w:sz="4" w:space="0" w:color="auto"/>
            </w:tcBorders>
            <w:shd w:val="clear" w:color="auto" w:fill="auto"/>
          </w:tcPr>
          <w:p w14:paraId="2F89FFB0" w14:textId="77777777" w:rsidR="00A60D4B" w:rsidRPr="00FC7F2D" w:rsidRDefault="00A60D4B" w:rsidP="00A60D4B">
            <w:pPr>
              <w:pStyle w:val="Btabletextunbold"/>
              <w:rPr>
                <w:lang w:eastAsia="en-AU"/>
              </w:rPr>
            </w:pPr>
            <w:r w:rsidRPr="0014512A">
              <w:rPr>
                <w:lang w:eastAsia="en-AU"/>
              </w:rPr>
              <w:t>Net debt to GSP (%)</w:t>
            </w:r>
          </w:p>
        </w:tc>
        <w:tc>
          <w:tcPr>
            <w:tcW w:w="992" w:type="pct"/>
            <w:tcBorders>
              <w:top w:val="nil"/>
              <w:bottom w:val="single" w:sz="4" w:space="0" w:color="auto"/>
            </w:tcBorders>
            <w:shd w:val="clear" w:color="auto" w:fill="auto"/>
          </w:tcPr>
          <w:p w14:paraId="5C22D85B" w14:textId="77777777" w:rsidR="00A60D4B" w:rsidRPr="00FC7F2D" w:rsidRDefault="00A60D4B" w:rsidP="00A60D4B">
            <w:pPr>
              <w:pStyle w:val="Btablefigureunbold"/>
            </w:pPr>
            <w:r>
              <w:t>10.0</w:t>
            </w:r>
          </w:p>
        </w:tc>
        <w:tc>
          <w:tcPr>
            <w:tcW w:w="592" w:type="pct"/>
            <w:tcBorders>
              <w:top w:val="nil"/>
              <w:bottom w:val="single" w:sz="4" w:space="0" w:color="auto"/>
            </w:tcBorders>
            <w:shd w:val="clear" w:color="auto" w:fill="auto"/>
          </w:tcPr>
          <w:p w14:paraId="3FD2F798" w14:textId="77777777" w:rsidR="00A60D4B" w:rsidRPr="00FC7F2D" w:rsidRDefault="00A60D4B" w:rsidP="00A60D4B">
            <w:pPr>
              <w:pStyle w:val="Btablefigureunbold"/>
            </w:pPr>
            <w:r>
              <w:t>12.6</w:t>
            </w:r>
          </w:p>
        </w:tc>
        <w:tc>
          <w:tcPr>
            <w:tcW w:w="643" w:type="pct"/>
            <w:tcBorders>
              <w:top w:val="nil"/>
              <w:bottom w:val="single" w:sz="4" w:space="0" w:color="auto"/>
            </w:tcBorders>
            <w:shd w:val="clear" w:color="auto" w:fill="auto"/>
          </w:tcPr>
          <w:p w14:paraId="1B716893" w14:textId="77777777" w:rsidR="00A60D4B" w:rsidRPr="00FC7F2D" w:rsidRDefault="00A60D4B" w:rsidP="00A60D4B">
            <w:pPr>
              <w:pStyle w:val="Btablefigureunbold"/>
            </w:pPr>
            <w:r>
              <w:t>14.4</w:t>
            </w:r>
          </w:p>
        </w:tc>
        <w:tc>
          <w:tcPr>
            <w:tcW w:w="643" w:type="pct"/>
            <w:tcBorders>
              <w:top w:val="nil"/>
              <w:bottom w:val="single" w:sz="4" w:space="0" w:color="auto"/>
            </w:tcBorders>
            <w:shd w:val="clear" w:color="auto" w:fill="auto"/>
          </w:tcPr>
          <w:p w14:paraId="68C58785" w14:textId="77777777" w:rsidR="00A60D4B" w:rsidRPr="00FC7F2D" w:rsidRDefault="00A60D4B" w:rsidP="00A60D4B">
            <w:pPr>
              <w:pStyle w:val="Btablefigureunbold"/>
            </w:pPr>
            <w:r>
              <w:t>16.5</w:t>
            </w:r>
          </w:p>
        </w:tc>
        <w:tc>
          <w:tcPr>
            <w:tcW w:w="643" w:type="pct"/>
            <w:tcBorders>
              <w:top w:val="nil"/>
              <w:bottom w:val="single" w:sz="4" w:space="0" w:color="auto"/>
            </w:tcBorders>
            <w:shd w:val="clear" w:color="auto" w:fill="auto"/>
          </w:tcPr>
          <w:p w14:paraId="7CECFB63" w14:textId="77777777" w:rsidR="00A60D4B" w:rsidRPr="00FC7F2D" w:rsidRDefault="00A60D4B" w:rsidP="00A60D4B">
            <w:pPr>
              <w:pStyle w:val="Btablefigureunbold"/>
            </w:pPr>
            <w:r>
              <w:t>18.2</w:t>
            </w:r>
          </w:p>
        </w:tc>
      </w:tr>
    </w:tbl>
    <w:p w14:paraId="6836FEA4" w14:textId="77777777" w:rsidR="00A60D4B" w:rsidRPr="00463D57" w:rsidRDefault="00A60D4B" w:rsidP="00A60D4B">
      <w:pPr>
        <w:pStyle w:val="Bbodytext"/>
      </w:pPr>
      <w:r w:rsidRPr="00463D57">
        <w:t>Compared to the 2020-21 Budget, net debt is forecast to increase by $296.2 million from 2021-22 to 2023-24. This increase is largely due to Government policy decisions included in the 2021-22 Budget</w:t>
      </w:r>
      <w:r>
        <w:t xml:space="preserve">, including in response to the COVID-19 pandemic. </w:t>
      </w:r>
    </w:p>
    <w:p w14:paraId="20D3B824" w14:textId="01EA3B13" w:rsidR="00A60D4B" w:rsidRPr="00EA2043" w:rsidRDefault="00A60D4B" w:rsidP="00A60D4B">
      <w:pPr>
        <w:pStyle w:val="Caption"/>
      </w:pPr>
      <w:r w:rsidRPr="00F20C77">
        <w:t xml:space="preserve">Table </w:t>
      </w:r>
      <w:r w:rsidR="00FB4E5C">
        <w:fldChar w:fldCharType="begin"/>
      </w:r>
      <w:r w:rsidR="00FB4E5C">
        <w:instrText xml:space="preserve"> STYLEREF 2 \s </w:instrText>
      </w:r>
      <w:r w:rsidR="00FB4E5C">
        <w:fldChar w:fldCharType="separate"/>
      </w:r>
      <w:r w:rsidR="00F12A80">
        <w:rPr>
          <w:noProof/>
        </w:rPr>
        <w:t>3.8</w:t>
      </w:r>
      <w:r w:rsidR="00FB4E5C">
        <w:rPr>
          <w:noProof/>
        </w:rPr>
        <w:fldChar w:fldCharType="end"/>
      </w:r>
      <w:r w:rsidRPr="00F20C77">
        <w:t>.</w:t>
      </w:r>
      <w:r w:rsidR="00FB4E5C">
        <w:fldChar w:fldCharType="begin"/>
      </w:r>
      <w:r w:rsidR="00FB4E5C">
        <w:instrText xml:space="preserve"> SEQ Table \* ARABIC \s 2 </w:instrText>
      </w:r>
      <w:r w:rsidR="00FB4E5C">
        <w:fldChar w:fldCharType="separate"/>
      </w:r>
      <w:r w:rsidR="00F12A80">
        <w:rPr>
          <w:noProof/>
        </w:rPr>
        <w:t>2</w:t>
      </w:r>
      <w:r w:rsidR="00FB4E5C">
        <w:rPr>
          <w:noProof/>
        </w:rPr>
        <w:fldChar w:fldCharType="end"/>
      </w:r>
      <w:r w:rsidRPr="00EA2043">
        <w:rPr>
          <w:noProof/>
        </w:rPr>
        <w:t xml:space="preserve">: </w:t>
      </w:r>
      <w:r w:rsidRPr="00EA2043">
        <w:t>Net financial liabilities</w:t>
      </w:r>
    </w:p>
    <w:tbl>
      <w:tblPr>
        <w:tblW w:w="9100" w:type="dxa"/>
        <w:jc w:val="center"/>
        <w:tblBorders>
          <w:top w:val="single" w:sz="4" w:space="0" w:color="auto"/>
          <w:bottom w:val="single" w:sz="4" w:space="0" w:color="auto"/>
        </w:tblBorders>
        <w:tblCellMar>
          <w:left w:w="57" w:type="dxa"/>
          <w:right w:w="57" w:type="dxa"/>
        </w:tblCellMar>
        <w:tblLook w:val="01E0" w:firstRow="1" w:lastRow="1" w:firstColumn="1" w:lastColumn="1" w:noHBand="0" w:noVBand="0"/>
      </w:tblPr>
      <w:tblGrid>
        <w:gridCol w:w="2894"/>
        <w:gridCol w:w="1704"/>
        <w:gridCol w:w="1128"/>
        <w:gridCol w:w="1130"/>
        <w:gridCol w:w="1125"/>
        <w:gridCol w:w="1119"/>
      </w:tblGrid>
      <w:tr w:rsidR="00A60D4B" w:rsidRPr="00EA2043" w14:paraId="6E55CCE1" w14:textId="77777777" w:rsidTr="00A60D4B">
        <w:trPr>
          <w:trHeight w:val="219"/>
          <w:tblHeader/>
          <w:jc w:val="center"/>
        </w:trPr>
        <w:tc>
          <w:tcPr>
            <w:tcW w:w="1590" w:type="pct"/>
            <w:tcBorders>
              <w:top w:val="single" w:sz="4" w:space="0" w:color="auto"/>
              <w:bottom w:val="single" w:sz="4" w:space="0" w:color="auto"/>
            </w:tcBorders>
            <w:shd w:val="clear" w:color="auto" w:fill="472D8C"/>
          </w:tcPr>
          <w:p w14:paraId="754BF964" w14:textId="77777777" w:rsidR="00A60D4B" w:rsidRPr="00EA2043" w:rsidRDefault="00A60D4B" w:rsidP="00A60D4B">
            <w:pPr>
              <w:pStyle w:val="BTableHeadingRowRightAligned"/>
              <w:rPr>
                <w:color w:val="FFFFFF" w:themeColor="background1"/>
              </w:rPr>
            </w:pPr>
          </w:p>
        </w:tc>
        <w:tc>
          <w:tcPr>
            <w:tcW w:w="936" w:type="pct"/>
            <w:tcBorders>
              <w:top w:val="single" w:sz="4" w:space="0" w:color="auto"/>
              <w:bottom w:val="single" w:sz="4" w:space="0" w:color="auto"/>
            </w:tcBorders>
            <w:shd w:val="clear" w:color="auto" w:fill="472D8C"/>
          </w:tcPr>
          <w:p w14:paraId="7EAB79FE" w14:textId="77777777" w:rsidR="00A60D4B" w:rsidRPr="00EA2043" w:rsidRDefault="00A60D4B" w:rsidP="00A60D4B">
            <w:pPr>
              <w:pStyle w:val="BTableHeadingRowRightAligned"/>
              <w:rPr>
                <w:color w:val="FFFFFF" w:themeColor="background1"/>
              </w:rPr>
            </w:pPr>
            <w:r w:rsidRPr="00EA2043">
              <w:rPr>
                <w:color w:val="FFFFFF" w:themeColor="background1"/>
              </w:rPr>
              <w:t>2020-21</w:t>
            </w:r>
          </w:p>
          <w:p w14:paraId="13741178" w14:textId="77777777" w:rsidR="00A60D4B" w:rsidRPr="00EA2043" w:rsidRDefault="00A60D4B" w:rsidP="00A60D4B">
            <w:pPr>
              <w:pStyle w:val="BTableHeadingRowRightAligned"/>
              <w:rPr>
                <w:color w:val="FFFFFF" w:themeColor="background1"/>
              </w:rPr>
            </w:pPr>
            <w:r w:rsidRPr="00EA2043">
              <w:rPr>
                <w:color w:val="FFFFFF" w:themeColor="background1"/>
              </w:rPr>
              <w:t>Interim</w:t>
            </w:r>
          </w:p>
          <w:p w14:paraId="66CED65F" w14:textId="77777777" w:rsidR="00A60D4B" w:rsidRPr="00EA2043" w:rsidRDefault="00A60D4B" w:rsidP="00A60D4B">
            <w:pPr>
              <w:pStyle w:val="BTableHeadingRowRightAligned"/>
              <w:rPr>
                <w:color w:val="FFFFFF" w:themeColor="background1"/>
              </w:rPr>
            </w:pPr>
            <w:r w:rsidRPr="00EA2043">
              <w:rPr>
                <w:color w:val="FFFFFF" w:themeColor="background1"/>
              </w:rPr>
              <w:t>Outcome</w:t>
            </w:r>
          </w:p>
          <w:p w14:paraId="2802FA0B" w14:textId="77777777" w:rsidR="00A60D4B" w:rsidRPr="00EA2043" w:rsidRDefault="00A60D4B" w:rsidP="00A60D4B">
            <w:pPr>
              <w:pStyle w:val="BTableHeadingRowRightAligned"/>
              <w:rPr>
                <w:color w:val="FFFFFF" w:themeColor="background1"/>
              </w:rPr>
            </w:pPr>
            <w:r w:rsidRPr="00EA2043">
              <w:rPr>
                <w:color w:val="FFFFFF" w:themeColor="background1"/>
              </w:rPr>
              <w:t>$m</w:t>
            </w:r>
          </w:p>
        </w:tc>
        <w:tc>
          <w:tcPr>
            <w:tcW w:w="620" w:type="pct"/>
            <w:tcBorders>
              <w:top w:val="single" w:sz="4" w:space="0" w:color="auto"/>
              <w:bottom w:val="single" w:sz="4" w:space="0" w:color="auto"/>
            </w:tcBorders>
            <w:shd w:val="clear" w:color="auto" w:fill="472D8C"/>
          </w:tcPr>
          <w:p w14:paraId="153F3152" w14:textId="77777777" w:rsidR="00A60D4B" w:rsidRPr="00EA2043" w:rsidRDefault="00A60D4B" w:rsidP="00A60D4B">
            <w:pPr>
              <w:pStyle w:val="BTableHeadingRowRightAligned"/>
              <w:rPr>
                <w:color w:val="FFFFFF" w:themeColor="background1"/>
              </w:rPr>
            </w:pPr>
            <w:r w:rsidRPr="00EA2043">
              <w:rPr>
                <w:color w:val="FFFFFF" w:themeColor="background1"/>
              </w:rPr>
              <w:t>2021-22 Budget</w:t>
            </w:r>
          </w:p>
          <w:p w14:paraId="3453C88B" w14:textId="77777777" w:rsidR="00A60D4B" w:rsidRPr="00EA2043" w:rsidRDefault="00A60D4B" w:rsidP="00A60D4B">
            <w:pPr>
              <w:pStyle w:val="BTableHeadingRowRightAligned"/>
              <w:rPr>
                <w:color w:val="FFFFFF" w:themeColor="background1"/>
              </w:rPr>
            </w:pPr>
          </w:p>
          <w:p w14:paraId="0D41475A" w14:textId="77777777" w:rsidR="00A60D4B" w:rsidRPr="00EA2043" w:rsidRDefault="00A60D4B" w:rsidP="00A60D4B">
            <w:pPr>
              <w:pStyle w:val="BTableHeadingRowRightAligned"/>
              <w:rPr>
                <w:color w:val="FFFFFF" w:themeColor="background1"/>
              </w:rPr>
            </w:pPr>
            <w:r w:rsidRPr="00EA2043">
              <w:rPr>
                <w:color w:val="FFFFFF" w:themeColor="background1"/>
              </w:rPr>
              <w:t>$m</w:t>
            </w:r>
          </w:p>
        </w:tc>
        <w:tc>
          <w:tcPr>
            <w:tcW w:w="621" w:type="pct"/>
            <w:tcBorders>
              <w:top w:val="single" w:sz="4" w:space="0" w:color="auto"/>
              <w:bottom w:val="single" w:sz="4" w:space="0" w:color="auto"/>
            </w:tcBorders>
            <w:shd w:val="clear" w:color="auto" w:fill="472D8C"/>
          </w:tcPr>
          <w:p w14:paraId="1C5B0CC8" w14:textId="77777777" w:rsidR="00A60D4B" w:rsidRPr="00EA2043" w:rsidRDefault="00A60D4B" w:rsidP="00A60D4B">
            <w:pPr>
              <w:pStyle w:val="BTableHeadingRowRightAligned"/>
              <w:rPr>
                <w:color w:val="FFFFFF" w:themeColor="background1"/>
              </w:rPr>
            </w:pPr>
            <w:r w:rsidRPr="00EA2043">
              <w:rPr>
                <w:color w:val="FFFFFF" w:themeColor="background1"/>
              </w:rPr>
              <w:t>2022-23 Estimate</w:t>
            </w:r>
          </w:p>
          <w:p w14:paraId="6C061A43" w14:textId="77777777" w:rsidR="00A60D4B" w:rsidRPr="00EA2043" w:rsidRDefault="00A60D4B" w:rsidP="00A60D4B">
            <w:pPr>
              <w:pStyle w:val="BTableHeadingRowRightAligned"/>
              <w:rPr>
                <w:color w:val="FFFFFF" w:themeColor="background1"/>
              </w:rPr>
            </w:pPr>
          </w:p>
          <w:p w14:paraId="412A72BA" w14:textId="77777777" w:rsidR="00A60D4B" w:rsidRPr="00EA2043" w:rsidRDefault="00A60D4B" w:rsidP="00A60D4B">
            <w:pPr>
              <w:pStyle w:val="BTableHeadingRowRightAligned"/>
              <w:rPr>
                <w:color w:val="FFFFFF" w:themeColor="background1"/>
              </w:rPr>
            </w:pPr>
            <w:r w:rsidRPr="00EA2043">
              <w:rPr>
                <w:color w:val="FFFFFF" w:themeColor="background1"/>
              </w:rPr>
              <w:t>$m</w:t>
            </w:r>
          </w:p>
        </w:tc>
        <w:tc>
          <w:tcPr>
            <w:tcW w:w="618" w:type="pct"/>
            <w:tcBorders>
              <w:top w:val="single" w:sz="4" w:space="0" w:color="auto"/>
              <w:bottom w:val="single" w:sz="4" w:space="0" w:color="auto"/>
            </w:tcBorders>
            <w:shd w:val="clear" w:color="auto" w:fill="472D8C"/>
          </w:tcPr>
          <w:p w14:paraId="1480231D" w14:textId="77777777" w:rsidR="00A60D4B" w:rsidRPr="00EA2043" w:rsidRDefault="00A60D4B" w:rsidP="00A60D4B">
            <w:pPr>
              <w:pStyle w:val="BTableHeadingRowRightAligned"/>
              <w:rPr>
                <w:color w:val="FFFFFF" w:themeColor="background1"/>
              </w:rPr>
            </w:pPr>
            <w:r w:rsidRPr="00EA2043">
              <w:rPr>
                <w:color w:val="FFFFFF" w:themeColor="background1"/>
              </w:rPr>
              <w:t>2023-24 Estimate</w:t>
            </w:r>
          </w:p>
          <w:p w14:paraId="12CFC556" w14:textId="77777777" w:rsidR="00A60D4B" w:rsidRPr="00EA2043" w:rsidRDefault="00A60D4B" w:rsidP="00A60D4B">
            <w:pPr>
              <w:pStyle w:val="BTableHeadingRowRightAligned"/>
              <w:rPr>
                <w:color w:val="FFFFFF" w:themeColor="background1"/>
              </w:rPr>
            </w:pPr>
          </w:p>
          <w:p w14:paraId="47D237C1" w14:textId="77777777" w:rsidR="00A60D4B" w:rsidRPr="00EA2043" w:rsidRDefault="00A60D4B" w:rsidP="00A60D4B">
            <w:pPr>
              <w:pStyle w:val="BTableHeadingRowRightAligned"/>
              <w:rPr>
                <w:color w:val="FFFFFF" w:themeColor="background1"/>
              </w:rPr>
            </w:pPr>
            <w:r w:rsidRPr="00EA2043">
              <w:rPr>
                <w:color w:val="FFFFFF" w:themeColor="background1"/>
              </w:rPr>
              <w:t>$m</w:t>
            </w:r>
          </w:p>
        </w:tc>
        <w:tc>
          <w:tcPr>
            <w:tcW w:w="615" w:type="pct"/>
            <w:tcBorders>
              <w:top w:val="single" w:sz="4" w:space="0" w:color="auto"/>
              <w:bottom w:val="single" w:sz="4" w:space="0" w:color="auto"/>
            </w:tcBorders>
            <w:shd w:val="clear" w:color="auto" w:fill="472D8C"/>
          </w:tcPr>
          <w:p w14:paraId="66B1B3D6" w14:textId="77777777" w:rsidR="00A60D4B" w:rsidRPr="00EA2043" w:rsidRDefault="00A60D4B" w:rsidP="00A60D4B">
            <w:pPr>
              <w:pStyle w:val="BTableHeadingRowRightAligned"/>
              <w:rPr>
                <w:color w:val="FFFFFF" w:themeColor="background1"/>
              </w:rPr>
            </w:pPr>
            <w:r w:rsidRPr="00EA2043">
              <w:rPr>
                <w:color w:val="FFFFFF" w:themeColor="background1"/>
              </w:rPr>
              <w:t>2024-25 Estimate</w:t>
            </w:r>
          </w:p>
          <w:p w14:paraId="4A4D18F2" w14:textId="77777777" w:rsidR="00A60D4B" w:rsidRPr="00EA2043" w:rsidRDefault="00A60D4B" w:rsidP="00A60D4B">
            <w:pPr>
              <w:pStyle w:val="BTableHeadingRowRightAligned"/>
              <w:rPr>
                <w:color w:val="FFFFFF" w:themeColor="background1"/>
              </w:rPr>
            </w:pPr>
          </w:p>
          <w:p w14:paraId="0AC2CD97" w14:textId="77777777" w:rsidR="00A60D4B" w:rsidRPr="00EA2043" w:rsidRDefault="00A60D4B" w:rsidP="00A60D4B">
            <w:pPr>
              <w:pStyle w:val="BTableHeadingRowRightAligned"/>
              <w:rPr>
                <w:color w:val="FFFFFF" w:themeColor="background1"/>
              </w:rPr>
            </w:pPr>
            <w:r w:rsidRPr="00EA2043">
              <w:rPr>
                <w:color w:val="FFFFFF" w:themeColor="background1"/>
              </w:rPr>
              <w:t>$m</w:t>
            </w:r>
          </w:p>
        </w:tc>
      </w:tr>
      <w:tr w:rsidR="00A60D4B" w:rsidRPr="00EA2043" w14:paraId="6D1A0A35" w14:textId="77777777" w:rsidTr="00A60D4B">
        <w:trPr>
          <w:trHeight w:hRule="exact" w:val="284"/>
          <w:jc w:val="center"/>
        </w:trPr>
        <w:tc>
          <w:tcPr>
            <w:tcW w:w="1590" w:type="pct"/>
            <w:tcBorders>
              <w:top w:val="nil"/>
              <w:bottom w:val="nil"/>
            </w:tcBorders>
            <w:shd w:val="clear" w:color="auto" w:fill="auto"/>
          </w:tcPr>
          <w:p w14:paraId="6CA1C853" w14:textId="77777777" w:rsidR="00A60D4B" w:rsidRPr="00EA2043" w:rsidRDefault="00A60D4B" w:rsidP="00A60D4B">
            <w:pPr>
              <w:pStyle w:val="Btabletextunbold"/>
            </w:pPr>
            <w:r w:rsidRPr="00EA2043">
              <w:t>2020-21 Budget</w:t>
            </w:r>
          </w:p>
        </w:tc>
        <w:tc>
          <w:tcPr>
            <w:tcW w:w="936" w:type="pct"/>
            <w:tcBorders>
              <w:top w:val="nil"/>
              <w:bottom w:val="nil"/>
            </w:tcBorders>
            <w:shd w:val="clear" w:color="auto" w:fill="auto"/>
          </w:tcPr>
          <w:p w14:paraId="158F0A45" w14:textId="77777777" w:rsidR="00A60D4B" w:rsidRPr="00EA2043" w:rsidRDefault="00A60D4B" w:rsidP="00A60D4B">
            <w:pPr>
              <w:pStyle w:val="Btablefigureunbold"/>
            </w:pPr>
            <w:r>
              <w:t>9,301.8</w:t>
            </w:r>
          </w:p>
        </w:tc>
        <w:tc>
          <w:tcPr>
            <w:tcW w:w="620" w:type="pct"/>
            <w:tcBorders>
              <w:top w:val="nil"/>
              <w:bottom w:val="nil"/>
            </w:tcBorders>
            <w:shd w:val="clear" w:color="auto" w:fill="auto"/>
          </w:tcPr>
          <w:p w14:paraId="2B89C51F" w14:textId="77777777" w:rsidR="00A60D4B" w:rsidRPr="00EA2043" w:rsidRDefault="00A60D4B" w:rsidP="00A60D4B">
            <w:pPr>
              <w:pStyle w:val="Btablefigureunbold"/>
            </w:pPr>
            <w:r w:rsidRPr="00EA2043">
              <w:t>10,559.7</w:t>
            </w:r>
          </w:p>
        </w:tc>
        <w:tc>
          <w:tcPr>
            <w:tcW w:w="621" w:type="pct"/>
            <w:tcBorders>
              <w:top w:val="nil"/>
              <w:bottom w:val="nil"/>
            </w:tcBorders>
            <w:shd w:val="clear" w:color="auto" w:fill="auto"/>
          </w:tcPr>
          <w:p w14:paraId="5F5BF7BF" w14:textId="77777777" w:rsidR="00A60D4B" w:rsidRPr="00EA2043" w:rsidRDefault="00A60D4B" w:rsidP="00A60D4B">
            <w:pPr>
              <w:pStyle w:val="Btablefigureunbold"/>
            </w:pPr>
            <w:r w:rsidRPr="00EA2043">
              <w:t>11,744.9</w:t>
            </w:r>
          </w:p>
        </w:tc>
        <w:tc>
          <w:tcPr>
            <w:tcW w:w="618" w:type="pct"/>
            <w:tcBorders>
              <w:top w:val="nil"/>
              <w:bottom w:val="nil"/>
            </w:tcBorders>
            <w:shd w:val="clear" w:color="auto" w:fill="auto"/>
          </w:tcPr>
          <w:p w14:paraId="663C5125" w14:textId="77777777" w:rsidR="00A60D4B" w:rsidRPr="00EA2043" w:rsidRDefault="00A60D4B" w:rsidP="00A60D4B">
            <w:pPr>
              <w:pStyle w:val="Btablefigureunbold"/>
            </w:pPr>
            <w:r w:rsidRPr="00EA2043">
              <w:t>12,670.2</w:t>
            </w:r>
          </w:p>
        </w:tc>
        <w:tc>
          <w:tcPr>
            <w:tcW w:w="615" w:type="pct"/>
            <w:tcBorders>
              <w:top w:val="nil"/>
              <w:bottom w:val="nil"/>
            </w:tcBorders>
          </w:tcPr>
          <w:p w14:paraId="3301F4D3" w14:textId="77777777" w:rsidR="00A60D4B" w:rsidRPr="00EA2043" w:rsidRDefault="00A60D4B" w:rsidP="00A60D4B">
            <w:pPr>
              <w:pStyle w:val="Btablefigureunbold"/>
            </w:pPr>
            <w:r>
              <w:t>na</w:t>
            </w:r>
          </w:p>
        </w:tc>
      </w:tr>
      <w:tr w:rsidR="00A60D4B" w:rsidRPr="00EA2043" w14:paraId="4EBB1A64" w14:textId="77777777" w:rsidTr="00A60D4B">
        <w:trPr>
          <w:trHeight w:hRule="exact" w:val="284"/>
          <w:jc w:val="center"/>
        </w:trPr>
        <w:tc>
          <w:tcPr>
            <w:tcW w:w="1590" w:type="pct"/>
            <w:tcBorders>
              <w:top w:val="nil"/>
              <w:bottom w:val="nil"/>
            </w:tcBorders>
            <w:shd w:val="clear" w:color="auto" w:fill="auto"/>
          </w:tcPr>
          <w:p w14:paraId="1B067F01" w14:textId="77777777" w:rsidR="00A60D4B" w:rsidRPr="00EA2043" w:rsidRDefault="00A60D4B" w:rsidP="00A60D4B">
            <w:pPr>
              <w:pStyle w:val="Btabletextunbold"/>
            </w:pPr>
            <w:r w:rsidRPr="00EA2043">
              <w:t>202</w:t>
            </w:r>
            <w:r>
              <w:t>1</w:t>
            </w:r>
            <w:r w:rsidRPr="00EA2043">
              <w:t>-2</w:t>
            </w:r>
            <w:r>
              <w:t>2</w:t>
            </w:r>
            <w:r w:rsidRPr="00EA2043">
              <w:t xml:space="preserve"> Budget</w:t>
            </w:r>
          </w:p>
        </w:tc>
        <w:tc>
          <w:tcPr>
            <w:tcW w:w="936" w:type="pct"/>
            <w:tcBorders>
              <w:top w:val="nil"/>
              <w:bottom w:val="nil"/>
            </w:tcBorders>
            <w:shd w:val="clear" w:color="auto" w:fill="auto"/>
          </w:tcPr>
          <w:p w14:paraId="634304A1" w14:textId="77777777" w:rsidR="00A60D4B" w:rsidRPr="00EA2043" w:rsidRDefault="00A60D4B" w:rsidP="00A60D4B">
            <w:pPr>
              <w:pStyle w:val="Btablefigureunbold"/>
            </w:pPr>
            <w:r>
              <w:t>13,301.0</w:t>
            </w:r>
          </w:p>
        </w:tc>
        <w:tc>
          <w:tcPr>
            <w:tcW w:w="620" w:type="pct"/>
            <w:tcBorders>
              <w:top w:val="nil"/>
              <w:bottom w:val="nil"/>
            </w:tcBorders>
            <w:shd w:val="clear" w:color="auto" w:fill="auto"/>
          </w:tcPr>
          <w:p w14:paraId="1D158854" w14:textId="77777777" w:rsidR="00A60D4B" w:rsidRPr="00EA2043" w:rsidRDefault="00A60D4B" w:rsidP="00A60D4B">
            <w:pPr>
              <w:pStyle w:val="Btablefigureunbold"/>
            </w:pPr>
            <w:r>
              <w:t>11,747.8</w:t>
            </w:r>
          </w:p>
        </w:tc>
        <w:tc>
          <w:tcPr>
            <w:tcW w:w="621" w:type="pct"/>
            <w:tcBorders>
              <w:top w:val="nil"/>
              <w:bottom w:val="nil"/>
            </w:tcBorders>
            <w:shd w:val="clear" w:color="auto" w:fill="auto"/>
          </w:tcPr>
          <w:p w14:paraId="5E1BD14F" w14:textId="77777777" w:rsidR="00A60D4B" w:rsidRPr="00EA2043" w:rsidRDefault="00A60D4B" w:rsidP="00A60D4B">
            <w:pPr>
              <w:pStyle w:val="Btablefigureunbold"/>
            </w:pPr>
            <w:r>
              <w:t>12,674.8</w:t>
            </w:r>
          </w:p>
        </w:tc>
        <w:tc>
          <w:tcPr>
            <w:tcW w:w="618" w:type="pct"/>
            <w:tcBorders>
              <w:top w:val="nil"/>
              <w:bottom w:val="nil"/>
            </w:tcBorders>
            <w:shd w:val="clear" w:color="auto" w:fill="auto"/>
          </w:tcPr>
          <w:p w14:paraId="6C39B8E2" w14:textId="77777777" w:rsidR="00A60D4B" w:rsidRPr="00EA2043" w:rsidRDefault="00A60D4B" w:rsidP="00A60D4B">
            <w:pPr>
              <w:pStyle w:val="Btablefigureunbold"/>
            </w:pPr>
            <w:r>
              <w:t>13,969.8</w:t>
            </w:r>
          </w:p>
        </w:tc>
        <w:tc>
          <w:tcPr>
            <w:tcW w:w="615" w:type="pct"/>
            <w:tcBorders>
              <w:top w:val="nil"/>
              <w:bottom w:val="nil"/>
            </w:tcBorders>
          </w:tcPr>
          <w:p w14:paraId="7D76B999" w14:textId="77777777" w:rsidR="00A60D4B" w:rsidRPr="00EA2043" w:rsidRDefault="00A60D4B" w:rsidP="00A60D4B">
            <w:pPr>
              <w:pStyle w:val="Btablefigureunbold"/>
            </w:pPr>
            <w:r>
              <w:t>15,092.4</w:t>
            </w:r>
          </w:p>
        </w:tc>
      </w:tr>
      <w:tr w:rsidR="00A60D4B" w:rsidRPr="006C6A78" w14:paraId="594D269A" w14:textId="77777777" w:rsidTr="00A60D4B">
        <w:trPr>
          <w:trHeight w:hRule="exact" w:val="284"/>
          <w:jc w:val="center"/>
        </w:trPr>
        <w:tc>
          <w:tcPr>
            <w:tcW w:w="1590" w:type="pct"/>
            <w:tcBorders>
              <w:top w:val="nil"/>
              <w:bottom w:val="single" w:sz="4" w:space="0" w:color="auto"/>
            </w:tcBorders>
            <w:shd w:val="clear" w:color="auto" w:fill="auto"/>
          </w:tcPr>
          <w:p w14:paraId="7AF0593F" w14:textId="77777777" w:rsidR="00A60D4B" w:rsidRPr="0014512A" w:rsidRDefault="00A60D4B" w:rsidP="00A60D4B">
            <w:pPr>
              <w:pStyle w:val="Btabletextunbold"/>
            </w:pPr>
            <w:r w:rsidRPr="0014512A">
              <w:t>Net financial liabilities to GSP (%)</w:t>
            </w:r>
          </w:p>
        </w:tc>
        <w:tc>
          <w:tcPr>
            <w:tcW w:w="936" w:type="pct"/>
            <w:tcBorders>
              <w:top w:val="nil"/>
              <w:bottom w:val="single" w:sz="4" w:space="0" w:color="auto"/>
            </w:tcBorders>
            <w:shd w:val="clear" w:color="auto" w:fill="auto"/>
          </w:tcPr>
          <w:p w14:paraId="719CCDCE" w14:textId="77777777" w:rsidR="00A60D4B" w:rsidRPr="0014512A" w:rsidRDefault="00A60D4B" w:rsidP="00A60D4B">
            <w:pPr>
              <w:pStyle w:val="Btablefigureunbold"/>
            </w:pPr>
            <w:r w:rsidRPr="0014512A">
              <w:t>30.6</w:t>
            </w:r>
          </w:p>
        </w:tc>
        <w:tc>
          <w:tcPr>
            <w:tcW w:w="620" w:type="pct"/>
            <w:tcBorders>
              <w:top w:val="nil"/>
              <w:bottom w:val="single" w:sz="4" w:space="0" w:color="auto"/>
            </w:tcBorders>
            <w:shd w:val="clear" w:color="auto" w:fill="auto"/>
          </w:tcPr>
          <w:p w14:paraId="279044DC" w14:textId="77777777" w:rsidR="00A60D4B" w:rsidRPr="0014512A" w:rsidRDefault="00A60D4B" w:rsidP="00A60D4B">
            <w:pPr>
              <w:pStyle w:val="Btablefigureunbold"/>
            </w:pPr>
            <w:r w:rsidRPr="0014512A">
              <w:t>25.8</w:t>
            </w:r>
          </w:p>
        </w:tc>
        <w:tc>
          <w:tcPr>
            <w:tcW w:w="621" w:type="pct"/>
            <w:tcBorders>
              <w:top w:val="nil"/>
              <w:bottom w:val="single" w:sz="4" w:space="0" w:color="auto"/>
            </w:tcBorders>
            <w:shd w:val="clear" w:color="auto" w:fill="auto"/>
          </w:tcPr>
          <w:p w14:paraId="64AE6A7C" w14:textId="77777777" w:rsidR="00A60D4B" w:rsidRPr="0014512A" w:rsidRDefault="00A60D4B" w:rsidP="00A60D4B">
            <w:pPr>
              <w:pStyle w:val="Btablefigureunbold"/>
            </w:pPr>
            <w:r w:rsidRPr="0014512A">
              <w:t>26.6</w:t>
            </w:r>
          </w:p>
        </w:tc>
        <w:tc>
          <w:tcPr>
            <w:tcW w:w="618" w:type="pct"/>
            <w:tcBorders>
              <w:top w:val="nil"/>
              <w:bottom w:val="single" w:sz="4" w:space="0" w:color="auto"/>
            </w:tcBorders>
            <w:shd w:val="clear" w:color="auto" w:fill="auto"/>
          </w:tcPr>
          <w:p w14:paraId="12380A97" w14:textId="77777777" w:rsidR="00A60D4B" w:rsidRPr="0014512A" w:rsidRDefault="00A60D4B" w:rsidP="00A60D4B">
            <w:pPr>
              <w:pStyle w:val="Btablefigureunbold"/>
            </w:pPr>
            <w:r w:rsidRPr="0014512A">
              <w:t>28.0</w:t>
            </w:r>
          </w:p>
        </w:tc>
        <w:tc>
          <w:tcPr>
            <w:tcW w:w="615" w:type="pct"/>
            <w:tcBorders>
              <w:top w:val="nil"/>
              <w:bottom w:val="single" w:sz="4" w:space="0" w:color="auto"/>
            </w:tcBorders>
            <w:shd w:val="clear" w:color="auto" w:fill="auto"/>
          </w:tcPr>
          <w:p w14:paraId="0AFAF9C8" w14:textId="77777777" w:rsidR="00A60D4B" w:rsidRPr="00EA2043" w:rsidRDefault="00A60D4B" w:rsidP="00A60D4B">
            <w:pPr>
              <w:pStyle w:val="Btablefigureunbold"/>
            </w:pPr>
            <w:r w:rsidRPr="0014512A">
              <w:t>28.7</w:t>
            </w:r>
          </w:p>
        </w:tc>
      </w:tr>
    </w:tbl>
    <w:p w14:paraId="7FCEBD94" w14:textId="77777777" w:rsidR="00A60D4B" w:rsidRPr="00DC722D" w:rsidRDefault="00A60D4B" w:rsidP="00A60D4B">
      <w:pPr>
        <w:pStyle w:val="Bbodytext"/>
      </w:pPr>
      <w:r w:rsidRPr="00DC722D">
        <w:t xml:space="preserve">Net financial liabilities are forecast to increase each year compared to the 2020-21 Budget. </w:t>
      </w:r>
    </w:p>
    <w:p w14:paraId="394BDC97" w14:textId="77777777" w:rsidR="00A60D4B" w:rsidRPr="00DC722D" w:rsidRDefault="00A60D4B" w:rsidP="00A60D4B">
      <w:pPr>
        <w:pStyle w:val="Bbodytext"/>
      </w:pPr>
      <w:r w:rsidRPr="00DC722D">
        <w:t xml:space="preserve">The 2020-21 Interim Outcome is higher than the 2020-21 Budget by $4 billion largely due to an increase in the superannuation liability </w:t>
      </w:r>
      <w:r>
        <w:t>resulting from</w:t>
      </w:r>
      <w:r w:rsidRPr="00DC722D">
        <w:t xml:space="preserve"> a change in the discount rate for the actual outcome compared to the </w:t>
      </w:r>
      <w:r>
        <w:t>rate used for the</w:t>
      </w:r>
      <w:r w:rsidRPr="00DC722D">
        <w:t xml:space="preserve"> 2020-21 Budget </w:t>
      </w:r>
      <w:r>
        <w:t>estimates</w:t>
      </w:r>
      <w:r w:rsidRPr="00DC722D">
        <w:t>. The 2020</w:t>
      </w:r>
      <w:r>
        <w:noBreakHyphen/>
      </w:r>
      <w:r w:rsidRPr="00DC722D">
        <w:t>21 Budget used a long-term discount rate assumption of 5 per cent compared to the actual rate applied at 30 June 2021 of 2.26 per cent.</w:t>
      </w:r>
    </w:p>
    <w:p w14:paraId="2E5A5038" w14:textId="77777777" w:rsidR="00A60D4B" w:rsidRPr="00DC722D" w:rsidRDefault="00A60D4B" w:rsidP="00A60D4B">
      <w:pPr>
        <w:pStyle w:val="Bbodytext"/>
      </w:pPr>
      <w:r w:rsidRPr="00DC722D">
        <w:t>Across the budget and forward estimates</w:t>
      </w:r>
      <w:r>
        <w:t xml:space="preserve"> period</w:t>
      </w:r>
      <w:r w:rsidRPr="00DC722D">
        <w:t xml:space="preserve">, the increase in net financial liabilities largely reflects </w:t>
      </w:r>
      <w:r>
        <w:t>forecast growth in the superannuation liability.</w:t>
      </w:r>
    </w:p>
    <w:p w14:paraId="59C43322" w14:textId="0C2ABB49" w:rsidR="00A60D4B" w:rsidRPr="00EA2043" w:rsidRDefault="00A60D4B" w:rsidP="00A60D4B">
      <w:pPr>
        <w:pStyle w:val="Caption"/>
      </w:pPr>
      <w:r w:rsidRPr="00EA2043">
        <w:lastRenderedPageBreak/>
        <w:t xml:space="preserve">Table </w:t>
      </w:r>
      <w:r w:rsidR="00FB4E5C">
        <w:fldChar w:fldCharType="begin"/>
      </w:r>
      <w:r w:rsidR="00FB4E5C">
        <w:instrText xml:space="preserve"> STYLEREF 2 \s </w:instrText>
      </w:r>
      <w:r w:rsidR="00FB4E5C">
        <w:fldChar w:fldCharType="separate"/>
      </w:r>
      <w:r w:rsidR="00F12A80">
        <w:rPr>
          <w:noProof/>
        </w:rPr>
        <w:t>3.8</w:t>
      </w:r>
      <w:r w:rsidR="00FB4E5C">
        <w:rPr>
          <w:noProof/>
        </w:rPr>
        <w:fldChar w:fldCharType="end"/>
      </w:r>
      <w:r w:rsidRPr="00EA2043">
        <w:t>.</w:t>
      </w:r>
      <w:r w:rsidR="00FB4E5C">
        <w:fldChar w:fldCharType="begin"/>
      </w:r>
      <w:r w:rsidR="00FB4E5C">
        <w:instrText xml:space="preserve"> SEQ Table \* ARABIC \s 2 </w:instrText>
      </w:r>
      <w:r w:rsidR="00FB4E5C">
        <w:fldChar w:fldCharType="separate"/>
      </w:r>
      <w:r w:rsidR="00F12A80">
        <w:rPr>
          <w:noProof/>
        </w:rPr>
        <w:t>3</w:t>
      </w:r>
      <w:r w:rsidR="00FB4E5C">
        <w:rPr>
          <w:noProof/>
        </w:rPr>
        <w:fldChar w:fldCharType="end"/>
      </w:r>
      <w:r w:rsidRPr="00EA2043">
        <w:t>: Net worth</w:t>
      </w:r>
    </w:p>
    <w:tbl>
      <w:tblPr>
        <w:tblW w:w="9100" w:type="dxa"/>
        <w:jc w:val="center"/>
        <w:tblBorders>
          <w:top w:val="single" w:sz="4" w:space="0" w:color="auto"/>
          <w:bottom w:val="single" w:sz="4" w:space="0" w:color="auto"/>
        </w:tblBorders>
        <w:tblLook w:val="01E0" w:firstRow="1" w:lastRow="1" w:firstColumn="1" w:lastColumn="1" w:noHBand="0" w:noVBand="0"/>
      </w:tblPr>
      <w:tblGrid>
        <w:gridCol w:w="2738"/>
        <w:gridCol w:w="1682"/>
        <w:gridCol w:w="1167"/>
        <w:gridCol w:w="1171"/>
        <w:gridCol w:w="1171"/>
        <w:gridCol w:w="1171"/>
      </w:tblGrid>
      <w:tr w:rsidR="00A60D4B" w:rsidRPr="00EA2043" w14:paraId="3837EB5C" w14:textId="77777777" w:rsidTr="00A60D4B">
        <w:trPr>
          <w:trHeight w:val="265"/>
          <w:tblHeader/>
          <w:jc w:val="center"/>
        </w:trPr>
        <w:tc>
          <w:tcPr>
            <w:tcW w:w="1504" w:type="pct"/>
            <w:tcBorders>
              <w:top w:val="single" w:sz="4" w:space="0" w:color="auto"/>
              <w:bottom w:val="single" w:sz="4" w:space="0" w:color="auto"/>
            </w:tcBorders>
            <w:shd w:val="clear" w:color="auto" w:fill="472D8C"/>
          </w:tcPr>
          <w:p w14:paraId="56EA816E" w14:textId="77777777" w:rsidR="00A60D4B" w:rsidRPr="00EA2043" w:rsidRDefault="00A60D4B" w:rsidP="00A60D4B">
            <w:pPr>
              <w:keepNext/>
              <w:keepLines/>
              <w:spacing w:after="0" w:line="240" w:lineRule="auto"/>
              <w:jc w:val="right"/>
              <w:rPr>
                <w:rFonts w:ascii="Calibri" w:eastAsia="Times New Roman" w:hAnsi="Calibri" w:cs="Calibri"/>
                <w:color w:val="FFFFFF" w:themeColor="background1"/>
                <w:sz w:val="12"/>
                <w:szCs w:val="20"/>
              </w:rPr>
            </w:pPr>
          </w:p>
        </w:tc>
        <w:tc>
          <w:tcPr>
            <w:tcW w:w="924" w:type="pct"/>
            <w:tcBorders>
              <w:top w:val="single" w:sz="4" w:space="0" w:color="auto"/>
              <w:bottom w:val="single" w:sz="4" w:space="0" w:color="auto"/>
            </w:tcBorders>
            <w:shd w:val="clear" w:color="auto" w:fill="472D8C"/>
          </w:tcPr>
          <w:p w14:paraId="7D74503E" w14:textId="77777777" w:rsidR="00A60D4B" w:rsidRPr="00EA2043" w:rsidRDefault="00A60D4B" w:rsidP="00A60D4B">
            <w:pPr>
              <w:pStyle w:val="BTableHeadingRowRightAligned"/>
              <w:rPr>
                <w:color w:val="FFFFFF" w:themeColor="background1"/>
              </w:rPr>
            </w:pPr>
            <w:r w:rsidRPr="00EA2043">
              <w:rPr>
                <w:color w:val="FFFFFF" w:themeColor="background1"/>
              </w:rPr>
              <w:t>2020-21</w:t>
            </w:r>
          </w:p>
          <w:p w14:paraId="72376151" w14:textId="77777777" w:rsidR="00A60D4B" w:rsidRPr="00EA2043" w:rsidRDefault="00A60D4B" w:rsidP="00A60D4B">
            <w:pPr>
              <w:pStyle w:val="BTableHeadingRowRightAligned"/>
              <w:rPr>
                <w:color w:val="FFFFFF" w:themeColor="background1"/>
              </w:rPr>
            </w:pPr>
            <w:r w:rsidRPr="00EA2043">
              <w:rPr>
                <w:color w:val="FFFFFF" w:themeColor="background1"/>
              </w:rPr>
              <w:t>Interim</w:t>
            </w:r>
          </w:p>
          <w:p w14:paraId="519D57F0" w14:textId="77777777" w:rsidR="00A60D4B" w:rsidRPr="00EA2043" w:rsidRDefault="00A60D4B" w:rsidP="00A60D4B">
            <w:pPr>
              <w:pStyle w:val="BTableHeadingRowRightAligned"/>
              <w:rPr>
                <w:color w:val="FFFFFF" w:themeColor="background1"/>
              </w:rPr>
            </w:pPr>
            <w:r w:rsidRPr="00EA2043">
              <w:rPr>
                <w:color w:val="FFFFFF" w:themeColor="background1"/>
              </w:rPr>
              <w:t>Outcome</w:t>
            </w:r>
          </w:p>
          <w:p w14:paraId="1C43613D" w14:textId="77777777" w:rsidR="00A60D4B" w:rsidRPr="00EA2043" w:rsidRDefault="00A60D4B" w:rsidP="00A60D4B">
            <w:pPr>
              <w:pStyle w:val="BTableHeadingRowRightAligned"/>
              <w:rPr>
                <w:rFonts w:eastAsia="Times New Roman" w:cs="Times New Roman"/>
                <w:color w:val="FFFFFF" w:themeColor="background1"/>
                <w:szCs w:val="20"/>
              </w:rPr>
            </w:pPr>
            <w:r w:rsidRPr="00EA2043">
              <w:rPr>
                <w:color w:val="FFFFFF" w:themeColor="background1"/>
              </w:rPr>
              <w:t>$m</w:t>
            </w:r>
          </w:p>
        </w:tc>
        <w:tc>
          <w:tcPr>
            <w:tcW w:w="641" w:type="pct"/>
            <w:tcBorders>
              <w:top w:val="single" w:sz="4" w:space="0" w:color="auto"/>
              <w:bottom w:val="single" w:sz="4" w:space="0" w:color="auto"/>
            </w:tcBorders>
            <w:shd w:val="clear" w:color="auto" w:fill="472D8C"/>
          </w:tcPr>
          <w:p w14:paraId="5FF62CD6" w14:textId="77777777" w:rsidR="00A60D4B" w:rsidRPr="00EA2043" w:rsidRDefault="00A60D4B" w:rsidP="00A60D4B">
            <w:pPr>
              <w:pStyle w:val="BTableHeadingRowRightAligned"/>
              <w:rPr>
                <w:color w:val="FFFFFF" w:themeColor="background1"/>
              </w:rPr>
            </w:pPr>
            <w:r w:rsidRPr="00EA2043">
              <w:rPr>
                <w:color w:val="FFFFFF" w:themeColor="background1"/>
              </w:rPr>
              <w:t>2021-22 Budget</w:t>
            </w:r>
          </w:p>
          <w:p w14:paraId="0222F91E" w14:textId="77777777" w:rsidR="00A60D4B" w:rsidRPr="00EA2043" w:rsidRDefault="00A60D4B" w:rsidP="00A60D4B">
            <w:pPr>
              <w:pStyle w:val="BTableHeadingRowRightAligned"/>
              <w:rPr>
                <w:color w:val="FFFFFF" w:themeColor="background1"/>
              </w:rPr>
            </w:pPr>
          </w:p>
          <w:p w14:paraId="12BBB28B" w14:textId="77777777" w:rsidR="00A60D4B" w:rsidRPr="00EA2043" w:rsidRDefault="00A60D4B" w:rsidP="00A60D4B">
            <w:pPr>
              <w:pStyle w:val="BTableHeadingRowRightAligned"/>
              <w:rPr>
                <w:rFonts w:eastAsia="Times New Roman" w:cs="Times New Roman"/>
                <w:color w:val="FFFFFF" w:themeColor="background1"/>
                <w:szCs w:val="20"/>
              </w:rPr>
            </w:pPr>
            <w:r w:rsidRPr="00EA2043">
              <w:rPr>
                <w:color w:val="FFFFFF" w:themeColor="background1"/>
              </w:rPr>
              <w:t>$m</w:t>
            </w:r>
          </w:p>
        </w:tc>
        <w:tc>
          <w:tcPr>
            <w:tcW w:w="643" w:type="pct"/>
            <w:tcBorders>
              <w:top w:val="single" w:sz="4" w:space="0" w:color="auto"/>
              <w:bottom w:val="single" w:sz="4" w:space="0" w:color="auto"/>
            </w:tcBorders>
            <w:shd w:val="clear" w:color="auto" w:fill="472D8C"/>
          </w:tcPr>
          <w:p w14:paraId="45BD2C48" w14:textId="77777777" w:rsidR="00A60D4B" w:rsidRPr="00EA2043" w:rsidRDefault="00A60D4B" w:rsidP="00A60D4B">
            <w:pPr>
              <w:pStyle w:val="BTableHeadingRowRightAligned"/>
              <w:rPr>
                <w:color w:val="FFFFFF" w:themeColor="background1"/>
              </w:rPr>
            </w:pPr>
            <w:r w:rsidRPr="00EA2043">
              <w:rPr>
                <w:color w:val="FFFFFF" w:themeColor="background1"/>
              </w:rPr>
              <w:t>2022-23 Estimate</w:t>
            </w:r>
          </w:p>
          <w:p w14:paraId="05588FF7" w14:textId="77777777" w:rsidR="00A60D4B" w:rsidRPr="00EA2043" w:rsidRDefault="00A60D4B" w:rsidP="00A60D4B">
            <w:pPr>
              <w:pStyle w:val="BTableHeadingRowRightAligned"/>
              <w:rPr>
                <w:color w:val="FFFFFF" w:themeColor="background1"/>
              </w:rPr>
            </w:pPr>
          </w:p>
          <w:p w14:paraId="3197A6FC" w14:textId="77777777" w:rsidR="00A60D4B" w:rsidRPr="00EA2043" w:rsidRDefault="00A60D4B" w:rsidP="00A60D4B">
            <w:pPr>
              <w:pStyle w:val="BTableHeadingRowRightAligned"/>
              <w:rPr>
                <w:rFonts w:eastAsia="Times New Roman" w:cs="Times New Roman"/>
                <w:color w:val="FFFFFF" w:themeColor="background1"/>
                <w:szCs w:val="20"/>
              </w:rPr>
            </w:pPr>
            <w:r w:rsidRPr="00EA2043">
              <w:rPr>
                <w:color w:val="FFFFFF" w:themeColor="background1"/>
              </w:rPr>
              <w:t>$m</w:t>
            </w:r>
          </w:p>
        </w:tc>
        <w:tc>
          <w:tcPr>
            <w:tcW w:w="643" w:type="pct"/>
            <w:tcBorders>
              <w:top w:val="single" w:sz="4" w:space="0" w:color="auto"/>
              <w:bottom w:val="single" w:sz="4" w:space="0" w:color="auto"/>
            </w:tcBorders>
            <w:shd w:val="clear" w:color="auto" w:fill="472D8C"/>
          </w:tcPr>
          <w:p w14:paraId="21EDEA7D" w14:textId="77777777" w:rsidR="00A60D4B" w:rsidRPr="00EA2043" w:rsidRDefault="00A60D4B" w:rsidP="00A60D4B">
            <w:pPr>
              <w:pStyle w:val="BTableHeadingRowRightAligned"/>
              <w:rPr>
                <w:color w:val="FFFFFF" w:themeColor="background1"/>
              </w:rPr>
            </w:pPr>
            <w:r w:rsidRPr="00EA2043">
              <w:rPr>
                <w:color w:val="FFFFFF" w:themeColor="background1"/>
              </w:rPr>
              <w:t>2023-24 Estimate</w:t>
            </w:r>
          </w:p>
          <w:p w14:paraId="3F498830" w14:textId="77777777" w:rsidR="00A60D4B" w:rsidRPr="00EA2043" w:rsidRDefault="00A60D4B" w:rsidP="00A60D4B">
            <w:pPr>
              <w:pStyle w:val="BTableHeadingRowRightAligned"/>
              <w:rPr>
                <w:color w:val="FFFFFF" w:themeColor="background1"/>
              </w:rPr>
            </w:pPr>
          </w:p>
          <w:p w14:paraId="02FA7DEC" w14:textId="77777777" w:rsidR="00A60D4B" w:rsidRPr="00EA2043" w:rsidRDefault="00A60D4B" w:rsidP="00A60D4B">
            <w:pPr>
              <w:pStyle w:val="BTableHeadingRowRightAligned"/>
              <w:rPr>
                <w:rFonts w:eastAsia="Times New Roman" w:cs="Times New Roman"/>
                <w:color w:val="FFFFFF" w:themeColor="background1"/>
                <w:szCs w:val="20"/>
              </w:rPr>
            </w:pPr>
            <w:r w:rsidRPr="00EA2043">
              <w:rPr>
                <w:color w:val="FFFFFF" w:themeColor="background1"/>
              </w:rPr>
              <w:t>$m</w:t>
            </w:r>
          </w:p>
        </w:tc>
        <w:tc>
          <w:tcPr>
            <w:tcW w:w="643" w:type="pct"/>
            <w:tcBorders>
              <w:top w:val="single" w:sz="4" w:space="0" w:color="auto"/>
              <w:bottom w:val="single" w:sz="4" w:space="0" w:color="auto"/>
            </w:tcBorders>
            <w:shd w:val="clear" w:color="auto" w:fill="472D8C"/>
          </w:tcPr>
          <w:p w14:paraId="5EBD6A19" w14:textId="77777777" w:rsidR="00A60D4B" w:rsidRPr="00EA2043" w:rsidRDefault="00A60D4B" w:rsidP="00A60D4B">
            <w:pPr>
              <w:pStyle w:val="BTableHeadingRowRightAligned"/>
              <w:rPr>
                <w:color w:val="FFFFFF" w:themeColor="background1"/>
              </w:rPr>
            </w:pPr>
            <w:r w:rsidRPr="00EA2043">
              <w:rPr>
                <w:color w:val="FFFFFF" w:themeColor="background1"/>
              </w:rPr>
              <w:t>2024-25 Estimate</w:t>
            </w:r>
          </w:p>
          <w:p w14:paraId="239C3719" w14:textId="77777777" w:rsidR="00A60D4B" w:rsidRPr="00EA2043" w:rsidRDefault="00A60D4B" w:rsidP="00A60D4B">
            <w:pPr>
              <w:pStyle w:val="BTableHeadingRowRightAligned"/>
              <w:rPr>
                <w:color w:val="FFFFFF" w:themeColor="background1"/>
              </w:rPr>
            </w:pPr>
          </w:p>
          <w:p w14:paraId="3AFA87C9" w14:textId="77777777" w:rsidR="00A60D4B" w:rsidRPr="00EA2043" w:rsidRDefault="00A60D4B" w:rsidP="00A60D4B">
            <w:pPr>
              <w:pStyle w:val="BTableHeadingRowRightAligned"/>
              <w:rPr>
                <w:rFonts w:eastAsia="Times New Roman" w:cs="Times New Roman"/>
                <w:color w:val="FFFFFF" w:themeColor="background1"/>
                <w:szCs w:val="20"/>
              </w:rPr>
            </w:pPr>
            <w:r w:rsidRPr="00EA2043">
              <w:rPr>
                <w:color w:val="FFFFFF" w:themeColor="background1"/>
              </w:rPr>
              <w:t>$m</w:t>
            </w:r>
          </w:p>
        </w:tc>
      </w:tr>
      <w:tr w:rsidR="00A60D4B" w:rsidRPr="00EA2043" w14:paraId="08B3809A" w14:textId="77777777" w:rsidTr="00A60D4B">
        <w:trPr>
          <w:trHeight w:val="265"/>
          <w:jc w:val="center"/>
        </w:trPr>
        <w:tc>
          <w:tcPr>
            <w:tcW w:w="1504" w:type="pct"/>
            <w:tcBorders>
              <w:top w:val="nil"/>
              <w:bottom w:val="nil"/>
            </w:tcBorders>
            <w:shd w:val="clear" w:color="auto" w:fill="auto"/>
          </w:tcPr>
          <w:p w14:paraId="544CEAE2" w14:textId="77777777" w:rsidR="00A60D4B" w:rsidRPr="00EA2043" w:rsidRDefault="00A60D4B" w:rsidP="00A60D4B">
            <w:pPr>
              <w:keepNext/>
              <w:keepLines/>
              <w:spacing w:after="0" w:line="240" w:lineRule="auto"/>
              <w:ind w:left="227" w:hanging="227"/>
              <w:rPr>
                <w:rFonts w:ascii="Calibri" w:eastAsia="Times New Roman" w:hAnsi="Calibri" w:cs="Times New Roman"/>
                <w:bCs/>
                <w:sz w:val="20"/>
                <w:szCs w:val="20"/>
                <w:lang w:eastAsia="en-AU"/>
              </w:rPr>
            </w:pPr>
            <w:r w:rsidRPr="00EA2043">
              <w:rPr>
                <w:rFonts w:ascii="Calibri" w:eastAsia="Times New Roman" w:hAnsi="Calibri" w:cs="Times New Roman"/>
                <w:bCs/>
                <w:sz w:val="20"/>
                <w:szCs w:val="20"/>
                <w:lang w:eastAsia="en-AU"/>
              </w:rPr>
              <w:t>2020-21 Budget</w:t>
            </w:r>
          </w:p>
        </w:tc>
        <w:tc>
          <w:tcPr>
            <w:tcW w:w="924" w:type="pct"/>
            <w:tcBorders>
              <w:top w:val="nil"/>
              <w:bottom w:val="nil"/>
            </w:tcBorders>
            <w:shd w:val="clear" w:color="auto" w:fill="auto"/>
            <w:vAlign w:val="bottom"/>
          </w:tcPr>
          <w:p w14:paraId="25DBBE5D" w14:textId="77777777" w:rsidR="00A60D4B" w:rsidRPr="00EA2043" w:rsidRDefault="00A60D4B" w:rsidP="00A60D4B">
            <w:pPr>
              <w:pStyle w:val="Btablefigureunbold"/>
            </w:pPr>
            <w:r>
              <w:t>16,628.9</w:t>
            </w:r>
          </w:p>
        </w:tc>
        <w:tc>
          <w:tcPr>
            <w:tcW w:w="641" w:type="pct"/>
            <w:tcBorders>
              <w:top w:val="nil"/>
              <w:bottom w:val="nil"/>
            </w:tcBorders>
            <w:shd w:val="clear" w:color="auto" w:fill="auto"/>
            <w:vAlign w:val="bottom"/>
          </w:tcPr>
          <w:p w14:paraId="7A22BC97" w14:textId="77777777" w:rsidR="00A60D4B" w:rsidRPr="00EA2043" w:rsidRDefault="00A60D4B" w:rsidP="00A60D4B">
            <w:pPr>
              <w:pStyle w:val="Btablefigureunbold"/>
            </w:pPr>
            <w:r w:rsidRPr="00EA2043">
              <w:t>15,971.4</w:t>
            </w:r>
          </w:p>
        </w:tc>
        <w:tc>
          <w:tcPr>
            <w:tcW w:w="643" w:type="pct"/>
            <w:tcBorders>
              <w:top w:val="nil"/>
              <w:bottom w:val="nil"/>
            </w:tcBorders>
            <w:shd w:val="clear" w:color="auto" w:fill="auto"/>
            <w:vAlign w:val="bottom"/>
          </w:tcPr>
          <w:p w14:paraId="21A9DFA6" w14:textId="77777777" w:rsidR="00A60D4B" w:rsidRPr="00EA2043" w:rsidRDefault="00A60D4B" w:rsidP="00A60D4B">
            <w:pPr>
              <w:pStyle w:val="Btablefigureunbold"/>
            </w:pPr>
            <w:r w:rsidRPr="00EA2043">
              <w:t>15,343.1</w:t>
            </w:r>
          </w:p>
        </w:tc>
        <w:tc>
          <w:tcPr>
            <w:tcW w:w="643" w:type="pct"/>
            <w:tcBorders>
              <w:top w:val="nil"/>
              <w:bottom w:val="nil"/>
            </w:tcBorders>
            <w:shd w:val="clear" w:color="auto" w:fill="auto"/>
            <w:vAlign w:val="bottom"/>
          </w:tcPr>
          <w:p w14:paraId="0CF5A146" w14:textId="77777777" w:rsidR="00A60D4B" w:rsidRPr="00EA2043" w:rsidRDefault="00A60D4B" w:rsidP="00A60D4B">
            <w:pPr>
              <w:pStyle w:val="Btablefigureunbold"/>
            </w:pPr>
            <w:r w:rsidRPr="00EA2043">
              <w:t>14,837.2</w:t>
            </w:r>
          </w:p>
        </w:tc>
        <w:tc>
          <w:tcPr>
            <w:tcW w:w="643" w:type="pct"/>
            <w:tcBorders>
              <w:top w:val="nil"/>
              <w:bottom w:val="nil"/>
            </w:tcBorders>
            <w:vAlign w:val="bottom"/>
          </w:tcPr>
          <w:p w14:paraId="4638B639" w14:textId="77777777" w:rsidR="00A60D4B" w:rsidRPr="00EA2043" w:rsidRDefault="00A60D4B" w:rsidP="00A60D4B">
            <w:pPr>
              <w:pStyle w:val="Btablefigureunbold"/>
            </w:pPr>
            <w:r>
              <w:t>na</w:t>
            </w:r>
          </w:p>
        </w:tc>
      </w:tr>
      <w:tr w:rsidR="00A60D4B" w:rsidRPr="00EA2043" w14:paraId="085B86E5" w14:textId="77777777" w:rsidTr="00A60D4B">
        <w:trPr>
          <w:trHeight w:val="265"/>
          <w:jc w:val="center"/>
        </w:trPr>
        <w:tc>
          <w:tcPr>
            <w:tcW w:w="1504" w:type="pct"/>
            <w:tcBorders>
              <w:top w:val="nil"/>
              <w:bottom w:val="nil"/>
            </w:tcBorders>
            <w:shd w:val="clear" w:color="auto" w:fill="auto"/>
          </w:tcPr>
          <w:p w14:paraId="695949E4" w14:textId="77777777" w:rsidR="00A60D4B" w:rsidRPr="00EA2043" w:rsidRDefault="00A60D4B" w:rsidP="00A60D4B">
            <w:pPr>
              <w:keepNext/>
              <w:keepLines/>
              <w:spacing w:after="0" w:line="240" w:lineRule="auto"/>
              <w:ind w:left="227" w:hanging="227"/>
              <w:rPr>
                <w:rFonts w:ascii="Calibri" w:eastAsia="Times New Roman" w:hAnsi="Calibri" w:cs="Times New Roman"/>
                <w:bCs/>
                <w:sz w:val="20"/>
                <w:szCs w:val="20"/>
                <w:lang w:eastAsia="en-AU"/>
              </w:rPr>
            </w:pPr>
            <w:r w:rsidRPr="00EA2043">
              <w:rPr>
                <w:rFonts w:ascii="Calibri" w:eastAsia="Times New Roman" w:hAnsi="Calibri" w:cs="Times New Roman"/>
                <w:bCs/>
                <w:sz w:val="20"/>
                <w:szCs w:val="20"/>
                <w:lang w:eastAsia="en-AU"/>
              </w:rPr>
              <w:t>202</w:t>
            </w:r>
            <w:r>
              <w:rPr>
                <w:rFonts w:ascii="Calibri" w:eastAsia="Times New Roman" w:hAnsi="Calibri" w:cs="Times New Roman"/>
                <w:bCs/>
                <w:sz w:val="20"/>
                <w:szCs w:val="20"/>
                <w:lang w:eastAsia="en-AU"/>
              </w:rPr>
              <w:t>1</w:t>
            </w:r>
            <w:r w:rsidRPr="00EA2043">
              <w:rPr>
                <w:rFonts w:ascii="Calibri" w:eastAsia="Times New Roman" w:hAnsi="Calibri" w:cs="Times New Roman"/>
                <w:bCs/>
                <w:sz w:val="20"/>
                <w:szCs w:val="20"/>
                <w:lang w:eastAsia="en-AU"/>
              </w:rPr>
              <w:t>-2</w:t>
            </w:r>
            <w:r>
              <w:rPr>
                <w:rFonts w:ascii="Calibri" w:eastAsia="Times New Roman" w:hAnsi="Calibri" w:cs="Times New Roman"/>
                <w:bCs/>
                <w:sz w:val="20"/>
                <w:szCs w:val="20"/>
                <w:lang w:eastAsia="en-AU"/>
              </w:rPr>
              <w:t>2</w:t>
            </w:r>
            <w:r w:rsidRPr="00EA2043">
              <w:rPr>
                <w:rFonts w:ascii="Calibri" w:eastAsia="Times New Roman" w:hAnsi="Calibri" w:cs="Times New Roman"/>
                <w:bCs/>
                <w:sz w:val="20"/>
                <w:szCs w:val="20"/>
                <w:lang w:eastAsia="en-AU"/>
              </w:rPr>
              <w:t xml:space="preserve"> Budget</w:t>
            </w:r>
          </w:p>
        </w:tc>
        <w:tc>
          <w:tcPr>
            <w:tcW w:w="924" w:type="pct"/>
            <w:tcBorders>
              <w:top w:val="nil"/>
              <w:bottom w:val="nil"/>
            </w:tcBorders>
            <w:shd w:val="clear" w:color="auto" w:fill="auto"/>
            <w:vAlign w:val="bottom"/>
          </w:tcPr>
          <w:p w14:paraId="2174A7A4" w14:textId="77777777" w:rsidR="00A60D4B" w:rsidRPr="00EA2043" w:rsidRDefault="00A60D4B" w:rsidP="00A60D4B">
            <w:pPr>
              <w:pStyle w:val="Btablefigureunbold"/>
            </w:pPr>
            <w:r>
              <w:t>13,693.0</w:t>
            </w:r>
          </w:p>
        </w:tc>
        <w:tc>
          <w:tcPr>
            <w:tcW w:w="641" w:type="pct"/>
            <w:tcBorders>
              <w:top w:val="nil"/>
              <w:bottom w:val="nil"/>
            </w:tcBorders>
            <w:shd w:val="clear" w:color="auto" w:fill="auto"/>
            <w:vAlign w:val="bottom"/>
          </w:tcPr>
          <w:p w14:paraId="13500311" w14:textId="77777777" w:rsidR="00A60D4B" w:rsidRPr="00EA2043" w:rsidRDefault="00A60D4B" w:rsidP="00A60D4B">
            <w:pPr>
              <w:pStyle w:val="Btablefigureunbold"/>
            </w:pPr>
            <w:r>
              <w:t>16,055.6</w:t>
            </w:r>
          </w:p>
        </w:tc>
        <w:tc>
          <w:tcPr>
            <w:tcW w:w="643" w:type="pct"/>
            <w:tcBorders>
              <w:top w:val="nil"/>
              <w:bottom w:val="nil"/>
            </w:tcBorders>
            <w:shd w:val="clear" w:color="auto" w:fill="auto"/>
            <w:vAlign w:val="bottom"/>
          </w:tcPr>
          <w:p w14:paraId="7F925766" w14:textId="77777777" w:rsidR="00A60D4B" w:rsidRPr="00EA2043" w:rsidRDefault="00A60D4B" w:rsidP="00A60D4B">
            <w:pPr>
              <w:pStyle w:val="Btablefigureunbold"/>
            </w:pPr>
            <w:r>
              <w:t>15,404.8</w:t>
            </w:r>
          </w:p>
        </w:tc>
        <w:tc>
          <w:tcPr>
            <w:tcW w:w="643" w:type="pct"/>
            <w:tcBorders>
              <w:top w:val="nil"/>
              <w:bottom w:val="nil"/>
            </w:tcBorders>
            <w:shd w:val="clear" w:color="auto" w:fill="auto"/>
            <w:vAlign w:val="bottom"/>
          </w:tcPr>
          <w:p w14:paraId="2C2FD50C" w14:textId="77777777" w:rsidR="00A60D4B" w:rsidRPr="00EA2043" w:rsidRDefault="00A60D4B" w:rsidP="00A60D4B">
            <w:pPr>
              <w:pStyle w:val="Btablefigureunbold"/>
            </w:pPr>
            <w:r>
              <w:t>15,007.1</w:t>
            </w:r>
          </w:p>
        </w:tc>
        <w:tc>
          <w:tcPr>
            <w:tcW w:w="643" w:type="pct"/>
            <w:tcBorders>
              <w:top w:val="nil"/>
              <w:bottom w:val="nil"/>
            </w:tcBorders>
            <w:vAlign w:val="bottom"/>
          </w:tcPr>
          <w:p w14:paraId="420D03E7" w14:textId="77777777" w:rsidR="00A60D4B" w:rsidRPr="00EA2043" w:rsidRDefault="00A60D4B" w:rsidP="00A60D4B">
            <w:pPr>
              <w:pStyle w:val="Btablefigureunbold"/>
            </w:pPr>
            <w:r>
              <w:t>14,490.1</w:t>
            </w:r>
          </w:p>
        </w:tc>
      </w:tr>
      <w:tr w:rsidR="00A60D4B" w:rsidRPr="006C6A78" w14:paraId="50A2881F" w14:textId="77777777" w:rsidTr="00A60D4B">
        <w:trPr>
          <w:trHeight w:val="265"/>
          <w:jc w:val="center"/>
        </w:trPr>
        <w:tc>
          <w:tcPr>
            <w:tcW w:w="1504" w:type="pct"/>
            <w:tcBorders>
              <w:top w:val="nil"/>
              <w:bottom w:val="single" w:sz="4" w:space="0" w:color="auto"/>
            </w:tcBorders>
            <w:shd w:val="clear" w:color="auto" w:fill="auto"/>
          </w:tcPr>
          <w:p w14:paraId="3A52A7BA" w14:textId="77777777" w:rsidR="00A60D4B" w:rsidRPr="004C4B17" w:rsidRDefault="00A60D4B" w:rsidP="00A60D4B">
            <w:pPr>
              <w:keepNext/>
              <w:keepLines/>
              <w:spacing w:after="0" w:line="240" w:lineRule="auto"/>
              <w:ind w:left="227" w:hanging="227"/>
              <w:rPr>
                <w:rFonts w:ascii="Calibri" w:eastAsia="Times New Roman" w:hAnsi="Calibri" w:cs="Times New Roman"/>
                <w:bCs/>
                <w:sz w:val="20"/>
                <w:szCs w:val="20"/>
                <w:lang w:eastAsia="en-AU"/>
              </w:rPr>
            </w:pPr>
            <w:r w:rsidRPr="004C4B17">
              <w:rPr>
                <w:rFonts w:ascii="Calibri" w:eastAsia="Times New Roman" w:hAnsi="Calibri" w:cs="Times New Roman"/>
                <w:bCs/>
                <w:sz w:val="20"/>
                <w:szCs w:val="20"/>
                <w:lang w:eastAsia="en-AU"/>
              </w:rPr>
              <w:t>Net worth to GSP (%)</w:t>
            </w:r>
          </w:p>
        </w:tc>
        <w:tc>
          <w:tcPr>
            <w:tcW w:w="924" w:type="pct"/>
            <w:tcBorders>
              <w:top w:val="nil"/>
              <w:bottom w:val="single" w:sz="4" w:space="0" w:color="auto"/>
            </w:tcBorders>
            <w:shd w:val="clear" w:color="auto" w:fill="auto"/>
            <w:vAlign w:val="bottom"/>
          </w:tcPr>
          <w:p w14:paraId="0FF96EAE" w14:textId="77777777" w:rsidR="00A60D4B" w:rsidRPr="004C4B17" w:rsidRDefault="00A60D4B" w:rsidP="00A60D4B">
            <w:pPr>
              <w:pStyle w:val="Btablefigureunbold"/>
            </w:pPr>
            <w:r w:rsidRPr="004C4B17">
              <w:t>31.5</w:t>
            </w:r>
          </w:p>
        </w:tc>
        <w:tc>
          <w:tcPr>
            <w:tcW w:w="641" w:type="pct"/>
            <w:tcBorders>
              <w:top w:val="nil"/>
              <w:bottom w:val="single" w:sz="4" w:space="0" w:color="auto"/>
            </w:tcBorders>
            <w:shd w:val="clear" w:color="auto" w:fill="auto"/>
            <w:vAlign w:val="bottom"/>
          </w:tcPr>
          <w:p w14:paraId="6F17B019" w14:textId="77777777" w:rsidR="00A60D4B" w:rsidRPr="004C4B17" w:rsidRDefault="00A60D4B" w:rsidP="00A60D4B">
            <w:pPr>
              <w:pStyle w:val="Btablefigureunbold"/>
            </w:pPr>
            <w:r w:rsidRPr="004C4B17">
              <w:t>35.3</w:t>
            </w:r>
          </w:p>
        </w:tc>
        <w:tc>
          <w:tcPr>
            <w:tcW w:w="643" w:type="pct"/>
            <w:tcBorders>
              <w:top w:val="nil"/>
              <w:bottom w:val="single" w:sz="4" w:space="0" w:color="auto"/>
            </w:tcBorders>
            <w:shd w:val="clear" w:color="auto" w:fill="auto"/>
            <w:vAlign w:val="bottom"/>
          </w:tcPr>
          <w:p w14:paraId="7ACB9355" w14:textId="77777777" w:rsidR="00A60D4B" w:rsidRPr="004C4B17" w:rsidRDefault="00A60D4B" w:rsidP="00A60D4B">
            <w:pPr>
              <w:pStyle w:val="Btablefigureunbold"/>
            </w:pPr>
            <w:r w:rsidRPr="004C4B17">
              <w:t>32.3</w:t>
            </w:r>
          </w:p>
        </w:tc>
        <w:tc>
          <w:tcPr>
            <w:tcW w:w="643" w:type="pct"/>
            <w:tcBorders>
              <w:top w:val="nil"/>
              <w:bottom w:val="single" w:sz="4" w:space="0" w:color="auto"/>
            </w:tcBorders>
            <w:shd w:val="clear" w:color="auto" w:fill="auto"/>
            <w:vAlign w:val="bottom"/>
          </w:tcPr>
          <w:p w14:paraId="6EE02594" w14:textId="77777777" w:rsidR="00A60D4B" w:rsidRPr="004C4B17" w:rsidRDefault="00A60D4B" w:rsidP="00A60D4B">
            <w:pPr>
              <w:pStyle w:val="Btablefigureunbold"/>
            </w:pPr>
            <w:r w:rsidRPr="004C4B17">
              <w:t>30.0</w:t>
            </w:r>
          </w:p>
        </w:tc>
        <w:tc>
          <w:tcPr>
            <w:tcW w:w="643" w:type="pct"/>
            <w:tcBorders>
              <w:top w:val="nil"/>
              <w:bottom w:val="single" w:sz="4" w:space="0" w:color="auto"/>
            </w:tcBorders>
            <w:vAlign w:val="bottom"/>
          </w:tcPr>
          <w:p w14:paraId="280E88CA" w14:textId="77777777" w:rsidR="00A60D4B" w:rsidRPr="00EA2043" w:rsidRDefault="00A60D4B" w:rsidP="00A60D4B">
            <w:pPr>
              <w:pStyle w:val="Btablefigureunbold"/>
            </w:pPr>
            <w:r w:rsidRPr="004C4B17">
              <w:t>27.5</w:t>
            </w:r>
          </w:p>
        </w:tc>
      </w:tr>
    </w:tbl>
    <w:p w14:paraId="064CE5D5" w14:textId="77777777" w:rsidR="00A60D4B" w:rsidRPr="00553F2B" w:rsidRDefault="00A60D4B" w:rsidP="00A60D4B">
      <w:pPr>
        <w:pStyle w:val="Bbodytext"/>
      </w:pPr>
      <w:r w:rsidRPr="00553F2B">
        <w:t>The changes to net worth in each year compared to the 2020-21 Budget are mainly due to the impacts described above, partially offset by an increase in</w:t>
      </w:r>
      <w:r>
        <w:t xml:space="preserve"> </w:t>
      </w:r>
      <w:r w:rsidRPr="00553F2B">
        <w:t>Investments in Other Public Sector Entities.</w:t>
      </w:r>
    </w:p>
    <w:p w14:paraId="4F19C451" w14:textId="77777777" w:rsidR="00A60D4B" w:rsidRDefault="00A60D4B" w:rsidP="00A60D4B">
      <w:pPr>
        <w:pStyle w:val="Heading3"/>
      </w:pPr>
      <w:bookmarkStart w:id="139" w:name="_Toc63586706"/>
      <w:r>
        <w:t>Unfunded Superannuation Liability</w:t>
      </w:r>
      <w:bookmarkEnd w:id="139"/>
    </w:p>
    <w:p w14:paraId="2A8D2A26" w14:textId="77777777" w:rsidR="00A60D4B" w:rsidRDefault="00A60D4B" w:rsidP="00A60D4B">
      <w:pPr>
        <w:pStyle w:val="Heading4"/>
      </w:pPr>
      <w:r>
        <w:t>Defined Benefit Superannuation Liability</w:t>
      </w:r>
    </w:p>
    <w:p w14:paraId="0496BBAA" w14:textId="77777777" w:rsidR="00A60D4B" w:rsidRPr="00D70AB3" w:rsidRDefault="00A60D4B" w:rsidP="00A60D4B">
      <w:pPr>
        <w:pStyle w:val="Bbodytext"/>
      </w:pPr>
      <w:r w:rsidRPr="00D70AB3">
        <w:t xml:space="preserve">The Government recognises a defined benefit superannuation liability on behalf of past and current employees with membership in the Commonwealth’s closed defined benefit superannuation schemes − the Commonwealth Superannuation Scheme and the Public Sector Superannuation Scheme (the Schemes). </w:t>
      </w:r>
    </w:p>
    <w:p w14:paraId="25AA23A7" w14:textId="77777777" w:rsidR="00A60D4B" w:rsidRPr="00D70AB3" w:rsidRDefault="00A60D4B" w:rsidP="00A60D4B">
      <w:pPr>
        <w:pStyle w:val="Bbodytext"/>
      </w:pPr>
      <w:r>
        <w:t>Apart from employer productivity contributions, the employer-financed component of member entitlements for both schemes are unfunded and not required to be paid until members retire.</w:t>
      </w:r>
    </w:p>
    <w:p w14:paraId="0B268EAB" w14:textId="77777777" w:rsidR="00A60D4B" w:rsidRPr="00D70AB3" w:rsidRDefault="00A60D4B" w:rsidP="00A60D4B">
      <w:pPr>
        <w:pStyle w:val="Bbodytext"/>
      </w:pPr>
      <w:r w:rsidRPr="00D70AB3">
        <w:t xml:space="preserve">The following estimates are based on </w:t>
      </w:r>
      <w:r>
        <w:t xml:space="preserve">the most recent </w:t>
      </w:r>
      <w:r w:rsidRPr="00D70AB3">
        <w:t xml:space="preserve">actuarial review of the superannuation liability using the latest salary and membership data as </w:t>
      </w:r>
      <w:r>
        <w:t>of</w:t>
      </w:r>
      <w:r w:rsidRPr="00D70AB3">
        <w:t xml:space="preserve"> 30 June 20</w:t>
      </w:r>
      <w:r>
        <w:t>20</w:t>
      </w:r>
      <w:r w:rsidRPr="00D70AB3">
        <w:t>.</w:t>
      </w:r>
    </w:p>
    <w:p w14:paraId="613BF728" w14:textId="77777777" w:rsidR="00A60D4B" w:rsidRDefault="00A60D4B" w:rsidP="00A60D4B">
      <w:pPr>
        <w:pStyle w:val="Bbodytext"/>
        <w:rPr>
          <w:b/>
          <w:bCs/>
          <w:i/>
          <w:iCs/>
        </w:rPr>
      </w:pPr>
      <w:r w:rsidRPr="00D70AB3">
        <w:rPr>
          <w:b/>
          <w:bCs/>
          <w:i/>
          <w:iCs/>
        </w:rPr>
        <w:t>ACT Employee Scheme Membership</w:t>
      </w:r>
    </w:p>
    <w:p w14:paraId="5485ACD8" w14:textId="77777777" w:rsidR="00A60D4B" w:rsidRPr="00D70AB3" w:rsidRDefault="00A60D4B" w:rsidP="00A60D4B">
      <w:pPr>
        <w:pStyle w:val="Bbodytext"/>
      </w:pPr>
      <w:r>
        <w:t>At</w:t>
      </w:r>
      <w:r w:rsidRPr="00D70AB3">
        <w:t xml:space="preserve"> 30 June 20</w:t>
      </w:r>
      <w:r>
        <w:t>20</w:t>
      </w:r>
      <w:r w:rsidRPr="00D70AB3">
        <w:t>, 6,</w:t>
      </w:r>
      <w:r>
        <w:t>275</w:t>
      </w:r>
      <w:r w:rsidRPr="00D70AB3">
        <w:t xml:space="preserve"> current ACT employees </w:t>
      </w:r>
      <w:r>
        <w:t>were</w:t>
      </w:r>
      <w:r w:rsidRPr="00D70AB3">
        <w:t xml:space="preserve"> active contributors to the Commonwealth Superannuation Scheme and the Public Sector Superannuation Scheme.</w:t>
      </w:r>
      <w:r>
        <w:t xml:space="preserve"> The number of ACT employees contributing to these schemes reduced by 315 over the 2019-20 financial year.</w:t>
      </w:r>
    </w:p>
    <w:p w14:paraId="2744C937" w14:textId="77777777" w:rsidR="00A60D4B" w:rsidRPr="00D70AB3" w:rsidRDefault="00A60D4B" w:rsidP="00A60D4B">
      <w:pPr>
        <w:pStyle w:val="Bbodytext"/>
      </w:pPr>
      <w:r w:rsidRPr="00D70AB3">
        <w:t xml:space="preserve">Table </w:t>
      </w:r>
      <w:r>
        <w:t>3.8.4</w:t>
      </w:r>
      <w:r w:rsidRPr="00D70AB3">
        <w:t xml:space="preserve"> outlines the breakdown of the defined benefit superannuation scheme employee members </w:t>
      </w:r>
      <w:r>
        <w:t>at</w:t>
      </w:r>
      <w:r w:rsidRPr="00D70AB3">
        <w:t xml:space="preserve"> 30 June 20</w:t>
      </w:r>
      <w:r>
        <w:t>20</w:t>
      </w:r>
      <w:r w:rsidRPr="00D70AB3">
        <w:t>.</w:t>
      </w:r>
    </w:p>
    <w:p w14:paraId="14E8084B" w14:textId="39456340" w:rsidR="00A60D4B" w:rsidRPr="00D70AB3" w:rsidRDefault="00A60D4B" w:rsidP="00A60D4B">
      <w:pPr>
        <w:pStyle w:val="Caption"/>
        <w:keepLines/>
      </w:pPr>
      <w:r>
        <w:lastRenderedPageBreak/>
        <w:t xml:space="preserve">Table </w:t>
      </w:r>
      <w:r w:rsidR="00FB4E5C">
        <w:fldChar w:fldCharType="begin"/>
      </w:r>
      <w:r w:rsidR="00FB4E5C">
        <w:instrText xml:space="preserve"> STYLEREF 2 \s </w:instrText>
      </w:r>
      <w:r w:rsidR="00FB4E5C">
        <w:fldChar w:fldCharType="separate"/>
      </w:r>
      <w:r w:rsidR="00F12A80">
        <w:rPr>
          <w:noProof/>
        </w:rPr>
        <w:t>3.8</w:t>
      </w:r>
      <w:r w:rsidR="00FB4E5C">
        <w:rPr>
          <w:noProof/>
        </w:rPr>
        <w:fldChar w:fldCharType="end"/>
      </w:r>
      <w:r>
        <w:t>.</w:t>
      </w:r>
      <w:r w:rsidR="00FB4E5C">
        <w:fldChar w:fldCharType="begin"/>
      </w:r>
      <w:r w:rsidR="00FB4E5C">
        <w:instrText xml:space="preserve"> SEQ Table \* ARABIC \s 2 </w:instrText>
      </w:r>
      <w:r w:rsidR="00FB4E5C">
        <w:fldChar w:fldCharType="separate"/>
      </w:r>
      <w:r w:rsidR="00F12A80">
        <w:rPr>
          <w:noProof/>
        </w:rPr>
        <w:t>4</w:t>
      </w:r>
      <w:r w:rsidR="00FB4E5C">
        <w:rPr>
          <w:noProof/>
        </w:rPr>
        <w:fldChar w:fldCharType="end"/>
      </w:r>
      <w:r w:rsidRPr="00D70AB3">
        <w:t>: ACT employee defined benefit scheme membership</w:t>
      </w:r>
    </w:p>
    <w:tbl>
      <w:tblPr>
        <w:tblW w:w="9013"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3345"/>
        <w:gridCol w:w="1417"/>
        <w:gridCol w:w="1417"/>
        <w:gridCol w:w="1417"/>
        <w:gridCol w:w="1417"/>
      </w:tblGrid>
      <w:tr w:rsidR="00A60D4B" w:rsidRPr="00D70AB3" w14:paraId="62CCCE6E" w14:textId="77777777" w:rsidTr="00A60D4B">
        <w:trPr>
          <w:cantSplit/>
          <w:trHeight w:val="257"/>
        </w:trPr>
        <w:tc>
          <w:tcPr>
            <w:tcW w:w="3345" w:type="dxa"/>
            <w:tcBorders>
              <w:bottom w:val="single" w:sz="4" w:space="0" w:color="auto"/>
            </w:tcBorders>
            <w:shd w:val="clear" w:color="auto" w:fill="472D8C"/>
          </w:tcPr>
          <w:p w14:paraId="2492D966" w14:textId="77777777" w:rsidR="00A60D4B" w:rsidRPr="00FF7727" w:rsidRDefault="00A60D4B" w:rsidP="00A60D4B">
            <w:pPr>
              <w:keepNext/>
              <w:keepLines/>
              <w:rPr>
                <w:color w:val="FFFFFF" w:themeColor="background1"/>
              </w:rPr>
            </w:pPr>
          </w:p>
        </w:tc>
        <w:tc>
          <w:tcPr>
            <w:tcW w:w="1417" w:type="dxa"/>
            <w:tcBorders>
              <w:bottom w:val="single" w:sz="4" w:space="0" w:color="auto"/>
            </w:tcBorders>
            <w:shd w:val="clear" w:color="auto" w:fill="472D8C"/>
          </w:tcPr>
          <w:p w14:paraId="30AAE1B7" w14:textId="77777777" w:rsidR="00A60D4B" w:rsidRPr="00AF669D" w:rsidRDefault="00A60D4B" w:rsidP="00A60D4B">
            <w:pPr>
              <w:pStyle w:val="BTableHeadingRowRightAligned"/>
              <w:rPr>
                <w:color w:val="FFFFFF" w:themeColor="background1"/>
              </w:rPr>
            </w:pPr>
            <w:r w:rsidRPr="00AF669D">
              <w:rPr>
                <w:color w:val="FFFFFF" w:themeColor="background1"/>
              </w:rPr>
              <w:t>Contributors</w:t>
            </w:r>
          </w:p>
        </w:tc>
        <w:tc>
          <w:tcPr>
            <w:tcW w:w="1417" w:type="dxa"/>
            <w:tcBorders>
              <w:bottom w:val="single" w:sz="4" w:space="0" w:color="auto"/>
            </w:tcBorders>
            <w:shd w:val="clear" w:color="auto" w:fill="472D8C"/>
            <w:tcMar>
              <w:left w:w="57" w:type="dxa"/>
              <w:right w:w="57" w:type="dxa"/>
            </w:tcMar>
          </w:tcPr>
          <w:p w14:paraId="26A20425" w14:textId="77777777" w:rsidR="00A60D4B" w:rsidRPr="00AF669D" w:rsidRDefault="00A60D4B" w:rsidP="00A60D4B">
            <w:pPr>
              <w:pStyle w:val="BTableHeadingRowRightAligned"/>
              <w:rPr>
                <w:color w:val="FFFFFF" w:themeColor="background1"/>
              </w:rPr>
            </w:pPr>
            <w:r w:rsidRPr="00AF669D">
              <w:rPr>
                <w:color w:val="FFFFFF" w:themeColor="background1"/>
              </w:rPr>
              <w:t>Deferred beneficiaries</w:t>
            </w:r>
          </w:p>
        </w:tc>
        <w:tc>
          <w:tcPr>
            <w:tcW w:w="1417" w:type="dxa"/>
            <w:tcBorders>
              <w:bottom w:val="single" w:sz="4" w:space="0" w:color="auto"/>
            </w:tcBorders>
            <w:shd w:val="clear" w:color="auto" w:fill="472D8C"/>
          </w:tcPr>
          <w:p w14:paraId="3085D10A" w14:textId="77777777" w:rsidR="00A60D4B" w:rsidRPr="00AF669D" w:rsidRDefault="00A60D4B" w:rsidP="00A60D4B">
            <w:pPr>
              <w:pStyle w:val="BTableHeadingRowRightAligned"/>
              <w:rPr>
                <w:color w:val="FFFFFF" w:themeColor="background1"/>
              </w:rPr>
            </w:pPr>
            <w:r w:rsidRPr="00AF669D">
              <w:rPr>
                <w:color w:val="FFFFFF" w:themeColor="background1"/>
              </w:rPr>
              <w:t>Current pensioners</w:t>
            </w:r>
          </w:p>
        </w:tc>
        <w:tc>
          <w:tcPr>
            <w:tcW w:w="1417" w:type="dxa"/>
            <w:tcBorders>
              <w:bottom w:val="single" w:sz="4" w:space="0" w:color="auto"/>
            </w:tcBorders>
            <w:shd w:val="clear" w:color="auto" w:fill="472D8C"/>
          </w:tcPr>
          <w:p w14:paraId="18B13F0F" w14:textId="77777777" w:rsidR="00A60D4B" w:rsidRPr="00AF669D" w:rsidRDefault="00A60D4B" w:rsidP="00A60D4B">
            <w:pPr>
              <w:pStyle w:val="BTableHeadingRowRightAligned"/>
              <w:rPr>
                <w:color w:val="FFFFFF" w:themeColor="background1"/>
              </w:rPr>
            </w:pPr>
            <w:r w:rsidRPr="00AF669D">
              <w:rPr>
                <w:color w:val="FFFFFF" w:themeColor="background1"/>
              </w:rPr>
              <w:t>Total</w:t>
            </w:r>
          </w:p>
        </w:tc>
      </w:tr>
      <w:tr w:rsidR="00A60D4B" w:rsidRPr="00D70AB3" w14:paraId="2BAD4CD1" w14:textId="77777777" w:rsidTr="00A60D4B">
        <w:trPr>
          <w:cantSplit/>
          <w:trHeight w:val="270"/>
        </w:trPr>
        <w:tc>
          <w:tcPr>
            <w:tcW w:w="3345" w:type="dxa"/>
            <w:tcBorders>
              <w:top w:val="single" w:sz="4" w:space="0" w:color="auto"/>
              <w:bottom w:val="nil"/>
            </w:tcBorders>
          </w:tcPr>
          <w:p w14:paraId="661843B3" w14:textId="77777777" w:rsidR="00A60D4B" w:rsidRPr="00D70AB3" w:rsidRDefault="00A60D4B" w:rsidP="00A60D4B">
            <w:pPr>
              <w:pStyle w:val="Btabletextbold"/>
              <w:keepNext/>
              <w:keepLines/>
            </w:pPr>
            <w:r w:rsidRPr="00D70AB3">
              <w:t>Group A Members</w:t>
            </w:r>
            <w:r w:rsidRPr="00D70AB3">
              <w:rPr>
                <w:vertAlign w:val="superscript"/>
              </w:rPr>
              <w:t>1</w:t>
            </w:r>
          </w:p>
        </w:tc>
        <w:tc>
          <w:tcPr>
            <w:tcW w:w="1417" w:type="dxa"/>
            <w:tcBorders>
              <w:top w:val="single" w:sz="4" w:space="0" w:color="auto"/>
              <w:bottom w:val="nil"/>
            </w:tcBorders>
          </w:tcPr>
          <w:p w14:paraId="4BEA1FE4" w14:textId="77777777" w:rsidR="00A60D4B" w:rsidRPr="00D70AB3" w:rsidRDefault="00A60D4B" w:rsidP="00A60D4B">
            <w:pPr>
              <w:keepNext/>
              <w:keepLines/>
              <w:spacing w:after="0" w:line="240" w:lineRule="auto"/>
              <w:ind w:left="227" w:hanging="227"/>
              <w:jc w:val="right"/>
              <w:rPr>
                <w:rFonts w:ascii="Calibri" w:hAnsi="Calibri"/>
                <w:sz w:val="20"/>
              </w:rPr>
            </w:pPr>
          </w:p>
        </w:tc>
        <w:tc>
          <w:tcPr>
            <w:tcW w:w="1417" w:type="dxa"/>
            <w:tcBorders>
              <w:top w:val="single" w:sz="4" w:space="0" w:color="auto"/>
              <w:bottom w:val="nil"/>
            </w:tcBorders>
          </w:tcPr>
          <w:p w14:paraId="6FD63CF3" w14:textId="77777777" w:rsidR="00A60D4B" w:rsidRPr="00D70AB3" w:rsidRDefault="00A60D4B" w:rsidP="00A60D4B">
            <w:pPr>
              <w:keepNext/>
              <w:keepLines/>
              <w:spacing w:after="0" w:line="240" w:lineRule="auto"/>
              <w:ind w:left="227" w:hanging="227"/>
              <w:jc w:val="right"/>
              <w:rPr>
                <w:rFonts w:ascii="Calibri" w:hAnsi="Calibri"/>
                <w:bCs/>
                <w:sz w:val="20"/>
              </w:rPr>
            </w:pPr>
          </w:p>
        </w:tc>
        <w:tc>
          <w:tcPr>
            <w:tcW w:w="1417" w:type="dxa"/>
            <w:tcBorders>
              <w:top w:val="single" w:sz="4" w:space="0" w:color="auto"/>
              <w:bottom w:val="nil"/>
            </w:tcBorders>
            <w:shd w:val="clear" w:color="auto" w:fill="auto"/>
          </w:tcPr>
          <w:p w14:paraId="08ED2F4A" w14:textId="77777777" w:rsidR="00A60D4B" w:rsidRPr="00D70AB3" w:rsidRDefault="00A60D4B" w:rsidP="00A60D4B">
            <w:pPr>
              <w:keepNext/>
              <w:keepLines/>
              <w:spacing w:after="0" w:line="240" w:lineRule="auto"/>
              <w:ind w:left="227" w:hanging="227"/>
              <w:jc w:val="right"/>
              <w:rPr>
                <w:rFonts w:ascii="Calibri" w:hAnsi="Calibri"/>
                <w:bCs/>
                <w:sz w:val="20"/>
              </w:rPr>
            </w:pPr>
          </w:p>
        </w:tc>
        <w:tc>
          <w:tcPr>
            <w:tcW w:w="1417" w:type="dxa"/>
            <w:tcBorders>
              <w:top w:val="single" w:sz="4" w:space="0" w:color="auto"/>
              <w:bottom w:val="nil"/>
            </w:tcBorders>
            <w:shd w:val="clear" w:color="auto" w:fill="auto"/>
          </w:tcPr>
          <w:p w14:paraId="0E3BEAD9" w14:textId="77777777" w:rsidR="00A60D4B" w:rsidRPr="00D70AB3" w:rsidRDefault="00A60D4B" w:rsidP="00A60D4B">
            <w:pPr>
              <w:keepNext/>
              <w:keepLines/>
              <w:spacing w:after="0" w:line="240" w:lineRule="auto"/>
              <w:ind w:left="227" w:hanging="227"/>
              <w:jc w:val="right"/>
              <w:rPr>
                <w:rFonts w:ascii="Calibri" w:hAnsi="Calibri"/>
                <w:bCs/>
                <w:sz w:val="20"/>
              </w:rPr>
            </w:pPr>
          </w:p>
        </w:tc>
      </w:tr>
      <w:tr w:rsidR="00A60D4B" w:rsidRPr="00D70AB3" w14:paraId="1D7799E0" w14:textId="77777777" w:rsidTr="00A60D4B">
        <w:trPr>
          <w:cantSplit/>
          <w:trHeight w:val="270"/>
        </w:trPr>
        <w:tc>
          <w:tcPr>
            <w:tcW w:w="3345" w:type="dxa"/>
            <w:tcBorders>
              <w:top w:val="nil"/>
              <w:bottom w:val="nil"/>
            </w:tcBorders>
          </w:tcPr>
          <w:p w14:paraId="3268BA6E" w14:textId="77777777" w:rsidR="00A60D4B" w:rsidRPr="00D70AB3" w:rsidRDefault="00A60D4B" w:rsidP="00A60D4B">
            <w:pPr>
              <w:pStyle w:val="Btabletextunbold"/>
              <w:keepNext/>
              <w:keepLines/>
            </w:pPr>
            <w:r w:rsidRPr="00D70AB3">
              <w:t>CSS</w:t>
            </w:r>
          </w:p>
        </w:tc>
        <w:tc>
          <w:tcPr>
            <w:tcW w:w="1417" w:type="dxa"/>
            <w:tcBorders>
              <w:top w:val="nil"/>
              <w:bottom w:val="nil"/>
            </w:tcBorders>
          </w:tcPr>
          <w:p w14:paraId="76C4D2E4" w14:textId="77777777" w:rsidR="00A60D4B" w:rsidRPr="00D70AB3" w:rsidRDefault="00A60D4B" w:rsidP="00A60D4B">
            <w:pPr>
              <w:pStyle w:val="Btablefigureunbold"/>
              <w:keepNext/>
              <w:keepLines/>
            </w:pPr>
            <w:r>
              <w:t>248</w:t>
            </w:r>
          </w:p>
        </w:tc>
        <w:tc>
          <w:tcPr>
            <w:tcW w:w="1417" w:type="dxa"/>
            <w:tcBorders>
              <w:top w:val="nil"/>
              <w:bottom w:val="nil"/>
            </w:tcBorders>
          </w:tcPr>
          <w:p w14:paraId="77DB7939" w14:textId="77777777" w:rsidR="00A60D4B" w:rsidRPr="001709EC" w:rsidRDefault="00A60D4B" w:rsidP="00A60D4B">
            <w:pPr>
              <w:pStyle w:val="Btablefigureunbold"/>
              <w:keepNext/>
              <w:keepLines/>
            </w:pPr>
            <w:r w:rsidRPr="001709EC">
              <w:t>133</w:t>
            </w:r>
          </w:p>
        </w:tc>
        <w:tc>
          <w:tcPr>
            <w:tcW w:w="1417" w:type="dxa"/>
            <w:tcBorders>
              <w:top w:val="nil"/>
              <w:bottom w:val="nil"/>
            </w:tcBorders>
            <w:shd w:val="clear" w:color="auto" w:fill="auto"/>
          </w:tcPr>
          <w:p w14:paraId="39C67E69" w14:textId="77777777" w:rsidR="00A60D4B" w:rsidRPr="001709EC" w:rsidRDefault="00A60D4B" w:rsidP="00A60D4B">
            <w:pPr>
              <w:pStyle w:val="Btablefigureunbold"/>
              <w:keepNext/>
              <w:keepLines/>
            </w:pPr>
            <w:r w:rsidRPr="001709EC">
              <w:t>6,254</w:t>
            </w:r>
          </w:p>
        </w:tc>
        <w:tc>
          <w:tcPr>
            <w:tcW w:w="1417" w:type="dxa"/>
            <w:tcBorders>
              <w:top w:val="nil"/>
              <w:bottom w:val="nil"/>
            </w:tcBorders>
            <w:shd w:val="clear" w:color="auto" w:fill="auto"/>
          </w:tcPr>
          <w:p w14:paraId="0EEC61FB" w14:textId="77777777" w:rsidR="00A60D4B" w:rsidRPr="00D70AB3" w:rsidRDefault="00A60D4B" w:rsidP="00A60D4B">
            <w:pPr>
              <w:pStyle w:val="BTablefigureBold"/>
              <w:keepNext/>
              <w:keepLines/>
            </w:pPr>
            <w:r w:rsidRPr="00D70AB3">
              <w:t>6,</w:t>
            </w:r>
            <w:r>
              <w:t>635</w:t>
            </w:r>
          </w:p>
        </w:tc>
      </w:tr>
      <w:tr w:rsidR="00A60D4B" w:rsidRPr="00D70AB3" w14:paraId="40E2F0D1" w14:textId="77777777" w:rsidTr="00A60D4B">
        <w:trPr>
          <w:cantSplit/>
          <w:trHeight w:val="270"/>
        </w:trPr>
        <w:tc>
          <w:tcPr>
            <w:tcW w:w="3345" w:type="dxa"/>
            <w:tcBorders>
              <w:top w:val="nil"/>
              <w:bottom w:val="single" w:sz="4" w:space="0" w:color="auto"/>
            </w:tcBorders>
          </w:tcPr>
          <w:p w14:paraId="1056E8FD" w14:textId="77777777" w:rsidR="00A60D4B" w:rsidRPr="00D70AB3" w:rsidRDefault="00A60D4B" w:rsidP="00A60D4B">
            <w:pPr>
              <w:pStyle w:val="Btabletextunbold"/>
              <w:keepNext/>
              <w:keepLines/>
            </w:pPr>
            <w:r w:rsidRPr="00D70AB3">
              <w:t>PSS</w:t>
            </w:r>
          </w:p>
        </w:tc>
        <w:tc>
          <w:tcPr>
            <w:tcW w:w="1417" w:type="dxa"/>
            <w:tcBorders>
              <w:top w:val="nil"/>
              <w:bottom w:val="single" w:sz="4" w:space="0" w:color="auto"/>
            </w:tcBorders>
          </w:tcPr>
          <w:p w14:paraId="7134F7BE" w14:textId="77777777" w:rsidR="00A60D4B" w:rsidRPr="00D70AB3" w:rsidRDefault="00A60D4B" w:rsidP="00A60D4B">
            <w:pPr>
              <w:pStyle w:val="Btablefigureunbold"/>
              <w:keepNext/>
              <w:keepLines/>
            </w:pPr>
            <w:r w:rsidRPr="00D70AB3">
              <w:t>6,</w:t>
            </w:r>
            <w:r>
              <w:t>027</w:t>
            </w:r>
          </w:p>
        </w:tc>
        <w:tc>
          <w:tcPr>
            <w:tcW w:w="1417" w:type="dxa"/>
            <w:tcBorders>
              <w:top w:val="nil"/>
              <w:bottom w:val="single" w:sz="4" w:space="0" w:color="auto"/>
            </w:tcBorders>
          </w:tcPr>
          <w:p w14:paraId="181118F4" w14:textId="77777777" w:rsidR="00A60D4B" w:rsidRPr="001709EC" w:rsidRDefault="00A60D4B" w:rsidP="00A60D4B">
            <w:pPr>
              <w:pStyle w:val="Btablefigureunbold"/>
              <w:keepNext/>
              <w:keepLines/>
            </w:pPr>
            <w:r w:rsidRPr="001709EC">
              <w:t>8,466</w:t>
            </w:r>
          </w:p>
        </w:tc>
        <w:tc>
          <w:tcPr>
            <w:tcW w:w="1417" w:type="dxa"/>
            <w:tcBorders>
              <w:top w:val="nil"/>
              <w:bottom w:val="single" w:sz="4" w:space="0" w:color="auto"/>
            </w:tcBorders>
            <w:shd w:val="clear" w:color="auto" w:fill="auto"/>
          </w:tcPr>
          <w:p w14:paraId="62F715E4" w14:textId="77777777" w:rsidR="00A60D4B" w:rsidRPr="001709EC" w:rsidRDefault="00A60D4B" w:rsidP="00A60D4B">
            <w:pPr>
              <w:pStyle w:val="Btablefigureunbold"/>
              <w:keepNext/>
              <w:keepLines/>
            </w:pPr>
            <w:r w:rsidRPr="001709EC">
              <w:t>5,793</w:t>
            </w:r>
          </w:p>
        </w:tc>
        <w:tc>
          <w:tcPr>
            <w:tcW w:w="1417" w:type="dxa"/>
            <w:tcBorders>
              <w:top w:val="nil"/>
              <w:bottom w:val="single" w:sz="4" w:space="0" w:color="auto"/>
            </w:tcBorders>
            <w:shd w:val="clear" w:color="auto" w:fill="auto"/>
          </w:tcPr>
          <w:p w14:paraId="3C0FB015" w14:textId="77777777" w:rsidR="00A60D4B" w:rsidRPr="00D70AB3" w:rsidRDefault="00A60D4B" w:rsidP="00A60D4B">
            <w:pPr>
              <w:pStyle w:val="BTablefigureBold"/>
              <w:keepNext/>
              <w:keepLines/>
            </w:pPr>
            <w:r w:rsidRPr="00D70AB3">
              <w:t>20,</w:t>
            </w:r>
            <w:r>
              <w:t>286</w:t>
            </w:r>
          </w:p>
        </w:tc>
      </w:tr>
      <w:tr w:rsidR="00A60D4B" w:rsidRPr="00D70AB3" w14:paraId="155B6DBF" w14:textId="77777777" w:rsidTr="00A60D4B">
        <w:trPr>
          <w:cantSplit/>
          <w:trHeight w:val="270"/>
        </w:trPr>
        <w:tc>
          <w:tcPr>
            <w:tcW w:w="3345" w:type="dxa"/>
            <w:tcBorders>
              <w:top w:val="single" w:sz="4" w:space="0" w:color="auto"/>
              <w:bottom w:val="single" w:sz="4" w:space="0" w:color="auto"/>
            </w:tcBorders>
          </w:tcPr>
          <w:p w14:paraId="5D3D5DF0" w14:textId="77777777" w:rsidR="00A60D4B" w:rsidRPr="00D70AB3" w:rsidRDefault="00A60D4B" w:rsidP="00A60D4B">
            <w:pPr>
              <w:pStyle w:val="Btabletextbold"/>
              <w:keepNext/>
              <w:keepLines/>
            </w:pPr>
            <w:r w:rsidRPr="00D70AB3">
              <w:t>Total</w:t>
            </w:r>
            <w:r>
              <w:t xml:space="preserve"> Group A</w:t>
            </w:r>
          </w:p>
        </w:tc>
        <w:tc>
          <w:tcPr>
            <w:tcW w:w="1417" w:type="dxa"/>
            <w:tcBorders>
              <w:top w:val="single" w:sz="4" w:space="0" w:color="auto"/>
              <w:bottom w:val="single" w:sz="4" w:space="0" w:color="auto"/>
            </w:tcBorders>
          </w:tcPr>
          <w:p w14:paraId="16499C21" w14:textId="77777777" w:rsidR="00A60D4B" w:rsidRPr="00D70AB3" w:rsidRDefault="00A60D4B" w:rsidP="00A60D4B">
            <w:pPr>
              <w:pStyle w:val="BTablefigureBold"/>
              <w:keepNext/>
              <w:keepLines/>
            </w:pPr>
            <w:r w:rsidRPr="00D70AB3">
              <w:t>6,</w:t>
            </w:r>
            <w:r>
              <w:t>275</w:t>
            </w:r>
          </w:p>
        </w:tc>
        <w:tc>
          <w:tcPr>
            <w:tcW w:w="1417" w:type="dxa"/>
            <w:tcBorders>
              <w:top w:val="single" w:sz="4" w:space="0" w:color="auto"/>
              <w:bottom w:val="single" w:sz="4" w:space="0" w:color="auto"/>
            </w:tcBorders>
          </w:tcPr>
          <w:p w14:paraId="20F74C99" w14:textId="77777777" w:rsidR="00A60D4B" w:rsidRPr="00D70AB3" w:rsidRDefault="00A60D4B" w:rsidP="00A60D4B">
            <w:pPr>
              <w:pStyle w:val="BTablefigureBold"/>
              <w:keepNext/>
              <w:keepLines/>
            </w:pPr>
            <w:r w:rsidRPr="00D70AB3">
              <w:t>8,</w:t>
            </w:r>
            <w:r>
              <w:t>599</w:t>
            </w:r>
          </w:p>
        </w:tc>
        <w:tc>
          <w:tcPr>
            <w:tcW w:w="1417" w:type="dxa"/>
            <w:tcBorders>
              <w:top w:val="single" w:sz="4" w:space="0" w:color="auto"/>
              <w:bottom w:val="single" w:sz="4" w:space="0" w:color="auto"/>
            </w:tcBorders>
            <w:shd w:val="clear" w:color="auto" w:fill="auto"/>
          </w:tcPr>
          <w:p w14:paraId="4A423C4F" w14:textId="77777777" w:rsidR="00A60D4B" w:rsidRPr="00D70AB3" w:rsidRDefault="00A60D4B" w:rsidP="00A60D4B">
            <w:pPr>
              <w:pStyle w:val="BTablefigureBold"/>
              <w:keepNext/>
              <w:keepLines/>
            </w:pPr>
            <w:r w:rsidRPr="00D70AB3">
              <w:t>1</w:t>
            </w:r>
            <w:r>
              <w:t>2</w:t>
            </w:r>
            <w:r w:rsidRPr="00D70AB3">
              <w:t>,</w:t>
            </w:r>
            <w:r>
              <w:t>047</w:t>
            </w:r>
          </w:p>
        </w:tc>
        <w:tc>
          <w:tcPr>
            <w:tcW w:w="1417" w:type="dxa"/>
            <w:tcBorders>
              <w:top w:val="single" w:sz="4" w:space="0" w:color="auto"/>
              <w:bottom w:val="single" w:sz="4" w:space="0" w:color="auto"/>
            </w:tcBorders>
            <w:shd w:val="clear" w:color="auto" w:fill="auto"/>
          </w:tcPr>
          <w:p w14:paraId="6A107B69" w14:textId="77777777" w:rsidR="00A60D4B" w:rsidRPr="00D70AB3" w:rsidRDefault="00A60D4B" w:rsidP="00A60D4B">
            <w:pPr>
              <w:pStyle w:val="BTablefigureBold"/>
              <w:keepNext/>
              <w:keepLines/>
            </w:pPr>
            <w:r w:rsidRPr="00D70AB3">
              <w:t>2</w:t>
            </w:r>
            <w:r>
              <w:t>6</w:t>
            </w:r>
            <w:r w:rsidRPr="00D70AB3">
              <w:t>,</w:t>
            </w:r>
            <w:r>
              <w:t>921</w:t>
            </w:r>
          </w:p>
        </w:tc>
      </w:tr>
      <w:tr w:rsidR="00A60D4B" w:rsidRPr="00D70AB3" w14:paraId="201A2916" w14:textId="77777777" w:rsidTr="00A60D4B">
        <w:trPr>
          <w:cantSplit/>
          <w:trHeight w:val="270"/>
        </w:trPr>
        <w:tc>
          <w:tcPr>
            <w:tcW w:w="3345" w:type="dxa"/>
            <w:tcBorders>
              <w:top w:val="single" w:sz="4" w:space="0" w:color="auto"/>
              <w:bottom w:val="nil"/>
            </w:tcBorders>
          </w:tcPr>
          <w:p w14:paraId="6F8E02DD" w14:textId="77777777" w:rsidR="00A60D4B" w:rsidRPr="00D70AB3" w:rsidRDefault="00A60D4B" w:rsidP="00A60D4B">
            <w:pPr>
              <w:pStyle w:val="Btabletextbold"/>
              <w:keepNext/>
              <w:keepLines/>
            </w:pPr>
            <w:r w:rsidRPr="00D70AB3">
              <w:t>Group B Members</w:t>
            </w:r>
            <w:r w:rsidRPr="00D70AB3">
              <w:rPr>
                <w:vertAlign w:val="superscript"/>
              </w:rPr>
              <w:t>2</w:t>
            </w:r>
          </w:p>
        </w:tc>
        <w:tc>
          <w:tcPr>
            <w:tcW w:w="1417" w:type="dxa"/>
            <w:tcBorders>
              <w:top w:val="single" w:sz="4" w:space="0" w:color="auto"/>
              <w:bottom w:val="nil"/>
            </w:tcBorders>
          </w:tcPr>
          <w:p w14:paraId="3610C741" w14:textId="77777777" w:rsidR="00A60D4B" w:rsidRPr="00D70AB3" w:rsidRDefault="00A60D4B" w:rsidP="00A60D4B">
            <w:pPr>
              <w:keepNext/>
              <w:keepLines/>
              <w:spacing w:after="0" w:line="240" w:lineRule="auto"/>
              <w:ind w:left="227" w:hanging="227"/>
              <w:jc w:val="right"/>
              <w:rPr>
                <w:rFonts w:ascii="Calibri" w:hAnsi="Calibri"/>
                <w:sz w:val="20"/>
              </w:rPr>
            </w:pPr>
          </w:p>
        </w:tc>
        <w:tc>
          <w:tcPr>
            <w:tcW w:w="1417" w:type="dxa"/>
            <w:tcBorders>
              <w:top w:val="single" w:sz="4" w:space="0" w:color="auto"/>
              <w:bottom w:val="nil"/>
            </w:tcBorders>
          </w:tcPr>
          <w:p w14:paraId="3CB8E2E7" w14:textId="77777777" w:rsidR="00A60D4B" w:rsidRPr="00D70AB3" w:rsidRDefault="00A60D4B" w:rsidP="00A60D4B">
            <w:pPr>
              <w:keepNext/>
              <w:keepLines/>
              <w:spacing w:after="0" w:line="240" w:lineRule="auto"/>
              <w:ind w:left="227" w:hanging="227"/>
              <w:jc w:val="right"/>
              <w:rPr>
                <w:rFonts w:ascii="Calibri" w:hAnsi="Calibri"/>
                <w:bCs/>
                <w:sz w:val="20"/>
              </w:rPr>
            </w:pPr>
          </w:p>
        </w:tc>
        <w:tc>
          <w:tcPr>
            <w:tcW w:w="1417" w:type="dxa"/>
            <w:tcBorders>
              <w:top w:val="single" w:sz="4" w:space="0" w:color="auto"/>
              <w:bottom w:val="nil"/>
            </w:tcBorders>
            <w:shd w:val="clear" w:color="auto" w:fill="auto"/>
          </w:tcPr>
          <w:p w14:paraId="1BE58D0A" w14:textId="77777777" w:rsidR="00A60D4B" w:rsidRPr="00D70AB3" w:rsidRDefault="00A60D4B" w:rsidP="00A60D4B">
            <w:pPr>
              <w:keepNext/>
              <w:keepLines/>
              <w:spacing w:after="0" w:line="240" w:lineRule="auto"/>
              <w:ind w:left="227" w:hanging="227"/>
              <w:jc w:val="right"/>
              <w:rPr>
                <w:rFonts w:ascii="Calibri" w:hAnsi="Calibri"/>
                <w:bCs/>
                <w:sz w:val="20"/>
              </w:rPr>
            </w:pPr>
          </w:p>
        </w:tc>
        <w:tc>
          <w:tcPr>
            <w:tcW w:w="1417" w:type="dxa"/>
            <w:tcBorders>
              <w:top w:val="single" w:sz="4" w:space="0" w:color="auto"/>
              <w:bottom w:val="nil"/>
            </w:tcBorders>
            <w:shd w:val="clear" w:color="auto" w:fill="auto"/>
          </w:tcPr>
          <w:p w14:paraId="5060794C" w14:textId="77777777" w:rsidR="00A60D4B" w:rsidRPr="00D70AB3" w:rsidRDefault="00A60D4B" w:rsidP="00A60D4B">
            <w:pPr>
              <w:keepNext/>
              <w:keepLines/>
              <w:spacing w:after="0" w:line="240" w:lineRule="auto"/>
              <w:ind w:left="227" w:hanging="227"/>
              <w:jc w:val="right"/>
              <w:rPr>
                <w:rFonts w:ascii="Calibri" w:hAnsi="Calibri"/>
                <w:b/>
                <w:sz w:val="20"/>
              </w:rPr>
            </w:pPr>
          </w:p>
        </w:tc>
      </w:tr>
      <w:tr w:rsidR="00A60D4B" w:rsidRPr="00D70AB3" w14:paraId="4642FC36" w14:textId="77777777" w:rsidTr="00A60D4B">
        <w:trPr>
          <w:cantSplit/>
          <w:trHeight w:val="270"/>
        </w:trPr>
        <w:tc>
          <w:tcPr>
            <w:tcW w:w="3345" w:type="dxa"/>
            <w:tcBorders>
              <w:top w:val="nil"/>
              <w:bottom w:val="nil"/>
            </w:tcBorders>
          </w:tcPr>
          <w:p w14:paraId="26A6E79E" w14:textId="77777777" w:rsidR="00A60D4B" w:rsidRPr="00D70AB3" w:rsidRDefault="00A60D4B" w:rsidP="00A60D4B">
            <w:pPr>
              <w:pStyle w:val="Btabletextunbold"/>
              <w:keepNext/>
              <w:keepLines/>
            </w:pPr>
            <w:r w:rsidRPr="00D70AB3">
              <w:t>CSS</w:t>
            </w:r>
          </w:p>
        </w:tc>
        <w:tc>
          <w:tcPr>
            <w:tcW w:w="1417" w:type="dxa"/>
            <w:tcBorders>
              <w:top w:val="nil"/>
              <w:bottom w:val="nil"/>
            </w:tcBorders>
          </w:tcPr>
          <w:p w14:paraId="6C105BD5" w14:textId="77777777" w:rsidR="00A60D4B" w:rsidRPr="00D70AB3" w:rsidRDefault="00A60D4B" w:rsidP="00A60D4B">
            <w:pPr>
              <w:pStyle w:val="Btablefigureunbold"/>
              <w:keepNext/>
              <w:keepLines/>
            </w:pPr>
            <w:r w:rsidRPr="00D70AB3">
              <w:t>1</w:t>
            </w:r>
            <w:r>
              <w:t>23</w:t>
            </w:r>
          </w:p>
        </w:tc>
        <w:tc>
          <w:tcPr>
            <w:tcW w:w="1417" w:type="dxa"/>
            <w:tcBorders>
              <w:top w:val="nil"/>
              <w:bottom w:val="nil"/>
            </w:tcBorders>
          </w:tcPr>
          <w:p w14:paraId="4A9FE680" w14:textId="77777777" w:rsidR="00A60D4B" w:rsidRPr="00D70AB3" w:rsidRDefault="00A60D4B" w:rsidP="00A60D4B">
            <w:pPr>
              <w:pStyle w:val="Btablefigureunbold"/>
              <w:keepNext/>
              <w:keepLines/>
              <w:rPr>
                <w:bCs/>
              </w:rPr>
            </w:pPr>
            <w:r>
              <w:rPr>
                <w:bCs/>
              </w:rPr>
              <w:t>59</w:t>
            </w:r>
          </w:p>
        </w:tc>
        <w:tc>
          <w:tcPr>
            <w:tcW w:w="1417" w:type="dxa"/>
            <w:tcBorders>
              <w:top w:val="nil"/>
              <w:bottom w:val="nil"/>
            </w:tcBorders>
            <w:shd w:val="clear" w:color="auto" w:fill="auto"/>
          </w:tcPr>
          <w:p w14:paraId="735A9A88" w14:textId="77777777" w:rsidR="00A60D4B" w:rsidRPr="00D70AB3" w:rsidRDefault="00A60D4B" w:rsidP="00A60D4B">
            <w:pPr>
              <w:pStyle w:val="Btablefigureunbold"/>
              <w:keepNext/>
              <w:keepLines/>
              <w:rPr>
                <w:bCs/>
              </w:rPr>
            </w:pPr>
            <w:r w:rsidRPr="00D70AB3">
              <w:rPr>
                <w:bCs/>
              </w:rPr>
              <w:t>1,</w:t>
            </w:r>
            <w:r>
              <w:rPr>
                <w:bCs/>
              </w:rPr>
              <w:t>206</w:t>
            </w:r>
          </w:p>
        </w:tc>
        <w:tc>
          <w:tcPr>
            <w:tcW w:w="1417" w:type="dxa"/>
            <w:tcBorders>
              <w:top w:val="nil"/>
              <w:bottom w:val="nil"/>
            </w:tcBorders>
            <w:shd w:val="clear" w:color="auto" w:fill="auto"/>
          </w:tcPr>
          <w:p w14:paraId="75E75208" w14:textId="77777777" w:rsidR="00A60D4B" w:rsidRPr="00D70AB3" w:rsidRDefault="00A60D4B" w:rsidP="00A60D4B">
            <w:pPr>
              <w:pStyle w:val="BTablefigureBold"/>
              <w:keepNext/>
              <w:keepLines/>
            </w:pPr>
            <w:r w:rsidRPr="00D70AB3">
              <w:t>1,3</w:t>
            </w:r>
            <w:r>
              <w:t>88</w:t>
            </w:r>
          </w:p>
        </w:tc>
      </w:tr>
      <w:tr w:rsidR="00A60D4B" w:rsidRPr="00D70AB3" w14:paraId="48FDC11C" w14:textId="77777777" w:rsidTr="00A60D4B">
        <w:trPr>
          <w:cantSplit/>
          <w:trHeight w:val="270"/>
        </w:trPr>
        <w:tc>
          <w:tcPr>
            <w:tcW w:w="3345" w:type="dxa"/>
            <w:tcBorders>
              <w:top w:val="nil"/>
              <w:bottom w:val="single" w:sz="4" w:space="0" w:color="auto"/>
            </w:tcBorders>
          </w:tcPr>
          <w:p w14:paraId="12D26E79" w14:textId="77777777" w:rsidR="00A60D4B" w:rsidRPr="00D70AB3" w:rsidRDefault="00A60D4B" w:rsidP="00A60D4B">
            <w:pPr>
              <w:pStyle w:val="Btabletextunbold"/>
              <w:keepNext/>
              <w:keepLines/>
            </w:pPr>
            <w:r w:rsidRPr="00D70AB3">
              <w:t>PSS</w:t>
            </w:r>
          </w:p>
        </w:tc>
        <w:tc>
          <w:tcPr>
            <w:tcW w:w="1417" w:type="dxa"/>
            <w:tcBorders>
              <w:top w:val="nil"/>
              <w:bottom w:val="single" w:sz="4" w:space="0" w:color="auto"/>
            </w:tcBorders>
          </w:tcPr>
          <w:p w14:paraId="2DE4DD0B" w14:textId="77777777" w:rsidR="00A60D4B" w:rsidRPr="00D70AB3" w:rsidRDefault="00A60D4B" w:rsidP="00A60D4B">
            <w:pPr>
              <w:pStyle w:val="Btablefigureunbold"/>
              <w:keepNext/>
              <w:keepLines/>
            </w:pPr>
            <w:r w:rsidRPr="00D70AB3">
              <w:t>2,6</w:t>
            </w:r>
            <w:r>
              <w:t>30</w:t>
            </w:r>
          </w:p>
        </w:tc>
        <w:tc>
          <w:tcPr>
            <w:tcW w:w="1417" w:type="dxa"/>
            <w:tcBorders>
              <w:top w:val="nil"/>
              <w:bottom w:val="single" w:sz="4" w:space="0" w:color="auto"/>
            </w:tcBorders>
          </w:tcPr>
          <w:p w14:paraId="4000B49B" w14:textId="77777777" w:rsidR="00A60D4B" w:rsidRPr="00D70AB3" w:rsidRDefault="00A60D4B" w:rsidP="00A60D4B">
            <w:pPr>
              <w:pStyle w:val="Btablefigureunbold"/>
              <w:keepNext/>
              <w:keepLines/>
              <w:rPr>
                <w:bCs/>
              </w:rPr>
            </w:pPr>
            <w:r w:rsidRPr="00D70AB3">
              <w:rPr>
                <w:bCs/>
              </w:rPr>
              <w:t>2,</w:t>
            </w:r>
            <w:r>
              <w:rPr>
                <w:bCs/>
              </w:rPr>
              <w:t>081</w:t>
            </w:r>
          </w:p>
        </w:tc>
        <w:tc>
          <w:tcPr>
            <w:tcW w:w="1417" w:type="dxa"/>
            <w:tcBorders>
              <w:top w:val="nil"/>
              <w:bottom w:val="single" w:sz="4" w:space="0" w:color="auto"/>
            </w:tcBorders>
            <w:shd w:val="clear" w:color="auto" w:fill="auto"/>
          </w:tcPr>
          <w:p w14:paraId="761D6E54" w14:textId="77777777" w:rsidR="00A60D4B" w:rsidRPr="00D70AB3" w:rsidRDefault="00A60D4B" w:rsidP="00A60D4B">
            <w:pPr>
              <w:pStyle w:val="Btablefigureunbold"/>
              <w:keepNext/>
              <w:keepLines/>
              <w:rPr>
                <w:bCs/>
              </w:rPr>
            </w:pPr>
            <w:r>
              <w:rPr>
                <w:bCs/>
              </w:rPr>
              <w:t>2</w:t>
            </w:r>
            <w:r w:rsidRPr="00D70AB3">
              <w:rPr>
                <w:bCs/>
              </w:rPr>
              <w:t>,</w:t>
            </w:r>
            <w:r>
              <w:rPr>
                <w:bCs/>
              </w:rPr>
              <w:t>039</w:t>
            </w:r>
          </w:p>
        </w:tc>
        <w:tc>
          <w:tcPr>
            <w:tcW w:w="1417" w:type="dxa"/>
            <w:tcBorders>
              <w:top w:val="nil"/>
              <w:bottom w:val="single" w:sz="4" w:space="0" w:color="auto"/>
            </w:tcBorders>
            <w:shd w:val="clear" w:color="auto" w:fill="auto"/>
          </w:tcPr>
          <w:p w14:paraId="621E8C6B" w14:textId="77777777" w:rsidR="00A60D4B" w:rsidRPr="00D70AB3" w:rsidRDefault="00A60D4B" w:rsidP="00A60D4B">
            <w:pPr>
              <w:pStyle w:val="BTablefigureBold"/>
              <w:keepNext/>
              <w:keepLines/>
            </w:pPr>
            <w:r w:rsidRPr="00D70AB3">
              <w:t>6,7</w:t>
            </w:r>
            <w:r>
              <w:t>5</w:t>
            </w:r>
            <w:r w:rsidRPr="00D70AB3">
              <w:t>0</w:t>
            </w:r>
          </w:p>
        </w:tc>
      </w:tr>
      <w:tr w:rsidR="00A60D4B" w:rsidRPr="00D70AB3" w14:paraId="76B48CF5" w14:textId="77777777" w:rsidTr="00A60D4B">
        <w:trPr>
          <w:cantSplit/>
          <w:trHeight w:val="270"/>
        </w:trPr>
        <w:tc>
          <w:tcPr>
            <w:tcW w:w="3345" w:type="dxa"/>
            <w:tcBorders>
              <w:top w:val="single" w:sz="4" w:space="0" w:color="auto"/>
              <w:bottom w:val="single" w:sz="4" w:space="0" w:color="auto"/>
            </w:tcBorders>
          </w:tcPr>
          <w:p w14:paraId="49E619A6" w14:textId="77777777" w:rsidR="00A60D4B" w:rsidRPr="00D70AB3" w:rsidRDefault="00A60D4B" w:rsidP="00A60D4B">
            <w:pPr>
              <w:pStyle w:val="Btabletextbold"/>
              <w:keepNext/>
              <w:keepLines/>
            </w:pPr>
            <w:r w:rsidRPr="00D70AB3">
              <w:t>Total</w:t>
            </w:r>
            <w:r>
              <w:t xml:space="preserve"> Group B</w:t>
            </w:r>
          </w:p>
        </w:tc>
        <w:tc>
          <w:tcPr>
            <w:tcW w:w="1417" w:type="dxa"/>
            <w:tcBorders>
              <w:top w:val="single" w:sz="4" w:space="0" w:color="auto"/>
              <w:bottom w:val="single" w:sz="4" w:space="0" w:color="auto"/>
            </w:tcBorders>
          </w:tcPr>
          <w:p w14:paraId="1B72E447" w14:textId="77777777" w:rsidR="00A60D4B" w:rsidRPr="00D70AB3" w:rsidRDefault="00A60D4B" w:rsidP="00A60D4B">
            <w:pPr>
              <w:pStyle w:val="BTablefigureBold"/>
              <w:keepNext/>
              <w:keepLines/>
            </w:pPr>
            <w:r w:rsidRPr="00D70AB3">
              <w:t>2,</w:t>
            </w:r>
            <w:r>
              <w:t>753</w:t>
            </w:r>
          </w:p>
        </w:tc>
        <w:tc>
          <w:tcPr>
            <w:tcW w:w="1417" w:type="dxa"/>
            <w:tcBorders>
              <w:top w:val="single" w:sz="4" w:space="0" w:color="auto"/>
              <w:bottom w:val="single" w:sz="4" w:space="0" w:color="auto"/>
            </w:tcBorders>
          </w:tcPr>
          <w:p w14:paraId="21AC2BA5" w14:textId="77777777" w:rsidR="00A60D4B" w:rsidRPr="00D70AB3" w:rsidRDefault="00A60D4B" w:rsidP="00A60D4B">
            <w:pPr>
              <w:pStyle w:val="BTablefigureBold"/>
              <w:keepNext/>
              <w:keepLines/>
            </w:pPr>
            <w:r w:rsidRPr="00D70AB3">
              <w:t>2,</w:t>
            </w:r>
            <w:r>
              <w:t>140</w:t>
            </w:r>
          </w:p>
        </w:tc>
        <w:tc>
          <w:tcPr>
            <w:tcW w:w="1417" w:type="dxa"/>
            <w:tcBorders>
              <w:top w:val="single" w:sz="4" w:space="0" w:color="auto"/>
              <w:bottom w:val="single" w:sz="4" w:space="0" w:color="auto"/>
            </w:tcBorders>
            <w:shd w:val="clear" w:color="auto" w:fill="auto"/>
          </w:tcPr>
          <w:p w14:paraId="65132717" w14:textId="77777777" w:rsidR="00A60D4B" w:rsidRPr="00D70AB3" w:rsidRDefault="00A60D4B" w:rsidP="00A60D4B">
            <w:pPr>
              <w:pStyle w:val="BTablefigureBold"/>
              <w:keepNext/>
              <w:keepLines/>
            </w:pPr>
            <w:r w:rsidRPr="00D70AB3">
              <w:t>3,</w:t>
            </w:r>
            <w:r>
              <w:t>245</w:t>
            </w:r>
          </w:p>
        </w:tc>
        <w:tc>
          <w:tcPr>
            <w:tcW w:w="1417" w:type="dxa"/>
            <w:tcBorders>
              <w:top w:val="single" w:sz="4" w:space="0" w:color="auto"/>
              <w:bottom w:val="single" w:sz="4" w:space="0" w:color="auto"/>
            </w:tcBorders>
            <w:shd w:val="clear" w:color="auto" w:fill="auto"/>
          </w:tcPr>
          <w:p w14:paraId="2ACF8881" w14:textId="77777777" w:rsidR="00A60D4B" w:rsidRPr="00D70AB3" w:rsidRDefault="00A60D4B" w:rsidP="00A60D4B">
            <w:pPr>
              <w:pStyle w:val="BTablefigureBold"/>
              <w:keepNext/>
              <w:keepLines/>
            </w:pPr>
            <w:r w:rsidRPr="00D70AB3">
              <w:t>8,1</w:t>
            </w:r>
            <w:r>
              <w:t>38</w:t>
            </w:r>
          </w:p>
        </w:tc>
      </w:tr>
      <w:tr w:rsidR="00A60D4B" w:rsidRPr="00D70AB3" w14:paraId="38E26BBF" w14:textId="77777777" w:rsidTr="00A60D4B">
        <w:trPr>
          <w:cantSplit/>
          <w:trHeight w:val="272"/>
        </w:trPr>
        <w:tc>
          <w:tcPr>
            <w:tcW w:w="3345" w:type="dxa"/>
            <w:tcBorders>
              <w:top w:val="single" w:sz="4" w:space="0" w:color="auto"/>
              <w:bottom w:val="single" w:sz="4" w:space="0" w:color="auto"/>
            </w:tcBorders>
            <w:vAlign w:val="center"/>
          </w:tcPr>
          <w:p w14:paraId="079099E1" w14:textId="77777777" w:rsidR="00A60D4B" w:rsidRPr="00D70AB3" w:rsidRDefault="00A60D4B" w:rsidP="00A60D4B">
            <w:pPr>
              <w:pStyle w:val="Btabletextbold"/>
              <w:keepNext/>
              <w:keepLines/>
            </w:pPr>
            <w:r w:rsidRPr="00D70AB3">
              <w:t xml:space="preserve">Total </w:t>
            </w:r>
            <w:r>
              <w:t xml:space="preserve">All </w:t>
            </w:r>
            <w:r w:rsidRPr="00D70AB3">
              <w:t>Members</w:t>
            </w:r>
          </w:p>
        </w:tc>
        <w:tc>
          <w:tcPr>
            <w:tcW w:w="1417" w:type="dxa"/>
            <w:tcBorders>
              <w:top w:val="single" w:sz="4" w:space="0" w:color="auto"/>
              <w:bottom w:val="single" w:sz="4" w:space="0" w:color="auto"/>
            </w:tcBorders>
            <w:vAlign w:val="center"/>
          </w:tcPr>
          <w:p w14:paraId="516BFE6A" w14:textId="77777777" w:rsidR="00A60D4B" w:rsidRPr="00D70AB3" w:rsidRDefault="00A60D4B" w:rsidP="00A60D4B">
            <w:pPr>
              <w:pStyle w:val="BTablefigureBold"/>
              <w:keepNext/>
              <w:keepLines/>
            </w:pPr>
            <w:r w:rsidRPr="00D70AB3">
              <w:t>9,</w:t>
            </w:r>
            <w:r>
              <w:t>028</w:t>
            </w:r>
          </w:p>
        </w:tc>
        <w:tc>
          <w:tcPr>
            <w:tcW w:w="1417" w:type="dxa"/>
            <w:tcBorders>
              <w:top w:val="single" w:sz="4" w:space="0" w:color="auto"/>
              <w:bottom w:val="single" w:sz="4" w:space="0" w:color="auto"/>
            </w:tcBorders>
            <w:vAlign w:val="center"/>
          </w:tcPr>
          <w:p w14:paraId="370C12C2" w14:textId="77777777" w:rsidR="00A60D4B" w:rsidRPr="00D70AB3" w:rsidRDefault="00A60D4B" w:rsidP="00A60D4B">
            <w:pPr>
              <w:pStyle w:val="BTablefigureBold"/>
              <w:keepNext/>
              <w:keepLines/>
            </w:pPr>
            <w:r w:rsidRPr="00D70AB3">
              <w:t>1</w:t>
            </w:r>
            <w:r>
              <w:t>0</w:t>
            </w:r>
            <w:r w:rsidRPr="00D70AB3">
              <w:t>,</w:t>
            </w:r>
            <w:r>
              <w:t>739</w:t>
            </w:r>
          </w:p>
        </w:tc>
        <w:tc>
          <w:tcPr>
            <w:tcW w:w="1417" w:type="dxa"/>
            <w:tcBorders>
              <w:top w:val="single" w:sz="4" w:space="0" w:color="auto"/>
              <w:bottom w:val="single" w:sz="4" w:space="0" w:color="auto"/>
            </w:tcBorders>
            <w:shd w:val="clear" w:color="auto" w:fill="auto"/>
            <w:vAlign w:val="center"/>
          </w:tcPr>
          <w:p w14:paraId="653865AE" w14:textId="77777777" w:rsidR="00A60D4B" w:rsidRPr="00D70AB3" w:rsidRDefault="00A60D4B" w:rsidP="00A60D4B">
            <w:pPr>
              <w:pStyle w:val="BTablefigureBold"/>
              <w:keepNext/>
              <w:keepLines/>
            </w:pPr>
            <w:r w:rsidRPr="00D70AB3">
              <w:t>1</w:t>
            </w:r>
            <w:r>
              <w:t>5</w:t>
            </w:r>
            <w:r w:rsidRPr="00D70AB3">
              <w:t>,</w:t>
            </w:r>
            <w:r>
              <w:t>292</w:t>
            </w:r>
          </w:p>
        </w:tc>
        <w:tc>
          <w:tcPr>
            <w:tcW w:w="1417" w:type="dxa"/>
            <w:tcBorders>
              <w:top w:val="single" w:sz="4" w:space="0" w:color="auto"/>
              <w:bottom w:val="single" w:sz="4" w:space="0" w:color="auto"/>
            </w:tcBorders>
            <w:shd w:val="clear" w:color="auto" w:fill="auto"/>
            <w:vAlign w:val="center"/>
          </w:tcPr>
          <w:p w14:paraId="3FA1AFCF" w14:textId="77777777" w:rsidR="00A60D4B" w:rsidRPr="00D70AB3" w:rsidRDefault="00A60D4B" w:rsidP="00A60D4B">
            <w:pPr>
              <w:pStyle w:val="BTablefigureBold"/>
              <w:keepNext/>
              <w:keepLines/>
            </w:pPr>
            <w:r w:rsidRPr="00D70AB3">
              <w:t>35,</w:t>
            </w:r>
            <w:r>
              <w:t>059</w:t>
            </w:r>
          </w:p>
        </w:tc>
      </w:tr>
    </w:tbl>
    <w:p w14:paraId="614C462B" w14:textId="77777777" w:rsidR="00A60D4B" w:rsidRPr="00D70AB3" w:rsidRDefault="00A60D4B" w:rsidP="00A60D4B">
      <w:pPr>
        <w:keepNext/>
        <w:keepLines/>
        <w:spacing w:before="120" w:after="0" w:line="240" w:lineRule="auto"/>
        <w:rPr>
          <w:rFonts w:ascii="Calibri" w:hAnsi="Calibri"/>
          <w:b/>
          <w:sz w:val="18"/>
        </w:rPr>
      </w:pPr>
      <w:r w:rsidRPr="00D70AB3">
        <w:rPr>
          <w:rFonts w:ascii="Calibri" w:hAnsi="Calibri"/>
          <w:b/>
          <w:sz w:val="18"/>
        </w:rPr>
        <w:t>Notes:</w:t>
      </w:r>
    </w:p>
    <w:p w14:paraId="462CB9E9" w14:textId="77777777" w:rsidR="00A60D4B" w:rsidRPr="00D70AB3" w:rsidRDefault="00A60D4B" w:rsidP="00A60D4B">
      <w:pPr>
        <w:keepNext/>
        <w:keepLines/>
        <w:spacing w:after="0" w:line="240" w:lineRule="auto"/>
        <w:ind w:left="360" w:hanging="360"/>
        <w:rPr>
          <w:rFonts w:ascii="Calibri" w:hAnsi="Calibri"/>
          <w:sz w:val="18"/>
        </w:rPr>
      </w:pPr>
      <w:r w:rsidRPr="00D70AB3">
        <w:rPr>
          <w:rFonts w:ascii="Calibri" w:hAnsi="Calibri"/>
          <w:sz w:val="18"/>
        </w:rPr>
        <w:t>1.</w:t>
      </w:r>
      <w:r w:rsidRPr="00D70AB3">
        <w:rPr>
          <w:rFonts w:ascii="Calibri" w:hAnsi="Calibri"/>
          <w:sz w:val="18"/>
        </w:rPr>
        <w:tab/>
        <w:t>Group A membership data includes CSS and PSS contributors who were employees of the Government on 30 June 20</w:t>
      </w:r>
      <w:r>
        <w:rPr>
          <w:rFonts w:ascii="Calibri" w:hAnsi="Calibri"/>
          <w:sz w:val="18"/>
        </w:rPr>
        <w:t>20</w:t>
      </w:r>
      <w:r w:rsidRPr="00D70AB3">
        <w:rPr>
          <w:rFonts w:ascii="Calibri" w:hAnsi="Calibri"/>
          <w:sz w:val="18"/>
        </w:rPr>
        <w:t>, and CSS and PSS deferred beneficiaries and pensioners who were employees of the ACT Government when their employment ceased.</w:t>
      </w:r>
    </w:p>
    <w:p w14:paraId="3CE4F4C3" w14:textId="77777777" w:rsidR="00A60D4B" w:rsidRPr="00D70AB3" w:rsidRDefault="00A60D4B" w:rsidP="00A60D4B">
      <w:pPr>
        <w:keepNext/>
        <w:keepLines/>
        <w:spacing w:after="0" w:line="240" w:lineRule="auto"/>
        <w:ind w:left="360" w:hanging="360"/>
        <w:rPr>
          <w:rFonts w:ascii="Calibri" w:hAnsi="Calibri"/>
          <w:sz w:val="18"/>
          <w:szCs w:val="18"/>
        </w:rPr>
      </w:pPr>
      <w:r w:rsidRPr="0E6C67C2">
        <w:rPr>
          <w:rFonts w:ascii="Calibri" w:hAnsi="Calibri"/>
          <w:sz w:val="18"/>
          <w:szCs w:val="18"/>
        </w:rPr>
        <w:t>2.</w:t>
      </w:r>
      <w:r>
        <w:tab/>
      </w:r>
      <w:r w:rsidRPr="0E6C67C2">
        <w:rPr>
          <w:rFonts w:ascii="Calibri" w:hAnsi="Calibri"/>
          <w:sz w:val="18"/>
          <w:szCs w:val="18"/>
        </w:rPr>
        <w:t>Group B membership data includes CSS and PSS contributors who were not employees of the Government on 30 June 20</w:t>
      </w:r>
      <w:r>
        <w:rPr>
          <w:rFonts w:ascii="Calibri" w:hAnsi="Calibri"/>
          <w:sz w:val="18"/>
          <w:szCs w:val="18"/>
        </w:rPr>
        <w:t>20</w:t>
      </w:r>
      <w:r w:rsidRPr="0E6C67C2">
        <w:rPr>
          <w:rFonts w:ascii="Calibri" w:hAnsi="Calibri"/>
          <w:sz w:val="18"/>
          <w:szCs w:val="18"/>
        </w:rPr>
        <w:t>, but were so previously, and CSS and PSS deferred beneficiaries and pensioners who were not employees of the ACT Government when their employment ceased, but were so previously.</w:t>
      </w:r>
    </w:p>
    <w:p w14:paraId="368EC3DE" w14:textId="77777777" w:rsidR="00A60D4B" w:rsidRDefault="00A60D4B" w:rsidP="00A60D4B">
      <w:pPr>
        <w:pStyle w:val="Bbodytext"/>
        <w:rPr>
          <w:b/>
          <w:bCs/>
          <w:i/>
          <w:iCs/>
        </w:rPr>
      </w:pPr>
    </w:p>
    <w:p w14:paraId="1DFCEC20" w14:textId="77777777" w:rsidR="00A60D4B" w:rsidRDefault="00A60D4B" w:rsidP="00A60D4B">
      <w:pPr>
        <w:pStyle w:val="Bbodytext"/>
        <w:rPr>
          <w:b/>
          <w:bCs/>
          <w:i/>
          <w:iCs/>
        </w:rPr>
      </w:pPr>
      <w:r w:rsidRPr="00326828">
        <w:rPr>
          <w:b/>
          <w:bCs/>
          <w:i/>
          <w:iCs/>
        </w:rPr>
        <w:t>Defined Benefit Superannuation Liability Valuation Estimates</w:t>
      </w:r>
    </w:p>
    <w:p w14:paraId="0AFB3E40" w14:textId="77777777" w:rsidR="00A60D4B" w:rsidRPr="00F16A35" w:rsidRDefault="00A60D4B" w:rsidP="00A60D4B">
      <w:pPr>
        <w:pStyle w:val="Bbodytext"/>
      </w:pPr>
      <w:r w:rsidRPr="00F16A35">
        <w:t xml:space="preserve">Retirement benefits for the Commonwealth superannuation schemes can include both lump sum payments and ongoing pension payments. As these retirement benefits can continue to be paid well into the future, the estimated financial obligation is measured on a discounted basis. The liability valuation is the present value of the future expected payments resulting from employee service in the current and prior periods. </w:t>
      </w:r>
    </w:p>
    <w:p w14:paraId="638FE0AF" w14:textId="77777777" w:rsidR="00A60D4B" w:rsidRPr="00F16A35" w:rsidRDefault="00A60D4B" w:rsidP="00A60D4B">
      <w:pPr>
        <w:pStyle w:val="Bbodytext"/>
      </w:pPr>
      <w:r w:rsidRPr="00F16A35">
        <w:t>Actuarial assumptions of future events are necessary to measure the present value of the financial obligation. The financial and demographic assumptions are the best estimates of the variables that determine the annual benefit payments and the ultimate cost of the financial obligation.</w:t>
      </w:r>
    </w:p>
    <w:p w14:paraId="21AB85B3" w14:textId="77777777" w:rsidR="00A60D4B" w:rsidRDefault="00A60D4B" w:rsidP="00A60D4B">
      <w:pPr>
        <w:pStyle w:val="Bbodytext"/>
      </w:pPr>
      <w:r w:rsidRPr="00F16A35">
        <w:t xml:space="preserve">The estimated defined benefit superannuation liability, service and interest cost expense and benefit payments are set out in Table </w:t>
      </w:r>
      <w:r>
        <w:t>3.8.5</w:t>
      </w:r>
      <w:r w:rsidRPr="00F16A35">
        <w:t>.</w:t>
      </w:r>
    </w:p>
    <w:p w14:paraId="4C34DBA0" w14:textId="77777777" w:rsidR="00A60D4B" w:rsidRDefault="00A60D4B">
      <w:pPr>
        <w:rPr>
          <w:sz w:val="24"/>
        </w:rPr>
      </w:pPr>
      <w:r>
        <w:br w:type="page"/>
      </w:r>
    </w:p>
    <w:p w14:paraId="22DA5A6D" w14:textId="77777777" w:rsidR="00A60D4B" w:rsidRPr="00F16A35" w:rsidRDefault="00A60D4B" w:rsidP="00A60D4B">
      <w:pPr>
        <w:pStyle w:val="Bbodytext"/>
      </w:pPr>
    </w:p>
    <w:p w14:paraId="2DCBBE26" w14:textId="0C807F5F" w:rsidR="00A60D4B" w:rsidRPr="00FF75BA" w:rsidRDefault="00A60D4B" w:rsidP="00A60D4B">
      <w:pPr>
        <w:pStyle w:val="Caption"/>
        <w:keepLines/>
      </w:pPr>
      <w:r>
        <w:t xml:space="preserve">Table </w:t>
      </w:r>
      <w:r w:rsidR="00FB4E5C">
        <w:fldChar w:fldCharType="begin"/>
      </w:r>
      <w:r w:rsidR="00FB4E5C">
        <w:instrText xml:space="preserve"> STYLEREF 2 \s </w:instrText>
      </w:r>
      <w:r w:rsidR="00FB4E5C">
        <w:fldChar w:fldCharType="separate"/>
      </w:r>
      <w:r w:rsidR="00F12A80">
        <w:rPr>
          <w:noProof/>
        </w:rPr>
        <w:t>3.8</w:t>
      </w:r>
      <w:r w:rsidR="00FB4E5C">
        <w:rPr>
          <w:noProof/>
        </w:rPr>
        <w:fldChar w:fldCharType="end"/>
      </w:r>
      <w:r>
        <w:t>.</w:t>
      </w:r>
      <w:r w:rsidR="00FB4E5C">
        <w:fldChar w:fldCharType="begin"/>
      </w:r>
      <w:r w:rsidR="00FB4E5C">
        <w:instrText xml:space="preserve"> SEQ Table \* ARABIC \s 2 </w:instrText>
      </w:r>
      <w:r w:rsidR="00FB4E5C">
        <w:fldChar w:fldCharType="separate"/>
      </w:r>
      <w:r w:rsidR="00F12A80">
        <w:rPr>
          <w:noProof/>
        </w:rPr>
        <w:t>5</w:t>
      </w:r>
      <w:r w:rsidR="00FB4E5C">
        <w:rPr>
          <w:noProof/>
        </w:rPr>
        <w:fldChar w:fldCharType="end"/>
      </w:r>
      <w:r w:rsidRPr="00F16A35">
        <w:t>: Defined benefit superannuation liability valuation</w:t>
      </w:r>
    </w:p>
    <w:tbl>
      <w:tblPr>
        <w:tblW w:w="9026"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451"/>
        <w:gridCol w:w="1315"/>
        <w:gridCol w:w="1315"/>
        <w:gridCol w:w="1315"/>
        <w:gridCol w:w="1315"/>
        <w:gridCol w:w="1315"/>
      </w:tblGrid>
      <w:tr w:rsidR="00A60D4B" w:rsidRPr="00F16A35" w14:paraId="0EB88CCC" w14:textId="77777777" w:rsidTr="00A60D4B">
        <w:trPr>
          <w:trHeight w:val="156"/>
        </w:trPr>
        <w:tc>
          <w:tcPr>
            <w:tcW w:w="2451" w:type="dxa"/>
            <w:tcBorders>
              <w:top w:val="single" w:sz="4" w:space="0" w:color="auto"/>
            </w:tcBorders>
            <w:shd w:val="clear" w:color="auto" w:fill="472D8C"/>
          </w:tcPr>
          <w:p w14:paraId="7C4A7445" w14:textId="77777777" w:rsidR="00A60D4B" w:rsidRPr="00FF7727" w:rsidRDefault="00A60D4B" w:rsidP="00A60D4B">
            <w:pPr>
              <w:pStyle w:val="Emptycell"/>
              <w:keepNext/>
              <w:keepLines/>
              <w:numPr>
                <w:ilvl w:val="0"/>
                <w:numId w:val="0"/>
              </w:numPr>
            </w:pPr>
          </w:p>
        </w:tc>
        <w:tc>
          <w:tcPr>
            <w:tcW w:w="1315" w:type="dxa"/>
            <w:tcBorders>
              <w:top w:val="single" w:sz="4" w:space="0" w:color="auto"/>
              <w:bottom w:val="single" w:sz="4" w:space="0" w:color="auto"/>
            </w:tcBorders>
            <w:shd w:val="clear" w:color="auto" w:fill="472D8C"/>
          </w:tcPr>
          <w:p w14:paraId="4F5B6B4F" w14:textId="77777777" w:rsidR="00A60D4B" w:rsidRPr="00AF669D" w:rsidRDefault="00A60D4B" w:rsidP="00A60D4B">
            <w:pPr>
              <w:pStyle w:val="BTableHeadingRowRightAligned"/>
              <w:rPr>
                <w:color w:val="FFFFFF" w:themeColor="background1"/>
              </w:rPr>
            </w:pPr>
            <w:r w:rsidRPr="00AF669D">
              <w:rPr>
                <w:color w:val="FFFFFF" w:themeColor="background1"/>
              </w:rPr>
              <w:t>2020-21 Interim Outcome</w:t>
            </w:r>
          </w:p>
          <w:p w14:paraId="01309370" w14:textId="77777777" w:rsidR="00A60D4B" w:rsidRPr="00AF669D" w:rsidRDefault="00A60D4B" w:rsidP="00A60D4B">
            <w:pPr>
              <w:pStyle w:val="BTableHeadingRowRightAligned"/>
              <w:rPr>
                <w:color w:val="FFFFFF" w:themeColor="background1"/>
              </w:rPr>
            </w:pPr>
            <w:r w:rsidRPr="00AF669D">
              <w:rPr>
                <w:color w:val="FFFFFF" w:themeColor="background1"/>
              </w:rPr>
              <w:t>$’000</w:t>
            </w:r>
          </w:p>
        </w:tc>
        <w:tc>
          <w:tcPr>
            <w:tcW w:w="1315" w:type="dxa"/>
            <w:tcBorders>
              <w:top w:val="single" w:sz="4" w:space="0" w:color="auto"/>
              <w:bottom w:val="single" w:sz="4" w:space="0" w:color="auto"/>
            </w:tcBorders>
            <w:shd w:val="clear" w:color="auto" w:fill="472D8C"/>
          </w:tcPr>
          <w:p w14:paraId="3F94EC14" w14:textId="77777777" w:rsidR="00A60D4B" w:rsidRPr="00AF669D" w:rsidRDefault="00A60D4B" w:rsidP="00A60D4B">
            <w:pPr>
              <w:pStyle w:val="BTableHeadingRowRightAligned"/>
              <w:rPr>
                <w:color w:val="FFFFFF" w:themeColor="background1"/>
              </w:rPr>
            </w:pPr>
            <w:r w:rsidRPr="00AF669D">
              <w:rPr>
                <w:color w:val="FFFFFF" w:themeColor="background1"/>
              </w:rPr>
              <w:t>2021-22 Budget</w:t>
            </w:r>
          </w:p>
          <w:p w14:paraId="4F31A48A" w14:textId="77777777" w:rsidR="00A60D4B" w:rsidRPr="00AF669D" w:rsidRDefault="00A60D4B" w:rsidP="00A60D4B">
            <w:pPr>
              <w:pStyle w:val="BTableHeadingRowRightAligned"/>
              <w:rPr>
                <w:color w:val="FFFFFF" w:themeColor="background1"/>
              </w:rPr>
            </w:pPr>
          </w:p>
          <w:p w14:paraId="3E822F4E" w14:textId="77777777" w:rsidR="00A60D4B" w:rsidRPr="00AF669D" w:rsidRDefault="00A60D4B" w:rsidP="00A60D4B">
            <w:pPr>
              <w:pStyle w:val="BTableHeadingRowRightAligned"/>
              <w:rPr>
                <w:color w:val="FFFFFF" w:themeColor="background1"/>
              </w:rPr>
            </w:pPr>
            <w:r w:rsidRPr="00AF669D">
              <w:rPr>
                <w:color w:val="FFFFFF" w:themeColor="background1"/>
              </w:rPr>
              <w:t>$’000</w:t>
            </w:r>
          </w:p>
        </w:tc>
        <w:tc>
          <w:tcPr>
            <w:tcW w:w="1315" w:type="dxa"/>
            <w:tcBorders>
              <w:top w:val="single" w:sz="4" w:space="0" w:color="auto"/>
              <w:bottom w:val="single" w:sz="4" w:space="0" w:color="auto"/>
            </w:tcBorders>
            <w:shd w:val="clear" w:color="auto" w:fill="472D8C"/>
          </w:tcPr>
          <w:p w14:paraId="235D8FC4" w14:textId="77777777" w:rsidR="00A60D4B" w:rsidRPr="00AF669D" w:rsidRDefault="00A60D4B" w:rsidP="00A60D4B">
            <w:pPr>
              <w:pStyle w:val="BTableHeadingRowRightAligned"/>
              <w:rPr>
                <w:color w:val="FFFFFF" w:themeColor="background1"/>
              </w:rPr>
            </w:pPr>
            <w:r w:rsidRPr="00AF669D">
              <w:rPr>
                <w:color w:val="FFFFFF" w:themeColor="background1"/>
              </w:rPr>
              <w:t>2022-23 Estimate</w:t>
            </w:r>
          </w:p>
          <w:p w14:paraId="5761102B" w14:textId="77777777" w:rsidR="00A60D4B" w:rsidRPr="00AF669D" w:rsidRDefault="00A60D4B" w:rsidP="00A60D4B">
            <w:pPr>
              <w:pStyle w:val="BTableHeadingRowRightAligned"/>
              <w:rPr>
                <w:color w:val="FFFFFF" w:themeColor="background1"/>
              </w:rPr>
            </w:pPr>
          </w:p>
          <w:p w14:paraId="41B623C7" w14:textId="77777777" w:rsidR="00A60D4B" w:rsidRPr="00AF669D" w:rsidRDefault="00A60D4B" w:rsidP="00A60D4B">
            <w:pPr>
              <w:pStyle w:val="BTableHeadingRowRightAligned"/>
              <w:rPr>
                <w:color w:val="FFFFFF" w:themeColor="background1"/>
              </w:rPr>
            </w:pPr>
            <w:r w:rsidRPr="00AF669D">
              <w:rPr>
                <w:color w:val="FFFFFF" w:themeColor="background1"/>
              </w:rPr>
              <w:t>$’000</w:t>
            </w:r>
          </w:p>
        </w:tc>
        <w:tc>
          <w:tcPr>
            <w:tcW w:w="1315" w:type="dxa"/>
            <w:tcBorders>
              <w:top w:val="single" w:sz="4" w:space="0" w:color="auto"/>
              <w:bottom w:val="single" w:sz="4" w:space="0" w:color="auto"/>
            </w:tcBorders>
            <w:shd w:val="clear" w:color="auto" w:fill="472D8C"/>
          </w:tcPr>
          <w:p w14:paraId="03876130" w14:textId="77777777" w:rsidR="00A60D4B" w:rsidRPr="00AF669D" w:rsidRDefault="00A60D4B" w:rsidP="00A60D4B">
            <w:pPr>
              <w:pStyle w:val="BTableHeadingRowRightAligned"/>
              <w:rPr>
                <w:color w:val="FFFFFF" w:themeColor="background1"/>
              </w:rPr>
            </w:pPr>
            <w:r w:rsidRPr="00AF669D">
              <w:rPr>
                <w:color w:val="FFFFFF" w:themeColor="background1"/>
              </w:rPr>
              <w:t>2023-24 Estimate</w:t>
            </w:r>
          </w:p>
          <w:p w14:paraId="7BA82462" w14:textId="77777777" w:rsidR="00A60D4B" w:rsidRPr="00AF669D" w:rsidRDefault="00A60D4B" w:rsidP="00A60D4B">
            <w:pPr>
              <w:pStyle w:val="BTableHeadingRowRightAligned"/>
              <w:rPr>
                <w:color w:val="FFFFFF" w:themeColor="background1"/>
              </w:rPr>
            </w:pPr>
          </w:p>
          <w:p w14:paraId="7C88BB69" w14:textId="77777777" w:rsidR="00A60D4B" w:rsidRPr="00AF669D" w:rsidRDefault="00A60D4B" w:rsidP="00A60D4B">
            <w:pPr>
              <w:pStyle w:val="BTableHeadingRowRightAligned"/>
              <w:rPr>
                <w:color w:val="FFFFFF" w:themeColor="background1"/>
              </w:rPr>
            </w:pPr>
            <w:r w:rsidRPr="00AF669D">
              <w:rPr>
                <w:color w:val="FFFFFF" w:themeColor="background1"/>
              </w:rPr>
              <w:t>$’000</w:t>
            </w:r>
          </w:p>
        </w:tc>
        <w:tc>
          <w:tcPr>
            <w:tcW w:w="1315" w:type="dxa"/>
            <w:tcBorders>
              <w:top w:val="single" w:sz="4" w:space="0" w:color="auto"/>
              <w:bottom w:val="single" w:sz="4" w:space="0" w:color="auto"/>
            </w:tcBorders>
            <w:shd w:val="clear" w:color="auto" w:fill="472D8C"/>
          </w:tcPr>
          <w:p w14:paraId="248A9612" w14:textId="77777777" w:rsidR="00A60D4B" w:rsidRPr="00AF669D" w:rsidRDefault="00A60D4B" w:rsidP="00A60D4B">
            <w:pPr>
              <w:pStyle w:val="BTableHeadingRowRightAligned"/>
              <w:rPr>
                <w:color w:val="FFFFFF" w:themeColor="background1"/>
              </w:rPr>
            </w:pPr>
            <w:r w:rsidRPr="00AF669D">
              <w:rPr>
                <w:color w:val="FFFFFF" w:themeColor="background1"/>
              </w:rPr>
              <w:t>2024-25 Estimate</w:t>
            </w:r>
          </w:p>
          <w:p w14:paraId="73ABEBCE" w14:textId="77777777" w:rsidR="00A60D4B" w:rsidRPr="00AF669D" w:rsidRDefault="00A60D4B" w:rsidP="00A60D4B">
            <w:pPr>
              <w:pStyle w:val="BTableHeadingRowRightAligned"/>
              <w:rPr>
                <w:color w:val="FFFFFF" w:themeColor="background1"/>
              </w:rPr>
            </w:pPr>
          </w:p>
          <w:p w14:paraId="258231AD" w14:textId="77777777" w:rsidR="00A60D4B" w:rsidRPr="00AF669D" w:rsidRDefault="00A60D4B" w:rsidP="00A60D4B">
            <w:pPr>
              <w:pStyle w:val="BTableHeadingRowRightAligned"/>
              <w:rPr>
                <w:color w:val="FFFFFF" w:themeColor="background1"/>
              </w:rPr>
            </w:pPr>
            <w:r w:rsidRPr="00AF669D">
              <w:rPr>
                <w:color w:val="FFFFFF" w:themeColor="background1"/>
              </w:rPr>
              <w:t>$’000</w:t>
            </w:r>
          </w:p>
        </w:tc>
      </w:tr>
      <w:tr w:rsidR="00A60D4B" w:rsidRPr="00F16A35" w14:paraId="130575EC" w14:textId="77777777" w:rsidTr="00A60D4B">
        <w:trPr>
          <w:trHeight w:val="270"/>
        </w:trPr>
        <w:tc>
          <w:tcPr>
            <w:tcW w:w="2451" w:type="dxa"/>
            <w:tcBorders>
              <w:top w:val="nil"/>
              <w:bottom w:val="nil"/>
            </w:tcBorders>
          </w:tcPr>
          <w:p w14:paraId="58FE2482" w14:textId="77777777" w:rsidR="00A60D4B" w:rsidRPr="00F16A35" w:rsidRDefault="00A60D4B" w:rsidP="00A60D4B">
            <w:pPr>
              <w:pStyle w:val="Btabletextbold"/>
            </w:pPr>
            <w:r w:rsidRPr="00F16A35">
              <w:t>Opening liability</w:t>
            </w:r>
          </w:p>
        </w:tc>
        <w:tc>
          <w:tcPr>
            <w:tcW w:w="1315" w:type="dxa"/>
            <w:tcBorders>
              <w:top w:val="nil"/>
              <w:bottom w:val="nil"/>
            </w:tcBorders>
          </w:tcPr>
          <w:p w14:paraId="28CB641F" w14:textId="77777777" w:rsidR="00A60D4B" w:rsidRPr="00F16A35" w:rsidRDefault="00A60D4B" w:rsidP="00A60D4B">
            <w:pPr>
              <w:pStyle w:val="BTablefigureBold"/>
            </w:pPr>
            <w:r w:rsidRPr="00F16A35">
              <w:t>1</w:t>
            </w:r>
            <w:r>
              <w:t>2</w:t>
            </w:r>
            <w:r w:rsidRPr="00F16A35">
              <w:t>,</w:t>
            </w:r>
            <w:r>
              <w:t>053</w:t>
            </w:r>
            <w:r w:rsidRPr="00F16A35">
              <w:t>,</w:t>
            </w:r>
            <w:r>
              <w:t>516</w:t>
            </w:r>
          </w:p>
        </w:tc>
        <w:tc>
          <w:tcPr>
            <w:tcW w:w="1315" w:type="dxa"/>
            <w:tcBorders>
              <w:top w:val="nil"/>
              <w:bottom w:val="nil"/>
            </w:tcBorders>
          </w:tcPr>
          <w:p w14:paraId="1DCCCB63" w14:textId="77777777" w:rsidR="00A60D4B" w:rsidRPr="00F16A35" w:rsidRDefault="00A60D4B" w:rsidP="00A60D4B">
            <w:pPr>
              <w:pStyle w:val="BTablefigureBold"/>
            </w:pPr>
            <w:r w:rsidRPr="00F16A35">
              <w:t>1</w:t>
            </w:r>
            <w:r>
              <w:t>3</w:t>
            </w:r>
            <w:r w:rsidRPr="00F16A35">
              <w:t>,</w:t>
            </w:r>
            <w:r>
              <w:t>230</w:t>
            </w:r>
            <w:r w:rsidRPr="00F16A35">
              <w:t>,</w:t>
            </w:r>
            <w:r>
              <w:t>023</w:t>
            </w:r>
          </w:p>
        </w:tc>
        <w:tc>
          <w:tcPr>
            <w:tcW w:w="1315" w:type="dxa"/>
            <w:tcBorders>
              <w:top w:val="nil"/>
              <w:bottom w:val="nil"/>
            </w:tcBorders>
            <w:shd w:val="clear" w:color="auto" w:fill="auto"/>
          </w:tcPr>
          <w:p w14:paraId="54A34B70" w14:textId="77777777" w:rsidR="00A60D4B" w:rsidRPr="00F16A35" w:rsidRDefault="00A60D4B" w:rsidP="00A60D4B">
            <w:pPr>
              <w:pStyle w:val="BTablefigureBold"/>
            </w:pPr>
            <w:r>
              <w:t>10</w:t>
            </w:r>
            <w:r w:rsidRPr="00F16A35">
              <w:t>,</w:t>
            </w:r>
            <w:r>
              <w:t>101</w:t>
            </w:r>
            <w:r w:rsidRPr="00F16A35">
              <w:t>,</w:t>
            </w:r>
            <w:r>
              <w:t>593</w:t>
            </w:r>
          </w:p>
        </w:tc>
        <w:tc>
          <w:tcPr>
            <w:tcW w:w="1315" w:type="dxa"/>
            <w:tcBorders>
              <w:top w:val="nil"/>
              <w:bottom w:val="nil"/>
            </w:tcBorders>
          </w:tcPr>
          <w:p w14:paraId="1791E38D" w14:textId="77777777" w:rsidR="00A60D4B" w:rsidRPr="00F16A35" w:rsidRDefault="00A60D4B" w:rsidP="00A60D4B">
            <w:pPr>
              <w:pStyle w:val="BTablefigureBold"/>
            </w:pPr>
            <w:r>
              <w:t>10</w:t>
            </w:r>
            <w:r w:rsidRPr="00F16A35">
              <w:t>,</w:t>
            </w:r>
            <w:r>
              <w:t>344</w:t>
            </w:r>
            <w:r w:rsidRPr="00F16A35">
              <w:t>,</w:t>
            </w:r>
            <w:r>
              <w:t>651</w:t>
            </w:r>
          </w:p>
        </w:tc>
        <w:tc>
          <w:tcPr>
            <w:tcW w:w="1315" w:type="dxa"/>
            <w:tcBorders>
              <w:top w:val="nil"/>
              <w:bottom w:val="nil"/>
            </w:tcBorders>
            <w:shd w:val="clear" w:color="auto" w:fill="auto"/>
          </w:tcPr>
          <w:p w14:paraId="52D36639" w14:textId="77777777" w:rsidR="00A60D4B" w:rsidRPr="00F16A35" w:rsidRDefault="00A60D4B" w:rsidP="00A60D4B">
            <w:pPr>
              <w:pStyle w:val="BTablefigureBold"/>
            </w:pPr>
            <w:r>
              <w:t>10</w:t>
            </w:r>
            <w:r w:rsidRPr="00F16A35">
              <w:t>,</w:t>
            </w:r>
            <w:r>
              <w:t>566</w:t>
            </w:r>
            <w:r w:rsidRPr="00F16A35">
              <w:t>,</w:t>
            </w:r>
            <w:r>
              <w:t>258</w:t>
            </w:r>
          </w:p>
        </w:tc>
      </w:tr>
      <w:tr w:rsidR="00A60D4B" w:rsidRPr="00F16A35" w14:paraId="7B7D2C6D" w14:textId="77777777" w:rsidTr="00A60D4B">
        <w:trPr>
          <w:trHeight w:val="270"/>
        </w:trPr>
        <w:tc>
          <w:tcPr>
            <w:tcW w:w="2451" w:type="dxa"/>
            <w:tcBorders>
              <w:top w:val="nil"/>
              <w:bottom w:val="nil"/>
            </w:tcBorders>
          </w:tcPr>
          <w:p w14:paraId="538990B6" w14:textId="77777777" w:rsidR="00A60D4B" w:rsidRPr="00F16A35" w:rsidRDefault="00A60D4B" w:rsidP="00A60D4B">
            <w:pPr>
              <w:pStyle w:val="Btabletextunbold"/>
            </w:pPr>
            <w:r w:rsidRPr="00F16A35">
              <w:t>Service cost</w:t>
            </w:r>
            <w:r w:rsidRPr="00F16A35">
              <w:rPr>
                <w:vertAlign w:val="superscript"/>
              </w:rPr>
              <w:t>1</w:t>
            </w:r>
          </w:p>
        </w:tc>
        <w:tc>
          <w:tcPr>
            <w:tcW w:w="1315" w:type="dxa"/>
            <w:tcBorders>
              <w:top w:val="nil"/>
              <w:bottom w:val="nil"/>
            </w:tcBorders>
          </w:tcPr>
          <w:p w14:paraId="5F8175E0" w14:textId="77777777" w:rsidR="00A60D4B" w:rsidRPr="00F16A35" w:rsidRDefault="00A60D4B" w:rsidP="00A60D4B">
            <w:pPr>
              <w:keepNext/>
              <w:keepLines/>
              <w:spacing w:after="0" w:line="240" w:lineRule="auto"/>
              <w:ind w:left="227" w:hanging="227"/>
              <w:jc w:val="right"/>
              <w:rPr>
                <w:rFonts w:ascii="Calibri" w:hAnsi="Calibri"/>
                <w:sz w:val="20"/>
              </w:rPr>
            </w:pPr>
            <w:r w:rsidRPr="00F16A35">
              <w:rPr>
                <w:rFonts w:ascii="Calibri" w:hAnsi="Calibri"/>
                <w:sz w:val="20"/>
              </w:rPr>
              <w:t>2</w:t>
            </w:r>
            <w:r>
              <w:rPr>
                <w:rFonts w:ascii="Calibri" w:hAnsi="Calibri"/>
                <w:sz w:val="20"/>
              </w:rPr>
              <w:t>68</w:t>
            </w:r>
            <w:r w:rsidRPr="00F16A35">
              <w:rPr>
                <w:rFonts w:ascii="Calibri" w:hAnsi="Calibri"/>
                <w:sz w:val="20"/>
              </w:rPr>
              <w:t>,</w:t>
            </w:r>
            <w:r>
              <w:rPr>
                <w:rFonts w:ascii="Calibri" w:hAnsi="Calibri"/>
                <w:sz w:val="20"/>
              </w:rPr>
              <w:t>995</w:t>
            </w:r>
          </w:p>
        </w:tc>
        <w:tc>
          <w:tcPr>
            <w:tcW w:w="1315" w:type="dxa"/>
            <w:tcBorders>
              <w:top w:val="nil"/>
              <w:bottom w:val="nil"/>
            </w:tcBorders>
          </w:tcPr>
          <w:p w14:paraId="0493F177" w14:textId="77777777" w:rsidR="00A60D4B" w:rsidRPr="00F16A35" w:rsidRDefault="00A60D4B" w:rsidP="00A60D4B">
            <w:pPr>
              <w:keepNext/>
              <w:keepLines/>
              <w:spacing w:after="0" w:line="240" w:lineRule="auto"/>
              <w:ind w:left="227" w:hanging="227"/>
              <w:jc w:val="right"/>
              <w:rPr>
                <w:rFonts w:ascii="Calibri" w:hAnsi="Calibri"/>
                <w:bCs/>
                <w:sz w:val="20"/>
              </w:rPr>
            </w:pPr>
            <w:r>
              <w:rPr>
                <w:rFonts w:ascii="Calibri" w:hAnsi="Calibri"/>
                <w:bCs/>
                <w:sz w:val="20"/>
              </w:rPr>
              <w:t>309</w:t>
            </w:r>
            <w:r w:rsidRPr="00F16A35">
              <w:rPr>
                <w:rFonts w:ascii="Calibri" w:hAnsi="Calibri"/>
                <w:bCs/>
                <w:sz w:val="20"/>
              </w:rPr>
              <w:t>,</w:t>
            </w:r>
            <w:r>
              <w:rPr>
                <w:rFonts w:ascii="Calibri" w:hAnsi="Calibri"/>
                <w:bCs/>
                <w:sz w:val="20"/>
              </w:rPr>
              <w:t>632</w:t>
            </w:r>
          </w:p>
        </w:tc>
        <w:tc>
          <w:tcPr>
            <w:tcW w:w="1315" w:type="dxa"/>
            <w:tcBorders>
              <w:top w:val="nil"/>
              <w:bottom w:val="nil"/>
            </w:tcBorders>
            <w:shd w:val="clear" w:color="auto" w:fill="auto"/>
          </w:tcPr>
          <w:p w14:paraId="3AA3029A" w14:textId="77777777" w:rsidR="00A60D4B" w:rsidRPr="00F16A35" w:rsidRDefault="00A60D4B" w:rsidP="00A60D4B">
            <w:pPr>
              <w:keepNext/>
              <w:keepLines/>
              <w:spacing w:after="0" w:line="240" w:lineRule="auto"/>
              <w:ind w:left="227" w:hanging="227"/>
              <w:jc w:val="right"/>
              <w:rPr>
                <w:rFonts w:ascii="Calibri" w:hAnsi="Calibri"/>
                <w:bCs/>
                <w:sz w:val="20"/>
              </w:rPr>
            </w:pPr>
            <w:r>
              <w:rPr>
                <w:rFonts w:ascii="Calibri" w:hAnsi="Calibri"/>
                <w:bCs/>
                <w:sz w:val="20"/>
              </w:rPr>
              <w:t>187</w:t>
            </w:r>
            <w:r w:rsidRPr="00F16A35">
              <w:rPr>
                <w:rFonts w:ascii="Calibri" w:hAnsi="Calibri"/>
                <w:bCs/>
                <w:sz w:val="20"/>
              </w:rPr>
              <w:t>,</w:t>
            </w:r>
            <w:r>
              <w:rPr>
                <w:rFonts w:ascii="Calibri" w:hAnsi="Calibri"/>
                <w:bCs/>
                <w:sz w:val="20"/>
              </w:rPr>
              <w:t>321</w:t>
            </w:r>
          </w:p>
        </w:tc>
        <w:tc>
          <w:tcPr>
            <w:tcW w:w="1315" w:type="dxa"/>
            <w:tcBorders>
              <w:top w:val="nil"/>
              <w:bottom w:val="nil"/>
            </w:tcBorders>
          </w:tcPr>
          <w:p w14:paraId="1AA79368" w14:textId="77777777" w:rsidR="00A60D4B" w:rsidRPr="00F16A35" w:rsidRDefault="00A60D4B" w:rsidP="00A60D4B">
            <w:pPr>
              <w:keepNext/>
              <w:keepLines/>
              <w:spacing w:after="0" w:line="240" w:lineRule="auto"/>
              <w:ind w:left="227" w:hanging="227"/>
              <w:jc w:val="right"/>
              <w:rPr>
                <w:rFonts w:ascii="Calibri" w:hAnsi="Calibri"/>
                <w:bCs/>
                <w:sz w:val="20"/>
              </w:rPr>
            </w:pPr>
            <w:r>
              <w:rPr>
                <w:rFonts w:ascii="Calibri" w:hAnsi="Calibri"/>
                <w:bCs/>
                <w:sz w:val="20"/>
              </w:rPr>
              <w:t>178</w:t>
            </w:r>
            <w:r w:rsidRPr="00F16A35">
              <w:rPr>
                <w:rFonts w:ascii="Calibri" w:hAnsi="Calibri"/>
                <w:bCs/>
                <w:sz w:val="20"/>
              </w:rPr>
              <w:t>,</w:t>
            </w:r>
            <w:r>
              <w:rPr>
                <w:rFonts w:ascii="Calibri" w:hAnsi="Calibri"/>
                <w:bCs/>
                <w:sz w:val="20"/>
              </w:rPr>
              <w:t>074</w:t>
            </w:r>
          </w:p>
        </w:tc>
        <w:tc>
          <w:tcPr>
            <w:tcW w:w="1315" w:type="dxa"/>
            <w:tcBorders>
              <w:top w:val="nil"/>
              <w:bottom w:val="nil"/>
            </w:tcBorders>
            <w:shd w:val="clear" w:color="auto" w:fill="auto"/>
          </w:tcPr>
          <w:p w14:paraId="29CEBEDF" w14:textId="77777777" w:rsidR="00A60D4B" w:rsidRPr="00F16A35" w:rsidRDefault="00A60D4B" w:rsidP="00A60D4B">
            <w:pPr>
              <w:keepNext/>
              <w:keepLines/>
              <w:spacing w:after="0" w:line="240" w:lineRule="auto"/>
              <w:ind w:left="227" w:hanging="227"/>
              <w:jc w:val="right"/>
              <w:rPr>
                <w:rFonts w:ascii="Calibri" w:hAnsi="Calibri"/>
                <w:bCs/>
                <w:sz w:val="20"/>
              </w:rPr>
            </w:pPr>
            <w:r w:rsidRPr="00F16A35">
              <w:rPr>
                <w:rFonts w:ascii="Calibri" w:hAnsi="Calibri"/>
                <w:bCs/>
                <w:sz w:val="20"/>
              </w:rPr>
              <w:t>1</w:t>
            </w:r>
            <w:r>
              <w:rPr>
                <w:rFonts w:ascii="Calibri" w:hAnsi="Calibri"/>
                <w:bCs/>
                <w:sz w:val="20"/>
              </w:rPr>
              <w:t>68</w:t>
            </w:r>
            <w:r w:rsidRPr="00F16A35">
              <w:rPr>
                <w:rFonts w:ascii="Calibri" w:hAnsi="Calibri"/>
                <w:bCs/>
                <w:sz w:val="20"/>
              </w:rPr>
              <w:t>,</w:t>
            </w:r>
            <w:r>
              <w:rPr>
                <w:rFonts w:ascii="Calibri" w:hAnsi="Calibri"/>
                <w:bCs/>
                <w:sz w:val="20"/>
              </w:rPr>
              <w:t>993</w:t>
            </w:r>
          </w:p>
        </w:tc>
      </w:tr>
      <w:tr w:rsidR="00A60D4B" w:rsidRPr="00F16A35" w14:paraId="2FE554F2" w14:textId="77777777" w:rsidTr="00A60D4B">
        <w:trPr>
          <w:trHeight w:val="270"/>
        </w:trPr>
        <w:tc>
          <w:tcPr>
            <w:tcW w:w="2451" w:type="dxa"/>
            <w:tcBorders>
              <w:top w:val="nil"/>
              <w:bottom w:val="nil"/>
            </w:tcBorders>
          </w:tcPr>
          <w:p w14:paraId="0C1E5360" w14:textId="77777777" w:rsidR="00A60D4B" w:rsidRPr="00F16A35" w:rsidRDefault="00A60D4B" w:rsidP="00A60D4B">
            <w:pPr>
              <w:pStyle w:val="Btabletextunbold"/>
            </w:pPr>
            <w:r w:rsidRPr="00F16A35">
              <w:t>Interest cost</w:t>
            </w:r>
            <w:r w:rsidRPr="00F16A35">
              <w:rPr>
                <w:vertAlign w:val="superscript"/>
              </w:rPr>
              <w:t>1</w:t>
            </w:r>
          </w:p>
        </w:tc>
        <w:tc>
          <w:tcPr>
            <w:tcW w:w="1315" w:type="dxa"/>
            <w:tcBorders>
              <w:top w:val="nil"/>
              <w:bottom w:val="nil"/>
            </w:tcBorders>
          </w:tcPr>
          <w:p w14:paraId="0271546F" w14:textId="77777777" w:rsidR="00A60D4B" w:rsidRPr="00F16A35" w:rsidRDefault="00A60D4B" w:rsidP="00A60D4B">
            <w:pPr>
              <w:keepNext/>
              <w:keepLines/>
              <w:spacing w:after="0" w:line="240" w:lineRule="auto"/>
              <w:ind w:left="227" w:hanging="227"/>
              <w:jc w:val="right"/>
              <w:rPr>
                <w:rFonts w:ascii="Calibri" w:hAnsi="Calibri"/>
                <w:sz w:val="20"/>
              </w:rPr>
            </w:pPr>
            <w:r w:rsidRPr="00F16A35">
              <w:rPr>
                <w:rFonts w:ascii="Calibri" w:hAnsi="Calibri"/>
                <w:sz w:val="20"/>
              </w:rPr>
              <w:t>2</w:t>
            </w:r>
            <w:r>
              <w:rPr>
                <w:rFonts w:ascii="Calibri" w:hAnsi="Calibri"/>
                <w:sz w:val="20"/>
              </w:rPr>
              <w:t>10</w:t>
            </w:r>
            <w:r w:rsidRPr="00F16A35">
              <w:rPr>
                <w:rFonts w:ascii="Calibri" w:hAnsi="Calibri"/>
                <w:sz w:val="20"/>
              </w:rPr>
              <w:t>,</w:t>
            </w:r>
            <w:r>
              <w:rPr>
                <w:rFonts w:ascii="Calibri" w:hAnsi="Calibri"/>
                <w:sz w:val="20"/>
              </w:rPr>
              <w:t>537</w:t>
            </w:r>
          </w:p>
        </w:tc>
        <w:tc>
          <w:tcPr>
            <w:tcW w:w="1315" w:type="dxa"/>
            <w:tcBorders>
              <w:top w:val="nil"/>
              <w:bottom w:val="nil"/>
            </w:tcBorders>
          </w:tcPr>
          <w:p w14:paraId="50C0CF89" w14:textId="77777777" w:rsidR="00A60D4B" w:rsidRPr="00F16A35" w:rsidRDefault="00A60D4B" w:rsidP="00A60D4B">
            <w:pPr>
              <w:keepNext/>
              <w:keepLines/>
              <w:spacing w:after="0" w:line="240" w:lineRule="auto"/>
              <w:ind w:left="227" w:hanging="227"/>
              <w:jc w:val="right"/>
              <w:rPr>
                <w:rFonts w:ascii="Calibri" w:hAnsi="Calibri"/>
                <w:bCs/>
                <w:sz w:val="20"/>
              </w:rPr>
            </w:pPr>
            <w:r>
              <w:rPr>
                <w:rFonts w:ascii="Calibri" w:hAnsi="Calibri"/>
                <w:bCs/>
                <w:sz w:val="20"/>
              </w:rPr>
              <w:t>302</w:t>
            </w:r>
            <w:r w:rsidRPr="00F16A35">
              <w:rPr>
                <w:rFonts w:ascii="Calibri" w:hAnsi="Calibri"/>
                <w:bCs/>
                <w:sz w:val="20"/>
              </w:rPr>
              <w:t>,</w:t>
            </w:r>
            <w:r>
              <w:rPr>
                <w:rFonts w:ascii="Calibri" w:hAnsi="Calibri"/>
                <w:bCs/>
                <w:sz w:val="20"/>
              </w:rPr>
              <w:t>379</w:t>
            </w:r>
          </w:p>
        </w:tc>
        <w:tc>
          <w:tcPr>
            <w:tcW w:w="1315" w:type="dxa"/>
            <w:tcBorders>
              <w:top w:val="nil"/>
              <w:bottom w:val="nil"/>
            </w:tcBorders>
            <w:shd w:val="clear" w:color="auto" w:fill="auto"/>
          </w:tcPr>
          <w:p w14:paraId="0FE690DE" w14:textId="77777777" w:rsidR="00A60D4B" w:rsidRPr="00F16A35" w:rsidRDefault="00A60D4B" w:rsidP="00A60D4B">
            <w:pPr>
              <w:keepNext/>
              <w:keepLines/>
              <w:spacing w:after="0" w:line="240" w:lineRule="auto"/>
              <w:ind w:left="227" w:hanging="227"/>
              <w:jc w:val="right"/>
              <w:rPr>
                <w:rFonts w:ascii="Calibri" w:hAnsi="Calibri"/>
                <w:bCs/>
                <w:sz w:val="20"/>
              </w:rPr>
            </w:pPr>
            <w:r w:rsidRPr="00F16A35">
              <w:rPr>
                <w:rFonts w:ascii="Calibri" w:hAnsi="Calibri"/>
                <w:bCs/>
                <w:sz w:val="20"/>
              </w:rPr>
              <w:t>4</w:t>
            </w:r>
            <w:r>
              <w:rPr>
                <w:rFonts w:ascii="Calibri" w:hAnsi="Calibri"/>
                <w:bCs/>
                <w:sz w:val="20"/>
              </w:rPr>
              <w:t>04</w:t>
            </w:r>
            <w:r w:rsidRPr="00F16A35">
              <w:rPr>
                <w:rFonts w:ascii="Calibri" w:hAnsi="Calibri"/>
                <w:bCs/>
                <w:sz w:val="20"/>
              </w:rPr>
              <w:t>,</w:t>
            </w:r>
            <w:r>
              <w:rPr>
                <w:rFonts w:ascii="Calibri" w:hAnsi="Calibri"/>
                <w:bCs/>
                <w:sz w:val="20"/>
              </w:rPr>
              <w:t>714</w:t>
            </w:r>
          </w:p>
        </w:tc>
        <w:tc>
          <w:tcPr>
            <w:tcW w:w="1315" w:type="dxa"/>
            <w:tcBorders>
              <w:top w:val="nil"/>
              <w:bottom w:val="nil"/>
            </w:tcBorders>
          </w:tcPr>
          <w:p w14:paraId="1B5053D1" w14:textId="77777777" w:rsidR="00A60D4B" w:rsidRPr="00F16A35" w:rsidRDefault="00A60D4B" w:rsidP="00A60D4B">
            <w:pPr>
              <w:keepNext/>
              <w:keepLines/>
              <w:spacing w:after="0" w:line="240" w:lineRule="auto"/>
              <w:ind w:left="227" w:hanging="227"/>
              <w:jc w:val="right"/>
              <w:rPr>
                <w:rFonts w:ascii="Calibri" w:hAnsi="Calibri"/>
                <w:bCs/>
                <w:sz w:val="20"/>
              </w:rPr>
            </w:pPr>
            <w:r w:rsidRPr="00F16A35">
              <w:rPr>
                <w:rFonts w:ascii="Calibri" w:hAnsi="Calibri"/>
                <w:bCs/>
                <w:sz w:val="20"/>
              </w:rPr>
              <w:t>4</w:t>
            </w:r>
            <w:r>
              <w:rPr>
                <w:rFonts w:ascii="Calibri" w:hAnsi="Calibri"/>
                <w:bCs/>
                <w:sz w:val="20"/>
              </w:rPr>
              <w:t>13</w:t>
            </w:r>
            <w:r w:rsidRPr="00F16A35">
              <w:rPr>
                <w:rFonts w:ascii="Calibri" w:hAnsi="Calibri"/>
                <w:bCs/>
                <w:sz w:val="20"/>
              </w:rPr>
              <w:t>,</w:t>
            </w:r>
            <w:r>
              <w:rPr>
                <w:rFonts w:ascii="Calibri" w:hAnsi="Calibri"/>
                <w:bCs/>
                <w:sz w:val="20"/>
              </w:rPr>
              <w:t>652</w:t>
            </w:r>
          </w:p>
        </w:tc>
        <w:tc>
          <w:tcPr>
            <w:tcW w:w="1315" w:type="dxa"/>
            <w:tcBorders>
              <w:top w:val="nil"/>
              <w:bottom w:val="nil"/>
            </w:tcBorders>
            <w:shd w:val="clear" w:color="auto" w:fill="auto"/>
          </w:tcPr>
          <w:p w14:paraId="73AC311F" w14:textId="77777777" w:rsidR="00A60D4B" w:rsidRPr="00F16A35" w:rsidRDefault="00A60D4B" w:rsidP="00A60D4B">
            <w:pPr>
              <w:keepNext/>
              <w:keepLines/>
              <w:spacing w:after="0" w:line="240" w:lineRule="auto"/>
              <w:ind w:left="227" w:hanging="227"/>
              <w:jc w:val="right"/>
              <w:rPr>
                <w:rFonts w:ascii="Calibri" w:hAnsi="Calibri"/>
                <w:bCs/>
                <w:sz w:val="20"/>
              </w:rPr>
            </w:pPr>
            <w:r w:rsidRPr="00F16A35">
              <w:rPr>
                <w:rFonts w:ascii="Calibri" w:hAnsi="Calibri"/>
                <w:bCs/>
                <w:sz w:val="20"/>
              </w:rPr>
              <w:t>4</w:t>
            </w:r>
            <w:r>
              <w:rPr>
                <w:rFonts w:ascii="Calibri" w:hAnsi="Calibri"/>
                <w:bCs/>
                <w:sz w:val="20"/>
              </w:rPr>
              <w:t>21</w:t>
            </w:r>
            <w:r w:rsidRPr="00F16A35">
              <w:rPr>
                <w:rFonts w:ascii="Calibri" w:hAnsi="Calibri"/>
                <w:bCs/>
                <w:sz w:val="20"/>
              </w:rPr>
              <w:t>,</w:t>
            </w:r>
            <w:r>
              <w:rPr>
                <w:rFonts w:ascii="Calibri" w:hAnsi="Calibri"/>
                <w:bCs/>
                <w:sz w:val="20"/>
              </w:rPr>
              <w:t>708</w:t>
            </w:r>
          </w:p>
        </w:tc>
      </w:tr>
      <w:tr w:rsidR="00A60D4B" w:rsidRPr="00F16A35" w14:paraId="5589E69E" w14:textId="77777777" w:rsidTr="00A60D4B">
        <w:trPr>
          <w:trHeight w:val="270"/>
        </w:trPr>
        <w:tc>
          <w:tcPr>
            <w:tcW w:w="2451" w:type="dxa"/>
            <w:tcBorders>
              <w:top w:val="nil"/>
              <w:bottom w:val="nil"/>
            </w:tcBorders>
          </w:tcPr>
          <w:p w14:paraId="0BF883EF" w14:textId="77777777" w:rsidR="00A60D4B" w:rsidRPr="00F16A35" w:rsidRDefault="00A60D4B" w:rsidP="00A60D4B">
            <w:pPr>
              <w:pStyle w:val="Btabletextunbold"/>
            </w:pPr>
            <w:r w:rsidRPr="00F16A35">
              <w:t>Benefit payments</w:t>
            </w:r>
          </w:p>
        </w:tc>
        <w:tc>
          <w:tcPr>
            <w:tcW w:w="1315" w:type="dxa"/>
            <w:tcBorders>
              <w:top w:val="nil"/>
              <w:bottom w:val="nil"/>
            </w:tcBorders>
          </w:tcPr>
          <w:p w14:paraId="57EA2E41" w14:textId="77777777" w:rsidR="00A60D4B" w:rsidRPr="00F16A35" w:rsidRDefault="00A60D4B" w:rsidP="00A60D4B">
            <w:pPr>
              <w:keepNext/>
              <w:keepLines/>
              <w:spacing w:after="0" w:line="240" w:lineRule="auto"/>
              <w:ind w:left="227" w:hanging="227"/>
              <w:jc w:val="right"/>
              <w:rPr>
                <w:rFonts w:ascii="Calibri" w:hAnsi="Calibri"/>
                <w:sz w:val="20"/>
              </w:rPr>
            </w:pPr>
            <w:r w:rsidRPr="00F16A35">
              <w:rPr>
                <w:rFonts w:ascii="Calibri" w:hAnsi="Calibri"/>
                <w:sz w:val="20"/>
              </w:rPr>
              <w:t>-2</w:t>
            </w:r>
            <w:r>
              <w:rPr>
                <w:rFonts w:ascii="Calibri" w:hAnsi="Calibri"/>
                <w:sz w:val="20"/>
              </w:rPr>
              <w:t>97</w:t>
            </w:r>
            <w:r w:rsidRPr="00F16A35">
              <w:rPr>
                <w:rFonts w:ascii="Calibri" w:hAnsi="Calibri"/>
                <w:sz w:val="20"/>
              </w:rPr>
              <w:t>,</w:t>
            </w:r>
            <w:r>
              <w:rPr>
                <w:rFonts w:ascii="Calibri" w:hAnsi="Calibri"/>
                <w:sz w:val="20"/>
              </w:rPr>
              <w:t>952</w:t>
            </w:r>
          </w:p>
        </w:tc>
        <w:tc>
          <w:tcPr>
            <w:tcW w:w="1315" w:type="dxa"/>
            <w:tcBorders>
              <w:top w:val="nil"/>
              <w:bottom w:val="nil"/>
            </w:tcBorders>
          </w:tcPr>
          <w:p w14:paraId="4DFD69ED" w14:textId="77777777" w:rsidR="00A60D4B" w:rsidRPr="00F16A35" w:rsidRDefault="00A60D4B" w:rsidP="00A60D4B">
            <w:pPr>
              <w:keepNext/>
              <w:keepLines/>
              <w:spacing w:after="0" w:line="240" w:lineRule="auto"/>
              <w:ind w:left="227" w:hanging="227"/>
              <w:jc w:val="right"/>
              <w:rPr>
                <w:rFonts w:ascii="Calibri" w:hAnsi="Calibri"/>
                <w:bCs/>
                <w:sz w:val="20"/>
              </w:rPr>
            </w:pPr>
            <w:r w:rsidRPr="00F16A35">
              <w:rPr>
                <w:rFonts w:ascii="Calibri" w:hAnsi="Calibri"/>
                <w:bCs/>
                <w:sz w:val="20"/>
              </w:rPr>
              <w:t>-3</w:t>
            </w:r>
            <w:r>
              <w:rPr>
                <w:rFonts w:ascii="Calibri" w:hAnsi="Calibri"/>
                <w:bCs/>
                <w:sz w:val="20"/>
              </w:rPr>
              <w:t>28</w:t>
            </w:r>
            <w:r w:rsidRPr="00F16A35">
              <w:rPr>
                <w:rFonts w:ascii="Calibri" w:hAnsi="Calibri"/>
                <w:bCs/>
                <w:sz w:val="20"/>
              </w:rPr>
              <w:t>,</w:t>
            </w:r>
            <w:r>
              <w:rPr>
                <w:rFonts w:ascii="Calibri" w:hAnsi="Calibri"/>
                <w:bCs/>
                <w:sz w:val="20"/>
              </w:rPr>
              <w:t>281</w:t>
            </w:r>
          </w:p>
        </w:tc>
        <w:tc>
          <w:tcPr>
            <w:tcW w:w="1315" w:type="dxa"/>
            <w:tcBorders>
              <w:top w:val="nil"/>
              <w:bottom w:val="nil"/>
            </w:tcBorders>
            <w:shd w:val="clear" w:color="auto" w:fill="auto"/>
          </w:tcPr>
          <w:p w14:paraId="0DD57BAC" w14:textId="77777777" w:rsidR="00A60D4B" w:rsidRPr="00F16A35" w:rsidRDefault="00A60D4B" w:rsidP="00A60D4B">
            <w:pPr>
              <w:keepNext/>
              <w:keepLines/>
              <w:spacing w:after="0" w:line="240" w:lineRule="auto"/>
              <w:ind w:left="227" w:hanging="227"/>
              <w:jc w:val="right"/>
              <w:rPr>
                <w:rFonts w:ascii="Calibri" w:hAnsi="Calibri"/>
                <w:bCs/>
                <w:sz w:val="20"/>
              </w:rPr>
            </w:pPr>
            <w:r w:rsidRPr="00F16A35">
              <w:rPr>
                <w:rFonts w:ascii="Calibri" w:hAnsi="Calibri"/>
                <w:bCs/>
                <w:sz w:val="20"/>
              </w:rPr>
              <w:t>-3</w:t>
            </w:r>
            <w:r>
              <w:rPr>
                <w:rFonts w:ascii="Calibri" w:hAnsi="Calibri"/>
                <w:bCs/>
                <w:sz w:val="20"/>
              </w:rPr>
              <w:t>48</w:t>
            </w:r>
            <w:r w:rsidRPr="00F16A35">
              <w:rPr>
                <w:rFonts w:ascii="Calibri" w:hAnsi="Calibri"/>
                <w:bCs/>
                <w:sz w:val="20"/>
              </w:rPr>
              <w:t>,</w:t>
            </w:r>
            <w:r>
              <w:rPr>
                <w:rFonts w:ascii="Calibri" w:hAnsi="Calibri"/>
                <w:bCs/>
                <w:sz w:val="20"/>
              </w:rPr>
              <w:t>977</w:t>
            </w:r>
          </w:p>
        </w:tc>
        <w:tc>
          <w:tcPr>
            <w:tcW w:w="1315" w:type="dxa"/>
            <w:tcBorders>
              <w:top w:val="nil"/>
              <w:bottom w:val="nil"/>
            </w:tcBorders>
          </w:tcPr>
          <w:p w14:paraId="51F62F67" w14:textId="77777777" w:rsidR="00A60D4B" w:rsidRPr="00F16A35" w:rsidRDefault="00A60D4B" w:rsidP="00A60D4B">
            <w:pPr>
              <w:keepNext/>
              <w:keepLines/>
              <w:spacing w:after="0" w:line="240" w:lineRule="auto"/>
              <w:ind w:left="227" w:hanging="227"/>
              <w:jc w:val="right"/>
              <w:rPr>
                <w:rFonts w:ascii="Calibri" w:hAnsi="Calibri"/>
                <w:bCs/>
                <w:sz w:val="20"/>
              </w:rPr>
            </w:pPr>
            <w:r w:rsidRPr="00F16A35">
              <w:rPr>
                <w:rFonts w:ascii="Calibri" w:hAnsi="Calibri"/>
                <w:bCs/>
                <w:sz w:val="20"/>
              </w:rPr>
              <w:t>-3</w:t>
            </w:r>
            <w:r>
              <w:rPr>
                <w:rFonts w:ascii="Calibri" w:hAnsi="Calibri"/>
                <w:bCs/>
                <w:sz w:val="20"/>
              </w:rPr>
              <w:t>70</w:t>
            </w:r>
            <w:r w:rsidRPr="00F16A35">
              <w:rPr>
                <w:rFonts w:ascii="Calibri" w:hAnsi="Calibri"/>
                <w:bCs/>
                <w:sz w:val="20"/>
              </w:rPr>
              <w:t>,</w:t>
            </w:r>
            <w:r>
              <w:rPr>
                <w:rFonts w:ascii="Calibri" w:hAnsi="Calibri"/>
                <w:bCs/>
                <w:sz w:val="20"/>
              </w:rPr>
              <w:t>119</w:t>
            </w:r>
          </w:p>
        </w:tc>
        <w:tc>
          <w:tcPr>
            <w:tcW w:w="1315" w:type="dxa"/>
            <w:tcBorders>
              <w:top w:val="nil"/>
              <w:bottom w:val="nil"/>
            </w:tcBorders>
            <w:shd w:val="clear" w:color="auto" w:fill="auto"/>
          </w:tcPr>
          <w:p w14:paraId="6C856BEA" w14:textId="77777777" w:rsidR="00A60D4B" w:rsidRPr="00F16A35" w:rsidRDefault="00A60D4B" w:rsidP="00A60D4B">
            <w:pPr>
              <w:keepNext/>
              <w:keepLines/>
              <w:spacing w:after="0" w:line="240" w:lineRule="auto"/>
              <w:ind w:left="227" w:hanging="227"/>
              <w:jc w:val="right"/>
              <w:rPr>
                <w:rFonts w:ascii="Calibri" w:hAnsi="Calibri"/>
                <w:bCs/>
                <w:sz w:val="20"/>
              </w:rPr>
            </w:pPr>
            <w:r w:rsidRPr="00F16A35">
              <w:rPr>
                <w:rFonts w:ascii="Calibri" w:hAnsi="Calibri"/>
                <w:bCs/>
                <w:sz w:val="20"/>
              </w:rPr>
              <w:t>-3</w:t>
            </w:r>
            <w:r>
              <w:rPr>
                <w:rFonts w:ascii="Calibri" w:hAnsi="Calibri"/>
                <w:bCs/>
                <w:sz w:val="20"/>
              </w:rPr>
              <w:t>92</w:t>
            </w:r>
            <w:r w:rsidRPr="00F16A35">
              <w:rPr>
                <w:rFonts w:ascii="Calibri" w:hAnsi="Calibri"/>
                <w:bCs/>
                <w:sz w:val="20"/>
              </w:rPr>
              <w:t>,</w:t>
            </w:r>
            <w:r>
              <w:rPr>
                <w:rFonts w:ascii="Calibri" w:hAnsi="Calibri"/>
                <w:bCs/>
                <w:sz w:val="20"/>
              </w:rPr>
              <w:t>814</w:t>
            </w:r>
          </w:p>
        </w:tc>
      </w:tr>
      <w:tr w:rsidR="00A60D4B" w:rsidRPr="00F16A35" w14:paraId="26EC260A" w14:textId="77777777" w:rsidTr="00A60D4B">
        <w:trPr>
          <w:trHeight w:val="270"/>
        </w:trPr>
        <w:tc>
          <w:tcPr>
            <w:tcW w:w="2451" w:type="dxa"/>
            <w:tcBorders>
              <w:top w:val="nil"/>
              <w:bottom w:val="nil"/>
            </w:tcBorders>
          </w:tcPr>
          <w:p w14:paraId="266129EB" w14:textId="77777777" w:rsidR="00A60D4B" w:rsidRPr="00F16A35" w:rsidRDefault="00A60D4B" w:rsidP="00A60D4B">
            <w:pPr>
              <w:pStyle w:val="Btabletextunbold"/>
            </w:pPr>
            <w:r w:rsidRPr="00F16A35">
              <w:t>Actuarial (gain)/loss</w:t>
            </w:r>
            <w:r w:rsidRPr="00F16A35">
              <w:rPr>
                <w:vertAlign w:val="superscript"/>
              </w:rPr>
              <w:t>2</w:t>
            </w:r>
          </w:p>
        </w:tc>
        <w:tc>
          <w:tcPr>
            <w:tcW w:w="1315" w:type="dxa"/>
            <w:tcBorders>
              <w:top w:val="nil"/>
              <w:bottom w:val="nil"/>
            </w:tcBorders>
          </w:tcPr>
          <w:p w14:paraId="7891F323" w14:textId="77777777" w:rsidR="00A60D4B" w:rsidRPr="00F16A35" w:rsidRDefault="00A60D4B" w:rsidP="00A60D4B">
            <w:pPr>
              <w:keepNext/>
              <w:keepLines/>
              <w:spacing w:after="0" w:line="240" w:lineRule="auto"/>
              <w:ind w:left="227" w:hanging="227"/>
              <w:jc w:val="right"/>
              <w:rPr>
                <w:rFonts w:ascii="Calibri" w:hAnsi="Calibri"/>
                <w:sz w:val="20"/>
              </w:rPr>
            </w:pPr>
            <w:r>
              <w:rPr>
                <w:rFonts w:ascii="Calibri" w:hAnsi="Calibri"/>
                <w:sz w:val="20"/>
              </w:rPr>
              <w:t>994</w:t>
            </w:r>
            <w:r w:rsidRPr="00F16A35">
              <w:rPr>
                <w:rFonts w:ascii="Calibri" w:hAnsi="Calibri"/>
                <w:sz w:val="20"/>
              </w:rPr>
              <w:t>,</w:t>
            </w:r>
            <w:r>
              <w:rPr>
                <w:rFonts w:ascii="Calibri" w:hAnsi="Calibri"/>
                <w:sz w:val="20"/>
              </w:rPr>
              <w:t>929</w:t>
            </w:r>
          </w:p>
        </w:tc>
        <w:tc>
          <w:tcPr>
            <w:tcW w:w="1315" w:type="dxa"/>
            <w:tcBorders>
              <w:top w:val="nil"/>
              <w:bottom w:val="nil"/>
            </w:tcBorders>
          </w:tcPr>
          <w:p w14:paraId="12296C98" w14:textId="77777777" w:rsidR="00A60D4B" w:rsidRPr="00F16A35" w:rsidRDefault="00A60D4B" w:rsidP="00A60D4B">
            <w:pPr>
              <w:keepNext/>
              <w:keepLines/>
              <w:spacing w:after="0" w:line="240" w:lineRule="auto"/>
              <w:ind w:left="227" w:hanging="227"/>
              <w:jc w:val="right"/>
              <w:rPr>
                <w:rFonts w:ascii="Calibri" w:hAnsi="Calibri"/>
                <w:bCs/>
                <w:sz w:val="20"/>
              </w:rPr>
            </w:pPr>
            <w:r w:rsidRPr="00F16A35">
              <w:rPr>
                <w:rFonts w:ascii="Calibri" w:hAnsi="Calibri"/>
                <w:bCs/>
                <w:sz w:val="20"/>
              </w:rPr>
              <w:t>-3,</w:t>
            </w:r>
            <w:r>
              <w:rPr>
                <w:rFonts w:ascii="Calibri" w:hAnsi="Calibri"/>
                <w:bCs/>
                <w:sz w:val="20"/>
              </w:rPr>
              <w:t>412</w:t>
            </w:r>
            <w:r w:rsidRPr="00F16A35">
              <w:rPr>
                <w:rFonts w:ascii="Calibri" w:hAnsi="Calibri"/>
                <w:bCs/>
                <w:sz w:val="20"/>
              </w:rPr>
              <w:t>,</w:t>
            </w:r>
            <w:r>
              <w:rPr>
                <w:rFonts w:ascii="Calibri" w:hAnsi="Calibri"/>
                <w:bCs/>
                <w:sz w:val="20"/>
              </w:rPr>
              <w:t>160</w:t>
            </w:r>
          </w:p>
        </w:tc>
        <w:tc>
          <w:tcPr>
            <w:tcW w:w="1315" w:type="dxa"/>
            <w:tcBorders>
              <w:top w:val="nil"/>
              <w:bottom w:val="nil"/>
            </w:tcBorders>
            <w:shd w:val="clear" w:color="auto" w:fill="auto"/>
          </w:tcPr>
          <w:p w14:paraId="5A37C5D4" w14:textId="77777777" w:rsidR="00A60D4B" w:rsidRPr="00F16A35" w:rsidRDefault="00A60D4B" w:rsidP="00A60D4B">
            <w:pPr>
              <w:keepNext/>
              <w:keepLines/>
              <w:spacing w:after="0" w:line="240" w:lineRule="auto"/>
              <w:ind w:left="227" w:hanging="227"/>
              <w:jc w:val="right"/>
              <w:rPr>
                <w:rFonts w:ascii="Calibri" w:hAnsi="Calibri"/>
                <w:bCs/>
                <w:sz w:val="20"/>
              </w:rPr>
            </w:pPr>
            <w:r w:rsidRPr="00F16A35">
              <w:rPr>
                <w:rFonts w:ascii="Calibri" w:hAnsi="Calibri"/>
                <w:bCs/>
                <w:sz w:val="20"/>
              </w:rPr>
              <w:t>-</w:t>
            </w:r>
          </w:p>
        </w:tc>
        <w:tc>
          <w:tcPr>
            <w:tcW w:w="1315" w:type="dxa"/>
            <w:tcBorders>
              <w:top w:val="nil"/>
              <w:bottom w:val="nil"/>
            </w:tcBorders>
          </w:tcPr>
          <w:p w14:paraId="28AD4237" w14:textId="77777777" w:rsidR="00A60D4B" w:rsidRPr="00F16A35" w:rsidRDefault="00A60D4B" w:rsidP="00A60D4B">
            <w:pPr>
              <w:keepNext/>
              <w:keepLines/>
              <w:spacing w:after="0" w:line="240" w:lineRule="auto"/>
              <w:ind w:left="227" w:hanging="227"/>
              <w:jc w:val="right"/>
              <w:rPr>
                <w:rFonts w:ascii="Calibri" w:hAnsi="Calibri"/>
                <w:bCs/>
                <w:sz w:val="20"/>
              </w:rPr>
            </w:pPr>
            <w:r w:rsidRPr="00F16A35">
              <w:rPr>
                <w:rFonts w:ascii="Calibri" w:hAnsi="Calibri"/>
                <w:bCs/>
                <w:sz w:val="20"/>
              </w:rPr>
              <w:t>-</w:t>
            </w:r>
          </w:p>
        </w:tc>
        <w:tc>
          <w:tcPr>
            <w:tcW w:w="1315" w:type="dxa"/>
            <w:tcBorders>
              <w:top w:val="nil"/>
              <w:bottom w:val="nil"/>
            </w:tcBorders>
            <w:shd w:val="clear" w:color="auto" w:fill="auto"/>
          </w:tcPr>
          <w:p w14:paraId="19D1F68C" w14:textId="77777777" w:rsidR="00A60D4B" w:rsidRPr="00F16A35" w:rsidRDefault="00A60D4B" w:rsidP="00A60D4B">
            <w:pPr>
              <w:keepNext/>
              <w:keepLines/>
              <w:spacing w:after="0" w:line="240" w:lineRule="auto"/>
              <w:ind w:left="227" w:hanging="227"/>
              <w:jc w:val="right"/>
              <w:rPr>
                <w:rFonts w:ascii="Calibri" w:hAnsi="Calibri"/>
                <w:bCs/>
                <w:sz w:val="20"/>
              </w:rPr>
            </w:pPr>
            <w:r w:rsidRPr="00F16A35">
              <w:rPr>
                <w:rFonts w:ascii="Calibri" w:hAnsi="Calibri"/>
                <w:bCs/>
                <w:sz w:val="20"/>
              </w:rPr>
              <w:t>-</w:t>
            </w:r>
          </w:p>
        </w:tc>
      </w:tr>
      <w:tr w:rsidR="00A60D4B" w:rsidRPr="00F16A35" w14:paraId="661C6B15" w14:textId="77777777" w:rsidTr="00A60D4B">
        <w:trPr>
          <w:trHeight w:val="270"/>
        </w:trPr>
        <w:tc>
          <w:tcPr>
            <w:tcW w:w="2451" w:type="dxa"/>
            <w:tcBorders>
              <w:top w:val="single" w:sz="4" w:space="0" w:color="auto"/>
              <w:bottom w:val="single" w:sz="4" w:space="0" w:color="auto"/>
            </w:tcBorders>
          </w:tcPr>
          <w:p w14:paraId="4C7C048E" w14:textId="77777777" w:rsidR="00A60D4B" w:rsidRPr="00F16A35" w:rsidRDefault="00A60D4B" w:rsidP="00A60D4B">
            <w:pPr>
              <w:pStyle w:val="Btabletextbold"/>
            </w:pPr>
            <w:r w:rsidRPr="00F16A35">
              <w:t>Closing liability</w:t>
            </w:r>
            <w:r w:rsidRPr="00F16A35">
              <w:rPr>
                <w:vertAlign w:val="superscript"/>
              </w:rPr>
              <w:t>3</w:t>
            </w:r>
          </w:p>
        </w:tc>
        <w:tc>
          <w:tcPr>
            <w:tcW w:w="1315" w:type="dxa"/>
            <w:tcBorders>
              <w:top w:val="single" w:sz="4" w:space="0" w:color="auto"/>
              <w:bottom w:val="single" w:sz="4" w:space="0" w:color="auto"/>
            </w:tcBorders>
          </w:tcPr>
          <w:p w14:paraId="4CC79AE5" w14:textId="77777777" w:rsidR="00A60D4B" w:rsidRPr="00F16A35" w:rsidRDefault="00A60D4B" w:rsidP="00A60D4B">
            <w:pPr>
              <w:pStyle w:val="BTablefigureBold"/>
            </w:pPr>
            <w:r w:rsidRPr="00F16A35">
              <w:t>1</w:t>
            </w:r>
            <w:r>
              <w:t>3</w:t>
            </w:r>
            <w:r w:rsidRPr="00F16A35">
              <w:t>,</w:t>
            </w:r>
            <w:r>
              <w:t>230</w:t>
            </w:r>
            <w:r w:rsidRPr="00F16A35">
              <w:t>,</w:t>
            </w:r>
            <w:r>
              <w:t>023</w:t>
            </w:r>
          </w:p>
        </w:tc>
        <w:tc>
          <w:tcPr>
            <w:tcW w:w="1315" w:type="dxa"/>
            <w:tcBorders>
              <w:top w:val="single" w:sz="4" w:space="0" w:color="auto"/>
              <w:bottom w:val="single" w:sz="4" w:space="0" w:color="auto"/>
            </w:tcBorders>
          </w:tcPr>
          <w:p w14:paraId="208E1ED5" w14:textId="77777777" w:rsidR="00A60D4B" w:rsidRPr="00F16A35" w:rsidRDefault="00A60D4B" w:rsidP="00A60D4B">
            <w:pPr>
              <w:pStyle w:val="BTablefigureBold"/>
            </w:pPr>
            <w:r>
              <w:t>10</w:t>
            </w:r>
            <w:r w:rsidRPr="00F16A35">
              <w:t>,</w:t>
            </w:r>
            <w:r>
              <w:t>101</w:t>
            </w:r>
            <w:r w:rsidRPr="00F16A35">
              <w:t>,</w:t>
            </w:r>
            <w:r>
              <w:t>593</w:t>
            </w:r>
          </w:p>
        </w:tc>
        <w:tc>
          <w:tcPr>
            <w:tcW w:w="1315" w:type="dxa"/>
            <w:tcBorders>
              <w:top w:val="single" w:sz="4" w:space="0" w:color="auto"/>
              <w:bottom w:val="single" w:sz="4" w:space="0" w:color="auto"/>
            </w:tcBorders>
            <w:shd w:val="clear" w:color="auto" w:fill="auto"/>
          </w:tcPr>
          <w:p w14:paraId="07418A7A" w14:textId="77777777" w:rsidR="00A60D4B" w:rsidRPr="00F16A35" w:rsidRDefault="00A60D4B" w:rsidP="00A60D4B">
            <w:pPr>
              <w:pStyle w:val="BTablefigureBold"/>
            </w:pPr>
            <w:r>
              <w:t>10</w:t>
            </w:r>
            <w:r w:rsidRPr="00F16A35">
              <w:t>,</w:t>
            </w:r>
            <w:r>
              <w:t>344</w:t>
            </w:r>
            <w:r w:rsidRPr="00F16A35">
              <w:t>,</w:t>
            </w:r>
            <w:r>
              <w:t>651</w:t>
            </w:r>
          </w:p>
        </w:tc>
        <w:tc>
          <w:tcPr>
            <w:tcW w:w="1315" w:type="dxa"/>
            <w:tcBorders>
              <w:top w:val="single" w:sz="4" w:space="0" w:color="auto"/>
              <w:bottom w:val="single" w:sz="4" w:space="0" w:color="auto"/>
            </w:tcBorders>
          </w:tcPr>
          <w:p w14:paraId="786A2D87" w14:textId="77777777" w:rsidR="00A60D4B" w:rsidRPr="00F16A35" w:rsidRDefault="00A60D4B" w:rsidP="00A60D4B">
            <w:pPr>
              <w:pStyle w:val="BTablefigureBold"/>
            </w:pPr>
            <w:r>
              <w:t>10</w:t>
            </w:r>
            <w:r w:rsidRPr="00F16A35">
              <w:t>,</w:t>
            </w:r>
            <w:r>
              <w:t>566</w:t>
            </w:r>
            <w:r w:rsidRPr="00F16A35">
              <w:t>,</w:t>
            </w:r>
            <w:r>
              <w:t>258</w:t>
            </w:r>
          </w:p>
        </w:tc>
        <w:tc>
          <w:tcPr>
            <w:tcW w:w="1315" w:type="dxa"/>
            <w:tcBorders>
              <w:top w:val="single" w:sz="4" w:space="0" w:color="auto"/>
              <w:bottom w:val="single" w:sz="4" w:space="0" w:color="auto"/>
            </w:tcBorders>
            <w:shd w:val="clear" w:color="auto" w:fill="auto"/>
          </w:tcPr>
          <w:p w14:paraId="1C6191A0" w14:textId="77777777" w:rsidR="00A60D4B" w:rsidRPr="00F16A35" w:rsidRDefault="00A60D4B" w:rsidP="00A60D4B">
            <w:pPr>
              <w:pStyle w:val="BTablefigureBold"/>
            </w:pPr>
            <w:r>
              <w:t>10</w:t>
            </w:r>
            <w:r w:rsidRPr="00F16A35">
              <w:t>,</w:t>
            </w:r>
            <w:r>
              <w:t>764</w:t>
            </w:r>
            <w:r w:rsidRPr="00F16A35">
              <w:t>,</w:t>
            </w:r>
            <w:r>
              <w:t>145</w:t>
            </w:r>
          </w:p>
        </w:tc>
      </w:tr>
    </w:tbl>
    <w:p w14:paraId="6B44FB2A" w14:textId="77777777" w:rsidR="00A60D4B" w:rsidRPr="00F16A35" w:rsidRDefault="00A60D4B" w:rsidP="00A60D4B">
      <w:pPr>
        <w:keepNext/>
        <w:keepLines/>
        <w:spacing w:before="120" w:after="0" w:line="240" w:lineRule="auto"/>
        <w:rPr>
          <w:rFonts w:ascii="Calibri" w:hAnsi="Calibri"/>
          <w:b/>
          <w:sz w:val="18"/>
        </w:rPr>
      </w:pPr>
      <w:r w:rsidRPr="00F16A35">
        <w:rPr>
          <w:rFonts w:ascii="Calibri" w:hAnsi="Calibri"/>
          <w:b/>
          <w:sz w:val="18"/>
        </w:rPr>
        <w:t>Notes</w:t>
      </w:r>
      <w:r>
        <w:rPr>
          <w:rFonts w:ascii="Calibri" w:hAnsi="Calibri"/>
          <w:b/>
          <w:sz w:val="18"/>
        </w:rPr>
        <w:t>:</w:t>
      </w:r>
    </w:p>
    <w:p w14:paraId="506461BC" w14:textId="77777777" w:rsidR="00A60D4B" w:rsidRPr="00F16A35" w:rsidRDefault="00A60D4B" w:rsidP="00A60D4B">
      <w:pPr>
        <w:keepNext/>
        <w:keepLines/>
        <w:spacing w:after="0" w:line="240" w:lineRule="auto"/>
        <w:ind w:left="360" w:hanging="360"/>
        <w:rPr>
          <w:rFonts w:ascii="Calibri" w:hAnsi="Calibri"/>
          <w:sz w:val="18"/>
        </w:rPr>
      </w:pPr>
      <w:r w:rsidRPr="00F16A35">
        <w:rPr>
          <w:rFonts w:ascii="Calibri" w:hAnsi="Calibri"/>
          <w:sz w:val="18"/>
        </w:rPr>
        <w:t>1.</w:t>
      </w:r>
      <w:r w:rsidRPr="00F16A35">
        <w:rPr>
          <w:rFonts w:ascii="Calibri" w:hAnsi="Calibri"/>
          <w:sz w:val="18"/>
        </w:rPr>
        <w:tab/>
        <w:t xml:space="preserve">Service cost is the increase in the present value of superannuation benefits resulting from employee service in the current period. Interest cost is the increase in the superannuation benefit obligation related to employee service in prior periods. </w:t>
      </w:r>
    </w:p>
    <w:p w14:paraId="36063D4B" w14:textId="77777777" w:rsidR="00A60D4B" w:rsidRPr="00F16A35" w:rsidRDefault="00A60D4B" w:rsidP="00A60D4B">
      <w:pPr>
        <w:keepNext/>
        <w:keepLines/>
        <w:spacing w:after="0" w:line="240" w:lineRule="auto"/>
        <w:ind w:left="360" w:hanging="360"/>
        <w:rPr>
          <w:rFonts w:ascii="Calibri" w:hAnsi="Calibri"/>
          <w:sz w:val="18"/>
        </w:rPr>
      </w:pPr>
      <w:r w:rsidRPr="00F16A35">
        <w:rPr>
          <w:rFonts w:ascii="Calibri" w:hAnsi="Calibri"/>
          <w:sz w:val="18"/>
        </w:rPr>
        <w:t>2.</w:t>
      </w:r>
      <w:r w:rsidRPr="00F16A35">
        <w:rPr>
          <w:rFonts w:ascii="Calibri" w:hAnsi="Calibri"/>
          <w:sz w:val="18"/>
        </w:rPr>
        <w:tab/>
        <w:t xml:space="preserve">The actuarial (gain)/loss is the change in the present value of the superannuation liability valuation resulting from changes in </w:t>
      </w:r>
      <w:r>
        <w:rPr>
          <w:rFonts w:ascii="Calibri" w:hAnsi="Calibri"/>
          <w:sz w:val="18"/>
        </w:rPr>
        <w:t xml:space="preserve">the financial and demographic </w:t>
      </w:r>
      <w:r w:rsidRPr="00F16A35">
        <w:rPr>
          <w:rFonts w:ascii="Calibri" w:hAnsi="Calibri"/>
          <w:sz w:val="18"/>
        </w:rPr>
        <w:t>actuarial assumptions.</w:t>
      </w:r>
    </w:p>
    <w:p w14:paraId="286A317A" w14:textId="77777777" w:rsidR="00A60D4B" w:rsidRPr="00F16A35" w:rsidRDefault="00A60D4B" w:rsidP="00A60D4B">
      <w:pPr>
        <w:keepNext/>
        <w:keepLines/>
        <w:spacing w:after="0" w:line="240" w:lineRule="auto"/>
        <w:ind w:left="360" w:hanging="360"/>
        <w:rPr>
          <w:rFonts w:ascii="Calibri" w:hAnsi="Calibri"/>
          <w:sz w:val="18"/>
        </w:rPr>
      </w:pPr>
      <w:r w:rsidRPr="00F16A35">
        <w:rPr>
          <w:rFonts w:ascii="Calibri" w:hAnsi="Calibri"/>
          <w:sz w:val="18"/>
        </w:rPr>
        <w:t>3.</w:t>
      </w:r>
      <w:r w:rsidRPr="00F16A35">
        <w:rPr>
          <w:rFonts w:ascii="Calibri" w:hAnsi="Calibri"/>
          <w:sz w:val="18"/>
        </w:rPr>
        <w:tab/>
        <w:t>The closing liability valuation estimate at 30 June 202</w:t>
      </w:r>
      <w:r>
        <w:rPr>
          <w:rFonts w:ascii="Calibri" w:hAnsi="Calibri"/>
          <w:sz w:val="18"/>
        </w:rPr>
        <w:t>1</w:t>
      </w:r>
      <w:r w:rsidRPr="00F16A35">
        <w:rPr>
          <w:rFonts w:ascii="Calibri" w:hAnsi="Calibri"/>
          <w:sz w:val="18"/>
        </w:rPr>
        <w:t xml:space="preserve"> used a discount rate </w:t>
      </w:r>
      <w:r>
        <w:rPr>
          <w:rFonts w:ascii="Calibri" w:hAnsi="Calibri"/>
          <w:sz w:val="18"/>
        </w:rPr>
        <w:t xml:space="preserve">assumption </w:t>
      </w:r>
      <w:r w:rsidRPr="00F16A35">
        <w:rPr>
          <w:rFonts w:ascii="Calibri" w:hAnsi="Calibri"/>
          <w:sz w:val="18"/>
        </w:rPr>
        <w:t xml:space="preserve">of </w:t>
      </w:r>
      <w:r>
        <w:rPr>
          <w:rFonts w:ascii="Calibri" w:hAnsi="Calibri"/>
          <w:sz w:val="18"/>
        </w:rPr>
        <w:t>2</w:t>
      </w:r>
      <w:r w:rsidRPr="00F16A35">
        <w:rPr>
          <w:rFonts w:ascii="Calibri" w:hAnsi="Calibri"/>
          <w:sz w:val="18"/>
        </w:rPr>
        <w:t>.</w:t>
      </w:r>
      <w:r>
        <w:rPr>
          <w:rFonts w:ascii="Calibri" w:hAnsi="Calibri"/>
          <w:sz w:val="18"/>
        </w:rPr>
        <w:t>26</w:t>
      </w:r>
      <w:r w:rsidRPr="00F16A35">
        <w:rPr>
          <w:rFonts w:ascii="Calibri" w:hAnsi="Calibri"/>
          <w:sz w:val="18"/>
        </w:rPr>
        <w:t xml:space="preserve"> per cent</w:t>
      </w:r>
      <w:r>
        <w:rPr>
          <w:rFonts w:ascii="Calibri" w:hAnsi="Calibri"/>
          <w:sz w:val="18"/>
        </w:rPr>
        <w:t xml:space="preserve"> (compared with 1.73 per cent used at </w:t>
      </w:r>
      <w:r w:rsidRPr="00F16A35">
        <w:rPr>
          <w:rFonts w:ascii="Calibri" w:hAnsi="Calibri"/>
          <w:sz w:val="18"/>
        </w:rPr>
        <w:t xml:space="preserve">30 June </w:t>
      </w:r>
      <w:r>
        <w:rPr>
          <w:rFonts w:ascii="Calibri" w:hAnsi="Calibri"/>
          <w:sz w:val="18"/>
        </w:rPr>
        <w:t>2020)</w:t>
      </w:r>
      <w:r w:rsidRPr="00F16A35">
        <w:rPr>
          <w:rFonts w:ascii="Calibri" w:hAnsi="Calibri"/>
          <w:sz w:val="18"/>
        </w:rPr>
        <w:t>. From</w:t>
      </w:r>
      <w:r>
        <w:rPr>
          <w:rFonts w:ascii="Calibri" w:hAnsi="Calibri"/>
          <w:sz w:val="18"/>
        </w:rPr>
        <w:t xml:space="preserve"> 30 June 2022</w:t>
      </w:r>
      <w:r w:rsidRPr="00F16A35">
        <w:rPr>
          <w:rFonts w:ascii="Calibri" w:hAnsi="Calibri"/>
          <w:sz w:val="18"/>
        </w:rPr>
        <w:t xml:space="preserve"> the liability valuation is </w:t>
      </w:r>
      <w:r>
        <w:rPr>
          <w:rFonts w:ascii="Calibri" w:hAnsi="Calibri"/>
          <w:sz w:val="18"/>
        </w:rPr>
        <w:t>estimated</w:t>
      </w:r>
      <w:r w:rsidRPr="00F16A35">
        <w:rPr>
          <w:rFonts w:ascii="Calibri" w:hAnsi="Calibri"/>
          <w:sz w:val="18"/>
        </w:rPr>
        <w:t xml:space="preserve"> </w:t>
      </w:r>
      <w:r>
        <w:rPr>
          <w:rFonts w:ascii="Calibri" w:hAnsi="Calibri"/>
          <w:sz w:val="18"/>
        </w:rPr>
        <w:t>using</w:t>
      </w:r>
      <w:r w:rsidRPr="00F16A35">
        <w:rPr>
          <w:rFonts w:ascii="Calibri" w:hAnsi="Calibri"/>
          <w:sz w:val="18"/>
        </w:rPr>
        <w:t xml:space="preserve"> a long-term </w:t>
      </w:r>
      <w:r>
        <w:rPr>
          <w:rFonts w:ascii="Calibri" w:hAnsi="Calibri"/>
          <w:sz w:val="18"/>
        </w:rPr>
        <w:t xml:space="preserve">average </w:t>
      </w:r>
      <w:r w:rsidRPr="00F16A35">
        <w:rPr>
          <w:rFonts w:ascii="Calibri" w:hAnsi="Calibri"/>
          <w:sz w:val="18"/>
        </w:rPr>
        <w:t xml:space="preserve">discount rate assumption of </w:t>
      </w:r>
      <w:r>
        <w:rPr>
          <w:rFonts w:ascii="Calibri" w:hAnsi="Calibri"/>
          <w:sz w:val="18"/>
        </w:rPr>
        <w:t>4</w:t>
      </w:r>
      <w:r w:rsidRPr="00F16A35">
        <w:rPr>
          <w:rFonts w:ascii="Calibri" w:hAnsi="Calibri"/>
          <w:sz w:val="18"/>
        </w:rPr>
        <w:t> per cent.</w:t>
      </w:r>
    </w:p>
    <w:p w14:paraId="0CF8D6E3" w14:textId="77777777" w:rsidR="00A60D4B" w:rsidRDefault="00A60D4B" w:rsidP="00A60D4B">
      <w:pPr>
        <w:pStyle w:val="Bbodytext"/>
      </w:pPr>
      <w:r>
        <w:t xml:space="preserve">For the financial year end liability valuation on 30 June 2021, Australian Accounting Standard </w:t>
      </w:r>
      <w:r w:rsidRPr="036AC465">
        <w:rPr>
          <w:i/>
          <w:iCs/>
        </w:rPr>
        <w:t>AASB119 Employee Benefits</w:t>
      </w:r>
      <w:r>
        <w:t xml:space="preserve"> requires the applied financial assumptions (such as expected inflation and the discount rate) to be based on financial market expectations. </w:t>
      </w:r>
    </w:p>
    <w:p w14:paraId="41587378" w14:textId="77777777" w:rsidR="00A60D4B" w:rsidRPr="00F16A35" w:rsidRDefault="00A60D4B" w:rsidP="00A60D4B">
      <w:pPr>
        <w:pStyle w:val="Bbodytext"/>
      </w:pPr>
      <w:r>
        <w:t>The estimated liability valuation on 30 June 2021 is higher than at 30 June 2020 due to the latest triennial liability valuation review and the use of higher inflation and salary growth assumptions, offset by a higher discount rate assumption. The estimated liability valuation from 30 June 2022 onwards is lower due to the use of a higher long-term average discount rate assumption of 4 per cent.</w:t>
      </w:r>
    </w:p>
    <w:p w14:paraId="7952947D" w14:textId="77777777" w:rsidR="00A60D4B" w:rsidRPr="00F16A35" w:rsidRDefault="00A60D4B" w:rsidP="00A60D4B">
      <w:pPr>
        <w:pStyle w:val="Bbodytext"/>
      </w:pPr>
      <w:r w:rsidRPr="00F4018D">
        <w:t xml:space="preserve">The estimated liability projections have increased for the 2021-22 Budget, as compared to the 2020-21 Budget, due to the latest triennial liability valuation review and the use of </w:t>
      </w:r>
      <w:r>
        <w:t>the</w:t>
      </w:r>
      <w:r w:rsidRPr="00F4018D">
        <w:t xml:space="preserve"> lower long-term average discount rate assumption</w:t>
      </w:r>
      <w:r>
        <w:t>, which has decreased from 5 per cent to 4 per cent</w:t>
      </w:r>
      <w:r w:rsidRPr="00F4018D">
        <w:t>, offset by lower long-term salary growth and inflation assumptions.</w:t>
      </w:r>
    </w:p>
    <w:p w14:paraId="70176DB4" w14:textId="77777777" w:rsidR="00A60D4B" w:rsidRPr="00F16A35" w:rsidRDefault="00A60D4B" w:rsidP="00A60D4B">
      <w:pPr>
        <w:pStyle w:val="Bbodytext"/>
      </w:pPr>
      <w:r w:rsidRPr="00F16A35">
        <w:t>The projected valuation estimates for the Territory’s defined benefit employer superannuation liability are illustrated in Figure 3</w:t>
      </w:r>
      <w:r>
        <w:t>.8.1</w:t>
      </w:r>
      <w:r w:rsidRPr="00F16A35">
        <w:t>.</w:t>
      </w:r>
    </w:p>
    <w:p w14:paraId="4DD87A9E" w14:textId="03AAE9C0" w:rsidR="00A60D4B" w:rsidRPr="00F16A35" w:rsidRDefault="00A60D4B" w:rsidP="00A60D4B">
      <w:pPr>
        <w:pStyle w:val="Caption"/>
        <w:keepLines/>
      </w:pPr>
      <w:r>
        <w:lastRenderedPageBreak/>
        <w:t xml:space="preserve">Figure </w:t>
      </w:r>
      <w:r w:rsidR="00FB4E5C">
        <w:fldChar w:fldCharType="begin"/>
      </w:r>
      <w:r w:rsidR="00FB4E5C">
        <w:instrText xml:space="preserve"> STYLEREF 2 \s </w:instrText>
      </w:r>
      <w:r w:rsidR="00FB4E5C">
        <w:fldChar w:fldCharType="separate"/>
      </w:r>
      <w:r w:rsidR="00F12A80">
        <w:rPr>
          <w:noProof/>
        </w:rPr>
        <w:t>3.8</w:t>
      </w:r>
      <w:r w:rsidR="00FB4E5C">
        <w:rPr>
          <w:noProof/>
        </w:rPr>
        <w:fldChar w:fldCharType="end"/>
      </w:r>
      <w:r>
        <w:t>.</w:t>
      </w:r>
      <w:r w:rsidR="00FB4E5C">
        <w:fldChar w:fldCharType="begin"/>
      </w:r>
      <w:r w:rsidR="00FB4E5C">
        <w:instrText xml:space="preserve"> SEQ Figure \* ARABIC \s 2 </w:instrText>
      </w:r>
      <w:r w:rsidR="00FB4E5C">
        <w:fldChar w:fldCharType="separate"/>
      </w:r>
      <w:r w:rsidR="00F12A80">
        <w:rPr>
          <w:noProof/>
        </w:rPr>
        <w:t>1</w:t>
      </w:r>
      <w:r w:rsidR="00FB4E5C">
        <w:rPr>
          <w:noProof/>
        </w:rPr>
        <w:fldChar w:fldCharType="end"/>
      </w:r>
      <w:r w:rsidRPr="00F16A35">
        <w:t>: Estimated employer superannuation liability</w:t>
      </w:r>
    </w:p>
    <w:p w14:paraId="04E4CC5B" w14:textId="77777777" w:rsidR="00A60D4B" w:rsidRPr="00F16A35" w:rsidRDefault="00A60D4B" w:rsidP="00A60D4B">
      <w:pPr>
        <w:keepNext/>
        <w:keepLines/>
        <w:spacing w:before="120" w:after="120" w:line="240" w:lineRule="auto"/>
        <w:rPr>
          <w:sz w:val="24"/>
          <w:szCs w:val="24"/>
        </w:rPr>
      </w:pPr>
    </w:p>
    <w:p w14:paraId="58806113" w14:textId="77777777" w:rsidR="00A60D4B" w:rsidRDefault="00A60D4B" w:rsidP="00A60D4B">
      <w:pPr>
        <w:keepNext/>
        <w:keepLines/>
        <w:spacing w:before="120" w:after="120" w:line="240" w:lineRule="auto"/>
        <w:rPr>
          <w:sz w:val="24"/>
          <w:szCs w:val="24"/>
        </w:rPr>
      </w:pPr>
      <w:r>
        <w:rPr>
          <w:noProof/>
        </w:rPr>
        <w:drawing>
          <wp:inline distT="0" distB="0" distL="0" distR="0" wp14:anchorId="23DCF5E9" wp14:editId="0A173F23">
            <wp:extent cx="5731510" cy="3251200"/>
            <wp:effectExtent l="0" t="0" r="0" b="0"/>
            <wp:docPr id="331" name="Chart 331">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50190193" w14:textId="77777777" w:rsidR="00A60D4B" w:rsidRDefault="00A60D4B" w:rsidP="00A60D4B">
      <w:pPr>
        <w:spacing w:before="120" w:after="120" w:line="240" w:lineRule="auto"/>
        <w:rPr>
          <w:sz w:val="24"/>
        </w:rPr>
      </w:pPr>
      <w:r>
        <w:rPr>
          <w:sz w:val="24"/>
        </w:rPr>
        <w:t xml:space="preserve">The estimated employer superannuation benefit payments have increased for the 2021-22 Budget, as compared to the 2020-21 Budget, due to the </w:t>
      </w:r>
      <w:r w:rsidRPr="00F4018D">
        <w:rPr>
          <w:sz w:val="24"/>
        </w:rPr>
        <w:t>latest triennial liability valuation review</w:t>
      </w:r>
      <w:r>
        <w:rPr>
          <w:sz w:val="24"/>
        </w:rPr>
        <w:t>, offset by lower long-term average salary growth and inflation assumptions.</w:t>
      </w:r>
    </w:p>
    <w:p w14:paraId="6A5E3EEA" w14:textId="77777777" w:rsidR="00A60D4B" w:rsidRPr="00F16A35" w:rsidRDefault="00A60D4B" w:rsidP="00A60D4B">
      <w:pPr>
        <w:spacing w:before="120" w:after="120" w:line="240" w:lineRule="auto"/>
        <w:rPr>
          <w:sz w:val="24"/>
        </w:rPr>
      </w:pPr>
      <w:r w:rsidRPr="00F16A35">
        <w:rPr>
          <w:sz w:val="24"/>
        </w:rPr>
        <w:t>The projected estimates for the Territory’s emerging cost payments to the Commonwealth are illustrated in Figure 3.</w:t>
      </w:r>
      <w:r>
        <w:rPr>
          <w:sz w:val="24"/>
        </w:rPr>
        <w:t>8.2</w:t>
      </w:r>
      <w:r w:rsidRPr="00F16A35">
        <w:rPr>
          <w:sz w:val="24"/>
        </w:rPr>
        <w:t>.</w:t>
      </w:r>
    </w:p>
    <w:p w14:paraId="3CA08108" w14:textId="331F0B33" w:rsidR="00A60D4B" w:rsidRPr="00F16A35" w:rsidRDefault="00A60D4B" w:rsidP="00A60D4B">
      <w:pPr>
        <w:pStyle w:val="Caption"/>
        <w:keepLines/>
      </w:pPr>
      <w:r>
        <w:lastRenderedPageBreak/>
        <w:t xml:space="preserve">Figure </w:t>
      </w:r>
      <w:r w:rsidR="00FB4E5C">
        <w:fldChar w:fldCharType="begin"/>
      </w:r>
      <w:r w:rsidR="00FB4E5C">
        <w:instrText xml:space="preserve"> STYLEREF 2 \s </w:instrText>
      </w:r>
      <w:r w:rsidR="00FB4E5C">
        <w:fldChar w:fldCharType="separate"/>
      </w:r>
      <w:r w:rsidR="00F12A80">
        <w:rPr>
          <w:noProof/>
        </w:rPr>
        <w:t>3.8</w:t>
      </w:r>
      <w:r w:rsidR="00FB4E5C">
        <w:rPr>
          <w:noProof/>
        </w:rPr>
        <w:fldChar w:fldCharType="end"/>
      </w:r>
      <w:r>
        <w:t>.</w:t>
      </w:r>
      <w:r w:rsidR="00FB4E5C">
        <w:fldChar w:fldCharType="begin"/>
      </w:r>
      <w:r w:rsidR="00FB4E5C">
        <w:instrText xml:space="preserve"> SEQ Figure \* ARABIC \s 2 </w:instrText>
      </w:r>
      <w:r w:rsidR="00FB4E5C">
        <w:fldChar w:fldCharType="separate"/>
      </w:r>
      <w:r w:rsidR="00F12A80">
        <w:rPr>
          <w:noProof/>
        </w:rPr>
        <w:t>2</w:t>
      </w:r>
      <w:r w:rsidR="00FB4E5C">
        <w:rPr>
          <w:noProof/>
        </w:rPr>
        <w:fldChar w:fldCharType="end"/>
      </w:r>
      <w:r w:rsidRPr="00F16A35">
        <w:t>: Estimated employer superannuation benefit payments</w:t>
      </w:r>
    </w:p>
    <w:p w14:paraId="7482EA91" w14:textId="77777777" w:rsidR="00A60D4B" w:rsidRDefault="00A60D4B" w:rsidP="00A60D4B">
      <w:pPr>
        <w:pStyle w:val="Heading4"/>
      </w:pPr>
      <w:r>
        <w:rPr>
          <w:noProof/>
        </w:rPr>
        <w:drawing>
          <wp:inline distT="0" distB="0" distL="0" distR="0" wp14:anchorId="24319747" wp14:editId="38DDD2CB">
            <wp:extent cx="5731510" cy="3251200"/>
            <wp:effectExtent l="0" t="0" r="0" b="0"/>
            <wp:docPr id="332" name="Chart 332">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5D6DB4A2" w14:textId="77777777" w:rsidR="00A60D4B" w:rsidRDefault="00A60D4B" w:rsidP="00A60D4B">
      <w:pPr>
        <w:pStyle w:val="Heading4"/>
      </w:pPr>
      <w:r>
        <w:t>Defined Benefit Superannuation Liability Funding</w:t>
      </w:r>
    </w:p>
    <w:p w14:paraId="54B7A3B6" w14:textId="77777777" w:rsidR="00A60D4B" w:rsidRPr="00DA0BA0" w:rsidRDefault="00A60D4B" w:rsidP="00A60D4B">
      <w:pPr>
        <w:pStyle w:val="Bbodytext"/>
      </w:pPr>
      <w:r w:rsidRPr="00DA0BA0">
        <w:t>The Government maintains a funding plan to extinguish the Territory’s unfunded defined benefit superannuation liability</w:t>
      </w:r>
      <w:r w:rsidRPr="00C267FF">
        <w:t xml:space="preserve"> </w:t>
      </w:r>
      <w:r w:rsidRPr="00DA0BA0">
        <w:t>over time. The funding plan involves the accumulation of funds in the Superannuation Provision Account. Budget appropriation is applied to annual benefit payments</w:t>
      </w:r>
      <w:r>
        <w:t>,</w:t>
      </w:r>
      <w:r w:rsidRPr="00DA0BA0">
        <w:t xml:space="preserve"> with investment earnings re-invested to support the objective of growing the pool of investment assets to assist in reducing the longer-term cost of this obligation.</w:t>
      </w:r>
    </w:p>
    <w:p w14:paraId="2410566F" w14:textId="77777777" w:rsidR="00A60D4B" w:rsidRPr="00DA0BA0" w:rsidRDefault="00A60D4B" w:rsidP="00A60D4B">
      <w:pPr>
        <w:pStyle w:val="Bbodytext"/>
        <w:keepNext/>
        <w:keepLines/>
      </w:pPr>
      <w:r>
        <w:t>Incorporating the investment return outcome for the 2020-21 financial year of CPI plus 15.1 per cent (18.91 per cent nominal), the Superannuation Provision Account investment portfolio has generated an average return of CPI plus 5.6 per cent a year over the past 25 financial years (from 1996-97 to 2020-21), which exceeds the current long-term investment return objective of CPI plus 4.75 per cent per year.</w:t>
      </w:r>
    </w:p>
    <w:p w14:paraId="21D0A795" w14:textId="77777777" w:rsidR="00A60D4B" w:rsidRDefault="00A60D4B" w:rsidP="00A60D4B">
      <w:pPr>
        <w:pStyle w:val="Bbodytext"/>
      </w:pPr>
      <w:r w:rsidRPr="00DA0BA0">
        <w:t xml:space="preserve">The projected estimates for the </w:t>
      </w:r>
      <w:r>
        <w:t xml:space="preserve">financial </w:t>
      </w:r>
      <w:r w:rsidRPr="00DA0BA0">
        <w:t>investment asset</w:t>
      </w:r>
      <w:r>
        <w:t>s</w:t>
      </w:r>
      <w:r w:rsidRPr="00DA0BA0">
        <w:t xml:space="preserve"> are outlined in Table 3.</w:t>
      </w:r>
      <w:r>
        <w:t>8</w:t>
      </w:r>
      <w:r w:rsidRPr="00DA0BA0">
        <w:t xml:space="preserve">.6. </w:t>
      </w:r>
    </w:p>
    <w:p w14:paraId="5CB9CF00" w14:textId="09A91ED2" w:rsidR="00A60D4B" w:rsidRPr="00FF75BA" w:rsidRDefault="00A60D4B" w:rsidP="00A60D4B">
      <w:pPr>
        <w:pStyle w:val="Caption"/>
      </w:pPr>
      <w:r>
        <w:lastRenderedPageBreak/>
        <w:t xml:space="preserve">Table </w:t>
      </w:r>
      <w:r w:rsidR="00FB4E5C">
        <w:fldChar w:fldCharType="begin"/>
      </w:r>
      <w:r w:rsidR="00FB4E5C">
        <w:instrText xml:space="preserve"> STYLEREF 2 \s </w:instrText>
      </w:r>
      <w:r w:rsidR="00FB4E5C">
        <w:fldChar w:fldCharType="separate"/>
      </w:r>
      <w:r w:rsidR="00F12A80">
        <w:rPr>
          <w:noProof/>
        </w:rPr>
        <w:t>3.8</w:t>
      </w:r>
      <w:r w:rsidR="00FB4E5C">
        <w:rPr>
          <w:noProof/>
        </w:rPr>
        <w:fldChar w:fldCharType="end"/>
      </w:r>
      <w:r>
        <w:t>.</w:t>
      </w:r>
      <w:r w:rsidR="00FB4E5C">
        <w:fldChar w:fldCharType="begin"/>
      </w:r>
      <w:r w:rsidR="00FB4E5C">
        <w:instrText xml:space="preserve"> SEQ Table \*</w:instrText>
      </w:r>
      <w:r w:rsidR="00FB4E5C">
        <w:instrText xml:space="preserve"> ARABIC \s 2 </w:instrText>
      </w:r>
      <w:r w:rsidR="00FB4E5C">
        <w:fldChar w:fldCharType="separate"/>
      </w:r>
      <w:r w:rsidR="00F12A80">
        <w:rPr>
          <w:noProof/>
        </w:rPr>
        <w:t>6</w:t>
      </w:r>
      <w:r w:rsidR="00FB4E5C">
        <w:rPr>
          <w:noProof/>
        </w:rPr>
        <w:fldChar w:fldCharType="end"/>
      </w:r>
      <w:r w:rsidRPr="00DA0BA0">
        <w:t>: Defined benefit superannuation assets</w:t>
      </w:r>
    </w:p>
    <w:tbl>
      <w:tblPr>
        <w:tblW w:w="9027"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451"/>
        <w:gridCol w:w="1315"/>
        <w:gridCol w:w="1315"/>
        <w:gridCol w:w="1315"/>
        <w:gridCol w:w="1315"/>
        <w:gridCol w:w="1316"/>
      </w:tblGrid>
      <w:tr w:rsidR="00A60D4B" w:rsidRPr="00DA0BA0" w14:paraId="659375DE" w14:textId="77777777" w:rsidTr="00A60D4B">
        <w:trPr>
          <w:trHeight w:val="156"/>
        </w:trPr>
        <w:tc>
          <w:tcPr>
            <w:tcW w:w="2451" w:type="dxa"/>
            <w:tcBorders>
              <w:top w:val="single" w:sz="4" w:space="0" w:color="auto"/>
            </w:tcBorders>
            <w:shd w:val="clear" w:color="auto" w:fill="472D8C"/>
          </w:tcPr>
          <w:p w14:paraId="5F4724F7" w14:textId="77777777" w:rsidR="00A60D4B" w:rsidRPr="00FF7727" w:rsidRDefault="00A60D4B" w:rsidP="00A60D4B">
            <w:pPr>
              <w:pStyle w:val="Emptycell"/>
              <w:keepNext/>
              <w:keepLines/>
              <w:numPr>
                <w:ilvl w:val="0"/>
                <w:numId w:val="0"/>
              </w:numPr>
            </w:pPr>
          </w:p>
        </w:tc>
        <w:tc>
          <w:tcPr>
            <w:tcW w:w="1315" w:type="dxa"/>
            <w:tcBorders>
              <w:top w:val="single" w:sz="4" w:space="0" w:color="auto"/>
              <w:bottom w:val="single" w:sz="4" w:space="0" w:color="auto"/>
            </w:tcBorders>
            <w:shd w:val="clear" w:color="auto" w:fill="472D8C"/>
          </w:tcPr>
          <w:p w14:paraId="4761FC22" w14:textId="77777777" w:rsidR="00A60D4B" w:rsidRPr="00FF7727" w:rsidRDefault="00A60D4B" w:rsidP="00A60D4B">
            <w:pPr>
              <w:keepNext/>
              <w:keepLines/>
              <w:spacing w:after="0" w:line="240" w:lineRule="auto"/>
              <w:ind w:left="227" w:hanging="227"/>
              <w:jc w:val="right"/>
              <w:rPr>
                <w:rFonts w:ascii="Calibri" w:hAnsi="Calibri"/>
                <w:b/>
                <w:color w:val="FFFFFF" w:themeColor="background1"/>
                <w:sz w:val="20"/>
                <w:szCs w:val="20"/>
              </w:rPr>
            </w:pPr>
            <w:r w:rsidRPr="00FF7727">
              <w:rPr>
                <w:rFonts w:ascii="Calibri" w:hAnsi="Calibri"/>
                <w:b/>
                <w:color w:val="FFFFFF" w:themeColor="background1"/>
                <w:sz w:val="20"/>
              </w:rPr>
              <w:t>20</w:t>
            </w:r>
            <w:r>
              <w:rPr>
                <w:rFonts w:ascii="Calibri" w:hAnsi="Calibri"/>
                <w:b/>
                <w:color w:val="FFFFFF" w:themeColor="background1"/>
                <w:sz w:val="20"/>
              </w:rPr>
              <w:t>20</w:t>
            </w:r>
            <w:r w:rsidRPr="00FF7727">
              <w:rPr>
                <w:rFonts w:ascii="Calibri" w:hAnsi="Calibri"/>
                <w:b/>
                <w:color w:val="FFFFFF" w:themeColor="background1"/>
                <w:sz w:val="20"/>
              </w:rPr>
              <w:t>-2</w:t>
            </w:r>
            <w:r>
              <w:rPr>
                <w:rFonts w:ascii="Calibri" w:hAnsi="Calibri"/>
                <w:b/>
                <w:color w:val="FFFFFF" w:themeColor="background1"/>
                <w:sz w:val="20"/>
              </w:rPr>
              <w:t>1</w:t>
            </w:r>
            <w:r w:rsidRPr="00FF7727">
              <w:rPr>
                <w:rFonts w:ascii="Calibri" w:hAnsi="Calibri"/>
                <w:b/>
                <w:color w:val="FFFFFF" w:themeColor="background1"/>
                <w:sz w:val="20"/>
                <w:szCs w:val="20"/>
              </w:rPr>
              <w:t xml:space="preserve"> </w:t>
            </w:r>
            <w:r>
              <w:rPr>
                <w:rFonts w:ascii="Calibri" w:hAnsi="Calibri"/>
                <w:b/>
                <w:color w:val="FFFFFF" w:themeColor="background1"/>
                <w:sz w:val="20"/>
                <w:szCs w:val="20"/>
              </w:rPr>
              <w:t>Interim Outcome</w:t>
            </w:r>
          </w:p>
          <w:p w14:paraId="15128D7B" w14:textId="77777777" w:rsidR="00A60D4B" w:rsidRPr="00FF7727" w:rsidRDefault="00A60D4B" w:rsidP="00A60D4B">
            <w:pPr>
              <w:keepNext/>
              <w:keepLines/>
              <w:spacing w:after="0" w:line="240" w:lineRule="auto"/>
              <w:ind w:left="227" w:hanging="227"/>
              <w:jc w:val="right"/>
              <w:rPr>
                <w:rFonts w:ascii="Calibri" w:hAnsi="Calibri"/>
                <w:b/>
                <w:color w:val="FFFFFF" w:themeColor="background1"/>
                <w:sz w:val="20"/>
              </w:rPr>
            </w:pPr>
            <w:r w:rsidRPr="00FF7727">
              <w:rPr>
                <w:rFonts w:ascii="Calibri" w:hAnsi="Calibri"/>
                <w:b/>
                <w:color w:val="FFFFFF" w:themeColor="background1"/>
                <w:sz w:val="20"/>
              </w:rPr>
              <w:t>$’000</w:t>
            </w:r>
          </w:p>
        </w:tc>
        <w:tc>
          <w:tcPr>
            <w:tcW w:w="1315" w:type="dxa"/>
            <w:tcBorders>
              <w:top w:val="single" w:sz="4" w:space="0" w:color="auto"/>
              <w:bottom w:val="single" w:sz="4" w:space="0" w:color="auto"/>
            </w:tcBorders>
            <w:shd w:val="clear" w:color="auto" w:fill="472D8C"/>
          </w:tcPr>
          <w:p w14:paraId="03CA5518" w14:textId="77777777" w:rsidR="00A60D4B" w:rsidRPr="00FF7727" w:rsidRDefault="00A60D4B" w:rsidP="00A60D4B">
            <w:pPr>
              <w:keepNext/>
              <w:keepLines/>
              <w:spacing w:after="0" w:line="240" w:lineRule="auto"/>
              <w:ind w:left="227" w:hanging="227"/>
              <w:jc w:val="right"/>
              <w:rPr>
                <w:rFonts w:ascii="Calibri" w:hAnsi="Calibri"/>
                <w:b/>
                <w:color w:val="FFFFFF" w:themeColor="background1"/>
                <w:sz w:val="20"/>
                <w:szCs w:val="20"/>
              </w:rPr>
            </w:pPr>
            <w:r w:rsidRPr="00FF7727">
              <w:rPr>
                <w:rFonts w:ascii="Calibri" w:hAnsi="Calibri"/>
                <w:b/>
                <w:color w:val="FFFFFF" w:themeColor="background1"/>
                <w:sz w:val="20"/>
              </w:rPr>
              <w:t>202</w:t>
            </w:r>
            <w:r>
              <w:rPr>
                <w:rFonts w:ascii="Calibri" w:hAnsi="Calibri"/>
                <w:b/>
                <w:color w:val="FFFFFF" w:themeColor="background1"/>
                <w:sz w:val="20"/>
              </w:rPr>
              <w:t>1</w:t>
            </w:r>
            <w:r w:rsidRPr="00FF7727">
              <w:rPr>
                <w:rFonts w:ascii="Calibri" w:hAnsi="Calibri"/>
                <w:b/>
                <w:color w:val="FFFFFF" w:themeColor="background1"/>
                <w:sz w:val="20"/>
              </w:rPr>
              <w:t>-2</w:t>
            </w:r>
            <w:r>
              <w:rPr>
                <w:rFonts w:ascii="Calibri" w:hAnsi="Calibri"/>
                <w:b/>
                <w:color w:val="FFFFFF" w:themeColor="background1"/>
                <w:sz w:val="20"/>
              </w:rPr>
              <w:t>2</w:t>
            </w:r>
            <w:r w:rsidRPr="00FF7727">
              <w:rPr>
                <w:rFonts w:ascii="Calibri" w:hAnsi="Calibri"/>
                <w:b/>
                <w:color w:val="FFFFFF" w:themeColor="background1"/>
                <w:sz w:val="20"/>
                <w:szCs w:val="20"/>
              </w:rPr>
              <w:t xml:space="preserve"> Budget</w:t>
            </w:r>
          </w:p>
          <w:p w14:paraId="042F300C" w14:textId="77777777" w:rsidR="00A60D4B" w:rsidRDefault="00A60D4B" w:rsidP="00A60D4B">
            <w:pPr>
              <w:keepNext/>
              <w:keepLines/>
              <w:spacing w:after="0" w:line="240" w:lineRule="auto"/>
              <w:ind w:left="227" w:hanging="227"/>
              <w:jc w:val="right"/>
              <w:rPr>
                <w:rFonts w:ascii="Calibri" w:hAnsi="Calibri"/>
                <w:b/>
                <w:color w:val="FFFFFF" w:themeColor="background1"/>
                <w:sz w:val="20"/>
              </w:rPr>
            </w:pPr>
          </w:p>
          <w:p w14:paraId="2152E3EC" w14:textId="77777777" w:rsidR="00A60D4B" w:rsidRPr="00FF7727" w:rsidRDefault="00A60D4B" w:rsidP="00A60D4B">
            <w:pPr>
              <w:keepNext/>
              <w:keepLines/>
              <w:spacing w:after="0" w:line="240" w:lineRule="auto"/>
              <w:ind w:left="227" w:hanging="227"/>
              <w:jc w:val="right"/>
              <w:rPr>
                <w:rFonts w:ascii="Calibri" w:hAnsi="Calibri"/>
                <w:b/>
                <w:color w:val="FFFFFF" w:themeColor="background1"/>
                <w:sz w:val="20"/>
              </w:rPr>
            </w:pPr>
            <w:r w:rsidRPr="00FF7727">
              <w:rPr>
                <w:rFonts w:ascii="Calibri" w:hAnsi="Calibri"/>
                <w:b/>
                <w:color w:val="FFFFFF" w:themeColor="background1"/>
                <w:sz w:val="20"/>
              </w:rPr>
              <w:t>$’000</w:t>
            </w:r>
          </w:p>
        </w:tc>
        <w:tc>
          <w:tcPr>
            <w:tcW w:w="1315" w:type="dxa"/>
            <w:tcBorders>
              <w:top w:val="single" w:sz="4" w:space="0" w:color="auto"/>
              <w:bottom w:val="single" w:sz="4" w:space="0" w:color="auto"/>
            </w:tcBorders>
            <w:shd w:val="clear" w:color="auto" w:fill="472D8C"/>
          </w:tcPr>
          <w:p w14:paraId="03FEAAFB" w14:textId="77777777" w:rsidR="00A60D4B" w:rsidRPr="00FF7727" w:rsidRDefault="00A60D4B" w:rsidP="00A60D4B">
            <w:pPr>
              <w:keepNext/>
              <w:keepLines/>
              <w:spacing w:after="0" w:line="240" w:lineRule="auto"/>
              <w:ind w:left="227" w:hanging="227"/>
              <w:jc w:val="right"/>
              <w:rPr>
                <w:rFonts w:ascii="Calibri" w:hAnsi="Calibri"/>
                <w:b/>
                <w:color w:val="FFFFFF" w:themeColor="background1"/>
                <w:sz w:val="20"/>
              </w:rPr>
            </w:pPr>
            <w:r w:rsidRPr="00FF7727">
              <w:rPr>
                <w:rFonts w:ascii="Calibri" w:hAnsi="Calibri"/>
                <w:b/>
                <w:color w:val="FFFFFF" w:themeColor="background1"/>
                <w:sz w:val="20"/>
              </w:rPr>
              <w:t>202</w:t>
            </w:r>
            <w:r>
              <w:rPr>
                <w:rFonts w:ascii="Calibri" w:hAnsi="Calibri"/>
                <w:b/>
                <w:color w:val="FFFFFF" w:themeColor="background1"/>
                <w:sz w:val="20"/>
              </w:rPr>
              <w:t>2</w:t>
            </w:r>
            <w:r w:rsidRPr="00FF7727">
              <w:rPr>
                <w:rFonts w:ascii="Calibri" w:hAnsi="Calibri"/>
                <w:b/>
                <w:color w:val="FFFFFF" w:themeColor="background1"/>
                <w:sz w:val="20"/>
              </w:rPr>
              <w:t>-2</w:t>
            </w:r>
            <w:r>
              <w:rPr>
                <w:rFonts w:ascii="Calibri" w:hAnsi="Calibri"/>
                <w:b/>
                <w:color w:val="FFFFFF" w:themeColor="background1"/>
                <w:sz w:val="20"/>
              </w:rPr>
              <w:t>3</w:t>
            </w:r>
            <w:r w:rsidRPr="00FF7727">
              <w:rPr>
                <w:rFonts w:ascii="Calibri" w:hAnsi="Calibri"/>
                <w:b/>
                <w:color w:val="FFFFFF" w:themeColor="background1"/>
                <w:sz w:val="20"/>
              </w:rPr>
              <w:t xml:space="preserve"> Estimate</w:t>
            </w:r>
          </w:p>
          <w:p w14:paraId="5BF21548" w14:textId="77777777" w:rsidR="00A60D4B" w:rsidRDefault="00A60D4B" w:rsidP="00A60D4B">
            <w:pPr>
              <w:keepNext/>
              <w:keepLines/>
              <w:spacing w:after="0" w:line="240" w:lineRule="auto"/>
              <w:ind w:left="227" w:hanging="227"/>
              <w:jc w:val="right"/>
              <w:rPr>
                <w:rFonts w:ascii="Calibri" w:hAnsi="Calibri"/>
                <w:b/>
                <w:color w:val="FFFFFF" w:themeColor="background1"/>
                <w:sz w:val="20"/>
              </w:rPr>
            </w:pPr>
          </w:p>
          <w:p w14:paraId="71274A8A" w14:textId="77777777" w:rsidR="00A60D4B" w:rsidRPr="00FF7727" w:rsidRDefault="00A60D4B" w:rsidP="00A60D4B">
            <w:pPr>
              <w:keepNext/>
              <w:keepLines/>
              <w:spacing w:after="0" w:line="240" w:lineRule="auto"/>
              <w:ind w:left="227" w:hanging="227"/>
              <w:jc w:val="right"/>
              <w:rPr>
                <w:rFonts w:ascii="Calibri" w:hAnsi="Calibri"/>
                <w:b/>
                <w:color w:val="FFFFFF" w:themeColor="background1"/>
                <w:sz w:val="20"/>
              </w:rPr>
            </w:pPr>
            <w:r w:rsidRPr="00FF7727">
              <w:rPr>
                <w:rFonts w:ascii="Calibri" w:hAnsi="Calibri"/>
                <w:b/>
                <w:color w:val="FFFFFF" w:themeColor="background1"/>
                <w:sz w:val="20"/>
              </w:rPr>
              <w:t>$’000</w:t>
            </w:r>
          </w:p>
        </w:tc>
        <w:tc>
          <w:tcPr>
            <w:tcW w:w="1315" w:type="dxa"/>
            <w:tcBorders>
              <w:top w:val="single" w:sz="4" w:space="0" w:color="auto"/>
              <w:bottom w:val="single" w:sz="4" w:space="0" w:color="auto"/>
            </w:tcBorders>
            <w:shd w:val="clear" w:color="auto" w:fill="472D8C"/>
          </w:tcPr>
          <w:p w14:paraId="0B6372BE" w14:textId="77777777" w:rsidR="00A60D4B" w:rsidRPr="00FF7727" w:rsidRDefault="00A60D4B" w:rsidP="00A60D4B">
            <w:pPr>
              <w:keepNext/>
              <w:keepLines/>
              <w:spacing w:after="0" w:line="240" w:lineRule="auto"/>
              <w:ind w:left="227" w:hanging="227"/>
              <w:jc w:val="right"/>
              <w:rPr>
                <w:rFonts w:ascii="Calibri" w:hAnsi="Calibri"/>
                <w:b/>
                <w:color w:val="FFFFFF" w:themeColor="background1"/>
                <w:sz w:val="20"/>
              </w:rPr>
            </w:pPr>
            <w:r w:rsidRPr="00FF7727">
              <w:rPr>
                <w:rFonts w:ascii="Calibri" w:hAnsi="Calibri"/>
                <w:b/>
                <w:color w:val="FFFFFF" w:themeColor="background1"/>
                <w:sz w:val="20"/>
              </w:rPr>
              <w:t>202</w:t>
            </w:r>
            <w:r>
              <w:rPr>
                <w:rFonts w:ascii="Calibri" w:hAnsi="Calibri"/>
                <w:b/>
                <w:color w:val="FFFFFF" w:themeColor="background1"/>
                <w:sz w:val="20"/>
              </w:rPr>
              <w:t>3</w:t>
            </w:r>
            <w:r w:rsidRPr="00FF7727">
              <w:rPr>
                <w:rFonts w:ascii="Calibri" w:hAnsi="Calibri"/>
                <w:b/>
                <w:color w:val="FFFFFF" w:themeColor="background1"/>
                <w:sz w:val="20"/>
              </w:rPr>
              <w:t>-2</w:t>
            </w:r>
            <w:r>
              <w:rPr>
                <w:rFonts w:ascii="Calibri" w:hAnsi="Calibri"/>
                <w:b/>
                <w:color w:val="FFFFFF" w:themeColor="background1"/>
                <w:sz w:val="20"/>
              </w:rPr>
              <w:t>4</w:t>
            </w:r>
            <w:r w:rsidRPr="00FF7727">
              <w:rPr>
                <w:rFonts w:ascii="Calibri" w:hAnsi="Calibri"/>
                <w:b/>
                <w:color w:val="FFFFFF" w:themeColor="background1"/>
                <w:sz w:val="20"/>
              </w:rPr>
              <w:t xml:space="preserve"> Estimate</w:t>
            </w:r>
          </w:p>
          <w:p w14:paraId="01359800" w14:textId="77777777" w:rsidR="00A60D4B" w:rsidRDefault="00A60D4B" w:rsidP="00A60D4B">
            <w:pPr>
              <w:keepNext/>
              <w:keepLines/>
              <w:spacing w:after="0" w:line="240" w:lineRule="auto"/>
              <w:ind w:left="227" w:hanging="227"/>
              <w:jc w:val="right"/>
              <w:rPr>
                <w:rFonts w:ascii="Calibri" w:hAnsi="Calibri"/>
                <w:b/>
                <w:color w:val="FFFFFF" w:themeColor="background1"/>
                <w:sz w:val="20"/>
              </w:rPr>
            </w:pPr>
          </w:p>
          <w:p w14:paraId="0014FB97" w14:textId="77777777" w:rsidR="00A60D4B" w:rsidRPr="00FF7727" w:rsidRDefault="00A60D4B" w:rsidP="00A60D4B">
            <w:pPr>
              <w:keepNext/>
              <w:keepLines/>
              <w:spacing w:after="0" w:line="240" w:lineRule="auto"/>
              <w:ind w:left="227" w:hanging="227"/>
              <w:jc w:val="right"/>
              <w:rPr>
                <w:rFonts w:ascii="Calibri" w:hAnsi="Calibri"/>
                <w:b/>
                <w:color w:val="FFFFFF" w:themeColor="background1"/>
                <w:sz w:val="20"/>
              </w:rPr>
            </w:pPr>
            <w:r w:rsidRPr="00FF7727">
              <w:rPr>
                <w:rFonts w:ascii="Calibri" w:hAnsi="Calibri"/>
                <w:b/>
                <w:color w:val="FFFFFF" w:themeColor="background1"/>
                <w:sz w:val="20"/>
              </w:rPr>
              <w:t>$’000</w:t>
            </w:r>
          </w:p>
        </w:tc>
        <w:tc>
          <w:tcPr>
            <w:tcW w:w="1316" w:type="dxa"/>
            <w:tcBorders>
              <w:top w:val="single" w:sz="4" w:space="0" w:color="auto"/>
              <w:bottom w:val="single" w:sz="4" w:space="0" w:color="auto"/>
            </w:tcBorders>
            <w:shd w:val="clear" w:color="auto" w:fill="472D8C"/>
          </w:tcPr>
          <w:p w14:paraId="40047D30" w14:textId="77777777" w:rsidR="00A60D4B" w:rsidRPr="00FF7727" w:rsidRDefault="00A60D4B" w:rsidP="00A60D4B">
            <w:pPr>
              <w:keepNext/>
              <w:keepLines/>
              <w:spacing w:after="0" w:line="240" w:lineRule="auto"/>
              <w:ind w:left="227" w:hanging="227"/>
              <w:jc w:val="right"/>
              <w:rPr>
                <w:rFonts w:ascii="Calibri" w:hAnsi="Calibri"/>
                <w:b/>
                <w:color w:val="FFFFFF" w:themeColor="background1"/>
                <w:sz w:val="20"/>
              </w:rPr>
            </w:pPr>
            <w:r w:rsidRPr="00FF7727">
              <w:rPr>
                <w:rFonts w:ascii="Calibri" w:hAnsi="Calibri"/>
                <w:b/>
                <w:color w:val="FFFFFF" w:themeColor="background1"/>
                <w:sz w:val="20"/>
              </w:rPr>
              <w:t>202</w:t>
            </w:r>
            <w:r>
              <w:rPr>
                <w:rFonts w:ascii="Calibri" w:hAnsi="Calibri"/>
                <w:b/>
                <w:color w:val="FFFFFF" w:themeColor="background1"/>
                <w:sz w:val="20"/>
              </w:rPr>
              <w:t>4</w:t>
            </w:r>
            <w:r w:rsidRPr="00FF7727">
              <w:rPr>
                <w:rFonts w:ascii="Calibri" w:hAnsi="Calibri"/>
                <w:b/>
                <w:color w:val="FFFFFF" w:themeColor="background1"/>
                <w:sz w:val="20"/>
              </w:rPr>
              <w:t>-2</w:t>
            </w:r>
            <w:r>
              <w:rPr>
                <w:rFonts w:ascii="Calibri" w:hAnsi="Calibri"/>
                <w:b/>
                <w:color w:val="FFFFFF" w:themeColor="background1"/>
                <w:sz w:val="20"/>
              </w:rPr>
              <w:t>5</w:t>
            </w:r>
            <w:r w:rsidRPr="00FF7727">
              <w:rPr>
                <w:rFonts w:ascii="Calibri" w:hAnsi="Calibri"/>
                <w:b/>
                <w:color w:val="FFFFFF" w:themeColor="background1"/>
                <w:sz w:val="20"/>
              </w:rPr>
              <w:t xml:space="preserve"> Estimate</w:t>
            </w:r>
          </w:p>
          <w:p w14:paraId="07437BA9" w14:textId="77777777" w:rsidR="00A60D4B" w:rsidRDefault="00A60D4B" w:rsidP="00A60D4B">
            <w:pPr>
              <w:keepNext/>
              <w:keepLines/>
              <w:spacing w:after="0" w:line="240" w:lineRule="auto"/>
              <w:ind w:left="227" w:hanging="227"/>
              <w:jc w:val="right"/>
              <w:rPr>
                <w:rFonts w:ascii="Calibri" w:hAnsi="Calibri"/>
                <w:b/>
                <w:color w:val="FFFFFF" w:themeColor="background1"/>
                <w:sz w:val="20"/>
              </w:rPr>
            </w:pPr>
          </w:p>
          <w:p w14:paraId="42EBA7DC" w14:textId="77777777" w:rsidR="00A60D4B" w:rsidRPr="00FF7727" w:rsidRDefault="00A60D4B" w:rsidP="00A60D4B">
            <w:pPr>
              <w:keepNext/>
              <w:keepLines/>
              <w:spacing w:after="0" w:line="240" w:lineRule="auto"/>
              <w:ind w:left="227" w:hanging="227"/>
              <w:jc w:val="right"/>
              <w:rPr>
                <w:rFonts w:ascii="Calibri" w:hAnsi="Calibri"/>
                <w:b/>
                <w:color w:val="FFFFFF" w:themeColor="background1"/>
                <w:sz w:val="20"/>
              </w:rPr>
            </w:pPr>
            <w:r w:rsidRPr="00FF7727">
              <w:rPr>
                <w:rFonts w:ascii="Calibri" w:hAnsi="Calibri"/>
                <w:b/>
                <w:color w:val="FFFFFF" w:themeColor="background1"/>
                <w:sz w:val="20"/>
              </w:rPr>
              <w:t>$’000</w:t>
            </w:r>
          </w:p>
        </w:tc>
      </w:tr>
      <w:tr w:rsidR="00A60D4B" w:rsidRPr="00DA0BA0" w14:paraId="5567717A" w14:textId="77777777" w:rsidTr="00A60D4B">
        <w:trPr>
          <w:trHeight w:val="270"/>
        </w:trPr>
        <w:tc>
          <w:tcPr>
            <w:tcW w:w="2451" w:type="dxa"/>
            <w:tcBorders>
              <w:top w:val="nil"/>
              <w:bottom w:val="nil"/>
            </w:tcBorders>
          </w:tcPr>
          <w:p w14:paraId="651DA268" w14:textId="77777777" w:rsidR="00A60D4B" w:rsidRPr="00DA0BA0" w:rsidRDefault="00A60D4B" w:rsidP="00A60D4B">
            <w:pPr>
              <w:pStyle w:val="Btabletextbold"/>
              <w:keepNext/>
              <w:keepLines/>
            </w:pPr>
            <w:r w:rsidRPr="00DA0BA0">
              <w:t>Opening assets</w:t>
            </w:r>
          </w:p>
        </w:tc>
        <w:tc>
          <w:tcPr>
            <w:tcW w:w="1315" w:type="dxa"/>
            <w:tcBorders>
              <w:top w:val="nil"/>
              <w:bottom w:val="nil"/>
            </w:tcBorders>
          </w:tcPr>
          <w:p w14:paraId="3CEC6B0A" w14:textId="77777777" w:rsidR="00A60D4B" w:rsidRPr="00DA0BA0" w:rsidRDefault="00A60D4B" w:rsidP="00A60D4B">
            <w:pPr>
              <w:pStyle w:val="BTablefigureBold"/>
              <w:keepNext/>
              <w:keepLines/>
            </w:pPr>
            <w:r w:rsidRPr="00DA0BA0">
              <w:t>4,</w:t>
            </w:r>
            <w:r>
              <w:t>322</w:t>
            </w:r>
            <w:r w:rsidRPr="00DA0BA0">
              <w:t>,</w:t>
            </w:r>
            <w:r>
              <w:t>383</w:t>
            </w:r>
          </w:p>
        </w:tc>
        <w:tc>
          <w:tcPr>
            <w:tcW w:w="1315" w:type="dxa"/>
            <w:tcBorders>
              <w:top w:val="nil"/>
              <w:bottom w:val="nil"/>
            </w:tcBorders>
          </w:tcPr>
          <w:p w14:paraId="54D330C1" w14:textId="77777777" w:rsidR="00A60D4B" w:rsidRPr="00DA0BA0" w:rsidRDefault="00A60D4B" w:rsidP="00A60D4B">
            <w:pPr>
              <w:pStyle w:val="BTablefigureBold"/>
              <w:keepNext/>
              <w:keepLines/>
            </w:pPr>
            <w:r>
              <w:t>5,132,104</w:t>
            </w:r>
          </w:p>
        </w:tc>
        <w:tc>
          <w:tcPr>
            <w:tcW w:w="1315" w:type="dxa"/>
            <w:tcBorders>
              <w:top w:val="nil"/>
              <w:bottom w:val="nil"/>
            </w:tcBorders>
            <w:shd w:val="clear" w:color="auto" w:fill="auto"/>
          </w:tcPr>
          <w:p w14:paraId="450238F3" w14:textId="77777777" w:rsidR="00A60D4B" w:rsidRPr="00DA0BA0" w:rsidRDefault="00A60D4B" w:rsidP="00A60D4B">
            <w:pPr>
              <w:pStyle w:val="BTablefigureBold"/>
              <w:keepNext/>
              <w:keepLines/>
            </w:pPr>
            <w:r>
              <w:t>5,488,445</w:t>
            </w:r>
          </w:p>
        </w:tc>
        <w:tc>
          <w:tcPr>
            <w:tcW w:w="1315" w:type="dxa"/>
            <w:tcBorders>
              <w:top w:val="nil"/>
              <w:bottom w:val="nil"/>
            </w:tcBorders>
          </w:tcPr>
          <w:p w14:paraId="014F9E25" w14:textId="77777777" w:rsidR="00A60D4B" w:rsidRPr="00DA0BA0" w:rsidRDefault="00A60D4B" w:rsidP="00A60D4B">
            <w:pPr>
              <w:pStyle w:val="BTablefigureBold"/>
              <w:keepNext/>
              <w:keepLines/>
            </w:pPr>
            <w:r>
              <w:t>5,870,184</w:t>
            </w:r>
          </w:p>
        </w:tc>
        <w:tc>
          <w:tcPr>
            <w:tcW w:w="1316" w:type="dxa"/>
            <w:tcBorders>
              <w:top w:val="nil"/>
              <w:bottom w:val="nil"/>
            </w:tcBorders>
            <w:shd w:val="clear" w:color="auto" w:fill="auto"/>
          </w:tcPr>
          <w:p w14:paraId="66729914" w14:textId="77777777" w:rsidR="00A60D4B" w:rsidRPr="00DA0BA0" w:rsidRDefault="00A60D4B" w:rsidP="00A60D4B">
            <w:pPr>
              <w:pStyle w:val="BTablefigureBold"/>
              <w:keepNext/>
              <w:keepLines/>
            </w:pPr>
            <w:r>
              <w:t>6,279,132</w:t>
            </w:r>
          </w:p>
        </w:tc>
      </w:tr>
      <w:tr w:rsidR="00A60D4B" w:rsidRPr="00DA0BA0" w14:paraId="6EB27F08" w14:textId="77777777" w:rsidTr="00A60D4B">
        <w:trPr>
          <w:trHeight w:val="270"/>
        </w:trPr>
        <w:tc>
          <w:tcPr>
            <w:tcW w:w="2451" w:type="dxa"/>
            <w:tcBorders>
              <w:top w:val="nil"/>
              <w:bottom w:val="nil"/>
            </w:tcBorders>
          </w:tcPr>
          <w:p w14:paraId="7C79391F" w14:textId="77777777" w:rsidR="00A60D4B" w:rsidRPr="00DA0BA0" w:rsidRDefault="00A60D4B" w:rsidP="00A60D4B">
            <w:pPr>
              <w:pStyle w:val="Btabletextunbold"/>
              <w:keepNext/>
              <w:keepLines/>
            </w:pPr>
            <w:r w:rsidRPr="00DA0BA0">
              <w:t xml:space="preserve">Net investment </w:t>
            </w:r>
            <w:r>
              <w:t>revenue</w:t>
            </w:r>
            <w:r w:rsidRPr="00DA0BA0">
              <w:rPr>
                <w:vertAlign w:val="superscript"/>
              </w:rPr>
              <w:t>1</w:t>
            </w:r>
          </w:p>
        </w:tc>
        <w:tc>
          <w:tcPr>
            <w:tcW w:w="1315" w:type="dxa"/>
            <w:tcBorders>
              <w:top w:val="nil"/>
              <w:bottom w:val="nil"/>
            </w:tcBorders>
          </w:tcPr>
          <w:p w14:paraId="5191585E" w14:textId="77777777" w:rsidR="00A60D4B" w:rsidRPr="00DA0BA0" w:rsidRDefault="00A60D4B" w:rsidP="00A60D4B">
            <w:pPr>
              <w:pStyle w:val="Btablefigureunbold"/>
              <w:keepNext/>
              <w:keepLines/>
            </w:pPr>
            <w:r>
              <w:t>803,077</w:t>
            </w:r>
          </w:p>
        </w:tc>
        <w:tc>
          <w:tcPr>
            <w:tcW w:w="1315" w:type="dxa"/>
            <w:tcBorders>
              <w:top w:val="nil"/>
              <w:bottom w:val="nil"/>
            </w:tcBorders>
          </w:tcPr>
          <w:p w14:paraId="4FF7DC99" w14:textId="77777777" w:rsidR="00A60D4B" w:rsidRPr="00DA0BA0" w:rsidRDefault="00A60D4B" w:rsidP="00A60D4B">
            <w:pPr>
              <w:pStyle w:val="Btablefigureunbold"/>
              <w:keepNext/>
              <w:keepLines/>
            </w:pPr>
            <w:r>
              <w:t>359,860</w:t>
            </w:r>
          </w:p>
        </w:tc>
        <w:tc>
          <w:tcPr>
            <w:tcW w:w="1315" w:type="dxa"/>
            <w:tcBorders>
              <w:top w:val="nil"/>
              <w:bottom w:val="nil"/>
            </w:tcBorders>
            <w:shd w:val="clear" w:color="auto" w:fill="auto"/>
          </w:tcPr>
          <w:p w14:paraId="72D6BA3D" w14:textId="77777777" w:rsidR="00A60D4B" w:rsidRPr="00DA0BA0" w:rsidRDefault="00A60D4B" w:rsidP="00A60D4B">
            <w:pPr>
              <w:pStyle w:val="Btablefigureunbold"/>
              <w:keepNext/>
              <w:keepLines/>
            </w:pPr>
            <w:r>
              <w:t>385,340</w:t>
            </w:r>
          </w:p>
        </w:tc>
        <w:tc>
          <w:tcPr>
            <w:tcW w:w="1315" w:type="dxa"/>
            <w:tcBorders>
              <w:top w:val="nil"/>
              <w:bottom w:val="nil"/>
            </w:tcBorders>
          </w:tcPr>
          <w:p w14:paraId="32B39C24" w14:textId="77777777" w:rsidR="00A60D4B" w:rsidRPr="00DA0BA0" w:rsidRDefault="00A60D4B" w:rsidP="00A60D4B">
            <w:pPr>
              <w:pStyle w:val="Btablefigureunbold"/>
              <w:keepNext/>
              <w:keepLines/>
            </w:pPr>
            <w:r>
              <w:t>412,633</w:t>
            </w:r>
          </w:p>
        </w:tc>
        <w:tc>
          <w:tcPr>
            <w:tcW w:w="1316" w:type="dxa"/>
            <w:tcBorders>
              <w:top w:val="nil"/>
              <w:bottom w:val="nil"/>
            </w:tcBorders>
            <w:shd w:val="clear" w:color="auto" w:fill="auto"/>
          </w:tcPr>
          <w:p w14:paraId="2F79CCCC" w14:textId="77777777" w:rsidR="00A60D4B" w:rsidRPr="00DA0BA0" w:rsidRDefault="00A60D4B" w:rsidP="00A60D4B">
            <w:pPr>
              <w:pStyle w:val="Btablefigureunbold"/>
              <w:keepNext/>
              <w:keepLines/>
            </w:pPr>
            <w:r>
              <w:t>441,874</w:t>
            </w:r>
          </w:p>
        </w:tc>
      </w:tr>
      <w:tr w:rsidR="00A60D4B" w14:paraId="55C4928B" w14:textId="77777777" w:rsidTr="00A60D4B">
        <w:trPr>
          <w:trHeight w:val="270"/>
        </w:trPr>
        <w:tc>
          <w:tcPr>
            <w:tcW w:w="2451" w:type="dxa"/>
            <w:tcBorders>
              <w:top w:val="nil"/>
              <w:bottom w:val="nil"/>
            </w:tcBorders>
          </w:tcPr>
          <w:p w14:paraId="50C03657" w14:textId="77777777" w:rsidR="00A60D4B" w:rsidRDefault="00A60D4B" w:rsidP="00A60D4B">
            <w:pPr>
              <w:pStyle w:val="Btabletextunbold"/>
              <w:keepNext/>
              <w:keepLines/>
            </w:pPr>
            <w:r>
              <w:t>Other revenue</w:t>
            </w:r>
          </w:p>
        </w:tc>
        <w:tc>
          <w:tcPr>
            <w:tcW w:w="1315" w:type="dxa"/>
            <w:tcBorders>
              <w:top w:val="nil"/>
              <w:bottom w:val="nil"/>
            </w:tcBorders>
          </w:tcPr>
          <w:p w14:paraId="78F178C0" w14:textId="77777777" w:rsidR="00A60D4B" w:rsidRDefault="00A60D4B" w:rsidP="00A60D4B">
            <w:pPr>
              <w:pStyle w:val="Btablefigureunbold"/>
              <w:keepNext/>
              <w:keepLines/>
            </w:pPr>
            <w:r>
              <w:t>642</w:t>
            </w:r>
          </w:p>
        </w:tc>
        <w:tc>
          <w:tcPr>
            <w:tcW w:w="1315" w:type="dxa"/>
            <w:tcBorders>
              <w:top w:val="nil"/>
              <w:bottom w:val="nil"/>
            </w:tcBorders>
          </w:tcPr>
          <w:p w14:paraId="62B25316" w14:textId="77777777" w:rsidR="00A60D4B" w:rsidRDefault="00A60D4B" w:rsidP="00A60D4B">
            <w:pPr>
              <w:pStyle w:val="Btablefigureunbold"/>
              <w:keepNext/>
              <w:keepLines/>
            </w:pPr>
            <w:r>
              <w:t>595</w:t>
            </w:r>
          </w:p>
        </w:tc>
        <w:tc>
          <w:tcPr>
            <w:tcW w:w="1315" w:type="dxa"/>
            <w:tcBorders>
              <w:top w:val="nil"/>
              <w:bottom w:val="nil"/>
            </w:tcBorders>
            <w:shd w:val="clear" w:color="auto" w:fill="auto"/>
          </w:tcPr>
          <w:p w14:paraId="6E2A5E36" w14:textId="77777777" w:rsidR="00A60D4B" w:rsidRDefault="00A60D4B" w:rsidP="00A60D4B">
            <w:pPr>
              <w:pStyle w:val="Btablefigureunbold"/>
              <w:keepNext/>
              <w:keepLines/>
            </w:pPr>
            <w:r>
              <w:t>595</w:t>
            </w:r>
          </w:p>
        </w:tc>
        <w:tc>
          <w:tcPr>
            <w:tcW w:w="1315" w:type="dxa"/>
            <w:tcBorders>
              <w:top w:val="nil"/>
              <w:bottom w:val="nil"/>
            </w:tcBorders>
          </w:tcPr>
          <w:p w14:paraId="6A6D3B0B" w14:textId="77777777" w:rsidR="00A60D4B" w:rsidRDefault="00A60D4B" w:rsidP="00A60D4B">
            <w:pPr>
              <w:pStyle w:val="Btablefigureunbold"/>
              <w:keepNext/>
              <w:keepLines/>
            </w:pPr>
            <w:r>
              <w:t>595</w:t>
            </w:r>
          </w:p>
        </w:tc>
        <w:tc>
          <w:tcPr>
            <w:tcW w:w="1316" w:type="dxa"/>
            <w:tcBorders>
              <w:top w:val="nil"/>
              <w:bottom w:val="nil"/>
            </w:tcBorders>
            <w:shd w:val="clear" w:color="auto" w:fill="auto"/>
          </w:tcPr>
          <w:p w14:paraId="7B7F17E4" w14:textId="77777777" w:rsidR="00A60D4B" w:rsidRDefault="00A60D4B" w:rsidP="00A60D4B">
            <w:pPr>
              <w:pStyle w:val="Btablefigureunbold"/>
              <w:keepNext/>
              <w:keepLines/>
            </w:pPr>
            <w:r>
              <w:t>595</w:t>
            </w:r>
          </w:p>
        </w:tc>
      </w:tr>
      <w:tr w:rsidR="00A60D4B" w:rsidRPr="00DA0BA0" w14:paraId="4F10A144" w14:textId="77777777" w:rsidTr="00A60D4B">
        <w:trPr>
          <w:trHeight w:val="270"/>
        </w:trPr>
        <w:tc>
          <w:tcPr>
            <w:tcW w:w="2451" w:type="dxa"/>
            <w:tcBorders>
              <w:top w:val="nil"/>
              <w:bottom w:val="nil"/>
            </w:tcBorders>
          </w:tcPr>
          <w:p w14:paraId="7136BD21" w14:textId="77777777" w:rsidR="00A60D4B" w:rsidRPr="00DA0BA0" w:rsidRDefault="00A60D4B" w:rsidP="00A60D4B">
            <w:pPr>
              <w:pStyle w:val="Btabletextunbold"/>
              <w:keepNext/>
              <w:keepLines/>
            </w:pPr>
            <w:r w:rsidRPr="00DA0BA0">
              <w:t>Budget appropriation</w:t>
            </w:r>
          </w:p>
        </w:tc>
        <w:tc>
          <w:tcPr>
            <w:tcW w:w="1315" w:type="dxa"/>
            <w:tcBorders>
              <w:top w:val="nil"/>
              <w:bottom w:val="nil"/>
            </w:tcBorders>
          </w:tcPr>
          <w:p w14:paraId="5C0284A3" w14:textId="77777777" w:rsidR="00A60D4B" w:rsidRPr="00DA0BA0" w:rsidRDefault="00A60D4B" w:rsidP="00A60D4B">
            <w:pPr>
              <w:pStyle w:val="Btablefigureunbold"/>
              <w:keepNext/>
              <w:keepLines/>
            </w:pPr>
            <w:r>
              <w:t>308</w:t>
            </w:r>
            <w:r w:rsidRPr="00DA0BA0">
              <w:t>,</w:t>
            </w:r>
            <w:r>
              <w:t>993</w:t>
            </w:r>
          </w:p>
        </w:tc>
        <w:tc>
          <w:tcPr>
            <w:tcW w:w="1315" w:type="dxa"/>
            <w:tcBorders>
              <w:top w:val="nil"/>
              <w:bottom w:val="nil"/>
            </w:tcBorders>
          </w:tcPr>
          <w:p w14:paraId="67A73F8C" w14:textId="77777777" w:rsidR="00A60D4B" w:rsidRPr="00DA0BA0" w:rsidRDefault="00A60D4B" w:rsidP="00A60D4B">
            <w:pPr>
              <w:pStyle w:val="Btablefigureunbold"/>
              <w:keepNext/>
              <w:keepLines/>
              <w:rPr>
                <w:bCs/>
              </w:rPr>
            </w:pPr>
            <w:r w:rsidRPr="00DA0BA0">
              <w:rPr>
                <w:bCs/>
              </w:rPr>
              <w:t>3</w:t>
            </w:r>
            <w:r>
              <w:rPr>
                <w:bCs/>
              </w:rPr>
              <w:t>2</w:t>
            </w:r>
            <w:r w:rsidRPr="00DA0BA0">
              <w:rPr>
                <w:bCs/>
              </w:rPr>
              <w:t>8,</w:t>
            </w:r>
            <w:r>
              <w:rPr>
                <w:bCs/>
              </w:rPr>
              <w:t>281</w:t>
            </w:r>
          </w:p>
        </w:tc>
        <w:tc>
          <w:tcPr>
            <w:tcW w:w="1315" w:type="dxa"/>
            <w:tcBorders>
              <w:top w:val="nil"/>
              <w:bottom w:val="nil"/>
            </w:tcBorders>
            <w:shd w:val="clear" w:color="auto" w:fill="auto"/>
          </w:tcPr>
          <w:p w14:paraId="163DD200" w14:textId="77777777" w:rsidR="00A60D4B" w:rsidRPr="00DA0BA0" w:rsidRDefault="00A60D4B" w:rsidP="00A60D4B">
            <w:pPr>
              <w:pStyle w:val="Btablefigureunbold"/>
              <w:keepNext/>
              <w:keepLines/>
              <w:rPr>
                <w:bCs/>
              </w:rPr>
            </w:pPr>
            <w:r w:rsidRPr="00DA0BA0">
              <w:rPr>
                <w:bCs/>
              </w:rPr>
              <w:t>3</w:t>
            </w:r>
            <w:r>
              <w:rPr>
                <w:bCs/>
              </w:rPr>
              <w:t>48</w:t>
            </w:r>
            <w:r w:rsidRPr="00DA0BA0">
              <w:rPr>
                <w:bCs/>
              </w:rPr>
              <w:t>,</w:t>
            </w:r>
            <w:r>
              <w:rPr>
                <w:bCs/>
              </w:rPr>
              <w:t>977</w:t>
            </w:r>
          </w:p>
        </w:tc>
        <w:tc>
          <w:tcPr>
            <w:tcW w:w="1315" w:type="dxa"/>
            <w:tcBorders>
              <w:top w:val="nil"/>
              <w:bottom w:val="nil"/>
            </w:tcBorders>
          </w:tcPr>
          <w:p w14:paraId="5CAE124E" w14:textId="77777777" w:rsidR="00A60D4B" w:rsidRPr="00DA0BA0" w:rsidRDefault="00A60D4B" w:rsidP="00A60D4B">
            <w:pPr>
              <w:pStyle w:val="Btablefigureunbold"/>
              <w:keepNext/>
              <w:keepLines/>
              <w:rPr>
                <w:bCs/>
              </w:rPr>
            </w:pPr>
            <w:r w:rsidRPr="00DA0BA0">
              <w:rPr>
                <w:bCs/>
              </w:rPr>
              <w:t>3</w:t>
            </w:r>
            <w:r>
              <w:rPr>
                <w:bCs/>
              </w:rPr>
              <w:t>7</w:t>
            </w:r>
            <w:r w:rsidRPr="00DA0BA0">
              <w:rPr>
                <w:bCs/>
              </w:rPr>
              <w:t>0,</w:t>
            </w:r>
            <w:r>
              <w:rPr>
                <w:bCs/>
              </w:rPr>
              <w:t>119</w:t>
            </w:r>
          </w:p>
        </w:tc>
        <w:tc>
          <w:tcPr>
            <w:tcW w:w="1316" w:type="dxa"/>
            <w:tcBorders>
              <w:top w:val="nil"/>
              <w:bottom w:val="nil"/>
            </w:tcBorders>
            <w:shd w:val="clear" w:color="auto" w:fill="auto"/>
          </w:tcPr>
          <w:p w14:paraId="1D011F0B" w14:textId="77777777" w:rsidR="00A60D4B" w:rsidRPr="00DA0BA0" w:rsidRDefault="00A60D4B" w:rsidP="00A60D4B">
            <w:pPr>
              <w:pStyle w:val="Btablefigureunbold"/>
              <w:keepNext/>
              <w:keepLines/>
              <w:rPr>
                <w:bCs/>
              </w:rPr>
            </w:pPr>
            <w:r w:rsidRPr="00DA0BA0">
              <w:rPr>
                <w:bCs/>
              </w:rPr>
              <w:t>3</w:t>
            </w:r>
            <w:r>
              <w:rPr>
                <w:bCs/>
              </w:rPr>
              <w:t>92</w:t>
            </w:r>
            <w:r w:rsidRPr="00DA0BA0">
              <w:rPr>
                <w:bCs/>
              </w:rPr>
              <w:t>,</w:t>
            </w:r>
            <w:r>
              <w:rPr>
                <w:bCs/>
              </w:rPr>
              <w:t>814</w:t>
            </w:r>
          </w:p>
        </w:tc>
      </w:tr>
      <w:tr w:rsidR="00A60D4B" w:rsidRPr="00DA0BA0" w14:paraId="5801957C" w14:textId="77777777" w:rsidTr="00A60D4B">
        <w:trPr>
          <w:trHeight w:val="270"/>
        </w:trPr>
        <w:tc>
          <w:tcPr>
            <w:tcW w:w="2451" w:type="dxa"/>
            <w:tcBorders>
              <w:top w:val="nil"/>
              <w:bottom w:val="nil"/>
            </w:tcBorders>
          </w:tcPr>
          <w:p w14:paraId="4C07975A" w14:textId="77777777" w:rsidR="00A60D4B" w:rsidRPr="00DA0BA0" w:rsidRDefault="00A60D4B" w:rsidP="00A60D4B">
            <w:pPr>
              <w:pStyle w:val="Btabletextunbold"/>
              <w:keepNext/>
              <w:keepLines/>
            </w:pPr>
            <w:r w:rsidRPr="00DA0BA0">
              <w:t>Benefit payments</w:t>
            </w:r>
          </w:p>
        </w:tc>
        <w:tc>
          <w:tcPr>
            <w:tcW w:w="1315" w:type="dxa"/>
            <w:tcBorders>
              <w:top w:val="nil"/>
              <w:bottom w:val="nil"/>
            </w:tcBorders>
          </w:tcPr>
          <w:p w14:paraId="5A4635E1" w14:textId="77777777" w:rsidR="00A60D4B" w:rsidRPr="00DA0BA0" w:rsidRDefault="00A60D4B" w:rsidP="00A60D4B">
            <w:pPr>
              <w:pStyle w:val="Btablefigureunbold"/>
              <w:keepNext/>
              <w:keepLines/>
            </w:pPr>
            <w:r w:rsidRPr="00DA0BA0">
              <w:t>-2</w:t>
            </w:r>
            <w:r>
              <w:t>99</w:t>
            </w:r>
            <w:r w:rsidRPr="00DA0BA0">
              <w:t>,</w:t>
            </w:r>
            <w:r>
              <w:t>079</w:t>
            </w:r>
          </w:p>
        </w:tc>
        <w:tc>
          <w:tcPr>
            <w:tcW w:w="1315" w:type="dxa"/>
            <w:tcBorders>
              <w:top w:val="nil"/>
              <w:bottom w:val="nil"/>
            </w:tcBorders>
          </w:tcPr>
          <w:p w14:paraId="528DDEF1" w14:textId="77777777" w:rsidR="00A60D4B" w:rsidRPr="00DA0BA0" w:rsidRDefault="00A60D4B" w:rsidP="00A60D4B">
            <w:pPr>
              <w:pStyle w:val="Btablefigureunbold"/>
              <w:keepNext/>
              <w:keepLines/>
              <w:rPr>
                <w:bCs/>
              </w:rPr>
            </w:pPr>
            <w:r>
              <w:t>-328,281</w:t>
            </w:r>
          </w:p>
        </w:tc>
        <w:tc>
          <w:tcPr>
            <w:tcW w:w="1315" w:type="dxa"/>
            <w:tcBorders>
              <w:top w:val="nil"/>
              <w:bottom w:val="nil"/>
            </w:tcBorders>
            <w:shd w:val="clear" w:color="auto" w:fill="auto"/>
          </w:tcPr>
          <w:p w14:paraId="27AE941A" w14:textId="77777777" w:rsidR="00A60D4B" w:rsidRPr="00DA0BA0" w:rsidRDefault="00A60D4B" w:rsidP="00A60D4B">
            <w:pPr>
              <w:pStyle w:val="Btablefigureunbold"/>
              <w:keepNext/>
              <w:keepLines/>
              <w:rPr>
                <w:bCs/>
              </w:rPr>
            </w:pPr>
            <w:r w:rsidRPr="00DA0BA0">
              <w:rPr>
                <w:bCs/>
              </w:rPr>
              <w:t>-3</w:t>
            </w:r>
            <w:r>
              <w:rPr>
                <w:bCs/>
              </w:rPr>
              <w:t>48</w:t>
            </w:r>
            <w:r w:rsidRPr="00DA0BA0">
              <w:rPr>
                <w:bCs/>
              </w:rPr>
              <w:t>,</w:t>
            </w:r>
            <w:r>
              <w:rPr>
                <w:bCs/>
              </w:rPr>
              <w:t>977</w:t>
            </w:r>
          </w:p>
        </w:tc>
        <w:tc>
          <w:tcPr>
            <w:tcW w:w="1315" w:type="dxa"/>
            <w:tcBorders>
              <w:top w:val="nil"/>
              <w:bottom w:val="nil"/>
            </w:tcBorders>
          </w:tcPr>
          <w:p w14:paraId="6F746709" w14:textId="77777777" w:rsidR="00A60D4B" w:rsidRPr="00DA0BA0" w:rsidRDefault="00A60D4B" w:rsidP="00A60D4B">
            <w:pPr>
              <w:pStyle w:val="Btablefigureunbold"/>
              <w:keepNext/>
              <w:keepLines/>
              <w:rPr>
                <w:bCs/>
              </w:rPr>
            </w:pPr>
            <w:r w:rsidRPr="00DA0BA0">
              <w:rPr>
                <w:bCs/>
              </w:rPr>
              <w:t>-3</w:t>
            </w:r>
            <w:r>
              <w:rPr>
                <w:bCs/>
              </w:rPr>
              <w:t>70</w:t>
            </w:r>
            <w:r w:rsidRPr="00DA0BA0">
              <w:rPr>
                <w:bCs/>
              </w:rPr>
              <w:t>,</w:t>
            </w:r>
            <w:r>
              <w:rPr>
                <w:bCs/>
              </w:rPr>
              <w:t>119</w:t>
            </w:r>
          </w:p>
        </w:tc>
        <w:tc>
          <w:tcPr>
            <w:tcW w:w="1316" w:type="dxa"/>
            <w:tcBorders>
              <w:top w:val="nil"/>
              <w:bottom w:val="nil"/>
            </w:tcBorders>
            <w:shd w:val="clear" w:color="auto" w:fill="auto"/>
          </w:tcPr>
          <w:p w14:paraId="5FA1A9F2" w14:textId="77777777" w:rsidR="00A60D4B" w:rsidRPr="00DA0BA0" w:rsidRDefault="00A60D4B" w:rsidP="00A60D4B">
            <w:pPr>
              <w:pStyle w:val="Btablefigureunbold"/>
              <w:keepNext/>
              <w:keepLines/>
              <w:rPr>
                <w:bCs/>
              </w:rPr>
            </w:pPr>
            <w:r w:rsidRPr="00DA0BA0">
              <w:rPr>
                <w:bCs/>
              </w:rPr>
              <w:t>-3</w:t>
            </w:r>
            <w:r>
              <w:rPr>
                <w:bCs/>
              </w:rPr>
              <w:t>92</w:t>
            </w:r>
            <w:r w:rsidRPr="00DA0BA0">
              <w:rPr>
                <w:bCs/>
              </w:rPr>
              <w:t>,</w:t>
            </w:r>
            <w:r>
              <w:rPr>
                <w:bCs/>
              </w:rPr>
              <w:t>814</w:t>
            </w:r>
          </w:p>
        </w:tc>
      </w:tr>
      <w:tr w:rsidR="00A60D4B" w:rsidRPr="00DA0BA0" w14:paraId="20385504" w14:textId="77777777" w:rsidTr="00A60D4B">
        <w:trPr>
          <w:trHeight w:val="270"/>
        </w:trPr>
        <w:tc>
          <w:tcPr>
            <w:tcW w:w="2451" w:type="dxa"/>
            <w:tcBorders>
              <w:top w:val="nil"/>
              <w:bottom w:val="nil"/>
            </w:tcBorders>
          </w:tcPr>
          <w:p w14:paraId="4FD09774" w14:textId="77777777" w:rsidR="00A60D4B" w:rsidRPr="00DA0BA0" w:rsidRDefault="00A60D4B" w:rsidP="00A60D4B">
            <w:pPr>
              <w:pStyle w:val="Btabletextunbold"/>
              <w:keepNext/>
              <w:keepLines/>
            </w:pPr>
            <w:r w:rsidRPr="00DA0BA0">
              <w:t>Other payments</w:t>
            </w:r>
          </w:p>
        </w:tc>
        <w:tc>
          <w:tcPr>
            <w:tcW w:w="1315" w:type="dxa"/>
            <w:tcBorders>
              <w:top w:val="nil"/>
              <w:bottom w:val="nil"/>
            </w:tcBorders>
          </w:tcPr>
          <w:p w14:paraId="104F1C14" w14:textId="77777777" w:rsidR="00A60D4B" w:rsidRPr="00DA0BA0" w:rsidRDefault="00A60D4B" w:rsidP="00A60D4B">
            <w:pPr>
              <w:pStyle w:val="Btablefigureunbold"/>
              <w:keepNext/>
              <w:keepLines/>
            </w:pPr>
            <w:r w:rsidRPr="00DA0BA0">
              <w:t>-</w:t>
            </w:r>
            <w:r>
              <w:t>3</w:t>
            </w:r>
            <w:r w:rsidRPr="00DA0BA0">
              <w:t>,</w:t>
            </w:r>
            <w:r>
              <w:t>912</w:t>
            </w:r>
          </w:p>
        </w:tc>
        <w:tc>
          <w:tcPr>
            <w:tcW w:w="1315" w:type="dxa"/>
            <w:tcBorders>
              <w:top w:val="nil"/>
              <w:bottom w:val="nil"/>
            </w:tcBorders>
          </w:tcPr>
          <w:p w14:paraId="45F4E410" w14:textId="77777777" w:rsidR="00A60D4B" w:rsidRPr="00DA0BA0" w:rsidRDefault="00A60D4B" w:rsidP="00A60D4B">
            <w:pPr>
              <w:pStyle w:val="Btablefigureunbold"/>
              <w:keepNext/>
              <w:keepLines/>
              <w:rPr>
                <w:bCs/>
              </w:rPr>
            </w:pPr>
            <w:r w:rsidRPr="00DA0BA0">
              <w:rPr>
                <w:bCs/>
              </w:rPr>
              <w:t>-4,</w:t>
            </w:r>
            <w:r>
              <w:rPr>
                <w:bCs/>
              </w:rPr>
              <w:t>114</w:t>
            </w:r>
          </w:p>
        </w:tc>
        <w:tc>
          <w:tcPr>
            <w:tcW w:w="1315" w:type="dxa"/>
            <w:tcBorders>
              <w:top w:val="nil"/>
              <w:bottom w:val="nil"/>
            </w:tcBorders>
            <w:shd w:val="clear" w:color="auto" w:fill="auto"/>
          </w:tcPr>
          <w:p w14:paraId="5EDE0783" w14:textId="77777777" w:rsidR="00A60D4B" w:rsidRPr="00DA0BA0" w:rsidRDefault="00A60D4B" w:rsidP="00A60D4B">
            <w:pPr>
              <w:pStyle w:val="Btablefigureunbold"/>
              <w:keepNext/>
              <w:keepLines/>
              <w:rPr>
                <w:bCs/>
              </w:rPr>
            </w:pPr>
            <w:r w:rsidRPr="00DA0BA0">
              <w:rPr>
                <w:bCs/>
              </w:rPr>
              <w:t>-4,</w:t>
            </w:r>
            <w:r>
              <w:rPr>
                <w:bCs/>
              </w:rPr>
              <w:t>196</w:t>
            </w:r>
          </w:p>
        </w:tc>
        <w:tc>
          <w:tcPr>
            <w:tcW w:w="1315" w:type="dxa"/>
            <w:tcBorders>
              <w:top w:val="nil"/>
              <w:bottom w:val="nil"/>
            </w:tcBorders>
          </w:tcPr>
          <w:p w14:paraId="06D3144B" w14:textId="77777777" w:rsidR="00A60D4B" w:rsidRPr="00DA0BA0" w:rsidRDefault="00A60D4B" w:rsidP="00A60D4B">
            <w:pPr>
              <w:pStyle w:val="Btablefigureunbold"/>
              <w:keepNext/>
              <w:keepLines/>
              <w:rPr>
                <w:bCs/>
              </w:rPr>
            </w:pPr>
            <w:r w:rsidRPr="00DA0BA0">
              <w:rPr>
                <w:bCs/>
              </w:rPr>
              <w:t>-4,</w:t>
            </w:r>
            <w:r>
              <w:rPr>
                <w:bCs/>
              </w:rPr>
              <w:t>280</w:t>
            </w:r>
          </w:p>
        </w:tc>
        <w:tc>
          <w:tcPr>
            <w:tcW w:w="1316" w:type="dxa"/>
            <w:tcBorders>
              <w:top w:val="nil"/>
              <w:bottom w:val="nil"/>
            </w:tcBorders>
            <w:shd w:val="clear" w:color="auto" w:fill="auto"/>
          </w:tcPr>
          <w:p w14:paraId="6ABE43B5" w14:textId="77777777" w:rsidR="00A60D4B" w:rsidRPr="00DA0BA0" w:rsidRDefault="00A60D4B" w:rsidP="00A60D4B">
            <w:pPr>
              <w:pStyle w:val="Btablefigureunbold"/>
              <w:keepNext/>
              <w:keepLines/>
              <w:rPr>
                <w:bCs/>
              </w:rPr>
            </w:pPr>
            <w:r w:rsidRPr="00DA0BA0">
              <w:rPr>
                <w:bCs/>
              </w:rPr>
              <w:t>-4,</w:t>
            </w:r>
            <w:r>
              <w:rPr>
                <w:bCs/>
              </w:rPr>
              <w:t>366</w:t>
            </w:r>
          </w:p>
        </w:tc>
      </w:tr>
      <w:tr w:rsidR="00A60D4B" w:rsidRPr="00DA0BA0" w14:paraId="500A8C56" w14:textId="77777777" w:rsidTr="00A60D4B">
        <w:trPr>
          <w:trHeight w:val="270"/>
        </w:trPr>
        <w:tc>
          <w:tcPr>
            <w:tcW w:w="2451" w:type="dxa"/>
            <w:tcBorders>
              <w:top w:val="single" w:sz="4" w:space="0" w:color="auto"/>
              <w:bottom w:val="single" w:sz="4" w:space="0" w:color="auto"/>
            </w:tcBorders>
          </w:tcPr>
          <w:p w14:paraId="2C224143" w14:textId="77777777" w:rsidR="00A60D4B" w:rsidRPr="00DA0BA0" w:rsidRDefault="00A60D4B" w:rsidP="00A60D4B">
            <w:pPr>
              <w:pStyle w:val="Btabletextbold"/>
              <w:keepNext/>
              <w:keepLines/>
            </w:pPr>
            <w:r w:rsidRPr="00DA0BA0">
              <w:t>Closing assets</w:t>
            </w:r>
          </w:p>
        </w:tc>
        <w:tc>
          <w:tcPr>
            <w:tcW w:w="1315" w:type="dxa"/>
            <w:tcBorders>
              <w:top w:val="single" w:sz="4" w:space="0" w:color="auto"/>
              <w:bottom w:val="single" w:sz="4" w:space="0" w:color="auto"/>
            </w:tcBorders>
          </w:tcPr>
          <w:p w14:paraId="392E73C4" w14:textId="77777777" w:rsidR="00A60D4B" w:rsidRPr="00DA0BA0" w:rsidRDefault="00A60D4B" w:rsidP="00A60D4B">
            <w:pPr>
              <w:pStyle w:val="BTablefigureBold"/>
              <w:keepNext/>
              <w:keepLines/>
            </w:pPr>
            <w:r>
              <w:t>5,132,104</w:t>
            </w:r>
          </w:p>
        </w:tc>
        <w:tc>
          <w:tcPr>
            <w:tcW w:w="1315" w:type="dxa"/>
            <w:tcBorders>
              <w:top w:val="single" w:sz="4" w:space="0" w:color="auto"/>
              <w:bottom w:val="single" w:sz="4" w:space="0" w:color="auto"/>
            </w:tcBorders>
          </w:tcPr>
          <w:p w14:paraId="461C0A88" w14:textId="77777777" w:rsidR="00A60D4B" w:rsidRPr="00DA0BA0" w:rsidRDefault="00A60D4B" w:rsidP="00A60D4B">
            <w:pPr>
              <w:pStyle w:val="BTablefigureBold"/>
              <w:keepNext/>
              <w:keepLines/>
            </w:pPr>
            <w:r>
              <w:t>5,488,445</w:t>
            </w:r>
          </w:p>
        </w:tc>
        <w:tc>
          <w:tcPr>
            <w:tcW w:w="1315" w:type="dxa"/>
            <w:tcBorders>
              <w:top w:val="single" w:sz="4" w:space="0" w:color="auto"/>
              <w:bottom w:val="single" w:sz="4" w:space="0" w:color="auto"/>
            </w:tcBorders>
            <w:shd w:val="clear" w:color="auto" w:fill="auto"/>
          </w:tcPr>
          <w:p w14:paraId="3CCCE590" w14:textId="77777777" w:rsidR="00A60D4B" w:rsidRPr="00DA0BA0" w:rsidRDefault="00A60D4B" w:rsidP="00A60D4B">
            <w:pPr>
              <w:pStyle w:val="BTablefigureBold"/>
              <w:keepNext/>
              <w:keepLines/>
            </w:pPr>
            <w:r>
              <w:t>5,870,184</w:t>
            </w:r>
          </w:p>
        </w:tc>
        <w:tc>
          <w:tcPr>
            <w:tcW w:w="1315" w:type="dxa"/>
            <w:tcBorders>
              <w:top w:val="single" w:sz="4" w:space="0" w:color="auto"/>
              <w:bottom w:val="single" w:sz="4" w:space="0" w:color="auto"/>
            </w:tcBorders>
          </w:tcPr>
          <w:p w14:paraId="1B8F9D35" w14:textId="77777777" w:rsidR="00A60D4B" w:rsidRPr="00DA0BA0" w:rsidRDefault="00A60D4B" w:rsidP="00A60D4B">
            <w:pPr>
              <w:pStyle w:val="BTablefigureBold"/>
              <w:keepNext/>
              <w:keepLines/>
            </w:pPr>
            <w:r>
              <w:t>6,279,132</w:t>
            </w:r>
          </w:p>
        </w:tc>
        <w:tc>
          <w:tcPr>
            <w:tcW w:w="1316" w:type="dxa"/>
            <w:tcBorders>
              <w:top w:val="single" w:sz="4" w:space="0" w:color="auto"/>
              <w:bottom w:val="single" w:sz="4" w:space="0" w:color="auto"/>
            </w:tcBorders>
            <w:shd w:val="clear" w:color="auto" w:fill="auto"/>
          </w:tcPr>
          <w:p w14:paraId="6F8EB033" w14:textId="77777777" w:rsidR="00A60D4B" w:rsidRPr="00DA0BA0" w:rsidRDefault="00A60D4B" w:rsidP="00A60D4B">
            <w:pPr>
              <w:pStyle w:val="BTablefigureBold"/>
              <w:keepNext/>
              <w:keepLines/>
            </w:pPr>
            <w:r>
              <w:t>6,717,235</w:t>
            </w:r>
          </w:p>
        </w:tc>
      </w:tr>
    </w:tbl>
    <w:p w14:paraId="3FB6AA2A" w14:textId="77777777" w:rsidR="00A60D4B" w:rsidRPr="00DA0BA0" w:rsidRDefault="00A60D4B" w:rsidP="00A60D4B">
      <w:pPr>
        <w:keepNext/>
        <w:keepLines/>
        <w:spacing w:before="120" w:after="0" w:line="240" w:lineRule="auto"/>
        <w:rPr>
          <w:rFonts w:ascii="Calibri" w:hAnsi="Calibri"/>
          <w:b/>
          <w:sz w:val="18"/>
        </w:rPr>
      </w:pPr>
      <w:r w:rsidRPr="00DA0BA0">
        <w:rPr>
          <w:rFonts w:ascii="Calibri" w:hAnsi="Calibri"/>
          <w:b/>
          <w:sz w:val="18"/>
        </w:rPr>
        <w:t>Note:</w:t>
      </w:r>
    </w:p>
    <w:p w14:paraId="5DAAEED0" w14:textId="77777777" w:rsidR="00A60D4B" w:rsidRPr="00DA0BA0" w:rsidRDefault="00A60D4B" w:rsidP="00A60D4B">
      <w:pPr>
        <w:keepNext/>
        <w:keepLines/>
        <w:spacing w:after="0" w:line="240" w:lineRule="auto"/>
        <w:ind w:left="360" w:hanging="360"/>
        <w:rPr>
          <w:rFonts w:ascii="Calibri" w:hAnsi="Calibri"/>
          <w:sz w:val="18"/>
          <w:szCs w:val="18"/>
        </w:rPr>
      </w:pPr>
      <w:r w:rsidRPr="036AC465">
        <w:rPr>
          <w:rFonts w:ascii="Calibri" w:hAnsi="Calibri"/>
          <w:sz w:val="18"/>
          <w:szCs w:val="18"/>
        </w:rPr>
        <w:t>1.</w:t>
      </w:r>
      <w:r>
        <w:tab/>
      </w:r>
      <w:r w:rsidRPr="036AC465">
        <w:rPr>
          <w:rFonts w:ascii="Calibri" w:hAnsi="Calibri"/>
          <w:sz w:val="18"/>
          <w:szCs w:val="18"/>
        </w:rPr>
        <w:t xml:space="preserve">The </w:t>
      </w:r>
      <w:r>
        <w:rPr>
          <w:rFonts w:ascii="Calibri" w:hAnsi="Calibri"/>
          <w:sz w:val="18"/>
          <w:szCs w:val="18"/>
        </w:rPr>
        <w:t>2021-22 Budget</w:t>
      </w:r>
      <w:r w:rsidRPr="036AC465">
        <w:rPr>
          <w:rFonts w:ascii="Calibri" w:hAnsi="Calibri"/>
          <w:sz w:val="18"/>
          <w:szCs w:val="18"/>
        </w:rPr>
        <w:t xml:space="preserve"> investment </w:t>
      </w:r>
      <w:r>
        <w:rPr>
          <w:rFonts w:ascii="Calibri" w:hAnsi="Calibri"/>
          <w:sz w:val="18"/>
          <w:szCs w:val="18"/>
        </w:rPr>
        <w:t>revenue</w:t>
      </w:r>
      <w:r w:rsidRPr="036AC465">
        <w:rPr>
          <w:rFonts w:ascii="Calibri" w:hAnsi="Calibri"/>
          <w:sz w:val="18"/>
          <w:szCs w:val="18"/>
        </w:rPr>
        <w:t xml:space="preserve"> estimates from 1 July 202</w:t>
      </w:r>
      <w:r>
        <w:rPr>
          <w:rFonts w:ascii="Calibri" w:hAnsi="Calibri"/>
          <w:sz w:val="18"/>
          <w:szCs w:val="18"/>
        </w:rPr>
        <w:t>1</w:t>
      </w:r>
      <w:r w:rsidRPr="036AC465">
        <w:rPr>
          <w:rFonts w:ascii="Calibri" w:hAnsi="Calibri"/>
          <w:sz w:val="18"/>
          <w:szCs w:val="18"/>
        </w:rPr>
        <w:t xml:space="preserve"> </w:t>
      </w:r>
      <w:r>
        <w:rPr>
          <w:rFonts w:ascii="Calibri" w:hAnsi="Calibri"/>
          <w:sz w:val="18"/>
          <w:szCs w:val="18"/>
        </w:rPr>
        <w:t>use</w:t>
      </w:r>
      <w:r w:rsidRPr="036AC465">
        <w:rPr>
          <w:rFonts w:ascii="Calibri" w:hAnsi="Calibri"/>
          <w:sz w:val="18"/>
          <w:szCs w:val="18"/>
        </w:rPr>
        <w:t xml:space="preserve"> the </w:t>
      </w:r>
      <w:r>
        <w:rPr>
          <w:rFonts w:ascii="Calibri" w:hAnsi="Calibri"/>
          <w:sz w:val="18"/>
          <w:szCs w:val="18"/>
        </w:rPr>
        <w:t xml:space="preserve">long-term </w:t>
      </w:r>
      <w:r w:rsidRPr="036AC465">
        <w:rPr>
          <w:rFonts w:ascii="Calibri" w:hAnsi="Calibri"/>
          <w:sz w:val="18"/>
          <w:szCs w:val="18"/>
        </w:rPr>
        <w:t>investment return objective of CPI</w:t>
      </w:r>
      <w:r>
        <w:rPr>
          <w:rFonts w:ascii="Calibri" w:hAnsi="Calibri"/>
          <w:sz w:val="18"/>
          <w:szCs w:val="18"/>
        </w:rPr>
        <w:t> </w:t>
      </w:r>
      <w:r w:rsidRPr="036AC465">
        <w:rPr>
          <w:rFonts w:ascii="Calibri" w:hAnsi="Calibri"/>
          <w:sz w:val="18"/>
          <w:szCs w:val="18"/>
        </w:rPr>
        <w:t>plus</w:t>
      </w:r>
      <w:r>
        <w:rPr>
          <w:rFonts w:ascii="Calibri" w:hAnsi="Calibri"/>
          <w:sz w:val="18"/>
          <w:szCs w:val="18"/>
        </w:rPr>
        <w:t> </w:t>
      </w:r>
      <w:r w:rsidRPr="036AC465">
        <w:rPr>
          <w:rFonts w:ascii="Calibri" w:hAnsi="Calibri"/>
          <w:sz w:val="18"/>
          <w:szCs w:val="18"/>
        </w:rPr>
        <w:t xml:space="preserve">4.75 per cent </w:t>
      </w:r>
      <w:r>
        <w:rPr>
          <w:rFonts w:ascii="Calibri" w:hAnsi="Calibri"/>
          <w:sz w:val="18"/>
          <w:szCs w:val="18"/>
        </w:rPr>
        <w:t>per annum</w:t>
      </w:r>
      <w:r w:rsidRPr="036AC465">
        <w:rPr>
          <w:rFonts w:ascii="Calibri" w:hAnsi="Calibri"/>
          <w:sz w:val="18"/>
          <w:szCs w:val="18"/>
        </w:rPr>
        <w:t>.</w:t>
      </w:r>
    </w:p>
    <w:p w14:paraId="01988E70" w14:textId="77777777" w:rsidR="00A60D4B" w:rsidRDefault="00A60D4B" w:rsidP="00A60D4B">
      <w:pPr>
        <w:pStyle w:val="Bbodytext"/>
      </w:pPr>
      <w:r w:rsidRPr="00DA0BA0">
        <w:t>The difference between the estimated liability valuation and investment assets represents the level of unfunded superannuation liability. The estimated unfunded liability and funding percentage are outlined in Table 3.</w:t>
      </w:r>
      <w:r>
        <w:t>8.7</w:t>
      </w:r>
      <w:r w:rsidRPr="00DA0BA0">
        <w:t>.</w:t>
      </w:r>
    </w:p>
    <w:p w14:paraId="549D0F3D" w14:textId="6EE485F5" w:rsidR="00A60D4B" w:rsidRPr="00FF75BA" w:rsidRDefault="00A60D4B" w:rsidP="00A60D4B">
      <w:pPr>
        <w:pStyle w:val="Caption"/>
      </w:pPr>
      <w:r>
        <w:t xml:space="preserve">Table </w:t>
      </w:r>
      <w:r w:rsidR="00FB4E5C">
        <w:fldChar w:fldCharType="begin"/>
      </w:r>
      <w:r w:rsidR="00FB4E5C">
        <w:instrText xml:space="preserve"> STYLEREF 2 \s </w:instrText>
      </w:r>
      <w:r w:rsidR="00FB4E5C">
        <w:fldChar w:fldCharType="separate"/>
      </w:r>
      <w:r w:rsidR="00F12A80">
        <w:rPr>
          <w:noProof/>
        </w:rPr>
        <w:t>3.8</w:t>
      </w:r>
      <w:r w:rsidR="00FB4E5C">
        <w:rPr>
          <w:noProof/>
        </w:rPr>
        <w:fldChar w:fldCharType="end"/>
      </w:r>
      <w:r>
        <w:t>.</w:t>
      </w:r>
      <w:r w:rsidR="00FB4E5C">
        <w:fldChar w:fldCharType="begin"/>
      </w:r>
      <w:r w:rsidR="00FB4E5C">
        <w:instrText xml:space="preserve"> SEQ Ta</w:instrText>
      </w:r>
      <w:r w:rsidR="00FB4E5C">
        <w:instrText xml:space="preserve">ble \* ARABIC \s 2 </w:instrText>
      </w:r>
      <w:r w:rsidR="00FB4E5C">
        <w:fldChar w:fldCharType="separate"/>
      </w:r>
      <w:r w:rsidR="00F12A80">
        <w:rPr>
          <w:noProof/>
        </w:rPr>
        <w:t>7</w:t>
      </w:r>
      <w:r w:rsidR="00FB4E5C">
        <w:rPr>
          <w:noProof/>
        </w:rPr>
        <w:fldChar w:fldCharType="end"/>
      </w:r>
      <w:r w:rsidRPr="00DA0BA0">
        <w:t>: Superannuation liability funding</w:t>
      </w:r>
    </w:p>
    <w:tbl>
      <w:tblPr>
        <w:tblW w:w="9027"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451"/>
        <w:gridCol w:w="1315"/>
        <w:gridCol w:w="1315"/>
        <w:gridCol w:w="1315"/>
        <w:gridCol w:w="1315"/>
        <w:gridCol w:w="1316"/>
      </w:tblGrid>
      <w:tr w:rsidR="00A60D4B" w:rsidRPr="00DA0BA0" w14:paraId="5857E70E" w14:textId="77777777" w:rsidTr="00A60D4B">
        <w:trPr>
          <w:trHeight w:val="156"/>
        </w:trPr>
        <w:tc>
          <w:tcPr>
            <w:tcW w:w="2451" w:type="dxa"/>
            <w:tcBorders>
              <w:top w:val="single" w:sz="4" w:space="0" w:color="auto"/>
            </w:tcBorders>
            <w:shd w:val="clear" w:color="auto" w:fill="472D8C"/>
          </w:tcPr>
          <w:p w14:paraId="285E8BFA" w14:textId="77777777" w:rsidR="00A60D4B" w:rsidRPr="00FF7727" w:rsidRDefault="00A60D4B" w:rsidP="00A60D4B">
            <w:pPr>
              <w:pStyle w:val="Emptycell"/>
              <w:numPr>
                <w:ilvl w:val="0"/>
                <w:numId w:val="0"/>
              </w:numPr>
            </w:pPr>
          </w:p>
        </w:tc>
        <w:tc>
          <w:tcPr>
            <w:tcW w:w="1315" w:type="dxa"/>
            <w:tcBorders>
              <w:top w:val="single" w:sz="4" w:space="0" w:color="auto"/>
              <w:bottom w:val="single" w:sz="4" w:space="0" w:color="auto"/>
            </w:tcBorders>
            <w:shd w:val="clear" w:color="auto" w:fill="472D8C"/>
          </w:tcPr>
          <w:p w14:paraId="4E2CBB94" w14:textId="77777777" w:rsidR="00A60D4B" w:rsidRPr="00FF7727" w:rsidRDefault="00A60D4B" w:rsidP="00A60D4B">
            <w:pPr>
              <w:spacing w:after="0" w:line="240" w:lineRule="auto"/>
              <w:ind w:left="227" w:hanging="227"/>
              <w:jc w:val="right"/>
              <w:rPr>
                <w:rFonts w:ascii="Calibri" w:hAnsi="Calibri"/>
                <w:b/>
                <w:color w:val="FFFFFF" w:themeColor="background1"/>
                <w:sz w:val="20"/>
                <w:szCs w:val="20"/>
              </w:rPr>
            </w:pPr>
            <w:r w:rsidRPr="00FF7727">
              <w:rPr>
                <w:rFonts w:ascii="Calibri" w:hAnsi="Calibri"/>
                <w:b/>
                <w:color w:val="FFFFFF" w:themeColor="background1"/>
                <w:sz w:val="20"/>
              </w:rPr>
              <w:t>20</w:t>
            </w:r>
            <w:r>
              <w:rPr>
                <w:rFonts w:ascii="Calibri" w:hAnsi="Calibri"/>
                <w:b/>
                <w:color w:val="FFFFFF" w:themeColor="background1"/>
                <w:sz w:val="20"/>
              </w:rPr>
              <w:t>20</w:t>
            </w:r>
            <w:r w:rsidRPr="00FF7727">
              <w:rPr>
                <w:rFonts w:ascii="Calibri" w:hAnsi="Calibri"/>
                <w:b/>
                <w:color w:val="FFFFFF" w:themeColor="background1"/>
                <w:sz w:val="20"/>
              </w:rPr>
              <w:t>-2</w:t>
            </w:r>
            <w:r>
              <w:rPr>
                <w:rFonts w:ascii="Calibri" w:hAnsi="Calibri"/>
                <w:b/>
                <w:color w:val="FFFFFF" w:themeColor="background1"/>
                <w:sz w:val="20"/>
              </w:rPr>
              <w:t>1</w:t>
            </w:r>
            <w:r w:rsidRPr="00FF7727">
              <w:rPr>
                <w:rFonts w:ascii="Calibri" w:hAnsi="Calibri"/>
                <w:b/>
                <w:color w:val="FFFFFF" w:themeColor="background1"/>
                <w:sz w:val="20"/>
                <w:szCs w:val="20"/>
              </w:rPr>
              <w:t xml:space="preserve"> </w:t>
            </w:r>
            <w:r>
              <w:rPr>
                <w:rFonts w:ascii="Calibri" w:hAnsi="Calibri"/>
                <w:b/>
                <w:color w:val="FFFFFF" w:themeColor="background1"/>
                <w:sz w:val="20"/>
                <w:szCs w:val="20"/>
              </w:rPr>
              <w:t>Interim Outcome</w:t>
            </w:r>
          </w:p>
          <w:p w14:paraId="2524FABA" w14:textId="77777777" w:rsidR="00A60D4B" w:rsidRPr="00FF7727" w:rsidRDefault="00A60D4B" w:rsidP="00A60D4B">
            <w:pPr>
              <w:spacing w:after="0" w:line="240" w:lineRule="auto"/>
              <w:ind w:left="227" w:hanging="227"/>
              <w:jc w:val="right"/>
              <w:rPr>
                <w:rFonts w:ascii="Calibri" w:hAnsi="Calibri"/>
                <w:b/>
                <w:color w:val="FFFFFF" w:themeColor="background1"/>
                <w:sz w:val="20"/>
                <w:szCs w:val="20"/>
              </w:rPr>
            </w:pPr>
            <w:r w:rsidRPr="00FF7727">
              <w:rPr>
                <w:rFonts w:ascii="Calibri" w:hAnsi="Calibri"/>
                <w:b/>
                <w:color w:val="FFFFFF" w:themeColor="background1"/>
                <w:sz w:val="20"/>
              </w:rPr>
              <w:t>$’000</w:t>
            </w:r>
          </w:p>
        </w:tc>
        <w:tc>
          <w:tcPr>
            <w:tcW w:w="1315" w:type="dxa"/>
            <w:tcBorders>
              <w:top w:val="single" w:sz="4" w:space="0" w:color="auto"/>
              <w:bottom w:val="single" w:sz="4" w:space="0" w:color="auto"/>
            </w:tcBorders>
            <w:shd w:val="clear" w:color="auto" w:fill="472D8C"/>
          </w:tcPr>
          <w:p w14:paraId="16B382DF" w14:textId="77777777" w:rsidR="00A60D4B" w:rsidRPr="00FF7727" w:rsidRDefault="00A60D4B" w:rsidP="00A60D4B">
            <w:pPr>
              <w:spacing w:after="0" w:line="240" w:lineRule="auto"/>
              <w:ind w:left="227" w:hanging="227"/>
              <w:jc w:val="right"/>
              <w:rPr>
                <w:rFonts w:ascii="Calibri" w:hAnsi="Calibri"/>
                <w:b/>
                <w:color w:val="FFFFFF" w:themeColor="background1"/>
                <w:sz w:val="20"/>
              </w:rPr>
            </w:pPr>
            <w:r w:rsidRPr="00FF7727">
              <w:rPr>
                <w:rFonts w:ascii="Calibri" w:hAnsi="Calibri"/>
                <w:b/>
                <w:color w:val="FFFFFF" w:themeColor="background1"/>
                <w:sz w:val="20"/>
              </w:rPr>
              <w:t>202</w:t>
            </w:r>
            <w:r>
              <w:rPr>
                <w:rFonts w:ascii="Calibri" w:hAnsi="Calibri"/>
                <w:b/>
                <w:color w:val="FFFFFF" w:themeColor="background1"/>
                <w:sz w:val="20"/>
              </w:rPr>
              <w:t>1</w:t>
            </w:r>
            <w:r w:rsidRPr="00FF7727">
              <w:rPr>
                <w:rFonts w:ascii="Calibri" w:hAnsi="Calibri"/>
                <w:b/>
                <w:color w:val="FFFFFF" w:themeColor="background1"/>
                <w:sz w:val="20"/>
              </w:rPr>
              <w:t>-2</w:t>
            </w:r>
            <w:r>
              <w:rPr>
                <w:rFonts w:ascii="Calibri" w:hAnsi="Calibri"/>
                <w:b/>
                <w:color w:val="FFFFFF" w:themeColor="background1"/>
                <w:sz w:val="20"/>
              </w:rPr>
              <w:t>2</w:t>
            </w:r>
            <w:r w:rsidRPr="00FF7727">
              <w:rPr>
                <w:rFonts w:ascii="Calibri" w:hAnsi="Calibri"/>
                <w:b/>
                <w:color w:val="FFFFFF" w:themeColor="background1"/>
                <w:sz w:val="20"/>
              </w:rPr>
              <w:t xml:space="preserve"> Budget</w:t>
            </w:r>
          </w:p>
          <w:p w14:paraId="7FB05B8E" w14:textId="77777777" w:rsidR="00A60D4B" w:rsidRDefault="00A60D4B" w:rsidP="00A60D4B">
            <w:pPr>
              <w:spacing w:after="0" w:line="240" w:lineRule="auto"/>
              <w:ind w:left="227" w:hanging="227"/>
              <w:jc w:val="right"/>
              <w:rPr>
                <w:rFonts w:ascii="Calibri" w:hAnsi="Calibri"/>
                <w:b/>
                <w:color w:val="FFFFFF" w:themeColor="background1"/>
                <w:sz w:val="20"/>
              </w:rPr>
            </w:pPr>
          </w:p>
          <w:p w14:paraId="2BB55FC8" w14:textId="77777777" w:rsidR="00A60D4B" w:rsidRPr="00FF7727" w:rsidRDefault="00A60D4B" w:rsidP="00A60D4B">
            <w:pPr>
              <w:spacing w:after="0" w:line="240" w:lineRule="auto"/>
              <w:ind w:left="227" w:hanging="227"/>
              <w:jc w:val="right"/>
              <w:rPr>
                <w:rFonts w:ascii="Calibri" w:hAnsi="Calibri"/>
                <w:b/>
                <w:color w:val="FFFFFF" w:themeColor="background1"/>
                <w:sz w:val="20"/>
                <w:szCs w:val="20"/>
              </w:rPr>
            </w:pPr>
            <w:r w:rsidRPr="00FF7727">
              <w:rPr>
                <w:rFonts w:ascii="Calibri" w:hAnsi="Calibri"/>
                <w:b/>
                <w:color w:val="FFFFFF" w:themeColor="background1"/>
                <w:sz w:val="20"/>
              </w:rPr>
              <w:t>$’000</w:t>
            </w:r>
          </w:p>
        </w:tc>
        <w:tc>
          <w:tcPr>
            <w:tcW w:w="1315" w:type="dxa"/>
            <w:tcBorders>
              <w:top w:val="single" w:sz="4" w:space="0" w:color="auto"/>
              <w:bottom w:val="single" w:sz="4" w:space="0" w:color="auto"/>
            </w:tcBorders>
            <w:shd w:val="clear" w:color="auto" w:fill="472D8C"/>
          </w:tcPr>
          <w:p w14:paraId="6828459C" w14:textId="77777777" w:rsidR="00A60D4B" w:rsidRPr="00FF7727" w:rsidRDefault="00A60D4B" w:rsidP="00A60D4B">
            <w:pPr>
              <w:spacing w:after="0" w:line="240" w:lineRule="auto"/>
              <w:ind w:left="227" w:hanging="227"/>
              <w:jc w:val="right"/>
              <w:rPr>
                <w:rFonts w:ascii="Calibri" w:hAnsi="Calibri"/>
                <w:b/>
                <w:color w:val="FFFFFF" w:themeColor="background1"/>
                <w:sz w:val="20"/>
              </w:rPr>
            </w:pPr>
            <w:r w:rsidRPr="00FF7727">
              <w:rPr>
                <w:rFonts w:ascii="Calibri" w:hAnsi="Calibri"/>
                <w:b/>
                <w:color w:val="FFFFFF" w:themeColor="background1"/>
                <w:sz w:val="20"/>
              </w:rPr>
              <w:t>202</w:t>
            </w:r>
            <w:r>
              <w:rPr>
                <w:rFonts w:ascii="Calibri" w:hAnsi="Calibri"/>
                <w:b/>
                <w:color w:val="FFFFFF" w:themeColor="background1"/>
                <w:sz w:val="20"/>
              </w:rPr>
              <w:t>2</w:t>
            </w:r>
            <w:r w:rsidRPr="00FF7727">
              <w:rPr>
                <w:rFonts w:ascii="Calibri" w:hAnsi="Calibri"/>
                <w:b/>
                <w:color w:val="FFFFFF" w:themeColor="background1"/>
                <w:sz w:val="20"/>
              </w:rPr>
              <w:t>-2</w:t>
            </w:r>
            <w:r>
              <w:rPr>
                <w:rFonts w:ascii="Calibri" w:hAnsi="Calibri"/>
                <w:b/>
                <w:color w:val="FFFFFF" w:themeColor="background1"/>
                <w:sz w:val="20"/>
              </w:rPr>
              <w:t>3</w:t>
            </w:r>
            <w:r w:rsidRPr="00FF7727">
              <w:rPr>
                <w:rFonts w:ascii="Calibri" w:hAnsi="Calibri"/>
                <w:b/>
                <w:color w:val="FFFFFF" w:themeColor="background1"/>
                <w:sz w:val="20"/>
              </w:rPr>
              <w:t xml:space="preserve"> Estimate</w:t>
            </w:r>
          </w:p>
          <w:p w14:paraId="6C035639" w14:textId="77777777" w:rsidR="00A60D4B" w:rsidRDefault="00A60D4B" w:rsidP="00A60D4B">
            <w:pPr>
              <w:spacing w:after="0" w:line="240" w:lineRule="auto"/>
              <w:ind w:left="227" w:hanging="227"/>
              <w:jc w:val="right"/>
              <w:rPr>
                <w:rFonts w:ascii="Calibri" w:hAnsi="Calibri"/>
                <w:b/>
                <w:color w:val="FFFFFF" w:themeColor="background1"/>
                <w:sz w:val="20"/>
              </w:rPr>
            </w:pPr>
          </w:p>
          <w:p w14:paraId="570FBFC4" w14:textId="77777777" w:rsidR="00A60D4B" w:rsidRPr="00FF7727" w:rsidRDefault="00A60D4B" w:rsidP="00A60D4B">
            <w:pPr>
              <w:spacing w:after="0" w:line="240" w:lineRule="auto"/>
              <w:ind w:left="227" w:hanging="227"/>
              <w:jc w:val="right"/>
              <w:rPr>
                <w:rFonts w:ascii="Calibri" w:hAnsi="Calibri"/>
                <w:b/>
                <w:color w:val="FFFFFF" w:themeColor="background1"/>
                <w:sz w:val="20"/>
                <w:szCs w:val="20"/>
              </w:rPr>
            </w:pPr>
            <w:r w:rsidRPr="00FF7727">
              <w:rPr>
                <w:rFonts w:ascii="Calibri" w:hAnsi="Calibri"/>
                <w:b/>
                <w:color w:val="FFFFFF" w:themeColor="background1"/>
                <w:sz w:val="20"/>
              </w:rPr>
              <w:t>$’000</w:t>
            </w:r>
          </w:p>
        </w:tc>
        <w:tc>
          <w:tcPr>
            <w:tcW w:w="1315" w:type="dxa"/>
            <w:tcBorders>
              <w:top w:val="single" w:sz="4" w:space="0" w:color="auto"/>
              <w:bottom w:val="single" w:sz="4" w:space="0" w:color="auto"/>
            </w:tcBorders>
            <w:shd w:val="clear" w:color="auto" w:fill="472D8C"/>
          </w:tcPr>
          <w:p w14:paraId="123CB42C" w14:textId="77777777" w:rsidR="00A60D4B" w:rsidRPr="00FF7727" w:rsidRDefault="00A60D4B" w:rsidP="00A60D4B">
            <w:pPr>
              <w:spacing w:after="0" w:line="240" w:lineRule="auto"/>
              <w:ind w:left="227" w:hanging="227"/>
              <w:jc w:val="right"/>
              <w:rPr>
                <w:rFonts w:ascii="Calibri" w:hAnsi="Calibri"/>
                <w:b/>
                <w:color w:val="FFFFFF" w:themeColor="background1"/>
                <w:sz w:val="20"/>
              </w:rPr>
            </w:pPr>
            <w:r w:rsidRPr="00FF7727">
              <w:rPr>
                <w:rFonts w:ascii="Calibri" w:hAnsi="Calibri"/>
                <w:b/>
                <w:color w:val="FFFFFF" w:themeColor="background1"/>
                <w:sz w:val="20"/>
              </w:rPr>
              <w:t>202</w:t>
            </w:r>
            <w:r>
              <w:rPr>
                <w:rFonts w:ascii="Calibri" w:hAnsi="Calibri"/>
                <w:b/>
                <w:color w:val="FFFFFF" w:themeColor="background1"/>
                <w:sz w:val="20"/>
              </w:rPr>
              <w:t>3</w:t>
            </w:r>
            <w:r w:rsidRPr="00FF7727">
              <w:rPr>
                <w:rFonts w:ascii="Calibri" w:hAnsi="Calibri"/>
                <w:b/>
                <w:color w:val="FFFFFF" w:themeColor="background1"/>
                <w:sz w:val="20"/>
              </w:rPr>
              <w:t>-2</w:t>
            </w:r>
            <w:r>
              <w:rPr>
                <w:rFonts w:ascii="Calibri" w:hAnsi="Calibri"/>
                <w:b/>
                <w:color w:val="FFFFFF" w:themeColor="background1"/>
                <w:sz w:val="20"/>
              </w:rPr>
              <w:t>4</w:t>
            </w:r>
            <w:r w:rsidRPr="00FF7727">
              <w:rPr>
                <w:rFonts w:ascii="Calibri" w:hAnsi="Calibri"/>
                <w:b/>
                <w:color w:val="FFFFFF" w:themeColor="background1"/>
                <w:sz w:val="20"/>
              </w:rPr>
              <w:t xml:space="preserve"> Estimate</w:t>
            </w:r>
          </w:p>
          <w:p w14:paraId="3DD8BA07" w14:textId="77777777" w:rsidR="00A60D4B" w:rsidRDefault="00A60D4B" w:rsidP="00A60D4B">
            <w:pPr>
              <w:spacing w:after="0" w:line="240" w:lineRule="auto"/>
              <w:ind w:left="227" w:hanging="227"/>
              <w:jc w:val="right"/>
              <w:rPr>
                <w:rFonts w:ascii="Calibri" w:hAnsi="Calibri"/>
                <w:b/>
                <w:color w:val="FFFFFF" w:themeColor="background1"/>
                <w:sz w:val="20"/>
              </w:rPr>
            </w:pPr>
          </w:p>
          <w:p w14:paraId="3E65614E" w14:textId="77777777" w:rsidR="00A60D4B" w:rsidRPr="00FF7727" w:rsidRDefault="00A60D4B" w:rsidP="00A60D4B">
            <w:pPr>
              <w:spacing w:after="0" w:line="240" w:lineRule="auto"/>
              <w:ind w:left="227" w:hanging="227"/>
              <w:jc w:val="right"/>
              <w:rPr>
                <w:rFonts w:ascii="Calibri" w:hAnsi="Calibri"/>
                <w:b/>
                <w:color w:val="FFFFFF" w:themeColor="background1"/>
                <w:sz w:val="20"/>
                <w:szCs w:val="20"/>
              </w:rPr>
            </w:pPr>
            <w:r w:rsidRPr="00FF7727">
              <w:rPr>
                <w:rFonts w:ascii="Calibri" w:hAnsi="Calibri"/>
                <w:b/>
                <w:color w:val="FFFFFF" w:themeColor="background1"/>
                <w:sz w:val="20"/>
              </w:rPr>
              <w:t>$’000</w:t>
            </w:r>
          </w:p>
        </w:tc>
        <w:tc>
          <w:tcPr>
            <w:tcW w:w="1316" w:type="dxa"/>
            <w:tcBorders>
              <w:top w:val="single" w:sz="4" w:space="0" w:color="auto"/>
              <w:bottom w:val="single" w:sz="4" w:space="0" w:color="auto"/>
            </w:tcBorders>
            <w:shd w:val="clear" w:color="auto" w:fill="472D8C"/>
          </w:tcPr>
          <w:p w14:paraId="5252C11B" w14:textId="77777777" w:rsidR="00A60D4B" w:rsidRPr="00FF7727" w:rsidRDefault="00A60D4B" w:rsidP="00A60D4B">
            <w:pPr>
              <w:spacing w:after="0" w:line="240" w:lineRule="auto"/>
              <w:ind w:left="227" w:hanging="227"/>
              <w:jc w:val="right"/>
              <w:rPr>
                <w:rFonts w:ascii="Calibri" w:hAnsi="Calibri"/>
                <w:b/>
                <w:color w:val="FFFFFF" w:themeColor="background1"/>
                <w:sz w:val="20"/>
              </w:rPr>
            </w:pPr>
            <w:r w:rsidRPr="00FF7727">
              <w:rPr>
                <w:rFonts w:ascii="Calibri" w:hAnsi="Calibri"/>
                <w:b/>
                <w:color w:val="FFFFFF" w:themeColor="background1"/>
                <w:sz w:val="20"/>
              </w:rPr>
              <w:t>202</w:t>
            </w:r>
            <w:r>
              <w:rPr>
                <w:rFonts w:ascii="Calibri" w:hAnsi="Calibri"/>
                <w:b/>
                <w:color w:val="FFFFFF" w:themeColor="background1"/>
                <w:sz w:val="20"/>
              </w:rPr>
              <w:t>4</w:t>
            </w:r>
            <w:r w:rsidRPr="00FF7727">
              <w:rPr>
                <w:rFonts w:ascii="Calibri" w:hAnsi="Calibri"/>
                <w:b/>
                <w:color w:val="FFFFFF" w:themeColor="background1"/>
                <w:sz w:val="20"/>
              </w:rPr>
              <w:t>-2</w:t>
            </w:r>
            <w:r>
              <w:rPr>
                <w:rFonts w:ascii="Calibri" w:hAnsi="Calibri"/>
                <w:b/>
                <w:color w:val="FFFFFF" w:themeColor="background1"/>
                <w:sz w:val="20"/>
              </w:rPr>
              <w:t>5</w:t>
            </w:r>
            <w:r w:rsidRPr="00FF7727">
              <w:rPr>
                <w:rFonts w:ascii="Calibri" w:hAnsi="Calibri"/>
                <w:b/>
                <w:color w:val="FFFFFF" w:themeColor="background1"/>
                <w:sz w:val="20"/>
              </w:rPr>
              <w:t xml:space="preserve"> Estimate</w:t>
            </w:r>
          </w:p>
          <w:p w14:paraId="4BC7057F" w14:textId="77777777" w:rsidR="00A60D4B" w:rsidRDefault="00A60D4B" w:rsidP="00A60D4B">
            <w:pPr>
              <w:spacing w:after="0" w:line="240" w:lineRule="auto"/>
              <w:ind w:left="227" w:hanging="227"/>
              <w:jc w:val="right"/>
              <w:rPr>
                <w:rFonts w:ascii="Calibri" w:hAnsi="Calibri"/>
                <w:b/>
                <w:color w:val="FFFFFF" w:themeColor="background1"/>
                <w:sz w:val="20"/>
              </w:rPr>
            </w:pPr>
          </w:p>
          <w:p w14:paraId="2D2AA710" w14:textId="77777777" w:rsidR="00A60D4B" w:rsidRPr="00FF7727" w:rsidRDefault="00A60D4B" w:rsidP="00A60D4B">
            <w:pPr>
              <w:spacing w:after="0" w:line="240" w:lineRule="auto"/>
              <w:ind w:left="227" w:hanging="227"/>
              <w:jc w:val="right"/>
              <w:rPr>
                <w:rFonts w:ascii="Calibri" w:hAnsi="Calibri"/>
                <w:b/>
                <w:color w:val="FFFFFF" w:themeColor="background1"/>
                <w:sz w:val="20"/>
                <w:szCs w:val="20"/>
              </w:rPr>
            </w:pPr>
            <w:r w:rsidRPr="00FF7727">
              <w:rPr>
                <w:rFonts w:ascii="Calibri" w:hAnsi="Calibri"/>
                <w:b/>
                <w:color w:val="FFFFFF" w:themeColor="background1"/>
                <w:sz w:val="20"/>
              </w:rPr>
              <w:t>$’000</w:t>
            </w:r>
          </w:p>
        </w:tc>
      </w:tr>
      <w:tr w:rsidR="00A60D4B" w:rsidRPr="00DA0BA0" w14:paraId="3A1F89CC" w14:textId="77777777" w:rsidTr="00A60D4B">
        <w:trPr>
          <w:trHeight w:val="270"/>
        </w:trPr>
        <w:tc>
          <w:tcPr>
            <w:tcW w:w="2451" w:type="dxa"/>
            <w:tcBorders>
              <w:top w:val="nil"/>
              <w:bottom w:val="nil"/>
            </w:tcBorders>
          </w:tcPr>
          <w:p w14:paraId="3F47E08C" w14:textId="77777777" w:rsidR="00A60D4B" w:rsidRPr="00DA0BA0" w:rsidRDefault="00A60D4B" w:rsidP="00A60D4B">
            <w:pPr>
              <w:pStyle w:val="Btabletextunbold"/>
            </w:pPr>
            <w:r w:rsidRPr="00DA0BA0">
              <w:t>Superannuation liability</w:t>
            </w:r>
          </w:p>
        </w:tc>
        <w:tc>
          <w:tcPr>
            <w:tcW w:w="1315" w:type="dxa"/>
            <w:tcBorders>
              <w:top w:val="nil"/>
              <w:bottom w:val="nil"/>
            </w:tcBorders>
          </w:tcPr>
          <w:p w14:paraId="437E3A3E" w14:textId="77777777" w:rsidR="00A60D4B" w:rsidRPr="00DA0BA0" w:rsidRDefault="00A60D4B" w:rsidP="00A60D4B">
            <w:pPr>
              <w:pStyle w:val="Btablefigureunbold"/>
            </w:pPr>
            <w:r w:rsidRPr="00DA0BA0">
              <w:t>1</w:t>
            </w:r>
            <w:r>
              <w:t>3</w:t>
            </w:r>
            <w:r w:rsidRPr="00DA0BA0">
              <w:t>,</w:t>
            </w:r>
            <w:r>
              <w:t>230</w:t>
            </w:r>
            <w:r w:rsidRPr="00DA0BA0">
              <w:t>,</w:t>
            </w:r>
            <w:r>
              <w:t>023</w:t>
            </w:r>
          </w:p>
        </w:tc>
        <w:tc>
          <w:tcPr>
            <w:tcW w:w="1315" w:type="dxa"/>
            <w:tcBorders>
              <w:top w:val="nil"/>
              <w:bottom w:val="nil"/>
            </w:tcBorders>
          </w:tcPr>
          <w:p w14:paraId="5C8D3F21" w14:textId="77777777" w:rsidR="00A60D4B" w:rsidRPr="00DA0BA0" w:rsidRDefault="00A60D4B" w:rsidP="00A60D4B">
            <w:pPr>
              <w:pStyle w:val="Btablefigureunbold"/>
            </w:pPr>
            <w:r>
              <w:t>10</w:t>
            </w:r>
            <w:r w:rsidRPr="00DA0BA0">
              <w:t>,</w:t>
            </w:r>
            <w:r>
              <w:t>101</w:t>
            </w:r>
            <w:r w:rsidRPr="00DA0BA0">
              <w:t>,</w:t>
            </w:r>
            <w:r>
              <w:t>593</w:t>
            </w:r>
          </w:p>
        </w:tc>
        <w:tc>
          <w:tcPr>
            <w:tcW w:w="1315" w:type="dxa"/>
            <w:tcBorders>
              <w:top w:val="nil"/>
              <w:bottom w:val="nil"/>
            </w:tcBorders>
            <w:shd w:val="clear" w:color="auto" w:fill="auto"/>
          </w:tcPr>
          <w:p w14:paraId="31BBB054" w14:textId="77777777" w:rsidR="00A60D4B" w:rsidRPr="00DA0BA0" w:rsidRDefault="00A60D4B" w:rsidP="00A60D4B">
            <w:pPr>
              <w:pStyle w:val="Btablefigureunbold"/>
            </w:pPr>
            <w:r>
              <w:t>10</w:t>
            </w:r>
            <w:r w:rsidRPr="00DA0BA0">
              <w:t>,</w:t>
            </w:r>
            <w:r>
              <w:t>344</w:t>
            </w:r>
            <w:r w:rsidRPr="00DA0BA0">
              <w:t>,</w:t>
            </w:r>
            <w:r>
              <w:t>651</w:t>
            </w:r>
          </w:p>
        </w:tc>
        <w:tc>
          <w:tcPr>
            <w:tcW w:w="1315" w:type="dxa"/>
            <w:tcBorders>
              <w:top w:val="nil"/>
              <w:bottom w:val="nil"/>
            </w:tcBorders>
          </w:tcPr>
          <w:p w14:paraId="08684A1B" w14:textId="77777777" w:rsidR="00A60D4B" w:rsidRPr="00DA0BA0" w:rsidRDefault="00A60D4B" w:rsidP="00A60D4B">
            <w:pPr>
              <w:pStyle w:val="Btablefigureunbold"/>
            </w:pPr>
            <w:r>
              <w:t>10</w:t>
            </w:r>
            <w:r w:rsidRPr="00DA0BA0">
              <w:t>,</w:t>
            </w:r>
            <w:r>
              <w:t>566</w:t>
            </w:r>
            <w:r w:rsidRPr="00DA0BA0">
              <w:t>,</w:t>
            </w:r>
            <w:r>
              <w:t>258</w:t>
            </w:r>
          </w:p>
        </w:tc>
        <w:tc>
          <w:tcPr>
            <w:tcW w:w="1316" w:type="dxa"/>
            <w:tcBorders>
              <w:top w:val="nil"/>
              <w:bottom w:val="nil"/>
            </w:tcBorders>
            <w:shd w:val="clear" w:color="auto" w:fill="auto"/>
          </w:tcPr>
          <w:p w14:paraId="23EF9B24" w14:textId="77777777" w:rsidR="00A60D4B" w:rsidRPr="00DA0BA0" w:rsidRDefault="00A60D4B" w:rsidP="00A60D4B">
            <w:pPr>
              <w:pStyle w:val="Btablefigureunbold"/>
            </w:pPr>
            <w:r>
              <w:t>10</w:t>
            </w:r>
            <w:r w:rsidRPr="00DA0BA0">
              <w:t>,</w:t>
            </w:r>
            <w:r>
              <w:t>764</w:t>
            </w:r>
            <w:r w:rsidRPr="00DA0BA0">
              <w:t>,</w:t>
            </w:r>
            <w:r>
              <w:t>145</w:t>
            </w:r>
          </w:p>
        </w:tc>
      </w:tr>
      <w:tr w:rsidR="00A60D4B" w:rsidRPr="00DA0BA0" w14:paraId="53743010" w14:textId="77777777" w:rsidTr="00A60D4B">
        <w:trPr>
          <w:trHeight w:val="270"/>
        </w:trPr>
        <w:tc>
          <w:tcPr>
            <w:tcW w:w="2451" w:type="dxa"/>
            <w:tcBorders>
              <w:top w:val="nil"/>
              <w:bottom w:val="nil"/>
            </w:tcBorders>
          </w:tcPr>
          <w:p w14:paraId="66F62927" w14:textId="77777777" w:rsidR="00A60D4B" w:rsidRPr="00DA0BA0" w:rsidRDefault="00A60D4B" w:rsidP="00A60D4B">
            <w:pPr>
              <w:pStyle w:val="Btabletextunbold"/>
            </w:pPr>
            <w:r w:rsidRPr="00DA0BA0">
              <w:t>Assets</w:t>
            </w:r>
          </w:p>
        </w:tc>
        <w:tc>
          <w:tcPr>
            <w:tcW w:w="1315" w:type="dxa"/>
            <w:tcBorders>
              <w:top w:val="nil"/>
              <w:bottom w:val="nil"/>
            </w:tcBorders>
          </w:tcPr>
          <w:p w14:paraId="0C95B967" w14:textId="77777777" w:rsidR="00A60D4B" w:rsidRPr="00DA0BA0" w:rsidRDefault="00A60D4B" w:rsidP="00A60D4B">
            <w:pPr>
              <w:pStyle w:val="Btablefigureunbold"/>
            </w:pPr>
            <w:r>
              <w:t>5,132,104</w:t>
            </w:r>
          </w:p>
        </w:tc>
        <w:tc>
          <w:tcPr>
            <w:tcW w:w="1315" w:type="dxa"/>
            <w:tcBorders>
              <w:top w:val="nil"/>
              <w:bottom w:val="nil"/>
            </w:tcBorders>
          </w:tcPr>
          <w:p w14:paraId="66F65E09" w14:textId="77777777" w:rsidR="00A60D4B" w:rsidRPr="00DA0BA0" w:rsidRDefault="00A60D4B" w:rsidP="00A60D4B">
            <w:pPr>
              <w:pStyle w:val="Btablefigureunbold"/>
            </w:pPr>
            <w:r>
              <w:t>5,488,445</w:t>
            </w:r>
          </w:p>
        </w:tc>
        <w:tc>
          <w:tcPr>
            <w:tcW w:w="1315" w:type="dxa"/>
            <w:tcBorders>
              <w:top w:val="nil"/>
              <w:bottom w:val="nil"/>
            </w:tcBorders>
            <w:shd w:val="clear" w:color="auto" w:fill="auto"/>
          </w:tcPr>
          <w:p w14:paraId="14827343" w14:textId="77777777" w:rsidR="00A60D4B" w:rsidRPr="00DA0BA0" w:rsidRDefault="00A60D4B" w:rsidP="00A60D4B">
            <w:pPr>
              <w:pStyle w:val="Btablefigureunbold"/>
            </w:pPr>
            <w:r>
              <w:t>5,870,184</w:t>
            </w:r>
          </w:p>
        </w:tc>
        <w:tc>
          <w:tcPr>
            <w:tcW w:w="1315" w:type="dxa"/>
            <w:tcBorders>
              <w:top w:val="nil"/>
              <w:bottom w:val="nil"/>
            </w:tcBorders>
          </w:tcPr>
          <w:p w14:paraId="6B8C8BB5" w14:textId="77777777" w:rsidR="00A60D4B" w:rsidRPr="00DA0BA0" w:rsidRDefault="00A60D4B" w:rsidP="00A60D4B">
            <w:pPr>
              <w:pStyle w:val="Btablefigureunbold"/>
            </w:pPr>
            <w:r>
              <w:t>6,279,132</w:t>
            </w:r>
          </w:p>
        </w:tc>
        <w:tc>
          <w:tcPr>
            <w:tcW w:w="1316" w:type="dxa"/>
            <w:tcBorders>
              <w:top w:val="nil"/>
              <w:bottom w:val="nil"/>
            </w:tcBorders>
            <w:shd w:val="clear" w:color="auto" w:fill="auto"/>
          </w:tcPr>
          <w:p w14:paraId="09D88BB4" w14:textId="77777777" w:rsidR="00A60D4B" w:rsidRPr="00DA0BA0" w:rsidRDefault="00A60D4B" w:rsidP="00A60D4B">
            <w:pPr>
              <w:pStyle w:val="Btablefigureunbold"/>
            </w:pPr>
            <w:r>
              <w:t>6,717,235</w:t>
            </w:r>
          </w:p>
        </w:tc>
      </w:tr>
      <w:tr w:rsidR="00A60D4B" w:rsidRPr="00DA0BA0" w14:paraId="77E1949B" w14:textId="77777777" w:rsidTr="00A60D4B">
        <w:trPr>
          <w:trHeight w:val="270"/>
        </w:trPr>
        <w:tc>
          <w:tcPr>
            <w:tcW w:w="2451" w:type="dxa"/>
            <w:tcBorders>
              <w:top w:val="nil"/>
              <w:bottom w:val="nil"/>
            </w:tcBorders>
          </w:tcPr>
          <w:p w14:paraId="2B64AE14" w14:textId="77777777" w:rsidR="00A60D4B" w:rsidRPr="00DA0BA0" w:rsidRDefault="00A60D4B" w:rsidP="00A60D4B">
            <w:pPr>
              <w:pStyle w:val="Btabletextunbold"/>
            </w:pPr>
            <w:r w:rsidRPr="00DA0BA0">
              <w:t>Unfunded liability</w:t>
            </w:r>
          </w:p>
        </w:tc>
        <w:tc>
          <w:tcPr>
            <w:tcW w:w="1315" w:type="dxa"/>
            <w:tcBorders>
              <w:top w:val="nil"/>
              <w:bottom w:val="nil"/>
            </w:tcBorders>
          </w:tcPr>
          <w:p w14:paraId="50770E0E" w14:textId="77777777" w:rsidR="00A60D4B" w:rsidRPr="00DA0BA0" w:rsidRDefault="00A60D4B" w:rsidP="00A60D4B">
            <w:pPr>
              <w:pStyle w:val="Btablefigureunbold"/>
            </w:pPr>
            <w:r>
              <w:t>8,097,919</w:t>
            </w:r>
          </w:p>
        </w:tc>
        <w:tc>
          <w:tcPr>
            <w:tcW w:w="1315" w:type="dxa"/>
            <w:tcBorders>
              <w:top w:val="nil"/>
              <w:bottom w:val="nil"/>
            </w:tcBorders>
          </w:tcPr>
          <w:p w14:paraId="0263124C" w14:textId="77777777" w:rsidR="00A60D4B" w:rsidRPr="00DA0BA0" w:rsidRDefault="00A60D4B" w:rsidP="00A60D4B">
            <w:pPr>
              <w:pStyle w:val="Btablefigureunbold"/>
            </w:pPr>
            <w:r>
              <w:t>4,613,051</w:t>
            </w:r>
          </w:p>
        </w:tc>
        <w:tc>
          <w:tcPr>
            <w:tcW w:w="1315" w:type="dxa"/>
            <w:tcBorders>
              <w:top w:val="nil"/>
              <w:bottom w:val="nil"/>
            </w:tcBorders>
            <w:shd w:val="clear" w:color="auto" w:fill="auto"/>
          </w:tcPr>
          <w:p w14:paraId="2DC18D9B" w14:textId="77777777" w:rsidR="00A60D4B" w:rsidRPr="00DA0BA0" w:rsidRDefault="00A60D4B" w:rsidP="00A60D4B">
            <w:pPr>
              <w:pStyle w:val="Btablefigureunbold"/>
            </w:pPr>
            <w:r>
              <w:t>4,474,265</w:t>
            </w:r>
          </w:p>
        </w:tc>
        <w:tc>
          <w:tcPr>
            <w:tcW w:w="1315" w:type="dxa"/>
            <w:tcBorders>
              <w:top w:val="nil"/>
              <w:bottom w:val="nil"/>
            </w:tcBorders>
          </w:tcPr>
          <w:p w14:paraId="75623C4A" w14:textId="77777777" w:rsidR="00A60D4B" w:rsidRPr="00DA0BA0" w:rsidRDefault="00A60D4B" w:rsidP="00A60D4B">
            <w:pPr>
              <w:pStyle w:val="Btablefigureunbold"/>
            </w:pPr>
            <w:r>
              <w:t>4,286,808</w:t>
            </w:r>
          </w:p>
        </w:tc>
        <w:tc>
          <w:tcPr>
            <w:tcW w:w="1316" w:type="dxa"/>
            <w:tcBorders>
              <w:top w:val="nil"/>
              <w:bottom w:val="nil"/>
            </w:tcBorders>
            <w:shd w:val="clear" w:color="auto" w:fill="auto"/>
          </w:tcPr>
          <w:p w14:paraId="54AFD094" w14:textId="77777777" w:rsidR="00A60D4B" w:rsidRPr="00DA0BA0" w:rsidRDefault="00A60D4B" w:rsidP="00A60D4B">
            <w:pPr>
              <w:pStyle w:val="Btablefigureunbold"/>
            </w:pPr>
            <w:r>
              <w:t>4,046,467</w:t>
            </w:r>
          </w:p>
        </w:tc>
      </w:tr>
      <w:tr w:rsidR="00A60D4B" w:rsidRPr="00DA0BA0" w14:paraId="4AAC936A" w14:textId="77777777" w:rsidTr="00A60D4B">
        <w:trPr>
          <w:trHeight w:val="270"/>
        </w:trPr>
        <w:tc>
          <w:tcPr>
            <w:tcW w:w="2451" w:type="dxa"/>
            <w:tcBorders>
              <w:top w:val="single" w:sz="4" w:space="0" w:color="auto"/>
              <w:bottom w:val="single" w:sz="4" w:space="0" w:color="auto"/>
            </w:tcBorders>
          </w:tcPr>
          <w:p w14:paraId="240EEC28" w14:textId="77777777" w:rsidR="00A60D4B" w:rsidRPr="00DA0BA0" w:rsidRDefault="00A60D4B" w:rsidP="00A60D4B">
            <w:pPr>
              <w:spacing w:after="0" w:line="240" w:lineRule="auto"/>
              <w:ind w:left="227" w:hanging="227"/>
              <w:rPr>
                <w:rFonts w:ascii="Calibri" w:hAnsi="Calibri"/>
                <w:b/>
                <w:bCs/>
                <w:sz w:val="20"/>
              </w:rPr>
            </w:pPr>
            <w:r w:rsidRPr="00DA0BA0">
              <w:rPr>
                <w:rFonts w:ascii="Calibri" w:hAnsi="Calibri"/>
                <w:b/>
                <w:bCs/>
                <w:sz w:val="20"/>
              </w:rPr>
              <w:t>Funding percentage</w:t>
            </w:r>
          </w:p>
        </w:tc>
        <w:tc>
          <w:tcPr>
            <w:tcW w:w="1315" w:type="dxa"/>
            <w:tcBorders>
              <w:top w:val="single" w:sz="4" w:space="0" w:color="auto"/>
              <w:bottom w:val="single" w:sz="4" w:space="0" w:color="auto"/>
            </w:tcBorders>
          </w:tcPr>
          <w:p w14:paraId="6B867918" w14:textId="77777777" w:rsidR="00A60D4B" w:rsidRPr="00DA0BA0" w:rsidRDefault="00A60D4B" w:rsidP="00A60D4B">
            <w:pPr>
              <w:pStyle w:val="BTablefigureBold"/>
            </w:pPr>
            <w:r w:rsidRPr="00DA0BA0">
              <w:t>3</w:t>
            </w:r>
            <w:r>
              <w:t>9</w:t>
            </w:r>
            <w:r w:rsidRPr="00DA0BA0">
              <w:t>%</w:t>
            </w:r>
          </w:p>
        </w:tc>
        <w:tc>
          <w:tcPr>
            <w:tcW w:w="1315" w:type="dxa"/>
            <w:tcBorders>
              <w:top w:val="single" w:sz="4" w:space="0" w:color="auto"/>
              <w:bottom w:val="single" w:sz="4" w:space="0" w:color="auto"/>
            </w:tcBorders>
          </w:tcPr>
          <w:p w14:paraId="20E08143" w14:textId="77777777" w:rsidR="00A60D4B" w:rsidRPr="00DA0BA0" w:rsidRDefault="00A60D4B" w:rsidP="00A60D4B">
            <w:pPr>
              <w:pStyle w:val="BTablefigureBold"/>
            </w:pPr>
            <w:r>
              <w:t>54</w:t>
            </w:r>
            <w:r w:rsidRPr="00DA0BA0">
              <w:t>%</w:t>
            </w:r>
          </w:p>
        </w:tc>
        <w:tc>
          <w:tcPr>
            <w:tcW w:w="1315" w:type="dxa"/>
            <w:tcBorders>
              <w:top w:val="single" w:sz="4" w:space="0" w:color="auto"/>
              <w:bottom w:val="single" w:sz="4" w:space="0" w:color="auto"/>
            </w:tcBorders>
            <w:shd w:val="clear" w:color="auto" w:fill="auto"/>
          </w:tcPr>
          <w:p w14:paraId="5FCB9E69" w14:textId="77777777" w:rsidR="00A60D4B" w:rsidRPr="00DA0BA0" w:rsidRDefault="00A60D4B" w:rsidP="00A60D4B">
            <w:pPr>
              <w:pStyle w:val="BTablefigureBold"/>
            </w:pPr>
            <w:r>
              <w:t>57</w:t>
            </w:r>
            <w:r w:rsidRPr="00DA0BA0">
              <w:t>%</w:t>
            </w:r>
          </w:p>
        </w:tc>
        <w:tc>
          <w:tcPr>
            <w:tcW w:w="1315" w:type="dxa"/>
            <w:tcBorders>
              <w:top w:val="single" w:sz="4" w:space="0" w:color="auto"/>
              <w:bottom w:val="single" w:sz="4" w:space="0" w:color="auto"/>
            </w:tcBorders>
          </w:tcPr>
          <w:p w14:paraId="21890F64" w14:textId="77777777" w:rsidR="00A60D4B" w:rsidRPr="00DA0BA0" w:rsidRDefault="00A60D4B" w:rsidP="00A60D4B">
            <w:pPr>
              <w:pStyle w:val="BTablefigureBold"/>
            </w:pPr>
            <w:r>
              <w:t>59</w:t>
            </w:r>
            <w:r w:rsidRPr="00DA0BA0">
              <w:t>%</w:t>
            </w:r>
          </w:p>
        </w:tc>
        <w:tc>
          <w:tcPr>
            <w:tcW w:w="1316" w:type="dxa"/>
            <w:tcBorders>
              <w:top w:val="single" w:sz="4" w:space="0" w:color="auto"/>
              <w:bottom w:val="single" w:sz="4" w:space="0" w:color="auto"/>
            </w:tcBorders>
            <w:shd w:val="clear" w:color="auto" w:fill="auto"/>
          </w:tcPr>
          <w:p w14:paraId="222042BA" w14:textId="77777777" w:rsidR="00A60D4B" w:rsidRPr="00DA0BA0" w:rsidRDefault="00A60D4B" w:rsidP="00A60D4B">
            <w:pPr>
              <w:pStyle w:val="BTablefigureBold"/>
            </w:pPr>
            <w:r>
              <w:t>62</w:t>
            </w:r>
            <w:r w:rsidRPr="00DA0BA0">
              <w:t>%</w:t>
            </w:r>
          </w:p>
        </w:tc>
      </w:tr>
    </w:tbl>
    <w:p w14:paraId="59A02C0A" w14:textId="77777777" w:rsidR="00A60D4B" w:rsidRDefault="00A60D4B" w:rsidP="00A60D4B">
      <w:pPr>
        <w:pStyle w:val="Heading3"/>
      </w:pPr>
      <w:bookmarkStart w:id="140" w:name="_Toc63586707"/>
      <w:r>
        <w:t>Territory Borrowings</w:t>
      </w:r>
      <w:bookmarkEnd w:id="140"/>
    </w:p>
    <w:p w14:paraId="70C65000" w14:textId="77777777" w:rsidR="00A60D4B" w:rsidRDefault="00A60D4B" w:rsidP="00A60D4B">
      <w:pPr>
        <w:pStyle w:val="Heading4"/>
      </w:pPr>
      <w:r>
        <w:t>Debt Management</w:t>
      </w:r>
    </w:p>
    <w:p w14:paraId="02F7FE13" w14:textId="77777777" w:rsidR="00A60D4B" w:rsidRPr="00EB1775" w:rsidRDefault="00A60D4B" w:rsidP="00A60D4B">
      <w:pPr>
        <w:spacing w:before="120" w:after="120" w:line="240" w:lineRule="auto"/>
        <w:rPr>
          <w:sz w:val="24"/>
        </w:rPr>
      </w:pPr>
      <w:r w:rsidRPr="00EB1775">
        <w:rPr>
          <w:sz w:val="24"/>
        </w:rPr>
        <w:t>The primary debt management objectives are to manage the liquidity, financial payment obligations and ongoing capital funding requirements of the Territory.</w:t>
      </w:r>
    </w:p>
    <w:p w14:paraId="7EDACBEE" w14:textId="77777777" w:rsidR="00A60D4B" w:rsidRPr="00EB1775" w:rsidRDefault="00A60D4B" w:rsidP="00A60D4B">
      <w:pPr>
        <w:spacing w:before="120" w:after="120" w:line="240" w:lineRule="auto"/>
        <w:rPr>
          <w:sz w:val="24"/>
        </w:rPr>
      </w:pPr>
      <w:r w:rsidRPr="00EB1775">
        <w:rPr>
          <w:sz w:val="24"/>
        </w:rPr>
        <w:t xml:space="preserve">Territory borrowings include both short-term and long-term debt securities and </w:t>
      </w:r>
      <w:r>
        <w:rPr>
          <w:sz w:val="24"/>
        </w:rPr>
        <w:t xml:space="preserve">some residual </w:t>
      </w:r>
      <w:r w:rsidRPr="00EB1775">
        <w:rPr>
          <w:sz w:val="24"/>
        </w:rPr>
        <w:t>Commonwealth Government loans, operating and finance leases</w:t>
      </w:r>
      <w:r>
        <w:rPr>
          <w:sz w:val="24"/>
        </w:rPr>
        <w:t>,</w:t>
      </w:r>
      <w:r w:rsidRPr="00EB1775">
        <w:rPr>
          <w:sz w:val="24"/>
        </w:rPr>
        <w:t xml:space="preserve"> public private partnership contracts</w:t>
      </w:r>
      <w:r>
        <w:rPr>
          <w:sz w:val="24"/>
        </w:rPr>
        <w:t xml:space="preserve"> and service concession liabilities</w:t>
      </w:r>
      <w:r w:rsidRPr="00EB1775">
        <w:rPr>
          <w:sz w:val="24"/>
        </w:rPr>
        <w:t>.</w:t>
      </w:r>
    </w:p>
    <w:p w14:paraId="2ACE7009" w14:textId="77777777" w:rsidR="00A60D4B" w:rsidRPr="00EB1775" w:rsidRDefault="00A60D4B" w:rsidP="00A60D4B">
      <w:pPr>
        <w:keepNext/>
        <w:keepLines/>
        <w:spacing w:before="360" w:after="200" w:line="240" w:lineRule="auto"/>
        <w:outlineLvl w:val="2"/>
        <w:rPr>
          <w:rFonts w:ascii="Calibri" w:eastAsiaTheme="majorEastAsia" w:hAnsi="Calibri" w:cstheme="majorBidi"/>
          <w:b/>
          <w:sz w:val="28"/>
          <w:szCs w:val="24"/>
        </w:rPr>
      </w:pPr>
      <w:r w:rsidRPr="00EB1775">
        <w:rPr>
          <w:rFonts w:ascii="Calibri" w:eastAsiaTheme="majorEastAsia" w:hAnsi="Calibri" w:cstheme="majorBidi"/>
          <w:b/>
          <w:sz w:val="28"/>
          <w:szCs w:val="24"/>
        </w:rPr>
        <w:t>Credit rating</w:t>
      </w:r>
    </w:p>
    <w:p w14:paraId="4CACDC84" w14:textId="77777777" w:rsidR="00A60D4B" w:rsidRPr="00EB1775" w:rsidRDefault="00A60D4B" w:rsidP="00A60D4B">
      <w:pPr>
        <w:spacing w:before="120" w:after="120" w:line="240" w:lineRule="auto"/>
        <w:rPr>
          <w:sz w:val="24"/>
        </w:rPr>
      </w:pPr>
      <w:r w:rsidRPr="00EB1775">
        <w:rPr>
          <w:sz w:val="24"/>
        </w:rPr>
        <w:t>The Territory holds AAA (negative) long-term and A1+ short-term local currency credit ratings from S&amp;P</w:t>
      </w:r>
      <w:r>
        <w:rPr>
          <w:sz w:val="24"/>
        </w:rPr>
        <w:t xml:space="preserve"> Global Ratings</w:t>
      </w:r>
      <w:r w:rsidRPr="00EB1775">
        <w:rPr>
          <w:sz w:val="24"/>
        </w:rPr>
        <w:t xml:space="preserve">. </w:t>
      </w:r>
    </w:p>
    <w:p w14:paraId="1E94863A" w14:textId="77777777" w:rsidR="00A60D4B" w:rsidRPr="00EB1775" w:rsidRDefault="00A60D4B" w:rsidP="00A60D4B">
      <w:pPr>
        <w:keepNext/>
        <w:keepLines/>
        <w:spacing w:before="360" w:after="200" w:line="240" w:lineRule="auto"/>
        <w:outlineLvl w:val="2"/>
        <w:rPr>
          <w:rFonts w:ascii="Calibri" w:eastAsiaTheme="majorEastAsia" w:hAnsi="Calibri" w:cstheme="majorBidi"/>
          <w:b/>
          <w:sz w:val="28"/>
          <w:szCs w:val="24"/>
        </w:rPr>
      </w:pPr>
      <w:r w:rsidRPr="00EB1775">
        <w:rPr>
          <w:rFonts w:ascii="Calibri" w:eastAsiaTheme="majorEastAsia" w:hAnsi="Calibri" w:cstheme="majorBidi"/>
          <w:b/>
          <w:sz w:val="28"/>
          <w:szCs w:val="24"/>
        </w:rPr>
        <w:lastRenderedPageBreak/>
        <w:t>Total Territory Borrowings</w:t>
      </w:r>
    </w:p>
    <w:p w14:paraId="42EE237B" w14:textId="77777777" w:rsidR="00A60D4B" w:rsidRPr="00EB1775" w:rsidRDefault="00A60D4B" w:rsidP="00A60D4B">
      <w:pPr>
        <w:pStyle w:val="Bbodytext"/>
      </w:pPr>
      <w:r w:rsidRPr="00EB1775">
        <w:t xml:space="preserve">The Government’s capital funding requirements are mainly achieved </w:t>
      </w:r>
      <w:r>
        <w:t>by issuing</w:t>
      </w:r>
      <w:r w:rsidRPr="00EB1775">
        <w:t xml:space="preserve"> debt securities in the Australian capital markets.</w:t>
      </w:r>
    </w:p>
    <w:p w14:paraId="44D3F94E" w14:textId="77777777" w:rsidR="00A60D4B" w:rsidRPr="00EB1775" w:rsidRDefault="00A60D4B" w:rsidP="00A60D4B">
      <w:pPr>
        <w:pStyle w:val="Bbodytext"/>
        <w:keepNext/>
      </w:pPr>
      <w:r w:rsidRPr="00EB1775">
        <w:t xml:space="preserve">The level of outstanding borrowings is influenced by: </w:t>
      </w:r>
    </w:p>
    <w:p w14:paraId="130FF417" w14:textId="77777777" w:rsidR="00A60D4B" w:rsidRPr="00BC4559" w:rsidRDefault="00A60D4B" w:rsidP="00A60D4B">
      <w:pPr>
        <w:pStyle w:val="BBullet1"/>
        <w:ind w:left="567" w:hanging="567"/>
      </w:pPr>
      <w:r w:rsidRPr="00BC4559">
        <w:t xml:space="preserve">the investment required in infrastructure and assets to generate economic growth and improve Canberra’s liveability; </w:t>
      </w:r>
    </w:p>
    <w:p w14:paraId="6613C628" w14:textId="77777777" w:rsidR="00A60D4B" w:rsidRPr="00BC4559" w:rsidRDefault="00A60D4B" w:rsidP="00A60D4B">
      <w:pPr>
        <w:pStyle w:val="BBullet1"/>
        <w:ind w:left="567" w:hanging="567"/>
      </w:pPr>
      <w:r w:rsidRPr="00BC4559">
        <w:t xml:space="preserve">cash liquidity provisions to meet day-to-day and medium-term financial obligations; and </w:t>
      </w:r>
    </w:p>
    <w:p w14:paraId="1FA5E864" w14:textId="77777777" w:rsidR="00A60D4B" w:rsidRPr="0012638E" w:rsidRDefault="00A60D4B" w:rsidP="00A60D4B">
      <w:pPr>
        <w:pStyle w:val="BBullet1"/>
        <w:ind w:left="567" w:hanging="567"/>
      </w:pPr>
      <w:r w:rsidRPr="00BC4559">
        <w:t xml:space="preserve">the financial impacts of the COVID-19 pandemic including the Government’s response to </w:t>
      </w:r>
      <w:r w:rsidRPr="0012638E">
        <w:t xml:space="preserve">protect </w:t>
      </w:r>
      <w:r>
        <w:t xml:space="preserve">the health of the community, </w:t>
      </w:r>
      <w:r w:rsidRPr="0012638E">
        <w:t xml:space="preserve">jobs and support the economy and the </w:t>
      </w:r>
      <w:r>
        <w:t>households</w:t>
      </w:r>
      <w:r w:rsidRPr="0012638E">
        <w:t>.</w:t>
      </w:r>
    </w:p>
    <w:p w14:paraId="3AD10178" w14:textId="77777777" w:rsidR="00A60D4B" w:rsidRPr="00904C87" w:rsidRDefault="00A60D4B" w:rsidP="00A60D4B">
      <w:pPr>
        <w:pStyle w:val="Bbodytext"/>
      </w:pPr>
      <w:r w:rsidRPr="0012638E">
        <w:t xml:space="preserve">The strength of the Territory’s balance sheet provides a </w:t>
      </w:r>
      <w:r>
        <w:t>robust</w:t>
      </w:r>
      <w:r w:rsidRPr="0012638E">
        <w:t xml:space="preserve"> base to provide support and respond to the consequences of the pandemic</w:t>
      </w:r>
      <w:r>
        <w:t>,</w:t>
      </w:r>
      <w:r w:rsidRPr="0012638E">
        <w:t xml:space="preserve"> with the Territory maintaining a high level of creditworthiness and very strong capacity to service outstanding debt obligations.</w:t>
      </w:r>
      <w:r w:rsidRPr="00904C87">
        <w:t xml:space="preserve"> </w:t>
      </w:r>
    </w:p>
    <w:p w14:paraId="7F323AD2" w14:textId="77777777" w:rsidR="00A60D4B" w:rsidRPr="00EB1775" w:rsidRDefault="00A60D4B" w:rsidP="00A60D4B">
      <w:pPr>
        <w:pStyle w:val="Bbodytext"/>
      </w:pPr>
      <w:r w:rsidRPr="00904C87">
        <w:t>While borrowings are estimated to increase over the forward years, Australian interest rates</w:t>
      </w:r>
      <w:r w:rsidRPr="00EB1775">
        <w:t xml:space="preserve"> remain at historical lows</w:t>
      </w:r>
      <w:r>
        <w:t xml:space="preserve"> reducing the impact of that increase on interest expenses</w:t>
      </w:r>
      <w:r w:rsidRPr="00EB1775">
        <w:t>.</w:t>
      </w:r>
    </w:p>
    <w:p w14:paraId="45078F83" w14:textId="77777777" w:rsidR="00A60D4B" w:rsidRDefault="00A60D4B" w:rsidP="00A60D4B">
      <w:pPr>
        <w:pStyle w:val="Bbodytext"/>
      </w:pPr>
      <w:r>
        <w:t>A summary of the current borrowing estimates is set out below in Tables 3.8.8 and 3.8.9.</w:t>
      </w:r>
    </w:p>
    <w:p w14:paraId="4E196CEE" w14:textId="10C49D47" w:rsidR="00A60D4B" w:rsidRPr="00FF75BA" w:rsidRDefault="00A60D4B" w:rsidP="00A60D4B">
      <w:pPr>
        <w:pStyle w:val="Caption"/>
      </w:pPr>
      <w:r>
        <w:t xml:space="preserve">Table </w:t>
      </w:r>
      <w:r w:rsidR="00FB4E5C">
        <w:fldChar w:fldCharType="begin"/>
      </w:r>
      <w:r w:rsidR="00FB4E5C">
        <w:instrText xml:space="preserve"> STYLEREF 2 \s </w:instrText>
      </w:r>
      <w:r w:rsidR="00FB4E5C">
        <w:fldChar w:fldCharType="separate"/>
      </w:r>
      <w:r w:rsidR="00F12A80">
        <w:rPr>
          <w:noProof/>
        </w:rPr>
        <w:t>3.8</w:t>
      </w:r>
      <w:r w:rsidR="00FB4E5C">
        <w:rPr>
          <w:noProof/>
        </w:rPr>
        <w:fldChar w:fldCharType="end"/>
      </w:r>
      <w:r>
        <w:t>.</w:t>
      </w:r>
      <w:r w:rsidR="00FB4E5C">
        <w:fldChar w:fldCharType="begin"/>
      </w:r>
      <w:r w:rsidR="00FB4E5C">
        <w:instrText xml:space="preserve"> SEQ Table \* ARABIC \s 2 </w:instrText>
      </w:r>
      <w:r w:rsidR="00FB4E5C">
        <w:fldChar w:fldCharType="separate"/>
      </w:r>
      <w:r w:rsidR="00F12A80">
        <w:rPr>
          <w:noProof/>
        </w:rPr>
        <w:t>8</w:t>
      </w:r>
      <w:r w:rsidR="00FB4E5C">
        <w:rPr>
          <w:noProof/>
        </w:rPr>
        <w:fldChar w:fldCharType="end"/>
      </w:r>
      <w:r w:rsidRPr="00CD0073">
        <w:t>: Total Territory borrowings – Principal outstanding</w:t>
      </w:r>
    </w:p>
    <w:tbl>
      <w:tblPr>
        <w:tblW w:w="9026"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451"/>
        <w:gridCol w:w="1315"/>
        <w:gridCol w:w="1315"/>
        <w:gridCol w:w="1315"/>
        <w:gridCol w:w="1315"/>
        <w:gridCol w:w="1315"/>
      </w:tblGrid>
      <w:tr w:rsidR="00A60D4B" w:rsidRPr="00B024CC" w14:paraId="44BCE64A" w14:textId="77777777" w:rsidTr="00A60D4B">
        <w:trPr>
          <w:trHeight w:val="156"/>
        </w:trPr>
        <w:tc>
          <w:tcPr>
            <w:tcW w:w="2451" w:type="dxa"/>
            <w:tcBorders>
              <w:top w:val="single" w:sz="4" w:space="0" w:color="auto"/>
              <w:bottom w:val="single" w:sz="4" w:space="0" w:color="auto"/>
            </w:tcBorders>
            <w:shd w:val="clear" w:color="auto" w:fill="472D8C"/>
          </w:tcPr>
          <w:p w14:paraId="4074C638" w14:textId="77777777" w:rsidR="00A60D4B" w:rsidRPr="0098065F" w:rsidRDefault="00A60D4B" w:rsidP="00A60D4B">
            <w:pPr>
              <w:pStyle w:val="Emptycell"/>
              <w:numPr>
                <w:ilvl w:val="0"/>
                <w:numId w:val="0"/>
              </w:numPr>
            </w:pPr>
          </w:p>
        </w:tc>
        <w:tc>
          <w:tcPr>
            <w:tcW w:w="1315" w:type="dxa"/>
            <w:tcBorders>
              <w:top w:val="single" w:sz="4" w:space="0" w:color="auto"/>
              <w:bottom w:val="single" w:sz="4" w:space="0" w:color="auto"/>
            </w:tcBorders>
            <w:shd w:val="clear" w:color="auto" w:fill="472D8C"/>
          </w:tcPr>
          <w:p w14:paraId="5AE5316D"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20</w:t>
            </w:r>
            <w:r>
              <w:rPr>
                <w:rFonts w:ascii="Calibri" w:hAnsi="Calibri"/>
                <w:b/>
                <w:color w:val="FFFFFF" w:themeColor="background1"/>
                <w:sz w:val="20"/>
              </w:rPr>
              <w:t>20</w:t>
            </w:r>
            <w:r w:rsidRPr="0098065F">
              <w:rPr>
                <w:rFonts w:ascii="Calibri" w:hAnsi="Calibri"/>
                <w:b/>
                <w:color w:val="FFFFFF" w:themeColor="background1"/>
                <w:sz w:val="20"/>
              </w:rPr>
              <w:t>-2</w:t>
            </w:r>
            <w:r>
              <w:rPr>
                <w:rFonts w:ascii="Calibri" w:hAnsi="Calibri"/>
                <w:b/>
                <w:color w:val="FFFFFF" w:themeColor="background1"/>
                <w:sz w:val="20"/>
              </w:rPr>
              <w:t>1</w:t>
            </w:r>
            <w:r w:rsidRPr="0098065F">
              <w:rPr>
                <w:rFonts w:ascii="Calibri" w:hAnsi="Calibri"/>
                <w:b/>
                <w:color w:val="FFFFFF" w:themeColor="background1"/>
                <w:sz w:val="20"/>
              </w:rPr>
              <w:t xml:space="preserve"> </w:t>
            </w:r>
            <w:r>
              <w:rPr>
                <w:rFonts w:ascii="Calibri" w:hAnsi="Calibri"/>
                <w:b/>
                <w:color w:val="FFFFFF" w:themeColor="background1"/>
                <w:sz w:val="20"/>
              </w:rPr>
              <w:t>Interim Outcome</w:t>
            </w:r>
          </w:p>
          <w:p w14:paraId="25A60FB2"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$’000</w:t>
            </w:r>
          </w:p>
        </w:tc>
        <w:tc>
          <w:tcPr>
            <w:tcW w:w="1315" w:type="dxa"/>
            <w:tcBorders>
              <w:top w:val="single" w:sz="4" w:space="0" w:color="auto"/>
              <w:bottom w:val="single" w:sz="4" w:space="0" w:color="auto"/>
            </w:tcBorders>
            <w:shd w:val="clear" w:color="auto" w:fill="472D8C"/>
          </w:tcPr>
          <w:p w14:paraId="6EB4E51F"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202</w:t>
            </w:r>
            <w:r>
              <w:rPr>
                <w:rFonts w:ascii="Calibri" w:hAnsi="Calibri"/>
                <w:b/>
                <w:color w:val="FFFFFF" w:themeColor="background1"/>
                <w:sz w:val="20"/>
              </w:rPr>
              <w:t>1</w:t>
            </w:r>
            <w:r w:rsidRPr="0098065F">
              <w:rPr>
                <w:rFonts w:ascii="Calibri" w:hAnsi="Calibri"/>
                <w:b/>
                <w:color w:val="FFFFFF" w:themeColor="background1"/>
                <w:sz w:val="20"/>
              </w:rPr>
              <w:t>-2</w:t>
            </w:r>
            <w:r>
              <w:rPr>
                <w:rFonts w:ascii="Calibri" w:hAnsi="Calibri"/>
                <w:b/>
                <w:color w:val="FFFFFF" w:themeColor="background1"/>
                <w:sz w:val="20"/>
              </w:rPr>
              <w:t>2</w:t>
            </w:r>
            <w:r w:rsidRPr="0098065F">
              <w:rPr>
                <w:rFonts w:ascii="Calibri" w:hAnsi="Calibri"/>
                <w:b/>
                <w:color w:val="FFFFFF" w:themeColor="background1"/>
                <w:sz w:val="20"/>
              </w:rPr>
              <w:t xml:space="preserve"> Budget</w:t>
            </w:r>
          </w:p>
          <w:p w14:paraId="2CC6BEB7" w14:textId="77777777" w:rsidR="00A60D4B" w:rsidRDefault="00A60D4B" w:rsidP="00A60D4B">
            <w:pPr>
              <w:spacing w:after="0" w:line="240" w:lineRule="auto"/>
              <w:ind w:left="227" w:hanging="227"/>
              <w:jc w:val="right"/>
              <w:rPr>
                <w:rFonts w:ascii="Calibri" w:hAnsi="Calibri"/>
                <w:b/>
                <w:color w:val="FFFFFF" w:themeColor="background1"/>
                <w:sz w:val="20"/>
              </w:rPr>
            </w:pPr>
          </w:p>
          <w:p w14:paraId="5F8F2E0C"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$’000</w:t>
            </w:r>
          </w:p>
        </w:tc>
        <w:tc>
          <w:tcPr>
            <w:tcW w:w="1315" w:type="dxa"/>
            <w:tcBorders>
              <w:top w:val="single" w:sz="4" w:space="0" w:color="auto"/>
              <w:bottom w:val="single" w:sz="4" w:space="0" w:color="auto"/>
            </w:tcBorders>
            <w:shd w:val="clear" w:color="auto" w:fill="472D8C"/>
          </w:tcPr>
          <w:p w14:paraId="12E66BB6"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202</w:t>
            </w:r>
            <w:r>
              <w:rPr>
                <w:rFonts w:ascii="Calibri" w:hAnsi="Calibri"/>
                <w:b/>
                <w:color w:val="FFFFFF" w:themeColor="background1"/>
                <w:sz w:val="20"/>
              </w:rPr>
              <w:t>2</w:t>
            </w:r>
            <w:r w:rsidRPr="0098065F">
              <w:rPr>
                <w:rFonts w:ascii="Calibri" w:hAnsi="Calibri"/>
                <w:b/>
                <w:color w:val="FFFFFF" w:themeColor="background1"/>
                <w:sz w:val="20"/>
              </w:rPr>
              <w:t>-2</w:t>
            </w:r>
            <w:r>
              <w:rPr>
                <w:rFonts w:ascii="Calibri" w:hAnsi="Calibri"/>
                <w:b/>
                <w:color w:val="FFFFFF" w:themeColor="background1"/>
                <w:sz w:val="20"/>
              </w:rPr>
              <w:t>3</w:t>
            </w:r>
            <w:r w:rsidRPr="0098065F">
              <w:rPr>
                <w:rFonts w:ascii="Calibri" w:hAnsi="Calibri"/>
                <w:b/>
                <w:color w:val="FFFFFF" w:themeColor="background1"/>
                <w:sz w:val="20"/>
              </w:rPr>
              <w:t xml:space="preserve"> Estimate</w:t>
            </w:r>
          </w:p>
          <w:p w14:paraId="2CBEE76E" w14:textId="77777777" w:rsidR="00A60D4B" w:rsidRDefault="00A60D4B" w:rsidP="00A60D4B">
            <w:pPr>
              <w:spacing w:after="0" w:line="240" w:lineRule="auto"/>
              <w:ind w:left="227" w:hanging="227"/>
              <w:jc w:val="right"/>
              <w:rPr>
                <w:rFonts w:ascii="Calibri" w:hAnsi="Calibri"/>
                <w:b/>
                <w:color w:val="FFFFFF" w:themeColor="background1"/>
                <w:sz w:val="20"/>
              </w:rPr>
            </w:pPr>
          </w:p>
          <w:p w14:paraId="32C13749"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$’000</w:t>
            </w:r>
          </w:p>
        </w:tc>
        <w:tc>
          <w:tcPr>
            <w:tcW w:w="1315" w:type="dxa"/>
            <w:tcBorders>
              <w:top w:val="single" w:sz="4" w:space="0" w:color="auto"/>
              <w:bottom w:val="single" w:sz="4" w:space="0" w:color="auto"/>
            </w:tcBorders>
            <w:shd w:val="clear" w:color="auto" w:fill="472D8C"/>
          </w:tcPr>
          <w:p w14:paraId="3972BA92"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202</w:t>
            </w:r>
            <w:r>
              <w:rPr>
                <w:rFonts w:ascii="Calibri" w:hAnsi="Calibri"/>
                <w:b/>
                <w:color w:val="FFFFFF" w:themeColor="background1"/>
                <w:sz w:val="20"/>
              </w:rPr>
              <w:t>3</w:t>
            </w:r>
            <w:r w:rsidRPr="0098065F">
              <w:rPr>
                <w:rFonts w:ascii="Calibri" w:hAnsi="Calibri"/>
                <w:b/>
                <w:color w:val="FFFFFF" w:themeColor="background1"/>
                <w:sz w:val="20"/>
              </w:rPr>
              <w:t>-2</w:t>
            </w:r>
            <w:r>
              <w:rPr>
                <w:rFonts w:ascii="Calibri" w:hAnsi="Calibri"/>
                <w:b/>
                <w:color w:val="FFFFFF" w:themeColor="background1"/>
                <w:sz w:val="20"/>
              </w:rPr>
              <w:t>4</w:t>
            </w:r>
            <w:r w:rsidRPr="0098065F">
              <w:rPr>
                <w:rFonts w:ascii="Calibri" w:hAnsi="Calibri"/>
                <w:b/>
                <w:color w:val="FFFFFF" w:themeColor="background1"/>
                <w:sz w:val="20"/>
              </w:rPr>
              <w:t xml:space="preserve"> Estimate</w:t>
            </w:r>
          </w:p>
          <w:p w14:paraId="016C3EB9" w14:textId="77777777" w:rsidR="00A60D4B" w:rsidRDefault="00A60D4B" w:rsidP="00A60D4B">
            <w:pPr>
              <w:spacing w:after="0" w:line="240" w:lineRule="auto"/>
              <w:ind w:left="227" w:hanging="227"/>
              <w:jc w:val="right"/>
              <w:rPr>
                <w:rFonts w:ascii="Calibri" w:hAnsi="Calibri"/>
                <w:b/>
                <w:color w:val="FFFFFF" w:themeColor="background1"/>
                <w:sz w:val="20"/>
              </w:rPr>
            </w:pPr>
          </w:p>
          <w:p w14:paraId="30AEDDDB"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$’000</w:t>
            </w:r>
          </w:p>
        </w:tc>
        <w:tc>
          <w:tcPr>
            <w:tcW w:w="1315" w:type="dxa"/>
            <w:tcBorders>
              <w:top w:val="single" w:sz="4" w:space="0" w:color="auto"/>
              <w:bottom w:val="single" w:sz="4" w:space="0" w:color="auto"/>
            </w:tcBorders>
            <w:shd w:val="clear" w:color="auto" w:fill="472D8C"/>
          </w:tcPr>
          <w:p w14:paraId="3F81D933"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202</w:t>
            </w:r>
            <w:r>
              <w:rPr>
                <w:rFonts w:ascii="Calibri" w:hAnsi="Calibri"/>
                <w:b/>
                <w:color w:val="FFFFFF" w:themeColor="background1"/>
                <w:sz w:val="20"/>
              </w:rPr>
              <w:t>4</w:t>
            </w:r>
            <w:r w:rsidRPr="0098065F">
              <w:rPr>
                <w:rFonts w:ascii="Calibri" w:hAnsi="Calibri"/>
                <w:b/>
                <w:color w:val="FFFFFF" w:themeColor="background1"/>
                <w:sz w:val="20"/>
              </w:rPr>
              <w:t>-2</w:t>
            </w:r>
            <w:r>
              <w:rPr>
                <w:rFonts w:ascii="Calibri" w:hAnsi="Calibri"/>
                <w:b/>
                <w:color w:val="FFFFFF" w:themeColor="background1"/>
                <w:sz w:val="20"/>
              </w:rPr>
              <w:t>5</w:t>
            </w:r>
            <w:r w:rsidRPr="0098065F">
              <w:rPr>
                <w:rFonts w:ascii="Calibri" w:hAnsi="Calibri"/>
                <w:b/>
                <w:color w:val="FFFFFF" w:themeColor="background1"/>
                <w:sz w:val="20"/>
              </w:rPr>
              <w:t xml:space="preserve"> Estimate</w:t>
            </w:r>
          </w:p>
          <w:p w14:paraId="7376592C" w14:textId="77777777" w:rsidR="00A60D4B" w:rsidRDefault="00A60D4B" w:rsidP="00A60D4B">
            <w:pPr>
              <w:spacing w:after="0" w:line="240" w:lineRule="auto"/>
              <w:ind w:left="227" w:hanging="227"/>
              <w:jc w:val="right"/>
              <w:rPr>
                <w:rFonts w:ascii="Calibri" w:hAnsi="Calibri"/>
                <w:b/>
                <w:color w:val="FFFFFF" w:themeColor="background1"/>
                <w:sz w:val="20"/>
              </w:rPr>
            </w:pPr>
          </w:p>
          <w:p w14:paraId="1E47D4D6"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$’000</w:t>
            </w:r>
          </w:p>
        </w:tc>
      </w:tr>
      <w:tr w:rsidR="00A60D4B" w:rsidRPr="00691D7E" w14:paraId="17470D2B" w14:textId="77777777" w:rsidTr="00A60D4B">
        <w:trPr>
          <w:trHeight w:val="270"/>
        </w:trPr>
        <w:tc>
          <w:tcPr>
            <w:tcW w:w="2451" w:type="dxa"/>
            <w:tcBorders>
              <w:top w:val="nil"/>
              <w:bottom w:val="nil"/>
            </w:tcBorders>
          </w:tcPr>
          <w:p w14:paraId="1DDB88D7" w14:textId="77777777" w:rsidR="00A60D4B" w:rsidRPr="00691D7E" w:rsidRDefault="00A60D4B" w:rsidP="00A60D4B">
            <w:pPr>
              <w:pStyle w:val="Btabletextunbold"/>
            </w:pPr>
            <w:r w:rsidRPr="00691D7E">
              <w:t>Market Borrowings</w:t>
            </w:r>
          </w:p>
        </w:tc>
        <w:tc>
          <w:tcPr>
            <w:tcW w:w="1315" w:type="dxa"/>
            <w:tcBorders>
              <w:top w:val="nil"/>
              <w:bottom w:val="nil"/>
            </w:tcBorders>
          </w:tcPr>
          <w:p w14:paraId="0A1D5F6C" w14:textId="77777777" w:rsidR="00A60D4B" w:rsidRPr="00691D7E" w:rsidRDefault="00A60D4B" w:rsidP="00A60D4B">
            <w:pPr>
              <w:pStyle w:val="Btablefigureunbold"/>
            </w:pPr>
            <w:r w:rsidRPr="00691D7E">
              <w:t>8,015,182</w:t>
            </w:r>
          </w:p>
        </w:tc>
        <w:tc>
          <w:tcPr>
            <w:tcW w:w="1315" w:type="dxa"/>
            <w:tcBorders>
              <w:top w:val="nil"/>
              <w:bottom w:val="nil"/>
            </w:tcBorders>
          </w:tcPr>
          <w:p w14:paraId="23E2785F" w14:textId="77777777" w:rsidR="00A60D4B" w:rsidRPr="00691D7E" w:rsidRDefault="00A60D4B" w:rsidP="00A60D4B">
            <w:pPr>
              <w:pStyle w:val="Btablefigureunbold"/>
            </w:pPr>
            <w:r w:rsidRPr="00691D7E">
              <w:t>9,763,242</w:t>
            </w:r>
          </w:p>
        </w:tc>
        <w:tc>
          <w:tcPr>
            <w:tcW w:w="1315" w:type="dxa"/>
            <w:tcBorders>
              <w:top w:val="nil"/>
              <w:bottom w:val="nil"/>
            </w:tcBorders>
            <w:shd w:val="clear" w:color="auto" w:fill="auto"/>
          </w:tcPr>
          <w:p w14:paraId="42308896" w14:textId="77777777" w:rsidR="00A60D4B" w:rsidRPr="00691D7E" w:rsidRDefault="00A60D4B" w:rsidP="00A60D4B">
            <w:pPr>
              <w:pStyle w:val="Btablefigureunbold"/>
            </w:pPr>
            <w:r w:rsidRPr="00691D7E">
              <w:t>10,471,888</w:t>
            </w:r>
          </w:p>
        </w:tc>
        <w:tc>
          <w:tcPr>
            <w:tcW w:w="1315" w:type="dxa"/>
            <w:tcBorders>
              <w:top w:val="nil"/>
              <w:bottom w:val="nil"/>
            </w:tcBorders>
          </w:tcPr>
          <w:p w14:paraId="5AF4C58C" w14:textId="77777777" w:rsidR="00A60D4B" w:rsidRPr="00691D7E" w:rsidRDefault="00A60D4B" w:rsidP="00A60D4B">
            <w:pPr>
              <w:pStyle w:val="Btablefigureunbold"/>
            </w:pPr>
            <w:r w:rsidRPr="00691D7E">
              <w:t>12,571,60</w:t>
            </w:r>
          </w:p>
        </w:tc>
        <w:tc>
          <w:tcPr>
            <w:tcW w:w="1315" w:type="dxa"/>
            <w:tcBorders>
              <w:top w:val="nil"/>
              <w:bottom w:val="nil"/>
            </w:tcBorders>
            <w:shd w:val="clear" w:color="auto" w:fill="auto"/>
          </w:tcPr>
          <w:p w14:paraId="7B4B6AA4" w14:textId="77777777" w:rsidR="00A60D4B" w:rsidRPr="00691D7E" w:rsidRDefault="00A60D4B" w:rsidP="00A60D4B">
            <w:pPr>
              <w:pStyle w:val="Btablefigureunbold"/>
            </w:pPr>
            <w:r w:rsidRPr="00691D7E">
              <w:t>13,614,457</w:t>
            </w:r>
          </w:p>
        </w:tc>
      </w:tr>
      <w:tr w:rsidR="00A60D4B" w:rsidRPr="00691D7E" w14:paraId="667300A7" w14:textId="77777777" w:rsidTr="00A60D4B">
        <w:trPr>
          <w:trHeight w:val="270"/>
        </w:trPr>
        <w:tc>
          <w:tcPr>
            <w:tcW w:w="2451" w:type="dxa"/>
            <w:tcBorders>
              <w:top w:val="nil"/>
              <w:bottom w:val="nil"/>
            </w:tcBorders>
          </w:tcPr>
          <w:p w14:paraId="1BD0DA34" w14:textId="77777777" w:rsidR="00A60D4B" w:rsidRPr="00691D7E" w:rsidRDefault="00A60D4B" w:rsidP="00A60D4B">
            <w:pPr>
              <w:pStyle w:val="Btabletextunbold"/>
            </w:pPr>
            <w:r w:rsidRPr="00691D7E">
              <w:rPr>
                <w:rFonts w:eastAsia="Times New Roman" w:cs="Times New Roman"/>
                <w:bCs/>
                <w:szCs w:val="20"/>
                <w:lang w:eastAsia="en-AU"/>
              </w:rPr>
              <w:t>Commonwealth Loans</w:t>
            </w:r>
          </w:p>
        </w:tc>
        <w:tc>
          <w:tcPr>
            <w:tcW w:w="1315" w:type="dxa"/>
            <w:tcBorders>
              <w:top w:val="nil"/>
              <w:bottom w:val="nil"/>
            </w:tcBorders>
          </w:tcPr>
          <w:p w14:paraId="364FBD7B" w14:textId="77777777" w:rsidR="00A60D4B" w:rsidRPr="00691D7E" w:rsidRDefault="00A60D4B" w:rsidP="00A60D4B">
            <w:pPr>
              <w:pStyle w:val="Btablefigureunbold"/>
            </w:pPr>
            <w:r w:rsidRPr="00691D7E">
              <w:t>98,327</w:t>
            </w:r>
          </w:p>
        </w:tc>
        <w:tc>
          <w:tcPr>
            <w:tcW w:w="1315" w:type="dxa"/>
            <w:tcBorders>
              <w:top w:val="nil"/>
              <w:bottom w:val="nil"/>
            </w:tcBorders>
          </w:tcPr>
          <w:p w14:paraId="2C24E131" w14:textId="77777777" w:rsidR="00A60D4B" w:rsidRPr="00691D7E" w:rsidRDefault="00A60D4B" w:rsidP="00A60D4B">
            <w:pPr>
              <w:pStyle w:val="Btablefigureunbold"/>
            </w:pPr>
            <w:r w:rsidRPr="00691D7E">
              <w:t>89,950</w:t>
            </w:r>
          </w:p>
        </w:tc>
        <w:tc>
          <w:tcPr>
            <w:tcW w:w="1315" w:type="dxa"/>
            <w:tcBorders>
              <w:top w:val="nil"/>
              <w:bottom w:val="nil"/>
            </w:tcBorders>
            <w:shd w:val="clear" w:color="auto" w:fill="auto"/>
          </w:tcPr>
          <w:p w14:paraId="1DDFCF8C" w14:textId="77777777" w:rsidR="00A60D4B" w:rsidRPr="00691D7E" w:rsidRDefault="00A60D4B" w:rsidP="00A60D4B">
            <w:pPr>
              <w:pStyle w:val="Btablefigureunbold"/>
            </w:pPr>
            <w:r w:rsidRPr="00691D7E">
              <w:t>81,586</w:t>
            </w:r>
          </w:p>
        </w:tc>
        <w:tc>
          <w:tcPr>
            <w:tcW w:w="1315" w:type="dxa"/>
            <w:tcBorders>
              <w:top w:val="nil"/>
              <w:bottom w:val="nil"/>
            </w:tcBorders>
          </w:tcPr>
          <w:p w14:paraId="2E29F0EC" w14:textId="77777777" w:rsidR="00A60D4B" w:rsidRPr="00691D7E" w:rsidRDefault="00A60D4B" w:rsidP="00A60D4B">
            <w:pPr>
              <w:pStyle w:val="Btablefigureunbold"/>
            </w:pPr>
            <w:r w:rsidRPr="00691D7E">
              <w:t>73,231</w:t>
            </w:r>
          </w:p>
        </w:tc>
        <w:tc>
          <w:tcPr>
            <w:tcW w:w="1315" w:type="dxa"/>
            <w:tcBorders>
              <w:top w:val="nil"/>
              <w:bottom w:val="nil"/>
            </w:tcBorders>
            <w:shd w:val="clear" w:color="auto" w:fill="auto"/>
          </w:tcPr>
          <w:p w14:paraId="1A0C5704" w14:textId="77777777" w:rsidR="00A60D4B" w:rsidRPr="00691D7E" w:rsidRDefault="00A60D4B" w:rsidP="00A60D4B">
            <w:pPr>
              <w:pStyle w:val="Btablefigureunbold"/>
            </w:pPr>
            <w:r w:rsidRPr="00691D7E">
              <w:t>64,947</w:t>
            </w:r>
          </w:p>
        </w:tc>
      </w:tr>
      <w:tr w:rsidR="00A60D4B" w:rsidRPr="00691D7E" w14:paraId="14BD2F09" w14:textId="77777777" w:rsidTr="00A60D4B">
        <w:trPr>
          <w:trHeight w:val="270"/>
        </w:trPr>
        <w:tc>
          <w:tcPr>
            <w:tcW w:w="2451" w:type="dxa"/>
            <w:tcBorders>
              <w:top w:val="nil"/>
              <w:bottom w:val="nil"/>
            </w:tcBorders>
          </w:tcPr>
          <w:p w14:paraId="64ECFC74" w14:textId="77777777" w:rsidR="00A60D4B" w:rsidRPr="00691D7E" w:rsidRDefault="00A60D4B" w:rsidP="00A60D4B">
            <w:pPr>
              <w:pStyle w:val="Btabletextunbold"/>
            </w:pPr>
            <w:r w:rsidRPr="00691D7E">
              <w:rPr>
                <w:rFonts w:eastAsia="Times New Roman" w:cs="Times New Roman"/>
                <w:bCs/>
                <w:szCs w:val="20"/>
                <w:lang w:val="en-US" w:eastAsia="en-AU"/>
              </w:rPr>
              <w:t>Leases/other</w:t>
            </w:r>
            <w:r w:rsidRPr="00691D7E">
              <w:rPr>
                <w:rFonts w:eastAsia="Times New Roman" w:cs="Times New Roman"/>
                <w:bCs/>
                <w:szCs w:val="20"/>
                <w:vertAlign w:val="superscript"/>
                <w:lang w:val="en-US" w:eastAsia="en-AU"/>
              </w:rPr>
              <w:t>1</w:t>
            </w:r>
          </w:p>
        </w:tc>
        <w:tc>
          <w:tcPr>
            <w:tcW w:w="1315" w:type="dxa"/>
            <w:tcBorders>
              <w:top w:val="nil"/>
              <w:bottom w:val="nil"/>
            </w:tcBorders>
          </w:tcPr>
          <w:p w14:paraId="729DDCA8" w14:textId="77777777" w:rsidR="00A60D4B" w:rsidRPr="00691D7E" w:rsidRDefault="00A60D4B" w:rsidP="00A60D4B">
            <w:pPr>
              <w:pStyle w:val="Btablefigureunbold"/>
            </w:pPr>
            <w:r w:rsidRPr="00691D7E">
              <w:t>1,354,772</w:t>
            </w:r>
          </w:p>
        </w:tc>
        <w:tc>
          <w:tcPr>
            <w:tcW w:w="1315" w:type="dxa"/>
            <w:tcBorders>
              <w:top w:val="nil"/>
              <w:bottom w:val="nil"/>
            </w:tcBorders>
          </w:tcPr>
          <w:p w14:paraId="2D27162A" w14:textId="77777777" w:rsidR="00A60D4B" w:rsidRPr="00691D7E" w:rsidRDefault="00A60D4B" w:rsidP="00A60D4B">
            <w:pPr>
              <w:pStyle w:val="Btablefigureunbold"/>
              <w:rPr>
                <w:bCs/>
              </w:rPr>
            </w:pPr>
            <w:r w:rsidRPr="00691D7E">
              <w:rPr>
                <w:bCs/>
              </w:rPr>
              <w:t>1,359,019</w:t>
            </w:r>
          </w:p>
        </w:tc>
        <w:tc>
          <w:tcPr>
            <w:tcW w:w="1315" w:type="dxa"/>
            <w:tcBorders>
              <w:top w:val="nil"/>
              <w:bottom w:val="nil"/>
            </w:tcBorders>
            <w:shd w:val="clear" w:color="auto" w:fill="auto"/>
          </w:tcPr>
          <w:p w14:paraId="4F8A09EC" w14:textId="77777777" w:rsidR="00A60D4B" w:rsidRPr="00691D7E" w:rsidRDefault="00A60D4B" w:rsidP="00A60D4B">
            <w:pPr>
              <w:pStyle w:val="Btablefigureunbold"/>
              <w:rPr>
                <w:bCs/>
              </w:rPr>
            </w:pPr>
            <w:r w:rsidRPr="00691D7E">
              <w:rPr>
                <w:bCs/>
              </w:rPr>
              <w:t>1,323,923</w:t>
            </w:r>
          </w:p>
        </w:tc>
        <w:tc>
          <w:tcPr>
            <w:tcW w:w="1315" w:type="dxa"/>
            <w:tcBorders>
              <w:top w:val="nil"/>
              <w:bottom w:val="nil"/>
            </w:tcBorders>
          </w:tcPr>
          <w:p w14:paraId="7DAB7334" w14:textId="77777777" w:rsidR="00A60D4B" w:rsidRPr="00691D7E" w:rsidRDefault="00A60D4B" w:rsidP="00A60D4B">
            <w:pPr>
              <w:pStyle w:val="Btablefigureunbold"/>
              <w:rPr>
                <w:bCs/>
              </w:rPr>
            </w:pPr>
            <w:r w:rsidRPr="00691D7E">
              <w:rPr>
                <w:bCs/>
              </w:rPr>
              <w:t>1,278,271</w:t>
            </w:r>
          </w:p>
        </w:tc>
        <w:tc>
          <w:tcPr>
            <w:tcW w:w="1315" w:type="dxa"/>
            <w:tcBorders>
              <w:top w:val="nil"/>
              <w:bottom w:val="nil"/>
            </w:tcBorders>
            <w:shd w:val="clear" w:color="auto" w:fill="auto"/>
          </w:tcPr>
          <w:p w14:paraId="356F953E" w14:textId="77777777" w:rsidR="00A60D4B" w:rsidRPr="00691D7E" w:rsidRDefault="00A60D4B" w:rsidP="00A60D4B">
            <w:pPr>
              <w:pStyle w:val="Btablefigureunbold"/>
              <w:rPr>
                <w:bCs/>
              </w:rPr>
            </w:pPr>
            <w:r w:rsidRPr="00691D7E">
              <w:rPr>
                <w:bCs/>
              </w:rPr>
              <w:t>1,230,413</w:t>
            </w:r>
          </w:p>
        </w:tc>
      </w:tr>
      <w:tr w:rsidR="00A60D4B" w:rsidRPr="00DA0BA0" w14:paraId="291F45F4" w14:textId="77777777" w:rsidTr="00A60D4B">
        <w:trPr>
          <w:trHeight w:val="270"/>
        </w:trPr>
        <w:tc>
          <w:tcPr>
            <w:tcW w:w="2451" w:type="dxa"/>
            <w:tcBorders>
              <w:top w:val="single" w:sz="4" w:space="0" w:color="auto"/>
              <w:bottom w:val="single" w:sz="4" w:space="0" w:color="auto"/>
            </w:tcBorders>
          </w:tcPr>
          <w:p w14:paraId="38C238FF" w14:textId="77777777" w:rsidR="00A60D4B" w:rsidRPr="00691D7E" w:rsidRDefault="00A60D4B" w:rsidP="00A60D4B">
            <w:pPr>
              <w:spacing w:after="0" w:line="240" w:lineRule="auto"/>
              <w:ind w:left="227" w:hanging="227"/>
              <w:rPr>
                <w:rFonts w:ascii="Calibri" w:hAnsi="Calibri"/>
                <w:b/>
                <w:bCs/>
                <w:sz w:val="20"/>
              </w:rPr>
            </w:pPr>
            <w:r w:rsidRPr="00691D7E">
              <w:rPr>
                <w:rFonts w:ascii="Calibri" w:hAnsi="Calibri"/>
                <w:b/>
                <w:bCs/>
                <w:sz w:val="20"/>
              </w:rPr>
              <w:t>Total</w:t>
            </w:r>
          </w:p>
        </w:tc>
        <w:tc>
          <w:tcPr>
            <w:tcW w:w="1315" w:type="dxa"/>
            <w:tcBorders>
              <w:top w:val="single" w:sz="4" w:space="0" w:color="auto"/>
              <w:bottom w:val="single" w:sz="4" w:space="0" w:color="auto"/>
            </w:tcBorders>
          </w:tcPr>
          <w:p w14:paraId="0E11687B" w14:textId="77777777" w:rsidR="00A60D4B" w:rsidRPr="00691D7E" w:rsidRDefault="00A60D4B" w:rsidP="00A60D4B">
            <w:pPr>
              <w:pStyle w:val="BTablefigureBold"/>
            </w:pPr>
            <w:r w:rsidRPr="00691D7E">
              <w:t>9,468,280</w:t>
            </w:r>
          </w:p>
        </w:tc>
        <w:tc>
          <w:tcPr>
            <w:tcW w:w="1315" w:type="dxa"/>
            <w:tcBorders>
              <w:top w:val="single" w:sz="4" w:space="0" w:color="auto"/>
              <w:bottom w:val="single" w:sz="4" w:space="0" w:color="auto"/>
            </w:tcBorders>
          </w:tcPr>
          <w:p w14:paraId="4CE1E1FE" w14:textId="77777777" w:rsidR="00A60D4B" w:rsidRPr="00691D7E" w:rsidRDefault="00A60D4B" w:rsidP="00A60D4B">
            <w:pPr>
              <w:pStyle w:val="BTablefigureBold"/>
            </w:pPr>
            <w:r w:rsidRPr="00691D7E">
              <w:t>11,212,211</w:t>
            </w:r>
          </w:p>
        </w:tc>
        <w:tc>
          <w:tcPr>
            <w:tcW w:w="1315" w:type="dxa"/>
            <w:tcBorders>
              <w:top w:val="single" w:sz="4" w:space="0" w:color="auto"/>
              <w:bottom w:val="single" w:sz="4" w:space="0" w:color="auto"/>
            </w:tcBorders>
            <w:shd w:val="clear" w:color="auto" w:fill="auto"/>
          </w:tcPr>
          <w:p w14:paraId="10A7A6AB" w14:textId="77777777" w:rsidR="00A60D4B" w:rsidRPr="00691D7E" w:rsidRDefault="00A60D4B" w:rsidP="00A60D4B">
            <w:pPr>
              <w:pStyle w:val="BTablefigureBold"/>
            </w:pPr>
            <w:r w:rsidRPr="00691D7E">
              <w:t>11,877,397</w:t>
            </w:r>
          </w:p>
        </w:tc>
        <w:tc>
          <w:tcPr>
            <w:tcW w:w="1315" w:type="dxa"/>
            <w:tcBorders>
              <w:top w:val="single" w:sz="4" w:space="0" w:color="auto"/>
              <w:bottom w:val="single" w:sz="4" w:space="0" w:color="auto"/>
            </w:tcBorders>
          </w:tcPr>
          <w:p w14:paraId="0AB195FD" w14:textId="77777777" w:rsidR="00A60D4B" w:rsidRPr="00691D7E" w:rsidRDefault="00A60D4B" w:rsidP="00A60D4B">
            <w:pPr>
              <w:pStyle w:val="BTablefigureBold"/>
            </w:pPr>
            <w:r w:rsidRPr="00691D7E">
              <w:t>13,922,662</w:t>
            </w:r>
          </w:p>
        </w:tc>
        <w:tc>
          <w:tcPr>
            <w:tcW w:w="1315" w:type="dxa"/>
            <w:tcBorders>
              <w:top w:val="single" w:sz="4" w:space="0" w:color="auto"/>
              <w:bottom w:val="single" w:sz="4" w:space="0" w:color="auto"/>
            </w:tcBorders>
            <w:shd w:val="clear" w:color="auto" w:fill="auto"/>
          </w:tcPr>
          <w:p w14:paraId="59D3B04C" w14:textId="77777777" w:rsidR="00A60D4B" w:rsidRPr="00691D7E" w:rsidRDefault="00A60D4B" w:rsidP="00A60D4B">
            <w:pPr>
              <w:pStyle w:val="BTablefigureBold"/>
            </w:pPr>
            <w:r w:rsidRPr="00691D7E">
              <w:t>14,909,817</w:t>
            </w:r>
          </w:p>
        </w:tc>
      </w:tr>
    </w:tbl>
    <w:p w14:paraId="2FCB5C29" w14:textId="77777777" w:rsidR="00A60D4B" w:rsidRPr="00CD0073" w:rsidRDefault="00A60D4B" w:rsidP="00A60D4B">
      <w:pPr>
        <w:spacing w:before="120" w:after="0" w:line="240" w:lineRule="auto"/>
        <w:ind w:left="357" w:hanging="357"/>
        <w:rPr>
          <w:rFonts w:ascii="Calibri" w:eastAsia="Times New Roman" w:hAnsi="Calibri" w:cs="Times New Roman"/>
          <w:sz w:val="18"/>
          <w:szCs w:val="16"/>
        </w:rPr>
      </w:pPr>
      <w:r w:rsidRPr="00CD0073">
        <w:rPr>
          <w:rFonts w:ascii="Calibri" w:eastAsia="Times New Roman" w:hAnsi="Calibri" w:cs="Times New Roman"/>
          <w:b/>
          <w:sz w:val="18"/>
          <w:szCs w:val="16"/>
          <w:lang w:val="x-none"/>
        </w:rPr>
        <w:t>No</w:t>
      </w:r>
      <w:r w:rsidRPr="00CD0073">
        <w:rPr>
          <w:rFonts w:ascii="Calibri" w:eastAsia="Times New Roman" w:hAnsi="Calibri" w:cs="Times New Roman"/>
          <w:b/>
          <w:sz w:val="18"/>
          <w:szCs w:val="16"/>
        </w:rPr>
        <w:t>te</w:t>
      </w:r>
      <w:r>
        <w:rPr>
          <w:rFonts w:ascii="Calibri" w:eastAsia="Times New Roman" w:hAnsi="Calibri" w:cs="Times New Roman"/>
          <w:b/>
          <w:sz w:val="18"/>
          <w:szCs w:val="16"/>
        </w:rPr>
        <w:t>s</w:t>
      </w:r>
      <w:r w:rsidRPr="00CD0073">
        <w:rPr>
          <w:rFonts w:ascii="Calibri" w:eastAsia="Times New Roman" w:hAnsi="Calibri" w:cs="Times New Roman"/>
          <w:b/>
          <w:sz w:val="18"/>
          <w:szCs w:val="16"/>
        </w:rPr>
        <w:t>:</w:t>
      </w:r>
    </w:p>
    <w:p w14:paraId="279B656A" w14:textId="77777777" w:rsidR="00A60D4B" w:rsidRPr="00323550" w:rsidRDefault="00A60D4B" w:rsidP="00B01C95">
      <w:pPr>
        <w:pStyle w:val="BNotelist"/>
        <w:numPr>
          <w:ilvl w:val="0"/>
          <w:numId w:val="74"/>
        </w:numPr>
      </w:pPr>
      <w:r w:rsidRPr="00323550">
        <w:t>Leases/other comprise operating and finance leases, public private partnership contracts and service concession liabilities.</w:t>
      </w:r>
    </w:p>
    <w:p w14:paraId="0F8E6927" w14:textId="77777777" w:rsidR="00A60D4B" w:rsidRPr="0095124D" w:rsidRDefault="00A60D4B" w:rsidP="00A60D4B">
      <w:pPr>
        <w:keepNext/>
        <w:spacing w:after="0" w:line="240" w:lineRule="auto"/>
        <w:ind w:left="360"/>
        <w:rPr>
          <w:rFonts w:ascii="Calibri" w:hAnsi="Calibri"/>
          <w:sz w:val="18"/>
        </w:rPr>
      </w:pPr>
      <w:r>
        <w:rPr>
          <w:rStyle w:val="BSnotetextChar"/>
          <w:rFonts w:eastAsiaTheme="minorHAnsi"/>
        </w:rPr>
        <w:t>Numbers</w:t>
      </w:r>
      <w:r w:rsidRPr="000C01B1">
        <w:rPr>
          <w:rStyle w:val="BSnotetextChar"/>
          <w:rFonts w:eastAsiaTheme="minorHAnsi"/>
        </w:rPr>
        <w:t xml:space="preserve"> may not add due to rounding</w:t>
      </w:r>
      <w:r>
        <w:rPr>
          <w:rStyle w:val="BSnotetextChar"/>
          <w:rFonts w:eastAsiaTheme="minorHAnsi"/>
        </w:rPr>
        <w:t>.</w:t>
      </w:r>
    </w:p>
    <w:p w14:paraId="6564C83F" w14:textId="527E237C" w:rsidR="00A60D4B" w:rsidRPr="00FF75BA" w:rsidRDefault="00A60D4B" w:rsidP="00A60D4B">
      <w:pPr>
        <w:pStyle w:val="Caption"/>
      </w:pPr>
      <w:r>
        <w:t xml:space="preserve">Table </w:t>
      </w:r>
      <w:r w:rsidR="00FB4E5C">
        <w:fldChar w:fldCharType="begin"/>
      </w:r>
      <w:r w:rsidR="00FB4E5C">
        <w:instrText xml:space="preserve"> STYLEREF 2 \s </w:instrText>
      </w:r>
      <w:r w:rsidR="00FB4E5C">
        <w:fldChar w:fldCharType="separate"/>
      </w:r>
      <w:r w:rsidR="00F12A80">
        <w:rPr>
          <w:noProof/>
        </w:rPr>
        <w:t>3.8</w:t>
      </w:r>
      <w:r w:rsidR="00FB4E5C">
        <w:rPr>
          <w:noProof/>
        </w:rPr>
        <w:fldChar w:fldCharType="end"/>
      </w:r>
      <w:r>
        <w:t>.</w:t>
      </w:r>
      <w:r w:rsidR="00FB4E5C">
        <w:fldChar w:fldCharType="begin"/>
      </w:r>
      <w:r w:rsidR="00FB4E5C">
        <w:instrText xml:space="preserve"> SEQ Table \* ARABIC \s 2 </w:instrText>
      </w:r>
      <w:r w:rsidR="00FB4E5C">
        <w:fldChar w:fldCharType="separate"/>
      </w:r>
      <w:r w:rsidR="00F12A80">
        <w:rPr>
          <w:noProof/>
        </w:rPr>
        <w:t>9</w:t>
      </w:r>
      <w:r w:rsidR="00FB4E5C">
        <w:rPr>
          <w:noProof/>
        </w:rPr>
        <w:fldChar w:fldCharType="end"/>
      </w:r>
      <w:r w:rsidRPr="00CD0073">
        <w:t>: Total Territory borrowings – Interest expense</w:t>
      </w:r>
    </w:p>
    <w:tbl>
      <w:tblPr>
        <w:tblW w:w="9027"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451"/>
        <w:gridCol w:w="1315"/>
        <w:gridCol w:w="1315"/>
        <w:gridCol w:w="1315"/>
        <w:gridCol w:w="1315"/>
        <w:gridCol w:w="1316"/>
      </w:tblGrid>
      <w:tr w:rsidR="00A60D4B" w:rsidRPr="00B024CC" w14:paraId="09C23541" w14:textId="77777777" w:rsidTr="00A60D4B">
        <w:trPr>
          <w:trHeight w:val="156"/>
        </w:trPr>
        <w:tc>
          <w:tcPr>
            <w:tcW w:w="2451" w:type="dxa"/>
            <w:tcBorders>
              <w:top w:val="single" w:sz="4" w:space="0" w:color="auto"/>
              <w:bottom w:val="single" w:sz="4" w:space="0" w:color="auto"/>
            </w:tcBorders>
            <w:shd w:val="clear" w:color="auto" w:fill="472D8C"/>
          </w:tcPr>
          <w:p w14:paraId="6662F2E0" w14:textId="77777777" w:rsidR="00A60D4B" w:rsidRPr="0098065F" w:rsidRDefault="00A60D4B" w:rsidP="00A60D4B">
            <w:pPr>
              <w:pStyle w:val="Emptycell"/>
              <w:numPr>
                <w:ilvl w:val="0"/>
                <w:numId w:val="0"/>
              </w:numPr>
            </w:pPr>
          </w:p>
        </w:tc>
        <w:tc>
          <w:tcPr>
            <w:tcW w:w="1315" w:type="dxa"/>
            <w:tcBorders>
              <w:top w:val="single" w:sz="4" w:space="0" w:color="auto"/>
              <w:bottom w:val="single" w:sz="4" w:space="0" w:color="auto"/>
            </w:tcBorders>
            <w:shd w:val="clear" w:color="auto" w:fill="472D8C"/>
          </w:tcPr>
          <w:p w14:paraId="7D0C5AFB"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20</w:t>
            </w:r>
            <w:r>
              <w:rPr>
                <w:rFonts w:ascii="Calibri" w:hAnsi="Calibri"/>
                <w:b/>
                <w:color w:val="FFFFFF" w:themeColor="background1"/>
                <w:sz w:val="20"/>
              </w:rPr>
              <w:t>20</w:t>
            </w:r>
            <w:r w:rsidRPr="0098065F">
              <w:rPr>
                <w:rFonts w:ascii="Calibri" w:hAnsi="Calibri"/>
                <w:b/>
                <w:color w:val="FFFFFF" w:themeColor="background1"/>
                <w:sz w:val="20"/>
              </w:rPr>
              <w:t>-2</w:t>
            </w:r>
            <w:r>
              <w:rPr>
                <w:rFonts w:ascii="Calibri" w:hAnsi="Calibri"/>
                <w:b/>
                <w:color w:val="FFFFFF" w:themeColor="background1"/>
                <w:sz w:val="20"/>
              </w:rPr>
              <w:t>1</w:t>
            </w:r>
            <w:r w:rsidRPr="0098065F">
              <w:rPr>
                <w:rFonts w:ascii="Calibri" w:hAnsi="Calibri"/>
                <w:b/>
                <w:color w:val="FFFFFF" w:themeColor="background1"/>
                <w:sz w:val="20"/>
              </w:rPr>
              <w:t xml:space="preserve"> </w:t>
            </w:r>
            <w:r>
              <w:rPr>
                <w:rFonts w:ascii="Calibri" w:hAnsi="Calibri"/>
                <w:b/>
                <w:color w:val="FFFFFF" w:themeColor="background1"/>
                <w:sz w:val="20"/>
              </w:rPr>
              <w:t>Interim Outcome</w:t>
            </w:r>
          </w:p>
          <w:p w14:paraId="5E0B46B1"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$’000</w:t>
            </w:r>
          </w:p>
        </w:tc>
        <w:tc>
          <w:tcPr>
            <w:tcW w:w="1315" w:type="dxa"/>
            <w:tcBorders>
              <w:top w:val="single" w:sz="4" w:space="0" w:color="auto"/>
              <w:bottom w:val="single" w:sz="4" w:space="0" w:color="auto"/>
            </w:tcBorders>
            <w:shd w:val="clear" w:color="auto" w:fill="472D8C"/>
          </w:tcPr>
          <w:p w14:paraId="71A3E9B6"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202</w:t>
            </w:r>
            <w:r>
              <w:rPr>
                <w:rFonts w:ascii="Calibri" w:hAnsi="Calibri"/>
                <w:b/>
                <w:color w:val="FFFFFF" w:themeColor="background1"/>
                <w:sz w:val="20"/>
              </w:rPr>
              <w:t>1</w:t>
            </w:r>
            <w:r w:rsidRPr="0098065F">
              <w:rPr>
                <w:rFonts w:ascii="Calibri" w:hAnsi="Calibri"/>
                <w:b/>
                <w:color w:val="FFFFFF" w:themeColor="background1"/>
                <w:sz w:val="20"/>
              </w:rPr>
              <w:t>-2</w:t>
            </w:r>
            <w:r>
              <w:rPr>
                <w:rFonts w:ascii="Calibri" w:hAnsi="Calibri"/>
                <w:b/>
                <w:color w:val="FFFFFF" w:themeColor="background1"/>
                <w:sz w:val="20"/>
              </w:rPr>
              <w:t>2</w:t>
            </w:r>
            <w:r w:rsidRPr="0098065F">
              <w:rPr>
                <w:rFonts w:ascii="Calibri" w:hAnsi="Calibri"/>
                <w:b/>
                <w:color w:val="FFFFFF" w:themeColor="background1"/>
                <w:sz w:val="20"/>
              </w:rPr>
              <w:t xml:space="preserve"> Budget</w:t>
            </w:r>
          </w:p>
          <w:p w14:paraId="3849DD29" w14:textId="77777777" w:rsidR="00A60D4B" w:rsidRDefault="00A60D4B" w:rsidP="00A60D4B">
            <w:pPr>
              <w:spacing w:after="0" w:line="240" w:lineRule="auto"/>
              <w:ind w:left="227" w:hanging="227"/>
              <w:jc w:val="right"/>
              <w:rPr>
                <w:rFonts w:ascii="Calibri" w:hAnsi="Calibri"/>
                <w:b/>
                <w:color w:val="FFFFFF" w:themeColor="background1"/>
                <w:sz w:val="20"/>
              </w:rPr>
            </w:pPr>
          </w:p>
          <w:p w14:paraId="04B6330F"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$’000</w:t>
            </w:r>
          </w:p>
        </w:tc>
        <w:tc>
          <w:tcPr>
            <w:tcW w:w="1315" w:type="dxa"/>
            <w:tcBorders>
              <w:top w:val="single" w:sz="4" w:space="0" w:color="auto"/>
              <w:bottom w:val="single" w:sz="4" w:space="0" w:color="auto"/>
            </w:tcBorders>
            <w:shd w:val="clear" w:color="auto" w:fill="472D8C"/>
          </w:tcPr>
          <w:p w14:paraId="5CD16CA9"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202</w:t>
            </w:r>
            <w:r>
              <w:rPr>
                <w:rFonts w:ascii="Calibri" w:hAnsi="Calibri"/>
                <w:b/>
                <w:color w:val="FFFFFF" w:themeColor="background1"/>
                <w:sz w:val="20"/>
              </w:rPr>
              <w:t>2</w:t>
            </w:r>
            <w:r w:rsidRPr="0098065F">
              <w:rPr>
                <w:rFonts w:ascii="Calibri" w:hAnsi="Calibri"/>
                <w:b/>
                <w:color w:val="FFFFFF" w:themeColor="background1"/>
                <w:sz w:val="20"/>
              </w:rPr>
              <w:t>-2</w:t>
            </w:r>
            <w:r>
              <w:rPr>
                <w:rFonts w:ascii="Calibri" w:hAnsi="Calibri"/>
                <w:b/>
                <w:color w:val="FFFFFF" w:themeColor="background1"/>
                <w:sz w:val="20"/>
              </w:rPr>
              <w:t>3</w:t>
            </w:r>
            <w:r w:rsidRPr="0098065F">
              <w:rPr>
                <w:rFonts w:ascii="Calibri" w:hAnsi="Calibri"/>
                <w:b/>
                <w:color w:val="FFFFFF" w:themeColor="background1"/>
                <w:sz w:val="20"/>
              </w:rPr>
              <w:t xml:space="preserve"> Estimate</w:t>
            </w:r>
          </w:p>
          <w:p w14:paraId="694281A8" w14:textId="77777777" w:rsidR="00A60D4B" w:rsidRDefault="00A60D4B" w:rsidP="00A60D4B">
            <w:pPr>
              <w:spacing w:after="0" w:line="240" w:lineRule="auto"/>
              <w:ind w:left="227" w:hanging="227"/>
              <w:jc w:val="right"/>
              <w:rPr>
                <w:rFonts w:ascii="Calibri" w:hAnsi="Calibri"/>
                <w:b/>
                <w:color w:val="FFFFFF" w:themeColor="background1"/>
                <w:sz w:val="20"/>
              </w:rPr>
            </w:pPr>
          </w:p>
          <w:p w14:paraId="37750A4F"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$’000</w:t>
            </w:r>
          </w:p>
        </w:tc>
        <w:tc>
          <w:tcPr>
            <w:tcW w:w="1315" w:type="dxa"/>
            <w:tcBorders>
              <w:top w:val="single" w:sz="4" w:space="0" w:color="auto"/>
              <w:bottom w:val="single" w:sz="4" w:space="0" w:color="auto"/>
            </w:tcBorders>
            <w:shd w:val="clear" w:color="auto" w:fill="472D8C"/>
          </w:tcPr>
          <w:p w14:paraId="20195157"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202</w:t>
            </w:r>
            <w:r>
              <w:rPr>
                <w:rFonts w:ascii="Calibri" w:hAnsi="Calibri"/>
                <w:b/>
                <w:color w:val="FFFFFF" w:themeColor="background1"/>
                <w:sz w:val="20"/>
              </w:rPr>
              <w:t>3</w:t>
            </w:r>
            <w:r w:rsidRPr="0098065F">
              <w:rPr>
                <w:rFonts w:ascii="Calibri" w:hAnsi="Calibri"/>
                <w:b/>
                <w:color w:val="FFFFFF" w:themeColor="background1"/>
                <w:sz w:val="20"/>
              </w:rPr>
              <w:t>-2</w:t>
            </w:r>
            <w:r>
              <w:rPr>
                <w:rFonts w:ascii="Calibri" w:hAnsi="Calibri"/>
                <w:b/>
                <w:color w:val="FFFFFF" w:themeColor="background1"/>
                <w:sz w:val="20"/>
              </w:rPr>
              <w:t>4</w:t>
            </w:r>
            <w:r w:rsidRPr="0098065F">
              <w:rPr>
                <w:rFonts w:ascii="Calibri" w:hAnsi="Calibri"/>
                <w:b/>
                <w:color w:val="FFFFFF" w:themeColor="background1"/>
                <w:sz w:val="20"/>
              </w:rPr>
              <w:t xml:space="preserve"> Estimate</w:t>
            </w:r>
          </w:p>
          <w:p w14:paraId="06524BE1" w14:textId="77777777" w:rsidR="00A60D4B" w:rsidRDefault="00A60D4B" w:rsidP="00A60D4B">
            <w:pPr>
              <w:spacing w:after="0" w:line="240" w:lineRule="auto"/>
              <w:ind w:left="227" w:hanging="227"/>
              <w:jc w:val="right"/>
              <w:rPr>
                <w:rFonts w:ascii="Calibri" w:hAnsi="Calibri"/>
                <w:b/>
                <w:color w:val="FFFFFF" w:themeColor="background1"/>
                <w:sz w:val="20"/>
              </w:rPr>
            </w:pPr>
          </w:p>
          <w:p w14:paraId="1E359EFA"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$’000</w:t>
            </w:r>
          </w:p>
        </w:tc>
        <w:tc>
          <w:tcPr>
            <w:tcW w:w="1316" w:type="dxa"/>
            <w:tcBorders>
              <w:top w:val="single" w:sz="4" w:space="0" w:color="auto"/>
              <w:bottom w:val="single" w:sz="4" w:space="0" w:color="auto"/>
            </w:tcBorders>
            <w:shd w:val="clear" w:color="auto" w:fill="472D8C"/>
          </w:tcPr>
          <w:p w14:paraId="0A20A50E"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202</w:t>
            </w:r>
            <w:r>
              <w:rPr>
                <w:rFonts w:ascii="Calibri" w:hAnsi="Calibri"/>
                <w:b/>
                <w:color w:val="FFFFFF" w:themeColor="background1"/>
                <w:sz w:val="20"/>
              </w:rPr>
              <w:t>4</w:t>
            </w:r>
            <w:r w:rsidRPr="0098065F">
              <w:rPr>
                <w:rFonts w:ascii="Calibri" w:hAnsi="Calibri"/>
                <w:b/>
                <w:color w:val="FFFFFF" w:themeColor="background1"/>
                <w:sz w:val="20"/>
              </w:rPr>
              <w:t>-2</w:t>
            </w:r>
            <w:r>
              <w:rPr>
                <w:rFonts w:ascii="Calibri" w:hAnsi="Calibri"/>
                <w:b/>
                <w:color w:val="FFFFFF" w:themeColor="background1"/>
                <w:sz w:val="20"/>
              </w:rPr>
              <w:t>5</w:t>
            </w:r>
            <w:r w:rsidRPr="0098065F">
              <w:rPr>
                <w:rFonts w:ascii="Calibri" w:hAnsi="Calibri"/>
                <w:b/>
                <w:color w:val="FFFFFF" w:themeColor="background1"/>
                <w:sz w:val="20"/>
              </w:rPr>
              <w:t xml:space="preserve"> Estimate</w:t>
            </w:r>
          </w:p>
          <w:p w14:paraId="2168C176" w14:textId="77777777" w:rsidR="00A60D4B" w:rsidRDefault="00A60D4B" w:rsidP="00A60D4B">
            <w:pPr>
              <w:spacing w:after="0" w:line="240" w:lineRule="auto"/>
              <w:ind w:left="227" w:hanging="227"/>
              <w:jc w:val="right"/>
              <w:rPr>
                <w:rFonts w:ascii="Calibri" w:hAnsi="Calibri"/>
                <w:b/>
                <w:color w:val="FFFFFF" w:themeColor="background1"/>
                <w:sz w:val="20"/>
              </w:rPr>
            </w:pPr>
          </w:p>
          <w:p w14:paraId="4AD28842"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$’000</w:t>
            </w:r>
          </w:p>
        </w:tc>
      </w:tr>
      <w:tr w:rsidR="00A60D4B" w:rsidRPr="00B43058" w14:paraId="5F46C414" w14:textId="77777777" w:rsidTr="00A60D4B">
        <w:trPr>
          <w:trHeight w:val="270"/>
        </w:trPr>
        <w:tc>
          <w:tcPr>
            <w:tcW w:w="2451" w:type="dxa"/>
            <w:tcBorders>
              <w:top w:val="nil"/>
              <w:bottom w:val="nil"/>
            </w:tcBorders>
          </w:tcPr>
          <w:p w14:paraId="7A81B9F4" w14:textId="77777777" w:rsidR="00A60D4B" w:rsidRPr="00B43058" w:rsidRDefault="00A60D4B" w:rsidP="00A60D4B">
            <w:pPr>
              <w:pStyle w:val="Btabletextunbold"/>
            </w:pPr>
            <w:r w:rsidRPr="00B43058">
              <w:t>Market Borrowings</w:t>
            </w:r>
          </w:p>
        </w:tc>
        <w:tc>
          <w:tcPr>
            <w:tcW w:w="1315" w:type="dxa"/>
            <w:tcBorders>
              <w:top w:val="nil"/>
              <w:bottom w:val="nil"/>
            </w:tcBorders>
          </w:tcPr>
          <w:p w14:paraId="5DC7C072" w14:textId="77777777" w:rsidR="00A60D4B" w:rsidRPr="00B43058" w:rsidRDefault="00A60D4B" w:rsidP="00A60D4B">
            <w:pPr>
              <w:pStyle w:val="Btablefigureunbold"/>
            </w:pPr>
            <w:r w:rsidRPr="00B43058">
              <w:t>170,948</w:t>
            </w:r>
          </w:p>
        </w:tc>
        <w:tc>
          <w:tcPr>
            <w:tcW w:w="1315" w:type="dxa"/>
            <w:tcBorders>
              <w:top w:val="nil"/>
              <w:bottom w:val="nil"/>
            </w:tcBorders>
          </w:tcPr>
          <w:p w14:paraId="532ECA87" w14:textId="77777777" w:rsidR="00A60D4B" w:rsidRPr="00B43058" w:rsidRDefault="00A60D4B" w:rsidP="00A60D4B">
            <w:pPr>
              <w:pStyle w:val="Btablefigureunbold"/>
            </w:pPr>
            <w:r w:rsidRPr="00B43058">
              <w:t>206,936</w:t>
            </w:r>
          </w:p>
        </w:tc>
        <w:tc>
          <w:tcPr>
            <w:tcW w:w="1315" w:type="dxa"/>
            <w:tcBorders>
              <w:top w:val="nil"/>
              <w:bottom w:val="nil"/>
            </w:tcBorders>
            <w:shd w:val="clear" w:color="auto" w:fill="auto"/>
          </w:tcPr>
          <w:p w14:paraId="451C7336" w14:textId="77777777" w:rsidR="00A60D4B" w:rsidRPr="00B43058" w:rsidRDefault="00A60D4B" w:rsidP="00A60D4B">
            <w:pPr>
              <w:pStyle w:val="Btablefigureunbold"/>
            </w:pPr>
            <w:r w:rsidRPr="00B43058">
              <w:t>230,804</w:t>
            </w:r>
          </w:p>
        </w:tc>
        <w:tc>
          <w:tcPr>
            <w:tcW w:w="1315" w:type="dxa"/>
            <w:tcBorders>
              <w:top w:val="nil"/>
              <w:bottom w:val="nil"/>
            </w:tcBorders>
          </w:tcPr>
          <w:p w14:paraId="6F7CB41C" w14:textId="77777777" w:rsidR="00A60D4B" w:rsidRPr="00B43058" w:rsidRDefault="00A60D4B" w:rsidP="00A60D4B">
            <w:pPr>
              <w:pStyle w:val="Btablefigureunbold"/>
            </w:pPr>
            <w:r w:rsidRPr="00B43058">
              <w:t>265,216</w:t>
            </w:r>
          </w:p>
        </w:tc>
        <w:tc>
          <w:tcPr>
            <w:tcW w:w="1316" w:type="dxa"/>
            <w:tcBorders>
              <w:top w:val="nil"/>
              <w:bottom w:val="nil"/>
            </w:tcBorders>
            <w:shd w:val="clear" w:color="auto" w:fill="auto"/>
          </w:tcPr>
          <w:p w14:paraId="1E1679AE" w14:textId="77777777" w:rsidR="00A60D4B" w:rsidRPr="00B43058" w:rsidRDefault="00A60D4B" w:rsidP="00A60D4B">
            <w:pPr>
              <w:pStyle w:val="Btablefigureunbold"/>
            </w:pPr>
            <w:r w:rsidRPr="00B43058">
              <w:t>294,598</w:t>
            </w:r>
          </w:p>
        </w:tc>
      </w:tr>
      <w:tr w:rsidR="00A60D4B" w:rsidRPr="00B43058" w14:paraId="5D848A4E" w14:textId="77777777" w:rsidTr="00A60D4B">
        <w:trPr>
          <w:trHeight w:val="270"/>
        </w:trPr>
        <w:tc>
          <w:tcPr>
            <w:tcW w:w="2451" w:type="dxa"/>
            <w:tcBorders>
              <w:top w:val="nil"/>
              <w:bottom w:val="nil"/>
            </w:tcBorders>
          </w:tcPr>
          <w:p w14:paraId="38DD1220" w14:textId="77777777" w:rsidR="00A60D4B" w:rsidRPr="00B43058" w:rsidRDefault="00A60D4B" w:rsidP="00A60D4B">
            <w:pPr>
              <w:pStyle w:val="Btabletextunbold"/>
            </w:pPr>
            <w:r w:rsidRPr="00B43058">
              <w:rPr>
                <w:rFonts w:eastAsia="Times New Roman" w:cs="Times New Roman"/>
                <w:bCs/>
                <w:szCs w:val="20"/>
                <w:lang w:eastAsia="en-AU"/>
              </w:rPr>
              <w:t>Commonwealth Loans</w:t>
            </w:r>
          </w:p>
        </w:tc>
        <w:tc>
          <w:tcPr>
            <w:tcW w:w="1315" w:type="dxa"/>
            <w:tcBorders>
              <w:top w:val="nil"/>
              <w:bottom w:val="nil"/>
            </w:tcBorders>
          </w:tcPr>
          <w:p w14:paraId="140D2DD2" w14:textId="77777777" w:rsidR="00A60D4B" w:rsidRPr="00B43058" w:rsidRDefault="00A60D4B" w:rsidP="00A60D4B">
            <w:pPr>
              <w:pStyle w:val="Btablefigureunbold"/>
            </w:pPr>
            <w:r w:rsidRPr="00B43058">
              <w:t>4,833</w:t>
            </w:r>
          </w:p>
        </w:tc>
        <w:tc>
          <w:tcPr>
            <w:tcW w:w="1315" w:type="dxa"/>
            <w:tcBorders>
              <w:top w:val="nil"/>
              <w:bottom w:val="nil"/>
            </w:tcBorders>
          </w:tcPr>
          <w:p w14:paraId="58A37CBF" w14:textId="77777777" w:rsidR="00A60D4B" w:rsidRPr="00B43058" w:rsidRDefault="00A60D4B" w:rsidP="00A60D4B">
            <w:pPr>
              <w:pStyle w:val="Btablefigureunbold"/>
            </w:pPr>
            <w:r w:rsidRPr="00B43058">
              <w:t>4,425</w:t>
            </w:r>
          </w:p>
        </w:tc>
        <w:tc>
          <w:tcPr>
            <w:tcW w:w="1315" w:type="dxa"/>
            <w:tcBorders>
              <w:top w:val="nil"/>
              <w:bottom w:val="nil"/>
            </w:tcBorders>
            <w:shd w:val="clear" w:color="auto" w:fill="auto"/>
          </w:tcPr>
          <w:p w14:paraId="12F592B7" w14:textId="77777777" w:rsidR="00A60D4B" w:rsidRPr="00B43058" w:rsidRDefault="00A60D4B" w:rsidP="00A60D4B">
            <w:pPr>
              <w:pStyle w:val="Btablefigureunbold"/>
            </w:pPr>
            <w:r w:rsidRPr="00B43058">
              <w:t>4,048</w:t>
            </w:r>
          </w:p>
        </w:tc>
        <w:tc>
          <w:tcPr>
            <w:tcW w:w="1315" w:type="dxa"/>
            <w:tcBorders>
              <w:top w:val="nil"/>
              <w:bottom w:val="nil"/>
            </w:tcBorders>
          </w:tcPr>
          <w:p w14:paraId="720A3C76" w14:textId="77777777" w:rsidR="00A60D4B" w:rsidRPr="00B43058" w:rsidRDefault="00A60D4B" w:rsidP="00A60D4B">
            <w:pPr>
              <w:pStyle w:val="Btablefigureunbold"/>
            </w:pPr>
            <w:r w:rsidRPr="00B43058">
              <w:t>3,671</w:t>
            </w:r>
          </w:p>
        </w:tc>
        <w:tc>
          <w:tcPr>
            <w:tcW w:w="1316" w:type="dxa"/>
            <w:tcBorders>
              <w:top w:val="nil"/>
              <w:bottom w:val="nil"/>
            </w:tcBorders>
            <w:shd w:val="clear" w:color="auto" w:fill="auto"/>
          </w:tcPr>
          <w:p w14:paraId="0DBE6DBC" w14:textId="77777777" w:rsidR="00A60D4B" w:rsidRPr="00B43058" w:rsidRDefault="00A60D4B" w:rsidP="00A60D4B">
            <w:pPr>
              <w:pStyle w:val="Btablefigureunbold"/>
            </w:pPr>
            <w:r w:rsidRPr="00B43058">
              <w:t>3,295</w:t>
            </w:r>
          </w:p>
        </w:tc>
      </w:tr>
      <w:tr w:rsidR="00A60D4B" w:rsidRPr="00B43058" w14:paraId="0AADA98C" w14:textId="77777777" w:rsidTr="00A60D4B">
        <w:trPr>
          <w:trHeight w:val="270"/>
        </w:trPr>
        <w:tc>
          <w:tcPr>
            <w:tcW w:w="2451" w:type="dxa"/>
            <w:tcBorders>
              <w:top w:val="nil"/>
              <w:bottom w:val="nil"/>
            </w:tcBorders>
          </w:tcPr>
          <w:p w14:paraId="40BAB757" w14:textId="77777777" w:rsidR="00A60D4B" w:rsidRPr="00B43058" w:rsidRDefault="00A60D4B" w:rsidP="00A60D4B">
            <w:pPr>
              <w:pStyle w:val="Btabletextunbold"/>
            </w:pPr>
            <w:r w:rsidRPr="00B43058">
              <w:rPr>
                <w:rFonts w:eastAsia="Times New Roman" w:cs="Times New Roman"/>
                <w:bCs/>
                <w:szCs w:val="20"/>
                <w:lang w:val="en-US" w:eastAsia="en-AU"/>
              </w:rPr>
              <w:t>Leases/other</w:t>
            </w:r>
          </w:p>
        </w:tc>
        <w:tc>
          <w:tcPr>
            <w:tcW w:w="1315" w:type="dxa"/>
            <w:tcBorders>
              <w:top w:val="nil"/>
              <w:bottom w:val="nil"/>
            </w:tcBorders>
          </w:tcPr>
          <w:p w14:paraId="561858C0" w14:textId="77777777" w:rsidR="00A60D4B" w:rsidRPr="00B43058" w:rsidRDefault="00A60D4B" w:rsidP="00A60D4B">
            <w:pPr>
              <w:pStyle w:val="Btablefigureunbold"/>
            </w:pPr>
            <w:r w:rsidRPr="00B43058">
              <w:t>44,390</w:t>
            </w:r>
          </w:p>
        </w:tc>
        <w:tc>
          <w:tcPr>
            <w:tcW w:w="1315" w:type="dxa"/>
            <w:tcBorders>
              <w:top w:val="nil"/>
              <w:bottom w:val="nil"/>
            </w:tcBorders>
          </w:tcPr>
          <w:p w14:paraId="7F1196E9" w14:textId="77777777" w:rsidR="00A60D4B" w:rsidRPr="00B43058" w:rsidRDefault="00A60D4B" w:rsidP="00A60D4B">
            <w:pPr>
              <w:pStyle w:val="Btablefigureunbold"/>
              <w:rPr>
                <w:bCs/>
              </w:rPr>
            </w:pPr>
            <w:r w:rsidRPr="00B43058">
              <w:rPr>
                <w:bCs/>
              </w:rPr>
              <w:t>47,096</w:t>
            </w:r>
          </w:p>
        </w:tc>
        <w:tc>
          <w:tcPr>
            <w:tcW w:w="1315" w:type="dxa"/>
            <w:tcBorders>
              <w:top w:val="nil"/>
              <w:bottom w:val="nil"/>
            </w:tcBorders>
            <w:shd w:val="clear" w:color="auto" w:fill="auto"/>
          </w:tcPr>
          <w:p w14:paraId="60D76EB1" w14:textId="77777777" w:rsidR="00A60D4B" w:rsidRPr="00B43058" w:rsidRDefault="00A60D4B" w:rsidP="00A60D4B">
            <w:pPr>
              <w:pStyle w:val="Btablefigureunbold"/>
              <w:rPr>
                <w:bCs/>
              </w:rPr>
            </w:pPr>
            <w:r w:rsidRPr="00B43058">
              <w:rPr>
                <w:bCs/>
              </w:rPr>
              <w:t>45,853</w:t>
            </w:r>
          </w:p>
        </w:tc>
        <w:tc>
          <w:tcPr>
            <w:tcW w:w="1315" w:type="dxa"/>
            <w:tcBorders>
              <w:top w:val="nil"/>
              <w:bottom w:val="nil"/>
            </w:tcBorders>
          </w:tcPr>
          <w:p w14:paraId="43BE547E" w14:textId="77777777" w:rsidR="00A60D4B" w:rsidRPr="00B43058" w:rsidRDefault="00A60D4B" w:rsidP="00A60D4B">
            <w:pPr>
              <w:pStyle w:val="Btablefigureunbold"/>
              <w:rPr>
                <w:bCs/>
              </w:rPr>
            </w:pPr>
            <w:r w:rsidRPr="00B43058">
              <w:rPr>
                <w:bCs/>
              </w:rPr>
              <w:t>44,266</w:t>
            </w:r>
          </w:p>
        </w:tc>
        <w:tc>
          <w:tcPr>
            <w:tcW w:w="1316" w:type="dxa"/>
            <w:tcBorders>
              <w:top w:val="nil"/>
              <w:bottom w:val="nil"/>
            </w:tcBorders>
            <w:shd w:val="clear" w:color="auto" w:fill="auto"/>
          </w:tcPr>
          <w:p w14:paraId="77BC3798" w14:textId="77777777" w:rsidR="00A60D4B" w:rsidRPr="00B43058" w:rsidRDefault="00A60D4B" w:rsidP="00A60D4B">
            <w:pPr>
              <w:pStyle w:val="Btablefigureunbold"/>
              <w:rPr>
                <w:bCs/>
              </w:rPr>
            </w:pPr>
            <w:r w:rsidRPr="00B43058">
              <w:rPr>
                <w:bCs/>
              </w:rPr>
              <w:t>42,879</w:t>
            </w:r>
          </w:p>
        </w:tc>
      </w:tr>
      <w:tr w:rsidR="00A60D4B" w:rsidRPr="00DA0BA0" w14:paraId="7DF0F1F2" w14:textId="77777777" w:rsidTr="00A60D4B">
        <w:trPr>
          <w:trHeight w:val="270"/>
        </w:trPr>
        <w:tc>
          <w:tcPr>
            <w:tcW w:w="2451" w:type="dxa"/>
            <w:tcBorders>
              <w:top w:val="single" w:sz="4" w:space="0" w:color="auto"/>
              <w:bottom w:val="single" w:sz="4" w:space="0" w:color="auto"/>
            </w:tcBorders>
          </w:tcPr>
          <w:p w14:paraId="434E25EB" w14:textId="77777777" w:rsidR="00A60D4B" w:rsidRPr="00B43058" w:rsidRDefault="00A60D4B" w:rsidP="00A60D4B">
            <w:pPr>
              <w:spacing w:after="0" w:line="240" w:lineRule="auto"/>
              <w:ind w:left="227" w:hanging="227"/>
              <w:rPr>
                <w:rFonts w:ascii="Calibri" w:hAnsi="Calibri"/>
                <w:b/>
                <w:bCs/>
                <w:sz w:val="20"/>
              </w:rPr>
            </w:pPr>
            <w:r w:rsidRPr="00B43058">
              <w:rPr>
                <w:rFonts w:ascii="Calibri" w:hAnsi="Calibri"/>
                <w:b/>
                <w:bCs/>
                <w:sz w:val="20"/>
              </w:rPr>
              <w:t>Total</w:t>
            </w:r>
          </w:p>
        </w:tc>
        <w:tc>
          <w:tcPr>
            <w:tcW w:w="1315" w:type="dxa"/>
            <w:tcBorders>
              <w:top w:val="single" w:sz="4" w:space="0" w:color="auto"/>
              <w:bottom w:val="single" w:sz="4" w:space="0" w:color="auto"/>
            </w:tcBorders>
          </w:tcPr>
          <w:p w14:paraId="28117BD8" w14:textId="77777777" w:rsidR="00A60D4B" w:rsidRPr="00B43058" w:rsidRDefault="00A60D4B" w:rsidP="00A60D4B">
            <w:pPr>
              <w:pStyle w:val="BTablefigureBold"/>
            </w:pPr>
            <w:r w:rsidRPr="00B43058">
              <w:t>220,171</w:t>
            </w:r>
          </w:p>
        </w:tc>
        <w:tc>
          <w:tcPr>
            <w:tcW w:w="1315" w:type="dxa"/>
            <w:tcBorders>
              <w:top w:val="single" w:sz="4" w:space="0" w:color="auto"/>
              <w:bottom w:val="single" w:sz="4" w:space="0" w:color="auto"/>
            </w:tcBorders>
          </w:tcPr>
          <w:p w14:paraId="41C8CE48" w14:textId="77777777" w:rsidR="00A60D4B" w:rsidRPr="00B43058" w:rsidRDefault="00A60D4B" w:rsidP="00A60D4B">
            <w:pPr>
              <w:pStyle w:val="BTablefigureBold"/>
            </w:pPr>
            <w:r w:rsidRPr="00B43058">
              <w:t>258,457</w:t>
            </w:r>
          </w:p>
        </w:tc>
        <w:tc>
          <w:tcPr>
            <w:tcW w:w="1315" w:type="dxa"/>
            <w:tcBorders>
              <w:top w:val="single" w:sz="4" w:space="0" w:color="auto"/>
              <w:bottom w:val="single" w:sz="4" w:space="0" w:color="auto"/>
            </w:tcBorders>
            <w:shd w:val="clear" w:color="auto" w:fill="auto"/>
          </w:tcPr>
          <w:p w14:paraId="4F9E7E91" w14:textId="77777777" w:rsidR="00A60D4B" w:rsidRPr="00B43058" w:rsidRDefault="00A60D4B" w:rsidP="00A60D4B">
            <w:pPr>
              <w:pStyle w:val="BTablefigureBold"/>
            </w:pPr>
            <w:r w:rsidRPr="00B43058">
              <w:t>280,705</w:t>
            </w:r>
          </w:p>
        </w:tc>
        <w:tc>
          <w:tcPr>
            <w:tcW w:w="1315" w:type="dxa"/>
            <w:tcBorders>
              <w:top w:val="single" w:sz="4" w:space="0" w:color="auto"/>
              <w:bottom w:val="single" w:sz="4" w:space="0" w:color="auto"/>
            </w:tcBorders>
          </w:tcPr>
          <w:p w14:paraId="0E6A556C" w14:textId="77777777" w:rsidR="00A60D4B" w:rsidRPr="00B43058" w:rsidRDefault="00A60D4B" w:rsidP="00A60D4B">
            <w:pPr>
              <w:pStyle w:val="BTablefigureBold"/>
            </w:pPr>
            <w:r w:rsidRPr="00B43058">
              <w:t>313,153</w:t>
            </w:r>
          </w:p>
        </w:tc>
        <w:tc>
          <w:tcPr>
            <w:tcW w:w="1316" w:type="dxa"/>
            <w:tcBorders>
              <w:top w:val="single" w:sz="4" w:space="0" w:color="auto"/>
              <w:bottom w:val="single" w:sz="4" w:space="0" w:color="auto"/>
            </w:tcBorders>
            <w:shd w:val="clear" w:color="auto" w:fill="auto"/>
          </w:tcPr>
          <w:p w14:paraId="205BD46C" w14:textId="77777777" w:rsidR="00A60D4B" w:rsidRPr="00B43058" w:rsidRDefault="00A60D4B" w:rsidP="00A60D4B">
            <w:pPr>
              <w:pStyle w:val="BTablefigureBold"/>
            </w:pPr>
            <w:r w:rsidRPr="00B43058">
              <w:t>340,772</w:t>
            </w:r>
          </w:p>
        </w:tc>
      </w:tr>
    </w:tbl>
    <w:p w14:paraId="1F7ED264" w14:textId="77777777" w:rsidR="00A60D4B" w:rsidRDefault="00A60D4B" w:rsidP="00A60D4B">
      <w:pPr>
        <w:pStyle w:val="Bbodytext"/>
        <w:keepNext/>
        <w:keepLines/>
        <w:rPr>
          <w:b/>
          <w:bCs/>
          <w:i/>
          <w:iCs/>
        </w:rPr>
      </w:pPr>
      <w:r w:rsidRPr="00CD0073">
        <w:rPr>
          <w:b/>
          <w:bCs/>
          <w:i/>
          <w:iCs/>
        </w:rPr>
        <w:lastRenderedPageBreak/>
        <w:t>Total outstanding market borrowings and loans</w:t>
      </w:r>
    </w:p>
    <w:p w14:paraId="5F5A1B5F" w14:textId="77777777" w:rsidR="00A60D4B" w:rsidRDefault="00A60D4B" w:rsidP="00A60D4B">
      <w:pPr>
        <w:keepNext/>
        <w:keepLines/>
        <w:spacing w:before="120" w:after="120" w:line="240" w:lineRule="auto"/>
        <w:rPr>
          <w:sz w:val="24"/>
        </w:rPr>
      </w:pPr>
      <w:r w:rsidRPr="00CD0073">
        <w:rPr>
          <w:sz w:val="24"/>
        </w:rPr>
        <w:t>Figure 3.</w:t>
      </w:r>
      <w:r>
        <w:rPr>
          <w:sz w:val="24"/>
        </w:rPr>
        <w:t>8.3</w:t>
      </w:r>
      <w:r w:rsidRPr="00CD0073">
        <w:rPr>
          <w:sz w:val="24"/>
        </w:rPr>
        <w:t xml:space="preserve"> shows the total estimated outstanding principal value of market borrowings </w:t>
      </w:r>
      <w:r w:rsidRPr="00B024CC">
        <w:rPr>
          <w:sz w:val="24"/>
        </w:rPr>
        <w:t>and loans by funding type and year of maturity as at 3</w:t>
      </w:r>
      <w:r>
        <w:rPr>
          <w:sz w:val="24"/>
        </w:rPr>
        <w:t>0</w:t>
      </w:r>
      <w:r w:rsidRPr="00B024CC">
        <w:rPr>
          <w:sz w:val="24"/>
        </w:rPr>
        <w:t xml:space="preserve"> </w:t>
      </w:r>
      <w:r>
        <w:rPr>
          <w:sz w:val="24"/>
        </w:rPr>
        <w:t>June</w:t>
      </w:r>
      <w:r w:rsidRPr="00B024CC">
        <w:rPr>
          <w:sz w:val="24"/>
        </w:rPr>
        <w:t xml:space="preserve"> 202</w:t>
      </w:r>
      <w:r>
        <w:rPr>
          <w:sz w:val="24"/>
        </w:rPr>
        <w:t>1</w:t>
      </w:r>
      <w:r w:rsidRPr="00B024CC">
        <w:rPr>
          <w:sz w:val="24"/>
        </w:rPr>
        <w:t>.</w:t>
      </w:r>
    </w:p>
    <w:p w14:paraId="1ED8EB92" w14:textId="172AF8F6" w:rsidR="00A60D4B" w:rsidRDefault="00A60D4B" w:rsidP="00A60D4B">
      <w:pPr>
        <w:pStyle w:val="Caption"/>
        <w:keepLines/>
        <w:rPr>
          <w:bCs/>
        </w:rPr>
      </w:pPr>
      <w:r>
        <w:t xml:space="preserve">Figure </w:t>
      </w:r>
      <w:r w:rsidR="00FB4E5C">
        <w:fldChar w:fldCharType="begin"/>
      </w:r>
      <w:r w:rsidR="00FB4E5C">
        <w:instrText xml:space="preserve"> STYLEREF 2 \s </w:instrText>
      </w:r>
      <w:r w:rsidR="00FB4E5C">
        <w:fldChar w:fldCharType="separate"/>
      </w:r>
      <w:r w:rsidR="00F12A80">
        <w:rPr>
          <w:noProof/>
        </w:rPr>
        <w:t>3.8</w:t>
      </w:r>
      <w:r w:rsidR="00FB4E5C">
        <w:rPr>
          <w:noProof/>
        </w:rPr>
        <w:fldChar w:fldCharType="end"/>
      </w:r>
      <w:r>
        <w:t>.</w:t>
      </w:r>
      <w:r w:rsidR="00FB4E5C">
        <w:fldChar w:fldCharType="begin"/>
      </w:r>
      <w:r w:rsidR="00FB4E5C">
        <w:instrText xml:space="preserve"> SEQ Figure \* ARABIC \s 2 </w:instrText>
      </w:r>
      <w:r w:rsidR="00FB4E5C">
        <w:fldChar w:fldCharType="separate"/>
      </w:r>
      <w:r w:rsidR="00F12A80">
        <w:rPr>
          <w:noProof/>
        </w:rPr>
        <w:t>3</w:t>
      </w:r>
      <w:r w:rsidR="00FB4E5C">
        <w:rPr>
          <w:noProof/>
        </w:rPr>
        <w:fldChar w:fldCharType="end"/>
      </w:r>
      <w:r w:rsidRPr="69002C77">
        <w:rPr>
          <w:bCs/>
        </w:rPr>
        <w:t>: Total external Territory market borrowings and loans – principal value</w:t>
      </w:r>
    </w:p>
    <w:p w14:paraId="02D214A3" w14:textId="77777777" w:rsidR="00A60D4B" w:rsidRDefault="00A60D4B" w:rsidP="00A60D4B">
      <w:pPr>
        <w:pStyle w:val="BNoteBold"/>
      </w:pPr>
      <w:r>
        <w:rPr>
          <w:noProof/>
        </w:rPr>
        <w:drawing>
          <wp:inline distT="0" distB="0" distL="0" distR="0" wp14:anchorId="1B11454A" wp14:editId="009BFAAF">
            <wp:extent cx="5836257" cy="2198370"/>
            <wp:effectExtent l="0" t="0" r="0" b="0"/>
            <wp:docPr id="333" name="Chart 333">
              <a:extLst xmlns:a="http://schemas.openxmlformats.org/drawingml/2006/main">
                <a:ext uri="{FF2B5EF4-FFF2-40B4-BE49-F238E27FC236}">
                  <a16:creationId xmlns:a16="http://schemas.microsoft.com/office/drawing/2014/main" id="{48DB2D92-2C9E-4D5F-88BF-5282FE0E0E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r w:rsidRPr="69002C77">
        <w:t xml:space="preserve"> </w:t>
      </w:r>
    </w:p>
    <w:p w14:paraId="506E6776" w14:textId="77777777" w:rsidR="00A60D4B" w:rsidRPr="00131495" w:rsidRDefault="00A60D4B" w:rsidP="00A60D4B">
      <w:pPr>
        <w:pStyle w:val="BNoteBold"/>
        <w:rPr>
          <w:b w:val="0"/>
          <w:bCs/>
        </w:rPr>
      </w:pPr>
      <w:r w:rsidRPr="69002C77">
        <w:t xml:space="preserve">Note: </w:t>
      </w:r>
      <w:r w:rsidRPr="0098065F">
        <w:rPr>
          <w:b w:val="0"/>
          <w:bCs/>
        </w:rPr>
        <w:t>Figure excludes leases</w:t>
      </w:r>
      <w:r>
        <w:rPr>
          <w:b w:val="0"/>
          <w:bCs/>
        </w:rPr>
        <w:t xml:space="preserve">, </w:t>
      </w:r>
      <w:r w:rsidRPr="00131495">
        <w:rPr>
          <w:b w:val="0"/>
          <w:bCs/>
        </w:rPr>
        <w:t>public private partnership contracts and service concession liabilities</w:t>
      </w:r>
    </w:p>
    <w:p w14:paraId="36840731" w14:textId="77777777" w:rsidR="00A60D4B" w:rsidRPr="00CD0073" w:rsidRDefault="00A60D4B" w:rsidP="00A60D4B">
      <w:pPr>
        <w:keepNext/>
        <w:keepLines/>
        <w:spacing w:before="240" w:after="0" w:line="240" w:lineRule="auto"/>
        <w:rPr>
          <w:rFonts w:ascii="Calibri" w:eastAsia="Times New Roman" w:hAnsi="Calibri" w:cs="Times New Roman"/>
          <w:sz w:val="24"/>
          <w:szCs w:val="24"/>
          <w:lang w:val="x-none"/>
        </w:rPr>
      </w:pPr>
      <w:r w:rsidRPr="00CB3202">
        <w:rPr>
          <w:rFonts w:ascii="Calibri" w:eastAsia="Times New Roman" w:hAnsi="Calibri" w:cs="Times New Roman"/>
          <w:sz w:val="24"/>
          <w:szCs w:val="24"/>
          <w:lang w:val="x-none"/>
        </w:rPr>
        <w:t xml:space="preserve">Table </w:t>
      </w:r>
      <w:r>
        <w:rPr>
          <w:rFonts w:ascii="Calibri" w:eastAsia="Times New Roman" w:hAnsi="Calibri" w:cs="Times New Roman"/>
          <w:sz w:val="24"/>
          <w:szCs w:val="24"/>
        </w:rPr>
        <w:t>3.8.10</w:t>
      </w:r>
      <w:r w:rsidRPr="00CB3202">
        <w:rPr>
          <w:rFonts w:ascii="Calibri" w:eastAsia="Times New Roman" w:hAnsi="Calibri" w:cs="Times New Roman"/>
          <w:sz w:val="24"/>
          <w:szCs w:val="24"/>
          <w:lang w:val="x-none"/>
        </w:rPr>
        <w:t xml:space="preserve"> provides details of the Territory’s estimated outstanding issued nominal fixed rate bonds as at 3</w:t>
      </w:r>
      <w:r>
        <w:rPr>
          <w:rFonts w:ascii="Calibri" w:eastAsia="Times New Roman" w:hAnsi="Calibri" w:cs="Times New Roman"/>
          <w:sz w:val="24"/>
          <w:szCs w:val="24"/>
        </w:rPr>
        <w:t xml:space="preserve">0 June </w:t>
      </w:r>
      <w:r w:rsidRPr="00CB3202">
        <w:rPr>
          <w:rFonts w:ascii="Calibri" w:eastAsia="Times New Roman" w:hAnsi="Calibri" w:cs="Times New Roman"/>
          <w:sz w:val="24"/>
          <w:szCs w:val="24"/>
          <w:lang w:val="x-none"/>
        </w:rPr>
        <w:t>202</w:t>
      </w:r>
      <w:r>
        <w:rPr>
          <w:rFonts w:ascii="Calibri" w:eastAsia="Times New Roman" w:hAnsi="Calibri" w:cs="Times New Roman"/>
          <w:sz w:val="24"/>
          <w:szCs w:val="24"/>
        </w:rPr>
        <w:t>1</w:t>
      </w:r>
      <w:r w:rsidRPr="00CB3202">
        <w:rPr>
          <w:rFonts w:ascii="Calibri" w:eastAsia="Times New Roman" w:hAnsi="Calibri" w:cs="Times New Roman"/>
          <w:sz w:val="24"/>
          <w:szCs w:val="24"/>
          <w:lang w:val="x-none"/>
        </w:rPr>
        <w:t>.</w:t>
      </w:r>
    </w:p>
    <w:p w14:paraId="0214ADCF" w14:textId="36BB3293" w:rsidR="00A60D4B" w:rsidRPr="00FF75BA" w:rsidRDefault="00A60D4B" w:rsidP="00A60D4B">
      <w:pPr>
        <w:pStyle w:val="Caption"/>
      </w:pPr>
      <w:r>
        <w:t xml:space="preserve">Table </w:t>
      </w:r>
      <w:r w:rsidR="00FB4E5C">
        <w:fldChar w:fldCharType="begin"/>
      </w:r>
      <w:r w:rsidR="00FB4E5C">
        <w:instrText xml:space="preserve"> STYLEREF 2 \s </w:instrText>
      </w:r>
      <w:r w:rsidR="00FB4E5C">
        <w:fldChar w:fldCharType="separate"/>
      </w:r>
      <w:r w:rsidR="00F12A80">
        <w:rPr>
          <w:noProof/>
        </w:rPr>
        <w:t>3.8</w:t>
      </w:r>
      <w:r w:rsidR="00FB4E5C">
        <w:rPr>
          <w:noProof/>
        </w:rPr>
        <w:fldChar w:fldCharType="end"/>
      </w:r>
      <w:r>
        <w:t>.</w:t>
      </w:r>
      <w:r w:rsidR="00FB4E5C">
        <w:fldChar w:fldCharType="begin"/>
      </w:r>
      <w:r w:rsidR="00FB4E5C">
        <w:instrText xml:space="preserve"> SEQ Table \* ARABIC \s 2 </w:instrText>
      </w:r>
      <w:r w:rsidR="00FB4E5C">
        <w:fldChar w:fldCharType="separate"/>
      </w:r>
      <w:r w:rsidR="00F12A80">
        <w:rPr>
          <w:noProof/>
        </w:rPr>
        <w:t>10</w:t>
      </w:r>
      <w:r w:rsidR="00FB4E5C">
        <w:rPr>
          <w:noProof/>
        </w:rPr>
        <w:fldChar w:fldCharType="end"/>
      </w:r>
      <w:r w:rsidRPr="00CB3202">
        <w:t>: Nominal fixed rate bonds on issue</w:t>
      </w:r>
    </w:p>
    <w:tbl>
      <w:tblPr>
        <w:tblW w:w="49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9"/>
        <w:gridCol w:w="1690"/>
        <w:gridCol w:w="1690"/>
        <w:gridCol w:w="1690"/>
        <w:gridCol w:w="2222"/>
      </w:tblGrid>
      <w:tr w:rsidR="00A60D4B" w:rsidRPr="00CB3202" w14:paraId="50BE9E6F" w14:textId="77777777" w:rsidTr="00A60D4B">
        <w:trPr>
          <w:tblHeader/>
        </w:trPr>
        <w:tc>
          <w:tcPr>
            <w:tcW w:w="940" w:type="pct"/>
            <w:tcBorders>
              <w:left w:val="nil"/>
              <w:bottom w:val="nil"/>
              <w:right w:val="nil"/>
            </w:tcBorders>
            <w:shd w:val="clear" w:color="auto" w:fill="472D8C"/>
          </w:tcPr>
          <w:p w14:paraId="6E5C8ADB" w14:textId="77777777" w:rsidR="00A60D4B" w:rsidRPr="0098065F" w:rsidRDefault="00A60D4B" w:rsidP="00A60D4B">
            <w:pPr>
              <w:spacing w:after="0" w:line="240" w:lineRule="auto"/>
              <w:ind w:left="227" w:hanging="227"/>
              <w:jc w:val="right"/>
              <w:rPr>
                <w:rFonts w:ascii="Calibri" w:eastAsia="Times New Roman" w:hAnsi="Calibri" w:cs="Times New Roman"/>
                <w:b/>
                <w:color w:val="FFFFFF" w:themeColor="background1"/>
                <w:sz w:val="20"/>
                <w:szCs w:val="20"/>
                <w:lang w:eastAsia="en-AU"/>
              </w:rPr>
            </w:pPr>
            <w:r w:rsidRPr="0098065F">
              <w:rPr>
                <w:rFonts w:ascii="Calibri" w:eastAsia="Times New Roman" w:hAnsi="Calibri" w:cs="Times New Roman"/>
                <w:b/>
                <w:color w:val="FFFFFF" w:themeColor="background1"/>
                <w:sz w:val="20"/>
                <w:szCs w:val="20"/>
                <w:lang w:eastAsia="en-AU"/>
              </w:rPr>
              <w:t>Coupon</w:t>
            </w:r>
          </w:p>
        </w:tc>
        <w:tc>
          <w:tcPr>
            <w:tcW w:w="941" w:type="pct"/>
            <w:tcBorders>
              <w:left w:val="nil"/>
              <w:bottom w:val="nil"/>
              <w:right w:val="nil"/>
            </w:tcBorders>
            <w:shd w:val="clear" w:color="auto" w:fill="472D8C"/>
          </w:tcPr>
          <w:p w14:paraId="6F47D74A" w14:textId="77777777" w:rsidR="00A60D4B" w:rsidRPr="0098065F" w:rsidRDefault="00A60D4B" w:rsidP="00A60D4B">
            <w:pPr>
              <w:spacing w:after="0" w:line="240" w:lineRule="auto"/>
              <w:ind w:left="227" w:hanging="227"/>
              <w:jc w:val="right"/>
              <w:rPr>
                <w:rFonts w:ascii="Calibri" w:eastAsia="Times New Roman" w:hAnsi="Calibri" w:cs="Times New Roman"/>
                <w:b/>
                <w:color w:val="FFFFFF" w:themeColor="background1"/>
                <w:sz w:val="20"/>
                <w:szCs w:val="20"/>
                <w:lang w:eastAsia="en-AU"/>
              </w:rPr>
            </w:pPr>
            <w:r w:rsidRPr="0098065F">
              <w:rPr>
                <w:rFonts w:ascii="Calibri" w:eastAsia="Times New Roman" w:hAnsi="Calibri" w:cs="Times New Roman"/>
                <w:b/>
                <w:color w:val="FFFFFF" w:themeColor="background1"/>
                <w:sz w:val="20"/>
                <w:szCs w:val="20"/>
                <w:lang w:eastAsia="en-AU"/>
              </w:rPr>
              <w:t>Maturity</w:t>
            </w:r>
          </w:p>
        </w:tc>
        <w:tc>
          <w:tcPr>
            <w:tcW w:w="941" w:type="pct"/>
            <w:tcBorders>
              <w:left w:val="nil"/>
              <w:bottom w:val="nil"/>
              <w:right w:val="nil"/>
            </w:tcBorders>
            <w:shd w:val="clear" w:color="auto" w:fill="472D8C"/>
          </w:tcPr>
          <w:p w14:paraId="321B19A9" w14:textId="77777777" w:rsidR="00A60D4B" w:rsidRPr="0098065F" w:rsidRDefault="00A60D4B" w:rsidP="00A60D4B">
            <w:pPr>
              <w:spacing w:after="0" w:line="240" w:lineRule="auto"/>
              <w:ind w:left="227" w:hanging="227"/>
              <w:jc w:val="right"/>
              <w:rPr>
                <w:rFonts w:ascii="Calibri" w:eastAsia="Times New Roman" w:hAnsi="Calibri" w:cs="Times New Roman"/>
                <w:b/>
                <w:color w:val="FFFFFF" w:themeColor="background1"/>
                <w:sz w:val="20"/>
                <w:szCs w:val="20"/>
                <w:lang w:eastAsia="en-AU"/>
              </w:rPr>
            </w:pPr>
            <w:r w:rsidRPr="0098065F">
              <w:rPr>
                <w:rFonts w:ascii="Calibri" w:eastAsia="Times New Roman" w:hAnsi="Calibri" w:cs="Times New Roman"/>
                <w:b/>
                <w:color w:val="FFFFFF" w:themeColor="background1"/>
                <w:sz w:val="20"/>
                <w:szCs w:val="20"/>
                <w:lang w:eastAsia="en-AU"/>
              </w:rPr>
              <w:t>Face value</w:t>
            </w:r>
          </w:p>
          <w:p w14:paraId="585501E3" w14:textId="77777777" w:rsidR="001E03FF" w:rsidRDefault="001E03FF" w:rsidP="00A60D4B">
            <w:pPr>
              <w:spacing w:after="0" w:line="240" w:lineRule="auto"/>
              <w:ind w:left="227" w:hanging="227"/>
              <w:jc w:val="right"/>
              <w:rPr>
                <w:rFonts w:ascii="Calibri" w:eastAsia="Times New Roman" w:hAnsi="Calibri" w:cs="Times New Roman"/>
                <w:b/>
                <w:color w:val="FFFFFF" w:themeColor="background1"/>
                <w:sz w:val="20"/>
                <w:szCs w:val="20"/>
                <w:lang w:eastAsia="en-AU"/>
              </w:rPr>
            </w:pPr>
          </w:p>
          <w:p w14:paraId="54B431E6" w14:textId="2FD9F9E8" w:rsidR="00A60D4B" w:rsidRPr="0098065F" w:rsidRDefault="00A60D4B" w:rsidP="00A60D4B">
            <w:pPr>
              <w:spacing w:after="0" w:line="240" w:lineRule="auto"/>
              <w:ind w:left="227" w:hanging="227"/>
              <w:jc w:val="right"/>
              <w:rPr>
                <w:rFonts w:ascii="Calibri" w:eastAsia="Times New Roman" w:hAnsi="Calibri" w:cs="Times New Roman"/>
                <w:b/>
                <w:color w:val="FFFFFF" w:themeColor="background1"/>
                <w:sz w:val="20"/>
                <w:szCs w:val="20"/>
                <w:lang w:eastAsia="en-AU"/>
              </w:rPr>
            </w:pPr>
            <w:r w:rsidRPr="0098065F">
              <w:rPr>
                <w:rFonts w:ascii="Calibri" w:eastAsia="Times New Roman" w:hAnsi="Calibri" w:cs="Times New Roman"/>
                <w:b/>
                <w:color w:val="FFFFFF" w:themeColor="background1"/>
                <w:sz w:val="20"/>
                <w:szCs w:val="20"/>
                <w:lang w:eastAsia="en-AU"/>
              </w:rPr>
              <w:t>$m</w:t>
            </w:r>
          </w:p>
        </w:tc>
        <w:tc>
          <w:tcPr>
            <w:tcW w:w="941" w:type="pct"/>
            <w:tcBorders>
              <w:left w:val="nil"/>
              <w:bottom w:val="nil"/>
              <w:right w:val="nil"/>
            </w:tcBorders>
            <w:shd w:val="clear" w:color="auto" w:fill="472D8C"/>
          </w:tcPr>
          <w:p w14:paraId="1FEB25AA" w14:textId="77777777" w:rsidR="00A60D4B" w:rsidRPr="0098065F" w:rsidRDefault="00A60D4B" w:rsidP="00A60D4B">
            <w:pPr>
              <w:spacing w:after="0" w:line="240" w:lineRule="auto"/>
              <w:ind w:left="227" w:hanging="227"/>
              <w:jc w:val="right"/>
              <w:rPr>
                <w:rFonts w:ascii="Calibri" w:eastAsia="Times New Roman" w:hAnsi="Calibri" w:cs="Times New Roman"/>
                <w:b/>
                <w:color w:val="FFFFFF" w:themeColor="background1"/>
                <w:sz w:val="20"/>
                <w:szCs w:val="20"/>
                <w:lang w:eastAsia="en-AU"/>
              </w:rPr>
            </w:pPr>
            <w:r w:rsidRPr="0098065F">
              <w:rPr>
                <w:rFonts w:ascii="Calibri" w:eastAsia="Times New Roman" w:hAnsi="Calibri" w:cs="Times New Roman"/>
                <w:b/>
                <w:color w:val="FFFFFF" w:themeColor="background1"/>
                <w:sz w:val="20"/>
                <w:szCs w:val="20"/>
                <w:lang w:eastAsia="en-AU"/>
              </w:rPr>
              <w:t>Principal</w:t>
            </w:r>
          </w:p>
          <w:p w14:paraId="1B10ADD2" w14:textId="77777777" w:rsidR="00A60D4B" w:rsidRPr="0098065F" w:rsidRDefault="00A60D4B" w:rsidP="00A60D4B">
            <w:pPr>
              <w:spacing w:after="0" w:line="240" w:lineRule="auto"/>
              <w:ind w:left="227" w:hanging="227"/>
              <w:jc w:val="right"/>
              <w:rPr>
                <w:rFonts w:ascii="Calibri" w:eastAsia="Times New Roman" w:hAnsi="Calibri" w:cs="Times New Roman"/>
                <w:b/>
                <w:color w:val="FFFFFF" w:themeColor="background1"/>
                <w:sz w:val="20"/>
                <w:szCs w:val="20"/>
                <w:vertAlign w:val="superscript"/>
                <w:lang w:eastAsia="en-AU"/>
              </w:rPr>
            </w:pPr>
            <w:r w:rsidRPr="0098065F">
              <w:rPr>
                <w:rFonts w:ascii="Calibri" w:eastAsia="Times New Roman" w:hAnsi="Calibri" w:cs="Times New Roman"/>
                <w:b/>
                <w:color w:val="FFFFFF" w:themeColor="background1"/>
                <w:sz w:val="20"/>
                <w:szCs w:val="20"/>
                <w:lang w:eastAsia="en-AU"/>
              </w:rPr>
              <w:t>outstanding</w:t>
            </w:r>
            <w:r w:rsidRPr="0098065F">
              <w:rPr>
                <w:rFonts w:ascii="Calibri" w:eastAsia="Times New Roman" w:hAnsi="Calibri" w:cs="Times New Roman"/>
                <w:b/>
                <w:color w:val="FFFFFF" w:themeColor="background1"/>
                <w:sz w:val="20"/>
                <w:szCs w:val="20"/>
                <w:vertAlign w:val="superscript"/>
                <w:lang w:eastAsia="en-AU"/>
              </w:rPr>
              <w:t>1</w:t>
            </w:r>
          </w:p>
          <w:p w14:paraId="69E91A91" w14:textId="77777777" w:rsidR="00A60D4B" w:rsidRPr="0098065F" w:rsidRDefault="00A60D4B" w:rsidP="00A60D4B">
            <w:pPr>
              <w:spacing w:after="0" w:line="240" w:lineRule="auto"/>
              <w:ind w:left="227" w:hanging="227"/>
              <w:jc w:val="right"/>
              <w:rPr>
                <w:rFonts w:ascii="Calibri" w:eastAsia="Times New Roman" w:hAnsi="Calibri" w:cs="Times New Roman"/>
                <w:b/>
                <w:color w:val="FFFFFF" w:themeColor="background1"/>
                <w:sz w:val="20"/>
                <w:szCs w:val="20"/>
                <w:lang w:eastAsia="en-AU"/>
              </w:rPr>
            </w:pPr>
            <w:r w:rsidRPr="0098065F">
              <w:rPr>
                <w:rFonts w:ascii="Calibri" w:eastAsia="Times New Roman" w:hAnsi="Calibri" w:cs="Times New Roman"/>
                <w:b/>
                <w:color w:val="FFFFFF" w:themeColor="background1"/>
                <w:sz w:val="20"/>
                <w:szCs w:val="20"/>
                <w:lang w:eastAsia="en-AU"/>
              </w:rPr>
              <w:t>$m</w:t>
            </w:r>
          </w:p>
        </w:tc>
        <w:tc>
          <w:tcPr>
            <w:tcW w:w="1237" w:type="pct"/>
            <w:tcBorders>
              <w:left w:val="nil"/>
              <w:bottom w:val="nil"/>
              <w:right w:val="nil"/>
            </w:tcBorders>
            <w:shd w:val="clear" w:color="auto" w:fill="472D8C"/>
          </w:tcPr>
          <w:p w14:paraId="2EAD1F3E" w14:textId="77777777" w:rsidR="00A60D4B" w:rsidRDefault="00A60D4B" w:rsidP="00A60D4B">
            <w:pPr>
              <w:spacing w:after="0" w:line="240" w:lineRule="auto"/>
              <w:ind w:left="227" w:hanging="227"/>
              <w:jc w:val="right"/>
              <w:rPr>
                <w:rFonts w:ascii="Calibri" w:eastAsia="Times New Roman" w:hAnsi="Calibri" w:cs="Times New Roman"/>
                <w:b/>
                <w:color w:val="FFFFFF" w:themeColor="background1"/>
                <w:sz w:val="20"/>
                <w:szCs w:val="20"/>
                <w:lang w:eastAsia="en-AU"/>
              </w:rPr>
            </w:pPr>
            <w:r w:rsidRPr="0098065F">
              <w:rPr>
                <w:rFonts w:ascii="Calibri" w:eastAsia="Times New Roman" w:hAnsi="Calibri" w:cs="Times New Roman"/>
                <w:b/>
                <w:color w:val="FFFFFF" w:themeColor="background1"/>
                <w:sz w:val="20"/>
                <w:szCs w:val="20"/>
                <w:lang w:eastAsia="en-AU"/>
              </w:rPr>
              <w:t>Timing of interest payments</w:t>
            </w:r>
            <w:r>
              <w:rPr>
                <w:rFonts w:ascii="Calibri" w:eastAsia="Times New Roman" w:hAnsi="Calibri" w:cs="Times New Roman"/>
                <w:b/>
                <w:color w:val="FFFFFF" w:themeColor="background1"/>
                <w:sz w:val="20"/>
                <w:szCs w:val="20"/>
                <w:lang w:eastAsia="en-AU"/>
              </w:rPr>
              <w:t xml:space="preserve"> </w:t>
            </w:r>
          </w:p>
          <w:p w14:paraId="42945CF3" w14:textId="77777777" w:rsidR="00A60D4B" w:rsidRPr="0098065F" w:rsidRDefault="00A60D4B" w:rsidP="00A60D4B">
            <w:pPr>
              <w:spacing w:after="0" w:line="240" w:lineRule="auto"/>
              <w:ind w:left="227" w:hanging="227"/>
              <w:jc w:val="right"/>
              <w:rPr>
                <w:rFonts w:ascii="Calibri" w:eastAsia="Times New Roman" w:hAnsi="Calibri" w:cs="Times New Roman"/>
                <w:b/>
                <w:color w:val="FFFFFF" w:themeColor="background1"/>
                <w:sz w:val="20"/>
                <w:szCs w:val="20"/>
                <w:lang w:eastAsia="en-AU"/>
              </w:rPr>
            </w:pPr>
            <w:r>
              <w:rPr>
                <w:rFonts w:ascii="Calibri" w:eastAsia="Times New Roman" w:hAnsi="Calibri" w:cs="Times New Roman"/>
                <w:b/>
                <w:color w:val="FFFFFF" w:themeColor="background1"/>
                <w:sz w:val="20"/>
                <w:szCs w:val="20"/>
                <w:lang w:eastAsia="en-AU"/>
              </w:rPr>
              <w:t>(Semi-annual)</w:t>
            </w:r>
          </w:p>
        </w:tc>
      </w:tr>
      <w:tr w:rsidR="00A60D4B" w:rsidRPr="00CB3202" w14:paraId="6DFF76B9" w14:textId="77777777" w:rsidTr="00A60D4B">
        <w:tc>
          <w:tcPr>
            <w:tcW w:w="940" w:type="pct"/>
            <w:tcBorders>
              <w:top w:val="single" w:sz="4" w:space="0" w:color="auto"/>
              <w:left w:val="nil"/>
              <w:bottom w:val="nil"/>
              <w:right w:val="nil"/>
            </w:tcBorders>
            <w:shd w:val="clear" w:color="auto" w:fill="auto"/>
          </w:tcPr>
          <w:p w14:paraId="3BD0DF17"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4.25%</w:t>
            </w:r>
          </w:p>
        </w:tc>
        <w:tc>
          <w:tcPr>
            <w:tcW w:w="941" w:type="pct"/>
            <w:tcBorders>
              <w:top w:val="single" w:sz="4" w:space="0" w:color="auto"/>
              <w:left w:val="nil"/>
              <w:bottom w:val="nil"/>
              <w:right w:val="nil"/>
            </w:tcBorders>
            <w:shd w:val="clear" w:color="auto" w:fill="auto"/>
          </w:tcPr>
          <w:p w14:paraId="570B5C3B"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Apr 2022</w:t>
            </w:r>
          </w:p>
        </w:tc>
        <w:tc>
          <w:tcPr>
            <w:tcW w:w="941" w:type="pct"/>
            <w:tcBorders>
              <w:top w:val="single" w:sz="4" w:space="0" w:color="auto"/>
              <w:left w:val="nil"/>
              <w:bottom w:val="nil"/>
              <w:right w:val="nil"/>
            </w:tcBorders>
            <w:shd w:val="clear" w:color="auto" w:fill="auto"/>
          </w:tcPr>
          <w:p w14:paraId="69DE2C55"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550</w:t>
            </w:r>
          </w:p>
        </w:tc>
        <w:tc>
          <w:tcPr>
            <w:tcW w:w="941" w:type="pct"/>
            <w:tcBorders>
              <w:top w:val="single" w:sz="4" w:space="0" w:color="auto"/>
              <w:left w:val="nil"/>
              <w:bottom w:val="nil"/>
              <w:right w:val="nil"/>
            </w:tcBorders>
            <w:shd w:val="clear" w:color="auto" w:fill="auto"/>
          </w:tcPr>
          <w:p w14:paraId="0B579E1C"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54</w:t>
            </w:r>
            <w:r>
              <w:rPr>
                <w:rFonts w:ascii="Calibri" w:eastAsia="Times New Roman" w:hAnsi="Calibri" w:cs="Times New Roman"/>
                <w:sz w:val="20"/>
                <w:szCs w:val="20"/>
                <w:lang w:eastAsia="en-AU"/>
              </w:rPr>
              <w:t>8</w:t>
            </w:r>
            <w:r w:rsidRPr="00CB3202">
              <w:rPr>
                <w:rFonts w:ascii="Calibri" w:eastAsia="Times New Roman" w:hAnsi="Calibri" w:cs="Times New Roman"/>
                <w:sz w:val="20"/>
                <w:szCs w:val="20"/>
                <w:lang w:eastAsia="en-AU"/>
              </w:rPr>
              <w:t>.</w:t>
            </w:r>
            <w:r>
              <w:rPr>
                <w:rFonts w:ascii="Calibri" w:eastAsia="Times New Roman" w:hAnsi="Calibri" w:cs="Times New Roman"/>
                <w:sz w:val="20"/>
                <w:szCs w:val="20"/>
                <w:lang w:eastAsia="en-AU"/>
              </w:rPr>
              <w:t>7</w:t>
            </w:r>
          </w:p>
        </w:tc>
        <w:tc>
          <w:tcPr>
            <w:tcW w:w="1237" w:type="pct"/>
            <w:tcBorders>
              <w:top w:val="single" w:sz="4" w:space="0" w:color="auto"/>
              <w:left w:val="nil"/>
              <w:bottom w:val="nil"/>
              <w:right w:val="nil"/>
            </w:tcBorders>
            <w:shd w:val="clear" w:color="auto" w:fill="auto"/>
          </w:tcPr>
          <w:p w14:paraId="3B595ADC"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Apr, Oct</w:t>
            </w:r>
          </w:p>
        </w:tc>
      </w:tr>
      <w:tr w:rsidR="00A60D4B" w:rsidRPr="00CB3202" w14:paraId="3A0F47CD" w14:textId="77777777" w:rsidTr="00A60D4B">
        <w:tc>
          <w:tcPr>
            <w:tcW w:w="940" w:type="pct"/>
            <w:tcBorders>
              <w:top w:val="nil"/>
              <w:left w:val="nil"/>
              <w:bottom w:val="nil"/>
              <w:right w:val="nil"/>
            </w:tcBorders>
            <w:shd w:val="clear" w:color="auto" w:fill="auto"/>
          </w:tcPr>
          <w:p w14:paraId="7C7A7803"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1.00%</w:t>
            </w:r>
          </w:p>
        </w:tc>
        <w:tc>
          <w:tcPr>
            <w:tcW w:w="941" w:type="pct"/>
            <w:tcBorders>
              <w:top w:val="nil"/>
              <w:left w:val="nil"/>
              <w:bottom w:val="nil"/>
              <w:right w:val="nil"/>
            </w:tcBorders>
            <w:shd w:val="clear" w:color="auto" w:fill="auto"/>
          </w:tcPr>
          <w:p w14:paraId="015AFF02"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Apr 2023</w:t>
            </w:r>
          </w:p>
        </w:tc>
        <w:tc>
          <w:tcPr>
            <w:tcW w:w="941" w:type="pct"/>
            <w:tcBorders>
              <w:top w:val="nil"/>
              <w:left w:val="nil"/>
              <w:bottom w:val="nil"/>
              <w:right w:val="nil"/>
            </w:tcBorders>
            <w:shd w:val="clear" w:color="auto" w:fill="auto"/>
          </w:tcPr>
          <w:p w14:paraId="1AF5A334"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1,100</w:t>
            </w:r>
          </w:p>
        </w:tc>
        <w:tc>
          <w:tcPr>
            <w:tcW w:w="941" w:type="pct"/>
            <w:tcBorders>
              <w:top w:val="nil"/>
              <w:left w:val="nil"/>
              <w:bottom w:val="nil"/>
              <w:right w:val="nil"/>
            </w:tcBorders>
            <w:shd w:val="clear" w:color="auto" w:fill="auto"/>
          </w:tcPr>
          <w:p w14:paraId="5C82D390"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1,10</w:t>
            </w:r>
            <w:r>
              <w:rPr>
                <w:rFonts w:ascii="Calibri" w:eastAsia="Times New Roman" w:hAnsi="Calibri" w:cs="Times New Roman"/>
                <w:sz w:val="20"/>
                <w:szCs w:val="20"/>
                <w:lang w:eastAsia="en-AU"/>
              </w:rPr>
              <w:t>3</w:t>
            </w:r>
            <w:r w:rsidRPr="00CB3202">
              <w:rPr>
                <w:rFonts w:ascii="Calibri" w:eastAsia="Times New Roman" w:hAnsi="Calibri" w:cs="Times New Roman"/>
                <w:sz w:val="20"/>
                <w:szCs w:val="20"/>
                <w:lang w:eastAsia="en-AU"/>
              </w:rPr>
              <w:t>.</w:t>
            </w:r>
            <w:r>
              <w:rPr>
                <w:rFonts w:ascii="Calibri" w:eastAsia="Times New Roman" w:hAnsi="Calibri" w:cs="Times New Roman"/>
                <w:sz w:val="20"/>
                <w:szCs w:val="20"/>
                <w:lang w:eastAsia="en-AU"/>
              </w:rPr>
              <w:t>0</w:t>
            </w:r>
          </w:p>
        </w:tc>
        <w:tc>
          <w:tcPr>
            <w:tcW w:w="1237" w:type="pct"/>
            <w:tcBorders>
              <w:top w:val="nil"/>
              <w:left w:val="nil"/>
              <w:bottom w:val="nil"/>
              <w:right w:val="nil"/>
            </w:tcBorders>
            <w:shd w:val="clear" w:color="auto" w:fill="auto"/>
          </w:tcPr>
          <w:p w14:paraId="21FB2035"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Apr, Oct</w:t>
            </w:r>
          </w:p>
        </w:tc>
      </w:tr>
      <w:tr w:rsidR="00A60D4B" w:rsidRPr="00CB3202" w14:paraId="353B153F" w14:textId="77777777" w:rsidTr="00A60D4B">
        <w:tc>
          <w:tcPr>
            <w:tcW w:w="940" w:type="pct"/>
            <w:tcBorders>
              <w:top w:val="nil"/>
              <w:left w:val="nil"/>
              <w:bottom w:val="nil"/>
              <w:right w:val="nil"/>
            </w:tcBorders>
            <w:shd w:val="clear" w:color="auto" w:fill="auto"/>
          </w:tcPr>
          <w:p w14:paraId="7742664D"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4.00%</w:t>
            </w:r>
          </w:p>
        </w:tc>
        <w:tc>
          <w:tcPr>
            <w:tcW w:w="941" w:type="pct"/>
            <w:tcBorders>
              <w:top w:val="nil"/>
              <w:left w:val="nil"/>
              <w:bottom w:val="nil"/>
              <w:right w:val="nil"/>
            </w:tcBorders>
            <w:shd w:val="clear" w:color="auto" w:fill="auto"/>
          </w:tcPr>
          <w:p w14:paraId="495B8837"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May 2024</w:t>
            </w:r>
          </w:p>
        </w:tc>
        <w:tc>
          <w:tcPr>
            <w:tcW w:w="941" w:type="pct"/>
            <w:tcBorders>
              <w:top w:val="nil"/>
              <w:left w:val="nil"/>
              <w:bottom w:val="nil"/>
              <w:right w:val="nil"/>
            </w:tcBorders>
            <w:shd w:val="clear" w:color="auto" w:fill="auto"/>
          </w:tcPr>
          <w:p w14:paraId="578583B7"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500</w:t>
            </w:r>
          </w:p>
        </w:tc>
        <w:tc>
          <w:tcPr>
            <w:tcW w:w="941" w:type="pct"/>
            <w:tcBorders>
              <w:top w:val="nil"/>
              <w:left w:val="nil"/>
              <w:bottom w:val="nil"/>
              <w:right w:val="nil"/>
            </w:tcBorders>
            <w:shd w:val="clear" w:color="auto" w:fill="auto"/>
          </w:tcPr>
          <w:p w14:paraId="381AE63D"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49</w:t>
            </w:r>
            <w:r>
              <w:rPr>
                <w:rFonts w:ascii="Calibri" w:eastAsia="Times New Roman" w:hAnsi="Calibri" w:cs="Times New Roman"/>
                <w:sz w:val="20"/>
                <w:szCs w:val="20"/>
                <w:lang w:eastAsia="en-AU"/>
              </w:rPr>
              <w:t>7</w:t>
            </w:r>
            <w:r w:rsidRPr="00CB3202">
              <w:rPr>
                <w:rFonts w:ascii="Calibri" w:eastAsia="Times New Roman" w:hAnsi="Calibri" w:cs="Times New Roman"/>
                <w:sz w:val="20"/>
                <w:szCs w:val="20"/>
                <w:lang w:eastAsia="en-AU"/>
              </w:rPr>
              <w:t>.</w:t>
            </w:r>
            <w:r>
              <w:rPr>
                <w:rFonts w:ascii="Calibri" w:eastAsia="Times New Roman" w:hAnsi="Calibri" w:cs="Times New Roman"/>
                <w:sz w:val="20"/>
                <w:szCs w:val="20"/>
                <w:lang w:eastAsia="en-AU"/>
              </w:rPr>
              <w:t>2</w:t>
            </w:r>
          </w:p>
        </w:tc>
        <w:tc>
          <w:tcPr>
            <w:tcW w:w="1237" w:type="pct"/>
            <w:tcBorders>
              <w:top w:val="nil"/>
              <w:left w:val="nil"/>
              <w:bottom w:val="nil"/>
              <w:right w:val="nil"/>
            </w:tcBorders>
            <w:shd w:val="clear" w:color="auto" w:fill="auto"/>
          </w:tcPr>
          <w:p w14:paraId="7AFF7511"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Pr>
                <w:rFonts w:ascii="Calibri" w:eastAsia="Times New Roman" w:hAnsi="Calibri" w:cs="Times New Roman"/>
                <w:sz w:val="20"/>
                <w:szCs w:val="20"/>
                <w:lang w:eastAsia="en-AU"/>
              </w:rPr>
              <w:t>M</w:t>
            </w:r>
            <w:r w:rsidRPr="00CB3202">
              <w:rPr>
                <w:rFonts w:ascii="Calibri" w:eastAsia="Times New Roman" w:hAnsi="Calibri" w:cs="Times New Roman"/>
                <w:sz w:val="20"/>
                <w:szCs w:val="20"/>
                <w:lang w:eastAsia="en-AU"/>
              </w:rPr>
              <w:t>ay, Nov</w:t>
            </w:r>
          </w:p>
        </w:tc>
      </w:tr>
      <w:tr w:rsidR="00A60D4B" w:rsidRPr="00CB3202" w14:paraId="145DF6F0" w14:textId="77777777" w:rsidTr="00A60D4B">
        <w:tc>
          <w:tcPr>
            <w:tcW w:w="940" w:type="pct"/>
            <w:tcBorders>
              <w:top w:val="nil"/>
              <w:left w:val="nil"/>
              <w:bottom w:val="nil"/>
              <w:right w:val="nil"/>
            </w:tcBorders>
            <w:shd w:val="clear" w:color="auto" w:fill="auto"/>
          </w:tcPr>
          <w:p w14:paraId="36AAE655"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1.25%</w:t>
            </w:r>
          </w:p>
        </w:tc>
        <w:tc>
          <w:tcPr>
            <w:tcW w:w="941" w:type="pct"/>
            <w:tcBorders>
              <w:top w:val="nil"/>
              <w:left w:val="nil"/>
              <w:bottom w:val="nil"/>
              <w:right w:val="nil"/>
            </w:tcBorders>
            <w:shd w:val="clear" w:color="auto" w:fill="auto"/>
          </w:tcPr>
          <w:p w14:paraId="5553198D"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May 2025</w:t>
            </w:r>
          </w:p>
        </w:tc>
        <w:tc>
          <w:tcPr>
            <w:tcW w:w="941" w:type="pct"/>
            <w:tcBorders>
              <w:top w:val="nil"/>
              <w:left w:val="nil"/>
              <w:bottom w:val="nil"/>
              <w:right w:val="nil"/>
            </w:tcBorders>
            <w:shd w:val="clear" w:color="auto" w:fill="auto"/>
          </w:tcPr>
          <w:p w14:paraId="70082BC8"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1,000</w:t>
            </w:r>
          </w:p>
        </w:tc>
        <w:tc>
          <w:tcPr>
            <w:tcW w:w="941" w:type="pct"/>
            <w:tcBorders>
              <w:top w:val="nil"/>
              <w:left w:val="nil"/>
              <w:bottom w:val="nil"/>
              <w:right w:val="nil"/>
            </w:tcBorders>
            <w:shd w:val="clear" w:color="auto" w:fill="auto"/>
          </w:tcPr>
          <w:p w14:paraId="048497A3"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1,00</w:t>
            </w:r>
            <w:r>
              <w:rPr>
                <w:rFonts w:ascii="Calibri" w:eastAsia="Times New Roman" w:hAnsi="Calibri" w:cs="Times New Roman"/>
                <w:sz w:val="20"/>
                <w:szCs w:val="20"/>
                <w:lang w:eastAsia="en-AU"/>
              </w:rPr>
              <w:t>3</w:t>
            </w:r>
            <w:r w:rsidRPr="00CB3202">
              <w:rPr>
                <w:rFonts w:ascii="Calibri" w:eastAsia="Times New Roman" w:hAnsi="Calibri" w:cs="Times New Roman"/>
                <w:sz w:val="20"/>
                <w:szCs w:val="20"/>
                <w:lang w:eastAsia="en-AU"/>
              </w:rPr>
              <w:t>.</w:t>
            </w:r>
            <w:r>
              <w:rPr>
                <w:rFonts w:ascii="Calibri" w:eastAsia="Times New Roman" w:hAnsi="Calibri" w:cs="Times New Roman"/>
                <w:sz w:val="20"/>
                <w:szCs w:val="20"/>
                <w:lang w:eastAsia="en-AU"/>
              </w:rPr>
              <w:t>3</w:t>
            </w:r>
          </w:p>
        </w:tc>
        <w:tc>
          <w:tcPr>
            <w:tcW w:w="1237" w:type="pct"/>
            <w:tcBorders>
              <w:top w:val="nil"/>
              <w:left w:val="nil"/>
              <w:bottom w:val="nil"/>
              <w:right w:val="nil"/>
            </w:tcBorders>
            <w:shd w:val="clear" w:color="auto" w:fill="auto"/>
          </w:tcPr>
          <w:p w14:paraId="6DBA04FB"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Pr>
                <w:rFonts w:ascii="Calibri" w:eastAsia="Times New Roman" w:hAnsi="Calibri" w:cs="Times New Roman"/>
                <w:sz w:val="20"/>
                <w:szCs w:val="20"/>
                <w:lang w:eastAsia="en-AU"/>
              </w:rPr>
              <w:t>M</w:t>
            </w:r>
            <w:r w:rsidRPr="00CB3202">
              <w:rPr>
                <w:rFonts w:ascii="Calibri" w:eastAsia="Times New Roman" w:hAnsi="Calibri" w:cs="Times New Roman"/>
                <w:sz w:val="20"/>
                <w:szCs w:val="20"/>
                <w:lang w:eastAsia="en-AU"/>
              </w:rPr>
              <w:t>ay, Nov</w:t>
            </w:r>
          </w:p>
        </w:tc>
      </w:tr>
      <w:tr w:rsidR="00A60D4B" w:rsidRPr="00CB3202" w14:paraId="635A719C" w14:textId="77777777" w:rsidTr="00A60D4B">
        <w:tc>
          <w:tcPr>
            <w:tcW w:w="940" w:type="pct"/>
            <w:tcBorders>
              <w:top w:val="nil"/>
              <w:left w:val="nil"/>
              <w:bottom w:val="nil"/>
              <w:right w:val="nil"/>
            </w:tcBorders>
            <w:shd w:val="clear" w:color="auto" w:fill="auto"/>
          </w:tcPr>
          <w:p w14:paraId="73D72270"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2.50%</w:t>
            </w:r>
          </w:p>
        </w:tc>
        <w:tc>
          <w:tcPr>
            <w:tcW w:w="941" w:type="pct"/>
            <w:tcBorders>
              <w:top w:val="nil"/>
              <w:left w:val="nil"/>
              <w:bottom w:val="nil"/>
              <w:right w:val="nil"/>
            </w:tcBorders>
            <w:shd w:val="clear" w:color="auto" w:fill="auto"/>
          </w:tcPr>
          <w:p w14:paraId="1F5106F2"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May 2026</w:t>
            </w:r>
          </w:p>
        </w:tc>
        <w:tc>
          <w:tcPr>
            <w:tcW w:w="941" w:type="pct"/>
            <w:tcBorders>
              <w:top w:val="nil"/>
              <w:left w:val="nil"/>
              <w:bottom w:val="nil"/>
              <w:right w:val="nil"/>
            </w:tcBorders>
            <w:shd w:val="clear" w:color="auto" w:fill="auto"/>
          </w:tcPr>
          <w:p w14:paraId="028426E4"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525</w:t>
            </w:r>
          </w:p>
        </w:tc>
        <w:tc>
          <w:tcPr>
            <w:tcW w:w="941" w:type="pct"/>
            <w:tcBorders>
              <w:top w:val="nil"/>
              <w:left w:val="nil"/>
              <w:bottom w:val="nil"/>
              <w:right w:val="nil"/>
            </w:tcBorders>
            <w:shd w:val="clear" w:color="auto" w:fill="auto"/>
          </w:tcPr>
          <w:p w14:paraId="22D4BC6A"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52</w:t>
            </w:r>
            <w:r>
              <w:rPr>
                <w:rFonts w:ascii="Calibri" w:eastAsia="Times New Roman" w:hAnsi="Calibri" w:cs="Times New Roman"/>
                <w:sz w:val="20"/>
                <w:szCs w:val="20"/>
                <w:lang w:eastAsia="en-AU"/>
              </w:rPr>
              <w:t>1</w:t>
            </w:r>
            <w:r w:rsidRPr="00CB3202">
              <w:rPr>
                <w:rFonts w:ascii="Calibri" w:eastAsia="Times New Roman" w:hAnsi="Calibri" w:cs="Times New Roman"/>
                <w:sz w:val="20"/>
                <w:szCs w:val="20"/>
                <w:lang w:eastAsia="en-AU"/>
              </w:rPr>
              <w:t>.</w:t>
            </w:r>
            <w:r>
              <w:rPr>
                <w:rFonts w:ascii="Calibri" w:eastAsia="Times New Roman" w:hAnsi="Calibri" w:cs="Times New Roman"/>
                <w:sz w:val="20"/>
                <w:szCs w:val="20"/>
                <w:lang w:eastAsia="en-AU"/>
              </w:rPr>
              <w:t>5</w:t>
            </w:r>
          </w:p>
        </w:tc>
        <w:tc>
          <w:tcPr>
            <w:tcW w:w="1237" w:type="pct"/>
            <w:tcBorders>
              <w:top w:val="nil"/>
              <w:left w:val="nil"/>
              <w:bottom w:val="nil"/>
              <w:right w:val="nil"/>
            </w:tcBorders>
            <w:shd w:val="clear" w:color="auto" w:fill="auto"/>
          </w:tcPr>
          <w:p w14:paraId="564D0234"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Pr>
                <w:rFonts w:ascii="Calibri" w:eastAsia="Times New Roman" w:hAnsi="Calibri" w:cs="Times New Roman"/>
                <w:sz w:val="20"/>
                <w:szCs w:val="20"/>
                <w:lang w:eastAsia="en-AU"/>
              </w:rPr>
              <w:t>M</w:t>
            </w:r>
            <w:r w:rsidRPr="00CB3202">
              <w:rPr>
                <w:rFonts w:ascii="Calibri" w:eastAsia="Times New Roman" w:hAnsi="Calibri" w:cs="Times New Roman"/>
                <w:sz w:val="20"/>
                <w:szCs w:val="20"/>
                <w:lang w:eastAsia="en-AU"/>
              </w:rPr>
              <w:t>ay, Nov</w:t>
            </w:r>
          </w:p>
        </w:tc>
      </w:tr>
      <w:tr w:rsidR="00A60D4B" w:rsidRPr="00CB3202" w14:paraId="30353F4D" w14:textId="77777777" w:rsidTr="00A60D4B">
        <w:tc>
          <w:tcPr>
            <w:tcW w:w="940" w:type="pct"/>
            <w:tcBorders>
              <w:top w:val="nil"/>
              <w:left w:val="nil"/>
              <w:bottom w:val="nil"/>
              <w:right w:val="nil"/>
            </w:tcBorders>
            <w:shd w:val="clear" w:color="auto" w:fill="auto"/>
          </w:tcPr>
          <w:p w14:paraId="1FC55D05"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3.00%</w:t>
            </w:r>
          </w:p>
        </w:tc>
        <w:tc>
          <w:tcPr>
            <w:tcW w:w="941" w:type="pct"/>
            <w:tcBorders>
              <w:top w:val="nil"/>
              <w:left w:val="nil"/>
              <w:bottom w:val="nil"/>
              <w:right w:val="nil"/>
            </w:tcBorders>
            <w:shd w:val="clear" w:color="auto" w:fill="auto"/>
          </w:tcPr>
          <w:p w14:paraId="718E3924"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Apr 2028</w:t>
            </w:r>
          </w:p>
        </w:tc>
        <w:tc>
          <w:tcPr>
            <w:tcW w:w="941" w:type="pct"/>
            <w:tcBorders>
              <w:top w:val="nil"/>
              <w:left w:val="nil"/>
              <w:bottom w:val="nil"/>
              <w:right w:val="nil"/>
            </w:tcBorders>
            <w:shd w:val="clear" w:color="auto" w:fill="auto"/>
          </w:tcPr>
          <w:p w14:paraId="78332059"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550</w:t>
            </w:r>
          </w:p>
        </w:tc>
        <w:tc>
          <w:tcPr>
            <w:tcW w:w="941" w:type="pct"/>
            <w:tcBorders>
              <w:top w:val="nil"/>
              <w:left w:val="nil"/>
              <w:bottom w:val="nil"/>
              <w:right w:val="nil"/>
            </w:tcBorders>
            <w:shd w:val="clear" w:color="auto" w:fill="auto"/>
          </w:tcPr>
          <w:p w14:paraId="5C6CE35A"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54</w:t>
            </w:r>
            <w:r>
              <w:rPr>
                <w:rFonts w:ascii="Calibri" w:eastAsia="Times New Roman" w:hAnsi="Calibri" w:cs="Times New Roman"/>
                <w:sz w:val="20"/>
                <w:szCs w:val="20"/>
                <w:lang w:eastAsia="en-AU"/>
              </w:rPr>
              <w:t>2</w:t>
            </w:r>
            <w:r w:rsidRPr="00CB3202">
              <w:rPr>
                <w:rFonts w:ascii="Calibri" w:eastAsia="Times New Roman" w:hAnsi="Calibri" w:cs="Times New Roman"/>
                <w:sz w:val="20"/>
                <w:szCs w:val="20"/>
                <w:lang w:eastAsia="en-AU"/>
              </w:rPr>
              <w:t>.0</w:t>
            </w:r>
          </w:p>
        </w:tc>
        <w:tc>
          <w:tcPr>
            <w:tcW w:w="1237" w:type="pct"/>
            <w:tcBorders>
              <w:top w:val="nil"/>
              <w:left w:val="nil"/>
              <w:bottom w:val="nil"/>
              <w:right w:val="nil"/>
            </w:tcBorders>
            <w:shd w:val="clear" w:color="auto" w:fill="auto"/>
          </w:tcPr>
          <w:p w14:paraId="585AD89F"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Apr, Oct</w:t>
            </w:r>
          </w:p>
        </w:tc>
      </w:tr>
      <w:tr w:rsidR="00A60D4B" w:rsidRPr="00CB3202" w14:paraId="39660901" w14:textId="77777777" w:rsidTr="00A60D4B">
        <w:tc>
          <w:tcPr>
            <w:tcW w:w="940" w:type="pct"/>
            <w:tcBorders>
              <w:top w:val="nil"/>
              <w:left w:val="nil"/>
              <w:bottom w:val="nil"/>
              <w:right w:val="nil"/>
            </w:tcBorders>
            <w:shd w:val="clear" w:color="auto" w:fill="auto"/>
          </w:tcPr>
          <w:p w14:paraId="05CA4A43"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2.25%</w:t>
            </w:r>
          </w:p>
        </w:tc>
        <w:tc>
          <w:tcPr>
            <w:tcW w:w="941" w:type="pct"/>
            <w:tcBorders>
              <w:top w:val="nil"/>
              <w:left w:val="nil"/>
              <w:bottom w:val="nil"/>
              <w:right w:val="nil"/>
            </w:tcBorders>
            <w:shd w:val="clear" w:color="auto" w:fill="auto"/>
          </w:tcPr>
          <w:p w14:paraId="3C8FA549"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May 2029</w:t>
            </w:r>
          </w:p>
        </w:tc>
        <w:tc>
          <w:tcPr>
            <w:tcW w:w="941" w:type="pct"/>
            <w:tcBorders>
              <w:top w:val="nil"/>
              <w:left w:val="nil"/>
              <w:bottom w:val="nil"/>
              <w:right w:val="nil"/>
            </w:tcBorders>
            <w:shd w:val="clear" w:color="auto" w:fill="auto"/>
          </w:tcPr>
          <w:p w14:paraId="6DC4BD28"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900</w:t>
            </w:r>
          </w:p>
        </w:tc>
        <w:tc>
          <w:tcPr>
            <w:tcW w:w="941" w:type="pct"/>
            <w:tcBorders>
              <w:top w:val="nil"/>
              <w:left w:val="nil"/>
              <w:bottom w:val="nil"/>
              <w:right w:val="nil"/>
            </w:tcBorders>
            <w:shd w:val="clear" w:color="auto" w:fill="auto"/>
          </w:tcPr>
          <w:p w14:paraId="2F9986FE"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902.</w:t>
            </w:r>
            <w:r>
              <w:rPr>
                <w:rFonts w:ascii="Calibri" w:eastAsia="Times New Roman" w:hAnsi="Calibri" w:cs="Times New Roman"/>
                <w:sz w:val="20"/>
                <w:szCs w:val="20"/>
                <w:lang w:eastAsia="en-AU"/>
              </w:rPr>
              <w:t>4</w:t>
            </w:r>
          </w:p>
        </w:tc>
        <w:tc>
          <w:tcPr>
            <w:tcW w:w="1237" w:type="pct"/>
            <w:tcBorders>
              <w:top w:val="nil"/>
              <w:left w:val="nil"/>
              <w:bottom w:val="nil"/>
              <w:right w:val="nil"/>
            </w:tcBorders>
            <w:shd w:val="clear" w:color="auto" w:fill="auto"/>
          </w:tcPr>
          <w:p w14:paraId="2FDC81A3"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Pr>
                <w:rFonts w:ascii="Calibri" w:eastAsia="Times New Roman" w:hAnsi="Calibri" w:cs="Times New Roman"/>
                <w:sz w:val="20"/>
                <w:szCs w:val="20"/>
                <w:lang w:eastAsia="en-AU"/>
              </w:rPr>
              <w:t>M</w:t>
            </w:r>
            <w:r w:rsidRPr="00CB3202">
              <w:rPr>
                <w:rFonts w:ascii="Calibri" w:eastAsia="Times New Roman" w:hAnsi="Calibri" w:cs="Times New Roman"/>
                <w:sz w:val="20"/>
                <w:szCs w:val="20"/>
                <w:lang w:eastAsia="en-AU"/>
              </w:rPr>
              <w:t>ay, Nov</w:t>
            </w:r>
          </w:p>
        </w:tc>
      </w:tr>
      <w:tr w:rsidR="00A60D4B" w:rsidRPr="00CB3202" w14:paraId="05643F9E" w14:textId="77777777" w:rsidTr="00A60D4B">
        <w:tc>
          <w:tcPr>
            <w:tcW w:w="940" w:type="pct"/>
            <w:tcBorders>
              <w:top w:val="nil"/>
              <w:left w:val="nil"/>
              <w:bottom w:val="nil"/>
              <w:right w:val="nil"/>
            </w:tcBorders>
            <w:shd w:val="clear" w:color="auto" w:fill="auto"/>
          </w:tcPr>
          <w:p w14:paraId="1A744D72"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Pr>
                <w:rFonts w:ascii="Calibri" w:eastAsia="Times New Roman" w:hAnsi="Calibri" w:cs="Times New Roman"/>
                <w:sz w:val="20"/>
                <w:szCs w:val="20"/>
                <w:lang w:eastAsia="en-AU"/>
              </w:rPr>
              <w:t>1.75%</w:t>
            </w:r>
          </w:p>
        </w:tc>
        <w:tc>
          <w:tcPr>
            <w:tcW w:w="941" w:type="pct"/>
            <w:tcBorders>
              <w:top w:val="nil"/>
              <w:left w:val="nil"/>
              <w:bottom w:val="nil"/>
              <w:right w:val="nil"/>
            </w:tcBorders>
            <w:shd w:val="clear" w:color="auto" w:fill="auto"/>
          </w:tcPr>
          <w:p w14:paraId="7ACBDF55"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Pr>
                <w:rFonts w:ascii="Calibri" w:eastAsia="Times New Roman" w:hAnsi="Calibri" w:cs="Times New Roman"/>
                <w:sz w:val="20"/>
                <w:szCs w:val="20"/>
                <w:lang w:eastAsia="en-AU"/>
              </w:rPr>
              <w:t>May 2030</w:t>
            </w:r>
          </w:p>
        </w:tc>
        <w:tc>
          <w:tcPr>
            <w:tcW w:w="941" w:type="pct"/>
            <w:tcBorders>
              <w:top w:val="nil"/>
              <w:left w:val="nil"/>
              <w:bottom w:val="nil"/>
              <w:right w:val="nil"/>
            </w:tcBorders>
            <w:shd w:val="clear" w:color="auto" w:fill="auto"/>
          </w:tcPr>
          <w:p w14:paraId="7A43C6AC"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Pr>
                <w:rFonts w:ascii="Calibri" w:eastAsia="Times New Roman" w:hAnsi="Calibri" w:cs="Times New Roman"/>
                <w:sz w:val="20"/>
                <w:szCs w:val="20"/>
                <w:lang w:eastAsia="en-AU"/>
              </w:rPr>
              <w:t>1,000</w:t>
            </w:r>
          </w:p>
        </w:tc>
        <w:tc>
          <w:tcPr>
            <w:tcW w:w="941" w:type="pct"/>
            <w:tcBorders>
              <w:top w:val="nil"/>
              <w:left w:val="nil"/>
              <w:bottom w:val="nil"/>
              <w:right w:val="nil"/>
            </w:tcBorders>
            <w:shd w:val="clear" w:color="auto" w:fill="auto"/>
          </w:tcPr>
          <w:p w14:paraId="1529ABFF"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Pr>
                <w:rFonts w:ascii="Calibri" w:eastAsia="Times New Roman" w:hAnsi="Calibri" w:cs="Times New Roman"/>
                <w:sz w:val="20"/>
                <w:szCs w:val="20"/>
                <w:lang w:eastAsia="en-AU"/>
              </w:rPr>
              <w:t>996.7</w:t>
            </w:r>
          </w:p>
        </w:tc>
        <w:tc>
          <w:tcPr>
            <w:tcW w:w="1237" w:type="pct"/>
            <w:tcBorders>
              <w:top w:val="nil"/>
              <w:left w:val="nil"/>
              <w:bottom w:val="nil"/>
              <w:right w:val="nil"/>
            </w:tcBorders>
            <w:shd w:val="clear" w:color="auto" w:fill="auto"/>
          </w:tcPr>
          <w:p w14:paraId="7AB824AF" w14:textId="77777777" w:rsidR="00A60D4B" w:rsidRDefault="00A60D4B" w:rsidP="00A60D4B">
            <w:pPr>
              <w:spacing w:after="0" w:line="240" w:lineRule="auto"/>
              <w:ind w:left="227" w:hanging="227"/>
              <w:jc w:val="right"/>
              <w:rPr>
                <w:rFonts w:ascii="Calibri" w:eastAsia="Times New Roman" w:hAnsi="Calibri" w:cs="Times New Roman"/>
                <w:sz w:val="20"/>
                <w:szCs w:val="20"/>
                <w:lang w:eastAsia="en-AU"/>
              </w:rPr>
            </w:pPr>
            <w:r>
              <w:rPr>
                <w:rFonts w:ascii="Calibri" w:eastAsia="Times New Roman" w:hAnsi="Calibri" w:cs="Times New Roman"/>
                <w:sz w:val="20"/>
                <w:szCs w:val="20"/>
                <w:lang w:eastAsia="en-AU"/>
              </w:rPr>
              <w:t>May, Nov</w:t>
            </w:r>
          </w:p>
        </w:tc>
      </w:tr>
      <w:tr w:rsidR="00A60D4B" w:rsidRPr="00CD0073" w14:paraId="674699B4" w14:textId="77777777" w:rsidTr="00A60D4B">
        <w:tc>
          <w:tcPr>
            <w:tcW w:w="940" w:type="pct"/>
            <w:tcBorders>
              <w:top w:val="nil"/>
              <w:left w:val="nil"/>
              <w:right w:val="nil"/>
            </w:tcBorders>
            <w:shd w:val="clear" w:color="auto" w:fill="auto"/>
          </w:tcPr>
          <w:p w14:paraId="71E9558E"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1.75%</w:t>
            </w:r>
          </w:p>
        </w:tc>
        <w:tc>
          <w:tcPr>
            <w:tcW w:w="941" w:type="pct"/>
            <w:tcBorders>
              <w:top w:val="nil"/>
              <w:left w:val="nil"/>
              <w:right w:val="nil"/>
            </w:tcBorders>
            <w:shd w:val="clear" w:color="auto" w:fill="auto"/>
          </w:tcPr>
          <w:p w14:paraId="1F841B87"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Oct 2031</w:t>
            </w:r>
          </w:p>
        </w:tc>
        <w:tc>
          <w:tcPr>
            <w:tcW w:w="941" w:type="pct"/>
            <w:tcBorders>
              <w:top w:val="nil"/>
              <w:left w:val="nil"/>
              <w:right w:val="nil"/>
            </w:tcBorders>
            <w:shd w:val="clear" w:color="auto" w:fill="auto"/>
          </w:tcPr>
          <w:p w14:paraId="2A20D619"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1,000</w:t>
            </w:r>
          </w:p>
        </w:tc>
        <w:tc>
          <w:tcPr>
            <w:tcW w:w="941" w:type="pct"/>
            <w:tcBorders>
              <w:top w:val="nil"/>
              <w:left w:val="nil"/>
              <w:right w:val="nil"/>
            </w:tcBorders>
            <w:shd w:val="clear" w:color="auto" w:fill="auto"/>
          </w:tcPr>
          <w:p w14:paraId="48C23E92" w14:textId="77777777" w:rsidR="00A60D4B" w:rsidRPr="00CB3202"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99</w:t>
            </w:r>
            <w:r>
              <w:rPr>
                <w:rFonts w:ascii="Calibri" w:eastAsia="Times New Roman" w:hAnsi="Calibri" w:cs="Times New Roman"/>
                <w:sz w:val="20"/>
                <w:szCs w:val="20"/>
                <w:lang w:eastAsia="en-AU"/>
              </w:rPr>
              <w:t>1</w:t>
            </w:r>
            <w:r w:rsidRPr="00CB3202">
              <w:rPr>
                <w:rFonts w:ascii="Calibri" w:eastAsia="Times New Roman" w:hAnsi="Calibri" w:cs="Times New Roman"/>
                <w:sz w:val="20"/>
                <w:szCs w:val="20"/>
                <w:lang w:eastAsia="en-AU"/>
              </w:rPr>
              <w:t>.</w:t>
            </w:r>
            <w:r>
              <w:rPr>
                <w:rFonts w:ascii="Calibri" w:eastAsia="Times New Roman" w:hAnsi="Calibri" w:cs="Times New Roman"/>
                <w:sz w:val="20"/>
                <w:szCs w:val="20"/>
                <w:lang w:eastAsia="en-AU"/>
              </w:rPr>
              <w:t>0</w:t>
            </w:r>
          </w:p>
        </w:tc>
        <w:tc>
          <w:tcPr>
            <w:tcW w:w="1237" w:type="pct"/>
            <w:tcBorders>
              <w:top w:val="nil"/>
              <w:left w:val="nil"/>
              <w:right w:val="nil"/>
            </w:tcBorders>
            <w:shd w:val="clear" w:color="auto" w:fill="auto"/>
          </w:tcPr>
          <w:p w14:paraId="5EE73770" w14:textId="77777777" w:rsidR="00A60D4B" w:rsidRPr="00CD0073" w:rsidRDefault="00A60D4B" w:rsidP="00A60D4B">
            <w:pPr>
              <w:spacing w:after="0" w:line="240" w:lineRule="auto"/>
              <w:ind w:left="227" w:hanging="227"/>
              <w:jc w:val="right"/>
              <w:rPr>
                <w:rFonts w:ascii="Calibri" w:eastAsia="Times New Roman" w:hAnsi="Calibri" w:cs="Times New Roman"/>
                <w:sz w:val="20"/>
                <w:szCs w:val="20"/>
                <w:lang w:eastAsia="en-AU"/>
              </w:rPr>
            </w:pPr>
            <w:r w:rsidRPr="00CB3202">
              <w:rPr>
                <w:rFonts w:ascii="Calibri" w:eastAsia="Times New Roman" w:hAnsi="Calibri" w:cs="Times New Roman"/>
                <w:sz w:val="20"/>
                <w:szCs w:val="20"/>
                <w:lang w:eastAsia="en-AU"/>
              </w:rPr>
              <w:t>Apr, Oct</w:t>
            </w:r>
          </w:p>
        </w:tc>
      </w:tr>
    </w:tbl>
    <w:p w14:paraId="1A837C50" w14:textId="77777777" w:rsidR="00A60D4B" w:rsidRPr="00CD0073" w:rsidRDefault="00A60D4B" w:rsidP="00A60D4B">
      <w:pPr>
        <w:keepNext/>
        <w:spacing w:before="120" w:after="0" w:line="240" w:lineRule="auto"/>
        <w:rPr>
          <w:rFonts w:ascii="Calibri" w:eastAsia="Times New Roman" w:hAnsi="Calibri" w:cs="Times New Roman"/>
          <w:b/>
          <w:sz w:val="18"/>
          <w:szCs w:val="16"/>
          <w:lang w:val="x-none"/>
        </w:rPr>
      </w:pPr>
      <w:r w:rsidRPr="00CD0073">
        <w:rPr>
          <w:rFonts w:ascii="Calibri" w:eastAsia="Times New Roman" w:hAnsi="Calibri" w:cs="Times New Roman"/>
          <w:b/>
          <w:sz w:val="18"/>
          <w:szCs w:val="16"/>
          <w:lang w:val="x-none"/>
        </w:rPr>
        <w:t>Note:</w:t>
      </w:r>
    </w:p>
    <w:p w14:paraId="4144CE72" w14:textId="77777777" w:rsidR="00A60D4B" w:rsidRPr="00CD0073" w:rsidRDefault="00A60D4B" w:rsidP="00A60D4B">
      <w:pPr>
        <w:spacing w:after="0" w:line="240" w:lineRule="auto"/>
        <w:ind w:left="360" w:hanging="360"/>
        <w:rPr>
          <w:rFonts w:ascii="Calibri" w:eastAsia="Times New Roman" w:hAnsi="Calibri" w:cs="Times New Roman"/>
          <w:sz w:val="18"/>
          <w:szCs w:val="24"/>
        </w:rPr>
      </w:pPr>
      <w:r w:rsidRPr="00CD0073">
        <w:rPr>
          <w:rFonts w:ascii="Calibri" w:eastAsia="Times New Roman" w:hAnsi="Calibri" w:cs="Times New Roman"/>
          <w:sz w:val="18"/>
          <w:szCs w:val="24"/>
        </w:rPr>
        <w:t>1.</w:t>
      </w:r>
      <w:r w:rsidRPr="00CD0073">
        <w:rPr>
          <w:rFonts w:ascii="Calibri" w:eastAsia="Times New Roman" w:hAnsi="Calibri" w:cs="Times New Roman"/>
          <w:sz w:val="18"/>
          <w:szCs w:val="24"/>
        </w:rPr>
        <w:tab/>
      </w:r>
      <w:r w:rsidRPr="00CD0073">
        <w:rPr>
          <w:rFonts w:ascii="Calibri" w:eastAsia="Times New Roman" w:hAnsi="Calibri" w:cs="Times New Roman"/>
          <w:sz w:val="18"/>
          <w:szCs w:val="24"/>
          <w:lang w:val="x-none"/>
        </w:rPr>
        <w:t>Estimated capital value outstanding as at 3</w:t>
      </w:r>
      <w:r>
        <w:rPr>
          <w:rFonts w:ascii="Calibri" w:eastAsia="Times New Roman" w:hAnsi="Calibri" w:cs="Times New Roman"/>
          <w:sz w:val="18"/>
          <w:szCs w:val="24"/>
        </w:rPr>
        <w:t>0</w:t>
      </w:r>
      <w:r w:rsidRPr="00CD0073">
        <w:rPr>
          <w:rFonts w:ascii="Calibri" w:eastAsia="Times New Roman" w:hAnsi="Calibri" w:cs="Times New Roman"/>
          <w:sz w:val="18"/>
          <w:szCs w:val="24"/>
          <w:lang w:val="x-none"/>
        </w:rPr>
        <w:t xml:space="preserve"> </w:t>
      </w:r>
      <w:r>
        <w:rPr>
          <w:rFonts w:ascii="Calibri" w:eastAsia="Times New Roman" w:hAnsi="Calibri" w:cs="Times New Roman"/>
          <w:sz w:val="18"/>
          <w:szCs w:val="24"/>
        </w:rPr>
        <w:t>June</w:t>
      </w:r>
      <w:r w:rsidRPr="00CD0073">
        <w:rPr>
          <w:rFonts w:ascii="Calibri" w:eastAsia="Times New Roman" w:hAnsi="Calibri" w:cs="Times New Roman"/>
          <w:sz w:val="18"/>
          <w:szCs w:val="24"/>
          <w:lang w:val="x-none"/>
        </w:rPr>
        <w:t xml:space="preserve"> 20</w:t>
      </w:r>
      <w:r w:rsidRPr="00CD0073">
        <w:rPr>
          <w:rFonts w:ascii="Calibri" w:eastAsia="Times New Roman" w:hAnsi="Calibri" w:cs="Times New Roman"/>
          <w:sz w:val="18"/>
          <w:szCs w:val="24"/>
        </w:rPr>
        <w:t>2</w:t>
      </w:r>
      <w:r>
        <w:rPr>
          <w:rFonts w:ascii="Calibri" w:eastAsia="Times New Roman" w:hAnsi="Calibri" w:cs="Times New Roman"/>
          <w:sz w:val="18"/>
          <w:szCs w:val="24"/>
        </w:rPr>
        <w:t>1</w:t>
      </w:r>
      <w:r w:rsidRPr="00CD0073">
        <w:rPr>
          <w:rFonts w:ascii="Calibri" w:eastAsia="Times New Roman" w:hAnsi="Calibri" w:cs="Times New Roman"/>
          <w:sz w:val="18"/>
          <w:szCs w:val="24"/>
          <w:lang w:val="x-none"/>
        </w:rPr>
        <w:t>. The difference between principal outstanding and the face value reflects the unamortised issuance premium or discount.</w:t>
      </w:r>
      <w:r w:rsidRPr="00CD0073">
        <w:rPr>
          <w:rFonts w:ascii="Calibri" w:eastAsia="Times New Roman" w:hAnsi="Calibri" w:cs="Times New Roman"/>
          <w:sz w:val="18"/>
          <w:szCs w:val="24"/>
        </w:rPr>
        <w:t xml:space="preserve"> The face value is repaid at maturity.</w:t>
      </w:r>
    </w:p>
    <w:p w14:paraId="07B0CCE6" w14:textId="77777777" w:rsidR="00A60D4B" w:rsidRPr="00CD0073" w:rsidRDefault="00A60D4B" w:rsidP="00A60D4B">
      <w:pPr>
        <w:spacing w:before="120" w:after="120" w:line="240" w:lineRule="auto"/>
        <w:rPr>
          <w:sz w:val="24"/>
        </w:rPr>
      </w:pPr>
      <w:r w:rsidRPr="00CD0073">
        <w:rPr>
          <w:sz w:val="24"/>
        </w:rPr>
        <w:t>Table 3.</w:t>
      </w:r>
      <w:r>
        <w:rPr>
          <w:sz w:val="24"/>
        </w:rPr>
        <w:t>8.11</w:t>
      </w:r>
      <w:r w:rsidRPr="00CD0073">
        <w:rPr>
          <w:sz w:val="24"/>
        </w:rPr>
        <w:t xml:space="preserve"> provides details of the Territory’s estimated outstanding market issued inflation bonds as at 3</w:t>
      </w:r>
      <w:r>
        <w:rPr>
          <w:sz w:val="24"/>
        </w:rPr>
        <w:t>0 June</w:t>
      </w:r>
      <w:r w:rsidRPr="00CD0073">
        <w:rPr>
          <w:sz w:val="24"/>
        </w:rPr>
        <w:t xml:space="preserve"> 202</w:t>
      </w:r>
      <w:r>
        <w:rPr>
          <w:sz w:val="24"/>
        </w:rPr>
        <w:t>1</w:t>
      </w:r>
      <w:r w:rsidRPr="00CD0073">
        <w:rPr>
          <w:sz w:val="24"/>
        </w:rPr>
        <w:t>.</w:t>
      </w:r>
    </w:p>
    <w:p w14:paraId="24B15319" w14:textId="246A68D6" w:rsidR="00A60D4B" w:rsidRPr="00FF75BA" w:rsidRDefault="00A60D4B" w:rsidP="00A60D4B">
      <w:pPr>
        <w:pStyle w:val="Caption"/>
        <w:keepLines/>
      </w:pPr>
      <w:r>
        <w:lastRenderedPageBreak/>
        <w:t xml:space="preserve">Table </w:t>
      </w:r>
      <w:r w:rsidR="00FB4E5C">
        <w:fldChar w:fldCharType="begin"/>
      </w:r>
      <w:r w:rsidR="00FB4E5C">
        <w:instrText xml:space="preserve"> STYLEREF 2 \s </w:instrText>
      </w:r>
      <w:r w:rsidR="00FB4E5C">
        <w:fldChar w:fldCharType="separate"/>
      </w:r>
      <w:r w:rsidR="00F12A80">
        <w:rPr>
          <w:noProof/>
        </w:rPr>
        <w:t>3.8</w:t>
      </w:r>
      <w:r w:rsidR="00FB4E5C">
        <w:rPr>
          <w:noProof/>
        </w:rPr>
        <w:fldChar w:fldCharType="end"/>
      </w:r>
      <w:r>
        <w:t>.</w:t>
      </w:r>
      <w:r w:rsidR="00FB4E5C">
        <w:fldChar w:fldCharType="begin"/>
      </w:r>
      <w:r w:rsidR="00FB4E5C">
        <w:instrText xml:space="preserve"> SEQ Table \* ARABIC \s 2 </w:instrText>
      </w:r>
      <w:r w:rsidR="00FB4E5C">
        <w:fldChar w:fldCharType="separate"/>
      </w:r>
      <w:r w:rsidR="00F12A80">
        <w:rPr>
          <w:noProof/>
        </w:rPr>
        <w:t>11</w:t>
      </w:r>
      <w:r w:rsidR="00FB4E5C">
        <w:rPr>
          <w:noProof/>
        </w:rPr>
        <w:fldChar w:fldCharType="end"/>
      </w:r>
      <w:r w:rsidRPr="000844D3">
        <w:t>: Inflation linked bonds on issue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1583"/>
        <w:gridCol w:w="1583"/>
        <w:gridCol w:w="1583"/>
        <w:gridCol w:w="3165"/>
        <w:gridCol w:w="32"/>
      </w:tblGrid>
      <w:tr w:rsidR="00A60D4B" w:rsidRPr="000844D3" w14:paraId="2A176900" w14:textId="77777777" w:rsidTr="00A60D4B">
        <w:trPr>
          <w:tblHeader/>
        </w:trPr>
        <w:tc>
          <w:tcPr>
            <w:tcW w:w="598" w:type="pct"/>
            <w:tcBorders>
              <w:left w:val="nil"/>
              <w:bottom w:val="single" w:sz="4" w:space="0" w:color="auto"/>
              <w:right w:val="nil"/>
            </w:tcBorders>
            <w:shd w:val="clear" w:color="auto" w:fill="472D8C"/>
          </w:tcPr>
          <w:p w14:paraId="41CD9AC2" w14:textId="77777777" w:rsidR="00A60D4B" w:rsidRPr="00292DE3" w:rsidRDefault="00A60D4B" w:rsidP="00A60D4B">
            <w:pPr>
              <w:keepNext/>
              <w:keepLines/>
              <w:spacing w:after="0" w:line="240" w:lineRule="auto"/>
              <w:ind w:left="227" w:hanging="227"/>
              <w:jc w:val="right"/>
              <w:rPr>
                <w:rFonts w:ascii="Calibri" w:eastAsia="Times New Roman" w:hAnsi="Calibri" w:cs="Times New Roman"/>
                <w:b/>
                <w:color w:val="FFFFFF" w:themeColor="background1"/>
                <w:sz w:val="20"/>
                <w:szCs w:val="20"/>
                <w:lang w:eastAsia="en-AU"/>
              </w:rPr>
            </w:pPr>
            <w:r w:rsidRPr="00292DE3">
              <w:rPr>
                <w:rFonts w:ascii="Calibri" w:eastAsia="Times New Roman" w:hAnsi="Calibri" w:cs="Times New Roman"/>
                <w:b/>
                <w:color w:val="FFFFFF" w:themeColor="background1"/>
                <w:sz w:val="20"/>
                <w:szCs w:val="20"/>
                <w:lang w:eastAsia="en-AU"/>
              </w:rPr>
              <w:t>Coupon</w:t>
            </w:r>
          </w:p>
        </w:tc>
        <w:tc>
          <w:tcPr>
            <w:tcW w:w="877" w:type="pct"/>
            <w:tcBorders>
              <w:left w:val="nil"/>
              <w:bottom w:val="single" w:sz="4" w:space="0" w:color="auto"/>
              <w:right w:val="nil"/>
            </w:tcBorders>
            <w:shd w:val="clear" w:color="auto" w:fill="472D8C"/>
          </w:tcPr>
          <w:p w14:paraId="07B6D28E" w14:textId="77777777" w:rsidR="00A60D4B" w:rsidRPr="00292DE3" w:rsidRDefault="00A60D4B" w:rsidP="00A60D4B">
            <w:pPr>
              <w:keepNext/>
              <w:keepLines/>
              <w:spacing w:after="0" w:line="240" w:lineRule="auto"/>
              <w:ind w:left="227" w:hanging="227"/>
              <w:jc w:val="right"/>
              <w:rPr>
                <w:rFonts w:ascii="Calibri" w:eastAsia="Times New Roman" w:hAnsi="Calibri" w:cs="Times New Roman"/>
                <w:b/>
                <w:color w:val="FFFFFF" w:themeColor="background1"/>
                <w:sz w:val="20"/>
                <w:szCs w:val="20"/>
                <w:lang w:eastAsia="en-AU"/>
              </w:rPr>
            </w:pPr>
            <w:r w:rsidRPr="00292DE3">
              <w:rPr>
                <w:rFonts w:ascii="Calibri" w:eastAsia="Times New Roman" w:hAnsi="Calibri" w:cs="Times New Roman"/>
                <w:b/>
                <w:color w:val="FFFFFF" w:themeColor="background1"/>
                <w:sz w:val="20"/>
                <w:szCs w:val="20"/>
                <w:lang w:eastAsia="en-AU"/>
              </w:rPr>
              <w:t>Maturity</w:t>
            </w:r>
          </w:p>
        </w:tc>
        <w:tc>
          <w:tcPr>
            <w:tcW w:w="877" w:type="pct"/>
            <w:tcBorders>
              <w:left w:val="nil"/>
              <w:bottom w:val="single" w:sz="4" w:space="0" w:color="auto"/>
              <w:right w:val="nil"/>
            </w:tcBorders>
            <w:shd w:val="clear" w:color="auto" w:fill="472D8C"/>
          </w:tcPr>
          <w:p w14:paraId="0BB84F68" w14:textId="77777777" w:rsidR="00A60D4B" w:rsidRPr="00292DE3" w:rsidRDefault="00A60D4B" w:rsidP="00A60D4B">
            <w:pPr>
              <w:keepNext/>
              <w:keepLines/>
              <w:spacing w:after="0" w:line="240" w:lineRule="auto"/>
              <w:ind w:left="227" w:hanging="227"/>
              <w:jc w:val="right"/>
              <w:rPr>
                <w:rFonts w:ascii="Calibri" w:eastAsia="Times New Roman" w:hAnsi="Calibri" w:cs="Times New Roman"/>
                <w:b/>
                <w:color w:val="FFFFFF" w:themeColor="background1"/>
                <w:sz w:val="20"/>
                <w:szCs w:val="20"/>
                <w:lang w:eastAsia="en-AU"/>
              </w:rPr>
            </w:pPr>
            <w:r w:rsidRPr="00292DE3">
              <w:rPr>
                <w:rFonts w:ascii="Calibri" w:eastAsia="Times New Roman" w:hAnsi="Calibri" w:cs="Times New Roman"/>
                <w:b/>
                <w:color w:val="FFFFFF" w:themeColor="background1"/>
                <w:sz w:val="20"/>
                <w:szCs w:val="20"/>
                <w:lang w:eastAsia="en-AU"/>
              </w:rPr>
              <w:t>Face value</w:t>
            </w:r>
          </w:p>
          <w:p w14:paraId="6D1CF4F9" w14:textId="77777777" w:rsidR="001E03FF" w:rsidRDefault="001E03FF" w:rsidP="00A60D4B">
            <w:pPr>
              <w:keepNext/>
              <w:keepLines/>
              <w:spacing w:after="0" w:line="240" w:lineRule="auto"/>
              <w:ind w:left="227" w:hanging="227"/>
              <w:jc w:val="right"/>
              <w:rPr>
                <w:rFonts w:ascii="Calibri" w:eastAsia="Times New Roman" w:hAnsi="Calibri" w:cs="Times New Roman"/>
                <w:b/>
                <w:color w:val="FFFFFF" w:themeColor="background1"/>
                <w:sz w:val="20"/>
                <w:szCs w:val="20"/>
                <w:lang w:eastAsia="en-AU"/>
              </w:rPr>
            </w:pPr>
          </w:p>
          <w:p w14:paraId="38CAF6A3" w14:textId="0D00A740" w:rsidR="00A60D4B" w:rsidRPr="00292DE3" w:rsidRDefault="00A60D4B" w:rsidP="00A60D4B">
            <w:pPr>
              <w:keepNext/>
              <w:keepLines/>
              <w:spacing w:after="0" w:line="240" w:lineRule="auto"/>
              <w:ind w:left="227" w:hanging="227"/>
              <w:jc w:val="right"/>
              <w:rPr>
                <w:rFonts w:ascii="Calibri" w:eastAsia="Times New Roman" w:hAnsi="Calibri" w:cs="Times New Roman"/>
                <w:b/>
                <w:color w:val="FFFFFF" w:themeColor="background1"/>
                <w:sz w:val="20"/>
                <w:szCs w:val="20"/>
                <w:lang w:eastAsia="en-AU"/>
              </w:rPr>
            </w:pPr>
            <w:r w:rsidRPr="00292DE3">
              <w:rPr>
                <w:rFonts w:ascii="Calibri" w:eastAsia="Times New Roman" w:hAnsi="Calibri" w:cs="Times New Roman"/>
                <w:b/>
                <w:color w:val="FFFFFF" w:themeColor="background1"/>
                <w:sz w:val="20"/>
                <w:szCs w:val="20"/>
                <w:lang w:eastAsia="en-AU"/>
              </w:rPr>
              <w:t>$m</w:t>
            </w:r>
          </w:p>
        </w:tc>
        <w:tc>
          <w:tcPr>
            <w:tcW w:w="877" w:type="pct"/>
            <w:tcBorders>
              <w:left w:val="nil"/>
              <w:bottom w:val="single" w:sz="4" w:space="0" w:color="auto"/>
              <w:right w:val="nil"/>
            </w:tcBorders>
            <w:shd w:val="clear" w:color="auto" w:fill="472D8C"/>
          </w:tcPr>
          <w:p w14:paraId="5D64AB59" w14:textId="77777777" w:rsidR="00A60D4B" w:rsidRPr="00292DE3" w:rsidRDefault="00A60D4B" w:rsidP="00A60D4B">
            <w:pPr>
              <w:keepNext/>
              <w:keepLines/>
              <w:spacing w:after="0" w:line="240" w:lineRule="auto"/>
              <w:ind w:left="227" w:hanging="227"/>
              <w:jc w:val="right"/>
              <w:rPr>
                <w:rFonts w:ascii="Calibri" w:eastAsia="Times New Roman" w:hAnsi="Calibri" w:cs="Times New Roman"/>
                <w:b/>
                <w:color w:val="FFFFFF" w:themeColor="background1"/>
                <w:sz w:val="20"/>
                <w:szCs w:val="20"/>
                <w:lang w:eastAsia="en-AU"/>
              </w:rPr>
            </w:pPr>
            <w:r w:rsidRPr="00292DE3">
              <w:rPr>
                <w:rFonts w:ascii="Calibri" w:eastAsia="Times New Roman" w:hAnsi="Calibri" w:cs="Times New Roman"/>
                <w:b/>
                <w:color w:val="FFFFFF" w:themeColor="background1"/>
                <w:sz w:val="20"/>
                <w:szCs w:val="20"/>
                <w:lang w:eastAsia="en-AU"/>
              </w:rPr>
              <w:t>Principal</w:t>
            </w:r>
          </w:p>
          <w:p w14:paraId="7A0E50E4" w14:textId="77777777" w:rsidR="00A60D4B" w:rsidRPr="00292DE3" w:rsidRDefault="00A60D4B" w:rsidP="00A60D4B">
            <w:pPr>
              <w:keepNext/>
              <w:keepLines/>
              <w:spacing w:after="0" w:line="240" w:lineRule="auto"/>
              <w:ind w:left="227" w:hanging="227"/>
              <w:jc w:val="right"/>
              <w:rPr>
                <w:rFonts w:ascii="Calibri" w:eastAsia="Times New Roman" w:hAnsi="Calibri" w:cs="Times New Roman"/>
                <w:b/>
                <w:color w:val="FFFFFF" w:themeColor="background1"/>
                <w:sz w:val="20"/>
                <w:szCs w:val="20"/>
                <w:vertAlign w:val="superscript"/>
                <w:lang w:eastAsia="en-AU"/>
              </w:rPr>
            </w:pPr>
            <w:r w:rsidRPr="00292DE3">
              <w:rPr>
                <w:rFonts w:ascii="Calibri" w:eastAsia="Times New Roman" w:hAnsi="Calibri" w:cs="Times New Roman"/>
                <w:b/>
                <w:color w:val="FFFFFF" w:themeColor="background1"/>
                <w:sz w:val="20"/>
                <w:szCs w:val="20"/>
                <w:lang w:eastAsia="en-AU"/>
              </w:rPr>
              <w:t>outstanding</w:t>
            </w:r>
          </w:p>
          <w:p w14:paraId="124239AF" w14:textId="77777777" w:rsidR="00A60D4B" w:rsidRPr="00292DE3" w:rsidRDefault="00A60D4B" w:rsidP="00A60D4B">
            <w:pPr>
              <w:keepNext/>
              <w:keepLines/>
              <w:spacing w:after="0" w:line="240" w:lineRule="auto"/>
              <w:ind w:left="227" w:hanging="227"/>
              <w:jc w:val="right"/>
              <w:rPr>
                <w:rFonts w:ascii="Calibri" w:eastAsia="Times New Roman" w:hAnsi="Calibri" w:cs="Times New Roman"/>
                <w:b/>
                <w:color w:val="FFFFFF" w:themeColor="background1"/>
                <w:sz w:val="20"/>
                <w:szCs w:val="20"/>
                <w:vertAlign w:val="superscript"/>
                <w:lang w:eastAsia="en-AU"/>
              </w:rPr>
            </w:pPr>
            <w:r w:rsidRPr="00292DE3">
              <w:rPr>
                <w:rFonts w:ascii="Calibri" w:eastAsia="Times New Roman" w:hAnsi="Calibri" w:cs="Times New Roman"/>
                <w:b/>
                <w:color w:val="FFFFFF" w:themeColor="background1"/>
                <w:sz w:val="20"/>
                <w:szCs w:val="20"/>
                <w:lang w:eastAsia="en-AU"/>
              </w:rPr>
              <w:t>$m</w:t>
            </w:r>
          </w:p>
        </w:tc>
        <w:tc>
          <w:tcPr>
            <w:tcW w:w="1771" w:type="pct"/>
            <w:gridSpan w:val="2"/>
            <w:tcBorders>
              <w:left w:val="nil"/>
              <w:bottom w:val="single" w:sz="4" w:space="0" w:color="auto"/>
              <w:right w:val="nil"/>
            </w:tcBorders>
            <w:shd w:val="clear" w:color="auto" w:fill="472D8C"/>
          </w:tcPr>
          <w:p w14:paraId="11ABB5FC" w14:textId="77777777" w:rsidR="00A60D4B" w:rsidRPr="00292DE3" w:rsidRDefault="00A60D4B" w:rsidP="00A60D4B">
            <w:pPr>
              <w:keepNext/>
              <w:keepLines/>
              <w:spacing w:after="0" w:line="240" w:lineRule="auto"/>
              <w:ind w:left="227" w:hanging="227"/>
              <w:jc w:val="right"/>
              <w:rPr>
                <w:rFonts w:ascii="Calibri" w:eastAsia="Times New Roman" w:hAnsi="Calibri" w:cs="Times New Roman"/>
                <w:b/>
                <w:color w:val="FFFFFF" w:themeColor="background1"/>
                <w:sz w:val="20"/>
                <w:szCs w:val="20"/>
                <w:lang w:eastAsia="en-AU"/>
              </w:rPr>
            </w:pPr>
            <w:r w:rsidRPr="00292DE3">
              <w:rPr>
                <w:rFonts w:ascii="Calibri" w:eastAsia="Times New Roman" w:hAnsi="Calibri" w:cs="Times New Roman"/>
                <w:b/>
                <w:color w:val="FFFFFF" w:themeColor="background1"/>
                <w:sz w:val="20"/>
                <w:szCs w:val="20"/>
                <w:lang w:eastAsia="en-AU"/>
              </w:rPr>
              <w:t>Timing of payments</w:t>
            </w:r>
          </w:p>
          <w:p w14:paraId="03713BFF" w14:textId="77777777" w:rsidR="00A60D4B" w:rsidRPr="00292DE3" w:rsidRDefault="00A60D4B" w:rsidP="00A60D4B">
            <w:pPr>
              <w:keepNext/>
              <w:keepLines/>
              <w:spacing w:after="0" w:line="240" w:lineRule="auto"/>
              <w:ind w:left="227" w:hanging="227"/>
              <w:jc w:val="right"/>
              <w:rPr>
                <w:rFonts w:ascii="Calibri" w:eastAsia="Times New Roman" w:hAnsi="Calibri" w:cs="Times New Roman"/>
                <w:b/>
                <w:color w:val="FFFFFF" w:themeColor="background1"/>
                <w:sz w:val="20"/>
                <w:szCs w:val="20"/>
                <w:lang w:eastAsia="en-AU"/>
              </w:rPr>
            </w:pPr>
            <w:r w:rsidRPr="00292DE3">
              <w:rPr>
                <w:rFonts w:ascii="Calibri" w:eastAsia="Times New Roman" w:hAnsi="Calibri" w:cs="Times New Roman"/>
                <w:b/>
                <w:color w:val="FFFFFF" w:themeColor="background1"/>
                <w:sz w:val="20"/>
                <w:szCs w:val="20"/>
                <w:lang w:eastAsia="en-AU"/>
              </w:rPr>
              <w:t>(Quarterly)</w:t>
            </w:r>
          </w:p>
        </w:tc>
      </w:tr>
      <w:tr w:rsidR="00A60D4B" w:rsidRPr="000844D3" w14:paraId="15C54CB2" w14:textId="77777777" w:rsidTr="00A60D4B">
        <w:trPr>
          <w:gridAfter w:val="1"/>
          <w:wAfter w:w="18" w:type="pct"/>
        </w:trPr>
        <w:tc>
          <w:tcPr>
            <w:tcW w:w="598" w:type="pct"/>
            <w:tcBorders>
              <w:top w:val="single" w:sz="4" w:space="0" w:color="auto"/>
              <w:left w:val="nil"/>
              <w:bottom w:val="nil"/>
              <w:right w:val="nil"/>
            </w:tcBorders>
            <w:shd w:val="clear" w:color="auto" w:fill="auto"/>
          </w:tcPr>
          <w:p w14:paraId="5F23E3CA" w14:textId="77777777" w:rsidR="00A60D4B" w:rsidRPr="000844D3" w:rsidRDefault="00A60D4B" w:rsidP="00A60D4B">
            <w:pPr>
              <w:keepNext/>
              <w:keepLines/>
              <w:spacing w:after="0" w:line="240" w:lineRule="auto"/>
              <w:ind w:left="227" w:hanging="227"/>
              <w:jc w:val="right"/>
              <w:rPr>
                <w:rFonts w:ascii="Calibri" w:eastAsia="Times New Roman" w:hAnsi="Calibri" w:cs="Times New Roman"/>
                <w:sz w:val="20"/>
                <w:szCs w:val="20"/>
                <w:lang w:eastAsia="en-AU"/>
              </w:rPr>
            </w:pPr>
            <w:r w:rsidRPr="000844D3">
              <w:rPr>
                <w:rFonts w:ascii="Calibri" w:eastAsia="Times New Roman" w:hAnsi="Calibri" w:cs="Times New Roman"/>
                <w:sz w:val="20"/>
                <w:szCs w:val="20"/>
                <w:lang w:eastAsia="en-AU"/>
              </w:rPr>
              <w:t>2.83%</w:t>
            </w:r>
            <w:r w:rsidRPr="000844D3">
              <w:rPr>
                <w:rFonts w:ascii="Calibri" w:eastAsia="Times New Roman" w:hAnsi="Calibri" w:cs="Times New Roman"/>
                <w:sz w:val="20"/>
                <w:szCs w:val="20"/>
                <w:vertAlign w:val="superscript"/>
                <w:lang w:eastAsia="en-AU"/>
              </w:rPr>
              <w:t>1</w:t>
            </w:r>
          </w:p>
        </w:tc>
        <w:tc>
          <w:tcPr>
            <w:tcW w:w="877" w:type="pct"/>
            <w:tcBorders>
              <w:top w:val="single" w:sz="4" w:space="0" w:color="auto"/>
              <w:left w:val="nil"/>
              <w:bottom w:val="nil"/>
              <w:right w:val="nil"/>
            </w:tcBorders>
            <w:shd w:val="clear" w:color="auto" w:fill="auto"/>
          </w:tcPr>
          <w:p w14:paraId="7EE69E76" w14:textId="77777777" w:rsidR="00A60D4B" w:rsidRPr="000844D3" w:rsidRDefault="00A60D4B" w:rsidP="00A60D4B">
            <w:pPr>
              <w:keepNext/>
              <w:keepLines/>
              <w:spacing w:after="0" w:line="240" w:lineRule="auto"/>
              <w:ind w:left="227" w:hanging="227"/>
              <w:jc w:val="right"/>
              <w:rPr>
                <w:rFonts w:ascii="Calibri" w:eastAsia="Times New Roman" w:hAnsi="Calibri" w:cs="Times New Roman"/>
                <w:sz w:val="20"/>
                <w:szCs w:val="20"/>
                <w:lang w:eastAsia="en-AU"/>
              </w:rPr>
            </w:pPr>
            <w:r w:rsidRPr="000844D3">
              <w:rPr>
                <w:rFonts w:ascii="Calibri" w:eastAsia="Times New Roman" w:hAnsi="Calibri" w:cs="Times New Roman"/>
                <w:sz w:val="20"/>
                <w:szCs w:val="20"/>
                <w:lang w:eastAsia="en-AU"/>
              </w:rPr>
              <w:t>Jun 2048</w:t>
            </w:r>
          </w:p>
        </w:tc>
        <w:tc>
          <w:tcPr>
            <w:tcW w:w="877" w:type="pct"/>
            <w:tcBorders>
              <w:top w:val="single" w:sz="4" w:space="0" w:color="auto"/>
              <w:left w:val="nil"/>
              <w:bottom w:val="nil"/>
              <w:right w:val="nil"/>
            </w:tcBorders>
            <w:shd w:val="clear" w:color="auto" w:fill="auto"/>
          </w:tcPr>
          <w:p w14:paraId="705A0C27" w14:textId="77777777" w:rsidR="00A60D4B" w:rsidRPr="000844D3" w:rsidRDefault="00A60D4B" w:rsidP="00A60D4B">
            <w:pPr>
              <w:keepNext/>
              <w:keepLines/>
              <w:spacing w:after="0" w:line="240" w:lineRule="auto"/>
              <w:ind w:left="227" w:hanging="227"/>
              <w:jc w:val="right"/>
              <w:rPr>
                <w:rFonts w:ascii="Calibri" w:eastAsia="Times New Roman" w:hAnsi="Calibri" w:cs="Times New Roman"/>
                <w:sz w:val="20"/>
                <w:szCs w:val="20"/>
                <w:lang w:eastAsia="en-AU"/>
              </w:rPr>
            </w:pPr>
            <w:r w:rsidRPr="000844D3">
              <w:rPr>
                <w:rFonts w:ascii="Calibri" w:eastAsia="Times New Roman" w:hAnsi="Calibri" w:cs="Times New Roman"/>
                <w:sz w:val="20"/>
                <w:szCs w:val="20"/>
                <w:lang w:eastAsia="en-AU"/>
              </w:rPr>
              <w:t>420</w:t>
            </w:r>
          </w:p>
        </w:tc>
        <w:tc>
          <w:tcPr>
            <w:tcW w:w="877" w:type="pct"/>
            <w:tcBorders>
              <w:top w:val="single" w:sz="4" w:space="0" w:color="auto"/>
              <w:left w:val="nil"/>
              <w:bottom w:val="nil"/>
              <w:right w:val="nil"/>
            </w:tcBorders>
            <w:shd w:val="clear" w:color="auto" w:fill="auto"/>
          </w:tcPr>
          <w:p w14:paraId="4991149A" w14:textId="77777777" w:rsidR="00A60D4B" w:rsidRPr="000844D3" w:rsidRDefault="00A60D4B" w:rsidP="00A60D4B">
            <w:pPr>
              <w:keepNext/>
              <w:keepLines/>
              <w:spacing w:after="0" w:line="240" w:lineRule="auto"/>
              <w:ind w:left="227" w:hanging="227"/>
              <w:jc w:val="right"/>
              <w:rPr>
                <w:rFonts w:ascii="Calibri" w:eastAsia="Times New Roman" w:hAnsi="Calibri" w:cs="Times New Roman"/>
                <w:sz w:val="20"/>
                <w:szCs w:val="20"/>
                <w:lang w:eastAsia="en-AU"/>
              </w:rPr>
            </w:pPr>
            <w:r w:rsidRPr="000844D3">
              <w:rPr>
                <w:rFonts w:ascii="Calibri" w:eastAsia="Times New Roman" w:hAnsi="Calibri" w:cs="Times New Roman"/>
                <w:sz w:val="20"/>
                <w:szCs w:val="20"/>
                <w:lang w:eastAsia="en-AU"/>
              </w:rPr>
              <w:t>40</w:t>
            </w:r>
            <w:r>
              <w:rPr>
                <w:rFonts w:ascii="Calibri" w:eastAsia="Times New Roman" w:hAnsi="Calibri" w:cs="Times New Roman"/>
                <w:sz w:val="20"/>
                <w:szCs w:val="20"/>
                <w:lang w:eastAsia="en-AU"/>
              </w:rPr>
              <w:t>4.0</w:t>
            </w:r>
          </w:p>
        </w:tc>
        <w:tc>
          <w:tcPr>
            <w:tcW w:w="1753" w:type="pct"/>
            <w:tcBorders>
              <w:top w:val="single" w:sz="4" w:space="0" w:color="auto"/>
              <w:left w:val="nil"/>
              <w:bottom w:val="nil"/>
              <w:right w:val="nil"/>
            </w:tcBorders>
            <w:shd w:val="clear" w:color="auto" w:fill="auto"/>
          </w:tcPr>
          <w:p w14:paraId="5DD02917" w14:textId="77777777" w:rsidR="00A60D4B" w:rsidRPr="000844D3" w:rsidRDefault="00A60D4B" w:rsidP="00A60D4B">
            <w:pPr>
              <w:keepNext/>
              <w:keepLines/>
              <w:spacing w:after="0" w:line="240" w:lineRule="auto"/>
              <w:ind w:left="227" w:hanging="227"/>
              <w:jc w:val="right"/>
              <w:rPr>
                <w:rFonts w:ascii="Calibri" w:eastAsia="Times New Roman" w:hAnsi="Calibri" w:cs="Times New Roman"/>
                <w:sz w:val="20"/>
                <w:szCs w:val="20"/>
                <w:lang w:eastAsia="en-AU"/>
              </w:rPr>
            </w:pPr>
            <w:r w:rsidRPr="000844D3">
              <w:rPr>
                <w:rFonts w:ascii="Calibri" w:eastAsia="Times New Roman" w:hAnsi="Calibri" w:cs="Times New Roman"/>
                <w:sz w:val="20"/>
                <w:szCs w:val="20"/>
                <w:lang w:eastAsia="en-AU"/>
              </w:rPr>
              <w:t>Mar, Jun, Sep, Dec</w:t>
            </w:r>
          </w:p>
        </w:tc>
      </w:tr>
      <w:tr w:rsidR="00A60D4B" w:rsidRPr="00CD0073" w14:paraId="5DCCAE8E" w14:textId="77777777" w:rsidTr="00A60D4B">
        <w:trPr>
          <w:gridAfter w:val="1"/>
          <w:wAfter w:w="18" w:type="pct"/>
        </w:trPr>
        <w:tc>
          <w:tcPr>
            <w:tcW w:w="598" w:type="pct"/>
            <w:tcBorders>
              <w:top w:val="nil"/>
              <w:left w:val="nil"/>
              <w:right w:val="nil"/>
            </w:tcBorders>
            <w:shd w:val="clear" w:color="auto" w:fill="auto"/>
          </w:tcPr>
          <w:p w14:paraId="4D1C0D5F" w14:textId="77777777" w:rsidR="00A60D4B" w:rsidRPr="000844D3" w:rsidRDefault="00A60D4B" w:rsidP="00A60D4B">
            <w:pPr>
              <w:keepNext/>
              <w:keepLines/>
              <w:spacing w:after="0" w:line="240" w:lineRule="auto"/>
              <w:ind w:left="227" w:hanging="227"/>
              <w:jc w:val="right"/>
              <w:rPr>
                <w:rFonts w:ascii="Calibri" w:eastAsia="Times New Roman" w:hAnsi="Calibri" w:cs="Times New Roman"/>
                <w:sz w:val="20"/>
                <w:szCs w:val="20"/>
                <w:lang w:eastAsia="en-AU"/>
              </w:rPr>
            </w:pPr>
            <w:r w:rsidRPr="000844D3">
              <w:rPr>
                <w:rFonts w:ascii="Calibri" w:eastAsia="Times New Roman" w:hAnsi="Calibri" w:cs="Times New Roman"/>
                <w:sz w:val="20"/>
                <w:szCs w:val="20"/>
                <w:lang w:eastAsia="en-AU"/>
              </w:rPr>
              <w:t>3.50%</w:t>
            </w:r>
            <w:r w:rsidRPr="000844D3">
              <w:rPr>
                <w:rFonts w:ascii="Calibri" w:eastAsia="Times New Roman" w:hAnsi="Calibri" w:cs="Times New Roman"/>
                <w:sz w:val="20"/>
                <w:szCs w:val="20"/>
                <w:vertAlign w:val="superscript"/>
                <w:lang w:eastAsia="en-AU"/>
              </w:rPr>
              <w:t>2</w:t>
            </w:r>
          </w:p>
        </w:tc>
        <w:tc>
          <w:tcPr>
            <w:tcW w:w="877" w:type="pct"/>
            <w:tcBorders>
              <w:top w:val="nil"/>
              <w:left w:val="nil"/>
              <w:right w:val="nil"/>
            </w:tcBorders>
            <w:shd w:val="clear" w:color="auto" w:fill="auto"/>
          </w:tcPr>
          <w:p w14:paraId="4839E501" w14:textId="77777777" w:rsidR="00A60D4B" w:rsidRPr="000844D3" w:rsidRDefault="00A60D4B" w:rsidP="00A60D4B">
            <w:pPr>
              <w:keepNext/>
              <w:keepLines/>
              <w:spacing w:after="0" w:line="240" w:lineRule="auto"/>
              <w:ind w:left="227" w:hanging="227"/>
              <w:jc w:val="right"/>
              <w:rPr>
                <w:rFonts w:ascii="Calibri" w:eastAsia="Times New Roman" w:hAnsi="Calibri" w:cs="Times New Roman"/>
                <w:sz w:val="20"/>
                <w:szCs w:val="20"/>
                <w:lang w:eastAsia="en-AU"/>
              </w:rPr>
            </w:pPr>
            <w:r w:rsidRPr="000844D3">
              <w:rPr>
                <w:rFonts w:ascii="Calibri" w:eastAsia="Times New Roman" w:hAnsi="Calibri" w:cs="Times New Roman"/>
                <w:sz w:val="20"/>
                <w:szCs w:val="20"/>
                <w:lang w:eastAsia="en-AU"/>
              </w:rPr>
              <w:t>Jun 2030</w:t>
            </w:r>
          </w:p>
        </w:tc>
        <w:tc>
          <w:tcPr>
            <w:tcW w:w="877" w:type="pct"/>
            <w:tcBorders>
              <w:top w:val="nil"/>
              <w:left w:val="nil"/>
              <w:right w:val="nil"/>
            </w:tcBorders>
            <w:shd w:val="clear" w:color="auto" w:fill="auto"/>
          </w:tcPr>
          <w:p w14:paraId="70133BFD" w14:textId="77777777" w:rsidR="00A60D4B" w:rsidRPr="000844D3" w:rsidRDefault="00A60D4B" w:rsidP="00A60D4B">
            <w:pPr>
              <w:keepNext/>
              <w:keepLines/>
              <w:spacing w:after="0" w:line="240" w:lineRule="auto"/>
              <w:ind w:left="227" w:hanging="227"/>
              <w:jc w:val="right"/>
              <w:rPr>
                <w:rFonts w:ascii="Calibri" w:eastAsia="Times New Roman" w:hAnsi="Calibri" w:cs="Times New Roman"/>
                <w:sz w:val="20"/>
                <w:szCs w:val="20"/>
                <w:lang w:eastAsia="en-AU"/>
              </w:rPr>
            </w:pPr>
            <w:r w:rsidRPr="000844D3">
              <w:rPr>
                <w:rFonts w:ascii="Calibri" w:eastAsia="Times New Roman" w:hAnsi="Calibri" w:cs="Times New Roman"/>
                <w:sz w:val="20"/>
                <w:szCs w:val="20"/>
                <w:lang w:eastAsia="en-AU"/>
              </w:rPr>
              <w:t>250</w:t>
            </w:r>
          </w:p>
        </w:tc>
        <w:tc>
          <w:tcPr>
            <w:tcW w:w="877" w:type="pct"/>
            <w:tcBorders>
              <w:top w:val="nil"/>
              <w:left w:val="nil"/>
              <w:right w:val="nil"/>
            </w:tcBorders>
            <w:shd w:val="clear" w:color="auto" w:fill="auto"/>
          </w:tcPr>
          <w:p w14:paraId="2CF156F1" w14:textId="77777777" w:rsidR="00A60D4B" w:rsidRPr="000844D3" w:rsidRDefault="00A60D4B" w:rsidP="00A60D4B">
            <w:pPr>
              <w:keepNext/>
              <w:keepLines/>
              <w:spacing w:after="0" w:line="240" w:lineRule="auto"/>
              <w:ind w:left="227" w:hanging="227"/>
              <w:jc w:val="right"/>
              <w:rPr>
                <w:rFonts w:ascii="Calibri" w:eastAsia="Times New Roman" w:hAnsi="Calibri" w:cs="Times New Roman"/>
                <w:sz w:val="20"/>
                <w:szCs w:val="20"/>
                <w:lang w:eastAsia="en-AU"/>
              </w:rPr>
            </w:pPr>
            <w:r w:rsidRPr="000844D3">
              <w:rPr>
                <w:rFonts w:ascii="Calibri" w:eastAsia="Times New Roman" w:hAnsi="Calibri" w:cs="Times New Roman"/>
                <w:sz w:val="20"/>
                <w:szCs w:val="20"/>
                <w:lang w:eastAsia="en-AU"/>
              </w:rPr>
              <w:t>30</w:t>
            </w:r>
            <w:r>
              <w:rPr>
                <w:rFonts w:ascii="Calibri" w:eastAsia="Times New Roman" w:hAnsi="Calibri" w:cs="Times New Roman"/>
                <w:sz w:val="20"/>
                <w:szCs w:val="20"/>
                <w:lang w:eastAsia="en-AU"/>
              </w:rPr>
              <w:t>5.5</w:t>
            </w:r>
          </w:p>
        </w:tc>
        <w:tc>
          <w:tcPr>
            <w:tcW w:w="1753" w:type="pct"/>
            <w:tcBorders>
              <w:top w:val="nil"/>
              <w:left w:val="nil"/>
              <w:right w:val="nil"/>
            </w:tcBorders>
            <w:shd w:val="clear" w:color="auto" w:fill="auto"/>
          </w:tcPr>
          <w:p w14:paraId="41A1231C" w14:textId="77777777" w:rsidR="00A60D4B" w:rsidRPr="00CD0073" w:rsidRDefault="00A60D4B" w:rsidP="00A60D4B">
            <w:pPr>
              <w:keepNext/>
              <w:keepLines/>
              <w:spacing w:after="0" w:line="240" w:lineRule="auto"/>
              <w:ind w:left="227" w:hanging="227"/>
              <w:jc w:val="right"/>
              <w:rPr>
                <w:rFonts w:ascii="Calibri" w:eastAsia="Times New Roman" w:hAnsi="Calibri" w:cs="Times New Roman"/>
                <w:sz w:val="20"/>
                <w:szCs w:val="20"/>
                <w:lang w:eastAsia="en-AU"/>
              </w:rPr>
            </w:pPr>
            <w:r w:rsidRPr="000844D3">
              <w:rPr>
                <w:rFonts w:ascii="Calibri" w:eastAsia="Times New Roman" w:hAnsi="Calibri" w:cs="Times New Roman"/>
                <w:sz w:val="20"/>
                <w:szCs w:val="20"/>
                <w:lang w:eastAsia="en-AU"/>
              </w:rPr>
              <w:t>Mar, Jun, Sep, Dec</w:t>
            </w:r>
          </w:p>
        </w:tc>
      </w:tr>
    </w:tbl>
    <w:p w14:paraId="10515F12" w14:textId="77777777" w:rsidR="00A60D4B" w:rsidRPr="00CD0073" w:rsidRDefault="00A60D4B" w:rsidP="00A60D4B">
      <w:pPr>
        <w:keepNext/>
        <w:keepLines/>
        <w:spacing w:before="120" w:after="0" w:line="240" w:lineRule="auto"/>
        <w:rPr>
          <w:rFonts w:ascii="Calibri" w:eastAsia="Times New Roman" w:hAnsi="Calibri" w:cs="Times New Roman"/>
          <w:b/>
          <w:sz w:val="18"/>
          <w:szCs w:val="16"/>
          <w:lang w:val="x-none"/>
        </w:rPr>
      </w:pPr>
      <w:r w:rsidRPr="00CD0073">
        <w:rPr>
          <w:rFonts w:ascii="Calibri" w:eastAsia="Times New Roman" w:hAnsi="Calibri" w:cs="Times New Roman"/>
          <w:b/>
          <w:sz w:val="18"/>
          <w:szCs w:val="16"/>
          <w:lang w:val="x-none"/>
        </w:rPr>
        <w:t>Notes:</w:t>
      </w:r>
    </w:p>
    <w:p w14:paraId="1CB8F515" w14:textId="77777777" w:rsidR="00A60D4B" w:rsidRPr="00CD0073" w:rsidRDefault="00A60D4B" w:rsidP="00A60D4B">
      <w:pPr>
        <w:keepNext/>
        <w:keepLines/>
        <w:spacing w:after="0" w:line="240" w:lineRule="auto"/>
        <w:ind w:left="360" w:hanging="360"/>
        <w:rPr>
          <w:rFonts w:ascii="Calibri" w:eastAsia="Times New Roman" w:hAnsi="Calibri" w:cs="Times New Roman"/>
          <w:sz w:val="18"/>
          <w:szCs w:val="24"/>
          <w:lang w:val="x-none"/>
        </w:rPr>
      </w:pPr>
      <w:r w:rsidRPr="00CD0073">
        <w:rPr>
          <w:rFonts w:ascii="Calibri" w:eastAsia="Times New Roman" w:hAnsi="Calibri" w:cs="Times New Roman"/>
          <w:sz w:val="18"/>
          <w:szCs w:val="24"/>
        </w:rPr>
        <w:t>1.</w:t>
      </w:r>
      <w:r w:rsidRPr="00CD0073">
        <w:rPr>
          <w:rFonts w:ascii="Calibri" w:eastAsia="Times New Roman" w:hAnsi="Calibri" w:cs="Times New Roman"/>
          <w:sz w:val="18"/>
          <w:szCs w:val="24"/>
        </w:rPr>
        <w:tab/>
      </w:r>
      <w:r w:rsidRPr="00CD0073">
        <w:rPr>
          <w:rFonts w:ascii="Calibri" w:eastAsia="Times New Roman" w:hAnsi="Calibri" w:cs="Times New Roman"/>
          <w:sz w:val="18"/>
          <w:szCs w:val="24"/>
          <w:lang w:val="x-none"/>
        </w:rPr>
        <w:t>Indexed Annuity Bond. Annuity payments are made quarterly</w:t>
      </w:r>
      <w:r w:rsidRPr="00CD0073">
        <w:rPr>
          <w:rFonts w:ascii="Calibri" w:eastAsia="Times New Roman" w:hAnsi="Calibri" w:cs="Times New Roman"/>
          <w:sz w:val="18"/>
          <w:szCs w:val="24"/>
        </w:rPr>
        <w:t>,</w:t>
      </w:r>
      <w:r w:rsidRPr="00CD0073">
        <w:rPr>
          <w:rFonts w:ascii="Calibri" w:eastAsia="Times New Roman" w:hAnsi="Calibri" w:cs="Times New Roman"/>
          <w:sz w:val="18"/>
          <w:szCs w:val="24"/>
          <w:lang w:val="x-none"/>
        </w:rPr>
        <w:t xml:space="preserve"> comprising principal and interest amounts. </w:t>
      </w:r>
      <w:r w:rsidRPr="00CD0073">
        <w:rPr>
          <w:rFonts w:ascii="Calibri" w:eastAsia="Times New Roman" w:hAnsi="Calibri" w:cs="Times New Roman"/>
          <w:sz w:val="18"/>
          <w:szCs w:val="24"/>
        </w:rPr>
        <w:t>T</w:t>
      </w:r>
      <w:r w:rsidRPr="00CD0073">
        <w:rPr>
          <w:rFonts w:ascii="Calibri" w:eastAsia="Times New Roman" w:hAnsi="Calibri" w:cs="Times New Roman"/>
          <w:sz w:val="18"/>
          <w:szCs w:val="24"/>
          <w:lang w:val="x-none"/>
        </w:rPr>
        <w:t xml:space="preserve">he interest and principal payments are adjusted for movements in the CPI. </w:t>
      </w:r>
    </w:p>
    <w:p w14:paraId="7E9EDB4D" w14:textId="77777777" w:rsidR="00A60D4B" w:rsidRPr="00CD0073" w:rsidRDefault="00A60D4B" w:rsidP="00A60D4B">
      <w:pPr>
        <w:keepNext/>
        <w:keepLines/>
        <w:spacing w:after="0" w:line="240" w:lineRule="auto"/>
        <w:ind w:left="360" w:hanging="360"/>
        <w:rPr>
          <w:rFonts w:ascii="Calibri" w:eastAsia="Times New Roman" w:hAnsi="Calibri" w:cs="Times New Roman"/>
          <w:sz w:val="18"/>
          <w:szCs w:val="24"/>
          <w:lang w:val="x-none"/>
        </w:rPr>
      </w:pPr>
      <w:r w:rsidRPr="00CD0073">
        <w:rPr>
          <w:rFonts w:ascii="Calibri" w:eastAsia="Times New Roman" w:hAnsi="Calibri" w:cs="Times New Roman"/>
          <w:sz w:val="18"/>
          <w:szCs w:val="24"/>
        </w:rPr>
        <w:t>2.</w:t>
      </w:r>
      <w:r w:rsidRPr="00CD0073">
        <w:rPr>
          <w:rFonts w:ascii="Calibri" w:eastAsia="Times New Roman" w:hAnsi="Calibri" w:cs="Times New Roman"/>
          <w:sz w:val="18"/>
          <w:szCs w:val="24"/>
        </w:rPr>
        <w:tab/>
      </w:r>
      <w:r w:rsidRPr="00CD0073">
        <w:rPr>
          <w:rFonts w:ascii="Calibri" w:eastAsia="Times New Roman" w:hAnsi="Calibri" w:cs="Times New Roman"/>
          <w:sz w:val="18"/>
          <w:szCs w:val="24"/>
          <w:lang w:val="x-none"/>
        </w:rPr>
        <w:t>Capital Indexed Bond. The capital value of the security is adjusted for movements in the CPI. Interest is paid quarterly at a fixed rate on the adjusted capital value. The adjusted capital value of the security is repaid at maturity.</w:t>
      </w:r>
    </w:p>
    <w:p w14:paraId="2F500D6A" w14:textId="77777777" w:rsidR="00A60D4B" w:rsidRPr="00E87DD4" w:rsidRDefault="00A60D4B" w:rsidP="00A60D4B">
      <w:pPr>
        <w:spacing w:before="120" w:after="120" w:line="240" w:lineRule="auto"/>
        <w:rPr>
          <w:sz w:val="24"/>
        </w:rPr>
      </w:pPr>
      <w:r w:rsidRPr="00892A7C">
        <w:rPr>
          <w:sz w:val="24"/>
        </w:rPr>
        <w:t>Table 3.</w:t>
      </w:r>
      <w:r>
        <w:rPr>
          <w:sz w:val="24"/>
        </w:rPr>
        <w:t>8.12</w:t>
      </w:r>
      <w:r w:rsidRPr="00892A7C">
        <w:rPr>
          <w:sz w:val="24"/>
        </w:rPr>
        <w:t xml:space="preserve"> provides details of the Territory’s outstanding Commonwealth loans as at </w:t>
      </w:r>
      <w:r w:rsidRPr="00E87DD4">
        <w:rPr>
          <w:sz w:val="24"/>
        </w:rPr>
        <w:t>3</w:t>
      </w:r>
      <w:r>
        <w:rPr>
          <w:sz w:val="24"/>
        </w:rPr>
        <w:t>0</w:t>
      </w:r>
      <w:r w:rsidRPr="00E87DD4">
        <w:rPr>
          <w:sz w:val="24"/>
        </w:rPr>
        <w:t> </w:t>
      </w:r>
      <w:r>
        <w:rPr>
          <w:sz w:val="24"/>
        </w:rPr>
        <w:t>June</w:t>
      </w:r>
      <w:r w:rsidRPr="00E87DD4">
        <w:rPr>
          <w:sz w:val="24"/>
        </w:rPr>
        <w:t xml:space="preserve"> 202</w:t>
      </w:r>
      <w:r>
        <w:rPr>
          <w:sz w:val="24"/>
        </w:rPr>
        <w:t>1</w:t>
      </w:r>
      <w:r w:rsidRPr="00E87DD4">
        <w:rPr>
          <w:sz w:val="24"/>
        </w:rPr>
        <w:t>.</w:t>
      </w:r>
    </w:p>
    <w:p w14:paraId="2D1F597A" w14:textId="39755C75" w:rsidR="00A60D4B" w:rsidRPr="00B8150A" w:rsidRDefault="00A60D4B" w:rsidP="00A60D4B">
      <w:pPr>
        <w:pStyle w:val="Caption"/>
      </w:pPr>
      <w:r>
        <w:t xml:space="preserve">Table </w:t>
      </w:r>
      <w:r w:rsidR="00FB4E5C">
        <w:fldChar w:fldCharType="begin"/>
      </w:r>
      <w:r w:rsidR="00FB4E5C">
        <w:instrText xml:space="preserve"> STYLEREF 2 \s </w:instrText>
      </w:r>
      <w:r w:rsidR="00FB4E5C">
        <w:fldChar w:fldCharType="separate"/>
      </w:r>
      <w:r w:rsidR="00F12A80">
        <w:rPr>
          <w:noProof/>
        </w:rPr>
        <w:t>3.8</w:t>
      </w:r>
      <w:r w:rsidR="00FB4E5C">
        <w:rPr>
          <w:noProof/>
        </w:rPr>
        <w:fldChar w:fldCharType="end"/>
      </w:r>
      <w:r>
        <w:t>.</w:t>
      </w:r>
      <w:r w:rsidR="00FB4E5C">
        <w:fldChar w:fldCharType="begin"/>
      </w:r>
      <w:r w:rsidR="00FB4E5C">
        <w:instrText xml:space="preserve"> SEQ Table \* ARABIC \s 2 </w:instrText>
      </w:r>
      <w:r w:rsidR="00FB4E5C">
        <w:fldChar w:fldCharType="separate"/>
      </w:r>
      <w:r w:rsidR="00F12A80">
        <w:rPr>
          <w:noProof/>
        </w:rPr>
        <w:t>12</w:t>
      </w:r>
      <w:r w:rsidR="00FB4E5C">
        <w:rPr>
          <w:noProof/>
        </w:rPr>
        <w:fldChar w:fldCharType="end"/>
      </w:r>
      <w:r w:rsidRPr="00B8150A">
        <w:t>: Commonwealth loans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1583"/>
        <w:gridCol w:w="1583"/>
        <w:gridCol w:w="1583"/>
        <w:gridCol w:w="3166"/>
        <w:gridCol w:w="31"/>
      </w:tblGrid>
      <w:tr w:rsidR="00A60D4B" w:rsidRPr="00E87DD4" w14:paraId="1028910F" w14:textId="77777777" w:rsidTr="00A60D4B">
        <w:trPr>
          <w:cantSplit/>
          <w:tblHeader/>
        </w:trPr>
        <w:tc>
          <w:tcPr>
            <w:tcW w:w="598" w:type="pct"/>
            <w:tcBorders>
              <w:left w:val="nil"/>
              <w:bottom w:val="nil"/>
              <w:right w:val="nil"/>
            </w:tcBorders>
            <w:shd w:val="clear" w:color="auto" w:fill="472D8C"/>
          </w:tcPr>
          <w:p w14:paraId="26B8591D" w14:textId="77777777" w:rsidR="00A60D4B" w:rsidRPr="00292DE3" w:rsidRDefault="00A60D4B" w:rsidP="00A60D4B">
            <w:pPr>
              <w:spacing w:after="0" w:line="240" w:lineRule="auto"/>
              <w:ind w:left="227" w:hanging="227"/>
              <w:jc w:val="right"/>
              <w:rPr>
                <w:rFonts w:ascii="Calibri" w:eastAsia="Times New Roman" w:hAnsi="Calibri" w:cs="Times New Roman"/>
                <w:b/>
                <w:color w:val="FFFFFF" w:themeColor="background1"/>
                <w:sz w:val="20"/>
                <w:szCs w:val="20"/>
                <w:lang w:eastAsia="en-AU"/>
              </w:rPr>
            </w:pPr>
            <w:r w:rsidRPr="00292DE3">
              <w:rPr>
                <w:rFonts w:ascii="Calibri" w:eastAsia="Times New Roman" w:hAnsi="Calibri" w:cs="Times New Roman"/>
                <w:b/>
                <w:color w:val="FFFFFF" w:themeColor="background1"/>
                <w:sz w:val="20"/>
                <w:szCs w:val="20"/>
                <w:lang w:eastAsia="en-AU"/>
              </w:rPr>
              <w:t>Interest Rate</w:t>
            </w:r>
            <w:r w:rsidRPr="00292DE3">
              <w:rPr>
                <w:rFonts w:ascii="Calibri" w:eastAsia="Times New Roman" w:hAnsi="Calibri" w:cs="Times New Roman"/>
                <w:b/>
                <w:color w:val="FFFFFF" w:themeColor="background1"/>
                <w:sz w:val="20"/>
                <w:szCs w:val="20"/>
                <w:vertAlign w:val="superscript"/>
                <w:lang w:eastAsia="en-AU"/>
              </w:rPr>
              <w:t>1</w:t>
            </w:r>
            <w:r w:rsidRPr="00292DE3">
              <w:rPr>
                <w:rFonts w:ascii="Calibri" w:eastAsia="Times New Roman" w:hAnsi="Calibri" w:cs="Times New Roman"/>
                <w:b/>
                <w:color w:val="FFFFFF" w:themeColor="background1"/>
                <w:sz w:val="20"/>
                <w:szCs w:val="20"/>
                <w:lang w:eastAsia="en-AU"/>
              </w:rPr>
              <w:t xml:space="preserve"> </w:t>
            </w:r>
          </w:p>
        </w:tc>
        <w:tc>
          <w:tcPr>
            <w:tcW w:w="877" w:type="pct"/>
            <w:tcBorders>
              <w:left w:val="nil"/>
              <w:bottom w:val="nil"/>
              <w:right w:val="nil"/>
            </w:tcBorders>
            <w:shd w:val="clear" w:color="auto" w:fill="472D8C"/>
          </w:tcPr>
          <w:p w14:paraId="093F856E" w14:textId="77777777" w:rsidR="00A60D4B" w:rsidRPr="00292DE3" w:rsidRDefault="00A60D4B" w:rsidP="00A60D4B">
            <w:pPr>
              <w:spacing w:after="0" w:line="240" w:lineRule="auto"/>
              <w:ind w:left="227" w:hanging="227"/>
              <w:jc w:val="right"/>
              <w:rPr>
                <w:rFonts w:ascii="Calibri" w:eastAsia="Times New Roman" w:hAnsi="Calibri" w:cs="Times New Roman"/>
                <w:b/>
                <w:color w:val="FFFFFF" w:themeColor="background1"/>
                <w:sz w:val="20"/>
                <w:szCs w:val="20"/>
                <w:lang w:eastAsia="en-AU"/>
              </w:rPr>
            </w:pPr>
            <w:r w:rsidRPr="00292DE3">
              <w:rPr>
                <w:rFonts w:ascii="Calibri" w:eastAsia="Times New Roman" w:hAnsi="Calibri" w:cs="Times New Roman"/>
                <w:b/>
                <w:color w:val="FFFFFF" w:themeColor="background1"/>
                <w:sz w:val="20"/>
                <w:szCs w:val="20"/>
                <w:lang w:eastAsia="en-AU"/>
              </w:rPr>
              <w:t>Maturity</w:t>
            </w:r>
          </w:p>
        </w:tc>
        <w:tc>
          <w:tcPr>
            <w:tcW w:w="877" w:type="pct"/>
            <w:tcBorders>
              <w:left w:val="nil"/>
              <w:bottom w:val="nil"/>
              <w:right w:val="nil"/>
            </w:tcBorders>
            <w:shd w:val="clear" w:color="auto" w:fill="472D8C"/>
          </w:tcPr>
          <w:p w14:paraId="64EE82E8" w14:textId="77777777" w:rsidR="00A60D4B" w:rsidRPr="00292DE3" w:rsidRDefault="00A60D4B" w:rsidP="00A60D4B">
            <w:pPr>
              <w:spacing w:after="0" w:line="240" w:lineRule="auto"/>
              <w:ind w:left="227" w:hanging="227"/>
              <w:jc w:val="right"/>
              <w:rPr>
                <w:rFonts w:ascii="Calibri" w:eastAsia="Times New Roman" w:hAnsi="Calibri" w:cs="Times New Roman"/>
                <w:b/>
                <w:color w:val="FFFFFF" w:themeColor="background1"/>
                <w:sz w:val="20"/>
                <w:szCs w:val="20"/>
                <w:lang w:eastAsia="en-AU"/>
              </w:rPr>
            </w:pPr>
            <w:r w:rsidRPr="00292DE3">
              <w:rPr>
                <w:rFonts w:ascii="Calibri" w:eastAsia="Times New Roman" w:hAnsi="Calibri" w:cs="Times New Roman"/>
                <w:b/>
                <w:color w:val="FFFFFF" w:themeColor="background1"/>
                <w:sz w:val="20"/>
                <w:szCs w:val="20"/>
                <w:lang w:eastAsia="en-AU"/>
              </w:rPr>
              <w:t>Face value</w:t>
            </w:r>
          </w:p>
          <w:p w14:paraId="16BC3C0D" w14:textId="77777777" w:rsidR="001E03FF" w:rsidRDefault="001E03FF" w:rsidP="00A60D4B">
            <w:pPr>
              <w:spacing w:after="0" w:line="240" w:lineRule="auto"/>
              <w:ind w:left="227" w:hanging="227"/>
              <w:jc w:val="right"/>
              <w:rPr>
                <w:rFonts w:ascii="Calibri" w:eastAsia="Times New Roman" w:hAnsi="Calibri" w:cs="Times New Roman"/>
                <w:b/>
                <w:color w:val="FFFFFF" w:themeColor="background1"/>
                <w:sz w:val="20"/>
                <w:szCs w:val="20"/>
                <w:lang w:eastAsia="en-AU"/>
              </w:rPr>
            </w:pPr>
          </w:p>
          <w:p w14:paraId="2D20F618" w14:textId="75F01756" w:rsidR="00A60D4B" w:rsidRPr="00292DE3" w:rsidRDefault="00A60D4B" w:rsidP="00A60D4B">
            <w:pPr>
              <w:spacing w:after="0" w:line="240" w:lineRule="auto"/>
              <w:ind w:left="227" w:hanging="227"/>
              <w:jc w:val="right"/>
              <w:rPr>
                <w:rFonts w:ascii="Calibri" w:eastAsia="Times New Roman" w:hAnsi="Calibri" w:cs="Times New Roman"/>
                <w:b/>
                <w:color w:val="FFFFFF" w:themeColor="background1"/>
                <w:sz w:val="20"/>
                <w:szCs w:val="20"/>
                <w:lang w:eastAsia="en-AU"/>
              </w:rPr>
            </w:pPr>
            <w:r w:rsidRPr="00292DE3">
              <w:rPr>
                <w:rFonts w:ascii="Calibri" w:eastAsia="Times New Roman" w:hAnsi="Calibri" w:cs="Times New Roman"/>
                <w:b/>
                <w:color w:val="FFFFFF" w:themeColor="background1"/>
                <w:sz w:val="20"/>
                <w:szCs w:val="20"/>
                <w:lang w:eastAsia="en-AU"/>
              </w:rPr>
              <w:t>$m</w:t>
            </w:r>
          </w:p>
        </w:tc>
        <w:tc>
          <w:tcPr>
            <w:tcW w:w="877" w:type="pct"/>
            <w:tcBorders>
              <w:left w:val="nil"/>
              <w:bottom w:val="nil"/>
              <w:right w:val="nil"/>
            </w:tcBorders>
            <w:shd w:val="clear" w:color="auto" w:fill="472D8C"/>
          </w:tcPr>
          <w:p w14:paraId="648DBB34" w14:textId="77777777" w:rsidR="00A60D4B" w:rsidRPr="00292DE3" w:rsidRDefault="00A60D4B" w:rsidP="00A60D4B">
            <w:pPr>
              <w:spacing w:after="0" w:line="240" w:lineRule="auto"/>
              <w:ind w:left="227" w:hanging="227"/>
              <w:jc w:val="right"/>
              <w:rPr>
                <w:rFonts w:ascii="Calibri" w:eastAsia="Times New Roman" w:hAnsi="Calibri" w:cs="Times New Roman"/>
                <w:b/>
                <w:color w:val="FFFFFF" w:themeColor="background1"/>
                <w:sz w:val="20"/>
                <w:szCs w:val="20"/>
                <w:lang w:eastAsia="en-AU"/>
              </w:rPr>
            </w:pPr>
            <w:r w:rsidRPr="00292DE3">
              <w:rPr>
                <w:rFonts w:ascii="Calibri" w:eastAsia="Times New Roman" w:hAnsi="Calibri" w:cs="Times New Roman"/>
                <w:b/>
                <w:color w:val="FFFFFF" w:themeColor="background1"/>
                <w:sz w:val="20"/>
                <w:szCs w:val="20"/>
                <w:lang w:eastAsia="en-AU"/>
              </w:rPr>
              <w:t>Principal</w:t>
            </w:r>
          </w:p>
          <w:p w14:paraId="2C53947B" w14:textId="77777777" w:rsidR="00A60D4B" w:rsidRPr="00292DE3" w:rsidRDefault="00A60D4B" w:rsidP="00A60D4B">
            <w:pPr>
              <w:spacing w:after="0" w:line="240" w:lineRule="auto"/>
              <w:ind w:left="227" w:hanging="227"/>
              <w:jc w:val="right"/>
              <w:rPr>
                <w:rFonts w:ascii="Calibri" w:eastAsia="Times New Roman" w:hAnsi="Calibri" w:cs="Times New Roman"/>
                <w:b/>
                <w:color w:val="FFFFFF" w:themeColor="background1"/>
                <w:sz w:val="20"/>
                <w:szCs w:val="20"/>
                <w:vertAlign w:val="superscript"/>
                <w:lang w:eastAsia="en-AU"/>
              </w:rPr>
            </w:pPr>
            <w:r w:rsidRPr="00292DE3">
              <w:rPr>
                <w:rFonts w:ascii="Calibri" w:eastAsia="Times New Roman" w:hAnsi="Calibri" w:cs="Times New Roman"/>
                <w:b/>
                <w:color w:val="FFFFFF" w:themeColor="background1"/>
                <w:sz w:val="20"/>
                <w:szCs w:val="20"/>
                <w:lang w:eastAsia="en-AU"/>
              </w:rPr>
              <w:t>Outstanding</w:t>
            </w:r>
            <w:r w:rsidRPr="00292DE3">
              <w:rPr>
                <w:rFonts w:ascii="Calibri" w:eastAsia="Times New Roman" w:hAnsi="Calibri" w:cs="Times New Roman"/>
                <w:b/>
                <w:color w:val="FFFFFF" w:themeColor="background1"/>
                <w:sz w:val="20"/>
                <w:szCs w:val="20"/>
                <w:vertAlign w:val="superscript"/>
                <w:lang w:eastAsia="en-AU"/>
              </w:rPr>
              <w:t>2</w:t>
            </w:r>
          </w:p>
          <w:p w14:paraId="1D73FD51" w14:textId="77777777" w:rsidR="00A60D4B" w:rsidRPr="00292DE3" w:rsidRDefault="00A60D4B" w:rsidP="00A60D4B">
            <w:pPr>
              <w:spacing w:after="0" w:line="240" w:lineRule="auto"/>
              <w:ind w:left="227" w:hanging="227"/>
              <w:jc w:val="right"/>
              <w:rPr>
                <w:rFonts w:ascii="Calibri" w:eastAsia="Times New Roman" w:hAnsi="Calibri" w:cs="Times New Roman"/>
                <w:b/>
                <w:color w:val="FFFFFF" w:themeColor="background1"/>
                <w:sz w:val="20"/>
                <w:szCs w:val="20"/>
                <w:lang w:eastAsia="en-AU"/>
              </w:rPr>
            </w:pPr>
            <w:r w:rsidRPr="00292DE3">
              <w:rPr>
                <w:rFonts w:ascii="Calibri" w:eastAsia="Times New Roman" w:hAnsi="Calibri" w:cs="Times New Roman"/>
                <w:b/>
                <w:color w:val="FFFFFF" w:themeColor="background1"/>
                <w:sz w:val="20"/>
                <w:szCs w:val="20"/>
                <w:lang w:eastAsia="en-AU"/>
              </w:rPr>
              <w:t>$m</w:t>
            </w:r>
          </w:p>
        </w:tc>
        <w:tc>
          <w:tcPr>
            <w:tcW w:w="1771" w:type="pct"/>
            <w:gridSpan w:val="2"/>
            <w:tcBorders>
              <w:left w:val="nil"/>
              <w:bottom w:val="nil"/>
              <w:right w:val="nil"/>
            </w:tcBorders>
            <w:shd w:val="clear" w:color="auto" w:fill="472D8C"/>
          </w:tcPr>
          <w:p w14:paraId="05C9BC9C" w14:textId="77777777" w:rsidR="00A60D4B" w:rsidRPr="00292DE3" w:rsidRDefault="00A60D4B" w:rsidP="00A60D4B">
            <w:pPr>
              <w:spacing w:after="0" w:line="240" w:lineRule="auto"/>
              <w:ind w:left="227" w:hanging="227"/>
              <w:jc w:val="right"/>
              <w:rPr>
                <w:rFonts w:ascii="Calibri" w:eastAsia="Times New Roman" w:hAnsi="Calibri" w:cs="Times New Roman"/>
                <w:b/>
                <w:color w:val="FFFFFF" w:themeColor="background1"/>
                <w:sz w:val="20"/>
                <w:szCs w:val="20"/>
                <w:lang w:eastAsia="en-AU"/>
              </w:rPr>
            </w:pPr>
            <w:r w:rsidRPr="00292DE3">
              <w:rPr>
                <w:rFonts w:ascii="Calibri" w:eastAsia="Times New Roman" w:hAnsi="Calibri" w:cs="Times New Roman"/>
                <w:b/>
                <w:color w:val="FFFFFF" w:themeColor="background1"/>
                <w:sz w:val="20"/>
                <w:szCs w:val="20"/>
                <w:lang w:eastAsia="en-AU"/>
              </w:rPr>
              <w:t>Timing of payments</w:t>
            </w:r>
          </w:p>
          <w:p w14:paraId="27555848" w14:textId="77777777" w:rsidR="00A60D4B" w:rsidRPr="00292DE3" w:rsidRDefault="00A60D4B" w:rsidP="00A60D4B">
            <w:pPr>
              <w:spacing w:after="0" w:line="240" w:lineRule="auto"/>
              <w:ind w:left="227" w:hanging="227"/>
              <w:jc w:val="right"/>
              <w:rPr>
                <w:rFonts w:ascii="Calibri" w:eastAsia="Times New Roman" w:hAnsi="Calibri" w:cs="Times New Roman"/>
                <w:b/>
                <w:color w:val="FFFFFF" w:themeColor="background1"/>
                <w:sz w:val="20"/>
                <w:szCs w:val="20"/>
                <w:lang w:eastAsia="en-AU"/>
              </w:rPr>
            </w:pPr>
            <w:r w:rsidRPr="00292DE3">
              <w:rPr>
                <w:rFonts w:ascii="Calibri" w:eastAsia="Times New Roman" w:hAnsi="Calibri" w:cs="Times New Roman"/>
                <w:b/>
                <w:color w:val="FFFFFF" w:themeColor="background1"/>
                <w:sz w:val="20"/>
                <w:szCs w:val="20"/>
                <w:lang w:eastAsia="en-AU"/>
              </w:rPr>
              <w:t>(Annual)</w:t>
            </w:r>
          </w:p>
        </w:tc>
      </w:tr>
      <w:tr w:rsidR="00A60D4B" w:rsidRPr="00E87DD4" w14:paraId="3DC197B1" w14:textId="77777777" w:rsidTr="00A60D4B">
        <w:trPr>
          <w:gridAfter w:val="1"/>
          <w:wAfter w:w="17" w:type="pct"/>
          <w:cantSplit/>
        </w:trPr>
        <w:tc>
          <w:tcPr>
            <w:tcW w:w="598" w:type="pct"/>
            <w:tcBorders>
              <w:left w:val="nil"/>
              <w:bottom w:val="nil"/>
              <w:right w:val="nil"/>
            </w:tcBorders>
            <w:shd w:val="clear" w:color="auto" w:fill="auto"/>
          </w:tcPr>
          <w:p w14:paraId="7F51AA30" w14:textId="77777777" w:rsidR="00A60D4B" w:rsidRPr="00E87DD4" w:rsidRDefault="00A60D4B" w:rsidP="00A60D4B">
            <w:pPr>
              <w:spacing w:after="0" w:line="240" w:lineRule="auto"/>
              <w:ind w:left="227" w:hanging="227"/>
              <w:jc w:val="right"/>
              <w:rPr>
                <w:rFonts w:ascii="Calibri" w:eastAsia="Times New Roman" w:hAnsi="Calibri" w:cs="Times New Roman"/>
                <w:sz w:val="20"/>
                <w:szCs w:val="20"/>
                <w:lang w:eastAsia="en-AU"/>
              </w:rPr>
            </w:pPr>
            <w:r w:rsidRPr="00E87DD4">
              <w:rPr>
                <w:rFonts w:ascii="Calibri" w:eastAsia="Times New Roman" w:hAnsi="Calibri" w:cs="Times New Roman"/>
                <w:sz w:val="20"/>
                <w:szCs w:val="20"/>
                <w:lang w:eastAsia="en-AU"/>
              </w:rPr>
              <w:t>4.50%</w:t>
            </w:r>
          </w:p>
        </w:tc>
        <w:tc>
          <w:tcPr>
            <w:tcW w:w="877" w:type="pct"/>
            <w:tcBorders>
              <w:left w:val="nil"/>
              <w:bottom w:val="nil"/>
              <w:right w:val="nil"/>
            </w:tcBorders>
            <w:shd w:val="clear" w:color="auto" w:fill="auto"/>
          </w:tcPr>
          <w:p w14:paraId="7AFAE70C" w14:textId="77777777" w:rsidR="00A60D4B" w:rsidRPr="00E87DD4" w:rsidRDefault="00A60D4B" w:rsidP="00A60D4B">
            <w:pPr>
              <w:spacing w:after="0" w:line="240" w:lineRule="auto"/>
              <w:ind w:left="227" w:hanging="227"/>
              <w:jc w:val="right"/>
              <w:rPr>
                <w:rFonts w:ascii="Calibri" w:eastAsia="Times New Roman" w:hAnsi="Calibri" w:cs="Times New Roman"/>
                <w:sz w:val="20"/>
                <w:szCs w:val="20"/>
                <w:lang w:eastAsia="en-AU"/>
              </w:rPr>
            </w:pPr>
            <w:r w:rsidRPr="00E87DD4">
              <w:rPr>
                <w:rFonts w:ascii="Calibri" w:eastAsia="Times New Roman" w:hAnsi="Calibri" w:cs="Times New Roman"/>
                <w:sz w:val="20"/>
                <w:szCs w:val="20"/>
                <w:lang w:eastAsia="en-AU"/>
              </w:rPr>
              <w:t>Jun 2040</w:t>
            </w:r>
          </w:p>
        </w:tc>
        <w:tc>
          <w:tcPr>
            <w:tcW w:w="877" w:type="pct"/>
            <w:tcBorders>
              <w:left w:val="nil"/>
              <w:bottom w:val="nil"/>
              <w:right w:val="nil"/>
            </w:tcBorders>
            <w:shd w:val="clear" w:color="auto" w:fill="auto"/>
          </w:tcPr>
          <w:p w14:paraId="067EC20E" w14:textId="77777777" w:rsidR="00A60D4B" w:rsidRPr="00E87DD4" w:rsidRDefault="00A60D4B" w:rsidP="00A60D4B">
            <w:pPr>
              <w:spacing w:after="0" w:line="240" w:lineRule="auto"/>
              <w:ind w:left="227" w:hanging="227"/>
              <w:jc w:val="right"/>
              <w:rPr>
                <w:rFonts w:ascii="Calibri" w:eastAsia="Times New Roman" w:hAnsi="Calibri" w:cs="Times New Roman"/>
                <w:sz w:val="20"/>
                <w:szCs w:val="20"/>
                <w:lang w:eastAsia="en-AU"/>
              </w:rPr>
            </w:pPr>
            <w:r w:rsidRPr="00E87DD4">
              <w:rPr>
                <w:rFonts w:ascii="Calibri" w:eastAsia="Times New Roman" w:hAnsi="Calibri" w:cs="Times New Roman"/>
                <w:sz w:val="20"/>
                <w:szCs w:val="20"/>
                <w:lang w:eastAsia="en-AU"/>
              </w:rPr>
              <w:t>174</w:t>
            </w:r>
          </w:p>
        </w:tc>
        <w:tc>
          <w:tcPr>
            <w:tcW w:w="877" w:type="pct"/>
            <w:tcBorders>
              <w:left w:val="nil"/>
              <w:bottom w:val="nil"/>
              <w:right w:val="nil"/>
            </w:tcBorders>
            <w:shd w:val="clear" w:color="auto" w:fill="auto"/>
          </w:tcPr>
          <w:p w14:paraId="47E74EF4" w14:textId="77777777" w:rsidR="00A60D4B" w:rsidRPr="00E87DD4" w:rsidRDefault="00A60D4B" w:rsidP="00A60D4B">
            <w:pPr>
              <w:spacing w:after="0" w:line="240" w:lineRule="auto"/>
              <w:ind w:left="227" w:hanging="227"/>
              <w:jc w:val="right"/>
              <w:rPr>
                <w:rFonts w:ascii="Calibri" w:eastAsia="Times New Roman" w:hAnsi="Calibri" w:cs="Times New Roman"/>
                <w:sz w:val="20"/>
                <w:szCs w:val="20"/>
                <w:lang w:eastAsia="en-AU"/>
              </w:rPr>
            </w:pPr>
            <w:r w:rsidRPr="00E87DD4">
              <w:rPr>
                <w:rFonts w:ascii="Calibri" w:eastAsia="Times New Roman" w:hAnsi="Calibri" w:cs="Times New Roman"/>
                <w:sz w:val="20"/>
                <w:szCs w:val="20"/>
                <w:lang w:eastAsia="en-AU"/>
              </w:rPr>
              <w:t>5</w:t>
            </w:r>
            <w:r>
              <w:rPr>
                <w:rFonts w:ascii="Calibri" w:eastAsia="Times New Roman" w:hAnsi="Calibri" w:cs="Times New Roman"/>
                <w:sz w:val="20"/>
                <w:szCs w:val="20"/>
                <w:lang w:eastAsia="en-AU"/>
              </w:rPr>
              <w:t>3.8</w:t>
            </w:r>
          </w:p>
        </w:tc>
        <w:tc>
          <w:tcPr>
            <w:tcW w:w="1754" w:type="pct"/>
            <w:tcBorders>
              <w:left w:val="nil"/>
              <w:bottom w:val="nil"/>
              <w:right w:val="nil"/>
            </w:tcBorders>
            <w:shd w:val="clear" w:color="auto" w:fill="auto"/>
          </w:tcPr>
          <w:p w14:paraId="0FCCC581" w14:textId="77777777" w:rsidR="00A60D4B" w:rsidRPr="00E87DD4" w:rsidRDefault="00A60D4B" w:rsidP="00A60D4B">
            <w:pPr>
              <w:spacing w:after="0" w:line="240" w:lineRule="auto"/>
              <w:ind w:left="227" w:hanging="227"/>
              <w:jc w:val="right"/>
              <w:rPr>
                <w:rFonts w:ascii="Calibri" w:eastAsia="Times New Roman" w:hAnsi="Calibri" w:cs="Times New Roman"/>
                <w:sz w:val="20"/>
                <w:szCs w:val="20"/>
                <w:lang w:eastAsia="en-AU"/>
              </w:rPr>
            </w:pPr>
            <w:r w:rsidRPr="00E87DD4">
              <w:rPr>
                <w:rFonts w:ascii="Calibri" w:eastAsia="Times New Roman" w:hAnsi="Calibri" w:cs="Times New Roman"/>
                <w:sz w:val="20"/>
                <w:szCs w:val="20"/>
                <w:lang w:eastAsia="en-AU"/>
              </w:rPr>
              <w:t>Jun</w:t>
            </w:r>
          </w:p>
        </w:tc>
      </w:tr>
      <w:tr w:rsidR="00A60D4B" w:rsidRPr="00892A7C" w14:paraId="6ABF0E36" w14:textId="77777777" w:rsidTr="00A60D4B">
        <w:trPr>
          <w:gridAfter w:val="1"/>
          <w:wAfter w:w="17" w:type="pct"/>
          <w:cantSplit/>
        </w:trPr>
        <w:tc>
          <w:tcPr>
            <w:tcW w:w="598" w:type="pct"/>
            <w:tcBorders>
              <w:top w:val="nil"/>
              <w:left w:val="nil"/>
              <w:bottom w:val="single" w:sz="4" w:space="0" w:color="auto"/>
              <w:right w:val="nil"/>
            </w:tcBorders>
            <w:shd w:val="clear" w:color="auto" w:fill="auto"/>
          </w:tcPr>
          <w:p w14:paraId="46E5331F" w14:textId="77777777" w:rsidR="00A60D4B" w:rsidRPr="00E87DD4" w:rsidRDefault="00A60D4B" w:rsidP="00A60D4B">
            <w:pPr>
              <w:spacing w:after="0" w:line="240" w:lineRule="auto"/>
              <w:ind w:left="227" w:hanging="227"/>
              <w:jc w:val="right"/>
              <w:rPr>
                <w:rFonts w:ascii="Calibri" w:eastAsia="Times New Roman" w:hAnsi="Calibri" w:cs="Times New Roman"/>
                <w:sz w:val="20"/>
                <w:szCs w:val="20"/>
                <w:lang w:eastAsia="en-AU"/>
              </w:rPr>
            </w:pPr>
            <w:r w:rsidRPr="00E87DD4">
              <w:rPr>
                <w:rFonts w:ascii="Calibri" w:eastAsia="Times New Roman" w:hAnsi="Calibri" w:cs="Times New Roman"/>
                <w:sz w:val="20"/>
                <w:szCs w:val="20"/>
                <w:lang w:eastAsia="en-AU"/>
              </w:rPr>
              <w:t>4.50%</w:t>
            </w:r>
          </w:p>
        </w:tc>
        <w:tc>
          <w:tcPr>
            <w:tcW w:w="877" w:type="pct"/>
            <w:tcBorders>
              <w:top w:val="nil"/>
              <w:left w:val="nil"/>
              <w:bottom w:val="single" w:sz="4" w:space="0" w:color="auto"/>
              <w:right w:val="nil"/>
            </w:tcBorders>
            <w:shd w:val="clear" w:color="auto" w:fill="auto"/>
          </w:tcPr>
          <w:p w14:paraId="61E71396" w14:textId="77777777" w:rsidR="00A60D4B" w:rsidRPr="00E87DD4" w:rsidRDefault="00A60D4B" w:rsidP="00A60D4B">
            <w:pPr>
              <w:spacing w:after="0" w:line="240" w:lineRule="auto"/>
              <w:ind w:left="227" w:hanging="227"/>
              <w:jc w:val="right"/>
              <w:rPr>
                <w:rFonts w:ascii="Calibri" w:eastAsia="Times New Roman" w:hAnsi="Calibri" w:cs="Times New Roman"/>
                <w:sz w:val="20"/>
                <w:szCs w:val="20"/>
                <w:lang w:eastAsia="en-AU"/>
              </w:rPr>
            </w:pPr>
            <w:r w:rsidRPr="00E87DD4">
              <w:rPr>
                <w:rFonts w:ascii="Calibri" w:eastAsia="Times New Roman" w:hAnsi="Calibri" w:cs="Times New Roman"/>
                <w:sz w:val="20"/>
                <w:szCs w:val="20"/>
                <w:lang w:eastAsia="en-AU"/>
              </w:rPr>
              <w:t>Jun 2042</w:t>
            </w:r>
          </w:p>
        </w:tc>
        <w:tc>
          <w:tcPr>
            <w:tcW w:w="877" w:type="pct"/>
            <w:tcBorders>
              <w:top w:val="nil"/>
              <w:left w:val="nil"/>
              <w:bottom w:val="single" w:sz="4" w:space="0" w:color="auto"/>
              <w:right w:val="nil"/>
            </w:tcBorders>
            <w:shd w:val="clear" w:color="auto" w:fill="auto"/>
          </w:tcPr>
          <w:p w14:paraId="78E74DD6" w14:textId="77777777" w:rsidR="00A60D4B" w:rsidRPr="00E87DD4" w:rsidRDefault="00A60D4B" w:rsidP="00A60D4B">
            <w:pPr>
              <w:spacing w:after="0" w:line="240" w:lineRule="auto"/>
              <w:ind w:left="227" w:hanging="227"/>
              <w:jc w:val="right"/>
              <w:rPr>
                <w:rFonts w:ascii="Calibri" w:eastAsia="Times New Roman" w:hAnsi="Calibri" w:cs="Times New Roman"/>
                <w:sz w:val="20"/>
                <w:szCs w:val="20"/>
                <w:lang w:eastAsia="en-AU"/>
              </w:rPr>
            </w:pPr>
            <w:r w:rsidRPr="00E87DD4">
              <w:rPr>
                <w:rFonts w:ascii="Calibri" w:eastAsia="Times New Roman" w:hAnsi="Calibri" w:cs="Times New Roman"/>
                <w:sz w:val="20"/>
                <w:szCs w:val="20"/>
                <w:lang w:eastAsia="en-AU"/>
              </w:rPr>
              <w:t>124</w:t>
            </w:r>
          </w:p>
        </w:tc>
        <w:tc>
          <w:tcPr>
            <w:tcW w:w="877" w:type="pct"/>
            <w:tcBorders>
              <w:top w:val="nil"/>
              <w:left w:val="nil"/>
              <w:bottom w:val="single" w:sz="4" w:space="0" w:color="auto"/>
              <w:right w:val="nil"/>
            </w:tcBorders>
            <w:shd w:val="clear" w:color="auto" w:fill="auto"/>
          </w:tcPr>
          <w:p w14:paraId="5CA1FD9B" w14:textId="77777777" w:rsidR="00A60D4B" w:rsidRPr="00E87DD4" w:rsidRDefault="00A60D4B" w:rsidP="00A60D4B">
            <w:pPr>
              <w:spacing w:after="0" w:line="240" w:lineRule="auto"/>
              <w:ind w:left="227" w:hanging="227"/>
              <w:jc w:val="right"/>
              <w:rPr>
                <w:rFonts w:ascii="Calibri" w:eastAsia="Times New Roman" w:hAnsi="Calibri" w:cs="Times New Roman"/>
                <w:sz w:val="20"/>
                <w:szCs w:val="20"/>
                <w:lang w:eastAsia="en-AU"/>
              </w:rPr>
            </w:pPr>
            <w:r w:rsidRPr="00E87DD4">
              <w:rPr>
                <w:rFonts w:ascii="Calibri" w:eastAsia="Times New Roman" w:hAnsi="Calibri" w:cs="Times New Roman"/>
                <w:sz w:val="20"/>
                <w:szCs w:val="20"/>
                <w:lang w:eastAsia="en-AU"/>
              </w:rPr>
              <w:t>4</w:t>
            </w:r>
            <w:r>
              <w:rPr>
                <w:rFonts w:ascii="Calibri" w:eastAsia="Times New Roman" w:hAnsi="Calibri" w:cs="Times New Roman"/>
                <w:sz w:val="20"/>
                <w:szCs w:val="20"/>
                <w:lang w:eastAsia="en-AU"/>
              </w:rPr>
              <w:t>4.6</w:t>
            </w:r>
          </w:p>
        </w:tc>
        <w:tc>
          <w:tcPr>
            <w:tcW w:w="1754" w:type="pct"/>
            <w:tcBorders>
              <w:top w:val="nil"/>
              <w:left w:val="nil"/>
              <w:bottom w:val="single" w:sz="4" w:space="0" w:color="auto"/>
              <w:right w:val="nil"/>
            </w:tcBorders>
            <w:shd w:val="clear" w:color="auto" w:fill="auto"/>
          </w:tcPr>
          <w:p w14:paraId="4D8B0EAE" w14:textId="77777777" w:rsidR="00A60D4B" w:rsidRPr="00892A7C" w:rsidRDefault="00A60D4B" w:rsidP="00A60D4B">
            <w:pPr>
              <w:spacing w:after="0" w:line="240" w:lineRule="auto"/>
              <w:ind w:left="227" w:hanging="227"/>
              <w:jc w:val="right"/>
              <w:rPr>
                <w:rFonts w:ascii="Calibri" w:eastAsia="Times New Roman" w:hAnsi="Calibri" w:cs="Times New Roman"/>
                <w:sz w:val="20"/>
                <w:szCs w:val="20"/>
                <w:lang w:eastAsia="en-AU"/>
              </w:rPr>
            </w:pPr>
            <w:r w:rsidRPr="00E87DD4">
              <w:rPr>
                <w:rFonts w:ascii="Calibri" w:eastAsia="Times New Roman" w:hAnsi="Calibri" w:cs="Times New Roman"/>
                <w:sz w:val="20"/>
                <w:szCs w:val="20"/>
                <w:lang w:eastAsia="en-AU"/>
              </w:rPr>
              <w:t>Jun</w:t>
            </w:r>
          </w:p>
        </w:tc>
      </w:tr>
    </w:tbl>
    <w:p w14:paraId="3E912820" w14:textId="77777777" w:rsidR="00A60D4B" w:rsidRPr="00892A7C" w:rsidRDefault="00A60D4B" w:rsidP="00A60D4B">
      <w:pPr>
        <w:keepNext/>
        <w:spacing w:before="120" w:after="0" w:line="240" w:lineRule="auto"/>
        <w:rPr>
          <w:rFonts w:ascii="Calibri" w:eastAsia="Times New Roman" w:hAnsi="Calibri" w:cs="Times New Roman"/>
          <w:b/>
          <w:sz w:val="18"/>
          <w:szCs w:val="16"/>
          <w:lang w:val="x-none"/>
        </w:rPr>
      </w:pPr>
      <w:r w:rsidRPr="00892A7C">
        <w:rPr>
          <w:rFonts w:ascii="Calibri" w:eastAsia="Times New Roman" w:hAnsi="Calibri" w:cs="Times New Roman"/>
          <w:b/>
          <w:sz w:val="18"/>
          <w:szCs w:val="16"/>
          <w:lang w:val="x-none"/>
        </w:rPr>
        <w:t>Notes:</w:t>
      </w:r>
    </w:p>
    <w:p w14:paraId="61BD2CCA" w14:textId="77777777" w:rsidR="00A60D4B" w:rsidRPr="00892A7C" w:rsidRDefault="00A60D4B" w:rsidP="00A60D4B">
      <w:pPr>
        <w:spacing w:after="0" w:line="240" w:lineRule="auto"/>
        <w:ind w:left="360" w:hanging="360"/>
        <w:rPr>
          <w:rFonts w:ascii="Calibri" w:eastAsia="Times New Roman" w:hAnsi="Calibri" w:cs="Times New Roman"/>
          <w:sz w:val="18"/>
          <w:szCs w:val="24"/>
          <w:lang w:val="x-none"/>
        </w:rPr>
      </w:pPr>
      <w:r w:rsidRPr="00892A7C">
        <w:rPr>
          <w:rFonts w:ascii="Calibri" w:eastAsia="Times New Roman" w:hAnsi="Calibri" w:cs="Times New Roman"/>
          <w:sz w:val="18"/>
          <w:szCs w:val="24"/>
        </w:rPr>
        <w:t>1.</w:t>
      </w:r>
      <w:r w:rsidRPr="00892A7C">
        <w:rPr>
          <w:rFonts w:ascii="Calibri" w:eastAsia="Times New Roman" w:hAnsi="Calibri" w:cs="Times New Roman"/>
          <w:sz w:val="18"/>
          <w:szCs w:val="24"/>
        </w:rPr>
        <w:tab/>
      </w:r>
      <w:r w:rsidRPr="00892A7C">
        <w:rPr>
          <w:rFonts w:ascii="Calibri" w:eastAsia="Times New Roman" w:hAnsi="Calibri" w:cs="Times New Roman"/>
          <w:sz w:val="18"/>
          <w:szCs w:val="24"/>
          <w:lang w:val="x-none"/>
        </w:rPr>
        <w:t>The fixed interest rate used to calculate the annual interest payments.</w:t>
      </w:r>
    </w:p>
    <w:p w14:paraId="316C2111" w14:textId="77777777" w:rsidR="00A60D4B" w:rsidRPr="00892A7C" w:rsidRDefault="00A60D4B" w:rsidP="00A60D4B">
      <w:pPr>
        <w:spacing w:after="0" w:line="240" w:lineRule="auto"/>
        <w:ind w:left="360" w:hanging="360"/>
        <w:rPr>
          <w:rFonts w:ascii="Calibri" w:eastAsia="Times New Roman" w:hAnsi="Calibri" w:cs="Times New Roman"/>
          <w:sz w:val="18"/>
          <w:szCs w:val="24"/>
          <w:lang w:val="x-none"/>
        </w:rPr>
      </w:pPr>
      <w:r w:rsidRPr="00892A7C">
        <w:rPr>
          <w:rFonts w:ascii="Calibri" w:eastAsia="Times New Roman" w:hAnsi="Calibri" w:cs="Times New Roman"/>
          <w:sz w:val="18"/>
          <w:szCs w:val="24"/>
        </w:rPr>
        <w:t>2.</w:t>
      </w:r>
      <w:r w:rsidRPr="00892A7C">
        <w:rPr>
          <w:rFonts w:ascii="Calibri" w:eastAsia="Times New Roman" w:hAnsi="Calibri" w:cs="Times New Roman"/>
          <w:sz w:val="18"/>
          <w:szCs w:val="24"/>
        </w:rPr>
        <w:tab/>
      </w:r>
      <w:r w:rsidRPr="00892A7C">
        <w:rPr>
          <w:rFonts w:ascii="Calibri" w:eastAsia="Times New Roman" w:hAnsi="Calibri" w:cs="Times New Roman"/>
          <w:sz w:val="18"/>
          <w:szCs w:val="24"/>
          <w:lang w:val="x-none"/>
        </w:rPr>
        <w:t>Principal and interest is paid annually in arrears in accordance with established amortising loan schedules.</w:t>
      </w:r>
    </w:p>
    <w:p w14:paraId="1C3D614B" w14:textId="77777777" w:rsidR="00A60D4B" w:rsidRPr="00892A7C" w:rsidRDefault="00A60D4B" w:rsidP="00A60D4B">
      <w:pPr>
        <w:keepNext/>
        <w:keepLines/>
        <w:spacing w:before="240" w:after="120" w:line="240" w:lineRule="auto"/>
        <w:outlineLvl w:val="3"/>
        <w:rPr>
          <w:rFonts w:ascii="Calibri" w:eastAsiaTheme="majorEastAsia" w:hAnsi="Calibri" w:cstheme="majorBidi"/>
          <w:b/>
          <w:i/>
          <w:iCs/>
          <w:sz w:val="24"/>
        </w:rPr>
      </w:pPr>
      <w:r w:rsidRPr="00892A7C">
        <w:rPr>
          <w:rFonts w:ascii="Calibri" w:eastAsiaTheme="majorEastAsia" w:hAnsi="Calibri" w:cstheme="majorBidi"/>
          <w:b/>
          <w:i/>
          <w:iCs/>
          <w:sz w:val="24"/>
        </w:rPr>
        <w:t>Total outstanding market borrowings and loans</w:t>
      </w:r>
    </w:p>
    <w:p w14:paraId="79CA4519" w14:textId="77777777" w:rsidR="00A60D4B" w:rsidRPr="00892A7C" w:rsidRDefault="00A60D4B" w:rsidP="00A60D4B">
      <w:pPr>
        <w:spacing w:before="120" w:after="120" w:line="240" w:lineRule="auto"/>
        <w:rPr>
          <w:sz w:val="24"/>
        </w:rPr>
      </w:pPr>
      <w:r w:rsidRPr="00892A7C">
        <w:rPr>
          <w:sz w:val="24"/>
        </w:rPr>
        <w:t>Table 3.</w:t>
      </w:r>
      <w:r>
        <w:rPr>
          <w:sz w:val="24"/>
        </w:rPr>
        <w:t>8.13</w:t>
      </w:r>
      <w:r w:rsidRPr="00892A7C">
        <w:rPr>
          <w:sz w:val="24"/>
        </w:rPr>
        <w:t xml:space="preserve"> details the Territory’s projected gross borrowing program </w:t>
      </w:r>
      <w:r>
        <w:rPr>
          <w:sz w:val="24"/>
        </w:rPr>
        <w:t>by issuing</w:t>
      </w:r>
      <w:r w:rsidRPr="00892A7C">
        <w:rPr>
          <w:sz w:val="24"/>
        </w:rPr>
        <w:t xml:space="preserve"> debt securities in the </w:t>
      </w:r>
      <w:r>
        <w:rPr>
          <w:sz w:val="24"/>
        </w:rPr>
        <w:t>Australian</w:t>
      </w:r>
      <w:r w:rsidRPr="00892A7C">
        <w:rPr>
          <w:sz w:val="24"/>
        </w:rPr>
        <w:t xml:space="preserve"> capital markets.</w:t>
      </w:r>
    </w:p>
    <w:p w14:paraId="5FC9BB87" w14:textId="6618DC4C" w:rsidR="00A60D4B" w:rsidRPr="00B8150A" w:rsidRDefault="00A60D4B" w:rsidP="00A60D4B">
      <w:pPr>
        <w:pStyle w:val="Caption"/>
      </w:pPr>
      <w:r>
        <w:t xml:space="preserve">Table </w:t>
      </w:r>
      <w:r w:rsidR="00FB4E5C">
        <w:fldChar w:fldCharType="begin"/>
      </w:r>
      <w:r w:rsidR="00FB4E5C">
        <w:instrText xml:space="preserve"> STYLEREF 2 \s </w:instrText>
      </w:r>
      <w:r w:rsidR="00FB4E5C">
        <w:fldChar w:fldCharType="separate"/>
      </w:r>
      <w:r w:rsidR="00F12A80">
        <w:rPr>
          <w:noProof/>
        </w:rPr>
        <w:t>3.8</w:t>
      </w:r>
      <w:r w:rsidR="00FB4E5C">
        <w:rPr>
          <w:noProof/>
        </w:rPr>
        <w:fldChar w:fldCharType="end"/>
      </w:r>
      <w:r>
        <w:t>.</w:t>
      </w:r>
      <w:r w:rsidR="00FB4E5C">
        <w:fldChar w:fldCharType="begin"/>
      </w:r>
      <w:r w:rsidR="00FB4E5C">
        <w:instrText xml:space="preserve"> SEQ Table \* ARABIC \s 2 </w:instrText>
      </w:r>
      <w:r w:rsidR="00FB4E5C">
        <w:fldChar w:fldCharType="separate"/>
      </w:r>
      <w:r w:rsidR="00F12A80">
        <w:rPr>
          <w:noProof/>
        </w:rPr>
        <w:t>13</w:t>
      </w:r>
      <w:r w:rsidR="00FB4E5C">
        <w:rPr>
          <w:noProof/>
        </w:rPr>
        <w:fldChar w:fldCharType="end"/>
      </w:r>
      <w:r w:rsidRPr="00B8150A">
        <w:t>: Territory debt funding program</w:t>
      </w:r>
    </w:p>
    <w:tbl>
      <w:tblPr>
        <w:tblW w:w="9027"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451"/>
        <w:gridCol w:w="1315"/>
        <w:gridCol w:w="1315"/>
        <w:gridCol w:w="1315"/>
        <w:gridCol w:w="1315"/>
        <w:gridCol w:w="1316"/>
      </w:tblGrid>
      <w:tr w:rsidR="00A60D4B" w:rsidRPr="00E87DD4" w14:paraId="1E6152C5" w14:textId="77777777" w:rsidTr="00A60D4B">
        <w:trPr>
          <w:trHeight w:val="257"/>
        </w:trPr>
        <w:tc>
          <w:tcPr>
            <w:tcW w:w="2451" w:type="dxa"/>
            <w:tcBorders>
              <w:bottom w:val="single" w:sz="4" w:space="0" w:color="auto"/>
            </w:tcBorders>
            <w:shd w:val="clear" w:color="auto" w:fill="472D8C"/>
          </w:tcPr>
          <w:p w14:paraId="592C162A" w14:textId="77777777" w:rsidR="00A60D4B" w:rsidRPr="00292DE3" w:rsidRDefault="00A60D4B" w:rsidP="00A60D4B">
            <w:pPr>
              <w:pStyle w:val="Emptycell"/>
              <w:numPr>
                <w:ilvl w:val="0"/>
                <w:numId w:val="0"/>
              </w:numPr>
            </w:pPr>
          </w:p>
        </w:tc>
        <w:tc>
          <w:tcPr>
            <w:tcW w:w="1315" w:type="dxa"/>
            <w:tcBorders>
              <w:bottom w:val="single" w:sz="4" w:space="0" w:color="auto"/>
            </w:tcBorders>
            <w:shd w:val="clear" w:color="auto" w:fill="472D8C"/>
          </w:tcPr>
          <w:p w14:paraId="0B5B2739"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20</w:t>
            </w:r>
            <w:r>
              <w:rPr>
                <w:rFonts w:ascii="Calibri" w:hAnsi="Calibri"/>
                <w:b/>
                <w:color w:val="FFFFFF" w:themeColor="background1"/>
                <w:sz w:val="20"/>
              </w:rPr>
              <w:t>20</w:t>
            </w:r>
            <w:r w:rsidRPr="0098065F">
              <w:rPr>
                <w:rFonts w:ascii="Calibri" w:hAnsi="Calibri"/>
                <w:b/>
                <w:color w:val="FFFFFF" w:themeColor="background1"/>
                <w:sz w:val="20"/>
              </w:rPr>
              <w:t>-2</w:t>
            </w:r>
            <w:r>
              <w:rPr>
                <w:rFonts w:ascii="Calibri" w:hAnsi="Calibri"/>
                <w:b/>
                <w:color w:val="FFFFFF" w:themeColor="background1"/>
                <w:sz w:val="20"/>
              </w:rPr>
              <w:t>1</w:t>
            </w:r>
            <w:r w:rsidRPr="0098065F">
              <w:rPr>
                <w:rFonts w:ascii="Calibri" w:hAnsi="Calibri"/>
                <w:b/>
                <w:color w:val="FFFFFF" w:themeColor="background1"/>
                <w:sz w:val="20"/>
              </w:rPr>
              <w:t xml:space="preserve"> </w:t>
            </w:r>
            <w:r>
              <w:rPr>
                <w:rFonts w:ascii="Calibri" w:hAnsi="Calibri"/>
                <w:b/>
                <w:color w:val="FFFFFF" w:themeColor="background1"/>
                <w:sz w:val="20"/>
              </w:rPr>
              <w:t>Interim Outcome</w:t>
            </w:r>
          </w:p>
          <w:p w14:paraId="42FC60A4" w14:textId="77777777" w:rsidR="00A60D4B" w:rsidRPr="00292DE3"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$’000</w:t>
            </w:r>
          </w:p>
        </w:tc>
        <w:tc>
          <w:tcPr>
            <w:tcW w:w="1315" w:type="dxa"/>
            <w:tcBorders>
              <w:bottom w:val="single" w:sz="4" w:space="0" w:color="auto"/>
            </w:tcBorders>
            <w:shd w:val="clear" w:color="auto" w:fill="472D8C"/>
          </w:tcPr>
          <w:p w14:paraId="6714507D"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202</w:t>
            </w:r>
            <w:r>
              <w:rPr>
                <w:rFonts w:ascii="Calibri" w:hAnsi="Calibri"/>
                <w:b/>
                <w:color w:val="FFFFFF" w:themeColor="background1"/>
                <w:sz w:val="20"/>
              </w:rPr>
              <w:t>1</w:t>
            </w:r>
            <w:r w:rsidRPr="0098065F">
              <w:rPr>
                <w:rFonts w:ascii="Calibri" w:hAnsi="Calibri"/>
                <w:b/>
                <w:color w:val="FFFFFF" w:themeColor="background1"/>
                <w:sz w:val="20"/>
              </w:rPr>
              <w:t>-2</w:t>
            </w:r>
            <w:r>
              <w:rPr>
                <w:rFonts w:ascii="Calibri" w:hAnsi="Calibri"/>
                <w:b/>
                <w:color w:val="FFFFFF" w:themeColor="background1"/>
                <w:sz w:val="20"/>
              </w:rPr>
              <w:t>2</w:t>
            </w:r>
            <w:r w:rsidRPr="0098065F">
              <w:rPr>
                <w:rFonts w:ascii="Calibri" w:hAnsi="Calibri"/>
                <w:b/>
                <w:color w:val="FFFFFF" w:themeColor="background1"/>
                <w:sz w:val="20"/>
              </w:rPr>
              <w:t xml:space="preserve"> Budget</w:t>
            </w:r>
          </w:p>
          <w:p w14:paraId="1160AE3E" w14:textId="77777777" w:rsidR="00A60D4B" w:rsidRDefault="00A60D4B" w:rsidP="00A60D4B">
            <w:pPr>
              <w:spacing w:after="0" w:line="240" w:lineRule="auto"/>
              <w:ind w:left="227" w:hanging="227"/>
              <w:jc w:val="right"/>
              <w:rPr>
                <w:rFonts w:ascii="Calibri" w:hAnsi="Calibri"/>
                <w:b/>
                <w:color w:val="FFFFFF" w:themeColor="background1"/>
                <w:sz w:val="20"/>
              </w:rPr>
            </w:pPr>
          </w:p>
          <w:p w14:paraId="45094A67" w14:textId="77777777" w:rsidR="00A60D4B" w:rsidRPr="00292DE3"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$’000</w:t>
            </w:r>
          </w:p>
        </w:tc>
        <w:tc>
          <w:tcPr>
            <w:tcW w:w="1315" w:type="dxa"/>
            <w:tcBorders>
              <w:bottom w:val="single" w:sz="4" w:space="0" w:color="auto"/>
            </w:tcBorders>
            <w:shd w:val="clear" w:color="auto" w:fill="472D8C"/>
          </w:tcPr>
          <w:p w14:paraId="10782F02"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202</w:t>
            </w:r>
            <w:r>
              <w:rPr>
                <w:rFonts w:ascii="Calibri" w:hAnsi="Calibri"/>
                <w:b/>
                <w:color w:val="FFFFFF" w:themeColor="background1"/>
                <w:sz w:val="20"/>
              </w:rPr>
              <w:t>2</w:t>
            </w:r>
            <w:r w:rsidRPr="0098065F">
              <w:rPr>
                <w:rFonts w:ascii="Calibri" w:hAnsi="Calibri"/>
                <w:b/>
                <w:color w:val="FFFFFF" w:themeColor="background1"/>
                <w:sz w:val="20"/>
              </w:rPr>
              <w:t>-2</w:t>
            </w:r>
            <w:r>
              <w:rPr>
                <w:rFonts w:ascii="Calibri" w:hAnsi="Calibri"/>
                <w:b/>
                <w:color w:val="FFFFFF" w:themeColor="background1"/>
                <w:sz w:val="20"/>
              </w:rPr>
              <w:t>3</w:t>
            </w:r>
            <w:r w:rsidRPr="0098065F">
              <w:rPr>
                <w:rFonts w:ascii="Calibri" w:hAnsi="Calibri"/>
                <w:b/>
                <w:color w:val="FFFFFF" w:themeColor="background1"/>
                <w:sz w:val="20"/>
              </w:rPr>
              <w:t xml:space="preserve"> Estimate</w:t>
            </w:r>
          </w:p>
          <w:p w14:paraId="6DB00E2E" w14:textId="77777777" w:rsidR="00A60D4B" w:rsidRDefault="00A60D4B" w:rsidP="00A60D4B">
            <w:pPr>
              <w:spacing w:after="0" w:line="240" w:lineRule="auto"/>
              <w:ind w:left="227" w:hanging="227"/>
              <w:jc w:val="right"/>
              <w:rPr>
                <w:rFonts w:ascii="Calibri" w:hAnsi="Calibri"/>
                <w:b/>
                <w:color w:val="FFFFFF" w:themeColor="background1"/>
                <w:sz w:val="20"/>
              </w:rPr>
            </w:pPr>
          </w:p>
          <w:p w14:paraId="161CEC3B" w14:textId="77777777" w:rsidR="00A60D4B" w:rsidRPr="00292DE3"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$’000</w:t>
            </w:r>
          </w:p>
        </w:tc>
        <w:tc>
          <w:tcPr>
            <w:tcW w:w="1315" w:type="dxa"/>
            <w:tcBorders>
              <w:bottom w:val="single" w:sz="4" w:space="0" w:color="auto"/>
            </w:tcBorders>
            <w:shd w:val="clear" w:color="auto" w:fill="472D8C"/>
          </w:tcPr>
          <w:p w14:paraId="6E9F4E1A"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202</w:t>
            </w:r>
            <w:r>
              <w:rPr>
                <w:rFonts w:ascii="Calibri" w:hAnsi="Calibri"/>
                <w:b/>
                <w:color w:val="FFFFFF" w:themeColor="background1"/>
                <w:sz w:val="20"/>
              </w:rPr>
              <w:t>3</w:t>
            </w:r>
            <w:r w:rsidRPr="0098065F">
              <w:rPr>
                <w:rFonts w:ascii="Calibri" w:hAnsi="Calibri"/>
                <w:b/>
                <w:color w:val="FFFFFF" w:themeColor="background1"/>
                <w:sz w:val="20"/>
              </w:rPr>
              <w:t>-2</w:t>
            </w:r>
            <w:r>
              <w:rPr>
                <w:rFonts w:ascii="Calibri" w:hAnsi="Calibri"/>
                <w:b/>
                <w:color w:val="FFFFFF" w:themeColor="background1"/>
                <w:sz w:val="20"/>
              </w:rPr>
              <w:t>4</w:t>
            </w:r>
            <w:r w:rsidRPr="0098065F">
              <w:rPr>
                <w:rFonts w:ascii="Calibri" w:hAnsi="Calibri"/>
                <w:b/>
                <w:color w:val="FFFFFF" w:themeColor="background1"/>
                <w:sz w:val="20"/>
              </w:rPr>
              <w:t xml:space="preserve"> Estimate</w:t>
            </w:r>
          </w:p>
          <w:p w14:paraId="70841DE6" w14:textId="77777777" w:rsidR="00A60D4B" w:rsidRDefault="00A60D4B" w:rsidP="00A60D4B">
            <w:pPr>
              <w:spacing w:after="0" w:line="240" w:lineRule="auto"/>
              <w:ind w:left="227" w:hanging="227"/>
              <w:jc w:val="right"/>
              <w:rPr>
                <w:rFonts w:ascii="Calibri" w:hAnsi="Calibri"/>
                <w:b/>
                <w:color w:val="FFFFFF" w:themeColor="background1"/>
                <w:sz w:val="20"/>
              </w:rPr>
            </w:pPr>
          </w:p>
          <w:p w14:paraId="177BF479" w14:textId="77777777" w:rsidR="00A60D4B" w:rsidRPr="00292DE3"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$’000</w:t>
            </w:r>
          </w:p>
        </w:tc>
        <w:tc>
          <w:tcPr>
            <w:tcW w:w="1316" w:type="dxa"/>
            <w:tcBorders>
              <w:bottom w:val="single" w:sz="4" w:space="0" w:color="auto"/>
            </w:tcBorders>
            <w:shd w:val="clear" w:color="auto" w:fill="472D8C"/>
          </w:tcPr>
          <w:p w14:paraId="095E7970" w14:textId="77777777" w:rsidR="00A60D4B" w:rsidRPr="0098065F"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202</w:t>
            </w:r>
            <w:r>
              <w:rPr>
                <w:rFonts w:ascii="Calibri" w:hAnsi="Calibri"/>
                <w:b/>
                <w:color w:val="FFFFFF" w:themeColor="background1"/>
                <w:sz w:val="20"/>
              </w:rPr>
              <w:t>4</w:t>
            </w:r>
            <w:r w:rsidRPr="0098065F">
              <w:rPr>
                <w:rFonts w:ascii="Calibri" w:hAnsi="Calibri"/>
                <w:b/>
                <w:color w:val="FFFFFF" w:themeColor="background1"/>
                <w:sz w:val="20"/>
              </w:rPr>
              <w:t>-2</w:t>
            </w:r>
            <w:r>
              <w:rPr>
                <w:rFonts w:ascii="Calibri" w:hAnsi="Calibri"/>
                <w:b/>
                <w:color w:val="FFFFFF" w:themeColor="background1"/>
                <w:sz w:val="20"/>
              </w:rPr>
              <w:t>5</w:t>
            </w:r>
            <w:r w:rsidRPr="0098065F">
              <w:rPr>
                <w:rFonts w:ascii="Calibri" w:hAnsi="Calibri"/>
                <w:b/>
                <w:color w:val="FFFFFF" w:themeColor="background1"/>
                <w:sz w:val="20"/>
              </w:rPr>
              <w:t xml:space="preserve"> Estimate</w:t>
            </w:r>
          </w:p>
          <w:p w14:paraId="08656900" w14:textId="77777777" w:rsidR="00A60D4B" w:rsidRDefault="00A60D4B" w:rsidP="00A60D4B">
            <w:pPr>
              <w:spacing w:after="0" w:line="240" w:lineRule="auto"/>
              <w:ind w:left="227" w:hanging="227"/>
              <w:jc w:val="right"/>
              <w:rPr>
                <w:rFonts w:ascii="Calibri" w:hAnsi="Calibri"/>
                <w:b/>
                <w:color w:val="FFFFFF" w:themeColor="background1"/>
                <w:sz w:val="20"/>
              </w:rPr>
            </w:pPr>
          </w:p>
          <w:p w14:paraId="3579D807" w14:textId="77777777" w:rsidR="00A60D4B" w:rsidRPr="00292DE3" w:rsidRDefault="00A60D4B" w:rsidP="00A60D4B">
            <w:pPr>
              <w:spacing w:after="0" w:line="240" w:lineRule="auto"/>
              <w:ind w:left="227" w:hanging="227"/>
              <w:jc w:val="right"/>
              <w:rPr>
                <w:rFonts w:ascii="Calibri" w:hAnsi="Calibri"/>
                <w:b/>
                <w:color w:val="FFFFFF" w:themeColor="background1"/>
                <w:sz w:val="20"/>
              </w:rPr>
            </w:pPr>
            <w:r w:rsidRPr="0098065F">
              <w:rPr>
                <w:rFonts w:ascii="Calibri" w:hAnsi="Calibri"/>
                <w:b/>
                <w:color w:val="FFFFFF" w:themeColor="background1"/>
                <w:sz w:val="20"/>
              </w:rPr>
              <w:t>$’000</w:t>
            </w:r>
          </w:p>
        </w:tc>
      </w:tr>
      <w:tr w:rsidR="00A60D4B" w:rsidRPr="00996F8D" w14:paraId="548F765D" w14:textId="77777777" w:rsidTr="00A60D4B">
        <w:trPr>
          <w:trHeight w:val="270"/>
        </w:trPr>
        <w:tc>
          <w:tcPr>
            <w:tcW w:w="2451" w:type="dxa"/>
            <w:tcBorders>
              <w:top w:val="single" w:sz="4" w:space="0" w:color="auto"/>
              <w:bottom w:val="nil"/>
            </w:tcBorders>
          </w:tcPr>
          <w:p w14:paraId="16B11B52" w14:textId="77777777" w:rsidR="00A60D4B" w:rsidRPr="00996F8D" w:rsidRDefault="00A60D4B" w:rsidP="00A60D4B">
            <w:pPr>
              <w:pStyle w:val="Btabletextunbold"/>
            </w:pPr>
            <w:r w:rsidRPr="00996F8D">
              <w:t xml:space="preserve">New </w:t>
            </w:r>
            <w:r>
              <w:t>Borrowings</w:t>
            </w:r>
          </w:p>
        </w:tc>
        <w:tc>
          <w:tcPr>
            <w:tcW w:w="1315" w:type="dxa"/>
            <w:tcBorders>
              <w:top w:val="single" w:sz="4" w:space="0" w:color="auto"/>
              <w:bottom w:val="nil"/>
            </w:tcBorders>
          </w:tcPr>
          <w:p w14:paraId="2371E4C5" w14:textId="77777777" w:rsidR="00A60D4B" w:rsidRPr="00996F8D" w:rsidRDefault="00A60D4B" w:rsidP="00A60D4B">
            <w:pPr>
              <w:pStyle w:val="Btablefigureunbold"/>
            </w:pPr>
            <w:r w:rsidRPr="00996F8D">
              <w:t>996,690</w:t>
            </w:r>
          </w:p>
        </w:tc>
        <w:tc>
          <w:tcPr>
            <w:tcW w:w="1315" w:type="dxa"/>
            <w:tcBorders>
              <w:top w:val="single" w:sz="4" w:space="0" w:color="auto"/>
              <w:bottom w:val="nil"/>
            </w:tcBorders>
          </w:tcPr>
          <w:p w14:paraId="63621415" w14:textId="77777777" w:rsidR="00A60D4B" w:rsidRPr="00996F8D" w:rsidRDefault="00A60D4B" w:rsidP="00A60D4B">
            <w:pPr>
              <w:pStyle w:val="Btablefigureunbold"/>
            </w:pPr>
            <w:r w:rsidRPr="00996F8D">
              <w:t>1,74</w:t>
            </w:r>
            <w:r>
              <w:t>0</w:t>
            </w:r>
            <w:r w:rsidRPr="00996F8D">
              <w:t>,</w:t>
            </w:r>
            <w:r>
              <w:t>000</w:t>
            </w:r>
          </w:p>
        </w:tc>
        <w:tc>
          <w:tcPr>
            <w:tcW w:w="1315" w:type="dxa"/>
            <w:tcBorders>
              <w:top w:val="single" w:sz="4" w:space="0" w:color="auto"/>
              <w:bottom w:val="nil"/>
            </w:tcBorders>
            <w:shd w:val="clear" w:color="auto" w:fill="auto"/>
          </w:tcPr>
          <w:p w14:paraId="44A96483" w14:textId="77777777" w:rsidR="00A60D4B" w:rsidRPr="00996F8D" w:rsidRDefault="00A60D4B" w:rsidP="00A60D4B">
            <w:pPr>
              <w:pStyle w:val="Btablefigureunbold"/>
            </w:pPr>
            <w:r w:rsidRPr="00996F8D">
              <w:t>70</w:t>
            </w:r>
            <w:r>
              <w:t>5</w:t>
            </w:r>
            <w:r w:rsidRPr="00996F8D">
              <w:t>,</w:t>
            </w:r>
            <w:r>
              <w:t>000</w:t>
            </w:r>
          </w:p>
        </w:tc>
        <w:tc>
          <w:tcPr>
            <w:tcW w:w="1315" w:type="dxa"/>
            <w:tcBorders>
              <w:top w:val="single" w:sz="4" w:space="0" w:color="auto"/>
              <w:bottom w:val="nil"/>
            </w:tcBorders>
          </w:tcPr>
          <w:p w14:paraId="3181CB3C" w14:textId="77777777" w:rsidR="00A60D4B" w:rsidRPr="00996F8D" w:rsidRDefault="00A60D4B" w:rsidP="00A60D4B">
            <w:pPr>
              <w:pStyle w:val="Btablefigureunbold"/>
            </w:pPr>
            <w:r w:rsidRPr="00996F8D">
              <w:t>2,095,</w:t>
            </w:r>
            <w:r>
              <w:t>000</w:t>
            </w:r>
          </w:p>
        </w:tc>
        <w:tc>
          <w:tcPr>
            <w:tcW w:w="1316" w:type="dxa"/>
            <w:tcBorders>
              <w:top w:val="single" w:sz="4" w:space="0" w:color="auto"/>
              <w:bottom w:val="nil"/>
            </w:tcBorders>
            <w:shd w:val="clear" w:color="auto" w:fill="auto"/>
          </w:tcPr>
          <w:p w14:paraId="5B5E87E0" w14:textId="77777777" w:rsidR="00A60D4B" w:rsidRPr="00996F8D" w:rsidRDefault="00A60D4B" w:rsidP="00A60D4B">
            <w:pPr>
              <w:pStyle w:val="Btablefigureunbold"/>
            </w:pPr>
            <w:r w:rsidRPr="00996F8D">
              <w:t>1,0</w:t>
            </w:r>
            <w:r>
              <w:t>40</w:t>
            </w:r>
            <w:r w:rsidRPr="00996F8D">
              <w:t>,</w:t>
            </w:r>
            <w:r>
              <w:t>000</w:t>
            </w:r>
          </w:p>
        </w:tc>
      </w:tr>
      <w:tr w:rsidR="00A60D4B" w:rsidRPr="00996F8D" w14:paraId="0FCF32C4" w14:textId="77777777" w:rsidTr="00A60D4B">
        <w:trPr>
          <w:trHeight w:val="270"/>
        </w:trPr>
        <w:tc>
          <w:tcPr>
            <w:tcW w:w="2451" w:type="dxa"/>
            <w:tcBorders>
              <w:top w:val="nil"/>
              <w:bottom w:val="single" w:sz="4" w:space="0" w:color="auto"/>
            </w:tcBorders>
          </w:tcPr>
          <w:p w14:paraId="1EBCAD65" w14:textId="77777777" w:rsidR="00A60D4B" w:rsidRPr="00996F8D" w:rsidRDefault="00A60D4B" w:rsidP="00A60D4B">
            <w:pPr>
              <w:pStyle w:val="Btabletextunbold"/>
            </w:pPr>
            <w:r>
              <w:rPr>
                <w:rFonts w:eastAsia="Times New Roman" w:cs="Times New Roman"/>
                <w:bCs/>
                <w:szCs w:val="20"/>
                <w:lang w:val="en-US" w:eastAsia="en-AU"/>
              </w:rPr>
              <w:t>Maturities</w:t>
            </w:r>
          </w:p>
        </w:tc>
        <w:tc>
          <w:tcPr>
            <w:tcW w:w="1315" w:type="dxa"/>
            <w:tcBorders>
              <w:top w:val="nil"/>
              <w:bottom w:val="single" w:sz="4" w:space="0" w:color="auto"/>
            </w:tcBorders>
          </w:tcPr>
          <w:p w14:paraId="4754CCD7" w14:textId="77777777" w:rsidR="00A60D4B" w:rsidRPr="00996F8D" w:rsidRDefault="00A60D4B" w:rsidP="00A60D4B">
            <w:pPr>
              <w:pStyle w:val="Btablefigureunbold"/>
            </w:pPr>
            <w:r w:rsidRPr="00996F8D">
              <w:t>-</w:t>
            </w:r>
          </w:p>
        </w:tc>
        <w:tc>
          <w:tcPr>
            <w:tcW w:w="1315" w:type="dxa"/>
            <w:tcBorders>
              <w:top w:val="nil"/>
              <w:bottom w:val="single" w:sz="4" w:space="0" w:color="auto"/>
            </w:tcBorders>
          </w:tcPr>
          <w:p w14:paraId="1B432315" w14:textId="77777777" w:rsidR="00A60D4B" w:rsidRPr="00996F8D" w:rsidRDefault="00A60D4B" w:rsidP="00A60D4B">
            <w:pPr>
              <w:pStyle w:val="Btablefigureunbold"/>
              <w:rPr>
                <w:bCs/>
              </w:rPr>
            </w:pPr>
            <w:r w:rsidRPr="00996F8D">
              <w:rPr>
                <w:bCs/>
              </w:rPr>
              <w:t>5</w:t>
            </w:r>
            <w:r>
              <w:rPr>
                <w:bCs/>
              </w:rPr>
              <w:t>50</w:t>
            </w:r>
            <w:r w:rsidRPr="00996F8D">
              <w:rPr>
                <w:bCs/>
              </w:rPr>
              <w:t>,</w:t>
            </w:r>
            <w:r>
              <w:rPr>
                <w:bCs/>
              </w:rPr>
              <w:t>000</w:t>
            </w:r>
          </w:p>
        </w:tc>
        <w:tc>
          <w:tcPr>
            <w:tcW w:w="1315" w:type="dxa"/>
            <w:tcBorders>
              <w:top w:val="nil"/>
              <w:bottom w:val="single" w:sz="4" w:space="0" w:color="auto"/>
            </w:tcBorders>
            <w:shd w:val="clear" w:color="auto" w:fill="auto"/>
          </w:tcPr>
          <w:p w14:paraId="79A5A156" w14:textId="77777777" w:rsidR="00A60D4B" w:rsidRPr="00996F8D" w:rsidRDefault="00A60D4B" w:rsidP="00A60D4B">
            <w:pPr>
              <w:pStyle w:val="Btablefigureunbold"/>
              <w:rPr>
                <w:bCs/>
              </w:rPr>
            </w:pPr>
            <w:r w:rsidRPr="00996F8D">
              <w:rPr>
                <w:bCs/>
              </w:rPr>
              <w:t>1,10</w:t>
            </w:r>
            <w:r>
              <w:rPr>
                <w:bCs/>
              </w:rPr>
              <w:t>0</w:t>
            </w:r>
            <w:r w:rsidRPr="00996F8D">
              <w:rPr>
                <w:bCs/>
              </w:rPr>
              <w:t>,</w:t>
            </w:r>
            <w:r>
              <w:rPr>
                <w:bCs/>
              </w:rPr>
              <w:t>000</w:t>
            </w:r>
          </w:p>
        </w:tc>
        <w:tc>
          <w:tcPr>
            <w:tcW w:w="1315" w:type="dxa"/>
            <w:tcBorders>
              <w:top w:val="nil"/>
              <w:bottom w:val="single" w:sz="4" w:space="0" w:color="auto"/>
            </w:tcBorders>
          </w:tcPr>
          <w:p w14:paraId="622B4FBC" w14:textId="77777777" w:rsidR="00A60D4B" w:rsidRPr="00996F8D" w:rsidRDefault="00A60D4B" w:rsidP="00A60D4B">
            <w:pPr>
              <w:pStyle w:val="Btablefigureunbold"/>
              <w:rPr>
                <w:bCs/>
              </w:rPr>
            </w:pPr>
            <w:r>
              <w:rPr>
                <w:bCs/>
              </w:rPr>
              <w:t>500</w:t>
            </w:r>
            <w:r w:rsidRPr="00996F8D">
              <w:rPr>
                <w:bCs/>
              </w:rPr>
              <w:t>,</w:t>
            </w:r>
            <w:r>
              <w:rPr>
                <w:bCs/>
              </w:rPr>
              <w:t>000</w:t>
            </w:r>
          </w:p>
        </w:tc>
        <w:tc>
          <w:tcPr>
            <w:tcW w:w="1316" w:type="dxa"/>
            <w:tcBorders>
              <w:top w:val="nil"/>
              <w:bottom w:val="single" w:sz="4" w:space="0" w:color="auto"/>
            </w:tcBorders>
            <w:shd w:val="clear" w:color="auto" w:fill="auto"/>
          </w:tcPr>
          <w:p w14:paraId="329EC3ED" w14:textId="77777777" w:rsidR="00A60D4B" w:rsidRPr="00996F8D" w:rsidRDefault="00A60D4B" w:rsidP="00A60D4B">
            <w:pPr>
              <w:pStyle w:val="Btablefigureunbold"/>
              <w:rPr>
                <w:bCs/>
              </w:rPr>
            </w:pPr>
            <w:r w:rsidRPr="00996F8D">
              <w:rPr>
                <w:bCs/>
              </w:rPr>
              <w:t>1,000,</w:t>
            </w:r>
            <w:r>
              <w:rPr>
                <w:bCs/>
              </w:rPr>
              <w:t>000</w:t>
            </w:r>
          </w:p>
        </w:tc>
      </w:tr>
      <w:tr w:rsidR="00A60D4B" w:rsidRPr="00DA0BA0" w14:paraId="7E7EFE52" w14:textId="77777777" w:rsidTr="00A60D4B">
        <w:trPr>
          <w:trHeight w:val="270"/>
        </w:trPr>
        <w:tc>
          <w:tcPr>
            <w:tcW w:w="2451" w:type="dxa"/>
            <w:tcBorders>
              <w:top w:val="single" w:sz="4" w:space="0" w:color="auto"/>
              <w:bottom w:val="single" w:sz="4" w:space="0" w:color="auto"/>
            </w:tcBorders>
          </w:tcPr>
          <w:p w14:paraId="1ADB509D" w14:textId="77777777" w:rsidR="00A60D4B" w:rsidRPr="00996F8D" w:rsidRDefault="00A60D4B" w:rsidP="00A60D4B">
            <w:pPr>
              <w:spacing w:after="0" w:line="240" w:lineRule="auto"/>
              <w:ind w:left="227" w:hanging="227"/>
              <w:rPr>
                <w:rFonts w:ascii="Calibri" w:hAnsi="Calibri"/>
                <w:b/>
                <w:bCs/>
                <w:sz w:val="20"/>
              </w:rPr>
            </w:pPr>
            <w:r w:rsidRPr="00996F8D">
              <w:rPr>
                <w:rFonts w:ascii="Calibri" w:eastAsia="Times New Roman" w:hAnsi="Calibri" w:cs="Times New Roman"/>
                <w:b/>
                <w:bCs/>
                <w:sz w:val="20"/>
                <w:szCs w:val="20"/>
                <w:lang w:eastAsia="en-AU"/>
              </w:rPr>
              <w:t xml:space="preserve">Total funding </w:t>
            </w:r>
            <w:r w:rsidRPr="00996F8D">
              <w:rPr>
                <w:rFonts w:ascii="Calibri" w:eastAsia="Times New Roman" w:hAnsi="Calibri" w:cs="Times New Roman"/>
                <w:b/>
                <w:bCs/>
                <w:sz w:val="20"/>
                <w:szCs w:val="20"/>
                <w:vertAlign w:val="superscript"/>
                <w:lang w:eastAsia="en-AU"/>
              </w:rPr>
              <w:t>1</w:t>
            </w:r>
            <w:r w:rsidRPr="00996F8D">
              <w:rPr>
                <w:rFonts w:ascii="Calibri" w:eastAsia="Times New Roman" w:hAnsi="Calibri" w:cs="Times New Roman"/>
                <w:b/>
                <w:bCs/>
                <w:sz w:val="20"/>
                <w:szCs w:val="20"/>
                <w:vertAlign w:val="superscript"/>
                <w:lang w:val="en-US" w:eastAsia="en-AU"/>
              </w:rPr>
              <w:t>,2,3</w:t>
            </w:r>
          </w:p>
        </w:tc>
        <w:tc>
          <w:tcPr>
            <w:tcW w:w="1315" w:type="dxa"/>
            <w:tcBorders>
              <w:top w:val="single" w:sz="4" w:space="0" w:color="auto"/>
              <w:bottom w:val="single" w:sz="4" w:space="0" w:color="auto"/>
            </w:tcBorders>
          </w:tcPr>
          <w:p w14:paraId="6AB04E7B" w14:textId="77777777" w:rsidR="00A60D4B" w:rsidRPr="00996F8D" w:rsidRDefault="00A60D4B" w:rsidP="00A60D4B">
            <w:pPr>
              <w:pStyle w:val="BTablefigureBold"/>
            </w:pPr>
            <w:r w:rsidRPr="00996F8D">
              <w:t>996,690</w:t>
            </w:r>
          </w:p>
        </w:tc>
        <w:tc>
          <w:tcPr>
            <w:tcW w:w="1315" w:type="dxa"/>
            <w:tcBorders>
              <w:top w:val="single" w:sz="4" w:space="0" w:color="auto"/>
              <w:bottom w:val="single" w:sz="4" w:space="0" w:color="auto"/>
            </w:tcBorders>
          </w:tcPr>
          <w:p w14:paraId="08BFAE69" w14:textId="77777777" w:rsidR="00A60D4B" w:rsidRPr="00996F8D" w:rsidRDefault="00A60D4B" w:rsidP="00A60D4B">
            <w:pPr>
              <w:pStyle w:val="BTablefigureBold"/>
            </w:pPr>
            <w:r w:rsidRPr="00996F8D">
              <w:t>2,290,000</w:t>
            </w:r>
          </w:p>
        </w:tc>
        <w:tc>
          <w:tcPr>
            <w:tcW w:w="1315" w:type="dxa"/>
            <w:tcBorders>
              <w:top w:val="single" w:sz="4" w:space="0" w:color="auto"/>
              <w:bottom w:val="single" w:sz="4" w:space="0" w:color="auto"/>
            </w:tcBorders>
            <w:shd w:val="clear" w:color="auto" w:fill="auto"/>
          </w:tcPr>
          <w:p w14:paraId="3C92B0EF" w14:textId="77777777" w:rsidR="00A60D4B" w:rsidRPr="00996F8D" w:rsidRDefault="00A60D4B" w:rsidP="00A60D4B">
            <w:pPr>
              <w:pStyle w:val="BTablefigureBold"/>
            </w:pPr>
            <w:r w:rsidRPr="00996F8D">
              <w:t>1,805,000</w:t>
            </w:r>
          </w:p>
        </w:tc>
        <w:tc>
          <w:tcPr>
            <w:tcW w:w="1315" w:type="dxa"/>
            <w:tcBorders>
              <w:top w:val="single" w:sz="4" w:space="0" w:color="auto"/>
              <w:bottom w:val="single" w:sz="4" w:space="0" w:color="auto"/>
            </w:tcBorders>
          </w:tcPr>
          <w:p w14:paraId="629AA2E7" w14:textId="77777777" w:rsidR="00A60D4B" w:rsidRPr="00996F8D" w:rsidRDefault="00A60D4B" w:rsidP="00A60D4B">
            <w:pPr>
              <w:pStyle w:val="BTablefigureBold"/>
            </w:pPr>
            <w:r w:rsidRPr="00996F8D">
              <w:t>2,595,000</w:t>
            </w:r>
          </w:p>
        </w:tc>
        <w:tc>
          <w:tcPr>
            <w:tcW w:w="1316" w:type="dxa"/>
            <w:tcBorders>
              <w:top w:val="single" w:sz="4" w:space="0" w:color="auto"/>
              <w:bottom w:val="single" w:sz="4" w:space="0" w:color="auto"/>
            </w:tcBorders>
            <w:shd w:val="clear" w:color="auto" w:fill="auto"/>
          </w:tcPr>
          <w:p w14:paraId="61686F34" w14:textId="77777777" w:rsidR="00A60D4B" w:rsidRPr="00996F8D" w:rsidRDefault="00A60D4B" w:rsidP="00A60D4B">
            <w:pPr>
              <w:pStyle w:val="BTablefigureBold"/>
            </w:pPr>
            <w:r w:rsidRPr="00996F8D">
              <w:t>2,040,000</w:t>
            </w:r>
          </w:p>
        </w:tc>
      </w:tr>
    </w:tbl>
    <w:p w14:paraId="68EF8739" w14:textId="77777777" w:rsidR="00A60D4B" w:rsidRPr="00892A7C" w:rsidRDefault="00A60D4B" w:rsidP="00A60D4B">
      <w:pPr>
        <w:keepNext/>
        <w:spacing w:before="120" w:after="0" w:line="240" w:lineRule="auto"/>
        <w:rPr>
          <w:rFonts w:ascii="Calibri" w:eastAsia="Times New Roman" w:hAnsi="Calibri" w:cs="Times New Roman"/>
          <w:b/>
          <w:sz w:val="18"/>
          <w:szCs w:val="16"/>
          <w:lang w:val="x-none"/>
        </w:rPr>
      </w:pPr>
      <w:r w:rsidRPr="00892A7C">
        <w:rPr>
          <w:rFonts w:ascii="Calibri" w:eastAsia="Times New Roman" w:hAnsi="Calibri" w:cs="Times New Roman"/>
          <w:b/>
          <w:sz w:val="18"/>
          <w:szCs w:val="16"/>
          <w:lang w:val="x-none"/>
        </w:rPr>
        <w:t>Notes:</w:t>
      </w:r>
    </w:p>
    <w:p w14:paraId="4823843A" w14:textId="77777777" w:rsidR="00A60D4B" w:rsidRPr="00892A7C" w:rsidRDefault="00A60D4B" w:rsidP="00A60D4B">
      <w:pPr>
        <w:spacing w:after="0" w:line="240" w:lineRule="auto"/>
        <w:ind w:left="360" w:hanging="360"/>
        <w:rPr>
          <w:rFonts w:ascii="Calibri" w:eastAsia="Times New Roman" w:hAnsi="Calibri" w:cs="Times New Roman"/>
          <w:sz w:val="18"/>
          <w:szCs w:val="24"/>
          <w:lang w:val="x-none"/>
        </w:rPr>
      </w:pPr>
      <w:r w:rsidRPr="00892A7C">
        <w:rPr>
          <w:rFonts w:ascii="Calibri" w:eastAsia="Times New Roman" w:hAnsi="Calibri" w:cs="Times New Roman"/>
          <w:sz w:val="18"/>
          <w:szCs w:val="24"/>
        </w:rPr>
        <w:t>1.</w:t>
      </w:r>
      <w:r w:rsidRPr="00892A7C">
        <w:rPr>
          <w:rFonts w:ascii="Calibri" w:eastAsia="Times New Roman" w:hAnsi="Calibri" w:cs="Times New Roman"/>
          <w:sz w:val="18"/>
          <w:szCs w:val="24"/>
        </w:rPr>
        <w:tab/>
        <w:t>E</w:t>
      </w:r>
      <w:r w:rsidRPr="00892A7C">
        <w:rPr>
          <w:rFonts w:ascii="Calibri" w:eastAsia="Times New Roman" w:hAnsi="Calibri" w:cs="Times New Roman"/>
          <w:sz w:val="18"/>
          <w:szCs w:val="24"/>
          <w:lang w:val="x-none"/>
        </w:rPr>
        <w:t xml:space="preserve">stimated funding requirements will be sourced </w:t>
      </w:r>
      <w:r>
        <w:rPr>
          <w:rFonts w:ascii="Calibri" w:eastAsia="Times New Roman" w:hAnsi="Calibri" w:cs="Times New Roman"/>
          <w:sz w:val="18"/>
          <w:szCs w:val="24"/>
        </w:rPr>
        <w:t>by</w:t>
      </w:r>
      <w:r w:rsidRPr="00892A7C">
        <w:rPr>
          <w:rFonts w:ascii="Calibri" w:eastAsia="Times New Roman" w:hAnsi="Calibri" w:cs="Times New Roman"/>
          <w:sz w:val="18"/>
          <w:szCs w:val="24"/>
          <w:lang w:val="x-none"/>
        </w:rPr>
        <w:t xml:space="preserve"> </w:t>
      </w:r>
      <w:r>
        <w:rPr>
          <w:rFonts w:ascii="Calibri" w:eastAsia="Times New Roman" w:hAnsi="Calibri" w:cs="Times New Roman"/>
          <w:sz w:val="18"/>
          <w:szCs w:val="24"/>
        </w:rPr>
        <w:t>issuing</w:t>
      </w:r>
      <w:r w:rsidRPr="00892A7C">
        <w:rPr>
          <w:rFonts w:ascii="Calibri" w:eastAsia="Times New Roman" w:hAnsi="Calibri" w:cs="Times New Roman"/>
          <w:sz w:val="18"/>
          <w:szCs w:val="24"/>
          <w:lang w:val="x-none"/>
        </w:rPr>
        <w:t xml:space="preserve"> debt securities in accordance with the Territory’s Australian Dollar Debt Issuance Program.</w:t>
      </w:r>
    </w:p>
    <w:p w14:paraId="15947BD7" w14:textId="77777777" w:rsidR="00A60D4B" w:rsidRPr="00892A7C" w:rsidRDefault="00A60D4B" w:rsidP="00A60D4B">
      <w:pPr>
        <w:spacing w:after="0" w:line="240" w:lineRule="auto"/>
        <w:ind w:left="360" w:hanging="360"/>
        <w:rPr>
          <w:rFonts w:ascii="Calibri" w:eastAsia="Times New Roman" w:hAnsi="Calibri" w:cs="Times New Roman"/>
          <w:sz w:val="18"/>
          <w:szCs w:val="24"/>
          <w:lang w:val="x-none"/>
        </w:rPr>
      </w:pPr>
      <w:r w:rsidRPr="00892A7C">
        <w:rPr>
          <w:rFonts w:ascii="Calibri" w:eastAsia="Times New Roman" w:hAnsi="Calibri" w:cs="Times New Roman"/>
          <w:sz w:val="18"/>
          <w:szCs w:val="24"/>
        </w:rPr>
        <w:t>2.</w:t>
      </w:r>
      <w:r w:rsidRPr="00892A7C">
        <w:rPr>
          <w:rFonts w:ascii="Calibri" w:eastAsia="Times New Roman" w:hAnsi="Calibri" w:cs="Times New Roman"/>
          <w:sz w:val="18"/>
          <w:szCs w:val="24"/>
        </w:rPr>
        <w:tab/>
        <w:t>P</w:t>
      </w:r>
      <w:r w:rsidRPr="00892A7C">
        <w:rPr>
          <w:rFonts w:ascii="Calibri" w:eastAsia="Times New Roman" w:hAnsi="Calibri" w:cs="Times New Roman"/>
          <w:sz w:val="18"/>
          <w:szCs w:val="24"/>
          <w:lang w:val="x-none"/>
        </w:rPr>
        <w:t>rojections are based on a range of assumptions and will vary with changes to assumptions and budget estimates.</w:t>
      </w:r>
    </w:p>
    <w:p w14:paraId="7C5FA79E" w14:textId="77777777" w:rsidR="00A60D4B" w:rsidRPr="00892A7C" w:rsidRDefault="00A60D4B" w:rsidP="00A60D4B">
      <w:pPr>
        <w:spacing w:after="0" w:line="240" w:lineRule="auto"/>
        <w:ind w:left="360" w:hanging="360"/>
        <w:rPr>
          <w:rFonts w:ascii="Calibri" w:eastAsia="Times New Roman" w:hAnsi="Calibri" w:cs="Times New Roman"/>
          <w:sz w:val="18"/>
          <w:szCs w:val="24"/>
          <w:lang w:val="x-none"/>
        </w:rPr>
      </w:pPr>
      <w:r w:rsidRPr="00892A7C">
        <w:rPr>
          <w:rFonts w:ascii="Calibri" w:eastAsia="Times New Roman" w:hAnsi="Calibri" w:cs="Times New Roman"/>
          <w:sz w:val="18"/>
          <w:szCs w:val="24"/>
        </w:rPr>
        <w:t>3.</w:t>
      </w:r>
      <w:r w:rsidRPr="00892A7C">
        <w:rPr>
          <w:rFonts w:ascii="Calibri" w:eastAsia="Times New Roman" w:hAnsi="Calibri" w:cs="Times New Roman"/>
          <w:sz w:val="18"/>
          <w:szCs w:val="24"/>
        </w:rPr>
        <w:tab/>
        <w:t>The projections are the total estimated funding requirements for the Territory comprising the General Government Sector and the Public Trading Enterprise Sector (Icon Water).</w:t>
      </w:r>
    </w:p>
    <w:p w14:paraId="440BE5D6" w14:textId="77777777" w:rsidR="00A60D4B" w:rsidRPr="0059597B" w:rsidRDefault="00A60D4B" w:rsidP="00A60D4B"/>
    <w:p w14:paraId="0A6717BB" w14:textId="20DDE3A2" w:rsidR="00CF0E2D" w:rsidRDefault="00CF0E2D" w:rsidP="00A60D4B">
      <w:pPr>
        <w:pStyle w:val="Bbodytext"/>
      </w:pPr>
    </w:p>
    <w:p w14:paraId="300624F8" w14:textId="77777777" w:rsidR="00CF0E2D" w:rsidRDefault="00CF0E2D" w:rsidP="00A60D4B">
      <w:pPr>
        <w:pStyle w:val="Bbodytext"/>
      </w:pPr>
    </w:p>
    <w:p w14:paraId="44A9F2D1" w14:textId="011AA5C7" w:rsidR="003217E4" w:rsidRPr="00656C23" w:rsidRDefault="003217E4" w:rsidP="009F3D46">
      <w:pPr>
        <w:pStyle w:val="Bbodytext"/>
      </w:pPr>
    </w:p>
    <w:sectPr w:rsidR="003217E4" w:rsidRPr="00656C23" w:rsidSect="00542DA2">
      <w:footerReference w:type="default" r:id="rId178"/>
      <w:pgSz w:w="11906" w:h="16838" w:code="9"/>
      <w:pgMar w:top="1151" w:right="1440" w:bottom="1729" w:left="1440"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56BD34" w14:textId="77777777" w:rsidR="00A651FD" w:rsidRDefault="00A651FD" w:rsidP="00C339EF">
      <w:pPr>
        <w:spacing w:after="0" w:line="240" w:lineRule="auto"/>
      </w:pPr>
      <w:r>
        <w:separator/>
      </w:r>
    </w:p>
  </w:endnote>
  <w:endnote w:type="continuationSeparator" w:id="0">
    <w:p w14:paraId="108126A7" w14:textId="77777777" w:rsidR="00A651FD" w:rsidRDefault="00A651FD" w:rsidP="00C339EF">
      <w:pPr>
        <w:spacing w:after="0" w:line="240" w:lineRule="auto"/>
      </w:pPr>
      <w:r>
        <w:continuationSeparator/>
      </w:r>
    </w:p>
  </w:endnote>
  <w:endnote w:type="continuationNotice" w:id="1">
    <w:p w14:paraId="3839D7BD" w14:textId="77777777" w:rsidR="00A651FD" w:rsidRDefault="00A651F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Arial Bold">
    <w:altName w:val="Arial"/>
    <w:panose1 w:val="020B0704020202020204"/>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1)">
    <w:altName w:val="Arial"/>
    <w:charset w:val="00"/>
    <w:family w:val="swiss"/>
    <w:pitch w:val="variable"/>
    <w:sig w:usb0="E0002AFF" w:usb1="C0007843" w:usb2="00000009" w:usb3="00000000" w:csb0="000001FF" w:csb1="00000000"/>
  </w:font>
  <w:font w:name="Times New Roman Bold">
    <w:panose1 w:val="02020803070505020304"/>
    <w:charset w:val="00"/>
    <w:family w:val="roman"/>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Optima-Regular">
    <w:panose1 w:val="00000000000000000000"/>
    <w:charset w:val="00"/>
    <w:family w:val="auto"/>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ource Sans Pro Light">
    <w:panose1 w:val="020B0403030403020204"/>
    <w:charset w:val="00"/>
    <w:family w:val="swiss"/>
    <w:pitch w:val="variable"/>
    <w:sig w:usb0="600002F7" w:usb1="02000001" w:usb2="00000000" w:usb3="00000000" w:csb0="0000019F" w:csb1="00000000"/>
  </w:font>
  <w:font w:name="Montserrat">
    <w:altName w:val="Montserrat"/>
    <w:panose1 w:val="00000500000000000000"/>
    <w:charset w:val="00"/>
    <w:family w:val="auto"/>
    <w:pitch w:val="variable"/>
    <w:sig w:usb0="2000020F" w:usb1="00000003" w:usb2="00000000" w:usb3="00000000" w:csb0="00000197" w:csb1="00000000"/>
  </w:font>
  <w:font w:name="Source Sans Pro SemiBold">
    <w:panose1 w:val="020B0603030403020204"/>
    <w:charset w:val="00"/>
    <w:family w:val="swiss"/>
    <w:pitch w:val="variable"/>
    <w:sig w:usb0="600002F7" w:usb1="02000001"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4009D" w14:textId="09C41A32" w:rsidR="002261A7" w:rsidRPr="003C0B61" w:rsidRDefault="002261A7" w:rsidP="007D5DBC">
    <w:pPr>
      <w:pStyle w:val="BFooter"/>
      <w:tabs>
        <w:tab w:val="clear" w:pos="4513"/>
        <w:tab w:val="clear" w:pos="9026"/>
        <w:tab w:val="right" w:pos="4536"/>
        <w:tab w:val="right" w:pos="9355"/>
      </w:tabs>
      <w:jc w:val="center"/>
      <w:rPr>
        <w:i/>
        <w:iCs/>
      </w:rPr>
    </w:pPr>
    <w:r w:rsidRPr="003C0B61">
      <w:rPr>
        <w:iCs/>
      </w:rPr>
      <w:t>2021-22 Budget Outlook</w:t>
    </w:r>
    <w:r w:rsidRPr="003C0B61">
      <w:rPr>
        <w:iCs/>
      </w:rPr>
      <w:ptab w:relativeTo="margin" w:alignment="center" w:leader="none"/>
    </w:r>
    <w:r w:rsidRPr="003C0B61">
      <w:rPr>
        <w:i/>
        <w:iCs/>
      </w:rPr>
      <w:fldChar w:fldCharType="begin"/>
    </w:r>
    <w:r w:rsidRPr="003C0B61">
      <w:rPr>
        <w:iCs/>
      </w:rPr>
      <w:instrText xml:space="preserve"> PAGE   \* MERGEFORMAT </w:instrText>
    </w:r>
    <w:r w:rsidRPr="003C0B61">
      <w:rPr>
        <w:i/>
        <w:iCs/>
      </w:rPr>
      <w:fldChar w:fldCharType="separate"/>
    </w:r>
    <w:r w:rsidRPr="003C0B61">
      <w:rPr>
        <w:iCs/>
        <w:noProof/>
      </w:rPr>
      <w:t>1</w:t>
    </w:r>
    <w:r w:rsidRPr="003C0B61">
      <w:rPr>
        <w:i/>
        <w:iCs/>
        <w:noProof/>
      </w:rPr>
      <w:fldChar w:fldCharType="end"/>
    </w:r>
    <w:r w:rsidRPr="003C0B61">
      <w:rPr>
        <w:iCs/>
      </w:rPr>
      <w:ptab w:relativeTo="margin" w:alignment="right" w:leader="none"/>
    </w:r>
    <w:r w:rsidRPr="003C0B61">
      <w:rPr>
        <w:iCs/>
      </w:rPr>
      <w:t>Budget Outlook</w:t>
    </w:r>
    <w:r w:rsidRPr="003C0B61">
      <w:rPr>
        <w:iCs/>
      </w:rPr>
      <w:br/>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46C9E" w14:textId="77777777" w:rsidR="002261A7" w:rsidRDefault="002261A7">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6874B" w14:textId="77777777" w:rsidR="002261A7" w:rsidRPr="00BE2C84" w:rsidRDefault="002261A7" w:rsidP="00A60D4B">
    <w:pPr>
      <w:pStyle w:val="BFooter"/>
      <w:tabs>
        <w:tab w:val="clear" w:pos="4513"/>
        <w:tab w:val="clear" w:pos="9026"/>
        <w:tab w:val="right" w:pos="4536"/>
        <w:tab w:val="right" w:pos="9355"/>
      </w:tabs>
      <w:jc w:val="center"/>
      <w:rPr>
        <w:i/>
        <w:iCs/>
      </w:rPr>
    </w:pPr>
    <w:r w:rsidRPr="00BE2C84">
      <w:rPr>
        <w:iCs/>
      </w:rPr>
      <w:t>2021-22 Budget Outlook</w:t>
    </w:r>
    <w:r w:rsidRPr="00BE2C84">
      <w:rPr>
        <w:iCs/>
      </w:rPr>
      <w:ptab w:relativeTo="margin" w:alignment="center" w:leader="none"/>
    </w:r>
    <w:r w:rsidRPr="00BE2C84">
      <w:rPr>
        <w:i/>
        <w:iCs/>
      </w:rPr>
      <w:fldChar w:fldCharType="begin"/>
    </w:r>
    <w:r w:rsidRPr="00BE2C84">
      <w:rPr>
        <w:iCs/>
      </w:rPr>
      <w:instrText xml:space="preserve"> PAGE   \* MERGEFORMAT </w:instrText>
    </w:r>
    <w:r w:rsidRPr="00BE2C84">
      <w:rPr>
        <w:i/>
        <w:iCs/>
      </w:rPr>
      <w:fldChar w:fldCharType="separate"/>
    </w:r>
    <w:r w:rsidRPr="00BE2C84">
      <w:rPr>
        <w:iCs/>
        <w:noProof/>
      </w:rPr>
      <w:t>1</w:t>
    </w:r>
    <w:r w:rsidRPr="00BE2C84">
      <w:rPr>
        <w:i/>
        <w:iCs/>
        <w:noProof/>
      </w:rPr>
      <w:fldChar w:fldCharType="end"/>
    </w:r>
    <w:r w:rsidRPr="00BE2C84">
      <w:rPr>
        <w:iCs/>
      </w:rPr>
      <w:ptab w:relativeTo="margin" w:alignment="right" w:leader="none"/>
    </w:r>
    <w:r w:rsidRPr="00BE2C84">
      <w:rPr>
        <w:iCs/>
      </w:rPr>
      <w:t>Federal Financial Relations</w:t>
    </w:r>
    <w:r w:rsidRPr="00BE2C84">
      <w:rPr>
        <w:iCs/>
      </w:rPr>
      <w:br/>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451825" w14:textId="77777777" w:rsidR="002261A7" w:rsidRPr="00BE2C84" w:rsidRDefault="002261A7" w:rsidP="00A60D4B">
    <w:pPr>
      <w:pStyle w:val="BFooter"/>
      <w:tabs>
        <w:tab w:val="clear" w:pos="4513"/>
        <w:tab w:val="clear" w:pos="9026"/>
        <w:tab w:val="right" w:pos="4536"/>
        <w:tab w:val="right" w:pos="9355"/>
      </w:tabs>
      <w:jc w:val="center"/>
      <w:rPr>
        <w:i/>
        <w:iCs/>
      </w:rPr>
    </w:pPr>
    <w:r w:rsidRPr="00BE2C84">
      <w:rPr>
        <w:iCs/>
      </w:rPr>
      <w:t>2021-22 Budget Outlook</w:t>
    </w:r>
    <w:r w:rsidRPr="00BE2C84">
      <w:rPr>
        <w:iCs/>
      </w:rPr>
      <w:ptab w:relativeTo="margin" w:alignment="center" w:leader="none"/>
    </w:r>
    <w:r w:rsidRPr="00BE2C84">
      <w:rPr>
        <w:i/>
        <w:iCs/>
      </w:rPr>
      <w:fldChar w:fldCharType="begin"/>
    </w:r>
    <w:r w:rsidRPr="00BE2C84">
      <w:rPr>
        <w:iCs/>
      </w:rPr>
      <w:instrText xml:space="preserve"> PAGE   \* MERGEFORMAT </w:instrText>
    </w:r>
    <w:r w:rsidRPr="00BE2C84">
      <w:rPr>
        <w:i/>
        <w:iCs/>
      </w:rPr>
      <w:fldChar w:fldCharType="separate"/>
    </w:r>
    <w:r w:rsidRPr="00BE2C84">
      <w:rPr>
        <w:iCs/>
        <w:noProof/>
      </w:rPr>
      <w:t>1</w:t>
    </w:r>
    <w:r w:rsidRPr="00BE2C84">
      <w:rPr>
        <w:i/>
        <w:iCs/>
        <w:noProof/>
      </w:rPr>
      <w:fldChar w:fldCharType="end"/>
    </w:r>
    <w:r w:rsidRPr="00BE2C84">
      <w:rPr>
        <w:iCs/>
      </w:rPr>
      <w:ptab w:relativeTo="margin" w:alignment="right" w:leader="none"/>
    </w:r>
    <w:r>
      <w:rPr>
        <w:iCs/>
      </w:rPr>
      <w:t>Infrastructure and capital</w:t>
    </w:r>
    <w:r w:rsidRPr="00BE2C84">
      <w:rPr>
        <w:iCs/>
      </w:rPr>
      <w:br/>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D66715" w14:textId="570AE256" w:rsidR="002261A7" w:rsidRPr="0094036A" w:rsidRDefault="002261A7" w:rsidP="00840C68">
    <w:pPr>
      <w:pStyle w:val="BFooter"/>
      <w:tabs>
        <w:tab w:val="clear" w:pos="4513"/>
        <w:tab w:val="clear" w:pos="9026"/>
        <w:tab w:val="right" w:pos="4536"/>
        <w:tab w:val="right" w:pos="9355"/>
      </w:tabs>
      <w:jc w:val="center"/>
    </w:pPr>
    <w:r w:rsidRPr="0089689E">
      <w:rPr>
        <w:iCs/>
      </w:rPr>
      <w:t>2021-22 Budget Outlook</w:t>
    </w:r>
    <w:r w:rsidRPr="0089689E">
      <w:rPr>
        <w:iCs/>
      </w:rPr>
      <w:ptab w:relativeTo="margin" w:alignment="center" w:leader="none"/>
    </w:r>
    <w:r w:rsidRPr="0089689E">
      <w:rPr>
        <w:i/>
        <w:iCs/>
      </w:rPr>
      <w:fldChar w:fldCharType="begin"/>
    </w:r>
    <w:r w:rsidRPr="0089689E">
      <w:rPr>
        <w:iCs/>
      </w:rPr>
      <w:instrText xml:space="preserve"> PAGE   \* MERGEFORMAT </w:instrText>
    </w:r>
    <w:r w:rsidRPr="0089689E">
      <w:rPr>
        <w:i/>
        <w:iCs/>
      </w:rPr>
      <w:fldChar w:fldCharType="separate"/>
    </w:r>
    <w:r>
      <w:rPr>
        <w:iCs/>
      </w:rPr>
      <w:t>30</w:t>
    </w:r>
    <w:r w:rsidRPr="0089689E">
      <w:rPr>
        <w:i/>
        <w:iCs/>
        <w:noProof/>
      </w:rPr>
      <w:fldChar w:fldCharType="end"/>
    </w:r>
    <w:r w:rsidRPr="0089689E">
      <w:rPr>
        <w:iCs/>
      </w:rPr>
      <w:ptab w:relativeTo="margin" w:alignment="right" w:leader="none"/>
    </w:r>
    <w:r>
      <w:rPr>
        <w:iCs/>
      </w:rPr>
      <w:t>Key Balance Sheet Metrics</w:t>
    </w:r>
    <w:r w:rsidRPr="0089689E">
      <w:rPr>
        <w:iCs/>
      </w:rPr>
      <w:t xml:space="preserve"> </w:t>
    </w:r>
    <w:r w:rsidRPr="0089689E">
      <w:rPr>
        <w:iCs/>
      </w:rPr>
      <w:br/>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76FEE" w14:textId="599E7582" w:rsidR="002261A7" w:rsidRPr="0089689E" w:rsidRDefault="002261A7" w:rsidP="00A60D4B">
    <w:pPr>
      <w:pStyle w:val="BFooter"/>
      <w:tabs>
        <w:tab w:val="clear" w:pos="4513"/>
        <w:tab w:val="clear" w:pos="9026"/>
        <w:tab w:val="right" w:pos="4536"/>
        <w:tab w:val="right" w:pos="9355"/>
      </w:tabs>
      <w:jc w:val="center"/>
      <w:rPr>
        <w:i/>
        <w:iCs/>
      </w:rPr>
    </w:pPr>
    <w:r w:rsidRPr="0089689E">
      <w:rPr>
        <w:iCs/>
      </w:rPr>
      <w:t>2021-22 Budget Outlook</w:t>
    </w:r>
    <w:r w:rsidRPr="0089689E">
      <w:rPr>
        <w:iCs/>
      </w:rPr>
      <w:ptab w:relativeTo="margin" w:alignment="center" w:leader="none"/>
    </w:r>
    <w:r w:rsidRPr="0089689E">
      <w:rPr>
        <w:i/>
        <w:iCs/>
      </w:rPr>
      <w:fldChar w:fldCharType="begin"/>
    </w:r>
    <w:r w:rsidRPr="0089689E">
      <w:rPr>
        <w:iCs/>
      </w:rPr>
      <w:instrText xml:space="preserve"> PAGE   \* MERGEFORMAT </w:instrText>
    </w:r>
    <w:r w:rsidRPr="0089689E">
      <w:rPr>
        <w:i/>
        <w:iCs/>
      </w:rPr>
      <w:fldChar w:fldCharType="separate"/>
    </w:r>
    <w:r w:rsidRPr="0089689E">
      <w:rPr>
        <w:iCs/>
        <w:noProof/>
      </w:rPr>
      <w:t>1</w:t>
    </w:r>
    <w:r w:rsidRPr="0089689E">
      <w:rPr>
        <w:i/>
        <w:iCs/>
        <w:noProof/>
      </w:rPr>
      <w:fldChar w:fldCharType="end"/>
    </w:r>
    <w:r w:rsidRPr="0089689E">
      <w:rPr>
        <w:iCs/>
      </w:rPr>
      <w:ptab w:relativeTo="margin" w:alignment="right" w:leader="none"/>
    </w:r>
    <w:r w:rsidRPr="0089689E">
      <w:rPr>
        <w:iCs/>
      </w:rPr>
      <w:t xml:space="preserve">Fiscal Strategy and </w:t>
    </w:r>
    <w:r>
      <w:rPr>
        <w:iCs/>
      </w:rPr>
      <w:t>Wellbeing Initiatives</w:t>
    </w:r>
    <w:r w:rsidRPr="0089689E">
      <w:rPr>
        <w:iCs/>
      </w:rPr>
      <w:t xml:space="preserve"> </w:t>
    </w:r>
    <w:r w:rsidRPr="0089689E">
      <w:rPr>
        <w:iCs/>
      </w:rPr>
      <w:br/>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57650" w14:textId="33555AFD" w:rsidR="002261A7" w:rsidRPr="0094036A" w:rsidRDefault="002261A7" w:rsidP="005F3FB2">
    <w:pPr>
      <w:pStyle w:val="BFooter"/>
      <w:tabs>
        <w:tab w:val="clear" w:pos="4513"/>
        <w:tab w:val="clear" w:pos="9026"/>
        <w:tab w:val="right" w:pos="4536"/>
        <w:tab w:val="right" w:pos="9355"/>
      </w:tabs>
      <w:jc w:val="center"/>
    </w:pPr>
    <w:r w:rsidRPr="0089689E">
      <w:rPr>
        <w:iCs/>
      </w:rPr>
      <w:t>2021-22 Budget Outlook</w:t>
    </w:r>
    <w:r w:rsidRPr="0089689E">
      <w:rPr>
        <w:iCs/>
      </w:rPr>
      <w:ptab w:relativeTo="margin" w:alignment="center" w:leader="none"/>
    </w:r>
    <w:r w:rsidRPr="0089689E">
      <w:rPr>
        <w:i/>
        <w:iCs/>
      </w:rPr>
      <w:fldChar w:fldCharType="begin"/>
    </w:r>
    <w:r w:rsidRPr="0089689E">
      <w:rPr>
        <w:iCs/>
      </w:rPr>
      <w:instrText xml:space="preserve"> PAGE   \* MERGEFORMAT </w:instrText>
    </w:r>
    <w:r w:rsidRPr="0089689E">
      <w:rPr>
        <w:i/>
        <w:iCs/>
      </w:rPr>
      <w:fldChar w:fldCharType="separate"/>
    </w:r>
    <w:r>
      <w:rPr>
        <w:iCs/>
      </w:rPr>
      <w:t>30</w:t>
    </w:r>
    <w:r w:rsidRPr="0089689E">
      <w:rPr>
        <w:i/>
        <w:iCs/>
        <w:noProof/>
      </w:rPr>
      <w:fldChar w:fldCharType="end"/>
    </w:r>
    <w:r w:rsidRPr="0089689E">
      <w:rPr>
        <w:iCs/>
      </w:rPr>
      <w:ptab w:relativeTo="margin" w:alignment="right" w:leader="none"/>
    </w:r>
    <w:r w:rsidRPr="0089689E">
      <w:rPr>
        <w:iCs/>
      </w:rPr>
      <w:t xml:space="preserve">Fiscal Strategy </w:t>
    </w:r>
    <w:r>
      <w:rPr>
        <w:iCs/>
      </w:rPr>
      <w:t>and Wellbeing Initiatives</w:t>
    </w:r>
    <w:r w:rsidRPr="0089689E">
      <w:rPr>
        <w:iCs/>
      </w:rPr>
      <w:t xml:space="preserve"> </w:t>
    </w:r>
    <w:r w:rsidRPr="0089689E">
      <w:rPr>
        <w:iCs/>
      </w:rPr>
      <w:br/>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8A3BC" w14:textId="77777777" w:rsidR="002261A7" w:rsidRPr="00997BB8" w:rsidRDefault="002261A7" w:rsidP="00B66136">
    <w:pPr>
      <w:pStyle w:val="BFooter"/>
      <w:tabs>
        <w:tab w:val="clear" w:pos="4513"/>
        <w:tab w:val="clear" w:pos="9026"/>
        <w:tab w:val="right" w:pos="4536"/>
        <w:tab w:val="right" w:pos="9355"/>
      </w:tabs>
      <w:jc w:val="center"/>
      <w:rPr>
        <w:i/>
        <w:iCs/>
      </w:rPr>
    </w:pPr>
    <w:r w:rsidRPr="00997BB8">
      <w:rPr>
        <w:iCs/>
      </w:rPr>
      <w:t>2021-22 Budget Outlook</w:t>
    </w:r>
    <w:r w:rsidRPr="00997BB8">
      <w:rPr>
        <w:iCs/>
      </w:rPr>
      <w:ptab w:relativeTo="margin" w:alignment="center" w:leader="none"/>
    </w:r>
    <w:r w:rsidRPr="00997BB8">
      <w:rPr>
        <w:i/>
        <w:iCs/>
      </w:rPr>
      <w:fldChar w:fldCharType="begin"/>
    </w:r>
    <w:r w:rsidRPr="00997BB8">
      <w:rPr>
        <w:iCs/>
      </w:rPr>
      <w:instrText xml:space="preserve"> PAGE   \* MERGEFORMAT </w:instrText>
    </w:r>
    <w:r w:rsidRPr="00997BB8">
      <w:rPr>
        <w:i/>
        <w:iCs/>
      </w:rPr>
      <w:fldChar w:fldCharType="separate"/>
    </w:r>
    <w:r w:rsidRPr="00997BB8">
      <w:rPr>
        <w:iCs/>
        <w:noProof/>
      </w:rPr>
      <w:t>1</w:t>
    </w:r>
    <w:r w:rsidRPr="00997BB8">
      <w:rPr>
        <w:i/>
        <w:iCs/>
        <w:noProof/>
      </w:rPr>
      <w:fldChar w:fldCharType="end"/>
    </w:r>
    <w:r w:rsidRPr="00997BB8">
      <w:rPr>
        <w:iCs/>
      </w:rPr>
      <w:ptab w:relativeTo="margin" w:alignment="right" w:leader="none"/>
    </w:r>
    <w:r w:rsidRPr="00997BB8">
      <w:rPr>
        <w:iCs/>
      </w:rPr>
      <w:t xml:space="preserve">Cost of Living Statement </w:t>
    </w:r>
    <w:r w:rsidRPr="00997BB8">
      <w:rPr>
        <w:iCs/>
      </w:rPr>
      <w:br/>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4B510" w14:textId="77777777" w:rsidR="002261A7" w:rsidRPr="00EC2C0F" w:rsidRDefault="002261A7" w:rsidP="00A60D4B">
    <w:pPr>
      <w:pStyle w:val="Footer"/>
    </w:pPr>
    <w:r>
      <w:rPr>
        <w:noProof/>
      </w:rPr>
      <mc:AlternateContent>
        <mc:Choice Requires="wps">
          <w:drawing>
            <wp:anchor distT="45720" distB="45720" distL="114300" distR="114300" simplePos="0" relativeHeight="251661312" behindDoc="0" locked="0" layoutInCell="1" allowOverlap="1" wp14:anchorId="099DA8F0" wp14:editId="0066C314">
              <wp:simplePos x="0" y="0"/>
              <wp:positionH relativeFrom="column">
                <wp:posOffset>-1383506</wp:posOffset>
              </wp:positionH>
              <wp:positionV relativeFrom="paragraph">
                <wp:posOffset>-1427003</wp:posOffset>
              </wp:positionV>
              <wp:extent cx="1552575" cy="428307"/>
              <wp:effectExtent l="0" t="9207" r="317" b="318"/>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552575" cy="428307"/>
                      </a:xfrm>
                      <a:prstGeom prst="rect">
                        <a:avLst/>
                      </a:prstGeom>
                      <a:solidFill>
                        <a:srgbClr val="FFFFFF"/>
                      </a:solidFill>
                      <a:ln w="9525">
                        <a:noFill/>
                        <a:miter lim="800000"/>
                        <a:headEnd/>
                        <a:tailEnd/>
                      </a:ln>
                    </wps:spPr>
                    <wps:txbx>
                      <w:txbxContent>
                        <w:p w14:paraId="71D3F347" w14:textId="77777777" w:rsidR="002261A7" w:rsidRPr="00592BBF" w:rsidRDefault="002261A7">
                          <w:pPr>
                            <w:rPr>
                              <w:sz w:val="20"/>
                              <w:szCs w:val="20"/>
                            </w:rPr>
                          </w:pPr>
                          <w:r w:rsidRPr="00592BBF">
                            <w:rPr>
                              <w:sz w:val="20"/>
                              <w:szCs w:val="20"/>
                            </w:rPr>
                            <w:t>Cost of Living Statement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9DA8F0" id="_x0000_t202" coordsize="21600,21600" o:spt="202" path="m,l,21600r21600,l21600,xe">
              <v:stroke joinstyle="miter"/>
              <v:path gradientshapeok="t" o:connecttype="rect"/>
            </v:shapetype>
            <v:shape id="_x0000_s1047" type="#_x0000_t202" style="position:absolute;margin-left:-108.95pt;margin-top:-112.35pt;width:122.25pt;height:33.7pt;rotation:90;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" stroked="f">
              <v:textbox>
                <w:txbxContent>
                  <w:p w14:paraId="71D3F347" w14:textId="77777777" w:rsidR="002261A7" w:rsidRPr="00592BBF" w:rsidRDefault="002261A7">
                    <w:pPr>
                      <w:rPr>
                        <w:sz w:val="20"/>
                        <w:szCs w:val="20"/>
                      </w:rPr>
                    </w:pPr>
                    <w:r w:rsidRPr="00592BBF">
                      <w:rPr>
                        <w:sz w:val="20"/>
                        <w:szCs w:val="20"/>
                      </w:rPr>
                      <w:t>Cost of Living Statement</w:t>
                    </w:r>
                  </w:p>
                </w:txbxContent>
              </v:textbox>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A5818" w14:textId="77777777" w:rsidR="002261A7" w:rsidRPr="00997BB8" w:rsidRDefault="002261A7" w:rsidP="00B66136">
    <w:pPr>
      <w:pStyle w:val="BFooter"/>
      <w:tabs>
        <w:tab w:val="clear" w:pos="4513"/>
        <w:tab w:val="clear" w:pos="9026"/>
        <w:tab w:val="right" w:pos="4536"/>
        <w:tab w:val="right" w:pos="9355"/>
      </w:tabs>
      <w:jc w:val="center"/>
      <w:rPr>
        <w:i/>
      </w:rPr>
    </w:pPr>
    <w:r w:rsidRPr="00997BB8">
      <w:rPr>
        <w:iCs/>
      </w:rPr>
      <w:t>2021-22 Budget Outlook</w:t>
    </w:r>
    <w:r w:rsidRPr="00997BB8">
      <w:rPr>
        <w:iCs/>
      </w:rPr>
      <w:ptab w:relativeTo="margin" w:alignment="center" w:leader="none"/>
    </w:r>
    <w:r w:rsidRPr="00997BB8">
      <w:rPr>
        <w:i/>
        <w:iCs/>
      </w:rPr>
      <w:fldChar w:fldCharType="begin"/>
    </w:r>
    <w:r w:rsidRPr="00997BB8">
      <w:rPr>
        <w:iCs/>
      </w:rPr>
      <w:instrText xml:space="preserve"> PAGE   \* MERGEFORMAT </w:instrText>
    </w:r>
    <w:r w:rsidRPr="00997BB8">
      <w:rPr>
        <w:i/>
        <w:iCs/>
      </w:rPr>
      <w:fldChar w:fldCharType="separate"/>
    </w:r>
    <w:r w:rsidRPr="00997BB8">
      <w:rPr>
        <w:iCs/>
        <w:noProof/>
      </w:rPr>
      <w:t>1</w:t>
    </w:r>
    <w:r w:rsidRPr="00997BB8">
      <w:rPr>
        <w:i/>
        <w:iCs/>
        <w:noProof/>
      </w:rPr>
      <w:fldChar w:fldCharType="end"/>
    </w:r>
    <w:r w:rsidRPr="00997BB8">
      <w:rPr>
        <w:iCs/>
      </w:rPr>
      <w:ptab w:relativeTo="margin" w:alignment="right" w:leader="none"/>
    </w:r>
    <w:r w:rsidRPr="00997BB8">
      <w:rPr>
        <w:iCs/>
      </w:rPr>
      <w:t xml:space="preserve">Cost of Living Statement </w:t>
    </w:r>
    <w:r w:rsidRPr="00997BB8">
      <w:rPr>
        <w:iCs/>
      </w:rPr>
      <w:br/>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46AA9" w14:textId="77777777" w:rsidR="002261A7" w:rsidRPr="009279F1" w:rsidRDefault="002261A7" w:rsidP="00A60D4B">
    <w:pPr>
      <w:pStyle w:val="BFooter"/>
      <w:tabs>
        <w:tab w:val="clear" w:pos="4513"/>
        <w:tab w:val="clear" w:pos="9026"/>
        <w:tab w:val="right" w:pos="4536"/>
        <w:tab w:val="right" w:pos="9355"/>
      </w:tabs>
      <w:jc w:val="center"/>
      <w:rPr>
        <w:i/>
        <w:iCs/>
      </w:rPr>
    </w:pPr>
    <w:r w:rsidRPr="009279F1">
      <w:rPr>
        <w:iCs/>
      </w:rPr>
      <w:t>2021-22 Budget Outlook</w:t>
    </w:r>
    <w:r w:rsidRPr="009279F1">
      <w:rPr>
        <w:iCs/>
      </w:rPr>
      <w:ptab w:relativeTo="margin" w:alignment="center" w:leader="none"/>
    </w:r>
    <w:r w:rsidRPr="009279F1">
      <w:rPr>
        <w:i/>
        <w:iCs/>
      </w:rPr>
      <w:fldChar w:fldCharType="begin"/>
    </w:r>
    <w:r w:rsidRPr="009279F1">
      <w:rPr>
        <w:iCs/>
      </w:rPr>
      <w:instrText xml:space="preserve"> PAGE   \* MERGEFORMAT </w:instrText>
    </w:r>
    <w:r w:rsidRPr="009279F1">
      <w:rPr>
        <w:i/>
        <w:iCs/>
      </w:rPr>
      <w:fldChar w:fldCharType="separate"/>
    </w:r>
    <w:r w:rsidRPr="009279F1">
      <w:rPr>
        <w:iCs/>
        <w:noProof/>
      </w:rPr>
      <w:t>1</w:t>
    </w:r>
    <w:r w:rsidRPr="009279F1">
      <w:rPr>
        <w:i/>
        <w:iCs/>
        <w:noProof/>
      </w:rPr>
      <w:fldChar w:fldCharType="end"/>
    </w:r>
    <w:r w:rsidRPr="009279F1">
      <w:rPr>
        <w:iCs/>
      </w:rPr>
      <w:ptab w:relativeTo="margin" w:alignment="right" w:leader="none"/>
    </w:r>
    <w:r>
      <w:rPr>
        <w:iCs/>
      </w:rPr>
      <w:t>Expenses</w:t>
    </w:r>
    <w:r w:rsidRPr="009279F1">
      <w:rPr>
        <w:iCs/>
      </w:rPr>
      <w:br/>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1635C" w14:textId="77777777" w:rsidR="002261A7" w:rsidRDefault="002261A7">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C678B" w14:textId="4F0A64EF" w:rsidR="002261A7" w:rsidRPr="005A5055" w:rsidRDefault="002261A7" w:rsidP="00A60D4B">
    <w:pPr>
      <w:pStyle w:val="BFooter"/>
      <w:tabs>
        <w:tab w:val="clear" w:pos="4513"/>
        <w:tab w:val="clear" w:pos="9026"/>
        <w:tab w:val="right" w:pos="4536"/>
        <w:tab w:val="right" w:pos="9355"/>
      </w:tabs>
      <w:jc w:val="center"/>
      <w:rPr>
        <w:i/>
        <w:iCs/>
      </w:rPr>
    </w:pPr>
    <w:r w:rsidRPr="005A5055">
      <w:rPr>
        <w:iCs/>
      </w:rPr>
      <w:t>2021-22 Budget Outlook</w:t>
    </w:r>
    <w:r w:rsidRPr="005A5055">
      <w:rPr>
        <w:iCs/>
      </w:rPr>
      <w:ptab w:relativeTo="margin" w:alignment="center" w:leader="none"/>
    </w:r>
    <w:r w:rsidRPr="005A5055">
      <w:rPr>
        <w:i/>
        <w:iCs/>
      </w:rPr>
      <w:fldChar w:fldCharType="begin"/>
    </w:r>
    <w:r w:rsidRPr="005A5055">
      <w:rPr>
        <w:iCs/>
      </w:rPr>
      <w:instrText xml:space="preserve"> PAGE   \* MERGEFORMAT </w:instrText>
    </w:r>
    <w:r w:rsidRPr="005A5055">
      <w:rPr>
        <w:i/>
        <w:iCs/>
      </w:rPr>
      <w:fldChar w:fldCharType="separate"/>
    </w:r>
    <w:r w:rsidRPr="005A5055">
      <w:rPr>
        <w:iCs/>
        <w:noProof/>
      </w:rPr>
      <w:t>1</w:t>
    </w:r>
    <w:r w:rsidRPr="005A5055">
      <w:rPr>
        <w:i/>
        <w:iCs/>
        <w:noProof/>
      </w:rPr>
      <w:fldChar w:fldCharType="end"/>
    </w:r>
    <w:r w:rsidRPr="005A5055">
      <w:rPr>
        <w:iCs/>
      </w:rPr>
      <w:ptab w:relativeTo="margin" w:alignment="right" w:leader="none"/>
    </w:r>
    <w:r>
      <w:rPr>
        <w:iCs/>
      </w:rPr>
      <w:t>Revenue</w:t>
    </w:r>
    <w:r w:rsidRPr="005A5055">
      <w:rPr>
        <w:iCs/>
      </w:rPr>
      <w:br/>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CADD41" w14:textId="77777777" w:rsidR="00A651FD" w:rsidRDefault="00A651FD" w:rsidP="00C339EF">
      <w:pPr>
        <w:spacing w:after="0" w:line="240" w:lineRule="auto"/>
      </w:pPr>
      <w:r>
        <w:separator/>
      </w:r>
    </w:p>
  </w:footnote>
  <w:footnote w:type="continuationSeparator" w:id="0">
    <w:p w14:paraId="4487895A" w14:textId="77777777" w:rsidR="00A651FD" w:rsidRDefault="00A651FD" w:rsidP="00C339EF">
      <w:pPr>
        <w:spacing w:after="0" w:line="240" w:lineRule="auto"/>
      </w:pPr>
      <w:r>
        <w:continuationSeparator/>
      </w:r>
    </w:p>
  </w:footnote>
  <w:footnote w:type="continuationNotice" w:id="1">
    <w:p w14:paraId="74AC89EB" w14:textId="77777777" w:rsidR="00A651FD" w:rsidRDefault="00A651FD">
      <w:pPr>
        <w:spacing w:after="0" w:line="240" w:lineRule="auto"/>
      </w:pPr>
    </w:p>
  </w:footnote>
  <w:footnote w:id="2">
    <w:p w14:paraId="0099CC21" w14:textId="77777777" w:rsidR="002261A7" w:rsidRPr="00D32186" w:rsidRDefault="002261A7" w:rsidP="00A60D4B">
      <w:pPr>
        <w:pStyle w:val="FootnoteText"/>
        <w:rPr>
          <w:rStyle w:val="Hyperlink"/>
          <w:sz w:val="16"/>
          <w:szCs w:val="16"/>
        </w:rPr>
      </w:pPr>
      <w:r>
        <w:rPr>
          <w:rStyle w:val="FootnoteReference"/>
        </w:rPr>
        <w:footnoteRef/>
      </w:r>
      <w:r>
        <w:t xml:space="preserve"> </w:t>
      </w:r>
      <w:hyperlink r:id="rId1" w:history="1">
        <w:r w:rsidRPr="00D32186">
          <w:rPr>
            <w:rStyle w:val="Hyperlink"/>
            <w:sz w:val="16"/>
            <w:szCs w:val="16"/>
          </w:rPr>
          <w:t>Living well in the ACT region survey - University of Canberra</w:t>
        </w:r>
      </w:hyperlink>
      <w:r>
        <w:rPr>
          <w:rStyle w:val="Hyperlink"/>
          <w:sz w:val="16"/>
          <w:szCs w:val="16"/>
        </w:rPr>
        <w:t xml:space="preserve"> </w:t>
      </w:r>
      <w:r w:rsidRPr="00D32186">
        <w:rPr>
          <w:rStyle w:val="Hyperlink"/>
          <w:sz w:val="16"/>
          <w:szCs w:val="16"/>
        </w:rPr>
        <w:t>and</w:t>
      </w:r>
      <w:r>
        <w:rPr>
          <w:rStyle w:val="Hyperlink"/>
          <w:sz w:val="16"/>
          <w:szCs w:val="16"/>
        </w:rPr>
        <w:t xml:space="preserve"> unpublished results from December 2020 and September 2021 shared with permission.</w:t>
      </w:r>
    </w:p>
  </w:footnote>
  <w:footnote w:id="3">
    <w:p w14:paraId="2738BA7F" w14:textId="77777777" w:rsidR="002261A7" w:rsidRDefault="002261A7" w:rsidP="00A60D4B">
      <w:pPr>
        <w:pStyle w:val="FootnoteText"/>
      </w:pPr>
      <w:r>
        <w:rPr>
          <w:rStyle w:val="FootnoteReference"/>
        </w:rPr>
        <w:footnoteRef/>
      </w:r>
      <w:r>
        <w:t xml:space="preserve"> </w:t>
      </w:r>
      <w:hyperlink r:id="rId2" w:history="1">
        <w:r w:rsidRPr="0065725C">
          <w:rPr>
            <w:rStyle w:val="Hyperlink"/>
            <w:sz w:val="16"/>
            <w:szCs w:val="16"/>
          </w:rPr>
          <w:t>Tracking wellbeing outcomes during the COVID-19 pandemic (August 2021): Lockdown blues | ANU Centre for Social Research &amp; Methods</w:t>
        </w:r>
      </w:hyperlink>
      <w:r>
        <w:rPr>
          <w:rStyle w:val="Hyperlink"/>
          <w:sz w:val="16"/>
          <w:szCs w:val="16"/>
        </w:rPr>
        <w:t>.</w:t>
      </w:r>
    </w:p>
  </w:footnote>
  <w:footnote w:id="4">
    <w:p w14:paraId="7AECB408" w14:textId="77777777" w:rsidR="002261A7" w:rsidRDefault="002261A7" w:rsidP="00A60D4B">
      <w:pPr>
        <w:pStyle w:val="FootnoteText"/>
      </w:pPr>
      <w:r>
        <w:rPr>
          <w:rStyle w:val="FootnoteReference"/>
        </w:rPr>
        <w:footnoteRef/>
      </w:r>
      <w:r>
        <w:t xml:space="preserve"> Real Estate Institute of Australia. 2021. “Real Estate Market Facts March Quarter 2021.” In the March quarter 2021, the median house price in the ACT was $752,000, behind Sydney ($1,309,195) and Melbourne ($1,004,500). The median price of other dwellings in the ACT was $510,000, behind Sydney ($751,000) and Melbourne ($673,000).</w:t>
      </w:r>
      <w:r w:rsidRPr="001742E5">
        <w:t xml:space="preserve"> </w:t>
      </w:r>
      <w:r>
        <w:t>The median weekly rent in Canberra was $570 for a house and $529 for all other dwellings.</w:t>
      </w:r>
    </w:p>
  </w:footnote>
  <w:footnote w:id="5">
    <w:p w14:paraId="65C39A68" w14:textId="77777777" w:rsidR="002261A7" w:rsidRDefault="002261A7" w:rsidP="00A60D4B">
      <w:pPr>
        <w:pStyle w:val="FootnoteText"/>
      </w:pPr>
      <w:r>
        <w:rPr>
          <w:rStyle w:val="FootnoteReference"/>
        </w:rPr>
        <w:footnoteRef/>
      </w:r>
      <w:r>
        <w:t xml:space="preserve"> Real Estate Institute of Australia. 2021. “Housing Affordability Report March Quarter 2021.”</w:t>
      </w:r>
      <w:r w:rsidRPr="00EF6774">
        <w:t xml:space="preserve"> </w:t>
      </w:r>
    </w:p>
  </w:footnote>
  <w:footnote w:id="6">
    <w:p w14:paraId="1C0764C5" w14:textId="77777777" w:rsidR="002261A7" w:rsidRDefault="002261A7" w:rsidP="00A60D4B">
      <w:pPr>
        <w:pStyle w:val="FootnoteText"/>
      </w:pPr>
      <w:r>
        <w:rPr>
          <w:rStyle w:val="FootnoteReference"/>
        </w:rPr>
        <w:footnoteRef/>
      </w:r>
      <w:r>
        <w:t xml:space="preserve"> ABS. 2021. “Taxation Revenue, Australia.” </w:t>
      </w:r>
      <w:hyperlink r:id="rId3" w:history="1">
        <w:r w:rsidRPr="003A68B0">
          <w:rPr>
            <w:rStyle w:val="Hyperlink"/>
          </w:rPr>
          <w:t>https://www.abs.gov.au/statistics/economy/government/taxation-revenue-australia/latest-release</w:t>
        </w:r>
      </w:hyperlink>
      <w:r>
        <w:t xml:space="preserve">., ABS. 2021. “Australian National Accounts: National Income, Expenditure and Product.” </w:t>
      </w:r>
      <w:hyperlink r:id="rId4" w:history="1">
        <w:r w:rsidRPr="003A68B0">
          <w:rPr>
            <w:rStyle w:val="Hyperlink"/>
          </w:rPr>
          <w:t>https://www.abs.gov.au/statistics/economy/national-accounts/australian-national-accounts-national-income-expenditure-and-product/latest-release</w:t>
        </w:r>
      </w:hyperlink>
      <w:r>
        <w:t xml:space="preserve">. </w:t>
      </w:r>
    </w:p>
  </w:footnote>
  <w:footnote w:id="7">
    <w:p w14:paraId="62B19D00" w14:textId="77777777" w:rsidR="002261A7" w:rsidRDefault="002261A7">
      <w:pPr>
        <w:pStyle w:val="FootnoteText"/>
      </w:pPr>
      <w:r>
        <w:rPr>
          <w:rStyle w:val="FootnoteReference"/>
        </w:rPr>
        <w:footnoteRef/>
      </w:r>
      <w:r>
        <w:rPr>
          <w:shd w:val="clear" w:color="auto" w:fill="FFFFFF"/>
        </w:rPr>
        <w:t xml:space="preserve"> Note this includes the accounting adjustment of $56.2 million received in 2021-22, reflecting higher GST collections in 2020</w:t>
      </w:r>
      <w:r>
        <w:rPr>
          <w:shd w:val="clear" w:color="auto" w:fill="FFFFFF"/>
        </w:rPr>
        <w:noBreakHyphen/>
        <w:t>21.</w:t>
      </w:r>
    </w:p>
  </w:footnote>
  <w:footnote w:id="8">
    <w:p w14:paraId="52E0F51F" w14:textId="77777777" w:rsidR="002261A7" w:rsidRDefault="002261A7" w:rsidP="00A60D4B">
      <w:pPr>
        <w:pStyle w:val="FootnoteText"/>
      </w:pPr>
      <w:r>
        <w:rPr>
          <w:rStyle w:val="FootnoteReference"/>
        </w:rPr>
        <w:footnoteRef/>
      </w:r>
      <w:r>
        <w:t xml:space="preserve"> As at 24 September 2021</w:t>
      </w:r>
    </w:p>
  </w:footnote>
  <w:footnote w:id="9">
    <w:p w14:paraId="1B288439" w14:textId="77777777" w:rsidR="002261A7" w:rsidRPr="00227781" w:rsidRDefault="002261A7" w:rsidP="00A60D4B">
      <w:pPr>
        <w:pStyle w:val="FootnoteText"/>
      </w:pPr>
      <w:r>
        <w:rPr>
          <w:rStyle w:val="FootnoteReference"/>
        </w:rPr>
        <w:footnoteRef/>
      </w:r>
      <w:r>
        <w:t xml:space="preserve"> </w:t>
      </w:r>
      <w:hyperlink r:id="rId5" w:history="1">
        <w:r w:rsidRPr="00267669">
          <w:rPr>
            <w:rStyle w:val="Hyperlink"/>
          </w:rPr>
          <w:t>https://apps.treasury.act.gov.au/infrastructure-finance-and-reform/the-capital-framework</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9EC99" w14:textId="77777777" w:rsidR="002261A7" w:rsidRDefault="00FB4E5C">
    <w:pPr>
      <w:pStyle w:val="Header"/>
    </w:pPr>
    <w:sdt>
      <w:sdtPr>
        <w:id w:val="1269515291"/>
        <w:docPartObj>
          <w:docPartGallery w:val="Page Numbers (Margins)"/>
          <w:docPartUnique/>
        </w:docPartObj>
      </w:sdtPr>
      <w:sdtEndPr/>
      <w:sdtContent>
        <w:r w:rsidR="002261A7">
          <w:rPr>
            <w:noProof/>
          </w:rPr>
          <mc:AlternateContent>
            <mc:Choice Requires="wps">
              <w:drawing>
                <wp:anchor distT="0" distB="0" distL="114300" distR="114300" simplePos="0" relativeHeight="251660288" behindDoc="0" locked="0" layoutInCell="1" allowOverlap="1" wp14:anchorId="6217DF8C" wp14:editId="48E7E902">
                  <wp:simplePos x="0" y="0"/>
                  <wp:positionH relativeFrom="column">
                    <wp:posOffset>-1078865</wp:posOffset>
                  </wp:positionH>
                  <wp:positionV relativeFrom="paragraph">
                    <wp:posOffset>571500</wp:posOffset>
                  </wp:positionV>
                  <wp:extent cx="1009650" cy="1752600"/>
                  <wp:effectExtent l="0" t="0" r="0" b="0"/>
                  <wp:wrapNone/>
                  <wp:docPr id="317" name="Text Box 317"/>
                  <wp:cNvGraphicFramePr/>
                  <a:graphic xmlns:a="http://schemas.openxmlformats.org/drawingml/2006/main">
                    <a:graphicData uri="http://schemas.microsoft.com/office/word/2010/wordprocessingShape">
                      <wps:wsp>
                        <wps:cNvSpPr txBox="1"/>
                        <wps:spPr>
                          <a:xfrm>
                            <a:off x="0" y="0"/>
                            <a:ext cx="1009650" cy="1752600"/>
                          </a:xfrm>
                          <a:prstGeom prst="rect">
                            <a:avLst/>
                          </a:prstGeom>
                          <a:noFill/>
                          <a:ln w="6350">
                            <a:noFill/>
                          </a:ln>
                        </wps:spPr>
                        <wps:txbx>
                          <w:txbxContent>
                            <w:p w14:paraId="7C655000" w14:textId="77777777" w:rsidR="002261A7" w:rsidRDefault="002261A7" w:rsidP="00A60D4B">
                              <w:pPr>
                                <w:rPr>
                                  <w:rFonts w:eastAsiaTheme="majorEastAsia" w:cstheme="minorHAnsi"/>
                                  <w:sz w:val="20"/>
                                  <w:szCs w:val="20"/>
                                  <w14:textOutline w14:w="9525" w14:cap="rnd" w14:cmpd="sng" w14:algn="ctr">
                                    <w14:noFill/>
                                    <w14:prstDash w14:val="solid"/>
                                    <w14:bevel/>
                                  </w14:textOutline>
                                </w:rPr>
                              </w:pPr>
                            </w:p>
                            <w:p w14:paraId="55BB1346" w14:textId="77777777" w:rsidR="002261A7" w:rsidRPr="002D09D8" w:rsidRDefault="002261A7" w:rsidP="00A60D4B">
                              <w:pPr>
                                <w:rPr>
                                  <w:rFonts w:eastAsiaTheme="majorEastAsia" w:cstheme="minorHAnsi"/>
                                  <w:sz w:val="20"/>
                                  <w:szCs w:val="20"/>
                                  <w14:textOutline w14:w="9525" w14:cap="rnd" w14:cmpd="sng" w14:algn="ctr">
                                    <w14:noFill/>
                                    <w14:prstDash w14:val="solid"/>
                                    <w14:bevel/>
                                  </w14:textOutline>
                                </w:rPr>
                              </w:pPr>
                              <w:r w:rsidRPr="002D09D8">
                                <w:rPr>
                                  <w:rFonts w:eastAsiaTheme="majorEastAsia" w:cstheme="minorHAnsi"/>
                                  <w:sz w:val="20"/>
                                  <w:szCs w:val="20"/>
                                  <w14:textOutline w14:w="9525" w14:cap="rnd" w14:cmpd="sng" w14:algn="ctr">
                                    <w14:noFill/>
                                    <w14:prstDash w14:val="solid"/>
                                    <w14:bevel/>
                                  </w14:textOutline>
                                </w:rPr>
                                <w:t>2021-22 Budget Outlook</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17DF8C" id="_x0000_t202" coordsize="21600,21600" o:spt="202" path="m,l,21600r21600,l21600,xe">
                  <v:stroke joinstyle="miter"/>
                  <v:path gradientshapeok="t" o:connecttype="rect"/>
                </v:shapetype>
                <v:shape id="Text Box 317" o:spid="_x0000_s1045" type="#_x0000_t202" style="position:absolute;margin-left:-84.95pt;margin-top:45pt;width:79.5pt;height:13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" filled="f" stroked="f" strokeweight=".5pt">
                  <v:textbox style="layout-flow:vertical">
                    <w:txbxContent>
                      <w:p w14:paraId="7C655000" w14:textId="77777777" w:rsidR="002261A7" w:rsidRDefault="002261A7" w:rsidP="00A60D4B">
                        <w:pPr>
                          <w:rPr>
                            <w:rFonts w:eastAsiaTheme="majorEastAsia" w:cstheme="minorHAnsi"/>
                            <w:sz w:val="20"/>
                            <w:szCs w:val="20"/>
                            <w14:textOutline w14:w="9525" w14:cap="rnd" w14:cmpd="sng" w14:algn="ctr">
                              <w14:noFill/>
                              <w14:prstDash w14:val="solid"/>
                              <w14:bevel/>
                            </w14:textOutline>
                          </w:rPr>
                        </w:pPr>
                      </w:p>
                      <w:p w14:paraId="55BB1346" w14:textId="77777777" w:rsidR="002261A7" w:rsidRPr="002D09D8" w:rsidRDefault="002261A7" w:rsidP="00A60D4B">
                        <w:pPr>
                          <w:rPr>
                            <w:rFonts w:eastAsiaTheme="majorEastAsia" w:cstheme="minorHAnsi"/>
                            <w:sz w:val="20"/>
                            <w:szCs w:val="20"/>
                            <w14:textOutline w14:w="9525" w14:cap="rnd" w14:cmpd="sng" w14:algn="ctr">
                              <w14:noFill/>
                              <w14:prstDash w14:val="solid"/>
                              <w14:bevel/>
                            </w14:textOutline>
                          </w:rPr>
                        </w:pPr>
                        <w:r w:rsidRPr="002D09D8">
                          <w:rPr>
                            <w:rFonts w:eastAsiaTheme="majorEastAsia" w:cstheme="minorHAnsi"/>
                            <w:sz w:val="20"/>
                            <w:szCs w:val="20"/>
                            <w14:textOutline w14:w="9525" w14:cap="rnd" w14:cmpd="sng" w14:algn="ctr">
                              <w14:noFill/>
                              <w14:prstDash w14:val="solid"/>
                              <w14:bevel/>
                            </w14:textOutline>
                          </w:rPr>
                          <w:t>2021-22 Budget Outlook</w:t>
                        </w:r>
                      </w:p>
                    </w:txbxContent>
                  </v:textbox>
                </v:shape>
              </w:pict>
            </mc:Fallback>
          </mc:AlternateContent>
        </w:r>
        <w:r w:rsidR="002261A7">
          <w:rPr>
            <w:noProof/>
          </w:rPr>
          <mc:AlternateContent>
            <mc:Choice Requires="wps">
              <w:drawing>
                <wp:anchor distT="0" distB="0" distL="114300" distR="114300" simplePos="0" relativeHeight="251659264" behindDoc="0" locked="0" layoutInCell="0" allowOverlap="1" wp14:anchorId="03E2C1D4" wp14:editId="2D329C29">
                  <wp:simplePos x="0" y="0"/>
                  <wp:positionH relativeFrom="leftMargin">
                    <wp:posOffset>-286384</wp:posOffset>
                  </wp:positionH>
                  <wp:positionV relativeFrom="page">
                    <wp:posOffset>876300</wp:posOffset>
                  </wp:positionV>
                  <wp:extent cx="1047750" cy="5676900"/>
                  <wp:effectExtent l="0" t="0" r="19050" b="19050"/>
                  <wp:wrapNone/>
                  <wp:docPr id="318" name="Rectangle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5676900"/>
                          </a:xfrm>
                          <a:prstGeom prst="rect">
                            <a:avLst/>
                          </a:prstGeom>
                          <a:solidFill>
                            <a:schemeClr val="bg1"/>
                          </a:solidFill>
                          <a:ln>
                            <a:solidFill>
                              <a:schemeClr val="bg1"/>
                            </a:solidFill>
                          </a:ln>
                        </wps:spPr>
                        <wps:txbx>
                          <w:txbxContent>
                            <w:sdt>
                              <w:sdtPr>
                                <w:rPr>
                                  <w:rFonts w:eastAsiaTheme="majorEastAsia" w:cstheme="minorHAnsi"/>
                                  <w:sz w:val="20"/>
                                  <w:szCs w:val="20"/>
                                </w:rPr>
                                <w:id w:val="14478487"/>
                                <w:docPartObj>
                                  <w:docPartGallery w:val="Page Numbers (Margins)"/>
                                  <w:docPartUnique/>
                                </w:docPartObj>
                              </w:sdtPr>
                              <w:sdtEndPr/>
                              <w:sdtContent>
                                <w:sdt>
                                  <w:sdtPr>
                                    <w:rPr>
                                      <w:rFonts w:eastAsiaTheme="majorEastAsia" w:cstheme="minorHAnsi"/>
                                      <w:sz w:val="20"/>
                                      <w:szCs w:val="20"/>
                                    </w:rPr>
                                    <w:id w:val="107640144"/>
                                    <w:docPartObj>
                                      <w:docPartGallery w:val="Page Numbers (Margins)"/>
                                      <w:docPartUnique/>
                                    </w:docPartObj>
                                  </w:sdtPr>
                                  <w:sdtEndPr/>
                                  <w:sdtContent>
                                    <w:p w14:paraId="04BD9F39" w14:textId="77777777" w:rsidR="002261A7" w:rsidRPr="00F157B2" w:rsidRDefault="002261A7">
                                      <w:pPr>
                                        <w:jc w:val="center"/>
                                        <w:rPr>
                                          <w:rFonts w:eastAsiaTheme="majorEastAsia" w:cstheme="minorHAnsi"/>
                                          <w:sz w:val="20"/>
                                          <w:szCs w:val="20"/>
                                        </w:rPr>
                                      </w:pPr>
                                      <w:r w:rsidRPr="00F157B2">
                                        <w:rPr>
                                          <w:rFonts w:eastAsiaTheme="minorEastAsia" w:cstheme="minorHAnsi"/>
                                          <w:sz w:val="20"/>
                                          <w:szCs w:val="20"/>
                                        </w:rPr>
                                        <w:fldChar w:fldCharType="begin"/>
                                      </w:r>
                                      <w:r w:rsidRPr="00F157B2">
                                        <w:rPr>
                                          <w:rFonts w:cstheme="minorHAnsi"/>
                                          <w:sz w:val="20"/>
                                          <w:szCs w:val="20"/>
                                        </w:rPr>
                                        <w:instrText xml:space="preserve"> PAGE   \* MERGEFORMAT </w:instrText>
                                      </w:r>
                                      <w:r w:rsidRPr="00F157B2">
                                        <w:rPr>
                                          <w:rFonts w:eastAsiaTheme="minorEastAsia" w:cstheme="minorHAnsi"/>
                                          <w:sz w:val="20"/>
                                          <w:szCs w:val="20"/>
                                        </w:rPr>
                                        <w:fldChar w:fldCharType="separate"/>
                                      </w:r>
                                      <w:r w:rsidRPr="00F157B2">
                                        <w:rPr>
                                          <w:rFonts w:eastAsiaTheme="majorEastAsia" w:cstheme="minorHAnsi"/>
                                          <w:noProof/>
                                          <w:sz w:val="20"/>
                                          <w:szCs w:val="20"/>
                                        </w:rPr>
                                        <w:t>2</w:t>
                                      </w:r>
                                      <w:r w:rsidRPr="00F157B2">
                                        <w:rPr>
                                          <w:rFonts w:eastAsiaTheme="majorEastAsia" w:cstheme="minorHAnsi"/>
                                          <w:noProof/>
                                          <w:sz w:val="20"/>
                                          <w:szCs w:val="20"/>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E2C1D4" id="Rectangle 318" o:spid="_x0000_s1046" style="position:absolute;margin-left:-22.55pt;margin-top:69pt;width:82.5pt;height:447pt;z-index:2516592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" o:allowincell="f" fillcolor="white [3212]" strokecolor="white [3212]">
                  <v:textbox style="layout-flow:vertical">
                    <w:txbxContent>
                      <w:sdt>
                        <w:sdtPr>
                          <w:rPr>
                            <w:rFonts w:eastAsiaTheme="majorEastAsia" w:cstheme="minorHAnsi"/>
                            <w:sz w:val="20"/>
                            <w:szCs w:val="20"/>
                          </w:rPr>
                          <w:id w:val="14478487"/>
                          <w:docPartObj>
                            <w:docPartGallery w:val="Page Numbers (Margins)"/>
                            <w:docPartUnique/>
                          </w:docPartObj>
                        </w:sdtPr>
                        <w:sdtEndPr/>
                        <w:sdtContent>
                          <w:sdt>
                            <w:sdtPr>
                              <w:rPr>
                                <w:rFonts w:eastAsiaTheme="majorEastAsia" w:cstheme="minorHAnsi"/>
                                <w:sz w:val="20"/>
                                <w:szCs w:val="20"/>
                              </w:rPr>
                              <w:id w:val="107640144"/>
                              <w:docPartObj>
                                <w:docPartGallery w:val="Page Numbers (Margins)"/>
                                <w:docPartUnique/>
                              </w:docPartObj>
                            </w:sdtPr>
                            <w:sdtEndPr/>
                            <w:sdtContent>
                              <w:p w14:paraId="04BD9F39" w14:textId="77777777" w:rsidR="002261A7" w:rsidRPr="00F157B2" w:rsidRDefault="002261A7">
                                <w:pPr>
                                  <w:jc w:val="center"/>
                                  <w:rPr>
                                    <w:rFonts w:eastAsiaTheme="majorEastAsia" w:cstheme="minorHAnsi"/>
                                    <w:sz w:val="20"/>
                                    <w:szCs w:val="20"/>
                                  </w:rPr>
                                </w:pPr>
                                <w:r w:rsidRPr="00F157B2">
                                  <w:rPr>
                                    <w:rFonts w:eastAsiaTheme="minorEastAsia" w:cstheme="minorHAnsi"/>
                                    <w:sz w:val="20"/>
                                    <w:szCs w:val="20"/>
                                  </w:rPr>
                                  <w:fldChar w:fldCharType="begin"/>
                                </w:r>
                                <w:r w:rsidRPr="00F157B2">
                                  <w:rPr>
                                    <w:rFonts w:cstheme="minorHAnsi"/>
                                    <w:sz w:val="20"/>
                                    <w:szCs w:val="20"/>
                                  </w:rPr>
                                  <w:instrText xml:space="preserve"> PAGE   \* MERGEFORMAT </w:instrText>
                                </w:r>
                                <w:r w:rsidRPr="00F157B2">
                                  <w:rPr>
                                    <w:rFonts w:eastAsiaTheme="minorEastAsia" w:cstheme="minorHAnsi"/>
                                    <w:sz w:val="20"/>
                                    <w:szCs w:val="20"/>
                                  </w:rPr>
                                  <w:fldChar w:fldCharType="separate"/>
                                </w:r>
                                <w:r w:rsidRPr="00F157B2">
                                  <w:rPr>
                                    <w:rFonts w:eastAsiaTheme="majorEastAsia" w:cstheme="minorHAnsi"/>
                                    <w:noProof/>
                                    <w:sz w:val="20"/>
                                    <w:szCs w:val="20"/>
                                  </w:rPr>
                                  <w:t>2</w:t>
                                </w:r>
                                <w:r w:rsidRPr="00F157B2">
                                  <w:rPr>
                                    <w:rFonts w:eastAsiaTheme="majorEastAsia" w:cstheme="minorHAnsi"/>
                                    <w:noProof/>
                                    <w:sz w:val="20"/>
                                    <w:szCs w:val="20"/>
                                  </w:rPr>
                                  <w:fldChar w:fldCharType="end"/>
                                </w:r>
                              </w:p>
                            </w:sdtContent>
                          </w:sdt>
                        </w:sdtContent>
                      </w:sdt>
                    </w:txbxContent>
                  </v:textbox>
                  <w10:wrap anchorx="margin" anchory="page"/>
                </v:rect>
              </w:pict>
            </mc:Fallback>
          </mc:AlternateConten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12D59" w14:textId="77777777" w:rsidR="002261A7" w:rsidRDefault="002261A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A0E71" w14:textId="77777777" w:rsidR="002261A7" w:rsidRDefault="002261A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D02D6" w14:textId="77777777" w:rsidR="002261A7" w:rsidRDefault="002261A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D3D2B" w14:textId="77777777" w:rsidR="002261A7" w:rsidRDefault="002261A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8C8D67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hybridMultilevel"/>
    <w:tmpl w:val="6E5A0DE4"/>
    <w:lvl w:ilvl="0" w:tplc="7E68E7BA">
      <w:start w:val="1"/>
      <w:numFmt w:val="decimal"/>
      <w:pStyle w:val="ListNumber4"/>
      <w:lvlText w:val="%1."/>
      <w:lvlJc w:val="left"/>
      <w:pPr>
        <w:tabs>
          <w:tab w:val="num" w:pos="1209"/>
        </w:tabs>
        <w:ind w:left="1209" w:hanging="360"/>
      </w:pPr>
    </w:lvl>
    <w:lvl w:ilvl="1" w:tplc="92D0D25C">
      <w:numFmt w:val="decimal"/>
      <w:lvlText w:val=""/>
      <w:lvlJc w:val="left"/>
    </w:lvl>
    <w:lvl w:ilvl="2" w:tplc="CCA4554A">
      <w:numFmt w:val="decimal"/>
      <w:lvlText w:val=""/>
      <w:lvlJc w:val="left"/>
    </w:lvl>
    <w:lvl w:ilvl="3" w:tplc="48A8E6B4">
      <w:numFmt w:val="decimal"/>
      <w:lvlText w:val=""/>
      <w:lvlJc w:val="left"/>
    </w:lvl>
    <w:lvl w:ilvl="4" w:tplc="275AF7E6">
      <w:numFmt w:val="decimal"/>
      <w:lvlText w:val=""/>
      <w:lvlJc w:val="left"/>
    </w:lvl>
    <w:lvl w:ilvl="5" w:tplc="FB884D68">
      <w:numFmt w:val="decimal"/>
      <w:lvlText w:val=""/>
      <w:lvlJc w:val="left"/>
    </w:lvl>
    <w:lvl w:ilvl="6" w:tplc="EA9C0C1A">
      <w:numFmt w:val="decimal"/>
      <w:lvlText w:val=""/>
      <w:lvlJc w:val="left"/>
    </w:lvl>
    <w:lvl w:ilvl="7" w:tplc="85E639EE">
      <w:numFmt w:val="decimal"/>
      <w:lvlText w:val=""/>
      <w:lvlJc w:val="left"/>
    </w:lvl>
    <w:lvl w:ilvl="8" w:tplc="EBF00C46">
      <w:numFmt w:val="decimal"/>
      <w:lvlText w:val=""/>
      <w:lvlJc w:val="left"/>
    </w:lvl>
  </w:abstractNum>
  <w:abstractNum w:abstractNumId="2" w15:restartNumberingAfterBreak="0">
    <w:nsid w:val="FFFFFF7E"/>
    <w:multiLevelType w:val="hybridMultilevel"/>
    <w:tmpl w:val="44549C16"/>
    <w:lvl w:ilvl="0" w:tplc="4204FDF6">
      <w:start w:val="1"/>
      <w:numFmt w:val="decimal"/>
      <w:pStyle w:val="ListNumber3"/>
      <w:lvlText w:val="%1."/>
      <w:lvlJc w:val="left"/>
      <w:pPr>
        <w:tabs>
          <w:tab w:val="num" w:pos="926"/>
        </w:tabs>
        <w:ind w:left="926" w:hanging="360"/>
      </w:pPr>
    </w:lvl>
    <w:lvl w:ilvl="1" w:tplc="7F5A27A6">
      <w:numFmt w:val="decimal"/>
      <w:lvlText w:val=""/>
      <w:lvlJc w:val="left"/>
    </w:lvl>
    <w:lvl w:ilvl="2" w:tplc="74FA2CF6">
      <w:numFmt w:val="decimal"/>
      <w:lvlText w:val=""/>
      <w:lvlJc w:val="left"/>
    </w:lvl>
    <w:lvl w:ilvl="3" w:tplc="5262F542">
      <w:numFmt w:val="decimal"/>
      <w:lvlText w:val=""/>
      <w:lvlJc w:val="left"/>
    </w:lvl>
    <w:lvl w:ilvl="4" w:tplc="7CC071AA">
      <w:numFmt w:val="decimal"/>
      <w:lvlText w:val=""/>
      <w:lvlJc w:val="left"/>
    </w:lvl>
    <w:lvl w:ilvl="5" w:tplc="06DEADEC">
      <w:numFmt w:val="decimal"/>
      <w:lvlText w:val=""/>
      <w:lvlJc w:val="left"/>
    </w:lvl>
    <w:lvl w:ilvl="6" w:tplc="A7BC7B04">
      <w:numFmt w:val="decimal"/>
      <w:lvlText w:val=""/>
      <w:lvlJc w:val="left"/>
    </w:lvl>
    <w:lvl w:ilvl="7" w:tplc="DDEC51FE">
      <w:numFmt w:val="decimal"/>
      <w:lvlText w:val=""/>
      <w:lvlJc w:val="left"/>
    </w:lvl>
    <w:lvl w:ilvl="8" w:tplc="F6B0598A">
      <w:numFmt w:val="decimal"/>
      <w:lvlText w:val=""/>
      <w:lvlJc w:val="left"/>
    </w:lvl>
  </w:abstractNum>
  <w:abstractNum w:abstractNumId="3" w15:restartNumberingAfterBreak="0">
    <w:nsid w:val="FFFFFF7F"/>
    <w:multiLevelType w:val="hybridMultilevel"/>
    <w:tmpl w:val="865E3FCE"/>
    <w:lvl w:ilvl="0" w:tplc="F0101B86">
      <w:start w:val="1"/>
      <w:numFmt w:val="decimal"/>
      <w:pStyle w:val="ListNumber2"/>
      <w:lvlText w:val="%1."/>
      <w:lvlJc w:val="left"/>
      <w:pPr>
        <w:tabs>
          <w:tab w:val="num" w:pos="643"/>
        </w:tabs>
        <w:ind w:left="643" w:hanging="360"/>
      </w:pPr>
    </w:lvl>
    <w:lvl w:ilvl="1" w:tplc="48A081CA">
      <w:numFmt w:val="decimal"/>
      <w:lvlText w:val=""/>
      <w:lvlJc w:val="left"/>
    </w:lvl>
    <w:lvl w:ilvl="2" w:tplc="874602D2">
      <w:numFmt w:val="decimal"/>
      <w:lvlText w:val=""/>
      <w:lvlJc w:val="left"/>
    </w:lvl>
    <w:lvl w:ilvl="3" w:tplc="A8E04B26">
      <w:numFmt w:val="decimal"/>
      <w:lvlText w:val=""/>
      <w:lvlJc w:val="left"/>
    </w:lvl>
    <w:lvl w:ilvl="4" w:tplc="70F83F0C">
      <w:numFmt w:val="decimal"/>
      <w:lvlText w:val=""/>
      <w:lvlJc w:val="left"/>
    </w:lvl>
    <w:lvl w:ilvl="5" w:tplc="F880FA74">
      <w:numFmt w:val="decimal"/>
      <w:lvlText w:val=""/>
      <w:lvlJc w:val="left"/>
    </w:lvl>
    <w:lvl w:ilvl="6" w:tplc="D61C7CCE">
      <w:numFmt w:val="decimal"/>
      <w:lvlText w:val=""/>
      <w:lvlJc w:val="left"/>
    </w:lvl>
    <w:lvl w:ilvl="7" w:tplc="8870BFD4">
      <w:numFmt w:val="decimal"/>
      <w:lvlText w:val=""/>
      <w:lvlJc w:val="left"/>
    </w:lvl>
    <w:lvl w:ilvl="8" w:tplc="B454ADA6">
      <w:numFmt w:val="decimal"/>
      <w:lvlText w:val=""/>
      <w:lvlJc w:val="left"/>
    </w:lvl>
  </w:abstractNum>
  <w:abstractNum w:abstractNumId="4" w15:restartNumberingAfterBreak="0">
    <w:nsid w:val="FFFFFF80"/>
    <w:multiLevelType w:val="hybridMultilevel"/>
    <w:tmpl w:val="73AC0CCE"/>
    <w:lvl w:ilvl="0" w:tplc="77A44BEA">
      <w:start w:val="1"/>
      <w:numFmt w:val="bullet"/>
      <w:pStyle w:val="ListBullet5"/>
      <w:lvlText w:val=""/>
      <w:lvlJc w:val="left"/>
      <w:pPr>
        <w:tabs>
          <w:tab w:val="num" w:pos="1492"/>
        </w:tabs>
        <w:ind w:left="1492" w:hanging="360"/>
      </w:pPr>
      <w:rPr>
        <w:rFonts w:ascii="Symbol" w:hAnsi="Symbol" w:hint="default"/>
      </w:rPr>
    </w:lvl>
    <w:lvl w:ilvl="1" w:tplc="AA8A1304">
      <w:numFmt w:val="decimal"/>
      <w:lvlText w:val=""/>
      <w:lvlJc w:val="left"/>
    </w:lvl>
    <w:lvl w:ilvl="2" w:tplc="EE223F7C">
      <w:numFmt w:val="decimal"/>
      <w:lvlText w:val=""/>
      <w:lvlJc w:val="left"/>
    </w:lvl>
    <w:lvl w:ilvl="3" w:tplc="E6E0AAD6">
      <w:numFmt w:val="decimal"/>
      <w:lvlText w:val=""/>
      <w:lvlJc w:val="left"/>
    </w:lvl>
    <w:lvl w:ilvl="4" w:tplc="7C32F53E">
      <w:numFmt w:val="decimal"/>
      <w:lvlText w:val=""/>
      <w:lvlJc w:val="left"/>
    </w:lvl>
    <w:lvl w:ilvl="5" w:tplc="D0749A90">
      <w:numFmt w:val="decimal"/>
      <w:lvlText w:val=""/>
      <w:lvlJc w:val="left"/>
    </w:lvl>
    <w:lvl w:ilvl="6" w:tplc="2F623516">
      <w:numFmt w:val="decimal"/>
      <w:lvlText w:val=""/>
      <w:lvlJc w:val="left"/>
    </w:lvl>
    <w:lvl w:ilvl="7" w:tplc="E06C4A74">
      <w:numFmt w:val="decimal"/>
      <w:lvlText w:val=""/>
      <w:lvlJc w:val="left"/>
    </w:lvl>
    <w:lvl w:ilvl="8" w:tplc="BBF8CDCC">
      <w:numFmt w:val="decimal"/>
      <w:lvlText w:val=""/>
      <w:lvlJc w:val="left"/>
    </w:lvl>
  </w:abstractNum>
  <w:abstractNum w:abstractNumId="5" w15:restartNumberingAfterBreak="0">
    <w:nsid w:val="FFFFFF81"/>
    <w:multiLevelType w:val="hybridMultilevel"/>
    <w:tmpl w:val="019641BE"/>
    <w:lvl w:ilvl="0" w:tplc="0924037E">
      <w:start w:val="1"/>
      <w:numFmt w:val="bullet"/>
      <w:pStyle w:val="ListBullet4"/>
      <w:lvlText w:val=""/>
      <w:lvlJc w:val="left"/>
      <w:pPr>
        <w:tabs>
          <w:tab w:val="num" w:pos="1209"/>
        </w:tabs>
        <w:ind w:left="1209" w:hanging="360"/>
      </w:pPr>
      <w:rPr>
        <w:rFonts w:ascii="Symbol" w:hAnsi="Symbol" w:hint="default"/>
      </w:rPr>
    </w:lvl>
    <w:lvl w:ilvl="1" w:tplc="7C147B14">
      <w:numFmt w:val="decimal"/>
      <w:lvlText w:val=""/>
      <w:lvlJc w:val="left"/>
    </w:lvl>
    <w:lvl w:ilvl="2" w:tplc="0CF0D50C">
      <w:numFmt w:val="decimal"/>
      <w:lvlText w:val=""/>
      <w:lvlJc w:val="left"/>
    </w:lvl>
    <w:lvl w:ilvl="3" w:tplc="E51883C6">
      <w:numFmt w:val="decimal"/>
      <w:lvlText w:val=""/>
      <w:lvlJc w:val="left"/>
    </w:lvl>
    <w:lvl w:ilvl="4" w:tplc="B8A4E484">
      <w:numFmt w:val="decimal"/>
      <w:lvlText w:val=""/>
      <w:lvlJc w:val="left"/>
    </w:lvl>
    <w:lvl w:ilvl="5" w:tplc="3634B974">
      <w:numFmt w:val="decimal"/>
      <w:lvlText w:val=""/>
      <w:lvlJc w:val="left"/>
    </w:lvl>
    <w:lvl w:ilvl="6" w:tplc="3F1446D8">
      <w:numFmt w:val="decimal"/>
      <w:lvlText w:val=""/>
      <w:lvlJc w:val="left"/>
    </w:lvl>
    <w:lvl w:ilvl="7" w:tplc="5FBE7116">
      <w:numFmt w:val="decimal"/>
      <w:lvlText w:val=""/>
      <w:lvlJc w:val="left"/>
    </w:lvl>
    <w:lvl w:ilvl="8" w:tplc="D0667686">
      <w:numFmt w:val="decimal"/>
      <w:lvlText w:val=""/>
      <w:lvlJc w:val="left"/>
    </w:lvl>
  </w:abstractNum>
  <w:abstractNum w:abstractNumId="6" w15:restartNumberingAfterBreak="0">
    <w:nsid w:val="FFFFFF82"/>
    <w:multiLevelType w:val="hybridMultilevel"/>
    <w:tmpl w:val="9B40813A"/>
    <w:lvl w:ilvl="0" w:tplc="53F4397A">
      <w:start w:val="1"/>
      <w:numFmt w:val="bullet"/>
      <w:pStyle w:val="ListBullet3"/>
      <w:lvlText w:val=""/>
      <w:lvlJc w:val="left"/>
      <w:pPr>
        <w:tabs>
          <w:tab w:val="num" w:pos="926"/>
        </w:tabs>
        <w:ind w:left="926" w:hanging="360"/>
      </w:pPr>
      <w:rPr>
        <w:rFonts w:ascii="Symbol" w:hAnsi="Symbol" w:hint="default"/>
      </w:rPr>
    </w:lvl>
    <w:lvl w:ilvl="1" w:tplc="7638DD0E">
      <w:numFmt w:val="decimal"/>
      <w:lvlText w:val=""/>
      <w:lvlJc w:val="left"/>
    </w:lvl>
    <w:lvl w:ilvl="2" w:tplc="1BB8E770">
      <w:numFmt w:val="decimal"/>
      <w:lvlText w:val=""/>
      <w:lvlJc w:val="left"/>
    </w:lvl>
    <w:lvl w:ilvl="3" w:tplc="50C62EEE">
      <w:numFmt w:val="decimal"/>
      <w:lvlText w:val=""/>
      <w:lvlJc w:val="left"/>
    </w:lvl>
    <w:lvl w:ilvl="4" w:tplc="AD7021CC">
      <w:numFmt w:val="decimal"/>
      <w:lvlText w:val=""/>
      <w:lvlJc w:val="left"/>
    </w:lvl>
    <w:lvl w:ilvl="5" w:tplc="0716358C">
      <w:numFmt w:val="decimal"/>
      <w:lvlText w:val=""/>
      <w:lvlJc w:val="left"/>
    </w:lvl>
    <w:lvl w:ilvl="6" w:tplc="973094BE">
      <w:numFmt w:val="decimal"/>
      <w:lvlText w:val=""/>
      <w:lvlJc w:val="left"/>
    </w:lvl>
    <w:lvl w:ilvl="7" w:tplc="E7CC1822">
      <w:numFmt w:val="decimal"/>
      <w:lvlText w:val=""/>
      <w:lvlJc w:val="left"/>
    </w:lvl>
    <w:lvl w:ilvl="8" w:tplc="1610DB76">
      <w:numFmt w:val="decimal"/>
      <w:lvlText w:val=""/>
      <w:lvlJc w:val="left"/>
    </w:lvl>
  </w:abstractNum>
  <w:abstractNum w:abstractNumId="7" w15:restartNumberingAfterBreak="0">
    <w:nsid w:val="FFFFFF83"/>
    <w:multiLevelType w:val="hybridMultilevel"/>
    <w:tmpl w:val="D2E2E7BC"/>
    <w:lvl w:ilvl="0" w:tplc="BEA2BE06">
      <w:start w:val="1"/>
      <w:numFmt w:val="bullet"/>
      <w:pStyle w:val="ListBullet2"/>
      <w:lvlText w:val=""/>
      <w:lvlJc w:val="left"/>
      <w:pPr>
        <w:tabs>
          <w:tab w:val="num" w:pos="643"/>
        </w:tabs>
        <w:ind w:left="643" w:hanging="360"/>
      </w:pPr>
      <w:rPr>
        <w:rFonts w:ascii="Symbol" w:hAnsi="Symbol" w:hint="default"/>
      </w:rPr>
    </w:lvl>
    <w:lvl w:ilvl="1" w:tplc="A6FA77C0">
      <w:numFmt w:val="decimal"/>
      <w:lvlText w:val=""/>
      <w:lvlJc w:val="left"/>
    </w:lvl>
    <w:lvl w:ilvl="2" w:tplc="68AAA136">
      <w:numFmt w:val="decimal"/>
      <w:lvlText w:val=""/>
      <w:lvlJc w:val="left"/>
    </w:lvl>
    <w:lvl w:ilvl="3" w:tplc="332A20EA">
      <w:numFmt w:val="decimal"/>
      <w:lvlText w:val=""/>
      <w:lvlJc w:val="left"/>
    </w:lvl>
    <w:lvl w:ilvl="4" w:tplc="15744DBA">
      <w:numFmt w:val="decimal"/>
      <w:lvlText w:val=""/>
      <w:lvlJc w:val="left"/>
    </w:lvl>
    <w:lvl w:ilvl="5" w:tplc="424851E0">
      <w:numFmt w:val="decimal"/>
      <w:lvlText w:val=""/>
      <w:lvlJc w:val="left"/>
    </w:lvl>
    <w:lvl w:ilvl="6" w:tplc="61E02EFC">
      <w:numFmt w:val="decimal"/>
      <w:lvlText w:val=""/>
      <w:lvlJc w:val="left"/>
    </w:lvl>
    <w:lvl w:ilvl="7" w:tplc="D7C07C20">
      <w:numFmt w:val="decimal"/>
      <w:lvlText w:val=""/>
      <w:lvlJc w:val="left"/>
    </w:lvl>
    <w:lvl w:ilvl="8" w:tplc="67EAFF5A">
      <w:numFmt w:val="decimal"/>
      <w:lvlText w:val=""/>
      <w:lvlJc w:val="left"/>
    </w:lvl>
  </w:abstractNum>
  <w:abstractNum w:abstractNumId="8" w15:restartNumberingAfterBreak="0">
    <w:nsid w:val="FFFFFF88"/>
    <w:multiLevelType w:val="singleLevel"/>
    <w:tmpl w:val="B5C60A8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hybridMultilevel"/>
    <w:tmpl w:val="363E3EFC"/>
    <w:lvl w:ilvl="0" w:tplc="F15C1DCE">
      <w:start w:val="1"/>
      <w:numFmt w:val="bullet"/>
      <w:pStyle w:val="ListBullet"/>
      <w:lvlText w:val=""/>
      <w:lvlJc w:val="left"/>
      <w:pPr>
        <w:tabs>
          <w:tab w:val="num" w:pos="360"/>
        </w:tabs>
        <w:ind w:left="360" w:hanging="360"/>
      </w:pPr>
      <w:rPr>
        <w:rFonts w:ascii="Symbol" w:hAnsi="Symbol" w:hint="default"/>
      </w:rPr>
    </w:lvl>
    <w:lvl w:ilvl="1" w:tplc="DF1604BE">
      <w:numFmt w:val="decimal"/>
      <w:lvlText w:val=""/>
      <w:lvlJc w:val="left"/>
    </w:lvl>
    <w:lvl w:ilvl="2" w:tplc="563E0F42">
      <w:numFmt w:val="decimal"/>
      <w:lvlText w:val=""/>
      <w:lvlJc w:val="left"/>
    </w:lvl>
    <w:lvl w:ilvl="3" w:tplc="95A41B94">
      <w:numFmt w:val="decimal"/>
      <w:lvlText w:val=""/>
      <w:lvlJc w:val="left"/>
    </w:lvl>
    <w:lvl w:ilvl="4" w:tplc="68540070">
      <w:numFmt w:val="decimal"/>
      <w:lvlText w:val=""/>
      <w:lvlJc w:val="left"/>
    </w:lvl>
    <w:lvl w:ilvl="5" w:tplc="3E301200">
      <w:numFmt w:val="decimal"/>
      <w:lvlText w:val=""/>
      <w:lvlJc w:val="left"/>
    </w:lvl>
    <w:lvl w:ilvl="6" w:tplc="F6FE27DE">
      <w:numFmt w:val="decimal"/>
      <w:lvlText w:val=""/>
      <w:lvlJc w:val="left"/>
    </w:lvl>
    <w:lvl w:ilvl="7" w:tplc="ED9CFDF8">
      <w:numFmt w:val="decimal"/>
      <w:lvlText w:val=""/>
      <w:lvlJc w:val="left"/>
    </w:lvl>
    <w:lvl w:ilvl="8" w:tplc="DADCBDEA">
      <w:numFmt w:val="decimal"/>
      <w:lvlText w:val=""/>
      <w:lvlJc w:val="left"/>
    </w:lvl>
  </w:abstractNum>
  <w:abstractNum w:abstractNumId="10" w15:restartNumberingAfterBreak="0">
    <w:nsid w:val="02A05D63"/>
    <w:multiLevelType w:val="hybridMultilevel"/>
    <w:tmpl w:val="BC8CEB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4387AF0"/>
    <w:multiLevelType w:val="hybridMultilevel"/>
    <w:tmpl w:val="50F4F518"/>
    <w:lvl w:ilvl="0" w:tplc="066C9874">
      <w:start w:val="1"/>
      <w:numFmt w:val="lowerLetter"/>
      <w:pStyle w:val="Recommendation2"/>
      <w:lvlText w:val="%1."/>
      <w:lvlJc w:val="left"/>
      <w:pPr>
        <w:ind w:left="1145" w:hanging="360"/>
      </w:pPr>
    </w:lvl>
    <w:lvl w:ilvl="1" w:tplc="0C090019" w:tentative="1">
      <w:start w:val="1"/>
      <w:numFmt w:val="lowerLetter"/>
      <w:lvlText w:val="%2."/>
      <w:lvlJc w:val="left"/>
      <w:pPr>
        <w:ind w:left="1865" w:hanging="360"/>
      </w:pPr>
    </w:lvl>
    <w:lvl w:ilvl="2" w:tplc="0C09001B">
      <w:start w:val="1"/>
      <w:numFmt w:val="lowerRoman"/>
      <w:lvlText w:val="%3."/>
      <w:lvlJc w:val="right"/>
      <w:pPr>
        <w:ind w:left="2585" w:hanging="180"/>
      </w:pPr>
    </w:lvl>
    <w:lvl w:ilvl="3" w:tplc="0C09000F">
      <w:start w:val="1"/>
      <w:numFmt w:val="decimal"/>
      <w:lvlText w:val="%4."/>
      <w:lvlJc w:val="left"/>
      <w:pPr>
        <w:ind w:left="3305" w:hanging="360"/>
      </w:pPr>
    </w:lvl>
    <w:lvl w:ilvl="4" w:tplc="0C090019" w:tentative="1">
      <w:start w:val="1"/>
      <w:numFmt w:val="lowerLetter"/>
      <w:lvlText w:val="%5."/>
      <w:lvlJc w:val="left"/>
      <w:pPr>
        <w:ind w:left="4025" w:hanging="360"/>
      </w:pPr>
    </w:lvl>
    <w:lvl w:ilvl="5" w:tplc="0C09001B" w:tentative="1">
      <w:start w:val="1"/>
      <w:numFmt w:val="lowerRoman"/>
      <w:lvlText w:val="%6."/>
      <w:lvlJc w:val="right"/>
      <w:pPr>
        <w:ind w:left="4745" w:hanging="180"/>
      </w:pPr>
    </w:lvl>
    <w:lvl w:ilvl="6" w:tplc="0C09000F" w:tentative="1">
      <w:start w:val="1"/>
      <w:numFmt w:val="decimal"/>
      <w:lvlText w:val="%7."/>
      <w:lvlJc w:val="left"/>
      <w:pPr>
        <w:ind w:left="5465" w:hanging="360"/>
      </w:pPr>
    </w:lvl>
    <w:lvl w:ilvl="7" w:tplc="0C090019" w:tentative="1">
      <w:start w:val="1"/>
      <w:numFmt w:val="lowerLetter"/>
      <w:lvlText w:val="%8."/>
      <w:lvlJc w:val="left"/>
      <w:pPr>
        <w:ind w:left="6185" w:hanging="360"/>
      </w:pPr>
    </w:lvl>
    <w:lvl w:ilvl="8" w:tplc="0C09001B" w:tentative="1">
      <w:start w:val="1"/>
      <w:numFmt w:val="lowerRoman"/>
      <w:lvlText w:val="%9."/>
      <w:lvlJc w:val="right"/>
      <w:pPr>
        <w:ind w:left="6905" w:hanging="180"/>
      </w:pPr>
    </w:lvl>
  </w:abstractNum>
  <w:abstractNum w:abstractNumId="12" w15:restartNumberingAfterBreak="0">
    <w:nsid w:val="04BA11C5"/>
    <w:multiLevelType w:val="hybridMultilevel"/>
    <w:tmpl w:val="05F4BB08"/>
    <w:lvl w:ilvl="0" w:tplc="445C04A8">
      <w:start w:val="1"/>
      <w:numFmt w:val="bullet"/>
      <w:pStyle w:val="BodyTextIndent2"/>
      <w:lvlText w:val="–"/>
      <w:lvlJc w:val="left"/>
      <w:pPr>
        <w:tabs>
          <w:tab w:val="num" w:pos="717"/>
        </w:tabs>
        <w:ind w:left="717" w:hanging="360"/>
      </w:pPr>
      <w:rPr>
        <w:rFonts w:ascii="Times New Roman" w:hAnsi="Times New Roman" w:cs="Times New Roman" w:hint="default"/>
      </w:rPr>
    </w:lvl>
    <w:lvl w:ilvl="1" w:tplc="04090003" w:tentative="1">
      <w:start w:val="1"/>
      <w:numFmt w:val="bullet"/>
      <w:lvlText w:val="o"/>
      <w:lvlJc w:val="left"/>
      <w:pPr>
        <w:tabs>
          <w:tab w:val="num" w:pos="1866"/>
        </w:tabs>
        <w:ind w:left="1866" w:hanging="360"/>
      </w:pPr>
      <w:rPr>
        <w:rFonts w:ascii="Courier New" w:hAnsi="Courier New" w:hint="default"/>
      </w:rPr>
    </w:lvl>
    <w:lvl w:ilvl="2" w:tplc="04090005" w:tentative="1">
      <w:start w:val="1"/>
      <w:numFmt w:val="bullet"/>
      <w:lvlText w:val=""/>
      <w:lvlJc w:val="left"/>
      <w:pPr>
        <w:tabs>
          <w:tab w:val="num" w:pos="2586"/>
        </w:tabs>
        <w:ind w:left="2586" w:hanging="360"/>
      </w:pPr>
      <w:rPr>
        <w:rFonts w:ascii="Wingdings" w:hAnsi="Wingdings" w:hint="default"/>
      </w:rPr>
    </w:lvl>
    <w:lvl w:ilvl="3" w:tplc="04090001" w:tentative="1">
      <w:start w:val="1"/>
      <w:numFmt w:val="bullet"/>
      <w:lvlText w:val=""/>
      <w:lvlJc w:val="left"/>
      <w:pPr>
        <w:tabs>
          <w:tab w:val="num" w:pos="3306"/>
        </w:tabs>
        <w:ind w:left="3306" w:hanging="360"/>
      </w:pPr>
      <w:rPr>
        <w:rFonts w:ascii="Symbol" w:hAnsi="Symbol" w:hint="default"/>
      </w:rPr>
    </w:lvl>
    <w:lvl w:ilvl="4" w:tplc="04090003" w:tentative="1">
      <w:start w:val="1"/>
      <w:numFmt w:val="bullet"/>
      <w:lvlText w:val="o"/>
      <w:lvlJc w:val="left"/>
      <w:pPr>
        <w:tabs>
          <w:tab w:val="num" w:pos="4026"/>
        </w:tabs>
        <w:ind w:left="4026" w:hanging="360"/>
      </w:pPr>
      <w:rPr>
        <w:rFonts w:ascii="Courier New" w:hAnsi="Courier New" w:hint="default"/>
      </w:rPr>
    </w:lvl>
    <w:lvl w:ilvl="5" w:tplc="04090005" w:tentative="1">
      <w:start w:val="1"/>
      <w:numFmt w:val="bullet"/>
      <w:lvlText w:val=""/>
      <w:lvlJc w:val="left"/>
      <w:pPr>
        <w:tabs>
          <w:tab w:val="num" w:pos="4746"/>
        </w:tabs>
        <w:ind w:left="4746" w:hanging="360"/>
      </w:pPr>
      <w:rPr>
        <w:rFonts w:ascii="Wingdings" w:hAnsi="Wingdings" w:hint="default"/>
      </w:rPr>
    </w:lvl>
    <w:lvl w:ilvl="6" w:tplc="04090001" w:tentative="1">
      <w:start w:val="1"/>
      <w:numFmt w:val="bullet"/>
      <w:lvlText w:val=""/>
      <w:lvlJc w:val="left"/>
      <w:pPr>
        <w:tabs>
          <w:tab w:val="num" w:pos="5466"/>
        </w:tabs>
        <w:ind w:left="5466" w:hanging="360"/>
      </w:pPr>
      <w:rPr>
        <w:rFonts w:ascii="Symbol" w:hAnsi="Symbol" w:hint="default"/>
      </w:rPr>
    </w:lvl>
    <w:lvl w:ilvl="7" w:tplc="04090003" w:tentative="1">
      <w:start w:val="1"/>
      <w:numFmt w:val="bullet"/>
      <w:lvlText w:val="o"/>
      <w:lvlJc w:val="left"/>
      <w:pPr>
        <w:tabs>
          <w:tab w:val="num" w:pos="6186"/>
        </w:tabs>
        <w:ind w:left="6186" w:hanging="360"/>
      </w:pPr>
      <w:rPr>
        <w:rFonts w:ascii="Courier New" w:hAnsi="Courier New" w:hint="default"/>
      </w:rPr>
    </w:lvl>
    <w:lvl w:ilvl="8" w:tplc="04090005" w:tentative="1">
      <w:start w:val="1"/>
      <w:numFmt w:val="bullet"/>
      <w:lvlText w:val=""/>
      <w:lvlJc w:val="left"/>
      <w:pPr>
        <w:tabs>
          <w:tab w:val="num" w:pos="6906"/>
        </w:tabs>
        <w:ind w:left="6906" w:hanging="360"/>
      </w:pPr>
      <w:rPr>
        <w:rFonts w:ascii="Wingdings" w:hAnsi="Wingdings" w:hint="default"/>
      </w:rPr>
    </w:lvl>
  </w:abstractNum>
  <w:abstractNum w:abstractNumId="13" w15:restartNumberingAfterBreak="0">
    <w:nsid w:val="08E60934"/>
    <w:multiLevelType w:val="hybridMultilevel"/>
    <w:tmpl w:val="93AA6100"/>
    <w:lvl w:ilvl="0" w:tplc="D4682E1E">
      <w:start w:val="1"/>
      <w:numFmt w:val="bullet"/>
      <w:pStyle w:val="BodyTextIndent4"/>
      <w:lvlText w:val="–"/>
      <w:lvlJc w:val="left"/>
      <w:pPr>
        <w:tabs>
          <w:tab w:val="num" w:pos="2016"/>
        </w:tabs>
        <w:ind w:left="2016" w:hanging="360"/>
      </w:pPr>
      <w:rPr>
        <w:rFonts w:ascii="Times New Roman" w:hAnsi="Times New Roman" w:cs="Times New Roman" w:hint="default"/>
      </w:rPr>
    </w:lvl>
    <w:lvl w:ilvl="1" w:tplc="0C090003" w:tentative="1">
      <w:start w:val="1"/>
      <w:numFmt w:val="bullet"/>
      <w:lvlText w:val="o"/>
      <w:lvlJc w:val="left"/>
      <w:pPr>
        <w:tabs>
          <w:tab w:val="num" w:pos="2880"/>
        </w:tabs>
        <w:ind w:left="2880" w:hanging="360"/>
      </w:pPr>
      <w:rPr>
        <w:rFonts w:ascii="Courier New" w:hAnsi="Courier New" w:cs="Courier New" w:hint="default"/>
      </w:rPr>
    </w:lvl>
    <w:lvl w:ilvl="2" w:tplc="0C090005" w:tentative="1">
      <w:start w:val="1"/>
      <w:numFmt w:val="bullet"/>
      <w:lvlText w:val=""/>
      <w:lvlJc w:val="left"/>
      <w:pPr>
        <w:tabs>
          <w:tab w:val="num" w:pos="3600"/>
        </w:tabs>
        <w:ind w:left="3600" w:hanging="360"/>
      </w:pPr>
      <w:rPr>
        <w:rFonts w:ascii="Wingdings" w:hAnsi="Wingdings" w:hint="default"/>
      </w:rPr>
    </w:lvl>
    <w:lvl w:ilvl="3" w:tplc="0C090001" w:tentative="1">
      <w:start w:val="1"/>
      <w:numFmt w:val="bullet"/>
      <w:lvlText w:val=""/>
      <w:lvlJc w:val="left"/>
      <w:pPr>
        <w:tabs>
          <w:tab w:val="num" w:pos="4320"/>
        </w:tabs>
        <w:ind w:left="4320" w:hanging="360"/>
      </w:pPr>
      <w:rPr>
        <w:rFonts w:ascii="Symbol" w:hAnsi="Symbol" w:hint="default"/>
      </w:rPr>
    </w:lvl>
    <w:lvl w:ilvl="4" w:tplc="0C090003" w:tentative="1">
      <w:start w:val="1"/>
      <w:numFmt w:val="bullet"/>
      <w:lvlText w:val="o"/>
      <w:lvlJc w:val="left"/>
      <w:pPr>
        <w:tabs>
          <w:tab w:val="num" w:pos="5040"/>
        </w:tabs>
        <w:ind w:left="5040" w:hanging="360"/>
      </w:pPr>
      <w:rPr>
        <w:rFonts w:ascii="Courier New" w:hAnsi="Courier New" w:cs="Courier New" w:hint="default"/>
      </w:rPr>
    </w:lvl>
    <w:lvl w:ilvl="5" w:tplc="0C090005" w:tentative="1">
      <w:start w:val="1"/>
      <w:numFmt w:val="bullet"/>
      <w:lvlText w:val=""/>
      <w:lvlJc w:val="left"/>
      <w:pPr>
        <w:tabs>
          <w:tab w:val="num" w:pos="5760"/>
        </w:tabs>
        <w:ind w:left="5760" w:hanging="360"/>
      </w:pPr>
      <w:rPr>
        <w:rFonts w:ascii="Wingdings" w:hAnsi="Wingdings" w:hint="default"/>
      </w:rPr>
    </w:lvl>
    <w:lvl w:ilvl="6" w:tplc="0C090001" w:tentative="1">
      <w:start w:val="1"/>
      <w:numFmt w:val="bullet"/>
      <w:lvlText w:val=""/>
      <w:lvlJc w:val="left"/>
      <w:pPr>
        <w:tabs>
          <w:tab w:val="num" w:pos="6480"/>
        </w:tabs>
        <w:ind w:left="6480" w:hanging="360"/>
      </w:pPr>
      <w:rPr>
        <w:rFonts w:ascii="Symbol" w:hAnsi="Symbol" w:hint="default"/>
      </w:rPr>
    </w:lvl>
    <w:lvl w:ilvl="7" w:tplc="0C090003" w:tentative="1">
      <w:start w:val="1"/>
      <w:numFmt w:val="bullet"/>
      <w:lvlText w:val="o"/>
      <w:lvlJc w:val="left"/>
      <w:pPr>
        <w:tabs>
          <w:tab w:val="num" w:pos="7200"/>
        </w:tabs>
        <w:ind w:left="7200" w:hanging="360"/>
      </w:pPr>
      <w:rPr>
        <w:rFonts w:ascii="Courier New" w:hAnsi="Courier New" w:cs="Courier New" w:hint="default"/>
      </w:rPr>
    </w:lvl>
    <w:lvl w:ilvl="8" w:tplc="0C090005" w:tentative="1">
      <w:start w:val="1"/>
      <w:numFmt w:val="bullet"/>
      <w:lvlText w:val=""/>
      <w:lvlJc w:val="left"/>
      <w:pPr>
        <w:tabs>
          <w:tab w:val="num" w:pos="7920"/>
        </w:tabs>
        <w:ind w:left="7920" w:hanging="360"/>
      </w:pPr>
      <w:rPr>
        <w:rFonts w:ascii="Wingdings" w:hAnsi="Wingdings" w:hint="default"/>
      </w:rPr>
    </w:lvl>
  </w:abstractNum>
  <w:abstractNum w:abstractNumId="14" w15:restartNumberingAfterBreak="0">
    <w:nsid w:val="0AE94A8D"/>
    <w:multiLevelType w:val="hybridMultilevel"/>
    <w:tmpl w:val="23D2ADCA"/>
    <w:lvl w:ilvl="0" w:tplc="D14AC3EC">
      <w:start w:val="1"/>
      <w:numFmt w:val="bullet"/>
      <w:pStyle w:val="BBullet1"/>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0B3F216F"/>
    <w:multiLevelType w:val="hybridMultilevel"/>
    <w:tmpl w:val="E174A4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C4D24E6"/>
    <w:multiLevelType w:val="hybridMultilevel"/>
    <w:tmpl w:val="85EE8B62"/>
    <w:lvl w:ilvl="0" w:tplc="0C09000F">
      <w:start w:val="1"/>
      <w:numFmt w:val="decimal"/>
      <w:pStyle w:val="CSKeyInfoTalkingPoints"/>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0FF42C4F"/>
    <w:multiLevelType w:val="multilevel"/>
    <w:tmpl w:val="3FCE0BD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8" w15:restartNumberingAfterBreak="0">
    <w:nsid w:val="1B7767DF"/>
    <w:multiLevelType w:val="hybridMultilevel"/>
    <w:tmpl w:val="FFFFFFFF"/>
    <w:lvl w:ilvl="0" w:tplc="568CA2DC">
      <w:start w:val="1"/>
      <w:numFmt w:val="decimal"/>
      <w:lvlText w:val="%1."/>
      <w:lvlJc w:val="left"/>
      <w:pPr>
        <w:ind w:left="360" w:hanging="360"/>
      </w:pPr>
    </w:lvl>
    <w:lvl w:ilvl="1" w:tplc="447CB610">
      <w:start w:val="1"/>
      <w:numFmt w:val="lowerLetter"/>
      <w:lvlText w:val="%2."/>
      <w:lvlJc w:val="left"/>
      <w:pPr>
        <w:ind w:left="1440" w:hanging="360"/>
      </w:pPr>
    </w:lvl>
    <w:lvl w:ilvl="2" w:tplc="F558C754">
      <w:start w:val="1"/>
      <w:numFmt w:val="lowerRoman"/>
      <w:lvlText w:val="%3."/>
      <w:lvlJc w:val="right"/>
      <w:pPr>
        <w:ind w:left="2160" w:hanging="180"/>
      </w:pPr>
    </w:lvl>
    <w:lvl w:ilvl="3" w:tplc="850466A8">
      <w:start w:val="1"/>
      <w:numFmt w:val="decimal"/>
      <w:lvlText w:val="%4."/>
      <w:lvlJc w:val="left"/>
      <w:pPr>
        <w:ind w:left="2880" w:hanging="360"/>
      </w:pPr>
    </w:lvl>
    <w:lvl w:ilvl="4" w:tplc="CB26FBD0">
      <w:start w:val="1"/>
      <w:numFmt w:val="lowerLetter"/>
      <w:lvlText w:val="%5."/>
      <w:lvlJc w:val="left"/>
      <w:pPr>
        <w:ind w:left="3600" w:hanging="360"/>
      </w:pPr>
    </w:lvl>
    <w:lvl w:ilvl="5" w:tplc="1994C8B4">
      <w:start w:val="1"/>
      <w:numFmt w:val="lowerRoman"/>
      <w:lvlText w:val="%6."/>
      <w:lvlJc w:val="right"/>
      <w:pPr>
        <w:ind w:left="4320" w:hanging="180"/>
      </w:pPr>
    </w:lvl>
    <w:lvl w:ilvl="6" w:tplc="4A82AC98">
      <w:start w:val="1"/>
      <w:numFmt w:val="decimal"/>
      <w:lvlText w:val="%7."/>
      <w:lvlJc w:val="left"/>
      <w:pPr>
        <w:ind w:left="5040" w:hanging="360"/>
      </w:pPr>
    </w:lvl>
    <w:lvl w:ilvl="7" w:tplc="B7F25B70">
      <w:start w:val="1"/>
      <w:numFmt w:val="lowerLetter"/>
      <w:lvlText w:val="%8."/>
      <w:lvlJc w:val="left"/>
      <w:pPr>
        <w:ind w:left="5760" w:hanging="360"/>
      </w:pPr>
    </w:lvl>
    <w:lvl w:ilvl="8" w:tplc="75C22796">
      <w:start w:val="1"/>
      <w:numFmt w:val="lowerRoman"/>
      <w:lvlText w:val="%9."/>
      <w:lvlJc w:val="right"/>
      <w:pPr>
        <w:ind w:left="6480" w:hanging="180"/>
      </w:pPr>
    </w:lvl>
  </w:abstractNum>
  <w:abstractNum w:abstractNumId="19" w15:restartNumberingAfterBreak="0">
    <w:nsid w:val="1BBB7FA0"/>
    <w:multiLevelType w:val="hybridMultilevel"/>
    <w:tmpl w:val="F6E0A7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F5940EB"/>
    <w:multiLevelType w:val="hybridMultilevel"/>
    <w:tmpl w:val="4D6C8C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0406B23"/>
    <w:multiLevelType w:val="hybridMultilevel"/>
    <w:tmpl w:val="B3983C1C"/>
    <w:lvl w:ilvl="0" w:tplc="4CCC8564">
      <w:start w:val="1"/>
      <w:numFmt w:val="lowerLetter"/>
      <w:pStyle w:val="BStablelist"/>
      <w:lvlText w:val="%1."/>
      <w:lvlJc w:val="left"/>
      <w:pPr>
        <w:ind w:left="360" w:hanging="360"/>
      </w:pPr>
      <w:rPr>
        <w:rFonts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2" w15:restartNumberingAfterBreak="0">
    <w:nsid w:val="204C2DBA"/>
    <w:multiLevelType w:val="hybridMultilevel"/>
    <w:tmpl w:val="1DBE5F94"/>
    <w:lvl w:ilvl="0" w:tplc="3096549E">
      <w:start w:val="1"/>
      <w:numFmt w:val="bullet"/>
      <w:pStyle w:val="BodyTextIndent3"/>
      <w:lvlText w:val=""/>
      <w:lvlJc w:val="left"/>
      <w:pPr>
        <w:tabs>
          <w:tab w:val="num" w:pos="1797"/>
        </w:tabs>
        <w:ind w:left="1797" w:hanging="360"/>
      </w:pPr>
      <w:rPr>
        <w:rFonts w:ascii="Symbol" w:hAnsi="Symbol" w:hint="default"/>
      </w:rPr>
    </w:lvl>
    <w:lvl w:ilvl="1" w:tplc="0C090003" w:tentative="1">
      <w:start w:val="1"/>
      <w:numFmt w:val="bullet"/>
      <w:lvlText w:val="o"/>
      <w:lvlJc w:val="left"/>
      <w:pPr>
        <w:tabs>
          <w:tab w:val="num" w:pos="2517"/>
        </w:tabs>
        <w:ind w:left="2517" w:hanging="360"/>
      </w:pPr>
      <w:rPr>
        <w:rFonts w:ascii="Courier New" w:hAnsi="Courier New" w:cs="Courier New" w:hint="default"/>
      </w:rPr>
    </w:lvl>
    <w:lvl w:ilvl="2" w:tplc="0C090005" w:tentative="1">
      <w:start w:val="1"/>
      <w:numFmt w:val="bullet"/>
      <w:lvlText w:val=""/>
      <w:lvlJc w:val="left"/>
      <w:pPr>
        <w:tabs>
          <w:tab w:val="num" w:pos="3237"/>
        </w:tabs>
        <w:ind w:left="3237" w:hanging="360"/>
      </w:pPr>
      <w:rPr>
        <w:rFonts w:ascii="Wingdings" w:hAnsi="Wingdings" w:hint="default"/>
      </w:rPr>
    </w:lvl>
    <w:lvl w:ilvl="3" w:tplc="0C090001" w:tentative="1">
      <w:start w:val="1"/>
      <w:numFmt w:val="bullet"/>
      <w:lvlText w:val=""/>
      <w:lvlJc w:val="left"/>
      <w:pPr>
        <w:tabs>
          <w:tab w:val="num" w:pos="3957"/>
        </w:tabs>
        <w:ind w:left="3957" w:hanging="360"/>
      </w:pPr>
      <w:rPr>
        <w:rFonts w:ascii="Symbol" w:hAnsi="Symbol" w:hint="default"/>
      </w:rPr>
    </w:lvl>
    <w:lvl w:ilvl="4" w:tplc="0C090003" w:tentative="1">
      <w:start w:val="1"/>
      <w:numFmt w:val="bullet"/>
      <w:lvlText w:val="o"/>
      <w:lvlJc w:val="left"/>
      <w:pPr>
        <w:tabs>
          <w:tab w:val="num" w:pos="4677"/>
        </w:tabs>
        <w:ind w:left="4677" w:hanging="360"/>
      </w:pPr>
      <w:rPr>
        <w:rFonts w:ascii="Courier New" w:hAnsi="Courier New" w:cs="Courier New" w:hint="default"/>
      </w:rPr>
    </w:lvl>
    <w:lvl w:ilvl="5" w:tplc="0C090005" w:tentative="1">
      <w:start w:val="1"/>
      <w:numFmt w:val="bullet"/>
      <w:lvlText w:val=""/>
      <w:lvlJc w:val="left"/>
      <w:pPr>
        <w:tabs>
          <w:tab w:val="num" w:pos="5397"/>
        </w:tabs>
        <w:ind w:left="5397" w:hanging="360"/>
      </w:pPr>
      <w:rPr>
        <w:rFonts w:ascii="Wingdings" w:hAnsi="Wingdings" w:hint="default"/>
      </w:rPr>
    </w:lvl>
    <w:lvl w:ilvl="6" w:tplc="0C090001" w:tentative="1">
      <w:start w:val="1"/>
      <w:numFmt w:val="bullet"/>
      <w:lvlText w:val=""/>
      <w:lvlJc w:val="left"/>
      <w:pPr>
        <w:tabs>
          <w:tab w:val="num" w:pos="6117"/>
        </w:tabs>
        <w:ind w:left="6117" w:hanging="360"/>
      </w:pPr>
      <w:rPr>
        <w:rFonts w:ascii="Symbol" w:hAnsi="Symbol" w:hint="default"/>
      </w:rPr>
    </w:lvl>
    <w:lvl w:ilvl="7" w:tplc="0C090003" w:tentative="1">
      <w:start w:val="1"/>
      <w:numFmt w:val="bullet"/>
      <w:lvlText w:val="o"/>
      <w:lvlJc w:val="left"/>
      <w:pPr>
        <w:tabs>
          <w:tab w:val="num" w:pos="6837"/>
        </w:tabs>
        <w:ind w:left="6837" w:hanging="360"/>
      </w:pPr>
      <w:rPr>
        <w:rFonts w:ascii="Courier New" w:hAnsi="Courier New" w:cs="Courier New" w:hint="default"/>
      </w:rPr>
    </w:lvl>
    <w:lvl w:ilvl="8" w:tplc="0C090005" w:tentative="1">
      <w:start w:val="1"/>
      <w:numFmt w:val="bullet"/>
      <w:lvlText w:val=""/>
      <w:lvlJc w:val="left"/>
      <w:pPr>
        <w:tabs>
          <w:tab w:val="num" w:pos="7557"/>
        </w:tabs>
        <w:ind w:left="7557" w:hanging="360"/>
      </w:pPr>
      <w:rPr>
        <w:rFonts w:ascii="Wingdings" w:hAnsi="Wingdings" w:hint="default"/>
      </w:rPr>
    </w:lvl>
  </w:abstractNum>
  <w:abstractNum w:abstractNumId="23" w15:restartNumberingAfterBreak="0">
    <w:nsid w:val="275A6D53"/>
    <w:multiLevelType w:val="hybridMultilevel"/>
    <w:tmpl w:val="9FB672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76A38C9"/>
    <w:multiLevelType w:val="hybridMultilevel"/>
    <w:tmpl w:val="DFF07674"/>
    <w:lvl w:ilvl="0" w:tplc="A90EFF1A">
      <w:start w:val="1"/>
      <w:numFmt w:val="decimal"/>
      <w:pStyle w:val="BSnoteslist"/>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29AE2377"/>
    <w:multiLevelType w:val="hybridMultilevel"/>
    <w:tmpl w:val="8408C5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BAF0683"/>
    <w:multiLevelType w:val="hybridMultilevel"/>
    <w:tmpl w:val="19F4EA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35872B8"/>
    <w:multiLevelType w:val="hybridMultilevel"/>
    <w:tmpl w:val="39944286"/>
    <w:lvl w:ilvl="0" w:tplc="6DBAF65E">
      <w:start w:val="1"/>
      <w:numFmt w:val="decimal"/>
      <w:pStyle w:val="CS-Paragraphnumbering"/>
      <w:lvlText w:val="%1."/>
      <w:lvlJc w:val="left"/>
      <w:pPr>
        <w:ind w:left="786" w:hanging="360"/>
      </w:pPr>
      <w:rPr>
        <w:sz w:val="24"/>
        <w:szCs w:val="24"/>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34D345D9"/>
    <w:multiLevelType w:val="hybridMultilevel"/>
    <w:tmpl w:val="BA3619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8C81B6E"/>
    <w:multiLevelType w:val="hybridMultilevel"/>
    <w:tmpl w:val="E26858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8E67F9E"/>
    <w:multiLevelType w:val="hybridMultilevel"/>
    <w:tmpl w:val="31B8C1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CB06B4D"/>
    <w:multiLevelType w:val="hybridMultilevel"/>
    <w:tmpl w:val="76FAB26C"/>
    <w:lvl w:ilvl="0" w:tplc="8BA48D4E">
      <w:start w:val="1"/>
      <w:numFmt w:val="bullet"/>
      <w:pStyle w:val="BBullet2"/>
      <w:lvlText w:val="­"/>
      <w:lvlJc w:val="left"/>
      <w:pPr>
        <w:ind w:left="859" w:hanging="360"/>
      </w:pPr>
      <w:rPr>
        <w:rFonts w:ascii="Courier New" w:hAnsi="Courier New" w:hint="default"/>
      </w:rPr>
    </w:lvl>
    <w:lvl w:ilvl="1" w:tplc="0C090003" w:tentative="1">
      <w:start w:val="1"/>
      <w:numFmt w:val="bullet"/>
      <w:lvlText w:val="o"/>
      <w:lvlJc w:val="left"/>
      <w:pPr>
        <w:ind w:left="1579" w:hanging="360"/>
      </w:pPr>
      <w:rPr>
        <w:rFonts w:ascii="Courier New" w:hAnsi="Courier New" w:cs="Courier New" w:hint="default"/>
      </w:rPr>
    </w:lvl>
    <w:lvl w:ilvl="2" w:tplc="0C090005" w:tentative="1">
      <w:start w:val="1"/>
      <w:numFmt w:val="bullet"/>
      <w:lvlText w:val=""/>
      <w:lvlJc w:val="left"/>
      <w:pPr>
        <w:ind w:left="2299" w:hanging="360"/>
      </w:pPr>
      <w:rPr>
        <w:rFonts w:ascii="Wingdings" w:hAnsi="Wingdings" w:hint="default"/>
      </w:rPr>
    </w:lvl>
    <w:lvl w:ilvl="3" w:tplc="0C090001" w:tentative="1">
      <w:start w:val="1"/>
      <w:numFmt w:val="bullet"/>
      <w:lvlText w:val=""/>
      <w:lvlJc w:val="left"/>
      <w:pPr>
        <w:ind w:left="3019" w:hanging="360"/>
      </w:pPr>
      <w:rPr>
        <w:rFonts w:ascii="Symbol" w:hAnsi="Symbol" w:hint="default"/>
      </w:rPr>
    </w:lvl>
    <w:lvl w:ilvl="4" w:tplc="0C090003" w:tentative="1">
      <w:start w:val="1"/>
      <w:numFmt w:val="bullet"/>
      <w:lvlText w:val="o"/>
      <w:lvlJc w:val="left"/>
      <w:pPr>
        <w:ind w:left="3739" w:hanging="360"/>
      </w:pPr>
      <w:rPr>
        <w:rFonts w:ascii="Courier New" w:hAnsi="Courier New" w:cs="Courier New" w:hint="default"/>
      </w:rPr>
    </w:lvl>
    <w:lvl w:ilvl="5" w:tplc="0C090005" w:tentative="1">
      <w:start w:val="1"/>
      <w:numFmt w:val="bullet"/>
      <w:lvlText w:val=""/>
      <w:lvlJc w:val="left"/>
      <w:pPr>
        <w:ind w:left="4459" w:hanging="360"/>
      </w:pPr>
      <w:rPr>
        <w:rFonts w:ascii="Wingdings" w:hAnsi="Wingdings" w:hint="default"/>
      </w:rPr>
    </w:lvl>
    <w:lvl w:ilvl="6" w:tplc="0C090001" w:tentative="1">
      <w:start w:val="1"/>
      <w:numFmt w:val="bullet"/>
      <w:lvlText w:val=""/>
      <w:lvlJc w:val="left"/>
      <w:pPr>
        <w:ind w:left="5179" w:hanging="360"/>
      </w:pPr>
      <w:rPr>
        <w:rFonts w:ascii="Symbol" w:hAnsi="Symbol" w:hint="default"/>
      </w:rPr>
    </w:lvl>
    <w:lvl w:ilvl="7" w:tplc="0C090003" w:tentative="1">
      <w:start w:val="1"/>
      <w:numFmt w:val="bullet"/>
      <w:lvlText w:val="o"/>
      <w:lvlJc w:val="left"/>
      <w:pPr>
        <w:ind w:left="5899" w:hanging="360"/>
      </w:pPr>
      <w:rPr>
        <w:rFonts w:ascii="Courier New" w:hAnsi="Courier New" w:cs="Courier New" w:hint="default"/>
      </w:rPr>
    </w:lvl>
    <w:lvl w:ilvl="8" w:tplc="0C090005" w:tentative="1">
      <w:start w:val="1"/>
      <w:numFmt w:val="bullet"/>
      <w:lvlText w:val=""/>
      <w:lvlJc w:val="left"/>
      <w:pPr>
        <w:ind w:left="6619" w:hanging="360"/>
      </w:pPr>
      <w:rPr>
        <w:rFonts w:ascii="Wingdings" w:hAnsi="Wingdings" w:hint="default"/>
      </w:rPr>
    </w:lvl>
  </w:abstractNum>
  <w:abstractNum w:abstractNumId="32" w15:restartNumberingAfterBreak="0">
    <w:nsid w:val="3EBB5AFC"/>
    <w:multiLevelType w:val="hybridMultilevel"/>
    <w:tmpl w:val="5B04FA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3EBC7298"/>
    <w:multiLevelType w:val="hybridMultilevel"/>
    <w:tmpl w:val="F0E8816C"/>
    <w:lvl w:ilvl="0" w:tplc="0C090001">
      <w:start w:val="1"/>
      <w:numFmt w:val="bullet"/>
      <w:lvlText w:val=""/>
      <w:lvlJc w:val="left"/>
      <w:pPr>
        <w:ind w:left="360" w:hanging="360"/>
      </w:pPr>
      <w:rPr>
        <w:rFonts w:ascii="Symbol" w:hAnsi="Symbol" w:hint="default"/>
      </w:rPr>
    </w:lvl>
    <w:lvl w:ilvl="1" w:tplc="49408DF8">
      <w:numFmt w:val="bullet"/>
      <w:lvlText w:val="•"/>
      <w:lvlJc w:val="left"/>
      <w:pPr>
        <w:ind w:left="1080" w:hanging="360"/>
      </w:pPr>
      <w:rPr>
        <w:rFonts w:ascii="Calibri" w:eastAsiaTheme="minorHAnsi" w:hAnsi="Calibri" w:cs="Calibri"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3F2B1A91"/>
    <w:multiLevelType w:val="hybridMultilevel"/>
    <w:tmpl w:val="D2D830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441C16FD"/>
    <w:multiLevelType w:val="hybridMultilevel"/>
    <w:tmpl w:val="78FCDDCA"/>
    <w:styleLink w:val="ARTable-Bullet-List"/>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6" w15:restartNumberingAfterBreak="0">
    <w:nsid w:val="45726472"/>
    <w:multiLevelType w:val="hybridMultilevel"/>
    <w:tmpl w:val="8F96F3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64A3962"/>
    <w:multiLevelType w:val="hybridMultilevel"/>
    <w:tmpl w:val="63D67E68"/>
    <w:lvl w:ilvl="0" w:tplc="ED743F8C">
      <w:start w:val="1"/>
      <w:numFmt w:val="decimal"/>
      <w:pStyle w:val="Alnotes"/>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 w15:restartNumberingAfterBreak="0">
    <w:nsid w:val="49365D10"/>
    <w:multiLevelType w:val="hybridMultilevel"/>
    <w:tmpl w:val="FD6E23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EAA1946"/>
    <w:multiLevelType w:val="hybridMultilevel"/>
    <w:tmpl w:val="B44C51C0"/>
    <w:lvl w:ilvl="0" w:tplc="FFFFFFFF">
      <w:start w:val="1"/>
      <w:numFmt w:val="bullet"/>
      <w:lvlText w:val=""/>
      <w:lvlJc w:val="left"/>
      <w:pPr>
        <w:tabs>
          <w:tab w:val="num" w:pos="360"/>
        </w:tabs>
        <w:ind w:left="360" w:hanging="360"/>
      </w:pPr>
      <w:rPr>
        <w:rFonts w:ascii="Symbol" w:hAnsi="Symbol" w:hint="default"/>
        <w:sz w:val="16"/>
      </w:rPr>
    </w:lvl>
    <w:lvl w:ilvl="1" w:tplc="FFFFFFFF">
      <w:start w:val="24"/>
      <w:numFmt w:val="decimal"/>
      <w:pStyle w:val="Numbering"/>
      <w:lvlText w:val="%2."/>
      <w:lvlJc w:val="left"/>
      <w:pPr>
        <w:tabs>
          <w:tab w:val="num" w:pos="1440"/>
        </w:tabs>
        <w:ind w:left="1440" w:hanging="360"/>
      </w:pPr>
      <w:rPr>
        <w:rFonts w:cs="Times New Roman" w:hint="default"/>
      </w:rPr>
    </w:lvl>
    <w:lvl w:ilvl="2" w:tplc="FFFFFFFF">
      <w:start w:val="10"/>
      <w:numFmt w:val="decimal"/>
      <w:lvlText w:val="%3."/>
      <w:lvlJc w:val="left"/>
      <w:pPr>
        <w:tabs>
          <w:tab w:val="num" w:pos="2160"/>
        </w:tabs>
        <w:ind w:left="2160" w:hanging="360"/>
      </w:pPr>
      <w:rPr>
        <w:rFonts w:cs="Times New Roman"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50E65B91"/>
    <w:multiLevelType w:val="hybridMultilevel"/>
    <w:tmpl w:val="C448AC36"/>
    <w:lvl w:ilvl="0" w:tplc="0C09000F">
      <w:start w:val="1"/>
      <w:numFmt w:val="bullet"/>
      <w:pStyle w:val="Paragraph2-Bullets"/>
      <w:lvlText w:val=""/>
      <w:lvlJc w:val="left"/>
      <w:pPr>
        <w:tabs>
          <w:tab w:val="num" w:pos="567"/>
        </w:tabs>
        <w:ind w:left="567" w:hanging="567"/>
      </w:pPr>
      <w:rPr>
        <w:rFonts w:ascii="Symbol" w:hAnsi="Symbol" w:hint="default"/>
      </w:rPr>
    </w:lvl>
    <w:lvl w:ilvl="1" w:tplc="0C090019">
      <w:start w:val="1"/>
      <w:numFmt w:val="bullet"/>
      <w:lvlText w:val=""/>
      <w:lvlJc w:val="left"/>
      <w:pPr>
        <w:tabs>
          <w:tab w:val="num" w:pos="1440"/>
        </w:tabs>
        <w:ind w:left="1440" w:hanging="360"/>
      </w:pPr>
      <w:rPr>
        <w:rFonts w:ascii="Symbol" w:hAnsi="Symbol" w:hint="default"/>
      </w:rPr>
    </w:lvl>
    <w:lvl w:ilvl="2" w:tplc="0C09001B" w:tentative="1">
      <w:start w:val="1"/>
      <w:numFmt w:val="bullet"/>
      <w:lvlText w:val=""/>
      <w:lvlJc w:val="left"/>
      <w:pPr>
        <w:tabs>
          <w:tab w:val="num" w:pos="2160"/>
        </w:tabs>
        <w:ind w:left="2160" w:hanging="360"/>
      </w:pPr>
      <w:rPr>
        <w:rFonts w:ascii="Wingdings" w:hAnsi="Wingdings" w:hint="default"/>
      </w:rPr>
    </w:lvl>
    <w:lvl w:ilvl="3" w:tplc="0C09000F" w:tentative="1">
      <w:start w:val="1"/>
      <w:numFmt w:val="bullet"/>
      <w:lvlText w:val=""/>
      <w:lvlJc w:val="left"/>
      <w:pPr>
        <w:tabs>
          <w:tab w:val="num" w:pos="2880"/>
        </w:tabs>
        <w:ind w:left="2880" w:hanging="360"/>
      </w:pPr>
      <w:rPr>
        <w:rFonts w:ascii="Symbol" w:hAnsi="Symbol" w:hint="default"/>
      </w:rPr>
    </w:lvl>
    <w:lvl w:ilvl="4" w:tplc="0C090019" w:tentative="1">
      <w:start w:val="1"/>
      <w:numFmt w:val="bullet"/>
      <w:lvlText w:val="o"/>
      <w:lvlJc w:val="left"/>
      <w:pPr>
        <w:tabs>
          <w:tab w:val="num" w:pos="3600"/>
        </w:tabs>
        <w:ind w:left="3600" w:hanging="360"/>
      </w:pPr>
      <w:rPr>
        <w:rFonts w:ascii="Courier New" w:hAnsi="Courier New" w:hint="default"/>
      </w:rPr>
    </w:lvl>
    <w:lvl w:ilvl="5" w:tplc="0C09001B" w:tentative="1">
      <w:start w:val="1"/>
      <w:numFmt w:val="bullet"/>
      <w:lvlText w:val=""/>
      <w:lvlJc w:val="left"/>
      <w:pPr>
        <w:tabs>
          <w:tab w:val="num" w:pos="4320"/>
        </w:tabs>
        <w:ind w:left="4320" w:hanging="360"/>
      </w:pPr>
      <w:rPr>
        <w:rFonts w:ascii="Wingdings" w:hAnsi="Wingdings" w:hint="default"/>
      </w:rPr>
    </w:lvl>
    <w:lvl w:ilvl="6" w:tplc="0C09000F" w:tentative="1">
      <w:start w:val="1"/>
      <w:numFmt w:val="bullet"/>
      <w:lvlText w:val=""/>
      <w:lvlJc w:val="left"/>
      <w:pPr>
        <w:tabs>
          <w:tab w:val="num" w:pos="5040"/>
        </w:tabs>
        <w:ind w:left="5040" w:hanging="360"/>
      </w:pPr>
      <w:rPr>
        <w:rFonts w:ascii="Symbol" w:hAnsi="Symbol" w:hint="default"/>
      </w:rPr>
    </w:lvl>
    <w:lvl w:ilvl="7" w:tplc="0C090019" w:tentative="1">
      <w:start w:val="1"/>
      <w:numFmt w:val="bullet"/>
      <w:lvlText w:val="o"/>
      <w:lvlJc w:val="left"/>
      <w:pPr>
        <w:tabs>
          <w:tab w:val="num" w:pos="5760"/>
        </w:tabs>
        <w:ind w:left="5760" w:hanging="360"/>
      </w:pPr>
      <w:rPr>
        <w:rFonts w:ascii="Courier New" w:hAnsi="Courier New" w:hint="default"/>
      </w:rPr>
    </w:lvl>
    <w:lvl w:ilvl="8" w:tplc="0C09001B"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1255168"/>
    <w:multiLevelType w:val="hybridMultilevel"/>
    <w:tmpl w:val="943A1E60"/>
    <w:lvl w:ilvl="0" w:tplc="66CE7AB2">
      <w:start w:val="1"/>
      <w:numFmt w:val="lowerLetter"/>
      <w:pStyle w:val="TableTextIndent"/>
      <w:lvlText w:val="%1."/>
      <w:lvlJc w:val="left"/>
      <w:pPr>
        <w:tabs>
          <w:tab w:val="num" w:pos="360"/>
        </w:tabs>
        <w:ind w:left="357" w:hanging="357"/>
      </w:pPr>
      <w:rPr>
        <w:rFonts w:hint="default"/>
      </w:rPr>
    </w:lvl>
    <w:lvl w:ilvl="1" w:tplc="65E473EA" w:tentative="1">
      <w:start w:val="1"/>
      <w:numFmt w:val="lowerLetter"/>
      <w:lvlText w:val="%2."/>
      <w:lvlJc w:val="left"/>
      <w:pPr>
        <w:tabs>
          <w:tab w:val="num" w:pos="1440"/>
        </w:tabs>
        <w:ind w:left="1440" w:hanging="360"/>
      </w:pPr>
    </w:lvl>
    <w:lvl w:ilvl="2" w:tplc="75AEEEBA" w:tentative="1">
      <w:start w:val="1"/>
      <w:numFmt w:val="lowerRoman"/>
      <w:lvlText w:val="%3."/>
      <w:lvlJc w:val="right"/>
      <w:pPr>
        <w:tabs>
          <w:tab w:val="num" w:pos="2160"/>
        </w:tabs>
        <w:ind w:left="2160" w:hanging="180"/>
      </w:pPr>
    </w:lvl>
    <w:lvl w:ilvl="3" w:tplc="DA349B18" w:tentative="1">
      <w:start w:val="1"/>
      <w:numFmt w:val="decimal"/>
      <w:lvlText w:val="%4."/>
      <w:lvlJc w:val="left"/>
      <w:pPr>
        <w:tabs>
          <w:tab w:val="num" w:pos="2880"/>
        </w:tabs>
        <w:ind w:left="2880" w:hanging="360"/>
      </w:pPr>
    </w:lvl>
    <w:lvl w:ilvl="4" w:tplc="6FA0C722" w:tentative="1">
      <w:start w:val="1"/>
      <w:numFmt w:val="lowerLetter"/>
      <w:lvlText w:val="%5."/>
      <w:lvlJc w:val="left"/>
      <w:pPr>
        <w:tabs>
          <w:tab w:val="num" w:pos="3600"/>
        </w:tabs>
        <w:ind w:left="3600" w:hanging="360"/>
      </w:pPr>
    </w:lvl>
    <w:lvl w:ilvl="5" w:tplc="1AF8F67A" w:tentative="1">
      <w:start w:val="1"/>
      <w:numFmt w:val="lowerRoman"/>
      <w:lvlText w:val="%6."/>
      <w:lvlJc w:val="right"/>
      <w:pPr>
        <w:tabs>
          <w:tab w:val="num" w:pos="4320"/>
        </w:tabs>
        <w:ind w:left="4320" w:hanging="180"/>
      </w:pPr>
    </w:lvl>
    <w:lvl w:ilvl="6" w:tplc="4F361E20" w:tentative="1">
      <w:start w:val="1"/>
      <w:numFmt w:val="decimal"/>
      <w:lvlText w:val="%7."/>
      <w:lvlJc w:val="left"/>
      <w:pPr>
        <w:tabs>
          <w:tab w:val="num" w:pos="5040"/>
        </w:tabs>
        <w:ind w:left="5040" w:hanging="360"/>
      </w:pPr>
    </w:lvl>
    <w:lvl w:ilvl="7" w:tplc="2CF4087E" w:tentative="1">
      <w:start w:val="1"/>
      <w:numFmt w:val="lowerLetter"/>
      <w:lvlText w:val="%8."/>
      <w:lvlJc w:val="left"/>
      <w:pPr>
        <w:tabs>
          <w:tab w:val="num" w:pos="5760"/>
        </w:tabs>
        <w:ind w:left="5760" w:hanging="360"/>
      </w:pPr>
    </w:lvl>
    <w:lvl w:ilvl="8" w:tplc="09685AB2" w:tentative="1">
      <w:start w:val="1"/>
      <w:numFmt w:val="lowerRoman"/>
      <w:lvlText w:val="%9."/>
      <w:lvlJc w:val="right"/>
      <w:pPr>
        <w:tabs>
          <w:tab w:val="num" w:pos="6480"/>
        </w:tabs>
        <w:ind w:left="6480" w:hanging="180"/>
      </w:pPr>
    </w:lvl>
  </w:abstractNum>
  <w:abstractNum w:abstractNumId="42" w15:restartNumberingAfterBreak="0">
    <w:nsid w:val="52E30AC9"/>
    <w:multiLevelType w:val="hybridMultilevel"/>
    <w:tmpl w:val="61EE82FE"/>
    <w:lvl w:ilvl="0" w:tplc="2718123A">
      <w:start w:val="1"/>
      <w:numFmt w:val="decimal"/>
      <w:pStyle w:val="BNotelist"/>
      <w:lvlText w:val="%1."/>
      <w:lvlJc w:val="left"/>
      <w:pPr>
        <w:ind w:left="360" w:hanging="360"/>
      </w:pPr>
      <w:rPr>
        <w:b w:val="0"/>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56681B24"/>
    <w:multiLevelType w:val="hybridMultilevel"/>
    <w:tmpl w:val="C3E835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68F771F"/>
    <w:multiLevelType w:val="hybridMultilevel"/>
    <w:tmpl w:val="721632FE"/>
    <w:lvl w:ilvl="0" w:tplc="6AA47BE6">
      <w:start w:val="1"/>
      <w:numFmt w:val="bullet"/>
      <w:pStyle w:val="BSbullet2"/>
      <w:lvlText w:val="-"/>
      <w:lvlJc w:val="left"/>
      <w:pPr>
        <w:ind w:left="1077" w:hanging="360"/>
      </w:pPr>
      <w:rPr>
        <w:rFonts w:ascii="Calibri" w:hAnsi="Calibri"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45" w15:restartNumberingAfterBreak="0">
    <w:nsid w:val="56C628A1"/>
    <w:multiLevelType w:val="multilevel"/>
    <w:tmpl w:val="472A9EEA"/>
    <w:lvl w:ilvl="0">
      <w:start w:val="3"/>
      <w:numFmt w:val="decimal"/>
      <w:pStyle w:val="Heading1"/>
      <w:lvlText w:val="Chapter %1"/>
      <w:lvlJc w:val="left"/>
      <w:pPr>
        <w:ind w:left="432" w:hanging="432"/>
      </w:pPr>
      <w:rPr>
        <w:rFonts w:hint="default"/>
      </w:rPr>
    </w:lvl>
    <w:lvl w:ilvl="1">
      <w:start w:val="1"/>
      <w:numFmt w:val="decimal"/>
      <w:pStyle w:val="Heading2"/>
      <w:isLg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6" w15:restartNumberingAfterBreak="0">
    <w:nsid w:val="57DE3B45"/>
    <w:multiLevelType w:val="hybridMultilevel"/>
    <w:tmpl w:val="11F68B70"/>
    <w:lvl w:ilvl="0" w:tplc="22022A82">
      <w:start w:val="1"/>
      <w:numFmt w:val="decimal"/>
      <w:lvlText w:val="%1."/>
      <w:lvlJc w:val="left"/>
      <w:pPr>
        <w:ind w:left="360" w:hanging="360"/>
      </w:pPr>
      <w:rPr>
        <w:rFonts w:hint="default"/>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7" w15:restartNumberingAfterBreak="0">
    <w:nsid w:val="59032191"/>
    <w:multiLevelType w:val="hybridMultilevel"/>
    <w:tmpl w:val="E5A0A7D0"/>
    <w:lvl w:ilvl="0" w:tplc="5E3E0176">
      <w:start w:val="1"/>
      <w:numFmt w:val="bullet"/>
      <w:pStyle w:val="CSTalkingPoints"/>
      <w:lvlText w:val=""/>
      <w:lvlJc w:val="left"/>
      <w:pPr>
        <w:ind w:left="644"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8" w15:restartNumberingAfterBreak="0">
    <w:nsid w:val="5A9F4A3B"/>
    <w:multiLevelType w:val="multilevel"/>
    <w:tmpl w:val="BA664FA4"/>
    <w:lvl w:ilvl="0">
      <w:start w:val="1"/>
      <w:numFmt w:val="none"/>
      <w:pStyle w:val="Emptycell"/>
      <w:suff w:val="nothing"/>
      <w:lvlText w:val="empty cell"/>
      <w:lvlJc w:val="left"/>
      <w:pPr>
        <w:ind w:left="432" w:hanging="432"/>
      </w:pPr>
      <w:rPr>
        <w:rFonts w:hint="default"/>
        <w:color w:val="FFFFFF" w:themeColor="background1"/>
        <w:sz w:val="12"/>
      </w:rPr>
    </w:lvl>
    <w:lvl w:ilvl="1">
      <w:start w:val="1"/>
      <w:numFmt w:val="none"/>
      <w:suff w:val="nothing"/>
      <w:lvlText w:val="Empty cell"/>
      <w:lvlJc w:val="left"/>
      <w:pPr>
        <w:ind w:left="576" w:hanging="576"/>
      </w:pPr>
      <w:rPr>
        <w:rFonts w:hint="default"/>
        <w:color w:val="FFFFFF" w:themeColor="background1"/>
        <w:sz w:val="12"/>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9" w15:restartNumberingAfterBreak="0">
    <w:nsid w:val="5DAB2C10"/>
    <w:multiLevelType w:val="hybridMultilevel"/>
    <w:tmpl w:val="34DADB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5FA3281B"/>
    <w:multiLevelType w:val="hybridMultilevel"/>
    <w:tmpl w:val="B838C3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60944DA4"/>
    <w:multiLevelType w:val="hybridMultilevel"/>
    <w:tmpl w:val="CA5CD5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4560CB7"/>
    <w:multiLevelType w:val="hybridMultilevel"/>
    <w:tmpl w:val="CD5605E4"/>
    <w:styleLink w:val="1ai"/>
    <w:lvl w:ilvl="0" w:tplc="BDA60DDC">
      <w:start w:val="1"/>
      <w:numFmt w:val="bullet"/>
      <w:lvlText w:val=""/>
      <w:lvlJc w:val="left"/>
      <w:pPr>
        <w:tabs>
          <w:tab w:val="num" w:pos="360"/>
        </w:tabs>
        <w:ind w:left="360" w:hanging="360"/>
      </w:pPr>
      <w:rPr>
        <w:rFonts w:ascii="Symbol" w:hAnsi="Symbol" w:hint="default"/>
      </w:rPr>
    </w:lvl>
    <w:lvl w:ilvl="1" w:tplc="1EC24E58">
      <w:start w:val="1"/>
      <w:numFmt w:val="lowerLetter"/>
      <w:lvlText w:val="%2)"/>
      <w:lvlJc w:val="left"/>
      <w:pPr>
        <w:tabs>
          <w:tab w:val="num" w:pos="720"/>
        </w:tabs>
        <w:ind w:left="720" w:hanging="360"/>
      </w:pPr>
    </w:lvl>
    <w:lvl w:ilvl="2" w:tplc="F7565196">
      <w:start w:val="1"/>
      <w:numFmt w:val="lowerRoman"/>
      <w:lvlText w:val="%3)"/>
      <w:lvlJc w:val="left"/>
      <w:pPr>
        <w:tabs>
          <w:tab w:val="num" w:pos="1080"/>
        </w:tabs>
        <w:ind w:left="1080" w:hanging="360"/>
      </w:pPr>
    </w:lvl>
    <w:lvl w:ilvl="3" w:tplc="7F043E8C">
      <w:start w:val="1"/>
      <w:numFmt w:val="decimal"/>
      <w:lvlText w:val="(%4)"/>
      <w:lvlJc w:val="left"/>
      <w:pPr>
        <w:tabs>
          <w:tab w:val="num" w:pos="1440"/>
        </w:tabs>
        <w:ind w:left="1440" w:hanging="360"/>
      </w:pPr>
    </w:lvl>
    <w:lvl w:ilvl="4" w:tplc="1638D8C4">
      <w:start w:val="1"/>
      <w:numFmt w:val="lowerLetter"/>
      <w:lvlText w:val="(%5)"/>
      <w:lvlJc w:val="left"/>
      <w:pPr>
        <w:tabs>
          <w:tab w:val="num" w:pos="1800"/>
        </w:tabs>
        <w:ind w:left="1800" w:hanging="360"/>
      </w:pPr>
    </w:lvl>
    <w:lvl w:ilvl="5" w:tplc="75409D5E">
      <w:start w:val="1"/>
      <w:numFmt w:val="lowerRoman"/>
      <w:lvlText w:val="(%6)"/>
      <w:lvlJc w:val="left"/>
      <w:pPr>
        <w:tabs>
          <w:tab w:val="num" w:pos="2160"/>
        </w:tabs>
        <w:ind w:left="2160" w:hanging="360"/>
      </w:pPr>
    </w:lvl>
    <w:lvl w:ilvl="6" w:tplc="C5DC013A">
      <w:start w:val="1"/>
      <w:numFmt w:val="decimal"/>
      <w:lvlText w:val="%7."/>
      <w:lvlJc w:val="left"/>
      <w:pPr>
        <w:tabs>
          <w:tab w:val="num" w:pos="2520"/>
        </w:tabs>
        <w:ind w:left="2520" w:hanging="360"/>
      </w:pPr>
    </w:lvl>
    <w:lvl w:ilvl="7" w:tplc="7DDC08A0">
      <w:start w:val="1"/>
      <w:numFmt w:val="lowerLetter"/>
      <w:lvlText w:val="%8."/>
      <w:lvlJc w:val="left"/>
      <w:pPr>
        <w:tabs>
          <w:tab w:val="num" w:pos="2880"/>
        </w:tabs>
        <w:ind w:left="2880" w:hanging="360"/>
      </w:pPr>
    </w:lvl>
    <w:lvl w:ilvl="8" w:tplc="2642197E">
      <w:start w:val="1"/>
      <w:numFmt w:val="lowerRoman"/>
      <w:lvlText w:val="%9."/>
      <w:lvlJc w:val="left"/>
      <w:pPr>
        <w:tabs>
          <w:tab w:val="num" w:pos="3240"/>
        </w:tabs>
        <w:ind w:left="3240" w:hanging="360"/>
      </w:pPr>
    </w:lvl>
  </w:abstractNum>
  <w:abstractNum w:abstractNumId="53" w15:restartNumberingAfterBreak="0">
    <w:nsid w:val="66312C80"/>
    <w:multiLevelType w:val="multilevel"/>
    <w:tmpl w:val="7B3077A6"/>
    <w:lvl w:ilvl="0">
      <w:start w:val="1"/>
      <w:numFmt w:val="bullet"/>
      <w:pStyle w:val="bullets"/>
      <w:lvlText w:val=""/>
      <w:lvlJc w:val="left"/>
      <w:pPr>
        <w:tabs>
          <w:tab w:val="num" w:pos="360"/>
        </w:tabs>
        <w:ind w:left="360" w:hanging="360"/>
      </w:pPr>
      <w:rPr>
        <w:rFonts w:ascii="Webdings" w:hAnsi="Webdings" w:hint="default"/>
        <w:b w:val="0"/>
        <w:i w:val="0"/>
        <w:caps w:val="0"/>
        <w:strike w:val="0"/>
        <w:dstrike w:val="0"/>
        <w:vanish w:val="0"/>
        <w:color w:val="800000"/>
        <w:sz w:val="20"/>
        <w:u w:val="none"/>
        <w:vertAlign w:val="baseline"/>
      </w:rPr>
    </w:lvl>
    <w:lvl w:ilvl="1">
      <w:start w:val="1"/>
      <w:numFmt w:val="bullet"/>
      <w:pStyle w:val="sub-bullets"/>
      <w:lvlText w:val="–"/>
      <w:lvlJc w:val="left"/>
      <w:pPr>
        <w:tabs>
          <w:tab w:val="num" w:pos="907"/>
        </w:tabs>
        <w:ind w:left="907" w:hanging="453"/>
      </w:pPr>
      <w:rPr>
        <w:rFonts w:hint="default"/>
        <w:color w:val="000000"/>
      </w:rPr>
    </w:lvl>
    <w:lvl w:ilvl="2">
      <w:start w:val="1"/>
      <w:numFmt w:val="bullet"/>
      <w:lvlText w:val=""/>
      <w:lvlJc w:val="left"/>
      <w:pPr>
        <w:tabs>
          <w:tab w:val="num" w:pos="1080"/>
        </w:tabs>
        <w:ind w:left="1080" w:hanging="360"/>
      </w:pPr>
      <w:rPr>
        <w:rFonts w:ascii="Webdings" w:hAnsi="Webdings" w:hint="default"/>
        <w:color w:val="000000"/>
      </w:rPr>
    </w:lvl>
    <w:lvl w:ilvl="3">
      <w:start w:val="1"/>
      <w:numFmt w:val="bullet"/>
      <w:lvlText w:val="-"/>
      <w:lvlJc w:val="left"/>
      <w:pPr>
        <w:tabs>
          <w:tab w:val="num" w:pos="1440"/>
        </w:tabs>
        <w:ind w:left="1440" w:hanging="360"/>
      </w:pPr>
      <w:rPr>
        <w:rFonts w:ascii="Arial" w:hAnsi="Arial" w:hint="default"/>
        <w:color w:val="000000"/>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4" w15:restartNumberingAfterBreak="0">
    <w:nsid w:val="679D420E"/>
    <w:multiLevelType w:val="hybridMultilevel"/>
    <w:tmpl w:val="4E7EACC2"/>
    <w:lvl w:ilvl="0" w:tplc="39725C62">
      <w:start w:val="1"/>
      <w:numFmt w:val="bullet"/>
      <w:pStyle w:val="BSbullet1"/>
      <w:lvlText w:val=""/>
      <w:lvlJc w:val="left"/>
      <w:pPr>
        <w:tabs>
          <w:tab w:val="num" w:pos="360"/>
        </w:tabs>
        <w:ind w:left="357" w:hanging="357"/>
      </w:pPr>
      <w:rPr>
        <w:rFonts w:ascii="Symbol" w:hAnsi="Symbol" w:hint="default"/>
        <w:sz w:val="24"/>
      </w:rPr>
    </w:lvl>
    <w:lvl w:ilvl="1" w:tplc="0C090019">
      <w:start w:val="1"/>
      <w:numFmt w:val="bullet"/>
      <w:lvlText w:val="o"/>
      <w:lvlJc w:val="left"/>
      <w:pPr>
        <w:tabs>
          <w:tab w:val="num" w:pos="1800"/>
        </w:tabs>
        <w:ind w:left="1800" w:hanging="360"/>
      </w:pPr>
      <w:rPr>
        <w:rFonts w:ascii="Courier New" w:hAnsi="Courier New" w:hint="default"/>
      </w:rPr>
    </w:lvl>
    <w:lvl w:ilvl="2" w:tplc="0C09001B">
      <w:start w:val="1"/>
      <w:numFmt w:val="bullet"/>
      <w:lvlText w:val=""/>
      <w:lvlJc w:val="left"/>
      <w:pPr>
        <w:tabs>
          <w:tab w:val="num" w:pos="2520"/>
        </w:tabs>
        <w:ind w:left="2520" w:hanging="360"/>
      </w:pPr>
      <w:rPr>
        <w:rFonts w:ascii="Wingdings" w:hAnsi="Wingdings" w:hint="default"/>
      </w:rPr>
    </w:lvl>
    <w:lvl w:ilvl="3" w:tplc="0C09000F">
      <w:start w:val="1"/>
      <w:numFmt w:val="bullet"/>
      <w:lvlText w:val=""/>
      <w:lvlJc w:val="left"/>
      <w:pPr>
        <w:tabs>
          <w:tab w:val="num" w:pos="3240"/>
        </w:tabs>
        <w:ind w:left="3240" w:hanging="360"/>
      </w:pPr>
      <w:rPr>
        <w:rFonts w:ascii="Symbol" w:hAnsi="Symbol" w:hint="default"/>
      </w:rPr>
    </w:lvl>
    <w:lvl w:ilvl="4" w:tplc="0C090019">
      <w:start w:val="1"/>
      <w:numFmt w:val="bullet"/>
      <w:lvlText w:val="o"/>
      <w:lvlJc w:val="left"/>
      <w:pPr>
        <w:tabs>
          <w:tab w:val="num" w:pos="3960"/>
        </w:tabs>
        <w:ind w:left="3960" w:hanging="360"/>
      </w:pPr>
      <w:rPr>
        <w:rFonts w:ascii="Courier New" w:hAnsi="Courier New" w:hint="default"/>
      </w:rPr>
    </w:lvl>
    <w:lvl w:ilvl="5" w:tplc="0C09001B">
      <w:start w:val="1"/>
      <w:numFmt w:val="bullet"/>
      <w:lvlText w:val=""/>
      <w:lvlJc w:val="left"/>
      <w:pPr>
        <w:tabs>
          <w:tab w:val="num" w:pos="4680"/>
        </w:tabs>
        <w:ind w:left="4680" w:hanging="360"/>
      </w:pPr>
      <w:rPr>
        <w:rFonts w:ascii="Wingdings" w:hAnsi="Wingdings" w:hint="default"/>
      </w:rPr>
    </w:lvl>
    <w:lvl w:ilvl="6" w:tplc="0C09000F">
      <w:start w:val="1"/>
      <w:numFmt w:val="bullet"/>
      <w:lvlText w:val=""/>
      <w:lvlJc w:val="left"/>
      <w:pPr>
        <w:tabs>
          <w:tab w:val="num" w:pos="5400"/>
        </w:tabs>
        <w:ind w:left="5400" w:hanging="360"/>
      </w:pPr>
      <w:rPr>
        <w:rFonts w:ascii="Symbol" w:hAnsi="Symbol" w:hint="default"/>
      </w:rPr>
    </w:lvl>
    <w:lvl w:ilvl="7" w:tplc="0C090019">
      <w:start w:val="1"/>
      <w:numFmt w:val="bullet"/>
      <w:lvlText w:val="o"/>
      <w:lvlJc w:val="left"/>
      <w:pPr>
        <w:tabs>
          <w:tab w:val="num" w:pos="6120"/>
        </w:tabs>
        <w:ind w:left="6120" w:hanging="360"/>
      </w:pPr>
      <w:rPr>
        <w:rFonts w:ascii="Courier New" w:hAnsi="Courier New" w:hint="default"/>
      </w:rPr>
    </w:lvl>
    <w:lvl w:ilvl="8" w:tplc="0C09001B">
      <w:start w:val="1"/>
      <w:numFmt w:val="bullet"/>
      <w:lvlText w:val=""/>
      <w:lvlJc w:val="left"/>
      <w:pPr>
        <w:tabs>
          <w:tab w:val="num" w:pos="6840"/>
        </w:tabs>
        <w:ind w:left="6840" w:hanging="360"/>
      </w:pPr>
      <w:rPr>
        <w:rFonts w:ascii="Wingdings" w:hAnsi="Wingdings" w:hint="default"/>
      </w:rPr>
    </w:lvl>
  </w:abstractNum>
  <w:abstractNum w:abstractNumId="55" w15:restartNumberingAfterBreak="0">
    <w:nsid w:val="68AA0968"/>
    <w:multiLevelType w:val="hybridMultilevel"/>
    <w:tmpl w:val="F80A2F3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6" w15:restartNumberingAfterBreak="0">
    <w:nsid w:val="6BDF185B"/>
    <w:multiLevelType w:val="hybridMultilevel"/>
    <w:tmpl w:val="44CC9E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6D1C0BE7"/>
    <w:multiLevelType w:val="multilevel"/>
    <w:tmpl w:val="AE1ACF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72880FA3"/>
    <w:multiLevelType w:val="hybridMultilevel"/>
    <w:tmpl w:val="F796E4A0"/>
    <w:lvl w:ilvl="0" w:tplc="950688F4">
      <w:start w:val="1"/>
      <w:numFmt w:val="bullet"/>
      <w:lvlText w:val=""/>
      <w:lvlJc w:val="left"/>
      <w:pPr>
        <w:ind w:left="780" w:hanging="360"/>
      </w:pPr>
      <w:rPr>
        <w:rFonts w:ascii="Symbol" w:hAnsi="Symbol" w:hint="default"/>
        <w:b w:val="0"/>
        <w:bCs w:val="0"/>
      </w:rPr>
    </w:lvl>
    <w:lvl w:ilvl="1" w:tplc="0C090003">
      <w:start w:val="1"/>
      <w:numFmt w:val="bullet"/>
      <w:lvlText w:val="o"/>
      <w:lvlJc w:val="left"/>
      <w:pPr>
        <w:ind w:left="1500" w:hanging="360"/>
      </w:pPr>
      <w:rPr>
        <w:rFonts w:ascii="Courier New" w:hAnsi="Courier New" w:cs="Courier New" w:hint="default"/>
      </w:rPr>
    </w:lvl>
    <w:lvl w:ilvl="2" w:tplc="0C090005">
      <w:start w:val="1"/>
      <w:numFmt w:val="bullet"/>
      <w:lvlText w:val=""/>
      <w:lvlJc w:val="left"/>
      <w:pPr>
        <w:ind w:left="2220" w:hanging="360"/>
      </w:pPr>
      <w:rPr>
        <w:rFonts w:ascii="Wingdings" w:hAnsi="Wingdings" w:hint="default"/>
      </w:rPr>
    </w:lvl>
    <w:lvl w:ilvl="3" w:tplc="0C090001">
      <w:start w:val="1"/>
      <w:numFmt w:val="bullet"/>
      <w:lvlText w:val=""/>
      <w:lvlJc w:val="left"/>
      <w:pPr>
        <w:ind w:left="2940" w:hanging="360"/>
      </w:pPr>
      <w:rPr>
        <w:rFonts w:ascii="Symbol" w:hAnsi="Symbol" w:hint="default"/>
      </w:rPr>
    </w:lvl>
    <w:lvl w:ilvl="4" w:tplc="0C090003">
      <w:start w:val="1"/>
      <w:numFmt w:val="bullet"/>
      <w:lvlText w:val="o"/>
      <w:lvlJc w:val="left"/>
      <w:pPr>
        <w:ind w:left="3660" w:hanging="360"/>
      </w:pPr>
      <w:rPr>
        <w:rFonts w:ascii="Courier New" w:hAnsi="Courier New" w:cs="Courier New" w:hint="default"/>
      </w:rPr>
    </w:lvl>
    <w:lvl w:ilvl="5" w:tplc="0C090005">
      <w:start w:val="1"/>
      <w:numFmt w:val="bullet"/>
      <w:lvlText w:val=""/>
      <w:lvlJc w:val="left"/>
      <w:pPr>
        <w:ind w:left="4380" w:hanging="360"/>
      </w:pPr>
      <w:rPr>
        <w:rFonts w:ascii="Wingdings" w:hAnsi="Wingdings" w:hint="default"/>
      </w:rPr>
    </w:lvl>
    <w:lvl w:ilvl="6" w:tplc="0C090001">
      <w:start w:val="1"/>
      <w:numFmt w:val="bullet"/>
      <w:lvlText w:val=""/>
      <w:lvlJc w:val="left"/>
      <w:pPr>
        <w:ind w:left="5100" w:hanging="360"/>
      </w:pPr>
      <w:rPr>
        <w:rFonts w:ascii="Symbol" w:hAnsi="Symbol" w:hint="default"/>
      </w:rPr>
    </w:lvl>
    <w:lvl w:ilvl="7" w:tplc="0C090003">
      <w:start w:val="1"/>
      <w:numFmt w:val="bullet"/>
      <w:lvlText w:val="o"/>
      <w:lvlJc w:val="left"/>
      <w:pPr>
        <w:ind w:left="5820" w:hanging="360"/>
      </w:pPr>
      <w:rPr>
        <w:rFonts w:ascii="Courier New" w:hAnsi="Courier New" w:cs="Courier New" w:hint="default"/>
      </w:rPr>
    </w:lvl>
    <w:lvl w:ilvl="8" w:tplc="0C090005">
      <w:start w:val="1"/>
      <w:numFmt w:val="bullet"/>
      <w:lvlText w:val=""/>
      <w:lvlJc w:val="left"/>
      <w:pPr>
        <w:ind w:left="6540" w:hanging="360"/>
      </w:pPr>
      <w:rPr>
        <w:rFonts w:ascii="Wingdings" w:hAnsi="Wingdings" w:hint="default"/>
      </w:rPr>
    </w:lvl>
  </w:abstractNum>
  <w:abstractNum w:abstractNumId="59" w15:restartNumberingAfterBreak="0">
    <w:nsid w:val="73CC2BF4"/>
    <w:multiLevelType w:val="hybridMultilevel"/>
    <w:tmpl w:val="B7A4A0D6"/>
    <w:lvl w:ilvl="0" w:tplc="0C090001">
      <w:start w:val="1"/>
      <w:numFmt w:val="bullet"/>
      <w:lvlText w:val=""/>
      <w:lvlJc w:val="left"/>
      <w:pPr>
        <w:ind w:left="720" w:hanging="360"/>
      </w:pPr>
      <w:rPr>
        <w:rFonts w:ascii="Symbol" w:hAnsi="Symbol" w:hint="default"/>
      </w:rPr>
    </w:lvl>
    <w:lvl w:ilvl="1" w:tplc="49408DF8">
      <w:numFmt w:val="bullet"/>
      <w:lvlText w:val="•"/>
      <w:lvlJc w:val="left"/>
      <w:pPr>
        <w:ind w:left="1440" w:hanging="360"/>
      </w:pPr>
      <w:rPr>
        <w:rFonts w:ascii="Calibri" w:eastAsiaTheme="minorHAns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77973333"/>
    <w:multiLevelType w:val="multilevel"/>
    <w:tmpl w:val="AC9094C2"/>
    <w:styleLink w:val="ArticleSection"/>
    <w:lvl w:ilvl="0">
      <w:start w:val="1"/>
      <w:numFmt w:val="upperRoman"/>
      <w:lvlText w:val="Article %1."/>
      <w:lvlJc w:val="left"/>
      <w:pPr>
        <w:tabs>
          <w:tab w:val="num" w:pos="1080"/>
        </w:tabs>
        <w:ind w:left="0" w:firstLine="0"/>
      </w:pPr>
    </w:lvl>
    <w:lvl w:ilvl="1">
      <w:start w:val="1"/>
      <w:numFmt w:val="decimalZero"/>
      <w:isLgl/>
      <w:lvlText w:val="Section %1.%2"/>
      <w:lvlJc w:val="left"/>
      <w:pPr>
        <w:tabs>
          <w:tab w:val="num" w:pos="72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61" w15:restartNumberingAfterBreak="0">
    <w:nsid w:val="77FD6909"/>
    <w:multiLevelType w:val="hybridMultilevel"/>
    <w:tmpl w:val="8A429F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780E0F1E"/>
    <w:multiLevelType w:val="hybridMultilevel"/>
    <w:tmpl w:val="5A4454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78CA3325"/>
    <w:multiLevelType w:val="hybridMultilevel"/>
    <w:tmpl w:val="28303C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7B3730AD"/>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5" w15:restartNumberingAfterBreak="0">
    <w:nsid w:val="7B50119A"/>
    <w:multiLevelType w:val="hybridMultilevel"/>
    <w:tmpl w:val="F1329D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7B860FDF"/>
    <w:multiLevelType w:val="hybridMultilevel"/>
    <w:tmpl w:val="217267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7F1B0FA6"/>
    <w:multiLevelType w:val="hybridMultilevel"/>
    <w:tmpl w:val="85E05738"/>
    <w:lvl w:ilvl="0" w:tplc="958E0A92">
      <w:start w:val="1"/>
      <w:numFmt w:val="lowerLetter"/>
      <w:pStyle w:val="Tabletextindenta"/>
      <w:lvlText w:val="%1."/>
      <w:lvlJc w:val="left"/>
      <w:pPr>
        <w:tabs>
          <w:tab w:val="num" w:pos="360"/>
        </w:tabs>
        <w:ind w:left="357" w:hanging="357"/>
      </w:pPr>
      <w:rPr>
        <w:rFonts w:hint="default"/>
      </w:rPr>
    </w:lvl>
    <w:lvl w:ilvl="1" w:tplc="ED5465B0" w:tentative="1">
      <w:start w:val="1"/>
      <w:numFmt w:val="lowerLetter"/>
      <w:lvlText w:val="%2."/>
      <w:lvlJc w:val="left"/>
      <w:pPr>
        <w:tabs>
          <w:tab w:val="num" w:pos="1440"/>
        </w:tabs>
        <w:ind w:left="1440" w:hanging="360"/>
      </w:pPr>
    </w:lvl>
    <w:lvl w:ilvl="2" w:tplc="A3B62924" w:tentative="1">
      <w:start w:val="1"/>
      <w:numFmt w:val="lowerRoman"/>
      <w:lvlText w:val="%3."/>
      <w:lvlJc w:val="right"/>
      <w:pPr>
        <w:tabs>
          <w:tab w:val="num" w:pos="2160"/>
        </w:tabs>
        <w:ind w:left="2160" w:hanging="180"/>
      </w:pPr>
    </w:lvl>
    <w:lvl w:ilvl="3" w:tplc="C9567802" w:tentative="1">
      <w:start w:val="1"/>
      <w:numFmt w:val="decimal"/>
      <w:lvlText w:val="%4."/>
      <w:lvlJc w:val="left"/>
      <w:pPr>
        <w:tabs>
          <w:tab w:val="num" w:pos="2880"/>
        </w:tabs>
        <w:ind w:left="2880" w:hanging="360"/>
      </w:pPr>
    </w:lvl>
    <w:lvl w:ilvl="4" w:tplc="5E00A72A" w:tentative="1">
      <w:start w:val="1"/>
      <w:numFmt w:val="lowerLetter"/>
      <w:lvlText w:val="%5."/>
      <w:lvlJc w:val="left"/>
      <w:pPr>
        <w:tabs>
          <w:tab w:val="num" w:pos="3600"/>
        </w:tabs>
        <w:ind w:left="3600" w:hanging="360"/>
      </w:pPr>
    </w:lvl>
    <w:lvl w:ilvl="5" w:tplc="7E2CF69C" w:tentative="1">
      <w:start w:val="1"/>
      <w:numFmt w:val="lowerRoman"/>
      <w:lvlText w:val="%6."/>
      <w:lvlJc w:val="right"/>
      <w:pPr>
        <w:tabs>
          <w:tab w:val="num" w:pos="4320"/>
        </w:tabs>
        <w:ind w:left="4320" w:hanging="180"/>
      </w:pPr>
    </w:lvl>
    <w:lvl w:ilvl="6" w:tplc="7CD43900" w:tentative="1">
      <w:start w:val="1"/>
      <w:numFmt w:val="decimal"/>
      <w:lvlText w:val="%7."/>
      <w:lvlJc w:val="left"/>
      <w:pPr>
        <w:tabs>
          <w:tab w:val="num" w:pos="5040"/>
        </w:tabs>
        <w:ind w:left="5040" w:hanging="360"/>
      </w:pPr>
    </w:lvl>
    <w:lvl w:ilvl="7" w:tplc="3A507342" w:tentative="1">
      <w:start w:val="1"/>
      <w:numFmt w:val="lowerLetter"/>
      <w:lvlText w:val="%8."/>
      <w:lvlJc w:val="left"/>
      <w:pPr>
        <w:tabs>
          <w:tab w:val="num" w:pos="5760"/>
        </w:tabs>
        <w:ind w:left="5760" w:hanging="360"/>
      </w:pPr>
    </w:lvl>
    <w:lvl w:ilvl="8" w:tplc="0DEA11E6" w:tentative="1">
      <w:start w:val="1"/>
      <w:numFmt w:val="lowerRoman"/>
      <w:lvlText w:val="%9."/>
      <w:lvlJc w:val="right"/>
      <w:pPr>
        <w:tabs>
          <w:tab w:val="num" w:pos="6480"/>
        </w:tabs>
        <w:ind w:left="6480" w:hanging="180"/>
      </w:pPr>
    </w:lvl>
  </w:abstractNum>
  <w:num w:numId="1">
    <w:abstractNumId w:val="14"/>
  </w:num>
  <w:num w:numId="2">
    <w:abstractNumId w:val="31"/>
  </w:num>
  <w:num w:numId="3">
    <w:abstractNumId w:val="42"/>
  </w:num>
  <w:num w:numId="4">
    <w:abstractNumId w:val="45"/>
  </w:num>
  <w:num w:numId="5">
    <w:abstractNumId w:val="48"/>
  </w:num>
  <w:num w:numId="6">
    <w:abstractNumId w:val="45"/>
  </w:num>
  <w:num w:numId="7">
    <w:abstractNumId w:val="42"/>
    <w:lvlOverride w:ilvl="0">
      <w:startOverride w:val="1"/>
    </w:lvlOverride>
  </w:num>
  <w:num w:numId="8">
    <w:abstractNumId w:val="42"/>
    <w:lvlOverride w:ilvl="0">
      <w:startOverride w:val="1"/>
    </w:lvlOverride>
  </w:num>
  <w:num w:numId="9">
    <w:abstractNumId w:val="4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6"/>
  </w:num>
  <w:num w:numId="11">
    <w:abstractNumId w:val="57"/>
  </w:num>
  <w:num w:numId="12">
    <w:abstractNumId w:val="61"/>
  </w:num>
  <w:num w:numId="13">
    <w:abstractNumId w:val="66"/>
  </w:num>
  <w:num w:numId="14">
    <w:abstractNumId w:val="20"/>
  </w:num>
  <w:num w:numId="15">
    <w:abstractNumId w:val="56"/>
  </w:num>
  <w:num w:numId="16">
    <w:abstractNumId w:val="50"/>
  </w:num>
  <w:num w:numId="17">
    <w:abstractNumId w:val="62"/>
  </w:num>
  <w:num w:numId="18">
    <w:abstractNumId w:val="17"/>
  </w:num>
  <w:num w:numId="19">
    <w:abstractNumId w:val="25"/>
  </w:num>
  <w:num w:numId="20">
    <w:abstractNumId w:val="65"/>
  </w:num>
  <w:num w:numId="21">
    <w:abstractNumId w:val="49"/>
  </w:num>
  <w:num w:numId="22">
    <w:abstractNumId w:val="43"/>
  </w:num>
  <w:num w:numId="23">
    <w:abstractNumId w:val="19"/>
  </w:num>
  <w:num w:numId="24">
    <w:abstractNumId w:val="38"/>
  </w:num>
  <w:num w:numId="25">
    <w:abstractNumId w:val="26"/>
  </w:num>
  <w:num w:numId="26">
    <w:abstractNumId w:val="63"/>
  </w:num>
  <w:num w:numId="27">
    <w:abstractNumId w:val="59"/>
  </w:num>
  <w:num w:numId="28">
    <w:abstractNumId w:val="34"/>
  </w:num>
  <w:num w:numId="29">
    <w:abstractNumId w:val="33"/>
  </w:num>
  <w:num w:numId="30">
    <w:abstractNumId w:val="23"/>
  </w:num>
  <w:num w:numId="31">
    <w:abstractNumId w:val="47"/>
  </w:num>
  <w:num w:numId="32">
    <w:abstractNumId w:val="11"/>
  </w:num>
  <w:num w:numId="33">
    <w:abstractNumId w:val="51"/>
  </w:num>
  <w:num w:numId="34">
    <w:abstractNumId w:val="58"/>
  </w:num>
  <w:num w:numId="35">
    <w:abstractNumId w:val="30"/>
  </w:num>
  <w:num w:numId="36">
    <w:abstractNumId w:val="32"/>
  </w:num>
  <w:num w:numId="37">
    <w:abstractNumId w:val="55"/>
  </w:num>
  <w:num w:numId="38">
    <w:abstractNumId w:val="46"/>
  </w:num>
  <w:num w:numId="39">
    <w:abstractNumId w:val="16"/>
  </w:num>
  <w:num w:numId="40">
    <w:abstractNumId w:val="54"/>
  </w:num>
  <w:num w:numId="41">
    <w:abstractNumId w:val="18"/>
  </w:num>
  <w:num w:numId="42">
    <w:abstractNumId w:val="24"/>
  </w:num>
  <w:num w:numId="43">
    <w:abstractNumId w:val="24"/>
    <w:lvlOverride w:ilvl="0">
      <w:startOverride w:val="1"/>
    </w:lvlOverride>
  </w:num>
  <w:num w:numId="44">
    <w:abstractNumId w:val="27"/>
  </w:num>
  <w:num w:numId="45">
    <w:abstractNumId w:val="8"/>
  </w:num>
  <w:num w:numId="46">
    <w:abstractNumId w:val="39"/>
  </w:num>
  <w:num w:numId="47">
    <w:abstractNumId w:val="40"/>
  </w:num>
  <w:num w:numId="48">
    <w:abstractNumId w:val="64"/>
  </w:num>
  <w:num w:numId="49">
    <w:abstractNumId w:val="52"/>
  </w:num>
  <w:num w:numId="50">
    <w:abstractNumId w:val="60"/>
  </w:num>
  <w:num w:numId="51">
    <w:abstractNumId w:val="12"/>
  </w:num>
  <w:num w:numId="52">
    <w:abstractNumId w:val="22"/>
  </w:num>
  <w:num w:numId="53">
    <w:abstractNumId w:val="13"/>
  </w:num>
  <w:num w:numId="54">
    <w:abstractNumId w:val="9"/>
  </w:num>
  <w:num w:numId="55">
    <w:abstractNumId w:val="7"/>
  </w:num>
  <w:num w:numId="56">
    <w:abstractNumId w:val="6"/>
  </w:num>
  <w:num w:numId="57">
    <w:abstractNumId w:val="5"/>
  </w:num>
  <w:num w:numId="58">
    <w:abstractNumId w:val="4"/>
  </w:num>
  <w:num w:numId="59">
    <w:abstractNumId w:val="3"/>
  </w:num>
  <w:num w:numId="60">
    <w:abstractNumId w:val="2"/>
  </w:num>
  <w:num w:numId="61">
    <w:abstractNumId w:val="1"/>
  </w:num>
  <w:num w:numId="62">
    <w:abstractNumId w:val="0"/>
  </w:num>
  <w:num w:numId="63">
    <w:abstractNumId w:val="41"/>
  </w:num>
  <w:num w:numId="64">
    <w:abstractNumId w:val="67"/>
  </w:num>
  <w:num w:numId="65">
    <w:abstractNumId w:val="53"/>
  </w:num>
  <w:num w:numId="66">
    <w:abstractNumId w:val="44"/>
  </w:num>
  <w:num w:numId="67">
    <w:abstractNumId w:val="37"/>
  </w:num>
  <w:num w:numId="68">
    <w:abstractNumId w:val="21"/>
  </w:num>
  <w:num w:numId="69">
    <w:abstractNumId w:val="10"/>
  </w:num>
  <w:num w:numId="70">
    <w:abstractNumId w:val="15"/>
  </w:num>
  <w:num w:numId="71">
    <w:abstractNumId w:val="29"/>
  </w:num>
  <w:num w:numId="72">
    <w:abstractNumId w:val="28"/>
  </w:num>
  <w:num w:numId="73">
    <w:abstractNumId w:val="35"/>
  </w:num>
  <w:num w:numId="74">
    <w:abstractNumId w:val="42"/>
    <w:lvlOverride w:ilvl="0">
      <w:startOverride w:val="1"/>
    </w:lvlOverride>
  </w:num>
  <w:num w:numId="75">
    <w:abstractNumId w:val="42"/>
    <w:lvlOverride w:ilvl="0">
      <w:startOverride w:val="1"/>
    </w:lvlOverride>
  </w:num>
  <w:num w:numId="76">
    <w:abstractNumId w:val="42"/>
    <w:lvlOverride w:ilvl="0">
      <w:startOverride w:val="1"/>
    </w:lvlOverride>
  </w:num>
  <w:num w:numId="77">
    <w:abstractNumId w:val="42"/>
    <w:lvlOverride w:ilvl="0">
      <w:startOverride w:val="1"/>
    </w:lvlOverride>
  </w:num>
  <w:num w:numId="78">
    <w:abstractNumId w:val="42"/>
    <w:lvlOverride w:ilvl="0">
      <w:startOverride w:val="1"/>
    </w:lvlOverride>
  </w:num>
  <w:num w:numId="79">
    <w:abstractNumId w:val="42"/>
    <w:lvlOverride w:ilvl="0">
      <w:startOverride w:val="1"/>
    </w:lvlOverride>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728" w:allStyles="0" w:customStyles="0" w:latentStyles="0" w:stylesInUse="1" w:headingStyles="1" w:numberingStyles="0" w:tableStyles="0" w:directFormattingOnRuns="1" w:directFormattingOnParagraphs="1" w:directFormattingOnNumbering="1"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6D55"/>
    <w:rsid w:val="00004E49"/>
    <w:rsid w:val="00006954"/>
    <w:rsid w:val="00014AD8"/>
    <w:rsid w:val="00023675"/>
    <w:rsid w:val="00026BDC"/>
    <w:rsid w:val="000305D8"/>
    <w:rsid w:val="000309EA"/>
    <w:rsid w:val="00031428"/>
    <w:rsid w:val="000318B7"/>
    <w:rsid w:val="00034199"/>
    <w:rsid w:val="00035790"/>
    <w:rsid w:val="00040665"/>
    <w:rsid w:val="00041D55"/>
    <w:rsid w:val="00042A03"/>
    <w:rsid w:val="00044233"/>
    <w:rsid w:val="000448EC"/>
    <w:rsid w:val="00047CEA"/>
    <w:rsid w:val="00047E65"/>
    <w:rsid w:val="000514BD"/>
    <w:rsid w:val="000558C9"/>
    <w:rsid w:val="00056DC8"/>
    <w:rsid w:val="000574D2"/>
    <w:rsid w:val="00057EA0"/>
    <w:rsid w:val="00060B75"/>
    <w:rsid w:val="00062220"/>
    <w:rsid w:val="00062625"/>
    <w:rsid w:val="00063701"/>
    <w:rsid w:val="00064AD6"/>
    <w:rsid w:val="00065E2A"/>
    <w:rsid w:val="00073853"/>
    <w:rsid w:val="000757B9"/>
    <w:rsid w:val="00077155"/>
    <w:rsid w:val="00077F59"/>
    <w:rsid w:val="0008342C"/>
    <w:rsid w:val="00084925"/>
    <w:rsid w:val="000865D9"/>
    <w:rsid w:val="00086864"/>
    <w:rsid w:val="00086A3F"/>
    <w:rsid w:val="00090B80"/>
    <w:rsid w:val="00091867"/>
    <w:rsid w:val="000940D9"/>
    <w:rsid w:val="000A1788"/>
    <w:rsid w:val="000A2A88"/>
    <w:rsid w:val="000A31EC"/>
    <w:rsid w:val="000B0AE9"/>
    <w:rsid w:val="000B0FF2"/>
    <w:rsid w:val="000B52B3"/>
    <w:rsid w:val="000B6F42"/>
    <w:rsid w:val="000B7091"/>
    <w:rsid w:val="000B7CDE"/>
    <w:rsid w:val="000C30C3"/>
    <w:rsid w:val="000C5BD5"/>
    <w:rsid w:val="000C628C"/>
    <w:rsid w:val="000C767E"/>
    <w:rsid w:val="000D159F"/>
    <w:rsid w:val="000D1667"/>
    <w:rsid w:val="000D4206"/>
    <w:rsid w:val="000E03EA"/>
    <w:rsid w:val="000E12FE"/>
    <w:rsid w:val="000E6D8C"/>
    <w:rsid w:val="000E724E"/>
    <w:rsid w:val="000E7F50"/>
    <w:rsid w:val="000F2111"/>
    <w:rsid w:val="000F4522"/>
    <w:rsid w:val="000F5576"/>
    <w:rsid w:val="000F6BA4"/>
    <w:rsid w:val="00100C9F"/>
    <w:rsid w:val="00105DD8"/>
    <w:rsid w:val="00107940"/>
    <w:rsid w:val="00111524"/>
    <w:rsid w:val="001140D7"/>
    <w:rsid w:val="001163A8"/>
    <w:rsid w:val="00116BD6"/>
    <w:rsid w:val="0012059C"/>
    <w:rsid w:val="001247BA"/>
    <w:rsid w:val="001263C9"/>
    <w:rsid w:val="00127067"/>
    <w:rsid w:val="001278E1"/>
    <w:rsid w:val="001304F3"/>
    <w:rsid w:val="001317F4"/>
    <w:rsid w:val="00132947"/>
    <w:rsid w:val="001411F9"/>
    <w:rsid w:val="00150496"/>
    <w:rsid w:val="00151A4D"/>
    <w:rsid w:val="00156281"/>
    <w:rsid w:val="00163790"/>
    <w:rsid w:val="001727B6"/>
    <w:rsid w:val="00177798"/>
    <w:rsid w:val="001826DC"/>
    <w:rsid w:val="001866F6"/>
    <w:rsid w:val="00195B58"/>
    <w:rsid w:val="0019621A"/>
    <w:rsid w:val="001964D7"/>
    <w:rsid w:val="001970BC"/>
    <w:rsid w:val="001A0256"/>
    <w:rsid w:val="001B0B6F"/>
    <w:rsid w:val="001B450E"/>
    <w:rsid w:val="001B45B0"/>
    <w:rsid w:val="001B63C9"/>
    <w:rsid w:val="001B7C85"/>
    <w:rsid w:val="001C0B38"/>
    <w:rsid w:val="001C3EE3"/>
    <w:rsid w:val="001C574A"/>
    <w:rsid w:val="001D5687"/>
    <w:rsid w:val="001E03FF"/>
    <w:rsid w:val="001E2554"/>
    <w:rsid w:val="001E39B7"/>
    <w:rsid w:val="001E51ED"/>
    <w:rsid w:val="001F0560"/>
    <w:rsid w:val="001F37F1"/>
    <w:rsid w:val="001F3ADD"/>
    <w:rsid w:val="001F653A"/>
    <w:rsid w:val="001F6E4B"/>
    <w:rsid w:val="001F7201"/>
    <w:rsid w:val="001F767C"/>
    <w:rsid w:val="0020236A"/>
    <w:rsid w:val="00202464"/>
    <w:rsid w:val="002025E0"/>
    <w:rsid w:val="002036D4"/>
    <w:rsid w:val="00203750"/>
    <w:rsid w:val="00204529"/>
    <w:rsid w:val="00206479"/>
    <w:rsid w:val="00207D85"/>
    <w:rsid w:val="00210B1B"/>
    <w:rsid w:val="00211B3F"/>
    <w:rsid w:val="00212B53"/>
    <w:rsid w:val="00214D57"/>
    <w:rsid w:val="0021716C"/>
    <w:rsid w:val="00221ADD"/>
    <w:rsid w:val="00222194"/>
    <w:rsid w:val="002223EC"/>
    <w:rsid w:val="00222FEB"/>
    <w:rsid w:val="0022364A"/>
    <w:rsid w:val="0022385E"/>
    <w:rsid w:val="002241F3"/>
    <w:rsid w:val="0022492F"/>
    <w:rsid w:val="002261A7"/>
    <w:rsid w:val="00230597"/>
    <w:rsid w:val="00232004"/>
    <w:rsid w:val="002348A8"/>
    <w:rsid w:val="00237485"/>
    <w:rsid w:val="00244998"/>
    <w:rsid w:val="00251B98"/>
    <w:rsid w:val="00257F98"/>
    <w:rsid w:val="00262F93"/>
    <w:rsid w:val="00263821"/>
    <w:rsid w:val="00265717"/>
    <w:rsid w:val="0026797E"/>
    <w:rsid w:val="002703C1"/>
    <w:rsid w:val="002736E3"/>
    <w:rsid w:val="00274424"/>
    <w:rsid w:val="002745AA"/>
    <w:rsid w:val="00281F04"/>
    <w:rsid w:val="00285B05"/>
    <w:rsid w:val="00291FD5"/>
    <w:rsid w:val="00292A57"/>
    <w:rsid w:val="00293D8A"/>
    <w:rsid w:val="00294FC6"/>
    <w:rsid w:val="002A5109"/>
    <w:rsid w:val="002A55A6"/>
    <w:rsid w:val="002A5B84"/>
    <w:rsid w:val="002B0061"/>
    <w:rsid w:val="002B5765"/>
    <w:rsid w:val="002C1014"/>
    <w:rsid w:val="002D1989"/>
    <w:rsid w:val="002D382D"/>
    <w:rsid w:val="002D7974"/>
    <w:rsid w:val="002E035C"/>
    <w:rsid w:val="002E4907"/>
    <w:rsid w:val="002E6509"/>
    <w:rsid w:val="002E7AC9"/>
    <w:rsid w:val="002E7E79"/>
    <w:rsid w:val="002E7EC5"/>
    <w:rsid w:val="002F2340"/>
    <w:rsid w:val="002F3F4A"/>
    <w:rsid w:val="002F7C31"/>
    <w:rsid w:val="00302105"/>
    <w:rsid w:val="0030329B"/>
    <w:rsid w:val="00305EE2"/>
    <w:rsid w:val="00306708"/>
    <w:rsid w:val="0030789B"/>
    <w:rsid w:val="00310409"/>
    <w:rsid w:val="00311620"/>
    <w:rsid w:val="00311FD7"/>
    <w:rsid w:val="00312EDF"/>
    <w:rsid w:val="003154E5"/>
    <w:rsid w:val="003217E4"/>
    <w:rsid w:val="00323A9A"/>
    <w:rsid w:val="00332A8D"/>
    <w:rsid w:val="00333A51"/>
    <w:rsid w:val="00334F75"/>
    <w:rsid w:val="003350DC"/>
    <w:rsid w:val="0033551A"/>
    <w:rsid w:val="00336C5A"/>
    <w:rsid w:val="0033702A"/>
    <w:rsid w:val="00337543"/>
    <w:rsid w:val="00341D96"/>
    <w:rsid w:val="003439D0"/>
    <w:rsid w:val="003443F5"/>
    <w:rsid w:val="003514E0"/>
    <w:rsid w:val="00357064"/>
    <w:rsid w:val="0035758B"/>
    <w:rsid w:val="00374DA3"/>
    <w:rsid w:val="00374FB2"/>
    <w:rsid w:val="00375330"/>
    <w:rsid w:val="00375A43"/>
    <w:rsid w:val="00385D22"/>
    <w:rsid w:val="00387082"/>
    <w:rsid w:val="0038759F"/>
    <w:rsid w:val="00387F31"/>
    <w:rsid w:val="00390054"/>
    <w:rsid w:val="00395E7A"/>
    <w:rsid w:val="003A106B"/>
    <w:rsid w:val="003A1AD4"/>
    <w:rsid w:val="003A4DD7"/>
    <w:rsid w:val="003B07A5"/>
    <w:rsid w:val="003B2B3F"/>
    <w:rsid w:val="003B4129"/>
    <w:rsid w:val="003B6083"/>
    <w:rsid w:val="003C0B61"/>
    <w:rsid w:val="003C2341"/>
    <w:rsid w:val="003C3920"/>
    <w:rsid w:val="003C3D4F"/>
    <w:rsid w:val="003C411A"/>
    <w:rsid w:val="003C4125"/>
    <w:rsid w:val="003C44EE"/>
    <w:rsid w:val="003C53EE"/>
    <w:rsid w:val="003C6F3B"/>
    <w:rsid w:val="003D1D2F"/>
    <w:rsid w:val="003D2344"/>
    <w:rsid w:val="003D272E"/>
    <w:rsid w:val="003D2737"/>
    <w:rsid w:val="003D33E5"/>
    <w:rsid w:val="003D399D"/>
    <w:rsid w:val="003D3C31"/>
    <w:rsid w:val="003E0104"/>
    <w:rsid w:val="003E0892"/>
    <w:rsid w:val="003E3EF0"/>
    <w:rsid w:val="003E70EC"/>
    <w:rsid w:val="003E7553"/>
    <w:rsid w:val="003F7258"/>
    <w:rsid w:val="003F77D7"/>
    <w:rsid w:val="0040094B"/>
    <w:rsid w:val="00403196"/>
    <w:rsid w:val="004041C2"/>
    <w:rsid w:val="00406613"/>
    <w:rsid w:val="00414168"/>
    <w:rsid w:val="00415A58"/>
    <w:rsid w:val="00415FD8"/>
    <w:rsid w:val="00417503"/>
    <w:rsid w:val="00417F5C"/>
    <w:rsid w:val="0042358F"/>
    <w:rsid w:val="0042514A"/>
    <w:rsid w:val="00425B27"/>
    <w:rsid w:val="00427E06"/>
    <w:rsid w:val="00431969"/>
    <w:rsid w:val="0043427F"/>
    <w:rsid w:val="0043433D"/>
    <w:rsid w:val="004345CE"/>
    <w:rsid w:val="00441EB4"/>
    <w:rsid w:val="004421DC"/>
    <w:rsid w:val="0045041A"/>
    <w:rsid w:val="004515F6"/>
    <w:rsid w:val="00460EB9"/>
    <w:rsid w:val="004630CE"/>
    <w:rsid w:val="004635D4"/>
    <w:rsid w:val="00463B03"/>
    <w:rsid w:val="00465757"/>
    <w:rsid w:val="00467638"/>
    <w:rsid w:val="00472317"/>
    <w:rsid w:val="004763BD"/>
    <w:rsid w:val="004764C0"/>
    <w:rsid w:val="00477413"/>
    <w:rsid w:val="0048347F"/>
    <w:rsid w:val="0048423F"/>
    <w:rsid w:val="00485BC4"/>
    <w:rsid w:val="004903F9"/>
    <w:rsid w:val="00494176"/>
    <w:rsid w:val="00494C26"/>
    <w:rsid w:val="00496AC2"/>
    <w:rsid w:val="004A26D8"/>
    <w:rsid w:val="004A402C"/>
    <w:rsid w:val="004A6029"/>
    <w:rsid w:val="004A6A9F"/>
    <w:rsid w:val="004B168F"/>
    <w:rsid w:val="004B2060"/>
    <w:rsid w:val="004B53B4"/>
    <w:rsid w:val="004C0E05"/>
    <w:rsid w:val="004C51B5"/>
    <w:rsid w:val="004D6911"/>
    <w:rsid w:val="004E3A15"/>
    <w:rsid w:val="004E5370"/>
    <w:rsid w:val="004E6B35"/>
    <w:rsid w:val="004F0763"/>
    <w:rsid w:val="004F1663"/>
    <w:rsid w:val="004F5481"/>
    <w:rsid w:val="004F5B1F"/>
    <w:rsid w:val="005008FE"/>
    <w:rsid w:val="005013FC"/>
    <w:rsid w:val="005035B1"/>
    <w:rsid w:val="00503F5F"/>
    <w:rsid w:val="00505338"/>
    <w:rsid w:val="00505BDB"/>
    <w:rsid w:val="00505BE3"/>
    <w:rsid w:val="00505C17"/>
    <w:rsid w:val="00506019"/>
    <w:rsid w:val="005070E3"/>
    <w:rsid w:val="00510954"/>
    <w:rsid w:val="00512029"/>
    <w:rsid w:val="00515E56"/>
    <w:rsid w:val="00520EF0"/>
    <w:rsid w:val="005210BE"/>
    <w:rsid w:val="005257A0"/>
    <w:rsid w:val="00527C3C"/>
    <w:rsid w:val="00527F61"/>
    <w:rsid w:val="00530BBE"/>
    <w:rsid w:val="0053211A"/>
    <w:rsid w:val="005354A3"/>
    <w:rsid w:val="00542DA2"/>
    <w:rsid w:val="005440DE"/>
    <w:rsid w:val="00544B92"/>
    <w:rsid w:val="0055407C"/>
    <w:rsid w:val="005550EA"/>
    <w:rsid w:val="00555925"/>
    <w:rsid w:val="00556E65"/>
    <w:rsid w:val="00557B3B"/>
    <w:rsid w:val="00563087"/>
    <w:rsid w:val="00564071"/>
    <w:rsid w:val="00564DD6"/>
    <w:rsid w:val="00565370"/>
    <w:rsid w:val="005740C5"/>
    <w:rsid w:val="0058360A"/>
    <w:rsid w:val="005857E1"/>
    <w:rsid w:val="005876E5"/>
    <w:rsid w:val="0059248F"/>
    <w:rsid w:val="005932DB"/>
    <w:rsid w:val="00595D8B"/>
    <w:rsid w:val="00597DFF"/>
    <w:rsid w:val="005A04E7"/>
    <w:rsid w:val="005A10EA"/>
    <w:rsid w:val="005A6706"/>
    <w:rsid w:val="005A7F4F"/>
    <w:rsid w:val="005B077D"/>
    <w:rsid w:val="005B07C9"/>
    <w:rsid w:val="005B0BD7"/>
    <w:rsid w:val="005B156B"/>
    <w:rsid w:val="005B4B68"/>
    <w:rsid w:val="005B6376"/>
    <w:rsid w:val="005C482A"/>
    <w:rsid w:val="005C554B"/>
    <w:rsid w:val="005C58E7"/>
    <w:rsid w:val="005C5A90"/>
    <w:rsid w:val="005D17E9"/>
    <w:rsid w:val="005D1C56"/>
    <w:rsid w:val="005E57CB"/>
    <w:rsid w:val="005E5EBB"/>
    <w:rsid w:val="005E65A5"/>
    <w:rsid w:val="005E729C"/>
    <w:rsid w:val="005E7F3E"/>
    <w:rsid w:val="005F0EA3"/>
    <w:rsid w:val="005F29C7"/>
    <w:rsid w:val="005F3FB2"/>
    <w:rsid w:val="005F4E22"/>
    <w:rsid w:val="005F547B"/>
    <w:rsid w:val="005F6F12"/>
    <w:rsid w:val="005F7E36"/>
    <w:rsid w:val="00601E5F"/>
    <w:rsid w:val="00602790"/>
    <w:rsid w:val="00603BDC"/>
    <w:rsid w:val="00605D93"/>
    <w:rsid w:val="00605F58"/>
    <w:rsid w:val="00611F68"/>
    <w:rsid w:val="00612239"/>
    <w:rsid w:val="006131FC"/>
    <w:rsid w:val="00615BE1"/>
    <w:rsid w:val="00616609"/>
    <w:rsid w:val="00620824"/>
    <w:rsid w:val="006219B3"/>
    <w:rsid w:val="00625716"/>
    <w:rsid w:val="00625E2B"/>
    <w:rsid w:val="0063450C"/>
    <w:rsid w:val="006354D7"/>
    <w:rsid w:val="00635926"/>
    <w:rsid w:val="00635F4D"/>
    <w:rsid w:val="006411FB"/>
    <w:rsid w:val="00645F19"/>
    <w:rsid w:val="00650DCB"/>
    <w:rsid w:val="00651C26"/>
    <w:rsid w:val="00656C23"/>
    <w:rsid w:val="00662AB5"/>
    <w:rsid w:val="00662E65"/>
    <w:rsid w:val="0066679A"/>
    <w:rsid w:val="00670742"/>
    <w:rsid w:val="00672C16"/>
    <w:rsid w:val="00673DD6"/>
    <w:rsid w:val="00676CDA"/>
    <w:rsid w:val="0067746C"/>
    <w:rsid w:val="0068070D"/>
    <w:rsid w:val="0068613F"/>
    <w:rsid w:val="006866A9"/>
    <w:rsid w:val="00690A44"/>
    <w:rsid w:val="00691255"/>
    <w:rsid w:val="0069156B"/>
    <w:rsid w:val="00691FA3"/>
    <w:rsid w:val="006925B5"/>
    <w:rsid w:val="00692832"/>
    <w:rsid w:val="00693AE5"/>
    <w:rsid w:val="006A57EC"/>
    <w:rsid w:val="006A5CCF"/>
    <w:rsid w:val="006A6F89"/>
    <w:rsid w:val="006B1353"/>
    <w:rsid w:val="006B2672"/>
    <w:rsid w:val="006B294E"/>
    <w:rsid w:val="006B6195"/>
    <w:rsid w:val="006B6411"/>
    <w:rsid w:val="006B6D45"/>
    <w:rsid w:val="006B733C"/>
    <w:rsid w:val="006C179F"/>
    <w:rsid w:val="006C1A6E"/>
    <w:rsid w:val="006C2922"/>
    <w:rsid w:val="006C5F4D"/>
    <w:rsid w:val="006D01D2"/>
    <w:rsid w:val="006D2028"/>
    <w:rsid w:val="006D3E6C"/>
    <w:rsid w:val="006D59EC"/>
    <w:rsid w:val="006E1B3A"/>
    <w:rsid w:val="006E223A"/>
    <w:rsid w:val="006E6233"/>
    <w:rsid w:val="006F1C49"/>
    <w:rsid w:val="006F1DF8"/>
    <w:rsid w:val="006F2019"/>
    <w:rsid w:val="006F361B"/>
    <w:rsid w:val="00700B6D"/>
    <w:rsid w:val="0070256A"/>
    <w:rsid w:val="00706856"/>
    <w:rsid w:val="00706CB4"/>
    <w:rsid w:val="0071061D"/>
    <w:rsid w:val="00714967"/>
    <w:rsid w:val="007173CA"/>
    <w:rsid w:val="00721E3F"/>
    <w:rsid w:val="0072256E"/>
    <w:rsid w:val="00725D7A"/>
    <w:rsid w:val="0073094B"/>
    <w:rsid w:val="00732C51"/>
    <w:rsid w:val="00733A78"/>
    <w:rsid w:val="007403B6"/>
    <w:rsid w:val="007422ED"/>
    <w:rsid w:val="0074231C"/>
    <w:rsid w:val="007447D6"/>
    <w:rsid w:val="00745FB8"/>
    <w:rsid w:val="0074602E"/>
    <w:rsid w:val="00746850"/>
    <w:rsid w:val="00751E6C"/>
    <w:rsid w:val="00752CE4"/>
    <w:rsid w:val="00754F7B"/>
    <w:rsid w:val="00763C3B"/>
    <w:rsid w:val="00764222"/>
    <w:rsid w:val="007670D8"/>
    <w:rsid w:val="007706B2"/>
    <w:rsid w:val="00771B61"/>
    <w:rsid w:val="0077415A"/>
    <w:rsid w:val="007744D2"/>
    <w:rsid w:val="007754D0"/>
    <w:rsid w:val="00780C24"/>
    <w:rsid w:val="00783E79"/>
    <w:rsid w:val="007840D7"/>
    <w:rsid w:val="00786826"/>
    <w:rsid w:val="00791173"/>
    <w:rsid w:val="00792406"/>
    <w:rsid w:val="00792EFB"/>
    <w:rsid w:val="00794B1F"/>
    <w:rsid w:val="00795BB1"/>
    <w:rsid w:val="00796341"/>
    <w:rsid w:val="007A3E8A"/>
    <w:rsid w:val="007B59D3"/>
    <w:rsid w:val="007B71CB"/>
    <w:rsid w:val="007B7FB3"/>
    <w:rsid w:val="007C10A9"/>
    <w:rsid w:val="007C3B63"/>
    <w:rsid w:val="007C439C"/>
    <w:rsid w:val="007C5DEF"/>
    <w:rsid w:val="007C64D6"/>
    <w:rsid w:val="007C6BBC"/>
    <w:rsid w:val="007C79A0"/>
    <w:rsid w:val="007D0B57"/>
    <w:rsid w:val="007D2584"/>
    <w:rsid w:val="007D475E"/>
    <w:rsid w:val="007D5DBC"/>
    <w:rsid w:val="007D71B6"/>
    <w:rsid w:val="007D742B"/>
    <w:rsid w:val="007D7438"/>
    <w:rsid w:val="007D7990"/>
    <w:rsid w:val="007E2770"/>
    <w:rsid w:val="007E2CBF"/>
    <w:rsid w:val="007F0F5D"/>
    <w:rsid w:val="007F35A7"/>
    <w:rsid w:val="007F4289"/>
    <w:rsid w:val="007F4541"/>
    <w:rsid w:val="007F545E"/>
    <w:rsid w:val="007F5843"/>
    <w:rsid w:val="007F5B3E"/>
    <w:rsid w:val="007F7193"/>
    <w:rsid w:val="008026E1"/>
    <w:rsid w:val="008029A4"/>
    <w:rsid w:val="00803F93"/>
    <w:rsid w:val="00805147"/>
    <w:rsid w:val="00807345"/>
    <w:rsid w:val="00811171"/>
    <w:rsid w:val="00815325"/>
    <w:rsid w:val="00822093"/>
    <w:rsid w:val="00822A2D"/>
    <w:rsid w:val="00826461"/>
    <w:rsid w:val="00832678"/>
    <w:rsid w:val="00840A11"/>
    <w:rsid w:val="00840C68"/>
    <w:rsid w:val="00842858"/>
    <w:rsid w:val="00844000"/>
    <w:rsid w:val="00844AFB"/>
    <w:rsid w:val="00846A14"/>
    <w:rsid w:val="00846D9B"/>
    <w:rsid w:val="00847C13"/>
    <w:rsid w:val="00850CD3"/>
    <w:rsid w:val="00851666"/>
    <w:rsid w:val="008545DD"/>
    <w:rsid w:val="008605DF"/>
    <w:rsid w:val="0086762C"/>
    <w:rsid w:val="00871FE4"/>
    <w:rsid w:val="00872559"/>
    <w:rsid w:val="00873AF8"/>
    <w:rsid w:val="00875869"/>
    <w:rsid w:val="00877D7A"/>
    <w:rsid w:val="008812C5"/>
    <w:rsid w:val="00887BEA"/>
    <w:rsid w:val="008910FE"/>
    <w:rsid w:val="00891FD8"/>
    <w:rsid w:val="00895488"/>
    <w:rsid w:val="00896DE0"/>
    <w:rsid w:val="00897D7A"/>
    <w:rsid w:val="008A1951"/>
    <w:rsid w:val="008A54F3"/>
    <w:rsid w:val="008A749C"/>
    <w:rsid w:val="008B10FA"/>
    <w:rsid w:val="008B208E"/>
    <w:rsid w:val="008B45A9"/>
    <w:rsid w:val="008B50B1"/>
    <w:rsid w:val="008B66C5"/>
    <w:rsid w:val="008C1F71"/>
    <w:rsid w:val="008C1FB5"/>
    <w:rsid w:val="008C2CE8"/>
    <w:rsid w:val="008C3DE2"/>
    <w:rsid w:val="008C777E"/>
    <w:rsid w:val="008D68F3"/>
    <w:rsid w:val="008E1229"/>
    <w:rsid w:val="008E269C"/>
    <w:rsid w:val="008E2DCC"/>
    <w:rsid w:val="008E70E7"/>
    <w:rsid w:val="008E747F"/>
    <w:rsid w:val="008E77B9"/>
    <w:rsid w:val="008F07DF"/>
    <w:rsid w:val="008F3D28"/>
    <w:rsid w:val="008F4DDE"/>
    <w:rsid w:val="008F4F52"/>
    <w:rsid w:val="008F5E7B"/>
    <w:rsid w:val="00900959"/>
    <w:rsid w:val="0090497E"/>
    <w:rsid w:val="0090552A"/>
    <w:rsid w:val="00905D65"/>
    <w:rsid w:val="00907A70"/>
    <w:rsid w:val="00911C9E"/>
    <w:rsid w:val="00913184"/>
    <w:rsid w:val="009145C7"/>
    <w:rsid w:val="00914F05"/>
    <w:rsid w:val="0091673B"/>
    <w:rsid w:val="0092219B"/>
    <w:rsid w:val="00922A09"/>
    <w:rsid w:val="009238D2"/>
    <w:rsid w:val="00926CA7"/>
    <w:rsid w:val="00930757"/>
    <w:rsid w:val="00935771"/>
    <w:rsid w:val="009425A8"/>
    <w:rsid w:val="009426AC"/>
    <w:rsid w:val="00945BF7"/>
    <w:rsid w:val="00953297"/>
    <w:rsid w:val="00954BE4"/>
    <w:rsid w:val="00955708"/>
    <w:rsid w:val="0095694B"/>
    <w:rsid w:val="0095699E"/>
    <w:rsid w:val="00957353"/>
    <w:rsid w:val="00957D23"/>
    <w:rsid w:val="00957FB3"/>
    <w:rsid w:val="0096129C"/>
    <w:rsid w:val="00961BC0"/>
    <w:rsid w:val="009625A3"/>
    <w:rsid w:val="00963BDD"/>
    <w:rsid w:val="00963C2D"/>
    <w:rsid w:val="00965A5F"/>
    <w:rsid w:val="00970723"/>
    <w:rsid w:val="00971E62"/>
    <w:rsid w:val="00973DE0"/>
    <w:rsid w:val="0097599E"/>
    <w:rsid w:val="00981038"/>
    <w:rsid w:val="00982B13"/>
    <w:rsid w:val="00983382"/>
    <w:rsid w:val="009907C9"/>
    <w:rsid w:val="00994599"/>
    <w:rsid w:val="009970A1"/>
    <w:rsid w:val="009A094D"/>
    <w:rsid w:val="009A322B"/>
    <w:rsid w:val="009A3CEA"/>
    <w:rsid w:val="009A4A53"/>
    <w:rsid w:val="009B411B"/>
    <w:rsid w:val="009B6354"/>
    <w:rsid w:val="009C1634"/>
    <w:rsid w:val="009C2F10"/>
    <w:rsid w:val="009C49CB"/>
    <w:rsid w:val="009C52AD"/>
    <w:rsid w:val="009C5A96"/>
    <w:rsid w:val="009C7A08"/>
    <w:rsid w:val="009C7F9F"/>
    <w:rsid w:val="009D0E90"/>
    <w:rsid w:val="009D16A6"/>
    <w:rsid w:val="009D2F85"/>
    <w:rsid w:val="009D5681"/>
    <w:rsid w:val="009D66CA"/>
    <w:rsid w:val="009D710D"/>
    <w:rsid w:val="009E0720"/>
    <w:rsid w:val="009E2E0C"/>
    <w:rsid w:val="009E5376"/>
    <w:rsid w:val="009E5D54"/>
    <w:rsid w:val="009F3D46"/>
    <w:rsid w:val="009F421B"/>
    <w:rsid w:val="009F47CB"/>
    <w:rsid w:val="00A003BE"/>
    <w:rsid w:val="00A00F9E"/>
    <w:rsid w:val="00A03F8D"/>
    <w:rsid w:val="00A0694C"/>
    <w:rsid w:val="00A070F3"/>
    <w:rsid w:val="00A07FD5"/>
    <w:rsid w:val="00A144FC"/>
    <w:rsid w:val="00A14F75"/>
    <w:rsid w:val="00A154A1"/>
    <w:rsid w:val="00A17189"/>
    <w:rsid w:val="00A20055"/>
    <w:rsid w:val="00A20447"/>
    <w:rsid w:val="00A22B70"/>
    <w:rsid w:val="00A31358"/>
    <w:rsid w:val="00A32BC8"/>
    <w:rsid w:val="00A33FDB"/>
    <w:rsid w:val="00A3687A"/>
    <w:rsid w:val="00A36AD2"/>
    <w:rsid w:val="00A40E30"/>
    <w:rsid w:val="00A42866"/>
    <w:rsid w:val="00A501F2"/>
    <w:rsid w:val="00A50825"/>
    <w:rsid w:val="00A50BEA"/>
    <w:rsid w:val="00A50C1C"/>
    <w:rsid w:val="00A50D1D"/>
    <w:rsid w:val="00A529EA"/>
    <w:rsid w:val="00A56C8D"/>
    <w:rsid w:val="00A60D4B"/>
    <w:rsid w:val="00A614C8"/>
    <w:rsid w:val="00A62168"/>
    <w:rsid w:val="00A621BD"/>
    <w:rsid w:val="00A625B6"/>
    <w:rsid w:val="00A651FD"/>
    <w:rsid w:val="00A66358"/>
    <w:rsid w:val="00A66A33"/>
    <w:rsid w:val="00A67802"/>
    <w:rsid w:val="00A70749"/>
    <w:rsid w:val="00A73273"/>
    <w:rsid w:val="00A73B67"/>
    <w:rsid w:val="00A768C1"/>
    <w:rsid w:val="00A77C7B"/>
    <w:rsid w:val="00A83C1D"/>
    <w:rsid w:val="00A86303"/>
    <w:rsid w:val="00A875DA"/>
    <w:rsid w:val="00A953F6"/>
    <w:rsid w:val="00A95910"/>
    <w:rsid w:val="00A9697C"/>
    <w:rsid w:val="00A97459"/>
    <w:rsid w:val="00A97E45"/>
    <w:rsid w:val="00AA27C1"/>
    <w:rsid w:val="00AA70B7"/>
    <w:rsid w:val="00AA779F"/>
    <w:rsid w:val="00AB410B"/>
    <w:rsid w:val="00AB48E5"/>
    <w:rsid w:val="00AB5271"/>
    <w:rsid w:val="00AB7BAC"/>
    <w:rsid w:val="00AC0C01"/>
    <w:rsid w:val="00AC188F"/>
    <w:rsid w:val="00AC737C"/>
    <w:rsid w:val="00AD052A"/>
    <w:rsid w:val="00AD0F79"/>
    <w:rsid w:val="00AD2378"/>
    <w:rsid w:val="00AD3E6D"/>
    <w:rsid w:val="00AD4C72"/>
    <w:rsid w:val="00AD580B"/>
    <w:rsid w:val="00AD5BEB"/>
    <w:rsid w:val="00AE118F"/>
    <w:rsid w:val="00AE2C56"/>
    <w:rsid w:val="00AE4F22"/>
    <w:rsid w:val="00AE54D0"/>
    <w:rsid w:val="00AE55CE"/>
    <w:rsid w:val="00AE5B5A"/>
    <w:rsid w:val="00AE62B5"/>
    <w:rsid w:val="00AE6E72"/>
    <w:rsid w:val="00AE7396"/>
    <w:rsid w:val="00AF02F0"/>
    <w:rsid w:val="00AF52CB"/>
    <w:rsid w:val="00AF558F"/>
    <w:rsid w:val="00AF680B"/>
    <w:rsid w:val="00AF6D55"/>
    <w:rsid w:val="00AF71AD"/>
    <w:rsid w:val="00AF7F8B"/>
    <w:rsid w:val="00B01049"/>
    <w:rsid w:val="00B014A7"/>
    <w:rsid w:val="00B01C95"/>
    <w:rsid w:val="00B02807"/>
    <w:rsid w:val="00B04C69"/>
    <w:rsid w:val="00B06263"/>
    <w:rsid w:val="00B06831"/>
    <w:rsid w:val="00B10CDD"/>
    <w:rsid w:val="00B11E8D"/>
    <w:rsid w:val="00B12411"/>
    <w:rsid w:val="00B1299A"/>
    <w:rsid w:val="00B20ECA"/>
    <w:rsid w:val="00B20FDA"/>
    <w:rsid w:val="00B23ECE"/>
    <w:rsid w:val="00B23F5E"/>
    <w:rsid w:val="00B24F15"/>
    <w:rsid w:val="00B256E6"/>
    <w:rsid w:val="00B27A65"/>
    <w:rsid w:val="00B27FBE"/>
    <w:rsid w:val="00B31F4C"/>
    <w:rsid w:val="00B3283C"/>
    <w:rsid w:val="00B33560"/>
    <w:rsid w:val="00B3365C"/>
    <w:rsid w:val="00B46348"/>
    <w:rsid w:val="00B56157"/>
    <w:rsid w:val="00B601D2"/>
    <w:rsid w:val="00B660B2"/>
    <w:rsid w:val="00B66136"/>
    <w:rsid w:val="00B70FEA"/>
    <w:rsid w:val="00B7397F"/>
    <w:rsid w:val="00B7508E"/>
    <w:rsid w:val="00B81454"/>
    <w:rsid w:val="00B841A2"/>
    <w:rsid w:val="00B86042"/>
    <w:rsid w:val="00B90E68"/>
    <w:rsid w:val="00B926EE"/>
    <w:rsid w:val="00BA02A5"/>
    <w:rsid w:val="00BA4FB0"/>
    <w:rsid w:val="00BA7AC0"/>
    <w:rsid w:val="00BA7F6F"/>
    <w:rsid w:val="00BB250E"/>
    <w:rsid w:val="00BC3880"/>
    <w:rsid w:val="00BC48E7"/>
    <w:rsid w:val="00BC7F5D"/>
    <w:rsid w:val="00BD1AF4"/>
    <w:rsid w:val="00BD2CA3"/>
    <w:rsid w:val="00BD436D"/>
    <w:rsid w:val="00BD521D"/>
    <w:rsid w:val="00BE230F"/>
    <w:rsid w:val="00BE24B4"/>
    <w:rsid w:val="00BE2723"/>
    <w:rsid w:val="00BE2CAA"/>
    <w:rsid w:val="00BF657D"/>
    <w:rsid w:val="00C00BB1"/>
    <w:rsid w:val="00C0136E"/>
    <w:rsid w:val="00C0151B"/>
    <w:rsid w:val="00C022BC"/>
    <w:rsid w:val="00C03645"/>
    <w:rsid w:val="00C0600B"/>
    <w:rsid w:val="00C062F8"/>
    <w:rsid w:val="00C103A5"/>
    <w:rsid w:val="00C15131"/>
    <w:rsid w:val="00C15B7D"/>
    <w:rsid w:val="00C16733"/>
    <w:rsid w:val="00C17074"/>
    <w:rsid w:val="00C173C6"/>
    <w:rsid w:val="00C17DB7"/>
    <w:rsid w:val="00C20A61"/>
    <w:rsid w:val="00C219BB"/>
    <w:rsid w:val="00C23953"/>
    <w:rsid w:val="00C24B14"/>
    <w:rsid w:val="00C24BFD"/>
    <w:rsid w:val="00C27F6C"/>
    <w:rsid w:val="00C313AB"/>
    <w:rsid w:val="00C315CA"/>
    <w:rsid w:val="00C339EF"/>
    <w:rsid w:val="00C33C14"/>
    <w:rsid w:val="00C349AD"/>
    <w:rsid w:val="00C36131"/>
    <w:rsid w:val="00C373BF"/>
    <w:rsid w:val="00C40B49"/>
    <w:rsid w:val="00C43CC1"/>
    <w:rsid w:val="00C45318"/>
    <w:rsid w:val="00C46E7C"/>
    <w:rsid w:val="00C47137"/>
    <w:rsid w:val="00C53956"/>
    <w:rsid w:val="00C53D8C"/>
    <w:rsid w:val="00C55270"/>
    <w:rsid w:val="00C55F40"/>
    <w:rsid w:val="00C60999"/>
    <w:rsid w:val="00C633E1"/>
    <w:rsid w:val="00C719B7"/>
    <w:rsid w:val="00C76F20"/>
    <w:rsid w:val="00C8076D"/>
    <w:rsid w:val="00C82452"/>
    <w:rsid w:val="00C83B65"/>
    <w:rsid w:val="00C851C5"/>
    <w:rsid w:val="00C853A5"/>
    <w:rsid w:val="00C904BD"/>
    <w:rsid w:val="00C96658"/>
    <w:rsid w:val="00C966FE"/>
    <w:rsid w:val="00C96DE6"/>
    <w:rsid w:val="00CA0694"/>
    <w:rsid w:val="00CA3B4C"/>
    <w:rsid w:val="00CB0CF5"/>
    <w:rsid w:val="00CB1B64"/>
    <w:rsid w:val="00CB2A0B"/>
    <w:rsid w:val="00CB3AC5"/>
    <w:rsid w:val="00CB4C52"/>
    <w:rsid w:val="00CB6F93"/>
    <w:rsid w:val="00CB740B"/>
    <w:rsid w:val="00CC3B43"/>
    <w:rsid w:val="00CC56D1"/>
    <w:rsid w:val="00CC74DE"/>
    <w:rsid w:val="00CD15DA"/>
    <w:rsid w:val="00CD230D"/>
    <w:rsid w:val="00CD247B"/>
    <w:rsid w:val="00CD2B65"/>
    <w:rsid w:val="00CD3B1F"/>
    <w:rsid w:val="00CD50AB"/>
    <w:rsid w:val="00CD7B52"/>
    <w:rsid w:val="00CE0D7B"/>
    <w:rsid w:val="00CE2772"/>
    <w:rsid w:val="00CE4CB0"/>
    <w:rsid w:val="00CE6E2B"/>
    <w:rsid w:val="00CF0E2D"/>
    <w:rsid w:val="00CF2888"/>
    <w:rsid w:val="00CF6458"/>
    <w:rsid w:val="00CF7634"/>
    <w:rsid w:val="00D02445"/>
    <w:rsid w:val="00D042F1"/>
    <w:rsid w:val="00D04514"/>
    <w:rsid w:val="00D06A1B"/>
    <w:rsid w:val="00D10566"/>
    <w:rsid w:val="00D116C9"/>
    <w:rsid w:val="00D11F65"/>
    <w:rsid w:val="00D12102"/>
    <w:rsid w:val="00D12274"/>
    <w:rsid w:val="00D12468"/>
    <w:rsid w:val="00D12DED"/>
    <w:rsid w:val="00D151C2"/>
    <w:rsid w:val="00D203A0"/>
    <w:rsid w:val="00D21131"/>
    <w:rsid w:val="00D224DE"/>
    <w:rsid w:val="00D22647"/>
    <w:rsid w:val="00D229E7"/>
    <w:rsid w:val="00D24309"/>
    <w:rsid w:val="00D26390"/>
    <w:rsid w:val="00D27F4A"/>
    <w:rsid w:val="00D30032"/>
    <w:rsid w:val="00D30840"/>
    <w:rsid w:val="00D315CF"/>
    <w:rsid w:val="00D32478"/>
    <w:rsid w:val="00D35E89"/>
    <w:rsid w:val="00D36CA1"/>
    <w:rsid w:val="00D4200A"/>
    <w:rsid w:val="00D45658"/>
    <w:rsid w:val="00D478FD"/>
    <w:rsid w:val="00D479F8"/>
    <w:rsid w:val="00D50810"/>
    <w:rsid w:val="00D522E4"/>
    <w:rsid w:val="00D538F4"/>
    <w:rsid w:val="00D545AF"/>
    <w:rsid w:val="00D5468A"/>
    <w:rsid w:val="00D6043B"/>
    <w:rsid w:val="00D64CB0"/>
    <w:rsid w:val="00D67539"/>
    <w:rsid w:val="00D67F1C"/>
    <w:rsid w:val="00D7733C"/>
    <w:rsid w:val="00D830BE"/>
    <w:rsid w:val="00D84CC4"/>
    <w:rsid w:val="00D84D7F"/>
    <w:rsid w:val="00D85E58"/>
    <w:rsid w:val="00D95FE2"/>
    <w:rsid w:val="00D96D9D"/>
    <w:rsid w:val="00D9736C"/>
    <w:rsid w:val="00DA1510"/>
    <w:rsid w:val="00DA1D54"/>
    <w:rsid w:val="00DA24A8"/>
    <w:rsid w:val="00DA3D17"/>
    <w:rsid w:val="00DA3D80"/>
    <w:rsid w:val="00DA54E0"/>
    <w:rsid w:val="00DB2636"/>
    <w:rsid w:val="00DB2B35"/>
    <w:rsid w:val="00DB3369"/>
    <w:rsid w:val="00DB4816"/>
    <w:rsid w:val="00DB6102"/>
    <w:rsid w:val="00DC311F"/>
    <w:rsid w:val="00DC73A4"/>
    <w:rsid w:val="00DC7C0F"/>
    <w:rsid w:val="00DD16BA"/>
    <w:rsid w:val="00DD2941"/>
    <w:rsid w:val="00DD3A92"/>
    <w:rsid w:val="00DE1F53"/>
    <w:rsid w:val="00DE2ECD"/>
    <w:rsid w:val="00DE40D2"/>
    <w:rsid w:val="00DE5454"/>
    <w:rsid w:val="00DE7544"/>
    <w:rsid w:val="00DF52AD"/>
    <w:rsid w:val="00E0330D"/>
    <w:rsid w:val="00E03BAB"/>
    <w:rsid w:val="00E04F05"/>
    <w:rsid w:val="00E06060"/>
    <w:rsid w:val="00E16039"/>
    <w:rsid w:val="00E2050C"/>
    <w:rsid w:val="00E20844"/>
    <w:rsid w:val="00E21A04"/>
    <w:rsid w:val="00E2314B"/>
    <w:rsid w:val="00E238F9"/>
    <w:rsid w:val="00E24BAB"/>
    <w:rsid w:val="00E2588A"/>
    <w:rsid w:val="00E27F32"/>
    <w:rsid w:val="00E3022A"/>
    <w:rsid w:val="00E31B8D"/>
    <w:rsid w:val="00E32A9D"/>
    <w:rsid w:val="00E32B05"/>
    <w:rsid w:val="00E32DC8"/>
    <w:rsid w:val="00E43EAE"/>
    <w:rsid w:val="00E44F80"/>
    <w:rsid w:val="00E4697A"/>
    <w:rsid w:val="00E47780"/>
    <w:rsid w:val="00E47EE9"/>
    <w:rsid w:val="00E500C6"/>
    <w:rsid w:val="00E53996"/>
    <w:rsid w:val="00E56974"/>
    <w:rsid w:val="00E61DD6"/>
    <w:rsid w:val="00E62971"/>
    <w:rsid w:val="00E71D1A"/>
    <w:rsid w:val="00E77E6E"/>
    <w:rsid w:val="00E800E8"/>
    <w:rsid w:val="00E80B26"/>
    <w:rsid w:val="00E84639"/>
    <w:rsid w:val="00E84C08"/>
    <w:rsid w:val="00E85E12"/>
    <w:rsid w:val="00E86193"/>
    <w:rsid w:val="00E9319C"/>
    <w:rsid w:val="00E935C8"/>
    <w:rsid w:val="00E958C2"/>
    <w:rsid w:val="00E96AFB"/>
    <w:rsid w:val="00EA52DC"/>
    <w:rsid w:val="00EA6874"/>
    <w:rsid w:val="00EA689F"/>
    <w:rsid w:val="00EB0A4B"/>
    <w:rsid w:val="00EB1151"/>
    <w:rsid w:val="00EB16FA"/>
    <w:rsid w:val="00EB1D33"/>
    <w:rsid w:val="00EB62F5"/>
    <w:rsid w:val="00EB72EB"/>
    <w:rsid w:val="00EC1EF1"/>
    <w:rsid w:val="00EC2AA6"/>
    <w:rsid w:val="00EC325C"/>
    <w:rsid w:val="00EC394F"/>
    <w:rsid w:val="00EC52A5"/>
    <w:rsid w:val="00EC5FBF"/>
    <w:rsid w:val="00EC6E7E"/>
    <w:rsid w:val="00EC74DB"/>
    <w:rsid w:val="00ED1EAE"/>
    <w:rsid w:val="00ED306B"/>
    <w:rsid w:val="00ED6B8C"/>
    <w:rsid w:val="00ED6D89"/>
    <w:rsid w:val="00EE4672"/>
    <w:rsid w:val="00EE66D5"/>
    <w:rsid w:val="00EE686D"/>
    <w:rsid w:val="00EF169E"/>
    <w:rsid w:val="00EF325E"/>
    <w:rsid w:val="00EF453B"/>
    <w:rsid w:val="00F002E9"/>
    <w:rsid w:val="00F02ED1"/>
    <w:rsid w:val="00F0359C"/>
    <w:rsid w:val="00F0566D"/>
    <w:rsid w:val="00F11C55"/>
    <w:rsid w:val="00F12A80"/>
    <w:rsid w:val="00F14E77"/>
    <w:rsid w:val="00F156F2"/>
    <w:rsid w:val="00F22BDD"/>
    <w:rsid w:val="00F26538"/>
    <w:rsid w:val="00F304D2"/>
    <w:rsid w:val="00F32FDE"/>
    <w:rsid w:val="00F44666"/>
    <w:rsid w:val="00F4718F"/>
    <w:rsid w:val="00F54EBE"/>
    <w:rsid w:val="00F57411"/>
    <w:rsid w:val="00F57E4E"/>
    <w:rsid w:val="00F6029C"/>
    <w:rsid w:val="00F657EF"/>
    <w:rsid w:val="00F665DA"/>
    <w:rsid w:val="00F66F4C"/>
    <w:rsid w:val="00F72026"/>
    <w:rsid w:val="00F72368"/>
    <w:rsid w:val="00F73888"/>
    <w:rsid w:val="00F74B54"/>
    <w:rsid w:val="00F74D26"/>
    <w:rsid w:val="00F75276"/>
    <w:rsid w:val="00F77396"/>
    <w:rsid w:val="00F9010D"/>
    <w:rsid w:val="00F90B5A"/>
    <w:rsid w:val="00F9204D"/>
    <w:rsid w:val="00F92BAE"/>
    <w:rsid w:val="00F93568"/>
    <w:rsid w:val="00FA2A9C"/>
    <w:rsid w:val="00FA2C0B"/>
    <w:rsid w:val="00FA50A0"/>
    <w:rsid w:val="00FA6133"/>
    <w:rsid w:val="00FA642E"/>
    <w:rsid w:val="00FB0868"/>
    <w:rsid w:val="00FB2FAE"/>
    <w:rsid w:val="00FB4E5C"/>
    <w:rsid w:val="00FC7AD3"/>
    <w:rsid w:val="00FD078B"/>
    <w:rsid w:val="00FD16A8"/>
    <w:rsid w:val="00FD370A"/>
    <w:rsid w:val="00FD5F9F"/>
    <w:rsid w:val="00FD6CDE"/>
    <w:rsid w:val="00FE20A8"/>
    <w:rsid w:val="00FE3774"/>
    <w:rsid w:val="00FF3E64"/>
    <w:rsid w:val="00FF7BE5"/>
    <w:rsid w:val="03C3FA0C"/>
    <w:rsid w:val="1063BA76"/>
    <w:rsid w:val="109126D4"/>
    <w:rsid w:val="14ED720D"/>
    <w:rsid w:val="15EEA5F3"/>
    <w:rsid w:val="16461EB8"/>
    <w:rsid w:val="170507B4"/>
    <w:rsid w:val="17951752"/>
    <w:rsid w:val="18683BBB"/>
    <w:rsid w:val="1ADDF52F"/>
    <w:rsid w:val="1E0FE391"/>
    <w:rsid w:val="1FC830CF"/>
    <w:rsid w:val="20C49441"/>
    <w:rsid w:val="214B4DDF"/>
    <w:rsid w:val="215619E8"/>
    <w:rsid w:val="2170AFED"/>
    <w:rsid w:val="219FF825"/>
    <w:rsid w:val="23EDBBB8"/>
    <w:rsid w:val="28833DA8"/>
    <w:rsid w:val="29AF11BC"/>
    <w:rsid w:val="2A5B1C13"/>
    <w:rsid w:val="2C8AB1FD"/>
    <w:rsid w:val="2FAB2537"/>
    <w:rsid w:val="3475037E"/>
    <w:rsid w:val="35D64318"/>
    <w:rsid w:val="36C5E2E2"/>
    <w:rsid w:val="37436DCA"/>
    <w:rsid w:val="3C922612"/>
    <w:rsid w:val="3CB447E1"/>
    <w:rsid w:val="3EE0547C"/>
    <w:rsid w:val="41A37B96"/>
    <w:rsid w:val="431ADE4E"/>
    <w:rsid w:val="4AA8076B"/>
    <w:rsid w:val="4AED0D62"/>
    <w:rsid w:val="4DF17A7C"/>
    <w:rsid w:val="4E112E9E"/>
    <w:rsid w:val="4E6E2992"/>
    <w:rsid w:val="4EE3DBAE"/>
    <w:rsid w:val="5009F9F3"/>
    <w:rsid w:val="50F6B8D3"/>
    <w:rsid w:val="5376DED1"/>
    <w:rsid w:val="5BBC550A"/>
    <w:rsid w:val="5DB10A26"/>
    <w:rsid w:val="5F33898A"/>
    <w:rsid w:val="5F4DF0FD"/>
    <w:rsid w:val="610AE93C"/>
    <w:rsid w:val="68608168"/>
    <w:rsid w:val="6D3ED2A8"/>
    <w:rsid w:val="6DA1B697"/>
    <w:rsid w:val="6F6B1261"/>
    <w:rsid w:val="76683273"/>
    <w:rsid w:val="7766F544"/>
    <w:rsid w:val="7902C5A5"/>
    <w:rsid w:val="7B2395B4"/>
    <w:rsid w:val="7CC898F3"/>
    <w:rsid w:val="7EC9F9BB"/>
    <w:rsid w:val="7FAF152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27B354"/>
  <w15:chartTrackingRefBased/>
  <w15:docId w15:val="{99DE6B2F-AAAF-401E-A326-FEB4DE9690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iPriority="99"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99" w:unhideWhenUsed="1"/>
    <w:lsdException w:name="Body Text 2" w:semiHidden="1" w:unhideWhenUsed="1"/>
    <w:lsdException w:name="Body Text 3" w:semiHidden="1" w:uiPriority="99"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E4F22"/>
  </w:style>
  <w:style w:type="paragraph" w:styleId="Heading1">
    <w:name w:val="heading 1"/>
    <w:basedOn w:val="Normal"/>
    <w:next w:val="Normal"/>
    <w:link w:val="Heading1Char"/>
    <w:uiPriority w:val="9"/>
    <w:qFormat/>
    <w:rsid w:val="00AE55CE"/>
    <w:pPr>
      <w:keepNext/>
      <w:keepLines/>
      <w:numPr>
        <w:numId w:val="6"/>
      </w:numPr>
      <w:spacing w:after="240" w:line="240" w:lineRule="auto"/>
      <w:outlineLvl w:val="0"/>
    </w:pPr>
    <w:rPr>
      <w:rFonts w:ascii="Calibri" w:eastAsiaTheme="majorEastAsia" w:hAnsi="Calibri" w:cstheme="majorBidi"/>
      <w:b/>
      <w:caps/>
      <w:kern w:val="28"/>
      <w:sz w:val="36"/>
      <w:szCs w:val="32"/>
    </w:rPr>
  </w:style>
  <w:style w:type="paragraph" w:styleId="Heading2">
    <w:name w:val="heading 2"/>
    <w:basedOn w:val="Normal"/>
    <w:next w:val="Normal"/>
    <w:link w:val="Heading2Char"/>
    <w:uiPriority w:val="9"/>
    <w:unhideWhenUsed/>
    <w:qFormat/>
    <w:rsid w:val="00930757"/>
    <w:pPr>
      <w:keepNext/>
      <w:keepLines/>
      <w:numPr>
        <w:ilvl w:val="1"/>
        <w:numId w:val="6"/>
      </w:numPr>
      <w:spacing w:before="360" w:after="200" w:line="240" w:lineRule="auto"/>
      <w:outlineLvl w:val="1"/>
    </w:pPr>
    <w:rPr>
      <w:rFonts w:ascii="Calibri" w:eastAsiaTheme="majorEastAsia" w:hAnsi="Calibri" w:cstheme="majorBidi"/>
      <w:b/>
      <w:caps/>
      <w:color w:val="472D8C"/>
      <w:sz w:val="36"/>
      <w:szCs w:val="26"/>
    </w:rPr>
  </w:style>
  <w:style w:type="paragraph" w:styleId="Heading3">
    <w:name w:val="heading 3"/>
    <w:basedOn w:val="Normal"/>
    <w:next w:val="Normal"/>
    <w:link w:val="Heading3Char"/>
    <w:uiPriority w:val="9"/>
    <w:unhideWhenUsed/>
    <w:qFormat/>
    <w:rsid w:val="00930757"/>
    <w:pPr>
      <w:keepNext/>
      <w:keepLines/>
      <w:spacing w:before="360" w:after="200" w:line="240" w:lineRule="auto"/>
      <w:outlineLvl w:val="2"/>
    </w:pPr>
    <w:rPr>
      <w:rFonts w:ascii="Calibri" w:eastAsiaTheme="majorEastAsia" w:hAnsi="Calibri" w:cstheme="majorBidi"/>
      <w:b/>
      <w:color w:val="999789"/>
      <w:sz w:val="32"/>
      <w:szCs w:val="24"/>
    </w:rPr>
  </w:style>
  <w:style w:type="paragraph" w:styleId="Heading4">
    <w:name w:val="heading 4"/>
    <w:basedOn w:val="Normal"/>
    <w:next w:val="Normal"/>
    <w:link w:val="Heading4Char"/>
    <w:uiPriority w:val="9"/>
    <w:unhideWhenUsed/>
    <w:qFormat/>
    <w:rsid w:val="00872559"/>
    <w:pPr>
      <w:keepNext/>
      <w:keepLines/>
      <w:spacing w:before="240" w:after="120" w:line="240" w:lineRule="auto"/>
      <w:outlineLvl w:val="3"/>
    </w:pPr>
    <w:rPr>
      <w:rFonts w:ascii="Calibri" w:eastAsiaTheme="majorEastAsia" w:hAnsi="Calibri" w:cstheme="majorBidi"/>
      <w:b/>
      <w:iCs/>
      <w:sz w:val="28"/>
    </w:rPr>
  </w:style>
  <w:style w:type="paragraph" w:styleId="Heading5">
    <w:name w:val="heading 5"/>
    <w:basedOn w:val="Normal"/>
    <w:next w:val="Normal"/>
    <w:link w:val="Heading5Char"/>
    <w:uiPriority w:val="9"/>
    <w:unhideWhenUsed/>
    <w:qFormat/>
    <w:rsid w:val="00872559"/>
    <w:pPr>
      <w:keepNext/>
      <w:keepLines/>
      <w:spacing w:before="40" w:after="0"/>
      <w:outlineLvl w:val="4"/>
    </w:pPr>
    <w:rPr>
      <w:rFonts w:eastAsiaTheme="majorEastAsia" w:cstheme="majorBidi"/>
      <w:b/>
      <w:i/>
      <w:sz w:val="24"/>
    </w:rPr>
  </w:style>
  <w:style w:type="paragraph" w:styleId="Heading6">
    <w:name w:val="heading 6"/>
    <w:basedOn w:val="Normal"/>
    <w:next w:val="Normal"/>
    <w:link w:val="Heading6Char"/>
    <w:uiPriority w:val="9"/>
    <w:unhideWhenUsed/>
    <w:qFormat/>
    <w:rsid w:val="008E77B9"/>
    <w:pPr>
      <w:keepNext/>
      <w:keepLines/>
      <w:numPr>
        <w:ilvl w:val="5"/>
        <w:numId w:val="6"/>
      </w:numPr>
      <w:spacing w:before="40" w:after="0"/>
      <w:outlineLvl w:val="5"/>
    </w:pPr>
    <w:rPr>
      <w:rFonts w:asciiTheme="majorHAnsi" w:eastAsiaTheme="majorEastAsia" w:hAnsiTheme="majorHAnsi" w:cstheme="majorBidi"/>
      <w:color w:val="000B44" w:themeColor="accent1" w:themeShade="7F"/>
    </w:rPr>
  </w:style>
  <w:style w:type="paragraph" w:styleId="Heading7">
    <w:name w:val="heading 7"/>
    <w:basedOn w:val="Normal"/>
    <w:next w:val="Normal"/>
    <w:link w:val="Heading7Char"/>
    <w:uiPriority w:val="9"/>
    <w:unhideWhenUsed/>
    <w:qFormat/>
    <w:rsid w:val="008E77B9"/>
    <w:pPr>
      <w:keepNext/>
      <w:keepLines/>
      <w:numPr>
        <w:ilvl w:val="6"/>
        <w:numId w:val="6"/>
      </w:numPr>
      <w:spacing w:before="40" w:after="0"/>
      <w:outlineLvl w:val="6"/>
    </w:pPr>
    <w:rPr>
      <w:rFonts w:asciiTheme="majorHAnsi" w:eastAsiaTheme="majorEastAsia" w:hAnsiTheme="majorHAnsi" w:cstheme="majorBidi"/>
      <w:i/>
      <w:iCs/>
      <w:color w:val="000B44" w:themeColor="accent1" w:themeShade="7F"/>
    </w:rPr>
  </w:style>
  <w:style w:type="paragraph" w:styleId="Heading8">
    <w:name w:val="heading 8"/>
    <w:basedOn w:val="Normal"/>
    <w:next w:val="Normal"/>
    <w:link w:val="Heading8Char"/>
    <w:uiPriority w:val="9"/>
    <w:unhideWhenUsed/>
    <w:qFormat/>
    <w:rsid w:val="008E77B9"/>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8E77B9"/>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bodytext">
    <w:name w:val="B_body_text"/>
    <w:basedOn w:val="Normal"/>
    <w:link w:val="BbodytextChar"/>
    <w:qFormat/>
    <w:rsid w:val="001B45B0"/>
    <w:pPr>
      <w:spacing w:before="120" w:after="120" w:line="240" w:lineRule="auto"/>
    </w:pPr>
    <w:rPr>
      <w:sz w:val="24"/>
    </w:rPr>
  </w:style>
  <w:style w:type="paragraph" w:customStyle="1" w:styleId="BBullet1">
    <w:name w:val="B_Bullet_1"/>
    <w:basedOn w:val="Bbodytext"/>
    <w:link w:val="BBullet1Char"/>
    <w:qFormat/>
    <w:rsid w:val="00E53996"/>
    <w:pPr>
      <w:numPr>
        <w:numId w:val="1"/>
      </w:numPr>
      <w:tabs>
        <w:tab w:val="left" w:pos="357"/>
      </w:tabs>
      <w:spacing w:before="0"/>
    </w:pPr>
  </w:style>
  <w:style w:type="character" w:customStyle="1" w:styleId="BbodytextChar">
    <w:name w:val="B_body_text Char"/>
    <w:basedOn w:val="DefaultParagraphFont"/>
    <w:link w:val="Bbodytext"/>
    <w:rsid w:val="001B45B0"/>
    <w:rPr>
      <w:sz w:val="24"/>
    </w:rPr>
  </w:style>
  <w:style w:type="paragraph" w:styleId="Header">
    <w:name w:val="header"/>
    <w:basedOn w:val="Normal"/>
    <w:link w:val="HeaderChar"/>
    <w:uiPriority w:val="99"/>
    <w:unhideWhenUsed/>
    <w:rsid w:val="00C339EF"/>
    <w:pPr>
      <w:tabs>
        <w:tab w:val="center" w:pos="4513"/>
        <w:tab w:val="right" w:pos="9026"/>
      </w:tabs>
      <w:spacing w:after="0" w:line="240" w:lineRule="auto"/>
    </w:pPr>
  </w:style>
  <w:style w:type="character" w:customStyle="1" w:styleId="BBullet1Char">
    <w:name w:val="B_Bullet_1 Char"/>
    <w:basedOn w:val="BbodytextChar"/>
    <w:link w:val="BBullet1"/>
    <w:rsid w:val="00E53996"/>
    <w:rPr>
      <w:sz w:val="24"/>
    </w:rPr>
  </w:style>
  <w:style w:type="character" w:customStyle="1" w:styleId="HeaderChar">
    <w:name w:val="Header Char"/>
    <w:basedOn w:val="DefaultParagraphFont"/>
    <w:link w:val="Header"/>
    <w:uiPriority w:val="99"/>
    <w:rsid w:val="00C339EF"/>
  </w:style>
  <w:style w:type="paragraph" w:styleId="Footer">
    <w:name w:val="footer"/>
    <w:basedOn w:val="Normal"/>
    <w:link w:val="FooterChar"/>
    <w:uiPriority w:val="99"/>
    <w:unhideWhenUsed/>
    <w:rsid w:val="00C339EF"/>
    <w:pPr>
      <w:tabs>
        <w:tab w:val="center" w:pos="4513"/>
        <w:tab w:val="right" w:pos="9026"/>
      </w:tabs>
      <w:spacing w:after="0" w:line="240" w:lineRule="auto"/>
    </w:pPr>
  </w:style>
  <w:style w:type="character" w:customStyle="1" w:styleId="FooterChar">
    <w:name w:val="Footer Char"/>
    <w:basedOn w:val="DefaultParagraphFont"/>
    <w:link w:val="Footer"/>
    <w:uiPriority w:val="99"/>
    <w:rsid w:val="00C339EF"/>
  </w:style>
  <w:style w:type="paragraph" w:styleId="BalloonText">
    <w:name w:val="Balloon Text"/>
    <w:basedOn w:val="Normal"/>
    <w:link w:val="BalloonTextChar"/>
    <w:uiPriority w:val="99"/>
    <w:unhideWhenUsed/>
    <w:rsid w:val="00132947"/>
    <w:pPr>
      <w:spacing w:after="0" w:line="240" w:lineRule="auto"/>
    </w:pPr>
    <w:rPr>
      <w:rFonts w:ascii="Segoe UI" w:hAnsi="Segoe UI" w:cs="Segoe UI"/>
      <w:sz w:val="18"/>
      <w:szCs w:val="18"/>
    </w:rPr>
  </w:style>
  <w:style w:type="paragraph" w:customStyle="1" w:styleId="BFooter">
    <w:name w:val="B_Footer"/>
    <w:basedOn w:val="Footer"/>
    <w:link w:val="BFooterChar"/>
    <w:qFormat/>
    <w:rsid w:val="005F3FB2"/>
    <w:pPr>
      <w:ind w:left="-284" w:right="-329"/>
    </w:pPr>
    <w:rPr>
      <w:sz w:val="20"/>
    </w:rPr>
  </w:style>
  <w:style w:type="character" w:customStyle="1" w:styleId="BalloonTextChar">
    <w:name w:val="Balloon Text Char"/>
    <w:basedOn w:val="DefaultParagraphFont"/>
    <w:link w:val="BalloonText"/>
    <w:uiPriority w:val="99"/>
    <w:rsid w:val="00132947"/>
    <w:rPr>
      <w:rFonts w:ascii="Segoe UI" w:hAnsi="Segoe UI" w:cs="Segoe UI"/>
      <w:sz w:val="18"/>
      <w:szCs w:val="18"/>
    </w:rPr>
  </w:style>
  <w:style w:type="character" w:customStyle="1" w:styleId="Heading1Char">
    <w:name w:val="Heading 1 Char"/>
    <w:basedOn w:val="DefaultParagraphFont"/>
    <w:link w:val="Heading1"/>
    <w:uiPriority w:val="9"/>
    <w:rsid w:val="00CB4C52"/>
    <w:rPr>
      <w:rFonts w:ascii="Calibri" w:eastAsiaTheme="majorEastAsia" w:hAnsi="Calibri" w:cstheme="majorBidi"/>
      <w:b/>
      <w:caps/>
      <w:kern w:val="28"/>
      <w:sz w:val="36"/>
      <w:szCs w:val="32"/>
    </w:rPr>
  </w:style>
  <w:style w:type="character" w:customStyle="1" w:styleId="BFooterChar">
    <w:name w:val="B_Footer Char"/>
    <w:basedOn w:val="FooterChar"/>
    <w:link w:val="BFooter"/>
    <w:rsid w:val="005F3FB2"/>
    <w:rPr>
      <w:sz w:val="20"/>
    </w:rPr>
  </w:style>
  <w:style w:type="paragraph" w:customStyle="1" w:styleId="BBullet2">
    <w:name w:val="B_Bullet_2"/>
    <w:basedOn w:val="BBullet1"/>
    <w:link w:val="BBullet2Char"/>
    <w:qFormat/>
    <w:rsid w:val="00E53996"/>
    <w:pPr>
      <w:numPr>
        <w:numId w:val="2"/>
      </w:numPr>
      <w:ind w:left="1134" w:hanging="567"/>
    </w:pPr>
  </w:style>
  <w:style w:type="character" w:customStyle="1" w:styleId="BBullet2Char">
    <w:name w:val="B_Bullet_2 Char"/>
    <w:basedOn w:val="BBullet1Char"/>
    <w:link w:val="BBullet2"/>
    <w:rsid w:val="00E53996"/>
    <w:rPr>
      <w:sz w:val="24"/>
    </w:rPr>
  </w:style>
  <w:style w:type="character" w:customStyle="1" w:styleId="Heading2Char">
    <w:name w:val="Heading 2 Char"/>
    <w:basedOn w:val="DefaultParagraphFont"/>
    <w:link w:val="Heading2"/>
    <w:uiPriority w:val="9"/>
    <w:rsid w:val="00930757"/>
    <w:rPr>
      <w:rFonts w:ascii="Calibri" w:eastAsiaTheme="majorEastAsia" w:hAnsi="Calibri" w:cstheme="majorBidi"/>
      <w:b/>
      <w:caps/>
      <w:color w:val="472D8C"/>
      <w:sz w:val="36"/>
      <w:szCs w:val="26"/>
    </w:rPr>
  </w:style>
  <w:style w:type="character" w:customStyle="1" w:styleId="Heading3Char">
    <w:name w:val="Heading 3 Char"/>
    <w:basedOn w:val="DefaultParagraphFont"/>
    <w:link w:val="Heading3"/>
    <w:uiPriority w:val="9"/>
    <w:rsid w:val="00930757"/>
    <w:rPr>
      <w:rFonts w:ascii="Calibri" w:eastAsiaTheme="majorEastAsia" w:hAnsi="Calibri" w:cstheme="majorBidi"/>
      <w:b/>
      <w:color w:val="999789"/>
      <w:sz w:val="32"/>
      <w:szCs w:val="24"/>
    </w:rPr>
  </w:style>
  <w:style w:type="character" w:customStyle="1" w:styleId="Heading4Char">
    <w:name w:val="Heading 4 Char"/>
    <w:basedOn w:val="DefaultParagraphFont"/>
    <w:link w:val="Heading4"/>
    <w:uiPriority w:val="9"/>
    <w:rsid w:val="00872559"/>
    <w:rPr>
      <w:rFonts w:ascii="Calibri" w:eastAsiaTheme="majorEastAsia" w:hAnsi="Calibri" w:cstheme="majorBidi"/>
      <w:b/>
      <w:iCs/>
      <w:sz w:val="28"/>
    </w:rPr>
  </w:style>
  <w:style w:type="paragraph" w:styleId="Caption">
    <w:name w:val="caption"/>
    <w:basedOn w:val="Normal"/>
    <w:next w:val="Normal"/>
    <w:unhideWhenUsed/>
    <w:qFormat/>
    <w:rsid w:val="00111524"/>
    <w:pPr>
      <w:keepNext/>
      <w:spacing w:before="240" w:after="200" w:line="240" w:lineRule="auto"/>
    </w:pPr>
    <w:rPr>
      <w:b/>
      <w:iCs/>
      <w:color w:val="472D8C"/>
      <w:szCs w:val="18"/>
    </w:rPr>
  </w:style>
  <w:style w:type="paragraph" w:customStyle="1" w:styleId="BTableHeadingRowRightAligned">
    <w:name w:val="B_Table Heading Row Right Aligned"/>
    <w:basedOn w:val="Normal"/>
    <w:qFormat/>
    <w:rsid w:val="006925B5"/>
    <w:pPr>
      <w:spacing w:after="0" w:line="240" w:lineRule="auto"/>
      <w:ind w:left="227" w:hanging="227"/>
      <w:jc w:val="right"/>
    </w:pPr>
    <w:rPr>
      <w:rFonts w:ascii="Calibri" w:hAnsi="Calibri"/>
      <w:b/>
      <w:sz w:val="20"/>
    </w:rPr>
  </w:style>
  <w:style w:type="paragraph" w:customStyle="1" w:styleId="BTableHeadingRowCentreAligned">
    <w:name w:val="B_Table Heading Row Centre Aligned"/>
    <w:basedOn w:val="BTableHeadingRowRightAligned"/>
    <w:qFormat/>
    <w:rsid w:val="00EC74DB"/>
    <w:pPr>
      <w:jc w:val="center"/>
    </w:pPr>
  </w:style>
  <w:style w:type="paragraph" w:customStyle="1" w:styleId="Btabletextbold">
    <w:name w:val="B_table text bold"/>
    <w:basedOn w:val="Normal"/>
    <w:qFormat/>
    <w:rsid w:val="006925B5"/>
    <w:pPr>
      <w:spacing w:after="0" w:line="240" w:lineRule="auto"/>
      <w:ind w:left="227" w:hanging="227"/>
    </w:pPr>
    <w:rPr>
      <w:rFonts w:ascii="Calibri" w:hAnsi="Calibri"/>
      <w:b/>
      <w:sz w:val="20"/>
    </w:rPr>
  </w:style>
  <w:style w:type="paragraph" w:customStyle="1" w:styleId="Btabletextunbold">
    <w:name w:val="B_ table text unbold"/>
    <w:basedOn w:val="Btabletextbold"/>
    <w:qFormat/>
    <w:rsid w:val="006925B5"/>
    <w:rPr>
      <w:b w:val="0"/>
    </w:rPr>
  </w:style>
  <w:style w:type="paragraph" w:customStyle="1" w:styleId="Style1">
    <w:name w:val="Style1"/>
    <w:basedOn w:val="Btabletextunbold"/>
    <w:link w:val="Style1Char"/>
    <w:qFormat/>
    <w:rsid w:val="00EC74DB"/>
  </w:style>
  <w:style w:type="paragraph" w:customStyle="1" w:styleId="Btablefigureunbold">
    <w:name w:val="B_table figure unbold"/>
    <w:basedOn w:val="Btabletextunbold"/>
    <w:qFormat/>
    <w:rsid w:val="006925B5"/>
    <w:pPr>
      <w:jc w:val="right"/>
    </w:pPr>
  </w:style>
  <w:style w:type="paragraph" w:customStyle="1" w:styleId="BNote">
    <w:name w:val="B_Note"/>
    <w:basedOn w:val="Normal"/>
    <w:qFormat/>
    <w:rsid w:val="006925B5"/>
    <w:pPr>
      <w:keepNext/>
      <w:spacing w:after="0" w:line="240" w:lineRule="auto"/>
    </w:pPr>
    <w:rPr>
      <w:rFonts w:ascii="Calibri" w:hAnsi="Calibri"/>
      <w:sz w:val="18"/>
    </w:rPr>
  </w:style>
  <w:style w:type="paragraph" w:customStyle="1" w:styleId="BNoteBold">
    <w:name w:val="B_Note Bold"/>
    <w:basedOn w:val="Normal"/>
    <w:qFormat/>
    <w:rsid w:val="006925B5"/>
    <w:pPr>
      <w:keepNext/>
      <w:spacing w:before="120" w:after="0" w:line="240" w:lineRule="auto"/>
    </w:pPr>
    <w:rPr>
      <w:rFonts w:ascii="Calibri" w:hAnsi="Calibri"/>
      <w:b/>
      <w:sz w:val="18"/>
    </w:rPr>
  </w:style>
  <w:style w:type="paragraph" w:customStyle="1" w:styleId="BNotelist">
    <w:name w:val="B_Note list"/>
    <w:basedOn w:val="BNoteBold"/>
    <w:qFormat/>
    <w:rsid w:val="006925B5"/>
    <w:pPr>
      <w:numPr>
        <w:numId w:val="3"/>
      </w:numPr>
      <w:spacing w:before="0"/>
    </w:pPr>
    <w:rPr>
      <w:b w:val="0"/>
    </w:rPr>
  </w:style>
  <w:style w:type="paragraph" w:styleId="IntenseQuote">
    <w:name w:val="Intense Quote"/>
    <w:basedOn w:val="Normal"/>
    <w:next w:val="Normal"/>
    <w:link w:val="IntenseQuoteChar"/>
    <w:uiPriority w:val="30"/>
    <w:rsid w:val="00E84C08"/>
    <w:pPr>
      <w:pBdr>
        <w:top w:val="single" w:sz="4" w:space="10" w:color="001889" w:themeColor="accent1"/>
        <w:bottom w:val="single" w:sz="4" w:space="10" w:color="001889" w:themeColor="accent1"/>
      </w:pBdr>
      <w:spacing w:before="360" w:after="360"/>
      <w:ind w:left="864" w:right="864"/>
      <w:jc w:val="center"/>
    </w:pPr>
    <w:rPr>
      <w:i/>
      <w:iCs/>
      <w:color w:val="001889" w:themeColor="accent1"/>
    </w:rPr>
  </w:style>
  <w:style w:type="character" w:customStyle="1" w:styleId="IntenseQuoteChar">
    <w:name w:val="Intense Quote Char"/>
    <w:basedOn w:val="DefaultParagraphFont"/>
    <w:link w:val="IntenseQuote"/>
    <w:uiPriority w:val="30"/>
    <w:rsid w:val="00E84C08"/>
    <w:rPr>
      <w:i/>
      <w:iCs/>
      <w:color w:val="001889" w:themeColor="accent1"/>
    </w:rPr>
  </w:style>
  <w:style w:type="paragraph" w:customStyle="1" w:styleId="BTablefigureBold">
    <w:name w:val="B_Table figure Bold"/>
    <w:basedOn w:val="Btablefigureunbold"/>
    <w:qFormat/>
    <w:rsid w:val="00B23F5E"/>
    <w:rPr>
      <w:b/>
    </w:rPr>
  </w:style>
  <w:style w:type="paragraph" w:customStyle="1" w:styleId="BCoversheetHeading1">
    <w:name w:val="B_Coversheet Heading 1"/>
    <w:basedOn w:val="Normal"/>
    <w:qFormat/>
    <w:rsid w:val="00F54EBE"/>
    <w:pPr>
      <w:spacing w:before="480" w:after="1080"/>
      <w:jc w:val="center"/>
    </w:pPr>
    <w:rPr>
      <w:rFonts w:ascii="Calibri" w:hAnsi="Calibri"/>
      <w:b/>
      <w:sz w:val="36"/>
    </w:rPr>
  </w:style>
  <w:style w:type="paragraph" w:customStyle="1" w:styleId="BCoversheetHeading2">
    <w:name w:val="B_Coversheet Heading 2"/>
    <w:basedOn w:val="BCoversheetHeading1"/>
    <w:qFormat/>
    <w:rsid w:val="00F54EBE"/>
    <w:pPr>
      <w:spacing w:before="240" w:after="480" w:line="240" w:lineRule="auto"/>
      <w:jc w:val="left"/>
    </w:pPr>
    <w:rPr>
      <w:sz w:val="28"/>
    </w:rPr>
  </w:style>
  <w:style w:type="character" w:customStyle="1" w:styleId="Heading5Char">
    <w:name w:val="Heading 5 Char"/>
    <w:basedOn w:val="DefaultParagraphFont"/>
    <w:link w:val="Heading5"/>
    <w:uiPriority w:val="9"/>
    <w:rsid w:val="00872559"/>
    <w:rPr>
      <w:rFonts w:eastAsiaTheme="majorEastAsia" w:cstheme="majorBidi"/>
      <w:b/>
      <w:i/>
      <w:sz w:val="24"/>
    </w:rPr>
  </w:style>
  <w:style w:type="paragraph" w:customStyle="1" w:styleId="Btabletextitalic">
    <w:name w:val="B_table text italic"/>
    <w:basedOn w:val="Btabletextunbold"/>
    <w:qFormat/>
    <w:rsid w:val="00F54EBE"/>
    <w:rPr>
      <w:i/>
    </w:rPr>
  </w:style>
  <w:style w:type="paragraph" w:customStyle="1" w:styleId="Btabletextbolditalic">
    <w:name w:val="B_table text bold italic"/>
    <w:basedOn w:val="Btabletextunbold"/>
    <w:qFormat/>
    <w:rsid w:val="00F54EBE"/>
    <w:rPr>
      <w:b/>
      <w:i/>
    </w:rPr>
  </w:style>
  <w:style w:type="character" w:customStyle="1" w:styleId="Heading6Char">
    <w:name w:val="Heading 6 Char"/>
    <w:basedOn w:val="DefaultParagraphFont"/>
    <w:link w:val="Heading6"/>
    <w:uiPriority w:val="9"/>
    <w:rsid w:val="008E77B9"/>
    <w:rPr>
      <w:rFonts w:asciiTheme="majorHAnsi" w:eastAsiaTheme="majorEastAsia" w:hAnsiTheme="majorHAnsi" w:cstheme="majorBidi"/>
      <w:color w:val="000B44" w:themeColor="accent1" w:themeShade="7F"/>
    </w:rPr>
  </w:style>
  <w:style w:type="character" w:customStyle="1" w:styleId="Heading7Char">
    <w:name w:val="Heading 7 Char"/>
    <w:basedOn w:val="DefaultParagraphFont"/>
    <w:link w:val="Heading7"/>
    <w:uiPriority w:val="9"/>
    <w:rsid w:val="008E77B9"/>
    <w:rPr>
      <w:rFonts w:asciiTheme="majorHAnsi" w:eastAsiaTheme="majorEastAsia" w:hAnsiTheme="majorHAnsi" w:cstheme="majorBidi"/>
      <w:i/>
      <w:iCs/>
      <w:color w:val="000B44" w:themeColor="accent1" w:themeShade="7F"/>
    </w:rPr>
  </w:style>
  <w:style w:type="character" w:customStyle="1" w:styleId="Heading8Char">
    <w:name w:val="Heading 8 Char"/>
    <w:basedOn w:val="DefaultParagraphFont"/>
    <w:link w:val="Heading8"/>
    <w:uiPriority w:val="9"/>
    <w:rsid w:val="008E77B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8E77B9"/>
    <w:rPr>
      <w:rFonts w:asciiTheme="majorHAnsi" w:eastAsiaTheme="majorEastAsia" w:hAnsiTheme="majorHAnsi" w:cstheme="majorBidi"/>
      <w:i/>
      <w:iCs/>
      <w:color w:val="272727" w:themeColor="text1" w:themeTint="D8"/>
      <w:sz w:val="21"/>
      <w:szCs w:val="21"/>
    </w:rPr>
  </w:style>
  <w:style w:type="paragraph" w:customStyle="1" w:styleId="Emptycell">
    <w:name w:val="Empty cell"/>
    <w:basedOn w:val="Bbodytext"/>
    <w:qFormat/>
    <w:rsid w:val="004635D4"/>
    <w:pPr>
      <w:numPr>
        <w:numId w:val="5"/>
      </w:numPr>
    </w:pPr>
    <w:rPr>
      <w:color w:val="FFFFFF" w:themeColor="background1"/>
      <w:sz w:val="16"/>
    </w:rPr>
  </w:style>
  <w:style w:type="paragraph" w:styleId="FootnoteText">
    <w:name w:val="footnote text"/>
    <w:basedOn w:val="Normal"/>
    <w:link w:val="FootnoteTextChar"/>
    <w:uiPriority w:val="99"/>
    <w:unhideWhenUsed/>
    <w:rsid w:val="006E223A"/>
    <w:pPr>
      <w:spacing w:after="0" w:line="240" w:lineRule="auto"/>
    </w:pPr>
    <w:rPr>
      <w:sz w:val="20"/>
      <w:szCs w:val="20"/>
    </w:rPr>
  </w:style>
  <w:style w:type="character" w:customStyle="1" w:styleId="FootnoteTextChar">
    <w:name w:val="Footnote Text Char"/>
    <w:basedOn w:val="DefaultParagraphFont"/>
    <w:link w:val="FootnoteText"/>
    <w:uiPriority w:val="99"/>
    <w:rsid w:val="006E223A"/>
    <w:rPr>
      <w:sz w:val="20"/>
      <w:szCs w:val="20"/>
    </w:rPr>
  </w:style>
  <w:style w:type="character" w:styleId="FootnoteReference">
    <w:name w:val="footnote reference"/>
    <w:basedOn w:val="DefaultParagraphFont"/>
    <w:uiPriority w:val="99"/>
    <w:unhideWhenUsed/>
    <w:qFormat/>
    <w:rsid w:val="006E223A"/>
    <w:rPr>
      <w:vertAlign w:val="superscript"/>
    </w:rPr>
  </w:style>
  <w:style w:type="character" w:styleId="Hyperlink">
    <w:name w:val="Hyperlink"/>
    <w:basedOn w:val="DefaultParagraphFont"/>
    <w:uiPriority w:val="99"/>
    <w:unhideWhenUsed/>
    <w:rsid w:val="00EF169E"/>
    <w:rPr>
      <w:color w:val="0563C1" w:themeColor="hyperlink"/>
      <w:u w:val="single"/>
    </w:rPr>
  </w:style>
  <w:style w:type="character" w:styleId="UnresolvedMention">
    <w:name w:val="Unresolved Mention"/>
    <w:basedOn w:val="DefaultParagraphFont"/>
    <w:uiPriority w:val="99"/>
    <w:unhideWhenUsed/>
    <w:rsid w:val="00EF169E"/>
    <w:rPr>
      <w:color w:val="605E5C"/>
      <w:shd w:val="clear" w:color="auto" w:fill="E1DFDD"/>
    </w:rPr>
  </w:style>
  <w:style w:type="paragraph" w:styleId="Revision">
    <w:name w:val="Revision"/>
    <w:hidden/>
    <w:uiPriority w:val="99"/>
    <w:semiHidden/>
    <w:rsid w:val="00C46E7C"/>
    <w:pPr>
      <w:spacing w:after="0" w:line="240" w:lineRule="auto"/>
    </w:pPr>
  </w:style>
  <w:style w:type="character" w:customStyle="1" w:styleId="normaltextrun">
    <w:name w:val="normaltextrun"/>
    <w:basedOn w:val="DefaultParagraphFont"/>
    <w:rsid w:val="00D50810"/>
  </w:style>
  <w:style w:type="character" w:styleId="CommentReference">
    <w:name w:val="annotation reference"/>
    <w:basedOn w:val="DefaultParagraphFont"/>
    <w:uiPriority w:val="99"/>
    <w:unhideWhenUsed/>
    <w:rsid w:val="003443F5"/>
    <w:rPr>
      <w:sz w:val="16"/>
      <w:szCs w:val="16"/>
    </w:rPr>
  </w:style>
  <w:style w:type="paragraph" w:styleId="CommentText">
    <w:name w:val="annotation text"/>
    <w:basedOn w:val="Normal"/>
    <w:link w:val="CommentTextChar"/>
    <w:uiPriority w:val="99"/>
    <w:unhideWhenUsed/>
    <w:rsid w:val="003443F5"/>
    <w:pPr>
      <w:spacing w:line="240" w:lineRule="auto"/>
    </w:pPr>
    <w:rPr>
      <w:sz w:val="20"/>
      <w:szCs w:val="20"/>
    </w:rPr>
  </w:style>
  <w:style w:type="character" w:customStyle="1" w:styleId="CommentTextChar">
    <w:name w:val="Comment Text Char"/>
    <w:basedOn w:val="DefaultParagraphFont"/>
    <w:link w:val="CommentText"/>
    <w:uiPriority w:val="99"/>
    <w:rsid w:val="003443F5"/>
    <w:rPr>
      <w:sz w:val="20"/>
      <w:szCs w:val="20"/>
    </w:rPr>
  </w:style>
  <w:style w:type="paragraph" w:styleId="CommentSubject">
    <w:name w:val="annotation subject"/>
    <w:basedOn w:val="CommentText"/>
    <w:next w:val="CommentText"/>
    <w:link w:val="CommentSubjectChar"/>
    <w:uiPriority w:val="99"/>
    <w:unhideWhenUsed/>
    <w:rsid w:val="003443F5"/>
    <w:rPr>
      <w:b/>
      <w:bCs/>
    </w:rPr>
  </w:style>
  <w:style w:type="character" w:customStyle="1" w:styleId="CommentSubjectChar">
    <w:name w:val="Comment Subject Char"/>
    <w:basedOn w:val="CommentTextChar"/>
    <w:link w:val="CommentSubject"/>
    <w:uiPriority w:val="99"/>
    <w:rsid w:val="003443F5"/>
    <w:rPr>
      <w:b/>
      <w:bCs/>
      <w:sz w:val="20"/>
      <w:szCs w:val="20"/>
    </w:rPr>
  </w:style>
  <w:style w:type="paragraph" w:styleId="TOC2">
    <w:name w:val="toc 2"/>
    <w:basedOn w:val="Normal"/>
    <w:next w:val="Normal"/>
    <w:autoRedefine/>
    <w:uiPriority w:val="39"/>
    <w:unhideWhenUsed/>
    <w:qFormat/>
    <w:rsid w:val="0021716C"/>
    <w:pPr>
      <w:spacing w:after="100" w:line="256" w:lineRule="auto"/>
      <w:ind w:left="220"/>
    </w:pPr>
  </w:style>
  <w:style w:type="paragraph" w:styleId="ListParagraph">
    <w:name w:val="List Paragraph"/>
    <w:aliases w:val="List Paragraph1,Recommendation,List Paragraph11,List Paragraph111,L,F5 List Paragraph,Dot pt,CV text,Table text,Medium Grid 1 - Accent 21,Numbered Paragraph,List Paragraph2,NFP GP Bulleted List,FooterText,numbered,Paragraphe de liste1,列出段"/>
    <w:basedOn w:val="Normal"/>
    <w:link w:val="ListParagraphChar"/>
    <w:uiPriority w:val="34"/>
    <w:qFormat/>
    <w:rsid w:val="00CF0E2D"/>
    <w:pPr>
      <w:ind w:left="720"/>
      <w:contextualSpacing/>
    </w:pPr>
  </w:style>
  <w:style w:type="character" w:customStyle="1" w:styleId="ListParagraphChar">
    <w:name w:val="List Paragraph Char"/>
    <w:aliases w:val="List Paragraph1 Char,Recommendation Char,List Paragraph11 Char,List Paragraph111 Char,L Char,F5 List Paragraph Char,Dot pt Char,CV text Char,Table text Char,Medium Grid 1 - Accent 21 Char,Numbered Paragraph Char,List Paragraph2 Char"/>
    <w:link w:val="ListParagraph"/>
    <w:uiPriority w:val="34"/>
    <w:qFormat/>
    <w:rsid w:val="00CF0E2D"/>
  </w:style>
  <w:style w:type="paragraph" w:customStyle="1" w:styleId="bodytextreverse">
    <w:name w:val="body text reverse"/>
    <w:basedOn w:val="Normal"/>
    <w:qFormat/>
    <w:rsid w:val="00CF0E2D"/>
    <w:pPr>
      <w:spacing w:after="200" w:line="270" w:lineRule="exact"/>
    </w:pPr>
    <w:rPr>
      <w:rFonts w:cs="Times New Roman"/>
      <w:noProof/>
      <w:kern w:val="22"/>
      <w:szCs w:val="21"/>
      <w:lang w:eastAsia="en-AU"/>
    </w:rPr>
  </w:style>
  <w:style w:type="paragraph" w:styleId="NormalWeb">
    <w:name w:val="Normal (Web)"/>
    <w:basedOn w:val="Normal"/>
    <w:uiPriority w:val="99"/>
    <w:unhideWhenUsed/>
    <w:rsid w:val="00CF0E2D"/>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TOCHeading">
    <w:name w:val="TOC Heading"/>
    <w:basedOn w:val="Heading1"/>
    <w:next w:val="Normal"/>
    <w:uiPriority w:val="39"/>
    <w:unhideWhenUsed/>
    <w:qFormat/>
    <w:rsid w:val="00CF0E2D"/>
    <w:pPr>
      <w:numPr>
        <w:numId w:val="0"/>
      </w:numPr>
      <w:spacing w:before="240" w:after="0" w:line="259" w:lineRule="auto"/>
      <w:outlineLvl w:val="9"/>
    </w:pPr>
    <w:rPr>
      <w:rFonts w:asciiTheme="majorHAnsi" w:hAnsiTheme="majorHAnsi"/>
      <w:b w:val="0"/>
      <w:caps w:val="0"/>
      <w:color w:val="001166" w:themeColor="accent1" w:themeShade="BF"/>
      <w:kern w:val="0"/>
      <w:sz w:val="32"/>
      <w:lang w:val="en-US"/>
    </w:rPr>
  </w:style>
  <w:style w:type="paragraph" w:styleId="TOC3">
    <w:name w:val="toc 3"/>
    <w:basedOn w:val="Normal"/>
    <w:next w:val="Normal"/>
    <w:autoRedefine/>
    <w:uiPriority w:val="39"/>
    <w:unhideWhenUsed/>
    <w:rsid w:val="00CF0E2D"/>
    <w:pPr>
      <w:spacing w:after="100"/>
      <w:ind w:left="440"/>
    </w:pPr>
  </w:style>
  <w:style w:type="paragraph" w:styleId="TOC1">
    <w:name w:val="toc 1"/>
    <w:basedOn w:val="Normal"/>
    <w:next w:val="Normal"/>
    <w:autoRedefine/>
    <w:uiPriority w:val="39"/>
    <w:unhideWhenUsed/>
    <w:qFormat/>
    <w:rsid w:val="00CF0E2D"/>
    <w:pPr>
      <w:spacing w:after="100"/>
    </w:pPr>
  </w:style>
  <w:style w:type="character" w:customStyle="1" w:styleId="heading10">
    <w:name w:val="heading1"/>
    <w:basedOn w:val="DefaultParagraphFont"/>
    <w:rsid w:val="00CF0E2D"/>
    <w:rPr>
      <w:rFonts w:ascii="Calibri" w:hAnsi="Calibri" w:cs="Calibri" w:hint="default"/>
      <w:b/>
      <w:bCs/>
      <w:i w:val="0"/>
      <w:iCs w:val="0"/>
      <w:smallCaps w:val="0"/>
      <w:color w:val="000000"/>
      <w:sz w:val="48"/>
      <w:szCs w:val="48"/>
    </w:rPr>
  </w:style>
  <w:style w:type="paragraph" w:customStyle="1" w:styleId="xmsonormal">
    <w:name w:val="x_msonormal"/>
    <w:basedOn w:val="Normal"/>
    <w:uiPriority w:val="99"/>
    <w:semiHidden/>
    <w:rsid w:val="00CF0E2D"/>
    <w:pPr>
      <w:spacing w:after="0" w:line="240" w:lineRule="auto"/>
    </w:pPr>
    <w:rPr>
      <w:rFonts w:ascii="Calibri" w:hAnsi="Calibri" w:cs="Calibri"/>
      <w:lang w:eastAsia="en-AU"/>
    </w:rPr>
  </w:style>
  <w:style w:type="paragraph" w:customStyle="1" w:styleId="EmptyCell0">
    <w:name w:val="Empty Cell"/>
    <w:basedOn w:val="Normal"/>
    <w:qFormat/>
    <w:rsid w:val="00CF0E2D"/>
    <w:pPr>
      <w:spacing w:after="0" w:line="240" w:lineRule="auto"/>
      <w:jc w:val="right"/>
    </w:pPr>
    <w:rPr>
      <w:rFonts w:ascii="Calibri" w:eastAsia="Times New Roman" w:hAnsi="Calibri" w:cs="Calibri"/>
      <w:color w:val="FFFFFF"/>
      <w:sz w:val="12"/>
      <w:szCs w:val="20"/>
    </w:rPr>
  </w:style>
  <w:style w:type="paragraph" w:customStyle="1" w:styleId="InitTextL">
    <w:name w:val="Init Text L"/>
    <w:basedOn w:val="Normal"/>
    <w:qFormat/>
    <w:rsid w:val="00CF0E2D"/>
    <w:pPr>
      <w:spacing w:after="0" w:line="240" w:lineRule="auto"/>
    </w:pPr>
    <w:rPr>
      <w:rFonts w:ascii="Calibri" w:eastAsia="Times New Roman" w:hAnsi="Calibri" w:cs="Times New Roman"/>
      <w:sz w:val="24"/>
      <w:szCs w:val="20"/>
    </w:rPr>
  </w:style>
  <w:style w:type="paragraph" w:customStyle="1" w:styleId="InitFigR">
    <w:name w:val="Init Fig R"/>
    <w:basedOn w:val="InitTextL"/>
    <w:qFormat/>
    <w:rsid w:val="00CF0E2D"/>
    <w:pPr>
      <w:jc w:val="right"/>
    </w:pPr>
  </w:style>
  <w:style w:type="paragraph" w:customStyle="1" w:styleId="InitFigBR">
    <w:name w:val="Init Fig BR"/>
    <w:basedOn w:val="InitFigR"/>
    <w:qFormat/>
    <w:rsid w:val="00CF0E2D"/>
    <w:rPr>
      <w:b/>
    </w:rPr>
  </w:style>
  <w:style w:type="paragraph" w:customStyle="1" w:styleId="InitFigLBold">
    <w:name w:val="Init Fig L Bold"/>
    <w:basedOn w:val="InitTextL"/>
    <w:qFormat/>
    <w:rsid w:val="00CF0E2D"/>
    <w:rPr>
      <w:b/>
    </w:rPr>
  </w:style>
  <w:style w:type="paragraph" w:customStyle="1" w:styleId="InitFigRBold">
    <w:name w:val="Init Fig R Bold"/>
    <w:basedOn w:val="InitFigR"/>
    <w:qFormat/>
    <w:rsid w:val="00CF0E2D"/>
    <w:rPr>
      <w:b/>
    </w:rPr>
  </w:style>
  <w:style w:type="paragraph" w:customStyle="1" w:styleId="CSTalkingPoints">
    <w:name w:val="CS Talking Points"/>
    <w:basedOn w:val="Normal"/>
    <w:qFormat/>
    <w:rsid w:val="00CF0E2D"/>
    <w:pPr>
      <w:numPr>
        <w:numId w:val="31"/>
      </w:numPr>
      <w:spacing w:after="120" w:line="240" w:lineRule="auto"/>
    </w:pPr>
    <w:rPr>
      <w:rFonts w:ascii="Calibri" w:hAnsi="Calibri" w:cs="Calibri"/>
      <w:sz w:val="28"/>
      <w:szCs w:val="28"/>
      <w:lang w:eastAsia="en-AU"/>
    </w:rPr>
  </w:style>
  <w:style w:type="paragraph" w:customStyle="1" w:styleId="Recommendation2">
    <w:name w:val="Recommendation 2"/>
    <w:qFormat/>
    <w:rsid w:val="00CF0E2D"/>
    <w:pPr>
      <w:numPr>
        <w:numId w:val="32"/>
      </w:numPr>
      <w:tabs>
        <w:tab w:val="left" w:pos="851"/>
      </w:tabs>
      <w:spacing w:before="120" w:after="0" w:line="276" w:lineRule="auto"/>
    </w:pPr>
    <w:rPr>
      <w:rFonts w:eastAsiaTheme="minorEastAsia"/>
      <w:sz w:val="24"/>
      <w:szCs w:val="24"/>
    </w:rPr>
  </w:style>
  <w:style w:type="table" w:styleId="TableGrid">
    <w:name w:val="Table Grid"/>
    <w:basedOn w:val="TableNormal"/>
    <w:rsid w:val="00CF0E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A60D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Stablefigures">
    <w:name w:val="BS_table figures"/>
    <w:basedOn w:val="BStabletext"/>
    <w:link w:val="BStablefiguresChar"/>
    <w:autoRedefine/>
    <w:qFormat/>
    <w:rsid w:val="00A60D4B"/>
    <w:rPr>
      <w:b/>
    </w:rPr>
  </w:style>
  <w:style w:type="paragraph" w:customStyle="1" w:styleId="BStabletext">
    <w:name w:val="BS_table text"/>
    <w:basedOn w:val="Normal"/>
    <w:link w:val="BStabletextChar"/>
    <w:autoRedefine/>
    <w:qFormat/>
    <w:rsid w:val="006F1DF8"/>
    <w:pPr>
      <w:spacing w:after="0" w:line="240" w:lineRule="auto"/>
      <w:ind w:left="227" w:hanging="227"/>
    </w:pPr>
    <w:rPr>
      <w:rFonts w:ascii="Calibri" w:eastAsia="Times New Roman" w:hAnsi="Calibri" w:cs="Times New Roman"/>
      <w:bCs/>
      <w:sz w:val="20"/>
      <w:szCs w:val="20"/>
      <w:lang w:eastAsia="en-AU"/>
    </w:rPr>
  </w:style>
  <w:style w:type="character" w:customStyle="1" w:styleId="BStabletextChar">
    <w:name w:val="BS_table text Char"/>
    <w:link w:val="BStabletext"/>
    <w:rsid w:val="006F1DF8"/>
    <w:rPr>
      <w:rFonts w:ascii="Calibri" w:eastAsia="Times New Roman" w:hAnsi="Calibri" w:cs="Times New Roman"/>
      <w:bCs/>
      <w:sz w:val="20"/>
      <w:szCs w:val="20"/>
      <w:lang w:eastAsia="en-AU"/>
    </w:rPr>
  </w:style>
  <w:style w:type="character" w:customStyle="1" w:styleId="BStablefiguresChar">
    <w:name w:val="BS_table figures Char"/>
    <w:basedOn w:val="DefaultParagraphFont"/>
    <w:link w:val="BStablefigures"/>
    <w:rsid w:val="00A60D4B"/>
    <w:rPr>
      <w:rFonts w:ascii="Calibri" w:eastAsia="Times New Roman" w:hAnsi="Calibri" w:cs="Times New Roman"/>
      <w:sz w:val="20"/>
      <w:szCs w:val="20"/>
      <w:lang w:eastAsia="en-AU"/>
    </w:rPr>
  </w:style>
  <w:style w:type="paragraph" w:customStyle="1" w:styleId="BStabletextbold">
    <w:name w:val="BS_table text bold"/>
    <w:basedOn w:val="BStabletext"/>
    <w:link w:val="BStabletextboldChar"/>
    <w:qFormat/>
    <w:rsid w:val="00A60D4B"/>
    <w:rPr>
      <w:b/>
    </w:rPr>
  </w:style>
  <w:style w:type="paragraph" w:customStyle="1" w:styleId="BStablefiguresbold">
    <w:name w:val="BS_table figures bold"/>
    <w:basedOn w:val="BStablefigures"/>
    <w:link w:val="BStablefiguresboldChar"/>
    <w:qFormat/>
    <w:rsid w:val="00A60D4B"/>
    <w:rPr>
      <w:b w:val="0"/>
    </w:rPr>
  </w:style>
  <w:style w:type="character" w:customStyle="1" w:styleId="BStablefiguresboldChar">
    <w:name w:val="BS_table figures bold Char"/>
    <w:link w:val="BStablefiguresbold"/>
    <w:rsid w:val="00A60D4B"/>
    <w:rPr>
      <w:rFonts w:ascii="Calibri" w:eastAsia="Times New Roman" w:hAnsi="Calibri" w:cs="Times New Roman"/>
      <w:b/>
      <w:sz w:val="20"/>
      <w:szCs w:val="20"/>
      <w:lang w:eastAsia="en-AU"/>
    </w:rPr>
  </w:style>
  <w:style w:type="character" w:customStyle="1" w:styleId="BStabletextboldChar">
    <w:name w:val="BS_table text bold Char"/>
    <w:link w:val="BStabletextbold"/>
    <w:rsid w:val="00A60D4B"/>
    <w:rPr>
      <w:rFonts w:ascii="Calibri" w:eastAsia="Times New Roman" w:hAnsi="Calibri" w:cs="Times New Roman"/>
      <w:sz w:val="20"/>
      <w:szCs w:val="20"/>
      <w:lang w:eastAsia="en-AU"/>
    </w:rPr>
  </w:style>
  <w:style w:type="paragraph" w:customStyle="1" w:styleId="BStableindent">
    <w:name w:val="BS table indent"/>
    <w:basedOn w:val="Normal"/>
    <w:qFormat/>
    <w:rsid w:val="00A60D4B"/>
    <w:pPr>
      <w:spacing w:after="0" w:line="240" w:lineRule="auto"/>
      <w:ind w:left="421" w:hanging="227"/>
    </w:pPr>
    <w:rPr>
      <w:rFonts w:ascii="Calibri" w:eastAsia="Times New Roman" w:hAnsi="Calibri" w:cs="Times New Roman"/>
      <w:bCs/>
      <w:sz w:val="20"/>
      <w:szCs w:val="20"/>
      <w:lang w:val="x-none"/>
    </w:rPr>
  </w:style>
  <w:style w:type="paragraph" w:customStyle="1" w:styleId="BSbullet1">
    <w:name w:val="BS_bullet 1"/>
    <w:basedOn w:val="BodyTextIndent"/>
    <w:link w:val="BSbullet1Char"/>
    <w:qFormat/>
    <w:rsid w:val="00A60D4B"/>
    <w:pPr>
      <w:numPr>
        <w:numId w:val="40"/>
      </w:numPr>
      <w:spacing w:before="200" w:line="240" w:lineRule="auto"/>
    </w:pPr>
    <w:rPr>
      <w:rFonts w:ascii="Calibri" w:eastAsia="Times New Roman" w:hAnsi="Calibri" w:cs="Times New Roman"/>
      <w:sz w:val="24"/>
      <w:szCs w:val="24"/>
      <w:lang w:val="x-none"/>
    </w:rPr>
  </w:style>
  <w:style w:type="character" w:customStyle="1" w:styleId="BSbullet1Char">
    <w:name w:val="BS_bullet 1 Char"/>
    <w:link w:val="BSbullet1"/>
    <w:rsid w:val="00A60D4B"/>
    <w:rPr>
      <w:rFonts w:ascii="Calibri" w:eastAsia="Times New Roman" w:hAnsi="Calibri" w:cs="Times New Roman"/>
      <w:sz w:val="24"/>
      <w:szCs w:val="24"/>
      <w:lang w:val="x-none"/>
    </w:rPr>
  </w:style>
  <w:style w:type="paragraph" w:customStyle="1" w:styleId="BTableHeadingRowCentreAlign">
    <w:name w:val="B_Table Heading Row Centre Align"/>
    <w:basedOn w:val="BTableHeadingRowCentreAligned"/>
    <w:qFormat/>
    <w:rsid w:val="00A60D4B"/>
  </w:style>
  <w:style w:type="paragraph" w:styleId="BodyTextIndent">
    <w:name w:val="Body Text Indent"/>
    <w:basedOn w:val="Normal"/>
    <w:link w:val="BodyTextIndentChar"/>
    <w:uiPriority w:val="99"/>
    <w:unhideWhenUsed/>
    <w:rsid w:val="00A60D4B"/>
    <w:pPr>
      <w:spacing w:after="120"/>
      <w:ind w:left="283"/>
    </w:pPr>
  </w:style>
  <w:style w:type="character" w:customStyle="1" w:styleId="BodyTextIndentChar">
    <w:name w:val="Body Text Indent Char"/>
    <w:basedOn w:val="DefaultParagraphFont"/>
    <w:link w:val="BodyTextIndent"/>
    <w:uiPriority w:val="99"/>
    <w:rsid w:val="00A60D4B"/>
  </w:style>
  <w:style w:type="paragraph" w:customStyle="1" w:styleId="BSnoteslist">
    <w:name w:val="BS_notes list"/>
    <w:basedOn w:val="Normal"/>
    <w:link w:val="BSnoteslistChar"/>
    <w:qFormat/>
    <w:rsid w:val="00A60D4B"/>
    <w:pPr>
      <w:numPr>
        <w:numId w:val="42"/>
      </w:numPr>
      <w:spacing w:after="0" w:line="240" w:lineRule="auto"/>
    </w:pPr>
    <w:rPr>
      <w:rFonts w:ascii="Calibri" w:eastAsia="Times New Roman" w:hAnsi="Calibri" w:cs="Times New Roman"/>
      <w:sz w:val="18"/>
      <w:szCs w:val="24"/>
      <w:lang w:val="x-none"/>
    </w:rPr>
  </w:style>
  <w:style w:type="character" w:customStyle="1" w:styleId="BSnoteslistChar">
    <w:name w:val="BS_notes list Char"/>
    <w:basedOn w:val="DefaultParagraphFont"/>
    <w:link w:val="BSnoteslist"/>
    <w:rsid w:val="00A60D4B"/>
    <w:rPr>
      <w:rFonts w:ascii="Calibri" w:eastAsia="Times New Roman" w:hAnsi="Calibri" w:cs="Times New Roman"/>
      <w:sz w:val="18"/>
      <w:szCs w:val="24"/>
      <w:lang w:val="x-none"/>
    </w:rPr>
  </w:style>
  <w:style w:type="paragraph" w:customStyle="1" w:styleId="BStableheading">
    <w:name w:val="BS_table heading"/>
    <w:basedOn w:val="Normal"/>
    <w:link w:val="BStableheadingChar"/>
    <w:qFormat/>
    <w:rsid w:val="00A60D4B"/>
    <w:pPr>
      <w:framePr w:wrap="around" w:vAnchor="text" w:hAnchor="text" w:y="1"/>
      <w:spacing w:after="0" w:line="240" w:lineRule="auto"/>
      <w:jc w:val="right"/>
    </w:pPr>
    <w:rPr>
      <w:rFonts w:ascii="Calibri" w:eastAsia="Times New Roman" w:hAnsi="Calibri" w:cs="Times New Roman"/>
      <w:b/>
      <w:sz w:val="20"/>
      <w:szCs w:val="20"/>
    </w:rPr>
  </w:style>
  <w:style w:type="character" w:customStyle="1" w:styleId="BStableheadingChar">
    <w:name w:val="BS_table heading Char"/>
    <w:basedOn w:val="DefaultParagraphFont"/>
    <w:link w:val="BStableheading"/>
    <w:rsid w:val="00A60D4B"/>
    <w:rPr>
      <w:rFonts w:ascii="Calibri" w:eastAsia="Times New Roman" w:hAnsi="Calibri" w:cs="Times New Roman"/>
      <w:b/>
      <w:sz w:val="20"/>
      <w:szCs w:val="20"/>
    </w:rPr>
  </w:style>
  <w:style w:type="paragraph" w:customStyle="1" w:styleId="BSnote">
    <w:name w:val="BS_note"/>
    <w:basedOn w:val="NoteHeading"/>
    <w:link w:val="BSnoteChar"/>
    <w:qFormat/>
    <w:rsid w:val="00A60D4B"/>
    <w:pPr>
      <w:keepNext/>
      <w:spacing w:before="120"/>
    </w:pPr>
    <w:rPr>
      <w:rFonts w:ascii="Calibri" w:eastAsia="Times New Roman" w:hAnsi="Calibri" w:cs="Times New Roman"/>
      <w:b/>
      <w:sz w:val="18"/>
      <w:szCs w:val="16"/>
      <w:lang w:val="x-none"/>
    </w:rPr>
  </w:style>
  <w:style w:type="character" w:customStyle="1" w:styleId="BSnoteChar">
    <w:name w:val="BS_note Char"/>
    <w:link w:val="BSnote"/>
    <w:rsid w:val="00A60D4B"/>
    <w:rPr>
      <w:rFonts w:ascii="Calibri" w:eastAsia="Times New Roman" w:hAnsi="Calibri" w:cs="Times New Roman"/>
      <w:b/>
      <w:sz w:val="18"/>
      <w:szCs w:val="16"/>
      <w:lang w:val="x-none"/>
    </w:rPr>
  </w:style>
  <w:style w:type="paragraph" w:customStyle="1" w:styleId="BStabletextunbold">
    <w:name w:val="BS_table text unbold"/>
    <w:basedOn w:val="Normal"/>
    <w:qFormat/>
    <w:rsid w:val="00A60D4B"/>
    <w:pPr>
      <w:spacing w:after="0" w:line="240" w:lineRule="auto"/>
      <w:ind w:left="227" w:hanging="227"/>
    </w:pPr>
    <w:rPr>
      <w:rFonts w:ascii="Calibri" w:eastAsia="Times New Roman" w:hAnsi="Calibri" w:cs="Times New Roman"/>
      <w:bCs/>
      <w:sz w:val="20"/>
      <w:szCs w:val="20"/>
      <w:lang w:val="x-none"/>
    </w:rPr>
  </w:style>
  <w:style w:type="paragraph" w:styleId="NoteHeading">
    <w:name w:val="Note Heading"/>
    <w:basedOn w:val="Normal"/>
    <w:next w:val="Normal"/>
    <w:link w:val="NoteHeadingChar"/>
    <w:uiPriority w:val="99"/>
    <w:unhideWhenUsed/>
    <w:rsid w:val="00A60D4B"/>
    <w:pPr>
      <w:spacing w:after="0" w:line="240" w:lineRule="auto"/>
    </w:pPr>
  </w:style>
  <w:style w:type="character" w:customStyle="1" w:styleId="NoteHeadingChar">
    <w:name w:val="Note Heading Char"/>
    <w:basedOn w:val="DefaultParagraphFont"/>
    <w:link w:val="NoteHeading"/>
    <w:uiPriority w:val="99"/>
    <w:rsid w:val="00A60D4B"/>
  </w:style>
  <w:style w:type="paragraph" w:styleId="TOC4">
    <w:name w:val="toc 4"/>
    <w:basedOn w:val="Normal"/>
    <w:next w:val="Normal"/>
    <w:autoRedefine/>
    <w:uiPriority w:val="39"/>
    <w:unhideWhenUsed/>
    <w:rsid w:val="00A60D4B"/>
    <w:pPr>
      <w:spacing w:after="0"/>
      <w:ind w:left="660"/>
    </w:pPr>
    <w:rPr>
      <w:rFonts w:cstheme="minorHAnsi"/>
      <w:sz w:val="18"/>
      <w:szCs w:val="18"/>
    </w:rPr>
  </w:style>
  <w:style w:type="paragraph" w:styleId="TOC5">
    <w:name w:val="toc 5"/>
    <w:basedOn w:val="Normal"/>
    <w:next w:val="Normal"/>
    <w:autoRedefine/>
    <w:uiPriority w:val="39"/>
    <w:unhideWhenUsed/>
    <w:rsid w:val="00A60D4B"/>
    <w:pPr>
      <w:spacing w:after="0"/>
      <w:ind w:left="880"/>
    </w:pPr>
    <w:rPr>
      <w:rFonts w:cstheme="minorHAnsi"/>
      <w:sz w:val="18"/>
      <w:szCs w:val="18"/>
    </w:rPr>
  </w:style>
  <w:style w:type="paragraph" w:styleId="TOC6">
    <w:name w:val="toc 6"/>
    <w:basedOn w:val="Normal"/>
    <w:next w:val="Normal"/>
    <w:autoRedefine/>
    <w:uiPriority w:val="39"/>
    <w:unhideWhenUsed/>
    <w:rsid w:val="00A60D4B"/>
    <w:pPr>
      <w:spacing w:after="0"/>
      <w:ind w:left="1100"/>
    </w:pPr>
    <w:rPr>
      <w:rFonts w:cstheme="minorHAnsi"/>
      <w:sz w:val="18"/>
      <w:szCs w:val="18"/>
    </w:rPr>
  </w:style>
  <w:style w:type="paragraph" w:styleId="TOC7">
    <w:name w:val="toc 7"/>
    <w:basedOn w:val="Normal"/>
    <w:next w:val="Normal"/>
    <w:autoRedefine/>
    <w:uiPriority w:val="39"/>
    <w:unhideWhenUsed/>
    <w:rsid w:val="00A60D4B"/>
    <w:pPr>
      <w:spacing w:after="0"/>
      <w:ind w:left="1320"/>
    </w:pPr>
    <w:rPr>
      <w:rFonts w:cstheme="minorHAnsi"/>
      <w:sz w:val="18"/>
      <w:szCs w:val="18"/>
    </w:rPr>
  </w:style>
  <w:style w:type="paragraph" w:styleId="TOC8">
    <w:name w:val="toc 8"/>
    <w:basedOn w:val="Normal"/>
    <w:next w:val="Normal"/>
    <w:autoRedefine/>
    <w:uiPriority w:val="39"/>
    <w:unhideWhenUsed/>
    <w:rsid w:val="00A60D4B"/>
    <w:pPr>
      <w:spacing w:after="0"/>
      <w:ind w:left="1540"/>
    </w:pPr>
    <w:rPr>
      <w:rFonts w:cstheme="minorHAnsi"/>
      <w:sz w:val="18"/>
      <w:szCs w:val="18"/>
    </w:rPr>
  </w:style>
  <w:style w:type="paragraph" w:styleId="TOC9">
    <w:name w:val="toc 9"/>
    <w:basedOn w:val="Normal"/>
    <w:next w:val="Normal"/>
    <w:autoRedefine/>
    <w:uiPriority w:val="39"/>
    <w:unhideWhenUsed/>
    <w:rsid w:val="00A60D4B"/>
    <w:pPr>
      <w:spacing w:after="0"/>
      <w:ind w:left="1760"/>
    </w:pPr>
    <w:rPr>
      <w:rFonts w:cstheme="minorHAnsi"/>
      <w:sz w:val="18"/>
      <w:szCs w:val="18"/>
    </w:rPr>
  </w:style>
  <w:style w:type="character" w:customStyle="1" w:styleId="Calibri12">
    <w:name w:val="Calibri 12"/>
    <w:uiPriority w:val="1"/>
    <w:qFormat/>
    <w:rsid w:val="00A60D4B"/>
    <w:rPr>
      <w:rFonts w:ascii="Calibri" w:hAnsi="Calibri"/>
      <w:sz w:val="24"/>
    </w:rPr>
  </w:style>
  <w:style w:type="character" w:styleId="FollowedHyperlink">
    <w:name w:val="FollowedHyperlink"/>
    <w:basedOn w:val="DefaultParagraphFont"/>
    <w:uiPriority w:val="99"/>
    <w:unhideWhenUsed/>
    <w:rsid w:val="00A60D4B"/>
    <w:rPr>
      <w:color w:val="954F72" w:themeColor="followedHyperlink"/>
      <w:u w:val="single"/>
    </w:rPr>
  </w:style>
  <w:style w:type="paragraph" w:customStyle="1" w:styleId="BSnotetextunbold">
    <w:name w:val="BS_note text unbold"/>
    <w:basedOn w:val="BSnote"/>
    <w:link w:val="BSnotetextunboldChar"/>
    <w:qFormat/>
    <w:rsid w:val="00A60D4B"/>
    <w:rPr>
      <w:b w:val="0"/>
    </w:rPr>
  </w:style>
  <w:style w:type="character" w:customStyle="1" w:styleId="BSnotetextunboldChar">
    <w:name w:val="BS_note text unbold Char"/>
    <w:link w:val="BSnotetextunbold"/>
    <w:rsid w:val="00A60D4B"/>
    <w:rPr>
      <w:rFonts w:ascii="Calibri" w:eastAsia="Times New Roman" w:hAnsi="Calibri" w:cs="Times New Roman"/>
      <w:sz w:val="18"/>
      <w:szCs w:val="16"/>
      <w:lang w:val="x-none"/>
    </w:rPr>
  </w:style>
  <w:style w:type="paragraph" w:customStyle="1" w:styleId="BStablefiguresunbold">
    <w:name w:val="BS_table figures unbold"/>
    <w:basedOn w:val="BStablefigures"/>
    <w:link w:val="BStablefiguresunboldChar"/>
    <w:qFormat/>
    <w:rsid w:val="00A60D4B"/>
    <w:pPr>
      <w:jc w:val="right"/>
    </w:pPr>
    <w:rPr>
      <w:szCs w:val="24"/>
      <w:lang w:val="x-none" w:eastAsia="en-US"/>
    </w:rPr>
  </w:style>
  <w:style w:type="paragraph" w:customStyle="1" w:styleId="CS-Paragraphnumbering">
    <w:name w:val="CS - Paragraph numbering"/>
    <w:basedOn w:val="Normal"/>
    <w:rsid w:val="00A60D4B"/>
    <w:pPr>
      <w:numPr>
        <w:numId w:val="44"/>
      </w:numPr>
      <w:spacing w:after="120" w:line="276" w:lineRule="auto"/>
      <w:ind w:right="-45"/>
    </w:pPr>
    <w:rPr>
      <w:sz w:val="24"/>
      <w:szCs w:val="24"/>
    </w:rPr>
  </w:style>
  <w:style w:type="paragraph" w:customStyle="1" w:styleId="SinglePara">
    <w:name w:val="Single Para"/>
    <w:basedOn w:val="Normal"/>
    <w:rsid w:val="00A60D4B"/>
    <w:pPr>
      <w:spacing w:before="200" w:after="200" w:line="240" w:lineRule="auto"/>
    </w:pPr>
    <w:rPr>
      <w:rFonts w:ascii="Calibri" w:eastAsia="Times New Roman" w:hAnsi="Calibri" w:cs="Times New Roman"/>
      <w:sz w:val="24"/>
      <w:szCs w:val="20"/>
    </w:rPr>
  </w:style>
  <w:style w:type="paragraph" w:customStyle="1" w:styleId="xl25">
    <w:name w:val="xl25"/>
    <w:basedOn w:val="Normal"/>
    <w:rsid w:val="00A60D4B"/>
    <w:pPr>
      <w:spacing w:before="100" w:beforeAutospacing="1" w:after="100" w:afterAutospacing="1" w:line="240" w:lineRule="auto"/>
    </w:pPr>
    <w:rPr>
      <w:rFonts w:ascii="Calibri" w:eastAsia="Arial Unicode MS" w:hAnsi="Calibri" w:cs="Times New Roman"/>
      <w:sz w:val="18"/>
      <w:szCs w:val="18"/>
    </w:rPr>
  </w:style>
  <w:style w:type="paragraph" w:styleId="PlainText">
    <w:name w:val="Plain Text"/>
    <w:basedOn w:val="Normal"/>
    <w:link w:val="PlainTextChar"/>
    <w:uiPriority w:val="99"/>
    <w:rsid w:val="00A60D4B"/>
    <w:pPr>
      <w:spacing w:before="200" w:after="200" w:line="240" w:lineRule="auto"/>
    </w:pPr>
    <w:rPr>
      <w:rFonts w:ascii="Calibri" w:eastAsia="Times New Roman" w:hAnsi="Calibri" w:cs="Times New Roman"/>
      <w:sz w:val="20"/>
      <w:szCs w:val="20"/>
      <w:lang w:val="en-US"/>
    </w:rPr>
  </w:style>
  <w:style w:type="character" w:customStyle="1" w:styleId="PlainTextChar">
    <w:name w:val="Plain Text Char"/>
    <w:basedOn w:val="DefaultParagraphFont"/>
    <w:link w:val="PlainText"/>
    <w:uiPriority w:val="99"/>
    <w:rsid w:val="00A60D4B"/>
    <w:rPr>
      <w:rFonts w:ascii="Calibri" w:eastAsia="Times New Roman" w:hAnsi="Calibri" w:cs="Times New Roman"/>
      <w:sz w:val="20"/>
      <w:szCs w:val="20"/>
      <w:lang w:val="en-US"/>
    </w:rPr>
  </w:style>
  <w:style w:type="paragraph" w:styleId="ListNumber">
    <w:name w:val="List Number"/>
    <w:basedOn w:val="Normal"/>
    <w:rsid w:val="00A60D4B"/>
    <w:pPr>
      <w:numPr>
        <w:numId w:val="45"/>
      </w:numPr>
      <w:spacing w:before="200" w:after="200" w:line="240" w:lineRule="auto"/>
    </w:pPr>
    <w:rPr>
      <w:rFonts w:ascii="Calibri" w:eastAsia="Times New Roman" w:hAnsi="Calibri" w:cs="Times New Roman"/>
      <w:sz w:val="24"/>
      <w:szCs w:val="20"/>
    </w:rPr>
  </w:style>
  <w:style w:type="paragraph" w:customStyle="1" w:styleId="TableHeadingCentre">
    <w:name w:val="Table Heading Centre"/>
    <w:basedOn w:val="Normal"/>
    <w:rsid w:val="00A60D4B"/>
    <w:pPr>
      <w:keepNext/>
      <w:spacing w:before="200" w:after="200" w:line="240" w:lineRule="auto"/>
      <w:jc w:val="center"/>
    </w:pPr>
    <w:rPr>
      <w:rFonts w:ascii="Calibri" w:eastAsia="Times New Roman" w:hAnsi="Calibri" w:cs="Times New Roman"/>
      <w:b/>
      <w:sz w:val="20"/>
      <w:szCs w:val="20"/>
    </w:rPr>
  </w:style>
  <w:style w:type="character" w:customStyle="1" w:styleId="Heading3Char2">
    <w:name w:val="Heading 3 Char2"/>
    <w:locked/>
    <w:rsid w:val="00A60D4B"/>
    <w:rPr>
      <w:rFonts w:ascii="Arial" w:hAnsi="Arial" w:cs="Arial"/>
      <w:b/>
      <w:bCs/>
      <w:sz w:val="26"/>
      <w:szCs w:val="26"/>
      <w:lang w:val="en-AU" w:eastAsia="en-US" w:bidi="ar-SA"/>
    </w:rPr>
  </w:style>
  <w:style w:type="paragraph" w:styleId="BodyText">
    <w:name w:val="Body Text"/>
    <w:basedOn w:val="Normal"/>
    <w:link w:val="BodyTextChar"/>
    <w:uiPriority w:val="99"/>
    <w:qFormat/>
    <w:rsid w:val="00A60D4B"/>
    <w:pPr>
      <w:keepNext/>
      <w:keepLines/>
      <w:spacing w:before="120" w:after="120" w:line="240" w:lineRule="auto"/>
      <w:jc w:val="both"/>
    </w:pPr>
    <w:rPr>
      <w:rFonts w:ascii="Calibri" w:eastAsia="Times New Roman" w:hAnsi="Calibri" w:cs="Times New Roman"/>
      <w:sz w:val="24"/>
      <w:szCs w:val="20"/>
      <w:lang w:val="x-none"/>
    </w:rPr>
  </w:style>
  <w:style w:type="character" w:customStyle="1" w:styleId="BodyTextChar">
    <w:name w:val="Body Text Char"/>
    <w:basedOn w:val="DefaultParagraphFont"/>
    <w:link w:val="BodyText"/>
    <w:uiPriority w:val="99"/>
    <w:rsid w:val="00A60D4B"/>
    <w:rPr>
      <w:rFonts w:ascii="Calibri" w:eastAsia="Times New Roman" w:hAnsi="Calibri" w:cs="Times New Roman"/>
      <w:sz w:val="24"/>
      <w:szCs w:val="20"/>
      <w:lang w:val="x-none"/>
    </w:rPr>
  </w:style>
  <w:style w:type="paragraph" w:styleId="BodyTextIndent2">
    <w:name w:val="Body Text Indent 2"/>
    <w:basedOn w:val="Normal"/>
    <w:link w:val="BodyTextIndent2Char"/>
    <w:rsid w:val="00A60D4B"/>
    <w:pPr>
      <w:keepNext/>
      <w:keepLines/>
      <w:numPr>
        <w:numId w:val="51"/>
      </w:numPr>
      <w:spacing w:before="200" w:after="120" w:line="240" w:lineRule="auto"/>
      <w:jc w:val="both"/>
    </w:pPr>
    <w:rPr>
      <w:rFonts w:ascii="Calibri" w:eastAsia="Times New Roman" w:hAnsi="Calibri" w:cs="Times New Roman"/>
      <w:sz w:val="24"/>
      <w:szCs w:val="20"/>
      <w:lang w:val="x-none"/>
    </w:rPr>
  </w:style>
  <w:style w:type="character" w:customStyle="1" w:styleId="BodyTextIndent2Char">
    <w:name w:val="Body Text Indent 2 Char"/>
    <w:basedOn w:val="DefaultParagraphFont"/>
    <w:link w:val="BodyTextIndent2"/>
    <w:rsid w:val="00A60D4B"/>
    <w:rPr>
      <w:rFonts w:ascii="Calibri" w:eastAsia="Times New Roman" w:hAnsi="Calibri" w:cs="Times New Roman"/>
      <w:sz w:val="24"/>
      <w:szCs w:val="20"/>
      <w:lang w:val="x-none"/>
    </w:rPr>
  </w:style>
  <w:style w:type="paragraph" w:styleId="BodyTextIndent3">
    <w:name w:val="Body Text Indent 3"/>
    <w:basedOn w:val="Normal"/>
    <w:link w:val="BodyTextIndent3Char"/>
    <w:uiPriority w:val="99"/>
    <w:rsid w:val="00A60D4B"/>
    <w:pPr>
      <w:keepNext/>
      <w:keepLines/>
      <w:numPr>
        <w:numId w:val="52"/>
      </w:numPr>
      <w:tabs>
        <w:tab w:val="left" w:pos="1134"/>
      </w:tabs>
      <w:spacing w:before="200" w:after="120" w:line="240" w:lineRule="auto"/>
      <w:jc w:val="both"/>
    </w:pPr>
    <w:rPr>
      <w:rFonts w:ascii="Calibri" w:eastAsia="Times New Roman" w:hAnsi="Calibri" w:cs="Times New Roman"/>
      <w:sz w:val="24"/>
      <w:szCs w:val="24"/>
      <w:lang w:val="x-none"/>
    </w:rPr>
  </w:style>
  <w:style w:type="character" w:customStyle="1" w:styleId="BodyTextIndent3Char">
    <w:name w:val="Body Text Indent 3 Char"/>
    <w:basedOn w:val="DefaultParagraphFont"/>
    <w:link w:val="BodyTextIndent3"/>
    <w:uiPriority w:val="99"/>
    <w:rsid w:val="00A60D4B"/>
    <w:rPr>
      <w:rFonts w:ascii="Calibri" w:eastAsia="Times New Roman" w:hAnsi="Calibri" w:cs="Times New Roman"/>
      <w:sz w:val="24"/>
      <w:szCs w:val="24"/>
      <w:lang w:val="x-none"/>
    </w:rPr>
  </w:style>
  <w:style w:type="paragraph" w:customStyle="1" w:styleId="BodyTextIndent4">
    <w:name w:val="Body Text Indent 4"/>
    <w:basedOn w:val="BodyText"/>
    <w:next w:val="BodyText"/>
    <w:rsid w:val="00A60D4B"/>
    <w:pPr>
      <w:numPr>
        <w:numId w:val="53"/>
      </w:numPr>
      <w:spacing w:before="0"/>
    </w:pPr>
  </w:style>
  <w:style w:type="paragraph" w:customStyle="1" w:styleId="SIHeading1">
    <w:name w:val="SI Heading 1"/>
    <w:basedOn w:val="Normal"/>
    <w:next w:val="BodyText"/>
    <w:rsid w:val="00A60D4B"/>
    <w:pPr>
      <w:keepNext/>
      <w:keepLines/>
      <w:spacing w:before="240" w:after="200" w:line="240" w:lineRule="auto"/>
      <w:jc w:val="center"/>
      <w:outlineLvl w:val="0"/>
    </w:pPr>
    <w:rPr>
      <w:rFonts w:ascii="Arial" w:eastAsia="Times New Roman" w:hAnsi="Arial" w:cs="Times New Roman"/>
      <w:b/>
      <w:kern w:val="28"/>
      <w:sz w:val="20"/>
      <w:szCs w:val="20"/>
    </w:rPr>
  </w:style>
  <w:style w:type="paragraph" w:customStyle="1" w:styleId="SIHeading2">
    <w:name w:val="SI Heading 2"/>
    <w:basedOn w:val="Normal"/>
    <w:next w:val="BodyText"/>
    <w:rsid w:val="00A60D4B"/>
    <w:pPr>
      <w:keepNext/>
      <w:keepLines/>
      <w:spacing w:before="200" w:after="240" w:line="240" w:lineRule="auto"/>
      <w:jc w:val="center"/>
      <w:outlineLvl w:val="0"/>
    </w:pPr>
    <w:rPr>
      <w:rFonts w:ascii="Arial" w:eastAsia="Times New Roman" w:hAnsi="Arial" w:cs="Times New Roman"/>
      <w:kern w:val="28"/>
      <w:sz w:val="20"/>
      <w:szCs w:val="20"/>
    </w:rPr>
  </w:style>
  <w:style w:type="paragraph" w:customStyle="1" w:styleId="Tabletextindenta">
    <w:name w:val="Table text indent a"/>
    <w:aliases w:val="b,c...,c... BP3"/>
    <w:basedOn w:val="Normal"/>
    <w:autoRedefine/>
    <w:rsid w:val="00A60D4B"/>
    <w:pPr>
      <w:numPr>
        <w:numId w:val="64"/>
      </w:numPr>
      <w:spacing w:before="60" w:after="200" w:line="240" w:lineRule="auto"/>
    </w:pPr>
    <w:rPr>
      <w:rFonts w:ascii="Calibri" w:eastAsia="Times New Roman" w:hAnsi="Calibri" w:cs="Times New Roman"/>
      <w:kern w:val="16"/>
      <w:sz w:val="20"/>
      <w:szCs w:val="24"/>
    </w:rPr>
  </w:style>
  <w:style w:type="paragraph" w:customStyle="1" w:styleId="TableTextRightBold">
    <w:name w:val="Table Text Right Bold"/>
    <w:basedOn w:val="Normal"/>
    <w:rsid w:val="00A60D4B"/>
    <w:pPr>
      <w:spacing w:before="200" w:after="200" w:line="240" w:lineRule="auto"/>
      <w:ind w:left="357" w:hanging="357"/>
      <w:jc w:val="right"/>
    </w:pPr>
    <w:rPr>
      <w:rFonts w:ascii="Calibri" w:eastAsia="Times New Roman" w:hAnsi="Calibri" w:cs="Times New Roman"/>
      <w:b/>
      <w:sz w:val="20"/>
      <w:szCs w:val="20"/>
    </w:rPr>
  </w:style>
  <w:style w:type="paragraph" w:customStyle="1" w:styleId="TableHeadingRight">
    <w:name w:val="Table Heading Right"/>
    <w:basedOn w:val="Normal"/>
    <w:rsid w:val="00A60D4B"/>
    <w:pPr>
      <w:keepNext/>
      <w:spacing w:before="200" w:after="200" w:line="240" w:lineRule="auto"/>
      <w:jc w:val="right"/>
    </w:pPr>
    <w:rPr>
      <w:rFonts w:ascii="Calibri" w:eastAsia="Times New Roman" w:hAnsi="Calibri" w:cs="Times New Roman"/>
      <w:b/>
      <w:sz w:val="20"/>
      <w:szCs w:val="24"/>
    </w:rPr>
  </w:style>
  <w:style w:type="paragraph" w:customStyle="1" w:styleId="NoteText">
    <w:name w:val="Note Text"/>
    <w:basedOn w:val="Normal"/>
    <w:link w:val="NoteTextChar"/>
    <w:rsid w:val="00A60D4B"/>
    <w:pPr>
      <w:spacing w:before="200" w:after="200" w:line="240" w:lineRule="auto"/>
      <w:jc w:val="both"/>
    </w:pPr>
    <w:rPr>
      <w:rFonts w:ascii="Calibri" w:eastAsia="Times New Roman" w:hAnsi="Calibri" w:cs="Times New Roman"/>
      <w:iCs/>
      <w:sz w:val="16"/>
      <w:szCs w:val="20"/>
      <w:lang w:val="x-none"/>
    </w:rPr>
  </w:style>
  <w:style w:type="paragraph" w:customStyle="1" w:styleId="NoteHeading1">
    <w:name w:val="Note Heading1"/>
    <w:basedOn w:val="Normal"/>
    <w:autoRedefine/>
    <w:rsid w:val="00A60D4B"/>
    <w:pPr>
      <w:spacing w:before="120" w:after="200" w:line="240" w:lineRule="auto"/>
      <w:ind w:left="28"/>
    </w:pPr>
    <w:rPr>
      <w:rFonts w:ascii="Calibri" w:eastAsia="Times New Roman" w:hAnsi="Calibri" w:cs="Times New Roman"/>
      <w:b/>
      <w:bCs/>
      <w:sz w:val="20"/>
      <w:szCs w:val="20"/>
    </w:rPr>
  </w:style>
  <w:style w:type="character" w:customStyle="1" w:styleId="BodyTextIndentChar2">
    <w:name w:val="Body Text Indent Char2"/>
    <w:locked/>
    <w:rsid w:val="00A60D4B"/>
    <w:rPr>
      <w:rFonts w:cs="Times New Roman"/>
      <w:sz w:val="24"/>
      <w:szCs w:val="24"/>
      <w:lang w:val="en-AU" w:eastAsia="en-US" w:bidi="ar-SA"/>
    </w:rPr>
  </w:style>
  <w:style w:type="paragraph" w:customStyle="1" w:styleId="TableHeadingLeft">
    <w:name w:val="Table Heading Left"/>
    <w:basedOn w:val="Normal"/>
    <w:link w:val="TableHeadingLeftChar"/>
    <w:rsid w:val="00A60D4B"/>
    <w:pPr>
      <w:keepNext/>
      <w:spacing w:before="200" w:after="200" w:line="240" w:lineRule="auto"/>
    </w:pPr>
    <w:rPr>
      <w:rFonts w:ascii="Calibri" w:eastAsia="Times New Roman" w:hAnsi="Calibri" w:cs="Times New Roman"/>
      <w:b/>
      <w:sz w:val="20"/>
      <w:szCs w:val="20"/>
      <w:lang w:val="x-none" w:eastAsia="x-none"/>
    </w:rPr>
  </w:style>
  <w:style w:type="paragraph" w:customStyle="1" w:styleId="TableTextRight">
    <w:name w:val="Table Text Right"/>
    <w:basedOn w:val="Normal"/>
    <w:rsid w:val="00A60D4B"/>
    <w:pPr>
      <w:spacing w:before="200" w:after="200" w:line="240" w:lineRule="auto"/>
      <w:ind w:left="357" w:hanging="357"/>
      <w:jc w:val="right"/>
    </w:pPr>
    <w:rPr>
      <w:rFonts w:ascii="Calibri" w:eastAsia="Times New Roman" w:hAnsi="Calibri" w:cs="Times New Roman"/>
      <w:sz w:val="20"/>
      <w:szCs w:val="20"/>
    </w:rPr>
  </w:style>
  <w:style w:type="paragraph" w:customStyle="1" w:styleId="TableTextLeftBold">
    <w:name w:val="Table Text Left Bold"/>
    <w:basedOn w:val="Normal"/>
    <w:link w:val="TableTextLeftBoldChar"/>
    <w:rsid w:val="00A60D4B"/>
    <w:pPr>
      <w:spacing w:before="200" w:after="200" w:line="240" w:lineRule="auto"/>
      <w:ind w:left="357" w:hanging="357"/>
    </w:pPr>
    <w:rPr>
      <w:rFonts w:ascii="Calibri" w:eastAsia="Times New Roman" w:hAnsi="Calibri" w:cs="Times New Roman"/>
      <w:b/>
      <w:sz w:val="20"/>
      <w:szCs w:val="20"/>
      <w:lang w:val="x-none"/>
    </w:rPr>
  </w:style>
  <w:style w:type="paragraph" w:customStyle="1" w:styleId="TableTextLeft">
    <w:name w:val="Table Text Left"/>
    <w:basedOn w:val="Normal"/>
    <w:rsid w:val="00A60D4B"/>
    <w:pPr>
      <w:spacing w:before="200" w:after="200" w:line="240" w:lineRule="auto"/>
      <w:ind w:left="357" w:hanging="357"/>
    </w:pPr>
    <w:rPr>
      <w:rFonts w:ascii="Calibri" w:eastAsia="Times New Roman" w:hAnsi="Calibri" w:cs="Times New Roman"/>
      <w:sz w:val="20"/>
      <w:szCs w:val="18"/>
    </w:rPr>
  </w:style>
  <w:style w:type="paragraph" w:customStyle="1" w:styleId="TableNumbersRight">
    <w:name w:val="Table Numbers Right"/>
    <w:basedOn w:val="TableHeadingRight"/>
    <w:rsid w:val="00A60D4B"/>
    <w:rPr>
      <w:b w:val="0"/>
    </w:rPr>
  </w:style>
  <w:style w:type="character" w:customStyle="1" w:styleId="TableHeadingLeftChar">
    <w:name w:val="Table Heading Left Char"/>
    <w:link w:val="TableHeadingLeft"/>
    <w:locked/>
    <w:rsid w:val="00A60D4B"/>
    <w:rPr>
      <w:rFonts w:ascii="Calibri" w:eastAsia="Times New Roman" w:hAnsi="Calibri" w:cs="Times New Roman"/>
      <w:b/>
      <w:sz w:val="20"/>
      <w:szCs w:val="20"/>
      <w:lang w:val="x-none" w:eastAsia="x-none"/>
    </w:rPr>
  </w:style>
  <w:style w:type="paragraph" w:customStyle="1" w:styleId="FooterBP">
    <w:name w:val="Footer BP"/>
    <w:basedOn w:val="Normal"/>
    <w:next w:val="Normal"/>
    <w:rsid w:val="00A60D4B"/>
    <w:pPr>
      <w:pBdr>
        <w:top w:val="single" w:sz="4" w:space="1" w:color="auto"/>
      </w:pBdr>
      <w:tabs>
        <w:tab w:val="center" w:pos="4536"/>
        <w:tab w:val="right" w:pos="9356"/>
      </w:tabs>
      <w:spacing w:before="200" w:after="200" w:line="240" w:lineRule="auto"/>
      <w:ind w:left="-284" w:right="-329"/>
    </w:pPr>
    <w:rPr>
      <w:rFonts w:ascii="Calibri" w:eastAsia="Times New Roman" w:hAnsi="Calibri" w:cs="Times New Roman"/>
      <w:i/>
      <w:sz w:val="20"/>
      <w:szCs w:val="20"/>
    </w:rPr>
  </w:style>
  <w:style w:type="character" w:customStyle="1" w:styleId="TableTextLeftBoldChar">
    <w:name w:val="Table Text Left Bold Char"/>
    <w:link w:val="TableTextLeftBold"/>
    <w:locked/>
    <w:rsid w:val="00A60D4B"/>
    <w:rPr>
      <w:rFonts w:ascii="Calibri" w:eastAsia="Times New Roman" w:hAnsi="Calibri" w:cs="Times New Roman"/>
      <w:b/>
      <w:sz w:val="20"/>
      <w:szCs w:val="20"/>
      <w:lang w:val="x-none"/>
    </w:rPr>
  </w:style>
  <w:style w:type="paragraph" w:customStyle="1" w:styleId="Heading3TopofPage">
    <w:name w:val="Heading 3 Top of Page"/>
    <w:basedOn w:val="Heading3"/>
    <w:next w:val="BodyText"/>
    <w:link w:val="Heading3TopofPageChar"/>
    <w:rsid w:val="00A60D4B"/>
    <w:pPr>
      <w:shd w:val="clear" w:color="auto" w:fill="FFFFFF"/>
      <w:spacing w:before="0"/>
      <w:contextualSpacing/>
    </w:pPr>
    <w:rPr>
      <w:rFonts w:ascii="Arial" w:eastAsia="Times New Roman" w:hAnsi="Arial" w:cs="Times New Roman"/>
      <w:bCs/>
      <w:color w:val="auto"/>
      <w:sz w:val="24"/>
      <w:szCs w:val="28"/>
      <w:lang w:val="x-none" w:eastAsia="x-none"/>
    </w:rPr>
  </w:style>
  <w:style w:type="paragraph" w:customStyle="1" w:styleId="Heading3Centred">
    <w:name w:val="Heading 3 Centred"/>
    <w:basedOn w:val="Heading3"/>
    <w:next w:val="BodyText"/>
    <w:rsid w:val="00A60D4B"/>
    <w:pPr>
      <w:shd w:val="clear" w:color="auto" w:fill="FFFFFF"/>
      <w:spacing w:before="0"/>
      <w:contextualSpacing/>
      <w:jc w:val="center"/>
    </w:pPr>
    <w:rPr>
      <w:rFonts w:eastAsia="Times New Roman" w:cs="Times New Roman"/>
      <w:bCs/>
      <w:color w:val="auto"/>
      <w:sz w:val="28"/>
      <w:szCs w:val="28"/>
      <w:lang w:val="x-none" w:eastAsia="en-AU"/>
    </w:rPr>
  </w:style>
  <w:style w:type="paragraph" w:styleId="BodyText2">
    <w:name w:val="Body Text 2"/>
    <w:basedOn w:val="Normal"/>
    <w:link w:val="BodyText2Char"/>
    <w:rsid w:val="00A60D4B"/>
    <w:pPr>
      <w:spacing w:before="200" w:after="120" w:line="480" w:lineRule="auto"/>
    </w:pPr>
    <w:rPr>
      <w:rFonts w:ascii="Calibri" w:eastAsia="Times New Roman" w:hAnsi="Calibri" w:cs="Times New Roman"/>
      <w:sz w:val="24"/>
      <w:szCs w:val="20"/>
      <w:lang w:val="x-none"/>
    </w:rPr>
  </w:style>
  <w:style w:type="character" w:customStyle="1" w:styleId="BodyText2Char">
    <w:name w:val="Body Text 2 Char"/>
    <w:basedOn w:val="DefaultParagraphFont"/>
    <w:link w:val="BodyText2"/>
    <w:rsid w:val="00A60D4B"/>
    <w:rPr>
      <w:rFonts w:ascii="Calibri" w:eastAsia="Times New Roman" w:hAnsi="Calibri" w:cs="Times New Roman"/>
      <w:sz w:val="24"/>
      <w:szCs w:val="20"/>
      <w:lang w:val="x-none"/>
    </w:rPr>
  </w:style>
  <w:style w:type="paragraph" w:customStyle="1" w:styleId="Sub-Heading">
    <w:name w:val="Sub-Heading"/>
    <w:basedOn w:val="Normal"/>
    <w:next w:val="BodyText"/>
    <w:rsid w:val="00A60D4B"/>
    <w:pPr>
      <w:keepNext/>
      <w:spacing w:before="240" w:after="120" w:line="240" w:lineRule="auto"/>
      <w:outlineLvl w:val="0"/>
    </w:pPr>
    <w:rPr>
      <w:rFonts w:ascii="Arial" w:eastAsia="Times New Roman" w:hAnsi="Arial" w:cs="Times New Roman"/>
      <w:i/>
      <w:sz w:val="24"/>
      <w:szCs w:val="20"/>
    </w:rPr>
  </w:style>
  <w:style w:type="paragraph" w:customStyle="1" w:styleId="Sub-Heading2">
    <w:name w:val="Sub-Heading 2"/>
    <w:basedOn w:val="BodyText"/>
    <w:rsid w:val="00A60D4B"/>
    <w:rPr>
      <w:i/>
    </w:rPr>
  </w:style>
  <w:style w:type="paragraph" w:customStyle="1" w:styleId="TableName">
    <w:name w:val="Table Name"/>
    <w:basedOn w:val="Normal"/>
    <w:rsid w:val="00A60D4B"/>
    <w:pPr>
      <w:keepNext/>
      <w:keepLines/>
      <w:spacing w:before="200" w:after="120" w:line="240" w:lineRule="auto"/>
      <w:jc w:val="center"/>
    </w:pPr>
    <w:rPr>
      <w:rFonts w:ascii="Arial" w:eastAsia="Times New Roman" w:hAnsi="Arial" w:cs="Times New Roman"/>
      <w:b/>
      <w:sz w:val="20"/>
      <w:szCs w:val="20"/>
    </w:rPr>
  </w:style>
  <w:style w:type="paragraph" w:customStyle="1" w:styleId="AIblurb">
    <w:name w:val="AI blurb"/>
    <w:basedOn w:val="Normal"/>
    <w:rsid w:val="00A60D4B"/>
    <w:pPr>
      <w:spacing w:before="120" w:after="240" w:line="240" w:lineRule="auto"/>
      <w:ind w:left="380"/>
      <w:jc w:val="both"/>
    </w:pPr>
    <w:rPr>
      <w:rFonts w:ascii="Calibri" w:eastAsia="Times New Roman" w:hAnsi="Calibri" w:cs="Times New Roman"/>
      <w:sz w:val="20"/>
      <w:szCs w:val="20"/>
    </w:rPr>
  </w:style>
  <w:style w:type="paragraph" w:styleId="BodyText3">
    <w:name w:val="Body Text 3"/>
    <w:basedOn w:val="Normal"/>
    <w:link w:val="BodyText3Char"/>
    <w:uiPriority w:val="99"/>
    <w:rsid w:val="00A60D4B"/>
    <w:pPr>
      <w:spacing w:before="200" w:after="120" w:line="240" w:lineRule="auto"/>
    </w:pPr>
    <w:rPr>
      <w:rFonts w:ascii="Calibri" w:eastAsia="Times New Roman" w:hAnsi="Calibri" w:cs="Times New Roman"/>
      <w:sz w:val="16"/>
      <w:szCs w:val="16"/>
      <w:lang w:val="x-none"/>
    </w:rPr>
  </w:style>
  <w:style w:type="character" w:customStyle="1" w:styleId="BodyText3Char">
    <w:name w:val="Body Text 3 Char"/>
    <w:basedOn w:val="DefaultParagraphFont"/>
    <w:link w:val="BodyText3"/>
    <w:uiPriority w:val="99"/>
    <w:rsid w:val="00A60D4B"/>
    <w:rPr>
      <w:rFonts w:ascii="Calibri" w:eastAsia="Times New Roman" w:hAnsi="Calibri" w:cs="Times New Roman"/>
      <w:sz w:val="16"/>
      <w:szCs w:val="16"/>
      <w:lang w:val="x-none"/>
    </w:rPr>
  </w:style>
  <w:style w:type="paragraph" w:customStyle="1" w:styleId="AINotes">
    <w:name w:val="AI Notes"/>
    <w:basedOn w:val="Normal"/>
    <w:link w:val="AINotesChar"/>
    <w:rsid w:val="00A60D4B"/>
    <w:pPr>
      <w:spacing w:before="200" w:after="200" w:line="240" w:lineRule="auto"/>
      <w:jc w:val="both"/>
    </w:pPr>
    <w:rPr>
      <w:rFonts w:ascii="Calibri" w:eastAsia="Times New Roman" w:hAnsi="Calibri" w:cs="Times New Roman"/>
      <w:sz w:val="16"/>
      <w:szCs w:val="20"/>
      <w:lang w:val="x-none"/>
    </w:rPr>
  </w:style>
  <w:style w:type="paragraph" w:customStyle="1" w:styleId="n">
    <w:name w:val="n"/>
    <w:basedOn w:val="Normal"/>
    <w:rsid w:val="00A60D4B"/>
    <w:pPr>
      <w:spacing w:before="200" w:after="200" w:line="240" w:lineRule="auto"/>
      <w:jc w:val="both"/>
    </w:pPr>
    <w:rPr>
      <w:rFonts w:ascii="Calibri" w:eastAsia="Times New Roman" w:hAnsi="Calibri" w:cs="Times New Roman"/>
      <w:sz w:val="16"/>
      <w:szCs w:val="24"/>
    </w:rPr>
  </w:style>
  <w:style w:type="paragraph" w:customStyle="1" w:styleId="Notes">
    <w:name w:val="Notes"/>
    <w:basedOn w:val="Normal"/>
    <w:rsid w:val="00A60D4B"/>
    <w:pPr>
      <w:spacing w:before="120" w:after="200" w:line="240" w:lineRule="auto"/>
      <w:ind w:left="28"/>
    </w:pPr>
    <w:rPr>
      <w:rFonts w:ascii="Calibri" w:eastAsia="Times New Roman" w:hAnsi="Calibri" w:cs="Times New Roman"/>
      <w:b/>
      <w:sz w:val="20"/>
      <w:szCs w:val="24"/>
    </w:rPr>
  </w:style>
  <w:style w:type="paragraph" w:styleId="BlockText">
    <w:name w:val="Block Text"/>
    <w:basedOn w:val="Normal"/>
    <w:rsid w:val="00A60D4B"/>
    <w:pPr>
      <w:spacing w:before="200" w:after="120" w:line="240" w:lineRule="auto"/>
      <w:ind w:left="1440" w:right="1440"/>
    </w:pPr>
    <w:rPr>
      <w:rFonts w:ascii="Calibri" w:eastAsia="Times New Roman" w:hAnsi="Calibri" w:cs="Times New Roman"/>
      <w:sz w:val="24"/>
      <w:szCs w:val="20"/>
    </w:rPr>
  </w:style>
  <w:style w:type="paragraph" w:styleId="BodyTextFirstIndent">
    <w:name w:val="Body Text First Indent"/>
    <w:basedOn w:val="BodyText"/>
    <w:link w:val="BodyTextFirstIndentChar"/>
    <w:rsid w:val="00A60D4B"/>
    <w:pPr>
      <w:spacing w:before="0"/>
      <w:ind w:firstLine="210"/>
      <w:jc w:val="left"/>
    </w:pPr>
    <w:rPr>
      <w:lang w:val="en-AU"/>
    </w:rPr>
  </w:style>
  <w:style w:type="character" w:customStyle="1" w:styleId="BodyTextFirstIndentChar">
    <w:name w:val="Body Text First Indent Char"/>
    <w:basedOn w:val="BodyTextChar"/>
    <w:link w:val="BodyTextFirstIndent"/>
    <w:rsid w:val="00A60D4B"/>
    <w:rPr>
      <w:rFonts w:ascii="Calibri" w:eastAsia="Times New Roman" w:hAnsi="Calibri" w:cs="Times New Roman"/>
      <w:sz w:val="24"/>
      <w:szCs w:val="20"/>
      <w:lang w:val="x-none"/>
    </w:rPr>
  </w:style>
  <w:style w:type="paragraph" w:styleId="BodyTextFirstIndent2">
    <w:name w:val="Body Text First Indent 2"/>
    <w:basedOn w:val="BodyTextIndent"/>
    <w:link w:val="BodyTextFirstIndent2Char"/>
    <w:rsid w:val="00A60D4B"/>
    <w:pPr>
      <w:keepNext/>
      <w:keepLines/>
      <w:spacing w:before="200" w:line="240" w:lineRule="auto"/>
      <w:ind w:firstLine="210"/>
    </w:pPr>
    <w:rPr>
      <w:rFonts w:ascii="Calibri" w:eastAsia="Times New Roman" w:hAnsi="Calibri" w:cs="Times New Roman"/>
      <w:sz w:val="24"/>
      <w:szCs w:val="24"/>
    </w:rPr>
  </w:style>
  <w:style w:type="character" w:customStyle="1" w:styleId="BodyTextFirstIndent2Char">
    <w:name w:val="Body Text First Indent 2 Char"/>
    <w:basedOn w:val="BodyTextIndentChar"/>
    <w:link w:val="BodyTextFirstIndent2"/>
    <w:rsid w:val="00A60D4B"/>
    <w:rPr>
      <w:rFonts w:ascii="Calibri" w:eastAsia="Times New Roman" w:hAnsi="Calibri" w:cs="Times New Roman"/>
      <w:sz w:val="24"/>
      <w:szCs w:val="24"/>
    </w:rPr>
  </w:style>
  <w:style w:type="paragraph" w:styleId="Closing">
    <w:name w:val="Closing"/>
    <w:basedOn w:val="Normal"/>
    <w:link w:val="ClosingChar"/>
    <w:rsid w:val="00A60D4B"/>
    <w:pPr>
      <w:spacing w:before="200" w:after="200" w:line="240" w:lineRule="auto"/>
      <w:ind w:left="4252"/>
    </w:pPr>
    <w:rPr>
      <w:rFonts w:ascii="Calibri" w:eastAsia="Times New Roman" w:hAnsi="Calibri" w:cs="Times New Roman"/>
      <w:sz w:val="24"/>
      <w:szCs w:val="20"/>
      <w:lang w:val="x-none"/>
    </w:rPr>
  </w:style>
  <w:style w:type="character" w:customStyle="1" w:styleId="ClosingChar">
    <w:name w:val="Closing Char"/>
    <w:basedOn w:val="DefaultParagraphFont"/>
    <w:link w:val="Closing"/>
    <w:rsid w:val="00A60D4B"/>
    <w:rPr>
      <w:rFonts w:ascii="Calibri" w:eastAsia="Times New Roman" w:hAnsi="Calibri" w:cs="Times New Roman"/>
      <w:sz w:val="24"/>
      <w:szCs w:val="20"/>
      <w:lang w:val="x-none"/>
    </w:rPr>
  </w:style>
  <w:style w:type="paragraph" w:styleId="Date">
    <w:name w:val="Date"/>
    <w:basedOn w:val="Normal"/>
    <w:next w:val="Normal"/>
    <w:link w:val="DateChar"/>
    <w:rsid w:val="00A60D4B"/>
    <w:pPr>
      <w:spacing w:before="200" w:after="200" w:line="240" w:lineRule="auto"/>
    </w:pPr>
    <w:rPr>
      <w:rFonts w:ascii="Calibri" w:eastAsia="Times New Roman" w:hAnsi="Calibri" w:cs="Times New Roman"/>
      <w:sz w:val="24"/>
      <w:szCs w:val="20"/>
      <w:lang w:val="x-none"/>
    </w:rPr>
  </w:style>
  <w:style w:type="character" w:customStyle="1" w:styleId="DateChar">
    <w:name w:val="Date Char"/>
    <w:basedOn w:val="DefaultParagraphFont"/>
    <w:link w:val="Date"/>
    <w:rsid w:val="00A60D4B"/>
    <w:rPr>
      <w:rFonts w:ascii="Calibri" w:eastAsia="Times New Roman" w:hAnsi="Calibri" w:cs="Times New Roman"/>
      <w:sz w:val="24"/>
      <w:szCs w:val="20"/>
      <w:lang w:val="x-none"/>
    </w:rPr>
  </w:style>
  <w:style w:type="paragraph" w:styleId="E-mailSignature">
    <w:name w:val="E-mail Signature"/>
    <w:basedOn w:val="Normal"/>
    <w:link w:val="E-mailSignatureChar"/>
    <w:rsid w:val="00A60D4B"/>
    <w:pPr>
      <w:spacing w:before="200" w:after="200" w:line="240" w:lineRule="auto"/>
    </w:pPr>
    <w:rPr>
      <w:rFonts w:ascii="Calibri" w:eastAsia="Times New Roman" w:hAnsi="Calibri" w:cs="Times New Roman"/>
      <w:sz w:val="24"/>
      <w:szCs w:val="20"/>
      <w:lang w:val="x-none"/>
    </w:rPr>
  </w:style>
  <w:style w:type="character" w:customStyle="1" w:styleId="E-mailSignatureChar">
    <w:name w:val="E-mail Signature Char"/>
    <w:basedOn w:val="DefaultParagraphFont"/>
    <w:link w:val="E-mailSignature"/>
    <w:rsid w:val="00A60D4B"/>
    <w:rPr>
      <w:rFonts w:ascii="Calibri" w:eastAsia="Times New Roman" w:hAnsi="Calibri" w:cs="Times New Roman"/>
      <w:sz w:val="24"/>
      <w:szCs w:val="20"/>
      <w:lang w:val="x-none"/>
    </w:rPr>
  </w:style>
  <w:style w:type="character" w:styleId="Emphasis">
    <w:name w:val="Emphasis"/>
    <w:qFormat/>
    <w:rsid w:val="00A60D4B"/>
    <w:rPr>
      <w:rFonts w:ascii="Calibri" w:hAnsi="Calibri"/>
      <w:i/>
      <w:iCs/>
    </w:rPr>
  </w:style>
  <w:style w:type="paragraph" w:styleId="EnvelopeAddress">
    <w:name w:val="envelope address"/>
    <w:basedOn w:val="Normal"/>
    <w:rsid w:val="00A60D4B"/>
    <w:pPr>
      <w:framePr w:w="7920" w:h="1980" w:hRule="exact" w:hSpace="180" w:wrap="auto" w:hAnchor="page" w:xAlign="center" w:yAlign="bottom"/>
      <w:spacing w:before="200" w:after="200" w:line="240" w:lineRule="auto"/>
      <w:ind w:left="2880"/>
    </w:pPr>
    <w:rPr>
      <w:rFonts w:ascii="Arial" w:eastAsia="Times New Roman" w:hAnsi="Arial" w:cs="Arial"/>
      <w:sz w:val="24"/>
      <w:szCs w:val="24"/>
    </w:rPr>
  </w:style>
  <w:style w:type="paragraph" w:styleId="EnvelopeReturn">
    <w:name w:val="envelope return"/>
    <w:basedOn w:val="Normal"/>
    <w:rsid w:val="00A60D4B"/>
    <w:pPr>
      <w:spacing w:before="200" w:after="200" w:line="240" w:lineRule="auto"/>
    </w:pPr>
    <w:rPr>
      <w:rFonts w:ascii="Arial" w:eastAsia="Times New Roman" w:hAnsi="Arial" w:cs="Arial"/>
      <w:sz w:val="20"/>
      <w:szCs w:val="20"/>
    </w:rPr>
  </w:style>
  <w:style w:type="character" w:styleId="HTMLAcronym">
    <w:name w:val="HTML Acronym"/>
    <w:basedOn w:val="DefaultParagraphFont"/>
    <w:rsid w:val="00A60D4B"/>
  </w:style>
  <w:style w:type="paragraph" w:styleId="HTMLAddress">
    <w:name w:val="HTML Address"/>
    <w:basedOn w:val="Normal"/>
    <w:link w:val="HTMLAddressChar"/>
    <w:rsid w:val="00A60D4B"/>
    <w:pPr>
      <w:spacing w:before="200" w:after="200" w:line="240" w:lineRule="auto"/>
    </w:pPr>
    <w:rPr>
      <w:rFonts w:ascii="Calibri" w:eastAsia="Times New Roman" w:hAnsi="Calibri" w:cs="Times New Roman"/>
      <w:i/>
      <w:iCs/>
      <w:sz w:val="24"/>
      <w:szCs w:val="20"/>
      <w:lang w:val="x-none"/>
    </w:rPr>
  </w:style>
  <w:style w:type="character" w:customStyle="1" w:styleId="HTMLAddressChar">
    <w:name w:val="HTML Address Char"/>
    <w:basedOn w:val="DefaultParagraphFont"/>
    <w:link w:val="HTMLAddress"/>
    <w:rsid w:val="00A60D4B"/>
    <w:rPr>
      <w:rFonts w:ascii="Calibri" w:eastAsia="Times New Roman" w:hAnsi="Calibri" w:cs="Times New Roman"/>
      <w:i/>
      <w:iCs/>
      <w:sz w:val="24"/>
      <w:szCs w:val="20"/>
      <w:lang w:val="x-none"/>
    </w:rPr>
  </w:style>
  <w:style w:type="character" w:styleId="HTMLCite">
    <w:name w:val="HTML Cite"/>
    <w:rsid w:val="00A60D4B"/>
    <w:rPr>
      <w:i/>
      <w:iCs/>
    </w:rPr>
  </w:style>
  <w:style w:type="character" w:styleId="HTMLCode">
    <w:name w:val="HTML Code"/>
    <w:rsid w:val="00A60D4B"/>
    <w:rPr>
      <w:rFonts w:ascii="Courier New" w:hAnsi="Courier New" w:cs="Courier New"/>
      <w:sz w:val="20"/>
      <w:szCs w:val="20"/>
    </w:rPr>
  </w:style>
  <w:style w:type="character" w:styleId="HTMLDefinition">
    <w:name w:val="HTML Definition"/>
    <w:rsid w:val="00A60D4B"/>
    <w:rPr>
      <w:i/>
      <w:iCs/>
    </w:rPr>
  </w:style>
  <w:style w:type="character" w:styleId="HTMLKeyboard">
    <w:name w:val="HTML Keyboard"/>
    <w:rsid w:val="00A60D4B"/>
    <w:rPr>
      <w:rFonts w:ascii="Courier New" w:hAnsi="Courier New" w:cs="Courier New"/>
      <w:sz w:val="20"/>
      <w:szCs w:val="20"/>
    </w:rPr>
  </w:style>
  <w:style w:type="paragraph" w:styleId="HTMLPreformatted">
    <w:name w:val="HTML Preformatted"/>
    <w:basedOn w:val="Normal"/>
    <w:link w:val="HTMLPreformattedChar"/>
    <w:rsid w:val="00A60D4B"/>
    <w:pPr>
      <w:spacing w:before="200" w:after="200" w:line="240" w:lineRule="auto"/>
    </w:pPr>
    <w:rPr>
      <w:rFonts w:ascii="Courier New" w:eastAsia="Times New Roman" w:hAnsi="Courier New" w:cs="Times New Roman"/>
      <w:sz w:val="20"/>
      <w:szCs w:val="20"/>
      <w:lang w:val="x-none"/>
    </w:rPr>
  </w:style>
  <w:style w:type="character" w:customStyle="1" w:styleId="HTMLPreformattedChar">
    <w:name w:val="HTML Preformatted Char"/>
    <w:basedOn w:val="DefaultParagraphFont"/>
    <w:link w:val="HTMLPreformatted"/>
    <w:rsid w:val="00A60D4B"/>
    <w:rPr>
      <w:rFonts w:ascii="Courier New" w:eastAsia="Times New Roman" w:hAnsi="Courier New" w:cs="Times New Roman"/>
      <w:sz w:val="20"/>
      <w:szCs w:val="20"/>
      <w:lang w:val="x-none"/>
    </w:rPr>
  </w:style>
  <w:style w:type="character" w:styleId="HTMLSample">
    <w:name w:val="HTML Sample"/>
    <w:rsid w:val="00A60D4B"/>
    <w:rPr>
      <w:rFonts w:ascii="Courier New" w:hAnsi="Courier New" w:cs="Courier New"/>
    </w:rPr>
  </w:style>
  <w:style w:type="character" w:styleId="HTMLTypewriter">
    <w:name w:val="HTML Typewriter"/>
    <w:rsid w:val="00A60D4B"/>
    <w:rPr>
      <w:rFonts w:ascii="Courier New" w:hAnsi="Courier New" w:cs="Courier New"/>
      <w:sz w:val="20"/>
      <w:szCs w:val="20"/>
    </w:rPr>
  </w:style>
  <w:style w:type="character" w:styleId="HTMLVariable">
    <w:name w:val="HTML Variable"/>
    <w:rsid w:val="00A60D4B"/>
    <w:rPr>
      <w:i/>
      <w:iCs/>
    </w:rPr>
  </w:style>
  <w:style w:type="character" w:styleId="LineNumber">
    <w:name w:val="line number"/>
    <w:basedOn w:val="DefaultParagraphFont"/>
    <w:rsid w:val="00A60D4B"/>
  </w:style>
  <w:style w:type="paragraph" w:styleId="List">
    <w:name w:val="List"/>
    <w:basedOn w:val="Normal"/>
    <w:rsid w:val="00A60D4B"/>
    <w:pPr>
      <w:spacing w:before="200" w:after="200" w:line="240" w:lineRule="auto"/>
      <w:ind w:left="283" w:hanging="283"/>
    </w:pPr>
    <w:rPr>
      <w:rFonts w:ascii="Calibri" w:eastAsia="Times New Roman" w:hAnsi="Calibri" w:cs="Times New Roman"/>
      <w:sz w:val="24"/>
      <w:szCs w:val="20"/>
    </w:rPr>
  </w:style>
  <w:style w:type="paragraph" w:styleId="List2">
    <w:name w:val="List 2"/>
    <w:basedOn w:val="Normal"/>
    <w:rsid w:val="00A60D4B"/>
    <w:pPr>
      <w:spacing w:before="200" w:after="200" w:line="240" w:lineRule="auto"/>
      <w:ind w:left="566" w:hanging="283"/>
    </w:pPr>
    <w:rPr>
      <w:rFonts w:ascii="Calibri" w:eastAsia="Times New Roman" w:hAnsi="Calibri" w:cs="Times New Roman"/>
      <w:sz w:val="24"/>
      <w:szCs w:val="20"/>
    </w:rPr>
  </w:style>
  <w:style w:type="paragraph" w:styleId="List3">
    <w:name w:val="List 3"/>
    <w:basedOn w:val="Normal"/>
    <w:rsid w:val="00A60D4B"/>
    <w:pPr>
      <w:spacing w:before="200" w:after="200" w:line="240" w:lineRule="auto"/>
      <w:ind w:left="849" w:hanging="283"/>
    </w:pPr>
    <w:rPr>
      <w:rFonts w:ascii="Calibri" w:eastAsia="Times New Roman" w:hAnsi="Calibri" w:cs="Times New Roman"/>
      <w:sz w:val="24"/>
      <w:szCs w:val="20"/>
    </w:rPr>
  </w:style>
  <w:style w:type="paragraph" w:styleId="List4">
    <w:name w:val="List 4"/>
    <w:basedOn w:val="Normal"/>
    <w:rsid w:val="00A60D4B"/>
    <w:pPr>
      <w:spacing w:before="200" w:after="200" w:line="240" w:lineRule="auto"/>
      <w:ind w:left="1132" w:hanging="283"/>
    </w:pPr>
    <w:rPr>
      <w:rFonts w:ascii="Calibri" w:eastAsia="Times New Roman" w:hAnsi="Calibri" w:cs="Times New Roman"/>
      <w:sz w:val="24"/>
      <w:szCs w:val="20"/>
    </w:rPr>
  </w:style>
  <w:style w:type="paragraph" w:styleId="List5">
    <w:name w:val="List 5"/>
    <w:basedOn w:val="Normal"/>
    <w:rsid w:val="00A60D4B"/>
    <w:pPr>
      <w:spacing w:before="200" w:after="200" w:line="240" w:lineRule="auto"/>
      <w:ind w:left="1415" w:hanging="283"/>
    </w:pPr>
    <w:rPr>
      <w:rFonts w:ascii="Calibri" w:eastAsia="Times New Roman" w:hAnsi="Calibri" w:cs="Times New Roman"/>
      <w:sz w:val="24"/>
      <w:szCs w:val="20"/>
    </w:rPr>
  </w:style>
  <w:style w:type="paragraph" w:styleId="ListBullet">
    <w:name w:val="List Bullet"/>
    <w:basedOn w:val="Normal"/>
    <w:rsid w:val="00A60D4B"/>
    <w:pPr>
      <w:numPr>
        <w:numId w:val="54"/>
      </w:numPr>
      <w:spacing w:before="200" w:after="200" w:line="240" w:lineRule="auto"/>
    </w:pPr>
    <w:rPr>
      <w:rFonts w:ascii="Calibri" w:eastAsia="Times New Roman" w:hAnsi="Calibri" w:cs="Times New Roman"/>
      <w:sz w:val="24"/>
      <w:szCs w:val="20"/>
    </w:rPr>
  </w:style>
  <w:style w:type="paragraph" w:styleId="ListBullet2">
    <w:name w:val="List Bullet 2"/>
    <w:basedOn w:val="Normal"/>
    <w:rsid w:val="00A60D4B"/>
    <w:pPr>
      <w:numPr>
        <w:numId w:val="55"/>
      </w:numPr>
      <w:spacing w:before="200" w:after="200" w:line="240" w:lineRule="auto"/>
    </w:pPr>
    <w:rPr>
      <w:rFonts w:ascii="Calibri" w:eastAsia="Times New Roman" w:hAnsi="Calibri" w:cs="Times New Roman"/>
      <w:sz w:val="24"/>
      <w:szCs w:val="20"/>
    </w:rPr>
  </w:style>
  <w:style w:type="paragraph" w:styleId="ListBullet3">
    <w:name w:val="List Bullet 3"/>
    <w:basedOn w:val="Normal"/>
    <w:rsid w:val="00A60D4B"/>
    <w:pPr>
      <w:numPr>
        <w:numId w:val="56"/>
      </w:numPr>
      <w:spacing w:before="200" w:after="200" w:line="240" w:lineRule="auto"/>
    </w:pPr>
    <w:rPr>
      <w:rFonts w:ascii="Calibri" w:eastAsia="Times New Roman" w:hAnsi="Calibri" w:cs="Times New Roman"/>
      <w:sz w:val="24"/>
      <w:szCs w:val="20"/>
    </w:rPr>
  </w:style>
  <w:style w:type="paragraph" w:styleId="ListBullet4">
    <w:name w:val="List Bullet 4"/>
    <w:basedOn w:val="Normal"/>
    <w:rsid w:val="00A60D4B"/>
    <w:pPr>
      <w:numPr>
        <w:numId w:val="57"/>
      </w:numPr>
      <w:spacing w:before="200" w:after="200" w:line="240" w:lineRule="auto"/>
    </w:pPr>
    <w:rPr>
      <w:rFonts w:ascii="Calibri" w:eastAsia="Times New Roman" w:hAnsi="Calibri" w:cs="Times New Roman"/>
      <w:sz w:val="24"/>
      <w:szCs w:val="20"/>
    </w:rPr>
  </w:style>
  <w:style w:type="paragraph" w:styleId="ListBullet5">
    <w:name w:val="List Bullet 5"/>
    <w:basedOn w:val="Normal"/>
    <w:rsid w:val="00A60D4B"/>
    <w:pPr>
      <w:numPr>
        <w:numId w:val="58"/>
      </w:numPr>
      <w:spacing w:before="200" w:after="200" w:line="240" w:lineRule="auto"/>
    </w:pPr>
    <w:rPr>
      <w:rFonts w:ascii="Calibri" w:eastAsia="Times New Roman" w:hAnsi="Calibri" w:cs="Times New Roman"/>
      <w:sz w:val="24"/>
      <w:szCs w:val="20"/>
    </w:rPr>
  </w:style>
  <w:style w:type="paragraph" w:styleId="ListContinue">
    <w:name w:val="List Continue"/>
    <w:basedOn w:val="Normal"/>
    <w:rsid w:val="00A60D4B"/>
    <w:pPr>
      <w:spacing w:before="200" w:after="120" w:line="240" w:lineRule="auto"/>
      <w:ind w:left="283"/>
    </w:pPr>
    <w:rPr>
      <w:rFonts w:ascii="Calibri" w:eastAsia="Times New Roman" w:hAnsi="Calibri" w:cs="Times New Roman"/>
      <w:sz w:val="24"/>
      <w:szCs w:val="20"/>
    </w:rPr>
  </w:style>
  <w:style w:type="paragraph" w:styleId="ListContinue2">
    <w:name w:val="List Continue 2"/>
    <w:basedOn w:val="Normal"/>
    <w:rsid w:val="00A60D4B"/>
    <w:pPr>
      <w:spacing w:before="200" w:after="120" w:line="240" w:lineRule="auto"/>
      <w:ind w:left="566"/>
    </w:pPr>
    <w:rPr>
      <w:rFonts w:ascii="Calibri" w:eastAsia="Times New Roman" w:hAnsi="Calibri" w:cs="Times New Roman"/>
      <w:sz w:val="24"/>
      <w:szCs w:val="20"/>
    </w:rPr>
  </w:style>
  <w:style w:type="paragraph" w:styleId="ListContinue3">
    <w:name w:val="List Continue 3"/>
    <w:basedOn w:val="Normal"/>
    <w:rsid w:val="00A60D4B"/>
    <w:pPr>
      <w:spacing w:before="200" w:after="120" w:line="240" w:lineRule="auto"/>
      <w:ind w:left="849"/>
    </w:pPr>
    <w:rPr>
      <w:rFonts w:ascii="Calibri" w:eastAsia="Times New Roman" w:hAnsi="Calibri" w:cs="Times New Roman"/>
      <w:sz w:val="24"/>
      <w:szCs w:val="20"/>
    </w:rPr>
  </w:style>
  <w:style w:type="paragraph" w:styleId="ListContinue4">
    <w:name w:val="List Continue 4"/>
    <w:basedOn w:val="Normal"/>
    <w:rsid w:val="00A60D4B"/>
    <w:pPr>
      <w:spacing w:before="200" w:after="120" w:line="240" w:lineRule="auto"/>
      <w:ind w:left="1132"/>
    </w:pPr>
    <w:rPr>
      <w:rFonts w:ascii="Calibri" w:eastAsia="Times New Roman" w:hAnsi="Calibri" w:cs="Times New Roman"/>
      <w:sz w:val="24"/>
      <w:szCs w:val="20"/>
    </w:rPr>
  </w:style>
  <w:style w:type="paragraph" w:styleId="ListContinue5">
    <w:name w:val="List Continue 5"/>
    <w:basedOn w:val="Normal"/>
    <w:rsid w:val="00A60D4B"/>
    <w:pPr>
      <w:spacing w:before="200" w:after="120" w:line="240" w:lineRule="auto"/>
      <w:ind w:left="1415"/>
    </w:pPr>
    <w:rPr>
      <w:rFonts w:ascii="Calibri" w:eastAsia="Times New Roman" w:hAnsi="Calibri" w:cs="Times New Roman"/>
      <w:sz w:val="24"/>
      <w:szCs w:val="20"/>
    </w:rPr>
  </w:style>
  <w:style w:type="paragraph" w:styleId="ListNumber2">
    <w:name w:val="List Number 2"/>
    <w:basedOn w:val="Normal"/>
    <w:rsid w:val="00A60D4B"/>
    <w:pPr>
      <w:numPr>
        <w:numId w:val="59"/>
      </w:numPr>
      <w:spacing w:before="200" w:after="200" w:line="240" w:lineRule="auto"/>
    </w:pPr>
    <w:rPr>
      <w:rFonts w:ascii="Calibri" w:eastAsia="Times New Roman" w:hAnsi="Calibri" w:cs="Times New Roman"/>
      <w:sz w:val="24"/>
      <w:szCs w:val="20"/>
    </w:rPr>
  </w:style>
  <w:style w:type="paragraph" w:styleId="ListNumber3">
    <w:name w:val="List Number 3"/>
    <w:basedOn w:val="Normal"/>
    <w:rsid w:val="00A60D4B"/>
    <w:pPr>
      <w:numPr>
        <w:numId w:val="60"/>
      </w:numPr>
      <w:spacing w:before="200" w:after="200" w:line="240" w:lineRule="auto"/>
    </w:pPr>
    <w:rPr>
      <w:rFonts w:ascii="Calibri" w:eastAsia="Times New Roman" w:hAnsi="Calibri" w:cs="Times New Roman"/>
      <w:sz w:val="24"/>
      <w:szCs w:val="20"/>
    </w:rPr>
  </w:style>
  <w:style w:type="paragraph" w:styleId="ListNumber4">
    <w:name w:val="List Number 4"/>
    <w:basedOn w:val="Normal"/>
    <w:rsid w:val="00A60D4B"/>
    <w:pPr>
      <w:numPr>
        <w:numId w:val="61"/>
      </w:numPr>
      <w:spacing w:before="200" w:after="200" w:line="240" w:lineRule="auto"/>
    </w:pPr>
    <w:rPr>
      <w:rFonts w:ascii="Calibri" w:eastAsia="Times New Roman" w:hAnsi="Calibri" w:cs="Times New Roman"/>
      <w:sz w:val="24"/>
      <w:szCs w:val="20"/>
    </w:rPr>
  </w:style>
  <w:style w:type="paragraph" w:styleId="ListNumber5">
    <w:name w:val="List Number 5"/>
    <w:basedOn w:val="Normal"/>
    <w:rsid w:val="00A60D4B"/>
    <w:pPr>
      <w:numPr>
        <w:numId w:val="62"/>
      </w:numPr>
      <w:spacing w:before="200" w:after="200" w:line="240" w:lineRule="auto"/>
    </w:pPr>
    <w:rPr>
      <w:rFonts w:ascii="Calibri" w:eastAsia="Times New Roman" w:hAnsi="Calibri" w:cs="Times New Roman"/>
      <w:sz w:val="24"/>
      <w:szCs w:val="20"/>
    </w:rPr>
  </w:style>
  <w:style w:type="paragraph" w:styleId="MessageHeader">
    <w:name w:val="Message Header"/>
    <w:basedOn w:val="Normal"/>
    <w:link w:val="MessageHeaderChar"/>
    <w:rsid w:val="00A60D4B"/>
    <w:pPr>
      <w:pBdr>
        <w:top w:val="single" w:sz="6" w:space="1" w:color="auto"/>
        <w:left w:val="single" w:sz="6" w:space="1" w:color="auto"/>
        <w:bottom w:val="single" w:sz="6" w:space="1" w:color="auto"/>
        <w:right w:val="single" w:sz="6" w:space="1" w:color="auto"/>
      </w:pBdr>
      <w:shd w:val="pct20" w:color="auto" w:fill="auto"/>
      <w:spacing w:before="200" w:after="200" w:line="240" w:lineRule="auto"/>
      <w:ind w:left="1134" w:hanging="1134"/>
    </w:pPr>
    <w:rPr>
      <w:rFonts w:ascii="Arial" w:eastAsia="Times New Roman" w:hAnsi="Arial" w:cs="Times New Roman"/>
      <w:sz w:val="24"/>
      <w:szCs w:val="24"/>
      <w:lang w:val="x-none"/>
    </w:rPr>
  </w:style>
  <w:style w:type="character" w:customStyle="1" w:styleId="MessageHeaderChar">
    <w:name w:val="Message Header Char"/>
    <w:basedOn w:val="DefaultParagraphFont"/>
    <w:link w:val="MessageHeader"/>
    <w:rsid w:val="00A60D4B"/>
    <w:rPr>
      <w:rFonts w:ascii="Arial" w:eastAsia="Times New Roman" w:hAnsi="Arial" w:cs="Times New Roman"/>
      <w:sz w:val="24"/>
      <w:szCs w:val="24"/>
      <w:shd w:val="pct20" w:color="auto" w:fill="auto"/>
      <w:lang w:val="x-none"/>
    </w:rPr>
  </w:style>
  <w:style w:type="paragraph" w:styleId="NormalIndent">
    <w:name w:val="Normal Indent"/>
    <w:basedOn w:val="Normal"/>
    <w:rsid w:val="00A60D4B"/>
    <w:pPr>
      <w:spacing w:before="200" w:after="200" w:line="240" w:lineRule="auto"/>
      <w:ind w:left="720"/>
    </w:pPr>
    <w:rPr>
      <w:rFonts w:ascii="Calibri" w:eastAsia="Times New Roman" w:hAnsi="Calibri" w:cs="Times New Roman"/>
      <w:sz w:val="24"/>
      <w:szCs w:val="20"/>
    </w:rPr>
  </w:style>
  <w:style w:type="character" w:styleId="PageNumber">
    <w:name w:val="page number"/>
    <w:basedOn w:val="DefaultParagraphFont"/>
    <w:rsid w:val="00A60D4B"/>
  </w:style>
  <w:style w:type="paragraph" w:styleId="Salutation">
    <w:name w:val="Salutation"/>
    <w:basedOn w:val="Normal"/>
    <w:next w:val="Normal"/>
    <w:link w:val="SalutationChar"/>
    <w:rsid w:val="00A60D4B"/>
    <w:pPr>
      <w:spacing w:before="200" w:after="200" w:line="240" w:lineRule="auto"/>
    </w:pPr>
    <w:rPr>
      <w:rFonts w:ascii="Calibri" w:eastAsia="Times New Roman" w:hAnsi="Calibri" w:cs="Times New Roman"/>
      <w:sz w:val="24"/>
      <w:szCs w:val="20"/>
      <w:lang w:val="x-none"/>
    </w:rPr>
  </w:style>
  <w:style w:type="character" w:customStyle="1" w:styleId="SalutationChar">
    <w:name w:val="Salutation Char"/>
    <w:basedOn w:val="DefaultParagraphFont"/>
    <w:link w:val="Salutation"/>
    <w:rsid w:val="00A60D4B"/>
    <w:rPr>
      <w:rFonts w:ascii="Calibri" w:eastAsia="Times New Roman" w:hAnsi="Calibri" w:cs="Times New Roman"/>
      <w:sz w:val="24"/>
      <w:szCs w:val="20"/>
      <w:lang w:val="x-none"/>
    </w:rPr>
  </w:style>
  <w:style w:type="paragraph" w:styleId="Signature">
    <w:name w:val="Signature"/>
    <w:basedOn w:val="Normal"/>
    <w:link w:val="SignatureChar"/>
    <w:rsid w:val="00A60D4B"/>
    <w:pPr>
      <w:spacing w:before="200" w:after="200" w:line="240" w:lineRule="auto"/>
      <w:ind w:left="4252"/>
    </w:pPr>
    <w:rPr>
      <w:rFonts w:ascii="Calibri" w:eastAsia="Times New Roman" w:hAnsi="Calibri" w:cs="Times New Roman"/>
      <w:sz w:val="24"/>
      <w:szCs w:val="20"/>
      <w:lang w:val="x-none"/>
    </w:rPr>
  </w:style>
  <w:style w:type="character" w:customStyle="1" w:styleId="SignatureChar">
    <w:name w:val="Signature Char"/>
    <w:basedOn w:val="DefaultParagraphFont"/>
    <w:link w:val="Signature"/>
    <w:rsid w:val="00A60D4B"/>
    <w:rPr>
      <w:rFonts w:ascii="Calibri" w:eastAsia="Times New Roman" w:hAnsi="Calibri" w:cs="Times New Roman"/>
      <w:sz w:val="24"/>
      <w:szCs w:val="20"/>
      <w:lang w:val="x-none"/>
    </w:rPr>
  </w:style>
  <w:style w:type="character" w:styleId="Strong">
    <w:name w:val="Strong"/>
    <w:qFormat/>
    <w:rsid w:val="00A60D4B"/>
    <w:rPr>
      <w:rFonts w:ascii="Calibri" w:hAnsi="Calibri"/>
      <w:b/>
      <w:bCs/>
    </w:rPr>
  </w:style>
  <w:style w:type="paragraph" w:styleId="Subtitle">
    <w:name w:val="Subtitle"/>
    <w:basedOn w:val="Normal"/>
    <w:link w:val="SubtitleChar"/>
    <w:rsid w:val="00A60D4B"/>
    <w:pPr>
      <w:spacing w:before="200" w:after="60" w:line="240" w:lineRule="auto"/>
      <w:jc w:val="center"/>
      <w:outlineLvl w:val="1"/>
    </w:pPr>
    <w:rPr>
      <w:rFonts w:ascii="Arial" w:eastAsia="Times New Roman" w:hAnsi="Arial" w:cs="Times New Roman"/>
      <w:sz w:val="24"/>
      <w:szCs w:val="24"/>
      <w:lang w:val="x-none"/>
    </w:rPr>
  </w:style>
  <w:style w:type="character" w:customStyle="1" w:styleId="SubtitleChar">
    <w:name w:val="Subtitle Char"/>
    <w:basedOn w:val="DefaultParagraphFont"/>
    <w:link w:val="Subtitle"/>
    <w:rsid w:val="00A60D4B"/>
    <w:rPr>
      <w:rFonts w:ascii="Arial" w:eastAsia="Times New Roman" w:hAnsi="Arial" w:cs="Times New Roman"/>
      <w:sz w:val="24"/>
      <w:szCs w:val="24"/>
      <w:lang w:val="x-none"/>
    </w:rPr>
  </w:style>
  <w:style w:type="table" w:styleId="Table3Deffects1">
    <w:name w:val="Table 3D effects 1"/>
    <w:basedOn w:val="TableNormal"/>
    <w:rsid w:val="00A60D4B"/>
    <w:pPr>
      <w:spacing w:after="0" w:line="240" w:lineRule="auto"/>
    </w:pPr>
    <w:rPr>
      <w:rFonts w:ascii="Times New Roman" w:eastAsia="Times New Roman" w:hAnsi="Times New Roman" w:cs="Times New Roman"/>
      <w:sz w:val="20"/>
      <w:szCs w:val="20"/>
      <w:lang w:eastAsia="en-A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A60D4B"/>
    <w:pPr>
      <w:spacing w:after="0" w:line="240" w:lineRule="auto"/>
    </w:pPr>
    <w:rPr>
      <w:rFonts w:ascii="Times New Roman" w:eastAsia="Times New Roman" w:hAnsi="Times New Roman" w:cs="Times New Roman"/>
      <w:sz w:val="20"/>
      <w:szCs w:val="20"/>
      <w:lang w:eastAsia="en-A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A60D4B"/>
    <w:pPr>
      <w:spacing w:after="0" w:line="240" w:lineRule="auto"/>
    </w:pPr>
    <w:rPr>
      <w:rFonts w:ascii="Times New Roman" w:eastAsia="Times New Roman" w:hAnsi="Times New Roman" w:cs="Times New Roman"/>
      <w:sz w:val="20"/>
      <w:szCs w:val="20"/>
      <w:lang w:eastAsia="en-A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A60D4B"/>
    <w:pPr>
      <w:spacing w:after="0" w:line="240" w:lineRule="auto"/>
    </w:pPr>
    <w:rPr>
      <w:rFonts w:ascii="Calibri" w:eastAsia="Times New Roman" w:hAnsi="Calibri" w:cs="Times New Roman"/>
      <w:sz w:val="20"/>
      <w:szCs w:val="20"/>
      <w:lang w:eastAsia="en-AU"/>
    </w:rPr>
    <w:tblPr>
      <w:tblBorders>
        <w:bottom w:val="single" w:sz="12" w:space="0" w:color="000000"/>
      </w:tblBorders>
    </w:tblPr>
    <w:tcPr>
      <w:shd w:val="clear" w:color="auto" w:fill="auto"/>
    </w:tcPr>
    <w:tblStylePr w:type="firstRow">
      <w:rPr>
        <w:rFonts w:ascii="Calibri" w:hAnsi="Calibri"/>
        <w:b/>
        <w:i w:val="0"/>
        <w:iCs/>
        <w:sz w:val="20"/>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rPr>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A60D4B"/>
    <w:pPr>
      <w:spacing w:after="0" w:line="240" w:lineRule="auto"/>
    </w:pPr>
    <w:rPr>
      <w:rFonts w:ascii="Times New Roman" w:eastAsia="Times New Roman" w:hAnsi="Times New Roman" w:cs="Times New Roman"/>
      <w:sz w:val="20"/>
      <w:szCs w:val="20"/>
      <w:lang w:eastAsia="en-A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A60D4B"/>
    <w:pPr>
      <w:spacing w:after="0" w:line="240" w:lineRule="auto"/>
    </w:pPr>
    <w:rPr>
      <w:rFonts w:ascii="Times New Roman" w:eastAsia="Times New Roman" w:hAnsi="Times New Roman" w:cs="Times New Roman"/>
      <w:color w:val="000080"/>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A60D4B"/>
    <w:pPr>
      <w:spacing w:after="0" w:line="240" w:lineRule="auto"/>
    </w:pPr>
    <w:rPr>
      <w:rFonts w:ascii="Times New Roman" w:eastAsia="Times New Roman" w:hAnsi="Times New Roman" w:cs="Times New Roman"/>
      <w:sz w:val="20"/>
      <w:szCs w:val="20"/>
      <w:lang w:eastAsia="en-A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A60D4B"/>
    <w:pPr>
      <w:spacing w:after="0" w:line="240" w:lineRule="auto"/>
    </w:pPr>
    <w:rPr>
      <w:rFonts w:ascii="Times New Roman" w:eastAsia="Times New Roman" w:hAnsi="Times New Roman" w:cs="Times New Roman"/>
      <w:color w:val="FFFFFF"/>
      <w:sz w:val="20"/>
      <w:szCs w:val="20"/>
      <w:lang w:eastAsia="en-A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A60D4B"/>
    <w:pPr>
      <w:spacing w:after="0" w:line="240" w:lineRule="auto"/>
    </w:pPr>
    <w:rPr>
      <w:rFonts w:ascii="Times New Roman" w:eastAsia="Times New Roman" w:hAnsi="Times New Roman" w:cs="Times New Roman"/>
      <w:sz w:val="20"/>
      <w:szCs w:val="20"/>
      <w:lang w:eastAsia="en-A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A60D4B"/>
    <w:pPr>
      <w:spacing w:after="0" w:line="240" w:lineRule="auto"/>
    </w:pPr>
    <w:rPr>
      <w:rFonts w:ascii="Times New Roman" w:eastAsia="Times New Roman" w:hAnsi="Times New Roman" w:cs="Times New Roman"/>
      <w:sz w:val="20"/>
      <w:szCs w:val="20"/>
      <w:lang w:eastAsia="en-A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A60D4B"/>
    <w:pPr>
      <w:spacing w:after="0" w:line="240" w:lineRule="auto"/>
    </w:pPr>
    <w:rPr>
      <w:rFonts w:ascii="Times New Roman" w:eastAsia="Times New Roman" w:hAnsi="Times New Roman" w:cs="Times New Roman"/>
      <w:b/>
      <w:bCs/>
      <w:sz w:val="20"/>
      <w:szCs w:val="20"/>
      <w:lang w:eastAsia="en-A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A60D4B"/>
    <w:pPr>
      <w:spacing w:after="0" w:line="240" w:lineRule="auto"/>
    </w:pPr>
    <w:rPr>
      <w:rFonts w:ascii="Times New Roman" w:eastAsia="Times New Roman" w:hAnsi="Times New Roman" w:cs="Times New Roman"/>
      <w:b/>
      <w:bCs/>
      <w:sz w:val="20"/>
      <w:szCs w:val="20"/>
      <w:lang w:eastAsia="en-A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A60D4B"/>
    <w:pPr>
      <w:spacing w:after="0" w:line="240" w:lineRule="auto"/>
    </w:pPr>
    <w:rPr>
      <w:rFonts w:ascii="Times New Roman" w:eastAsia="Times New Roman" w:hAnsi="Times New Roman" w:cs="Times New Roman"/>
      <w:b/>
      <w:bCs/>
      <w:sz w:val="20"/>
      <w:szCs w:val="20"/>
      <w:lang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A60D4B"/>
    <w:pPr>
      <w:spacing w:after="0" w:line="240" w:lineRule="auto"/>
    </w:pPr>
    <w:rPr>
      <w:rFonts w:ascii="Times New Roman" w:eastAsia="Times New Roman" w:hAnsi="Times New Roman" w:cs="Times New Roman"/>
      <w:sz w:val="20"/>
      <w:szCs w:val="20"/>
      <w:lang w:eastAsia="en-A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A60D4B"/>
    <w:pPr>
      <w:spacing w:after="0" w:line="240" w:lineRule="auto"/>
    </w:pPr>
    <w:rPr>
      <w:rFonts w:ascii="Times New Roman" w:eastAsia="Times New Roman" w:hAnsi="Times New Roman" w:cs="Times New Roman"/>
      <w:sz w:val="20"/>
      <w:szCs w:val="20"/>
      <w:lang w:eastAsia="en-A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A60D4B"/>
    <w:pPr>
      <w:spacing w:after="0" w:line="240" w:lineRule="auto"/>
    </w:pPr>
    <w:rPr>
      <w:rFonts w:ascii="Times New Roman" w:eastAsia="Times New Roman" w:hAnsi="Times New Roman" w:cs="Times New Roman"/>
      <w:sz w:val="20"/>
      <w:szCs w:val="20"/>
      <w:lang w:eastAsia="en-A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A60D4B"/>
    <w:pPr>
      <w:spacing w:after="0" w:line="240" w:lineRule="auto"/>
    </w:pPr>
    <w:rPr>
      <w:rFonts w:ascii="Times New Roman" w:eastAsia="Times New Roman" w:hAnsi="Times New Roman" w:cs="Times New Roman"/>
      <w:sz w:val="20"/>
      <w:szCs w:val="20"/>
      <w:lang w:eastAsia="en-A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A60D4B"/>
    <w:pPr>
      <w:spacing w:after="0" w:line="240" w:lineRule="auto"/>
    </w:pPr>
    <w:rPr>
      <w:rFonts w:ascii="Times New Roman" w:eastAsia="Times New Roman"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A60D4B"/>
    <w:pPr>
      <w:spacing w:after="0" w:line="240" w:lineRule="auto"/>
    </w:pPr>
    <w:rPr>
      <w:rFonts w:ascii="Times New Roman" w:eastAsia="Times New Roman" w:hAnsi="Times New Roman" w:cs="Times New Roman"/>
      <w:sz w:val="20"/>
      <w:szCs w:val="20"/>
      <w:lang w:eastAsia="en-A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A60D4B"/>
    <w:pPr>
      <w:spacing w:after="0" w:line="240" w:lineRule="auto"/>
    </w:pPr>
    <w:rPr>
      <w:rFonts w:ascii="Times New Roman" w:eastAsia="Times New Roman" w:hAnsi="Times New Roman" w:cs="Times New Roman"/>
      <w:sz w:val="20"/>
      <w:szCs w:val="20"/>
      <w:lang w:eastAsia="en-A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A60D4B"/>
    <w:pPr>
      <w:spacing w:after="0" w:line="240" w:lineRule="auto"/>
    </w:pPr>
    <w:rPr>
      <w:rFonts w:ascii="Times New Roman" w:eastAsia="Times New Roman" w:hAnsi="Times New Roman" w:cs="Times New Roman"/>
      <w:sz w:val="20"/>
      <w:szCs w:val="20"/>
      <w:lang w:eastAsia="en-A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A60D4B"/>
    <w:pPr>
      <w:spacing w:after="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A60D4B"/>
    <w:pPr>
      <w:spacing w:after="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A60D4B"/>
    <w:pPr>
      <w:spacing w:after="0" w:line="240" w:lineRule="auto"/>
    </w:pPr>
    <w:rPr>
      <w:rFonts w:ascii="Times New Roman" w:eastAsia="Times New Roman" w:hAnsi="Times New Roman" w:cs="Times New Roman"/>
      <w:b/>
      <w:bCs/>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A60D4B"/>
    <w:pPr>
      <w:spacing w:after="0" w:line="240" w:lineRule="auto"/>
    </w:pPr>
    <w:rPr>
      <w:rFonts w:ascii="Times New Roman" w:eastAsia="Times New Roman" w:hAnsi="Times New Roman" w:cs="Times New Roman"/>
      <w:sz w:val="20"/>
      <w:szCs w:val="20"/>
      <w:lang w:eastAsia="en-A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A60D4B"/>
    <w:pPr>
      <w:spacing w:after="0" w:line="240" w:lineRule="auto"/>
    </w:pPr>
    <w:rPr>
      <w:rFonts w:ascii="Times New Roman" w:eastAsia="Times New Roman" w:hAnsi="Times New Roman" w:cs="Times New Roman"/>
      <w:sz w:val="20"/>
      <w:szCs w:val="20"/>
      <w:lang w:eastAsia="en-A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A60D4B"/>
    <w:pPr>
      <w:spacing w:after="0" w:line="240" w:lineRule="auto"/>
    </w:pPr>
    <w:rPr>
      <w:rFonts w:ascii="Times New Roman" w:eastAsia="Times New Roman" w:hAnsi="Times New Roman" w:cs="Times New Roman"/>
      <w:sz w:val="20"/>
      <w:szCs w:val="20"/>
      <w:lang w:eastAsia="en-A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A60D4B"/>
    <w:pPr>
      <w:spacing w:after="0" w:line="240" w:lineRule="auto"/>
    </w:pPr>
    <w:rPr>
      <w:rFonts w:ascii="Calibri" w:eastAsia="Times New Roman" w:hAnsi="Calibri" w:cs="Times New Roman"/>
      <w:sz w:val="20"/>
      <w:szCs w:val="20"/>
      <w:lang w:eastAsia="en-AU"/>
    </w:rPr>
    <w:tblPr>
      <w:tblStyleRowBandSize w:val="1"/>
      <w:tblBorders>
        <w:top w:val="single" w:sz="12" w:space="0" w:color="000000"/>
        <w:bottom w:val="single" w:sz="12" w:space="0" w:color="000000"/>
        <w:insideH w:val="single" w:sz="6" w:space="0" w:color="000000"/>
      </w:tblBorders>
    </w:tblPr>
    <w:tcPr>
      <w:shd w:val="clear" w:color="auto" w:fill="auto"/>
    </w:tcPr>
    <w:tblStylePr w:type="firstRow">
      <w:rPr>
        <w:rFonts w:ascii="Calibri" w:hAnsi="Calibri"/>
        <w:b/>
        <w:bCs/>
        <w:color w:val="auto"/>
        <w:sz w:val="2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rPr>
        <w:rFonts w:ascii="Calibri" w:hAnsi="Calibri"/>
        <w:b/>
        <w:sz w:val="20"/>
      </w:rPr>
    </w:tblStylePr>
    <w:tblStylePr w:type="band1Horz">
      <w:rPr>
        <w:rFonts w:ascii="Calibri" w:hAnsi="Calibri"/>
        <w:sz w:val="20"/>
      </w:rPr>
    </w:tblStylePr>
    <w:tblStylePr w:type="band2Horz">
      <w:rPr>
        <w:rFonts w:ascii="Calibri" w:hAnsi="Calibri"/>
        <w:sz w:val="20"/>
      </w:r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A60D4B"/>
    <w:pPr>
      <w:spacing w:after="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A60D4B"/>
    <w:pPr>
      <w:spacing w:after="0" w:line="240" w:lineRule="auto"/>
    </w:pPr>
    <w:rPr>
      <w:rFonts w:ascii="Times New Roman" w:eastAsia="Times New Roman"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A60D4B"/>
    <w:pPr>
      <w:spacing w:after="0" w:line="240" w:lineRule="auto"/>
    </w:pPr>
    <w:rPr>
      <w:rFonts w:ascii="Times New Roman" w:eastAsia="Times New Roman" w:hAnsi="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A60D4B"/>
    <w:pPr>
      <w:spacing w:after="0" w:line="240" w:lineRule="auto"/>
    </w:pPr>
    <w:rPr>
      <w:rFonts w:ascii="Times New Roman" w:eastAsia="Times New Roman" w:hAnsi="Times New Roman" w:cs="Times New Roman"/>
      <w:sz w:val="20"/>
      <w:szCs w:val="20"/>
      <w:lang w:eastAsia="en-A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A60D4B"/>
    <w:pPr>
      <w:spacing w:after="0" w:line="240" w:lineRule="auto"/>
    </w:pPr>
    <w:rPr>
      <w:rFonts w:ascii="Times New Roman" w:eastAsia="Times New Roman" w:hAnsi="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A60D4B"/>
    <w:pPr>
      <w:spacing w:after="0" w:line="240" w:lineRule="auto"/>
    </w:pPr>
    <w:rPr>
      <w:rFonts w:ascii="Times New Roman" w:eastAsia="Times New Roman"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A60D4B"/>
    <w:pPr>
      <w:spacing w:after="0" w:line="240" w:lineRule="auto"/>
    </w:pPr>
    <w:rPr>
      <w:rFonts w:ascii="Times New Roman" w:eastAsia="Times New Roman" w:hAnsi="Times New Roman" w:cs="Times New Roman"/>
      <w:sz w:val="20"/>
      <w:szCs w:val="20"/>
      <w:lang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A60D4B"/>
    <w:pPr>
      <w:spacing w:after="0" w:line="240" w:lineRule="auto"/>
    </w:pPr>
    <w:rPr>
      <w:rFonts w:ascii="Times New Roman" w:eastAsia="Times New Roman" w:hAnsi="Times New Roman" w:cs="Times New Roman"/>
      <w:sz w:val="20"/>
      <w:szCs w:val="20"/>
      <w:lang w:eastAsia="en-A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A60D4B"/>
    <w:pPr>
      <w:spacing w:after="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A60D4B"/>
    <w:pPr>
      <w:spacing w:after="0" w:line="240" w:lineRule="auto"/>
    </w:pPr>
    <w:rPr>
      <w:rFonts w:ascii="Times New Roman" w:eastAsia="Times New Roman" w:hAnsi="Times New Roman" w:cs="Times New Roman"/>
      <w:sz w:val="20"/>
      <w:szCs w:val="20"/>
      <w:lang w:eastAsia="en-A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A60D4B"/>
    <w:pPr>
      <w:spacing w:after="0" w:line="240" w:lineRule="auto"/>
    </w:pPr>
    <w:rPr>
      <w:rFonts w:ascii="Times New Roman" w:eastAsia="Times New Roman" w:hAnsi="Times New Roman" w:cs="Times New Roman"/>
      <w:sz w:val="20"/>
      <w:szCs w:val="20"/>
      <w:lang w:eastAsia="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A60D4B"/>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A60D4B"/>
    <w:pPr>
      <w:spacing w:after="0" w:line="240" w:lineRule="auto"/>
    </w:pPr>
    <w:rPr>
      <w:rFonts w:ascii="Times New Roman" w:eastAsia="Times New Roman" w:hAnsi="Times New Roman" w:cs="Times New Roman"/>
      <w:sz w:val="20"/>
      <w:szCs w:val="20"/>
      <w:lang w:eastAsia="en-A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A60D4B"/>
    <w:pPr>
      <w:spacing w:after="0" w:line="240" w:lineRule="auto"/>
    </w:pPr>
    <w:rPr>
      <w:rFonts w:ascii="Times New Roman" w:eastAsia="Times New Roman" w:hAnsi="Times New Roman" w:cs="Times New Roman"/>
      <w:sz w:val="20"/>
      <w:szCs w:val="20"/>
      <w:lang w:eastAsia="en-A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A60D4B"/>
    <w:pPr>
      <w:spacing w:after="0" w:line="240" w:lineRule="auto"/>
    </w:pPr>
    <w:rPr>
      <w:rFonts w:ascii="Times New Roman" w:eastAsia="Times New Roman" w:hAnsi="Times New Roman" w:cs="Times New Roman"/>
      <w:sz w:val="20"/>
      <w:szCs w:val="20"/>
      <w:lang w:eastAsia="en-A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10"/>
    <w:qFormat/>
    <w:rsid w:val="00A60D4B"/>
    <w:pPr>
      <w:spacing w:before="480" w:after="480" w:line="240" w:lineRule="auto"/>
      <w:jc w:val="center"/>
      <w:outlineLvl w:val="0"/>
    </w:pPr>
    <w:rPr>
      <w:rFonts w:ascii="Arial" w:eastAsia="Times New Roman" w:hAnsi="Arial" w:cs="Times New Roman"/>
      <w:b/>
      <w:bCs/>
      <w:kern w:val="28"/>
      <w:sz w:val="48"/>
      <w:szCs w:val="32"/>
      <w:lang w:val="x-none"/>
    </w:rPr>
  </w:style>
  <w:style w:type="character" w:customStyle="1" w:styleId="TitleChar">
    <w:name w:val="Title Char"/>
    <w:basedOn w:val="DefaultParagraphFont"/>
    <w:link w:val="Title"/>
    <w:uiPriority w:val="10"/>
    <w:rsid w:val="00A60D4B"/>
    <w:rPr>
      <w:rFonts w:ascii="Arial" w:eastAsia="Times New Roman" w:hAnsi="Arial" w:cs="Times New Roman"/>
      <w:b/>
      <w:bCs/>
      <w:kern w:val="28"/>
      <w:sz w:val="48"/>
      <w:szCs w:val="32"/>
      <w:lang w:val="x-none"/>
    </w:rPr>
  </w:style>
  <w:style w:type="paragraph" w:customStyle="1" w:styleId="TableNumber">
    <w:name w:val="Table Number"/>
    <w:basedOn w:val="TableName"/>
    <w:next w:val="TableName"/>
    <w:rsid w:val="00A60D4B"/>
    <w:pPr>
      <w:spacing w:before="60" w:after="0"/>
    </w:pPr>
  </w:style>
  <w:style w:type="paragraph" w:customStyle="1" w:styleId="TableTextIndent">
    <w:name w:val="Table Text Indent"/>
    <w:rsid w:val="00A60D4B"/>
    <w:pPr>
      <w:numPr>
        <w:numId w:val="63"/>
      </w:numPr>
      <w:spacing w:before="60" w:after="0" w:line="240" w:lineRule="auto"/>
    </w:pPr>
    <w:rPr>
      <w:rFonts w:ascii="Calibri" w:eastAsia="Times New Roman" w:hAnsi="Calibri" w:cs="Times New Roman"/>
      <w:sz w:val="20"/>
      <w:szCs w:val="24"/>
    </w:rPr>
  </w:style>
  <w:style w:type="paragraph" w:customStyle="1" w:styleId="TableHeadingCentre-BP4">
    <w:name w:val="Table Heading Centre - BP4"/>
    <w:basedOn w:val="Normal"/>
    <w:rsid w:val="00A60D4B"/>
    <w:pPr>
      <w:keepNext/>
      <w:spacing w:before="200" w:after="200" w:line="240" w:lineRule="auto"/>
      <w:jc w:val="center"/>
    </w:pPr>
    <w:rPr>
      <w:rFonts w:ascii="Calibri" w:eastAsia="Times New Roman" w:hAnsi="Calibri" w:cs="Times New Roman"/>
      <w:b/>
      <w:sz w:val="18"/>
      <w:szCs w:val="20"/>
    </w:rPr>
  </w:style>
  <w:style w:type="paragraph" w:customStyle="1" w:styleId="TableTextRightBold-BP4">
    <w:name w:val="Table Text Right Bold - BP4"/>
    <w:basedOn w:val="Normal"/>
    <w:rsid w:val="00A60D4B"/>
    <w:pPr>
      <w:spacing w:before="200" w:after="200" w:line="240" w:lineRule="auto"/>
      <w:jc w:val="right"/>
    </w:pPr>
    <w:rPr>
      <w:rFonts w:ascii="Calibri" w:eastAsia="Times New Roman" w:hAnsi="Calibri" w:cs="Times New Roman"/>
      <w:b/>
      <w:sz w:val="18"/>
      <w:szCs w:val="20"/>
    </w:rPr>
  </w:style>
  <w:style w:type="paragraph" w:customStyle="1" w:styleId="TableHeadingRight-BP4">
    <w:name w:val="Table Heading Right - BP4"/>
    <w:basedOn w:val="Normal"/>
    <w:rsid w:val="00A60D4B"/>
    <w:pPr>
      <w:keepNext/>
      <w:spacing w:before="200" w:after="200" w:line="240" w:lineRule="auto"/>
      <w:jc w:val="right"/>
    </w:pPr>
    <w:rPr>
      <w:rFonts w:ascii="Calibri" w:eastAsia="Times New Roman" w:hAnsi="Calibri" w:cs="Times New Roman"/>
      <w:b/>
      <w:sz w:val="18"/>
      <w:szCs w:val="24"/>
    </w:rPr>
  </w:style>
  <w:style w:type="character" w:customStyle="1" w:styleId="NoteTextChar">
    <w:name w:val="Note Text Char"/>
    <w:link w:val="NoteText"/>
    <w:locked/>
    <w:rsid w:val="00A60D4B"/>
    <w:rPr>
      <w:rFonts w:ascii="Calibri" w:eastAsia="Times New Roman" w:hAnsi="Calibri" w:cs="Times New Roman"/>
      <w:iCs/>
      <w:sz w:val="16"/>
      <w:szCs w:val="20"/>
      <w:lang w:val="x-none"/>
    </w:rPr>
  </w:style>
  <w:style w:type="paragraph" w:customStyle="1" w:styleId="TableHeadingLeft-BP4">
    <w:name w:val="Table Heading Left - BP4"/>
    <w:basedOn w:val="Normal"/>
    <w:link w:val="TableHeadingLeft-BP4CharChar"/>
    <w:rsid w:val="00A60D4B"/>
    <w:pPr>
      <w:keepNext/>
      <w:spacing w:before="200" w:after="200" w:line="240" w:lineRule="auto"/>
    </w:pPr>
    <w:rPr>
      <w:rFonts w:ascii="Calibri" w:eastAsia="Times New Roman" w:hAnsi="Calibri" w:cs="Times New Roman"/>
      <w:b/>
      <w:sz w:val="18"/>
      <w:szCs w:val="20"/>
      <w:lang w:val="x-none" w:eastAsia="x-none"/>
    </w:rPr>
  </w:style>
  <w:style w:type="character" w:customStyle="1" w:styleId="TableHeadingLeft-BP4CharChar">
    <w:name w:val="Table Heading Left - BP4 Char Char"/>
    <w:link w:val="TableHeadingLeft-BP4"/>
    <w:locked/>
    <w:rsid w:val="00A60D4B"/>
    <w:rPr>
      <w:rFonts w:ascii="Calibri" w:eastAsia="Times New Roman" w:hAnsi="Calibri" w:cs="Times New Roman"/>
      <w:b/>
      <w:sz w:val="18"/>
      <w:szCs w:val="20"/>
      <w:lang w:val="x-none" w:eastAsia="x-none"/>
    </w:rPr>
  </w:style>
  <w:style w:type="paragraph" w:customStyle="1" w:styleId="TableTextRight-BP4">
    <w:name w:val="Table Text Right - BP4"/>
    <w:basedOn w:val="Normal"/>
    <w:rsid w:val="00A60D4B"/>
    <w:pPr>
      <w:spacing w:before="200" w:after="200" w:line="240" w:lineRule="auto"/>
      <w:jc w:val="right"/>
    </w:pPr>
    <w:rPr>
      <w:rFonts w:ascii="Calibri" w:eastAsia="Times New Roman" w:hAnsi="Calibri" w:cs="Times New Roman"/>
      <w:sz w:val="18"/>
      <w:szCs w:val="20"/>
    </w:rPr>
  </w:style>
  <w:style w:type="paragraph" w:customStyle="1" w:styleId="TableTextLeftBold-BP4">
    <w:name w:val="Table Text Left Bold - BP4"/>
    <w:basedOn w:val="Normal"/>
    <w:link w:val="TableTextLeftBold-BP4CharChar"/>
    <w:rsid w:val="00A60D4B"/>
    <w:pPr>
      <w:spacing w:before="200" w:after="200" w:line="240" w:lineRule="auto"/>
      <w:ind w:left="142" w:hanging="142"/>
    </w:pPr>
    <w:rPr>
      <w:rFonts w:ascii="Calibri" w:eastAsia="Times New Roman" w:hAnsi="Calibri" w:cs="Times New Roman"/>
      <w:b/>
      <w:sz w:val="18"/>
      <w:szCs w:val="20"/>
      <w:lang w:val="x-none"/>
    </w:rPr>
  </w:style>
  <w:style w:type="character" w:customStyle="1" w:styleId="TableTextLeftBold-BP4CharChar">
    <w:name w:val="Table Text Left Bold - BP4 Char Char"/>
    <w:link w:val="TableTextLeftBold-BP4"/>
    <w:locked/>
    <w:rsid w:val="00A60D4B"/>
    <w:rPr>
      <w:rFonts w:ascii="Calibri" w:eastAsia="Times New Roman" w:hAnsi="Calibri" w:cs="Times New Roman"/>
      <w:b/>
      <w:sz w:val="18"/>
      <w:szCs w:val="20"/>
      <w:lang w:val="x-none"/>
    </w:rPr>
  </w:style>
  <w:style w:type="paragraph" w:customStyle="1" w:styleId="TableTextLeft-BP4">
    <w:name w:val="Table Text Left - BP4"/>
    <w:basedOn w:val="Normal"/>
    <w:link w:val="TableTextLeft-BP4Char"/>
    <w:rsid w:val="00A60D4B"/>
    <w:pPr>
      <w:spacing w:before="200" w:after="200" w:line="240" w:lineRule="auto"/>
      <w:ind w:left="142" w:hanging="142"/>
    </w:pPr>
    <w:rPr>
      <w:rFonts w:ascii="Calibri" w:eastAsia="Times New Roman" w:hAnsi="Calibri" w:cs="Times New Roman"/>
      <w:sz w:val="18"/>
      <w:szCs w:val="18"/>
      <w:lang w:val="x-none"/>
    </w:rPr>
  </w:style>
  <w:style w:type="paragraph" w:customStyle="1" w:styleId="TableNumbersRight-BP4">
    <w:name w:val="Table Numbers Right - BP4"/>
    <w:basedOn w:val="Normal"/>
    <w:rsid w:val="00A60D4B"/>
    <w:pPr>
      <w:spacing w:before="200" w:after="200" w:line="240" w:lineRule="auto"/>
      <w:jc w:val="right"/>
    </w:pPr>
    <w:rPr>
      <w:rFonts w:ascii="Calibri" w:eastAsia="Times New Roman" w:hAnsi="Calibri" w:cs="Times New Roman"/>
      <w:sz w:val="18"/>
      <w:szCs w:val="20"/>
    </w:rPr>
  </w:style>
  <w:style w:type="paragraph" w:customStyle="1" w:styleId="AITableText">
    <w:name w:val="AI Table Text"/>
    <w:basedOn w:val="Normal"/>
    <w:link w:val="AITableTextChar"/>
    <w:rsid w:val="00A60D4B"/>
    <w:pPr>
      <w:spacing w:before="200" w:after="200" w:line="240" w:lineRule="auto"/>
      <w:jc w:val="right"/>
    </w:pPr>
    <w:rPr>
      <w:rFonts w:ascii="Calibri" w:eastAsia="Times New Roman" w:hAnsi="Calibri" w:cs="Times New Roman"/>
      <w:sz w:val="20"/>
      <w:szCs w:val="24"/>
      <w:lang w:val="x-none"/>
    </w:rPr>
  </w:style>
  <w:style w:type="character" w:customStyle="1" w:styleId="AITableTextChar">
    <w:name w:val="AI Table Text Char"/>
    <w:link w:val="AITableText"/>
    <w:locked/>
    <w:rsid w:val="00A60D4B"/>
    <w:rPr>
      <w:rFonts w:ascii="Calibri" w:eastAsia="Times New Roman" w:hAnsi="Calibri" w:cs="Times New Roman"/>
      <w:sz w:val="20"/>
      <w:szCs w:val="24"/>
      <w:lang w:val="x-none"/>
    </w:rPr>
  </w:style>
  <w:style w:type="paragraph" w:customStyle="1" w:styleId="AIIndent">
    <w:name w:val="AI Indent"/>
    <w:basedOn w:val="Normal"/>
    <w:link w:val="AIIndentChar"/>
    <w:rsid w:val="00A60D4B"/>
    <w:pPr>
      <w:tabs>
        <w:tab w:val="num" w:pos="360"/>
      </w:tabs>
      <w:spacing w:before="200" w:after="200" w:line="240" w:lineRule="auto"/>
      <w:ind w:left="357" w:hanging="357"/>
    </w:pPr>
    <w:rPr>
      <w:rFonts w:ascii="Calibri" w:eastAsia="Times New Roman" w:hAnsi="Calibri" w:cs="Times New Roman"/>
      <w:sz w:val="20"/>
      <w:szCs w:val="20"/>
      <w:lang w:val="x-none"/>
    </w:rPr>
  </w:style>
  <w:style w:type="character" w:customStyle="1" w:styleId="AIIndentChar">
    <w:name w:val="AI Indent Char"/>
    <w:link w:val="AIIndent"/>
    <w:locked/>
    <w:rsid w:val="00A60D4B"/>
    <w:rPr>
      <w:rFonts w:ascii="Calibri" w:eastAsia="Times New Roman" w:hAnsi="Calibri" w:cs="Times New Roman"/>
      <w:sz w:val="20"/>
      <w:szCs w:val="20"/>
      <w:lang w:val="x-none"/>
    </w:rPr>
  </w:style>
  <w:style w:type="paragraph" w:customStyle="1" w:styleId="TableHeadingCentre-BP3">
    <w:name w:val="Table Heading Centre - BP3"/>
    <w:basedOn w:val="TableHeadingCentre-BP4"/>
    <w:rsid w:val="00A60D4B"/>
    <w:rPr>
      <w:sz w:val="20"/>
    </w:rPr>
  </w:style>
  <w:style w:type="paragraph" w:customStyle="1" w:styleId="TableHeadingLeft-BP3">
    <w:name w:val="Table Heading Left - BP3"/>
    <w:basedOn w:val="TableHeadingLeft-BP4"/>
    <w:rsid w:val="00A60D4B"/>
    <w:rPr>
      <w:sz w:val="20"/>
    </w:rPr>
  </w:style>
  <w:style w:type="paragraph" w:customStyle="1" w:styleId="TableHeadingRight-BP3">
    <w:name w:val="Table Heading Right - BP3"/>
    <w:basedOn w:val="TableHeadingRight-BP4"/>
    <w:rsid w:val="00A60D4B"/>
    <w:rPr>
      <w:sz w:val="20"/>
    </w:rPr>
  </w:style>
  <w:style w:type="paragraph" w:customStyle="1" w:styleId="TableNumbersRight-BP3">
    <w:name w:val="Table Numbers Right - BP3"/>
    <w:basedOn w:val="TableNumbersRight-BP4"/>
    <w:rsid w:val="00A60D4B"/>
    <w:rPr>
      <w:sz w:val="20"/>
    </w:rPr>
  </w:style>
  <w:style w:type="paragraph" w:customStyle="1" w:styleId="TableTextLeft-BP3">
    <w:name w:val="Table Text Left - BP3"/>
    <w:basedOn w:val="TableTextLeft-BP4"/>
    <w:rsid w:val="00A60D4B"/>
    <w:rPr>
      <w:sz w:val="20"/>
    </w:rPr>
  </w:style>
  <w:style w:type="paragraph" w:customStyle="1" w:styleId="TableTextLeftBold-BP3">
    <w:name w:val="Table Text Left Bold - BP3"/>
    <w:basedOn w:val="TableTextLeftBold-BP4"/>
    <w:rsid w:val="00A60D4B"/>
    <w:rPr>
      <w:sz w:val="20"/>
    </w:rPr>
  </w:style>
  <w:style w:type="paragraph" w:customStyle="1" w:styleId="TableTextRight-BP3">
    <w:name w:val="Table Text Right - BP3"/>
    <w:basedOn w:val="TableTextRight-BP4"/>
    <w:rsid w:val="00A60D4B"/>
    <w:rPr>
      <w:sz w:val="20"/>
    </w:rPr>
  </w:style>
  <w:style w:type="paragraph" w:customStyle="1" w:styleId="TableTextRightBold-BP3">
    <w:name w:val="Table Text Right Bold - BP3"/>
    <w:basedOn w:val="TableTextRightBold-BP4"/>
    <w:rsid w:val="00A60D4B"/>
  </w:style>
  <w:style w:type="paragraph" w:customStyle="1" w:styleId="TableTextLeft-BP4FS">
    <w:name w:val="Table Text Left - BP4 FS"/>
    <w:basedOn w:val="TableTextLeft-BP4"/>
    <w:rsid w:val="00A60D4B"/>
    <w:pPr>
      <w:ind w:left="227"/>
    </w:pPr>
  </w:style>
  <w:style w:type="paragraph" w:customStyle="1" w:styleId="TableHeadingCentre-BP410pt">
    <w:name w:val="Table Heading Centre - BP4 10pt"/>
    <w:basedOn w:val="TableHeadingCentre-BP4"/>
    <w:rsid w:val="00A60D4B"/>
    <w:rPr>
      <w:sz w:val="20"/>
    </w:rPr>
  </w:style>
  <w:style w:type="paragraph" w:customStyle="1" w:styleId="TableHeadingLeft-BP410pt">
    <w:name w:val="Table Heading Left - BP4 10pt"/>
    <w:basedOn w:val="TableHeadingLeft-BP4"/>
    <w:rsid w:val="00A60D4B"/>
    <w:rPr>
      <w:sz w:val="20"/>
    </w:rPr>
  </w:style>
  <w:style w:type="paragraph" w:customStyle="1" w:styleId="TableHeadingRight-BP410pt">
    <w:name w:val="Table Heading Right - BP4 10pt"/>
    <w:basedOn w:val="TableHeadingRight-BP4"/>
    <w:rsid w:val="00A60D4B"/>
    <w:rPr>
      <w:sz w:val="20"/>
    </w:rPr>
  </w:style>
  <w:style w:type="paragraph" w:customStyle="1" w:styleId="TableTextLeft-BP410pt">
    <w:name w:val="Table Text Left - BP4 10pt"/>
    <w:basedOn w:val="TableTextLeft-BP4"/>
    <w:rsid w:val="00A60D4B"/>
    <w:rPr>
      <w:sz w:val="20"/>
    </w:rPr>
  </w:style>
  <w:style w:type="paragraph" w:customStyle="1" w:styleId="TableTextLeftBold-BP410pt">
    <w:name w:val="Table Text Left Bold - BP4 10pt"/>
    <w:basedOn w:val="TableTextLeftBold-BP4"/>
    <w:rsid w:val="00A60D4B"/>
    <w:rPr>
      <w:sz w:val="20"/>
    </w:rPr>
  </w:style>
  <w:style w:type="paragraph" w:customStyle="1" w:styleId="TableTextRight-BP410pt">
    <w:name w:val="Table Text Right - BP4 10pt"/>
    <w:basedOn w:val="TableTextRight-BP4"/>
    <w:rsid w:val="00A60D4B"/>
    <w:rPr>
      <w:sz w:val="20"/>
    </w:rPr>
  </w:style>
  <w:style w:type="paragraph" w:customStyle="1" w:styleId="TableTextRightBold-BP410pt">
    <w:name w:val="Table Text Right Bold - BP4 10pt"/>
    <w:basedOn w:val="TableTextRightBold-BP4"/>
    <w:rsid w:val="00A60D4B"/>
    <w:rPr>
      <w:sz w:val="20"/>
    </w:rPr>
  </w:style>
  <w:style w:type="paragraph" w:customStyle="1" w:styleId="TableTextNumbersBold">
    <w:name w:val="Table Text Numbers Bold"/>
    <w:basedOn w:val="Normal"/>
    <w:rsid w:val="00A60D4B"/>
    <w:pPr>
      <w:spacing w:before="200" w:after="200" w:line="240" w:lineRule="auto"/>
      <w:jc w:val="right"/>
    </w:pPr>
    <w:rPr>
      <w:rFonts w:ascii="Calibri" w:eastAsia="Times New Roman" w:hAnsi="Calibri" w:cs="Times New Roman"/>
      <w:b/>
      <w:sz w:val="18"/>
      <w:szCs w:val="20"/>
    </w:rPr>
  </w:style>
  <w:style w:type="paragraph" w:customStyle="1" w:styleId="TableHeading">
    <w:name w:val="Table Heading"/>
    <w:basedOn w:val="Normal"/>
    <w:link w:val="TableHeadingChar"/>
    <w:qFormat/>
    <w:rsid w:val="00A60D4B"/>
    <w:pPr>
      <w:spacing w:before="200" w:after="120" w:line="240" w:lineRule="auto"/>
      <w:jc w:val="center"/>
    </w:pPr>
    <w:rPr>
      <w:rFonts w:ascii="Arial" w:eastAsia="Times New Roman" w:hAnsi="Arial" w:cs="Times New Roman"/>
      <w:b/>
      <w:sz w:val="24"/>
      <w:szCs w:val="20"/>
      <w:lang w:val="x-none"/>
    </w:rPr>
  </w:style>
  <w:style w:type="paragraph" w:customStyle="1" w:styleId="TableTextLeftBoldparassmaller">
    <w:name w:val="Table Text Left Bold paras smaller"/>
    <w:basedOn w:val="TableTextLeftBold"/>
    <w:rsid w:val="00A60D4B"/>
    <w:pPr>
      <w:keepNext/>
      <w:spacing w:before="20" w:after="20"/>
      <w:ind w:left="164" w:hanging="164"/>
    </w:pPr>
    <w:rPr>
      <w:sz w:val="18"/>
    </w:rPr>
  </w:style>
  <w:style w:type="paragraph" w:customStyle="1" w:styleId="TableTextNumbersCentred">
    <w:name w:val="Table Text Numbers Centred"/>
    <w:basedOn w:val="Normal"/>
    <w:rsid w:val="00A60D4B"/>
    <w:pPr>
      <w:spacing w:before="200" w:after="200" w:line="240" w:lineRule="auto"/>
      <w:jc w:val="center"/>
    </w:pPr>
    <w:rPr>
      <w:rFonts w:ascii="Calibri" w:eastAsia="Times New Roman" w:hAnsi="Calibri" w:cs="Times New Roman"/>
      <w:sz w:val="18"/>
      <w:szCs w:val="18"/>
    </w:rPr>
  </w:style>
  <w:style w:type="paragraph" w:customStyle="1" w:styleId="aNoteText">
    <w:name w:val="a) Note Text"/>
    <w:basedOn w:val="NoteText"/>
    <w:rsid w:val="00A60D4B"/>
    <w:pPr>
      <w:tabs>
        <w:tab w:val="num" w:pos="357"/>
      </w:tabs>
      <w:ind w:left="357" w:hanging="357"/>
    </w:pPr>
    <w:rPr>
      <w:szCs w:val="24"/>
    </w:rPr>
  </w:style>
  <w:style w:type="paragraph" w:customStyle="1" w:styleId="NoteTexta">
    <w:name w:val="Note Text a)"/>
    <w:basedOn w:val="NoteText"/>
    <w:rsid w:val="00A60D4B"/>
    <w:pPr>
      <w:tabs>
        <w:tab w:val="num" w:pos="357"/>
      </w:tabs>
      <w:ind w:left="357" w:hanging="357"/>
    </w:pPr>
    <w:rPr>
      <w:szCs w:val="24"/>
    </w:rPr>
  </w:style>
  <w:style w:type="paragraph" w:customStyle="1" w:styleId="NoteTexta0">
    <w:name w:val="Note Text a"/>
    <w:basedOn w:val="NoteText"/>
    <w:rsid w:val="00A60D4B"/>
    <w:pPr>
      <w:tabs>
        <w:tab w:val="num" w:pos="360"/>
      </w:tabs>
      <w:ind w:left="357" w:hanging="357"/>
    </w:pPr>
    <w:rPr>
      <w:szCs w:val="24"/>
    </w:rPr>
  </w:style>
  <w:style w:type="paragraph" w:customStyle="1" w:styleId="TableFootnoteText">
    <w:name w:val="Table Footnote Text"/>
    <w:basedOn w:val="FootnoteText"/>
    <w:autoRedefine/>
    <w:rsid w:val="00A60D4B"/>
    <w:pPr>
      <w:keepNext/>
      <w:tabs>
        <w:tab w:val="left" w:pos="426"/>
      </w:tabs>
      <w:spacing w:before="200" w:after="120"/>
      <w:contextualSpacing/>
      <w:jc w:val="both"/>
    </w:pPr>
    <w:rPr>
      <w:rFonts w:ascii="Calibri" w:eastAsia="Times New Roman" w:hAnsi="Calibri" w:cs="Times New Roman"/>
      <w:i/>
      <w:iCs/>
      <w:sz w:val="16"/>
      <w:szCs w:val="16"/>
      <w:lang w:val="x-none"/>
    </w:rPr>
  </w:style>
  <w:style w:type="paragraph" w:customStyle="1" w:styleId="TableTextNumbers">
    <w:name w:val="Table Text Numbers"/>
    <w:basedOn w:val="Normal"/>
    <w:autoRedefine/>
    <w:rsid w:val="00A60D4B"/>
    <w:pPr>
      <w:spacing w:before="60" w:after="60" w:line="240" w:lineRule="auto"/>
      <w:jc w:val="right"/>
    </w:pPr>
    <w:rPr>
      <w:rFonts w:ascii="Calibri" w:eastAsia="Times New Roman" w:hAnsi="Calibri" w:cs="Times New Roman"/>
      <w:sz w:val="18"/>
      <w:szCs w:val="18"/>
    </w:rPr>
  </w:style>
  <w:style w:type="paragraph" w:customStyle="1" w:styleId="TableTextLeftNoIndent">
    <w:name w:val="Table Text Left No Indent"/>
    <w:basedOn w:val="TableTextLeft"/>
    <w:autoRedefine/>
    <w:rsid w:val="00A60D4B"/>
    <w:pPr>
      <w:spacing w:before="40" w:after="40"/>
      <w:ind w:left="0" w:firstLine="0"/>
    </w:pPr>
    <w:rPr>
      <w:lang w:val="en-GB"/>
    </w:rPr>
  </w:style>
  <w:style w:type="character" w:customStyle="1" w:styleId="AINotesChar">
    <w:name w:val="AI Notes Char"/>
    <w:link w:val="AINotes"/>
    <w:locked/>
    <w:rsid w:val="00A60D4B"/>
    <w:rPr>
      <w:rFonts w:ascii="Calibri" w:eastAsia="Times New Roman" w:hAnsi="Calibri" w:cs="Times New Roman"/>
      <w:sz w:val="16"/>
      <w:szCs w:val="20"/>
      <w:lang w:val="x-none"/>
    </w:rPr>
  </w:style>
  <w:style w:type="paragraph" w:styleId="EndnoteText">
    <w:name w:val="endnote text"/>
    <w:basedOn w:val="Normal"/>
    <w:link w:val="EndnoteTextChar"/>
    <w:uiPriority w:val="99"/>
    <w:rsid w:val="00A60D4B"/>
    <w:pPr>
      <w:spacing w:before="200" w:after="200" w:line="240" w:lineRule="auto"/>
    </w:pPr>
    <w:rPr>
      <w:rFonts w:ascii="Calibri" w:eastAsia="Times New Roman" w:hAnsi="Calibri" w:cs="Times New Roman"/>
      <w:sz w:val="20"/>
      <w:szCs w:val="20"/>
      <w:lang w:val="x-none"/>
    </w:rPr>
  </w:style>
  <w:style w:type="character" w:customStyle="1" w:styleId="EndnoteTextChar">
    <w:name w:val="Endnote Text Char"/>
    <w:basedOn w:val="DefaultParagraphFont"/>
    <w:link w:val="EndnoteText"/>
    <w:uiPriority w:val="99"/>
    <w:rsid w:val="00A60D4B"/>
    <w:rPr>
      <w:rFonts w:ascii="Calibri" w:eastAsia="Times New Roman" w:hAnsi="Calibri" w:cs="Times New Roman"/>
      <w:sz w:val="20"/>
      <w:szCs w:val="20"/>
      <w:lang w:val="x-none"/>
    </w:rPr>
  </w:style>
  <w:style w:type="character" w:styleId="EndnoteReference">
    <w:name w:val="endnote reference"/>
    <w:uiPriority w:val="99"/>
    <w:rsid w:val="00A60D4B"/>
    <w:rPr>
      <w:rFonts w:ascii="Calibri" w:hAnsi="Calibri"/>
      <w:vertAlign w:val="superscript"/>
    </w:rPr>
  </w:style>
  <w:style w:type="character" w:customStyle="1" w:styleId="CharChar3">
    <w:name w:val="Char Char3"/>
    <w:rsid w:val="00A60D4B"/>
    <w:rPr>
      <w:rFonts w:cs="Times New Roman"/>
      <w:sz w:val="24"/>
      <w:szCs w:val="24"/>
      <w:lang w:val="en-AU" w:eastAsia="en-US" w:bidi="ar-SA"/>
    </w:rPr>
  </w:style>
  <w:style w:type="character" w:customStyle="1" w:styleId="CharChar1">
    <w:name w:val="Char Char1"/>
    <w:locked/>
    <w:rsid w:val="00A60D4B"/>
    <w:rPr>
      <w:rFonts w:ascii="Arial" w:hAnsi="Arial" w:cs="Arial"/>
      <w:b/>
      <w:bCs/>
      <w:sz w:val="24"/>
      <w:szCs w:val="26"/>
      <w:lang w:val="en-AU" w:eastAsia="en-US" w:bidi="ar-SA"/>
    </w:rPr>
  </w:style>
  <w:style w:type="character" w:customStyle="1" w:styleId="CharChar">
    <w:name w:val="Char Char"/>
    <w:rsid w:val="00A60D4B"/>
    <w:rPr>
      <w:rFonts w:ascii="Calibri" w:hAnsi="Calibri"/>
      <w:sz w:val="24"/>
      <w:lang w:val="en-AU" w:eastAsia="en-US" w:bidi="ar-SA"/>
    </w:rPr>
  </w:style>
  <w:style w:type="character" w:customStyle="1" w:styleId="CharChar18">
    <w:name w:val="Char Char18"/>
    <w:semiHidden/>
    <w:locked/>
    <w:rsid w:val="00A60D4B"/>
    <w:rPr>
      <w:rFonts w:ascii="Arial" w:hAnsi="Arial" w:cs="Arial"/>
      <w:b/>
      <w:sz w:val="24"/>
      <w:szCs w:val="24"/>
      <w:lang w:val="en-AU" w:eastAsia="en-US" w:bidi="ar-SA"/>
    </w:rPr>
  </w:style>
  <w:style w:type="character" w:customStyle="1" w:styleId="CharChar14">
    <w:name w:val="Char Char14"/>
    <w:semiHidden/>
    <w:locked/>
    <w:rsid w:val="00A60D4B"/>
    <w:rPr>
      <w:rFonts w:ascii="Calibri" w:hAnsi="Calibri" w:cs="Times New Roman"/>
      <w:sz w:val="24"/>
      <w:szCs w:val="24"/>
      <w:lang w:eastAsia="en-US"/>
    </w:rPr>
  </w:style>
  <w:style w:type="paragraph" w:customStyle="1" w:styleId="PH4">
    <w:name w:val="PH4"/>
    <w:basedOn w:val="Normal"/>
    <w:rsid w:val="00A60D4B"/>
    <w:pPr>
      <w:spacing w:before="120" w:after="200" w:line="240" w:lineRule="auto"/>
    </w:pPr>
    <w:rPr>
      <w:rFonts w:ascii="Calibri" w:eastAsia="Times New Roman" w:hAnsi="Calibri" w:cs="Times New Roman"/>
      <w:b/>
      <w:sz w:val="20"/>
      <w:szCs w:val="20"/>
    </w:rPr>
  </w:style>
  <w:style w:type="character" w:customStyle="1" w:styleId="Heading4Char2">
    <w:name w:val="Heading 4 Char2"/>
    <w:semiHidden/>
    <w:locked/>
    <w:rsid w:val="00A60D4B"/>
    <w:rPr>
      <w:rFonts w:cs="Times New Roman"/>
      <w:i/>
      <w:sz w:val="24"/>
      <w:lang w:val="en-AU" w:eastAsia="en-US" w:bidi="ar-SA"/>
    </w:rPr>
  </w:style>
  <w:style w:type="character" w:customStyle="1" w:styleId="Heading7Char2">
    <w:name w:val="Heading 7 Char2"/>
    <w:semiHidden/>
    <w:locked/>
    <w:rsid w:val="00A60D4B"/>
    <w:rPr>
      <w:rFonts w:ascii="Calibri" w:hAnsi="Calibri" w:cs="Times New Roman"/>
      <w:sz w:val="24"/>
      <w:szCs w:val="24"/>
      <w:lang w:eastAsia="en-US"/>
    </w:rPr>
  </w:style>
  <w:style w:type="character" w:customStyle="1" w:styleId="Heading1Char1">
    <w:name w:val="Heading 1 Char1"/>
    <w:locked/>
    <w:rsid w:val="00A60D4B"/>
    <w:rPr>
      <w:rFonts w:ascii="Arial Bold" w:hAnsi="Arial Bold" w:cs="Times New Roman"/>
      <w:b/>
      <w:bCs/>
      <w:caps/>
      <w:kern w:val="28"/>
      <w:sz w:val="24"/>
      <w:szCs w:val="24"/>
      <w:lang w:val="en-AU" w:eastAsia="en-US" w:bidi="ar-SA"/>
    </w:rPr>
  </w:style>
  <w:style w:type="character" w:customStyle="1" w:styleId="Heading2Char1">
    <w:name w:val="Heading 2 Char1"/>
    <w:semiHidden/>
    <w:locked/>
    <w:rsid w:val="00A60D4B"/>
    <w:rPr>
      <w:rFonts w:cs="Times New Roman"/>
      <w:b/>
      <w:iCs/>
      <w:sz w:val="24"/>
      <w:szCs w:val="24"/>
      <w:lang w:val="en-AU" w:eastAsia="en-US" w:bidi="ar-SA"/>
    </w:rPr>
  </w:style>
  <w:style w:type="character" w:customStyle="1" w:styleId="Heading3Char1">
    <w:name w:val="Heading 3 Char1"/>
    <w:semiHidden/>
    <w:locked/>
    <w:rsid w:val="00A60D4B"/>
    <w:rPr>
      <w:rFonts w:ascii="Arial" w:hAnsi="Arial" w:cs="Arial"/>
      <w:b/>
      <w:sz w:val="24"/>
      <w:szCs w:val="24"/>
      <w:lang w:val="en-AU" w:eastAsia="en-US" w:bidi="ar-SA"/>
    </w:rPr>
  </w:style>
  <w:style w:type="character" w:customStyle="1" w:styleId="Heading4Char1">
    <w:name w:val="Heading 4 Char1"/>
    <w:semiHidden/>
    <w:locked/>
    <w:rsid w:val="00A60D4B"/>
    <w:rPr>
      <w:rFonts w:cs="Times New Roman"/>
      <w:i/>
      <w:sz w:val="24"/>
      <w:szCs w:val="24"/>
      <w:lang w:val="en-AU" w:eastAsia="en-US" w:bidi="ar-SA"/>
    </w:rPr>
  </w:style>
  <w:style w:type="character" w:customStyle="1" w:styleId="Heading5Char1">
    <w:name w:val="Heading 5 Char1"/>
    <w:semiHidden/>
    <w:locked/>
    <w:rsid w:val="00A60D4B"/>
    <w:rPr>
      <w:rFonts w:ascii="Calibri" w:hAnsi="Calibri" w:cs="Times New Roman"/>
      <w:b/>
      <w:bCs/>
      <w:i/>
      <w:iCs/>
      <w:sz w:val="26"/>
      <w:szCs w:val="26"/>
      <w:lang w:eastAsia="en-US"/>
    </w:rPr>
  </w:style>
  <w:style w:type="character" w:customStyle="1" w:styleId="Heading6Char1">
    <w:name w:val="Heading 6 Char1"/>
    <w:semiHidden/>
    <w:locked/>
    <w:rsid w:val="00A60D4B"/>
    <w:rPr>
      <w:rFonts w:cs="Times New Roman"/>
      <w:b/>
      <w:bCs/>
      <w:sz w:val="24"/>
      <w:szCs w:val="24"/>
      <w:lang w:val="en-GB" w:eastAsia="en-US" w:bidi="ar-SA"/>
    </w:rPr>
  </w:style>
  <w:style w:type="character" w:customStyle="1" w:styleId="Heading8Char1">
    <w:name w:val="Heading 8 Char1"/>
    <w:semiHidden/>
    <w:locked/>
    <w:rsid w:val="00A60D4B"/>
    <w:rPr>
      <w:rFonts w:ascii="Calibri" w:hAnsi="Calibri" w:cs="Times New Roman"/>
      <w:i/>
      <w:iCs/>
      <w:sz w:val="24"/>
      <w:szCs w:val="24"/>
      <w:lang w:eastAsia="en-US"/>
    </w:rPr>
  </w:style>
  <w:style w:type="character" w:customStyle="1" w:styleId="Heading9Char1">
    <w:name w:val="Heading 9 Char1"/>
    <w:semiHidden/>
    <w:locked/>
    <w:rsid w:val="00A60D4B"/>
    <w:rPr>
      <w:rFonts w:ascii="Cambria" w:hAnsi="Cambria" w:cs="Times New Roman"/>
      <w:sz w:val="22"/>
      <w:szCs w:val="22"/>
      <w:lang w:eastAsia="en-US"/>
    </w:rPr>
  </w:style>
  <w:style w:type="character" w:customStyle="1" w:styleId="FootnoteTextChar1">
    <w:name w:val="Footnote Text Char1"/>
    <w:semiHidden/>
    <w:locked/>
    <w:rsid w:val="00A60D4B"/>
    <w:rPr>
      <w:rFonts w:cs="Times New Roman"/>
      <w:lang w:eastAsia="en-US"/>
    </w:rPr>
  </w:style>
  <w:style w:type="character" w:customStyle="1" w:styleId="HeaderChar1">
    <w:name w:val="Header Char1"/>
    <w:semiHidden/>
    <w:locked/>
    <w:rsid w:val="00A60D4B"/>
    <w:rPr>
      <w:rFonts w:cs="Times New Roman"/>
      <w:sz w:val="24"/>
      <w:szCs w:val="24"/>
      <w:lang w:eastAsia="en-US"/>
    </w:rPr>
  </w:style>
  <w:style w:type="character" w:customStyle="1" w:styleId="FooterChar1">
    <w:name w:val="Footer Char1"/>
    <w:semiHidden/>
    <w:locked/>
    <w:rsid w:val="00A60D4B"/>
    <w:rPr>
      <w:rFonts w:cs="Times New Roman"/>
      <w:sz w:val="24"/>
      <w:szCs w:val="24"/>
      <w:lang w:eastAsia="en-US"/>
    </w:rPr>
  </w:style>
  <w:style w:type="character" w:customStyle="1" w:styleId="BodyTextIndentChar1">
    <w:name w:val="Body Text Indent Char1"/>
    <w:locked/>
    <w:rsid w:val="00A60D4B"/>
    <w:rPr>
      <w:rFonts w:cs="Times New Roman"/>
      <w:sz w:val="24"/>
      <w:szCs w:val="24"/>
      <w:lang w:val="en-AU" w:eastAsia="en-US" w:bidi="ar-SA"/>
    </w:rPr>
  </w:style>
  <w:style w:type="character" w:customStyle="1" w:styleId="BodyTextChar1">
    <w:name w:val="Body Text Char1"/>
    <w:semiHidden/>
    <w:locked/>
    <w:rsid w:val="00A60D4B"/>
    <w:rPr>
      <w:rFonts w:cs="Times New Roman"/>
      <w:sz w:val="24"/>
      <w:lang w:val="en-AU" w:eastAsia="en-US" w:bidi="ar-SA"/>
    </w:rPr>
  </w:style>
  <w:style w:type="paragraph" w:customStyle="1" w:styleId="MinorHeading">
    <w:name w:val="Minor Heading"/>
    <w:basedOn w:val="Normal"/>
    <w:rsid w:val="00A60D4B"/>
    <w:pPr>
      <w:spacing w:before="200" w:after="200" w:line="240" w:lineRule="auto"/>
    </w:pPr>
    <w:rPr>
      <w:rFonts w:ascii="Arial" w:eastAsia="Times New Roman" w:hAnsi="Arial" w:cs="Times New Roman"/>
      <w:b/>
      <w:sz w:val="24"/>
      <w:szCs w:val="20"/>
    </w:rPr>
  </w:style>
  <w:style w:type="character" w:customStyle="1" w:styleId="PlainTextChar1">
    <w:name w:val="Plain Text Char1"/>
    <w:semiHidden/>
    <w:locked/>
    <w:rsid w:val="00A60D4B"/>
    <w:rPr>
      <w:rFonts w:ascii="Courier New" w:hAnsi="Courier New" w:cs="Courier New"/>
      <w:lang w:eastAsia="en-US"/>
    </w:rPr>
  </w:style>
  <w:style w:type="character" w:customStyle="1" w:styleId="BodyTextIndent2Char1">
    <w:name w:val="Body Text Indent 2 Char1"/>
    <w:locked/>
    <w:rsid w:val="00A60D4B"/>
    <w:rPr>
      <w:rFonts w:cs="Times New Roman"/>
      <w:sz w:val="24"/>
      <w:lang w:val="en-AU" w:eastAsia="en-US" w:bidi="ar-SA"/>
    </w:rPr>
  </w:style>
  <w:style w:type="character" w:customStyle="1" w:styleId="BodyTextIndent3Char1">
    <w:name w:val="Body Text Indent 3 Char1"/>
    <w:locked/>
    <w:rsid w:val="00A60D4B"/>
    <w:rPr>
      <w:rFonts w:cs="Times New Roman"/>
      <w:sz w:val="24"/>
      <w:lang w:val="en-AU" w:eastAsia="en-US" w:bidi="ar-SA"/>
    </w:rPr>
  </w:style>
  <w:style w:type="paragraph" w:customStyle="1" w:styleId="PH3">
    <w:name w:val="PH3"/>
    <w:basedOn w:val="Normal"/>
    <w:rsid w:val="00A60D4B"/>
    <w:pPr>
      <w:keepNext/>
      <w:spacing w:before="200" w:after="200" w:line="240" w:lineRule="auto"/>
      <w:outlineLvl w:val="0"/>
    </w:pPr>
    <w:rPr>
      <w:rFonts w:ascii="Arial" w:eastAsia="Times New Roman" w:hAnsi="Arial" w:cs="Times New Roman"/>
      <w:b/>
      <w:kern w:val="28"/>
      <w:sz w:val="24"/>
      <w:szCs w:val="20"/>
      <w:lang w:val="en-GB"/>
    </w:rPr>
  </w:style>
  <w:style w:type="character" w:customStyle="1" w:styleId="BodyText2Char1">
    <w:name w:val="Body Text 2 Char1"/>
    <w:semiHidden/>
    <w:locked/>
    <w:rsid w:val="00A60D4B"/>
    <w:rPr>
      <w:rFonts w:cs="Times New Roman"/>
      <w:sz w:val="24"/>
      <w:szCs w:val="24"/>
      <w:lang w:val="en-AU" w:eastAsia="en-US" w:bidi="ar-SA"/>
    </w:rPr>
  </w:style>
  <w:style w:type="character" w:customStyle="1" w:styleId="BodyText3Char1">
    <w:name w:val="Body Text 3 Char1"/>
    <w:semiHidden/>
    <w:locked/>
    <w:rsid w:val="00A60D4B"/>
    <w:rPr>
      <w:rFonts w:cs="Times New Roman"/>
      <w:sz w:val="16"/>
      <w:szCs w:val="16"/>
      <w:lang w:val="en-AU" w:eastAsia="en-US" w:bidi="ar-SA"/>
    </w:rPr>
  </w:style>
  <w:style w:type="paragraph" w:customStyle="1" w:styleId="Numbering">
    <w:name w:val="Numbering"/>
    <w:basedOn w:val="Normal"/>
    <w:rsid w:val="00A60D4B"/>
    <w:pPr>
      <w:numPr>
        <w:ilvl w:val="1"/>
        <w:numId w:val="46"/>
      </w:numPr>
      <w:spacing w:before="120" w:after="120" w:line="240" w:lineRule="auto"/>
      <w:jc w:val="both"/>
    </w:pPr>
    <w:rPr>
      <w:rFonts w:ascii="Calibri" w:eastAsia="Times New Roman" w:hAnsi="Calibri" w:cs="Times New Roman"/>
      <w:sz w:val="24"/>
      <w:szCs w:val="20"/>
      <w:lang w:val="en-US"/>
    </w:rPr>
  </w:style>
  <w:style w:type="paragraph" w:customStyle="1" w:styleId="AIBlurb0">
    <w:name w:val="AI Blurb"/>
    <w:basedOn w:val="Normal"/>
    <w:rsid w:val="00A60D4B"/>
    <w:pPr>
      <w:spacing w:before="120" w:after="240" w:line="240" w:lineRule="auto"/>
      <w:jc w:val="both"/>
    </w:pPr>
    <w:rPr>
      <w:rFonts w:ascii="Times New (W1)" w:eastAsia="Times New Roman" w:hAnsi="Times New (W1)" w:cs="Times New Roman"/>
      <w:sz w:val="20"/>
      <w:szCs w:val="20"/>
    </w:rPr>
  </w:style>
  <w:style w:type="paragraph" w:customStyle="1" w:styleId="BodyText1">
    <w:name w:val="Body Text 1"/>
    <w:basedOn w:val="Normal"/>
    <w:rsid w:val="00A60D4B"/>
    <w:pPr>
      <w:spacing w:before="200" w:after="200" w:line="240" w:lineRule="auto"/>
      <w:jc w:val="both"/>
    </w:pPr>
    <w:rPr>
      <w:rFonts w:ascii="Calibri" w:eastAsia="Times New Roman" w:hAnsi="Calibri" w:cs="Times New Roman"/>
      <w:sz w:val="24"/>
      <w:szCs w:val="20"/>
    </w:rPr>
  </w:style>
  <w:style w:type="paragraph" w:customStyle="1" w:styleId="PH1">
    <w:name w:val="PH1"/>
    <w:basedOn w:val="Heading1"/>
    <w:rsid w:val="00A60D4B"/>
    <w:pPr>
      <w:keepLines w:val="0"/>
      <w:numPr>
        <w:numId w:val="0"/>
      </w:numPr>
      <w:pBdr>
        <w:bottom w:val="single" w:sz="18" w:space="2" w:color="auto"/>
      </w:pBdr>
      <w:spacing w:before="200" w:after="480"/>
      <w:jc w:val="center"/>
    </w:pPr>
    <w:rPr>
      <w:rFonts w:eastAsia="Times New Roman" w:cs="Times New Roman"/>
      <w:caps w:val="0"/>
      <w:szCs w:val="20"/>
      <w:lang w:val="en-GB"/>
    </w:rPr>
  </w:style>
  <w:style w:type="paragraph" w:customStyle="1" w:styleId="PH2">
    <w:name w:val="PH2"/>
    <w:basedOn w:val="PH1"/>
    <w:rsid w:val="00A60D4B"/>
    <w:rPr>
      <w:b w:val="0"/>
      <w:sz w:val="24"/>
    </w:rPr>
  </w:style>
  <w:style w:type="paragraph" w:customStyle="1" w:styleId="PText">
    <w:name w:val="PText"/>
    <w:basedOn w:val="Normal"/>
    <w:rsid w:val="00A60D4B"/>
    <w:pPr>
      <w:spacing w:before="200" w:after="200" w:line="240" w:lineRule="auto"/>
    </w:pPr>
    <w:rPr>
      <w:rFonts w:ascii="Calibri" w:eastAsia="Times New Roman" w:hAnsi="Calibri" w:cs="Times New Roman"/>
      <w:sz w:val="20"/>
      <w:szCs w:val="20"/>
    </w:rPr>
  </w:style>
  <w:style w:type="paragraph" w:customStyle="1" w:styleId="MajorHeading">
    <w:name w:val="Major Heading"/>
    <w:basedOn w:val="Normal"/>
    <w:rsid w:val="00A60D4B"/>
    <w:pPr>
      <w:pBdr>
        <w:bottom w:val="single" w:sz="18" w:space="1" w:color="auto"/>
      </w:pBdr>
      <w:tabs>
        <w:tab w:val="right" w:pos="9072"/>
      </w:tabs>
      <w:spacing w:before="240" w:after="240" w:line="240" w:lineRule="auto"/>
    </w:pPr>
    <w:rPr>
      <w:rFonts w:ascii="Arial" w:eastAsia="Times New Roman" w:hAnsi="Arial" w:cs="Times New Roman"/>
      <w:b/>
      <w:caps/>
      <w:sz w:val="28"/>
      <w:szCs w:val="20"/>
      <w:lang w:val="en-GB"/>
    </w:rPr>
  </w:style>
  <w:style w:type="paragraph" w:customStyle="1" w:styleId="MajorHeading2">
    <w:name w:val="Major Heading 2"/>
    <w:basedOn w:val="MajorHeading1"/>
    <w:rsid w:val="00A60D4B"/>
    <w:pPr>
      <w:pBdr>
        <w:bottom w:val="none" w:sz="0" w:space="0" w:color="auto"/>
      </w:pBdr>
    </w:pPr>
  </w:style>
  <w:style w:type="paragraph" w:customStyle="1" w:styleId="MajorHeading1">
    <w:name w:val="Major Heading 1"/>
    <w:basedOn w:val="Normal"/>
    <w:rsid w:val="00A60D4B"/>
    <w:pPr>
      <w:pBdr>
        <w:bottom w:val="single" w:sz="18" w:space="1" w:color="auto"/>
      </w:pBdr>
      <w:tabs>
        <w:tab w:val="right" w:pos="9072"/>
      </w:tabs>
      <w:spacing w:before="240" w:after="240" w:line="240" w:lineRule="auto"/>
    </w:pPr>
    <w:rPr>
      <w:rFonts w:ascii="Arial" w:eastAsia="Times New Roman" w:hAnsi="Arial" w:cs="Times New Roman"/>
      <w:b/>
      <w:caps/>
      <w:sz w:val="28"/>
      <w:szCs w:val="20"/>
      <w:lang w:val="en-GB"/>
    </w:rPr>
  </w:style>
  <w:style w:type="paragraph" w:customStyle="1" w:styleId="Sub-Heading3">
    <w:name w:val="Sub-Heading 3"/>
    <w:basedOn w:val="Sub-Heading2"/>
    <w:rsid w:val="00A60D4B"/>
    <w:pPr>
      <w:keepNext w:val="0"/>
      <w:keepLines w:val="0"/>
      <w:spacing w:after="0"/>
      <w:jc w:val="left"/>
    </w:pPr>
    <w:rPr>
      <w:sz w:val="20"/>
    </w:rPr>
  </w:style>
  <w:style w:type="paragraph" w:customStyle="1" w:styleId="Tableformat">
    <w:name w:val="Table format"/>
    <w:basedOn w:val="BodyText"/>
    <w:rsid w:val="00A60D4B"/>
    <w:pPr>
      <w:keepLines w:val="0"/>
      <w:spacing w:before="100" w:beforeAutospacing="1" w:afterAutospacing="1"/>
    </w:pPr>
    <w:rPr>
      <w:b/>
      <w:sz w:val="20"/>
    </w:rPr>
  </w:style>
  <w:style w:type="paragraph" w:customStyle="1" w:styleId="TableGraphic">
    <w:name w:val="TableGraphic"/>
    <w:basedOn w:val="Normal"/>
    <w:next w:val="Normal"/>
    <w:rsid w:val="00A60D4B"/>
    <w:pPr>
      <w:keepNext/>
      <w:spacing w:before="200" w:after="20" w:line="240" w:lineRule="auto"/>
      <w:ind w:right="-113"/>
    </w:pPr>
    <w:rPr>
      <w:rFonts w:ascii="Tahoma" w:eastAsia="Times New Roman" w:hAnsi="Tahoma" w:cs="Times New Roman"/>
      <w:b/>
      <w:color w:val="000000"/>
      <w:sz w:val="20"/>
      <w:szCs w:val="20"/>
    </w:rPr>
  </w:style>
  <w:style w:type="paragraph" w:customStyle="1" w:styleId="Text">
    <w:name w:val="Text"/>
    <w:basedOn w:val="Normal"/>
    <w:rsid w:val="00A60D4B"/>
    <w:pPr>
      <w:spacing w:before="200" w:after="200" w:line="240" w:lineRule="auto"/>
      <w:jc w:val="both"/>
    </w:pPr>
    <w:rPr>
      <w:rFonts w:ascii="Calibri" w:eastAsia="Times New Roman" w:hAnsi="Calibri" w:cs="Times New Roman"/>
      <w:sz w:val="24"/>
      <w:szCs w:val="20"/>
    </w:rPr>
  </w:style>
  <w:style w:type="paragraph" w:customStyle="1" w:styleId="Text1">
    <w:name w:val="Text 1"/>
    <w:basedOn w:val="Normal"/>
    <w:rsid w:val="00A60D4B"/>
    <w:pPr>
      <w:spacing w:before="200" w:after="200" w:line="240" w:lineRule="auto"/>
      <w:jc w:val="both"/>
    </w:pPr>
    <w:rPr>
      <w:rFonts w:ascii="Arial" w:eastAsia="Times New Roman" w:hAnsi="Arial" w:cs="Times New Roman"/>
      <w:sz w:val="24"/>
      <w:szCs w:val="20"/>
    </w:rPr>
  </w:style>
  <w:style w:type="character" w:customStyle="1" w:styleId="EmailStyle2891">
    <w:name w:val="EmailStyle2891"/>
    <w:uiPriority w:val="99"/>
    <w:rsid w:val="00A60D4B"/>
    <w:rPr>
      <w:rFonts w:ascii="Arial" w:hAnsi="Arial" w:cs="Arial"/>
      <w:color w:val="000080"/>
      <w:sz w:val="20"/>
    </w:rPr>
  </w:style>
  <w:style w:type="character" w:customStyle="1" w:styleId="EmailStyle2901">
    <w:name w:val="EmailStyle2901"/>
    <w:uiPriority w:val="99"/>
    <w:rsid w:val="00A60D4B"/>
    <w:rPr>
      <w:rFonts w:ascii="Arial" w:hAnsi="Arial" w:cs="Arial"/>
      <w:color w:val="auto"/>
      <w:sz w:val="20"/>
    </w:rPr>
  </w:style>
  <w:style w:type="character" w:customStyle="1" w:styleId="EmailStyle2911">
    <w:name w:val="EmailStyle2911"/>
    <w:uiPriority w:val="99"/>
    <w:rsid w:val="00A60D4B"/>
    <w:rPr>
      <w:rFonts w:ascii="Arial" w:hAnsi="Arial" w:cs="Arial"/>
      <w:color w:val="auto"/>
      <w:sz w:val="20"/>
    </w:rPr>
  </w:style>
  <w:style w:type="paragraph" w:customStyle="1" w:styleId="Output1">
    <w:name w:val="Output 1"/>
    <w:basedOn w:val="Normal"/>
    <w:autoRedefine/>
    <w:rsid w:val="00A60D4B"/>
    <w:pPr>
      <w:keepNext/>
      <w:keepLines/>
      <w:spacing w:before="100" w:beforeAutospacing="1" w:after="100" w:afterAutospacing="1" w:line="240" w:lineRule="auto"/>
      <w:ind w:left="425"/>
      <w:jc w:val="both"/>
    </w:pPr>
    <w:rPr>
      <w:rFonts w:ascii="Times New (W1)" w:eastAsia="Times New Roman" w:hAnsi="Times New (W1)" w:cs="Times New Roman"/>
      <w:sz w:val="24"/>
      <w:szCs w:val="20"/>
    </w:rPr>
  </w:style>
  <w:style w:type="paragraph" w:customStyle="1" w:styleId="Output2">
    <w:name w:val="Output 2"/>
    <w:basedOn w:val="Output1"/>
    <w:autoRedefine/>
    <w:rsid w:val="00A60D4B"/>
    <w:pPr>
      <w:ind w:left="709"/>
    </w:pPr>
    <w:rPr>
      <w:i/>
    </w:rPr>
  </w:style>
  <w:style w:type="paragraph" w:customStyle="1" w:styleId="Output2Indent">
    <w:name w:val="Output 2 Indent"/>
    <w:basedOn w:val="Output2"/>
    <w:autoRedefine/>
    <w:rsid w:val="00A60D4B"/>
    <w:pPr>
      <w:keepNext w:val="0"/>
      <w:tabs>
        <w:tab w:val="num" w:pos="1429"/>
      </w:tabs>
      <w:spacing w:before="0" w:beforeAutospacing="0"/>
      <w:ind w:left="1429" w:hanging="360"/>
    </w:pPr>
  </w:style>
  <w:style w:type="character" w:customStyle="1" w:styleId="BalloonTextChar1">
    <w:name w:val="Balloon Text Char1"/>
    <w:semiHidden/>
    <w:locked/>
    <w:rsid w:val="00A60D4B"/>
    <w:rPr>
      <w:rFonts w:cs="Times New Roman"/>
      <w:sz w:val="2"/>
      <w:lang w:eastAsia="en-US"/>
    </w:rPr>
  </w:style>
  <w:style w:type="paragraph" w:customStyle="1" w:styleId="Bullet">
    <w:name w:val="Bullet"/>
    <w:basedOn w:val="Normal"/>
    <w:rsid w:val="00A60D4B"/>
    <w:pPr>
      <w:tabs>
        <w:tab w:val="num" w:pos="360"/>
      </w:tabs>
      <w:spacing w:before="200" w:after="200" w:line="240" w:lineRule="auto"/>
      <w:ind w:left="360" w:hanging="360"/>
    </w:pPr>
    <w:rPr>
      <w:rFonts w:ascii="Calibri" w:eastAsia="Times New Roman" w:hAnsi="Calibri" w:cs="Times New Roman"/>
      <w:sz w:val="24"/>
      <w:szCs w:val="20"/>
    </w:rPr>
  </w:style>
  <w:style w:type="paragraph" w:customStyle="1" w:styleId="bullet2">
    <w:name w:val="bullet 2"/>
    <w:basedOn w:val="Normal"/>
    <w:rsid w:val="00A60D4B"/>
    <w:pPr>
      <w:tabs>
        <w:tab w:val="left" w:pos="360"/>
        <w:tab w:val="left" w:pos="454"/>
      </w:tabs>
      <w:spacing w:before="200" w:after="120" w:line="240" w:lineRule="auto"/>
      <w:ind w:left="454" w:hanging="454"/>
      <w:jc w:val="both"/>
    </w:pPr>
    <w:rPr>
      <w:rFonts w:ascii="Calibri" w:eastAsia="Times New Roman" w:hAnsi="Calibri" w:cs="Times New Roman"/>
      <w:color w:val="000000"/>
      <w:sz w:val="24"/>
      <w:szCs w:val="20"/>
    </w:rPr>
  </w:style>
  <w:style w:type="paragraph" w:customStyle="1" w:styleId="GalText">
    <w:name w:val="GalText"/>
    <w:basedOn w:val="Normal"/>
    <w:rsid w:val="00A60D4B"/>
    <w:pPr>
      <w:spacing w:before="60" w:after="60" w:line="240" w:lineRule="auto"/>
    </w:pPr>
    <w:rPr>
      <w:rFonts w:ascii="Arial Narrow" w:eastAsia="Times New Roman" w:hAnsi="Arial Narrow" w:cs="Times New Roman"/>
      <w:sz w:val="24"/>
      <w:szCs w:val="20"/>
    </w:rPr>
  </w:style>
  <w:style w:type="paragraph" w:customStyle="1" w:styleId="NumberedNotes">
    <w:name w:val="Numbered Notes"/>
    <w:basedOn w:val="FootnoteText"/>
    <w:rsid w:val="00A60D4B"/>
    <w:pPr>
      <w:spacing w:before="200" w:after="60"/>
      <w:ind w:left="357" w:hanging="357"/>
      <w:jc w:val="both"/>
    </w:pPr>
    <w:rPr>
      <w:rFonts w:ascii="Calibri" w:eastAsia="Times New Roman" w:hAnsi="Calibri" w:cs="Times New Roman"/>
      <w:sz w:val="16"/>
      <w:lang w:val="x-none"/>
    </w:rPr>
  </w:style>
  <w:style w:type="paragraph" w:customStyle="1" w:styleId="PI1">
    <w:name w:val="PI 1"/>
    <w:basedOn w:val="Normal"/>
    <w:rsid w:val="00A60D4B"/>
    <w:pPr>
      <w:spacing w:before="240" w:after="200" w:line="240" w:lineRule="auto"/>
    </w:pPr>
    <w:rPr>
      <w:rFonts w:ascii="Times New (W1)" w:eastAsia="Times New Roman" w:hAnsi="Times New (W1)" w:cs="Times New Roman"/>
      <w:sz w:val="24"/>
      <w:szCs w:val="20"/>
    </w:rPr>
  </w:style>
  <w:style w:type="paragraph" w:customStyle="1" w:styleId="PI2">
    <w:name w:val="PI 2"/>
    <w:basedOn w:val="PI1"/>
    <w:rsid w:val="00A60D4B"/>
    <w:pPr>
      <w:spacing w:after="240"/>
    </w:pPr>
    <w:rPr>
      <w:i/>
    </w:rPr>
  </w:style>
  <w:style w:type="paragraph" w:customStyle="1" w:styleId="PI2Indent">
    <w:name w:val="PI 2  Indent"/>
    <w:basedOn w:val="Normal"/>
    <w:rsid w:val="00A60D4B"/>
    <w:pPr>
      <w:spacing w:before="200" w:after="200" w:line="240" w:lineRule="auto"/>
      <w:ind w:left="357" w:hanging="357"/>
    </w:pPr>
    <w:rPr>
      <w:rFonts w:ascii="Calibri" w:eastAsia="Times New Roman" w:hAnsi="Calibri" w:cs="Times New Roman"/>
      <w:sz w:val="24"/>
      <w:szCs w:val="20"/>
    </w:rPr>
  </w:style>
  <w:style w:type="paragraph" w:customStyle="1" w:styleId="Style1Indent">
    <w:name w:val="Style1 Indent"/>
    <w:basedOn w:val="Normal"/>
    <w:rsid w:val="00A60D4B"/>
    <w:pPr>
      <w:tabs>
        <w:tab w:val="num" w:pos="1440"/>
      </w:tabs>
      <w:spacing w:before="200" w:after="200" w:line="240" w:lineRule="auto"/>
      <w:ind w:left="1440" w:hanging="360"/>
    </w:pPr>
    <w:rPr>
      <w:rFonts w:ascii="Calibri" w:eastAsia="Times New Roman" w:hAnsi="Calibri" w:cs="Times New Roman"/>
      <w:sz w:val="20"/>
      <w:szCs w:val="20"/>
    </w:rPr>
  </w:style>
  <w:style w:type="paragraph" w:customStyle="1" w:styleId="Sub-Heading1">
    <w:name w:val="Sub-Heading 1"/>
    <w:basedOn w:val="Normal"/>
    <w:next w:val="Normal"/>
    <w:autoRedefine/>
    <w:rsid w:val="00A60D4B"/>
    <w:pPr>
      <w:keepNext/>
      <w:spacing w:before="240" w:after="240" w:line="240" w:lineRule="auto"/>
      <w:outlineLvl w:val="0"/>
    </w:pPr>
    <w:rPr>
      <w:rFonts w:ascii="Arial" w:eastAsia="Times New Roman" w:hAnsi="Arial" w:cs="Times New Roman"/>
      <w:i/>
      <w:sz w:val="24"/>
      <w:szCs w:val="20"/>
    </w:rPr>
  </w:style>
  <w:style w:type="paragraph" w:customStyle="1" w:styleId="Sub-Headings">
    <w:name w:val="Sub-Headings"/>
    <w:basedOn w:val="MinorHeading"/>
    <w:rsid w:val="00A60D4B"/>
    <w:pPr>
      <w:keepNext/>
      <w:spacing w:before="240" w:after="120"/>
      <w:outlineLvl w:val="0"/>
    </w:pPr>
    <w:rPr>
      <w:rFonts w:cs="Arial"/>
      <w:b w:val="0"/>
      <w:bCs/>
      <w:i/>
      <w:szCs w:val="24"/>
    </w:rPr>
  </w:style>
  <w:style w:type="paragraph" w:customStyle="1" w:styleId="TableText">
    <w:name w:val="TableText"/>
    <w:basedOn w:val="BodyText"/>
    <w:rsid w:val="00A60D4B"/>
    <w:pPr>
      <w:keepNext w:val="0"/>
      <w:keepLines w:val="0"/>
      <w:spacing w:before="100" w:beforeAutospacing="1" w:afterAutospacing="1"/>
      <w:jc w:val="left"/>
    </w:pPr>
    <w:rPr>
      <w:rFonts w:ascii="Arial" w:hAnsi="Arial"/>
      <w:kern w:val="28"/>
    </w:rPr>
  </w:style>
  <w:style w:type="paragraph" w:customStyle="1" w:styleId="dot">
    <w:name w:val="dot"/>
    <w:basedOn w:val="Normal"/>
    <w:rsid w:val="00A60D4B"/>
    <w:pPr>
      <w:tabs>
        <w:tab w:val="num" w:pos="360"/>
      </w:tabs>
      <w:spacing w:before="200" w:after="200" w:line="240" w:lineRule="auto"/>
      <w:ind w:left="360" w:hanging="360"/>
    </w:pPr>
    <w:rPr>
      <w:rFonts w:ascii="Calibri" w:eastAsia="Times New Roman" w:hAnsi="Calibri" w:cs="Times New Roman"/>
      <w:sz w:val="24"/>
      <w:szCs w:val="20"/>
    </w:rPr>
  </w:style>
  <w:style w:type="paragraph" w:customStyle="1" w:styleId="xl30">
    <w:name w:val="xl30"/>
    <w:basedOn w:val="Normal"/>
    <w:rsid w:val="00A60D4B"/>
    <w:pPr>
      <w:spacing w:before="100" w:beforeAutospacing="1" w:after="100" w:afterAutospacing="1" w:line="240" w:lineRule="auto"/>
    </w:pPr>
    <w:rPr>
      <w:rFonts w:ascii="Calibri" w:eastAsia="Arial Unicode MS" w:hAnsi="Calibri" w:cs="Times New Roman"/>
      <w:b/>
      <w:bCs/>
      <w:sz w:val="18"/>
      <w:szCs w:val="18"/>
    </w:rPr>
  </w:style>
  <w:style w:type="paragraph" w:customStyle="1" w:styleId="Memopara">
    <w:name w:val="Memo para"/>
    <w:basedOn w:val="Numbering"/>
    <w:rsid w:val="00A60D4B"/>
    <w:pPr>
      <w:numPr>
        <w:ilvl w:val="0"/>
        <w:numId w:val="0"/>
      </w:numPr>
    </w:pPr>
    <w:rPr>
      <w:szCs w:val="24"/>
    </w:rPr>
  </w:style>
  <w:style w:type="paragraph" w:customStyle="1" w:styleId="para">
    <w:name w:val="para"/>
    <w:basedOn w:val="Normal"/>
    <w:rsid w:val="00A60D4B"/>
    <w:pPr>
      <w:spacing w:before="200" w:after="200" w:line="240" w:lineRule="auto"/>
    </w:pPr>
    <w:rPr>
      <w:rFonts w:ascii="Calibri" w:eastAsia="Times New Roman" w:hAnsi="Calibri" w:cs="Times New Roman"/>
      <w:sz w:val="24"/>
      <w:szCs w:val="20"/>
    </w:rPr>
  </w:style>
  <w:style w:type="paragraph" w:customStyle="1" w:styleId="Paragraph2-Bullets">
    <w:name w:val="Paragraph 2 - Bullets"/>
    <w:basedOn w:val="Normal"/>
    <w:rsid w:val="00A60D4B"/>
    <w:pPr>
      <w:numPr>
        <w:numId w:val="47"/>
      </w:numPr>
      <w:spacing w:before="200" w:after="200" w:line="240" w:lineRule="auto"/>
    </w:pPr>
    <w:rPr>
      <w:rFonts w:ascii="Calibri" w:eastAsia="Times New Roman" w:hAnsi="Calibri" w:cs="Times New Roman"/>
      <w:sz w:val="24"/>
      <w:szCs w:val="20"/>
    </w:rPr>
  </w:style>
  <w:style w:type="character" w:customStyle="1" w:styleId="CommentTextChar1">
    <w:name w:val="Comment Text Char1"/>
    <w:locked/>
    <w:rsid w:val="00A60D4B"/>
    <w:rPr>
      <w:rFonts w:cs="Times New Roman"/>
      <w:lang w:eastAsia="en-US"/>
    </w:rPr>
  </w:style>
  <w:style w:type="paragraph" w:customStyle="1" w:styleId="SIHeading1centre">
    <w:name w:val="SI Heading 1+centre"/>
    <w:basedOn w:val="SIHeading1"/>
    <w:rsid w:val="00A60D4B"/>
    <w:pPr>
      <w:jc w:val="left"/>
    </w:pPr>
    <w:rPr>
      <w:rFonts w:ascii="Arial (W1)" w:hAnsi="Arial (W1)"/>
      <w:kern w:val="0"/>
      <w:lang w:val="en-GB"/>
    </w:rPr>
  </w:style>
  <w:style w:type="character" w:customStyle="1" w:styleId="Heading7Char1">
    <w:name w:val="Heading 7 Char1"/>
    <w:locked/>
    <w:rsid w:val="00A60D4B"/>
    <w:rPr>
      <w:rFonts w:cs="Times New Roman"/>
      <w:sz w:val="24"/>
      <w:szCs w:val="24"/>
      <w:lang w:val="en-AU" w:eastAsia="en-US" w:bidi="ar-SA"/>
    </w:rPr>
  </w:style>
  <w:style w:type="paragraph" w:customStyle="1" w:styleId="TableName-Line2">
    <w:name w:val="Table Name - Line 2"/>
    <w:basedOn w:val="Normal"/>
    <w:autoRedefine/>
    <w:rsid w:val="00A60D4B"/>
    <w:pPr>
      <w:keepNext/>
      <w:keepLines/>
      <w:spacing w:before="200" w:after="120" w:line="240" w:lineRule="auto"/>
      <w:jc w:val="center"/>
    </w:pPr>
    <w:rPr>
      <w:rFonts w:ascii="Arial" w:eastAsia="Times New Roman" w:hAnsi="Arial" w:cs="Times New Roman"/>
      <w:b/>
      <w:sz w:val="20"/>
      <w:szCs w:val="20"/>
    </w:rPr>
  </w:style>
  <w:style w:type="paragraph" w:customStyle="1" w:styleId="TableName-Line1">
    <w:name w:val="Table Name - Line 1"/>
    <w:basedOn w:val="TableName-Line2"/>
    <w:next w:val="TableName-Line2"/>
    <w:rsid w:val="00A60D4B"/>
    <w:pPr>
      <w:spacing w:after="0"/>
    </w:pPr>
  </w:style>
  <w:style w:type="paragraph" w:customStyle="1" w:styleId="font5">
    <w:name w:val="font5"/>
    <w:basedOn w:val="Normal"/>
    <w:rsid w:val="00A60D4B"/>
    <w:pPr>
      <w:spacing w:before="100" w:beforeAutospacing="1" w:after="100" w:afterAutospacing="1" w:line="240" w:lineRule="auto"/>
    </w:pPr>
    <w:rPr>
      <w:rFonts w:ascii="Arial" w:eastAsia="Times New Roman" w:hAnsi="Arial" w:cs="Arial"/>
      <w:b/>
      <w:bCs/>
      <w:sz w:val="16"/>
      <w:szCs w:val="16"/>
      <w:lang w:eastAsia="en-AU"/>
    </w:rPr>
  </w:style>
  <w:style w:type="paragraph" w:customStyle="1" w:styleId="font6">
    <w:name w:val="font6"/>
    <w:basedOn w:val="Normal"/>
    <w:rsid w:val="00A60D4B"/>
    <w:pPr>
      <w:spacing w:before="100" w:beforeAutospacing="1" w:after="100" w:afterAutospacing="1" w:line="240" w:lineRule="auto"/>
    </w:pPr>
    <w:rPr>
      <w:rFonts w:ascii="Arial" w:eastAsia="Times New Roman" w:hAnsi="Arial" w:cs="Arial"/>
      <w:b/>
      <w:bCs/>
      <w:color w:val="0000FF"/>
      <w:sz w:val="16"/>
      <w:szCs w:val="16"/>
      <w:lang w:eastAsia="en-AU"/>
    </w:rPr>
  </w:style>
  <w:style w:type="paragraph" w:customStyle="1" w:styleId="font7">
    <w:name w:val="font7"/>
    <w:basedOn w:val="Normal"/>
    <w:rsid w:val="00A60D4B"/>
    <w:pPr>
      <w:spacing w:before="100" w:beforeAutospacing="1" w:after="100" w:afterAutospacing="1" w:line="240" w:lineRule="auto"/>
    </w:pPr>
    <w:rPr>
      <w:rFonts w:ascii="Arial" w:eastAsia="Times New Roman" w:hAnsi="Arial" w:cs="Arial"/>
      <w:i/>
      <w:iCs/>
      <w:sz w:val="16"/>
      <w:szCs w:val="16"/>
      <w:lang w:eastAsia="en-AU"/>
    </w:rPr>
  </w:style>
  <w:style w:type="paragraph" w:customStyle="1" w:styleId="font8">
    <w:name w:val="font8"/>
    <w:basedOn w:val="Normal"/>
    <w:rsid w:val="00A60D4B"/>
    <w:pPr>
      <w:spacing w:before="100" w:beforeAutospacing="1" w:after="100" w:afterAutospacing="1" w:line="240" w:lineRule="auto"/>
    </w:pPr>
    <w:rPr>
      <w:rFonts w:ascii="Arial" w:eastAsia="Times New Roman" w:hAnsi="Arial" w:cs="Arial"/>
      <w:b/>
      <w:bCs/>
      <w:sz w:val="16"/>
      <w:szCs w:val="16"/>
      <w:lang w:eastAsia="en-AU"/>
    </w:rPr>
  </w:style>
  <w:style w:type="paragraph" w:customStyle="1" w:styleId="xl67">
    <w:name w:val="xl67"/>
    <w:basedOn w:val="Normal"/>
    <w:rsid w:val="00A60D4B"/>
    <w:pPr>
      <w:spacing w:before="100" w:beforeAutospacing="1" w:after="100" w:afterAutospacing="1" w:line="240" w:lineRule="auto"/>
    </w:pPr>
    <w:rPr>
      <w:rFonts w:ascii="Arial" w:eastAsia="Times New Roman" w:hAnsi="Arial" w:cs="Arial"/>
      <w:sz w:val="16"/>
      <w:szCs w:val="16"/>
      <w:lang w:eastAsia="en-AU"/>
    </w:rPr>
  </w:style>
  <w:style w:type="paragraph" w:customStyle="1" w:styleId="xl68">
    <w:name w:val="xl68"/>
    <w:basedOn w:val="Normal"/>
    <w:rsid w:val="00A60D4B"/>
    <w:pPr>
      <w:pBdr>
        <w:top w:val="single" w:sz="4" w:space="0" w:color="auto"/>
      </w:pBdr>
      <w:spacing w:before="100" w:beforeAutospacing="1" w:after="100" w:afterAutospacing="1" w:line="240" w:lineRule="auto"/>
      <w:jc w:val="right"/>
    </w:pPr>
    <w:rPr>
      <w:rFonts w:ascii="Arial" w:eastAsia="Times New Roman" w:hAnsi="Arial" w:cs="Arial"/>
      <w:b/>
      <w:bCs/>
      <w:sz w:val="16"/>
      <w:szCs w:val="16"/>
      <w:lang w:eastAsia="en-AU"/>
    </w:rPr>
  </w:style>
  <w:style w:type="paragraph" w:customStyle="1" w:styleId="xl69">
    <w:name w:val="xl69"/>
    <w:basedOn w:val="Normal"/>
    <w:rsid w:val="00A60D4B"/>
    <w:pPr>
      <w:spacing w:before="100" w:beforeAutospacing="1" w:after="100" w:afterAutospacing="1" w:line="240" w:lineRule="auto"/>
      <w:jc w:val="right"/>
    </w:pPr>
    <w:rPr>
      <w:rFonts w:ascii="Arial" w:eastAsia="Times New Roman" w:hAnsi="Arial" w:cs="Arial"/>
      <w:b/>
      <w:bCs/>
      <w:sz w:val="16"/>
      <w:szCs w:val="16"/>
      <w:lang w:eastAsia="en-AU"/>
    </w:rPr>
  </w:style>
  <w:style w:type="paragraph" w:customStyle="1" w:styleId="xl70">
    <w:name w:val="xl70"/>
    <w:basedOn w:val="Normal"/>
    <w:rsid w:val="00A60D4B"/>
    <w:pPr>
      <w:spacing w:before="100" w:beforeAutospacing="1" w:after="100" w:afterAutospacing="1" w:line="240" w:lineRule="auto"/>
      <w:jc w:val="center"/>
    </w:pPr>
    <w:rPr>
      <w:rFonts w:ascii="Arial" w:eastAsia="Times New Roman" w:hAnsi="Arial" w:cs="Arial"/>
      <w:b/>
      <w:bCs/>
      <w:sz w:val="16"/>
      <w:szCs w:val="16"/>
      <w:lang w:eastAsia="en-AU"/>
    </w:rPr>
  </w:style>
  <w:style w:type="paragraph" w:customStyle="1" w:styleId="xl71">
    <w:name w:val="xl71"/>
    <w:basedOn w:val="Normal"/>
    <w:rsid w:val="00A60D4B"/>
    <w:pPr>
      <w:spacing w:before="100" w:beforeAutospacing="1" w:after="100" w:afterAutospacing="1" w:line="240" w:lineRule="auto"/>
    </w:pPr>
    <w:rPr>
      <w:rFonts w:ascii="Arial" w:eastAsia="Times New Roman" w:hAnsi="Arial" w:cs="Arial"/>
      <w:b/>
      <w:bCs/>
      <w:sz w:val="16"/>
      <w:szCs w:val="16"/>
      <w:lang w:eastAsia="en-AU"/>
    </w:rPr>
  </w:style>
  <w:style w:type="paragraph" w:customStyle="1" w:styleId="xl72">
    <w:name w:val="xl72"/>
    <w:basedOn w:val="Normal"/>
    <w:rsid w:val="00A60D4B"/>
    <w:pPr>
      <w:pBdr>
        <w:bottom w:val="single" w:sz="4" w:space="0" w:color="auto"/>
      </w:pBdr>
      <w:spacing w:before="100" w:beforeAutospacing="1" w:after="100" w:afterAutospacing="1" w:line="240" w:lineRule="auto"/>
      <w:jc w:val="right"/>
    </w:pPr>
    <w:rPr>
      <w:rFonts w:ascii="Arial" w:eastAsia="Times New Roman" w:hAnsi="Arial" w:cs="Arial"/>
      <w:b/>
      <w:bCs/>
      <w:sz w:val="16"/>
      <w:szCs w:val="16"/>
      <w:lang w:eastAsia="en-AU"/>
    </w:rPr>
  </w:style>
  <w:style w:type="paragraph" w:customStyle="1" w:styleId="xl73">
    <w:name w:val="xl73"/>
    <w:basedOn w:val="Normal"/>
    <w:rsid w:val="00A60D4B"/>
    <w:pPr>
      <w:spacing w:before="100" w:beforeAutospacing="1" w:after="100" w:afterAutospacing="1" w:line="240" w:lineRule="auto"/>
      <w:jc w:val="center"/>
    </w:pPr>
    <w:rPr>
      <w:rFonts w:ascii="Arial" w:eastAsia="Times New Roman" w:hAnsi="Arial" w:cs="Arial"/>
      <w:sz w:val="16"/>
      <w:szCs w:val="16"/>
      <w:lang w:eastAsia="en-AU"/>
    </w:rPr>
  </w:style>
  <w:style w:type="paragraph" w:customStyle="1" w:styleId="xl74">
    <w:name w:val="xl74"/>
    <w:basedOn w:val="Normal"/>
    <w:rsid w:val="00A60D4B"/>
    <w:pPr>
      <w:spacing w:before="100" w:beforeAutospacing="1" w:after="100" w:afterAutospacing="1" w:line="240" w:lineRule="auto"/>
    </w:pPr>
    <w:rPr>
      <w:rFonts w:ascii="Arial" w:eastAsia="Times New Roman" w:hAnsi="Arial" w:cs="Arial"/>
      <w:b/>
      <w:bCs/>
      <w:sz w:val="16"/>
      <w:szCs w:val="16"/>
      <w:lang w:eastAsia="en-AU"/>
    </w:rPr>
  </w:style>
  <w:style w:type="paragraph" w:customStyle="1" w:styleId="xl75">
    <w:name w:val="xl75"/>
    <w:basedOn w:val="Normal"/>
    <w:rsid w:val="00A60D4B"/>
    <w:pPr>
      <w:spacing w:before="100" w:beforeAutospacing="1" w:after="100" w:afterAutospacing="1" w:line="240" w:lineRule="auto"/>
    </w:pPr>
    <w:rPr>
      <w:rFonts w:ascii="Arial" w:eastAsia="Times New Roman" w:hAnsi="Arial" w:cs="Arial"/>
      <w:sz w:val="16"/>
      <w:szCs w:val="16"/>
      <w:lang w:eastAsia="en-AU"/>
    </w:rPr>
  </w:style>
  <w:style w:type="paragraph" w:customStyle="1" w:styleId="xl76">
    <w:name w:val="xl76"/>
    <w:basedOn w:val="Normal"/>
    <w:rsid w:val="00A60D4B"/>
    <w:pPr>
      <w:spacing w:before="100" w:beforeAutospacing="1" w:after="100" w:afterAutospacing="1" w:line="240" w:lineRule="auto"/>
    </w:pPr>
    <w:rPr>
      <w:rFonts w:ascii="Arial" w:eastAsia="Times New Roman" w:hAnsi="Arial" w:cs="Arial"/>
      <w:sz w:val="16"/>
      <w:szCs w:val="16"/>
      <w:lang w:eastAsia="en-AU"/>
    </w:rPr>
  </w:style>
  <w:style w:type="paragraph" w:customStyle="1" w:styleId="xl77">
    <w:name w:val="xl77"/>
    <w:basedOn w:val="Normal"/>
    <w:rsid w:val="00A60D4B"/>
    <w:pPr>
      <w:pBdr>
        <w:bottom w:val="single" w:sz="4" w:space="0" w:color="auto"/>
      </w:pBdr>
      <w:spacing w:before="100" w:beforeAutospacing="1" w:after="100" w:afterAutospacing="1" w:line="240" w:lineRule="auto"/>
    </w:pPr>
    <w:rPr>
      <w:rFonts w:ascii="Arial" w:eastAsia="Times New Roman" w:hAnsi="Arial" w:cs="Arial"/>
      <w:b/>
      <w:bCs/>
      <w:sz w:val="16"/>
      <w:szCs w:val="16"/>
      <w:lang w:eastAsia="en-AU"/>
    </w:rPr>
  </w:style>
  <w:style w:type="paragraph" w:customStyle="1" w:styleId="xl78">
    <w:name w:val="xl78"/>
    <w:basedOn w:val="Normal"/>
    <w:rsid w:val="00A60D4B"/>
    <w:pPr>
      <w:spacing w:before="100" w:beforeAutospacing="1" w:after="100" w:afterAutospacing="1" w:line="240" w:lineRule="auto"/>
    </w:pPr>
    <w:rPr>
      <w:rFonts w:ascii="Arial" w:eastAsia="Times New Roman" w:hAnsi="Arial" w:cs="Arial"/>
      <w:sz w:val="16"/>
      <w:szCs w:val="16"/>
      <w:lang w:eastAsia="en-AU"/>
    </w:rPr>
  </w:style>
  <w:style w:type="paragraph" w:customStyle="1" w:styleId="xl79">
    <w:name w:val="xl79"/>
    <w:basedOn w:val="Normal"/>
    <w:rsid w:val="00A60D4B"/>
    <w:pPr>
      <w:pBdr>
        <w:top w:val="single" w:sz="4" w:space="0" w:color="auto"/>
      </w:pBdr>
      <w:spacing w:before="100" w:beforeAutospacing="1" w:after="100" w:afterAutospacing="1" w:line="240" w:lineRule="auto"/>
      <w:jc w:val="right"/>
    </w:pPr>
    <w:rPr>
      <w:rFonts w:ascii="Arial" w:eastAsia="Times New Roman" w:hAnsi="Arial" w:cs="Arial"/>
      <w:b/>
      <w:bCs/>
      <w:sz w:val="16"/>
      <w:szCs w:val="16"/>
      <w:lang w:eastAsia="en-AU"/>
    </w:rPr>
  </w:style>
  <w:style w:type="paragraph" w:customStyle="1" w:styleId="xl80">
    <w:name w:val="xl80"/>
    <w:basedOn w:val="Normal"/>
    <w:rsid w:val="00A60D4B"/>
    <w:pPr>
      <w:spacing w:before="100" w:beforeAutospacing="1" w:after="100" w:afterAutospacing="1" w:line="240" w:lineRule="auto"/>
      <w:jc w:val="right"/>
    </w:pPr>
    <w:rPr>
      <w:rFonts w:ascii="Arial" w:eastAsia="Times New Roman" w:hAnsi="Arial" w:cs="Arial"/>
      <w:b/>
      <w:bCs/>
      <w:sz w:val="16"/>
      <w:szCs w:val="16"/>
      <w:lang w:eastAsia="en-AU"/>
    </w:rPr>
  </w:style>
  <w:style w:type="paragraph" w:customStyle="1" w:styleId="xl81">
    <w:name w:val="xl81"/>
    <w:basedOn w:val="Normal"/>
    <w:rsid w:val="00A60D4B"/>
    <w:pPr>
      <w:spacing w:before="100" w:beforeAutospacing="1" w:after="100" w:afterAutospacing="1" w:line="240" w:lineRule="auto"/>
      <w:jc w:val="center"/>
    </w:pPr>
    <w:rPr>
      <w:rFonts w:ascii="Arial" w:eastAsia="Times New Roman" w:hAnsi="Arial" w:cs="Arial"/>
      <w:b/>
      <w:bCs/>
      <w:sz w:val="16"/>
      <w:szCs w:val="16"/>
      <w:lang w:eastAsia="en-AU"/>
    </w:rPr>
  </w:style>
  <w:style w:type="paragraph" w:customStyle="1" w:styleId="xl82">
    <w:name w:val="xl82"/>
    <w:basedOn w:val="Normal"/>
    <w:rsid w:val="00A60D4B"/>
    <w:pPr>
      <w:spacing w:before="100" w:beforeAutospacing="1" w:after="100" w:afterAutospacing="1" w:line="240" w:lineRule="auto"/>
    </w:pPr>
    <w:rPr>
      <w:rFonts w:ascii="Arial" w:eastAsia="Times New Roman" w:hAnsi="Arial" w:cs="Arial"/>
      <w:b/>
      <w:bCs/>
      <w:sz w:val="16"/>
      <w:szCs w:val="16"/>
      <w:lang w:eastAsia="en-AU"/>
    </w:rPr>
  </w:style>
  <w:style w:type="paragraph" w:customStyle="1" w:styleId="xl83">
    <w:name w:val="xl83"/>
    <w:basedOn w:val="Normal"/>
    <w:rsid w:val="00A60D4B"/>
    <w:pPr>
      <w:pBdr>
        <w:bottom w:val="single" w:sz="4" w:space="0" w:color="auto"/>
      </w:pBdr>
      <w:spacing w:before="100" w:beforeAutospacing="1" w:after="100" w:afterAutospacing="1" w:line="240" w:lineRule="auto"/>
      <w:jc w:val="right"/>
    </w:pPr>
    <w:rPr>
      <w:rFonts w:ascii="Arial" w:eastAsia="Times New Roman" w:hAnsi="Arial" w:cs="Arial"/>
      <w:b/>
      <w:bCs/>
      <w:sz w:val="16"/>
      <w:szCs w:val="16"/>
      <w:lang w:eastAsia="en-AU"/>
    </w:rPr>
  </w:style>
  <w:style w:type="paragraph" w:customStyle="1" w:styleId="xl84">
    <w:name w:val="xl84"/>
    <w:basedOn w:val="Normal"/>
    <w:rsid w:val="00A60D4B"/>
    <w:pPr>
      <w:pBdr>
        <w:right w:val="single" w:sz="4" w:space="0" w:color="auto"/>
      </w:pBdr>
      <w:spacing w:before="100" w:beforeAutospacing="1" w:after="100" w:afterAutospacing="1" w:line="240" w:lineRule="auto"/>
    </w:pPr>
    <w:rPr>
      <w:rFonts w:ascii="Arial" w:eastAsia="Times New Roman" w:hAnsi="Arial" w:cs="Arial"/>
      <w:b/>
      <w:bCs/>
      <w:sz w:val="16"/>
      <w:szCs w:val="16"/>
      <w:lang w:eastAsia="en-AU"/>
    </w:rPr>
  </w:style>
  <w:style w:type="paragraph" w:customStyle="1" w:styleId="xl85">
    <w:name w:val="xl85"/>
    <w:basedOn w:val="Normal"/>
    <w:rsid w:val="00A60D4B"/>
    <w:pPr>
      <w:pBdr>
        <w:right w:val="single" w:sz="4" w:space="0" w:color="auto"/>
      </w:pBdr>
      <w:spacing w:before="100" w:beforeAutospacing="1" w:after="100" w:afterAutospacing="1" w:line="240" w:lineRule="auto"/>
    </w:pPr>
    <w:rPr>
      <w:rFonts w:ascii="Arial" w:eastAsia="Times New Roman" w:hAnsi="Arial" w:cs="Arial"/>
      <w:sz w:val="16"/>
      <w:szCs w:val="16"/>
      <w:lang w:eastAsia="en-AU"/>
    </w:rPr>
  </w:style>
  <w:style w:type="paragraph" w:customStyle="1" w:styleId="xl86">
    <w:name w:val="xl86"/>
    <w:basedOn w:val="Normal"/>
    <w:rsid w:val="00A60D4B"/>
    <w:pPr>
      <w:spacing w:before="100" w:beforeAutospacing="1" w:after="100" w:afterAutospacing="1" w:line="240" w:lineRule="auto"/>
      <w:textAlignment w:val="center"/>
    </w:pPr>
    <w:rPr>
      <w:rFonts w:ascii="Arial" w:eastAsia="Times New Roman" w:hAnsi="Arial" w:cs="Arial"/>
      <w:sz w:val="16"/>
      <w:szCs w:val="16"/>
      <w:lang w:eastAsia="en-AU"/>
    </w:rPr>
  </w:style>
  <w:style w:type="paragraph" w:customStyle="1" w:styleId="xl87">
    <w:name w:val="xl87"/>
    <w:basedOn w:val="Normal"/>
    <w:rsid w:val="00A60D4B"/>
    <w:pPr>
      <w:spacing w:before="100" w:beforeAutospacing="1" w:after="100" w:afterAutospacing="1" w:line="240" w:lineRule="auto"/>
      <w:textAlignment w:val="center"/>
    </w:pPr>
    <w:rPr>
      <w:rFonts w:ascii="Arial" w:eastAsia="Times New Roman" w:hAnsi="Arial" w:cs="Arial"/>
      <w:sz w:val="16"/>
      <w:szCs w:val="16"/>
      <w:lang w:eastAsia="en-AU"/>
    </w:rPr>
  </w:style>
  <w:style w:type="paragraph" w:customStyle="1" w:styleId="xl88">
    <w:name w:val="xl88"/>
    <w:basedOn w:val="Normal"/>
    <w:rsid w:val="00A60D4B"/>
    <w:pPr>
      <w:spacing w:before="100" w:beforeAutospacing="1" w:after="100" w:afterAutospacing="1" w:line="240" w:lineRule="auto"/>
      <w:textAlignment w:val="center"/>
    </w:pPr>
    <w:rPr>
      <w:rFonts w:ascii="Arial" w:eastAsia="Times New Roman" w:hAnsi="Arial" w:cs="Arial"/>
      <w:sz w:val="16"/>
      <w:szCs w:val="16"/>
      <w:lang w:eastAsia="en-AU"/>
    </w:rPr>
  </w:style>
  <w:style w:type="paragraph" w:customStyle="1" w:styleId="xl89">
    <w:name w:val="xl89"/>
    <w:basedOn w:val="Normal"/>
    <w:rsid w:val="00A60D4B"/>
    <w:pPr>
      <w:pBdr>
        <w:left w:val="single" w:sz="4" w:space="0" w:color="auto"/>
      </w:pBdr>
      <w:spacing w:before="100" w:beforeAutospacing="1" w:after="100" w:afterAutospacing="1" w:line="240" w:lineRule="auto"/>
      <w:textAlignment w:val="center"/>
    </w:pPr>
    <w:rPr>
      <w:rFonts w:ascii="Arial" w:eastAsia="Times New Roman" w:hAnsi="Arial" w:cs="Arial"/>
      <w:sz w:val="16"/>
      <w:szCs w:val="16"/>
      <w:lang w:eastAsia="en-AU"/>
    </w:rPr>
  </w:style>
  <w:style w:type="paragraph" w:customStyle="1" w:styleId="xl90">
    <w:name w:val="xl90"/>
    <w:basedOn w:val="Normal"/>
    <w:rsid w:val="00A60D4B"/>
    <w:pPr>
      <w:pBdr>
        <w:left w:val="single" w:sz="4" w:space="0" w:color="auto"/>
      </w:pBdr>
      <w:spacing w:before="100" w:beforeAutospacing="1" w:after="100" w:afterAutospacing="1" w:line="240" w:lineRule="auto"/>
      <w:textAlignment w:val="center"/>
    </w:pPr>
    <w:rPr>
      <w:rFonts w:ascii="Arial" w:eastAsia="Times New Roman" w:hAnsi="Arial" w:cs="Arial"/>
      <w:sz w:val="16"/>
      <w:szCs w:val="16"/>
      <w:lang w:eastAsia="en-AU"/>
    </w:rPr>
  </w:style>
  <w:style w:type="paragraph" w:customStyle="1" w:styleId="xl91">
    <w:name w:val="xl91"/>
    <w:basedOn w:val="Normal"/>
    <w:rsid w:val="00A60D4B"/>
    <w:pPr>
      <w:pBdr>
        <w:left w:val="single" w:sz="4" w:space="0" w:color="auto"/>
      </w:pBdr>
      <w:spacing w:before="100" w:beforeAutospacing="1" w:after="100" w:afterAutospacing="1" w:line="240" w:lineRule="auto"/>
    </w:pPr>
    <w:rPr>
      <w:rFonts w:ascii="Arial" w:eastAsia="Times New Roman" w:hAnsi="Arial" w:cs="Arial"/>
      <w:sz w:val="16"/>
      <w:szCs w:val="16"/>
      <w:lang w:eastAsia="en-AU"/>
    </w:rPr>
  </w:style>
  <w:style w:type="paragraph" w:customStyle="1" w:styleId="xl92">
    <w:name w:val="xl92"/>
    <w:basedOn w:val="Normal"/>
    <w:rsid w:val="00A60D4B"/>
    <w:pPr>
      <w:pBdr>
        <w:left w:val="single" w:sz="4" w:space="0" w:color="auto"/>
      </w:pBdr>
      <w:spacing w:before="100" w:beforeAutospacing="1" w:after="100" w:afterAutospacing="1" w:line="240" w:lineRule="auto"/>
    </w:pPr>
    <w:rPr>
      <w:rFonts w:ascii="Arial" w:eastAsia="Times New Roman" w:hAnsi="Arial" w:cs="Arial"/>
      <w:sz w:val="16"/>
      <w:szCs w:val="16"/>
      <w:lang w:eastAsia="en-AU"/>
    </w:rPr>
  </w:style>
  <w:style w:type="paragraph" w:customStyle="1" w:styleId="xl93">
    <w:name w:val="xl93"/>
    <w:basedOn w:val="Normal"/>
    <w:rsid w:val="00A60D4B"/>
    <w:pPr>
      <w:pBdr>
        <w:right w:val="single" w:sz="4" w:space="0" w:color="auto"/>
      </w:pBdr>
      <w:spacing w:before="100" w:beforeAutospacing="1" w:after="100" w:afterAutospacing="1" w:line="240" w:lineRule="auto"/>
      <w:textAlignment w:val="top"/>
    </w:pPr>
    <w:rPr>
      <w:rFonts w:ascii="Arial" w:eastAsia="Times New Roman" w:hAnsi="Arial" w:cs="Arial"/>
      <w:sz w:val="16"/>
      <w:szCs w:val="16"/>
      <w:lang w:eastAsia="en-AU"/>
    </w:rPr>
  </w:style>
  <w:style w:type="paragraph" w:customStyle="1" w:styleId="xl94">
    <w:name w:val="xl94"/>
    <w:basedOn w:val="Normal"/>
    <w:rsid w:val="00A60D4B"/>
    <w:pPr>
      <w:spacing w:before="100" w:beforeAutospacing="1" w:after="100" w:afterAutospacing="1" w:line="240" w:lineRule="auto"/>
      <w:textAlignment w:val="top"/>
    </w:pPr>
    <w:rPr>
      <w:rFonts w:ascii="Arial" w:eastAsia="Times New Roman" w:hAnsi="Arial" w:cs="Arial"/>
      <w:sz w:val="16"/>
      <w:szCs w:val="16"/>
      <w:lang w:eastAsia="en-AU"/>
    </w:rPr>
  </w:style>
  <w:style w:type="paragraph" w:customStyle="1" w:styleId="xl95">
    <w:name w:val="xl95"/>
    <w:basedOn w:val="Normal"/>
    <w:rsid w:val="00A60D4B"/>
    <w:pPr>
      <w:spacing w:before="100" w:beforeAutospacing="1" w:after="100" w:afterAutospacing="1" w:line="240" w:lineRule="auto"/>
    </w:pPr>
    <w:rPr>
      <w:rFonts w:ascii="Arial" w:eastAsia="Times New Roman" w:hAnsi="Arial" w:cs="Arial"/>
      <w:sz w:val="16"/>
      <w:szCs w:val="16"/>
      <w:lang w:eastAsia="en-AU"/>
    </w:rPr>
  </w:style>
  <w:style w:type="paragraph" w:customStyle="1" w:styleId="xl96">
    <w:name w:val="xl96"/>
    <w:basedOn w:val="Normal"/>
    <w:rsid w:val="00A60D4B"/>
    <w:pPr>
      <w:spacing w:before="100" w:beforeAutospacing="1" w:after="100" w:afterAutospacing="1" w:line="240" w:lineRule="auto"/>
    </w:pPr>
    <w:rPr>
      <w:rFonts w:ascii="Arial" w:eastAsia="Times New Roman" w:hAnsi="Arial" w:cs="Arial"/>
      <w:b/>
      <w:bCs/>
      <w:sz w:val="16"/>
      <w:szCs w:val="16"/>
      <w:lang w:eastAsia="en-AU"/>
    </w:rPr>
  </w:style>
  <w:style w:type="paragraph" w:customStyle="1" w:styleId="xl97">
    <w:name w:val="xl97"/>
    <w:basedOn w:val="Normal"/>
    <w:rsid w:val="00A60D4B"/>
    <w:pPr>
      <w:pBdr>
        <w:right w:val="single" w:sz="4" w:space="0" w:color="auto"/>
      </w:pBdr>
      <w:shd w:val="clear" w:color="auto" w:fill="FF00FF"/>
      <w:spacing w:before="100" w:beforeAutospacing="1" w:after="100" w:afterAutospacing="1" w:line="240" w:lineRule="auto"/>
    </w:pPr>
    <w:rPr>
      <w:rFonts w:ascii="Arial" w:eastAsia="Times New Roman" w:hAnsi="Arial" w:cs="Arial"/>
      <w:b/>
      <w:bCs/>
      <w:sz w:val="16"/>
      <w:szCs w:val="16"/>
      <w:lang w:eastAsia="en-AU"/>
    </w:rPr>
  </w:style>
  <w:style w:type="paragraph" w:customStyle="1" w:styleId="xl98">
    <w:name w:val="xl98"/>
    <w:basedOn w:val="Normal"/>
    <w:rsid w:val="00A60D4B"/>
    <w:pPr>
      <w:pBdr>
        <w:bottom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eastAsia="en-AU"/>
    </w:rPr>
  </w:style>
  <w:style w:type="paragraph" w:customStyle="1" w:styleId="xl24">
    <w:name w:val="xl24"/>
    <w:basedOn w:val="Normal"/>
    <w:rsid w:val="00A60D4B"/>
    <w:pPr>
      <w:pBdr>
        <w:top w:val="single" w:sz="8" w:space="0" w:color="auto"/>
      </w:pBdr>
      <w:spacing w:before="100" w:beforeAutospacing="1" w:after="100" w:afterAutospacing="1" w:line="240" w:lineRule="auto"/>
    </w:pPr>
    <w:rPr>
      <w:rFonts w:ascii="Calibri" w:eastAsia="Times New Roman" w:hAnsi="Calibri" w:cs="Times New Roman"/>
      <w:sz w:val="24"/>
      <w:szCs w:val="20"/>
      <w:lang w:eastAsia="en-AU"/>
    </w:rPr>
  </w:style>
  <w:style w:type="paragraph" w:customStyle="1" w:styleId="xl26">
    <w:name w:val="xl26"/>
    <w:basedOn w:val="Normal"/>
    <w:rsid w:val="00A60D4B"/>
    <w:pPr>
      <w:spacing w:before="100" w:beforeAutospacing="1" w:after="100" w:afterAutospacing="1" w:line="240" w:lineRule="auto"/>
    </w:pPr>
    <w:rPr>
      <w:rFonts w:ascii="Calibri" w:eastAsia="Times New Roman" w:hAnsi="Calibri" w:cs="Times New Roman"/>
      <w:b/>
      <w:bCs/>
      <w:sz w:val="24"/>
      <w:szCs w:val="20"/>
      <w:lang w:eastAsia="en-AU"/>
    </w:rPr>
  </w:style>
  <w:style w:type="paragraph" w:customStyle="1" w:styleId="xl27">
    <w:name w:val="xl27"/>
    <w:basedOn w:val="Normal"/>
    <w:rsid w:val="00A60D4B"/>
    <w:pPr>
      <w:spacing w:before="100" w:beforeAutospacing="1" w:after="100" w:afterAutospacing="1" w:line="240" w:lineRule="auto"/>
      <w:jc w:val="right"/>
    </w:pPr>
    <w:rPr>
      <w:rFonts w:ascii="Calibri" w:eastAsia="Times New Roman" w:hAnsi="Calibri" w:cs="Times New Roman"/>
      <w:b/>
      <w:bCs/>
      <w:sz w:val="24"/>
      <w:szCs w:val="20"/>
      <w:lang w:eastAsia="en-AU"/>
    </w:rPr>
  </w:style>
  <w:style w:type="paragraph" w:customStyle="1" w:styleId="xl28">
    <w:name w:val="xl28"/>
    <w:basedOn w:val="Normal"/>
    <w:rsid w:val="00A60D4B"/>
    <w:pPr>
      <w:pBdr>
        <w:bottom w:val="single" w:sz="8" w:space="0" w:color="auto"/>
      </w:pBdr>
      <w:spacing w:before="100" w:beforeAutospacing="1" w:after="100" w:afterAutospacing="1" w:line="240" w:lineRule="auto"/>
    </w:pPr>
    <w:rPr>
      <w:rFonts w:ascii="Calibri" w:eastAsia="Times New Roman" w:hAnsi="Calibri" w:cs="Times New Roman"/>
      <w:sz w:val="24"/>
      <w:szCs w:val="20"/>
      <w:lang w:eastAsia="en-AU"/>
    </w:rPr>
  </w:style>
  <w:style w:type="paragraph" w:customStyle="1" w:styleId="xl29">
    <w:name w:val="xl29"/>
    <w:basedOn w:val="Normal"/>
    <w:rsid w:val="00A60D4B"/>
    <w:pPr>
      <w:pBdr>
        <w:bottom w:val="single" w:sz="8" w:space="0" w:color="auto"/>
      </w:pBdr>
      <w:spacing w:before="100" w:beforeAutospacing="1" w:after="100" w:afterAutospacing="1" w:line="240" w:lineRule="auto"/>
      <w:jc w:val="right"/>
    </w:pPr>
    <w:rPr>
      <w:rFonts w:ascii="Calibri" w:eastAsia="Times New Roman" w:hAnsi="Calibri" w:cs="Times New Roman"/>
      <w:b/>
      <w:bCs/>
      <w:sz w:val="24"/>
      <w:szCs w:val="20"/>
      <w:lang w:eastAsia="en-AU"/>
    </w:rPr>
  </w:style>
  <w:style w:type="paragraph" w:customStyle="1" w:styleId="xl31">
    <w:name w:val="xl31"/>
    <w:basedOn w:val="Normal"/>
    <w:rsid w:val="00A60D4B"/>
    <w:pPr>
      <w:spacing w:before="100" w:beforeAutospacing="1" w:after="100" w:afterAutospacing="1" w:line="240" w:lineRule="auto"/>
      <w:jc w:val="center"/>
    </w:pPr>
    <w:rPr>
      <w:rFonts w:ascii="Calibri" w:eastAsia="Times New Roman" w:hAnsi="Calibri" w:cs="Times New Roman"/>
      <w:sz w:val="24"/>
      <w:szCs w:val="20"/>
      <w:lang w:eastAsia="en-AU"/>
    </w:rPr>
  </w:style>
  <w:style w:type="paragraph" w:customStyle="1" w:styleId="xl32">
    <w:name w:val="xl32"/>
    <w:basedOn w:val="Normal"/>
    <w:rsid w:val="00A60D4B"/>
    <w:pPr>
      <w:spacing w:before="100" w:beforeAutospacing="1" w:after="100" w:afterAutospacing="1" w:line="240" w:lineRule="auto"/>
      <w:jc w:val="right"/>
    </w:pPr>
    <w:rPr>
      <w:rFonts w:ascii="Calibri" w:eastAsia="Times New Roman" w:hAnsi="Calibri" w:cs="Times New Roman"/>
      <w:b/>
      <w:bCs/>
      <w:sz w:val="24"/>
      <w:szCs w:val="20"/>
      <w:lang w:eastAsia="en-AU"/>
    </w:rPr>
  </w:style>
  <w:style w:type="paragraph" w:customStyle="1" w:styleId="xl33">
    <w:name w:val="xl33"/>
    <w:basedOn w:val="Normal"/>
    <w:rsid w:val="00A60D4B"/>
    <w:pPr>
      <w:spacing w:before="100" w:beforeAutospacing="1" w:after="100" w:afterAutospacing="1" w:line="240" w:lineRule="auto"/>
    </w:pPr>
    <w:rPr>
      <w:rFonts w:ascii="Times New Roman Bold" w:eastAsia="Times New Roman" w:hAnsi="Times New Roman Bold" w:cs="Times New Roman"/>
      <w:b/>
      <w:bCs/>
      <w:sz w:val="24"/>
      <w:szCs w:val="20"/>
      <w:lang w:eastAsia="en-AU"/>
    </w:rPr>
  </w:style>
  <w:style w:type="paragraph" w:customStyle="1" w:styleId="xl34">
    <w:name w:val="xl34"/>
    <w:basedOn w:val="Normal"/>
    <w:rsid w:val="00A60D4B"/>
    <w:pPr>
      <w:spacing w:before="100" w:beforeAutospacing="1" w:after="100" w:afterAutospacing="1" w:line="240" w:lineRule="auto"/>
      <w:ind w:firstLineChars="100" w:firstLine="100"/>
    </w:pPr>
    <w:rPr>
      <w:rFonts w:ascii="Calibri" w:eastAsia="Times New Roman" w:hAnsi="Calibri" w:cs="Times New Roman"/>
      <w:sz w:val="18"/>
      <w:szCs w:val="18"/>
      <w:lang w:eastAsia="en-AU"/>
    </w:rPr>
  </w:style>
  <w:style w:type="paragraph" w:customStyle="1" w:styleId="xl35">
    <w:name w:val="xl35"/>
    <w:basedOn w:val="Normal"/>
    <w:rsid w:val="00A60D4B"/>
    <w:pPr>
      <w:spacing w:before="100" w:beforeAutospacing="1" w:after="100" w:afterAutospacing="1" w:line="240" w:lineRule="auto"/>
      <w:jc w:val="center"/>
    </w:pPr>
    <w:rPr>
      <w:rFonts w:ascii="Calibri" w:eastAsia="Times New Roman" w:hAnsi="Calibri" w:cs="Times New Roman"/>
      <w:sz w:val="18"/>
      <w:szCs w:val="18"/>
      <w:lang w:eastAsia="en-AU"/>
    </w:rPr>
  </w:style>
  <w:style w:type="paragraph" w:customStyle="1" w:styleId="xl36">
    <w:name w:val="xl36"/>
    <w:basedOn w:val="Normal"/>
    <w:rsid w:val="00A60D4B"/>
    <w:pPr>
      <w:spacing w:before="100" w:beforeAutospacing="1" w:after="100" w:afterAutospacing="1" w:line="240" w:lineRule="auto"/>
      <w:ind w:firstLineChars="100" w:firstLine="100"/>
      <w:textAlignment w:val="top"/>
    </w:pPr>
    <w:rPr>
      <w:rFonts w:ascii="Calibri" w:eastAsia="Times New Roman" w:hAnsi="Calibri" w:cs="Times New Roman"/>
      <w:sz w:val="18"/>
      <w:szCs w:val="18"/>
      <w:lang w:eastAsia="en-AU"/>
    </w:rPr>
  </w:style>
  <w:style w:type="paragraph" w:customStyle="1" w:styleId="xl37">
    <w:name w:val="xl37"/>
    <w:basedOn w:val="Normal"/>
    <w:rsid w:val="00A60D4B"/>
    <w:pPr>
      <w:spacing w:before="100" w:beforeAutospacing="1" w:after="100" w:afterAutospacing="1" w:line="240" w:lineRule="auto"/>
      <w:ind w:firstLineChars="100" w:firstLine="100"/>
    </w:pPr>
    <w:rPr>
      <w:rFonts w:ascii="Calibri" w:eastAsia="Times New Roman" w:hAnsi="Calibri" w:cs="Times New Roman"/>
      <w:b/>
      <w:bCs/>
      <w:sz w:val="18"/>
      <w:szCs w:val="18"/>
      <w:lang w:eastAsia="en-AU"/>
    </w:rPr>
  </w:style>
  <w:style w:type="paragraph" w:customStyle="1" w:styleId="xl38">
    <w:name w:val="xl38"/>
    <w:basedOn w:val="Normal"/>
    <w:rsid w:val="00A60D4B"/>
    <w:pPr>
      <w:spacing w:before="100" w:beforeAutospacing="1" w:after="100" w:afterAutospacing="1" w:line="240" w:lineRule="auto"/>
      <w:jc w:val="center"/>
    </w:pPr>
    <w:rPr>
      <w:rFonts w:ascii="Calibri" w:eastAsia="Times New Roman" w:hAnsi="Calibri" w:cs="Times New Roman"/>
      <w:b/>
      <w:bCs/>
      <w:sz w:val="18"/>
      <w:szCs w:val="18"/>
      <w:lang w:eastAsia="en-AU"/>
    </w:rPr>
  </w:style>
  <w:style w:type="paragraph" w:customStyle="1" w:styleId="xl39">
    <w:name w:val="xl39"/>
    <w:basedOn w:val="Normal"/>
    <w:rsid w:val="00A60D4B"/>
    <w:pPr>
      <w:pBdr>
        <w:bottom w:val="single" w:sz="8" w:space="0" w:color="auto"/>
      </w:pBdr>
      <w:spacing w:before="100" w:beforeAutospacing="1" w:after="100" w:afterAutospacing="1" w:line="240" w:lineRule="auto"/>
      <w:ind w:firstLineChars="100" w:firstLine="100"/>
    </w:pPr>
    <w:rPr>
      <w:rFonts w:ascii="Calibri" w:eastAsia="Times New Roman" w:hAnsi="Calibri" w:cs="Times New Roman"/>
      <w:sz w:val="18"/>
      <w:szCs w:val="18"/>
      <w:lang w:eastAsia="en-AU"/>
    </w:rPr>
  </w:style>
  <w:style w:type="paragraph" w:customStyle="1" w:styleId="xl40">
    <w:name w:val="xl40"/>
    <w:basedOn w:val="Normal"/>
    <w:rsid w:val="00A60D4B"/>
    <w:pPr>
      <w:pBdr>
        <w:bottom w:val="single" w:sz="8" w:space="0" w:color="auto"/>
      </w:pBdr>
      <w:spacing w:before="100" w:beforeAutospacing="1" w:after="100" w:afterAutospacing="1" w:line="240" w:lineRule="auto"/>
      <w:ind w:firstLineChars="100" w:firstLine="100"/>
    </w:pPr>
    <w:rPr>
      <w:rFonts w:ascii="Calibri" w:eastAsia="Times New Roman" w:hAnsi="Calibri" w:cs="Times New Roman"/>
      <w:b/>
      <w:bCs/>
      <w:sz w:val="18"/>
      <w:szCs w:val="18"/>
      <w:lang w:eastAsia="en-AU"/>
    </w:rPr>
  </w:style>
  <w:style w:type="paragraph" w:customStyle="1" w:styleId="xl41">
    <w:name w:val="xl41"/>
    <w:basedOn w:val="Normal"/>
    <w:rsid w:val="00A60D4B"/>
    <w:pPr>
      <w:spacing w:before="100" w:beforeAutospacing="1" w:after="100" w:afterAutospacing="1" w:line="240" w:lineRule="auto"/>
      <w:jc w:val="center"/>
    </w:pPr>
    <w:rPr>
      <w:rFonts w:ascii="Calibri" w:eastAsia="Times New Roman" w:hAnsi="Calibri" w:cs="Times New Roman"/>
      <w:b/>
      <w:bCs/>
      <w:sz w:val="18"/>
      <w:szCs w:val="18"/>
      <w:lang w:eastAsia="en-AU"/>
    </w:rPr>
  </w:style>
  <w:style w:type="paragraph" w:customStyle="1" w:styleId="xl42">
    <w:name w:val="xl42"/>
    <w:basedOn w:val="Normal"/>
    <w:rsid w:val="00A60D4B"/>
    <w:pPr>
      <w:spacing w:before="100" w:beforeAutospacing="1" w:after="100" w:afterAutospacing="1" w:line="240" w:lineRule="auto"/>
    </w:pPr>
    <w:rPr>
      <w:rFonts w:ascii="Calibri" w:eastAsia="Times New Roman" w:hAnsi="Calibri" w:cs="Times New Roman"/>
      <w:b/>
      <w:bCs/>
      <w:sz w:val="18"/>
      <w:szCs w:val="18"/>
      <w:lang w:eastAsia="en-AU"/>
    </w:rPr>
  </w:style>
  <w:style w:type="paragraph" w:customStyle="1" w:styleId="xl43">
    <w:name w:val="xl43"/>
    <w:basedOn w:val="Normal"/>
    <w:rsid w:val="00A60D4B"/>
    <w:pPr>
      <w:pBdr>
        <w:bottom w:val="single" w:sz="8" w:space="0" w:color="auto"/>
      </w:pBdr>
      <w:spacing w:before="100" w:beforeAutospacing="1" w:after="100" w:afterAutospacing="1" w:line="240" w:lineRule="auto"/>
      <w:jc w:val="center"/>
    </w:pPr>
    <w:rPr>
      <w:rFonts w:ascii="Calibri" w:eastAsia="Times New Roman" w:hAnsi="Calibri" w:cs="Times New Roman"/>
      <w:b/>
      <w:bCs/>
      <w:sz w:val="18"/>
      <w:szCs w:val="18"/>
      <w:lang w:eastAsia="en-AU"/>
    </w:rPr>
  </w:style>
  <w:style w:type="paragraph" w:customStyle="1" w:styleId="xl44">
    <w:name w:val="xl44"/>
    <w:basedOn w:val="Normal"/>
    <w:rsid w:val="00A60D4B"/>
    <w:pPr>
      <w:spacing w:before="100" w:beforeAutospacing="1" w:after="100" w:afterAutospacing="1" w:line="240" w:lineRule="auto"/>
    </w:pPr>
    <w:rPr>
      <w:rFonts w:ascii="Calibri" w:eastAsia="Times New Roman" w:hAnsi="Calibri" w:cs="Times New Roman"/>
      <w:b/>
      <w:bCs/>
      <w:sz w:val="24"/>
      <w:szCs w:val="20"/>
      <w:lang w:eastAsia="en-AU"/>
    </w:rPr>
  </w:style>
  <w:style w:type="paragraph" w:customStyle="1" w:styleId="xl45">
    <w:name w:val="xl45"/>
    <w:basedOn w:val="Normal"/>
    <w:rsid w:val="00A60D4B"/>
    <w:pPr>
      <w:spacing w:before="100" w:beforeAutospacing="1" w:after="100" w:afterAutospacing="1" w:line="240" w:lineRule="auto"/>
    </w:pPr>
    <w:rPr>
      <w:rFonts w:ascii="Calibri" w:eastAsia="Times New Roman" w:hAnsi="Calibri" w:cs="Times New Roman"/>
      <w:sz w:val="24"/>
      <w:szCs w:val="20"/>
      <w:lang w:eastAsia="en-AU"/>
    </w:rPr>
  </w:style>
  <w:style w:type="paragraph" w:customStyle="1" w:styleId="xl46">
    <w:name w:val="xl46"/>
    <w:basedOn w:val="Normal"/>
    <w:rsid w:val="00A60D4B"/>
    <w:pPr>
      <w:spacing w:before="100" w:beforeAutospacing="1" w:after="100" w:afterAutospacing="1" w:line="240" w:lineRule="auto"/>
    </w:pPr>
    <w:rPr>
      <w:rFonts w:ascii="Calibri" w:eastAsia="Times New Roman" w:hAnsi="Calibri" w:cs="Times New Roman"/>
      <w:sz w:val="18"/>
      <w:szCs w:val="18"/>
      <w:lang w:eastAsia="en-AU"/>
    </w:rPr>
  </w:style>
  <w:style w:type="paragraph" w:customStyle="1" w:styleId="xl47">
    <w:name w:val="xl47"/>
    <w:basedOn w:val="Normal"/>
    <w:rsid w:val="00A60D4B"/>
    <w:pPr>
      <w:pBdr>
        <w:bottom w:val="single" w:sz="8" w:space="0" w:color="auto"/>
      </w:pBdr>
      <w:spacing w:before="100" w:beforeAutospacing="1" w:after="100" w:afterAutospacing="1" w:line="240" w:lineRule="auto"/>
    </w:pPr>
    <w:rPr>
      <w:rFonts w:ascii="Calibri" w:eastAsia="Times New Roman" w:hAnsi="Calibri" w:cs="Times New Roman"/>
      <w:sz w:val="18"/>
      <w:szCs w:val="18"/>
      <w:lang w:eastAsia="en-AU"/>
    </w:rPr>
  </w:style>
  <w:style w:type="paragraph" w:customStyle="1" w:styleId="xl48">
    <w:name w:val="xl48"/>
    <w:basedOn w:val="Normal"/>
    <w:rsid w:val="00A60D4B"/>
    <w:pPr>
      <w:pBdr>
        <w:bottom w:val="single" w:sz="8" w:space="0" w:color="auto"/>
      </w:pBdr>
      <w:spacing w:before="100" w:beforeAutospacing="1" w:after="100" w:afterAutospacing="1" w:line="240" w:lineRule="auto"/>
    </w:pPr>
    <w:rPr>
      <w:rFonts w:ascii="Calibri" w:eastAsia="Times New Roman" w:hAnsi="Calibri" w:cs="Times New Roman"/>
      <w:b/>
      <w:bCs/>
      <w:sz w:val="18"/>
      <w:szCs w:val="18"/>
      <w:lang w:eastAsia="en-AU"/>
    </w:rPr>
  </w:style>
  <w:style w:type="paragraph" w:customStyle="1" w:styleId="xl49">
    <w:name w:val="xl49"/>
    <w:basedOn w:val="Normal"/>
    <w:rsid w:val="00A60D4B"/>
    <w:pPr>
      <w:pBdr>
        <w:top w:val="single" w:sz="8" w:space="0" w:color="auto"/>
      </w:pBdr>
      <w:spacing w:before="100" w:beforeAutospacing="1" w:after="100" w:afterAutospacing="1" w:line="240" w:lineRule="auto"/>
    </w:pPr>
    <w:rPr>
      <w:rFonts w:ascii="Calibri" w:eastAsia="Times New Roman" w:hAnsi="Calibri" w:cs="Times New Roman"/>
      <w:sz w:val="18"/>
      <w:szCs w:val="18"/>
      <w:lang w:eastAsia="en-AU"/>
    </w:rPr>
  </w:style>
  <w:style w:type="paragraph" w:customStyle="1" w:styleId="xl50">
    <w:name w:val="xl50"/>
    <w:basedOn w:val="Normal"/>
    <w:rsid w:val="00A60D4B"/>
    <w:pPr>
      <w:spacing w:before="100" w:beforeAutospacing="1" w:after="100" w:afterAutospacing="1" w:line="240" w:lineRule="auto"/>
    </w:pPr>
    <w:rPr>
      <w:rFonts w:ascii="Calibri" w:eastAsia="Times New Roman" w:hAnsi="Calibri" w:cs="Times New Roman"/>
      <w:b/>
      <w:bCs/>
      <w:sz w:val="18"/>
      <w:szCs w:val="18"/>
      <w:lang w:eastAsia="en-AU"/>
    </w:rPr>
  </w:style>
  <w:style w:type="paragraph" w:customStyle="1" w:styleId="xl51">
    <w:name w:val="xl51"/>
    <w:basedOn w:val="Normal"/>
    <w:rsid w:val="00A60D4B"/>
    <w:pPr>
      <w:spacing w:before="100" w:beforeAutospacing="1" w:after="100" w:afterAutospacing="1" w:line="240" w:lineRule="auto"/>
    </w:pPr>
    <w:rPr>
      <w:rFonts w:ascii="Calibri" w:eastAsia="Times New Roman" w:hAnsi="Calibri" w:cs="Times New Roman"/>
      <w:sz w:val="24"/>
      <w:szCs w:val="20"/>
      <w:lang w:eastAsia="en-AU"/>
    </w:rPr>
  </w:style>
  <w:style w:type="paragraph" w:customStyle="1" w:styleId="xl52">
    <w:name w:val="xl52"/>
    <w:basedOn w:val="Normal"/>
    <w:rsid w:val="00A60D4B"/>
    <w:pPr>
      <w:spacing w:before="100" w:beforeAutospacing="1" w:after="100" w:afterAutospacing="1" w:line="240" w:lineRule="auto"/>
      <w:jc w:val="center"/>
    </w:pPr>
    <w:rPr>
      <w:rFonts w:ascii="Calibri" w:eastAsia="Times New Roman" w:hAnsi="Calibri" w:cs="Times New Roman"/>
      <w:sz w:val="18"/>
      <w:szCs w:val="18"/>
      <w:lang w:eastAsia="en-AU"/>
    </w:rPr>
  </w:style>
  <w:style w:type="paragraph" w:customStyle="1" w:styleId="xl53">
    <w:name w:val="xl53"/>
    <w:basedOn w:val="Normal"/>
    <w:rsid w:val="00A60D4B"/>
    <w:pPr>
      <w:spacing w:before="100" w:beforeAutospacing="1" w:after="100" w:afterAutospacing="1" w:line="240" w:lineRule="auto"/>
      <w:jc w:val="center"/>
    </w:pPr>
    <w:rPr>
      <w:rFonts w:ascii="Calibri" w:eastAsia="Times New Roman" w:hAnsi="Calibri" w:cs="Times New Roman"/>
      <w:sz w:val="18"/>
      <w:szCs w:val="18"/>
      <w:lang w:eastAsia="en-AU"/>
    </w:rPr>
  </w:style>
  <w:style w:type="paragraph" w:customStyle="1" w:styleId="xl54">
    <w:name w:val="xl54"/>
    <w:basedOn w:val="Normal"/>
    <w:rsid w:val="00A60D4B"/>
    <w:pPr>
      <w:spacing w:before="100" w:beforeAutospacing="1" w:after="100" w:afterAutospacing="1" w:line="240" w:lineRule="auto"/>
    </w:pPr>
    <w:rPr>
      <w:rFonts w:ascii="Calibri" w:eastAsia="Times New Roman" w:hAnsi="Calibri" w:cs="Times New Roman"/>
      <w:sz w:val="18"/>
      <w:szCs w:val="18"/>
      <w:lang w:eastAsia="en-AU"/>
    </w:rPr>
  </w:style>
  <w:style w:type="paragraph" w:customStyle="1" w:styleId="xl55">
    <w:name w:val="xl55"/>
    <w:basedOn w:val="Normal"/>
    <w:rsid w:val="00A60D4B"/>
    <w:pPr>
      <w:spacing w:before="100" w:beforeAutospacing="1" w:after="100" w:afterAutospacing="1" w:line="240" w:lineRule="auto"/>
    </w:pPr>
    <w:rPr>
      <w:rFonts w:ascii="Calibri" w:eastAsia="Times New Roman" w:hAnsi="Calibri" w:cs="Times New Roman"/>
      <w:sz w:val="18"/>
      <w:szCs w:val="18"/>
      <w:lang w:eastAsia="en-AU"/>
    </w:rPr>
  </w:style>
  <w:style w:type="paragraph" w:customStyle="1" w:styleId="xl56">
    <w:name w:val="xl56"/>
    <w:basedOn w:val="Normal"/>
    <w:rsid w:val="00A60D4B"/>
    <w:pPr>
      <w:spacing w:before="100" w:beforeAutospacing="1" w:after="100" w:afterAutospacing="1" w:line="240" w:lineRule="auto"/>
      <w:textAlignment w:val="center"/>
    </w:pPr>
    <w:rPr>
      <w:rFonts w:ascii="Calibri" w:eastAsia="Times New Roman" w:hAnsi="Calibri" w:cs="Times New Roman"/>
      <w:sz w:val="24"/>
      <w:szCs w:val="20"/>
      <w:lang w:eastAsia="en-AU"/>
    </w:rPr>
  </w:style>
  <w:style w:type="paragraph" w:customStyle="1" w:styleId="xl57">
    <w:name w:val="xl57"/>
    <w:basedOn w:val="Normal"/>
    <w:rsid w:val="00A60D4B"/>
    <w:pPr>
      <w:spacing w:before="100" w:beforeAutospacing="1" w:after="100" w:afterAutospacing="1" w:line="240" w:lineRule="auto"/>
      <w:ind w:firstLineChars="100" w:firstLine="100"/>
      <w:textAlignment w:val="center"/>
    </w:pPr>
    <w:rPr>
      <w:rFonts w:ascii="Calibri" w:eastAsia="Times New Roman" w:hAnsi="Calibri" w:cs="Times New Roman"/>
      <w:sz w:val="18"/>
      <w:szCs w:val="18"/>
      <w:lang w:eastAsia="en-AU"/>
    </w:rPr>
  </w:style>
  <w:style w:type="paragraph" w:customStyle="1" w:styleId="xl58">
    <w:name w:val="xl58"/>
    <w:basedOn w:val="Normal"/>
    <w:rsid w:val="00A60D4B"/>
    <w:pPr>
      <w:spacing w:before="100" w:beforeAutospacing="1" w:after="100" w:afterAutospacing="1" w:line="240" w:lineRule="auto"/>
      <w:textAlignment w:val="center"/>
    </w:pPr>
    <w:rPr>
      <w:rFonts w:ascii="Times New Roman Bold" w:eastAsia="Times New Roman" w:hAnsi="Times New Roman Bold" w:cs="Times New Roman"/>
      <w:b/>
      <w:bCs/>
      <w:sz w:val="24"/>
      <w:szCs w:val="20"/>
      <w:lang w:eastAsia="en-AU"/>
    </w:rPr>
  </w:style>
  <w:style w:type="paragraph" w:customStyle="1" w:styleId="xl59">
    <w:name w:val="xl59"/>
    <w:basedOn w:val="Normal"/>
    <w:rsid w:val="00A60D4B"/>
    <w:pPr>
      <w:pBdr>
        <w:bottom w:val="single" w:sz="8" w:space="0" w:color="auto"/>
      </w:pBdr>
      <w:spacing w:before="100" w:beforeAutospacing="1" w:after="100" w:afterAutospacing="1" w:line="240" w:lineRule="auto"/>
      <w:ind w:firstLineChars="100" w:firstLine="100"/>
      <w:textAlignment w:val="center"/>
    </w:pPr>
    <w:rPr>
      <w:rFonts w:ascii="Calibri" w:eastAsia="Times New Roman" w:hAnsi="Calibri" w:cs="Times New Roman"/>
      <w:b/>
      <w:bCs/>
      <w:sz w:val="18"/>
      <w:szCs w:val="18"/>
      <w:lang w:eastAsia="en-AU"/>
    </w:rPr>
  </w:style>
  <w:style w:type="paragraph" w:customStyle="1" w:styleId="xl60">
    <w:name w:val="xl60"/>
    <w:basedOn w:val="Normal"/>
    <w:rsid w:val="00A60D4B"/>
    <w:pPr>
      <w:spacing w:before="100" w:beforeAutospacing="1" w:after="100" w:afterAutospacing="1" w:line="240" w:lineRule="auto"/>
      <w:jc w:val="center"/>
      <w:textAlignment w:val="center"/>
    </w:pPr>
    <w:rPr>
      <w:rFonts w:ascii="Calibri" w:eastAsia="Times New Roman" w:hAnsi="Calibri" w:cs="Times New Roman"/>
      <w:sz w:val="18"/>
      <w:szCs w:val="18"/>
      <w:lang w:eastAsia="en-AU"/>
    </w:rPr>
  </w:style>
  <w:style w:type="paragraph" w:customStyle="1" w:styleId="xl61">
    <w:name w:val="xl61"/>
    <w:basedOn w:val="Normal"/>
    <w:rsid w:val="00A60D4B"/>
    <w:pPr>
      <w:spacing w:before="100" w:beforeAutospacing="1" w:after="100" w:afterAutospacing="1" w:line="240" w:lineRule="auto"/>
      <w:textAlignment w:val="center"/>
    </w:pPr>
    <w:rPr>
      <w:rFonts w:ascii="Calibri" w:eastAsia="Times New Roman" w:hAnsi="Calibri" w:cs="Times New Roman"/>
      <w:sz w:val="24"/>
      <w:szCs w:val="20"/>
      <w:lang w:eastAsia="en-AU"/>
    </w:rPr>
  </w:style>
  <w:style w:type="character" w:customStyle="1" w:styleId="Heading3TopofPageChar">
    <w:name w:val="Heading 3 Top of Page Char"/>
    <w:link w:val="Heading3TopofPage"/>
    <w:locked/>
    <w:rsid w:val="00A60D4B"/>
    <w:rPr>
      <w:rFonts w:ascii="Arial" w:eastAsia="Times New Roman" w:hAnsi="Arial" w:cs="Times New Roman"/>
      <w:b/>
      <w:bCs/>
      <w:sz w:val="24"/>
      <w:szCs w:val="28"/>
      <w:shd w:val="clear" w:color="auto" w:fill="FFFFFF"/>
      <w:lang w:val="x-none" w:eastAsia="x-none"/>
    </w:rPr>
  </w:style>
  <w:style w:type="character" w:customStyle="1" w:styleId="TableTextLeft-BP4Char">
    <w:name w:val="Table Text Left - BP4 Char"/>
    <w:link w:val="TableTextLeft-BP4"/>
    <w:locked/>
    <w:rsid w:val="00A60D4B"/>
    <w:rPr>
      <w:rFonts w:ascii="Calibri" w:eastAsia="Times New Roman" w:hAnsi="Calibri" w:cs="Times New Roman"/>
      <w:sz w:val="18"/>
      <w:szCs w:val="18"/>
      <w:lang w:val="x-none"/>
    </w:rPr>
  </w:style>
  <w:style w:type="paragraph" w:customStyle="1" w:styleId="1n">
    <w:name w:val="1. n"/>
    <w:basedOn w:val="n"/>
    <w:rsid w:val="00A60D4B"/>
    <w:rPr>
      <w:iCs/>
      <w:szCs w:val="20"/>
    </w:rPr>
  </w:style>
  <w:style w:type="paragraph" w:customStyle="1" w:styleId="an">
    <w:name w:val="a. n"/>
    <w:basedOn w:val="n"/>
    <w:rsid w:val="00A60D4B"/>
    <w:rPr>
      <w:iCs/>
      <w:szCs w:val="20"/>
    </w:rPr>
  </w:style>
  <w:style w:type="character" w:customStyle="1" w:styleId="CharChar2">
    <w:name w:val="Char Char2"/>
    <w:uiPriority w:val="99"/>
    <w:rsid w:val="00A60D4B"/>
    <w:rPr>
      <w:rFonts w:ascii="Calibri" w:hAnsi="Calibri" w:cs="Times New Roman"/>
      <w:sz w:val="24"/>
      <w:lang w:val="en-AU" w:eastAsia="en-US" w:bidi="ar-SA"/>
    </w:rPr>
  </w:style>
  <w:style w:type="character" w:customStyle="1" w:styleId="CharChar11">
    <w:name w:val="Char Char11"/>
    <w:uiPriority w:val="99"/>
    <w:rsid w:val="00A60D4B"/>
    <w:rPr>
      <w:rFonts w:ascii="Arial" w:hAnsi="Arial" w:cs="Arial"/>
      <w:b/>
      <w:bCs/>
      <w:sz w:val="26"/>
      <w:szCs w:val="26"/>
      <w:lang w:val="en-AU" w:eastAsia="en-US" w:bidi="ar-SA"/>
    </w:rPr>
  </w:style>
  <w:style w:type="table" w:styleId="ColorfulGrid-Accent2">
    <w:name w:val="Colorful Grid Accent 2"/>
    <w:basedOn w:val="TableNormal"/>
    <w:uiPriority w:val="73"/>
    <w:rsid w:val="00A60D4B"/>
    <w:pPr>
      <w:spacing w:after="0" w:line="240" w:lineRule="auto"/>
    </w:pPr>
    <w:rPr>
      <w:rFonts w:ascii="Calibri" w:eastAsia="Times New Roman" w:hAnsi="Calibri" w:cs="Times New Roman"/>
      <w:color w:val="000000"/>
      <w:sz w:val="20"/>
      <w:szCs w:val="20"/>
      <w:lang w:eastAsia="en-AU"/>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3">
    <w:name w:val="Colorful Grid Accent 3"/>
    <w:basedOn w:val="TableNormal"/>
    <w:uiPriority w:val="73"/>
    <w:rsid w:val="00A60D4B"/>
    <w:pPr>
      <w:spacing w:after="0" w:line="240" w:lineRule="auto"/>
    </w:pPr>
    <w:rPr>
      <w:rFonts w:ascii="Calibri" w:eastAsia="Times New Roman" w:hAnsi="Calibri" w:cs="Times New Roman"/>
      <w:color w:val="000000"/>
      <w:sz w:val="20"/>
      <w:szCs w:val="20"/>
      <w:lang w:eastAsia="en-AU"/>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4">
    <w:name w:val="Colorful Grid Accent 4"/>
    <w:basedOn w:val="TableNormal"/>
    <w:uiPriority w:val="73"/>
    <w:rsid w:val="00A60D4B"/>
    <w:pPr>
      <w:spacing w:after="0" w:line="240" w:lineRule="auto"/>
    </w:pPr>
    <w:rPr>
      <w:rFonts w:ascii="Calibri" w:eastAsia="Times New Roman" w:hAnsi="Calibri" w:cs="Times New Roman"/>
      <w:color w:val="000000"/>
      <w:sz w:val="20"/>
      <w:szCs w:val="20"/>
      <w:lang w:eastAsia="en-AU"/>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Grid-Accent5">
    <w:name w:val="Colorful Grid Accent 5"/>
    <w:basedOn w:val="TableNormal"/>
    <w:uiPriority w:val="73"/>
    <w:rsid w:val="00A60D4B"/>
    <w:pPr>
      <w:spacing w:after="0" w:line="240" w:lineRule="auto"/>
    </w:pPr>
    <w:rPr>
      <w:rFonts w:ascii="Calibri" w:eastAsia="Times New Roman" w:hAnsi="Calibri" w:cs="Times New Roman"/>
      <w:color w:val="000000"/>
      <w:sz w:val="20"/>
      <w:szCs w:val="20"/>
      <w:lang w:eastAsia="en-AU"/>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rsid w:val="00A60D4B"/>
    <w:pPr>
      <w:spacing w:after="0" w:line="240" w:lineRule="auto"/>
    </w:pPr>
    <w:rPr>
      <w:rFonts w:ascii="Calibri" w:eastAsia="Times New Roman" w:hAnsi="Calibri" w:cs="Times New Roman"/>
      <w:color w:val="000000"/>
      <w:sz w:val="20"/>
      <w:szCs w:val="20"/>
      <w:lang w:eastAsia="en-AU"/>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paragraph" w:styleId="Index1">
    <w:name w:val="index 1"/>
    <w:basedOn w:val="Normal"/>
    <w:next w:val="Normal"/>
    <w:autoRedefine/>
    <w:rsid w:val="00A60D4B"/>
    <w:pPr>
      <w:spacing w:before="200" w:after="200" w:line="240" w:lineRule="auto"/>
      <w:ind w:left="240" w:hanging="240"/>
    </w:pPr>
    <w:rPr>
      <w:rFonts w:ascii="Calibri" w:eastAsia="Times New Roman" w:hAnsi="Calibri" w:cs="Times New Roman"/>
      <w:sz w:val="24"/>
      <w:szCs w:val="20"/>
    </w:rPr>
  </w:style>
  <w:style w:type="paragraph" w:styleId="Index2">
    <w:name w:val="index 2"/>
    <w:basedOn w:val="Normal"/>
    <w:next w:val="Normal"/>
    <w:autoRedefine/>
    <w:rsid w:val="00A60D4B"/>
    <w:pPr>
      <w:spacing w:before="200" w:after="200" w:line="240" w:lineRule="auto"/>
      <w:ind w:left="480" w:hanging="240"/>
    </w:pPr>
    <w:rPr>
      <w:rFonts w:ascii="Calibri" w:eastAsia="Times New Roman" w:hAnsi="Calibri" w:cs="Times New Roman"/>
      <w:sz w:val="24"/>
      <w:szCs w:val="20"/>
    </w:rPr>
  </w:style>
  <w:style w:type="paragraph" w:styleId="Index3">
    <w:name w:val="index 3"/>
    <w:basedOn w:val="Normal"/>
    <w:next w:val="Normal"/>
    <w:autoRedefine/>
    <w:rsid w:val="00A60D4B"/>
    <w:pPr>
      <w:spacing w:before="200" w:after="200" w:line="240" w:lineRule="auto"/>
      <w:ind w:left="720" w:hanging="240"/>
    </w:pPr>
    <w:rPr>
      <w:rFonts w:ascii="Calibri" w:eastAsia="Times New Roman" w:hAnsi="Calibri" w:cs="Times New Roman"/>
      <w:sz w:val="24"/>
      <w:szCs w:val="20"/>
    </w:rPr>
  </w:style>
  <w:style w:type="paragraph" w:styleId="Index4">
    <w:name w:val="index 4"/>
    <w:basedOn w:val="Normal"/>
    <w:next w:val="Normal"/>
    <w:autoRedefine/>
    <w:rsid w:val="00A60D4B"/>
    <w:pPr>
      <w:spacing w:before="200" w:after="200" w:line="240" w:lineRule="auto"/>
      <w:ind w:left="960" w:hanging="240"/>
    </w:pPr>
    <w:rPr>
      <w:rFonts w:ascii="Calibri" w:eastAsia="Times New Roman" w:hAnsi="Calibri" w:cs="Times New Roman"/>
      <w:sz w:val="24"/>
      <w:szCs w:val="20"/>
    </w:rPr>
  </w:style>
  <w:style w:type="paragraph" w:styleId="Index5">
    <w:name w:val="index 5"/>
    <w:basedOn w:val="Normal"/>
    <w:next w:val="Normal"/>
    <w:autoRedefine/>
    <w:rsid w:val="00A60D4B"/>
    <w:pPr>
      <w:spacing w:before="200" w:after="200" w:line="240" w:lineRule="auto"/>
      <w:ind w:left="1200" w:hanging="240"/>
    </w:pPr>
    <w:rPr>
      <w:rFonts w:ascii="Calibri" w:eastAsia="Times New Roman" w:hAnsi="Calibri" w:cs="Times New Roman"/>
      <w:sz w:val="24"/>
      <w:szCs w:val="20"/>
    </w:rPr>
  </w:style>
  <w:style w:type="paragraph" w:styleId="Index6">
    <w:name w:val="index 6"/>
    <w:basedOn w:val="Normal"/>
    <w:next w:val="Normal"/>
    <w:autoRedefine/>
    <w:rsid w:val="00A60D4B"/>
    <w:pPr>
      <w:spacing w:before="200" w:after="200" w:line="240" w:lineRule="auto"/>
      <w:ind w:left="1440" w:hanging="240"/>
    </w:pPr>
    <w:rPr>
      <w:rFonts w:ascii="Calibri" w:eastAsia="Times New Roman" w:hAnsi="Calibri" w:cs="Times New Roman"/>
      <w:sz w:val="24"/>
      <w:szCs w:val="20"/>
    </w:rPr>
  </w:style>
  <w:style w:type="paragraph" w:styleId="Index7">
    <w:name w:val="index 7"/>
    <w:basedOn w:val="Normal"/>
    <w:next w:val="Normal"/>
    <w:autoRedefine/>
    <w:rsid w:val="00A60D4B"/>
    <w:pPr>
      <w:spacing w:before="200" w:after="200" w:line="240" w:lineRule="auto"/>
      <w:ind w:left="1680" w:hanging="240"/>
    </w:pPr>
    <w:rPr>
      <w:rFonts w:ascii="Calibri" w:eastAsia="Times New Roman" w:hAnsi="Calibri" w:cs="Times New Roman"/>
      <w:sz w:val="24"/>
      <w:szCs w:val="20"/>
    </w:rPr>
  </w:style>
  <w:style w:type="paragraph" w:styleId="Index8">
    <w:name w:val="index 8"/>
    <w:basedOn w:val="Normal"/>
    <w:next w:val="Normal"/>
    <w:autoRedefine/>
    <w:rsid w:val="00A60D4B"/>
    <w:pPr>
      <w:spacing w:before="200" w:after="200" w:line="240" w:lineRule="auto"/>
      <w:ind w:left="1920" w:hanging="240"/>
    </w:pPr>
    <w:rPr>
      <w:rFonts w:ascii="Calibri" w:eastAsia="Times New Roman" w:hAnsi="Calibri" w:cs="Times New Roman"/>
      <w:sz w:val="24"/>
      <w:szCs w:val="20"/>
    </w:rPr>
  </w:style>
  <w:style w:type="paragraph" w:styleId="Index9">
    <w:name w:val="index 9"/>
    <w:basedOn w:val="Normal"/>
    <w:next w:val="Normal"/>
    <w:autoRedefine/>
    <w:rsid w:val="00A60D4B"/>
    <w:pPr>
      <w:spacing w:before="200" w:after="200" w:line="240" w:lineRule="auto"/>
      <w:ind w:left="2160" w:hanging="240"/>
    </w:pPr>
    <w:rPr>
      <w:rFonts w:ascii="Calibri" w:eastAsia="Times New Roman" w:hAnsi="Calibri" w:cs="Times New Roman"/>
      <w:sz w:val="24"/>
      <w:szCs w:val="20"/>
    </w:rPr>
  </w:style>
  <w:style w:type="paragraph" w:styleId="IndexHeading">
    <w:name w:val="index heading"/>
    <w:basedOn w:val="Normal"/>
    <w:next w:val="Index1"/>
    <w:rsid w:val="00A60D4B"/>
    <w:pPr>
      <w:spacing w:before="200" w:after="200" w:line="240" w:lineRule="auto"/>
    </w:pPr>
    <w:rPr>
      <w:rFonts w:ascii="Calibri" w:eastAsia="Times New Roman" w:hAnsi="Calibri" w:cs="Times New Roman"/>
      <w:b/>
      <w:bCs/>
      <w:sz w:val="24"/>
      <w:szCs w:val="20"/>
    </w:rPr>
  </w:style>
  <w:style w:type="paragraph" w:styleId="TableofAuthorities">
    <w:name w:val="table of authorities"/>
    <w:basedOn w:val="Normal"/>
    <w:next w:val="Normal"/>
    <w:rsid w:val="00A60D4B"/>
    <w:pPr>
      <w:spacing w:before="200" w:after="200" w:line="240" w:lineRule="auto"/>
      <w:ind w:left="240" w:hanging="240"/>
    </w:pPr>
    <w:rPr>
      <w:rFonts w:ascii="Calibri" w:eastAsia="Times New Roman" w:hAnsi="Calibri" w:cs="Times New Roman"/>
      <w:sz w:val="24"/>
      <w:szCs w:val="20"/>
    </w:rPr>
  </w:style>
  <w:style w:type="paragraph" w:styleId="TableofFigures">
    <w:name w:val="table of figures"/>
    <w:basedOn w:val="Normal"/>
    <w:next w:val="Normal"/>
    <w:rsid w:val="00A60D4B"/>
    <w:pPr>
      <w:spacing w:before="200" w:after="200" w:line="240" w:lineRule="auto"/>
    </w:pPr>
    <w:rPr>
      <w:rFonts w:ascii="Calibri" w:eastAsia="Times New Roman" w:hAnsi="Calibri" w:cs="Times New Roman"/>
      <w:sz w:val="24"/>
      <w:szCs w:val="20"/>
    </w:rPr>
  </w:style>
  <w:style w:type="paragraph" w:styleId="TOAHeading">
    <w:name w:val="toa heading"/>
    <w:basedOn w:val="Normal"/>
    <w:next w:val="Normal"/>
    <w:rsid w:val="00A60D4B"/>
    <w:pPr>
      <w:spacing w:before="120" w:after="200" w:line="240" w:lineRule="auto"/>
    </w:pPr>
    <w:rPr>
      <w:rFonts w:ascii="Calibri" w:eastAsia="Times New Roman" w:hAnsi="Calibri" w:cs="Times New Roman"/>
      <w:b/>
      <w:bCs/>
      <w:sz w:val="24"/>
      <w:szCs w:val="24"/>
    </w:rPr>
  </w:style>
  <w:style w:type="numbering" w:styleId="1ai">
    <w:name w:val="Outline List 1"/>
    <w:basedOn w:val="NoList"/>
    <w:rsid w:val="00A60D4B"/>
    <w:pPr>
      <w:numPr>
        <w:numId w:val="49"/>
      </w:numPr>
    </w:pPr>
  </w:style>
  <w:style w:type="numbering" w:styleId="ArticleSection">
    <w:name w:val="Outline List 3"/>
    <w:basedOn w:val="NoList"/>
    <w:rsid w:val="00A60D4B"/>
    <w:pPr>
      <w:numPr>
        <w:numId w:val="50"/>
      </w:numPr>
    </w:pPr>
  </w:style>
  <w:style w:type="numbering" w:styleId="111111">
    <w:name w:val="Outline List 2"/>
    <w:basedOn w:val="NoList"/>
    <w:rsid w:val="00A60D4B"/>
    <w:pPr>
      <w:numPr>
        <w:numId w:val="48"/>
      </w:numPr>
    </w:pPr>
  </w:style>
  <w:style w:type="character" w:customStyle="1" w:styleId="EmailStyle4191">
    <w:name w:val="EmailStyle4191"/>
    <w:rsid w:val="00A60D4B"/>
    <w:rPr>
      <w:rFonts w:ascii="Arial" w:hAnsi="Arial" w:cs="Arial"/>
      <w:color w:val="000080"/>
      <w:sz w:val="20"/>
    </w:rPr>
  </w:style>
  <w:style w:type="character" w:customStyle="1" w:styleId="EmailStyle4201">
    <w:name w:val="EmailStyle4201"/>
    <w:rsid w:val="00A60D4B"/>
    <w:rPr>
      <w:rFonts w:ascii="Arial" w:hAnsi="Arial" w:cs="Arial"/>
      <w:color w:val="auto"/>
      <w:sz w:val="20"/>
    </w:rPr>
  </w:style>
  <w:style w:type="character" w:customStyle="1" w:styleId="EmailStyle4211">
    <w:name w:val="EmailStyle4211"/>
    <w:rsid w:val="00A60D4B"/>
    <w:rPr>
      <w:rFonts w:ascii="Arial" w:hAnsi="Arial" w:cs="Arial"/>
      <w:color w:val="auto"/>
      <w:sz w:val="20"/>
    </w:rPr>
  </w:style>
  <w:style w:type="paragraph" w:customStyle="1" w:styleId="xl64">
    <w:name w:val="xl64"/>
    <w:basedOn w:val="Normal"/>
    <w:rsid w:val="00A60D4B"/>
    <w:pPr>
      <w:pBdr>
        <w:top w:val="single" w:sz="4" w:space="0" w:color="auto"/>
      </w:pBdr>
      <w:spacing w:before="100" w:beforeAutospacing="1" w:after="100" w:afterAutospacing="1" w:line="240" w:lineRule="auto"/>
      <w:jc w:val="right"/>
    </w:pPr>
    <w:rPr>
      <w:rFonts w:ascii="Arial" w:eastAsia="Times New Roman" w:hAnsi="Arial" w:cs="Arial"/>
      <w:b/>
      <w:bCs/>
      <w:sz w:val="16"/>
      <w:szCs w:val="16"/>
      <w:lang w:eastAsia="en-AU"/>
    </w:rPr>
  </w:style>
  <w:style w:type="paragraph" w:customStyle="1" w:styleId="xl65">
    <w:name w:val="xl65"/>
    <w:basedOn w:val="Normal"/>
    <w:rsid w:val="00A60D4B"/>
    <w:pPr>
      <w:spacing w:before="100" w:beforeAutospacing="1" w:after="100" w:afterAutospacing="1" w:line="240" w:lineRule="auto"/>
      <w:jc w:val="right"/>
    </w:pPr>
    <w:rPr>
      <w:rFonts w:ascii="Arial" w:eastAsia="Times New Roman" w:hAnsi="Arial" w:cs="Arial"/>
      <w:b/>
      <w:bCs/>
      <w:sz w:val="16"/>
      <w:szCs w:val="16"/>
      <w:lang w:eastAsia="en-AU"/>
    </w:rPr>
  </w:style>
  <w:style w:type="paragraph" w:customStyle="1" w:styleId="xl66">
    <w:name w:val="xl66"/>
    <w:basedOn w:val="Normal"/>
    <w:rsid w:val="00A60D4B"/>
    <w:pPr>
      <w:pBdr>
        <w:bottom w:val="single" w:sz="4" w:space="0" w:color="auto"/>
      </w:pBdr>
      <w:spacing w:before="100" w:beforeAutospacing="1" w:after="100" w:afterAutospacing="1" w:line="240" w:lineRule="auto"/>
      <w:jc w:val="right"/>
    </w:pPr>
    <w:rPr>
      <w:rFonts w:ascii="Arial" w:eastAsia="Times New Roman" w:hAnsi="Arial" w:cs="Arial"/>
      <w:b/>
      <w:bCs/>
      <w:sz w:val="16"/>
      <w:szCs w:val="16"/>
      <w:lang w:eastAsia="en-AU"/>
    </w:rPr>
  </w:style>
  <w:style w:type="paragraph" w:customStyle="1" w:styleId="NoteHeading2">
    <w:name w:val="Note Heading2"/>
    <w:basedOn w:val="Normal"/>
    <w:autoRedefine/>
    <w:semiHidden/>
    <w:rsid w:val="00A60D4B"/>
    <w:pPr>
      <w:spacing w:before="120" w:after="200" w:line="240" w:lineRule="auto"/>
      <w:ind w:left="28"/>
    </w:pPr>
    <w:rPr>
      <w:rFonts w:ascii="Calibri" w:eastAsia="Times New Roman" w:hAnsi="Calibri" w:cs="Times New Roman"/>
      <w:b/>
      <w:bCs/>
      <w:sz w:val="20"/>
      <w:szCs w:val="20"/>
    </w:rPr>
  </w:style>
  <w:style w:type="character" w:customStyle="1" w:styleId="EmailStyle4261">
    <w:name w:val="EmailStyle4261"/>
    <w:rsid w:val="00A60D4B"/>
    <w:rPr>
      <w:rFonts w:ascii="Arial" w:hAnsi="Arial" w:cs="Arial"/>
      <w:color w:val="000080"/>
      <w:sz w:val="20"/>
    </w:rPr>
  </w:style>
  <w:style w:type="character" w:customStyle="1" w:styleId="EmailStyle4271">
    <w:name w:val="EmailStyle4271"/>
    <w:rsid w:val="00A60D4B"/>
    <w:rPr>
      <w:rFonts w:ascii="Arial" w:hAnsi="Arial" w:cs="Arial"/>
      <w:color w:val="auto"/>
      <w:sz w:val="20"/>
    </w:rPr>
  </w:style>
  <w:style w:type="character" w:customStyle="1" w:styleId="EmailStyle4281">
    <w:name w:val="EmailStyle4281"/>
    <w:rsid w:val="00A60D4B"/>
    <w:rPr>
      <w:rFonts w:ascii="Arial" w:hAnsi="Arial" w:cs="Arial"/>
      <w:color w:val="auto"/>
      <w:sz w:val="20"/>
    </w:rPr>
  </w:style>
  <w:style w:type="character" w:customStyle="1" w:styleId="EmailStyle429">
    <w:name w:val="EmailStyle429"/>
    <w:rsid w:val="00A60D4B"/>
    <w:rPr>
      <w:rFonts w:ascii="Arial" w:hAnsi="Arial" w:cs="Arial"/>
      <w:color w:val="000080"/>
      <w:sz w:val="20"/>
    </w:rPr>
  </w:style>
  <w:style w:type="character" w:customStyle="1" w:styleId="EmailStyle430">
    <w:name w:val="EmailStyle430"/>
    <w:rsid w:val="00A60D4B"/>
    <w:rPr>
      <w:rFonts w:ascii="Arial" w:hAnsi="Arial" w:cs="Arial"/>
      <w:color w:val="auto"/>
      <w:sz w:val="20"/>
    </w:rPr>
  </w:style>
  <w:style w:type="character" w:customStyle="1" w:styleId="EmailStyle431">
    <w:name w:val="EmailStyle431"/>
    <w:rsid w:val="00A60D4B"/>
    <w:rPr>
      <w:rFonts w:ascii="Arial" w:hAnsi="Arial" w:cs="Arial"/>
      <w:color w:val="auto"/>
      <w:sz w:val="20"/>
    </w:rPr>
  </w:style>
  <w:style w:type="character" w:customStyle="1" w:styleId="EmailStyle113">
    <w:name w:val="EmailStyle113"/>
    <w:rsid w:val="00A60D4B"/>
    <w:rPr>
      <w:rFonts w:ascii="Arial" w:hAnsi="Arial" w:cs="Arial"/>
      <w:color w:val="000080"/>
      <w:sz w:val="20"/>
      <w:szCs w:val="20"/>
    </w:rPr>
  </w:style>
  <w:style w:type="character" w:customStyle="1" w:styleId="EmailStyle114">
    <w:name w:val="EmailStyle114"/>
    <w:rsid w:val="00A60D4B"/>
    <w:rPr>
      <w:rFonts w:ascii="Arial" w:hAnsi="Arial" w:cs="Arial"/>
      <w:color w:val="auto"/>
      <w:sz w:val="20"/>
      <w:szCs w:val="20"/>
    </w:rPr>
  </w:style>
  <w:style w:type="character" w:customStyle="1" w:styleId="EmailStyle115">
    <w:name w:val="EmailStyle115"/>
    <w:rsid w:val="00A60D4B"/>
    <w:rPr>
      <w:rFonts w:ascii="Arial" w:hAnsi="Arial" w:cs="Arial"/>
      <w:color w:val="auto"/>
      <w:sz w:val="20"/>
      <w:szCs w:val="20"/>
    </w:rPr>
  </w:style>
  <w:style w:type="paragraph" w:customStyle="1" w:styleId="Heading1-BP3">
    <w:name w:val="Heading 1 - BP3"/>
    <w:basedOn w:val="Heading1"/>
    <w:next w:val="Heading1"/>
    <w:rsid w:val="00A60D4B"/>
    <w:pPr>
      <w:keepLines w:val="0"/>
      <w:numPr>
        <w:numId w:val="0"/>
      </w:numPr>
      <w:pBdr>
        <w:bottom w:val="single" w:sz="18" w:space="1" w:color="auto"/>
      </w:pBdr>
      <w:spacing w:before="240" w:after="480"/>
    </w:pPr>
    <w:rPr>
      <w:rFonts w:eastAsia="Times New Roman" w:cs="Arial"/>
      <w:bCs/>
      <w:caps w:val="0"/>
      <w:szCs w:val="28"/>
      <w:lang w:val="en-GB"/>
    </w:rPr>
  </w:style>
  <w:style w:type="paragraph" w:customStyle="1" w:styleId="Heading1-BP4">
    <w:name w:val="Heading 1 - BP4"/>
    <w:basedOn w:val="Heading1-BP3"/>
    <w:rsid w:val="00A60D4B"/>
    <w:pPr>
      <w:spacing w:after="240"/>
    </w:pPr>
  </w:style>
  <w:style w:type="paragraph" w:customStyle="1" w:styleId="sub-bullets">
    <w:name w:val="sub-bullets"/>
    <w:basedOn w:val="Normal"/>
    <w:rsid w:val="00A60D4B"/>
    <w:pPr>
      <w:numPr>
        <w:ilvl w:val="1"/>
        <w:numId w:val="65"/>
      </w:numPr>
      <w:spacing w:before="60" w:after="60" w:line="240" w:lineRule="auto"/>
    </w:pPr>
    <w:rPr>
      <w:rFonts w:ascii="Book Antiqua" w:eastAsia="Times New Roman" w:hAnsi="Book Antiqua" w:cs="Times New Roman"/>
      <w:sz w:val="24"/>
      <w:szCs w:val="20"/>
      <w:lang w:val="en-US"/>
    </w:rPr>
  </w:style>
  <w:style w:type="paragraph" w:customStyle="1" w:styleId="bullets">
    <w:name w:val="bullets"/>
    <w:basedOn w:val="sub-bullets"/>
    <w:rsid w:val="00A60D4B"/>
    <w:pPr>
      <w:numPr>
        <w:ilvl w:val="0"/>
      </w:numPr>
    </w:pPr>
  </w:style>
  <w:style w:type="paragraph" w:customStyle="1" w:styleId="S">
    <w:name w:val="S"/>
    <w:basedOn w:val="Normal"/>
    <w:rsid w:val="00A60D4B"/>
    <w:pPr>
      <w:widowControl w:val="0"/>
      <w:spacing w:before="200" w:after="200" w:line="240" w:lineRule="auto"/>
    </w:pPr>
    <w:rPr>
      <w:rFonts w:ascii="Calibri" w:eastAsia="Times New Roman" w:hAnsi="Calibri" w:cs="Times New Roman"/>
      <w:sz w:val="24"/>
      <w:szCs w:val="20"/>
    </w:rPr>
  </w:style>
  <w:style w:type="paragraph" w:customStyle="1" w:styleId="Q1A">
    <w:name w:val="Q1A"/>
    <w:basedOn w:val="Q2"/>
    <w:next w:val="Q2"/>
    <w:rsid w:val="00A60D4B"/>
    <w:rPr>
      <w:caps/>
    </w:rPr>
  </w:style>
  <w:style w:type="paragraph" w:customStyle="1" w:styleId="Q2">
    <w:name w:val="Q2"/>
    <w:next w:val="Q3"/>
    <w:rsid w:val="00A60D4B"/>
    <w:pPr>
      <w:tabs>
        <w:tab w:val="left" w:pos="-1440"/>
        <w:tab w:val="left" w:pos="-720"/>
        <w:tab w:val="left" w:pos="993"/>
        <w:tab w:val="left" w:pos="1560"/>
        <w:tab w:val="left" w:pos="2127"/>
      </w:tabs>
      <w:spacing w:after="0" w:line="240" w:lineRule="auto"/>
    </w:pPr>
    <w:rPr>
      <w:rFonts w:ascii="Arial" w:eastAsia="MS Mincho" w:hAnsi="Arial" w:cs="Arial"/>
      <w:b/>
      <w:bCs/>
      <w:noProof/>
      <w:sz w:val="24"/>
      <w:szCs w:val="24"/>
      <w:lang w:val="en-US"/>
    </w:rPr>
  </w:style>
  <w:style w:type="paragraph" w:customStyle="1" w:styleId="Q3">
    <w:name w:val="Q3"/>
    <w:rsid w:val="00A60D4B"/>
    <w:pPr>
      <w:widowControl w:val="0"/>
      <w:tabs>
        <w:tab w:val="left" w:pos="-1440"/>
        <w:tab w:val="left" w:pos="-720"/>
        <w:tab w:val="left" w:pos="993"/>
        <w:tab w:val="left" w:pos="1560"/>
        <w:tab w:val="left" w:pos="2127"/>
      </w:tabs>
      <w:spacing w:after="0" w:line="240" w:lineRule="auto"/>
      <w:ind w:left="992" w:hanging="992"/>
      <w:jc w:val="both"/>
    </w:pPr>
    <w:rPr>
      <w:rFonts w:ascii="Arial" w:eastAsia="MS Mincho" w:hAnsi="Arial" w:cs="Arial"/>
      <w:noProof/>
      <w:sz w:val="20"/>
      <w:szCs w:val="20"/>
      <w:lang w:val="en-US"/>
    </w:rPr>
  </w:style>
  <w:style w:type="paragraph" w:customStyle="1" w:styleId="QF2">
    <w:name w:val="QF2"/>
    <w:basedOn w:val="Normal"/>
    <w:rsid w:val="00A60D4B"/>
    <w:pPr>
      <w:spacing w:before="200" w:after="50" w:line="240" w:lineRule="auto"/>
    </w:pPr>
    <w:rPr>
      <w:rFonts w:ascii="Arial" w:eastAsia="Times New Roman" w:hAnsi="Arial" w:cs="Arial"/>
      <w:sz w:val="20"/>
      <w:szCs w:val="20"/>
    </w:rPr>
  </w:style>
  <w:style w:type="character" w:customStyle="1" w:styleId="EmailStyle163">
    <w:name w:val="EmailStyle163"/>
    <w:rsid w:val="00A60D4B"/>
    <w:rPr>
      <w:rFonts w:ascii="Arial" w:hAnsi="Arial" w:cs="Arial"/>
      <w:color w:val="000080"/>
      <w:sz w:val="20"/>
      <w:szCs w:val="20"/>
    </w:rPr>
  </w:style>
  <w:style w:type="paragraph" w:customStyle="1" w:styleId="xl62">
    <w:name w:val="xl62"/>
    <w:basedOn w:val="Normal"/>
    <w:rsid w:val="00A60D4B"/>
    <w:pPr>
      <w:pBdr>
        <w:left w:val="single" w:sz="4" w:space="0" w:color="auto"/>
        <w:bottom w:val="single" w:sz="4" w:space="0" w:color="auto"/>
      </w:pBdr>
      <w:spacing w:before="100" w:beforeAutospacing="1" w:after="100" w:afterAutospacing="1" w:line="240" w:lineRule="auto"/>
    </w:pPr>
    <w:rPr>
      <w:rFonts w:ascii="Calibri" w:eastAsia="Arial Unicode MS" w:hAnsi="Calibri" w:cs="Times New Roman"/>
      <w:sz w:val="24"/>
      <w:szCs w:val="20"/>
    </w:rPr>
  </w:style>
  <w:style w:type="paragraph" w:customStyle="1" w:styleId="xl63">
    <w:name w:val="xl63"/>
    <w:basedOn w:val="Normal"/>
    <w:rsid w:val="00A60D4B"/>
    <w:pPr>
      <w:pBdr>
        <w:bottom w:val="single" w:sz="4" w:space="0" w:color="auto"/>
        <w:right w:val="single" w:sz="4" w:space="0" w:color="auto"/>
      </w:pBdr>
      <w:spacing w:before="100" w:beforeAutospacing="1" w:after="100" w:afterAutospacing="1" w:line="240" w:lineRule="auto"/>
    </w:pPr>
    <w:rPr>
      <w:rFonts w:ascii="Calibri" w:eastAsia="Arial Unicode MS" w:hAnsi="Calibri" w:cs="Times New Roman"/>
      <w:sz w:val="24"/>
      <w:szCs w:val="20"/>
    </w:rPr>
  </w:style>
  <w:style w:type="paragraph" w:customStyle="1" w:styleId="Default">
    <w:name w:val="Default"/>
    <w:uiPriority w:val="99"/>
    <w:rsid w:val="00A60D4B"/>
    <w:pPr>
      <w:autoSpaceDE w:val="0"/>
      <w:autoSpaceDN w:val="0"/>
      <w:adjustRightInd w:val="0"/>
      <w:spacing w:after="0" w:line="240" w:lineRule="auto"/>
    </w:pPr>
    <w:rPr>
      <w:rFonts w:ascii="Symbol" w:eastAsia="MS Mincho" w:hAnsi="Symbol" w:cs="Times New Roman"/>
      <w:color w:val="000000"/>
      <w:sz w:val="24"/>
      <w:szCs w:val="24"/>
      <w:lang w:val="en-US"/>
    </w:rPr>
  </w:style>
  <w:style w:type="paragraph" w:customStyle="1" w:styleId="NoteHeading3">
    <w:name w:val="Note Heading3"/>
    <w:basedOn w:val="Normal"/>
    <w:autoRedefine/>
    <w:semiHidden/>
    <w:rsid w:val="00A60D4B"/>
    <w:pPr>
      <w:spacing w:before="120" w:after="200" w:line="240" w:lineRule="auto"/>
      <w:ind w:left="28"/>
    </w:pPr>
    <w:rPr>
      <w:rFonts w:ascii="Calibri" w:eastAsia="Times New Roman" w:hAnsi="Calibri" w:cs="Times New Roman"/>
      <w:b/>
      <w:bCs/>
      <w:sz w:val="20"/>
      <w:szCs w:val="20"/>
    </w:rPr>
  </w:style>
  <w:style w:type="character" w:customStyle="1" w:styleId="EmailStyle88">
    <w:name w:val="EmailStyle88"/>
    <w:rsid w:val="00A60D4B"/>
    <w:rPr>
      <w:rFonts w:ascii="Arial" w:hAnsi="Arial" w:cs="Arial"/>
      <w:color w:val="000080"/>
      <w:sz w:val="20"/>
    </w:rPr>
  </w:style>
  <w:style w:type="character" w:customStyle="1" w:styleId="EmailStyle89">
    <w:name w:val="EmailStyle89"/>
    <w:rsid w:val="00A60D4B"/>
    <w:rPr>
      <w:rFonts w:ascii="Arial" w:hAnsi="Arial" w:cs="Arial"/>
      <w:color w:val="auto"/>
      <w:sz w:val="20"/>
    </w:rPr>
  </w:style>
  <w:style w:type="character" w:customStyle="1" w:styleId="EmailStyle90">
    <w:name w:val="EmailStyle90"/>
    <w:rsid w:val="00A60D4B"/>
    <w:rPr>
      <w:rFonts w:ascii="Arial" w:hAnsi="Arial" w:cs="Arial"/>
      <w:color w:val="auto"/>
      <w:sz w:val="20"/>
    </w:rPr>
  </w:style>
  <w:style w:type="paragraph" w:customStyle="1" w:styleId="Single">
    <w:name w:val="Single"/>
    <w:basedOn w:val="Normal"/>
    <w:rsid w:val="00A60D4B"/>
    <w:pPr>
      <w:spacing w:before="200" w:after="200" w:line="240" w:lineRule="auto"/>
    </w:pPr>
    <w:rPr>
      <w:rFonts w:ascii="Times New Roman" w:eastAsia="Times New Roman" w:hAnsi="Times New Roman" w:cs="Times New Roman"/>
      <w:sz w:val="24"/>
      <w:szCs w:val="20"/>
    </w:rPr>
  </w:style>
  <w:style w:type="paragraph" w:customStyle="1" w:styleId="Apara">
    <w:name w:val="A para"/>
    <w:basedOn w:val="Normal"/>
    <w:rsid w:val="00A60D4B"/>
    <w:pPr>
      <w:tabs>
        <w:tab w:val="right" w:pos="1400"/>
        <w:tab w:val="left" w:pos="1600"/>
      </w:tabs>
      <w:spacing w:before="80" w:after="60" w:line="240" w:lineRule="auto"/>
      <w:ind w:left="1600" w:hanging="1600"/>
      <w:jc w:val="both"/>
      <w:outlineLvl w:val="6"/>
    </w:pPr>
    <w:rPr>
      <w:rFonts w:ascii="Times New Roman" w:eastAsia="Times New Roman" w:hAnsi="Times New Roman" w:cs="Times New Roman"/>
      <w:sz w:val="24"/>
      <w:szCs w:val="24"/>
    </w:rPr>
  </w:style>
  <w:style w:type="paragraph" w:customStyle="1" w:styleId="Amainbullet">
    <w:name w:val="A main bullet"/>
    <w:basedOn w:val="Normal"/>
    <w:rsid w:val="00A60D4B"/>
    <w:pPr>
      <w:spacing w:before="200" w:after="40" w:line="240" w:lineRule="auto"/>
      <w:ind w:left="1500" w:hanging="400"/>
      <w:jc w:val="both"/>
    </w:pPr>
    <w:rPr>
      <w:rFonts w:ascii="Times New Roman" w:eastAsia="Times New Roman" w:hAnsi="Times New Roman" w:cs="Times New Roman"/>
      <w:sz w:val="24"/>
      <w:szCs w:val="24"/>
    </w:rPr>
  </w:style>
  <w:style w:type="paragraph" w:customStyle="1" w:styleId="Alnotes">
    <w:name w:val="Al notes"/>
    <w:basedOn w:val="ListParagraph"/>
    <w:next w:val="Normal"/>
    <w:link w:val="AlnotesChar"/>
    <w:autoRedefine/>
    <w:rsid w:val="00A60D4B"/>
    <w:pPr>
      <w:numPr>
        <w:numId w:val="67"/>
      </w:numPr>
      <w:spacing w:after="0" w:line="240" w:lineRule="auto"/>
      <w:contextualSpacing w:val="0"/>
    </w:pPr>
    <w:rPr>
      <w:rFonts w:ascii="Calibri" w:eastAsia="Times New Roman" w:hAnsi="Calibri" w:cs="Times New Roman"/>
      <w:sz w:val="18"/>
      <w:szCs w:val="24"/>
      <w:lang w:val="x-none"/>
    </w:rPr>
  </w:style>
  <w:style w:type="paragraph" w:customStyle="1" w:styleId="BSbullet2">
    <w:name w:val="BS_bullet 2"/>
    <w:basedOn w:val="BSbullet1"/>
    <w:link w:val="BSbullet2Char"/>
    <w:qFormat/>
    <w:rsid w:val="00A60D4B"/>
    <w:pPr>
      <w:numPr>
        <w:numId w:val="66"/>
      </w:numPr>
    </w:pPr>
  </w:style>
  <w:style w:type="character" w:customStyle="1" w:styleId="AlnotesChar">
    <w:name w:val="Al notes Char"/>
    <w:link w:val="Alnotes"/>
    <w:rsid w:val="00A60D4B"/>
    <w:rPr>
      <w:rFonts w:ascii="Calibri" w:eastAsia="Times New Roman" w:hAnsi="Calibri" w:cs="Times New Roman"/>
      <w:sz w:val="18"/>
      <w:szCs w:val="24"/>
      <w:lang w:val="x-none"/>
    </w:rPr>
  </w:style>
  <w:style w:type="paragraph" w:customStyle="1" w:styleId="Tableheading0">
    <w:name w:val="Table heading"/>
    <w:basedOn w:val="Heading6"/>
    <w:next w:val="Normal"/>
    <w:link w:val="TableheadingChar0"/>
    <w:rsid w:val="00A60D4B"/>
    <w:pPr>
      <w:keepLines w:val="0"/>
      <w:numPr>
        <w:ilvl w:val="0"/>
        <w:numId w:val="0"/>
      </w:numPr>
      <w:spacing w:before="200" w:after="200" w:line="240" w:lineRule="auto"/>
    </w:pPr>
    <w:rPr>
      <w:rFonts w:ascii="Calibri" w:eastAsia="Times New Roman" w:hAnsi="Calibri" w:cs="Times New Roman"/>
      <w:b/>
      <w:color w:val="auto"/>
      <w:sz w:val="20"/>
      <w:szCs w:val="20"/>
      <w:lang w:val="x-none"/>
    </w:rPr>
  </w:style>
  <w:style w:type="character" w:customStyle="1" w:styleId="BSbullet2Char">
    <w:name w:val="BS_bullet 2 Char"/>
    <w:basedOn w:val="BSbullet1Char"/>
    <w:link w:val="BSbullet2"/>
    <w:rsid w:val="00A60D4B"/>
    <w:rPr>
      <w:rFonts w:ascii="Calibri" w:eastAsia="Times New Roman" w:hAnsi="Calibri" w:cs="Times New Roman"/>
      <w:sz w:val="24"/>
      <w:szCs w:val="24"/>
      <w:lang w:val="x-none"/>
    </w:rPr>
  </w:style>
  <w:style w:type="character" w:customStyle="1" w:styleId="TableheadingChar0">
    <w:name w:val="Table heading Char"/>
    <w:link w:val="Tableheading0"/>
    <w:rsid w:val="00A60D4B"/>
    <w:rPr>
      <w:rFonts w:ascii="Calibri" w:eastAsia="Times New Roman" w:hAnsi="Calibri" w:cs="Times New Roman"/>
      <w:b/>
      <w:sz w:val="20"/>
      <w:szCs w:val="20"/>
      <w:lang w:val="x-none"/>
    </w:rPr>
  </w:style>
  <w:style w:type="paragraph" w:customStyle="1" w:styleId="BSAItext">
    <w:name w:val="BS_AItext"/>
    <w:basedOn w:val="Normal"/>
    <w:link w:val="BSAItextChar"/>
    <w:rsid w:val="00A60D4B"/>
    <w:pPr>
      <w:spacing w:before="200" w:after="200" w:line="240" w:lineRule="auto"/>
    </w:pPr>
    <w:rPr>
      <w:rFonts w:ascii="Calibri" w:eastAsia="Times New Roman" w:hAnsi="Calibri" w:cs="Times New Roman"/>
      <w:sz w:val="20"/>
      <w:szCs w:val="20"/>
      <w:lang w:val="x-none"/>
    </w:rPr>
  </w:style>
  <w:style w:type="character" w:customStyle="1" w:styleId="BSAItextChar">
    <w:name w:val="BS_AItext Char"/>
    <w:link w:val="BSAItext"/>
    <w:rsid w:val="00A60D4B"/>
    <w:rPr>
      <w:rFonts w:ascii="Calibri" w:eastAsia="Times New Roman" w:hAnsi="Calibri" w:cs="Times New Roman"/>
      <w:sz w:val="20"/>
      <w:szCs w:val="20"/>
      <w:lang w:val="x-none"/>
    </w:rPr>
  </w:style>
  <w:style w:type="paragraph" w:customStyle="1" w:styleId="BStablelist">
    <w:name w:val="BS_table list"/>
    <w:basedOn w:val="AIIndent"/>
    <w:link w:val="BStablelistChar"/>
    <w:qFormat/>
    <w:rsid w:val="00A60D4B"/>
    <w:pPr>
      <w:numPr>
        <w:numId w:val="68"/>
      </w:numPr>
      <w:spacing w:before="0" w:after="0"/>
    </w:pPr>
  </w:style>
  <w:style w:type="paragraph" w:styleId="NoSpacing">
    <w:name w:val="No Spacing"/>
    <w:link w:val="NoSpacingChar"/>
    <w:uiPriority w:val="1"/>
    <w:qFormat/>
    <w:rsid w:val="00A60D4B"/>
    <w:pPr>
      <w:spacing w:after="0" w:line="240" w:lineRule="auto"/>
    </w:pPr>
    <w:rPr>
      <w:rFonts w:ascii="Calibri" w:eastAsia="Times New Roman" w:hAnsi="Calibri" w:cs="Times New Roman"/>
      <w:sz w:val="20"/>
      <w:szCs w:val="20"/>
    </w:rPr>
  </w:style>
  <w:style w:type="character" w:customStyle="1" w:styleId="BStablelistChar">
    <w:name w:val="BS_table list Char"/>
    <w:link w:val="BStablelist"/>
    <w:rsid w:val="00A60D4B"/>
    <w:rPr>
      <w:rFonts w:ascii="Calibri" w:eastAsia="Times New Roman" w:hAnsi="Calibri" w:cs="Times New Roman"/>
      <w:sz w:val="20"/>
      <w:szCs w:val="20"/>
      <w:lang w:val="x-none"/>
    </w:rPr>
  </w:style>
  <w:style w:type="paragraph" w:customStyle="1" w:styleId="tablenospacing">
    <w:name w:val="table no spacing"/>
    <w:basedOn w:val="NoSpacing"/>
    <w:link w:val="tablenospacingChar"/>
    <w:rsid w:val="00A60D4B"/>
    <w:pPr>
      <w:jc w:val="right"/>
    </w:pPr>
    <w:rPr>
      <w:b/>
      <w:lang w:val="x-none"/>
    </w:rPr>
  </w:style>
  <w:style w:type="character" w:customStyle="1" w:styleId="NoSpacingChar">
    <w:name w:val="No Spacing Char"/>
    <w:link w:val="NoSpacing"/>
    <w:uiPriority w:val="1"/>
    <w:rsid w:val="00A60D4B"/>
    <w:rPr>
      <w:rFonts w:ascii="Calibri" w:eastAsia="Times New Roman" w:hAnsi="Calibri" w:cs="Times New Roman"/>
      <w:sz w:val="20"/>
      <w:szCs w:val="20"/>
    </w:rPr>
  </w:style>
  <w:style w:type="character" w:customStyle="1" w:styleId="tablenospacingChar">
    <w:name w:val="table no spacing Char"/>
    <w:link w:val="tablenospacing"/>
    <w:rsid w:val="00A60D4B"/>
    <w:rPr>
      <w:rFonts w:ascii="Calibri" w:eastAsia="Times New Roman" w:hAnsi="Calibri" w:cs="Times New Roman"/>
      <w:b/>
      <w:sz w:val="20"/>
      <w:szCs w:val="20"/>
      <w:lang w:val="x-none"/>
    </w:rPr>
  </w:style>
  <w:style w:type="table" w:customStyle="1" w:styleId="BSEEO">
    <w:name w:val="BS_EEO"/>
    <w:basedOn w:val="TableNormal"/>
    <w:uiPriority w:val="99"/>
    <w:rsid w:val="00A60D4B"/>
    <w:pPr>
      <w:spacing w:after="0" w:line="240" w:lineRule="auto"/>
    </w:pPr>
    <w:rPr>
      <w:rFonts w:ascii="Calibri" w:eastAsia="Times New Roman" w:hAnsi="Calibri" w:cs="Times New Roman"/>
      <w:sz w:val="20"/>
      <w:szCs w:val="20"/>
      <w:lang w:eastAsia="en-AU"/>
    </w:rPr>
    <w:tblPr/>
  </w:style>
  <w:style w:type="table" w:customStyle="1" w:styleId="Style2">
    <w:name w:val="Style2"/>
    <w:basedOn w:val="TableList3"/>
    <w:uiPriority w:val="99"/>
    <w:rsid w:val="00A60D4B"/>
    <w:tblPr/>
    <w:trPr>
      <w:tblHeader/>
    </w:trPr>
    <w:tcPr>
      <w:shd w:val="clear" w:color="auto" w:fill="auto"/>
      <w:vAlign w:val="bottom"/>
    </w:tcPr>
    <w:tblStylePr w:type="firstRow">
      <w:rPr>
        <w:rFonts w:ascii="Calibri" w:hAnsi="Calibri"/>
        <w:b/>
        <w:bCs/>
        <w:color w:val="auto"/>
        <w:sz w:val="2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rPr>
        <w:rFonts w:ascii="Calibri" w:hAnsi="Calibri"/>
        <w:b/>
        <w:sz w:val="20"/>
      </w:rPr>
    </w:tblStylePr>
    <w:tblStylePr w:type="band1Horz">
      <w:rPr>
        <w:rFonts w:ascii="Calibri" w:hAnsi="Calibri"/>
        <w:b w:val="0"/>
        <w:i w:val="0"/>
        <w:sz w:val="20"/>
      </w:rPr>
      <w:tblPr/>
      <w:tcPr>
        <w:tcBorders>
          <w:bottom w:val="nil"/>
        </w:tcBorders>
        <w:shd w:val="clear" w:color="auto" w:fill="auto"/>
      </w:tcPr>
    </w:tblStylePr>
    <w:tblStylePr w:type="band2Horz">
      <w:rPr>
        <w:rFonts w:ascii="Calibri" w:hAnsi="Calibri"/>
        <w:b w:val="0"/>
        <w:i w:val="0"/>
        <w:sz w:val="20"/>
      </w:rPr>
    </w:tblStylePr>
    <w:tblStylePr w:type="swCell">
      <w:rPr>
        <w:i/>
        <w:iCs/>
        <w:color w:val="000080"/>
      </w:rPr>
      <w:tblPr/>
      <w:tcPr>
        <w:tcBorders>
          <w:tl2br w:val="none" w:sz="0" w:space="0" w:color="auto"/>
          <w:tr2bl w:val="none" w:sz="0" w:space="0" w:color="auto"/>
        </w:tcBorders>
      </w:tcPr>
    </w:tblStylePr>
  </w:style>
  <w:style w:type="paragraph" w:customStyle="1" w:styleId="BStableheading1">
    <w:name w:val="BS_table heading 1"/>
    <w:basedOn w:val="NoSpacing"/>
    <w:link w:val="BStableheading1Char"/>
    <w:rsid w:val="00A60D4B"/>
    <w:pPr>
      <w:framePr w:wrap="around" w:vAnchor="text" w:hAnchor="text" w:y="1"/>
      <w:jc w:val="right"/>
    </w:pPr>
    <w:rPr>
      <w:b/>
      <w:bCs/>
      <w:lang w:val="x-none"/>
    </w:rPr>
  </w:style>
  <w:style w:type="character" w:customStyle="1" w:styleId="BStableheading1Char">
    <w:name w:val="BS_table heading 1 Char"/>
    <w:link w:val="BStableheading1"/>
    <w:rsid w:val="00A60D4B"/>
    <w:rPr>
      <w:rFonts w:ascii="Calibri" w:eastAsia="Times New Roman" w:hAnsi="Calibri" w:cs="Times New Roman"/>
      <w:b/>
      <w:bCs/>
      <w:sz w:val="20"/>
      <w:szCs w:val="20"/>
      <w:lang w:val="x-none"/>
    </w:rPr>
  </w:style>
  <w:style w:type="table" w:customStyle="1" w:styleId="Style3">
    <w:name w:val="Style3"/>
    <w:basedOn w:val="TableNormal"/>
    <w:uiPriority w:val="99"/>
    <w:rsid w:val="00A60D4B"/>
    <w:pPr>
      <w:spacing w:after="0" w:line="240" w:lineRule="auto"/>
    </w:pPr>
    <w:rPr>
      <w:rFonts w:ascii="Calibri" w:eastAsia="Times New Roman" w:hAnsi="Calibri" w:cs="Times New Roman"/>
      <w:sz w:val="20"/>
      <w:szCs w:val="20"/>
      <w:lang w:eastAsia="en-AU"/>
    </w:rPr>
    <w:tblPr>
      <w:tblBorders>
        <w:top w:val="single" w:sz="4" w:space="0" w:color="auto"/>
      </w:tblBorders>
    </w:tblPr>
    <w:tblStylePr w:type="firstRow">
      <w:tblPr/>
      <w:tcPr>
        <w:tcBorders>
          <w:bottom w:val="nil"/>
        </w:tcBorders>
      </w:tcPr>
    </w:tblStylePr>
  </w:style>
  <w:style w:type="table" w:customStyle="1" w:styleId="BSEEL">
    <w:name w:val="BS_EEL"/>
    <w:basedOn w:val="TableSimple1"/>
    <w:uiPriority w:val="99"/>
    <w:qFormat/>
    <w:rsid w:val="00A60D4B"/>
    <w:pPr>
      <w:spacing w:before="120" w:after="120"/>
      <w:jc w:val="right"/>
    </w:pPr>
    <w:rPr>
      <w:rFonts w:ascii="Calibri" w:hAnsi="Calibri"/>
    </w:rPr>
    <w:tblPr>
      <w:tblBorders>
        <w:top w:val="single" w:sz="12" w:space="0" w:color="000000"/>
        <w:bottom w:val="single" w:sz="12" w:space="0" w:color="000000"/>
        <w:insideH w:val="single" w:sz="12" w:space="0" w:color="000000"/>
      </w:tblBorders>
    </w:tblPr>
    <w:trPr>
      <w:tblHeader/>
    </w:trPr>
    <w:tcPr>
      <w:shd w:val="clear" w:color="auto" w:fill="auto"/>
      <w:vAlign w:val="bottom"/>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Style4">
    <w:name w:val="Style4"/>
    <w:basedOn w:val="TableList3"/>
    <w:uiPriority w:val="99"/>
    <w:qFormat/>
    <w:rsid w:val="00A60D4B"/>
    <w:tblPr/>
    <w:tcPr>
      <w:shd w:val="clear" w:color="auto" w:fill="auto"/>
    </w:tcPr>
    <w:tblStylePr w:type="firstRow">
      <w:rPr>
        <w:rFonts w:ascii="Calibri" w:hAnsi="Calibri"/>
        <w:b/>
        <w:bCs/>
        <w:color w:val="auto"/>
        <w:sz w:val="2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rPr>
        <w:rFonts w:ascii="Calibri" w:hAnsi="Calibri"/>
        <w:b/>
        <w:sz w:val="20"/>
      </w:rPr>
    </w:tblStylePr>
    <w:tblStylePr w:type="band1Horz">
      <w:rPr>
        <w:rFonts w:ascii="Calibri" w:hAnsi="Calibri"/>
        <w:sz w:val="20"/>
      </w:rPr>
    </w:tblStylePr>
    <w:tblStylePr w:type="band2Horz">
      <w:rPr>
        <w:rFonts w:ascii="Calibri" w:hAnsi="Calibri"/>
        <w:sz w:val="20"/>
      </w:rPr>
    </w:tblStylePr>
    <w:tblStylePr w:type="swCell">
      <w:rPr>
        <w:i/>
        <w:iCs/>
        <w:color w:val="000080"/>
      </w:rPr>
      <w:tblPr/>
      <w:tcPr>
        <w:tcBorders>
          <w:tl2br w:val="none" w:sz="0" w:space="0" w:color="auto"/>
          <w:tr2bl w:val="none" w:sz="0" w:space="0" w:color="auto"/>
        </w:tcBorders>
      </w:tcPr>
    </w:tblStylePr>
  </w:style>
  <w:style w:type="paragraph" w:styleId="DocumentMap">
    <w:name w:val="Document Map"/>
    <w:basedOn w:val="Normal"/>
    <w:link w:val="DocumentMapChar"/>
    <w:unhideWhenUsed/>
    <w:rsid w:val="00A60D4B"/>
    <w:pPr>
      <w:spacing w:after="0" w:line="240" w:lineRule="auto"/>
    </w:pPr>
    <w:rPr>
      <w:rFonts w:ascii="Tahoma" w:eastAsia="Times New Roman" w:hAnsi="Tahoma" w:cs="Times New Roman"/>
      <w:sz w:val="16"/>
      <w:szCs w:val="16"/>
      <w:lang w:val="x-none"/>
    </w:rPr>
  </w:style>
  <w:style w:type="character" w:customStyle="1" w:styleId="DocumentMapChar">
    <w:name w:val="Document Map Char"/>
    <w:basedOn w:val="DefaultParagraphFont"/>
    <w:link w:val="DocumentMap"/>
    <w:rsid w:val="00A60D4B"/>
    <w:rPr>
      <w:rFonts w:ascii="Tahoma" w:eastAsia="Times New Roman" w:hAnsi="Tahoma" w:cs="Times New Roman"/>
      <w:sz w:val="16"/>
      <w:szCs w:val="16"/>
      <w:lang w:val="x-none"/>
    </w:rPr>
  </w:style>
  <w:style w:type="paragraph" w:customStyle="1" w:styleId="BStabletextbolditalics">
    <w:name w:val="BS_table text bold italics"/>
    <w:basedOn w:val="BStabletext"/>
    <w:qFormat/>
    <w:rsid w:val="00A60D4B"/>
    <w:rPr>
      <w:bCs w:val="0"/>
      <w:i/>
      <w:lang w:val="x-none" w:eastAsia="en-US"/>
    </w:rPr>
  </w:style>
  <w:style w:type="paragraph" w:customStyle="1" w:styleId="BStablefiguresbolditalics">
    <w:name w:val="BS_table figures bold italics"/>
    <w:basedOn w:val="BStablefigures"/>
    <w:qFormat/>
    <w:rsid w:val="00A60D4B"/>
    <w:pPr>
      <w:jc w:val="right"/>
    </w:pPr>
    <w:rPr>
      <w:b w:val="0"/>
      <w:i/>
      <w:lang w:val="x-none" w:eastAsia="en-US"/>
    </w:rPr>
  </w:style>
  <w:style w:type="paragraph" w:customStyle="1" w:styleId="coversheetheading2">
    <w:name w:val="coversheet heading 2"/>
    <w:basedOn w:val="Normal"/>
    <w:qFormat/>
    <w:rsid w:val="00A60D4B"/>
    <w:pPr>
      <w:spacing w:before="240" w:after="480" w:line="240" w:lineRule="auto"/>
    </w:pPr>
    <w:rPr>
      <w:rFonts w:ascii="Calibri" w:eastAsia="Times New Roman" w:hAnsi="Calibri" w:cs="Times New Roman"/>
      <w:b/>
      <w:sz w:val="28"/>
      <w:szCs w:val="20"/>
    </w:rPr>
  </w:style>
  <w:style w:type="paragraph" w:customStyle="1" w:styleId="coversheetheading1">
    <w:name w:val="coversheet heading 1"/>
    <w:qFormat/>
    <w:rsid w:val="00A60D4B"/>
    <w:pPr>
      <w:spacing w:before="480" w:after="1080" w:line="240" w:lineRule="auto"/>
    </w:pPr>
    <w:rPr>
      <w:rFonts w:ascii="Calibri" w:eastAsia="Times New Roman" w:hAnsi="Calibri" w:cs="Times New Roman"/>
      <w:b/>
      <w:sz w:val="36"/>
      <w:szCs w:val="20"/>
    </w:rPr>
  </w:style>
  <w:style w:type="paragraph" w:customStyle="1" w:styleId="Chapters">
    <w:name w:val="Chapters"/>
    <w:basedOn w:val="Normal"/>
    <w:rsid w:val="00A60D4B"/>
    <w:pPr>
      <w:tabs>
        <w:tab w:val="left" w:pos="284"/>
        <w:tab w:val="left" w:pos="1985"/>
        <w:tab w:val="left" w:pos="7797"/>
        <w:tab w:val="right" w:pos="8505"/>
      </w:tabs>
      <w:spacing w:after="200" w:line="240" w:lineRule="auto"/>
    </w:pPr>
    <w:rPr>
      <w:rFonts w:ascii="Arial" w:eastAsia="Times New Roman" w:hAnsi="Arial" w:cs="Times New Roman"/>
      <w:b/>
      <w:sz w:val="28"/>
      <w:szCs w:val="20"/>
    </w:rPr>
  </w:style>
  <w:style w:type="character" w:customStyle="1" w:styleId="TableHeadingChar">
    <w:name w:val="Table Heading Char"/>
    <w:link w:val="TableHeading"/>
    <w:rsid w:val="00A60D4B"/>
    <w:rPr>
      <w:rFonts w:ascii="Arial" w:eastAsia="Times New Roman" w:hAnsi="Arial" w:cs="Times New Roman"/>
      <w:b/>
      <w:sz w:val="24"/>
      <w:szCs w:val="20"/>
      <w:lang w:val="x-none"/>
    </w:rPr>
  </w:style>
  <w:style w:type="character" w:customStyle="1" w:styleId="Style1Char">
    <w:name w:val="Style1 Char"/>
    <w:link w:val="Style1"/>
    <w:rsid w:val="00A60D4B"/>
    <w:rPr>
      <w:rFonts w:ascii="Calibri" w:hAnsi="Calibri"/>
      <w:sz w:val="20"/>
    </w:rPr>
  </w:style>
  <w:style w:type="paragraph" w:customStyle="1" w:styleId="StyleHeading2ArialNarrow14pt">
    <w:name w:val="Style Heading 2 + Arial Narrow 14 pt"/>
    <w:basedOn w:val="Heading2"/>
    <w:autoRedefine/>
    <w:rsid w:val="00A60D4B"/>
    <w:pPr>
      <w:keepLines w:val="0"/>
      <w:numPr>
        <w:ilvl w:val="0"/>
        <w:numId w:val="0"/>
      </w:numPr>
      <w:spacing w:before="60" w:afterLines="50" w:after="0"/>
      <w:jc w:val="both"/>
    </w:pPr>
    <w:rPr>
      <w:rFonts w:eastAsia="Times New Roman" w:cs="Calibri"/>
      <w:bCs/>
      <w:color w:val="auto"/>
      <w:sz w:val="28"/>
      <w:szCs w:val="20"/>
    </w:rPr>
  </w:style>
  <w:style w:type="numbering" w:customStyle="1" w:styleId="NoList1">
    <w:name w:val="No List1"/>
    <w:next w:val="NoList"/>
    <w:uiPriority w:val="99"/>
    <w:semiHidden/>
    <w:unhideWhenUsed/>
    <w:rsid w:val="00A60D4B"/>
  </w:style>
  <w:style w:type="paragraph" w:customStyle="1" w:styleId="Pa2">
    <w:name w:val="Pa2"/>
    <w:basedOn w:val="Default"/>
    <w:next w:val="Default"/>
    <w:rsid w:val="00A60D4B"/>
    <w:rPr>
      <w:rFonts w:ascii="Optima-Regular" w:eastAsia="Times New Roman" w:hAnsi="Optima-Regular"/>
      <w:color w:val="auto"/>
      <w:sz w:val="20"/>
      <w:szCs w:val="20"/>
    </w:rPr>
  </w:style>
  <w:style w:type="paragraph" w:customStyle="1" w:styleId="Paragraphnumber">
    <w:name w:val="Paragraph number"/>
    <w:basedOn w:val="Normal"/>
    <w:rsid w:val="00A60D4B"/>
    <w:pPr>
      <w:tabs>
        <w:tab w:val="num" w:pos="360"/>
      </w:tabs>
      <w:spacing w:after="0" w:line="360" w:lineRule="auto"/>
      <w:jc w:val="both"/>
    </w:pPr>
    <w:rPr>
      <w:rFonts w:ascii="Times New Roman" w:eastAsia="Times New Roman" w:hAnsi="Times New Roman" w:cs="Times New Roman"/>
      <w:sz w:val="24"/>
      <w:szCs w:val="24"/>
    </w:rPr>
  </w:style>
  <w:style w:type="paragraph" w:customStyle="1" w:styleId="Billname">
    <w:name w:val="Billname"/>
    <w:basedOn w:val="Normal"/>
    <w:rsid w:val="00A60D4B"/>
    <w:pPr>
      <w:tabs>
        <w:tab w:val="left" w:pos="2400"/>
        <w:tab w:val="left" w:pos="2880"/>
      </w:tabs>
      <w:spacing w:after="0" w:line="240" w:lineRule="auto"/>
    </w:pPr>
    <w:rPr>
      <w:rFonts w:ascii="Arial" w:eastAsia="Times New Roman" w:hAnsi="Arial" w:cs="Arial"/>
      <w:b/>
      <w:bCs/>
      <w:sz w:val="40"/>
      <w:szCs w:val="40"/>
    </w:rPr>
  </w:style>
  <w:style w:type="paragraph" w:customStyle="1" w:styleId="N-line3">
    <w:name w:val="N-line3"/>
    <w:basedOn w:val="Normal"/>
    <w:next w:val="Normal"/>
    <w:rsid w:val="00A60D4B"/>
    <w:pPr>
      <w:pBdr>
        <w:bottom w:val="single" w:sz="12" w:space="1" w:color="auto"/>
      </w:pBdr>
      <w:spacing w:after="0" w:line="240" w:lineRule="auto"/>
      <w:jc w:val="both"/>
    </w:pPr>
    <w:rPr>
      <w:rFonts w:ascii="Times New Roman" w:eastAsia="Times New Roman" w:hAnsi="Times New Roman" w:cs="Times New Roman"/>
      <w:sz w:val="24"/>
      <w:szCs w:val="24"/>
    </w:rPr>
  </w:style>
  <w:style w:type="paragraph" w:customStyle="1" w:styleId="madeunder">
    <w:name w:val="made under"/>
    <w:basedOn w:val="Normal"/>
    <w:rsid w:val="00A60D4B"/>
    <w:pPr>
      <w:spacing w:after="0" w:line="240" w:lineRule="auto"/>
      <w:jc w:val="both"/>
    </w:pPr>
    <w:rPr>
      <w:rFonts w:ascii="Times New Roman" w:eastAsia="Times New Roman" w:hAnsi="Times New Roman" w:cs="Times New Roman"/>
      <w:sz w:val="24"/>
      <w:szCs w:val="24"/>
    </w:rPr>
  </w:style>
  <w:style w:type="paragraph" w:customStyle="1" w:styleId="CoverActName">
    <w:name w:val="CoverActName"/>
    <w:basedOn w:val="Normal"/>
    <w:rsid w:val="00A60D4B"/>
    <w:pPr>
      <w:tabs>
        <w:tab w:val="left" w:pos="2600"/>
      </w:tabs>
      <w:spacing w:after="0" w:line="240" w:lineRule="auto"/>
      <w:jc w:val="both"/>
    </w:pPr>
    <w:rPr>
      <w:rFonts w:ascii="Arial" w:eastAsia="Times New Roman" w:hAnsi="Arial" w:cs="Arial"/>
      <w:b/>
      <w:bCs/>
      <w:sz w:val="24"/>
      <w:szCs w:val="24"/>
    </w:rPr>
  </w:style>
  <w:style w:type="paragraph" w:customStyle="1" w:styleId="Amain">
    <w:name w:val="A main"/>
    <w:basedOn w:val="Normal"/>
    <w:rsid w:val="00A60D4B"/>
    <w:pPr>
      <w:tabs>
        <w:tab w:val="right" w:pos="900"/>
        <w:tab w:val="left" w:pos="1100"/>
      </w:tabs>
      <w:spacing w:after="0" w:line="240" w:lineRule="auto"/>
      <w:ind w:left="1100" w:hanging="1100"/>
      <w:jc w:val="both"/>
      <w:outlineLvl w:val="5"/>
    </w:pPr>
    <w:rPr>
      <w:rFonts w:ascii="Times New Roman" w:eastAsia="Times New Roman" w:hAnsi="Times New Roman" w:cs="Times New Roman"/>
      <w:sz w:val="24"/>
      <w:szCs w:val="24"/>
    </w:rPr>
  </w:style>
  <w:style w:type="paragraph" w:customStyle="1" w:styleId="Header-dtpt">
    <w:name w:val="Header -dt pt"/>
    <w:basedOn w:val="Header"/>
    <w:rsid w:val="00A60D4B"/>
    <w:pPr>
      <w:spacing w:beforeLines="50" w:afterLines="50"/>
    </w:pPr>
    <w:rPr>
      <w:rFonts w:ascii="Calibri" w:eastAsia="Times New Roman" w:hAnsi="Calibri" w:cs="Calibri"/>
      <w:sz w:val="24"/>
      <w:szCs w:val="24"/>
    </w:rPr>
  </w:style>
  <w:style w:type="paragraph" w:customStyle="1" w:styleId="Asubpara">
    <w:name w:val="A subpara"/>
    <w:basedOn w:val="Normal"/>
    <w:rsid w:val="00A60D4B"/>
    <w:pPr>
      <w:tabs>
        <w:tab w:val="right" w:pos="1900"/>
        <w:tab w:val="left" w:pos="2100"/>
      </w:tabs>
      <w:spacing w:after="0" w:line="240" w:lineRule="auto"/>
      <w:ind w:left="2100" w:hanging="2100"/>
      <w:jc w:val="both"/>
      <w:outlineLvl w:val="7"/>
    </w:pPr>
    <w:rPr>
      <w:rFonts w:ascii="Times New Roman" w:eastAsia="Times New Roman" w:hAnsi="Times New Roman" w:cs="Times New Roman"/>
      <w:sz w:val="24"/>
      <w:szCs w:val="24"/>
    </w:rPr>
  </w:style>
  <w:style w:type="paragraph" w:customStyle="1" w:styleId="aDef">
    <w:name w:val="aDef"/>
    <w:basedOn w:val="Normal"/>
    <w:rsid w:val="00A60D4B"/>
    <w:pPr>
      <w:spacing w:after="0" w:line="240" w:lineRule="auto"/>
      <w:ind w:left="1100"/>
      <w:jc w:val="both"/>
    </w:pPr>
    <w:rPr>
      <w:rFonts w:ascii="Times New Roman" w:eastAsia="Times New Roman" w:hAnsi="Times New Roman" w:cs="Times New Roman"/>
      <w:sz w:val="24"/>
      <w:szCs w:val="24"/>
    </w:rPr>
  </w:style>
  <w:style w:type="paragraph" w:customStyle="1" w:styleId="aNote">
    <w:name w:val="aNote"/>
    <w:basedOn w:val="Normal"/>
    <w:rsid w:val="00A60D4B"/>
    <w:pPr>
      <w:spacing w:after="0" w:line="240" w:lineRule="auto"/>
      <w:ind w:left="1900" w:hanging="800"/>
      <w:jc w:val="both"/>
    </w:pPr>
    <w:rPr>
      <w:rFonts w:ascii="Times New Roman" w:eastAsia="Times New Roman" w:hAnsi="Times New Roman" w:cs="Times New Roman"/>
      <w:sz w:val="20"/>
      <w:szCs w:val="20"/>
    </w:rPr>
  </w:style>
  <w:style w:type="paragraph" w:customStyle="1" w:styleId="AH5Sec">
    <w:name w:val="A H5 Sec"/>
    <w:basedOn w:val="Normal"/>
    <w:next w:val="Amain"/>
    <w:rsid w:val="00A60D4B"/>
    <w:pPr>
      <w:keepNext/>
      <w:tabs>
        <w:tab w:val="left" w:pos="1100"/>
      </w:tabs>
      <w:spacing w:after="0" w:line="240" w:lineRule="auto"/>
      <w:ind w:left="1100" w:hanging="1100"/>
      <w:outlineLvl w:val="4"/>
    </w:pPr>
    <w:rPr>
      <w:rFonts w:ascii="Arial" w:eastAsia="Times New Roman" w:hAnsi="Arial" w:cs="Arial"/>
      <w:b/>
      <w:bCs/>
      <w:sz w:val="24"/>
      <w:szCs w:val="24"/>
    </w:rPr>
  </w:style>
  <w:style w:type="character" w:customStyle="1" w:styleId="CharSectNo">
    <w:name w:val="CharSectNo"/>
    <w:basedOn w:val="DefaultParagraphFont"/>
    <w:rsid w:val="00A60D4B"/>
  </w:style>
  <w:style w:type="character" w:customStyle="1" w:styleId="charItals">
    <w:name w:val="charItals"/>
    <w:rsid w:val="00A60D4B"/>
    <w:rPr>
      <w:i/>
      <w:iCs/>
    </w:rPr>
  </w:style>
  <w:style w:type="character" w:customStyle="1" w:styleId="charBoldItals">
    <w:name w:val="charBoldItals"/>
    <w:rsid w:val="00A60D4B"/>
    <w:rPr>
      <w:b/>
      <w:bCs/>
      <w:i/>
      <w:iCs/>
    </w:rPr>
  </w:style>
  <w:style w:type="paragraph" w:customStyle="1" w:styleId="BPDescBold">
    <w:name w:val="BPDescBold"/>
    <w:basedOn w:val="Normal"/>
    <w:rsid w:val="00A60D4B"/>
    <w:pPr>
      <w:spacing w:after="0" w:line="240" w:lineRule="auto"/>
    </w:pPr>
    <w:rPr>
      <w:rFonts w:ascii="Times New Roman" w:eastAsia="Times New Roman" w:hAnsi="Times New Roman" w:cs="Times New Roman"/>
      <w:b/>
      <w:bCs/>
      <w:sz w:val="18"/>
      <w:szCs w:val="18"/>
    </w:rPr>
  </w:style>
  <w:style w:type="paragraph" w:customStyle="1" w:styleId="TSYBullets">
    <w:name w:val="TSY_Bullets"/>
    <w:basedOn w:val="Normal"/>
    <w:rsid w:val="00A60D4B"/>
    <w:pPr>
      <w:tabs>
        <w:tab w:val="num" w:pos="425"/>
      </w:tabs>
      <w:spacing w:after="0" w:line="240" w:lineRule="auto"/>
      <w:ind w:left="425" w:hanging="425"/>
    </w:pPr>
    <w:rPr>
      <w:rFonts w:ascii="Times New Roman" w:eastAsia="Times New Roman" w:hAnsi="Times New Roman" w:cs="Times New Roman"/>
      <w:sz w:val="24"/>
      <w:szCs w:val="24"/>
      <w:lang w:eastAsia="en-AU"/>
    </w:rPr>
  </w:style>
  <w:style w:type="paragraph" w:customStyle="1" w:styleId="TableofContents">
    <w:name w:val="Table of Contents"/>
    <w:rsid w:val="00A60D4B"/>
    <w:pPr>
      <w:spacing w:after="0" w:line="240" w:lineRule="auto"/>
      <w:jc w:val="center"/>
    </w:pPr>
    <w:rPr>
      <w:rFonts w:ascii="Arial Bold" w:eastAsia="Times New Roman" w:hAnsi="Arial Bold" w:cs="Arial"/>
      <w:b/>
      <w:caps/>
      <w:color w:val="000080"/>
      <w:sz w:val="32"/>
      <w:szCs w:val="32"/>
    </w:rPr>
  </w:style>
  <w:style w:type="character" w:customStyle="1" w:styleId="EmailStyle1261">
    <w:name w:val="EmailStyle1261"/>
    <w:semiHidden/>
    <w:rsid w:val="00A60D4B"/>
    <w:rPr>
      <w:rFonts w:ascii="Arial" w:hAnsi="Arial" w:cs="Arial" w:hint="default"/>
      <w:color w:val="auto"/>
      <w:sz w:val="20"/>
    </w:rPr>
  </w:style>
  <w:style w:type="paragraph" w:customStyle="1" w:styleId="StyleHeading1Arial">
    <w:name w:val="Style Heading 1 + Arial"/>
    <w:basedOn w:val="Heading1"/>
    <w:link w:val="StyleHeading1ArialChar"/>
    <w:autoRedefine/>
    <w:rsid w:val="00A60D4B"/>
    <w:pPr>
      <w:keepLines w:val="0"/>
      <w:numPr>
        <w:numId w:val="0"/>
      </w:numPr>
      <w:spacing w:beforeLines="50" w:afterLines="50" w:after="120"/>
      <w:ind w:left="2268" w:hanging="2268"/>
    </w:pPr>
    <w:rPr>
      <w:rFonts w:ascii="Arial Narrow" w:eastAsia="Times New Roman" w:hAnsi="Arial Narrow" w:cs="Times New Roman"/>
      <w:bCs/>
      <w:sz w:val="32"/>
      <w:lang w:val="x-none"/>
    </w:rPr>
  </w:style>
  <w:style w:type="character" w:customStyle="1" w:styleId="StyleHeading1ArialChar">
    <w:name w:val="Style Heading 1 + Arial Char"/>
    <w:link w:val="StyleHeading1Arial"/>
    <w:rsid w:val="00A60D4B"/>
    <w:rPr>
      <w:rFonts w:ascii="Arial Narrow" w:eastAsia="Times New Roman" w:hAnsi="Arial Narrow" w:cs="Times New Roman"/>
      <w:b/>
      <w:bCs/>
      <w:caps/>
      <w:kern w:val="28"/>
      <w:sz w:val="32"/>
      <w:szCs w:val="32"/>
      <w:lang w:val="x-none"/>
    </w:rPr>
  </w:style>
  <w:style w:type="paragraph" w:customStyle="1" w:styleId="StyleStyleHeading1ArialPalatinoLinotype12pt">
    <w:name w:val="Style Style Heading 1 + Arial + Palatino Linotype 12 pt"/>
    <w:basedOn w:val="StyleHeading1Arial"/>
    <w:link w:val="StyleStyleHeading1ArialPalatinoLinotype12ptChar"/>
    <w:rsid w:val="00A60D4B"/>
    <w:rPr>
      <w:rFonts w:ascii="Palatino Linotype" w:hAnsi="Palatino Linotype"/>
      <w:sz w:val="24"/>
    </w:rPr>
  </w:style>
  <w:style w:type="character" w:customStyle="1" w:styleId="StyleStyleHeading1ArialPalatinoLinotype12ptChar">
    <w:name w:val="Style Style Heading 1 + Arial + Palatino Linotype 12 pt Char"/>
    <w:link w:val="StyleStyleHeading1ArialPalatinoLinotype12pt"/>
    <w:rsid w:val="00A60D4B"/>
    <w:rPr>
      <w:rFonts w:ascii="Palatino Linotype" w:eastAsia="Times New Roman" w:hAnsi="Palatino Linotype" w:cs="Times New Roman"/>
      <w:b/>
      <w:bCs/>
      <w:caps/>
      <w:kern w:val="28"/>
      <w:sz w:val="24"/>
      <w:szCs w:val="32"/>
      <w:lang w:val="x-none"/>
    </w:rPr>
  </w:style>
  <w:style w:type="paragraph" w:customStyle="1" w:styleId="xl99">
    <w:name w:val="xl99"/>
    <w:basedOn w:val="Normal"/>
    <w:rsid w:val="00A60D4B"/>
    <w:pPr>
      <w:pBdr>
        <w:top w:val="single" w:sz="4" w:space="0" w:color="auto"/>
        <w:right w:val="single" w:sz="4" w:space="0" w:color="auto"/>
      </w:pBdr>
      <w:spacing w:beforeAutospacing="1" w:after="0" w:afterAutospacing="1" w:line="240" w:lineRule="auto"/>
      <w:jc w:val="center"/>
      <w:textAlignment w:val="top"/>
    </w:pPr>
    <w:rPr>
      <w:rFonts w:ascii="Times New Roman" w:eastAsia="Times New Roman" w:hAnsi="Times New Roman" w:cs="Times New Roman"/>
      <w:b/>
      <w:bCs/>
      <w:sz w:val="16"/>
      <w:szCs w:val="16"/>
      <w:lang w:eastAsia="en-AU"/>
    </w:rPr>
  </w:style>
  <w:style w:type="paragraph" w:customStyle="1" w:styleId="xl100">
    <w:name w:val="xl100"/>
    <w:basedOn w:val="Normal"/>
    <w:rsid w:val="00A60D4B"/>
    <w:pPr>
      <w:pBdr>
        <w:left w:val="single" w:sz="4" w:space="0" w:color="auto"/>
      </w:pBdr>
      <w:spacing w:beforeAutospacing="1" w:after="0" w:afterAutospacing="1" w:line="240" w:lineRule="auto"/>
      <w:textAlignment w:val="top"/>
    </w:pPr>
    <w:rPr>
      <w:rFonts w:ascii="Times New Roman" w:eastAsia="Times New Roman" w:hAnsi="Times New Roman" w:cs="Times New Roman"/>
      <w:sz w:val="16"/>
      <w:szCs w:val="16"/>
      <w:lang w:eastAsia="en-AU"/>
    </w:rPr>
  </w:style>
  <w:style w:type="paragraph" w:customStyle="1" w:styleId="xl101">
    <w:name w:val="xl101"/>
    <w:basedOn w:val="Normal"/>
    <w:rsid w:val="00A60D4B"/>
    <w:pPr>
      <w:pBdr>
        <w:left w:val="single" w:sz="4" w:space="0" w:color="auto"/>
      </w:pBdr>
      <w:spacing w:beforeAutospacing="1" w:after="0" w:afterAutospacing="1" w:line="240" w:lineRule="auto"/>
      <w:textAlignment w:val="top"/>
    </w:pPr>
    <w:rPr>
      <w:rFonts w:ascii="Times New Roman" w:eastAsia="Times New Roman" w:hAnsi="Times New Roman" w:cs="Times New Roman"/>
      <w:b/>
      <w:bCs/>
      <w:sz w:val="16"/>
      <w:szCs w:val="16"/>
      <w:u w:val="single"/>
      <w:lang w:eastAsia="en-AU"/>
    </w:rPr>
  </w:style>
  <w:style w:type="paragraph" w:customStyle="1" w:styleId="xl102">
    <w:name w:val="xl102"/>
    <w:basedOn w:val="Normal"/>
    <w:rsid w:val="00A60D4B"/>
    <w:pPr>
      <w:pBdr>
        <w:left w:val="single" w:sz="4" w:space="0" w:color="auto"/>
      </w:pBdr>
      <w:spacing w:beforeAutospacing="1" w:after="0" w:afterAutospacing="1" w:line="240" w:lineRule="auto"/>
      <w:textAlignment w:val="top"/>
    </w:pPr>
    <w:rPr>
      <w:rFonts w:ascii="Times New Roman" w:eastAsia="Times New Roman" w:hAnsi="Times New Roman" w:cs="Times New Roman"/>
      <w:b/>
      <w:bCs/>
      <w:sz w:val="16"/>
      <w:szCs w:val="16"/>
      <w:lang w:eastAsia="en-AU"/>
    </w:rPr>
  </w:style>
  <w:style w:type="paragraph" w:customStyle="1" w:styleId="xl103">
    <w:name w:val="xl103"/>
    <w:basedOn w:val="Normal"/>
    <w:rsid w:val="00A60D4B"/>
    <w:pPr>
      <w:pBdr>
        <w:left w:val="single" w:sz="4" w:space="0" w:color="auto"/>
        <w:bottom w:val="single" w:sz="4" w:space="0" w:color="auto"/>
      </w:pBdr>
      <w:spacing w:beforeAutospacing="1" w:after="0" w:afterAutospacing="1" w:line="240" w:lineRule="auto"/>
      <w:textAlignment w:val="top"/>
    </w:pPr>
    <w:rPr>
      <w:rFonts w:ascii="Times New Roman" w:eastAsia="Times New Roman" w:hAnsi="Times New Roman" w:cs="Times New Roman"/>
      <w:b/>
      <w:bCs/>
      <w:sz w:val="16"/>
      <w:szCs w:val="16"/>
      <w:lang w:eastAsia="en-AU"/>
    </w:rPr>
  </w:style>
  <w:style w:type="paragraph" w:customStyle="1" w:styleId="xl104">
    <w:name w:val="xl104"/>
    <w:basedOn w:val="Normal"/>
    <w:rsid w:val="00A60D4B"/>
    <w:pPr>
      <w:pBdr>
        <w:left w:val="single" w:sz="4" w:space="0" w:color="auto"/>
        <w:bottom w:val="single" w:sz="4" w:space="0" w:color="auto"/>
      </w:pBdr>
      <w:spacing w:beforeAutospacing="1" w:after="0" w:afterAutospacing="1" w:line="240" w:lineRule="auto"/>
    </w:pPr>
    <w:rPr>
      <w:rFonts w:ascii="Times New Roman" w:eastAsia="Times New Roman" w:hAnsi="Times New Roman" w:cs="Times New Roman"/>
      <w:b/>
      <w:bCs/>
      <w:sz w:val="16"/>
      <w:szCs w:val="16"/>
      <w:lang w:eastAsia="en-AU"/>
    </w:rPr>
  </w:style>
  <w:style w:type="paragraph" w:customStyle="1" w:styleId="xl105">
    <w:name w:val="xl105"/>
    <w:basedOn w:val="Normal"/>
    <w:rsid w:val="00A60D4B"/>
    <w:pPr>
      <w:pBdr>
        <w:left w:val="single" w:sz="4" w:space="0" w:color="auto"/>
        <w:bottom w:val="single" w:sz="4" w:space="0" w:color="auto"/>
        <w:right w:val="single" w:sz="4" w:space="0" w:color="auto"/>
      </w:pBdr>
      <w:spacing w:beforeAutospacing="1" w:after="0" w:afterAutospacing="1" w:line="240" w:lineRule="auto"/>
      <w:jc w:val="right"/>
    </w:pPr>
    <w:rPr>
      <w:rFonts w:ascii="Times New Roman" w:eastAsia="Times New Roman" w:hAnsi="Times New Roman" w:cs="Times New Roman"/>
      <w:b/>
      <w:bCs/>
      <w:sz w:val="16"/>
      <w:szCs w:val="16"/>
      <w:lang w:eastAsia="en-AU"/>
    </w:rPr>
  </w:style>
  <w:style w:type="paragraph" w:customStyle="1" w:styleId="xl106">
    <w:name w:val="xl106"/>
    <w:basedOn w:val="Normal"/>
    <w:rsid w:val="00A60D4B"/>
    <w:pPr>
      <w:pBdr>
        <w:left w:val="single" w:sz="4" w:space="0" w:color="auto"/>
        <w:bottom w:val="single" w:sz="4" w:space="0" w:color="auto"/>
      </w:pBdr>
      <w:spacing w:beforeAutospacing="1" w:after="0" w:afterAutospacing="1" w:line="240" w:lineRule="auto"/>
      <w:jc w:val="right"/>
    </w:pPr>
    <w:rPr>
      <w:rFonts w:ascii="Times New Roman" w:eastAsia="Times New Roman" w:hAnsi="Times New Roman" w:cs="Times New Roman"/>
      <w:b/>
      <w:bCs/>
      <w:sz w:val="16"/>
      <w:szCs w:val="16"/>
      <w:lang w:eastAsia="en-AU"/>
    </w:rPr>
  </w:style>
  <w:style w:type="paragraph" w:customStyle="1" w:styleId="xl107">
    <w:name w:val="xl107"/>
    <w:basedOn w:val="Normal"/>
    <w:rsid w:val="00A60D4B"/>
    <w:pPr>
      <w:pBdr>
        <w:bottom w:val="single" w:sz="4" w:space="0" w:color="auto"/>
      </w:pBdr>
      <w:spacing w:beforeAutospacing="1" w:after="0" w:afterAutospacing="1" w:line="240" w:lineRule="auto"/>
      <w:jc w:val="right"/>
    </w:pPr>
    <w:rPr>
      <w:rFonts w:ascii="Times New Roman" w:eastAsia="Times New Roman" w:hAnsi="Times New Roman" w:cs="Times New Roman"/>
      <w:b/>
      <w:bCs/>
      <w:sz w:val="16"/>
      <w:szCs w:val="16"/>
      <w:lang w:eastAsia="en-AU"/>
    </w:rPr>
  </w:style>
  <w:style w:type="paragraph" w:customStyle="1" w:styleId="xl108">
    <w:name w:val="xl108"/>
    <w:basedOn w:val="Normal"/>
    <w:rsid w:val="00A60D4B"/>
    <w:pPr>
      <w:pBdr>
        <w:bottom w:val="single" w:sz="4" w:space="0" w:color="auto"/>
        <w:right w:val="single" w:sz="4" w:space="0" w:color="auto"/>
      </w:pBdr>
      <w:spacing w:beforeAutospacing="1" w:after="0" w:afterAutospacing="1" w:line="240" w:lineRule="auto"/>
    </w:pPr>
    <w:rPr>
      <w:rFonts w:ascii="Times New Roman" w:eastAsia="Times New Roman" w:hAnsi="Times New Roman" w:cs="Times New Roman"/>
      <w:b/>
      <w:bCs/>
      <w:sz w:val="16"/>
      <w:szCs w:val="16"/>
      <w:lang w:eastAsia="en-AU"/>
    </w:rPr>
  </w:style>
  <w:style w:type="paragraph" w:customStyle="1" w:styleId="xl109">
    <w:name w:val="xl109"/>
    <w:basedOn w:val="Normal"/>
    <w:rsid w:val="00A60D4B"/>
    <w:pPr>
      <w:pBdr>
        <w:left w:val="single" w:sz="4" w:space="0" w:color="auto"/>
        <w:bottom w:val="single" w:sz="4" w:space="0" w:color="auto"/>
      </w:pBdr>
      <w:spacing w:beforeAutospacing="1" w:after="0" w:afterAutospacing="1" w:line="240" w:lineRule="auto"/>
      <w:jc w:val="right"/>
    </w:pPr>
    <w:rPr>
      <w:rFonts w:ascii="Times New Roman" w:eastAsia="Times New Roman" w:hAnsi="Times New Roman" w:cs="Times New Roman"/>
      <w:b/>
      <w:bCs/>
      <w:sz w:val="16"/>
      <w:szCs w:val="16"/>
      <w:lang w:eastAsia="en-AU"/>
    </w:rPr>
  </w:style>
  <w:style w:type="paragraph" w:customStyle="1" w:styleId="xl110">
    <w:name w:val="xl110"/>
    <w:basedOn w:val="Normal"/>
    <w:rsid w:val="00A60D4B"/>
    <w:pPr>
      <w:pBdr>
        <w:bottom w:val="single" w:sz="4" w:space="0" w:color="auto"/>
        <w:right w:val="single" w:sz="4" w:space="0" w:color="auto"/>
      </w:pBdr>
      <w:spacing w:beforeAutospacing="1" w:after="0" w:afterAutospacing="1" w:line="240" w:lineRule="auto"/>
      <w:jc w:val="right"/>
    </w:pPr>
    <w:rPr>
      <w:rFonts w:ascii="Times New Roman" w:eastAsia="Times New Roman" w:hAnsi="Times New Roman" w:cs="Times New Roman"/>
      <w:b/>
      <w:bCs/>
      <w:sz w:val="16"/>
      <w:szCs w:val="16"/>
      <w:lang w:eastAsia="en-AU"/>
    </w:rPr>
  </w:style>
  <w:style w:type="character" w:customStyle="1" w:styleId="st1">
    <w:name w:val="st1"/>
    <w:basedOn w:val="DefaultParagraphFont"/>
    <w:rsid w:val="00A60D4B"/>
  </w:style>
  <w:style w:type="paragraph" w:customStyle="1" w:styleId="TableTextLeftLevel2">
    <w:name w:val="Table  Text Left Level 2"/>
    <w:basedOn w:val="Normal"/>
    <w:link w:val="TableTextLeftLevel2Char"/>
    <w:rsid w:val="00A60D4B"/>
    <w:pPr>
      <w:tabs>
        <w:tab w:val="left" w:pos="2212"/>
      </w:tabs>
      <w:spacing w:after="0" w:line="240" w:lineRule="auto"/>
      <w:ind w:left="283" w:hanging="170"/>
    </w:pPr>
    <w:rPr>
      <w:rFonts w:ascii="Calibri" w:eastAsia="Times New Roman" w:hAnsi="Calibri" w:cs="Times New Roman"/>
      <w:iCs/>
      <w:sz w:val="18"/>
      <w:szCs w:val="18"/>
      <w:lang w:val="x-none"/>
    </w:rPr>
  </w:style>
  <w:style w:type="character" w:customStyle="1" w:styleId="TableTextLeftLevel2Char">
    <w:name w:val="Table  Text Left Level 2 Char"/>
    <w:link w:val="TableTextLeftLevel2"/>
    <w:rsid w:val="00A60D4B"/>
    <w:rPr>
      <w:rFonts w:ascii="Calibri" w:eastAsia="Times New Roman" w:hAnsi="Calibri" w:cs="Times New Roman"/>
      <w:iCs/>
      <w:sz w:val="18"/>
      <w:szCs w:val="18"/>
      <w:lang w:val="x-none"/>
    </w:rPr>
  </w:style>
  <w:style w:type="paragraph" w:customStyle="1" w:styleId="TableTextLeftLevel3">
    <w:name w:val="Table Text Left Level 3"/>
    <w:autoRedefine/>
    <w:rsid w:val="00A60D4B"/>
    <w:pPr>
      <w:spacing w:after="0" w:line="240" w:lineRule="auto"/>
      <w:ind w:left="454" w:hanging="170"/>
    </w:pPr>
    <w:rPr>
      <w:rFonts w:ascii="Times New Roman" w:eastAsia="Times New Roman" w:hAnsi="Times New Roman" w:cs="Times New Roman"/>
      <w:iCs/>
      <w:sz w:val="18"/>
      <w:szCs w:val="18"/>
    </w:rPr>
  </w:style>
  <w:style w:type="numbering" w:customStyle="1" w:styleId="NoList2">
    <w:name w:val="No List2"/>
    <w:next w:val="NoList"/>
    <w:uiPriority w:val="99"/>
    <w:semiHidden/>
    <w:unhideWhenUsed/>
    <w:rsid w:val="00A60D4B"/>
  </w:style>
  <w:style w:type="numbering" w:customStyle="1" w:styleId="NoList3">
    <w:name w:val="No List3"/>
    <w:next w:val="NoList"/>
    <w:uiPriority w:val="99"/>
    <w:semiHidden/>
    <w:unhideWhenUsed/>
    <w:rsid w:val="00A60D4B"/>
  </w:style>
  <w:style w:type="paragraph" w:customStyle="1" w:styleId="xl6436">
    <w:name w:val="xl6436"/>
    <w:basedOn w:val="Normal"/>
    <w:rsid w:val="00A60D4B"/>
    <w:pPr>
      <w:spacing w:beforeAutospacing="1" w:after="0" w:afterAutospacing="1" w:line="240" w:lineRule="auto"/>
    </w:pPr>
    <w:rPr>
      <w:rFonts w:ascii="Calibri" w:eastAsia="Times New Roman" w:hAnsi="Calibri" w:cs="Times New Roman"/>
      <w:sz w:val="24"/>
      <w:szCs w:val="24"/>
      <w:lang w:eastAsia="en-AU"/>
    </w:rPr>
  </w:style>
  <w:style w:type="paragraph" w:customStyle="1" w:styleId="xl6437">
    <w:name w:val="xl6437"/>
    <w:basedOn w:val="Normal"/>
    <w:rsid w:val="00A60D4B"/>
    <w:pPr>
      <w:spacing w:beforeAutospacing="1" w:after="0" w:afterAutospacing="1" w:line="240" w:lineRule="auto"/>
      <w:jc w:val="center"/>
    </w:pPr>
    <w:rPr>
      <w:rFonts w:ascii="Calibri" w:eastAsia="Times New Roman" w:hAnsi="Calibri" w:cs="Times New Roman"/>
      <w:sz w:val="24"/>
      <w:szCs w:val="24"/>
      <w:lang w:eastAsia="en-AU"/>
    </w:rPr>
  </w:style>
  <w:style w:type="paragraph" w:customStyle="1" w:styleId="xl6438">
    <w:name w:val="xl6438"/>
    <w:basedOn w:val="Normal"/>
    <w:rsid w:val="00A60D4B"/>
    <w:pPr>
      <w:spacing w:beforeAutospacing="1" w:after="0" w:afterAutospacing="1" w:line="240" w:lineRule="auto"/>
    </w:pPr>
    <w:rPr>
      <w:rFonts w:ascii="Calibri" w:eastAsia="Times New Roman" w:hAnsi="Calibri" w:cs="Times New Roman"/>
      <w:b/>
      <w:bCs/>
      <w:sz w:val="24"/>
      <w:szCs w:val="24"/>
      <w:lang w:eastAsia="en-AU"/>
    </w:rPr>
  </w:style>
  <w:style w:type="paragraph" w:customStyle="1" w:styleId="xl6439">
    <w:name w:val="xl6439"/>
    <w:basedOn w:val="Normal"/>
    <w:rsid w:val="00A60D4B"/>
    <w:pPr>
      <w:shd w:val="clear" w:color="000000" w:fill="EAF1DD"/>
      <w:spacing w:beforeAutospacing="1" w:after="0" w:afterAutospacing="1" w:line="240" w:lineRule="auto"/>
    </w:pPr>
    <w:rPr>
      <w:rFonts w:ascii="Calibri" w:eastAsia="Times New Roman" w:hAnsi="Calibri" w:cs="Times New Roman"/>
      <w:sz w:val="24"/>
      <w:szCs w:val="24"/>
      <w:lang w:eastAsia="en-AU"/>
    </w:rPr>
  </w:style>
  <w:style w:type="paragraph" w:customStyle="1" w:styleId="xl6440">
    <w:name w:val="xl6440"/>
    <w:basedOn w:val="Normal"/>
    <w:rsid w:val="00A60D4B"/>
    <w:pPr>
      <w:spacing w:beforeAutospacing="1" w:after="0" w:afterAutospacing="1" w:line="240" w:lineRule="auto"/>
      <w:textAlignment w:val="center"/>
    </w:pPr>
    <w:rPr>
      <w:rFonts w:ascii="Calibri" w:eastAsia="Times New Roman" w:hAnsi="Calibri" w:cs="Times New Roman"/>
      <w:sz w:val="24"/>
      <w:szCs w:val="24"/>
      <w:lang w:eastAsia="en-AU"/>
    </w:rPr>
  </w:style>
  <w:style w:type="paragraph" w:customStyle="1" w:styleId="xl6441">
    <w:name w:val="xl6441"/>
    <w:basedOn w:val="Normal"/>
    <w:rsid w:val="00A60D4B"/>
    <w:pPr>
      <w:spacing w:beforeAutospacing="1" w:after="0" w:afterAutospacing="1" w:line="240" w:lineRule="auto"/>
    </w:pPr>
    <w:rPr>
      <w:rFonts w:ascii="Calibri" w:eastAsia="Times New Roman" w:hAnsi="Calibri" w:cs="Times New Roman"/>
      <w:sz w:val="24"/>
      <w:szCs w:val="24"/>
      <w:lang w:eastAsia="en-AU"/>
    </w:rPr>
  </w:style>
  <w:style w:type="paragraph" w:customStyle="1" w:styleId="xl6442">
    <w:name w:val="xl6442"/>
    <w:basedOn w:val="Normal"/>
    <w:rsid w:val="00A60D4B"/>
    <w:pPr>
      <w:spacing w:beforeAutospacing="1" w:after="0" w:afterAutospacing="1" w:line="240" w:lineRule="auto"/>
      <w:textAlignment w:val="center"/>
    </w:pPr>
    <w:rPr>
      <w:rFonts w:ascii="Calibri" w:eastAsia="Times New Roman" w:hAnsi="Calibri" w:cs="Times New Roman"/>
      <w:b/>
      <w:bCs/>
      <w:sz w:val="24"/>
      <w:szCs w:val="24"/>
      <w:u w:val="single"/>
      <w:lang w:eastAsia="en-AU"/>
    </w:rPr>
  </w:style>
  <w:style w:type="paragraph" w:customStyle="1" w:styleId="xl6443">
    <w:name w:val="xl6443"/>
    <w:basedOn w:val="Normal"/>
    <w:rsid w:val="00A60D4B"/>
    <w:pPr>
      <w:spacing w:beforeAutospacing="1" w:after="0" w:afterAutospacing="1" w:line="240" w:lineRule="auto"/>
    </w:pPr>
    <w:rPr>
      <w:rFonts w:ascii="Calibri" w:eastAsia="Times New Roman" w:hAnsi="Calibri" w:cs="Times New Roman"/>
      <w:sz w:val="18"/>
      <w:szCs w:val="18"/>
      <w:lang w:eastAsia="en-AU"/>
    </w:rPr>
  </w:style>
  <w:style w:type="paragraph" w:customStyle="1" w:styleId="xl6444">
    <w:name w:val="xl6444"/>
    <w:basedOn w:val="Normal"/>
    <w:rsid w:val="00A60D4B"/>
    <w:pPr>
      <w:spacing w:beforeAutospacing="1" w:after="0" w:afterAutospacing="1" w:line="240" w:lineRule="auto"/>
    </w:pPr>
    <w:rPr>
      <w:rFonts w:ascii="Calibri" w:eastAsia="Times New Roman" w:hAnsi="Calibri" w:cs="Times New Roman"/>
      <w:sz w:val="18"/>
      <w:szCs w:val="18"/>
      <w:lang w:eastAsia="en-AU"/>
    </w:rPr>
  </w:style>
  <w:style w:type="paragraph" w:customStyle="1" w:styleId="xl6445">
    <w:name w:val="xl6445"/>
    <w:basedOn w:val="Normal"/>
    <w:rsid w:val="00A60D4B"/>
    <w:pPr>
      <w:spacing w:beforeAutospacing="1" w:after="0" w:afterAutospacing="1" w:line="240" w:lineRule="auto"/>
      <w:textAlignment w:val="center"/>
    </w:pPr>
    <w:rPr>
      <w:rFonts w:ascii="Calibri" w:eastAsia="Times New Roman" w:hAnsi="Calibri" w:cs="Times New Roman"/>
      <w:b/>
      <w:bCs/>
      <w:sz w:val="18"/>
      <w:szCs w:val="18"/>
      <w:lang w:eastAsia="en-AU"/>
    </w:rPr>
  </w:style>
  <w:style w:type="paragraph" w:customStyle="1" w:styleId="xl6446">
    <w:name w:val="xl6446"/>
    <w:basedOn w:val="Normal"/>
    <w:rsid w:val="00A60D4B"/>
    <w:pPr>
      <w:pBdr>
        <w:top w:val="single" w:sz="8" w:space="0" w:color="auto"/>
        <w:bottom w:val="single" w:sz="8" w:space="0" w:color="auto"/>
      </w:pBdr>
      <w:spacing w:beforeAutospacing="1" w:after="0" w:afterAutospacing="1" w:line="240" w:lineRule="auto"/>
    </w:pPr>
    <w:rPr>
      <w:rFonts w:ascii="Calibri" w:eastAsia="Times New Roman" w:hAnsi="Calibri" w:cs="Times New Roman"/>
      <w:sz w:val="24"/>
      <w:szCs w:val="24"/>
      <w:lang w:eastAsia="en-AU"/>
    </w:rPr>
  </w:style>
  <w:style w:type="paragraph" w:customStyle="1" w:styleId="xl6447">
    <w:name w:val="xl6447"/>
    <w:basedOn w:val="Normal"/>
    <w:rsid w:val="00A60D4B"/>
    <w:pPr>
      <w:spacing w:beforeAutospacing="1" w:after="0" w:afterAutospacing="1" w:line="240" w:lineRule="auto"/>
      <w:textAlignment w:val="top"/>
    </w:pPr>
    <w:rPr>
      <w:rFonts w:ascii="Calibri" w:eastAsia="Times New Roman" w:hAnsi="Calibri" w:cs="Times New Roman"/>
      <w:b/>
      <w:bCs/>
      <w:sz w:val="24"/>
      <w:szCs w:val="24"/>
      <w:lang w:eastAsia="en-AU"/>
    </w:rPr>
  </w:style>
  <w:style w:type="paragraph" w:customStyle="1" w:styleId="xl6448">
    <w:name w:val="xl6448"/>
    <w:basedOn w:val="Normal"/>
    <w:rsid w:val="00A60D4B"/>
    <w:pPr>
      <w:spacing w:beforeAutospacing="1" w:after="0" w:afterAutospacing="1" w:line="240" w:lineRule="auto"/>
      <w:textAlignment w:val="top"/>
    </w:pPr>
    <w:rPr>
      <w:rFonts w:ascii="Calibri" w:eastAsia="Times New Roman" w:hAnsi="Calibri" w:cs="Times New Roman"/>
      <w:b/>
      <w:bCs/>
      <w:sz w:val="24"/>
      <w:szCs w:val="24"/>
      <w:lang w:eastAsia="en-AU"/>
    </w:rPr>
  </w:style>
  <w:style w:type="paragraph" w:customStyle="1" w:styleId="xl6449">
    <w:name w:val="xl6449"/>
    <w:basedOn w:val="Normal"/>
    <w:rsid w:val="00A60D4B"/>
    <w:pPr>
      <w:spacing w:beforeAutospacing="1" w:after="0" w:afterAutospacing="1" w:line="240" w:lineRule="auto"/>
      <w:jc w:val="center"/>
      <w:textAlignment w:val="top"/>
    </w:pPr>
    <w:rPr>
      <w:rFonts w:ascii="Calibri" w:eastAsia="Times New Roman" w:hAnsi="Calibri" w:cs="Times New Roman"/>
      <w:b/>
      <w:bCs/>
      <w:sz w:val="24"/>
      <w:szCs w:val="24"/>
      <w:lang w:eastAsia="en-AU"/>
    </w:rPr>
  </w:style>
  <w:style w:type="paragraph" w:customStyle="1" w:styleId="xl6450">
    <w:name w:val="xl6450"/>
    <w:basedOn w:val="Normal"/>
    <w:rsid w:val="00A60D4B"/>
    <w:pPr>
      <w:spacing w:beforeAutospacing="1" w:after="0" w:afterAutospacing="1" w:line="240" w:lineRule="auto"/>
      <w:textAlignment w:val="top"/>
    </w:pPr>
    <w:rPr>
      <w:rFonts w:ascii="Calibri" w:eastAsia="Times New Roman" w:hAnsi="Calibri" w:cs="Times New Roman"/>
      <w:sz w:val="24"/>
      <w:szCs w:val="24"/>
      <w:lang w:eastAsia="en-AU"/>
    </w:rPr>
  </w:style>
  <w:style w:type="paragraph" w:customStyle="1" w:styleId="xl6451">
    <w:name w:val="xl6451"/>
    <w:basedOn w:val="Normal"/>
    <w:rsid w:val="00A60D4B"/>
    <w:pPr>
      <w:spacing w:beforeAutospacing="1" w:after="0" w:afterAutospacing="1" w:line="240" w:lineRule="auto"/>
      <w:jc w:val="center"/>
      <w:textAlignment w:val="top"/>
    </w:pPr>
    <w:rPr>
      <w:rFonts w:ascii="Calibri" w:eastAsia="Times New Roman" w:hAnsi="Calibri" w:cs="Times New Roman"/>
      <w:sz w:val="24"/>
      <w:szCs w:val="24"/>
      <w:lang w:eastAsia="en-AU"/>
    </w:rPr>
  </w:style>
  <w:style w:type="paragraph" w:customStyle="1" w:styleId="xl6452">
    <w:name w:val="xl6452"/>
    <w:basedOn w:val="Normal"/>
    <w:rsid w:val="00A60D4B"/>
    <w:pPr>
      <w:pBdr>
        <w:top w:val="single" w:sz="4" w:space="0" w:color="auto"/>
        <w:left w:val="single" w:sz="4" w:space="0" w:color="auto"/>
        <w:bottom w:val="single" w:sz="4" w:space="0" w:color="auto"/>
        <w:right w:val="single" w:sz="4" w:space="0" w:color="auto"/>
      </w:pBdr>
      <w:spacing w:beforeAutospacing="1" w:after="0" w:afterAutospacing="1" w:line="240" w:lineRule="auto"/>
      <w:jc w:val="right"/>
      <w:textAlignment w:val="top"/>
    </w:pPr>
    <w:rPr>
      <w:rFonts w:ascii="Calibri" w:eastAsia="Times New Roman" w:hAnsi="Calibri" w:cs="Times New Roman"/>
      <w:b/>
      <w:bCs/>
      <w:sz w:val="24"/>
      <w:szCs w:val="24"/>
      <w:lang w:eastAsia="en-AU"/>
    </w:rPr>
  </w:style>
  <w:style w:type="paragraph" w:customStyle="1" w:styleId="xl6453">
    <w:name w:val="xl6453"/>
    <w:basedOn w:val="Normal"/>
    <w:rsid w:val="00A60D4B"/>
    <w:pPr>
      <w:pBdr>
        <w:top w:val="single" w:sz="4" w:space="0" w:color="auto"/>
        <w:bottom w:val="single" w:sz="4" w:space="0" w:color="auto"/>
      </w:pBdr>
      <w:spacing w:beforeAutospacing="1" w:after="0" w:afterAutospacing="1" w:line="240" w:lineRule="auto"/>
      <w:jc w:val="right"/>
      <w:textAlignment w:val="top"/>
    </w:pPr>
    <w:rPr>
      <w:rFonts w:ascii="Calibri" w:eastAsia="Times New Roman" w:hAnsi="Calibri" w:cs="Times New Roman"/>
      <w:b/>
      <w:bCs/>
      <w:sz w:val="24"/>
      <w:szCs w:val="24"/>
      <w:lang w:eastAsia="en-AU"/>
    </w:rPr>
  </w:style>
  <w:style w:type="paragraph" w:customStyle="1" w:styleId="xl6454">
    <w:name w:val="xl6454"/>
    <w:basedOn w:val="Normal"/>
    <w:rsid w:val="00A60D4B"/>
    <w:pPr>
      <w:pBdr>
        <w:top w:val="single" w:sz="4" w:space="0" w:color="auto"/>
        <w:left w:val="single" w:sz="4" w:space="0" w:color="auto"/>
        <w:bottom w:val="single" w:sz="4" w:space="0" w:color="auto"/>
      </w:pBdr>
      <w:spacing w:beforeAutospacing="1" w:after="0" w:afterAutospacing="1" w:line="240" w:lineRule="auto"/>
      <w:jc w:val="right"/>
      <w:textAlignment w:val="top"/>
    </w:pPr>
    <w:rPr>
      <w:rFonts w:ascii="Calibri" w:eastAsia="Times New Roman" w:hAnsi="Calibri" w:cs="Times New Roman"/>
      <w:b/>
      <w:bCs/>
      <w:sz w:val="24"/>
      <w:szCs w:val="24"/>
      <w:lang w:eastAsia="en-AU"/>
    </w:rPr>
  </w:style>
  <w:style w:type="paragraph" w:customStyle="1" w:styleId="xl6455">
    <w:name w:val="xl6455"/>
    <w:basedOn w:val="Normal"/>
    <w:rsid w:val="00A60D4B"/>
    <w:pPr>
      <w:pBdr>
        <w:top w:val="single" w:sz="4" w:space="0" w:color="auto"/>
        <w:bottom w:val="single" w:sz="4" w:space="0" w:color="auto"/>
        <w:right w:val="single" w:sz="4" w:space="0" w:color="auto"/>
      </w:pBdr>
      <w:spacing w:beforeAutospacing="1" w:after="0" w:afterAutospacing="1" w:line="240" w:lineRule="auto"/>
      <w:jc w:val="right"/>
      <w:textAlignment w:val="top"/>
    </w:pPr>
    <w:rPr>
      <w:rFonts w:ascii="Calibri" w:eastAsia="Times New Roman" w:hAnsi="Calibri" w:cs="Times New Roman"/>
      <w:b/>
      <w:bCs/>
      <w:sz w:val="24"/>
      <w:szCs w:val="24"/>
      <w:lang w:eastAsia="en-AU"/>
    </w:rPr>
  </w:style>
  <w:style w:type="paragraph" w:customStyle="1" w:styleId="xl6456">
    <w:name w:val="xl6456"/>
    <w:basedOn w:val="Normal"/>
    <w:rsid w:val="00A60D4B"/>
    <w:pPr>
      <w:pBdr>
        <w:left w:val="single" w:sz="4" w:space="0" w:color="auto"/>
        <w:right w:val="single" w:sz="4" w:space="0" w:color="auto"/>
      </w:pBdr>
      <w:spacing w:beforeAutospacing="1" w:after="0" w:afterAutospacing="1" w:line="240" w:lineRule="auto"/>
      <w:textAlignment w:val="top"/>
    </w:pPr>
    <w:rPr>
      <w:rFonts w:ascii="Calibri" w:eastAsia="Times New Roman" w:hAnsi="Calibri" w:cs="Times New Roman"/>
      <w:sz w:val="24"/>
      <w:szCs w:val="24"/>
      <w:lang w:eastAsia="en-AU"/>
    </w:rPr>
  </w:style>
  <w:style w:type="paragraph" w:customStyle="1" w:styleId="xl6457">
    <w:name w:val="xl6457"/>
    <w:basedOn w:val="Normal"/>
    <w:rsid w:val="00A60D4B"/>
    <w:pPr>
      <w:pBdr>
        <w:top w:val="single" w:sz="8" w:space="0" w:color="auto"/>
        <w:left w:val="single" w:sz="4" w:space="0" w:color="auto"/>
        <w:bottom w:val="single" w:sz="8" w:space="0" w:color="auto"/>
        <w:right w:val="single" w:sz="4" w:space="0" w:color="auto"/>
      </w:pBdr>
      <w:spacing w:beforeAutospacing="1" w:after="0" w:afterAutospacing="1" w:line="240" w:lineRule="auto"/>
      <w:textAlignment w:val="top"/>
    </w:pPr>
    <w:rPr>
      <w:rFonts w:ascii="Calibri" w:eastAsia="Times New Roman" w:hAnsi="Calibri" w:cs="Times New Roman"/>
      <w:b/>
      <w:bCs/>
      <w:sz w:val="24"/>
      <w:szCs w:val="24"/>
      <w:lang w:eastAsia="en-AU"/>
    </w:rPr>
  </w:style>
  <w:style w:type="paragraph" w:customStyle="1" w:styleId="xl6458">
    <w:name w:val="xl6458"/>
    <w:basedOn w:val="Normal"/>
    <w:rsid w:val="00A60D4B"/>
    <w:pPr>
      <w:pBdr>
        <w:left w:val="single" w:sz="4" w:space="0" w:color="auto"/>
        <w:right w:val="single" w:sz="4" w:space="0" w:color="auto"/>
      </w:pBdr>
      <w:spacing w:beforeAutospacing="1" w:after="0" w:afterAutospacing="1" w:line="240" w:lineRule="auto"/>
      <w:jc w:val="right"/>
      <w:textAlignment w:val="top"/>
    </w:pPr>
    <w:rPr>
      <w:rFonts w:ascii="Calibri" w:eastAsia="Times New Roman" w:hAnsi="Calibri" w:cs="Times New Roman"/>
      <w:sz w:val="24"/>
      <w:szCs w:val="24"/>
      <w:lang w:eastAsia="en-AU"/>
    </w:rPr>
  </w:style>
  <w:style w:type="paragraph" w:customStyle="1" w:styleId="xl6459">
    <w:name w:val="xl6459"/>
    <w:basedOn w:val="Normal"/>
    <w:rsid w:val="00A60D4B"/>
    <w:pPr>
      <w:pBdr>
        <w:left w:val="single" w:sz="4" w:space="0" w:color="auto"/>
      </w:pBdr>
      <w:spacing w:beforeAutospacing="1" w:after="0" w:afterAutospacing="1" w:line="240" w:lineRule="auto"/>
      <w:textAlignment w:val="top"/>
    </w:pPr>
    <w:rPr>
      <w:rFonts w:ascii="Calibri" w:eastAsia="Times New Roman" w:hAnsi="Calibri" w:cs="Times New Roman"/>
      <w:sz w:val="24"/>
      <w:szCs w:val="24"/>
      <w:lang w:eastAsia="en-AU"/>
    </w:rPr>
  </w:style>
  <w:style w:type="paragraph" w:customStyle="1" w:styleId="xl6460">
    <w:name w:val="xl6460"/>
    <w:basedOn w:val="Normal"/>
    <w:rsid w:val="00A60D4B"/>
    <w:pPr>
      <w:pBdr>
        <w:left w:val="single" w:sz="4" w:space="0" w:color="auto"/>
        <w:right w:val="single" w:sz="4" w:space="0" w:color="auto"/>
      </w:pBdr>
      <w:spacing w:beforeAutospacing="1" w:after="0" w:afterAutospacing="1" w:line="240" w:lineRule="auto"/>
      <w:textAlignment w:val="top"/>
    </w:pPr>
    <w:rPr>
      <w:rFonts w:ascii="Calibri" w:eastAsia="Times New Roman" w:hAnsi="Calibri" w:cs="Times New Roman"/>
      <w:color w:val="000000"/>
      <w:sz w:val="24"/>
      <w:szCs w:val="24"/>
      <w:lang w:eastAsia="en-AU"/>
    </w:rPr>
  </w:style>
  <w:style w:type="paragraph" w:customStyle="1" w:styleId="xl6461">
    <w:name w:val="xl6461"/>
    <w:basedOn w:val="Normal"/>
    <w:rsid w:val="00A60D4B"/>
    <w:pPr>
      <w:pBdr>
        <w:top w:val="single" w:sz="8" w:space="0" w:color="auto"/>
        <w:left w:val="single" w:sz="4" w:space="0" w:color="auto"/>
        <w:bottom w:val="single" w:sz="8" w:space="0" w:color="auto"/>
        <w:right w:val="single" w:sz="4" w:space="0" w:color="auto"/>
      </w:pBdr>
      <w:spacing w:beforeAutospacing="1" w:after="0" w:afterAutospacing="1" w:line="240" w:lineRule="auto"/>
      <w:textAlignment w:val="top"/>
    </w:pPr>
    <w:rPr>
      <w:rFonts w:ascii="Calibri" w:eastAsia="Times New Roman" w:hAnsi="Calibri" w:cs="Times New Roman"/>
      <w:sz w:val="24"/>
      <w:szCs w:val="24"/>
      <w:lang w:eastAsia="en-AU"/>
    </w:rPr>
  </w:style>
  <w:style w:type="paragraph" w:customStyle="1" w:styleId="xl6462">
    <w:name w:val="xl6462"/>
    <w:basedOn w:val="Normal"/>
    <w:rsid w:val="00A60D4B"/>
    <w:pPr>
      <w:pBdr>
        <w:left w:val="single" w:sz="4" w:space="0" w:color="auto"/>
        <w:right w:val="single" w:sz="4" w:space="0" w:color="auto"/>
      </w:pBdr>
      <w:spacing w:beforeAutospacing="1" w:after="0" w:afterAutospacing="1" w:line="240" w:lineRule="auto"/>
      <w:jc w:val="right"/>
      <w:textAlignment w:val="top"/>
    </w:pPr>
    <w:rPr>
      <w:rFonts w:ascii="Calibri" w:eastAsia="Times New Roman" w:hAnsi="Calibri" w:cs="Times New Roman"/>
      <w:color w:val="000000"/>
      <w:sz w:val="24"/>
      <w:szCs w:val="24"/>
      <w:lang w:eastAsia="en-AU"/>
    </w:rPr>
  </w:style>
  <w:style w:type="paragraph" w:customStyle="1" w:styleId="xl6463">
    <w:name w:val="xl6463"/>
    <w:basedOn w:val="Normal"/>
    <w:rsid w:val="00A60D4B"/>
    <w:pPr>
      <w:pBdr>
        <w:left w:val="single" w:sz="4" w:space="0" w:color="auto"/>
        <w:right w:val="single" w:sz="4" w:space="0" w:color="auto"/>
      </w:pBdr>
      <w:spacing w:beforeAutospacing="1" w:after="0" w:afterAutospacing="1" w:line="240" w:lineRule="auto"/>
      <w:jc w:val="right"/>
      <w:textAlignment w:val="top"/>
    </w:pPr>
    <w:rPr>
      <w:rFonts w:ascii="Calibri" w:eastAsia="Times New Roman" w:hAnsi="Calibri" w:cs="Times New Roman"/>
      <w:sz w:val="24"/>
      <w:szCs w:val="24"/>
      <w:lang w:eastAsia="en-AU"/>
    </w:rPr>
  </w:style>
  <w:style w:type="paragraph" w:customStyle="1" w:styleId="xl6464">
    <w:name w:val="xl6464"/>
    <w:basedOn w:val="Normal"/>
    <w:rsid w:val="00A60D4B"/>
    <w:pPr>
      <w:pBdr>
        <w:left w:val="single" w:sz="4" w:space="0" w:color="auto"/>
        <w:bottom w:val="single" w:sz="4" w:space="0" w:color="auto"/>
        <w:right w:val="single" w:sz="4" w:space="0" w:color="auto"/>
      </w:pBdr>
      <w:spacing w:beforeAutospacing="1" w:after="0" w:afterAutospacing="1" w:line="240" w:lineRule="auto"/>
      <w:textAlignment w:val="top"/>
    </w:pPr>
    <w:rPr>
      <w:rFonts w:ascii="Calibri" w:eastAsia="Times New Roman" w:hAnsi="Calibri" w:cs="Times New Roman"/>
      <w:sz w:val="24"/>
      <w:szCs w:val="24"/>
      <w:lang w:eastAsia="en-AU"/>
    </w:rPr>
  </w:style>
  <w:style w:type="paragraph" w:customStyle="1" w:styleId="xl6465">
    <w:name w:val="xl6465"/>
    <w:basedOn w:val="Normal"/>
    <w:rsid w:val="00A60D4B"/>
    <w:pPr>
      <w:pBdr>
        <w:top w:val="single" w:sz="4" w:space="0" w:color="auto"/>
        <w:left w:val="single" w:sz="4" w:space="0" w:color="auto"/>
      </w:pBdr>
      <w:spacing w:beforeAutospacing="1" w:after="0" w:afterAutospacing="1" w:line="240" w:lineRule="auto"/>
      <w:textAlignment w:val="top"/>
    </w:pPr>
    <w:rPr>
      <w:rFonts w:ascii="Calibri" w:eastAsia="Times New Roman" w:hAnsi="Calibri" w:cs="Times New Roman"/>
      <w:b/>
      <w:bCs/>
      <w:sz w:val="24"/>
      <w:szCs w:val="24"/>
      <w:u w:val="single"/>
      <w:lang w:eastAsia="en-AU"/>
    </w:rPr>
  </w:style>
  <w:style w:type="paragraph" w:customStyle="1" w:styleId="xl6466">
    <w:name w:val="xl6466"/>
    <w:basedOn w:val="Normal"/>
    <w:rsid w:val="00A60D4B"/>
    <w:pPr>
      <w:pBdr>
        <w:left w:val="single" w:sz="4" w:space="0" w:color="auto"/>
      </w:pBdr>
      <w:spacing w:beforeAutospacing="1" w:after="0" w:afterAutospacing="1" w:line="240" w:lineRule="auto"/>
      <w:textAlignment w:val="top"/>
    </w:pPr>
    <w:rPr>
      <w:rFonts w:ascii="Calibri" w:eastAsia="Times New Roman" w:hAnsi="Calibri" w:cs="Times New Roman"/>
      <w:sz w:val="24"/>
      <w:szCs w:val="24"/>
      <w:lang w:eastAsia="en-AU"/>
    </w:rPr>
  </w:style>
  <w:style w:type="paragraph" w:customStyle="1" w:styleId="xl6467">
    <w:name w:val="xl6467"/>
    <w:basedOn w:val="Normal"/>
    <w:rsid w:val="00A60D4B"/>
    <w:pPr>
      <w:pBdr>
        <w:top w:val="single" w:sz="8" w:space="0" w:color="auto"/>
        <w:left w:val="single" w:sz="8" w:space="0" w:color="auto"/>
        <w:bottom w:val="single" w:sz="8" w:space="0" w:color="auto"/>
      </w:pBdr>
      <w:spacing w:beforeAutospacing="1" w:after="0" w:afterAutospacing="1" w:line="240" w:lineRule="auto"/>
      <w:textAlignment w:val="top"/>
    </w:pPr>
    <w:rPr>
      <w:rFonts w:ascii="Calibri" w:eastAsia="Times New Roman" w:hAnsi="Calibri" w:cs="Times New Roman"/>
      <w:b/>
      <w:bCs/>
      <w:sz w:val="24"/>
      <w:szCs w:val="24"/>
      <w:lang w:eastAsia="en-AU"/>
    </w:rPr>
  </w:style>
  <w:style w:type="paragraph" w:customStyle="1" w:styleId="xl6468">
    <w:name w:val="xl6468"/>
    <w:basedOn w:val="Normal"/>
    <w:rsid w:val="00A60D4B"/>
    <w:pPr>
      <w:pBdr>
        <w:left w:val="single" w:sz="4" w:space="0" w:color="auto"/>
      </w:pBdr>
      <w:spacing w:beforeAutospacing="1" w:after="0" w:afterAutospacing="1" w:line="240" w:lineRule="auto"/>
      <w:textAlignment w:val="top"/>
    </w:pPr>
    <w:rPr>
      <w:rFonts w:ascii="Calibri" w:eastAsia="Times New Roman" w:hAnsi="Calibri" w:cs="Times New Roman"/>
      <w:b/>
      <w:bCs/>
      <w:sz w:val="24"/>
      <w:szCs w:val="24"/>
      <w:u w:val="single"/>
      <w:lang w:eastAsia="en-AU"/>
    </w:rPr>
  </w:style>
  <w:style w:type="paragraph" w:customStyle="1" w:styleId="xl6469">
    <w:name w:val="xl6469"/>
    <w:basedOn w:val="Normal"/>
    <w:rsid w:val="00A60D4B"/>
    <w:pPr>
      <w:pBdr>
        <w:top w:val="single" w:sz="8" w:space="0" w:color="auto"/>
        <w:left w:val="single" w:sz="8" w:space="0" w:color="auto"/>
        <w:bottom w:val="single" w:sz="8" w:space="0" w:color="auto"/>
      </w:pBdr>
      <w:spacing w:beforeAutospacing="1" w:after="0" w:afterAutospacing="1" w:line="240" w:lineRule="auto"/>
      <w:textAlignment w:val="top"/>
    </w:pPr>
    <w:rPr>
      <w:rFonts w:ascii="Calibri" w:eastAsia="Times New Roman" w:hAnsi="Calibri" w:cs="Times New Roman"/>
      <w:sz w:val="24"/>
      <w:szCs w:val="24"/>
      <w:lang w:eastAsia="en-AU"/>
    </w:rPr>
  </w:style>
  <w:style w:type="paragraph" w:customStyle="1" w:styleId="xl6470">
    <w:name w:val="xl6470"/>
    <w:basedOn w:val="Normal"/>
    <w:rsid w:val="00A60D4B"/>
    <w:pPr>
      <w:pBdr>
        <w:left w:val="single" w:sz="4" w:space="0" w:color="auto"/>
      </w:pBdr>
      <w:spacing w:beforeAutospacing="1" w:after="0" w:afterAutospacing="1" w:line="240" w:lineRule="auto"/>
      <w:textAlignment w:val="top"/>
    </w:pPr>
    <w:rPr>
      <w:rFonts w:ascii="Calibri" w:eastAsia="Times New Roman" w:hAnsi="Calibri" w:cs="Times New Roman"/>
      <w:b/>
      <w:bCs/>
      <w:sz w:val="24"/>
      <w:szCs w:val="24"/>
      <w:u w:val="single"/>
      <w:lang w:eastAsia="en-AU"/>
    </w:rPr>
  </w:style>
  <w:style w:type="paragraph" w:customStyle="1" w:styleId="xl6471">
    <w:name w:val="xl6471"/>
    <w:basedOn w:val="Normal"/>
    <w:rsid w:val="00A60D4B"/>
    <w:pPr>
      <w:pBdr>
        <w:left w:val="single" w:sz="4" w:space="0" w:color="auto"/>
        <w:bottom w:val="single" w:sz="4" w:space="0" w:color="auto"/>
      </w:pBdr>
      <w:spacing w:beforeAutospacing="1" w:after="0" w:afterAutospacing="1" w:line="240" w:lineRule="auto"/>
      <w:textAlignment w:val="top"/>
    </w:pPr>
    <w:rPr>
      <w:rFonts w:ascii="Calibri" w:eastAsia="Times New Roman" w:hAnsi="Calibri" w:cs="Times New Roman"/>
      <w:b/>
      <w:bCs/>
      <w:sz w:val="24"/>
      <w:szCs w:val="24"/>
      <w:u w:val="single"/>
      <w:lang w:eastAsia="en-AU"/>
    </w:rPr>
  </w:style>
  <w:style w:type="paragraph" w:customStyle="1" w:styleId="xl6472">
    <w:name w:val="xl6472"/>
    <w:basedOn w:val="Normal"/>
    <w:rsid w:val="00A60D4B"/>
    <w:pPr>
      <w:pBdr>
        <w:top w:val="single" w:sz="4" w:space="0" w:color="auto"/>
        <w:left w:val="single" w:sz="4" w:space="0" w:color="auto"/>
        <w:right w:val="single" w:sz="4" w:space="0" w:color="auto"/>
      </w:pBdr>
      <w:spacing w:beforeAutospacing="1" w:after="0" w:afterAutospacing="1" w:line="240" w:lineRule="auto"/>
      <w:textAlignment w:val="top"/>
    </w:pPr>
    <w:rPr>
      <w:rFonts w:ascii="Calibri" w:eastAsia="Times New Roman" w:hAnsi="Calibri" w:cs="Times New Roman"/>
      <w:sz w:val="24"/>
      <w:szCs w:val="24"/>
      <w:lang w:eastAsia="en-AU"/>
    </w:rPr>
  </w:style>
  <w:style w:type="paragraph" w:customStyle="1" w:styleId="xl6473">
    <w:name w:val="xl6473"/>
    <w:basedOn w:val="Normal"/>
    <w:rsid w:val="00A60D4B"/>
    <w:pPr>
      <w:pBdr>
        <w:bottom w:val="single" w:sz="4" w:space="0" w:color="auto"/>
      </w:pBdr>
      <w:spacing w:beforeAutospacing="1" w:after="0" w:afterAutospacing="1" w:line="240" w:lineRule="auto"/>
      <w:jc w:val="center"/>
      <w:textAlignment w:val="top"/>
    </w:pPr>
    <w:rPr>
      <w:rFonts w:ascii="Calibri" w:eastAsia="Times New Roman" w:hAnsi="Calibri" w:cs="Times New Roman"/>
      <w:sz w:val="24"/>
      <w:szCs w:val="24"/>
      <w:lang w:eastAsia="en-AU"/>
    </w:rPr>
  </w:style>
  <w:style w:type="paragraph" w:customStyle="1" w:styleId="xl6474">
    <w:name w:val="xl6474"/>
    <w:basedOn w:val="Normal"/>
    <w:rsid w:val="00A60D4B"/>
    <w:pPr>
      <w:pBdr>
        <w:top w:val="single" w:sz="4" w:space="0" w:color="auto"/>
        <w:left w:val="single" w:sz="4" w:space="0" w:color="auto"/>
        <w:bottom w:val="single" w:sz="4" w:space="0" w:color="auto"/>
        <w:right w:val="single" w:sz="4" w:space="0" w:color="auto"/>
      </w:pBdr>
      <w:spacing w:beforeAutospacing="1" w:after="0" w:afterAutospacing="1" w:line="240" w:lineRule="auto"/>
      <w:jc w:val="center"/>
      <w:textAlignment w:val="top"/>
    </w:pPr>
    <w:rPr>
      <w:rFonts w:ascii="Calibri" w:eastAsia="Times New Roman" w:hAnsi="Calibri" w:cs="Times New Roman"/>
      <w:b/>
      <w:bCs/>
      <w:sz w:val="24"/>
      <w:szCs w:val="24"/>
      <w:lang w:eastAsia="en-AU"/>
    </w:rPr>
  </w:style>
  <w:style w:type="paragraph" w:customStyle="1" w:styleId="xl6475">
    <w:name w:val="xl6475"/>
    <w:basedOn w:val="Normal"/>
    <w:rsid w:val="00A60D4B"/>
    <w:pPr>
      <w:pBdr>
        <w:top w:val="single" w:sz="4" w:space="0" w:color="auto"/>
        <w:left w:val="single" w:sz="4" w:space="0" w:color="auto"/>
        <w:right w:val="single" w:sz="4" w:space="0" w:color="auto"/>
      </w:pBdr>
      <w:spacing w:beforeAutospacing="1" w:after="0" w:afterAutospacing="1" w:line="240" w:lineRule="auto"/>
      <w:jc w:val="center"/>
      <w:textAlignment w:val="top"/>
    </w:pPr>
    <w:rPr>
      <w:rFonts w:ascii="Calibri" w:eastAsia="Times New Roman" w:hAnsi="Calibri" w:cs="Times New Roman"/>
      <w:b/>
      <w:bCs/>
      <w:sz w:val="24"/>
      <w:szCs w:val="24"/>
      <w:lang w:eastAsia="en-AU"/>
    </w:rPr>
  </w:style>
  <w:style w:type="paragraph" w:customStyle="1" w:styleId="xl6476">
    <w:name w:val="xl6476"/>
    <w:basedOn w:val="Normal"/>
    <w:rsid w:val="00A60D4B"/>
    <w:pPr>
      <w:pBdr>
        <w:top w:val="single" w:sz="4" w:space="0" w:color="auto"/>
        <w:left w:val="single" w:sz="4" w:space="0" w:color="auto"/>
        <w:right w:val="single" w:sz="4" w:space="0" w:color="auto"/>
      </w:pBdr>
      <w:spacing w:beforeAutospacing="1" w:after="0" w:afterAutospacing="1" w:line="240" w:lineRule="auto"/>
      <w:jc w:val="right"/>
      <w:textAlignment w:val="top"/>
    </w:pPr>
    <w:rPr>
      <w:rFonts w:ascii="Calibri" w:eastAsia="Times New Roman" w:hAnsi="Calibri" w:cs="Times New Roman"/>
      <w:b/>
      <w:bCs/>
      <w:sz w:val="24"/>
      <w:szCs w:val="24"/>
      <w:lang w:eastAsia="en-AU"/>
    </w:rPr>
  </w:style>
  <w:style w:type="paragraph" w:customStyle="1" w:styleId="xl6477">
    <w:name w:val="xl6477"/>
    <w:basedOn w:val="Normal"/>
    <w:rsid w:val="00A60D4B"/>
    <w:pPr>
      <w:pBdr>
        <w:top w:val="single" w:sz="4" w:space="0" w:color="auto"/>
        <w:left w:val="single" w:sz="4" w:space="0" w:color="auto"/>
        <w:bottom w:val="single" w:sz="4" w:space="0" w:color="auto"/>
      </w:pBdr>
      <w:spacing w:beforeAutospacing="1" w:after="0" w:afterAutospacing="1" w:line="240" w:lineRule="auto"/>
      <w:jc w:val="center"/>
      <w:textAlignment w:val="top"/>
    </w:pPr>
    <w:rPr>
      <w:rFonts w:ascii="Calibri" w:eastAsia="Times New Roman" w:hAnsi="Calibri" w:cs="Times New Roman"/>
      <w:b/>
      <w:bCs/>
      <w:sz w:val="24"/>
      <w:szCs w:val="24"/>
      <w:lang w:eastAsia="en-AU"/>
    </w:rPr>
  </w:style>
  <w:style w:type="paragraph" w:customStyle="1" w:styleId="xl6478">
    <w:name w:val="xl6478"/>
    <w:basedOn w:val="Normal"/>
    <w:rsid w:val="00A60D4B"/>
    <w:pPr>
      <w:pBdr>
        <w:top w:val="single" w:sz="4" w:space="0" w:color="auto"/>
        <w:bottom w:val="single" w:sz="4" w:space="0" w:color="auto"/>
      </w:pBdr>
      <w:spacing w:beforeAutospacing="1" w:after="0" w:afterAutospacing="1" w:line="240" w:lineRule="auto"/>
      <w:jc w:val="center"/>
      <w:textAlignment w:val="top"/>
    </w:pPr>
    <w:rPr>
      <w:rFonts w:ascii="Calibri" w:eastAsia="Times New Roman" w:hAnsi="Calibri" w:cs="Times New Roman"/>
      <w:b/>
      <w:bCs/>
      <w:sz w:val="24"/>
      <w:szCs w:val="24"/>
      <w:lang w:eastAsia="en-AU"/>
    </w:rPr>
  </w:style>
  <w:style w:type="paragraph" w:customStyle="1" w:styleId="xl6479">
    <w:name w:val="xl6479"/>
    <w:basedOn w:val="Normal"/>
    <w:rsid w:val="00A60D4B"/>
    <w:pPr>
      <w:pBdr>
        <w:top w:val="single" w:sz="4" w:space="0" w:color="auto"/>
        <w:bottom w:val="single" w:sz="4" w:space="0" w:color="auto"/>
        <w:right w:val="single" w:sz="4" w:space="0" w:color="auto"/>
      </w:pBdr>
      <w:spacing w:beforeAutospacing="1" w:after="0" w:afterAutospacing="1" w:line="240" w:lineRule="auto"/>
      <w:jc w:val="center"/>
      <w:textAlignment w:val="top"/>
    </w:pPr>
    <w:rPr>
      <w:rFonts w:ascii="Calibri" w:eastAsia="Times New Roman" w:hAnsi="Calibri" w:cs="Times New Roman"/>
      <w:b/>
      <w:bCs/>
      <w:sz w:val="24"/>
      <w:szCs w:val="24"/>
      <w:lang w:eastAsia="en-AU"/>
    </w:rPr>
  </w:style>
  <w:style w:type="paragraph" w:customStyle="1" w:styleId="Noteintablealigned">
    <w:name w:val="Note in table aligned"/>
    <w:basedOn w:val="BStabletext"/>
    <w:qFormat/>
    <w:rsid w:val="00A60D4B"/>
    <w:pPr>
      <w:ind w:left="0" w:firstLine="0"/>
    </w:pPr>
    <w:rPr>
      <w:b/>
      <w:bCs w:val="0"/>
      <w:lang w:val="x-none" w:eastAsia="en-US"/>
    </w:rPr>
  </w:style>
  <w:style w:type="paragraph" w:customStyle="1" w:styleId="mcentred">
    <w:name w:val="$m centred"/>
    <w:basedOn w:val="BStablefiguresbold"/>
    <w:link w:val="mcentredChar"/>
    <w:qFormat/>
    <w:rsid w:val="00A60D4B"/>
    <w:pPr>
      <w:jc w:val="center"/>
    </w:pPr>
    <w:rPr>
      <w:lang w:val="x-none" w:eastAsia="en-US"/>
    </w:rPr>
  </w:style>
  <w:style w:type="table" w:styleId="PlainTable1">
    <w:name w:val="Plain Table 1"/>
    <w:basedOn w:val="TableNormal"/>
    <w:uiPriority w:val="41"/>
    <w:rsid w:val="00A60D4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tion">
    <w:name w:val="Mention"/>
    <w:basedOn w:val="DefaultParagraphFont"/>
    <w:uiPriority w:val="99"/>
    <w:unhideWhenUsed/>
    <w:rsid w:val="00A60D4B"/>
    <w:rPr>
      <w:color w:val="2B579A"/>
      <w:shd w:val="clear" w:color="auto" w:fill="E1DFDD"/>
    </w:rPr>
  </w:style>
  <w:style w:type="paragraph" w:customStyle="1" w:styleId="BSnotetext">
    <w:name w:val="BS_note text"/>
    <w:basedOn w:val="BSnote"/>
    <w:link w:val="BSnotetextChar"/>
    <w:qFormat/>
    <w:rsid w:val="00A60D4B"/>
    <w:rPr>
      <w:b w:val="0"/>
    </w:rPr>
  </w:style>
  <w:style w:type="character" w:customStyle="1" w:styleId="BSnotetextChar">
    <w:name w:val="BS_note text Char"/>
    <w:link w:val="BSnotetext"/>
    <w:rsid w:val="00A60D4B"/>
    <w:rPr>
      <w:rFonts w:ascii="Calibri" w:eastAsia="Times New Roman" w:hAnsi="Calibri" w:cs="Times New Roman"/>
      <w:sz w:val="18"/>
      <w:szCs w:val="16"/>
      <w:lang w:val="x-none"/>
    </w:rPr>
  </w:style>
  <w:style w:type="paragraph" w:customStyle="1" w:styleId="paragraph">
    <w:name w:val="paragraph"/>
    <w:basedOn w:val="Normal"/>
    <w:rsid w:val="00A60D4B"/>
    <w:pPr>
      <w:spacing w:before="100" w:beforeAutospacing="1" w:after="100" w:afterAutospacing="1" w:line="240" w:lineRule="auto"/>
    </w:pPr>
    <w:rPr>
      <w:rFonts w:ascii="Calibri" w:hAnsi="Calibri" w:cs="Calibri"/>
      <w:lang w:eastAsia="en-AU"/>
    </w:rPr>
  </w:style>
  <w:style w:type="character" w:customStyle="1" w:styleId="eop">
    <w:name w:val="eop"/>
    <w:basedOn w:val="DefaultParagraphFont"/>
    <w:rsid w:val="00A60D4B"/>
  </w:style>
  <w:style w:type="paragraph" w:customStyle="1" w:styleId="Initiativefigures">
    <w:name w:val="Initiative figures"/>
    <w:basedOn w:val="Btablefigureunbold"/>
    <w:qFormat/>
    <w:rsid w:val="00A60D4B"/>
    <w:rPr>
      <w:sz w:val="22"/>
    </w:rPr>
  </w:style>
  <w:style w:type="paragraph" w:customStyle="1" w:styleId="Initiativetext">
    <w:name w:val="Initiative text"/>
    <w:basedOn w:val="Initiativefigures"/>
    <w:qFormat/>
    <w:rsid w:val="00A60D4B"/>
    <w:pPr>
      <w:jc w:val="left"/>
    </w:pPr>
  </w:style>
  <w:style w:type="paragraph" w:customStyle="1" w:styleId="CSKeyInfoTalkingPoints">
    <w:name w:val="CS Key Info Talking Points"/>
    <w:basedOn w:val="CSTalkingPoints"/>
    <w:qFormat/>
    <w:rsid w:val="00A60D4B"/>
    <w:pPr>
      <w:numPr>
        <w:numId w:val="39"/>
      </w:numPr>
    </w:pPr>
    <w:rPr>
      <w:rFonts w:asciiTheme="minorHAnsi" w:hAnsiTheme="minorHAnsi" w:cstheme="minorBidi"/>
      <w:sz w:val="24"/>
      <w:szCs w:val="22"/>
    </w:rPr>
  </w:style>
  <w:style w:type="paragraph" w:customStyle="1" w:styleId="Intro">
    <w:name w:val="Intro"/>
    <w:basedOn w:val="Normal"/>
    <w:rsid w:val="00A60D4B"/>
    <w:pPr>
      <w:spacing w:after="200" w:line="300" w:lineRule="exact"/>
    </w:pPr>
    <w:rPr>
      <w:rFonts w:cs="Times New Roman"/>
      <w:color w:val="E7E6E6" w:themeColor="background2"/>
      <w:w w:val="110"/>
      <w:sz w:val="25"/>
      <w:szCs w:val="24"/>
      <w:lang w:eastAsia="en-AU"/>
    </w:rPr>
  </w:style>
  <w:style w:type="paragraph" w:customStyle="1" w:styleId="CSNarrative">
    <w:name w:val="CS Narrative"/>
    <w:basedOn w:val="Normal"/>
    <w:qFormat/>
    <w:rsid w:val="00A60D4B"/>
    <w:rPr>
      <w:i/>
      <w:iCs/>
      <w:color w:val="FF0000"/>
      <w:lang w:eastAsia="en-AU"/>
    </w:rPr>
  </w:style>
  <w:style w:type="paragraph" w:customStyle="1" w:styleId="BNotelistcopy">
    <w:name w:val="B_Note list copy"/>
    <w:basedOn w:val="BNotelist"/>
    <w:qFormat/>
    <w:rsid w:val="00A60D4B"/>
  </w:style>
  <w:style w:type="paragraph" w:customStyle="1" w:styleId="BNoteboldcopy">
    <w:name w:val="B_Note bold copy"/>
    <w:basedOn w:val="BNoteBold"/>
    <w:qFormat/>
    <w:rsid w:val="00A60D4B"/>
  </w:style>
  <w:style w:type="paragraph" w:customStyle="1" w:styleId="Heading3-capitalchapter">
    <w:name w:val="Heading 3 - capital chapter"/>
    <w:basedOn w:val="Heading3"/>
    <w:qFormat/>
    <w:rsid w:val="00A60D4B"/>
    <w:rPr>
      <w:bCs/>
      <w:i/>
      <w:iCs/>
      <w:color w:val="auto"/>
      <w:sz w:val="24"/>
    </w:rPr>
  </w:style>
  <w:style w:type="paragraph" w:customStyle="1" w:styleId="Btabletextbold-9point">
    <w:name w:val="B_table text bold - 9 point"/>
    <w:basedOn w:val="Btabletextbold"/>
    <w:qFormat/>
    <w:rsid w:val="00A60D4B"/>
    <w:pPr>
      <w:keepNext/>
    </w:pPr>
    <w:rPr>
      <w:sz w:val="18"/>
    </w:rPr>
  </w:style>
  <w:style w:type="paragraph" w:customStyle="1" w:styleId="TableHeadingRowRightAligned">
    <w:name w:val="Table Heading Row Right Aligned"/>
    <w:basedOn w:val="Normal"/>
    <w:qFormat/>
    <w:rsid w:val="00A60D4B"/>
    <w:pPr>
      <w:spacing w:after="0" w:line="240" w:lineRule="auto"/>
      <w:ind w:left="227" w:hanging="227"/>
      <w:jc w:val="right"/>
    </w:pPr>
    <w:rPr>
      <w:rFonts w:ascii="Calibri" w:hAnsi="Calibri"/>
      <w:b/>
      <w:sz w:val="20"/>
    </w:rPr>
  </w:style>
  <w:style w:type="paragraph" w:customStyle="1" w:styleId="TabletextBold">
    <w:name w:val="Table text Bold"/>
    <w:basedOn w:val="Normal"/>
    <w:qFormat/>
    <w:rsid w:val="00A60D4B"/>
    <w:pPr>
      <w:spacing w:after="0" w:line="240" w:lineRule="auto"/>
      <w:ind w:left="227" w:hanging="227"/>
    </w:pPr>
    <w:rPr>
      <w:rFonts w:ascii="Calibri" w:hAnsi="Calibri"/>
      <w:b/>
      <w:sz w:val="20"/>
    </w:rPr>
  </w:style>
  <w:style w:type="paragraph" w:customStyle="1" w:styleId="Tablefigure">
    <w:name w:val="Table figure"/>
    <w:basedOn w:val="Normal"/>
    <w:qFormat/>
    <w:rsid w:val="00A60D4B"/>
    <w:pPr>
      <w:spacing w:after="0" w:line="240" w:lineRule="auto"/>
      <w:ind w:left="227" w:hanging="227"/>
      <w:jc w:val="right"/>
    </w:pPr>
    <w:rPr>
      <w:rFonts w:ascii="Calibri" w:hAnsi="Calibri"/>
      <w:sz w:val="20"/>
    </w:rPr>
  </w:style>
  <w:style w:type="paragraph" w:customStyle="1" w:styleId="FinancialStatementHeading">
    <w:name w:val="Financial Statement Heading"/>
    <w:basedOn w:val="Heading3"/>
    <w:qFormat/>
    <w:rsid w:val="00A60D4B"/>
    <w:pPr>
      <w:spacing w:before="0" w:after="0"/>
      <w:jc w:val="center"/>
    </w:pPr>
    <w:rPr>
      <w:color w:val="auto"/>
      <w:sz w:val="28"/>
    </w:rPr>
  </w:style>
  <w:style w:type="paragraph" w:customStyle="1" w:styleId="TableText0">
    <w:name w:val="Table Text"/>
    <w:basedOn w:val="TabletextBold"/>
    <w:qFormat/>
    <w:rsid w:val="00A60D4B"/>
    <w:rPr>
      <w:b w:val="0"/>
    </w:rPr>
  </w:style>
  <w:style w:type="paragraph" w:customStyle="1" w:styleId="Tabletextindent0">
    <w:name w:val="Table text indent"/>
    <w:basedOn w:val="TableText0"/>
    <w:qFormat/>
    <w:rsid w:val="00A60D4B"/>
    <w:pPr>
      <w:ind w:left="397"/>
    </w:pPr>
  </w:style>
  <w:style w:type="paragraph" w:customStyle="1" w:styleId="Tablefigurebold">
    <w:name w:val="Table figure bold"/>
    <w:basedOn w:val="Tablefigure"/>
    <w:qFormat/>
    <w:rsid w:val="00A60D4B"/>
    <w:rPr>
      <w:b/>
      <w:bCs/>
    </w:rPr>
  </w:style>
  <w:style w:type="paragraph" w:customStyle="1" w:styleId="TableTextItalic">
    <w:name w:val="Table Text Italic"/>
    <w:basedOn w:val="TableText0"/>
    <w:qFormat/>
    <w:rsid w:val="00A60D4B"/>
    <w:rPr>
      <w:i/>
      <w:iCs/>
    </w:rPr>
  </w:style>
  <w:style w:type="paragraph" w:customStyle="1" w:styleId="TablefigureItalic">
    <w:name w:val="Table figure Italic"/>
    <w:basedOn w:val="Tablefigure"/>
    <w:qFormat/>
    <w:rsid w:val="00A60D4B"/>
    <w:rPr>
      <w:i/>
      <w:iCs/>
    </w:rPr>
  </w:style>
  <w:style w:type="paragraph" w:customStyle="1" w:styleId="Tabletextbolditalic">
    <w:name w:val="Table text bold italic"/>
    <w:basedOn w:val="TableText0"/>
    <w:rsid w:val="00A60D4B"/>
    <w:rPr>
      <w:b/>
      <w:bCs/>
      <w:i/>
      <w:iCs/>
    </w:rPr>
  </w:style>
  <w:style w:type="paragraph" w:customStyle="1" w:styleId="BStablefiguresitalics">
    <w:name w:val="BS_table figures italics"/>
    <w:basedOn w:val="Normal"/>
    <w:link w:val="BStablefiguresitalicsChar"/>
    <w:qFormat/>
    <w:rsid w:val="00A60D4B"/>
    <w:pPr>
      <w:spacing w:after="0" w:line="240" w:lineRule="auto"/>
      <w:ind w:left="34" w:hanging="142"/>
      <w:jc w:val="right"/>
    </w:pPr>
    <w:rPr>
      <w:rFonts w:ascii="Calibri" w:eastAsia="Times New Roman" w:hAnsi="Calibri" w:cs="Times New Roman"/>
      <w:i/>
      <w:color w:val="000000"/>
      <w:sz w:val="20"/>
      <w:szCs w:val="20"/>
      <w:lang w:val="x-none"/>
    </w:rPr>
  </w:style>
  <w:style w:type="paragraph" w:customStyle="1" w:styleId="Footnote">
    <w:name w:val="Footnote"/>
    <w:basedOn w:val="FootnoteText"/>
    <w:qFormat/>
    <w:rsid w:val="00A60D4B"/>
    <w:pPr>
      <w:spacing w:before="200" w:after="200"/>
    </w:pPr>
    <w:rPr>
      <w:rFonts w:ascii="Calibri" w:eastAsia="Times New Roman" w:hAnsi="Calibri" w:cs="Times New Roman"/>
      <w:sz w:val="16"/>
      <w:lang w:val="x-none"/>
    </w:rPr>
  </w:style>
  <w:style w:type="character" w:customStyle="1" w:styleId="BStablefiguresitalicsChar">
    <w:name w:val="BS_table figures italics Char"/>
    <w:link w:val="BStablefiguresitalics"/>
    <w:rsid w:val="00A60D4B"/>
    <w:rPr>
      <w:rFonts w:ascii="Calibri" w:eastAsia="Times New Roman" w:hAnsi="Calibri" w:cs="Times New Roman"/>
      <w:i/>
      <w:color w:val="000000"/>
      <w:sz w:val="20"/>
      <w:szCs w:val="20"/>
      <w:lang w:val="x-none"/>
    </w:rPr>
  </w:style>
  <w:style w:type="paragraph" w:customStyle="1" w:styleId="BStabletextindented">
    <w:name w:val="BS_table text indented"/>
    <w:basedOn w:val="BStabletext"/>
    <w:rsid w:val="00A60D4B"/>
    <w:pPr>
      <w:ind w:left="947" w:hanging="686"/>
    </w:pPr>
    <w:rPr>
      <w:rFonts w:cs="Calibri"/>
      <w:b/>
      <w:bCs w:val="0"/>
      <w:color w:val="000000"/>
      <w:sz w:val="18"/>
      <w:szCs w:val="18"/>
    </w:rPr>
  </w:style>
  <w:style w:type="paragraph" w:customStyle="1" w:styleId="BStextitalic">
    <w:name w:val="BS_text italic"/>
    <w:basedOn w:val="Normal"/>
    <w:qFormat/>
    <w:rsid w:val="00A60D4B"/>
    <w:pPr>
      <w:spacing w:after="0" w:line="240" w:lineRule="auto"/>
      <w:ind w:left="227" w:hanging="227"/>
    </w:pPr>
    <w:rPr>
      <w:rFonts w:ascii="Calibri" w:eastAsia="Times New Roman" w:hAnsi="Calibri" w:cs="Calibri"/>
      <w:i/>
      <w:sz w:val="20"/>
      <w:szCs w:val="20"/>
      <w:lang w:val="x-none"/>
    </w:rPr>
  </w:style>
  <w:style w:type="paragraph" w:customStyle="1" w:styleId="Bctablefiguresitalicsunbold">
    <w:name w:val="Bc table figures italics unbold"/>
    <w:basedOn w:val="Normal"/>
    <w:qFormat/>
    <w:rsid w:val="00A60D4B"/>
    <w:pPr>
      <w:spacing w:after="0" w:line="240" w:lineRule="auto"/>
      <w:ind w:left="227" w:hanging="227"/>
      <w:jc w:val="right"/>
    </w:pPr>
    <w:rPr>
      <w:rFonts w:ascii="Calibri" w:eastAsia="Times New Roman" w:hAnsi="Calibri" w:cs="Times New Roman"/>
      <w:i/>
      <w:sz w:val="20"/>
      <w:szCs w:val="20"/>
    </w:rPr>
  </w:style>
  <w:style w:type="paragraph" w:customStyle="1" w:styleId="bctablefiguresitalicsunbold0">
    <w:name w:val="bc table figures italics unbold"/>
    <w:basedOn w:val="Normal"/>
    <w:qFormat/>
    <w:rsid w:val="00A60D4B"/>
    <w:pPr>
      <w:spacing w:after="0" w:line="240" w:lineRule="auto"/>
      <w:ind w:left="227" w:hanging="227"/>
      <w:jc w:val="right"/>
    </w:pPr>
    <w:rPr>
      <w:rFonts w:ascii="Calibri" w:eastAsia="Times New Roman" w:hAnsi="Calibri" w:cs="Times New Roman"/>
      <w:i/>
      <w:sz w:val="20"/>
      <w:szCs w:val="20"/>
    </w:rPr>
  </w:style>
  <w:style w:type="paragraph" w:customStyle="1" w:styleId="BSConsultationTabletext">
    <w:name w:val="BS Consultation Table text"/>
    <w:basedOn w:val="Normal"/>
    <w:qFormat/>
    <w:rsid w:val="00A60D4B"/>
    <w:pPr>
      <w:spacing w:after="60" w:line="240" w:lineRule="auto"/>
    </w:pPr>
    <w:rPr>
      <w:rFonts w:ascii="Calibri" w:eastAsia="Times New Roman" w:hAnsi="Calibri" w:cs="Times New Roman"/>
      <w:sz w:val="24"/>
      <w:szCs w:val="20"/>
      <w:lang w:eastAsia="en-AU"/>
    </w:rPr>
  </w:style>
  <w:style w:type="paragraph" w:customStyle="1" w:styleId="BSNoteunbold">
    <w:name w:val="BS Note unbold"/>
    <w:basedOn w:val="Normal"/>
    <w:qFormat/>
    <w:rsid w:val="00A60D4B"/>
    <w:pPr>
      <w:keepLines/>
      <w:spacing w:before="120" w:after="200" w:line="240" w:lineRule="auto"/>
    </w:pPr>
    <w:rPr>
      <w:rFonts w:ascii="Calibri" w:eastAsia="Times New Roman" w:hAnsi="Calibri" w:cs="Times New Roman"/>
      <w:sz w:val="18"/>
      <w:szCs w:val="20"/>
    </w:rPr>
  </w:style>
  <w:style w:type="paragraph" w:customStyle="1" w:styleId="BStableitalicsboldleft">
    <w:name w:val="BS_table_italics_bold_left"/>
    <w:basedOn w:val="BStabletextunbold"/>
    <w:qFormat/>
    <w:rsid w:val="00A60D4B"/>
    <w:rPr>
      <w:rFonts w:cs="Arial"/>
      <w:b/>
      <w:i/>
      <w:color w:val="000000"/>
      <w:szCs w:val="18"/>
      <w:lang w:eastAsia="x-none"/>
    </w:rPr>
  </w:style>
  <w:style w:type="paragraph" w:customStyle="1" w:styleId="TableTextLeftLevel1">
    <w:name w:val="Table Text Left Level 1"/>
    <w:basedOn w:val="Normal"/>
    <w:link w:val="TableTextLeftLevel1CharChar"/>
    <w:autoRedefine/>
    <w:rsid w:val="00A60D4B"/>
    <w:pPr>
      <w:tabs>
        <w:tab w:val="left" w:pos="2212"/>
      </w:tabs>
      <w:spacing w:before="10" w:after="10" w:line="240" w:lineRule="auto"/>
      <w:ind w:left="113" w:hanging="113"/>
    </w:pPr>
    <w:rPr>
      <w:rFonts w:ascii="Calibri" w:eastAsia="SimSun" w:hAnsi="Calibri" w:cs="Times New Roman"/>
      <w:sz w:val="18"/>
      <w:szCs w:val="18"/>
      <w:lang w:val="x-none"/>
    </w:rPr>
  </w:style>
  <w:style w:type="character" w:customStyle="1" w:styleId="TableTextLeftLevel1CharChar">
    <w:name w:val="Table Text Left Level 1 Char Char"/>
    <w:link w:val="TableTextLeftLevel1"/>
    <w:rsid w:val="00A60D4B"/>
    <w:rPr>
      <w:rFonts w:ascii="Calibri" w:eastAsia="SimSun" w:hAnsi="Calibri" w:cs="Times New Roman"/>
      <w:sz w:val="18"/>
      <w:szCs w:val="18"/>
      <w:lang w:val="x-none"/>
    </w:rPr>
  </w:style>
  <w:style w:type="paragraph" w:customStyle="1" w:styleId="mcentrednonbold">
    <w:name w:val="$m centred non bold"/>
    <w:basedOn w:val="mcentred"/>
    <w:link w:val="mcentrednonboldChar"/>
    <w:qFormat/>
    <w:rsid w:val="00A60D4B"/>
    <w:rPr>
      <w:szCs w:val="24"/>
    </w:rPr>
  </w:style>
  <w:style w:type="character" w:customStyle="1" w:styleId="BStablefiguresunboldChar">
    <w:name w:val="BS_table figures unbold Char"/>
    <w:link w:val="BStablefiguresunbold"/>
    <w:rsid w:val="00A60D4B"/>
    <w:rPr>
      <w:rFonts w:ascii="Calibri" w:eastAsia="Times New Roman" w:hAnsi="Calibri" w:cs="Times New Roman"/>
      <w:sz w:val="20"/>
      <w:szCs w:val="24"/>
      <w:lang w:val="x-none"/>
    </w:rPr>
  </w:style>
  <w:style w:type="character" w:customStyle="1" w:styleId="mcentredChar">
    <w:name w:val="$m centred Char"/>
    <w:link w:val="mcentred"/>
    <w:rsid w:val="00A60D4B"/>
    <w:rPr>
      <w:rFonts w:ascii="Calibri" w:eastAsia="Times New Roman" w:hAnsi="Calibri" w:cs="Times New Roman"/>
      <w:b/>
      <w:sz w:val="20"/>
      <w:szCs w:val="20"/>
      <w:lang w:val="x-none"/>
    </w:rPr>
  </w:style>
  <w:style w:type="character" w:customStyle="1" w:styleId="mcentrednonboldChar">
    <w:name w:val="$m centred non bold Char"/>
    <w:basedOn w:val="mcentredChar"/>
    <w:link w:val="mcentrednonbold"/>
    <w:rsid w:val="00A60D4B"/>
    <w:rPr>
      <w:rFonts w:ascii="Calibri" w:eastAsia="Times New Roman" w:hAnsi="Calibri" w:cs="Times New Roman"/>
      <w:b/>
      <w:sz w:val="20"/>
      <w:szCs w:val="24"/>
      <w:lang w:val="x-none"/>
    </w:rPr>
  </w:style>
  <w:style w:type="paragraph" w:customStyle="1" w:styleId="BStabletextindent">
    <w:name w:val="BS_table_text_indent"/>
    <w:basedOn w:val="BStabletext"/>
    <w:qFormat/>
    <w:rsid w:val="00A60D4B"/>
    <w:pPr>
      <w:ind w:left="454"/>
    </w:pPr>
    <w:rPr>
      <w:b/>
      <w:bCs w:val="0"/>
      <w:lang w:val="x-none" w:eastAsia="en-US"/>
    </w:rPr>
  </w:style>
  <w:style w:type="paragraph" w:customStyle="1" w:styleId="BStablefiguresitalicsbold">
    <w:name w:val="BS_table_figures_italics_bold"/>
    <w:basedOn w:val="BStablefiguresbolditalics"/>
    <w:qFormat/>
    <w:rsid w:val="00A60D4B"/>
    <w:rPr>
      <w:szCs w:val="24"/>
      <w:lang w:eastAsia="en-AU"/>
    </w:rPr>
  </w:style>
  <w:style w:type="paragraph" w:customStyle="1" w:styleId="BStabletextitalicsbold">
    <w:name w:val="BS_table_text_italics_bold"/>
    <w:basedOn w:val="BStabletext"/>
    <w:qFormat/>
    <w:rsid w:val="00A60D4B"/>
    <w:rPr>
      <w:bCs w:val="0"/>
      <w:i/>
      <w:lang w:val="x-none" w:eastAsia="en-US"/>
    </w:rPr>
  </w:style>
  <w:style w:type="paragraph" w:customStyle="1" w:styleId="BStabletextitalics">
    <w:name w:val="BS_table text italics"/>
    <w:basedOn w:val="BStabletext"/>
    <w:qFormat/>
    <w:rsid w:val="00A60D4B"/>
    <w:rPr>
      <w:b/>
      <w:bCs w:val="0"/>
      <w:i/>
      <w:lang w:val="x-none" w:eastAsia="en-US"/>
    </w:rPr>
  </w:style>
  <w:style w:type="paragraph" w:customStyle="1" w:styleId="BStablefiguresbolditalics0">
    <w:name w:val="BS_table_figures_bold_italics"/>
    <w:basedOn w:val="BStablefiguresitalics"/>
    <w:qFormat/>
    <w:rsid w:val="00A60D4B"/>
    <w:pPr>
      <w:ind w:left="227" w:hanging="227"/>
    </w:pPr>
    <w:rPr>
      <w:b/>
      <w:color w:val="auto"/>
      <w:szCs w:val="24"/>
      <w:lang w:eastAsia="en-AU"/>
    </w:rPr>
  </w:style>
  <w:style w:type="paragraph" w:customStyle="1" w:styleId="BStabletextbolditalics0">
    <w:name w:val="BS_table_text_bold_italics"/>
    <w:basedOn w:val="BStabletextitalics"/>
    <w:qFormat/>
    <w:rsid w:val="00A60D4B"/>
    <w:rPr>
      <w:b w:val="0"/>
    </w:rPr>
  </w:style>
  <w:style w:type="paragraph" w:customStyle="1" w:styleId="BStabletextindent0">
    <w:name w:val="BS_table text indent"/>
    <w:basedOn w:val="Normal"/>
    <w:qFormat/>
    <w:rsid w:val="00A60D4B"/>
    <w:pPr>
      <w:spacing w:after="0" w:line="240" w:lineRule="auto"/>
      <w:ind w:left="454" w:hanging="227"/>
    </w:pPr>
    <w:rPr>
      <w:rFonts w:ascii="Calibri" w:eastAsia="Times New Roman" w:hAnsi="Calibri" w:cs="Times New Roman"/>
      <w:bCs/>
      <w:sz w:val="20"/>
      <w:szCs w:val="20"/>
      <w:lang w:val="x-none"/>
    </w:rPr>
  </w:style>
  <w:style w:type="paragraph" w:customStyle="1" w:styleId="xbbodytext">
    <w:name w:val="x_bbodytext"/>
    <w:basedOn w:val="Normal"/>
    <w:rsid w:val="00A60D4B"/>
    <w:pPr>
      <w:spacing w:before="120" w:after="120" w:line="240" w:lineRule="auto"/>
    </w:pPr>
    <w:rPr>
      <w:rFonts w:ascii="Calibri" w:hAnsi="Calibri" w:cs="Calibri"/>
      <w:sz w:val="24"/>
      <w:szCs w:val="24"/>
      <w:lang w:eastAsia="en-AU"/>
    </w:rPr>
  </w:style>
  <w:style w:type="paragraph" w:customStyle="1" w:styleId="Btablefigurebold0">
    <w:name w:val="B_table figure bold"/>
    <w:basedOn w:val="Btablefigureunbold"/>
    <w:qFormat/>
    <w:rsid w:val="00A60D4B"/>
    <w:rPr>
      <w:b/>
    </w:rPr>
  </w:style>
  <w:style w:type="paragraph" w:customStyle="1" w:styleId="BTablefigurebolditalic">
    <w:name w:val="B_Table figure bold italic"/>
    <w:basedOn w:val="BTablefigureBold"/>
    <w:qFormat/>
    <w:rsid w:val="00A60D4B"/>
    <w:rPr>
      <w:i/>
    </w:rPr>
  </w:style>
  <w:style w:type="paragraph" w:customStyle="1" w:styleId="xmsolistparagraph">
    <w:name w:val="x_msolistparagraph"/>
    <w:basedOn w:val="Normal"/>
    <w:uiPriority w:val="99"/>
    <w:semiHidden/>
    <w:rsid w:val="00A60D4B"/>
    <w:pPr>
      <w:spacing w:after="0" w:line="240" w:lineRule="auto"/>
      <w:ind w:left="720"/>
    </w:pPr>
    <w:rPr>
      <w:rFonts w:ascii="Calibri" w:hAnsi="Calibri" w:cs="Calibri"/>
      <w:lang w:eastAsia="en-AU"/>
    </w:rPr>
  </w:style>
  <w:style w:type="paragraph" w:customStyle="1" w:styleId="xparagraph">
    <w:name w:val="x_paragraph"/>
    <w:basedOn w:val="Normal"/>
    <w:uiPriority w:val="99"/>
    <w:semiHidden/>
    <w:rsid w:val="00A60D4B"/>
    <w:pPr>
      <w:spacing w:before="100" w:beforeAutospacing="1" w:after="100" w:afterAutospacing="1" w:line="240" w:lineRule="auto"/>
    </w:pPr>
    <w:rPr>
      <w:rFonts w:ascii="Calibri" w:hAnsi="Calibri" w:cs="Calibri"/>
      <w:lang w:eastAsia="en-AU"/>
    </w:rPr>
  </w:style>
  <w:style w:type="character" w:customStyle="1" w:styleId="xnormaltextrun">
    <w:name w:val="x_normaltextrun"/>
    <w:basedOn w:val="DefaultParagraphFont"/>
    <w:rsid w:val="00A60D4B"/>
  </w:style>
  <w:style w:type="character" w:customStyle="1" w:styleId="xscxw41101580">
    <w:name w:val="x_scxw41101580"/>
    <w:basedOn w:val="DefaultParagraphFont"/>
    <w:rsid w:val="00A60D4B"/>
  </w:style>
  <w:style w:type="character" w:customStyle="1" w:styleId="xeop">
    <w:name w:val="x_eop"/>
    <w:basedOn w:val="DefaultParagraphFont"/>
    <w:rsid w:val="00A60D4B"/>
  </w:style>
  <w:style w:type="character" w:customStyle="1" w:styleId="ARbullet1Char">
    <w:name w:val="AR_bullet 1 Char"/>
    <w:basedOn w:val="DefaultParagraphFont"/>
    <w:link w:val="ARbullet1"/>
    <w:locked/>
    <w:rsid w:val="00A60D4B"/>
    <w:rPr>
      <w:rFonts w:ascii="Calibri" w:hAnsi="Calibri" w:cs="Calibri"/>
      <w:color w:val="191919"/>
    </w:rPr>
  </w:style>
  <w:style w:type="paragraph" w:customStyle="1" w:styleId="ARbullet1">
    <w:name w:val="AR_bullet 1"/>
    <w:basedOn w:val="Normal"/>
    <w:link w:val="ARbullet1Char"/>
    <w:rsid w:val="00A60D4B"/>
    <w:pPr>
      <w:spacing w:after="60" w:line="240" w:lineRule="auto"/>
      <w:ind w:left="720" w:hanging="360"/>
    </w:pPr>
    <w:rPr>
      <w:rFonts w:ascii="Calibri" w:hAnsi="Calibri" w:cs="Calibri"/>
      <w:color w:val="191919"/>
    </w:rPr>
  </w:style>
  <w:style w:type="paragraph" w:customStyle="1" w:styleId="ARbullet2">
    <w:name w:val="AR_bullet 2"/>
    <w:basedOn w:val="Normal"/>
    <w:rsid w:val="00A60D4B"/>
    <w:pPr>
      <w:spacing w:after="60" w:line="240" w:lineRule="auto"/>
      <w:ind w:left="1440" w:hanging="360"/>
    </w:pPr>
    <w:rPr>
      <w:rFonts w:ascii="Calibri" w:hAnsi="Calibri" w:cs="Calibri"/>
      <w:color w:val="191919"/>
      <w:sz w:val="20"/>
      <w:szCs w:val="20"/>
      <w:lang w:eastAsia="en-AU"/>
    </w:rPr>
  </w:style>
  <w:style w:type="paragraph" w:customStyle="1" w:styleId="ARbullet3">
    <w:name w:val="AR_bullet 3"/>
    <w:basedOn w:val="Normal"/>
    <w:rsid w:val="00A60D4B"/>
    <w:pPr>
      <w:spacing w:after="60" w:line="240" w:lineRule="auto"/>
      <w:ind w:left="2160" w:hanging="360"/>
    </w:pPr>
    <w:rPr>
      <w:rFonts w:ascii="Calibri" w:hAnsi="Calibri" w:cs="Calibri"/>
      <w:color w:val="191919"/>
      <w:sz w:val="20"/>
      <w:szCs w:val="20"/>
      <w:lang w:eastAsia="en-AU"/>
    </w:rPr>
  </w:style>
  <w:style w:type="numbering" w:customStyle="1" w:styleId="ARTable-Bullet-List">
    <w:name w:val="AR_Table-Bullet-List"/>
    <w:uiPriority w:val="99"/>
    <w:rsid w:val="00A60D4B"/>
    <w:pPr>
      <w:numPr>
        <w:numId w:val="73"/>
      </w:numPr>
    </w:pPr>
  </w:style>
  <w:style w:type="character" w:customStyle="1" w:styleId="A6">
    <w:name w:val="A6"/>
    <w:uiPriority w:val="99"/>
    <w:rsid w:val="00A60D4B"/>
    <w:rPr>
      <w:rFonts w:cs="Source Sans Pro Light"/>
      <w:color w:val="000000"/>
      <w:sz w:val="21"/>
      <w:szCs w:val="2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3497913">
      <w:bodyDiv w:val="1"/>
      <w:marLeft w:val="0"/>
      <w:marRight w:val="0"/>
      <w:marTop w:val="0"/>
      <w:marBottom w:val="0"/>
      <w:divBdr>
        <w:top w:val="none" w:sz="0" w:space="0" w:color="auto"/>
        <w:left w:val="none" w:sz="0" w:space="0" w:color="auto"/>
        <w:bottom w:val="none" w:sz="0" w:space="0" w:color="auto"/>
        <w:right w:val="none" w:sz="0" w:space="0" w:color="auto"/>
      </w:divBdr>
    </w:div>
    <w:div w:id="1941185239">
      <w:bodyDiv w:val="1"/>
      <w:marLeft w:val="0"/>
      <w:marRight w:val="0"/>
      <w:marTop w:val="0"/>
      <w:marBottom w:val="0"/>
      <w:divBdr>
        <w:top w:val="none" w:sz="0" w:space="0" w:color="auto"/>
        <w:left w:val="none" w:sz="0" w:space="0" w:color="auto"/>
        <w:bottom w:val="none" w:sz="0" w:space="0" w:color="auto"/>
        <w:right w:val="none" w:sz="0" w:space="0" w:color="auto"/>
      </w:divBdr>
      <w:divsChild>
        <w:div w:id="959456445">
          <w:marLeft w:val="0"/>
          <w:marRight w:val="0"/>
          <w:marTop w:val="0"/>
          <w:marBottom w:val="0"/>
          <w:divBdr>
            <w:top w:val="none" w:sz="0" w:space="0" w:color="auto"/>
            <w:left w:val="none" w:sz="0" w:space="0" w:color="auto"/>
            <w:bottom w:val="none" w:sz="0" w:space="0" w:color="auto"/>
            <w:right w:val="none" w:sz="0" w:space="0" w:color="auto"/>
          </w:divBdr>
        </w:div>
      </w:divsChild>
    </w:div>
    <w:div w:id="2134664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file:////Users/rachealbruhn/Desktop/BUDGET/photos/Gungahlin%20WIC.JPG" TargetMode="External"/><Relationship Id="rId117" Type="http://schemas.openxmlformats.org/officeDocument/2006/relationships/image" Target="media/image55.jpeg"/><Relationship Id="rId21" Type="http://schemas.openxmlformats.org/officeDocument/2006/relationships/image" Target="media/image6.png"/><Relationship Id="rId42" Type="http://schemas.openxmlformats.org/officeDocument/2006/relationships/image" Target="file:////Users/rachealbruhn/Desktop/BUDGET/photos/Amaroo%20School_21_069%20hr.jpeg" TargetMode="External"/><Relationship Id="rId47" Type="http://schemas.openxmlformats.org/officeDocument/2006/relationships/image" Target="media/image19.jpeg"/><Relationship Id="rId63" Type="http://schemas.openxmlformats.org/officeDocument/2006/relationships/image" Target="media/image25.png"/><Relationship Id="rId68" Type="http://schemas.openxmlformats.org/officeDocument/2006/relationships/image" Target="file:////Users/rachealbruhn/Desktop/BUDGET/photos/tuggeranong%20south%20Greenway%20%20%200883.jpeg" TargetMode="External"/><Relationship Id="rId84" Type="http://schemas.openxmlformats.org/officeDocument/2006/relationships/image" Target="media/image36.jpeg"/><Relationship Id="rId89" Type="http://schemas.openxmlformats.org/officeDocument/2006/relationships/image" Target="file:////Users/rachealbruhn/Desktop/BUDGET/photos/51117909362_5da95b82bd_o%20(1).jpg" TargetMode="External"/><Relationship Id="rId112" Type="http://schemas.openxmlformats.org/officeDocument/2006/relationships/image" Target="media/image50.jpeg"/><Relationship Id="rId133" Type="http://schemas.openxmlformats.org/officeDocument/2006/relationships/hyperlink" Target="https://www.energymadeeasy.gov.au/" TargetMode="External"/><Relationship Id="rId138" Type="http://schemas.openxmlformats.org/officeDocument/2006/relationships/header" Target="header2.xml"/><Relationship Id="rId154" Type="http://schemas.openxmlformats.org/officeDocument/2006/relationships/image" Target="media/image70.png"/><Relationship Id="rId159" Type="http://schemas.openxmlformats.org/officeDocument/2006/relationships/header" Target="header3.xml"/><Relationship Id="rId175" Type="http://schemas.openxmlformats.org/officeDocument/2006/relationships/chart" Target="charts/chart19.xml"/><Relationship Id="rId170" Type="http://schemas.openxmlformats.org/officeDocument/2006/relationships/hyperlink" Target="https://www.planning.act.gov.au/planning-our-city/land-release" TargetMode="External"/><Relationship Id="rId16" Type="http://schemas.openxmlformats.org/officeDocument/2006/relationships/image" Target="file:////Users/rachealbruhn/Desktop/BUDGET/photos/CHE_View03_Aerial-resized%20(A29598150).jpg" TargetMode="External"/><Relationship Id="rId107" Type="http://schemas.openxmlformats.org/officeDocument/2006/relationships/image" Target="media/image47.png"/><Relationship Id="rId11" Type="http://schemas.openxmlformats.org/officeDocument/2006/relationships/footer" Target="footer1.xml"/><Relationship Id="rId32" Type="http://schemas.openxmlformats.org/officeDocument/2006/relationships/image" Target="file:////Users/rachealbruhn/Desktop/BUDGET/Infographics%20V2%20wellbeing/Educatin%20and%20Life-long%202.png" TargetMode="External"/><Relationship Id="rId37" Type="http://schemas.openxmlformats.org/officeDocument/2006/relationships/image" Target="media/image14.png"/><Relationship Id="rId53" Type="http://schemas.openxmlformats.org/officeDocument/2006/relationships/image" Target="media/image22.jpeg"/><Relationship Id="rId58" Type="http://schemas.openxmlformats.org/officeDocument/2006/relationships/hyperlink" Target="https://www.treasury.act.gov.au/__data/assets/pdf_file/0003/1870284/2021-22-Aboriginal-and-Torres-Strait-Islander-Budget-Statement.pdf" TargetMode="External"/><Relationship Id="rId74" Type="http://schemas.openxmlformats.org/officeDocument/2006/relationships/image" Target="file:////Users/rachealbruhn/Desktop/BUDGET/Budget%20infographics%20part%202%20png%20files/65%20emergency%20services.png" TargetMode="External"/><Relationship Id="rId79" Type="http://schemas.openxmlformats.org/officeDocument/2006/relationships/image" Target="file:////Users/rachealbruhn/Desktop/BUDGET/Infographics%20V2%20wellbeing/Eviron%201.png" TargetMode="External"/><Relationship Id="rId102" Type="http://schemas.openxmlformats.org/officeDocument/2006/relationships/image" Target="media/image45.png"/><Relationship Id="rId123" Type="http://schemas.openxmlformats.org/officeDocument/2006/relationships/image" Target="media/image60.jpeg"/><Relationship Id="rId128" Type="http://schemas.openxmlformats.org/officeDocument/2006/relationships/image" Target="media/image65.jpeg"/><Relationship Id="rId144" Type="http://schemas.openxmlformats.org/officeDocument/2006/relationships/chart" Target="charts/chart6.xml"/><Relationship Id="rId149" Type="http://schemas.openxmlformats.org/officeDocument/2006/relationships/chart" Target="charts/chart9.xml"/><Relationship Id="rId5" Type="http://schemas.openxmlformats.org/officeDocument/2006/relationships/numbering" Target="numbering.xml"/><Relationship Id="rId90" Type="http://schemas.openxmlformats.org/officeDocument/2006/relationships/image" Target="media/image39.png"/><Relationship Id="rId95" Type="http://schemas.openxmlformats.org/officeDocument/2006/relationships/image" Target="file:////Users/rachealbruhn/Desktop/BUDGET/photos/10mb%20Climate%20Action%20310.jpg" TargetMode="External"/><Relationship Id="rId160" Type="http://schemas.openxmlformats.org/officeDocument/2006/relationships/header" Target="header4.xml"/><Relationship Id="rId165" Type="http://schemas.openxmlformats.org/officeDocument/2006/relationships/chart" Target="charts/chart14.xml"/><Relationship Id="rId181" Type="http://schemas.openxmlformats.org/officeDocument/2006/relationships/theme" Target="theme/theme1.xml"/><Relationship Id="rId22" Type="http://schemas.openxmlformats.org/officeDocument/2006/relationships/image" Target="file:////Users/rachealbruhn/Desktop/BUDGET/Budget%20infographics%20part%202%20png%20files/500m%20additional%20health%20funding.png" TargetMode="External"/><Relationship Id="rId27" Type="http://schemas.openxmlformats.org/officeDocument/2006/relationships/image" Target="media/image9.jpeg"/><Relationship Id="rId43" Type="http://schemas.openxmlformats.org/officeDocument/2006/relationships/image" Target="media/image17.png"/><Relationship Id="rId48" Type="http://schemas.openxmlformats.org/officeDocument/2006/relationships/image" Target="file:////Users/rachealbruhn/Desktop/BUDGET/photos/Yerrabi%20playground%20and%20picnic%20%200971.jpeg" TargetMode="External"/><Relationship Id="rId64" Type="http://schemas.openxmlformats.org/officeDocument/2006/relationships/image" Target="file:////Users/rachealbruhn/Desktop/BUDGET/Infographics%20V2%20wellbeing/Community%20housing%202.png" TargetMode="External"/><Relationship Id="rId69" Type="http://schemas.openxmlformats.org/officeDocument/2006/relationships/image" Target="media/image28.jpeg"/><Relationship Id="rId113" Type="http://schemas.openxmlformats.org/officeDocument/2006/relationships/image" Target="media/image51.jpeg"/><Relationship Id="rId118" Type="http://schemas.openxmlformats.org/officeDocument/2006/relationships/image" Target="media/image56.png"/><Relationship Id="rId134" Type="http://schemas.openxmlformats.org/officeDocument/2006/relationships/hyperlink" Target="https://www.energymadeeasy.gov.au/" TargetMode="External"/><Relationship Id="rId139" Type="http://schemas.openxmlformats.org/officeDocument/2006/relationships/footer" Target="footer6.xml"/><Relationship Id="rId80" Type="http://schemas.openxmlformats.org/officeDocument/2006/relationships/image" Target="media/image34.jpeg"/><Relationship Id="rId85" Type="http://schemas.openxmlformats.org/officeDocument/2006/relationships/image" Target="file:////Users/rachealbruhn/Desktop/BUDGET/photos/Acton%20Waterfront%20construction%20pano3.jpg" TargetMode="External"/><Relationship Id="rId150" Type="http://schemas.openxmlformats.org/officeDocument/2006/relationships/chart" Target="charts/chart10.xml"/><Relationship Id="rId155" Type="http://schemas.openxmlformats.org/officeDocument/2006/relationships/image" Target="media/image71.png"/><Relationship Id="rId171" Type="http://schemas.openxmlformats.org/officeDocument/2006/relationships/chart" Target="charts/chart16.xml"/><Relationship Id="rId176" Type="http://schemas.openxmlformats.org/officeDocument/2006/relationships/chart" Target="charts/chart20.xml"/><Relationship Id="rId12" Type="http://schemas.openxmlformats.org/officeDocument/2006/relationships/image" Target="media/image1.PNG"/><Relationship Id="rId17"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file:////Users/rachealbruhn/Desktop/BUDGET/Budget%20infographics%20part%202%20png%20files/200m%20funding%20for%20educ%20&amp;%20skills.png" TargetMode="External"/><Relationship Id="rId59" Type="http://schemas.openxmlformats.org/officeDocument/2006/relationships/hyperlink" Target="https://www.treasury.act.gov.au/__data/assets/pdf_file/0003/1870284/2021-22-Aboriginal-and-Torres-Strait-Islander-Budget-Statement.pdf" TargetMode="External"/><Relationship Id="rId103" Type="http://schemas.openxmlformats.org/officeDocument/2006/relationships/image" Target="file:////Users/rachealbruhn/Desktop/BUDGET/Infographics%20V2%20wellbeing/Governance%202.png" TargetMode="External"/><Relationship Id="rId108" Type="http://schemas.openxmlformats.org/officeDocument/2006/relationships/image" Target="file:////Users/rachealbruhn/Desktop/BUDGET/Infographics%20V2%20wellbeing/Governance.png" TargetMode="External"/><Relationship Id="rId124" Type="http://schemas.openxmlformats.org/officeDocument/2006/relationships/image" Target="media/image61.jpeg"/><Relationship Id="rId129" Type="http://schemas.openxmlformats.org/officeDocument/2006/relationships/image" Target="media/image66.jpeg"/><Relationship Id="rId54" Type="http://schemas.openxmlformats.org/officeDocument/2006/relationships/image" Target="file:////Users/rachealbruhn/Desktop/BUDGET/photos/Common1.JPG" TargetMode="External"/><Relationship Id="rId70" Type="http://schemas.openxmlformats.org/officeDocument/2006/relationships/image" Target="file:////Users/rachealbruhn/Desktop/BUDGET/photos/Samuel%20Moynihan%20Rhino%201%20Photo%20by%20TBC.jpg" TargetMode="External"/><Relationship Id="rId75" Type="http://schemas.openxmlformats.org/officeDocument/2006/relationships/image" Target="media/image31.jpeg"/><Relationship Id="rId91" Type="http://schemas.openxmlformats.org/officeDocument/2006/relationships/image" Target="file:////Users/rachealbruhn/Desktop/BUDGET/Budget%20infographics%20part%202%20png%20files/70m%20environ%20&amp;%20climate.png" TargetMode="External"/><Relationship Id="rId96" Type="http://schemas.openxmlformats.org/officeDocument/2006/relationships/image" Target="media/image42.jpeg"/><Relationship Id="rId140" Type="http://schemas.openxmlformats.org/officeDocument/2006/relationships/chart" Target="charts/chart3.xml"/><Relationship Id="rId145" Type="http://schemas.openxmlformats.org/officeDocument/2006/relationships/image" Target="media/image67.png"/><Relationship Id="rId161" Type="http://schemas.openxmlformats.org/officeDocument/2006/relationships/footer" Target="footer8.xml"/><Relationship Id="rId166"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jpeg"/><Relationship Id="rId28" Type="http://schemas.openxmlformats.org/officeDocument/2006/relationships/image" Target="file:////Users/rachealbruhn/Desktop/BUDGET/photos/CHE_View05_IntLink01-resized%20(A29598487).jpg" TargetMode="External"/><Relationship Id="rId49" Type="http://schemas.openxmlformats.org/officeDocument/2006/relationships/image" Target="media/image20.png"/><Relationship Id="rId114" Type="http://schemas.openxmlformats.org/officeDocument/2006/relationships/image" Target="media/image52.jpeg"/><Relationship Id="rId119" Type="http://schemas.openxmlformats.org/officeDocument/2006/relationships/image" Target="media/image57.jpeg"/><Relationship Id="rId44" Type="http://schemas.openxmlformats.org/officeDocument/2006/relationships/image" Target="file:////Users/rachealbruhn/Desktop/BUDGET/Infographics%20V2%20wellbeing/Education%20and%20Life-long%204.png" TargetMode="External"/><Relationship Id="rId60" Type="http://schemas.openxmlformats.org/officeDocument/2006/relationships/image" Target="media/image24.jpeg"/><Relationship Id="rId65" Type="http://schemas.openxmlformats.org/officeDocument/2006/relationships/image" Target="media/image26.png"/><Relationship Id="rId81" Type="http://schemas.openxmlformats.org/officeDocument/2006/relationships/image" Target="file:////Users/rachealbruhn/Desktop/BUDGET/photos/dickson%20transport%20e-scooter%20%200356.jpeg" TargetMode="External"/><Relationship Id="rId86" Type="http://schemas.openxmlformats.org/officeDocument/2006/relationships/image" Target="media/image37.png"/><Relationship Id="rId130" Type="http://schemas.openxmlformats.org/officeDocument/2006/relationships/footer" Target="footer3.xml"/><Relationship Id="rId135" Type="http://schemas.openxmlformats.org/officeDocument/2006/relationships/footer" Target="footer4.xml"/><Relationship Id="rId151" Type="http://schemas.openxmlformats.org/officeDocument/2006/relationships/chart" Target="charts/chart11.xml"/><Relationship Id="rId156" Type="http://schemas.openxmlformats.org/officeDocument/2006/relationships/image" Target="media/image72.png"/><Relationship Id="rId177" Type="http://schemas.openxmlformats.org/officeDocument/2006/relationships/chart" Target="charts/chart21.xml"/><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chart" Target="charts/chart17.xml"/><Relationship Id="rId180" Type="http://schemas.openxmlformats.org/officeDocument/2006/relationships/glossaryDocument" Target="glossary/document.xml"/><Relationship Id="rId13" Type="http://schemas.openxmlformats.org/officeDocument/2006/relationships/image" Target="media/image2.png"/><Relationship Id="rId18" Type="http://schemas.openxmlformats.org/officeDocument/2006/relationships/image" Target="file:////Users/rachealbruhn/Desktop/BUDGET/Infographics%20V2%20wellbeing/Health%20and%20Community.png" TargetMode="External"/><Relationship Id="rId39" Type="http://schemas.openxmlformats.org/officeDocument/2006/relationships/image" Target="media/image15.jpeg"/><Relationship Id="rId109" Type="http://schemas.openxmlformats.org/officeDocument/2006/relationships/image" Target="media/image48.jpeg"/><Relationship Id="rId34" Type="http://schemas.openxmlformats.org/officeDocument/2006/relationships/image" Target="file:////Users/rachealbruhn/Desktop/BUDGET/Infographics%20V2%20wellbeing/Education%20and%20Life-long%203.png" TargetMode="External"/><Relationship Id="rId50" Type="http://schemas.openxmlformats.org/officeDocument/2006/relationships/image" Target="file:////Users/rachealbruhn/Desktop/BUDGET/Infographics%20V2%20wellbeing/Community%20Housing.png" TargetMode="External"/><Relationship Id="rId55" Type="http://schemas.openxmlformats.org/officeDocument/2006/relationships/image" Target="media/image23.png"/><Relationship Id="rId76" Type="http://schemas.openxmlformats.org/officeDocument/2006/relationships/image" Target="file:////Users/rachealbruhn/Desktop/BUDGET/photos/Pic%201.JPG" TargetMode="External"/><Relationship Id="rId97" Type="http://schemas.openxmlformats.org/officeDocument/2006/relationships/image" Target="file:////Users/rachealbruhn/Desktop/BUDGET/photos/10mb%20Climate%20Action%20576.jpg" TargetMode="External"/><Relationship Id="rId104" Type="http://schemas.openxmlformats.org/officeDocument/2006/relationships/hyperlink" Target="https://www.act.gov.au/__data/assets/pdf_file/0006/1619034/2007_ACT-jobs-and-recovery-plan_FA_sml.pdf" TargetMode="External"/><Relationship Id="rId120" Type="http://schemas.openxmlformats.org/officeDocument/2006/relationships/image" Target="media/image58.png"/><Relationship Id="rId125" Type="http://schemas.openxmlformats.org/officeDocument/2006/relationships/image" Target="media/image62.jpeg"/><Relationship Id="rId141" Type="http://schemas.openxmlformats.org/officeDocument/2006/relationships/chart" Target="charts/chart4.xml"/><Relationship Id="rId146" Type="http://schemas.openxmlformats.org/officeDocument/2006/relationships/image" Target="media/image68.png"/><Relationship Id="rId167" Type="http://schemas.openxmlformats.org/officeDocument/2006/relationships/chart" Target="charts/chart15.xml"/><Relationship Id="rId7" Type="http://schemas.openxmlformats.org/officeDocument/2006/relationships/settings" Target="settings.xml"/><Relationship Id="rId71" Type="http://schemas.openxmlformats.org/officeDocument/2006/relationships/image" Target="media/image29.png"/><Relationship Id="rId92" Type="http://schemas.openxmlformats.org/officeDocument/2006/relationships/image" Target="media/image40.jpeg"/><Relationship Id="rId162" Type="http://schemas.openxmlformats.org/officeDocument/2006/relationships/footer" Target="footer9.xml"/><Relationship Id="rId2" Type="http://schemas.openxmlformats.org/officeDocument/2006/relationships/customXml" Target="../customXml/item2.xml"/><Relationship Id="rId29" Type="http://schemas.openxmlformats.org/officeDocument/2006/relationships/image" Target="media/image10.jpeg"/><Relationship Id="rId24" Type="http://schemas.openxmlformats.org/officeDocument/2006/relationships/image" Target="file:////Users/rachealbruhn/Desktop/BUDGET/photos/CHE_View02_ExteriorLink-resized%20(A29598954).jpg" TargetMode="External"/><Relationship Id="rId40" Type="http://schemas.openxmlformats.org/officeDocument/2006/relationships/image" Target="file:////Users/rachealbruhn/Desktop/BUDGET/photos/Bowes%20and%20Bradley%20Streets%20-%20artist%20impression.jpg" TargetMode="External"/><Relationship Id="rId45" Type="http://schemas.openxmlformats.org/officeDocument/2006/relationships/image" Target="media/image18.jpeg"/><Relationship Id="rId66" Type="http://schemas.openxmlformats.org/officeDocument/2006/relationships/image" Target="file:////Users/rachealbruhn/Desktop/BUDGET/Budget%20infographics%20part%202%20png%20files/95%20community%20infrastructure.png" TargetMode="External"/><Relationship Id="rId87" Type="http://schemas.openxmlformats.org/officeDocument/2006/relationships/image" Target="file:////Users/rachealbruhn/Desktop/BUDGET/Budget%20infographics%20part%202%20png%20files/70m%20urban%20renewal.png" TargetMode="External"/><Relationship Id="rId110" Type="http://schemas.openxmlformats.org/officeDocument/2006/relationships/footer" Target="footer2.xml"/><Relationship Id="rId115" Type="http://schemas.openxmlformats.org/officeDocument/2006/relationships/image" Target="media/image53.jpeg"/><Relationship Id="rId131" Type="http://schemas.openxmlformats.org/officeDocument/2006/relationships/chart" Target="charts/chart1.xml"/><Relationship Id="rId136" Type="http://schemas.openxmlformats.org/officeDocument/2006/relationships/header" Target="header1.xml"/><Relationship Id="rId157" Type="http://schemas.openxmlformats.org/officeDocument/2006/relationships/image" Target="media/image73.png"/><Relationship Id="rId178" Type="http://schemas.openxmlformats.org/officeDocument/2006/relationships/footer" Target="footer13.xml"/><Relationship Id="rId61" Type="http://schemas.openxmlformats.org/officeDocument/2006/relationships/hyperlink" Target="https://www.treasury.act.gov.au/__data/assets/pdf_file/0010/1870282/2021-22-Social-Inclusion-Statement.pdf" TargetMode="External"/><Relationship Id="rId82" Type="http://schemas.openxmlformats.org/officeDocument/2006/relationships/image" Target="media/image35.png"/><Relationship Id="rId152" Type="http://schemas.openxmlformats.org/officeDocument/2006/relationships/chart" Target="charts/chart12.xml"/><Relationship Id="rId173" Type="http://schemas.openxmlformats.org/officeDocument/2006/relationships/chart" Target="charts/chart18.xml"/><Relationship Id="rId19" Type="http://schemas.openxmlformats.org/officeDocument/2006/relationships/image" Target="media/image5.jpeg"/><Relationship Id="rId14" Type="http://schemas.openxmlformats.org/officeDocument/2006/relationships/image" Target="file:////Users/rachealbruhn/Desktop/BUDGET/Infographics%20V2%20wellbeing/1%20Investments%20in%20the%20Wellbeing.png" TargetMode="External"/><Relationship Id="rId30" Type="http://schemas.openxmlformats.org/officeDocument/2006/relationships/image" Target="file:////Users/rachealbruhn/Desktop/BUDGET/photos/Margaret%20Hendry%20School_21_056%20hr.jpeg" TargetMode="External"/><Relationship Id="rId35" Type="http://schemas.openxmlformats.org/officeDocument/2006/relationships/image" Target="media/image13.png"/><Relationship Id="rId56" Type="http://schemas.openxmlformats.org/officeDocument/2006/relationships/hyperlink" Target="https://www.treasury.act.gov.au/__data/assets/pdf_file/0004/1870285/2021-21-Womens-Budget-statement.pdf" TargetMode="External"/><Relationship Id="rId77" Type="http://schemas.openxmlformats.org/officeDocument/2006/relationships/image" Target="media/image32.png"/><Relationship Id="rId100" Type="http://schemas.openxmlformats.org/officeDocument/2006/relationships/image" Target="media/image44.png"/><Relationship Id="rId105" Type="http://schemas.openxmlformats.org/officeDocument/2006/relationships/hyperlink" Target="https://www.act.gov.au/__data/assets/pdf_file/0006/1619034/2007_ACT-jobs-and-recovery-plan_FA_sml.pdf" TargetMode="External"/><Relationship Id="rId126" Type="http://schemas.openxmlformats.org/officeDocument/2006/relationships/image" Target="media/image63.jpeg"/><Relationship Id="rId147" Type="http://schemas.openxmlformats.org/officeDocument/2006/relationships/chart" Target="charts/chart7.xml"/><Relationship Id="rId168" Type="http://schemas.openxmlformats.org/officeDocument/2006/relationships/hyperlink" Target="https://apps.treasury.act.gov.au/infrastructure-finance-and-reform/the-capital-framework" TargetMode="External"/><Relationship Id="rId8" Type="http://schemas.openxmlformats.org/officeDocument/2006/relationships/webSettings" Target="webSettings.xml"/><Relationship Id="rId51" Type="http://schemas.openxmlformats.org/officeDocument/2006/relationships/image" Target="media/image21.png"/><Relationship Id="rId72" Type="http://schemas.openxmlformats.org/officeDocument/2006/relationships/image" Target="file:////Users/rachealbruhn/Desktop/BUDGET/Budget%20infographics%20part%202%20png%20files/More%2013m%20arts%20culture.png" TargetMode="External"/><Relationship Id="rId93" Type="http://schemas.openxmlformats.org/officeDocument/2006/relationships/image" Target="file:////Users/rachealbruhn/Desktop/BUDGET/photos/Cotter%20Pines.jpg" TargetMode="External"/><Relationship Id="rId98" Type="http://schemas.openxmlformats.org/officeDocument/2006/relationships/image" Target="media/image43.png"/><Relationship Id="rId121" Type="http://schemas.openxmlformats.org/officeDocument/2006/relationships/hyperlink" Target="https://www.revenue.act.gov.au/covid-19-assistance" TargetMode="External"/><Relationship Id="rId142" Type="http://schemas.openxmlformats.org/officeDocument/2006/relationships/footer" Target="footer7.xml"/><Relationship Id="rId163" Type="http://schemas.openxmlformats.org/officeDocument/2006/relationships/header" Target="header5.xml"/><Relationship Id="rId3" Type="http://schemas.openxmlformats.org/officeDocument/2006/relationships/customXml" Target="../customXml/item3.xml"/><Relationship Id="rId25" Type="http://schemas.openxmlformats.org/officeDocument/2006/relationships/image" Target="media/image8.jpeg"/><Relationship Id="rId46" Type="http://schemas.openxmlformats.org/officeDocument/2006/relationships/image" Target="file:////Users/rachealbruhn/Desktop/BUDGET/photos/CIT_MasterPlan_Camera06b.jpg" TargetMode="External"/><Relationship Id="rId67" Type="http://schemas.openxmlformats.org/officeDocument/2006/relationships/image" Target="media/image27.jpeg"/><Relationship Id="rId116" Type="http://schemas.openxmlformats.org/officeDocument/2006/relationships/image" Target="media/image54.jpeg"/><Relationship Id="rId137" Type="http://schemas.openxmlformats.org/officeDocument/2006/relationships/footer" Target="footer5.xml"/><Relationship Id="rId158" Type="http://schemas.openxmlformats.org/officeDocument/2006/relationships/chart" Target="charts/chart13.xml"/><Relationship Id="rId20" Type="http://schemas.openxmlformats.org/officeDocument/2006/relationships/image" Target="file:////Users/rachealbruhn/Desktop/BUDGET/photos/Nurse%20preparing%20vaccine.jpg" TargetMode="External"/><Relationship Id="rId41" Type="http://schemas.openxmlformats.org/officeDocument/2006/relationships/image" Target="media/image16.jpeg"/><Relationship Id="rId62" Type="http://schemas.openxmlformats.org/officeDocument/2006/relationships/hyperlink" Target="https://www.treasury.act.gov.au/__data/assets/pdf_file/0010/1870282/2021-22-Social-Inclusion-Statement.pdf" TargetMode="External"/><Relationship Id="rId83" Type="http://schemas.openxmlformats.org/officeDocument/2006/relationships/image" Target="file:////Users/rachealbruhn/Desktop/BUDGET/Infographics%20V2%20wellbeing/Environ%202.png" TargetMode="External"/><Relationship Id="rId88" Type="http://schemas.openxmlformats.org/officeDocument/2006/relationships/image" Target="media/image38.jpeg"/><Relationship Id="rId111" Type="http://schemas.openxmlformats.org/officeDocument/2006/relationships/image" Target="media/image49.jpeg"/><Relationship Id="rId132" Type="http://schemas.openxmlformats.org/officeDocument/2006/relationships/chart" Target="charts/chart2.xml"/><Relationship Id="rId153" Type="http://schemas.openxmlformats.org/officeDocument/2006/relationships/image" Target="media/image69.png"/><Relationship Id="rId174" Type="http://schemas.openxmlformats.org/officeDocument/2006/relationships/footer" Target="footer12.xml"/><Relationship Id="rId179" Type="http://schemas.openxmlformats.org/officeDocument/2006/relationships/fontTable" Target="fontTable.xml"/><Relationship Id="rId15" Type="http://schemas.openxmlformats.org/officeDocument/2006/relationships/image" Target="media/image3.jpeg"/><Relationship Id="rId36" Type="http://schemas.openxmlformats.org/officeDocument/2006/relationships/image" Target="file:////Users/rachealbruhn/Desktop/BUDGET/Infographics%20V2%20wellbeing/Education%20and%20Life-long.png" TargetMode="External"/><Relationship Id="rId57" Type="http://schemas.openxmlformats.org/officeDocument/2006/relationships/hyperlink" Target="https://www.treasury.act.gov.au/__data/assets/pdf_file/0004/1870285/2021-21-Womens-Budget-statement.pdf" TargetMode="External"/><Relationship Id="rId106" Type="http://schemas.openxmlformats.org/officeDocument/2006/relationships/image" Target="media/image46.jpeg"/><Relationship Id="rId127" Type="http://schemas.openxmlformats.org/officeDocument/2006/relationships/image" Target="media/image64.jpeg"/><Relationship Id="rId10" Type="http://schemas.openxmlformats.org/officeDocument/2006/relationships/endnotes" Target="endnotes.xml"/><Relationship Id="rId31" Type="http://schemas.openxmlformats.org/officeDocument/2006/relationships/image" Target="media/image11.png"/><Relationship Id="rId52" Type="http://schemas.openxmlformats.org/officeDocument/2006/relationships/image" Target="file:////Users/rachealbruhn/Desktop/BUDGET/Budget%20infographics%20part%202%20png%20files/More%20100m%20social%20housing.png" TargetMode="External"/><Relationship Id="rId73" Type="http://schemas.openxmlformats.org/officeDocument/2006/relationships/image" Target="media/image30.png"/><Relationship Id="rId78" Type="http://schemas.openxmlformats.org/officeDocument/2006/relationships/image" Target="media/image33.png"/><Relationship Id="rId94" Type="http://schemas.openxmlformats.org/officeDocument/2006/relationships/image" Target="media/image41.jpeg"/><Relationship Id="rId99" Type="http://schemas.openxmlformats.org/officeDocument/2006/relationships/image" Target="file:////Users/rachealbruhn/Desktop/BUDGET/photos/2.png" TargetMode="External"/><Relationship Id="rId101" Type="http://schemas.openxmlformats.org/officeDocument/2006/relationships/image" Target="file:////Users/rachealbruhn/Desktop/BUDGET/Infographics%20V2%20wellbeing/Environ%203.png" TargetMode="External"/><Relationship Id="rId122" Type="http://schemas.openxmlformats.org/officeDocument/2006/relationships/image" Target="media/image59.png"/><Relationship Id="rId143" Type="http://schemas.openxmlformats.org/officeDocument/2006/relationships/chart" Target="charts/chart5.xml"/><Relationship Id="rId148" Type="http://schemas.openxmlformats.org/officeDocument/2006/relationships/chart" Target="charts/chart8.xml"/><Relationship Id="rId164" Type="http://schemas.openxmlformats.org/officeDocument/2006/relationships/footer" Target="footer10.xml"/><Relationship Id="rId169" Type="http://schemas.openxmlformats.org/officeDocument/2006/relationships/hyperlink" Target="https://www.treasury.act.gov.au/budget/budget-2021-22/budget-papers/"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abs.gov.au/statistics/economy/government/taxation-revenue-australia/latest-release" TargetMode="External"/><Relationship Id="rId2" Type="http://schemas.openxmlformats.org/officeDocument/2006/relationships/hyperlink" Target="https://csrm.cass.anu.edu.au/research/publications/tracking-wellbeing-outcomes-during-covid-19-pandemic-august-2021-lockdown" TargetMode="External"/><Relationship Id="rId1" Type="http://schemas.openxmlformats.org/officeDocument/2006/relationships/hyperlink" Target="https://www.canberra.edu.au/research/institutes/health-research-institute/living-well-in-the-act" TargetMode="External"/><Relationship Id="rId5" Type="http://schemas.openxmlformats.org/officeDocument/2006/relationships/hyperlink" Target="https://apps.treasury.act.gov.au/infrastructure-finance-and-reform/the-capital-framework" TargetMode="External"/><Relationship Id="rId4" Type="http://schemas.openxmlformats.org/officeDocument/2006/relationships/hyperlink" Target="https://www.abs.gov.au/statistics/economy/national-accounts/australian-national-accounts-national-income-expenditure-and-product/latest-release"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act.gov.au\treasury\dt\ECONOMICS\Macroeconomic%20Branch\2021-22\ACT%20Budget\2021-22%20Budget\Writeup\Revenue%20chapter\2021-22%20Budget%20-%20Revenue%20Scenarios%20&amp;%20Figure%203.5.3.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act.gov.au\treasury\dt\ECONOMICS\Macroeconomic%20Branch\2021-22\ACT%20Budget\2021-22%20Budget\Writeup\Revenue%20chapter\2021-22%20Budget%20-%20Revenue%20Scenarios%20&amp;%20Figure%203.5.3.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act.gov.au\treasury\dt\ECONOMICS\Macroeconomic%20Branch\2021-22\ACT%20Budget\2021-22%20Budget\Writeup\Revenue%20chapter\2021-22%20Budget%20-%20Revenue%20Scenarios%20&amp;%20Figure%203.5.3.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act.gov.au\treasury\dt\ECONOMICS\Macroeconomic%20Branch\2021-22\ACT%20Budget\2021-22%20Budget\Writeup\Revenue%20chapter\2021-22%20Budget%20-%20Revenue%20Scenarios%20&amp;%20Figure%203.5.3.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act.gov.au\treasury\dt\financialmgmt\COMMON\CAPITAL\21-22%20Prog\Territory%20Infrastructure\Charts%20and%20Tables%20Final%20NRF%20modified%20(with%20ACTIA%20added)%2010.09.2021%20-Values%20-%20Final.xlsx" TargetMode="Externa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2.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2.xml.rels><?xml version="1.0" encoding="UTF-8" standalone="yes"?>
<Relationships xmlns="http://schemas.openxmlformats.org/package/2006/relationships"><Relationship Id="rId3" Type="http://schemas.openxmlformats.org/officeDocument/2006/relationships/oleObject" Target="file:///\\NAS125S2.act.gov.au\TreasHome01\L\Lien-Jane%20O'Rourke\My%20Documents\Copy%20of%20CPI%20(version%201).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act.gov.au\treasury\dt\ECONOMICS\Macroeconomic%20Branch\2021-22\ACT%20Budget\2021-22%20Budget\Writeup\Revenue%20chapter\2021-22%20Budget%20-%20Charts%20for%20chapter%203.5%20Revenue%20(Figure%203.5.1%20&amp;%203.5.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act.gov.au\treasury\dt\ECONOMICS\Macroeconomic%20Branch\2021-22\ACT%20Budget\2021-22%20Budget\Writeup\Revenue%20chapter\2021-22%20Budget%20-%20Charts%20for%20chapter%203.5%20Revenue%20(Figure%203.5.1%20&amp;%203.5.2).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act.gov.au\treasury\dt\ECONOMICS\Macroeconomic%20Branch\2021-22\ACT%20Budget\2021-22%20Budget\Writeup\Revenue%20chapter\2021-22%20Budget%20-%20Revenue%20Scenarios%20&amp;%20Figure%203.5.3.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act.gov.au\treasury\dt\ECONOMICS\Macroeconomic%20Branch\2021-22\ACT%20Budget\2021-22%20Budget\Writeup\Revenue%20chapter\2021-22%20Budget%20-%20Revenue%20Scenarios%20&amp;%20Figure%203.5.3.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0-32A7-4BC3-BD1B-9D9C48A33A25}"/>
              </c:ext>
            </c:extLst>
          </c:dPt>
          <c:dPt>
            <c:idx val="1"/>
            <c:invertIfNegative val="0"/>
            <c:bubble3D val="0"/>
            <c:spPr>
              <a:solidFill>
                <a:schemeClr val="accent1"/>
              </a:solidFill>
              <a:ln>
                <a:noFill/>
              </a:ln>
              <a:effectLst/>
            </c:spPr>
            <c:extLst>
              <c:ext xmlns:c16="http://schemas.microsoft.com/office/drawing/2014/chart" uri="{C3380CC4-5D6E-409C-BE32-E72D297353CC}">
                <c16:uniqueId val="{00000001-32A7-4BC3-BD1B-9D9C48A33A25}"/>
              </c:ext>
            </c:extLst>
          </c:dPt>
          <c:dPt>
            <c:idx val="2"/>
            <c:invertIfNegative val="0"/>
            <c:bubble3D val="0"/>
            <c:spPr>
              <a:solidFill>
                <a:schemeClr val="accent1"/>
              </a:solidFill>
              <a:ln>
                <a:noFill/>
              </a:ln>
              <a:effectLst/>
            </c:spPr>
            <c:extLst>
              <c:ext xmlns:c16="http://schemas.microsoft.com/office/drawing/2014/chart" uri="{C3380CC4-5D6E-409C-BE32-E72D297353CC}">
                <c16:uniqueId val="{00000002-32A7-4BC3-BD1B-9D9C48A33A25}"/>
              </c:ext>
            </c:extLst>
          </c:dPt>
          <c:dPt>
            <c:idx val="3"/>
            <c:invertIfNegative val="0"/>
            <c:bubble3D val="0"/>
            <c:spPr>
              <a:solidFill>
                <a:schemeClr val="accent1"/>
              </a:solidFill>
              <a:ln>
                <a:noFill/>
              </a:ln>
              <a:effectLst/>
            </c:spPr>
            <c:extLst>
              <c:ext xmlns:c16="http://schemas.microsoft.com/office/drawing/2014/chart" uri="{C3380CC4-5D6E-409C-BE32-E72D297353CC}">
                <c16:uniqueId val="{00000003-32A7-4BC3-BD1B-9D9C48A33A25}"/>
              </c:ext>
            </c:extLst>
          </c:dPt>
          <c:dPt>
            <c:idx val="4"/>
            <c:invertIfNegative val="0"/>
            <c:bubble3D val="0"/>
            <c:spPr>
              <a:solidFill>
                <a:schemeClr val="accent1"/>
              </a:solidFill>
              <a:ln>
                <a:noFill/>
              </a:ln>
              <a:effectLst/>
            </c:spPr>
            <c:extLst>
              <c:ext xmlns:c16="http://schemas.microsoft.com/office/drawing/2014/chart" uri="{C3380CC4-5D6E-409C-BE32-E72D297353CC}">
                <c16:uniqueId val="{00000004-32A7-4BC3-BD1B-9D9C48A33A25}"/>
              </c:ext>
            </c:extLst>
          </c:dPt>
          <c:dPt>
            <c:idx val="5"/>
            <c:invertIfNegative val="0"/>
            <c:bubble3D val="0"/>
            <c:spPr>
              <a:solidFill>
                <a:schemeClr val="accent1"/>
              </a:solidFill>
              <a:ln>
                <a:noFill/>
              </a:ln>
              <a:effectLst/>
            </c:spPr>
            <c:extLst>
              <c:ext xmlns:c16="http://schemas.microsoft.com/office/drawing/2014/chart" uri="{C3380CC4-5D6E-409C-BE32-E72D297353CC}">
                <c16:uniqueId val="{00000005-32A7-4BC3-BD1B-9D9C48A33A25}"/>
              </c:ext>
            </c:extLst>
          </c:dPt>
          <c:dPt>
            <c:idx val="6"/>
            <c:invertIfNegative val="0"/>
            <c:bubble3D val="0"/>
            <c:spPr>
              <a:solidFill>
                <a:schemeClr val="accent1"/>
              </a:solidFill>
              <a:ln>
                <a:noFill/>
              </a:ln>
              <a:effectLst/>
            </c:spPr>
            <c:extLst>
              <c:ext xmlns:c16="http://schemas.microsoft.com/office/drawing/2014/chart" uri="{C3380CC4-5D6E-409C-BE32-E72D297353CC}">
                <c16:uniqueId val="{00000006-32A7-4BC3-BD1B-9D9C48A33A25}"/>
              </c:ext>
            </c:extLst>
          </c:dPt>
          <c:dPt>
            <c:idx val="7"/>
            <c:invertIfNegative val="0"/>
            <c:bubble3D val="0"/>
            <c:spPr>
              <a:solidFill>
                <a:schemeClr val="accent1"/>
              </a:solidFill>
              <a:ln>
                <a:noFill/>
              </a:ln>
              <a:effectLst/>
            </c:spPr>
            <c:extLst>
              <c:ext xmlns:c16="http://schemas.microsoft.com/office/drawing/2014/chart" uri="{C3380CC4-5D6E-409C-BE32-E72D297353CC}">
                <c16:uniqueId val="{00000007-32A7-4BC3-BD1B-9D9C48A33A25}"/>
              </c:ext>
            </c:extLst>
          </c:dPt>
          <c:dPt>
            <c:idx val="8"/>
            <c:invertIfNegative val="0"/>
            <c:bubble3D val="0"/>
            <c:spPr>
              <a:solidFill>
                <a:schemeClr val="accent1"/>
              </a:solidFill>
              <a:ln>
                <a:noFill/>
              </a:ln>
              <a:effectLst/>
            </c:spPr>
            <c:extLst>
              <c:ext xmlns:c16="http://schemas.microsoft.com/office/drawing/2014/chart" uri="{C3380CC4-5D6E-409C-BE32-E72D297353CC}">
                <c16:uniqueId val="{00000008-32A7-4BC3-BD1B-9D9C48A33A25}"/>
              </c:ext>
            </c:extLst>
          </c:dPt>
          <c:cat>
            <c:strRef>
              <c:f>'CPI states and territories'!$A$47:$A$55</c:f>
              <c:strCache>
                <c:ptCount val="9"/>
                <c:pt idx="0">
                  <c:v>Hobart</c:v>
                </c:pt>
                <c:pt idx="1">
                  <c:v>Canberra</c:v>
                </c:pt>
                <c:pt idx="2">
                  <c:v>Melbourne</c:v>
                </c:pt>
                <c:pt idx="3">
                  <c:v>Brisbane</c:v>
                </c:pt>
                <c:pt idx="4">
                  <c:v>Australia</c:v>
                </c:pt>
                <c:pt idx="5">
                  <c:v>Sydney</c:v>
                </c:pt>
                <c:pt idx="6">
                  <c:v>Adelaide</c:v>
                </c:pt>
                <c:pt idx="7">
                  <c:v>Perth</c:v>
                </c:pt>
                <c:pt idx="8">
                  <c:v>Darwin</c:v>
                </c:pt>
              </c:strCache>
            </c:strRef>
          </c:cat>
          <c:val>
            <c:numRef>
              <c:f>'CPI states and territories'!$B$47:$B$55</c:f>
              <c:numCache>
                <c:formatCode>0.0%</c:formatCode>
                <c:ptCount val="9"/>
                <c:pt idx="0">
                  <c:v>2.1833333333333298E-2</c:v>
                </c:pt>
                <c:pt idx="1">
                  <c:v>1.93333333333333E-2</c:v>
                </c:pt>
                <c:pt idx="2">
                  <c:v>1.7666666666666699E-2</c:v>
                </c:pt>
                <c:pt idx="3">
                  <c:v>1.7666666666666699E-2</c:v>
                </c:pt>
                <c:pt idx="4">
                  <c:v>1.6833333333333301E-2</c:v>
                </c:pt>
                <c:pt idx="5">
                  <c:v>1.6666666666666701E-2</c:v>
                </c:pt>
                <c:pt idx="6">
                  <c:v>1.6666666666666701E-2</c:v>
                </c:pt>
                <c:pt idx="7">
                  <c:v>1.36666666666667E-2</c:v>
                </c:pt>
                <c:pt idx="8">
                  <c:v>1.1333333333333299E-2</c:v>
                </c:pt>
              </c:numCache>
            </c:numRef>
          </c:val>
          <c:extLst>
            <c:ext xmlns:c16="http://schemas.microsoft.com/office/drawing/2014/chart" uri="{C3380CC4-5D6E-409C-BE32-E72D297353CC}">
              <c16:uniqueId val="{00000000-20CF-4BB9-8A2D-1D93D57876A3}"/>
            </c:ext>
          </c:extLst>
        </c:ser>
        <c:dLbls>
          <c:showLegendKey val="0"/>
          <c:showVal val="0"/>
          <c:showCatName val="0"/>
          <c:showSerName val="0"/>
          <c:showPercent val="0"/>
          <c:showBubbleSize val="0"/>
        </c:dLbls>
        <c:gapWidth val="219"/>
        <c:overlap val="-27"/>
        <c:axId val="436980392"/>
        <c:axId val="436980720"/>
      </c:barChart>
      <c:catAx>
        <c:axId val="436980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6980720"/>
        <c:crosses val="autoZero"/>
        <c:auto val="1"/>
        <c:lblAlgn val="ctr"/>
        <c:lblOffset val="100"/>
        <c:noMultiLvlLbl val="0"/>
      </c:catAx>
      <c:valAx>
        <c:axId val="43698072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6980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n-AU" sz="1100" b="1"/>
              <a:t>Motor Vehicle Registrations</a:t>
            </a:r>
          </a:p>
        </c:rich>
      </c:tx>
      <c:layout>
        <c:manualLayout>
          <c:xMode val="edge"/>
          <c:yMode val="edge"/>
          <c:x val="0.29199245252376743"/>
          <c:y val="7.9510739741001594E-3"/>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6549305555555555"/>
          <c:y val="9.9953703703703697E-2"/>
          <c:w val="0.8088535021125457"/>
          <c:h val="0.6782696759259258"/>
        </c:manualLayout>
      </c:layout>
      <c:areaChart>
        <c:grouping val="stacked"/>
        <c:varyColors val="0"/>
        <c:ser>
          <c:idx val="2"/>
          <c:order val="1"/>
          <c:tx>
            <c:strRef>
              <c:f>'MV Registration'!$L$4</c:f>
              <c:strCache>
                <c:ptCount val="1"/>
                <c:pt idx="0">
                  <c:v>Downside</c:v>
                </c:pt>
              </c:strCache>
            </c:strRef>
          </c:tx>
          <c:spPr>
            <a:noFill/>
            <a:ln>
              <a:noFill/>
            </a:ln>
            <a:effectLst/>
          </c:spPr>
          <c:cat>
            <c:strRef>
              <c:f>'MV Registration'!$B$9:$B$25</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'MV Registration'!$O$9:$O$25</c:f>
              <c:numCache>
                <c:formatCode>General</c:formatCode>
                <c:ptCount val="17"/>
                <c:pt idx="12" formatCode="#,##0.0">
                  <c:v>108.92843666125668</c:v>
                </c:pt>
                <c:pt idx="13" formatCode="#,##0.0">
                  <c:v>108.8837595651039</c:v>
                </c:pt>
                <c:pt idx="14" formatCode="#,##0.0">
                  <c:v>110.54584837421967</c:v>
                </c:pt>
                <c:pt idx="15" formatCode="#,##0.0">
                  <c:v>110.50354028878971</c:v>
                </c:pt>
                <c:pt idx="16" formatCode="#,##0.0">
                  <c:v>114.98060562177517</c:v>
                </c:pt>
              </c:numCache>
            </c:numRef>
          </c:val>
          <c:extLst>
            <c:ext xmlns:c16="http://schemas.microsoft.com/office/drawing/2014/chart" uri="{C3380CC4-5D6E-409C-BE32-E72D297353CC}">
              <c16:uniqueId val="{00000000-B4C3-4A3F-AAAD-A53B8E4FC40D}"/>
            </c:ext>
          </c:extLst>
        </c:ser>
        <c:ser>
          <c:idx val="4"/>
          <c:order val="3"/>
          <c:tx>
            <c:strRef>
              <c:f>'MV Registration'!$P$3</c:f>
              <c:strCache>
                <c:ptCount val="1"/>
                <c:pt idx="0">
                  <c:v>Range between upside and downside scenario</c:v>
                </c:pt>
              </c:strCache>
            </c:strRef>
          </c:tx>
          <c:spPr>
            <a:solidFill>
              <a:schemeClr val="accent5"/>
            </a:solidFill>
            <a:ln>
              <a:noFill/>
            </a:ln>
            <a:effectLst/>
          </c:spPr>
          <c:cat>
            <c:strRef>
              <c:f>'MV Registration'!$B$9:$B$25</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'MV Registration'!$P$9:$P$25</c:f>
              <c:numCache>
                <c:formatCode>General</c:formatCode>
                <c:ptCount val="17"/>
                <c:pt idx="12" formatCode="#,##0.000">
                  <c:v>0</c:v>
                </c:pt>
                <c:pt idx="13" formatCode="#,##0.000">
                  <c:v>2.110322079196095</c:v>
                </c:pt>
                <c:pt idx="14" formatCode="#,##0.000">
                  <c:v>3.0249635556684922</c:v>
                </c:pt>
                <c:pt idx="15" formatCode="#,##0.000">
                  <c:v>4.8173242230293312</c:v>
                </c:pt>
                <c:pt idx="16" formatCode="#,##0.000">
                  <c:v>6.5828840022227126</c:v>
                </c:pt>
              </c:numCache>
            </c:numRef>
          </c:val>
          <c:extLst>
            <c:ext xmlns:c16="http://schemas.microsoft.com/office/drawing/2014/chart" uri="{C3380CC4-5D6E-409C-BE32-E72D297353CC}">
              <c16:uniqueId val="{00000001-B4C3-4A3F-AAAD-A53B8E4FC40D}"/>
            </c:ext>
          </c:extLst>
        </c:ser>
        <c:dLbls>
          <c:showLegendKey val="0"/>
          <c:showVal val="0"/>
          <c:showCatName val="0"/>
          <c:showSerName val="0"/>
          <c:showPercent val="0"/>
          <c:showBubbleSize val="0"/>
        </c:dLbls>
        <c:axId val="659081144"/>
        <c:axId val="659082784"/>
      </c:areaChart>
      <c:lineChart>
        <c:grouping val="standard"/>
        <c:varyColors val="0"/>
        <c:ser>
          <c:idx val="0"/>
          <c:order val="0"/>
          <c:tx>
            <c:strRef>
              <c:f>'MV Registration'!$I$4</c:f>
              <c:strCache>
                <c:ptCount val="1"/>
                <c:pt idx="0">
                  <c:v>Actual</c:v>
                </c:pt>
              </c:strCache>
            </c:strRef>
          </c:tx>
          <c:spPr>
            <a:ln w="28575" cap="rnd">
              <a:solidFill>
                <a:schemeClr val="accent1"/>
              </a:solidFill>
              <a:round/>
            </a:ln>
            <a:effectLst/>
          </c:spPr>
          <c:marker>
            <c:symbol val="none"/>
          </c:marker>
          <c:cat>
            <c:strRef>
              <c:f>'MV Registration'!$B$9:$B$25</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'MV Registration'!$I$9:$I$25</c:f>
              <c:numCache>
                <c:formatCode>#,##0.0</c:formatCode>
                <c:ptCount val="17"/>
                <c:pt idx="0">
                  <c:v>54.373264694409492</c:v>
                </c:pt>
                <c:pt idx="1">
                  <c:v>58.497220869685172</c:v>
                </c:pt>
                <c:pt idx="2">
                  <c:v>62.590958281147792</c:v>
                </c:pt>
                <c:pt idx="3">
                  <c:v>65.338706208147201</c:v>
                </c:pt>
                <c:pt idx="4">
                  <c:v>71.040938143647637</c:v>
                </c:pt>
                <c:pt idx="5">
                  <c:v>74.967071960057268</c:v>
                </c:pt>
                <c:pt idx="6">
                  <c:v>76.941221530069257</c:v>
                </c:pt>
                <c:pt idx="7">
                  <c:v>79.856555720297237</c:v>
                </c:pt>
                <c:pt idx="8">
                  <c:v>86.676409555337059</c:v>
                </c:pt>
                <c:pt idx="9">
                  <c:v>92.981078375854977</c:v>
                </c:pt>
                <c:pt idx="10">
                  <c:v>100</c:v>
                </c:pt>
                <c:pt idx="11">
                  <c:v>107.96964013433801</c:v>
                </c:pt>
                <c:pt idx="12">
                  <c:v>108.92843666125668</c:v>
                </c:pt>
              </c:numCache>
            </c:numRef>
          </c:val>
          <c:smooth val="0"/>
          <c:extLst>
            <c:ext xmlns:c16="http://schemas.microsoft.com/office/drawing/2014/chart" uri="{C3380CC4-5D6E-409C-BE32-E72D297353CC}">
              <c16:uniqueId val="{00000002-B4C3-4A3F-AAAD-A53B8E4FC40D}"/>
            </c:ext>
          </c:extLst>
        </c:ser>
        <c:ser>
          <c:idx val="3"/>
          <c:order val="2"/>
          <c:tx>
            <c:strRef>
              <c:f>'MV Registration'!$M$4</c:f>
              <c:strCache>
                <c:ptCount val="1"/>
                <c:pt idx="0">
                  <c:v>Baseline</c:v>
                </c:pt>
              </c:strCache>
            </c:strRef>
          </c:tx>
          <c:spPr>
            <a:ln w="28575" cap="rnd">
              <a:solidFill>
                <a:srgbClr val="667EEF"/>
              </a:solidFill>
              <a:round/>
            </a:ln>
            <a:effectLst/>
          </c:spPr>
          <c:marker>
            <c:symbol val="none"/>
          </c:marker>
          <c:dPt>
            <c:idx val="15"/>
            <c:marker>
              <c:symbol val="none"/>
            </c:marker>
            <c:bubble3D val="0"/>
            <c:extLst>
              <c:ext xmlns:c16="http://schemas.microsoft.com/office/drawing/2014/chart" uri="{C3380CC4-5D6E-409C-BE32-E72D297353CC}">
                <c16:uniqueId val="{00000000-E67B-414B-9EAB-EAC1441C287A}"/>
              </c:ext>
            </c:extLst>
          </c:dPt>
          <c:cat>
            <c:strRef>
              <c:f>'MV Registration'!$B$9:$B$25</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'MV Registration'!$M$9:$M$25</c:f>
              <c:numCache>
                <c:formatCode>General</c:formatCode>
                <c:ptCount val="17"/>
                <c:pt idx="12" formatCode="#,##0.0">
                  <c:v>108.92843666125668</c:v>
                </c:pt>
                <c:pt idx="13" formatCode="#,##0.0">
                  <c:v>109.65360019499273</c:v>
                </c:pt>
                <c:pt idx="14" formatCode="#,##0.0">
                  <c:v>112.3511253477336</c:v>
                </c:pt>
                <c:pt idx="15" formatCode="#,##0.0">
                  <c:v>113.43748410238406</c:v>
                </c:pt>
                <c:pt idx="16" formatCode="#,##0.0">
                  <c:v>118.92127334889658</c:v>
                </c:pt>
              </c:numCache>
            </c:numRef>
          </c:val>
          <c:smooth val="0"/>
          <c:extLst>
            <c:ext xmlns:c16="http://schemas.microsoft.com/office/drawing/2014/chart" uri="{C3380CC4-5D6E-409C-BE32-E72D297353CC}">
              <c16:uniqueId val="{00000003-B4C3-4A3F-AAAD-A53B8E4FC40D}"/>
            </c:ext>
          </c:extLst>
        </c:ser>
        <c:dLbls>
          <c:showLegendKey val="0"/>
          <c:showVal val="0"/>
          <c:showCatName val="0"/>
          <c:showSerName val="0"/>
          <c:showPercent val="0"/>
          <c:showBubbleSize val="0"/>
        </c:dLbls>
        <c:marker val="1"/>
        <c:smooth val="0"/>
        <c:axId val="1655276752"/>
        <c:axId val="1655277080"/>
      </c:lineChart>
      <c:catAx>
        <c:axId val="1655276752"/>
        <c:scaling>
          <c:orientation val="minMax"/>
        </c:scaling>
        <c:delete val="0"/>
        <c:axPos val="b"/>
        <c:numFmt formatCode="General" sourceLinked="1"/>
        <c:majorTickMark val="in"/>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55277080"/>
        <c:crosses val="autoZero"/>
        <c:auto val="0"/>
        <c:lblAlgn val="ctr"/>
        <c:lblOffset val="100"/>
        <c:noMultiLvlLbl val="0"/>
      </c:catAx>
      <c:valAx>
        <c:axId val="1655277080"/>
        <c:scaling>
          <c:orientation val="minMax"/>
          <c:max val="125"/>
          <c:min val="45"/>
        </c:scaling>
        <c:delete val="0"/>
        <c:axPos val="l"/>
        <c:majorGridlines>
          <c:spPr>
            <a:ln w="9525" cap="flat" cmpd="sng" algn="ctr">
              <a:solidFill>
                <a:schemeClr val="bg1">
                  <a:lumMod val="50000"/>
                </a:schemeClr>
              </a:solidFill>
              <a:prstDash val="dash"/>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sz="900"/>
                  <a:t>Index (2018-19 = 100)</a:t>
                </a:r>
              </a:p>
            </c:rich>
          </c:tx>
          <c:layout>
            <c:manualLayout>
              <c:xMode val="edge"/>
              <c:yMode val="edge"/>
              <c:x val="2.204861111111111E-3"/>
              <c:y val="0.2099472222222222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title>
        <c:numFmt formatCode="#,##0" sourceLinked="0"/>
        <c:majorTickMark val="in"/>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55276752"/>
        <c:crosses val="autoZero"/>
        <c:crossBetween val="between"/>
        <c:majorUnit val="10"/>
      </c:valAx>
      <c:valAx>
        <c:axId val="659082784"/>
        <c:scaling>
          <c:orientation val="minMax"/>
          <c:max val="130"/>
          <c:min val="50"/>
        </c:scaling>
        <c:delete val="1"/>
        <c:axPos val="r"/>
        <c:numFmt formatCode="General" sourceLinked="1"/>
        <c:majorTickMark val="out"/>
        <c:minorTickMark val="none"/>
        <c:tickLblPos val="nextTo"/>
        <c:crossAx val="659081144"/>
        <c:crosses val="max"/>
        <c:crossBetween val="between"/>
      </c:valAx>
      <c:catAx>
        <c:axId val="659081144"/>
        <c:scaling>
          <c:orientation val="minMax"/>
        </c:scaling>
        <c:delete val="1"/>
        <c:axPos val="b"/>
        <c:numFmt formatCode="General" sourceLinked="1"/>
        <c:majorTickMark val="out"/>
        <c:minorTickMark val="none"/>
        <c:tickLblPos val="nextTo"/>
        <c:crossAx val="659082784"/>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n-US" sz="1100" b="1"/>
              <a:t>GST Pool</a:t>
            </a:r>
          </a:p>
        </c:rich>
      </c:tx>
      <c:layout>
        <c:manualLayout>
          <c:xMode val="edge"/>
          <c:yMode val="edge"/>
          <c:x val="0.40293412978195586"/>
          <c:y val="8.6043360433604339E-3"/>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7298760612263611"/>
          <c:y val="9.1022997267667827E-2"/>
          <c:w val="0.80439972581276908"/>
          <c:h val="0.66679844173441738"/>
        </c:manualLayout>
      </c:layout>
      <c:areaChart>
        <c:grouping val="stacked"/>
        <c:varyColors val="0"/>
        <c:ser>
          <c:idx val="3"/>
          <c:order val="3"/>
          <c:tx>
            <c:strRef>
              <c:f>'[2021-22 Budget - Charts for chapter 3.5 Revenue_GST.xlsx]GST Pool'!$E$5</c:f>
              <c:strCache>
                <c:ptCount val="1"/>
                <c:pt idx="0">
                  <c:v>Downside</c:v>
                </c:pt>
              </c:strCache>
            </c:strRef>
          </c:tx>
          <c:spPr>
            <a:noFill/>
            <a:ln>
              <a:noFill/>
            </a:ln>
            <a:effectLst/>
          </c:spPr>
          <c:cat>
            <c:strRef>
              <c:f>'[2021-22 Budget - Charts for chapter 3.5 Revenue_GST.xlsx]GST Pool'!$A$6:$A$22</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'[2021-22 Budget - Charts for chapter 3.5 Revenue_GST.xlsx]GST Pool'!$E$6:$E$22</c:f>
              <c:numCache>
                <c:formatCode>General</c:formatCode>
                <c:ptCount val="17"/>
                <c:pt idx="11" formatCode="#,##0.0">
                  <c:v>92.443216697360342</c:v>
                </c:pt>
                <c:pt idx="12" formatCode="#,##0.0">
                  <c:v>111.38735420503376</c:v>
                </c:pt>
                <c:pt idx="13" formatCode="#,##0.0">
                  <c:v>101.7646332937973</c:v>
                </c:pt>
                <c:pt idx="14" formatCode="#,##0.0">
                  <c:v>108.78639299106932</c:v>
                </c:pt>
                <c:pt idx="15" formatCode="#,##0.0">
                  <c:v>113.13784871071211</c:v>
                </c:pt>
                <c:pt idx="16" formatCode="#,##0.0">
                  <c:v>119.02101684366913</c:v>
                </c:pt>
              </c:numCache>
            </c:numRef>
          </c:val>
          <c:extLst>
            <c:ext xmlns:c16="http://schemas.microsoft.com/office/drawing/2014/chart" uri="{C3380CC4-5D6E-409C-BE32-E72D297353CC}">
              <c16:uniqueId val="{00000000-C543-48AA-A453-F2E0636F496F}"/>
            </c:ext>
          </c:extLst>
        </c:ser>
        <c:ser>
          <c:idx val="4"/>
          <c:order val="4"/>
          <c:tx>
            <c:strRef>
              <c:f>'[2021-22 Budget - Charts for chapter 3.5 Revenue_GST.xlsx]GST Pool'!$F$5</c:f>
              <c:strCache>
                <c:ptCount val="1"/>
                <c:pt idx="0">
                  <c:v>Range between upside and downside scenario</c:v>
                </c:pt>
              </c:strCache>
            </c:strRef>
          </c:tx>
          <c:spPr>
            <a:solidFill>
              <a:srgbClr val="CCE4FF"/>
            </a:solidFill>
            <a:ln>
              <a:solidFill>
                <a:schemeClr val="bg1"/>
              </a:solidFill>
            </a:ln>
            <a:effectLst/>
          </c:spPr>
          <c:cat>
            <c:strRef>
              <c:f>'[2021-22 Budget - Charts for chapter 3.5 Revenue_GST.xlsx]GST Pool'!$A$6:$A$22</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'[2021-22 Budget - Charts for chapter 3.5 Revenue_GST.xlsx]GST Pool'!$F$6:$F$22</c:f>
              <c:numCache>
                <c:formatCode>General</c:formatCode>
                <c:ptCount val="17"/>
                <c:pt idx="12" formatCode="#,##0.0">
                  <c:v>0</c:v>
                </c:pt>
                <c:pt idx="13" formatCode="#,##0.0">
                  <c:v>2.9394796589344452</c:v>
                </c:pt>
                <c:pt idx="14" formatCode="#,##0.0">
                  <c:v>3.2470078683536485</c:v>
                </c:pt>
                <c:pt idx="15" formatCode="#,##0.0">
                  <c:v>4.0490885882443308</c:v>
                </c:pt>
                <c:pt idx="16" formatCode="#,##0.0">
                  <c:v>4.494015069430958</c:v>
                </c:pt>
              </c:numCache>
            </c:numRef>
          </c:val>
          <c:extLst xmlns:c15="http://schemas.microsoft.com/office/drawing/2012/chart">
            <c:ext xmlns:c16="http://schemas.microsoft.com/office/drawing/2014/chart" uri="{C3380CC4-5D6E-409C-BE32-E72D297353CC}">
              <c16:uniqueId val="{00000001-C543-48AA-A453-F2E0636F496F}"/>
            </c:ext>
          </c:extLst>
        </c:ser>
        <c:dLbls>
          <c:showLegendKey val="0"/>
          <c:showVal val="0"/>
          <c:showCatName val="0"/>
          <c:showSerName val="0"/>
          <c:showPercent val="0"/>
          <c:showBubbleSize val="0"/>
        </c:dLbls>
        <c:axId val="583287576"/>
        <c:axId val="583282984"/>
      </c:areaChart>
      <c:lineChart>
        <c:grouping val="standard"/>
        <c:varyColors val="0"/>
        <c:ser>
          <c:idx val="0"/>
          <c:order val="0"/>
          <c:tx>
            <c:strRef>
              <c:f>'[2021-22 Budget - Charts for chapter 3.5 Revenue_GST.xlsx]GST Pool'!$B$5</c:f>
              <c:strCache>
                <c:ptCount val="1"/>
                <c:pt idx="0">
                  <c:v>Actual</c:v>
                </c:pt>
              </c:strCache>
            </c:strRef>
          </c:tx>
          <c:spPr>
            <a:ln w="28575" cap="rnd">
              <a:solidFill>
                <a:srgbClr val="001889"/>
              </a:solidFill>
              <a:round/>
            </a:ln>
            <a:effectLst/>
          </c:spPr>
          <c:marker>
            <c:symbol val="none"/>
          </c:marker>
          <c:cat>
            <c:strRef>
              <c:f>'[2021-22 Budget - Charts for chapter 3.5 Revenue_GST.xlsx]GST Pool'!$A$6:$A$22</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'[2021-22 Budget - Charts for chapter 3.5 Revenue_GST.xlsx]GST Pool'!$B$6:$B$22</c:f>
              <c:numCache>
                <c:formatCode>#,##0.0</c:formatCode>
                <c:ptCount val="17"/>
                <c:pt idx="0">
                  <c:v>63.212093308778392</c:v>
                </c:pt>
                <c:pt idx="1">
                  <c:v>67.589011663597304</c:v>
                </c:pt>
                <c:pt idx="2">
                  <c:v>70.422038060159608</c:v>
                </c:pt>
                <c:pt idx="3">
                  <c:v>70.656844689993861</c:v>
                </c:pt>
                <c:pt idx="4">
                  <c:v>73.75844076120319</c:v>
                </c:pt>
                <c:pt idx="5">
                  <c:v>78.406998158379366</c:v>
                </c:pt>
                <c:pt idx="6">
                  <c:v>83.39779005524862</c:v>
                </c:pt>
                <c:pt idx="7">
                  <c:v>88.017188459177405</c:v>
                </c:pt>
                <c:pt idx="8">
                  <c:v>91.844689993861266</c:v>
                </c:pt>
                <c:pt idx="9">
                  <c:v>96.873848987108659</c:v>
                </c:pt>
                <c:pt idx="10">
                  <c:v>100</c:v>
                </c:pt>
                <c:pt idx="11">
                  <c:v>92.443216697360342</c:v>
                </c:pt>
              </c:numCache>
            </c:numRef>
          </c:val>
          <c:smooth val="0"/>
          <c:extLst>
            <c:ext xmlns:c16="http://schemas.microsoft.com/office/drawing/2014/chart" uri="{C3380CC4-5D6E-409C-BE32-E72D297353CC}">
              <c16:uniqueId val="{00000002-C543-48AA-A453-F2E0636F496F}"/>
            </c:ext>
          </c:extLst>
        </c:ser>
        <c:ser>
          <c:idx val="1"/>
          <c:order val="1"/>
          <c:tx>
            <c:strRef>
              <c:f>'[2021-22 Budget - Charts for chapter 3.5 Revenue_GST.xlsx]GST Pool'!$C$5</c:f>
              <c:strCache>
                <c:ptCount val="1"/>
                <c:pt idx="0">
                  <c:v>Baseline</c:v>
                </c:pt>
              </c:strCache>
            </c:strRef>
          </c:tx>
          <c:spPr>
            <a:ln w="28575" cap="rnd">
              <a:solidFill>
                <a:schemeClr val="accent3">
                  <a:shade val="76000"/>
                </a:schemeClr>
              </a:solidFill>
              <a:round/>
            </a:ln>
            <a:effectLst/>
          </c:spPr>
          <c:marker>
            <c:symbol val="none"/>
          </c:marker>
          <c:dPt>
            <c:idx val="11"/>
            <c:marker>
              <c:symbol val="none"/>
            </c:marker>
            <c:bubble3D val="0"/>
            <c:spPr>
              <a:ln w="28575" cap="rnd">
                <a:solidFill>
                  <a:srgbClr val="001889"/>
                </a:solidFill>
                <a:round/>
              </a:ln>
              <a:effectLst/>
            </c:spPr>
            <c:extLst>
              <c:ext xmlns:c16="http://schemas.microsoft.com/office/drawing/2014/chart" uri="{C3380CC4-5D6E-409C-BE32-E72D297353CC}">
                <c16:uniqueId val="{00000000-FEEC-4318-BF47-FB1997131C4F}"/>
              </c:ext>
            </c:extLst>
          </c:dPt>
          <c:dPt>
            <c:idx val="12"/>
            <c:marker>
              <c:symbol val="none"/>
            </c:marker>
            <c:bubble3D val="0"/>
            <c:spPr>
              <a:ln w="28575" cap="rnd">
                <a:solidFill>
                  <a:srgbClr val="001889"/>
                </a:solidFill>
                <a:round/>
              </a:ln>
              <a:effectLst/>
            </c:spPr>
            <c:extLst>
              <c:ext xmlns:c16="http://schemas.microsoft.com/office/drawing/2014/chart" uri="{C3380CC4-5D6E-409C-BE32-E72D297353CC}">
                <c16:uniqueId val="{00000001-FEEC-4318-BF47-FB1997131C4F}"/>
              </c:ext>
            </c:extLst>
          </c:dPt>
          <c:dPt>
            <c:idx val="16"/>
            <c:marker>
              <c:symbol val="none"/>
            </c:marker>
            <c:bubble3D val="0"/>
            <c:extLst>
              <c:ext xmlns:c16="http://schemas.microsoft.com/office/drawing/2014/chart" uri="{C3380CC4-5D6E-409C-BE32-E72D297353CC}">
                <c16:uniqueId val="{00000002-FEEC-4318-BF47-FB1997131C4F}"/>
              </c:ext>
            </c:extLst>
          </c:dPt>
          <c:cat>
            <c:strRef>
              <c:f>'[2021-22 Budget - Charts for chapter 3.5 Revenue_GST.xlsx]GST Pool'!$A$6:$A$22</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'[2021-22 Budget - Charts for chapter 3.5 Revenue_GST.xlsx]GST Pool'!$C$6:$C$22</c:f>
              <c:numCache>
                <c:formatCode>General</c:formatCode>
                <c:ptCount val="17"/>
                <c:pt idx="10" formatCode="#,##0.0">
                  <c:v>100</c:v>
                </c:pt>
                <c:pt idx="11" formatCode="#,##0.0">
                  <c:v>92.443216697360342</c:v>
                </c:pt>
                <c:pt idx="12" formatCode="#,##0.0">
                  <c:v>111.38735420503376</c:v>
                </c:pt>
                <c:pt idx="13" formatCode="#,##0.0">
                  <c:v>103.52810586752395</c:v>
                </c:pt>
                <c:pt idx="14" formatCode="#,##0.0">
                  <c:v>110.77507327825063</c:v>
                </c:pt>
                <c:pt idx="15" formatCode="#,##0.0">
                  <c:v>115.64917650249367</c:v>
                </c:pt>
                <c:pt idx="16" formatCode="#,##0.0">
                  <c:v>121.66293368062333</c:v>
                </c:pt>
              </c:numCache>
            </c:numRef>
          </c:val>
          <c:smooth val="0"/>
          <c:extLst>
            <c:ext xmlns:c16="http://schemas.microsoft.com/office/drawing/2014/chart" uri="{C3380CC4-5D6E-409C-BE32-E72D297353CC}">
              <c16:uniqueId val="{00000003-C543-48AA-A453-F2E0636F496F}"/>
            </c:ext>
          </c:extLst>
        </c:ser>
        <c:dLbls>
          <c:showLegendKey val="0"/>
          <c:showVal val="0"/>
          <c:showCatName val="0"/>
          <c:showSerName val="0"/>
          <c:showPercent val="0"/>
          <c:showBubbleSize val="0"/>
        </c:dLbls>
        <c:marker val="1"/>
        <c:smooth val="0"/>
        <c:axId val="583419136"/>
        <c:axId val="583416512"/>
        <c:extLst>
          <c:ext xmlns:c15="http://schemas.microsoft.com/office/drawing/2012/chart" uri="{02D57815-91ED-43cb-92C2-25804820EDAC}">
            <c15:filteredLineSeries>
              <c15:ser>
                <c:idx val="2"/>
                <c:order val="2"/>
                <c:tx>
                  <c:strRef>
                    <c:extLst>
                      <c:ext uri="{02D57815-91ED-43cb-92C2-25804820EDAC}">
                        <c15:formulaRef>
                          <c15:sqref>'[2020-21 Budget - Charts for chapter 3.5 Revenue_GST.xlsx]GST Pool'!$D$5</c15:sqref>
                        </c15:formulaRef>
                      </c:ext>
                    </c:extLst>
                    <c:strCache>
                      <c:ptCount val="1"/>
                      <c:pt idx="0">
                        <c:v>Upside</c:v>
                      </c:pt>
                    </c:strCache>
                  </c:strRef>
                </c:tx>
                <c:spPr>
                  <a:ln w="28575" cap="rnd">
                    <a:solidFill>
                      <a:schemeClr val="accent3"/>
                    </a:solidFill>
                    <a:round/>
                  </a:ln>
                  <a:effectLst/>
                </c:spPr>
                <c:marker>
                  <c:symbol val="none"/>
                </c:marker>
                <c:cat>
                  <c:strRef>
                    <c:extLst>
                      <c:ext uri="{02D57815-91ED-43cb-92C2-25804820EDAC}">
                        <c15:formulaRef>
                          <c15:sqref>'[2021-22 Budget - Charts for chapter 3.5 Revenue_GST.xlsx]GST Pool'!$A$6:$A$22</c15:sqref>
                        </c15:formulaRef>
                      </c:ext>
                    </c:extLst>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extLst>
                      <c:ext uri="{02D57815-91ED-43cb-92C2-25804820EDAC}">
                        <c15:formulaRef>
                          <c15:sqref>'[2020-21 Budget - Charts for chapter 3.5 Revenue_GST.xlsx]GST Pool'!$D$6:$D$22</c15:sqref>
                        </c15:formulaRef>
                      </c:ext>
                    </c:extLst>
                    <c:numCache>
                      <c:formatCode>General</c:formatCode>
                      <c:ptCount val="17"/>
                      <c:pt idx="10">
                        <c:v>100</c:v>
                      </c:pt>
                      <c:pt idx="11">
                        <c:v>92.443216697360342</c:v>
                      </c:pt>
                      <c:pt idx="12">
                        <c:v>111.38735420503376</c:v>
                      </c:pt>
                      <c:pt idx="13">
                        <c:v>106.87452635978474</c:v>
                      </c:pt>
                      <c:pt idx="14">
                        <c:v>114.35574320496968</c:v>
                      </c:pt>
                      <c:pt idx="15">
                        <c:v>119.38739590598837</c:v>
                      </c:pt>
                      <c:pt idx="16">
                        <c:v>125.59554049309976</c:v>
                      </c:pt>
                    </c:numCache>
                  </c:numRef>
                </c:val>
                <c:smooth val="0"/>
                <c:extLst>
                  <c:ext xmlns:c16="http://schemas.microsoft.com/office/drawing/2014/chart" uri="{C3380CC4-5D6E-409C-BE32-E72D297353CC}">
                    <c16:uniqueId val="{00000004-C543-48AA-A453-F2E0636F496F}"/>
                  </c:ext>
                </c:extLst>
              </c15:ser>
            </c15:filteredLineSeries>
          </c:ext>
        </c:extLst>
      </c:lineChart>
      <c:catAx>
        <c:axId val="583419136"/>
        <c:scaling>
          <c:orientation val="minMax"/>
        </c:scaling>
        <c:delete val="0"/>
        <c:axPos val="b"/>
        <c:numFmt formatCode="General" sourceLinked="1"/>
        <c:majorTickMark val="in"/>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en-US"/>
          </a:p>
        </c:txPr>
        <c:crossAx val="583416512"/>
        <c:crosses val="autoZero"/>
        <c:auto val="1"/>
        <c:lblAlgn val="ctr"/>
        <c:lblOffset val="100"/>
        <c:noMultiLvlLbl val="0"/>
      </c:catAx>
      <c:valAx>
        <c:axId val="583416512"/>
        <c:scaling>
          <c:orientation val="minMax"/>
          <c:max val="130"/>
          <c:min val="60"/>
        </c:scaling>
        <c:delete val="0"/>
        <c:axPos val="l"/>
        <c:majorGridlines>
          <c:spPr>
            <a:ln w="9525" cap="flat" cmpd="sng" algn="ctr">
              <a:solidFill>
                <a:schemeClr val="bg1">
                  <a:lumMod val="50000"/>
                </a:schemeClr>
              </a:solidFill>
              <a:prstDash val="dash"/>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Index (2018-19 = 100)</a:t>
                </a:r>
              </a:p>
            </c:rich>
          </c:tx>
          <c:layout>
            <c:manualLayout>
              <c:xMode val="edge"/>
              <c:yMode val="edge"/>
              <c:x val="4.128476302389346E-3"/>
              <c:y val="0.2657926689576174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in"/>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83419136"/>
        <c:crosses val="autoZero"/>
        <c:crossBetween val="between"/>
      </c:valAx>
      <c:valAx>
        <c:axId val="583282984"/>
        <c:scaling>
          <c:orientation val="minMax"/>
          <c:min val="60"/>
        </c:scaling>
        <c:delete val="1"/>
        <c:axPos val="r"/>
        <c:numFmt formatCode="General" sourceLinked="1"/>
        <c:majorTickMark val="out"/>
        <c:minorTickMark val="none"/>
        <c:tickLblPos val="nextTo"/>
        <c:crossAx val="583287576"/>
        <c:crosses val="max"/>
        <c:crossBetween val="between"/>
      </c:valAx>
      <c:catAx>
        <c:axId val="583287576"/>
        <c:scaling>
          <c:orientation val="minMax"/>
        </c:scaling>
        <c:delete val="1"/>
        <c:axPos val="t"/>
        <c:numFmt formatCode="General" sourceLinked="1"/>
        <c:majorTickMark val="out"/>
        <c:minorTickMark val="none"/>
        <c:tickLblPos val="nextTo"/>
        <c:crossAx val="583282984"/>
        <c:crosses val="max"/>
        <c:auto val="1"/>
        <c:lblAlgn val="ctr"/>
        <c:lblOffset val="100"/>
        <c:noMultiLvlLbl val="0"/>
      </c:catAx>
      <c:spPr>
        <a:noFill/>
        <a:ln>
          <a:noFill/>
        </a:ln>
        <a:effectLst/>
      </c:spPr>
    </c:plotArea>
    <c:legend>
      <c:legendPos val="b"/>
      <c:legendEntry>
        <c:idx val="0"/>
        <c:delete val="1"/>
      </c:legendEntry>
      <c:legendEntry>
        <c:idx val="2"/>
        <c:delete val="1"/>
      </c:legendEntry>
      <c:legendEntry>
        <c:idx val="3"/>
        <c:delete val="1"/>
      </c:legendEntry>
      <c:layout>
        <c:manualLayout>
          <c:xMode val="edge"/>
          <c:yMode val="edge"/>
          <c:x val="0.18252350176263218"/>
          <c:y val="0.93862714776632294"/>
          <c:w val="0.81320701135918527"/>
          <c:h val="6.1372852233676986E-2"/>
        </c:manualLayout>
      </c:layout>
      <c:overlay val="0"/>
      <c:spPr>
        <a:noFill/>
        <a:ln>
          <a:noFill/>
        </a:ln>
        <a:effectLst/>
      </c:spPr>
      <c:txPr>
        <a:bodyPr rot="0" spcFirstLastPara="1" vertOverflow="ellipsis" vert="horz" wrap="square" anchor="ctr" anchorCtr="1"/>
        <a:lstStyle/>
        <a:p>
          <a:pPr>
            <a:defRPr sz="95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n-US" sz="1100" b="1">
                <a:solidFill>
                  <a:sysClr val="windowText" lastClr="000000"/>
                </a:solidFill>
              </a:rPr>
              <a:t>GST Revenue Share</a:t>
            </a:r>
          </a:p>
        </c:rich>
      </c:tx>
      <c:layout>
        <c:manualLayout>
          <c:xMode val="edge"/>
          <c:yMode val="edge"/>
          <c:x val="0.31660718954248368"/>
          <c:y val="8.6043360433604339E-3"/>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6216372549019606"/>
          <c:y val="8.8601388888888882E-2"/>
          <c:w val="0.80898594771241827"/>
          <c:h val="0.66853963414634143"/>
        </c:manualLayout>
      </c:layout>
      <c:areaChart>
        <c:grouping val="stacked"/>
        <c:varyColors val="0"/>
        <c:ser>
          <c:idx val="3"/>
          <c:order val="3"/>
          <c:tx>
            <c:strRef>
              <c:f>'[2021-22 Budget - Charts for chapter 3.5 Revenue_GST.xlsx]GST'!$E$5</c:f>
              <c:strCache>
                <c:ptCount val="1"/>
                <c:pt idx="0">
                  <c:v>Downside</c:v>
                </c:pt>
              </c:strCache>
            </c:strRef>
          </c:tx>
          <c:spPr>
            <a:noFill/>
            <a:ln>
              <a:noFill/>
            </a:ln>
            <a:effectLst/>
          </c:spPr>
          <c:cat>
            <c:strRef>
              <c:f>'[2021-22 Budget - Charts for chapter 3.5 Revenue_GST.xlsx]GST'!$A$6:$A$22</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'[2021-22 Budget - Charts for chapter 3.5 Revenue_GST.xlsx]GST'!$E$6:$E$22</c:f>
              <c:numCache>
                <c:formatCode>General</c:formatCode>
                <c:ptCount val="17"/>
                <c:pt idx="11" formatCode="#,##0.0">
                  <c:v>95.650848765432102</c:v>
                </c:pt>
                <c:pt idx="12" formatCode="#,##0.0">
                  <c:v>104.09645061728395</c:v>
                </c:pt>
                <c:pt idx="13" formatCode="#,##0.0">
                  <c:v>103.81333434602635</c:v>
                </c:pt>
                <c:pt idx="14" formatCode="#,##0.0">
                  <c:v>106.09263037151295</c:v>
                </c:pt>
                <c:pt idx="15" formatCode="#,##0.0">
                  <c:v>110.03485464673963</c:v>
                </c:pt>
                <c:pt idx="16" formatCode="#,##0.0">
                  <c:v>115.40958857869654</c:v>
                </c:pt>
              </c:numCache>
            </c:numRef>
          </c:val>
          <c:extLst>
            <c:ext xmlns:c16="http://schemas.microsoft.com/office/drawing/2014/chart" uri="{C3380CC4-5D6E-409C-BE32-E72D297353CC}">
              <c16:uniqueId val="{00000000-A947-478C-861C-93965D608A67}"/>
            </c:ext>
          </c:extLst>
        </c:ser>
        <c:ser>
          <c:idx val="4"/>
          <c:order val="4"/>
          <c:tx>
            <c:strRef>
              <c:f>'[2021-22 Budget - Charts for chapter 3.5 Revenue_GST.xlsx]GST'!$F$5</c:f>
              <c:strCache>
                <c:ptCount val="1"/>
                <c:pt idx="0">
                  <c:v>Range between upside and downside scenario</c:v>
                </c:pt>
              </c:strCache>
            </c:strRef>
          </c:tx>
          <c:spPr>
            <a:solidFill>
              <a:srgbClr val="CCE4FF"/>
            </a:solidFill>
            <a:ln>
              <a:noFill/>
            </a:ln>
            <a:effectLst/>
          </c:spPr>
          <c:cat>
            <c:strRef>
              <c:f>'[2021-22 Budget - Charts for chapter 3.5 Revenue_GST.xlsx]GST'!$A$6:$A$22</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'[2021-22 Budget - Charts for chapter 3.5 Revenue_GST.xlsx]GST'!$F$6:$F$22</c:f>
              <c:numCache>
                <c:formatCode>General</c:formatCode>
                <c:ptCount val="17"/>
                <c:pt idx="12" formatCode="#,##0.0">
                  <c:v>0</c:v>
                </c:pt>
                <c:pt idx="13" formatCode="#,##0.0">
                  <c:v>2.8733429996526496</c:v>
                </c:pt>
                <c:pt idx="14" formatCode="#,##0.0">
                  <c:v>3.1666056399068196</c:v>
                </c:pt>
                <c:pt idx="15" formatCode="#,##0.0">
                  <c:v>3.9380355852307645</c:v>
                </c:pt>
                <c:pt idx="16" formatCode="#,##0.0">
                  <c:v>4.3576541688492085</c:v>
                </c:pt>
              </c:numCache>
            </c:numRef>
          </c:val>
          <c:extLst xmlns:c15="http://schemas.microsoft.com/office/drawing/2012/chart">
            <c:ext xmlns:c16="http://schemas.microsoft.com/office/drawing/2014/chart" uri="{C3380CC4-5D6E-409C-BE32-E72D297353CC}">
              <c16:uniqueId val="{00000001-A947-478C-861C-93965D608A67}"/>
            </c:ext>
          </c:extLst>
        </c:ser>
        <c:dLbls>
          <c:showLegendKey val="0"/>
          <c:showVal val="0"/>
          <c:showCatName val="0"/>
          <c:showSerName val="0"/>
          <c:showPercent val="0"/>
          <c:showBubbleSize val="0"/>
        </c:dLbls>
        <c:axId val="583287576"/>
        <c:axId val="583282984"/>
      </c:areaChart>
      <c:lineChart>
        <c:grouping val="standard"/>
        <c:varyColors val="0"/>
        <c:ser>
          <c:idx val="0"/>
          <c:order val="0"/>
          <c:tx>
            <c:strRef>
              <c:f>'[2021-22 Budget - Charts for chapter 3.5 Revenue_GST.xlsx]GST'!$B$5</c:f>
              <c:strCache>
                <c:ptCount val="1"/>
                <c:pt idx="0">
                  <c:v>Actual</c:v>
                </c:pt>
              </c:strCache>
            </c:strRef>
          </c:tx>
          <c:spPr>
            <a:ln w="28575" cap="rnd">
              <a:solidFill>
                <a:srgbClr val="001889"/>
              </a:solidFill>
              <a:round/>
            </a:ln>
            <a:effectLst/>
          </c:spPr>
          <c:marker>
            <c:symbol val="none"/>
          </c:marker>
          <c:cat>
            <c:strRef>
              <c:f>'[2021-22 Budget - Charts for chapter 3.5 Revenue_GST.xlsx]GST'!$A$6:$A$22</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'[2021-22 Budget - Charts for chapter 3.5 Revenue_GST.xlsx]GST'!$B$6:$B$22</c:f>
              <c:numCache>
                <c:formatCode>#,##0.0</c:formatCode>
                <c:ptCount val="17"/>
                <c:pt idx="0">
                  <c:v>64.429012345679013</c:v>
                </c:pt>
                <c:pt idx="1">
                  <c:v>69.135802469135797</c:v>
                </c:pt>
                <c:pt idx="2">
                  <c:v>65.817901234567898</c:v>
                </c:pt>
                <c:pt idx="3">
                  <c:v>65.509259259259252</c:v>
                </c:pt>
                <c:pt idx="4">
                  <c:v>73.76543209876543</c:v>
                </c:pt>
                <c:pt idx="5">
                  <c:v>79.552469135802468</c:v>
                </c:pt>
                <c:pt idx="6">
                  <c:v>85.339506172839506</c:v>
                </c:pt>
                <c:pt idx="7">
                  <c:v>80.169753086419746</c:v>
                </c:pt>
                <c:pt idx="8">
                  <c:v>89.120370370370367</c:v>
                </c:pt>
                <c:pt idx="9">
                  <c:v>97.762345679012341</c:v>
                </c:pt>
                <c:pt idx="10">
                  <c:v>100</c:v>
                </c:pt>
                <c:pt idx="11">
                  <c:v>95.650848765432102</c:v>
                </c:pt>
              </c:numCache>
            </c:numRef>
          </c:val>
          <c:smooth val="0"/>
          <c:extLst>
            <c:ext xmlns:c16="http://schemas.microsoft.com/office/drawing/2014/chart" uri="{C3380CC4-5D6E-409C-BE32-E72D297353CC}">
              <c16:uniqueId val="{00000002-A947-478C-861C-93965D608A67}"/>
            </c:ext>
          </c:extLst>
        </c:ser>
        <c:ser>
          <c:idx val="1"/>
          <c:order val="1"/>
          <c:tx>
            <c:strRef>
              <c:f>'[2021-22 Budget - Charts for chapter 3.5 Revenue_GST.xlsx]GST'!$C$5</c:f>
              <c:strCache>
                <c:ptCount val="1"/>
                <c:pt idx="0">
                  <c:v>Baseline</c:v>
                </c:pt>
              </c:strCache>
            </c:strRef>
          </c:tx>
          <c:spPr>
            <a:ln w="28575" cap="rnd">
              <a:solidFill>
                <a:schemeClr val="accent3">
                  <a:shade val="76000"/>
                </a:schemeClr>
              </a:solidFill>
              <a:round/>
            </a:ln>
            <a:effectLst/>
          </c:spPr>
          <c:marker>
            <c:symbol val="none"/>
          </c:marker>
          <c:dPt>
            <c:idx val="11"/>
            <c:marker>
              <c:symbol val="none"/>
            </c:marker>
            <c:bubble3D val="0"/>
            <c:spPr>
              <a:ln w="28575" cap="rnd">
                <a:solidFill>
                  <a:srgbClr val="001889"/>
                </a:solidFill>
                <a:round/>
              </a:ln>
              <a:effectLst/>
            </c:spPr>
            <c:extLst>
              <c:ext xmlns:c16="http://schemas.microsoft.com/office/drawing/2014/chart" uri="{C3380CC4-5D6E-409C-BE32-E72D297353CC}">
                <c16:uniqueId val="{00000002-4C72-4189-8631-9B1452C3459E}"/>
              </c:ext>
            </c:extLst>
          </c:dPt>
          <c:dPt>
            <c:idx val="12"/>
            <c:marker>
              <c:symbol val="none"/>
            </c:marker>
            <c:bubble3D val="0"/>
            <c:spPr>
              <a:ln w="28575" cap="rnd">
                <a:solidFill>
                  <a:srgbClr val="001889"/>
                </a:solidFill>
                <a:round/>
              </a:ln>
              <a:effectLst/>
            </c:spPr>
            <c:extLst>
              <c:ext xmlns:c16="http://schemas.microsoft.com/office/drawing/2014/chart" uri="{C3380CC4-5D6E-409C-BE32-E72D297353CC}">
                <c16:uniqueId val="{00000003-4C72-4189-8631-9B1452C3459E}"/>
              </c:ext>
            </c:extLst>
          </c:dPt>
          <c:dPt>
            <c:idx val="16"/>
            <c:marker>
              <c:symbol val="none"/>
            </c:marker>
            <c:bubble3D val="0"/>
            <c:spPr>
              <a:ln w="28575" cap="rnd">
                <a:solidFill>
                  <a:schemeClr val="accent3">
                    <a:shade val="76000"/>
                  </a:schemeClr>
                </a:solidFill>
                <a:round/>
              </a:ln>
              <a:effectLst/>
            </c:spPr>
            <c:extLst>
              <c:ext xmlns:c16="http://schemas.microsoft.com/office/drawing/2014/chart" uri="{C3380CC4-5D6E-409C-BE32-E72D297353CC}">
                <c16:uniqueId val="{00000001-4C72-4189-8631-9B1452C3459E}"/>
              </c:ext>
            </c:extLst>
          </c:dPt>
          <c:cat>
            <c:strRef>
              <c:f>'[2021-22 Budget - Charts for chapter 3.5 Revenue_GST.xlsx]GST'!$A$6:$A$22</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'[2021-22 Budget - Charts for chapter 3.5 Revenue_GST.xlsx]GST'!$C$6:$C$22</c:f>
              <c:numCache>
                <c:formatCode>General</c:formatCode>
                <c:ptCount val="17"/>
                <c:pt idx="10" formatCode="#,##0.0">
                  <c:v>100</c:v>
                </c:pt>
                <c:pt idx="11" formatCode="#,##0.0">
                  <c:v>95.650848765432102</c:v>
                </c:pt>
                <c:pt idx="12" formatCode="#,##0.0">
                  <c:v>104.09645061728395</c:v>
                </c:pt>
                <c:pt idx="13" formatCode="#,##0.0">
                  <c:v>105.53711419753087</c:v>
                </c:pt>
                <c:pt idx="14" formatCode="#,##0.0">
                  <c:v>108.0320987654321</c:v>
                </c:pt>
                <c:pt idx="15" formatCode="#,##0.0">
                  <c:v>112.47731481481482</c:v>
                </c:pt>
                <c:pt idx="16" formatCode="#,##0.0">
                  <c:v>117.97137345679012</c:v>
                </c:pt>
              </c:numCache>
            </c:numRef>
          </c:val>
          <c:smooth val="0"/>
          <c:extLst>
            <c:ext xmlns:c16="http://schemas.microsoft.com/office/drawing/2014/chart" uri="{C3380CC4-5D6E-409C-BE32-E72D297353CC}">
              <c16:uniqueId val="{00000003-A947-478C-861C-93965D608A67}"/>
            </c:ext>
          </c:extLst>
        </c:ser>
        <c:dLbls>
          <c:showLegendKey val="0"/>
          <c:showVal val="0"/>
          <c:showCatName val="0"/>
          <c:showSerName val="0"/>
          <c:showPercent val="0"/>
          <c:showBubbleSize val="0"/>
        </c:dLbls>
        <c:marker val="1"/>
        <c:smooth val="0"/>
        <c:axId val="583419136"/>
        <c:axId val="583416512"/>
        <c:extLst>
          <c:ext xmlns:c15="http://schemas.microsoft.com/office/drawing/2012/chart" uri="{02D57815-91ED-43cb-92C2-25804820EDAC}">
            <c15:filteredLineSeries>
              <c15:ser>
                <c:idx val="2"/>
                <c:order val="2"/>
                <c:tx>
                  <c:strRef>
                    <c:extLst>
                      <c:ext uri="{02D57815-91ED-43cb-92C2-25804820EDAC}">
                        <c15:formulaRef>
                          <c15:sqref>'[2020-21 Budget - Charts for chapter 3.5 Revenue_GST.xlsx]GST'!$D$5</c15:sqref>
                        </c15:formulaRef>
                      </c:ext>
                    </c:extLst>
                    <c:strCache>
                      <c:ptCount val="1"/>
                      <c:pt idx="0">
                        <c:v>Upside</c:v>
                      </c:pt>
                    </c:strCache>
                  </c:strRef>
                </c:tx>
                <c:spPr>
                  <a:ln w="28575" cap="rnd">
                    <a:solidFill>
                      <a:schemeClr val="accent3"/>
                    </a:solidFill>
                    <a:round/>
                  </a:ln>
                  <a:effectLst/>
                </c:spPr>
                <c:marker>
                  <c:symbol val="none"/>
                </c:marker>
                <c:cat>
                  <c:strRef>
                    <c:extLst>
                      <c:ext uri="{02D57815-91ED-43cb-92C2-25804820EDAC}">
                        <c15:formulaRef>
                          <c15:sqref>'[2021-22 Budget - Charts for chapter 3.5 Revenue_GST.xlsx]GST'!$A$6:$A$22</c15:sqref>
                        </c15:formulaRef>
                      </c:ext>
                    </c:extLst>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extLst>
                      <c:ext uri="{02D57815-91ED-43cb-92C2-25804820EDAC}">
                        <c15:formulaRef>
                          <c15:sqref>'[2020-21 Budget - Charts for chapter 3.5 Revenue_GST.xlsx]GST'!$D$6:$D$22</c15:sqref>
                        </c15:formulaRef>
                      </c:ext>
                    </c:extLst>
                    <c:numCache>
                      <c:formatCode>General</c:formatCode>
                      <c:ptCount val="17"/>
                      <c:pt idx="10">
                        <c:v>100</c:v>
                      </c:pt>
                      <c:pt idx="11">
                        <c:v>95.650848765432102</c:v>
                      </c:pt>
                      <c:pt idx="12">
                        <c:v>104.09645061728395</c:v>
                      </c:pt>
                      <c:pt idx="13">
                        <c:v>108.80825617283951</c:v>
                      </c:pt>
                      <c:pt idx="14">
                        <c:v>111.52407407407408</c:v>
                      </c:pt>
                      <c:pt idx="15">
                        <c:v>116.11296296296297</c:v>
                      </c:pt>
                      <c:pt idx="16">
                        <c:v>121.7846450617284</c:v>
                      </c:pt>
                    </c:numCache>
                  </c:numRef>
                </c:val>
                <c:smooth val="0"/>
                <c:extLst>
                  <c:ext xmlns:c16="http://schemas.microsoft.com/office/drawing/2014/chart" uri="{C3380CC4-5D6E-409C-BE32-E72D297353CC}">
                    <c16:uniqueId val="{00000004-A947-478C-861C-93965D608A67}"/>
                  </c:ext>
                </c:extLst>
              </c15:ser>
            </c15:filteredLineSeries>
          </c:ext>
        </c:extLst>
      </c:lineChart>
      <c:catAx>
        <c:axId val="583419136"/>
        <c:scaling>
          <c:orientation val="minMax"/>
        </c:scaling>
        <c:delete val="0"/>
        <c:axPos val="b"/>
        <c:numFmt formatCode="General" sourceLinked="1"/>
        <c:majorTickMark val="in"/>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900" b="0" i="0" u="none" strike="noStrike" kern="1200" baseline="0">
                <a:ln>
                  <a:noFill/>
                </a:ln>
                <a:solidFill>
                  <a:sysClr val="windowText" lastClr="000000"/>
                </a:solidFill>
                <a:latin typeface="+mn-lt"/>
                <a:ea typeface="+mn-ea"/>
                <a:cs typeface="+mn-cs"/>
              </a:defRPr>
            </a:pPr>
            <a:endParaRPr lang="en-US"/>
          </a:p>
        </c:txPr>
        <c:crossAx val="583416512"/>
        <c:crosses val="autoZero"/>
        <c:auto val="1"/>
        <c:lblAlgn val="ctr"/>
        <c:lblOffset val="100"/>
        <c:noMultiLvlLbl val="0"/>
      </c:catAx>
      <c:valAx>
        <c:axId val="583416512"/>
        <c:scaling>
          <c:orientation val="minMax"/>
          <c:min val="60"/>
        </c:scaling>
        <c:delete val="0"/>
        <c:axPos val="l"/>
        <c:majorGridlines>
          <c:spPr>
            <a:ln w="9525" cap="flat" cmpd="sng" algn="ctr">
              <a:solidFill>
                <a:schemeClr val="bg1">
                  <a:lumMod val="50000"/>
                </a:schemeClr>
              </a:solidFill>
              <a:prstDash val="dash"/>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Index (2018-19 = 100)</a:t>
                </a:r>
              </a:p>
            </c:rich>
          </c:tx>
          <c:layout>
            <c:manualLayout>
              <c:xMode val="edge"/>
              <c:yMode val="edge"/>
              <c:x val="1.4042483660130715E-3"/>
              <c:y val="0.2659049255441007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83419136"/>
        <c:crosses val="autoZero"/>
        <c:crossBetween val="between"/>
      </c:valAx>
      <c:valAx>
        <c:axId val="583282984"/>
        <c:scaling>
          <c:orientation val="minMax"/>
          <c:min val="60"/>
        </c:scaling>
        <c:delete val="1"/>
        <c:axPos val="r"/>
        <c:numFmt formatCode="General" sourceLinked="1"/>
        <c:majorTickMark val="out"/>
        <c:minorTickMark val="none"/>
        <c:tickLblPos val="nextTo"/>
        <c:crossAx val="583287576"/>
        <c:crosses val="max"/>
        <c:crossBetween val="between"/>
      </c:valAx>
      <c:catAx>
        <c:axId val="583287576"/>
        <c:scaling>
          <c:orientation val="minMax"/>
        </c:scaling>
        <c:delete val="1"/>
        <c:axPos val="b"/>
        <c:numFmt formatCode="General" sourceLinked="1"/>
        <c:majorTickMark val="out"/>
        <c:minorTickMark val="none"/>
        <c:tickLblPos val="nextTo"/>
        <c:crossAx val="583282984"/>
        <c:crosses val="autoZero"/>
        <c:auto val="1"/>
        <c:lblAlgn val="ctr"/>
        <c:lblOffset val="100"/>
        <c:noMultiLvlLbl val="0"/>
      </c:catAx>
      <c:spPr>
        <a:noFill/>
        <a:ln>
          <a:noFill/>
        </a:ln>
        <a:effectLst/>
      </c:spPr>
    </c:plotArea>
    <c:legend>
      <c:legendPos val="b"/>
      <c:legendEntry>
        <c:idx val="0"/>
        <c:delete val="1"/>
      </c:legendEntry>
      <c:legendEntry>
        <c:idx val="1"/>
        <c:delete val="1"/>
      </c:legendEntry>
      <c:layout>
        <c:manualLayout>
          <c:xMode val="edge"/>
          <c:yMode val="edge"/>
          <c:x val="0"/>
          <c:y val="0.94093360433604334"/>
          <c:w val="0.84258366013071895"/>
          <c:h val="5.179268292682928E-2"/>
        </c:manualLayout>
      </c:layout>
      <c:overlay val="0"/>
      <c:spPr>
        <a:noFill/>
        <a:ln>
          <a:noFill/>
        </a:ln>
        <a:effectLst/>
      </c:spPr>
      <c:txPr>
        <a:bodyPr rot="0" spcFirstLastPara="1" vertOverflow="ellipsis" vert="horz" wrap="square" anchor="ctr" anchorCtr="1"/>
        <a:lstStyle/>
        <a:p>
          <a:pPr>
            <a:defRPr sz="950" b="1"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n-AU" sz="1100" b="1"/>
              <a:t>Land Tax</a:t>
            </a:r>
          </a:p>
        </c:rich>
      </c:tx>
      <c:layout>
        <c:manualLayout>
          <c:xMode val="edge"/>
          <c:yMode val="edge"/>
          <c:x val="0.42180098039215685"/>
          <c:y val="3.9197530864197531E-3"/>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6549305555555555"/>
          <c:y val="9.0154320987654316E-2"/>
          <c:w val="0.80804861111111115"/>
          <c:h val="0.67799043209876542"/>
        </c:manualLayout>
      </c:layout>
      <c:areaChart>
        <c:grouping val="stacked"/>
        <c:varyColors val="0"/>
        <c:ser>
          <c:idx val="2"/>
          <c:order val="1"/>
          <c:tx>
            <c:strRef>
              <c:f>'Land Tax'!$O$4</c:f>
              <c:strCache>
                <c:ptCount val="1"/>
                <c:pt idx="0">
                  <c:v>Downside</c:v>
                </c:pt>
              </c:strCache>
            </c:strRef>
          </c:tx>
          <c:spPr>
            <a:noFill/>
            <a:ln>
              <a:noFill/>
            </a:ln>
            <a:effectLst/>
          </c:spPr>
          <c:cat>
            <c:strRef>
              <c:f>'Land Tax'!$B$9:$B$25</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'Land Tax'!$O$9:$O$25</c:f>
              <c:numCache>
                <c:formatCode>General</c:formatCode>
                <c:ptCount val="17"/>
                <c:pt idx="12" formatCode="#,##0.0">
                  <c:v>108.76023169966587</c:v>
                </c:pt>
                <c:pt idx="13" formatCode="#,##0.0">
                  <c:v>114.16847949406304</c:v>
                </c:pt>
                <c:pt idx="14" formatCode="#,##0.0">
                  <c:v>126.07148762940987</c:v>
                </c:pt>
                <c:pt idx="15" formatCode="#,##0.0">
                  <c:v>130.0752126619856</c:v>
                </c:pt>
                <c:pt idx="16" formatCode="#,##0.0">
                  <c:v>133.78237834081474</c:v>
                </c:pt>
              </c:numCache>
            </c:numRef>
          </c:val>
          <c:extLst>
            <c:ext xmlns:c16="http://schemas.microsoft.com/office/drawing/2014/chart" uri="{C3380CC4-5D6E-409C-BE32-E72D297353CC}">
              <c16:uniqueId val="{00000000-A3EE-40C6-92CC-FE3A69D9063D}"/>
            </c:ext>
          </c:extLst>
        </c:ser>
        <c:ser>
          <c:idx val="4"/>
          <c:order val="3"/>
          <c:tx>
            <c:strRef>
              <c:f>'Land Tax'!$P$3</c:f>
              <c:strCache>
                <c:ptCount val="1"/>
                <c:pt idx="0">
                  <c:v>Range between upside and downside scenario</c:v>
                </c:pt>
              </c:strCache>
            </c:strRef>
          </c:tx>
          <c:spPr>
            <a:solidFill>
              <a:schemeClr val="accent5"/>
            </a:solidFill>
            <a:ln>
              <a:noFill/>
            </a:ln>
            <a:effectLst/>
          </c:spPr>
          <c:cat>
            <c:strRef>
              <c:f>'Land Tax'!$B$9:$B$25</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'Land Tax'!$P$9:$P$25</c:f>
              <c:numCache>
                <c:formatCode>General</c:formatCode>
                <c:ptCount val="17"/>
                <c:pt idx="12" formatCode="#,##0.000">
                  <c:v>0</c:v>
                </c:pt>
                <c:pt idx="13" formatCode="#,##0.000">
                  <c:v>2.0324809557638019</c:v>
                </c:pt>
                <c:pt idx="14" formatCode="#,##0.000">
                  <c:v>5.7849814941061908</c:v>
                </c:pt>
                <c:pt idx="15" formatCode="#,##0.000">
                  <c:v>7.9251170200512036</c:v>
                </c:pt>
                <c:pt idx="16" formatCode="#,##0.000">
                  <c:v>9.9433165145543967</c:v>
                </c:pt>
              </c:numCache>
            </c:numRef>
          </c:val>
          <c:extLst>
            <c:ext xmlns:c16="http://schemas.microsoft.com/office/drawing/2014/chart" uri="{C3380CC4-5D6E-409C-BE32-E72D297353CC}">
              <c16:uniqueId val="{00000001-A3EE-40C6-92CC-FE3A69D9063D}"/>
            </c:ext>
          </c:extLst>
        </c:ser>
        <c:dLbls>
          <c:showLegendKey val="0"/>
          <c:showVal val="0"/>
          <c:showCatName val="0"/>
          <c:showSerName val="0"/>
          <c:showPercent val="0"/>
          <c:showBubbleSize val="0"/>
        </c:dLbls>
        <c:axId val="1194807000"/>
        <c:axId val="1194804048"/>
      </c:areaChart>
      <c:lineChart>
        <c:grouping val="standard"/>
        <c:varyColors val="0"/>
        <c:ser>
          <c:idx val="0"/>
          <c:order val="0"/>
          <c:tx>
            <c:strRef>
              <c:f>'Land Tax'!$I$4</c:f>
              <c:strCache>
                <c:ptCount val="1"/>
                <c:pt idx="0">
                  <c:v>Actual</c:v>
                </c:pt>
              </c:strCache>
            </c:strRef>
          </c:tx>
          <c:spPr>
            <a:ln w="28575" cap="rnd">
              <a:solidFill>
                <a:schemeClr val="accent1"/>
              </a:solidFill>
              <a:round/>
            </a:ln>
            <a:effectLst/>
          </c:spPr>
          <c:marker>
            <c:symbol val="none"/>
          </c:marker>
          <c:dPt>
            <c:idx val="0"/>
            <c:marker>
              <c:symbol val="none"/>
            </c:marker>
            <c:bubble3D val="0"/>
            <c:extLst>
              <c:ext xmlns:c16="http://schemas.microsoft.com/office/drawing/2014/chart" uri="{C3380CC4-5D6E-409C-BE32-E72D297353CC}">
                <c16:uniqueId val="{00000000-34CA-4272-9FA9-83F1A5DA9E1A}"/>
              </c:ext>
            </c:extLst>
          </c:dPt>
          <c:cat>
            <c:strRef>
              <c:f>'Land Tax'!$B$9:$B$25</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'Land Tax'!$I$9:$I$25</c:f>
              <c:numCache>
                <c:formatCode>#,##0.0</c:formatCode>
                <c:ptCount val="17"/>
                <c:pt idx="0">
                  <c:v>62.982768431650058</c:v>
                </c:pt>
                <c:pt idx="1">
                  <c:v>71.72767993930286</c:v>
                </c:pt>
                <c:pt idx="2">
                  <c:v>80.002042692268404</c:v>
                </c:pt>
                <c:pt idx="3">
                  <c:v>83.980915417949433</c:v>
                </c:pt>
                <c:pt idx="4">
                  <c:v>51.595488568218627</c:v>
                </c:pt>
                <c:pt idx="5">
                  <c:v>57.936588995724932</c:v>
                </c:pt>
                <c:pt idx="6">
                  <c:v>70.158454557392361</c:v>
                </c:pt>
                <c:pt idx="7">
                  <c:v>73.688664516976232</c:v>
                </c:pt>
                <c:pt idx="8">
                  <c:v>77.343624611523694</c:v>
                </c:pt>
                <c:pt idx="9">
                  <c:v>97.701971198039018</c:v>
                </c:pt>
                <c:pt idx="10">
                  <c:v>100</c:v>
                </c:pt>
                <c:pt idx="11">
                  <c:v>104.59897573573397</c:v>
                </c:pt>
                <c:pt idx="12">
                  <c:v>108.76023169966587</c:v>
                </c:pt>
              </c:numCache>
            </c:numRef>
          </c:val>
          <c:smooth val="0"/>
          <c:extLst>
            <c:ext xmlns:c16="http://schemas.microsoft.com/office/drawing/2014/chart" uri="{C3380CC4-5D6E-409C-BE32-E72D297353CC}">
              <c16:uniqueId val="{00000002-A3EE-40C6-92CC-FE3A69D9063D}"/>
            </c:ext>
          </c:extLst>
        </c:ser>
        <c:ser>
          <c:idx val="3"/>
          <c:order val="2"/>
          <c:tx>
            <c:strRef>
              <c:f>'Land Tax'!$M$4</c:f>
              <c:strCache>
                <c:ptCount val="1"/>
                <c:pt idx="0">
                  <c:v>Baseline</c:v>
                </c:pt>
              </c:strCache>
            </c:strRef>
          </c:tx>
          <c:spPr>
            <a:ln w="28575" cap="rnd">
              <a:solidFill>
                <a:srgbClr val="667EEF"/>
              </a:solidFill>
              <a:round/>
            </a:ln>
            <a:effectLst/>
          </c:spPr>
          <c:marker>
            <c:symbol val="none"/>
          </c:marker>
          <c:cat>
            <c:strRef>
              <c:f>'Land Tax'!$B$9:$B$25</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'Land Tax'!$M$9:$M$25</c:f>
              <c:numCache>
                <c:formatCode>General</c:formatCode>
                <c:ptCount val="17"/>
                <c:pt idx="12" formatCode="#,##0.0">
                  <c:v>108.76023169966587</c:v>
                </c:pt>
                <c:pt idx="13" formatCode="#,##0.0">
                  <c:v>115.23483665757182</c:v>
                </c:pt>
                <c:pt idx="14" formatCode="#,##0.0">
                  <c:v>129.61976742489458</c:v>
                </c:pt>
                <c:pt idx="15" formatCode="#,##0.0">
                  <c:v>132.72028247515942</c:v>
                </c:pt>
                <c:pt idx="16" formatCode="#,##0.0">
                  <c:v>137.67089309424108</c:v>
                </c:pt>
              </c:numCache>
            </c:numRef>
          </c:val>
          <c:smooth val="0"/>
          <c:extLst>
            <c:ext xmlns:c16="http://schemas.microsoft.com/office/drawing/2014/chart" uri="{C3380CC4-5D6E-409C-BE32-E72D297353CC}">
              <c16:uniqueId val="{00000003-A3EE-40C6-92CC-FE3A69D9063D}"/>
            </c:ext>
          </c:extLst>
        </c:ser>
        <c:dLbls>
          <c:showLegendKey val="0"/>
          <c:showVal val="0"/>
          <c:showCatName val="0"/>
          <c:showSerName val="0"/>
          <c:showPercent val="0"/>
          <c:showBubbleSize val="0"/>
        </c:dLbls>
        <c:marker val="1"/>
        <c:smooth val="0"/>
        <c:axId val="1655276752"/>
        <c:axId val="1655277080"/>
      </c:lineChart>
      <c:catAx>
        <c:axId val="1655276752"/>
        <c:scaling>
          <c:orientation val="minMax"/>
        </c:scaling>
        <c:delete val="0"/>
        <c:axPos val="b"/>
        <c:numFmt formatCode="General" sourceLinked="1"/>
        <c:majorTickMark val="in"/>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55277080"/>
        <c:crosses val="autoZero"/>
        <c:auto val="1"/>
        <c:lblAlgn val="ctr"/>
        <c:lblOffset val="100"/>
        <c:noMultiLvlLbl val="0"/>
      </c:catAx>
      <c:valAx>
        <c:axId val="1655277080"/>
        <c:scaling>
          <c:orientation val="minMax"/>
          <c:max val="150"/>
          <c:min val="40"/>
        </c:scaling>
        <c:delete val="0"/>
        <c:axPos val="l"/>
        <c:majorGridlines>
          <c:spPr>
            <a:ln w="9525" cap="flat" cmpd="sng" algn="ctr">
              <a:solidFill>
                <a:schemeClr val="bg1">
                  <a:lumMod val="50000"/>
                </a:schemeClr>
              </a:solidFill>
              <a:prstDash val="dash"/>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sz="900"/>
                  <a:t>Index (2018-19 = 100)</a:t>
                </a:r>
              </a:p>
            </c:rich>
          </c:tx>
          <c:layout>
            <c:manualLayout>
              <c:xMode val="edge"/>
              <c:yMode val="edge"/>
              <c:x val="2.204861111111111E-3"/>
              <c:y val="0.2099472222222222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title>
        <c:numFmt formatCode="#,##0" sourceLinked="0"/>
        <c:majorTickMark val="in"/>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55276752"/>
        <c:crosses val="autoZero"/>
        <c:crossBetween val="between"/>
        <c:majorUnit val="10"/>
      </c:valAx>
      <c:valAx>
        <c:axId val="1194804048"/>
        <c:scaling>
          <c:orientation val="minMax"/>
          <c:min val="40"/>
        </c:scaling>
        <c:delete val="1"/>
        <c:axPos val="r"/>
        <c:numFmt formatCode="General" sourceLinked="1"/>
        <c:majorTickMark val="out"/>
        <c:minorTickMark val="none"/>
        <c:tickLblPos val="nextTo"/>
        <c:crossAx val="1194807000"/>
        <c:crosses val="max"/>
        <c:crossBetween val="between"/>
      </c:valAx>
      <c:catAx>
        <c:axId val="1194807000"/>
        <c:scaling>
          <c:orientation val="minMax"/>
        </c:scaling>
        <c:delete val="1"/>
        <c:axPos val="b"/>
        <c:numFmt formatCode="General" sourceLinked="1"/>
        <c:majorTickMark val="out"/>
        <c:minorTickMark val="none"/>
        <c:tickLblPos val="nextTo"/>
        <c:crossAx val="1194804048"/>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5877133691821728E-2"/>
          <c:y val="5.011389521640091E-2"/>
          <c:w val="0.88032622352559609"/>
          <c:h val="0.58278585905691171"/>
        </c:manualLayout>
      </c:layout>
      <c:lineChart>
        <c:grouping val="standard"/>
        <c:varyColors val="0"/>
        <c:ser>
          <c:idx val="0"/>
          <c:order val="0"/>
          <c:tx>
            <c:strRef>
              <c:f>'GST revenue chart'!$C$2</c:f>
              <c:strCache>
                <c:ptCount val="1"/>
                <c:pt idx="0">
                  <c:v>Actuals</c:v>
                </c:pt>
              </c:strCache>
            </c:strRef>
          </c:tx>
          <c:spPr>
            <a:ln w="28575" cap="rnd">
              <a:solidFill>
                <a:schemeClr val="accent1"/>
              </a:solidFill>
              <a:round/>
            </a:ln>
            <a:effectLst/>
          </c:spPr>
          <c:marker>
            <c:symbol val="none"/>
          </c:marker>
          <c:cat>
            <c:strRef>
              <c:f>'GST revenue chart'!$B$3:$B$10</c:f>
              <c:strCache>
                <c:ptCount val="8"/>
                <c:pt idx="0">
                  <c:v>2017-18</c:v>
                </c:pt>
                <c:pt idx="1">
                  <c:v>2018-19</c:v>
                </c:pt>
                <c:pt idx="2">
                  <c:v>2019-20</c:v>
                </c:pt>
                <c:pt idx="3">
                  <c:v>2020-21</c:v>
                </c:pt>
                <c:pt idx="4">
                  <c:v>2021-22</c:v>
                </c:pt>
                <c:pt idx="5">
                  <c:v>2022-23</c:v>
                </c:pt>
                <c:pt idx="6">
                  <c:v>2023-24</c:v>
                </c:pt>
                <c:pt idx="7">
                  <c:v>2024-25</c:v>
                </c:pt>
              </c:strCache>
            </c:strRef>
          </c:cat>
          <c:val>
            <c:numRef>
              <c:f>'GST revenue chart'!$C$3:$C$10</c:f>
              <c:numCache>
                <c:formatCode>#,##0</c:formatCode>
                <c:ptCount val="8"/>
                <c:pt idx="0">
                  <c:v>1267</c:v>
                </c:pt>
                <c:pt idx="1">
                  <c:v>1296</c:v>
                </c:pt>
              </c:numCache>
            </c:numRef>
          </c:val>
          <c:smooth val="0"/>
          <c:extLst>
            <c:ext xmlns:c16="http://schemas.microsoft.com/office/drawing/2014/chart" uri="{C3380CC4-5D6E-409C-BE32-E72D297353CC}">
              <c16:uniqueId val="{00000000-AE2E-4E14-99FD-9C3301563ED3}"/>
            </c:ext>
          </c:extLst>
        </c:ser>
        <c:ser>
          <c:idx val="1"/>
          <c:order val="1"/>
          <c:tx>
            <c:strRef>
              <c:f>'GST revenue chart'!$D$2</c:f>
              <c:strCache>
                <c:ptCount val="1"/>
                <c:pt idx="0">
                  <c:v>2019-20 Budget Review</c:v>
                </c:pt>
              </c:strCache>
            </c:strRef>
          </c:tx>
          <c:spPr>
            <a:ln w="28575" cap="rnd">
              <a:solidFill>
                <a:schemeClr val="accent2"/>
              </a:solidFill>
              <a:round/>
            </a:ln>
            <a:effectLst/>
          </c:spPr>
          <c:marker>
            <c:symbol val="none"/>
          </c:marker>
          <c:cat>
            <c:strRef>
              <c:f>'GST revenue chart'!$B$3:$B$10</c:f>
              <c:strCache>
                <c:ptCount val="8"/>
                <c:pt idx="0">
                  <c:v>2017-18</c:v>
                </c:pt>
                <c:pt idx="1">
                  <c:v>2018-19</c:v>
                </c:pt>
                <c:pt idx="2">
                  <c:v>2019-20</c:v>
                </c:pt>
                <c:pt idx="3">
                  <c:v>2020-21</c:v>
                </c:pt>
                <c:pt idx="4">
                  <c:v>2021-22</c:v>
                </c:pt>
                <c:pt idx="5">
                  <c:v>2022-23</c:v>
                </c:pt>
                <c:pt idx="6">
                  <c:v>2023-24</c:v>
                </c:pt>
                <c:pt idx="7">
                  <c:v>2024-25</c:v>
                </c:pt>
              </c:strCache>
            </c:strRef>
          </c:cat>
          <c:val>
            <c:numRef>
              <c:f>'GST revenue chart'!$D$3:$D$10</c:f>
              <c:numCache>
                <c:formatCode>#,##0</c:formatCode>
                <c:ptCount val="8"/>
                <c:pt idx="1">
                  <c:v>1296</c:v>
                </c:pt>
                <c:pt idx="2">
                  <c:v>1368</c:v>
                </c:pt>
                <c:pt idx="3">
                  <c:v>1418.9</c:v>
                </c:pt>
                <c:pt idx="4">
                  <c:v>1504.2</c:v>
                </c:pt>
                <c:pt idx="5">
                  <c:v>1586.4</c:v>
                </c:pt>
              </c:numCache>
            </c:numRef>
          </c:val>
          <c:smooth val="0"/>
          <c:extLst>
            <c:ext xmlns:c16="http://schemas.microsoft.com/office/drawing/2014/chart" uri="{C3380CC4-5D6E-409C-BE32-E72D297353CC}">
              <c16:uniqueId val="{00000001-AE2E-4E14-99FD-9C3301563ED3}"/>
            </c:ext>
          </c:extLst>
        </c:ser>
        <c:ser>
          <c:idx val="2"/>
          <c:order val="2"/>
          <c:tx>
            <c:strRef>
              <c:f>'GST revenue chart'!$E$2</c:f>
              <c:strCache>
                <c:ptCount val="1"/>
                <c:pt idx="0">
                  <c:v>2020-21 Budget</c:v>
                </c:pt>
              </c:strCache>
            </c:strRef>
          </c:tx>
          <c:spPr>
            <a:ln w="28575" cap="rnd">
              <a:solidFill>
                <a:schemeClr val="accent3"/>
              </a:solidFill>
              <a:round/>
            </a:ln>
            <a:effectLst/>
          </c:spPr>
          <c:marker>
            <c:symbol val="none"/>
          </c:marker>
          <c:dPt>
            <c:idx val="4"/>
            <c:marker>
              <c:symbol val="none"/>
            </c:marker>
            <c:bubble3D val="0"/>
            <c:spPr>
              <a:ln w="28575" cap="rnd">
                <a:solidFill>
                  <a:schemeClr val="accent3"/>
                </a:solidFill>
                <a:round/>
              </a:ln>
              <a:effectLst/>
            </c:spPr>
            <c:extLst>
              <c:ext xmlns:c16="http://schemas.microsoft.com/office/drawing/2014/chart" uri="{C3380CC4-5D6E-409C-BE32-E72D297353CC}">
                <c16:uniqueId val="{00000000-53C9-4918-8869-8E16B6D23F7D}"/>
              </c:ext>
            </c:extLst>
          </c:dPt>
          <c:dPt>
            <c:idx val="5"/>
            <c:marker>
              <c:symbol val="none"/>
            </c:marker>
            <c:bubble3D val="0"/>
            <c:spPr>
              <a:ln w="28575" cap="rnd">
                <a:solidFill>
                  <a:schemeClr val="accent3"/>
                </a:solidFill>
                <a:round/>
              </a:ln>
              <a:effectLst/>
            </c:spPr>
            <c:extLst>
              <c:ext xmlns:c16="http://schemas.microsoft.com/office/drawing/2014/chart" uri="{C3380CC4-5D6E-409C-BE32-E72D297353CC}">
                <c16:uniqueId val="{00000001-53C9-4918-8869-8E16B6D23F7D}"/>
              </c:ext>
            </c:extLst>
          </c:dPt>
          <c:cat>
            <c:strRef>
              <c:f>'GST revenue chart'!$B$3:$B$10</c:f>
              <c:strCache>
                <c:ptCount val="8"/>
                <c:pt idx="0">
                  <c:v>2017-18</c:v>
                </c:pt>
                <c:pt idx="1">
                  <c:v>2018-19</c:v>
                </c:pt>
                <c:pt idx="2">
                  <c:v>2019-20</c:v>
                </c:pt>
                <c:pt idx="3">
                  <c:v>2020-21</c:v>
                </c:pt>
                <c:pt idx="4">
                  <c:v>2021-22</c:v>
                </c:pt>
                <c:pt idx="5">
                  <c:v>2022-23</c:v>
                </c:pt>
                <c:pt idx="6">
                  <c:v>2023-24</c:v>
                </c:pt>
                <c:pt idx="7">
                  <c:v>2024-25</c:v>
                </c:pt>
              </c:strCache>
            </c:strRef>
          </c:cat>
          <c:val>
            <c:numRef>
              <c:f>'GST revenue chart'!$E$3:$E$10</c:f>
              <c:numCache>
                <c:formatCode>General</c:formatCode>
                <c:ptCount val="8"/>
                <c:pt idx="2" formatCode="#,##0">
                  <c:v>1239</c:v>
                </c:pt>
                <c:pt idx="3" formatCode="#,##0">
                  <c:v>1221.5374992493282</c:v>
                </c:pt>
                <c:pt idx="4" formatCode="#,##0">
                  <c:v>1300.6268879012205</c:v>
                </c:pt>
                <c:pt idx="5" formatCode="#,##0">
                  <c:v>1380.0948521661639</c:v>
                </c:pt>
                <c:pt idx="6" formatCode="#,##0">
                  <c:v>1441.5581814957059</c:v>
                </c:pt>
              </c:numCache>
            </c:numRef>
          </c:val>
          <c:smooth val="0"/>
          <c:extLst>
            <c:ext xmlns:c16="http://schemas.microsoft.com/office/drawing/2014/chart" uri="{C3380CC4-5D6E-409C-BE32-E72D297353CC}">
              <c16:uniqueId val="{00000002-AE2E-4E14-99FD-9C3301563ED3}"/>
            </c:ext>
          </c:extLst>
        </c:ser>
        <c:ser>
          <c:idx val="3"/>
          <c:order val="3"/>
          <c:tx>
            <c:strRef>
              <c:f>'GST revenue chart'!$G$2</c:f>
              <c:strCache>
                <c:ptCount val="1"/>
                <c:pt idx="0">
                  <c:v>2021-22 Budget</c:v>
                </c:pt>
              </c:strCache>
            </c:strRef>
          </c:tx>
          <c:spPr>
            <a:ln w="28575" cap="rnd">
              <a:solidFill>
                <a:schemeClr val="accent4"/>
              </a:solidFill>
              <a:round/>
            </a:ln>
            <a:effectLst/>
          </c:spPr>
          <c:marker>
            <c:symbol val="none"/>
          </c:marker>
          <c:cat>
            <c:strRef>
              <c:f>'GST revenue chart'!$B$3:$B$10</c:f>
              <c:strCache>
                <c:ptCount val="8"/>
                <c:pt idx="0">
                  <c:v>2017-18</c:v>
                </c:pt>
                <c:pt idx="1">
                  <c:v>2018-19</c:v>
                </c:pt>
                <c:pt idx="2">
                  <c:v>2019-20</c:v>
                </c:pt>
                <c:pt idx="3">
                  <c:v>2020-21</c:v>
                </c:pt>
                <c:pt idx="4">
                  <c:v>2021-22</c:v>
                </c:pt>
                <c:pt idx="5">
                  <c:v>2022-23</c:v>
                </c:pt>
                <c:pt idx="6">
                  <c:v>2023-24</c:v>
                </c:pt>
                <c:pt idx="7">
                  <c:v>2024-25</c:v>
                </c:pt>
              </c:strCache>
            </c:strRef>
          </c:cat>
          <c:val>
            <c:numRef>
              <c:f>'GST revenue chart'!$G$3:$G$10</c:f>
              <c:numCache>
                <c:formatCode>#,##0</c:formatCode>
                <c:ptCount val="8"/>
                <c:pt idx="1">
                  <c:v>1296</c:v>
                </c:pt>
                <c:pt idx="2">
                  <c:v>1239</c:v>
                </c:pt>
                <c:pt idx="3">
                  <c:v>1349</c:v>
                </c:pt>
                <c:pt idx="4">
                  <c:v>1368</c:v>
                </c:pt>
                <c:pt idx="5">
                  <c:v>1400</c:v>
                </c:pt>
                <c:pt idx="6">
                  <c:v>1458</c:v>
                </c:pt>
                <c:pt idx="7">
                  <c:v>1529</c:v>
                </c:pt>
              </c:numCache>
            </c:numRef>
          </c:val>
          <c:smooth val="0"/>
          <c:extLst>
            <c:ext xmlns:c16="http://schemas.microsoft.com/office/drawing/2014/chart" uri="{C3380CC4-5D6E-409C-BE32-E72D297353CC}">
              <c16:uniqueId val="{00000003-AE2E-4E14-99FD-9C3301563ED3}"/>
            </c:ext>
          </c:extLst>
        </c:ser>
        <c:ser>
          <c:idx val="4"/>
          <c:order val="4"/>
          <c:tx>
            <c:strRef>
              <c:f>'GST revenue chart'!$F$2</c:f>
              <c:strCache>
                <c:ptCount val="1"/>
                <c:pt idx="0">
                  <c:v>2021-22 Cwlth Budget</c:v>
                </c:pt>
              </c:strCache>
            </c:strRef>
          </c:tx>
          <c:spPr>
            <a:ln w="28575" cap="rnd">
              <a:solidFill>
                <a:schemeClr val="accent5"/>
              </a:solidFill>
              <a:round/>
            </a:ln>
            <a:effectLst/>
          </c:spPr>
          <c:marker>
            <c:symbol val="none"/>
          </c:marker>
          <c:val>
            <c:numRef>
              <c:f>'GST revenue chart'!$F$3:$F$10</c:f>
              <c:numCache>
                <c:formatCode>General</c:formatCode>
                <c:ptCount val="8"/>
                <c:pt idx="3" formatCode="#,##0">
                  <c:v>1349.1</c:v>
                </c:pt>
                <c:pt idx="4" formatCode="#,##0">
                  <c:v>1411.4</c:v>
                </c:pt>
                <c:pt idx="5" formatCode="#,##0">
                  <c:v>1472.5</c:v>
                </c:pt>
                <c:pt idx="6" formatCode="#,##0">
                  <c:v>1533.6</c:v>
                </c:pt>
                <c:pt idx="7" formatCode="#,##0">
                  <c:v>1603.6</c:v>
                </c:pt>
              </c:numCache>
            </c:numRef>
          </c:val>
          <c:smooth val="0"/>
          <c:extLst>
            <c:ext xmlns:c16="http://schemas.microsoft.com/office/drawing/2014/chart" uri="{C3380CC4-5D6E-409C-BE32-E72D297353CC}">
              <c16:uniqueId val="{00000004-AE2E-4E14-99FD-9C3301563ED3}"/>
            </c:ext>
          </c:extLst>
        </c:ser>
        <c:dLbls>
          <c:showLegendKey val="0"/>
          <c:showVal val="0"/>
          <c:showCatName val="0"/>
          <c:showSerName val="0"/>
          <c:showPercent val="0"/>
          <c:showBubbleSize val="0"/>
        </c:dLbls>
        <c:smooth val="0"/>
        <c:axId val="462894304"/>
        <c:axId val="462895616"/>
      </c:lineChart>
      <c:catAx>
        <c:axId val="462894304"/>
        <c:scaling>
          <c:orientation val="minMax"/>
        </c:scaling>
        <c:delete val="0"/>
        <c:axPos val="b"/>
        <c:numFmt formatCode="General" sourceLinked="1"/>
        <c:majorTickMark val="none"/>
        <c:minorTickMark val="in"/>
        <c:tickLblPos val="nextTo"/>
        <c:spPr>
          <a:noFill/>
          <a:ln w="9525"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en-US"/>
          </a:p>
        </c:txPr>
        <c:crossAx val="462895616"/>
        <c:crosses val="autoZero"/>
        <c:auto val="1"/>
        <c:lblAlgn val="ctr"/>
        <c:lblOffset val="100"/>
        <c:noMultiLvlLbl val="0"/>
      </c:catAx>
      <c:valAx>
        <c:axId val="462895616"/>
        <c:scaling>
          <c:orientation val="minMax"/>
          <c:min val="1000"/>
        </c:scaling>
        <c:delete val="0"/>
        <c:axPos val="l"/>
        <c:majorGridlines>
          <c:spPr>
            <a:ln w="9525" cap="flat" cmpd="sng" algn="ctr">
              <a:solidFill>
                <a:schemeClr val="bg1">
                  <a:lumMod val="50000"/>
                </a:schemeClr>
              </a:solidFill>
              <a:prstDash val="dash"/>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 million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62894304"/>
        <c:crosses val="autoZero"/>
        <c:crossBetween val="between"/>
      </c:valAx>
      <c:spPr>
        <a:noFill/>
        <a:ln>
          <a:noFill/>
        </a:ln>
        <a:effectLst/>
      </c:spPr>
    </c:plotArea>
    <c:legend>
      <c:legendPos val="b"/>
      <c:layout>
        <c:manualLayout>
          <c:xMode val="edge"/>
          <c:yMode val="edge"/>
          <c:x val="0.13212800815142955"/>
          <c:y val="0.82151079691800077"/>
          <c:w val="0.79778679614970571"/>
          <c:h val="0.1504910696242297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247472306599832"/>
          <c:y val="8.963207556044743E-2"/>
          <c:w val="0.83875132992616375"/>
          <c:h val="0.62046943056849091"/>
        </c:manualLayout>
      </c:layout>
      <c:barChart>
        <c:barDir val="col"/>
        <c:grouping val="stacked"/>
        <c:varyColors val="0"/>
        <c:ser>
          <c:idx val="1"/>
          <c:order val="0"/>
          <c:tx>
            <c:strRef>
              <c:f>'Graph 5.1.1 (4)'!$M$26</c:f>
              <c:strCache>
                <c:ptCount val="1"/>
                <c:pt idx="0">
                  <c:v>Actual GGS Program Expenditure  </c:v>
                </c:pt>
              </c:strCache>
            </c:strRef>
          </c:tx>
          <c:spPr>
            <a:solidFill>
              <a:srgbClr val="7FD2DD"/>
            </a:solidFill>
            <a:ln>
              <a:solidFill>
                <a:prstClr val="black"/>
              </a:solidFill>
            </a:ln>
          </c:spPr>
          <c:invertIfNegative val="0"/>
          <c:cat>
            <c:strRef>
              <c:f>'Graph 5.1.1 (4)'!$Q$25:$Z$25</c:f>
              <c:strCache>
                <c:ptCount val="10"/>
                <c:pt idx="0">
                  <c:v>2016-17</c:v>
                </c:pt>
                <c:pt idx="1">
                  <c:v>2017-18</c:v>
                </c:pt>
                <c:pt idx="2">
                  <c:v>2018-19</c:v>
                </c:pt>
                <c:pt idx="3">
                  <c:v>2019-20</c:v>
                </c:pt>
                <c:pt idx="4">
                  <c:v>2020-21</c:v>
                </c:pt>
                <c:pt idx="5">
                  <c:v>2021-22</c:v>
                </c:pt>
                <c:pt idx="6">
                  <c:v>2022-23</c:v>
                </c:pt>
                <c:pt idx="7">
                  <c:v>2023-24</c:v>
                </c:pt>
                <c:pt idx="8">
                  <c:v>2024-25</c:v>
                </c:pt>
                <c:pt idx="9">
                  <c:v>2025-26</c:v>
                </c:pt>
              </c:strCache>
            </c:strRef>
          </c:cat>
          <c:val>
            <c:numRef>
              <c:f>'Graph 5.1.1 (4)'!$Q$26:$Z$26</c:f>
              <c:numCache>
                <c:formatCode>General</c:formatCode>
                <c:ptCount val="10"/>
                <c:pt idx="0">
                  <c:v>513</c:v>
                </c:pt>
                <c:pt idx="1">
                  <c:v>657</c:v>
                </c:pt>
                <c:pt idx="2">
                  <c:v>642</c:v>
                </c:pt>
                <c:pt idx="3">
                  <c:v>604</c:v>
                </c:pt>
                <c:pt idx="4">
                  <c:v>709</c:v>
                </c:pt>
              </c:numCache>
            </c:numRef>
          </c:val>
          <c:extLst>
            <c:ext xmlns:c16="http://schemas.microsoft.com/office/drawing/2014/chart" uri="{C3380CC4-5D6E-409C-BE32-E72D297353CC}">
              <c16:uniqueId val="{00000000-A76C-4CE6-A5F8-E09EA9C56FB2}"/>
            </c:ext>
          </c:extLst>
        </c:ser>
        <c:ser>
          <c:idx val="0"/>
          <c:order val="1"/>
          <c:tx>
            <c:strRef>
              <c:f>'Graph 5.1.1 (4)'!$M$27</c:f>
              <c:strCache>
                <c:ptCount val="1"/>
                <c:pt idx="0">
                  <c:v>Forecast GGS Expenditure Forecast</c:v>
                </c:pt>
              </c:strCache>
            </c:strRef>
          </c:tx>
          <c:spPr>
            <a:solidFill>
              <a:srgbClr val="859BD1"/>
            </a:solidFill>
            <a:ln>
              <a:solidFill>
                <a:schemeClr val="tx1"/>
              </a:solidFill>
            </a:ln>
          </c:spPr>
          <c:invertIfNegative val="0"/>
          <c:cat>
            <c:strRef>
              <c:f>'Graph 5.1.1 (4)'!$Q$25:$Z$25</c:f>
              <c:strCache>
                <c:ptCount val="10"/>
                <c:pt idx="0">
                  <c:v>2016-17</c:v>
                </c:pt>
                <c:pt idx="1">
                  <c:v>2017-18</c:v>
                </c:pt>
                <c:pt idx="2">
                  <c:v>2018-19</c:v>
                </c:pt>
                <c:pt idx="3">
                  <c:v>2019-20</c:v>
                </c:pt>
                <c:pt idx="4">
                  <c:v>2020-21</c:v>
                </c:pt>
                <c:pt idx="5">
                  <c:v>2021-22</c:v>
                </c:pt>
                <c:pt idx="6">
                  <c:v>2022-23</c:v>
                </c:pt>
                <c:pt idx="7">
                  <c:v>2023-24</c:v>
                </c:pt>
                <c:pt idx="8">
                  <c:v>2024-25</c:v>
                </c:pt>
                <c:pt idx="9">
                  <c:v>2025-26</c:v>
                </c:pt>
              </c:strCache>
            </c:strRef>
          </c:cat>
          <c:val>
            <c:numRef>
              <c:f>'Graph 5.1.1 (4)'!$Q$27:$Z$27</c:f>
              <c:numCache>
                <c:formatCode>General</c:formatCode>
                <c:ptCount val="10"/>
                <c:pt idx="5" formatCode="_(* #,##0_);_(* \(#,##0\);_(* &quot;-&quot;??_);_(@_)">
                  <c:v>967</c:v>
                </c:pt>
                <c:pt idx="6" formatCode="_(* #,##0_);_(* \(#,##0\);_(* &quot;-&quot;??_);_(@_)">
                  <c:v>1063</c:v>
                </c:pt>
                <c:pt idx="7" formatCode="_(* #,##0_);_(* \(#,##0\);_(* &quot;-&quot;??_);_(@_)">
                  <c:v>1132</c:v>
                </c:pt>
                <c:pt idx="8" formatCode="_(* #,##0_);_(* \(#,##0\);_(* &quot;-&quot;??_);_(@_)">
                  <c:v>1110</c:v>
                </c:pt>
                <c:pt idx="9" formatCode="_(* #,##0_);_(* \(#,##0\);_(* &quot;-&quot;??_);_(@_)">
                  <c:v>684</c:v>
                </c:pt>
              </c:numCache>
            </c:numRef>
          </c:val>
          <c:extLst>
            <c:ext xmlns:c16="http://schemas.microsoft.com/office/drawing/2014/chart" uri="{C3380CC4-5D6E-409C-BE32-E72D297353CC}">
              <c16:uniqueId val="{00000001-A76C-4CE6-A5F8-E09EA9C56FB2}"/>
            </c:ext>
          </c:extLst>
        </c:ser>
        <c:ser>
          <c:idx val="2"/>
          <c:order val="2"/>
          <c:tx>
            <c:strRef>
              <c:f>'Graph 5.1.1 (4)'!$M$28</c:f>
              <c:strCache>
                <c:ptCount val="1"/>
                <c:pt idx="0">
                  <c:v>PPP Expenditure </c:v>
                </c:pt>
              </c:strCache>
            </c:strRef>
          </c:tx>
          <c:spPr>
            <a:solidFill>
              <a:srgbClr val="26828E"/>
            </a:solidFill>
            <a:ln>
              <a:solidFill>
                <a:schemeClr val="tx1"/>
              </a:solidFill>
            </a:ln>
          </c:spPr>
          <c:invertIfNegative val="0"/>
          <c:cat>
            <c:strRef>
              <c:f>'Graph 5.1.1 (4)'!$Q$25:$Z$25</c:f>
              <c:strCache>
                <c:ptCount val="10"/>
                <c:pt idx="0">
                  <c:v>2016-17</c:v>
                </c:pt>
                <c:pt idx="1">
                  <c:v>2017-18</c:v>
                </c:pt>
                <c:pt idx="2">
                  <c:v>2018-19</c:v>
                </c:pt>
                <c:pt idx="3">
                  <c:v>2019-20</c:v>
                </c:pt>
                <c:pt idx="4">
                  <c:v>2020-21</c:v>
                </c:pt>
                <c:pt idx="5">
                  <c:v>2021-22</c:v>
                </c:pt>
                <c:pt idx="6">
                  <c:v>2022-23</c:v>
                </c:pt>
                <c:pt idx="7">
                  <c:v>2023-24</c:v>
                </c:pt>
                <c:pt idx="8">
                  <c:v>2024-25</c:v>
                </c:pt>
                <c:pt idx="9">
                  <c:v>2025-26</c:v>
                </c:pt>
              </c:strCache>
            </c:strRef>
          </c:cat>
          <c:val>
            <c:numRef>
              <c:f>'Graph 5.1.1 (4)'!$Q$28:$Z$28</c:f>
              <c:numCache>
                <c:formatCode>General</c:formatCode>
                <c:ptCount val="10"/>
                <c:pt idx="0">
                  <c:v>419</c:v>
                </c:pt>
                <c:pt idx="1">
                  <c:v>309</c:v>
                </c:pt>
                <c:pt idx="2">
                  <c:v>34</c:v>
                </c:pt>
                <c:pt idx="3">
                  <c:v>0</c:v>
                </c:pt>
              </c:numCache>
            </c:numRef>
          </c:val>
          <c:extLst>
            <c:ext xmlns:c16="http://schemas.microsoft.com/office/drawing/2014/chart" uri="{C3380CC4-5D6E-409C-BE32-E72D297353CC}">
              <c16:uniqueId val="{00000002-A76C-4CE6-A5F8-E09EA9C56FB2}"/>
            </c:ext>
          </c:extLst>
        </c:ser>
        <c:ser>
          <c:idx val="3"/>
          <c:order val="3"/>
          <c:tx>
            <c:strRef>
              <c:f>'Graph 5.1.1 (4)'!#REF!</c:f>
              <c:strCache>
                <c:ptCount val="1"/>
                <c:pt idx="0">
                  <c:v>#REF!</c:v>
                </c:pt>
              </c:strCache>
            </c:strRef>
          </c:tx>
          <c:spPr>
            <a:solidFill>
              <a:schemeClr val="tx2">
                <a:lumMod val="60000"/>
                <a:lumOff val="40000"/>
              </a:schemeClr>
            </a:solidFill>
            <a:ln>
              <a:solidFill>
                <a:prstClr val="black"/>
              </a:solidFill>
            </a:ln>
          </c:spPr>
          <c:invertIfNegative val="0"/>
          <c:cat>
            <c:strRef>
              <c:f>'Graph 5.1.1 (4)'!$Q$25:$Z$25</c:f>
              <c:strCache>
                <c:ptCount val="10"/>
                <c:pt idx="0">
                  <c:v>2016-17</c:v>
                </c:pt>
                <c:pt idx="1">
                  <c:v>2017-18</c:v>
                </c:pt>
                <c:pt idx="2">
                  <c:v>2018-19</c:v>
                </c:pt>
                <c:pt idx="3">
                  <c:v>2019-20</c:v>
                </c:pt>
                <c:pt idx="4">
                  <c:v>2020-21</c:v>
                </c:pt>
                <c:pt idx="5">
                  <c:v>2021-22</c:v>
                </c:pt>
                <c:pt idx="6">
                  <c:v>2022-23</c:v>
                </c:pt>
                <c:pt idx="7">
                  <c:v>2023-24</c:v>
                </c:pt>
                <c:pt idx="8">
                  <c:v>2024-25</c:v>
                </c:pt>
                <c:pt idx="9">
                  <c:v>2025-26</c:v>
                </c:pt>
              </c:strCache>
            </c:strRef>
          </c:cat>
          <c:val>
            <c:numRef>
              <c:f>'Graph 5.1.1 (4)'!#REF!</c:f>
              <c:numCache>
                <c:formatCode>General</c:formatCode>
                <c:ptCount val="1"/>
                <c:pt idx="0">
                  <c:v>1</c:v>
                </c:pt>
              </c:numCache>
            </c:numRef>
          </c:val>
          <c:extLst>
            <c:ext xmlns:c16="http://schemas.microsoft.com/office/drawing/2014/chart" uri="{C3380CC4-5D6E-409C-BE32-E72D297353CC}">
              <c16:uniqueId val="{00000003-A76C-4CE6-A5F8-E09EA9C56FB2}"/>
            </c:ext>
          </c:extLst>
        </c:ser>
        <c:dLbls>
          <c:showLegendKey val="0"/>
          <c:showVal val="0"/>
          <c:showCatName val="0"/>
          <c:showSerName val="0"/>
          <c:showPercent val="0"/>
          <c:showBubbleSize val="0"/>
        </c:dLbls>
        <c:gapWidth val="62"/>
        <c:overlap val="100"/>
        <c:axId val="615046456"/>
        <c:axId val="615046064"/>
      </c:barChart>
      <c:catAx>
        <c:axId val="615046456"/>
        <c:scaling>
          <c:orientation val="minMax"/>
        </c:scaling>
        <c:delete val="0"/>
        <c:axPos val="b"/>
        <c:numFmt formatCode="General" sourceLinked="0"/>
        <c:majorTickMark val="in"/>
        <c:minorTickMark val="none"/>
        <c:tickLblPos val="nextTo"/>
        <c:spPr>
          <a:ln>
            <a:solidFill>
              <a:schemeClr val="tx1"/>
            </a:solidFill>
          </a:ln>
        </c:spPr>
        <c:txPr>
          <a:bodyPr rot="-2700000"/>
          <a:lstStyle/>
          <a:p>
            <a:pPr>
              <a:defRPr sz="900"/>
            </a:pPr>
            <a:endParaRPr lang="en-US"/>
          </a:p>
        </c:txPr>
        <c:crossAx val="615046064"/>
        <c:crosses val="autoZero"/>
        <c:auto val="1"/>
        <c:lblAlgn val="ctr"/>
        <c:lblOffset val="100"/>
        <c:noMultiLvlLbl val="0"/>
      </c:catAx>
      <c:valAx>
        <c:axId val="615046064"/>
        <c:scaling>
          <c:orientation val="minMax"/>
        </c:scaling>
        <c:delete val="0"/>
        <c:axPos val="l"/>
        <c:majorGridlines>
          <c:spPr>
            <a:ln w="6350">
              <a:prstDash val="dash"/>
            </a:ln>
          </c:spPr>
        </c:majorGridlines>
        <c:numFmt formatCode="#,##0" sourceLinked="0"/>
        <c:majorTickMark val="in"/>
        <c:minorTickMark val="none"/>
        <c:tickLblPos val="nextTo"/>
        <c:spPr>
          <a:ln>
            <a:solidFill>
              <a:schemeClr val="tx1"/>
            </a:solidFill>
          </a:ln>
        </c:spPr>
        <c:crossAx val="615046456"/>
        <c:crosses val="autoZero"/>
        <c:crossBetween val="between"/>
      </c:valAx>
      <c:spPr>
        <a:noFill/>
        <a:ln w="25400">
          <a:noFill/>
        </a:ln>
      </c:spPr>
    </c:plotArea>
    <c:legend>
      <c:legendPos val="r"/>
      <c:legendEntry>
        <c:idx val="0"/>
        <c:delete val="1"/>
      </c:legendEntry>
      <c:layout>
        <c:manualLayout>
          <c:xMode val="edge"/>
          <c:yMode val="edge"/>
          <c:x val="7.9296228211348851E-2"/>
          <c:y val="0.88593664507236802"/>
          <c:w val="0.87460634571552054"/>
          <c:h val="0.11406322953349424"/>
        </c:manualLayout>
      </c:layout>
      <c:overlay val="0"/>
    </c:legend>
    <c:plotVisOnly val="1"/>
    <c:dispBlanksAs val="gap"/>
    <c:showDLblsOverMax val="0"/>
  </c:chart>
  <c:spPr>
    <a:solidFill>
      <a:srgbClr val="FFFFFF"/>
    </a:solidFill>
    <a:ln>
      <a:noFill/>
    </a:ln>
  </c:spPr>
  <c:txPr>
    <a:bodyPr/>
    <a:lstStyle/>
    <a:p>
      <a:pPr>
        <a:defRPr sz="1000"/>
      </a:pPr>
      <a:endParaRPr lang="en-US"/>
    </a:p>
  </c:tx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784316013787514"/>
          <c:y val="8.7864618240939441E-2"/>
          <c:w val="0.6292898750357232"/>
          <c:h val="0.88736757185102655"/>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5F0-4805-8BE9-2D93FE79E45F}"/>
              </c:ext>
            </c:extLst>
          </c:dPt>
          <c:dPt>
            <c:idx val="1"/>
            <c:bubble3D val="0"/>
            <c:spPr>
              <a:solidFill>
                <a:srgbClr val="26828E"/>
              </a:solidFill>
              <a:ln w="19050">
                <a:solidFill>
                  <a:schemeClr val="lt1"/>
                </a:solidFill>
              </a:ln>
              <a:effectLst/>
            </c:spPr>
            <c:extLst>
              <c:ext xmlns:c16="http://schemas.microsoft.com/office/drawing/2014/chart" uri="{C3380CC4-5D6E-409C-BE32-E72D297353CC}">
                <c16:uniqueId val="{00000003-15F0-4805-8BE9-2D93FE79E45F}"/>
              </c:ext>
            </c:extLst>
          </c:dPt>
          <c:dPt>
            <c:idx val="2"/>
            <c:bubble3D val="0"/>
            <c:spPr>
              <a:solidFill>
                <a:srgbClr val="4B2D8C"/>
              </a:solidFill>
              <a:ln w="19050">
                <a:solidFill>
                  <a:schemeClr val="lt1"/>
                </a:solidFill>
              </a:ln>
              <a:effectLst/>
            </c:spPr>
            <c:extLst>
              <c:ext xmlns:c16="http://schemas.microsoft.com/office/drawing/2014/chart" uri="{C3380CC4-5D6E-409C-BE32-E72D297353CC}">
                <c16:uniqueId val="{00000005-15F0-4805-8BE9-2D93FE79E45F}"/>
              </c:ext>
            </c:extLst>
          </c:dPt>
          <c:dPt>
            <c:idx val="3"/>
            <c:bubble3D val="0"/>
            <c:spPr>
              <a:solidFill>
                <a:schemeClr val="accent1">
                  <a:lumMod val="75000"/>
                </a:schemeClr>
              </a:solidFill>
              <a:ln w="19050">
                <a:solidFill>
                  <a:schemeClr val="lt1"/>
                </a:solidFill>
              </a:ln>
              <a:effectLst/>
            </c:spPr>
            <c:extLst>
              <c:ext xmlns:c16="http://schemas.microsoft.com/office/drawing/2014/chart" uri="{C3380CC4-5D6E-409C-BE32-E72D297353CC}">
                <c16:uniqueId val="{00000007-15F0-4805-8BE9-2D93FE79E45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5F0-4805-8BE9-2D93FE79E45F}"/>
              </c:ext>
            </c:extLst>
          </c:dPt>
          <c:dPt>
            <c:idx val="5"/>
            <c:bubble3D val="0"/>
            <c:spPr>
              <a:solidFill>
                <a:srgbClr val="859BD1"/>
              </a:solidFill>
              <a:ln w="19050">
                <a:solidFill>
                  <a:schemeClr val="lt1"/>
                </a:solidFill>
              </a:ln>
              <a:effectLst/>
            </c:spPr>
            <c:extLst>
              <c:ext xmlns:c16="http://schemas.microsoft.com/office/drawing/2014/chart" uri="{C3380CC4-5D6E-409C-BE32-E72D297353CC}">
                <c16:uniqueId val="{0000000B-15F0-4805-8BE9-2D93FE79E45F}"/>
              </c:ext>
            </c:extLst>
          </c:dPt>
          <c:dLbls>
            <c:dLbl>
              <c:idx val="0"/>
              <c:layout>
                <c:manualLayout>
                  <c:x val="1.3235439414827495E-2"/>
                  <c:y val="-0.14741445020933697"/>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layout>
                    <c:manualLayout>
                      <c:w val="0.37272996757758214"/>
                      <c:h val="0.1169024548153175"/>
                    </c:manualLayout>
                  </c15:layout>
                </c:ext>
                <c:ext xmlns:c16="http://schemas.microsoft.com/office/drawing/2014/chart" uri="{C3380CC4-5D6E-409C-BE32-E72D297353CC}">
                  <c16:uniqueId val="{00000001-15F0-4805-8BE9-2D93FE79E45F}"/>
                </c:ext>
              </c:extLst>
            </c:dLbl>
            <c:dLbl>
              <c:idx val="1"/>
              <c:layout>
                <c:manualLayout>
                  <c:x val="0.14432984517776881"/>
                  <c:y val="-3.8341971494069607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layout>
                    <c:manualLayout>
                      <c:w val="0.13418273746709497"/>
                      <c:h val="0.12153380286482257"/>
                    </c:manualLayout>
                  </c15:layout>
                </c:ext>
                <c:ext xmlns:c16="http://schemas.microsoft.com/office/drawing/2014/chart" uri="{C3380CC4-5D6E-409C-BE32-E72D297353CC}">
                  <c16:uniqueId val="{00000003-15F0-4805-8BE9-2D93FE79E45F}"/>
                </c:ext>
              </c:extLst>
            </c:dLbl>
            <c:dLbl>
              <c:idx val="2"/>
              <c:layout>
                <c:manualLayout>
                  <c:x val="0.16550308064574037"/>
                  <c:y val="0.10204218628559161"/>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5F0-4805-8BE9-2D93FE79E45F}"/>
                </c:ext>
              </c:extLst>
            </c:dLbl>
            <c:dLbl>
              <c:idx val="3"/>
              <c:layout>
                <c:manualLayout>
                  <c:x val="-0.12273245969268337"/>
                  <c:y val="0.14686857452273111"/>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layout>
                    <c:manualLayout>
                      <c:w val="0.21654662551667175"/>
                      <c:h val="0.10670328694926808"/>
                    </c:manualLayout>
                  </c15:layout>
                </c:ext>
                <c:ext xmlns:c16="http://schemas.microsoft.com/office/drawing/2014/chart" uri="{C3380CC4-5D6E-409C-BE32-E72D297353CC}">
                  <c16:uniqueId val="{00000007-15F0-4805-8BE9-2D93FE79E45F}"/>
                </c:ext>
              </c:extLst>
            </c:dLbl>
            <c:dLbl>
              <c:idx val="4"/>
              <c:layout>
                <c:manualLayout>
                  <c:x val="-0.22503929938339692"/>
                  <c:y val="2.672115352669524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layout>
                    <c:manualLayout>
                      <c:w val="0.18078924934106566"/>
                      <c:h val="0.19175985913153262"/>
                    </c:manualLayout>
                  </c15:layout>
                </c:ext>
                <c:ext xmlns:c16="http://schemas.microsoft.com/office/drawing/2014/chart" uri="{C3380CC4-5D6E-409C-BE32-E72D297353CC}">
                  <c16:uniqueId val="{00000009-15F0-4805-8BE9-2D93FE79E45F}"/>
                </c:ext>
              </c:extLst>
            </c:dLbl>
            <c:dLbl>
              <c:idx val="5"/>
              <c:layout>
                <c:manualLayout>
                  <c:x val="-0.15095585686682539"/>
                  <c:y val="-7.759825907837474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layout>
                    <c:manualLayout>
                      <c:w val="0.21977644479863226"/>
                      <c:h val="0.20196318814578557"/>
                    </c:manualLayout>
                  </c15:layout>
                </c:ext>
                <c:ext xmlns:c16="http://schemas.microsoft.com/office/drawing/2014/chart" uri="{C3380CC4-5D6E-409C-BE32-E72D297353CC}">
                  <c16:uniqueId val="{0000000B-15F0-4805-8BE9-2D93FE79E45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'Fig 5.4.1 TT Asset Category'!$A$14:$A$19</c:f>
              <c:strCache>
                <c:ptCount val="6"/>
                <c:pt idx="0">
                  <c:v>Leasehold Improvements</c:v>
                </c:pt>
                <c:pt idx="1">
                  <c:v>Land</c:v>
                </c:pt>
                <c:pt idx="2">
                  <c:v>Buildings</c:v>
                </c:pt>
                <c:pt idx="3">
                  <c:v>Plant &amp; Equipment</c:v>
                </c:pt>
                <c:pt idx="4">
                  <c:v>Heritage &amp; Community Assets</c:v>
                </c:pt>
                <c:pt idx="5">
                  <c:v>Infrastructure Assets</c:v>
                </c:pt>
              </c:strCache>
            </c:strRef>
          </c:cat>
          <c:val>
            <c:numRef>
              <c:f>'Fig 5.4.1 TT Asset Category'!$B$14:$B$19</c:f>
              <c:numCache>
                <c:formatCode>0%</c:formatCode>
                <c:ptCount val="6"/>
                <c:pt idx="0" formatCode="0.0%">
                  <c:v>4.4761399667390192E-3</c:v>
                </c:pt>
                <c:pt idx="1">
                  <c:v>0.33082434948578132</c:v>
                </c:pt>
                <c:pt idx="2">
                  <c:v>0.25135436181828552</c:v>
                </c:pt>
                <c:pt idx="3">
                  <c:v>2.2213645485840365E-2</c:v>
                </c:pt>
                <c:pt idx="4">
                  <c:v>8.7568936428547885E-3</c:v>
                </c:pt>
                <c:pt idx="5">
                  <c:v>0.38237460960049896</c:v>
                </c:pt>
              </c:numCache>
            </c:numRef>
          </c:val>
          <c:extLst>
            <c:ext xmlns:c16="http://schemas.microsoft.com/office/drawing/2014/chart" uri="{C3380CC4-5D6E-409C-BE32-E72D297353CC}">
              <c16:uniqueId val="{0000000C-15F0-4805-8BE9-2D93FE79E45F}"/>
            </c:ext>
          </c:extLst>
        </c:ser>
        <c:dLbls>
          <c:showLegendKey val="0"/>
          <c:showVal val="1"/>
          <c:showCatName val="1"/>
          <c:showSerName val="0"/>
          <c:showPercent val="0"/>
          <c:showBubbleSize val="0"/>
          <c:showLeaderLines val="1"/>
        </c:dLbls>
        <c:firstSliceAng val="0"/>
        <c:holeSize val="50"/>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966656128726437"/>
          <c:y val="7.3525962088071606E-2"/>
          <c:w val="0.75323856352432206"/>
          <c:h val="0.76814630636615622"/>
        </c:manualLayout>
      </c:layout>
      <c:barChart>
        <c:barDir val="col"/>
        <c:grouping val="clustered"/>
        <c:varyColors val="0"/>
        <c:ser>
          <c:idx val="0"/>
          <c:order val="0"/>
          <c:tx>
            <c:strRef>
              <c:f>'Table 5.3.2 R &amp; M'!$V$16</c:f>
              <c:strCache>
                <c:ptCount val="1"/>
                <c:pt idx="0">
                  <c:v>Territory Asset base excluding Land</c:v>
                </c:pt>
              </c:strCache>
            </c:strRef>
          </c:tx>
          <c:spPr>
            <a:solidFill>
              <a:schemeClr val="accent1"/>
            </a:solidFill>
            <a:ln>
              <a:solidFill>
                <a:schemeClr val="tx1"/>
              </a:solidFill>
            </a:ln>
            <a:effectLst/>
          </c:spPr>
          <c:invertIfNegative val="0"/>
          <c:dPt>
            <c:idx val="5"/>
            <c:invertIfNegative val="0"/>
            <c:bubble3D val="0"/>
            <c:spPr>
              <a:solidFill>
                <a:srgbClr val="26828E"/>
              </a:solidFill>
              <a:ln>
                <a:solidFill>
                  <a:schemeClr val="tx1"/>
                </a:solidFill>
              </a:ln>
              <a:effectLst/>
            </c:spPr>
            <c:extLst>
              <c:ext xmlns:c16="http://schemas.microsoft.com/office/drawing/2014/chart" uri="{C3380CC4-5D6E-409C-BE32-E72D297353CC}">
                <c16:uniqueId val="{00000001-7259-4D99-8D1C-4410AE1EFF30}"/>
              </c:ext>
            </c:extLst>
          </c:dPt>
          <c:cat>
            <c:strRef>
              <c:f>'Table 5.3.2 R &amp; M'!$W$15:$AB$15</c:f>
              <c:strCache>
                <c:ptCount val="6"/>
                <c:pt idx="0">
                  <c:v>2016-17</c:v>
                </c:pt>
                <c:pt idx="1">
                  <c:v>2017-18</c:v>
                </c:pt>
                <c:pt idx="2">
                  <c:v>2018-19</c:v>
                </c:pt>
                <c:pt idx="3">
                  <c:v>2019-20</c:v>
                </c:pt>
                <c:pt idx="4">
                  <c:v>2020-21</c:v>
                </c:pt>
                <c:pt idx="5">
                  <c:v>2021-22</c:v>
                </c:pt>
              </c:strCache>
            </c:strRef>
          </c:cat>
          <c:val>
            <c:numRef>
              <c:f>'Table 5.3.2 R &amp; M'!$W$16:$AB$16</c:f>
              <c:numCache>
                <c:formatCode>_(* #,##0_);_(* \(#,##0\);_(* "-"??_);_(@_)</c:formatCode>
                <c:ptCount val="6"/>
                <c:pt idx="0">
                  <c:v>14870.779017999999</c:v>
                </c:pt>
                <c:pt idx="1">
                  <c:v>15076.040182999999</c:v>
                </c:pt>
                <c:pt idx="2">
                  <c:v>16503.709623999999</c:v>
                </c:pt>
                <c:pt idx="3">
                  <c:v>17538.987981999999</c:v>
                </c:pt>
                <c:pt idx="4">
                  <c:v>18364.742299000001</c:v>
                </c:pt>
                <c:pt idx="5">
                  <c:v>19500</c:v>
                </c:pt>
              </c:numCache>
            </c:numRef>
          </c:val>
          <c:extLst>
            <c:ext xmlns:c16="http://schemas.microsoft.com/office/drawing/2014/chart" uri="{C3380CC4-5D6E-409C-BE32-E72D297353CC}">
              <c16:uniqueId val="{00000002-7259-4D99-8D1C-4410AE1EFF30}"/>
            </c:ext>
          </c:extLst>
        </c:ser>
        <c:dLbls>
          <c:showLegendKey val="0"/>
          <c:showVal val="0"/>
          <c:showCatName val="0"/>
          <c:showSerName val="0"/>
          <c:showPercent val="0"/>
          <c:showBubbleSize val="0"/>
        </c:dLbls>
        <c:gapWidth val="75"/>
        <c:overlap val="-25"/>
        <c:axId val="776182904"/>
        <c:axId val="776188808"/>
      </c:barChart>
      <c:lineChart>
        <c:grouping val="standard"/>
        <c:varyColors val="0"/>
        <c:ser>
          <c:idx val="1"/>
          <c:order val="1"/>
          <c:tx>
            <c:strRef>
              <c:f>'Table 5.3.2 R &amp; M'!$V$17</c:f>
              <c:strCache>
                <c:ptCount val="1"/>
                <c:pt idx="0">
                  <c:v>Total BIF and R&amp;M Funding</c:v>
                </c:pt>
              </c:strCache>
            </c:strRef>
          </c:tx>
          <c:spPr>
            <a:ln w="28575" cap="rnd">
              <a:solidFill>
                <a:srgbClr val="4B2D8C"/>
              </a:solidFill>
              <a:round/>
            </a:ln>
            <a:effectLst/>
          </c:spPr>
          <c:marker>
            <c:symbol val="none"/>
          </c:marker>
          <c:cat>
            <c:strRef>
              <c:f>'Table 5.3.2 R &amp; M'!$W$15:$AB$15</c:f>
              <c:strCache>
                <c:ptCount val="6"/>
                <c:pt idx="0">
                  <c:v>2016-17</c:v>
                </c:pt>
                <c:pt idx="1">
                  <c:v>2017-18</c:v>
                </c:pt>
                <c:pt idx="2">
                  <c:v>2018-19</c:v>
                </c:pt>
                <c:pt idx="3">
                  <c:v>2019-20</c:v>
                </c:pt>
                <c:pt idx="4">
                  <c:v>2020-21</c:v>
                </c:pt>
                <c:pt idx="5">
                  <c:v>2021-22</c:v>
                </c:pt>
              </c:strCache>
            </c:strRef>
          </c:cat>
          <c:val>
            <c:numRef>
              <c:f>'Table 5.3.2 R &amp; M'!$W$17:$AB$17</c:f>
              <c:numCache>
                <c:formatCode>_(* #,##0_);_(* \(#,##0\);_(* "-"??_);_(@_)</c:formatCode>
                <c:ptCount val="6"/>
                <c:pt idx="0">
                  <c:v>217.38021700000002</c:v>
                </c:pt>
                <c:pt idx="1">
                  <c:v>238.42378199999999</c:v>
                </c:pt>
                <c:pt idx="2">
                  <c:v>243.33392300000003</c:v>
                </c:pt>
                <c:pt idx="3">
                  <c:v>268.03790400000003</c:v>
                </c:pt>
                <c:pt idx="4">
                  <c:v>326.42323099999999</c:v>
                </c:pt>
                <c:pt idx="5">
                  <c:v>358.43899999999996</c:v>
                </c:pt>
              </c:numCache>
            </c:numRef>
          </c:val>
          <c:smooth val="0"/>
          <c:extLst>
            <c:ext xmlns:c16="http://schemas.microsoft.com/office/drawing/2014/chart" uri="{C3380CC4-5D6E-409C-BE32-E72D297353CC}">
              <c16:uniqueId val="{00000003-7259-4D99-8D1C-4410AE1EFF30}"/>
            </c:ext>
          </c:extLst>
        </c:ser>
        <c:dLbls>
          <c:showLegendKey val="0"/>
          <c:showVal val="0"/>
          <c:showCatName val="0"/>
          <c:showSerName val="0"/>
          <c:showPercent val="0"/>
          <c:showBubbleSize val="0"/>
        </c:dLbls>
        <c:marker val="1"/>
        <c:smooth val="0"/>
        <c:axId val="776186512"/>
        <c:axId val="776183560"/>
      </c:lineChart>
      <c:catAx>
        <c:axId val="776182904"/>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776188808"/>
        <c:crosses val="autoZero"/>
        <c:auto val="1"/>
        <c:lblAlgn val="ctr"/>
        <c:lblOffset val="100"/>
        <c:noMultiLvlLbl val="0"/>
      </c:catAx>
      <c:valAx>
        <c:axId val="77618880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solidFill>
                      <a:sysClr val="windowText" lastClr="000000"/>
                    </a:solidFill>
                  </a:rPr>
                  <a:t>$ million</a:t>
                </a:r>
              </a:p>
            </c:rich>
          </c:tx>
          <c:layout>
            <c:manualLayout>
              <c:xMode val="edge"/>
              <c:yMode val="edge"/>
              <c:x val="7.0602964138512265E-3"/>
              <c:y val="0.3352195547139573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_(* #,##0_);_(* \(#,##0\);_(* &quot;-&quot;??_);_(@_)"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776182904"/>
        <c:crosses val="autoZero"/>
        <c:crossBetween val="between"/>
        <c:majorUnit val="3000"/>
      </c:valAx>
      <c:valAx>
        <c:axId val="776183560"/>
        <c:scaling>
          <c:orientation val="minMax"/>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solidFill>
                      <a:sysClr val="windowText" lastClr="000000"/>
                    </a:solidFill>
                  </a:rPr>
                  <a:t>$ million</a:t>
                </a:r>
              </a:p>
            </c:rich>
          </c:tx>
          <c:layout>
            <c:manualLayout>
              <c:xMode val="edge"/>
              <c:yMode val="edge"/>
              <c:x val="0.95528483870264125"/>
              <c:y val="0.3335819917478748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_(* #,##0_);_(* \(#,##0\);_(* &quot;-&quot;??_);_(@_)"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776186512"/>
        <c:crosses val="max"/>
        <c:crossBetween val="between"/>
      </c:valAx>
      <c:catAx>
        <c:axId val="776186512"/>
        <c:scaling>
          <c:orientation val="minMax"/>
        </c:scaling>
        <c:delete val="1"/>
        <c:axPos val="b"/>
        <c:numFmt formatCode="General" sourceLinked="1"/>
        <c:majorTickMark val="out"/>
        <c:minorTickMark val="none"/>
        <c:tickLblPos val="nextTo"/>
        <c:crossAx val="776183560"/>
        <c:crosses val="autoZero"/>
        <c:auto val="1"/>
        <c:lblAlgn val="ctr"/>
        <c:lblOffset val="100"/>
        <c:noMultiLvlLbl val="0"/>
      </c:catAx>
      <c:spPr>
        <a:noFill/>
        <a:ln>
          <a:noFill/>
        </a:ln>
        <a:effectLst/>
      </c:spPr>
    </c:plotArea>
    <c:legend>
      <c:legendPos val="b"/>
      <c:layout>
        <c:manualLayout>
          <c:xMode val="edge"/>
          <c:yMode val="edge"/>
          <c:x val="1.1809690807918262E-3"/>
          <c:y val="0.91885158865110939"/>
          <c:w val="0.74732326078886779"/>
          <c:h val="6.6355384568710082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449683704942651E-2"/>
          <c:y val="4.0293051914583343E-2"/>
          <c:w val="0.88856537612936715"/>
          <c:h val="0.74365561789806223"/>
        </c:manualLayout>
      </c:layout>
      <c:barChart>
        <c:barDir val="col"/>
        <c:grouping val="clustered"/>
        <c:varyColors val="0"/>
        <c:ser>
          <c:idx val="0"/>
          <c:order val="0"/>
          <c:tx>
            <c:strRef>
              <c:f>'Fig 5.4.2 TT Asset by Agency'!$H$4</c:f>
              <c:strCache>
                <c:ptCount val="1"/>
                <c:pt idx="0">
                  <c:v>TCCS</c:v>
                </c:pt>
              </c:strCache>
            </c:strRef>
          </c:tx>
          <c:spPr>
            <a:solidFill>
              <a:schemeClr val="accent1"/>
            </a:solidFill>
            <a:ln>
              <a:solidFill>
                <a:schemeClr val="tx1"/>
              </a:solidFill>
            </a:ln>
            <a:effectLst/>
          </c:spPr>
          <c:invertIfNegative val="0"/>
          <c:cat>
            <c:strRef>
              <c:f>'Fig 5.4.2 TT Asset by Agency'!$M$3</c:f>
              <c:strCache>
                <c:ptCount val="1"/>
                <c:pt idx="0">
                  <c:v>2020-21</c:v>
                </c:pt>
              </c:strCache>
            </c:strRef>
          </c:cat>
          <c:val>
            <c:numRef>
              <c:f>'Fig 5.4.2 TT Asset by Agency'!$M$4</c:f>
              <c:numCache>
                <c:formatCode>#,##0.0</c:formatCode>
                <c:ptCount val="1"/>
                <c:pt idx="0">
                  <c:v>10.267062259999999</c:v>
                </c:pt>
              </c:numCache>
            </c:numRef>
          </c:val>
          <c:extLst>
            <c:ext xmlns:c16="http://schemas.microsoft.com/office/drawing/2014/chart" uri="{C3380CC4-5D6E-409C-BE32-E72D297353CC}">
              <c16:uniqueId val="{00000000-FC78-452B-A7DE-637B057C31F6}"/>
            </c:ext>
          </c:extLst>
        </c:ser>
        <c:ser>
          <c:idx val="1"/>
          <c:order val="1"/>
          <c:tx>
            <c:strRef>
              <c:f>'Fig 5.4.2 TT Asset by Agency'!$H$5</c:f>
              <c:strCache>
                <c:ptCount val="1"/>
                <c:pt idx="0">
                  <c:v>Housing</c:v>
                </c:pt>
              </c:strCache>
            </c:strRef>
          </c:tx>
          <c:spPr>
            <a:solidFill>
              <a:srgbClr val="324A86"/>
            </a:solidFill>
            <a:ln>
              <a:solidFill>
                <a:schemeClr val="tx1"/>
              </a:solidFill>
            </a:ln>
            <a:effectLst/>
          </c:spPr>
          <c:invertIfNegative val="0"/>
          <c:cat>
            <c:strRef>
              <c:f>'Fig 5.4.2 TT Asset by Agency'!$M$3</c:f>
              <c:strCache>
                <c:ptCount val="1"/>
                <c:pt idx="0">
                  <c:v>2020-21</c:v>
                </c:pt>
              </c:strCache>
            </c:strRef>
          </c:cat>
          <c:val>
            <c:numRef>
              <c:f>'Fig 5.4.2 TT Asset by Agency'!$M$5</c:f>
              <c:numCache>
                <c:formatCode>#,##0.0</c:formatCode>
                <c:ptCount val="1"/>
                <c:pt idx="0">
                  <c:v>6.7130999769999997</c:v>
                </c:pt>
              </c:numCache>
            </c:numRef>
          </c:val>
          <c:extLst>
            <c:ext xmlns:c16="http://schemas.microsoft.com/office/drawing/2014/chart" uri="{C3380CC4-5D6E-409C-BE32-E72D297353CC}">
              <c16:uniqueId val="{00000001-FC78-452B-A7DE-637B057C31F6}"/>
            </c:ext>
          </c:extLst>
        </c:ser>
        <c:ser>
          <c:idx val="2"/>
          <c:order val="2"/>
          <c:tx>
            <c:strRef>
              <c:f>'Fig 5.4.2 TT Asset by Agency'!$H$6</c:f>
              <c:strCache>
                <c:ptCount val="1"/>
                <c:pt idx="0">
                  <c:v>Icon Water</c:v>
                </c:pt>
              </c:strCache>
            </c:strRef>
          </c:tx>
          <c:spPr>
            <a:solidFill>
              <a:schemeClr val="accent3"/>
            </a:solidFill>
            <a:ln>
              <a:solidFill>
                <a:schemeClr val="tx1"/>
              </a:solidFill>
            </a:ln>
            <a:effectLst/>
          </c:spPr>
          <c:invertIfNegative val="0"/>
          <c:cat>
            <c:strRef>
              <c:f>'Fig 5.4.2 TT Asset by Agency'!$M$3</c:f>
              <c:strCache>
                <c:ptCount val="1"/>
                <c:pt idx="0">
                  <c:v>2020-21</c:v>
                </c:pt>
              </c:strCache>
            </c:strRef>
          </c:cat>
          <c:val>
            <c:numRef>
              <c:f>'Fig 5.4.2 TT Asset by Agency'!$M$6</c:f>
              <c:numCache>
                <c:formatCode>#,##0.0</c:formatCode>
                <c:ptCount val="1"/>
                <c:pt idx="0">
                  <c:v>2.6410392680000001</c:v>
                </c:pt>
              </c:numCache>
            </c:numRef>
          </c:val>
          <c:extLst>
            <c:ext xmlns:c16="http://schemas.microsoft.com/office/drawing/2014/chart" uri="{C3380CC4-5D6E-409C-BE32-E72D297353CC}">
              <c16:uniqueId val="{00000002-FC78-452B-A7DE-637B057C31F6}"/>
            </c:ext>
          </c:extLst>
        </c:ser>
        <c:ser>
          <c:idx val="3"/>
          <c:order val="3"/>
          <c:tx>
            <c:strRef>
              <c:f>'Fig 5.4.2 TT Asset by Agency'!$H$7</c:f>
              <c:strCache>
                <c:ptCount val="1"/>
                <c:pt idx="0">
                  <c:v>Education &amp; CIT</c:v>
                </c:pt>
              </c:strCache>
            </c:strRef>
          </c:tx>
          <c:spPr>
            <a:solidFill>
              <a:srgbClr val="4B2D8C"/>
            </a:solidFill>
            <a:ln>
              <a:solidFill>
                <a:schemeClr val="tx1"/>
              </a:solidFill>
            </a:ln>
            <a:effectLst/>
          </c:spPr>
          <c:invertIfNegative val="0"/>
          <c:cat>
            <c:strRef>
              <c:f>'Fig 5.4.2 TT Asset by Agency'!$M$3</c:f>
              <c:strCache>
                <c:ptCount val="1"/>
                <c:pt idx="0">
                  <c:v>2020-21</c:v>
                </c:pt>
              </c:strCache>
            </c:strRef>
          </c:cat>
          <c:val>
            <c:numRef>
              <c:f>'Fig 5.4.2 TT Asset by Agency'!$M$7</c:f>
              <c:numCache>
                <c:formatCode>#,##0.0</c:formatCode>
                <c:ptCount val="1"/>
                <c:pt idx="0">
                  <c:v>2.82695097</c:v>
                </c:pt>
              </c:numCache>
            </c:numRef>
          </c:val>
          <c:extLst>
            <c:ext xmlns:c16="http://schemas.microsoft.com/office/drawing/2014/chart" uri="{C3380CC4-5D6E-409C-BE32-E72D297353CC}">
              <c16:uniqueId val="{00000003-FC78-452B-A7DE-637B057C31F6}"/>
            </c:ext>
          </c:extLst>
        </c:ser>
        <c:ser>
          <c:idx val="4"/>
          <c:order val="4"/>
          <c:tx>
            <c:strRef>
              <c:f>'Fig 5.4.2 TT Asset by Agency'!$H$8</c:f>
              <c:strCache>
                <c:ptCount val="1"/>
                <c:pt idx="0">
                  <c:v>CMTEDD</c:v>
                </c:pt>
              </c:strCache>
            </c:strRef>
          </c:tx>
          <c:spPr>
            <a:solidFill>
              <a:schemeClr val="accent5"/>
            </a:solidFill>
            <a:ln>
              <a:solidFill>
                <a:schemeClr val="tx1"/>
              </a:solidFill>
            </a:ln>
            <a:effectLst/>
          </c:spPr>
          <c:invertIfNegative val="0"/>
          <c:cat>
            <c:strRef>
              <c:f>'Fig 5.4.2 TT Asset by Agency'!$M$3</c:f>
              <c:strCache>
                <c:ptCount val="1"/>
                <c:pt idx="0">
                  <c:v>2020-21</c:v>
                </c:pt>
              </c:strCache>
            </c:strRef>
          </c:cat>
          <c:val>
            <c:numRef>
              <c:f>'Fig 5.4.2 TT Asset by Agency'!$M$8</c:f>
              <c:numCache>
                <c:formatCode>#,##0.0</c:formatCode>
                <c:ptCount val="1"/>
                <c:pt idx="0">
                  <c:v>2.1717708490000001</c:v>
                </c:pt>
              </c:numCache>
            </c:numRef>
          </c:val>
          <c:extLst>
            <c:ext xmlns:c16="http://schemas.microsoft.com/office/drawing/2014/chart" uri="{C3380CC4-5D6E-409C-BE32-E72D297353CC}">
              <c16:uniqueId val="{00000004-FC78-452B-A7DE-637B057C31F6}"/>
            </c:ext>
          </c:extLst>
        </c:ser>
        <c:ser>
          <c:idx val="5"/>
          <c:order val="5"/>
          <c:tx>
            <c:strRef>
              <c:f>'Fig 5.4.2 TT Asset by Agency'!$H$9</c:f>
              <c:strCache>
                <c:ptCount val="1"/>
                <c:pt idx="0">
                  <c:v>Health</c:v>
                </c:pt>
              </c:strCache>
            </c:strRef>
          </c:tx>
          <c:spPr>
            <a:solidFill>
              <a:srgbClr val="7FD2DD"/>
            </a:solidFill>
            <a:ln>
              <a:solidFill>
                <a:schemeClr val="tx1"/>
              </a:solidFill>
            </a:ln>
            <a:effectLst/>
          </c:spPr>
          <c:invertIfNegative val="0"/>
          <c:cat>
            <c:strRef>
              <c:f>'Fig 5.4.2 TT Asset by Agency'!$M$3</c:f>
              <c:strCache>
                <c:ptCount val="1"/>
                <c:pt idx="0">
                  <c:v>2020-21</c:v>
                </c:pt>
              </c:strCache>
            </c:strRef>
          </c:cat>
          <c:val>
            <c:numRef>
              <c:f>'Fig 5.4.2 TT Asset by Agency'!$M$9</c:f>
              <c:numCache>
                <c:formatCode>#,##0.0</c:formatCode>
                <c:ptCount val="1"/>
                <c:pt idx="0">
                  <c:v>1.3247774990000001</c:v>
                </c:pt>
              </c:numCache>
            </c:numRef>
          </c:val>
          <c:extLst>
            <c:ext xmlns:c16="http://schemas.microsoft.com/office/drawing/2014/chart" uri="{C3380CC4-5D6E-409C-BE32-E72D297353CC}">
              <c16:uniqueId val="{00000005-FC78-452B-A7DE-637B057C31F6}"/>
            </c:ext>
          </c:extLst>
        </c:ser>
        <c:ser>
          <c:idx val="6"/>
          <c:order val="6"/>
          <c:tx>
            <c:strRef>
              <c:f>'Fig 5.4.2 TT Asset by Agency'!$H$10</c:f>
              <c:strCache>
                <c:ptCount val="1"/>
                <c:pt idx="0">
                  <c:v>Other</c:v>
                </c:pt>
              </c:strCache>
            </c:strRef>
          </c:tx>
          <c:spPr>
            <a:solidFill>
              <a:schemeClr val="accent1">
                <a:lumMod val="60000"/>
              </a:schemeClr>
            </a:solidFill>
            <a:ln>
              <a:solidFill>
                <a:schemeClr val="tx1"/>
              </a:solidFill>
            </a:ln>
            <a:effectLst/>
          </c:spPr>
          <c:invertIfNegative val="0"/>
          <c:cat>
            <c:strRef>
              <c:f>'Fig 5.4.2 TT Asset by Agency'!$M$3</c:f>
              <c:strCache>
                <c:ptCount val="1"/>
                <c:pt idx="0">
                  <c:v>2020-21</c:v>
                </c:pt>
              </c:strCache>
            </c:strRef>
          </c:cat>
          <c:val>
            <c:numRef>
              <c:f>'Fig 5.4.2 TT Asset by Agency'!$M$10</c:f>
              <c:numCache>
                <c:formatCode>#,##0.0</c:formatCode>
                <c:ptCount val="1"/>
                <c:pt idx="0">
                  <c:v>2.1248724189999999</c:v>
                </c:pt>
              </c:numCache>
            </c:numRef>
          </c:val>
          <c:extLst>
            <c:ext xmlns:c16="http://schemas.microsoft.com/office/drawing/2014/chart" uri="{C3380CC4-5D6E-409C-BE32-E72D297353CC}">
              <c16:uniqueId val="{00000006-FC78-452B-A7DE-637B057C31F6}"/>
            </c:ext>
          </c:extLst>
        </c:ser>
        <c:dLbls>
          <c:showLegendKey val="0"/>
          <c:showVal val="0"/>
          <c:showCatName val="0"/>
          <c:showSerName val="0"/>
          <c:showPercent val="0"/>
          <c:showBubbleSize val="0"/>
        </c:dLbls>
        <c:gapWidth val="219"/>
        <c:overlap val="-27"/>
        <c:axId val="1204052888"/>
        <c:axId val="1204072568"/>
      </c:barChart>
      <c:catAx>
        <c:axId val="1204052888"/>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204072568"/>
        <c:crosses val="autoZero"/>
        <c:auto val="1"/>
        <c:lblAlgn val="ctr"/>
        <c:lblOffset val="100"/>
        <c:noMultiLvlLbl val="0"/>
      </c:catAx>
      <c:valAx>
        <c:axId val="1204072568"/>
        <c:scaling>
          <c:orientation val="minMax"/>
        </c:scaling>
        <c:delete val="0"/>
        <c:axPos val="l"/>
        <c:majorGridlines>
          <c:spPr>
            <a:ln w="9525" cap="flat" cmpd="sng" algn="ctr">
              <a:solidFill>
                <a:schemeClr val="bg1">
                  <a:lumMod val="65000"/>
                </a:schemeClr>
              </a:solidFill>
              <a:prstDash val="dash"/>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AU"/>
                  <a:t>$ billion</a:t>
                </a:r>
              </a:p>
            </c:rich>
          </c:tx>
          <c:layout>
            <c:manualLayout>
              <c:xMode val="edge"/>
              <c:yMode val="edge"/>
              <c:x val="6.7289422857152829E-3"/>
              <c:y val="0.3618312980338535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 sourceLinked="0"/>
        <c:majorTickMark val="in"/>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204052888"/>
        <c:crosses val="autoZero"/>
        <c:crossBetween val="between"/>
      </c:valAx>
      <c:spPr>
        <a:noFill/>
        <a:ln>
          <a:noFill/>
        </a:ln>
        <a:effectLst/>
      </c:spPr>
    </c:plotArea>
    <c:legend>
      <c:legendPos val="b"/>
      <c:layout>
        <c:manualLayout>
          <c:xMode val="edge"/>
          <c:yMode val="edge"/>
          <c:x val="5.1107997717878884E-2"/>
          <c:y val="0.9095775896645627"/>
          <c:w val="0.94445093875784913"/>
          <c:h val="6.897468915581263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928955892400957"/>
          <c:y val="5.1400554097404488E-2"/>
          <c:w val="0.81481302767798569"/>
          <c:h val="0.67128536016331353"/>
        </c:manualLayout>
      </c:layout>
      <c:lineChart>
        <c:grouping val="standard"/>
        <c:varyColors val="0"/>
        <c:ser>
          <c:idx val="0"/>
          <c:order val="0"/>
          <c:tx>
            <c:strRef>
              <c:f>'Liability&amp;Benefits'!$C$3</c:f>
              <c:strCache>
                <c:ptCount val="1"/>
                <c:pt idx="0">
                  <c:v>2020-21 Budget Projected Liability</c:v>
                </c:pt>
              </c:strCache>
              <c:extLst xmlns:c15="http://schemas.microsoft.com/office/drawing/2012/chart"/>
            </c:strRef>
          </c:tx>
          <c:marker>
            <c:symbol val="none"/>
          </c:marker>
          <c:cat>
            <c:numRef>
              <c:f>'Liability&amp;Benefits'!$B$4:$B$62</c:f>
              <c:numCache>
                <c:formatCode>General</c:formatCode>
                <c:ptCount val="59"/>
                <c:pt idx="0">
                  <c:v>2022</c:v>
                </c:pt>
                <c:pt idx="1">
                  <c:v>2023</c:v>
                </c:pt>
                <c:pt idx="2">
                  <c:v>2024</c:v>
                </c:pt>
                <c:pt idx="3">
                  <c:v>2025</c:v>
                </c:pt>
                <c:pt idx="4">
                  <c:v>2026</c:v>
                </c:pt>
                <c:pt idx="5">
                  <c:v>2027</c:v>
                </c:pt>
                <c:pt idx="6">
                  <c:v>2028</c:v>
                </c:pt>
                <c:pt idx="7">
                  <c:v>2029</c:v>
                </c:pt>
                <c:pt idx="8">
                  <c:v>2030</c:v>
                </c:pt>
                <c:pt idx="9">
                  <c:v>2031</c:v>
                </c:pt>
                <c:pt idx="10">
                  <c:v>2032</c:v>
                </c:pt>
                <c:pt idx="11">
                  <c:v>2033</c:v>
                </c:pt>
                <c:pt idx="12">
                  <c:v>2034</c:v>
                </c:pt>
                <c:pt idx="13">
                  <c:v>2035</c:v>
                </c:pt>
                <c:pt idx="14">
                  <c:v>2036</c:v>
                </c:pt>
                <c:pt idx="15">
                  <c:v>2037</c:v>
                </c:pt>
                <c:pt idx="16">
                  <c:v>2038</c:v>
                </c:pt>
                <c:pt idx="17">
                  <c:v>2039</c:v>
                </c:pt>
                <c:pt idx="18">
                  <c:v>2040</c:v>
                </c:pt>
                <c:pt idx="19">
                  <c:v>2041</c:v>
                </c:pt>
                <c:pt idx="20">
                  <c:v>2042</c:v>
                </c:pt>
                <c:pt idx="21">
                  <c:v>2043</c:v>
                </c:pt>
                <c:pt idx="22">
                  <c:v>2044</c:v>
                </c:pt>
                <c:pt idx="23">
                  <c:v>2045</c:v>
                </c:pt>
                <c:pt idx="24">
                  <c:v>2046</c:v>
                </c:pt>
                <c:pt idx="25">
                  <c:v>2047</c:v>
                </c:pt>
                <c:pt idx="26">
                  <c:v>2048</c:v>
                </c:pt>
                <c:pt idx="27">
                  <c:v>2049</c:v>
                </c:pt>
                <c:pt idx="28">
                  <c:v>2050</c:v>
                </c:pt>
                <c:pt idx="29">
                  <c:v>2051</c:v>
                </c:pt>
                <c:pt idx="30">
                  <c:v>2052</c:v>
                </c:pt>
                <c:pt idx="31">
                  <c:v>2053</c:v>
                </c:pt>
                <c:pt idx="32">
                  <c:v>2054</c:v>
                </c:pt>
                <c:pt idx="33">
                  <c:v>2055</c:v>
                </c:pt>
                <c:pt idx="34">
                  <c:v>2056</c:v>
                </c:pt>
                <c:pt idx="35">
                  <c:v>2057</c:v>
                </c:pt>
                <c:pt idx="36">
                  <c:v>2058</c:v>
                </c:pt>
                <c:pt idx="37">
                  <c:v>2059</c:v>
                </c:pt>
                <c:pt idx="38">
                  <c:v>2060</c:v>
                </c:pt>
                <c:pt idx="39">
                  <c:v>2061</c:v>
                </c:pt>
                <c:pt idx="40">
                  <c:v>2062</c:v>
                </c:pt>
                <c:pt idx="41">
                  <c:v>2063</c:v>
                </c:pt>
                <c:pt idx="42">
                  <c:v>2064</c:v>
                </c:pt>
                <c:pt idx="43">
                  <c:v>2065</c:v>
                </c:pt>
                <c:pt idx="44">
                  <c:v>2066</c:v>
                </c:pt>
                <c:pt idx="45">
                  <c:v>2067</c:v>
                </c:pt>
                <c:pt idx="46">
                  <c:v>2068</c:v>
                </c:pt>
                <c:pt idx="47">
                  <c:v>2069</c:v>
                </c:pt>
                <c:pt idx="48">
                  <c:v>2070</c:v>
                </c:pt>
                <c:pt idx="49">
                  <c:v>2071</c:v>
                </c:pt>
                <c:pt idx="50">
                  <c:v>2072</c:v>
                </c:pt>
                <c:pt idx="51">
                  <c:v>2073</c:v>
                </c:pt>
                <c:pt idx="52">
                  <c:v>2074</c:v>
                </c:pt>
                <c:pt idx="53">
                  <c:v>2075</c:v>
                </c:pt>
                <c:pt idx="54">
                  <c:v>2076</c:v>
                </c:pt>
                <c:pt idx="55">
                  <c:v>2077</c:v>
                </c:pt>
                <c:pt idx="56">
                  <c:v>2078</c:v>
                </c:pt>
                <c:pt idx="57">
                  <c:v>2079</c:v>
                </c:pt>
                <c:pt idx="58">
                  <c:v>2080</c:v>
                </c:pt>
              </c:numCache>
              <c:extLst xmlns:c15="http://schemas.microsoft.com/office/drawing/2012/chart"/>
            </c:numRef>
          </c:cat>
          <c:val>
            <c:numRef>
              <c:f>'Liability&amp;Benefits'!$C$4:$C$62</c:f>
              <c:numCache>
                <c:formatCode>_-* #,##0_-;\-* #,##0_-;_-* "-"??_-;_-@_-</c:formatCode>
                <c:ptCount val="59"/>
                <c:pt idx="0">
                  <c:v>8506561740.000001</c:v>
                </c:pt>
                <c:pt idx="1">
                  <c:v>8716078959.9999981</c:v>
                </c:pt>
                <c:pt idx="2">
                  <c:v>8908864700</c:v>
                </c:pt>
                <c:pt idx="3">
                  <c:v>9082609240</c:v>
                </c:pt>
                <c:pt idx="4">
                  <c:v>9236922310</c:v>
                </c:pt>
                <c:pt idx="5">
                  <c:v>9369567060</c:v>
                </c:pt>
                <c:pt idx="6">
                  <c:v>9480624749.9999981</c:v>
                </c:pt>
                <c:pt idx="7">
                  <c:v>9568225419.9999981</c:v>
                </c:pt>
                <c:pt idx="8">
                  <c:v>9632523389.9999981</c:v>
                </c:pt>
                <c:pt idx="9">
                  <c:v>9672010320.0000019</c:v>
                </c:pt>
                <c:pt idx="10">
                  <c:v>9685066130.0000019</c:v>
                </c:pt>
                <c:pt idx="11">
                  <c:v>9673095550</c:v>
                </c:pt>
                <c:pt idx="12">
                  <c:v>9633745540</c:v>
                </c:pt>
                <c:pt idx="13">
                  <c:v>9566971250</c:v>
                </c:pt>
                <c:pt idx="14">
                  <c:v>9473175060.0000019</c:v>
                </c:pt>
                <c:pt idx="15">
                  <c:v>9352488240</c:v>
                </c:pt>
                <c:pt idx="16">
                  <c:v>9206427570</c:v>
                </c:pt>
                <c:pt idx="17">
                  <c:v>9035385640</c:v>
                </c:pt>
                <c:pt idx="18">
                  <c:v>8840803170</c:v>
                </c:pt>
                <c:pt idx="19">
                  <c:v>8624178330</c:v>
                </c:pt>
                <c:pt idx="20">
                  <c:v>8387221270</c:v>
                </c:pt>
                <c:pt idx="21">
                  <c:v>8132041870</c:v>
                </c:pt>
                <c:pt idx="22">
                  <c:v>7861034310</c:v>
                </c:pt>
                <c:pt idx="23">
                  <c:v>7574945009.999999</c:v>
                </c:pt>
                <c:pt idx="24">
                  <c:v>7276549160</c:v>
                </c:pt>
                <c:pt idx="25">
                  <c:v>6968555109.999999</c:v>
                </c:pt>
                <c:pt idx="26">
                  <c:v>6654448009.999999</c:v>
                </c:pt>
                <c:pt idx="27">
                  <c:v>6335489390</c:v>
                </c:pt>
                <c:pt idx="28">
                  <c:v>6013910870</c:v>
                </c:pt>
                <c:pt idx="29">
                  <c:v>5691012229.999999</c:v>
                </c:pt>
                <c:pt idx="30">
                  <c:v>5368587829.999999</c:v>
                </c:pt>
                <c:pt idx="31">
                  <c:v>5048174170</c:v>
                </c:pt>
                <c:pt idx="32">
                  <c:v>4731334920</c:v>
                </c:pt>
                <c:pt idx="33">
                  <c:v>4417901340</c:v>
                </c:pt>
                <c:pt idx="34">
                  <c:v>4109482119.9999995</c:v>
                </c:pt>
                <c:pt idx="35">
                  <c:v>3807032750</c:v>
                </c:pt>
                <c:pt idx="36">
                  <c:v>3511463600</c:v>
                </c:pt>
                <c:pt idx="37">
                  <c:v>3223965280</c:v>
                </c:pt>
                <c:pt idx="38">
                  <c:v>2944854030</c:v>
                </c:pt>
                <c:pt idx="39">
                  <c:v>2675280600</c:v>
                </c:pt>
                <c:pt idx="40">
                  <c:v>2416118870</c:v>
                </c:pt>
                <c:pt idx="41">
                  <c:v>2168253750</c:v>
                </c:pt>
                <c:pt idx="42">
                  <c:v>1932482570.0000002</c:v>
                </c:pt>
                <c:pt idx="43">
                  <c:v>1709615090</c:v>
                </c:pt>
                <c:pt idx="44">
                  <c:v>1500359219.9999998</c:v>
                </c:pt>
                <c:pt idx="45">
                  <c:v>1305289620</c:v>
                </c:pt>
                <c:pt idx="46">
                  <c:v>1124856000</c:v>
                </c:pt>
                <c:pt idx="47">
                  <c:v>959948650</c:v>
                </c:pt>
                <c:pt idx="48">
                  <c:v>809580530.00000012</c:v>
                </c:pt>
                <c:pt idx="49">
                  <c:v>674324850</c:v>
                </c:pt>
                <c:pt idx="50">
                  <c:v>554074630.00000012</c:v>
                </c:pt>
                <c:pt idx="51">
                  <c:v>448542970</c:v>
                </c:pt>
                <c:pt idx="52">
                  <c:v>357223110</c:v>
                </c:pt>
                <c:pt idx="53">
                  <c:v>279504650</c:v>
                </c:pt>
                <c:pt idx="54">
                  <c:v>214570370</c:v>
                </c:pt>
                <c:pt idx="55">
                  <c:v>161326419.99999997</c:v>
                </c:pt>
                <c:pt idx="56">
                  <c:v>118588690.00000001</c:v>
                </c:pt>
                <c:pt idx="57">
                  <c:v>85324460</c:v>
                </c:pt>
                <c:pt idx="58">
                  <c:v>59633530</c:v>
                </c:pt>
              </c:numCache>
              <c:extLst xmlns:c15="http://schemas.microsoft.com/office/drawing/2012/chart"/>
            </c:numRef>
          </c:val>
          <c:smooth val="0"/>
          <c:extLst>
            <c:ext xmlns:c16="http://schemas.microsoft.com/office/drawing/2014/chart" uri="{C3380CC4-5D6E-409C-BE32-E72D297353CC}">
              <c16:uniqueId val="{00000000-0B8F-4169-BF29-69678AA33EAA}"/>
            </c:ext>
          </c:extLst>
        </c:ser>
        <c:ser>
          <c:idx val="1"/>
          <c:order val="1"/>
          <c:tx>
            <c:strRef>
              <c:f>'Liability&amp;Benefits'!$E$3</c:f>
              <c:strCache>
                <c:ptCount val="1"/>
                <c:pt idx="0">
                  <c:v>2021-22 Budget Projected Liability</c:v>
                </c:pt>
              </c:strCache>
            </c:strRef>
          </c:tx>
          <c:marker>
            <c:symbol val="none"/>
          </c:marker>
          <c:cat>
            <c:numRef>
              <c:f>'Liability&amp;Benefits'!$B$4:$B$62</c:f>
              <c:numCache>
                <c:formatCode>General</c:formatCode>
                <c:ptCount val="59"/>
                <c:pt idx="0">
                  <c:v>2022</c:v>
                </c:pt>
                <c:pt idx="1">
                  <c:v>2023</c:v>
                </c:pt>
                <c:pt idx="2">
                  <c:v>2024</c:v>
                </c:pt>
                <c:pt idx="3">
                  <c:v>2025</c:v>
                </c:pt>
                <c:pt idx="4">
                  <c:v>2026</c:v>
                </c:pt>
                <c:pt idx="5">
                  <c:v>2027</c:v>
                </c:pt>
                <c:pt idx="6">
                  <c:v>2028</c:v>
                </c:pt>
                <c:pt idx="7">
                  <c:v>2029</c:v>
                </c:pt>
                <c:pt idx="8">
                  <c:v>2030</c:v>
                </c:pt>
                <c:pt idx="9">
                  <c:v>2031</c:v>
                </c:pt>
                <c:pt idx="10">
                  <c:v>2032</c:v>
                </c:pt>
                <c:pt idx="11">
                  <c:v>2033</c:v>
                </c:pt>
                <c:pt idx="12">
                  <c:v>2034</c:v>
                </c:pt>
                <c:pt idx="13">
                  <c:v>2035</c:v>
                </c:pt>
                <c:pt idx="14">
                  <c:v>2036</c:v>
                </c:pt>
                <c:pt idx="15">
                  <c:v>2037</c:v>
                </c:pt>
                <c:pt idx="16">
                  <c:v>2038</c:v>
                </c:pt>
                <c:pt idx="17">
                  <c:v>2039</c:v>
                </c:pt>
                <c:pt idx="18">
                  <c:v>2040</c:v>
                </c:pt>
                <c:pt idx="19">
                  <c:v>2041</c:v>
                </c:pt>
                <c:pt idx="20">
                  <c:v>2042</c:v>
                </c:pt>
                <c:pt idx="21">
                  <c:v>2043</c:v>
                </c:pt>
                <c:pt idx="22">
                  <c:v>2044</c:v>
                </c:pt>
                <c:pt idx="23">
                  <c:v>2045</c:v>
                </c:pt>
                <c:pt idx="24">
                  <c:v>2046</c:v>
                </c:pt>
                <c:pt idx="25">
                  <c:v>2047</c:v>
                </c:pt>
                <c:pt idx="26">
                  <c:v>2048</c:v>
                </c:pt>
                <c:pt idx="27">
                  <c:v>2049</c:v>
                </c:pt>
                <c:pt idx="28">
                  <c:v>2050</c:v>
                </c:pt>
                <c:pt idx="29">
                  <c:v>2051</c:v>
                </c:pt>
                <c:pt idx="30">
                  <c:v>2052</c:v>
                </c:pt>
                <c:pt idx="31">
                  <c:v>2053</c:v>
                </c:pt>
                <c:pt idx="32">
                  <c:v>2054</c:v>
                </c:pt>
                <c:pt idx="33">
                  <c:v>2055</c:v>
                </c:pt>
                <c:pt idx="34">
                  <c:v>2056</c:v>
                </c:pt>
                <c:pt idx="35">
                  <c:v>2057</c:v>
                </c:pt>
                <c:pt idx="36">
                  <c:v>2058</c:v>
                </c:pt>
                <c:pt idx="37">
                  <c:v>2059</c:v>
                </c:pt>
                <c:pt idx="38">
                  <c:v>2060</c:v>
                </c:pt>
                <c:pt idx="39">
                  <c:v>2061</c:v>
                </c:pt>
                <c:pt idx="40">
                  <c:v>2062</c:v>
                </c:pt>
                <c:pt idx="41">
                  <c:v>2063</c:v>
                </c:pt>
                <c:pt idx="42">
                  <c:v>2064</c:v>
                </c:pt>
                <c:pt idx="43">
                  <c:v>2065</c:v>
                </c:pt>
                <c:pt idx="44">
                  <c:v>2066</c:v>
                </c:pt>
                <c:pt idx="45">
                  <c:v>2067</c:v>
                </c:pt>
                <c:pt idx="46">
                  <c:v>2068</c:v>
                </c:pt>
                <c:pt idx="47">
                  <c:v>2069</c:v>
                </c:pt>
                <c:pt idx="48">
                  <c:v>2070</c:v>
                </c:pt>
                <c:pt idx="49">
                  <c:v>2071</c:v>
                </c:pt>
                <c:pt idx="50">
                  <c:v>2072</c:v>
                </c:pt>
                <c:pt idx="51">
                  <c:v>2073</c:v>
                </c:pt>
                <c:pt idx="52">
                  <c:v>2074</c:v>
                </c:pt>
                <c:pt idx="53">
                  <c:v>2075</c:v>
                </c:pt>
                <c:pt idx="54">
                  <c:v>2076</c:v>
                </c:pt>
                <c:pt idx="55">
                  <c:v>2077</c:v>
                </c:pt>
                <c:pt idx="56">
                  <c:v>2078</c:v>
                </c:pt>
                <c:pt idx="57">
                  <c:v>2079</c:v>
                </c:pt>
                <c:pt idx="58">
                  <c:v>2080</c:v>
                </c:pt>
              </c:numCache>
            </c:numRef>
          </c:cat>
          <c:val>
            <c:numRef>
              <c:f>'Liability&amp;Benefits'!$E$4:$E$62</c:f>
              <c:numCache>
                <c:formatCode>_-* #,##0_-;\-* #,##0_-;_-* "-"??_-;_-@_-</c:formatCode>
                <c:ptCount val="59"/>
                <c:pt idx="0">
                  <c:v>10101593710.000002</c:v>
                </c:pt>
                <c:pt idx="1">
                  <c:v>10344651240</c:v>
                </c:pt>
                <c:pt idx="2">
                  <c:v>10566257580.000002</c:v>
                </c:pt>
                <c:pt idx="3">
                  <c:v>10764143470</c:v>
                </c:pt>
                <c:pt idx="4">
                  <c:v>10938046999.999998</c:v>
                </c:pt>
                <c:pt idx="5">
                  <c:v>11085837370.000002</c:v>
                </c:pt>
                <c:pt idx="6">
                  <c:v>11207157970</c:v>
                </c:pt>
                <c:pt idx="7">
                  <c:v>11299585120.000002</c:v>
                </c:pt>
                <c:pt idx="8">
                  <c:v>11363150930</c:v>
                </c:pt>
                <c:pt idx="9">
                  <c:v>11397653030</c:v>
                </c:pt>
                <c:pt idx="10">
                  <c:v>11400685760</c:v>
                </c:pt>
                <c:pt idx="11">
                  <c:v>11373597370</c:v>
                </c:pt>
                <c:pt idx="12">
                  <c:v>11314286030</c:v>
                </c:pt>
                <c:pt idx="13">
                  <c:v>11224078460</c:v>
                </c:pt>
                <c:pt idx="14">
                  <c:v>11101563870</c:v>
                </c:pt>
                <c:pt idx="15">
                  <c:v>10948168620</c:v>
                </c:pt>
                <c:pt idx="16">
                  <c:v>10765093060.000002</c:v>
                </c:pt>
                <c:pt idx="17">
                  <c:v>10553351999.999998</c:v>
                </c:pt>
                <c:pt idx="18">
                  <c:v>10314790030</c:v>
                </c:pt>
                <c:pt idx="19">
                  <c:v>10050537380</c:v>
                </c:pt>
                <c:pt idx="20">
                  <c:v>9763078220</c:v>
                </c:pt>
                <c:pt idx="21">
                  <c:v>9454909130</c:v>
                </c:pt>
                <c:pt idx="22">
                  <c:v>9128550170</c:v>
                </c:pt>
                <c:pt idx="23">
                  <c:v>8787045150</c:v>
                </c:pt>
                <c:pt idx="24">
                  <c:v>8430781349.999999</c:v>
                </c:pt>
                <c:pt idx="25">
                  <c:v>8064178560</c:v>
                </c:pt>
                <c:pt idx="26">
                  <c:v>7690887210</c:v>
                </c:pt>
                <c:pt idx="27">
                  <c:v>7312873350</c:v>
                </c:pt>
                <c:pt idx="28">
                  <c:v>6931691879.999999</c:v>
                </c:pt>
                <c:pt idx="29">
                  <c:v>6550188380</c:v>
                </c:pt>
                <c:pt idx="30">
                  <c:v>6169927570</c:v>
                </c:pt>
                <c:pt idx="31">
                  <c:v>5792677950</c:v>
                </c:pt>
                <c:pt idx="32">
                  <c:v>5419745220</c:v>
                </c:pt>
                <c:pt idx="33">
                  <c:v>5052559910</c:v>
                </c:pt>
                <c:pt idx="34">
                  <c:v>4691956679.999999</c:v>
                </c:pt>
                <c:pt idx="35">
                  <c:v>4339262770</c:v>
                </c:pt>
                <c:pt idx="36">
                  <c:v>3995548540</c:v>
                </c:pt>
                <c:pt idx="37">
                  <c:v>3661860590</c:v>
                </c:pt>
                <c:pt idx="38">
                  <c:v>3339162120</c:v>
                </c:pt>
                <c:pt idx="39">
                  <c:v>3028446080</c:v>
                </c:pt>
                <c:pt idx="40">
                  <c:v>2730661000</c:v>
                </c:pt>
                <c:pt idx="41">
                  <c:v>2446748860.0000005</c:v>
                </c:pt>
                <c:pt idx="42">
                  <c:v>2177539089.9999995</c:v>
                </c:pt>
                <c:pt idx="43">
                  <c:v>1923853720</c:v>
                </c:pt>
                <c:pt idx="44">
                  <c:v>1686385120</c:v>
                </c:pt>
                <c:pt idx="45">
                  <c:v>1465667010</c:v>
                </c:pt>
                <c:pt idx="46">
                  <c:v>1262088660</c:v>
                </c:pt>
                <c:pt idx="47">
                  <c:v>1075873780.0000002</c:v>
                </c:pt>
                <c:pt idx="48">
                  <c:v>907060780.00000012</c:v>
                </c:pt>
                <c:pt idx="49">
                  <c:v>755553659.99999988</c:v>
                </c:pt>
                <c:pt idx="50">
                  <c:v>621097180</c:v>
                </c:pt>
                <c:pt idx="51">
                  <c:v>503250560</c:v>
                </c:pt>
                <c:pt idx="52">
                  <c:v>401345030</c:v>
                </c:pt>
                <c:pt idx="53">
                  <c:v>314619220</c:v>
                </c:pt>
                <c:pt idx="54">
                  <c:v>242102320.00000003</c:v>
                </c:pt>
                <c:pt idx="55">
                  <c:v>182545170</c:v>
                </c:pt>
                <c:pt idx="56">
                  <c:v>134629750</c:v>
                </c:pt>
                <c:pt idx="57">
                  <c:v>96926219.999999985</c:v>
                </c:pt>
                <c:pt idx="58">
                  <c:v>67935070</c:v>
                </c:pt>
              </c:numCache>
            </c:numRef>
          </c:val>
          <c:smooth val="0"/>
          <c:extLst>
            <c:ext xmlns:c16="http://schemas.microsoft.com/office/drawing/2014/chart" uri="{C3380CC4-5D6E-409C-BE32-E72D297353CC}">
              <c16:uniqueId val="{00000001-0B8F-4169-BF29-69678AA33EAA}"/>
            </c:ext>
          </c:extLst>
        </c:ser>
        <c:dLbls>
          <c:showLegendKey val="0"/>
          <c:showVal val="0"/>
          <c:showCatName val="0"/>
          <c:showSerName val="0"/>
          <c:showPercent val="0"/>
          <c:showBubbleSize val="0"/>
        </c:dLbls>
        <c:smooth val="0"/>
        <c:axId val="438133040"/>
        <c:axId val="438133432"/>
        <c:extLst/>
      </c:lineChart>
      <c:catAx>
        <c:axId val="438133040"/>
        <c:scaling>
          <c:orientation val="minMax"/>
        </c:scaling>
        <c:delete val="0"/>
        <c:axPos val="b"/>
        <c:majorGridlines>
          <c:spPr>
            <a:ln w="9525" cap="flat" cmpd="sng" algn="ctr">
              <a:noFill/>
              <a:prstDash val="solid"/>
              <a:round/>
            </a:ln>
            <a:effectLst/>
            <a:extLs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majorGridlines>
        <c:numFmt formatCode="General" sourceLinked="1"/>
        <c:majorTickMark val="in"/>
        <c:minorTickMark val="none"/>
        <c:tickLblPos val="nextTo"/>
        <c:spPr>
          <a:ln w="3175">
            <a:solidFill>
              <a:srgbClr val="000000"/>
            </a:solidFill>
            <a:prstDash val="solid"/>
          </a:ln>
        </c:spPr>
        <c:txPr>
          <a:bodyPr rot="-5400000" vert="horz"/>
          <a:lstStyle/>
          <a:p>
            <a:pPr>
              <a:defRPr sz="1000">
                <a:solidFill>
                  <a:srgbClr val="000000"/>
                </a:solidFill>
                <a:latin typeface="Calibri"/>
                <a:ea typeface="Calibri"/>
                <a:cs typeface="Calibri"/>
              </a:defRPr>
            </a:pPr>
            <a:endParaRPr lang="en-US"/>
          </a:p>
        </c:txPr>
        <c:crossAx val="438133432"/>
        <c:crosses val="autoZero"/>
        <c:auto val="1"/>
        <c:lblAlgn val="ctr"/>
        <c:lblOffset val="100"/>
        <c:tickMarkSkip val="4"/>
        <c:noMultiLvlLbl val="0"/>
      </c:catAx>
      <c:valAx>
        <c:axId val="438133432"/>
        <c:scaling>
          <c:orientation val="minMax"/>
        </c:scaling>
        <c:delete val="0"/>
        <c:axPos val="l"/>
        <c:majorGridlines>
          <c:spPr>
            <a:ln w="9525">
              <a:solidFill>
                <a:srgbClr val="000000"/>
              </a:solidFill>
              <a:prstDash val="dash"/>
            </a:ln>
          </c:spPr>
        </c:majorGridlines>
        <c:numFmt formatCode="_-* #,##0_-;\-* #,##0_-;_-* &quot;-&quot;??_-;_-@_-" sourceLinked="1"/>
        <c:majorTickMark val="in"/>
        <c:minorTickMark val="none"/>
        <c:tickLblPos val="nextTo"/>
        <c:spPr>
          <a:ln w="3175">
            <a:solidFill>
              <a:srgbClr val="000000"/>
            </a:solidFill>
            <a:prstDash val="solid"/>
          </a:ln>
        </c:spPr>
        <c:txPr>
          <a:bodyPr/>
          <a:lstStyle/>
          <a:p>
            <a:pPr>
              <a:defRPr sz="1000">
                <a:solidFill>
                  <a:srgbClr val="000000"/>
                </a:solidFill>
                <a:latin typeface="Calibri"/>
                <a:ea typeface="Calibri"/>
                <a:cs typeface="Calibri"/>
              </a:defRPr>
            </a:pPr>
            <a:endParaRPr lang="en-US"/>
          </a:p>
        </c:txPr>
        <c:crossAx val="438133040"/>
        <c:crossesAt val="1"/>
        <c:crossBetween val="midCat"/>
        <c:dispUnits>
          <c:builtInUnit val="millions"/>
          <c:dispUnitsLbl>
            <c:layout>
              <c:manualLayout>
                <c:xMode val="edge"/>
                <c:yMode val="edge"/>
                <c:x val="2.3681598156712735E-2"/>
                <c:y val="0.33362292474205435"/>
              </c:manualLayout>
            </c:layout>
            <c:tx>
              <c:rich>
                <a:bodyPr/>
                <a:lstStyle/>
                <a:p>
                  <a:pPr>
                    <a:defRPr b="0"/>
                  </a:pPr>
                  <a:r>
                    <a:rPr lang="en-AU"/>
                    <a:t>$ million</a:t>
                  </a:r>
                </a:p>
              </c:rich>
            </c:tx>
          </c:dispUnitsLbl>
        </c:dispUnits>
      </c:valAx>
    </c:plotArea>
    <c:legend>
      <c:legendPos val="b"/>
      <c:overlay val="0"/>
      <c:spPr>
        <a:noFill/>
        <a:ln>
          <a:noFill/>
        </a:ln>
        <a:effectLst/>
        <a:extLst>
          <a:ext uri="{91240B29-F687-4F45-9708-019B960494DF}">
            <a14:hiddenLine xmlns:a14="http://schemas.microsoft.com/office/drawing/2010/main">
              <a:noFill/>
            </a14:hiddenLine>
          </a:ext>
        </a:extLst>
      </c:spPr>
      <c:txPr>
        <a:bodyPr/>
        <a:lstStyle/>
        <a:p>
          <a:pPr>
            <a:defRPr sz="1000">
              <a:solidFill>
                <a:srgbClr val="000000"/>
              </a:solidFill>
              <a:latin typeface="Calibri" panose="020F0502020204030204" pitchFamily="34" charset="0"/>
            </a:defRPr>
          </a:pPr>
          <a:endParaRPr lang="en-US"/>
        </a:p>
      </c:txPr>
    </c:legend>
    <c:plotVisOnly val="1"/>
    <c:dispBlanksAs val="gap"/>
    <c:showDLblsOverMax val="0"/>
  </c:chart>
  <c:spPr>
    <a:noFill/>
    <a:ln>
      <a:noFill/>
    </a:ln>
    <a:extLst>
      <a:ext uri="{909E8E84-426E-40DD-AFC4-6F175D3DCCD1}">
        <a14:hiddenFill xmlns:a14="http://schemas.microsoft.com/office/drawing/2010/main">
          <a:solidFill>
            <a:sysClr val="window" lastClr="FFFFFF"/>
          </a:solidFill>
        </a14:hiddenFill>
      </a:ext>
    </a:extLst>
  </c:spPr>
  <c:txPr>
    <a:bodyPr/>
    <a:lstStyle/>
    <a:p>
      <a:pPr>
        <a:defRPr>
          <a:ln>
            <a:noFill/>
          </a:ln>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'Average household spending 2'!$B$49</c:f>
              <c:strCache>
                <c:ptCount val="1"/>
                <c:pt idx="0">
                  <c:v>Australia</c:v>
                </c:pt>
              </c:strCache>
            </c:strRef>
          </c:tx>
          <c:spPr>
            <a:solidFill>
              <a:schemeClr val="accent1"/>
            </a:solidFill>
            <a:ln>
              <a:noFill/>
            </a:ln>
            <a:effectLst/>
          </c:spPr>
          <c:invertIfNegative val="0"/>
          <c:cat>
            <c:strRef>
              <c:f>'Average household spending 2'!$A$50:$A$64</c:f>
              <c:strCache>
                <c:ptCount val="15"/>
                <c:pt idx="0">
                  <c:v>Tobacco products</c:v>
                </c:pt>
                <c:pt idx="1">
                  <c:v>Personal care</c:v>
                </c:pt>
                <c:pt idx="2">
                  <c:v>Alcoholic beverages</c:v>
                </c:pt>
                <c:pt idx="3">
                  <c:v>Domestic fuel and power</c:v>
                </c:pt>
                <c:pt idx="4">
                  <c:v>Communication</c:v>
                </c:pt>
                <c:pt idx="5">
                  <c:v>Household services and operation</c:v>
                </c:pt>
                <c:pt idx="6">
                  <c:v>Clothing and footwear</c:v>
                </c:pt>
                <c:pt idx="7">
                  <c:v>Education</c:v>
                </c:pt>
                <c:pt idx="8">
                  <c:v>Household furnishings and equipment</c:v>
                </c:pt>
                <c:pt idx="9">
                  <c:v>Medical care and health expenses</c:v>
                </c:pt>
                <c:pt idx="10">
                  <c:v>Miscellaneous goods and services</c:v>
                </c:pt>
                <c:pt idx="11">
                  <c:v>Transport</c:v>
                </c:pt>
                <c:pt idx="12">
                  <c:v>Recreation</c:v>
                </c:pt>
                <c:pt idx="13">
                  <c:v>Food and non-alcoholic beverages</c:v>
                </c:pt>
                <c:pt idx="14">
                  <c:v>Housing</c:v>
                </c:pt>
              </c:strCache>
            </c:strRef>
          </c:cat>
          <c:val>
            <c:numRef>
              <c:f>'Average household spending 2'!$B$50:$B$64</c:f>
              <c:numCache>
                <c:formatCode>General</c:formatCode>
                <c:ptCount val="15"/>
                <c:pt idx="0">
                  <c:v>13.982230155143419</c:v>
                </c:pt>
                <c:pt idx="1">
                  <c:v>31.18777816536663</c:v>
                </c:pt>
                <c:pt idx="2">
                  <c:v>34.792231577634908</c:v>
                </c:pt>
                <c:pt idx="3">
                  <c:v>44.560191429008469</c:v>
                </c:pt>
                <c:pt idx="4">
                  <c:v>50.767256217506706</c:v>
                </c:pt>
                <c:pt idx="5">
                  <c:v>48.894247193608997</c:v>
                </c:pt>
                <c:pt idx="6">
                  <c:v>47.6419446485611</c:v>
                </c:pt>
                <c:pt idx="7">
                  <c:v>47.76173010939177</c:v>
                </c:pt>
                <c:pt idx="8">
                  <c:v>63.01804198427957</c:v>
                </c:pt>
                <c:pt idx="9">
                  <c:v>89.708420574822028</c:v>
                </c:pt>
                <c:pt idx="10">
                  <c:v>105.71611397673855</c:v>
                </c:pt>
                <c:pt idx="11">
                  <c:v>225.07688090082502</c:v>
                </c:pt>
                <c:pt idx="12">
                  <c:v>187.13755857954803</c:v>
                </c:pt>
                <c:pt idx="13">
                  <c:v>258.05055139130343</c:v>
                </c:pt>
                <c:pt idx="14">
                  <c:v>303.95016206414573</c:v>
                </c:pt>
              </c:numCache>
            </c:numRef>
          </c:val>
          <c:extLst>
            <c:ext xmlns:c16="http://schemas.microsoft.com/office/drawing/2014/chart" uri="{C3380CC4-5D6E-409C-BE32-E72D297353CC}">
              <c16:uniqueId val="{00000000-9074-456B-BD57-BD1900E4DABC}"/>
            </c:ext>
          </c:extLst>
        </c:ser>
        <c:ser>
          <c:idx val="1"/>
          <c:order val="1"/>
          <c:tx>
            <c:strRef>
              <c:f>'Average household spending 2'!$C$49</c:f>
              <c:strCache>
                <c:ptCount val="1"/>
                <c:pt idx="0">
                  <c:v>ACT</c:v>
                </c:pt>
              </c:strCache>
            </c:strRef>
          </c:tx>
          <c:spPr>
            <a:solidFill>
              <a:schemeClr val="accent3"/>
            </a:solidFill>
            <a:ln>
              <a:noFill/>
            </a:ln>
            <a:effectLst/>
          </c:spPr>
          <c:invertIfNegative val="0"/>
          <c:cat>
            <c:strRef>
              <c:f>'Average household spending 2'!$A$50:$A$64</c:f>
              <c:strCache>
                <c:ptCount val="15"/>
                <c:pt idx="0">
                  <c:v>Tobacco products</c:v>
                </c:pt>
                <c:pt idx="1">
                  <c:v>Personal care</c:v>
                </c:pt>
                <c:pt idx="2">
                  <c:v>Alcoholic beverages</c:v>
                </c:pt>
                <c:pt idx="3">
                  <c:v>Domestic fuel and power</c:v>
                </c:pt>
                <c:pt idx="4">
                  <c:v>Communication</c:v>
                </c:pt>
                <c:pt idx="5">
                  <c:v>Household services and operation</c:v>
                </c:pt>
                <c:pt idx="6">
                  <c:v>Clothing and footwear</c:v>
                </c:pt>
                <c:pt idx="7">
                  <c:v>Education</c:v>
                </c:pt>
                <c:pt idx="8">
                  <c:v>Household furnishings and equipment</c:v>
                </c:pt>
                <c:pt idx="9">
                  <c:v>Medical care and health expenses</c:v>
                </c:pt>
                <c:pt idx="10">
                  <c:v>Miscellaneous goods and services</c:v>
                </c:pt>
                <c:pt idx="11">
                  <c:v>Transport</c:v>
                </c:pt>
                <c:pt idx="12">
                  <c:v>Recreation</c:v>
                </c:pt>
                <c:pt idx="13">
                  <c:v>Food and non-alcoholic beverages</c:v>
                </c:pt>
                <c:pt idx="14">
                  <c:v>Housing</c:v>
                </c:pt>
              </c:strCache>
            </c:strRef>
          </c:cat>
          <c:val>
            <c:numRef>
              <c:f>'Average household spending 2'!$C$50:$C$64</c:f>
              <c:numCache>
                <c:formatCode>General</c:formatCode>
                <c:ptCount val="15"/>
                <c:pt idx="0">
                  <c:v>8.023315472429875</c:v>
                </c:pt>
                <c:pt idx="1">
                  <c:v>32.07115909227479</c:v>
                </c:pt>
                <c:pt idx="2">
                  <c:v>33.618354913404517</c:v>
                </c:pt>
                <c:pt idx="3">
                  <c:v>51.720546020622329</c:v>
                </c:pt>
                <c:pt idx="4">
                  <c:v>51.797905811678824</c:v>
                </c:pt>
                <c:pt idx="5">
                  <c:v>58.207717070644847</c:v>
                </c:pt>
                <c:pt idx="6">
                  <c:v>60.594819194673569</c:v>
                </c:pt>
                <c:pt idx="7">
                  <c:v>67.656662978258538</c:v>
                </c:pt>
                <c:pt idx="8">
                  <c:v>84.01273308734423</c:v>
                </c:pt>
                <c:pt idx="9">
                  <c:v>102.17018118817383</c:v>
                </c:pt>
                <c:pt idx="10">
                  <c:v>157.75871676162049</c:v>
                </c:pt>
                <c:pt idx="11">
                  <c:v>248.92170482232851</c:v>
                </c:pt>
                <c:pt idx="12">
                  <c:v>266.09557843686855</c:v>
                </c:pt>
                <c:pt idx="13">
                  <c:v>299.37133998988003</c:v>
                </c:pt>
                <c:pt idx="14">
                  <c:v>326.52462665070669</c:v>
                </c:pt>
              </c:numCache>
            </c:numRef>
          </c:val>
          <c:extLst>
            <c:ext xmlns:c16="http://schemas.microsoft.com/office/drawing/2014/chart" uri="{C3380CC4-5D6E-409C-BE32-E72D297353CC}">
              <c16:uniqueId val="{00000001-9074-456B-BD57-BD1900E4DABC}"/>
            </c:ext>
          </c:extLst>
        </c:ser>
        <c:dLbls>
          <c:showLegendKey val="0"/>
          <c:showVal val="0"/>
          <c:showCatName val="0"/>
          <c:showSerName val="0"/>
          <c:showPercent val="0"/>
          <c:showBubbleSize val="0"/>
        </c:dLbls>
        <c:gapWidth val="269"/>
        <c:axId val="693257232"/>
        <c:axId val="693257560"/>
      </c:barChart>
      <c:catAx>
        <c:axId val="693257232"/>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693257560"/>
        <c:crosses val="autoZero"/>
        <c:auto val="1"/>
        <c:lblAlgn val="ctr"/>
        <c:lblOffset val="100"/>
        <c:noMultiLvlLbl val="0"/>
      </c:catAx>
      <c:valAx>
        <c:axId val="693257560"/>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325723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26742073162162"/>
          <c:y val="5.1400554097404488E-2"/>
          <c:w val="0.82541903192333521"/>
          <c:h val="0.65276684164479526"/>
        </c:manualLayout>
      </c:layout>
      <c:lineChart>
        <c:grouping val="standard"/>
        <c:varyColors val="0"/>
        <c:ser>
          <c:idx val="0"/>
          <c:order val="0"/>
          <c:tx>
            <c:strRef>
              <c:f>'Liability&amp;Benefits'!$D$3</c:f>
              <c:strCache>
                <c:ptCount val="1"/>
                <c:pt idx="0">
                  <c:v>2020-21 Budget Projected Benefits</c:v>
                </c:pt>
              </c:strCache>
              <c:extLst xmlns:c15="http://schemas.microsoft.com/office/drawing/2012/chart"/>
            </c:strRef>
          </c:tx>
          <c:marker>
            <c:symbol val="none"/>
          </c:marker>
          <c:cat>
            <c:numRef>
              <c:f>'Liability&amp;Benefits'!$B$4:$B$62</c:f>
              <c:numCache>
                <c:formatCode>General</c:formatCode>
                <c:ptCount val="59"/>
                <c:pt idx="0">
                  <c:v>2022</c:v>
                </c:pt>
                <c:pt idx="1">
                  <c:v>2023</c:v>
                </c:pt>
                <c:pt idx="2">
                  <c:v>2024</c:v>
                </c:pt>
                <c:pt idx="3">
                  <c:v>2025</c:v>
                </c:pt>
                <c:pt idx="4">
                  <c:v>2026</c:v>
                </c:pt>
                <c:pt idx="5">
                  <c:v>2027</c:v>
                </c:pt>
                <c:pt idx="6">
                  <c:v>2028</c:v>
                </c:pt>
                <c:pt idx="7">
                  <c:v>2029</c:v>
                </c:pt>
                <c:pt idx="8">
                  <c:v>2030</c:v>
                </c:pt>
                <c:pt idx="9">
                  <c:v>2031</c:v>
                </c:pt>
                <c:pt idx="10">
                  <c:v>2032</c:v>
                </c:pt>
                <c:pt idx="11">
                  <c:v>2033</c:v>
                </c:pt>
                <c:pt idx="12">
                  <c:v>2034</c:v>
                </c:pt>
                <c:pt idx="13">
                  <c:v>2035</c:v>
                </c:pt>
                <c:pt idx="14">
                  <c:v>2036</c:v>
                </c:pt>
                <c:pt idx="15">
                  <c:v>2037</c:v>
                </c:pt>
                <c:pt idx="16">
                  <c:v>2038</c:v>
                </c:pt>
                <c:pt idx="17">
                  <c:v>2039</c:v>
                </c:pt>
                <c:pt idx="18">
                  <c:v>2040</c:v>
                </c:pt>
                <c:pt idx="19">
                  <c:v>2041</c:v>
                </c:pt>
                <c:pt idx="20">
                  <c:v>2042</c:v>
                </c:pt>
                <c:pt idx="21">
                  <c:v>2043</c:v>
                </c:pt>
                <c:pt idx="22">
                  <c:v>2044</c:v>
                </c:pt>
                <c:pt idx="23">
                  <c:v>2045</c:v>
                </c:pt>
                <c:pt idx="24">
                  <c:v>2046</c:v>
                </c:pt>
                <c:pt idx="25">
                  <c:v>2047</c:v>
                </c:pt>
                <c:pt idx="26">
                  <c:v>2048</c:v>
                </c:pt>
                <c:pt idx="27">
                  <c:v>2049</c:v>
                </c:pt>
                <c:pt idx="28">
                  <c:v>2050</c:v>
                </c:pt>
                <c:pt idx="29">
                  <c:v>2051</c:v>
                </c:pt>
                <c:pt idx="30">
                  <c:v>2052</c:v>
                </c:pt>
                <c:pt idx="31">
                  <c:v>2053</c:v>
                </c:pt>
                <c:pt idx="32">
                  <c:v>2054</c:v>
                </c:pt>
                <c:pt idx="33">
                  <c:v>2055</c:v>
                </c:pt>
                <c:pt idx="34">
                  <c:v>2056</c:v>
                </c:pt>
                <c:pt idx="35">
                  <c:v>2057</c:v>
                </c:pt>
                <c:pt idx="36">
                  <c:v>2058</c:v>
                </c:pt>
                <c:pt idx="37">
                  <c:v>2059</c:v>
                </c:pt>
                <c:pt idx="38">
                  <c:v>2060</c:v>
                </c:pt>
                <c:pt idx="39">
                  <c:v>2061</c:v>
                </c:pt>
                <c:pt idx="40">
                  <c:v>2062</c:v>
                </c:pt>
                <c:pt idx="41">
                  <c:v>2063</c:v>
                </c:pt>
                <c:pt idx="42">
                  <c:v>2064</c:v>
                </c:pt>
                <c:pt idx="43">
                  <c:v>2065</c:v>
                </c:pt>
                <c:pt idx="44">
                  <c:v>2066</c:v>
                </c:pt>
                <c:pt idx="45">
                  <c:v>2067</c:v>
                </c:pt>
                <c:pt idx="46">
                  <c:v>2068</c:v>
                </c:pt>
                <c:pt idx="47">
                  <c:v>2069</c:v>
                </c:pt>
                <c:pt idx="48">
                  <c:v>2070</c:v>
                </c:pt>
                <c:pt idx="49">
                  <c:v>2071</c:v>
                </c:pt>
                <c:pt idx="50">
                  <c:v>2072</c:v>
                </c:pt>
                <c:pt idx="51">
                  <c:v>2073</c:v>
                </c:pt>
                <c:pt idx="52">
                  <c:v>2074</c:v>
                </c:pt>
                <c:pt idx="53">
                  <c:v>2075</c:v>
                </c:pt>
                <c:pt idx="54">
                  <c:v>2076</c:v>
                </c:pt>
                <c:pt idx="55">
                  <c:v>2077</c:v>
                </c:pt>
                <c:pt idx="56">
                  <c:v>2078</c:v>
                </c:pt>
                <c:pt idx="57">
                  <c:v>2079</c:v>
                </c:pt>
                <c:pt idx="58">
                  <c:v>2080</c:v>
                </c:pt>
              </c:numCache>
              <c:extLst xmlns:c15="http://schemas.microsoft.com/office/drawing/2012/chart"/>
            </c:numRef>
          </c:cat>
          <c:val>
            <c:numRef>
              <c:f>'Liability&amp;Benefits'!$D$4:$D$62</c:f>
              <c:numCache>
                <c:formatCode>_-* #,##0_-;\-* #,##0_-;_-* "-"??_-;_-@_-</c:formatCode>
                <c:ptCount val="59"/>
                <c:pt idx="0">
                  <c:v>330356776</c:v>
                </c:pt>
                <c:pt idx="1">
                  <c:v>350468658</c:v>
                </c:pt>
                <c:pt idx="2">
                  <c:v>371000944</c:v>
                </c:pt>
                <c:pt idx="3">
                  <c:v>392870972</c:v>
                </c:pt>
                <c:pt idx="4">
                  <c:v>413935057</c:v>
                </c:pt>
                <c:pt idx="5">
                  <c:v>436208708.00000006</c:v>
                </c:pt>
                <c:pt idx="6">
                  <c:v>457411492</c:v>
                </c:pt>
                <c:pt idx="7">
                  <c:v>479203538.00000006</c:v>
                </c:pt>
                <c:pt idx="8">
                  <c:v>499325383</c:v>
                </c:pt>
                <c:pt idx="9">
                  <c:v>519870974.00000006</c:v>
                </c:pt>
                <c:pt idx="10">
                  <c:v>540862429</c:v>
                </c:pt>
                <c:pt idx="11">
                  <c:v>559245520.99999988</c:v>
                </c:pt>
                <c:pt idx="12">
                  <c:v>578763092</c:v>
                </c:pt>
                <c:pt idx="13">
                  <c:v>596939980</c:v>
                </c:pt>
                <c:pt idx="14">
                  <c:v>613419454.00000012</c:v>
                </c:pt>
                <c:pt idx="15">
                  <c:v>628533276</c:v>
                </c:pt>
                <c:pt idx="16">
                  <c:v>641030509.99999988</c:v>
                </c:pt>
                <c:pt idx="17">
                  <c:v>652041147</c:v>
                </c:pt>
                <c:pt idx="18">
                  <c:v>661066727.99999988</c:v>
                </c:pt>
                <c:pt idx="19">
                  <c:v>667795732.99999988</c:v>
                </c:pt>
                <c:pt idx="20">
                  <c:v>672269496.99999988</c:v>
                </c:pt>
                <c:pt idx="21">
                  <c:v>674209356</c:v>
                </c:pt>
                <c:pt idx="22">
                  <c:v>673921848.00000012</c:v>
                </c:pt>
                <c:pt idx="23">
                  <c:v>671801748</c:v>
                </c:pt>
                <c:pt idx="24">
                  <c:v>667277036.00000012</c:v>
                </c:pt>
                <c:pt idx="25">
                  <c:v>660049072</c:v>
                </c:pt>
                <c:pt idx="26">
                  <c:v>649430530</c:v>
                </c:pt>
                <c:pt idx="27">
                  <c:v>637487072</c:v>
                </c:pt>
                <c:pt idx="28">
                  <c:v>623913358</c:v>
                </c:pt>
                <c:pt idx="29">
                  <c:v>609024644</c:v>
                </c:pt>
                <c:pt idx="30">
                  <c:v>592550579</c:v>
                </c:pt>
                <c:pt idx="31">
                  <c:v>574822971</c:v>
                </c:pt>
                <c:pt idx="32">
                  <c:v>556299559</c:v>
                </c:pt>
                <c:pt idx="33">
                  <c:v>536910338</c:v>
                </c:pt>
                <c:pt idx="34">
                  <c:v>516715768</c:v>
                </c:pt>
                <c:pt idx="35">
                  <c:v>495833217</c:v>
                </c:pt>
                <c:pt idx="36">
                  <c:v>474353343</c:v>
                </c:pt>
                <c:pt idx="37">
                  <c:v>452316631</c:v>
                </c:pt>
                <c:pt idx="38">
                  <c:v>429825947.00000006</c:v>
                </c:pt>
                <c:pt idx="39">
                  <c:v>406891933</c:v>
                </c:pt>
                <c:pt idx="40">
                  <c:v>383570388.00000006</c:v>
                </c:pt>
                <c:pt idx="41">
                  <c:v>359893181.99999994</c:v>
                </c:pt>
                <c:pt idx="42">
                  <c:v>335989017</c:v>
                </c:pt>
                <c:pt idx="43">
                  <c:v>311884664</c:v>
                </c:pt>
                <c:pt idx="44">
                  <c:v>287719092.00000006</c:v>
                </c:pt>
                <c:pt idx="45">
                  <c:v>263656887.99999997</c:v>
                </c:pt>
                <c:pt idx="46">
                  <c:v>239848157.99999997</c:v>
                </c:pt>
                <c:pt idx="47">
                  <c:v>216451087.00000003</c:v>
                </c:pt>
                <c:pt idx="48">
                  <c:v>193642569</c:v>
                </c:pt>
                <c:pt idx="49">
                  <c:v>171550548</c:v>
                </c:pt>
                <c:pt idx="50">
                  <c:v>150300589.99999997</c:v>
                </c:pt>
                <c:pt idx="51">
                  <c:v>130063122.99999999</c:v>
                </c:pt>
                <c:pt idx="52">
                  <c:v>111038757.99999999</c:v>
                </c:pt>
                <c:pt idx="53">
                  <c:v>93303909</c:v>
                </c:pt>
                <c:pt idx="54">
                  <c:v>77030711.000000015</c:v>
                </c:pt>
                <c:pt idx="55">
                  <c:v>62449308</c:v>
                </c:pt>
                <c:pt idx="56">
                  <c:v>49594655.999999993</c:v>
                </c:pt>
                <c:pt idx="57">
                  <c:v>38526553.000000007</c:v>
                </c:pt>
                <c:pt idx="58">
                  <c:v>29243900</c:v>
                </c:pt>
              </c:numCache>
              <c:extLst xmlns:c15="http://schemas.microsoft.com/office/drawing/2012/chart"/>
            </c:numRef>
          </c:val>
          <c:smooth val="0"/>
          <c:extLst>
            <c:ext xmlns:c16="http://schemas.microsoft.com/office/drawing/2014/chart" uri="{C3380CC4-5D6E-409C-BE32-E72D297353CC}">
              <c16:uniqueId val="{00000000-1FB6-4696-9EB8-BC4DCCF3D5A5}"/>
            </c:ext>
          </c:extLst>
        </c:ser>
        <c:ser>
          <c:idx val="1"/>
          <c:order val="1"/>
          <c:tx>
            <c:strRef>
              <c:f>'Liability&amp;Benefits'!$F$3</c:f>
              <c:strCache>
                <c:ptCount val="1"/>
                <c:pt idx="0">
                  <c:v>2021-22 Budget Projected Benefits</c:v>
                </c:pt>
              </c:strCache>
            </c:strRef>
          </c:tx>
          <c:marker>
            <c:symbol val="none"/>
          </c:marker>
          <c:cat>
            <c:numRef>
              <c:f>'Liability&amp;Benefits'!$B$4:$B$62</c:f>
              <c:numCache>
                <c:formatCode>General</c:formatCode>
                <c:ptCount val="59"/>
                <c:pt idx="0">
                  <c:v>2022</c:v>
                </c:pt>
                <c:pt idx="1">
                  <c:v>2023</c:v>
                </c:pt>
                <c:pt idx="2">
                  <c:v>2024</c:v>
                </c:pt>
                <c:pt idx="3">
                  <c:v>2025</c:v>
                </c:pt>
                <c:pt idx="4">
                  <c:v>2026</c:v>
                </c:pt>
                <c:pt idx="5">
                  <c:v>2027</c:v>
                </c:pt>
                <c:pt idx="6">
                  <c:v>2028</c:v>
                </c:pt>
                <c:pt idx="7">
                  <c:v>2029</c:v>
                </c:pt>
                <c:pt idx="8">
                  <c:v>2030</c:v>
                </c:pt>
                <c:pt idx="9">
                  <c:v>2031</c:v>
                </c:pt>
                <c:pt idx="10">
                  <c:v>2032</c:v>
                </c:pt>
                <c:pt idx="11">
                  <c:v>2033</c:v>
                </c:pt>
                <c:pt idx="12">
                  <c:v>2034</c:v>
                </c:pt>
                <c:pt idx="13">
                  <c:v>2035</c:v>
                </c:pt>
                <c:pt idx="14">
                  <c:v>2036</c:v>
                </c:pt>
                <c:pt idx="15">
                  <c:v>2037</c:v>
                </c:pt>
                <c:pt idx="16">
                  <c:v>2038</c:v>
                </c:pt>
                <c:pt idx="17">
                  <c:v>2039</c:v>
                </c:pt>
                <c:pt idx="18">
                  <c:v>2040</c:v>
                </c:pt>
                <c:pt idx="19">
                  <c:v>2041</c:v>
                </c:pt>
                <c:pt idx="20">
                  <c:v>2042</c:v>
                </c:pt>
                <c:pt idx="21">
                  <c:v>2043</c:v>
                </c:pt>
                <c:pt idx="22">
                  <c:v>2044</c:v>
                </c:pt>
                <c:pt idx="23">
                  <c:v>2045</c:v>
                </c:pt>
                <c:pt idx="24">
                  <c:v>2046</c:v>
                </c:pt>
                <c:pt idx="25">
                  <c:v>2047</c:v>
                </c:pt>
                <c:pt idx="26">
                  <c:v>2048</c:v>
                </c:pt>
                <c:pt idx="27">
                  <c:v>2049</c:v>
                </c:pt>
                <c:pt idx="28">
                  <c:v>2050</c:v>
                </c:pt>
                <c:pt idx="29">
                  <c:v>2051</c:v>
                </c:pt>
                <c:pt idx="30">
                  <c:v>2052</c:v>
                </c:pt>
                <c:pt idx="31">
                  <c:v>2053</c:v>
                </c:pt>
                <c:pt idx="32">
                  <c:v>2054</c:v>
                </c:pt>
                <c:pt idx="33">
                  <c:v>2055</c:v>
                </c:pt>
                <c:pt idx="34">
                  <c:v>2056</c:v>
                </c:pt>
                <c:pt idx="35">
                  <c:v>2057</c:v>
                </c:pt>
                <c:pt idx="36">
                  <c:v>2058</c:v>
                </c:pt>
                <c:pt idx="37">
                  <c:v>2059</c:v>
                </c:pt>
                <c:pt idx="38">
                  <c:v>2060</c:v>
                </c:pt>
                <c:pt idx="39">
                  <c:v>2061</c:v>
                </c:pt>
                <c:pt idx="40">
                  <c:v>2062</c:v>
                </c:pt>
                <c:pt idx="41">
                  <c:v>2063</c:v>
                </c:pt>
                <c:pt idx="42">
                  <c:v>2064</c:v>
                </c:pt>
                <c:pt idx="43">
                  <c:v>2065</c:v>
                </c:pt>
                <c:pt idx="44">
                  <c:v>2066</c:v>
                </c:pt>
                <c:pt idx="45">
                  <c:v>2067</c:v>
                </c:pt>
                <c:pt idx="46">
                  <c:v>2068</c:v>
                </c:pt>
                <c:pt idx="47">
                  <c:v>2069</c:v>
                </c:pt>
                <c:pt idx="48">
                  <c:v>2070</c:v>
                </c:pt>
                <c:pt idx="49">
                  <c:v>2071</c:v>
                </c:pt>
                <c:pt idx="50">
                  <c:v>2072</c:v>
                </c:pt>
                <c:pt idx="51">
                  <c:v>2073</c:v>
                </c:pt>
                <c:pt idx="52">
                  <c:v>2074</c:v>
                </c:pt>
                <c:pt idx="53">
                  <c:v>2075</c:v>
                </c:pt>
                <c:pt idx="54">
                  <c:v>2076</c:v>
                </c:pt>
                <c:pt idx="55">
                  <c:v>2077</c:v>
                </c:pt>
                <c:pt idx="56">
                  <c:v>2078</c:v>
                </c:pt>
                <c:pt idx="57">
                  <c:v>2079</c:v>
                </c:pt>
                <c:pt idx="58">
                  <c:v>2080</c:v>
                </c:pt>
              </c:numCache>
            </c:numRef>
          </c:cat>
          <c:val>
            <c:numRef>
              <c:f>'Liability&amp;Benefits'!$F$4:$F$62</c:f>
              <c:numCache>
                <c:formatCode>_-* #,##0_-;\-* #,##0_-;_-* "-"??_-;_-@_-</c:formatCode>
                <c:ptCount val="59"/>
                <c:pt idx="0">
                  <c:v>328281217.99999994</c:v>
                </c:pt>
                <c:pt idx="1">
                  <c:v>348977440</c:v>
                </c:pt>
                <c:pt idx="2">
                  <c:v>370118781</c:v>
                </c:pt>
                <c:pt idx="3">
                  <c:v>392814381</c:v>
                </c:pt>
                <c:pt idx="4">
                  <c:v>414749547</c:v>
                </c:pt>
                <c:pt idx="5">
                  <c:v>437917219</c:v>
                </c:pt>
                <c:pt idx="6">
                  <c:v>460364414</c:v>
                </c:pt>
                <c:pt idx="7">
                  <c:v>483984790.00000006</c:v>
                </c:pt>
                <c:pt idx="8">
                  <c:v>506273399</c:v>
                </c:pt>
                <c:pt idx="9">
                  <c:v>527621850.99999988</c:v>
                </c:pt>
                <c:pt idx="10">
                  <c:v>550307226.00000012</c:v>
                </c:pt>
                <c:pt idx="11">
                  <c:v>570586441</c:v>
                </c:pt>
                <c:pt idx="12">
                  <c:v>591907932.00000012</c:v>
                </c:pt>
                <c:pt idx="13">
                  <c:v>611938858.00000012</c:v>
                </c:pt>
                <c:pt idx="14">
                  <c:v>630126236.00000012</c:v>
                </c:pt>
                <c:pt idx="15">
                  <c:v>646961020</c:v>
                </c:pt>
                <c:pt idx="16">
                  <c:v>661709478.99999988</c:v>
                </c:pt>
                <c:pt idx="17">
                  <c:v>674705391.00000012</c:v>
                </c:pt>
                <c:pt idx="18">
                  <c:v>685628000</c:v>
                </c:pt>
                <c:pt idx="19">
                  <c:v>694309408.00000012</c:v>
                </c:pt>
                <c:pt idx="20">
                  <c:v>700600339</c:v>
                </c:pt>
                <c:pt idx="21">
                  <c:v>704258421</c:v>
                </c:pt>
                <c:pt idx="22">
                  <c:v>705364007</c:v>
                </c:pt>
                <c:pt idx="23">
                  <c:v>704676086.99999988</c:v>
                </c:pt>
                <c:pt idx="24">
                  <c:v>701419759.00000012</c:v>
                </c:pt>
                <c:pt idx="25">
                  <c:v>695146909.99999988</c:v>
                </c:pt>
                <c:pt idx="26">
                  <c:v>685527919.99999988</c:v>
                </c:pt>
                <c:pt idx="27">
                  <c:v>674249770.00000012</c:v>
                </c:pt>
                <c:pt idx="28">
                  <c:v>661170512.99999988</c:v>
                </c:pt>
                <c:pt idx="29">
                  <c:v>646519819.00000012</c:v>
                </c:pt>
                <c:pt idx="30">
                  <c:v>630024904</c:v>
                </c:pt>
                <c:pt idx="31">
                  <c:v>612045828</c:v>
                </c:pt>
                <c:pt idx="32">
                  <c:v>593012159.99999988</c:v>
                </c:pt>
                <c:pt idx="33">
                  <c:v>572943597.00000012</c:v>
                </c:pt>
                <c:pt idx="34">
                  <c:v>551884360.00000012</c:v>
                </c:pt>
                <c:pt idx="35">
                  <c:v>529980402</c:v>
                </c:pt>
                <c:pt idx="36">
                  <c:v>507336960.00000006</c:v>
                </c:pt>
                <c:pt idx="37">
                  <c:v>484019312.99999994</c:v>
                </c:pt>
                <c:pt idx="38">
                  <c:v>460149496</c:v>
                </c:pt>
                <c:pt idx="39">
                  <c:v>435738615</c:v>
                </c:pt>
                <c:pt idx="40">
                  <c:v>410866719</c:v>
                </c:pt>
                <c:pt idx="41">
                  <c:v>385578219</c:v>
                </c:pt>
                <c:pt idx="42">
                  <c:v>360020502.99999994</c:v>
                </c:pt>
                <c:pt idx="43">
                  <c:v>334233334</c:v>
                </c:pt>
                <c:pt idx="44">
                  <c:v>308376160</c:v>
                </c:pt>
                <c:pt idx="45">
                  <c:v>282631719</c:v>
                </c:pt>
                <c:pt idx="46">
                  <c:v>257162620</c:v>
                </c:pt>
                <c:pt idx="47">
                  <c:v>232146534.99999997</c:v>
                </c:pt>
                <c:pt idx="48">
                  <c:v>207773099.99999997</c:v>
                </c:pt>
                <c:pt idx="49">
                  <c:v>184178216.00000003</c:v>
                </c:pt>
                <c:pt idx="50">
                  <c:v>161511725</c:v>
                </c:pt>
                <c:pt idx="51">
                  <c:v>139946464</c:v>
                </c:pt>
                <c:pt idx="52">
                  <c:v>119688714.00000001</c:v>
                </c:pt>
                <c:pt idx="53">
                  <c:v>100803068</c:v>
                </c:pt>
                <c:pt idx="54">
                  <c:v>83465095</c:v>
                </c:pt>
                <c:pt idx="55">
                  <c:v>67909688</c:v>
                </c:pt>
                <c:pt idx="56">
                  <c:v>54155363.000000007</c:v>
                </c:pt>
                <c:pt idx="57">
                  <c:v>42260092.000000007</c:v>
                </c:pt>
                <c:pt idx="58">
                  <c:v>32234825</c:v>
                </c:pt>
              </c:numCache>
            </c:numRef>
          </c:val>
          <c:smooth val="0"/>
          <c:extLst>
            <c:ext xmlns:c16="http://schemas.microsoft.com/office/drawing/2014/chart" uri="{C3380CC4-5D6E-409C-BE32-E72D297353CC}">
              <c16:uniqueId val="{00000001-1FB6-4696-9EB8-BC4DCCF3D5A5}"/>
            </c:ext>
          </c:extLst>
        </c:ser>
        <c:dLbls>
          <c:showLegendKey val="0"/>
          <c:showVal val="0"/>
          <c:showCatName val="0"/>
          <c:showSerName val="0"/>
          <c:showPercent val="0"/>
          <c:showBubbleSize val="0"/>
        </c:dLbls>
        <c:smooth val="0"/>
        <c:axId val="438134608"/>
        <c:axId val="438135000"/>
        <c:extLst/>
      </c:lineChart>
      <c:catAx>
        <c:axId val="438134608"/>
        <c:scaling>
          <c:orientation val="minMax"/>
        </c:scaling>
        <c:delete val="0"/>
        <c:axPos val="b"/>
        <c:majorGridlines>
          <c:spPr>
            <a:ln w="9525" cap="flat" cmpd="sng" algn="ctr">
              <a:noFill/>
              <a:prstDash val="solid"/>
              <a:round/>
            </a:ln>
            <a:effectLst/>
            <a:extLs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majorGridlines>
        <c:numFmt formatCode="General" sourceLinked="1"/>
        <c:majorTickMark val="in"/>
        <c:minorTickMark val="none"/>
        <c:tickLblPos val="nextTo"/>
        <c:spPr>
          <a:ln w="3175">
            <a:solidFill>
              <a:srgbClr val="000000"/>
            </a:solidFill>
            <a:prstDash val="solid"/>
          </a:ln>
        </c:spPr>
        <c:txPr>
          <a:bodyPr rot="-5400000" vert="horz"/>
          <a:lstStyle/>
          <a:p>
            <a:pPr>
              <a:defRPr sz="1000">
                <a:solidFill>
                  <a:srgbClr val="000000"/>
                </a:solidFill>
                <a:latin typeface="Calibri"/>
                <a:ea typeface="Calibri"/>
                <a:cs typeface="Calibri"/>
              </a:defRPr>
            </a:pPr>
            <a:endParaRPr lang="en-US"/>
          </a:p>
        </c:txPr>
        <c:crossAx val="438135000"/>
        <c:crosses val="autoZero"/>
        <c:auto val="1"/>
        <c:lblAlgn val="ctr"/>
        <c:lblOffset val="100"/>
        <c:tickMarkSkip val="4"/>
        <c:noMultiLvlLbl val="0"/>
      </c:catAx>
      <c:valAx>
        <c:axId val="438135000"/>
        <c:scaling>
          <c:orientation val="minMax"/>
        </c:scaling>
        <c:delete val="0"/>
        <c:axPos val="l"/>
        <c:majorGridlines>
          <c:spPr>
            <a:ln w="9525">
              <a:solidFill>
                <a:srgbClr val="000000"/>
              </a:solidFill>
              <a:prstDash val="dash"/>
            </a:ln>
          </c:spPr>
        </c:majorGridlines>
        <c:numFmt formatCode="_-* #,##0_-;\-* #,##0_-;_-* &quot;-&quot;??_-;_-@_-" sourceLinked="1"/>
        <c:majorTickMark val="in"/>
        <c:minorTickMark val="none"/>
        <c:tickLblPos val="nextTo"/>
        <c:spPr>
          <a:ln w="3175">
            <a:solidFill>
              <a:srgbClr val="000000"/>
            </a:solidFill>
            <a:prstDash val="solid"/>
          </a:ln>
        </c:spPr>
        <c:txPr>
          <a:bodyPr/>
          <a:lstStyle/>
          <a:p>
            <a:pPr>
              <a:defRPr sz="1000">
                <a:solidFill>
                  <a:srgbClr val="000000"/>
                </a:solidFill>
                <a:latin typeface="Calibri"/>
                <a:ea typeface="Calibri"/>
                <a:cs typeface="Calibri"/>
              </a:defRPr>
            </a:pPr>
            <a:endParaRPr lang="en-US"/>
          </a:p>
        </c:txPr>
        <c:crossAx val="438134608"/>
        <c:crosses val="autoZero"/>
        <c:crossBetween val="midCat"/>
        <c:dispUnits>
          <c:builtInUnit val="millions"/>
          <c:dispUnitsLbl>
            <c:layout>
              <c:manualLayout>
                <c:xMode val="edge"/>
                <c:yMode val="edge"/>
                <c:x val="3.2276388888888896E-2"/>
                <c:y val="0.32970308641975332"/>
              </c:manualLayout>
            </c:layout>
            <c:tx>
              <c:rich>
                <a:bodyPr/>
                <a:lstStyle/>
                <a:p>
                  <a:pPr>
                    <a:defRPr b="0"/>
                  </a:pPr>
                  <a:r>
                    <a:rPr lang="en-AU"/>
                    <a:t>$ million</a:t>
                  </a:r>
                </a:p>
              </c:rich>
            </c:tx>
          </c:dispUnitsLbl>
        </c:dispUnits>
      </c:valAx>
      <c:spPr>
        <a:noFill/>
        <a:extLst>
          <a:ext uri="{909E8E84-426E-40DD-AFC4-6F175D3DCCD1}">
            <a14:hiddenFill xmlns:a14="http://schemas.microsoft.com/office/drawing/2010/main">
              <a:solidFill>
                <a:sysClr val="window" lastClr="FFFFFF"/>
              </a:solidFill>
            </a14:hiddenFill>
          </a:ext>
        </a:extLst>
      </c:spPr>
    </c:plotArea>
    <c:legend>
      <c:legendPos val="b"/>
      <c:overlay val="0"/>
      <c:spPr>
        <a:noFill/>
        <a:ln>
          <a:noFill/>
        </a:ln>
        <a:effectLst/>
        <a:extLst>
          <a:ext uri="{91240B29-F687-4F45-9708-019B960494DF}">
            <a14:hiddenLine xmlns:a14="http://schemas.microsoft.com/office/drawing/2010/main">
              <a:noFill/>
            </a14:hiddenLine>
          </a:ext>
        </a:extLst>
      </c:spPr>
      <c:txPr>
        <a:bodyPr/>
        <a:lstStyle/>
        <a:p>
          <a:pPr>
            <a:defRPr sz="1000">
              <a:solidFill>
                <a:srgbClr val="000000"/>
              </a:solidFill>
              <a:latin typeface="Calibri" panose="020F0502020204030204" pitchFamily="34" charset="0"/>
            </a:defRPr>
          </a:pPr>
          <a:endParaRPr lang="en-US"/>
        </a:p>
      </c:txPr>
    </c:legend>
    <c:plotVisOnly val="1"/>
    <c:dispBlanksAs val="gap"/>
    <c:showDLblsOverMax val="0"/>
  </c:chart>
  <c:spPr>
    <a:noFill/>
    <a:ln>
      <a:noFill/>
    </a:ln>
    <a:extLst>
      <a:ext uri="{909E8E84-426E-40DD-AFC4-6F175D3DCCD1}">
        <a14:hiddenFill xmlns:a14="http://schemas.microsoft.com/office/drawing/2010/main">
          <a:solidFill>
            <a:sysClr val="window" lastClr="FFFFFF"/>
          </a:solidFill>
        </a14:hiddenFill>
      </a:ext>
    </a:extLst>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253445766348294"/>
          <c:y val="0.10338036600643842"/>
          <c:w val="0.86857119789600368"/>
          <c:h val="0.57895289404613892"/>
        </c:manualLayout>
      </c:layout>
      <c:barChart>
        <c:barDir val="col"/>
        <c:grouping val="stacked"/>
        <c:varyColors val="0"/>
        <c:ser>
          <c:idx val="0"/>
          <c:order val="0"/>
          <c:tx>
            <c:strRef>
              <c:f>'2021-22 Budget Charts&amp;Table'!$D$102</c:f>
              <c:strCache>
                <c:ptCount val="1"/>
                <c:pt idx="0">
                  <c:v>Short-Term Notes</c:v>
                </c:pt>
              </c:strCache>
            </c:strRef>
          </c:tx>
          <c:spPr>
            <a:solidFill>
              <a:schemeClr val="tx1"/>
            </a:solidFill>
            <a:ln>
              <a:solidFill>
                <a:schemeClr val="tx1"/>
              </a:solidFill>
            </a:ln>
          </c:spPr>
          <c:invertIfNegative val="0"/>
          <c:cat>
            <c:strRef>
              <c:f>'2021-22 Budget Charts&amp;Table'!$E$101:$R$101</c:f>
              <c:strCache>
                <c:ptCount val="14"/>
                <c:pt idx="0">
                  <c:v>2020-21</c:v>
                </c:pt>
                <c:pt idx="1">
                  <c:v>2021-22</c:v>
                </c:pt>
                <c:pt idx="2">
                  <c:v>2022-23</c:v>
                </c:pt>
                <c:pt idx="3">
                  <c:v>2023-24</c:v>
                </c:pt>
                <c:pt idx="4">
                  <c:v>2024-25</c:v>
                </c:pt>
                <c:pt idx="5">
                  <c:v>2025-26</c:v>
                </c:pt>
                <c:pt idx="6">
                  <c:v>2026-27</c:v>
                </c:pt>
                <c:pt idx="7">
                  <c:v>2027-28</c:v>
                </c:pt>
                <c:pt idx="8">
                  <c:v>2028-29</c:v>
                </c:pt>
                <c:pt idx="9">
                  <c:v>2029-30</c:v>
                </c:pt>
                <c:pt idx="10">
                  <c:v>2030-31</c:v>
                </c:pt>
                <c:pt idx="11">
                  <c:v>2031-32</c:v>
                </c:pt>
                <c:pt idx="12">
                  <c:v>2039-40</c:v>
                </c:pt>
                <c:pt idx="13">
                  <c:v>2047-48</c:v>
                </c:pt>
              </c:strCache>
            </c:strRef>
          </c:cat>
          <c:val>
            <c:numRef>
              <c:f>'2021-22 Budget Charts&amp;Table'!$E$102:$R$102</c:f>
              <c:numCache>
                <c:formatCode>General</c:formatCode>
                <c:ptCount val="14"/>
                <c:pt idx="0" formatCode="#,##0.0">
                  <c:v>199.98225365000002</c:v>
                </c:pt>
              </c:numCache>
            </c:numRef>
          </c:val>
          <c:extLst>
            <c:ext xmlns:c16="http://schemas.microsoft.com/office/drawing/2014/chart" uri="{C3380CC4-5D6E-409C-BE32-E72D297353CC}">
              <c16:uniqueId val="{00000000-5C6A-4593-A527-6F68568F037E}"/>
            </c:ext>
          </c:extLst>
        </c:ser>
        <c:ser>
          <c:idx val="1"/>
          <c:order val="1"/>
          <c:tx>
            <c:strRef>
              <c:f>'2021-22 Budget Charts&amp;Table'!$D$103</c:f>
              <c:strCache>
                <c:ptCount val="1"/>
                <c:pt idx="0">
                  <c:v>Fixed Rate Medium Term Bonds</c:v>
                </c:pt>
              </c:strCache>
            </c:strRef>
          </c:tx>
          <c:invertIfNegative val="0"/>
          <c:cat>
            <c:strRef>
              <c:f>'2021-22 Budget Charts&amp;Table'!$E$101:$R$101</c:f>
              <c:strCache>
                <c:ptCount val="14"/>
                <c:pt idx="0">
                  <c:v>2020-21</c:v>
                </c:pt>
                <c:pt idx="1">
                  <c:v>2021-22</c:v>
                </c:pt>
                <c:pt idx="2">
                  <c:v>2022-23</c:v>
                </c:pt>
                <c:pt idx="3">
                  <c:v>2023-24</c:v>
                </c:pt>
                <c:pt idx="4">
                  <c:v>2024-25</c:v>
                </c:pt>
                <c:pt idx="5">
                  <c:v>2025-26</c:v>
                </c:pt>
                <c:pt idx="6">
                  <c:v>2026-27</c:v>
                </c:pt>
                <c:pt idx="7">
                  <c:v>2027-28</c:v>
                </c:pt>
                <c:pt idx="8">
                  <c:v>2028-29</c:v>
                </c:pt>
                <c:pt idx="9">
                  <c:v>2029-30</c:v>
                </c:pt>
                <c:pt idx="10">
                  <c:v>2030-31</c:v>
                </c:pt>
                <c:pt idx="11">
                  <c:v>2031-32</c:v>
                </c:pt>
                <c:pt idx="12">
                  <c:v>2039-40</c:v>
                </c:pt>
                <c:pt idx="13">
                  <c:v>2047-48</c:v>
                </c:pt>
              </c:strCache>
            </c:strRef>
          </c:cat>
          <c:val>
            <c:numRef>
              <c:f>'2021-22 Budget Charts&amp;Table'!$E$103:$R$103</c:f>
              <c:numCache>
                <c:formatCode>#,##0.0</c:formatCode>
                <c:ptCount val="14"/>
                <c:pt idx="1">
                  <c:v>548.67364512000006</c:v>
                </c:pt>
                <c:pt idx="2">
                  <c:v>1103.0499380000001</c:v>
                </c:pt>
                <c:pt idx="3">
                  <c:v>497.21187515000003</c:v>
                </c:pt>
                <c:pt idx="4">
                  <c:v>1003.29105844</c:v>
                </c:pt>
                <c:pt idx="5">
                  <c:v>521.45628012999998</c:v>
                </c:pt>
                <c:pt idx="7">
                  <c:v>541.96239281999999</c:v>
                </c:pt>
                <c:pt idx="8">
                  <c:v>902.37905591999993</c:v>
                </c:pt>
                <c:pt idx="9">
                  <c:v>996.69</c:v>
                </c:pt>
                <c:pt idx="11">
                  <c:v>990.97384742000008</c:v>
                </c:pt>
              </c:numCache>
            </c:numRef>
          </c:val>
          <c:extLst>
            <c:ext xmlns:c16="http://schemas.microsoft.com/office/drawing/2014/chart" uri="{C3380CC4-5D6E-409C-BE32-E72D297353CC}">
              <c16:uniqueId val="{00000001-5C6A-4593-A527-6F68568F037E}"/>
            </c:ext>
          </c:extLst>
        </c:ser>
        <c:ser>
          <c:idx val="2"/>
          <c:order val="2"/>
          <c:tx>
            <c:strRef>
              <c:f>'2021-22 Budget Charts&amp;Table'!$D$104</c:f>
              <c:strCache>
                <c:ptCount val="1"/>
                <c:pt idx="0">
                  <c:v>Inflation-Linked Bonds</c:v>
                </c:pt>
              </c:strCache>
            </c:strRef>
          </c:tx>
          <c:spPr>
            <a:solidFill>
              <a:srgbClr val="002060"/>
            </a:solidFill>
            <a:ln>
              <a:solidFill>
                <a:schemeClr val="tx1"/>
              </a:solidFill>
            </a:ln>
          </c:spPr>
          <c:invertIfNegative val="0"/>
          <c:dPt>
            <c:idx val="9"/>
            <c:invertIfNegative val="0"/>
            <c:bubble3D val="0"/>
            <c:spPr>
              <a:solidFill>
                <a:srgbClr val="7030A0"/>
              </a:solidFill>
              <a:ln>
                <a:solidFill>
                  <a:schemeClr val="tx1"/>
                </a:solidFill>
              </a:ln>
            </c:spPr>
            <c:extLst>
              <c:ext xmlns:c16="http://schemas.microsoft.com/office/drawing/2014/chart" uri="{C3380CC4-5D6E-409C-BE32-E72D297353CC}">
                <c16:uniqueId val="{00000005-5C6A-4593-A527-6F68568F037E}"/>
              </c:ext>
            </c:extLst>
          </c:dPt>
          <c:cat>
            <c:strRef>
              <c:f>'2021-22 Budget Charts&amp;Table'!$E$101:$R$101</c:f>
              <c:strCache>
                <c:ptCount val="14"/>
                <c:pt idx="0">
                  <c:v>2020-21</c:v>
                </c:pt>
                <c:pt idx="1">
                  <c:v>2021-22</c:v>
                </c:pt>
                <c:pt idx="2">
                  <c:v>2022-23</c:v>
                </c:pt>
                <c:pt idx="3">
                  <c:v>2023-24</c:v>
                </c:pt>
                <c:pt idx="4">
                  <c:v>2024-25</c:v>
                </c:pt>
                <c:pt idx="5">
                  <c:v>2025-26</c:v>
                </c:pt>
                <c:pt idx="6">
                  <c:v>2026-27</c:v>
                </c:pt>
                <c:pt idx="7">
                  <c:v>2027-28</c:v>
                </c:pt>
                <c:pt idx="8">
                  <c:v>2028-29</c:v>
                </c:pt>
                <c:pt idx="9">
                  <c:v>2029-30</c:v>
                </c:pt>
                <c:pt idx="10">
                  <c:v>2030-31</c:v>
                </c:pt>
                <c:pt idx="11">
                  <c:v>2031-32</c:v>
                </c:pt>
                <c:pt idx="12">
                  <c:v>2039-40</c:v>
                </c:pt>
                <c:pt idx="13">
                  <c:v>2047-48</c:v>
                </c:pt>
              </c:strCache>
            </c:strRef>
          </c:cat>
          <c:val>
            <c:numRef>
              <c:f>'2021-22 Budget Charts&amp;Table'!$E$104:$R$104</c:f>
              <c:numCache>
                <c:formatCode>General</c:formatCode>
                <c:ptCount val="14"/>
                <c:pt idx="9" formatCode="#,##0.0">
                  <c:v>305.50880523627001</c:v>
                </c:pt>
                <c:pt idx="13" formatCode="#,##0.0">
                  <c:v>403.99545719000008</c:v>
                </c:pt>
              </c:numCache>
            </c:numRef>
          </c:val>
          <c:extLst>
            <c:ext xmlns:c16="http://schemas.microsoft.com/office/drawing/2014/chart" uri="{C3380CC4-5D6E-409C-BE32-E72D297353CC}">
              <c16:uniqueId val="{00000002-5C6A-4593-A527-6F68568F037E}"/>
            </c:ext>
          </c:extLst>
        </c:ser>
        <c:ser>
          <c:idx val="3"/>
          <c:order val="3"/>
          <c:tx>
            <c:strRef>
              <c:f>'2021-22 Budget Charts&amp;Table'!$D$105</c:f>
              <c:strCache>
                <c:ptCount val="1"/>
                <c:pt idx="0">
                  <c:v>Commonwealth Government Loans</c:v>
                </c:pt>
              </c:strCache>
            </c:strRef>
          </c:tx>
          <c:spPr>
            <a:solidFill>
              <a:schemeClr val="bg1">
                <a:lumMod val="75000"/>
              </a:schemeClr>
            </a:solidFill>
            <a:ln>
              <a:solidFill>
                <a:schemeClr val="tx1"/>
              </a:solidFill>
            </a:ln>
          </c:spPr>
          <c:invertIfNegative val="0"/>
          <c:cat>
            <c:strRef>
              <c:f>'2021-22 Budget Charts&amp;Table'!$E$101:$R$101</c:f>
              <c:strCache>
                <c:ptCount val="14"/>
                <c:pt idx="0">
                  <c:v>2020-21</c:v>
                </c:pt>
                <c:pt idx="1">
                  <c:v>2021-22</c:v>
                </c:pt>
                <c:pt idx="2">
                  <c:v>2022-23</c:v>
                </c:pt>
                <c:pt idx="3">
                  <c:v>2023-24</c:v>
                </c:pt>
                <c:pt idx="4">
                  <c:v>2024-25</c:v>
                </c:pt>
                <c:pt idx="5">
                  <c:v>2025-26</c:v>
                </c:pt>
                <c:pt idx="6">
                  <c:v>2026-27</c:v>
                </c:pt>
                <c:pt idx="7">
                  <c:v>2027-28</c:v>
                </c:pt>
                <c:pt idx="8">
                  <c:v>2028-29</c:v>
                </c:pt>
                <c:pt idx="9">
                  <c:v>2029-30</c:v>
                </c:pt>
                <c:pt idx="10">
                  <c:v>2030-31</c:v>
                </c:pt>
                <c:pt idx="11">
                  <c:v>2031-32</c:v>
                </c:pt>
                <c:pt idx="12">
                  <c:v>2039-40</c:v>
                </c:pt>
                <c:pt idx="13">
                  <c:v>2047-48</c:v>
                </c:pt>
              </c:strCache>
            </c:strRef>
          </c:cat>
          <c:val>
            <c:numRef>
              <c:f>'2021-22 Budget Charts&amp;Table'!$E$105:$R$105</c:f>
              <c:numCache>
                <c:formatCode>General</c:formatCode>
                <c:ptCount val="14"/>
                <c:pt idx="12" formatCode="#,##0.0">
                  <c:v>98.326683014945445</c:v>
                </c:pt>
              </c:numCache>
            </c:numRef>
          </c:val>
          <c:extLst>
            <c:ext xmlns:c16="http://schemas.microsoft.com/office/drawing/2014/chart" uri="{C3380CC4-5D6E-409C-BE32-E72D297353CC}">
              <c16:uniqueId val="{00000003-5C6A-4593-A527-6F68568F037E}"/>
            </c:ext>
          </c:extLst>
        </c:ser>
        <c:dLbls>
          <c:showLegendKey val="0"/>
          <c:showVal val="0"/>
          <c:showCatName val="0"/>
          <c:showSerName val="0"/>
          <c:showPercent val="0"/>
          <c:showBubbleSize val="0"/>
        </c:dLbls>
        <c:gapWidth val="150"/>
        <c:overlap val="100"/>
        <c:axId val="478398064"/>
        <c:axId val="1"/>
      </c:barChart>
      <c:catAx>
        <c:axId val="478398064"/>
        <c:scaling>
          <c:orientation val="minMax"/>
        </c:scaling>
        <c:delete val="0"/>
        <c:axPos val="b"/>
        <c:title>
          <c:tx>
            <c:rich>
              <a:bodyPr/>
              <a:lstStyle/>
              <a:p>
                <a:pPr>
                  <a:defRPr sz="900" b="0" i="0" u="none" strike="noStrike" baseline="0">
                    <a:solidFill>
                      <a:srgbClr val="000000"/>
                    </a:solidFill>
                    <a:latin typeface="Calibri"/>
                    <a:ea typeface="Calibri"/>
                    <a:cs typeface="Calibri"/>
                  </a:defRPr>
                </a:pPr>
                <a:r>
                  <a:rPr lang="en-AU" sz="900"/>
                  <a:t>Financial Year Maturity</a:t>
                </a:r>
              </a:p>
            </c:rich>
          </c:tx>
          <c:layout>
            <c:manualLayout>
              <c:xMode val="edge"/>
              <c:yMode val="edge"/>
              <c:x val="0.44589298337707783"/>
              <c:y val="0.82076436370218619"/>
            </c:manualLayout>
          </c:layout>
          <c:overlay val="0"/>
        </c:title>
        <c:numFmt formatCode="General" sourceLinked="1"/>
        <c:majorTickMark val="in"/>
        <c:minorTickMark val="none"/>
        <c:tickLblPos val="nextTo"/>
        <c:spPr>
          <a:ln w="3175">
            <a:solidFill>
              <a:schemeClr val="tx1"/>
            </a:solidFill>
          </a:ln>
        </c:spPr>
        <c:txPr>
          <a:bodyPr rot="-1140000" vert="horz"/>
          <a:lstStyle/>
          <a:p>
            <a:pPr>
              <a:defRPr sz="800" b="0" i="0" u="none" strike="noStrike" baseline="0">
                <a:solidFill>
                  <a:srgbClr val="000000"/>
                </a:solidFill>
                <a:latin typeface="Calibri"/>
                <a:ea typeface="Calibri"/>
                <a:cs typeface="Calibri"/>
              </a:defRPr>
            </a:pPr>
            <a:endParaRPr lang="en-US"/>
          </a:p>
        </c:txPr>
        <c:crossAx val="1"/>
        <c:crosses val="autoZero"/>
        <c:auto val="1"/>
        <c:lblAlgn val="ctr"/>
        <c:lblOffset val="100"/>
        <c:noMultiLvlLbl val="0"/>
      </c:catAx>
      <c:valAx>
        <c:axId val="1"/>
        <c:scaling>
          <c:orientation val="minMax"/>
        </c:scaling>
        <c:delete val="0"/>
        <c:axPos val="l"/>
        <c:majorGridlines>
          <c:spPr>
            <a:ln>
              <a:solidFill>
                <a:schemeClr val="bg1">
                  <a:lumMod val="50000"/>
                </a:schemeClr>
              </a:solidFill>
              <a:prstDash val="dash"/>
            </a:ln>
          </c:spPr>
        </c:majorGridlines>
        <c:title>
          <c:tx>
            <c:rich>
              <a:bodyPr/>
              <a:lstStyle/>
              <a:p>
                <a:pPr>
                  <a:defRPr sz="900" b="0" i="0" u="none" strike="noStrike" baseline="0">
                    <a:solidFill>
                      <a:srgbClr val="000000"/>
                    </a:solidFill>
                    <a:latin typeface="Calibri"/>
                    <a:ea typeface="Calibri"/>
                    <a:cs typeface="Calibri"/>
                  </a:defRPr>
                </a:pPr>
                <a:r>
                  <a:rPr lang="en-AU" sz="900"/>
                  <a:t>Principal Outstanding ($ millions)</a:t>
                </a:r>
              </a:p>
            </c:rich>
          </c:tx>
          <c:overlay val="0"/>
        </c:title>
        <c:numFmt formatCode="#,##0" sourceLinked="0"/>
        <c:majorTickMark val="in"/>
        <c:minorTickMark val="none"/>
        <c:tickLblPos val="nextTo"/>
        <c:spPr>
          <a:ln w="3175">
            <a:solidFill>
              <a:schemeClr val="tx1"/>
            </a:solidFill>
          </a:ln>
        </c:spPr>
        <c:txPr>
          <a:bodyPr rot="0" vert="horz"/>
          <a:lstStyle/>
          <a:p>
            <a:pPr>
              <a:defRPr sz="1000" b="0" i="0" u="none" strike="noStrike" baseline="0">
                <a:solidFill>
                  <a:srgbClr val="000000"/>
                </a:solidFill>
                <a:latin typeface="Calibri"/>
                <a:ea typeface="Calibri"/>
                <a:cs typeface="Calibri"/>
              </a:defRPr>
            </a:pPr>
            <a:endParaRPr lang="en-US"/>
          </a:p>
        </c:txPr>
        <c:crossAx val="478398064"/>
        <c:crosses val="autoZero"/>
        <c:crossBetween val="between"/>
      </c:valAx>
    </c:plotArea>
    <c:legend>
      <c:legendPos val="b"/>
      <c:layout>
        <c:manualLayout>
          <c:xMode val="edge"/>
          <c:yMode val="edge"/>
          <c:x val="4.7749265291784117E-2"/>
          <c:y val="0.90909219103244676"/>
          <c:w val="0.92445091806396884"/>
          <c:h val="6.8965846353845284E-2"/>
        </c:manualLayout>
      </c:layout>
      <c:overlay val="0"/>
      <c:txPr>
        <a:bodyPr/>
        <a:lstStyle/>
        <a:p>
          <a:pPr>
            <a:defRPr sz="845" b="0" i="0" u="none" strike="noStrike" baseline="0">
              <a:solidFill>
                <a:srgbClr val="000000"/>
              </a:solidFill>
              <a:latin typeface="Calibri"/>
              <a:ea typeface="Calibri"/>
              <a:cs typeface="Calibri"/>
            </a:defRPr>
          </a:pPr>
          <a:endParaRPr lang="en-US"/>
        </a:p>
      </c:txPr>
    </c:legend>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0056407473772182"/>
          <c:y val="5.8317506487580918E-2"/>
          <c:w val="0.84615363141650279"/>
          <c:h val="0.77521849242528884"/>
        </c:manualLayout>
      </c:layout>
      <c:lineChart>
        <c:grouping val="standard"/>
        <c:varyColors val="0"/>
        <c:ser>
          <c:idx val="0"/>
          <c:order val="0"/>
          <c:spPr>
            <a:ln w="28575" cap="rnd">
              <a:solidFill>
                <a:schemeClr val="accent1"/>
              </a:solidFill>
              <a:round/>
            </a:ln>
            <a:effectLst/>
          </c:spPr>
          <c:marker>
            <c:symbol val="none"/>
          </c:marker>
          <c:cat>
            <c:strRef>
              <c:f>'GGS Expenses to GSP FINAL'!$A$9:$A$18</c:f>
              <c:strCache>
                <c:ptCount val="10"/>
                <c:pt idx="0">
                  <c:v>2015-16</c:v>
                </c:pt>
                <c:pt idx="1">
                  <c:v>2016-17</c:v>
                </c:pt>
                <c:pt idx="2">
                  <c:v>2017-18</c:v>
                </c:pt>
                <c:pt idx="3">
                  <c:v>2018-19</c:v>
                </c:pt>
                <c:pt idx="4">
                  <c:v>2019-20</c:v>
                </c:pt>
                <c:pt idx="5">
                  <c:v>2020-21</c:v>
                </c:pt>
                <c:pt idx="6">
                  <c:v>2021-22</c:v>
                </c:pt>
                <c:pt idx="7">
                  <c:v>2022-23</c:v>
                </c:pt>
                <c:pt idx="8">
                  <c:v>2023-24</c:v>
                </c:pt>
                <c:pt idx="9">
                  <c:v>2024-25</c:v>
                </c:pt>
              </c:strCache>
            </c:strRef>
          </c:cat>
          <c:val>
            <c:numRef>
              <c:f>'GGS Expenses to GSP FINAL'!$F$9:$F$18</c:f>
              <c:numCache>
                <c:formatCode>0.0</c:formatCode>
                <c:ptCount val="10"/>
                <c:pt idx="0">
                  <c:v>14.292542027022732</c:v>
                </c:pt>
                <c:pt idx="1">
                  <c:v>14.072566971854867</c:v>
                </c:pt>
                <c:pt idx="2">
                  <c:v>13.777877462806595</c:v>
                </c:pt>
                <c:pt idx="3">
                  <c:v>13.672077233184806</c:v>
                </c:pt>
                <c:pt idx="4">
                  <c:v>15.489037794060934</c:v>
                </c:pt>
                <c:pt idx="5">
                  <c:v>15.44744582576924</c:v>
                </c:pt>
                <c:pt idx="6">
                  <c:v>16.958912360143319</c:v>
                </c:pt>
                <c:pt idx="7">
                  <c:v>15.304619804554795</c:v>
                </c:pt>
                <c:pt idx="8">
                  <c:v>14.916802097510207</c:v>
                </c:pt>
                <c:pt idx="9">
                  <c:v>14.584453733612007</c:v>
                </c:pt>
              </c:numCache>
            </c:numRef>
          </c:val>
          <c:smooth val="0"/>
          <c:extLst>
            <c:ext xmlns:c16="http://schemas.microsoft.com/office/drawing/2014/chart" uri="{C3380CC4-5D6E-409C-BE32-E72D297353CC}">
              <c16:uniqueId val="{00000000-02E0-4C43-A727-89988A6E2CCE}"/>
            </c:ext>
          </c:extLst>
        </c:ser>
        <c:dLbls>
          <c:showLegendKey val="0"/>
          <c:showVal val="0"/>
          <c:showCatName val="0"/>
          <c:showSerName val="0"/>
          <c:showPercent val="0"/>
          <c:showBubbleSize val="0"/>
        </c:dLbls>
        <c:smooth val="0"/>
        <c:axId val="574818192"/>
        <c:axId val="574818584"/>
      </c:lineChart>
      <c:catAx>
        <c:axId val="574818192"/>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chemeClr val="tx1"/>
                </a:solidFill>
                <a:latin typeface="+mn-lt"/>
                <a:ea typeface="+mn-ea"/>
                <a:cs typeface="+mn-cs"/>
              </a:defRPr>
            </a:pPr>
            <a:endParaRPr lang="en-US"/>
          </a:p>
        </c:txPr>
        <c:crossAx val="574818584"/>
        <c:crosses val="autoZero"/>
        <c:auto val="1"/>
        <c:lblAlgn val="ctr"/>
        <c:lblOffset val="100"/>
        <c:noMultiLvlLbl val="0"/>
      </c:catAx>
      <c:valAx>
        <c:axId val="574818584"/>
        <c:scaling>
          <c:orientation val="minMax"/>
          <c:max val="18"/>
          <c:min val="13"/>
        </c:scaling>
        <c:delete val="0"/>
        <c:axPos val="l"/>
        <c:majorGridlines>
          <c:spPr>
            <a:ln w="9525" cap="flat" cmpd="sng" algn="ctr">
              <a:solidFill>
                <a:schemeClr val="bg1">
                  <a:lumMod val="50000"/>
                </a:schemeClr>
              </a:solidFill>
              <a:prstDash val="dash"/>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solidFill>
                      <a:schemeClr val="tx1"/>
                    </a:solidFill>
                  </a:rPr>
                  <a:t>Per cent of GSP</a:t>
                </a:r>
              </a:p>
            </c:rich>
          </c:tx>
          <c:layout>
            <c:manualLayout>
              <c:xMode val="edge"/>
              <c:yMode val="edge"/>
              <c:x val="1.2176455924666454E-4"/>
              <c:y val="0.374744320753009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0"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574818192"/>
        <c:crosses val="autoZero"/>
        <c:crossBetween val="midCat"/>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pieChart>
        <c:varyColors val="1"/>
        <c:ser>
          <c:idx val="0"/>
          <c:order val="0"/>
          <c:dPt>
            <c:idx val="0"/>
            <c:bubble3D val="0"/>
            <c:spPr>
              <a:solidFill>
                <a:srgbClr val="440154"/>
              </a:solidFill>
              <a:ln w="19050">
                <a:solidFill>
                  <a:schemeClr val="lt1"/>
                </a:solidFill>
              </a:ln>
              <a:effectLst/>
            </c:spPr>
            <c:extLst>
              <c:ext xmlns:c16="http://schemas.microsoft.com/office/drawing/2014/chart" uri="{C3380CC4-5D6E-409C-BE32-E72D297353CC}">
                <c16:uniqueId val="{00000001-9C3B-4277-8F33-9E3D8796354E}"/>
              </c:ext>
            </c:extLst>
          </c:dPt>
          <c:dPt>
            <c:idx val="1"/>
            <c:bubble3D val="0"/>
            <c:spPr>
              <a:solidFill>
                <a:srgbClr val="1F9E89"/>
              </a:solidFill>
              <a:ln w="19050">
                <a:solidFill>
                  <a:schemeClr val="lt1"/>
                </a:solidFill>
              </a:ln>
              <a:effectLst/>
            </c:spPr>
            <c:extLst>
              <c:ext xmlns:c16="http://schemas.microsoft.com/office/drawing/2014/chart" uri="{C3380CC4-5D6E-409C-BE32-E72D297353CC}">
                <c16:uniqueId val="{00000003-9C3B-4277-8F33-9E3D8796354E}"/>
              </c:ext>
            </c:extLst>
          </c:dPt>
          <c:dPt>
            <c:idx val="2"/>
            <c:bubble3D val="0"/>
            <c:spPr>
              <a:solidFill>
                <a:srgbClr val="001889"/>
              </a:solidFill>
              <a:ln w="19050">
                <a:solidFill>
                  <a:schemeClr val="lt1"/>
                </a:solidFill>
              </a:ln>
              <a:effectLst/>
            </c:spPr>
            <c:extLst>
              <c:ext xmlns:c16="http://schemas.microsoft.com/office/drawing/2014/chart" uri="{C3380CC4-5D6E-409C-BE32-E72D297353CC}">
                <c16:uniqueId val="{00000005-9C3B-4277-8F33-9E3D8796354E}"/>
              </c:ext>
            </c:extLst>
          </c:dPt>
          <c:dPt>
            <c:idx val="3"/>
            <c:bubble3D val="0"/>
            <c:spPr>
              <a:solidFill>
                <a:srgbClr val="52008B"/>
              </a:solidFill>
              <a:ln w="19050">
                <a:solidFill>
                  <a:schemeClr val="lt1"/>
                </a:solidFill>
              </a:ln>
              <a:effectLst/>
            </c:spPr>
            <c:extLst>
              <c:ext xmlns:c16="http://schemas.microsoft.com/office/drawing/2014/chart" uri="{C3380CC4-5D6E-409C-BE32-E72D297353CC}">
                <c16:uniqueId val="{00000007-9C3B-4277-8F33-9E3D8796354E}"/>
              </c:ext>
            </c:extLst>
          </c:dPt>
          <c:dPt>
            <c:idx val="4"/>
            <c:bubble3D val="0"/>
            <c:spPr>
              <a:solidFill>
                <a:srgbClr val="7F008D"/>
              </a:solidFill>
              <a:ln w="19050">
                <a:solidFill>
                  <a:schemeClr val="lt1"/>
                </a:solidFill>
              </a:ln>
              <a:effectLst/>
            </c:spPr>
            <c:extLst>
              <c:ext xmlns:c16="http://schemas.microsoft.com/office/drawing/2014/chart" uri="{C3380CC4-5D6E-409C-BE32-E72D297353CC}">
                <c16:uniqueId val="{00000009-9C3B-4277-8F33-9E3D8796354E}"/>
              </c:ext>
            </c:extLst>
          </c:dPt>
          <c:dPt>
            <c:idx val="5"/>
            <c:bubble3D val="0"/>
            <c:spPr>
              <a:solidFill>
                <a:srgbClr val="A1058B"/>
              </a:solidFill>
              <a:ln w="19050">
                <a:solidFill>
                  <a:schemeClr val="lt1"/>
                </a:solidFill>
              </a:ln>
              <a:effectLst/>
            </c:spPr>
            <c:extLst>
              <c:ext xmlns:c16="http://schemas.microsoft.com/office/drawing/2014/chart" uri="{C3380CC4-5D6E-409C-BE32-E72D297353CC}">
                <c16:uniqueId val="{0000000B-9C3B-4277-8F33-9E3D8796354E}"/>
              </c:ext>
            </c:extLst>
          </c:dPt>
          <c:dPt>
            <c:idx val="6"/>
            <c:bubble3D val="0"/>
            <c:spPr>
              <a:solidFill>
                <a:srgbClr val="26828E"/>
              </a:solidFill>
              <a:ln w="19050">
                <a:solidFill>
                  <a:schemeClr val="lt1"/>
                </a:solidFill>
              </a:ln>
              <a:effectLst/>
            </c:spPr>
            <c:extLst>
              <c:ext xmlns:c16="http://schemas.microsoft.com/office/drawing/2014/chart" uri="{C3380CC4-5D6E-409C-BE32-E72D297353CC}">
                <c16:uniqueId val="{0000000D-9C3B-4277-8F33-9E3D8796354E}"/>
              </c:ext>
            </c:extLst>
          </c:dPt>
          <c:dPt>
            <c:idx val="7"/>
            <c:bubble3D val="0"/>
            <c:spPr>
              <a:solidFill>
                <a:srgbClr val="31688E"/>
              </a:solidFill>
              <a:ln w="19050">
                <a:solidFill>
                  <a:schemeClr val="lt1"/>
                </a:solidFill>
              </a:ln>
              <a:effectLst/>
            </c:spPr>
            <c:extLst>
              <c:ext xmlns:c16="http://schemas.microsoft.com/office/drawing/2014/chart" uri="{C3380CC4-5D6E-409C-BE32-E72D297353CC}">
                <c16:uniqueId val="{0000000F-9C3B-4277-8F33-9E3D8796354E}"/>
              </c:ext>
            </c:extLst>
          </c:dPt>
          <c:dPt>
            <c:idx val="8"/>
            <c:bubble3D val="0"/>
            <c:spPr>
              <a:solidFill>
                <a:srgbClr val="324A86"/>
              </a:solidFill>
              <a:ln w="19050">
                <a:solidFill>
                  <a:schemeClr val="lt1"/>
                </a:solidFill>
              </a:ln>
              <a:effectLst/>
            </c:spPr>
            <c:extLst>
              <c:ext xmlns:c16="http://schemas.microsoft.com/office/drawing/2014/chart" uri="{C3380CC4-5D6E-409C-BE32-E72D297353CC}">
                <c16:uniqueId val="{00000011-9C3B-4277-8F33-9E3D8796354E}"/>
              </c:ext>
            </c:extLst>
          </c:dPt>
          <c:dPt>
            <c:idx val="9"/>
            <c:bubble3D val="0"/>
            <c:spPr>
              <a:solidFill>
                <a:srgbClr val="482878"/>
              </a:solidFill>
              <a:ln w="19050">
                <a:solidFill>
                  <a:schemeClr val="lt1"/>
                </a:solidFill>
              </a:ln>
              <a:effectLst/>
            </c:spPr>
            <c:extLst>
              <c:ext xmlns:c16="http://schemas.microsoft.com/office/drawing/2014/chart" uri="{C3380CC4-5D6E-409C-BE32-E72D297353CC}">
                <c16:uniqueId val="{00000013-9C3B-4277-8F33-9E3D8796354E}"/>
              </c:ext>
            </c:extLst>
          </c:dPt>
          <c:dLbls>
            <c:dLbl>
              <c:idx val="0"/>
              <c:layout>
                <c:manualLayout>
                  <c:x val="5.6538263942040534E-2"/>
                  <c:y val="3.9072633723429534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9C3B-4277-8F33-9E3D8796354E}"/>
                </c:ext>
              </c:extLst>
            </c:dLbl>
            <c:dLbl>
              <c:idx val="1"/>
              <c:layout>
                <c:manualLayout>
                  <c:x val="7.7674212161562367E-2"/>
                  <c:y val="1.2190520006838226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9.4374080403731159E-2"/>
                      <c:h val="8.8063750423872503E-2"/>
                    </c:manualLayout>
                  </c15:layout>
                </c:ext>
                <c:ext xmlns:c16="http://schemas.microsoft.com/office/drawing/2014/chart" uri="{C3380CC4-5D6E-409C-BE32-E72D297353CC}">
                  <c16:uniqueId val="{00000003-9C3B-4277-8F33-9E3D8796354E}"/>
                </c:ext>
              </c:extLst>
            </c:dLbl>
            <c:dLbl>
              <c:idx val="2"/>
              <c:layout>
                <c:manualLayout>
                  <c:x val="-2.340300421834754E-2"/>
                  <c:y val="-3.2875417531099557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9C3B-4277-8F33-9E3D8796354E}"/>
                </c:ext>
              </c:extLst>
            </c:dLbl>
            <c:dLbl>
              <c:idx val="3"/>
              <c:layout>
                <c:manualLayout>
                  <c:x val="-3.620920137978758E-2"/>
                  <c:y val="2.6571932831895503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9C3B-4277-8F33-9E3D8796354E}"/>
                </c:ext>
              </c:extLst>
            </c:dLbl>
            <c:dLbl>
              <c:idx val="4"/>
              <c:layout>
                <c:manualLayout>
                  <c:x val="-2.0715598799151438E-2"/>
                  <c:y val="4.8394090616597649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9C3B-4277-8F33-9E3D8796354E}"/>
                </c:ext>
              </c:extLst>
            </c:dLbl>
            <c:dLbl>
              <c:idx val="5"/>
              <c:layout>
                <c:manualLayout>
                  <c:x val="-4.0351622159080981E-2"/>
                  <c:y val="2.7636487967739664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B-9C3B-4277-8F33-9E3D8796354E}"/>
                </c:ext>
              </c:extLst>
            </c:dLbl>
            <c:dLbl>
              <c:idx val="6"/>
              <c:layout>
                <c:manualLayout>
                  <c:x val="-0.17697261044766208"/>
                  <c:y val="4.9785551231383431E-2"/>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D-9C3B-4277-8F33-9E3D8796354E}"/>
                </c:ext>
              </c:extLst>
            </c:dLbl>
            <c:dLbl>
              <c:idx val="8"/>
              <c:layout>
                <c:manualLayout>
                  <c:x val="-1.5668697205126324E-2"/>
                  <c:y val="8.4801200460318858E-4"/>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17066134043497558"/>
                      <c:h val="0.12192281915930397"/>
                    </c:manualLayout>
                  </c15:layout>
                </c:ext>
                <c:ext xmlns:c16="http://schemas.microsoft.com/office/drawing/2014/chart" uri="{C3380CC4-5D6E-409C-BE32-E72D297353CC}">
                  <c16:uniqueId val="{00000011-9C3B-4277-8F33-9E3D8796354E}"/>
                </c:ext>
              </c:extLst>
            </c:dLbl>
            <c:dLbl>
              <c:idx val="9"/>
              <c:layout>
                <c:manualLayout>
                  <c:x val="0.19970957358692348"/>
                  <c:y val="7.9821200510855688E-4"/>
                </c:manualLayout>
              </c:layout>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3-9C3B-4277-8F33-9E3D8796354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'[GGS expenses by function table.xlsx]Values'!$A$23:$A$32</c:f>
              <c:strCache>
                <c:ptCount val="10"/>
                <c:pt idx="0">
                  <c:v>Health</c:v>
                </c:pt>
                <c:pt idx="1">
                  <c:v>Education</c:v>
                </c:pt>
                <c:pt idx="2">
                  <c:v>General public services</c:v>
                </c:pt>
                <c:pt idx="3">
                  <c:v>Public order and safety</c:v>
                </c:pt>
                <c:pt idx="4">
                  <c:v>Social protection</c:v>
                </c:pt>
                <c:pt idx="5">
                  <c:v>Transport</c:v>
                </c:pt>
                <c:pt idx="6">
                  <c:v>Economic affairs</c:v>
                </c:pt>
                <c:pt idx="7">
                  <c:v>Environmental protection</c:v>
                </c:pt>
                <c:pt idx="8">
                  <c:v>Recreation, culture and religion</c:v>
                </c:pt>
                <c:pt idx="9">
                  <c:v>Housing and community amenities</c:v>
                </c:pt>
              </c:strCache>
            </c:strRef>
          </c:cat>
          <c:val>
            <c:numRef>
              <c:f>'[GGS expenses by function table.xlsx]Values'!$B$23:$B$32</c:f>
              <c:numCache>
                <c:formatCode>0%</c:formatCode>
                <c:ptCount val="10"/>
                <c:pt idx="0">
                  <c:v>0.27261093466957226</c:v>
                </c:pt>
                <c:pt idx="1">
                  <c:v>0.20497974059509674</c:v>
                </c:pt>
                <c:pt idx="2">
                  <c:v>0.17731231684123724</c:v>
                </c:pt>
                <c:pt idx="3">
                  <c:v>7.985946879466678E-2</c:v>
                </c:pt>
                <c:pt idx="4">
                  <c:v>7.17200472855829E-2</c:v>
                </c:pt>
                <c:pt idx="5">
                  <c:v>6.2752380524253956E-2</c:v>
                </c:pt>
                <c:pt idx="6">
                  <c:v>5.943244079903312E-2</c:v>
                </c:pt>
                <c:pt idx="7">
                  <c:v>3.0082875805047916E-2</c:v>
                </c:pt>
                <c:pt idx="8">
                  <c:v>2.7897675815897454E-2</c:v>
                </c:pt>
                <c:pt idx="9">
                  <c:v>1.3352118869611438E-2</c:v>
                </c:pt>
              </c:numCache>
            </c:numRef>
          </c:val>
          <c:extLst>
            <c:ext xmlns:c16="http://schemas.microsoft.com/office/drawing/2014/chart" uri="{C3380CC4-5D6E-409C-BE32-E72D297353CC}">
              <c16:uniqueId val="{00000014-9C3B-4277-8F33-9E3D8796354E}"/>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AU" sz="1200" b="1">
                <a:solidFill>
                  <a:sysClr val="windowText" lastClr="000000"/>
                </a:solidFill>
              </a:rPr>
              <a:t>Own-source taxation </a:t>
            </a:r>
          </a:p>
        </c:rich>
      </c:tx>
      <c:layout>
        <c:manualLayout>
          <c:xMode val="edge"/>
          <c:yMode val="edge"/>
          <c:x val="0.36355853930701393"/>
          <c:y val="0"/>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1170136620078747"/>
          <c:y val="7.9387790496011093E-2"/>
          <c:w val="0.72595629744579127"/>
          <c:h val="0.69056509423054691"/>
        </c:manualLayout>
      </c:layout>
      <c:lineChart>
        <c:grouping val="standard"/>
        <c:varyColors val="0"/>
        <c:ser>
          <c:idx val="0"/>
          <c:order val="0"/>
          <c:tx>
            <c:strRef>
              <c:f>'Figure 3.5.1'!$B$2:$D$2</c:f>
              <c:strCache>
                <c:ptCount val="1"/>
                <c:pt idx="0">
                  <c:v>Actual</c:v>
                </c:pt>
              </c:strCache>
            </c:strRef>
          </c:tx>
          <c:spPr>
            <a:ln w="28575" cap="rnd">
              <a:solidFill>
                <a:schemeClr val="accent1"/>
              </a:solidFill>
              <a:round/>
            </a:ln>
            <a:effectLst/>
          </c:spPr>
          <c:marker>
            <c:symbol val="none"/>
          </c:marker>
          <c:cat>
            <c:strRef>
              <c:f>'Figure 3.5.1'!$A$8:$A$21</c:f>
              <c:strCache>
                <c:ptCount val="14"/>
                <c:pt idx="0">
                  <c:v>2011-12</c:v>
                </c:pt>
                <c:pt idx="1">
                  <c:v>2012-13</c:v>
                </c:pt>
                <c:pt idx="2">
                  <c:v>2013-14</c:v>
                </c:pt>
                <c:pt idx="3">
                  <c:v>2014-15</c:v>
                </c:pt>
                <c:pt idx="4">
                  <c:v>2015-16</c:v>
                </c:pt>
                <c:pt idx="5">
                  <c:v>2016-17</c:v>
                </c:pt>
                <c:pt idx="6">
                  <c:v>2017-18</c:v>
                </c:pt>
                <c:pt idx="7">
                  <c:v>2018-19</c:v>
                </c:pt>
                <c:pt idx="8">
                  <c:v>2019-20</c:v>
                </c:pt>
                <c:pt idx="9">
                  <c:v>2020-21</c:v>
                </c:pt>
                <c:pt idx="10">
                  <c:v>2021-22</c:v>
                </c:pt>
                <c:pt idx="11">
                  <c:v>2022-23</c:v>
                </c:pt>
                <c:pt idx="12">
                  <c:v>2023-24</c:v>
                </c:pt>
                <c:pt idx="13">
                  <c:v>2024-25</c:v>
                </c:pt>
              </c:strCache>
            </c:strRef>
          </c:cat>
          <c:val>
            <c:numRef>
              <c:f>'Figure 3.5.1'!$B$8:$B$21</c:f>
              <c:numCache>
                <c:formatCode>_-* #,##0_-;\-* #,##0_-;_-* "-"??_-;_-@_-</c:formatCode>
                <c:ptCount val="14"/>
                <c:pt idx="0">
                  <c:v>1183049</c:v>
                </c:pt>
                <c:pt idx="1">
                  <c:v>1235180</c:v>
                </c:pt>
                <c:pt idx="2">
                  <c:v>1298164</c:v>
                </c:pt>
                <c:pt idx="3">
                  <c:v>1376762</c:v>
                </c:pt>
                <c:pt idx="4">
                  <c:v>1568249</c:v>
                </c:pt>
                <c:pt idx="5">
                  <c:v>1688798</c:v>
                </c:pt>
                <c:pt idx="6">
                  <c:v>1718274</c:v>
                </c:pt>
                <c:pt idx="7">
                  <c:v>1934050</c:v>
                </c:pt>
                <c:pt idx="8">
                  <c:v>1949206.6749999998</c:v>
                </c:pt>
                <c:pt idx="9">
                  <c:v>2043429</c:v>
                </c:pt>
              </c:numCache>
            </c:numRef>
          </c:val>
          <c:smooth val="0"/>
          <c:extLst>
            <c:ext xmlns:c16="http://schemas.microsoft.com/office/drawing/2014/chart" uri="{C3380CC4-5D6E-409C-BE32-E72D297353CC}">
              <c16:uniqueId val="{00000000-0918-467C-8670-EA095570FC4C}"/>
            </c:ext>
          </c:extLst>
        </c:ser>
        <c:ser>
          <c:idx val="1"/>
          <c:order val="1"/>
          <c:tx>
            <c:strRef>
              <c:f>'Figure 3.5.1'!$E$2:$G$2</c:f>
              <c:strCache>
                <c:ptCount val="1"/>
                <c:pt idx="0">
                  <c:v>2019-20 Budget Review</c:v>
                </c:pt>
              </c:strCache>
            </c:strRef>
          </c:tx>
          <c:spPr>
            <a:ln w="28575" cap="rnd">
              <a:solidFill>
                <a:schemeClr val="accent2"/>
              </a:solidFill>
              <a:round/>
            </a:ln>
            <a:effectLst/>
          </c:spPr>
          <c:marker>
            <c:symbol val="none"/>
          </c:marker>
          <c:cat>
            <c:strRef>
              <c:f>'Figure 3.5.1'!$A$8:$A$21</c:f>
              <c:strCache>
                <c:ptCount val="14"/>
                <c:pt idx="0">
                  <c:v>2011-12</c:v>
                </c:pt>
                <c:pt idx="1">
                  <c:v>2012-13</c:v>
                </c:pt>
                <c:pt idx="2">
                  <c:v>2013-14</c:v>
                </c:pt>
                <c:pt idx="3">
                  <c:v>2014-15</c:v>
                </c:pt>
                <c:pt idx="4">
                  <c:v>2015-16</c:v>
                </c:pt>
                <c:pt idx="5">
                  <c:v>2016-17</c:v>
                </c:pt>
                <c:pt idx="6">
                  <c:v>2017-18</c:v>
                </c:pt>
                <c:pt idx="7">
                  <c:v>2018-19</c:v>
                </c:pt>
                <c:pt idx="8">
                  <c:v>2019-20</c:v>
                </c:pt>
                <c:pt idx="9">
                  <c:v>2020-21</c:v>
                </c:pt>
                <c:pt idx="10">
                  <c:v>2021-22</c:v>
                </c:pt>
                <c:pt idx="11">
                  <c:v>2022-23</c:v>
                </c:pt>
                <c:pt idx="12">
                  <c:v>2023-24</c:v>
                </c:pt>
                <c:pt idx="13">
                  <c:v>2024-25</c:v>
                </c:pt>
              </c:strCache>
            </c:strRef>
          </c:cat>
          <c:val>
            <c:numRef>
              <c:f>'Figure 3.5.1'!$E$8:$E$21</c:f>
              <c:numCache>
                <c:formatCode>General</c:formatCode>
                <c:ptCount val="14"/>
                <c:pt idx="7" formatCode="_-* #,##0_-;\-* #,##0_-;_-* &quot;-&quot;??_-;_-@_-">
                  <c:v>1934050</c:v>
                </c:pt>
                <c:pt idx="8" formatCode="_-* #,##0_-;\-* #,##0_-;_-* &quot;-&quot;??_-;_-@_-">
                  <c:v>2035837</c:v>
                </c:pt>
                <c:pt idx="9" formatCode="_-* #,##0_-;\-* #,##0_-;_-* &quot;-&quot;??_-;_-@_-">
                  <c:v>2167458</c:v>
                </c:pt>
                <c:pt idx="10" formatCode="_-* #,##0_-;\-* #,##0_-;_-* &quot;-&quot;??_-;_-@_-">
                  <c:v>2291176</c:v>
                </c:pt>
                <c:pt idx="11" formatCode="_-* #,##0_-;\-* #,##0_-;_-* &quot;-&quot;??_-;_-@_-">
                  <c:v>2406270</c:v>
                </c:pt>
                <c:pt idx="12" formatCode="_-* #,##0_-;\-* #,##0_-;_-* &quot;-&quot;??_-;_-@_-">
                  <c:v>2532905.4596230369</c:v>
                </c:pt>
              </c:numCache>
            </c:numRef>
          </c:val>
          <c:smooth val="0"/>
          <c:extLst>
            <c:ext xmlns:c16="http://schemas.microsoft.com/office/drawing/2014/chart" uri="{C3380CC4-5D6E-409C-BE32-E72D297353CC}">
              <c16:uniqueId val="{00000001-0918-467C-8670-EA095570FC4C}"/>
            </c:ext>
          </c:extLst>
        </c:ser>
        <c:ser>
          <c:idx val="2"/>
          <c:order val="2"/>
          <c:tx>
            <c:strRef>
              <c:f>'Figure 3.5.1'!$H$2:$J$2</c:f>
              <c:strCache>
                <c:ptCount val="1"/>
                <c:pt idx="0">
                  <c:v>2021-22 Budget</c:v>
                </c:pt>
              </c:strCache>
            </c:strRef>
          </c:tx>
          <c:spPr>
            <a:ln w="28575" cap="rnd">
              <a:solidFill>
                <a:schemeClr val="accent3"/>
              </a:solidFill>
              <a:round/>
            </a:ln>
            <a:effectLst/>
          </c:spPr>
          <c:marker>
            <c:symbol val="none"/>
          </c:marker>
          <c:val>
            <c:numRef>
              <c:f>'Figure 3.5.1'!$H$8:$H$21</c:f>
              <c:numCache>
                <c:formatCode>General</c:formatCode>
                <c:ptCount val="14"/>
                <c:pt idx="9" formatCode="_-* #,##0_-;\-* #,##0_-;_-* &quot;-&quot;??_-;_-@_-">
                  <c:v>2043429</c:v>
                </c:pt>
                <c:pt idx="10" formatCode="_-* #,##0_-;\-* #,##0_-;_-* &quot;-&quot;??_-;_-@_-">
                  <c:v>2216163.7694487483</c:v>
                </c:pt>
                <c:pt idx="11" formatCode="_-* #,##0_-;\-* #,##0_-;_-* &quot;-&quot;??_-;_-@_-">
                  <c:v>2344155.1113773971</c:v>
                </c:pt>
                <c:pt idx="12" formatCode="_-* #,##0_-;\-* #,##0_-;_-* &quot;-&quot;??_-;_-@_-">
                  <c:v>2399835.6224941686</c:v>
                </c:pt>
                <c:pt idx="13" formatCode="_-* #,##0_-;\-* #,##0_-;_-* &quot;-&quot;??_-;_-@_-">
                  <c:v>2519772.8151356084</c:v>
                </c:pt>
              </c:numCache>
            </c:numRef>
          </c:val>
          <c:smooth val="0"/>
          <c:extLst>
            <c:ext xmlns:c16="http://schemas.microsoft.com/office/drawing/2014/chart" uri="{C3380CC4-5D6E-409C-BE32-E72D297353CC}">
              <c16:uniqueId val="{00000002-0918-467C-8670-EA095570FC4C}"/>
            </c:ext>
          </c:extLst>
        </c:ser>
        <c:ser>
          <c:idx val="3"/>
          <c:order val="3"/>
          <c:tx>
            <c:strRef>
              <c:f>'Figure 3.5.1'!$K$2:$M$2</c:f>
              <c:strCache>
                <c:ptCount val="1"/>
                <c:pt idx="0">
                  <c:v>2020-21 Budget</c:v>
                </c:pt>
              </c:strCache>
            </c:strRef>
          </c:tx>
          <c:spPr>
            <a:ln w="28575" cap="rnd">
              <a:solidFill>
                <a:schemeClr val="accent4"/>
              </a:solidFill>
              <a:round/>
            </a:ln>
            <a:effectLst/>
          </c:spPr>
          <c:marker>
            <c:symbol val="none"/>
          </c:marker>
          <c:val>
            <c:numRef>
              <c:f>'Figure 3.5.1'!$K$8:$K$21</c:f>
              <c:numCache>
                <c:formatCode>General</c:formatCode>
                <c:ptCount val="14"/>
                <c:pt idx="8" formatCode="_-* #,##0_-;\-* #,##0_-;_-* &quot;-&quot;??_-;_-@_-">
                  <c:v>1949206.6749999998</c:v>
                </c:pt>
                <c:pt idx="9" formatCode="_-* #,##0_-;\-* #,##0_-;_-* &quot;-&quot;??_-;_-@_-">
                  <c:v>1987219.772520588</c:v>
                </c:pt>
                <c:pt idx="10" formatCode="_-* #,##0_-;\-* #,##0_-;_-* &quot;-&quot;??_-;_-@_-">
                  <c:v>2156144.2615999002</c:v>
                </c:pt>
                <c:pt idx="11" formatCode="_-* #,##0_-;\-* #,##0_-;_-* &quot;-&quot;??_-;_-@_-">
                  <c:v>2269649.4698692653</c:v>
                </c:pt>
                <c:pt idx="12" formatCode="_-* #,##0_-;\-* #,##0_-;_-* &quot;-&quot;??_-;_-@_-">
                  <c:v>2390065.4893638138</c:v>
                </c:pt>
              </c:numCache>
            </c:numRef>
          </c:val>
          <c:smooth val="0"/>
          <c:extLst>
            <c:ext xmlns:c16="http://schemas.microsoft.com/office/drawing/2014/chart" uri="{C3380CC4-5D6E-409C-BE32-E72D297353CC}">
              <c16:uniqueId val="{00000003-0918-467C-8670-EA095570FC4C}"/>
            </c:ext>
          </c:extLst>
        </c:ser>
        <c:dLbls>
          <c:showLegendKey val="0"/>
          <c:showVal val="0"/>
          <c:showCatName val="0"/>
          <c:showSerName val="0"/>
          <c:showPercent val="0"/>
          <c:showBubbleSize val="0"/>
        </c:dLbls>
        <c:smooth val="0"/>
        <c:axId val="1077522176"/>
        <c:axId val="1077522504"/>
      </c:lineChart>
      <c:catAx>
        <c:axId val="1077522176"/>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1077522504"/>
        <c:crosses val="autoZero"/>
        <c:auto val="1"/>
        <c:lblAlgn val="ctr"/>
        <c:lblOffset val="100"/>
        <c:noMultiLvlLbl val="0"/>
      </c:catAx>
      <c:valAx>
        <c:axId val="1077522504"/>
        <c:scaling>
          <c:orientation val="minMax"/>
          <c:min val="800000"/>
        </c:scaling>
        <c:delete val="0"/>
        <c:axPos val="l"/>
        <c:majorGridlines>
          <c:spPr>
            <a:ln w="9525" cap="flat" cmpd="sng" algn="ctr">
              <a:solidFill>
                <a:schemeClr val="tx1">
                  <a:lumMod val="15000"/>
                  <a:lumOff val="85000"/>
                </a:schemeClr>
              </a:solidFill>
              <a:prstDash val="dash"/>
              <a:round/>
            </a:ln>
            <a:effectLst/>
          </c:spPr>
        </c:majorGridlines>
        <c:numFmt formatCode="_-* #,##0_-;\-* #,##0_-;_-* &quot;-&quot;??_-;_-@_-"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1077522176"/>
        <c:crosses val="autoZero"/>
        <c:crossBetween val="midCat"/>
        <c:majorUnit val="400000"/>
        <c:dispUnits>
          <c:builtInUnit val="thousands"/>
          <c:dispUnitsLbl>
            <c:layout>
              <c:manualLayout>
                <c:xMode val="edge"/>
                <c:yMode val="edge"/>
                <c:x val="0"/>
                <c:y val="0.40170862245560379"/>
              </c:manualLayout>
            </c:layout>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solidFill>
                        <a:sysClr val="windowText" lastClr="000000"/>
                      </a:solidFill>
                    </a:rPr>
                    <a:t>$ million</a:t>
                  </a:r>
                </a:p>
              </c:rich>
            </c:tx>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ispUnitsLbl>
        </c:dispUnits>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Entry>
      <c:legendEntry>
        <c:idx val="2"/>
        <c:delete val="1"/>
      </c:legendEntry>
      <c:legendEntry>
        <c:idx val="3"/>
        <c:delete val="1"/>
      </c:legendEntry>
      <c:layout>
        <c:manualLayout>
          <c:xMode val="edge"/>
          <c:yMode val="edge"/>
          <c:x val="0.13320782106364293"/>
          <c:y val="0.93555110907713734"/>
          <c:w val="0.86069085778954402"/>
          <c:h val="6.08433823871759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en-AU" sz="1200" b="1">
                <a:solidFill>
                  <a:sysClr val="windowText" lastClr="000000"/>
                </a:solidFill>
              </a:rPr>
              <a:t>GST</a:t>
            </a:r>
          </a:p>
        </c:rich>
      </c:tx>
      <c:layout>
        <c:manualLayout>
          <c:xMode val="edge"/>
          <c:yMode val="edge"/>
          <c:x val="0.49039227859589923"/>
          <c:y val="0"/>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1170121209579332"/>
          <c:y val="8.3048599630950404E-2"/>
          <c:w val="0.72595629744579127"/>
          <c:h val="0.6789129643570303"/>
        </c:manualLayout>
      </c:layout>
      <c:lineChart>
        <c:grouping val="standard"/>
        <c:varyColors val="0"/>
        <c:ser>
          <c:idx val="0"/>
          <c:order val="0"/>
          <c:tx>
            <c:strRef>
              <c:f>'Figure 3.5.1'!$B$2:$D$2</c:f>
              <c:strCache>
                <c:ptCount val="1"/>
                <c:pt idx="0">
                  <c:v>Actual</c:v>
                </c:pt>
              </c:strCache>
            </c:strRef>
          </c:tx>
          <c:spPr>
            <a:ln w="28575" cap="rnd">
              <a:solidFill>
                <a:schemeClr val="accent1"/>
              </a:solidFill>
              <a:round/>
            </a:ln>
            <a:effectLst/>
          </c:spPr>
          <c:marker>
            <c:symbol val="none"/>
          </c:marker>
          <c:cat>
            <c:strRef>
              <c:f>'Figure 3.5.1'!$A$8:$A$21</c:f>
              <c:strCache>
                <c:ptCount val="14"/>
                <c:pt idx="0">
                  <c:v>2011-12</c:v>
                </c:pt>
                <c:pt idx="1">
                  <c:v>2012-13</c:v>
                </c:pt>
                <c:pt idx="2">
                  <c:v>2013-14</c:v>
                </c:pt>
                <c:pt idx="3">
                  <c:v>2014-15</c:v>
                </c:pt>
                <c:pt idx="4">
                  <c:v>2015-16</c:v>
                </c:pt>
                <c:pt idx="5">
                  <c:v>2016-17</c:v>
                </c:pt>
                <c:pt idx="6">
                  <c:v>2017-18</c:v>
                </c:pt>
                <c:pt idx="7">
                  <c:v>2018-19</c:v>
                </c:pt>
                <c:pt idx="8">
                  <c:v>2019-20</c:v>
                </c:pt>
                <c:pt idx="9">
                  <c:v>2020-21</c:v>
                </c:pt>
                <c:pt idx="10">
                  <c:v>2021-22</c:v>
                </c:pt>
                <c:pt idx="11">
                  <c:v>2022-23</c:v>
                </c:pt>
                <c:pt idx="12">
                  <c:v>2023-24</c:v>
                </c:pt>
                <c:pt idx="13">
                  <c:v>2024-25</c:v>
                </c:pt>
              </c:strCache>
            </c:strRef>
          </c:cat>
          <c:val>
            <c:numRef>
              <c:f>'Figure 3.5.1'!$C$8:$C$21</c:f>
              <c:numCache>
                <c:formatCode>_-* #,##0_-;\-* #,##0_-;_-* "-"??_-;_-@_-</c:formatCode>
                <c:ptCount val="14"/>
                <c:pt idx="0">
                  <c:v>849000</c:v>
                </c:pt>
                <c:pt idx="1">
                  <c:v>956000</c:v>
                </c:pt>
                <c:pt idx="2">
                  <c:v>1031000</c:v>
                </c:pt>
                <c:pt idx="3">
                  <c:v>1106000</c:v>
                </c:pt>
                <c:pt idx="4">
                  <c:v>1039000</c:v>
                </c:pt>
                <c:pt idx="5">
                  <c:v>1155000</c:v>
                </c:pt>
                <c:pt idx="6">
                  <c:v>1267000</c:v>
                </c:pt>
                <c:pt idx="7">
                  <c:v>1296000</c:v>
                </c:pt>
                <c:pt idx="8">
                  <c:v>1239635</c:v>
                </c:pt>
              </c:numCache>
            </c:numRef>
          </c:val>
          <c:smooth val="0"/>
          <c:extLst>
            <c:ext xmlns:c16="http://schemas.microsoft.com/office/drawing/2014/chart" uri="{C3380CC4-5D6E-409C-BE32-E72D297353CC}">
              <c16:uniqueId val="{00000000-52E6-4B61-ABA7-5D5AA7976E89}"/>
            </c:ext>
          </c:extLst>
        </c:ser>
        <c:ser>
          <c:idx val="1"/>
          <c:order val="1"/>
          <c:tx>
            <c:strRef>
              <c:f>'Figure 3.5.1'!$E$2:$G$2</c:f>
              <c:strCache>
                <c:ptCount val="1"/>
                <c:pt idx="0">
                  <c:v>2019-20 Budget Review</c:v>
                </c:pt>
              </c:strCache>
            </c:strRef>
          </c:tx>
          <c:spPr>
            <a:ln w="28575" cap="rnd">
              <a:solidFill>
                <a:schemeClr val="accent2"/>
              </a:solidFill>
              <a:round/>
            </a:ln>
            <a:effectLst/>
          </c:spPr>
          <c:marker>
            <c:symbol val="none"/>
          </c:marker>
          <c:cat>
            <c:strRef>
              <c:f>'Figure 3.5.1'!$A$8:$A$21</c:f>
              <c:strCache>
                <c:ptCount val="14"/>
                <c:pt idx="0">
                  <c:v>2011-12</c:v>
                </c:pt>
                <c:pt idx="1">
                  <c:v>2012-13</c:v>
                </c:pt>
                <c:pt idx="2">
                  <c:v>2013-14</c:v>
                </c:pt>
                <c:pt idx="3">
                  <c:v>2014-15</c:v>
                </c:pt>
                <c:pt idx="4">
                  <c:v>2015-16</c:v>
                </c:pt>
                <c:pt idx="5">
                  <c:v>2016-17</c:v>
                </c:pt>
                <c:pt idx="6">
                  <c:v>2017-18</c:v>
                </c:pt>
                <c:pt idx="7">
                  <c:v>2018-19</c:v>
                </c:pt>
                <c:pt idx="8">
                  <c:v>2019-20</c:v>
                </c:pt>
                <c:pt idx="9">
                  <c:v>2020-21</c:v>
                </c:pt>
                <c:pt idx="10">
                  <c:v>2021-22</c:v>
                </c:pt>
                <c:pt idx="11">
                  <c:v>2022-23</c:v>
                </c:pt>
                <c:pt idx="12">
                  <c:v>2023-24</c:v>
                </c:pt>
                <c:pt idx="13">
                  <c:v>2024-25</c:v>
                </c:pt>
              </c:strCache>
            </c:strRef>
          </c:cat>
          <c:val>
            <c:numRef>
              <c:f>'Figure 3.5.1'!$F$8:$F$21</c:f>
              <c:numCache>
                <c:formatCode>General</c:formatCode>
                <c:ptCount val="14"/>
                <c:pt idx="7" formatCode="_-* #,##0_-;\-* #,##0_-;_-* &quot;-&quot;??_-;_-@_-">
                  <c:v>1296000</c:v>
                </c:pt>
                <c:pt idx="8" formatCode="_-* #,##0_-;\-* #,##0_-;_-* &quot;-&quot;??_-;_-@_-">
                  <c:v>1356410.2710392955</c:v>
                </c:pt>
                <c:pt idx="9" formatCode="_-* #,##0_-;\-* #,##0_-;_-* &quot;-&quot;??_-;_-@_-">
                  <c:v>1418921.2133994165</c:v>
                </c:pt>
                <c:pt idx="10" formatCode="_-* #,##0_-;\-* #,##0_-;_-* &quot;-&quot;??_-;_-@_-">
                  <c:v>1504223.9333849079</c:v>
                </c:pt>
                <c:pt idx="11" formatCode="_-* #,##0_-;\-* #,##0_-;_-* &quot;-&quot;??_-;_-@_-">
                  <c:v>1586436.9580106342</c:v>
                </c:pt>
                <c:pt idx="12" formatCode="_-* #,##0_-;\-* #,##0_-;_-* &quot;-&quot;??_-;_-@_-">
                  <c:v>1667950.0397721499</c:v>
                </c:pt>
              </c:numCache>
            </c:numRef>
          </c:val>
          <c:smooth val="0"/>
          <c:extLst>
            <c:ext xmlns:c16="http://schemas.microsoft.com/office/drawing/2014/chart" uri="{C3380CC4-5D6E-409C-BE32-E72D297353CC}">
              <c16:uniqueId val="{00000001-52E6-4B61-ABA7-5D5AA7976E89}"/>
            </c:ext>
          </c:extLst>
        </c:ser>
        <c:ser>
          <c:idx val="2"/>
          <c:order val="2"/>
          <c:tx>
            <c:strRef>
              <c:f>'Figure 3.5.1'!$H$2:$J$2</c:f>
              <c:strCache>
                <c:ptCount val="1"/>
                <c:pt idx="0">
                  <c:v>2021-22 Budget</c:v>
                </c:pt>
              </c:strCache>
            </c:strRef>
          </c:tx>
          <c:spPr>
            <a:ln w="28575" cap="rnd">
              <a:solidFill>
                <a:schemeClr val="accent3"/>
              </a:solidFill>
              <a:round/>
            </a:ln>
            <a:effectLst/>
          </c:spPr>
          <c:marker>
            <c:symbol val="none"/>
          </c:marker>
          <c:val>
            <c:numRef>
              <c:f>'Figure 3.5.1'!$I$8:$I$21</c:f>
              <c:numCache>
                <c:formatCode>General</c:formatCode>
                <c:ptCount val="14"/>
                <c:pt idx="8" formatCode="_-* #,##0_-;\-* #,##0_-;_-* &quot;-&quot;??_-;_-@_-">
                  <c:v>1239943.407251911</c:v>
                </c:pt>
                <c:pt idx="9" formatCode="_-* #,##0_-;\-* #,##0_-;_-* &quot;-&quot;??_-;_-@_-">
                  <c:v>1349090</c:v>
                </c:pt>
                <c:pt idx="10" formatCode="_-* #,##0_-;\-* #,##0_-;_-* &quot;-&quot;??_-;_-@_-">
                  <c:v>1367761</c:v>
                </c:pt>
                <c:pt idx="11" formatCode="_-* #,##0_-;\-* #,##0_-;_-* &quot;-&quot;??_-;_-@_-">
                  <c:v>1400096</c:v>
                </c:pt>
                <c:pt idx="12" formatCode="_-* #,##0_-;\-* #,##0_-;_-* &quot;-&quot;??_-;_-@_-">
                  <c:v>1457706</c:v>
                </c:pt>
                <c:pt idx="13" formatCode="_-* #,##0_-;\-* #,##0_-;_-* &quot;-&quot;??_-;_-@_-">
                  <c:v>1528909</c:v>
                </c:pt>
              </c:numCache>
            </c:numRef>
          </c:val>
          <c:smooth val="0"/>
          <c:extLst>
            <c:ext xmlns:c16="http://schemas.microsoft.com/office/drawing/2014/chart" uri="{C3380CC4-5D6E-409C-BE32-E72D297353CC}">
              <c16:uniqueId val="{00000002-52E6-4B61-ABA7-5D5AA7976E89}"/>
            </c:ext>
          </c:extLst>
        </c:ser>
        <c:ser>
          <c:idx val="3"/>
          <c:order val="3"/>
          <c:tx>
            <c:strRef>
              <c:f>'Figure 3.5.1'!$K$2:$M$2</c:f>
              <c:strCache>
                <c:ptCount val="1"/>
                <c:pt idx="0">
                  <c:v>2020-21 Budget</c:v>
                </c:pt>
              </c:strCache>
            </c:strRef>
          </c:tx>
          <c:spPr>
            <a:ln w="28575" cap="rnd">
              <a:solidFill>
                <a:schemeClr val="accent4"/>
              </a:solidFill>
              <a:round/>
            </a:ln>
            <a:effectLst/>
          </c:spPr>
          <c:marker>
            <c:symbol val="none"/>
          </c:marker>
          <c:val>
            <c:numRef>
              <c:f>'Figure 3.5.1'!$L$8:$L$21</c:f>
              <c:numCache>
                <c:formatCode>General</c:formatCode>
                <c:ptCount val="14"/>
                <c:pt idx="8" formatCode="_-* #,##0_-;\-* #,##0_-;_-* &quot;-&quot;??_-;_-@_-">
                  <c:v>1239910</c:v>
                </c:pt>
                <c:pt idx="9" formatCode="_-* #,##0_-;\-* #,##0_-;_-* &quot;-&quot;??_-;_-@_-">
                  <c:v>1221537</c:v>
                </c:pt>
                <c:pt idx="10" formatCode="_-* #,##0_-;\-* #,##0_-;_-* &quot;-&quot;??_-;_-@_-">
                  <c:v>1300627</c:v>
                </c:pt>
                <c:pt idx="11" formatCode="_-* #,##0_-;\-* #,##0_-;_-* &quot;-&quot;??_-;_-@_-">
                  <c:v>1380095</c:v>
                </c:pt>
                <c:pt idx="12" formatCode="_-* #,##0_-;\-* #,##0_-;_-* &quot;-&quot;??_-;_-@_-">
                  <c:v>1441559</c:v>
                </c:pt>
              </c:numCache>
            </c:numRef>
          </c:val>
          <c:smooth val="0"/>
          <c:extLst>
            <c:ext xmlns:c16="http://schemas.microsoft.com/office/drawing/2014/chart" uri="{C3380CC4-5D6E-409C-BE32-E72D297353CC}">
              <c16:uniqueId val="{00000003-52E6-4B61-ABA7-5D5AA7976E89}"/>
            </c:ext>
          </c:extLst>
        </c:ser>
        <c:dLbls>
          <c:showLegendKey val="0"/>
          <c:showVal val="0"/>
          <c:showCatName val="0"/>
          <c:showSerName val="0"/>
          <c:showPercent val="0"/>
          <c:showBubbleSize val="0"/>
        </c:dLbls>
        <c:smooth val="0"/>
        <c:axId val="1077522176"/>
        <c:axId val="1077522504"/>
      </c:lineChart>
      <c:catAx>
        <c:axId val="1077522176"/>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1077522504"/>
        <c:crosses val="autoZero"/>
        <c:auto val="1"/>
        <c:lblAlgn val="ctr"/>
        <c:lblOffset val="100"/>
        <c:noMultiLvlLbl val="0"/>
      </c:catAx>
      <c:valAx>
        <c:axId val="1077522504"/>
        <c:scaling>
          <c:orientation val="minMax"/>
          <c:max val="1800000"/>
          <c:min val="800000"/>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1077522176"/>
        <c:crosses val="autoZero"/>
        <c:crossBetween val="midCat"/>
        <c:majorUnit val="200000"/>
        <c:dispUnits>
          <c:builtInUnit val="thousands"/>
          <c:dispUnitsLbl>
            <c:layout>
              <c:manualLayout>
                <c:xMode val="edge"/>
                <c:yMode val="edge"/>
                <c:x val="0"/>
                <c:y val="0.40537285772540155"/>
              </c:manualLayout>
            </c:layout>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solidFill>
                        <a:sysClr val="windowText" lastClr="000000"/>
                      </a:solidFill>
                    </a:rPr>
                    <a:t>$ million</a:t>
                  </a:r>
                </a:p>
              </c:rich>
            </c:tx>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dispUnitsLbl>
        </c:dispUnits>
      </c:valAx>
      <c:spPr>
        <a:noFill/>
        <a:ln>
          <a:noFill/>
        </a:ln>
        <a:effectLst/>
      </c:spPr>
    </c:plotArea>
    <c:legend>
      <c:legendPos val="b"/>
      <c:legendEntry>
        <c:idx val="0"/>
        <c:delete val="1"/>
      </c:legendEntry>
      <c:legendEntry>
        <c:idx val="1"/>
        <c:delete val="1"/>
      </c:legendEntry>
      <c:layout>
        <c:manualLayout>
          <c:xMode val="edge"/>
          <c:yMode val="edge"/>
          <c:x val="5.4405353214860295E-3"/>
          <c:y val="0.93549202906828388"/>
          <c:w val="0.89383472445851997"/>
          <c:h val="6.08991572425480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69885776527952"/>
          <c:y val="4.8240710202662851E-2"/>
          <c:w val="0.83348042950262624"/>
          <c:h val="0.69879001340928426"/>
        </c:manualLayout>
      </c:layout>
      <c:barChart>
        <c:barDir val="col"/>
        <c:grouping val="clustered"/>
        <c:varyColors val="0"/>
        <c:ser>
          <c:idx val="0"/>
          <c:order val="0"/>
          <c:tx>
            <c:strRef>
              <c:f>'overview of results'!$D$47</c:f>
              <c:strCache>
                <c:ptCount val="1"/>
                <c:pt idx="0">
                  <c:v>With tax reform</c:v>
                </c:pt>
              </c:strCache>
            </c:strRef>
          </c:tx>
          <c:spPr>
            <a:solidFill>
              <a:schemeClr val="accent1"/>
            </a:solidFill>
            <a:ln>
              <a:solidFill>
                <a:schemeClr val="tx1"/>
              </a:solidFill>
            </a:ln>
            <a:effectLst/>
          </c:spPr>
          <c:invertIfNegative val="0"/>
          <c:dPt>
            <c:idx val="4"/>
            <c:invertIfNegative val="0"/>
            <c:bubble3D val="0"/>
            <c:spPr>
              <a:solidFill>
                <a:schemeClr val="accent1"/>
              </a:solidFill>
              <a:ln>
                <a:solidFill>
                  <a:schemeClr val="tx1"/>
                </a:solidFill>
              </a:ln>
              <a:effectLst/>
            </c:spPr>
            <c:extLst>
              <c:ext xmlns:c16="http://schemas.microsoft.com/office/drawing/2014/chart" uri="{C3380CC4-5D6E-409C-BE32-E72D297353CC}">
                <c16:uniqueId val="{00000010-2039-46C6-9173-5AF1A70BFE41}"/>
              </c:ext>
            </c:extLst>
          </c:dPt>
          <c:dPt>
            <c:idx val="9"/>
            <c:invertIfNegative val="0"/>
            <c:bubble3D val="0"/>
            <c:spPr>
              <a:solidFill>
                <a:schemeClr val="accent1"/>
              </a:solidFill>
              <a:ln>
                <a:solidFill>
                  <a:schemeClr val="tx1"/>
                </a:solidFill>
              </a:ln>
              <a:effectLst/>
            </c:spPr>
            <c:extLst>
              <c:ext xmlns:c16="http://schemas.microsoft.com/office/drawing/2014/chart" uri="{C3380CC4-5D6E-409C-BE32-E72D297353CC}">
                <c16:uniqueId val="{00000001-8819-447E-806F-F12BE878BE9B}"/>
              </c:ext>
            </c:extLst>
          </c:dPt>
          <c:dPt>
            <c:idx val="10"/>
            <c:invertIfNegative val="0"/>
            <c:bubble3D val="0"/>
            <c:spPr>
              <a:solidFill>
                <a:schemeClr val="accent1"/>
              </a:solidFill>
              <a:ln>
                <a:solidFill>
                  <a:schemeClr val="tx1"/>
                </a:solidFill>
              </a:ln>
              <a:effectLst/>
            </c:spPr>
            <c:extLst>
              <c:ext xmlns:c16="http://schemas.microsoft.com/office/drawing/2014/chart" uri="{C3380CC4-5D6E-409C-BE32-E72D297353CC}">
                <c16:uniqueId val="{00000003-8819-447E-806F-F12BE878BE9B}"/>
              </c:ext>
            </c:extLst>
          </c:dPt>
          <c:dPt>
            <c:idx val="11"/>
            <c:invertIfNegative val="0"/>
            <c:bubble3D val="0"/>
            <c:spPr>
              <a:solidFill>
                <a:schemeClr val="accent1"/>
              </a:solidFill>
              <a:ln>
                <a:solidFill>
                  <a:schemeClr val="tx1"/>
                </a:solidFill>
              </a:ln>
              <a:effectLst/>
            </c:spPr>
            <c:extLst>
              <c:ext xmlns:c16="http://schemas.microsoft.com/office/drawing/2014/chart" uri="{C3380CC4-5D6E-409C-BE32-E72D297353CC}">
                <c16:uniqueId val="{00000005-8819-447E-806F-F12BE878BE9B}"/>
              </c:ext>
            </c:extLst>
          </c:dPt>
          <c:dPt>
            <c:idx val="12"/>
            <c:invertIfNegative val="0"/>
            <c:bubble3D val="0"/>
            <c:spPr>
              <a:solidFill>
                <a:schemeClr val="accent1"/>
              </a:solidFill>
              <a:ln>
                <a:solidFill>
                  <a:schemeClr val="tx1"/>
                </a:solidFill>
              </a:ln>
              <a:effectLst/>
            </c:spPr>
            <c:extLst>
              <c:ext xmlns:c16="http://schemas.microsoft.com/office/drawing/2014/chart" uri="{C3380CC4-5D6E-409C-BE32-E72D297353CC}">
                <c16:uniqueId val="{00000007-8819-447E-806F-F12BE878BE9B}"/>
              </c:ext>
            </c:extLst>
          </c:dPt>
          <c:cat>
            <c:strRef>
              <c:f>'overview of results'!$E$46:$Q$46</c:f>
              <c:strCache>
                <c:ptCount val="13"/>
                <c:pt idx="0">
                  <c:v>2012-13</c:v>
                </c:pt>
                <c:pt idx="1">
                  <c:v>2013-14</c:v>
                </c:pt>
                <c:pt idx="2">
                  <c:v>2014-15</c:v>
                </c:pt>
                <c:pt idx="3">
                  <c:v>2015-16</c:v>
                </c:pt>
                <c:pt idx="4">
                  <c:v>2016-17</c:v>
                </c:pt>
                <c:pt idx="5">
                  <c:v>2017-18</c:v>
                </c:pt>
                <c:pt idx="6">
                  <c:v>2018-19</c:v>
                </c:pt>
                <c:pt idx="7">
                  <c:v>2019-20</c:v>
                </c:pt>
                <c:pt idx="8">
                  <c:v>2020-21</c:v>
                </c:pt>
                <c:pt idx="9">
                  <c:v>2021-22</c:v>
                </c:pt>
                <c:pt idx="10">
                  <c:v>2022-23</c:v>
                </c:pt>
                <c:pt idx="11">
                  <c:v>2023-24</c:v>
                </c:pt>
                <c:pt idx="12">
                  <c:v>2024-25</c:v>
                </c:pt>
              </c:strCache>
            </c:strRef>
          </c:cat>
          <c:val>
            <c:numRef>
              <c:f>'overview of results'!$E$47:$Q$47</c:f>
              <c:numCache>
                <c:formatCode>#,##0</c:formatCode>
                <c:ptCount val="13"/>
                <c:pt idx="0">
                  <c:v>175461</c:v>
                </c:pt>
                <c:pt idx="1">
                  <c:v>178821</c:v>
                </c:pt>
                <c:pt idx="2">
                  <c:v>181052</c:v>
                </c:pt>
                <c:pt idx="3">
                  <c:v>218556</c:v>
                </c:pt>
                <c:pt idx="4">
                  <c:v>262231</c:v>
                </c:pt>
                <c:pt idx="5">
                  <c:v>214055</c:v>
                </c:pt>
                <c:pt idx="6">
                  <c:v>171412</c:v>
                </c:pt>
                <c:pt idx="7">
                  <c:v>122428</c:v>
                </c:pt>
                <c:pt idx="8">
                  <c:v>158026</c:v>
                </c:pt>
                <c:pt idx="9">
                  <c:v>265348</c:v>
                </c:pt>
                <c:pt idx="10">
                  <c:v>248558</c:v>
                </c:pt>
                <c:pt idx="11">
                  <c:v>205980</c:v>
                </c:pt>
                <c:pt idx="12">
                  <c:v>205957</c:v>
                </c:pt>
              </c:numCache>
            </c:numRef>
          </c:val>
          <c:extLst>
            <c:ext xmlns:c16="http://schemas.microsoft.com/office/drawing/2014/chart" uri="{C3380CC4-5D6E-409C-BE32-E72D297353CC}">
              <c16:uniqueId val="{00000008-8819-447E-806F-F12BE878BE9B}"/>
            </c:ext>
          </c:extLst>
        </c:ser>
        <c:ser>
          <c:idx val="1"/>
          <c:order val="1"/>
          <c:tx>
            <c:strRef>
              <c:f>'overview of results'!$D$48</c:f>
              <c:strCache>
                <c:ptCount val="1"/>
                <c:pt idx="0">
                  <c:v>Without tax reform</c:v>
                </c:pt>
              </c:strCache>
            </c:strRef>
          </c:tx>
          <c:spPr>
            <a:solidFill>
              <a:schemeClr val="accent2"/>
            </a:solidFill>
            <a:ln>
              <a:solidFill>
                <a:schemeClr val="tx1"/>
              </a:solidFill>
            </a:ln>
            <a:effectLst/>
          </c:spPr>
          <c:invertIfNegative val="0"/>
          <c:dPt>
            <c:idx val="9"/>
            <c:invertIfNegative val="0"/>
            <c:bubble3D val="0"/>
            <c:spPr>
              <a:solidFill>
                <a:schemeClr val="accent2"/>
              </a:solidFill>
              <a:ln>
                <a:solidFill>
                  <a:schemeClr val="tx1"/>
                </a:solidFill>
              </a:ln>
              <a:effectLst/>
            </c:spPr>
            <c:extLst>
              <c:ext xmlns:c16="http://schemas.microsoft.com/office/drawing/2014/chart" uri="{C3380CC4-5D6E-409C-BE32-E72D297353CC}">
                <c16:uniqueId val="{0000000A-8819-447E-806F-F12BE878BE9B}"/>
              </c:ext>
            </c:extLst>
          </c:dPt>
          <c:dPt>
            <c:idx val="10"/>
            <c:invertIfNegative val="0"/>
            <c:bubble3D val="0"/>
            <c:spPr>
              <a:solidFill>
                <a:schemeClr val="accent2"/>
              </a:solidFill>
              <a:ln>
                <a:solidFill>
                  <a:schemeClr val="tx1"/>
                </a:solidFill>
              </a:ln>
              <a:effectLst/>
            </c:spPr>
            <c:extLst>
              <c:ext xmlns:c16="http://schemas.microsoft.com/office/drawing/2014/chart" uri="{C3380CC4-5D6E-409C-BE32-E72D297353CC}">
                <c16:uniqueId val="{0000000C-8819-447E-806F-F12BE878BE9B}"/>
              </c:ext>
            </c:extLst>
          </c:dPt>
          <c:dPt>
            <c:idx val="11"/>
            <c:invertIfNegative val="0"/>
            <c:bubble3D val="0"/>
            <c:spPr>
              <a:solidFill>
                <a:schemeClr val="accent2"/>
              </a:solidFill>
              <a:ln>
                <a:solidFill>
                  <a:schemeClr val="tx1"/>
                </a:solidFill>
              </a:ln>
              <a:effectLst/>
            </c:spPr>
            <c:extLst>
              <c:ext xmlns:c16="http://schemas.microsoft.com/office/drawing/2014/chart" uri="{C3380CC4-5D6E-409C-BE32-E72D297353CC}">
                <c16:uniqueId val="{0000000E-8819-447E-806F-F12BE878BE9B}"/>
              </c:ext>
            </c:extLst>
          </c:dPt>
          <c:dPt>
            <c:idx val="12"/>
            <c:invertIfNegative val="0"/>
            <c:bubble3D val="0"/>
            <c:spPr>
              <a:solidFill>
                <a:schemeClr val="accent2"/>
              </a:solidFill>
              <a:ln>
                <a:solidFill>
                  <a:schemeClr val="tx1"/>
                </a:solidFill>
              </a:ln>
              <a:effectLst/>
            </c:spPr>
            <c:extLst>
              <c:ext xmlns:c16="http://schemas.microsoft.com/office/drawing/2014/chart" uri="{C3380CC4-5D6E-409C-BE32-E72D297353CC}">
                <c16:uniqueId val="{00000010-8819-447E-806F-F12BE878BE9B}"/>
              </c:ext>
            </c:extLst>
          </c:dPt>
          <c:cat>
            <c:strRef>
              <c:f>'overview of results'!$E$46:$Q$46</c:f>
              <c:strCache>
                <c:ptCount val="13"/>
                <c:pt idx="0">
                  <c:v>2012-13</c:v>
                </c:pt>
                <c:pt idx="1">
                  <c:v>2013-14</c:v>
                </c:pt>
                <c:pt idx="2">
                  <c:v>2014-15</c:v>
                </c:pt>
                <c:pt idx="3">
                  <c:v>2015-16</c:v>
                </c:pt>
                <c:pt idx="4">
                  <c:v>2016-17</c:v>
                </c:pt>
                <c:pt idx="5">
                  <c:v>2017-18</c:v>
                </c:pt>
                <c:pt idx="6">
                  <c:v>2018-19</c:v>
                </c:pt>
                <c:pt idx="7">
                  <c:v>2019-20</c:v>
                </c:pt>
                <c:pt idx="8">
                  <c:v>2020-21</c:v>
                </c:pt>
                <c:pt idx="9">
                  <c:v>2021-22</c:v>
                </c:pt>
                <c:pt idx="10">
                  <c:v>2022-23</c:v>
                </c:pt>
                <c:pt idx="11">
                  <c:v>2023-24</c:v>
                </c:pt>
                <c:pt idx="12">
                  <c:v>2024-25</c:v>
                </c:pt>
              </c:strCache>
            </c:strRef>
          </c:cat>
          <c:val>
            <c:numRef>
              <c:f>'overview of results'!$E$48:$Q$48</c:f>
              <c:numCache>
                <c:formatCode>#,##0</c:formatCode>
                <c:ptCount val="13"/>
                <c:pt idx="0">
                  <c:v>193603</c:v>
                </c:pt>
                <c:pt idx="1">
                  <c:v>209403</c:v>
                </c:pt>
                <c:pt idx="2">
                  <c:v>223060</c:v>
                </c:pt>
                <c:pt idx="3">
                  <c:v>281849</c:v>
                </c:pt>
                <c:pt idx="4">
                  <c:v>356506</c:v>
                </c:pt>
                <c:pt idx="5">
                  <c:v>299095</c:v>
                </c:pt>
                <c:pt idx="6">
                  <c:v>248083</c:v>
                </c:pt>
                <c:pt idx="7">
                  <c:v>182469</c:v>
                </c:pt>
                <c:pt idx="8">
                  <c:v>226671</c:v>
                </c:pt>
                <c:pt idx="9">
                  <c:v>402210</c:v>
                </c:pt>
                <c:pt idx="10">
                  <c:v>408858</c:v>
                </c:pt>
                <c:pt idx="11">
                  <c:v>401351</c:v>
                </c:pt>
                <c:pt idx="12">
                  <c:v>417519</c:v>
                </c:pt>
              </c:numCache>
            </c:numRef>
          </c:val>
          <c:extLst>
            <c:ext xmlns:c16="http://schemas.microsoft.com/office/drawing/2014/chart" uri="{C3380CC4-5D6E-409C-BE32-E72D297353CC}">
              <c16:uniqueId val="{00000011-8819-447E-806F-F12BE878BE9B}"/>
            </c:ext>
          </c:extLst>
        </c:ser>
        <c:dLbls>
          <c:showLegendKey val="0"/>
          <c:showVal val="0"/>
          <c:showCatName val="0"/>
          <c:showSerName val="0"/>
          <c:showPercent val="0"/>
          <c:showBubbleSize val="0"/>
        </c:dLbls>
        <c:gapWidth val="219"/>
        <c:overlap val="-27"/>
        <c:axId val="941470808"/>
        <c:axId val="941472120"/>
      </c:barChart>
      <c:catAx>
        <c:axId val="94147080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1000" b="0" i="0" u="none" strike="noStrike" kern="1200" baseline="0">
                <a:solidFill>
                  <a:sysClr val="windowText" lastClr="000000"/>
                </a:solidFill>
                <a:latin typeface="+mn-lt"/>
                <a:ea typeface="+mn-ea"/>
                <a:cs typeface="+mn-cs"/>
              </a:defRPr>
            </a:pPr>
            <a:endParaRPr lang="en-US"/>
          </a:p>
        </c:txPr>
        <c:crossAx val="941472120"/>
        <c:crosses val="autoZero"/>
        <c:auto val="1"/>
        <c:lblAlgn val="ctr"/>
        <c:lblOffset val="100"/>
        <c:noMultiLvlLbl val="0"/>
      </c:catAx>
      <c:valAx>
        <c:axId val="941472120"/>
        <c:scaling>
          <c:orientation val="minMax"/>
        </c:scaling>
        <c:delete val="0"/>
        <c:axPos val="l"/>
        <c:majorGridlines>
          <c:spPr>
            <a:ln w="9525" cap="flat" cmpd="sng" algn="ctr">
              <a:solidFill>
                <a:schemeClr val="tx1">
                  <a:lumMod val="15000"/>
                  <a:lumOff val="85000"/>
                </a:schemeClr>
              </a:solidFill>
              <a:prstDash val="dash"/>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baseline="0">
                    <a:solidFill>
                      <a:sysClr val="windowText" lastClr="000000"/>
                    </a:solidFill>
                  </a:rPr>
                  <a:t>$'000</a:t>
                </a:r>
                <a:endParaRPr lang="en-AU">
                  <a:solidFill>
                    <a:sysClr val="windowText" lastClr="000000"/>
                  </a:solidFill>
                </a:endParaRPr>
              </a:p>
            </c:rich>
          </c:tx>
          <c:layout>
            <c:manualLayout>
              <c:xMode val="edge"/>
              <c:yMode val="edge"/>
              <c:x val="4.3310386785625861E-3"/>
              <c:y val="0.3287451708654875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0"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941470808"/>
        <c:crosses val="autoZero"/>
        <c:crossBetween val="between"/>
      </c:valAx>
      <c:spPr>
        <a:noFill/>
        <a:ln>
          <a:noFill/>
        </a:ln>
        <a:effectLst/>
      </c:spPr>
    </c:plotArea>
    <c:legend>
      <c:legendPos val="b"/>
      <c:layout>
        <c:manualLayout>
          <c:xMode val="edge"/>
          <c:yMode val="edge"/>
          <c:x val="0.3059299081069542"/>
          <c:y val="0.92667721332765862"/>
          <c:w val="0.38814018378609172"/>
          <c:h val="7.3322786672341433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n-AU" sz="1100" b="1"/>
              <a:t>Residential</a:t>
            </a:r>
            <a:r>
              <a:rPr lang="en-AU" sz="1100" b="1" baseline="0"/>
              <a:t> Conveyance Duty</a:t>
            </a:r>
            <a:endParaRPr lang="en-AU" sz="1100" b="1"/>
          </a:p>
        </c:rich>
      </c:tx>
      <c:layout>
        <c:manualLayout>
          <c:xMode val="edge"/>
          <c:yMode val="edge"/>
          <c:x val="0.27873814420322085"/>
          <c:y val="0"/>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6549305555555555"/>
          <c:y val="9.0154320987654316E-2"/>
          <c:w val="0.80804861111111115"/>
          <c:h val="0.67799043209876542"/>
        </c:manualLayout>
      </c:layout>
      <c:areaChart>
        <c:grouping val="stacked"/>
        <c:varyColors val="0"/>
        <c:ser>
          <c:idx val="2"/>
          <c:order val="2"/>
          <c:tx>
            <c:strRef>
              <c:f>'Resi Conveyance Duty'!$H$49</c:f>
              <c:strCache>
                <c:ptCount val="1"/>
                <c:pt idx="0">
                  <c:v>Downside</c:v>
                </c:pt>
              </c:strCache>
            </c:strRef>
          </c:tx>
          <c:spPr>
            <a:noFill/>
            <a:ln>
              <a:noFill/>
            </a:ln>
            <a:effectLst/>
          </c:spPr>
          <c:cat>
            <c:strRef>
              <c:f>'Resi Conveyance Duty'!$A$60:$A$76</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'Resi Conveyance Duty'!$H$60:$H$76</c:f>
              <c:numCache>
                <c:formatCode>General</c:formatCode>
                <c:ptCount val="17"/>
                <c:pt idx="12" formatCode="#,##0.0">
                  <c:v>112.25675704555862</c:v>
                </c:pt>
                <c:pt idx="13" formatCode="#,##0.0">
                  <c:v>121.85483947048512</c:v>
                </c:pt>
                <c:pt idx="14" formatCode="#,##0.0">
                  <c:v>112.0315292833677</c:v>
                </c:pt>
                <c:pt idx="15" formatCode="#,##0.0">
                  <c:v>98.574754484342392</c:v>
                </c:pt>
                <c:pt idx="16" formatCode="#,##0.0">
                  <c:v>98.441878079385404</c:v>
                </c:pt>
              </c:numCache>
            </c:numRef>
          </c:val>
          <c:extLst>
            <c:ext xmlns:c16="http://schemas.microsoft.com/office/drawing/2014/chart" uri="{C3380CC4-5D6E-409C-BE32-E72D297353CC}">
              <c16:uniqueId val="{00000000-CB3A-4F9F-B29C-93A2294F2558}"/>
            </c:ext>
          </c:extLst>
        </c:ser>
        <c:ser>
          <c:idx val="4"/>
          <c:order val="3"/>
          <c:tx>
            <c:strRef>
              <c:f>'Resi Conveyance Duty'!$I$48</c:f>
              <c:strCache>
                <c:ptCount val="1"/>
                <c:pt idx="0">
                  <c:v>Range between upside and downside scenario</c:v>
                </c:pt>
              </c:strCache>
            </c:strRef>
          </c:tx>
          <c:spPr>
            <a:solidFill>
              <a:schemeClr val="accent5"/>
            </a:solidFill>
            <a:ln>
              <a:noFill/>
            </a:ln>
            <a:effectLst/>
          </c:spPr>
          <c:cat>
            <c:strRef>
              <c:f>'Resi Conveyance Duty'!$A$60:$A$76</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'Resi Conveyance Duty'!$I$60:$I$76</c:f>
              <c:numCache>
                <c:formatCode>General</c:formatCode>
                <c:ptCount val="17"/>
                <c:pt idx="12" formatCode="#,##0.0">
                  <c:v>0</c:v>
                </c:pt>
                <c:pt idx="13" formatCode="#,##0.0">
                  <c:v>25.882179436576209</c:v>
                </c:pt>
                <c:pt idx="14" formatCode="#,##0.0">
                  <c:v>26.166477567282655</c:v>
                </c:pt>
                <c:pt idx="15" formatCode="#,##0.0">
                  <c:v>13.73597050376658</c:v>
                </c:pt>
                <c:pt idx="16" formatCode="#,##0.0">
                  <c:v>13.229410171288535</c:v>
                </c:pt>
              </c:numCache>
            </c:numRef>
          </c:val>
          <c:extLst>
            <c:ext xmlns:c16="http://schemas.microsoft.com/office/drawing/2014/chart" uri="{C3380CC4-5D6E-409C-BE32-E72D297353CC}">
              <c16:uniqueId val="{00000001-CB3A-4F9F-B29C-93A2294F2558}"/>
            </c:ext>
          </c:extLst>
        </c:ser>
        <c:dLbls>
          <c:showLegendKey val="0"/>
          <c:showVal val="0"/>
          <c:showCatName val="0"/>
          <c:showSerName val="0"/>
          <c:showPercent val="0"/>
          <c:showBubbleSize val="0"/>
        </c:dLbls>
        <c:axId val="930346296"/>
        <c:axId val="930344000"/>
      </c:areaChart>
      <c:lineChart>
        <c:grouping val="standard"/>
        <c:varyColors val="0"/>
        <c:ser>
          <c:idx val="0"/>
          <c:order val="0"/>
          <c:tx>
            <c:strRef>
              <c:f>'Resi Conveyance Duty'!$B$49</c:f>
              <c:strCache>
                <c:ptCount val="1"/>
                <c:pt idx="0">
                  <c:v>Actual</c:v>
                </c:pt>
              </c:strCache>
            </c:strRef>
          </c:tx>
          <c:spPr>
            <a:ln w="28575" cap="rnd">
              <a:solidFill>
                <a:schemeClr val="accent1"/>
              </a:solidFill>
              <a:round/>
            </a:ln>
            <a:effectLst/>
          </c:spPr>
          <c:marker>
            <c:symbol val="none"/>
          </c:marker>
          <c:cat>
            <c:strRef>
              <c:f>'Resi Conveyance Duty'!$A$60:$A$76</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'Resi Conveyance Duty'!$B$60:$B$76</c:f>
              <c:numCache>
                <c:formatCode>#,##0.0</c:formatCode>
                <c:ptCount val="17"/>
                <c:pt idx="0">
                  <c:v>76.556701463713793</c:v>
                </c:pt>
                <c:pt idx="1">
                  <c:v>110.44704281507248</c:v>
                </c:pt>
                <c:pt idx="2">
                  <c:v>122.19944750086623</c:v>
                </c:pt>
                <c:pt idx="3">
                  <c:v>103.77755184639521</c:v>
                </c:pt>
                <c:pt idx="4">
                  <c:v>86.403247642277989</c:v>
                </c:pt>
                <c:pt idx="5">
                  <c:v>85.675171584282126</c:v>
                </c:pt>
                <c:pt idx="6">
                  <c:v>86.314726164723098</c:v>
                </c:pt>
                <c:pt idx="7">
                  <c:v>101.16276358631222</c:v>
                </c:pt>
                <c:pt idx="8">
                  <c:v>111.03055125291952</c:v>
                </c:pt>
                <c:pt idx="9">
                  <c:v>93.574011119949532</c:v>
                </c:pt>
                <c:pt idx="10">
                  <c:v>100</c:v>
                </c:pt>
                <c:pt idx="11">
                  <c:v>78.40907728462841</c:v>
                </c:pt>
                <c:pt idx="12">
                  <c:v>112.25675704555862</c:v>
                </c:pt>
              </c:numCache>
            </c:numRef>
          </c:val>
          <c:smooth val="0"/>
          <c:extLst>
            <c:ext xmlns:c16="http://schemas.microsoft.com/office/drawing/2014/chart" uri="{C3380CC4-5D6E-409C-BE32-E72D297353CC}">
              <c16:uniqueId val="{00000002-CB3A-4F9F-B29C-93A2294F2558}"/>
            </c:ext>
          </c:extLst>
        </c:ser>
        <c:ser>
          <c:idx val="3"/>
          <c:order val="1"/>
          <c:tx>
            <c:strRef>
              <c:f>'Resi Conveyance Duty'!$F$49</c:f>
              <c:strCache>
                <c:ptCount val="1"/>
                <c:pt idx="0">
                  <c:v>Baseline</c:v>
                </c:pt>
              </c:strCache>
            </c:strRef>
          </c:tx>
          <c:spPr>
            <a:ln w="28575" cap="rnd">
              <a:solidFill>
                <a:srgbClr val="667EEF"/>
              </a:solidFill>
              <a:round/>
            </a:ln>
            <a:effectLst/>
          </c:spPr>
          <c:marker>
            <c:symbol val="none"/>
          </c:marker>
          <c:dPt>
            <c:idx val="14"/>
            <c:marker>
              <c:symbol val="none"/>
            </c:marker>
            <c:bubble3D val="0"/>
            <c:extLst>
              <c:ext xmlns:c16="http://schemas.microsoft.com/office/drawing/2014/chart" uri="{C3380CC4-5D6E-409C-BE32-E72D297353CC}">
                <c16:uniqueId val="{00000000-C840-41D3-BBF5-4B6A293B9664}"/>
              </c:ext>
            </c:extLst>
          </c:dPt>
          <c:cat>
            <c:strRef>
              <c:f>'Resi Conveyance Duty'!$A$60:$A$76</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'Resi Conveyance Duty'!$F$60:$F$76</c:f>
              <c:numCache>
                <c:formatCode>General</c:formatCode>
                <c:ptCount val="17"/>
                <c:pt idx="12" formatCode="#,##0.0">
                  <c:v>112.25675704555862</c:v>
                </c:pt>
                <c:pt idx="13" formatCode="#,##0.0">
                  <c:v>138.82420002225533</c:v>
                </c:pt>
                <c:pt idx="14" formatCode="#,##0.0">
                  <c:v>129.36602061273635</c:v>
                </c:pt>
                <c:pt idx="15" formatCode="#,##0.0">
                  <c:v>106.35829338434174</c:v>
                </c:pt>
                <c:pt idx="16" formatCode="#,##0.0">
                  <c:v>105.40079479871838</c:v>
                </c:pt>
              </c:numCache>
            </c:numRef>
          </c:val>
          <c:smooth val="0"/>
          <c:extLst>
            <c:ext xmlns:c16="http://schemas.microsoft.com/office/drawing/2014/chart" uri="{C3380CC4-5D6E-409C-BE32-E72D297353CC}">
              <c16:uniqueId val="{00000003-CB3A-4F9F-B29C-93A2294F2558}"/>
            </c:ext>
          </c:extLst>
        </c:ser>
        <c:dLbls>
          <c:showLegendKey val="0"/>
          <c:showVal val="0"/>
          <c:showCatName val="0"/>
          <c:showSerName val="0"/>
          <c:showPercent val="0"/>
          <c:showBubbleSize val="0"/>
        </c:dLbls>
        <c:marker val="1"/>
        <c:smooth val="0"/>
        <c:axId val="1655276752"/>
        <c:axId val="1655277080"/>
      </c:lineChart>
      <c:catAx>
        <c:axId val="1655276752"/>
        <c:scaling>
          <c:orientation val="minMax"/>
        </c:scaling>
        <c:delete val="0"/>
        <c:axPos val="b"/>
        <c:numFmt formatCode="General" sourceLinked="1"/>
        <c:majorTickMark val="in"/>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55277080"/>
        <c:crosses val="autoZero"/>
        <c:auto val="1"/>
        <c:lblAlgn val="ctr"/>
        <c:lblOffset val="100"/>
        <c:noMultiLvlLbl val="0"/>
      </c:catAx>
      <c:valAx>
        <c:axId val="1655277080"/>
        <c:scaling>
          <c:orientation val="minMax"/>
          <c:max val="150"/>
          <c:min val="60"/>
        </c:scaling>
        <c:delete val="0"/>
        <c:axPos val="l"/>
        <c:majorGridlines>
          <c:spPr>
            <a:ln w="9525" cap="flat" cmpd="sng" algn="ctr">
              <a:solidFill>
                <a:schemeClr val="bg1">
                  <a:lumMod val="50000"/>
                </a:schemeClr>
              </a:solidFill>
              <a:prstDash val="dash"/>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sz="900"/>
                  <a:t>Index (2018-19 = 100)</a:t>
                </a:r>
              </a:p>
            </c:rich>
          </c:tx>
          <c:layout>
            <c:manualLayout>
              <c:xMode val="edge"/>
              <c:yMode val="edge"/>
              <c:x val="2.204861111111111E-3"/>
              <c:y val="0.2099472222222222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title>
        <c:numFmt formatCode="#,##0" sourceLinked="0"/>
        <c:majorTickMark val="in"/>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55276752"/>
        <c:crosses val="autoZero"/>
        <c:crossBetween val="between"/>
        <c:majorUnit val="10"/>
      </c:valAx>
      <c:valAx>
        <c:axId val="930344000"/>
        <c:scaling>
          <c:orientation val="minMax"/>
          <c:max val="130"/>
          <c:min val="50"/>
        </c:scaling>
        <c:delete val="1"/>
        <c:axPos val="r"/>
        <c:numFmt formatCode="General" sourceLinked="1"/>
        <c:majorTickMark val="out"/>
        <c:minorTickMark val="none"/>
        <c:tickLblPos val="nextTo"/>
        <c:crossAx val="930346296"/>
        <c:crosses val="max"/>
        <c:crossBetween val="between"/>
      </c:valAx>
      <c:catAx>
        <c:axId val="930346296"/>
        <c:scaling>
          <c:orientation val="minMax"/>
        </c:scaling>
        <c:delete val="1"/>
        <c:axPos val="b"/>
        <c:numFmt formatCode="General" sourceLinked="1"/>
        <c:majorTickMark val="out"/>
        <c:minorTickMark val="none"/>
        <c:tickLblPos val="nextTo"/>
        <c:crossAx val="930344000"/>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n-AU" sz="1100" b="1"/>
              <a:t>Payroll Tax</a:t>
            </a:r>
          </a:p>
        </c:rich>
      </c:tx>
      <c:layout>
        <c:manualLayout>
          <c:xMode val="edge"/>
          <c:yMode val="edge"/>
          <c:x val="0.40806848898155512"/>
          <c:y val="3.9197301405887635E-3"/>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6549305555555555"/>
          <c:y val="9.0154320987654316E-2"/>
          <c:w val="0.80804861111111115"/>
          <c:h val="0.67799043209876542"/>
        </c:manualLayout>
      </c:layout>
      <c:areaChart>
        <c:grouping val="stacked"/>
        <c:varyColors val="0"/>
        <c:ser>
          <c:idx val="2"/>
          <c:order val="1"/>
          <c:tx>
            <c:strRef>
              <c:f>'Payroll Tax'!$H$38</c:f>
              <c:strCache>
                <c:ptCount val="1"/>
                <c:pt idx="0">
                  <c:v>Downside</c:v>
                </c:pt>
              </c:strCache>
            </c:strRef>
          </c:tx>
          <c:spPr>
            <a:noFill/>
            <a:ln>
              <a:noFill/>
            </a:ln>
            <a:effectLst/>
          </c:spPr>
          <c:cat>
            <c:strRef>
              <c:f>'Payroll Tax'!$A$49:$A$65</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'Payroll Tax'!$H$49:$H$65</c:f>
              <c:numCache>
                <c:formatCode>General</c:formatCode>
                <c:ptCount val="17"/>
                <c:pt idx="12" formatCode="#,##0.0">
                  <c:v>104.9260055306904</c:v>
                </c:pt>
                <c:pt idx="13" formatCode="#,##0.0">
                  <c:v>105.21658502590614</c:v>
                </c:pt>
                <c:pt idx="14" formatCode="#,##0.0">
                  <c:v>114.2447097892678</c:v>
                </c:pt>
                <c:pt idx="15" formatCode="#,##0.0">
                  <c:v>121.35058044118863</c:v>
                </c:pt>
                <c:pt idx="16" formatCode="#,##0.0">
                  <c:v>128.85356077946497</c:v>
                </c:pt>
              </c:numCache>
            </c:numRef>
          </c:val>
          <c:extLst>
            <c:ext xmlns:c16="http://schemas.microsoft.com/office/drawing/2014/chart" uri="{C3380CC4-5D6E-409C-BE32-E72D297353CC}">
              <c16:uniqueId val="{00000000-1B96-45B1-9567-52EE0F9C3B31}"/>
            </c:ext>
          </c:extLst>
        </c:ser>
        <c:ser>
          <c:idx val="4"/>
          <c:order val="3"/>
          <c:tx>
            <c:strRef>
              <c:f>'Payroll Tax'!$H$37</c:f>
              <c:strCache>
                <c:ptCount val="1"/>
                <c:pt idx="0">
                  <c:v>Range between upside and downside scenario</c:v>
                </c:pt>
              </c:strCache>
            </c:strRef>
          </c:tx>
          <c:spPr>
            <a:solidFill>
              <a:schemeClr val="accent5"/>
            </a:solidFill>
            <a:ln>
              <a:noFill/>
            </a:ln>
            <a:effectLst/>
          </c:spPr>
          <c:cat>
            <c:strRef>
              <c:f>'Payroll Tax'!$A$49:$A$65</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'Payroll Tax'!$I$49:$I$65</c:f>
              <c:numCache>
                <c:formatCode>General</c:formatCode>
                <c:ptCount val="17"/>
                <c:pt idx="12" formatCode="#,##0.000">
                  <c:v>0</c:v>
                </c:pt>
                <c:pt idx="13" formatCode="#,##0.000">
                  <c:v>2.4305316283457898</c:v>
                </c:pt>
                <c:pt idx="14" formatCode="#,##0.000">
                  <c:v>4.5706910816574151</c:v>
                </c:pt>
                <c:pt idx="15" formatCode="#,##0.000">
                  <c:v>7.3108750660011736</c:v>
                </c:pt>
                <c:pt idx="16" formatCode="#,##0.000">
                  <c:v>10.497528959170808</c:v>
                </c:pt>
              </c:numCache>
            </c:numRef>
          </c:val>
          <c:extLst>
            <c:ext xmlns:c16="http://schemas.microsoft.com/office/drawing/2014/chart" uri="{C3380CC4-5D6E-409C-BE32-E72D297353CC}">
              <c16:uniqueId val="{00000001-1B96-45B1-9567-52EE0F9C3B31}"/>
            </c:ext>
          </c:extLst>
        </c:ser>
        <c:dLbls>
          <c:showLegendKey val="0"/>
          <c:showVal val="0"/>
          <c:showCatName val="0"/>
          <c:showSerName val="0"/>
          <c:showPercent val="0"/>
          <c:showBubbleSize val="0"/>
        </c:dLbls>
        <c:axId val="962976144"/>
        <c:axId val="967406640"/>
      </c:areaChart>
      <c:lineChart>
        <c:grouping val="standard"/>
        <c:varyColors val="0"/>
        <c:ser>
          <c:idx val="0"/>
          <c:order val="0"/>
          <c:tx>
            <c:strRef>
              <c:f>'Payroll Tax'!$B$38</c:f>
              <c:strCache>
                <c:ptCount val="1"/>
                <c:pt idx="0">
                  <c:v>Actual</c:v>
                </c:pt>
              </c:strCache>
            </c:strRef>
          </c:tx>
          <c:spPr>
            <a:ln w="28575" cap="rnd">
              <a:solidFill>
                <a:schemeClr val="accent1"/>
              </a:solidFill>
              <a:round/>
            </a:ln>
            <a:effectLst/>
          </c:spPr>
          <c:marker>
            <c:symbol val="none"/>
          </c:marker>
          <c:cat>
            <c:strRef>
              <c:f>'Payroll Tax'!$A$49:$A$65</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'Payroll Tax'!$B$49:$B$65</c:f>
              <c:numCache>
                <c:formatCode>#,##0.0</c:formatCode>
                <c:ptCount val="17"/>
                <c:pt idx="0">
                  <c:v>48.461683476868977</c:v>
                </c:pt>
                <c:pt idx="1">
                  <c:v>48.826354086383922</c:v>
                </c:pt>
                <c:pt idx="2">
                  <c:v>51.774359648747271</c:v>
                </c:pt>
                <c:pt idx="3">
                  <c:v>57.220470032542259</c:v>
                </c:pt>
                <c:pt idx="4">
                  <c:v>58.327984745977815</c:v>
                </c:pt>
                <c:pt idx="5">
                  <c:v>60.128616952954147</c:v>
                </c:pt>
                <c:pt idx="6">
                  <c:v>65.15197982795388</c:v>
                </c:pt>
                <c:pt idx="7">
                  <c:v>76.909380504769516</c:v>
                </c:pt>
                <c:pt idx="8">
                  <c:v>81.684916243723805</c:v>
                </c:pt>
                <c:pt idx="9">
                  <c:v>88.518355128656125</c:v>
                </c:pt>
                <c:pt idx="10">
                  <c:v>100</c:v>
                </c:pt>
                <c:pt idx="11">
                  <c:v>102.28252724651585</c:v>
                </c:pt>
                <c:pt idx="12">
                  <c:v>104.9260055306904</c:v>
                </c:pt>
              </c:numCache>
            </c:numRef>
          </c:val>
          <c:smooth val="0"/>
          <c:extLst>
            <c:ext xmlns:c16="http://schemas.microsoft.com/office/drawing/2014/chart" uri="{C3380CC4-5D6E-409C-BE32-E72D297353CC}">
              <c16:uniqueId val="{00000002-1B96-45B1-9567-52EE0F9C3B31}"/>
            </c:ext>
          </c:extLst>
        </c:ser>
        <c:ser>
          <c:idx val="3"/>
          <c:order val="2"/>
          <c:tx>
            <c:strRef>
              <c:f>'Payroll Tax'!$F$38</c:f>
              <c:strCache>
                <c:ptCount val="1"/>
                <c:pt idx="0">
                  <c:v>Baseline</c:v>
                </c:pt>
              </c:strCache>
            </c:strRef>
          </c:tx>
          <c:spPr>
            <a:ln w="28575" cap="rnd">
              <a:solidFill>
                <a:srgbClr val="667EEF"/>
              </a:solidFill>
              <a:round/>
            </a:ln>
            <a:effectLst/>
          </c:spPr>
          <c:marker>
            <c:symbol val="none"/>
          </c:marker>
          <c:cat>
            <c:strRef>
              <c:f>'Payroll Tax'!$A$49:$A$65</c:f>
              <c:strCache>
                <c:ptCount val="17"/>
                <c:pt idx="0">
                  <c:v>2008-09</c:v>
                </c:pt>
                <c:pt idx="1">
                  <c:v>2009-10</c:v>
                </c:pt>
                <c:pt idx="2">
                  <c:v>2010-11</c:v>
                </c:pt>
                <c:pt idx="3">
                  <c:v>2011-12</c:v>
                </c:pt>
                <c:pt idx="4">
                  <c:v>2012-13</c:v>
                </c:pt>
                <c:pt idx="5">
                  <c:v>2013-14</c:v>
                </c:pt>
                <c:pt idx="6">
                  <c:v>2014-15</c:v>
                </c:pt>
                <c:pt idx="7">
                  <c:v>2015-16</c:v>
                </c:pt>
                <c:pt idx="8">
                  <c:v>2016-17</c:v>
                </c:pt>
                <c:pt idx="9">
                  <c:v>2017-18</c:v>
                </c:pt>
                <c:pt idx="10">
                  <c:v>2018-19</c:v>
                </c:pt>
                <c:pt idx="11">
                  <c:v>2019-20</c:v>
                </c:pt>
                <c:pt idx="12">
                  <c:v>2020-21</c:v>
                </c:pt>
                <c:pt idx="13">
                  <c:v>2021-22</c:v>
                </c:pt>
                <c:pt idx="14">
                  <c:v>2022-23</c:v>
                </c:pt>
                <c:pt idx="15">
                  <c:v>2023-24</c:v>
                </c:pt>
                <c:pt idx="16">
                  <c:v>2024-25</c:v>
                </c:pt>
              </c:strCache>
            </c:strRef>
          </c:cat>
          <c:val>
            <c:numRef>
              <c:f>'Payroll Tax'!$F$49:$F$65</c:f>
              <c:numCache>
                <c:formatCode>General</c:formatCode>
                <c:ptCount val="17"/>
                <c:pt idx="12" formatCode="#,##0.0">
                  <c:v>104.9260055306904</c:v>
                </c:pt>
                <c:pt idx="13" formatCode="#,##0.0">
                  <c:v>107.21135158916269</c:v>
                </c:pt>
                <c:pt idx="14" formatCode="#,##0.0">
                  <c:v>117.74375270376632</c:v>
                </c:pt>
                <c:pt idx="15" formatCode="#,##0.0">
                  <c:v>126.57452505303517</c:v>
                </c:pt>
                <c:pt idx="16" formatCode="#,##0.0">
                  <c:v>136.06766905309451</c:v>
                </c:pt>
              </c:numCache>
            </c:numRef>
          </c:val>
          <c:smooth val="0"/>
          <c:extLst>
            <c:ext xmlns:c16="http://schemas.microsoft.com/office/drawing/2014/chart" uri="{C3380CC4-5D6E-409C-BE32-E72D297353CC}">
              <c16:uniqueId val="{00000003-1B96-45B1-9567-52EE0F9C3B31}"/>
            </c:ext>
          </c:extLst>
        </c:ser>
        <c:dLbls>
          <c:showLegendKey val="0"/>
          <c:showVal val="0"/>
          <c:showCatName val="0"/>
          <c:showSerName val="0"/>
          <c:showPercent val="0"/>
          <c:showBubbleSize val="0"/>
        </c:dLbls>
        <c:marker val="1"/>
        <c:smooth val="0"/>
        <c:axId val="1655276752"/>
        <c:axId val="1655277080"/>
      </c:lineChart>
      <c:catAx>
        <c:axId val="1655276752"/>
        <c:scaling>
          <c:orientation val="minMax"/>
        </c:scaling>
        <c:delete val="0"/>
        <c:axPos val="b"/>
        <c:numFmt formatCode="General" sourceLinked="1"/>
        <c:majorTickMark val="in"/>
        <c:minorTickMark val="none"/>
        <c:tickLblPos val="nextTo"/>
        <c:spPr>
          <a:noFill/>
          <a:ln w="3175" cap="flat" cmpd="sng" algn="ctr">
            <a:solidFill>
              <a:schemeClr val="tx1"/>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55277080"/>
        <c:crosses val="autoZero"/>
        <c:auto val="1"/>
        <c:lblAlgn val="ctr"/>
        <c:lblOffset val="100"/>
        <c:noMultiLvlLbl val="0"/>
      </c:catAx>
      <c:valAx>
        <c:axId val="1655277080"/>
        <c:scaling>
          <c:orientation val="minMax"/>
          <c:max val="140"/>
          <c:min val="30"/>
        </c:scaling>
        <c:delete val="0"/>
        <c:axPos val="l"/>
        <c:majorGridlines>
          <c:spPr>
            <a:ln w="9525" cap="flat" cmpd="sng" algn="ctr">
              <a:solidFill>
                <a:schemeClr val="bg1">
                  <a:lumMod val="50000"/>
                </a:schemeClr>
              </a:solidFill>
              <a:prstDash val="dash"/>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sz="900"/>
                  <a:t>Index (2018-19 = 100)</a:t>
                </a:r>
              </a:p>
            </c:rich>
          </c:tx>
          <c:layout>
            <c:manualLayout>
              <c:xMode val="edge"/>
              <c:yMode val="edge"/>
              <c:x val="2.204861111111111E-3"/>
              <c:y val="0.2099472222222222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title>
        <c:numFmt formatCode="#,##0" sourceLinked="0"/>
        <c:majorTickMark val="in"/>
        <c:minorTickMark val="none"/>
        <c:tickLblPos val="nextTo"/>
        <c:spPr>
          <a:noFill/>
          <a:ln w="3175">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655276752"/>
        <c:crosses val="autoZero"/>
        <c:crossBetween val="between"/>
        <c:majorUnit val="10"/>
      </c:valAx>
      <c:valAx>
        <c:axId val="967406640"/>
        <c:scaling>
          <c:orientation val="minMax"/>
          <c:min val="30"/>
        </c:scaling>
        <c:delete val="1"/>
        <c:axPos val="r"/>
        <c:numFmt formatCode="General" sourceLinked="1"/>
        <c:majorTickMark val="out"/>
        <c:minorTickMark val="none"/>
        <c:tickLblPos val="nextTo"/>
        <c:crossAx val="962976144"/>
        <c:crosses val="max"/>
        <c:crossBetween val="between"/>
      </c:valAx>
      <c:catAx>
        <c:axId val="962976144"/>
        <c:scaling>
          <c:orientation val="minMax"/>
        </c:scaling>
        <c:delete val="1"/>
        <c:axPos val="b"/>
        <c:numFmt formatCode="General" sourceLinked="1"/>
        <c:majorTickMark val="out"/>
        <c:minorTickMark val="none"/>
        <c:tickLblPos val="nextTo"/>
        <c:crossAx val="967406640"/>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withinLinear" id="16">
  <a:schemeClr val="accent3"/>
</cs:colorStyle>
</file>

<file path=word/charts/colors12.xml><?xml version="1.0" encoding="utf-8"?>
<cs:colorStyle xmlns:cs="http://schemas.microsoft.com/office/drawing/2012/chartStyle" xmlns:a="http://schemas.openxmlformats.org/drawingml/2006/main" meth="withinLinear" id="16">
  <a:schemeClr val="accent3"/>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cdr:x>
      <cdr:y>0.31531</cdr:y>
    </cdr:from>
    <cdr:to>
      <cdr:x>0.05623</cdr:x>
      <cdr:y>0.49758</cdr:y>
    </cdr:to>
    <cdr:sp macro="" textlink="">
      <cdr:nvSpPr>
        <cdr:cNvPr id="2" name="TextBox 1"/>
        <cdr:cNvSpPr txBox="1"/>
      </cdr:nvSpPr>
      <cdr:spPr>
        <a:xfrm xmlns:a="http://schemas.openxmlformats.org/drawingml/2006/main">
          <a:off x="-914400" y="837933"/>
          <a:ext cx="322283" cy="484378"/>
        </a:xfrm>
        <a:prstGeom xmlns:a="http://schemas.openxmlformats.org/drawingml/2006/main" prst="rect">
          <a:avLst/>
        </a:prstGeom>
      </cdr:spPr>
      <cdr:txBody>
        <a:bodyPr xmlns:a="http://schemas.openxmlformats.org/drawingml/2006/main" vertOverflow="clip" vert="vert270" wrap="none" rtlCol="0"/>
        <a:lstStyle xmlns:a="http://schemas.openxmlformats.org/drawingml/2006/main"/>
        <a:p xmlns:a="http://schemas.openxmlformats.org/drawingml/2006/main">
          <a:r>
            <a:rPr lang="en-AU" sz="1000" b="0"/>
            <a:t>$ million</a:t>
          </a:r>
        </a:p>
      </cdr:txBody>
    </cdr:sp>
  </cdr:relSizeAnchor>
</c:userShapes>
</file>

<file path=word/drawings/drawing2.xml><?xml version="1.0" encoding="utf-8"?>
<c:userShapes xmlns:c="http://schemas.openxmlformats.org/drawingml/2006/chart">
  <cdr:relSizeAnchor xmlns:cdr="http://schemas.openxmlformats.org/drawingml/2006/chartDrawing">
    <cdr:from>
      <cdr:x>0.81095</cdr:x>
      <cdr:y>0.90918</cdr:y>
    </cdr:from>
    <cdr:to>
      <cdr:x>0.97641</cdr:x>
      <cdr:y>0.97132</cdr:y>
    </cdr:to>
    <cdr:sp macro="" textlink="">
      <cdr:nvSpPr>
        <cdr:cNvPr id="2" name="TextBox 1">
          <a:extLst xmlns:a="http://schemas.openxmlformats.org/drawingml/2006/main">
            <a:ext uri="{FF2B5EF4-FFF2-40B4-BE49-F238E27FC236}">
              <a16:creationId xmlns:a16="http://schemas.microsoft.com/office/drawing/2014/main" id="{C0DDE4BF-BB39-4860-A8C8-BC0C2EFF1764}"/>
            </a:ext>
          </a:extLst>
        </cdr:cNvPr>
        <cdr:cNvSpPr txBox="1"/>
      </cdr:nvSpPr>
      <cdr:spPr>
        <a:xfrm xmlns:a="http://schemas.openxmlformats.org/drawingml/2006/main">
          <a:off x="4467532" y="3146632"/>
          <a:ext cx="911532" cy="2150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1000"/>
            <a:t>Estimate</a:t>
          </a: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9E2812AFEB94A6B81D8CB4B3829853E"/>
        <w:category>
          <w:name w:val="General"/>
          <w:gallery w:val="placeholder"/>
        </w:category>
        <w:types>
          <w:type w:val="bbPlcHdr"/>
        </w:types>
        <w:behaviors>
          <w:behavior w:val="content"/>
        </w:behaviors>
        <w:guid w:val="{34F6D19E-18B7-403A-A596-E4249EC64623}"/>
      </w:docPartPr>
      <w:docPartBody>
        <w:p w:rsidR="00B37423" w:rsidRDefault="00B37423" w:rsidP="00B37423">
          <w:pPr>
            <w:pStyle w:val="D9E2812AFEB94A6B81D8CB4B3829853E"/>
          </w:pPr>
          <w:r>
            <w:rPr>
              <w:rStyle w:val="PlaceholderText"/>
            </w:rPr>
            <w:t>Choose an item.</w:t>
          </w:r>
        </w:p>
      </w:docPartBody>
    </w:docPart>
    <w:docPart>
      <w:docPartPr>
        <w:name w:val="6B01DD8B15CA44528B110F7796A0D572"/>
        <w:category>
          <w:name w:val="General"/>
          <w:gallery w:val="placeholder"/>
        </w:category>
        <w:types>
          <w:type w:val="bbPlcHdr"/>
        </w:types>
        <w:behaviors>
          <w:behavior w:val="content"/>
        </w:behaviors>
        <w:guid w:val="{874BBC32-1268-4595-8149-D690C789519D}"/>
      </w:docPartPr>
      <w:docPartBody>
        <w:p w:rsidR="00B37423" w:rsidRDefault="00B37423" w:rsidP="00B37423">
          <w:pPr>
            <w:pStyle w:val="6B01DD8B15CA44528B110F7796A0D572"/>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Arial Bold">
    <w:altName w:val="Arial"/>
    <w:panose1 w:val="020B0704020202020204"/>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1)">
    <w:altName w:val="Arial"/>
    <w:charset w:val="00"/>
    <w:family w:val="swiss"/>
    <w:pitch w:val="variable"/>
    <w:sig w:usb0="E0002AFF" w:usb1="C0007843" w:usb2="00000009" w:usb3="00000000" w:csb0="000001FF" w:csb1="00000000"/>
  </w:font>
  <w:font w:name="Times New Roman Bold">
    <w:panose1 w:val="02020803070505020304"/>
    <w:charset w:val="00"/>
    <w:family w:val="roman"/>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Optima-Regular">
    <w:panose1 w:val="00000000000000000000"/>
    <w:charset w:val="00"/>
    <w:family w:val="auto"/>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ource Sans Pro Light">
    <w:panose1 w:val="020B0403030403020204"/>
    <w:charset w:val="00"/>
    <w:family w:val="swiss"/>
    <w:pitch w:val="variable"/>
    <w:sig w:usb0="600002F7" w:usb1="02000001" w:usb2="00000000" w:usb3="00000000" w:csb0="0000019F" w:csb1="00000000"/>
  </w:font>
  <w:font w:name="Montserrat">
    <w:altName w:val="Montserrat"/>
    <w:panose1 w:val="00000500000000000000"/>
    <w:charset w:val="00"/>
    <w:family w:val="auto"/>
    <w:pitch w:val="variable"/>
    <w:sig w:usb0="2000020F" w:usb1="00000003" w:usb2="00000000" w:usb3="00000000" w:csb0="00000197" w:csb1="00000000"/>
  </w:font>
  <w:font w:name="Source Sans Pro SemiBold">
    <w:panose1 w:val="020B0603030403020204"/>
    <w:charset w:val="00"/>
    <w:family w:val="swiss"/>
    <w:pitch w:val="variable"/>
    <w:sig w:usb0="600002F7" w:usb1="02000001"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7423"/>
    <w:rsid w:val="00011CD6"/>
    <w:rsid w:val="00060F1A"/>
    <w:rsid w:val="0019249F"/>
    <w:rsid w:val="00421841"/>
    <w:rsid w:val="006D7711"/>
    <w:rsid w:val="00B37423"/>
    <w:rsid w:val="00E621B2"/>
    <w:rsid w:val="00FE045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37423"/>
  </w:style>
  <w:style w:type="paragraph" w:customStyle="1" w:styleId="D9E2812AFEB94A6B81D8CB4B3829853E">
    <w:name w:val="D9E2812AFEB94A6B81D8CB4B3829853E"/>
    <w:rsid w:val="00B37423"/>
  </w:style>
  <w:style w:type="paragraph" w:customStyle="1" w:styleId="6B01DD8B15CA44528B110F7796A0D572">
    <w:name w:val="6B01DD8B15CA44528B110F7796A0D572"/>
    <w:rsid w:val="00B3742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4546A"/>
      </a:dk2>
      <a:lt2>
        <a:srgbClr val="E7E6E6"/>
      </a:lt2>
      <a:accent1>
        <a:srgbClr val="001889"/>
      </a:accent1>
      <a:accent2>
        <a:srgbClr val="334BBC"/>
      </a:accent2>
      <a:accent3>
        <a:srgbClr val="667EEF"/>
      </a:accent3>
      <a:accent4>
        <a:srgbClr val="99B1FF"/>
      </a:accent4>
      <a:accent5>
        <a:srgbClr val="CCE4FF"/>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1F76B72F893F94287258D2E79647A5B" ma:contentTypeVersion="8" ma:contentTypeDescription="Create a new document." ma:contentTypeScope="" ma:versionID="e68247c18f665c879892d3a1eda62234">
  <xsd:schema xmlns:xsd="http://www.w3.org/2001/XMLSchema" xmlns:xs="http://www.w3.org/2001/XMLSchema" xmlns:p="http://schemas.microsoft.com/office/2006/metadata/properties" xmlns:ns2="5b2709cc-6044-4f45-bb56-e69cfaa6b1e5" xmlns:ns3="66d4cc26-da18-47ac-a434-e3057859f92a" targetNamespace="http://schemas.microsoft.com/office/2006/metadata/properties" ma:root="true" ma:fieldsID="d0568ebad3e28a5653263e8decf0188d" ns2:_="" ns3:_="">
    <xsd:import namespace="5b2709cc-6044-4f45-bb56-e69cfaa6b1e5"/>
    <xsd:import namespace="66d4cc26-da18-47ac-a434-e3057859f92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2709cc-6044-4f45-bb56-e69cfaa6b1e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d4cc26-da18-47ac-a434-e3057859f92a"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SharedWithUsers xmlns="66d4cc26-da18-47ac-a434-e3057859f92a">
      <UserInfo>
        <DisplayName>Polglase, David</DisplayName>
        <AccountId>3775</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2B55737-9A9A-499B-BC5A-9E504A4233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2709cc-6044-4f45-bb56-e69cfaa6b1e5"/>
    <ds:schemaRef ds:uri="66d4cc26-da18-47ac-a434-e3057859f92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7EEA5F3-0FB5-422C-B6C6-CA445AB1C219}">
  <ds:schemaRefs>
    <ds:schemaRef ds:uri="http://schemas.openxmlformats.org/officeDocument/2006/bibliography"/>
  </ds:schemaRefs>
</ds:datastoreItem>
</file>

<file path=customXml/itemProps3.xml><?xml version="1.0" encoding="utf-8"?>
<ds:datastoreItem xmlns:ds="http://schemas.openxmlformats.org/officeDocument/2006/customXml" ds:itemID="{50D56C3F-7AD1-4E0E-9097-E84F56DAE1B9}">
  <ds:schemaRefs>
    <ds:schemaRef ds:uri="http://schemas.microsoft.com/office/2006/metadata/properties"/>
    <ds:schemaRef ds:uri="http://schemas.microsoft.com/office/infopath/2007/PartnerControls"/>
    <ds:schemaRef ds:uri="66d4cc26-da18-47ac-a434-e3057859f92a"/>
  </ds:schemaRefs>
</ds:datastoreItem>
</file>

<file path=customXml/itemProps4.xml><?xml version="1.0" encoding="utf-8"?>
<ds:datastoreItem xmlns:ds="http://schemas.openxmlformats.org/officeDocument/2006/customXml" ds:itemID="{CA8D9F7E-7085-4D1D-A933-493E58D1436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214</TotalTime>
  <Pages>262</Pages>
  <Words>74569</Words>
  <Characters>425044</Characters>
  <Application>Microsoft Office Word</Application>
  <DocSecurity>0</DocSecurity>
  <Lines>3542</Lines>
  <Paragraphs>997</Paragraphs>
  <ScaleCrop>false</ScaleCrop>
  <HeadingPairs>
    <vt:vector size="2" baseType="variant">
      <vt:variant>
        <vt:lpstr>Title</vt:lpstr>
      </vt:variant>
      <vt:variant>
        <vt:i4>1</vt:i4>
      </vt:variant>
    </vt:vector>
  </HeadingPairs>
  <TitlesOfParts>
    <vt:vector size="1" baseType="lpstr">
      <vt:lpstr/>
    </vt:vector>
  </TitlesOfParts>
  <Company>ACT Government</Company>
  <LinksUpToDate>false</LinksUpToDate>
  <CharactersWithSpaces>498616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Lowery, Deborah</dc:creator>
  <cp:keywords/>
  <dc:description/>
  <cp:lastModifiedBy>Mele, Rowena</cp:lastModifiedBy>
  <cp:revision>31</cp:revision>
  <cp:lastPrinted>2021-10-05T02:11:00Z</cp:lastPrinted>
  <dcterms:created xsi:type="dcterms:W3CDTF">2021-10-04T14:38:00Z</dcterms:created>
  <dcterms:modified xsi:type="dcterms:W3CDTF">2022-01-31T00:46:00Z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0x010100B1F76B72F893F94287258D2E79647A5B</vt:lpwstr>
  </property>
</Properties>
</file>